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122646D" w14:textId="77777777" w:rsidR="0067378A" w:rsidRDefault="0067378A"/>
    <w:tbl>
      <w:tblPr>
        <w:tblW w:w="8931" w:type="dxa"/>
        <w:tblLayout w:type="fixed"/>
        <w:tblCellMar>
          <w:left w:w="0" w:type="dxa"/>
          <w:right w:w="0" w:type="dxa"/>
        </w:tblCellMar>
        <w:tblLook w:val="0000" w:firstRow="0" w:lastRow="0" w:firstColumn="0" w:lastColumn="0" w:noHBand="0" w:noVBand="0"/>
      </w:tblPr>
      <w:tblGrid>
        <w:gridCol w:w="4253"/>
        <w:gridCol w:w="4678"/>
      </w:tblGrid>
      <w:tr w:rsidR="001B33AE" w:rsidRPr="00183E4D" w14:paraId="3CA1CE28" w14:textId="77777777" w:rsidTr="00F43F3E">
        <w:trPr>
          <w:cantSplit/>
          <w:trHeight w:hRule="exact" w:val="4820"/>
        </w:trPr>
        <w:tc>
          <w:tcPr>
            <w:tcW w:w="4253" w:type="dxa"/>
            <w:shd w:val="clear" w:color="auto" w:fill="auto"/>
            <w:vAlign w:val="bottom"/>
          </w:tcPr>
          <w:p w14:paraId="3F7367CA" w14:textId="77777777" w:rsidR="001B33AE" w:rsidRPr="00183E4D" w:rsidRDefault="001B33AE" w:rsidP="00DF343F">
            <w:pPr>
              <w:pStyle w:val="TOC9"/>
            </w:pPr>
          </w:p>
        </w:tc>
        <w:tc>
          <w:tcPr>
            <w:tcW w:w="4678" w:type="dxa"/>
            <w:shd w:val="clear" w:color="auto" w:fill="auto"/>
            <w:vAlign w:val="bottom"/>
          </w:tcPr>
          <w:p w14:paraId="49618115" w14:textId="77777777" w:rsidR="001B33AE" w:rsidRPr="00183E4D" w:rsidRDefault="00C26C01" w:rsidP="00FA1714">
            <w:pPr>
              <w:pStyle w:val="PublicationTitle"/>
              <w:jc w:val="left"/>
              <w:rPr>
                <w:szCs w:val="44"/>
              </w:rPr>
            </w:pPr>
            <w:r>
              <w:rPr>
                <w:szCs w:val="44"/>
              </w:rPr>
              <w:t xml:space="preserve">Microwave </w:t>
            </w:r>
            <w:r w:rsidR="00112197">
              <w:rPr>
                <w:szCs w:val="44"/>
              </w:rPr>
              <w:t xml:space="preserve">tissue ablation </w:t>
            </w:r>
            <w:r>
              <w:rPr>
                <w:szCs w:val="44"/>
              </w:rPr>
              <w:t>of primary and secondary lung cancer</w:t>
            </w:r>
          </w:p>
        </w:tc>
      </w:tr>
      <w:tr w:rsidR="008F59A8" w:rsidRPr="00183E4D" w14:paraId="592CE543" w14:textId="77777777" w:rsidTr="00E0760E">
        <w:trPr>
          <w:cantSplit/>
          <w:trHeight w:hRule="exact" w:val="2137"/>
        </w:trPr>
        <w:tc>
          <w:tcPr>
            <w:tcW w:w="4253" w:type="dxa"/>
            <w:shd w:val="clear" w:color="auto" w:fill="auto"/>
            <w:vAlign w:val="bottom"/>
          </w:tcPr>
          <w:p w14:paraId="266EB1F8" w14:textId="77777777" w:rsidR="008F59A8" w:rsidRPr="00183E4D" w:rsidRDefault="008F59A8" w:rsidP="00DF343F"/>
        </w:tc>
        <w:tc>
          <w:tcPr>
            <w:tcW w:w="4678" w:type="dxa"/>
            <w:shd w:val="clear" w:color="auto" w:fill="auto"/>
            <w:vAlign w:val="bottom"/>
          </w:tcPr>
          <w:p w14:paraId="7FAE3DF9" w14:textId="77777777" w:rsidR="008F59A8" w:rsidRPr="00183E4D" w:rsidRDefault="008F59A8" w:rsidP="00DF343F">
            <w:pPr>
              <w:pStyle w:val="Heading1"/>
            </w:pPr>
          </w:p>
          <w:p w14:paraId="5A8C7337" w14:textId="77777777" w:rsidR="008F59A8" w:rsidRPr="00183E4D" w:rsidRDefault="008F59A8" w:rsidP="00DF343F"/>
        </w:tc>
      </w:tr>
      <w:tr w:rsidR="008F59A8" w:rsidRPr="00183E4D" w14:paraId="3CDA9724" w14:textId="77777777" w:rsidTr="00F43F3E">
        <w:trPr>
          <w:cantSplit/>
          <w:trHeight w:hRule="exact" w:val="1265"/>
        </w:trPr>
        <w:tc>
          <w:tcPr>
            <w:tcW w:w="4253" w:type="dxa"/>
            <w:shd w:val="clear" w:color="auto" w:fill="auto"/>
            <w:vAlign w:val="center"/>
          </w:tcPr>
          <w:p w14:paraId="2A6424D7" w14:textId="77777777" w:rsidR="008F59A8" w:rsidRPr="00183E4D" w:rsidRDefault="008F59A8" w:rsidP="00DF343F">
            <w:pPr>
              <w:pStyle w:val="Date"/>
              <w:jc w:val="both"/>
            </w:pPr>
          </w:p>
        </w:tc>
        <w:tc>
          <w:tcPr>
            <w:tcW w:w="4678" w:type="dxa"/>
            <w:shd w:val="clear" w:color="auto" w:fill="auto"/>
            <w:vAlign w:val="center"/>
          </w:tcPr>
          <w:p w14:paraId="5EE61C5A" w14:textId="344DD469" w:rsidR="008F59A8" w:rsidRPr="00183E4D" w:rsidRDefault="00464B8B" w:rsidP="005153AA">
            <w:pPr>
              <w:pStyle w:val="Date"/>
              <w:jc w:val="both"/>
            </w:pPr>
            <w:r>
              <w:t>September</w:t>
            </w:r>
            <w:r w:rsidR="00E91BE1" w:rsidRPr="00183E4D">
              <w:t xml:space="preserve"> </w:t>
            </w:r>
            <w:r w:rsidR="00C26C01">
              <w:t>2016</w:t>
            </w:r>
            <w:r w:rsidR="00CA487C">
              <w:t xml:space="preserve"> </w:t>
            </w:r>
          </w:p>
        </w:tc>
      </w:tr>
      <w:tr w:rsidR="008F59A8" w:rsidRPr="00183E4D" w14:paraId="4A51F809" w14:textId="77777777" w:rsidTr="00E0760E">
        <w:trPr>
          <w:cantSplit/>
          <w:trHeight w:hRule="exact" w:val="998"/>
        </w:trPr>
        <w:tc>
          <w:tcPr>
            <w:tcW w:w="4253" w:type="dxa"/>
            <w:shd w:val="clear" w:color="auto" w:fill="auto"/>
          </w:tcPr>
          <w:p w14:paraId="28E50FE1" w14:textId="77777777" w:rsidR="008F59A8" w:rsidRPr="00183E4D" w:rsidRDefault="008F59A8" w:rsidP="003F6C66"/>
        </w:tc>
        <w:tc>
          <w:tcPr>
            <w:tcW w:w="4678" w:type="dxa"/>
            <w:shd w:val="clear" w:color="auto" w:fill="auto"/>
          </w:tcPr>
          <w:p w14:paraId="769EEF5F" w14:textId="77777777" w:rsidR="008F59A8" w:rsidRPr="00183E4D" w:rsidRDefault="008F59A8" w:rsidP="00DF343F">
            <w:pPr>
              <w:rPr>
                <w:highlight w:val="yellow"/>
              </w:rPr>
            </w:pPr>
          </w:p>
        </w:tc>
      </w:tr>
      <w:tr w:rsidR="008F59A8" w:rsidRPr="00183E4D" w14:paraId="20C83BC7" w14:textId="77777777" w:rsidTr="003A7C8F">
        <w:trPr>
          <w:cantSplit/>
          <w:trHeight w:hRule="exact" w:val="3094"/>
        </w:trPr>
        <w:tc>
          <w:tcPr>
            <w:tcW w:w="4253" w:type="dxa"/>
            <w:shd w:val="clear" w:color="auto" w:fill="auto"/>
          </w:tcPr>
          <w:p w14:paraId="45A55A18" w14:textId="77777777" w:rsidR="008F59A8" w:rsidRPr="00183E4D" w:rsidRDefault="008F59A8" w:rsidP="00DF343F">
            <w:pPr>
              <w:pStyle w:val="Sub-title"/>
              <w:jc w:val="both"/>
            </w:pPr>
          </w:p>
        </w:tc>
        <w:tc>
          <w:tcPr>
            <w:tcW w:w="4678" w:type="dxa"/>
            <w:shd w:val="clear" w:color="auto" w:fill="auto"/>
          </w:tcPr>
          <w:p w14:paraId="737E28FA" w14:textId="77777777" w:rsidR="008F59A8" w:rsidRPr="00183E4D" w:rsidRDefault="008F59A8" w:rsidP="00DF343F">
            <w:pPr>
              <w:pStyle w:val="Sub-title"/>
              <w:jc w:val="both"/>
            </w:pPr>
            <w:r w:rsidRPr="00183E4D">
              <w:t xml:space="preserve">MSAC application </w:t>
            </w:r>
            <w:r w:rsidR="001C3A68" w:rsidRPr="00183E4D">
              <w:t>no</w:t>
            </w:r>
            <w:r w:rsidR="00DB1DDF" w:rsidRPr="00183E4D">
              <w:t>.</w:t>
            </w:r>
            <w:r w:rsidR="001C3A68" w:rsidRPr="00183E4D">
              <w:t xml:space="preserve"> </w:t>
            </w:r>
            <w:r w:rsidR="00E30EFC">
              <w:t>1403</w:t>
            </w:r>
          </w:p>
          <w:p w14:paraId="49F6EBFE" w14:textId="41758D78" w:rsidR="008F59A8" w:rsidRPr="003A7C22" w:rsidRDefault="008F59A8" w:rsidP="00025297">
            <w:pPr>
              <w:pStyle w:val="Sub-title"/>
              <w:jc w:val="both"/>
              <w:rPr>
                <w:sz w:val="72"/>
                <w:szCs w:val="72"/>
              </w:rPr>
            </w:pPr>
            <w:r w:rsidRPr="00183E4D">
              <w:t xml:space="preserve"> </w:t>
            </w:r>
            <w:r w:rsidRPr="00183E4D">
              <w:br/>
            </w:r>
            <w:r w:rsidR="00E0760E" w:rsidRPr="00183E4D">
              <w:t>A</w:t>
            </w:r>
            <w:r w:rsidRPr="00183E4D">
              <w:t>ssessment report</w:t>
            </w:r>
          </w:p>
        </w:tc>
      </w:tr>
    </w:tbl>
    <w:p w14:paraId="3CAA063A" w14:textId="77777777" w:rsidR="003A7C8F" w:rsidRPr="00183E4D" w:rsidRDefault="003A7C8F" w:rsidP="00DF343F">
      <w:pPr>
        <w:autoSpaceDE w:val="0"/>
        <w:autoSpaceDN w:val="0"/>
        <w:adjustRightInd w:val="0"/>
        <w:spacing w:after="0"/>
      </w:pPr>
    </w:p>
    <w:p w14:paraId="61BDBD1B" w14:textId="77777777" w:rsidR="003A7C8F" w:rsidRPr="00183E4D" w:rsidRDefault="003A7C8F" w:rsidP="00DF343F">
      <w:pPr>
        <w:autoSpaceDE w:val="0"/>
        <w:autoSpaceDN w:val="0"/>
        <w:adjustRightInd w:val="0"/>
        <w:spacing w:after="0"/>
      </w:pPr>
    </w:p>
    <w:p w14:paraId="04146B83" w14:textId="6FE1CD4E" w:rsidR="00EB4DCD" w:rsidRPr="00FC79BA" w:rsidRDefault="00EB4DCD" w:rsidP="003F6C66">
      <w:pPr>
        <w:spacing w:after="0"/>
        <w:rPr>
          <w:b/>
          <w:bCs/>
          <w:color w:val="000000"/>
          <w:sz w:val="20"/>
          <w:szCs w:val="20"/>
          <w:lang w:eastAsia="zh-TW"/>
        </w:rPr>
      </w:pPr>
      <w:bookmarkStart w:id="0" w:name="_Toc192054741"/>
      <w:bookmarkStart w:id="1" w:name="_Toc206489930"/>
      <w:bookmarkStart w:id="2" w:name="_Toc206494639"/>
      <w:bookmarkStart w:id="3" w:name="_Toc214339152"/>
      <w:bookmarkStart w:id="4" w:name="_Toc237759553"/>
      <w:bookmarkStart w:id="5" w:name="_Toc356462688"/>
      <w:bookmarkStart w:id="6" w:name="_Toc356462742"/>
      <w:bookmarkStart w:id="7" w:name="_Toc356462997"/>
      <w:bookmarkStart w:id="8" w:name="_Ref360694627"/>
      <w:bookmarkStart w:id="9" w:name="_Toc379117342"/>
      <w:bookmarkStart w:id="10" w:name="_Toc379118055"/>
      <w:bookmarkStart w:id="11" w:name="_Toc379118243"/>
      <w:bookmarkStart w:id="12" w:name="_Toc381796424"/>
      <w:r w:rsidRPr="00FC79BA">
        <w:rPr>
          <w:b/>
          <w:bCs/>
          <w:color w:val="000000"/>
          <w:sz w:val="20"/>
          <w:szCs w:val="20"/>
          <w:lang w:eastAsia="zh-TW"/>
        </w:rPr>
        <w:t>© Commonwealth of Australia 20</w:t>
      </w:r>
      <w:r w:rsidR="0089269D">
        <w:rPr>
          <w:b/>
          <w:bCs/>
          <w:color w:val="000000"/>
          <w:sz w:val="20"/>
          <w:szCs w:val="20"/>
          <w:lang w:eastAsia="zh-TW"/>
        </w:rPr>
        <w:t>16</w:t>
      </w:r>
    </w:p>
    <w:p w14:paraId="5B87E379" w14:textId="0D81B59C" w:rsidR="00EB4DCD" w:rsidRPr="00FC79BA" w:rsidRDefault="00430E74" w:rsidP="00430E74">
      <w:pPr>
        <w:autoSpaceDE w:val="0"/>
        <w:autoSpaceDN w:val="0"/>
        <w:adjustRightInd w:val="0"/>
        <w:spacing w:before="0" w:line="240" w:lineRule="auto"/>
        <w:rPr>
          <w:b/>
          <w:bCs/>
          <w:color w:val="000000"/>
          <w:sz w:val="20"/>
          <w:szCs w:val="20"/>
          <w:lang w:eastAsia="zh-TW"/>
        </w:rPr>
      </w:pPr>
      <w:r>
        <w:rPr>
          <w:b/>
          <w:bCs/>
          <w:color w:val="000000"/>
          <w:sz w:val="20"/>
          <w:szCs w:val="20"/>
          <w:lang w:eastAsia="zh-TW"/>
        </w:rPr>
        <w:t>ISSN (Online) 1443-7139</w:t>
      </w:r>
    </w:p>
    <w:p w14:paraId="1B7E1337" w14:textId="25A92EB1" w:rsidR="00EB4DCD" w:rsidRPr="00FC79BA" w:rsidRDefault="00EB4DCD" w:rsidP="00430E74">
      <w:pPr>
        <w:autoSpaceDE w:val="0"/>
        <w:autoSpaceDN w:val="0"/>
        <w:adjustRightInd w:val="0"/>
        <w:spacing w:before="0" w:line="240" w:lineRule="auto"/>
        <w:rPr>
          <w:b/>
          <w:bCs/>
          <w:color w:val="000000"/>
          <w:sz w:val="20"/>
          <w:szCs w:val="20"/>
          <w:lang w:eastAsia="zh-TW"/>
        </w:rPr>
      </w:pPr>
      <w:r w:rsidRPr="00FC79BA">
        <w:rPr>
          <w:b/>
          <w:bCs/>
          <w:color w:val="000000"/>
          <w:sz w:val="20"/>
          <w:szCs w:val="20"/>
          <w:lang w:eastAsia="zh-TW"/>
        </w:rPr>
        <w:t xml:space="preserve">Internet site </w:t>
      </w:r>
      <w:hyperlink r:id="rId9" w:tooltip="Link to the Medical Services Advisory Committee website." w:history="1">
        <w:r w:rsidR="006841FB">
          <w:rPr>
            <w:color w:val="0000FF"/>
            <w:sz w:val="20"/>
            <w:szCs w:val="20"/>
            <w:u w:val="single"/>
            <w:lang w:eastAsia="zh-TW"/>
          </w:rPr>
          <w:t>www</w:t>
        </w:r>
        <w:r w:rsidRPr="00FC79BA">
          <w:rPr>
            <w:color w:val="0000FF"/>
            <w:sz w:val="20"/>
            <w:szCs w:val="20"/>
            <w:u w:val="single"/>
            <w:lang w:eastAsia="zh-TW"/>
          </w:rPr>
          <w:t>.msac.gov.au/</w:t>
        </w:r>
      </w:hyperlink>
    </w:p>
    <w:p w14:paraId="768CC5BE" w14:textId="3B86BA00" w:rsidR="00EB4DCD" w:rsidRPr="00FC79BA" w:rsidRDefault="00EB4DCD" w:rsidP="00430E74">
      <w:pPr>
        <w:autoSpaceDE w:val="0"/>
        <w:autoSpaceDN w:val="0"/>
        <w:adjustRightInd w:val="0"/>
        <w:spacing w:before="0" w:line="240" w:lineRule="auto"/>
        <w:rPr>
          <w:color w:val="000000"/>
          <w:sz w:val="20"/>
          <w:szCs w:val="20"/>
        </w:rPr>
      </w:pPr>
      <w:r w:rsidRPr="00FC79B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w:t>
      </w:r>
      <w:proofErr w:type="gramStart"/>
      <w:r w:rsidRPr="00FC79BA">
        <w:rPr>
          <w:color w:val="000000"/>
          <w:sz w:val="20"/>
          <w:szCs w:val="20"/>
        </w:rPr>
        <w:t>Barton</w:t>
      </w:r>
      <w:proofErr w:type="gramEnd"/>
      <w:r w:rsidRPr="00FC79BA">
        <w:rPr>
          <w:color w:val="000000"/>
          <w:sz w:val="20"/>
          <w:szCs w:val="20"/>
        </w:rPr>
        <w:t xml:space="preserve"> ACT 2600 or posted at </w:t>
      </w:r>
      <w:hyperlink r:id="rId10" w:tooltip="Link to the Australian Government's Attorney General's website." w:history="1">
        <w:r w:rsidR="006841FB">
          <w:rPr>
            <w:color w:val="0000FF"/>
            <w:sz w:val="20"/>
            <w:szCs w:val="20"/>
            <w:u w:val="single"/>
            <w:lang w:eastAsia="zh-TW"/>
          </w:rPr>
          <w:t>www</w:t>
        </w:r>
        <w:r w:rsidRPr="00FC79BA">
          <w:rPr>
            <w:color w:val="0000FF"/>
            <w:sz w:val="20"/>
            <w:szCs w:val="20"/>
            <w:u w:val="single"/>
            <w:lang w:eastAsia="zh-TW"/>
          </w:rPr>
          <w:t>.ag.gov.au/</w:t>
        </w:r>
      </w:hyperlink>
      <w:r w:rsidRPr="00FC79BA">
        <w:rPr>
          <w:color w:val="0000FF"/>
          <w:sz w:val="20"/>
          <w:szCs w:val="20"/>
          <w:lang w:eastAsia="zh-TW"/>
        </w:rPr>
        <w:t>.</w:t>
      </w:r>
    </w:p>
    <w:p w14:paraId="1F3677AF" w14:textId="3A9A76DB" w:rsidR="00EB4DCD" w:rsidRPr="00FC79BA" w:rsidRDefault="00EB4DCD" w:rsidP="00430E74">
      <w:pPr>
        <w:autoSpaceDE w:val="0"/>
        <w:autoSpaceDN w:val="0"/>
        <w:adjustRightInd w:val="0"/>
        <w:spacing w:before="0" w:line="240" w:lineRule="auto"/>
        <w:rPr>
          <w:color w:val="1B1B1B"/>
          <w:sz w:val="20"/>
          <w:szCs w:val="20"/>
        </w:rPr>
      </w:pPr>
      <w:r w:rsidRPr="00FC79BA">
        <w:rPr>
          <w:color w:val="000000"/>
          <w:sz w:val="20"/>
          <w:szCs w:val="20"/>
          <w:lang w:eastAsia="zh-TW"/>
        </w:rPr>
        <w:t>Electronic copies of the report can be obtained from the Medical Service Advisory Committee’s Internet site at</w:t>
      </w:r>
      <w:r w:rsidRPr="00FC79BA">
        <w:rPr>
          <w:sz w:val="20"/>
          <w:szCs w:val="20"/>
          <w:lang w:eastAsia="zh-TW"/>
        </w:rPr>
        <w:t xml:space="preserve"> </w:t>
      </w:r>
      <w:hyperlink r:id="rId11" w:tooltip="Link to the Medical Services Advisory Committee website." w:history="1">
        <w:r w:rsidR="006841FB">
          <w:rPr>
            <w:color w:val="0000FF"/>
            <w:sz w:val="20"/>
            <w:szCs w:val="20"/>
            <w:u w:val="single"/>
            <w:lang w:eastAsia="zh-TW"/>
          </w:rPr>
          <w:t>www</w:t>
        </w:r>
        <w:r w:rsidRPr="00FC79BA">
          <w:rPr>
            <w:color w:val="0000FF"/>
            <w:sz w:val="20"/>
            <w:szCs w:val="20"/>
            <w:u w:val="single"/>
            <w:lang w:eastAsia="zh-TW"/>
          </w:rPr>
          <w:t>.msac.gov.au/</w:t>
        </w:r>
      </w:hyperlink>
    </w:p>
    <w:p w14:paraId="55A9F651" w14:textId="7A785C9A" w:rsidR="00EB4DCD" w:rsidRPr="00430E74" w:rsidRDefault="00EB4DCD" w:rsidP="00430E74">
      <w:pPr>
        <w:autoSpaceDE w:val="0"/>
        <w:autoSpaceDN w:val="0"/>
        <w:adjustRightInd w:val="0"/>
        <w:spacing w:before="0" w:line="240" w:lineRule="auto"/>
        <w:rPr>
          <w:color w:val="000000"/>
          <w:sz w:val="20"/>
          <w:szCs w:val="20"/>
        </w:rPr>
      </w:pPr>
      <w:r w:rsidRPr="00FC79BA">
        <w:rPr>
          <w:color w:val="000000"/>
          <w:sz w:val="20"/>
          <w:szCs w:val="20"/>
        </w:rPr>
        <w:t xml:space="preserve">Enquiries about the content of the report should be emailed to </w:t>
      </w:r>
      <w:hyperlink r:id="rId12" w:history="1">
        <w:r w:rsidRPr="00FC79BA">
          <w:rPr>
            <w:color w:val="0000FF"/>
            <w:sz w:val="20"/>
            <w:szCs w:val="20"/>
            <w:u w:val="single"/>
          </w:rPr>
          <w:t>hta@health.gov.au</w:t>
        </w:r>
      </w:hyperlink>
      <w:r w:rsidR="00430E74">
        <w:rPr>
          <w:color w:val="000000"/>
          <w:sz w:val="20"/>
          <w:szCs w:val="20"/>
        </w:rPr>
        <w:t>.</w:t>
      </w:r>
    </w:p>
    <w:p w14:paraId="36AF238C" w14:textId="64239705" w:rsidR="00EB4DCD" w:rsidRPr="00FC79BA" w:rsidRDefault="00EB4DCD" w:rsidP="00430E74">
      <w:pPr>
        <w:autoSpaceDE w:val="0"/>
        <w:autoSpaceDN w:val="0"/>
        <w:adjustRightInd w:val="0"/>
        <w:spacing w:before="0" w:line="240" w:lineRule="auto"/>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w:t>
      </w:r>
      <w:r w:rsidR="00430E74">
        <w:rPr>
          <w:color w:val="000000"/>
          <w:sz w:val="20"/>
          <w:szCs w:val="20"/>
          <w:lang w:eastAsia="zh-TW"/>
        </w:rPr>
        <w:t>attract funding under Medicare.</w:t>
      </w:r>
    </w:p>
    <w:p w14:paraId="7DF0B2B0" w14:textId="7EFFBA78" w:rsidR="00EB4DCD" w:rsidRPr="00430E74" w:rsidRDefault="00EB4DCD" w:rsidP="00430E74">
      <w:pPr>
        <w:autoSpaceDE w:val="0"/>
        <w:autoSpaceDN w:val="0"/>
        <w:adjustRightInd w:val="0"/>
        <w:spacing w:before="0" w:line="240" w:lineRule="auto"/>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w:t>
      </w:r>
      <w:r w:rsidR="00430E74">
        <w:rPr>
          <w:b/>
          <w:bCs/>
          <w:color w:val="000000"/>
          <w:sz w:val="20"/>
          <w:szCs w:val="20"/>
          <w:u w:val="single"/>
          <w:lang w:eastAsia="zh-TW"/>
        </w:rPr>
        <w:t>cipated in the MSAC evaluation.</w:t>
      </w:r>
    </w:p>
    <w:p w14:paraId="34D1EFB8" w14:textId="33A19AFC" w:rsidR="00EB4DCD" w:rsidRPr="00FC79BA" w:rsidRDefault="00EB4DCD" w:rsidP="00430E74">
      <w:pPr>
        <w:autoSpaceDE w:val="0"/>
        <w:autoSpaceDN w:val="0"/>
        <w:adjustRightInd w:val="0"/>
        <w:spacing w:before="0" w:line="240" w:lineRule="auto"/>
        <w:rPr>
          <w:sz w:val="20"/>
          <w:szCs w:val="20"/>
        </w:rPr>
      </w:pPr>
      <w:r w:rsidRPr="00FC79BA">
        <w:rPr>
          <w:sz w:val="20"/>
          <w:szCs w:val="20"/>
        </w:rPr>
        <w:t xml:space="preserve">This report was prepared by </w:t>
      </w:r>
      <w:r w:rsidR="00112197">
        <w:rPr>
          <w:sz w:val="20"/>
          <w:szCs w:val="20"/>
        </w:rPr>
        <w:t>Robyn Lambert, Tom Vreugdenburg, Yasoba Atukorale, Meegan Vandepeer, Nicholas Marlow and Alun Cameron</w:t>
      </w:r>
      <w:r w:rsidR="00112197" w:rsidRPr="00FC79BA">
        <w:rPr>
          <w:sz w:val="20"/>
          <w:szCs w:val="20"/>
        </w:rPr>
        <w:t xml:space="preserve"> </w:t>
      </w:r>
      <w:r w:rsidR="00DE704E">
        <w:rPr>
          <w:sz w:val="20"/>
          <w:szCs w:val="20"/>
        </w:rPr>
        <w:t>of</w:t>
      </w:r>
      <w:r w:rsidRPr="00FC79BA">
        <w:rPr>
          <w:sz w:val="20"/>
          <w:szCs w:val="20"/>
        </w:rPr>
        <w:t xml:space="preserve"> </w:t>
      </w:r>
      <w:r w:rsidR="00112197">
        <w:rPr>
          <w:sz w:val="20"/>
          <w:szCs w:val="20"/>
        </w:rPr>
        <w:t xml:space="preserve">ASERNIP-S, and by Ross McLeod </w:t>
      </w:r>
      <w:r w:rsidR="00DE704E">
        <w:rPr>
          <w:sz w:val="20"/>
          <w:szCs w:val="20"/>
        </w:rPr>
        <w:t>of</w:t>
      </w:r>
      <w:r w:rsidR="00112197">
        <w:rPr>
          <w:sz w:val="20"/>
          <w:szCs w:val="20"/>
        </w:rPr>
        <w:t xml:space="preserve"> eSys </w:t>
      </w:r>
      <w:r w:rsidR="00112197" w:rsidRPr="00112197">
        <w:rPr>
          <w:sz w:val="20"/>
          <w:szCs w:val="20"/>
        </w:rPr>
        <w:t>Development Pty Limited</w:t>
      </w:r>
      <w:r w:rsidRPr="00FC79BA">
        <w:rPr>
          <w:sz w:val="20"/>
          <w:szCs w:val="20"/>
        </w:rPr>
        <w:t xml:space="preserve">. The report was commissioned by the Australian Government Department of Health. It was edited by </w:t>
      </w:r>
      <w:r w:rsidR="00DE704E">
        <w:rPr>
          <w:sz w:val="20"/>
          <w:szCs w:val="20"/>
        </w:rPr>
        <w:t>Anje Scarf of ASERNIP-S</w:t>
      </w:r>
      <w:r>
        <w:rPr>
          <w:sz w:val="20"/>
          <w:szCs w:val="20"/>
        </w:rPr>
        <w:t>.</w:t>
      </w:r>
    </w:p>
    <w:p w14:paraId="3E90A07B" w14:textId="3CFC2AAC" w:rsidR="00EB4DCD" w:rsidRPr="00FC79BA" w:rsidRDefault="00EB4DCD" w:rsidP="00430E74">
      <w:pPr>
        <w:autoSpaceDE w:val="0"/>
        <w:autoSpaceDN w:val="0"/>
        <w:adjustRightInd w:val="0"/>
        <w:spacing w:before="0" w:line="240" w:lineRule="auto"/>
        <w:rPr>
          <w:rFonts w:cs="Humanist521BT-Roman"/>
          <w:color w:val="231F20"/>
          <w:sz w:val="20"/>
          <w:szCs w:val="20"/>
        </w:rPr>
      </w:pPr>
      <w:r w:rsidRPr="00FC79BA">
        <w:rPr>
          <w:rFonts w:cs="Humanist521BT-Roman"/>
          <w:color w:val="231F20"/>
          <w:sz w:val="20"/>
          <w:szCs w:val="20"/>
        </w:rPr>
        <w:t>The suggested</w:t>
      </w:r>
      <w:r w:rsidR="00430E74">
        <w:rPr>
          <w:rFonts w:cs="Humanist521BT-Roman"/>
          <w:color w:val="231F20"/>
          <w:sz w:val="20"/>
          <w:szCs w:val="20"/>
        </w:rPr>
        <w:t xml:space="preserve"> citation for this document is:</w:t>
      </w:r>
    </w:p>
    <w:p w14:paraId="4D696DC4" w14:textId="5A048BFB" w:rsidR="00EB4DCD" w:rsidRPr="00FC79BA" w:rsidRDefault="00DE704E" w:rsidP="00430E74">
      <w:pPr>
        <w:autoSpaceDE w:val="0"/>
        <w:autoSpaceDN w:val="0"/>
        <w:adjustRightInd w:val="0"/>
        <w:spacing w:before="0" w:line="240" w:lineRule="auto"/>
        <w:rPr>
          <w:sz w:val="20"/>
          <w:szCs w:val="20"/>
        </w:rPr>
      </w:pPr>
      <w:r w:rsidRPr="00DA2B1C">
        <w:rPr>
          <w:sz w:val="20"/>
          <w:szCs w:val="20"/>
        </w:rPr>
        <w:t>Lambert R, Vreugdenburg T, McLeod R, Atukorale Y, Vandepeer M, Marlow N, Cameron A</w:t>
      </w:r>
      <w:r w:rsidR="00112197" w:rsidRPr="00DA2B1C">
        <w:rPr>
          <w:sz w:val="20"/>
          <w:szCs w:val="20"/>
        </w:rPr>
        <w:t>.</w:t>
      </w:r>
      <w:r w:rsidR="00EB4DCD" w:rsidRPr="00DA2B1C">
        <w:rPr>
          <w:sz w:val="20"/>
          <w:szCs w:val="20"/>
        </w:rPr>
        <w:t xml:space="preserve"> (</w:t>
      </w:r>
      <w:r w:rsidR="00112197" w:rsidRPr="00DA2B1C">
        <w:rPr>
          <w:sz w:val="20"/>
          <w:szCs w:val="20"/>
        </w:rPr>
        <w:t>2016</w:t>
      </w:r>
      <w:r w:rsidR="00EB4DCD" w:rsidRPr="00DA2B1C">
        <w:rPr>
          <w:sz w:val="20"/>
          <w:szCs w:val="20"/>
        </w:rPr>
        <w:t>).</w:t>
      </w:r>
      <w:r w:rsidR="00EB4DCD" w:rsidRPr="00FC79BA">
        <w:rPr>
          <w:sz w:val="20"/>
          <w:szCs w:val="20"/>
        </w:rPr>
        <w:t xml:space="preserve"> </w:t>
      </w:r>
      <w:proofErr w:type="gramStart"/>
      <w:r w:rsidR="00112197" w:rsidRPr="00DA2B1C">
        <w:rPr>
          <w:sz w:val="20"/>
          <w:szCs w:val="20"/>
        </w:rPr>
        <w:t>Microwave tissue ablation of primary and secondary lung cancer.</w:t>
      </w:r>
      <w:proofErr w:type="gramEnd"/>
      <w:r w:rsidR="00EB4DCD" w:rsidRPr="00FC79BA">
        <w:rPr>
          <w:sz w:val="20"/>
          <w:szCs w:val="20"/>
        </w:rPr>
        <w:t xml:space="preserve"> MSAC Application</w:t>
      </w:r>
      <w:r w:rsidR="006364FC">
        <w:rPr>
          <w:sz w:val="20"/>
          <w:szCs w:val="20"/>
        </w:rPr>
        <w:t xml:space="preserve"> 140</w:t>
      </w:r>
      <w:r w:rsidR="00112197">
        <w:rPr>
          <w:sz w:val="20"/>
          <w:szCs w:val="20"/>
        </w:rPr>
        <w:t>3</w:t>
      </w:r>
      <w:r w:rsidR="00EB4DCD" w:rsidRPr="00FC79BA">
        <w:rPr>
          <w:sz w:val="20"/>
          <w:szCs w:val="20"/>
        </w:rPr>
        <w:t xml:space="preserve">, Assessment Report. </w:t>
      </w:r>
      <w:proofErr w:type="gramStart"/>
      <w:r w:rsidR="00EB4DCD" w:rsidRPr="00FC79BA">
        <w:rPr>
          <w:sz w:val="20"/>
          <w:szCs w:val="20"/>
        </w:rPr>
        <w:t>Commonwealth of Australia, Canberra, ACT.</w:t>
      </w:r>
      <w:proofErr w:type="gramEnd"/>
    </w:p>
    <w:p w14:paraId="60A4E54C" w14:textId="77777777" w:rsidR="00EB4DCD" w:rsidRPr="00FC79BA" w:rsidRDefault="00EB4DCD" w:rsidP="00EF628D">
      <w:pPr>
        <w:autoSpaceDE w:val="0"/>
        <w:autoSpaceDN w:val="0"/>
        <w:adjustRightInd w:val="0"/>
        <w:spacing w:before="0" w:after="0"/>
        <w:rPr>
          <w:rFonts w:cs="Humanist521BT-Roman"/>
          <w:color w:val="231F20"/>
          <w:sz w:val="20"/>
          <w:szCs w:val="20"/>
        </w:rPr>
      </w:pPr>
    </w:p>
    <w:p w14:paraId="30FD806F" w14:textId="77777777" w:rsidR="004C6CA6" w:rsidRPr="00183E4D" w:rsidRDefault="004C6CA6" w:rsidP="00DF343F">
      <w:pPr>
        <w:sectPr w:rsidR="004C6CA6" w:rsidRPr="00183E4D" w:rsidSect="0024526E">
          <w:headerReference w:type="even" r:id="rId13"/>
          <w:headerReference w:type="default" r:id="rId14"/>
          <w:footerReference w:type="even" r:id="rId15"/>
          <w:footerReference w:type="default" r:id="rId16"/>
          <w:headerReference w:type="first" r:id="rId17"/>
          <w:footerReference w:type="first" r:id="rId18"/>
          <w:type w:val="oddPage"/>
          <w:pgSz w:w="11907" w:h="16840" w:code="9"/>
          <w:pgMar w:top="1440" w:right="1440" w:bottom="1440" w:left="1440" w:header="578" w:footer="578" w:gutter="0"/>
          <w:pgNumType w:fmt="lowerRoman" w:start="1"/>
          <w:cols w:space="720"/>
          <w:noEndnote/>
          <w:titlePg/>
        </w:sectPr>
      </w:pPr>
    </w:p>
    <w:p w14:paraId="0834E46A" w14:textId="77777777" w:rsidR="008F59A8" w:rsidRPr="00D03A89" w:rsidRDefault="008F59A8" w:rsidP="00DF343F">
      <w:pPr>
        <w:pStyle w:val="Heading1"/>
        <w:rPr>
          <w:b w:val="0"/>
          <w:smallCaps w:val="0"/>
          <w:sz w:val="22"/>
        </w:rPr>
      </w:pPr>
      <w:bookmarkStart w:id="13" w:name="_Toc395200735"/>
      <w:bookmarkStart w:id="14" w:name="_Toc399247190"/>
      <w:bookmarkStart w:id="15" w:name="_Toc402884709"/>
      <w:bookmarkStart w:id="16" w:name="_Ref421189612"/>
      <w:bookmarkStart w:id="17" w:name="_Toc460395992"/>
      <w:r w:rsidRPr="00D03A89">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sdt>
      <w:sdtPr>
        <w:rPr>
          <w:b w:val="0"/>
          <w:noProof w:val="0"/>
        </w:rPr>
        <w:id w:val="-1664701443"/>
        <w:docPartObj>
          <w:docPartGallery w:val="Table of Contents"/>
          <w:docPartUnique/>
        </w:docPartObj>
      </w:sdtPr>
      <w:sdtEndPr>
        <w:rPr>
          <w:bCs/>
        </w:rPr>
      </w:sdtEndPr>
      <w:sdtContent>
        <w:p w14:paraId="2589C78D" w14:textId="3F8CCBC5" w:rsidR="00067BFA" w:rsidRDefault="00F81651" w:rsidP="00085DF0">
          <w:pPr>
            <w:pStyle w:val="TOC1"/>
            <w:spacing w:before="60" w:after="60"/>
            <w:rPr>
              <w:rFonts w:asciiTheme="minorHAnsi" w:eastAsiaTheme="minorEastAsia" w:hAnsiTheme="minorHAnsi" w:cstheme="minorBidi"/>
            </w:rPr>
          </w:pPr>
          <w:r>
            <w:fldChar w:fldCharType="begin"/>
          </w:r>
          <w:r>
            <w:instrText xml:space="preserve"> TOC \o "1-3" \h \z \u </w:instrText>
          </w:r>
          <w:r>
            <w:fldChar w:fldCharType="separate"/>
          </w:r>
          <w:hyperlink w:anchor="_Toc460395992" w:history="1">
            <w:r w:rsidR="00067BFA" w:rsidRPr="004A4B31">
              <w:rPr>
                <w:rStyle w:val="Hyperlink"/>
              </w:rPr>
              <w:t>Contents</w:t>
            </w:r>
            <w:r w:rsidR="00067BFA">
              <w:rPr>
                <w:webHidden/>
              </w:rPr>
              <w:tab/>
            </w:r>
            <w:r w:rsidR="00B16730">
              <w:rPr>
                <w:webHidden/>
              </w:rPr>
              <w:tab/>
            </w:r>
            <w:r w:rsidR="00067BFA">
              <w:rPr>
                <w:webHidden/>
              </w:rPr>
              <w:fldChar w:fldCharType="begin"/>
            </w:r>
            <w:r w:rsidR="00067BFA">
              <w:rPr>
                <w:webHidden/>
              </w:rPr>
              <w:instrText xml:space="preserve"> PAGEREF _Toc460395992 \h </w:instrText>
            </w:r>
            <w:r w:rsidR="00067BFA">
              <w:rPr>
                <w:webHidden/>
              </w:rPr>
            </w:r>
            <w:r w:rsidR="00067BFA">
              <w:rPr>
                <w:webHidden/>
              </w:rPr>
              <w:fldChar w:fldCharType="separate"/>
            </w:r>
            <w:r w:rsidR="00FE080A">
              <w:rPr>
                <w:webHidden/>
              </w:rPr>
              <w:t>v</w:t>
            </w:r>
            <w:r w:rsidR="00067BFA">
              <w:rPr>
                <w:webHidden/>
              </w:rPr>
              <w:fldChar w:fldCharType="end"/>
            </w:r>
          </w:hyperlink>
        </w:p>
        <w:p w14:paraId="31B92492" w14:textId="406CC0EE" w:rsidR="00067BFA" w:rsidRDefault="00EE58C4" w:rsidP="00085DF0">
          <w:pPr>
            <w:pStyle w:val="TOC2"/>
            <w:spacing w:before="60" w:after="60"/>
            <w:rPr>
              <w:rFonts w:asciiTheme="minorHAnsi" w:eastAsiaTheme="minorEastAsia" w:hAnsiTheme="minorHAnsi" w:cstheme="minorBidi"/>
            </w:rPr>
          </w:pPr>
          <w:hyperlink w:anchor="_Toc460395993" w:history="1">
            <w:r w:rsidR="00067BFA" w:rsidRPr="004A4B31">
              <w:rPr>
                <w:rStyle w:val="Hyperlink"/>
              </w:rPr>
              <w:t>Tables</w:t>
            </w:r>
            <w:r w:rsidR="00067BFA">
              <w:rPr>
                <w:webHidden/>
              </w:rPr>
              <w:tab/>
            </w:r>
            <w:r w:rsidR="00067BFA">
              <w:rPr>
                <w:webHidden/>
              </w:rPr>
              <w:fldChar w:fldCharType="begin"/>
            </w:r>
            <w:r w:rsidR="00067BFA">
              <w:rPr>
                <w:webHidden/>
              </w:rPr>
              <w:instrText xml:space="preserve"> PAGEREF _Toc460395993 \h </w:instrText>
            </w:r>
            <w:r w:rsidR="00067BFA">
              <w:rPr>
                <w:webHidden/>
              </w:rPr>
            </w:r>
            <w:r w:rsidR="00067BFA">
              <w:rPr>
                <w:webHidden/>
              </w:rPr>
              <w:fldChar w:fldCharType="separate"/>
            </w:r>
            <w:r w:rsidR="00FE080A">
              <w:rPr>
                <w:webHidden/>
              </w:rPr>
              <w:t>ix</w:t>
            </w:r>
            <w:r w:rsidR="00067BFA">
              <w:rPr>
                <w:webHidden/>
              </w:rPr>
              <w:fldChar w:fldCharType="end"/>
            </w:r>
          </w:hyperlink>
        </w:p>
        <w:p w14:paraId="26BCBF4B" w14:textId="0F73B884" w:rsidR="00067BFA" w:rsidRDefault="00EE58C4" w:rsidP="00085DF0">
          <w:pPr>
            <w:pStyle w:val="TOC2"/>
            <w:spacing w:before="60" w:after="60"/>
            <w:rPr>
              <w:rFonts w:asciiTheme="minorHAnsi" w:eastAsiaTheme="minorEastAsia" w:hAnsiTheme="minorHAnsi" w:cstheme="minorBidi"/>
            </w:rPr>
          </w:pPr>
          <w:hyperlink w:anchor="_Toc460395994" w:history="1">
            <w:r w:rsidR="00067BFA" w:rsidRPr="004A4B31">
              <w:rPr>
                <w:rStyle w:val="Hyperlink"/>
              </w:rPr>
              <w:t>Boxes</w:t>
            </w:r>
            <w:r w:rsidR="00067BFA">
              <w:rPr>
                <w:webHidden/>
              </w:rPr>
              <w:tab/>
            </w:r>
            <w:r w:rsidR="00AE437D">
              <w:rPr>
                <w:webHidden/>
              </w:rPr>
              <w:tab/>
            </w:r>
            <w:r w:rsidR="00067BFA">
              <w:rPr>
                <w:webHidden/>
              </w:rPr>
              <w:fldChar w:fldCharType="begin"/>
            </w:r>
            <w:r w:rsidR="00067BFA">
              <w:rPr>
                <w:webHidden/>
              </w:rPr>
              <w:instrText xml:space="preserve"> PAGEREF _Toc460395994 \h </w:instrText>
            </w:r>
            <w:r w:rsidR="00067BFA">
              <w:rPr>
                <w:webHidden/>
              </w:rPr>
            </w:r>
            <w:r w:rsidR="00067BFA">
              <w:rPr>
                <w:webHidden/>
              </w:rPr>
              <w:fldChar w:fldCharType="separate"/>
            </w:r>
            <w:r w:rsidR="00FE080A">
              <w:rPr>
                <w:webHidden/>
              </w:rPr>
              <w:t>xiii</w:t>
            </w:r>
            <w:r w:rsidR="00067BFA">
              <w:rPr>
                <w:webHidden/>
              </w:rPr>
              <w:fldChar w:fldCharType="end"/>
            </w:r>
          </w:hyperlink>
        </w:p>
        <w:p w14:paraId="32037A50" w14:textId="16D9AC94" w:rsidR="00067BFA" w:rsidRDefault="00EE58C4" w:rsidP="00085DF0">
          <w:pPr>
            <w:pStyle w:val="TOC2"/>
            <w:spacing w:before="60" w:after="60"/>
            <w:rPr>
              <w:rFonts w:asciiTheme="minorHAnsi" w:eastAsiaTheme="minorEastAsia" w:hAnsiTheme="minorHAnsi" w:cstheme="minorBidi"/>
            </w:rPr>
          </w:pPr>
          <w:hyperlink w:anchor="_Toc460395995" w:history="1">
            <w:r w:rsidR="00067BFA" w:rsidRPr="004A4B31">
              <w:rPr>
                <w:rStyle w:val="Hyperlink"/>
              </w:rPr>
              <w:t>Figures</w:t>
            </w:r>
            <w:r w:rsidR="00AE437D">
              <w:rPr>
                <w:rStyle w:val="Hyperlink"/>
              </w:rPr>
              <w:tab/>
            </w:r>
            <w:r w:rsidR="00067BFA">
              <w:rPr>
                <w:webHidden/>
              </w:rPr>
              <w:fldChar w:fldCharType="begin"/>
            </w:r>
            <w:r w:rsidR="00067BFA">
              <w:rPr>
                <w:webHidden/>
              </w:rPr>
              <w:instrText xml:space="preserve"> PAGEREF _Toc460395995 \h </w:instrText>
            </w:r>
            <w:r w:rsidR="00067BFA">
              <w:rPr>
                <w:webHidden/>
              </w:rPr>
            </w:r>
            <w:r w:rsidR="00067BFA">
              <w:rPr>
                <w:webHidden/>
              </w:rPr>
              <w:fldChar w:fldCharType="separate"/>
            </w:r>
            <w:r w:rsidR="00FE080A">
              <w:rPr>
                <w:webHidden/>
              </w:rPr>
              <w:t>xiv</w:t>
            </w:r>
            <w:r w:rsidR="00067BFA">
              <w:rPr>
                <w:webHidden/>
              </w:rPr>
              <w:fldChar w:fldCharType="end"/>
            </w:r>
          </w:hyperlink>
        </w:p>
        <w:p w14:paraId="4A780F47" w14:textId="77777777" w:rsidR="00067BFA" w:rsidRDefault="00EE58C4" w:rsidP="00085DF0">
          <w:pPr>
            <w:pStyle w:val="TOC1"/>
            <w:spacing w:before="60" w:after="60"/>
            <w:rPr>
              <w:rFonts w:asciiTheme="minorHAnsi" w:eastAsiaTheme="minorEastAsia" w:hAnsiTheme="minorHAnsi" w:cstheme="minorBidi"/>
            </w:rPr>
          </w:pPr>
          <w:hyperlink w:anchor="_Toc460395996" w:history="1">
            <w:r w:rsidR="00067BFA" w:rsidRPr="004A4B31">
              <w:rPr>
                <w:rStyle w:val="Hyperlink"/>
              </w:rPr>
              <w:t>Executive Summary</w:t>
            </w:r>
            <w:r w:rsidR="00067BFA">
              <w:rPr>
                <w:webHidden/>
              </w:rPr>
              <w:tab/>
            </w:r>
            <w:r w:rsidR="00067BFA">
              <w:rPr>
                <w:webHidden/>
              </w:rPr>
              <w:fldChar w:fldCharType="begin"/>
            </w:r>
            <w:r w:rsidR="00067BFA">
              <w:rPr>
                <w:webHidden/>
              </w:rPr>
              <w:instrText xml:space="preserve"> PAGEREF _Toc460395996 \h </w:instrText>
            </w:r>
            <w:r w:rsidR="00067BFA">
              <w:rPr>
                <w:webHidden/>
              </w:rPr>
            </w:r>
            <w:r w:rsidR="00067BFA">
              <w:rPr>
                <w:webHidden/>
              </w:rPr>
              <w:fldChar w:fldCharType="separate"/>
            </w:r>
            <w:r w:rsidR="00FE080A">
              <w:rPr>
                <w:webHidden/>
              </w:rPr>
              <w:t>1</w:t>
            </w:r>
            <w:r w:rsidR="00067BFA">
              <w:rPr>
                <w:webHidden/>
              </w:rPr>
              <w:fldChar w:fldCharType="end"/>
            </w:r>
          </w:hyperlink>
        </w:p>
        <w:p w14:paraId="7AEEE3D1" w14:textId="77777777" w:rsidR="00067BFA" w:rsidRDefault="00EE58C4" w:rsidP="00085DF0">
          <w:pPr>
            <w:pStyle w:val="TOC3"/>
            <w:spacing w:before="60" w:after="60"/>
            <w:ind w:left="993"/>
            <w:rPr>
              <w:rFonts w:asciiTheme="minorHAnsi" w:eastAsiaTheme="minorEastAsia" w:hAnsiTheme="minorHAnsi" w:cstheme="minorBidi"/>
            </w:rPr>
          </w:pPr>
          <w:hyperlink w:anchor="_Toc460395997" w:history="1">
            <w:r w:rsidR="00067BFA" w:rsidRPr="004A4B31">
              <w:rPr>
                <w:rStyle w:val="Hyperlink"/>
              </w:rPr>
              <w:t>Application 1403: microwave tissue ablation for primary and secondary lung cancer</w:t>
            </w:r>
            <w:r w:rsidR="00067BFA">
              <w:rPr>
                <w:webHidden/>
              </w:rPr>
              <w:tab/>
            </w:r>
            <w:r w:rsidR="00067BFA">
              <w:rPr>
                <w:webHidden/>
              </w:rPr>
              <w:fldChar w:fldCharType="begin"/>
            </w:r>
            <w:r w:rsidR="00067BFA">
              <w:rPr>
                <w:webHidden/>
              </w:rPr>
              <w:instrText xml:space="preserve"> PAGEREF _Toc460395997 \h </w:instrText>
            </w:r>
            <w:r w:rsidR="00067BFA">
              <w:rPr>
                <w:webHidden/>
              </w:rPr>
            </w:r>
            <w:r w:rsidR="00067BFA">
              <w:rPr>
                <w:webHidden/>
              </w:rPr>
              <w:fldChar w:fldCharType="separate"/>
            </w:r>
            <w:r w:rsidR="00FE080A">
              <w:rPr>
                <w:webHidden/>
              </w:rPr>
              <w:t>2</w:t>
            </w:r>
            <w:r w:rsidR="00067BFA">
              <w:rPr>
                <w:webHidden/>
              </w:rPr>
              <w:fldChar w:fldCharType="end"/>
            </w:r>
          </w:hyperlink>
        </w:p>
        <w:p w14:paraId="39A6BEA4" w14:textId="77777777" w:rsidR="00067BFA" w:rsidRDefault="00EE58C4" w:rsidP="00085DF0">
          <w:pPr>
            <w:pStyle w:val="TOC3"/>
            <w:spacing w:before="60" w:after="60"/>
            <w:ind w:left="993"/>
            <w:rPr>
              <w:rFonts w:asciiTheme="minorHAnsi" w:eastAsiaTheme="minorEastAsia" w:hAnsiTheme="minorHAnsi" w:cstheme="minorBidi"/>
            </w:rPr>
          </w:pPr>
          <w:hyperlink w:anchor="_Toc460395998" w:history="1">
            <w:r w:rsidR="00067BFA" w:rsidRPr="004A4B31">
              <w:rPr>
                <w:rStyle w:val="Hyperlink"/>
              </w:rPr>
              <w:t>Alignment with agreed protocol</w:t>
            </w:r>
            <w:r w:rsidR="00067BFA">
              <w:rPr>
                <w:webHidden/>
              </w:rPr>
              <w:tab/>
            </w:r>
            <w:r w:rsidR="00067BFA">
              <w:rPr>
                <w:webHidden/>
              </w:rPr>
              <w:fldChar w:fldCharType="begin"/>
            </w:r>
            <w:r w:rsidR="00067BFA">
              <w:rPr>
                <w:webHidden/>
              </w:rPr>
              <w:instrText xml:space="preserve"> PAGEREF _Toc460395998 \h </w:instrText>
            </w:r>
            <w:r w:rsidR="00067BFA">
              <w:rPr>
                <w:webHidden/>
              </w:rPr>
            </w:r>
            <w:r w:rsidR="00067BFA">
              <w:rPr>
                <w:webHidden/>
              </w:rPr>
              <w:fldChar w:fldCharType="separate"/>
            </w:r>
            <w:r w:rsidR="00FE080A">
              <w:rPr>
                <w:webHidden/>
              </w:rPr>
              <w:t>2</w:t>
            </w:r>
            <w:r w:rsidR="00067BFA">
              <w:rPr>
                <w:webHidden/>
              </w:rPr>
              <w:fldChar w:fldCharType="end"/>
            </w:r>
          </w:hyperlink>
        </w:p>
        <w:p w14:paraId="4CEC5AD7" w14:textId="77777777" w:rsidR="00067BFA" w:rsidRDefault="00EE58C4" w:rsidP="00085DF0">
          <w:pPr>
            <w:pStyle w:val="TOC3"/>
            <w:spacing w:before="60" w:after="60"/>
            <w:ind w:left="993"/>
            <w:rPr>
              <w:rFonts w:asciiTheme="minorHAnsi" w:eastAsiaTheme="minorEastAsia" w:hAnsiTheme="minorHAnsi" w:cstheme="minorBidi"/>
            </w:rPr>
          </w:pPr>
          <w:hyperlink w:anchor="_Toc460395999" w:history="1">
            <w:r w:rsidR="00067BFA" w:rsidRPr="004A4B31">
              <w:rPr>
                <w:rStyle w:val="Hyperlink"/>
              </w:rPr>
              <w:t>Proposed medical service</w:t>
            </w:r>
            <w:r w:rsidR="00067BFA">
              <w:rPr>
                <w:webHidden/>
              </w:rPr>
              <w:tab/>
            </w:r>
            <w:r w:rsidR="00067BFA">
              <w:rPr>
                <w:webHidden/>
              </w:rPr>
              <w:fldChar w:fldCharType="begin"/>
            </w:r>
            <w:r w:rsidR="00067BFA">
              <w:rPr>
                <w:webHidden/>
              </w:rPr>
              <w:instrText xml:space="preserve"> PAGEREF _Toc460395999 \h </w:instrText>
            </w:r>
            <w:r w:rsidR="00067BFA">
              <w:rPr>
                <w:webHidden/>
              </w:rPr>
            </w:r>
            <w:r w:rsidR="00067BFA">
              <w:rPr>
                <w:webHidden/>
              </w:rPr>
              <w:fldChar w:fldCharType="separate"/>
            </w:r>
            <w:r w:rsidR="00FE080A">
              <w:rPr>
                <w:webHidden/>
              </w:rPr>
              <w:t>2</w:t>
            </w:r>
            <w:r w:rsidR="00067BFA">
              <w:rPr>
                <w:webHidden/>
              </w:rPr>
              <w:fldChar w:fldCharType="end"/>
            </w:r>
          </w:hyperlink>
        </w:p>
        <w:p w14:paraId="2265CBF7" w14:textId="77777777" w:rsidR="00067BFA" w:rsidRDefault="00EE58C4" w:rsidP="00085DF0">
          <w:pPr>
            <w:pStyle w:val="TOC3"/>
            <w:spacing w:before="60" w:after="60"/>
            <w:ind w:left="993"/>
            <w:rPr>
              <w:rFonts w:asciiTheme="minorHAnsi" w:eastAsiaTheme="minorEastAsia" w:hAnsiTheme="minorHAnsi" w:cstheme="minorBidi"/>
            </w:rPr>
          </w:pPr>
          <w:hyperlink w:anchor="_Toc460396000" w:history="1">
            <w:r w:rsidR="00067BFA" w:rsidRPr="004A4B31">
              <w:rPr>
                <w:rStyle w:val="Hyperlink"/>
              </w:rPr>
              <w:t>Proposal for public funding</w:t>
            </w:r>
            <w:r w:rsidR="00067BFA">
              <w:rPr>
                <w:webHidden/>
              </w:rPr>
              <w:tab/>
            </w:r>
            <w:r w:rsidR="00067BFA">
              <w:rPr>
                <w:webHidden/>
              </w:rPr>
              <w:fldChar w:fldCharType="begin"/>
            </w:r>
            <w:r w:rsidR="00067BFA">
              <w:rPr>
                <w:webHidden/>
              </w:rPr>
              <w:instrText xml:space="preserve"> PAGEREF _Toc460396000 \h </w:instrText>
            </w:r>
            <w:r w:rsidR="00067BFA">
              <w:rPr>
                <w:webHidden/>
              </w:rPr>
            </w:r>
            <w:r w:rsidR="00067BFA">
              <w:rPr>
                <w:webHidden/>
              </w:rPr>
              <w:fldChar w:fldCharType="separate"/>
            </w:r>
            <w:r w:rsidR="00FE080A">
              <w:rPr>
                <w:webHidden/>
              </w:rPr>
              <w:t>2</w:t>
            </w:r>
            <w:r w:rsidR="00067BFA">
              <w:rPr>
                <w:webHidden/>
              </w:rPr>
              <w:fldChar w:fldCharType="end"/>
            </w:r>
          </w:hyperlink>
        </w:p>
        <w:p w14:paraId="364E7EC0" w14:textId="77777777" w:rsidR="00067BFA" w:rsidRDefault="00EE58C4" w:rsidP="00085DF0">
          <w:pPr>
            <w:pStyle w:val="TOC3"/>
            <w:spacing w:before="60" w:after="60"/>
            <w:ind w:left="993"/>
            <w:rPr>
              <w:rFonts w:asciiTheme="minorHAnsi" w:eastAsiaTheme="minorEastAsia" w:hAnsiTheme="minorHAnsi" w:cstheme="minorBidi"/>
            </w:rPr>
          </w:pPr>
          <w:hyperlink w:anchor="_Toc460396001" w:history="1">
            <w:r w:rsidR="00067BFA" w:rsidRPr="004A4B31">
              <w:rPr>
                <w:rStyle w:val="Hyperlink"/>
              </w:rPr>
              <w:t>Proposed population(s)</w:t>
            </w:r>
            <w:r w:rsidR="00067BFA">
              <w:rPr>
                <w:webHidden/>
              </w:rPr>
              <w:tab/>
            </w:r>
            <w:r w:rsidR="00067BFA">
              <w:rPr>
                <w:webHidden/>
              </w:rPr>
              <w:fldChar w:fldCharType="begin"/>
            </w:r>
            <w:r w:rsidR="00067BFA">
              <w:rPr>
                <w:webHidden/>
              </w:rPr>
              <w:instrText xml:space="preserve"> PAGEREF _Toc460396001 \h </w:instrText>
            </w:r>
            <w:r w:rsidR="00067BFA">
              <w:rPr>
                <w:webHidden/>
              </w:rPr>
            </w:r>
            <w:r w:rsidR="00067BFA">
              <w:rPr>
                <w:webHidden/>
              </w:rPr>
              <w:fldChar w:fldCharType="separate"/>
            </w:r>
            <w:r w:rsidR="00FE080A">
              <w:rPr>
                <w:webHidden/>
              </w:rPr>
              <w:t>3</w:t>
            </w:r>
            <w:r w:rsidR="00067BFA">
              <w:rPr>
                <w:webHidden/>
              </w:rPr>
              <w:fldChar w:fldCharType="end"/>
            </w:r>
          </w:hyperlink>
        </w:p>
        <w:p w14:paraId="7C61522E" w14:textId="77777777" w:rsidR="00067BFA" w:rsidRDefault="00EE58C4" w:rsidP="00085DF0">
          <w:pPr>
            <w:pStyle w:val="TOC3"/>
            <w:spacing w:before="60" w:after="60"/>
            <w:ind w:left="993"/>
            <w:rPr>
              <w:rFonts w:asciiTheme="minorHAnsi" w:eastAsiaTheme="minorEastAsia" w:hAnsiTheme="minorHAnsi" w:cstheme="minorBidi"/>
            </w:rPr>
          </w:pPr>
          <w:hyperlink w:anchor="_Toc460396002" w:history="1">
            <w:r w:rsidR="00067BFA" w:rsidRPr="004A4B31">
              <w:rPr>
                <w:rStyle w:val="Hyperlink"/>
              </w:rPr>
              <w:t>Comparator details</w:t>
            </w:r>
            <w:r w:rsidR="00067BFA">
              <w:rPr>
                <w:webHidden/>
              </w:rPr>
              <w:tab/>
            </w:r>
            <w:r w:rsidR="00067BFA">
              <w:rPr>
                <w:webHidden/>
              </w:rPr>
              <w:fldChar w:fldCharType="begin"/>
            </w:r>
            <w:r w:rsidR="00067BFA">
              <w:rPr>
                <w:webHidden/>
              </w:rPr>
              <w:instrText xml:space="preserve"> PAGEREF _Toc460396002 \h </w:instrText>
            </w:r>
            <w:r w:rsidR="00067BFA">
              <w:rPr>
                <w:webHidden/>
              </w:rPr>
            </w:r>
            <w:r w:rsidR="00067BFA">
              <w:rPr>
                <w:webHidden/>
              </w:rPr>
              <w:fldChar w:fldCharType="separate"/>
            </w:r>
            <w:r w:rsidR="00FE080A">
              <w:rPr>
                <w:webHidden/>
              </w:rPr>
              <w:t>4</w:t>
            </w:r>
            <w:r w:rsidR="00067BFA">
              <w:rPr>
                <w:webHidden/>
              </w:rPr>
              <w:fldChar w:fldCharType="end"/>
            </w:r>
          </w:hyperlink>
        </w:p>
        <w:p w14:paraId="3C9AA506" w14:textId="77777777" w:rsidR="00067BFA" w:rsidRDefault="00EE58C4" w:rsidP="00085DF0">
          <w:pPr>
            <w:pStyle w:val="TOC3"/>
            <w:spacing w:before="60" w:after="60"/>
            <w:ind w:left="993"/>
            <w:rPr>
              <w:rFonts w:asciiTheme="minorHAnsi" w:eastAsiaTheme="minorEastAsia" w:hAnsiTheme="minorHAnsi" w:cstheme="minorBidi"/>
            </w:rPr>
          </w:pPr>
          <w:hyperlink w:anchor="_Toc460396003" w:history="1">
            <w:r w:rsidR="00067BFA" w:rsidRPr="004A4B31">
              <w:rPr>
                <w:rStyle w:val="Hyperlink"/>
              </w:rPr>
              <w:t>Clinical management algorithm(s)</w:t>
            </w:r>
            <w:r w:rsidR="00067BFA">
              <w:rPr>
                <w:webHidden/>
              </w:rPr>
              <w:tab/>
            </w:r>
            <w:r w:rsidR="00067BFA">
              <w:rPr>
                <w:webHidden/>
              </w:rPr>
              <w:fldChar w:fldCharType="begin"/>
            </w:r>
            <w:r w:rsidR="00067BFA">
              <w:rPr>
                <w:webHidden/>
              </w:rPr>
              <w:instrText xml:space="preserve"> PAGEREF _Toc460396003 \h </w:instrText>
            </w:r>
            <w:r w:rsidR="00067BFA">
              <w:rPr>
                <w:webHidden/>
              </w:rPr>
            </w:r>
            <w:r w:rsidR="00067BFA">
              <w:rPr>
                <w:webHidden/>
              </w:rPr>
              <w:fldChar w:fldCharType="separate"/>
            </w:r>
            <w:r w:rsidR="00FE080A">
              <w:rPr>
                <w:webHidden/>
              </w:rPr>
              <w:t>4</w:t>
            </w:r>
            <w:r w:rsidR="00067BFA">
              <w:rPr>
                <w:webHidden/>
              </w:rPr>
              <w:fldChar w:fldCharType="end"/>
            </w:r>
          </w:hyperlink>
        </w:p>
        <w:p w14:paraId="13B9A9D4" w14:textId="77777777" w:rsidR="00067BFA" w:rsidRDefault="00EE58C4" w:rsidP="00085DF0">
          <w:pPr>
            <w:pStyle w:val="TOC3"/>
            <w:spacing w:before="60" w:after="60"/>
            <w:ind w:left="993"/>
            <w:rPr>
              <w:rFonts w:asciiTheme="minorHAnsi" w:eastAsiaTheme="minorEastAsia" w:hAnsiTheme="minorHAnsi" w:cstheme="minorBidi"/>
            </w:rPr>
          </w:pPr>
          <w:hyperlink w:anchor="_Toc460396004" w:history="1">
            <w:r w:rsidR="00067BFA" w:rsidRPr="004A4B31">
              <w:rPr>
                <w:rStyle w:val="Hyperlink"/>
              </w:rPr>
              <w:t>Key differences in the delivery of the proposed medical service and the main comparator</w:t>
            </w:r>
            <w:r w:rsidR="00067BFA">
              <w:rPr>
                <w:webHidden/>
              </w:rPr>
              <w:tab/>
            </w:r>
            <w:r w:rsidR="00067BFA">
              <w:rPr>
                <w:webHidden/>
              </w:rPr>
              <w:fldChar w:fldCharType="begin"/>
            </w:r>
            <w:r w:rsidR="00067BFA">
              <w:rPr>
                <w:webHidden/>
              </w:rPr>
              <w:instrText xml:space="preserve"> PAGEREF _Toc460396004 \h </w:instrText>
            </w:r>
            <w:r w:rsidR="00067BFA">
              <w:rPr>
                <w:webHidden/>
              </w:rPr>
            </w:r>
            <w:r w:rsidR="00067BFA">
              <w:rPr>
                <w:webHidden/>
              </w:rPr>
              <w:fldChar w:fldCharType="separate"/>
            </w:r>
            <w:r w:rsidR="00FE080A">
              <w:rPr>
                <w:webHidden/>
              </w:rPr>
              <w:t>4</w:t>
            </w:r>
            <w:r w:rsidR="00067BFA">
              <w:rPr>
                <w:webHidden/>
              </w:rPr>
              <w:fldChar w:fldCharType="end"/>
            </w:r>
          </w:hyperlink>
        </w:p>
        <w:p w14:paraId="54B4EAE7" w14:textId="77777777" w:rsidR="00067BFA" w:rsidRDefault="00EE58C4" w:rsidP="00085DF0">
          <w:pPr>
            <w:pStyle w:val="TOC3"/>
            <w:spacing w:before="60" w:after="60"/>
            <w:ind w:left="993"/>
            <w:rPr>
              <w:rFonts w:asciiTheme="minorHAnsi" w:eastAsiaTheme="minorEastAsia" w:hAnsiTheme="minorHAnsi" w:cstheme="minorBidi"/>
            </w:rPr>
          </w:pPr>
          <w:hyperlink w:anchor="_Toc460396005" w:history="1">
            <w:r w:rsidR="00067BFA" w:rsidRPr="004A4B31">
              <w:rPr>
                <w:rStyle w:val="Hyperlink"/>
              </w:rPr>
              <w:t>Clinical claim</w:t>
            </w:r>
            <w:r w:rsidR="00067BFA">
              <w:rPr>
                <w:webHidden/>
              </w:rPr>
              <w:tab/>
            </w:r>
            <w:r w:rsidR="00067BFA">
              <w:rPr>
                <w:webHidden/>
              </w:rPr>
              <w:fldChar w:fldCharType="begin"/>
            </w:r>
            <w:r w:rsidR="00067BFA">
              <w:rPr>
                <w:webHidden/>
              </w:rPr>
              <w:instrText xml:space="preserve"> PAGEREF _Toc460396005 \h </w:instrText>
            </w:r>
            <w:r w:rsidR="00067BFA">
              <w:rPr>
                <w:webHidden/>
              </w:rPr>
            </w:r>
            <w:r w:rsidR="00067BFA">
              <w:rPr>
                <w:webHidden/>
              </w:rPr>
              <w:fldChar w:fldCharType="separate"/>
            </w:r>
            <w:r w:rsidR="00FE080A">
              <w:rPr>
                <w:webHidden/>
              </w:rPr>
              <w:t>5</w:t>
            </w:r>
            <w:r w:rsidR="00067BFA">
              <w:rPr>
                <w:webHidden/>
              </w:rPr>
              <w:fldChar w:fldCharType="end"/>
            </w:r>
          </w:hyperlink>
        </w:p>
        <w:p w14:paraId="3BA4854C" w14:textId="77777777" w:rsidR="00067BFA" w:rsidRDefault="00EE58C4" w:rsidP="00085DF0">
          <w:pPr>
            <w:pStyle w:val="TOC3"/>
            <w:spacing w:before="60" w:after="60"/>
            <w:ind w:left="993"/>
            <w:rPr>
              <w:rFonts w:asciiTheme="minorHAnsi" w:eastAsiaTheme="minorEastAsia" w:hAnsiTheme="minorHAnsi" w:cstheme="minorBidi"/>
            </w:rPr>
          </w:pPr>
          <w:hyperlink w:anchor="_Toc460396006" w:history="1">
            <w:r w:rsidR="00067BFA" w:rsidRPr="004A4B31">
              <w:rPr>
                <w:rStyle w:val="Hyperlink"/>
              </w:rPr>
              <w:t>Approach taken to the evidence assessment</w:t>
            </w:r>
            <w:r w:rsidR="00067BFA">
              <w:rPr>
                <w:webHidden/>
              </w:rPr>
              <w:tab/>
            </w:r>
            <w:r w:rsidR="00067BFA">
              <w:rPr>
                <w:webHidden/>
              </w:rPr>
              <w:fldChar w:fldCharType="begin"/>
            </w:r>
            <w:r w:rsidR="00067BFA">
              <w:rPr>
                <w:webHidden/>
              </w:rPr>
              <w:instrText xml:space="preserve"> PAGEREF _Toc460396006 \h </w:instrText>
            </w:r>
            <w:r w:rsidR="00067BFA">
              <w:rPr>
                <w:webHidden/>
              </w:rPr>
            </w:r>
            <w:r w:rsidR="00067BFA">
              <w:rPr>
                <w:webHidden/>
              </w:rPr>
              <w:fldChar w:fldCharType="separate"/>
            </w:r>
            <w:r w:rsidR="00FE080A">
              <w:rPr>
                <w:webHidden/>
              </w:rPr>
              <w:t>5</w:t>
            </w:r>
            <w:r w:rsidR="00067BFA">
              <w:rPr>
                <w:webHidden/>
              </w:rPr>
              <w:fldChar w:fldCharType="end"/>
            </w:r>
          </w:hyperlink>
        </w:p>
        <w:p w14:paraId="319A853C" w14:textId="77777777" w:rsidR="00067BFA" w:rsidRDefault="00EE58C4" w:rsidP="00085DF0">
          <w:pPr>
            <w:pStyle w:val="TOC3"/>
            <w:spacing w:before="60" w:after="60"/>
            <w:ind w:left="993"/>
            <w:rPr>
              <w:rFonts w:asciiTheme="minorHAnsi" w:eastAsiaTheme="minorEastAsia" w:hAnsiTheme="minorHAnsi" w:cstheme="minorBidi"/>
            </w:rPr>
          </w:pPr>
          <w:hyperlink w:anchor="_Toc460396007" w:history="1">
            <w:r w:rsidR="00067BFA" w:rsidRPr="004A4B31">
              <w:rPr>
                <w:rStyle w:val="Hyperlink"/>
              </w:rPr>
              <w:t>Characteristics of the evidence base</w:t>
            </w:r>
            <w:r w:rsidR="00067BFA">
              <w:rPr>
                <w:webHidden/>
              </w:rPr>
              <w:tab/>
            </w:r>
            <w:r w:rsidR="00067BFA">
              <w:rPr>
                <w:webHidden/>
              </w:rPr>
              <w:fldChar w:fldCharType="begin"/>
            </w:r>
            <w:r w:rsidR="00067BFA">
              <w:rPr>
                <w:webHidden/>
              </w:rPr>
              <w:instrText xml:space="preserve"> PAGEREF _Toc460396007 \h </w:instrText>
            </w:r>
            <w:r w:rsidR="00067BFA">
              <w:rPr>
                <w:webHidden/>
              </w:rPr>
            </w:r>
            <w:r w:rsidR="00067BFA">
              <w:rPr>
                <w:webHidden/>
              </w:rPr>
              <w:fldChar w:fldCharType="separate"/>
            </w:r>
            <w:r w:rsidR="00FE080A">
              <w:rPr>
                <w:webHidden/>
              </w:rPr>
              <w:t>7</w:t>
            </w:r>
            <w:r w:rsidR="00067BFA">
              <w:rPr>
                <w:webHidden/>
              </w:rPr>
              <w:fldChar w:fldCharType="end"/>
            </w:r>
          </w:hyperlink>
        </w:p>
        <w:p w14:paraId="0FF6135C" w14:textId="77777777" w:rsidR="00067BFA" w:rsidRDefault="00EE58C4" w:rsidP="00085DF0">
          <w:pPr>
            <w:pStyle w:val="TOC3"/>
            <w:spacing w:before="60" w:after="60"/>
            <w:ind w:left="993"/>
            <w:rPr>
              <w:rFonts w:asciiTheme="minorHAnsi" w:eastAsiaTheme="minorEastAsia" w:hAnsiTheme="minorHAnsi" w:cstheme="minorBidi"/>
            </w:rPr>
          </w:pPr>
          <w:hyperlink w:anchor="_Toc460396008" w:history="1">
            <w:r w:rsidR="00067BFA" w:rsidRPr="004A4B31">
              <w:rPr>
                <w:rStyle w:val="Hyperlink"/>
              </w:rPr>
              <w:t>Results</w:t>
            </w:r>
            <w:r w:rsidR="00067BFA">
              <w:rPr>
                <w:webHidden/>
              </w:rPr>
              <w:tab/>
            </w:r>
            <w:r w:rsidR="00067BFA">
              <w:rPr>
                <w:webHidden/>
              </w:rPr>
              <w:fldChar w:fldCharType="begin"/>
            </w:r>
            <w:r w:rsidR="00067BFA">
              <w:rPr>
                <w:webHidden/>
              </w:rPr>
              <w:instrText xml:space="preserve"> PAGEREF _Toc460396008 \h </w:instrText>
            </w:r>
            <w:r w:rsidR="00067BFA">
              <w:rPr>
                <w:webHidden/>
              </w:rPr>
            </w:r>
            <w:r w:rsidR="00067BFA">
              <w:rPr>
                <w:webHidden/>
              </w:rPr>
              <w:fldChar w:fldCharType="separate"/>
            </w:r>
            <w:r w:rsidR="00FE080A">
              <w:rPr>
                <w:webHidden/>
              </w:rPr>
              <w:t>8</w:t>
            </w:r>
            <w:r w:rsidR="00067BFA">
              <w:rPr>
                <w:webHidden/>
              </w:rPr>
              <w:fldChar w:fldCharType="end"/>
            </w:r>
          </w:hyperlink>
        </w:p>
        <w:p w14:paraId="6E516B9D" w14:textId="77777777" w:rsidR="00067BFA" w:rsidRDefault="00EE58C4" w:rsidP="00085DF0">
          <w:pPr>
            <w:pStyle w:val="TOC3"/>
            <w:spacing w:before="60" w:after="60"/>
            <w:ind w:left="993"/>
            <w:rPr>
              <w:rFonts w:asciiTheme="minorHAnsi" w:eastAsiaTheme="minorEastAsia" w:hAnsiTheme="minorHAnsi" w:cstheme="minorBidi"/>
            </w:rPr>
          </w:pPr>
          <w:hyperlink w:anchor="_Toc460396009" w:history="1">
            <w:r w:rsidR="00067BFA" w:rsidRPr="004A4B31">
              <w:rPr>
                <w:rStyle w:val="Hyperlink"/>
              </w:rPr>
              <w:t>Summary of the clinical evidence</w:t>
            </w:r>
            <w:r w:rsidR="00067BFA">
              <w:rPr>
                <w:webHidden/>
              </w:rPr>
              <w:tab/>
            </w:r>
            <w:r w:rsidR="00067BFA">
              <w:rPr>
                <w:webHidden/>
              </w:rPr>
              <w:fldChar w:fldCharType="begin"/>
            </w:r>
            <w:r w:rsidR="00067BFA">
              <w:rPr>
                <w:webHidden/>
              </w:rPr>
              <w:instrText xml:space="preserve"> PAGEREF _Toc460396009 \h </w:instrText>
            </w:r>
            <w:r w:rsidR="00067BFA">
              <w:rPr>
                <w:webHidden/>
              </w:rPr>
            </w:r>
            <w:r w:rsidR="00067BFA">
              <w:rPr>
                <w:webHidden/>
              </w:rPr>
              <w:fldChar w:fldCharType="separate"/>
            </w:r>
            <w:r w:rsidR="00FE080A">
              <w:rPr>
                <w:webHidden/>
              </w:rPr>
              <w:t>17</w:t>
            </w:r>
            <w:r w:rsidR="00067BFA">
              <w:rPr>
                <w:webHidden/>
              </w:rPr>
              <w:fldChar w:fldCharType="end"/>
            </w:r>
          </w:hyperlink>
        </w:p>
        <w:p w14:paraId="449A52E8" w14:textId="77777777" w:rsidR="00067BFA" w:rsidRDefault="00EE58C4" w:rsidP="00085DF0">
          <w:pPr>
            <w:pStyle w:val="TOC3"/>
            <w:spacing w:before="60" w:after="60"/>
            <w:ind w:left="993"/>
            <w:rPr>
              <w:rFonts w:asciiTheme="minorHAnsi" w:eastAsiaTheme="minorEastAsia" w:hAnsiTheme="minorHAnsi" w:cstheme="minorBidi"/>
            </w:rPr>
          </w:pPr>
          <w:hyperlink w:anchor="_Toc460396010" w:history="1">
            <w:r w:rsidR="00067BFA" w:rsidRPr="004A4B31">
              <w:rPr>
                <w:rStyle w:val="Hyperlink"/>
              </w:rPr>
              <w:t>Translation issues</w:t>
            </w:r>
            <w:r w:rsidR="00067BFA">
              <w:rPr>
                <w:webHidden/>
              </w:rPr>
              <w:tab/>
            </w:r>
            <w:r w:rsidR="00067BFA">
              <w:rPr>
                <w:webHidden/>
              </w:rPr>
              <w:fldChar w:fldCharType="begin"/>
            </w:r>
            <w:r w:rsidR="00067BFA">
              <w:rPr>
                <w:webHidden/>
              </w:rPr>
              <w:instrText xml:space="preserve"> PAGEREF _Toc460396010 \h </w:instrText>
            </w:r>
            <w:r w:rsidR="00067BFA">
              <w:rPr>
                <w:webHidden/>
              </w:rPr>
            </w:r>
            <w:r w:rsidR="00067BFA">
              <w:rPr>
                <w:webHidden/>
              </w:rPr>
              <w:fldChar w:fldCharType="separate"/>
            </w:r>
            <w:r w:rsidR="00FE080A">
              <w:rPr>
                <w:webHidden/>
              </w:rPr>
              <w:t>17</w:t>
            </w:r>
            <w:r w:rsidR="00067BFA">
              <w:rPr>
                <w:webHidden/>
              </w:rPr>
              <w:fldChar w:fldCharType="end"/>
            </w:r>
          </w:hyperlink>
        </w:p>
        <w:p w14:paraId="6F6B6545" w14:textId="77777777" w:rsidR="00067BFA" w:rsidRDefault="00EE58C4" w:rsidP="00085DF0">
          <w:pPr>
            <w:pStyle w:val="TOC3"/>
            <w:spacing w:before="60" w:after="60"/>
            <w:ind w:left="993"/>
            <w:rPr>
              <w:rFonts w:asciiTheme="minorHAnsi" w:eastAsiaTheme="minorEastAsia" w:hAnsiTheme="minorHAnsi" w:cstheme="minorBidi"/>
            </w:rPr>
          </w:pPr>
          <w:hyperlink w:anchor="_Toc460396011" w:history="1">
            <w:r w:rsidR="00067BFA" w:rsidRPr="004A4B31">
              <w:rPr>
                <w:rStyle w:val="Hyperlink"/>
              </w:rPr>
              <w:t>Economic evaluation</w:t>
            </w:r>
            <w:r w:rsidR="00067BFA">
              <w:rPr>
                <w:webHidden/>
              </w:rPr>
              <w:tab/>
            </w:r>
            <w:r w:rsidR="00067BFA">
              <w:rPr>
                <w:webHidden/>
              </w:rPr>
              <w:fldChar w:fldCharType="begin"/>
            </w:r>
            <w:r w:rsidR="00067BFA">
              <w:rPr>
                <w:webHidden/>
              </w:rPr>
              <w:instrText xml:space="preserve"> PAGEREF _Toc460396011 \h </w:instrText>
            </w:r>
            <w:r w:rsidR="00067BFA">
              <w:rPr>
                <w:webHidden/>
              </w:rPr>
            </w:r>
            <w:r w:rsidR="00067BFA">
              <w:rPr>
                <w:webHidden/>
              </w:rPr>
              <w:fldChar w:fldCharType="separate"/>
            </w:r>
            <w:r w:rsidR="00FE080A">
              <w:rPr>
                <w:webHidden/>
              </w:rPr>
              <w:t>17</w:t>
            </w:r>
            <w:r w:rsidR="00067BFA">
              <w:rPr>
                <w:webHidden/>
              </w:rPr>
              <w:fldChar w:fldCharType="end"/>
            </w:r>
          </w:hyperlink>
        </w:p>
        <w:p w14:paraId="061903DA" w14:textId="77777777" w:rsidR="00067BFA" w:rsidRDefault="00EE58C4" w:rsidP="00085DF0">
          <w:pPr>
            <w:pStyle w:val="TOC3"/>
            <w:spacing w:before="60" w:after="60"/>
            <w:rPr>
              <w:rFonts w:asciiTheme="minorHAnsi" w:eastAsiaTheme="minorEastAsia" w:hAnsiTheme="minorHAnsi" w:cstheme="minorBidi"/>
            </w:rPr>
          </w:pPr>
          <w:hyperlink w:anchor="_Toc460396012" w:history="1">
            <w:r w:rsidR="00067BFA" w:rsidRPr="004A4B31">
              <w:rPr>
                <w:rStyle w:val="Hyperlink"/>
              </w:rPr>
              <w:t>Estimated extent of use and financial implications</w:t>
            </w:r>
            <w:r w:rsidR="00067BFA">
              <w:rPr>
                <w:webHidden/>
              </w:rPr>
              <w:tab/>
            </w:r>
            <w:r w:rsidR="00067BFA">
              <w:rPr>
                <w:webHidden/>
              </w:rPr>
              <w:fldChar w:fldCharType="begin"/>
            </w:r>
            <w:r w:rsidR="00067BFA">
              <w:rPr>
                <w:webHidden/>
              </w:rPr>
              <w:instrText xml:space="preserve"> PAGEREF _Toc460396012 \h </w:instrText>
            </w:r>
            <w:r w:rsidR="00067BFA">
              <w:rPr>
                <w:webHidden/>
              </w:rPr>
            </w:r>
            <w:r w:rsidR="00067BFA">
              <w:rPr>
                <w:webHidden/>
              </w:rPr>
              <w:fldChar w:fldCharType="separate"/>
            </w:r>
            <w:r w:rsidR="00FE080A">
              <w:rPr>
                <w:webHidden/>
              </w:rPr>
              <w:t>19</w:t>
            </w:r>
            <w:r w:rsidR="00067BFA">
              <w:rPr>
                <w:webHidden/>
              </w:rPr>
              <w:fldChar w:fldCharType="end"/>
            </w:r>
          </w:hyperlink>
        </w:p>
        <w:p w14:paraId="08B5785F" w14:textId="77777777" w:rsidR="00067BFA" w:rsidRDefault="00EE58C4" w:rsidP="00085DF0">
          <w:pPr>
            <w:pStyle w:val="TOC1"/>
            <w:spacing w:before="60" w:after="60"/>
            <w:rPr>
              <w:rFonts w:asciiTheme="minorHAnsi" w:eastAsiaTheme="minorEastAsia" w:hAnsiTheme="minorHAnsi" w:cstheme="minorBidi"/>
            </w:rPr>
          </w:pPr>
          <w:hyperlink w:anchor="_Toc460396013" w:history="1">
            <w:r w:rsidR="00067BFA" w:rsidRPr="004A4B31">
              <w:rPr>
                <w:rStyle w:val="Hyperlink"/>
              </w:rPr>
              <w:t>Acronyms and Abbreviations</w:t>
            </w:r>
            <w:r w:rsidR="00067BFA">
              <w:rPr>
                <w:webHidden/>
              </w:rPr>
              <w:tab/>
            </w:r>
            <w:r w:rsidR="00067BFA">
              <w:rPr>
                <w:webHidden/>
              </w:rPr>
              <w:fldChar w:fldCharType="begin"/>
            </w:r>
            <w:r w:rsidR="00067BFA">
              <w:rPr>
                <w:webHidden/>
              </w:rPr>
              <w:instrText xml:space="preserve"> PAGEREF _Toc460396013 \h </w:instrText>
            </w:r>
            <w:r w:rsidR="00067BFA">
              <w:rPr>
                <w:webHidden/>
              </w:rPr>
            </w:r>
            <w:r w:rsidR="00067BFA">
              <w:rPr>
                <w:webHidden/>
              </w:rPr>
              <w:fldChar w:fldCharType="separate"/>
            </w:r>
            <w:r w:rsidR="00FE080A">
              <w:rPr>
                <w:webHidden/>
              </w:rPr>
              <w:t>22</w:t>
            </w:r>
            <w:r w:rsidR="00067BFA">
              <w:rPr>
                <w:webHidden/>
              </w:rPr>
              <w:fldChar w:fldCharType="end"/>
            </w:r>
          </w:hyperlink>
        </w:p>
        <w:p w14:paraId="34D79480" w14:textId="385B93C2" w:rsidR="00067BFA" w:rsidRDefault="00EE58C4" w:rsidP="00085DF0">
          <w:pPr>
            <w:pStyle w:val="TOC1"/>
            <w:spacing w:before="60" w:after="60"/>
            <w:rPr>
              <w:rFonts w:asciiTheme="minorHAnsi" w:eastAsiaTheme="minorEastAsia" w:hAnsiTheme="minorHAnsi" w:cstheme="minorBidi"/>
            </w:rPr>
          </w:pPr>
          <w:hyperlink w:anchor="_Toc460396014" w:history="1">
            <w:r w:rsidR="00067BFA" w:rsidRPr="004A4B31">
              <w:rPr>
                <w:rStyle w:val="Hyperlink"/>
              </w:rPr>
              <w:t>Section A</w:t>
            </w:r>
            <w:r w:rsidR="00067BFA">
              <w:rPr>
                <w:rFonts w:asciiTheme="minorHAnsi" w:eastAsiaTheme="minorEastAsia" w:hAnsiTheme="minorHAnsi" w:cstheme="minorBidi"/>
              </w:rPr>
              <w:tab/>
            </w:r>
            <w:r w:rsidR="00067BFA" w:rsidRPr="004A4B31">
              <w:rPr>
                <w:rStyle w:val="Hyperlink"/>
              </w:rPr>
              <w:t>Context</w:t>
            </w:r>
            <w:r w:rsidR="00067BFA">
              <w:rPr>
                <w:webHidden/>
              </w:rPr>
              <w:tab/>
            </w:r>
            <w:r w:rsidR="00067BFA">
              <w:rPr>
                <w:webHidden/>
              </w:rPr>
              <w:fldChar w:fldCharType="begin"/>
            </w:r>
            <w:r w:rsidR="00067BFA">
              <w:rPr>
                <w:webHidden/>
              </w:rPr>
              <w:instrText xml:space="preserve"> PAGEREF _Toc460396014 \h </w:instrText>
            </w:r>
            <w:r w:rsidR="00067BFA">
              <w:rPr>
                <w:webHidden/>
              </w:rPr>
            </w:r>
            <w:r w:rsidR="00067BFA">
              <w:rPr>
                <w:webHidden/>
              </w:rPr>
              <w:fldChar w:fldCharType="separate"/>
            </w:r>
            <w:r w:rsidR="00FE080A">
              <w:rPr>
                <w:webHidden/>
              </w:rPr>
              <w:t>25</w:t>
            </w:r>
            <w:r w:rsidR="00067BFA">
              <w:rPr>
                <w:webHidden/>
              </w:rPr>
              <w:fldChar w:fldCharType="end"/>
            </w:r>
          </w:hyperlink>
        </w:p>
        <w:p w14:paraId="4D68D0FC" w14:textId="77777777" w:rsidR="00067BFA" w:rsidRDefault="00EE58C4" w:rsidP="00085DF0">
          <w:pPr>
            <w:pStyle w:val="TOC2"/>
            <w:spacing w:before="60" w:after="60"/>
            <w:rPr>
              <w:rFonts w:asciiTheme="minorHAnsi" w:eastAsiaTheme="minorEastAsia" w:hAnsiTheme="minorHAnsi" w:cstheme="minorBidi"/>
            </w:rPr>
          </w:pPr>
          <w:hyperlink w:anchor="_Toc460396015" w:history="1">
            <w:r w:rsidR="00067BFA" w:rsidRPr="004A4B31">
              <w:rPr>
                <w:rStyle w:val="Hyperlink"/>
              </w:rPr>
              <w:t>A.1.</w:t>
            </w:r>
            <w:r w:rsidR="00067BFA">
              <w:rPr>
                <w:rFonts w:asciiTheme="minorHAnsi" w:eastAsiaTheme="minorEastAsia" w:hAnsiTheme="minorHAnsi" w:cstheme="minorBidi"/>
              </w:rPr>
              <w:tab/>
            </w:r>
            <w:r w:rsidR="00067BFA" w:rsidRPr="004A4B31">
              <w:rPr>
                <w:rStyle w:val="Hyperlink"/>
              </w:rPr>
              <w:t>Items in the agreed PICO Confirmation</w:t>
            </w:r>
            <w:r w:rsidR="00067BFA">
              <w:rPr>
                <w:webHidden/>
              </w:rPr>
              <w:tab/>
            </w:r>
            <w:r w:rsidR="00067BFA">
              <w:rPr>
                <w:webHidden/>
              </w:rPr>
              <w:fldChar w:fldCharType="begin"/>
            </w:r>
            <w:r w:rsidR="00067BFA">
              <w:rPr>
                <w:webHidden/>
              </w:rPr>
              <w:instrText xml:space="preserve"> PAGEREF _Toc460396015 \h </w:instrText>
            </w:r>
            <w:r w:rsidR="00067BFA">
              <w:rPr>
                <w:webHidden/>
              </w:rPr>
            </w:r>
            <w:r w:rsidR="00067BFA">
              <w:rPr>
                <w:webHidden/>
              </w:rPr>
              <w:fldChar w:fldCharType="separate"/>
            </w:r>
            <w:r w:rsidR="00FE080A">
              <w:rPr>
                <w:webHidden/>
              </w:rPr>
              <w:t>25</w:t>
            </w:r>
            <w:r w:rsidR="00067BFA">
              <w:rPr>
                <w:webHidden/>
              </w:rPr>
              <w:fldChar w:fldCharType="end"/>
            </w:r>
          </w:hyperlink>
        </w:p>
        <w:p w14:paraId="49262F42" w14:textId="77777777" w:rsidR="00067BFA" w:rsidRDefault="00EE58C4" w:rsidP="00085DF0">
          <w:pPr>
            <w:pStyle w:val="TOC2"/>
            <w:spacing w:before="60" w:after="60"/>
            <w:rPr>
              <w:rFonts w:asciiTheme="minorHAnsi" w:eastAsiaTheme="minorEastAsia" w:hAnsiTheme="minorHAnsi" w:cstheme="minorBidi"/>
            </w:rPr>
          </w:pPr>
          <w:hyperlink w:anchor="_Toc460396016" w:history="1">
            <w:r w:rsidR="00067BFA" w:rsidRPr="004A4B31">
              <w:rPr>
                <w:rStyle w:val="Hyperlink"/>
              </w:rPr>
              <w:t>A.2.</w:t>
            </w:r>
            <w:r w:rsidR="00067BFA">
              <w:rPr>
                <w:rFonts w:asciiTheme="minorHAnsi" w:eastAsiaTheme="minorEastAsia" w:hAnsiTheme="minorHAnsi" w:cstheme="minorBidi"/>
              </w:rPr>
              <w:tab/>
            </w:r>
            <w:r w:rsidR="00067BFA" w:rsidRPr="004A4B31">
              <w:rPr>
                <w:rStyle w:val="Hyperlink"/>
              </w:rPr>
              <w:t>Proposed Medical Service</w:t>
            </w:r>
            <w:r w:rsidR="00067BFA">
              <w:rPr>
                <w:webHidden/>
              </w:rPr>
              <w:tab/>
            </w:r>
            <w:r w:rsidR="00067BFA">
              <w:rPr>
                <w:webHidden/>
              </w:rPr>
              <w:fldChar w:fldCharType="begin"/>
            </w:r>
            <w:r w:rsidR="00067BFA">
              <w:rPr>
                <w:webHidden/>
              </w:rPr>
              <w:instrText xml:space="preserve"> PAGEREF _Toc460396016 \h </w:instrText>
            </w:r>
            <w:r w:rsidR="00067BFA">
              <w:rPr>
                <w:webHidden/>
              </w:rPr>
            </w:r>
            <w:r w:rsidR="00067BFA">
              <w:rPr>
                <w:webHidden/>
              </w:rPr>
              <w:fldChar w:fldCharType="separate"/>
            </w:r>
            <w:r w:rsidR="00FE080A">
              <w:rPr>
                <w:webHidden/>
              </w:rPr>
              <w:t>25</w:t>
            </w:r>
            <w:r w:rsidR="00067BFA">
              <w:rPr>
                <w:webHidden/>
              </w:rPr>
              <w:fldChar w:fldCharType="end"/>
            </w:r>
          </w:hyperlink>
        </w:p>
        <w:p w14:paraId="58EFDD67" w14:textId="77777777" w:rsidR="00067BFA" w:rsidRDefault="00EE58C4" w:rsidP="00085DF0">
          <w:pPr>
            <w:pStyle w:val="TOC3"/>
            <w:spacing w:before="60" w:after="60"/>
            <w:rPr>
              <w:rFonts w:asciiTheme="minorHAnsi" w:eastAsiaTheme="minorEastAsia" w:hAnsiTheme="minorHAnsi" w:cstheme="minorBidi"/>
            </w:rPr>
          </w:pPr>
          <w:hyperlink w:anchor="_Toc460396017" w:history="1">
            <w:r w:rsidR="00067BFA" w:rsidRPr="004A4B31">
              <w:rPr>
                <w:rStyle w:val="Hyperlink"/>
              </w:rPr>
              <w:t>Marketing status of device / technology</w:t>
            </w:r>
            <w:r w:rsidR="00067BFA">
              <w:rPr>
                <w:webHidden/>
              </w:rPr>
              <w:tab/>
            </w:r>
            <w:r w:rsidR="00067BFA">
              <w:rPr>
                <w:webHidden/>
              </w:rPr>
              <w:fldChar w:fldCharType="begin"/>
            </w:r>
            <w:r w:rsidR="00067BFA">
              <w:rPr>
                <w:webHidden/>
              </w:rPr>
              <w:instrText xml:space="preserve"> PAGEREF _Toc460396017 \h </w:instrText>
            </w:r>
            <w:r w:rsidR="00067BFA">
              <w:rPr>
                <w:webHidden/>
              </w:rPr>
            </w:r>
            <w:r w:rsidR="00067BFA">
              <w:rPr>
                <w:webHidden/>
              </w:rPr>
              <w:fldChar w:fldCharType="separate"/>
            </w:r>
            <w:r w:rsidR="00FE080A">
              <w:rPr>
                <w:webHidden/>
              </w:rPr>
              <w:t>28</w:t>
            </w:r>
            <w:r w:rsidR="00067BFA">
              <w:rPr>
                <w:webHidden/>
              </w:rPr>
              <w:fldChar w:fldCharType="end"/>
            </w:r>
          </w:hyperlink>
        </w:p>
        <w:p w14:paraId="050D9DE0" w14:textId="77777777" w:rsidR="00067BFA" w:rsidRDefault="00EE58C4" w:rsidP="00085DF0">
          <w:pPr>
            <w:pStyle w:val="TOC3"/>
            <w:spacing w:before="60" w:after="60"/>
            <w:rPr>
              <w:rFonts w:asciiTheme="minorHAnsi" w:eastAsiaTheme="minorEastAsia" w:hAnsiTheme="minorHAnsi" w:cstheme="minorBidi"/>
            </w:rPr>
          </w:pPr>
          <w:hyperlink w:anchor="_Toc460396018" w:history="1">
            <w:r w:rsidR="00067BFA" w:rsidRPr="004A4B31">
              <w:rPr>
                <w:rStyle w:val="Hyperlink"/>
              </w:rPr>
              <w:t>Other indications</w:t>
            </w:r>
            <w:r w:rsidR="00067BFA">
              <w:rPr>
                <w:webHidden/>
              </w:rPr>
              <w:tab/>
            </w:r>
            <w:r w:rsidR="00067BFA">
              <w:rPr>
                <w:webHidden/>
              </w:rPr>
              <w:fldChar w:fldCharType="begin"/>
            </w:r>
            <w:r w:rsidR="00067BFA">
              <w:rPr>
                <w:webHidden/>
              </w:rPr>
              <w:instrText xml:space="preserve"> PAGEREF _Toc460396018 \h </w:instrText>
            </w:r>
            <w:r w:rsidR="00067BFA">
              <w:rPr>
                <w:webHidden/>
              </w:rPr>
            </w:r>
            <w:r w:rsidR="00067BFA">
              <w:rPr>
                <w:webHidden/>
              </w:rPr>
              <w:fldChar w:fldCharType="separate"/>
            </w:r>
            <w:r w:rsidR="00FE080A">
              <w:rPr>
                <w:webHidden/>
              </w:rPr>
              <w:t>30</w:t>
            </w:r>
            <w:r w:rsidR="00067BFA">
              <w:rPr>
                <w:webHidden/>
              </w:rPr>
              <w:fldChar w:fldCharType="end"/>
            </w:r>
          </w:hyperlink>
        </w:p>
        <w:p w14:paraId="766E4B9A" w14:textId="77777777" w:rsidR="00067BFA" w:rsidRDefault="00EE58C4" w:rsidP="00085DF0">
          <w:pPr>
            <w:pStyle w:val="TOC3"/>
            <w:spacing w:before="60" w:after="60"/>
            <w:rPr>
              <w:rFonts w:asciiTheme="minorHAnsi" w:eastAsiaTheme="minorEastAsia" w:hAnsiTheme="minorHAnsi" w:cstheme="minorBidi"/>
            </w:rPr>
          </w:pPr>
          <w:hyperlink w:anchor="_Toc460396019" w:history="1">
            <w:r w:rsidR="00067BFA" w:rsidRPr="004A4B31">
              <w:rPr>
                <w:rStyle w:val="Hyperlink"/>
              </w:rPr>
              <w:t>Current funding arrangements</w:t>
            </w:r>
            <w:r w:rsidR="00067BFA">
              <w:rPr>
                <w:webHidden/>
              </w:rPr>
              <w:tab/>
            </w:r>
            <w:r w:rsidR="00067BFA">
              <w:rPr>
                <w:webHidden/>
              </w:rPr>
              <w:fldChar w:fldCharType="begin"/>
            </w:r>
            <w:r w:rsidR="00067BFA">
              <w:rPr>
                <w:webHidden/>
              </w:rPr>
              <w:instrText xml:space="preserve"> PAGEREF _Toc460396019 \h </w:instrText>
            </w:r>
            <w:r w:rsidR="00067BFA">
              <w:rPr>
                <w:webHidden/>
              </w:rPr>
            </w:r>
            <w:r w:rsidR="00067BFA">
              <w:rPr>
                <w:webHidden/>
              </w:rPr>
              <w:fldChar w:fldCharType="separate"/>
            </w:r>
            <w:r w:rsidR="00FE080A">
              <w:rPr>
                <w:webHidden/>
              </w:rPr>
              <w:t>30</w:t>
            </w:r>
            <w:r w:rsidR="00067BFA">
              <w:rPr>
                <w:webHidden/>
              </w:rPr>
              <w:fldChar w:fldCharType="end"/>
            </w:r>
          </w:hyperlink>
        </w:p>
        <w:p w14:paraId="005739C0" w14:textId="77777777" w:rsidR="00067BFA" w:rsidRDefault="00EE58C4" w:rsidP="00085DF0">
          <w:pPr>
            <w:pStyle w:val="TOC2"/>
            <w:spacing w:before="60" w:after="60"/>
            <w:rPr>
              <w:rFonts w:asciiTheme="minorHAnsi" w:eastAsiaTheme="minorEastAsia" w:hAnsiTheme="minorHAnsi" w:cstheme="minorBidi"/>
            </w:rPr>
          </w:pPr>
          <w:hyperlink w:anchor="_Toc460396020" w:history="1">
            <w:r w:rsidR="00067BFA" w:rsidRPr="004A4B31">
              <w:rPr>
                <w:rStyle w:val="Hyperlink"/>
              </w:rPr>
              <w:t>A.3.</w:t>
            </w:r>
            <w:r w:rsidR="00067BFA">
              <w:rPr>
                <w:rFonts w:asciiTheme="minorHAnsi" w:eastAsiaTheme="minorEastAsia" w:hAnsiTheme="minorHAnsi" w:cstheme="minorBidi"/>
              </w:rPr>
              <w:tab/>
            </w:r>
            <w:r w:rsidR="00067BFA" w:rsidRPr="004A4B31">
              <w:rPr>
                <w:rStyle w:val="Hyperlink"/>
              </w:rPr>
              <w:t>Proposal for Public Funding</w:t>
            </w:r>
            <w:r w:rsidR="00067BFA">
              <w:rPr>
                <w:webHidden/>
              </w:rPr>
              <w:tab/>
            </w:r>
            <w:r w:rsidR="00067BFA">
              <w:rPr>
                <w:webHidden/>
              </w:rPr>
              <w:fldChar w:fldCharType="begin"/>
            </w:r>
            <w:r w:rsidR="00067BFA">
              <w:rPr>
                <w:webHidden/>
              </w:rPr>
              <w:instrText xml:space="preserve"> PAGEREF _Toc460396020 \h </w:instrText>
            </w:r>
            <w:r w:rsidR="00067BFA">
              <w:rPr>
                <w:webHidden/>
              </w:rPr>
            </w:r>
            <w:r w:rsidR="00067BFA">
              <w:rPr>
                <w:webHidden/>
              </w:rPr>
              <w:fldChar w:fldCharType="separate"/>
            </w:r>
            <w:r w:rsidR="00FE080A">
              <w:rPr>
                <w:webHidden/>
              </w:rPr>
              <w:t>30</w:t>
            </w:r>
            <w:r w:rsidR="00067BFA">
              <w:rPr>
                <w:webHidden/>
              </w:rPr>
              <w:fldChar w:fldCharType="end"/>
            </w:r>
          </w:hyperlink>
        </w:p>
        <w:p w14:paraId="2D4F3652" w14:textId="77777777" w:rsidR="00067BFA" w:rsidRDefault="00EE58C4" w:rsidP="00085DF0">
          <w:pPr>
            <w:pStyle w:val="TOC2"/>
            <w:spacing w:before="60" w:after="60"/>
            <w:rPr>
              <w:rFonts w:asciiTheme="minorHAnsi" w:eastAsiaTheme="minorEastAsia" w:hAnsiTheme="minorHAnsi" w:cstheme="minorBidi"/>
            </w:rPr>
          </w:pPr>
          <w:hyperlink w:anchor="_Toc460396021" w:history="1">
            <w:r w:rsidR="00067BFA" w:rsidRPr="004A4B31">
              <w:rPr>
                <w:rStyle w:val="Hyperlink"/>
              </w:rPr>
              <w:t>A.4.</w:t>
            </w:r>
            <w:r w:rsidR="00067BFA">
              <w:rPr>
                <w:rFonts w:asciiTheme="minorHAnsi" w:eastAsiaTheme="minorEastAsia" w:hAnsiTheme="minorHAnsi" w:cstheme="minorBidi"/>
              </w:rPr>
              <w:tab/>
            </w:r>
            <w:r w:rsidR="00067BFA" w:rsidRPr="004A4B31">
              <w:rPr>
                <w:rStyle w:val="Hyperlink"/>
              </w:rPr>
              <w:t>Proposed Population(s)</w:t>
            </w:r>
            <w:r w:rsidR="00067BFA">
              <w:rPr>
                <w:webHidden/>
              </w:rPr>
              <w:tab/>
            </w:r>
            <w:r w:rsidR="00067BFA">
              <w:rPr>
                <w:webHidden/>
              </w:rPr>
              <w:fldChar w:fldCharType="begin"/>
            </w:r>
            <w:r w:rsidR="00067BFA">
              <w:rPr>
                <w:webHidden/>
              </w:rPr>
              <w:instrText xml:space="preserve"> PAGEREF _Toc460396021 \h </w:instrText>
            </w:r>
            <w:r w:rsidR="00067BFA">
              <w:rPr>
                <w:webHidden/>
              </w:rPr>
            </w:r>
            <w:r w:rsidR="00067BFA">
              <w:rPr>
                <w:webHidden/>
              </w:rPr>
              <w:fldChar w:fldCharType="separate"/>
            </w:r>
            <w:r w:rsidR="00FE080A">
              <w:rPr>
                <w:webHidden/>
              </w:rPr>
              <w:t>32</w:t>
            </w:r>
            <w:r w:rsidR="00067BFA">
              <w:rPr>
                <w:webHidden/>
              </w:rPr>
              <w:fldChar w:fldCharType="end"/>
            </w:r>
          </w:hyperlink>
        </w:p>
        <w:p w14:paraId="52E3AAC7" w14:textId="77777777" w:rsidR="00067BFA" w:rsidRDefault="00EE58C4" w:rsidP="00085DF0">
          <w:pPr>
            <w:pStyle w:val="TOC2"/>
            <w:spacing w:before="60" w:after="60"/>
            <w:rPr>
              <w:rFonts w:asciiTheme="minorHAnsi" w:eastAsiaTheme="minorEastAsia" w:hAnsiTheme="minorHAnsi" w:cstheme="minorBidi"/>
            </w:rPr>
          </w:pPr>
          <w:hyperlink w:anchor="_Toc460396022" w:history="1">
            <w:r w:rsidR="00067BFA" w:rsidRPr="004A4B31">
              <w:rPr>
                <w:rStyle w:val="Hyperlink"/>
              </w:rPr>
              <w:t>A.5.</w:t>
            </w:r>
            <w:r w:rsidR="00067BFA">
              <w:rPr>
                <w:rFonts w:asciiTheme="minorHAnsi" w:eastAsiaTheme="minorEastAsia" w:hAnsiTheme="minorHAnsi" w:cstheme="minorBidi"/>
              </w:rPr>
              <w:tab/>
            </w:r>
            <w:r w:rsidR="00067BFA" w:rsidRPr="004A4B31">
              <w:rPr>
                <w:rStyle w:val="Hyperlink"/>
              </w:rPr>
              <w:t>Comparator Details</w:t>
            </w:r>
            <w:r w:rsidR="00067BFA">
              <w:rPr>
                <w:webHidden/>
              </w:rPr>
              <w:tab/>
            </w:r>
            <w:r w:rsidR="00067BFA">
              <w:rPr>
                <w:webHidden/>
              </w:rPr>
              <w:fldChar w:fldCharType="begin"/>
            </w:r>
            <w:r w:rsidR="00067BFA">
              <w:rPr>
                <w:webHidden/>
              </w:rPr>
              <w:instrText xml:space="preserve"> PAGEREF _Toc460396022 \h </w:instrText>
            </w:r>
            <w:r w:rsidR="00067BFA">
              <w:rPr>
                <w:webHidden/>
              </w:rPr>
            </w:r>
            <w:r w:rsidR="00067BFA">
              <w:rPr>
                <w:webHidden/>
              </w:rPr>
              <w:fldChar w:fldCharType="separate"/>
            </w:r>
            <w:r w:rsidR="00FE080A">
              <w:rPr>
                <w:webHidden/>
              </w:rPr>
              <w:t>34</w:t>
            </w:r>
            <w:r w:rsidR="00067BFA">
              <w:rPr>
                <w:webHidden/>
              </w:rPr>
              <w:fldChar w:fldCharType="end"/>
            </w:r>
          </w:hyperlink>
        </w:p>
        <w:p w14:paraId="031B64FF" w14:textId="77777777" w:rsidR="00067BFA" w:rsidRDefault="00EE58C4" w:rsidP="00085DF0">
          <w:pPr>
            <w:pStyle w:val="TOC2"/>
            <w:spacing w:before="60" w:after="60"/>
            <w:rPr>
              <w:rFonts w:asciiTheme="minorHAnsi" w:eastAsiaTheme="minorEastAsia" w:hAnsiTheme="minorHAnsi" w:cstheme="minorBidi"/>
            </w:rPr>
          </w:pPr>
          <w:hyperlink w:anchor="_Toc460396023" w:history="1">
            <w:r w:rsidR="00067BFA" w:rsidRPr="004A4B31">
              <w:rPr>
                <w:rStyle w:val="Hyperlink"/>
              </w:rPr>
              <w:t>A.6.</w:t>
            </w:r>
            <w:r w:rsidR="00067BFA">
              <w:rPr>
                <w:rFonts w:asciiTheme="minorHAnsi" w:eastAsiaTheme="minorEastAsia" w:hAnsiTheme="minorHAnsi" w:cstheme="minorBidi"/>
              </w:rPr>
              <w:tab/>
            </w:r>
            <w:r w:rsidR="00067BFA" w:rsidRPr="004A4B31">
              <w:rPr>
                <w:rStyle w:val="Hyperlink"/>
              </w:rPr>
              <w:t>Clinical Management Algorithm(s)</w:t>
            </w:r>
            <w:r w:rsidR="00067BFA">
              <w:rPr>
                <w:webHidden/>
              </w:rPr>
              <w:tab/>
            </w:r>
            <w:r w:rsidR="00067BFA">
              <w:rPr>
                <w:webHidden/>
              </w:rPr>
              <w:fldChar w:fldCharType="begin"/>
            </w:r>
            <w:r w:rsidR="00067BFA">
              <w:rPr>
                <w:webHidden/>
              </w:rPr>
              <w:instrText xml:space="preserve"> PAGEREF _Toc460396023 \h </w:instrText>
            </w:r>
            <w:r w:rsidR="00067BFA">
              <w:rPr>
                <w:webHidden/>
              </w:rPr>
            </w:r>
            <w:r w:rsidR="00067BFA">
              <w:rPr>
                <w:webHidden/>
              </w:rPr>
              <w:fldChar w:fldCharType="separate"/>
            </w:r>
            <w:r w:rsidR="00FE080A">
              <w:rPr>
                <w:webHidden/>
              </w:rPr>
              <w:t>39</w:t>
            </w:r>
            <w:r w:rsidR="00067BFA">
              <w:rPr>
                <w:webHidden/>
              </w:rPr>
              <w:fldChar w:fldCharType="end"/>
            </w:r>
          </w:hyperlink>
        </w:p>
        <w:p w14:paraId="4CFE2FCD" w14:textId="77777777" w:rsidR="00067BFA" w:rsidRDefault="00EE58C4" w:rsidP="00085DF0">
          <w:pPr>
            <w:pStyle w:val="TOC2"/>
            <w:spacing w:before="60" w:after="60"/>
            <w:ind w:left="1540" w:hanging="547"/>
            <w:rPr>
              <w:rFonts w:asciiTheme="minorHAnsi" w:eastAsiaTheme="minorEastAsia" w:hAnsiTheme="minorHAnsi" w:cstheme="minorBidi"/>
            </w:rPr>
          </w:pPr>
          <w:hyperlink w:anchor="_Toc460396024" w:history="1">
            <w:r w:rsidR="00067BFA" w:rsidRPr="004A4B31">
              <w:rPr>
                <w:rStyle w:val="Hyperlink"/>
              </w:rPr>
              <w:t>A.7.</w:t>
            </w:r>
            <w:r w:rsidR="00067BFA">
              <w:rPr>
                <w:rFonts w:asciiTheme="minorHAnsi" w:eastAsiaTheme="minorEastAsia" w:hAnsiTheme="minorHAnsi" w:cstheme="minorBidi"/>
              </w:rPr>
              <w:tab/>
            </w:r>
            <w:r w:rsidR="00067BFA" w:rsidRPr="004A4B31">
              <w:rPr>
                <w:rStyle w:val="Hyperlink"/>
              </w:rPr>
              <w:t>Key Differences in the Delivery of the Proposed Medical Service and the Main Comparator</w:t>
            </w:r>
            <w:r w:rsidR="00067BFA">
              <w:rPr>
                <w:webHidden/>
              </w:rPr>
              <w:tab/>
            </w:r>
            <w:r w:rsidR="00067BFA">
              <w:rPr>
                <w:webHidden/>
              </w:rPr>
              <w:fldChar w:fldCharType="begin"/>
            </w:r>
            <w:r w:rsidR="00067BFA">
              <w:rPr>
                <w:webHidden/>
              </w:rPr>
              <w:instrText xml:space="preserve"> PAGEREF _Toc460396024 \h </w:instrText>
            </w:r>
            <w:r w:rsidR="00067BFA">
              <w:rPr>
                <w:webHidden/>
              </w:rPr>
            </w:r>
            <w:r w:rsidR="00067BFA">
              <w:rPr>
                <w:webHidden/>
              </w:rPr>
              <w:fldChar w:fldCharType="separate"/>
            </w:r>
            <w:r w:rsidR="00FE080A">
              <w:rPr>
                <w:webHidden/>
              </w:rPr>
              <w:t>44</w:t>
            </w:r>
            <w:r w:rsidR="00067BFA">
              <w:rPr>
                <w:webHidden/>
              </w:rPr>
              <w:fldChar w:fldCharType="end"/>
            </w:r>
          </w:hyperlink>
        </w:p>
        <w:p w14:paraId="4E7CA8E9" w14:textId="77777777" w:rsidR="00067BFA" w:rsidRDefault="00EE58C4" w:rsidP="00085DF0">
          <w:pPr>
            <w:pStyle w:val="TOC2"/>
            <w:spacing w:before="60" w:after="60"/>
            <w:rPr>
              <w:rFonts w:asciiTheme="minorHAnsi" w:eastAsiaTheme="minorEastAsia" w:hAnsiTheme="minorHAnsi" w:cstheme="minorBidi"/>
            </w:rPr>
          </w:pPr>
          <w:hyperlink w:anchor="_Toc460396025" w:history="1">
            <w:r w:rsidR="00067BFA" w:rsidRPr="004A4B31">
              <w:rPr>
                <w:rStyle w:val="Hyperlink"/>
              </w:rPr>
              <w:t>A.8.</w:t>
            </w:r>
            <w:r w:rsidR="00067BFA">
              <w:rPr>
                <w:rFonts w:asciiTheme="minorHAnsi" w:eastAsiaTheme="minorEastAsia" w:hAnsiTheme="minorHAnsi" w:cstheme="minorBidi"/>
              </w:rPr>
              <w:tab/>
            </w:r>
            <w:r w:rsidR="00067BFA" w:rsidRPr="004A4B31">
              <w:rPr>
                <w:rStyle w:val="Hyperlink"/>
              </w:rPr>
              <w:t>Clinical Claim</w:t>
            </w:r>
            <w:r w:rsidR="00067BFA">
              <w:rPr>
                <w:webHidden/>
              </w:rPr>
              <w:tab/>
            </w:r>
            <w:r w:rsidR="00067BFA">
              <w:rPr>
                <w:webHidden/>
              </w:rPr>
              <w:fldChar w:fldCharType="begin"/>
            </w:r>
            <w:r w:rsidR="00067BFA">
              <w:rPr>
                <w:webHidden/>
              </w:rPr>
              <w:instrText xml:space="preserve"> PAGEREF _Toc460396025 \h </w:instrText>
            </w:r>
            <w:r w:rsidR="00067BFA">
              <w:rPr>
                <w:webHidden/>
              </w:rPr>
            </w:r>
            <w:r w:rsidR="00067BFA">
              <w:rPr>
                <w:webHidden/>
              </w:rPr>
              <w:fldChar w:fldCharType="separate"/>
            </w:r>
            <w:r w:rsidR="00FE080A">
              <w:rPr>
                <w:webHidden/>
              </w:rPr>
              <w:t>45</w:t>
            </w:r>
            <w:r w:rsidR="00067BFA">
              <w:rPr>
                <w:webHidden/>
              </w:rPr>
              <w:fldChar w:fldCharType="end"/>
            </w:r>
          </w:hyperlink>
        </w:p>
        <w:p w14:paraId="1F68D088" w14:textId="77777777" w:rsidR="00067BFA" w:rsidRDefault="00EE58C4" w:rsidP="00085DF0">
          <w:pPr>
            <w:pStyle w:val="TOC2"/>
            <w:spacing w:before="60" w:after="60"/>
            <w:rPr>
              <w:rFonts w:asciiTheme="minorHAnsi" w:eastAsiaTheme="minorEastAsia" w:hAnsiTheme="minorHAnsi" w:cstheme="minorBidi"/>
            </w:rPr>
          </w:pPr>
          <w:hyperlink w:anchor="_Toc460396026" w:history="1">
            <w:r w:rsidR="00067BFA" w:rsidRPr="004A4B31">
              <w:rPr>
                <w:rStyle w:val="Hyperlink"/>
              </w:rPr>
              <w:t>A.9.</w:t>
            </w:r>
            <w:r w:rsidR="00067BFA">
              <w:rPr>
                <w:rFonts w:asciiTheme="minorHAnsi" w:eastAsiaTheme="minorEastAsia" w:hAnsiTheme="minorHAnsi" w:cstheme="minorBidi"/>
              </w:rPr>
              <w:tab/>
            </w:r>
            <w:r w:rsidR="00067BFA" w:rsidRPr="004A4B31">
              <w:rPr>
                <w:rStyle w:val="Hyperlink"/>
              </w:rPr>
              <w:t>Summary of the PICO</w:t>
            </w:r>
            <w:r w:rsidR="00067BFA">
              <w:rPr>
                <w:webHidden/>
              </w:rPr>
              <w:tab/>
            </w:r>
            <w:r w:rsidR="00067BFA">
              <w:rPr>
                <w:webHidden/>
              </w:rPr>
              <w:fldChar w:fldCharType="begin"/>
            </w:r>
            <w:r w:rsidR="00067BFA">
              <w:rPr>
                <w:webHidden/>
              </w:rPr>
              <w:instrText xml:space="preserve"> PAGEREF _Toc460396026 \h </w:instrText>
            </w:r>
            <w:r w:rsidR="00067BFA">
              <w:rPr>
                <w:webHidden/>
              </w:rPr>
            </w:r>
            <w:r w:rsidR="00067BFA">
              <w:rPr>
                <w:webHidden/>
              </w:rPr>
              <w:fldChar w:fldCharType="separate"/>
            </w:r>
            <w:r w:rsidR="00FE080A">
              <w:rPr>
                <w:webHidden/>
              </w:rPr>
              <w:t>46</w:t>
            </w:r>
            <w:r w:rsidR="00067BFA">
              <w:rPr>
                <w:webHidden/>
              </w:rPr>
              <w:fldChar w:fldCharType="end"/>
            </w:r>
          </w:hyperlink>
        </w:p>
        <w:p w14:paraId="1314BBBD" w14:textId="77777777" w:rsidR="00067BFA" w:rsidRDefault="00EE58C4" w:rsidP="00085DF0">
          <w:pPr>
            <w:pStyle w:val="TOC2"/>
            <w:spacing w:before="60" w:after="60"/>
            <w:rPr>
              <w:rFonts w:asciiTheme="minorHAnsi" w:eastAsiaTheme="minorEastAsia" w:hAnsiTheme="minorHAnsi" w:cstheme="minorBidi"/>
            </w:rPr>
          </w:pPr>
          <w:hyperlink w:anchor="_Toc460396027" w:history="1">
            <w:r w:rsidR="00067BFA" w:rsidRPr="004A4B31">
              <w:rPr>
                <w:rStyle w:val="Hyperlink"/>
              </w:rPr>
              <w:t>A.10.</w:t>
            </w:r>
            <w:r w:rsidR="00067BFA">
              <w:rPr>
                <w:rFonts w:asciiTheme="minorHAnsi" w:eastAsiaTheme="minorEastAsia" w:hAnsiTheme="minorHAnsi" w:cstheme="minorBidi"/>
              </w:rPr>
              <w:tab/>
            </w:r>
            <w:r w:rsidR="00067BFA" w:rsidRPr="004A4B31">
              <w:rPr>
                <w:rStyle w:val="Hyperlink"/>
              </w:rPr>
              <w:t>Consumer Impact Statement</w:t>
            </w:r>
            <w:r w:rsidR="00067BFA">
              <w:rPr>
                <w:webHidden/>
              </w:rPr>
              <w:tab/>
            </w:r>
            <w:r w:rsidR="00067BFA">
              <w:rPr>
                <w:webHidden/>
              </w:rPr>
              <w:fldChar w:fldCharType="begin"/>
            </w:r>
            <w:r w:rsidR="00067BFA">
              <w:rPr>
                <w:webHidden/>
              </w:rPr>
              <w:instrText xml:space="preserve"> PAGEREF _Toc460396027 \h </w:instrText>
            </w:r>
            <w:r w:rsidR="00067BFA">
              <w:rPr>
                <w:webHidden/>
              </w:rPr>
            </w:r>
            <w:r w:rsidR="00067BFA">
              <w:rPr>
                <w:webHidden/>
              </w:rPr>
              <w:fldChar w:fldCharType="separate"/>
            </w:r>
            <w:r w:rsidR="00FE080A">
              <w:rPr>
                <w:webHidden/>
              </w:rPr>
              <w:t>52</w:t>
            </w:r>
            <w:r w:rsidR="00067BFA">
              <w:rPr>
                <w:webHidden/>
              </w:rPr>
              <w:fldChar w:fldCharType="end"/>
            </w:r>
          </w:hyperlink>
        </w:p>
        <w:p w14:paraId="1D72FC55" w14:textId="77777777" w:rsidR="00067BFA" w:rsidRDefault="00EE58C4" w:rsidP="00085DF0">
          <w:pPr>
            <w:pStyle w:val="TOC1"/>
            <w:spacing w:before="60" w:after="60"/>
            <w:rPr>
              <w:rFonts w:asciiTheme="minorHAnsi" w:eastAsiaTheme="minorEastAsia" w:hAnsiTheme="minorHAnsi" w:cstheme="minorBidi"/>
            </w:rPr>
          </w:pPr>
          <w:hyperlink w:anchor="_Toc460396028" w:history="1">
            <w:r w:rsidR="00067BFA" w:rsidRPr="004A4B31">
              <w:rPr>
                <w:rStyle w:val="Hyperlink"/>
              </w:rPr>
              <w:t>Section B</w:t>
            </w:r>
            <w:r w:rsidR="00067BFA">
              <w:rPr>
                <w:rFonts w:asciiTheme="minorHAnsi" w:eastAsiaTheme="minorEastAsia" w:hAnsiTheme="minorHAnsi" w:cstheme="minorBidi"/>
              </w:rPr>
              <w:tab/>
            </w:r>
            <w:r w:rsidR="00067BFA" w:rsidRPr="004A4B31">
              <w:rPr>
                <w:rStyle w:val="Hyperlink"/>
              </w:rPr>
              <w:t>Clinical Evaluation</w:t>
            </w:r>
            <w:r w:rsidR="00067BFA">
              <w:rPr>
                <w:webHidden/>
              </w:rPr>
              <w:tab/>
            </w:r>
            <w:r w:rsidR="00067BFA">
              <w:rPr>
                <w:webHidden/>
              </w:rPr>
              <w:fldChar w:fldCharType="begin"/>
            </w:r>
            <w:r w:rsidR="00067BFA">
              <w:rPr>
                <w:webHidden/>
              </w:rPr>
              <w:instrText xml:space="preserve"> PAGEREF _Toc460396028 \h </w:instrText>
            </w:r>
            <w:r w:rsidR="00067BFA">
              <w:rPr>
                <w:webHidden/>
              </w:rPr>
            </w:r>
            <w:r w:rsidR="00067BFA">
              <w:rPr>
                <w:webHidden/>
              </w:rPr>
              <w:fldChar w:fldCharType="separate"/>
            </w:r>
            <w:r w:rsidR="00FE080A">
              <w:rPr>
                <w:webHidden/>
              </w:rPr>
              <w:t>53</w:t>
            </w:r>
            <w:r w:rsidR="00067BFA">
              <w:rPr>
                <w:webHidden/>
              </w:rPr>
              <w:fldChar w:fldCharType="end"/>
            </w:r>
          </w:hyperlink>
        </w:p>
        <w:p w14:paraId="5F4704F8" w14:textId="77777777" w:rsidR="00067BFA" w:rsidRDefault="00EE58C4" w:rsidP="00085DF0">
          <w:pPr>
            <w:pStyle w:val="TOC2"/>
            <w:spacing w:before="60" w:after="60"/>
            <w:rPr>
              <w:rFonts w:asciiTheme="minorHAnsi" w:eastAsiaTheme="minorEastAsia" w:hAnsiTheme="minorHAnsi" w:cstheme="minorBidi"/>
            </w:rPr>
          </w:pPr>
          <w:hyperlink w:anchor="_Toc460396029" w:history="1">
            <w:r w:rsidR="00067BFA" w:rsidRPr="004A4B31">
              <w:rPr>
                <w:rStyle w:val="Hyperlink"/>
              </w:rPr>
              <w:t>B.1.</w:t>
            </w:r>
            <w:r w:rsidR="00067BFA">
              <w:rPr>
                <w:rFonts w:asciiTheme="minorHAnsi" w:eastAsiaTheme="minorEastAsia" w:hAnsiTheme="minorHAnsi" w:cstheme="minorBidi"/>
              </w:rPr>
              <w:tab/>
            </w:r>
            <w:r w:rsidR="00067BFA" w:rsidRPr="004A4B31">
              <w:rPr>
                <w:rStyle w:val="Hyperlink"/>
              </w:rPr>
              <w:t>Literature Sources and Search Strategies</w:t>
            </w:r>
            <w:r w:rsidR="00067BFA">
              <w:rPr>
                <w:webHidden/>
              </w:rPr>
              <w:tab/>
            </w:r>
            <w:r w:rsidR="00067BFA">
              <w:rPr>
                <w:webHidden/>
              </w:rPr>
              <w:fldChar w:fldCharType="begin"/>
            </w:r>
            <w:r w:rsidR="00067BFA">
              <w:rPr>
                <w:webHidden/>
              </w:rPr>
              <w:instrText xml:space="preserve"> PAGEREF _Toc460396029 \h </w:instrText>
            </w:r>
            <w:r w:rsidR="00067BFA">
              <w:rPr>
                <w:webHidden/>
              </w:rPr>
            </w:r>
            <w:r w:rsidR="00067BFA">
              <w:rPr>
                <w:webHidden/>
              </w:rPr>
              <w:fldChar w:fldCharType="separate"/>
            </w:r>
            <w:r w:rsidR="00FE080A">
              <w:rPr>
                <w:webHidden/>
              </w:rPr>
              <w:t>53</w:t>
            </w:r>
            <w:r w:rsidR="00067BFA">
              <w:rPr>
                <w:webHidden/>
              </w:rPr>
              <w:fldChar w:fldCharType="end"/>
            </w:r>
          </w:hyperlink>
        </w:p>
        <w:p w14:paraId="429691DC" w14:textId="77777777" w:rsidR="00067BFA" w:rsidRDefault="00EE58C4" w:rsidP="00085DF0">
          <w:pPr>
            <w:pStyle w:val="TOC2"/>
            <w:spacing w:before="60" w:after="60"/>
            <w:rPr>
              <w:rFonts w:asciiTheme="minorHAnsi" w:eastAsiaTheme="minorEastAsia" w:hAnsiTheme="minorHAnsi" w:cstheme="minorBidi"/>
            </w:rPr>
          </w:pPr>
          <w:hyperlink w:anchor="_Toc460396030" w:history="1">
            <w:r w:rsidR="00067BFA" w:rsidRPr="004A4B31">
              <w:rPr>
                <w:rStyle w:val="Hyperlink"/>
              </w:rPr>
              <w:t>B.2.</w:t>
            </w:r>
            <w:r w:rsidR="00067BFA">
              <w:rPr>
                <w:rFonts w:asciiTheme="minorHAnsi" w:eastAsiaTheme="minorEastAsia" w:hAnsiTheme="minorHAnsi" w:cstheme="minorBidi"/>
              </w:rPr>
              <w:tab/>
            </w:r>
            <w:r w:rsidR="00067BFA" w:rsidRPr="004A4B31">
              <w:rPr>
                <w:rStyle w:val="Hyperlink"/>
              </w:rPr>
              <w:t>Results of Literature Search</w:t>
            </w:r>
            <w:r w:rsidR="00067BFA">
              <w:rPr>
                <w:webHidden/>
              </w:rPr>
              <w:tab/>
            </w:r>
            <w:r w:rsidR="00067BFA">
              <w:rPr>
                <w:webHidden/>
              </w:rPr>
              <w:fldChar w:fldCharType="begin"/>
            </w:r>
            <w:r w:rsidR="00067BFA">
              <w:rPr>
                <w:webHidden/>
              </w:rPr>
              <w:instrText xml:space="preserve"> PAGEREF _Toc460396030 \h </w:instrText>
            </w:r>
            <w:r w:rsidR="00067BFA">
              <w:rPr>
                <w:webHidden/>
              </w:rPr>
            </w:r>
            <w:r w:rsidR="00067BFA">
              <w:rPr>
                <w:webHidden/>
              </w:rPr>
              <w:fldChar w:fldCharType="separate"/>
            </w:r>
            <w:r w:rsidR="00FE080A">
              <w:rPr>
                <w:webHidden/>
              </w:rPr>
              <w:t>55</w:t>
            </w:r>
            <w:r w:rsidR="00067BFA">
              <w:rPr>
                <w:webHidden/>
              </w:rPr>
              <w:fldChar w:fldCharType="end"/>
            </w:r>
          </w:hyperlink>
        </w:p>
        <w:p w14:paraId="256670C0" w14:textId="77777777" w:rsidR="00067BFA" w:rsidRDefault="00EE58C4" w:rsidP="00085DF0">
          <w:pPr>
            <w:pStyle w:val="TOC3"/>
            <w:spacing w:before="60" w:after="60"/>
            <w:rPr>
              <w:rFonts w:asciiTheme="minorHAnsi" w:eastAsiaTheme="minorEastAsia" w:hAnsiTheme="minorHAnsi" w:cstheme="minorBidi"/>
            </w:rPr>
          </w:pPr>
          <w:hyperlink w:anchor="_Toc460396031" w:history="1">
            <w:r w:rsidR="00067BFA" w:rsidRPr="004A4B31">
              <w:rPr>
                <w:rStyle w:val="Hyperlink"/>
              </w:rPr>
              <w:t>Appraisal of the evidence</w:t>
            </w:r>
            <w:r w:rsidR="00067BFA">
              <w:rPr>
                <w:webHidden/>
              </w:rPr>
              <w:tab/>
            </w:r>
            <w:r w:rsidR="00067BFA">
              <w:rPr>
                <w:webHidden/>
              </w:rPr>
              <w:fldChar w:fldCharType="begin"/>
            </w:r>
            <w:r w:rsidR="00067BFA">
              <w:rPr>
                <w:webHidden/>
              </w:rPr>
              <w:instrText xml:space="preserve"> PAGEREF _Toc460396031 \h </w:instrText>
            </w:r>
            <w:r w:rsidR="00067BFA">
              <w:rPr>
                <w:webHidden/>
              </w:rPr>
            </w:r>
            <w:r w:rsidR="00067BFA">
              <w:rPr>
                <w:webHidden/>
              </w:rPr>
              <w:fldChar w:fldCharType="separate"/>
            </w:r>
            <w:r w:rsidR="00FE080A">
              <w:rPr>
                <w:webHidden/>
              </w:rPr>
              <w:t>58</w:t>
            </w:r>
            <w:r w:rsidR="00067BFA">
              <w:rPr>
                <w:webHidden/>
              </w:rPr>
              <w:fldChar w:fldCharType="end"/>
            </w:r>
          </w:hyperlink>
        </w:p>
        <w:p w14:paraId="660048B2" w14:textId="77777777" w:rsidR="00067BFA" w:rsidRDefault="00EE58C4" w:rsidP="00085DF0">
          <w:pPr>
            <w:pStyle w:val="TOC2"/>
            <w:spacing w:before="60" w:after="60"/>
            <w:rPr>
              <w:rFonts w:asciiTheme="minorHAnsi" w:eastAsiaTheme="minorEastAsia" w:hAnsiTheme="minorHAnsi" w:cstheme="minorBidi"/>
            </w:rPr>
          </w:pPr>
          <w:hyperlink w:anchor="_Toc460396032" w:history="1">
            <w:r w:rsidR="00067BFA" w:rsidRPr="004A4B31">
              <w:rPr>
                <w:rStyle w:val="Hyperlink"/>
              </w:rPr>
              <w:t>B.3.</w:t>
            </w:r>
            <w:r w:rsidR="00067BFA">
              <w:rPr>
                <w:rFonts w:asciiTheme="minorHAnsi" w:eastAsiaTheme="minorEastAsia" w:hAnsiTheme="minorHAnsi" w:cstheme="minorBidi"/>
              </w:rPr>
              <w:tab/>
            </w:r>
            <w:r w:rsidR="00067BFA" w:rsidRPr="004A4B31">
              <w:rPr>
                <w:rStyle w:val="Hyperlink"/>
              </w:rPr>
              <w:t>Risk of Bias Assessment</w:t>
            </w:r>
            <w:r w:rsidR="00067BFA">
              <w:rPr>
                <w:webHidden/>
              </w:rPr>
              <w:tab/>
            </w:r>
            <w:r w:rsidR="00067BFA">
              <w:rPr>
                <w:webHidden/>
              </w:rPr>
              <w:fldChar w:fldCharType="begin"/>
            </w:r>
            <w:r w:rsidR="00067BFA">
              <w:rPr>
                <w:webHidden/>
              </w:rPr>
              <w:instrText xml:space="preserve"> PAGEREF _Toc460396032 \h </w:instrText>
            </w:r>
            <w:r w:rsidR="00067BFA">
              <w:rPr>
                <w:webHidden/>
              </w:rPr>
            </w:r>
            <w:r w:rsidR="00067BFA">
              <w:rPr>
                <w:webHidden/>
              </w:rPr>
              <w:fldChar w:fldCharType="separate"/>
            </w:r>
            <w:r w:rsidR="00FE080A">
              <w:rPr>
                <w:webHidden/>
              </w:rPr>
              <w:t>60</w:t>
            </w:r>
            <w:r w:rsidR="00067BFA">
              <w:rPr>
                <w:webHidden/>
              </w:rPr>
              <w:fldChar w:fldCharType="end"/>
            </w:r>
          </w:hyperlink>
        </w:p>
        <w:p w14:paraId="33F1B16D" w14:textId="77777777" w:rsidR="00067BFA" w:rsidRDefault="00EE58C4" w:rsidP="00085DF0">
          <w:pPr>
            <w:pStyle w:val="TOC3"/>
            <w:spacing w:before="60" w:after="60"/>
            <w:rPr>
              <w:rFonts w:asciiTheme="minorHAnsi" w:eastAsiaTheme="minorEastAsia" w:hAnsiTheme="minorHAnsi" w:cstheme="minorBidi"/>
            </w:rPr>
          </w:pPr>
          <w:hyperlink w:anchor="_Toc460396033" w:history="1">
            <w:r w:rsidR="00067BFA" w:rsidRPr="004A4B31">
              <w:rPr>
                <w:rStyle w:val="Hyperlink"/>
              </w:rPr>
              <w:t>Risk of bias within studies included for MTA</w:t>
            </w:r>
            <w:r w:rsidR="00067BFA">
              <w:rPr>
                <w:webHidden/>
              </w:rPr>
              <w:tab/>
            </w:r>
            <w:r w:rsidR="00067BFA">
              <w:rPr>
                <w:webHidden/>
              </w:rPr>
              <w:fldChar w:fldCharType="begin"/>
            </w:r>
            <w:r w:rsidR="00067BFA">
              <w:rPr>
                <w:webHidden/>
              </w:rPr>
              <w:instrText xml:space="preserve"> PAGEREF _Toc460396033 \h </w:instrText>
            </w:r>
            <w:r w:rsidR="00067BFA">
              <w:rPr>
                <w:webHidden/>
              </w:rPr>
            </w:r>
            <w:r w:rsidR="00067BFA">
              <w:rPr>
                <w:webHidden/>
              </w:rPr>
              <w:fldChar w:fldCharType="separate"/>
            </w:r>
            <w:r w:rsidR="00FE080A">
              <w:rPr>
                <w:webHidden/>
              </w:rPr>
              <w:t>60</w:t>
            </w:r>
            <w:r w:rsidR="00067BFA">
              <w:rPr>
                <w:webHidden/>
              </w:rPr>
              <w:fldChar w:fldCharType="end"/>
            </w:r>
          </w:hyperlink>
        </w:p>
        <w:p w14:paraId="5A30777D" w14:textId="77777777" w:rsidR="00067BFA" w:rsidRDefault="00EE58C4" w:rsidP="00085DF0">
          <w:pPr>
            <w:pStyle w:val="TOC3"/>
            <w:spacing w:before="60" w:after="60"/>
            <w:rPr>
              <w:rFonts w:asciiTheme="minorHAnsi" w:eastAsiaTheme="minorEastAsia" w:hAnsiTheme="minorHAnsi" w:cstheme="minorBidi"/>
            </w:rPr>
          </w:pPr>
          <w:hyperlink w:anchor="_Toc460396034" w:history="1">
            <w:r w:rsidR="00067BFA" w:rsidRPr="004A4B31">
              <w:rPr>
                <w:rStyle w:val="Hyperlink"/>
              </w:rPr>
              <w:t>Risk of bias for studies of RFA</w:t>
            </w:r>
            <w:r w:rsidR="00067BFA">
              <w:rPr>
                <w:webHidden/>
              </w:rPr>
              <w:tab/>
            </w:r>
            <w:r w:rsidR="00067BFA">
              <w:rPr>
                <w:webHidden/>
              </w:rPr>
              <w:fldChar w:fldCharType="begin"/>
            </w:r>
            <w:r w:rsidR="00067BFA">
              <w:rPr>
                <w:webHidden/>
              </w:rPr>
              <w:instrText xml:space="preserve"> PAGEREF _Toc460396034 \h </w:instrText>
            </w:r>
            <w:r w:rsidR="00067BFA">
              <w:rPr>
                <w:webHidden/>
              </w:rPr>
            </w:r>
            <w:r w:rsidR="00067BFA">
              <w:rPr>
                <w:webHidden/>
              </w:rPr>
              <w:fldChar w:fldCharType="separate"/>
            </w:r>
            <w:r w:rsidR="00FE080A">
              <w:rPr>
                <w:webHidden/>
              </w:rPr>
              <w:t>67</w:t>
            </w:r>
            <w:r w:rsidR="00067BFA">
              <w:rPr>
                <w:webHidden/>
              </w:rPr>
              <w:fldChar w:fldCharType="end"/>
            </w:r>
          </w:hyperlink>
        </w:p>
        <w:p w14:paraId="1064EEE6" w14:textId="77777777" w:rsidR="00067BFA" w:rsidRDefault="00EE58C4" w:rsidP="00085DF0">
          <w:pPr>
            <w:pStyle w:val="TOC3"/>
            <w:spacing w:before="60" w:after="60"/>
            <w:rPr>
              <w:rFonts w:asciiTheme="minorHAnsi" w:eastAsiaTheme="minorEastAsia" w:hAnsiTheme="minorHAnsi" w:cstheme="minorBidi"/>
            </w:rPr>
          </w:pPr>
          <w:hyperlink w:anchor="_Toc460396035" w:history="1">
            <w:r w:rsidR="00067BFA" w:rsidRPr="004A4B31">
              <w:rPr>
                <w:rStyle w:val="Hyperlink"/>
              </w:rPr>
              <w:t>Risk of bias for studies of radiotherapy</w:t>
            </w:r>
            <w:r w:rsidR="00067BFA">
              <w:rPr>
                <w:webHidden/>
              </w:rPr>
              <w:tab/>
            </w:r>
            <w:r w:rsidR="00067BFA">
              <w:rPr>
                <w:webHidden/>
              </w:rPr>
              <w:fldChar w:fldCharType="begin"/>
            </w:r>
            <w:r w:rsidR="00067BFA">
              <w:rPr>
                <w:webHidden/>
              </w:rPr>
              <w:instrText xml:space="preserve"> PAGEREF _Toc460396035 \h </w:instrText>
            </w:r>
            <w:r w:rsidR="00067BFA">
              <w:rPr>
                <w:webHidden/>
              </w:rPr>
            </w:r>
            <w:r w:rsidR="00067BFA">
              <w:rPr>
                <w:webHidden/>
              </w:rPr>
              <w:fldChar w:fldCharType="separate"/>
            </w:r>
            <w:r w:rsidR="00FE080A">
              <w:rPr>
                <w:webHidden/>
              </w:rPr>
              <w:t>72</w:t>
            </w:r>
            <w:r w:rsidR="00067BFA">
              <w:rPr>
                <w:webHidden/>
              </w:rPr>
              <w:fldChar w:fldCharType="end"/>
            </w:r>
          </w:hyperlink>
        </w:p>
        <w:p w14:paraId="0B2DA408" w14:textId="77777777" w:rsidR="00067BFA" w:rsidRDefault="00EE58C4" w:rsidP="00085DF0">
          <w:pPr>
            <w:pStyle w:val="TOC3"/>
            <w:spacing w:before="60" w:after="60"/>
            <w:rPr>
              <w:rFonts w:asciiTheme="minorHAnsi" w:eastAsiaTheme="minorEastAsia" w:hAnsiTheme="minorHAnsi" w:cstheme="minorBidi"/>
            </w:rPr>
          </w:pPr>
          <w:hyperlink w:anchor="_Toc460396036" w:history="1">
            <w:r w:rsidR="00067BFA" w:rsidRPr="004A4B31">
              <w:rPr>
                <w:rStyle w:val="Hyperlink"/>
              </w:rPr>
              <w:t>Risk of bias in the included studies for surgery</w:t>
            </w:r>
            <w:r w:rsidR="00067BFA">
              <w:rPr>
                <w:webHidden/>
              </w:rPr>
              <w:tab/>
            </w:r>
            <w:r w:rsidR="00067BFA">
              <w:rPr>
                <w:webHidden/>
              </w:rPr>
              <w:fldChar w:fldCharType="begin"/>
            </w:r>
            <w:r w:rsidR="00067BFA">
              <w:rPr>
                <w:webHidden/>
              </w:rPr>
              <w:instrText xml:space="preserve"> PAGEREF _Toc460396036 \h </w:instrText>
            </w:r>
            <w:r w:rsidR="00067BFA">
              <w:rPr>
                <w:webHidden/>
              </w:rPr>
            </w:r>
            <w:r w:rsidR="00067BFA">
              <w:rPr>
                <w:webHidden/>
              </w:rPr>
              <w:fldChar w:fldCharType="separate"/>
            </w:r>
            <w:r w:rsidR="00FE080A">
              <w:rPr>
                <w:webHidden/>
              </w:rPr>
              <w:t>77</w:t>
            </w:r>
            <w:r w:rsidR="00067BFA">
              <w:rPr>
                <w:webHidden/>
              </w:rPr>
              <w:fldChar w:fldCharType="end"/>
            </w:r>
          </w:hyperlink>
        </w:p>
        <w:p w14:paraId="70FA7C67" w14:textId="77777777" w:rsidR="00067BFA" w:rsidRDefault="00EE58C4" w:rsidP="00085DF0">
          <w:pPr>
            <w:pStyle w:val="TOC2"/>
            <w:spacing w:before="60" w:after="60"/>
            <w:rPr>
              <w:rFonts w:asciiTheme="minorHAnsi" w:eastAsiaTheme="minorEastAsia" w:hAnsiTheme="minorHAnsi" w:cstheme="minorBidi"/>
            </w:rPr>
          </w:pPr>
          <w:hyperlink w:anchor="_Toc460396037" w:history="1">
            <w:r w:rsidR="00067BFA" w:rsidRPr="004A4B31">
              <w:rPr>
                <w:rStyle w:val="Hyperlink"/>
              </w:rPr>
              <w:t>B.3.</w:t>
            </w:r>
            <w:r w:rsidR="00067BFA">
              <w:rPr>
                <w:rFonts w:asciiTheme="minorHAnsi" w:eastAsiaTheme="minorEastAsia" w:hAnsiTheme="minorHAnsi" w:cstheme="minorBidi"/>
              </w:rPr>
              <w:tab/>
            </w:r>
            <w:r w:rsidR="00067BFA" w:rsidRPr="004A4B31">
              <w:rPr>
                <w:rStyle w:val="Hyperlink"/>
              </w:rPr>
              <w:t>Characteristics of the Evidence Base</w:t>
            </w:r>
            <w:r w:rsidR="00067BFA">
              <w:rPr>
                <w:webHidden/>
              </w:rPr>
              <w:tab/>
            </w:r>
            <w:r w:rsidR="00067BFA">
              <w:rPr>
                <w:webHidden/>
              </w:rPr>
              <w:fldChar w:fldCharType="begin"/>
            </w:r>
            <w:r w:rsidR="00067BFA">
              <w:rPr>
                <w:webHidden/>
              </w:rPr>
              <w:instrText xml:space="preserve"> PAGEREF _Toc460396037 \h </w:instrText>
            </w:r>
            <w:r w:rsidR="00067BFA">
              <w:rPr>
                <w:webHidden/>
              </w:rPr>
            </w:r>
            <w:r w:rsidR="00067BFA">
              <w:rPr>
                <w:webHidden/>
              </w:rPr>
              <w:fldChar w:fldCharType="separate"/>
            </w:r>
            <w:r w:rsidR="00FE080A">
              <w:rPr>
                <w:webHidden/>
              </w:rPr>
              <w:t>81</w:t>
            </w:r>
            <w:r w:rsidR="00067BFA">
              <w:rPr>
                <w:webHidden/>
              </w:rPr>
              <w:fldChar w:fldCharType="end"/>
            </w:r>
          </w:hyperlink>
        </w:p>
        <w:p w14:paraId="54836FC8" w14:textId="77777777" w:rsidR="00067BFA" w:rsidRDefault="00EE58C4" w:rsidP="00085DF0">
          <w:pPr>
            <w:pStyle w:val="TOC3"/>
            <w:spacing w:before="60" w:after="60"/>
            <w:rPr>
              <w:rFonts w:asciiTheme="minorHAnsi" w:eastAsiaTheme="minorEastAsia" w:hAnsiTheme="minorHAnsi" w:cstheme="minorBidi"/>
            </w:rPr>
          </w:pPr>
          <w:hyperlink w:anchor="_Toc460396038" w:history="1">
            <w:r w:rsidR="00067BFA" w:rsidRPr="004A4B31">
              <w:rPr>
                <w:rStyle w:val="Hyperlink"/>
              </w:rPr>
              <w:t>Characteristics of the studies included for MTA</w:t>
            </w:r>
            <w:r w:rsidR="00067BFA">
              <w:rPr>
                <w:webHidden/>
              </w:rPr>
              <w:tab/>
            </w:r>
            <w:r w:rsidR="00067BFA">
              <w:rPr>
                <w:webHidden/>
              </w:rPr>
              <w:fldChar w:fldCharType="begin"/>
            </w:r>
            <w:r w:rsidR="00067BFA">
              <w:rPr>
                <w:webHidden/>
              </w:rPr>
              <w:instrText xml:space="preserve"> PAGEREF _Toc460396038 \h </w:instrText>
            </w:r>
            <w:r w:rsidR="00067BFA">
              <w:rPr>
                <w:webHidden/>
              </w:rPr>
            </w:r>
            <w:r w:rsidR="00067BFA">
              <w:rPr>
                <w:webHidden/>
              </w:rPr>
              <w:fldChar w:fldCharType="separate"/>
            </w:r>
            <w:r w:rsidR="00FE080A">
              <w:rPr>
                <w:webHidden/>
              </w:rPr>
              <w:t>81</w:t>
            </w:r>
            <w:r w:rsidR="00067BFA">
              <w:rPr>
                <w:webHidden/>
              </w:rPr>
              <w:fldChar w:fldCharType="end"/>
            </w:r>
          </w:hyperlink>
        </w:p>
        <w:p w14:paraId="516428F1" w14:textId="77777777" w:rsidR="00067BFA" w:rsidRDefault="00EE58C4" w:rsidP="00085DF0">
          <w:pPr>
            <w:pStyle w:val="TOC3"/>
            <w:spacing w:before="60" w:after="60"/>
            <w:rPr>
              <w:rFonts w:asciiTheme="minorHAnsi" w:eastAsiaTheme="minorEastAsia" w:hAnsiTheme="minorHAnsi" w:cstheme="minorBidi"/>
            </w:rPr>
          </w:pPr>
          <w:hyperlink w:anchor="_Toc460396039" w:history="1">
            <w:r w:rsidR="00067BFA" w:rsidRPr="004A4B31">
              <w:rPr>
                <w:rStyle w:val="Hyperlink"/>
              </w:rPr>
              <w:t>Characteristics of the studies included for RFA</w:t>
            </w:r>
            <w:r w:rsidR="00067BFA">
              <w:rPr>
                <w:webHidden/>
              </w:rPr>
              <w:tab/>
            </w:r>
            <w:r w:rsidR="00067BFA">
              <w:rPr>
                <w:webHidden/>
              </w:rPr>
              <w:fldChar w:fldCharType="begin"/>
            </w:r>
            <w:r w:rsidR="00067BFA">
              <w:rPr>
                <w:webHidden/>
              </w:rPr>
              <w:instrText xml:space="preserve"> PAGEREF _Toc460396039 \h </w:instrText>
            </w:r>
            <w:r w:rsidR="00067BFA">
              <w:rPr>
                <w:webHidden/>
              </w:rPr>
            </w:r>
            <w:r w:rsidR="00067BFA">
              <w:rPr>
                <w:webHidden/>
              </w:rPr>
              <w:fldChar w:fldCharType="separate"/>
            </w:r>
            <w:r w:rsidR="00FE080A">
              <w:rPr>
                <w:webHidden/>
              </w:rPr>
              <w:t>87</w:t>
            </w:r>
            <w:r w:rsidR="00067BFA">
              <w:rPr>
                <w:webHidden/>
              </w:rPr>
              <w:fldChar w:fldCharType="end"/>
            </w:r>
          </w:hyperlink>
        </w:p>
        <w:p w14:paraId="0A8384DD" w14:textId="77777777" w:rsidR="00067BFA" w:rsidRDefault="00EE58C4" w:rsidP="00085DF0">
          <w:pPr>
            <w:pStyle w:val="TOC3"/>
            <w:spacing w:before="60" w:after="60"/>
            <w:rPr>
              <w:rFonts w:asciiTheme="minorHAnsi" w:eastAsiaTheme="minorEastAsia" w:hAnsiTheme="minorHAnsi" w:cstheme="minorBidi"/>
            </w:rPr>
          </w:pPr>
          <w:hyperlink w:anchor="_Toc460396040" w:history="1">
            <w:r w:rsidR="00067BFA" w:rsidRPr="004A4B31">
              <w:rPr>
                <w:rStyle w:val="Hyperlink"/>
              </w:rPr>
              <w:t>Characteristics of the studies included for radiotherapy</w:t>
            </w:r>
            <w:r w:rsidR="00067BFA">
              <w:rPr>
                <w:webHidden/>
              </w:rPr>
              <w:tab/>
            </w:r>
            <w:r w:rsidR="00067BFA">
              <w:rPr>
                <w:webHidden/>
              </w:rPr>
              <w:fldChar w:fldCharType="begin"/>
            </w:r>
            <w:r w:rsidR="00067BFA">
              <w:rPr>
                <w:webHidden/>
              </w:rPr>
              <w:instrText xml:space="preserve"> PAGEREF _Toc460396040 \h </w:instrText>
            </w:r>
            <w:r w:rsidR="00067BFA">
              <w:rPr>
                <w:webHidden/>
              </w:rPr>
            </w:r>
            <w:r w:rsidR="00067BFA">
              <w:rPr>
                <w:webHidden/>
              </w:rPr>
              <w:fldChar w:fldCharType="separate"/>
            </w:r>
            <w:r w:rsidR="00FE080A">
              <w:rPr>
                <w:webHidden/>
              </w:rPr>
              <w:t>92</w:t>
            </w:r>
            <w:r w:rsidR="00067BFA">
              <w:rPr>
                <w:webHidden/>
              </w:rPr>
              <w:fldChar w:fldCharType="end"/>
            </w:r>
          </w:hyperlink>
        </w:p>
        <w:p w14:paraId="728CC78E" w14:textId="77777777" w:rsidR="00067BFA" w:rsidRDefault="00EE58C4" w:rsidP="00085DF0">
          <w:pPr>
            <w:pStyle w:val="TOC3"/>
            <w:spacing w:before="60" w:after="60"/>
            <w:rPr>
              <w:rFonts w:asciiTheme="minorHAnsi" w:eastAsiaTheme="minorEastAsia" w:hAnsiTheme="minorHAnsi" w:cstheme="minorBidi"/>
            </w:rPr>
          </w:pPr>
          <w:hyperlink w:anchor="_Toc460396041" w:history="1">
            <w:r w:rsidR="00067BFA" w:rsidRPr="004A4B31">
              <w:rPr>
                <w:rStyle w:val="Hyperlink"/>
              </w:rPr>
              <w:t>Characteristics of the included studies for surgery</w:t>
            </w:r>
            <w:r w:rsidR="00067BFA">
              <w:rPr>
                <w:webHidden/>
              </w:rPr>
              <w:tab/>
            </w:r>
            <w:r w:rsidR="00067BFA">
              <w:rPr>
                <w:webHidden/>
              </w:rPr>
              <w:fldChar w:fldCharType="begin"/>
            </w:r>
            <w:r w:rsidR="00067BFA">
              <w:rPr>
                <w:webHidden/>
              </w:rPr>
              <w:instrText xml:space="preserve"> PAGEREF _Toc460396041 \h </w:instrText>
            </w:r>
            <w:r w:rsidR="00067BFA">
              <w:rPr>
                <w:webHidden/>
              </w:rPr>
            </w:r>
            <w:r w:rsidR="00067BFA">
              <w:rPr>
                <w:webHidden/>
              </w:rPr>
              <w:fldChar w:fldCharType="separate"/>
            </w:r>
            <w:r w:rsidR="00FE080A">
              <w:rPr>
                <w:webHidden/>
              </w:rPr>
              <w:t>97</w:t>
            </w:r>
            <w:r w:rsidR="00067BFA">
              <w:rPr>
                <w:webHidden/>
              </w:rPr>
              <w:fldChar w:fldCharType="end"/>
            </w:r>
          </w:hyperlink>
        </w:p>
        <w:p w14:paraId="1DD09869" w14:textId="77777777" w:rsidR="00067BFA" w:rsidRDefault="00EE58C4" w:rsidP="00085DF0">
          <w:pPr>
            <w:pStyle w:val="TOC2"/>
            <w:spacing w:before="60" w:after="60"/>
            <w:rPr>
              <w:rFonts w:asciiTheme="minorHAnsi" w:eastAsiaTheme="minorEastAsia" w:hAnsiTheme="minorHAnsi" w:cstheme="minorBidi"/>
            </w:rPr>
          </w:pPr>
          <w:hyperlink w:anchor="_Toc460396042" w:history="1">
            <w:r w:rsidR="00067BFA" w:rsidRPr="004A4B31">
              <w:rPr>
                <w:rStyle w:val="Hyperlink"/>
              </w:rPr>
              <w:t>B.4.</w:t>
            </w:r>
            <w:r w:rsidR="00067BFA">
              <w:rPr>
                <w:rFonts w:asciiTheme="minorHAnsi" w:eastAsiaTheme="minorEastAsia" w:hAnsiTheme="minorHAnsi" w:cstheme="minorBidi"/>
              </w:rPr>
              <w:tab/>
            </w:r>
            <w:r w:rsidR="00067BFA" w:rsidRPr="004A4B31">
              <w:rPr>
                <w:rStyle w:val="Hyperlink"/>
              </w:rPr>
              <w:t>Outcome Measures and Analysis</w:t>
            </w:r>
            <w:r w:rsidR="00067BFA">
              <w:rPr>
                <w:webHidden/>
              </w:rPr>
              <w:tab/>
            </w:r>
            <w:r w:rsidR="00067BFA">
              <w:rPr>
                <w:webHidden/>
              </w:rPr>
              <w:fldChar w:fldCharType="begin"/>
            </w:r>
            <w:r w:rsidR="00067BFA">
              <w:rPr>
                <w:webHidden/>
              </w:rPr>
              <w:instrText xml:space="preserve"> PAGEREF _Toc460396042 \h </w:instrText>
            </w:r>
            <w:r w:rsidR="00067BFA">
              <w:rPr>
                <w:webHidden/>
              </w:rPr>
            </w:r>
            <w:r w:rsidR="00067BFA">
              <w:rPr>
                <w:webHidden/>
              </w:rPr>
              <w:fldChar w:fldCharType="separate"/>
            </w:r>
            <w:r w:rsidR="00FE080A">
              <w:rPr>
                <w:webHidden/>
              </w:rPr>
              <w:t>99</w:t>
            </w:r>
            <w:r w:rsidR="00067BFA">
              <w:rPr>
                <w:webHidden/>
              </w:rPr>
              <w:fldChar w:fldCharType="end"/>
            </w:r>
          </w:hyperlink>
        </w:p>
        <w:p w14:paraId="6673B75A" w14:textId="77777777" w:rsidR="00067BFA" w:rsidRDefault="00EE58C4" w:rsidP="00085DF0">
          <w:pPr>
            <w:pStyle w:val="TOC2"/>
            <w:spacing w:before="60" w:after="60"/>
            <w:rPr>
              <w:rFonts w:asciiTheme="minorHAnsi" w:eastAsiaTheme="minorEastAsia" w:hAnsiTheme="minorHAnsi" w:cstheme="minorBidi"/>
            </w:rPr>
          </w:pPr>
          <w:hyperlink w:anchor="_Toc460396043" w:history="1">
            <w:r w:rsidR="00067BFA" w:rsidRPr="004A4B31">
              <w:rPr>
                <w:rStyle w:val="Hyperlink"/>
              </w:rPr>
              <w:t>B.5.</w:t>
            </w:r>
            <w:r w:rsidR="00067BFA">
              <w:rPr>
                <w:rFonts w:asciiTheme="minorHAnsi" w:eastAsiaTheme="minorEastAsia" w:hAnsiTheme="minorHAnsi" w:cstheme="minorBidi"/>
              </w:rPr>
              <w:tab/>
            </w:r>
            <w:r w:rsidR="00067BFA" w:rsidRPr="004A4B31">
              <w:rPr>
                <w:rStyle w:val="Hyperlink"/>
              </w:rPr>
              <w:t>Results of the Systematic Literature review</w:t>
            </w:r>
            <w:r w:rsidR="00067BFA">
              <w:rPr>
                <w:webHidden/>
              </w:rPr>
              <w:tab/>
            </w:r>
            <w:r w:rsidR="00067BFA">
              <w:rPr>
                <w:webHidden/>
              </w:rPr>
              <w:fldChar w:fldCharType="begin"/>
            </w:r>
            <w:r w:rsidR="00067BFA">
              <w:rPr>
                <w:webHidden/>
              </w:rPr>
              <w:instrText xml:space="preserve"> PAGEREF _Toc460396043 \h </w:instrText>
            </w:r>
            <w:r w:rsidR="00067BFA">
              <w:rPr>
                <w:webHidden/>
              </w:rPr>
            </w:r>
            <w:r w:rsidR="00067BFA">
              <w:rPr>
                <w:webHidden/>
              </w:rPr>
              <w:fldChar w:fldCharType="separate"/>
            </w:r>
            <w:r w:rsidR="00FE080A">
              <w:rPr>
                <w:webHidden/>
              </w:rPr>
              <w:t>103</w:t>
            </w:r>
            <w:r w:rsidR="00067BFA">
              <w:rPr>
                <w:webHidden/>
              </w:rPr>
              <w:fldChar w:fldCharType="end"/>
            </w:r>
          </w:hyperlink>
        </w:p>
        <w:p w14:paraId="004DF548" w14:textId="77777777" w:rsidR="00067BFA" w:rsidRDefault="00EE58C4" w:rsidP="00085DF0">
          <w:pPr>
            <w:pStyle w:val="TOC2"/>
            <w:spacing w:before="60" w:after="60"/>
            <w:rPr>
              <w:rFonts w:asciiTheme="minorHAnsi" w:eastAsiaTheme="minorEastAsia" w:hAnsiTheme="minorHAnsi" w:cstheme="minorBidi"/>
            </w:rPr>
          </w:pPr>
          <w:hyperlink w:anchor="_Toc460396044" w:history="1">
            <w:r w:rsidR="00067BFA" w:rsidRPr="004A4B31">
              <w:rPr>
                <w:rStyle w:val="Hyperlink"/>
              </w:rPr>
              <w:t>Is MTA for ablation of lung cancer safe?</w:t>
            </w:r>
            <w:r w:rsidR="00067BFA">
              <w:rPr>
                <w:webHidden/>
              </w:rPr>
              <w:tab/>
            </w:r>
            <w:r w:rsidR="00067BFA">
              <w:rPr>
                <w:webHidden/>
              </w:rPr>
              <w:fldChar w:fldCharType="begin"/>
            </w:r>
            <w:r w:rsidR="00067BFA">
              <w:rPr>
                <w:webHidden/>
              </w:rPr>
              <w:instrText xml:space="preserve"> PAGEREF _Toc460396044 \h </w:instrText>
            </w:r>
            <w:r w:rsidR="00067BFA">
              <w:rPr>
                <w:webHidden/>
              </w:rPr>
            </w:r>
            <w:r w:rsidR="00067BFA">
              <w:rPr>
                <w:webHidden/>
              </w:rPr>
              <w:fldChar w:fldCharType="separate"/>
            </w:r>
            <w:r w:rsidR="00FE080A">
              <w:rPr>
                <w:webHidden/>
              </w:rPr>
              <w:t>103</w:t>
            </w:r>
            <w:r w:rsidR="00067BFA">
              <w:rPr>
                <w:webHidden/>
              </w:rPr>
              <w:fldChar w:fldCharType="end"/>
            </w:r>
          </w:hyperlink>
        </w:p>
        <w:p w14:paraId="49C768C1" w14:textId="53D408F4" w:rsidR="00067BFA" w:rsidRDefault="00EE58C4" w:rsidP="00085DF0">
          <w:pPr>
            <w:pStyle w:val="TOC3"/>
            <w:spacing w:before="60" w:after="60"/>
            <w:rPr>
              <w:rFonts w:asciiTheme="minorHAnsi" w:eastAsiaTheme="minorEastAsia" w:hAnsiTheme="minorHAnsi" w:cstheme="minorBidi"/>
            </w:rPr>
          </w:pPr>
          <w:hyperlink w:anchor="_Toc460396045" w:history="1">
            <w:r w:rsidR="00067BFA" w:rsidRPr="004A4B31">
              <w:rPr>
                <w:rStyle w:val="Hyperlink"/>
              </w:rPr>
              <w:t>Procedure-related mortality</w:t>
            </w:r>
            <w:r w:rsidR="00067BFA">
              <w:rPr>
                <w:webHidden/>
              </w:rPr>
              <w:tab/>
            </w:r>
            <w:r w:rsidR="00067BFA">
              <w:rPr>
                <w:webHidden/>
              </w:rPr>
              <w:fldChar w:fldCharType="begin"/>
            </w:r>
            <w:r w:rsidR="00067BFA">
              <w:rPr>
                <w:webHidden/>
              </w:rPr>
              <w:instrText xml:space="preserve"> PAGEREF _Toc460396045 \h </w:instrText>
            </w:r>
            <w:r w:rsidR="00067BFA">
              <w:rPr>
                <w:webHidden/>
              </w:rPr>
            </w:r>
            <w:r w:rsidR="00067BFA">
              <w:rPr>
                <w:webHidden/>
              </w:rPr>
              <w:fldChar w:fldCharType="separate"/>
            </w:r>
            <w:r w:rsidR="00FE080A">
              <w:rPr>
                <w:webHidden/>
              </w:rPr>
              <w:t>104</w:t>
            </w:r>
            <w:r w:rsidR="00067BFA">
              <w:rPr>
                <w:webHidden/>
              </w:rPr>
              <w:fldChar w:fldCharType="end"/>
            </w:r>
          </w:hyperlink>
        </w:p>
        <w:p w14:paraId="020A844B" w14:textId="77777777" w:rsidR="00067BFA" w:rsidRDefault="00EE58C4" w:rsidP="00085DF0">
          <w:pPr>
            <w:pStyle w:val="TOC3"/>
            <w:spacing w:before="60" w:after="60"/>
            <w:rPr>
              <w:rFonts w:asciiTheme="minorHAnsi" w:eastAsiaTheme="minorEastAsia" w:hAnsiTheme="minorHAnsi" w:cstheme="minorBidi"/>
            </w:rPr>
          </w:pPr>
          <w:hyperlink w:anchor="_Toc460396046" w:history="1">
            <w:r w:rsidR="00067BFA" w:rsidRPr="004A4B31">
              <w:rPr>
                <w:rStyle w:val="Hyperlink"/>
              </w:rPr>
              <w:t>Pneumothorax</w:t>
            </w:r>
            <w:r w:rsidR="00067BFA">
              <w:rPr>
                <w:webHidden/>
              </w:rPr>
              <w:tab/>
            </w:r>
            <w:r w:rsidR="00067BFA">
              <w:rPr>
                <w:webHidden/>
              </w:rPr>
              <w:fldChar w:fldCharType="begin"/>
            </w:r>
            <w:r w:rsidR="00067BFA">
              <w:rPr>
                <w:webHidden/>
              </w:rPr>
              <w:instrText xml:space="preserve"> PAGEREF _Toc460396046 \h </w:instrText>
            </w:r>
            <w:r w:rsidR="00067BFA">
              <w:rPr>
                <w:webHidden/>
              </w:rPr>
            </w:r>
            <w:r w:rsidR="00067BFA">
              <w:rPr>
                <w:webHidden/>
              </w:rPr>
              <w:fldChar w:fldCharType="separate"/>
            </w:r>
            <w:r w:rsidR="00FE080A">
              <w:rPr>
                <w:webHidden/>
              </w:rPr>
              <w:t>105</w:t>
            </w:r>
            <w:r w:rsidR="00067BFA">
              <w:rPr>
                <w:webHidden/>
              </w:rPr>
              <w:fldChar w:fldCharType="end"/>
            </w:r>
          </w:hyperlink>
        </w:p>
        <w:p w14:paraId="6881DA61" w14:textId="77777777" w:rsidR="00067BFA" w:rsidRDefault="00EE58C4" w:rsidP="00085DF0">
          <w:pPr>
            <w:pStyle w:val="TOC3"/>
            <w:spacing w:before="60" w:after="60"/>
            <w:rPr>
              <w:rFonts w:asciiTheme="minorHAnsi" w:eastAsiaTheme="minorEastAsia" w:hAnsiTheme="minorHAnsi" w:cstheme="minorBidi"/>
            </w:rPr>
          </w:pPr>
          <w:hyperlink w:anchor="_Toc460396047" w:history="1">
            <w:r w:rsidR="00067BFA" w:rsidRPr="004A4B31">
              <w:rPr>
                <w:rStyle w:val="Hyperlink"/>
              </w:rPr>
              <w:t>Pneumonia</w:t>
            </w:r>
            <w:r w:rsidR="00067BFA">
              <w:rPr>
                <w:webHidden/>
              </w:rPr>
              <w:tab/>
            </w:r>
            <w:r w:rsidR="00067BFA">
              <w:rPr>
                <w:webHidden/>
              </w:rPr>
              <w:fldChar w:fldCharType="begin"/>
            </w:r>
            <w:r w:rsidR="00067BFA">
              <w:rPr>
                <w:webHidden/>
              </w:rPr>
              <w:instrText xml:space="preserve"> PAGEREF _Toc460396047 \h </w:instrText>
            </w:r>
            <w:r w:rsidR="00067BFA">
              <w:rPr>
                <w:webHidden/>
              </w:rPr>
            </w:r>
            <w:r w:rsidR="00067BFA">
              <w:rPr>
                <w:webHidden/>
              </w:rPr>
              <w:fldChar w:fldCharType="separate"/>
            </w:r>
            <w:r w:rsidR="00FE080A">
              <w:rPr>
                <w:webHidden/>
              </w:rPr>
              <w:t>107</w:t>
            </w:r>
            <w:r w:rsidR="00067BFA">
              <w:rPr>
                <w:webHidden/>
              </w:rPr>
              <w:fldChar w:fldCharType="end"/>
            </w:r>
          </w:hyperlink>
        </w:p>
        <w:p w14:paraId="58A3B0BA" w14:textId="77777777" w:rsidR="00067BFA" w:rsidRDefault="00EE58C4" w:rsidP="00085DF0">
          <w:pPr>
            <w:pStyle w:val="TOC3"/>
            <w:spacing w:before="60" w:after="60"/>
            <w:rPr>
              <w:rFonts w:asciiTheme="minorHAnsi" w:eastAsiaTheme="minorEastAsia" w:hAnsiTheme="minorHAnsi" w:cstheme="minorBidi"/>
            </w:rPr>
          </w:pPr>
          <w:hyperlink w:anchor="_Toc460396048" w:history="1">
            <w:r w:rsidR="00067BFA" w:rsidRPr="004A4B31">
              <w:rPr>
                <w:rStyle w:val="Hyperlink"/>
              </w:rPr>
              <w:t>Other adverse events reported</w:t>
            </w:r>
            <w:r w:rsidR="00067BFA">
              <w:rPr>
                <w:webHidden/>
              </w:rPr>
              <w:tab/>
            </w:r>
            <w:r w:rsidR="00067BFA">
              <w:rPr>
                <w:webHidden/>
              </w:rPr>
              <w:fldChar w:fldCharType="begin"/>
            </w:r>
            <w:r w:rsidR="00067BFA">
              <w:rPr>
                <w:webHidden/>
              </w:rPr>
              <w:instrText xml:space="preserve"> PAGEREF _Toc460396048 \h </w:instrText>
            </w:r>
            <w:r w:rsidR="00067BFA">
              <w:rPr>
                <w:webHidden/>
              </w:rPr>
            </w:r>
            <w:r w:rsidR="00067BFA">
              <w:rPr>
                <w:webHidden/>
              </w:rPr>
              <w:fldChar w:fldCharType="separate"/>
            </w:r>
            <w:r w:rsidR="00FE080A">
              <w:rPr>
                <w:webHidden/>
              </w:rPr>
              <w:t>107</w:t>
            </w:r>
            <w:r w:rsidR="00067BFA">
              <w:rPr>
                <w:webHidden/>
              </w:rPr>
              <w:fldChar w:fldCharType="end"/>
            </w:r>
          </w:hyperlink>
        </w:p>
        <w:p w14:paraId="1ABFB939" w14:textId="77777777" w:rsidR="00067BFA" w:rsidRDefault="00EE58C4" w:rsidP="00085DF0">
          <w:pPr>
            <w:pStyle w:val="TOC2"/>
            <w:spacing w:before="60" w:after="60"/>
            <w:rPr>
              <w:rFonts w:asciiTheme="minorHAnsi" w:eastAsiaTheme="minorEastAsia" w:hAnsiTheme="minorHAnsi" w:cstheme="minorBidi"/>
            </w:rPr>
          </w:pPr>
          <w:hyperlink w:anchor="_Toc460396049" w:history="1">
            <w:r w:rsidR="00067BFA" w:rsidRPr="004A4B31">
              <w:rPr>
                <w:rStyle w:val="Hyperlink"/>
              </w:rPr>
              <w:t>Is radiofrequency ablation of lung cancer safe?</w:t>
            </w:r>
            <w:r w:rsidR="00067BFA">
              <w:rPr>
                <w:webHidden/>
              </w:rPr>
              <w:tab/>
            </w:r>
            <w:r w:rsidR="00067BFA">
              <w:rPr>
                <w:webHidden/>
              </w:rPr>
              <w:fldChar w:fldCharType="begin"/>
            </w:r>
            <w:r w:rsidR="00067BFA">
              <w:rPr>
                <w:webHidden/>
              </w:rPr>
              <w:instrText xml:space="preserve"> PAGEREF _Toc460396049 \h </w:instrText>
            </w:r>
            <w:r w:rsidR="00067BFA">
              <w:rPr>
                <w:webHidden/>
              </w:rPr>
            </w:r>
            <w:r w:rsidR="00067BFA">
              <w:rPr>
                <w:webHidden/>
              </w:rPr>
              <w:fldChar w:fldCharType="separate"/>
            </w:r>
            <w:r w:rsidR="00FE080A">
              <w:rPr>
                <w:webHidden/>
              </w:rPr>
              <w:t>110</w:t>
            </w:r>
            <w:r w:rsidR="00067BFA">
              <w:rPr>
                <w:webHidden/>
              </w:rPr>
              <w:fldChar w:fldCharType="end"/>
            </w:r>
          </w:hyperlink>
        </w:p>
        <w:p w14:paraId="48317787" w14:textId="77777777" w:rsidR="00067BFA" w:rsidRDefault="00EE58C4" w:rsidP="00085DF0">
          <w:pPr>
            <w:pStyle w:val="TOC3"/>
            <w:spacing w:before="60" w:after="60"/>
            <w:rPr>
              <w:rFonts w:asciiTheme="minorHAnsi" w:eastAsiaTheme="minorEastAsia" w:hAnsiTheme="minorHAnsi" w:cstheme="minorBidi"/>
            </w:rPr>
          </w:pPr>
          <w:hyperlink w:anchor="_Toc460396050" w:history="1">
            <w:r w:rsidR="00067BFA" w:rsidRPr="004A4B31">
              <w:rPr>
                <w:rStyle w:val="Hyperlink"/>
              </w:rPr>
              <w:t>Procedure-related mortality</w:t>
            </w:r>
            <w:r w:rsidR="00067BFA">
              <w:rPr>
                <w:webHidden/>
              </w:rPr>
              <w:tab/>
            </w:r>
            <w:r w:rsidR="00067BFA">
              <w:rPr>
                <w:webHidden/>
              </w:rPr>
              <w:fldChar w:fldCharType="begin"/>
            </w:r>
            <w:r w:rsidR="00067BFA">
              <w:rPr>
                <w:webHidden/>
              </w:rPr>
              <w:instrText xml:space="preserve"> PAGEREF _Toc460396050 \h </w:instrText>
            </w:r>
            <w:r w:rsidR="00067BFA">
              <w:rPr>
                <w:webHidden/>
              </w:rPr>
            </w:r>
            <w:r w:rsidR="00067BFA">
              <w:rPr>
                <w:webHidden/>
              </w:rPr>
              <w:fldChar w:fldCharType="separate"/>
            </w:r>
            <w:r w:rsidR="00FE080A">
              <w:rPr>
                <w:webHidden/>
              </w:rPr>
              <w:t>110</w:t>
            </w:r>
            <w:r w:rsidR="00067BFA">
              <w:rPr>
                <w:webHidden/>
              </w:rPr>
              <w:fldChar w:fldCharType="end"/>
            </w:r>
          </w:hyperlink>
        </w:p>
        <w:p w14:paraId="2CC35C3F" w14:textId="77777777" w:rsidR="00067BFA" w:rsidRDefault="00EE58C4" w:rsidP="00085DF0">
          <w:pPr>
            <w:pStyle w:val="TOC3"/>
            <w:spacing w:before="60" w:after="60"/>
            <w:rPr>
              <w:rFonts w:asciiTheme="minorHAnsi" w:eastAsiaTheme="minorEastAsia" w:hAnsiTheme="minorHAnsi" w:cstheme="minorBidi"/>
            </w:rPr>
          </w:pPr>
          <w:hyperlink w:anchor="_Toc460396051" w:history="1">
            <w:r w:rsidR="00067BFA" w:rsidRPr="004A4B31">
              <w:rPr>
                <w:rStyle w:val="Hyperlink"/>
              </w:rPr>
              <w:t>Pneumothorax</w:t>
            </w:r>
            <w:r w:rsidR="00067BFA">
              <w:rPr>
                <w:webHidden/>
              </w:rPr>
              <w:tab/>
            </w:r>
            <w:r w:rsidR="00067BFA">
              <w:rPr>
                <w:webHidden/>
              </w:rPr>
              <w:fldChar w:fldCharType="begin"/>
            </w:r>
            <w:r w:rsidR="00067BFA">
              <w:rPr>
                <w:webHidden/>
              </w:rPr>
              <w:instrText xml:space="preserve"> PAGEREF _Toc460396051 \h </w:instrText>
            </w:r>
            <w:r w:rsidR="00067BFA">
              <w:rPr>
                <w:webHidden/>
              </w:rPr>
            </w:r>
            <w:r w:rsidR="00067BFA">
              <w:rPr>
                <w:webHidden/>
              </w:rPr>
              <w:fldChar w:fldCharType="separate"/>
            </w:r>
            <w:r w:rsidR="00FE080A">
              <w:rPr>
                <w:webHidden/>
              </w:rPr>
              <w:t>111</w:t>
            </w:r>
            <w:r w:rsidR="00067BFA">
              <w:rPr>
                <w:webHidden/>
              </w:rPr>
              <w:fldChar w:fldCharType="end"/>
            </w:r>
          </w:hyperlink>
        </w:p>
        <w:p w14:paraId="5DB6AD6F" w14:textId="77777777" w:rsidR="00067BFA" w:rsidRDefault="00EE58C4" w:rsidP="00085DF0">
          <w:pPr>
            <w:pStyle w:val="TOC3"/>
            <w:spacing w:before="60" w:after="60"/>
            <w:rPr>
              <w:rFonts w:asciiTheme="minorHAnsi" w:eastAsiaTheme="minorEastAsia" w:hAnsiTheme="minorHAnsi" w:cstheme="minorBidi"/>
            </w:rPr>
          </w:pPr>
          <w:hyperlink w:anchor="_Toc460396052" w:history="1">
            <w:r w:rsidR="00067BFA" w:rsidRPr="004A4B31">
              <w:rPr>
                <w:rStyle w:val="Hyperlink"/>
              </w:rPr>
              <w:t>Other adverse events</w:t>
            </w:r>
            <w:r w:rsidR="00067BFA">
              <w:rPr>
                <w:webHidden/>
              </w:rPr>
              <w:tab/>
            </w:r>
            <w:r w:rsidR="00067BFA">
              <w:rPr>
                <w:webHidden/>
              </w:rPr>
              <w:fldChar w:fldCharType="begin"/>
            </w:r>
            <w:r w:rsidR="00067BFA">
              <w:rPr>
                <w:webHidden/>
              </w:rPr>
              <w:instrText xml:space="preserve"> PAGEREF _Toc460396052 \h </w:instrText>
            </w:r>
            <w:r w:rsidR="00067BFA">
              <w:rPr>
                <w:webHidden/>
              </w:rPr>
            </w:r>
            <w:r w:rsidR="00067BFA">
              <w:rPr>
                <w:webHidden/>
              </w:rPr>
              <w:fldChar w:fldCharType="separate"/>
            </w:r>
            <w:r w:rsidR="00FE080A">
              <w:rPr>
                <w:webHidden/>
              </w:rPr>
              <w:t>113</w:t>
            </w:r>
            <w:r w:rsidR="00067BFA">
              <w:rPr>
                <w:webHidden/>
              </w:rPr>
              <w:fldChar w:fldCharType="end"/>
            </w:r>
          </w:hyperlink>
        </w:p>
        <w:p w14:paraId="44285F47" w14:textId="77777777" w:rsidR="00067BFA" w:rsidRDefault="00EE58C4" w:rsidP="00085DF0">
          <w:pPr>
            <w:pStyle w:val="TOC2"/>
            <w:spacing w:before="60" w:after="60"/>
            <w:rPr>
              <w:rFonts w:asciiTheme="minorHAnsi" w:eastAsiaTheme="minorEastAsia" w:hAnsiTheme="minorHAnsi" w:cstheme="minorBidi"/>
            </w:rPr>
          </w:pPr>
          <w:hyperlink w:anchor="_Toc460396053" w:history="1">
            <w:r w:rsidR="00067BFA" w:rsidRPr="004A4B31">
              <w:rPr>
                <w:rStyle w:val="Hyperlink"/>
              </w:rPr>
              <w:t>Is current best practice radiotherapy for lung cancer safe?</w:t>
            </w:r>
            <w:r w:rsidR="00067BFA">
              <w:rPr>
                <w:webHidden/>
              </w:rPr>
              <w:tab/>
            </w:r>
            <w:r w:rsidR="00067BFA">
              <w:rPr>
                <w:webHidden/>
              </w:rPr>
              <w:fldChar w:fldCharType="begin"/>
            </w:r>
            <w:r w:rsidR="00067BFA">
              <w:rPr>
                <w:webHidden/>
              </w:rPr>
              <w:instrText xml:space="preserve"> PAGEREF _Toc460396053 \h </w:instrText>
            </w:r>
            <w:r w:rsidR="00067BFA">
              <w:rPr>
                <w:webHidden/>
              </w:rPr>
            </w:r>
            <w:r w:rsidR="00067BFA">
              <w:rPr>
                <w:webHidden/>
              </w:rPr>
              <w:fldChar w:fldCharType="separate"/>
            </w:r>
            <w:r w:rsidR="00FE080A">
              <w:rPr>
                <w:webHidden/>
              </w:rPr>
              <w:t>115</w:t>
            </w:r>
            <w:r w:rsidR="00067BFA">
              <w:rPr>
                <w:webHidden/>
              </w:rPr>
              <w:fldChar w:fldCharType="end"/>
            </w:r>
          </w:hyperlink>
        </w:p>
        <w:p w14:paraId="5BDC0C78" w14:textId="77777777" w:rsidR="00067BFA" w:rsidRDefault="00EE58C4" w:rsidP="00085DF0">
          <w:pPr>
            <w:pStyle w:val="TOC3"/>
            <w:spacing w:before="60" w:after="60"/>
            <w:rPr>
              <w:rFonts w:asciiTheme="minorHAnsi" w:eastAsiaTheme="minorEastAsia" w:hAnsiTheme="minorHAnsi" w:cstheme="minorBidi"/>
            </w:rPr>
          </w:pPr>
          <w:hyperlink w:anchor="_Toc460396054" w:history="1">
            <w:r w:rsidR="00067BFA" w:rsidRPr="004A4B31">
              <w:rPr>
                <w:rStyle w:val="Hyperlink"/>
              </w:rPr>
              <w:t>Severity of adverse events</w:t>
            </w:r>
            <w:r w:rsidR="00067BFA">
              <w:rPr>
                <w:webHidden/>
              </w:rPr>
              <w:tab/>
            </w:r>
            <w:r w:rsidR="00067BFA">
              <w:rPr>
                <w:webHidden/>
              </w:rPr>
              <w:fldChar w:fldCharType="begin"/>
            </w:r>
            <w:r w:rsidR="00067BFA">
              <w:rPr>
                <w:webHidden/>
              </w:rPr>
              <w:instrText xml:space="preserve"> PAGEREF _Toc460396054 \h </w:instrText>
            </w:r>
            <w:r w:rsidR="00067BFA">
              <w:rPr>
                <w:webHidden/>
              </w:rPr>
            </w:r>
            <w:r w:rsidR="00067BFA">
              <w:rPr>
                <w:webHidden/>
              </w:rPr>
              <w:fldChar w:fldCharType="separate"/>
            </w:r>
            <w:r w:rsidR="00FE080A">
              <w:rPr>
                <w:webHidden/>
              </w:rPr>
              <w:t>116</w:t>
            </w:r>
            <w:r w:rsidR="00067BFA">
              <w:rPr>
                <w:webHidden/>
              </w:rPr>
              <w:fldChar w:fldCharType="end"/>
            </w:r>
          </w:hyperlink>
        </w:p>
        <w:p w14:paraId="23D74418" w14:textId="77777777" w:rsidR="00067BFA" w:rsidRDefault="00EE58C4" w:rsidP="00085DF0">
          <w:pPr>
            <w:pStyle w:val="TOC3"/>
            <w:spacing w:before="60" w:after="60"/>
            <w:rPr>
              <w:rFonts w:asciiTheme="minorHAnsi" w:eastAsiaTheme="minorEastAsia" w:hAnsiTheme="minorHAnsi" w:cstheme="minorBidi"/>
            </w:rPr>
          </w:pPr>
          <w:hyperlink w:anchor="_Toc460396055" w:history="1">
            <w:r w:rsidR="00067BFA" w:rsidRPr="004A4B31">
              <w:rPr>
                <w:rStyle w:val="Hyperlink"/>
              </w:rPr>
              <w:t>Procedure-related mortality</w:t>
            </w:r>
            <w:r w:rsidR="00067BFA">
              <w:rPr>
                <w:webHidden/>
              </w:rPr>
              <w:tab/>
            </w:r>
            <w:r w:rsidR="00067BFA">
              <w:rPr>
                <w:webHidden/>
              </w:rPr>
              <w:fldChar w:fldCharType="begin"/>
            </w:r>
            <w:r w:rsidR="00067BFA">
              <w:rPr>
                <w:webHidden/>
              </w:rPr>
              <w:instrText xml:space="preserve"> PAGEREF _Toc460396055 \h </w:instrText>
            </w:r>
            <w:r w:rsidR="00067BFA">
              <w:rPr>
                <w:webHidden/>
              </w:rPr>
            </w:r>
            <w:r w:rsidR="00067BFA">
              <w:rPr>
                <w:webHidden/>
              </w:rPr>
              <w:fldChar w:fldCharType="separate"/>
            </w:r>
            <w:r w:rsidR="00FE080A">
              <w:rPr>
                <w:webHidden/>
              </w:rPr>
              <w:t>117</w:t>
            </w:r>
            <w:r w:rsidR="00067BFA">
              <w:rPr>
                <w:webHidden/>
              </w:rPr>
              <w:fldChar w:fldCharType="end"/>
            </w:r>
          </w:hyperlink>
        </w:p>
        <w:p w14:paraId="145C00CC" w14:textId="77777777" w:rsidR="00067BFA" w:rsidRDefault="00EE58C4" w:rsidP="00085DF0">
          <w:pPr>
            <w:pStyle w:val="TOC3"/>
            <w:spacing w:before="60" w:after="60"/>
            <w:rPr>
              <w:rFonts w:asciiTheme="minorHAnsi" w:eastAsiaTheme="minorEastAsia" w:hAnsiTheme="minorHAnsi" w:cstheme="minorBidi"/>
            </w:rPr>
          </w:pPr>
          <w:hyperlink w:anchor="_Toc460396056" w:history="1">
            <w:r w:rsidR="00067BFA" w:rsidRPr="004A4B31">
              <w:rPr>
                <w:rStyle w:val="Hyperlink"/>
              </w:rPr>
              <w:t>Specific adverse events</w:t>
            </w:r>
            <w:r w:rsidR="00067BFA">
              <w:rPr>
                <w:webHidden/>
              </w:rPr>
              <w:tab/>
            </w:r>
            <w:r w:rsidR="00067BFA">
              <w:rPr>
                <w:webHidden/>
              </w:rPr>
              <w:fldChar w:fldCharType="begin"/>
            </w:r>
            <w:r w:rsidR="00067BFA">
              <w:rPr>
                <w:webHidden/>
              </w:rPr>
              <w:instrText xml:space="preserve"> PAGEREF _Toc460396056 \h </w:instrText>
            </w:r>
            <w:r w:rsidR="00067BFA">
              <w:rPr>
                <w:webHidden/>
              </w:rPr>
            </w:r>
            <w:r w:rsidR="00067BFA">
              <w:rPr>
                <w:webHidden/>
              </w:rPr>
              <w:fldChar w:fldCharType="separate"/>
            </w:r>
            <w:r w:rsidR="00FE080A">
              <w:rPr>
                <w:webHidden/>
              </w:rPr>
              <w:t>117</w:t>
            </w:r>
            <w:r w:rsidR="00067BFA">
              <w:rPr>
                <w:webHidden/>
              </w:rPr>
              <w:fldChar w:fldCharType="end"/>
            </w:r>
          </w:hyperlink>
        </w:p>
        <w:p w14:paraId="28974ECE" w14:textId="77777777" w:rsidR="00067BFA" w:rsidRDefault="00EE58C4" w:rsidP="00085DF0">
          <w:pPr>
            <w:pStyle w:val="TOC3"/>
            <w:spacing w:before="60" w:after="60"/>
            <w:rPr>
              <w:rFonts w:asciiTheme="minorHAnsi" w:eastAsiaTheme="minorEastAsia" w:hAnsiTheme="minorHAnsi" w:cstheme="minorBidi"/>
            </w:rPr>
          </w:pPr>
          <w:hyperlink w:anchor="_Toc460396057" w:history="1">
            <w:r w:rsidR="00067BFA" w:rsidRPr="004A4B31">
              <w:rPr>
                <w:rStyle w:val="Hyperlink"/>
              </w:rPr>
              <w:t>Other events</w:t>
            </w:r>
            <w:r w:rsidR="00067BFA">
              <w:rPr>
                <w:webHidden/>
              </w:rPr>
              <w:tab/>
            </w:r>
            <w:r w:rsidR="00067BFA">
              <w:rPr>
                <w:webHidden/>
              </w:rPr>
              <w:fldChar w:fldCharType="begin"/>
            </w:r>
            <w:r w:rsidR="00067BFA">
              <w:rPr>
                <w:webHidden/>
              </w:rPr>
              <w:instrText xml:space="preserve"> PAGEREF _Toc460396057 \h </w:instrText>
            </w:r>
            <w:r w:rsidR="00067BFA">
              <w:rPr>
                <w:webHidden/>
              </w:rPr>
            </w:r>
            <w:r w:rsidR="00067BFA">
              <w:rPr>
                <w:webHidden/>
              </w:rPr>
              <w:fldChar w:fldCharType="separate"/>
            </w:r>
            <w:r w:rsidR="00FE080A">
              <w:rPr>
                <w:webHidden/>
              </w:rPr>
              <w:t>119</w:t>
            </w:r>
            <w:r w:rsidR="00067BFA">
              <w:rPr>
                <w:webHidden/>
              </w:rPr>
              <w:fldChar w:fldCharType="end"/>
            </w:r>
          </w:hyperlink>
        </w:p>
        <w:p w14:paraId="4FB6ED42" w14:textId="77777777" w:rsidR="00067BFA" w:rsidRDefault="00EE58C4" w:rsidP="00085DF0">
          <w:pPr>
            <w:pStyle w:val="TOC3"/>
            <w:spacing w:before="60" w:after="60"/>
            <w:rPr>
              <w:rFonts w:asciiTheme="minorHAnsi" w:eastAsiaTheme="minorEastAsia" w:hAnsiTheme="minorHAnsi" w:cstheme="minorBidi"/>
            </w:rPr>
          </w:pPr>
          <w:hyperlink w:anchor="_Toc460396058" w:history="1">
            <w:r w:rsidR="00067BFA" w:rsidRPr="004A4B31">
              <w:rPr>
                <w:rStyle w:val="Hyperlink"/>
              </w:rPr>
              <w:t>Safety of palliative radiotherapy</w:t>
            </w:r>
            <w:r w:rsidR="00067BFA">
              <w:rPr>
                <w:webHidden/>
              </w:rPr>
              <w:tab/>
            </w:r>
            <w:r w:rsidR="00067BFA">
              <w:rPr>
                <w:webHidden/>
              </w:rPr>
              <w:fldChar w:fldCharType="begin"/>
            </w:r>
            <w:r w:rsidR="00067BFA">
              <w:rPr>
                <w:webHidden/>
              </w:rPr>
              <w:instrText xml:space="preserve"> PAGEREF _Toc460396058 \h </w:instrText>
            </w:r>
            <w:r w:rsidR="00067BFA">
              <w:rPr>
                <w:webHidden/>
              </w:rPr>
            </w:r>
            <w:r w:rsidR="00067BFA">
              <w:rPr>
                <w:webHidden/>
              </w:rPr>
              <w:fldChar w:fldCharType="separate"/>
            </w:r>
            <w:r w:rsidR="00FE080A">
              <w:rPr>
                <w:webHidden/>
              </w:rPr>
              <w:t>119</w:t>
            </w:r>
            <w:r w:rsidR="00067BFA">
              <w:rPr>
                <w:webHidden/>
              </w:rPr>
              <w:fldChar w:fldCharType="end"/>
            </w:r>
          </w:hyperlink>
        </w:p>
        <w:p w14:paraId="37B8CE33" w14:textId="77777777" w:rsidR="00067BFA" w:rsidRDefault="00EE58C4" w:rsidP="00085DF0">
          <w:pPr>
            <w:pStyle w:val="TOC2"/>
            <w:spacing w:before="60" w:after="60"/>
            <w:rPr>
              <w:rFonts w:asciiTheme="minorHAnsi" w:eastAsiaTheme="minorEastAsia" w:hAnsiTheme="minorHAnsi" w:cstheme="minorBidi"/>
            </w:rPr>
          </w:pPr>
          <w:hyperlink w:anchor="_Toc460396059" w:history="1">
            <w:r w:rsidR="00067BFA" w:rsidRPr="004A4B31">
              <w:rPr>
                <w:rStyle w:val="Hyperlink"/>
              </w:rPr>
              <w:t>Is surgical resection of lung metastases safe?</w:t>
            </w:r>
            <w:r w:rsidR="00067BFA">
              <w:rPr>
                <w:webHidden/>
              </w:rPr>
              <w:tab/>
            </w:r>
            <w:r w:rsidR="00067BFA">
              <w:rPr>
                <w:webHidden/>
              </w:rPr>
              <w:fldChar w:fldCharType="begin"/>
            </w:r>
            <w:r w:rsidR="00067BFA">
              <w:rPr>
                <w:webHidden/>
              </w:rPr>
              <w:instrText xml:space="preserve"> PAGEREF _Toc460396059 \h </w:instrText>
            </w:r>
            <w:r w:rsidR="00067BFA">
              <w:rPr>
                <w:webHidden/>
              </w:rPr>
            </w:r>
            <w:r w:rsidR="00067BFA">
              <w:rPr>
                <w:webHidden/>
              </w:rPr>
              <w:fldChar w:fldCharType="separate"/>
            </w:r>
            <w:r w:rsidR="00FE080A">
              <w:rPr>
                <w:webHidden/>
              </w:rPr>
              <w:t>120</w:t>
            </w:r>
            <w:r w:rsidR="00067BFA">
              <w:rPr>
                <w:webHidden/>
              </w:rPr>
              <w:fldChar w:fldCharType="end"/>
            </w:r>
          </w:hyperlink>
        </w:p>
        <w:p w14:paraId="47CB5078" w14:textId="77777777" w:rsidR="00067BFA" w:rsidRDefault="00EE58C4" w:rsidP="00085DF0">
          <w:pPr>
            <w:pStyle w:val="TOC2"/>
            <w:spacing w:before="60" w:after="60"/>
            <w:rPr>
              <w:rFonts w:asciiTheme="minorHAnsi" w:eastAsiaTheme="minorEastAsia" w:hAnsiTheme="minorHAnsi" w:cstheme="minorBidi"/>
            </w:rPr>
          </w:pPr>
          <w:hyperlink w:anchor="_Toc460396060" w:history="1">
            <w:r w:rsidR="00067BFA" w:rsidRPr="004A4B31">
              <w:rPr>
                <w:rStyle w:val="Hyperlink"/>
              </w:rPr>
              <w:t>IS MTA effective in patients with early stage NSCLC and who are not eligible for surgical resection?</w:t>
            </w:r>
            <w:r w:rsidR="00067BFA">
              <w:rPr>
                <w:webHidden/>
              </w:rPr>
              <w:tab/>
            </w:r>
            <w:r w:rsidR="00067BFA">
              <w:rPr>
                <w:webHidden/>
              </w:rPr>
              <w:fldChar w:fldCharType="begin"/>
            </w:r>
            <w:r w:rsidR="00067BFA">
              <w:rPr>
                <w:webHidden/>
              </w:rPr>
              <w:instrText xml:space="preserve"> PAGEREF _Toc460396060 \h </w:instrText>
            </w:r>
            <w:r w:rsidR="00067BFA">
              <w:rPr>
                <w:webHidden/>
              </w:rPr>
            </w:r>
            <w:r w:rsidR="00067BFA">
              <w:rPr>
                <w:webHidden/>
              </w:rPr>
              <w:fldChar w:fldCharType="separate"/>
            </w:r>
            <w:r w:rsidR="00FE080A">
              <w:rPr>
                <w:webHidden/>
              </w:rPr>
              <w:t>122</w:t>
            </w:r>
            <w:r w:rsidR="00067BFA">
              <w:rPr>
                <w:webHidden/>
              </w:rPr>
              <w:fldChar w:fldCharType="end"/>
            </w:r>
          </w:hyperlink>
        </w:p>
        <w:p w14:paraId="5DDAF28B" w14:textId="77777777" w:rsidR="00067BFA" w:rsidRDefault="00EE58C4" w:rsidP="00085DF0">
          <w:pPr>
            <w:pStyle w:val="TOC3"/>
            <w:spacing w:before="60" w:after="60"/>
            <w:rPr>
              <w:rFonts w:asciiTheme="minorHAnsi" w:eastAsiaTheme="minorEastAsia" w:hAnsiTheme="minorHAnsi" w:cstheme="minorBidi"/>
            </w:rPr>
          </w:pPr>
          <w:hyperlink w:anchor="_Toc460396061" w:history="1">
            <w:r w:rsidR="00067BFA" w:rsidRPr="004A4B31">
              <w:rPr>
                <w:rStyle w:val="Hyperlink"/>
              </w:rPr>
              <w:t>Overall and cancer-specific survival time</w:t>
            </w:r>
            <w:r w:rsidR="00067BFA">
              <w:rPr>
                <w:webHidden/>
              </w:rPr>
              <w:tab/>
            </w:r>
            <w:r w:rsidR="00067BFA">
              <w:rPr>
                <w:webHidden/>
              </w:rPr>
              <w:fldChar w:fldCharType="begin"/>
            </w:r>
            <w:r w:rsidR="00067BFA">
              <w:rPr>
                <w:webHidden/>
              </w:rPr>
              <w:instrText xml:space="preserve"> PAGEREF _Toc460396061 \h </w:instrText>
            </w:r>
            <w:r w:rsidR="00067BFA">
              <w:rPr>
                <w:webHidden/>
              </w:rPr>
            </w:r>
            <w:r w:rsidR="00067BFA">
              <w:rPr>
                <w:webHidden/>
              </w:rPr>
              <w:fldChar w:fldCharType="separate"/>
            </w:r>
            <w:r w:rsidR="00FE080A">
              <w:rPr>
                <w:webHidden/>
              </w:rPr>
              <w:t>123</w:t>
            </w:r>
            <w:r w:rsidR="00067BFA">
              <w:rPr>
                <w:webHidden/>
              </w:rPr>
              <w:fldChar w:fldCharType="end"/>
            </w:r>
          </w:hyperlink>
        </w:p>
        <w:p w14:paraId="3397AE5D" w14:textId="77777777" w:rsidR="00067BFA" w:rsidRDefault="00EE58C4" w:rsidP="00085DF0">
          <w:pPr>
            <w:pStyle w:val="TOC3"/>
            <w:spacing w:before="60" w:after="60"/>
            <w:rPr>
              <w:rFonts w:asciiTheme="minorHAnsi" w:eastAsiaTheme="minorEastAsia" w:hAnsiTheme="minorHAnsi" w:cstheme="minorBidi"/>
            </w:rPr>
          </w:pPr>
          <w:hyperlink w:anchor="_Toc460396062" w:history="1">
            <w:r w:rsidR="00067BFA" w:rsidRPr="004A4B31">
              <w:rPr>
                <w:rStyle w:val="Hyperlink"/>
              </w:rPr>
              <w:t>1-, 2-, 3-, 4- or 5- year survival</w:t>
            </w:r>
            <w:r w:rsidR="00067BFA">
              <w:rPr>
                <w:webHidden/>
              </w:rPr>
              <w:tab/>
            </w:r>
            <w:r w:rsidR="00067BFA">
              <w:rPr>
                <w:webHidden/>
              </w:rPr>
              <w:fldChar w:fldCharType="begin"/>
            </w:r>
            <w:r w:rsidR="00067BFA">
              <w:rPr>
                <w:webHidden/>
              </w:rPr>
              <w:instrText xml:space="preserve"> PAGEREF _Toc460396062 \h </w:instrText>
            </w:r>
            <w:r w:rsidR="00067BFA">
              <w:rPr>
                <w:webHidden/>
              </w:rPr>
            </w:r>
            <w:r w:rsidR="00067BFA">
              <w:rPr>
                <w:webHidden/>
              </w:rPr>
              <w:fldChar w:fldCharType="separate"/>
            </w:r>
            <w:r w:rsidR="00FE080A">
              <w:rPr>
                <w:webHidden/>
              </w:rPr>
              <w:t>125</w:t>
            </w:r>
            <w:r w:rsidR="00067BFA">
              <w:rPr>
                <w:webHidden/>
              </w:rPr>
              <w:fldChar w:fldCharType="end"/>
            </w:r>
          </w:hyperlink>
        </w:p>
        <w:p w14:paraId="5D0906E4" w14:textId="77777777" w:rsidR="00067BFA" w:rsidRDefault="00EE58C4" w:rsidP="00085DF0">
          <w:pPr>
            <w:pStyle w:val="TOC3"/>
            <w:spacing w:before="60" w:after="60"/>
            <w:rPr>
              <w:rFonts w:asciiTheme="minorHAnsi" w:eastAsiaTheme="minorEastAsia" w:hAnsiTheme="minorHAnsi" w:cstheme="minorBidi"/>
            </w:rPr>
          </w:pPr>
          <w:hyperlink w:anchor="_Toc460396063" w:history="1">
            <w:r w:rsidR="00067BFA" w:rsidRPr="004A4B31">
              <w:rPr>
                <w:rStyle w:val="Hyperlink"/>
              </w:rPr>
              <w:t>Median time to local progression</w:t>
            </w:r>
            <w:r w:rsidR="00067BFA">
              <w:rPr>
                <w:webHidden/>
              </w:rPr>
              <w:tab/>
            </w:r>
            <w:r w:rsidR="00067BFA">
              <w:rPr>
                <w:webHidden/>
              </w:rPr>
              <w:fldChar w:fldCharType="begin"/>
            </w:r>
            <w:r w:rsidR="00067BFA">
              <w:rPr>
                <w:webHidden/>
              </w:rPr>
              <w:instrText xml:space="preserve"> PAGEREF _Toc460396063 \h </w:instrText>
            </w:r>
            <w:r w:rsidR="00067BFA">
              <w:rPr>
                <w:webHidden/>
              </w:rPr>
            </w:r>
            <w:r w:rsidR="00067BFA">
              <w:rPr>
                <w:webHidden/>
              </w:rPr>
              <w:fldChar w:fldCharType="separate"/>
            </w:r>
            <w:r w:rsidR="00FE080A">
              <w:rPr>
                <w:webHidden/>
              </w:rPr>
              <w:t>126</w:t>
            </w:r>
            <w:r w:rsidR="00067BFA">
              <w:rPr>
                <w:webHidden/>
              </w:rPr>
              <w:fldChar w:fldCharType="end"/>
            </w:r>
          </w:hyperlink>
        </w:p>
        <w:p w14:paraId="3E5A4241" w14:textId="77777777" w:rsidR="00067BFA" w:rsidRDefault="00EE58C4" w:rsidP="00085DF0">
          <w:pPr>
            <w:pStyle w:val="TOC3"/>
            <w:spacing w:before="60" w:after="60"/>
            <w:rPr>
              <w:rFonts w:asciiTheme="minorHAnsi" w:eastAsiaTheme="minorEastAsia" w:hAnsiTheme="minorHAnsi" w:cstheme="minorBidi"/>
            </w:rPr>
          </w:pPr>
          <w:hyperlink w:anchor="_Toc460396064" w:history="1">
            <w:r w:rsidR="00067BFA" w:rsidRPr="004A4B31">
              <w:rPr>
                <w:rStyle w:val="Hyperlink"/>
              </w:rPr>
              <w:t>Local control and Local progression</w:t>
            </w:r>
            <w:r w:rsidR="00067BFA">
              <w:rPr>
                <w:webHidden/>
              </w:rPr>
              <w:tab/>
            </w:r>
            <w:r w:rsidR="00067BFA">
              <w:rPr>
                <w:webHidden/>
              </w:rPr>
              <w:fldChar w:fldCharType="begin"/>
            </w:r>
            <w:r w:rsidR="00067BFA">
              <w:rPr>
                <w:webHidden/>
              </w:rPr>
              <w:instrText xml:space="preserve"> PAGEREF _Toc460396064 \h </w:instrText>
            </w:r>
            <w:r w:rsidR="00067BFA">
              <w:rPr>
                <w:webHidden/>
              </w:rPr>
            </w:r>
            <w:r w:rsidR="00067BFA">
              <w:rPr>
                <w:webHidden/>
              </w:rPr>
              <w:fldChar w:fldCharType="separate"/>
            </w:r>
            <w:r w:rsidR="00FE080A">
              <w:rPr>
                <w:webHidden/>
              </w:rPr>
              <w:t>128</w:t>
            </w:r>
            <w:r w:rsidR="00067BFA">
              <w:rPr>
                <w:webHidden/>
              </w:rPr>
              <w:fldChar w:fldCharType="end"/>
            </w:r>
          </w:hyperlink>
        </w:p>
        <w:p w14:paraId="27AC80E5" w14:textId="77777777" w:rsidR="00067BFA" w:rsidRDefault="00EE58C4" w:rsidP="00085DF0">
          <w:pPr>
            <w:pStyle w:val="TOC2"/>
            <w:spacing w:before="60" w:after="60"/>
            <w:rPr>
              <w:rFonts w:asciiTheme="minorHAnsi" w:eastAsiaTheme="minorEastAsia" w:hAnsiTheme="minorHAnsi" w:cstheme="minorBidi"/>
            </w:rPr>
          </w:pPr>
          <w:hyperlink w:anchor="_Toc460396065" w:history="1">
            <w:r w:rsidR="00067BFA" w:rsidRPr="004A4B31">
              <w:rPr>
                <w:rStyle w:val="Hyperlink"/>
              </w:rPr>
              <w:t>IS MTA effective in patients with lung metastases in whom the primary tumour is under control, and who are receiving treatment with curative intent (oligometastatic disease)?</w:t>
            </w:r>
            <w:r w:rsidR="00067BFA">
              <w:rPr>
                <w:webHidden/>
              </w:rPr>
              <w:tab/>
            </w:r>
            <w:r w:rsidR="00067BFA">
              <w:rPr>
                <w:webHidden/>
              </w:rPr>
              <w:fldChar w:fldCharType="begin"/>
            </w:r>
            <w:r w:rsidR="00067BFA">
              <w:rPr>
                <w:webHidden/>
              </w:rPr>
              <w:instrText xml:space="preserve"> PAGEREF _Toc460396065 \h </w:instrText>
            </w:r>
            <w:r w:rsidR="00067BFA">
              <w:rPr>
                <w:webHidden/>
              </w:rPr>
            </w:r>
            <w:r w:rsidR="00067BFA">
              <w:rPr>
                <w:webHidden/>
              </w:rPr>
              <w:fldChar w:fldCharType="separate"/>
            </w:r>
            <w:r w:rsidR="00FE080A">
              <w:rPr>
                <w:webHidden/>
              </w:rPr>
              <w:t>130</w:t>
            </w:r>
            <w:r w:rsidR="00067BFA">
              <w:rPr>
                <w:webHidden/>
              </w:rPr>
              <w:fldChar w:fldCharType="end"/>
            </w:r>
          </w:hyperlink>
        </w:p>
        <w:p w14:paraId="1FD99D65" w14:textId="77777777" w:rsidR="00067BFA" w:rsidRDefault="00EE58C4" w:rsidP="00085DF0">
          <w:pPr>
            <w:pStyle w:val="TOC3"/>
            <w:spacing w:before="60" w:after="60"/>
            <w:rPr>
              <w:rFonts w:asciiTheme="minorHAnsi" w:eastAsiaTheme="minorEastAsia" w:hAnsiTheme="minorHAnsi" w:cstheme="minorBidi"/>
            </w:rPr>
          </w:pPr>
          <w:hyperlink w:anchor="_Toc460396066" w:history="1">
            <w:r w:rsidR="00067BFA" w:rsidRPr="004A4B31">
              <w:rPr>
                <w:rStyle w:val="Hyperlink"/>
              </w:rPr>
              <w:t>Overall survival</w:t>
            </w:r>
            <w:r w:rsidR="00067BFA">
              <w:rPr>
                <w:webHidden/>
              </w:rPr>
              <w:tab/>
            </w:r>
            <w:r w:rsidR="00067BFA">
              <w:rPr>
                <w:webHidden/>
              </w:rPr>
              <w:fldChar w:fldCharType="begin"/>
            </w:r>
            <w:r w:rsidR="00067BFA">
              <w:rPr>
                <w:webHidden/>
              </w:rPr>
              <w:instrText xml:space="preserve"> PAGEREF _Toc460396066 \h </w:instrText>
            </w:r>
            <w:r w:rsidR="00067BFA">
              <w:rPr>
                <w:webHidden/>
              </w:rPr>
            </w:r>
            <w:r w:rsidR="00067BFA">
              <w:rPr>
                <w:webHidden/>
              </w:rPr>
              <w:fldChar w:fldCharType="separate"/>
            </w:r>
            <w:r w:rsidR="00FE080A">
              <w:rPr>
                <w:webHidden/>
              </w:rPr>
              <w:t>131</w:t>
            </w:r>
            <w:r w:rsidR="00067BFA">
              <w:rPr>
                <w:webHidden/>
              </w:rPr>
              <w:fldChar w:fldCharType="end"/>
            </w:r>
          </w:hyperlink>
        </w:p>
        <w:p w14:paraId="7A77FB1D" w14:textId="77777777" w:rsidR="00067BFA" w:rsidRDefault="00EE58C4" w:rsidP="00085DF0">
          <w:pPr>
            <w:pStyle w:val="TOC3"/>
            <w:spacing w:before="60" w:after="60"/>
            <w:rPr>
              <w:rFonts w:asciiTheme="minorHAnsi" w:eastAsiaTheme="minorEastAsia" w:hAnsiTheme="minorHAnsi" w:cstheme="minorBidi"/>
            </w:rPr>
          </w:pPr>
          <w:hyperlink w:anchor="_Toc460396067" w:history="1">
            <w:r w:rsidR="00067BFA" w:rsidRPr="004A4B31">
              <w:rPr>
                <w:rStyle w:val="Hyperlink"/>
              </w:rPr>
              <w:t>Time to progression and local progression</w:t>
            </w:r>
            <w:r w:rsidR="00067BFA">
              <w:rPr>
                <w:webHidden/>
              </w:rPr>
              <w:tab/>
            </w:r>
            <w:r w:rsidR="00067BFA">
              <w:rPr>
                <w:webHidden/>
              </w:rPr>
              <w:fldChar w:fldCharType="begin"/>
            </w:r>
            <w:r w:rsidR="00067BFA">
              <w:rPr>
                <w:webHidden/>
              </w:rPr>
              <w:instrText xml:space="preserve"> PAGEREF _Toc460396067 \h </w:instrText>
            </w:r>
            <w:r w:rsidR="00067BFA">
              <w:rPr>
                <w:webHidden/>
              </w:rPr>
            </w:r>
            <w:r w:rsidR="00067BFA">
              <w:rPr>
                <w:webHidden/>
              </w:rPr>
              <w:fldChar w:fldCharType="separate"/>
            </w:r>
            <w:r w:rsidR="00FE080A">
              <w:rPr>
                <w:webHidden/>
              </w:rPr>
              <w:t>134</w:t>
            </w:r>
            <w:r w:rsidR="00067BFA">
              <w:rPr>
                <w:webHidden/>
              </w:rPr>
              <w:fldChar w:fldCharType="end"/>
            </w:r>
          </w:hyperlink>
        </w:p>
        <w:p w14:paraId="67E9760D" w14:textId="77777777" w:rsidR="00067BFA" w:rsidRDefault="00EE58C4" w:rsidP="00085DF0">
          <w:pPr>
            <w:pStyle w:val="TOC2"/>
            <w:spacing w:before="60" w:after="60"/>
            <w:rPr>
              <w:rFonts w:asciiTheme="minorHAnsi" w:eastAsiaTheme="minorEastAsia" w:hAnsiTheme="minorHAnsi" w:cstheme="minorBidi"/>
            </w:rPr>
          </w:pPr>
          <w:hyperlink w:anchor="_Toc460396068" w:history="1">
            <w:r w:rsidR="00067BFA" w:rsidRPr="004A4B31">
              <w:rPr>
                <w:rStyle w:val="Hyperlink"/>
              </w:rPr>
              <w:t>Is MTA effective in patients with lung metastases or primary lung cancer who are being treated with palliative intent?</w:t>
            </w:r>
            <w:r w:rsidR="00067BFA">
              <w:rPr>
                <w:webHidden/>
              </w:rPr>
              <w:tab/>
            </w:r>
            <w:r w:rsidR="00067BFA">
              <w:rPr>
                <w:webHidden/>
              </w:rPr>
              <w:fldChar w:fldCharType="begin"/>
            </w:r>
            <w:r w:rsidR="00067BFA">
              <w:rPr>
                <w:webHidden/>
              </w:rPr>
              <w:instrText xml:space="preserve"> PAGEREF _Toc460396068 \h </w:instrText>
            </w:r>
            <w:r w:rsidR="00067BFA">
              <w:rPr>
                <w:webHidden/>
              </w:rPr>
            </w:r>
            <w:r w:rsidR="00067BFA">
              <w:rPr>
                <w:webHidden/>
              </w:rPr>
              <w:fldChar w:fldCharType="separate"/>
            </w:r>
            <w:r w:rsidR="00FE080A">
              <w:rPr>
                <w:webHidden/>
              </w:rPr>
              <w:t>136</w:t>
            </w:r>
            <w:r w:rsidR="00067BFA">
              <w:rPr>
                <w:webHidden/>
              </w:rPr>
              <w:fldChar w:fldCharType="end"/>
            </w:r>
          </w:hyperlink>
        </w:p>
        <w:p w14:paraId="0262CDEF" w14:textId="77777777" w:rsidR="00067BFA" w:rsidRDefault="00EE58C4" w:rsidP="00085DF0">
          <w:pPr>
            <w:pStyle w:val="TOC3"/>
            <w:spacing w:before="60" w:after="60"/>
            <w:rPr>
              <w:rFonts w:asciiTheme="minorHAnsi" w:eastAsiaTheme="minorEastAsia" w:hAnsiTheme="minorHAnsi" w:cstheme="minorBidi"/>
            </w:rPr>
          </w:pPr>
          <w:hyperlink w:anchor="_Toc460396069" w:history="1">
            <w:r w:rsidR="00067BFA" w:rsidRPr="004A4B31">
              <w:rPr>
                <w:rStyle w:val="Hyperlink"/>
              </w:rPr>
              <w:t>Effectiveness of RFA for palliation of advanced-stage lung cancer</w:t>
            </w:r>
            <w:r w:rsidR="00067BFA">
              <w:rPr>
                <w:webHidden/>
              </w:rPr>
              <w:tab/>
            </w:r>
            <w:r w:rsidR="00067BFA">
              <w:rPr>
                <w:webHidden/>
              </w:rPr>
              <w:fldChar w:fldCharType="begin"/>
            </w:r>
            <w:r w:rsidR="00067BFA">
              <w:rPr>
                <w:webHidden/>
              </w:rPr>
              <w:instrText xml:space="preserve"> PAGEREF _Toc460396069 \h </w:instrText>
            </w:r>
            <w:r w:rsidR="00067BFA">
              <w:rPr>
                <w:webHidden/>
              </w:rPr>
            </w:r>
            <w:r w:rsidR="00067BFA">
              <w:rPr>
                <w:webHidden/>
              </w:rPr>
              <w:fldChar w:fldCharType="separate"/>
            </w:r>
            <w:r w:rsidR="00FE080A">
              <w:rPr>
                <w:webHidden/>
              </w:rPr>
              <w:t>137</w:t>
            </w:r>
            <w:r w:rsidR="00067BFA">
              <w:rPr>
                <w:webHidden/>
              </w:rPr>
              <w:fldChar w:fldCharType="end"/>
            </w:r>
          </w:hyperlink>
        </w:p>
        <w:p w14:paraId="2382EAF2" w14:textId="77777777" w:rsidR="00067BFA" w:rsidRDefault="00EE58C4" w:rsidP="00085DF0">
          <w:pPr>
            <w:pStyle w:val="TOC3"/>
            <w:spacing w:before="60" w:after="60"/>
            <w:rPr>
              <w:rFonts w:asciiTheme="minorHAnsi" w:eastAsiaTheme="minorEastAsia" w:hAnsiTheme="minorHAnsi" w:cstheme="minorBidi"/>
            </w:rPr>
          </w:pPr>
          <w:hyperlink w:anchor="_Toc460396070" w:history="1">
            <w:r w:rsidR="00067BFA" w:rsidRPr="004A4B31">
              <w:rPr>
                <w:rStyle w:val="Hyperlink"/>
              </w:rPr>
              <w:t>Effectiveness of radiotherapy for palliation of advanced-stage lung cancer</w:t>
            </w:r>
            <w:r w:rsidR="00067BFA">
              <w:rPr>
                <w:webHidden/>
              </w:rPr>
              <w:tab/>
            </w:r>
            <w:r w:rsidR="00067BFA">
              <w:rPr>
                <w:webHidden/>
              </w:rPr>
              <w:fldChar w:fldCharType="begin"/>
            </w:r>
            <w:r w:rsidR="00067BFA">
              <w:rPr>
                <w:webHidden/>
              </w:rPr>
              <w:instrText xml:space="preserve"> PAGEREF _Toc460396070 \h </w:instrText>
            </w:r>
            <w:r w:rsidR="00067BFA">
              <w:rPr>
                <w:webHidden/>
              </w:rPr>
            </w:r>
            <w:r w:rsidR="00067BFA">
              <w:rPr>
                <w:webHidden/>
              </w:rPr>
              <w:fldChar w:fldCharType="separate"/>
            </w:r>
            <w:r w:rsidR="00FE080A">
              <w:rPr>
                <w:webHidden/>
              </w:rPr>
              <w:t>138</w:t>
            </w:r>
            <w:r w:rsidR="00067BFA">
              <w:rPr>
                <w:webHidden/>
              </w:rPr>
              <w:fldChar w:fldCharType="end"/>
            </w:r>
          </w:hyperlink>
        </w:p>
        <w:p w14:paraId="707C0454" w14:textId="77777777" w:rsidR="00067BFA" w:rsidRDefault="00EE58C4" w:rsidP="00085DF0">
          <w:pPr>
            <w:pStyle w:val="TOC2"/>
            <w:spacing w:before="60" w:after="60"/>
            <w:rPr>
              <w:rFonts w:asciiTheme="minorHAnsi" w:eastAsiaTheme="minorEastAsia" w:hAnsiTheme="minorHAnsi" w:cstheme="minorBidi"/>
            </w:rPr>
          </w:pPr>
          <w:hyperlink w:anchor="_Toc460396071" w:history="1">
            <w:r w:rsidR="00067BFA" w:rsidRPr="004A4B31">
              <w:rPr>
                <w:rStyle w:val="Hyperlink"/>
              </w:rPr>
              <w:t>B.6.</w:t>
            </w:r>
            <w:r w:rsidR="00067BFA">
              <w:rPr>
                <w:rFonts w:asciiTheme="minorHAnsi" w:eastAsiaTheme="minorEastAsia" w:hAnsiTheme="minorHAnsi" w:cstheme="minorBidi"/>
              </w:rPr>
              <w:tab/>
            </w:r>
            <w:r w:rsidR="00067BFA" w:rsidRPr="004A4B31">
              <w:rPr>
                <w:rStyle w:val="Hyperlink"/>
              </w:rPr>
              <w:t>Extended Assessment of Harms</w:t>
            </w:r>
            <w:r w:rsidR="00067BFA">
              <w:rPr>
                <w:webHidden/>
              </w:rPr>
              <w:tab/>
            </w:r>
            <w:r w:rsidR="00067BFA">
              <w:rPr>
                <w:webHidden/>
              </w:rPr>
              <w:fldChar w:fldCharType="begin"/>
            </w:r>
            <w:r w:rsidR="00067BFA">
              <w:rPr>
                <w:webHidden/>
              </w:rPr>
              <w:instrText xml:space="preserve"> PAGEREF _Toc460396071 \h </w:instrText>
            </w:r>
            <w:r w:rsidR="00067BFA">
              <w:rPr>
                <w:webHidden/>
              </w:rPr>
            </w:r>
            <w:r w:rsidR="00067BFA">
              <w:rPr>
                <w:webHidden/>
              </w:rPr>
              <w:fldChar w:fldCharType="separate"/>
            </w:r>
            <w:r w:rsidR="00FE080A">
              <w:rPr>
                <w:webHidden/>
              </w:rPr>
              <w:t>139</w:t>
            </w:r>
            <w:r w:rsidR="00067BFA">
              <w:rPr>
                <w:webHidden/>
              </w:rPr>
              <w:fldChar w:fldCharType="end"/>
            </w:r>
          </w:hyperlink>
        </w:p>
        <w:p w14:paraId="60BF071F" w14:textId="77777777" w:rsidR="00067BFA" w:rsidRDefault="00EE58C4" w:rsidP="00085DF0">
          <w:pPr>
            <w:pStyle w:val="TOC2"/>
            <w:spacing w:before="60" w:after="60"/>
            <w:rPr>
              <w:rFonts w:asciiTheme="minorHAnsi" w:eastAsiaTheme="minorEastAsia" w:hAnsiTheme="minorHAnsi" w:cstheme="minorBidi"/>
            </w:rPr>
          </w:pPr>
          <w:hyperlink w:anchor="_Toc460396072" w:history="1">
            <w:r w:rsidR="00067BFA" w:rsidRPr="004A4B31">
              <w:rPr>
                <w:rStyle w:val="Hyperlink"/>
              </w:rPr>
              <w:t>B.7.</w:t>
            </w:r>
            <w:r w:rsidR="00067BFA">
              <w:rPr>
                <w:rFonts w:asciiTheme="minorHAnsi" w:eastAsiaTheme="minorEastAsia" w:hAnsiTheme="minorHAnsi" w:cstheme="minorBidi"/>
              </w:rPr>
              <w:tab/>
            </w:r>
            <w:r w:rsidR="00067BFA" w:rsidRPr="004A4B31">
              <w:rPr>
                <w:rStyle w:val="Hyperlink"/>
              </w:rPr>
              <w:t>Interpretation of the Clinical Evidence</w:t>
            </w:r>
            <w:r w:rsidR="00067BFA">
              <w:rPr>
                <w:webHidden/>
              </w:rPr>
              <w:tab/>
            </w:r>
            <w:r w:rsidR="00067BFA">
              <w:rPr>
                <w:webHidden/>
              </w:rPr>
              <w:fldChar w:fldCharType="begin"/>
            </w:r>
            <w:r w:rsidR="00067BFA">
              <w:rPr>
                <w:webHidden/>
              </w:rPr>
              <w:instrText xml:space="preserve"> PAGEREF _Toc460396072 \h </w:instrText>
            </w:r>
            <w:r w:rsidR="00067BFA">
              <w:rPr>
                <w:webHidden/>
              </w:rPr>
            </w:r>
            <w:r w:rsidR="00067BFA">
              <w:rPr>
                <w:webHidden/>
              </w:rPr>
              <w:fldChar w:fldCharType="separate"/>
            </w:r>
            <w:r w:rsidR="00FE080A">
              <w:rPr>
                <w:webHidden/>
              </w:rPr>
              <w:t>139</w:t>
            </w:r>
            <w:r w:rsidR="00067BFA">
              <w:rPr>
                <w:webHidden/>
              </w:rPr>
              <w:fldChar w:fldCharType="end"/>
            </w:r>
          </w:hyperlink>
        </w:p>
        <w:p w14:paraId="1B810CCD" w14:textId="77777777" w:rsidR="00067BFA" w:rsidRDefault="00EE58C4" w:rsidP="00085DF0">
          <w:pPr>
            <w:pStyle w:val="TOC1"/>
            <w:spacing w:before="60" w:after="60"/>
            <w:rPr>
              <w:rFonts w:asciiTheme="minorHAnsi" w:eastAsiaTheme="minorEastAsia" w:hAnsiTheme="minorHAnsi" w:cstheme="minorBidi"/>
            </w:rPr>
          </w:pPr>
          <w:hyperlink w:anchor="_Toc460396073" w:history="1">
            <w:r w:rsidR="00067BFA" w:rsidRPr="004A4B31">
              <w:rPr>
                <w:rStyle w:val="Hyperlink"/>
              </w:rPr>
              <w:t>Section C</w:t>
            </w:r>
            <w:r w:rsidR="00067BFA">
              <w:rPr>
                <w:rFonts w:asciiTheme="minorHAnsi" w:eastAsiaTheme="minorEastAsia" w:hAnsiTheme="minorHAnsi" w:cstheme="minorBidi"/>
              </w:rPr>
              <w:tab/>
            </w:r>
            <w:r w:rsidR="00067BFA" w:rsidRPr="004A4B31">
              <w:rPr>
                <w:rStyle w:val="Hyperlink"/>
              </w:rPr>
              <w:t>Translation Issues</w:t>
            </w:r>
            <w:r w:rsidR="00067BFA">
              <w:rPr>
                <w:webHidden/>
              </w:rPr>
              <w:tab/>
            </w:r>
            <w:r w:rsidR="00067BFA">
              <w:rPr>
                <w:webHidden/>
              </w:rPr>
              <w:fldChar w:fldCharType="begin"/>
            </w:r>
            <w:r w:rsidR="00067BFA">
              <w:rPr>
                <w:webHidden/>
              </w:rPr>
              <w:instrText xml:space="preserve"> PAGEREF _Toc460396073 \h </w:instrText>
            </w:r>
            <w:r w:rsidR="00067BFA">
              <w:rPr>
                <w:webHidden/>
              </w:rPr>
            </w:r>
            <w:r w:rsidR="00067BFA">
              <w:rPr>
                <w:webHidden/>
              </w:rPr>
              <w:fldChar w:fldCharType="separate"/>
            </w:r>
            <w:r w:rsidR="00FE080A">
              <w:rPr>
                <w:webHidden/>
              </w:rPr>
              <w:t>149</w:t>
            </w:r>
            <w:r w:rsidR="00067BFA">
              <w:rPr>
                <w:webHidden/>
              </w:rPr>
              <w:fldChar w:fldCharType="end"/>
            </w:r>
          </w:hyperlink>
        </w:p>
        <w:p w14:paraId="40D4D476" w14:textId="77777777" w:rsidR="00067BFA" w:rsidRDefault="00EE58C4" w:rsidP="00085DF0">
          <w:pPr>
            <w:pStyle w:val="TOC1"/>
            <w:spacing w:before="60" w:after="60"/>
            <w:rPr>
              <w:rFonts w:asciiTheme="minorHAnsi" w:eastAsiaTheme="minorEastAsia" w:hAnsiTheme="minorHAnsi" w:cstheme="minorBidi"/>
            </w:rPr>
          </w:pPr>
          <w:hyperlink w:anchor="_Toc460396074" w:history="1">
            <w:r w:rsidR="00067BFA" w:rsidRPr="004A4B31">
              <w:rPr>
                <w:rStyle w:val="Hyperlink"/>
              </w:rPr>
              <w:t>Section D</w:t>
            </w:r>
            <w:r w:rsidR="00067BFA">
              <w:rPr>
                <w:rFonts w:asciiTheme="minorHAnsi" w:eastAsiaTheme="minorEastAsia" w:hAnsiTheme="minorHAnsi" w:cstheme="minorBidi"/>
              </w:rPr>
              <w:tab/>
            </w:r>
            <w:r w:rsidR="00067BFA" w:rsidRPr="004A4B31">
              <w:rPr>
                <w:rStyle w:val="Hyperlink"/>
              </w:rPr>
              <w:t>Economic Evaluation</w:t>
            </w:r>
            <w:r w:rsidR="00067BFA">
              <w:rPr>
                <w:webHidden/>
              </w:rPr>
              <w:tab/>
            </w:r>
            <w:r w:rsidR="00067BFA">
              <w:rPr>
                <w:webHidden/>
              </w:rPr>
              <w:fldChar w:fldCharType="begin"/>
            </w:r>
            <w:r w:rsidR="00067BFA">
              <w:rPr>
                <w:webHidden/>
              </w:rPr>
              <w:instrText xml:space="preserve"> PAGEREF _Toc460396074 \h </w:instrText>
            </w:r>
            <w:r w:rsidR="00067BFA">
              <w:rPr>
                <w:webHidden/>
              </w:rPr>
            </w:r>
            <w:r w:rsidR="00067BFA">
              <w:rPr>
                <w:webHidden/>
              </w:rPr>
              <w:fldChar w:fldCharType="separate"/>
            </w:r>
            <w:r w:rsidR="00FE080A">
              <w:rPr>
                <w:webHidden/>
              </w:rPr>
              <w:t>150</w:t>
            </w:r>
            <w:r w:rsidR="00067BFA">
              <w:rPr>
                <w:webHidden/>
              </w:rPr>
              <w:fldChar w:fldCharType="end"/>
            </w:r>
          </w:hyperlink>
        </w:p>
        <w:p w14:paraId="3FE7915A" w14:textId="77777777" w:rsidR="00067BFA" w:rsidRDefault="00EE58C4" w:rsidP="00085DF0">
          <w:pPr>
            <w:pStyle w:val="TOC2"/>
            <w:spacing w:before="60" w:after="60"/>
            <w:rPr>
              <w:rFonts w:asciiTheme="minorHAnsi" w:eastAsiaTheme="minorEastAsia" w:hAnsiTheme="minorHAnsi" w:cstheme="minorBidi"/>
            </w:rPr>
          </w:pPr>
          <w:hyperlink w:anchor="_Toc460396075" w:history="1">
            <w:r w:rsidR="00067BFA" w:rsidRPr="004A4B31">
              <w:rPr>
                <w:rStyle w:val="Hyperlink"/>
              </w:rPr>
              <w:t>D.1.</w:t>
            </w:r>
            <w:r w:rsidR="00067BFA">
              <w:rPr>
                <w:rFonts w:asciiTheme="minorHAnsi" w:eastAsiaTheme="minorEastAsia" w:hAnsiTheme="minorHAnsi" w:cstheme="minorBidi"/>
              </w:rPr>
              <w:tab/>
            </w:r>
            <w:r w:rsidR="00067BFA" w:rsidRPr="004A4B31">
              <w:rPr>
                <w:rStyle w:val="Hyperlink"/>
              </w:rPr>
              <w:t>Overview</w:t>
            </w:r>
            <w:r w:rsidR="00067BFA">
              <w:rPr>
                <w:webHidden/>
              </w:rPr>
              <w:tab/>
            </w:r>
            <w:r w:rsidR="00067BFA">
              <w:rPr>
                <w:webHidden/>
              </w:rPr>
              <w:fldChar w:fldCharType="begin"/>
            </w:r>
            <w:r w:rsidR="00067BFA">
              <w:rPr>
                <w:webHidden/>
              </w:rPr>
              <w:instrText xml:space="preserve"> PAGEREF _Toc460396075 \h </w:instrText>
            </w:r>
            <w:r w:rsidR="00067BFA">
              <w:rPr>
                <w:webHidden/>
              </w:rPr>
            </w:r>
            <w:r w:rsidR="00067BFA">
              <w:rPr>
                <w:webHidden/>
              </w:rPr>
              <w:fldChar w:fldCharType="separate"/>
            </w:r>
            <w:r w:rsidR="00FE080A">
              <w:rPr>
                <w:webHidden/>
              </w:rPr>
              <w:t>150</w:t>
            </w:r>
            <w:r w:rsidR="00067BFA">
              <w:rPr>
                <w:webHidden/>
              </w:rPr>
              <w:fldChar w:fldCharType="end"/>
            </w:r>
          </w:hyperlink>
        </w:p>
        <w:p w14:paraId="31C00569" w14:textId="77777777" w:rsidR="00067BFA" w:rsidRDefault="00EE58C4" w:rsidP="00085DF0">
          <w:pPr>
            <w:pStyle w:val="TOC3"/>
            <w:spacing w:before="60" w:after="60"/>
            <w:rPr>
              <w:rFonts w:asciiTheme="minorHAnsi" w:eastAsiaTheme="minorEastAsia" w:hAnsiTheme="minorHAnsi" w:cstheme="minorBidi"/>
            </w:rPr>
          </w:pPr>
          <w:hyperlink w:anchor="_Toc460396076" w:history="1">
            <w:r w:rsidR="00067BFA" w:rsidRPr="004A4B31">
              <w:rPr>
                <w:rStyle w:val="Hyperlink"/>
              </w:rPr>
              <w:t>Type of economic evaluation</w:t>
            </w:r>
            <w:r w:rsidR="00067BFA">
              <w:rPr>
                <w:webHidden/>
              </w:rPr>
              <w:tab/>
            </w:r>
            <w:r w:rsidR="00067BFA">
              <w:rPr>
                <w:webHidden/>
              </w:rPr>
              <w:fldChar w:fldCharType="begin"/>
            </w:r>
            <w:r w:rsidR="00067BFA">
              <w:rPr>
                <w:webHidden/>
              </w:rPr>
              <w:instrText xml:space="preserve"> PAGEREF _Toc460396076 \h </w:instrText>
            </w:r>
            <w:r w:rsidR="00067BFA">
              <w:rPr>
                <w:webHidden/>
              </w:rPr>
            </w:r>
            <w:r w:rsidR="00067BFA">
              <w:rPr>
                <w:webHidden/>
              </w:rPr>
              <w:fldChar w:fldCharType="separate"/>
            </w:r>
            <w:r w:rsidR="00FE080A">
              <w:rPr>
                <w:webHidden/>
              </w:rPr>
              <w:t>150</w:t>
            </w:r>
            <w:r w:rsidR="00067BFA">
              <w:rPr>
                <w:webHidden/>
              </w:rPr>
              <w:fldChar w:fldCharType="end"/>
            </w:r>
          </w:hyperlink>
        </w:p>
        <w:p w14:paraId="2E9C4D36" w14:textId="77777777" w:rsidR="00067BFA" w:rsidRDefault="00EE58C4" w:rsidP="00085DF0">
          <w:pPr>
            <w:pStyle w:val="TOC2"/>
            <w:spacing w:before="60" w:after="60"/>
            <w:rPr>
              <w:rFonts w:asciiTheme="minorHAnsi" w:eastAsiaTheme="minorEastAsia" w:hAnsiTheme="minorHAnsi" w:cstheme="minorBidi"/>
            </w:rPr>
          </w:pPr>
          <w:hyperlink w:anchor="_Toc460396077" w:history="1">
            <w:r w:rsidR="00067BFA" w:rsidRPr="004A4B31">
              <w:rPr>
                <w:rStyle w:val="Hyperlink"/>
              </w:rPr>
              <w:t>D.2.</w:t>
            </w:r>
            <w:r w:rsidR="00067BFA">
              <w:rPr>
                <w:rFonts w:asciiTheme="minorHAnsi" w:eastAsiaTheme="minorEastAsia" w:hAnsiTheme="minorHAnsi" w:cstheme="minorBidi"/>
              </w:rPr>
              <w:tab/>
            </w:r>
            <w:r w:rsidR="00067BFA" w:rsidRPr="004A4B31">
              <w:rPr>
                <w:rStyle w:val="Hyperlink"/>
              </w:rPr>
              <w:t>Populations and settings</w:t>
            </w:r>
            <w:r w:rsidR="00067BFA">
              <w:rPr>
                <w:webHidden/>
              </w:rPr>
              <w:tab/>
            </w:r>
            <w:r w:rsidR="00067BFA">
              <w:rPr>
                <w:webHidden/>
              </w:rPr>
              <w:fldChar w:fldCharType="begin"/>
            </w:r>
            <w:r w:rsidR="00067BFA">
              <w:rPr>
                <w:webHidden/>
              </w:rPr>
              <w:instrText xml:space="preserve"> PAGEREF _Toc460396077 \h </w:instrText>
            </w:r>
            <w:r w:rsidR="00067BFA">
              <w:rPr>
                <w:webHidden/>
              </w:rPr>
            </w:r>
            <w:r w:rsidR="00067BFA">
              <w:rPr>
                <w:webHidden/>
              </w:rPr>
              <w:fldChar w:fldCharType="separate"/>
            </w:r>
            <w:r w:rsidR="00FE080A">
              <w:rPr>
                <w:webHidden/>
              </w:rPr>
              <w:t>154</w:t>
            </w:r>
            <w:r w:rsidR="00067BFA">
              <w:rPr>
                <w:webHidden/>
              </w:rPr>
              <w:fldChar w:fldCharType="end"/>
            </w:r>
          </w:hyperlink>
        </w:p>
        <w:p w14:paraId="3D4ACFB5" w14:textId="77777777" w:rsidR="00067BFA" w:rsidRDefault="00EE58C4" w:rsidP="00085DF0">
          <w:pPr>
            <w:pStyle w:val="TOC2"/>
            <w:spacing w:before="60" w:after="60"/>
            <w:rPr>
              <w:rFonts w:asciiTheme="minorHAnsi" w:eastAsiaTheme="minorEastAsia" w:hAnsiTheme="minorHAnsi" w:cstheme="minorBidi"/>
            </w:rPr>
          </w:pPr>
          <w:hyperlink w:anchor="_Toc460396078" w:history="1">
            <w:r w:rsidR="00067BFA" w:rsidRPr="004A4B31">
              <w:rPr>
                <w:rStyle w:val="Hyperlink"/>
              </w:rPr>
              <w:t>D.3.</w:t>
            </w:r>
            <w:r w:rsidR="00067BFA">
              <w:rPr>
                <w:rFonts w:asciiTheme="minorHAnsi" w:eastAsiaTheme="minorEastAsia" w:hAnsiTheme="minorHAnsi" w:cstheme="minorBidi"/>
              </w:rPr>
              <w:tab/>
            </w:r>
            <w:r w:rsidR="00067BFA" w:rsidRPr="004A4B31">
              <w:rPr>
                <w:rStyle w:val="Hyperlink"/>
              </w:rPr>
              <w:t>Structure and rationale of the economic evaluation</w:t>
            </w:r>
            <w:r w:rsidR="00067BFA">
              <w:rPr>
                <w:webHidden/>
              </w:rPr>
              <w:tab/>
            </w:r>
            <w:r w:rsidR="00067BFA">
              <w:rPr>
                <w:webHidden/>
              </w:rPr>
              <w:fldChar w:fldCharType="begin"/>
            </w:r>
            <w:r w:rsidR="00067BFA">
              <w:rPr>
                <w:webHidden/>
              </w:rPr>
              <w:instrText xml:space="preserve"> PAGEREF _Toc460396078 \h </w:instrText>
            </w:r>
            <w:r w:rsidR="00067BFA">
              <w:rPr>
                <w:webHidden/>
              </w:rPr>
            </w:r>
            <w:r w:rsidR="00067BFA">
              <w:rPr>
                <w:webHidden/>
              </w:rPr>
              <w:fldChar w:fldCharType="separate"/>
            </w:r>
            <w:r w:rsidR="00FE080A">
              <w:rPr>
                <w:webHidden/>
              </w:rPr>
              <w:t>157</w:t>
            </w:r>
            <w:r w:rsidR="00067BFA">
              <w:rPr>
                <w:webHidden/>
              </w:rPr>
              <w:fldChar w:fldCharType="end"/>
            </w:r>
          </w:hyperlink>
        </w:p>
        <w:p w14:paraId="7A0F2A58" w14:textId="77777777" w:rsidR="00067BFA" w:rsidRDefault="00EE58C4" w:rsidP="00085DF0">
          <w:pPr>
            <w:pStyle w:val="TOC3"/>
            <w:spacing w:before="60" w:after="60"/>
            <w:rPr>
              <w:rFonts w:asciiTheme="minorHAnsi" w:eastAsiaTheme="minorEastAsia" w:hAnsiTheme="minorHAnsi" w:cstheme="minorBidi"/>
            </w:rPr>
          </w:pPr>
          <w:hyperlink w:anchor="_Toc460396079" w:history="1">
            <w:r w:rsidR="00067BFA" w:rsidRPr="004A4B31">
              <w:rPr>
                <w:rStyle w:val="Hyperlink"/>
              </w:rPr>
              <w:t>Literature review</w:t>
            </w:r>
            <w:r w:rsidR="00067BFA">
              <w:rPr>
                <w:webHidden/>
              </w:rPr>
              <w:tab/>
            </w:r>
            <w:r w:rsidR="00067BFA">
              <w:rPr>
                <w:webHidden/>
              </w:rPr>
              <w:fldChar w:fldCharType="begin"/>
            </w:r>
            <w:r w:rsidR="00067BFA">
              <w:rPr>
                <w:webHidden/>
              </w:rPr>
              <w:instrText xml:space="preserve"> PAGEREF _Toc460396079 \h </w:instrText>
            </w:r>
            <w:r w:rsidR="00067BFA">
              <w:rPr>
                <w:webHidden/>
              </w:rPr>
            </w:r>
            <w:r w:rsidR="00067BFA">
              <w:rPr>
                <w:webHidden/>
              </w:rPr>
              <w:fldChar w:fldCharType="separate"/>
            </w:r>
            <w:r w:rsidR="00FE080A">
              <w:rPr>
                <w:webHidden/>
              </w:rPr>
              <w:t>158</w:t>
            </w:r>
            <w:r w:rsidR="00067BFA">
              <w:rPr>
                <w:webHidden/>
              </w:rPr>
              <w:fldChar w:fldCharType="end"/>
            </w:r>
          </w:hyperlink>
        </w:p>
        <w:p w14:paraId="32D858C6" w14:textId="77777777" w:rsidR="00067BFA" w:rsidRDefault="00EE58C4" w:rsidP="00085DF0">
          <w:pPr>
            <w:pStyle w:val="TOC3"/>
            <w:spacing w:before="60" w:after="60"/>
            <w:rPr>
              <w:rFonts w:asciiTheme="minorHAnsi" w:eastAsiaTheme="minorEastAsia" w:hAnsiTheme="minorHAnsi" w:cstheme="minorBidi"/>
            </w:rPr>
          </w:pPr>
          <w:hyperlink w:anchor="_Toc460396080" w:history="1">
            <w:r w:rsidR="00067BFA" w:rsidRPr="004A4B31">
              <w:rPr>
                <w:rStyle w:val="Hyperlink"/>
              </w:rPr>
              <w:t>Structure of the economic evaluation</w:t>
            </w:r>
            <w:r w:rsidR="00067BFA">
              <w:rPr>
                <w:webHidden/>
              </w:rPr>
              <w:tab/>
            </w:r>
            <w:r w:rsidR="00067BFA">
              <w:rPr>
                <w:webHidden/>
              </w:rPr>
              <w:fldChar w:fldCharType="begin"/>
            </w:r>
            <w:r w:rsidR="00067BFA">
              <w:rPr>
                <w:webHidden/>
              </w:rPr>
              <w:instrText xml:space="preserve"> PAGEREF _Toc460396080 \h </w:instrText>
            </w:r>
            <w:r w:rsidR="00067BFA">
              <w:rPr>
                <w:webHidden/>
              </w:rPr>
            </w:r>
            <w:r w:rsidR="00067BFA">
              <w:rPr>
                <w:webHidden/>
              </w:rPr>
              <w:fldChar w:fldCharType="separate"/>
            </w:r>
            <w:r w:rsidR="00FE080A">
              <w:rPr>
                <w:webHidden/>
              </w:rPr>
              <w:t>164</w:t>
            </w:r>
            <w:r w:rsidR="00067BFA">
              <w:rPr>
                <w:webHidden/>
              </w:rPr>
              <w:fldChar w:fldCharType="end"/>
            </w:r>
          </w:hyperlink>
        </w:p>
        <w:p w14:paraId="30D25F80" w14:textId="77777777" w:rsidR="00067BFA" w:rsidRDefault="00EE58C4" w:rsidP="00085DF0">
          <w:pPr>
            <w:pStyle w:val="TOC2"/>
            <w:spacing w:before="60" w:after="60"/>
            <w:rPr>
              <w:rFonts w:asciiTheme="minorHAnsi" w:eastAsiaTheme="minorEastAsia" w:hAnsiTheme="minorHAnsi" w:cstheme="minorBidi"/>
            </w:rPr>
          </w:pPr>
          <w:hyperlink w:anchor="_Toc460396081" w:history="1">
            <w:r w:rsidR="00067BFA" w:rsidRPr="004A4B31">
              <w:rPr>
                <w:rStyle w:val="Hyperlink"/>
              </w:rPr>
              <w:t>D.4.</w:t>
            </w:r>
            <w:r w:rsidR="00067BFA">
              <w:rPr>
                <w:rFonts w:asciiTheme="minorHAnsi" w:eastAsiaTheme="minorEastAsia" w:hAnsiTheme="minorHAnsi" w:cstheme="minorBidi"/>
              </w:rPr>
              <w:tab/>
            </w:r>
            <w:r w:rsidR="00067BFA" w:rsidRPr="004A4B31">
              <w:rPr>
                <w:rStyle w:val="Hyperlink"/>
              </w:rPr>
              <w:t>Inputs to the economic evaluation</w:t>
            </w:r>
            <w:r w:rsidR="00067BFA">
              <w:rPr>
                <w:webHidden/>
              </w:rPr>
              <w:tab/>
            </w:r>
            <w:r w:rsidR="00067BFA">
              <w:rPr>
                <w:webHidden/>
              </w:rPr>
              <w:fldChar w:fldCharType="begin"/>
            </w:r>
            <w:r w:rsidR="00067BFA">
              <w:rPr>
                <w:webHidden/>
              </w:rPr>
              <w:instrText xml:space="preserve"> PAGEREF _Toc460396081 \h </w:instrText>
            </w:r>
            <w:r w:rsidR="00067BFA">
              <w:rPr>
                <w:webHidden/>
              </w:rPr>
            </w:r>
            <w:r w:rsidR="00067BFA">
              <w:rPr>
                <w:webHidden/>
              </w:rPr>
              <w:fldChar w:fldCharType="separate"/>
            </w:r>
            <w:r w:rsidR="00FE080A">
              <w:rPr>
                <w:webHidden/>
              </w:rPr>
              <w:t>165</w:t>
            </w:r>
            <w:r w:rsidR="00067BFA">
              <w:rPr>
                <w:webHidden/>
              </w:rPr>
              <w:fldChar w:fldCharType="end"/>
            </w:r>
          </w:hyperlink>
        </w:p>
        <w:p w14:paraId="11A6747D" w14:textId="77777777" w:rsidR="00067BFA" w:rsidRDefault="00EE58C4" w:rsidP="00085DF0">
          <w:pPr>
            <w:pStyle w:val="TOC3"/>
            <w:spacing w:before="60" w:after="60"/>
            <w:rPr>
              <w:rFonts w:asciiTheme="minorHAnsi" w:eastAsiaTheme="minorEastAsia" w:hAnsiTheme="minorHAnsi" w:cstheme="minorBidi"/>
            </w:rPr>
          </w:pPr>
          <w:hyperlink w:anchor="_Toc460396082" w:history="1">
            <w:r w:rsidR="00067BFA" w:rsidRPr="004A4B31">
              <w:rPr>
                <w:rStyle w:val="Hyperlink"/>
              </w:rPr>
              <w:t>Costs of MTA</w:t>
            </w:r>
            <w:r w:rsidR="00067BFA">
              <w:rPr>
                <w:webHidden/>
              </w:rPr>
              <w:tab/>
            </w:r>
            <w:r w:rsidR="00067BFA">
              <w:rPr>
                <w:webHidden/>
              </w:rPr>
              <w:fldChar w:fldCharType="begin"/>
            </w:r>
            <w:r w:rsidR="00067BFA">
              <w:rPr>
                <w:webHidden/>
              </w:rPr>
              <w:instrText xml:space="preserve"> PAGEREF _Toc460396082 \h </w:instrText>
            </w:r>
            <w:r w:rsidR="00067BFA">
              <w:rPr>
                <w:webHidden/>
              </w:rPr>
            </w:r>
            <w:r w:rsidR="00067BFA">
              <w:rPr>
                <w:webHidden/>
              </w:rPr>
              <w:fldChar w:fldCharType="separate"/>
            </w:r>
            <w:r w:rsidR="00FE080A">
              <w:rPr>
                <w:webHidden/>
              </w:rPr>
              <w:t>165</w:t>
            </w:r>
            <w:r w:rsidR="00067BFA">
              <w:rPr>
                <w:webHidden/>
              </w:rPr>
              <w:fldChar w:fldCharType="end"/>
            </w:r>
          </w:hyperlink>
        </w:p>
        <w:p w14:paraId="39CFA1B9" w14:textId="77777777" w:rsidR="00067BFA" w:rsidRDefault="00EE58C4" w:rsidP="00085DF0">
          <w:pPr>
            <w:pStyle w:val="TOC3"/>
            <w:spacing w:before="60" w:after="60"/>
            <w:rPr>
              <w:rFonts w:asciiTheme="minorHAnsi" w:eastAsiaTheme="minorEastAsia" w:hAnsiTheme="minorHAnsi" w:cstheme="minorBidi"/>
            </w:rPr>
          </w:pPr>
          <w:hyperlink w:anchor="_Toc460396083" w:history="1">
            <w:r w:rsidR="00067BFA" w:rsidRPr="004A4B31">
              <w:rPr>
                <w:rStyle w:val="Hyperlink"/>
              </w:rPr>
              <w:t>Costs of RFA</w:t>
            </w:r>
            <w:r w:rsidR="00067BFA">
              <w:rPr>
                <w:webHidden/>
              </w:rPr>
              <w:tab/>
            </w:r>
            <w:r w:rsidR="00067BFA">
              <w:rPr>
                <w:webHidden/>
              </w:rPr>
              <w:fldChar w:fldCharType="begin"/>
            </w:r>
            <w:r w:rsidR="00067BFA">
              <w:rPr>
                <w:webHidden/>
              </w:rPr>
              <w:instrText xml:space="preserve"> PAGEREF _Toc460396083 \h </w:instrText>
            </w:r>
            <w:r w:rsidR="00067BFA">
              <w:rPr>
                <w:webHidden/>
              </w:rPr>
            </w:r>
            <w:r w:rsidR="00067BFA">
              <w:rPr>
                <w:webHidden/>
              </w:rPr>
              <w:fldChar w:fldCharType="separate"/>
            </w:r>
            <w:r w:rsidR="00FE080A">
              <w:rPr>
                <w:webHidden/>
              </w:rPr>
              <w:t>172</w:t>
            </w:r>
            <w:r w:rsidR="00067BFA">
              <w:rPr>
                <w:webHidden/>
              </w:rPr>
              <w:fldChar w:fldCharType="end"/>
            </w:r>
          </w:hyperlink>
        </w:p>
        <w:p w14:paraId="6D7C0687" w14:textId="77777777" w:rsidR="00067BFA" w:rsidRDefault="00EE58C4" w:rsidP="00085DF0">
          <w:pPr>
            <w:pStyle w:val="TOC3"/>
            <w:spacing w:before="60" w:after="60"/>
            <w:rPr>
              <w:rFonts w:asciiTheme="minorHAnsi" w:eastAsiaTheme="minorEastAsia" w:hAnsiTheme="minorHAnsi" w:cstheme="minorBidi"/>
            </w:rPr>
          </w:pPr>
          <w:hyperlink w:anchor="_Toc460396084" w:history="1">
            <w:r w:rsidR="00067BFA" w:rsidRPr="004A4B31">
              <w:rPr>
                <w:rStyle w:val="Hyperlink"/>
              </w:rPr>
              <w:t>Costs of SBRT</w:t>
            </w:r>
            <w:r w:rsidR="00067BFA">
              <w:rPr>
                <w:webHidden/>
              </w:rPr>
              <w:tab/>
            </w:r>
            <w:r w:rsidR="00067BFA">
              <w:rPr>
                <w:webHidden/>
              </w:rPr>
              <w:fldChar w:fldCharType="begin"/>
            </w:r>
            <w:r w:rsidR="00067BFA">
              <w:rPr>
                <w:webHidden/>
              </w:rPr>
              <w:instrText xml:space="preserve"> PAGEREF _Toc460396084 \h </w:instrText>
            </w:r>
            <w:r w:rsidR="00067BFA">
              <w:rPr>
                <w:webHidden/>
              </w:rPr>
            </w:r>
            <w:r w:rsidR="00067BFA">
              <w:rPr>
                <w:webHidden/>
              </w:rPr>
              <w:fldChar w:fldCharType="separate"/>
            </w:r>
            <w:r w:rsidR="00FE080A">
              <w:rPr>
                <w:webHidden/>
              </w:rPr>
              <w:t>172</w:t>
            </w:r>
            <w:r w:rsidR="00067BFA">
              <w:rPr>
                <w:webHidden/>
              </w:rPr>
              <w:fldChar w:fldCharType="end"/>
            </w:r>
          </w:hyperlink>
        </w:p>
        <w:p w14:paraId="4A135E75" w14:textId="77777777" w:rsidR="00067BFA" w:rsidRDefault="00EE58C4" w:rsidP="00085DF0">
          <w:pPr>
            <w:pStyle w:val="TOC3"/>
            <w:spacing w:before="60" w:after="60"/>
            <w:rPr>
              <w:rFonts w:asciiTheme="minorHAnsi" w:eastAsiaTheme="minorEastAsia" w:hAnsiTheme="minorHAnsi" w:cstheme="minorBidi"/>
            </w:rPr>
          </w:pPr>
          <w:hyperlink w:anchor="_Toc460396085" w:history="1">
            <w:r w:rsidR="00067BFA" w:rsidRPr="004A4B31">
              <w:rPr>
                <w:rStyle w:val="Hyperlink"/>
              </w:rPr>
              <w:t>Costs of resection in population two</w:t>
            </w:r>
            <w:r w:rsidR="00067BFA">
              <w:rPr>
                <w:webHidden/>
              </w:rPr>
              <w:tab/>
            </w:r>
            <w:r w:rsidR="00067BFA">
              <w:rPr>
                <w:webHidden/>
              </w:rPr>
              <w:fldChar w:fldCharType="begin"/>
            </w:r>
            <w:r w:rsidR="00067BFA">
              <w:rPr>
                <w:webHidden/>
              </w:rPr>
              <w:instrText xml:space="preserve"> PAGEREF _Toc460396085 \h </w:instrText>
            </w:r>
            <w:r w:rsidR="00067BFA">
              <w:rPr>
                <w:webHidden/>
              </w:rPr>
            </w:r>
            <w:r w:rsidR="00067BFA">
              <w:rPr>
                <w:webHidden/>
              </w:rPr>
              <w:fldChar w:fldCharType="separate"/>
            </w:r>
            <w:r w:rsidR="00FE080A">
              <w:rPr>
                <w:webHidden/>
              </w:rPr>
              <w:t>176</w:t>
            </w:r>
            <w:r w:rsidR="00067BFA">
              <w:rPr>
                <w:webHidden/>
              </w:rPr>
              <w:fldChar w:fldCharType="end"/>
            </w:r>
          </w:hyperlink>
        </w:p>
        <w:p w14:paraId="641B7A41" w14:textId="77777777" w:rsidR="00067BFA" w:rsidRDefault="00EE58C4" w:rsidP="00085DF0">
          <w:pPr>
            <w:pStyle w:val="TOC2"/>
            <w:spacing w:before="60" w:after="60"/>
            <w:rPr>
              <w:rFonts w:asciiTheme="minorHAnsi" w:eastAsiaTheme="minorEastAsia" w:hAnsiTheme="minorHAnsi" w:cstheme="minorBidi"/>
            </w:rPr>
          </w:pPr>
          <w:hyperlink w:anchor="_Toc460396086" w:history="1">
            <w:r w:rsidR="00067BFA" w:rsidRPr="004A4B31">
              <w:rPr>
                <w:rStyle w:val="Hyperlink"/>
              </w:rPr>
              <w:t>D.5.</w:t>
            </w:r>
            <w:r w:rsidR="00067BFA">
              <w:rPr>
                <w:rFonts w:asciiTheme="minorHAnsi" w:eastAsiaTheme="minorEastAsia" w:hAnsiTheme="minorHAnsi" w:cstheme="minorBidi"/>
              </w:rPr>
              <w:tab/>
            </w:r>
            <w:r w:rsidR="00067BFA" w:rsidRPr="004A4B31">
              <w:rPr>
                <w:rStyle w:val="Hyperlink"/>
              </w:rPr>
              <w:t>Results of the Economic Evaluation</w:t>
            </w:r>
            <w:r w:rsidR="00067BFA">
              <w:rPr>
                <w:webHidden/>
              </w:rPr>
              <w:tab/>
            </w:r>
            <w:r w:rsidR="00067BFA">
              <w:rPr>
                <w:webHidden/>
              </w:rPr>
              <w:fldChar w:fldCharType="begin"/>
            </w:r>
            <w:r w:rsidR="00067BFA">
              <w:rPr>
                <w:webHidden/>
              </w:rPr>
              <w:instrText xml:space="preserve"> PAGEREF _Toc460396086 \h </w:instrText>
            </w:r>
            <w:r w:rsidR="00067BFA">
              <w:rPr>
                <w:webHidden/>
              </w:rPr>
            </w:r>
            <w:r w:rsidR="00067BFA">
              <w:rPr>
                <w:webHidden/>
              </w:rPr>
              <w:fldChar w:fldCharType="separate"/>
            </w:r>
            <w:r w:rsidR="00FE080A">
              <w:rPr>
                <w:webHidden/>
              </w:rPr>
              <w:t>179</w:t>
            </w:r>
            <w:r w:rsidR="00067BFA">
              <w:rPr>
                <w:webHidden/>
              </w:rPr>
              <w:fldChar w:fldCharType="end"/>
            </w:r>
          </w:hyperlink>
        </w:p>
        <w:p w14:paraId="0D2E01F5" w14:textId="77777777" w:rsidR="00067BFA" w:rsidRDefault="00EE58C4" w:rsidP="00085DF0">
          <w:pPr>
            <w:pStyle w:val="TOC2"/>
            <w:spacing w:before="60" w:after="60"/>
            <w:rPr>
              <w:rFonts w:asciiTheme="minorHAnsi" w:eastAsiaTheme="minorEastAsia" w:hAnsiTheme="minorHAnsi" w:cstheme="minorBidi"/>
            </w:rPr>
          </w:pPr>
          <w:hyperlink w:anchor="_Toc460396087" w:history="1">
            <w:r w:rsidR="00067BFA" w:rsidRPr="004A4B31">
              <w:rPr>
                <w:rStyle w:val="Hyperlink"/>
              </w:rPr>
              <w:t>D.6.</w:t>
            </w:r>
            <w:r w:rsidR="00067BFA">
              <w:rPr>
                <w:rFonts w:asciiTheme="minorHAnsi" w:eastAsiaTheme="minorEastAsia" w:hAnsiTheme="minorHAnsi" w:cstheme="minorBidi"/>
              </w:rPr>
              <w:tab/>
            </w:r>
            <w:r w:rsidR="00067BFA" w:rsidRPr="004A4B31">
              <w:rPr>
                <w:rStyle w:val="Hyperlink"/>
              </w:rPr>
              <w:t>Sensitivity analyses</w:t>
            </w:r>
            <w:r w:rsidR="00067BFA">
              <w:rPr>
                <w:webHidden/>
              </w:rPr>
              <w:tab/>
            </w:r>
            <w:r w:rsidR="00067BFA">
              <w:rPr>
                <w:webHidden/>
              </w:rPr>
              <w:fldChar w:fldCharType="begin"/>
            </w:r>
            <w:r w:rsidR="00067BFA">
              <w:rPr>
                <w:webHidden/>
              </w:rPr>
              <w:instrText xml:space="preserve"> PAGEREF _Toc460396087 \h </w:instrText>
            </w:r>
            <w:r w:rsidR="00067BFA">
              <w:rPr>
                <w:webHidden/>
              </w:rPr>
            </w:r>
            <w:r w:rsidR="00067BFA">
              <w:rPr>
                <w:webHidden/>
              </w:rPr>
              <w:fldChar w:fldCharType="separate"/>
            </w:r>
            <w:r w:rsidR="00FE080A">
              <w:rPr>
                <w:webHidden/>
              </w:rPr>
              <w:t>181</w:t>
            </w:r>
            <w:r w:rsidR="00067BFA">
              <w:rPr>
                <w:webHidden/>
              </w:rPr>
              <w:fldChar w:fldCharType="end"/>
            </w:r>
          </w:hyperlink>
        </w:p>
        <w:p w14:paraId="390DCE86" w14:textId="77777777" w:rsidR="00067BFA" w:rsidRDefault="00EE58C4" w:rsidP="00085DF0">
          <w:pPr>
            <w:pStyle w:val="TOC1"/>
            <w:spacing w:before="60" w:after="60"/>
            <w:rPr>
              <w:rFonts w:asciiTheme="minorHAnsi" w:eastAsiaTheme="minorEastAsia" w:hAnsiTheme="minorHAnsi" w:cstheme="minorBidi"/>
            </w:rPr>
          </w:pPr>
          <w:hyperlink w:anchor="_Toc460396088" w:history="1">
            <w:r w:rsidR="00067BFA" w:rsidRPr="004A4B31">
              <w:rPr>
                <w:rStyle w:val="Hyperlink"/>
              </w:rPr>
              <w:t>Section E</w:t>
            </w:r>
            <w:r w:rsidR="00067BFA">
              <w:rPr>
                <w:rFonts w:asciiTheme="minorHAnsi" w:eastAsiaTheme="minorEastAsia" w:hAnsiTheme="minorHAnsi" w:cstheme="minorBidi"/>
              </w:rPr>
              <w:tab/>
            </w:r>
            <w:r w:rsidR="00067BFA" w:rsidRPr="004A4B31">
              <w:rPr>
                <w:rStyle w:val="Hyperlink"/>
              </w:rPr>
              <w:t>Financial Implications</w:t>
            </w:r>
            <w:r w:rsidR="00067BFA">
              <w:rPr>
                <w:webHidden/>
              </w:rPr>
              <w:tab/>
            </w:r>
            <w:r w:rsidR="00067BFA">
              <w:rPr>
                <w:webHidden/>
              </w:rPr>
              <w:fldChar w:fldCharType="begin"/>
            </w:r>
            <w:r w:rsidR="00067BFA">
              <w:rPr>
                <w:webHidden/>
              </w:rPr>
              <w:instrText xml:space="preserve"> PAGEREF _Toc460396088 \h </w:instrText>
            </w:r>
            <w:r w:rsidR="00067BFA">
              <w:rPr>
                <w:webHidden/>
              </w:rPr>
            </w:r>
            <w:r w:rsidR="00067BFA">
              <w:rPr>
                <w:webHidden/>
              </w:rPr>
              <w:fldChar w:fldCharType="separate"/>
            </w:r>
            <w:r w:rsidR="00FE080A">
              <w:rPr>
                <w:webHidden/>
              </w:rPr>
              <w:t>185</w:t>
            </w:r>
            <w:r w:rsidR="00067BFA">
              <w:rPr>
                <w:webHidden/>
              </w:rPr>
              <w:fldChar w:fldCharType="end"/>
            </w:r>
          </w:hyperlink>
        </w:p>
        <w:p w14:paraId="61B8BF32" w14:textId="77777777" w:rsidR="00067BFA" w:rsidRDefault="00EE58C4" w:rsidP="00085DF0">
          <w:pPr>
            <w:pStyle w:val="TOC2"/>
            <w:spacing w:before="60" w:after="60"/>
            <w:rPr>
              <w:rFonts w:asciiTheme="minorHAnsi" w:eastAsiaTheme="minorEastAsia" w:hAnsiTheme="minorHAnsi" w:cstheme="minorBidi"/>
            </w:rPr>
          </w:pPr>
          <w:hyperlink w:anchor="_Toc460396089" w:history="1">
            <w:r w:rsidR="00067BFA" w:rsidRPr="004A4B31">
              <w:rPr>
                <w:rStyle w:val="Hyperlink"/>
              </w:rPr>
              <w:t>E.1.</w:t>
            </w:r>
            <w:r w:rsidR="00067BFA">
              <w:rPr>
                <w:rFonts w:asciiTheme="minorHAnsi" w:eastAsiaTheme="minorEastAsia" w:hAnsiTheme="minorHAnsi" w:cstheme="minorBidi"/>
              </w:rPr>
              <w:tab/>
            </w:r>
            <w:r w:rsidR="00067BFA" w:rsidRPr="004A4B31">
              <w:rPr>
                <w:rStyle w:val="Hyperlink"/>
              </w:rPr>
              <w:t>Justification of the Selection of Sources of Data</w:t>
            </w:r>
            <w:r w:rsidR="00067BFA">
              <w:rPr>
                <w:webHidden/>
              </w:rPr>
              <w:tab/>
            </w:r>
            <w:r w:rsidR="00067BFA">
              <w:rPr>
                <w:webHidden/>
              </w:rPr>
              <w:fldChar w:fldCharType="begin"/>
            </w:r>
            <w:r w:rsidR="00067BFA">
              <w:rPr>
                <w:webHidden/>
              </w:rPr>
              <w:instrText xml:space="preserve"> PAGEREF _Toc460396089 \h </w:instrText>
            </w:r>
            <w:r w:rsidR="00067BFA">
              <w:rPr>
                <w:webHidden/>
              </w:rPr>
            </w:r>
            <w:r w:rsidR="00067BFA">
              <w:rPr>
                <w:webHidden/>
              </w:rPr>
              <w:fldChar w:fldCharType="separate"/>
            </w:r>
            <w:r w:rsidR="00FE080A">
              <w:rPr>
                <w:webHidden/>
              </w:rPr>
              <w:t>185</w:t>
            </w:r>
            <w:r w:rsidR="00067BFA">
              <w:rPr>
                <w:webHidden/>
              </w:rPr>
              <w:fldChar w:fldCharType="end"/>
            </w:r>
          </w:hyperlink>
        </w:p>
        <w:p w14:paraId="078BDD2D" w14:textId="77777777" w:rsidR="00067BFA" w:rsidRDefault="00EE58C4" w:rsidP="00085DF0">
          <w:pPr>
            <w:pStyle w:val="TOC2"/>
            <w:spacing w:before="60" w:after="60"/>
            <w:rPr>
              <w:rFonts w:asciiTheme="minorHAnsi" w:eastAsiaTheme="minorEastAsia" w:hAnsiTheme="minorHAnsi" w:cstheme="minorBidi"/>
            </w:rPr>
          </w:pPr>
          <w:hyperlink w:anchor="_Toc460396090" w:history="1">
            <w:r w:rsidR="00067BFA" w:rsidRPr="004A4B31">
              <w:rPr>
                <w:rStyle w:val="Hyperlink"/>
              </w:rPr>
              <w:t>E.2.</w:t>
            </w:r>
            <w:r w:rsidR="00067BFA">
              <w:rPr>
                <w:rFonts w:asciiTheme="minorHAnsi" w:eastAsiaTheme="minorEastAsia" w:hAnsiTheme="minorHAnsi" w:cstheme="minorBidi"/>
              </w:rPr>
              <w:tab/>
            </w:r>
            <w:r w:rsidR="00067BFA" w:rsidRPr="004A4B31">
              <w:rPr>
                <w:rStyle w:val="Hyperlink"/>
              </w:rPr>
              <w:t>Use and Costs of MTA</w:t>
            </w:r>
            <w:r w:rsidR="00067BFA">
              <w:rPr>
                <w:webHidden/>
              </w:rPr>
              <w:tab/>
            </w:r>
            <w:r w:rsidR="00067BFA">
              <w:rPr>
                <w:webHidden/>
              </w:rPr>
              <w:fldChar w:fldCharType="begin"/>
            </w:r>
            <w:r w:rsidR="00067BFA">
              <w:rPr>
                <w:webHidden/>
              </w:rPr>
              <w:instrText xml:space="preserve"> PAGEREF _Toc460396090 \h </w:instrText>
            </w:r>
            <w:r w:rsidR="00067BFA">
              <w:rPr>
                <w:webHidden/>
              </w:rPr>
            </w:r>
            <w:r w:rsidR="00067BFA">
              <w:rPr>
                <w:webHidden/>
              </w:rPr>
              <w:fldChar w:fldCharType="separate"/>
            </w:r>
            <w:r w:rsidR="00FE080A">
              <w:rPr>
                <w:webHidden/>
              </w:rPr>
              <w:t>188</w:t>
            </w:r>
            <w:r w:rsidR="00067BFA">
              <w:rPr>
                <w:webHidden/>
              </w:rPr>
              <w:fldChar w:fldCharType="end"/>
            </w:r>
          </w:hyperlink>
        </w:p>
        <w:p w14:paraId="1BB0AC11" w14:textId="77777777" w:rsidR="00067BFA" w:rsidRDefault="00EE58C4" w:rsidP="00085DF0">
          <w:pPr>
            <w:pStyle w:val="TOC2"/>
            <w:spacing w:before="60" w:after="60"/>
            <w:rPr>
              <w:rFonts w:asciiTheme="minorHAnsi" w:eastAsiaTheme="minorEastAsia" w:hAnsiTheme="minorHAnsi" w:cstheme="minorBidi"/>
            </w:rPr>
          </w:pPr>
          <w:hyperlink w:anchor="_Toc460396091" w:history="1">
            <w:r w:rsidR="00067BFA" w:rsidRPr="004A4B31">
              <w:rPr>
                <w:rStyle w:val="Hyperlink"/>
              </w:rPr>
              <w:t>E.3.</w:t>
            </w:r>
            <w:r w:rsidR="00067BFA">
              <w:rPr>
                <w:rFonts w:asciiTheme="minorHAnsi" w:eastAsiaTheme="minorEastAsia" w:hAnsiTheme="minorHAnsi" w:cstheme="minorBidi"/>
              </w:rPr>
              <w:tab/>
            </w:r>
            <w:r w:rsidR="00067BFA" w:rsidRPr="004A4B31">
              <w:rPr>
                <w:rStyle w:val="Hyperlink"/>
              </w:rPr>
              <w:t>Changes in Use and Cost of Other Medical Services</w:t>
            </w:r>
            <w:r w:rsidR="00067BFA">
              <w:rPr>
                <w:webHidden/>
              </w:rPr>
              <w:tab/>
            </w:r>
            <w:r w:rsidR="00067BFA">
              <w:rPr>
                <w:webHidden/>
              </w:rPr>
              <w:fldChar w:fldCharType="begin"/>
            </w:r>
            <w:r w:rsidR="00067BFA">
              <w:rPr>
                <w:webHidden/>
              </w:rPr>
              <w:instrText xml:space="preserve"> PAGEREF _Toc460396091 \h </w:instrText>
            </w:r>
            <w:r w:rsidR="00067BFA">
              <w:rPr>
                <w:webHidden/>
              </w:rPr>
            </w:r>
            <w:r w:rsidR="00067BFA">
              <w:rPr>
                <w:webHidden/>
              </w:rPr>
              <w:fldChar w:fldCharType="separate"/>
            </w:r>
            <w:r w:rsidR="00FE080A">
              <w:rPr>
                <w:webHidden/>
              </w:rPr>
              <w:t>194</w:t>
            </w:r>
            <w:r w:rsidR="00067BFA">
              <w:rPr>
                <w:webHidden/>
              </w:rPr>
              <w:fldChar w:fldCharType="end"/>
            </w:r>
          </w:hyperlink>
        </w:p>
        <w:p w14:paraId="63C5BBCD" w14:textId="77777777" w:rsidR="00067BFA" w:rsidRDefault="00EE58C4" w:rsidP="00085DF0">
          <w:pPr>
            <w:pStyle w:val="TOC2"/>
            <w:spacing w:before="60" w:after="60"/>
            <w:rPr>
              <w:rFonts w:asciiTheme="minorHAnsi" w:eastAsiaTheme="minorEastAsia" w:hAnsiTheme="minorHAnsi" w:cstheme="minorBidi"/>
            </w:rPr>
          </w:pPr>
          <w:hyperlink w:anchor="_Toc460396092" w:history="1">
            <w:r w:rsidR="00067BFA" w:rsidRPr="004A4B31">
              <w:rPr>
                <w:rStyle w:val="Hyperlink"/>
              </w:rPr>
              <w:t>E.4.</w:t>
            </w:r>
            <w:r w:rsidR="00067BFA">
              <w:rPr>
                <w:rFonts w:asciiTheme="minorHAnsi" w:eastAsiaTheme="minorEastAsia" w:hAnsiTheme="minorHAnsi" w:cstheme="minorBidi"/>
              </w:rPr>
              <w:tab/>
            </w:r>
            <w:r w:rsidR="00067BFA" w:rsidRPr="004A4B31">
              <w:rPr>
                <w:rStyle w:val="Hyperlink"/>
              </w:rPr>
              <w:t>Financial Implications for the MBS</w:t>
            </w:r>
            <w:r w:rsidR="00067BFA">
              <w:rPr>
                <w:webHidden/>
              </w:rPr>
              <w:tab/>
            </w:r>
            <w:r w:rsidR="00067BFA">
              <w:rPr>
                <w:webHidden/>
              </w:rPr>
              <w:fldChar w:fldCharType="begin"/>
            </w:r>
            <w:r w:rsidR="00067BFA">
              <w:rPr>
                <w:webHidden/>
              </w:rPr>
              <w:instrText xml:space="preserve"> PAGEREF _Toc460396092 \h </w:instrText>
            </w:r>
            <w:r w:rsidR="00067BFA">
              <w:rPr>
                <w:webHidden/>
              </w:rPr>
            </w:r>
            <w:r w:rsidR="00067BFA">
              <w:rPr>
                <w:webHidden/>
              </w:rPr>
              <w:fldChar w:fldCharType="separate"/>
            </w:r>
            <w:r w:rsidR="00FE080A">
              <w:rPr>
                <w:webHidden/>
              </w:rPr>
              <w:t>201</w:t>
            </w:r>
            <w:r w:rsidR="00067BFA">
              <w:rPr>
                <w:webHidden/>
              </w:rPr>
              <w:fldChar w:fldCharType="end"/>
            </w:r>
          </w:hyperlink>
        </w:p>
        <w:p w14:paraId="33C28715" w14:textId="77777777" w:rsidR="00067BFA" w:rsidRDefault="00EE58C4" w:rsidP="00085DF0">
          <w:pPr>
            <w:pStyle w:val="TOC2"/>
            <w:spacing w:before="60" w:after="60"/>
            <w:rPr>
              <w:rFonts w:asciiTheme="minorHAnsi" w:eastAsiaTheme="minorEastAsia" w:hAnsiTheme="minorHAnsi" w:cstheme="minorBidi"/>
            </w:rPr>
          </w:pPr>
          <w:hyperlink w:anchor="_Toc460396093" w:history="1">
            <w:r w:rsidR="00067BFA" w:rsidRPr="004A4B31">
              <w:rPr>
                <w:rStyle w:val="Hyperlink"/>
              </w:rPr>
              <w:t>E.5.</w:t>
            </w:r>
            <w:r w:rsidR="00067BFA">
              <w:rPr>
                <w:rFonts w:asciiTheme="minorHAnsi" w:eastAsiaTheme="minorEastAsia" w:hAnsiTheme="minorHAnsi" w:cstheme="minorBidi"/>
              </w:rPr>
              <w:tab/>
            </w:r>
            <w:r w:rsidR="00067BFA" w:rsidRPr="004A4B31">
              <w:rPr>
                <w:rStyle w:val="Hyperlink"/>
              </w:rPr>
              <w:t>Financial Implications for Government Health Budgets</w:t>
            </w:r>
            <w:r w:rsidR="00067BFA">
              <w:rPr>
                <w:webHidden/>
              </w:rPr>
              <w:tab/>
            </w:r>
            <w:r w:rsidR="00067BFA">
              <w:rPr>
                <w:webHidden/>
              </w:rPr>
              <w:fldChar w:fldCharType="begin"/>
            </w:r>
            <w:r w:rsidR="00067BFA">
              <w:rPr>
                <w:webHidden/>
              </w:rPr>
              <w:instrText xml:space="preserve"> PAGEREF _Toc460396093 \h </w:instrText>
            </w:r>
            <w:r w:rsidR="00067BFA">
              <w:rPr>
                <w:webHidden/>
              </w:rPr>
            </w:r>
            <w:r w:rsidR="00067BFA">
              <w:rPr>
                <w:webHidden/>
              </w:rPr>
              <w:fldChar w:fldCharType="separate"/>
            </w:r>
            <w:r w:rsidR="00FE080A">
              <w:rPr>
                <w:webHidden/>
              </w:rPr>
              <w:t>207</w:t>
            </w:r>
            <w:r w:rsidR="00067BFA">
              <w:rPr>
                <w:webHidden/>
              </w:rPr>
              <w:fldChar w:fldCharType="end"/>
            </w:r>
          </w:hyperlink>
        </w:p>
        <w:p w14:paraId="48C501C7" w14:textId="77777777" w:rsidR="00067BFA" w:rsidRDefault="00EE58C4" w:rsidP="00085DF0">
          <w:pPr>
            <w:pStyle w:val="TOC2"/>
            <w:spacing w:before="60" w:after="60"/>
            <w:rPr>
              <w:rFonts w:asciiTheme="minorHAnsi" w:eastAsiaTheme="minorEastAsia" w:hAnsiTheme="minorHAnsi" w:cstheme="minorBidi"/>
            </w:rPr>
          </w:pPr>
          <w:hyperlink w:anchor="_Toc460396094" w:history="1">
            <w:r w:rsidR="00067BFA" w:rsidRPr="004A4B31">
              <w:rPr>
                <w:rStyle w:val="Hyperlink"/>
              </w:rPr>
              <w:t>E.6.</w:t>
            </w:r>
            <w:r w:rsidR="00067BFA">
              <w:rPr>
                <w:rFonts w:asciiTheme="minorHAnsi" w:eastAsiaTheme="minorEastAsia" w:hAnsiTheme="minorHAnsi" w:cstheme="minorBidi"/>
              </w:rPr>
              <w:tab/>
            </w:r>
            <w:r w:rsidR="00067BFA" w:rsidRPr="004A4B31">
              <w:rPr>
                <w:rStyle w:val="Hyperlink"/>
              </w:rPr>
              <w:t>Identification, Estimation and Reduction of Uncertainty</w:t>
            </w:r>
            <w:r w:rsidR="00067BFA">
              <w:rPr>
                <w:webHidden/>
              </w:rPr>
              <w:tab/>
            </w:r>
            <w:r w:rsidR="00067BFA">
              <w:rPr>
                <w:webHidden/>
              </w:rPr>
              <w:fldChar w:fldCharType="begin"/>
            </w:r>
            <w:r w:rsidR="00067BFA">
              <w:rPr>
                <w:webHidden/>
              </w:rPr>
              <w:instrText xml:space="preserve"> PAGEREF _Toc460396094 \h </w:instrText>
            </w:r>
            <w:r w:rsidR="00067BFA">
              <w:rPr>
                <w:webHidden/>
              </w:rPr>
            </w:r>
            <w:r w:rsidR="00067BFA">
              <w:rPr>
                <w:webHidden/>
              </w:rPr>
              <w:fldChar w:fldCharType="separate"/>
            </w:r>
            <w:r w:rsidR="00FE080A">
              <w:rPr>
                <w:webHidden/>
              </w:rPr>
              <w:t>208</w:t>
            </w:r>
            <w:r w:rsidR="00067BFA">
              <w:rPr>
                <w:webHidden/>
              </w:rPr>
              <w:fldChar w:fldCharType="end"/>
            </w:r>
          </w:hyperlink>
        </w:p>
        <w:p w14:paraId="48E1FE44" w14:textId="77777777" w:rsidR="00067BFA" w:rsidRDefault="00EE58C4" w:rsidP="00085DF0">
          <w:pPr>
            <w:pStyle w:val="TOC1"/>
            <w:spacing w:before="60" w:after="60"/>
            <w:rPr>
              <w:rFonts w:asciiTheme="minorHAnsi" w:eastAsiaTheme="minorEastAsia" w:hAnsiTheme="minorHAnsi" w:cstheme="minorBidi"/>
            </w:rPr>
          </w:pPr>
          <w:hyperlink w:anchor="_Toc460396095" w:history="1">
            <w:r w:rsidR="00067BFA" w:rsidRPr="004A4B31">
              <w:rPr>
                <w:rStyle w:val="Hyperlink"/>
              </w:rPr>
              <w:t>Section F</w:t>
            </w:r>
            <w:r w:rsidR="00067BFA">
              <w:rPr>
                <w:rFonts w:asciiTheme="minorHAnsi" w:eastAsiaTheme="minorEastAsia" w:hAnsiTheme="minorHAnsi" w:cstheme="minorBidi"/>
              </w:rPr>
              <w:tab/>
            </w:r>
            <w:r w:rsidR="00067BFA" w:rsidRPr="004A4B31">
              <w:rPr>
                <w:rStyle w:val="Hyperlink"/>
              </w:rPr>
              <w:t>Other Relevant Considerations</w:t>
            </w:r>
            <w:r w:rsidR="00067BFA">
              <w:rPr>
                <w:webHidden/>
              </w:rPr>
              <w:tab/>
            </w:r>
            <w:r w:rsidR="00067BFA">
              <w:rPr>
                <w:webHidden/>
              </w:rPr>
              <w:fldChar w:fldCharType="begin"/>
            </w:r>
            <w:r w:rsidR="00067BFA">
              <w:rPr>
                <w:webHidden/>
              </w:rPr>
              <w:instrText xml:space="preserve"> PAGEREF _Toc460396095 \h </w:instrText>
            </w:r>
            <w:r w:rsidR="00067BFA">
              <w:rPr>
                <w:webHidden/>
              </w:rPr>
            </w:r>
            <w:r w:rsidR="00067BFA">
              <w:rPr>
                <w:webHidden/>
              </w:rPr>
              <w:fldChar w:fldCharType="separate"/>
            </w:r>
            <w:r w:rsidR="00FE080A">
              <w:rPr>
                <w:webHidden/>
              </w:rPr>
              <w:t>210</w:t>
            </w:r>
            <w:r w:rsidR="00067BFA">
              <w:rPr>
                <w:webHidden/>
              </w:rPr>
              <w:fldChar w:fldCharType="end"/>
            </w:r>
          </w:hyperlink>
        </w:p>
        <w:p w14:paraId="20E461C7" w14:textId="77777777" w:rsidR="00067BFA" w:rsidRDefault="00EE58C4" w:rsidP="00085DF0">
          <w:pPr>
            <w:pStyle w:val="TOC2"/>
            <w:spacing w:before="60" w:after="60"/>
            <w:rPr>
              <w:rFonts w:asciiTheme="minorHAnsi" w:eastAsiaTheme="minorEastAsia" w:hAnsiTheme="minorHAnsi" w:cstheme="minorBidi"/>
            </w:rPr>
          </w:pPr>
          <w:hyperlink w:anchor="_Toc460396096" w:history="1">
            <w:r w:rsidR="00067BFA" w:rsidRPr="004A4B31">
              <w:rPr>
                <w:rStyle w:val="Hyperlink"/>
              </w:rPr>
              <w:t>RFA plus radiotherapy or brachytherapy</w:t>
            </w:r>
            <w:r w:rsidR="00067BFA">
              <w:rPr>
                <w:webHidden/>
              </w:rPr>
              <w:tab/>
            </w:r>
            <w:r w:rsidR="00067BFA">
              <w:rPr>
                <w:webHidden/>
              </w:rPr>
              <w:fldChar w:fldCharType="begin"/>
            </w:r>
            <w:r w:rsidR="00067BFA">
              <w:rPr>
                <w:webHidden/>
              </w:rPr>
              <w:instrText xml:space="preserve"> PAGEREF _Toc460396096 \h </w:instrText>
            </w:r>
            <w:r w:rsidR="00067BFA">
              <w:rPr>
                <w:webHidden/>
              </w:rPr>
            </w:r>
            <w:r w:rsidR="00067BFA">
              <w:rPr>
                <w:webHidden/>
              </w:rPr>
              <w:fldChar w:fldCharType="separate"/>
            </w:r>
            <w:r w:rsidR="00FE080A">
              <w:rPr>
                <w:webHidden/>
              </w:rPr>
              <w:t>210</w:t>
            </w:r>
            <w:r w:rsidR="00067BFA">
              <w:rPr>
                <w:webHidden/>
              </w:rPr>
              <w:fldChar w:fldCharType="end"/>
            </w:r>
          </w:hyperlink>
        </w:p>
        <w:p w14:paraId="7487D86C" w14:textId="77777777" w:rsidR="00067BFA" w:rsidRDefault="00EE58C4" w:rsidP="00085DF0">
          <w:pPr>
            <w:pStyle w:val="TOC2"/>
            <w:spacing w:before="60" w:after="60"/>
            <w:rPr>
              <w:rFonts w:asciiTheme="minorHAnsi" w:eastAsiaTheme="minorEastAsia" w:hAnsiTheme="minorHAnsi" w:cstheme="minorBidi"/>
            </w:rPr>
          </w:pPr>
          <w:hyperlink w:anchor="_Toc460396097" w:history="1">
            <w:r w:rsidR="00067BFA" w:rsidRPr="004A4B31">
              <w:rPr>
                <w:rStyle w:val="Hyperlink"/>
              </w:rPr>
              <w:t>Ethical issues</w:t>
            </w:r>
            <w:r w:rsidR="00067BFA">
              <w:rPr>
                <w:webHidden/>
              </w:rPr>
              <w:tab/>
            </w:r>
            <w:r w:rsidR="00067BFA">
              <w:rPr>
                <w:webHidden/>
              </w:rPr>
              <w:fldChar w:fldCharType="begin"/>
            </w:r>
            <w:r w:rsidR="00067BFA">
              <w:rPr>
                <w:webHidden/>
              </w:rPr>
              <w:instrText xml:space="preserve"> PAGEREF _Toc460396097 \h </w:instrText>
            </w:r>
            <w:r w:rsidR="00067BFA">
              <w:rPr>
                <w:webHidden/>
              </w:rPr>
            </w:r>
            <w:r w:rsidR="00067BFA">
              <w:rPr>
                <w:webHidden/>
              </w:rPr>
              <w:fldChar w:fldCharType="separate"/>
            </w:r>
            <w:r w:rsidR="00FE080A">
              <w:rPr>
                <w:webHidden/>
              </w:rPr>
              <w:t>211</w:t>
            </w:r>
            <w:r w:rsidR="00067BFA">
              <w:rPr>
                <w:webHidden/>
              </w:rPr>
              <w:fldChar w:fldCharType="end"/>
            </w:r>
          </w:hyperlink>
        </w:p>
        <w:p w14:paraId="1A868BDE" w14:textId="77777777" w:rsidR="00067BFA" w:rsidRDefault="00EE58C4" w:rsidP="00085DF0">
          <w:pPr>
            <w:pStyle w:val="TOC2"/>
            <w:spacing w:before="60" w:after="60"/>
            <w:rPr>
              <w:rFonts w:asciiTheme="minorHAnsi" w:eastAsiaTheme="minorEastAsia" w:hAnsiTheme="minorHAnsi" w:cstheme="minorBidi"/>
            </w:rPr>
          </w:pPr>
          <w:hyperlink w:anchor="_Toc460396098" w:history="1">
            <w:r w:rsidR="00067BFA" w:rsidRPr="004A4B31">
              <w:rPr>
                <w:rStyle w:val="Hyperlink"/>
              </w:rPr>
              <w:t>Policy considerations</w:t>
            </w:r>
            <w:r w:rsidR="00067BFA">
              <w:rPr>
                <w:webHidden/>
              </w:rPr>
              <w:tab/>
            </w:r>
            <w:r w:rsidR="00067BFA">
              <w:rPr>
                <w:webHidden/>
              </w:rPr>
              <w:fldChar w:fldCharType="begin"/>
            </w:r>
            <w:r w:rsidR="00067BFA">
              <w:rPr>
                <w:webHidden/>
              </w:rPr>
              <w:instrText xml:space="preserve"> PAGEREF _Toc460396098 \h </w:instrText>
            </w:r>
            <w:r w:rsidR="00067BFA">
              <w:rPr>
                <w:webHidden/>
              </w:rPr>
            </w:r>
            <w:r w:rsidR="00067BFA">
              <w:rPr>
                <w:webHidden/>
              </w:rPr>
              <w:fldChar w:fldCharType="separate"/>
            </w:r>
            <w:r w:rsidR="00FE080A">
              <w:rPr>
                <w:webHidden/>
              </w:rPr>
              <w:t>212</w:t>
            </w:r>
            <w:r w:rsidR="00067BFA">
              <w:rPr>
                <w:webHidden/>
              </w:rPr>
              <w:fldChar w:fldCharType="end"/>
            </w:r>
          </w:hyperlink>
        </w:p>
        <w:p w14:paraId="36B07507" w14:textId="77777777" w:rsidR="00067BFA" w:rsidRDefault="00EE58C4" w:rsidP="00085DF0">
          <w:pPr>
            <w:pStyle w:val="TOC2"/>
            <w:spacing w:before="60" w:after="60"/>
            <w:rPr>
              <w:rFonts w:asciiTheme="minorHAnsi" w:eastAsiaTheme="minorEastAsia" w:hAnsiTheme="minorHAnsi" w:cstheme="minorBidi"/>
            </w:rPr>
          </w:pPr>
          <w:hyperlink w:anchor="_Toc460396099" w:history="1">
            <w:r w:rsidR="00067BFA" w:rsidRPr="004A4B31">
              <w:rPr>
                <w:rStyle w:val="Hyperlink"/>
              </w:rPr>
              <w:t>Non-clinical benefits and patient access</w:t>
            </w:r>
            <w:r w:rsidR="00067BFA">
              <w:rPr>
                <w:webHidden/>
              </w:rPr>
              <w:tab/>
            </w:r>
            <w:r w:rsidR="00067BFA">
              <w:rPr>
                <w:webHidden/>
              </w:rPr>
              <w:fldChar w:fldCharType="begin"/>
            </w:r>
            <w:r w:rsidR="00067BFA">
              <w:rPr>
                <w:webHidden/>
              </w:rPr>
              <w:instrText xml:space="preserve"> PAGEREF _Toc460396099 \h </w:instrText>
            </w:r>
            <w:r w:rsidR="00067BFA">
              <w:rPr>
                <w:webHidden/>
              </w:rPr>
            </w:r>
            <w:r w:rsidR="00067BFA">
              <w:rPr>
                <w:webHidden/>
              </w:rPr>
              <w:fldChar w:fldCharType="separate"/>
            </w:r>
            <w:r w:rsidR="00FE080A">
              <w:rPr>
                <w:webHidden/>
              </w:rPr>
              <w:t>214</w:t>
            </w:r>
            <w:r w:rsidR="00067BFA">
              <w:rPr>
                <w:webHidden/>
              </w:rPr>
              <w:fldChar w:fldCharType="end"/>
            </w:r>
          </w:hyperlink>
        </w:p>
        <w:p w14:paraId="2A865BEB" w14:textId="77777777" w:rsidR="00067BFA" w:rsidRDefault="00EE58C4" w:rsidP="00085DF0">
          <w:pPr>
            <w:pStyle w:val="TOC2"/>
            <w:spacing w:before="60" w:after="60"/>
            <w:rPr>
              <w:rFonts w:asciiTheme="minorHAnsi" w:eastAsiaTheme="minorEastAsia" w:hAnsiTheme="minorHAnsi" w:cstheme="minorBidi"/>
            </w:rPr>
          </w:pPr>
          <w:hyperlink w:anchor="_Toc460396100" w:history="1">
            <w:r w:rsidR="00067BFA" w:rsidRPr="004A4B31">
              <w:rPr>
                <w:rStyle w:val="Hyperlink"/>
              </w:rPr>
              <w:t>Ongoing clinical trials</w:t>
            </w:r>
            <w:r w:rsidR="00067BFA">
              <w:rPr>
                <w:webHidden/>
              </w:rPr>
              <w:tab/>
            </w:r>
            <w:r w:rsidR="00067BFA">
              <w:rPr>
                <w:webHidden/>
              </w:rPr>
              <w:fldChar w:fldCharType="begin"/>
            </w:r>
            <w:r w:rsidR="00067BFA">
              <w:rPr>
                <w:webHidden/>
              </w:rPr>
              <w:instrText xml:space="preserve"> PAGEREF _Toc460396100 \h </w:instrText>
            </w:r>
            <w:r w:rsidR="00067BFA">
              <w:rPr>
                <w:webHidden/>
              </w:rPr>
            </w:r>
            <w:r w:rsidR="00067BFA">
              <w:rPr>
                <w:webHidden/>
              </w:rPr>
              <w:fldChar w:fldCharType="separate"/>
            </w:r>
            <w:r w:rsidR="00FE080A">
              <w:rPr>
                <w:webHidden/>
              </w:rPr>
              <w:t>214</w:t>
            </w:r>
            <w:r w:rsidR="00067BFA">
              <w:rPr>
                <w:webHidden/>
              </w:rPr>
              <w:fldChar w:fldCharType="end"/>
            </w:r>
          </w:hyperlink>
        </w:p>
        <w:p w14:paraId="7F81200F" w14:textId="0810732D" w:rsidR="00067BFA" w:rsidRPr="00EB422E" w:rsidRDefault="00EE58C4" w:rsidP="00085DF0">
          <w:pPr>
            <w:pStyle w:val="TOC1"/>
            <w:spacing w:before="60" w:after="60"/>
            <w:rPr>
              <w:rStyle w:val="Hyperlink"/>
            </w:rPr>
          </w:pPr>
          <w:hyperlink w:anchor="_Toc460396101" w:history="1">
            <w:r w:rsidR="00067BFA" w:rsidRPr="004A4B31">
              <w:rPr>
                <w:rStyle w:val="Hyperlink"/>
              </w:rPr>
              <w:t>Appendix A</w:t>
            </w:r>
            <w:r w:rsidR="00EB422E">
              <w:rPr>
                <w:rStyle w:val="Hyperlink"/>
              </w:rPr>
              <w:t xml:space="preserve">  </w:t>
            </w:r>
            <w:r w:rsidR="00067BFA" w:rsidRPr="004A4B31">
              <w:rPr>
                <w:rStyle w:val="Hyperlink"/>
              </w:rPr>
              <w:t>Clinical Experts and Assessment Group</w:t>
            </w:r>
            <w:r w:rsidR="00EB422E">
              <w:rPr>
                <w:rStyle w:val="Hyperlink"/>
              </w:rPr>
              <w:tab/>
            </w:r>
            <w:r w:rsidR="00067BFA" w:rsidRPr="00EB422E">
              <w:rPr>
                <w:rStyle w:val="Hyperlink"/>
                <w:webHidden/>
              </w:rPr>
              <w:fldChar w:fldCharType="begin"/>
            </w:r>
            <w:r w:rsidR="00067BFA" w:rsidRPr="00EB422E">
              <w:rPr>
                <w:rStyle w:val="Hyperlink"/>
                <w:webHidden/>
              </w:rPr>
              <w:instrText xml:space="preserve"> PAGEREF _Toc460396101 \h </w:instrText>
            </w:r>
            <w:r w:rsidR="00067BFA" w:rsidRPr="00EB422E">
              <w:rPr>
                <w:rStyle w:val="Hyperlink"/>
                <w:webHidden/>
              </w:rPr>
            </w:r>
            <w:r w:rsidR="00067BFA" w:rsidRPr="00EB422E">
              <w:rPr>
                <w:rStyle w:val="Hyperlink"/>
                <w:webHidden/>
              </w:rPr>
              <w:fldChar w:fldCharType="separate"/>
            </w:r>
            <w:r w:rsidR="00FE080A">
              <w:rPr>
                <w:rStyle w:val="Hyperlink"/>
                <w:webHidden/>
              </w:rPr>
              <w:t>215</w:t>
            </w:r>
            <w:r w:rsidR="00067BFA" w:rsidRPr="00EB422E">
              <w:rPr>
                <w:rStyle w:val="Hyperlink"/>
                <w:webHidden/>
              </w:rPr>
              <w:fldChar w:fldCharType="end"/>
            </w:r>
          </w:hyperlink>
        </w:p>
        <w:p w14:paraId="17B7C98D" w14:textId="77777777" w:rsidR="00067BFA" w:rsidRDefault="00EE58C4" w:rsidP="00085DF0">
          <w:pPr>
            <w:pStyle w:val="TOC2"/>
            <w:spacing w:before="60" w:after="60"/>
            <w:rPr>
              <w:rFonts w:asciiTheme="minorHAnsi" w:eastAsiaTheme="minorEastAsia" w:hAnsiTheme="minorHAnsi" w:cstheme="minorBidi"/>
            </w:rPr>
          </w:pPr>
          <w:hyperlink w:anchor="_Toc460396102" w:history="1">
            <w:r w:rsidR="00067BFA" w:rsidRPr="004A4B31">
              <w:rPr>
                <w:rStyle w:val="Hyperlink"/>
              </w:rPr>
              <w:t xml:space="preserve">Assessment group </w:t>
            </w:r>
            <w:r w:rsidR="00067BFA">
              <w:rPr>
                <w:webHidden/>
              </w:rPr>
              <w:tab/>
            </w:r>
            <w:r w:rsidR="00067BFA">
              <w:rPr>
                <w:webHidden/>
              </w:rPr>
              <w:fldChar w:fldCharType="begin"/>
            </w:r>
            <w:r w:rsidR="00067BFA">
              <w:rPr>
                <w:webHidden/>
              </w:rPr>
              <w:instrText xml:space="preserve"> PAGEREF _Toc460396102 \h </w:instrText>
            </w:r>
            <w:r w:rsidR="00067BFA">
              <w:rPr>
                <w:webHidden/>
              </w:rPr>
            </w:r>
            <w:r w:rsidR="00067BFA">
              <w:rPr>
                <w:webHidden/>
              </w:rPr>
              <w:fldChar w:fldCharType="separate"/>
            </w:r>
            <w:r w:rsidR="00FE080A">
              <w:rPr>
                <w:webHidden/>
              </w:rPr>
              <w:t>215</w:t>
            </w:r>
            <w:r w:rsidR="00067BFA">
              <w:rPr>
                <w:webHidden/>
              </w:rPr>
              <w:fldChar w:fldCharType="end"/>
            </w:r>
          </w:hyperlink>
        </w:p>
        <w:p w14:paraId="00BBE17F" w14:textId="77777777" w:rsidR="00067BFA" w:rsidRDefault="00EE58C4" w:rsidP="00085DF0">
          <w:pPr>
            <w:pStyle w:val="TOC2"/>
            <w:spacing w:before="60" w:after="60"/>
            <w:rPr>
              <w:rFonts w:asciiTheme="minorHAnsi" w:eastAsiaTheme="minorEastAsia" w:hAnsiTheme="minorHAnsi" w:cstheme="minorBidi"/>
            </w:rPr>
          </w:pPr>
          <w:hyperlink w:anchor="_Toc460396103" w:history="1">
            <w:r w:rsidR="00067BFA" w:rsidRPr="004A4B31">
              <w:rPr>
                <w:rStyle w:val="Hyperlink"/>
              </w:rPr>
              <w:t>Conflicts of interest</w:t>
            </w:r>
            <w:r w:rsidR="00067BFA">
              <w:rPr>
                <w:webHidden/>
              </w:rPr>
              <w:tab/>
            </w:r>
            <w:r w:rsidR="00067BFA">
              <w:rPr>
                <w:webHidden/>
              </w:rPr>
              <w:fldChar w:fldCharType="begin"/>
            </w:r>
            <w:r w:rsidR="00067BFA">
              <w:rPr>
                <w:webHidden/>
              </w:rPr>
              <w:instrText xml:space="preserve"> PAGEREF _Toc460396103 \h </w:instrText>
            </w:r>
            <w:r w:rsidR="00067BFA">
              <w:rPr>
                <w:webHidden/>
              </w:rPr>
            </w:r>
            <w:r w:rsidR="00067BFA">
              <w:rPr>
                <w:webHidden/>
              </w:rPr>
              <w:fldChar w:fldCharType="separate"/>
            </w:r>
            <w:r w:rsidR="00FE080A">
              <w:rPr>
                <w:webHidden/>
              </w:rPr>
              <w:t>215</w:t>
            </w:r>
            <w:r w:rsidR="00067BFA">
              <w:rPr>
                <w:webHidden/>
              </w:rPr>
              <w:fldChar w:fldCharType="end"/>
            </w:r>
          </w:hyperlink>
        </w:p>
        <w:p w14:paraId="42C66C40" w14:textId="01F47562" w:rsidR="00067BFA" w:rsidRDefault="00EE58C4" w:rsidP="00085DF0">
          <w:pPr>
            <w:pStyle w:val="TOC1"/>
            <w:spacing w:before="60" w:after="60"/>
            <w:rPr>
              <w:rFonts w:asciiTheme="minorHAnsi" w:eastAsiaTheme="minorEastAsia" w:hAnsiTheme="minorHAnsi" w:cstheme="minorBidi"/>
            </w:rPr>
          </w:pPr>
          <w:hyperlink w:anchor="_Toc460396104" w:history="1">
            <w:r w:rsidR="00067BFA" w:rsidRPr="004A4B31">
              <w:rPr>
                <w:rStyle w:val="Hyperlink"/>
              </w:rPr>
              <w:t>Appendix B</w:t>
            </w:r>
            <w:r w:rsidR="00EB422E">
              <w:rPr>
                <w:rFonts w:asciiTheme="minorHAnsi" w:eastAsiaTheme="minorEastAsia" w:hAnsiTheme="minorHAnsi" w:cstheme="minorBidi"/>
              </w:rPr>
              <w:t xml:space="preserve">  </w:t>
            </w:r>
            <w:r w:rsidR="00067BFA" w:rsidRPr="004A4B31">
              <w:rPr>
                <w:rStyle w:val="Hyperlink"/>
              </w:rPr>
              <w:t>Search strategies</w:t>
            </w:r>
            <w:r w:rsidR="00EB422E">
              <w:rPr>
                <w:rStyle w:val="Hyperlink"/>
              </w:rPr>
              <w:tab/>
            </w:r>
            <w:r w:rsidR="00067BFA">
              <w:rPr>
                <w:webHidden/>
              </w:rPr>
              <w:fldChar w:fldCharType="begin"/>
            </w:r>
            <w:r w:rsidR="00067BFA">
              <w:rPr>
                <w:webHidden/>
              </w:rPr>
              <w:instrText xml:space="preserve"> PAGEREF _Toc460396104 \h </w:instrText>
            </w:r>
            <w:r w:rsidR="00067BFA">
              <w:rPr>
                <w:webHidden/>
              </w:rPr>
            </w:r>
            <w:r w:rsidR="00067BFA">
              <w:rPr>
                <w:webHidden/>
              </w:rPr>
              <w:fldChar w:fldCharType="separate"/>
            </w:r>
            <w:r w:rsidR="00FE080A">
              <w:rPr>
                <w:webHidden/>
              </w:rPr>
              <w:t>217</w:t>
            </w:r>
            <w:r w:rsidR="00067BFA">
              <w:rPr>
                <w:webHidden/>
              </w:rPr>
              <w:fldChar w:fldCharType="end"/>
            </w:r>
          </w:hyperlink>
        </w:p>
        <w:p w14:paraId="5133A60C" w14:textId="77777777" w:rsidR="00067BFA" w:rsidRDefault="00EE58C4" w:rsidP="00085DF0">
          <w:pPr>
            <w:pStyle w:val="TOC2"/>
            <w:spacing w:before="60" w:after="60"/>
            <w:rPr>
              <w:rFonts w:asciiTheme="minorHAnsi" w:eastAsiaTheme="minorEastAsia" w:hAnsiTheme="minorHAnsi" w:cstheme="minorBidi"/>
            </w:rPr>
          </w:pPr>
          <w:hyperlink w:anchor="_Toc460396105" w:history="1">
            <w:r w:rsidR="00067BFA" w:rsidRPr="004A4B31">
              <w:rPr>
                <w:rStyle w:val="Hyperlink"/>
              </w:rPr>
              <w:t>Bibliographic databases</w:t>
            </w:r>
            <w:r w:rsidR="00067BFA">
              <w:rPr>
                <w:webHidden/>
              </w:rPr>
              <w:tab/>
            </w:r>
            <w:r w:rsidR="00067BFA">
              <w:rPr>
                <w:webHidden/>
              </w:rPr>
              <w:fldChar w:fldCharType="begin"/>
            </w:r>
            <w:r w:rsidR="00067BFA">
              <w:rPr>
                <w:webHidden/>
              </w:rPr>
              <w:instrText xml:space="preserve"> PAGEREF _Toc460396105 \h </w:instrText>
            </w:r>
            <w:r w:rsidR="00067BFA">
              <w:rPr>
                <w:webHidden/>
              </w:rPr>
            </w:r>
            <w:r w:rsidR="00067BFA">
              <w:rPr>
                <w:webHidden/>
              </w:rPr>
              <w:fldChar w:fldCharType="separate"/>
            </w:r>
            <w:r w:rsidR="00FE080A">
              <w:rPr>
                <w:webHidden/>
              </w:rPr>
              <w:t>217</w:t>
            </w:r>
            <w:r w:rsidR="00067BFA">
              <w:rPr>
                <w:webHidden/>
              </w:rPr>
              <w:fldChar w:fldCharType="end"/>
            </w:r>
          </w:hyperlink>
        </w:p>
        <w:p w14:paraId="4575F4A6" w14:textId="77777777" w:rsidR="00067BFA" w:rsidRDefault="00EE58C4" w:rsidP="00085DF0">
          <w:pPr>
            <w:pStyle w:val="TOC2"/>
            <w:spacing w:before="60" w:after="60"/>
            <w:rPr>
              <w:rFonts w:asciiTheme="minorHAnsi" w:eastAsiaTheme="minorEastAsia" w:hAnsiTheme="minorHAnsi" w:cstheme="minorBidi"/>
            </w:rPr>
          </w:pPr>
          <w:hyperlink w:anchor="_Toc460396106" w:history="1">
            <w:r w:rsidR="00067BFA" w:rsidRPr="004A4B31">
              <w:rPr>
                <w:rStyle w:val="Hyperlink"/>
              </w:rPr>
              <w:t>Additional sources of literature (including websites)</w:t>
            </w:r>
            <w:r w:rsidR="00067BFA">
              <w:rPr>
                <w:webHidden/>
              </w:rPr>
              <w:tab/>
            </w:r>
            <w:r w:rsidR="00067BFA">
              <w:rPr>
                <w:webHidden/>
              </w:rPr>
              <w:fldChar w:fldCharType="begin"/>
            </w:r>
            <w:r w:rsidR="00067BFA">
              <w:rPr>
                <w:webHidden/>
              </w:rPr>
              <w:instrText xml:space="preserve"> PAGEREF _Toc460396106 \h </w:instrText>
            </w:r>
            <w:r w:rsidR="00067BFA">
              <w:rPr>
                <w:webHidden/>
              </w:rPr>
            </w:r>
            <w:r w:rsidR="00067BFA">
              <w:rPr>
                <w:webHidden/>
              </w:rPr>
              <w:fldChar w:fldCharType="separate"/>
            </w:r>
            <w:r w:rsidR="00FE080A">
              <w:rPr>
                <w:webHidden/>
              </w:rPr>
              <w:t>217</w:t>
            </w:r>
            <w:r w:rsidR="00067BFA">
              <w:rPr>
                <w:webHidden/>
              </w:rPr>
              <w:fldChar w:fldCharType="end"/>
            </w:r>
          </w:hyperlink>
        </w:p>
        <w:p w14:paraId="5937596C" w14:textId="77777777" w:rsidR="00067BFA" w:rsidRDefault="00EE58C4" w:rsidP="00085DF0">
          <w:pPr>
            <w:pStyle w:val="TOC2"/>
            <w:spacing w:before="60" w:after="60"/>
            <w:rPr>
              <w:rFonts w:asciiTheme="minorHAnsi" w:eastAsiaTheme="minorEastAsia" w:hAnsiTheme="minorHAnsi" w:cstheme="minorBidi"/>
            </w:rPr>
          </w:pPr>
          <w:hyperlink w:anchor="_Toc460396107" w:history="1">
            <w:r w:rsidR="00067BFA" w:rsidRPr="004A4B31">
              <w:rPr>
                <w:rStyle w:val="Hyperlink"/>
              </w:rPr>
              <w:t>Search Strategies</w:t>
            </w:r>
            <w:r w:rsidR="00067BFA">
              <w:rPr>
                <w:webHidden/>
              </w:rPr>
              <w:tab/>
            </w:r>
            <w:r w:rsidR="00067BFA">
              <w:rPr>
                <w:webHidden/>
              </w:rPr>
              <w:fldChar w:fldCharType="begin"/>
            </w:r>
            <w:r w:rsidR="00067BFA">
              <w:rPr>
                <w:webHidden/>
              </w:rPr>
              <w:instrText xml:space="preserve"> PAGEREF _Toc460396107 \h </w:instrText>
            </w:r>
            <w:r w:rsidR="00067BFA">
              <w:rPr>
                <w:webHidden/>
              </w:rPr>
            </w:r>
            <w:r w:rsidR="00067BFA">
              <w:rPr>
                <w:webHidden/>
              </w:rPr>
              <w:fldChar w:fldCharType="separate"/>
            </w:r>
            <w:r w:rsidR="00FE080A">
              <w:rPr>
                <w:webHidden/>
              </w:rPr>
              <w:t>217</w:t>
            </w:r>
            <w:r w:rsidR="00067BFA">
              <w:rPr>
                <w:webHidden/>
              </w:rPr>
              <w:fldChar w:fldCharType="end"/>
            </w:r>
          </w:hyperlink>
        </w:p>
        <w:p w14:paraId="3B6E6B43" w14:textId="77777777" w:rsidR="00067BFA" w:rsidRDefault="00EE58C4" w:rsidP="00085DF0">
          <w:pPr>
            <w:pStyle w:val="TOC2"/>
            <w:spacing w:before="60" w:after="60"/>
            <w:rPr>
              <w:rFonts w:asciiTheme="minorHAnsi" w:eastAsiaTheme="minorEastAsia" w:hAnsiTheme="minorHAnsi" w:cstheme="minorBidi"/>
            </w:rPr>
          </w:pPr>
          <w:hyperlink w:anchor="_Toc460396108" w:history="1">
            <w:r w:rsidR="00067BFA" w:rsidRPr="004A4B31">
              <w:rPr>
                <w:rStyle w:val="Hyperlink"/>
              </w:rPr>
              <w:t>Literature search to inform the Economic analyses</w:t>
            </w:r>
            <w:r w:rsidR="00067BFA">
              <w:rPr>
                <w:webHidden/>
              </w:rPr>
              <w:tab/>
            </w:r>
            <w:r w:rsidR="00067BFA">
              <w:rPr>
                <w:webHidden/>
              </w:rPr>
              <w:fldChar w:fldCharType="begin"/>
            </w:r>
            <w:r w:rsidR="00067BFA">
              <w:rPr>
                <w:webHidden/>
              </w:rPr>
              <w:instrText xml:space="preserve"> PAGEREF _Toc460396108 \h </w:instrText>
            </w:r>
            <w:r w:rsidR="00067BFA">
              <w:rPr>
                <w:webHidden/>
              </w:rPr>
            </w:r>
            <w:r w:rsidR="00067BFA">
              <w:rPr>
                <w:webHidden/>
              </w:rPr>
              <w:fldChar w:fldCharType="separate"/>
            </w:r>
            <w:r w:rsidR="00FE080A">
              <w:rPr>
                <w:webHidden/>
              </w:rPr>
              <w:t>222</w:t>
            </w:r>
            <w:r w:rsidR="00067BFA">
              <w:rPr>
                <w:webHidden/>
              </w:rPr>
              <w:fldChar w:fldCharType="end"/>
            </w:r>
          </w:hyperlink>
        </w:p>
        <w:p w14:paraId="1615B9D1" w14:textId="4E39295B" w:rsidR="00067BFA" w:rsidRDefault="00EE58C4" w:rsidP="00085DF0">
          <w:pPr>
            <w:pStyle w:val="TOC1"/>
            <w:spacing w:before="60" w:after="60"/>
            <w:rPr>
              <w:rFonts w:asciiTheme="minorHAnsi" w:eastAsiaTheme="minorEastAsia" w:hAnsiTheme="minorHAnsi" w:cstheme="minorBidi"/>
            </w:rPr>
          </w:pPr>
          <w:hyperlink w:anchor="_Toc460396109" w:history="1">
            <w:r w:rsidR="00067BFA" w:rsidRPr="004A4B31">
              <w:rPr>
                <w:rStyle w:val="Hyperlink"/>
              </w:rPr>
              <w:t>Appendix C</w:t>
            </w:r>
            <w:r w:rsidR="00EB422E">
              <w:rPr>
                <w:rStyle w:val="Hyperlink"/>
              </w:rPr>
              <w:t xml:space="preserve">  </w:t>
            </w:r>
            <w:r w:rsidR="00067BFA" w:rsidRPr="004A4B31">
              <w:rPr>
                <w:rStyle w:val="Hyperlink"/>
              </w:rPr>
              <w:t>Studies included in the Systematic Review</w:t>
            </w:r>
            <w:r w:rsidR="00067BFA">
              <w:rPr>
                <w:webHidden/>
              </w:rPr>
              <w:tab/>
            </w:r>
            <w:r w:rsidR="00067BFA">
              <w:rPr>
                <w:webHidden/>
              </w:rPr>
              <w:fldChar w:fldCharType="begin"/>
            </w:r>
            <w:r w:rsidR="00067BFA">
              <w:rPr>
                <w:webHidden/>
              </w:rPr>
              <w:instrText xml:space="preserve"> PAGEREF _Toc460396109 \h </w:instrText>
            </w:r>
            <w:r w:rsidR="00067BFA">
              <w:rPr>
                <w:webHidden/>
              </w:rPr>
            </w:r>
            <w:r w:rsidR="00067BFA">
              <w:rPr>
                <w:webHidden/>
              </w:rPr>
              <w:fldChar w:fldCharType="separate"/>
            </w:r>
            <w:r w:rsidR="00FE080A">
              <w:rPr>
                <w:webHidden/>
              </w:rPr>
              <w:t>225</w:t>
            </w:r>
            <w:r w:rsidR="00067BFA">
              <w:rPr>
                <w:webHidden/>
              </w:rPr>
              <w:fldChar w:fldCharType="end"/>
            </w:r>
          </w:hyperlink>
        </w:p>
        <w:p w14:paraId="5A863D8C" w14:textId="755B64DB" w:rsidR="00067BFA" w:rsidRDefault="00EE58C4" w:rsidP="00085DF0">
          <w:pPr>
            <w:pStyle w:val="TOC1"/>
            <w:spacing w:before="60" w:after="60"/>
            <w:rPr>
              <w:rFonts w:asciiTheme="minorHAnsi" w:eastAsiaTheme="minorEastAsia" w:hAnsiTheme="minorHAnsi" w:cstheme="minorBidi"/>
            </w:rPr>
          </w:pPr>
          <w:hyperlink w:anchor="_Toc460396110" w:history="1">
            <w:r w:rsidR="00067BFA" w:rsidRPr="004A4B31">
              <w:rPr>
                <w:rStyle w:val="Hyperlink"/>
              </w:rPr>
              <w:t>Appendix D</w:t>
            </w:r>
            <w:r w:rsidR="00EB422E">
              <w:rPr>
                <w:rStyle w:val="Hyperlink"/>
              </w:rPr>
              <w:t xml:space="preserve">  </w:t>
            </w:r>
            <w:r w:rsidR="00067BFA" w:rsidRPr="004A4B31">
              <w:rPr>
                <w:rStyle w:val="Hyperlink"/>
              </w:rPr>
              <w:t>Evidence Profile Tables</w:t>
            </w:r>
            <w:r w:rsidR="00067BFA">
              <w:rPr>
                <w:webHidden/>
              </w:rPr>
              <w:tab/>
            </w:r>
            <w:r w:rsidR="00067BFA">
              <w:rPr>
                <w:webHidden/>
              </w:rPr>
              <w:fldChar w:fldCharType="begin"/>
            </w:r>
            <w:r w:rsidR="00067BFA">
              <w:rPr>
                <w:webHidden/>
              </w:rPr>
              <w:instrText xml:space="preserve"> PAGEREF _Toc460396110 \h </w:instrText>
            </w:r>
            <w:r w:rsidR="00067BFA">
              <w:rPr>
                <w:webHidden/>
              </w:rPr>
            </w:r>
            <w:r w:rsidR="00067BFA">
              <w:rPr>
                <w:webHidden/>
              </w:rPr>
              <w:fldChar w:fldCharType="separate"/>
            </w:r>
            <w:r w:rsidR="00FE080A">
              <w:rPr>
                <w:webHidden/>
              </w:rPr>
              <w:t>270</w:t>
            </w:r>
            <w:r w:rsidR="00067BFA">
              <w:rPr>
                <w:webHidden/>
              </w:rPr>
              <w:fldChar w:fldCharType="end"/>
            </w:r>
          </w:hyperlink>
        </w:p>
        <w:p w14:paraId="6AF40DA8" w14:textId="77222E69" w:rsidR="00067BFA" w:rsidRDefault="00EE58C4" w:rsidP="00085DF0">
          <w:pPr>
            <w:pStyle w:val="TOC1"/>
            <w:spacing w:before="60" w:after="60"/>
            <w:rPr>
              <w:rFonts w:asciiTheme="minorHAnsi" w:eastAsiaTheme="minorEastAsia" w:hAnsiTheme="minorHAnsi" w:cstheme="minorBidi"/>
            </w:rPr>
          </w:pPr>
          <w:hyperlink w:anchor="_Toc460396111" w:history="1">
            <w:r w:rsidR="00067BFA" w:rsidRPr="004A4B31">
              <w:rPr>
                <w:rStyle w:val="Hyperlink"/>
              </w:rPr>
              <w:t>Appendix E</w:t>
            </w:r>
            <w:r w:rsidR="00EB422E">
              <w:rPr>
                <w:rStyle w:val="Hyperlink"/>
              </w:rPr>
              <w:t xml:space="preserve">  </w:t>
            </w:r>
            <w:r w:rsidR="00067BFA" w:rsidRPr="004A4B31">
              <w:rPr>
                <w:rStyle w:val="Hyperlink"/>
              </w:rPr>
              <w:t>Study Outcome Tables</w:t>
            </w:r>
            <w:r w:rsidR="00067BFA">
              <w:rPr>
                <w:webHidden/>
              </w:rPr>
              <w:tab/>
            </w:r>
            <w:r w:rsidR="00067BFA">
              <w:rPr>
                <w:webHidden/>
              </w:rPr>
              <w:fldChar w:fldCharType="begin"/>
            </w:r>
            <w:r w:rsidR="00067BFA">
              <w:rPr>
                <w:webHidden/>
              </w:rPr>
              <w:instrText xml:space="preserve"> PAGEREF _Toc460396111 \h </w:instrText>
            </w:r>
            <w:r w:rsidR="00067BFA">
              <w:rPr>
                <w:webHidden/>
              </w:rPr>
            </w:r>
            <w:r w:rsidR="00067BFA">
              <w:rPr>
                <w:webHidden/>
              </w:rPr>
              <w:fldChar w:fldCharType="separate"/>
            </w:r>
            <w:r w:rsidR="00FE080A">
              <w:rPr>
                <w:webHidden/>
              </w:rPr>
              <w:t>281</w:t>
            </w:r>
            <w:r w:rsidR="00067BFA">
              <w:rPr>
                <w:webHidden/>
              </w:rPr>
              <w:fldChar w:fldCharType="end"/>
            </w:r>
          </w:hyperlink>
        </w:p>
        <w:p w14:paraId="2FBCD227" w14:textId="47FE0567" w:rsidR="00067BFA" w:rsidRDefault="00EE58C4" w:rsidP="00085DF0">
          <w:pPr>
            <w:pStyle w:val="TOC1"/>
            <w:spacing w:before="60" w:after="60"/>
            <w:rPr>
              <w:rFonts w:asciiTheme="minorHAnsi" w:eastAsiaTheme="minorEastAsia" w:hAnsiTheme="minorHAnsi" w:cstheme="minorBidi"/>
            </w:rPr>
          </w:pPr>
          <w:hyperlink w:anchor="_Toc460396112" w:history="1">
            <w:r w:rsidR="00EB422E">
              <w:rPr>
                <w:rStyle w:val="Hyperlink"/>
              </w:rPr>
              <w:t xml:space="preserve">Appendix </w:t>
            </w:r>
            <w:r w:rsidR="00EB422E">
              <w:rPr>
                <w:rFonts w:asciiTheme="minorHAnsi" w:eastAsiaTheme="minorEastAsia" w:hAnsiTheme="minorHAnsi" w:cstheme="minorBidi"/>
              </w:rPr>
              <w:t xml:space="preserve">F  </w:t>
            </w:r>
            <w:r w:rsidR="00067BFA" w:rsidRPr="004A4B31">
              <w:rPr>
                <w:rStyle w:val="Hyperlink"/>
              </w:rPr>
              <w:t>Excluded Studies</w:t>
            </w:r>
            <w:r w:rsidR="00067BFA">
              <w:rPr>
                <w:webHidden/>
              </w:rPr>
              <w:tab/>
            </w:r>
            <w:r w:rsidR="00067BFA">
              <w:rPr>
                <w:webHidden/>
              </w:rPr>
              <w:fldChar w:fldCharType="begin"/>
            </w:r>
            <w:r w:rsidR="00067BFA">
              <w:rPr>
                <w:webHidden/>
              </w:rPr>
              <w:instrText xml:space="preserve"> PAGEREF _Toc460396112 \h </w:instrText>
            </w:r>
            <w:r w:rsidR="00067BFA">
              <w:rPr>
                <w:webHidden/>
              </w:rPr>
            </w:r>
            <w:r w:rsidR="00067BFA">
              <w:rPr>
                <w:webHidden/>
              </w:rPr>
              <w:fldChar w:fldCharType="separate"/>
            </w:r>
            <w:r w:rsidR="00FE080A">
              <w:rPr>
                <w:webHidden/>
              </w:rPr>
              <w:t>286</w:t>
            </w:r>
            <w:r w:rsidR="00067BFA">
              <w:rPr>
                <w:webHidden/>
              </w:rPr>
              <w:fldChar w:fldCharType="end"/>
            </w:r>
          </w:hyperlink>
        </w:p>
        <w:p w14:paraId="79D70033" w14:textId="587CB508" w:rsidR="00067BFA" w:rsidRDefault="00EE58C4" w:rsidP="00085DF0">
          <w:pPr>
            <w:pStyle w:val="TOC1"/>
            <w:spacing w:before="60" w:after="60"/>
            <w:rPr>
              <w:rFonts w:asciiTheme="minorHAnsi" w:eastAsiaTheme="minorEastAsia" w:hAnsiTheme="minorHAnsi" w:cstheme="minorBidi"/>
            </w:rPr>
          </w:pPr>
          <w:hyperlink w:anchor="_Toc460396113" w:history="1">
            <w:r w:rsidR="00EB422E">
              <w:rPr>
                <w:rStyle w:val="Hyperlink"/>
              </w:rPr>
              <w:t>Reference</w:t>
            </w:r>
            <w:r w:rsidR="00F35407">
              <w:rPr>
                <w:rStyle w:val="Hyperlink"/>
              </w:rPr>
              <w:t>s</w:t>
            </w:r>
            <w:r w:rsidR="00B16730">
              <w:rPr>
                <w:webHidden/>
              </w:rPr>
              <w:tab/>
            </w:r>
            <w:r w:rsidR="00067BFA">
              <w:rPr>
                <w:webHidden/>
              </w:rPr>
              <w:fldChar w:fldCharType="begin"/>
            </w:r>
            <w:r w:rsidR="00067BFA">
              <w:rPr>
                <w:webHidden/>
              </w:rPr>
              <w:instrText xml:space="preserve"> PAGEREF _Toc460396113 \h </w:instrText>
            </w:r>
            <w:r w:rsidR="00067BFA">
              <w:rPr>
                <w:webHidden/>
              </w:rPr>
            </w:r>
            <w:r w:rsidR="00067BFA">
              <w:rPr>
                <w:webHidden/>
              </w:rPr>
              <w:fldChar w:fldCharType="separate"/>
            </w:r>
            <w:r w:rsidR="00FE080A">
              <w:rPr>
                <w:webHidden/>
              </w:rPr>
              <w:t>286</w:t>
            </w:r>
            <w:r w:rsidR="00067BFA">
              <w:rPr>
                <w:webHidden/>
              </w:rPr>
              <w:fldChar w:fldCharType="end"/>
            </w:r>
          </w:hyperlink>
        </w:p>
        <w:p w14:paraId="04BC8125" w14:textId="77777777" w:rsidR="00F81651" w:rsidRDefault="00F81651" w:rsidP="00085DF0">
          <w:pPr>
            <w:spacing w:before="60" w:after="60"/>
          </w:pPr>
          <w:r>
            <w:rPr>
              <w:b/>
              <w:bCs/>
              <w:noProof/>
            </w:rPr>
            <w:fldChar w:fldCharType="end"/>
          </w:r>
        </w:p>
      </w:sdtContent>
    </w:sdt>
    <w:p w14:paraId="4EB311CD" w14:textId="77777777" w:rsidR="008F59A8" w:rsidRPr="00183E4D" w:rsidRDefault="008F59A8" w:rsidP="00DF343F">
      <w:pPr>
        <w:pStyle w:val="Heading2"/>
      </w:pPr>
      <w:r w:rsidRPr="00183E4D">
        <w:br w:type="page"/>
      </w:r>
      <w:bookmarkStart w:id="18" w:name="_Toc381796425"/>
      <w:bookmarkStart w:id="19" w:name="_Toc395200736"/>
      <w:bookmarkStart w:id="20" w:name="_Toc399247191"/>
      <w:bookmarkStart w:id="21" w:name="_Toc402884710"/>
      <w:bookmarkStart w:id="22" w:name="_Toc460395993"/>
      <w:r w:rsidRPr="00183E4D">
        <w:lastRenderedPageBreak/>
        <w:t>Tables</w:t>
      </w:r>
      <w:bookmarkEnd w:id="18"/>
      <w:bookmarkEnd w:id="19"/>
      <w:bookmarkEnd w:id="20"/>
      <w:bookmarkEnd w:id="21"/>
      <w:bookmarkEnd w:id="22"/>
    </w:p>
    <w:bookmarkStart w:id="23" w:name="_Toc381796426"/>
    <w:bookmarkStart w:id="24" w:name="_Toc395200737"/>
    <w:p w14:paraId="2E628C38" w14:textId="77777777" w:rsidR="00320458" w:rsidRDefault="00503C5B" w:rsidP="00085DF0">
      <w:pPr>
        <w:pStyle w:val="TableofFigures"/>
        <w:spacing w:before="60" w:after="60"/>
        <w:rPr>
          <w:rFonts w:asciiTheme="minorHAnsi" w:eastAsiaTheme="minorEastAsia" w:hAnsiTheme="minorHAnsi" w:cstheme="minorBidi"/>
        </w:rPr>
      </w:pPr>
      <w:r>
        <w:rPr>
          <w:rFonts w:asciiTheme="minorHAnsi" w:eastAsiaTheme="minorEastAsia" w:hAnsiTheme="minorHAnsi" w:cstheme="minorBidi"/>
          <w:b/>
          <w:smallCaps/>
        </w:rPr>
        <w:fldChar w:fldCharType="begin"/>
      </w:r>
      <w:r>
        <w:rPr>
          <w:rFonts w:asciiTheme="minorHAnsi" w:eastAsiaTheme="minorEastAsia" w:hAnsiTheme="minorHAnsi" w:cstheme="minorBidi"/>
          <w:b/>
          <w:smallCaps/>
        </w:rPr>
        <w:instrText xml:space="preserve"> TOC \h \z \c "Table" </w:instrText>
      </w:r>
      <w:r>
        <w:rPr>
          <w:rFonts w:asciiTheme="minorHAnsi" w:eastAsiaTheme="minorEastAsia" w:hAnsiTheme="minorHAnsi" w:cstheme="minorBidi"/>
          <w:b/>
          <w:smallCaps/>
        </w:rPr>
        <w:fldChar w:fldCharType="separate"/>
      </w:r>
      <w:hyperlink w:anchor="_Toc460514659" w:history="1">
        <w:r w:rsidR="00320458" w:rsidRPr="002A3A7B">
          <w:rPr>
            <w:rStyle w:val="Hyperlink"/>
            <w:lang w:val="en-GB" w:eastAsia="ja-JP"/>
          </w:rPr>
          <w:t>Table 1</w:t>
        </w:r>
        <w:r w:rsidR="00320458">
          <w:rPr>
            <w:rFonts w:asciiTheme="minorHAnsi" w:eastAsiaTheme="minorEastAsia" w:hAnsiTheme="minorHAnsi" w:cstheme="minorBidi"/>
          </w:rPr>
          <w:tab/>
        </w:r>
        <w:r w:rsidR="00320458" w:rsidRPr="002A3A7B">
          <w:rPr>
            <w:rStyle w:val="Hyperlink"/>
            <w:lang w:val="en-GB" w:eastAsia="ja-JP"/>
          </w:rPr>
          <w:t>Proposed MBS items for microwave tissue ablation of lung cancer</w:t>
        </w:r>
        <w:r w:rsidR="00320458">
          <w:rPr>
            <w:webHidden/>
          </w:rPr>
          <w:tab/>
        </w:r>
        <w:r w:rsidR="00320458">
          <w:rPr>
            <w:webHidden/>
          </w:rPr>
          <w:fldChar w:fldCharType="begin"/>
        </w:r>
        <w:r w:rsidR="00320458">
          <w:rPr>
            <w:webHidden/>
          </w:rPr>
          <w:instrText xml:space="preserve"> PAGEREF _Toc460514659 \h </w:instrText>
        </w:r>
        <w:r w:rsidR="00320458">
          <w:rPr>
            <w:webHidden/>
          </w:rPr>
        </w:r>
        <w:r w:rsidR="00320458">
          <w:rPr>
            <w:webHidden/>
          </w:rPr>
          <w:fldChar w:fldCharType="separate"/>
        </w:r>
        <w:r w:rsidR="006E56CB">
          <w:rPr>
            <w:webHidden/>
          </w:rPr>
          <w:t>3</w:t>
        </w:r>
        <w:r w:rsidR="00320458">
          <w:rPr>
            <w:webHidden/>
          </w:rPr>
          <w:fldChar w:fldCharType="end"/>
        </w:r>
      </w:hyperlink>
    </w:p>
    <w:p w14:paraId="15AA02F5" w14:textId="77777777" w:rsidR="00320458" w:rsidRDefault="00EE58C4" w:rsidP="00085DF0">
      <w:pPr>
        <w:pStyle w:val="TableofFigures"/>
        <w:spacing w:before="60" w:after="60"/>
        <w:rPr>
          <w:rFonts w:asciiTheme="minorHAnsi" w:eastAsiaTheme="minorEastAsia" w:hAnsiTheme="minorHAnsi" w:cstheme="minorBidi"/>
        </w:rPr>
      </w:pPr>
      <w:hyperlink w:anchor="_Toc460514660" w:history="1">
        <w:r w:rsidR="00320458" w:rsidRPr="002A3A7B">
          <w:rPr>
            <w:rStyle w:val="Hyperlink"/>
          </w:rPr>
          <w:t>Table 2</w:t>
        </w:r>
        <w:r w:rsidR="00320458">
          <w:rPr>
            <w:rFonts w:asciiTheme="minorHAnsi" w:eastAsiaTheme="minorEastAsia" w:hAnsiTheme="minorHAnsi" w:cstheme="minorBidi"/>
          </w:rPr>
          <w:tab/>
        </w:r>
        <w:r w:rsidR="00320458" w:rsidRPr="002A3A7B">
          <w:rPr>
            <w:rStyle w:val="Hyperlink"/>
          </w:rPr>
          <w:t xml:space="preserve"> Comparator(s) to MTA in the proposed populations</w:t>
        </w:r>
        <w:r w:rsidR="00320458">
          <w:rPr>
            <w:webHidden/>
          </w:rPr>
          <w:tab/>
        </w:r>
        <w:r w:rsidR="00320458">
          <w:rPr>
            <w:webHidden/>
          </w:rPr>
          <w:fldChar w:fldCharType="begin"/>
        </w:r>
        <w:r w:rsidR="00320458">
          <w:rPr>
            <w:webHidden/>
          </w:rPr>
          <w:instrText xml:space="preserve"> PAGEREF _Toc460514660 \h </w:instrText>
        </w:r>
        <w:r w:rsidR="00320458">
          <w:rPr>
            <w:webHidden/>
          </w:rPr>
        </w:r>
        <w:r w:rsidR="00320458">
          <w:rPr>
            <w:webHidden/>
          </w:rPr>
          <w:fldChar w:fldCharType="separate"/>
        </w:r>
        <w:r w:rsidR="006E56CB">
          <w:rPr>
            <w:webHidden/>
          </w:rPr>
          <w:t>4</w:t>
        </w:r>
        <w:r w:rsidR="00320458">
          <w:rPr>
            <w:webHidden/>
          </w:rPr>
          <w:fldChar w:fldCharType="end"/>
        </w:r>
      </w:hyperlink>
    </w:p>
    <w:p w14:paraId="364036D7" w14:textId="77777777" w:rsidR="00320458" w:rsidRDefault="00EE58C4" w:rsidP="00085DF0">
      <w:pPr>
        <w:pStyle w:val="TableofFigures"/>
        <w:spacing w:before="60" w:after="60"/>
        <w:rPr>
          <w:rFonts w:asciiTheme="minorHAnsi" w:eastAsiaTheme="minorEastAsia" w:hAnsiTheme="minorHAnsi" w:cstheme="minorBidi"/>
        </w:rPr>
      </w:pPr>
      <w:hyperlink w:anchor="_Toc460514661" w:history="1">
        <w:r w:rsidR="00320458" w:rsidRPr="002A3A7B">
          <w:rPr>
            <w:rStyle w:val="Hyperlink"/>
          </w:rPr>
          <w:t>Table 3</w:t>
        </w:r>
        <w:r w:rsidR="00320458">
          <w:rPr>
            <w:rFonts w:asciiTheme="minorHAnsi" w:eastAsiaTheme="minorEastAsia" w:hAnsiTheme="minorHAnsi" w:cstheme="minorBidi"/>
          </w:rPr>
          <w:tab/>
        </w:r>
        <w:r w:rsidR="00320458" w:rsidRPr="002A3A7B">
          <w:rPr>
            <w:rStyle w:val="Hyperlink"/>
          </w:rPr>
          <w:t xml:space="preserve"> Number and type of included studies for each intervention, in each study population</w:t>
        </w:r>
        <w:r w:rsidR="00320458">
          <w:rPr>
            <w:webHidden/>
          </w:rPr>
          <w:tab/>
        </w:r>
        <w:r w:rsidR="00320458">
          <w:rPr>
            <w:webHidden/>
          </w:rPr>
          <w:fldChar w:fldCharType="begin"/>
        </w:r>
        <w:r w:rsidR="00320458">
          <w:rPr>
            <w:webHidden/>
          </w:rPr>
          <w:instrText xml:space="preserve"> PAGEREF _Toc460514661 \h </w:instrText>
        </w:r>
        <w:r w:rsidR="00320458">
          <w:rPr>
            <w:webHidden/>
          </w:rPr>
        </w:r>
        <w:r w:rsidR="00320458">
          <w:rPr>
            <w:webHidden/>
          </w:rPr>
          <w:fldChar w:fldCharType="separate"/>
        </w:r>
        <w:r w:rsidR="006E56CB">
          <w:rPr>
            <w:webHidden/>
          </w:rPr>
          <w:t>7</w:t>
        </w:r>
        <w:r w:rsidR="00320458">
          <w:rPr>
            <w:webHidden/>
          </w:rPr>
          <w:fldChar w:fldCharType="end"/>
        </w:r>
      </w:hyperlink>
    </w:p>
    <w:p w14:paraId="588494AB" w14:textId="77777777" w:rsidR="00320458" w:rsidRDefault="00EE58C4" w:rsidP="00085DF0">
      <w:pPr>
        <w:pStyle w:val="TableofFigures"/>
        <w:spacing w:before="60" w:after="60"/>
        <w:rPr>
          <w:rFonts w:asciiTheme="minorHAnsi" w:eastAsiaTheme="minorEastAsia" w:hAnsiTheme="minorHAnsi" w:cstheme="minorBidi"/>
        </w:rPr>
      </w:pPr>
      <w:hyperlink w:anchor="_Toc460514662" w:history="1">
        <w:r w:rsidR="00320458" w:rsidRPr="002A3A7B">
          <w:rPr>
            <w:rStyle w:val="Hyperlink"/>
          </w:rPr>
          <w:t>Table 4</w:t>
        </w:r>
        <w:r w:rsidR="00320458">
          <w:rPr>
            <w:rFonts w:asciiTheme="minorHAnsi" w:eastAsiaTheme="minorEastAsia" w:hAnsiTheme="minorHAnsi" w:cstheme="minorBidi"/>
          </w:rPr>
          <w:tab/>
        </w:r>
        <w:r w:rsidR="00320458" w:rsidRPr="002A3A7B">
          <w:rPr>
            <w:rStyle w:val="Hyperlink"/>
          </w:rPr>
          <w:t xml:space="preserve"> Safety outcomes relevant to all populations</w:t>
        </w:r>
        <w:r w:rsidR="00320458">
          <w:rPr>
            <w:webHidden/>
          </w:rPr>
          <w:tab/>
        </w:r>
        <w:r w:rsidR="00320458">
          <w:rPr>
            <w:webHidden/>
          </w:rPr>
          <w:fldChar w:fldCharType="begin"/>
        </w:r>
        <w:r w:rsidR="00320458">
          <w:rPr>
            <w:webHidden/>
          </w:rPr>
          <w:instrText xml:space="preserve"> PAGEREF _Toc460514662 \h </w:instrText>
        </w:r>
        <w:r w:rsidR="00320458">
          <w:rPr>
            <w:webHidden/>
          </w:rPr>
        </w:r>
        <w:r w:rsidR="00320458">
          <w:rPr>
            <w:webHidden/>
          </w:rPr>
          <w:fldChar w:fldCharType="separate"/>
        </w:r>
        <w:r w:rsidR="006E56CB">
          <w:rPr>
            <w:webHidden/>
          </w:rPr>
          <w:t>12</w:t>
        </w:r>
        <w:r w:rsidR="00320458">
          <w:rPr>
            <w:webHidden/>
          </w:rPr>
          <w:fldChar w:fldCharType="end"/>
        </w:r>
      </w:hyperlink>
    </w:p>
    <w:p w14:paraId="714857A8" w14:textId="77777777" w:rsidR="00320458" w:rsidRDefault="00EE58C4" w:rsidP="00085DF0">
      <w:pPr>
        <w:pStyle w:val="TableofFigures"/>
        <w:spacing w:before="60" w:after="60"/>
        <w:rPr>
          <w:rFonts w:asciiTheme="minorHAnsi" w:eastAsiaTheme="minorEastAsia" w:hAnsiTheme="minorHAnsi" w:cstheme="minorBidi"/>
        </w:rPr>
      </w:pPr>
      <w:hyperlink w:anchor="_Toc460514663" w:history="1">
        <w:r w:rsidR="00320458" w:rsidRPr="002A3A7B">
          <w:rPr>
            <w:rStyle w:val="Hyperlink"/>
          </w:rPr>
          <w:t>Table 5</w:t>
        </w:r>
        <w:r w:rsidR="00320458">
          <w:rPr>
            <w:rFonts w:asciiTheme="minorHAnsi" w:eastAsiaTheme="minorEastAsia" w:hAnsiTheme="minorHAnsi" w:cstheme="minorBidi"/>
          </w:rPr>
          <w:tab/>
        </w:r>
        <w:r w:rsidR="00320458" w:rsidRPr="002A3A7B">
          <w:rPr>
            <w:rStyle w:val="Hyperlink"/>
          </w:rPr>
          <w:t xml:space="preserve"> Effectiveness outcomes relevant to population one</w:t>
        </w:r>
        <w:r w:rsidR="00320458">
          <w:rPr>
            <w:webHidden/>
          </w:rPr>
          <w:tab/>
        </w:r>
        <w:r w:rsidR="00320458">
          <w:rPr>
            <w:webHidden/>
          </w:rPr>
          <w:fldChar w:fldCharType="begin"/>
        </w:r>
        <w:r w:rsidR="00320458">
          <w:rPr>
            <w:webHidden/>
          </w:rPr>
          <w:instrText xml:space="preserve"> PAGEREF _Toc460514663 \h </w:instrText>
        </w:r>
        <w:r w:rsidR="00320458">
          <w:rPr>
            <w:webHidden/>
          </w:rPr>
        </w:r>
        <w:r w:rsidR="00320458">
          <w:rPr>
            <w:webHidden/>
          </w:rPr>
          <w:fldChar w:fldCharType="separate"/>
        </w:r>
        <w:r w:rsidR="006E56CB">
          <w:rPr>
            <w:webHidden/>
          </w:rPr>
          <w:t>15</w:t>
        </w:r>
        <w:r w:rsidR="00320458">
          <w:rPr>
            <w:webHidden/>
          </w:rPr>
          <w:fldChar w:fldCharType="end"/>
        </w:r>
      </w:hyperlink>
    </w:p>
    <w:p w14:paraId="7F57CBAD" w14:textId="77777777" w:rsidR="00320458" w:rsidRDefault="00EE58C4" w:rsidP="00085DF0">
      <w:pPr>
        <w:pStyle w:val="TableofFigures"/>
        <w:spacing w:before="60" w:after="60"/>
        <w:rPr>
          <w:rFonts w:asciiTheme="minorHAnsi" w:eastAsiaTheme="minorEastAsia" w:hAnsiTheme="minorHAnsi" w:cstheme="minorBidi"/>
        </w:rPr>
      </w:pPr>
      <w:hyperlink w:anchor="_Toc460514664" w:history="1">
        <w:r w:rsidR="00320458" w:rsidRPr="002A3A7B">
          <w:rPr>
            <w:rStyle w:val="Hyperlink"/>
          </w:rPr>
          <w:t>Table 6</w:t>
        </w:r>
        <w:r w:rsidR="00320458">
          <w:rPr>
            <w:rFonts w:asciiTheme="minorHAnsi" w:eastAsiaTheme="minorEastAsia" w:hAnsiTheme="minorHAnsi" w:cstheme="minorBidi"/>
          </w:rPr>
          <w:tab/>
        </w:r>
        <w:r w:rsidR="00320458" w:rsidRPr="002A3A7B">
          <w:rPr>
            <w:rStyle w:val="Hyperlink"/>
          </w:rPr>
          <w:t xml:space="preserve"> Effectiveness outcomes relevant to population two</w:t>
        </w:r>
        <w:r w:rsidR="00320458">
          <w:rPr>
            <w:webHidden/>
          </w:rPr>
          <w:tab/>
        </w:r>
        <w:r w:rsidR="00320458">
          <w:rPr>
            <w:webHidden/>
          </w:rPr>
          <w:fldChar w:fldCharType="begin"/>
        </w:r>
        <w:r w:rsidR="00320458">
          <w:rPr>
            <w:webHidden/>
          </w:rPr>
          <w:instrText xml:space="preserve"> PAGEREF _Toc460514664 \h </w:instrText>
        </w:r>
        <w:r w:rsidR="00320458">
          <w:rPr>
            <w:webHidden/>
          </w:rPr>
        </w:r>
        <w:r w:rsidR="00320458">
          <w:rPr>
            <w:webHidden/>
          </w:rPr>
          <w:fldChar w:fldCharType="separate"/>
        </w:r>
        <w:r w:rsidR="006E56CB">
          <w:rPr>
            <w:webHidden/>
          </w:rPr>
          <w:t>17</w:t>
        </w:r>
        <w:r w:rsidR="00320458">
          <w:rPr>
            <w:webHidden/>
          </w:rPr>
          <w:fldChar w:fldCharType="end"/>
        </w:r>
      </w:hyperlink>
    </w:p>
    <w:p w14:paraId="662DB198" w14:textId="77777777" w:rsidR="00320458" w:rsidRDefault="00EE58C4" w:rsidP="00085DF0">
      <w:pPr>
        <w:pStyle w:val="TableofFigures"/>
        <w:spacing w:before="60" w:after="60"/>
        <w:rPr>
          <w:rFonts w:asciiTheme="minorHAnsi" w:eastAsiaTheme="minorEastAsia" w:hAnsiTheme="minorHAnsi" w:cstheme="minorBidi"/>
        </w:rPr>
      </w:pPr>
      <w:hyperlink w:anchor="_Toc460514665" w:history="1">
        <w:r w:rsidR="00320458" w:rsidRPr="002A3A7B">
          <w:rPr>
            <w:rStyle w:val="Hyperlink"/>
          </w:rPr>
          <w:t>Table 7</w:t>
        </w:r>
        <w:r w:rsidR="00320458">
          <w:rPr>
            <w:rFonts w:asciiTheme="minorHAnsi" w:eastAsiaTheme="minorEastAsia" w:hAnsiTheme="minorHAnsi" w:cstheme="minorBidi"/>
          </w:rPr>
          <w:tab/>
        </w:r>
        <w:r w:rsidR="00320458" w:rsidRPr="002A3A7B">
          <w:rPr>
            <w:rStyle w:val="Hyperlink"/>
          </w:rPr>
          <w:t xml:space="preserve"> Effectiveness outcomes relevant to population three</w:t>
        </w:r>
        <w:r w:rsidR="00320458">
          <w:rPr>
            <w:webHidden/>
          </w:rPr>
          <w:tab/>
        </w:r>
        <w:r w:rsidR="00320458">
          <w:rPr>
            <w:webHidden/>
          </w:rPr>
          <w:fldChar w:fldCharType="begin"/>
        </w:r>
        <w:r w:rsidR="00320458">
          <w:rPr>
            <w:webHidden/>
          </w:rPr>
          <w:instrText xml:space="preserve"> PAGEREF _Toc460514665 \h </w:instrText>
        </w:r>
        <w:r w:rsidR="00320458">
          <w:rPr>
            <w:webHidden/>
          </w:rPr>
        </w:r>
        <w:r w:rsidR="00320458">
          <w:rPr>
            <w:webHidden/>
          </w:rPr>
          <w:fldChar w:fldCharType="separate"/>
        </w:r>
        <w:r w:rsidR="006E56CB">
          <w:rPr>
            <w:webHidden/>
          </w:rPr>
          <w:t>19</w:t>
        </w:r>
        <w:r w:rsidR="00320458">
          <w:rPr>
            <w:webHidden/>
          </w:rPr>
          <w:fldChar w:fldCharType="end"/>
        </w:r>
      </w:hyperlink>
    </w:p>
    <w:p w14:paraId="0202F6E7" w14:textId="77777777" w:rsidR="00320458" w:rsidRDefault="00EE58C4" w:rsidP="00085DF0">
      <w:pPr>
        <w:pStyle w:val="TableofFigures"/>
        <w:spacing w:before="60" w:after="60"/>
        <w:rPr>
          <w:rFonts w:asciiTheme="minorHAnsi" w:eastAsiaTheme="minorEastAsia" w:hAnsiTheme="minorHAnsi" w:cstheme="minorBidi"/>
        </w:rPr>
      </w:pPr>
      <w:hyperlink w:anchor="_Toc460514666" w:history="1">
        <w:r w:rsidR="00320458" w:rsidRPr="002A3A7B">
          <w:rPr>
            <w:rStyle w:val="Hyperlink"/>
          </w:rPr>
          <w:t>Table 8</w:t>
        </w:r>
        <w:r w:rsidR="00320458">
          <w:rPr>
            <w:rFonts w:asciiTheme="minorHAnsi" w:eastAsiaTheme="minorEastAsia" w:hAnsiTheme="minorHAnsi" w:cstheme="minorBidi"/>
          </w:rPr>
          <w:tab/>
        </w:r>
        <w:r w:rsidR="00320458" w:rsidRPr="002A3A7B">
          <w:rPr>
            <w:rStyle w:val="Hyperlink"/>
          </w:rPr>
          <w:t xml:space="preserve"> </w:t>
        </w:r>
        <w:r w:rsidR="00320458" w:rsidRPr="002A3A7B">
          <w:rPr>
            <w:rStyle w:val="Hyperlink"/>
            <w:rFonts w:eastAsia="MS Mincho"/>
            <w:lang w:val="en-GB" w:eastAsia="en-GB"/>
          </w:rPr>
          <w:t>Health care costs per patients (3 months) for base-case analysis</w:t>
        </w:r>
        <w:r w:rsidR="00320458">
          <w:rPr>
            <w:webHidden/>
          </w:rPr>
          <w:tab/>
        </w:r>
        <w:r w:rsidR="00320458">
          <w:rPr>
            <w:webHidden/>
          </w:rPr>
          <w:fldChar w:fldCharType="begin"/>
        </w:r>
        <w:r w:rsidR="00320458">
          <w:rPr>
            <w:webHidden/>
          </w:rPr>
          <w:instrText xml:space="preserve"> PAGEREF _Toc460514666 \h </w:instrText>
        </w:r>
        <w:r w:rsidR="00320458">
          <w:rPr>
            <w:webHidden/>
          </w:rPr>
        </w:r>
        <w:r w:rsidR="00320458">
          <w:rPr>
            <w:webHidden/>
          </w:rPr>
          <w:fldChar w:fldCharType="separate"/>
        </w:r>
        <w:r w:rsidR="006E56CB">
          <w:rPr>
            <w:webHidden/>
          </w:rPr>
          <w:t>21</w:t>
        </w:r>
        <w:r w:rsidR="00320458">
          <w:rPr>
            <w:webHidden/>
          </w:rPr>
          <w:fldChar w:fldCharType="end"/>
        </w:r>
      </w:hyperlink>
    </w:p>
    <w:p w14:paraId="46C6B7DC" w14:textId="77777777" w:rsidR="00320458" w:rsidRDefault="00EE58C4" w:rsidP="00085DF0">
      <w:pPr>
        <w:pStyle w:val="TableofFigures"/>
        <w:spacing w:before="60" w:after="60"/>
        <w:rPr>
          <w:rFonts w:asciiTheme="minorHAnsi" w:eastAsiaTheme="minorEastAsia" w:hAnsiTheme="minorHAnsi" w:cstheme="minorBidi"/>
        </w:rPr>
      </w:pPr>
      <w:hyperlink w:anchor="_Toc460514667" w:history="1">
        <w:r w:rsidR="00320458" w:rsidRPr="002A3A7B">
          <w:rPr>
            <w:rStyle w:val="Hyperlink"/>
          </w:rPr>
          <w:t>Table 9</w:t>
        </w:r>
        <w:r w:rsidR="00320458">
          <w:rPr>
            <w:rFonts w:asciiTheme="minorHAnsi" w:eastAsiaTheme="minorEastAsia" w:hAnsiTheme="minorHAnsi" w:cstheme="minorBidi"/>
          </w:rPr>
          <w:tab/>
        </w:r>
        <w:r w:rsidR="00320458" w:rsidRPr="002A3A7B">
          <w:rPr>
            <w:rStyle w:val="Hyperlink"/>
          </w:rPr>
          <w:t xml:space="preserve"> Total estimated additional costs to MBS of changes in services ($)</w:t>
        </w:r>
        <w:r w:rsidR="00320458">
          <w:rPr>
            <w:webHidden/>
          </w:rPr>
          <w:tab/>
        </w:r>
        <w:r w:rsidR="00320458">
          <w:rPr>
            <w:webHidden/>
          </w:rPr>
          <w:fldChar w:fldCharType="begin"/>
        </w:r>
        <w:r w:rsidR="00320458">
          <w:rPr>
            <w:webHidden/>
          </w:rPr>
          <w:instrText xml:space="preserve"> PAGEREF _Toc460514667 \h </w:instrText>
        </w:r>
        <w:r w:rsidR="00320458">
          <w:rPr>
            <w:webHidden/>
          </w:rPr>
        </w:r>
        <w:r w:rsidR="00320458">
          <w:rPr>
            <w:webHidden/>
          </w:rPr>
          <w:fldChar w:fldCharType="separate"/>
        </w:r>
        <w:r w:rsidR="006E56CB">
          <w:rPr>
            <w:webHidden/>
          </w:rPr>
          <w:t>23</w:t>
        </w:r>
        <w:r w:rsidR="00320458">
          <w:rPr>
            <w:webHidden/>
          </w:rPr>
          <w:fldChar w:fldCharType="end"/>
        </w:r>
      </w:hyperlink>
    </w:p>
    <w:p w14:paraId="508858C0" w14:textId="77777777" w:rsidR="00320458" w:rsidRDefault="00EE58C4" w:rsidP="00085DF0">
      <w:pPr>
        <w:pStyle w:val="TableofFigures"/>
        <w:spacing w:before="60" w:after="60"/>
        <w:rPr>
          <w:rFonts w:asciiTheme="minorHAnsi" w:eastAsiaTheme="minorEastAsia" w:hAnsiTheme="minorHAnsi" w:cstheme="minorBidi"/>
        </w:rPr>
      </w:pPr>
      <w:hyperlink w:anchor="_Toc460514668" w:history="1">
        <w:r w:rsidR="00320458" w:rsidRPr="002A3A7B">
          <w:rPr>
            <w:rStyle w:val="Hyperlink"/>
          </w:rPr>
          <w:t>Table 10</w:t>
        </w:r>
        <w:r w:rsidR="00320458">
          <w:rPr>
            <w:rFonts w:asciiTheme="minorHAnsi" w:eastAsiaTheme="minorEastAsia" w:hAnsiTheme="minorHAnsi" w:cstheme="minorBidi"/>
          </w:rPr>
          <w:tab/>
        </w:r>
        <w:r w:rsidR="00320458" w:rsidRPr="002A3A7B">
          <w:rPr>
            <w:rStyle w:val="Hyperlink"/>
          </w:rPr>
          <w:t>Microwave tissue ablation devices listed on the ARTG</w:t>
        </w:r>
        <w:r w:rsidR="00320458">
          <w:rPr>
            <w:webHidden/>
          </w:rPr>
          <w:tab/>
        </w:r>
        <w:r w:rsidR="00320458">
          <w:rPr>
            <w:webHidden/>
          </w:rPr>
          <w:fldChar w:fldCharType="begin"/>
        </w:r>
        <w:r w:rsidR="00320458">
          <w:rPr>
            <w:webHidden/>
          </w:rPr>
          <w:instrText xml:space="preserve"> PAGEREF _Toc460514668 \h </w:instrText>
        </w:r>
        <w:r w:rsidR="00320458">
          <w:rPr>
            <w:webHidden/>
          </w:rPr>
        </w:r>
        <w:r w:rsidR="00320458">
          <w:rPr>
            <w:webHidden/>
          </w:rPr>
          <w:fldChar w:fldCharType="separate"/>
        </w:r>
        <w:r w:rsidR="006E56CB">
          <w:rPr>
            <w:webHidden/>
          </w:rPr>
          <w:t>32</w:t>
        </w:r>
        <w:r w:rsidR="00320458">
          <w:rPr>
            <w:webHidden/>
          </w:rPr>
          <w:fldChar w:fldCharType="end"/>
        </w:r>
      </w:hyperlink>
    </w:p>
    <w:p w14:paraId="19C1A8D3" w14:textId="77777777" w:rsidR="00320458" w:rsidRDefault="00EE58C4" w:rsidP="00085DF0">
      <w:pPr>
        <w:pStyle w:val="TableofFigures"/>
        <w:spacing w:before="60" w:after="60"/>
        <w:rPr>
          <w:rFonts w:asciiTheme="minorHAnsi" w:eastAsiaTheme="minorEastAsia" w:hAnsiTheme="minorHAnsi" w:cstheme="minorBidi"/>
        </w:rPr>
      </w:pPr>
      <w:hyperlink w:anchor="_Toc460514669" w:history="1">
        <w:r w:rsidR="00320458" w:rsidRPr="002A3A7B">
          <w:rPr>
            <w:rStyle w:val="Hyperlink"/>
          </w:rPr>
          <w:t>Table 11</w:t>
        </w:r>
        <w:r w:rsidR="00320458">
          <w:rPr>
            <w:rFonts w:asciiTheme="minorHAnsi" w:eastAsiaTheme="minorEastAsia" w:hAnsiTheme="minorHAnsi" w:cstheme="minorBidi"/>
          </w:rPr>
          <w:tab/>
        </w:r>
        <w:r w:rsidR="00320458" w:rsidRPr="002A3A7B">
          <w:rPr>
            <w:rStyle w:val="Hyperlink"/>
          </w:rPr>
          <w:t>Proposed MBS item descriptors</w:t>
        </w:r>
        <w:r w:rsidR="00320458" w:rsidRPr="002A3A7B">
          <w:rPr>
            <w:rStyle w:val="Hyperlink"/>
            <w:lang w:val="en-GB" w:eastAsia="ja-JP"/>
          </w:rPr>
          <w:t xml:space="preserve"> for microwave tissue ablation of lung cancer</w:t>
        </w:r>
        <w:r w:rsidR="00320458">
          <w:rPr>
            <w:webHidden/>
          </w:rPr>
          <w:tab/>
        </w:r>
        <w:r w:rsidR="00320458">
          <w:rPr>
            <w:webHidden/>
          </w:rPr>
          <w:fldChar w:fldCharType="begin"/>
        </w:r>
        <w:r w:rsidR="00320458">
          <w:rPr>
            <w:webHidden/>
          </w:rPr>
          <w:instrText xml:space="preserve"> PAGEREF _Toc460514669 \h </w:instrText>
        </w:r>
        <w:r w:rsidR="00320458">
          <w:rPr>
            <w:webHidden/>
          </w:rPr>
        </w:r>
        <w:r w:rsidR="00320458">
          <w:rPr>
            <w:webHidden/>
          </w:rPr>
          <w:fldChar w:fldCharType="separate"/>
        </w:r>
        <w:r w:rsidR="006E56CB">
          <w:rPr>
            <w:webHidden/>
          </w:rPr>
          <w:t>34</w:t>
        </w:r>
        <w:r w:rsidR="00320458">
          <w:rPr>
            <w:webHidden/>
          </w:rPr>
          <w:fldChar w:fldCharType="end"/>
        </w:r>
      </w:hyperlink>
    </w:p>
    <w:p w14:paraId="35766FC9" w14:textId="77777777" w:rsidR="00320458" w:rsidRDefault="00EE58C4" w:rsidP="00085DF0">
      <w:pPr>
        <w:pStyle w:val="TableofFigures"/>
        <w:spacing w:before="60" w:after="60"/>
        <w:rPr>
          <w:rFonts w:asciiTheme="minorHAnsi" w:eastAsiaTheme="minorEastAsia" w:hAnsiTheme="minorHAnsi" w:cstheme="minorBidi"/>
        </w:rPr>
      </w:pPr>
      <w:hyperlink w:anchor="_Toc460514670" w:history="1">
        <w:r w:rsidR="00320458" w:rsidRPr="002A3A7B">
          <w:rPr>
            <w:rStyle w:val="Hyperlink"/>
          </w:rPr>
          <w:t>Table 12</w:t>
        </w:r>
        <w:r w:rsidR="00320458">
          <w:rPr>
            <w:rFonts w:asciiTheme="minorHAnsi" w:eastAsiaTheme="minorEastAsia" w:hAnsiTheme="minorHAnsi" w:cstheme="minorBidi"/>
          </w:rPr>
          <w:tab/>
        </w:r>
        <w:r w:rsidR="00320458" w:rsidRPr="002A3A7B">
          <w:rPr>
            <w:rStyle w:val="Hyperlink"/>
          </w:rPr>
          <w:t>Comparator(s) in the three populations</w:t>
        </w:r>
        <w:r w:rsidR="00320458">
          <w:rPr>
            <w:webHidden/>
          </w:rPr>
          <w:tab/>
        </w:r>
        <w:r w:rsidR="00320458">
          <w:rPr>
            <w:webHidden/>
          </w:rPr>
          <w:fldChar w:fldCharType="begin"/>
        </w:r>
        <w:r w:rsidR="00320458">
          <w:rPr>
            <w:webHidden/>
          </w:rPr>
          <w:instrText xml:space="preserve"> PAGEREF _Toc460514670 \h </w:instrText>
        </w:r>
        <w:r w:rsidR="00320458">
          <w:rPr>
            <w:webHidden/>
          </w:rPr>
        </w:r>
        <w:r w:rsidR="00320458">
          <w:rPr>
            <w:webHidden/>
          </w:rPr>
          <w:fldChar w:fldCharType="separate"/>
        </w:r>
        <w:r w:rsidR="006E56CB">
          <w:rPr>
            <w:webHidden/>
          </w:rPr>
          <w:t>37</w:t>
        </w:r>
        <w:r w:rsidR="00320458">
          <w:rPr>
            <w:webHidden/>
          </w:rPr>
          <w:fldChar w:fldCharType="end"/>
        </w:r>
      </w:hyperlink>
    </w:p>
    <w:p w14:paraId="1BAB304A" w14:textId="77777777" w:rsidR="00320458" w:rsidRDefault="00EE58C4" w:rsidP="00085DF0">
      <w:pPr>
        <w:pStyle w:val="TableofFigures"/>
        <w:spacing w:before="60" w:after="60"/>
        <w:rPr>
          <w:rFonts w:asciiTheme="minorHAnsi" w:eastAsiaTheme="minorEastAsia" w:hAnsiTheme="minorHAnsi" w:cstheme="minorBidi"/>
        </w:rPr>
      </w:pPr>
      <w:hyperlink w:anchor="_Toc460514671" w:history="1">
        <w:r w:rsidR="00320458" w:rsidRPr="002A3A7B">
          <w:rPr>
            <w:rStyle w:val="Hyperlink"/>
            <w:lang w:val="en-GB" w:eastAsia="ja-JP"/>
          </w:rPr>
          <w:t>Table 13</w:t>
        </w:r>
        <w:r w:rsidR="00320458">
          <w:rPr>
            <w:rFonts w:asciiTheme="minorHAnsi" w:eastAsiaTheme="minorEastAsia" w:hAnsiTheme="minorHAnsi" w:cstheme="minorBidi"/>
          </w:rPr>
          <w:tab/>
        </w:r>
        <w:r w:rsidR="00320458" w:rsidRPr="002A3A7B">
          <w:rPr>
            <w:rStyle w:val="Hyperlink"/>
            <w:lang w:val="en-GB" w:eastAsia="ja-JP"/>
          </w:rPr>
          <w:t>Radiotherapy</w:t>
        </w:r>
        <w:r w:rsidR="00320458" w:rsidRPr="002A3A7B">
          <w:rPr>
            <w:rStyle w:val="Hyperlink"/>
            <w:rFonts w:eastAsia="Calibri"/>
            <w:lang w:eastAsia="en-US"/>
          </w:rPr>
          <w:t xml:space="preserve"> treatments for lung cancer currently listed on the MBS</w:t>
        </w:r>
        <w:r w:rsidR="00320458">
          <w:rPr>
            <w:webHidden/>
          </w:rPr>
          <w:tab/>
        </w:r>
        <w:r w:rsidR="00320458">
          <w:rPr>
            <w:webHidden/>
          </w:rPr>
          <w:fldChar w:fldCharType="begin"/>
        </w:r>
        <w:r w:rsidR="00320458">
          <w:rPr>
            <w:webHidden/>
          </w:rPr>
          <w:instrText xml:space="preserve"> PAGEREF _Toc460514671 \h </w:instrText>
        </w:r>
        <w:r w:rsidR="00320458">
          <w:rPr>
            <w:webHidden/>
          </w:rPr>
        </w:r>
        <w:r w:rsidR="00320458">
          <w:rPr>
            <w:webHidden/>
          </w:rPr>
          <w:fldChar w:fldCharType="separate"/>
        </w:r>
        <w:r w:rsidR="006E56CB">
          <w:rPr>
            <w:webHidden/>
          </w:rPr>
          <w:t>37</w:t>
        </w:r>
        <w:r w:rsidR="00320458">
          <w:rPr>
            <w:webHidden/>
          </w:rPr>
          <w:fldChar w:fldCharType="end"/>
        </w:r>
      </w:hyperlink>
    </w:p>
    <w:p w14:paraId="11683830" w14:textId="77777777" w:rsidR="00320458" w:rsidRDefault="00EE58C4" w:rsidP="00085DF0">
      <w:pPr>
        <w:pStyle w:val="TableofFigures"/>
        <w:spacing w:before="60" w:after="60"/>
        <w:rPr>
          <w:rFonts w:asciiTheme="minorHAnsi" w:eastAsiaTheme="minorEastAsia" w:hAnsiTheme="minorHAnsi" w:cstheme="minorBidi"/>
        </w:rPr>
      </w:pPr>
      <w:hyperlink w:anchor="_Toc460514672" w:history="1">
        <w:r w:rsidR="00320458" w:rsidRPr="002A3A7B">
          <w:rPr>
            <w:rStyle w:val="Hyperlink"/>
            <w:lang w:val="en-GB" w:eastAsia="ja-JP"/>
          </w:rPr>
          <w:t>Table 14</w:t>
        </w:r>
        <w:r w:rsidR="00320458">
          <w:rPr>
            <w:rFonts w:asciiTheme="minorHAnsi" w:eastAsiaTheme="minorEastAsia" w:hAnsiTheme="minorHAnsi" w:cstheme="minorBidi"/>
          </w:rPr>
          <w:tab/>
        </w:r>
        <w:r w:rsidR="00320458" w:rsidRPr="002A3A7B">
          <w:rPr>
            <w:rStyle w:val="Hyperlink"/>
            <w:lang w:val="en-GB" w:eastAsia="ja-JP"/>
          </w:rPr>
          <w:t>Stereotactic radiosurgery treatments for lung cancer currently listed on the MBS</w:t>
        </w:r>
        <w:r w:rsidR="00320458">
          <w:rPr>
            <w:webHidden/>
          </w:rPr>
          <w:tab/>
        </w:r>
        <w:r w:rsidR="00320458">
          <w:rPr>
            <w:webHidden/>
          </w:rPr>
          <w:fldChar w:fldCharType="begin"/>
        </w:r>
        <w:r w:rsidR="00320458">
          <w:rPr>
            <w:webHidden/>
          </w:rPr>
          <w:instrText xml:space="preserve"> PAGEREF _Toc460514672 \h </w:instrText>
        </w:r>
        <w:r w:rsidR="00320458">
          <w:rPr>
            <w:webHidden/>
          </w:rPr>
        </w:r>
        <w:r w:rsidR="00320458">
          <w:rPr>
            <w:webHidden/>
          </w:rPr>
          <w:fldChar w:fldCharType="separate"/>
        </w:r>
        <w:r w:rsidR="006E56CB">
          <w:rPr>
            <w:webHidden/>
          </w:rPr>
          <w:t>41</w:t>
        </w:r>
        <w:r w:rsidR="00320458">
          <w:rPr>
            <w:webHidden/>
          </w:rPr>
          <w:fldChar w:fldCharType="end"/>
        </w:r>
      </w:hyperlink>
    </w:p>
    <w:p w14:paraId="664050D8" w14:textId="77777777" w:rsidR="00320458" w:rsidRDefault="00EE58C4" w:rsidP="00085DF0">
      <w:pPr>
        <w:pStyle w:val="TableofFigures"/>
        <w:spacing w:before="60" w:after="60"/>
        <w:rPr>
          <w:rFonts w:asciiTheme="minorHAnsi" w:eastAsiaTheme="minorEastAsia" w:hAnsiTheme="minorHAnsi" w:cstheme="minorBidi"/>
        </w:rPr>
      </w:pPr>
      <w:hyperlink w:anchor="_Toc460514673" w:history="1">
        <w:r w:rsidR="00320458" w:rsidRPr="002A3A7B">
          <w:rPr>
            <w:rStyle w:val="Hyperlink"/>
            <w:lang w:val="en-GB" w:eastAsia="ja-JP"/>
          </w:rPr>
          <w:t>Table 15</w:t>
        </w:r>
        <w:r w:rsidR="00320458">
          <w:rPr>
            <w:rFonts w:asciiTheme="minorHAnsi" w:eastAsiaTheme="minorEastAsia" w:hAnsiTheme="minorHAnsi" w:cstheme="minorBidi"/>
          </w:rPr>
          <w:tab/>
        </w:r>
        <w:r w:rsidR="00320458" w:rsidRPr="002A3A7B">
          <w:rPr>
            <w:rStyle w:val="Hyperlink"/>
            <w:lang w:val="en-GB" w:eastAsia="ja-JP"/>
          </w:rPr>
          <w:t>Surgical treatments for lung cancer currently listed on the MBS</w:t>
        </w:r>
        <w:r w:rsidR="00320458">
          <w:rPr>
            <w:webHidden/>
          </w:rPr>
          <w:tab/>
        </w:r>
        <w:r w:rsidR="00320458">
          <w:rPr>
            <w:webHidden/>
          </w:rPr>
          <w:fldChar w:fldCharType="begin"/>
        </w:r>
        <w:r w:rsidR="00320458">
          <w:rPr>
            <w:webHidden/>
          </w:rPr>
          <w:instrText xml:space="preserve"> PAGEREF _Toc460514673 \h </w:instrText>
        </w:r>
        <w:r w:rsidR="00320458">
          <w:rPr>
            <w:webHidden/>
          </w:rPr>
        </w:r>
        <w:r w:rsidR="00320458">
          <w:rPr>
            <w:webHidden/>
          </w:rPr>
          <w:fldChar w:fldCharType="separate"/>
        </w:r>
        <w:r w:rsidR="006E56CB">
          <w:rPr>
            <w:webHidden/>
          </w:rPr>
          <w:t>41</w:t>
        </w:r>
        <w:r w:rsidR="00320458">
          <w:rPr>
            <w:webHidden/>
          </w:rPr>
          <w:fldChar w:fldCharType="end"/>
        </w:r>
      </w:hyperlink>
    </w:p>
    <w:p w14:paraId="4C6A4C47" w14:textId="77777777" w:rsidR="00320458" w:rsidRDefault="00EE58C4" w:rsidP="00085DF0">
      <w:pPr>
        <w:pStyle w:val="TableofFigures"/>
        <w:spacing w:before="60" w:after="60"/>
        <w:rPr>
          <w:rFonts w:asciiTheme="minorHAnsi" w:eastAsiaTheme="minorEastAsia" w:hAnsiTheme="minorHAnsi" w:cstheme="minorBidi"/>
        </w:rPr>
      </w:pPr>
      <w:hyperlink w:anchor="_Toc460514674" w:history="1">
        <w:r w:rsidR="00320458" w:rsidRPr="002A3A7B">
          <w:rPr>
            <w:rStyle w:val="Hyperlink"/>
          </w:rPr>
          <w:t>Table 16</w:t>
        </w:r>
        <w:r w:rsidR="00320458">
          <w:rPr>
            <w:rFonts w:asciiTheme="minorHAnsi" w:eastAsiaTheme="minorEastAsia" w:hAnsiTheme="minorHAnsi" w:cstheme="minorBidi"/>
          </w:rPr>
          <w:tab/>
        </w:r>
        <w:r w:rsidR="00320458" w:rsidRPr="002A3A7B">
          <w:rPr>
            <w:rStyle w:val="Hyperlink"/>
          </w:rPr>
          <w:t>Summary of searches undertaken to identify studies regarding the intervention and comparators</w:t>
        </w:r>
        <w:r w:rsidR="00320458">
          <w:rPr>
            <w:webHidden/>
          </w:rPr>
          <w:tab/>
        </w:r>
        <w:r w:rsidR="00320458">
          <w:rPr>
            <w:webHidden/>
          </w:rPr>
          <w:fldChar w:fldCharType="begin"/>
        </w:r>
        <w:r w:rsidR="00320458">
          <w:rPr>
            <w:webHidden/>
          </w:rPr>
          <w:instrText xml:space="preserve"> PAGEREF _Toc460514674 \h </w:instrText>
        </w:r>
        <w:r w:rsidR="00320458">
          <w:rPr>
            <w:webHidden/>
          </w:rPr>
        </w:r>
        <w:r w:rsidR="00320458">
          <w:rPr>
            <w:webHidden/>
          </w:rPr>
          <w:fldChar w:fldCharType="separate"/>
        </w:r>
        <w:r w:rsidR="006E56CB">
          <w:rPr>
            <w:webHidden/>
          </w:rPr>
          <w:t>56</w:t>
        </w:r>
        <w:r w:rsidR="00320458">
          <w:rPr>
            <w:webHidden/>
          </w:rPr>
          <w:fldChar w:fldCharType="end"/>
        </w:r>
      </w:hyperlink>
    </w:p>
    <w:p w14:paraId="24FD2985" w14:textId="77777777" w:rsidR="00320458" w:rsidRDefault="00EE58C4" w:rsidP="00085DF0">
      <w:pPr>
        <w:pStyle w:val="TableofFigures"/>
        <w:spacing w:before="60" w:after="60"/>
        <w:rPr>
          <w:rFonts w:asciiTheme="minorHAnsi" w:eastAsiaTheme="minorEastAsia" w:hAnsiTheme="minorHAnsi" w:cstheme="minorBidi"/>
        </w:rPr>
      </w:pPr>
      <w:hyperlink w:anchor="_Toc460514675" w:history="1">
        <w:r w:rsidR="00320458" w:rsidRPr="002A3A7B">
          <w:rPr>
            <w:rStyle w:val="Hyperlink"/>
          </w:rPr>
          <w:t>Table 17</w:t>
        </w:r>
        <w:r w:rsidR="00320458">
          <w:rPr>
            <w:rFonts w:asciiTheme="minorHAnsi" w:eastAsiaTheme="minorEastAsia" w:hAnsiTheme="minorHAnsi" w:cstheme="minorBidi"/>
          </w:rPr>
          <w:tab/>
        </w:r>
        <w:r w:rsidR="00320458" w:rsidRPr="002A3A7B">
          <w:rPr>
            <w:rStyle w:val="Hyperlink"/>
          </w:rPr>
          <w:t xml:space="preserve"> Number and type of included studies for each intervention, in each study population</w:t>
        </w:r>
        <w:r w:rsidR="00320458">
          <w:rPr>
            <w:webHidden/>
          </w:rPr>
          <w:tab/>
        </w:r>
        <w:r w:rsidR="00320458">
          <w:rPr>
            <w:webHidden/>
          </w:rPr>
          <w:fldChar w:fldCharType="begin"/>
        </w:r>
        <w:r w:rsidR="00320458">
          <w:rPr>
            <w:webHidden/>
          </w:rPr>
          <w:instrText xml:space="preserve"> PAGEREF _Toc460514675 \h </w:instrText>
        </w:r>
        <w:r w:rsidR="00320458">
          <w:rPr>
            <w:webHidden/>
          </w:rPr>
        </w:r>
        <w:r w:rsidR="00320458">
          <w:rPr>
            <w:webHidden/>
          </w:rPr>
          <w:fldChar w:fldCharType="separate"/>
        </w:r>
        <w:r w:rsidR="006E56CB">
          <w:rPr>
            <w:webHidden/>
          </w:rPr>
          <w:t>61</w:t>
        </w:r>
        <w:r w:rsidR="00320458">
          <w:rPr>
            <w:webHidden/>
          </w:rPr>
          <w:fldChar w:fldCharType="end"/>
        </w:r>
      </w:hyperlink>
    </w:p>
    <w:p w14:paraId="1F2E921C" w14:textId="77777777" w:rsidR="00320458" w:rsidRDefault="00EE58C4" w:rsidP="00085DF0">
      <w:pPr>
        <w:pStyle w:val="TableofFigures"/>
        <w:spacing w:before="60" w:after="60"/>
        <w:rPr>
          <w:rFonts w:asciiTheme="minorHAnsi" w:eastAsiaTheme="minorEastAsia" w:hAnsiTheme="minorHAnsi" w:cstheme="minorBidi"/>
        </w:rPr>
      </w:pPr>
      <w:hyperlink w:anchor="_Toc460514676" w:history="1">
        <w:r w:rsidR="00320458" w:rsidRPr="002A3A7B">
          <w:rPr>
            <w:rStyle w:val="Hyperlink"/>
          </w:rPr>
          <w:t>Table 18</w:t>
        </w:r>
        <w:r w:rsidR="00320458">
          <w:rPr>
            <w:rFonts w:asciiTheme="minorHAnsi" w:eastAsiaTheme="minorEastAsia" w:hAnsiTheme="minorHAnsi" w:cstheme="minorBidi"/>
          </w:rPr>
          <w:tab/>
        </w:r>
        <w:r w:rsidR="00320458" w:rsidRPr="002A3A7B">
          <w:rPr>
            <w:rStyle w:val="Hyperlink"/>
          </w:rPr>
          <w:t>Risk of bias and quality appraisal for MTA</w:t>
        </w:r>
        <w:r w:rsidR="00320458">
          <w:rPr>
            <w:webHidden/>
          </w:rPr>
          <w:tab/>
        </w:r>
        <w:r w:rsidR="00320458">
          <w:rPr>
            <w:webHidden/>
          </w:rPr>
          <w:fldChar w:fldCharType="begin"/>
        </w:r>
        <w:r w:rsidR="00320458">
          <w:rPr>
            <w:webHidden/>
          </w:rPr>
          <w:instrText xml:space="preserve"> PAGEREF _Toc460514676 \h </w:instrText>
        </w:r>
        <w:r w:rsidR="00320458">
          <w:rPr>
            <w:webHidden/>
          </w:rPr>
        </w:r>
        <w:r w:rsidR="00320458">
          <w:rPr>
            <w:webHidden/>
          </w:rPr>
          <w:fldChar w:fldCharType="separate"/>
        </w:r>
        <w:r w:rsidR="006E56CB">
          <w:rPr>
            <w:webHidden/>
          </w:rPr>
          <w:t>65</w:t>
        </w:r>
        <w:r w:rsidR="00320458">
          <w:rPr>
            <w:webHidden/>
          </w:rPr>
          <w:fldChar w:fldCharType="end"/>
        </w:r>
      </w:hyperlink>
    </w:p>
    <w:p w14:paraId="58A7F7E3" w14:textId="77777777" w:rsidR="00320458" w:rsidRDefault="00EE58C4" w:rsidP="00085DF0">
      <w:pPr>
        <w:pStyle w:val="TableofFigures"/>
        <w:spacing w:before="60" w:after="60"/>
        <w:rPr>
          <w:rFonts w:asciiTheme="minorHAnsi" w:eastAsiaTheme="minorEastAsia" w:hAnsiTheme="minorHAnsi" w:cstheme="minorBidi"/>
        </w:rPr>
      </w:pPr>
      <w:hyperlink w:anchor="_Toc460514677" w:history="1">
        <w:r w:rsidR="00320458" w:rsidRPr="002A3A7B">
          <w:rPr>
            <w:rStyle w:val="Hyperlink"/>
          </w:rPr>
          <w:t>Table 19</w:t>
        </w:r>
        <w:r w:rsidR="00320458">
          <w:rPr>
            <w:rFonts w:asciiTheme="minorHAnsi" w:eastAsiaTheme="minorEastAsia" w:hAnsiTheme="minorHAnsi" w:cstheme="minorBidi"/>
          </w:rPr>
          <w:tab/>
        </w:r>
        <w:r w:rsidR="00320458" w:rsidRPr="002A3A7B">
          <w:rPr>
            <w:rStyle w:val="Hyperlink"/>
          </w:rPr>
          <w:t>Quality appraisal of included case series investigations of MTA, according to the IHE Quality Appraisal of Case Series Studies</w:t>
        </w:r>
        <w:r w:rsidR="00320458">
          <w:rPr>
            <w:webHidden/>
          </w:rPr>
          <w:tab/>
        </w:r>
        <w:r w:rsidR="00320458">
          <w:rPr>
            <w:webHidden/>
          </w:rPr>
          <w:fldChar w:fldCharType="begin"/>
        </w:r>
        <w:r w:rsidR="00320458">
          <w:rPr>
            <w:webHidden/>
          </w:rPr>
          <w:instrText xml:space="preserve"> PAGEREF _Toc460514677 \h </w:instrText>
        </w:r>
        <w:r w:rsidR="00320458">
          <w:rPr>
            <w:webHidden/>
          </w:rPr>
        </w:r>
        <w:r w:rsidR="00320458">
          <w:rPr>
            <w:webHidden/>
          </w:rPr>
          <w:fldChar w:fldCharType="separate"/>
        </w:r>
        <w:r w:rsidR="006E56CB">
          <w:rPr>
            <w:webHidden/>
          </w:rPr>
          <w:t>67</w:t>
        </w:r>
        <w:r w:rsidR="00320458">
          <w:rPr>
            <w:webHidden/>
          </w:rPr>
          <w:fldChar w:fldCharType="end"/>
        </w:r>
      </w:hyperlink>
    </w:p>
    <w:p w14:paraId="3EDDB6C0" w14:textId="77777777" w:rsidR="00320458" w:rsidRDefault="00EE58C4" w:rsidP="00085DF0">
      <w:pPr>
        <w:pStyle w:val="TableofFigures"/>
        <w:spacing w:before="60" w:after="60"/>
        <w:rPr>
          <w:rFonts w:asciiTheme="minorHAnsi" w:eastAsiaTheme="minorEastAsia" w:hAnsiTheme="minorHAnsi" w:cstheme="minorBidi"/>
        </w:rPr>
      </w:pPr>
      <w:hyperlink w:anchor="_Toc460514678" w:history="1">
        <w:r w:rsidR="00320458" w:rsidRPr="002A3A7B">
          <w:rPr>
            <w:rStyle w:val="Hyperlink"/>
          </w:rPr>
          <w:t>Table 20</w:t>
        </w:r>
        <w:r w:rsidR="00320458">
          <w:rPr>
            <w:rFonts w:asciiTheme="minorHAnsi" w:eastAsiaTheme="minorEastAsia" w:hAnsiTheme="minorHAnsi" w:cstheme="minorBidi"/>
          </w:rPr>
          <w:tab/>
        </w:r>
        <w:r w:rsidR="00320458" w:rsidRPr="002A3A7B">
          <w:rPr>
            <w:rStyle w:val="Hyperlink"/>
          </w:rPr>
          <w:t>Quality appraisal of included comparative studies of MTA, according to the Downs and Black Checklist for Randomised and Non-Randomised Comparative Trials</w:t>
        </w:r>
        <w:r w:rsidR="00320458">
          <w:rPr>
            <w:webHidden/>
          </w:rPr>
          <w:tab/>
        </w:r>
        <w:r w:rsidR="00320458">
          <w:rPr>
            <w:webHidden/>
          </w:rPr>
          <w:fldChar w:fldCharType="begin"/>
        </w:r>
        <w:r w:rsidR="00320458">
          <w:rPr>
            <w:webHidden/>
          </w:rPr>
          <w:instrText xml:space="preserve"> PAGEREF _Toc460514678 \h </w:instrText>
        </w:r>
        <w:r w:rsidR="00320458">
          <w:rPr>
            <w:webHidden/>
          </w:rPr>
        </w:r>
        <w:r w:rsidR="00320458">
          <w:rPr>
            <w:webHidden/>
          </w:rPr>
          <w:fldChar w:fldCharType="separate"/>
        </w:r>
        <w:r w:rsidR="006E56CB">
          <w:rPr>
            <w:webHidden/>
          </w:rPr>
          <w:t>70</w:t>
        </w:r>
        <w:r w:rsidR="00320458">
          <w:rPr>
            <w:webHidden/>
          </w:rPr>
          <w:fldChar w:fldCharType="end"/>
        </w:r>
      </w:hyperlink>
    </w:p>
    <w:p w14:paraId="5AB8C42E" w14:textId="77777777" w:rsidR="00320458" w:rsidRDefault="00EE58C4" w:rsidP="00085DF0">
      <w:pPr>
        <w:pStyle w:val="TableofFigures"/>
        <w:spacing w:before="60" w:after="60"/>
        <w:rPr>
          <w:rFonts w:asciiTheme="minorHAnsi" w:eastAsiaTheme="minorEastAsia" w:hAnsiTheme="minorHAnsi" w:cstheme="minorBidi"/>
        </w:rPr>
      </w:pPr>
      <w:hyperlink w:anchor="_Toc460514679" w:history="1">
        <w:r w:rsidR="00320458" w:rsidRPr="002A3A7B">
          <w:rPr>
            <w:rStyle w:val="Hyperlink"/>
          </w:rPr>
          <w:t>Table 21</w:t>
        </w:r>
        <w:r w:rsidR="00320458">
          <w:rPr>
            <w:rFonts w:asciiTheme="minorHAnsi" w:eastAsiaTheme="minorEastAsia" w:hAnsiTheme="minorHAnsi" w:cstheme="minorBidi"/>
          </w:rPr>
          <w:tab/>
        </w:r>
        <w:r w:rsidR="00320458" w:rsidRPr="002A3A7B">
          <w:rPr>
            <w:rStyle w:val="Hyperlink"/>
          </w:rPr>
          <w:t>Risk of bias and quality appraisal for RFA</w:t>
        </w:r>
        <w:r w:rsidR="00320458">
          <w:rPr>
            <w:webHidden/>
          </w:rPr>
          <w:tab/>
        </w:r>
        <w:r w:rsidR="00320458">
          <w:rPr>
            <w:webHidden/>
          </w:rPr>
          <w:fldChar w:fldCharType="begin"/>
        </w:r>
        <w:r w:rsidR="00320458">
          <w:rPr>
            <w:webHidden/>
          </w:rPr>
          <w:instrText xml:space="preserve"> PAGEREF _Toc460514679 \h </w:instrText>
        </w:r>
        <w:r w:rsidR="00320458">
          <w:rPr>
            <w:webHidden/>
          </w:rPr>
        </w:r>
        <w:r w:rsidR="00320458">
          <w:rPr>
            <w:webHidden/>
          </w:rPr>
          <w:fldChar w:fldCharType="separate"/>
        </w:r>
        <w:r w:rsidR="006E56CB">
          <w:rPr>
            <w:webHidden/>
          </w:rPr>
          <w:t>72</w:t>
        </w:r>
        <w:r w:rsidR="00320458">
          <w:rPr>
            <w:webHidden/>
          </w:rPr>
          <w:fldChar w:fldCharType="end"/>
        </w:r>
      </w:hyperlink>
    </w:p>
    <w:p w14:paraId="7D4B1025" w14:textId="77777777" w:rsidR="00320458" w:rsidRDefault="00EE58C4" w:rsidP="00085DF0">
      <w:pPr>
        <w:pStyle w:val="TableofFigures"/>
        <w:spacing w:before="60" w:after="60"/>
        <w:rPr>
          <w:rFonts w:asciiTheme="minorHAnsi" w:eastAsiaTheme="minorEastAsia" w:hAnsiTheme="minorHAnsi" w:cstheme="minorBidi"/>
        </w:rPr>
      </w:pPr>
      <w:hyperlink w:anchor="_Toc460514680" w:history="1">
        <w:r w:rsidR="00320458" w:rsidRPr="002A3A7B">
          <w:rPr>
            <w:rStyle w:val="Hyperlink"/>
          </w:rPr>
          <w:t>Table 22</w:t>
        </w:r>
        <w:r w:rsidR="00320458">
          <w:rPr>
            <w:rFonts w:asciiTheme="minorHAnsi" w:eastAsiaTheme="minorEastAsia" w:hAnsiTheme="minorHAnsi" w:cstheme="minorBidi"/>
          </w:rPr>
          <w:tab/>
        </w:r>
        <w:r w:rsidR="00320458" w:rsidRPr="002A3A7B">
          <w:rPr>
            <w:rStyle w:val="Hyperlink"/>
          </w:rPr>
          <w:t>Quality appraisal of included case series investigations of RFA, according to the Downs and Black Checklist for Randomised and Non-Randomised Comparative Trials</w:t>
        </w:r>
        <w:r w:rsidR="00320458">
          <w:rPr>
            <w:webHidden/>
          </w:rPr>
          <w:tab/>
        </w:r>
        <w:r w:rsidR="00320458">
          <w:rPr>
            <w:webHidden/>
          </w:rPr>
          <w:fldChar w:fldCharType="begin"/>
        </w:r>
        <w:r w:rsidR="00320458">
          <w:rPr>
            <w:webHidden/>
          </w:rPr>
          <w:instrText xml:space="preserve"> PAGEREF _Toc460514680 \h </w:instrText>
        </w:r>
        <w:r w:rsidR="00320458">
          <w:rPr>
            <w:webHidden/>
          </w:rPr>
        </w:r>
        <w:r w:rsidR="00320458">
          <w:rPr>
            <w:webHidden/>
          </w:rPr>
          <w:fldChar w:fldCharType="separate"/>
        </w:r>
        <w:r w:rsidR="006E56CB">
          <w:rPr>
            <w:webHidden/>
          </w:rPr>
          <w:t>73</w:t>
        </w:r>
        <w:r w:rsidR="00320458">
          <w:rPr>
            <w:webHidden/>
          </w:rPr>
          <w:fldChar w:fldCharType="end"/>
        </w:r>
      </w:hyperlink>
    </w:p>
    <w:p w14:paraId="43B749D0" w14:textId="77777777" w:rsidR="00320458" w:rsidRDefault="00EE58C4" w:rsidP="00085DF0">
      <w:pPr>
        <w:pStyle w:val="TableofFigures"/>
        <w:spacing w:before="60" w:after="60"/>
        <w:rPr>
          <w:rFonts w:asciiTheme="minorHAnsi" w:eastAsiaTheme="minorEastAsia" w:hAnsiTheme="minorHAnsi" w:cstheme="minorBidi"/>
        </w:rPr>
      </w:pPr>
      <w:hyperlink w:anchor="_Toc460514681" w:history="1">
        <w:r w:rsidR="00320458" w:rsidRPr="002A3A7B">
          <w:rPr>
            <w:rStyle w:val="Hyperlink"/>
          </w:rPr>
          <w:t>Table 23</w:t>
        </w:r>
        <w:r w:rsidR="00320458">
          <w:rPr>
            <w:rFonts w:asciiTheme="minorHAnsi" w:eastAsiaTheme="minorEastAsia" w:hAnsiTheme="minorHAnsi" w:cstheme="minorBidi"/>
          </w:rPr>
          <w:tab/>
        </w:r>
        <w:r w:rsidR="00320458" w:rsidRPr="002A3A7B">
          <w:rPr>
            <w:rStyle w:val="Hyperlink"/>
          </w:rPr>
          <w:t>Quality appraisal of included case series investigations of RFA, according to the IHE Quality Appraisal of Case Series Studies (Guo et al 2016)</w:t>
        </w:r>
        <w:r w:rsidR="00320458">
          <w:rPr>
            <w:webHidden/>
          </w:rPr>
          <w:tab/>
        </w:r>
        <w:r w:rsidR="00320458">
          <w:rPr>
            <w:webHidden/>
          </w:rPr>
          <w:fldChar w:fldCharType="begin"/>
        </w:r>
        <w:r w:rsidR="00320458">
          <w:rPr>
            <w:webHidden/>
          </w:rPr>
          <w:instrText xml:space="preserve"> PAGEREF _Toc460514681 \h </w:instrText>
        </w:r>
        <w:r w:rsidR="00320458">
          <w:rPr>
            <w:webHidden/>
          </w:rPr>
        </w:r>
        <w:r w:rsidR="00320458">
          <w:rPr>
            <w:webHidden/>
          </w:rPr>
          <w:fldChar w:fldCharType="separate"/>
        </w:r>
        <w:r w:rsidR="006E56CB">
          <w:rPr>
            <w:webHidden/>
          </w:rPr>
          <w:t>74</w:t>
        </w:r>
        <w:r w:rsidR="00320458">
          <w:rPr>
            <w:webHidden/>
          </w:rPr>
          <w:fldChar w:fldCharType="end"/>
        </w:r>
      </w:hyperlink>
    </w:p>
    <w:p w14:paraId="69977977" w14:textId="77777777" w:rsidR="00320458" w:rsidRDefault="00EE58C4" w:rsidP="00085DF0">
      <w:pPr>
        <w:pStyle w:val="TableofFigures"/>
        <w:spacing w:before="60" w:after="60"/>
        <w:rPr>
          <w:rFonts w:asciiTheme="minorHAnsi" w:eastAsiaTheme="minorEastAsia" w:hAnsiTheme="minorHAnsi" w:cstheme="minorBidi"/>
        </w:rPr>
      </w:pPr>
      <w:hyperlink w:anchor="_Toc460514682" w:history="1">
        <w:r w:rsidR="00320458" w:rsidRPr="002A3A7B">
          <w:rPr>
            <w:rStyle w:val="Hyperlink"/>
          </w:rPr>
          <w:t>Table 24</w:t>
        </w:r>
        <w:r w:rsidR="00320458">
          <w:rPr>
            <w:rFonts w:asciiTheme="minorHAnsi" w:eastAsiaTheme="minorEastAsia" w:hAnsiTheme="minorHAnsi" w:cstheme="minorBidi"/>
          </w:rPr>
          <w:tab/>
        </w:r>
        <w:r w:rsidR="00320458" w:rsidRPr="002A3A7B">
          <w:rPr>
            <w:rStyle w:val="Hyperlink"/>
          </w:rPr>
          <w:t>Risk of bias and quality appraisal for Radiotherapy studies</w:t>
        </w:r>
        <w:r w:rsidR="00320458">
          <w:rPr>
            <w:webHidden/>
          </w:rPr>
          <w:tab/>
        </w:r>
        <w:r w:rsidR="00320458">
          <w:rPr>
            <w:webHidden/>
          </w:rPr>
          <w:fldChar w:fldCharType="begin"/>
        </w:r>
        <w:r w:rsidR="00320458">
          <w:rPr>
            <w:webHidden/>
          </w:rPr>
          <w:instrText xml:space="preserve"> PAGEREF _Toc460514682 \h </w:instrText>
        </w:r>
        <w:r w:rsidR="00320458">
          <w:rPr>
            <w:webHidden/>
          </w:rPr>
        </w:r>
        <w:r w:rsidR="00320458">
          <w:rPr>
            <w:webHidden/>
          </w:rPr>
          <w:fldChar w:fldCharType="separate"/>
        </w:r>
        <w:r w:rsidR="006E56CB">
          <w:rPr>
            <w:webHidden/>
          </w:rPr>
          <w:t>77</w:t>
        </w:r>
        <w:r w:rsidR="00320458">
          <w:rPr>
            <w:webHidden/>
          </w:rPr>
          <w:fldChar w:fldCharType="end"/>
        </w:r>
      </w:hyperlink>
    </w:p>
    <w:p w14:paraId="731BC051" w14:textId="77777777" w:rsidR="00320458" w:rsidRDefault="00EE58C4" w:rsidP="00085DF0">
      <w:pPr>
        <w:pStyle w:val="TableofFigures"/>
        <w:spacing w:before="60" w:after="60"/>
        <w:rPr>
          <w:rFonts w:asciiTheme="minorHAnsi" w:eastAsiaTheme="minorEastAsia" w:hAnsiTheme="minorHAnsi" w:cstheme="minorBidi"/>
        </w:rPr>
      </w:pPr>
      <w:hyperlink w:anchor="_Toc460514683" w:history="1">
        <w:r w:rsidR="00320458" w:rsidRPr="002A3A7B">
          <w:rPr>
            <w:rStyle w:val="Hyperlink"/>
          </w:rPr>
          <w:t>Table 25</w:t>
        </w:r>
        <w:r w:rsidR="00320458">
          <w:rPr>
            <w:rFonts w:asciiTheme="minorHAnsi" w:eastAsiaTheme="minorEastAsia" w:hAnsiTheme="minorHAnsi" w:cstheme="minorBidi"/>
          </w:rPr>
          <w:tab/>
        </w:r>
        <w:r w:rsidR="00320458" w:rsidRPr="002A3A7B">
          <w:rPr>
            <w:rStyle w:val="Hyperlink"/>
          </w:rPr>
          <w:t>Quality appraisal of included comparative studies of radiotherapy, according to the Downs and Black Checklist for Randomised and Non-Randomised Comparative Trials</w:t>
        </w:r>
        <w:r w:rsidR="00320458">
          <w:rPr>
            <w:webHidden/>
          </w:rPr>
          <w:tab/>
        </w:r>
        <w:r w:rsidR="00320458">
          <w:rPr>
            <w:webHidden/>
          </w:rPr>
          <w:fldChar w:fldCharType="begin"/>
        </w:r>
        <w:r w:rsidR="00320458">
          <w:rPr>
            <w:webHidden/>
          </w:rPr>
          <w:instrText xml:space="preserve"> PAGEREF _Toc460514683 \h </w:instrText>
        </w:r>
        <w:r w:rsidR="00320458">
          <w:rPr>
            <w:webHidden/>
          </w:rPr>
        </w:r>
        <w:r w:rsidR="00320458">
          <w:rPr>
            <w:webHidden/>
          </w:rPr>
          <w:fldChar w:fldCharType="separate"/>
        </w:r>
        <w:r w:rsidR="006E56CB">
          <w:rPr>
            <w:webHidden/>
          </w:rPr>
          <w:t>78</w:t>
        </w:r>
        <w:r w:rsidR="00320458">
          <w:rPr>
            <w:webHidden/>
          </w:rPr>
          <w:fldChar w:fldCharType="end"/>
        </w:r>
      </w:hyperlink>
    </w:p>
    <w:p w14:paraId="0AADC775" w14:textId="77777777" w:rsidR="00320458" w:rsidRDefault="00EE58C4" w:rsidP="00085DF0">
      <w:pPr>
        <w:pStyle w:val="TableofFigures"/>
        <w:spacing w:before="60" w:after="60"/>
        <w:rPr>
          <w:rFonts w:asciiTheme="minorHAnsi" w:eastAsiaTheme="minorEastAsia" w:hAnsiTheme="minorHAnsi" w:cstheme="minorBidi"/>
        </w:rPr>
      </w:pPr>
      <w:hyperlink w:anchor="_Toc460514684" w:history="1">
        <w:r w:rsidR="00320458" w:rsidRPr="002A3A7B">
          <w:rPr>
            <w:rStyle w:val="Hyperlink"/>
          </w:rPr>
          <w:t>Table 26</w:t>
        </w:r>
        <w:r w:rsidR="00320458">
          <w:rPr>
            <w:rFonts w:asciiTheme="minorHAnsi" w:eastAsiaTheme="minorEastAsia" w:hAnsiTheme="minorHAnsi" w:cstheme="minorBidi"/>
          </w:rPr>
          <w:tab/>
        </w:r>
        <w:r w:rsidR="00320458" w:rsidRPr="002A3A7B">
          <w:rPr>
            <w:rStyle w:val="Hyperlink"/>
          </w:rPr>
          <w:t xml:space="preserve"> Quality appraisal of included case series investigations of radiotherapy, according to the IHE Quality Appraisal of Case Series Studies (Guo et al 2016)</w:t>
        </w:r>
        <w:r w:rsidR="00320458">
          <w:rPr>
            <w:webHidden/>
          </w:rPr>
          <w:tab/>
        </w:r>
        <w:r w:rsidR="00320458">
          <w:rPr>
            <w:webHidden/>
          </w:rPr>
          <w:fldChar w:fldCharType="begin"/>
        </w:r>
        <w:r w:rsidR="00320458">
          <w:rPr>
            <w:webHidden/>
          </w:rPr>
          <w:instrText xml:space="preserve"> PAGEREF _Toc460514684 \h </w:instrText>
        </w:r>
        <w:r w:rsidR="00320458">
          <w:rPr>
            <w:webHidden/>
          </w:rPr>
        </w:r>
        <w:r w:rsidR="00320458">
          <w:rPr>
            <w:webHidden/>
          </w:rPr>
          <w:fldChar w:fldCharType="separate"/>
        </w:r>
        <w:r w:rsidR="006E56CB">
          <w:rPr>
            <w:webHidden/>
          </w:rPr>
          <w:t>79</w:t>
        </w:r>
        <w:r w:rsidR="00320458">
          <w:rPr>
            <w:webHidden/>
          </w:rPr>
          <w:fldChar w:fldCharType="end"/>
        </w:r>
      </w:hyperlink>
    </w:p>
    <w:p w14:paraId="47C999DD" w14:textId="77777777" w:rsidR="00320458" w:rsidRDefault="00EE58C4" w:rsidP="00085DF0">
      <w:pPr>
        <w:pStyle w:val="TableofFigures"/>
        <w:spacing w:before="60" w:after="60"/>
        <w:rPr>
          <w:rFonts w:asciiTheme="minorHAnsi" w:eastAsiaTheme="minorEastAsia" w:hAnsiTheme="minorHAnsi" w:cstheme="minorBidi"/>
        </w:rPr>
      </w:pPr>
      <w:hyperlink w:anchor="_Toc460514685" w:history="1">
        <w:r w:rsidR="00320458" w:rsidRPr="002A3A7B">
          <w:rPr>
            <w:rStyle w:val="Hyperlink"/>
          </w:rPr>
          <w:t>Table 27</w:t>
        </w:r>
        <w:r w:rsidR="00320458">
          <w:rPr>
            <w:rFonts w:asciiTheme="minorHAnsi" w:eastAsiaTheme="minorEastAsia" w:hAnsiTheme="minorHAnsi" w:cstheme="minorBidi"/>
          </w:rPr>
          <w:tab/>
        </w:r>
        <w:r w:rsidR="00320458" w:rsidRPr="002A3A7B">
          <w:rPr>
            <w:rStyle w:val="Hyperlink"/>
          </w:rPr>
          <w:t>Summary of the risk of bias concerns within studies of surgical resection</w:t>
        </w:r>
        <w:r w:rsidR="00320458">
          <w:rPr>
            <w:webHidden/>
          </w:rPr>
          <w:tab/>
        </w:r>
        <w:r w:rsidR="00320458">
          <w:rPr>
            <w:webHidden/>
          </w:rPr>
          <w:fldChar w:fldCharType="begin"/>
        </w:r>
        <w:r w:rsidR="00320458">
          <w:rPr>
            <w:webHidden/>
          </w:rPr>
          <w:instrText xml:space="preserve"> PAGEREF _Toc460514685 \h </w:instrText>
        </w:r>
        <w:r w:rsidR="00320458">
          <w:rPr>
            <w:webHidden/>
          </w:rPr>
        </w:r>
        <w:r w:rsidR="00320458">
          <w:rPr>
            <w:webHidden/>
          </w:rPr>
          <w:fldChar w:fldCharType="separate"/>
        </w:r>
        <w:r w:rsidR="006E56CB">
          <w:rPr>
            <w:webHidden/>
          </w:rPr>
          <w:t>83</w:t>
        </w:r>
        <w:r w:rsidR="00320458">
          <w:rPr>
            <w:webHidden/>
          </w:rPr>
          <w:fldChar w:fldCharType="end"/>
        </w:r>
      </w:hyperlink>
    </w:p>
    <w:p w14:paraId="1C207C45" w14:textId="77777777" w:rsidR="00320458" w:rsidRDefault="00EE58C4" w:rsidP="00085DF0">
      <w:pPr>
        <w:pStyle w:val="TableofFigures"/>
        <w:spacing w:before="60" w:after="60"/>
        <w:rPr>
          <w:rFonts w:asciiTheme="minorHAnsi" w:eastAsiaTheme="minorEastAsia" w:hAnsiTheme="minorHAnsi" w:cstheme="minorBidi"/>
        </w:rPr>
      </w:pPr>
      <w:hyperlink w:anchor="_Toc460514686" w:history="1">
        <w:r w:rsidR="00320458" w:rsidRPr="002A3A7B">
          <w:rPr>
            <w:rStyle w:val="Hyperlink"/>
          </w:rPr>
          <w:t>Table 28</w:t>
        </w:r>
        <w:r w:rsidR="00320458">
          <w:rPr>
            <w:rFonts w:asciiTheme="minorHAnsi" w:eastAsiaTheme="minorEastAsia" w:hAnsiTheme="minorHAnsi" w:cstheme="minorBidi"/>
          </w:rPr>
          <w:tab/>
        </w:r>
        <w:r w:rsidR="00320458" w:rsidRPr="002A3A7B">
          <w:rPr>
            <w:rStyle w:val="Hyperlink"/>
          </w:rPr>
          <w:t>Quality appraisal of included case series investigations of surgical resection, according to the IHE Quality Appraisal of Case Series Studies</w:t>
        </w:r>
        <w:r w:rsidR="00320458">
          <w:rPr>
            <w:webHidden/>
          </w:rPr>
          <w:tab/>
        </w:r>
        <w:r w:rsidR="00320458">
          <w:rPr>
            <w:webHidden/>
          </w:rPr>
          <w:fldChar w:fldCharType="begin"/>
        </w:r>
        <w:r w:rsidR="00320458">
          <w:rPr>
            <w:webHidden/>
          </w:rPr>
          <w:instrText xml:space="preserve"> PAGEREF _Toc460514686 \h </w:instrText>
        </w:r>
        <w:r w:rsidR="00320458">
          <w:rPr>
            <w:webHidden/>
          </w:rPr>
        </w:r>
        <w:r w:rsidR="00320458">
          <w:rPr>
            <w:webHidden/>
          </w:rPr>
          <w:fldChar w:fldCharType="separate"/>
        </w:r>
        <w:r w:rsidR="006E56CB">
          <w:rPr>
            <w:webHidden/>
          </w:rPr>
          <w:t>84</w:t>
        </w:r>
        <w:r w:rsidR="00320458">
          <w:rPr>
            <w:webHidden/>
          </w:rPr>
          <w:fldChar w:fldCharType="end"/>
        </w:r>
      </w:hyperlink>
    </w:p>
    <w:p w14:paraId="254C1366" w14:textId="77777777" w:rsidR="00320458" w:rsidRDefault="00EE58C4" w:rsidP="00085DF0">
      <w:pPr>
        <w:pStyle w:val="TableofFigures"/>
        <w:spacing w:before="60" w:after="60"/>
        <w:rPr>
          <w:rFonts w:asciiTheme="minorHAnsi" w:eastAsiaTheme="minorEastAsia" w:hAnsiTheme="minorHAnsi" w:cstheme="minorBidi"/>
        </w:rPr>
      </w:pPr>
      <w:hyperlink w:anchor="_Toc460514687" w:history="1">
        <w:r w:rsidR="00320458" w:rsidRPr="002A3A7B">
          <w:rPr>
            <w:rStyle w:val="Hyperlink"/>
          </w:rPr>
          <w:t>Table 29</w:t>
        </w:r>
        <w:r w:rsidR="00320458">
          <w:rPr>
            <w:rFonts w:asciiTheme="minorHAnsi" w:eastAsiaTheme="minorEastAsia" w:hAnsiTheme="minorHAnsi" w:cstheme="minorBidi"/>
          </w:rPr>
          <w:tab/>
        </w:r>
        <w:r w:rsidR="00320458" w:rsidRPr="002A3A7B">
          <w:rPr>
            <w:rStyle w:val="Hyperlink"/>
            <w:snapToGrid w:val="0"/>
            <w:lang w:eastAsia="en-US"/>
          </w:rPr>
          <w:t>Characteristics of the included evidence for MTA in population one</w:t>
        </w:r>
        <w:r w:rsidR="00320458">
          <w:rPr>
            <w:webHidden/>
          </w:rPr>
          <w:tab/>
        </w:r>
        <w:r w:rsidR="00320458">
          <w:rPr>
            <w:webHidden/>
          </w:rPr>
          <w:fldChar w:fldCharType="begin"/>
        </w:r>
        <w:r w:rsidR="00320458">
          <w:rPr>
            <w:webHidden/>
          </w:rPr>
          <w:instrText xml:space="preserve"> PAGEREF _Toc460514687 \h </w:instrText>
        </w:r>
        <w:r w:rsidR="00320458">
          <w:rPr>
            <w:webHidden/>
          </w:rPr>
        </w:r>
        <w:r w:rsidR="00320458">
          <w:rPr>
            <w:webHidden/>
          </w:rPr>
          <w:fldChar w:fldCharType="separate"/>
        </w:r>
        <w:r w:rsidR="006E56CB">
          <w:rPr>
            <w:webHidden/>
          </w:rPr>
          <w:t>86</w:t>
        </w:r>
        <w:r w:rsidR="00320458">
          <w:rPr>
            <w:webHidden/>
          </w:rPr>
          <w:fldChar w:fldCharType="end"/>
        </w:r>
      </w:hyperlink>
    </w:p>
    <w:p w14:paraId="7290E999" w14:textId="77777777" w:rsidR="00320458" w:rsidRDefault="00EE58C4" w:rsidP="00085DF0">
      <w:pPr>
        <w:pStyle w:val="TableofFigures"/>
        <w:spacing w:before="60" w:after="60"/>
        <w:rPr>
          <w:rFonts w:asciiTheme="minorHAnsi" w:eastAsiaTheme="minorEastAsia" w:hAnsiTheme="minorHAnsi" w:cstheme="minorBidi"/>
        </w:rPr>
      </w:pPr>
      <w:hyperlink w:anchor="_Toc460514688" w:history="1">
        <w:r w:rsidR="00320458" w:rsidRPr="002A3A7B">
          <w:rPr>
            <w:rStyle w:val="Hyperlink"/>
          </w:rPr>
          <w:t>Table 30</w:t>
        </w:r>
        <w:r w:rsidR="00320458">
          <w:rPr>
            <w:rFonts w:asciiTheme="minorHAnsi" w:eastAsiaTheme="minorEastAsia" w:hAnsiTheme="minorHAnsi" w:cstheme="minorBidi"/>
          </w:rPr>
          <w:tab/>
        </w:r>
        <w:r w:rsidR="00320458" w:rsidRPr="002A3A7B">
          <w:rPr>
            <w:rStyle w:val="Hyperlink"/>
            <w:snapToGrid w:val="0"/>
            <w:lang w:eastAsia="en-US"/>
          </w:rPr>
          <w:t xml:space="preserve">Characteristics </w:t>
        </w:r>
        <w:r w:rsidR="00320458" w:rsidRPr="002A3A7B">
          <w:rPr>
            <w:rStyle w:val="Hyperlink"/>
          </w:rPr>
          <w:t>of the included evidence for MTA in population two</w:t>
        </w:r>
        <w:r w:rsidR="00320458">
          <w:rPr>
            <w:webHidden/>
          </w:rPr>
          <w:tab/>
        </w:r>
        <w:r w:rsidR="00320458">
          <w:rPr>
            <w:webHidden/>
          </w:rPr>
          <w:fldChar w:fldCharType="begin"/>
        </w:r>
        <w:r w:rsidR="00320458">
          <w:rPr>
            <w:webHidden/>
          </w:rPr>
          <w:instrText xml:space="preserve"> PAGEREF _Toc460514688 \h </w:instrText>
        </w:r>
        <w:r w:rsidR="00320458">
          <w:rPr>
            <w:webHidden/>
          </w:rPr>
        </w:r>
        <w:r w:rsidR="00320458">
          <w:rPr>
            <w:webHidden/>
          </w:rPr>
          <w:fldChar w:fldCharType="separate"/>
        </w:r>
        <w:r w:rsidR="006E56CB">
          <w:rPr>
            <w:webHidden/>
          </w:rPr>
          <w:t>87</w:t>
        </w:r>
        <w:r w:rsidR="00320458">
          <w:rPr>
            <w:webHidden/>
          </w:rPr>
          <w:fldChar w:fldCharType="end"/>
        </w:r>
      </w:hyperlink>
    </w:p>
    <w:p w14:paraId="3C5E7F9A" w14:textId="77777777" w:rsidR="00320458" w:rsidRDefault="00EE58C4" w:rsidP="00085DF0">
      <w:pPr>
        <w:pStyle w:val="TableofFigures"/>
        <w:spacing w:before="60" w:after="60"/>
        <w:rPr>
          <w:rFonts w:asciiTheme="minorHAnsi" w:eastAsiaTheme="minorEastAsia" w:hAnsiTheme="minorHAnsi" w:cstheme="minorBidi"/>
        </w:rPr>
      </w:pPr>
      <w:hyperlink w:anchor="_Toc460514689" w:history="1">
        <w:r w:rsidR="00320458" w:rsidRPr="002A3A7B">
          <w:rPr>
            <w:rStyle w:val="Hyperlink"/>
          </w:rPr>
          <w:t>Table 31</w:t>
        </w:r>
        <w:r w:rsidR="00320458">
          <w:rPr>
            <w:rFonts w:asciiTheme="minorHAnsi" w:eastAsiaTheme="minorEastAsia" w:hAnsiTheme="minorHAnsi" w:cstheme="minorBidi"/>
          </w:rPr>
          <w:tab/>
        </w:r>
        <w:r w:rsidR="00320458" w:rsidRPr="002A3A7B">
          <w:rPr>
            <w:rStyle w:val="Hyperlink"/>
            <w:snapToGrid w:val="0"/>
            <w:lang w:eastAsia="en-US"/>
          </w:rPr>
          <w:t xml:space="preserve">Characteristics </w:t>
        </w:r>
        <w:r w:rsidR="00320458" w:rsidRPr="002A3A7B">
          <w:rPr>
            <w:rStyle w:val="Hyperlink"/>
          </w:rPr>
          <w:t>of the included evidence for MTA in population three</w:t>
        </w:r>
        <w:r w:rsidR="00320458">
          <w:rPr>
            <w:webHidden/>
          </w:rPr>
          <w:tab/>
        </w:r>
        <w:r w:rsidR="00320458">
          <w:rPr>
            <w:webHidden/>
          </w:rPr>
          <w:fldChar w:fldCharType="begin"/>
        </w:r>
        <w:r w:rsidR="00320458">
          <w:rPr>
            <w:webHidden/>
          </w:rPr>
          <w:instrText xml:space="preserve"> PAGEREF _Toc460514689 \h </w:instrText>
        </w:r>
        <w:r w:rsidR="00320458">
          <w:rPr>
            <w:webHidden/>
          </w:rPr>
        </w:r>
        <w:r w:rsidR="00320458">
          <w:rPr>
            <w:webHidden/>
          </w:rPr>
          <w:fldChar w:fldCharType="separate"/>
        </w:r>
        <w:r w:rsidR="006E56CB">
          <w:rPr>
            <w:webHidden/>
          </w:rPr>
          <w:t>88</w:t>
        </w:r>
        <w:r w:rsidR="00320458">
          <w:rPr>
            <w:webHidden/>
          </w:rPr>
          <w:fldChar w:fldCharType="end"/>
        </w:r>
      </w:hyperlink>
    </w:p>
    <w:p w14:paraId="10521BE1" w14:textId="77777777" w:rsidR="00320458" w:rsidRDefault="00EE58C4" w:rsidP="00085DF0">
      <w:pPr>
        <w:pStyle w:val="TableofFigures"/>
        <w:spacing w:before="60" w:after="60"/>
        <w:rPr>
          <w:rFonts w:asciiTheme="minorHAnsi" w:eastAsiaTheme="minorEastAsia" w:hAnsiTheme="minorHAnsi" w:cstheme="minorBidi"/>
        </w:rPr>
      </w:pPr>
      <w:hyperlink w:anchor="_Toc460514690" w:history="1">
        <w:r w:rsidR="00320458" w:rsidRPr="002A3A7B">
          <w:rPr>
            <w:rStyle w:val="Hyperlink"/>
          </w:rPr>
          <w:t>Table 32</w:t>
        </w:r>
        <w:r w:rsidR="00320458">
          <w:rPr>
            <w:rFonts w:asciiTheme="minorHAnsi" w:eastAsiaTheme="minorEastAsia" w:hAnsiTheme="minorHAnsi" w:cstheme="minorBidi"/>
          </w:rPr>
          <w:tab/>
        </w:r>
        <w:r w:rsidR="00320458" w:rsidRPr="002A3A7B">
          <w:rPr>
            <w:rStyle w:val="Hyperlink"/>
          </w:rPr>
          <w:t>Additional studies of MTA included for safety</w:t>
        </w:r>
        <w:r w:rsidR="00320458">
          <w:rPr>
            <w:webHidden/>
          </w:rPr>
          <w:tab/>
        </w:r>
        <w:r w:rsidR="00320458">
          <w:rPr>
            <w:webHidden/>
          </w:rPr>
          <w:fldChar w:fldCharType="begin"/>
        </w:r>
        <w:r w:rsidR="00320458">
          <w:rPr>
            <w:webHidden/>
          </w:rPr>
          <w:instrText xml:space="preserve"> PAGEREF _Toc460514690 \h </w:instrText>
        </w:r>
        <w:r w:rsidR="00320458">
          <w:rPr>
            <w:webHidden/>
          </w:rPr>
        </w:r>
        <w:r w:rsidR="00320458">
          <w:rPr>
            <w:webHidden/>
          </w:rPr>
          <w:fldChar w:fldCharType="separate"/>
        </w:r>
        <w:r w:rsidR="006E56CB">
          <w:rPr>
            <w:webHidden/>
          </w:rPr>
          <w:t>89</w:t>
        </w:r>
        <w:r w:rsidR="00320458">
          <w:rPr>
            <w:webHidden/>
          </w:rPr>
          <w:fldChar w:fldCharType="end"/>
        </w:r>
      </w:hyperlink>
    </w:p>
    <w:p w14:paraId="39042D8D" w14:textId="77777777" w:rsidR="00320458" w:rsidRDefault="00EE58C4" w:rsidP="00085DF0">
      <w:pPr>
        <w:pStyle w:val="TableofFigures"/>
        <w:spacing w:before="60" w:after="60"/>
        <w:rPr>
          <w:rFonts w:asciiTheme="minorHAnsi" w:eastAsiaTheme="minorEastAsia" w:hAnsiTheme="minorHAnsi" w:cstheme="minorBidi"/>
        </w:rPr>
      </w:pPr>
      <w:hyperlink w:anchor="_Toc460514691" w:history="1">
        <w:r w:rsidR="00320458" w:rsidRPr="002A3A7B">
          <w:rPr>
            <w:rStyle w:val="Hyperlink"/>
          </w:rPr>
          <w:t>Table 33</w:t>
        </w:r>
        <w:r w:rsidR="00320458">
          <w:rPr>
            <w:rFonts w:asciiTheme="minorHAnsi" w:eastAsiaTheme="minorEastAsia" w:hAnsiTheme="minorHAnsi" w:cstheme="minorBidi"/>
          </w:rPr>
          <w:tab/>
        </w:r>
        <w:r w:rsidR="00320458" w:rsidRPr="002A3A7B">
          <w:rPr>
            <w:rStyle w:val="Hyperlink"/>
            <w:snapToGrid w:val="0"/>
            <w:lang w:eastAsia="en-US"/>
          </w:rPr>
          <w:t>Characteristics of the included evidence for RFA in population one</w:t>
        </w:r>
        <w:r w:rsidR="00320458">
          <w:rPr>
            <w:webHidden/>
          </w:rPr>
          <w:tab/>
        </w:r>
        <w:r w:rsidR="00320458">
          <w:rPr>
            <w:webHidden/>
          </w:rPr>
          <w:fldChar w:fldCharType="begin"/>
        </w:r>
        <w:r w:rsidR="00320458">
          <w:rPr>
            <w:webHidden/>
          </w:rPr>
          <w:instrText xml:space="preserve"> PAGEREF _Toc460514691 \h </w:instrText>
        </w:r>
        <w:r w:rsidR="00320458">
          <w:rPr>
            <w:webHidden/>
          </w:rPr>
        </w:r>
        <w:r w:rsidR="00320458">
          <w:rPr>
            <w:webHidden/>
          </w:rPr>
          <w:fldChar w:fldCharType="separate"/>
        </w:r>
        <w:r w:rsidR="006E56CB">
          <w:rPr>
            <w:webHidden/>
          </w:rPr>
          <w:t>92</w:t>
        </w:r>
        <w:r w:rsidR="00320458">
          <w:rPr>
            <w:webHidden/>
          </w:rPr>
          <w:fldChar w:fldCharType="end"/>
        </w:r>
      </w:hyperlink>
    </w:p>
    <w:p w14:paraId="70545781" w14:textId="77777777" w:rsidR="00320458" w:rsidRDefault="00EE58C4" w:rsidP="00085DF0">
      <w:pPr>
        <w:pStyle w:val="TableofFigures"/>
        <w:spacing w:before="60" w:after="60"/>
        <w:rPr>
          <w:rFonts w:asciiTheme="minorHAnsi" w:eastAsiaTheme="minorEastAsia" w:hAnsiTheme="minorHAnsi" w:cstheme="minorBidi"/>
        </w:rPr>
      </w:pPr>
      <w:hyperlink w:anchor="_Toc460514692" w:history="1">
        <w:r w:rsidR="00320458" w:rsidRPr="002A3A7B">
          <w:rPr>
            <w:rStyle w:val="Hyperlink"/>
          </w:rPr>
          <w:t>Table 34</w:t>
        </w:r>
        <w:r w:rsidR="00320458">
          <w:rPr>
            <w:rFonts w:asciiTheme="minorHAnsi" w:eastAsiaTheme="minorEastAsia" w:hAnsiTheme="minorHAnsi" w:cstheme="minorBidi"/>
          </w:rPr>
          <w:tab/>
        </w:r>
        <w:r w:rsidR="00320458" w:rsidRPr="002A3A7B">
          <w:rPr>
            <w:rStyle w:val="Hyperlink"/>
            <w:snapToGrid w:val="0"/>
            <w:lang w:eastAsia="en-US"/>
          </w:rPr>
          <w:t>Characteristics of the included evidence for RFA in population two</w:t>
        </w:r>
        <w:r w:rsidR="00320458">
          <w:rPr>
            <w:webHidden/>
          </w:rPr>
          <w:tab/>
        </w:r>
        <w:r w:rsidR="00320458">
          <w:rPr>
            <w:webHidden/>
          </w:rPr>
          <w:fldChar w:fldCharType="begin"/>
        </w:r>
        <w:r w:rsidR="00320458">
          <w:rPr>
            <w:webHidden/>
          </w:rPr>
          <w:instrText xml:space="preserve"> PAGEREF _Toc460514692 \h </w:instrText>
        </w:r>
        <w:r w:rsidR="00320458">
          <w:rPr>
            <w:webHidden/>
          </w:rPr>
        </w:r>
        <w:r w:rsidR="00320458">
          <w:rPr>
            <w:webHidden/>
          </w:rPr>
          <w:fldChar w:fldCharType="separate"/>
        </w:r>
        <w:r w:rsidR="006E56CB">
          <w:rPr>
            <w:webHidden/>
          </w:rPr>
          <w:t>94</w:t>
        </w:r>
        <w:r w:rsidR="00320458">
          <w:rPr>
            <w:webHidden/>
          </w:rPr>
          <w:fldChar w:fldCharType="end"/>
        </w:r>
      </w:hyperlink>
    </w:p>
    <w:p w14:paraId="6EADF588" w14:textId="77777777" w:rsidR="00320458" w:rsidRDefault="00EE58C4" w:rsidP="00085DF0">
      <w:pPr>
        <w:pStyle w:val="TableofFigures"/>
        <w:spacing w:before="60" w:after="60"/>
        <w:rPr>
          <w:rFonts w:asciiTheme="minorHAnsi" w:eastAsiaTheme="minorEastAsia" w:hAnsiTheme="minorHAnsi" w:cstheme="minorBidi"/>
        </w:rPr>
      </w:pPr>
      <w:hyperlink w:anchor="_Toc460514693" w:history="1">
        <w:r w:rsidR="00320458" w:rsidRPr="002A3A7B">
          <w:rPr>
            <w:rStyle w:val="Hyperlink"/>
          </w:rPr>
          <w:t>Table 35</w:t>
        </w:r>
        <w:r w:rsidR="00320458">
          <w:rPr>
            <w:rFonts w:asciiTheme="minorHAnsi" w:eastAsiaTheme="minorEastAsia" w:hAnsiTheme="minorHAnsi" w:cstheme="minorBidi"/>
          </w:rPr>
          <w:tab/>
        </w:r>
        <w:r w:rsidR="00320458" w:rsidRPr="002A3A7B">
          <w:rPr>
            <w:rStyle w:val="Hyperlink"/>
            <w:snapToGrid w:val="0"/>
            <w:lang w:eastAsia="en-US"/>
          </w:rPr>
          <w:t>Characteristics of the included evidence for RFA in population three</w:t>
        </w:r>
        <w:r w:rsidR="00320458">
          <w:rPr>
            <w:webHidden/>
          </w:rPr>
          <w:tab/>
        </w:r>
        <w:r w:rsidR="00320458">
          <w:rPr>
            <w:webHidden/>
          </w:rPr>
          <w:fldChar w:fldCharType="begin"/>
        </w:r>
        <w:r w:rsidR="00320458">
          <w:rPr>
            <w:webHidden/>
          </w:rPr>
          <w:instrText xml:space="preserve"> PAGEREF _Toc460514693 \h </w:instrText>
        </w:r>
        <w:r w:rsidR="00320458">
          <w:rPr>
            <w:webHidden/>
          </w:rPr>
        </w:r>
        <w:r w:rsidR="00320458">
          <w:rPr>
            <w:webHidden/>
          </w:rPr>
          <w:fldChar w:fldCharType="separate"/>
        </w:r>
        <w:r w:rsidR="006E56CB">
          <w:rPr>
            <w:webHidden/>
          </w:rPr>
          <w:t>95</w:t>
        </w:r>
        <w:r w:rsidR="00320458">
          <w:rPr>
            <w:webHidden/>
          </w:rPr>
          <w:fldChar w:fldCharType="end"/>
        </w:r>
      </w:hyperlink>
    </w:p>
    <w:p w14:paraId="22B16469" w14:textId="77777777" w:rsidR="00320458" w:rsidRDefault="00EE58C4" w:rsidP="00085DF0">
      <w:pPr>
        <w:pStyle w:val="TableofFigures"/>
        <w:spacing w:before="60" w:after="60"/>
        <w:rPr>
          <w:rFonts w:asciiTheme="minorHAnsi" w:eastAsiaTheme="minorEastAsia" w:hAnsiTheme="minorHAnsi" w:cstheme="minorBidi"/>
        </w:rPr>
      </w:pPr>
      <w:hyperlink w:anchor="_Toc460514694" w:history="1">
        <w:r w:rsidR="00320458" w:rsidRPr="002A3A7B">
          <w:rPr>
            <w:rStyle w:val="Hyperlink"/>
          </w:rPr>
          <w:t>Table 36</w:t>
        </w:r>
        <w:r w:rsidR="00320458">
          <w:rPr>
            <w:rFonts w:asciiTheme="minorHAnsi" w:eastAsiaTheme="minorEastAsia" w:hAnsiTheme="minorHAnsi" w:cstheme="minorBidi"/>
          </w:rPr>
          <w:tab/>
        </w:r>
        <w:r w:rsidR="00320458" w:rsidRPr="002A3A7B">
          <w:rPr>
            <w:rStyle w:val="Hyperlink"/>
            <w:snapToGrid w:val="0"/>
            <w:lang w:eastAsia="en-US"/>
          </w:rPr>
          <w:t>Characteristics of the included evidence for radiotherapy in population one</w:t>
        </w:r>
        <w:r w:rsidR="00320458">
          <w:rPr>
            <w:webHidden/>
          </w:rPr>
          <w:tab/>
        </w:r>
        <w:r w:rsidR="00320458">
          <w:rPr>
            <w:webHidden/>
          </w:rPr>
          <w:fldChar w:fldCharType="begin"/>
        </w:r>
        <w:r w:rsidR="00320458">
          <w:rPr>
            <w:webHidden/>
          </w:rPr>
          <w:instrText xml:space="preserve"> PAGEREF _Toc460514694 \h </w:instrText>
        </w:r>
        <w:r w:rsidR="00320458">
          <w:rPr>
            <w:webHidden/>
          </w:rPr>
        </w:r>
        <w:r w:rsidR="00320458">
          <w:rPr>
            <w:webHidden/>
          </w:rPr>
          <w:fldChar w:fldCharType="separate"/>
        </w:r>
        <w:r w:rsidR="006E56CB">
          <w:rPr>
            <w:webHidden/>
          </w:rPr>
          <w:t>96</w:t>
        </w:r>
        <w:r w:rsidR="00320458">
          <w:rPr>
            <w:webHidden/>
          </w:rPr>
          <w:fldChar w:fldCharType="end"/>
        </w:r>
      </w:hyperlink>
    </w:p>
    <w:p w14:paraId="0A65C952" w14:textId="77777777" w:rsidR="00320458" w:rsidRDefault="00EE58C4" w:rsidP="00085DF0">
      <w:pPr>
        <w:pStyle w:val="TableofFigures"/>
        <w:spacing w:before="60" w:after="60"/>
        <w:rPr>
          <w:rFonts w:asciiTheme="minorHAnsi" w:eastAsiaTheme="minorEastAsia" w:hAnsiTheme="minorHAnsi" w:cstheme="minorBidi"/>
        </w:rPr>
      </w:pPr>
      <w:hyperlink w:anchor="_Toc460514695" w:history="1">
        <w:r w:rsidR="00320458" w:rsidRPr="002A3A7B">
          <w:rPr>
            <w:rStyle w:val="Hyperlink"/>
          </w:rPr>
          <w:t>Table 37</w:t>
        </w:r>
        <w:r w:rsidR="00320458">
          <w:rPr>
            <w:rFonts w:asciiTheme="minorHAnsi" w:eastAsiaTheme="minorEastAsia" w:hAnsiTheme="minorHAnsi" w:cstheme="minorBidi"/>
          </w:rPr>
          <w:tab/>
        </w:r>
        <w:r w:rsidR="00320458" w:rsidRPr="002A3A7B">
          <w:rPr>
            <w:rStyle w:val="Hyperlink"/>
            <w:snapToGrid w:val="0"/>
            <w:lang w:eastAsia="en-US"/>
          </w:rPr>
          <w:t>Characteristics of the included evidence for radiotherapy in population two</w:t>
        </w:r>
        <w:r w:rsidR="00320458">
          <w:rPr>
            <w:webHidden/>
          </w:rPr>
          <w:tab/>
        </w:r>
        <w:r w:rsidR="00320458">
          <w:rPr>
            <w:webHidden/>
          </w:rPr>
          <w:fldChar w:fldCharType="begin"/>
        </w:r>
        <w:r w:rsidR="00320458">
          <w:rPr>
            <w:webHidden/>
          </w:rPr>
          <w:instrText xml:space="preserve"> PAGEREF _Toc460514695 \h </w:instrText>
        </w:r>
        <w:r w:rsidR="00320458">
          <w:rPr>
            <w:webHidden/>
          </w:rPr>
        </w:r>
        <w:r w:rsidR="00320458">
          <w:rPr>
            <w:webHidden/>
          </w:rPr>
          <w:fldChar w:fldCharType="separate"/>
        </w:r>
        <w:r w:rsidR="006E56CB">
          <w:rPr>
            <w:webHidden/>
          </w:rPr>
          <w:t>98</w:t>
        </w:r>
        <w:r w:rsidR="00320458">
          <w:rPr>
            <w:webHidden/>
          </w:rPr>
          <w:fldChar w:fldCharType="end"/>
        </w:r>
      </w:hyperlink>
    </w:p>
    <w:p w14:paraId="7DE8F29A" w14:textId="77777777" w:rsidR="00320458" w:rsidRDefault="00EE58C4" w:rsidP="00085DF0">
      <w:pPr>
        <w:pStyle w:val="TableofFigures"/>
        <w:spacing w:before="60" w:after="60"/>
        <w:rPr>
          <w:rFonts w:asciiTheme="minorHAnsi" w:eastAsiaTheme="minorEastAsia" w:hAnsiTheme="minorHAnsi" w:cstheme="minorBidi"/>
        </w:rPr>
      </w:pPr>
      <w:hyperlink w:anchor="_Toc460514696" w:history="1">
        <w:r w:rsidR="00320458" w:rsidRPr="002A3A7B">
          <w:rPr>
            <w:rStyle w:val="Hyperlink"/>
          </w:rPr>
          <w:t>Table 38</w:t>
        </w:r>
        <w:r w:rsidR="00320458">
          <w:rPr>
            <w:rFonts w:asciiTheme="minorHAnsi" w:eastAsiaTheme="minorEastAsia" w:hAnsiTheme="minorHAnsi" w:cstheme="minorBidi"/>
          </w:rPr>
          <w:tab/>
        </w:r>
        <w:r w:rsidR="00320458" w:rsidRPr="002A3A7B">
          <w:rPr>
            <w:rStyle w:val="Hyperlink"/>
            <w:snapToGrid w:val="0"/>
            <w:lang w:eastAsia="en-US"/>
          </w:rPr>
          <w:t>Characteristics of the included evidence for radiotherapy in population three</w:t>
        </w:r>
        <w:r w:rsidR="00320458">
          <w:rPr>
            <w:webHidden/>
          </w:rPr>
          <w:tab/>
        </w:r>
        <w:r w:rsidR="00320458">
          <w:rPr>
            <w:webHidden/>
          </w:rPr>
          <w:fldChar w:fldCharType="begin"/>
        </w:r>
        <w:r w:rsidR="00320458">
          <w:rPr>
            <w:webHidden/>
          </w:rPr>
          <w:instrText xml:space="preserve"> PAGEREF _Toc460514696 \h </w:instrText>
        </w:r>
        <w:r w:rsidR="00320458">
          <w:rPr>
            <w:webHidden/>
          </w:rPr>
        </w:r>
        <w:r w:rsidR="00320458">
          <w:rPr>
            <w:webHidden/>
          </w:rPr>
          <w:fldChar w:fldCharType="separate"/>
        </w:r>
        <w:r w:rsidR="006E56CB">
          <w:rPr>
            <w:webHidden/>
          </w:rPr>
          <w:t>100</w:t>
        </w:r>
        <w:r w:rsidR="00320458">
          <w:rPr>
            <w:webHidden/>
          </w:rPr>
          <w:fldChar w:fldCharType="end"/>
        </w:r>
      </w:hyperlink>
    </w:p>
    <w:p w14:paraId="6CAFF767" w14:textId="77777777" w:rsidR="00320458" w:rsidRDefault="00EE58C4" w:rsidP="00085DF0">
      <w:pPr>
        <w:pStyle w:val="TableofFigures"/>
        <w:spacing w:before="60" w:after="60"/>
        <w:rPr>
          <w:rFonts w:asciiTheme="minorHAnsi" w:eastAsiaTheme="minorEastAsia" w:hAnsiTheme="minorHAnsi" w:cstheme="minorBidi"/>
        </w:rPr>
      </w:pPr>
      <w:hyperlink w:anchor="_Toc460514697" w:history="1">
        <w:r w:rsidR="00320458" w:rsidRPr="002A3A7B">
          <w:rPr>
            <w:rStyle w:val="Hyperlink"/>
          </w:rPr>
          <w:t>Table 39</w:t>
        </w:r>
        <w:r w:rsidR="00320458">
          <w:rPr>
            <w:rFonts w:asciiTheme="minorHAnsi" w:eastAsiaTheme="minorEastAsia" w:hAnsiTheme="minorHAnsi" w:cstheme="minorBidi"/>
          </w:rPr>
          <w:tab/>
        </w:r>
        <w:r w:rsidR="00320458" w:rsidRPr="002A3A7B">
          <w:rPr>
            <w:rStyle w:val="Hyperlink"/>
          </w:rPr>
          <w:t>Characteristics of the included evidence for surgical resection, systematic reviews</w:t>
        </w:r>
        <w:r w:rsidR="00320458">
          <w:rPr>
            <w:webHidden/>
          </w:rPr>
          <w:tab/>
        </w:r>
        <w:r w:rsidR="00320458">
          <w:rPr>
            <w:webHidden/>
          </w:rPr>
          <w:fldChar w:fldCharType="begin"/>
        </w:r>
        <w:r w:rsidR="00320458">
          <w:rPr>
            <w:webHidden/>
          </w:rPr>
          <w:instrText xml:space="preserve"> PAGEREF _Toc460514697 \h </w:instrText>
        </w:r>
        <w:r w:rsidR="00320458">
          <w:rPr>
            <w:webHidden/>
          </w:rPr>
        </w:r>
        <w:r w:rsidR="00320458">
          <w:rPr>
            <w:webHidden/>
          </w:rPr>
          <w:fldChar w:fldCharType="separate"/>
        </w:r>
        <w:r w:rsidR="006E56CB">
          <w:rPr>
            <w:webHidden/>
          </w:rPr>
          <w:t>101</w:t>
        </w:r>
        <w:r w:rsidR="00320458">
          <w:rPr>
            <w:webHidden/>
          </w:rPr>
          <w:fldChar w:fldCharType="end"/>
        </w:r>
      </w:hyperlink>
    </w:p>
    <w:p w14:paraId="35B31531" w14:textId="77777777" w:rsidR="00320458" w:rsidRDefault="00EE58C4" w:rsidP="00085DF0">
      <w:pPr>
        <w:pStyle w:val="TableofFigures"/>
        <w:spacing w:before="60" w:after="60"/>
        <w:rPr>
          <w:rFonts w:asciiTheme="minorHAnsi" w:eastAsiaTheme="minorEastAsia" w:hAnsiTheme="minorHAnsi" w:cstheme="minorBidi"/>
        </w:rPr>
      </w:pPr>
      <w:hyperlink w:anchor="_Toc460514698" w:history="1">
        <w:r w:rsidR="00320458" w:rsidRPr="002A3A7B">
          <w:rPr>
            <w:rStyle w:val="Hyperlink"/>
          </w:rPr>
          <w:t>Table 40</w:t>
        </w:r>
        <w:r w:rsidR="00320458">
          <w:rPr>
            <w:rFonts w:asciiTheme="minorHAnsi" w:eastAsiaTheme="minorEastAsia" w:hAnsiTheme="minorHAnsi" w:cstheme="minorBidi"/>
          </w:rPr>
          <w:tab/>
        </w:r>
        <w:r w:rsidR="00320458" w:rsidRPr="002A3A7B">
          <w:rPr>
            <w:rStyle w:val="Hyperlink"/>
          </w:rPr>
          <w:t>Characteristics of the included case series evidence for surgical resection</w:t>
        </w:r>
        <w:r w:rsidR="00320458">
          <w:rPr>
            <w:webHidden/>
          </w:rPr>
          <w:tab/>
        </w:r>
        <w:r w:rsidR="00320458">
          <w:rPr>
            <w:webHidden/>
          </w:rPr>
          <w:fldChar w:fldCharType="begin"/>
        </w:r>
        <w:r w:rsidR="00320458">
          <w:rPr>
            <w:webHidden/>
          </w:rPr>
          <w:instrText xml:space="preserve"> PAGEREF _Toc460514698 \h </w:instrText>
        </w:r>
        <w:r w:rsidR="00320458">
          <w:rPr>
            <w:webHidden/>
          </w:rPr>
        </w:r>
        <w:r w:rsidR="00320458">
          <w:rPr>
            <w:webHidden/>
          </w:rPr>
          <w:fldChar w:fldCharType="separate"/>
        </w:r>
        <w:r w:rsidR="006E56CB">
          <w:rPr>
            <w:webHidden/>
          </w:rPr>
          <w:t>102</w:t>
        </w:r>
        <w:r w:rsidR="00320458">
          <w:rPr>
            <w:webHidden/>
          </w:rPr>
          <w:fldChar w:fldCharType="end"/>
        </w:r>
      </w:hyperlink>
    </w:p>
    <w:p w14:paraId="3240CC7F" w14:textId="77777777" w:rsidR="00320458" w:rsidRDefault="00EE58C4" w:rsidP="00085DF0">
      <w:pPr>
        <w:pStyle w:val="TableofFigures"/>
        <w:spacing w:before="60" w:after="60"/>
        <w:rPr>
          <w:rFonts w:asciiTheme="minorHAnsi" w:eastAsiaTheme="minorEastAsia" w:hAnsiTheme="minorHAnsi" w:cstheme="minorBidi"/>
        </w:rPr>
      </w:pPr>
      <w:hyperlink w:anchor="_Toc460514699" w:history="1">
        <w:r w:rsidR="00320458" w:rsidRPr="002A3A7B">
          <w:rPr>
            <w:rStyle w:val="Hyperlink"/>
          </w:rPr>
          <w:t>Table 41</w:t>
        </w:r>
        <w:r w:rsidR="00320458">
          <w:rPr>
            <w:rFonts w:asciiTheme="minorHAnsi" w:eastAsiaTheme="minorEastAsia" w:hAnsiTheme="minorHAnsi" w:cstheme="minorBidi"/>
          </w:rPr>
          <w:tab/>
        </w:r>
        <w:r w:rsidR="00320458" w:rsidRPr="002A3A7B">
          <w:rPr>
            <w:rStyle w:val="Hyperlink"/>
          </w:rPr>
          <w:t>Procedure related mortality reported in studies of MTA</w:t>
        </w:r>
        <w:r w:rsidR="00320458">
          <w:rPr>
            <w:webHidden/>
          </w:rPr>
          <w:tab/>
        </w:r>
        <w:r w:rsidR="00320458">
          <w:rPr>
            <w:webHidden/>
          </w:rPr>
          <w:fldChar w:fldCharType="begin"/>
        </w:r>
        <w:r w:rsidR="00320458">
          <w:rPr>
            <w:webHidden/>
          </w:rPr>
          <w:instrText xml:space="preserve"> PAGEREF _Toc460514699 \h </w:instrText>
        </w:r>
        <w:r w:rsidR="00320458">
          <w:rPr>
            <w:webHidden/>
          </w:rPr>
        </w:r>
        <w:r w:rsidR="00320458">
          <w:rPr>
            <w:webHidden/>
          </w:rPr>
          <w:fldChar w:fldCharType="separate"/>
        </w:r>
        <w:r w:rsidR="006E56CB">
          <w:rPr>
            <w:webHidden/>
          </w:rPr>
          <w:t>108</w:t>
        </w:r>
        <w:r w:rsidR="00320458">
          <w:rPr>
            <w:webHidden/>
          </w:rPr>
          <w:fldChar w:fldCharType="end"/>
        </w:r>
      </w:hyperlink>
    </w:p>
    <w:p w14:paraId="7AF1F9DA" w14:textId="77777777" w:rsidR="00320458" w:rsidRDefault="00EE58C4" w:rsidP="00085DF0">
      <w:pPr>
        <w:pStyle w:val="TableofFigures"/>
        <w:spacing w:before="60" w:after="60"/>
        <w:rPr>
          <w:rFonts w:asciiTheme="minorHAnsi" w:eastAsiaTheme="minorEastAsia" w:hAnsiTheme="minorHAnsi" w:cstheme="minorBidi"/>
        </w:rPr>
      </w:pPr>
      <w:hyperlink w:anchor="_Toc460514700" w:history="1">
        <w:r w:rsidR="00320458" w:rsidRPr="002A3A7B">
          <w:rPr>
            <w:rStyle w:val="Hyperlink"/>
          </w:rPr>
          <w:t>Table 42</w:t>
        </w:r>
        <w:r w:rsidR="00320458">
          <w:rPr>
            <w:rFonts w:asciiTheme="minorHAnsi" w:eastAsiaTheme="minorEastAsia" w:hAnsiTheme="minorHAnsi" w:cstheme="minorBidi"/>
          </w:rPr>
          <w:tab/>
        </w:r>
        <w:r w:rsidR="00320458" w:rsidRPr="002A3A7B">
          <w:rPr>
            <w:rStyle w:val="Hyperlink"/>
            <w:rFonts w:cs="Arial"/>
            <w:snapToGrid w:val="0"/>
            <w:lang w:eastAsia="en-US"/>
          </w:rPr>
          <w:t>Results of key patient-relevant outcome across the studies</w:t>
        </w:r>
        <w:r w:rsidR="00320458">
          <w:rPr>
            <w:webHidden/>
          </w:rPr>
          <w:tab/>
        </w:r>
        <w:r w:rsidR="00320458">
          <w:rPr>
            <w:webHidden/>
          </w:rPr>
          <w:fldChar w:fldCharType="begin"/>
        </w:r>
        <w:r w:rsidR="00320458">
          <w:rPr>
            <w:webHidden/>
          </w:rPr>
          <w:instrText xml:space="preserve"> PAGEREF _Toc460514700 \h </w:instrText>
        </w:r>
        <w:r w:rsidR="00320458">
          <w:rPr>
            <w:webHidden/>
          </w:rPr>
        </w:r>
        <w:r w:rsidR="00320458">
          <w:rPr>
            <w:webHidden/>
          </w:rPr>
          <w:fldChar w:fldCharType="separate"/>
        </w:r>
        <w:r w:rsidR="006E56CB">
          <w:rPr>
            <w:webHidden/>
          </w:rPr>
          <w:t>109</w:t>
        </w:r>
        <w:r w:rsidR="00320458">
          <w:rPr>
            <w:webHidden/>
          </w:rPr>
          <w:fldChar w:fldCharType="end"/>
        </w:r>
      </w:hyperlink>
    </w:p>
    <w:p w14:paraId="300B189B" w14:textId="77777777" w:rsidR="00320458" w:rsidRDefault="00EE58C4" w:rsidP="00085DF0">
      <w:pPr>
        <w:pStyle w:val="TableofFigures"/>
        <w:spacing w:before="60" w:after="60"/>
        <w:rPr>
          <w:rFonts w:asciiTheme="minorHAnsi" w:eastAsiaTheme="minorEastAsia" w:hAnsiTheme="minorHAnsi" w:cstheme="minorBidi"/>
        </w:rPr>
      </w:pPr>
      <w:hyperlink w:anchor="_Toc460514701" w:history="1">
        <w:r w:rsidR="00320458" w:rsidRPr="002A3A7B">
          <w:rPr>
            <w:rStyle w:val="Hyperlink"/>
          </w:rPr>
          <w:t>Table 43</w:t>
        </w:r>
        <w:r w:rsidR="00320458">
          <w:rPr>
            <w:rFonts w:asciiTheme="minorHAnsi" w:eastAsiaTheme="minorEastAsia" w:hAnsiTheme="minorHAnsi" w:cstheme="minorBidi"/>
          </w:rPr>
          <w:tab/>
        </w:r>
        <w:r w:rsidR="00320458" w:rsidRPr="002A3A7B">
          <w:rPr>
            <w:rStyle w:val="Hyperlink"/>
          </w:rPr>
          <w:t>Other adverse events reported</w:t>
        </w:r>
        <w:r w:rsidR="00320458">
          <w:rPr>
            <w:webHidden/>
          </w:rPr>
          <w:tab/>
        </w:r>
        <w:r w:rsidR="00320458">
          <w:rPr>
            <w:webHidden/>
          </w:rPr>
          <w:fldChar w:fldCharType="begin"/>
        </w:r>
        <w:r w:rsidR="00320458">
          <w:rPr>
            <w:webHidden/>
          </w:rPr>
          <w:instrText xml:space="preserve"> PAGEREF _Toc460514701 \h </w:instrText>
        </w:r>
        <w:r w:rsidR="00320458">
          <w:rPr>
            <w:webHidden/>
          </w:rPr>
        </w:r>
        <w:r w:rsidR="00320458">
          <w:rPr>
            <w:webHidden/>
          </w:rPr>
          <w:fldChar w:fldCharType="separate"/>
        </w:r>
        <w:r w:rsidR="006E56CB">
          <w:rPr>
            <w:webHidden/>
          </w:rPr>
          <w:t>111</w:t>
        </w:r>
        <w:r w:rsidR="00320458">
          <w:rPr>
            <w:webHidden/>
          </w:rPr>
          <w:fldChar w:fldCharType="end"/>
        </w:r>
      </w:hyperlink>
    </w:p>
    <w:p w14:paraId="34BBC841" w14:textId="77777777" w:rsidR="00320458" w:rsidRDefault="00EE58C4" w:rsidP="00085DF0">
      <w:pPr>
        <w:pStyle w:val="TableofFigures"/>
        <w:spacing w:before="60" w:after="60"/>
        <w:rPr>
          <w:rFonts w:asciiTheme="minorHAnsi" w:eastAsiaTheme="minorEastAsia" w:hAnsiTheme="minorHAnsi" w:cstheme="minorBidi"/>
        </w:rPr>
      </w:pPr>
      <w:hyperlink w:anchor="_Toc460514702" w:history="1">
        <w:r w:rsidR="00320458" w:rsidRPr="002A3A7B">
          <w:rPr>
            <w:rStyle w:val="Hyperlink"/>
          </w:rPr>
          <w:t>Table 44</w:t>
        </w:r>
        <w:r w:rsidR="00320458">
          <w:rPr>
            <w:rFonts w:asciiTheme="minorHAnsi" w:eastAsiaTheme="minorEastAsia" w:hAnsiTheme="minorHAnsi" w:cstheme="minorBidi"/>
          </w:rPr>
          <w:tab/>
        </w:r>
        <w:r w:rsidR="00320458" w:rsidRPr="002A3A7B">
          <w:rPr>
            <w:rStyle w:val="Hyperlink"/>
          </w:rPr>
          <w:t>Procedure related mortality reported in 17 studies of RFA</w:t>
        </w:r>
        <w:r w:rsidR="00320458">
          <w:rPr>
            <w:webHidden/>
          </w:rPr>
          <w:tab/>
        </w:r>
        <w:r w:rsidR="00320458">
          <w:rPr>
            <w:webHidden/>
          </w:rPr>
          <w:fldChar w:fldCharType="begin"/>
        </w:r>
        <w:r w:rsidR="00320458">
          <w:rPr>
            <w:webHidden/>
          </w:rPr>
          <w:instrText xml:space="preserve"> PAGEREF _Toc460514702 \h </w:instrText>
        </w:r>
        <w:r w:rsidR="00320458">
          <w:rPr>
            <w:webHidden/>
          </w:rPr>
        </w:r>
        <w:r w:rsidR="00320458">
          <w:rPr>
            <w:webHidden/>
          </w:rPr>
          <w:fldChar w:fldCharType="separate"/>
        </w:r>
        <w:r w:rsidR="006E56CB">
          <w:rPr>
            <w:webHidden/>
          </w:rPr>
          <w:t>114</w:t>
        </w:r>
        <w:r w:rsidR="00320458">
          <w:rPr>
            <w:webHidden/>
          </w:rPr>
          <w:fldChar w:fldCharType="end"/>
        </w:r>
      </w:hyperlink>
    </w:p>
    <w:p w14:paraId="22FE2634" w14:textId="77777777" w:rsidR="00320458" w:rsidRDefault="00EE58C4" w:rsidP="00085DF0">
      <w:pPr>
        <w:pStyle w:val="TableofFigures"/>
        <w:spacing w:before="60" w:after="60"/>
        <w:rPr>
          <w:rFonts w:asciiTheme="minorHAnsi" w:eastAsiaTheme="minorEastAsia" w:hAnsiTheme="minorHAnsi" w:cstheme="minorBidi"/>
        </w:rPr>
      </w:pPr>
      <w:hyperlink w:anchor="_Toc460514703" w:history="1">
        <w:r w:rsidR="00320458" w:rsidRPr="002A3A7B">
          <w:rPr>
            <w:rStyle w:val="Hyperlink"/>
          </w:rPr>
          <w:t>Table 45</w:t>
        </w:r>
        <w:r w:rsidR="00320458">
          <w:rPr>
            <w:rFonts w:asciiTheme="minorHAnsi" w:eastAsiaTheme="minorEastAsia" w:hAnsiTheme="minorHAnsi" w:cstheme="minorBidi"/>
          </w:rPr>
          <w:tab/>
        </w:r>
        <w:r w:rsidR="00320458" w:rsidRPr="002A3A7B">
          <w:rPr>
            <w:rStyle w:val="Hyperlink"/>
          </w:rPr>
          <w:t>P</w:t>
        </w:r>
        <w:r w:rsidR="00320458" w:rsidRPr="002A3A7B">
          <w:rPr>
            <w:rStyle w:val="Hyperlink"/>
            <w:rFonts w:cs="Arial"/>
            <w:snapToGrid w:val="0"/>
            <w:lang w:eastAsia="en-US"/>
          </w:rPr>
          <w:t>neumothorax reported in 19 studies of RFA, per-session and per-patient</w:t>
        </w:r>
        <w:r w:rsidR="00320458">
          <w:rPr>
            <w:webHidden/>
          </w:rPr>
          <w:tab/>
        </w:r>
        <w:r w:rsidR="00320458">
          <w:rPr>
            <w:webHidden/>
          </w:rPr>
          <w:fldChar w:fldCharType="begin"/>
        </w:r>
        <w:r w:rsidR="00320458">
          <w:rPr>
            <w:webHidden/>
          </w:rPr>
          <w:instrText xml:space="preserve"> PAGEREF _Toc460514703 \h </w:instrText>
        </w:r>
        <w:r w:rsidR="00320458">
          <w:rPr>
            <w:webHidden/>
          </w:rPr>
        </w:r>
        <w:r w:rsidR="00320458">
          <w:rPr>
            <w:webHidden/>
          </w:rPr>
          <w:fldChar w:fldCharType="separate"/>
        </w:r>
        <w:r w:rsidR="006E56CB">
          <w:rPr>
            <w:webHidden/>
          </w:rPr>
          <w:t>115</w:t>
        </w:r>
        <w:r w:rsidR="00320458">
          <w:rPr>
            <w:webHidden/>
          </w:rPr>
          <w:fldChar w:fldCharType="end"/>
        </w:r>
      </w:hyperlink>
    </w:p>
    <w:p w14:paraId="0B0C6266" w14:textId="77777777" w:rsidR="00320458" w:rsidRDefault="00EE58C4" w:rsidP="00085DF0">
      <w:pPr>
        <w:pStyle w:val="TableofFigures"/>
        <w:spacing w:before="60" w:after="60"/>
        <w:rPr>
          <w:rFonts w:asciiTheme="minorHAnsi" w:eastAsiaTheme="minorEastAsia" w:hAnsiTheme="minorHAnsi" w:cstheme="minorBidi"/>
        </w:rPr>
      </w:pPr>
      <w:hyperlink w:anchor="_Toc460514704" w:history="1">
        <w:r w:rsidR="00320458" w:rsidRPr="002A3A7B">
          <w:rPr>
            <w:rStyle w:val="Hyperlink"/>
          </w:rPr>
          <w:t>Table 46</w:t>
        </w:r>
        <w:r w:rsidR="00320458">
          <w:rPr>
            <w:rFonts w:asciiTheme="minorHAnsi" w:eastAsiaTheme="minorEastAsia" w:hAnsiTheme="minorHAnsi" w:cstheme="minorBidi"/>
          </w:rPr>
          <w:tab/>
        </w:r>
        <w:r w:rsidR="00320458" w:rsidRPr="002A3A7B">
          <w:rPr>
            <w:rStyle w:val="Hyperlink"/>
          </w:rPr>
          <w:t>Adverse events re</w:t>
        </w:r>
        <w:r w:rsidR="00320458" w:rsidRPr="002A3A7B">
          <w:rPr>
            <w:rStyle w:val="Hyperlink"/>
            <w:rFonts w:cs="Arial"/>
            <w:snapToGrid w:val="0"/>
            <w:lang w:eastAsia="en-US"/>
          </w:rPr>
          <w:t>ported in studies of RFA (per-session or per-patient)</w:t>
        </w:r>
        <w:r w:rsidR="00320458">
          <w:rPr>
            <w:webHidden/>
          </w:rPr>
          <w:tab/>
        </w:r>
        <w:r w:rsidR="00320458">
          <w:rPr>
            <w:webHidden/>
          </w:rPr>
          <w:fldChar w:fldCharType="begin"/>
        </w:r>
        <w:r w:rsidR="00320458">
          <w:rPr>
            <w:webHidden/>
          </w:rPr>
          <w:instrText xml:space="preserve"> PAGEREF _Toc460514704 \h </w:instrText>
        </w:r>
        <w:r w:rsidR="00320458">
          <w:rPr>
            <w:webHidden/>
          </w:rPr>
        </w:r>
        <w:r w:rsidR="00320458">
          <w:rPr>
            <w:webHidden/>
          </w:rPr>
          <w:fldChar w:fldCharType="separate"/>
        </w:r>
        <w:r w:rsidR="006E56CB">
          <w:rPr>
            <w:webHidden/>
          </w:rPr>
          <w:t>117</w:t>
        </w:r>
        <w:r w:rsidR="00320458">
          <w:rPr>
            <w:webHidden/>
          </w:rPr>
          <w:fldChar w:fldCharType="end"/>
        </w:r>
      </w:hyperlink>
    </w:p>
    <w:p w14:paraId="75279DCC" w14:textId="77777777" w:rsidR="00320458" w:rsidRDefault="00EE58C4" w:rsidP="00085DF0">
      <w:pPr>
        <w:pStyle w:val="TableofFigures"/>
        <w:spacing w:before="60" w:after="60"/>
        <w:rPr>
          <w:rFonts w:asciiTheme="minorHAnsi" w:eastAsiaTheme="minorEastAsia" w:hAnsiTheme="minorHAnsi" w:cstheme="minorBidi"/>
        </w:rPr>
      </w:pPr>
      <w:hyperlink w:anchor="_Toc460514705" w:history="1">
        <w:r w:rsidR="00320458" w:rsidRPr="002A3A7B">
          <w:rPr>
            <w:rStyle w:val="Hyperlink"/>
          </w:rPr>
          <w:t>Table 47</w:t>
        </w:r>
        <w:r w:rsidR="00320458">
          <w:rPr>
            <w:rFonts w:asciiTheme="minorHAnsi" w:eastAsiaTheme="minorEastAsia" w:hAnsiTheme="minorHAnsi" w:cstheme="minorBidi"/>
          </w:rPr>
          <w:tab/>
        </w:r>
        <w:r w:rsidR="00320458" w:rsidRPr="002A3A7B">
          <w:rPr>
            <w:rStyle w:val="Hyperlink"/>
          </w:rPr>
          <w:t>Adverse events</w:t>
        </w:r>
        <w:r w:rsidR="00320458" w:rsidRPr="002A3A7B">
          <w:rPr>
            <w:rStyle w:val="Hyperlink"/>
            <w:rFonts w:cs="Arial"/>
            <w:snapToGrid w:val="0"/>
            <w:lang w:eastAsia="en-US"/>
          </w:rPr>
          <w:t xml:space="preserve"> reported in radiotherapy studies, stratified by event grade*</w:t>
        </w:r>
        <w:r w:rsidR="00320458">
          <w:rPr>
            <w:webHidden/>
          </w:rPr>
          <w:tab/>
        </w:r>
        <w:r w:rsidR="00320458">
          <w:rPr>
            <w:webHidden/>
          </w:rPr>
          <w:fldChar w:fldCharType="begin"/>
        </w:r>
        <w:r w:rsidR="00320458">
          <w:rPr>
            <w:webHidden/>
          </w:rPr>
          <w:instrText xml:space="preserve"> PAGEREF _Toc460514705 \h </w:instrText>
        </w:r>
        <w:r w:rsidR="00320458">
          <w:rPr>
            <w:webHidden/>
          </w:rPr>
        </w:r>
        <w:r w:rsidR="00320458">
          <w:rPr>
            <w:webHidden/>
          </w:rPr>
          <w:fldChar w:fldCharType="separate"/>
        </w:r>
        <w:r w:rsidR="006E56CB">
          <w:rPr>
            <w:webHidden/>
          </w:rPr>
          <w:t>120</w:t>
        </w:r>
        <w:r w:rsidR="00320458">
          <w:rPr>
            <w:webHidden/>
          </w:rPr>
          <w:fldChar w:fldCharType="end"/>
        </w:r>
      </w:hyperlink>
    </w:p>
    <w:p w14:paraId="0BDD8489" w14:textId="77777777" w:rsidR="00320458" w:rsidRDefault="00EE58C4" w:rsidP="00085DF0">
      <w:pPr>
        <w:pStyle w:val="TableofFigures"/>
        <w:spacing w:before="60" w:after="60"/>
        <w:rPr>
          <w:rFonts w:asciiTheme="minorHAnsi" w:eastAsiaTheme="minorEastAsia" w:hAnsiTheme="minorHAnsi" w:cstheme="minorBidi"/>
        </w:rPr>
      </w:pPr>
      <w:hyperlink w:anchor="_Toc460514706" w:history="1">
        <w:r w:rsidR="00320458" w:rsidRPr="002A3A7B">
          <w:rPr>
            <w:rStyle w:val="Hyperlink"/>
          </w:rPr>
          <w:t>Table 48</w:t>
        </w:r>
        <w:r w:rsidR="00320458">
          <w:rPr>
            <w:rFonts w:asciiTheme="minorHAnsi" w:eastAsiaTheme="minorEastAsia" w:hAnsiTheme="minorHAnsi" w:cstheme="minorBidi"/>
          </w:rPr>
          <w:tab/>
        </w:r>
        <w:r w:rsidR="00320458" w:rsidRPr="002A3A7B">
          <w:rPr>
            <w:rStyle w:val="Hyperlink"/>
          </w:rPr>
          <w:t>Adverse events</w:t>
        </w:r>
        <w:r w:rsidR="00320458" w:rsidRPr="002A3A7B">
          <w:rPr>
            <w:rStyle w:val="Hyperlink"/>
            <w:rFonts w:cs="Arial"/>
            <w:snapToGrid w:val="0"/>
            <w:lang w:eastAsia="en-US"/>
          </w:rPr>
          <w:t xml:space="preserve"> reported in at least two studies of radiotherapy</w:t>
        </w:r>
        <w:r w:rsidR="00320458">
          <w:rPr>
            <w:webHidden/>
          </w:rPr>
          <w:tab/>
        </w:r>
        <w:r w:rsidR="00320458">
          <w:rPr>
            <w:webHidden/>
          </w:rPr>
          <w:fldChar w:fldCharType="begin"/>
        </w:r>
        <w:r w:rsidR="00320458">
          <w:rPr>
            <w:webHidden/>
          </w:rPr>
          <w:instrText xml:space="preserve"> PAGEREF _Toc460514706 \h </w:instrText>
        </w:r>
        <w:r w:rsidR="00320458">
          <w:rPr>
            <w:webHidden/>
          </w:rPr>
        </w:r>
        <w:r w:rsidR="00320458">
          <w:rPr>
            <w:webHidden/>
          </w:rPr>
          <w:fldChar w:fldCharType="separate"/>
        </w:r>
        <w:r w:rsidR="006E56CB">
          <w:rPr>
            <w:webHidden/>
          </w:rPr>
          <w:t>121</w:t>
        </w:r>
        <w:r w:rsidR="00320458">
          <w:rPr>
            <w:webHidden/>
          </w:rPr>
          <w:fldChar w:fldCharType="end"/>
        </w:r>
      </w:hyperlink>
    </w:p>
    <w:p w14:paraId="4C324520" w14:textId="77777777" w:rsidR="00320458" w:rsidRDefault="00EE58C4" w:rsidP="00085DF0">
      <w:pPr>
        <w:pStyle w:val="TableofFigures"/>
        <w:spacing w:before="60" w:after="60"/>
        <w:rPr>
          <w:rFonts w:asciiTheme="minorHAnsi" w:eastAsiaTheme="minorEastAsia" w:hAnsiTheme="minorHAnsi" w:cstheme="minorBidi"/>
        </w:rPr>
      </w:pPr>
      <w:hyperlink w:anchor="_Toc460514707" w:history="1">
        <w:r w:rsidR="00320458" w:rsidRPr="002A3A7B">
          <w:rPr>
            <w:rStyle w:val="Hyperlink"/>
          </w:rPr>
          <w:t>Table 49</w:t>
        </w:r>
        <w:r w:rsidR="00320458">
          <w:rPr>
            <w:rFonts w:asciiTheme="minorHAnsi" w:eastAsiaTheme="minorEastAsia" w:hAnsiTheme="minorHAnsi" w:cstheme="minorBidi"/>
          </w:rPr>
          <w:tab/>
        </w:r>
        <w:r w:rsidR="00320458" w:rsidRPr="002A3A7B">
          <w:rPr>
            <w:rStyle w:val="Hyperlink"/>
          </w:rPr>
          <w:t>Safety results and quality of evidence for palliative radiotherapy regimens (Stevens et al 2015)</w:t>
        </w:r>
        <w:r w:rsidR="00320458">
          <w:rPr>
            <w:webHidden/>
          </w:rPr>
          <w:tab/>
        </w:r>
        <w:r w:rsidR="00320458">
          <w:rPr>
            <w:webHidden/>
          </w:rPr>
          <w:fldChar w:fldCharType="begin"/>
        </w:r>
        <w:r w:rsidR="00320458">
          <w:rPr>
            <w:webHidden/>
          </w:rPr>
          <w:instrText xml:space="preserve"> PAGEREF _Toc460514707 \h </w:instrText>
        </w:r>
        <w:r w:rsidR="00320458">
          <w:rPr>
            <w:webHidden/>
          </w:rPr>
        </w:r>
        <w:r w:rsidR="00320458">
          <w:rPr>
            <w:webHidden/>
          </w:rPr>
          <w:fldChar w:fldCharType="separate"/>
        </w:r>
        <w:r w:rsidR="006E56CB">
          <w:rPr>
            <w:webHidden/>
          </w:rPr>
          <w:t>123</w:t>
        </w:r>
        <w:r w:rsidR="00320458">
          <w:rPr>
            <w:webHidden/>
          </w:rPr>
          <w:fldChar w:fldCharType="end"/>
        </w:r>
      </w:hyperlink>
    </w:p>
    <w:p w14:paraId="3F92AFCC" w14:textId="77777777" w:rsidR="00320458" w:rsidRDefault="00EE58C4" w:rsidP="00085DF0">
      <w:pPr>
        <w:pStyle w:val="TableofFigures"/>
        <w:spacing w:before="60" w:after="60"/>
        <w:rPr>
          <w:rFonts w:asciiTheme="minorHAnsi" w:eastAsiaTheme="minorEastAsia" w:hAnsiTheme="minorHAnsi" w:cstheme="minorBidi"/>
        </w:rPr>
      </w:pPr>
      <w:hyperlink w:anchor="_Toc460514708" w:history="1">
        <w:r w:rsidR="00320458" w:rsidRPr="002A3A7B">
          <w:rPr>
            <w:rStyle w:val="Hyperlink"/>
          </w:rPr>
          <w:t>Table 50</w:t>
        </w:r>
        <w:r w:rsidR="00320458">
          <w:rPr>
            <w:rFonts w:asciiTheme="minorHAnsi" w:eastAsiaTheme="minorEastAsia" w:hAnsiTheme="minorHAnsi" w:cstheme="minorBidi"/>
          </w:rPr>
          <w:tab/>
        </w:r>
        <w:r w:rsidR="00320458" w:rsidRPr="002A3A7B">
          <w:rPr>
            <w:rStyle w:val="Hyperlink"/>
          </w:rPr>
          <w:t>Adverse events reported in the Level IV studies on surgical resection</w:t>
        </w:r>
        <w:r w:rsidR="00320458">
          <w:rPr>
            <w:webHidden/>
          </w:rPr>
          <w:tab/>
        </w:r>
        <w:r w:rsidR="00320458">
          <w:rPr>
            <w:webHidden/>
          </w:rPr>
          <w:fldChar w:fldCharType="begin"/>
        </w:r>
        <w:r w:rsidR="00320458">
          <w:rPr>
            <w:webHidden/>
          </w:rPr>
          <w:instrText xml:space="preserve"> PAGEREF _Toc460514708 \h </w:instrText>
        </w:r>
        <w:r w:rsidR="00320458">
          <w:rPr>
            <w:webHidden/>
          </w:rPr>
        </w:r>
        <w:r w:rsidR="00320458">
          <w:rPr>
            <w:webHidden/>
          </w:rPr>
          <w:fldChar w:fldCharType="separate"/>
        </w:r>
        <w:r w:rsidR="006E56CB">
          <w:rPr>
            <w:webHidden/>
          </w:rPr>
          <w:t>124</w:t>
        </w:r>
        <w:r w:rsidR="00320458">
          <w:rPr>
            <w:webHidden/>
          </w:rPr>
          <w:fldChar w:fldCharType="end"/>
        </w:r>
      </w:hyperlink>
    </w:p>
    <w:p w14:paraId="796EF069" w14:textId="77777777" w:rsidR="00320458" w:rsidRDefault="00EE58C4" w:rsidP="00085DF0">
      <w:pPr>
        <w:pStyle w:val="TableofFigures"/>
        <w:spacing w:before="60" w:after="60"/>
        <w:rPr>
          <w:rFonts w:asciiTheme="minorHAnsi" w:eastAsiaTheme="minorEastAsia" w:hAnsiTheme="minorHAnsi" w:cstheme="minorBidi"/>
        </w:rPr>
      </w:pPr>
      <w:hyperlink w:anchor="_Toc460514709" w:history="1">
        <w:r w:rsidR="00320458" w:rsidRPr="002A3A7B">
          <w:rPr>
            <w:rStyle w:val="Hyperlink"/>
          </w:rPr>
          <w:t>Table 51</w:t>
        </w:r>
        <w:r w:rsidR="00320458">
          <w:rPr>
            <w:rFonts w:asciiTheme="minorHAnsi" w:eastAsiaTheme="minorEastAsia" w:hAnsiTheme="minorHAnsi" w:cstheme="minorBidi"/>
          </w:rPr>
          <w:tab/>
        </w:r>
        <w:r w:rsidR="00320458" w:rsidRPr="002A3A7B">
          <w:rPr>
            <w:rStyle w:val="Hyperlink"/>
          </w:rPr>
          <w:t>Overall and cancer-specific survival time in patients with inoperable early stage NSCLC</w:t>
        </w:r>
        <w:r w:rsidR="00320458">
          <w:rPr>
            <w:webHidden/>
          </w:rPr>
          <w:tab/>
        </w:r>
        <w:r w:rsidR="00320458">
          <w:rPr>
            <w:webHidden/>
          </w:rPr>
          <w:fldChar w:fldCharType="begin"/>
        </w:r>
        <w:r w:rsidR="00320458">
          <w:rPr>
            <w:webHidden/>
          </w:rPr>
          <w:instrText xml:space="preserve"> PAGEREF _Toc460514709 \h </w:instrText>
        </w:r>
        <w:r w:rsidR="00320458">
          <w:rPr>
            <w:webHidden/>
          </w:rPr>
        </w:r>
        <w:r w:rsidR="00320458">
          <w:rPr>
            <w:webHidden/>
          </w:rPr>
          <w:fldChar w:fldCharType="separate"/>
        </w:r>
        <w:r w:rsidR="006E56CB">
          <w:rPr>
            <w:webHidden/>
          </w:rPr>
          <w:t>128</w:t>
        </w:r>
        <w:r w:rsidR="00320458">
          <w:rPr>
            <w:webHidden/>
          </w:rPr>
          <w:fldChar w:fldCharType="end"/>
        </w:r>
      </w:hyperlink>
    </w:p>
    <w:p w14:paraId="3009DB0A" w14:textId="77777777" w:rsidR="00320458" w:rsidRDefault="00EE58C4" w:rsidP="00085DF0">
      <w:pPr>
        <w:pStyle w:val="TableofFigures"/>
        <w:spacing w:before="60" w:after="60"/>
        <w:rPr>
          <w:rFonts w:asciiTheme="minorHAnsi" w:eastAsiaTheme="minorEastAsia" w:hAnsiTheme="minorHAnsi" w:cstheme="minorBidi"/>
        </w:rPr>
      </w:pPr>
      <w:hyperlink w:anchor="_Toc460514710" w:history="1">
        <w:r w:rsidR="00320458" w:rsidRPr="002A3A7B">
          <w:rPr>
            <w:rStyle w:val="Hyperlink"/>
          </w:rPr>
          <w:t>Table 52</w:t>
        </w:r>
        <w:r w:rsidR="00320458">
          <w:rPr>
            <w:rFonts w:asciiTheme="minorHAnsi" w:eastAsiaTheme="minorEastAsia" w:hAnsiTheme="minorHAnsi" w:cstheme="minorBidi"/>
          </w:rPr>
          <w:tab/>
        </w:r>
        <w:r w:rsidR="00320458" w:rsidRPr="002A3A7B">
          <w:rPr>
            <w:rStyle w:val="Hyperlink"/>
          </w:rPr>
          <w:t>Median time to local progression in patients with inoperable early stage NSCLC</w:t>
        </w:r>
        <w:r w:rsidR="00320458">
          <w:rPr>
            <w:webHidden/>
          </w:rPr>
          <w:tab/>
        </w:r>
        <w:r w:rsidR="00320458">
          <w:rPr>
            <w:webHidden/>
          </w:rPr>
          <w:fldChar w:fldCharType="begin"/>
        </w:r>
        <w:r w:rsidR="00320458">
          <w:rPr>
            <w:webHidden/>
          </w:rPr>
          <w:instrText xml:space="preserve"> PAGEREF _Toc460514710 \h </w:instrText>
        </w:r>
        <w:r w:rsidR="00320458">
          <w:rPr>
            <w:webHidden/>
          </w:rPr>
        </w:r>
        <w:r w:rsidR="00320458">
          <w:rPr>
            <w:webHidden/>
          </w:rPr>
          <w:fldChar w:fldCharType="separate"/>
        </w:r>
        <w:r w:rsidR="006E56CB">
          <w:rPr>
            <w:webHidden/>
          </w:rPr>
          <w:t>131</w:t>
        </w:r>
        <w:r w:rsidR="00320458">
          <w:rPr>
            <w:webHidden/>
          </w:rPr>
          <w:fldChar w:fldCharType="end"/>
        </w:r>
      </w:hyperlink>
    </w:p>
    <w:p w14:paraId="0524E1E2" w14:textId="77777777" w:rsidR="00320458" w:rsidRDefault="00EE58C4" w:rsidP="00085DF0">
      <w:pPr>
        <w:pStyle w:val="TableofFigures"/>
        <w:spacing w:before="60" w:after="60"/>
        <w:rPr>
          <w:rFonts w:asciiTheme="minorHAnsi" w:eastAsiaTheme="minorEastAsia" w:hAnsiTheme="minorHAnsi" w:cstheme="minorBidi"/>
        </w:rPr>
      </w:pPr>
      <w:hyperlink w:anchor="_Toc460514711" w:history="1">
        <w:r w:rsidR="00320458" w:rsidRPr="002A3A7B">
          <w:rPr>
            <w:rStyle w:val="Hyperlink"/>
          </w:rPr>
          <w:t>Table 53</w:t>
        </w:r>
        <w:r w:rsidR="00320458">
          <w:rPr>
            <w:rFonts w:asciiTheme="minorHAnsi" w:eastAsiaTheme="minorEastAsia" w:hAnsiTheme="minorHAnsi" w:cstheme="minorBidi"/>
          </w:rPr>
          <w:tab/>
        </w:r>
        <w:r w:rsidR="00320458" w:rsidRPr="002A3A7B">
          <w:rPr>
            <w:rStyle w:val="Hyperlink"/>
          </w:rPr>
          <w:t>Local control of MTA, RFA and radiotherapy in patients with inoperable early stage NSCLC</w:t>
        </w:r>
        <w:r w:rsidR="00320458">
          <w:rPr>
            <w:webHidden/>
          </w:rPr>
          <w:tab/>
        </w:r>
        <w:r w:rsidR="00320458">
          <w:rPr>
            <w:webHidden/>
          </w:rPr>
          <w:fldChar w:fldCharType="begin"/>
        </w:r>
        <w:r w:rsidR="00320458">
          <w:rPr>
            <w:webHidden/>
          </w:rPr>
          <w:instrText xml:space="preserve"> PAGEREF _Toc460514711 \h </w:instrText>
        </w:r>
        <w:r w:rsidR="00320458">
          <w:rPr>
            <w:webHidden/>
          </w:rPr>
        </w:r>
        <w:r w:rsidR="00320458">
          <w:rPr>
            <w:webHidden/>
          </w:rPr>
          <w:fldChar w:fldCharType="separate"/>
        </w:r>
        <w:r w:rsidR="006E56CB">
          <w:rPr>
            <w:webHidden/>
          </w:rPr>
          <w:t>132</w:t>
        </w:r>
        <w:r w:rsidR="00320458">
          <w:rPr>
            <w:webHidden/>
          </w:rPr>
          <w:fldChar w:fldCharType="end"/>
        </w:r>
      </w:hyperlink>
    </w:p>
    <w:p w14:paraId="72FA4702" w14:textId="77777777" w:rsidR="00320458" w:rsidRDefault="00EE58C4" w:rsidP="00085DF0">
      <w:pPr>
        <w:pStyle w:val="TableofFigures"/>
        <w:spacing w:before="60" w:after="60"/>
        <w:rPr>
          <w:rFonts w:asciiTheme="minorHAnsi" w:eastAsiaTheme="minorEastAsia" w:hAnsiTheme="minorHAnsi" w:cstheme="minorBidi"/>
        </w:rPr>
      </w:pPr>
      <w:hyperlink w:anchor="_Toc460514712" w:history="1">
        <w:r w:rsidR="00320458" w:rsidRPr="002A3A7B">
          <w:rPr>
            <w:rStyle w:val="Hyperlink"/>
          </w:rPr>
          <w:t>Table 54</w:t>
        </w:r>
        <w:r w:rsidR="00320458">
          <w:rPr>
            <w:rFonts w:asciiTheme="minorHAnsi" w:eastAsiaTheme="minorEastAsia" w:hAnsiTheme="minorHAnsi" w:cstheme="minorBidi"/>
          </w:rPr>
          <w:tab/>
        </w:r>
        <w:r w:rsidR="00320458" w:rsidRPr="002A3A7B">
          <w:rPr>
            <w:rStyle w:val="Hyperlink"/>
          </w:rPr>
          <w:t>Overall survival reported in studies of RFA and radiotherapy in population two</w:t>
        </w:r>
        <w:r w:rsidR="00320458">
          <w:rPr>
            <w:webHidden/>
          </w:rPr>
          <w:tab/>
        </w:r>
        <w:r w:rsidR="00320458">
          <w:rPr>
            <w:webHidden/>
          </w:rPr>
          <w:fldChar w:fldCharType="begin"/>
        </w:r>
        <w:r w:rsidR="00320458">
          <w:rPr>
            <w:webHidden/>
          </w:rPr>
          <w:instrText xml:space="preserve"> PAGEREF _Toc460514712 \h </w:instrText>
        </w:r>
        <w:r w:rsidR="00320458">
          <w:rPr>
            <w:webHidden/>
          </w:rPr>
        </w:r>
        <w:r w:rsidR="00320458">
          <w:rPr>
            <w:webHidden/>
          </w:rPr>
          <w:fldChar w:fldCharType="separate"/>
        </w:r>
        <w:r w:rsidR="006E56CB">
          <w:rPr>
            <w:webHidden/>
          </w:rPr>
          <w:t>135</w:t>
        </w:r>
        <w:r w:rsidR="00320458">
          <w:rPr>
            <w:webHidden/>
          </w:rPr>
          <w:fldChar w:fldCharType="end"/>
        </w:r>
      </w:hyperlink>
    </w:p>
    <w:p w14:paraId="06830281" w14:textId="77777777" w:rsidR="00320458" w:rsidRDefault="00EE58C4" w:rsidP="00085DF0">
      <w:pPr>
        <w:pStyle w:val="TableofFigures"/>
        <w:spacing w:before="60" w:after="60"/>
        <w:rPr>
          <w:rFonts w:asciiTheme="minorHAnsi" w:eastAsiaTheme="minorEastAsia" w:hAnsiTheme="minorHAnsi" w:cstheme="minorBidi"/>
        </w:rPr>
      </w:pPr>
      <w:hyperlink w:anchor="_Toc460514713" w:history="1">
        <w:r w:rsidR="00320458" w:rsidRPr="002A3A7B">
          <w:rPr>
            <w:rStyle w:val="Hyperlink"/>
          </w:rPr>
          <w:t>Table 55</w:t>
        </w:r>
        <w:r w:rsidR="00320458">
          <w:rPr>
            <w:rFonts w:asciiTheme="minorHAnsi" w:eastAsiaTheme="minorEastAsia" w:hAnsiTheme="minorHAnsi" w:cstheme="minorBidi"/>
          </w:rPr>
          <w:tab/>
        </w:r>
        <w:r w:rsidR="00320458" w:rsidRPr="002A3A7B">
          <w:rPr>
            <w:rStyle w:val="Hyperlink"/>
          </w:rPr>
          <w:t>Median time to local progression and local progression rate (population 2)</w:t>
        </w:r>
        <w:r w:rsidR="00320458">
          <w:rPr>
            <w:webHidden/>
          </w:rPr>
          <w:tab/>
        </w:r>
        <w:r w:rsidR="00320458">
          <w:rPr>
            <w:webHidden/>
          </w:rPr>
          <w:fldChar w:fldCharType="begin"/>
        </w:r>
        <w:r w:rsidR="00320458">
          <w:rPr>
            <w:webHidden/>
          </w:rPr>
          <w:instrText xml:space="preserve"> PAGEREF _Toc460514713 \h </w:instrText>
        </w:r>
        <w:r w:rsidR="00320458">
          <w:rPr>
            <w:webHidden/>
          </w:rPr>
        </w:r>
        <w:r w:rsidR="00320458">
          <w:rPr>
            <w:webHidden/>
          </w:rPr>
          <w:fldChar w:fldCharType="separate"/>
        </w:r>
        <w:r w:rsidR="006E56CB">
          <w:rPr>
            <w:webHidden/>
          </w:rPr>
          <w:t>138</w:t>
        </w:r>
        <w:r w:rsidR="00320458">
          <w:rPr>
            <w:webHidden/>
          </w:rPr>
          <w:fldChar w:fldCharType="end"/>
        </w:r>
      </w:hyperlink>
    </w:p>
    <w:p w14:paraId="6B03BC31" w14:textId="77777777" w:rsidR="00320458" w:rsidRDefault="00EE58C4" w:rsidP="00085DF0">
      <w:pPr>
        <w:pStyle w:val="TableofFigures"/>
        <w:spacing w:before="60" w:after="60"/>
        <w:rPr>
          <w:rFonts w:asciiTheme="minorHAnsi" w:eastAsiaTheme="minorEastAsia" w:hAnsiTheme="minorHAnsi" w:cstheme="minorBidi"/>
        </w:rPr>
      </w:pPr>
      <w:hyperlink w:anchor="_Toc460514714" w:history="1">
        <w:r w:rsidR="00320458" w:rsidRPr="002A3A7B">
          <w:rPr>
            <w:rStyle w:val="Hyperlink"/>
          </w:rPr>
          <w:t>Table 56</w:t>
        </w:r>
        <w:r w:rsidR="00320458">
          <w:rPr>
            <w:rFonts w:asciiTheme="minorHAnsi" w:eastAsiaTheme="minorEastAsia" w:hAnsiTheme="minorHAnsi" w:cstheme="minorBidi"/>
          </w:rPr>
          <w:tab/>
        </w:r>
        <w:r w:rsidR="00320458" w:rsidRPr="002A3A7B">
          <w:rPr>
            <w:rStyle w:val="Hyperlink"/>
          </w:rPr>
          <w:t>Symptom improvement in lung cancer patients treated palliatively with RFA (Simon et al 2007)</w:t>
        </w:r>
        <w:r w:rsidR="00320458">
          <w:rPr>
            <w:webHidden/>
          </w:rPr>
          <w:tab/>
        </w:r>
        <w:r w:rsidR="00320458">
          <w:rPr>
            <w:webHidden/>
          </w:rPr>
          <w:fldChar w:fldCharType="begin"/>
        </w:r>
        <w:r w:rsidR="00320458">
          <w:rPr>
            <w:webHidden/>
          </w:rPr>
          <w:instrText xml:space="preserve"> PAGEREF _Toc460514714 \h </w:instrText>
        </w:r>
        <w:r w:rsidR="00320458">
          <w:rPr>
            <w:webHidden/>
          </w:rPr>
        </w:r>
        <w:r w:rsidR="00320458">
          <w:rPr>
            <w:webHidden/>
          </w:rPr>
          <w:fldChar w:fldCharType="separate"/>
        </w:r>
        <w:r w:rsidR="006E56CB">
          <w:rPr>
            <w:webHidden/>
          </w:rPr>
          <w:t>142</w:t>
        </w:r>
        <w:r w:rsidR="00320458">
          <w:rPr>
            <w:webHidden/>
          </w:rPr>
          <w:fldChar w:fldCharType="end"/>
        </w:r>
      </w:hyperlink>
    </w:p>
    <w:p w14:paraId="09579FE3" w14:textId="77777777" w:rsidR="00320458" w:rsidRDefault="00EE58C4" w:rsidP="00085DF0">
      <w:pPr>
        <w:pStyle w:val="TableofFigures"/>
        <w:spacing w:before="60" w:after="60"/>
        <w:rPr>
          <w:rFonts w:asciiTheme="minorHAnsi" w:eastAsiaTheme="minorEastAsia" w:hAnsiTheme="minorHAnsi" w:cstheme="minorBidi"/>
        </w:rPr>
      </w:pPr>
      <w:hyperlink w:anchor="_Toc460514715" w:history="1">
        <w:r w:rsidR="00320458" w:rsidRPr="002A3A7B">
          <w:rPr>
            <w:rStyle w:val="Hyperlink"/>
          </w:rPr>
          <w:t>Table 57</w:t>
        </w:r>
        <w:r w:rsidR="00320458">
          <w:rPr>
            <w:rFonts w:asciiTheme="minorHAnsi" w:eastAsiaTheme="minorEastAsia" w:hAnsiTheme="minorHAnsi" w:cstheme="minorBidi"/>
          </w:rPr>
          <w:tab/>
        </w:r>
        <w:r w:rsidR="00320458" w:rsidRPr="002A3A7B">
          <w:rPr>
            <w:rStyle w:val="Hyperlink"/>
          </w:rPr>
          <w:t>Effectiveness and quality of evidence for palliative radiotherapy regimens (Stevens et al 2015)</w:t>
        </w:r>
        <w:r w:rsidR="00320458">
          <w:rPr>
            <w:webHidden/>
          </w:rPr>
          <w:tab/>
        </w:r>
        <w:r w:rsidR="00320458">
          <w:rPr>
            <w:webHidden/>
          </w:rPr>
          <w:fldChar w:fldCharType="begin"/>
        </w:r>
        <w:r w:rsidR="00320458">
          <w:rPr>
            <w:webHidden/>
          </w:rPr>
          <w:instrText xml:space="preserve"> PAGEREF _Toc460514715 \h </w:instrText>
        </w:r>
        <w:r w:rsidR="00320458">
          <w:rPr>
            <w:webHidden/>
          </w:rPr>
        </w:r>
        <w:r w:rsidR="00320458">
          <w:rPr>
            <w:webHidden/>
          </w:rPr>
          <w:fldChar w:fldCharType="separate"/>
        </w:r>
        <w:r w:rsidR="006E56CB">
          <w:rPr>
            <w:webHidden/>
          </w:rPr>
          <w:t>142</w:t>
        </w:r>
        <w:r w:rsidR="00320458">
          <w:rPr>
            <w:webHidden/>
          </w:rPr>
          <w:fldChar w:fldCharType="end"/>
        </w:r>
      </w:hyperlink>
    </w:p>
    <w:p w14:paraId="019D7327" w14:textId="77777777" w:rsidR="00320458" w:rsidRDefault="00EE58C4" w:rsidP="00085DF0">
      <w:pPr>
        <w:pStyle w:val="TableofFigures"/>
        <w:spacing w:before="60" w:after="60"/>
        <w:rPr>
          <w:rFonts w:asciiTheme="minorHAnsi" w:eastAsiaTheme="minorEastAsia" w:hAnsiTheme="minorHAnsi" w:cstheme="minorBidi"/>
        </w:rPr>
      </w:pPr>
      <w:hyperlink w:anchor="_Toc460514716" w:history="1">
        <w:r w:rsidR="00320458" w:rsidRPr="002A3A7B">
          <w:rPr>
            <w:rStyle w:val="Hyperlink"/>
          </w:rPr>
          <w:t>Table 58</w:t>
        </w:r>
        <w:r w:rsidR="00320458">
          <w:rPr>
            <w:rFonts w:asciiTheme="minorHAnsi" w:eastAsiaTheme="minorEastAsia" w:hAnsiTheme="minorHAnsi" w:cstheme="minorBidi"/>
          </w:rPr>
          <w:tab/>
        </w:r>
        <w:r w:rsidR="00320458" w:rsidRPr="002A3A7B">
          <w:rPr>
            <w:rStyle w:val="Hyperlink"/>
            <w:rFonts w:cs="Arial"/>
            <w:snapToGrid w:val="0"/>
            <w:lang w:eastAsia="en-US"/>
          </w:rPr>
          <w:t>Balance of clinical benefits of MTA, relative to its comparators, and as measured by the patient-relevant outcomes in the key studies for population one</w:t>
        </w:r>
        <w:r w:rsidR="00320458">
          <w:rPr>
            <w:webHidden/>
          </w:rPr>
          <w:tab/>
        </w:r>
        <w:r w:rsidR="00320458">
          <w:rPr>
            <w:webHidden/>
          </w:rPr>
          <w:fldChar w:fldCharType="begin"/>
        </w:r>
        <w:r w:rsidR="00320458">
          <w:rPr>
            <w:webHidden/>
          </w:rPr>
          <w:instrText xml:space="preserve"> PAGEREF _Toc460514716 \h </w:instrText>
        </w:r>
        <w:r w:rsidR="00320458">
          <w:rPr>
            <w:webHidden/>
          </w:rPr>
        </w:r>
        <w:r w:rsidR="00320458">
          <w:rPr>
            <w:webHidden/>
          </w:rPr>
          <w:fldChar w:fldCharType="separate"/>
        </w:r>
        <w:r w:rsidR="006E56CB">
          <w:rPr>
            <w:webHidden/>
          </w:rPr>
          <w:t>144</w:t>
        </w:r>
        <w:r w:rsidR="00320458">
          <w:rPr>
            <w:webHidden/>
          </w:rPr>
          <w:fldChar w:fldCharType="end"/>
        </w:r>
      </w:hyperlink>
    </w:p>
    <w:p w14:paraId="10574EAD" w14:textId="77777777" w:rsidR="00320458" w:rsidRDefault="00EE58C4" w:rsidP="00085DF0">
      <w:pPr>
        <w:pStyle w:val="TableofFigures"/>
        <w:spacing w:before="60" w:after="60"/>
        <w:rPr>
          <w:rFonts w:asciiTheme="minorHAnsi" w:eastAsiaTheme="minorEastAsia" w:hAnsiTheme="minorHAnsi" w:cstheme="minorBidi"/>
        </w:rPr>
      </w:pPr>
      <w:hyperlink w:anchor="_Toc460514717" w:history="1">
        <w:r w:rsidR="00320458" w:rsidRPr="002A3A7B">
          <w:rPr>
            <w:rStyle w:val="Hyperlink"/>
          </w:rPr>
          <w:t>Table 59</w:t>
        </w:r>
        <w:r w:rsidR="00320458">
          <w:rPr>
            <w:rFonts w:asciiTheme="minorHAnsi" w:eastAsiaTheme="minorEastAsia" w:hAnsiTheme="minorHAnsi" w:cstheme="minorBidi"/>
          </w:rPr>
          <w:tab/>
        </w:r>
        <w:r w:rsidR="00320458" w:rsidRPr="002A3A7B">
          <w:rPr>
            <w:rStyle w:val="Hyperlink"/>
          </w:rPr>
          <w:t>Balance of clinical benefits of MTA, relative to its comparators, and as measured by the patient-relevant outcomes in the key studies for population two</w:t>
        </w:r>
        <w:r w:rsidR="00320458">
          <w:rPr>
            <w:webHidden/>
          </w:rPr>
          <w:tab/>
        </w:r>
        <w:r w:rsidR="00320458">
          <w:rPr>
            <w:webHidden/>
          </w:rPr>
          <w:fldChar w:fldCharType="begin"/>
        </w:r>
        <w:r w:rsidR="00320458">
          <w:rPr>
            <w:webHidden/>
          </w:rPr>
          <w:instrText xml:space="preserve"> PAGEREF _Toc460514717 \h </w:instrText>
        </w:r>
        <w:r w:rsidR="00320458">
          <w:rPr>
            <w:webHidden/>
          </w:rPr>
        </w:r>
        <w:r w:rsidR="00320458">
          <w:rPr>
            <w:webHidden/>
          </w:rPr>
          <w:fldChar w:fldCharType="separate"/>
        </w:r>
        <w:r w:rsidR="006E56CB">
          <w:rPr>
            <w:webHidden/>
          </w:rPr>
          <w:t>147</w:t>
        </w:r>
        <w:r w:rsidR="00320458">
          <w:rPr>
            <w:webHidden/>
          </w:rPr>
          <w:fldChar w:fldCharType="end"/>
        </w:r>
      </w:hyperlink>
    </w:p>
    <w:p w14:paraId="0071FC79" w14:textId="77777777" w:rsidR="00320458" w:rsidRDefault="00EE58C4" w:rsidP="00085DF0">
      <w:pPr>
        <w:pStyle w:val="TableofFigures"/>
        <w:spacing w:before="60" w:after="60"/>
        <w:rPr>
          <w:rFonts w:asciiTheme="minorHAnsi" w:eastAsiaTheme="minorEastAsia" w:hAnsiTheme="minorHAnsi" w:cstheme="minorBidi"/>
        </w:rPr>
      </w:pPr>
      <w:hyperlink w:anchor="_Toc460514718" w:history="1">
        <w:r w:rsidR="00320458" w:rsidRPr="002A3A7B">
          <w:rPr>
            <w:rStyle w:val="Hyperlink"/>
          </w:rPr>
          <w:t>Table 60</w:t>
        </w:r>
        <w:r w:rsidR="00320458">
          <w:rPr>
            <w:rFonts w:asciiTheme="minorHAnsi" w:eastAsiaTheme="minorEastAsia" w:hAnsiTheme="minorHAnsi" w:cstheme="minorBidi"/>
          </w:rPr>
          <w:tab/>
        </w:r>
        <w:r w:rsidR="00320458" w:rsidRPr="002A3A7B">
          <w:rPr>
            <w:rStyle w:val="Hyperlink"/>
          </w:rPr>
          <w:t>Balance of clinical benefits of MTA, relative to its comparators, and as measured by the patient-relevant outcomes in the key studies for population three</w:t>
        </w:r>
        <w:r w:rsidR="00320458">
          <w:rPr>
            <w:webHidden/>
          </w:rPr>
          <w:tab/>
        </w:r>
        <w:r w:rsidR="00320458">
          <w:rPr>
            <w:webHidden/>
          </w:rPr>
          <w:fldChar w:fldCharType="begin"/>
        </w:r>
        <w:r w:rsidR="00320458">
          <w:rPr>
            <w:webHidden/>
          </w:rPr>
          <w:instrText xml:space="preserve"> PAGEREF _Toc460514718 \h </w:instrText>
        </w:r>
        <w:r w:rsidR="00320458">
          <w:rPr>
            <w:webHidden/>
          </w:rPr>
        </w:r>
        <w:r w:rsidR="00320458">
          <w:rPr>
            <w:webHidden/>
          </w:rPr>
          <w:fldChar w:fldCharType="separate"/>
        </w:r>
        <w:r w:rsidR="006E56CB">
          <w:rPr>
            <w:webHidden/>
          </w:rPr>
          <w:t>150</w:t>
        </w:r>
        <w:r w:rsidR="00320458">
          <w:rPr>
            <w:webHidden/>
          </w:rPr>
          <w:fldChar w:fldCharType="end"/>
        </w:r>
      </w:hyperlink>
    </w:p>
    <w:p w14:paraId="2FEF60B9" w14:textId="77777777" w:rsidR="00320458" w:rsidRDefault="00EE58C4" w:rsidP="00085DF0">
      <w:pPr>
        <w:pStyle w:val="TableofFigures"/>
        <w:spacing w:before="60" w:after="60"/>
        <w:rPr>
          <w:rFonts w:asciiTheme="minorHAnsi" w:eastAsiaTheme="minorEastAsia" w:hAnsiTheme="minorHAnsi" w:cstheme="minorBidi"/>
        </w:rPr>
      </w:pPr>
      <w:hyperlink w:anchor="_Toc460514719" w:history="1">
        <w:r w:rsidR="00320458" w:rsidRPr="002A3A7B">
          <w:rPr>
            <w:rStyle w:val="Hyperlink"/>
          </w:rPr>
          <w:t>Table 61</w:t>
        </w:r>
        <w:r w:rsidR="00320458">
          <w:rPr>
            <w:rFonts w:asciiTheme="minorHAnsi" w:eastAsiaTheme="minorEastAsia" w:hAnsiTheme="minorHAnsi" w:cstheme="minorBidi"/>
          </w:rPr>
          <w:tab/>
        </w:r>
        <w:r w:rsidR="00320458" w:rsidRPr="002A3A7B">
          <w:rPr>
            <w:rStyle w:val="Hyperlink"/>
          </w:rPr>
          <w:t>Balance of clinical harms associated with MTA relative to its comparators, and as measured by the patient-relevant outcomes in the key studies</w:t>
        </w:r>
        <w:r w:rsidR="00320458">
          <w:rPr>
            <w:webHidden/>
          </w:rPr>
          <w:tab/>
        </w:r>
        <w:r w:rsidR="00320458">
          <w:rPr>
            <w:webHidden/>
          </w:rPr>
          <w:fldChar w:fldCharType="begin"/>
        </w:r>
        <w:r w:rsidR="00320458">
          <w:rPr>
            <w:webHidden/>
          </w:rPr>
          <w:instrText xml:space="preserve"> PAGEREF _Toc460514719 \h </w:instrText>
        </w:r>
        <w:r w:rsidR="00320458">
          <w:rPr>
            <w:webHidden/>
          </w:rPr>
        </w:r>
        <w:r w:rsidR="00320458">
          <w:rPr>
            <w:webHidden/>
          </w:rPr>
          <w:fldChar w:fldCharType="separate"/>
        </w:r>
        <w:r w:rsidR="006E56CB">
          <w:rPr>
            <w:webHidden/>
          </w:rPr>
          <w:t>151</w:t>
        </w:r>
        <w:r w:rsidR="00320458">
          <w:rPr>
            <w:webHidden/>
          </w:rPr>
          <w:fldChar w:fldCharType="end"/>
        </w:r>
      </w:hyperlink>
    </w:p>
    <w:p w14:paraId="0D5E623B" w14:textId="77777777" w:rsidR="00320458" w:rsidRDefault="00EE58C4" w:rsidP="00085DF0">
      <w:pPr>
        <w:pStyle w:val="TableofFigures"/>
        <w:spacing w:before="60" w:after="60"/>
        <w:rPr>
          <w:rFonts w:asciiTheme="minorHAnsi" w:eastAsiaTheme="minorEastAsia" w:hAnsiTheme="minorHAnsi" w:cstheme="minorBidi"/>
        </w:rPr>
      </w:pPr>
      <w:hyperlink w:anchor="_Toc460514720" w:history="1">
        <w:r w:rsidR="00320458" w:rsidRPr="002A3A7B">
          <w:rPr>
            <w:rStyle w:val="Hyperlink"/>
          </w:rPr>
          <w:t>Table 62</w:t>
        </w:r>
        <w:r w:rsidR="00320458">
          <w:rPr>
            <w:rFonts w:asciiTheme="minorHAnsi" w:eastAsiaTheme="minorEastAsia" w:hAnsiTheme="minorHAnsi" w:cstheme="minorBidi"/>
          </w:rPr>
          <w:tab/>
        </w:r>
        <w:r w:rsidR="00320458" w:rsidRPr="002A3A7B">
          <w:rPr>
            <w:rStyle w:val="Hyperlink"/>
          </w:rPr>
          <w:t>Classification of the comparative effectiveness and safety of the proposed therapeutic medical service compared with its main comparator and guide to the suitable type of economic evaluation</w:t>
        </w:r>
        <w:r w:rsidR="00320458">
          <w:rPr>
            <w:webHidden/>
          </w:rPr>
          <w:tab/>
        </w:r>
        <w:r w:rsidR="00320458">
          <w:rPr>
            <w:webHidden/>
          </w:rPr>
          <w:fldChar w:fldCharType="begin"/>
        </w:r>
        <w:r w:rsidR="00320458">
          <w:rPr>
            <w:webHidden/>
          </w:rPr>
          <w:instrText xml:space="preserve"> PAGEREF _Toc460514720 \h </w:instrText>
        </w:r>
        <w:r w:rsidR="00320458">
          <w:rPr>
            <w:webHidden/>
          </w:rPr>
        </w:r>
        <w:r w:rsidR="00320458">
          <w:rPr>
            <w:webHidden/>
          </w:rPr>
          <w:fldChar w:fldCharType="separate"/>
        </w:r>
        <w:r w:rsidR="006E56CB">
          <w:rPr>
            <w:webHidden/>
          </w:rPr>
          <w:t>155</w:t>
        </w:r>
        <w:r w:rsidR="00320458">
          <w:rPr>
            <w:webHidden/>
          </w:rPr>
          <w:fldChar w:fldCharType="end"/>
        </w:r>
      </w:hyperlink>
    </w:p>
    <w:p w14:paraId="78EB1D90" w14:textId="77777777" w:rsidR="00320458" w:rsidRDefault="00EE58C4" w:rsidP="00085DF0">
      <w:pPr>
        <w:pStyle w:val="TableofFigures"/>
        <w:spacing w:before="60" w:after="60"/>
        <w:rPr>
          <w:rFonts w:asciiTheme="minorHAnsi" w:eastAsiaTheme="minorEastAsia" w:hAnsiTheme="minorHAnsi" w:cstheme="minorBidi"/>
        </w:rPr>
      </w:pPr>
      <w:hyperlink w:anchor="_Toc460514721" w:history="1">
        <w:r w:rsidR="00320458" w:rsidRPr="002A3A7B">
          <w:rPr>
            <w:rStyle w:val="Hyperlink"/>
          </w:rPr>
          <w:t>Table 63</w:t>
        </w:r>
        <w:r w:rsidR="00320458">
          <w:rPr>
            <w:rFonts w:asciiTheme="minorHAnsi" w:eastAsiaTheme="minorEastAsia" w:hAnsiTheme="minorHAnsi" w:cstheme="minorBidi"/>
          </w:rPr>
          <w:tab/>
        </w:r>
        <w:r w:rsidR="00320458" w:rsidRPr="002A3A7B">
          <w:rPr>
            <w:rStyle w:val="Hyperlink"/>
          </w:rPr>
          <w:t xml:space="preserve"> Summary of evidence for MTA versus comparator(s)</w:t>
        </w:r>
        <w:r w:rsidR="00320458">
          <w:rPr>
            <w:webHidden/>
          </w:rPr>
          <w:tab/>
        </w:r>
        <w:r w:rsidR="00320458">
          <w:rPr>
            <w:webHidden/>
          </w:rPr>
          <w:fldChar w:fldCharType="begin"/>
        </w:r>
        <w:r w:rsidR="00320458">
          <w:rPr>
            <w:webHidden/>
          </w:rPr>
          <w:instrText xml:space="preserve"> PAGEREF _Toc460514721 \h </w:instrText>
        </w:r>
        <w:r w:rsidR="00320458">
          <w:rPr>
            <w:webHidden/>
          </w:rPr>
        </w:r>
        <w:r w:rsidR="00320458">
          <w:rPr>
            <w:webHidden/>
          </w:rPr>
          <w:fldChar w:fldCharType="separate"/>
        </w:r>
        <w:r w:rsidR="006E56CB">
          <w:rPr>
            <w:webHidden/>
          </w:rPr>
          <w:t>156</w:t>
        </w:r>
        <w:r w:rsidR="00320458">
          <w:rPr>
            <w:webHidden/>
          </w:rPr>
          <w:fldChar w:fldCharType="end"/>
        </w:r>
      </w:hyperlink>
    </w:p>
    <w:p w14:paraId="6EDA1CFD" w14:textId="77777777" w:rsidR="00320458" w:rsidRDefault="00EE58C4" w:rsidP="00085DF0">
      <w:pPr>
        <w:pStyle w:val="TableofFigures"/>
        <w:spacing w:before="60" w:after="60"/>
        <w:rPr>
          <w:rFonts w:asciiTheme="minorHAnsi" w:eastAsiaTheme="minorEastAsia" w:hAnsiTheme="minorHAnsi" w:cstheme="minorBidi"/>
        </w:rPr>
      </w:pPr>
      <w:hyperlink w:anchor="_Toc460514722" w:history="1">
        <w:r w:rsidR="00320458" w:rsidRPr="002A3A7B">
          <w:rPr>
            <w:rStyle w:val="Hyperlink"/>
          </w:rPr>
          <w:t>Table 64</w:t>
        </w:r>
        <w:r w:rsidR="00320458">
          <w:rPr>
            <w:rFonts w:asciiTheme="minorHAnsi" w:eastAsiaTheme="minorEastAsia" w:hAnsiTheme="minorHAnsi" w:cstheme="minorBidi"/>
          </w:rPr>
          <w:tab/>
        </w:r>
        <w:r w:rsidR="00320458" w:rsidRPr="002A3A7B">
          <w:rPr>
            <w:rStyle w:val="Hyperlink"/>
          </w:rPr>
          <w:t>Populations and comparators</w:t>
        </w:r>
        <w:r w:rsidR="00320458">
          <w:rPr>
            <w:webHidden/>
          </w:rPr>
          <w:tab/>
        </w:r>
        <w:r w:rsidR="00320458">
          <w:rPr>
            <w:webHidden/>
          </w:rPr>
          <w:fldChar w:fldCharType="begin"/>
        </w:r>
        <w:r w:rsidR="00320458">
          <w:rPr>
            <w:webHidden/>
          </w:rPr>
          <w:instrText xml:space="preserve"> PAGEREF _Toc460514722 \h </w:instrText>
        </w:r>
        <w:r w:rsidR="00320458">
          <w:rPr>
            <w:webHidden/>
          </w:rPr>
        </w:r>
        <w:r w:rsidR="00320458">
          <w:rPr>
            <w:webHidden/>
          </w:rPr>
          <w:fldChar w:fldCharType="separate"/>
        </w:r>
        <w:r w:rsidR="006E56CB">
          <w:rPr>
            <w:webHidden/>
          </w:rPr>
          <w:t>159</w:t>
        </w:r>
        <w:r w:rsidR="00320458">
          <w:rPr>
            <w:webHidden/>
          </w:rPr>
          <w:fldChar w:fldCharType="end"/>
        </w:r>
      </w:hyperlink>
    </w:p>
    <w:p w14:paraId="40970388" w14:textId="77777777" w:rsidR="00320458" w:rsidRDefault="00EE58C4" w:rsidP="00085DF0">
      <w:pPr>
        <w:pStyle w:val="TableofFigures"/>
        <w:spacing w:before="60" w:after="60"/>
        <w:rPr>
          <w:rFonts w:asciiTheme="minorHAnsi" w:eastAsiaTheme="minorEastAsia" w:hAnsiTheme="minorHAnsi" w:cstheme="minorBidi"/>
        </w:rPr>
      </w:pPr>
      <w:hyperlink w:anchor="_Toc460514723" w:history="1">
        <w:r w:rsidR="00320458" w:rsidRPr="002A3A7B">
          <w:rPr>
            <w:rStyle w:val="Hyperlink"/>
          </w:rPr>
          <w:t>Table 65</w:t>
        </w:r>
        <w:r w:rsidR="00320458">
          <w:rPr>
            <w:rFonts w:asciiTheme="minorHAnsi" w:eastAsiaTheme="minorEastAsia" w:hAnsiTheme="minorHAnsi" w:cstheme="minorBidi"/>
          </w:rPr>
          <w:tab/>
        </w:r>
        <w:r w:rsidR="00320458" w:rsidRPr="002A3A7B">
          <w:rPr>
            <w:rStyle w:val="Hyperlink"/>
          </w:rPr>
          <w:t>Summary of the economic evaluation</w:t>
        </w:r>
        <w:r w:rsidR="00320458">
          <w:rPr>
            <w:webHidden/>
          </w:rPr>
          <w:tab/>
        </w:r>
        <w:r w:rsidR="00320458">
          <w:rPr>
            <w:webHidden/>
          </w:rPr>
          <w:fldChar w:fldCharType="begin"/>
        </w:r>
        <w:r w:rsidR="00320458">
          <w:rPr>
            <w:webHidden/>
          </w:rPr>
          <w:instrText xml:space="preserve"> PAGEREF _Toc460514723 \h </w:instrText>
        </w:r>
        <w:r w:rsidR="00320458">
          <w:rPr>
            <w:webHidden/>
          </w:rPr>
        </w:r>
        <w:r w:rsidR="00320458">
          <w:rPr>
            <w:webHidden/>
          </w:rPr>
          <w:fldChar w:fldCharType="separate"/>
        </w:r>
        <w:r w:rsidR="006E56CB">
          <w:rPr>
            <w:webHidden/>
          </w:rPr>
          <w:t>161</w:t>
        </w:r>
        <w:r w:rsidR="00320458">
          <w:rPr>
            <w:webHidden/>
          </w:rPr>
          <w:fldChar w:fldCharType="end"/>
        </w:r>
      </w:hyperlink>
    </w:p>
    <w:p w14:paraId="7C6F485A" w14:textId="77777777" w:rsidR="00320458" w:rsidRDefault="00EE58C4" w:rsidP="00085DF0">
      <w:pPr>
        <w:pStyle w:val="TableofFigures"/>
        <w:spacing w:before="60" w:after="60"/>
        <w:rPr>
          <w:rFonts w:asciiTheme="minorHAnsi" w:eastAsiaTheme="minorEastAsia" w:hAnsiTheme="minorHAnsi" w:cstheme="minorBidi"/>
        </w:rPr>
      </w:pPr>
      <w:hyperlink w:anchor="_Toc460514724" w:history="1">
        <w:r w:rsidR="00320458" w:rsidRPr="002A3A7B">
          <w:rPr>
            <w:rStyle w:val="Hyperlink"/>
          </w:rPr>
          <w:t>Table 66</w:t>
        </w:r>
        <w:r w:rsidR="00320458">
          <w:rPr>
            <w:rFonts w:asciiTheme="minorHAnsi" w:eastAsiaTheme="minorEastAsia" w:hAnsiTheme="minorHAnsi" w:cstheme="minorBidi"/>
          </w:rPr>
          <w:tab/>
        </w:r>
        <w:r w:rsidR="00320458" w:rsidRPr="002A3A7B">
          <w:rPr>
            <w:rStyle w:val="Hyperlink"/>
          </w:rPr>
          <w:t>Summary of published economic evaluation of MTA, RFA, surgery and RT to treat lung cancer</w:t>
        </w:r>
        <w:r w:rsidR="00320458">
          <w:rPr>
            <w:webHidden/>
          </w:rPr>
          <w:tab/>
        </w:r>
        <w:r w:rsidR="00320458">
          <w:rPr>
            <w:webHidden/>
          </w:rPr>
          <w:fldChar w:fldCharType="begin"/>
        </w:r>
        <w:r w:rsidR="00320458">
          <w:rPr>
            <w:webHidden/>
          </w:rPr>
          <w:instrText xml:space="preserve"> PAGEREF _Toc460514724 \h </w:instrText>
        </w:r>
        <w:r w:rsidR="00320458">
          <w:rPr>
            <w:webHidden/>
          </w:rPr>
        </w:r>
        <w:r w:rsidR="00320458">
          <w:rPr>
            <w:webHidden/>
          </w:rPr>
          <w:fldChar w:fldCharType="separate"/>
        </w:r>
        <w:r w:rsidR="006E56CB">
          <w:rPr>
            <w:webHidden/>
          </w:rPr>
          <w:t>164</w:t>
        </w:r>
        <w:r w:rsidR="00320458">
          <w:rPr>
            <w:webHidden/>
          </w:rPr>
          <w:fldChar w:fldCharType="end"/>
        </w:r>
      </w:hyperlink>
    </w:p>
    <w:p w14:paraId="54379DA1" w14:textId="77777777" w:rsidR="00320458" w:rsidRDefault="00EE58C4" w:rsidP="00085DF0">
      <w:pPr>
        <w:pStyle w:val="TableofFigures"/>
        <w:spacing w:before="60" w:after="60"/>
        <w:rPr>
          <w:rFonts w:asciiTheme="minorHAnsi" w:eastAsiaTheme="minorEastAsia" w:hAnsiTheme="minorHAnsi" w:cstheme="minorBidi"/>
        </w:rPr>
      </w:pPr>
      <w:hyperlink w:anchor="_Toc460514725" w:history="1">
        <w:r w:rsidR="00320458" w:rsidRPr="002A3A7B">
          <w:rPr>
            <w:rStyle w:val="Hyperlink"/>
          </w:rPr>
          <w:t>Table 67</w:t>
        </w:r>
        <w:r w:rsidR="00320458">
          <w:rPr>
            <w:rFonts w:asciiTheme="minorHAnsi" w:eastAsiaTheme="minorEastAsia" w:hAnsiTheme="minorHAnsi" w:cstheme="minorBidi"/>
          </w:rPr>
          <w:tab/>
        </w:r>
        <w:r w:rsidR="00320458" w:rsidRPr="002A3A7B">
          <w:rPr>
            <w:rStyle w:val="Hyperlink"/>
          </w:rPr>
          <w:t>Summary of key structural parameters and assumptions used</w:t>
        </w:r>
        <w:r w:rsidR="00320458">
          <w:rPr>
            <w:webHidden/>
          </w:rPr>
          <w:tab/>
        </w:r>
        <w:r w:rsidR="00320458">
          <w:rPr>
            <w:webHidden/>
          </w:rPr>
          <w:fldChar w:fldCharType="begin"/>
        </w:r>
        <w:r w:rsidR="00320458">
          <w:rPr>
            <w:webHidden/>
          </w:rPr>
          <w:instrText xml:space="preserve"> PAGEREF _Toc460514725 \h </w:instrText>
        </w:r>
        <w:r w:rsidR="00320458">
          <w:rPr>
            <w:webHidden/>
          </w:rPr>
        </w:r>
        <w:r w:rsidR="00320458">
          <w:rPr>
            <w:webHidden/>
          </w:rPr>
          <w:fldChar w:fldCharType="separate"/>
        </w:r>
        <w:r w:rsidR="006E56CB">
          <w:rPr>
            <w:webHidden/>
          </w:rPr>
          <w:t>168</w:t>
        </w:r>
        <w:r w:rsidR="00320458">
          <w:rPr>
            <w:webHidden/>
          </w:rPr>
          <w:fldChar w:fldCharType="end"/>
        </w:r>
      </w:hyperlink>
    </w:p>
    <w:p w14:paraId="74A709C5" w14:textId="77777777" w:rsidR="00320458" w:rsidRDefault="00EE58C4" w:rsidP="00085DF0">
      <w:pPr>
        <w:pStyle w:val="TableofFigures"/>
        <w:spacing w:before="60" w:after="60"/>
        <w:rPr>
          <w:rFonts w:asciiTheme="minorHAnsi" w:eastAsiaTheme="minorEastAsia" w:hAnsiTheme="minorHAnsi" w:cstheme="minorBidi"/>
        </w:rPr>
      </w:pPr>
      <w:hyperlink w:anchor="_Toc460514726" w:history="1">
        <w:r w:rsidR="00320458" w:rsidRPr="002A3A7B">
          <w:rPr>
            <w:rStyle w:val="Hyperlink"/>
          </w:rPr>
          <w:t>Table 68</w:t>
        </w:r>
        <w:r w:rsidR="00320458">
          <w:rPr>
            <w:rFonts w:asciiTheme="minorHAnsi" w:eastAsiaTheme="minorEastAsia" w:hAnsiTheme="minorHAnsi" w:cstheme="minorBidi"/>
          </w:rPr>
          <w:tab/>
        </w:r>
        <w:r w:rsidR="00320458" w:rsidRPr="002A3A7B">
          <w:rPr>
            <w:rStyle w:val="Hyperlink"/>
          </w:rPr>
          <w:t>Resources associated with MTA</w:t>
        </w:r>
        <w:r w:rsidR="00320458">
          <w:rPr>
            <w:webHidden/>
          </w:rPr>
          <w:tab/>
        </w:r>
        <w:r w:rsidR="00320458">
          <w:rPr>
            <w:webHidden/>
          </w:rPr>
          <w:fldChar w:fldCharType="begin"/>
        </w:r>
        <w:r w:rsidR="00320458">
          <w:rPr>
            <w:webHidden/>
          </w:rPr>
          <w:instrText xml:space="preserve"> PAGEREF _Toc460514726 \h </w:instrText>
        </w:r>
        <w:r w:rsidR="00320458">
          <w:rPr>
            <w:webHidden/>
          </w:rPr>
        </w:r>
        <w:r w:rsidR="00320458">
          <w:rPr>
            <w:webHidden/>
          </w:rPr>
          <w:fldChar w:fldCharType="separate"/>
        </w:r>
        <w:r w:rsidR="006E56CB">
          <w:rPr>
            <w:webHidden/>
          </w:rPr>
          <w:t>170</w:t>
        </w:r>
        <w:r w:rsidR="00320458">
          <w:rPr>
            <w:webHidden/>
          </w:rPr>
          <w:fldChar w:fldCharType="end"/>
        </w:r>
      </w:hyperlink>
    </w:p>
    <w:p w14:paraId="472EB411" w14:textId="77777777" w:rsidR="00320458" w:rsidRDefault="00EE58C4" w:rsidP="00085DF0">
      <w:pPr>
        <w:pStyle w:val="TableofFigures"/>
        <w:spacing w:before="60" w:after="60"/>
        <w:rPr>
          <w:rFonts w:asciiTheme="minorHAnsi" w:eastAsiaTheme="minorEastAsia" w:hAnsiTheme="minorHAnsi" w:cstheme="minorBidi"/>
        </w:rPr>
      </w:pPr>
      <w:hyperlink w:anchor="_Toc460514727" w:history="1">
        <w:r w:rsidR="00320458" w:rsidRPr="002A3A7B">
          <w:rPr>
            <w:rStyle w:val="Hyperlink"/>
          </w:rPr>
          <w:t>Table 69</w:t>
        </w:r>
        <w:r w:rsidR="00320458">
          <w:rPr>
            <w:rFonts w:asciiTheme="minorHAnsi" w:eastAsiaTheme="minorEastAsia" w:hAnsiTheme="minorHAnsi" w:cstheme="minorBidi"/>
          </w:rPr>
          <w:tab/>
        </w:r>
        <w:r w:rsidR="00320458" w:rsidRPr="002A3A7B">
          <w:rPr>
            <w:rStyle w:val="Hyperlink"/>
          </w:rPr>
          <w:t>Summary of the key assumptions relating to major adverse events</w:t>
        </w:r>
        <w:r w:rsidR="00320458">
          <w:rPr>
            <w:webHidden/>
          </w:rPr>
          <w:tab/>
        </w:r>
        <w:r w:rsidR="00320458">
          <w:rPr>
            <w:webHidden/>
          </w:rPr>
          <w:fldChar w:fldCharType="begin"/>
        </w:r>
        <w:r w:rsidR="00320458">
          <w:rPr>
            <w:webHidden/>
          </w:rPr>
          <w:instrText xml:space="preserve"> PAGEREF _Toc460514727 \h </w:instrText>
        </w:r>
        <w:r w:rsidR="00320458">
          <w:rPr>
            <w:webHidden/>
          </w:rPr>
        </w:r>
        <w:r w:rsidR="00320458">
          <w:rPr>
            <w:webHidden/>
          </w:rPr>
          <w:fldChar w:fldCharType="separate"/>
        </w:r>
        <w:r w:rsidR="006E56CB">
          <w:rPr>
            <w:webHidden/>
          </w:rPr>
          <w:t>175</w:t>
        </w:r>
        <w:r w:rsidR="00320458">
          <w:rPr>
            <w:webHidden/>
          </w:rPr>
          <w:fldChar w:fldCharType="end"/>
        </w:r>
      </w:hyperlink>
    </w:p>
    <w:p w14:paraId="65BEC06C" w14:textId="77777777" w:rsidR="00320458" w:rsidRDefault="00EE58C4" w:rsidP="00085DF0">
      <w:pPr>
        <w:pStyle w:val="TableofFigures"/>
        <w:spacing w:before="60" w:after="60"/>
        <w:rPr>
          <w:rFonts w:asciiTheme="minorHAnsi" w:eastAsiaTheme="minorEastAsia" w:hAnsiTheme="minorHAnsi" w:cstheme="minorBidi"/>
        </w:rPr>
      </w:pPr>
      <w:hyperlink w:anchor="_Toc460514728" w:history="1">
        <w:r w:rsidR="00320458" w:rsidRPr="002A3A7B">
          <w:rPr>
            <w:rStyle w:val="Hyperlink"/>
          </w:rPr>
          <w:t>Table 70</w:t>
        </w:r>
        <w:r w:rsidR="00320458">
          <w:rPr>
            <w:rFonts w:asciiTheme="minorHAnsi" w:eastAsiaTheme="minorEastAsia" w:hAnsiTheme="minorHAnsi" w:cstheme="minorBidi"/>
          </w:rPr>
          <w:tab/>
        </w:r>
        <w:r w:rsidR="00320458" w:rsidRPr="002A3A7B">
          <w:rPr>
            <w:rStyle w:val="Hyperlink"/>
          </w:rPr>
          <w:t>Resources associated with SBRT</w:t>
        </w:r>
        <w:r w:rsidR="00320458">
          <w:rPr>
            <w:webHidden/>
          </w:rPr>
          <w:tab/>
        </w:r>
        <w:r w:rsidR="00320458">
          <w:rPr>
            <w:webHidden/>
          </w:rPr>
          <w:fldChar w:fldCharType="begin"/>
        </w:r>
        <w:r w:rsidR="00320458">
          <w:rPr>
            <w:webHidden/>
          </w:rPr>
          <w:instrText xml:space="preserve"> PAGEREF _Toc460514728 \h </w:instrText>
        </w:r>
        <w:r w:rsidR="00320458">
          <w:rPr>
            <w:webHidden/>
          </w:rPr>
        </w:r>
        <w:r w:rsidR="00320458">
          <w:rPr>
            <w:webHidden/>
          </w:rPr>
          <w:fldChar w:fldCharType="separate"/>
        </w:r>
        <w:r w:rsidR="006E56CB">
          <w:rPr>
            <w:webHidden/>
          </w:rPr>
          <w:t>177</w:t>
        </w:r>
        <w:r w:rsidR="00320458">
          <w:rPr>
            <w:webHidden/>
          </w:rPr>
          <w:fldChar w:fldCharType="end"/>
        </w:r>
      </w:hyperlink>
    </w:p>
    <w:p w14:paraId="61E8DDAD" w14:textId="77777777" w:rsidR="00320458" w:rsidRDefault="00EE58C4" w:rsidP="00085DF0">
      <w:pPr>
        <w:pStyle w:val="TableofFigures"/>
        <w:spacing w:before="60" w:after="60"/>
        <w:rPr>
          <w:rFonts w:asciiTheme="minorHAnsi" w:eastAsiaTheme="minorEastAsia" w:hAnsiTheme="minorHAnsi" w:cstheme="minorBidi"/>
        </w:rPr>
      </w:pPr>
      <w:hyperlink w:anchor="_Toc460514729" w:history="1">
        <w:r w:rsidR="00320458" w:rsidRPr="002A3A7B">
          <w:rPr>
            <w:rStyle w:val="Hyperlink"/>
          </w:rPr>
          <w:t>Table 71</w:t>
        </w:r>
        <w:r w:rsidR="00320458">
          <w:rPr>
            <w:rFonts w:asciiTheme="minorHAnsi" w:eastAsiaTheme="minorEastAsia" w:hAnsiTheme="minorHAnsi" w:cstheme="minorBidi"/>
          </w:rPr>
          <w:tab/>
        </w:r>
        <w:r w:rsidR="00320458" w:rsidRPr="002A3A7B">
          <w:rPr>
            <w:rStyle w:val="Hyperlink"/>
          </w:rPr>
          <w:t>Costs associated with lung wedge surgery for pulmonary oligometastases</w:t>
        </w:r>
        <w:r w:rsidR="00320458">
          <w:rPr>
            <w:webHidden/>
          </w:rPr>
          <w:tab/>
        </w:r>
        <w:r w:rsidR="00320458">
          <w:rPr>
            <w:webHidden/>
          </w:rPr>
          <w:fldChar w:fldCharType="begin"/>
        </w:r>
        <w:r w:rsidR="00320458">
          <w:rPr>
            <w:webHidden/>
          </w:rPr>
          <w:instrText xml:space="preserve"> PAGEREF _Toc460514729 \h </w:instrText>
        </w:r>
        <w:r w:rsidR="00320458">
          <w:rPr>
            <w:webHidden/>
          </w:rPr>
        </w:r>
        <w:r w:rsidR="00320458">
          <w:rPr>
            <w:webHidden/>
          </w:rPr>
          <w:fldChar w:fldCharType="separate"/>
        </w:r>
        <w:r w:rsidR="006E56CB">
          <w:rPr>
            <w:webHidden/>
          </w:rPr>
          <w:t>181</w:t>
        </w:r>
        <w:r w:rsidR="00320458">
          <w:rPr>
            <w:webHidden/>
          </w:rPr>
          <w:fldChar w:fldCharType="end"/>
        </w:r>
      </w:hyperlink>
    </w:p>
    <w:p w14:paraId="3D8D2C03" w14:textId="77777777" w:rsidR="00320458" w:rsidRDefault="00EE58C4" w:rsidP="00085DF0">
      <w:pPr>
        <w:pStyle w:val="TableofFigures"/>
        <w:spacing w:before="60" w:after="60"/>
        <w:rPr>
          <w:rFonts w:asciiTheme="minorHAnsi" w:eastAsiaTheme="minorEastAsia" w:hAnsiTheme="minorHAnsi" w:cstheme="minorBidi"/>
        </w:rPr>
      </w:pPr>
      <w:hyperlink w:anchor="_Toc460514730" w:history="1">
        <w:r w:rsidR="00320458" w:rsidRPr="002A3A7B">
          <w:rPr>
            <w:rStyle w:val="Hyperlink"/>
          </w:rPr>
          <w:t>Table 72</w:t>
        </w:r>
        <w:r w:rsidR="00320458">
          <w:rPr>
            <w:rFonts w:asciiTheme="minorHAnsi" w:eastAsiaTheme="minorEastAsia" w:hAnsiTheme="minorHAnsi" w:cstheme="minorBidi"/>
          </w:rPr>
          <w:tab/>
        </w:r>
        <w:r w:rsidR="00320458" w:rsidRPr="002A3A7B">
          <w:rPr>
            <w:rStyle w:val="Hyperlink"/>
          </w:rPr>
          <w:t>Health care costs per patients (3 months) for base-case analysis</w:t>
        </w:r>
        <w:r w:rsidR="00320458">
          <w:rPr>
            <w:webHidden/>
          </w:rPr>
          <w:tab/>
        </w:r>
        <w:r w:rsidR="00320458">
          <w:rPr>
            <w:webHidden/>
          </w:rPr>
          <w:fldChar w:fldCharType="begin"/>
        </w:r>
        <w:r w:rsidR="00320458">
          <w:rPr>
            <w:webHidden/>
          </w:rPr>
          <w:instrText xml:space="preserve"> PAGEREF _Toc460514730 \h </w:instrText>
        </w:r>
        <w:r w:rsidR="00320458">
          <w:rPr>
            <w:webHidden/>
          </w:rPr>
        </w:r>
        <w:r w:rsidR="00320458">
          <w:rPr>
            <w:webHidden/>
          </w:rPr>
          <w:fldChar w:fldCharType="separate"/>
        </w:r>
        <w:r w:rsidR="006E56CB">
          <w:rPr>
            <w:webHidden/>
          </w:rPr>
          <w:t>185</w:t>
        </w:r>
        <w:r w:rsidR="00320458">
          <w:rPr>
            <w:webHidden/>
          </w:rPr>
          <w:fldChar w:fldCharType="end"/>
        </w:r>
      </w:hyperlink>
    </w:p>
    <w:p w14:paraId="6BDE33B9" w14:textId="77777777" w:rsidR="00320458" w:rsidRDefault="00EE58C4" w:rsidP="00085DF0">
      <w:pPr>
        <w:pStyle w:val="TableofFigures"/>
        <w:spacing w:before="60" w:after="60"/>
        <w:rPr>
          <w:rFonts w:asciiTheme="minorHAnsi" w:eastAsiaTheme="minorEastAsia" w:hAnsiTheme="minorHAnsi" w:cstheme="minorBidi"/>
        </w:rPr>
      </w:pPr>
      <w:hyperlink w:anchor="_Toc460514731" w:history="1">
        <w:r w:rsidR="00320458" w:rsidRPr="002A3A7B">
          <w:rPr>
            <w:rStyle w:val="Hyperlink"/>
          </w:rPr>
          <w:t>Table 73</w:t>
        </w:r>
        <w:r w:rsidR="00320458">
          <w:rPr>
            <w:rFonts w:asciiTheme="minorHAnsi" w:eastAsiaTheme="minorEastAsia" w:hAnsiTheme="minorHAnsi" w:cstheme="minorBidi"/>
          </w:rPr>
          <w:tab/>
        </w:r>
        <w:r w:rsidR="00320458" w:rsidRPr="002A3A7B">
          <w:rPr>
            <w:rStyle w:val="Hyperlink"/>
          </w:rPr>
          <w:t>Average costs one-way sensitivity analysis of MTA versus SBRT, populations one and two, &lt;3 lesions</w:t>
        </w:r>
        <w:r w:rsidR="00320458">
          <w:rPr>
            <w:webHidden/>
          </w:rPr>
          <w:tab/>
        </w:r>
        <w:r w:rsidR="00320458">
          <w:rPr>
            <w:webHidden/>
          </w:rPr>
          <w:fldChar w:fldCharType="begin"/>
        </w:r>
        <w:r w:rsidR="00320458">
          <w:rPr>
            <w:webHidden/>
          </w:rPr>
          <w:instrText xml:space="preserve"> PAGEREF _Toc460514731 \h </w:instrText>
        </w:r>
        <w:r w:rsidR="00320458">
          <w:rPr>
            <w:webHidden/>
          </w:rPr>
        </w:r>
        <w:r w:rsidR="00320458">
          <w:rPr>
            <w:webHidden/>
          </w:rPr>
          <w:fldChar w:fldCharType="separate"/>
        </w:r>
        <w:r w:rsidR="006E56CB">
          <w:rPr>
            <w:webHidden/>
          </w:rPr>
          <w:t>187</w:t>
        </w:r>
        <w:r w:rsidR="00320458">
          <w:rPr>
            <w:webHidden/>
          </w:rPr>
          <w:fldChar w:fldCharType="end"/>
        </w:r>
      </w:hyperlink>
    </w:p>
    <w:p w14:paraId="467328BB" w14:textId="77777777" w:rsidR="00320458" w:rsidRDefault="00EE58C4" w:rsidP="00085DF0">
      <w:pPr>
        <w:pStyle w:val="TableofFigures"/>
        <w:spacing w:before="60" w:after="60"/>
        <w:rPr>
          <w:rFonts w:asciiTheme="minorHAnsi" w:eastAsiaTheme="minorEastAsia" w:hAnsiTheme="minorHAnsi" w:cstheme="minorBidi"/>
        </w:rPr>
      </w:pPr>
      <w:hyperlink w:anchor="_Toc460514732" w:history="1">
        <w:r w:rsidR="00320458" w:rsidRPr="002A3A7B">
          <w:rPr>
            <w:rStyle w:val="Hyperlink"/>
          </w:rPr>
          <w:t>Table 74</w:t>
        </w:r>
        <w:r w:rsidR="00320458">
          <w:rPr>
            <w:rFonts w:asciiTheme="minorHAnsi" w:eastAsiaTheme="minorEastAsia" w:hAnsiTheme="minorHAnsi" w:cstheme="minorBidi"/>
          </w:rPr>
          <w:tab/>
        </w:r>
        <w:r w:rsidR="00320458" w:rsidRPr="002A3A7B">
          <w:rPr>
            <w:rStyle w:val="Hyperlink"/>
          </w:rPr>
          <w:t>Average costs one-way sensitivity analysis of MTA versus SBRT, populations one and two, and 3–5 lesions</w:t>
        </w:r>
        <w:r w:rsidR="00320458">
          <w:rPr>
            <w:webHidden/>
          </w:rPr>
          <w:tab/>
        </w:r>
        <w:r w:rsidR="00320458">
          <w:rPr>
            <w:webHidden/>
          </w:rPr>
          <w:fldChar w:fldCharType="begin"/>
        </w:r>
        <w:r w:rsidR="00320458">
          <w:rPr>
            <w:webHidden/>
          </w:rPr>
          <w:instrText xml:space="preserve"> PAGEREF _Toc460514732 \h </w:instrText>
        </w:r>
        <w:r w:rsidR="00320458">
          <w:rPr>
            <w:webHidden/>
          </w:rPr>
        </w:r>
        <w:r w:rsidR="00320458">
          <w:rPr>
            <w:webHidden/>
          </w:rPr>
          <w:fldChar w:fldCharType="separate"/>
        </w:r>
        <w:r w:rsidR="006E56CB">
          <w:rPr>
            <w:webHidden/>
          </w:rPr>
          <w:t>188</w:t>
        </w:r>
        <w:r w:rsidR="00320458">
          <w:rPr>
            <w:webHidden/>
          </w:rPr>
          <w:fldChar w:fldCharType="end"/>
        </w:r>
      </w:hyperlink>
    </w:p>
    <w:p w14:paraId="4AEE76C2" w14:textId="77777777" w:rsidR="00320458" w:rsidRDefault="00EE58C4" w:rsidP="00085DF0">
      <w:pPr>
        <w:pStyle w:val="TableofFigures"/>
        <w:spacing w:before="60" w:after="60"/>
        <w:rPr>
          <w:rFonts w:asciiTheme="minorHAnsi" w:eastAsiaTheme="minorEastAsia" w:hAnsiTheme="minorHAnsi" w:cstheme="minorBidi"/>
        </w:rPr>
      </w:pPr>
      <w:hyperlink w:anchor="_Toc460514733" w:history="1">
        <w:r w:rsidR="00320458" w:rsidRPr="002A3A7B">
          <w:rPr>
            <w:rStyle w:val="Hyperlink"/>
          </w:rPr>
          <w:t>Table 75</w:t>
        </w:r>
        <w:r w:rsidR="00320458">
          <w:rPr>
            <w:rFonts w:asciiTheme="minorHAnsi" w:eastAsiaTheme="minorEastAsia" w:hAnsiTheme="minorHAnsi" w:cstheme="minorBidi"/>
          </w:rPr>
          <w:tab/>
        </w:r>
        <w:r w:rsidR="00320458" w:rsidRPr="002A3A7B">
          <w:rPr>
            <w:rStyle w:val="Hyperlink"/>
          </w:rPr>
          <w:t>Average costs one-way sensitivity analysis of MTA versus surgery, population two, &lt;3 lesions</w:t>
        </w:r>
        <w:r w:rsidR="00320458">
          <w:rPr>
            <w:webHidden/>
          </w:rPr>
          <w:tab/>
        </w:r>
        <w:r w:rsidR="00320458">
          <w:rPr>
            <w:webHidden/>
          </w:rPr>
          <w:fldChar w:fldCharType="begin"/>
        </w:r>
        <w:r w:rsidR="00320458">
          <w:rPr>
            <w:webHidden/>
          </w:rPr>
          <w:instrText xml:space="preserve"> PAGEREF _Toc460514733 \h </w:instrText>
        </w:r>
        <w:r w:rsidR="00320458">
          <w:rPr>
            <w:webHidden/>
          </w:rPr>
        </w:r>
        <w:r w:rsidR="00320458">
          <w:rPr>
            <w:webHidden/>
          </w:rPr>
          <w:fldChar w:fldCharType="separate"/>
        </w:r>
        <w:r w:rsidR="006E56CB">
          <w:rPr>
            <w:webHidden/>
          </w:rPr>
          <w:t>189</w:t>
        </w:r>
        <w:r w:rsidR="00320458">
          <w:rPr>
            <w:webHidden/>
          </w:rPr>
          <w:fldChar w:fldCharType="end"/>
        </w:r>
      </w:hyperlink>
    </w:p>
    <w:p w14:paraId="394ECEBD" w14:textId="77777777" w:rsidR="00320458" w:rsidRDefault="00EE58C4" w:rsidP="00085DF0">
      <w:pPr>
        <w:pStyle w:val="TableofFigures"/>
        <w:spacing w:before="60" w:after="60"/>
        <w:rPr>
          <w:rFonts w:asciiTheme="minorHAnsi" w:eastAsiaTheme="minorEastAsia" w:hAnsiTheme="minorHAnsi" w:cstheme="minorBidi"/>
        </w:rPr>
      </w:pPr>
      <w:hyperlink w:anchor="_Toc460514734" w:history="1">
        <w:r w:rsidR="00320458" w:rsidRPr="002A3A7B">
          <w:rPr>
            <w:rStyle w:val="Hyperlink"/>
          </w:rPr>
          <w:t>Table 76</w:t>
        </w:r>
        <w:r w:rsidR="00320458">
          <w:rPr>
            <w:rFonts w:asciiTheme="minorHAnsi" w:eastAsiaTheme="minorEastAsia" w:hAnsiTheme="minorHAnsi" w:cstheme="minorBidi"/>
          </w:rPr>
          <w:tab/>
        </w:r>
        <w:r w:rsidR="00320458" w:rsidRPr="002A3A7B">
          <w:rPr>
            <w:rStyle w:val="Hyperlink"/>
          </w:rPr>
          <w:t>Key drivers of the economic model</w:t>
        </w:r>
        <w:r w:rsidR="00320458">
          <w:rPr>
            <w:webHidden/>
          </w:rPr>
          <w:tab/>
        </w:r>
        <w:r w:rsidR="00320458">
          <w:rPr>
            <w:webHidden/>
          </w:rPr>
          <w:fldChar w:fldCharType="begin"/>
        </w:r>
        <w:r w:rsidR="00320458">
          <w:rPr>
            <w:webHidden/>
          </w:rPr>
          <w:instrText xml:space="preserve"> PAGEREF _Toc460514734 \h </w:instrText>
        </w:r>
        <w:r w:rsidR="00320458">
          <w:rPr>
            <w:webHidden/>
          </w:rPr>
        </w:r>
        <w:r w:rsidR="00320458">
          <w:rPr>
            <w:webHidden/>
          </w:rPr>
          <w:fldChar w:fldCharType="separate"/>
        </w:r>
        <w:r w:rsidR="006E56CB">
          <w:rPr>
            <w:webHidden/>
          </w:rPr>
          <w:t>189</w:t>
        </w:r>
        <w:r w:rsidR="00320458">
          <w:rPr>
            <w:webHidden/>
          </w:rPr>
          <w:fldChar w:fldCharType="end"/>
        </w:r>
      </w:hyperlink>
    </w:p>
    <w:p w14:paraId="1F5DEF78" w14:textId="77777777" w:rsidR="00320458" w:rsidRDefault="00EE58C4" w:rsidP="00085DF0">
      <w:pPr>
        <w:pStyle w:val="TableofFigures"/>
        <w:spacing w:before="60" w:after="60"/>
        <w:rPr>
          <w:rFonts w:asciiTheme="minorHAnsi" w:eastAsiaTheme="minorEastAsia" w:hAnsiTheme="minorHAnsi" w:cstheme="minorBidi"/>
        </w:rPr>
      </w:pPr>
      <w:hyperlink w:anchor="_Toc460514735" w:history="1">
        <w:r w:rsidR="00320458" w:rsidRPr="002A3A7B">
          <w:rPr>
            <w:rStyle w:val="Hyperlink"/>
          </w:rPr>
          <w:t>Table 77</w:t>
        </w:r>
        <w:r w:rsidR="00320458">
          <w:rPr>
            <w:rFonts w:asciiTheme="minorHAnsi" w:eastAsiaTheme="minorEastAsia" w:hAnsiTheme="minorHAnsi" w:cstheme="minorBidi"/>
          </w:rPr>
          <w:tab/>
        </w:r>
        <w:r w:rsidR="00320458" w:rsidRPr="002A3A7B">
          <w:rPr>
            <w:rStyle w:val="Hyperlink"/>
          </w:rPr>
          <w:t>Summary of the key assumptions used in the financial impact assessment</w:t>
        </w:r>
        <w:r w:rsidR="00320458">
          <w:rPr>
            <w:webHidden/>
          </w:rPr>
          <w:tab/>
        </w:r>
        <w:r w:rsidR="00320458">
          <w:rPr>
            <w:webHidden/>
          </w:rPr>
          <w:fldChar w:fldCharType="begin"/>
        </w:r>
        <w:r w:rsidR="00320458">
          <w:rPr>
            <w:webHidden/>
          </w:rPr>
          <w:instrText xml:space="preserve"> PAGEREF _Toc460514735 \h </w:instrText>
        </w:r>
        <w:r w:rsidR="00320458">
          <w:rPr>
            <w:webHidden/>
          </w:rPr>
        </w:r>
        <w:r w:rsidR="00320458">
          <w:rPr>
            <w:webHidden/>
          </w:rPr>
          <w:fldChar w:fldCharType="separate"/>
        </w:r>
        <w:r w:rsidR="006E56CB">
          <w:rPr>
            <w:webHidden/>
          </w:rPr>
          <w:t>190</w:t>
        </w:r>
        <w:r w:rsidR="00320458">
          <w:rPr>
            <w:webHidden/>
          </w:rPr>
          <w:fldChar w:fldCharType="end"/>
        </w:r>
      </w:hyperlink>
    </w:p>
    <w:p w14:paraId="71B89B05" w14:textId="77777777" w:rsidR="00320458" w:rsidRDefault="00EE58C4" w:rsidP="00085DF0">
      <w:pPr>
        <w:pStyle w:val="TableofFigures"/>
        <w:spacing w:before="60" w:after="60"/>
        <w:rPr>
          <w:rFonts w:asciiTheme="minorHAnsi" w:eastAsiaTheme="minorEastAsia" w:hAnsiTheme="minorHAnsi" w:cstheme="minorBidi"/>
        </w:rPr>
      </w:pPr>
      <w:hyperlink w:anchor="_Toc460514736" w:history="1">
        <w:r w:rsidR="00320458" w:rsidRPr="002A3A7B">
          <w:rPr>
            <w:rStyle w:val="Hyperlink"/>
          </w:rPr>
          <w:t>Table 78</w:t>
        </w:r>
        <w:r w:rsidR="00320458">
          <w:rPr>
            <w:rFonts w:asciiTheme="minorHAnsi" w:eastAsiaTheme="minorEastAsia" w:hAnsiTheme="minorHAnsi" w:cstheme="minorBidi"/>
          </w:rPr>
          <w:tab/>
        </w:r>
        <w:r w:rsidR="00320458" w:rsidRPr="002A3A7B">
          <w:rPr>
            <w:rStyle w:val="Hyperlink"/>
          </w:rPr>
          <w:t>Summary of the key assumptions relating to major adverse events</w:t>
        </w:r>
        <w:r w:rsidR="00320458">
          <w:rPr>
            <w:webHidden/>
          </w:rPr>
          <w:tab/>
        </w:r>
        <w:r w:rsidR="00320458">
          <w:rPr>
            <w:webHidden/>
          </w:rPr>
          <w:fldChar w:fldCharType="begin"/>
        </w:r>
        <w:r w:rsidR="00320458">
          <w:rPr>
            <w:webHidden/>
          </w:rPr>
          <w:instrText xml:space="preserve"> PAGEREF _Toc460514736 \h </w:instrText>
        </w:r>
        <w:r w:rsidR="00320458">
          <w:rPr>
            <w:webHidden/>
          </w:rPr>
        </w:r>
        <w:r w:rsidR="00320458">
          <w:rPr>
            <w:webHidden/>
          </w:rPr>
          <w:fldChar w:fldCharType="separate"/>
        </w:r>
        <w:r w:rsidR="006E56CB">
          <w:rPr>
            <w:webHidden/>
          </w:rPr>
          <w:t>192</w:t>
        </w:r>
        <w:r w:rsidR="00320458">
          <w:rPr>
            <w:webHidden/>
          </w:rPr>
          <w:fldChar w:fldCharType="end"/>
        </w:r>
      </w:hyperlink>
    </w:p>
    <w:p w14:paraId="521FF325" w14:textId="77777777" w:rsidR="00320458" w:rsidRDefault="00EE58C4" w:rsidP="00085DF0">
      <w:pPr>
        <w:pStyle w:val="TableofFigures"/>
        <w:spacing w:before="60" w:after="60"/>
        <w:rPr>
          <w:rFonts w:asciiTheme="minorHAnsi" w:eastAsiaTheme="minorEastAsia" w:hAnsiTheme="minorHAnsi" w:cstheme="minorBidi"/>
        </w:rPr>
      </w:pPr>
      <w:hyperlink w:anchor="_Toc460514737" w:history="1">
        <w:r w:rsidR="00320458" w:rsidRPr="002A3A7B">
          <w:rPr>
            <w:rStyle w:val="Hyperlink"/>
          </w:rPr>
          <w:t>Table 79</w:t>
        </w:r>
        <w:r w:rsidR="00320458">
          <w:rPr>
            <w:rFonts w:asciiTheme="minorHAnsi" w:eastAsiaTheme="minorEastAsia" w:hAnsiTheme="minorHAnsi" w:cstheme="minorBidi"/>
          </w:rPr>
          <w:tab/>
        </w:r>
        <w:r w:rsidR="00320458" w:rsidRPr="002A3A7B">
          <w:rPr>
            <w:rStyle w:val="Hyperlink"/>
          </w:rPr>
          <w:t>Population eligible for MTA in Australia</w:t>
        </w:r>
        <w:r w:rsidR="00320458">
          <w:rPr>
            <w:webHidden/>
          </w:rPr>
          <w:tab/>
        </w:r>
        <w:r w:rsidR="00320458">
          <w:rPr>
            <w:webHidden/>
          </w:rPr>
          <w:fldChar w:fldCharType="begin"/>
        </w:r>
        <w:r w:rsidR="00320458">
          <w:rPr>
            <w:webHidden/>
          </w:rPr>
          <w:instrText xml:space="preserve"> PAGEREF _Toc460514737 \h </w:instrText>
        </w:r>
        <w:r w:rsidR="00320458">
          <w:rPr>
            <w:webHidden/>
          </w:rPr>
        </w:r>
        <w:r w:rsidR="00320458">
          <w:rPr>
            <w:webHidden/>
          </w:rPr>
          <w:fldChar w:fldCharType="separate"/>
        </w:r>
        <w:r w:rsidR="006E56CB">
          <w:rPr>
            <w:webHidden/>
          </w:rPr>
          <w:t>196</w:t>
        </w:r>
        <w:r w:rsidR="00320458">
          <w:rPr>
            <w:webHidden/>
          </w:rPr>
          <w:fldChar w:fldCharType="end"/>
        </w:r>
      </w:hyperlink>
    </w:p>
    <w:p w14:paraId="2EBFB4AC" w14:textId="77777777" w:rsidR="00320458" w:rsidRDefault="00EE58C4" w:rsidP="00085DF0">
      <w:pPr>
        <w:pStyle w:val="TableofFigures"/>
        <w:spacing w:before="60" w:after="60"/>
        <w:rPr>
          <w:rFonts w:asciiTheme="minorHAnsi" w:eastAsiaTheme="minorEastAsia" w:hAnsiTheme="minorHAnsi" w:cstheme="minorBidi"/>
        </w:rPr>
      </w:pPr>
      <w:hyperlink w:anchor="_Toc460514738" w:history="1">
        <w:r w:rsidR="00320458" w:rsidRPr="002A3A7B">
          <w:rPr>
            <w:rStyle w:val="Hyperlink"/>
          </w:rPr>
          <w:t>Table 80</w:t>
        </w:r>
        <w:r w:rsidR="00320458">
          <w:rPr>
            <w:rFonts w:asciiTheme="minorHAnsi" w:eastAsiaTheme="minorEastAsia" w:hAnsiTheme="minorHAnsi" w:cstheme="minorBidi"/>
          </w:rPr>
          <w:tab/>
        </w:r>
        <w:r w:rsidR="00320458" w:rsidRPr="002A3A7B">
          <w:rPr>
            <w:rStyle w:val="Hyperlink"/>
          </w:rPr>
          <w:t>Estimated uptake of the MTA procedure</w:t>
        </w:r>
        <w:r w:rsidR="00320458">
          <w:rPr>
            <w:webHidden/>
          </w:rPr>
          <w:tab/>
        </w:r>
        <w:r w:rsidR="00320458">
          <w:rPr>
            <w:webHidden/>
          </w:rPr>
          <w:fldChar w:fldCharType="begin"/>
        </w:r>
        <w:r w:rsidR="00320458">
          <w:rPr>
            <w:webHidden/>
          </w:rPr>
          <w:instrText xml:space="preserve"> PAGEREF _Toc460514738 \h </w:instrText>
        </w:r>
        <w:r w:rsidR="00320458">
          <w:rPr>
            <w:webHidden/>
          </w:rPr>
        </w:r>
        <w:r w:rsidR="00320458">
          <w:rPr>
            <w:webHidden/>
          </w:rPr>
          <w:fldChar w:fldCharType="separate"/>
        </w:r>
        <w:r w:rsidR="006E56CB">
          <w:rPr>
            <w:webHidden/>
          </w:rPr>
          <w:t>199</w:t>
        </w:r>
        <w:r w:rsidR="00320458">
          <w:rPr>
            <w:webHidden/>
          </w:rPr>
          <w:fldChar w:fldCharType="end"/>
        </w:r>
      </w:hyperlink>
    </w:p>
    <w:p w14:paraId="0B830959" w14:textId="77777777" w:rsidR="00320458" w:rsidRDefault="00EE58C4" w:rsidP="00085DF0">
      <w:pPr>
        <w:pStyle w:val="TableofFigures"/>
        <w:spacing w:before="60" w:after="60"/>
        <w:rPr>
          <w:rFonts w:asciiTheme="minorHAnsi" w:eastAsiaTheme="minorEastAsia" w:hAnsiTheme="minorHAnsi" w:cstheme="minorBidi"/>
        </w:rPr>
      </w:pPr>
      <w:hyperlink w:anchor="_Toc460514739" w:history="1">
        <w:r w:rsidR="00320458" w:rsidRPr="002A3A7B">
          <w:rPr>
            <w:rStyle w:val="Hyperlink"/>
          </w:rPr>
          <w:t>Table 81</w:t>
        </w:r>
        <w:r w:rsidR="00320458">
          <w:rPr>
            <w:rFonts w:asciiTheme="minorHAnsi" w:eastAsiaTheme="minorEastAsia" w:hAnsiTheme="minorHAnsi" w:cstheme="minorBidi"/>
          </w:rPr>
          <w:tab/>
        </w:r>
        <w:r w:rsidR="00320458" w:rsidRPr="002A3A7B">
          <w:rPr>
            <w:rStyle w:val="Hyperlink"/>
          </w:rPr>
          <w:t>Costs and services associated with MTA procedure</w:t>
        </w:r>
        <w:r w:rsidR="00320458">
          <w:rPr>
            <w:webHidden/>
          </w:rPr>
          <w:tab/>
        </w:r>
        <w:r w:rsidR="00320458">
          <w:rPr>
            <w:webHidden/>
          </w:rPr>
          <w:fldChar w:fldCharType="begin"/>
        </w:r>
        <w:r w:rsidR="00320458">
          <w:rPr>
            <w:webHidden/>
          </w:rPr>
          <w:instrText xml:space="preserve"> PAGEREF _Toc460514739 \h </w:instrText>
        </w:r>
        <w:r w:rsidR="00320458">
          <w:rPr>
            <w:webHidden/>
          </w:rPr>
        </w:r>
        <w:r w:rsidR="00320458">
          <w:rPr>
            <w:webHidden/>
          </w:rPr>
          <w:fldChar w:fldCharType="separate"/>
        </w:r>
        <w:r w:rsidR="006E56CB">
          <w:rPr>
            <w:webHidden/>
          </w:rPr>
          <w:t>200</w:t>
        </w:r>
        <w:r w:rsidR="00320458">
          <w:rPr>
            <w:webHidden/>
          </w:rPr>
          <w:fldChar w:fldCharType="end"/>
        </w:r>
      </w:hyperlink>
    </w:p>
    <w:p w14:paraId="3D0A4D29" w14:textId="77777777" w:rsidR="00320458" w:rsidRDefault="00EE58C4" w:rsidP="00085DF0">
      <w:pPr>
        <w:pStyle w:val="TableofFigures"/>
        <w:spacing w:before="60" w:after="60"/>
        <w:rPr>
          <w:rFonts w:asciiTheme="minorHAnsi" w:eastAsiaTheme="minorEastAsia" w:hAnsiTheme="minorHAnsi" w:cstheme="minorBidi"/>
        </w:rPr>
      </w:pPr>
      <w:hyperlink w:anchor="_Toc460514740" w:history="1">
        <w:r w:rsidR="00320458" w:rsidRPr="002A3A7B">
          <w:rPr>
            <w:rStyle w:val="Hyperlink"/>
          </w:rPr>
          <w:t>Table 82</w:t>
        </w:r>
        <w:r w:rsidR="00320458">
          <w:rPr>
            <w:rFonts w:asciiTheme="minorHAnsi" w:eastAsiaTheme="minorEastAsia" w:hAnsiTheme="minorHAnsi" w:cstheme="minorBidi"/>
          </w:rPr>
          <w:tab/>
        </w:r>
        <w:r w:rsidR="00320458" w:rsidRPr="002A3A7B">
          <w:rPr>
            <w:rStyle w:val="Hyperlink"/>
          </w:rPr>
          <w:t>Summary of Costs by Payer associated with the MTA procedure</w:t>
        </w:r>
        <w:r w:rsidR="00320458">
          <w:rPr>
            <w:webHidden/>
          </w:rPr>
          <w:tab/>
        </w:r>
        <w:r w:rsidR="00320458">
          <w:rPr>
            <w:webHidden/>
          </w:rPr>
          <w:fldChar w:fldCharType="begin"/>
        </w:r>
        <w:r w:rsidR="00320458">
          <w:rPr>
            <w:webHidden/>
          </w:rPr>
          <w:instrText xml:space="preserve"> PAGEREF _Toc460514740 \h </w:instrText>
        </w:r>
        <w:r w:rsidR="00320458">
          <w:rPr>
            <w:webHidden/>
          </w:rPr>
        </w:r>
        <w:r w:rsidR="00320458">
          <w:rPr>
            <w:webHidden/>
          </w:rPr>
          <w:fldChar w:fldCharType="separate"/>
        </w:r>
        <w:r w:rsidR="006E56CB">
          <w:rPr>
            <w:webHidden/>
          </w:rPr>
          <w:t>203</w:t>
        </w:r>
        <w:r w:rsidR="00320458">
          <w:rPr>
            <w:webHidden/>
          </w:rPr>
          <w:fldChar w:fldCharType="end"/>
        </w:r>
      </w:hyperlink>
    </w:p>
    <w:p w14:paraId="4F3EEFB7" w14:textId="77777777" w:rsidR="00320458" w:rsidRDefault="00EE58C4" w:rsidP="00085DF0">
      <w:pPr>
        <w:pStyle w:val="TableofFigures"/>
        <w:spacing w:before="60" w:after="60"/>
        <w:rPr>
          <w:rFonts w:asciiTheme="minorHAnsi" w:eastAsiaTheme="minorEastAsia" w:hAnsiTheme="minorHAnsi" w:cstheme="minorBidi"/>
        </w:rPr>
      </w:pPr>
      <w:hyperlink w:anchor="_Toc460514741" w:history="1">
        <w:r w:rsidR="00320458" w:rsidRPr="002A3A7B">
          <w:rPr>
            <w:rStyle w:val="Hyperlink"/>
          </w:rPr>
          <w:t>Table 83</w:t>
        </w:r>
        <w:r w:rsidR="00320458">
          <w:rPr>
            <w:rFonts w:asciiTheme="minorHAnsi" w:eastAsiaTheme="minorEastAsia" w:hAnsiTheme="minorHAnsi" w:cstheme="minorBidi"/>
          </w:rPr>
          <w:tab/>
        </w:r>
        <w:r w:rsidR="00320458" w:rsidRPr="002A3A7B">
          <w:rPr>
            <w:rStyle w:val="Hyperlink"/>
          </w:rPr>
          <w:t>Total estimated additional costs to MBS of changes in services</w:t>
        </w:r>
        <w:r w:rsidR="00320458">
          <w:rPr>
            <w:webHidden/>
          </w:rPr>
          <w:tab/>
        </w:r>
        <w:r w:rsidR="00320458">
          <w:rPr>
            <w:webHidden/>
          </w:rPr>
          <w:fldChar w:fldCharType="begin"/>
        </w:r>
        <w:r w:rsidR="00320458">
          <w:rPr>
            <w:webHidden/>
          </w:rPr>
          <w:instrText xml:space="preserve"> PAGEREF _Toc460514741 \h </w:instrText>
        </w:r>
        <w:r w:rsidR="00320458">
          <w:rPr>
            <w:webHidden/>
          </w:rPr>
        </w:r>
        <w:r w:rsidR="00320458">
          <w:rPr>
            <w:webHidden/>
          </w:rPr>
          <w:fldChar w:fldCharType="separate"/>
        </w:r>
        <w:r w:rsidR="006E56CB">
          <w:rPr>
            <w:webHidden/>
          </w:rPr>
          <w:t>205</w:t>
        </w:r>
        <w:r w:rsidR="00320458">
          <w:rPr>
            <w:webHidden/>
          </w:rPr>
          <w:fldChar w:fldCharType="end"/>
        </w:r>
      </w:hyperlink>
    </w:p>
    <w:p w14:paraId="3C7F26CF" w14:textId="77777777" w:rsidR="00320458" w:rsidRDefault="00EE58C4" w:rsidP="00085DF0">
      <w:pPr>
        <w:pStyle w:val="TableofFigures"/>
        <w:spacing w:before="60" w:after="60"/>
        <w:rPr>
          <w:rFonts w:asciiTheme="minorHAnsi" w:eastAsiaTheme="minorEastAsia" w:hAnsiTheme="minorHAnsi" w:cstheme="minorBidi"/>
        </w:rPr>
      </w:pPr>
      <w:hyperlink w:anchor="_Toc460514742" w:history="1">
        <w:r w:rsidR="00320458" w:rsidRPr="002A3A7B">
          <w:rPr>
            <w:rStyle w:val="Hyperlink"/>
          </w:rPr>
          <w:t>Table 84</w:t>
        </w:r>
        <w:r w:rsidR="00320458">
          <w:rPr>
            <w:rFonts w:asciiTheme="minorHAnsi" w:eastAsiaTheme="minorEastAsia" w:hAnsiTheme="minorHAnsi" w:cstheme="minorBidi"/>
          </w:rPr>
          <w:tab/>
        </w:r>
        <w:r w:rsidR="00320458" w:rsidRPr="002A3A7B">
          <w:rPr>
            <w:rStyle w:val="Hyperlink"/>
          </w:rPr>
          <w:t>Costs and services associated with SBRT</w:t>
        </w:r>
        <w:r w:rsidR="00320458">
          <w:rPr>
            <w:webHidden/>
          </w:rPr>
          <w:tab/>
        </w:r>
        <w:r w:rsidR="00320458">
          <w:rPr>
            <w:webHidden/>
          </w:rPr>
          <w:fldChar w:fldCharType="begin"/>
        </w:r>
        <w:r w:rsidR="00320458">
          <w:rPr>
            <w:webHidden/>
          </w:rPr>
          <w:instrText xml:space="preserve"> PAGEREF _Toc460514742 \h </w:instrText>
        </w:r>
        <w:r w:rsidR="00320458">
          <w:rPr>
            <w:webHidden/>
          </w:rPr>
        </w:r>
        <w:r w:rsidR="00320458">
          <w:rPr>
            <w:webHidden/>
          </w:rPr>
          <w:fldChar w:fldCharType="separate"/>
        </w:r>
        <w:r w:rsidR="006E56CB">
          <w:rPr>
            <w:webHidden/>
          </w:rPr>
          <w:t>207</w:t>
        </w:r>
        <w:r w:rsidR="00320458">
          <w:rPr>
            <w:webHidden/>
          </w:rPr>
          <w:fldChar w:fldCharType="end"/>
        </w:r>
      </w:hyperlink>
    </w:p>
    <w:p w14:paraId="7500992E" w14:textId="77777777" w:rsidR="00320458" w:rsidRDefault="00EE58C4" w:rsidP="00085DF0">
      <w:pPr>
        <w:pStyle w:val="TableofFigures"/>
        <w:spacing w:before="60" w:after="60"/>
        <w:rPr>
          <w:rFonts w:asciiTheme="minorHAnsi" w:eastAsiaTheme="minorEastAsia" w:hAnsiTheme="minorHAnsi" w:cstheme="minorBidi"/>
        </w:rPr>
      </w:pPr>
      <w:hyperlink w:anchor="_Toc460514743" w:history="1">
        <w:r w:rsidR="00320458" w:rsidRPr="002A3A7B">
          <w:rPr>
            <w:rStyle w:val="Hyperlink"/>
          </w:rPr>
          <w:t>Table 85</w:t>
        </w:r>
        <w:r w:rsidR="00320458">
          <w:rPr>
            <w:rFonts w:asciiTheme="minorHAnsi" w:eastAsiaTheme="minorEastAsia" w:hAnsiTheme="minorHAnsi" w:cstheme="minorBidi"/>
          </w:rPr>
          <w:tab/>
        </w:r>
        <w:r w:rsidR="00320458" w:rsidRPr="002A3A7B">
          <w:rPr>
            <w:rStyle w:val="Hyperlink"/>
          </w:rPr>
          <w:t>Summary of Costs by Payer associated with the SBRT procedure ($)</w:t>
        </w:r>
        <w:r w:rsidR="00320458">
          <w:rPr>
            <w:webHidden/>
          </w:rPr>
          <w:tab/>
        </w:r>
        <w:r w:rsidR="00320458">
          <w:rPr>
            <w:webHidden/>
          </w:rPr>
          <w:fldChar w:fldCharType="begin"/>
        </w:r>
        <w:r w:rsidR="00320458">
          <w:rPr>
            <w:webHidden/>
          </w:rPr>
          <w:instrText xml:space="preserve"> PAGEREF _Toc460514743 \h </w:instrText>
        </w:r>
        <w:r w:rsidR="00320458">
          <w:rPr>
            <w:webHidden/>
          </w:rPr>
        </w:r>
        <w:r w:rsidR="00320458">
          <w:rPr>
            <w:webHidden/>
          </w:rPr>
          <w:fldChar w:fldCharType="separate"/>
        </w:r>
        <w:r w:rsidR="006E56CB">
          <w:rPr>
            <w:webHidden/>
          </w:rPr>
          <w:t>210</w:t>
        </w:r>
        <w:r w:rsidR="00320458">
          <w:rPr>
            <w:webHidden/>
          </w:rPr>
          <w:fldChar w:fldCharType="end"/>
        </w:r>
      </w:hyperlink>
    </w:p>
    <w:p w14:paraId="33016C94" w14:textId="77777777" w:rsidR="00320458" w:rsidRDefault="00EE58C4" w:rsidP="00085DF0">
      <w:pPr>
        <w:pStyle w:val="TableofFigures"/>
        <w:spacing w:before="60" w:after="60"/>
        <w:rPr>
          <w:rFonts w:asciiTheme="minorHAnsi" w:eastAsiaTheme="minorEastAsia" w:hAnsiTheme="minorHAnsi" w:cstheme="minorBidi"/>
        </w:rPr>
      </w:pPr>
      <w:hyperlink w:anchor="_Toc460514744" w:history="1">
        <w:r w:rsidR="00320458" w:rsidRPr="002A3A7B">
          <w:rPr>
            <w:rStyle w:val="Hyperlink"/>
          </w:rPr>
          <w:t>Table 86</w:t>
        </w:r>
        <w:r w:rsidR="00320458">
          <w:rPr>
            <w:rFonts w:asciiTheme="minorHAnsi" w:eastAsiaTheme="minorEastAsia" w:hAnsiTheme="minorHAnsi" w:cstheme="minorBidi"/>
          </w:rPr>
          <w:tab/>
        </w:r>
        <w:r w:rsidR="00320458" w:rsidRPr="002A3A7B">
          <w:rPr>
            <w:rStyle w:val="Hyperlink"/>
          </w:rPr>
          <w:t>Total estimated additional costs to MBS of changes in services ($)</w:t>
        </w:r>
        <w:r w:rsidR="00320458">
          <w:rPr>
            <w:webHidden/>
          </w:rPr>
          <w:tab/>
        </w:r>
        <w:r w:rsidR="00320458">
          <w:rPr>
            <w:webHidden/>
          </w:rPr>
          <w:fldChar w:fldCharType="begin"/>
        </w:r>
        <w:r w:rsidR="00320458">
          <w:rPr>
            <w:webHidden/>
          </w:rPr>
          <w:instrText xml:space="preserve"> PAGEREF _Toc460514744 \h </w:instrText>
        </w:r>
        <w:r w:rsidR="00320458">
          <w:rPr>
            <w:webHidden/>
          </w:rPr>
        </w:r>
        <w:r w:rsidR="00320458">
          <w:rPr>
            <w:webHidden/>
          </w:rPr>
          <w:fldChar w:fldCharType="separate"/>
        </w:r>
        <w:r w:rsidR="006E56CB">
          <w:rPr>
            <w:webHidden/>
          </w:rPr>
          <w:t>211</w:t>
        </w:r>
        <w:r w:rsidR="00320458">
          <w:rPr>
            <w:webHidden/>
          </w:rPr>
          <w:fldChar w:fldCharType="end"/>
        </w:r>
      </w:hyperlink>
    </w:p>
    <w:p w14:paraId="58AF2EC6" w14:textId="77777777" w:rsidR="00320458" w:rsidRDefault="00EE58C4" w:rsidP="00085DF0">
      <w:pPr>
        <w:pStyle w:val="TableofFigures"/>
        <w:spacing w:before="60" w:after="60"/>
        <w:rPr>
          <w:rFonts w:asciiTheme="minorHAnsi" w:eastAsiaTheme="minorEastAsia" w:hAnsiTheme="minorHAnsi" w:cstheme="minorBidi"/>
        </w:rPr>
      </w:pPr>
      <w:hyperlink w:anchor="_Toc460514745" w:history="1">
        <w:r w:rsidR="00320458" w:rsidRPr="002A3A7B">
          <w:rPr>
            <w:rStyle w:val="Hyperlink"/>
          </w:rPr>
          <w:t>Table 87</w:t>
        </w:r>
        <w:r w:rsidR="00320458">
          <w:rPr>
            <w:rFonts w:asciiTheme="minorHAnsi" w:eastAsiaTheme="minorEastAsia" w:hAnsiTheme="minorHAnsi" w:cstheme="minorBidi"/>
          </w:rPr>
          <w:tab/>
        </w:r>
        <w:r w:rsidR="00320458" w:rsidRPr="002A3A7B">
          <w:rPr>
            <w:rStyle w:val="Hyperlink"/>
          </w:rPr>
          <w:t>Total Costs of the MTA Machine and Probes and Hospital Stay</w:t>
        </w:r>
        <w:r w:rsidR="00320458">
          <w:rPr>
            <w:webHidden/>
          </w:rPr>
          <w:tab/>
        </w:r>
        <w:r w:rsidR="00320458">
          <w:rPr>
            <w:webHidden/>
          </w:rPr>
          <w:fldChar w:fldCharType="begin"/>
        </w:r>
        <w:r w:rsidR="00320458">
          <w:rPr>
            <w:webHidden/>
          </w:rPr>
          <w:instrText xml:space="preserve"> PAGEREF _Toc460514745 \h </w:instrText>
        </w:r>
        <w:r w:rsidR="00320458">
          <w:rPr>
            <w:webHidden/>
          </w:rPr>
        </w:r>
        <w:r w:rsidR="00320458">
          <w:rPr>
            <w:webHidden/>
          </w:rPr>
          <w:fldChar w:fldCharType="separate"/>
        </w:r>
        <w:r w:rsidR="006E56CB">
          <w:rPr>
            <w:webHidden/>
          </w:rPr>
          <w:t>213</w:t>
        </w:r>
        <w:r w:rsidR="00320458">
          <w:rPr>
            <w:webHidden/>
          </w:rPr>
          <w:fldChar w:fldCharType="end"/>
        </w:r>
      </w:hyperlink>
    </w:p>
    <w:p w14:paraId="53A246EF" w14:textId="77777777" w:rsidR="00320458" w:rsidRDefault="00EE58C4" w:rsidP="00085DF0">
      <w:pPr>
        <w:pStyle w:val="TableofFigures"/>
        <w:spacing w:before="60" w:after="60"/>
        <w:rPr>
          <w:rFonts w:asciiTheme="minorHAnsi" w:eastAsiaTheme="minorEastAsia" w:hAnsiTheme="minorHAnsi" w:cstheme="minorBidi"/>
        </w:rPr>
      </w:pPr>
      <w:hyperlink w:anchor="_Toc460514746" w:history="1">
        <w:r w:rsidR="00320458" w:rsidRPr="002A3A7B">
          <w:rPr>
            <w:rStyle w:val="Hyperlink"/>
          </w:rPr>
          <w:t>Table 88</w:t>
        </w:r>
        <w:r w:rsidR="00320458">
          <w:rPr>
            <w:rFonts w:asciiTheme="minorHAnsi" w:eastAsiaTheme="minorEastAsia" w:hAnsiTheme="minorHAnsi" w:cstheme="minorBidi"/>
          </w:rPr>
          <w:tab/>
        </w:r>
        <w:r w:rsidR="00320458" w:rsidRPr="002A3A7B">
          <w:rPr>
            <w:rStyle w:val="Hyperlink"/>
          </w:rPr>
          <w:t>Sensitivity analysis</w:t>
        </w:r>
        <w:r w:rsidR="00320458">
          <w:rPr>
            <w:webHidden/>
          </w:rPr>
          <w:tab/>
        </w:r>
        <w:r w:rsidR="00320458">
          <w:rPr>
            <w:webHidden/>
          </w:rPr>
          <w:fldChar w:fldCharType="begin"/>
        </w:r>
        <w:r w:rsidR="00320458">
          <w:rPr>
            <w:webHidden/>
          </w:rPr>
          <w:instrText xml:space="preserve"> PAGEREF _Toc460514746 \h </w:instrText>
        </w:r>
        <w:r w:rsidR="00320458">
          <w:rPr>
            <w:webHidden/>
          </w:rPr>
        </w:r>
        <w:r w:rsidR="00320458">
          <w:rPr>
            <w:webHidden/>
          </w:rPr>
          <w:fldChar w:fldCharType="separate"/>
        </w:r>
        <w:r w:rsidR="006E56CB">
          <w:rPr>
            <w:webHidden/>
          </w:rPr>
          <w:t>213</w:t>
        </w:r>
        <w:r w:rsidR="00320458">
          <w:rPr>
            <w:webHidden/>
          </w:rPr>
          <w:fldChar w:fldCharType="end"/>
        </w:r>
      </w:hyperlink>
    </w:p>
    <w:p w14:paraId="138812F9" w14:textId="77777777" w:rsidR="00320458" w:rsidRDefault="00EE58C4" w:rsidP="00085DF0">
      <w:pPr>
        <w:pStyle w:val="TableofFigures"/>
        <w:spacing w:before="60" w:after="60"/>
        <w:rPr>
          <w:rFonts w:asciiTheme="minorHAnsi" w:eastAsiaTheme="minorEastAsia" w:hAnsiTheme="minorHAnsi" w:cstheme="minorBidi"/>
        </w:rPr>
      </w:pPr>
      <w:hyperlink w:anchor="_Toc460514747" w:history="1">
        <w:r w:rsidR="00320458" w:rsidRPr="002A3A7B">
          <w:rPr>
            <w:rStyle w:val="Hyperlink"/>
          </w:rPr>
          <w:t>Table 89</w:t>
        </w:r>
        <w:r w:rsidR="00320458">
          <w:rPr>
            <w:rFonts w:asciiTheme="minorHAnsi" w:eastAsiaTheme="minorEastAsia" w:hAnsiTheme="minorHAnsi" w:cstheme="minorBidi"/>
          </w:rPr>
          <w:tab/>
        </w:r>
        <w:r w:rsidR="00320458" w:rsidRPr="002A3A7B">
          <w:rPr>
            <w:rStyle w:val="Hyperlink"/>
          </w:rPr>
          <w:t>Studies of RFA plus adjuvant RT or brachytherapy in patients with early stage inoperable NSCLC</w:t>
        </w:r>
        <w:r w:rsidR="00320458">
          <w:rPr>
            <w:webHidden/>
          </w:rPr>
          <w:tab/>
        </w:r>
        <w:r w:rsidR="00320458">
          <w:rPr>
            <w:webHidden/>
          </w:rPr>
          <w:fldChar w:fldCharType="begin"/>
        </w:r>
        <w:r w:rsidR="00320458">
          <w:rPr>
            <w:webHidden/>
          </w:rPr>
          <w:instrText xml:space="preserve"> PAGEREF _Toc460514747 \h </w:instrText>
        </w:r>
        <w:r w:rsidR="00320458">
          <w:rPr>
            <w:webHidden/>
          </w:rPr>
        </w:r>
        <w:r w:rsidR="00320458">
          <w:rPr>
            <w:webHidden/>
          </w:rPr>
          <w:fldChar w:fldCharType="separate"/>
        </w:r>
        <w:r w:rsidR="006E56CB">
          <w:rPr>
            <w:webHidden/>
          </w:rPr>
          <w:t>215</w:t>
        </w:r>
        <w:r w:rsidR="00320458">
          <w:rPr>
            <w:webHidden/>
          </w:rPr>
          <w:fldChar w:fldCharType="end"/>
        </w:r>
      </w:hyperlink>
    </w:p>
    <w:p w14:paraId="664C8D42" w14:textId="77777777" w:rsidR="00320458" w:rsidRDefault="00EE58C4" w:rsidP="00085DF0">
      <w:pPr>
        <w:pStyle w:val="TableofFigures"/>
        <w:spacing w:before="60" w:after="60"/>
        <w:rPr>
          <w:rFonts w:asciiTheme="minorHAnsi" w:eastAsiaTheme="minorEastAsia" w:hAnsiTheme="minorHAnsi" w:cstheme="minorBidi"/>
        </w:rPr>
      </w:pPr>
      <w:hyperlink w:anchor="_Toc460514748" w:history="1">
        <w:r w:rsidR="00320458" w:rsidRPr="002A3A7B">
          <w:rPr>
            <w:rStyle w:val="Hyperlink"/>
          </w:rPr>
          <w:t>Table 90</w:t>
        </w:r>
        <w:r w:rsidR="00320458">
          <w:rPr>
            <w:rFonts w:asciiTheme="minorHAnsi" w:eastAsiaTheme="minorEastAsia" w:hAnsiTheme="minorHAnsi" w:cstheme="minorBidi"/>
          </w:rPr>
          <w:tab/>
        </w:r>
        <w:r w:rsidR="00320458" w:rsidRPr="002A3A7B">
          <w:rPr>
            <w:rStyle w:val="Hyperlink"/>
          </w:rPr>
          <w:t>Profiles of studies on MTA included in the systematic literature review</w:t>
        </w:r>
        <w:r w:rsidR="00320458">
          <w:rPr>
            <w:webHidden/>
          </w:rPr>
          <w:tab/>
        </w:r>
        <w:r w:rsidR="00320458">
          <w:rPr>
            <w:webHidden/>
          </w:rPr>
          <w:fldChar w:fldCharType="begin"/>
        </w:r>
        <w:r w:rsidR="00320458">
          <w:rPr>
            <w:webHidden/>
          </w:rPr>
          <w:instrText xml:space="preserve"> PAGEREF _Toc460514748 \h </w:instrText>
        </w:r>
        <w:r w:rsidR="00320458">
          <w:rPr>
            <w:webHidden/>
          </w:rPr>
        </w:r>
        <w:r w:rsidR="00320458">
          <w:rPr>
            <w:webHidden/>
          </w:rPr>
          <w:fldChar w:fldCharType="separate"/>
        </w:r>
        <w:r w:rsidR="006E56CB">
          <w:rPr>
            <w:webHidden/>
          </w:rPr>
          <w:t>230</w:t>
        </w:r>
        <w:r w:rsidR="00320458">
          <w:rPr>
            <w:webHidden/>
          </w:rPr>
          <w:fldChar w:fldCharType="end"/>
        </w:r>
      </w:hyperlink>
    </w:p>
    <w:p w14:paraId="21D3FCAA" w14:textId="77777777" w:rsidR="00320458" w:rsidRDefault="00EE58C4" w:rsidP="00085DF0">
      <w:pPr>
        <w:pStyle w:val="TableofFigures"/>
        <w:spacing w:before="60" w:after="60"/>
        <w:rPr>
          <w:rFonts w:asciiTheme="minorHAnsi" w:eastAsiaTheme="minorEastAsia" w:hAnsiTheme="minorHAnsi" w:cstheme="minorBidi"/>
        </w:rPr>
      </w:pPr>
      <w:hyperlink w:anchor="_Toc460514749" w:history="1">
        <w:r w:rsidR="00320458" w:rsidRPr="002A3A7B">
          <w:rPr>
            <w:rStyle w:val="Hyperlink"/>
          </w:rPr>
          <w:t>Table 91</w:t>
        </w:r>
        <w:r w:rsidR="00320458">
          <w:rPr>
            <w:rFonts w:asciiTheme="minorHAnsi" w:eastAsiaTheme="minorEastAsia" w:hAnsiTheme="minorHAnsi" w:cstheme="minorBidi"/>
          </w:rPr>
          <w:tab/>
        </w:r>
        <w:r w:rsidR="00320458" w:rsidRPr="002A3A7B">
          <w:rPr>
            <w:rStyle w:val="Hyperlink"/>
          </w:rPr>
          <w:t>Profiles of studies on RFA included in the systematic literature review</w:t>
        </w:r>
        <w:r w:rsidR="00320458">
          <w:rPr>
            <w:webHidden/>
          </w:rPr>
          <w:tab/>
        </w:r>
        <w:r w:rsidR="00320458">
          <w:rPr>
            <w:webHidden/>
          </w:rPr>
          <w:fldChar w:fldCharType="begin"/>
        </w:r>
        <w:r w:rsidR="00320458">
          <w:rPr>
            <w:webHidden/>
          </w:rPr>
          <w:instrText xml:space="preserve"> PAGEREF _Toc460514749 \h </w:instrText>
        </w:r>
        <w:r w:rsidR="00320458">
          <w:rPr>
            <w:webHidden/>
          </w:rPr>
        </w:r>
        <w:r w:rsidR="00320458">
          <w:rPr>
            <w:webHidden/>
          </w:rPr>
          <w:fldChar w:fldCharType="separate"/>
        </w:r>
        <w:r w:rsidR="006E56CB">
          <w:rPr>
            <w:webHidden/>
          </w:rPr>
          <w:t>243</w:t>
        </w:r>
        <w:r w:rsidR="00320458">
          <w:rPr>
            <w:webHidden/>
          </w:rPr>
          <w:fldChar w:fldCharType="end"/>
        </w:r>
      </w:hyperlink>
    </w:p>
    <w:p w14:paraId="5C90B782" w14:textId="77777777" w:rsidR="00320458" w:rsidRDefault="00EE58C4" w:rsidP="00085DF0">
      <w:pPr>
        <w:pStyle w:val="TableofFigures"/>
        <w:spacing w:before="60" w:after="60"/>
        <w:rPr>
          <w:rFonts w:asciiTheme="minorHAnsi" w:eastAsiaTheme="minorEastAsia" w:hAnsiTheme="minorHAnsi" w:cstheme="minorBidi"/>
        </w:rPr>
      </w:pPr>
      <w:hyperlink w:anchor="_Toc460514750" w:history="1">
        <w:r w:rsidR="00320458" w:rsidRPr="002A3A7B">
          <w:rPr>
            <w:rStyle w:val="Hyperlink"/>
          </w:rPr>
          <w:t>Table 92</w:t>
        </w:r>
        <w:r w:rsidR="00320458">
          <w:rPr>
            <w:rFonts w:asciiTheme="minorHAnsi" w:eastAsiaTheme="minorEastAsia" w:hAnsiTheme="minorHAnsi" w:cstheme="minorBidi"/>
          </w:rPr>
          <w:tab/>
        </w:r>
        <w:r w:rsidR="00320458" w:rsidRPr="002A3A7B">
          <w:rPr>
            <w:rStyle w:val="Hyperlink"/>
          </w:rPr>
          <w:t>Profiles of studies on Radiotherapy included in the systematic literature review</w:t>
        </w:r>
        <w:r w:rsidR="00320458">
          <w:rPr>
            <w:webHidden/>
          </w:rPr>
          <w:tab/>
        </w:r>
        <w:r w:rsidR="00320458">
          <w:rPr>
            <w:webHidden/>
          </w:rPr>
          <w:fldChar w:fldCharType="begin"/>
        </w:r>
        <w:r w:rsidR="00320458">
          <w:rPr>
            <w:webHidden/>
          </w:rPr>
          <w:instrText xml:space="preserve"> PAGEREF _Toc460514750 \h </w:instrText>
        </w:r>
        <w:r w:rsidR="00320458">
          <w:rPr>
            <w:webHidden/>
          </w:rPr>
        </w:r>
        <w:r w:rsidR="00320458">
          <w:rPr>
            <w:webHidden/>
          </w:rPr>
          <w:fldChar w:fldCharType="separate"/>
        </w:r>
        <w:r w:rsidR="006E56CB">
          <w:rPr>
            <w:webHidden/>
          </w:rPr>
          <w:t>253</w:t>
        </w:r>
        <w:r w:rsidR="00320458">
          <w:rPr>
            <w:webHidden/>
          </w:rPr>
          <w:fldChar w:fldCharType="end"/>
        </w:r>
      </w:hyperlink>
    </w:p>
    <w:p w14:paraId="36DCE772" w14:textId="77777777" w:rsidR="00320458" w:rsidRDefault="00EE58C4" w:rsidP="00085DF0">
      <w:pPr>
        <w:pStyle w:val="TableofFigures"/>
        <w:spacing w:before="60" w:after="60"/>
        <w:rPr>
          <w:rFonts w:asciiTheme="minorHAnsi" w:eastAsiaTheme="minorEastAsia" w:hAnsiTheme="minorHAnsi" w:cstheme="minorBidi"/>
        </w:rPr>
      </w:pPr>
      <w:hyperlink w:anchor="_Toc460514751" w:history="1">
        <w:r w:rsidR="00320458" w:rsidRPr="002A3A7B">
          <w:rPr>
            <w:rStyle w:val="Hyperlink"/>
          </w:rPr>
          <w:t>Table 93</w:t>
        </w:r>
        <w:r w:rsidR="00320458">
          <w:rPr>
            <w:rFonts w:asciiTheme="minorHAnsi" w:eastAsiaTheme="minorEastAsia" w:hAnsiTheme="minorHAnsi" w:cstheme="minorBidi"/>
          </w:rPr>
          <w:tab/>
        </w:r>
        <w:r w:rsidR="00320458" w:rsidRPr="002A3A7B">
          <w:rPr>
            <w:rStyle w:val="Hyperlink"/>
          </w:rPr>
          <w:t>Profiles of studies on Surgery included in the systematic literature review</w:t>
        </w:r>
        <w:r w:rsidR="00320458">
          <w:rPr>
            <w:webHidden/>
          </w:rPr>
          <w:tab/>
        </w:r>
        <w:r w:rsidR="00320458">
          <w:rPr>
            <w:webHidden/>
          </w:rPr>
          <w:fldChar w:fldCharType="begin"/>
        </w:r>
        <w:r w:rsidR="00320458">
          <w:rPr>
            <w:webHidden/>
          </w:rPr>
          <w:instrText xml:space="preserve"> PAGEREF _Toc460514751 \h </w:instrText>
        </w:r>
        <w:r w:rsidR="00320458">
          <w:rPr>
            <w:webHidden/>
          </w:rPr>
        </w:r>
        <w:r w:rsidR="00320458">
          <w:rPr>
            <w:webHidden/>
          </w:rPr>
          <w:fldChar w:fldCharType="separate"/>
        </w:r>
        <w:r w:rsidR="006E56CB">
          <w:rPr>
            <w:webHidden/>
          </w:rPr>
          <w:t>267</w:t>
        </w:r>
        <w:r w:rsidR="00320458">
          <w:rPr>
            <w:webHidden/>
          </w:rPr>
          <w:fldChar w:fldCharType="end"/>
        </w:r>
      </w:hyperlink>
    </w:p>
    <w:p w14:paraId="53A7C57F" w14:textId="77777777" w:rsidR="00320458" w:rsidRDefault="00EE58C4" w:rsidP="00085DF0">
      <w:pPr>
        <w:pStyle w:val="TableofFigures"/>
        <w:spacing w:before="60" w:after="60"/>
        <w:rPr>
          <w:rFonts w:asciiTheme="minorHAnsi" w:eastAsiaTheme="minorEastAsia" w:hAnsiTheme="minorHAnsi" w:cstheme="minorBidi"/>
        </w:rPr>
      </w:pPr>
      <w:hyperlink w:anchor="_Toc460514752" w:history="1">
        <w:r w:rsidR="00320458" w:rsidRPr="002A3A7B">
          <w:rPr>
            <w:rStyle w:val="Hyperlink"/>
          </w:rPr>
          <w:t>Table 94</w:t>
        </w:r>
        <w:r w:rsidR="00320458">
          <w:rPr>
            <w:rFonts w:asciiTheme="minorHAnsi" w:eastAsiaTheme="minorEastAsia" w:hAnsiTheme="minorHAnsi" w:cstheme="minorBidi"/>
          </w:rPr>
          <w:tab/>
        </w:r>
        <w:r w:rsidR="00320458" w:rsidRPr="002A3A7B">
          <w:rPr>
            <w:rStyle w:val="Hyperlink"/>
          </w:rPr>
          <w:t>Study profile tables for the systematic reviews (all interventions) that were included in the systematic literature review</w:t>
        </w:r>
        <w:r w:rsidR="00320458">
          <w:rPr>
            <w:webHidden/>
          </w:rPr>
          <w:tab/>
        </w:r>
        <w:r w:rsidR="00320458">
          <w:rPr>
            <w:webHidden/>
          </w:rPr>
          <w:fldChar w:fldCharType="begin"/>
        </w:r>
        <w:r w:rsidR="00320458">
          <w:rPr>
            <w:webHidden/>
          </w:rPr>
          <w:instrText xml:space="preserve"> PAGEREF _Toc460514752 \h </w:instrText>
        </w:r>
        <w:r w:rsidR="00320458">
          <w:rPr>
            <w:webHidden/>
          </w:rPr>
        </w:r>
        <w:r w:rsidR="00320458">
          <w:rPr>
            <w:webHidden/>
          </w:rPr>
          <w:fldChar w:fldCharType="separate"/>
        </w:r>
        <w:r w:rsidR="006E56CB">
          <w:rPr>
            <w:webHidden/>
          </w:rPr>
          <w:t>270</w:t>
        </w:r>
        <w:r w:rsidR="00320458">
          <w:rPr>
            <w:webHidden/>
          </w:rPr>
          <w:fldChar w:fldCharType="end"/>
        </w:r>
      </w:hyperlink>
    </w:p>
    <w:p w14:paraId="6650851B" w14:textId="77777777" w:rsidR="00320458" w:rsidRDefault="00EE58C4" w:rsidP="00085DF0">
      <w:pPr>
        <w:pStyle w:val="TableofFigures"/>
        <w:spacing w:before="60" w:after="60"/>
        <w:rPr>
          <w:rFonts w:asciiTheme="minorHAnsi" w:eastAsiaTheme="minorEastAsia" w:hAnsiTheme="minorHAnsi" w:cstheme="minorBidi"/>
        </w:rPr>
      </w:pPr>
      <w:hyperlink w:anchor="_Toc460514753" w:history="1">
        <w:r w:rsidR="00320458" w:rsidRPr="002A3A7B">
          <w:rPr>
            <w:rStyle w:val="Hyperlink"/>
          </w:rPr>
          <w:t>Table 95</w:t>
        </w:r>
        <w:r w:rsidR="00320458">
          <w:rPr>
            <w:rFonts w:asciiTheme="minorHAnsi" w:eastAsiaTheme="minorEastAsia" w:hAnsiTheme="minorHAnsi" w:cstheme="minorBidi"/>
          </w:rPr>
          <w:tab/>
        </w:r>
        <w:r w:rsidR="00320458" w:rsidRPr="002A3A7B">
          <w:rPr>
            <w:rStyle w:val="Hyperlink"/>
          </w:rPr>
          <w:t>Evidence profile table for population one</w:t>
        </w:r>
        <w:r w:rsidR="00320458">
          <w:rPr>
            <w:webHidden/>
          </w:rPr>
          <w:tab/>
        </w:r>
        <w:r w:rsidR="00320458">
          <w:rPr>
            <w:webHidden/>
          </w:rPr>
          <w:fldChar w:fldCharType="begin"/>
        </w:r>
        <w:r w:rsidR="00320458">
          <w:rPr>
            <w:webHidden/>
          </w:rPr>
          <w:instrText xml:space="preserve"> PAGEREF _Toc460514753 \h </w:instrText>
        </w:r>
        <w:r w:rsidR="00320458">
          <w:rPr>
            <w:webHidden/>
          </w:rPr>
        </w:r>
        <w:r w:rsidR="00320458">
          <w:rPr>
            <w:webHidden/>
          </w:rPr>
          <w:fldChar w:fldCharType="separate"/>
        </w:r>
        <w:r w:rsidR="006E56CB">
          <w:rPr>
            <w:webHidden/>
          </w:rPr>
          <w:t>275</w:t>
        </w:r>
        <w:r w:rsidR="00320458">
          <w:rPr>
            <w:webHidden/>
          </w:rPr>
          <w:fldChar w:fldCharType="end"/>
        </w:r>
      </w:hyperlink>
    </w:p>
    <w:p w14:paraId="3A0F5332" w14:textId="77777777" w:rsidR="00320458" w:rsidRDefault="00EE58C4" w:rsidP="00085DF0">
      <w:pPr>
        <w:pStyle w:val="TableofFigures"/>
        <w:spacing w:before="60" w:after="60"/>
        <w:rPr>
          <w:rFonts w:asciiTheme="minorHAnsi" w:eastAsiaTheme="minorEastAsia" w:hAnsiTheme="minorHAnsi" w:cstheme="minorBidi"/>
        </w:rPr>
      </w:pPr>
      <w:hyperlink w:anchor="_Toc460514754" w:history="1">
        <w:r w:rsidR="00320458" w:rsidRPr="002A3A7B">
          <w:rPr>
            <w:rStyle w:val="Hyperlink"/>
          </w:rPr>
          <w:t>Table 96</w:t>
        </w:r>
        <w:r w:rsidR="00320458">
          <w:rPr>
            <w:rFonts w:asciiTheme="minorHAnsi" w:eastAsiaTheme="minorEastAsia" w:hAnsiTheme="minorHAnsi" w:cstheme="minorBidi"/>
          </w:rPr>
          <w:tab/>
        </w:r>
        <w:r w:rsidR="00320458" w:rsidRPr="002A3A7B">
          <w:rPr>
            <w:rStyle w:val="Hyperlink"/>
          </w:rPr>
          <w:t>Evidence profile table for population two</w:t>
        </w:r>
        <w:r w:rsidR="00320458">
          <w:rPr>
            <w:webHidden/>
          </w:rPr>
          <w:tab/>
        </w:r>
        <w:r w:rsidR="00320458">
          <w:rPr>
            <w:webHidden/>
          </w:rPr>
          <w:fldChar w:fldCharType="begin"/>
        </w:r>
        <w:r w:rsidR="00320458">
          <w:rPr>
            <w:webHidden/>
          </w:rPr>
          <w:instrText xml:space="preserve"> PAGEREF _Toc460514754 \h </w:instrText>
        </w:r>
        <w:r w:rsidR="00320458">
          <w:rPr>
            <w:webHidden/>
          </w:rPr>
        </w:r>
        <w:r w:rsidR="00320458">
          <w:rPr>
            <w:webHidden/>
          </w:rPr>
          <w:fldChar w:fldCharType="separate"/>
        </w:r>
        <w:r w:rsidR="006E56CB">
          <w:rPr>
            <w:webHidden/>
          </w:rPr>
          <w:t>278</w:t>
        </w:r>
        <w:r w:rsidR="00320458">
          <w:rPr>
            <w:webHidden/>
          </w:rPr>
          <w:fldChar w:fldCharType="end"/>
        </w:r>
      </w:hyperlink>
    </w:p>
    <w:p w14:paraId="78F77EB3" w14:textId="77777777" w:rsidR="00320458" w:rsidRDefault="00EE58C4" w:rsidP="00085DF0">
      <w:pPr>
        <w:pStyle w:val="TableofFigures"/>
        <w:spacing w:before="60" w:after="60"/>
        <w:rPr>
          <w:rFonts w:asciiTheme="minorHAnsi" w:eastAsiaTheme="minorEastAsia" w:hAnsiTheme="minorHAnsi" w:cstheme="minorBidi"/>
        </w:rPr>
      </w:pPr>
      <w:hyperlink w:anchor="_Toc460514755" w:history="1">
        <w:r w:rsidR="00320458" w:rsidRPr="002A3A7B">
          <w:rPr>
            <w:rStyle w:val="Hyperlink"/>
          </w:rPr>
          <w:t>Table 97</w:t>
        </w:r>
        <w:r w:rsidR="00320458">
          <w:rPr>
            <w:rFonts w:asciiTheme="minorHAnsi" w:eastAsiaTheme="minorEastAsia" w:hAnsiTheme="minorHAnsi" w:cstheme="minorBidi"/>
          </w:rPr>
          <w:tab/>
        </w:r>
        <w:r w:rsidR="00320458" w:rsidRPr="002A3A7B">
          <w:rPr>
            <w:rStyle w:val="Hyperlink"/>
          </w:rPr>
          <w:t>Evidence profile table for population three</w:t>
        </w:r>
        <w:r w:rsidR="00320458">
          <w:rPr>
            <w:webHidden/>
          </w:rPr>
          <w:tab/>
        </w:r>
        <w:r w:rsidR="00320458">
          <w:rPr>
            <w:webHidden/>
          </w:rPr>
          <w:fldChar w:fldCharType="begin"/>
        </w:r>
        <w:r w:rsidR="00320458">
          <w:rPr>
            <w:webHidden/>
          </w:rPr>
          <w:instrText xml:space="preserve"> PAGEREF _Toc460514755 \h </w:instrText>
        </w:r>
        <w:r w:rsidR="00320458">
          <w:rPr>
            <w:webHidden/>
          </w:rPr>
        </w:r>
        <w:r w:rsidR="00320458">
          <w:rPr>
            <w:webHidden/>
          </w:rPr>
          <w:fldChar w:fldCharType="separate"/>
        </w:r>
        <w:r w:rsidR="006E56CB">
          <w:rPr>
            <w:webHidden/>
          </w:rPr>
          <w:t>282</w:t>
        </w:r>
        <w:r w:rsidR="00320458">
          <w:rPr>
            <w:webHidden/>
          </w:rPr>
          <w:fldChar w:fldCharType="end"/>
        </w:r>
      </w:hyperlink>
    </w:p>
    <w:p w14:paraId="49C49B8D" w14:textId="77777777" w:rsidR="00320458" w:rsidRDefault="00EE58C4" w:rsidP="00085DF0">
      <w:pPr>
        <w:pStyle w:val="TableofFigures"/>
        <w:spacing w:before="60" w:after="60"/>
        <w:rPr>
          <w:rFonts w:asciiTheme="minorHAnsi" w:eastAsiaTheme="minorEastAsia" w:hAnsiTheme="minorHAnsi" w:cstheme="minorBidi"/>
        </w:rPr>
      </w:pPr>
      <w:hyperlink w:anchor="_Toc460514756" w:history="1">
        <w:r w:rsidR="00320458" w:rsidRPr="002A3A7B">
          <w:rPr>
            <w:rStyle w:val="Hyperlink"/>
          </w:rPr>
          <w:t>Table 98</w:t>
        </w:r>
        <w:r w:rsidR="00320458">
          <w:rPr>
            <w:rFonts w:asciiTheme="minorHAnsi" w:eastAsiaTheme="minorEastAsia" w:hAnsiTheme="minorHAnsi" w:cstheme="minorBidi"/>
          </w:rPr>
          <w:tab/>
        </w:r>
        <w:r w:rsidR="00320458" w:rsidRPr="002A3A7B">
          <w:rPr>
            <w:rStyle w:val="Hyperlink"/>
          </w:rPr>
          <w:t>Evidence profile table for safety outcomes</w:t>
        </w:r>
        <w:r w:rsidR="00320458">
          <w:rPr>
            <w:webHidden/>
          </w:rPr>
          <w:tab/>
        </w:r>
        <w:r w:rsidR="00320458">
          <w:rPr>
            <w:webHidden/>
          </w:rPr>
          <w:fldChar w:fldCharType="begin"/>
        </w:r>
        <w:r w:rsidR="00320458">
          <w:rPr>
            <w:webHidden/>
          </w:rPr>
          <w:instrText xml:space="preserve"> PAGEREF _Toc460514756 \h </w:instrText>
        </w:r>
        <w:r w:rsidR="00320458">
          <w:rPr>
            <w:webHidden/>
          </w:rPr>
        </w:r>
        <w:r w:rsidR="00320458">
          <w:rPr>
            <w:webHidden/>
          </w:rPr>
          <w:fldChar w:fldCharType="separate"/>
        </w:r>
        <w:r w:rsidR="006E56CB">
          <w:rPr>
            <w:webHidden/>
          </w:rPr>
          <w:t>283</w:t>
        </w:r>
        <w:r w:rsidR="00320458">
          <w:rPr>
            <w:webHidden/>
          </w:rPr>
          <w:fldChar w:fldCharType="end"/>
        </w:r>
      </w:hyperlink>
    </w:p>
    <w:p w14:paraId="16905A19" w14:textId="77777777" w:rsidR="00320458" w:rsidRDefault="00EE58C4" w:rsidP="00085DF0">
      <w:pPr>
        <w:pStyle w:val="TableofFigures"/>
        <w:spacing w:before="60" w:after="60"/>
        <w:rPr>
          <w:rFonts w:asciiTheme="minorHAnsi" w:eastAsiaTheme="minorEastAsia" w:hAnsiTheme="minorHAnsi" w:cstheme="minorBidi"/>
        </w:rPr>
      </w:pPr>
      <w:hyperlink w:anchor="_Toc460514757" w:history="1">
        <w:r w:rsidR="00320458" w:rsidRPr="002A3A7B">
          <w:rPr>
            <w:rStyle w:val="Hyperlink"/>
          </w:rPr>
          <w:t>Table 99</w:t>
        </w:r>
        <w:r w:rsidR="00320458">
          <w:rPr>
            <w:rFonts w:asciiTheme="minorHAnsi" w:eastAsiaTheme="minorEastAsia" w:hAnsiTheme="minorHAnsi" w:cstheme="minorBidi"/>
          </w:rPr>
          <w:tab/>
        </w:r>
        <w:r w:rsidR="00320458" w:rsidRPr="002A3A7B">
          <w:rPr>
            <w:rStyle w:val="Hyperlink"/>
          </w:rPr>
          <w:t>Overall and cancer-specific survival rates at 1-, 2-, 3-, 4- and 5-years (MTA, population one)</w:t>
        </w:r>
        <w:r w:rsidR="00320458">
          <w:rPr>
            <w:webHidden/>
          </w:rPr>
          <w:tab/>
        </w:r>
        <w:r w:rsidR="00320458">
          <w:rPr>
            <w:webHidden/>
          </w:rPr>
          <w:fldChar w:fldCharType="begin"/>
        </w:r>
        <w:r w:rsidR="00320458">
          <w:rPr>
            <w:webHidden/>
          </w:rPr>
          <w:instrText xml:space="preserve"> PAGEREF _Toc460514757 \h </w:instrText>
        </w:r>
        <w:r w:rsidR="00320458">
          <w:rPr>
            <w:webHidden/>
          </w:rPr>
        </w:r>
        <w:r w:rsidR="00320458">
          <w:rPr>
            <w:webHidden/>
          </w:rPr>
          <w:fldChar w:fldCharType="separate"/>
        </w:r>
        <w:r w:rsidR="006E56CB">
          <w:rPr>
            <w:webHidden/>
          </w:rPr>
          <w:t>286</w:t>
        </w:r>
        <w:r w:rsidR="00320458">
          <w:rPr>
            <w:webHidden/>
          </w:rPr>
          <w:fldChar w:fldCharType="end"/>
        </w:r>
      </w:hyperlink>
    </w:p>
    <w:p w14:paraId="3ADD3DCF" w14:textId="77777777" w:rsidR="00320458" w:rsidRDefault="00EE58C4" w:rsidP="00085DF0">
      <w:pPr>
        <w:pStyle w:val="TableofFigures"/>
        <w:spacing w:before="60" w:after="60"/>
        <w:rPr>
          <w:rFonts w:asciiTheme="minorHAnsi" w:eastAsiaTheme="minorEastAsia" w:hAnsiTheme="minorHAnsi" w:cstheme="minorBidi"/>
        </w:rPr>
      </w:pPr>
      <w:hyperlink w:anchor="_Toc460514758" w:history="1">
        <w:r w:rsidR="00320458" w:rsidRPr="002A3A7B">
          <w:rPr>
            <w:rStyle w:val="Hyperlink"/>
          </w:rPr>
          <w:t>Table 100</w:t>
        </w:r>
        <w:r w:rsidR="00320458">
          <w:rPr>
            <w:rFonts w:asciiTheme="minorHAnsi" w:eastAsiaTheme="minorEastAsia" w:hAnsiTheme="minorHAnsi" w:cstheme="minorBidi"/>
          </w:rPr>
          <w:tab/>
        </w:r>
        <w:r w:rsidR="00320458" w:rsidRPr="002A3A7B">
          <w:rPr>
            <w:rStyle w:val="Hyperlink"/>
          </w:rPr>
          <w:t>Overall and cancer-specific survival rates at 1-, 2-, 3- or 5-years (RFA, population one)</w:t>
        </w:r>
        <w:r w:rsidR="00320458">
          <w:rPr>
            <w:webHidden/>
          </w:rPr>
          <w:tab/>
        </w:r>
        <w:r w:rsidR="00320458">
          <w:rPr>
            <w:webHidden/>
          </w:rPr>
          <w:fldChar w:fldCharType="begin"/>
        </w:r>
        <w:r w:rsidR="00320458">
          <w:rPr>
            <w:webHidden/>
          </w:rPr>
          <w:instrText xml:space="preserve"> PAGEREF _Toc460514758 \h </w:instrText>
        </w:r>
        <w:r w:rsidR="00320458">
          <w:rPr>
            <w:webHidden/>
          </w:rPr>
        </w:r>
        <w:r w:rsidR="00320458">
          <w:rPr>
            <w:webHidden/>
          </w:rPr>
          <w:fldChar w:fldCharType="separate"/>
        </w:r>
        <w:r w:rsidR="006E56CB">
          <w:rPr>
            <w:webHidden/>
          </w:rPr>
          <w:t>286</w:t>
        </w:r>
        <w:r w:rsidR="00320458">
          <w:rPr>
            <w:webHidden/>
          </w:rPr>
          <w:fldChar w:fldCharType="end"/>
        </w:r>
      </w:hyperlink>
    </w:p>
    <w:p w14:paraId="5499080A" w14:textId="77777777" w:rsidR="00320458" w:rsidRDefault="00EE58C4" w:rsidP="00085DF0">
      <w:pPr>
        <w:pStyle w:val="TableofFigures"/>
        <w:spacing w:before="60" w:after="60"/>
        <w:rPr>
          <w:rFonts w:asciiTheme="minorHAnsi" w:eastAsiaTheme="minorEastAsia" w:hAnsiTheme="minorHAnsi" w:cstheme="minorBidi"/>
        </w:rPr>
      </w:pPr>
      <w:hyperlink w:anchor="_Toc460514759" w:history="1">
        <w:r w:rsidR="00320458" w:rsidRPr="002A3A7B">
          <w:rPr>
            <w:rStyle w:val="Hyperlink"/>
          </w:rPr>
          <w:t>Table 101</w:t>
        </w:r>
        <w:r w:rsidR="00320458">
          <w:rPr>
            <w:rFonts w:asciiTheme="minorHAnsi" w:eastAsiaTheme="minorEastAsia" w:hAnsiTheme="minorHAnsi" w:cstheme="minorBidi"/>
          </w:rPr>
          <w:tab/>
        </w:r>
        <w:r w:rsidR="00320458" w:rsidRPr="002A3A7B">
          <w:rPr>
            <w:rStyle w:val="Hyperlink"/>
          </w:rPr>
          <w:t>Overall survival rates at 1, 2-, 3- and 4-or 5- years (radiotherapy, population one)</w:t>
        </w:r>
        <w:r w:rsidR="00320458">
          <w:rPr>
            <w:webHidden/>
          </w:rPr>
          <w:tab/>
        </w:r>
        <w:r w:rsidR="00320458">
          <w:rPr>
            <w:webHidden/>
          </w:rPr>
          <w:fldChar w:fldCharType="begin"/>
        </w:r>
        <w:r w:rsidR="00320458">
          <w:rPr>
            <w:webHidden/>
          </w:rPr>
          <w:instrText xml:space="preserve"> PAGEREF _Toc460514759 \h </w:instrText>
        </w:r>
        <w:r w:rsidR="00320458">
          <w:rPr>
            <w:webHidden/>
          </w:rPr>
        </w:r>
        <w:r w:rsidR="00320458">
          <w:rPr>
            <w:webHidden/>
          </w:rPr>
          <w:fldChar w:fldCharType="separate"/>
        </w:r>
        <w:r w:rsidR="006E56CB">
          <w:rPr>
            <w:webHidden/>
          </w:rPr>
          <w:t>287</w:t>
        </w:r>
        <w:r w:rsidR="00320458">
          <w:rPr>
            <w:webHidden/>
          </w:rPr>
          <w:fldChar w:fldCharType="end"/>
        </w:r>
      </w:hyperlink>
    </w:p>
    <w:p w14:paraId="0DD6394F" w14:textId="77777777" w:rsidR="00320458" w:rsidRDefault="00EE58C4" w:rsidP="00085DF0">
      <w:pPr>
        <w:pStyle w:val="TableofFigures"/>
        <w:spacing w:before="60" w:after="60"/>
        <w:rPr>
          <w:rFonts w:asciiTheme="minorHAnsi" w:eastAsiaTheme="minorEastAsia" w:hAnsiTheme="minorHAnsi" w:cstheme="minorBidi"/>
        </w:rPr>
      </w:pPr>
      <w:hyperlink w:anchor="_Toc460514760" w:history="1">
        <w:r w:rsidR="00320458" w:rsidRPr="002A3A7B">
          <w:rPr>
            <w:rStyle w:val="Hyperlink"/>
          </w:rPr>
          <w:t>Table 102</w:t>
        </w:r>
        <w:r w:rsidR="00320458">
          <w:rPr>
            <w:rFonts w:asciiTheme="minorHAnsi" w:eastAsiaTheme="minorEastAsia" w:hAnsiTheme="minorHAnsi" w:cstheme="minorBidi"/>
          </w:rPr>
          <w:tab/>
        </w:r>
        <w:r w:rsidR="00320458" w:rsidRPr="002A3A7B">
          <w:rPr>
            <w:rStyle w:val="Hyperlink"/>
          </w:rPr>
          <w:t>Overall survival rates at 1, 2-, 3- and 5- years (RFA, population two)</w:t>
        </w:r>
        <w:r w:rsidR="00320458">
          <w:rPr>
            <w:webHidden/>
          </w:rPr>
          <w:tab/>
        </w:r>
        <w:r w:rsidR="00320458">
          <w:rPr>
            <w:webHidden/>
          </w:rPr>
          <w:fldChar w:fldCharType="begin"/>
        </w:r>
        <w:r w:rsidR="00320458">
          <w:rPr>
            <w:webHidden/>
          </w:rPr>
          <w:instrText xml:space="preserve"> PAGEREF _Toc460514760 \h </w:instrText>
        </w:r>
        <w:r w:rsidR="00320458">
          <w:rPr>
            <w:webHidden/>
          </w:rPr>
        </w:r>
        <w:r w:rsidR="00320458">
          <w:rPr>
            <w:webHidden/>
          </w:rPr>
          <w:fldChar w:fldCharType="separate"/>
        </w:r>
        <w:r w:rsidR="006E56CB">
          <w:rPr>
            <w:webHidden/>
          </w:rPr>
          <w:t>288</w:t>
        </w:r>
        <w:r w:rsidR="00320458">
          <w:rPr>
            <w:webHidden/>
          </w:rPr>
          <w:fldChar w:fldCharType="end"/>
        </w:r>
      </w:hyperlink>
    </w:p>
    <w:p w14:paraId="6E613EB9" w14:textId="77777777" w:rsidR="00320458" w:rsidRDefault="00EE58C4" w:rsidP="00085DF0">
      <w:pPr>
        <w:pStyle w:val="TableofFigures"/>
        <w:spacing w:before="60" w:after="60"/>
        <w:rPr>
          <w:rFonts w:asciiTheme="minorHAnsi" w:eastAsiaTheme="minorEastAsia" w:hAnsiTheme="minorHAnsi" w:cstheme="minorBidi"/>
        </w:rPr>
      </w:pPr>
      <w:hyperlink w:anchor="_Toc460514761" w:history="1">
        <w:r w:rsidR="00320458" w:rsidRPr="002A3A7B">
          <w:rPr>
            <w:rStyle w:val="Hyperlink"/>
          </w:rPr>
          <w:t>Table 103</w:t>
        </w:r>
        <w:r w:rsidR="00320458">
          <w:rPr>
            <w:rFonts w:asciiTheme="minorHAnsi" w:eastAsiaTheme="minorEastAsia" w:hAnsiTheme="minorHAnsi" w:cstheme="minorBidi"/>
          </w:rPr>
          <w:tab/>
        </w:r>
        <w:r w:rsidR="00320458" w:rsidRPr="002A3A7B">
          <w:rPr>
            <w:rStyle w:val="Hyperlink"/>
          </w:rPr>
          <w:t>Overall survival rates at 1-, 2-, 3- and 5- years (radiotherapy, population 2)</w:t>
        </w:r>
        <w:r w:rsidR="00320458">
          <w:rPr>
            <w:webHidden/>
          </w:rPr>
          <w:tab/>
        </w:r>
        <w:r w:rsidR="00320458">
          <w:rPr>
            <w:webHidden/>
          </w:rPr>
          <w:fldChar w:fldCharType="begin"/>
        </w:r>
        <w:r w:rsidR="00320458">
          <w:rPr>
            <w:webHidden/>
          </w:rPr>
          <w:instrText xml:space="preserve"> PAGEREF _Toc460514761 \h </w:instrText>
        </w:r>
        <w:r w:rsidR="00320458">
          <w:rPr>
            <w:webHidden/>
          </w:rPr>
        </w:r>
        <w:r w:rsidR="00320458">
          <w:rPr>
            <w:webHidden/>
          </w:rPr>
          <w:fldChar w:fldCharType="separate"/>
        </w:r>
        <w:r w:rsidR="006E56CB">
          <w:rPr>
            <w:webHidden/>
          </w:rPr>
          <w:t>289</w:t>
        </w:r>
        <w:r w:rsidR="00320458">
          <w:rPr>
            <w:webHidden/>
          </w:rPr>
          <w:fldChar w:fldCharType="end"/>
        </w:r>
      </w:hyperlink>
    </w:p>
    <w:p w14:paraId="23B033CC" w14:textId="77777777" w:rsidR="00320458" w:rsidRDefault="00EE58C4" w:rsidP="00085DF0">
      <w:pPr>
        <w:pStyle w:val="TableofFigures"/>
        <w:spacing w:before="60" w:after="60"/>
        <w:rPr>
          <w:rFonts w:asciiTheme="minorHAnsi" w:eastAsiaTheme="minorEastAsia" w:hAnsiTheme="minorHAnsi" w:cstheme="minorBidi"/>
        </w:rPr>
      </w:pPr>
      <w:hyperlink w:anchor="_Toc460514762" w:history="1">
        <w:r w:rsidR="00320458" w:rsidRPr="002A3A7B">
          <w:rPr>
            <w:rStyle w:val="Hyperlink"/>
          </w:rPr>
          <w:t>Table 104</w:t>
        </w:r>
        <w:r w:rsidR="00320458">
          <w:rPr>
            <w:rFonts w:asciiTheme="minorHAnsi" w:eastAsiaTheme="minorEastAsia" w:hAnsiTheme="minorHAnsi" w:cstheme="minorBidi"/>
          </w:rPr>
          <w:tab/>
        </w:r>
        <w:r w:rsidR="00320458" w:rsidRPr="002A3A7B">
          <w:rPr>
            <w:rStyle w:val="Hyperlink"/>
          </w:rPr>
          <w:t>Overall survival rates (surgery, population 2)</w:t>
        </w:r>
        <w:r w:rsidR="00320458">
          <w:rPr>
            <w:webHidden/>
          </w:rPr>
          <w:tab/>
        </w:r>
        <w:r w:rsidR="00320458">
          <w:rPr>
            <w:webHidden/>
          </w:rPr>
          <w:fldChar w:fldCharType="begin"/>
        </w:r>
        <w:r w:rsidR="00320458">
          <w:rPr>
            <w:webHidden/>
          </w:rPr>
          <w:instrText xml:space="preserve"> PAGEREF _Toc460514762 \h </w:instrText>
        </w:r>
        <w:r w:rsidR="00320458">
          <w:rPr>
            <w:webHidden/>
          </w:rPr>
        </w:r>
        <w:r w:rsidR="00320458">
          <w:rPr>
            <w:webHidden/>
          </w:rPr>
          <w:fldChar w:fldCharType="separate"/>
        </w:r>
        <w:r w:rsidR="006E56CB">
          <w:rPr>
            <w:webHidden/>
          </w:rPr>
          <w:t>290</w:t>
        </w:r>
        <w:r w:rsidR="00320458">
          <w:rPr>
            <w:webHidden/>
          </w:rPr>
          <w:fldChar w:fldCharType="end"/>
        </w:r>
      </w:hyperlink>
    </w:p>
    <w:p w14:paraId="5D25D82A" w14:textId="77777777" w:rsidR="00310008" w:rsidRPr="00183E4D" w:rsidRDefault="00503C5B" w:rsidP="00A27881">
      <w:pPr>
        <w:pStyle w:val="Heading2"/>
        <w:tabs>
          <w:tab w:val="left" w:pos="1276"/>
        </w:tabs>
        <w:ind w:left="1276" w:hanging="1276"/>
      </w:pPr>
      <w:r>
        <w:rPr>
          <w:rFonts w:asciiTheme="minorHAnsi" w:eastAsiaTheme="minorEastAsia" w:hAnsiTheme="minorHAnsi" w:cstheme="minorBidi"/>
          <w:b w:val="0"/>
          <w:smallCaps w:val="0"/>
          <w:noProof/>
          <w:sz w:val="22"/>
        </w:rPr>
        <w:fldChar w:fldCharType="end"/>
      </w:r>
      <w:bookmarkStart w:id="25" w:name="_Toc399247192"/>
      <w:bookmarkStart w:id="26" w:name="_Toc402884711"/>
      <w:bookmarkStart w:id="27" w:name="_Toc460395994"/>
      <w:r w:rsidR="00310008" w:rsidRPr="00183E4D">
        <w:t>Boxes</w:t>
      </w:r>
      <w:bookmarkEnd w:id="23"/>
      <w:bookmarkEnd w:id="24"/>
      <w:bookmarkEnd w:id="25"/>
      <w:bookmarkEnd w:id="26"/>
      <w:bookmarkEnd w:id="27"/>
    </w:p>
    <w:p w14:paraId="6ED98C8D" w14:textId="77777777" w:rsidR="00320458" w:rsidRDefault="0086593E" w:rsidP="00085DF0">
      <w:pPr>
        <w:pStyle w:val="TableofFigures"/>
        <w:spacing w:before="60" w:after="60"/>
        <w:rPr>
          <w:rFonts w:asciiTheme="minorHAnsi" w:eastAsiaTheme="minorEastAsia" w:hAnsiTheme="minorHAnsi" w:cstheme="minorBidi"/>
        </w:rPr>
      </w:pPr>
      <w:r w:rsidRPr="00183E4D">
        <w:rPr>
          <w:rFonts w:asciiTheme="minorHAnsi" w:eastAsiaTheme="minorEastAsia" w:hAnsiTheme="minorHAnsi" w:cstheme="minorBidi"/>
        </w:rPr>
        <w:fldChar w:fldCharType="begin"/>
      </w:r>
      <w:r w:rsidR="008A46A4" w:rsidRPr="00183E4D">
        <w:rPr>
          <w:rFonts w:asciiTheme="minorHAnsi" w:eastAsiaTheme="minorEastAsia" w:hAnsiTheme="minorHAnsi" w:cstheme="minorBidi"/>
        </w:rPr>
        <w:instrText xml:space="preserve"> TOC \h \z \c "Box" </w:instrText>
      </w:r>
      <w:r w:rsidRPr="00183E4D">
        <w:rPr>
          <w:rFonts w:asciiTheme="minorHAnsi" w:eastAsiaTheme="minorEastAsia" w:hAnsiTheme="minorHAnsi" w:cstheme="minorBidi"/>
        </w:rPr>
        <w:fldChar w:fldCharType="separate"/>
      </w:r>
      <w:hyperlink w:anchor="_Toc460514763" w:history="1">
        <w:r w:rsidR="00320458" w:rsidRPr="007E22F8">
          <w:rPr>
            <w:rStyle w:val="Hyperlink"/>
          </w:rPr>
          <w:t>Box 1</w:t>
        </w:r>
        <w:r w:rsidR="00320458">
          <w:rPr>
            <w:rFonts w:asciiTheme="minorHAnsi" w:eastAsiaTheme="minorEastAsia" w:hAnsiTheme="minorHAnsi" w:cstheme="minorBidi"/>
          </w:rPr>
          <w:tab/>
        </w:r>
        <w:r w:rsidR="00320458" w:rsidRPr="007E22F8">
          <w:rPr>
            <w:rStyle w:val="Hyperlink"/>
          </w:rPr>
          <w:t>Criteria for identifying and selecting studies to determine the safety of MTA in patients with early stage inoperable NSCLC</w:t>
        </w:r>
        <w:r w:rsidR="00320458">
          <w:rPr>
            <w:webHidden/>
          </w:rPr>
          <w:tab/>
        </w:r>
        <w:r w:rsidR="00320458">
          <w:rPr>
            <w:webHidden/>
          </w:rPr>
          <w:fldChar w:fldCharType="begin"/>
        </w:r>
        <w:r w:rsidR="00320458">
          <w:rPr>
            <w:webHidden/>
          </w:rPr>
          <w:instrText xml:space="preserve"> PAGEREF _Toc460514763 \h </w:instrText>
        </w:r>
        <w:r w:rsidR="00320458">
          <w:rPr>
            <w:webHidden/>
          </w:rPr>
        </w:r>
        <w:r w:rsidR="00320458">
          <w:rPr>
            <w:webHidden/>
          </w:rPr>
          <w:fldChar w:fldCharType="separate"/>
        </w:r>
        <w:r w:rsidR="006E56CB">
          <w:rPr>
            <w:webHidden/>
          </w:rPr>
          <w:t>50</w:t>
        </w:r>
        <w:r w:rsidR="00320458">
          <w:rPr>
            <w:webHidden/>
          </w:rPr>
          <w:fldChar w:fldCharType="end"/>
        </w:r>
      </w:hyperlink>
    </w:p>
    <w:p w14:paraId="2AF1E932" w14:textId="77777777" w:rsidR="00320458" w:rsidRDefault="00EE58C4" w:rsidP="00085DF0">
      <w:pPr>
        <w:pStyle w:val="TableofFigures"/>
        <w:spacing w:before="60" w:after="60"/>
        <w:rPr>
          <w:rFonts w:asciiTheme="minorHAnsi" w:eastAsiaTheme="minorEastAsia" w:hAnsiTheme="minorHAnsi" w:cstheme="minorBidi"/>
        </w:rPr>
      </w:pPr>
      <w:hyperlink w:anchor="_Toc460514764" w:history="1">
        <w:r w:rsidR="00320458" w:rsidRPr="007E22F8">
          <w:rPr>
            <w:rStyle w:val="Hyperlink"/>
          </w:rPr>
          <w:t>Box 2</w:t>
        </w:r>
        <w:r w:rsidR="00320458">
          <w:rPr>
            <w:rFonts w:asciiTheme="minorHAnsi" w:eastAsiaTheme="minorEastAsia" w:hAnsiTheme="minorHAnsi" w:cstheme="minorBidi"/>
          </w:rPr>
          <w:tab/>
        </w:r>
        <w:r w:rsidR="00320458" w:rsidRPr="007E22F8">
          <w:rPr>
            <w:rStyle w:val="Hyperlink"/>
          </w:rPr>
          <w:t>Criteria for identifying and selecting studies to determine the effectiveness of MTA in patients with early stage, inoperable NSCLC</w:t>
        </w:r>
        <w:r w:rsidR="00320458">
          <w:rPr>
            <w:webHidden/>
          </w:rPr>
          <w:tab/>
        </w:r>
        <w:r w:rsidR="00320458">
          <w:rPr>
            <w:webHidden/>
          </w:rPr>
          <w:fldChar w:fldCharType="begin"/>
        </w:r>
        <w:r w:rsidR="00320458">
          <w:rPr>
            <w:webHidden/>
          </w:rPr>
          <w:instrText xml:space="preserve"> PAGEREF _Toc460514764 \h </w:instrText>
        </w:r>
        <w:r w:rsidR="00320458">
          <w:rPr>
            <w:webHidden/>
          </w:rPr>
        </w:r>
        <w:r w:rsidR="00320458">
          <w:rPr>
            <w:webHidden/>
          </w:rPr>
          <w:fldChar w:fldCharType="separate"/>
        </w:r>
        <w:r w:rsidR="006E56CB">
          <w:rPr>
            <w:webHidden/>
          </w:rPr>
          <w:t>51</w:t>
        </w:r>
        <w:r w:rsidR="00320458">
          <w:rPr>
            <w:webHidden/>
          </w:rPr>
          <w:fldChar w:fldCharType="end"/>
        </w:r>
      </w:hyperlink>
    </w:p>
    <w:p w14:paraId="1D8BF344" w14:textId="77777777" w:rsidR="00320458" w:rsidRDefault="00EE58C4" w:rsidP="00085DF0">
      <w:pPr>
        <w:pStyle w:val="TableofFigures"/>
        <w:spacing w:before="60" w:after="60"/>
        <w:rPr>
          <w:rFonts w:asciiTheme="minorHAnsi" w:eastAsiaTheme="minorEastAsia" w:hAnsiTheme="minorHAnsi" w:cstheme="minorBidi"/>
        </w:rPr>
      </w:pPr>
      <w:hyperlink w:anchor="_Toc460514765" w:history="1">
        <w:r w:rsidR="00320458" w:rsidRPr="007E22F8">
          <w:rPr>
            <w:rStyle w:val="Hyperlink"/>
          </w:rPr>
          <w:t>Box 3</w:t>
        </w:r>
        <w:r w:rsidR="00320458">
          <w:rPr>
            <w:rFonts w:asciiTheme="minorHAnsi" w:eastAsiaTheme="minorEastAsia" w:hAnsiTheme="minorHAnsi" w:cstheme="minorBidi"/>
          </w:rPr>
          <w:tab/>
        </w:r>
        <w:r w:rsidR="00320458" w:rsidRPr="007E22F8">
          <w:rPr>
            <w:rStyle w:val="Hyperlink"/>
          </w:rPr>
          <w:t>Criteria for identifying and selecting studies to determine the safety of MTA in patients with lung metastases in whom the primary tumour is under control, and who are receiving treatment with curative intent</w:t>
        </w:r>
        <w:r w:rsidR="00320458">
          <w:rPr>
            <w:webHidden/>
          </w:rPr>
          <w:tab/>
        </w:r>
        <w:r w:rsidR="00320458">
          <w:rPr>
            <w:webHidden/>
          </w:rPr>
          <w:fldChar w:fldCharType="begin"/>
        </w:r>
        <w:r w:rsidR="00320458">
          <w:rPr>
            <w:webHidden/>
          </w:rPr>
          <w:instrText xml:space="preserve"> PAGEREF _Toc460514765 \h </w:instrText>
        </w:r>
        <w:r w:rsidR="00320458">
          <w:rPr>
            <w:webHidden/>
          </w:rPr>
        </w:r>
        <w:r w:rsidR="00320458">
          <w:rPr>
            <w:webHidden/>
          </w:rPr>
          <w:fldChar w:fldCharType="separate"/>
        </w:r>
        <w:r w:rsidR="006E56CB">
          <w:rPr>
            <w:webHidden/>
          </w:rPr>
          <w:t>52</w:t>
        </w:r>
        <w:r w:rsidR="00320458">
          <w:rPr>
            <w:webHidden/>
          </w:rPr>
          <w:fldChar w:fldCharType="end"/>
        </w:r>
      </w:hyperlink>
    </w:p>
    <w:p w14:paraId="1D0031DA" w14:textId="77777777" w:rsidR="00320458" w:rsidRDefault="00EE58C4" w:rsidP="00085DF0">
      <w:pPr>
        <w:pStyle w:val="TableofFigures"/>
        <w:spacing w:before="60" w:after="60"/>
        <w:rPr>
          <w:rFonts w:asciiTheme="minorHAnsi" w:eastAsiaTheme="minorEastAsia" w:hAnsiTheme="minorHAnsi" w:cstheme="minorBidi"/>
        </w:rPr>
      </w:pPr>
      <w:hyperlink w:anchor="_Toc460514766" w:history="1">
        <w:r w:rsidR="00320458" w:rsidRPr="007E22F8">
          <w:rPr>
            <w:rStyle w:val="Hyperlink"/>
          </w:rPr>
          <w:t>Box 4</w:t>
        </w:r>
        <w:r w:rsidR="00320458">
          <w:rPr>
            <w:rFonts w:asciiTheme="minorHAnsi" w:eastAsiaTheme="minorEastAsia" w:hAnsiTheme="minorHAnsi" w:cstheme="minorBidi"/>
          </w:rPr>
          <w:tab/>
        </w:r>
        <w:r w:rsidR="00320458" w:rsidRPr="007E22F8">
          <w:rPr>
            <w:rStyle w:val="Hyperlink"/>
          </w:rPr>
          <w:t>Criteria for identifying and selecting studies to determine the effectiveness of MTA in patients with lung metastases in whom the primary tumour is under control, and who are receiving treatment with curative intent</w:t>
        </w:r>
        <w:r w:rsidR="00320458">
          <w:rPr>
            <w:webHidden/>
          </w:rPr>
          <w:tab/>
        </w:r>
        <w:r w:rsidR="00320458">
          <w:rPr>
            <w:webHidden/>
          </w:rPr>
          <w:fldChar w:fldCharType="begin"/>
        </w:r>
        <w:r w:rsidR="00320458">
          <w:rPr>
            <w:webHidden/>
          </w:rPr>
          <w:instrText xml:space="preserve"> PAGEREF _Toc460514766 \h </w:instrText>
        </w:r>
        <w:r w:rsidR="00320458">
          <w:rPr>
            <w:webHidden/>
          </w:rPr>
        </w:r>
        <w:r w:rsidR="00320458">
          <w:rPr>
            <w:webHidden/>
          </w:rPr>
          <w:fldChar w:fldCharType="separate"/>
        </w:r>
        <w:r w:rsidR="006E56CB">
          <w:rPr>
            <w:webHidden/>
          </w:rPr>
          <w:t>53</w:t>
        </w:r>
        <w:r w:rsidR="00320458">
          <w:rPr>
            <w:webHidden/>
          </w:rPr>
          <w:fldChar w:fldCharType="end"/>
        </w:r>
      </w:hyperlink>
    </w:p>
    <w:p w14:paraId="2B8529E0" w14:textId="77777777" w:rsidR="00320458" w:rsidRDefault="00EE58C4" w:rsidP="00085DF0">
      <w:pPr>
        <w:pStyle w:val="TableofFigures"/>
        <w:spacing w:before="60" w:after="60"/>
        <w:rPr>
          <w:rFonts w:asciiTheme="minorHAnsi" w:eastAsiaTheme="minorEastAsia" w:hAnsiTheme="minorHAnsi" w:cstheme="minorBidi"/>
        </w:rPr>
      </w:pPr>
      <w:hyperlink w:anchor="_Toc460514767" w:history="1">
        <w:r w:rsidR="00320458" w:rsidRPr="007E22F8">
          <w:rPr>
            <w:rStyle w:val="Hyperlink"/>
          </w:rPr>
          <w:t>Box 5</w:t>
        </w:r>
        <w:r w:rsidR="00320458">
          <w:rPr>
            <w:rFonts w:asciiTheme="minorHAnsi" w:eastAsiaTheme="minorEastAsia" w:hAnsiTheme="minorHAnsi" w:cstheme="minorBidi"/>
          </w:rPr>
          <w:tab/>
        </w:r>
        <w:r w:rsidR="00320458" w:rsidRPr="007E22F8">
          <w:rPr>
            <w:rStyle w:val="Hyperlink"/>
          </w:rPr>
          <w:t>Criteria for identifying and selecting studies to determine the safety of MTA in patients with NSCLC or pulmonary metastases, who are receiving palliative treatment</w:t>
        </w:r>
        <w:r w:rsidR="00320458">
          <w:rPr>
            <w:webHidden/>
          </w:rPr>
          <w:tab/>
        </w:r>
        <w:r w:rsidR="00320458">
          <w:rPr>
            <w:webHidden/>
          </w:rPr>
          <w:fldChar w:fldCharType="begin"/>
        </w:r>
        <w:r w:rsidR="00320458">
          <w:rPr>
            <w:webHidden/>
          </w:rPr>
          <w:instrText xml:space="preserve"> PAGEREF _Toc460514767 \h </w:instrText>
        </w:r>
        <w:r w:rsidR="00320458">
          <w:rPr>
            <w:webHidden/>
          </w:rPr>
        </w:r>
        <w:r w:rsidR="00320458">
          <w:rPr>
            <w:webHidden/>
          </w:rPr>
          <w:fldChar w:fldCharType="separate"/>
        </w:r>
        <w:r w:rsidR="006E56CB">
          <w:rPr>
            <w:webHidden/>
          </w:rPr>
          <w:t>54</w:t>
        </w:r>
        <w:r w:rsidR="00320458">
          <w:rPr>
            <w:webHidden/>
          </w:rPr>
          <w:fldChar w:fldCharType="end"/>
        </w:r>
      </w:hyperlink>
    </w:p>
    <w:p w14:paraId="2EA43A43" w14:textId="77777777" w:rsidR="00320458" w:rsidRDefault="00EE58C4" w:rsidP="00085DF0">
      <w:pPr>
        <w:pStyle w:val="TableofFigures"/>
        <w:spacing w:before="60" w:after="60"/>
        <w:rPr>
          <w:rFonts w:asciiTheme="minorHAnsi" w:eastAsiaTheme="minorEastAsia" w:hAnsiTheme="minorHAnsi" w:cstheme="minorBidi"/>
        </w:rPr>
      </w:pPr>
      <w:hyperlink w:anchor="_Toc460514768" w:history="1">
        <w:r w:rsidR="00320458" w:rsidRPr="007E22F8">
          <w:rPr>
            <w:rStyle w:val="Hyperlink"/>
          </w:rPr>
          <w:t>Box 6</w:t>
        </w:r>
        <w:r w:rsidR="00320458">
          <w:rPr>
            <w:rFonts w:asciiTheme="minorHAnsi" w:eastAsiaTheme="minorEastAsia" w:hAnsiTheme="minorHAnsi" w:cstheme="minorBidi"/>
          </w:rPr>
          <w:tab/>
        </w:r>
        <w:r w:rsidR="00320458" w:rsidRPr="007E22F8">
          <w:rPr>
            <w:rStyle w:val="Hyperlink"/>
          </w:rPr>
          <w:t>Criteria for identifying and selecting studies to determine the effectiveness of MTA in patients with NSCLC or pulmonary metastases who are receiving palliative treatment</w:t>
        </w:r>
        <w:r w:rsidR="00320458">
          <w:rPr>
            <w:webHidden/>
          </w:rPr>
          <w:tab/>
        </w:r>
        <w:r w:rsidR="00320458">
          <w:rPr>
            <w:webHidden/>
          </w:rPr>
          <w:fldChar w:fldCharType="begin"/>
        </w:r>
        <w:r w:rsidR="00320458">
          <w:rPr>
            <w:webHidden/>
          </w:rPr>
          <w:instrText xml:space="preserve"> PAGEREF _Toc460514768 \h </w:instrText>
        </w:r>
        <w:r w:rsidR="00320458">
          <w:rPr>
            <w:webHidden/>
          </w:rPr>
        </w:r>
        <w:r w:rsidR="00320458">
          <w:rPr>
            <w:webHidden/>
          </w:rPr>
          <w:fldChar w:fldCharType="separate"/>
        </w:r>
        <w:r w:rsidR="006E56CB">
          <w:rPr>
            <w:webHidden/>
          </w:rPr>
          <w:t>55</w:t>
        </w:r>
        <w:r w:rsidR="00320458">
          <w:rPr>
            <w:webHidden/>
          </w:rPr>
          <w:fldChar w:fldCharType="end"/>
        </w:r>
      </w:hyperlink>
    </w:p>
    <w:p w14:paraId="0FA19F77" w14:textId="0624E269" w:rsidR="00452F32" w:rsidRPr="00183E4D" w:rsidRDefault="0086593E" w:rsidP="00085DF0">
      <w:pPr>
        <w:pStyle w:val="Heading2"/>
        <w:tabs>
          <w:tab w:val="left" w:pos="1276"/>
        </w:tabs>
        <w:ind w:left="1276" w:hanging="1276"/>
      </w:pPr>
      <w:r w:rsidRPr="00183E4D">
        <w:rPr>
          <w:rFonts w:asciiTheme="minorHAnsi" w:eastAsiaTheme="minorEastAsia" w:hAnsiTheme="minorHAnsi" w:cstheme="minorBidi"/>
        </w:rPr>
        <w:fldChar w:fldCharType="end"/>
      </w:r>
      <w:bookmarkStart w:id="28" w:name="_Toc381796427"/>
      <w:bookmarkStart w:id="29" w:name="_Toc395200738"/>
      <w:bookmarkStart w:id="30" w:name="_Toc399247193"/>
      <w:bookmarkStart w:id="31" w:name="_Toc402884712"/>
      <w:bookmarkStart w:id="32" w:name="_Toc460395995"/>
      <w:r w:rsidR="008F59A8" w:rsidRPr="00183E4D">
        <w:t>Figures</w:t>
      </w:r>
      <w:bookmarkEnd w:id="28"/>
      <w:bookmarkEnd w:id="29"/>
      <w:bookmarkEnd w:id="30"/>
      <w:bookmarkEnd w:id="31"/>
      <w:bookmarkEnd w:id="32"/>
    </w:p>
    <w:p w14:paraId="5244D4B5" w14:textId="77777777" w:rsidR="00D170A5" w:rsidRDefault="0086593E" w:rsidP="00085DF0">
      <w:pPr>
        <w:pStyle w:val="TableofFigures"/>
        <w:spacing w:before="60" w:after="60"/>
        <w:rPr>
          <w:rFonts w:asciiTheme="minorHAnsi" w:eastAsiaTheme="minorEastAsia" w:hAnsiTheme="minorHAnsi" w:cstheme="minorBidi"/>
        </w:rPr>
      </w:pPr>
      <w:r w:rsidRPr="009E06DB">
        <w:rPr>
          <w:rStyle w:val="Hyperlink"/>
        </w:rPr>
        <w:fldChar w:fldCharType="begin"/>
      </w:r>
      <w:r w:rsidR="00452F32" w:rsidRPr="009E06DB">
        <w:rPr>
          <w:rStyle w:val="Hyperlink"/>
        </w:rPr>
        <w:instrText xml:space="preserve"> TOC \h \z \c "Figure" </w:instrText>
      </w:r>
      <w:r w:rsidRPr="009E06DB">
        <w:rPr>
          <w:rStyle w:val="Hyperlink"/>
        </w:rPr>
        <w:fldChar w:fldCharType="separate"/>
      </w:r>
      <w:hyperlink w:anchor="_Toc460515057" w:history="1">
        <w:r w:rsidR="00D170A5" w:rsidRPr="00731E88">
          <w:rPr>
            <w:rStyle w:val="Hyperlink"/>
          </w:rPr>
          <w:t>Figure 1</w:t>
        </w:r>
        <w:r w:rsidR="00D170A5">
          <w:rPr>
            <w:rFonts w:asciiTheme="minorHAnsi" w:eastAsiaTheme="minorEastAsia" w:hAnsiTheme="minorHAnsi" w:cstheme="minorBidi"/>
          </w:rPr>
          <w:tab/>
        </w:r>
        <w:r w:rsidR="00D170A5" w:rsidRPr="00731E88">
          <w:rPr>
            <w:rStyle w:val="Hyperlink"/>
          </w:rPr>
          <w:t>Depiction of the step-wise approach to literature searches</w:t>
        </w:r>
        <w:r w:rsidR="00D170A5">
          <w:rPr>
            <w:webHidden/>
          </w:rPr>
          <w:tab/>
        </w:r>
        <w:r w:rsidR="00D170A5">
          <w:rPr>
            <w:webHidden/>
          </w:rPr>
          <w:fldChar w:fldCharType="begin"/>
        </w:r>
        <w:r w:rsidR="00D170A5">
          <w:rPr>
            <w:webHidden/>
          </w:rPr>
          <w:instrText xml:space="preserve"> PAGEREF _Toc460515057 \h </w:instrText>
        </w:r>
        <w:r w:rsidR="00D170A5">
          <w:rPr>
            <w:webHidden/>
          </w:rPr>
        </w:r>
        <w:r w:rsidR="00D170A5">
          <w:rPr>
            <w:webHidden/>
          </w:rPr>
          <w:fldChar w:fldCharType="separate"/>
        </w:r>
        <w:r w:rsidR="006E56CB">
          <w:rPr>
            <w:webHidden/>
          </w:rPr>
          <w:t>6</w:t>
        </w:r>
        <w:r w:rsidR="00D170A5">
          <w:rPr>
            <w:webHidden/>
          </w:rPr>
          <w:fldChar w:fldCharType="end"/>
        </w:r>
      </w:hyperlink>
    </w:p>
    <w:p w14:paraId="35A10BAE" w14:textId="77777777" w:rsidR="00D170A5" w:rsidRDefault="00EE58C4" w:rsidP="00085DF0">
      <w:pPr>
        <w:pStyle w:val="TableofFigures"/>
        <w:spacing w:before="60" w:after="60"/>
        <w:rPr>
          <w:rFonts w:asciiTheme="minorHAnsi" w:eastAsiaTheme="minorEastAsia" w:hAnsiTheme="minorHAnsi" w:cstheme="minorBidi"/>
        </w:rPr>
      </w:pPr>
      <w:hyperlink w:anchor="_Toc460515058" w:history="1">
        <w:r w:rsidR="00D170A5" w:rsidRPr="00731E88">
          <w:rPr>
            <w:rStyle w:val="Hyperlink"/>
          </w:rPr>
          <w:t>Figure 2</w:t>
        </w:r>
        <w:r w:rsidR="00D170A5">
          <w:rPr>
            <w:rFonts w:asciiTheme="minorHAnsi" w:eastAsiaTheme="minorEastAsia" w:hAnsiTheme="minorHAnsi" w:cstheme="minorBidi"/>
          </w:rPr>
          <w:tab/>
        </w:r>
        <w:r w:rsidR="00D170A5" w:rsidRPr="00731E88">
          <w:rPr>
            <w:rStyle w:val="Hyperlink"/>
          </w:rPr>
          <w:t>Current clinical management algorithm for the management of unresectable, early stage NSCLC with curative intent (population one)</w:t>
        </w:r>
        <w:r w:rsidR="00D170A5">
          <w:rPr>
            <w:webHidden/>
          </w:rPr>
          <w:tab/>
        </w:r>
        <w:r w:rsidR="00D170A5">
          <w:rPr>
            <w:webHidden/>
          </w:rPr>
          <w:fldChar w:fldCharType="begin"/>
        </w:r>
        <w:r w:rsidR="00D170A5">
          <w:rPr>
            <w:webHidden/>
          </w:rPr>
          <w:instrText xml:space="preserve"> PAGEREF _Toc460515058 \h </w:instrText>
        </w:r>
        <w:r w:rsidR="00D170A5">
          <w:rPr>
            <w:webHidden/>
          </w:rPr>
        </w:r>
        <w:r w:rsidR="00D170A5">
          <w:rPr>
            <w:webHidden/>
          </w:rPr>
          <w:fldChar w:fldCharType="separate"/>
        </w:r>
        <w:r w:rsidR="006E56CB">
          <w:rPr>
            <w:webHidden/>
          </w:rPr>
          <w:t>43</w:t>
        </w:r>
        <w:r w:rsidR="00D170A5">
          <w:rPr>
            <w:webHidden/>
          </w:rPr>
          <w:fldChar w:fldCharType="end"/>
        </w:r>
      </w:hyperlink>
    </w:p>
    <w:p w14:paraId="7E49E993" w14:textId="77777777" w:rsidR="00D170A5" w:rsidRDefault="00EE58C4" w:rsidP="00085DF0">
      <w:pPr>
        <w:pStyle w:val="TableofFigures"/>
        <w:spacing w:before="60" w:after="60"/>
        <w:rPr>
          <w:rFonts w:asciiTheme="minorHAnsi" w:eastAsiaTheme="minorEastAsia" w:hAnsiTheme="minorHAnsi" w:cstheme="minorBidi"/>
        </w:rPr>
      </w:pPr>
      <w:hyperlink w:anchor="_Toc460515059" w:history="1">
        <w:r w:rsidR="00D170A5" w:rsidRPr="00731E88">
          <w:rPr>
            <w:rStyle w:val="Hyperlink"/>
          </w:rPr>
          <w:t>Figure 3</w:t>
        </w:r>
        <w:r w:rsidR="00D170A5">
          <w:rPr>
            <w:rFonts w:asciiTheme="minorHAnsi" w:eastAsiaTheme="minorEastAsia" w:hAnsiTheme="minorHAnsi" w:cstheme="minorBidi"/>
          </w:rPr>
          <w:tab/>
        </w:r>
        <w:r w:rsidR="00D170A5" w:rsidRPr="00731E88">
          <w:rPr>
            <w:rStyle w:val="Hyperlink"/>
          </w:rPr>
          <w:t>Proposed clinical management algorithm for the management of unresectable, early stage NSCLC with curative intent (population one)</w:t>
        </w:r>
        <w:r w:rsidR="00D170A5">
          <w:rPr>
            <w:webHidden/>
          </w:rPr>
          <w:tab/>
        </w:r>
        <w:r w:rsidR="00D170A5">
          <w:rPr>
            <w:webHidden/>
          </w:rPr>
          <w:fldChar w:fldCharType="begin"/>
        </w:r>
        <w:r w:rsidR="00D170A5">
          <w:rPr>
            <w:webHidden/>
          </w:rPr>
          <w:instrText xml:space="preserve"> PAGEREF _Toc460515059 \h </w:instrText>
        </w:r>
        <w:r w:rsidR="00D170A5">
          <w:rPr>
            <w:webHidden/>
          </w:rPr>
        </w:r>
        <w:r w:rsidR="00D170A5">
          <w:rPr>
            <w:webHidden/>
          </w:rPr>
          <w:fldChar w:fldCharType="separate"/>
        </w:r>
        <w:r w:rsidR="006E56CB">
          <w:rPr>
            <w:webHidden/>
          </w:rPr>
          <w:t>43</w:t>
        </w:r>
        <w:r w:rsidR="00D170A5">
          <w:rPr>
            <w:webHidden/>
          </w:rPr>
          <w:fldChar w:fldCharType="end"/>
        </w:r>
      </w:hyperlink>
    </w:p>
    <w:p w14:paraId="7492A4A9" w14:textId="77777777" w:rsidR="00D170A5" w:rsidRDefault="00EE58C4" w:rsidP="00085DF0">
      <w:pPr>
        <w:pStyle w:val="TableofFigures"/>
        <w:spacing w:before="60" w:after="60"/>
        <w:rPr>
          <w:rFonts w:asciiTheme="minorHAnsi" w:eastAsiaTheme="minorEastAsia" w:hAnsiTheme="minorHAnsi" w:cstheme="minorBidi"/>
        </w:rPr>
      </w:pPr>
      <w:hyperlink w:anchor="_Toc460515060" w:history="1">
        <w:r w:rsidR="00D170A5" w:rsidRPr="00731E88">
          <w:rPr>
            <w:rStyle w:val="Hyperlink"/>
          </w:rPr>
          <w:t>Figure 4</w:t>
        </w:r>
        <w:r w:rsidR="00D170A5">
          <w:rPr>
            <w:rFonts w:asciiTheme="minorHAnsi" w:eastAsiaTheme="minorEastAsia" w:hAnsiTheme="minorHAnsi" w:cstheme="minorBidi"/>
          </w:rPr>
          <w:tab/>
        </w:r>
        <w:r w:rsidR="00D170A5" w:rsidRPr="00731E88">
          <w:rPr>
            <w:rStyle w:val="Hyperlink"/>
            <w:rFonts w:eastAsia="Calibri" w:cs="Arial"/>
            <w:lang w:eastAsia="en-US"/>
          </w:rPr>
          <w:t xml:space="preserve">Current clinical management algorithm for the management of </w:t>
        </w:r>
        <w:r w:rsidR="00D170A5" w:rsidRPr="00731E88">
          <w:rPr>
            <w:rStyle w:val="Hyperlink"/>
          </w:rPr>
          <w:t>pulmonary metastases</w:t>
        </w:r>
        <w:r w:rsidR="00D170A5" w:rsidRPr="00731E88">
          <w:rPr>
            <w:rStyle w:val="Hyperlink"/>
            <w:rFonts w:eastAsia="Calibri" w:cs="Arial"/>
            <w:lang w:eastAsia="en-US"/>
          </w:rPr>
          <w:t xml:space="preserve"> in patients with the primary cancer under control (population two)</w:t>
        </w:r>
        <w:r w:rsidR="00D170A5">
          <w:rPr>
            <w:webHidden/>
          </w:rPr>
          <w:tab/>
        </w:r>
        <w:r w:rsidR="00D170A5">
          <w:rPr>
            <w:webHidden/>
          </w:rPr>
          <w:fldChar w:fldCharType="begin"/>
        </w:r>
        <w:r w:rsidR="00D170A5">
          <w:rPr>
            <w:webHidden/>
          </w:rPr>
          <w:instrText xml:space="preserve"> PAGEREF _Toc460515060 \h </w:instrText>
        </w:r>
        <w:r w:rsidR="00D170A5">
          <w:rPr>
            <w:webHidden/>
          </w:rPr>
        </w:r>
        <w:r w:rsidR="00D170A5">
          <w:rPr>
            <w:webHidden/>
          </w:rPr>
          <w:fldChar w:fldCharType="separate"/>
        </w:r>
        <w:r w:rsidR="006E56CB">
          <w:rPr>
            <w:webHidden/>
          </w:rPr>
          <w:t>44</w:t>
        </w:r>
        <w:r w:rsidR="00D170A5">
          <w:rPr>
            <w:webHidden/>
          </w:rPr>
          <w:fldChar w:fldCharType="end"/>
        </w:r>
      </w:hyperlink>
    </w:p>
    <w:p w14:paraId="38C3D5C4" w14:textId="77777777" w:rsidR="00D170A5" w:rsidRDefault="00EE58C4" w:rsidP="00085DF0">
      <w:pPr>
        <w:pStyle w:val="TableofFigures"/>
        <w:spacing w:before="60" w:after="60"/>
        <w:rPr>
          <w:rFonts w:asciiTheme="minorHAnsi" w:eastAsiaTheme="minorEastAsia" w:hAnsiTheme="minorHAnsi" w:cstheme="minorBidi"/>
        </w:rPr>
      </w:pPr>
      <w:hyperlink w:anchor="_Toc460515061" w:history="1">
        <w:r w:rsidR="00D170A5" w:rsidRPr="00731E88">
          <w:rPr>
            <w:rStyle w:val="Hyperlink"/>
          </w:rPr>
          <w:t>Figure 5</w:t>
        </w:r>
        <w:r w:rsidR="00D170A5">
          <w:rPr>
            <w:rFonts w:asciiTheme="minorHAnsi" w:eastAsiaTheme="minorEastAsia" w:hAnsiTheme="minorHAnsi" w:cstheme="minorBidi"/>
          </w:rPr>
          <w:tab/>
        </w:r>
        <w:r w:rsidR="00D170A5" w:rsidRPr="00731E88">
          <w:rPr>
            <w:rStyle w:val="Hyperlink"/>
          </w:rPr>
          <w:t>Proposed clinical management algorithm for the management of pulmonary metastases with curative intent in patients with the primary cancer under control (population two)</w:t>
        </w:r>
        <w:r w:rsidR="00D170A5">
          <w:rPr>
            <w:webHidden/>
          </w:rPr>
          <w:tab/>
        </w:r>
        <w:r w:rsidR="00D170A5">
          <w:rPr>
            <w:webHidden/>
          </w:rPr>
          <w:fldChar w:fldCharType="begin"/>
        </w:r>
        <w:r w:rsidR="00D170A5">
          <w:rPr>
            <w:webHidden/>
          </w:rPr>
          <w:instrText xml:space="preserve"> PAGEREF _Toc460515061 \h </w:instrText>
        </w:r>
        <w:r w:rsidR="00D170A5">
          <w:rPr>
            <w:webHidden/>
          </w:rPr>
        </w:r>
        <w:r w:rsidR="00D170A5">
          <w:rPr>
            <w:webHidden/>
          </w:rPr>
          <w:fldChar w:fldCharType="separate"/>
        </w:r>
        <w:r w:rsidR="006E56CB">
          <w:rPr>
            <w:webHidden/>
          </w:rPr>
          <w:t>45</w:t>
        </w:r>
        <w:r w:rsidR="00D170A5">
          <w:rPr>
            <w:webHidden/>
          </w:rPr>
          <w:fldChar w:fldCharType="end"/>
        </w:r>
      </w:hyperlink>
    </w:p>
    <w:p w14:paraId="4BEC891C" w14:textId="77777777" w:rsidR="00D170A5" w:rsidRDefault="00EE58C4" w:rsidP="00085DF0">
      <w:pPr>
        <w:pStyle w:val="TableofFigures"/>
        <w:spacing w:before="60" w:after="60"/>
        <w:rPr>
          <w:rFonts w:asciiTheme="minorHAnsi" w:eastAsiaTheme="minorEastAsia" w:hAnsiTheme="minorHAnsi" w:cstheme="minorBidi"/>
        </w:rPr>
      </w:pPr>
      <w:hyperlink w:anchor="_Toc460515062" w:history="1">
        <w:r w:rsidR="00D170A5" w:rsidRPr="00731E88">
          <w:rPr>
            <w:rStyle w:val="Hyperlink"/>
          </w:rPr>
          <w:t>Figure 6</w:t>
        </w:r>
        <w:r w:rsidR="00D170A5">
          <w:rPr>
            <w:rFonts w:asciiTheme="minorHAnsi" w:eastAsiaTheme="minorEastAsia" w:hAnsiTheme="minorHAnsi" w:cstheme="minorBidi"/>
          </w:rPr>
          <w:tab/>
        </w:r>
        <w:r w:rsidR="00D170A5" w:rsidRPr="00731E88">
          <w:rPr>
            <w:rStyle w:val="Hyperlink"/>
          </w:rPr>
          <w:t>Current clinical management algorithm for the palliative management of NSCLC and pulmonary metastases (population three)</w:t>
        </w:r>
        <w:r w:rsidR="00D170A5">
          <w:rPr>
            <w:webHidden/>
          </w:rPr>
          <w:tab/>
        </w:r>
        <w:r w:rsidR="00D170A5">
          <w:rPr>
            <w:webHidden/>
          </w:rPr>
          <w:fldChar w:fldCharType="begin"/>
        </w:r>
        <w:r w:rsidR="00D170A5">
          <w:rPr>
            <w:webHidden/>
          </w:rPr>
          <w:instrText xml:space="preserve"> PAGEREF _Toc460515062 \h </w:instrText>
        </w:r>
        <w:r w:rsidR="00D170A5">
          <w:rPr>
            <w:webHidden/>
          </w:rPr>
        </w:r>
        <w:r w:rsidR="00D170A5">
          <w:rPr>
            <w:webHidden/>
          </w:rPr>
          <w:fldChar w:fldCharType="separate"/>
        </w:r>
        <w:r w:rsidR="006E56CB">
          <w:rPr>
            <w:webHidden/>
          </w:rPr>
          <w:t>46</w:t>
        </w:r>
        <w:r w:rsidR="00D170A5">
          <w:rPr>
            <w:webHidden/>
          </w:rPr>
          <w:fldChar w:fldCharType="end"/>
        </w:r>
      </w:hyperlink>
    </w:p>
    <w:p w14:paraId="4C54C6E5" w14:textId="77777777" w:rsidR="00D170A5" w:rsidRDefault="00EE58C4" w:rsidP="00085DF0">
      <w:pPr>
        <w:pStyle w:val="TableofFigures"/>
        <w:spacing w:before="60" w:after="60"/>
        <w:rPr>
          <w:rFonts w:asciiTheme="minorHAnsi" w:eastAsiaTheme="minorEastAsia" w:hAnsiTheme="minorHAnsi" w:cstheme="minorBidi"/>
        </w:rPr>
      </w:pPr>
      <w:hyperlink w:anchor="_Toc460515063" w:history="1">
        <w:r w:rsidR="00D170A5" w:rsidRPr="00731E88">
          <w:rPr>
            <w:rStyle w:val="Hyperlink"/>
          </w:rPr>
          <w:t>Figure 7</w:t>
        </w:r>
        <w:r w:rsidR="00D170A5">
          <w:rPr>
            <w:rFonts w:asciiTheme="minorHAnsi" w:eastAsiaTheme="minorEastAsia" w:hAnsiTheme="minorHAnsi" w:cstheme="minorBidi"/>
          </w:rPr>
          <w:tab/>
        </w:r>
        <w:r w:rsidR="00D170A5" w:rsidRPr="00731E88">
          <w:rPr>
            <w:rStyle w:val="Hyperlink"/>
          </w:rPr>
          <w:t>Proposed clinical management algorithm for the palliative management of NSCLC and pulmonary metastases (population three)</w:t>
        </w:r>
        <w:r w:rsidR="00D170A5">
          <w:rPr>
            <w:webHidden/>
          </w:rPr>
          <w:tab/>
        </w:r>
        <w:r w:rsidR="00D170A5">
          <w:rPr>
            <w:webHidden/>
          </w:rPr>
          <w:fldChar w:fldCharType="begin"/>
        </w:r>
        <w:r w:rsidR="00D170A5">
          <w:rPr>
            <w:webHidden/>
          </w:rPr>
          <w:instrText xml:space="preserve"> PAGEREF _Toc460515063 \h </w:instrText>
        </w:r>
        <w:r w:rsidR="00D170A5">
          <w:rPr>
            <w:webHidden/>
          </w:rPr>
        </w:r>
        <w:r w:rsidR="00D170A5">
          <w:rPr>
            <w:webHidden/>
          </w:rPr>
          <w:fldChar w:fldCharType="separate"/>
        </w:r>
        <w:r w:rsidR="006E56CB">
          <w:rPr>
            <w:webHidden/>
          </w:rPr>
          <w:t>46</w:t>
        </w:r>
        <w:r w:rsidR="00D170A5">
          <w:rPr>
            <w:webHidden/>
          </w:rPr>
          <w:fldChar w:fldCharType="end"/>
        </w:r>
      </w:hyperlink>
    </w:p>
    <w:p w14:paraId="6B5F2338" w14:textId="77777777" w:rsidR="00D170A5" w:rsidRDefault="00EE58C4" w:rsidP="00085DF0">
      <w:pPr>
        <w:pStyle w:val="TableofFigures"/>
        <w:spacing w:before="60" w:after="60"/>
        <w:rPr>
          <w:rFonts w:asciiTheme="minorHAnsi" w:eastAsiaTheme="minorEastAsia" w:hAnsiTheme="minorHAnsi" w:cstheme="minorBidi"/>
        </w:rPr>
      </w:pPr>
      <w:hyperlink w:anchor="_Toc460515064" w:history="1">
        <w:r w:rsidR="00D170A5" w:rsidRPr="00731E88">
          <w:rPr>
            <w:rStyle w:val="Hyperlink"/>
          </w:rPr>
          <w:t xml:space="preserve">Figure 8 </w:t>
        </w:r>
        <w:r w:rsidR="00D170A5">
          <w:rPr>
            <w:rFonts w:asciiTheme="minorHAnsi" w:eastAsiaTheme="minorEastAsia" w:hAnsiTheme="minorHAnsi" w:cstheme="minorBidi"/>
          </w:rPr>
          <w:tab/>
        </w:r>
        <w:r w:rsidR="00D170A5" w:rsidRPr="00731E88">
          <w:rPr>
            <w:rStyle w:val="Hyperlink"/>
          </w:rPr>
          <w:t>Summary of the process used to identify and select studies of MTA</w:t>
        </w:r>
        <w:r w:rsidR="00D170A5">
          <w:rPr>
            <w:webHidden/>
          </w:rPr>
          <w:tab/>
        </w:r>
        <w:r w:rsidR="00D170A5">
          <w:rPr>
            <w:webHidden/>
          </w:rPr>
          <w:fldChar w:fldCharType="begin"/>
        </w:r>
        <w:r w:rsidR="00D170A5">
          <w:rPr>
            <w:webHidden/>
          </w:rPr>
          <w:instrText xml:space="preserve"> PAGEREF _Toc460515064 \h </w:instrText>
        </w:r>
        <w:r w:rsidR="00D170A5">
          <w:rPr>
            <w:webHidden/>
          </w:rPr>
        </w:r>
        <w:r w:rsidR="00D170A5">
          <w:rPr>
            <w:webHidden/>
          </w:rPr>
          <w:fldChar w:fldCharType="separate"/>
        </w:r>
        <w:r w:rsidR="006E56CB">
          <w:rPr>
            <w:webHidden/>
          </w:rPr>
          <w:t>59</w:t>
        </w:r>
        <w:r w:rsidR="00D170A5">
          <w:rPr>
            <w:webHidden/>
          </w:rPr>
          <w:fldChar w:fldCharType="end"/>
        </w:r>
      </w:hyperlink>
    </w:p>
    <w:p w14:paraId="3BD707FE" w14:textId="77777777" w:rsidR="00D170A5" w:rsidRDefault="00EE58C4" w:rsidP="00085DF0">
      <w:pPr>
        <w:pStyle w:val="TableofFigures"/>
        <w:spacing w:before="60" w:after="60"/>
        <w:rPr>
          <w:rFonts w:asciiTheme="minorHAnsi" w:eastAsiaTheme="minorEastAsia" w:hAnsiTheme="minorHAnsi" w:cstheme="minorBidi"/>
        </w:rPr>
      </w:pPr>
      <w:hyperlink w:anchor="_Toc460515065" w:history="1">
        <w:r w:rsidR="00D170A5" w:rsidRPr="00731E88">
          <w:rPr>
            <w:rStyle w:val="Hyperlink"/>
          </w:rPr>
          <w:t xml:space="preserve">Figure 9 </w:t>
        </w:r>
        <w:r w:rsidR="00D170A5">
          <w:rPr>
            <w:rFonts w:asciiTheme="minorHAnsi" w:eastAsiaTheme="minorEastAsia" w:hAnsiTheme="minorHAnsi" w:cstheme="minorBidi"/>
          </w:rPr>
          <w:tab/>
        </w:r>
        <w:r w:rsidR="00D170A5" w:rsidRPr="00731E88">
          <w:rPr>
            <w:rStyle w:val="Hyperlink"/>
          </w:rPr>
          <w:t>Summary of the process used to identify and select studies of RFA</w:t>
        </w:r>
        <w:r w:rsidR="00D170A5">
          <w:rPr>
            <w:webHidden/>
          </w:rPr>
          <w:tab/>
        </w:r>
        <w:r w:rsidR="00D170A5">
          <w:rPr>
            <w:webHidden/>
          </w:rPr>
          <w:fldChar w:fldCharType="begin"/>
        </w:r>
        <w:r w:rsidR="00D170A5">
          <w:rPr>
            <w:webHidden/>
          </w:rPr>
          <w:instrText xml:space="preserve"> PAGEREF _Toc460515065 \h </w:instrText>
        </w:r>
        <w:r w:rsidR="00D170A5">
          <w:rPr>
            <w:webHidden/>
          </w:rPr>
        </w:r>
        <w:r w:rsidR="00D170A5">
          <w:rPr>
            <w:webHidden/>
          </w:rPr>
          <w:fldChar w:fldCharType="separate"/>
        </w:r>
        <w:r w:rsidR="006E56CB">
          <w:rPr>
            <w:webHidden/>
          </w:rPr>
          <w:t>60</w:t>
        </w:r>
        <w:r w:rsidR="00D170A5">
          <w:rPr>
            <w:webHidden/>
          </w:rPr>
          <w:fldChar w:fldCharType="end"/>
        </w:r>
      </w:hyperlink>
    </w:p>
    <w:p w14:paraId="435A5D49" w14:textId="77777777" w:rsidR="00D170A5" w:rsidRDefault="00EE58C4" w:rsidP="00085DF0">
      <w:pPr>
        <w:pStyle w:val="TableofFigures"/>
        <w:spacing w:before="60" w:after="60"/>
        <w:rPr>
          <w:rFonts w:asciiTheme="minorHAnsi" w:eastAsiaTheme="minorEastAsia" w:hAnsiTheme="minorHAnsi" w:cstheme="minorBidi"/>
        </w:rPr>
      </w:pPr>
      <w:hyperlink w:anchor="_Toc460515066" w:history="1">
        <w:r w:rsidR="00D170A5" w:rsidRPr="00731E88">
          <w:rPr>
            <w:rStyle w:val="Hyperlink"/>
          </w:rPr>
          <w:t xml:space="preserve">Figure 10 </w:t>
        </w:r>
        <w:r w:rsidR="00D170A5">
          <w:rPr>
            <w:rFonts w:asciiTheme="minorHAnsi" w:eastAsiaTheme="minorEastAsia" w:hAnsiTheme="minorHAnsi" w:cstheme="minorBidi"/>
          </w:rPr>
          <w:tab/>
        </w:r>
        <w:r w:rsidR="00D170A5" w:rsidRPr="00731E88">
          <w:rPr>
            <w:rStyle w:val="Hyperlink"/>
          </w:rPr>
          <w:t>Summary of the process used to identify and select studies of radiotherapy</w:t>
        </w:r>
        <w:r w:rsidR="00D170A5">
          <w:rPr>
            <w:webHidden/>
          </w:rPr>
          <w:tab/>
        </w:r>
        <w:r w:rsidR="00D170A5">
          <w:rPr>
            <w:webHidden/>
          </w:rPr>
          <w:fldChar w:fldCharType="begin"/>
        </w:r>
        <w:r w:rsidR="00D170A5">
          <w:rPr>
            <w:webHidden/>
          </w:rPr>
          <w:instrText xml:space="preserve"> PAGEREF _Toc460515066 \h </w:instrText>
        </w:r>
        <w:r w:rsidR="00D170A5">
          <w:rPr>
            <w:webHidden/>
          </w:rPr>
        </w:r>
        <w:r w:rsidR="00D170A5">
          <w:rPr>
            <w:webHidden/>
          </w:rPr>
          <w:fldChar w:fldCharType="separate"/>
        </w:r>
        <w:r w:rsidR="006E56CB">
          <w:rPr>
            <w:webHidden/>
          </w:rPr>
          <w:t>60</w:t>
        </w:r>
        <w:r w:rsidR="00D170A5">
          <w:rPr>
            <w:webHidden/>
          </w:rPr>
          <w:fldChar w:fldCharType="end"/>
        </w:r>
      </w:hyperlink>
    </w:p>
    <w:p w14:paraId="7CB99454" w14:textId="77777777" w:rsidR="00D170A5" w:rsidRDefault="00EE58C4" w:rsidP="00085DF0">
      <w:pPr>
        <w:pStyle w:val="TableofFigures"/>
        <w:spacing w:before="60" w:after="60"/>
        <w:rPr>
          <w:rFonts w:asciiTheme="minorHAnsi" w:eastAsiaTheme="minorEastAsia" w:hAnsiTheme="minorHAnsi" w:cstheme="minorBidi"/>
        </w:rPr>
      </w:pPr>
      <w:hyperlink w:anchor="_Toc460515067" w:history="1">
        <w:r w:rsidR="00D170A5" w:rsidRPr="00731E88">
          <w:rPr>
            <w:rStyle w:val="Hyperlink"/>
          </w:rPr>
          <w:t>Figure 11</w:t>
        </w:r>
        <w:r w:rsidR="00D170A5">
          <w:rPr>
            <w:rFonts w:asciiTheme="minorHAnsi" w:eastAsiaTheme="minorEastAsia" w:hAnsiTheme="minorHAnsi" w:cstheme="minorBidi"/>
          </w:rPr>
          <w:tab/>
        </w:r>
        <w:r w:rsidR="00D170A5" w:rsidRPr="00731E88">
          <w:rPr>
            <w:rStyle w:val="Hyperlink"/>
          </w:rPr>
          <w:t>Overall survival rates of MTA, RFA and radiotherapy in patients with inoperable early stage NSCLC. Both interventions in the comparative radiotherapy studies are presented.</w:t>
        </w:r>
        <w:r w:rsidR="00D170A5">
          <w:rPr>
            <w:webHidden/>
          </w:rPr>
          <w:tab/>
        </w:r>
        <w:r w:rsidR="00D170A5">
          <w:rPr>
            <w:webHidden/>
          </w:rPr>
          <w:fldChar w:fldCharType="begin"/>
        </w:r>
        <w:r w:rsidR="00D170A5">
          <w:rPr>
            <w:webHidden/>
          </w:rPr>
          <w:instrText xml:space="preserve"> PAGEREF _Toc460515067 \h </w:instrText>
        </w:r>
        <w:r w:rsidR="00D170A5">
          <w:rPr>
            <w:webHidden/>
          </w:rPr>
        </w:r>
        <w:r w:rsidR="00D170A5">
          <w:rPr>
            <w:webHidden/>
          </w:rPr>
          <w:fldChar w:fldCharType="separate"/>
        </w:r>
        <w:r w:rsidR="006E56CB">
          <w:rPr>
            <w:webHidden/>
          </w:rPr>
          <w:t>130</w:t>
        </w:r>
        <w:r w:rsidR="00D170A5">
          <w:rPr>
            <w:webHidden/>
          </w:rPr>
          <w:fldChar w:fldCharType="end"/>
        </w:r>
      </w:hyperlink>
    </w:p>
    <w:p w14:paraId="767C6069" w14:textId="77777777" w:rsidR="00D170A5" w:rsidRDefault="00EE58C4" w:rsidP="00085DF0">
      <w:pPr>
        <w:pStyle w:val="TableofFigures"/>
        <w:spacing w:before="60" w:after="60"/>
        <w:rPr>
          <w:rFonts w:asciiTheme="minorHAnsi" w:eastAsiaTheme="minorEastAsia" w:hAnsiTheme="minorHAnsi" w:cstheme="minorBidi"/>
        </w:rPr>
      </w:pPr>
      <w:hyperlink w:anchor="_Toc460515068" w:history="1">
        <w:r w:rsidR="00D170A5" w:rsidRPr="00731E88">
          <w:rPr>
            <w:rStyle w:val="Hyperlink"/>
          </w:rPr>
          <w:t>Figure 12</w:t>
        </w:r>
        <w:r w:rsidR="00D170A5">
          <w:rPr>
            <w:rFonts w:asciiTheme="minorHAnsi" w:eastAsiaTheme="minorEastAsia" w:hAnsiTheme="minorHAnsi" w:cstheme="minorBidi"/>
          </w:rPr>
          <w:tab/>
        </w:r>
        <w:r w:rsidR="00D170A5" w:rsidRPr="00731E88">
          <w:rPr>
            <w:rStyle w:val="Hyperlink"/>
          </w:rPr>
          <w:t>Overall survival rates reported in studies of MTA, RFA and radiotherapy for population two</w:t>
        </w:r>
        <w:r w:rsidR="00D170A5">
          <w:rPr>
            <w:webHidden/>
          </w:rPr>
          <w:tab/>
        </w:r>
        <w:r w:rsidR="00D170A5">
          <w:rPr>
            <w:webHidden/>
          </w:rPr>
          <w:fldChar w:fldCharType="begin"/>
        </w:r>
        <w:r w:rsidR="00D170A5">
          <w:rPr>
            <w:webHidden/>
          </w:rPr>
          <w:instrText xml:space="preserve"> PAGEREF _Toc460515068 \h </w:instrText>
        </w:r>
        <w:r w:rsidR="00D170A5">
          <w:rPr>
            <w:webHidden/>
          </w:rPr>
        </w:r>
        <w:r w:rsidR="00D170A5">
          <w:rPr>
            <w:webHidden/>
          </w:rPr>
          <w:fldChar w:fldCharType="separate"/>
        </w:r>
        <w:r w:rsidR="006E56CB">
          <w:rPr>
            <w:webHidden/>
          </w:rPr>
          <w:t>136</w:t>
        </w:r>
        <w:r w:rsidR="00D170A5">
          <w:rPr>
            <w:webHidden/>
          </w:rPr>
          <w:fldChar w:fldCharType="end"/>
        </w:r>
      </w:hyperlink>
    </w:p>
    <w:p w14:paraId="1C8B8CC4" w14:textId="77777777" w:rsidR="00D170A5" w:rsidRDefault="00EE58C4" w:rsidP="00085DF0">
      <w:pPr>
        <w:pStyle w:val="TableofFigures"/>
        <w:spacing w:before="60" w:after="60"/>
        <w:rPr>
          <w:rFonts w:asciiTheme="minorHAnsi" w:eastAsiaTheme="minorEastAsia" w:hAnsiTheme="minorHAnsi" w:cstheme="minorBidi"/>
        </w:rPr>
      </w:pPr>
      <w:hyperlink w:anchor="_Toc460515069" w:history="1">
        <w:r w:rsidR="00D170A5" w:rsidRPr="00731E88">
          <w:rPr>
            <w:rStyle w:val="Hyperlink"/>
          </w:rPr>
          <w:t>Figure 13</w:t>
        </w:r>
        <w:r w:rsidR="00D170A5">
          <w:rPr>
            <w:rFonts w:asciiTheme="minorHAnsi" w:eastAsiaTheme="minorEastAsia" w:hAnsiTheme="minorHAnsi" w:cstheme="minorBidi"/>
          </w:rPr>
          <w:tab/>
        </w:r>
        <w:r w:rsidR="00D170A5" w:rsidRPr="00731E88">
          <w:rPr>
            <w:rStyle w:val="Hyperlink"/>
          </w:rPr>
          <w:t>Incidence of Lung Cancer, Australia 1982–2012 (AIHW 2016)</w:t>
        </w:r>
        <w:r w:rsidR="00D170A5">
          <w:rPr>
            <w:webHidden/>
          </w:rPr>
          <w:tab/>
        </w:r>
        <w:r w:rsidR="00D170A5">
          <w:rPr>
            <w:webHidden/>
          </w:rPr>
          <w:fldChar w:fldCharType="begin"/>
        </w:r>
        <w:r w:rsidR="00D170A5">
          <w:rPr>
            <w:webHidden/>
          </w:rPr>
          <w:instrText xml:space="preserve"> PAGEREF _Toc460515069 \h </w:instrText>
        </w:r>
        <w:r w:rsidR="00D170A5">
          <w:rPr>
            <w:webHidden/>
          </w:rPr>
        </w:r>
        <w:r w:rsidR="00D170A5">
          <w:rPr>
            <w:webHidden/>
          </w:rPr>
          <w:fldChar w:fldCharType="separate"/>
        </w:r>
        <w:r w:rsidR="006E56CB">
          <w:rPr>
            <w:webHidden/>
          </w:rPr>
          <w:t>193</w:t>
        </w:r>
        <w:r w:rsidR="00D170A5">
          <w:rPr>
            <w:webHidden/>
          </w:rPr>
          <w:fldChar w:fldCharType="end"/>
        </w:r>
      </w:hyperlink>
    </w:p>
    <w:p w14:paraId="7D9107AD" w14:textId="5E3BE9ED" w:rsidR="00452F32" w:rsidRPr="00183E4D" w:rsidRDefault="00EE58C4" w:rsidP="00085DF0">
      <w:pPr>
        <w:pStyle w:val="TableofFigures"/>
        <w:spacing w:before="60" w:after="60"/>
      </w:pPr>
      <w:hyperlink w:anchor="_Toc460515070" w:history="1">
        <w:r w:rsidR="00D170A5" w:rsidRPr="00731E88">
          <w:rPr>
            <w:rStyle w:val="Hyperlink"/>
          </w:rPr>
          <w:t>Figure 14</w:t>
        </w:r>
        <w:r w:rsidR="00D170A5">
          <w:rPr>
            <w:rFonts w:asciiTheme="minorHAnsi" w:eastAsiaTheme="minorEastAsia" w:hAnsiTheme="minorHAnsi" w:cstheme="minorBidi"/>
          </w:rPr>
          <w:tab/>
        </w:r>
        <w:r w:rsidR="00D170A5" w:rsidRPr="00731E88">
          <w:rPr>
            <w:rStyle w:val="Hyperlink"/>
          </w:rPr>
          <w:t>Incidence of lung cancer in Australia by sub-population of interest (Barton et al 2013)</w:t>
        </w:r>
        <w:r w:rsidR="00D170A5">
          <w:rPr>
            <w:webHidden/>
          </w:rPr>
          <w:tab/>
        </w:r>
        <w:r w:rsidR="00D170A5">
          <w:rPr>
            <w:webHidden/>
          </w:rPr>
          <w:fldChar w:fldCharType="begin"/>
        </w:r>
        <w:r w:rsidR="00D170A5">
          <w:rPr>
            <w:webHidden/>
          </w:rPr>
          <w:instrText xml:space="preserve"> PAGEREF _Toc460515070 \h </w:instrText>
        </w:r>
        <w:r w:rsidR="00D170A5">
          <w:rPr>
            <w:webHidden/>
          </w:rPr>
        </w:r>
        <w:r w:rsidR="00D170A5">
          <w:rPr>
            <w:webHidden/>
          </w:rPr>
          <w:fldChar w:fldCharType="separate"/>
        </w:r>
        <w:r w:rsidR="006E56CB">
          <w:rPr>
            <w:webHidden/>
          </w:rPr>
          <w:t>195</w:t>
        </w:r>
        <w:r w:rsidR="00D170A5">
          <w:rPr>
            <w:webHidden/>
          </w:rPr>
          <w:fldChar w:fldCharType="end"/>
        </w:r>
      </w:hyperlink>
      <w:r w:rsidR="0086593E" w:rsidRPr="009E06DB">
        <w:rPr>
          <w:rStyle w:val="Hyperlink"/>
        </w:rPr>
        <w:fldChar w:fldCharType="end"/>
      </w:r>
    </w:p>
    <w:p w14:paraId="3FE0629F" w14:textId="77777777" w:rsidR="008F59A8" w:rsidRPr="00183E4D" w:rsidRDefault="008F59A8" w:rsidP="00085DF0">
      <w:pPr>
        <w:spacing w:before="60" w:after="60"/>
        <w:sectPr w:rsidR="008F59A8" w:rsidRPr="00183E4D" w:rsidSect="0024526E">
          <w:headerReference w:type="even" r:id="rId19"/>
          <w:headerReference w:type="default" r:id="rId20"/>
          <w:footerReference w:type="even" r:id="rId21"/>
          <w:footerReference w:type="default" r:id="rId22"/>
          <w:headerReference w:type="first" r:id="rId23"/>
          <w:type w:val="oddPage"/>
          <w:pgSz w:w="11906" w:h="16838"/>
          <w:pgMar w:top="1440" w:right="1440" w:bottom="1440" w:left="1440" w:header="720" w:footer="720" w:gutter="0"/>
          <w:paperSrc w:first="2" w:other="2"/>
          <w:pgNumType w:fmt="lowerRoman"/>
          <w:cols w:space="720"/>
          <w:docGrid w:linePitch="299"/>
        </w:sectPr>
      </w:pPr>
    </w:p>
    <w:p w14:paraId="1E344176" w14:textId="77777777" w:rsidR="002F5F9B" w:rsidRPr="00183E4D" w:rsidRDefault="000D1300" w:rsidP="003F14F1">
      <w:pPr>
        <w:pStyle w:val="Heading1"/>
        <w:pBdr>
          <w:bottom w:val="none" w:sz="0" w:space="0" w:color="auto"/>
        </w:pBdr>
        <w:spacing w:before="0" w:after="200"/>
      </w:pPr>
      <w:bookmarkStart w:id="33" w:name="_Toc236559502"/>
      <w:bookmarkStart w:id="34" w:name="_Toc379118056"/>
      <w:bookmarkStart w:id="35" w:name="_Toc381796428"/>
      <w:bookmarkStart w:id="36" w:name="_Toc460395996"/>
      <w:r w:rsidRPr="00183E4D">
        <w:lastRenderedPageBreak/>
        <w:t>Executive S</w:t>
      </w:r>
      <w:r w:rsidR="002F5F9B" w:rsidRPr="00183E4D">
        <w:t>ummary</w:t>
      </w:r>
      <w:bookmarkEnd w:id="33"/>
      <w:bookmarkEnd w:id="34"/>
      <w:bookmarkEnd w:id="35"/>
      <w:bookmarkEnd w:id="36"/>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242"/>
      </w:tblGrid>
      <w:tr w:rsidR="0085259E" w:rsidRPr="00C60173" w14:paraId="336F9768" w14:textId="77777777" w:rsidTr="00CA79E5">
        <w:trPr>
          <w:tblHeader/>
        </w:trPr>
        <w:tc>
          <w:tcPr>
            <w:tcW w:w="9242" w:type="dxa"/>
            <w:tcBorders>
              <w:top w:val="single" w:sz="4" w:space="0" w:color="auto"/>
              <w:left w:val="single" w:sz="4" w:space="0" w:color="auto"/>
              <w:bottom w:val="single" w:sz="4" w:space="0" w:color="auto"/>
              <w:right w:val="single" w:sz="4" w:space="0" w:color="auto"/>
            </w:tcBorders>
            <w:tcMar>
              <w:right w:w="284" w:type="dxa"/>
            </w:tcMar>
            <w:hideMark/>
          </w:tcPr>
          <w:p w14:paraId="55BFFB39" w14:textId="77777777" w:rsidR="00263624" w:rsidRPr="00263624" w:rsidRDefault="00263624" w:rsidP="0089650F">
            <w:pPr>
              <w:spacing w:before="200" w:after="60"/>
              <w:ind w:left="0"/>
              <w:rPr>
                <w:rFonts w:ascii="Arial Narrow" w:hAnsi="Arial Narrow"/>
                <w:b/>
              </w:rPr>
            </w:pPr>
            <w:bookmarkStart w:id="37" w:name="_Toc381796429"/>
            <w:r w:rsidRPr="00263624">
              <w:rPr>
                <w:rFonts w:ascii="Arial Narrow" w:hAnsi="Arial Narrow"/>
                <w:b/>
              </w:rPr>
              <w:t>Main issues for MSAC consideration</w:t>
            </w:r>
            <w:r w:rsidR="0089650F">
              <w:rPr>
                <w:rFonts w:ascii="Arial Narrow" w:hAnsi="Arial Narrow"/>
                <w:b/>
              </w:rPr>
              <w:t>:</w:t>
            </w:r>
          </w:p>
          <w:p w14:paraId="41158BC1" w14:textId="396DE29A" w:rsidR="008F3BF5" w:rsidRPr="00056F6C" w:rsidRDefault="008F3BF5" w:rsidP="007B30EF">
            <w:pPr>
              <w:pStyle w:val="ListParagraph"/>
              <w:numPr>
                <w:ilvl w:val="0"/>
                <w:numId w:val="10"/>
              </w:numPr>
              <w:spacing w:before="200" w:after="60"/>
              <w:ind w:left="567" w:hanging="283"/>
              <w:rPr>
                <w:rFonts w:ascii="Arial Narrow" w:hAnsi="Arial Narrow"/>
              </w:rPr>
            </w:pPr>
            <w:r w:rsidRPr="00BA7D29">
              <w:rPr>
                <w:rFonts w:ascii="Arial Narrow" w:hAnsi="Arial Narrow"/>
              </w:rPr>
              <w:t xml:space="preserve">Clinical input suggests that approximately 90 per cent of </w:t>
            </w:r>
            <w:r w:rsidR="006B0E56">
              <w:rPr>
                <w:rFonts w:ascii="Arial Narrow" w:hAnsi="Arial Narrow"/>
              </w:rPr>
              <w:t xml:space="preserve">lung </w:t>
            </w:r>
            <w:r w:rsidR="00DD2D86" w:rsidRPr="00FC5A38">
              <w:rPr>
                <w:rFonts w:ascii="Arial Narrow" w:hAnsi="Arial Narrow"/>
              </w:rPr>
              <w:t>microwave tissue ablation (MTA)</w:t>
            </w:r>
            <w:r w:rsidRPr="00056F6C">
              <w:rPr>
                <w:rFonts w:ascii="Arial Narrow" w:hAnsi="Arial Narrow"/>
              </w:rPr>
              <w:t xml:space="preserve"> procedures </w:t>
            </w:r>
            <w:r w:rsidR="006B0E56">
              <w:rPr>
                <w:rFonts w:ascii="Arial Narrow" w:hAnsi="Arial Narrow"/>
              </w:rPr>
              <w:t xml:space="preserve">conducted in Australia are for </w:t>
            </w:r>
            <w:r w:rsidRPr="00056F6C">
              <w:rPr>
                <w:rFonts w:ascii="Arial Narrow" w:hAnsi="Arial Narrow"/>
              </w:rPr>
              <w:t xml:space="preserve">early stage non-small cell lung cancer (NSCLC), </w:t>
            </w:r>
            <w:r w:rsidR="00157418">
              <w:rPr>
                <w:rFonts w:ascii="Arial Narrow" w:hAnsi="Arial Narrow"/>
              </w:rPr>
              <w:t>and</w:t>
            </w:r>
            <w:r w:rsidRPr="00056F6C">
              <w:rPr>
                <w:rFonts w:ascii="Arial Narrow" w:hAnsi="Arial Narrow"/>
              </w:rPr>
              <w:t xml:space="preserve"> 10 per cent are </w:t>
            </w:r>
            <w:r w:rsidR="006B0E56">
              <w:rPr>
                <w:rFonts w:ascii="Arial Narrow" w:hAnsi="Arial Narrow"/>
              </w:rPr>
              <w:t>for</w:t>
            </w:r>
            <w:r w:rsidRPr="00056F6C">
              <w:rPr>
                <w:rFonts w:ascii="Arial Narrow" w:hAnsi="Arial Narrow"/>
              </w:rPr>
              <w:t xml:space="preserve"> oligometastatic disease. Clinical input also suggests that stereotactic body </w:t>
            </w:r>
            <w:r w:rsidR="009C5B80" w:rsidRPr="00056F6C">
              <w:rPr>
                <w:rFonts w:ascii="Arial Narrow" w:hAnsi="Arial Narrow"/>
              </w:rPr>
              <w:t>radiation therapy</w:t>
            </w:r>
            <w:r w:rsidRPr="00056F6C">
              <w:rPr>
                <w:rFonts w:ascii="Arial Narrow" w:hAnsi="Arial Narrow"/>
              </w:rPr>
              <w:t xml:space="preserve"> (SBRT) is the main comparator to ablative technologies, as both SBRT and MTA are primarily offered to patients who are not eligible for </w:t>
            </w:r>
            <w:r w:rsidR="00113302">
              <w:rPr>
                <w:rFonts w:ascii="Arial Narrow" w:hAnsi="Arial Narrow"/>
              </w:rPr>
              <w:t xml:space="preserve">surgical </w:t>
            </w:r>
            <w:r w:rsidRPr="00056F6C">
              <w:rPr>
                <w:rFonts w:ascii="Arial Narrow" w:hAnsi="Arial Narrow"/>
              </w:rPr>
              <w:t>resection.</w:t>
            </w:r>
          </w:p>
          <w:p w14:paraId="729F40FA" w14:textId="77777777" w:rsidR="00862BD1" w:rsidRPr="00056F6C" w:rsidRDefault="00FF6712" w:rsidP="007B30EF">
            <w:pPr>
              <w:pStyle w:val="ListParagraph"/>
              <w:numPr>
                <w:ilvl w:val="0"/>
                <w:numId w:val="10"/>
              </w:numPr>
              <w:spacing w:before="200" w:after="60"/>
              <w:ind w:left="567" w:hanging="283"/>
              <w:rPr>
                <w:rFonts w:ascii="Arial Narrow" w:hAnsi="Arial Narrow"/>
              </w:rPr>
            </w:pPr>
            <w:r w:rsidRPr="00056F6C">
              <w:rPr>
                <w:rFonts w:ascii="Arial Narrow" w:hAnsi="Arial Narrow"/>
              </w:rPr>
              <w:t xml:space="preserve">The evidence for </w:t>
            </w:r>
            <w:r w:rsidR="00C60173">
              <w:rPr>
                <w:rFonts w:ascii="Arial Narrow" w:hAnsi="Arial Narrow"/>
              </w:rPr>
              <w:t xml:space="preserve">lung </w:t>
            </w:r>
            <w:r w:rsidRPr="00BA7D29">
              <w:rPr>
                <w:rFonts w:ascii="Arial Narrow" w:hAnsi="Arial Narrow"/>
              </w:rPr>
              <w:t>MTA in patients with inoperable early stage NSCLC, and</w:t>
            </w:r>
            <w:r w:rsidRPr="00056F6C">
              <w:rPr>
                <w:rFonts w:ascii="Arial Narrow" w:hAnsi="Arial Narrow"/>
              </w:rPr>
              <w:t xml:space="preserve"> in patients with pulmonary oligometastatic disease in whom the primary cancer is under control, </w:t>
            </w:r>
            <w:r w:rsidR="00BA1F8F" w:rsidRPr="00056F6C">
              <w:rPr>
                <w:rFonts w:ascii="Arial Narrow" w:hAnsi="Arial Narrow"/>
              </w:rPr>
              <w:t>was</w:t>
            </w:r>
            <w:r w:rsidRPr="00056F6C">
              <w:rPr>
                <w:rFonts w:ascii="Arial Narrow" w:hAnsi="Arial Narrow"/>
              </w:rPr>
              <w:t xml:space="preserve"> </w:t>
            </w:r>
            <w:r w:rsidR="001B25A6" w:rsidRPr="00056F6C">
              <w:rPr>
                <w:rFonts w:ascii="Arial Narrow" w:hAnsi="Arial Narrow"/>
              </w:rPr>
              <w:t>comprised entirely of</w:t>
            </w:r>
            <w:r w:rsidRPr="00056F6C">
              <w:rPr>
                <w:rFonts w:ascii="Arial Narrow" w:hAnsi="Arial Narrow"/>
              </w:rPr>
              <w:t xml:space="preserve"> retrospective Level IV (case series) studies with small sample sizes. </w:t>
            </w:r>
            <w:r w:rsidR="00862BD1" w:rsidRPr="00056F6C">
              <w:rPr>
                <w:rFonts w:ascii="Arial Narrow" w:hAnsi="Arial Narrow"/>
              </w:rPr>
              <w:t>The evidence base for the comparator interventions – radiofrequency ablation (RFA), radiotherapy and surgical resection – was also limited by study design (predominantly Level IV case series).</w:t>
            </w:r>
          </w:p>
          <w:p w14:paraId="628CBD2A" w14:textId="77777777" w:rsidR="00FF6712" w:rsidRPr="00056F6C" w:rsidRDefault="00862BD1" w:rsidP="007B30EF">
            <w:pPr>
              <w:pStyle w:val="ListParagraph"/>
              <w:numPr>
                <w:ilvl w:val="0"/>
                <w:numId w:val="10"/>
              </w:numPr>
              <w:spacing w:before="200" w:after="60"/>
              <w:ind w:left="567" w:hanging="283"/>
              <w:rPr>
                <w:rFonts w:ascii="Arial Narrow" w:hAnsi="Arial Narrow"/>
              </w:rPr>
            </w:pPr>
            <w:r w:rsidRPr="00056F6C">
              <w:rPr>
                <w:rFonts w:ascii="Arial Narrow" w:hAnsi="Arial Narrow"/>
              </w:rPr>
              <w:t xml:space="preserve">These limitations introduced significant uncertainty in the clinical evidence, </w:t>
            </w:r>
            <w:r w:rsidR="008A3A0B" w:rsidRPr="00056F6C">
              <w:rPr>
                <w:rFonts w:ascii="Arial Narrow" w:hAnsi="Arial Narrow"/>
              </w:rPr>
              <w:t>and precluded</w:t>
            </w:r>
            <w:r w:rsidRPr="00056F6C">
              <w:rPr>
                <w:rFonts w:ascii="Arial Narrow" w:hAnsi="Arial Narrow"/>
              </w:rPr>
              <w:t xml:space="preserve"> a</w:t>
            </w:r>
            <w:r w:rsidR="008A3A0B" w:rsidRPr="00056F6C">
              <w:rPr>
                <w:rFonts w:ascii="Arial Narrow" w:hAnsi="Arial Narrow"/>
              </w:rPr>
              <w:t>ny</w:t>
            </w:r>
            <w:r w:rsidRPr="00056F6C">
              <w:rPr>
                <w:rFonts w:ascii="Arial Narrow" w:hAnsi="Arial Narrow"/>
              </w:rPr>
              <w:t xml:space="preserve"> direct </w:t>
            </w:r>
            <w:r w:rsidR="008A3A0B" w:rsidRPr="00056F6C">
              <w:rPr>
                <w:rFonts w:ascii="Arial Narrow" w:hAnsi="Arial Narrow"/>
              </w:rPr>
              <w:t xml:space="preserve">or indirect </w:t>
            </w:r>
            <w:r w:rsidRPr="00056F6C">
              <w:rPr>
                <w:rFonts w:ascii="Arial Narrow" w:hAnsi="Arial Narrow"/>
              </w:rPr>
              <w:t xml:space="preserve">comparison of the clinical benefits of </w:t>
            </w:r>
            <w:r w:rsidR="00C60173">
              <w:rPr>
                <w:rFonts w:ascii="Arial Narrow" w:hAnsi="Arial Narrow"/>
              </w:rPr>
              <w:t xml:space="preserve">lung </w:t>
            </w:r>
            <w:r w:rsidRPr="00BA7D29">
              <w:rPr>
                <w:rFonts w:ascii="Arial Narrow" w:hAnsi="Arial Narrow"/>
              </w:rPr>
              <w:t>MTA relative to the comparator</w:t>
            </w:r>
            <w:r w:rsidR="00F367B0">
              <w:rPr>
                <w:rFonts w:ascii="Arial Narrow" w:hAnsi="Arial Narrow"/>
              </w:rPr>
              <w:t>s</w:t>
            </w:r>
            <w:r w:rsidRPr="00BA7D29">
              <w:rPr>
                <w:rFonts w:ascii="Arial Narrow" w:hAnsi="Arial Narrow"/>
              </w:rPr>
              <w:t>.</w:t>
            </w:r>
            <w:r w:rsidR="002728C9" w:rsidRPr="00056F6C">
              <w:rPr>
                <w:rFonts w:ascii="Arial Narrow" w:hAnsi="Arial Narrow"/>
              </w:rPr>
              <w:t xml:space="preserve"> </w:t>
            </w:r>
            <w:r w:rsidR="00FF6712" w:rsidRPr="00056F6C">
              <w:rPr>
                <w:rFonts w:ascii="Arial Narrow" w:hAnsi="Arial Narrow"/>
              </w:rPr>
              <w:t xml:space="preserve">Therefore, statistical tests of non-inferiority of </w:t>
            </w:r>
            <w:r w:rsidR="00C60173">
              <w:rPr>
                <w:rFonts w:ascii="Arial Narrow" w:hAnsi="Arial Narrow"/>
              </w:rPr>
              <w:t xml:space="preserve">lung </w:t>
            </w:r>
            <w:r w:rsidR="00FF6712" w:rsidRPr="00BA7D29">
              <w:rPr>
                <w:rFonts w:ascii="Arial Narrow" w:hAnsi="Arial Narrow"/>
              </w:rPr>
              <w:t xml:space="preserve">MTA </w:t>
            </w:r>
            <w:r w:rsidR="000F182B" w:rsidRPr="00056F6C">
              <w:rPr>
                <w:rFonts w:ascii="Arial Narrow" w:hAnsi="Arial Narrow"/>
              </w:rPr>
              <w:t>relative</w:t>
            </w:r>
            <w:r w:rsidR="00FF6712" w:rsidRPr="00056F6C">
              <w:rPr>
                <w:rFonts w:ascii="Arial Narrow" w:hAnsi="Arial Narrow"/>
              </w:rPr>
              <w:t xml:space="preserve"> to </w:t>
            </w:r>
            <w:r w:rsidR="000F182B" w:rsidRPr="00056F6C">
              <w:rPr>
                <w:rFonts w:ascii="Arial Narrow" w:hAnsi="Arial Narrow"/>
              </w:rPr>
              <w:t>the comparator interventions</w:t>
            </w:r>
            <w:r w:rsidR="00FF6712" w:rsidRPr="00056F6C">
              <w:rPr>
                <w:rFonts w:ascii="Arial Narrow" w:hAnsi="Arial Narrow"/>
              </w:rPr>
              <w:t xml:space="preserve"> could</w:t>
            </w:r>
            <w:r w:rsidR="002728C9" w:rsidRPr="00056F6C">
              <w:rPr>
                <w:rFonts w:ascii="Arial Narrow" w:hAnsi="Arial Narrow"/>
              </w:rPr>
              <w:t xml:space="preserve"> not</w:t>
            </w:r>
            <w:r w:rsidR="00FF6712" w:rsidRPr="00056F6C">
              <w:rPr>
                <w:rFonts w:ascii="Arial Narrow" w:hAnsi="Arial Narrow"/>
              </w:rPr>
              <w:t xml:space="preserve"> be performed. </w:t>
            </w:r>
          </w:p>
          <w:p w14:paraId="4C41E852" w14:textId="63717020" w:rsidR="00233607" w:rsidRPr="00BA7D29" w:rsidRDefault="00233607" w:rsidP="007B30EF">
            <w:pPr>
              <w:pStyle w:val="ListParagraph"/>
              <w:numPr>
                <w:ilvl w:val="0"/>
                <w:numId w:val="10"/>
              </w:numPr>
              <w:spacing w:before="200" w:after="60"/>
              <w:ind w:left="567" w:hanging="283"/>
              <w:rPr>
                <w:rFonts w:ascii="Arial Narrow" w:hAnsi="Arial Narrow"/>
              </w:rPr>
            </w:pPr>
            <w:r w:rsidRPr="00056F6C">
              <w:rPr>
                <w:rFonts w:ascii="Arial Narrow" w:hAnsi="Arial Narrow"/>
              </w:rPr>
              <w:t>Pneumothorax was the most common adverse event associated with MTA (median 30%, range 8</w:t>
            </w:r>
            <w:r w:rsidR="00D35E9C">
              <w:rPr>
                <w:rFonts w:ascii="Arial Narrow" w:hAnsi="Arial Narrow"/>
              </w:rPr>
              <w:t>–</w:t>
            </w:r>
            <w:r w:rsidRPr="00056F6C">
              <w:rPr>
                <w:rFonts w:ascii="Arial Narrow" w:hAnsi="Arial Narrow"/>
              </w:rPr>
              <w:t>64%, 20 studies), a proportion of which require chest tube placement (median 10%, range 0</w:t>
            </w:r>
            <w:r w:rsidR="00D35E9C">
              <w:rPr>
                <w:rFonts w:ascii="Arial Narrow" w:hAnsi="Arial Narrow"/>
              </w:rPr>
              <w:t>–</w:t>
            </w:r>
            <w:r w:rsidRPr="00056F6C">
              <w:rPr>
                <w:rFonts w:ascii="Arial Narrow" w:hAnsi="Arial Narrow"/>
              </w:rPr>
              <w:t>29%). Other adverse events were reported variably. Procedure-related deaths were rare (0.2%, 2/916, 23 studies</w:t>
            </w:r>
            <w:r w:rsidRPr="00BA7D29">
              <w:rPr>
                <w:rFonts w:ascii="Arial Narrow" w:hAnsi="Arial Narrow"/>
              </w:rPr>
              <w:t>).</w:t>
            </w:r>
          </w:p>
          <w:p w14:paraId="177A797E" w14:textId="77777777" w:rsidR="00270294" w:rsidRPr="00056F6C" w:rsidRDefault="00C64612" w:rsidP="007B30EF">
            <w:pPr>
              <w:pStyle w:val="ListParagraph"/>
              <w:numPr>
                <w:ilvl w:val="0"/>
                <w:numId w:val="10"/>
              </w:numPr>
              <w:spacing w:before="200" w:after="60"/>
              <w:ind w:left="567" w:hanging="283"/>
              <w:rPr>
                <w:rFonts w:ascii="Arial Narrow" w:hAnsi="Arial Narrow"/>
              </w:rPr>
            </w:pPr>
            <w:r w:rsidRPr="00056F6C">
              <w:rPr>
                <w:rFonts w:ascii="Arial Narrow" w:hAnsi="Arial Narrow"/>
              </w:rPr>
              <w:t>Due to</w:t>
            </w:r>
            <w:r w:rsidR="00270294" w:rsidRPr="00056F6C">
              <w:rPr>
                <w:rFonts w:ascii="Arial Narrow" w:hAnsi="Arial Narrow"/>
              </w:rPr>
              <w:t xml:space="preserve"> the uncertain clinical benefit associated with </w:t>
            </w:r>
            <w:r w:rsidR="00C60173">
              <w:rPr>
                <w:rFonts w:ascii="Arial Narrow" w:hAnsi="Arial Narrow"/>
              </w:rPr>
              <w:t xml:space="preserve">lung </w:t>
            </w:r>
            <w:r w:rsidR="00270294" w:rsidRPr="00BA7D29">
              <w:rPr>
                <w:rFonts w:ascii="Arial Narrow" w:hAnsi="Arial Narrow"/>
              </w:rPr>
              <w:t>MTA</w:t>
            </w:r>
            <w:r w:rsidRPr="00056F6C">
              <w:rPr>
                <w:rFonts w:ascii="Arial Narrow" w:hAnsi="Arial Narrow"/>
              </w:rPr>
              <w:t>,</w:t>
            </w:r>
            <w:r w:rsidR="00270294" w:rsidRPr="00056F6C">
              <w:rPr>
                <w:rFonts w:ascii="Arial Narrow" w:hAnsi="Arial Narrow"/>
              </w:rPr>
              <w:t xml:space="preserve"> the economic evaluation </w:t>
            </w:r>
            <w:r w:rsidRPr="00056F6C">
              <w:rPr>
                <w:rFonts w:ascii="Arial Narrow" w:hAnsi="Arial Narrow"/>
              </w:rPr>
              <w:t>was</w:t>
            </w:r>
            <w:r w:rsidR="00270294" w:rsidRPr="00056F6C">
              <w:rPr>
                <w:rFonts w:ascii="Arial Narrow" w:hAnsi="Arial Narrow"/>
              </w:rPr>
              <w:t xml:space="preserve"> </w:t>
            </w:r>
            <w:r w:rsidR="000269B0" w:rsidRPr="00056F6C">
              <w:rPr>
                <w:rFonts w:ascii="Arial Narrow" w:hAnsi="Arial Narrow"/>
              </w:rPr>
              <w:t xml:space="preserve">conducted using </w:t>
            </w:r>
            <w:r w:rsidR="00270294" w:rsidRPr="00056F6C">
              <w:rPr>
                <w:rFonts w:ascii="Arial Narrow" w:hAnsi="Arial Narrow"/>
              </w:rPr>
              <w:t xml:space="preserve">a cost-minimisation approach. Similarly, the economic evaluation reflects clinical input regarding the main comparator and the breakdown of patients by indication. </w:t>
            </w:r>
          </w:p>
          <w:p w14:paraId="5093993C" w14:textId="77777777" w:rsidR="00270294" w:rsidRPr="00056F6C" w:rsidRDefault="00270294" w:rsidP="007B30EF">
            <w:pPr>
              <w:pStyle w:val="ListParagraph"/>
              <w:numPr>
                <w:ilvl w:val="0"/>
                <w:numId w:val="10"/>
              </w:numPr>
              <w:spacing w:before="200" w:after="60"/>
              <w:ind w:left="567" w:hanging="283"/>
              <w:rPr>
                <w:rFonts w:ascii="Arial Narrow" w:hAnsi="Arial Narrow"/>
              </w:rPr>
            </w:pPr>
            <w:r w:rsidRPr="00056F6C">
              <w:rPr>
                <w:rFonts w:ascii="Arial Narrow" w:hAnsi="Arial Narrow"/>
              </w:rPr>
              <w:t xml:space="preserve">The cost of </w:t>
            </w:r>
            <w:r w:rsidR="00C60173">
              <w:rPr>
                <w:rFonts w:ascii="Arial Narrow" w:hAnsi="Arial Narrow"/>
              </w:rPr>
              <w:t xml:space="preserve">lung </w:t>
            </w:r>
            <w:r w:rsidRPr="00BA7D29">
              <w:rPr>
                <w:rFonts w:ascii="Arial Narrow" w:hAnsi="Arial Narrow"/>
              </w:rPr>
              <w:t>MTA is affected by the choice of trea</w:t>
            </w:r>
            <w:r w:rsidRPr="00056F6C">
              <w:rPr>
                <w:rFonts w:ascii="Arial Narrow" w:hAnsi="Arial Narrow"/>
              </w:rPr>
              <w:t>tment modality, i.e. whether it is performed as an inpatient or outpatient procedure</w:t>
            </w:r>
            <w:r w:rsidR="00B003A7" w:rsidRPr="00056F6C">
              <w:rPr>
                <w:rFonts w:ascii="Arial Narrow" w:hAnsi="Arial Narrow"/>
              </w:rPr>
              <w:t xml:space="preserve">, and whether the service is provided through general or local anaesthetic. If the procedure were </w:t>
            </w:r>
            <w:r w:rsidR="00D827E6" w:rsidRPr="00056F6C">
              <w:rPr>
                <w:rFonts w:ascii="Arial Narrow" w:hAnsi="Arial Narrow"/>
              </w:rPr>
              <w:t>reimbursed,</w:t>
            </w:r>
            <w:r w:rsidR="00B003A7" w:rsidRPr="00056F6C">
              <w:rPr>
                <w:rFonts w:ascii="Arial Narrow" w:hAnsi="Arial Narrow"/>
              </w:rPr>
              <w:t xml:space="preserve"> there may be a shift of service to increased numbers of outpatient procedures and the use of local anaesthesia</w:t>
            </w:r>
            <w:r w:rsidRPr="00056F6C">
              <w:rPr>
                <w:rFonts w:ascii="Arial Narrow" w:hAnsi="Arial Narrow"/>
              </w:rPr>
              <w:t xml:space="preserve">. </w:t>
            </w:r>
          </w:p>
          <w:p w14:paraId="496A710E" w14:textId="77777777" w:rsidR="00962764" w:rsidRPr="00056F6C" w:rsidRDefault="00270294" w:rsidP="007B30EF">
            <w:pPr>
              <w:pStyle w:val="ListParagraph"/>
              <w:numPr>
                <w:ilvl w:val="0"/>
                <w:numId w:val="10"/>
              </w:numPr>
              <w:spacing w:before="200" w:after="60"/>
              <w:ind w:left="567" w:hanging="283"/>
              <w:rPr>
                <w:rFonts w:ascii="Arial Narrow" w:hAnsi="Arial Narrow"/>
              </w:rPr>
            </w:pPr>
            <w:r w:rsidRPr="00056F6C">
              <w:rPr>
                <w:rFonts w:ascii="Arial Narrow" w:hAnsi="Arial Narrow"/>
              </w:rPr>
              <w:t xml:space="preserve">Clinical input has suggested that </w:t>
            </w:r>
            <w:r w:rsidR="00C60173">
              <w:rPr>
                <w:rFonts w:ascii="Arial Narrow" w:hAnsi="Arial Narrow"/>
              </w:rPr>
              <w:t xml:space="preserve">lung </w:t>
            </w:r>
            <w:r w:rsidRPr="00BA7D29">
              <w:rPr>
                <w:rFonts w:ascii="Arial Narrow" w:hAnsi="Arial Narrow"/>
              </w:rPr>
              <w:t>MTA</w:t>
            </w:r>
            <w:r w:rsidR="00B31536" w:rsidRPr="00056F6C">
              <w:rPr>
                <w:rFonts w:ascii="Arial Narrow" w:hAnsi="Arial Narrow"/>
              </w:rPr>
              <w:t xml:space="preserve"> is not currently used for palliative therapy in Australia, </w:t>
            </w:r>
            <w:r w:rsidRPr="00056F6C">
              <w:rPr>
                <w:rFonts w:ascii="Arial Narrow" w:hAnsi="Arial Narrow"/>
              </w:rPr>
              <w:t xml:space="preserve">as patients would be more likely to receive systemic therapies. This advice is reflected in the economic evaluation of </w:t>
            </w:r>
            <w:r w:rsidR="00C60173">
              <w:rPr>
                <w:rFonts w:ascii="Arial Narrow" w:hAnsi="Arial Narrow"/>
              </w:rPr>
              <w:t xml:space="preserve">lung </w:t>
            </w:r>
            <w:r w:rsidRPr="00BA7D29">
              <w:rPr>
                <w:rFonts w:ascii="Arial Narrow" w:hAnsi="Arial Narrow"/>
              </w:rPr>
              <w:t>MTA</w:t>
            </w:r>
            <w:r w:rsidR="00B31536" w:rsidRPr="00056F6C">
              <w:rPr>
                <w:rFonts w:ascii="Arial Narrow" w:hAnsi="Arial Narrow"/>
              </w:rPr>
              <w:t>,</w:t>
            </w:r>
            <w:r w:rsidRPr="00056F6C">
              <w:rPr>
                <w:rFonts w:ascii="Arial Narrow" w:hAnsi="Arial Narrow"/>
              </w:rPr>
              <w:t xml:space="preserve"> which does not </w:t>
            </w:r>
            <w:r w:rsidR="00080F4E" w:rsidRPr="00056F6C">
              <w:rPr>
                <w:rFonts w:ascii="Arial Narrow" w:hAnsi="Arial Narrow"/>
              </w:rPr>
              <w:t>include this group of patients.</w:t>
            </w:r>
          </w:p>
          <w:p w14:paraId="13801342" w14:textId="65A77371" w:rsidR="00B003A7" w:rsidRPr="0046363D" w:rsidRDefault="004554E4" w:rsidP="009253F5">
            <w:pPr>
              <w:pStyle w:val="ListParagraph"/>
              <w:numPr>
                <w:ilvl w:val="0"/>
                <w:numId w:val="10"/>
              </w:numPr>
              <w:spacing w:before="200" w:after="60"/>
              <w:ind w:left="567" w:hanging="283"/>
              <w:rPr>
                <w:rFonts w:ascii="Arial Narrow" w:hAnsi="Arial Narrow"/>
              </w:rPr>
            </w:pPr>
            <w:r w:rsidRPr="004554E4">
              <w:rPr>
                <w:rFonts w:ascii="Arial Narrow" w:hAnsi="Arial Narrow"/>
              </w:rPr>
              <w:t>In the base case of the economic evaluation, SBRT is the least costly intervention ($5,372.95</w:t>
            </w:r>
            <w:r w:rsidR="009253F5">
              <w:rPr>
                <w:rFonts w:ascii="Arial Narrow" w:hAnsi="Arial Narrow"/>
              </w:rPr>
              <w:t xml:space="preserve"> </w:t>
            </w:r>
            <w:r w:rsidRPr="004554E4">
              <w:rPr>
                <w:rFonts w:ascii="Arial Narrow" w:hAnsi="Arial Narrow"/>
              </w:rPr>
              <w:t>over three months for less than three lesions), followed by MTA ($7,843.83), with surgery (for population two) being the most expensive option ($19,472.05).</w:t>
            </w:r>
            <w:r w:rsidR="0046363D">
              <w:rPr>
                <w:rFonts w:ascii="Arial Narrow" w:hAnsi="Arial Narrow"/>
              </w:rPr>
              <w:t xml:space="preserve"> </w:t>
            </w:r>
            <w:r w:rsidR="00B003A7" w:rsidRPr="0046363D">
              <w:rPr>
                <w:rFonts w:ascii="Arial Narrow" w:hAnsi="Arial Narrow"/>
              </w:rPr>
              <w:t xml:space="preserve">In terms of financial impact, annual net </w:t>
            </w:r>
            <w:r w:rsidR="00316A02" w:rsidRPr="0046363D">
              <w:rPr>
                <w:rFonts w:ascii="Arial Narrow" w:hAnsi="Arial Narrow"/>
              </w:rPr>
              <w:t>Medicare Benefits Schedule</w:t>
            </w:r>
            <w:r w:rsidR="00B003A7" w:rsidRPr="0046363D">
              <w:rPr>
                <w:rFonts w:ascii="Arial Narrow" w:hAnsi="Arial Narrow"/>
              </w:rPr>
              <w:t xml:space="preserve"> costs will decrease over the 5-year horizon, related to a substitution of SBRT</w:t>
            </w:r>
            <w:r w:rsidR="00567BF0" w:rsidRPr="0046363D">
              <w:rPr>
                <w:rFonts w:ascii="Arial Narrow" w:hAnsi="Arial Narrow"/>
              </w:rPr>
              <w:t>,</w:t>
            </w:r>
            <w:r w:rsidR="00486748" w:rsidRPr="0046363D">
              <w:rPr>
                <w:rFonts w:ascii="Arial Narrow" w:hAnsi="Arial Narrow"/>
              </w:rPr>
              <w:t xml:space="preserve"> which has a higher rebate,</w:t>
            </w:r>
            <w:r w:rsidR="00B003A7" w:rsidRPr="0046363D">
              <w:rPr>
                <w:rFonts w:ascii="Arial Narrow" w:hAnsi="Arial Narrow"/>
              </w:rPr>
              <w:t xml:space="preserve"> and with an increasing capacity of provision of </w:t>
            </w:r>
            <w:r w:rsidR="00C60173" w:rsidRPr="0046363D">
              <w:rPr>
                <w:rFonts w:ascii="Arial Narrow" w:hAnsi="Arial Narrow"/>
              </w:rPr>
              <w:t xml:space="preserve">lung </w:t>
            </w:r>
            <w:r w:rsidR="00B003A7" w:rsidRPr="0046363D">
              <w:rPr>
                <w:rFonts w:ascii="Arial Narrow" w:hAnsi="Arial Narrow"/>
              </w:rPr>
              <w:t>MTA services over time.</w:t>
            </w:r>
          </w:p>
        </w:tc>
      </w:tr>
    </w:tbl>
    <w:p w14:paraId="5B102EBF" w14:textId="77777777" w:rsidR="008C7152" w:rsidRPr="00011150" w:rsidRDefault="00144EB6" w:rsidP="003F6C66">
      <w:pPr>
        <w:pStyle w:val="Heading2"/>
      </w:pPr>
      <w:bookmarkStart w:id="38" w:name="_Toc460395997"/>
      <w:bookmarkStart w:id="39" w:name="_Toc395200740"/>
      <w:r w:rsidRPr="00011150">
        <w:lastRenderedPageBreak/>
        <w:t>Application 1403</w:t>
      </w:r>
      <w:r w:rsidR="00BA2152">
        <w:t>:</w:t>
      </w:r>
      <w:r w:rsidRPr="00011150">
        <w:t xml:space="preserve"> </w:t>
      </w:r>
      <w:r w:rsidR="00BA2152" w:rsidRPr="00011150">
        <w:t>microwave tissue ablation for primary and secondary lung cancer</w:t>
      </w:r>
      <w:bookmarkEnd w:id="38"/>
      <w:r w:rsidR="00BA2152" w:rsidRPr="00011150">
        <w:t xml:space="preserve"> </w:t>
      </w:r>
      <w:bookmarkEnd w:id="37"/>
      <w:bookmarkEnd w:id="39"/>
    </w:p>
    <w:p w14:paraId="16DE378C" w14:textId="77777777" w:rsidR="00EB4DCD" w:rsidRDefault="00EB4DCD" w:rsidP="00D90B5A">
      <w:pPr>
        <w:spacing w:after="100"/>
      </w:pPr>
      <w:r w:rsidRPr="00264693">
        <w:t xml:space="preserve">This </w:t>
      </w:r>
      <w:r w:rsidR="00DB1307" w:rsidRPr="00264693">
        <w:t xml:space="preserve">contracted </w:t>
      </w:r>
      <w:r w:rsidRPr="00264693">
        <w:t xml:space="preserve">assessment examines the evidence to the support listing of </w:t>
      </w:r>
      <w:r w:rsidR="00DB1307" w:rsidRPr="00264693">
        <w:t xml:space="preserve">microwave tissue ablation (MTA) </w:t>
      </w:r>
      <w:r w:rsidRPr="00264693">
        <w:t xml:space="preserve">on the Medicare Benefits Schedule (MBS). The service would be used in the </w:t>
      </w:r>
      <w:r w:rsidR="00DB1307" w:rsidRPr="00264693">
        <w:t>inpatient</w:t>
      </w:r>
      <w:r w:rsidR="000B731C">
        <w:t xml:space="preserve"> </w:t>
      </w:r>
      <w:r w:rsidR="000B731C" w:rsidRPr="00264693">
        <w:t>setting</w:t>
      </w:r>
      <w:r w:rsidR="000B731C">
        <w:t>,</w:t>
      </w:r>
      <w:r w:rsidR="00DB1307" w:rsidRPr="00264693">
        <w:t xml:space="preserve"> and potentially in the outpatient</w:t>
      </w:r>
      <w:r w:rsidR="000B731C" w:rsidRPr="000B731C">
        <w:t xml:space="preserve"> </w:t>
      </w:r>
      <w:r w:rsidR="000B731C" w:rsidRPr="00264693">
        <w:t>setting</w:t>
      </w:r>
      <w:r w:rsidR="000B731C">
        <w:t>,</w:t>
      </w:r>
      <w:r w:rsidR="00DB1307" w:rsidRPr="00264693">
        <w:t xml:space="preserve"> </w:t>
      </w:r>
      <w:r w:rsidRPr="00264693">
        <w:t xml:space="preserve">for the </w:t>
      </w:r>
      <w:r w:rsidR="00DB1307" w:rsidRPr="00264693">
        <w:t>treatment</w:t>
      </w:r>
      <w:r w:rsidRPr="00264693">
        <w:t xml:space="preserve"> of </w:t>
      </w:r>
      <w:r w:rsidR="00DB1307" w:rsidRPr="00264693">
        <w:t>primary and secondary lung cancer</w:t>
      </w:r>
      <w:r w:rsidRPr="00264693">
        <w:t xml:space="preserve">. </w:t>
      </w:r>
      <w:r w:rsidR="00144EB6" w:rsidRPr="00264693">
        <w:t xml:space="preserve">The applicant has claimed </w:t>
      </w:r>
      <w:r w:rsidRPr="00264693">
        <w:t xml:space="preserve">that the successful listing of the technology in the </w:t>
      </w:r>
      <w:r w:rsidR="000A1747">
        <w:t xml:space="preserve">proposed </w:t>
      </w:r>
      <w:r w:rsidRPr="00264693">
        <w:t>target population</w:t>
      </w:r>
      <w:r w:rsidR="00144EB6" w:rsidRPr="00264693">
        <w:t>s</w:t>
      </w:r>
      <w:r w:rsidRPr="00264693">
        <w:t xml:space="preserve"> and setting will lead to </w:t>
      </w:r>
      <w:r w:rsidR="00496F45" w:rsidRPr="00264693">
        <w:t>MTA being used as an additional therapeutic option</w:t>
      </w:r>
      <w:r w:rsidR="009332A1">
        <w:t>.</w:t>
      </w:r>
    </w:p>
    <w:p w14:paraId="6605A763" w14:textId="77777777" w:rsidR="007D7A19" w:rsidRPr="00183E4D" w:rsidRDefault="007D7A19" w:rsidP="003F6C66">
      <w:pPr>
        <w:pStyle w:val="Heading3"/>
      </w:pPr>
      <w:bookmarkStart w:id="40" w:name="_Toc460395998"/>
      <w:r>
        <w:t xml:space="preserve">Alignment with </w:t>
      </w:r>
      <w:r w:rsidR="000D5952" w:rsidRPr="00EF5A91">
        <w:t>agreed</w:t>
      </w:r>
      <w:r w:rsidR="000D5952">
        <w:t xml:space="preserve"> protocol</w:t>
      </w:r>
      <w:bookmarkEnd w:id="40"/>
    </w:p>
    <w:p w14:paraId="01F35D48" w14:textId="77777777" w:rsidR="00496F45" w:rsidRDefault="00EA3526" w:rsidP="00DF343F">
      <w:r>
        <w:t>This assessment report deviates from the protocol that was ratified by the Protocol Advisory Sub Committee (PASC) in two key ways</w:t>
      </w:r>
      <w:r w:rsidR="00E940E3">
        <w:t>. First,</w:t>
      </w:r>
      <w:r w:rsidR="00D94A45">
        <w:t xml:space="preserve"> </w:t>
      </w:r>
      <w:r w:rsidR="00E72DF0">
        <w:t xml:space="preserve">it was not possible to stratify the analysis by primary tumour type as suggested in the protocol, due to limitations in the identified evidence. </w:t>
      </w:r>
      <w:r w:rsidR="005970F9">
        <w:t>Second,</w:t>
      </w:r>
      <w:r w:rsidR="00453A9A">
        <w:t xml:space="preserve"> </w:t>
      </w:r>
      <w:r w:rsidR="005970F9">
        <w:t xml:space="preserve">it was not possible or appropriate to undertake </w:t>
      </w:r>
      <w:r w:rsidR="00DF497D">
        <w:t>a</w:t>
      </w:r>
      <w:r w:rsidR="005970F9">
        <w:t xml:space="preserve"> cost-effectiveness analysis </w:t>
      </w:r>
      <w:r w:rsidR="00DF497D">
        <w:t xml:space="preserve">as </w:t>
      </w:r>
      <w:r w:rsidR="005970F9">
        <w:t xml:space="preserve">suggested </w:t>
      </w:r>
      <w:r w:rsidR="00DF497D">
        <w:t>in</w:t>
      </w:r>
      <w:r w:rsidR="005970F9">
        <w:t xml:space="preserve"> the protocol, </w:t>
      </w:r>
      <w:r w:rsidR="00453A9A">
        <w:t xml:space="preserve">because the clinical literature identified </w:t>
      </w:r>
      <w:r w:rsidR="005970F9">
        <w:t>was</w:t>
      </w:r>
      <w:r w:rsidR="00DF497D">
        <w:t xml:space="preserve"> not suitable for</w:t>
      </w:r>
      <w:r w:rsidR="00453A9A">
        <w:t xml:space="preserve"> statistical test</w:t>
      </w:r>
      <w:r w:rsidR="00DF497D">
        <w:t>s</w:t>
      </w:r>
      <w:r w:rsidR="00453A9A">
        <w:t xml:space="preserve"> of non-inferiority of MTA </w:t>
      </w:r>
      <w:r w:rsidR="00E72DF0">
        <w:t>relative</w:t>
      </w:r>
      <w:r w:rsidR="00453A9A">
        <w:t xml:space="preserve"> to </w:t>
      </w:r>
      <w:r w:rsidR="00E72DF0">
        <w:t>the</w:t>
      </w:r>
      <w:r w:rsidR="00453A9A">
        <w:t xml:space="preserve"> comparators. Rather</w:t>
      </w:r>
      <w:r w:rsidR="005970F9">
        <w:t>,</w:t>
      </w:r>
      <w:r w:rsidR="00453A9A">
        <w:t xml:space="preserve"> a cost minimisation approach has been used. </w:t>
      </w:r>
    </w:p>
    <w:p w14:paraId="704E3E3D" w14:textId="77777777" w:rsidR="008C7152" w:rsidRPr="00183E4D" w:rsidRDefault="008A6152" w:rsidP="003F6C66">
      <w:pPr>
        <w:pStyle w:val="Heading3"/>
      </w:pPr>
      <w:bookmarkStart w:id="41" w:name="_Toc395200742"/>
      <w:bookmarkStart w:id="42" w:name="_Toc460395999"/>
      <w:r w:rsidRPr="00183E4D">
        <w:t xml:space="preserve">Proposed </w:t>
      </w:r>
      <w:r w:rsidR="000D5952" w:rsidRPr="00183E4D">
        <w:t>medical service</w:t>
      </w:r>
      <w:bookmarkEnd w:id="41"/>
      <w:bookmarkEnd w:id="42"/>
    </w:p>
    <w:p w14:paraId="04B69504" w14:textId="00F70F05" w:rsidR="00E159E0" w:rsidRDefault="005A0FDB" w:rsidP="00E159E0">
      <w:bookmarkStart w:id="43" w:name="_Toc379118248"/>
      <w:bookmarkStart w:id="44" w:name="_Toc381796432"/>
      <w:smartTag w:uri="urn:schemas-microsoft-com:office:smarttags" w:element="stockticker">
        <w:r>
          <w:t>MTA</w:t>
        </w:r>
      </w:smartTag>
      <w:r>
        <w:t xml:space="preserve"> </w:t>
      </w:r>
      <w:r w:rsidR="006A57D5">
        <w:t>is an ablative therapy which destroys</w:t>
      </w:r>
      <w:r w:rsidR="00323F8F">
        <w:t xml:space="preserve"> cancerous cells through the percutaneous delivery of high-frequency electromagnetic radiation </w:t>
      </w:r>
      <w:r w:rsidR="009C38E6">
        <w:fldChar w:fldCharType="begin"/>
      </w:r>
      <w:r w:rsidR="00BA1147">
        <w:instrText xml:space="preserve"> ADDIN EN.CITE &lt;EndNote&gt;&lt;Cite&gt;&lt;Author&gt;Dupuy&lt;/Author&gt;&lt;Year&gt;2009&lt;/Year&gt;&lt;RecNum&gt;2402&lt;/RecNum&gt;&lt;DisplayText&gt;(Dupuy 2009)&lt;/DisplayText&gt;&lt;record&gt;&lt;rec-number&gt;2402&lt;/rec-number&gt;&lt;foreign-keys&gt;&lt;key app="EN" db-id="rxw229trk00etmerwavvr25osfpd5re99at0" timestamp="1464672531"&gt;2402&lt;/key&gt;&lt;/foreign-keys&gt;&lt;ref-type name="Journal Article"&gt;17&lt;/ref-type&gt;&lt;contributors&gt;&lt;authors&gt;&lt;author&gt;Dupuy, D. E.&lt;/author&gt;&lt;/authors&gt;&lt;/contributors&gt;&lt;auth-address&gt;Department of Diagnostic Imaging, Rhode Island Hospital, 593 Eddy St, Providence, RI 02903, USA. ddupuy@lifespan.org&lt;/auth-address&gt;&lt;titles&gt;&lt;title&gt;Microwave ablation compared with radiofrequency ablation in lung tissue-is microwave not just for popcorn anymore?&lt;/title&gt;&lt;secondary-title&gt;Radiology&lt;/secondary-title&gt;&lt;alt-title&gt;Radiology&lt;/alt-title&gt;&lt;/titles&gt;&lt;periodical&gt;&lt;full-title&gt;Radiology&lt;/full-title&gt;&lt;/periodical&gt;&lt;alt-periodical&gt;&lt;full-title&gt;Radiology&lt;/full-title&gt;&lt;/alt-periodical&gt;&lt;pages&gt;617-8&lt;/pages&gt;&lt;volume&gt;251&lt;/volume&gt;&lt;number&gt;3&lt;/number&gt;&lt;edition&gt;2009/05/29&lt;/edition&gt;&lt;keywords&gt;&lt;keyword&gt;Animals&lt;/keyword&gt;&lt;keyword&gt;Catheter Ablation/*methods&lt;/keyword&gt;&lt;keyword&gt;Lung/*radiation effects&lt;/keyword&gt;&lt;keyword&gt;Lung Neoplasms/*surgery&lt;/keyword&gt;&lt;keyword&gt;Microwaves/*therapeutic use&lt;/keyword&gt;&lt;keyword&gt;Radiography, Interventional&lt;/keyword&gt;&lt;keyword&gt;Swine&lt;/keyword&gt;&lt;keyword&gt;Tomography, X-Ray Computed&lt;/keyword&gt;&lt;/keywords&gt;&lt;dates&gt;&lt;year&gt;2009&lt;/year&gt;&lt;pub-dates&gt;&lt;date&gt;Jun&lt;/date&gt;&lt;/pub-dates&gt;&lt;/dates&gt;&lt;isbn&gt;0033-8419&lt;/isbn&gt;&lt;accession-num&gt;19474368&lt;/accession-num&gt;&lt;urls&gt;&lt;/urls&gt;&lt;electronic-resource-num&gt;10.1148/radiol.2513090129&lt;/electronic-resource-num&gt;&lt;remote-database-provider&gt;NLM&lt;/remote-database-provider&gt;&lt;language&gt;eng&lt;/language&gt;&lt;/record&gt;&lt;/Cite&gt;&lt;/EndNote&gt;</w:instrText>
      </w:r>
      <w:r w:rsidR="009C38E6">
        <w:fldChar w:fldCharType="separate"/>
      </w:r>
      <w:r w:rsidR="009C38E6">
        <w:rPr>
          <w:noProof/>
        </w:rPr>
        <w:t>(</w:t>
      </w:r>
      <w:hyperlink w:anchor="_ENREF_43" w:tooltip="Dupuy, 2009 #2402" w:history="1">
        <w:r w:rsidR="00320458">
          <w:rPr>
            <w:noProof/>
          </w:rPr>
          <w:t>Dupuy 2009</w:t>
        </w:r>
      </w:hyperlink>
      <w:r w:rsidR="009C38E6">
        <w:rPr>
          <w:noProof/>
        </w:rPr>
        <w:t>)</w:t>
      </w:r>
      <w:r w:rsidR="009C38E6">
        <w:fldChar w:fldCharType="end"/>
      </w:r>
      <w:r w:rsidR="00DA45E7" w:rsidRPr="00DA45E7">
        <w:t xml:space="preserve">. </w:t>
      </w:r>
      <w:r w:rsidR="001D75A9">
        <w:t>In Australia,</w:t>
      </w:r>
      <w:r w:rsidR="007C1100">
        <w:t xml:space="preserve"> </w:t>
      </w:r>
      <w:smartTag w:uri="urn:schemas-microsoft-com:office:smarttags" w:element="stockticker">
        <w:r w:rsidR="007C1100">
          <w:t>MTA</w:t>
        </w:r>
      </w:smartTag>
      <w:r w:rsidR="007C1100">
        <w:t xml:space="preserve"> is</w:t>
      </w:r>
      <w:r w:rsidR="00DA45E7">
        <w:t xml:space="preserve"> </w:t>
      </w:r>
      <w:r w:rsidR="00000DA3">
        <w:t xml:space="preserve">typically </w:t>
      </w:r>
      <w:r w:rsidR="00DA45E7">
        <w:t>performed</w:t>
      </w:r>
      <w:r w:rsidR="00101CBF">
        <w:t xml:space="preserve"> in an inpatient setting under general a</w:t>
      </w:r>
      <w:r w:rsidR="00DA45E7">
        <w:t>naesthesia.</w:t>
      </w:r>
      <w:r w:rsidR="00CE70FF">
        <w:t xml:space="preserve"> </w:t>
      </w:r>
      <w:r w:rsidR="00875EFF">
        <w:t>P</w:t>
      </w:r>
      <w:r w:rsidR="00CE70FF">
        <w:t xml:space="preserve">atients </w:t>
      </w:r>
      <w:r w:rsidR="00356533">
        <w:t>undergo</w:t>
      </w:r>
      <w:r w:rsidR="00CE70FF">
        <w:t xml:space="preserve"> a</w:t>
      </w:r>
      <w:r w:rsidR="00DA45E7">
        <w:t xml:space="preserve"> </w:t>
      </w:r>
      <w:r w:rsidR="00817A3A">
        <w:t>computed tomography (</w:t>
      </w:r>
      <w:r w:rsidR="00DA45E7">
        <w:t>CT</w:t>
      </w:r>
      <w:r w:rsidR="00817A3A">
        <w:t>)</w:t>
      </w:r>
      <w:r w:rsidR="00DA45E7">
        <w:t xml:space="preserve"> scan </w:t>
      </w:r>
      <w:r w:rsidR="00940790">
        <w:t>of the</w:t>
      </w:r>
      <w:r w:rsidR="00DA45E7">
        <w:t xml:space="preserve"> ablation zone </w:t>
      </w:r>
      <w:r w:rsidR="00DD60A6">
        <w:t xml:space="preserve">at </w:t>
      </w:r>
      <w:r w:rsidR="00875EFF">
        <w:t>one</w:t>
      </w:r>
      <w:r w:rsidR="00DD60A6">
        <w:t>-</w:t>
      </w:r>
      <w:r w:rsidR="00875EFF">
        <w:t>,</w:t>
      </w:r>
      <w:r w:rsidR="00DA45E7">
        <w:t xml:space="preserve"> four</w:t>
      </w:r>
      <w:r w:rsidR="00DD60A6">
        <w:t>-</w:t>
      </w:r>
      <w:r w:rsidR="00DA45E7">
        <w:t xml:space="preserve"> </w:t>
      </w:r>
      <w:r w:rsidR="00875EFF">
        <w:t>and 24</w:t>
      </w:r>
      <w:r w:rsidR="00DD60A6">
        <w:t>-</w:t>
      </w:r>
      <w:r w:rsidR="00A96EE0">
        <w:t xml:space="preserve">hours </w:t>
      </w:r>
      <w:r w:rsidR="003243DB">
        <w:t xml:space="preserve">after the </w:t>
      </w:r>
      <w:r w:rsidR="00A96EE0">
        <w:t xml:space="preserve">procedure to monitor treatment </w:t>
      </w:r>
      <w:r w:rsidR="00DD60A6">
        <w:t>success</w:t>
      </w:r>
      <w:r w:rsidR="00A96EE0">
        <w:t xml:space="preserve"> and adverse events.</w:t>
      </w:r>
      <w:r w:rsidR="00115B13">
        <w:t xml:space="preserve"> </w:t>
      </w:r>
      <w:smartTag w:uri="urn:schemas-microsoft-com:office:smarttags" w:element="stockticker">
        <w:r w:rsidR="00E159E0">
          <w:t>MTA</w:t>
        </w:r>
      </w:smartTag>
      <w:r w:rsidR="00E159E0">
        <w:t xml:space="preserve"> is not currently reimbursed under the MBS and is </w:t>
      </w:r>
      <w:r w:rsidR="006E28FB">
        <w:t xml:space="preserve">largely </w:t>
      </w:r>
      <w:r w:rsidR="00E159E0">
        <w:t xml:space="preserve">performed </w:t>
      </w:r>
      <w:r w:rsidR="00B162EF">
        <w:t>within the public system.</w:t>
      </w:r>
    </w:p>
    <w:p w14:paraId="6B7F5F64" w14:textId="77777777" w:rsidR="008F1D1C" w:rsidRPr="00183E4D" w:rsidRDefault="008F1D1C" w:rsidP="003F6C66">
      <w:pPr>
        <w:pStyle w:val="Heading3"/>
      </w:pPr>
      <w:bookmarkStart w:id="45" w:name="_Toc460396000"/>
      <w:bookmarkStart w:id="46" w:name="_Toc395200743"/>
      <w:r w:rsidRPr="00183E4D">
        <w:t xml:space="preserve">Proposal </w:t>
      </w:r>
      <w:r w:rsidR="0066456D" w:rsidRPr="00183E4D">
        <w:t>for public funding</w:t>
      </w:r>
      <w:bookmarkEnd w:id="45"/>
    </w:p>
    <w:p w14:paraId="107B6E3A" w14:textId="77777777" w:rsidR="00CE70FF" w:rsidRPr="00A37F6B" w:rsidRDefault="00CE70FF" w:rsidP="00A37F6B">
      <w:bookmarkStart w:id="47" w:name="_Ref403128339"/>
      <w:r w:rsidRPr="00A37F6B">
        <w:t>The application requests the listing of six new ‘Category 3 – Therapeutic Proc</w:t>
      </w:r>
      <w:r w:rsidR="00AE0B4F">
        <w:t>edures’ items on the MBS (</w:t>
      </w:r>
      <w:r w:rsidR="00AE0B4F">
        <w:fldChar w:fldCharType="begin"/>
      </w:r>
      <w:r w:rsidR="00AE0B4F">
        <w:instrText xml:space="preserve"> REF _Ref460329543 \h </w:instrText>
      </w:r>
      <w:r w:rsidR="00AE0B4F">
        <w:fldChar w:fldCharType="separate"/>
      </w:r>
      <w:r w:rsidR="00D170A5" w:rsidRPr="00CE70FF">
        <w:rPr>
          <w:lang w:val="en-GB" w:eastAsia="ja-JP"/>
        </w:rPr>
        <w:t xml:space="preserve">Table </w:t>
      </w:r>
      <w:r w:rsidR="00D170A5">
        <w:rPr>
          <w:noProof/>
          <w:lang w:val="en-GB" w:eastAsia="ja-JP"/>
        </w:rPr>
        <w:t>1</w:t>
      </w:r>
      <w:r w:rsidR="00AE0B4F">
        <w:fldChar w:fldCharType="end"/>
      </w:r>
      <w:r w:rsidRPr="00A37F6B">
        <w:t>). The proposed items are graduated based on the number of ablated lesions, and are intended to cover the cost of pre-, intra- and post-operative imaging. This includes a limited planning scan, intra-opera</w:t>
      </w:r>
      <w:r w:rsidR="00153CD9">
        <w:t>tive image guidance, and a post-</w:t>
      </w:r>
      <w:r w:rsidRPr="00A37F6B">
        <w:t>ablation control scan. The proposed fee has been adopted from Application 1402 (MTA of liver tumours). Application 1402 states:</w:t>
      </w:r>
    </w:p>
    <w:p w14:paraId="6A4053F3" w14:textId="4A4DC389" w:rsidR="00FE4578" w:rsidRPr="002C4AE2" w:rsidRDefault="00CE70FF" w:rsidP="002C4AE2">
      <w:pPr>
        <w:ind w:left="567"/>
        <w:rPr>
          <w:i/>
        </w:rPr>
      </w:pPr>
      <w:r w:rsidRPr="00FA46F3">
        <w:rPr>
          <w:i/>
        </w:rPr>
        <w:t>“A $1300 fee for ablation of 2</w:t>
      </w:r>
      <w:r w:rsidR="00D35E9C">
        <w:rPr>
          <w:sz w:val="20"/>
          <w:szCs w:val="20"/>
        </w:rPr>
        <w:t>–</w:t>
      </w:r>
      <w:r w:rsidRPr="00FA46F3">
        <w:rPr>
          <w:i/>
        </w:rPr>
        <w:t>3 lesions, a $1600 fee for ablation of 4</w:t>
      </w:r>
      <w:r w:rsidR="00D35E9C">
        <w:rPr>
          <w:sz w:val="20"/>
          <w:szCs w:val="20"/>
        </w:rPr>
        <w:t>–</w:t>
      </w:r>
      <w:r w:rsidRPr="00FA46F3">
        <w:rPr>
          <w:i/>
        </w:rPr>
        <w:t xml:space="preserve">5 lesions and a $2000 fee for ablation of &gt;5 lesions. The higher fee for &gt;5 lesions reflects the increased risk to the patients such as collateral </w:t>
      </w:r>
      <w:r w:rsidRPr="000700BB">
        <w:rPr>
          <w:i/>
        </w:rPr>
        <w:t>damage as well as more skill, time and expertise required of the physician to ensure better patient outcomes</w:t>
      </w:r>
      <w:r w:rsidR="00157A79" w:rsidRPr="000700BB">
        <w:rPr>
          <w:i/>
        </w:rPr>
        <w:t>.</w:t>
      </w:r>
      <w:r w:rsidRPr="000700BB">
        <w:rPr>
          <w:i/>
        </w:rPr>
        <w:t>”</w:t>
      </w:r>
      <w:bookmarkStart w:id="48" w:name="_Ref422479038"/>
      <w:bookmarkEnd w:id="47"/>
      <w:r w:rsidR="00FE4578">
        <w:rPr>
          <w:lang w:val="en-GB" w:eastAsia="ja-JP"/>
        </w:rPr>
        <w:br w:type="page"/>
      </w:r>
    </w:p>
    <w:p w14:paraId="40E189EA" w14:textId="77777777" w:rsidR="00CE70FF" w:rsidRPr="00CE70FF" w:rsidRDefault="00CE70FF" w:rsidP="00344EF1">
      <w:pPr>
        <w:pStyle w:val="Caption"/>
        <w:ind w:left="1134" w:hanging="1134"/>
        <w:rPr>
          <w:lang w:val="en-GB" w:eastAsia="ja-JP"/>
        </w:rPr>
      </w:pPr>
      <w:bookmarkStart w:id="49" w:name="_Ref460329543"/>
      <w:bookmarkStart w:id="50" w:name="_Toc460514659"/>
      <w:r w:rsidRPr="00CE70FF">
        <w:rPr>
          <w:lang w:val="en-GB" w:eastAsia="ja-JP"/>
        </w:rPr>
        <w:lastRenderedPageBreak/>
        <w:t xml:space="preserve">Table </w:t>
      </w:r>
      <w:r w:rsidRPr="00CE70FF">
        <w:rPr>
          <w:lang w:val="en-GB" w:eastAsia="ja-JP"/>
        </w:rPr>
        <w:fldChar w:fldCharType="begin"/>
      </w:r>
      <w:r w:rsidRPr="00CE70FF">
        <w:rPr>
          <w:lang w:val="en-GB" w:eastAsia="ja-JP"/>
        </w:rPr>
        <w:instrText xml:space="preserve"> SEQ Table \* ARABIC </w:instrText>
      </w:r>
      <w:r w:rsidRPr="00CE70FF">
        <w:rPr>
          <w:lang w:val="en-GB" w:eastAsia="ja-JP"/>
        </w:rPr>
        <w:fldChar w:fldCharType="separate"/>
      </w:r>
      <w:r w:rsidR="00D170A5">
        <w:rPr>
          <w:noProof/>
          <w:lang w:val="en-GB" w:eastAsia="ja-JP"/>
        </w:rPr>
        <w:t>1</w:t>
      </w:r>
      <w:r w:rsidRPr="00CE70FF">
        <w:rPr>
          <w:lang w:val="en-GB" w:eastAsia="ja-JP"/>
        </w:rPr>
        <w:fldChar w:fldCharType="end"/>
      </w:r>
      <w:bookmarkEnd w:id="48"/>
      <w:bookmarkEnd w:id="49"/>
      <w:r w:rsidR="00344EF1">
        <w:rPr>
          <w:lang w:val="en-GB" w:eastAsia="ja-JP"/>
        </w:rPr>
        <w:tab/>
      </w:r>
      <w:r w:rsidRPr="00CE70FF">
        <w:rPr>
          <w:lang w:val="en-GB" w:eastAsia="ja-JP"/>
        </w:rPr>
        <w:t>Proposed MBS item</w:t>
      </w:r>
      <w:r w:rsidR="007109F6">
        <w:rPr>
          <w:lang w:val="en-GB" w:eastAsia="ja-JP"/>
        </w:rPr>
        <w:t>s</w:t>
      </w:r>
      <w:r w:rsidRPr="00CE70FF">
        <w:rPr>
          <w:lang w:val="en-GB" w:eastAsia="ja-JP"/>
        </w:rPr>
        <w:t xml:space="preserve"> for microwave tissue ablation</w:t>
      </w:r>
      <w:r w:rsidR="00505F8A">
        <w:rPr>
          <w:lang w:val="en-GB" w:eastAsia="ja-JP"/>
        </w:rPr>
        <w:t xml:space="preserve"> of lung cancer</w:t>
      </w:r>
      <w:bookmarkEnd w:id="50"/>
    </w:p>
    <w:tbl>
      <w:tblPr>
        <w:tblStyle w:val="TableGrid1"/>
        <w:tblW w:w="0" w:type="auto"/>
        <w:tblLook w:val="00A0" w:firstRow="1" w:lastRow="0" w:firstColumn="1" w:lastColumn="0" w:noHBand="0" w:noVBand="0"/>
        <w:tblCaption w:val="Proposed MBS items for microwave tissue ablation of lung cancer"/>
        <w:tblDescription w:val="This table contains the descriptors and fees for each proposed MBS Item."/>
      </w:tblPr>
      <w:tblGrid>
        <w:gridCol w:w="9134"/>
      </w:tblGrid>
      <w:tr w:rsidR="00CE70FF" w:rsidRPr="0001167C" w14:paraId="3F54CE7E" w14:textId="77777777" w:rsidTr="00707B81">
        <w:trPr>
          <w:cnfStyle w:val="100000000000" w:firstRow="1" w:lastRow="0" w:firstColumn="0" w:lastColumn="0" w:oddVBand="0" w:evenVBand="0" w:oddHBand="0" w:evenHBand="0" w:firstRowFirstColumn="0" w:firstRowLastColumn="0" w:lastRowFirstColumn="0" w:lastRowLastColumn="0"/>
          <w:tblHeader/>
        </w:trPr>
        <w:tc>
          <w:tcPr>
            <w:tcW w:w="9134" w:type="dxa"/>
          </w:tcPr>
          <w:p w14:paraId="27749A6B" w14:textId="77777777" w:rsidR="00CE70FF" w:rsidRPr="0001167C" w:rsidRDefault="00CE70FF" w:rsidP="0001167C">
            <w:pPr>
              <w:pStyle w:val="Tabletext1"/>
              <w:rPr>
                <w:rFonts w:eastAsia="Calibri"/>
                <w:b/>
              </w:rPr>
            </w:pPr>
            <w:r w:rsidRPr="0001167C">
              <w:rPr>
                <w:rFonts w:eastAsia="Calibri"/>
                <w:b/>
              </w:rPr>
              <w:t>Category 3 – THERAPEUTIC PROCEDURES</w:t>
            </w:r>
          </w:p>
        </w:tc>
      </w:tr>
      <w:tr w:rsidR="00CE70FF" w:rsidRPr="0001167C" w14:paraId="51C55DA8" w14:textId="77777777" w:rsidTr="00707B81">
        <w:tc>
          <w:tcPr>
            <w:tcW w:w="9134" w:type="dxa"/>
          </w:tcPr>
          <w:p w14:paraId="33828686" w14:textId="77777777" w:rsidR="00CE70FF" w:rsidRPr="0001167C" w:rsidRDefault="00CE70FF" w:rsidP="0001167C">
            <w:pPr>
              <w:pStyle w:val="Tabletext1"/>
              <w:rPr>
                <w:rFonts w:eastAsia="Calibri"/>
              </w:rPr>
            </w:pPr>
            <w:r w:rsidRPr="0001167C">
              <w:rPr>
                <w:rFonts w:eastAsia="Calibri"/>
              </w:rPr>
              <w:t>NONRESECTABLE PRIMARY LUNG CANCER OR PULMONARY METASTATIC DISEASE, destruction of up to three lesions, by percutaneous microwave tissue ablation (MTA) with curative intent, including any associated imaging services.</w:t>
            </w:r>
          </w:p>
          <w:p w14:paraId="316F98D9" w14:textId="77777777" w:rsidR="00CE70FF" w:rsidRPr="0001167C" w:rsidRDefault="00CE70FF" w:rsidP="0001167C">
            <w:pPr>
              <w:pStyle w:val="Tabletext1"/>
              <w:rPr>
                <w:rFonts w:eastAsia="Calibri"/>
              </w:rPr>
            </w:pPr>
            <w:r w:rsidRPr="0001167C">
              <w:rPr>
                <w:rFonts w:eastAsia="Calibri"/>
              </w:rPr>
              <w:t>(Anaes)</w:t>
            </w:r>
          </w:p>
          <w:p w14:paraId="21479254" w14:textId="77777777" w:rsidR="00CE70FF" w:rsidRPr="0001167C" w:rsidRDefault="00CE70FF" w:rsidP="0001167C">
            <w:pPr>
              <w:pStyle w:val="Tabletext1"/>
              <w:rPr>
                <w:rFonts w:eastAsia="Calibri"/>
              </w:rPr>
            </w:pPr>
            <w:r w:rsidRPr="0001167C">
              <w:rPr>
                <w:rFonts w:eastAsia="Calibri"/>
              </w:rPr>
              <w:t>Fee: $1300 Benefit: 75% = $975.00 85% = $1105.00</w:t>
            </w:r>
          </w:p>
        </w:tc>
      </w:tr>
      <w:tr w:rsidR="00CE70FF" w:rsidRPr="00A76523" w14:paraId="6D0599AA" w14:textId="77777777" w:rsidTr="00707B81">
        <w:tc>
          <w:tcPr>
            <w:tcW w:w="9134" w:type="dxa"/>
          </w:tcPr>
          <w:p w14:paraId="1BA6D844" w14:textId="77777777" w:rsidR="00CE70FF" w:rsidRPr="00A76523" w:rsidRDefault="00CE70FF" w:rsidP="0077409A">
            <w:pPr>
              <w:pStyle w:val="Tabletext1"/>
              <w:rPr>
                <w:rFonts w:eastAsia="Calibri"/>
                <w:lang w:val="en-US" w:eastAsia="ja-JP"/>
              </w:rPr>
            </w:pPr>
            <w:r w:rsidRPr="00A76523">
              <w:rPr>
                <w:rFonts w:eastAsia="Calibri"/>
                <w:lang w:val="en-US" w:eastAsia="ja-JP"/>
              </w:rPr>
              <w:t>NONRESECTABLE PRIMARY LUNG CANCER OR PULMONARY METASTATIC DISEASE, destruction of four or five lesions, by percutaneous microwave tissue ablation (MTA) with curative intent, including any associated imaging services.</w:t>
            </w:r>
          </w:p>
          <w:p w14:paraId="6AC36132" w14:textId="77777777" w:rsidR="00CE70FF" w:rsidRPr="00A76523" w:rsidRDefault="00CE70FF" w:rsidP="0077409A">
            <w:pPr>
              <w:pStyle w:val="Tabletext1"/>
              <w:rPr>
                <w:rFonts w:eastAsia="Calibri"/>
                <w:lang w:val="en-US" w:eastAsia="ja-JP"/>
              </w:rPr>
            </w:pPr>
            <w:r w:rsidRPr="00A76523">
              <w:rPr>
                <w:rFonts w:eastAsia="Calibri"/>
                <w:lang w:val="en-US" w:eastAsia="ja-JP"/>
              </w:rPr>
              <w:t>(Anaes)</w:t>
            </w:r>
            <w:r w:rsidRPr="00A76523">
              <w:rPr>
                <w:rFonts w:eastAsia="Calibri"/>
                <w:lang w:val="en-US" w:eastAsia="ja-JP"/>
              </w:rPr>
              <w:tab/>
            </w:r>
            <w:r w:rsidRPr="00A76523">
              <w:rPr>
                <w:rFonts w:eastAsia="Calibri"/>
                <w:lang w:val="en-US" w:eastAsia="ja-JP"/>
              </w:rPr>
              <w:tab/>
            </w:r>
          </w:p>
          <w:p w14:paraId="6474B9B7" w14:textId="77777777" w:rsidR="00CE70FF" w:rsidRPr="00A76523" w:rsidRDefault="00CE70FF" w:rsidP="0077409A">
            <w:pPr>
              <w:pStyle w:val="Tabletext1"/>
              <w:rPr>
                <w:rFonts w:eastAsia="Calibri"/>
                <w:lang w:val="en-US" w:eastAsia="ja-JP"/>
              </w:rPr>
            </w:pPr>
            <w:r w:rsidRPr="00A76523">
              <w:rPr>
                <w:rFonts w:eastAsia="Calibri"/>
                <w:lang w:val="en-US" w:eastAsia="ja-JP"/>
              </w:rPr>
              <w:t>Fee: $1600 Benefit: 75% = $1200.00 85% = $1360.00</w:t>
            </w:r>
          </w:p>
        </w:tc>
      </w:tr>
      <w:tr w:rsidR="00CE70FF" w:rsidRPr="00A76523" w14:paraId="04671CFB" w14:textId="77777777" w:rsidTr="00707B81">
        <w:tc>
          <w:tcPr>
            <w:tcW w:w="9134" w:type="dxa"/>
          </w:tcPr>
          <w:p w14:paraId="0AE4F616" w14:textId="77777777" w:rsidR="00CE70FF" w:rsidRPr="00A76523" w:rsidRDefault="00CE70FF" w:rsidP="0077409A">
            <w:pPr>
              <w:pStyle w:val="Tabletext1"/>
              <w:rPr>
                <w:rFonts w:eastAsia="Calibri"/>
                <w:lang w:val="en-US" w:eastAsia="ja-JP"/>
              </w:rPr>
            </w:pPr>
            <w:r w:rsidRPr="00A76523">
              <w:rPr>
                <w:rFonts w:eastAsia="Calibri"/>
                <w:lang w:val="en-US" w:eastAsia="ja-JP"/>
              </w:rPr>
              <w:t>NONRESECTABLE PRIMARY LUNG CANCER OR PULMONARY METASTATIC DISEASE, destruction of more than five lesions, by percutaneous microwave tissue ablation (MTA) with curative intent, including any associated imaging services.</w:t>
            </w:r>
          </w:p>
          <w:p w14:paraId="0CC1700E" w14:textId="77777777" w:rsidR="00CE70FF" w:rsidRPr="00A76523" w:rsidRDefault="00CE70FF" w:rsidP="0077409A">
            <w:pPr>
              <w:pStyle w:val="Tabletext1"/>
              <w:rPr>
                <w:rFonts w:eastAsia="Calibri"/>
                <w:lang w:val="en-US" w:eastAsia="ja-JP"/>
              </w:rPr>
            </w:pPr>
            <w:r w:rsidRPr="00A76523">
              <w:rPr>
                <w:rFonts w:eastAsia="Calibri"/>
                <w:lang w:val="en-US" w:eastAsia="ja-JP"/>
              </w:rPr>
              <w:t>(Anaes)</w:t>
            </w:r>
            <w:r w:rsidRPr="00A76523">
              <w:rPr>
                <w:rFonts w:eastAsia="Calibri"/>
                <w:lang w:val="en-US" w:eastAsia="ja-JP"/>
              </w:rPr>
              <w:tab/>
            </w:r>
            <w:r w:rsidRPr="00A76523">
              <w:rPr>
                <w:rFonts w:eastAsia="Calibri"/>
                <w:lang w:val="en-US" w:eastAsia="ja-JP"/>
              </w:rPr>
              <w:tab/>
            </w:r>
          </w:p>
          <w:p w14:paraId="73F47631" w14:textId="77777777" w:rsidR="00CE70FF" w:rsidRPr="00A76523" w:rsidRDefault="00CE70FF" w:rsidP="0077409A">
            <w:pPr>
              <w:pStyle w:val="Tabletext1"/>
              <w:rPr>
                <w:rFonts w:eastAsia="Calibri"/>
                <w:lang w:val="en-US" w:eastAsia="ja-JP"/>
              </w:rPr>
            </w:pPr>
            <w:r w:rsidRPr="00A76523">
              <w:rPr>
                <w:rFonts w:eastAsia="Calibri"/>
                <w:lang w:val="en-US" w:eastAsia="ja-JP"/>
              </w:rPr>
              <w:t>Fee: $2000 Benefit: 75% = $1500.00 85% = $1700.00</w:t>
            </w:r>
          </w:p>
        </w:tc>
      </w:tr>
      <w:tr w:rsidR="00CE70FF" w:rsidRPr="00A76523" w14:paraId="75653679" w14:textId="77777777" w:rsidTr="00707B81">
        <w:tc>
          <w:tcPr>
            <w:tcW w:w="9134" w:type="dxa"/>
          </w:tcPr>
          <w:p w14:paraId="02CF814F" w14:textId="77777777" w:rsidR="00CE70FF" w:rsidRPr="00A76523" w:rsidRDefault="00CE70FF" w:rsidP="0077409A">
            <w:pPr>
              <w:pStyle w:val="Tabletext1"/>
              <w:rPr>
                <w:rFonts w:eastAsia="Calibri"/>
                <w:lang w:val="en-US" w:eastAsia="ja-JP"/>
              </w:rPr>
            </w:pPr>
            <w:r w:rsidRPr="00A76523">
              <w:rPr>
                <w:rFonts w:eastAsia="Calibri"/>
                <w:lang w:val="en-US" w:eastAsia="ja-JP"/>
              </w:rPr>
              <w:t>NONRESECTABLE PRIMARY LUNG CANCER OR PULMONARY METASTATIC DISEASE, destruction of up to three lesions, by percutaneous microwave tissue ablation (MTA) with palliative intent, including any associated imaging services.</w:t>
            </w:r>
          </w:p>
          <w:p w14:paraId="6DA0690C" w14:textId="77777777" w:rsidR="00CE70FF" w:rsidRPr="00A76523" w:rsidRDefault="00CE70FF" w:rsidP="0077409A">
            <w:pPr>
              <w:pStyle w:val="Tabletext1"/>
              <w:rPr>
                <w:rFonts w:eastAsia="Calibri"/>
                <w:lang w:val="en-US" w:eastAsia="ja-JP"/>
              </w:rPr>
            </w:pPr>
            <w:r w:rsidRPr="00A76523">
              <w:rPr>
                <w:rFonts w:eastAsia="Calibri"/>
                <w:lang w:val="en-US" w:eastAsia="ja-JP"/>
              </w:rPr>
              <w:t>(Anaes)</w:t>
            </w:r>
            <w:r w:rsidRPr="00A76523">
              <w:rPr>
                <w:rFonts w:eastAsia="Calibri"/>
                <w:lang w:val="en-US" w:eastAsia="ja-JP"/>
              </w:rPr>
              <w:tab/>
            </w:r>
          </w:p>
          <w:p w14:paraId="3DEAD7CA" w14:textId="77777777" w:rsidR="00CE70FF" w:rsidRPr="00A76523" w:rsidRDefault="00CE70FF" w:rsidP="0077409A">
            <w:pPr>
              <w:pStyle w:val="Tabletext1"/>
              <w:rPr>
                <w:rFonts w:eastAsia="Calibri"/>
                <w:lang w:val="en-US" w:eastAsia="ja-JP"/>
              </w:rPr>
            </w:pPr>
            <w:r w:rsidRPr="00A76523">
              <w:rPr>
                <w:rFonts w:eastAsia="Calibri"/>
                <w:lang w:val="en-US" w:eastAsia="ja-JP"/>
              </w:rPr>
              <w:t>Fee: $1300 Benefit: 75% = $975.00 85% = $1105.00</w:t>
            </w:r>
          </w:p>
        </w:tc>
      </w:tr>
      <w:tr w:rsidR="00CE70FF" w:rsidRPr="00A76523" w14:paraId="229BB5C9" w14:textId="77777777" w:rsidTr="00707B81">
        <w:tc>
          <w:tcPr>
            <w:tcW w:w="9134" w:type="dxa"/>
          </w:tcPr>
          <w:p w14:paraId="46E7B4D8" w14:textId="77777777" w:rsidR="00CE70FF" w:rsidRPr="00A76523" w:rsidRDefault="00CE70FF" w:rsidP="0077409A">
            <w:pPr>
              <w:pStyle w:val="Tabletext1"/>
              <w:rPr>
                <w:rFonts w:eastAsia="Calibri"/>
                <w:lang w:val="en-US" w:eastAsia="ja-JP"/>
              </w:rPr>
            </w:pPr>
            <w:bookmarkStart w:id="51" w:name="_Toc429387261"/>
            <w:bookmarkEnd w:id="51"/>
            <w:r w:rsidRPr="00A76523">
              <w:rPr>
                <w:rFonts w:eastAsia="Calibri"/>
                <w:lang w:val="en-US" w:eastAsia="ja-JP"/>
              </w:rPr>
              <w:t>NONRESECTABLE PRIMARY LUNG CANCER OR PULMONARY METASTATIC DISEASE, destruction of four or five lesions, by percutaneous microwave tissue ablation (MTA) with palliative intent, including any associated imaging services.</w:t>
            </w:r>
          </w:p>
          <w:p w14:paraId="4211AA18" w14:textId="77777777" w:rsidR="00CE70FF" w:rsidRPr="00A76523" w:rsidRDefault="00CE70FF" w:rsidP="0077409A">
            <w:pPr>
              <w:pStyle w:val="Tabletext1"/>
              <w:rPr>
                <w:rFonts w:eastAsia="Calibri"/>
                <w:lang w:val="en-US" w:eastAsia="ja-JP"/>
              </w:rPr>
            </w:pPr>
            <w:r w:rsidRPr="00A76523">
              <w:rPr>
                <w:rFonts w:eastAsia="Calibri"/>
                <w:lang w:val="en-US" w:eastAsia="ja-JP"/>
              </w:rPr>
              <w:t>(Anaes)</w:t>
            </w:r>
            <w:r w:rsidRPr="00A76523">
              <w:rPr>
                <w:rFonts w:eastAsia="Calibri"/>
                <w:lang w:val="en-US" w:eastAsia="ja-JP"/>
              </w:rPr>
              <w:tab/>
            </w:r>
          </w:p>
          <w:p w14:paraId="3AB73C93" w14:textId="77777777" w:rsidR="00CE70FF" w:rsidRPr="00A76523" w:rsidRDefault="00CE70FF" w:rsidP="0077409A">
            <w:pPr>
              <w:pStyle w:val="Tabletext1"/>
              <w:rPr>
                <w:rFonts w:eastAsia="Calibri"/>
                <w:lang w:val="en-US" w:eastAsia="ja-JP"/>
              </w:rPr>
            </w:pPr>
            <w:r w:rsidRPr="00A76523">
              <w:rPr>
                <w:rFonts w:eastAsia="Calibri"/>
                <w:lang w:val="en-US" w:eastAsia="ja-JP"/>
              </w:rPr>
              <w:t>Fee: $1600 Benefit: 75% = $1200.00 85% = $1360.00</w:t>
            </w:r>
          </w:p>
        </w:tc>
      </w:tr>
      <w:tr w:rsidR="00CE70FF" w:rsidRPr="00A76523" w14:paraId="0E809862" w14:textId="77777777" w:rsidTr="00707B81">
        <w:tc>
          <w:tcPr>
            <w:tcW w:w="9134" w:type="dxa"/>
          </w:tcPr>
          <w:p w14:paraId="4A99A674" w14:textId="77777777" w:rsidR="00CE70FF" w:rsidRPr="00A76523" w:rsidRDefault="00CE70FF" w:rsidP="0077409A">
            <w:pPr>
              <w:pStyle w:val="Tabletext1"/>
              <w:rPr>
                <w:rFonts w:eastAsia="Calibri"/>
                <w:lang w:val="en-US" w:eastAsia="ja-JP"/>
              </w:rPr>
            </w:pPr>
            <w:r w:rsidRPr="00A76523">
              <w:rPr>
                <w:rFonts w:eastAsia="Calibri"/>
                <w:lang w:val="en-US" w:eastAsia="ja-JP"/>
              </w:rPr>
              <w:t>NONRESECTABLE PRIMARY LUNG CANCER OR PULMONARY METASTATIC DISEASE, destruction of more than five lesions, by percutaneous microwave tissue ablation (MTA) with palliative intent, including any associated imaging services.</w:t>
            </w:r>
          </w:p>
          <w:p w14:paraId="03938018" w14:textId="77777777" w:rsidR="00CE70FF" w:rsidRPr="00A76523" w:rsidRDefault="00CE70FF" w:rsidP="0077409A">
            <w:pPr>
              <w:pStyle w:val="Tabletext1"/>
              <w:rPr>
                <w:rFonts w:eastAsia="Calibri"/>
                <w:lang w:val="en-US" w:eastAsia="ja-JP"/>
              </w:rPr>
            </w:pPr>
            <w:r w:rsidRPr="00A76523">
              <w:rPr>
                <w:rFonts w:eastAsia="Calibri"/>
                <w:lang w:val="en-US" w:eastAsia="ja-JP"/>
              </w:rPr>
              <w:t>(Anaes)</w:t>
            </w:r>
            <w:r w:rsidRPr="00A76523">
              <w:rPr>
                <w:rFonts w:eastAsia="Calibri"/>
                <w:lang w:val="en-US" w:eastAsia="ja-JP"/>
              </w:rPr>
              <w:tab/>
            </w:r>
          </w:p>
          <w:p w14:paraId="4CA5C4ED" w14:textId="77777777" w:rsidR="00CE70FF" w:rsidRPr="00A76523" w:rsidRDefault="00CE70FF" w:rsidP="0077409A">
            <w:pPr>
              <w:pStyle w:val="Tabletext1"/>
              <w:rPr>
                <w:rFonts w:eastAsia="Calibri"/>
                <w:lang w:val="en-US" w:eastAsia="ja-JP"/>
              </w:rPr>
            </w:pPr>
            <w:r w:rsidRPr="00A76523">
              <w:rPr>
                <w:rFonts w:eastAsia="Calibri"/>
                <w:lang w:val="en-US" w:eastAsia="ja-JP"/>
              </w:rPr>
              <w:t>Fee: $2000 Benefit: 75% = $1500.00 85% = $1700.00</w:t>
            </w:r>
          </w:p>
        </w:tc>
      </w:tr>
    </w:tbl>
    <w:p w14:paraId="7662AABC" w14:textId="77777777" w:rsidR="008F1D1C" w:rsidRDefault="000E37EE" w:rsidP="003F6C66">
      <w:pPr>
        <w:pStyle w:val="Heading3"/>
      </w:pPr>
      <w:bookmarkStart w:id="52" w:name="_Toc460396001"/>
      <w:r>
        <w:t>Proposed population</w:t>
      </w:r>
      <w:r w:rsidR="0061447B">
        <w:t>(</w:t>
      </w:r>
      <w:r>
        <w:t>s</w:t>
      </w:r>
      <w:r w:rsidR="0061447B">
        <w:t>)</w:t>
      </w:r>
      <w:bookmarkEnd w:id="52"/>
    </w:p>
    <w:p w14:paraId="423CE4E9" w14:textId="77777777" w:rsidR="00077B5B" w:rsidRDefault="00077B5B" w:rsidP="00077B5B">
      <w:r>
        <w:t xml:space="preserve">There are three proposed </w:t>
      </w:r>
      <w:r w:rsidR="00AF1670">
        <w:t>populations</w:t>
      </w:r>
      <w:r>
        <w:t xml:space="preserve"> eligible for MTA of pr</w:t>
      </w:r>
      <w:r w:rsidR="00071CF1">
        <w:t>imary or secondary lung cancers</w:t>
      </w:r>
      <w:r>
        <w:t>:</w:t>
      </w:r>
    </w:p>
    <w:p w14:paraId="352686CD" w14:textId="71890128" w:rsidR="00271C73" w:rsidRDefault="00077B5B" w:rsidP="009970F5">
      <w:pPr>
        <w:pStyle w:val="ListParagraph"/>
        <w:numPr>
          <w:ilvl w:val="0"/>
          <w:numId w:val="73"/>
        </w:numPr>
      </w:pPr>
      <w:r>
        <w:t xml:space="preserve">Patients with early stage </w:t>
      </w:r>
      <w:r w:rsidR="00F77E80">
        <w:t>non-small cell lung cancer (</w:t>
      </w:r>
      <w:r>
        <w:t>NSCLC</w:t>
      </w:r>
      <w:r w:rsidR="00F77E80">
        <w:t>)</w:t>
      </w:r>
      <w:r>
        <w:t xml:space="preserve"> who are not eligible for surgical resection, and who are receiving treatment with curative intent.</w:t>
      </w:r>
      <w:r w:rsidR="00271C73" w:rsidRPr="00271C73">
        <w:t xml:space="preserve"> </w:t>
      </w:r>
      <w:r w:rsidR="00100516">
        <w:t>Prevalence is difficult to estimate for this population. F</w:t>
      </w:r>
      <w:r w:rsidR="00271C73">
        <w:t>or the economic evaluation</w:t>
      </w:r>
      <w:r w:rsidR="0049228D">
        <w:t>,</w:t>
      </w:r>
      <w:r w:rsidR="00271C73">
        <w:t xml:space="preserve"> </w:t>
      </w:r>
      <w:r w:rsidR="0049228D">
        <w:t>it has been</w:t>
      </w:r>
      <w:r w:rsidR="00271C73">
        <w:t xml:space="preserve"> estimate</w:t>
      </w:r>
      <w:r w:rsidR="0049228D">
        <w:t>d that</w:t>
      </w:r>
      <w:r w:rsidR="00271C73">
        <w:t xml:space="preserve"> 31 per cent of NSCLC is localised at </w:t>
      </w:r>
      <w:r w:rsidR="00271C73" w:rsidRPr="00A25FBE">
        <w:t xml:space="preserve">diagnosis </w:t>
      </w:r>
      <w:r w:rsidR="00A54FA1" w:rsidRPr="00A25FBE">
        <w:fldChar w:fldCharType="begin"/>
      </w:r>
      <w:r w:rsidR="006A4E2A">
        <w:instrText xml:space="preserve"> ADDIN EN.CITE &lt;EndNote&gt;&lt;Cite&gt;&lt;Author&gt;Barton&lt;/Author&gt;&lt;Year&gt;2013&lt;/Year&gt;&lt;RecNum&gt;267&lt;/RecNum&gt;&lt;DisplayText&gt;(Barton 2013)&lt;/DisplayText&gt;&lt;record&gt;&lt;rec-number&gt;267&lt;/rec-number&gt;&lt;foreign-keys&gt;&lt;key app="EN" db-id="05ssdaw2cf0zvye5xvo5z9ww0xdpfstrdtew" timestamp="1472537894"&gt;267&lt;/key&gt;&lt;/foreign-keys&gt;&lt;ref-type name="Web Page"&gt;12&lt;/ref-type&gt;&lt;contributors&gt;&lt;authors&gt;&lt;author&gt;Barton, M., Jacob S., Shafig J., Wong K., Thompson S., Hanna T., Delaney G.,&lt;/author&gt;&lt;/authors&gt;&lt;/contributors&gt;&lt;titles&gt;&lt;title&gt;National &amp;amp; International Benchmarks set following study of delivery of Radiotherapy Services: ‘Review of Radiotherapy Optimal Utilisation Rates’. Collaboration for Cancer Outcomes Research and Evaluation (CCORE)&lt;/title&gt;&lt;/titles&gt;&lt;volume&gt;2016&lt;/volume&gt;&lt;number&gt;30 August&lt;/number&gt;&lt;dates&gt;&lt;year&gt;2013&lt;/year&gt;&lt;pub-dates&gt;&lt;date&gt;unknown&lt;/date&gt;&lt;/pub-dates&gt;&lt;/dates&gt;&lt;publisher&gt;Liverpool Hospital&lt;/publisher&gt;&lt;urls&gt;&lt;related-urls&gt;&lt;url&gt;www.inghaminstitute.org.au/sites/default/files/RTU%20Review%20Final%20Dec%202012%20v2%2019032013.pdf&lt;/url&gt;&lt;/related-urls&gt;&lt;/urls&gt;&lt;/record&gt;&lt;/Cite&gt;&lt;Cite&gt;&lt;Author&gt;Barton&lt;/Author&gt;&lt;Year&gt;2013&lt;/Year&gt;&lt;RecNum&gt;267&lt;/RecNum&gt;&lt;record&gt;&lt;rec-number&gt;267&lt;/rec-number&gt;&lt;foreign-keys&gt;&lt;key app="EN" db-id="05ssdaw2cf0zvye5xvo5z9ww0xdpfstrdtew" timestamp="1472537894"&gt;267&lt;/key&gt;&lt;/foreign-keys&gt;&lt;ref-type name="Web Page"&gt;12&lt;/ref-type&gt;&lt;contributors&gt;&lt;authors&gt;&lt;author&gt;Barton, M., Jacob S., Shafig J., Wong K., Thompson S., Hanna T., Delaney G.,&lt;/author&gt;&lt;/authors&gt;&lt;/contributors&gt;&lt;titles&gt;&lt;title&gt;National &amp;amp; International Benchmarks set following study of delivery of Radiotherapy Services: ‘Review of Radiotherapy Optimal Utilisation Rates’. Collaboration for Cancer Outcomes Research and Evaluation (CCORE)&lt;/title&gt;&lt;/titles&gt;&lt;volume&gt;2016&lt;/volume&gt;&lt;number&gt;30 August&lt;/number&gt;&lt;dates&gt;&lt;year&gt;2013&lt;/year&gt;&lt;pub-dates&gt;&lt;date&gt;unknown&lt;/date&gt;&lt;/pub-dates&gt;&lt;/dates&gt;&lt;publisher&gt;Liverpool Hospital&lt;/publisher&gt;&lt;urls&gt;&lt;related-urls&gt;&lt;url&gt;www.inghaminstitute.org.au/sites/default/files/RTU%20Review%20Final%20Dec%202012%20v2%2019032013.pdf&lt;/url&gt;&lt;/related-urls&gt;&lt;/urls&gt;&lt;/record&gt;&lt;/Cite&gt;&lt;/EndNote&gt;</w:instrText>
      </w:r>
      <w:r w:rsidR="00A54FA1" w:rsidRPr="00A25FBE">
        <w:fldChar w:fldCharType="separate"/>
      </w:r>
      <w:r w:rsidR="006A4E2A">
        <w:rPr>
          <w:noProof/>
        </w:rPr>
        <w:t>(</w:t>
      </w:r>
      <w:hyperlink w:anchor="_ENREF_17" w:tooltip="Barton, 2013 #267" w:history="1">
        <w:r w:rsidR="00320458">
          <w:rPr>
            <w:noProof/>
          </w:rPr>
          <w:t>Barton 2013</w:t>
        </w:r>
      </w:hyperlink>
      <w:r w:rsidR="006A4E2A">
        <w:rPr>
          <w:noProof/>
        </w:rPr>
        <w:t>)</w:t>
      </w:r>
      <w:r w:rsidR="00A54FA1" w:rsidRPr="00A25FBE">
        <w:fldChar w:fldCharType="end"/>
      </w:r>
      <w:r w:rsidR="0077483C" w:rsidRPr="00A25FBE">
        <w:t>,</w:t>
      </w:r>
      <w:r w:rsidR="006D70A8" w:rsidRPr="00A25FBE">
        <w:t xml:space="preserve"> or</w:t>
      </w:r>
      <w:r w:rsidR="0077483C" w:rsidRPr="00A25FBE">
        <w:t xml:space="preserve"> </w:t>
      </w:r>
      <w:r w:rsidR="00613B59" w:rsidRPr="00A25FBE">
        <w:t>approximately</w:t>
      </w:r>
      <w:r w:rsidR="00613B59">
        <w:t xml:space="preserve"> 2250</w:t>
      </w:r>
      <w:r w:rsidR="00100516">
        <w:t xml:space="preserve"> cases in 2014</w:t>
      </w:r>
      <w:r w:rsidR="00271C73" w:rsidRPr="002B513F">
        <w:t>.</w:t>
      </w:r>
      <w:r w:rsidR="00271C73">
        <w:t xml:space="preserve"> </w:t>
      </w:r>
    </w:p>
    <w:p w14:paraId="220E3D3E" w14:textId="77777777" w:rsidR="00077B5B" w:rsidRDefault="00077B5B" w:rsidP="009970F5">
      <w:pPr>
        <w:pStyle w:val="ListParagraph"/>
        <w:numPr>
          <w:ilvl w:val="0"/>
          <w:numId w:val="73"/>
        </w:numPr>
      </w:pPr>
      <w:r>
        <w:t xml:space="preserve">Patients with pulmonary metastases, in </w:t>
      </w:r>
      <w:proofErr w:type="gramStart"/>
      <w:r>
        <w:t>whom</w:t>
      </w:r>
      <w:proofErr w:type="gramEnd"/>
      <w:r>
        <w:t xml:space="preserve"> the primary tumour is under control, and who are receiving treatment with curative intent (oligometastatic disease).</w:t>
      </w:r>
      <w:r w:rsidR="0077483C" w:rsidRPr="0077483C">
        <w:t xml:space="preserve"> </w:t>
      </w:r>
      <w:r w:rsidR="0077483C">
        <w:t xml:space="preserve">Because this </w:t>
      </w:r>
      <w:r w:rsidR="0077483C">
        <w:lastRenderedPageBreak/>
        <w:t>population includes patients with lung metastases from any primary cancer, it is not possible to estimate of the number of patients who might be eligible for MTA in this group.</w:t>
      </w:r>
    </w:p>
    <w:p w14:paraId="1750340A" w14:textId="77777777" w:rsidR="00BC27CC" w:rsidRDefault="00077B5B" w:rsidP="009970F5">
      <w:pPr>
        <w:pStyle w:val="ListParagraph"/>
        <w:numPr>
          <w:ilvl w:val="0"/>
          <w:numId w:val="73"/>
        </w:numPr>
      </w:pPr>
      <w:r>
        <w:t xml:space="preserve">Patients with NSCLC or pulmonary metastases, who are receiving palliative treatment. </w:t>
      </w:r>
      <w:r w:rsidR="00496771">
        <w:t>Because this population is broad,</w:t>
      </w:r>
      <w:r w:rsidR="00BC27CC">
        <w:t xml:space="preserve"> no estimates of population size can be determined. </w:t>
      </w:r>
      <w:r w:rsidR="003E4F3E">
        <w:t>Australian c</w:t>
      </w:r>
      <w:r w:rsidR="00BC27CC">
        <w:t xml:space="preserve">linicians have indicated that MTA is not currently used for </w:t>
      </w:r>
      <w:r w:rsidR="003E4F3E">
        <w:t>palliation</w:t>
      </w:r>
      <w:r w:rsidR="00810644">
        <w:t>.</w:t>
      </w:r>
    </w:p>
    <w:p w14:paraId="7AE9262A" w14:textId="77777777" w:rsidR="00753141" w:rsidRDefault="005602D3" w:rsidP="003F6C66">
      <w:pPr>
        <w:pStyle w:val="Heading3"/>
      </w:pPr>
      <w:bookmarkStart w:id="53" w:name="_Toc395200744"/>
      <w:bookmarkStart w:id="54" w:name="_Toc460396002"/>
      <w:bookmarkStart w:id="55" w:name="_Toc379118249"/>
      <w:bookmarkStart w:id="56" w:name="_Toc381796433"/>
      <w:bookmarkEnd w:id="43"/>
      <w:bookmarkEnd w:id="44"/>
      <w:bookmarkEnd w:id="46"/>
      <w:r w:rsidRPr="00663F97">
        <w:t>Comparator</w:t>
      </w:r>
      <w:r w:rsidRPr="00183E4D">
        <w:t xml:space="preserve"> </w:t>
      </w:r>
      <w:r w:rsidR="00AB7F0F">
        <w:t>d</w:t>
      </w:r>
      <w:r w:rsidRPr="00183E4D">
        <w:t>etail</w:t>
      </w:r>
      <w:r w:rsidR="00753141" w:rsidRPr="00183E4D">
        <w:t>s</w:t>
      </w:r>
      <w:bookmarkEnd w:id="53"/>
      <w:bookmarkEnd w:id="54"/>
      <w:r w:rsidRPr="00183E4D">
        <w:t xml:space="preserve"> </w:t>
      </w:r>
    </w:p>
    <w:p w14:paraId="5D6A24D9" w14:textId="3BA1941F" w:rsidR="00355E9F" w:rsidRDefault="00355E9F" w:rsidP="00355E9F">
      <w:r w:rsidRPr="005E7548">
        <w:t>The number and type of comparators to MTA depend</w:t>
      </w:r>
      <w:r w:rsidR="007E514D">
        <w:t>s</w:t>
      </w:r>
      <w:r w:rsidRPr="005E7548">
        <w:t xml:space="preserve"> on the population</w:t>
      </w:r>
      <w:r>
        <w:t xml:space="preserve">, </w:t>
      </w:r>
      <w:r w:rsidR="00D53A22">
        <w:t>as</w:t>
      </w:r>
      <w:r>
        <w:t xml:space="preserve"> illustrated in</w:t>
      </w:r>
      <w:r w:rsidR="00D53A22">
        <w:t xml:space="preserve"> </w:t>
      </w:r>
      <w:r w:rsidR="00D53A22">
        <w:fldChar w:fldCharType="begin"/>
      </w:r>
      <w:r w:rsidR="00D53A22">
        <w:instrText xml:space="preserve"> REF _Ref460333115 \h </w:instrText>
      </w:r>
      <w:r w:rsidR="00D53A22">
        <w:fldChar w:fldCharType="separate"/>
      </w:r>
      <w:r w:rsidR="00D170A5">
        <w:t xml:space="preserve">Table </w:t>
      </w:r>
      <w:r w:rsidR="00D170A5">
        <w:rPr>
          <w:noProof/>
        </w:rPr>
        <w:t>2</w:t>
      </w:r>
      <w:r w:rsidR="00D53A22">
        <w:fldChar w:fldCharType="end"/>
      </w:r>
      <w:r>
        <w:t>.</w:t>
      </w:r>
      <w:r w:rsidRPr="00355E9F">
        <w:t xml:space="preserve"> </w:t>
      </w:r>
      <w:r w:rsidRPr="00183E4D">
        <w:t xml:space="preserve">The </w:t>
      </w:r>
      <w:r w:rsidR="00C252B5">
        <w:t xml:space="preserve">relevant </w:t>
      </w:r>
      <w:r w:rsidRPr="00183E4D">
        <w:t xml:space="preserve">MBS item </w:t>
      </w:r>
      <w:r w:rsidRPr="00355E9F">
        <w:t>descriptor/s for the relevant comparator/s is summarised</w:t>
      </w:r>
      <w:r w:rsidRPr="00183E4D">
        <w:t xml:space="preserve"> </w:t>
      </w:r>
      <w:r>
        <w:t>in</w:t>
      </w:r>
      <w:r w:rsidR="00337774">
        <w:t xml:space="preserve"> Section A.5.</w:t>
      </w:r>
    </w:p>
    <w:p w14:paraId="4C1481F5" w14:textId="77777777" w:rsidR="00355E9F" w:rsidRDefault="00355E9F" w:rsidP="00355E9F">
      <w:pPr>
        <w:pStyle w:val="Caption"/>
        <w:keepNext/>
      </w:pPr>
      <w:bookmarkStart w:id="57" w:name="_Ref460333115"/>
      <w:bookmarkStart w:id="58" w:name="_Toc460514660"/>
      <w:r>
        <w:t xml:space="preserve">Table </w:t>
      </w:r>
      <w:fldSimple w:instr=" SEQ Table \* ARABIC ">
        <w:r w:rsidR="00D170A5">
          <w:rPr>
            <w:noProof/>
          </w:rPr>
          <w:t>2</w:t>
        </w:r>
      </w:fldSimple>
      <w:bookmarkEnd w:id="57"/>
      <w:r w:rsidR="00D53A22">
        <w:rPr>
          <w:noProof/>
        </w:rPr>
        <w:tab/>
      </w:r>
      <w:r>
        <w:tab/>
        <w:t xml:space="preserve">Comparator(s) </w:t>
      </w:r>
      <w:r w:rsidR="00E26D2A">
        <w:t xml:space="preserve">to MTA </w:t>
      </w:r>
      <w:r>
        <w:t xml:space="preserve">in the </w:t>
      </w:r>
      <w:r w:rsidR="005246A2">
        <w:t>proposed</w:t>
      </w:r>
      <w:r>
        <w:t xml:space="preserve"> populations</w:t>
      </w:r>
      <w:bookmarkEnd w:id="58"/>
    </w:p>
    <w:tbl>
      <w:tblPr>
        <w:tblStyle w:val="TableGrid"/>
        <w:tblW w:w="0" w:type="auto"/>
        <w:tblLook w:val="04A0" w:firstRow="1" w:lastRow="0" w:firstColumn="1" w:lastColumn="0" w:noHBand="0" w:noVBand="1"/>
        <w:tblCaption w:val="Table 2, Comparator(s) to MTA in the proposed populations"/>
        <w:tblDescription w:val="describes comparator(s) to MTA in the proposed populations"/>
      </w:tblPr>
      <w:tblGrid>
        <w:gridCol w:w="3794"/>
        <w:gridCol w:w="5448"/>
      </w:tblGrid>
      <w:tr w:rsidR="00355E9F" w:rsidRPr="00A109B2" w14:paraId="00BDC254" w14:textId="77777777" w:rsidTr="00CA79E5">
        <w:trPr>
          <w:tblHeader/>
        </w:trPr>
        <w:tc>
          <w:tcPr>
            <w:tcW w:w="3794" w:type="dxa"/>
            <w:shd w:val="clear" w:color="auto" w:fill="D9D9D9" w:themeFill="background1" w:themeFillShade="D9"/>
          </w:tcPr>
          <w:p w14:paraId="49CA67C6" w14:textId="77777777" w:rsidR="00355E9F" w:rsidRPr="006C1322" w:rsidRDefault="00355E9F" w:rsidP="001C0C4F">
            <w:pPr>
              <w:pStyle w:val="Tabletext1"/>
              <w:ind w:left="0"/>
              <w:rPr>
                <w:b/>
              </w:rPr>
            </w:pPr>
            <w:r w:rsidRPr="006C1322">
              <w:rPr>
                <w:b/>
              </w:rPr>
              <w:t>Population</w:t>
            </w:r>
          </w:p>
        </w:tc>
        <w:tc>
          <w:tcPr>
            <w:tcW w:w="5448" w:type="dxa"/>
            <w:shd w:val="clear" w:color="auto" w:fill="D9D9D9" w:themeFill="background1" w:themeFillShade="D9"/>
          </w:tcPr>
          <w:p w14:paraId="74FBF39D" w14:textId="77777777" w:rsidR="00355E9F" w:rsidRPr="006C1322" w:rsidRDefault="00355E9F" w:rsidP="001C0C4F">
            <w:pPr>
              <w:pStyle w:val="Tabletext1"/>
              <w:ind w:left="0"/>
              <w:rPr>
                <w:b/>
              </w:rPr>
            </w:pPr>
            <w:r w:rsidRPr="006C1322">
              <w:rPr>
                <w:b/>
              </w:rPr>
              <w:t>Comparator(s)</w:t>
            </w:r>
          </w:p>
        </w:tc>
      </w:tr>
      <w:tr w:rsidR="00355E9F" w:rsidRPr="00A109B2" w14:paraId="1B37B1FB" w14:textId="77777777" w:rsidTr="00D15459">
        <w:tc>
          <w:tcPr>
            <w:tcW w:w="3794" w:type="dxa"/>
          </w:tcPr>
          <w:p w14:paraId="0AD4C066" w14:textId="77777777" w:rsidR="00355E9F" w:rsidRPr="00A109B2" w:rsidRDefault="00E13F4D" w:rsidP="00C97E07">
            <w:pPr>
              <w:pStyle w:val="Tabletext1"/>
              <w:ind w:left="0"/>
            </w:pPr>
            <w:r>
              <w:t xml:space="preserve">Population one (early stage </w:t>
            </w:r>
            <w:r w:rsidR="00C97E07">
              <w:t>non-small cell lung cancer</w:t>
            </w:r>
            <w:r>
              <w:t>)</w:t>
            </w:r>
          </w:p>
        </w:tc>
        <w:tc>
          <w:tcPr>
            <w:tcW w:w="5448" w:type="dxa"/>
          </w:tcPr>
          <w:p w14:paraId="1EE5BF28" w14:textId="77777777" w:rsidR="00355E9F" w:rsidRPr="00A109B2" w:rsidRDefault="00355E9F" w:rsidP="00061841">
            <w:pPr>
              <w:pStyle w:val="Tabletext1"/>
              <w:ind w:left="459" w:hanging="459"/>
            </w:pPr>
            <w:r w:rsidRPr="00A109B2">
              <w:t xml:space="preserve">1) </w:t>
            </w:r>
            <w:r w:rsidR="00061841">
              <w:t xml:space="preserve"> </w:t>
            </w:r>
            <w:r w:rsidRPr="00A109B2">
              <w:t>Radiofrequency ablation</w:t>
            </w:r>
          </w:p>
          <w:p w14:paraId="6EE3260D" w14:textId="77777777" w:rsidR="00355E9F" w:rsidRPr="00A109B2" w:rsidRDefault="00355E9F" w:rsidP="00061841">
            <w:pPr>
              <w:pStyle w:val="Tabletext1"/>
              <w:ind w:left="459" w:hanging="459"/>
            </w:pPr>
            <w:r w:rsidRPr="00A109B2">
              <w:t xml:space="preserve">2) </w:t>
            </w:r>
            <w:r w:rsidR="00061841">
              <w:t xml:space="preserve"> </w:t>
            </w:r>
            <w:r w:rsidRPr="00A109B2">
              <w:t>Current best practice radiotherapy with or without chemotherapy</w:t>
            </w:r>
          </w:p>
        </w:tc>
      </w:tr>
      <w:tr w:rsidR="00355E9F" w:rsidRPr="00A109B2" w14:paraId="675FC435" w14:textId="77777777" w:rsidTr="00D15459">
        <w:tc>
          <w:tcPr>
            <w:tcW w:w="3794" w:type="dxa"/>
          </w:tcPr>
          <w:p w14:paraId="42B39F9C" w14:textId="77777777" w:rsidR="00355E9F" w:rsidRPr="00A109B2" w:rsidRDefault="00E13F4D" w:rsidP="001C0C4F">
            <w:pPr>
              <w:pStyle w:val="Tabletext1"/>
              <w:ind w:left="0"/>
            </w:pPr>
            <w:r>
              <w:t>Population two (oligometastatic disease)</w:t>
            </w:r>
          </w:p>
        </w:tc>
        <w:tc>
          <w:tcPr>
            <w:tcW w:w="5448" w:type="dxa"/>
          </w:tcPr>
          <w:p w14:paraId="7FFEEAB3" w14:textId="77777777" w:rsidR="00355E9F" w:rsidRPr="00A109B2" w:rsidRDefault="00355E9F" w:rsidP="00061841">
            <w:pPr>
              <w:pStyle w:val="Tabletext1"/>
              <w:ind w:left="459" w:hanging="459"/>
            </w:pPr>
            <w:r w:rsidRPr="00A109B2">
              <w:t xml:space="preserve">1) </w:t>
            </w:r>
            <w:r w:rsidR="00061841">
              <w:t xml:space="preserve"> </w:t>
            </w:r>
            <w:r w:rsidRPr="00A109B2">
              <w:t>Radiofrequency ablation</w:t>
            </w:r>
          </w:p>
          <w:p w14:paraId="717EDCB8" w14:textId="77777777" w:rsidR="00355E9F" w:rsidRPr="00A109B2" w:rsidRDefault="00355E9F" w:rsidP="00061841">
            <w:pPr>
              <w:pStyle w:val="Tabletext1"/>
              <w:ind w:left="459" w:hanging="459"/>
            </w:pPr>
            <w:r w:rsidRPr="00A109B2">
              <w:t xml:space="preserve">2) </w:t>
            </w:r>
            <w:r w:rsidR="00061841">
              <w:t xml:space="preserve"> </w:t>
            </w:r>
            <w:r w:rsidRPr="00A109B2">
              <w:t>Current best practice radiotherapy with or without chemotherapy</w:t>
            </w:r>
          </w:p>
          <w:p w14:paraId="2AE67D40" w14:textId="77777777" w:rsidR="00355E9F" w:rsidRPr="00A109B2" w:rsidRDefault="00355E9F" w:rsidP="00061841">
            <w:pPr>
              <w:pStyle w:val="Tabletext1"/>
              <w:ind w:left="459" w:hanging="459"/>
            </w:pPr>
            <w:r w:rsidRPr="00A109B2">
              <w:t xml:space="preserve">3) </w:t>
            </w:r>
            <w:r w:rsidR="00061841">
              <w:t xml:space="preserve"> </w:t>
            </w:r>
            <w:r w:rsidRPr="00A109B2">
              <w:t>Surgical resection</w:t>
            </w:r>
          </w:p>
        </w:tc>
      </w:tr>
      <w:tr w:rsidR="00355E9F" w:rsidRPr="00A109B2" w14:paraId="4F57FAD7" w14:textId="77777777" w:rsidTr="00D15459">
        <w:tc>
          <w:tcPr>
            <w:tcW w:w="3794" w:type="dxa"/>
          </w:tcPr>
          <w:p w14:paraId="5FF71BCA" w14:textId="77777777" w:rsidR="00355E9F" w:rsidRPr="00A109B2" w:rsidRDefault="00E13F4D" w:rsidP="00E13F4D">
            <w:pPr>
              <w:pStyle w:val="Tabletext1"/>
              <w:ind w:left="0"/>
            </w:pPr>
            <w:r>
              <w:t>Population three (palliative</w:t>
            </w:r>
            <w:r w:rsidR="004024CE">
              <w:t xml:space="preserve"> therapy</w:t>
            </w:r>
            <w:r>
              <w:t>)</w:t>
            </w:r>
          </w:p>
        </w:tc>
        <w:tc>
          <w:tcPr>
            <w:tcW w:w="5448" w:type="dxa"/>
          </w:tcPr>
          <w:p w14:paraId="25F1FBDC" w14:textId="77777777" w:rsidR="00355E9F" w:rsidRPr="00A109B2" w:rsidRDefault="00355E9F" w:rsidP="00C97E07">
            <w:pPr>
              <w:pStyle w:val="Tabletext1"/>
              <w:ind w:left="459" w:hanging="459"/>
            </w:pPr>
            <w:r w:rsidRPr="00A109B2">
              <w:t xml:space="preserve">1) </w:t>
            </w:r>
            <w:r w:rsidR="00061841">
              <w:t xml:space="preserve"> </w:t>
            </w:r>
            <w:r w:rsidRPr="00A109B2">
              <w:t xml:space="preserve">Conventional palliative therapy without </w:t>
            </w:r>
            <w:r w:rsidR="00C97E07">
              <w:t>microwave ablation</w:t>
            </w:r>
          </w:p>
        </w:tc>
      </w:tr>
    </w:tbl>
    <w:p w14:paraId="7D3EF4BA" w14:textId="77777777" w:rsidR="008C7152" w:rsidRPr="00183E4D" w:rsidRDefault="0075155C" w:rsidP="003F6C66">
      <w:pPr>
        <w:pStyle w:val="Heading3"/>
      </w:pPr>
      <w:bookmarkStart w:id="59" w:name="_Toc395200745"/>
      <w:bookmarkStart w:id="60" w:name="_Toc460396003"/>
      <w:r>
        <w:t>C</w:t>
      </w:r>
      <w:r w:rsidRPr="00183E4D">
        <w:t xml:space="preserve">linical </w:t>
      </w:r>
      <w:bookmarkEnd w:id="55"/>
      <w:bookmarkEnd w:id="56"/>
      <w:bookmarkEnd w:id="59"/>
      <w:r>
        <w:t>management algorithm(s)</w:t>
      </w:r>
      <w:bookmarkEnd w:id="60"/>
    </w:p>
    <w:p w14:paraId="733F6F9D" w14:textId="0E9E8C5F" w:rsidR="00DF22A8" w:rsidRDefault="00E41476" w:rsidP="002431B1">
      <w:r>
        <w:t>In population one</w:t>
      </w:r>
      <w:r w:rsidR="00665DBB">
        <w:t xml:space="preserve"> (NSCLC)</w:t>
      </w:r>
      <w:r>
        <w:t>,</w:t>
      </w:r>
      <w:r w:rsidR="00B2418D">
        <w:t xml:space="preserve"> </w:t>
      </w:r>
      <w:r w:rsidR="002431B1">
        <w:t xml:space="preserve">MTA </w:t>
      </w:r>
      <w:r w:rsidR="00840BAD">
        <w:t xml:space="preserve">is </w:t>
      </w:r>
      <w:r w:rsidR="00763013">
        <w:t>intended to be</w:t>
      </w:r>
      <w:r w:rsidR="0099451B">
        <w:t xml:space="preserve"> a direct replacement for </w:t>
      </w:r>
      <w:r w:rsidR="00552F14">
        <w:t>radiofrequency ablation (</w:t>
      </w:r>
      <w:r w:rsidR="0099451B">
        <w:t>R</w:t>
      </w:r>
      <w:r w:rsidR="00840BAD">
        <w:t>F</w:t>
      </w:r>
      <w:r w:rsidR="0099451B">
        <w:t>A</w:t>
      </w:r>
      <w:r w:rsidR="00552F14">
        <w:t>)</w:t>
      </w:r>
      <w:r w:rsidR="0099451B">
        <w:t>, and an</w:t>
      </w:r>
      <w:r w:rsidR="002431B1" w:rsidRPr="00DA5A56">
        <w:t xml:space="preserve"> </w:t>
      </w:r>
      <w:r w:rsidR="000C4808">
        <w:t>additional</w:t>
      </w:r>
      <w:r w:rsidR="002431B1" w:rsidRPr="00DA5A56">
        <w:t xml:space="preserve"> </w:t>
      </w:r>
      <w:r w:rsidR="0099451B">
        <w:t xml:space="preserve">therapeutic option </w:t>
      </w:r>
      <w:r w:rsidR="002431B1" w:rsidRPr="00DA5A56">
        <w:t>to current best practice radiotherapy with or without chemotherapy</w:t>
      </w:r>
      <w:r w:rsidR="0099451B">
        <w:t>.</w:t>
      </w:r>
      <w:r w:rsidR="00BA18DA">
        <w:t xml:space="preserve"> In population two</w:t>
      </w:r>
      <w:r w:rsidR="00665DBB">
        <w:t xml:space="preserve"> (oligometastases)</w:t>
      </w:r>
      <w:r w:rsidR="00BA18DA">
        <w:t xml:space="preserve">, MTA is intended to be a direct replacement for RFA, and an </w:t>
      </w:r>
      <w:r w:rsidR="000C4808">
        <w:t>additional</w:t>
      </w:r>
      <w:r w:rsidR="000C4808" w:rsidRPr="00DA5A56">
        <w:t xml:space="preserve"> </w:t>
      </w:r>
      <w:r w:rsidR="00BA18DA">
        <w:t xml:space="preserve">therapeutic option to surgical resection </w:t>
      </w:r>
      <w:r w:rsidR="000C4808">
        <w:t>or</w:t>
      </w:r>
      <w:r w:rsidR="00BA18DA">
        <w:t xml:space="preserve"> </w:t>
      </w:r>
      <w:r w:rsidR="00BA18DA" w:rsidRPr="00DA5A56">
        <w:t>current best practice radiotherapy with or without chemotherapy</w:t>
      </w:r>
      <w:r w:rsidR="00BA18DA">
        <w:t xml:space="preserve">. </w:t>
      </w:r>
      <w:proofErr w:type="gramStart"/>
      <w:r w:rsidR="00BA18DA">
        <w:t>In population three</w:t>
      </w:r>
      <w:r w:rsidR="00665DBB">
        <w:t xml:space="preserve"> (palliative)</w:t>
      </w:r>
      <w:r w:rsidR="00BA18DA">
        <w:t xml:space="preserve">, </w:t>
      </w:r>
      <w:r w:rsidR="00BA18DA" w:rsidRPr="00DA5A56">
        <w:t xml:space="preserve">MTA is </w:t>
      </w:r>
      <w:r w:rsidR="00BA18DA">
        <w:t xml:space="preserve">intended to be </w:t>
      </w:r>
      <w:r w:rsidR="00BA18DA" w:rsidRPr="00DA5A56">
        <w:t>an additional treatment option to conventional palliative treatments for NSCLC and pulmonary metastases.</w:t>
      </w:r>
      <w:proofErr w:type="gramEnd"/>
      <w:r w:rsidR="00DF22A8">
        <w:t xml:space="preserve"> </w:t>
      </w:r>
      <w:r w:rsidR="006A4E2A" w:rsidRPr="006A4E2A">
        <w:t>The current and proposed algorithms are shown in section A.6.</w:t>
      </w:r>
    </w:p>
    <w:p w14:paraId="63A9D78A" w14:textId="77777777" w:rsidR="00FB6A8A" w:rsidRPr="00183E4D" w:rsidRDefault="00630910" w:rsidP="003F6C66">
      <w:pPr>
        <w:pStyle w:val="Heading3"/>
      </w:pPr>
      <w:bookmarkStart w:id="61" w:name="_Toc395200746"/>
      <w:bookmarkStart w:id="62" w:name="_Toc460396004"/>
      <w:bookmarkStart w:id="63" w:name="_Toc379118058"/>
      <w:bookmarkStart w:id="64" w:name="_Toc379118250"/>
      <w:bookmarkStart w:id="65" w:name="_Toc381796434"/>
      <w:r w:rsidRPr="00183E4D">
        <w:t xml:space="preserve">Key </w:t>
      </w:r>
      <w:r w:rsidR="007F2E5A" w:rsidRPr="00183E4D">
        <w:t>differences in the delivery of the proposed medical service and the main comparator</w:t>
      </w:r>
      <w:bookmarkEnd w:id="61"/>
      <w:bookmarkEnd w:id="62"/>
      <w:r w:rsidR="007F2E5A" w:rsidRPr="00183E4D">
        <w:t xml:space="preserve"> </w:t>
      </w:r>
    </w:p>
    <w:p w14:paraId="05BEAC91" w14:textId="77777777" w:rsidR="00C03C1A" w:rsidRDefault="00C03C1A" w:rsidP="00251110">
      <w:pPr>
        <w:spacing w:after="100"/>
      </w:pPr>
      <w:bookmarkStart w:id="66" w:name="_Toc395200747"/>
      <w:bookmarkStart w:id="67" w:name="_Toc426968105"/>
      <w:r>
        <w:t xml:space="preserve">The main differences in the delivery of </w:t>
      </w:r>
      <w:r w:rsidR="004174A8">
        <w:t>MTA</w:t>
      </w:r>
      <w:r>
        <w:t xml:space="preserve"> and the comparators are:</w:t>
      </w:r>
    </w:p>
    <w:p w14:paraId="7EEEEB92" w14:textId="77777777" w:rsidR="00C03C1A" w:rsidRDefault="00C03C1A" w:rsidP="009970F5">
      <w:pPr>
        <w:pStyle w:val="ListParagraph"/>
        <w:numPr>
          <w:ilvl w:val="0"/>
          <w:numId w:val="60"/>
        </w:numPr>
      </w:pPr>
      <w:r>
        <w:t xml:space="preserve">RFA may require longer anaesthesia time </w:t>
      </w:r>
      <w:r w:rsidR="00944D6F">
        <w:t xml:space="preserve">than MTA, </w:t>
      </w:r>
      <w:r>
        <w:t>owi</w:t>
      </w:r>
      <w:r w:rsidR="009154EE">
        <w:t>ng to increased ablation times.</w:t>
      </w:r>
    </w:p>
    <w:p w14:paraId="2ED04962" w14:textId="26763871" w:rsidR="00C03C1A" w:rsidRDefault="008C1AD2" w:rsidP="009970F5">
      <w:pPr>
        <w:pStyle w:val="ListParagraph"/>
        <w:numPr>
          <w:ilvl w:val="0"/>
          <w:numId w:val="60"/>
        </w:numPr>
      </w:pPr>
      <w:r>
        <w:t>Conventional</w:t>
      </w:r>
      <w:r w:rsidR="00FD1EC6">
        <w:t xml:space="preserve"> radiotherapy regimens are delivered </w:t>
      </w:r>
      <w:r>
        <w:t>over</w:t>
      </w:r>
      <w:r w:rsidR="00EF204B">
        <w:t xml:space="preserve"> </w:t>
      </w:r>
      <w:r w:rsidR="00FD1EC6">
        <w:t>30</w:t>
      </w:r>
      <w:r>
        <w:t>-45</w:t>
      </w:r>
      <w:r w:rsidR="00FD1EC6">
        <w:t xml:space="preserve"> sessions</w:t>
      </w:r>
      <w:r w:rsidR="001931BF">
        <w:t>, while stereotactic body radiotherapy (SBRT) is delivered over 1</w:t>
      </w:r>
      <w:r w:rsidR="00D35E9C">
        <w:t>–</w:t>
      </w:r>
      <w:r w:rsidR="001931BF">
        <w:t>10 sessions</w:t>
      </w:r>
      <w:r w:rsidR="00FD1EC6">
        <w:t>. I</w:t>
      </w:r>
      <w:r w:rsidR="00C03C1A">
        <w:t>n c</w:t>
      </w:r>
      <w:r w:rsidR="00146519">
        <w:t>ontrast</w:t>
      </w:r>
      <w:r w:rsidR="00BC78EF">
        <w:t>,</w:t>
      </w:r>
      <w:r w:rsidR="00146519">
        <w:t xml:space="preserve"> MTA is usually performed in a single session. However, </w:t>
      </w:r>
      <w:r w:rsidR="00EF204B">
        <w:t>radiotherapy</w:t>
      </w:r>
      <w:r w:rsidR="00146519">
        <w:t xml:space="preserve"> is provided on an outpatient basis and an overnight hospital stay is not required. </w:t>
      </w:r>
      <w:r w:rsidR="001931BF">
        <w:t xml:space="preserve">SBRT also requires pre-treatment </w:t>
      </w:r>
      <w:r w:rsidR="001931BF" w:rsidRPr="00C03C1A">
        <w:t xml:space="preserve">simulation with </w:t>
      </w:r>
      <w:r w:rsidR="001931BF" w:rsidRPr="00C03C1A">
        <w:lastRenderedPageBreak/>
        <w:t>a standard high-resolution CT</w:t>
      </w:r>
      <w:r w:rsidR="001931BF">
        <w:t xml:space="preserve"> scan,</w:t>
      </w:r>
      <w:r w:rsidR="001931BF" w:rsidRPr="00C03C1A">
        <w:t xml:space="preserve"> </w:t>
      </w:r>
      <w:r w:rsidR="001931BF">
        <w:t>magnetic resonance imaging (MRI), angiography or p</w:t>
      </w:r>
      <w:r w:rsidR="001931BF" w:rsidRPr="003B04F1">
        <w:rPr>
          <w:rFonts w:asciiTheme="minorHAnsi" w:hAnsiTheme="minorHAnsi" w:cstheme="minorBidi"/>
        </w:rPr>
        <w:t>ositron emission tomography</w:t>
      </w:r>
      <w:r w:rsidR="001931BF">
        <w:t xml:space="preserve"> (PET) scan</w:t>
      </w:r>
      <w:r w:rsidR="001931BF" w:rsidRPr="00C03C1A">
        <w:t>.</w:t>
      </w:r>
    </w:p>
    <w:p w14:paraId="079C0C7F" w14:textId="77777777" w:rsidR="00146519" w:rsidRDefault="00146519" w:rsidP="009970F5">
      <w:pPr>
        <w:pStyle w:val="ListParagraph"/>
        <w:numPr>
          <w:ilvl w:val="0"/>
          <w:numId w:val="60"/>
        </w:numPr>
      </w:pPr>
      <w:r>
        <w:t xml:space="preserve">Surgical resection </w:t>
      </w:r>
      <w:r w:rsidR="00BC3580">
        <w:t xml:space="preserve">is associated with an </w:t>
      </w:r>
      <w:r>
        <w:t>extended recovery period</w:t>
      </w:r>
      <w:r w:rsidR="00BC3580">
        <w:t>,</w:t>
      </w:r>
      <w:r>
        <w:t xml:space="preserve"> requiring hospitalisation in all cases. </w:t>
      </w:r>
    </w:p>
    <w:p w14:paraId="08981A17" w14:textId="77777777" w:rsidR="00224E39" w:rsidRPr="007229D2" w:rsidRDefault="00FC337D" w:rsidP="003F6C66">
      <w:pPr>
        <w:pStyle w:val="Heading3"/>
      </w:pPr>
      <w:bookmarkStart w:id="68" w:name="_Toc460396005"/>
      <w:r>
        <w:t>Clinical c</w:t>
      </w:r>
      <w:r w:rsidR="00224E39" w:rsidRPr="00183E4D">
        <w:t>laim</w:t>
      </w:r>
      <w:bookmarkEnd w:id="66"/>
      <w:bookmarkEnd w:id="67"/>
      <w:bookmarkEnd w:id="68"/>
    </w:p>
    <w:p w14:paraId="4E2D8F70" w14:textId="77777777" w:rsidR="002431B1" w:rsidRPr="007229D2" w:rsidRDefault="008F2D03" w:rsidP="002431B1">
      <w:r w:rsidRPr="007229D2">
        <w:rPr>
          <w:b/>
        </w:rPr>
        <w:t>Population one:</w:t>
      </w:r>
      <w:r w:rsidRPr="007229D2">
        <w:t xml:space="preserve"> </w:t>
      </w:r>
      <w:r w:rsidR="00782A04" w:rsidRPr="007229D2">
        <w:t xml:space="preserve">The </w:t>
      </w:r>
      <w:r w:rsidR="00D06EEE" w:rsidRPr="007229D2">
        <w:t>applicant</w:t>
      </w:r>
      <w:r w:rsidR="00782A04" w:rsidRPr="007229D2">
        <w:t xml:space="preserve"> claims that </w:t>
      </w:r>
      <w:r w:rsidR="002431B1" w:rsidRPr="007229D2">
        <w:t>MTA offer</w:t>
      </w:r>
      <w:r w:rsidR="00782A04" w:rsidRPr="007229D2">
        <w:t>s</w:t>
      </w:r>
      <w:r w:rsidR="002431B1" w:rsidRPr="007229D2">
        <w:t xml:space="preserve"> </w:t>
      </w:r>
      <w:r w:rsidR="00D321DA" w:rsidRPr="007229D2">
        <w:t xml:space="preserve">superior effectiveness compared to RFA, and </w:t>
      </w:r>
      <w:r w:rsidR="002431B1" w:rsidRPr="007229D2">
        <w:t xml:space="preserve">equivalent effectiveness </w:t>
      </w:r>
      <w:r w:rsidR="00D321DA" w:rsidRPr="007229D2">
        <w:t>compared</w:t>
      </w:r>
      <w:r w:rsidR="002431B1" w:rsidRPr="007229D2">
        <w:t xml:space="preserve"> to </w:t>
      </w:r>
      <w:r w:rsidR="005D7319" w:rsidRPr="007229D2">
        <w:t>radiotherapy</w:t>
      </w:r>
      <w:r w:rsidR="006E144F" w:rsidRPr="007229D2">
        <w:t>,</w:t>
      </w:r>
      <w:r w:rsidR="005D7319" w:rsidRPr="007229D2">
        <w:t xml:space="preserve"> </w:t>
      </w:r>
      <w:r w:rsidR="002431B1" w:rsidRPr="007229D2">
        <w:t>with an acceptable safety profile.</w:t>
      </w:r>
    </w:p>
    <w:p w14:paraId="44E4A689" w14:textId="77777777" w:rsidR="00446FFB" w:rsidRPr="007229D2" w:rsidRDefault="00FB7471" w:rsidP="002431B1">
      <w:r w:rsidRPr="007229D2">
        <w:rPr>
          <w:b/>
        </w:rPr>
        <w:t>Populatio</w:t>
      </w:r>
      <w:r w:rsidR="006C4613" w:rsidRPr="007229D2">
        <w:rPr>
          <w:b/>
        </w:rPr>
        <w:t>n two</w:t>
      </w:r>
      <w:r w:rsidRPr="007229D2">
        <w:rPr>
          <w:b/>
        </w:rPr>
        <w:t>:</w:t>
      </w:r>
      <w:r w:rsidRPr="007229D2">
        <w:t xml:space="preserve"> </w:t>
      </w:r>
      <w:r w:rsidR="00446FFB" w:rsidRPr="007229D2">
        <w:t xml:space="preserve">In patients who are not eligible for surgery, the applicant claims </w:t>
      </w:r>
      <w:r w:rsidR="002431B1" w:rsidRPr="007229D2">
        <w:t xml:space="preserve">that MTA offers </w:t>
      </w:r>
      <w:r w:rsidR="006E144F" w:rsidRPr="007229D2">
        <w:t xml:space="preserve">superior effectiveness compared to RFA, and </w:t>
      </w:r>
      <w:r w:rsidR="002431B1" w:rsidRPr="007229D2">
        <w:t xml:space="preserve">equivalent effectiveness </w:t>
      </w:r>
      <w:r w:rsidR="006E144F" w:rsidRPr="007229D2">
        <w:t xml:space="preserve">compared </w:t>
      </w:r>
      <w:r w:rsidR="002431B1" w:rsidRPr="007229D2">
        <w:t>to radiotherapy or chemoradiotherapy</w:t>
      </w:r>
      <w:r w:rsidR="006E144F" w:rsidRPr="007229D2">
        <w:t>,</w:t>
      </w:r>
      <w:r w:rsidR="002431B1" w:rsidRPr="007229D2">
        <w:t xml:space="preserve"> with</w:t>
      </w:r>
      <w:r w:rsidR="00083966" w:rsidRPr="007229D2">
        <w:t xml:space="preserve"> an acceptable safety profile. </w:t>
      </w:r>
      <w:r w:rsidR="002431B1" w:rsidRPr="007229D2">
        <w:t xml:space="preserve">In patients who are eligible for </w:t>
      </w:r>
      <w:r w:rsidR="00446FFB" w:rsidRPr="007229D2">
        <w:t>surgery,</w:t>
      </w:r>
      <w:r w:rsidR="002431B1" w:rsidRPr="007229D2">
        <w:t xml:space="preserve"> </w:t>
      </w:r>
      <w:r w:rsidR="00446FFB" w:rsidRPr="007229D2">
        <w:t>the applicant claims</w:t>
      </w:r>
      <w:r w:rsidR="002431B1" w:rsidRPr="007229D2">
        <w:t xml:space="preserve"> that MTA </w:t>
      </w:r>
      <w:r w:rsidR="00446FFB" w:rsidRPr="007229D2">
        <w:t>has</w:t>
      </w:r>
      <w:r w:rsidR="002431B1" w:rsidRPr="007229D2">
        <w:t xml:space="preserve"> equivalent effectiveness to resection with acceptable safety. </w:t>
      </w:r>
    </w:p>
    <w:p w14:paraId="12D5B05C" w14:textId="77777777" w:rsidR="002431B1" w:rsidRPr="00911EB0" w:rsidRDefault="006C4613" w:rsidP="002431B1">
      <w:pPr>
        <w:rPr>
          <w:i/>
        </w:rPr>
      </w:pPr>
      <w:r w:rsidRPr="007229D2">
        <w:rPr>
          <w:b/>
        </w:rPr>
        <w:t>Population three</w:t>
      </w:r>
      <w:r w:rsidR="00911EB0" w:rsidRPr="007229D2">
        <w:rPr>
          <w:b/>
        </w:rPr>
        <w:t>:</w:t>
      </w:r>
      <w:r w:rsidR="00911EB0" w:rsidRPr="007229D2">
        <w:t xml:space="preserve"> </w:t>
      </w:r>
      <w:r w:rsidR="002431B1" w:rsidRPr="007229D2">
        <w:t>MTA</w:t>
      </w:r>
      <w:r w:rsidR="002431B1" w:rsidRPr="00F452E0">
        <w:t xml:space="preserve"> may improve symptom relief </w:t>
      </w:r>
      <w:r w:rsidR="00E24AAD">
        <w:t>compared</w:t>
      </w:r>
      <w:r w:rsidR="002431B1" w:rsidRPr="00F452E0">
        <w:t xml:space="preserve"> to conventional palliative </w:t>
      </w:r>
      <w:r w:rsidR="00DB2E19">
        <w:t>therapy.</w:t>
      </w:r>
      <w:r w:rsidR="002431B1" w:rsidRPr="00F452E0">
        <w:t xml:space="preserve"> </w:t>
      </w:r>
    </w:p>
    <w:p w14:paraId="2ADB840D" w14:textId="77777777" w:rsidR="00C96FE9" w:rsidRPr="00183E4D" w:rsidRDefault="00630910" w:rsidP="003F6C66">
      <w:pPr>
        <w:pStyle w:val="Heading3"/>
      </w:pPr>
      <w:bookmarkStart w:id="69" w:name="_Toc395200748"/>
      <w:bookmarkStart w:id="70" w:name="_Toc460396006"/>
      <w:r w:rsidRPr="00026A52">
        <w:rPr>
          <w:rStyle w:val="Heading3Char"/>
          <w:b/>
          <w:smallCaps/>
        </w:rPr>
        <w:t xml:space="preserve">Approach </w:t>
      </w:r>
      <w:r w:rsidR="000D5952" w:rsidRPr="00026A52">
        <w:rPr>
          <w:rStyle w:val="Heading3Char"/>
          <w:b/>
          <w:smallCaps/>
        </w:rPr>
        <w:t>t</w:t>
      </w:r>
      <w:r w:rsidR="000D5952" w:rsidRPr="00464B8B">
        <w:t xml:space="preserve">aken to the </w:t>
      </w:r>
      <w:r w:rsidR="000D5952" w:rsidRPr="00026A52">
        <w:rPr>
          <w:rStyle w:val="Heading3Char"/>
          <w:b/>
          <w:smallCaps/>
        </w:rPr>
        <w:t>e</w:t>
      </w:r>
      <w:r w:rsidR="000D5952" w:rsidRPr="00464B8B">
        <w:t xml:space="preserve">vidence </w:t>
      </w:r>
      <w:r w:rsidR="000D5952" w:rsidRPr="00026A52">
        <w:rPr>
          <w:rStyle w:val="Heading3Char"/>
          <w:b/>
          <w:smallCaps/>
        </w:rPr>
        <w:t>a</w:t>
      </w:r>
      <w:r w:rsidR="000D5952" w:rsidRPr="00464B8B">
        <w:t>ssessment</w:t>
      </w:r>
      <w:bookmarkEnd w:id="69"/>
      <w:bookmarkEnd w:id="70"/>
    </w:p>
    <w:p w14:paraId="4265BD44" w14:textId="77777777" w:rsidR="006633AA" w:rsidRPr="00146519" w:rsidRDefault="00AE1CBE" w:rsidP="006633AA">
      <w:r w:rsidRPr="00183E4D">
        <w:t>A systematic review of published literature was undertaken</w:t>
      </w:r>
      <w:r w:rsidR="00146519">
        <w:t xml:space="preserve"> to identify all studies of MTA in the proposed populations</w:t>
      </w:r>
      <w:r w:rsidRPr="00183E4D">
        <w:t>.</w:t>
      </w:r>
      <w:r w:rsidR="00146519" w:rsidRPr="00146519">
        <w:t xml:space="preserve"> </w:t>
      </w:r>
      <w:r w:rsidR="006633AA" w:rsidRPr="00146519">
        <w:t xml:space="preserve">No studies that directly or indirectly compared MTA to a relevant comparator were identified. As a result, the evidence base was insufficient to inform the </w:t>
      </w:r>
      <w:r w:rsidR="00316A02" w:rsidRPr="00183E4D">
        <w:t>Medical Services Advisory Committee (MSAC)</w:t>
      </w:r>
      <w:r w:rsidR="003E5561">
        <w:t xml:space="preserve"> on the comparative safety, effectiveness and cost effectiveness of MTA</w:t>
      </w:r>
      <w:r w:rsidR="00026A52">
        <w:t>. A</w:t>
      </w:r>
      <w:r w:rsidR="006633AA" w:rsidRPr="00146519">
        <w:t xml:space="preserve">s MTA and RFA are technologically </w:t>
      </w:r>
      <w:r w:rsidR="005C00C0">
        <w:t>similar</w:t>
      </w:r>
      <w:r w:rsidR="006633AA" w:rsidRPr="00146519">
        <w:t xml:space="preserve"> (</w:t>
      </w:r>
      <w:r w:rsidR="00026A52">
        <w:t>both</w:t>
      </w:r>
      <w:r w:rsidR="006633AA" w:rsidRPr="00146519">
        <w:t xml:space="preserve"> thermal ablative technologies)</w:t>
      </w:r>
      <w:r w:rsidR="005C00C0">
        <w:t>,</w:t>
      </w:r>
      <w:r w:rsidR="006633AA" w:rsidRPr="00146519">
        <w:t xml:space="preserve"> high quality comparative data for RFA compared to current MBS listed comparator services (SBRT and surgery) could inform a funding decision on MTA. Therefore, a second systematic search was conducted to identify all studies on RFA</w:t>
      </w:r>
      <w:r w:rsidR="00026A52">
        <w:t>. N</w:t>
      </w:r>
      <w:r w:rsidR="006633AA" w:rsidRPr="00146519">
        <w:t>o direct or indirect comparative evidence was identified</w:t>
      </w:r>
      <w:r w:rsidR="00B16AA0">
        <w:t>, and as such,</w:t>
      </w:r>
      <w:r w:rsidR="00026A52">
        <w:t xml:space="preserve"> no form of meta-analysis or indirect comparison across interventions could be undertaken.</w:t>
      </w:r>
      <w:r w:rsidR="006633AA" w:rsidRPr="00146519">
        <w:t xml:space="preserve"> </w:t>
      </w:r>
    </w:p>
    <w:p w14:paraId="1E38DAC0" w14:textId="71172458" w:rsidR="00146519" w:rsidRDefault="00026A52" w:rsidP="006633AA">
      <w:r>
        <w:t>I</w:t>
      </w:r>
      <w:r w:rsidR="006633AA" w:rsidRPr="00146519">
        <w:t xml:space="preserve">n order to contextualise the evidence base for MTA and RFA, pragmatic searches were executed to identify evidence for </w:t>
      </w:r>
      <w:r w:rsidR="003E5561">
        <w:t>the remaining comparators</w:t>
      </w:r>
      <w:r>
        <w:t>—</w:t>
      </w:r>
      <w:r w:rsidR="006633AA" w:rsidRPr="00146519">
        <w:t>current best practice radiotherapy and surgical resection</w:t>
      </w:r>
      <w:r>
        <w:t>—</w:t>
      </w:r>
      <w:r w:rsidR="006633AA" w:rsidRPr="00146519">
        <w:t xml:space="preserve">across </w:t>
      </w:r>
      <w:r w:rsidR="000246DB">
        <w:t>the</w:t>
      </w:r>
      <w:r w:rsidR="006633AA" w:rsidRPr="00146519">
        <w:t xml:space="preserve"> three defined populations. </w:t>
      </w:r>
      <w:r w:rsidR="006633AA">
        <w:t xml:space="preserve">The approach to searches is depicted in </w:t>
      </w:r>
      <w:r w:rsidR="006633AA">
        <w:fldChar w:fldCharType="begin"/>
      </w:r>
      <w:r w:rsidR="006633AA">
        <w:instrText xml:space="preserve"> REF _Ref457379295 \h </w:instrText>
      </w:r>
      <w:r w:rsidR="006633AA">
        <w:fldChar w:fldCharType="separate"/>
      </w:r>
      <w:r w:rsidR="00D170A5">
        <w:t xml:space="preserve">Figure </w:t>
      </w:r>
      <w:r w:rsidR="00D170A5">
        <w:rPr>
          <w:noProof/>
        </w:rPr>
        <w:t>1</w:t>
      </w:r>
      <w:r w:rsidR="006633AA">
        <w:fldChar w:fldCharType="end"/>
      </w:r>
      <w:r w:rsidR="007136CF">
        <w:t>.</w:t>
      </w:r>
      <w:r w:rsidR="00292A7B" w:rsidRPr="00292A7B">
        <w:t xml:space="preserve"> </w:t>
      </w:r>
      <w:r w:rsidR="00292A7B">
        <w:t xml:space="preserve">Section B.1 gives a more detailed explanation of searches and rationale. </w:t>
      </w:r>
      <w:r w:rsidR="00292A7B" w:rsidRPr="00146519">
        <w:t xml:space="preserve">Full details of search strategies and databases searched are provided in Appendix B. </w:t>
      </w:r>
    </w:p>
    <w:p w14:paraId="062CB57F" w14:textId="77777777" w:rsidR="006633AA" w:rsidRDefault="006633AA" w:rsidP="006633AA">
      <w:pPr>
        <w:keepNext/>
      </w:pPr>
      <w:r w:rsidRPr="006633AA">
        <w:rPr>
          <w:rFonts w:ascii="Garamond" w:hAnsi="Garamond" w:cstheme="minorBidi"/>
          <w:noProof/>
          <w:sz w:val="24"/>
          <w:szCs w:val="24"/>
        </w:rPr>
        <w:lastRenderedPageBreak/>
        <mc:AlternateContent>
          <mc:Choice Requires="wpc">
            <w:drawing>
              <wp:inline distT="0" distB="0" distL="0" distR="0" wp14:anchorId="6FC52CE1" wp14:editId="2708DB0F">
                <wp:extent cx="5486400" cy="8277101"/>
                <wp:effectExtent l="0" t="0" r="19050" b="10160"/>
                <wp:docPr id="35" name="Canvas 35" descr="Summary of the search strategies" title="Figure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20" name="Text Box 20"/>
                        <wps:cNvSpPr txBox="1"/>
                        <wps:spPr>
                          <a:xfrm>
                            <a:off x="66674" y="106421"/>
                            <a:ext cx="5381625" cy="1122276"/>
                          </a:xfrm>
                          <a:prstGeom prst="rect">
                            <a:avLst/>
                          </a:prstGeom>
                          <a:solidFill>
                            <a:sysClr val="window" lastClr="FFFFFF"/>
                          </a:solidFill>
                          <a:ln w="6350">
                            <a:noFill/>
                          </a:ln>
                          <a:effectLst/>
                        </wps:spPr>
                        <wps:txbx>
                          <w:txbxContent>
                            <w:p w14:paraId="2DE5629A" w14:textId="77777777" w:rsidR="00EE58C4" w:rsidRPr="00F17885" w:rsidRDefault="00EE58C4" w:rsidP="00C252B5">
                              <w:pPr>
                                <w:spacing w:before="0" w:after="0"/>
                                <w:jc w:val="center"/>
                                <w:rPr>
                                  <w:rFonts w:ascii="Arial Narrow" w:hAnsi="Arial Narrow"/>
                                  <w:b/>
                                </w:rPr>
                              </w:pPr>
                              <w:r w:rsidRPr="00F17885">
                                <w:rPr>
                                  <w:rFonts w:ascii="Arial Narrow" w:hAnsi="Arial Narrow"/>
                                  <w:b/>
                                </w:rPr>
                                <w:t>1. Search for all published studies of MTA for the proposed populations</w:t>
                              </w:r>
                            </w:p>
                            <w:p w14:paraId="54047E6B" w14:textId="77777777" w:rsidR="00EE58C4" w:rsidRPr="00F17885" w:rsidRDefault="00EE58C4" w:rsidP="00C252B5">
                              <w:pPr>
                                <w:spacing w:before="0" w:after="0"/>
                                <w:jc w:val="center"/>
                                <w:rPr>
                                  <w:rFonts w:ascii="Arial Narrow" w:hAnsi="Arial Narrow"/>
                                </w:rPr>
                              </w:pPr>
                              <w:proofErr w:type="gramStart"/>
                              <w:r w:rsidRPr="00F17885">
                                <w:rPr>
                                  <w:rFonts w:ascii="Arial Narrow" w:hAnsi="Arial Narrow"/>
                                </w:rPr>
                                <w:t>PubMed (including MEDLINE), Embase (excluding MEDLINE), Cochrane Library, and the University of York Centre for Reviews and Dissemination.</w:t>
                              </w:r>
                              <w:proofErr w:type="gramEnd"/>
                            </w:p>
                            <w:p w14:paraId="4B72ABDB" w14:textId="77777777" w:rsidR="00EE58C4" w:rsidRPr="00F17885" w:rsidRDefault="00EE58C4" w:rsidP="00C252B5">
                              <w:pPr>
                                <w:spacing w:before="0" w:after="0"/>
                                <w:jc w:val="center"/>
                                <w:rPr>
                                  <w:rFonts w:ascii="Arial Narrow" w:hAnsi="Arial Narrow"/>
                                </w:rPr>
                              </w:pPr>
                              <w:r w:rsidRPr="00F17885">
                                <w:rPr>
                                  <w:rFonts w:ascii="Arial Narrow" w:hAnsi="Arial Narrow"/>
                                </w:rPr>
                                <w:t>Searched on: 31/05/2016 and 1/06/2016</w:t>
                              </w:r>
                            </w:p>
                            <w:p w14:paraId="0937DA5C" w14:textId="77777777" w:rsidR="00EE58C4" w:rsidRPr="00F17885" w:rsidRDefault="00EE58C4" w:rsidP="00C252B5">
                              <w:pPr>
                                <w:spacing w:before="0" w:after="0"/>
                                <w:jc w:val="center"/>
                                <w:rPr>
                                  <w:rFonts w:ascii="Arial Narrow" w:hAnsi="Arial Narrow"/>
                                </w:rPr>
                              </w:pPr>
                              <w:r w:rsidRPr="00F17885">
                                <w:rPr>
                                  <w:rFonts w:ascii="Arial Narrow" w:hAnsi="Arial Narrow"/>
                                </w:rPr>
                                <w:t>Limits: English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904876" y="1228693"/>
                            <a:ext cx="3705224" cy="748614"/>
                          </a:xfrm>
                          <a:prstGeom prst="rect">
                            <a:avLst/>
                          </a:prstGeom>
                          <a:solidFill>
                            <a:sysClr val="window" lastClr="FFFFFF"/>
                          </a:solidFill>
                          <a:ln w="6350">
                            <a:noFill/>
                          </a:ln>
                          <a:effectLst/>
                        </wps:spPr>
                        <wps:txbx>
                          <w:txbxContent>
                            <w:p w14:paraId="03BFDFAD" w14:textId="77777777" w:rsidR="00EE58C4" w:rsidRPr="00F17885" w:rsidRDefault="00EE58C4" w:rsidP="002B7AE4">
                              <w:pPr>
                                <w:spacing w:after="0"/>
                                <w:jc w:val="center"/>
                                <w:rPr>
                                  <w:rFonts w:ascii="Arial Narrow" w:hAnsi="Arial Narrow"/>
                                  <w:color w:val="FF0000"/>
                                </w:rPr>
                              </w:pPr>
                              <w:r w:rsidRPr="00F17885">
                                <w:rPr>
                                  <w:rFonts w:ascii="Arial Narrow" w:hAnsi="Arial Narrow"/>
                                  <w:color w:val="FF0000"/>
                                </w:rPr>
                                <w:t>No studies that directly or indirectly compared MTA to a relevant comparator were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
                        <wps:cNvSpPr txBox="1"/>
                        <wps:spPr>
                          <a:xfrm>
                            <a:off x="66674" y="2070835"/>
                            <a:ext cx="5351825" cy="1158012"/>
                          </a:xfrm>
                          <a:prstGeom prst="rect">
                            <a:avLst/>
                          </a:prstGeom>
                          <a:solidFill>
                            <a:sysClr val="window" lastClr="FFFFFF"/>
                          </a:solidFill>
                          <a:ln w="6350">
                            <a:noFill/>
                          </a:ln>
                          <a:effectLst/>
                        </wps:spPr>
                        <wps:txbx>
                          <w:txbxContent>
                            <w:p w14:paraId="2CE2C792"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b/>
                                  <w:bCs/>
                                  <w:szCs w:val="22"/>
                                </w:rPr>
                                <w:t>2. Search for all published studies of RFA for the proposed populations</w:t>
                              </w:r>
                            </w:p>
                            <w:p w14:paraId="130EE882" w14:textId="77777777" w:rsidR="00EE58C4" w:rsidRPr="00F17885" w:rsidRDefault="00EE58C4" w:rsidP="002B7AE4">
                              <w:pPr>
                                <w:pStyle w:val="NormalWeb"/>
                                <w:spacing w:before="0" w:beforeAutospacing="0" w:after="0" w:afterAutospacing="0"/>
                                <w:jc w:val="center"/>
                                <w:rPr>
                                  <w:szCs w:val="22"/>
                                </w:rPr>
                              </w:pPr>
                              <w:proofErr w:type="gramStart"/>
                              <w:r w:rsidRPr="00F17885">
                                <w:rPr>
                                  <w:rFonts w:ascii="Arial Narrow" w:hAnsi="Arial Narrow"/>
                                  <w:szCs w:val="22"/>
                                </w:rPr>
                                <w:t>PubMed (including MEDLINE), Embase (excluding MEDLINE), Cochrane Library, and the University of York Centre for Reviews and Dissemination.</w:t>
                              </w:r>
                              <w:proofErr w:type="gramEnd"/>
                            </w:p>
                            <w:p w14:paraId="3DFA8D1B"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szCs w:val="22"/>
                                </w:rPr>
                                <w:t>Searched on: 31/05/2016 and 1/06/2016</w:t>
                              </w:r>
                            </w:p>
                            <w:p w14:paraId="50042265" w14:textId="643D8449" w:rsidR="00EE58C4" w:rsidRPr="00F17885" w:rsidRDefault="00EE58C4" w:rsidP="002B7AE4">
                              <w:pPr>
                                <w:pStyle w:val="NormalWeb"/>
                                <w:spacing w:before="0" w:beforeAutospacing="0" w:after="0" w:afterAutospacing="0"/>
                                <w:jc w:val="center"/>
                                <w:rPr>
                                  <w:szCs w:val="22"/>
                                </w:rPr>
                              </w:pPr>
                              <w:r w:rsidRPr="00F17885">
                                <w:rPr>
                                  <w:rFonts w:ascii="Arial Narrow" w:hAnsi="Arial Narrow"/>
                                  <w:szCs w:val="22"/>
                                </w:rPr>
                                <w:t>Limits: English language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4"/>
                        <wps:cNvSpPr txBox="1"/>
                        <wps:spPr>
                          <a:xfrm>
                            <a:off x="1269179" y="3359352"/>
                            <a:ext cx="2914649" cy="498230"/>
                          </a:xfrm>
                          <a:prstGeom prst="rect">
                            <a:avLst/>
                          </a:prstGeom>
                          <a:solidFill>
                            <a:sysClr val="window" lastClr="FFFFFF"/>
                          </a:solidFill>
                          <a:ln w="6350">
                            <a:noFill/>
                          </a:ln>
                          <a:effectLst/>
                        </wps:spPr>
                        <wps:txbx>
                          <w:txbxContent>
                            <w:p w14:paraId="594BD9BE"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color w:val="FF0000"/>
                                  <w:szCs w:val="22"/>
                                </w:rPr>
                                <w:t>No studies that directly or indirectly compared RFA to a relevant comparator were identified.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2"/>
                        <wps:cNvSpPr txBox="1"/>
                        <wps:spPr>
                          <a:xfrm>
                            <a:off x="66674" y="4098699"/>
                            <a:ext cx="5351825" cy="1103630"/>
                          </a:xfrm>
                          <a:prstGeom prst="rect">
                            <a:avLst/>
                          </a:prstGeom>
                          <a:solidFill>
                            <a:sysClr val="window" lastClr="FFFFFF"/>
                          </a:solidFill>
                          <a:ln w="6350">
                            <a:noFill/>
                          </a:ln>
                          <a:effectLst/>
                        </wps:spPr>
                        <wps:txbx>
                          <w:txbxContent>
                            <w:p w14:paraId="1F302EAC" w14:textId="77777777" w:rsidR="00EE58C4" w:rsidRPr="00F17885" w:rsidRDefault="00EE58C4" w:rsidP="002B7AE4">
                              <w:pPr>
                                <w:pStyle w:val="NormalWeb"/>
                                <w:tabs>
                                  <w:tab w:val="left" w:pos="3544"/>
                                  <w:tab w:val="left" w:pos="3828"/>
                                </w:tabs>
                                <w:spacing w:before="0" w:beforeAutospacing="0" w:after="0" w:afterAutospacing="0"/>
                                <w:jc w:val="center"/>
                                <w:rPr>
                                  <w:rFonts w:ascii="Arial Narrow" w:hAnsi="Arial Narrow"/>
                                  <w:b/>
                                  <w:bCs/>
                                  <w:szCs w:val="22"/>
                                </w:rPr>
                              </w:pPr>
                              <w:r w:rsidRPr="00F17885">
                                <w:rPr>
                                  <w:rFonts w:ascii="Arial Narrow" w:hAnsi="Arial Narrow"/>
                                  <w:b/>
                                  <w:bCs/>
                                  <w:szCs w:val="22"/>
                                </w:rPr>
                                <w:t xml:space="preserve">3. Search for published studies of radiotherapy for the proposed populations in PubMed, in the last 10 years </w:t>
                              </w:r>
                            </w:p>
                            <w:p w14:paraId="167B4E02" w14:textId="77777777" w:rsidR="00EE58C4" w:rsidRPr="00F17885" w:rsidRDefault="00EE58C4" w:rsidP="002B7AE4">
                              <w:pPr>
                                <w:pStyle w:val="NormalWeb"/>
                                <w:tabs>
                                  <w:tab w:val="left" w:pos="3544"/>
                                  <w:tab w:val="left" w:pos="3828"/>
                                </w:tabs>
                                <w:spacing w:before="0" w:beforeAutospacing="0" w:after="0" w:afterAutospacing="0"/>
                                <w:jc w:val="center"/>
                                <w:rPr>
                                  <w:rFonts w:ascii="Arial Narrow" w:hAnsi="Arial Narrow"/>
                                  <w:szCs w:val="22"/>
                                </w:rPr>
                              </w:pPr>
                              <w:r w:rsidRPr="00F17885">
                                <w:rPr>
                                  <w:rFonts w:ascii="Arial Narrow" w:hAnsi="Arial Narrow"/>
                                  <w:szCs w:val="22"/>
                                </w:rPr>
                                <w:t>PubMed (including MEDLINE)</w:t>
                              </w:r>
                            </w:p>
                            <w:p w14:paraId="136C6E2F" w14:textId="77777777" w:rsidR="00EE58C4" w:rsidRPr="00F17885" w:rsidRDefault="00EE58C4" w:rsidP="002B7AE4">
                              <w:pPr>
                                <w:pStyle w:val="NormalWeb"/>
                                <w:tabs>
                                  <w:tab w:val="left" w:pos="3544"/>
                                  <w:tab w:val="left" w:pos="3828"/>
                                </w:tabs>
                                <w:spacing w:before="0" w:beforeAutospacing="0" w:after="0" w:afterAutospacing="0"/>
                                <w:jc w:val="center"/>
                                <w:rPr>
                                  <w:rFonts w:ascii="Arial Narrow" w:hAnsi="Arial Narrow"/>
                                  <w:szCs w:val="22"/>
                                </w:rPr>
                              </w:pPr>
                              <w:r w:rsidRPr="00F17885">
                                <w:rPr>
                                  <w:rFonts w:ascii="Arial Narrow" w:hAnsi="Arial Narrow"/>
                                  <w:szCs w:val="22"/>
                                </w:rPr>
                                <w:t>Searched on: 15/06/2016</w:t>
                              </w:r>
                            </w:p>
                            <w:p w14:paraId="41CBB12E" w14:textId="77777777" w:rsidR="00EE58C4" w:rsidRPr="00F17885" w:rsidRDefault="00EE58C4" w:rsidP="002B7AE4">
                              <w:pPr>
                                <w:pStyle w:val="NormalWeb"/>
                                <w:tabs>
                                  <w:tab w:val="left" w:pos="3544"/>
                                  <w:tab w:val="left" w:pos="3828"/>
                                </w:tabs>
                                <w:spacing w:before="0" w:beforeAutospacing="0" w:after="0" w:afterAutospacing="0"/>
                                <w:jc w:val="center"/>
                                <w:rPr>
                                  <w:rFonts w:ascii="Arial Narrow" w:hAnsi="Arial Narrow"/>
                                  <w:szCs w:val="22"/>
                                </w:rPr>
                              </w:pPr>
                              <w:r w:rsidRPr="00F17885">
                                <w:rPr>
                                  <w:rFonts w:ascii="Arial Narrow" w:hAnsi="Arial Narrow"/>
                                  <w:szCs w:val="22"/>
                                </w:rPr>
                                <w:t>Limits: English language, humans, published from 2006 onwards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4"/>
                        <wps:cNvSpPr txBox="1"/>
                        <wps:spPr>
                          <a:xfrm>
                            <a:off x="1040823" y="5394241"/>
                            <a:ext cx="3416877" cy="604520"/>
                          </a:xfrm>
                          <a:prstGeom prst="rect">
                            <a:avLst/>
                          </a:prstGeom>
                          <a:solidFill>
                            <a:sysClr val="window" lastClr="FFFFFF"/>
                          </a:solidFill>
                          <a:ln w="6350">
                            <a:noFill/>
                          </a:ln>
                          <a:effectLst/>
                        </wps:spPr>
                        <wps:txbx>
                          <w:txbxContent>
                            <w:p w14:paraId="76E3CB7F"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color w:val="FF0000"/>
                                  <w:szCs w:val="22"/>
                                </w:rPr>
                                <w:t>Limited comparative evidence for radiotherapy compared to surgery. No other comparative data were identified.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Text Box 2"/>
                        <wps:cNvSpPr txBox="1"/>
                        <wps:spPr>
                          <a:xfrm>
                            <a:off x="66674" y="6104220"/>
                            <a:ext cx="5351825" cy="1121210"/>
                          </a:xfrm>
                          <a:prstGeom prst="rect">
                            <a:avLst/>
                          </a:prstGeom>
                          <a:solidFill>
                            <a:sysClr val="window" lastClr="FFFFFF"/>
                          </a:solidFill>
                          <a:ln w="6350">
                            <a:noFill/>
                          </a:ln>
                          <a:effectLst/>
                        </wps:spPr>
                        <wps:txbx>
                          <w:txbxContent>
                            <w:p w14:paraId="33219548"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b/>
                                  <w:bCs/>
                                  <w:szCs w:val="22"/>
                                </w:rPr>
                                <w:t>4. Search for published studies of surgical resec</w:t>
                              </w:r>
                              <w:r w:rsidRPr="00C252B5">
                                <w:rPr>
                                  <w:rFonts w:ascii="Arial Narrow" w:hAnsi="Arial Narrow"/>
                                  <w:b/>
                                  <w:bCs/>
                                  <w:szCs w:val="22"/>
                                </w:rPr>
                                <w:t>ti</w:t>
                              </w:r>
                              <w:r w:rsidRPr="00F17885">
                                <w:rPr>
                                  <w:rFonts w:ascii="Arial Narrow" w:hAnsi="Arial Narrow"/>
                                  <w:b/>
                                  <w:bCs/>
                                  <w:szCs w:val="22"/>
                                </w:rPr>
                                <w:t xml:space="preserve">on for the proposed populations in PubMed, in the last 10 years </w:t>
                              </w:r>
                            </w:p>
                            <w:p w14:paraId="2A68C49F"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szCs w:val="22"/>
                                </w:rPr>
                                <w:t>PubMed (including MEDLINE)</w:t>
                              </w:r>
                            </w:p>
                            <w:p w14:paraId="104BDCF5"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szCs w:val="22"/>
                                </w:rPr>
                                <w:t>Searched on: 28/06/2016</w:t>
                              </w:r>
                            </w:p>
                            <w:p w14:paraId="49686AA3"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szCs w:val="22"/>
                                </w:rPr>
                                <w:t>Limits: English language, humans, published from 2006 onwards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2"/>
                        <wps:cNvSpPr txBox="1"/>
                        <wps:spPr>
                          <a:xfrm>
                            <a:off x="66674" y="7421785"/>
                            <a:ext cx="5381625" cy="851671"/>
                          </a:xfrm>
                          <a:prstGeom prst="rect">
                            <a:avLst/>
                          </a:prstGeom>
                          <a:solidFill>
                            <a:sysClr val="window" lastClr="FFFFFF"/>
                          </a:solidFill>
                          <a:ln w="6350">
                            <a:noFill/>
                          </a:ln>
                          <a:effectLst/>
                        </wps:spPr>
                        <wps:txbx>
                          <w:txbxContent>
                            <w:p w14:paraId="4D5B8709" w14:textId="77777777" w:rsidR="00EE58C4" w:rsidRPr="00F17885" w:rsidRDefault="00EE58C4" w:rsidP="002B7AE4">
                              <w:pPr>
                                <w:pStyle w:val="NormalWeb"/>
                                <w:spacing w:before="0" w:beforeAutospacing="0" w:after="0" w:afterAutospacing="0"/>
                                <w:jc w:val="center"/>
                                <w:rPr>
                                  <w:rFonts w:ascii="Arial Narrow" w:hAnsi="Arial Narrow"/>
                                  <w:szCs w:val="22"/>
                                </w:rPr>
                              </w:pPr>
                              <w:r w:rsidRPr="00F17885">
                                <w:rPr>
                                  <w:rFonts w:ascii="Arial Narrow" w:hAnsi="Arial Narrow"/>
                                  <w:szCs w:val="22"/>
                                </w:rPr>
                                <w:t>All studies of MTA and RFA in the proposed population extracted and presented.</w:t>
                              </w:r>
                            </w:p>
                            <w:p w14:paraId="4B584A8C" w14:textId="77777777" w:rsidR="00EE58C4" w:rsidRPr="00F17885" w:rsidRDefault="00EE58C4" w:rsidP="002B7AE4">
                              <w:pPr>
                                <w:pStyle w:val="NormalWeb"/>
                                <w:spacing w:before="0" w:beforeAutospacing="0" w:after="0" w:afterAutospacing="0"/>
                                <w:jc w:val="center"/>
                                <w:rPr>
                                  <w:rFonts w:ascii="Arial Narrow" w:hAnsi="Arial Narrow"/>
                                  <w:szCs w:val="22"/>
                                </w:rPr>
                              </w:pPr>
                              <w:r w:rsidRPr="00F17885">
                                <w:rPr>
                                  <w:rFonts w:ascii="Arial Narrow" w:hAnsi="Arial Narrow"/>
                                  <w:szCs w:val="22"/>
                                </w:rPr>
                                <w:t>Selected studies of radiotherapy and surgery extracted and presented to inform expected outcomes with current technologies. Studies selected based on level of evidence, and other pertinent factors such as year of publication and sample size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Straight Arrow Connector 38"/>
                        <wps:cNvCnPr/>
                        <wps:spPr>
                          <a:xfrm>
                            <a:off x="2725080" y="1172893"/>
                            <a:ext cx="0" cy="2597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2" name="Straight Arrow Connector 42"/>
                        <wps:cNvCnPr/>
                        <wps:spPr>
                          <a:xfrm>
                            <a:off x="2725080" y="1834541"/>
                            <a:ext cx="0" cy="2590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3" name="Straight Arrow Connector 43"/>
                        <wps:cNvCnPr/>
                        <wps:spPr>
                          <a:xfrm>
                            <a:off x="2725080" y="5162586"/>
                            <a:ext cx="0" cy="2590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4" name="Straight Arrow Connector 44"/>
                        <wps:cNvCnPr/>
                        <wps:spPr>
                          <a:xfrm>
                            <a:off x="2725080" y="5836381"/>
                            <a:ext cx="0" cy="2590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5" name="Straight Arrow Connector 45"/>
                        <wps:cNvCnPr/>
                        <wps:spPr>
                          <a:xfrm>
                            <a:off x="2725080" y="3839711"/>
                            <a:ext cx="0" cy="2590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6" name="Straight Arrow Connector 46"/>
                        <wps:cNvCnPr/>
                        <wps:spPr>
                          <a:xfrm>
                            <a:off x="2725080" y="3135193"/>
                            <a:ext cx="0" cy="2590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8" name="Straight Arrow Connector 28"/>
                        <wps:cNvCnPr/>
                        <wps:spPr>
                          <a:xfrm>
                            <a:off x="2725080" y="7195209"/>
                            <a:ext cx="0" cy="258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c:wpc>
                  </a:graphicData>
                </a:graphic>
              </wp:inline>
            </w:drawing>
          </mc:Choice>
          <mc:Fallback>
            <w:pict>
              <v:group id="Canvas 35" o:spid="_x0000_s1026" editas="canvas" alt="Title: Figure 1 - Description: Summary of the search strategies" style="width:6in;height:651.75pt;mso-position-horizontal-relative:char;mso-position-vertical-relative:line" coordsize="54864,8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ummary of the search strategies" style="position:absolute;width:54864;height:82765;visibility:visible;mso-wrap-style:square" stroked="t" strokecolor="black [3213]">
                  <v:fill o:detectmouseclick="t"/>
                  <v:path o:connecttype="none"/>
                </v:shape>
                <v:shapetype id="_x0000_t202" coordsize="21600,21600" o:spt="202" path="m,l,21600r21600,l21600,xe">
                  <v:stroke joinstyle="miter"/>
                  <v:path gradientshapeok="t" o:connecttype="rect"/>
                </v:shapetype>
                <v:shape id="Text Box 20" o:spid="_x0000_s1028" type="#_x0000_t202" style="position:absolute;left:666;top:1064;width:53816;height:1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lx8IA&#10;AADbAAAADwAAAGRycy9kb3ducmV2LnhtbERPz2vCMBS+C/sfwht401QPY1SjyHBMwaJ2A6+P5tnW&#10;NS8lyWznX28OgseP7/d82ZtGXMn52rKCyTgBQVxYXXOp4Of7c/QOwgdkjY1lUvBPHpaLl8EcU207&#10;PtI1D6WIIexTVFCF0KZS+qIig35sW+LIna0zGCJ0pdQOuxhuGjlNkjdpsObYUGFLHxUVv/mfUXDq&#10;8i+3324vh3aT3fa3PNvROlNq+NqvZiAC9eEpfrg3WsE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uXHwgAAANsAAAAPAAAAAAAAAAAAAAAAAJgCAABkcnMvZG93&#10;bnJldi54bWxQSwUGAAAAAAQABAD1AAAAhwMAAAAA&#10;" fillcolor="window" stroked="f" strokeweight=".5pt">
                  <v:textbox>
                    <w:txbxContent>
                      <w:p w14:paraId="2DE5629A" w14:textId="77777777" w:rsidR="00EE58C4" w:rsidRPr="00F17885" w:rsidRDefault="00EE58C4" w:rsidP="00C252B5">
                        <w:pPr>
                          <w:spacing w:before="0" w:after="0"/>
                          <w:jc w:val="center"/>
                          <w:rPr>
                            <w:rFonts w:ascii="Arial Narrow" w:hAnsi="Arial Narrow"/>
                            <w:b/>
                          </w:rPr>
                        </w:pPr>
                        <w:r w:rsidRPr="00F17885">
                          <w:rPr>
                            <w:rFonts w:ascii="Arial Narrow" w:hAnsi="Arial Narrow"/>
                            <w:b/>
                          </w:rPr>
                          <w:t>1. Search for all published studies of MTA for the proposed populations</w:t>
                        </w:r>
                      </w:p>
                      <w:p w14:paraId="54047E6B" w14:textId="77777777" w:rsidR="00EE58C4" w:rsidRPr="00F17885" w:rsidRDefault="00EE58C4" w:rsidP="00C252B5">
                        <w:pPr>
                          <w:spacing w:before="0" w:after="0"/>
                          <w:jc w:val="center"/>
                          <w:rPr>
                            <w:rFonts w:ascii="Arial Narrow" w:hAnsi="Arial Narrow"/>
                          </w:rPr>
                        </w:pPr>
                        <w:proofErr w:type="gramStart"/>
                        <w:r w:rsidRPr="00F17885">
                          <w:rPr>
                            <w:rFonts w:ascii="Arial Narrow" w:hAnsi="Arial Narrow"/>
                          </w:rPr>
                          <w:t>PubMed (including MEDLINE), Embase (excluding MEDLINE), Cochrane Library, and the University of York Centre for Reviews and Dissemination.</w:t>
                        </w:r>
                        <w:proofErr w:type="gramEnd"/>
                      </w:p>
                      <w:p w14:paraId="4B72ABDB" w14:textId="77777777" w:rsidR="00EE58C4" w:rsidRPr="00F17885" w:rsidRDefault="00EE58C4" w:rsidP="00C252B5">
                        <w:pPr>
                          <w:spacing w:before="0" w:after="0"/>
                          <w:jc w:val="center"/>
                          <w:rPr>
                            <w:rFonts w:ascii="Arial Narrow" w:hAnsi="Arial Narrow"/>
                          </w:rPr>
                        </w:pPr>
                        <w:r w:rsidRPr="00F17885">
                          <w:rPr>
                            <w:rFonts w:ascii="Arial Narrow" w:hAnsi="Arial Narrow"/>
                          </w:rPr>
                          <w:t>Searched on: 31/05/2016 and 1/06/2016</w:t>
                        </w:r>
                      </w:p>
                      <w:p w14:paraId="0937DA5C" w14:textId="77777777" w:rsidR="00EE58C4" w:rsidRPr="00F17885" w:rsidRDefault="00EE58C4" w:rsidP="00C252B5">
                        <w:pPr>
                          <w:spacing w:before="0" w:after="0"/>
                          <w:jc w:val="center"/>
                          <w:rPr>
                            <w:rFonts w:ascii="Arial Narrow" w:hAnsi="Arial Narrow"/>
                          </w:rPr>
                        </w:pPr>
                        <w:r w:rsidRPr="00F17885">
                          <w:rPr>
                            <w:rFonts w:ascii="Arial Narrow" w:hAnsi="Arial Narrow"/>
                          </w:rPr>
                          <w:t>Limits: English language</w:t>
                        </w:r>
                      </w:p>
                    </w:txbxContent>
                  </v:textbox>
                </v:shape>
                <v:shape id="Text Box 22" o:spid="_x0000_s1029" type="#_x0000_t202" style="position:absolute;left:9048;top:12286;width:37053;height:7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eK8UA&#10;AADbAAAADwAAAGRycy9kb3ducmV2LnhtbESPQWvCQBSE7wX/w/IK3nTTHESiq5RSUaHBGgu9PrKv&#10;Sdrs27C7mtRf7xaEHoeZ+YZZrgfTigs531hW8DRNQBCXVjdcKfg4bSZzED4ga2wtk4Jf8rBejR6W&#10;mGnb85EuRahEhLDPUEEdQpdJ6cuaDPqp7Yij92WdwRClq6R22Ee4aWWaJDNpsOG4UGNHLzWVP8XZ&#10;KPjsi6077Pff790uvx6uRf5Gr7lS48fheQEi0BD+w/f2TitIU/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N4rxQAAANsAAAAPAAAAAAAAAAAAAAAAAJgCAABkcnMv&#10;ZG93bnJldi54bWxQSwUGAAAAAAQABAD1AAAAigMAAAAA&#10;" fillcolor="window" stroked="f" strokeweight=".5pt">
                  <v:textbox>
                    <w:txbxContent>
                      <w:p w14:paraId="03BFDFAD" w14:textId="77777777" w:rsidR="00EE58C4" w:rsidRPr="00F17885" w:rsidRDefault="00EE58C4" w:rsidP="002B7AE4">
                        <w:pPr>
                          <w:spacing w:after="0"/>
                          <w:jc w:val="center"/>
                          <w:rPr>
                            <w:rFonts w:ascii="Arial Narrow" w:hAnsi="Arial Narrow"/>
                            <w:color w:val="FF0000"/>
                          </w:rPr>
                        </w:pPr>
                        <w:r w:rsidRPr="00F17885">
                          <w:rPr>
                            <w:rFonts w:ascii="Arial Narrow" w:hAnsi="Arial Narrow"/>
                            <w:color w:val="FF0000"/>
                          </w:rPr>
                          <w:t>No studies that directly or indirectly compared MTA to a relevant comparator were identified.</w:t>
                        </w:r>
                      </w:p>
                    </w:txbxContent>
                  </v:textbox>
                </v:shape>
                <v:shape id="Text Box 2" o:spid="_x0000_s1030" type="#_x0000_t202" style="position:absolute;left:666;top:20708;width:53518;height:1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7sMUA&#10;AADbAAAADwAAAGRycy9kb3ducmV2LnhtbESPQWvCQBSE74X+h+UVequbWhC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HuwxQAAANsAAAAPAAAAAAAAAAAAAAAAAJgCAABkcnMv&#10;ZG93bnJldi54bWxQSwUGAAAAAAQABAD1AAAAigMAAAAA&#10;" fillcolor="window" stroked="f" strokeweight=".5pt">
                  <v:textbox>
                    <w:txbxContent>
                      <w:p w14:paraId="2CE2C792"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b/>
                            <w:bCs/>
                            <w:szCs w:val="22"/>
                          </w:rPr>
                          <w:t>2. Search for all published studies of RFA for the proposed populations</w:t>
                        </w:r>
                      </w:p>
                      <w:p w14:paraId="130EE882" w14:textId="77777777" w:rsidR="00EE58C4" w:rsidRPr="00F17885" w:rsidRDefault="00EE58C4" w:rsidP="002B7AE4">
                        <w:pPr>
                          <w:pStyle w:val="NormalWeb"/>
                          <w:spacing w:before="0" w:beforeAutospacing="0" w:after="0" w:afterAutospacing="0"/>
                          <w:jc w:val="center"/>
                          <w:rPr>
                            <w:szCs w:val="22"/>
                          </w:rPr>
                        </w:pPr>
                        <w:proofErr w:type="gramStart"/>
                        <w:r w:rsidRPr="00F17885">
                          <w:rPr>
                            <w:rFonts w:ascii="Arial Narrow" w:hAnsi="Arial Narrow"/>
                            <w:szCs w:val="22"/>
                          </w:rPr>
                          <w:t>PubMed (including MEDLINE), Embase (excluding MEDLINE), Cochrane Library, and the University of York Centre for Reviews and Dissemination.</w:t>
                        </w:r>
                        <w:proofErr w:type="gramEnd"/>
                      </w:p>
                      <w:p w14:paraId="3DFA8D1B"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szCs w:val="22"/>
                          </w:rPr>
                          <w:t>Searched on: 31/05/2016 and 1/06/2016</w:t>
                        </w:r>
                      </w:p>
                      <w:p w14:paraId="50042265" w14:textId="643D8449" w:rsidR="00EE58C4" w:rsidRPr="00F17885" w:rsidRDefault="00EE58C4" w:rsidP="002B7AE4">
                        <w:pPr>
                          <w:pStyle w:val="NormalWeb"/>
                          <w:spacing w:before="0" w:beforeAutospacing="0" w:after="0" w:afterAutospacing="0"/>
                          <w:jc w:val="center"/>
                          <w:rPr>
                            <w:szCs w:val="22"/>
                          </w:rPr>
                        </w:pPr>
                        <w:r w:rsidRPr="00F17885">
                          <w:rPr>
                            <w:rFonts w:ascii="Arial Narrow" w:hAnsi="Arial Narrow"/>
                            <w:szCs w:val="22"/>
                          </w:rPr>
                          <w:t>Limits: English language</w:t>
                        </w:r>
                      </w:p>
                    </w:txbxContent>
                  </v:textbox>
                </v:shape>
                <v:shape id="Text Box 4" o:spid="_x0000_s1031" type="#_x0000_t202" style="position:absolute;left:12691;top:33593;width:29147;height:4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xMUA&#10;AADbAAAADwAAAGRycy9kb3ducmV2LnhtbESPQWvCQBSE74X+h+UVequbShG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ePExQAAANsAAAAPAAAAAAAAAAAAAAAAAJgCAABkcnMv&#10;ZG93bnJldi54bWxQSwUGAAAAAAQABAD1AAAAigMAAAAA&#10;" fillcolor="window" stroked="f" strokeweight=".5pt">
                  <v:textbox>
                    <w:txbxContent>
                      <w:p w14:paraId="594BD9BE"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color w:val="FF0000"/>
                            <w:szCs w:val="22"/>
                          </w:rPr>
                          <w:t>No studies that directly or indirectly compared RFA to a relevant comparator were identified.</w:t>
                        </w:r>
                      </w:p>
                    </w:txbxContent>
                  </v:textbox>
                </v:shape>
                <v:shape id="Text Box 2" o:spid="_x0000_s1032" type="#_x0000_t202" style="position:absolute;left:666;top:40986;width:53518;height:1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GX8UA&#10;AADbAAAADwAAAGRycy9kb3ducmV2LnhtbESPQWvCQBSE74X+h+UVequbChW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UZfxQAAANsAAAAPAAAAAAAAAAAAAAAAAJgCAABkcnMv&#10;ZG93bnJldi54bWxQSwUGAAAAAAQABAD1AAAAigMAAAAA&#10;" fillcolor="window" stroked="f" strokeweight=".5pt">
                  <v:textbox>
                    <w:txbxContent>
                      <w:p w14:paraId="1F302EAC" w14:textId="77777777" w:rsidR="00EE58C4" w:rsidRPr="00F17885" w:rsidRDefault="00EE58C4" w:rsidP="002B7AE4">
                        <w:pPr>
                          <w:pStyle w:val="NormalWeb"/>
                          <w:tabs>
                            <w:tab w:val="left" w:pos="3544"/>
                            <w:tab w:val="left" w:pos="3828"/>
                          </w:tabs>
                          <w:spacing w:before="0" w:beforeAutospacing="0" w:after="0" w:afterAutospacing="0"/>
                          <w:jc w:val="center"/>
                          <w:rPr>
                            <w:rFonts w:ascii="Arial Narrow" w:hAnsi="Arial Narrow"/>
                            <w:b/>
                            <w:bCs/>
                            <w:szCs w:val="22"/>
                          </w:rPr>
                        </w:pPr>
                        <w:r w:rsidRPr="00F17885">
                          <w:rPr>
                            <w:rFonts w:ascii="Arial Narrow" w:hAnsi="Arial Narrow"/>
                            <w:b/>
                            <w:bCs/>
                            <w:szCs w:val="22"/>
                          </w:rPr>
                          <w:t xml:space="preserve">3. Search for published studies of radiotherapy for the proposed populations in PubMed, in the last 10 years </w:t>
                        </w:r>
                      </w:p>
                      <w:p w14:paraId="167B4E02" w14:textId="77777777" w:rsidR="00EE58C4" w:rsidRPr="00F17885" w:rsidRDefault="00EE58C4" w:rsidP="002B7AE4">
                        <w:pPr>
                          <w:pStyle w:val="NormalWeb"/>
                          <w:tabs>
                            <w:tab w:val="left" w:pos="3544"/>
                            <w:tab w:val="left" w:pos="3828"/>
                          </w:tabs>
                          <w:spacing w:before="0" w:beforeAutospacing="0" w:after="0" w:afterAutospacing="0"/>
                          <w:jc w:val="center"/>
                          <w:rPr>
                            <w:rFonts w:ascii="Arial Narrow" w:hAnsi="Arial Narrow"/>
                            <w:szCs w:val="22"/>
                          </w:rPr>
                        </w:pPr>
                        <w:r w:rsidRPr="00F17885">
                          <w:rPr>
                            <w:rFonts w:ascii="Arial Narrow" w:hAnsi="Arial Narrow"/>
                            <w:szCs w:val="22"/>
                          </w:rPr>
                          <w:t>PubMed (including MEDLINE)</w:t>
                        </w:r>
                      </w:p>
                      <w:p w14:paraId="136C6E2F" w14:textId="77777777" w:rsidR="00EE58C4" w:rsidRPr="00F17885" w:rsidRDefault="00EE58C4" w:rsidP="002B7AE4">
                        <w:pPr>
                          <w:pStyle w:val="NormalWeb"/>
                          <w:tabs>
                            <w:tab w:val="left" w:pos="3544"/>
                            <w:tab w:val="left" w:pos="3828"/>
                          </w:tabs>
                          <w:spacing w:before="0" w:beforeAutospacing="0" w:after="0" w:afterAutospacing="0"/>
                          <w:jc w:val="center"/>
                          <w:rPr>
                            <w:rFonts w:ascii="Arial Narrow" w:hAnsi="Arial Narrow"/>
                            <w:szCs w:val="22"/>
                          </w:rPr>
                        </w:pPr>
                        <w:r w:rsidRPr="00F17885">
                          <w:rPr>
                            <w:rFonts w:ascii="Arial Narrow" w:hAnsi="Arial Narrow"/>
                            <w:szCs w:val="22"/>
                          </w:rPr>
                          <w:t>Searched on: 15/06/2016</w:t>
                        </w:r>
                      </w:p>
                      <w:p w14:paraId="41CBB12E" w14:textId="77777777" w:rsidR="00EE58C4" w:rsidRPr="00F17885" w:rsidRDefault="00EE58C4" w:rsidP="002B7AE4">
                        <w:pPr>
                          <w:pStyle w:val="NormalWeb"/>
                          <w:tabs>
                            <w:tab w:val="left" w:pos="3544"/>
                            <w:tab w:val="left" w:pos="3828"/>
                          </w:tabs>
                          <w:spacing w:before="0" w:beforeAutospacing="0" w:after="0" w:afterAutospacing="0"/>
                          <w:jc w:val="center"/>
                          <w:rPr>
                            <w:rFonts w:ascii="Arial Narrow" w:hAnsi="Arial Narrow"/>
                            <w:szCs w:val="22"/>
                          </w:rPr>
                        </w:pPr>
                        <w:r w:rsidRPr="00F17885">
                          <w:rPr>
                            <w:rFonts w:ascii="Arial Narrow" w:hAnsi="Arial Narrow"/>
                            <w:szCs w:val="22"/>
                          </w:rPr>
                          <w:t>Limits: English language, humans, published from 2006 onwards</w:t>
                        </w:r>
                      </w:p>
                    </w:txbxContent>
                  </v:textbox>
                </v:shape>
                <v:shape id="Text Box 4" o:spid="_x0000_s1033" type="#_x0000_t202" style="position:absolute;left:10408;top:53942;width:34169;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KMUA&#10;AADbAAAADwAAAGRycy9kb3ducmV2LnhtbESPQWvCQBSE74L/YXlCb3WjBympqxRRVDDYpgWvj+wz&#10;Sc2+DbtbE/313ULB4zAz3zDzZW8acSXna8sKJuMEBHFhdc2lgq/PzfMLCB+QNTaWScGNPCwXw8Ec&#10;U207/qBrHkoRIexTVFCF0KZS+qIig35sW+Lona0zGKJ0pdQOuwg3jZwmyUwarDkuVNjSqqLikv8Y&#10;Bacu37rjfv/93u6y+/GeZwdaZ0o9jfq3VxCB+vAI/7d3WsF0B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9goxQAAANsAAAAPAAAAAAAAAAAAAAAAAJgCAABkcnMv&#10;ZG93bnJldi54bWxQSwUGAAAAAAQABAD1AAAAigMAAAAA&#10;" fillcolor="window" stroked="f" strokeweight=".5pt">
                  <v:textbox>
                    <w:txbxContent>
                      <w:p w14:paraId="76E3CB7F"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color w:val="FF0000"/>
                            <w:szCs w:val="22"/>
                          </w:rPr>
                          <w:t>Limited comparative evidence for radiotherapy compared to surgery. No other comparative data were identified.</w:t>
                        </w:r>
                      </w:p>
                    </w:txbxContent>
                  </v:textbox>
                </v:shape>
                <v:shape id="Text Box 2" o:spid="_x0000_s1034" type="#_x0000_t202" style="position:absolute;left:666;top:61042;width:53518;height:1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9s8UA&#10;AADbAAAADwAAAGRycy9kb3ducmV2LnhtbESPQWvCQBSE74X+h+UVequbeqgSXUWkpQoN1ih4fWSf&#10;STT7NuxuTfTXdwtCj8PMfMNM571pxIWcry0reB0kIIgLq2suFex3Hy9jED4ga2wsk4IreZjPHh+m&#10;mGrb8ZYueShFhLBPUUEVQptK6YuKDPqBbYmjd7TOYIjSlVI77CLcNHKYJG/SYM1xocKWlhUV5/zH&#10;KDh0+afbrNen73aV3Ta3PPui90yp56d+MQERqA//4Xt7pRUMR/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2zxQAAANsAAAAPAAAAAAAAAAAAAAAAAJgCAABkcnMv&#10;ZG93bnJldi54bWxQSwUGAAAAAAQABAD1AAAAigMAAAAA&#10;" fillcolor="window" stroked="f" strokeweight=".5pt">
                  <v:textbox>
                    <w:txbxContent>
                      <w:p w14:paraId="33219548"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b/>
                            <w:bCs/>
                            <w:szCs w:val="22"/>
                          </w:rPr>
                          <w:t>4. Search for published studies of surgical resec</w:t>
                        </w:r>
                        <w:r w:rsidRPr="00C252B5">
                          <w:rPr>
                            <w:rFonts w:ascii="Arial Narrow" w:hAnsi="Arial Narrow"/>
                            <w:b/>
                            <w:bCs/>
                            <w:szCs w:val="22"/>
                          </w:rPr>
                          <w:t>ti</w:t>
                        </w:r>
                        <w:r w:rsidRPr="00F17885">
                          <w:rPr>
                            <w:rFonts w:ascii="Arial Narrow" w:hAnsi="Arial Narrow"/>
                            <w:b/>
                            <w:bCs/>
                            <w:szCs w:val="22"/>
                          </w:rPr>
                          <w:t xml:space="preserve">on for the proposed populations in PubMed, in the last 10 years </w:t>
                        </w:r>
                      </w:p>
                      <w:p w14:paraId="2A68C49F"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szCs w:val="22"/>
                          </w:rPr>
                          <w:t>PubMed (including MEDLINE)</w:t>
                        </w:r>
                      </w:p>
                      <w:p w14:paraId="104BDCF5"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szCs w:val="22"/>
                          </w:rPr>
                          <w:t>Searched on: 28/06/2016</w:t>
                        </w:r>
                      </w:p>
                      <w:p w14:paraId="49686AA3" w14:textId="77777777" w:rsidR="00EE58C4" w:rsidRPr="00F17885" w:rsidRDefault="00EE58C4" w:rsidP="002B7AE4">
                        <w:pPr>
                          <w:pStyle w:val="NormalWeb"/>
                          <w:spacing w:before="0" w:beforeAutospacing="0" w:after="0" w:afterAutospacing="0"/>
                          <w:jc w:val="center"/>
                          <w:rPr>
                            <w:szCs w:val="22"/>
                          </w:rPr>
                        </w:pPr>
                        <w:r w:rsidRPr="00F17885">
                          <w:rPr>
                            <w:rFonts w:ascii="Arial Narrow" w:hAnsi="Arial Narrow"/>
                            <w:szCs w:val="22"/>
                          </w:rPr>
                          <w:t>Limits: English language, humans, published from 2006 onwards</w:t>
                        </w:r>
                      </w:p>
                    </w:txbxContent>
                  </v:textbox>
                </v:shape>
                <v:shape id="Text Box 2" o:spid="_x0000_s1035" type="#_x0000_t202" style="position:absolute;left:666;top:74217;width:53816;height:8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14:paraId="4D5B8709" w14:textId="77777777" w:rsidR="00EE58C4" w:rsidRPr="00F17885" w:rsidRDefault="00EE58C4" w:rsidP="002B7AE4">
                        <w:pPr>
                          <w:pStyle w:val="NormalWeb"/>
                          <w:spacing w:before="0" w:beforeAutospacing="0" w:after="0" w:afterAutospacing="0"/>
                          <w:jc w:val="center"/>
                          <w:rPr>
                            <w:rFonts w:ascii="Arial Narrow" w:hAnsi="Arial Narrow"/>
                            <w:szCs w:val="22"/>
                          </w:rPr>
                        </w:pPr>
                        <w:r w:rsidRPr="00F17885">
                          <w:rPr>
                            <w:rFonts w:ascii="Arial Narrow" w:hAnsi="Arial Narrow"/>
                            <w:szCs w:val="22"/>
                          </w:rPr>
                          <w:t>All studies of MTA and RFA in the proposed population extracted and presented.</w:t>
                        </w:r>
                      </w:p>
                      <w:p w14:paraId="4B584A8C" w14:textId="77777777" w:rsidR="00EE58C4" w:rsidRPr="00F17885" w:rsidRDefault="00EE58C4" w:rsidP="002B7AE4">
                        <w:pPr>
                          <w:pStyle w:val="NormalWeb"/>
                          <w:spacing w:before="0" w:beforeAutospacing="0" w:after="0" w:afterAutospacing="0"/>
                          <w:jc w:val="center"/>
                          <w:rPr>
                            <w:rFonts w:ascii="Arial Narrow" w:hAnsi="Arial Narrow"/>
                            <w:szCs w:val="22"/>
                          </w:rPr>
                        </w:pPr>
                        <w:r w:rsidRPr="00F17885">
                          <w:rPr>
                            <w:rFonts w:ascii="Arial Narrow" w:hAnsi="Arial Narrow"/>
                            <w:szCs w:val="22"/>
                          </w:rPr>
                          <w:t>Selected studies of radiotherapy and surgery extracted and presented to inform expected outcomes with current technologies. Studies selected based on level of evidence, and other pertinent factors such as year of publication and sample size</w:t>
                        </w:r>
                      </w:p>
                    </w:txbxContent>
                  </v:textbox>
                </v:shape>
                <v:shapetype id="_x0000_t32" coordsize="21600,21600" o:spt="32" o:oned="t" path="m,l21600,21600e" filled="f">
                  <v:path arrowok="t" fillok="f" o:connecttype="none"/>
                  <o:lock v:ext="edit" shapetype="t"/>
                </v:shapetype>
                <v:shape id="Straight Arrow Connector 38" o:spid="_x0000_s1036" type="#_x0000_t32" style="position:absolute;left:27250;top:11728;width:0;height:2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Straight Arrow Connector 42" o:spid="_x0000_s1037" type="#_x0000_t32" style="position:absolute;left:27250;top:18345;width:0;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Straight Arrow Connector 43" o:spid="_x0000_s1038" type="#_x0000_t32" style="position:absolute;left:27250;top:51625;width:0;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Straight Arrow Connector 44" o:spid="_x0000_s1039" type="#_x0000_t32" style="position:absolute;left:27250;top:58363;width:0;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Straight Arrow Connector 45" o:spid="_x0000_s1040" type="#_x0000_t32" style="position:absolute;left:27250;top:38397;width:0;height: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Straight Arrow Connector 46" o:spid="_x0000_s1041" type="#_x0000_t32" style="position:absolute;left:27250;top:31351;width:0;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Straight Arrow Connector 28" o:spid="_x0000_s1042" type="#_x0000_t32" style="position:absolute;left:27250;top:71952;width:0;height:2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w10:anchorlock/>
              </v:group>
            </w:pict>
          </mc:Fallback>
        </mc:AlternateContent>
      </w:r>
    </w:p>
    <w:p w14:paraId="7C3B7005" w14:textId="77777777" w:rsidR="00295A8A" w:rsidRDefault="006633AA" w:rsidP="006633AA">
      <w:pPr>
        <w:pStyle w:val="Caption"/>
      </w:pPr>
      <w:bookmarkStart w:id="71" w:name="_Ref457379295"/>
      <w:bookmarkStart w:id="72" w:name="_Toc460515057"/>
      <w:r>
        <w:t xml:space="preserve">Figure </w:t>
      </w:r>
      <w:fldSimple w:instr=" SEQ Figure \* ARABIC ">
        <w:r w:rsidR="00D170A5">
          <w:rPr>
            <w:noProof/>
          </w:rPr>
          <w:t>1</w:t>
        </w:r>
      </w:fldSimple>
      <w:bookmarkEnd w:id="71"/>
      <w:r>
        <w:tab/>
        <w:t xml:space="preserve">Depiction of the step-wise approach to </w:t>
      </w:r>
      <w:r w:rsidR="006E0BEA">
        <w:t xml:space="preserve">literature </w:t>
      </w:r>
      <w:r>
        <w:t>searches</w:t>
      </w:r>
      <w:bookmarkEnd w:id="72"/>
    </w:p>
    <w:p w14:paraId="0F457A70" w14:textId="01D80F13" w:rsidR="006633AA" w:rsidRPr="00183E4D" w:rsidRDefault="006633AA" w:rsidP="006633AA">
      <w:r w:rsidRPr="00C57DC4">
        <w:lastRenderedPageBreak/>
        <w:t xml:space="preserve">The level </w:t>
      </w:r>
      <w:r w:rsidR="00C76E52">
        <w:t xml:space="preserve">of evidence </w:t>
      </w:r>
      <w:r w:rsidR="0058059F">
        <w:t xml:space="preserve">of included studies </w:t>
      </w:r>
      <w:r>
        <w:t>was</w:t>
      </w:r>
      <w:r w:rsidRPr="00C57DC4">
        <w:t xml:space="preserve"> ranked according to the National Health and Medical Research Council (NHMRC) levels of evidence </w:t>
      </w:r>
      <w:r>
        <w:fldChar w:fldCharType="begin"/>
      </w:r>
      <w:r w:rsidR="00194054">
        <w:instrText xml:space="preserve"> ADDIN EN.CITE &lt;EndNote&gt;&lt;Cite&gt;&lt;Author&gt;Merlin&lt;/Author&gt;&lt;Year&gt;2009&lt;/Year&gt;&lt;RecNum&gt;72&lt;/RecNum&gt;&lt;DisplayText&gt;(Merlin et al 2009)&lt;/DisplayText&gt;&lt;record&gt;&lt;rec-number&gt;72&lt;/rec-number&gt;&lt;foreign-keys&gt;&lt;key app="EN" db-id="05ssdaw2cf0zvye5xvo5z9ww0xdpfstrdtew" timestamp="1468298967"&gt;72&lt;/key&gt;&lt;/foreign-keys&gt;&lt;ref-type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 Res Methodol&lt;/secondary-title&gt;&lt;/titles&gt;&lt;periodical&gt;&lt;full-title&gt;BMC Med Res Methodol&lt;/full-title&gt;&lt;/periodical&gt;&lt;pages&gt;34&lt;/pages&gt;&lt;volume&gt;9&lt;/volume&gt;&lt;edition&gt;2009/06/13&lt;/edition&gt;&lt;keywords&gt;&lt;keyword&gt;Clinical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(Electronic)&amp;#xD;1471-2288 (Linking)&lt;/isbn&gt;&lt;accession-num&gt;19519887&lt;/accession-num&gt;&lt;urls&gt;&lt;related-urls&gt;&lt;url&gt;http://www.ncbi.nlm.nih.gov/pubmed/19519887&lt;/url&gt;&lt;url&gt;http://www.ncbi.nlm.nih.gov/pmc/articles/PMC2700132/pdf/1471-2288-9-34.pdf&lt;/url&gt;&lt;/related-urls&gt;&lt;/urls&gt;&lt;custom2&gt;2700132&lt;/custom2&gt;&lt;electronic-resource-num&gt;10.1186/1471-2288-9-34&amp;#xD;1471-2288-9-34 [pii]&lt;/electronic-resource-num&gt;&lt;language&gt;eng&lt;/language&gt;&lt;/record&gt;&lt;/Cite&gt;&lt;/EndNote&gt;</w:instrText>
      </w:r>
      <w:r>
        <w:fldChar w:fldCharType="separate"/>
      </w:r>
      <w:r>
        <w:rPr>
          <w:noProof/>
        </w:rPr>
        <w:t>(</w:t>
      </w:r>
      <w:hyperlink w:anchor="_ENREF_107" w:tooltip="Merlin, 2009 #72" w:history="1">
        <w:r w:rsidR="00320458">
          <w:rPr>
            <w:noProof/>
          </w:rPr>
          <w:t>Merlin et al 2009</w:t>
        </w:r>
      </w:hyperlink>
      <w:r>
        <w:rPr>
          <w:noProof/>
        </w:rPr>
        <w:t>)</w:t>
      </w:r>
      <w:r>
        <w:fldChar w:fldCharType="end"/>
      </w:r>
      <w:r w:rsidRPr="00C57DC4">
        <w:t xml:space="preserve">. </w:t>
      </w:r>
      <w:r w:rsidR="004B781B">
        <w:t>The quality of s</w:t>
      </w:r>
      <w:r w:rsidRPr="00C57DC4">
        <w:t xml:space="preserve">ystematic reviews </w:t>
      </w:r>
      <w:r w:rsidR="004B781B">
        <w:t>was</w:t>
      </w:r>
      <w:r w:rsidRPr="00C57DC4">
        <w:t xml:space="preserve"> evaluated using the A Measurement Tool to Assess Systematic Reviews (AMSTAR) tool </w:t>
      </w:r>
      <w:r>
        <w:fldChar w:fldCharType="begin"/>
      </w:r>
      <w:r w:rsidR="00F00D1D">
        <w:instrText xml:space="preserve"> ADDIN EN.CITE &lt;EndNote&gt;&lt;Cite&gt;&lt;Author&gt;Shea&lt;/Author&gt;&lt;Year&gt;2007&lt;/Year&gt;&lt;RecNum&gt;74&lt;/RecNum&gt;&lt;DisplayText&gt;(Shea et al 2007)&lt;/DisplayText&gt;&lt;record&gt;&lt;rec-number&gt;74&lt;/rec-number&gt;&lt;foreign-keys&gt;&lt;key app="EN" db-id="05ssdaw2cf0zvye5xvo5z9ww0xdpfstrdtew" timestamp="1468299011"&gt;74&lt;/key&gt;&lt;/foreign-keys&gt;&lt;ref-type name="Journal Article"&gt;17&lt;/ref-type&gt;&lt;contributors&gt;&lt;authors&gt;&lt;author&gt;Shea, BJ.,&lt;/author&gt;&lt;author&gt;Jeremy M Grimshaw&lt;/author&gt;&lt;author&gt;George A Wells&lt;/author&gt;&lt;author&gt;Maarten Boers&lt;/author&gt;&lt;author&gt;Neil Andersson Candyce Hamel&lt;/author&gt;&lt;author&gt;Ashley C Porter&lt;/author&gt;&lt;author&gt;Peter Tugwell&lt;/author&gt;&lt;author&gt;David Moher&lt;/author&gt;&lt;author&gt;Lex M Bouter&lt;/author&gt;&lt;/authors&gt;&lt;/contributors&gt;&lt;titles&gt;&lt;title&gt;Development of AMSTAR: a measurement tool to assess the methodological quality of systematic reviews&lt;/title&gt;&lt;secondary-title&gt;BMC Medical Research Methodology&lt;/secondary-title&gt;&lt;/titles&gt;&lt;periodical&gt;&lt;full-title&gt;BMC Medical Research Methodology&lt;/full-title&gt;&lt;/periodical&gt;&lt;pages&gt;doi:10.1186/1471-2288-7-10&lt;/pages&gt;&lt;volume&gt;7&lt;/volume&gt;&lt;number&gt;10&lt;/number&gt;&lt;dates&gt;&lt;year&gt;2007&lt;/year&gt;&lt;/dates&gt;&lt;urls&gt;&lt;/urls&gt;&lt;research-notes&gt;AMSTAR&lt;/research-notes&gt;&lt;/record&gt;&lt;/Cite&gt;&lt;/EndNote&gt;</w:instrText>
      </w:r>
      <w:r>
        <w:fldChar w:fldCharType="separate"/>
      </w:r>
      <w:r w:rsidR="00F00D1D">
        <w:rPr>
          <w:noProof/>
        </w:rPr>
        <w:t>(</w:t>
      </w:r>
      <w:hyperlink w:anchor="_ENREF_137" w:tooltip="Shea, 2007 #74" w:history="1">
        <w:r w:rsidR="00320458">
          <w:rPr>
            <w:noProof/>
          </w:rPr>
          <w:t>Shea et al 2007</w:t>
        </w:r>
      </w:hyperlink>
      <w:r w:rsidR="00F00D1D">
        <w:rPr>
          <w:noProof/>
        </w:rPr>
        <w:t>)</w:t>
      </w:r>
      <w:r>
        <w:fldChar w:fldCharType="end"/>
      </w:r>
      <w:r w:rsidRPr="00C57DC4">
        <w:t xml:space="preserve">. </w:t>
      </w:r>
      <w:r w:rsidR="00D22D0E">
        <w:t xml:space="preserve"> </w:t>
      </w:r>
      <w:r w:rsidRPr="00C57DC4">
        <w:t xml:space="preserve">Randomised and non-randomised studies </w:t>
      </w:r>
      <w:r>
        <w:t>were</w:t>
      </w:r>
      <w:r w:rsidRPr="00C57DC4">
        <w:t xml:space="preserve"> evaluated using the Downs and Black checklist </w:t>
      </w:r>
      <w:r>
        <w:fldChar w:fldCharType="begin"/>
      </w:r>
      <w:r w:rsidR="00194054">
        <w:instrText xml:space="preserve"> ADDIN EN.CITE &lt;EndNote&gt;&lt;Cite&gt;&lt;Author&gt;Downs&lt;/Author&gt;&lt;Year&gt;1998&lt;/Year&gt;&lt;RecNum&gt;75&lt;/RecNum&gt;&lt;DisplayText&gt;(Downs and Black 1998)&lt;/DisplayText&gt;&lt;record&gt;&lt;rec-number&gt;75&lt;/rec-number&gt;&lt;foreign-keys&gt;&lt;key app="EN" db-id="05ssdaw2cf0zvye5xvo5z9ww0xdpfstrdtew" timestamp="1468299044"&gt;75&lt;/key&gt;&lt;/foreign-keys&gt;&lt;ref-type name="Journal Article"&gt;17&lt;/ref-type&gt;&lt;contributors&gt;&lt;authors&gt;&lt;author&gt;Downs, SH &lt;/author&gt;&lt;author&gt;Black, N&lt;/author&gt;&lt;/authors&gt;&lt;/contributors&gt;&lt;titles&gt;&lt;title&gt;The feasibility of creating a checklist for the assessment of the methodological quality both of randomised and non-randomised studies of health care interventions.&lt;/title&gt;&lt;secondary-title&gt;Journal of Epidemiology and Community Health &lt;/secondary-title&gt;&lt;/titles&gt;&lt;periodical&gt;&lt;full-title&gt;Journal of Epidemiology and Community Health&lt;/full-title&gt;&lt;/periodical&gt;&lt;pages&gt;377-384&lt;/pages&gt;&lt;volume&gt;52&lt;/volume&gt;&lt;dates&gt;&lt;year&gt;1998&lt;/year&gt;&lt;/dates&gt;&lt;urls&gt;&lt;related-urls&gt;&lt;url&gt;http://jech.bmj.com/content/52/6/377.full.pdf&lt;/url&gt;&lt;/related-urls&gt;&lt;/urls&gt;&lt;/record&gt;&lt;/Cite&gt;&lt;/EndNote&gt;</w:instrText>
      </w:r>
      <w:r>
        <w:fldChar w:fldCharType="separate"/>
      </w:r>
      <w:r>
        <w:rPr>
          <w:noProof/>
        </w:rPr>
        <w:t>(</w:t>
      </w:r>
      <w:hyperlink w:anchor="_ENREF_41" w:tooltip="Downs, 1998 #75" w:history="1">
        <w:r w:rsidR="00320458">
          <w:rPr>
            <w:noProof/>
          </w:rPr>
          <w:t>Downs and Black 1998</w:t>
        </w:r>
      </w:hyperlink>
      <w:r>
        <w:rPr>
          <w:noProof/>
        </w:rPr>
        <w:t>)</w:t>
      </w:r>
      <w:r>
        <w:fldChar w:fldCharType="end"/>
      </w:r>
      <w:r w:rsidRPr="00C57DC4">
        <w:t xml:space="preserve">. Single arm case series </w:t>
      </w:r>
      <w:r>
        <w:t>were</w:t>
      </w:r>
      <w:r w:rsidRPr="00C57DC4">
        <w:t xml:space="preserve"> evaluated using the ‘Quality Appraisal Checklist for Case Series </w:t>
      </w:r>
      <w:r w:rsidR="00E21FD6">
        <w:t>Studies</w:t>
      </w:r>
      <w:r w:rsidRPr="00C57DC4">
        <w:t xml:space="preserve">’ developed by the Institute of Health Economics </w:t>
      </w:r>
      <w:r>
        <w:fldChar w:fldCharType="begin">
          <w:fldData xml:space="preserve">PEVuZE5vdGU+PENpdGU+PEF1dGhvcj5HdW88L0F1dGhvcj48WWVhcj4yMDE2PC9ZZWFyPjxSZWNO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</w:fldData>
        </w:fldChar>
      </w:r>
      <w:r w:rsidR="00194054">
        <w:instrText xml:space="preserve"> ADDIN EN.CITE </w:instrText>
      </w:r>
      <w:r w:rsidR="00194054">
        <w:fldChar w:fldCharType="begin">
          <w:fldData xml:space="preserve">PEVuZE5vdGU+PENpdGU+PEF1dGhvcj5HdW88L0F1dGhvcj48WWVhcj4yMDE2PC9ZZWFyPjxSZWNO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</w:fldData>
        </w:fldChar>
      </w:r>
      <w:r w:rsidR="00194054">
        <w:instrText xml:space="preserve"> ADDIN EN.CITE.DATA </w:instrText>
      </w:r>
      <w:r w:rsidR="00194054">
        <w:fldChar w:fldCharType="end"/>
      </w:r>
      <w:r>
        <w:fldChar w:fldCharType="separate"/>
      </w:r>
      <w:r>
        <w:rPr>
          <w:noProof/>
        </w:rPr>
        <w:t>(</w:t>
      </w:r>
      <w:hyperlink w:anchor="_ENREF_61" w:tooltip="Guo, 2016 #76" w:history="1">
        <w:r w:rsidR="00320458">
          <w:rPr>
            <w:noProof/>
          </w:rPr>
          <w:t>Guo et al 2016</w:t>
        </w:r>
      </w:hyperlink>
      <w:r>
        <w:rPr>
          <w:noProof/>
        </w:rPr>
        <w:t>)</w:t>
      </w:r>
      <w:r>
        <w:fldChar w:fldCharType="end"/>
      </w:r>
      <w:r w:rsidRPr="00C57DC4">
        <w:t xml:space="preserve">. </w:t>
      </w:r>
      <w:r w:rsidR="00D22D0E">
        <w:t xml:space="preserve"> </w:t>
      </w:r>
      <w:r w:rsidR="00A6011B">
        <w:t>T</w:t>
      </w:r>
      <w:r>
        <w:t xml:space="preserve">he overall quality of evidence </w:t>
      </w:r>
      <w:r w:rsidR="00A6011B">
        <w:t>for each</w:t>
      </w:r>
      <w:r>
        <w:t xml:space="preserve"> outcome, across studies, was</w:t>
      </w:r>
      <w:r w:rsidRPr="005F4E96">
        <w:t xml:space="preserve"> assessed using the GRADE methodology </w:t>
      </w:r>
      <w:r>
        <w:fldChar w:fldCharType="begin"/>
      </w:r>
      <w:r w:rsidR="005B16C7">
        <w:instrText xml:space="preserve"> ADDIN EN.CITE &lt;EndNote&gt;&lt;Cite ExcludeYear="1"&gt;&lt;Author&gt;Guyatt&lt;/Author&gt;&lt;RecNum&gt;77&lt;/RecNum&gt;&lt;DisplayText&gt;(Guyatt et al)&lt;/DisplayText&gt;&lt;record&gt;&lt;rec-number&gt;77&lt;/rec-number&gt;&lt;foreign-keys&gt;&lt;key app="EN" db-id="05ssdaw2cf0zvye5xvo5z9ww0xdpfstrdtew" timestamp="1468299742"&gt;77&lt;/key&gt;&lt;/foreign-keys&gt;&lt;ref-type name="Journal Article"&gt;17&lt;/ref-type&gt;&lt;contributors&gt;&lt;authors&gt;&lt;author&gt;Guyatt, Gordon&lt;/author&gt;&lt;author&gt;Oxman, Andrew D.&lt;/author&gt;&lt;author&gt;Akl, Elie A.&lt;/author&gt;&lt;author&gt;Kunz, Regina&lt;/author&gt;&lt;author&gt;Vist, Gunn&lt;/author&gt;&lt;author&gt;Brozek, Jan&lt;/author&gt;&lt;author&gt;Norris, Susan&lt;/author&gt;&lt;author&gt;Falck-Ytter, Yngve&lt;/author&gt;&lt;author&gt;Glasziou, Paul&lt;/author&gt;&lt;author&gt;deBeer, Hans&lt;/author&gt;&lt;author&gt;Jaeschke, Roman&lt;/author&gt;&lt;author&gt;Rind, David&lt;/author&gt;&lt;author&gt;Meerpohl, Joerg&lt;/author&gt;&lt;author&gt;Dahm, Philipp&lt;/author&gt;&lt;author&gt;Schünemann, Holger J.&lt;/author&gt;&lt;/authors&gt;&lt;/contributors&gt;&lt;titles&gt;&lt;title&gt;GRADE guidelines: 1. Introduction - GRADE evidence profiles and summary of findings tables&lt;/title&gt;&lt;secondary-title&gt;Journal of Clinical Epidemiology&lt;/secondary-title&gt;&lt;/titles&gt;&lt;periodical&gt;&lt;full-title&gt;J Clin Epidemiol&lt;/full-title&gt;&lt;abbr-1&gt;Journal of clinical epidemiology&lt;/abbr-1&gt;&lt;/periodical&gt;&lt;pages&gt;383-394&lt;/pages&gt;&lt;volume&gt;64&lt;/volume&gt;&lt;number&gt;4&lt;/number&gt;&lt;dates&gt;&lt;year&gt;2013&lt;/year&gt;&lt;/dates&gt;&lt;publisher&gt;Elsevier&lt;/publisher&gt;&lt;isbn&gt;0895-4356&lt;/isbn&gt;&lt;urls&gt;&lt;related-urls&gt;&lt;url&gt;http://dx.doi.org/10.1016/j.jclinepi.2010.04.026&lt;/url&gt;&lt;/related-urls&gt;&lt;/urls&gt;&lt;electronic-resource-num&gt;10.1016/j.jclinepi.2010.04.026&lt;/electronic-resource-num&gt;&lt;access-date&gt;2016/05/30&lt;/access-date&gt;&lt;/record&gt;&lt;/Cite&gt;&lt;/EndNote&gt;</w:instrText>
      </w:r>
      <w:r>
        <w:fldChar w:fldCharType="separate"/>
      </w:r>
      <w:r>
        <w:rPr>
          <w:noProof/>
        </w:rPr>
        <w:t>(</w:t>
      </w:r>
      <w:hyperlink w:anchor="_ENREF_62" w:tooltip="Guyatt, 2013 #77" w:history="1">
        <w:r w:rsidR="00320458">
          <w:rPr>
            <w:noProof/>
          </w:rPr>
          <w:t>Guyatt et al</w:t>
        </w:r>
      </w:hyperlink>
      <w:r>
        <w:rPr>
          <w:noProof/>
        </w:rPr>
        <w:t>)</w:t>
      </w:r>
      <w:r>
        <w:fldChar w:fldCharType="end"/>
      </w:r>
      <w:r w:rsidRPr="005F4E96">
        <w:t xml:space="preserve">. </w:t>
      </w:r>
      <w:r w:rsidRPr="00183E4D">
        <w:t xml:space="preserve">Integration of this evidence </w:t>
      </w:r>
      <w:r w:rsidR="002D11CA">
        <w:t>to draw conclusions</w:t>
      </w:r>
      <w:r w:rsidRPr="00183E4D">
        <w:t xml:space="preserve"> about the net clinical benefit of the intervention in the context </w:t>
      </w:r>
      <w:r w:rsidR="000D6A63">
        <w:t>of Australian clinical practice is presented in Section B.8</w:t>
      </w:r>
      <w:r w:rsidR="002D11CA">
        <w:t>.</w:t>
      </w:r>
    </w:p>
    <w:p w14:paraId="7776CFA9" w14:textId="77777777" w:rsidR="008C7152" w:rsidRPr="00183E4D" w:rsidRDefault="00630910" w:rsidP="003F6C66">
      <w:pPr>
        <w:pStyle w:val="Heading3"/>
      </w:pPr>
      <w:bookmarkStart w:id="73" w:name="_Toc395200749"/>
      <w:bookmarkStart w:id="74" w:name="_Toc460396007"/>
      <w:r w:rsidRPr="00183E4D">
        <w:rPr>
          <w:rStyle w:val="Heading3Char"/>
          <w:b/>
          <w:smallCaps/>
        </w:rPr>
        <w:t xml:space="preserve">Characteristics of </w:t>
      </w:r>
      <w:r w:rsidR="00FC337D" w:rsidRPr="00183E4D">
        <w:rPr>
          <w:rStyle w:val="Heading3Char"/>
          <w:b/>
          <w:smallCaps/>
        </w:rPr>
        <w:t>the evidence base</w:t>
      </w:r>
      <w:bookmarkEnd w:id="63"/>
      <w:bookmarkEnd w:id="64"/>
      <w:bookmarkEnd w:id="65"/>
      <w:bookmarkEnd w:id="73"/>
      <w:bookmarkEnd w:id="74"/>
    </w:p>
    <w:p w14:paraId="24097058" w14:textId="6A2A0525" w:rsidR="004B49CE" w:rsidRDefault="00E777BD" w:rsidP="00903917">
      <w:r w:rsidRPr="00E777BD">
        <w:t>No direct or indirect comparative trials of MTA were</w:t>
      </w:r>
      <w:r w:rsidR="003E7C26">
        <w:t xml:space="preserve"> identified for population one and two</w:t>
      </w:r>
      <w:r w:rsidRPr="00E777BD">
        <w:t xml:space="preserve">, despite an extensive review of the published literature. </w:t>
      </w:r>
      <w:r w:rsidR="00F81CF8">
        <w:t xml:space="preserve">Eight studies </w:t>
      </w:r>
      <w:r w:rsidR="00D02528">
        <w:t>of</w:t>
      </w:r>
      <w:r w:rsidR="00F81CF8">
        <w:t xml:space="preserve"> MTA </w:t>
      </w:r>
      <w:r w:rsidR="00D02528">
        <w:t>in</w:t>
      </w:r>
      <w:r w:rsidR="00F81CF8">
        <w:t xml:space="preserve"> the proposed populations were identified. A</w:t>
      </w:r>
      <w:r w:rsidR="00903917">
        <w:t>n additional 1</w:t>
      </w:r>
      <w:r w:rsidR="0058059F">
        <w:t>5</w:t>
      </w:r>
      <w:r w:rsidR="00F067EE">
        <w:t xml:space="preserve"> </w:t>
      </w:r>
      <w:r w:rsidR="0087652F">
        <w:t xml:space="preserve">case series </w:t>
      </w:r>
      <w:r w:rsidR="00F067EE">
        <w:t>studies</w:t>
      </w:r>
      <w:r w:rsidR="00903917">
        <w:t xml:space="preserve"> were included for </w:t>
      </w:r>
      <w:r w:rsidR="00F067EE">
        <w:t>the safety of</w:t>
      </w:r>
      <w:r w:rsidR="00903917">
        <w:t xml:space="preserve"> MTA</w:t>
      </w:r>
      <w:r w:rsidR="00F067EE">
        <w:t>,</w:t>
      </w:r>
      <w:r w:rsidR="00903917">
        <w:t xml:space="preserve"> but </w:t>
      </w:r>
      <w:r w:rsidR="00F067EE">
        <w:t xml:space="preserve">which </w:t>
      </w:r>
      <w:r w:rsidR="00903917">
        <w:t>did not meet the inclusion criteria for effectiveness</w:t>
      </w:r>
      <w:r w:rsidR="007476C9">
        <w:t xml:space="preserve"> due to mixed </w:t>
      </w:r>
      <w:r w:rsidR="008425A9">
        <w:t>populations</w:t>
      </w:r>
      <w:r w:rsidR="00903917">
        <w:t>. The evidence base for the intervention and its comparators is at a high risk of bias due to study design (pred</w:t>
      </w:r>
      <w:r w:rsidR="00F73A8F">
        <w:t xml:space="preserve">ominantly Level IV case series), </w:t>
      </w:r>
      <w:r w:rsidR="00903917">
        <w:t xml:space="preserve">quality concerns, and poor reporting. </w:t>
      </w:r>
      <w:r w:rsidR="004D7FB6">
        <w:t>Section B.3 and B.4 of the main report provides a comprehensive assessment of the chara</w:t>
      </w:r>
      <w:r w:rsidR="00903917">
        <w:t>cteristics of the evidence base</w:t>
      </w:r>
      <w:r w:rsidR="004D7FB6">
        <w:t xml:space="preserve">. </w:t>
      </w:r>
      <w:r w:rsidR="00850A82">
        <w:t xml:space="preserve">A summary of the number and type of identified studies for each intervention in presented in </w:t>
      </w:r>
      <w:r w:rsidR="00850A82">
        <w:fldChar w:fldCharType="begin"/>
      </w:r>
      <w:r w:rsidR="00850A82">
        <w:instrText xml:space="preserve"> REF _Ref459211367 \h </w:instrText>
      </w:r>
      <w:r w:rsidR="00850A82">
        <w:fldChar w:fldCharType="separate"/>
      </w:r>
      <w:r w:rsidR="00D170A5">
        <w:t xml:space="preserve">Table </w:t>
      </w:r>
      <w:r w:rsidR="00D170A5">
        <w:rPr>
          <w:noProof/>
        </w:rPr>
        <w:t>3</w:t>
      </w:r>
      <w:r w:rsidR="00850A82">
        <w:fldChar w:fldCharType="end"/>
      </w:r>
      <w:r w:rsidR="00850A82">
        <w:t xml:space="preserve">. </w:t>
      </w:r>
    </w:p>
    <w:p w14:paraId="1927B3D1" w14:textId="77777777" w:rsidR="00A77A23" w:rsidRDefault="00A77A23" w:rsidP="00A77A23">
      <w:pPr>
        <w:pStyle w:val="Caption"/>
        <w:keepNext/>
      </w:pPr>
      <w:bookmarkStart w:id="75" w:name="_Ref459211367"/>
      <w:bookmarkStart w:id="76" w:name="_Toc460514661"/>
      <w:r>
        <w:t xml:space="preserve">Table </w:t>
      </w:r>
      <w:fldSimple w:instr=" SEQ Table \* ARABIC ">
        <w:r w:rsidR="00D170A5">
          <w:rPr>
            <w:noProof/>
          </w:rPr>
          <w:t>3</w:t>
        </w:r>
      </w:fldSimple>
      <w:bookmarkEnd w:id="75"/>
      <w:r>
        <w:tab/>
      </w:r>
      <w:r>
        <w:tab/>
        <w:t>Number and type of included studies for each intervention, in each study population</w:t>
      </w:r>
      <w:bookmarkEnd w:id="76"/>
    </w:p>
    <w:tbl>
      <w:tblPr>
        <w:tblStyle w:val="TableGrid"/>
        <w:tblW w:w="0" w:type="auto"/>
        <w:tblLook w:val="04A0" w:firstRow="1" w:lastRow="0" w:firstColumn="1" w:lastColumn="0" w:noHBand="0" w:noVBand="1"/>
        <w:tblCaption w:val="Number and type of included studies for each intervention, in each study population"/>
        <w:tblDescription w:val="Number and type of included studies for each intervention, in each study population"/>
      </w:tblPr>
      <w:tblGrid>
        <w:gridCol w:w="1526"/>
        <w:gridCol w:w="2572"/>
        <w:gridCol w:w="2572"/>
        <w:gridCol w:w="2572"/>
      </w:tblGrid>
      <w:tr w:rsidR="00A77A23" w:rsidRPr="00407684" w14:paraId="0D541521" w14:textId="77777777" w:rsidTr="00407684">
        <w:trPr>
          <w:tblHeader/>
        </w:trPr>
        <w:tc>
          <w:tcPr>
            <w:tcW w:w="1526" w:type="dxa"/>
            <w:shd w:val="clear" w:color="auto" w:fill="D9D9D9" w:themeFill="background1" w:themeFillShade="D9"/>
          </w:tcPr>
          <w:p w14:paraId="232A1638" w14:textId="77777777" w:rsidR="00A77A23" w:rsidRPr="00407684" w:rsidRDefault="00A77A23" w:rsidP="00407684">
            <w:pPr>
              <w:pStyle w:val="Tabletext1"/>
              <w:ind w:left="0"/>
              <w:rPr>
                <w:b/>
              </w:rPr>
            </w:pPr>
            <w:r w:rsidRPr="00407684">
              <w:rPr>
                <w:b/>
              </w:rPr>
              <w:t>Intervention</w:t>
            </w:r>
          </w:p>
        </w:tc>
        <w:tc>
          <w:tcPr>
            <w:tcW w:w="2572" w:type="dxa"/>
            <w:shd w:val="clear" w:color="auto" w:fill="D9D9D9" w:themeFill="background1" w:themeFillShade="D9"/>
          </w:tcPr>
          <w:p w14:paraId="20A32C26" w14:textId="77777777" w:rsidR="00A77A23" w:rsidRPr="00407684" w:rsidRDefault="00A77A23" w:rsidP="00407684">
            <w:pPr>
              <w:pStyle w:val="Tabletext1"/>
              <w:ind w:left="0"/>
              <w:rPr>
                <w:b/>
              </w:rPr>
            </w:pPr>
            <w:r w:rsidRPr="00407684">
              <w:rPr>
                <w:b/>
              </w:rPr>
              <w:t xml:space="preserve">Included studies </w:t>
            </w:r>
            <w:r w:rsidR="00903917">
              <w:rPr>
                <w:b/>
              </w:rPr>
              <w:t>(P1)</w:t>
            </w:r>
          </w:p>
        </w:tc>
        <w:tc>
          <w:tcPr>
            <w:tcW w:w="2572" w:type="dxa"/>
            <w:shd w:val="clear" w:color="auto" w:fill="D9D9D9" w:themeFill="background1" w:themeFillShade="D9"/>
          </w:tcPr>
          <w:p w14:paraId="2EE1846C" w14:textId="77777777" w:rsidR="00A77A23" w:rsidRPr="00407684" w:rsidRDefault="00A77A23" w:rsidP="00407684">
            <w:pPr>
              <w:pStyle w:val="Tabletext1"/>
              <w:ind w:left="0"/>
              <w:rPr>
                <w:b/>
              </w:rPr>
            </w:pPr>
            <w:r w:rsidRPr="00407684">
              <w:rPr>
                <w:b/>
              </w:rPr>
              <w:t xml:space="preserve">Included studies </w:t>
            </w:r>
            <w:r w:rsidR="00903917">
              <w:rPr>
                <w:b/>
              </w:rPr>
              <w:t>(P2)</w:t>
            </w:r>
          </w:p>
        </w:tc>
        <w:tc>
          <w:tcPr>
            <w:tcW w:w="2572" w:type="dxa"/>
            <w:shd w:val="clear" w:color="auto" w:fill="D9D9D9" w:themeFill="background1" w:themeFillShade="D9"/>
          </w:tcPr>
          <w:p w14:paraId="1CA1FC2D" w14:textId="77777777" w:rsidR="00A77A23" w:rsidRPr="00407684" w:rsidRDefault="00A77A23" w:rsidP="0004428C">
            <w:pPr>
              <w:pStyle w:val="Tabletext1"/>
              <w:ind w:left="0"/>
              <w:rPr>
                <w:b/>
              </w:rPr>
            </w:pPr>
            <w:r w:rsidRPr="00407684">
              <w:rPr>
                <w:b/>
              </w:rPr>
              <w:t xml:space="preserve">Included studies </w:t>
            </w:r>
            <w:r w:rsidR="00903917">
              <w:rPr>
                <w:b/>
              </w:rPr>
              <w:t>(P3)</w:t>
            </w:r>
          </w:p>
        </w:tc>
      </w:tr>
      <w:tr w:rsidR="00A77A23" w:rsidRPr="00407684" w14:paraId="4016B1E3" w14:textId="77777777" w:rsidTr="002B0C16">
        <w:tc>
          <w:tcPr>
            <w:tcW w:w="1526" w:type="dxa"/>
          </w:tcPr>
          <w:p w14:paraId="6DBB511A" w14:textId="77777777" w:rsidR="00A77A23" w:rsidRPr="00407684" w:rsidRDefault="00515908" w:rsidP="00407684">
            <w:pPr>
              <w:pStyle w:val="Tabletext1"/>
              <w:ind w:left="0"/>
            </w:pPr>
            <w:r>
              <w:t>MTA</w:t>
            </w:r>
          </w:p>
        </w:tc>
        <w:tc>
          <w:tcPr>
            <w:tcW w:w="2572" w:type="dxa"/>
          </w:tcPr>
          <w:p w14:paraId="4623428A" w14:textId="77777777" w:rsidR="00A77A23" w:rsidRPr="00407684" w:rsidRDefault="00A77A23" w:rsidP="00407684">
            <w:pPr>
              <w:pStyle w:val="Tabletext1"/>
              <w:ind w:left="0"/>
            </w:pPr>
            <w:r w:rsidRPr="00407684">
              <w:t>3 Level IV case series</w:t>
            </w:r>
          </w:p>
        </w:tc>
        <w:tc>
          <w:tcPr>
            <w:tcW w:w="2572" w:type="dxa"/>
          </w:tcPr>
          <w:p w14:paraId="51BC77C8" w14:textId="77777777" w:rsidR="00A77A23" w:rsidRPr="00407684" w:rsidRDefault="00A77A23" w:rsidP="00407684">
            <w:pPr>
              <w:pStyle w:val="Tabletext1"/>
              <w:ind w:left="0"/>
            </w:pPr>
            <w:r w:rsidRPr="00407684">
              <w:t>2 Level IV case series</w:t>
            </w:r>
          </w:p>
        </w:tc>
        <w:tc>
          <w:tcPr>
            <w:tcW w:w="2572" w:type="dxa"/>
          </w:tcPr>
          <w:p w14:paraId="464C10B8" w14:textId="77777777" w:rsidR="00A77A23" w:rsidRPr="00407684" w:rsidRDefault="00A77A23" w:rsidP="00407684">
            <w:pPr>
              <w:pStyle w:val="Tabletext1"/>
              <w:ind w:left="0"/>
            </w:pPr>
            <w:r w:rsidRPr="00407684">
              <w:t>2 Level III-2 cohort</w:t>
            </w:r>
          </w:p>
          <w:p w14:paraId="6F2A2D3F" w14:textId="77777777" w:rsidR="00A77A23" w:rsidRPr="00407684" w:rsidRDefault="00A77A23" w:rsidP="00407684">
            <w:pPr>
              <w:pStyle w:val="Tabletext1"/>
              <w:ind w:left="0"/>
            </w:pPr>
            <w:r w:rsidRPr="00407684">
              <w:t>1 Level IV case series</w:t>
            </w:r>
          </w:p>
        </w:tc>
      </w:tr>
      <w:tr w:rsidR="00A77A23" w:rsidRPr="00407684" w14:paraId="79040299" w14:textId="77777777" w:rsidTr="002B0C16">
        <w:tc>
          <w:tcPr>
            <w:tcW w:w="1526" w:type="dxa"/>
          </w:tcPr>
          <w:p w14:paraId="41B32FCD" w14:textId="77777777" w:rsidR="00A77A23" w:rsidRPr="00407684" w:rsidRDefault="00515908" w:rsidP="00407684">
            <w:pPr>
              <w:pStyle w:val="Tabletext1"/>
              <w:ind w:left="0"/>
            </w:pPr>
            <w:r>
              <w:t>RFA*</w:t>
            </w:r>
          </w:p>
        </w:tc>
        <w:tc>
          <w:tcPr>
            <w:tcW w:w="2572" w:type="dxa"/>
          </w:tcPr>
          <w:p w14:paraId="123D9940" w14:textId="77777777" w:rsidR="00A77A23" w:rsidRPr="00407684" w:rsidRDefault="00A77A23" w:rsidP="00407684">
            <w:pPr>
              <w:pStyle w:val="Tabletext1"/>
              <w:ind w:left="0"/>
            </w:pPr>
            <w:r w:rsidRPr="00407684">
              <w:t>1 Level III-3 cohort</w:t>
            </w:r>
          </w:p>
          <w:p w14:paraId="602CF48E" w14:textId="77777777" w:rsidR="00A77A23" w:rsidRPr="00407684" w:rsidRDefault="00A77A23" w:rsidP="00407684">
            <w:pPr>
              <w:pStyle w:val="Tabletext1"/>
              <w:ind w:left="0"/>
            </w:pPr>
            <w:r w:rsidRPr="00407684">
              <w:t>7 Level IV case series</w:t>
            </w:r>
          </w:p>
        </w:tc>
        <w:tc>
          <w:tcPr>
            <w:tcW w:w="2572" w:type="dxa"/>
          </w:tcPr>
          <w:p w14:paraId="37AED04A" w14:textId="77777777" w:rsidR="00A77A23" w:rsidRPr="00407684" w:rsidRDefault="00A77A23" w:rsidP="00407684">
            <w:pPr>
              <w:pStyle w:val="Tabletext1"/>
              <w:ind w:left="0"/>
            </w:pPr>
            <w:r w:rsidRPr="00407684">
              <w:t xml:space="preserve">11 Level IV case series </w:t>
            </w:r>
            <w:r w:rsidR="00515908">
              <w:t>**</w:t>
            </w:r>
          </w:p>
        </w:tc>
        <w:tc>
          <w:tcPr>
            <w:tcW w:w="2572" w:type="dxa"/>
          </w:tcPr>
          <w:p w14:paraId="48798584" w14:textId="77777777" w:rsidR="00A77A23" w:rsidRPr="00407684" w:rsidRDefault="00A77A23" w:rsidP="00407684">
            <w:pPr>
              <w:pStyle w:val="Tabletext1"/>
              <w:ind w:left="0"/>
            </w:pPr>
            <w:r w:rsidRPr="00407684">
              <w:t>1 Level IV case series</w:t>
            </w:r>
          </w:p>
        </w:tc>
      </w:tr>
      <w:tr w:rsidR="00A77A23" w:rsidRPr="00407684" w14:paraId="30669F08" w14:textId="77777777" w:rsidTr="002B0C16">
        <w:tc>
          <w:tcPr>
            <w:tcW w:w="1526" w:type="dxa"/>
          </w:tcPr>
          <w:p w14:paraId="29E4AC22" w14:textId="77777777" w:rsidR="00A77A23" w:rsidRPr="00407684" w:rsidRDefault="00A77A23" w:rsidP="00407684">
            <w:pPr>
              <w:pStyle w:val="Tabletext1"/>
              <w:ind w:left="0"/>
            </w:pPr>
            <w:r w:rsidRPr="00407684">
              <w:t>Radiotherapy</w:t>
            </w:r>
          </w:p>
        </w:tc>
        <w:tc>
          <w:tcPr>
            <w:tcW w:w="2572" w:type="dxa"/>
          </w:tcPr>
          <w:p w14:paraId="44AC5444" w14:textId="77777777" w:rsidR="00A77A23" w:rsidRPr="00407684" w:rsidRDefault="00A77A23" w:rsidP="00407684">
            <w:pPr>
              <w:pStyle w:val="Tabletext1"/>
              <w:ind w:left="0"/>
            </w:pPr>
            <w:r w:rsidRPr="00407684">
              <w:t>2 Level II RCT</w:t>
            </w:r>
          </w:p>
          <w:p w14:paraId="22298C39" w14:textId="77777777" w:rsidR="00A77A23" w:rsidRPr="00407684" w:rsidRDefault="00A77A23" w:rsidP="00407684">
            <w:pPr>
              <w:pStyle w:val="Tabletext1"/>
              <w:ind w:left="0"/>
            </w:pPr>
            <w:r w:rsidRPr="00407684">
              <w:t>1 Level III-1 cohort</w:t>
            </w:r>
          </w:p>
          <w:p w14:paraId="2EF5202E" w14:textId="77777777" w:rsidR="00A77A23" w:rsidRPr="00407684" w:rsidRDefault="00A77A23" w:rsidP="00407684">
            <w:pPr>
              <w:pStyle w:val="Tabletext1"/>
              <w:ind w:left="0"/>
            </w:pPr>
            <w:r w:rsidRPr="00407684">
              <w:t>1 Level III-2 cohort</w:t>
            </w:r>
          </w:p>
          <w:p w14:paraId="0CE04467" w14:textId="77777777" w:rsidR="00A77A23" w:rsidRPr="00407684" w:rsidRDefault="00A77A23" w:rsidP="00407684">
            <w:pPr>
              <w:pStyle w:val="Tabletext1"/>
              <w:ind w:left="0"/>
            </w:pPr>
            <w:r w:rsidRPr="00407684">
              <w:t>1 Level III-3 historical control</w:t>
            </w:r>
          </w:p>
        </w:tc>
        <w:tc>
          <w:tcPr>
            <w:tcW w:w="2572" w:type="dxa"/>
          </w:tcPr>
          <w:p w14:paraId="12ACE608" w14:textId="77777777" w:rsidR="00A77A23" w:rsidRPr="00407684" w:rsidRDefault="00A77A23" w:rsidP="00407684">
            <w:pPr>
              <w:pStyle w:val="Tabletext1"/>
              <w:ind w:left="0"/>
            </w:pPr>
            <w:r w:rsidRPr="00407684">
              <w:t>3 Level III-2 cohort</w:t>
            </w:r>
          </w:p>
          <w:p w14:paraId="0E0186BE" w14:textId="77777777" w:rsidR="00A77A23" w:rsidRPr="00407684" w:rsidRDefault="00A77A23" w:rsidP="00407684">
            <w:pPr>
              <w:pStyle w:val="Tabletext1"/>
              <w:ind w:left="0"/>
            </w:pPr>
            <w:r w:rsidRPr="00407684">
              <w:t>14 Level IV case series</w:t>
            </w:r>
          </w:p>
        </w:tc>
        <w:tc>
          <w:tcPr>
            <w:tcW w:w="2572" w:type="dxa"/>
          </w:tcPr>
          <w:p w14:paraId="6B9AE596" w14:textId="77777777" w:rsidR="00A77A23" w:rsidRPr="00407684" w:rsidRDefault="00A77A23" w:rsidP="00407684">
            <w:pPr>
              <w:pStyle w:val="Tabletext1"/>
              <w:ind w:left="0"/>
            </w:pPr>
            <w:r w:rsidRPr="00407684">
              <w:t>1 systematic review of 13 RCTs</w:t>
            </w:r>
          </w:p>
        </w:tc>
      </w:tr>
      <w:tr w:rsidR="00A77A23" w:rsidRPr="00407684" w14:paraId="3386B8BF" w14:textId="77777777" w:rsidTr="002B0C16">
        <w:tc>
          <w:tcPr>
            <w:tcW w:w="1526" w:type="dxa"/>
          </w:tcPr>
          <w:p w14:paraId="6BEFD357" w14:textId="77777777" w:rsidR="00A77A23" w:rsidRPr="00407684" w:rsidRDefault="00A77A23" w:rsidP="00407684">
            <w:pPr>
              <w:pStyle w:val="Tabletext1"/>
              <w:ind w:left="0"/>
            </w:pPr>
            <w:r w:rsidRPr="00407684">
              <w:t>Surgery</w:t>
            </w:r>
          </w:p>
        </w:tc>
        <w:tc>
          <w:tcPr>
            <w:tcW w:w="2572" w:type="dxa"/>
          </w:tcPr>
          <w:p w14:paraId="6A8B9DD9" w14:textId="77777777" w:rsidR="00A77A23" w:rsidRPr="00407684" w:rsidRDefault="00A77A23" w:rsidP="00407684">
            <w:pPr>
              <w:pStyle w:val="Tabletext1"/>
              <w:ind w:left="0"/>
            </w:pPr>
            <w:r w:rsidRPr="00407684">
              <w:t>NA</w:t>
            </w:r>
          </w:p>
        </w:tc>
        <w:tc>
          <w:tcPr>
            <w:tcW w:w="2572" w:type="dxa"/>
          </w:tcPr>
          <w:p w14:paraId="093387BE" w14:textId="77777777" w:rsidR="00244AAD" w:rsidRPr="00407684" w:rsidRDefault="00244AAD" w:rsidP="00407684">
            <w:pPr>
              <w:pStyle w:val="Tabletext1"/>
              <w:ind w:left="0"/>
            </w:pPr>
            <w:r w:rsidRPr="00407684">
              <w:t>2 systematic reviews</w:t>
            </w:r>
          </w:p>
          <w:p w14:paraId="18EB4BCF" w14:textId="77777777" w:rsidR="00A77A23" w:rsidRPr="00407684" w:rsidRDefault="00A77A23" w:rsidP="00407684">
            <w:pPr>
              <w:pStyle w:val="Tabletext1"/>
              <w:ind w:left="0"/>
            </w:pPr>
            <w:r w:rsidRPr="00407684">
              <w:t>5 Level IV case series</w:t>
            </w:r>
          </w:p>
        </w:tc>
        <w:tc>
          <w:tcPr>
            <w:tcW w:w="2572" w:type="dxa"/>
          </w:tcPr>
          <w:p w14:paraId="15C7F821" w14:textId="77777777" w:rsidR="00A77A23" w:rsidRPr="00407684" w:rsidRDefault="00A77A23" w:rsidP="00407684">
            <w:pPr>
              <w:pStyle w:val="Tabletext1"/>
              <w:ind w:left="0"/>
            </w:pPr>
            <w:r w:rsidRPr="00407684">
              <w:t>NA</w:t>
            </w:r>
          </w:p>
        </w:tc>
      </w:tr>
    </w:tbl>
    <w:p w14:paraId="526A380D" w14:textId="20CAF3C5" w:rsidR="00A77A23" w:rsidRPr="007147D1" w:rsidRDefault="00700668" w:rsidP="007147D1">
      <w:pPr>
        <w:pStyle w:val="Tablenotes0"/>
      </w:pPr>
      <w:r>
        <w:t xml:space="preserve">&lt; </w:t>
      </w:r>
      <w:r w:rsidR="006A4E2A">
        <w:t xml:space="preserve">NA = not applicable; </w:t>
      </w:r>
      <w:r w:rsidR="00A77A23" w:rsidRPr="007147D1">
        <w:t>MTA = microwave tissue ablation; RCT = randomised controlled trial; RFA = radiofrequency ablation</w:t>
      </w:r>
      <w:r>
        <w:t xml:space="preserve"> &gt;</w:t>
      </w:r>
    </w:p>
    <w:p w14:paraId="4FF51B32" w14:textId="77777777" w:rsidR="00A77A23" w:rsidRPr="007147D1" w:rsidRDefault="00515908" w:rsidP="007147D1">
      <w:pPr>
        <w:pStyle w:val="Tablenotes0"/>
      </w:pPr>
      <w:r>
        <w:t>*</w:t>
      </w:r>
      <w:r w:rsidR="00A77A23" w:rsidRPr="007147D1">
        <w:t xml:space="preserve"> An existing systematic review published in 2008 was included for safety outcomes. It did not identify any prior studies of effectiveness that were relevant to the current evaluation.</w:t>
      </w:r>
    </w:p>
    <w:p w14:paraId="09212A27" w14:textId="77777777" w:rsidR="00A77A23" w:rsidRDefault="00515908" w:rsidP="007147D1">
      <w:pPr>
        <w:pStyle w:val="Tablenotes0"/>
      </w:pPr>
      <w:r>
        <w:t>**</w:t>
      </w:r>
      <w:r w:rsidR="00A77A23" w:rsidRPr="007147D1">
        <w:t xml:space="preserve"> Yan et al 2006 and Yan et al 2007 reported different outcomes from the same sample population, over the same period. These publications have been reported as a single publication in the report.</w:t>
      </w:r>
    </w:p>
    <w:p w14:paraId="585ADD9A" w14:textId="77777777" w:rsidR="003522AA" w:rsidRDefault="00A77A23" w:rsidP="003F6C66">
      <w:pPr>
        <w:pStyle w:val="Heading3"/>
      </w:pPr>
      <w:bookmarkStart w:id="77" w:name="_Toc395200750"/>
      <w:bookmarkStart w:id="78" w:name="_Toc460396008"/>
      <w:r w:rsidRPr="00183E4D">
        <w:t>Results</w:t>
      </w:r>
      <w:bookmarkEnd w:id="77"/>
      <w:bookmarkEnd w:id="78"/>
    </w:p>
    <w:p w14:paraId="30F44911" w14:textId="77777777" w:rsidR="00A77A23" w:rsidRPr="00183E4D" w:rsidRDefault="003522AA" w:rsidP="003522AA">
      <w:r>
        <w:lastRenderedPageBreak/>
        <w:t>Limitations in the study design; sample size, and reporting of included studies for both the intervention and comparators</w:t>
      </w:r>
      <w:r w:rsidRPr="003522AA">
        <w:t xml:space="preserve"> </w:t>
      </w:r>
      <w:r w:rsidR="00EE3082">
        <w:t xml:space="preserve">have resulted </w:t>
      </w:r>
      <w:r>
        <w:t xml:space="preserve">in </w:t>
      </w:r>
      <w:r w:rsidRPr="003522AA">
        <w:t>significant uncertainty in the clinical evidence, and precluded any direct or indirect comparison of the clinical benefits of MTA relative to the comparator interventions</w:t>
      </w:r>
      <w:r>
        <w:t>. Results across interventions are pre</w:t>
      </w:r>
      <w:r w:rsidR="007828CF">
        <w:t>sented for context; conclusions regarding the comparative effectiveness or safety of interventions cannot be drawn.</w:t>
      </w:r>
    </w:p>
    <w:p w14:paraId="26A3EF23" w14:textId="77777777" w:rsidR="00A77A23" w:rsidRPr="00285D96" w:rsidRDefault="00A77A23" w:rsidP="00285D96">
      <w:pPr>
        <w:spacing w:before="500"/>
        <w:rPr>
          <w:b/>
        </w:rPr>
      </w:pPr>
      <w:r w:rsidRPr="00285D96">
        <w:rPr>
          <w:b/>
        </w:rPr>
        <w:t xml:space="preserve">Safety </w:t>
      </w:r>
    </w:p>
    <w:p w14:paraId="66DD1B43" w14:textId="0B70297B" w:rsidR="00B16730" w:rsidRDefault="00662C97" w:rsidP="00B16730">
      <w:r>
        <w:t xml:space="preserve">Due to limited evidence, </w:t>
      </w:r>
      <w:r w:rsidR="00A77A23">
        <w:t xml:space="preserve">the overall safety of each comparator </w:t>
      </w:r>
      <w:r>
        <w:t xml:space="preserve">is described for treating lung cancer </w:t>
      </w:r>
      <w:r w:rsidR="00A77A23">
        <w:t xml:space="preserve">as a whole. </w:t>
      </w:r>
      <w:r w:rsidR="0074436F">
        <w:t>The overall safety outcomes are summarised in</w:t>
      </w:r>
      <w:r w:rsidR="00B16730">
        <w:t xml:space="preserve"> Table 4.</w:t>
      </w:r>
    </w:p>
    <w:p w14:paraId="4E26C700" w14:textId="7502BEB8" w:rsidR="00A77A23" w:rsidRPr="00A77A23" w:rsidRDefault="00A77A23" w:rsidP="00B16730">
      <w:pPr>
        <w:spacing w:before="500"/>
        <w:rPr>
          <w:b/>
          <w:i/>
        </w:rPr>
      </w:pPr>
      <w:r w:rsidRPr="00A77A23">
        <w:rPr>
          <w:b/>
          <w:i/>
        </w:rPr>
        <w:t>Safety of MTA in the treatment of lung cancer</w:t>
      </w:r>
    </w:p>
    <w:p w14:paraId="7FC63321" w14:textId="1F9C3DA5" w:rsidR="00DD65B8" w:rsidRDefault="00334C38" w:rsidP="00A77A23">
      <w:r w:rsidRPr="0045465C">
        <w:t xml:space="preserve">No comparative studies </w:t>
      </w:r>
      <w:r>
        <w:t xml:space="preserve">of the safety of MTA relative to the comparator interventions were identified for population one or population two. </w:t>
      </w:r>
      <w:r w:rsidR="007071DE">
        <w:t>As a result, t</w:t>
      </w:r>
      <w:r w:rsidR="00DD65B8">
        <w:t>he inclusion criteria for MTA were broadened to include</w:t>
      </w:r>
      <w:r w:rsidR="00DD65B8" w:rsidRPr="0045465C">
        <w:t xml:space="preserve"> studies </w:t>
      </w:r>
      <w:r w:rsidR="00DD65B8">
        <w:t>with mixed populations (i.e. primary or secondary cancer)</w:t>
      </w:r>
      <w:r w:rsidR="00DD65B8" w:rsidRPr="0045465C">
        <w:t xml:space="preserve"> to provide the MSAC with a more complete understanding of the safety profile of </w:t>
      </w:r>
      <w:r w:rsidR="00DD65B8">
        <w:t xml:space="preserve">the technique. </w:t>
      </w:r>
    </w:p>
    <w:p w14:paraId="40AD2DD5" w14:textId="3B7B9E9A" w:rsidR="00A77A23" w:rsidRDefault="00EF1F93" w:rsidP="00A77A23">
      <w:r>
        <w:t>Twenty-three</w:t>
      </w:r>
      <w:r w:rsidR="00A77A23" w:rsidRPr="00E979EC">
        <w:t xml:space="preserve"> studies</w:t>
      </w:r>
      <w:r w:rsidR="00A77A23">
        <w:t>,</w:t>
      </w:r>
      <w:r w:rsidR="00A77A23" w:rsidRPr="003F5054">
        <w:t xml:space="preserve"> </w:t>
      </w:r>
      <w:r w:rsidR="007071DE">
        <w:t>including</w:t>
      </w:r>
      <w:r w:rsidR="00A77A23" w:rsidRPr="003F5054">
        <w:t xml:space="preserve"> two Level III-2 </w:t>
      </w:r>
      <w:r w:rsidR="00A77A23">
        <w:t xml:space="preserve">and </w:t>
      </w:r>
      <w:r w:rsidR="00A77A23" w:rsidRPr="003F5054">
        <w:t>2</w:t>
      </w:r>
      <w:r w:rsidR="00A77A23">
        <w:t>1</w:t>
      </w:r>
      <w:r w:rsidR="00A77A23" w:rsidRPr="003F5054">
        <w:t xml:space="preserve"> Level IV</w:t>
      </w:r>
      <w:r w:rsidR="007071DE">
        <w:t xml:space="preserve"> studies, reported the safety of MTA</w:t>
      </w:r>
      <w:r w:rsidR="00A77A23">
        <w:t xml:space="preserve">. </w:t>
      </w:r>
      <w:r w:rsidR="00A77A23" w:rsidRPr="003F5054">
        <w:t xml:space="preserve">Procedure-related mortality </w:t>
      </w:r>
      <w:r w:rsidR="00A77A23">
        <w:t xml:space="preserve">was </w:t>
      </w:r>
      <w:r w:rsidR="00A77A23" w:rsidRPr="003F5054">
        <w:t>rare, occurring in less th</w:t>
      </w:r>
      <w:r w:rsidR="00A77A23">
        <w:t>an one</w:t>
      </w:r>
      <w:r w:rsidR="00A77A23" w:rsidRPr="003F5054">
        <w:t xml:space="preserve"> per cent of all patients</w:t>
      </w:r>
      <w:r w:rsidR="00A77A23">
        <w:t xml:space="preserve"> (2/916, </w:t>
      </w:r>
      <w:r w:rsidR="00A77A23" w:rsidRPr="00A54920">
        <w:t>&lt;1%</w:t>
      </w:r>
      <w:r w:rsidR="00A77A23">
        <w:t>). Mortality within 30 days was also very low, occurring in less than one</w:t>
      </w:r>
      <w:r w:rsidR="00A77A23" w:rsidRPr="00A54920">
        <w:t xml:space="preserve"> per cent of all patients</w:t>
      </w:r>
      <w:r w:rsidR="00A77A23">
        <w:t xml:space="preserve"> (1/739, &lt;1%). Serious adverse events were rarely reported. Pneumothorax was the most frequent adverse event associated with MTA, reported in 27 per cent of ablation sessions (median 30%, range 8</w:t>
      </w:r>
      <w:r w:rsidR="007E3D66">
        <w:t>–</w:t>
      </w:r>
      <w:r w:rsidR="00A77A23">
        <w:t>64%). Across studies, chest tube drainage or other intervention was required after 12 per cent (median 10%, range 0</w:t>
      </w:r>
      <w:r w:rsidR="00D35E9C">
        <w:t>–</w:t>
      </w:r>
      <w:r w:rsidR="00A77A23">
        <w:t>29%) of ablation sessions. The majority of pneumothorax cases were self-limiting. Other adverse events included pneumonia (median 4%, range 3</w:t>
      </w:r>
      <w:r w:rsidR="00D35E9C">
        <w:t>–</w:t>
      </w:r>
      <w:r w:rsidR="00A77A23">
        <w:t>15%), haemoptysis (</w:t>
      </w:r>
      <w:r w:rsidR="00E71178">
        <w:t>48/545, 8.8%</w:t>
      </w:r>
      <w:r w:rsidR="00A77A23">
        <w:t>), pleural effusion (</w:t>
      </w:r>
      <w:r w:rsidR="006D02CC">
        <w:t>79/649, 12.2%</w:t>
      </w:r>
      <w:r w:rsidR="00A77A23">
        <w:t>), skin burns (</w:t>
      </w:r>
      <w:r w:rsidR="006D02CC">
        <w:t>6/325, 1.8%</w:t>
      </w:r>
      <w:r w:rsidR="00A77A23">
        <w:t>), post-ablation syndrome (</w:t>
      </w:r>
      <w:r w:rsidR="007828CF">
        <w:t>32/285, 11.2</w:t>
      </w:r>
      <w:r w:rsidR="00A77A23">
        <w:t>%) and bronco-pleural fistula (</w:t>
      </w:r>
      <w:r w:rsidR="007828CF">
        <w:t>4/360, 1.1%</w:t>
      </w:r>
      <w:r w:rsidR="00A77A23">
        <w:t>). The severity of adverse events was not consistently reported across studies.</w:t>
      </w:r>
    </w:p>
    <w:p w14:paraId="4EC40E42" w14:textId="77777777" w:rsidR="00A77A23" w:rsidRDefault="00A77A23" w:rsidP="0019673D">
      <w:pPr>
        <w:spacing w:before="500"/>
      </w:pPr>
      <w:r w:rsidRPr="00A77A23">
        <w:rPr>
          <w:b/>
          <w:i/>
        </w:rPr>
        <w:t>Safety of RFA in the treatment of lung cancer</w:t>
      </w:r>
      <w:r>
        <w:t xml:space="preserve"> </w:t>
      </w:r>
    </w:p>
    <w:p w14:paraId="5263D790" w14:textId="215E435E" w:rsidR="00A77A23" w:rsidRDefault="00A77A23" w:rsidP="00A77A23">
      <w:r>
        <w:t xml:space="preserve">Nineteen studies reported the safety of RFA, of which one was </w:t>
      </w:r>
      <w:r w:rsidR="00CE470F">
        <w:t xml:space="preserve">Level </w:t>
      </w:r>
      <w:r>
        <w:t>III-3 and 18 were Level IV. Similar to MTA, the procedure-related mortality (1/1,259, 0.08%) and 30-day m</w:t>
      </w:r>
      <w:r w:rsidRPr="00A54920">
        <w:t xml:space="preserve">ortality </w:t>
      </w:r>
      <w:r>
        <w:t>(2/810, 0.25%) associated with RFA were</w:t>
      </w:r>
      <w:r w:rsidRPr="00A54920">
        <w:t xml:space="preserve"> very low</w:t>
      </w:r>
      <w:r>
        <w:t>.</w:t>
      </w:r>
      <w:r w:rsidRPr="00A54920">
        <w:t xml:space="preserve"> </w:t>
      </w:r>
      <w:r>
        <w:t>Pneumothorax was the most commonly reported adverse event, reported after 45 per cent of RFA sessions (median 24%, range 9</w:t>
      </w:r>
      <w:r w:rsidR="00D35E9C">
        <w:t>–</w:t>
      </w:r>
      <w:r>
        <w:t>67%). Chest tube placement was required after 22 per cent</w:t>
      </w:r>
      <w:r w:rsidRPr="00C22EEE">
        <w:t xml:space="preserve"> </w:t>
      </w:r>
      <w:r>
        <w:t>of RFA sessions (median 9%, range 2</w:t>
      </w:r>
      <w:r w:rsidR="00D35E9C">
        <w:t>–</w:t>
      </w:r>
      <w:r>
        <w:t xml:space="preserve">39%). Other adverse events were reported variably across studies, and as a result, it is difficult to summarise the </w:t>
      </w:r>
      <w:r>
        <w:lastRenderedPageBreak/>
        <w:t>incidence of major and minor adver</w:t>
      </w:r>
      <w:r w:rsidR="006A4E2A">
        <w:t xml:space="preserve">se events associated with RFA. </w:t>
      </w:r>
      <w:r>
        <w:t>Additional details regarding adverse events are provided in Section B.6.</w:t>
      </w:r>
    </w:p>
    <w:p w14:paraId="5B518421" w14:textId="77777777" w:rsidR="00A77A23" w:rsidRPr="00A77A23" w:rsidRDefault="00A77A23" w:rsidP="00AA074E">
      <w:pPr>
        <w:spacing w:before="500"/>
        <w:rPr>
          <w:b/>
          <w:i/>
        </w:rPr>
      </w:pPr>
      <w:r w:rsidRPr="00A77A23">
        <w:rPr>
          <w:b/>
          <w:i/>
        </w:rPr>
        <w:t>Safety of current best practice radiotherapy in the treatment of lung cancer</w:t>
      </w:r>
    </w:p>
    <w:p w14:paraId="6146D781" w14:textId="1532F121" w:rsidR="00A77A23" w:rsidRDefault="00A77A23" w:rsidP="00A77A23">
      <w:r>
        <w:t>Twenty-two studies reported the safety of radiotherapy</w:t>
      </w:r>
      <w:r w:rsidRPr="00BB5B4E">
        <w:t xml:space="preserve"> </w:t>
      </w:r>
      <w:r>
        <w:t>in population one and two, including two Level II studies, five Level III-2 studies, one</w:t>
      </w:r>
      <w:r w:rsidR="00356CDE">
        <w:t xml:space="preserve"> L</w:t>
      </w:r>
      <w:r>
        <w:t xml:space="preserve">evel III-3 study, and 14 Level IV studies. </w:t>
      </w:r>
      <w:r w:rsidRPr="00A54920">
        <w:t>There were two cases of procedure-related mortality across all included studies</w:t>
      </w:r>
      <w:r>
        <w:t xml:space="preserve"> (2/887, </w:t>
      </w:r>
      <w:r w:rsidRPr="00AC65E9">
        <w:t>0.2%)</w:t>
      </w:r>
      <w:r>
        <w:t>. S</w:t>
      </w:r>
      <w:r w:rsidRPr="0045465C">
        <w:t xml:space="preserve">erious adverse events arising from radiotherapy were rare, such that the overall sample size </w:t>
      </w:r>
      <w:r>
        <w:t>for</w:t>
      </w:r>
      <w:r w:rsidRPr="0045465C">
        <w:t xml:space="preserve"> each population was too small to meaningfully represent the likelihood of key adverse events in each population. </w:t>
      </w:r>
      <w:r>
        <w:t xml:space="preserve">The majority of adverse events were reported according to the </w:t>
      </w:r>
      <w:r w:rsidR="00154D0D" w:rsidRPr="00682B2A">
        <w:rPr>
          <w:rFonts w:asciiTheme="minorHAnsi" w:hAnsiTheme="minorHAnsi"/>
        </w:rPr>
        <w:t>National Cancer Institute-Common Terminology Criteria for Adverse Events</w:t>
      </w:r>
      <w:r w:rsidR="00154D0D">
        <w:t xml:space="preserve"> (</w:t>
      </w:r>
      <w:r>
        <w:t>NCI-CTCAE</w:t>
      </w:r>
      <w:r w:rsidR="00154D0D">
        <w:t>)</w:t>
      </w:r>
      <w:r>
        <w:t xml:space="preserve"> criteria, and were scored as grade 1 (“mild”) or 2 (“moderate”) in severity. The majority of studies reported no grade 3 (“severe”) or higher adverse events. Thirty-four per cent </w:t>
      </w:r>
      <w:r w:rsidR="00754277">
        <w:t xml:space="preserve">(346/877) </w:t>
      </w:r>
      <w:r>
        <w:t>of patients experienced a grade 1 or 2 event across studies</w:t>
      </w:r>
      <w:r w:rsidR="00754277">
        <w:t xml:space="preserve"> (median 42.5%, range 3</w:t>
      </w:r>
      <w:r w:rsidR="00D35E9C">
        <w:t>–</w:t>
      </w:r>
      <w:r w:rsidR="00754277">
        <w:t>120%)</w:t>
      </w:r>
      <w:r>
        <w:t xml:space="preserve">, while 3.3 per cent </w:t>
      </w:r>
      <w:r w:rsidR="000B7E7A">
        <w:t xml:space="preserve">(34/887) </w:t>
      </w:r>
      <w:r w:rsidR="00754277">
        <w:t xml:space="preserve">of patients </w:t>
      </w:r>
      <w:r>
        <w:t>experienced a grade 3 event</w:t>
      </w:r>
      <w:r w:rsidR="00754277">
        <w:t xml:space="preserve"> (median 0%, range 0</w:t>
      </w:r>
      <w:r w:rsidR="00D35E9C">
        <w:t>–</w:t>
      </w:r>
      <w:r w:rsidR="00754277">
        <w:t>33%)</w:t>
      </w:r>
      <w:r>
        <w:t>.</w:t>
      </w:r>
    </w:p>
    <w:p w14:paraId="75C650D1" w14:textId="108056EF" w:rsidR="00A77A23" w:rsidRDefault="00A77A23" w:rsidP="00A77A23">
      <w:r>
        <w:t xml:space="preserve">The relative safety of palliative radiotherapy regimens was recently summarised by a Cochrane review of 14 </w:t>
      </w:r>
      <w:r w:rsidR="00520405">
        <w:t>randomised controlled trials (</w:t>
      </w:r>
      <w:r>
        <w:t>RCTs</w:t>
      </w:r>
      <w:r w:rsidR="00520405">
        <w:t>)</w:t>
      </w:r>
      <w:r>
        <w:t>. The review authors found no significant difference between rates of oesophagitis (mean 22% vs 26%, RR 1.23, 95% CI 0.81</w:t>
      </w:r>
      <w:r w:rsidR="00D35E9C">
        <w:t>–</w:t>
      </w:r>
      <w:r>
        <w:t>1.87), radiation myelopathy (mean 0.3% vs 0.4%, RR 1.29, 95% CI 0.37</w:t>
      </w:r>
      <w:r w:rsidR="00D35E9C">
        <w:t>–</w:t>
      </w:r>
      <w:r>
        <w:t>4.51), or radiation pneumonitis (mean 4% vs 2.4%, RR 0.62, 95% CI 0.23</w:t>
      </w:r>
      <w:r w:rsidR="00D35E9C">
        <w:t>–</w:t>
      </w:r>
      <w:r>
        <w:t xml:space="preserve">1.66) for </w:t>
      </w:r>
      <w:r w:rsidR="00EF1F93">
        <w:t xml:space="preserve">SBRT with </w:t>
      </w:r>
      <w:r>
        <w:t>less fractions compared to more fractions.</w:t>
      </w:r>
    </w:p>
    <w:p w14:paraId="541763C7" w14:textId="77777777" w:rsidR="00A77A23" w:rsidRPr="00A77A23" w:rsidRDefault="00A77A23" w:rsidP="00AA074E">
      <w:pPr>
        <w:spacing w:before="500"/>
        <w:rPr>
          <w:b/>
          <w:i/>
        </w:rPr>
      </w:pPr>
      <w:r w:rsidRPr="00A77A23">
        <w:rPr>
          <w:b/>
          <w:i/>
        </w:rPr>
        <w:t>Safety of surgical resection in the treatment of lung cancer</w:t>
      </w:r>
    </w:p>
    <w:p w14:paraId="205B9AE4" w14:textId="4A58F3AA" w:rsidR="00A77A23" w:rsidRDefault="0047452E" w:rsidP="00A77A23">
      <w:r>
        <w:t>Five Level IV</w:t>
      </w:r>
      <w:r w:rsidR="00A77A23">
        <w:t xml:space="preserve"> studies </w:t>
      </w:r>
      <w:r w:rsidR="00244AAD">
        <w:t xml:space="preserve">and one recent systematic review </w:t>
      </w:r>
      <w:r w:rsidR="00A77A23">
        <w:t>reported safety of surgery</w:t>
      </w:r>
      <w:r w:rsidR="00335E4D">
        <w:t xml:space="preserve"> (</w:t>
      </w:r>
      <w:r w:rsidR="00335E4D">
        <w:fldChar w:fldCharType="begin"/>
      </w:r>
      <w:r w:rsidR="00335E4D">
        <w:instrText xml:space="preserve"> REF _Ref460516321 \h </w:instrText>
      </w:r>
      <w:r w:rsidR="00335E4D">
        <w:fldChar w:fldCharType="separate"/>
      </w:r>
      <w:r w:rsidR="00335E4D">
        <w:t xml:space="preserve">Table </w:t>
      </w:r>
      <w:r w:rsidR="00335E4D">
        <w:rPr>
          <w:noProof/>
        </w:rPr>
        <w:t>4</w:t>
      </w:r>
      <w:r w:rsidR="00335E4D">
        <w:fldChar w:fldCharType="end"/>
      </w:r>
      <w:r w:rsidR="00335E4D">
        <w:t>)</w:t>
      </w:r>
      <w:r w:rsidR="00244AAD">
        <w:t>.</w:t>
      </w:r>
      <w:r w:rsidR="00A77A23" w:rsidRPr="00AC65E9">
        <w:t xml:space="preserve"> </w:t>
      </w:r>
      <w:r w:rsidR="0035761C">
        <w:t xml:space="preserve">The review by </w:t>
      </w:r>
      <w:r w:rsidR="00A77A23" w:rsidRPr="00AC65E9">
        <w:t xml:space="preserve">Pfannschmidt et al </w:t>
      </w:r>
      <w:r w:rsidR="00A77A23">
        <w:fldChar w:fldCharType="begin">
          <w:fldData xml:space="preserve">PEVuZE5vdGU+PENpdGUgRXhjbHVkZUF1dGg9IjEiPjxBdXRob3I+UGZhbm5zY2htaWR0PC9BdXRo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</w:fldData>
        </w:fldChar>
      </w:r>
      <w:r w:rsidR="003522AA">
        <w:instrText xml:space="preserve"> ADDIN EN.CITE </w:instrText>
      </w:r>
      <w:r w:rsidR="003522AA">
        <w:fldChar w:fldCharType="begin">
          <w:fldData xml:space="preserve">PEVuZE5vdGU+PENpdGUgRXhjbHVkZUF1dGg9IjEiPjxBdXRob3I+UGZhbm5zY2htaWR0PC9BdXRo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</w:fldData>
        </w:fldChar>
      </w:r>
      <w:r w:rsidR="003522AA">
        <w:instrText xml:space="preserve"> ADDIN EN.CITE.DATA </w:instrText>
      </w:r>
      <w:r w:rsidR="003522AA">
        <w:fldChar w:fldCharType="end"/>
      </w:r>
      <w:r w:rsidR="00A77A23">
        <w:fldChar w:fldCharType="separate"/>
      </w:r>
      <w:r w:rsidR="00A77A23">
        <w:rPr>
          <w:noProof/>
        </w:rPr>
        <w:t>(</w:t>
      </w:r>
      <w:hyperlink w:anchor="_ENREF_118" w:tooltip="Pfannschmidt, 2007 #2681" w:history="1">
        <w:r w:rsidR="00320458">
          <w:rPr>
            <w:noProof/>
          </w:rPr>
          <w:t>2007</w:t>
        </w:r>
      </w:hyperlink>
      <w:r w:rsidR="00A77A23">
        <w:rPr>
          <w:noProof/>
        </w:rPr>
        <w:t>)</w:t>
      </w:r>
      <w:r w:rsidR="00A77A23">
        <w:fldChar w:fldCharType="end"/>
      </w:r>
      <w:r w:rsidR="00A77A23" w:rsidRPr="00AC65E9">
        <w:t xml:space="preserve"> </w:t>
      </w:r>
      <w:r w:rsidR="00EF1F93">
        <w:t>identified</w:t>
      </w:r>
      <w:r w:rsidR="00A77A23" w:rsidRPr="00AC65E9">
        <w:t xml:space="preserve"> </w:t>
      </w:r>
      <w:r w:rsidR="00EF1F93">
        <w:t xml:space="preserve">four of </w:t>
      </w:r>
      <w:r w:rsidR="00A77A23" w:rsidRPr="00AC65E9">
        <w:t xml:space="preserve">20 included studies </w:t>
      </w:r>
      <w:r w:rsidR="00796F95">
        <w:t xml:space="preserve">that </w:t>
      </w:r>
      <w:r w:rsidR="00A77A23" w:rsidRPr="00AC65E9">
        <w:t xml:space="preserve">reported </w:t>
      </w:r>
      <w:r w:rsidR="00EF1F93">
        <w:t xml:space="preserve">postoperative mortality, </w:t>
      </w:r>
      <w:r w:rsidR="00796F95">
        <w:t>which ranged</w:t>
      </w:r>
      <w:r w:rsidR="00A77A23" w:rsidRPr="00AC65E9">
        <w:t xml:space="preserve"> from 0 to 2.5 per cent of patients</w:t>
      </w:r>
      <w:r w:rsidR="00A77A23">
        <w:t xml:space="preserve">. </w:t>
      </w:r>
      <w:r w:rsidR="00B35645">
        <w:t>In</w:t>
      </w:r>
      <w:r w:rsidR="00A77A23" w:rsidRPr="00AC65E9">
        <w:t xml:space="preserve"> the case series studies</w:t>
      </w:r>
      <w:r w:rsidR="00B35645">
        <w:t>,</w:t>
      </w:r>
      <w:r w:rsidR="00A77A23" w:rsidRPr="00AC65E9">
        <w:t xml:space="preserve"> immediate </w:t>
      </w:r>
      <w:r w:rsidR="00EC1D6F" w:rsidRPr="00AC65E9">
        <w:t>procedure</w:t>
      </w:r>
      <w:r w:rsidR="00EC1D6F">
        <w:t>-</w:t>
      </w:r>
      <w:r w:rsidR="00A77A23" w:rsidRPr="00AC65E9">
        <w:t xml:space="preserve">related mortality </w:t>
      </w:r>
      <w:r w:rsidR="00B35645">
        <w:t>did not occur in any</w:t>
      </w:r>
      <w:r w:rsidR="00A77A23" w:rsidRPr="00AC65E9">
        <w:t xml:space="preserve"> patients (0/365, 0%</w:t>
      </w:r>
      <w:r w:rsidR="00B35645">
        <w:t>, 2 studies), and th</w:t>
      </w:r>
      <w:r w:rsidR="00A77A23" w:rsidRPr="00AC65E9">
        <w:t xml:space="preserve">irty day mortality </w:t>
      </w:r>
      <w:r w:rsidR="00B35645">
        <w:t>occurred</w:t>
      </w:r>
      <w:r w:rsidR="00A77A23" w:rsidRPr="00AC65E9">
        <w:t xml:space="preserve"> </w:t>
      </w:r>
      <w:r w:rsidR="00A77A23">
        <w:t>in 10 of 1,499 patients (0.67%</w:t>
      </w:r>
      <w:r w:rsidR="00B35645">
        <w:t>, 4 studies</w:t>
      </w:r>
      <w:r w:rsidR="00A77A23">
        <w:t>)</w:t>
      </w:r>
      <w:r w:rsidR="00B35645">
        <w:t>. A</w:t>
      </w:r>
      <w:r w:rsidR="00A77A23" w:rsidRPr="0045465C">
        <w:t xml:space="preserve">dverse events were reported </w:t>
      </w:r>
      <w:r w:rsidR="00B35645">
        <w:t xml:space="preserve">in </w:t>
      </w:r>
      <w:r w:rsidR="00A77A23" w:rsidRPr="0045465C">
        <w:t xml:space="preserve">99 </w:t>
      </w:r>
      <w:r w:rsidR="00B35645">
        <w:t>of</w:t>
      </w:r>
      <w:r w:rsidR="00A77A23" w:rsidRPr="0045465C">
        <w:t xml:space="preserve"> 776 thoracotomies (13%) by </w:t>
      </w:r>
      <w:r w:rsidR="00B31DEA">
        <w:t xml:space="preserve">Younes </w:t>
      </w:r>
      <w:r w:rsidR="00B31DEA" w:rsidRPr="006D40A7">
        <w:t xml:space="preserve">et al </w:t>
      </w:r>
      <w:r w:rsidR="006D40A7">
        <w:fldChar w:fldCharType="begin">
          <w:fldData xml:space="preserve">PEVuZE5vdGU+PENpdGUgRXhjbHVkZUF1dGg9IjEiPjxBdXRob3I+WW91bmVzPC9BdXRob3I+PFll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</w:fldData>
        </w:fldChar>
      </w:r>
      <w:r w:rsidR="006D40A7">
        <w:instrText xml:space="preserve"> ADDIN EN.CITE </w:instrText>
      </w:r>
      <w:r w:rsidR="006D40A7">
        <w:fldChar w:fldCharType="begin">
          <w:fldData xml:space="preserve">PEVuZE5vdGU+PENpdGUgRXhjbHVkZUF1dGg9IjEiPjxBdXRob3I+WW91bmVzPC9BdXRob3I+PFll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</w:fldData>
        </w:fldChar>
      </w:r>
      <w:r w:rsidR="006D40A7">
        <w:instrText xml:space="preserve"> ADDIN EN.CITE.DATA </w:instrText>
      </w:r>
      <w:r w:rsidR="006D40A7">
        <w:fldChar w:fldCharType="end"/>
      </w:r>
      <w:r w:rsidR="006D40A7">
        <w:fldChar w:fldCharType="separate"/>
      </w:r>
      <w:r w:rsidR="006D40A7">
        <w:rPr>
          <w:noProof/>
        </w:rPr>
        <w:t>(</w:t>
      </w:r>
      <w:hyperlink w:anchor="_ENREF_178" w:tooltip="Younes, 2009 #187" w:history="1">
        <w:r w:rsidR="00320458">
          <w:rPr>
            <w:noProof/>
          </w:rPr>
          <w:t>2009</w:t>
        </w:r>
      </w:hyperlink>
      <w:r w:rsidR="006D40A7">
        <w:rPr>
          <w:noProof/>
        </w:rPr>
        <w:t>)</w:t>
      </w:r>
      <w:r w:rsidR="006D40A7">
        <w:fldChar w:fldCharType="end"/>
      </w:r>
      <w:r w:rsidR="00B35645">
        <w:t>,</w:t>
      </w:r>
      <w:r w:rsidR="00A77A23" w:rsidRPr="006D40A7">
        <w:t xml:space="preserve"> and </w:t>
      </w:r>
      <w:r w:rsidR="00B35645">
        <w:t>in</w:t>
      </w:r>
      <w:r w:rsidR="00A77A23" w:rsidRPr="006D40A7">
        <w:t xml:space="preserve"> 83 </w:t>
      </w:r>
      <w:r w:rsidR="00B35645">
        <w:t>of</w:t>
      </w:r>
      <w:r w:rsidR="00A77A23" w:rsidRPr="006D40A7">
        <w:t xml:space="preserve"> 532 patients (15.6%) by</w:t>
      </w:r>
      <w:r w:rsidR="006D40A7">
        <w:t xml:space="preserve"> Rodriguez-Fuster et al (2014)</w:t>
      </w:r>
      <w:r w:rsidR="00A77A23" w:rsidRPr="006D40A7">
        <w:t>. Spe</w:t>
      </w:r>
      <w:r w:rsidR="00A77A23" w:rsidRPr="00B31DEA">
        <w:t>cific adverse events are reported in Section B.6 of the report.</w:t>
      </w:r>
      <w:r w:rsidR="00A77A23">
        <w:t xml:space="preserve"> </w:t>
      </w:r>
    </w:p>
    <w:p w14:paraId="7F0E2C07" w14:textId="77777777" w:rsidR="004C2536" w:rsidRDefault="004C2536" w:rsidP="0074436F">
      <w:pPr>
        <w:pStyle w:val="Caption"/>
        <w:keepNext/>
      </w:pPr>
      <w:bookmarkStart w:id="79" w:name="_Ref459295016"/>
      <w:r>
        <w:br w:type="page"/>
      </w:r>
    </w:p>
    <w:p w14:paraId="7551EF3F" w14:textId="28D49969" w:rsidR="0074436F" w:rsidRDefault="0074436F" w:rsidP="0074436F">
      <w:pPr>
        <w:pStyle w:val="Caption"/>
        <w:keepNext/>
      </w:pPr>
      <w:bookmarkStart w:id="80" w:name="_Ref460516321"/>
      <w:bookmarkStart w:id="81" w:name="_Toc460514662"/>
      <w:r>
        <w:lastRenderedPageBreak/>
        <w:t xml:space="preserve">Table </w:t>
      </w:r>
      <w:fldSimple w:instr=" SEQ Table \* ARABIC ">
        <w:r w:rsidR="00D170A5">
          <w:rPr>
            <w:noProof/>
          </w:rPr>
          <w:t>4</w:t>
        </w:r>
      </w:fldSimple>
      <w:bookmarkEnd w:id="79"/>
      <w:bookmarkEnd w:id="80"/>
      <w:r>
        <w:rPr>
          <w:noProof/>
        </w:rPr>
        <w:tab/>
      </w:r>
      <w:r>
        <w:tab/>
        <w:t>Safety outcomes relevant to all populations</w:t>
      </w:r>
      <w:bookmarkEnd w:id="81"/>
      <w:r>
        <w:t xml:space="preserve"> </w:t>
      </w:r>
    </w:p>
    <w:tbl>
      <w:tblPr>
        <w:tblStyle w:val="TableGrid82"/>
        <w:tblW w:w="5000" w:type="pct"/>
        <w:tblLayout w:type="fixed"/>
        <w:tblLook w:val="04A0" w:firstRow="1" w:lastRow="0" w:firstColumn="1" w:lastColumn="0" w:noHBand="0" w:noVBand="1"/>
        <w:tblCaption w:val="Table 70"/>
        <w:tblDescription w:val="Clinical benefits of MTA and comparators for Population one"/>
      </w:tblPr>
      <w:tblGrid>
        <w:gridCol w:w="2802"/>
        <w:gridCol w:w="1701"/>
        <w:gridCol w:w="2976"/>
        <w:gridCol w:w="1763"/>
      </w:tblGrid>
      <w:tr w:rsidR="0074436F" w:rsidRPr="00935A6C" w14:paraId="425D55C7" w14:textId="77777777" w:rsidTr="008A4AF8">
        <w:trPr>
          <w:tblHeader/>
        </w:trPr>
        <w:tc>
          <w:tcPr>
            <w:tcW w:w="1516" w:type="pct"/>
            <w:tcBorders>
              <w:bottom w:val="single" w:sz="4" w:space="0" w:color="auto"/>
            </w:tcBorders>
            <w:shd w:val="clear" w:color="auto" w:fill="D9D9D9" w:themeFill="background1" w:themeFillShade="D9"/>
            <w:vAlign w:val="bottom"/>
          </w:tcPr>
          <w:p w14:paraId="63543C98" w14:textId="77777777" w:rsidR="0074436F" w:rsidRPr="00935A6C" w:rsidRDefault="0074436F" w:rsidP="00E312C7">
            <w:pPr>
              <w:spacing w:before="40" w:after="40" w:line="288" w:lineRule="auto"/>
              <w:jc w:val="left"/>
              <w:rPr>
                <w:rFonts w:ascii="Arial Narrow" w:hAnsi="Arial Narrow" w:cs="Times New Roman"/>
                <w:b/>
                <w:bCs/>
                <w:sz w:val="20"/>
                <w:szCs w:val="20"/>
              </w:rPr>
            </w:pPr>
            <w:r w:rsidRPr="00935A6C">
              <w:rPr>
                <w:rFonts w:ascii="Arial Narrow" w:hAnsi="Arial Narrow" w:cs="Times New Roman"/>
                <w:b/>
                <w:bCs/>
                <w:sz w:val="20"/>
                <w:szCs w:val="20"/>
              </w:rPr>
              <w:t>Outcome and intervention/comparator</w:t>
            </w:r>
          </w:p>
        </w:tc>
        <w:tc>
          <w:tcPr>
            <w:tcW w:w="920" w:type="pct"/>
            <w:tcBorders>
              <w:bottom w:val="single" w:sz="4" w:space="0" w:color="auto"/>
            </w:tcBorders>
            <w:shd w:val="clear" w:color="auto" w:fill="D9D9D9" w:themeFill="background1" w:themeFillShade="D9"/>
            <w:vAlign w:val="bottom"/>
          </w:tcPr>
          <w:p w14:paraId="31A58509" w14:textId="77777777" w:rsidR="0074436F" w:rsidRPr="0014017A" w:rsidRDefault="0074436F" w:rsidP="00E312C7">
            <w:pPr>
              <w:spacing w:before="40" w:after="40" w:line="288" w:lineRule="auto"/>
              <w:jc w:val="left"/>
              <w:rPr>
                <w:rFonts w:ascii="Arial Narrow" w:hAnsi="Arial Narrow" w:cs="Times New Roman"/>
                <w:b/>
                <w:bCs/>
                <w:sz w:val="20"/>
                <w:szCs w:val="20"/>
              </w:rPr>
            </w:pPr>
            <w:r w:rsidRPr="00574E64">
              <w:rPr>
                <w:rFonts w:ascii="Arial Narrow" w:hAnsi="Arial Narrow" w:cs="Times New Roman"/>
                <w:b/>
                <w:bCs/>
                <w:sz w:val="20"/>
                <w:szCs w:val="20"/>
              </w:rPr>
              <w:t xml:space="preserve">№ of </w:t>
            </w:r>
            <w:r w:rsidR="003A53A3">
              <w:rPr>
                <w:rFonts w:ascii="Arial Narrow" w:hAnsi="Arial Narrow" w:cs="Times New Roman"/>
                <w:b/>
                <w:bCs/>
                <w:sz w:val="20"/>
                <w:szCs w:val="20"/>
              </w:rPr>
              <w:t>patients</w:t>
            </w:r>
            <w:r w:rsidRPr="00574E64">
              <w:rPr>
                <w:rFonts w:ascii="Arial Narrow" w:hAnsi="Arial Narrow" w:cs="Times New Roman"/>
                <w:b/>
                <w:bCs/>
                <w:sz w:val="20"/>
                <w:szCs w:val="20"/>
              </w:rPr>
              <w:br/>
            </w:r>
            <w:r w:rsidR="007828CF" w:rsidRPr="00935A6C">
              <w:rPr>
                <w:rFonts w:ascii="Arial Narrow" w:hAnsi="Arial Narrow" w:cs="Times New Roman"/>
                <w:b/>
                <w:bCs/>
                <w:sz w:val="20"/>
                <w:szCs w:val="20"/>
              </w:rPr>
              <w:t>Level of evidence</w:t>
            </w:r>
          </w:p>
        </w:tc>
        <w:tc>
          <w:tcPr>
            <w:tcW w:w="1610" w:type="pct"/>
            <w:tcBorders>
              <w:bottom w:val="single" w:sz="4" w:space="0" w:color="auto"/>
            </w:tcBorders>
            <w:shd w:val="clear" w:color="auto" w:fill="D9D9D9" w:themeFill="background1" w:themeFillShade="D9"/>
            <w:vAlign w:val="bottom"/>
          </w:tcPr>
          <w:p w14:paraId="35ED80BD" w14:textId="77777777" w:rsidR="0074436F" w:rsidRPr="0014017A" w:rsidRDefault="0074436F" w:rsidP="00E312C7">
            <w:pPr>
              <w:spacing w:before="40" w:after="40" w:line="288" w:lineRule="auto"/>
              <w:jc w:val="left"/>
              <w:rPr>
                <w:rFonts w:ascii="Arial Narrow" w:hAnsi="Arial Narrow" w:cstheme="minorBidi"/>
                <w:b/>
                <w:sz w:val="20"/>
                <w:szCs w:val="20"/>
              </w:rPr>
            </w:pPr>
            <w:r w:rsidRPr="00935A6C">
              <w:rPr>
                <w:rFonts w:ascii="Arial Narrow" w:hAnsi="Arial Narrow" w:cstheme="minorBidi"/>
                <w:b/>
                <w:sz w:val="20"/>
                <w:szCs w:val="20"/>
              </w:rPr>
              <w:t>Summary</w:t>
            </w:r>
          </w:p>
        </w:tc>
        <w:tc>
          <w:tcPr>
            <w:tcW w:w="954" w:type="pct"/>
            <w:tcBorders>
              <w:bottom w:val="single" w:sz="4" w:space="0" w:color="auto"/>
            </w:tcBorders>
            <w:shd w:val="clear" w:color="auto" w:fill="D9D9D9" w:themeFill="background1" w:themeFillShade="D9"/>
            <w:vAlign w:val="bottom"/>
          </w:tcPr>
          <w:p w14:paraId="73709DA9" w14:textId="77777777" w:rsidR="0074436F" w:rsidRPr="0014017A" w:rsidRDefault="0074436F" w:rsidP="00E312C7">
            <w:pPr>
              <w:spacing w:before="40" w:after="40" w:line="288" w:lineRule="auto"/>
              <w:jc w:val="left"/>
              <w:rPr>
                <w:rFonts w:ascii="Arial Narrow" w:hAnsi="Arial Narrow" w:cs="Times New Roman"/>
                <w:b/>
                <w:bCs/>
                <w:sz w:val="20"/>
                <w:szCs w:val="20"/>
              </w:rPr>
            </w:pPr>
            <w:r w:rsidRPr="00935A6C">
              <w:rPr>
                <w:rFonts w:ascii="Arial Narrow" w:hAnsi="Arial Narrow" w:cs="Times New Roman"/>
                <w:b/>
                <w:bCs/>
                <w:sz w:val="20"/>
                <w:szCs w:val="20"/>
              </w:rPr>
              <w:t>Quality of the evidence (GRADE)</w:t>
            </w:r>
          </w:p>
        </w:tc>
      </w:tr>
      <w:tr w:rsidR="0074436F" w:rsidRPr="00935A6C" w14:paraId="6A6F4229" w14:textId="77777777" w:rsidTr="008A4AF8">
        <w:tc>
          <w:tcPr>
            <w:tcW w:w="1516" w:type="pct"/>
            <w:tcBorders>
              <w:right w:val="nil"/>
            </w:tcBorders>
            <w:shd w:val="clear" w:color="auto" w:fill="D9D9D9" w:themeFill="background1" w:themeFillShade="D9"/>
          </w:tcPr>
          <w:p w14:paraId="11B09707" w14:textId="77777777" w:rsidR="0074436F" w:rsidRPr="00935A6C" w:rsidRDefault="0074436F" w:rsidP="00E312C7">
            <w:pPr>
              <w:spacing w:before="40" w:after="40" w:line="288" w:lineRule="auto"/>
              <w:rPr>
                <w:rFonts w:ascii="Arial Narrow" w:hAnsi="Arial Narrow" w:cstheme="minorBidi"/>
                <w:b/>
                <w:sz w:val="20"/>
                <w:szCs w:val="20"/>
              </w:rPr>
            </w:pPr>
            <w:r w:rsidRPr="00935A6C">
              <w:rPr>
                <w:rFonts w:ascii="Arial Narrow" w:hAnsi="Arial Narrow" w:cstheme="minorBidi"/>
                <w:b/>
                <w:sz w:val="20"/>
                <w:szCs w:val="20"/>
              </w:rPr>
              <w:t>Procedure-related mortality</w:t>
            </w:r>
          </w:p>
        </w:tc>
        <w:tc>
          <w:tcPr>
            <w:tcW w:w="920" w:type="pct"/>
            <w:tcBorders>
              <w:left w:val="nil"/>
              <w:right w:val="nil"/>
            </w:tcBorders>
            <w:shd w:val="clear" w:color="auto" w:fill="D9D9D9" w:themeFill="background1" w:themeFillShade="D9"/>
          </w:tcPr>
          <w:p w14:paraId="3E9E91F4" w14:textId="77777777" w:rsidR="0074436F" w:rsidRPr="00574E64" w:rsidRDefault="0074436F" w:rsidP="00E312C7">
            <w:pPr>
              <w:spacing w:before="40" w:after="40" w:line="288" w:lineRule="auto"/>
              <w:jc w:val="left"/>
              <w:rPr>
                <w:rFonts w:ascii="Arial Narrow" w:hAnsi="Arial Narrow" w:cstheme="minorBidi"/>
                <w:sz w:val="20"/>
                <w:szCs w:val="20"/>
              </w:rPr>
            </w:pPr>
          </w:p>
        </w:tc>
        <w:tc>
          <w:tcPr>
            <w:tcW w:w="1610" w:type="pct"/>
            <w:tcBorders>
              <w:left w:val="nil"/>
              <w:right w:val="nil"/>
            </w:tcBorders>
            <w:shd w:val="clear" w:color="auto" w:fill="D9D9D9" w:themeFill="background1" w:themeFillShade="D9"/>
          </w:tcPr>
          <w:p w14:paraId="64521023" w14:textId="77777777" w:rsidR="0074436F" w:rsidRPr="0014017A" w:rsidRDefault="0074436F" w:rsidP="00E312C7">
            <w:pPr>
              <w:spacing w:before="40" w:after="40" w:line="288" w:lineRule="auto"/>
              <w:jc w:val="left"/>
              <w:rPr>
                <w:rFonts w:ascii="Arial Narrow" w:hAnsi="Arial Narrow" w:cstheme="minorBidi"/>
                <w:sz w:val="20"/>
                <w:szCs w:val="20"/>
              </w:rPr>
            </w:pPr>
          </w:p>
        </w:tc>
        <w:tc>
          <w:tcPr>
            <w:tcW w:w="954" w:type="pct"/>
            <w:tcBorders>
              <w:left w:val="nil"/>
              <w:right w:val="single" w:sz="4" w:space="0" w:color="auto"/>
            </w:tcBorders>
            <w:shd w:val="clear" w:color="auto" w:fill="D9D9D9" w:themeFill="background1" w:themeFillShade="D9"/>
          </w:tcPr>
          <w:p w14:paraId="3B41E808" w14:textId="77777777" w:rsidR="0074436F" w:rsidRPr="0014017A" w:rsidRDefault="0074436F" w:rsidP="00E312C7">
            <w:pPr>
              <w:spacing w:before="40" w:after="40" w:line="288" w:lineRule="auto"/>
              <w:rPr>
                <w:rFonts w:ascii="Arial Narrow" w:hAnsi="Arial Narrow" w:cstheme="minorBidi"/>
                <w:sz w:val="20"/>
                <w:szCs w:val="20"/>
              </w:rPr>
            </w:pPr>
          </w:p>
        </w:tc>
      </w:tr>
      <w:tr w:rsidR="0074436F" w:rsidRPr="00935A6C" w14:paraId="3194B59C" w14:textId="77777777" w:rsidTr="008A4AF8">
        <w:tc>
          <w:tcPr>
            <w:tcW w:w="1516" w:type="pct"/>
          </w:tcPr>
          <w:p w14:paraId="494A1522" w14:textId="7F39FAC8" w:rsidR="0074436F" w:rsidRPr="00574E64" w:rsidRDefault="0074436F" w:rsidP="00E312C7">
            <w:pPr>
              <w:spacing w:before="40" w:after="40" w:line="288" w:lineRule="auto"/>
              <w:rPr>
                <w:rFonts w:ascii="Arial Narrow" w:hAnsi="Arial Narrow"/>
                <w:sz w:val="20"/>
                <w:szCs w:val="20"/>
              </w:rPr>
            </w:pPr>
            <w:r w:rsidRPr="00935A6C">
              <w:rPr>
                <w:rFonts w:ascii="Arial Narrow" w:hAnsi="Arial Narrow"/>
                <w:b/>
                <w:sz w:val="20"/>
                <w:szCs w:val="20"/>
              </w:rPr>
              <w:t>MTA</w:t>
            </w:r>
            <w:r w:rsidR="00CD6C3F" w:rsidRPr="00216DA9">
              <w:rPr>
                <w:rFonts w:ascii="Arial Narrow" w:hAnsi="Arial Narrow"/>
                <w:sz w:val="20"/>
                <w:szCs w:val="20"/>
              </w:rPr>
              <w:br/>
              <w:t>F/U</w:t>
            </w:r>
            <w:r w:rsidRPr="00574E64">
              <w:rPr>
                <w:rFonts w:ascii="Arial Narrow" w:hAnsi="Arial Narrow"/>
                <w:sz w:val="20"/>
                <w:szCs w:val="20"/>
              </w:rPr>
              <w:t xml:space="preserve"> range 6</w:t>
            </w:r>
            <w:r w:rsidR="00D35E9C">
              <w:rPr>
                <w:rFonts w:ascii="Arial Narrow" w:hAnsi="Arial Narrow"/>
                <w:sz w:val="20"/>
                <w:szCs w:val="20"/>
              </w:rPr>
              <w:t>–</w:t>
            </w:r>
            <w:r w:rsidRPr="00574E64">
              <w:rPr>
                <w:rFonts w:ascii="Arial Narrow" w:hAnsi="Arial Narrow"/>
                <w:sz w:val="20"/>
                <w:szCs w:val="20"/>
              </w:rPr>
              <w:t>30 months</w:t>
            </w:r>
          </w:p>
        </w:tc>
        <w:tc>
          <w:tcPr>
            <w:tcW w:w="920" w:type="pct"/>
          </w:tcPr>
          <w:p w14:paraId="3A1984F4" w14:textId="77777777" w:rsidR="0074436F" w:rsidRPr="0014017A" w:rsidRDefault="0014017A" w:rsidP="00E312C7">
            <w:pPr>
              <w:spacing w:before="40" w:after="40" w:line="288" w:lineRule="auto"/>
              <w:jc w:val="left"/>
              <w:rPr>
                <w:rFonts w:ascii="Arial Narrow" w:hAnsi="Arial Narrow" w:cstheme="minorBidi"/>
                <w:sz w:val="20"/>
                <w:szCs w:val="20"/>
              </w:rPr>
            </w:pPr>
            <w:r>
              <w:rPr>
                <w:rFonts w:ascii="Arial Narrow" w:hAnsi="Arial Narrow" w:cstheme="minorBidi"/>
                <w:sz w:val="20"/>
                <w:szCs w:val="20"/>
              </w:rPr>
              <w:t xml:space="preserve">N = </w:t>
            </w:r>
            <w:r w:rsidR="0074436F" w:rsidRPr="00935A6C">
              <w:rPr>
                <w:rFonts w:ascii="Arial Narrow" w:hAnsi="Arial Narrow" w:cstheme="minorBidi"/>
                <w:sz w:val="20"/>
                <w:szCs w:val="20"/>
              </w:rPr>
              <w:t>916</w:t>
            </w:r>
          </w:p>
          <w:p w14:paraId="000E690C"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 Level III-2 studies</w:t>
            </w:r>
          </w:p>
          <w:p w14:paraId="43E0B41F"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19 Level IV studies</w:t>
            </w:r>
          </w:p>
        </w:tc>
        <w:tc>
          <w:tcPr>
            <w:tcW w:w="1610" w:type="pct"/>
          </w:tcPr>
          <w:p w14:paraId="1E6ADD09" w14:textId="77777777" w:rsidR="0074436F" w:rsidRPr="0014017A" w:rsidRDefault="00016E15"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2/916 (0.2</w:t>
            </w:r>
            <w:r w:rsidR="00F315EF" w:rsidRPr="00935A6C">
              <w:rPr>
                <w:rFonts w:ascii="Arial Narrow" w:hAnsi="Arial Narrow" w:cstheme="minorBidi"/>
                <w:sz w:val="20"/>
                <w:szCs w:val="20"/>
              </w:rPr>
              <w:t>2</w:t>
            </w:r>
            <w:r w:rsidRPr="00935A6C">
              <w:rPr>
                <w:rFonts w:ascii="Arial Narrow" w:hAnsi="Arial Narrow" w:cstheme="minorBidi"/>
                <w:sz w:val="20"/>
                <w:szCs w:val="20"/>
              </w:rPr>
              <w:t>%</w:t>
            </w:r>
            <w:r w:rsidR="0074436F" w:rsidRPr="00935A6C">
              <w:rPr>
                <w:rFonts w:ascii="Arial Narrow" w:hAnsi="Arial Narrow" w:cstheme="minorBidi"/>
                <w:sz w:val="20"/>
                <w:szCs w:val="20"/>
              </w:rPr>
              <w:t>)</w:t>
            </w:r>
            <w:r w:rsidR="0074436F" w:rsidRPr="00935A6C">
              <w:rPr>
                <w:rFonts w:ascii="Arial Narrow" w:hAnsi="Arial Narrow" w:cstheme="minorBidi"/>
                <w:sz w:val="20"/>
                <w:szCs w:val="20"/>
                <w:vertAlign w:val="superscript"/>
              </w:rPr>
              <w:t>1</w:t>
            </w:r>
          </w:p>
        </w:tc>
        <w:tc>
          <w:tcPr>
            <w:tcW w:w="954" w:type="pct"/>
          </w:tcPr>
          <w:p w14:paraId="04AE663C"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50805387" w14:textId="77777777" w:rsidTr="008A4AF8">
        <w:trPr>
          <w:trHeight w:val="280"/>
        </w:trPr>
        <w:tc>
          <w:tcPr>
            <w:tcW w:w="1516" w:type="pct"/>
          </w:tcPr>
          <w:p w14:paraId="3107E2C9" w14:textId="77777777" w:rsidR="0074436F" w:rsidRPr="00935A6C" w:rsidRDefault="0074436F" w:rsidP="00E312C7">
            <w:pPr>
              <w:spacing w:before="40" w:after="40" w:line="288" w:lineRule="auto"/>
              <w:rPr>
                <w:rFonts w:ascii="Arial Narrow" w:hAnsi="Arial Narrow"/>
                <w:b/>
                <w:sz w:val="20"/>
                <w:szCs w:val="20"/>
              </w:rPr>
            </w:pPr>
            <w:r w:rsidRPr="00935A6C">
              <w:rPr>
                <w:rFonts w:ascii="Arial Narrow" w:hAnsi="Arial Narrow"/>
                <w:b/>
                <w:sz w:val="20"/>
                <w:szCs w:val="20"/>
              </w:rPr>
              <w:t>RFA</w:t>
            </w:r>
          </w:p>
          <w:p w14:paraId="16940CF1" w14:textId="109D6386" w:rsidR="0074436F" w:rsidRPr="0014017A" w:rsidRDefault="00CD6C3F" w:rsidP="00E312C7">
            <w:pPr>
              <w:spacing w:before="40" w:after="40" w:line="288" w:lineRule="auto"/>
              <w:rPr>
                <w:rFonts w:ascii="Arial Narrow" w:hAnsi="Arial Narrow"/>
                <w:sz w:val="20"/>
                <w:szCs w:val="20"/>
              </w:rPr>
            </w:pPr>
            <w:r w:rsidRPr="00574E64">
              <w:rPr>
                <w:rFonts w:ascii="Arial Narrow" w:hAnsi="Arial Narrow"/>
                <w:sz w:val="20"/>
                <w:szCs w:val="20"/>
              </w:rPr>
              <w:t>F</w:t>
            </w:r>
            <w:r w:rsidR="00EE0021" w:rsidRPr="00935A6C">
              <w:rPr>
                <w:rFonts w:ascii="Arial Narrow" w:hAnsi="Arial Narrow"/>
                <w:sz w:val="20"/>
                <w:szCs w:val="20"/>
              </w:rPr>
              <w:t>/</w:t>
            </w:r>
            <w:r w:rsidRPr="00935A6C">
              <w:rPr>
                <w:rFonts w:ascii="Arial Narrow" w:hAnsi="Arial Narrow"/>
                <w:sz w:val="20"/>
                <w:szCs w:val="20"/>
              </w:rPr>
              <w:t>U</w:t>
            </w:r>
            <w:r w:rsidR="0074436F" w:rsidRPr="00935A6C">
              <w:rPr>
                <w:rFonts w:ascii="Arial Narrow" w:hAnsi="Arial Narrow"/>
                <w:sz w:val="20"/>
                <w:szCs w:val="20"/>
              </w:rPr>
              <w:t xml:space="preserve"> range 10</w:t>
            </w:r>
            <w:r w:rsidR="00D35E9C">
              <w:rPr>
                <w:rFonts w:ascii="Arial Narrow" w:hAnsi="Arial Narrow"/>
                <w:sz w:val="20"/>
                <w:szCs w:val="20"/>
              </w:rPr>
              <w:t>–</w:t>
            </w:r>
            <w:r w:rsidR="0074436F" w:rsidRPr="00935A6C">
              <w:rPr>
                <w:rFonts w:ascii="Arial Narrow" w:hAnsi="Arial Narrow"/>
                <w:sz w:val="20"/>
                <w:szCs w:val="20"/>
              </w:rPr>
              <w:t>46 months</w:t>
            </w:r>
          </w:p>
        </w:tc>
        <w:tc>
          <w:tcPr>
            <w:tcW w:w="920" w:type="pct"/>
          </w:tcPr>
          <w:p w14:paraId="48C13DCF" w14:textId="77777777" w:rsidR="0074436F" w:rsidRPr="0014017A" w:rsidRDefault="00C10752" w:rsidP="00E312C7">
            <w:pPr>
              <w:spacing w:before="40" w:after="40" w:line="288" w:lineRule="auto"/>
              <w:jc w:val="left"/>
              <w:rPr>
                <w:rFonts w:ascii="Arial Narrow" w:hAnsi="Arial Narrow" w:cstheme="minorBidi"/>
                <w:sz w:val="20"/>
                <w:szCs w:val="20"/>
              </w:rPr>
            </w:pPr>
            <w:r>
              <w:rPr>
                <w:rFonts w:ascii="Arial Narrow" w:hAnsi="Arial Narrow" w:cstheme="minorBidi"/>
                <w:sz w:val="20"/>
                <w:szCs w:val="20"/>
              </w:rPr>
              <w:t xml:space="preserve">N = </w:t>
            </w:r>
            <w:r w:rsidR="0074436F" w:rsidRPr="00935A6C">
              <w:rPr>
                <w:rFonts w:ascii="Arial Narrow" w:hAnsi="Arial Narrow" w:cstheme="minorBidi"/>
                <w:sz w:val="20"/>
                <w:szCs w:val="20"/>
              </w:rPr>
              <w:t>1259</w:t>
            </w:r>
          </w:p>
          <w:p w14:paraId="386D1A3F"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 Level III-3 study</w:t>
            </w:r>
          </w:p>
          <w:p w14:paraId="4C94B9E1"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16 Level IV studies</w:t>
            </w:r>
          </w:p>
        </w:tc>
        <w:tc>
          <w:tcPr>
            <w:tcW w:w="1610" w:type="pct"/>
          </w:tcPr>
          <w:p w14:paraId="00ABC229"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1/1259 (&lt;0.1%)</w:t>
            </w:r>
          </w:p>
        </w:tc>
        <w:tc>
          <w:tcPr>
            <w:tcW w:w="954" w:type="pct"/>
          </w:tcPr>
          <w:p w14:paraId="58445511"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4EFF1C17" w14:textId="77777777" w:rsidTr="008A4AF8">
        <w:tc>
          <w:tcPr>
            <w:tcW w:w="1516" w:type="pct"/>
            <w:tcBorders>
              <w:bottom w:val="single" w:sz="4" w:space="0" w:color="auto"/>
            </w:tcBorders>
          </w:tcPr>
          <w:p w14:paraId="66114BFD" w14:textId="77777777" w:rsidR="0074436F" w:rsidRPr="00935A6C" w:rsidRDefault="0074436F" w:rsidP="00E312C7">
            <w:pPr>
              <w:spacing w:before="40" w:after="40" w:line="288" w:lineRule="auto"/>
              <w:rPr>
                <w:rFonts w:ascii="Arial Narrow" w:hAnsi="Arial Narrow"/>
                <w:b/>
                <w:sz w:val="20"/>
                <w:szCs w:val="20"/>
              </w:rPr>
            </w:pPr>
            <w:r w:rsidRPr="00935A6C">
              <w:rPr>
                <w:rFonts w:ascii="Arial Narrow" w:hAnsi="Arial Narrow"/>
                <w:b/>
                <w:sz w:val="20"/>
                <w:szCs w:val="20"/>
              </w:rPr>
              <w:t>Radiotherapy</w:t>
            </w:r>
          </w:p>
          <w:p w14:paraId="409D22F8" w14:textId="6D8BFC41" w:rsidR="0074436F" w:rsidRPr="0014017A" w:rsidRDefault="00CD6C3F" w:rsidP="00E312C7">
            <w:pPr>
              <w:spacing w:before="40" w:after="40" w:line="288" w:lineRule="auto"/>
              <w:rPr>
                <w:rFonts w:ascii="Arial Narrow" w:hAnsi="Arial Narrow"/>
                <w:sz w:val="20"/>
                <w:szCs w:val="20"/>
              </w:rPr>
            </w:pPr>
            <w:r w:rsidRPr="00574E64">
              <w:rPr>
                <w:rFonts w:ascii="Arial Narrow" w:hAnsi="Arial Narrow"/>
                <w:sz w:val="20"/>
                <w:szCs w:val="20"/>
              </w:rPr>
              <w:t>F/U</w:t>
            </w:r>
            <w:r w:rsidR="0074436F" w:rsidRPr="00935A6C">
              <w:rPr>
                <w:rFonts w:ascii="Arial Narrow" w:hAnsi="Arial Narrow"/>
                <w:sz w:val="20"/>
                <w:szCs w:val="20"/>
              </w:rPr>
              <w:t xml:space="preserve"> range 13</w:t>
            </w:r>
            <w:r w:rsidR="00D35E9C">
              <w:rPr>
                <w:rFonts w:ascii="Arial Narrow" w:hAnsi="Arial Narrow"/>
                <w:sz w:val="20"/>
                <w:szCs w:val="20"/>
              </w:rPr>
              <w:t>–</w:t>
            </w:r>
            <w:r w:rsidR="0074436F" w:rsidRPr="00935A6C">
              <w:rPr>
                <w:rFonts w:ascii="Arial Narrow" w:hAnsi="Arial Narrow"/>
                <w:sz w:val="20"/>
                <w:szCs w:val="20"/>
              </w:rPr>
              <w:t>82 months</w:t>
            </w:r>
          </w:p>
        </w:tc>
        <w:tc>
          <w:tcPr>
            <w:tcW w:w="920" w:type="pct"/>
            <w:tcBorders>
              <w:bottom w:val="single" w:sz="4" w:space="0" w:color="auto"/>
            </w:tcBorders>
          </w:tcPr>
          <w:p w14:paraId="675359CF" w14:textId="77777777" w:rsidR="0074436F" w:rsidRPr="0014017A" w:rsidRDefault="00C10752" w:rsidP="00E312C7">
            <w:pPr>
              <w:spacing w:before="40" w:after="40" w:line="288" w:lineRule="auto"/>
              <w:jc w:val="left"/>
              <w:rPr>
                <w:rFonts w:ascii="Arial Narrow" w:hAnsi="Arial Narrow"/>
                <w:sz w:val="20"/>
                <w:szCs w:val="20"/>
              </w:rPr>
            </w:pPr>
            <w:r>
              <w:rPr>
                <w:rFonts w:ascii="Arial Narrow" w:hAnsi="Arial Narrow"/>
                <w:sz w:val="20"/>
                <w:szCs w:val="20"/>
              </w:rPr>
              <w:t xml:space="preserve">N = </w:t>
            </w:r>
            <w:r w:rsidR="0074436F" w:rsidRPr="00935A6C">
              <w:rPr>
                <w:rFonts w:ascii="Arial Narrow" w:hAnsi="Arial Narrow"/>
                <w:sz w:val="20"/>
                <w:szCs w:val="20"/>
              </w:rPr>
              <w:t>NA</w:t>
            </w:r>
          </w:p>
          <w:p w14:paraId="03A9529D"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sz w:val="20"/>
                <w:szCs w:val="20"/>
              </w:rPr>
              <w:t>2 Level II studies</w:t>
            </w:r>
          </w:p>
          <w:p w14:paraId="11D3008B"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sz w:val="20"/>
                <w:szCs w:val="20"/>
              </w:rPr>
              <w:t>2 Level III-2 studies</w:t>
            </w:r>
          </w:p>
          <w:p w14:paraId="66C88E1D"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sz w:val="20"/>
                <w:szCs w:val="20"/>
              </w:rPr>
              <w:t>1</w:t>
            </w:r>
            <w:r w:rsidR="005B3826" w:rsidRPr="00935A6C">
              <w:rPr>
                <w:rFonts w:ascii="Arial Narrow" w:hAnsi="Arial Narrow"/>
                <w:sz w:val="20"/>
                <w:szCs w:val="20"/>
              </w:rPr>
              <w:t>2</w:t>
            </w:r>
            <w:r w:rsidRPr="00935A6C">
              <w:rPr>
                <w:rFonts w:ascii="Arial Narrow" w:hAnsi="Arial Narrow"/>
                <w:sz w:val="20"/>
                <w:szCs w:val="20"/>
              </w:rPr>
              <w:t xml:space="preserve"> Level IV studies</w:t>
            </w:r>
          </w:p>
        </w:tc>
        <w:tc>
          <w:tcPr>
            <w:tcW w:w="1610" w:type="pct"/>
            <w:tcBorders>
              <w:bottom w:val="single" w:sz="4" w:space="0" w:color="auto"/>
            </w:tcBorders>
          </w:tcPr>
          <w:p w14:paraId="3700E286"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2</w:t>
            </w:r>
            <w:r w:rsidR="00877158" w:rsidRPr="00935A6C">
              <w:rPr>
                <w:rFonts w:ascii="Arial Narrow" w:hAnsi="Arial Narrow" w:cstheme="minorBidi"/>
                <w:sz w:val="20"/>
                <w:szCs w:val="20"/>
              </w:rPr>
              <w:t>/778</w:t>
            </w:r>
            <w:r w:rsidR="00D54C8F" w:rsidRPr="00935A6C">
              <w:rPr>
                <w:rFonts w:ascii="Arial Narrow" w:hAnsi="Arial Narrow" w:cstheme="minorBidi"/>
                <w:sz w:val="20"/>
                <w:szCs w:val="20"/>
              </w:rPr>
              <w:t xml:space="preserve"> (0.26%)</w:t>
            </w:r>
            <w:r w:rsidRPr="00935A6C">
              <w:rPr>
                <w:rFonts w:ascii="Arial Narrow" w:hAnsi="Arial Narrow" w:cstheme="minorBidi"/>
                <w:sz w:val="20"/>
                <w:szCs w:val="20"/>
                <w:vertAlign w:val="superscript"/>
              </w:rPr>
              <w:t>2</w:t>
            </w:r>
          </w:p>
        </w:tc>
        <w:tc>
          <w:tcPr>
            <w:tcW w:w="954" w:type="pct"/>
            <w:tcBorders>
              <w:bottom w:val="single" w:sz="4" w:space="0" w:color="auto"/>
            </w:tcBorders>
          </w:tcPr>
          <w:p w14:paraId="37FF0F6A" w14:textId="4CCEDD3D"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0F5DD3AE" w14:textId="77777777" w:rsidTr="008A4AF8">
        <w:tc>
          <w:tcPr>
            <w:tcW w:w="1516" w:type="pct"/>
            <w:tcBorders>
              <w:bottom w:val="single" w:sz="4" w:space="0" w:color="auto"/>
            </w:tcBorders>
          </w:tcPr>
          <w:p w14:paraId="2BE57C3E" w14:textId="77777777" w:rsidR="0074436F" w:rsidRPr="00935A6C" w:rsidRDefault="0074436F" w:rsidP="00E312C7">
            <w:pPr>
              <w:spacing w:before="40" w:after="40" w:line="288" w:lineRule="auto"/>
              <w:rPr>
                <w:rFonts w:ascii="Arial Narrow" w:hAnsi="Arial Narrow"/>
                <w:b/>
                <w:sz w:val="20"/>
                <w:szCs w:val="20"/>
              </w:rPr>
            </w:pPr>
            <w:r w:rsidRPr="00935A6C">
              <w:rPr>
                <w:rFonts w:ascii="Arial Narrow" w:hAnsi="Arial Narrow"/>
                <w:b/>
                <w:sz w:val="20"/>
                <w:szCs w:val="20"/>
              </w:rPr>
              <w:t>Surgery</w:t>
            </w:r>
          </w:p>
          <w:p w14:paraId="1DDC20DB" w14:textId="77777777" w:rsidR="0074436F" w:rsidRPr="0014017A" w:rsidRDefault="00CD6C3F" w:rsidP="00E312C7">
            <w:pPr>
              <w:spacing w:before="40" w:after="40" w:line="288" w:lineRule="auto"/>
              <w:rPr>
                <w:rFonts w:ascii="Arial Narrow" w:hAnsi="Arial Narrow"/>
                <w:sz w:val="20"/>
                <w:szCs w:val="20"/>
              </w:rPr>
            </w:pPr>
            <w:r w:rsidRPr="00574E64">
              <w:rPr>
                <w:rFonts w:ascii="Arial Narrow" w:hAnsi="Arial Narrow"/>
                <w:sz w:val="20"/>
                <w:szCs w:val="20"/>
              </w:rPr>
              <w:t>F/U</w:t>
            </w:r>
            <w:r w:rsidR="0074436F" w:rsidRPr="00935A6C">
              <w:rPr>
                <w:rFonts w:ascii="Arial Narrow" w:hAnsi="Arial Narrow"/>
                <w:sz w:val="20"/>
                <w:szCs w:val="20"/>
              </w:rPr>
              <w:t xml:space="preserve"> NA</w:t>
            </w:r>
          </w:p>
        </w:tc>
        <w:tc>
          <w:tcPr>
            <w:tcW w:w="920" w:type="pct"/>
            <w:tcBorders>
              <w:bottom w:val="single" w:sz="4" w:space="0" w:color="auto"/>
            </w:tcBorders>
          </w:tcPr>
          <w:p w14:paraId="20E52C3B" w14:textId="77777777" w:rsidR="0074436F" w:rsidRPr="0014017A" w:rsidRDefault="00C10752" w:rsidP="00E312C7">
            <w:pPr>
              <w:spacing w:before="40" w:after="40" w:line="288" w:lineRule="auto"/>
              <w:jc w:val="left"/>
              <w:rPr>
                <w:rFonts w:ascii="Arial Narrow" w:hAnsi="Arial Narrow"/>
                <w:sz w:val="20"/>
                <w:szCs w:val="20"/>
              </w:rPr>
            </w:pPr>
            <w:r>
              <w:rPr>
                <w:rFonts w:ascii="Arial Narrow" w:hAnsi="Arial Narrow"/>
                <w:sz w:val="20"/>
                <w:szCs w:val="20"/>
              </w:rPr>
              <w:t xml:space="preserve">N = </w:t>
            </w:r>
            <w:r w:rsidR="0074436F" w:rsidRPr="00935A6C">
              <w:rPr>
                <w:rFonts w:ascii="Arial Narrow" w:hAnsi="Arial Narrow"/>
                <w:sz w:val="20"/>
                <w:szCs w:val="20"/>
              </w:rPr>
              <w:t>NA</w:t>
            </w:r>
          </w:p>
          <w:p w14:paraId="12DE8F87"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sz w:val="20"/>
                <w:szCs w:val="20"/>
              </w:rPr>
              <w:t>1 Level I study</w:t>
            </w:r>
          </w:p>
          <w:p w14:paraId="7F34FB71"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sz w:val="20"/>
                <w:szCs w:val="20"/>
              </w:rPr>
              <w:t>2 Level IV studies</w:t>
            </w:r>
          </w:p>
        </w:tc>
        <w:tc>
          <w:tcPr>
            <w:tcW w:w="1610" w:type="pct"/>
            <w:tcBorders>
              <w:bottom w:val="single" w:sz="4" w:space="0" w:color="auto"/>
            </w:tcBorders>
          </w:tcPr>
          <w:p w14:paraId="2E9F103E" w14:textId="77777777" w:rsidR="00B22CA6" w:rsidRPr="0014017A" w:rsidRDefault="00B22CA6"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u w:val="single"/>
              </w:rPr>
              <w:t>Pfannschmidt et al (2007)</w:t>
            </w:r>
            <w:r w:rsidR="0074436F" w:rsidRPr="00935A6C">
              <w:rPr>
                <w:rFonts w:ascii="Arial Narrow" w:hAnsi="Arial Narrow" w:cstheme="minorBidi"/>
                <w:sz w:val="20"/>
                <w:szCs w:val="20"/>
              </w:rPr>
              <w:t xml:space="preserve">  </w:t>
            </w:r>
          </w:p>
          <w:p w14:paraId="273EED79" w14:textId="2F9D54A7" w:rsidR="0074436F" w:rsidRPr="0014017A" w:rsidRDefault="00297999"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R</w:t>
            </w:r>
            <w:r w:rsidR="0074436F" w:rsidRPr="00935A6C">
              <w:rPr>
                <w:rFonts w:ascii="Arial Narrow" w:hAnsi="Arial Narrow" w:cstheme="minorBidi"/>
                <w:sz w:val="20"/>
                <w:szCs w:val="20"/>
              </w:rPr>
              <w:t>ange 0</w:t>
            </w:r>
            <w:r w:rsidR="00D35E9C">
              <w:rPr>
                <w:rFonts w:ascii="Arial Narrow" w:hAnsi="Arial Narrow" w:cstheme="minorBidi"/>
                <w:sz w:val="20"/>
                <w:szCs w:val="20"/>
              </w:rPr>
              <w:t>–</w:t>
            </w:r>
            <w:r w:rsidR="0074436F" w:rsidRPr="00935A6C">
              <w:rPr>
                <w:rFonts w:ascii="Arial Narrow" w:hAnsi="Arial Narrow" w:cstheme="minorBidi"/>
                <w:sz w:val="20"/>
                <w:szCs w:val="20"/>
              </w:rPr>
              <w:t>3% of patients</w:t>
            </w:r>
            <w:r w:rsidRPr="00935A6C">
              <w:rPr>
                <w:rFonts w:ascii="Arial Narrow" w:hAnsi="Arial Narrow" w:cstheme="minorBidi"/>
                <w:sz w:val="20"/>
                <w:szCs w:val="20"/>
              </w:rPr>
              <w:t xml:space="preserve"> (4/20 studies)</w:t>
            </w:r>
          </w:p>
          <w:p w14:paraId="3428F15B" w14:textId="77777777" w:rsidR="00B22CA6"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u w:val="single"/>
              </w:rPr>
              <w:t>Renaud et al (2014)</w:t>
            </w:r>
            <w:r w:rsidR="00B22CA6" w:rsidRPr="00935A6C">
              <w:rPr>
                <w:rFonts w:ascii="Arial Narrow" w:hAnsi="Arial Narrow" w:cstheme="minorBidi"/>
                <w:sz w:val="20"/>
                <w:szCs w:val="20"/>
                <w:u w:val="single"/>
              </w:rPr>
              <w:t>,</w:t>
            </w:r>
            <w:r w:rsidRPr="00935A6C">
              <w:rPr>
                <w:rFonts w:ascii="Arial Narrow" w:hAnsi="Arial Narrow" w:cstheme="minorBidi"/>
                <w:sz w:val="20"/>
                <w:szCs w:val="20"/>
                <w:u w:val="single"/>
              </w:rPr>
              <w:t xml:space="preserve"> </w:t>
            </w:r>
            <w:r w:rsidR="00B22CA6" w:rsidRPr="00935A6C">
              <w:rPr>
                <w:rFonts w:ascii="Arial Narrow" w:hAnsi="Arial Narrow" w:cstheme="minorBidi"/>
                <w:sz w:val="20"/>
                <w:szCs w:val="20"/>
                <w:u w:val="single"/>
              </w:rPr>
              <w:t>Kitano et al (2012)</w:t>
            </w:r>
          </w:p>
          <w:p w14:paraId="21C004F4"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0/365 (0%)</w:t>
            </w:r>
          </w:p>
        </w:tc>
        <w:tc>
          <w:tcPr>
            <w:tcW w:w="954" w:type="pct"/>
            <w:tcBorders>
              <w:bottom w:val="single" w:sz="4" w:space="0" w:color="auto"/>
            </w:tcBorders>
          </w:tcPr>
          <w:p w14:paraId="5E8AD6C3"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50B46259" w14:textId="77777777" w:rsidTr="008A4AF8">
        <w:tc>
          <w:tcPr>
            <w:tcW w:w="1516" w:type="pct"/>
            <w:tcBorders>
              <w:right w:val="nil"/>
            </w:tcBorders>
            <w:shd w:val="clear" w:color="auto" w:fill="D9D9D9" w:themeFill="background1" w:themeFillShade="D9"/>
          </w:tcPr>
          <w:p w14:paraId="1D8E6FB6" w14:textId="77777777" w:rsidR="0074436F" w:rsidRPr="00935A6C" w:rsidRDefault="0074436F" w:rsidP="00E312C7">
            <w:pPr>
              <w:spacing w:before="40" w:after="40" w:line="288" w:lineRule="auto"/>
              <w:rPr>
                <w:rFonts w:ascii="Arial Narrow" w:hAnsi="Arial Narrow" w:cstheme="minorBidi"/>
                <w:b/>
                <w:sz w:val="20"/>
                <w:szCs w:val="20"/>
              </w:rPr>
            </w:pPr>
            <w:r w:rsidRPr="00935A6C">
              <w:rPr>
                <w:rFonts w:ascii="Arial Narrow" w:hAnsi="Arial Narrow" w:cstheme="minorBidi"/>
                <w:b/>
                <w:sz w:val="20"/>
                <w:szCs w:val="20"/>
              </w:rPr>
              <w:t>30-Day mortality</w:t>
            </w:r>
          </w:p>
        </w:tc>
        <w:tc>
          <w:tcPr>
            <w:tcW w:w="920" w:type="pct"/>
            <w:tcBorders>
              <w:left w:val="nil"/>
              <w:right w:val="nil"/>
            </w:tcBorders>
            <w:shd w:val="clear" w:color="auto" w:fill="D9D9D9" w:themeFill="background1" w:themeFillShade="D9"/>
          </w:tcPr>
          <w:p w14:paraId="7C60671D" w14:textId="77777777" w:rsidR="0074436F" w:rsidRPr="00574E64" w:rsidRDefault="0074436F" w:rsidP="00E312C7">
            <w:pPr>
              <w:spacing w:before="40" w:after="40" w:line="288" w:lineRule="auto"/>
              <w:jc w:val="left"/>
              <w:rPr>
                <w:rFonts w:ascii="Arial Narrow" w:hAnsi="Arial Narrow" w:cstheme="minorBidi"/>
                <w:sz w:val="20"/>
                <w:szCs w:val="20"/>
                <w:highlight w:val="cyan"/>
              </w:rPr>
            </w:pPr>
          </w:p>
        </w:tc>
        <w:tc>
          <w:tcPr>
            <w:tcW w:w="1610" w:type="pct"/>
            <w:tcBorders>
              <w:left w:val="nil"/>
              <w:right w:val="nil"/>
            </w:tcBorders>
            <w:shd w:val="clear" w:color="auto" w:fill="D9D9D9" w:themeFill="background1" w:themeFillShade="D9"/>
          </w:tcPr>
          <w:p w14:paraId="1960C71D" w14:textId="77777777" w:rsidR="0074436F" w:rsidRPr="0014017A" w:rsidRDefault="0074436F" w:rsidP="00E312C7">
            <w:pPr>
              <w:spacing w:before="40" w:after="40" w:line="288" w:lineRule="auto"/>
              <w:jc w:val="left"/>
              <w:rPr>
                <w:rFonts w:ascii="Arial Narrow" w:hAnsi="Arial Narrow" w:cstheme="minorBidi"/>
                <w:sz w:val="20"/>
                <w:szCs w:val="20"/>
              </w:rPr>
            </w:pPr>
          </w:p>
        </w:tc>
        <w:tc>
          <w:tcPr>
            <w:tcW w:w="954" w:type="pct"/>
            <w:tcBorders>
              <w:left w:val="nil"/>
              <w:right w:val="single" w:sz="4" w:space="0" w:color="auto"/>
            </w:tcBorders>
            <w:shd w:val="clear" w:color="auto" w:fill="D9D9D9" w:themeFill="background1" w:themeFillShade="D9"/>
          </w:tcPr>
          <w:p w14:paraId="30C35583" w14:textId="77777777" w:rsidR="0074436F" w:rsidRPr="0014017A" w:rsidRDefault="0074436F" w:rsidP="00E312C7">
            <w:pPr>
              <w:spacing w:before="40" w:after="40" w:line="288" w:lineRule="auto"/>
              <w:rPr>
                <w:rFonts w:ascii="Arial Narrow" w:hAnsi="Arial Narrow" w:cstheme="minorBidi"/>
                <w:sz w:val="20"/>
                <w:szCs w:val="20"/>
              </w:rPr>
            </w:pPr>
          </w:p>
        </w:tc>
      </w:tr>
      <w:tr w:rsidR="0074436F" w:rsidRPr="00935A6C" w14:paraId="2F5D2515" w14:textId="77777777" w:rsidTr="008A4AF8">
        <w:tc>
          <w:tcPr>
            <w:tcW w:w="1516" w:type="pct"/>
          </w:tcPr>
          <w:p w14:paraId="332DCF6B" w14:textId="4BD04ADB" w:rsidR="0074436F" w:rsidRPr="00574E64" w:rsidRDefault="0074436F" w:rsidP="00E312C7">
            <w:pPr>
              <w:spacing w:before="40" w:after="40" w:line="288" w:lineRule="auto"/>
              <w:rPr>
                <w:rFonts w:ascii="Arial Narrow" w:hAnsi="Arial Narrow"/>
                <w:sz w:val="20"/>
                <w:szCs w:val="20"/>
              </w:rPr>
            </w:pPr>
            <w:r w:rsidRPr="00935A6C">
              <w:rPr>
                <w:rFonts w:ascii="Arial Narrow" w:hAnsi="Arial Narrow"/>
                <w:b/>
                <w:sz w:val="20"/>
                <w:szCs w:val="20"/>
              </w:rPr>
              <w:t>MTA</w:t>
            </w:r>
            <w:r w:rsidR="00CD6C3F" w:rsidRPr="00935A6C">
              <w:rPr>
                <w:rFonts w:ascii="Arial Narrow" w:hAnsi="Arial Narrow"/>
                <w:sz w:val="20"/>
                <w:szCs w:val="20"/>
              </w:rPr>
              <w:br/>
              <w:t>F/U</w:t>
            </w:r>
            <w:r w:rsidRPr="00574E64">
              <w:rPr>
                <w:rFonts w:ascii="Arial Narrow" w:hAnsi="Arial Narrow"/>
                <w:sz w:val="20"/>
                <w:szCs w:val="20"/>
              </w:rPr>
              <w:t xml:space="preserve"> range 6</w:t>
            </w:r>
            <w:r w:rsidR="00D35E9C">
              <w:rPr>
                <w:rFonts w:ascii="Arial Narrow" w:hAnsi="Arial Narrow"/>
                <w:sz w:val="20"/>
                <w:szCs w:val="20"/>
              </w:rPr>
              <w:t>–</w:t>
            </w:r>
            <w:r w:rsidRPr="00574E64">
              <w:rPr>
                <w:rFonts w:ascii="Arial Narrow" w:hAnsi="Arial Narrow"/>
                <w:sz w:val="20"/>
                <w:szCs w:val="20"/>
              </w:rPr>
              <w:t>30 months</w:t>
            </w:r>
          </w:p>
        </w:tc>
        <w:tc>
          <w:tcPr>
            <w:tcW w:w="920" w:type="pct"/>
          </w:tcPr>
          <w:p w14:paraId="7F7B029A" w14:textId="77777777" w:rsidR="0074436F" w:rsidRPr="0014017A" w:rsidRDefault="00C10752" w:rsidP="00E312C7">
            <w:pPr>
              <w:spacing w:before="40" w:after="40" w:line="288" w:lineRule="auto"/>
              <w:jc w:val="left"/>
              <w:rPr>
                <w:rFonts w:ascii="Arial Narrow" w:hAnsi="Arial Narrow" w:cstheme="minorBidi"/>
                <w:sz w:val="20"/>
                <w:szCs w:val="20"/>
              </w:rPr>
            </w:pPr>
            <w:r>
              <w:rPr>
                <w:rFonts w:ascii="Arial Narrow" w:hAnsi="Arial Narrow" w:cstheme="minorBidi"/>
                <w:sz w:val="20"/>
                <w:szCs w:val="20"/>
              </w:rPr>
              <w:t xml:space="preserve">N = </w:t>
            </w:r>
            <w:r w:rsidR="0074436F" w:rsidRPr="00935A6C">
              <w:rPr>
                <w:rFonts w:ascii="Arial Narrow" w:hAnsi="Arial Narrow" w:cstheme="minorBidi"/>
                <w:sz w:val="20"/>
                <w:szCs w:val="20"/>
              </w:rPr>
              <w:t>739</w:t>
            </w:r>
          </w:p>
          <w:p w14:paraId="2D1FB9C5"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cstheme="minorBidi"/>
                <w:sz w:val="20"/>
                <w:szCs w:val="20"/>
              </w:rPr>
              <w:t>16 Level IV studies</w:t>
            </w:r>
          </w:p>
        </w:tc>
        <w:tc>
          <w:tcPr>
            <w:tcW w:w="1610" w:type="pct"/>
          </w:tcPr>
          <w:p w14:paraId="35267CBB"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1/739 (0.14%)</w:t>
            </w:r>
          </w:p>
        </w:tc>
        <w:tc>
          <w:tcPr>
            <w:tcW w:w="954" w:type="pct"/>
          </w:tcPr>
          <w:p w14:paraId="208BD453"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1D3A253B" w14:textId="77777777" w:rsidTr="008A4AF8">
        <w:tc>
          <w:tcPr>
            <w:tcW w:w="1516" w:type="pct"/>
          </w:tcPr>
          <w:p w14:paraId="2364618F" w14:textId="77777777" w:rsidR="0074436F" w:rsidRPr="00935A6C" w:rsidRDefault="0074436F" w:rsidP="00E312C7">
            <w:pPr>
              <w:spacing w:before="40" w:after="40" w:line="288" w:lineRule="auto"/>
              <w:rPr>
                <w:rFonts w:ascii="Arial Narrow" w:hAnsi="Arial Narrow"/>
                <w:b/>
                <w:sz w:val="20"/>
                <w:szCs w:val="20"/>
              </w:rPr>
            </w:pPr>
            <w:r w:rsidRPr="00935A6C">
              <w:rPr>
                <w:rFonts w:ascii="Arial Narrow" w:hAnsi="Arial Narrow"/>
                <w:b/>
                <w:sz w:val="20"/>
                <w:szCs w:val="20"/>
              </w:rPr>
              <w:t>RFA</w:t>
            </w:r>
          </w:p>
          <w:p w14:paraId="5CFF7700" w14:textId="46BFA287" w:rsidR="0074436F" w:rsidRPr="0014017A" w:rsidRDefault="00CD6C3F" w:rsidP="00E312C7">
            <w:pPr>
              <w:spacing w:before="40" w:after="40" w:line="288" w:lineRule="auto"/>
              <w:rPr>
                <w:rFonts w:ascii="Arial Narrow" w:hAnsi="Arial Narrow"/>
                <w:sz w:val="20"/>
                <w:szCs w:val="20"/>
              </w:rPr>
            </w:pPr>
            <w:r w:rsidRPr="00574E64">
              <w:rPr>
                <w:rFonts w:ascii="Arial Narrow" w:hAnsi="Arial Narrow"/>
                <w:sz w:val="20"/>
                <w:szCs w:val="20"/>
              </w:rPr>
              <w:t>F/U</w:t>
            </w:r>
            <w:r w:rsidR="0074436F" w:rsidRPr="00935A6C">
              <w:rPr>
                <w:rFonts w:ascii="Arial Narrow" w:hAnsi="Arial Narrow"/>
                <w:sz w:val="20"/>
                <w:szCs w:val="20"/>
              </w:rPr>
              <w:t xml:space="preserve"> range 10</w:t>
            </w:r>
            <w:r w:rsidR="00D35E9C">
              <w:rPr>
                <w:rFonts w:ascii="Arial Narrow" w:hAnsi="Arial Narrow"/>
                <w:sz w:val="20"/>
                <w:szCs w:val="20"/>
              </w:rPr>
              <w:t>–</w:t>
            </w:r>
            <w:r w:rsidR="0074436F" w:rsidRPr="00935A6C">
              <w:rPr>
                <w:rFonts w:ascii="Arial Narrow" w:hAnsi="Arial Narrow"/>
                <w:sz w:val="20"/>
                <w:szCs w:val="20"/>
              </w:rPr>
              <w:t>36 months</w:t>
            </w:r>
          </w:p>
        </w:tc>
        <w:tc>
          <w:tcPr>
            <w:tcW w:w="920" w:type="pct"/>
          </w:tcPr>
          <w:p w14:paraId="4F8522DA" w14:textId="77777777" w:rsidR="0074436F" w:rsidRPr="0014017A" w:rsidRDefault="00C10752" w:rsidP="00E312C7">
            <w:pPr>
              <w:spacing w:before="40" w:after="40" w:line="288" w:lineRule="auto"/>
              <w:jc w:val="left"/>
              <w:rPr>
                <w:rFonts w:ascii="Arial Narrow" w:hAnsi="Arial Narrow" w:cstheme="minorBidi"/>
                <w:sz w:val="20"/>
                <w:szCs w:val="20"/>
              </w:rPr>
            </w:pPr>
            <w:r>
              <w:rPr>
                <w:rFonts w:ascii="Arial Narrow" w:hAnsi="Arial Narrow" w:cstheme="minorBidi"/>
                <w:sz w:val="20"/>
                <w:szCs w:val="20"/>
              </w:rPr>
              <w:t xml:space="preserve">N = </w:t>
            </w:r>
            <w:r w:rsidR="0074436F" w:rsidRPr="00935A6C">
              <w:rPr>
                <w:rFonts w:ascii="Arial Narrow" w:hAnsi="Arial Narrow" w:cstheme="minorBidi"/>
                <w:sz w:val="20"/>
                <w:szCs w:val="20"/>
              </w:rPr>
              <w:t>810</w:t>
            </w:r>
          </w:p>
          <w:p w14:paraId="4196D598"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 Level III-3 study 7 Level IV studies</w:t>
            </w:r>
          </w:p>
        </w:tc>
        <w:tc>
          <w:tcPr>
            <w:tcW w:w="1610" w:type="pct"/>
          </w:tcPr>
          <w:p w14:paraId="528CFE3C"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2/810 (&lt;0.1%)</w:t>
            </w:r>
          </w:p>
        </w:tc>
        <w:tc>
          <w:tcPr>
            <w:tcW w:w="954" w:type="pct"/>
          </w:tcPr>
          <w:p w14:paraId="060231B8"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7D2C67B6" w14:textId="77777777" w:rsidTr="008A4AF8">
        <w:tc>
          <w:tcPr>
            <w:tcW w:w="1516" w:type="pct"/>
          </w:tcPr>
          <w:p w14:paraId="5AB3038D" w14:textId="77777777" w:rsidR="0074436F" w:rsidRPr="00935A6C" w:rsidRDefault="0074436F" w:rsidP="00E312C7">
            <w:pPr>
              <w:spacing w:before="40" w:after="40" w:line="288" w:lineRule="auto"/>
              <w:rPr>
                <w:rFonts w:ascii="Arial Narrow" w:hAnsi="Arial Narrow"/>
                <w:b/>
                <w:sz w:val="20"/>
                <w:szCs w:val="20"/>
              </w:rPr>
            </w:pPr>
            <w:r w:rsidRPr="00935A6C">
              <w:rPr>
                <w:rFonts w:ascii="Arial Narrow" w:hAnsi="Arial Narrow"/>
                <w:b/>
                <w:sz w:val="20"/>
                <w:szCs w:val="20"/>
              </w:rPr>
              <w:t>Radiotherapy</w:t>
            </w:r>
          </w:p>
          <w:p w14:paraId="209C1E21" w14:textId="4283598F" w:rsidR="0074436F" w:rsidRPr="0014017A" w:rsidRDefault="00CD6C3F" w:rsidP="00E312C7">
            <w:pPr>
              <w:spacing w:before="40" w:after="40" w:line="288" w:lineRule="auto"/>
              <w:rPr>
                <w:rFonts w:ascii="Arial Narrow" w:hAnsi="Arial Narrow"/>
                <w:sz w:val="20"/>
                <w:szCs w:val="20"/>
              </w:rPr>
            </w:pPr>
            <w:r w:rsidRPr="00574E64">
              <w:rPr>
                <w:rFonts w:ascii="Arial Narrow" w:hAnsi="Arial Narrow"/>
                <w:sz w:val="20"/>
                <w:szCs w:val="20"/>
              </w:rPr>
              <w:t>F/U</w:t>
            </w:r>
            <w:r w:rsidR="0074436F" w:rsidRPr="00935A6C">
              <w:rPr>
                <w:rFonts w:ascii="Arial Narrow" w:hAnsi="Arial Narrow"/>
                <w:sz w:val="20"/>
                <w:szCs w:val="20"/>
              </w:rPr>
              <w:t xml:space="preserve"> range 13</w:t>
            </w:r>
            <w:r w:rsidR="00D35E9C">
              <w:rPr>
                <w:rFonts w:ascii="Arial Narrow" w:hAnsi="Arial Narrow"/>
                <w:sz w:val="20"/>
                <w:szCs w:val="20"/>
              </w:rPr>
              <w:t>–</w:t>
            </w:r>
            <w:r w:rsidR="0074436F" w:rsidRPr="00935A6C">
              <w:rPr>
                <w:rFonts w:ascii="Arial Narrow" w:hAnsi="Arial Narrow"/>
                <w:sz w:val="20"/>
                <w:szCs w:val="20"/>
              </w:rPr>
              <w:t>82 months</w:t>
            </w:r>
          </w:p>
        </w:tc>
        <w:tc>
          <w:tcPr>
            <w:tcW w:w="920" w:type="pct"/>
          </w:tcPr>
          <w:p w14:paraId="203C8CAA" w14:textId="77777777" w:rsidR="0074436F" w:rsidRPr="0014017A" w:rsidRDefault="00C10752" w:rsidP="00E312C7">
            <w:pPr>
              <w:spacing w:before="40" w:after="40" w:line="288" w:lineRule="auto"/>
              <w:jc w:val="left"/>
              <w:rPr>
                <w:rFonts w:ascii="Arial Narrow" w:hAnsi="Arial Narrow"/>
                <w:sz w:val="20"/>
                <w:szCs w:val="20"/>
              </w:rPr>
            </w:pPr>
            <w:r>
              <w:rPr>
                <w:rFonts w:ascii="Arial Narrow" w:hAnsi="Arial Narrow"/>
                <w:sz w:val="20"/>
                <w:szCs w:val="20"/>
              </w:rPr>
              <w:t xml:space="preserve">N = </w:t>
            </w:r>
            <w:r w:rsidR="0074436F" w:rsidRPr="00935A6C">
              <w:rPr>
                <w:rFonts w:ascii="Arial Narrow" w:hAnsi="Arial Narrow"/>
                <w:sz w:val="20"/>
                <w:szCs w:val="20"/>
              </w:rPr>
              <w:t xml:space="preserve"> NA</w:t>
            </w:r>
          </w:p>
          <w:p w14:paraId="4DED23D5"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sz w:val="20"/>
                <w:szCs w:val="20"/>
              </w:rPr>
              <w:t>2 Level II studies</w:t>
            </w:r>
          </w:p>
          <w:p w14:paraId="1D84868F"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sz w:val="20"/>
                <w:szCs w:val="20"/>
              </w:rPr>
              <w:t>2 Level III-2 studies</w:t>
            </w:r>
          </w:p>
          <w:p w14:paraId="002AF02C"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sz w:val="20"/>
                <w:szCs w:val="20"/>
              </w:rPr>
              <w:t>1</w:t>
            </w:r>
            <w:r w:rsidR="005B3826" w:rsidRPr="00935A6C">
              <w:rPr>
                <w:rFonts w:ascii="Arial Narrow" w:hAnsi="Arial Narrow"/>
                <w:sz w:val="20"/>
                <w:szCs w:val="20"/>
              </w:rPr>
              <w:t>2</w:t>
            </w:r>
            <w:r w:rsidRPr="00935A6C">
              <w:rPr>
                <w:rFonts w:ascii="Arial Narrow" w:hAnsi="Arial Narrow"/>
                <w:sz w:val="20"/>
                <w:szCs w:val="20"/>
              </w:rPr>
              <w:t xml:space="preserve"> Level IV studies</w:t>
            </w:r>
          </w:p>
        </w:tc>
        <w:tc>
          <w:tcPr>
            <w:tcW w:w="1610" w:type="pct"/>
          </w:tcPr>
          <w:p w14:paraId="0A4C81C2" w14:textId="77777777" w:rsidR="0074436F" w:rsidRPr="0014017A" w:rsidRDefault="00CD5FB8"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0/778 (0.0%)</w:t>
            </w:r>
          </w:p>
        </w:tc>
        <w:tc>
          <w:tcPr>
            <w:tcW w:w="954" w:type="pct"/>
          </w:tcPr>
          <w:p w14:paraId="341AA4AE"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1DD17D3B" w14:textId="77777777" w:rsidTr="008A4AF8">
        <w:tc>
          <w:tcPr>
            <w:tcW w:w="1516" w:type="pct"/>
            <w:tcBorders>
              <w:bottom w:val="single" w:sz="4" w:space="0" w:color="auto"/>
            </w:tcBorders>
          </w:tcPr>
          <w:p w14:paraId="2B93B122" w14:textId="77777777" w:rsidR="0074436F" w:rsidRPr="00935A6C" w:rsidRDefault="0074436F" w:rsidP="00E312C7">
            <w:pPr>
              <w:spacing w:before="40" w:after="40" w:line="288" w:lineRule="auto"/>
              <w:rPr>
                <w:rFonts w:ascii="Arial Narrow" w:hAnsi="Arial Narrow"/>
                <w:b/>
                <w:sz w:val="20"/>
                <w:szCs w:val="20"/>
              </w:rPr>
            </w:pPr>
            <w:r w:rsidRPr="00935A6C">
              <w:rPr>
                <w:rFonts w:ascii="Arial Narrow" w:hAnsi="Arial Narrow"/>
                <w:b/>
                <w:sz w:val="20"/>
                <w:szCs w:val="20"/>
              </w:rPr>
              <w:t>Surgery</w:t>
            </w:r>
          </w:p>
          <w:p w14:paraId="5BFF38E5" w14:textId="77777777" w:rsidR="0074436F" w:rsidRPr="00574E64" w:rsidRDefault="0074436F" w:rsidP="00E312C7">
            <w:pPr>
              <w:spacing w:before="40" w:after="40" w:line="288" w:lineRule="auto"/>
              <w:rPr>
                <w:rFonts w:ascii="Arial Narrow" w:hAnsi="Arial Narrow"/>
                <w:sz w:val="20"/>
                <w:szCs w:val="20"/>
              </w:rPr>
            </w:pPr>
            <w:r w:rsidRPr="00574E64">
              <w:rPr>
                <w:rFonts w:ascii="Arial Narrow" w:hAnsi="Arial Narrow"/>
                <w:sz w:val="20"/>
                <w:szCs w:val="20"/>
              </w:rPr>
              <w:t>F/u: NA</w:t>
            </w:r>
          </w:p>
        </w:tc>
        <w:tc>
          <w:tcPr>
            <w:tcW w:w="920" w:type="pct"/>
            <w:tcBorders>
              <w:bottom w:val="single" w:sz="4" w:space="0" w:color="auto"/>
            </w:tcBorders>
            <w:shd w:val="clear" w:color="auto" w:fill="auto"/>
          </w:tcPr>
          <w:p w14:paraId="69369755" w14:textId="77777777" w:rsidR="0074436F" w:rsidRPr="0014017A" w:rsidRDefault="00C10752" w:rsidP="00E312C7">
            <w:pPr>
              <w:spacing w:before="40" w:after="40" w:line="288" w:lineRule="auto"/>
              <w:jc w:val="left"/>
              <w:rPr>
                <w:rFonts w:ascii="Arial Narrow" w:hAnsi="Arial Narrow"/>
                <w:sz w:val="20"/>
                <w:szCs w:val="20"/>
              </w:rPr>
            </w:pPr>
            <w:r>
              <w:rPr>
                <w:rFonts w:ascii="Arial Narrow" w:hAnsi="Arial Narrow"/>
                <w:sz w:val="20"/>
                <w:szCs w:val="20"/>
              </w:rPr>
              <w:t xml:space="preserve">N = </w:t>
            </w:r>
            <w:r w:rsidR="0074436F" w:rsidRPr="00935A6C">
              <w:rPr>
                <w:rFonts w:ascii="Arial Narrow" w:hAnsi="Arial Narrow"/>
                <w:sz w:val="20"/>
                <w:szCs w:val="20"/>
              </w:rPr>
              <w:t>1,499</w:t>
            </w:r>
          </w:p>
          <w:p w14:paraId="6E589887" w14:textId="77777777" w:rsidR="003F2656"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sz w:val="20"/>
                <w:szCs w:val="20"/>
              </w:rPr>
              <w:t>4 Level IV studies</w:t>
            </w:r>
          </w:p>
        </w:tc>
        <w:tc>
          <w:tcPr>
            <w:tcW w:w="1610" w:type="pct"/>
            <w:tcBorders>
              <w:bottom w:val="single" w:sz="4" w:space="0" w:color="auto"/>
            </w:tcBorders>
          </w:tcPr>
          <w:p w14:paraId="57E06E86" w14:textId="77777777" w:rsidR="0074436F" w:rsidRPr="0014017A" w:rsidRDefault="00016E15"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10/1,499 (0.</w:t>
            </w:r>
            <w:r w:rsidR="0079474D" w:rsidRPr="00935A6C">
              <w:rPr>
                <w:rFonts w:ascii="Arial Narrow" w:hAnsi="Arial Narrow" w:cstheme="minorBidi"/>
                <w:sz w:val="20"/>
                <w:szCs w:val="20"/>
              </w:rPr>
              <w:t>67</w:t>
            </w:r>
            <w:r w:rsidR="0074436F" w:rsidRPr="00935A6C">
              <w:rPr>
                <w:rFonts w:ascii="Arial Narrow" w:hAnsi="Arial Narrow" w:cstheme="minorBidi"/>
                <w:sz w:val="20"/>
                <w:szCs w:val="20"/>
              </w:rPr>
              <w:t>%)</w:t>
            </w:r>
          </w:p>
        </w:tc>
        <w:tc>
          <w:tcPr>
            <w:tcW w:w="954" w:type="pct"/>
            <w:tcBorders>
              <w:bottom w:val="single" w:sz="4" w:space="0" w:color="auto"/>
            </w:tcBorders>
          </w:tcPr>
          <w:p w14:paraId="57FCF1B4"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1091644B" w14:textId="77777777" w:rsidTr="008A4AF8">
        <w:tc>
          <w:tcPr>
            <w:tcW w:w="1516" w:type="pct"/>
            <w:tcBorders>
              <w:right w:val="nil"/>
            </w:tcBorders>
            <w:shd w:val="clear" w:color="auto" w:fill="D9D9D9" w:themeFill="background1" w:themeFillShade="D9"/>
          </w:tcPr>
          <w:p w14:paraId="08BDF70F" w14:textId="77777777" w:rsidR="0074436F" w:rsidRPr="00935A6C" w:rsidRDefault="0074436F" w:rsidP="00E312C7">
            <w:pPr>
              <w:spacing w:before="40" w:after="40" w:line="288" w:lineRule="auto"/>
              <w:rPr>
                <w:rFonts w:ascii="Arial Narrow" w:hAnsi="Arial Narrow" w:cstheme="minorBidi"/>
                <w:b/>
                <w:sz w:val="20"/>
                <w:szCs w:val="20"/>
              </w:rPr>
            </w:pPr>
            <w:r w:rsidRPr="00935A6C">
              <w:rPr>
                <w:rFonts w:ascii="Arial Narrow" w:hAnsi="Arial Narrow" w:cstheme="minorBidi"/>
                <w:b/>
                <w:sz w:val="20"/>
                <w:szCs w:val="20"/>
              </w:rPr>
              <w:t>Pneumothorax</w:t>
            </w:r>
          </w:p>
        </w:tc>
        <w:tc>
          <w:tcPr>
            <w:tcW w:w="920" w:type="pct"/>
            <w:tcBorders>
              <w:left w:val="nil"/>
              <w:right w:val="nil"/>
            </w:tcBorders>
            <w:shd w:val="clear" w:color="auto" w:fill="D9D9D9" w:themeFill="background1" w:themeFillShade="D9"/>
          </w:tcPr>
          <w:p w14:paraId="7ABBBDE2" w14:textId="77777777" w:rsidR="0074436F" w:rsidRPr="00574E64" w:rsidRDefault="0074436F" w:rsidP="00E312C7">
            <w:pPr>
              <w:spacing w:before="40" w:after="40" w:line="288" w:lineRule="auto"/>
              <w:jc w:val="left"/>
              <w:rPr>
                <w:rFonts w:ascii="Arial Narrow" w:hAnsi="Arial Narrow" w:cstheme="minorBidi"/>
                <w:sz w:val="20"/>
                <w:szCs w:val="20"/>
                <w:highlight w:val="cyan"/>
              </w:rPr>
            </w:pPr>
          </w:p>
        </w:tc>
        <w:tc>
          <w:tcPr>
            <w:tcW w:w="1610" w:type="pct"/>
            <w:tcBorders>
              <w:left w:val="nil"/>
              <w:right w:val="nil"/>
            </w:tcBorders>
            <w:shd w:val="clear" w:color="auto" w:fill="D9D9D9" w:themeFill="background1" w:themeFillShade="D9"/>
          </w:tcPr>
          <w:p w14:paraId="0F70733A" w14:textId="77777777" w:rsidR="0074436F" w:rsidRPr="0014017A" w:rsidRDefault="0074436F" w:rsidP="00E312C7">
            <w:pPr>
              <w:spacing w:before="40" w:after="40" w:line="288" w:lineRule="auto"/>
              <w:jc w:val="left"/>
              <w:rPr>
                <w:rFonts w:ascii="Arial Narrow" w:hAnsi="Arial Narrow" w:cstheme="minorBidi"/>
                <w:sz w:val="20"/>
                <w:szCs w:val="20"/>
              </w:rPr>
            </w:pPr>
          </w:p>
        </w:tc>
        <w:tc>
          <w:tcPr>
            <w:tcW w:w="954" w:type="pct"/>
            <w:tcBorders>
              <w:left w:val="nil"/>
              <w:right w:val="single" w:sz="4" w:space="0" w:color="auto"/>
            </w:tcBorders>
            <w:shd w:val="clear" w:color="auto" w:fill="D9D9D9" w:themeFill="background1" w:themeFillShade="D9"/>
          </w:tcPr>
          <w:p w14:paraId="68012FBD" w14:textId="77777777" w:rsidR="0074436F" w:rsidRPr="0014017A" w:rsidRDefault="0074436F" w:rsidP="00E312C7">
            <w:pPr>
              <w:spacing w:before="40" w:after="40" w:line="288" w:lineRule="auto"/>
              <w:rPr>
                <w:rFonts w:ascii="Arial Narrow" w:hAnsi="Arial Narrow" w:cstheme="minorBidi"/>
                <w:sz w:val="20"/>
                <w:szCs w:val="20"/>
              </w:rPr>
            </w:pPr>
          </w:p>
        </w:tc>
      </w:tr>
      <w:tr w:rsidR="0074436F" w:rsidRPr="00935A6C" w14:paraId="17D21DD0" w14:textId="77777777" w:rsidTr="008A4AF8">
        <w:tc>
          <w:tcPr>
            <w:tcW w:w="1516" w:type="pct"/>
          </w:tcPr>
          <w:p w14:paraId="34C143AD" w14:textId="286E86FE" w:rsidR="0074436F" w:rsidRPr="00574E64" w:rsidRDefault="0074436F" w:rsidP="00E312C7">
            <w:pPr>
              <w:spacing w:before="40" w:after="40" w:line="288" w:lineRule="auto"/>
              <w:rPr>
                <w:rFonts w:ascii="Arial Narrow" w:hAnsi="Arial Narrow"/>
                <w:sz w:val="20"/>
                <w:szCs w:val="20"/>
              </w:rPr>
            </w:pPr>
            <w:r w:rsidRPr="00935A6C">
              <w:rPr>
                <w:rFonts w:ascii="Arial Narrow" w:hAnsi="Arial Narrow"/>
                <w:b/>
                <w:sz w:val="20"/>
                <w:szCs w:val="20"/>
              </w:rPr>
              <w:t>MTA</w:t>
            </w:r>
            <w:r w:rsidR="00CD6C3F" w:rsidRPr="00935A6C">
              <w:rPr>
                <w:rFonts w:ascii="Arial Narrow" w:hAnsi="Arial Narrow"/>
                <w:sz w:val="20"/>
                <w:szCs w:val="20"/>
              </w:rPr>
              <w:br/>
              <w:t>F/U</w:t>
            </w:r>
            <w:r w:rsidRPr="00574E64">
              <w:rPr>
                <w:rFonts w:ascii="Arial Narrow" w:hAnsi="Arial Narrow"/>
                <w:sz w:val="20"/>
                <w:szCs w:val="20"/>
              </w:rPr>
              <w:t xml:space="preserve"> range 6</w:t>
            </w:r>
            <w:r w:rsidR="00D35E9C">
              <w:rPr>
                <w:rFonts w:ascii="Arial Narrow" w:hAnsi="Arial Narrow"/>
                <w:sz w:val="20"/>
                <w:szCs w:val="20"/>
              </w:rPr>
              <w:t>–</w:t>
            </w:r>
            <w:r w:rsidRPr="00574E64">
              <w:rPr>
                <w:rFonts w:ascii="Arial Narrow" w:hAnsi="Arial Narrow"/>
                <w:sz w:val="20"/>
                <w:szCs w:val="20"/>
              </w:rPr>
              <w:t>30 months</w:t>
            </w:r>
          </w:p>
        </w:tc>
        <w:tc>
          <w:tcPr>
            <w:tcW w:w="920" w:type="pct"/>
          </w:tcPr>
          <w:p w14:paraId="754E00B0" w14:textId="77777777" w:rsidR="0074436F" w:rsidRPr="0014017A" w:rsidRDefault="00C10752" w:rsidP="00E312C7">
            <w:pPr>
              <w:spacing w:before="40" w:after="40" w:line="288" w:lineRule="auto"/>
              <w:jc w:val="left"/>
              <w:rPr>
                <w:rFonts w:ascii="Arial Narrow" w:hAnsi="Arial Narrow" w:cstheme="minorBidi"/>
                <w:sz w:val="20"/>
                <w:szCs w:val="20"/>
              </w:rPr>
            </w:pPr>
            <w:r>
              <w:rPr>
                <w:rFonts w:ascii="Arial Narrow" w:hAnsi="Arial Narrow" w:cstheme="minorBidi"/>
                <w:sz w:val="20"/>
                <w:szCs w:val="20"/>
              </w:rPr>
              <w:t xml:space="preserve">N = </w:t>
            </w:r>
            <w:r w:rsidR="0074436F" w:rsidRPr="00935A6C">
              <w:rPr>
                <w:rFonts w:ascii="Arial Narrow" w:hAnsi="Arial Narrow" w:cstheme="minorBidi"/>
                <w:sz w:val="20"/>
                <w:szCs w:val="20"/>
              </w:rPr>
              <w:t>1025 (sessions)</w:t>
            </w:r>
          </w:p>
          <w:p w14:paraId="4C7D4CA8"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2 Level III-2 studies</w:t>
            </w:r>
          </w:p>
          <w:p w14:paraId="7DF2B872"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cstheme="minorBidi"/>
                <w:sz w:val="20"/>
                <w:szCs w:val="20"/>
              </w:rPr>
              <w:t xml:space="preserve">20 </w:t>
            </w:r>
            <w:r w:rsidR="00CE470F">
              <w:rPr>
                <w:rFonts w:ascii="Arial Narrow" w:hAnsi="Arial Narrow" w:cstheme="minorBidi"/>
                <w:sz w:val="20"/>
                <w:szCs w:val="20"/>
              </w:rPr>
              <w:t>L</w:t>
            </w:r>
            <w:r w:rsidR="00CE470F" w:rsidRPr="00935A6C">
              <w:rPr>
                <w:rFonts w:ascii="Arial Narrow" w:hAnsi="Arial Narrow" w:cstheme="minorBidi"/>
                <w:sz w:val="20"/>
                <w:szCs w:val="20"/>
              </w:rPr>
              <w:t xml:space="preserve">evel </w:t>
            </w:r>
            <w:r w:rsidRPr="00935A6C">
              <w:rPr>
                <w:rFonts w:ascii="Arial Narrow" w:hAnsi="Arial Narrow" w:cstheme="minorBidi"/>
                <w:sz w:val="20"/>
                <w:szCs w:val="20"/>
              </w:rPr>
              <w:t>IV studies</w:t>
            </w:r>
          </w:p>
        </w:tc>
        <w:tc>
          <w:tcPr>
            <w:tcW w:w="1610" w:type="pct"/>
          </w:tcPr>
          <w:p w14:paraId="639AF170"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280/1025 (27.3</w:t>
            </w:r>
            <w:r w:rsidR="00027870" w:rsidRPr="00935A6C">
              <w:rPr>
                <w:rFonts w:ascii="Arial Narrow" w:hAnsi="Arial Narrow" w:cstheme="minorBidi"/>
                <w:sz w:val="20"/>
                <w:szCs w:val="20"/>
              </w:rPr>
              <w:t>%</w:t>
            </w:r>
            <w:r w:rsidRPr="00935A6C">
              <w:rPr>
                <w:rFonts w:ascii="Arial Narrow" w:hAnsi="Arial Narrow" w:cstheme="minorBidi"/>
                <w:sz w:val="20"/>
                <w:szCs w:val="20"/>
              </w:rPr>
              <w:t>)</w:t>
            </w:r>
          </w:p>
          <w:p w14:paraId="4A2D31A0" w14:textId="57D268DD"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Median: 30.2 (8.3</w:t>
            </w:r>
            <w:r w:rsidR="007E3D66">
              <w:rPr>
                <w:rFonts w:ascii="Arial Narrow" w:hAnsi="Arial Narrow" w:cstheme="minorBidi"/>
                <w:sz w:val="20"/>
                <w:szCs w:val="20"/>
              </w:rPr>
              <w:t>–</w:t>
            </w:r>
            <w:r w:rsidRPr="00935A6C">
              <w:rPr>
                <w:rFonts w:ascii="Arial Narrow" w:hAnsi="Arial Narrow" w:cstheme="minorBidi"/>
                <w:sz w:val="20"/>
                <w:szCs w:val="20"/>
              </w:rPr>
              <w:t>63.8</w:t>
            </w:r>
            <w:r w:rsidR="00027870" w:rsidRPr="00935A6C">
              <w:rPr>
                <w:rFonts w:ascii="Arial Narrow" w:hAnsi="Arial Narrow" w:cstheme="minorBidi"/>
                <w:sz w:val="20"/>
                <w:szCs w:val="20"/>
              </w:rPr>
              <w:t>%</w:t>
            </w:r>
            <w:r w:rsidRPr="00935A6C">
              <w:rPr>
                <w:rFonts w:ascii="Arial Narrow" w:hAnsi="Arial Narrow" w:cstheme="minorBidi"/>
                <w:sz w:val="20"/>
                <w:szCs w:val="20"/>
              </w:rPr>
              <w:t>)</w:t>
            </w:r>
          </w:p>
        </w:tc>
        <w:tc>
          <w:tcPr>
            <w:tcW w:w="954" w:type="pct"/>
          </w:tcPr>
          <w:p w14:paraId="42D59C18"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124BEEE9" w14:textId="77777777" w:rsidTr="008A4AF8">
        <w:tc>
          <w:tcPr>
            <w:tcW w:w="1516" w:type="pct"/>
            <w:tcBorders>
              <w:bottom w:val="single" w:sz="4" w:space="0" w:color="auto"/>
            </w:tcBorders>
          </w:tcPr>
          <w:p w14:paraId="72CE66E9" w14:textId="77777777" w:rsidR="0074436F" w:rsidRPr="00935A6C" w:rsidRDefault="0074436F" w:rsidP="00E312C7">
            <w:pPr>
              <w:spacing w:before="40" w:after="40" w:line="288" w:lineRule="auto"/>
              <w:rPr>
                <w:rFonts w:ascii="Arial Narrow" w:hAnsi="Arial Narrow"/>
                <w:b/>
                <w:sz w:val="20"/>
                <w:szCs w:val="20"/>
              </w:rPr>
            </w:pPr>
            <w:r w:rsidRPr="00935A6C">
              <w:rPr>
                <w:rFonts w:ascii="Arial Narrow" w:hAnsi="Arial Narrow"/>
                <w:b/>
                <w:sz w:val="20"/>
                <w:szCs w:val="20"/>
              </w:rPr>
              <w:t>RFA</w:t>
            </w:r>
          </w:p>
          <w:p w14:paraId="734EFB3E" w14:textId="5B27178B" w:rsidR="0074436F" w:rsidRPr="0014017A" w:rsidRDefault="00CD6C3F" w:rsidP="00E312C7">
            <w:pPr>
              <w:spacing w:before="40" w:after="40" w:line="288" w:lineRule="auto"/>
              <w:rPr>
                <w:rFonts w:ascii="Arial Narrow" w:hAnsi="Arial Narrow"/>
                <w:sz w:val="20"/>
                <w:szCs w:val="20"/>
              </w:rPr>
            </w:pPr>
            <w:r w:rsidRPr="00574E64">
              <w:rPr>
                <w:rFonts w:ascii="Arial Narrow" w:hAnsi="Arial Narrow"/>
                <w:sz w:val="20"/>
                <w:szCs w:val="20"/>
              </w:rPr>
              <w:t>F/U</w:t>
            </w:r>
            <w:r w:rsidR="0074436F" w:rsidRPr="00935A6C">
              <w:rPr>
                <w:rFonts w:ascii="Arial Narrow" w:hAnsi="Arial Narrow"/>
                <w:sz w:val="20"/>
                <w:szCs w:val="20"/>
              </w:rPr>
              <w:t xml:space="preserve"> range 12</w:t>
            </w:r>
            <w:r w:rsidR="00D35E9C">
              <w:rPr>
                <w:rFonts w:ascii="Arial Narrow" w:hAnsi="Arial Narrow"/>
                <w:sz w:val="20"/>
                <w:szCs w:val="20"/>
              </w:rPr>
              <w:t>–</w:t>
            </w:r>
            <w:r w:rsidR="0074436F" w:rsidRPr="00935A6C">
              <w:rPr>
                <w:rFonts w:ascii="Arial Narrow" w:hAnsi="Arial Narrow"/>
                <w:sz w:val="20"/>
                <w:szCs w:val="20"/>
              </w:rPr>
              <w:t>46 months</w:t>
            </w:r>
          </w:p>
        </w:tc>
        <w:tc>
          <w:tcPr>
            <w:tcW w:w="920" w:type="pct"/>
            <w:tcBorders>
              <w:bottom w:val="single" w:sz="4" w:space="0" w:color="auto"/>
            </w:tcBorders>
          </w:tcPr>
          <w:p w14:paraId="38096A71" w14:textId="77777777" w:rsidR="0074436F" w:rsidRPr="0014017A" w:rsidRDefault="00C10752" w:rsidP="00E312C7">
            <w:pPr>
              <w:spacing w:before="40" w:after="40" w:line="288" w:lineRule="auto"/>
              <w:jc w:val="left"/>
              <w:rPr>
                <w:rFonts w:ascii="Arial Narrow" w:hAnsi="Arial Narrow" w:cstheme="minorBidi"/>
                <w:sz w:val="20"/>
                <w:szCs w:val="20"/>
              </w:rPr>
            </w:pPr>
            <w:r>
              <w:rPr>
                <w:rFonts w:ascii="Arial Narrow" w:hAnsi="Arial Narrow" w:cstheme="minorBidi"/>
                <w:sz w:val="20"/>
                <w:szCs w:val="20"/>
              </w:rPr>
              <w:t xml:space="preserve">N = </w:t>
            </w:r>
            <w:r w:rsidR="0074436F" w:rsidRPr="00935A6C">
              <w:rPr>
                <w:rFonts w:ascii="Arial Narrow" w:hAnsi="Arial Narrow" w:cstheme="minorBidi"/>
                <w:sz w:val="20"/>
                <w:szCs w:val="20"/>
              </w:rPr>
              <w:t>1497 (sessions)</w:t>
            </w:r>
          </w:p>
          <w:p w14:paraId="5C4540B3"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 Level III-3 study</w:t>
            </w:r>
          </w:p>
          <w:p w14:paraId="67CFF016"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18 Level IV studies</w:t>
            </w:r>
          </w:p>
          <w:p w14:paraId="2F3A6CC3"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 xml:space="preserve"> </w:t>
            </w:r>
          </w:p>
        </w:tc>
        <w:tc>
          <w:tcPr>
            <w:tcW w:w="1610" w:type="pct"/>
            <w:tcBorders>
              <w:bottom w:val="single" w:sz="4" w:space="0" w:color="auto"/>
            </w:tcBorders>
          </w:tcPr>
          <w:p w14:paraId="7F15C4A7" w14:textId="6553869A" w:rsidR="0074436F" w:rsidRPr="00E312C7" w:rsidRDefault="00B22CA6" w:rsidP="00E312C7">
            <w:pPr>
              <w:spacing w:before="40" w:after="40" w:line="288" w:lineRule="auto"/>
              <w:jc w:val="left"/>
              <w:rPr>
                <w:rFonts w:ascii="Arial Narrow" w:hAnsi="Arial Narrow" w:cstheme="minorBidi"/>
                <w:sz w:val="20"/>
                <w:szCs w:val="20"/>
                <w:u w:val="single"/>
              </w:rPr>
            </w:pPr>
            <w:r w:rsidRPr="00935A6C">
              <w:rPr>
                <w:rFonts w:ascii="Arial Narrow" w:hAnsi="Arial Narrow" w:cstheme="minorBidi"/>
                <w:sz w:val="20"/>
                <w:szCs w:val="20"/>
                <w:u w:val="single"/>
              </w:rPr>
              <w:t>Per ablation</w:t>
            </w:r>
            <w:r w:rsidR="00E312C7">
              <w:rPr>
                <w:rFonts w:ascii="Arial Narrow" w:hAnsi="Arial Narrow" w:cstheme="minorBidi"/>
                <w:sz w:val="20"/>
                <w:szCs w:val="20"/>
                <w:u w:val="single"/>
              </w:rPr>
              <w:t>:</w:t>
            </w:r>
            <w:r w:rsidR="00E312C7" w:rsidRPr="00E312C7">
              <w:rPr>
                <w:rFonts w:ascii="Arial Narrow" w:hAnsi="Arial Narrow" w:cstheme="minorBidi"/>
                <w:sz w:val="20"/>
                <w:szCs w:val="20"/>
              </w:rPr>
              <w:t xml:space="preserve"> </w:t>
            </w:r>
            <w:r w:rsidR="0074436F" w:rsidRPr="00935A6C">
              <w:rPr>
                <w:rFonts w:ascii="Arial Narrow" w:hAnsi="Arial Narrow" w:cstheme="minorBidi"/>
                <w:sz w:val="20"/>
                <w:szCs w:val="20"/>
              </w:rPr>
              <w:t>674/1497 (45%), median 24% (9</w:t>
            </w:r>
            <w:r w:rsidR="00D35E9C">
              <w:rPr>
                <w:rFonts w:ascii="Arial Narrow" w:hAnsi="Arial Narrow" w:cstheme="minorBidi"/>
                <w:sz w:val="20"/>
                <w:szCs w:val="20"/>
              </w:rPr>
              <w:t>–</w:t>
            </w:r>
            <w:r w:rsidR="0074436F" w:rsidRPr="00935A6C">
              <w:rPr>
                <w:rFonts w:ascii="Arial Narrow" w:hAnsi="Arial Narrow" w:cstheme="minorBidi"/>
                <w:sz w:val="20"/>
                <w:szCs w:val="20"/>
              </w:rPr>
              <w:t>67%)</w:t>
            </w:r>
          </w:p>
          <w:p w14:paraId="30E16374" w14:textId="7F66B9FF" w:rsidR="0074436F" w:rsidRPr="00E312C7" w:rsidRDefault="00B22CA6" w:rsidP="00E312C7">
            <w:pPr>
              <w:spacing w:before="40" w:after="40" w:line="288" w:lineRule="auto"/>
              <w:jc w:val="left"/>
              <w:rPr>
                <w:rFonts w:ascii="Arial Narrow" w:hAnsi="Arial Narrow" w:cstheme="minorBidi"/>
                <w:sz w:val="20"/>
                <w:szCs w:val="20"/>
                <w:u w:val="single"/>
              </w:rPr>
            </w:pPr>
            <w:r w:rsidRPr="00935A6C">
              <w:rPr>
                <w:rFonts w:ascii="Arial Narrow" w:hAnsi="Arial Narrow" w:cstheme="minorBidi"/>
                <w:sz w:val="20"/>
                <w:szCs w:val="20"/>
                <w:u w:val="single"/>
              </w:rPr>
              <w:t>Per patient</w:t>
            </w:r>
            <w:r w:rsidR="00E312C7">
              <w:rPr>
                <w:rFonts w:ascii="Arial Narrow" w:hAnsi="Arial Narrow" w:cstheme="minorBidi"/>
                <w:sz w:val="20"/>
                <w:szCs w:val="20"/>
                <w:u w:val="single"/>
              </w:rPr>
              <w:t>:</w:t>
            </w:r>
            <w:r w:rsidR="00E312C7" w:rsidRPr="00E312C7">
              <w:rPr>
                <w:rFonts w:ascii="Arial Narrow" w:hAnsi="Arial Narrow" w:cstheme="minorBidi"/>
                <w:sz w:val="20"/>
                <w:szCs w:val="20"/>
              </w:rPr>
              <w:t xml:space="preserve"> </w:t>
            </w:r>
            <w:r w:rsidR="0074436F" w:rsidRPr="00935A6C">
              <w:rPr>
                <w:rFonts w:ascii="Arial Narrow" w:hAnsi="Arial Narrow" w:cstheme="minorBidi"/>
                <w:sz w:val="20"/>
                <w:szCs w:val="20"/>
              </w:rPr>
              <w:t>46/262 (18%), median 17.5% (5</w:t>
            </w:r>
            <w:r w:rsidR="00D35E9C">
              <w:rPr>
                <w:rFonts w:ascii="Arial Narrow" w:hAnsi="Arial Narrow" w:cstheme="minorBidi"/>
                <w:sz w:val="20"/>
                <w:szCs w:val="20"/>
              </w:rPr>
              <w:t>–</w:t>
            </w:r>
            <w:r w:rsidR="0074436F" w:rsidRPr="00935A6C">
              <w:rPr>
                <w:rFonts w:ascii="Arial Narrow" w:hAnsi="Arial Narrow" w:cstheme="minorBidi"/>
                <w:sz w:val="20"/>
                <w:szCs w:val="20"/>
              </w:rPr>
              <w:t>36%)</w:t>
            </w:r>
          </w:p>
        </w:tc>
        <w:tc>
          <w:tcPr>
            <w:tcW w:w="954" w:type="pct"/>
            <w:tcBorders>
              <w:bottom w:val="single" w:sz="4" w:space="0" w:color="auto"/>
            </w:tcBorders>
          </w:tcPr>
          <w:p w14:paraId="51B11A54"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5EEA89D6" w14:textId="77777777" w:rsidTr="008A4AF8">
        <w:tc>
          <w:tcPr>
            <w:tcW w:w="1516" w:type="pct"/>
            <w:tcBorders>
              <w:right w:val="nil"/>
            </w:tcBorders>
            <w:shd w:val="clear" w:color="auto" w:fill="D9D9D9" w:themeFill="background1" w:themeFillShade="D9"/>
          </w:tcPr>
          <w:p w14:paraId="0619091C" w14:textId="77777777" w:rsidR="0074436F" w:rsidRPr="00935A6C" w:rsidRDefault="0074436F" w:rsidP="00E312C7">
            <w:pPr>
              <w:spacing w:before="40" w:after="40" w:line="288" w:lineRule="auto"/>
              <w:rPr>
                <w:rFonts w:ascii="Arial Narrow" w:hAnsi="Arial Narrow" w:cstheme="minorBidi"/>
                <w:b/>
                <w:sz w:val="20"/>
                <w:szCs w:val="20"/>
              </w:rPr>
            </w:pPr>
            <w:r w:rsidRPr="00935A6C">
              <w:rPr>
                <w:rFonts w:ascii="Arial Narrow" w:hAnsi="Arial Narrow" w:cstheme="minorBidi"/>
                <w:b/>
                <w:sz w:val="20"/>
                <w:szCs w:val="20"/>
              </w:rPr>
              <w:lastRenderedPageBreak/>
              <w:t>Pneumothorax with intervention</w:t>
            </w:r>
          </w:p>
        </w:tc>
        <w:tc>
          <w:tcPr>
            <w:tcW w:w="920" w:type="pct"/>
            <w:tcBorders>
              <w:left w:val="nil"/>
              <w:right w:val="nil"/>
            </w:tcBorders>
            <w:shd w:val="clear" w:color="auto" w:fill="D9D9D9" w:themeFill="background1" w:themeFillShade="D9"/>
          </w:tcPr>
          <w:p w14:paraId="097F2DF3" w14:textId="77777777" w:rsidR="0074436F" w:rsidRPr="00574E64" w:rsidRDefault="0074436F" w:rsidP="00E312C7">
            <w:pPr>
              <w:spacing w:before="40" w:after="40" w:line="288" w:lineRule="auto"/>
              <w:jc w:val="left"/>
              <w:rPr>
                <w:rFonts w:ascii="Arial Narrow" w:hAnsi="Arial Narrow" w:cstheme="minorBidi"/>
                <w:sz w:val="20"/>
                <w:szCs w:val="20"/>
              </w:rPr>
            </w:pPr>
          </w:p>
        </w:tc>
        <w:tc>
          <w:tcPr>
            <w:tcW w:w="1610" w:type="pct"/>
            <w:tcBorders>
              <w:left w:val="nil"/>
              <w:right w:val="nil"/>
            </w:tcBorders>
            <w:shd w:val="clear" w:color="auto" w:fill="D9D9D9" w:themeFill="background1" w:themeFillShade="D9"/>
          </w:tcPr>
          <w:p w14:paraId="6F126E49" w14:textId="77777777" w:rsidR="0074436F" w:rsidRPr="0014017A" w:rsidRDefault="0074436F" w:rsidP="00E312C7">
            <w:pPr>
              <w:spacing w:before="40" w:after="40" w:line="288" w:lineRule="auto"/>
              <w:jc w:val="left"/>
              <w:rPr>
                <w:rFonts w:ascii="Arial Narrow" w:hAnsi="Arial Narrow" w:cstheme="minorBidi"/>
                <w:sz w:val="20"/>
                <w:szCs w:val="20"/>
              </w:rPr>
            </w:pPr>
          </w:p>
        </w:tc>
        <w:tc>
          <w:tcPr>
            <w:tcW w:w="954" w:type="pct"/>
            <w:tcBorders>
              <w:left w:val="nil"/>
              <w:right w:val="single" w:sz="4" w:space="0" w:color="auto"/>
            </w:tcBorders>
            <w:shd w:val="clear" w:color="auto" w:fill="D9D9D9" w:themeFill="background1" w:themeFillShade="D9"/>
          </w:tcPr>
          <w:p w14:paraId="311DCA66" w14:textId="77777777" w:rsidR="0074436F" w:rsidRPr="0014017A" w:rsidRDefault="0074436F" w:rsidP="00E312C7">
            <w:pPr>
              <w:spacing w:before="40" w:after="40" w:line="288" w:lineRule="auto"/>
              <w:rPr>
                <w:rFonts w:ascii="Arial Narrow" w:hAnsi="Arial Narrow" w:cstheme="minorBidi"/>
                <w:sz w:val="20"/>
                <w:szCs w:val="20"/>
              </w:rPr>
            </w:pPr>
          </w:p>
        </w:tc>
      </w:tr>
      <w:tr w:rsidR="0074436F" w:rsidRPr="00935A6C" w14:paraId="7BBA541D" w14:textId="77777777" w:rsidTr="008A4AF8">
        <w:tc>
          <w:tcPr>
            <w:tcW w:w="1516" w:type="pct"/>
          </w:tcPr>
          <w:p w14:paraId="66B6CE53" w14:textId="62542679" w:rsidR="0074436F" w:rsidRPr="00574E64" w:rsidRDefault="0074436F" w:rsidP="00E312C7">
            <w:pPr>
              <w:spacing w:before="40" w:after="40" w:line="288" w:lineRule="auto"/>
              <w:rPr>
                <w:rFonts w:ascii="Arial Narrow" w:hAnsi="Arial Narrow"/>
                <w:sz w:val="20"/>
                <w:szCs w:val="20"/>
              </w:rPr>
            </w:pPr>
            <w:r w:rsidRPr="00935A6C">
              <w:rPr>
                <w:rFonts w:ascii="Arial Narrow" w:hAnsi="Arial Narrow"/>
                <w:b/>
                <w:sz w:val="20"/>
                <w:szCs w:val="20"/>
              </w:rPr>
              <w:t>MTA</w:t>
            </w:r>
            <w:r w:rsidR="00CD6C3F" w:rsidRPr="00935A6C">
              <w:rPr>
                <w:rFonts w:ascii="Arial Narrow" w:hAnsi="Arial Narrow"/>
                <w:sz w:val="20"/>
                <w:szCs w:val="20"/>
              </w:rPr>
              <w:br/>
              <w:t>F/U</w:t>
            </w:r>
            <w:r w:rsidRPr="00574E64">
              <w:rPr>
                <w:rFonts w:ascii="Arial Narrow" w:hAnsi="Arial Narrow"/>
                <w:sz w:val="20"/>
                <w:szCs w:val="20"/>
              </w:rPr>
              <w:t xml:space="preserve"> range 6</w:t>
            </w:r>
            <w:r w:rsidR="00D35E9C">
              <w:rPr>
                <w:rFonts w:ascii="Arial Narrow" w:hAnsi="Arial Narrow"/>
                <w:sz w:val="20"/>
                <w:szCs w:val="20"/>
              </w:rPr>
              <w:t>–</w:t>
            </w:r>
            <w:r w:rsidRPr="00574E64">
              <w:rPr>
                <w:rFonts w:ascii="Arial Narrow" w:hAnsi="Arial Narrow"/>
                <w:sz w:val="20"/>
                <w:szCs w:val="20"/>
              </w:rPr>
              <w:t>30 months</w:t>
            </w:r>
          </w:p>
        </w:tc>
        <w:tc>
          <w:tcPr>
            <w:tcW w:w="920" w:type="pct"/>
          </w:tcPr>
          <w:p w14:paraId="0E164276" w14:textId="77777777" w:rsidR="0074436F" w:rsidRPr="0014017A" w:rsidRDefault="00C10752" w:rsidP="00E312C7">
            <w:pPr>
              <w:spacing w:before="40" w:after="40" w:line="288" w:lineRule="auto"/>
              <w:jc w:val="left"/>
              <w:rPr>
                <w:rFonts w:ascii="Arial Narrow" w:hAnsi="Arial Narrow" w:cstheme="minorBidi"/>
                <w:sz w:val="20"/>
                <w:szCs w:val="20"/>
              </w:rPr>
            </w:pPr>
            <w:r>
              <w:rPr>
                <w:rFonts w:ascii="Arial Narrow" w:hAnsi="Arial Narrow" w:cstheme="minorBidi"/>
                <w:sz w:val="20"/>
                <w:szCs w:val="20"/>
              </w:rPr>
              <w:t xml:space="preserve">N = </w:t>
            </w:r>
            <w:r w:rsidR="0074436F" w:rsidRPr="00935A6C">
              <w:rPr>
                <w:rFonts w:ascii="Arial Narrow" w:hAnsi="Arial Narrow" w:cstheme="minorBidi"/>
                <w:sz w:val="20"/>
                <w:szCs w:val="20"/>
              </w:rPr>
              <w:t xml:space="preserve"> 985 (sessions)</w:t>
            </w:r>
          </w:p>
          <w:p w14:paraId="07006976"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2 Level III-2 studies</w:t>
            </w:r>
          </w:p>
          <w:p w14:paraId="35DA7702" w14:textId="77777777" w:rsidR="0074436F" w:rsidRPr="0014017A" w:rsidRDefault="0074436F" w:rsidP="00E312C7">
            <w:pPr>
              <w:spacing w:before="40" w:after="40" w:line="288" w:lineRule="auto"/>
              <w:jc w:val="left"/>
              <w:rPr>
                <w:rFonts w:ascii="Arial Narrow" w:hAnsi="Arial Narrow"/>
                <w:sz w:val="20"/>
                <w:szCs w:val="20"/>
              </w:rPr>
            </w:pPr>
            <w:r w:rsidRPr="00935A6C">
              <w:rPr>
                <w:rFonts w:ascii="Arial Narrow" w:hAnsi="Arial Narrow" w:cstheme="minorBidi"/>
                <w:sz w:val="20"/>
                <w:szCs w:val="20"/>
              </w:rPr>
              <w:t>18 Level IV studies</w:t>
            </w:r>
          </w:p>
        </w:tc>
        <w:tc>
          <w:tcPr>
            <w:tcW w:w="1610" w:type="pct"/>
          </w:tcPr>
          <w:p w14:paraId="191468D6" w14:textId="3CD70865"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122/985 (12.4), median 10.3 (0</w:t>
            </w:r>
            <w:r w:rsidR="00D35E9C">
              <w:rPr>
                <w:rFonts w:ascii="Arial Narrow" w:hAnsi="Arial Narrow" w:cstheme="minorBidi"/>
                <w:sz w:val="20"/>
                <w:szCs w:val="20"/>
              </w:rPr>
              <w:t>–</w:t>
            </w:r>
            <w:r w:rsidRPr="00935A6C">
              <w:rPr>
                <w:rFonts w:ascii="Arial Narrow" w:hAnsi="Arial Narrow" w:cstheme="minorBidi"/>
                <w:sz w:val="20"/>
                <w:szCs w:val="20"/>
              </w:rPr>
              <w:t>28.6%)</w:t>
            </w:r>
          </w:p>
        </w:tc>
        <w:tc>
          <w:tcPr>
            <w:tcW w:w="954" w:type="pct"/>
          </w:tcPr>
          <w:p w14:paraId="3F069CCE"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r w:rsidR="0074436F" w:rsidRPr="00935A6C" w14:paraId="64B25B1C" w14:textId="77777777" w:rsidTr="008A4AF8">
        <w:tc>
          <w:tcPr>
            <w:tcW w:w="1516" w:type="pct"/>
          </w:tcPr>
          <w:p w14:paraId="3639CF1A" w14:textId="77777777" w:rsidR="0074436F" w:rsidRPr="00935A6C" w:rsidRDefault="0074436F" w:rsidP="00E312C7">
            <w:pPr>
              <w:spacing w:before="40" w:after="40" w:line="288" w:lineRule="auto"/>
              <w:rPr>
                <w:rFonts w:ascii="Arial Narrow" w:hAnsi="Arial Narrow"/>
                <w:b/>
                <w:sz w:val="20"/>
                <w:szCs w:val="20"/>
              </w:rPr>
            </w:pPr>
            <w:r w:rsidRPr="00935A6C">
              <w:rPr>
                <w:rFonts w:ascii="Arial Narrow" w:hAnsi="Arial Narrow"/>
                <w:b/>
                <w:sz w:val="20"/>
                <w:szCs w:val="20"/>
              </w:rPr>
              <w:t>RFA</w:t>
            </w:r>
          </w:p>
          <w:p w14:paraId="62CAE7F1" w14:textId="17857D32" w:rsidR="0074436F" w:rsidRPr="0014017A" w:rsidRDefault="00CD6C3F" w:rsidP="00E312C7">
            <w:pPr>
              <w:spacing w:before="40" w:after="40" w:line="288" w:lineRule="auto"/>
              <w:rPr>
                <w:rFonts w:ascii="Arial Narrow" w:hAnsi="Arial Narrow"/>
                <w:sz w:val="20"/>
                <w:szCs w:val="20"/>
              </w:rPr>
            </w:pPr>
            <w:r w:rsidRPr="00574E64">
              <w:rPr>
                <w:rFonts w:ascii="Arial Narrow" w:hAnsi="Arial Narrow"/>
                <w:sz w:val="20"/>
                <w:szCs w:val="20"/>
              </w:rPr>
              <w:t>F/U</w:t>
            </w:r>
            <w:r w:rsidR="0074436F" w:rsidRPr="00935A6C">
              <w:rPr>
                <w:rFonts w:ascii="Arial Narrow" w:hAnsi="Arial Narrow"/>
                <w:sz w:val="20"/>
                <w:szCs w:val="20"/>
              </w:rPr>
              <w:t xml:space="preserve"> range 12</w:t>
            </w:r>
            <w:r w:rsidR="00D35E9C">
              <w:rPr>
                <w:rFonts w:ascii="Arial Narrow" w:hAnsi="Arial Narrow"/>
                <w:sz w:val="20"/>
                <w:szCs w:val="20"/>
              </w:rPr>
              <w:t>–</w:t>
            </w:r>
            <w:r w:rsidR="0074436F" w:rsidRPr="00935A6C">
              <w:rPr>
                <w:rFonts w:ascii="Arial Narrow" w:hAnsi="Arial Narrow"/>
                <w:sz w:val="20"/>
                <w:szCs w:val="20"/>
              </w:rPr>
              <w:t>46 months</w:t>
            </w:r>
          </w:p>
        </w:tc>
        <w:tc>
          <w:tcPr>
            <w:tcW w:w="920" w:type="pct"/>
          </w:tcPr>
          <w:p w14:paraId="1D30FE0A" w14:textId="77777777" w:rsidR="0074436F" w:rsidRPr="0014017A" w:rsidRDefault="00C10752" w:rsidP="00E312C7">
            <w:pPr>
              <w:spacing w:before="40" w:after="40" w:line="288" w:lineRule="auto"/>
              <w:jc w:val="left"/>
              <w:rPr>
                <w:rFonts w:ascii="Arial Narrow" w:hAnsi="Arial Narrow" w:cstheme="minorBidi"/>
                <w:sz w:val="20"/>
                <w:szCs w:val="20"/>
              </w:rPr>
            </w:pPr>
            <w:r>
              <w:rPr>
                <w:rFonts w:ascii="Arial Narrow" w:hAnsi="Arial Narrow" w:cstheme="minorBidi"/>
                <w:sz w:val="20"/>
                <w:szCs w:val="20"/>
              </w:rPr>
              <w:t xml:space="preserve">N = </w:t>
            </w:r>
            <w:r w:rsidR="0074436F" w:rsidRPr="00935A6C">
              <w:rPr>
                <w:rFonts w:ascii="Arial Narrow" w:hAnsi="Arial Narrow" w:cstheme="minorBidi"/>
                <w:sz w:val="20"/>
                <w:szCs w:val="20"/>
              </w:rPr>
              <w:t>1497 (sessions)</w:t>
            </w:r>
          </w:p>
          <w:p w14:paraId="7B8E9847"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 xml:space="preserve">1 Level III-3 study  </w:t>
            </w:r>
          </w:p>
          <w:p w14:paraId="2874C30C" w14:textId="77777777"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18 Level IV studies</w:t>
            </w:r>
          </w:p>
          <w:p w14:paraId="226B6287" w14:textId="77777777" w:rsidR="0074436F" w:rsidRPr="0014017A" w:rsidRDefault="0074436F" w:rsidP="00E312C7">
            <w:pPr>
              <w:spacing w:before="40" w:after="40" w:line="288" w:lineRule="auto"/>
              <w:jc w:val="left"/>
              <w:rPr>
                <w:rFonts w:ascii="Arial Narrow" w:hAnsi="Arial Narrow" w:cstheme="minorBidi"/>
                <w:sz w:val="20"/>
                <w:szCs w:val="20"/>
              </w:rPr>
            </w:pPr>
          </w:p>
        </w:tc>
        <w:tc>
          <w:tcPr>
            <w:tcW w:w="1610" w:type="pct"/>
          </w:tcPr>
          <w:p w14:paraId="0CAF8D3E" w14:textId="77777777" w:rsidR="0074436F" w:rsidRPr="0014017A" w:rsidRDefault="00B22CA6" w:rsidP="00E312C7">
            <w:pPr>
              <w:spacing w:before="40" w:after="40" w:line="288" w:lineRule="auto"/>
              <w:jc w:val="left"/>
              <w:rPr>
                <w:rFonts w:ascii="Arial Narrow" w:hAnsi="Arial Narrow" w:cstheme="minorBidi"/>
                <w:sz w:val="20"/>
                <w:szCs w:val="20"/>
                <w:u w:val="single"/>
              </w:rPr>
            </w:pPr>
            <w:r w:rsidRPr="00935A6C">
              <w:rPr>
                <w:rFonts w:ascii="Arial Narrow" w:hAnsi="Arial Narrow" w:cstheme="minorBidi"/>
                <w:sz w:val="20"/>
                <w:szCs w:val="20"/>
                <w:u w:val="single"/>
              </w:rPr>
              <w:t>Per ablation</w:t>
            </w:r>
            <w:r w:rsidR="0074436F" w:rsidRPr="00935A6C">
              <w:rPr>
                <w:rFonts w:ascii="Arial Narrow" w:hAnsi="Arial Narrow" w:cstheme="minorBidi"/>
                <w:sz w:val="20"/>
                <w:szCs w:val="20"/>
                <w:u w:val="single"/>
              </w:rPr>
              <w:t xml:space="preserve"> </w:t>
            </w:r>
          </w:p>
          <w:p w14:paraId="45CA3FD7" w14:textId="3AE75F95"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 xml:space="preserve">335/1497 (22%), median </w:t>
            </w:r>
            <w:r w:rsidRPr="00935A6C">
              <w:rPr>
                <w:rFonts w:ascii="Arial Narrow" w:hAnsi="Arial Narrow"/>
                <w:snapToGrid w:val="0"/>
                <w:color w:val="000000"/>
                <w:sz w:val="20"/>
                <w:szCs w:val="20"/>
              </w:rPr>
              <w:t>9% (2</w:t>
            </w:r>
            <w:r w:rsidR="00D35E9C">
              <w:rPr>
                <w:rFonts w:ascii="Arial Narrow" w:hAnsi="Arial Narrow"/>
                <w:snapToGrid w:val="0"/>
                <w:color w:val="000000"/>
                <w:sz w:val="20"/>
                <w:szCs w:val="20"/>
              </w:rPr>
              <w:t>–</w:t>
            </w:r>
            <w:r w:rsidRPr="00935A6C">
              <w:rPr>
                <w:rFonts w:ascii="Arial Narrow" w:hAnsi="Arial Narrow"/>
                <w:snapToGrid w:val="0"/>
                <w:color w:val="000000"/>
                <w:sz w:val="20"/>
                <w:szCs w:val="20"/>
              </w:rPr>
              <w:t>39%)</w:t>
            </w:r>
          </w:p>
          <w:p w14:paraId="7AFFFD68" w14:textId="77777777" w:rsidR="0074436F" w:rsidRPr="0014017A" w:rsidRDefault="00B22CA6" w:rsidP="00E312C7">
            <w:pPr>
              <w:spacing w:before="40" w:after="40" w:line="288" w:lineRule="auto"/>
              <w:jc w:val="left"/>
              <w:rPr>
                <w:rFonts w:ascii="Arial Narrow" w:hAnsi="Arial Narrow" w:cstheme="minorBidi"/>
                <w:sz w:val="20"/>
                <w:szCs w:val="20"/>
                <w:u w:val="single"/>
              </w:rPr>
            </w:pPr>
            <w:r w:rsidRPr="00935A6C">
              <w:rPr>
                <w:rFonts w:ascii="Arial Narrow" w:hAnsi="Arial Narrow" w:cstheme="minorBidi"/>
                <w:sz w:val="20"/>
                <w:szCs w:val="20"/>
                <w:u w:val="single"/>
              </w:rPr>
              <w:t>Per patient</w:t>
            </w:r>
          </w:p>
          <w:p w14:paraId="49A98AF9" w14:textId="235C95C8" w:rsidR="0074436F" w:rsidRPr="0014017A" w:rsidRDefault="0074436F" w:rsidP="00E312C7">
            <w:pPr>
              <w:spacing w:before="40" w:after="40" w:line="288" w:lineRule="auto"/>
              <w:jc w:val="left"/>
              <w:rPr>
                <w:rFonts w:ascii="Arial Narrow" w:hAnsi="Arial Narrow" w:cstheme="minorBidi"/>
                <w:sz w:val="20"/>
                <w:szCs w:val="20"/>
              </w:rPr>
            </w:pPr>
            <w:r w:rsidRPr="00935A6C">
              <w:rPr>
                <w:rFonts w:ascii="Arial Narrow" w:hAnsi="Arial Narrow" w:cstheme="minorBidi"/>
                <w:sz w:val="20"/>
                <w:szCs w:val="20"/>
              </w:rPr>
              <w:t>29/262 (11%), median 10% (3</w:t>
            </w:r>
            <w:r w:rsidR="00D35E9C">
              <w:rPr>
                <w:rFonts w:ascii="Arial Narrow" w:hAnsi="Arial Narrow" w:cstheme="minorBidi"/>
                <w:sz w:val="20"/>
                <w:szCs w:val="20"/>
              </w:rPr>
              <w:t>–</w:t>
            </w:r>
            <w:r w:rsidRPr="00935A6C">
              <w:rPr>
                <w:rFonts w:ascii="Arial Narrow" w:hAnsi="Arial Narrow" w:cstheme="minorBidi"/>
                <w:sz w:val="20"/>
                <w:szCs w:val="20"/>
              </w:rPr>
              <w:t>24%)</w:t>
            </w:r>
          </w:p>
        </w:tc>
        <w:tc>
          <w:tcPr>
            <w:tcW w:w="954" w:type="pct"/>
          </w:tcPr>
          <w:p w14:paraId="0845469B" w14:textId="77777777" w:rsidR="0074436F" w:rsidRPr="0014017A" w:rsidRDefault="0074436F" w:rsidP="00E312C7">
            <w:pPr>
              <w:spacing w:before="40" w:after="40" w:line="288" w:lineRule="auto"/>
              <w:rPr>
                <w:rFonts w:ascii="Arial Narrow" w:hAnsi="Arial Narrow" w:cstheme="minorBidi"/>
                <w:color w:val="00B050"/>
                <w:sz w:val="20"/>
                <w:szCs w:val="20"/>
                <w:vertAlign w:val="superscript"/>
              </w:rPr>
            </w:pPr>
            <w:r w:rsidRPr="00935A6C">
              <w:rPr>
                <w:rFonts w:ascii="Cambria Math" w:hAnsi="Cambria Math" w:cs="Cambria Math"/>
                <w:color w:val="00B050"/>
                <w:sz w:val="20"/>
                <w:szCs w:val="20"/>
              </w:rPr>
              <w:t>⨁</w:t>
            </w:r>
            <w:r w:rsidRPr="00935A6C">
              <w:rPr>
                <w:rFonts w:ascii="Cambria Math" w:hAnsi="Cambria Math" w:cs="Cambria Math"/>
                <w:color w:val="C00000"/>
                <w:sz w:val="20"/>
                <w:szCs w:val="20"/>
              </w:rPr>
              <w:t>⨀⨀⨀</w:t>
            </w:r>
            <w:r w:rsidRPr="00935A6C">
              <w:rPr>
                <w:rFonts w:ascii="Arial Narrow" w:hAnsi="Arial Narrow" w:cstheme="minorBidi"/>
                <w:sz w:val="20"/>
                <w:szCs w:val="20"/>
              </w:rPr>
              <w:br/>
              <w:t>VERY LOW</w:t>
            </w:r>
          </w:p>
        </w:tc>
      </w:tr>
    </w:tbl>
    <w:p w14:paraId="295E20DB" w14:textId="77777777" w:rsidR="00EC02DA" w:rsidRPr="0014017A" w:rsidRDefault="00EC02DA" w:rsidP="00EC02DA">
      <w:pPr>
        <w:pStyle w:val="Tablenotes0"/>
        <w:spacing w:before="120"/>
      </w:pPr>
      <w:r>
        <w:t xml:space="preserve">&lt; </w:t>
      </w:r>
      <w:r w:rsidRPr="0014017A">
        <w:t xml:space="preserve">F/U = follow-up; NA = </w:t>
      </w:r>
      <w:r>
        <w:t>not applicable &gt;</w:t>
      </w:r>
    </w:p>
    <w:p w14:paraId="1B1F49AD" w14:textId="336ACBCE" w:rsidR="0074436F" w:rsidRDefault="0074436F" w:rsidP="007362DD">
      <w:pPr>
        <w:pStyle w:val="Tablenotes0"/>
        <w:rPr>
          <w:rFonts w:eastAsiaTheme="minorEastAsia"/>
          <w:szCs w:val="18"/>
        </w:rPr>
      </w:pPr>
      <w:r w:rsidRPr="0014017A">
        <w:t>GRADE Working Group grades of evidence (Guyatt et al., 2013)</w:t>
      </w:r>
      <w:r w:rsidR="00C457D1">
        <w:t>.</w:t>
      </w:r>
      <w:r w:rsidRPr="00FC5A38">
        <w:rPr>
          <w:rFonts w:eastAsiaTheme="minorEastAsia"/>
          <w:szCs w:val="18"/>
        </w:rPr>
        <w:br/>
      </w:r>
      <w:r w:rsidRPr="00FC5A38">
        <w:rPr>
          <w:rFonts w:ascii="Cambria Math" w:eastAsiaTheme="minorEastAsia" w:hAnsi="Cambria Math" w:cstheme="minorBidi"/>
          <w:color w:val="00B050"/>
        </w:rPr>
        <w:t>⨁</w:t>
      </w:r>
      <w:r w:rsidRPr="00FC5A38">
        <w:rPr>
          <w:rFonts w:ascii="Cambria Math" w:eastAsiaTheme="minorEastAsia" w:hAnsi="Cambria Math" w:cs="Cambria Math"/>
          <w:color w:val="C00000"/>
        </w:rPr>
        <w:t xml:space="preserve">⨀⨀⨀ </w:t>
      </w:r>
      <w:r w:rsidRPr="00CB3BFC">
        <w:rPr>
          <w:rFonts w:eastAsiaTheme="minorEastAsia"/>
          <w:b/>
          <w:bCs/>
          <w:szCs w:val="18"/>
        </w:rPr>
        <w:t>Very low quality</w:t>
      </w:r>
      <w:r w:rsidRPr="00FC5A38">
        <w:rPr>
          <w:rFonts w:eastAsiaTheme="minorEastAsia"/>
          <w:bCs/>
          <w:szCs w:val="18"/>
        </w:rPr>
        <w:t>:</w:t>
      </w:r>
      <w:r w:rsidRPr="00FC5A38">
        <w:rPr>
          <w:rFonts w:eastAsiaTheme="minorEastAsia"/>
          <w:szCs w:val="18"/>
        </w:rPr>
        <w:t xml:space="preserve"> We have very little confidence in the effect estimate: The true effect is likely to be substantially different from the estimate of effect</w:t>
      </w:r>
    </w:p>
    <w:p w14:paraId="1A5A3CB4" w14:textId="77777777" w:rsidR="0074436F" w:rsidRPr="00E26B85" w:rsidRDefault="0074436F" w:rsidP="009970F5">
      <w:pPr>
        <w:pStyle w:val="Tablenotes0"/>
        <w:numPr>
          <w:ilvl w:val="0"/>
          <w:numId w:val="74"/>
        </w:numPr>
        <w:ind w:left="284" w:hanging="284"/>
      </w:pPr>
      <w:r w:rsidRPr="00E26B85">
        <w:t>One death was delayed (occurring eight months after the procedure)</w:t>
      </w:r>
      <w:r w:rsidR="00700668">
        <w:t>.</w:t>
      </w:r>
    </w:p>
    <w:p w14:paraId="12D78A7A" w14:textId="77777777" w:rsidR="0074436F" w:rsidRPr="00E26B85" w:rsidRDefault="0074436F" w:rsidP="009970F5">
      <w:pPr>
        <w:pStyle w:val="Tablenotes0"/>
        <w:numPr>
          <w:ilvl w:val="0"/>
          <w:numId w:val="74"/>
        </w:numPr>
        <w:ind w:left="284" w:hanging="284"/>
      </w:pPr>
      <w:r w:rsidRPr="00E26B85">
        <w:t xml:space="preserve">Videtic et al (2015) reported </w:t>
      </w:r>
      <w:r>
        <w:t>one</w:t>
      </w:r>
      <w:r w:rsidRPr="00E26B85">
        <w:t xml:space="preserve"> death 319 days after the procedure due to respiratory failure.  </w:t>
      </w:r>
      <w:r>
        <w:t xml:space="preserve">Oh et al (2012) reported one death </w:t>
      </w:r>
      <w:r w:rsidRPr="00E26B85">
        <w:t>from respiratory failure five months after receiving SBRT.</w:t>
      </w:r>
    </w:p>
    <w:p w14:paraId="71E82FED" w14:textId="77777777" w:rsidR="00E91BE1" w:rsidRPr="00183E4D" w:rsidRDefault="008C7152" w:rsidP="003F6C66">
      <w:pPr>
        <w:pStyle w:val="Heading4"/>
      </w:pPr>
      <w:r w:rsidRPr="00183E4D">
        <w:t xml:space="preserve">Effectiveness </w:t>
      </w:r>
    </w:p>
    <w:p w14:paraId="1B382415" w14:textId="77777777" w:rsidR="000D5714" w:rsidRDefault="00402D62" w:rsidP="000D5714">
      <w:r w:rsidRPr="00402D62">
        <w:t xml:space="preserve">No comparative studies were identified to inform </w:t>
      </w:r>
      <w:r>
        <w:t>an assessment of comparative effectiveness</w:t>
      </w:r>
      <w:r w:rsidR="00044C80">
        <w:t xml:space="preserve"> of MTA</w:t>
      </w:r>
      <w:r>
        <w:t xml:space="preserve">. </w:t>
      </w:r>
      <w:r w:rsidR="000D5714">
        <w:t xml:space="preserve">The evidence for both the intervention and its comparators is largely characterised by Level IV evidence with variable outcome measures and incomplete reporting. The claim of non-inferiority for the comparative effectiveness of MTA as compared to current best practice radiotherapy, surgery or RFA remains untested by published evidence. For a more complete discussion of the contextual interpretation of the evidence, see Section B.8. </w:t>
      </w:r>
    </w:p>
    <w:p w14:paraId="73838D7B" w14:textId="74877DB8" w:rsidR="004820B3" w:rsidRDefault="004820B3" w:rsidP="00935A6C">
      <w:r>
        <w:t>The tables below (</w:t>
      </w:r>
      <w:r w:rsidR="008317CB">
        <w:fldChar w:fldCharType="begin"/>
      </w:r>
      <w:r w:rsidR="008317CB">
        <w:instrText xml:space="preserve"> REF _Ref460516381 \h </w:instrText>
      </w:r>
      <w:r w:rsidR="008317CB">
        <w:fldChar w:fldCharType="separate"/>
      </w:r>
      <w:r w:rsidR="008317CB">
        <w:t xml:space="preserve">Table </w:t>
      </w:r>
      <w:r w:rsidR="008317CB">
        <w:rPr>
          <w:noProof/>
        </w:rPr>
        <w:t>5</w:t>
      </w:r>
      <w:r w:rsidR="008317CB">
        <w:fldChar w:fldCharType="end"/>
      </w:r>
      <w:r>
        <w:t xml:space="preserve">, </w:t>
      </w:r>
      <w:r>
        <w:fldChar w:fldCharType="begin"/>
      </w:r>
      <w:r>
        <w:instrText xml:space="preserve"> REF _Ref457465378 \h </w:instrText>
      </w:r>
      <w:r w:rsidR="00935A6C">
        <w:instrText xml:space="preserve"> \* MERGEFORMAT </w:instrText>
      </w:r>
      <w:r>
        <w:fldChar w:fldCharType="separate"/>
      </w:r>
      <w:r w:rsidR="00D170A5">
        <w:t>Table 6</w:t>
      </w:r>
      <w:r>
        <w:fldChar w:fldCharType="end"/>
      </w:r>
      <w:r>
        <w:t>, and</w:t>
      </w:r>
      <w:r w:rsidR="00935A6C">
        <w:t xml:space="preserve"> </w:t>
      </w:r>
      <w:r w:rsidR="00935A6C">
        <w:fldChar w:fldCharType="begin"/>
      </w:r>
      <w:r w:rsidR="00935A6C">
        <w:instrText xml:space="preserve"> REF _Ref459709948 \h </w:instrText>
      </w:r>
      <w:r w:rsidR="00935A6C">
        <w:fldChar w:fldCharType="separate"/>
      </w:r>
      <w:r w:rsidR="00D170A5">
        <w:t xml:space="preserve">Table </w:t>
      </w:r>
      <w:r w:rsidR="00D170A5">
        <w:rPr>
          <w:noProof/>
        </w:rPr>
        <w:t>7</w:t>
      </w:r>
      <w:r w:rsidR="00935A6C">
        <w:fldChar w:fldCharType="end"/>
      </w:r>
      <w:r>
        <w:t xml:space="preserve">) provide a summary of findings for selected outcomes that were reported across multiple comparators. Other effectiveness outcomes are </w:t>
      </w:r>
      <w:r w:rsidR="00044C80">
        <w:t>reported</w:t>
      </w:r>
      <w:r>
        <w:t xml:space="preserve"> in Section B.6.</w:t>
      </w:r>
      <w:r w:rsidR="00BA74A0" w:rsidRPr="00BA74A0">
        <w:t xml:space="preserve"> </w:t>
      </w:r>
      <w:r w:rsidR="00BA74A0">
        <w:t>It is important to note that information for comparators should not be directly compared with MTA</w:t>
      </w:r>
      <w:r w:rsidR="00D41543">
        <w:t>,</w:t>
      </w:r>
      <w:r w:rsidR="00BA74A0">
        <w:t xml:space="preserve"> as data in tables is drawn largely from case series studies.</w:t>
      </w:r>
    </w:p>
    <w:p w14:paraId="54D05663" w14:textId="77777777" w:rsidR="00047EFA" w:rsidRDefault="00047EFA" w:rsidP="00B41C8D">
      <w:pPr>
        <w:pStyle w:val="Caption"/>
        <w:keepNext/>
      </w:pPr>
      <w:bookmarkStart w:id="82" w:name="_Ref457465376"/>
      <w:bookmarkStart w:id="83" w:name="_Ref457465371"/>
      <w:r>
        <w:br w:type="page"/>
      </w:r>
    </w:p>
    <w:p w14:paraId="244501BB" w14:textId="65A70DFB" w:rsidR="00B41C8D" w:rsidRDefault="00B41C8D" w:rsidP="00B41C8D">
      <w:pPr>
        <w:pStyle w:val="Caption"/>
        <w:keepNext/>
      </w:pPr>
      <w:bookmarkStart w:id="84" w:name="_Ref460516381"/>
      <w:bookmarkStart w:id="85" w:name="_Toc460514663"/>
      <w:r>
        <w:lastRenderedPageBreak/>
        <w:t xml:space="preserve">Table </w:t>
      </w:r>
      <w:fldSimple w:instr=" SEQ Table \* ARABIC ">
        <w:r w:rsidR="00D170A5">
          <w:rPr>
            <w:noProof/>
          </w:rPr>
          <w:t>5</w:t>
        </w:r>
      </w:fldSimple>
      <w:bookmarkEnd w:id="82"/>
      <w:bookmarkEnd w:id="84"/>
      <w:r w:rsidR="00113E77">
        <w:rPr>
          <w:noProof/>
        </w:rPr>
        <w:tab/>
      </w:r>
      <w:r>
        <w:tab/>
        <w:t>Effectiveness outcomes relevant to population one</w:t>
      </w:r>
      <w:bookmarkEnd w:id="83"/>
      <w:bookmarkEnd w:id="85"/>
    </w:p>
    <w:tbl>
      <w:tblPr>
        <w:tblStyle w:val="TableGrid8"/>
        <w:tblW w:w="5000" w:type="pct"/>
        <w:tblLook w:val="04A0" w:firstRow="1" w:lastRow="0" w:firstColumn="1" w:lastColumn="0" w:noHBand="0" w:noVBand="1"/>
        <w:tblCaption w:val="Table 10"/>
        <w:tblDescription w:val="Effectiveness outcomes"/>
      </w:tblPr>
      <w:tblGrid>
        <w:gridCol w:w="2236"/>
        <w:gridCol w:w="1595"/>
        <w:gridCol w:w="3649"/>
        <w:gridCol w:w="1762"/>
      </w:tblGrid>
      <w:tr w:rsidR="0081600C" w:rsidRPr="001C1D01" w14:paraId="0BC60C7E" w14:textId="77777777" w:rsidTr="00601F13">
        <w:trPr>
          <w:cantSplit/>
          <w:tblHeader/>
        </w:trPr>
        <w:tc>
          <w:tcPr>
            <w:tcW w:w="1210" w:type="pct"/>
            <w:tcBorders>
              <w:bottom w:val="single" w:sz="4" w:space="0" w:color="auto"/>
            </w:tcBorders>
            <w:shd w:val="clear" w:color="auto" w:fill="D9D9D9" w:themeFill="background1" w:themeFillShade="D9"/>
            <w:vAlign w:val="bottom"/>
          </w:tcPr>
          <w:p w14:paraId="06602D6B" w14:textId="77777777" w:rsidR="0081600C" w:rsidRPr="003C0A9E" w:rsidRDefault="0081600C" w:rsidP="001A0D9F">
            <w:pPr>
              <w:pStyle w:val="Tabletext1"/>
              <w:rPr>
                <w:b/>
              </w:rPr>
            </w:pPr>
            <w:r w:rsidRPr="003C0A9E">
              <w:rPr>
                <w:b/>
              </w:rPr>
              <w:t>Outcome and intervention/comparator</w:t>
            </w:r>
          </w:p>
        </w:tc>
        <w:tc>
          <w:tcPr>
            <w:tcW w:w="863" w:type="pct"/>
            <w:tcBorders>
              <w:bottom w:val="single" w:sz="4" w:space="0" w:color="auto"/>
            </w:tcBorders>
            <w:shd w:val="clear" w:color="auto" w:fill="D9D9D9" w:themeFill="background1" w:themeFillShade="D9"/>
            <w:vAlign w:val="bottom"/>
          </w:tcPr>
          <w:p w14:paraId="32BB041D" w14:textId="77777777" w:rsidR="0081600C" w:rsidRPr="003C0A9E" w:rsidRDefault="0081600C" w:rsidP="001A0D9F">
            <w:pPr>
              <w:pStyle w:val="Tabletext1"/>
              <w:rPr>
                <w:b/>
              </w:rPr>
            </w:pPr>
            <w:r w:rsidRPr="003C0A9E">
              <w:rPr>
                <w:b/>
              </w:rPr>
              <w:t>№ of studies</w:t>
            </w:r>
          </w:p>
          <w:p w14:paraId="4B99A6C0" w14:textId="77777777" w:rsidR="00E713C7" w:rsidRPr="003C0A9E" w:rsidRDefault="00E713C7" w:rsidP="001A0D9F">
            <w:pPr>
              <w:pStyle w:val="Tabletext1"/>
              <w:rPr>
                <w:b/>
              </w:rPr>
            </w:pPr>
            <w:r w:rsidRPr="003C0A9E">
              <w:rPr>
                <w:b/>
              </w:rPr>
              <w:t>Level of evidence</w:t>
            </w:r>
          </w:p>
        </w:tc>
        <w:tc>
          <w:tcPr>
            <w:tcW w:w="1974" w:type="pct"/>
            <w:tcBorders>
              <w:bottom w:val="single" w:sz="4" w:space="0" w:color="auto"/>
            </w:tcBorders>
            <w:shd w:val="clear" w:color="auto" w:fill="D9D9D9" w:themeFill="background1" w:themeFillShade="D9"/>
            <w:vAlign w:val="bottom"/>
          </w:tcPr>
          <w:p w14:paraId="609EE1E6" w14:textId="77777777" w:rsidR="0081600C" w:rsidRPr="003C0A9E" w:rsidRDefault="0081600C" w:rsidP="001A0D9F">
            <w:pPr>
              <w:pStyle w:val="Tabletext1"/>
              <w:rPr>
                <w:rFonts w:cstheme="minorBidi"/>
                <w:b/>
              </w:rPr>
            </w:pPr>
            <w:r w:rsidRPr="003C0A9E">
              <w:rPr>
                <w:rFonts w:cstheme="minorBidi"/>
                <w:b/>
              </w:rPr>
              <w:t>Summary</w:t>
            </w:r>
          </w:p>
        </w:tc>
        <w:tc>
          <w:tcPr>
            <w:tcW w:w="953" w:type="pct"/>
            <w:tcBorders>
              <w:bottom w:val="single" w:sz="4" w:space="0" w:color="auto"/>
            </w:tcBorders>
            <w:shd w:val="clear" w:color="auto" w:fill="D9D9D9" w:themeFill="background1" w:themeFillShade="D9"/>
            <w:vAlign w:val="bottom"/>
          </w:tcPr>
          <w:p w14:paraId="4A4D1FB4" w14:textId="77777777" w:rsidR="0081600C" w:rsidRPr="003C0A9E" w:rsidRDefault="0081600C" w:rsidP="001A0D9F">
            <w:pPr>
              <w:pStyle w:val="Tabletext1"/>
              <w:rPr>
                <w:b/>
              </w:rPr>
            </w:pPr>
            <w:r w:rsidRPr="003C0A9E">
              <w:rPr>
                <w:b/>
              </w:rPr>
              <w:t>Quality of the evidence (GRADE)</w:t>
            </w:r>
          </w:p>
        </w:tc>
      </w:tr>
      <w:tr w:rsidR="0081600C" w:rsidRPr="001C1D01" w14:paraId="0F3DE3CB" w14:textId="77777777" w:rsidTr="00601F13">
        <w:trPr>
          <w:cantSplit/>
        </w:trPr>
        <w:tc>
          <w:tcPr>
            <w:tcW w:w="1210" w:type="pct"/>
            <w:tcBorders>
              <w:right w:val="nil"/>
            </w:tcBorders>
            <w:shd w:val="clear" w:color="auto" w:fill="D9D9D9" w:themeFill="background1" w:themeFillShade="D9"/>
          </w:tcPr>
          <w:p w14:paraId="47D9F7EB" w14:textId="77777777" w:rsidR="0081600C" w:rsidRPr="003C0A9E" w:rsidRDefault="0081600C" w:rsidP="001A0D9F">
            <w:pPr>
              <w:pStyle w:val="Tabletext1"/>
              <w:rPr>
                <w:rFonts w:cstheme="minorBidi"/>
                <w:b/>
              </w:rPr>
            </w:pPr>
            <w:r w:rsidRPr="003C0A9E">
              <w:rPr>
                <w:rFonts w:cstheme="minorBidi"/>
                <w:b/>
              </w:rPr>
              <w:t>Overall survival rate</w:t>
            </w:r>
          </w:p>
        </w:tc>
        <w:tc>
          <w:tcPr>
            <w:tcW w:w="863" w:type="pct"/>
            <w:tcBorders>
              <w:left w:val="nil"/>
              <w:right w:val="nil"/>
            </w:tcBorders>
            <w:shd w:val="clear" w:color="auto" w:fill="D9D9D9" w:themeFill="background1" w:themeFillShade="D9"/>
          </w:tcPr>
          <w:p w14:paraId="1008CA6A" w14:textId="77777777" w:rsidR="0081600C" w:rsidRPr="001C1D01" w:rsidRDefault="0081600C" w:rsidP="001A0D9F">
            <w:pPr>
              <w:pStyle w:val="Tabletext1"/>
              <w:rPr>
                <w:rFonts w:cstheme="minorBidi"/>
              </w:rPr>
            </w:pPr>
          </w:p>
        </w:tc>
        <w:tc>
          <w:tcPr>
            <w:tcW w:w="1974" w:type="pct"/>
            <w:tcBorders>
              <w:left w:val="nil"/>
              <w:right w:val="nil"/>
            </w:tcBorders>
            <w:shd w:val="clear" w:color="auto" w:fill="D9D9D9" w:themeFill="background1" w:themeFillShade="D9"/>
          </w:tcPr>
          <w:p w14:paraId="3C4A0865" w14:textId="77777777" w:rsidR="0081600C" w:rsidRPr="00FC06D9" w:rsidRDefault="0081600C" w:rsidP="001A0D9F">
            <w:pPr>
              <w:pStyle w:val="Tabletext1"/>
              <w:rPr>
                <w:rFonts w:cstheme="minorBidi"/>
                <w:u w:val="single"/>
              </w:rPr>
            </w:pPr>
          </w:p>
        </w:tc>
        <w:tc>
          <w:tcPr>
            <w:tcW w:w="953" w:type="pct"/>
            <w:tcBorders>
              <w:left w:val="nil"/>
            </w:tcBorders>
            <w:shd w:val="clear" w:color="auto" w:fill="D9D9D9" w:themeFill="background1" w:themeFillShade="D9"/>
          </w:tcPr>
          <w:p w14:paraId="7F30D3E5" w14:textId="77777777" w:rsidR="0081600C" w:rsidRPr="00FC06D9" w:rsidRDefault="0081600C" w:rsidP="001A0D9F">
            <w:pPr>
              <w:pStyle w:val="Tabletext1"/>
              <w:rPr>
                <w:rFonts w:cs="Cambria Math"/>
              </w:rPr>
            </w:pPr>
          </w:p>
        </w:tc>
      </w:tr>
      <w:tr w:rsidR="0081600C" w:rsidRPr="001C1D01" w14:paraId="02A56E94" w14:textId="77777777" w:rsidTr="00601F13">
        <w:trPr>
          <w:cantSplit/>
        </w:trPr>
        <w:tc>
          <w:tcPr>
            <w:tcW w:w="1210" w:type="pct"/>
          </w:tcPr>
          <w:p w14:paraId="54588FED" w14:textId="77777777" w:rsidR="0081600C" w:rsidRPr="001C1D01" w:rsidRDefault="0081600C" w:rsidP="001A0D9F">
            <w:pPr>
              <w:pStyle w:val="Tabletext1"/>
              <w:rPr>
                <w:rFonts w:cstheme="minorBidi"/>
              </w:rPr>
            </w:pPr>
            <w:r w:rsidRPr="001C1D01">
              <w:rPr>
                <w:rFonts w:cstheme="minorBidi"/>
              </w:rPr>
              <w:t>MTA</w:t>
            </w:r>
          </w:p>
          <w:p w14:paraId="6496653E" w14:textId="77777777" w:rsidR="0081600C" w:rsidRPr="001C1D01" w:rsidRDefault="0081600C" w:rsidP="001A0D9F">
            <w:pPr>
              <w:pStyle w:val="Tabletext1"/>
              <w:rPr>
                <w:rFonts w:cstheme="minorBidi"/>
              </w:rPr>
            </w:pPr>
            <w:r w:rsidRPr="001C1D01">
              <w:rPr>
                <w:rFonts w:cstheme="minorBidi"/>
              </w:rPr>
              <w:t>Assessed with: Kaplan-Meier estimate (95% CI not reported)</w:t>
            </w:r>
          </w:p>
          <w:p w14:paraId="78B6D5CF" w14:textId="77777777" w:rsidR="0081600C" w:rsidRPr="00FC06D9" w:rsidRDefault="00624EFA" w:rsidP="001A0D9F">
            <w:pPr>
              <w:pStyle w:val="Tabletext1"/>
              <w:rPr>
                <w:rFonts w:cstheme="minorBidi"/>
              </w:rPr>
            </w:pPr>
            <w:r w:rsidRPr="001C1D01">
              <w:rPr>
                <w:rFonts w:cstheme="minorBidi"/>
              </w:rPr>
              <w:t>F/U</w:t>
            </w:r>
            <w:r w:rsidRPr="00FC06D9">
              <w:rPr>
                <w:rFonts w:cstheme="minorBidi"/>
              </w:rPr>
              <w:t xml:space="preserve"> range </w:t>
            </w:r>
            <w:r w:rsidR="0081600C" w:rsidRPr="00FC06D9">
              <w:rPr>
                <w:rFonts w:cstheme="minorBidi"/>
              </w:rPr>
              <w:t>2</w:t>
            </w:r>
            <w:r w:rsidRPr="00FC06D9">
              <w:rPr>
                <w:rFonts w:cstheme="minorBidi"/>
              </w:rPr>
              <w:t>3</w:t>
            </w:r>
            <w:r w:rsidR="0081600C" w:rsidRPr="00FC06D9">
              <w:rPr>
                <w:rFonts w:cstheme="minorBidi"/>
              </w:rPr>
              <w:t xml:space="preserve"> to 30 months</w:t>
            </w:r>
          </w:p>
        </w:tc>
        <w:tc>
          <w:tcPr>
            <w:tcW w:w="863" w:type="pct"/>
          </w:tcPr>
          <w:p w14:paraId="193561AF" w14:textId="77777777" w:rsidR="0081600C" w:rsidRPr="001D54EF" w:rsidRDefault="0081600C" w:rsidP="001A0D9F">
            <w:pPr>
              <w:pStyle w:val="Tabletext1"/>
              <w:rPr>
                <w:rFonts w:cstheme="minorBidi"/>
              </w:rPr>
            </w:pPr>
            <w:r w:rsidRPr="001D54EF">
              <w:rPr>
                <w:rFonts w:cstheme="minorBidi"/>
              </w:rPr>
              <w:t xml:space="preserve">2 Level IV studies </w:t>
            </w:r>
          </w:p>
        </w:tc>
        <w:tc>
          <w:tcPr>
            <w:tcW w:w="1974" w:type="pct"/>
          </w:tcPr>
          <w:p w14:paraId="2FF1373D" w14:textId="77777777" w:rsidR="00B56B6C" w:rsidRPr="001D54EF" w:rsidRDefault="00B56B6C" w:rsidP="001A0D9F">
            <w:pPr>
              <w:pStyle w:val="Tabletext1"/>
              <w:rPr>
                <w:rFonts w:cstheme="minorBidi"/>
                <w:u w:val="single"/>
              </w:rPr>
            </w:pPr>
            <w:r w:rsidRPr="001D54EF">
              <w:rPr>
                <w:rFonts w:cstheme="minorBidi"/>
                <w:u w:val="single"/>
              </w:rPr>
              <w:t>Han et al (2015)</w:t>
            </w:r>
          </w:p>
          <w:p w14:paraId="53E0EFA2" w14:textId="77777777" w:rsidR="0081600C" w:rsidRPr="00351105" w:rsidRDefault="0081600C" w:rsidP="001A0D9F">
            <w:pPr>
              <w:pStyle w:val="Tabletext1"/>
              <w:rPr>
                <w:rFonts w:cstheme="minorBidi"/>
              </w:rPr>
            </w:pPr>
            <w:r w:rsidRPr="00351105">
              <w:rPr>
                <w:rFonts w:cstheme="minorBidi"/>
              </w:rPr>
              <w:t xml:space="preserve">1-year 91.7%, 2-year 76.5%, 3-year 47.9% and 4-year 47.9% </w:t>
            </w:r>
          </w:p>
          <w:p w14:paraId="7755F6D6" w14:textId="77777777" w:rsidR="00B56B6C" w:rsidRPr="00935A6C" w:rsidRDefault="0081600C" w:rsidP="001A0D9F">
            <w:pPr>
              <w:pStyle w:val="Tabletext1"/>
              <w:rPr>
                <w:rFonts w:cstheme="minorBidi"/>
              </w:rPr>
            </w:pPr>
            <w:r w:rsidRPr="00935A6C">
              <w:rPr>
                <w:rFonts w:cstheme="minorBidi"/>
                <w:u w:val="single"/>
              </w:rPr>
              <w:t>Y</w:t>
            </w:r>
            <w:r w:rsidR="00B56B6C" w:rsidRPr="00935A6C">
              <w:rPr>
                <w:rFonts w:cstheme="minorBidi"/>
                <w:u w:val="single"/>
              </w:rPr>
              <w:t>ang et al (2015)</w:t>
            </w:r>
            <w:r w:rsidR="00635D36" w:rsidRPr="00935A6C">
              <w:rPr>
                <w:rFonts w:cstheme="minorBidi"/>
              </w:rPr>
              <w:t xml:space="preserve"> </w:t>
            </w:r>
            <w:r w:rsidR="00635D36" w:rsidRPr="00935A6C">
              <w:rPr>
                <w:rFonts w:cstheme="minorBidi"/>
                <w:vertAlign w:val="superscript"/>
              </w:rPr>
              <w:t>2</w:t>
            </w:r>
          </w:p>
          <w:p w14:paraId="37EB598B" w14:textId="77777777" w:rsidR="0081600C" w:rsidRPr="00935A6C" w:rsidRDefault="0081600C" w:rsidP="001A0D9F">
            <w:pPr>
              <w:pStyle w:val="Tabletext1"/>
              <w:rPr>
                <w:rFonts w:cstheme="minorBidi"/>
              </w:rPr>
            </w:pPr>
            <w:r w:rsidRPr="00935A6C">
              <w:rPr>
                <w:rFonts w:cstheme="minorBidi"/>
              </w:rPr>
              <w:t xml:space="preserve">1-year 89%, 2-year 63%, 3-year 43%, and 5-year 16% </w:t>
            </w:r>
          </w:p>
        </w:tc>
        <w:tc>
          <w:tcPr>
            <w:tcW w:w="953" w:type="pct"/>
          </w:tcPr>
          <w:p w14:paraId="5AD6EF41" w14:textId="77777777" w:rsidR="0081600C" w:rsidRPr="0014017A" w:rsidRDefault="0081600C" w:rsidP="001A0D9F">
            <w:pPr>
              <w:pStyle w:val="Tabletext1"/>
              <w:rPr>
                <w:rFonts w:cstheme="minorBidi"/>
              </w:rPr>
            </w:pPr>
            <w:r w:rsidRPr="00574E64">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r w:rsidR="006D6581" w:rsidRPr="001C1D01">
              <w:rPr>
                <w:rFonts w:cstheme="minorBidi"/>
              </w:rPr>
              <w:t xml:space="preserve"> </w:t>
            </w:r>
            <w:r w:rsidR="006D6581" w:rsidRPr="001C1D01">
              <w:rPr>
                <w:rFonts w:cstheme="minorBidi"/>
                <w:vertAlign w:val="superscript"/>
              </w:rPr>
              <w:t>1</w:t>
            </w:r>
          </w:p>
        </w:tc>
      </w:tr>
      <w:tr w:rsidR="0081600C" w:rsidRPr="001C1D01" w14:paraId="04402377" w14:textId="77777777" w:rsidTr="00601F13">
        <w:trPr>
          <w:cantSplit/>
        </w:trPr>
        <w:tc>
          <w:tcPr>
            <w:tcW w:w="1210" w:type="pct"/>
          </w:tcPr>
          <w:p w14:paraId="1F8FCEB4" w14:textId="77777777" w:rsidR="0081600C" w:rsidRPr="001C1D01" w:rsidRDefault="0081600C" w:rsidP="001A0D9F">
            <w:pPr>
              <w:pStyle w:val="Tabletext1"/>
              <w:rPr>
                <w:rFonts w:cstheme="minorBidi"/>
              </w:rPr>
            </w:pPr>
            <w:r w:rsidRPr="001C1D01">
              <w:rPr>
                <w:rFonts w:cstheme="minorBidi"/>
              </w:rPr>
              <w:t>RFA</w:t>
            </w:r>
          </w:p>
          <w:p w14:paraId="6AF985F0" w14:textId="77777777" w:rsidR="0081600C" w:rsidRPr="001C1D01" w:rsidRDefault="0081600C" w:rsidP="001A0D9F">
            <w:pPr>
              <w:pStyle w:val="Tabletext1"/>
              <w:rPr>
                <w:rFonts w:cstheme="minorBidi"/>
              </w:rPr>
            </w:pPr>
            <w:r w:rsidRPr="001C1D01">
              <w:rPr>
                <w:rFonts w:cstheme="minorBidi"/>
              </w:rPr>
              <w:t>Assessed with: Kaplan-Meier estimate (95%CI not reported)</w:t>
            </w:r>
          </w:p>
          <w:p w14:paraId="01944206" w14:textId="77777777" w:rsidR="0081600C" w:rsidRPr="00FC06D9" w:rsidRDefault="00624EFA" w:rsidP="001A0D9F">
            <w:pPr>
              <w:pStyle w:val="Tabletext1"/>
              <w:rPr>
                <w:rFonts w:cstheme="minorBidi"/>
              </w:rPr>
            </w:pPr>
            <w:r w:rsidRPr="001C1D01">
              <w:rPr>
                <w:rFonts w:cstheme="minorBidi"/>
              </w:rPr>
              <w:t>F/U</w:t>
            </w:r>
            <w:r w:rsidRPr="00FC06D9">
              <w:rPr>
                <w:rFonts w:cstheme="minorBidi"/>
              </w:rPr>
              <w:t xml:space="preserve"> range </w:t>
            </w:r>
            <w:r w:rsidR="0081600C" w:rsidRPr="00FC06D9">
              <w:rPr>
                <w:rFonts w:cstheme="minorBidi"/>
              </w:rPr>
              <w:t>19 to 46 months</w:t>
            </w:r>
          </w:p>
        </w:tc>
        <w:tc>
          <w:tcPr>
            <w:tcW w:w="863" w:type="pct"/>
          </w:tcPr>
          <w:p w14:paraId="2FB5A125" w14:textId="77777777" w:rsidR="0081600C" w:rsidRPr="00FC06D9" w:rsidRDefault="0081600C" w:rsidP="001A0D9F">
            <w:pPr>
              <w:pStyle w:val="Tabletext1"/>
              <w:rPr>
                <w:rFonts w:cstheme="minorBidi"/>
              </w:rPr>
            </w:pPr>
            <w:r w:rsidRPr="00FC06D9">
              <w:rPr>
                <w:rFonts w:cstheme="minorBidi"/>
              </w:rPr>
              <w:t xml:space="preserve">1 Level III-3 study </w:t>
            </w:r>
          </w:p>
          <w:p w14:paraId="65F3CE6C" w14:textId="77777777" w:rsidR="0081600C" w:rsidRPr="00FC06D9" w:rsidRDefault="0081600C" w:rsidP="001A0D9F">
            <w:pPr>
              <w:pStyle w:val="Tabletext1"/>
              <w:rPr>
                <w:rFonts w:cstheme="minorBidi"/>
              </w:rPr>
            </w:pPr>
            <w:r w:rsidRPr="00FC06D9">
              <w:rPr>
                <w:rFonts w:cstheme="minorBidi"/>
              </w:rPr>
              <w:t>7 Level IV studies</w:t>
            </w:r>
          </w:p>
          <w:p w14:paraId="5543039A" w14:textId="77777777" w:rsidR="0081600C" w:rsidRPr="001D54EF" w:rsidRDefault="0081600C" w:rsidP="001A0D9F">
            <w:pPr>
              <w:pStyle w:val="Tabletext1"/>
              <w:rPr>
                <w:rFonts w:cstheme="minorBidi"/>
              </w:rPr>
            </w:pPr>
          </w:p>
        </w:tc>
        <w:tc>
          <w:tcPr>
            <w:tcW w:w="1974" w:type="pct"/>
          </w:tcPr>
          <w:p w14:paraId="06EDFE92" w14:textId="77777777" w:rsidR="0081600C" w:rsidRPr="00351105" w:rsidRDefault="0081600C" w:rsidP="001A0D9F">
            <w:pPr>
              <w:pStyle w:val="Tabletext1"/>
              <w:rPr>
                <w:rFonts w:cstheme="minorBidi"/>
                <w:u w:val="single"/>
              </w:rPr>
            </w:pPr>
            <w:r w:rsidRPr="00351105">
              <w:rPr>
                <w:rFonts w:cstheme="minorBidi"/>
                <w:u w:val="single"/>
              </w:rPr>
              <w:t>Median survival rate, pooled</w:t>
            </w:r>
          </w:p>
          <w:p w14:paraId="734BCF6C" w14:textId="1BF9B2EB" w:rsidR="0081600C" w:rsidRPr="00935A6C" w:rsidRDefault="0081600C" w:rsidP="001A0D9F">
            <w:pPr>
              <w:pStyle w:val="Tabletext1"/>
              <w:rPr>
                <w:rFonts w:cstheme="minorBidi"/>
              </w:rPr>
            </w:pPr>
            <w:r w:rsidRPr="00935A6C">
              <w:rPr>
                <w:rFonts w:cstheme="minorBidi"/>
              </w:rPr>
              <w:t>1-year 86.3% (range 83</w:t>
            </w:r>
            <w:r w:rsidR="00D35E9C">
              <w:rPr>
                <w:rFonts w:cstheme="minorBidi"/>
              </w:rPr>
              <w:t>–</w:t>
            </w:r>
            <w:r w:rsidRPr="00935A6C">
              <w:rPr>
                <w:rFonts w:cstheme="minorBidi"/>
              </w:rPr>
              <w:t>100%)</w:t>
            </w:r>
          </w:p>
          <w:p w14:paraId="3E615EC4" w14:textId="35F058B2" w:rsidR="0081600C" w:rsidRPr="0014017A" w:rsidRDefault="0081600C" w:rsidP="001A0D9F">
            <w:pPr>
              <w:pStyle w:val="Tabletext1"/>
              <w:rPr>
                <w:rFonts w:cstheme="minorBidi"/>
              </w:rPr>
            </w:pPr>
            <w:r w:rsidRPr="00574E64">
              <w:rPr>
                <w:rFonts w:cstheme="minorBidi"/>
              </w:rPr>
              <w:t>2-year 74% (</w:t>
            </w:r>
            <w:r w:rsidR="0010198A" w:rsidRPr="001C1D01">
              <w:rPr>
                <w:rFonts w:cstheme="minorBidi"/>
              </w:rPr>
              <w:t xml:space="preserve">range </w:t>
            </w:r>
            <w:r w:rsidRPr="001C1D01">
              <w:rPr>
                <w:rFonts w:cstheme="minorBidi"/>
              </w:rPr>
              <w:t>69.8</w:t>
            </w:r>
            <w:r w:rsidR="00D35E9C">
              <w:rPr>
                <w:rFonts w:cstheme="minorBidi"/>
              </w:rPr>
              <w:t>–</w:t>
            </w:r>
            <w:r w:rsidRPr="001C1D01">
              <w:rPr>
                <w:rFonts w:cstheme="minorBidi"/>
              </w:rPr>
              <w:t>86%)</w:t>
            </w:r>
          </w:p>
          <w:p w14:paraId="387D5AD9" w14:textId="601904F2" w:rsidR="0081600C" w:rsidRPr="0014017A" w:rsidRDefault="00AE4E96" w:rsidP="001A0D9F">
            <w:pPr>
              <w:pStyle w:val="Tabletext1"/>
              <w:rPr>
                <w:rFonts w:cstheme="minorBidi"/>
              </w:rPr>
            </w:pPr>
            <w:r>
              <w:rPr>
                <w:rFonts w:cstheme="minorBidi"/>
              </w:rPr>
              <w:t>3-year 62.8</w:t>
            </w:r>
            <w:r w:rsidR="0081600C" w:rsidRPr="001C1D01">
              <w:rPr>
                <w:rFonts w:cstheme="minorBidi"/>
              </w:rPr>
              <w:t>% (</w:t>
            </w:r>
            <w:r w:rsidR="0010198A" w:rsidRPr="001C1D01">
              <w:rPr>
                <w:rFonts w:cstheme="minorBidi"/>
              </w:rPr>
              <w:t xml:space="preserve">range </w:t>
            </w:r>
            <w:r w:rsidR="0081600C" w:rsidRPr="001C1D01">
              <w:rPr>
                <w:rFonts w:cstheme="minorBidi"/>
              </w:rPr>
              <w:t>40</w:t>
            </w:r>
            <w:r w:rsidR="00D35E9C">
              <w:rPr>
                <w:rFonts w:cstheme="minorBidi"/>
              </w:rPr>
              <w:t>–</w:t>
            </w:r>
            <w:r w:rsidR="0081600C" w:rsidRPr="001C1D01">
              <w:rPr>
                <w:rFonts w:cstheme="minorBidi"/>
              </w:rPr>
              <w:t>74%)</w:t>
            </w:r>
          </w:p>
          <w:p w14:paraId="3C1301E9" w14:textId="7D47C696" w:rsidR="0081600C" w:rsidRPr="0014017A" w:rsidRDefault="0081600C" w:rsidP="001A0D9F">
            <w:pPr>
              <w:pStyle w:val="Tabletext1"/>
              <w:rPr>
                <w:rFonts w:cstheme="minorBidi"/>
              </w:rPr>
            </w:pPr>
            <w:r w:rsidRPr="001C1D01">
              <w:rPr>
                <w:rFonts w:cstheme="minorBidi"/>
              </w:rPr>
              <w:t>5-year 28% (</w:t>
            </w:r>
            <w:r w:rsidR="0010198A" w:rsidRPr="001C1D01">
              <w:rPr>
                <w:rFonts w:cstheme="minorBidi"/>
              </w:rPr>
              <w:t xml:space="preserve">range </w:t>
            </w:r>
            <w:r w:rsidRPr="001C1D01">
              <w:rPr>
                <w:rFonts w:cstheme="minorBidi"/>
              </w:rPr>
              <w:t>14</w:t>
            </w:r>
            <w:r w:rsidR="00D35E9C">
              <w:rPr>
                <w:rFonts w:cstheme="minorBidi"/>
              </w:rPr>
              <w:t>–</w:t>
            </w:r>
            <w:r w:rsidRPr="001C1D01">
              <w:rPr>
                <w:rFonts w:cstheme="minorBidi"/>
              </w:rPr>
              <w:t>61%)</w:t>
            </w:r>
          </w:p>
        </w:tc>
        <w:tc>
          <w:tcPr>
            <w:tcW w:w="953" w:type="pct"/>
          </w:tcPr>
          <w:p w14:paraId="403D21A2" w14:textId="77777777" w:rsidR="0081600C" w:rsidRPr="0014017A" w:rsidRDefault="0081600C" w:rsidP="001A0D9F">
            <w:pPr>
              <w:pStyle w:val="Tabletext1"/>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r w:rsidR="006D6581" w:rsidRPr="001C1D01">
              <w:rPr>
                <w:rFonts w:cstheme="minorBidi"/>
                <w:vertAlign w:val="superscript"/>
              </w:rPr>
              <w:t xml:space="preserve"> 3</w:t>
            </w:r>
          </w:p>
        </w:tc>
      </w:tr>
      <w:tr w:rsidR="0081600C" w:rsidRPr="001C1D01" w14:paraId="7A684EB4" w14:textId="77777777" w:rsidTr="00601F13">
        <w:trPr>
          <w:cantSplit/>
        </w:trPr>
        <w:tc>
          <w:tcPr>
            <w:tcW w:w="1210" w:type="pct"/>
            <w:tcBorders>
              <w:bottom w:val="single" w:sz="4" w:space="0" w:color="auto"/>
            </w:tcBorders>
          </w:tcPr>
          <w:p w14:paraId="2B9D3704" w14:textId="77777777" w:rsidR="0081600C" w:rsidRPr="001C1D01" w:rsidRDefault="0081600C" w:rsidP="001A0D9F">
            <w:pPr>
              <w:pStyle w:val="Tabletext1"/>
              <w:rPr>
                <w:rFonts w:cstheme="minorBidi"/>
              </w:rPr>
            </w:pPr>
            <w:r w:rsidRPr="001C1D01">
              <w:rPr>
                <w:rFonts w:cstheme="minorBidi"/>
              </w:rPr>
              <w:t>Radiotherapy</w:t>
            </w:r>
          </w:p>
          <w:p w14:paraId="4954636D" w14:textId="77777777" w:rsidR="0081600C" w:rsidRPr="001C1D01" w:rsidRDefault="0081600C" w:rsidP="001A0D9F">
            <w:pPr>
              <w:pStyle w:val="Tabletext1"/>
              <w:rPr>
                <w:rFonts w:cstheme="minorBidi"/>
              </w:rPr>
            </w:pPr>
            <w:r w:rsidRPr="001C1D01">
              <w:rPr>
                <w:rFonts w:cstheme="minorBidi"/>
              </w:rPr>
              <w:t>Assessed with: varied instruments</w:t>
            </w:r>
          </w:p>
          <w:p w14:paraId="457737AC" w14:textId="77777777" w:rsidR="0081600C" w:rsidRPr="00FC06D9" w:rsidRDefault="00624EFA" w:rsidP="001A0D9F">
            <w:pPr>
              <w:pStyle w:val="Tabletext1"/>
              <w:rPr>
                <w:rFonts w:cstheme="minorBidi"/>
              </w:rPr>
            </w:pPr>
            <w:r w:rsidRPr="001C1D01">
              <w:rPr>
                <w:rFonts w:cstheme="minorBidi"/>
              </w:rPr>
              <w:t>F/U</w:t>
            </w:r>
            <w:r w:rsidRPr="00FC06D9">
              <w:rPr>
                <w:rFonts w:cstheme="minorBidi"/>
              </w:rPr>
              <w:t xml:space="preserve"> range </w:t>
            </w:r>
            <w:r w:rsidR="0081600C" w:rsidRPr="00FC06D9">
              <w:rPr>
                <w:rFonts w:cstheme="minorBidi"/>
              </w:rPr>
              <w:t>21 to 30.2 months</w:t>
            </w:r>
          </w:p>
        </w:tc>
        <w:tc>
          <w:tcPr>
            <w:tcW w:w="863" w:type="pct"/>
            <w:tcBorders>
              <w:bottom w:val="single" w:sz="4" w:space="0" w:color="auto"/>
            </w:tcBorders>
          </w:tcPr>
          <w:p w14:paraId="099F8A9E" w14:textId="77777777" w:rsidR="0081600C" w:rsidRPr="001D54EF" w:rsidRDefault="0081600C" w:rsidP="001A0D9F">
            <w:pPr>
              <w:pStyle w:val="Tabletext1"/>
              <w:rPr>
                <w:rFonts w:cstheme="minorBidi"/>
              </w:rPr>
            </w:pPr>
            <w:r w:rsidRPr="001D54EF">
              <w:rPr>
                <w:rFonts w:cstheme="minorBidi"/>
              </w:rPr>
              <w:t>1 Level II study</w:t>
            </w:r>
          </w:p>
          <w:p w14:paraId="48958DAA" w14:textId="77777777" w:rsidR="0081600C" w:rsidRPr="00935A6C" w:rsidRDefault="0081600C" w:rsidP="001A0D9F">
            <w:pPr>
              <w:pStyle w:val="Tabletext1"/>
              <w:rPr>
                <w:rFonts w:cstheme="minorBidi"/>
              </w:rPr>
            </w:pPr>
            <w:r w:rsidRPr="001D54EF">
              <w:rPr>
                <w:rFonts w:cstheme="minorBidi"/>
              </w:rPr>
              <w:t>1 Level III-1 study</w:t>
            </w:r>
            <w:r w:rsidRPr="00351105">
              <w:rPr>
                <w:rFonts w:cstheme="minorBidi"/>
                <w:vertAlign w:val="superscript"/>
              </w:rPr>
              <w:t>5</w:t>
            </w:r>
          </w:p>
        </w:tc>
        <w:tc>
          <w:tcPr>
            <w:tcW w:w="1974" w:type="pct"/>
            <w:tcBorders>
              <w:bottom w:val="single" w:sz="4" w:space="0" w:color="auto"/>
            </w:tcBorders>
          </w:tcPr>
          <w:p w14:paraId="64E599AD" w14:textId="77777777" w:rsidR="00BE5F37" w:rsidRDefault="0081600C" w:rsidP="001A0D9F">
            <w:pPr>
              <w:pStyle w:val="Tabletext1"/>
              <w:rPr>
                <w:rFonts w:cstheme="minorBidi"/>
              </w:rPr>
            </w:pPr>
            <w:r w:rsidRPr="00935A6C">
              <w:rPr>
                <w:rFonts w:cstheme="minorBidi"/>
                <w:u w:val="single"/>
              </w:rPr>
              <w:t>Videtic et al (2015)</w:t>
            </w:r>
          </w:p>
          <w:p w14:paraId="116CD75C" w14:textId="1D620383" w:rsidR="00BE5F37" w:rsidRDefault="0034025F" w:rsidP="001A0D9F">
            <w:pPr>
              <w:pStyle w:val="Tabletext1"/>
              <w:rPr>
                <w:rFonts w:cstheme="minorBidi"/>
              </w:rPr>
            </w:pPr>
            <w:r w:rsidRPr="00BE5F37">
              <w:rPr>
                <w:rFonts w:cstheme="minorBidi"/>
                <w:i/>
              </w:rPr>
              <w:t>1</w:t>
            </w:r>
            <w:r w:rsidR="00BE5F37" w:rsidRPr="00BE5F37">
              <w:rPr>
                <w:rFonts w:cstheme="minorBidi"/>
                <w:i/>
              </w:rPr>
              <w:t>-year survival</w:t>
            </w:r>
          </w:p>
          <w:p w14:paraId="55E19328" w14:textId="7FA67EBB" w:rsidR="00BE5F37" w:rsidRDefault="0081600C" w:rsidP="001A0D9F">
            <w:pPr>
              <w:pStyle w:val="Tabletext1"/>
              <w:rPr>
                <w:rFonts w:cstheme="minorBidi"/>
              </w:rPr>
            </w:pPr>
            <w:r w:rsidRPr="001C1D01">
              <w:rPr>
                <w:rFonts w:cstheme="minorBidi"/>
              </w:rPr>
              <w:t xml:space="preserve">34/1 GY SBRT </w:t>
            </w:r>
            <w:r w:rsidR="00BE5F37">
              <w:rPr>
                <w:rFonts w:cstheme="minorBidi"/>
              </w:rPr>
              <w:t xml:space="preserve">= </w:t>
            </w:r>
            <w:r w:rsidR="00BE5F37" w:rsidRPr="001C1D01">
              <w:rPr>
                <w:rFonts w:cstheme="minorBidi"/>
              </w:rPr>
              <w:t>48.6% (95% CI 68.9</w:t>
            </w:r>
            <w:r w:rsidR="00BE5F37">
              <w:rPr>
                <w:rFonts w:cstheme="minorBidi"/>
              </w:rPr>
              <w:t>–</w:t>
            </w:r>
            <w:r w:rsidR="00BE5F37" w:rsidRPr="001C1D01">
              <w:rPr>
                <w:rFonts w:cstheme="minorBidi"/>
              </w:rPr>
              <w:t>92.8%)</w:t>
            </w:r>
          </w:p>
          <w:p w14:paraId="0AB2EA1C" w14:textId="77777777" w:rsidR="00BE5F37" w:rsidRDefault="0081600C" w:rsidP="001A0D9F">
            <w:pPr>
              <w:pStyle w:val="Tabletext1"/>
              <w:rPr>
                <w:rFonts w:cstheme="minorBidi"/>
              </w:rPr>
            </w:pPr>
            <w:r w:rsidRPr="001C1D01">
              <w:rPr>
                <w:rFonts w:cstheme="minorBidi"/>
              </w:rPr>
              <w:t xml:space="preserve">48/4 GY SBRT </w:t>
            </w:r>
            <w:r w:rsidR="00BE5F37">
              <w:rPr>
                <w:rFonts w:cstheme="minorBidi"/>
              </w:rPr>
              <w:t xml:space="preserve">= </w:t>
            </w:r>
            <w:r w:rsidRPr="001C1D01">
              <w:rPr>
                <w:rFonts w:cstheme="minorBidi"/>
              </w:rPr>
              <w:t>91.1 (</w:t>
            </w:r>
            <w:r w:rsidR="00842AB5" w:rsidRPr="001C1D01">
              <w:rPr>
                <w:rFonts w:cstheme="minorBidi"/>
              </w:rPr>
              <w:t xml:space="preserve">95% CI </w:t>
            </w:r>
            <w:r w:rsidRPr="001C1D01">
              <w:rPr>
                <w:rFonts w:cstheme="minorBidi"/>
              </w:rPr>
              <w:t>78.0</w:t>
            </w:r>
            <w:r w:rsidR="00D35E9C">
              <w:rPr>
                <w:rFonts w:cstheme="minorBidi"/>
              </w:rPr>
              <w:t>–</w:t>
            </w:r>
            <w:r w:rsidRPr="001C1D01">
              <w:rPr>
                <w:rFonts w:cstheme="minorBidi"/>
              </w:rPr>
              <w:t xml:space="preserve">96.6%) </w:t>
            </w:r>
          </w:p>
          <w:p w14:paraId="03ACA220" w14:textId="65820BC0" w:rsidR="00BE5F37" w:rsidRPr="00BE5F37" w:rsidRDefault="0081600C" w:rsidP="001A0D9F">
            <w:pPr>
              <w:pStyle w:val="Tabletext1"/>
              <w:rPr>
                <w:rFonts w:cstheme="minorBidi"/>
                <w:i/>
              </w:rPr>
            </w:pPr>
            <w:r w:rsidRPr="00BE5F37">
              <w:rPr>
                <w:rFonts w:cstheme="minorBidi"/>
                <w:i/>
              </w:rPr>
              <w:t xml:space="preserve">2-year survival </w:t>
            </w:r>
          </w:p>
          <w:p w14:paraId="5AC2E7FA" w14:textId="39461BDE" w:rsidR="00BE5F37" w:rsidRDefault="00BE5F37" w:rsidP="001A0D9F">
            <w:pPr>
              <w:pStyle w:val="Tabletext1"/>
              <w:rPr>
                <w:rFonts w:cstheme="minorBidi"/>
              </w:rPr>
            </w:pPr>
            <w:r w:rsidRPr="001C1D01">
              <w:rPr>
                <w:rFonts w:cstheme="minorBidi"/>
              </w:rPr>
              <w:t xml:space="preserve">34/1 GY SBRT </w:t>
            </w:r>
            <w:r>
              <w:rPr>
                <w:rFonts w:cstheme="minorBidi"/>
              </w:rPr>
              <w:t xml:space="preserve">= </w:t>
            </w:r>
            <w:r w:rsidR="0081600C" w:rsidRPr="001C1D01">
              <w:rPr>
                <w:rFonts w:cstheme="minorBidi"/>
              </w:rPr>
              <w:t>61.3% (</w:t>
            </w:r>
            <w:r w:rsidR="00842AB5" w:rsidRPr="001C1D01">
              <w:rPr>
                <w:rFonts w:cstheme="minorBidi"/>
              </w:rPr>
              <w:t xml:space="preserve">95% CI </w:t>
            </w:r>
            <w:r w:rsidR="0081600C" w:rsidRPr="001C1D01">
              <w:rPr>
                <w:rFonts w:cstheme="minorBidi"/>
              </w:rPr>
              <w:t>44.2</w:t>
            </w:r>
            <w:r w:rsidR="00D35E9C">
              <w:rPr>
                <w:rFonts w:cstheme="minorBidi"/>
              </w:rPr>
              <w:t>–</w:t>
            </w:r>
            <w:r w:rsidR="00804B48" w:rsidRPr="001C1D01">
              <w:rPr>
                <w:rFonts w:cstheme="minorBidi"/>
              </w:rPr>
              <w:t xml:space="preserve">74.6%) </w:t>
            </w:r>
          </w:p>
          <w:p w14:paraId="41933F01" w14:textId="789FA8DE" w:rsidR="0081600C" w:rsidRPr="0014017A" w:rsidRDefault="00BE5F37" w:rsidP="001A0D9F">
            <w:pPr>
              <w:pStyle w:val="Tabletext1"/>
              <w:rPr>
                <w:rFonts w:cstheme="minorBidi"/>
              </w:rPr>
            </w:pPr>
            <w:r w:rsidRPr="001C1D01">
              <w:rPr>
                <w:rFonts w:cstheme="minorBidi"/>
              </w:rPr>
              <w:t xml:space="preserve">48/4 GY SBRT </w:t>
            </w:r>
            <w:r>
              <w:rPr>
                <w:rFonts w:cstheme="minorBidi"/>
              </w:rPr>
              <w:t xml:space="preserve">= </w:t>
            </w:r>
            <w:r w:rsidR="00804B48" w:rsidRPr="001C1D01">
              <w:rPr>
                <w:rFonts w:cstheme="minorBidi"/>
              </w:rPr>
              <w:t>77.7% (</w:t>
            </w:r>
            <w:r w:rsidR="00842AB5" w:rsidRPr="001C1D01">
              <w:rPr>
                <w:rFonts w:cstheme="minorBidi"/>
              </w:rPr>
              <w:t xml:space="preserve">95% CI </w:t>
            </w:r>
            <w:r w:rsidR="00804B48" w:rsidRPr="001C1D01">
              <w:rPr>
                <w:rFonts w:cstheme="minorBidi"/>
              </w:rPr>
              <w:t>62.5</w:t>
            </w:r>
            <w:r w:rsidR="00D35E9C">
              <w:rPr>
                <w:rFonts w:cstheme="minorBidi"/>
              </w:rPr>
              <w:t>–</w:t>
            </w:r>
            <w:r w:rsidR="00804B48" w:rsidRPr="001C1D01">
              <w:rPr>
                <w:rFonts w:cstheme="minorBidi"/>
              </w:rPr>
              <w:t>87.3</w:t>
            </w:r>
            <w:r w:rsidR="00842AB5" w:rsidRPr="001C1D01">
              <w:rPr>
                <w:rFonts w:cstheme="minorBidi"/>
              </w:rPr>
              <w:t>%</w:t>
            </w:r>
            <w:r w:rsidR="00804B48" w:rsidRPr="001C1D01">
              <w:rPr>
                <w:rFonts w:cstheme="minorBidi"/>
              </w:rPr>
              <w:t>)</w:t>
            </w:r>
          </w:p>
          <w:p w14:paraId="48E4E72C" w14:textId="77777777" w:rsidR="0034025F" w:rsidRPr="0014017A" w:rsidRDefault="004E6C07" w:rsidP="001A0D9F">
            <w:pPr>
              <w:pStyle w:val="Tabletext1"/>
              <w:rPr>
                <w:rFonts w:cstheme="minorBidi"/>
              </w:rPr>
            </w:pPr>
            <w:r w:rsidRPr="001C1D01">
              <w:rPr>
                <w:rFonts w:cstheme="minorBidi"/>
                <w:u w:val="single"/>
              </w:rPr>
              <w:t>Koshy et al (2015)</w:t>
            </w:r>
          </w:p>
          <w:p w14:paraId="13A6DCD2" w14:textId="77777777" w:rsidR="002E38AF" w:rsidRPr="005A75F5" w:rsidRDefault="00D20078" w:rsidP="00D20078">
            <w:pPr>
              <w:pStyle w:val="Tabletext1"/>
              <w:rPr>
                <w:rFonts w:cstheme="minorBidi"/>
                <w:i/>
              </w:rPr>
            </w:pPr>
            <w:r w:rsidRPr="005A75F5">
              <w:rPr>
                <w:rFonts w:cstheme="minorBidi"/>
                <w:i/>
              </w:rPr>
              <w:t>3-</w:t>
            </w:r>
            <w:r w:rsidR="004E6C07" w:rsidRPr="005A75F5">
              <w:rPr>
                <w:rFonts w:cstheme="minorBidi"/>
                <w:i/>
              </w:rPr>
              <w:t xml:space="preserve">year survival </w:t>
            </w:r>
          </w:p>
          <w:p w14:paraId="56C0EE5B" w14:textId="12FAC55A" w:rsidR="002E38AF" w:rsidRDefault="002E38AF" w:rsidP="002E38AF">
            <w:pPr>
              <w:pStyle w:val="Tabletext1"/>
              <w:rPr>
                <w:rFonts w:cstheme="minorBidi"/>
              </w:rPr>
            </w:pPr>
            <w:r>
              <w:rPr>
                <w:rFonts w:cstheme="minorBidi"/>
              </w:rPr>
              <w:t>No therapy = 28%</w:t>
            </w:r>
            <w:r w:rsidR="004E6C07" w:rsidRPr="001C1D01">
              <w:rPr>
                <w:rFonts w:cstheme="minorBidi"/>
              </w:rPr>
              <w:t xml:space="preserve"> </w:t>
            </w:r>
            <w:r w:rsidR="00994B6A">
              <w:rPr>
                <w:rFonts w:cstheme="minorBidi"/>
              </w:rPr>
              <w:t xml:space="preserve">, </w:t>
            </w:r>
            <w:r>
              <w:rPr>
                <w:rFonts w:cstheme="minorBidi"/>
              </w:rPr>
              <w:t>Conventional radiotherapy = 36%</w:t>
            </w:r>
            <w:r w:rsidR="00994B6A">
              <w:rPr>
                <w:rFonts w:cstheme="minorBidi"/>
              </w:rPr>
              <w:t xml:space="preserve">, </w:t>
            </w:r>
            <w:r>
              <w:rPr>
                <w:rFonts w:cstheme="minorBidi"/>
              </w:rPr>
              <w:t xml:space="preserve">SBRT = 48% </w:t>
            </w:r>
          </w:p>
          <w:p w14:paraId="10856CB6" w14:textId="428502C8" w:rsidR="004E6C07" w:rsidRPr="0014017A" w:rsidRDefault="004E6C07" w:rsidP="002E38AF">
            <w:pPr>
              <w:pStyle w:val="Tabletext1"/>
              <w:rPr>
                <w:rFonts w:cstheme="minorBidi"/>
              </w:rPr>
            </w:pPr>
            <w:r w:rsidRPr="001C1D01">
              <w:rPr>
                <w:rFonts w:cstheme="minorBidi"/>
              </w:rPr>
              <w:t>A propensity-matched cohort reported 3 year o</w:t>
            </w:r>
            <w:r w:rsidR="00285E68" w:rsidRPr="001C1D01">
              <w:rPr>
                <w:rFonts w:cstheme="minorBidi"/>
              </w:rPr>
              <w:t>verall survival with SBRT of 48</w:t>
            </w:r>
            <w:r w:rsidRPr="001C1D01">
              <w:rPr>
                <w:rFonts w:cstheme="minorBidi"/>
              </w:rPr>
              <w:t>% and with conventional radiotherapy of 40% (p</w:t>
            </w:r>
            <w:r w:rsidR="008E5DEC">
              <w:rPr>
                <w:rFonts w:cstheme="minorBidi"/>
              </w:rPr>
              <w:t xml:space="preserve"> </w:t>
            </w:r>
            <w:r w:rsidRPr="001C1D01">
              <w:rPr>
                <w:rFonts w:cstheme="minorBidi"/>
              </w:rPr>
              <w:t>=</w:t>
            </w:r>
            <w:r w:rsidR="008E5DEC">
              <w:rPr>
                <w:rFonts w:cstheme="minorBidi"/>
              </w:rPr>
              <w:t xml:space="preserve"> </w:t>
            </w:r>
            <w:r w:rsidRPr="001C1D01">
              <w:rPr>
                <w:rFonts w:cstheme="minorBidi"/>
              </w:rPr>
              <w:t>0.001).</w:t>
            </w:r>
          </w:p>
        </w:tc>
        <w:tc>
          <w:tcPr>
            <w:tcW w:w="953" w:type="pct"/>
            <w:tcBorders>
              <w:bottom w:val="single" w:sz="4" w:space="0" w:color="auto"/>
            </w:tcBorders>
          </w:tcPr>
          <w:p w14:paraId="69A840E8" w14:textId="77777777" w:rsidR="00857E57" w:rsidRPr="0014017A" w:rsidRDefault="0081600C" w:rsidP="001A0D9F">
            <w:pPr>
              <w:pStyle w:val="Tabletext1"/>
              <w:rPr>
                <w:rFonts w:cs="Cambria Math"/>
                <w:color w:val="C00000"/>
              </w:rPr>
            </w:pPr>
            <w:r w:rsidRPr="001C1D01">
              <w:rPr>
                <w:rFonts w:ascii="Cambria Math" w:hAnsi="Cambria Math" w:cs="Cambria Math"/>
                <w:color w:val="00B050"/>
              </w:rPr>
              <w:t>⨁⨁</w:t>
            </w:r>
            <w:r w:rsidRPr="001C1D01">
              <w:rPr>
                <w:rFonts w:ascii="Cambria Math" w:hAnsi="Cambria Math" w:cs="Cambria Math"/>
                <w:color w:val="C00000"/>
              </w:rPr>
              <w:t>⨀⨀</w:t>
            </w:r>
          </w:p>
          <w:p w14:paraId="76CEE65C" w14:textId="77777777" w:rsidR="0081600C" w:rsidRPr="001C1D01" w:rsidRDefault="0081600C" w:rsidP="001A0D9F">
            <w:pPr>
              <w:pStyle w:val="Tabletext1"/>
              <w:rPr>
                <w:rFonts w:eastAsia="Times New Roman" w:cstheme="minorBidi"/>
                <w:lang w:eastAsia="en-AU"/>
              </w:rPr>
            </w:pPr>
            <w:r w:rsidRPr="001C1D01">
              <w:rPr>
                <w:rFonts w:cstheme="minorBidi"/>
              </w:rPr>
              <w:t>LOW</w:t>
            </w:r>
          </w:p>
        </w:tc>
      </w:tr>
      <w:tr w:rsidR="0081600C" w:rsidRPr="001C1D01" w14:paraId="5AD1CA8A" w14:textId="77777777" w:rsidTr="00601F13">
        <w:trPr>
          <w:cantSplit/>
          <w:trHeight w:val="77"/>
        </w:trPr>
        <w:tc>
          <w:tcPr>
            <w:tcW w:w="1210" w:type="pct"/>
            <w:tcBorders>
              <w:right w:val="nil"/>
            </w:tcBorders>
            <w:shd w:val="clear" w:color="auto" w:fill="D9D9D9" w:themeFill="background1" w:themeFillShade="D9"/>
          </w:tcPr>
          <w:p w14:paraId="0EA05631" w14:textId="77777777" w:rsidR="0081600C" w:rsidRPr="003C0A9E" w:rsidRDefault="006871DD" w:rsidP="001A0D9F">
            <w:pPr>
              <w:pStyle w:val="Tabletext1"/>
              <w:rPr>
                <w:rFonts w:cstheme="minorBidi"/>
                <w:b/>
              </w:rPr>
            </w:pPr>
            <w:r w:rsidRPr="003C0A9E">
              <w:rPr>
                <w:rFonts w:cstheme="minorBidi"/>
                <w:b/>
              </w:rPr>
              <w:t>Median</w:t>
            </w:r>
            <w:r w:rsidR="0081600C" w:rsidRPr="003C0A9E">
              <w:rPr>
                <w:rFonts w:cstheme="minorBidi"/>
                <w:b/>
              </w:rPr>
              <w:t xml:space="preserve"> survival </w:t>
            </w:r>
            <w:r w:rsidRPr="003C0A9E">
              <w:rPr>
                <w:rFonts w:cstheme="minorBidi"/>
                <w:b/>
              </w:rPr>
              <w:t>time</w:t>
            </w:r>
          </w:p>
        </w:tc>
        <w:tc>
          <w:tcPr>
            <w:tcW w:w="863" w:type="pct"/>
            <w:tcBorders>
              <w:left w:val="nil"/>
              <w:right w:val="nil"/>
            </w:tcBorders>
            <w:shd w:val="clear" w:color="auto" w:fill="D9D9D9" w:themeFill="background1" w:themeFillShade="D9"/>
          </w:tcPr>
          <w:p w14:paraId="38174096" w14:textId="77777777" w:rsidR="0081600C" w:rsidRPr="001C1D01" w:rsidRDefault="0081600C" w:rsidP="001A0D9F">
            <w:pPr>
              <w:pStyle w:val="Tabletext1"/>
              <w:rPr>
                <w:rFonts w:cstheme="minorBidi"/>
              </w:rPr>
            </w:pPr>
          </w:p>
        </w:tc>
        <w:tc>
          <w:tcPr>
            <w:tcW w:w="1974" w:type="pct"/>
            <w:tcBorders>
              <w:left w:val="nil"/>
              <w:right w:val="nil"/>
            </w:tcBorders>
            <w:shd w:val="clear" w:color="auto" w:fill="D9D9D9" w:themeFill="background1" w:themeFillShade="D9"/>
          </w:tcPr>
          <w:p w14:paraId="6F158977" w14:textId="77777777" w:rsidR="0081600C" w:rsidRPr="00FC06D9" w:rsidRDefault="0081600C" w:rsidP="001A0D9F">
            <w:pPr>
              <w:pStyle w:val="Tabletext1"/>
              <w:rPr>
                <w:rFonts w:cstheme="minorBidi"/>
              </w:rPr>
            </w:pPr>
          </w:p>
        </w:tc>
        <w:tc>
          <w:tcPr>
            <w:tcW w:w="953" w:type="pct"/>
            <w:tcBorders>
              <w:left w:val="nil"/>
            </w:tcBorders>
            <w:shd w:val="clear" w:color="auto" w:fill="D9D9D9" w:themeFill="background1" w:themeFillShade="D9"/>
          </w:tcPr>
          <w:p w14:paraId="2847854E" w14:textId="77777777" w:rsidR="0081600C" w:rsidRPr="00FC06D9" w:rsidRDefault="0081600C" w:rsidP="001A0D9F">
            <w:pPr>
              <w:pStyle w:val="Tabletext1"/>
              <w:rPr>
                <w:rFonts w:cstheme="minorBidi"/>
              </w:rPr>
            </w:pPr>
          </w:p>
        </w:tc>
      </w:tr>
      <w:tr w:rsidR="0081600C" w:rsidRPr="001C1D01" w14:paraId="6758FAD6" w14:textId="77777777" w:rsidTr="00601F13">
        <w:trPr>
          <w:cantSplit/>
        </w:trPr>
        <w:tc>
          <w:tcPr>
            <w:tcW w:w="1210" w:type="pct"/>
          </w:tcPr>
          <w:p w14:paraId="3D53FBBB" w14:textId="77777777" w:rsidR="0081600C" w:rsidRPr="001C1D01" w:rsidRDefault="0081600C" w:rsidP="001A0D9F">
            <w:pPr>
              <w:pStyle w:val="Tabletext1"/>
              <w:rPr>
                <w:rFonts w:cstheme="minorBidi"/>
              </w:rPr>
            </w:pPr>
            <w:r w:rsidRPr="001C1D01">
              <w:rPr>
                <w:rFonts w:cstheme="minorBidi"/>
              </w:rPr>
              <w:t>MTA</w:t>
            </w:r>
          </w:p>
          <w:p w14:paraId="59ED087A" w14:textId="77777777" w:rsidR="0081600C" w:rsidRPr="001C1D01" w:rsidRDefault="0081600C" w:rsidP="001A0D9F">
            <w:pPr>
              <w:pStyle w:val="Tabletext1"/>
              <w:rPr>
                <w:rFonts w:cstheme="minorBidi"/>
              </w:rPr>
            </w:pPr>
            <w:r w:rsidRPr="001C1D01">
              <w:rPr>
                <w:rFonts w:cstheme="minorBidi"/>
              </w:rPr>
              <w:t>Assessed with: Kaplan-Meier estimate (95%CI)</w:t>
            </w:r>
          </w:p>
          <w:p w14:paraId="756B1E76" w14:textId="77777777" w:rsidR="0081600C" w:rsidRPr="00FC06D9" w:rsidRDefault="00624EFA" w:rsidP="001A0D9F">
            <w:pPr>
              <w:pStyle w:val="Tabletext1"/>
              <w:rPr>
                <w:rFonts w:cstheme="minorBidi"/>
              </w:rPr>
            </w:pPr>
            <w:r w:rsidRPr="001C1D01">
              <w:rPr>
                <w:rFonts w:cstheme="minorBidi"/>
              </w:rPr>
              <w:t>F/U</w:t>
            </w:r>
            <w:r w:rsidRPr="00FC06D9">
              <w:rPr>
                <w:rFonts w:cstheme="minorBidi"/>
              </w:rPr>
              <w:t xml:space="preserve"> range 23</w:t>
            </w:r>
            <w:r w:rsidR="0081600C" w:rsidRPr="00FC06D9">
              <w:rPr>
                <w:rFonts w:cstheme="minorBidi"/>
              </w:rPr>
              <w:t xml:space="preserve"> to 30 months</w:t>
            </w:r>
          </w:p>
        </w:tc>
        <w:tc>
          <w:tcPr>
            <w:tcW w:w="863" w:type="pct"/>
          </w:tcPr>
          <w:p w14:paraId="297C9585" w14:textId="77777777" w:rsidR="0081600C" w:rsidRPr="00FC06D9" w:rsidRDefault="0081600C" w:rsidP="001A0D9F">
            <w:pPr>
              <w:pStyle w:val="Tabletext1"/>
              <w:rPr>
                <w:rFonts w:cstheme="minorBidi"/>
              </w:rPr>
            </w:pPr>
            <w:r w:rsidRPr="00FC06D9">
              <w:rPr>
                <w:rFonts w:cstheme="minorBidi"/>
              </w:rPr>
              <w:t xml:space="preserve">2 Level IV studies </w:t>
            </w:r>
          </w:p>
        </w:tc>
        <w:tc>
          <w:tcPr>
            <w:tcW w:w="1974" w:type="pct"/>
          </w:tcPr>
          <w:p w14:paraId="2B80E483" w14:textId="77777777" w:rsidR="00077002" w:rsidRPr="00FC06D9" w:rsidRDefault="00077002" w:rsidP="001A0D9F">
            <w:pPr>
              <w:pStyle w:val="Tabletext1"/>
              <w:rPr>
                <w:rFonts w:cstheme="minorBidi"/>
                <w:u w:val="single"/>
              </w:rPr>
            </w:pPr>
            <w:r w:rsidRPr="00FC06D9">
              <w:rPr>
                <w:rFonts w:cstheme="minorBidi"/>
                <w:u w:val="single"/>
              </w:rPr>
              <w:t>Han et al (2015)</w:t>
            </w:r>
          </w:p>
          <w:p w14:paraId="0ACB3D3A" w14:textId="151A0944" w:rsidR="0081600C" w:rsidRPr="001D54EF" w:rsidRDefault="0081600C" w:rsidP="001A0D9F">
            <w:pPr>
              <w:pStyle w:val="Tabletext1"/>
              <w:rPr>
                <w:rFonts w:cstheme="minorBidi"/>
              </w:rPr>
            </w:pPr>
            <w:r w:rsidRPr="001D54EF">
              <w:rPr>
                <w:rFonts w:cstheme="minorBidi"/>
              </w:rPr>
              <w:t>35.0 months (95%CI 22.3</w:t>
            </w:r>
            <w:r w:rsidR="00D35E9C">
              <w:rPr>
                <w:rFonts w:cstheme="minorBidi"/>
              </w:rPr>
              <w:t>–</w:t>
            </w:r>
            <w:r w:rsidRPr="001D54EF">
              <w:rPr>
                <w:rFonts w:cstheme="minorBidi"/>
              </w:rPr>
              <w:t>47.7)</w:t>
            </w:r>
          </w:p>
          <w:p w14:paraId="31F8800F" w14:textId="77777777" w:rsidR="00077002" w:rsidRPr="00935A6C" w:rsidRDefault="00077002" w:rsidP="001A0D9F">
            <w:pPr>
              <w:pStyle w:val="Tabletext1"/>
              <w:rPr>
                <w:rFonts w:cstheme="minorBidi"/>
              </w:rPr>
            </w:pPr>
            <w:r w:rsidRPr="00351105">
              <w:rPr>
                <w:rFonts w:cstheme="minorBidi"/>
                <w:u w:val="single"/>
              </w:rPr>
              <w:t>Yang et al (2014)</w:t>
            </w:r>
          </w:p>
          <w:p w14:paraId="25559CD0" w14:textId="5A890D6A" w:rsidR="0081600C" w:rsidRPr="00935A6C" w:rsidRDefault="0081600C" w:rsidP="001A0D9F">
            <w:pPr>
              <w:pStyle w:val="Tabletext1"/>
              <w:rPr>
                <w:rFonts w:cstheme="minorBidi"/>
              </w:rPr>
            </w:pPr>
            <w:r w:rsidRPr="00935A6C">
              <w:rPr>
                <w:rFonts w:cstheme="minorBidi"/>
              </w:rPr>
              <w:t>33.8 months (95%CI 31.9</w:t>
            </w:r>
            <w:r w:rsidR="00D35E9C">
              <w:rPr>
                <w:rFonts w:cstheme="minorBidi"/>
              </w:rPr>
              <w:t>–</w:t>
            </w:r>
            <w:r w:rsidRPr="00935A6C">
              <w:rPr>
                <w:rFonts w:cstheme="minorBidi"/>
              </w:rPr>
              <w:t>35.7)</w:t>
            </w:r>
            <w:r w:rsidR="00237FFC" w:rsidRPr="00935A6C">
              <w:rPr>
                <w:rFonts w:cstheme="minorBidi"/>
              </w:rPr>
              <w:t xml:space="preserve"> </w:t>
            </w:r>
            <w:r w:rsidR="00237FFC" w:rsidRPr="00935A6C">
              <w:rPr>
                <w:rFonts w:cstheme="minorBidi"/>
                <w:vertAlign w:val="superscript"/>
              </w:rPr>
              <w:t>2</w:t>
            </w:r>
          </w:p>
        </w:tc>
        <w:tc>
          <w:tcPr>
            <w:tcW w:w="953" w:type="pct"/>
          </w:tcPr>
          <w:p w14:paraId="606D977A" w14:textId="77777777" w:rsidR="0081600C" w:rsidRPr="0014017A" w:rsidRDefault="0081600C" w:rsidP="001A0D9F">
            <w:pPr>
              <w:pStyle w:val="Tabletext1"/>
              <w:rPr>
                <w:rFonts w:cstheme="minorBidi"/>
              </w:rPr>
            </w:pPr>
            <w:r w:rsidRPr="00574E64">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r w:rsidR="00237FFC" w:rsidRPr="001C1D01">
              <w:rPr>
                <w:rFonts w:cstheme="minorBidi"/>
              </w:rPr>
              <w:t xml:space="preserve"> </w:t>
            </w:r>
            <w:r w:rsidR="00237FFC" w:rsidRPr="001C1D01">
              <w:rPr>
                <w:rFonts w:cstheme="minorBidi"/>
                <w:vertAlign w:val="superscript"/>
              </w:rPr>
              <w:t>5</w:t>
            </w:r>
          </w:p>
        </w:tc>
      </w:tr>
      <w:tr w:rsidR="0081600C" w:rsidRPr="001C1D01" w14:paraId="1767A497" w14:textId="77777777" w:rsidTr="00601F13">
        <w:trPr>
          <w:cantSplit/>
        </w:trPr>
        <w:tc>
          <w:tcPr>
            <w:tcW w:w="1210" w:type="pct"/>
          </w:tcPr>
          <w:p w14:paraId="5B9BC393" w14:textId="77777777" w:rsidR="0081600C" w:rsidRPr="001C1D01" w:rsidRDefault="0081600C" w:rsidP="001A0D9F">
            <w:pPr>
              <w:pStyle w:val="Tabletext1"/>
              <w:rPr>
                <w:rFonts w:cstheme="minorBidi"/>
              </w:rPr>
            </w:pPr>
            <w:r w:rsidRPr="001C1D01">
              <w:rPr>
                <w:rFonts w:cstheme="minorBidi"/>
              </w:rPr>
              <w:lastRenderedPageBreak/>
              <w:t>RFA</w:t>
            </w:r>
          </w:p>
          <w:p w14:paraId="01AAC475" w14:textId="77777777" w:rsidR="0081600C" w:rsidRPr="001C1D01" w:rsidRDefault="0081600C" w:rsidP="001A0D9F">
            <w:pPr>
              <w:pStyle w:val="Tabletext1"/>
              <w:rPr>
                <w:rFonts w:cstheme="minorBidi"/>
              </w:rPr>
            </w:pPr>
            <w:r w:rsidRPr="001C1D01">
              <w:rPr>
                <w:rFonts w:cstheme="minorBidi"/>
              </w:rPr>
              <w:t>Assessed with: Kaplan-Meier estimate (95%CI)</w:t>
            </w:r>
          </w:p>
          <w:p w14:paraId="0F3F7F1E" w14:textId="77777777" w:rsidR="0081600C" w:rsidRPr="00FC06D9" w:rsidRDefault="00624EFA" w:rsidP="001A0D9F">
            <w:pPr>
              <w:pStyle w:val="Tabletext1"/>
              <w:rPr>
                <w:rFonts w:cstheme="minorBidi"/>
              </w:rPr>
            </w:pPr>
            <w:r w:rsidRPr="001C1D01">
              <w:rPr>
                <w:rFonts w:cstheme="minorBidi"/>
              </w:rPr>
              <w:t>F/U</w:t>
            </w:r>
            <w:r w:rsidRPr="00FC06D9">
              <w:rPr>
                <w:rFonts w:cstheme="minorBidi"/>
              </w:rPr>
              <w:t xml:space="preserve"> range </w:t>
            </w:r>
            <w:r w:rsidR="0081600C" w:rsidRPr="00FC06D9">
              <w:rPr>
                <w:rFonts w:cstheme="minorBidi"/>
              </w:rPr>
              <w:t>19 to 37 months</w:t>
            </w:r>
          </w:p>
        </w:tc>
        <w:tc>
          <w:tcPr>
            <w:tcW w:w="863" w:type="pct"/>
          </w:tcPr>
          <w:p w14:paraId="11FC67BD" w14:textId="77777777" w:rsidR="0081600C" w:rsidRPr="00FC06D9" w:rsidRDefault="0081600C" w:rsidP="001A0D9F">
            <w:pPr>
              <w:pStyle w:val="Tabletext1"/>
              <w:rPr>
                <w:rFonts w:cstheme="minorBidi"/>
              </w:rPr>
            </w:pPr>
            <w:r w:rsidRPr="00FC06D9">
              <w:rPr>
                <w:rFonts w:cstheme="minorBidi"/>
              </w:rPr>
              <w:t>6 Level IV studies</w:t>
            </w:r>
          </w:p>
        </w:tc>
        <w:tc>
          <w:tcPr>
            <w:tcW w:w="1974" w:type="pct"/>
          </w:tcPr>
          <w:p w14:paraId="1B246CDE" w14:textId="31DFCF66" w:rsidR="0081600C" w:rsidRPr="00FC06D9" w:rsidRDefault="00077002" w:rsidP="001A0D9F">
            <w:pPr>
              <w:pStyle w:val="Tabletext1"/>
              <w:rPr>
                <w:rFonts w:cstheme="minorBidi"/>
              </w:rPr>
            </w:pPr>
            <w:r w:rsidRPr="00FC06D9">
              <w:rPr>
                <w:rFonts w:cstheme="minorBidi"/>
              </w:rPr>
              <w:t xml:space="preserve">Median overall survival </w:t>
            </w:r>
            <w:r w:rsidR="0081600C" w:rsidRPr="00FC06D9">
              <w:rPr>
                <w:rFonts w:cstheme="minorBidi"/>
              </w:rPr>
              <w:t>42.8 months (range: 33.4</w:t>
            </w:r>
            <w:r w:rsidR="00D35E9C">
              <w:rPr>
                <w:rFonts w:cstheme="minorBidi"/>
              </w:rPr>
              <w:t>–</w:t>
            </w:r>
            <w:r w:rsidR="0081600C" w:rsidRPr="00FC06D9">
              <w:rPr>
                <w:rFonts w:cstheme="minorBidi"/>
              </w:rPr>
              <w:t>67)</w:t>
            </w:r>
          </w:p>
        </w:tc>
        <w:tc>
          <w:tcPr>
            <w:tcW w:w="953" w:type="pct"/>
          </w:tcPr>
          <w:p w14:paraId="5F7144C2" w14:textId="77777777" w:rsidR="0081600C" w:rsidRPr="0014017A" w:rsidRDefault="0081600C" w:rsidP="001A0D9F">
            <w:pPr>
              <w:pStyle w:val="Tabletext1"/>
              <w:rPr>
                <w:rFonts w:cstheme="minorBidi"/>
              </w:rPr>
            </w:pPr>
            <w:r w:rsidRPr="001D54EF">
              <w:rPr>
                <w:rFonts w:ascii="Cambria Math" w:hAnsi="Cambria Math" w:cs="Cambria Math"/>
                <w:color w:val="00B050"/>
              </w:rPr>
              <w:t>⨁</w:t>
            </w:r>
            <w:r w:rsidRPr="00351105">
              <w:rPr>
                <w:rFonts w:ascii="Cambria Math" w:hAnsi="Cambria Math" w:cs="Cambria Math"/>
                <w:color w:val="C00000"/>
              </w:rPr>
              <w:t>⨀⨀⨀</w:t>
            </w:r>
            <w:r w:rsidRPr="00935A6C">
              <w:rPr>
                <w:rFonts w:cstheme="minorBidi"/>
              </w:rPr>
              <w:br/>
              <w:t xml:space="preserve">VERY LOW </w:t>
            </w:r>
            <w:r w:rsidR="00237FFC" w:rsidRPr="00574E64">
              <w:rPr>
                <w:rFonts w:cstheme="minorBidi"/>
                <w:vertAlign w:val="superscript"/>
              </w:rPr>
              <w:t>3</w:t>
            </w:r>
          </w:p>
        </w:tc>
      </w:tr>
      <w:tr w:rsidR="0081600C" w:rsidRPr="001C1D01" w14:paraId="59C93320" w14:textId="77777777" w:rsidTr="00601F13">
        <w:trPr>
          <w:cantSplit/>
        </w:trPr>
        <w:tc>
          <w:tcPr>
            <w:tcW w:w="1210" w:type="pct"/>
            <w:tcBorders>
              <w:bottom w:val="single" w:sz="4" w:space="0" w:color="auto"/>
            </w:tcBorders>
          </w:tcPr>
          <w:p w14:paraId="7E21EDB9" w14:textId="77777777" w:rsidR="0081600C" w:rsidRPr="001C1D01" w:rsidRDefault="0081600C" w:rsidP="001A0D9F">
            <w:pPr>
              <w:pStyle w:val="Tabletext1"/>
              <w:rPr>
                <w:rFonts w:cstheme="minorBidi"/>
              </w:rPr>
            </w:pPr>
            <w:r w:rsidRPr="001C1D01">
              <w:rPr>
                <w:rFonts w:cstheme="minorBidi"/>
              </w:rPr>
              <w:t>Radiotherapy</w:t>
            </w:r>
          </w:p>
          <w:p w14:paraId="76A9CD3C" w14:textId="77777777" w:rsidR="0081600C" w:rsidRPr="001C1D01" w:rsidRDefault="0081600C" w:rsidP="001A0D9F">
            <w:pPr>
              <w:pStyle w:val="Tabletext1"/>
              <w:rPr>
                <w:rFonts w:cstheme="minorBidi"/>
              </w:rPr>
            </w:pPr>
            <w:r w:rsidRPr="001C1D01">
              <w:rPr>
                <w:rFonts w:cstheme="minorBidi"/>
              </w:rPr>
              <w:t>Not reported</w:t>
            </w:r>
          </w:p>
        </w:tc>
        <w:tc>
          <w:tcPr>
            <w:tcW w:w="863" w:type="pct"/>
            <w:tcBorders>
              <w:bottom w:val="single" w:sz="4" w:space="0" w:color="auto"/>
            </w:tcBorders>
          </w:tcPr>
          <w:p w14:paraId="6B3380E3" w14:textId="77777777" w:rsidR="0081600C" w:rsidRPr="001C1D01" w:rsidRDefault="0081600C" w:rsidP="001A0D9F">
            <w:pPr>
              <w:pStyle w:val="Tabletext1"/>
              <w:rPr>
                <w:rFonts w:cstheme="minorBidi"/>
              </w:rPr>
            </w:pPr>
            <w:r w:rsidRPr="001C1D01">
              <w:rPr>
                <w:rFonts w:cstheme="minorBidi"/>
              </w:rPr>
              <w:t>0 studies</w:t>
            </w:r>
          </w:p>
        </w:tc>
        <w:tc>
          <w:tcPr>
            <w:tcW w:w="1974" w:type="pct"/>
            <w:tcBorders>
              <w:bottom w:val="single" w:sz="4" w:space="0" w:color="auto"/>
            </w:tcBorders>
          </w:tcPr>
          <w:p w14:paraId="31E47BAD" w14:textId="77777777" w:rsidR="0081600C" w:rsidRPr="00FC06D9" w:rsidRDefault="0081600C" w:rsidP="001A0D9F">
            <w:pPr>
              <w:pStyle w:val="Tabletext1"/>
              <w:rPr>
                <w:rFonts w:cstheme="minorBidi"/>
              </w:rPr>
            </w:pPr>
            <w:r w:rsidRPr="00FC06D9">
              <w:rPr>
                <w:rFonts w:cstheme="minorBidi"/>
              </w:rPr>
              <w:t>NA</w:t>
            </w:r>
          </w:p>
        </w:tc>
        <w:tc>
          <w:tcPr>
            <w:tcW w:w="953" w:type="pct"/>
            <w:tcBorders>
              <w:bottom w:val="single" w:sz="4" w:space="0" w:color="auto"/>
            </w:tcBorders>
          </w:tcPr>
          <w:p w14:paraId="25697564" w14:textId="77777777" w:rsidR="0081600C" w:rsidRPr="00FC06D9" w:rsidRDefault="0081600C" w:rsidP="001A0D9F">
            <w:pPr>
              <w:pStyle w:val="Tabletext1"/>
              <w:rPr>
                <w:rFonts w:cstheme="minorBidi"/>
              </w:rPr>
            </w:pPr>
            <w:r w:rsidRPr="00FC06D9">
              <w:rPr>
                <w:rFonts w:cstheme="minorBidi"/>
              </w:rPr>
              <w:t>NA</w:t>
            </w:r>
          </w:p>
        </w:tc>
      </w:tr>
      <w:tr w:rsidR="0081600C" w:rsidRPr="001C1D01" w14:paraId="7ADB85D0" w14:textId="77777777" w:rsidTr="00601F13">
        <w:trPr>
          <w:cantSplit/>
        </w:trPr>
        <w:tc>
          <w:tcPr>
            <w:tcW w:w="1210" w:type="pct"/>
            <w:tcBorders>
              <w:right w:val="nil"/>
            </w:tcBorders>
            <w:shd w:val="clear" w:color="auto" w:fill="D9D9D9" w:themeFill="background1" w:themeFillShade="D9"/>
          </w:tcPr>
          <w:p w14:paraId="16BB3C80" w14:textId="77777777" w:rsidR="0081600C" w:rsidRPr="003C0A9E" w:rsidRDefault="0081600C" w:rsidP="001A0D9F">
            <w:pPr>
              <w:pStyle w:val="Tabletext1"/>
              <w:rPr>
                <w:rFonts w:cstheme="minorBidi"/>
                <w:b/>
              </w:rPr>
            </w:pPr>
            <w:r w:rsidRPr="003C0A9E">
              <w:rPr>
                <w:rFonts w:cstheme="minorBidi"/>
                <w:b/>
              </w:rPr>
              <w:t>Time to local progression</w:t>
            </w:r>
          </w:p>
        </w:tc>
        <w:tc>
          <w:tcPr>
            <w:tcW w:w="863" w:type="pct"/>
            <w:tcBorders>
              <w:left w:val="nil"/>
              <w:right w:val="nil"/>
            </w:tcBorders>
            <w:shd w:val="clear" w:color="auto" w:fill="D9D9D9" w:themeFill="background1" w:themeFillShade="D9"/>
          </w:tcPr>
          <w:p w14:paraId="280CC73A" w14:textId="77777777" w:rsidR="0081600C" w:rsidRPr="001C1D01" w:rsidRDefault="0081600C" w:rsidP="001A0D9F">
            <w:pPr>
              <w:pStyle w:val="Tabletext1"/>
              <w:rPr>
                <w:rFonts w:cstheme="minorBidi"/>
              </w:rPr>
            </w:pPr>
          </w:p>
        </w:tc>
        <w:tc>
          <w:tcPr>
            <w:tcW w:w="1974" w:type="pct"/>
            <w:tcBorders>
              <w:left w:val="nil"/>
              <w:right w:val="nil"/>
            </w:tcBorders>
            <w:shd w:val="clear" w:color="auto" w:fill="D9D9D9" w:themeFill="background1" w:themeFillShade="D9"/>
          </w:tcPr>
          <w:p w14:paraId="0D43D5EA" w14:textId="77777777" w:rsidR="0081600C" w:rsidRPr="00FC06D9" w:rsidRDefault="0081600C" w:rsidP="001A0D9F">
            <w:pPr>
              <w:pStyle w:val="Tabletext1"/>
              <w:rPr>
                <w:rFonts w:cstheme="minorBidi"/>
              </w:rPr>
            </w:pPr>
          </w:p>
        </w:tc>
        <w:tc>
          <w:tcPr>
            <w:tcW w:w="953" w:type="pct"/>
            <w:tcBorders>
              <w:left w:val="nil"/>
            </w:tcBorders>
            <w:shd w:val="clear" w:color="auto" w:fill="D9D9D9" w:themeFill="background1" w:themeFillShade="D9"/>
          </w:tcPr>
          <w:p w14:paraId="7E721D50" w14:textId="77777777" w:rsidR="0081600C" w:rsidRPr="00FC06D9" w:rsidRDefault="0081600C" w:rsidP="001A0D9F">
            <w:pPr>
              <w:pStyle w:val="Tabletext1"/>
              <w:rPr>
                <w:rFonts w:cstheme="minorBidi"/>
              </w:rPr>
            </w:pPr>
          </w:p>
        </w:tc>
      </w:tr>
      <w:tr w:rsidR="0081600C" w:rsidRPr="001C1D01" w14:paraId="0EEAC7E0" w14:textId="77777777" w:rsidTr="00601F13">
        <w:trPr>
          <w:cantSplit/>
        </w:trPr>
        <w:tc>
          <w:tcPr>
            <w:tcW w:w="1210" w:type="pct"/>
          </w:tcPr>
          <w:p w14:paraId="52A9713A" w14:textId="77777777" w:rsidR="0081600C" w:rsidRPr="001C1D01" w:rsidRDefault="0081600C" w:rsidP="001A0D9F">
            <w:pPr>
              <w:pStyle w:val="Tabletext1"/>
              <w:rPr>
                <w:rFonts w:cstheme="minorBidi"/>
              </w:rPr>
            </w:pPr>
            <w:r w:rsidRPr="001C1D01">
              <w:rPr>
                <w:rFonts w:cstheme="minorBidi"/>
              </w:rPr>
              <w:t>MTA</w:t>
            </w:r>
          </w:p>
          <w:p w14:paraId="496990DE" w14:textId="77777777" w:rsidR="0081600C" w:rsidRPr="001C1D01" w:rsidRDefault="0081600C" w:rsidP="001A0D9F">
            <w:pPr>
              <w:pStyle w:val="Tabletext1"/>
              <w:rPr>
                <w:rFonts w:cstheme="minorBidi"/>
              </w:rPr>
            </w:pPr>
            <w:r w:rsidRPr="001C1D01">
              <w:rPr>
                <w:rFonts w:cstheme="minorBidi"/>
              </w:rPr>
              <w:t>Assessed with: Kaplan-Meier estimate (95%CI)</w:t>
            </w:r>
          </w:p>
          <w:p w14:paraId="71E76378" w14:textId="77777777" w:rsidR="0081600C" w:rsidRPr="00FC06D9" w:rsidRDefault="00624EFA" w:rsidP="001A0D9F">
            <w:pPr>
              <w:pStyle w:val="Tabletext1"/>
              <w:rPr>
                <w:rFonts w:cstheme="minorBidi"/>
              </w:rPr>
            </w:pPr>
            <w:r w:rsidRPr="00FC06D9">
              <w:rPr>
                <w:rFonts w:cstheme="minorBidi"/>
              </w:rPr>
              <w:t>F/U range 23</w:t>
            </w:r>
            <w:r w:rsidR="0081600C" w:rsidRPr="00FC06D9">
              <w:rPr>
                <w:rFonts w:cstheme="minorBidi"/>
              </w:rPr>
              <w:t xml:space="preserve"> to 30 months</w:t>
            </w:r>
          </w:p>
        </w:tc>
        <w:tc>
          <w:tcPr>
            <w:tcW w:w="863" w:type="pct"/>
          </w:tcPr>
          <w:p w14:paraId="54DFF618" w14:textId="77777777" w:rsidR="0081600C" w:rsidRPr="00FC06D9" w:rsidRDefault="0081600C" w:rsidP="001A0D9F">
            <w:pPr>
              <w:pStyle w:val="Tabletext1"/>
              <w:rPr>
                <w:rFonts w:cstheme="minorBidi"/>
              </w:rPr>
            </w:pPr>
            <w:r w:rsidRPr="00FC06D9">
              <w:rPr>
                <w:rFonts w:cstheme="minorBidi"/>
              </w:rPr>
              <w:t>2 Level IV studies</w:t>
            </w:r>
          </w:p>
        </w:tc>
        <w:tc>
          <w:tcPr>
            <w:tcW w:w="1974" w:type="pct"/>
          </w:tcPr>
          <w:p w14:paraId="2EF0C82B" w14:textId="77777777" w:rsidR="00077002" w:rsidRPr="00FC06D9" w:rsidRDefault="0081600C" w:rsidP="001A0D9F">
            <w:pPr>
              <w:pStyle w:val="Tabletext1"/>
              <w:rPr>
                <w:rFonts w:cstheme="minorBidi"/>
              </w:rPr>
            </w:pPr>
            <w:r w:rsidRPr="00FC06D9">
              <w:rPr>
                <w:rFonts w:cstheme="minorBidi"/>
                <w:u w:val="single"/>
              </w:rPr>
              <w:t>Han et al (2015)</w:t>
            </w:r>
            <w:r w:rsidRPr="00FC06D9">
              <w:rPr>
                <w:rFonts w:cstheme="minorBidi"/>
              </w:rPr>
              <w:t xml:space="preserve"> </w:t>
            </w:r>
          </w:p>
          <w:p w14:paraId="663BDE1B" w14:textId="7562167C" w:rsidR="0081600C" w:rsidRPr="001D54EF" w:rsidRDefault="0081600C" w:rsidP="001A0D9F">
            <w:pPr>
              <w:pStyle w:val="Tabletext1"/>
              <w:rPr>
                <w:rFonts w:cstheme="minorBidi"/>
              </w:rPr>
            </w:pPr>
            <w:r w:rsidRPr="001D54EF">
              <w:rPr>
                <w:rFonts w:cstheme="minorBidi"/>
              </w:rPr>
              <w:t>28.0 months (95%CI 17.7</w:t>
            </w:r>
            <w:r w:rsidR="00D35E9C">
              <w:rPr>
                <w:rFonts w:cstheme="minorBidi"/>
              </w:rPr>
              <w:t>–</w:t>
            </w:r>
            <w:r w:rsidRPr="001D54EF">
              <w:rPr>
                <w:rFonts w:cstheme="minorBidi"/>
              </w:rPr>
              <w:t>38.3)</w:t>
            </w:r>
          </w:p>
          <w:p w14:paraId="21C48C66" w14:textId="77777777" w:rsidR="00077002" w:rsidRPr="00935A6C" w:rsidRDefault="0081600C" w:rsidP="001A0D9F">
            <w:pPr>
              <w:pStyle w:val="Tabletext1"/>
              <w:rPr>
                <w:rFonts w:cstheme="minorBidi"/>
              </w:rPr>
            </w:pPr>
            <w:r w:rsidRPr="00351105">
              <w:rPr>
                <w:rFonts w:cstheme="minorBidi"/>
                <w:u w:val="single"/>
              </w:rPr>
              <w:t xml:space="preserve">Yang et al (2015) </w:t>
            </w:r>
          </w:p>
          <w:p w14:paraId="0C4AEFB0" w14:textId="20CFB3F4" w:rsidR="0081600C" w:rsidRPr="00935A6C" w:rsidRDefault="0081600C" w:rsidP="001A0D9F">
            <w:pPr>
              <w:pStyle w:val="Tabletext1"/>
              <w:rPr>
                <w:rFonts w:cstheme="minorBidi"/>
              </w:rPr>
            </w:pPr>
            <w:r w:rsidRPr="00935A6C">
              <w:rPr>
                <w:rFonts w:cstheme="minorBidi"/>
              </w:rPr>
              <w:t>45.5 months (95%CI: 28.8</w:t>
            </w:r>
            <w:r w:rsidR="00D35E9C">
              <w:rPr>
                <w:rFonts w:cstheme="minorBidi"/>
              </w:rPr>
              <w:t>–</w:t>
            </w:r>
            <w:r w:rsidRPr="00935A6C">
              <w:rPr>
                <w:rFonts w:cstheme="minorBidi"/>
              </w:rPr>
              <w:t>61.8)</w:t>
            </w:r>
          </w:p>
        </w:tc>
        <w:tc>
          <w:tcPr>
            <w:tcW w:w="953" w:type="pct"/>
          </w:tcPr>
          <w:p w14:paraId="31D9E31E" w14:textId="77777777" w:rsidR="0081600C" w:rsidRPr="0014017A" w:rsidRDefault="0081600C" w:rsidP="001A0D9F">
            <w:pPr>
              <w:pStyle w:val="Tabletext1"/>
              <w:rPr>
                <w:rFonts w:cstheme="minorBidi"/>
              </w:rPr>
            </w:pPr>
            <w:r w:rsidRPr="00574E64">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r w:rsidR="00237FFC" w:rsidRPr="001C1D01">
              <w:rPr>
                <w:rFonts w:cstheme="minorBidi"/>
              </w:rPr>
              <w:t xml:space="preserve"> </w:t>
            </w:r>
            <w:r w:rsidR="00237FFC" w:rsidRPr="001C1D01">
              <w:rPr>
                <w:rFonts w:cstheme="minorBidi"/>
                <w:vertAlign w:val="superscript"/>
              </w:rPr>
              <w:t>6,7</w:t>
            </w:r>
          </w:p>
        </w:tc>
      </w:tr>
      <w:tr w:rsidR="0081600C" w:rsidRPr="001C1D01" w14:paraId="05AD8047" w14:textId="77777777" w:rsidTr="00601F13">
        <w:trPr>
          <w:cantSplit/>
        </w:trPr>
        <w:tc>
          <w:tcPr>
            <w:tcW w:w="1210" w:type="pct"/>
          </w:tcPr>
          <w:p w14:paraId="600284E9" w14:textId="77777777" w:rsidR="0081600C" w:rsidRPr="001C1D01" w:rsidRDefault="0081600C" w:rsidP="001A0D9F">
            <w:pPr>
              <w:pStyle w:val="Tabletext1"/>
              <w:rPr>
                <w:rFonts w:cstheme="minorBidi"/>
              </w:rPr>
            </w:pPr>
            <w:r w:rsidRPr="001C1D01">
              <w:rPr>
                <w:rFonts w:cstheme="minorBidi"/>
              </w:rPr>
              <w:t>RFA</w:t>
            </w:r>
          </w:p>
          <w:p w14:paraId="5BB1C2BF" w14:textId="77777777" w:rsidR="0081600C" w:rsidRPr="001C1D01" w:rsidRDefault="0081600C" w:rsidP="001A0D9F">
            <w:pPr>
              <w:pStyle w:val="Tabletext1"/>
              <w:rPr>
                <w:rFonts w:cstheme="minorBidi"/>
              </w:rPr>
            </w:pPr>
            <w:r w:rsidRPr="001C1D01">
              <w:rPr>
                <w:rFonts w:cstheme="minorBidi"/>
              </w:rPr>
              <w:t>Assessed with: Kaplan-Meier estimate (95%CI)</w:t>
            </w:r>
          </w:p>
          <w:p w14:paraId="4D890D00" w14:textId="77777777" w:rsidR="0081600C" w:rsidRPr="00FC06D9" w:rsidRDefault="00624EFA" w:rsidP="001A0D9F">
            <w:pPr>
              <w:pStyle w:val="Tabletext1"/>
              <w:rPr>
                <w:rFonts w:cstheme="minorBidi"/>
              </w:rPr>
            </w:pPr>
            <w:r w:rsidRPr="001C1D01">
              <w:rPr>
                <w:rFonts w:cstheme="minorBidi"/>
              </w:rPr>
              <w:t>F/U</w:t>
            </w:r>
            <w:r w:rsidRPr="00FC06D9">
              <w:rPr>
                <w:rFonts w:cstheme="minorBidi"/>
              </w:rPr>
              <w:t xml:space="preserve"> </w:t>
            </w:r>
            <w:r w:rsidR="0081600C" w:rsidRPr="00FC06D9">
              <w:rPr>
                <w:rFonts w:cstheme="minorBidi"/>
              </w:rPr>
              <w:t>19 to 46 months</w:t>
            </w:r>
          </w:p>
        </w:tc>
        <w:tc>
          <w:tcPr>
            <w:tcW w:w="863" w:type="pct"/>
          </w:tcPr>
          <w:p w14:paraId="1DC49D42" w14:textId="77777777" w:rsidR="0081600C" w:rsidRPr="00FC06D9" w:rsidRDefault="0081600C" w:rsidP="001A0D9F">
            <w:pPr>
              <w:pStyle w:val="Tabletext1"/>
              <w:rPr>
                <w:rFonts w:cstheme="minorBidi"/>
                <w:vertAlign w:val="superscript"/>
              </w:rPr>
            </w:pPr>
            <w:r w:rsidRPr="00FC06D9">
              <w:rPr>
                <w:rFonts w:cstheme="minorBidi"/>
              </w:rPr>
              <w:t>1 Level III-3 study</w:t>
            </w:r>
            <w:r w:rsidR="00237FFC" w:rsidRPr="00FC06D9">
              <w:rPr>
                <w:rFonts w:cstheme="minorBidi"/>
                <w:vertAlign w:val="superscript"/>
              </w:rPr>
              <w:t>8</w:t>
            </w:r>
          </w:p>
          <w:p w14:paraId="1AD1A1CE" w14:textId="77777777" w:rsidR="0081600C" w:rsidRPr="00FC06D9" w:rsidRDefault="0081600C" w:rsidP="001A0D9F">
            <w:pPr>
              <w:pStyle w:val="Tabletext1"/>
              <w:rPr>
                <w:rFonts w:cstheme="minorBidi"/>
              </w:rPr>
            </w:pPr>
            <w:r w:rsidRPr="00FC06D9">
              <w:rPr>
                <w:rFonts w:cstheme="minorBidi"/>
              </w:rPr>
              <w:t>3 Level IV studies</w:t>
            </w:r>
          </w:p>
          <w:p w14:paraId="7739117B" w14:textId="77777777" w:rsidR="0081600C" w:rsidRPr="001D54EF" w:rsidRDefault="0081600C" w:rsidP="001A0D9F">
            <w:pPr>
              <w:pStyle w:val="Tabletext1"/>
              <w:rPr>
                <w:rFonts w:cstheme="minorBidi"/>
                <w:vertAlign w:val="superscript"/>
              </w:rPr>
            </w:pPr>
          </w:p>
        </w:tc>
        <w:tc>
          <w:tcPr>
            <w:tcW w:w="1974" w:type="pct"/>
          </w:tcPr>
          <w:p w14:paraId="63609DFB" w14:textId="77777777" w:rsidR="00077002" w:rsidRPr="00935A6C" w:rsidRDefault="00077002" w:rsidP="001A0D9F">
            <w:pPr>
              <w:pStyle w:val="Tabletext1"/>
              <w:rPr>
                <w:rFonts w:cstheme="minorBidi"/>
              </w:rPr>
            </w:pPr>
            <w:r w:rsidRPr="00351105">
              <w:rPr>
                <w:rFonts w:cstheme="minorBidi"/>
                <w:u w:val="single"/>
              </w:rPr>
              <w:t>Ambrogi et al (2011)</w:t>
            </w:r>
          </w:p>
          <w:p w14:paraId="0C99A198" w14:textId="77777777" w:rsidR="0081600C" w:rsidRPr="00935A6C" w:rsidRDefault="0081600C" w:rsidP="001A0D9F">
            <w:pPr>
              <w:pStyle w:val="Tabletext1"/>
              <w:rPr>
                <w:rFonts w:cstheme="minorBidi"/>
              </w:rPr>
            </w:pPr>
            <w:r w:rsidRPr="00935A6C">
              <w:rPr>
                <w:rFonts w:cstheme="minorBidi"/>
              </w:rPr>
              <w:t>Median of 39 months (range NR)</w:t>
            </w:r>
          </w:p>
          <w:p w14:paraId="7CD8FDE9" w14:textId="77777777" w:rsidR="00077002" w:rsidRPr="0014017A" w:rsidRDefault="00077002" w:rsidP="001A0D9F">
            <w:pPr>
              <w:pStyle w:val="Tabletext1"/>
              <w:rPr>
                <w:rFonts w:cstheme="minorBidi"/>
              </w:rPr>
            </w:pPr>
            <w:r w:rsidRPr="00574E64">
              <w:rPr>
                <w:rFonts w:cstheme="minorBidi"/>
                <w:u w:val="single"/>
              </w:rPr>
              <w:t>Lanuti et al (2012)</w:t>
            </w:r>
          </w:p>
          <w:p w14:paraId="2B91CE9A" w14:textId="737A6D5E" w:rsidR="0081600C" w:rsidRPr="0014017A" w:rsidRDefault="0081600C" w:rsidP="001A0D9F">
            <w:pPr>
              <w:pStyle w:val="Tabletext1"/>
              <w:rPr>
                <w:rFonts w:cstheme="minorBidi"/>
              </w:rPr>
            </w:pPr>
            <w:r w:rsidRPr="001C1D01">
              <w:rPr>
                <w:rFonts w:cstheme="minorBidi"/>
              </w:rPr>
              <w:t>mean (SD) of 12 (10) months, range 1</w:t>
            </w:r>
            <w:r w:rsidR="00D35E9C">
              <w:rPr>
                <w:rFonts w:cstheme="minorBidi"/>
              </w:rPr>
              <w:t>–</w:t>
            </w:r>
            <w:r w:rsidRPr="001C1D01">
              <w:rPr>
                <w:rFonts w:cstheme="minorBidi"/>
              </w:rPr>
              <w:t>44</w:t>
            </w:r>
          </w:p>
          <w:p w14:paraId="13AFC6A2" w14:textId="77777777" w:rsidR="00077002" w:rsidRPr="0014017A" w:rsidRDefault="00077002" w:rsidP="001A0D9F">
            <w:pPr>
              <w:pStyle w:val="Tabletext1"/>
              <w:rPr>
                <w:rFonts w:cstheme="minorBidi"/>
              </w:rPr>
            </w:pPr>
            <w:r w:rsidRPr="001C1D01">
              <w:rPr>
                <w:rFonts w:cstheme="minorBidi"/>
                <w:u w:val="single"/>
              </w:rPr>
              <w:t>Liu et al (2012)</w:t>
            </w:r>
          </w:p>
          <w:p w14:paraId="596402C7" w14:textId="5ABC76A2" w:rsidR="0081600C" w:rsidRPr="0014017A" w:rsidRDefault="0081600C" w:rsidP="001A0D9F">
            <w:pPr>
              <w:pStyle w:val="Tabletext1"/>
              <w:rPr>
                <w:rFonts w:cstheme="minorBidi"/>
              </w:rPr>
            </w:pPr>
            <w:r w:rsidRPr="001C1D01">
              <w:rPr>
                <w:rFonts w:cstheme="minorBidi"/>
              </w:rPr>
              <w:t>mean (SD): 25 (11) months, range 4</w:t>
            </w:r>
            <w:r w:rsidR="00D35E9C">
              <w:rPr>
                <w:rFonts w:cstheme="minorBidi"/>
              </w:rPr>
              <w:t>–</w:t>
            </w:r>
            <w:r w:rsidRPr="001C1D01">
              <w:rPr>
                <w:rFonts w:cstheme="minorBidi"/>
              </w:rPr>
              <w:t>35</w:t>
            </w:r>
          </w:p>
          <w:p w14:paraId="6CCB6288" w14:textId="77777777" w:rsidR="00077002" w:rsidRPr="0014017A" w:rsidRDefault="00077002" w:rsidP="001A0D9F">
            <w:pPr>
              <w:pStyle w:val="Tabletext1"/>
              <w:rPr>
                <w:rFonts w:cstheme="minorBidi"/>
              </w:rPr>
            </w:pPr>
            <w:r w:rsidRPr="001C1D01">
              <w:rPr>
                <w:rFonts w:cstheme="minorBidi"/>
                <w:u w:val="single"/>
              </w:rPr>
              <w:t>Safi et al (2015)</w:t>
            </w:r>
          </w:p>
          <w:p w14:paraId="518FFE3B" w14:textId="3EB2148F" w:rsidR="0081600C" w:rsidRPr="0014017A" w:rsidRDefault="0081600C" w:rsidP="001A0D9F">
            <w:pPr>
              <w:pStyle w:val="Tabletext1"/>
              <w:rPr>
                <w:rFonts w:cstheme="minorBidi"/>
              </w:rPr>
            </w:pPr>
            <w:r w:rsidRPr="001C1D01">
              <w:rPr>
                <w:rFonts w:cstheme="minorBidi"/>
              </w:rPr>
              <w:t>11.9 ± 8.1 (1</w:t>
            </w:r>
            <w:r w:rsidR="00D35E9C">
              <w:rPr>
                <w:rFonts w:cstheme="minorBidi"/>
              </w:rPr>
              <w:t>–</w:t>
            </w:r>
            <w:r w:rsidRPr="001C1D01">
              <w:rPr>
                <w:rFonts w:cstheme="minorBidi"/>
              </w:rPr>
              <w:t>24) months with RFA and 6.0 ± 3.0 (1</w:t>
            </w:r>
            <w:r w:rsidR="00D35E9C">
              <w:rPr>
                <w:rFonts w:cstheme="minorBidi"/>
              </w:rPr>
              <w:t>–</w:t>
            </w:r>
            <w:r w:rsidRPr="001C1D01">
              <w:rPr>
                <w:rFonts w:cstheme="minorBidi"/>
              </w:rPr>
              <w:t>46) months with radiotherapy, p</w:t>
            </w:r>
            <w:r w:rsidR="008E5DEC">
              <w:rPr>
                <w:rFonts w:cstheme="minorBidi"/>
              </w:rPr>
              <w:t xml:space="preserve"> </w:t>
            </w:r>
            <w:r w:rsidRPr="001C1D01">
              <w:rPr>
                <w:rFonts w:cstheme="minorBidi"/>
              </w:rPr>
              <w:t>=</w:t>
            </w:r>
            <w:r w:rsidR="008E5DEC">
              <w:rPr>
                <w:rFonts w:cstheme="minorBidi"/>
              </w:rPr>
              <w:t xml:space="preserve"> </w:t>
            </w:r>
            <w:r w:rsidRPr="001C1D01">
              <w:rPr>
                <w:rFonts w:cstheme="minorBidi"/>
              </w:rPr>
              <w:t>0.36 for test of significance</w:t>
            </w:r>
          </w:p>
        </w:tc>
        <w:tc>
          <w:tcPr>
            <w:tcW w:w="953" w:type="pct"/>
          </w:tcPr>
          <w:p w14:paraId="1C18FCF8" w14:textId="77777777" w:rsidR="0081600C" w:rsidRPr="0014017A" w:rsidRDefault="0081600C" w:rsidP="001A0D9F">
            <w:pPr>
              <w:pStyle w:val="Tabletext1"/>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 xml:space="preserve">VERY LOW </w:t>
            </w:r>
            <w:r w:rsidR="00237FFC" w:rsidRPr="001C1D01">
              <w:rPr>
                <w:rFonts w:cstheme="minorBidi"/>
                <w:vertAlign w:val="superscript"/>
              </w:rPr>
              <w:t>9</w:t>
            </w:r>
          </w:p>
        </w:tc>
      </w:tr>
      <w:tr w:rsidR="0081600C" w:rsidRPr="001C1D01" w14:paraId="6C38D031" w14:textId="77777777" w:rsidTr="00601F13">
        <w:trPr>
          <w:cantSplit/>
        </w:trPr>
        <w:tc>
          <w:tcPr>
            <w:tcW w:w="1210" w:type="pct"/>
          </w:tcPr>
          <w:p w14:paraId="6C1ED086" w14:textId="77777777" w:rsidR="0081600C" w:rsidRPr="001C1D01" w:rsidRDefault="0081600C" w:rsidP="001A0D9F">
            <w:pPr>
              <w:pStyle w:val="Tabletext1"/>
              <w:rPr>
                <w:rFonts w:cstheme="minorBidi"/>
              </w:rPr>
            </w:pPr>
            <w:r w:rsidRPr="001C1D01">
              <w:rPr>
                <w:rFonts w:cstheme="minorBidi"/>
              </w:rPr>
              <w:t>Radiotherapy</w:t>
            </w:r>
          </w:p>
          <w:p w14:paraId="75328F60" w14:textId="77777777" w:rsidR="0081600C" w:rsidRPr="001C1D01" w:rsidRDefault="0081600C" w:rsidP="001A0D9F">
            <w:pPr>
              <w:pStyle w:val="Tabletext1"/>
              <w:rPr>
                <w:rFonts w:cstheme="minorBidi"/>
              </w:rPr>
            </w:pPr>
            <w:r w:rsidRPr="001C1D01">
              <w:rPr>
                <w:rFonts w:cstheme="minorBidi"/>
              </w:rPr>
              <w:t>Not reported</w:t>
            </w:r>
          </w:p>
        </w:tc>
        <w:tc>
          <w:tcPr>
            <w:tcW w:w="863" w:type="pct"/>
          </w:tcPr>
          <w:p w14:paraId="2FB348E4" w14:textId="77777777" w:rsidR="0081600C" w:rsidRPr="001C1D01" w:rsidRDefault="0081600C" w:rsidP="001A0D9F">
            <w:pPr>
              <w:pStyle w:val="Tabletext1"/>
              <w:rPr>
                <w:rFonts w:cstheme="minorBidi"/>
              </w:rPr>
            </w:pPr>
            <w:r w:rsidRPr="001C1D01">
              <w:rPr>
                <w:rFonts w:cstheme="minorBidi"/>
              </w:rPr>
              <w:t>0 studies</w:t>
            </w:r>
          </w:p>
        </w:tc>
        <w:tc>
          <w:tcPr>
            <w:tcW w:w="1974" w:type="pct"/>
          </w:tcPr>
          <w:p w14:paraId="0C0025C7" w14:textId="77777777" w:rsidR="0081600C" w:rsidRPr="00FC06D9" w:rsidRDefault="0081600C" w:rsidP="001A0D9F">
            <w:pPr>
              <w:pStyle w:val="Tabletext1"/>
              <w:rPr>
                <w:rFonts w:cstheme="minorBidi"/>
              </w:rPr>
            </w:pPr>
            <w:r w:rsidRPr="00FC06D9">
              <w:rPr>
                <w:rFonts w:cstheme="minorBidi"/>
              </w:rPr>
              <w:t>NA</w:t>
            </w:r>
          </w:p>
        </w:tc>
        <w:tc>
          <w:tcPr>
            <w:tcW w:w="953" w:type="pct"/>
          </w:tcPr>
          <w:p w14:paraId="7CB5F9B0" w14:textId="77777777" w:rsidR="0081600C" w:rsidRPr="00FC06D9" w:rsidRDefault="0081600C" w:rsidP="001A0D9F">
            <w:pPr>
              <w:pStyle w:val="Tabletext1"/>
              <w:rPr>
                <w:rFonts w:cstheme="minorBidi"/>
              </w:rPr>
            </w:pPr>
            <w:r w:rsidRPr="00FC06D9">
              <w:rPr>
                <w:rFonts w:cstheme="minorBidi"/>
              </w:rPr>
              <w:t>NA</w:t>
            </w:r>
          </w:p>
        </w:tc>
      </w:tr>
    </w:tbl>
    <w:p w14:paraId="5A97E05C" w14:textId="0295835D" w:rsidR="00EC02DA" w:rsidRDefault="00EC02DA" w:rsidP="00EC02DA">
      <w:pPr>
        <w:pStyle w:val="Tablenotes0"/>
      </w:pPr>
      <w:r>
        <w:t>&lt;</w:t>
      </w:r>
      <w:r w:rsidRPr="001A0D9F">
        <w:t xml:space="preserve"> </w:t>
      </w:r>
      <w:r w:rsidR="00CB3BFC" w:rsidRPr="007C744D">
        <w:t>F/</w:t>
      </w:r>
      <w:r w:rsidR="00CB3BFC">
        <w:t>U =</w:t>
      </w:r>
      <w:r w:rsidR="00CB3BFC" w:rsidRPr="007C744D">
        <w:t xml:space="preserve"> follow-up</w:t>
      </w:r>
      <w:r w:rsidR="00CB3BFC">
        <w:t xml:space="preserve">; </w:t>
      </w:r>
      <w:r w:rsidR="00691BF0">
        <w:t xml:space="preserve">CI = confidence interval; </w:t>
      </w:r>
      <w:r w:rsidRPr="00730ADD">
        <w:t>MTA = microwave tissue ablation; NA = not applicable; RFA = radiofrequency ablation; SD = standard deviation; ± = SD; SBRT= stereotactic body radiotherapy</w:t>
      </w:r>
      <w:r>
        <w:t xml:space="preserve"> &gt;</w:t>
      </w:r>
    </w:p>
    <w:p w14:paraId="0F870D4E" w14:textId="215EED0D" w:rsidR="00B41C8D" w:rsidRDefault="00B41C8D" w:rsidP="00730ADD">
      <w:pPr>
        <w:pStyle w:val="Tablenotes0"/>
      </w:pPr>
      <w:r w:rsidRPr="00730ADD">
        <w:t>GRADE Working Group grades of evidence (Guyatt et al., 2013)</w:t>
      </w:r>
      <w:r w:rsidR="00C457D1">
        <w:rPr>
          <w:b/>
        </w:rPr>
        <w: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FC5A38">
        <w:rPr>
          <w:b/>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FC5A38">
        <w:rPr>
          <w:b/>
        </w:rPr>
        <w:t>Very low quality</w:t>
      </w:r>
      <w:r w:rsidRPr="00E10B76">
        <w:t xml:space="preserve">: </w:t>
      </w:r>
      <w:r>
        <w:t>We have very little confidence in the effect estimate: The true effect is likely to be substantially different from the estimate of effect.</w:t>
      </w:r>
    </w:p>
    <w:p w14:paraId="4B1621AF" w14:textId="6A56AB88" w:rsidR="00B41C8D" w:rsidRPr="00EC02DA" w:rsidRDefault="006A4E2A" w:rsidP="006A4E2A">
      <w:pPr>
        <w:pStyle w:val="Tablenotes0"/>
        <w:numPr>
          <w:ilvl w:val="0"/>
          <w:numId w:val="75"/>
        </w:numPr>
      </w:pPr>
      <w:proofErr w:type="gramStart"/>
      <w:r w:rsidRPr="00EC02DA">
        <w:t>Neither</w:t>
      </w:r>
      <w:r>
        <w:t xml:space="preserve"> </w:t>
      </w:r>
      <w:r w:rsidRPr="00EC02DA">
        <w:t>Han</w:t>
      </w:r>
      <w:proofErr w:type="gramEnd"/>
      <w:r w:rsidR="00B41C8D" w:rsidRPr="00EC02DA">
        <w:t xml:space="preserve"> et al (2015) nor Yang et al (2015) provide confidence intervals associated with the point estimates, </w:t>
      </w:r>
      <w:r w:rsidRPr="006A4E2A">
        <w:t>therefore the precision of these estimates is unclear</w:t>
      </w:r>
      <w:r w:rsidR="00B41C8D" w:rsidRPr="00EC02DA">
        <w:t>. Similarly only Yang et al (2015) report maximum follow-up of &gt;60 months (5 years)</w:t>
      </w:r>
      <w:r w:rsidR="00EC02DA">
        <w:t>.</w:t>
      </w:r>
    </w:p>
    <w:p w14:paraId="2B1700D4" w14:textId="77777777" w:rsidR="00B41C8D" w:rsidRPr="00EC02DA" w:rsidRDefault="00B41C8D" w:rsidP="009970F5">
      <w:pPr>
        <w:pStyle w:val="Tablenotes0"/>
        <w:numPr>
          <w:ilvl w:val="0"/>
          <w:numId w:val="75"/>
        </w:numPr>
        <w:ind w:left="284" w:hanging="284"/>
      </w:pPr>
      <w:r w:rsidRPr="00EC02DA">
        <w:t xml:space="preserve">Note that: Yang et al (2015) examined a subgroup of patients with tumours &gt; 3.5 cm versus ≤ 3.5 cm and found that </w:t>
      </w:r>
      <w:r w:rsidR="00ED0144" w:rsidRPr="00EC02DA">
        <w:t>tumour</w:t>
      </w:r>
      <w:r w:rsidRPr="00EC02DA">
        <w:t xml:space="preserve">s ≤ 3.5 cm were associated with better survival than were </w:t>
      </w:r>
      <w:r w:rsidR="00ED0144" w:rsidRPr="00EC02DA">
        <w:t>tumour</w:t>
      </w:r>
      <w:r w:rsidRPr="00EC02DA">
        <w:t>s &gt;3.5 cm (p</w:t>
      </w:r>
      <w:r w:rsidR="008E5DEC" w:rsidRPr="00EC02DA">
        <w:t xml:space="preserve"> </w:t>
      </w:r>
      <w:r w:rsidRPr="00EC02DA">
        <w:t>=</w:t>
      </w:r>
      <w:r w:rsidR="008E5DEC" w:rsidRPr="00EC02DA">
        <w:t xml:space="preserve"> </w:t>
      </w:r>
      <w:r w:rsidRPr="00EC02DA">
        <w:t xml:space="preserve">0.016). The distribution in number of patients with tumours &gt;3.5 cm across the two studies will affect the consistency of outcomes. </w:t>
      </w:r>
    </w:p>
    <w:p w14:paraId="2C879F15" w14:textId="77777777" w:rsidR="00B41C8D" w:rsidRPr="00EC02DA" w:rsidRDefault="00B41C8D" w:rsidP="009970F5">
      <w:pPr>
        <w:pStyle w:val="Tablenotes0"/>
        <w:numPr>
          <w:ilvl w:val="0"/>
          <w:numId w:val="75"/>
        </w:numPr>
        <w:ind w:left="284" w:hanging="284"/>
      </w:pPr>
      <w:r w:rsidRPr="00EC02DA">
        <w:t>There is a wide range of survival rates reported with reporting becoming more and more limited over time. This should be a relatively homogenous group in terms of cancer stage and extent of disease. There is substantial concern that outcomes have been measured very differently across studies. For example Hiraki et al (2011) has a 5-year survival of 61% whilst Ridge et al (2014) reports only 14%.</w:t>
      </w:r>
    </w:p>
    <w:p w14:paraId="69EEA8D7" w14:textId="77777777" w:rsidR="00B41C8D" w:rsidRPr="00EC02DA" w:rsidRDefault="00B41C8D" w:rsidP="009970F5">
      <w:pPr>
        <w:pStyle w:val="Tablenotes0"/>
        <w:numPr>
          <w:ilvl w:val="0"/>
          <w:numId w:val="75"/>
        </w:numPr>
        <w:ind w:left="284" w:hanging="284"/>
      </w:pPr>
      <w:r w:rsidRPr="00EC02DA">
        <w:t>Koshy et al (2015) is a Level III-1 retrospective propensity-matched cohort, Videtic et al (2015) is Level II study</w:t>
      </w:r>
      <w:r w:rsidR="00EC02DA">
        <w:t>.</w:t>
      </w:r>
    </w:p>
    <w:p w14:paraId="03D03380" w14:textId="77777777" w:rsidR="00B41C8D" w:rsidRPr="00EC02DA" w:rsidRDefault="00CA6DFD" w:rsidP="009970F5">
      <w:pPr>
        <w:pStyle w:val="Tablenotes0"/>
        <w:numPr>
          <w:ilvl w:val="0"/>
          <w:numId w:val="75"/>
        </w:numPr>
        <w:ind w:left="284" w:hanging="284"/>
      </w:pPr>
      <w:r w:rsidRPr="00EC02DA">
        <w:t>Studies</w:t>
      </w:r>
      <w:r w:rsidR="00B41C8D" w:rsidRPr="00EC02DA">
        <w:t xml:space="preserve"> include relatively few patients (total N</w:t>
      </w:r>
      <w:r w:rsidR="00C10752" w:rsidRPr="00EC02DA">
        <w:t xml:space="preserve"> </w:t>
      </w:r>
      <w:r w:rsidR="00B41C8D" w:rsidRPr="00EC02DA">
        <w:t>=</w:t>
      </w:r>
      <w:r w:rsidR="00C10752" w:rsidRPr="00EC02DA">
        <w:t xml:space="preserve"> </w:t>
      </w:r>
      <w:r w:rsidR="00B41C8D" w:rsidRPr="00EC02DA">
        <w:t xml:space="preserve">75), with the study by Yang et al (2014) having a substantially narrower 95%CI than </w:t>
      </w:r>
      <w:r w:rsidR="00B41C8D" w:rsidRPr="00EC02DA">
        <w:lastRenderedPageBreak/>
        <w:t>Han et al (2015), around the estimate of the effect. In this case, with only two studies reporting this outcome there is substantial uncertainty regarding precision</w:t>
      </w:r>
      <w:r w:rsidR="00EC02DA">
        <w:t>.</w:t>
      </w:r>
    </w:p>
    <w:p w14:paraId="65545E7C" w14:textId="77777777" w:rsidR="00B41C8D" w:rsidRPr="00EC02DA" w:rsidRDefault="00B41C8D" w:rsidP="009970F5">
      <w:pPr>
        <w:pStyle w:val="Tablenotes0"/>
        <w:numPr>
          <w:ilvl w:val="0"/>
          <w:numId w:val="75"/>
        </w:numPr>
        <w:ind w:left="284" w:hanging="284"/>
      </w:pPr>
      <w:r w:rsidRPr="00EC02DA">
        <w:t xml:space="preserve">It has been observed that authors appear to use the term recurrence/progression interchangeably. Han et al (2015): A focal enhancement at the ablation site or enlargement of the ablated </w:t>
      </w:r>
      <w:r w:rsidR="00ED0144" w:rsidRPr="00EC02DA">
        <w:t>tumour</w:t>
      </w:r>
      <w:r w:rsidRPr="00EC02DA">
        <w:t xml:space="preserve"> after a series of shrinkage was considered local recurrence if technical success had been confirmed. Yang et al (2015): Local progression was referred to as the contrast‐enhancement by CT scans in the site of ablation.</w:t>
      </w:r>
    </w:p>
    <w:p w14:paraId="70B9A298" w14:textId="77777777" w:rsidR="00B41C8D" w:rsidRPr="00EC02DA" w:rsidRDefault="00CA6DFD" w:rsidP="009970F5">
      <w:pPr>
        <w:pStyle w:val="Tablenotes0"/>
        <w:numPr>
          <w:ilvl w:val="0"/>
          <w:numId w:val="75"/>
        </w:numPr>
        <w:ind w:left="284" w:hanging="284"/>
      </w:pPr>
      <w:r w:rsidRPr="00EC02DA">
        <w:t>Studies</w:t>
      </w:r>
      <w:r w:rsidR="00B41C8D" w:rsidRPr="00EC02DA">
        <w:t xml:space="preserve"> include relatively few patients (total N</w:t>
      </w:r>
      <w:r w:rsidR="00C10752" w:rsidRPr="00EC02DA">
        <w:t xml:space="preserve"> </w:t>
      </w:r>
      <w:r w:rsidR="00B41C8D" w:rsidRPr="00EC02DA">
        <w:t>=</w:t>
      </w:r>
      <w:r w:rsidR="00C10752" w:rsidRPr="00EC02DA">
        <w:t xml:space="preserve"> </w:t>
      </w:r>
      <w:r w:rsidR="00B41C8D" w:rsidRPr="00EC02DA">
        <w:t>75), with the study by Yang et al (2014) having a substantially narrower 95%CI than Han et al (2015), around the estimate of the effect. In this case, with only two studies reporting this outcome there is substantial uncertainty regarding precision</w:t>
      </w:r>
      <w:r w:rsidR="00EC02DA">
        <w:t>.</w:t>
      </w:r>
    </w:p>
    <w:p w14:paraId="1C9FA279" w14:textId="77777777" w:rsidR="00B41C8D" w:rsidRPr="00EC02DA" w:rsidRDefault="00B41C8D" w:rsidP="009970F5">
      <w:pPr>
        <w:pStyle w:val="Tablenotes0"/>
        <w:numPr>
          <w:ilvl w:val="0"/>
          <w:numId w:val="75"/>
        </w:numPr>
        <w:ind w:left="284" w:hanging="284"/>
      </w:pPr>
      <w:r w:rsidRPr="00EC02DA">
        <w:t>Safi et al (2015) is a Level III-3 retrospective cohort study that compared RFA and radiotherapy</w:t>
      </w:r>
      <w:r w:rsidR="00EC02DA">
        <w:t>.</w:t>
      </w:r>
    </w:p>
    <w:p w14:paraId="3328BC2C" w14:textId="77777777" w:rsidR="00B41C8D" w:rsidRPr="00EC02DA" w:rsidRDefault="00B41C8D" w:rsidP="009970F5">
      <w:pPr>
        <w:pStyle w:val="Tablenotes0"/>
        <w:numPr>
          <w:ilvl w:val="0"/>
          <w:numId w:val="75"/>
        </w:numPr>
        <w:ind w:left="284" w:hanging="284"/>
      </w:pPr>
      <w:r w:rsidRPr="00EC02DA">
        <w:t xml:space="preserve">Estimates across different studies are markedly </w:t>
      </w:r>
      <w:proofErr w:type="gramStart"/>
      <w:r w:rsidRPr="00EC02DA">
        <w:t>different,</w:t>
      </w:r>
      <w:proofErr w:type="gramEnd"/>
      <w:r w:rsidRPr="00EC02DA">
        <w:t xml:space="preserve"> it may be due to differences in measurement, reporting or outcome</w:t>
      </w:r>
      <w:r w:rsidR="00EC02DA">
        <w:t>.</w:t>
      </w:r>
    </w:p>
    <w:p w14:paraId="3CC7B103" w14:textId="77777777" w:rsidR="005B0896" w:rsidRDefault="005B0896" w:rsidP="00153564">
      <w:pPr>
        <w:pStyle w:val="Caption"/>
        <w:keepNext/>
        <w:spacing w:before="500"/>
      </w:pPr>
      <w:bookmarkStart w:id="86" w:name="_Ref457465378"/>
      <w:bookmarkStart w:id="87" w:name="_Ref457465372"/>
      <w:bookmarkStart w:id="88" w:name="_Toc460514664"/>
      <w:r>
        <w:t xml:space="preserve">Table </w:t>
      </w:r>
      <w:fldSimple w:instr=" SEQ Table \* ARABIC ">
        <w:r w:rsidR="00D170A5">
          <w:rPr>
            <w:noProof/>
          </w:rPr>
          <w:t>6</w:t>
        </w:r>
      </w:fldSimple>
      <w:bookmarkEnd w:id="86"/>
      <w:r>
        <w:tab/>
      </w:r>
      <w:r w:rsidR="00113E77">
        <w:tab/>
      </w:r>
      <w:r w:rsidRPr="005B0896">
        <w:t>Effectiveness out</w:t>
      </w:r>
      <w:r>
        <w:t>comes relevant to population two</w:t>
      </w:r>
      <w:bookmarkEnd w:id="87"/>
      <w:bookmarkEnd w:id="88"/>
    </w:p>
    <w:tbl>
      <w:tblPr>
        <w:tblStyle w:val="TableGrid9"/>
        <w:tblW w:w="5004" w:type="pct"/>
        <w:tblLook w:val="04A0" w:firstRow="1" w:lastRow="0" w:firstColumn="1" w:lastColumn="0" w:noHBand="0" w:noVBand="1"/>
        <w:tblCaption w:val="Table 11"/>
        <w:tblDescription w:val="Effectiveness outcomes"/>
      </w:tblPr>
      <w:tblGrid>
        <w:gridCol w:w="2234"/>
        <w:gridCol w:w="1598"/>
        <w:gridCol w:w="3639"/>
        <w:gridCol w:w="1778"/>
      </w:tblGrid>
      <w:tr w:rsidR="00237FB0" w:rsidRPr="001C1D01" w14:paraId="0DC8F459" w14:textId="77777777" w:rsidTr="00D21215">
        <w:trPr>
          <w:tblHeader/>
        </w:trPr>
        <w:tc>
          <w:tcPr>
            <w:tcW w:w="1207" w:type="pct"/>
            <w:tcBorders>
              <w:bottom w:val="single" w:sz="4" w:space="0" w:color="auto"/>
            </w:tcBorders>
            <w:shd w:val="clear" w:color="auto" w:fill="D9D9D9" w:themeFill="background1" w:themeFillShade="D9"/>
          </w:tcPr>
          <w:p w14:paraId="53DE8F70" w14:textId="77777777" w:rsidR="00237FB0" w:rsidRPr="00610313" w:rsidRDefault="00237FB0" w:rsidP="00235658">
            <w:pPr>
              <w:pStyle w:val="Tabletext1"/>
              <w:spacing w:before="40" w:after="40"/>
              <w:rPr>
                <w:b/>
              </w:rPr>
            </w:pPr>
            <w:r w:rsidRPr="00610313">
              <w:rPr>
                <w:b/>
              </w:rPr>
              <w:t>Outcome and intervention/comparator</w:t>
            </w:r>
          </w:p>
        </w:tc>
        <w:tc>
          <w:tcPr>
            <w:tcW w:w="864" w:type="pct"/>
            <w:tcBorders>
              <w:bottom w:val="single" w:sz="4" w:space="0" w:color="auto"/>
            </w:tcBorders>
            <w:shd w:val="clear" w:color="auto" w:fill="D9D9D9" w:themeFill="background1" w:themeFillShade="D9"/>
          </w:tcPr>
          <w:p w14:paraId="1C31A33E" w14:textId="77777777" w:rsidR="00237FB0" w:rsidRPr="00610313" w:rsidRDefault="00237FB0" w:rsidP="00235658">
            <w:pPr>
              <w:pStyle w:val="Tabletext1"/>
              <w:spacing w:before="40" w:after="40"/>
              <w:rPr>
                <w:b/>
              </w:rPr>
            </w:pPr>
            <w:r w:rsidRPr="00610313">
              <w:rPr>
                <w:b/>
              </w:rPr>
              <w:t>№ of Studies and level of evidence</w:t>
            </w:r>
          </w:p>
        </w:tc>
        <w:tc>
          <w:tcPr>
            <w:tcW w:w="1967" w:type="pct"/>
            <w:tcBorders>
              <w:bottom w:val="single" w:sz="4" w:space="0" w:color="auto"/>
            </w:tcBorders>
            <w:shd w:val="clear" w:color="auto" w:fill="D9D9D9" w:themeFill="background1" w:themeFillShade="D9"/>
          </w:tcPr>
          <w:p w14:paraId="3750360D" w14:textId="77777777" w:rsidR="00237FB0" w:rsidRPr="00610313" w:rsidRDefault="00237FB0" w:rsidP="00235658">
            <w:pPr>
              <w:pStyle w:val="Tabletext1"/>
              <w:spacing w:before="40" w:after="40"/>
              <w:rPr>
                <w:rFonts w:cstheme="minorBidi"/>
                <w:b/>
              </w:rPr>
            </w:pPr>
            <w:r w:rsidRPr="00610313">
              <w:rPr>
                <w:rFonts w:cstheme="minorBidi"/>
                <w:b/>
              </w:rPr>
              <w:t>Summary</w:t>
            </w:r>
          </w:p>
        </w:tc>
        <w:tc>
          <w:tcPr>
            <w:tcW w:w="961" w:type="pct"/>
            <w:tcBorders>
              <w:bottom w:val="single" w:sz="4" w:space="0" w:color="auto"/>
            </w:tcBorders>
            <w:shd w:val="clear" w:color="auto" w:fill="D9D9D9" w:themeFill="background1" w:themeFillShade="D9"/>
          </w:tcPr>
          <w:p w14:paraId="1B3650DD" w14:textId="77777777" w:rsidR="00237FB0" w:rsidRPr="00610313" w:rsidRDefault="00237FB0" w:rsidP="00235658">
            <w:pPr>
              <w:pStyle w:val="Tabletext1"/>
              <w:spacing w:before="40" w:after="40"/>
              <w:rPr>
                <w:b/>
              </w:rPr>
            </w:pPr>
            <w:r w:rsidRPr="00610313">
              <w:rPr>
                <w:b/>
              </w:rPr>
              <w:t>Quality of the evidence</w:t>
            </w:r>
            <w:r w:rsidR="001C73CA" w:rsidRPr="00610313">
              <w:rPr>
                <w:b/>
              </w:rPr>
              <w:t xml:space="preserve"> </w:t>
            </w:r>
            <w:r w:rsidRPr="00610313">
              <w:rPr>
                <w:b/>
              </w:rPr>
              <w:t>(GRADE)</w:t>
            </w:r>
          </w:p>
        </w:tc>
      </w:tr>
      <w:tr w:rsidR="00237FB0" w:rsidRPr="001C1D01" w14:paraId="2D016539" w14:textId="77777777" w:rsidTr="00691BF0">
        <w:tc>
          <w:tcPr>
            <w:tcW w:w="1207" w:type="pct"/>
            <w:tcBorders>
              <w:right w:val="nil"/>
            </w:tcBorders>
            <w:shd w:val="clear" w:color="auto" w:fill="D9D9D9" w:themeFill="background1" w:themeFillShade="D9"/>
          </w:tcPr>
          <w:p w14:paraId="7152A770" w14:textId="77777777" w:rsidR="00237FB0" w:rsidRPr="00610313" w:rsidRDefault="00EC047B" w:rsidP="00235658">
            <w:pPr>
              <w:pStyle w:val="Tabletext1"/>
              <w:spacing w:before="40" w:after="40"/>
              <w:rPr>
                <w:rFonts w:cstheme="minorBidi"/>
                <w:b/>
              </w:rPr>
            </w:pPr>
            <w:r w:rsidRPr="00610313">
              <w:rPr>
                <w:rFonts w:cstheme="minorBidi"/>
                <w:b/>
              </w:rPr>
              <w:t>Overall survival rate</w:t>
            </w:r>
          </w:p>
        </w:tc>
        <w:tc>
          <w:tcPr>
            <w:tcW w:w="864" w:type="pct"/>
            <w:tcBorders>
              <w:left w:val="nil"/>
              <w:right w:val="nil"/>
            </w:tcBorders>
            <w:shd w:val="clear" w:color="auto" w:fill="D9D9D9" w:themeFill="background1" w:themeFillShade="D9"/>
          </w:tcPr>
          <w:p w14:paraId="0AEE5ADE" w14:textId="77777777" w:rsidR="00237FB0" w:rsidRPr="001C1D01" w:rsidRDefault="00237FB0" w:rsidP="00235658">
            <w:pPr>
              <w:pStyle w:val="Tabletext1"/>
              <w:spacing w:before="40" w:after="40"/>
              <w:rPr>
                <w:rFonts w:cstheme="minorBidi"/>
              </w:rPr>
            </w:pPr>
          </w:p>
        </w:tc>
        <w:tc>
          <w:tcPr>
            <w:tcW w:w="1967" w:type="pct"/>
            <w:tcBorders>
              <w:left w:val="nil"/>
              <w:right w:val="nil"/>
            </w:tcBorders>
            <w:shd w:val="clear" w:color="auto" w:fill="D9D9D9" w:themeFill="background1" w:themeFillShade="D9"/>
          </w:tcPr>
          <w:p w14:paraId="7520AEC4" w14:textId="77777777" w:rsidR="00237FB0" w:rsidRPr="00FC06D9" w:rsidRDefault="00237FB0" w:rsidP="00235658">
            <w:pPr>
              <w:pStyle w:val="Tabletext1"/>
              <w:spacing w:before="40" w:after="40"/>
              <w:rPr>
                <w:rFonts w:cstheme="minorBidi"/>
                <w:u w:val="single"/>
              </w:rPr>
            </w:pPr>
          </w:p>
        </w:tc>
        <w:tc>
          <w:tcPr>
            <w:tcW w:w="961" w:type="pct"/>
            <w:tcBorders>
              <w:left w:val="nil"/>
            </w:tcBorders>
            <w:shd w:val="clear" w:color="auto" w:fill="D9D9D9" w:themeFill="background1" w:themeFillShade="D9"/>
          </w:tcPr>
          <w:p w14:paraId="01DD9748" w14:textId="77777777" w:rsidR="00237FB0" w:rsidRPr="00FC06D9" w:rsidRDefault="00237FB0" w:rsidP="00235658">
            <w:pPr>
              <w:pStyle w:val="Tabletext1"/>
              <w:spacing w:before="40" w:after="40"/>
              <w:rPr>
                <w:rFonts w:cs="Cambria Math"/>
              </w:rPr>
            </w:pPr>
          </w:p>
        </w:tc>
      </w:tr>
      <w:tr w:rsidR="00237FB0" w:rsidRPr="001C1D01" w14:paraId="63D76FC2" w14:textId="77777777" w:rsidTr="001C73CA">
        <w:tc>
          <w:tcPr>
            <w:tcW w:w="1207" w:type="pct"/>
          </w:tcPr>
          <w:p w14:paraId="2994FACD" w14:textId="77777777" w:rsidR="00237FB0" w:rsidRPr="001C1D01" w:rsidRDefault="00237FB0" w:rsidP="00235658">
            <w:pPr>
              <w:pStyle w:val="Tabletext1"/>
              <w:spacing w:before="40" w:after="40"/>
              <w:rPr>
                <w:rFonts w:cstheme="minorBidi"/>
              </w:rPr>
            </w:pPr>
            <w:r w:rsidRPr="001C1D01">
              <w:rPr>
                <w:rFonts w:cstheme="minorBidi"/>
              </w:rPr>
              <w:t>MTA</w:t>
            </w:r>
          </w:p>
          <w:p w14:paraId="536652B4" w14:textId="77777777" w:rsidR="00237FB0" w:rsidRPr="00FC06D9" w:rsidRDefault="00237FB0" w:rsidP="00235658">
            <w:pPr>
              <w:pStyle w:val="Tabletext1"/>
              <w:spacing w:before="40" w:after="40"/>
              <w:rPr>
                <w:rFonts w:cstheme="minorBidi"/>
              </w:rPr>
            </w:pPr>
            <w:r w:rsidRPr="001C1D01">
              <w:rPr>
                <w:rFonts w:cstheme="minorBidi"/>
              </w:rPr>
              <w:t>Assessed with: n/N (%) a</w:t>
            </w:r>
            <w:r w:rsidRPr="00FC06D9">
              <w:rPr>
                <w:rFonts w:cstheme="minorBidi"/>
              </w:rPr>
              <w:t>t 1 and 2 years</w:t>
            </w:r>
          </w:p>
          <w:p w14:paraId="177FA121" w14:textId="77777777" w:rsidR="00237FB0" w:rsidRPr="00351105" w:rsidRDefault="00624EFA" w:rsidP="00235658">
            <w:pPr>
              <w:pStyle w:val="Tabletext1"/>
              <w:spacing w:before="40" w:after="40"/>
              <w:rPr>
                <w:rFonts w:cstheme="minorBidi"/>
              </w:rPr>
            </w:pPr>
            <w:r w:rsidRPr="00FC06D9">
              <w:rPr>
                <w:rFonts w:cstheme="minorBidi"/>
              </w:rPr>
              <w:t>Me</w:t>
            </w:r>
            <w:r w:rsidR="00237FB0" w:rsidRPr="00FC06D9">
              <w:rPr>
                <w:rFonts w:cstheme="minorBidi"/>
              </w:rPr>
              <w:t xml:space="preserve">dian </w:t>
            </w:r>
            <w:r w:rsidRPr="001D54EF">
              <w:rPr>
                <w:rFonts w:cstheme="minorBidi"/>
              </w:rPr>
              <w:t xml:space="preserve">F/U </w:t>
            </w:r>
            <w:r w:rsidR="00237FB0" w:rsidRPr="00351105">
              <w:rPr>
                <w:rFonts w:cstheme="minorBidi"/>
              </w:rPr>
              <w:t>9 months</w:t>
            </w:r>
          </w:p>
        </w:tc>
        <w:tc>
          <w:tcPr>
            <w:tcW w:w="864" w:type="pct"/>
          </w:tcPr>
          <w:p w14:paraId="16552B62" w14:textId="77777777" w:rsidR="00237FB0" w:rsidRPr="00935A6C" w:rsidRDefault="00237FB0" w:rsidP="00235658">
            <w:pPr>
              <w:pStyle w:val="Tabletext1"/>
              <w:spacing w:before="40" w:after="40"/>
              <w:rPr>
                <w:rFonts w:cstheme="minorBidi"/>
              </w:rPr>
            </w:pPr>
            <w:r w:rsidRPr="00935A6C">
              <w:rPr>
                <w:rFonts w:cstheme="minorBidi"/>
              </w:rPr>
              <w:t>1 Level IV study</w:t>
            </w:r>
          </w:p>
        </w:tc>
        <w:tc>
          <w:tcPr>
            <w:tcW w:w="1967" w:type="pct"/>
          </w:tcPr>
          <w:p w14:paraId="5C6E1183" w14:textId="77777777" w:rsidR="008A795E" w:rsidRPr="0014017A" w:rsidRDefault="00237FB0" w:rsidP="00235658">
            <w:pPr>
              <w:pStyle w:val="Tabletext1"/>
              <w:spacing w:before="40" w:after="40"/>
              <w:rPr>
                <w:rFonts w:cstheme="minorBidi"/>
              </w:rPr>
            </w:pPr>
            <w:r w:rsidRPr="00574E64">
              <w:rPr>
                <w:rFonts w:cstheme="minorBidi"/>
                <w:u w:val="single"/>
              </w:rPr>
              <w:t>Vogl et al (2015)</w:t>
            </w:r>
            <w:r w:rsidRPr="001C1D01">
              <w:rPr>
                <w:rFonts w:cstheme="minorBidi"/>
              </w:rPr>
              <w:t xml:space="preserve"> </w:t>
            </w:r>
          </w:p>
          <w:p w14:paraId="05A2B04D" w14:textId="77777777" w:rsidR="00237FB0" w:rsidRPr="0014017A" w:rsidRDefault="008A795E" w:rsidP="00235658">
            <w:pPr>
              <w:pStyle w:val="Tabletext1"/>
              <w:spacing w:before="40" w:after="40"/>
              <w:rPr>
                <w:rFonts w:cstheme="minorBidi"/>
              </w:rPr>
            </w:pPr>
            <w:r w:rsidRPr="001C1D01">
              <w:rPr>
                <w:rFonts w:cstheme="minorBidi"/>
              </w:rPr>
              <w:t>12 month</w:t>
            </w:r>
            <w:r w:rsidR="00237FB0" w:rsidRPr="001C1D01">
              <w:rPr>
                <w:rFonts w:cstheme="minorBidi"/>
              </w:rPr>
              <w:t xml:space="preserve"> survival </w:t>
            </w:r>
            <w:r w:rsidR="00EE2E11">
              <w:rPr>
                <w:rFonts w:cstheme="minorBidi"/>
              </w:rPr>
              <w:t>91</w:t>
            </w:r>
            <w:r w:rsidR="00D53C40">
              <w:rPr>
                <w:rFonts w:cstheme="minorBidi"/>
              </w:rPr>
              <w:t>% (73/80 patients alive), 24 month survival 75%</w:t>
            </w:r>
            <w:r w:rsidR="00237FB0" w:rsidRPr="001C1D01">
              <w:rPr>
                <w:rFonts w:cstheme="minorBidi"/>
              </w:rPr>
              <w:t xml:space="preserve"> (60/80 patients alive). Survival greater than 24 months </w:t>
            </w:r>
            <w:r w:rsidR="00D53C40">
              <w:rPr>
                <w:rFonts w:cstheme="minorBidi"/>
              </w:rPr>
              <w:t>NR.</w:t>
            </w:r>
          </w:p>
        </w:tc>
        <w:tc>
          <w:tcPr>
            <w:tcW w:w="961" w:type="pct"/>
          </w:tcPr>
          <w:p w14:paraId="4D52280E" w14:textId="77777777" w:rsidR="00237FB0" w:rsidRPr="0014017A" w:rsidRDefault="00237FB0" w:rsidP="00235658">
            <w:pPr>
              <w:pStyle w:val="Tabletext1"/>
              <w:spacing w:before="40" w:after="40"/>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p>
        </w:tc>
      </w:tr>
      <w:tr w:rsidR="00237FB0" w:rsidRPr="001C1D01" w14:paraId="6B9D9F48" w14:textId="77777777" w:rsidTr="001C73CA">
        <w:tc>
          <w:tcPr>
            <w:tcW w:w="1207" w:type="pct"/>
          </w:tcPr>
          <w:p w14:paraId="5AE75B0A" w14:textId="77777777" w:rsidR="00237FB0" w:rsidRPr="001C1D01" w:rsidRDefault="00237FB0" w:rsidP="00235658">
            <w:pPr>
              <w:pStyle w:val="Tabletext1"/>
              <w:spacing w:before="40" w:after="40"/>
              <w:rPr>
                <w:rFonts w:cstheme="minorBidi"/>
              </w:rPr>
            </w:pPr>
            <w:r w:rsidRPr="001C1D01">
              <w:rPr>
                <w:rFonts w:cstheme="minorBidi"/>
              </w:rPr>
              <w:t>RFA</w:t>
            </w:r>
          </w:p>
          <w:p w14:paraId="789C683E" w14:textId="77777777" w:rsidR="00237FB0" w:rsidRPr="001C1D01" w:rsidRDefault="00237FB0" w:rsidP="00235658">
            <w:pPr>
              <w:pStyle w:val="Tabletext1"/>
              <w:spacing w:before="40" w:after="40"/>
              <w:rPr>
                <w:rFonts w:cstheme="minorBidi"/>
              </w:rPr>
            </w:pPr>
            <w:r w:rsidRPr="001C1D01">
              <w:rPr>
                <w:rFonts w:cstheme="minorBidi"/>
              </w:rPr>
              <w:t>Assessed with: Kaplan-Meier estimates (95%CI)</w:t>
            </w:r>
          </w:p>
          <w:p w14:paraId="23581C05" w14:textId="77777777" w:rsidR="00237FB0" w:rsidRPr="00FC06D9" w:rsidRDefault="00624EFA" w:rsidP="00235658">
            <w:pPr>
              <w:pStyle w:val="Tabletext1"/>
              <w:spacing w:before="40" w:after="40"/>
              <w:rPr>
                <w:rFonts w:cstheme="minorBidi"/>
              </w:rPr>
            </w:pPr>
            <w:r w:rsidRPr="00FC06D9">
              <w:rPr>
                <w:rFonts w:cstheme="minorBidi"/>
              </w:rPr>
              <w:t xml:space="preserve">F/U range </w:t>
            </w:r>
            <w:r w:rsidR="00237FB0" w:rsidRPr="00FC06D9">
              <w:rPr>
                <w:rFonts w:cstheme="minorBidi"/>
              </w:rPr>
              <w:t>12 to 38 months</w:t>
            </w:r>
          </w:p>
        </w:tc>
        <w:tc>
          <w:tcPr>
            <w:tcW w:w="864" w:type="pct"/>
          </w:tcPr>
          <w:p w14:paraId="0637AB49" w14:textId="77777777" w:rsidR="00237FB0" w:rsidRPr="00FC06D9" w:rsidRDefault="00237FB0" w:rsidP="00235658">
            <w:pPr>
              <w:pStyle w:val="Tabletext1"/>
              <w:spacing w:before="40" w:after="40"/>
              <w:rPr>
                <w:rFonts w:cstheme="minorBidi"/>
              </w:rPr>
            </w:pPr>
            <w:r w:rsidRPr="00FC06D9">
              <w:rPr>
                <w:rFonts w:cstheme="minorBidi"/>
              </w:rPr>
              <w:t>10 Level IV studies</w:t>
            </w:r>
          </w:p>
        </w:tc>
        <w:tc>
          <w:tcPr>
            <w:tcW w:w="1967" w:type="pct"/>
          </w:tcPr>
          <w:p w14:paraId="20B2BD3A" w14:textId="77777777" w:rsidR="00237FB0" w:rsidRPr="001D54EF" w:rsidRDefault="00237FB0" w:rsidP="00235658">
            <w:pPr>
              <w:pStyle w:val="Tabletext1"/>
              <w:spacing w:before="40" w:after="40"/>
              <w:rPr>
                <w:rFonts w:cstheme="minorBidi"/>
                <w:u w:val="single"/>
              </w:rPr>
            </w:pPr>
            <w:r w:rsidRPr="001D54EF">
              <w:rPr>
                <w:rFonts w:cstheme="minorBidi"/>
                <w:u w:val="single"/>
              </w:rPr>
              <w:t>Median survival rate, pooled</w:t>
            </w:r>
          </w:p>
          <w:p w14:paraId="04122C45" w14:textId="2D1A6668" w:rsidR="00237FB0" w:rsidRPr="00351105" w:rsidRDefault="00237FB0" w:rsidP="00235658">
            <w:pPr>
              <w:pStyle w:val="Tabletext1"/>
              <w:spacing w:before="40" w:after="40"/>
              <w:rPr>
                <w:rFonts w:cstheme="minorBidi"/>
              </w:rPr>
            </w:pPr>
            <w:r w:rsidRPr="00351105">
              <w:rPr>
                <w:rFonts w:cstheme="minorBidi"/>
              </w:rPr>
              <w:t>1-year 87.8% (range 73.4</w:t>
            </w:r>
            <w:r w:rsidR="00D35E9C">
              <w:rPr>
                <w:rFonts w:cstheme="minorBidi"/>
              </w:rPr>
              <w:t>–</w:t>
            </w:r>
            <w:r w:rsidRPr="00351105">
              <w:rPr>
                <w:rFonts w:cstheme="minorBidi"/>
              </w:rPr>
              <w:t>100%)</w:t>
            </w:r>
          </w:p>
          <w:p w14:paraId="48391082" w14:textId="2DECAF15" w:rsidR="00237FB0" w:rsidRPr="00935A6C" w:rsidRDefault="00237FB0" w:rsidP="00235658">
            <w:pPr>
              <w:pStyle w:val="Tabletext1"/>
              <w:spacing w:before="40" w:after="40"/>
              <w:rPr>
                <w:rFonts w:cstheme="minorBidi"/>
              </w:rPr>
            </w:pPr>
            <w:r w:rsidRPr="00935A6C">
              <w:rPr>
                <w:rFonts w:cstheme="minorBidi"/>
              </w:rPr>
              <w:t>2-year 59.3% (range 41.1</w:t>
            </w:r>
            <w:r w:rsidR="00D35E9C">
              <w:rPr>
                <w:rFonts w:cstheme="minorBidi"/>
              </w:rPr>
              <w:t>–</w:t>
            </w:r>
            <w:r w:rsidRPr="00935A6C">
              <w:rPr>
                <w:rFonts w:cstheme="minorBidi"/>
              </w:rPr>
              <w:t>94%)</w:t>
            </w:r>
          </w:p>
          <w:p w14:paraId="503B22F8" w14:textId="2A1656B2" w:rsidR="00237FB0" w:rsidRPr="0014017A" w:rsidRDefault="007C3622" w:rsidP="00235658">
            <w:pPr>
              <w:pStyle w:val="Tabletext1"/>
              <w:spacing w:before="40" w:after="40"/>
              <w:rPr>
                <w:rFonts w:cstheme="minorBidi"/>
              </w:rPr>
            </w:pPr>
            <w:r>
              <w:rPr>
                <w:rFonts w:cstheme="minorBidi"/>
              </w:rPr>
              <w:t>3-year 53.0% (range: 30</w:t>
            </w:r>
            <w:r w:rsidR="00D35E9C">
              <w:rPr>
                <w:rFonts w:cstheme="minorBidi"/>
              </w:rPr>
              <w:t>–</w:t>
            </w:r>
            <w:r>
              <w:rPr>
                <w:rFonts w:cstheme="minorBidi"/>
              </w:rPr>
              <w:t>85%)</w:t>
            </w:r>
          </w:p>
        </w:tc>
        <w:tc>
          <w:tcPr>
            <w:tcW w:w="961" w:type="pct"/>
          </w:tcPr>
          <w:p w14:paraId="07B95279" w14:textId="77777777" w:rsidR="00237FB0" w:rsidRPr="0014017A" w:rsidRDefault="00237FB0" w:rsidP="00235658">
            <w:pPr>
              <w:pStyle w:val="Tabletext1"/>
              <w:spacing w:before="40" w:after="40"/>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p>
        </w:tc>
      </w:tr>
      <w:tr w:rsidR="00237FB0" w:rsidRPr="001C1D01" w14:paraId="17DAACA7" w14:textId="77777777" w:rsidTr="001C73CA">
        <w:tc>
          <w:tcPr>
            <w:tcW w:w="1207" w:type="pct"/>
            <w:tcBorders>
              <w:bottom w:val="single" w:sz="4" w:space="0" w:color="auto"/>
            </w:tcBorders>
          </w:tcPr>
          <w:p w14:paraId="18F47742" w14:textId="77777777" w:rsidR="00237FB0" w:rsidRPr="001C1D01" w:rsidRDefault="00237FB0" w:rsidP="00235658">
            <w:pPr>
              <w:pStyle w:val="Tabletext1"/>
              <w:spacing w:before="40" w:after="40"/>
              <w:rPr>
                <w:rFonts w:cstheme="minorBidi"/>
              </w:rPr>
            </w:pPr>
            <w:r w:rsidRPr="001C1D01">
              <w:rPr>
                <w:rFonts w:cstheme="minorBidi"/>
              </w:rPr>
              <w:t>Radiotherapy</w:t>
            </w:r>
          </w:p>
          <w:p w14:paraId="758FDA3E" w14:textId="77777777" w:rsidR="00237FB0" w:rsidRPr="001C1D01" w:rsidRDefault="00237FB0" w:rsidP="00235658">
            <w:pPr>
              <w:pStyle w:val="Tabletext1"/>
              <w:spacing w:before="40" w:after="40"/>
              <w:rPr>
                <w:rFonts w:cstheme="minorBidi"/>
              </w:rPr>
            </w:pPr>
            <w:r w:rsidRPr="001C1D01">
              <w:rPr>
                <w:rFonts w:cstheme="minorBidi"/>
              </w:rPr>
              <w:t>Assessed with: Kaplan-Meier estimate (95%CI)</w:t>
            </w:r>
          </w:p>
          <w:p w14:paraId="2AB4705D" w14:textId="77777777" w:rsidR="00237FB0" w:rsidRPr="00FC06D9" w:rsidRDefault="00624EFA" w:rsidP="00235658">
            <w:pPr>
              <w:pStyle w:val="Tabletext1"/>
              <w:spacing w:before="40" w:after="40"/>
              <w:rPr>
                <w:rFonts w:cstheme="minorBidi"/>
              </w:rPr>
            </w:pPr>
            <w:r w:rsidRPr="00FC06D9">
              <w:rPr>
                <w:rFonts w:cstheme="minorBidi"/>
              </w:rPr>
              <w:t xml:space="preserve">F/U range </w:t>
            </w:r>
            <w:r w:rsidR="00237FB0" w:rsidRPr="00FC06D9">
              <w:rPr>
                <w:rFonts w:cstheme="minorBidi"/>
              </w:rPr>
              <w:t>13 to 55 months</w:t>
            </w:r>
          </w:p>
        </w:tc>
        <w:tc>
          <w:tcPr>
            <w:tcW w:w="864" w:type="pct"/>
            <w:tcBorders>
              <w:bottom w:val="single" w:sz="4" w:space="0" w:color="auto"/>
            </w:tcBorders>
          </w:tcPr>
          <w:p w14:paraId="674772BB" w14:textId="77777777" w:rsidR="00237FB0" w:rsidRPr="00FC06D9" w:rsidRDefault="00237FB0" w:rsidP="00235658">
            <w:pPr>
              <w:pStyle w:val="Tabletext1"/>
              <w:spacing w:before="40" w:after="40"/>
              <w:rPr>
                <w:rFonts w:cstheme="minorBidi"/>
              </w:rPr>
            </w:pPr>
            <w:r w:rsidRPr="00FC06D9">
              <w:rPr>
                <w:rFonts w:cstheme="minorBidi"/>
              </w:rPr>
              <w:t>3 Level III-2 studies</w:t>
            </w:r>
          </w:p>
          <w:p w14:paraId="3B094CB2" w14:textId="77777777" w:rsidR="00237FB0" w:rsidRPr="001D54EF" w:rsidRDefault="00237FB0" w:rsidP="00235658">
            <w:pPr>
              <w:pStyle w:val="Tabletext1"/>
              <w:spacing w:before="40" w:after="40"/>
              <w:rPr>
                <w:rFonts w:cstheme="minorBidi"/>
              </w:rPr>
            </w:pPr>
            <w:r w:rsidRPr="001D54EF">
              <w:rPr>
                <w:rFonts w:cstheme="minorBidi"/>
              </w:rPr>
              <w:t>14 Level IV studies</w:t>
            </w:r>
          </w:p>
        </w:tc>
        <w:tc>
          <w:tcPr>
            <w:tcW w:w="1967" w:type="pct"/>
            <w:tcBorders>
              <w:bottom w:val="single" w:sz="4" w:space="0" w:color="auto"/>
            </w:tcBorders>
          </w:tcPr>
          <w:p w14:paraId="6ED01D8E" w14:textId="77777777" w:rsidR="00237FB0" w:rsidRPr="00351105" w:rsidRDefault="00237FB0" w:rsidP="00235658">
            <w:pPr>
              <w:pStyle w:val="Tabletext1"/>
              <w:spacing w:before="40" w:after="40"/>
              <w:rPr>
                <w:rFonts w:cstheme="minorBidi"/>
                <w:u w:val="single"/>
              </w:rPr>
            </w:pPr>
            <w:r w:rsidRPr="00351105">
              <w:rPr>
                <w:rFonts w:cstheme="minorBidi"/>
                <w:u w:val="single"/>
              </w:rPr>
              <w:t>Median survival rate, pooled</w:t>
            </w:r>
          </w:p>
          <w:p w14:paraId="410AC912" w14:textId="0431968C" w:rsidR="00237FB0" w:rsidRPr="00935A6C" w:rsidRDefault="00077002" w:rsidP="00235658">
            <w:pPr>
              <w:pStyle w:val="Tabletext1"/>
              <w:spacing w:before="40" w:after="40"/>
              <w:rPr>
                <w:rFonts w:cstheme="minorBidi"/>
              </w:rPr>
            </w:pPr>
            <w:r w:rsidRPr="00935A6C">
              <w:rPr>
                <w:rFonts w:cstheme="minorBidi"/>
              </w:rPr>
              <w:t>1-year</w:t>
            </w:r>
            <w:r w:rsidR="007C3622">
              <w:rPr>
                <w:rFonts w:cstheme="minorBidi"/>
              </w:rPr>
              <w:t xml:space="preserve"> 86.0</w:t>
            </w:r>
            <w:r w:rsidR="00237FB0" w:rsidRPr="00935A6C">
              <w:rPr>
                <w:rFonts w:cstheme="minorBidi"/>
              </w:rPr>
              <w:t>% (60.5</w:t>
            </w:r>
            <w:r w:rsidR="00D35E9C">
              <w:rPr>
                <w:rFonts w:cstheme="minorBidi"/>
              </w:rPr>
              <w:t>–</w:t>
            </w:r>
            <w:r w:rsidR="00237FB0" w:rsidRPr="00935A6C">
              <w:rPr>
                <w:rFonts w:cstheme="minorBidi"/>
              </w:rPr>
              <w:t>98%)</w:t>
            </w:r>
          </w:p>
          <w:p w14:paraId="55D09460" w14:textId="45DF7C09" w:rsidR="00237FB0" w:rsidRPr="00574E64" w:rsidRDefault="00237FB0" w:rsidP="00235658">
            <w:pPr>
              <w:pStyle w:val="Tabletext1"/>
              <w:spacing w:before="40" w:after="40"/>
              <w:rPr>
                <w:rFonts w:cstheme="minorBidi"/>
              </w:rPr>
            </w:pPr>
            <w:r w:rsidRPr="00574E64">
              <w:rPr>
                <w:rFonts w:cstheme="minorBidi"/>
              </w:rPr>
              <w:t>2-year 65.1% (31.2</w:t>
            </w:r>
            <w:r w:rsidR="00D35E9C">
              <w:rPr>
                <w:rFonts w:cstheme="minorBidi"/>
              </w:rPr>
              <w:t>–</w:t>
            </w:r>
            <w:r w:rsidRPr="00574E64">
              <w:rPr>
                <w:rFonts w:cstheme="minorBidi"/>
              </w:rPr>
              <w:t>86%)</w:t>
            </w:r>
          </w:p>
          <w:p w14:paraId="3DD902BD" w14:textId="6B1D57D7" w:rsidR="00237FB0" w:rsidRPr="0014017A" w:rsidRDefault="00237FB0" w:rsidP="00235658">
            <w:pPr>
              <w:pStyle w:val="Tabletext1"/>
              <w:spacing w:before="40" w:after="40"/>
              <w:rPr>
                <w:rFonts w:cstheme="minorBidi"/>
              </w:rPr>
            </w:pPr>
            <w:r w:rsidRPr="001C1D01">
              <w:rPr>
                <w:rFonts w:cstheme="minorBidi"/>
              </w:rPr>
              <w:t>3-year 61.5% (50.1</w:t>
            </w:r>
            <w:r w:rsidR="00D35E9C">
              <w:rPr>
                <w:rFonts w:cstheme="minorBidi"/>
              </w:rPr>
              <w:t>–</w:t>
            </w:r>
            <w:r w:rsidRPr="001C1D01">
              <w:rPr>
                <w:rFonts w:cstheme="minorBidi"/>
              </w:rPr>
              <w:t>73%)</w:t>
            </w:r>
          </w:p>
          <w:p w14:paraId="494ADAA9" w14:textId="5A62AEBE" w:rsidR="00237FB0" w:rsidRPr="0014017A" w:rsidRDefault="00237FB0" w:rsidP="00235658">
            <w:pPr>
              <w:pStyle w:val="Tabletext1"/>
              <w:spacing w:before="40" w:after="40"/>
              <w:rPr>
                <w:rFonts w:cstheme="minorBidi"/>
              </w:rPr>
            </w:pPr>
            <w:r w:rsidRPr="001C1D01">
              <w:rPr>
                <w:rFonts w:cstheme="minorBidi"/>
              </w:rPr>
              <w:t>5-year 46.2%</w:t>
            </w:r>
            <w:r w:rsidR="007C3622">
              <w:rPr>
                <w:rFonts w:cstheme="minorBidi"/>
              </w:rPr>
              <w:t xml:space="preserve"> </w:t>
            </w:r>
            <w:r w:rsidRPr="001C1D01">
              <w:rPr>
                <w:rFonts w:cstheme="minorBidi"/>
              </w:rPr>
              <w:t>(39</w:t>
            </w:r>
            <w:r w:rsidR="00D35E9C">
              <w:rPr>
                <w:rFonts w:cstheme="minorBidi"/>
              </w:rPr>
              <w:t>–</w:t>
            </w:r>
            <w:r w:rsidRPr="001C1D01">
              <w:rPr>
                <w:rFonts w:cstheme="minorBidi"/>
              </w:rPr>
              <w:t>56.2%)</w:t>
            </w:r>
          </w:p>
        </w:tc>
        <w:tc>
          <w:tcPr>
            <w:tcW w:w="961" w:type="pct"/>
            <w:tcBorders>
              <w:bottom w:val="single" w:sz="4" w:space="0" w:color="auto"/>
            </w:tcBorders>
          </w:tcPr>
          <w:p w14:paraId="57B3629B" w14:textId="77777777" w:rsidR="00237FB0" w:rsidRPr="0014017A" w:rsidRDefault="00237FB0" w:rsidP="00235658">
            <w:pPr>
              <w:pStyle w:val="Tabletext1"/>
              <w:spacing w:before="40" w:after="40"/>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r w:rsidR="00F82A67" w:rsidRPr="001C1D01">
              <w:rPr>
                <w:rFonts w:cstheme="minorBidi"/>
              </w:rPr>
              <w:t xml:space="preserve"> </w:t>
            </w:r>
            <w:r w:rsidR="00EA1FAE" w:rsidRPr="001C1D01">
              <w:rPr>
                <w:rFonts w:cstheme="minorBidi"/>
                <w:vertAlign w:val="superscript"/>
              </w:rPr>
              <w:t>1</w:t>
            </w:r>
          </w:p>
        </w:tc>
      </w:tr>
      <w:tr w:rsidR="00237FB0" w:rsidRPr="001C1D01" w14:paraId="07A4809E" w14:textId="77777777" w:rsidTr="00691BF0">
        <w:tc>
          <w:tcPr>
            <w:tcW w:w="1207" w:type="pct"/>
            <w:tcBorders>
              <w:bottom w:val="single" w:sz="4" w:space="0" w:color="auto"/>
            </w:tcBorders>
          </w:tcPr>
          <w:p w14:paraId="3B1E3C10" w14:textId="77777777" w:rsidR="00237FB0" w:rsidRPr="001C1D01" w:rsidRDefault="00237FB0" w:rsidP="00235658">
            <w:pPr>
              <w:pStyle w:val="Tabletext1"/>
              <w:spacing w:before="40" w:after="40"/>
              <w:rPr>
                <w:rFonts w:cstheme="minorBidi"/>
              </w:rPr>
            </w:pPr>
            <w:r w:rsidRPr="001C1D01">
              <w:rPr>
                <w:rFonts w:cstheme="minorBidi"/>
              </w:rPr>
              <w:t>Surgery</w:t>
            </w:r>
          </w:p>
          <w:p w14:paraId="11F310E6" w14:textId="77777777" w:rsidR="00237FB0" w:rsidRPr="001C1D01" w:rsidRDefault="00237FB0" w:rsidP="00235658">
            <w:pPr>
              <w:pStyle w:val="Tabletext1"/>
              <w:spacing w:before="40" w:after="40"/>
              <w:rPr>
                <w:rFonts w:cstheme="minorBidi"/>
              </w:rPr>
            </w:pPr>
            <w:r w:rsidRPr="001C1D01">
              <w:rPr>
                <w:rFonts w:cstheme="minorBidi"/>
              </w:rPr>
              <w:t>assessed with: varied measures</w:t>
            </w:r>
          </w:p>
          <w:p w14:paraId="34DC0E4A" w14:textId="77777777" w:rsidR="00237FB0" w:rsidRPr="00FC06D9" w:rsidRDefault="00624EFA" w:rsidP="00235658">
            <w:pPr>
              <w:pStyle w:val="Tabletext1"/>
              <w:spacing w:before="40" w:after="40"/>
              <w:rPr>
                <w:rFonts w:cstheme="minorBidi"/>
              </w:rPr>
            </w:pPr>
            <w:r w:rsidRPr="00FC06D9">
              <w:rPr>
                <w:rFonts w:cstheme="minorBidi"/>
              </w:rPr>
              <w:t>Minimum</w:t>
            </w:r>
            <w:r w:rsidR="00237FB0" w:rsidRPr="00FC06D9">
              <w:rPr>
                <w:rFonts w:cstheme="minorBidi"/>
              </w:rPr>
              <w:t xml:space="preserve"> </w:t>
            </w:r>
            <w:r w:rsidRPr="00FC06D9">
              <w:rPr>
                <w:rFonts w:cstheme="minorBidi"/>
              </w:rPr>
              <w:t>F/U</w:t>
            </w:r>
            <w:r w:rsidR="00237FB0" w:rsidRPr="00FC06D9">
              <w:rPr>
                <w:rFonts w:cstheme="minorBidi"/>
              </w:rPr>
              <w:t xml:space="preserve"> 30 days</w:t>
            </w:r>
          </w:p>
        </w:tc>
        <w:tc>
          <w:tcPr>
            <w:tcW w:w="864" w:type="pct"/>
            <w:tcBorders>
              <w:bottom w:val="single" w:sz="4" w:space="0" w:color="auto"/>
            </w:tcBorders>
          </w:tcPr>
          <w:p w14:paraId="791CF257" w14:textId="77777777" w:rsidR="00237FB0" w:rsidRPr="00FC06D9" w:rsidRDefault="00237FB0" w:rsidP="00235658">
            <w:pPr>
              <w:pStyle w:val="Tabletext1"/>
              <w:spacing w:before="40" w:after="40"/>
              <w:rPr>
                <w:rFonts w:cstheme="minorBidi"/>
              </w:rPr>
            </w:pPr>
            <w:r w:rsidRPr="00FC06D9">
              <w:rPr>
                <w:rFonts w:cstheme="minorBidi"/>
              </w:rPr>
              <w:t>2 Level I studies (of Level IV evidence)</w:t>
            </w:r>
          </w:p>
          <w:p w14:paraId="6689DC0E" w14:textId="77777777" w:rsidR="00237FB0" w:rsidRPr="00FC06D9" w:rsidRDefault="00237FB0" w:rsidP="00235658">
            <w:pPr>
              <w:pStyle w:val="Tabletext1"/>
              <w:spacing w:before="40" w:after="40"/>
              <w:rPr>
                <w:rFonts w:cstheme="minorBidi"/>
              </w:rPr>
            </w:pPr>
            <w:r w:rsidRPr="00FC06D9">
              <w:rPr>
                <w:rFonts w:cstheme="minorBidi"/>
              </w:rPr>
              <w:t xml:space="preserve">2 Level IV studies </w:t>
            </w:r>
          </w:p>
        </w:tc>
        <w:tc>
          <w:tcPr>
            <w:tcW w:w="1967" w:type="pct"/>
            <w:tcBorders>
              <w:bottom w:val="single" w:sz="4" w:space="0" w:color="auto"/>
            </w:tcBorders>
          </w:tcPr>
          <w:p w14:paraId="51CBE704" w14:textId="77777777" w:rsidR="00237FB0" w:rsidRPr="00351105" w:rsidRDefault="008A795E" w:rsidP="00235658">
            <w:pPr>
              <w:pStyle w:val="Tabletext1"/>
              <w:spacing w:before="40" w:after="40"/>
              <w:rPr>
                <w:rFonts w:cstheme="minorBidi"/>
              </w:rPr>
            </w:pPr>
            <w:r w:rsidRPr="001D54EF">
              <w:rPr>
                <w:rFonts w:cstheme="minorBidi"/>
                <w:u w:val="single"/>
              </w:rPr>
              <w:t>Young et al (2015)</w:t>
            </w:r>
          </w:p>
          <w:p w14:paraId="166A6DCE" w14:textId="4041ACF7" w:rsidR="00237FB0" w:rsidRPr="00574E64" w:rsidRDefault="00237FB0" w:rsidP="00235658">
            <w:pPr>
              <w:pStyle w:val="Tabletext1"/>
              <w:spacing w:before="40" w:after="40"/>
              <w:rPr>
                <w:rFonts w:cstheme="minorBidi"/>
              </w:rPr>
            </w:pPr>
            <w:r w:rsidRPr="00935A6C">
              <w:rPr>
                <w:rFonts w:cstheme="minorBidi"/>
              </w:rPr>
              <w:t>Meta-analysis of 5 year overall survival from 11 studies (387 patients) : 29.1% (95%CI; 24.1</w:t>
            </w:r>
            <w:r w:rsidR="00D35E9C">
              <w:rPr>
                <w:rFonts w:cstheme="minorBidi"/>
              </w:rPr>
              <w:t>–</w:t>
            </w:r>
            <w:r w:rsidRPr="00935A6C">
              <w:rPr>
                <w:rFonts w:cstheme="minorBidi"/>
              </w:rPr>
              <w:t>35.3); I2</w:t>
            </w:r>
            <w:r w:rsidR="008E5DEC">
              <w:rPr>
                <w:rFonts w:cstheme="minorBidi"/>
              </w:rPr>
              <w:t xml:space="preserve"> </w:t>
            </w:r>
            <w:r w:rsidRPr="00935A6C">
              <w:rPr>
                <w:rFonts w:cstheme="minorBidi"/>
              </w:rPr>
              <w:t>=0%, p</w:t>
            </w:r>
            <w:r w:rsidR="008E5DEC">
              <w:rPr>
                <w:rFonts w:cstheme="minorBidi"/>
              </w:rPr>
              <w:t xml:space="preserve"> </w:t>
            </w:r>
            <w:r w:rsidRPr="00574E64">
              <w:rPr>
                <w:rFonts w:cstheme="minorBidi"/>
              </w:rPr>
              <w:t>=</w:t>
            </w:r>
            <w:r w:rsidR="008E5DEC">
              <w:rPr>
                <w:rFonts w:cstheme="minorBidi"/>
              </w:rPr>
              <w:t xml:space="preserve"> </w:t>
            </w:r>
            <w:r w:rsidRPr="00574E64">
              <w:rPr>
                <w:rFonts w:cstheme="minorBidi"/>
              </w:rPr>
              <w:t>0.462, d.f</w:t>
            </w:r>
            <w:r w:rsidR="008E5DEC">
              <w:rPr>
                <w:rFonts w:cstheme="minorBidi"/>
              </w:rPr>
              <w:t xml:space="preserve"> </w:t>
            </w:r>
            <w:r w:rsidRPr="00574E64">
              <w:rPr>
                <w:rFonts w:cstheme="minorBidi"/>
              </w:rPr>
              <w:t>=</w:t>
            </w:r>
            <w:r w:rsidR="008E5DEC">
              <w:rPr>
                <w:rFonts w:cstheme="minorBidi"/>
              </w:rPr>
              <w:t xml:space="preserve"> </w:t>
            </w:r>
            <w:r w:rsidRPr="00574E64">
              <w:rPr>
                <w:rFonts w:cstheme="minorBidi"/>
              </w:rPr>
              <w:t xml:space="preserve">10 </w:t>
            </w:r>
          </w:p>
          <w:p w14:paraId="0C033A27" w14:textId="77777777" w:rsidR="008A795E" w:rsidRPr="0014017A" w:rsidRDefault="008A795E" w:rsidP="00235658">
            <w:pPr>
              <w:pStyle w:val="Tabletext1"/>
              <w:spacing w:before="40" w:after="40"/>
              <w:rPr>
                <w:rFonts w:cstheme="minorBidi"/>
              </w:rPr>
            </w:pPr>
            <w:r w:rsidRPr="001C1D01">
              <w:rPr>
                <w:rFonts w:cstheme="minorBidi"/>
                <w:u w:val="single"/>
              </w:rPr>
              <w:t>Pfannschmidt et al (2007)</w:t>
            </w:r>
            <w:r w:rsidR="00237FB0" w:rsidRPr="001C1D01">
              <w:rPr>
                <w:rFonts w:cstheme="minorBidi"/>
              </w:rPr>
              <w:t xml:space="preserve"> </w:t>
            </w:r>
          </w:p>
          <w:p w14:paraId="72DA9420" w14:textId="25C83127" w:rsidR="00822CA7" w:rsidRPr="0014017A" w:rsidRDefault="00932072" w:rsidP="00235658">
            <w:pPr>
              <w:pStyle w:val="Tabletext1"/>
              <w:spacing w:before="40" w:after="40"/>
              <w:rPr>
                <w:rFonts w:cstheme="minorBidi"/>
              </w:rPr>
            </w:pPr>
            <w:r>
              <w:rPr>
                <w:rFonts w:cstheme="minorBidi"/>
              </w:rPr>
              <w:t>Median 5-year survival 48%, range</w:t>
            </w:r>
            <w:r w:rsidR="00237FB0" w:rsidRPr="001C1D01">
              <w:rPr>
                <w:rFonts w:cstheme="minorBidi"/>
              </w:rPr>
              <w:t xml:space="preserve"> 41</w:t>
            </w:r>
            <w:r>
              <w:rPr>
                <w:rFonts w:cstheme="minorBidi"/>
              </w:rPr>
              <w:t>%</w:t>
            </w:r>
            <w:r w:rsidR="00D35E9C">
              <w:rPr>
                <w:rFonts w:cstheme="minorBidi"/>
              </w:rPr>
              <w:t>–</w:t>
            </w:r>
            <w:r>
              <w:rPr>
                <w:rFonts w:cstheme="minorBidi"/>
              </w:rPr>
              <w:t>56%</w:t>
            </w:r>
            <w:r w:rsidR="00237FB0" w:rsidRPr="001C1D01">
              <w:rPr>
                <w:rFonts w:cstheme="minorBidi"/>
              </w:rPr>
              <w:t xml:space="preserve"> </w:t>
            </w:r>
          </w:p>
          <w:p w14:paraId="4671850A" w14:textId="77777777" w:rsidR="00237FB0" w:rsidRPr="0014017A" w:rsidRDefault="008A795E" w:rsidP="00235658">
            <w:pPr>
              <w:pStyle w:val="Tabletext1"/>
              <w:spacing w:before="40" w:after="40"/>
              <w:rPr>
                <w:rFonts w:cstheme="minorBidi"/>
              </w:rPr>
            </w:pPr>
            <w:r w:rsidRPr="001C1D01">
              <w:rPr>
                <w:rFonts w:cstheme="minorBidi"/>
                <w:u w:val="single"/>
              </w:rPr>
              <w:t>Reza et al (2014)</w:t>
            </w:r>
            <w:r w:rsidR="00237FB0" w:rsidRPr="001C1D01">
              <w:rPr>
                <w:rFonts w:cstheme="minorBidi"/>
              </w:rPr>
              <w:t xml:space="preserve"> </w:t>
            </w:r>
          </w:p>
          <w:p w14:paraId="0C099C64" w14:textId="77777777" w:rsidR="00237FB0" w:rsidRPr="0014017A" w:rsidRDefault="00237FB0" w:rsidP="00235658">
            <w:pPr>
              <w:pStyle w:val="Tabletext1"/>
              <w:spacing w:before="40" w:after="40"/>
              <w:rPr>
                <w:rFonts w:cstheme="minorBidi"/>
              </w:rPr>
            </w:pPr>
            <w:r w:rsidRPr="001C1D01">
              <w:rPr>
                <w:rFonts w:cstheme="minorBidi"/>
              </w:rPr>
              <w:t>3-year 48%, 5-year 42%, 10-year</w:t>
            </w:r>
            <w:r w:rsidR="00822CA7" w:rsidRPr="001C1D01">
              <w:rPr>
                <w:rFonts w:cstheme="minorBidi"/>
              </w:rPr>
              <w:t xml:space="preserve"> 31%</w:t>
            </w:r>
          </w:p>
          <w:p w14:paraId="67C14DF1" w14:textId="77777777" w:rsidR="00237FB0" w:rsidRPr="0014017A" w:rsidRDefault="008A795E" w:rsidP="00235658">
            <w:pPr>
              <w:pStyle w:val="Tabletext1"/>
              <w:spacing w:before="40" w:after="40"/>
              <w:rPr>
                <w:rFonts w:cstheme="minorBidi"/>
              </w:rPr>
            </w:pPr>
            <w:r w:rsidRPr="001C1D01">
              <w:rPr>
                <w:rFonts w:cstheme="minorBidi"/>
                <w:u w:val="single"/>
              </w:rPr>
              <w:t>Kitano et al (2012)</w:t>
            </w:r>
          </w:p>
          <w:p w14:paraId="7DD7F76E" w14:textId="77777777" w:rsidR="00237FB0" w:rsidRPr="0014017A" w:rsidRDefault="00237FB0" w:rsidP="00235658">
            <w:pPr>
              <w:pStyle w:val="Tabletext1"/>
              <w:spacing w:before="40" w:after="40"/>
              <w:rPr>
                <w:rFonts w:cstheme="minorBidi"/>
              </w:rPr>
            </w:pPr>
            <w:r w:rsidRPr="001C1D01">
              <w:rPr>
                <w:rFonts w:cstheme="minorBidi"/>
              </w:rPr>
              <w:t>2-year</w:t>
            </w:r>
            <w:r w:rsidR="00822CA7" w:rsidRPr="001C1D01">
              <w:rPr>
                <w:rFonts w:cstheme="minorBidi"/>
              </w:rPr>
              <w:t xml:space="preserve"> 53.9%, </w:t>
            </w:r>
            <w:r w:rsidRPr="001C1D01">
              <w:rPr>
                <w:rFonts w:cstheme="minorBidi"/>
              </w:rPr>
              <w:t>5-year 40.9%</w:t>
            </w:r>
          </w:p>
        </w:tc>
        <w:tc>
          <w:tcPr>
            <w:tcW w:w="961" w:type="pct"/>
            <w:tcBorders>
              <w:bottom w:val="single" w:sz="4" w:space="0" w:color="auto"/>
            </w:tcBorders>
          </w:tcPr>
          <w:p w14:paraId="613C31D7" w14:textId="77777777" w:rsidR="00237FB0" w:rsidRPr="0014017A" w:rsidRDefault="00237FB0" w:rsidP="00235658">
            <w:pPr>
              <w:pStyle w:val="Tabletext1"/>
              <w:spacing w:before="40" w:after="40"/>
              <w:rPr>
                <w:rFonts w:cs="Cambria Math"/>
                <w:color w:val="C00000"/>
              </w:rPr>
            </w:pPr>
            <w:r w:rsidRPr="001C1D01">
              <w:rPr>
                <w:rFonts w:ascii="Cambria Math" w:hAnsi="Cambria Math" w:cs="Cambria Math"/>
                <w:color w:val="00B050"/>
              </w:rPr>
              <w:t>⨁</w:t>
            </w:r>
            <w:r w:rsidRPr="001C1D01">
              <w:rPr>
                <w:rFonts w:ascii="Cambria Math" w:hAnsi="Cambria Math" w:cs="Cambria Math"/>
                <w:color w:val="C00000"/>
              </w:rPr>
              <w:t>⨀⨀⨀</w:t>
            </w:r>
          </w:p>
          <w:p w14:paraId="5D51011C" w14:textId="77777777" w:rsidR="00237FB0" w:rsidRPr="0014017A" w:rsidRDefault="00237FB0" w:rsidP="00235658">
            <w:pPr>
              <w:pStyle w:val="Tabletext1"/>
              <w:spacing w:before="40" w:after="40"/>
              <w:rPr>
                <w:rFonts w:cstheme="minorBidi"/>
              </w:rPr>
            </w:pPr>
            <w:r w:rsidRPr="001C1D01">
              <w:rPr>
                <w:rFonts w:cstheme="minorBidi"/>
              </w:rPr>
              <w:t>VERY LOW</w:t>
            </w:r>
          </w:p>
        </w:tc>
      </w:tr>
      <w:tr w:rsidR="00237FB0" w:rsidRPr="001C1D01" w14:paraId="668DB44F" w14:textId="77777777" w:rsidTr="00691BF0">
        <w:tc>
          <w:tcPr>
            <w:tcW w:w="1207" w:type="pct"/>
            <w:tcBorders>
              <w:right w:val="nil"/>
            </w:tcBorders>
            <w:shd w:val="clear" w:color="auto" w:fill="D9D9D9" w:themeFill="background1" w:themeFillShade="D9"/>
          </w:tcPr>
          <w:p w14:paraId="4CE6E106" w14:textId="77777777" w:rsidR="00237FB0" w:rsidRPr="00AA3346" w:rsidRDefault="006871DD" w:rsidP="00235658">
            <w:pPr>
              <w:pStyle w:val="Tabletext1"/>
              <w:spacing w:before="40" w:after="40"/>
              <w:rPr>
                <w:b/>
              </w:rPr>
            </w:pPr>
            <w:r w:rsidRPr="00AA3346">
              <w:rPr>
                <w:b/>
              </w:rPr>
              <w:t xml:space="preserve">Median </w:t>
            </w:r>
            <w:r w:rsidR="00237FB0" w:rsidRPr="00AA3346">
              <w:rPr>
                <w:b/>
              </w:rPr>
              <w:t xml:space="preserve">survival </w:t>
            </w:r>
            <w:r w:rsidR="004F300F" w:rsidRPr="00AA3346">
              <w:rPr>
                <w:b/>
              </w:rPr>
              <w:t>time</w:t>
            </w:r>
          </w:p>
        </w:tc>
        <w:tc>
          <w:tcPr>
            <w:tcW w:w="864" w:type="pct"/>
            <w:tcBorders>
              <w:left w:val="nil"/>
              <w:right w:val="nil"/>
            </w:tcBorders>
            <w:shd w:val="clear" w:color="auto" w:fill="D9D9D9" w:themeFill="background1" w:themeFillShade="D9"/>
          </w:tcPr>
          <w:p w14:paraId="505382CA" w14:textId="77777777" w:rsidR="00237FB0" w:rsidRPr="00FC06D9" w:rsidRDefault="00237FB0" w:rsidP="00235658">
            <w:pPr>
              <w:pStyle w:val="Tabletext1"/>
              <w:spacing w:before="40" w:after="40"/>
              <w:rPr>
                <w:rFonts w:cstheme="minorBidi"/>
              </w:rPr>
            </w:pPr>
          </w:p>
        </w:tc>
        <w:tc>
          <w:tcPr>
            <w:tcW w:w="1967" w:type="pct"/>
            <w:tcBorders>
              <w:left w:val="nil"/>
              <w:right w:val="nil"/>
            </w:tcBorders>
            <w:shd w:val="clear" w:color="auto" w:fill="D9D9D9" w:themeFill="background1" w:themeFillShade="D9"/>
          </w:tcPr>
          <w:p w14:paraId="2ECD5088" w14:textId="77777777" w:rsidR="00237FB0" w:rsidRPr="001D54EF" w:rsidRDefault="00237FB0" w:rsidP="00235658">
            <w:pPr>
              <w:pStyle w:val="Tabletext1"/>
              <w:spacing w:before="40" w:after="40"/>
              <w:rPr>
                <w:rFonts w:cstheme="minorBidi"/>
              </w:rPr>
            </w:pPr>
          </w:p>
        </w:tc>
        <w:tc>
          <w:tcPr>
            <w:tcW w:w="961" w:type="pct"/>
            <w:tcBorders>
              <w:left w:val="nil"/>
            </w:tcBorders>
            <w:shd w:val="clear" w:color="auto" w:fill="D9D9D9" w:themeFill="background1" w:themeFillShade="D9"/>
          </w:tcPr>
          <w:p w14:paraId="15974062" w14:textId="77777777" w:rsidR="00237FB0" w:rsidRPr="00351105" w:rsidRDefault="00237FB0" w:rsidP="00235658">
            <w:pPr>
              <w:pStyle w:val="Tabletext1"/>
              <w:spacing w:before="40" w:after="40"/>
              <w:rPr>
                <w:rFonts w:cstheme="minorBidi"/>
              </w:rPr>
            </w:pPr>
          </w:p>
        </w:tc>
      </w:tr>
      <w:tr w:rsidR="00237FB0" w:rsidRPr="001C1D01" w14:paraId="0230D8BA" w14:textId="77777777" w:rsidTr="001C73CA">
        <w:tc>
          <w:tcPr>
            <w:tcW w:w="1207" w:type="pct"/>
          </w:tcPr>
          <w:p w14:paraId="654B2A31" w14:textId="77777777" w:rsidR="00237FB0" w:rsidRPr="001C1D01" w:rsidRDefault="00237FB0" w:rsidP="00235658">
            <w:pPr>
              <w:pStyle w:val="Tabletext1"/>
              <w:spacing w:before="40" w:after="40"/>
              <w:rPr>
                <w:rFonts w:cstheme="minorBidi"/>
              </w:rPr>
            </w:pPr>
            <w:r w:rsidRPr="001C1D01">
              <w:rPr>
                <w:rFonts w:cstheme="minorBidi"/>
              </w:rPr>
              <w:t>MTA</w:t>
            </w:r>
          </w:p>
          <w:p w14:paraId="0F9E7E6F" w14:textId="77777777" w:rsidR="00237FB0" w:rsidRPr="00FC06D9" w:rsidRDefault="00237FB0" w:rsidP="00235658">
            <w:pPr>
              <w:pStyle w:val="Tabletext1"/>
              <w:spacing w:before="40" w:after="40"/>
              <w:rPr>
                <w:rFonts w:cstheme="minorBidi"/>
              </w:rPr>
            </w:pPr>
            <w:r w:rsidRPr="001C1D01">
              <w:rPr>
                <w:rFonts w:cstheme="minorBidi"/>
              </w:rPr>
              <w:t>Not reported</w:t>
            </w:r>
          </w:p>
        </w:tc>
        <w:tc>
          <w:tcPr>
            <w:tcW w:w="864" w:type="pct"/>
          </w:tcPr>
          <w:p w14:paraId="4E6519A0" w14:textId="77777777" w:rsidR="00237FB0" w:rsidRPr="00FC06D9" w:rsidRDefault="00237FB0" w:rsidP="00235658">
            <w:pPr>
              <w:pStyle w:val="Tabletext1"/>
              <w:spacing w:before="40" w:after="40"/>
              <w:rPr>
                <w:rFonts w:cstheme="minorBidi"/>
              </w:rPr>
            </w:pPr>
            <w:r w:rsidRPr="00FC06D9">
              <w:rPr>
                <w:rFonts w:cstheme="minorBidi"/>
              </w:rPr>
              <w:t>0 studies</w:t>
            </w:r>
          </w:p>
        </w:tc>
        <w:tc>
          <w:tcPr>
            <w:tcW w:w="1967" w:type="pct"/>
          </w:tcPr>
          <w:p w14:paraId="1794FCE6" w14:textId="77777777" w:rsidR="00237FB0" w:rsidRPr="001D54EF" w:rsidRDefault="00237FB0" w:rsidP="00235658">
            <w:pPr>
              <w:pStyle w:val="Tabletext1"/>
              <w:spacing w:before="40" w:after="40"/>
              <w:rPr>
                <w:rFonts w:cstheme="minorBidi"/>
              </w:rPr>
            </w:pPr>
            <w:r w:rsidRPr="001D54EF">
              <w:rPr>
                <w:rFonts w:cstheme="minorBidi"/>
              </w:rPr>
              <w:t>NA</w:t>
            </w:r>
          </w:p>
        </w:tc>
        <w:tc>
          <w:tcPr>
            <w:tcW w:w="961" w:type="pct"/>
          </w:tcPr>
          <w:p w14:paraId="49B6BB00" w14:textId="77777777" w:rsidR="00237FB0" w:rsidRPr="00351105" w:rsidRDefault="00237FB0" w:rsidP="00235658">
            <w:pPr>
              <w:pStyle w:val="Tabletext1"/>
              <w:spacing w:before="40" w:after="40"/>
              <w:rPr>
                <w:rFonts w:cstheme="minorBidi"/>
              </w:rPr>
            </w:pPr>
            <w:r w:rsidRPr="00351105">
              <w:rPr>
                <w:rFonts w:cstheme="minorBidi"/>
              </w:rPr>
              <w:t>NA</w:t>
            </w:r>
          </w:p>
        </w:tc>
      </w:tr>
      <w:tr w:rsidR="00237FB0" w:rsidRPr="001C1D01" w14:paraId="0F94CA3A" w14:textId="77777777" w:rsidTr="001C73CA">
        <w:tc>
          <w:tcPr>
            <w:tcW w:w="1207" w:type="pct"/>
          </w:tcPr>
          <w:p w14:paraId="26F7165D" w14:textId="77777777" w:rsidR="00237FB0" w:rsidRPr="001C1D01" w:rsidRDefault="00237FB0" w:rsidP="00235658">
            <w:pPr>
              <w:pStyle w:val="Tabletext1"/>
              <w:spacing w:before="40" w:after="40"/>
              <w:rPr>
                <w:rFonts w:cstheme="minorBidi"/>
              </w:rPr>
            </w:pPr>
            <w:r w:rsidRPr="001C1D01">
              <w:rPr>
                <w:rFonts w:cstheme="minorBidi"/>
              </w:rPr>
              <w:lastRenderedPageBreak/>
              <w:t>RFA</w:t>
            </w:r>
          </w:p>
          <w:p w14:paraId="7021A981" w14:textId="77777777" w:rsidR="00237FB0" w:rsidRPr="001C1D01" w:rsidRDefault="00237FB0" w:rsidP="00235658">
            <w:pPr>
              <w:pStyle w:val="Tabletext1"/>
              <w:spacing w:before="40" w:after="40"/>
              <w:rPr>
                <w:rFonts w:cstheme="minorBidi"/>
              </w:rPr>
            </w:pPr>
            <w:r w:rsidRPr="001C1D01">
              <w:rPr>
                <w:rFonts w:cstheme="minorBidi"/>
              </w:rPr>
              <w:t>Assessed with: Kaplan-Meier estimates (95%CI)</w:t>
            </w:r>
          </w:p>
          <w:p w14:paraId="5670A1CA" w14:textId="77777777" w:rsidR="00237FB0" w:rsidRPr="00FC06D9" w:rsidRDefault="00624EFA" w:rsidP="00235658">
            <w:pPr>
              <w:pStyle w:val="Tabletext1"/>
              <w:spacing w:before="40" w:after="40"/>
              <w:rPr>
                <w:rFonts w:cstheme="minorBidi"/>
              </w:rPr>
            </w:pPr>
            <w:r w:rsidRPr="00FC06D9">
              <w:rPr>
                <w:rFonts w:cstheme="minorBidi"/>
              </w:rPr>
              <w:t xml:space="preserve">F/U range </w:t>
            </w:r>
            <w:r w:rsidR="00237FB0" w:rsidRPr="00FC06D9">
              <w:rPr>
                <w:rFonts w:cstheme="minorBidi"/>
              </w:rPr>
              <w:t>12 to 38 months</w:t>
            </w:r>
          </w:p>
        </w:tc>
        <w:tc>
          <w:tcPr>
            <w:tcW w:w="864" w:type="pct"/>
          </w:tcPr>
          <w:p w14:paraId="39FB99D3" w14:textId="77777777" w:rsidR="00237FB0" w:rsidRPr="00FC06D9" w:rsidRDefault="00237FB0" w:rsidP="00235658">
            <w:pPr>
              <w:pStyle w:val="Tabletext1"/>
              <w:spacing w:before="40" w:after="40"/>
              <w:rPr>
                <w:rFonts w:cstheme="minorBidi"/>
              </w:rPr>
            </w:pPr>
            <w:r w:rsidRPr="00FC06D9">
              <w:rPr>
                <w:rFonts w:cstheme="minorBidi"/>
              </w:rPr>
              <w:t>10 Level IV studies</w:t>
            </w:r>
          </w:p>
        </w:tc>
        <w:tc>
          <w:tcPr>
            <w:tcW w:w="1967" w:type="pct"/>
          </w:tcPr>
          <w:p w14:paraId="04490C85" w14:textId="3BA52CA6" w:rsidR="00237FB0" w:rsidRPr="00351105" w:rsidRDefault="00BB362E" w:rsidP="00235658">
            <w:pPr>
              <w:pStyle w:val="Tabletext1"/>
              <w:spacing w:before="40" w:after="40"/>
              <w:rPr>
                <w:rFonts w:cstheme="minorBidi"/>
              </w:rPr>
            </w:pPr>
            <w:r w:rsidRPr="001D54EF">
              <w:rPr>
                <w:rFonts w:cstheme="minorBidi"/>
              </w:rPr>
              <w:t>Median overall survival</w:t>
            </w:r>
            <w:r w:rsidR="00237FB0" w:rsidRPr="00351105">
              <w:rPr>
                <w:rFonts w:cstheme="minorBidi"/>
              </w:rPr>
              <w:t xml:space="preserve"> 44 months (range 21</w:t>
            </w:r>
            <w:r w:rsidR="00D35E9C">
              <w:rPr>
                <w:rFonts w:cstheme="minorBidi"/>
              </w:rPr>
              <w:t>–</w:t>
            </w:r>
            <w:r w:rsidR="00237FB0" w:rsidRPr="00351105">
              <w:rPr>
                <w:rFonts w:cstheme="minorBidi"/>
              </w:rPr>
              <w:t>67)</w:t>
            </w:r>
          </w:p>
        </w:tc>
        <w:tc>
          <w:tcPr>
            <w:tcW w:w="961" w:type="pct"/>
          </w:tcPr>
          <w:p w14:paraId="01720E21" w14:textId="77777777" w:rsidR="00237FB0" w:rsidRPr="0014017A" w:rsidRDefault="00237FB0" w:rsidP="00235658">
            <w:pPr>
              <w:pStyle w:val="Tabletext1"/>
              <w:spacing w:before="40" w:after="40"/>
              <w:rPr>
                <w:rFonts w:cs="Cambria Math"/>
                <w:color w:val="C00000"/>
              </w:rPr>
            </w:pPr>
            <w:r w:rsidRPr="00935A6C">
              <w:rPr>
                <w:rFonts w:ascii="Cambria Math" w:hAnsi="Cambria Math" w:cs="Cambria Math"/>
                <w:color w:val="00B050"/>
              </w:rPr>
              <w:t>⨁</w:t>
            </w:r>
            <w:r w:rsidRPr="00935A6C">
              <w:rPr>
                <w:rFonts w:ascii="Cambria Math" w:hAnsi="Cambria Math" w:cs="Cambria Math"/>
                <w:color w:val="C00000"/>
              </w:rPr>
              <w:t>⨀⨀⨀</w:t>
            </w:r>
            <w:r w:rsidRPr="00935A6C">
              <w:rPr>
                <w:rFonts w:cstheme="minorBidi"/>
              </w:rPr>
              <w:br/>
            </w:r>
            <w:r w:rsidR="00C70659" w:rsidRPr="00574E64">
              <w:rPr>
                <w:rFonts w:cstheme="minorBidi"/>
              </w:rPr>
              <w:t>VERY LOW</w:t>
            </w:r>
            <w:r w:rsidR="00784832" w:rsidRPr="001C1D01">
              <w:rPr>
                <w:rFonts w:cstheme="minorBidi"/>
              </w:rPr>
              <w:t xml:space="preserve"> </w:t>
            </w:r>
            <w:r w:rsidR="00784832" w:rsidRPr="001C1D01">
              <w:rPr>
                <w:rFonts w:cstheme="minorBidi"/>
                <w:vertAlign w:val="superscript"/>
              </w:rPr>
              <w:t>2</w:t>
            </w:r>
          </w:p>
        </w:tc>
      </w:tr>
      <w:tr w:rsidR="00237FB0" w:rsidRPr="001C1D01" w14:paraId="39A74EE5" w14:textId="77777777" w:rsidTr="001C73CA">
        <w:tc>
          <w:tcPr>
            <w:tcW w:w="1207" w:type="pct"/>
            <w:tcBorders>
              <w:bottom w:val="single" w:sz="4" w:space="0" w:color="auto"/>
            </w:tcBorders>
          </w:tcPr>
          <w:p w14:paraId="5A1EDC6D" w14:textId="77777777" w:rsidR="00237FB0" w:rsidRPr="001C1D01" w:rsidRDefault="00237FB0" w:rsidP="00235658">
            <w:pPr>
              <w:pStyle w:val="Tabletext1"/>
              <w:spacing w:before="40" w:after="40"/>
              <w:rPr>
                <w:rFonts w:cstheme="minorBidi"/>
              </w:rPr>
            </w:pPr>
            <w:r w:rsidRPr="001C1D01">
              <w:rPr>
                <w:rFonts w:cstheme="minorBidi"/>
              </w:rPr>
              <w:t>Radiotherapy</w:t>
            </w:r>
          </w:p>
          <w:p w14:paraId="6CFB2044" w14:textId="77777777" w:rsidR="00237FB0" w:rsidRPr="001C1D01" w:rsidRDefault="00237FB0" w:rsidP="00235658">
            <w:pPr>
              <w:pStyle w:val="Tabletext1"/>
              <w:spacing w:before="40" w:after="40"/>
              <w:rPr>
                <w:rFonts w:cstheme="minorBidi"/>
              </w:rPr>
            </w:pPr>
            <w:r w:rsidRPr="001C1D01">
              <w:rPr>
                <w:rFonts w:cstheme="minorBidi"/>
              </w:rPr>
              <w:t>Assessed with: Kaplan-Meier estimates (95%CI)</w:t>
            </w:r>
          </w:p>
          <w:p w14:paraId="7911D0FA" w14:textId="77777777" w:rsidR="00237FB0" w:rsidRPr="00FC06D9" w:rsidRDefault="00624EFA" w:rsidP="00235658">
            <w:pPr>
              <w:pStyle w:val="Tabletext1"/>
              <w:spacing w:before="40" w:after="40"/>
              <w:rPr>
                <w:rFonts w:cstheme="minorBidi"/>
              </w:rPr>
            </w:pPr>
            <w:r w:rsidRPr="00FC06D9">
              <w:rPr>
                <w:rFonts w:cstheme="minorBidi"/>
              </w:rPr>
              <w:t xml:space="preserve">F/U range </w:t>
            </w:r>
            <w:r w:rsidR="00237FB0" w:rsidRPr="00FC06D9">
              <w:rPr>
                <w:rFonts w:cstheme="minorBidi"/>
              </w:rPr>
              <w:t>13 to 55 months</w:t>
            </w:r>
          </w:p>
        </w:tc>
        <w:tc>
          <w:tcPr>
            <w:tcW w:w="864" w:type="pct"/>
            <w:tcBorders>
              <w:bottom w:val="single" w:sz="4" w:space="0" w:color="auto"/>
            </w:tcBorders>
          </w:tcPr>
          <w:p w14:paraId="3B8B05D3" w14:textId="77777777" w:rsidR="00237FB0" w:rsidRPr="001D54EF" w:rsidRDefault="00237FB0" w:rsidP="00235658">
            <w:pPr>
              <w:pStyle w:val="Tabletext1"/>
              <w:spacing w:before="40" w:after="40"/>
              <w:rPr>
                <w:rFonts w:cstheme="minorBidi"/>
              </w:rPr>
            </w:pPr>
            <w:r w:rsidRPr="00FC06D9">
              <w:rPr>
                <w:rFonts w:cstheme="minorBidi"/>
              </w:rPr>
              <w:t>1</w:t>
            </w:r>
            <w:r w:rsidR="00BD09F3" w:rsidRPr="00FC06D9">
              <w:rPr>
                <w:rFonts w:cstheme="minorBidi"/>
              </w:rPr>
              <w:t xml:space="preserve"> </w:t>
            </w:r>
            <w:r w:rsidRPr="001D54EF">
              <w:rPr>
                <w:rFonts w:cstheme="minorBidi"/>
              </w:rPr>
              <w:t>Level III-2 study</w:t>
            </w:r>
          </w:p>
          <w:p w14:paraId="5F6B44FE" w14:textId="77777777" w:rsidR="00237FB0" w:rsidRPr="00935A6C" w:rsidRDefault="00EA1FAE" w:rsidP="00235658">
            <w:pPr>
              <w:pStyle w:val="Tabletext1"/>
              <w:spacing w:before="40" w:after="40"/>
              <w:rPr>
                <w:rFonts w:cstheme="minorBidi"/>
              </w:rPr>
            </w:pPr>
            <w:r w:rsidRPr="00351105">
              <w:rPr>
                <w:rFonts w:cstheme="minorBidi"/>
              </w:rPr>
              <w:t>10 Level IV studies</w:t>
            </w:r>
          </w:p>
        </w:tc>
        <w:tc>
          <w:tcPr>
            <w:tcW w:w="1967" w:type="pct"/>
            <w:tcBorders>
              <w:bottom w:val="single" w:sz="4" w:space="0" w:color="auto"/>
            </w:tcBorders>
          </w:tcPr>
          <w:p w14:paraId="3142C035" w14:textId="2D7A0500" w:rsidR="00237FB0" w:rsidRPr="0014017A" w:rsidRDefault="00BB362E" w:rsidP="00235658">
            <w:pPr>
              <w:pStyle w:val="Tabletext1"/>
              <w:spacing w:before="40" w:after="40"/>
              <w:rPr>
                <w:rFonts w:cstheme="minorBidi"/>
              </w:rPr>
            </w:pPr>
            <w:r w:rsidRPr="00574E64">
              <w:rPr>
                <w:rFonts w:cstheme="minorBidi"/>
              </w:rPr>
              <w:t>Median overall survival</w:t>
            </w:r>
            <w:r w:rsidR="00237FB0" w:rsidRPr="001C1D01">
              <w:rPr>
                <w:rFonts w:cstheme="minorBidi"/>
              </w:rPr>
              <w:t xml:space="preserve"> 27.8 months (range 12</w:t>
            </w:r>
            <w:r w:rsidR="00D35E9C">
              <w:rPr>
                <w:rFonts w:cstheme="minorBidi"/>
              </w:rPr>
              <w:t>–</w:t>
            </w:r>
            <w:r w:rsidR="00237FB0" w:rsidRPr="001C1D01">
              <w:rPr>
                <w:rFonts w:cstheme="minorBidi"/>
              </w:rPr>
              <w:t>42.8)</w:t>
            </w:r>
          </w:p>
        </w:tc>
        <w:tc>
          <w:tcPr>
            <w:tcW w:w="961" w:type="pct"/>
            <w:tcBorders>
              <w:bottom w:val="single" w:sz="4" w:space="0" w:color="auto"/>
            </w:tcBorders>
          </w:tcPr>
          <w:p w14:paraId="68D4755D" w14:textId="77777777" w:rsidR="00237FB0" w:rsidRPr="0014017A" w:rsidRDefault="00237FB0" w:rsidP="00235658">
            <w:pPr>
              <w:pStyle w:val="Tabletext1"/>
              <w:spacing w:before="40" w:after="40"/>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r>
            <w:r w:rsidR="00EA1FAE" w:rsidRPr="001C1D01">
              <w:rPr>
                <w:rFonts w:cstheme="minorBidi"/>
              </w:rPr>
              <w:t>VERY LOW</w:t>
            </w:r>
            <w:r w:rsidR="00784832" w:rsidRPr="001C1D01">
              <w:rPr>
                <w:rFonts w:cstheme="minorBidi"/>
              </w:rPr>
              <w:t xml:space="preserve"> </w:t>
            </w:r>
            <w:r w:rsidR="00784832" w:rsidRPr="001C1D01">
              <w:rPr>
                <w:rFonts w:cstheme="minorBidi"/>
                <w:vertAlign w:val="superscript"/>
              </w:rPr>
              <w:t>2</w:t>
            </w:r>
          </w:p>
        </w:tc>
      </w:tr>
      <w:tr w:rsidR="00237FB0" w:rsidRPr="001C1D01" w14:paraId="7B405625" w14:textId="77777777" w:rsidTr="00235658">
        <w:tc>
          <w:tcPr>
            <w:tcW w:w="1207" w:type="pct"/>
            <w:tcBorders>
              <w:bottom w:val="single" w:sz="4" w:space="0" w:color="auto"/>
            </w:tcBorders>
          </w:tcPr>
          <w:p w14:paraId="628A866C" w14:textId="77777777" w:rsidR="00237FB0" w:rsidRPr="001C1D01" w:rsidRDefault="00237FB0" w:rsidP="00235658">
            <w:pPr>
              <w:pStyle w:val="Tabletext1"/>
              <w:spacing w:before="40" w:after="40"/>
              <w:rPr>
                <w:rFonts w:cstheme="minorBidi"/>
              </w:rPr>
            </w:pPr>
            <w:r w:rsidRPr="001C1D01">
              <w:rPr>
                <w:rFonts w:cstheme="minorBidi"/>
              </w:rPr>
              <w:t>Surgery</w:t>
            </w:r>
          </w:p>
          <w:p w14:paraId="7753D843" w14:textId="77777777" w:rsidR="00237FB0" w:rsidRPr="00FC06D9" w:rsidRDefault="00237FB0" w:rsidP="00235658">
            <w:pPr>
              <w:pStyle w:val="Tabletext1"/>
              <w:spacing w:before="40" w:after="40"/>
              <w:rPr>
                <w:rFonts w:cstheme="minorBidi"/>
              </w:rPr>
            </w:pPr>
            <w:r w:rsidRPr="001C1D01">
              <w:rPr>
                <w:rFonts w:cstheme="minorBidi"/>
              </w:rPr>
              <w:t>assessed with: Kaplan-Meier estimate (9</w:t>
            </w:r>
            <w:r w:rsidRPr="00FC06D9">
              <w:rPr>
                <w:rFonts w:cstheme="minorBidi"/>
              </w:rPr>
              <w:t>5 % CI)</w:t>
            </w:r>
          </w:p>
          <w:p w14:paraId="669C8C48" w14:textId="77777777" w:rsidR="00237FB0" w:rsidRPr="00FC06D9" w:rsidRDefault="005130A1" w:rsidP="00235658">
            <w:pPr>
              <w:pStyle w:val="Tabletext1"/>
              <w:spacing w:before="40" w:after="40"/>
              <w:rPr>
                <w:rFonts w:cstheme="minorBidi"/>
              </w:rPr>
            </w:pPr>
            <w:r w:rsidRPr="00FC06D9">
              <w:rPr>
                <w:rFonts w:cstheme="minorBidi"/>
              </w:rPr>
              <w:t>F/U not reported</w:t>
            </w:r>
          </w:p>
        </w:tc>
        <w:tc>
          <w:tcPr>
            <w:tcW w:w="864" w:type="pct"/>
            <w:tcBorders>
              <w:bottom w:val="single" w:sz="4" w:space="0" w:color="auto"/>
            </w:tcBorders>
          </w:tcPr>
          <w:p w14:paraId="1EBE8F6F" w14:textId="77777777" w:rsidR="00237FB0" w:rsidRPr="001D54EF" w:rsidRDefault="00237FB0" w:rsidP="00235658">
            <w:pPr>
              <w:pStyle w:val="Tabletext1"/>
              <w:spacing w:before="40" w:after="40"/>
              <w:rPr>
                <w:rFonts w:cstheme="minorBidi"/>
              </w:rPr>
            </w:pPr>
            <w:r w:rsidRPr="001D54EF">
              <w:rPr>
                <w:rFonts w:cstheme="minorBidi"/>
              </w:rPr>
              <w:t>3 Level IV studies</w:t>
            </w:r>
          </w:p>
        </w:tc>
        <w:tc>
          <w:tcPr>
            <w:tcW w:w="1967" w:type="pct"/>
            <w:tcBorders>
              <w:bottom w:val="single" w:sz="4" w:space="0" w:color="auto"/>
            </w:tcBorders>
          </w:tcPr>
          <w:p w14:paraId="0F9150AC" w14:textId="77777777" w:rsidR="0070602F" w:rsidRPr="00351105" w:rsidRDefault="0070602F" w:rsidP="00235658">
            <w:pPr>
              <w:pStyle w:val="Tabletext1"/>
              <w:spacing w:before="40" w:after="40"/>
              <w:rPr>
                <w:rFonts w:cstheme="minorBidi"/>
                <w:u w:val="single"/>
              </w:rPr>
            </w:pPr>
            <w:r w:rsidRPr="00351105">
              <w:rPr>
                <w:rFonts w:cstheme="minorBidi"/>
                <w:u w:val="single"/>
              </w:rPr>
              <w:t>Renaud et al (2014)</w:t>
            </w:r>
          </w:p>
          <w:p w14:paraId="54D08490" w14:textId="171AB743" w:rsidR="00237FB0" w:rsidRPr="0014017A" w:rsidRDefault="00237FB0" w:rsidP="00235658">
            <w:pPr>
              <w:pStyle w:val="Tabletext1"/>
              <w:spacing w:before="40" w:after="40"/>
              <w:rPr>
                <w:rFonts w:cstheme="minorBidi"/>
                <w:u w:val="single"/>
              </w:rPr>
            </w:pPr>
            <w:r w:rsidRPr="00935A6C">
              <w:rPr>
                <w:rFonts w:cstheme="minorBidi"/>
              </w:rPr>
              <w:t>No lymph node inv</w:t>
            </w:r>
            <w:r w:rsidR="00344875">
              <w:rPr>
                <w:rFonts w:cstheme="minorBidi"/>
              </w:rPr>
              <w:t>olvement: 94 months (95%CI, 76.3</w:t>
            </w:r>
            <w:r w:rsidR="00D35E9C">
              <w:rPr>
                <w:rFonts w:cstheme="minorBidi"/>
              </w:rPr>
              <w:t>–</w:t>
            </w:r>
            <w:r w:rsidR="00344875">
              <w:rPr>
                <w:rFonts w:cstheme="minorBidi"/>
              </w:rPr>
              <w:t>111.7</w:t>
            </w:r>
            <w:r w:rsidRPr="00935A6C">
              <w:rPr>
                <w:rFonts w:cstheme="minorBidi"/>
              </w:rPr>
              <w:t>) positive lymph node invo</w:t>
            </w:r>
            <w:r w:rsidR="00344875">
              <w:rPr>
                <w:rFonts w:cstheme="minorBidi"/>
              </w:rPr>
              <w:t>lvement: 42 months (95%CI, 30.1</w:t>
            </w:r>
            <w:r w:rsidR="00D35E9C">
              <w:rPr>
                <w:rFonts w:cstheme="minorBidi"/>
              </w:rPr>
              <w:t>–</w:t>
            </w:r>
            <w:r w:rsidRPr="00935A6C">
              <w:rPr>
                <w:rFonts w:cstheme="minorBidi"/>
              </w:rPr>
              <w:t>53.9; p&lt;0.0001) Hilar location of lymph node involvement: 47 months (95%C</w:t>
            </w:r>
            <w:r w:rsidRPr="00574E64">
              <w:rPr>
                <w:rFonts w:cstheme="minorBidi"/>
              </w:rPr>
              <w:t>I, 29.</w:t>
            </w:r>
            <w:r w:rsidR="00344875">
              <w:rPr>
                <w:rFonts w:cstheme="minorBidi"/>
              </w:rPr>
              <w:t>9</w:t>
            </w:r>
            <w:r w:rsidR="00D35E9C">
              <w:rPr>
                <w:rFonts w:cstheme="minorBidi"/>
              </w:rPr>
              <w:t>–</w:t>
            </w:r>
            <w:r w:rsidRPr="00574E64">
              <w:rPr>
                <w:rFonts w:cstheme="minorBidi"/>
              </w:rPr>
              <w:t>64.1) Mediastinal location of lymph node involvement: 37 months (95%CI, 1</w:t>
            </w:r>
            <w:r w:rsidR="00344875">
              <w:rPr>
                <w:rFonts w:cstheme="minorBidi"/>
              </w:rPr>
              <w:t>4.0</w:t>
            </w:r>
            <w:r w:rsidR="00D35E9C">
              <w:rPr>
                <w:rFonts w:cstheme="minorBidi"/>
              </w:rPr>
              <w:t>–</w:t>
            </w:r>
            <w:r w:rsidRPr="00574E64">
              <w:rPr>
                <w:rFonts w:cstheme="minorBidi"/>
              </w:rPr>
              <w:t>60.0; p&gt;0.05) Solitary pulmonary metastasis: 81 months (95%CI, 60.8</w:t>
            </w:r>
            <w:r w:rsidR="00D35E9C">
              <w:rPr>
                <w:rFonts w:cstheme="minorBidi"/>
              </w:rPr>
              <w:t>–</w:t>
            </w:r>
            <w:r w:rsidRPr="00574E64">
              <w:rPr>
                <w:rFonts w:cstheme="minorBidi"/>
              </w:rPr>
              <w:t>101.</w:t>
            </w:r>
            <w:r w:rsidR="00344875">
              <w:rPr>
                <w:rFonts w:cstheme="minorBidi"/>
              </w:rPr>
              <w:t>2</w:t>
            </w:r>
            <w:r w:rsidRPr="00574E64">
              <w:rPr>
                <w:rFonts w:cstheme="minorBidi"/>
              </w:rPr>
              <w:t>) Multiple metastases: 55 months (95%CI, 35.1</w:t>
            </w:r>
            <w:r w:rsidR="00D35E9C">
              <w:rPr>
                <w:rFonts w:cstheme="minorBidi"/>
              </w:rPr>
              <w:t>–</w:t>
            </w:r>
            <w:r w:rsidRPr="00574E64">
              <w:rPr>
                <w:rFonts w:cstheme="minorBidi"/>
              </w:rPr>
              <w:t>74.</w:t>
            </w:r>
            <w:r w:rsidR="00344875">
              <w:rPr>
                <w:rFonts w:cstheme="minorBidi"/>
              </w:rPr>
              <w:t>9</w:t>
            </w:r>
            <w:r w:rsidRPr="00574E64">
              <w:rPr>
                <w:rFonts w:cstheme="minorBidi"/>
              </w:rPr>
              <w:t>; p&lt;0.01) Hepatic metastases: 47 months (</w:t>
            </w:r>
            <w:r w:rsidRPr="001C1D01">
              <w:rPr>
                <w:rFonts w:cstheme="minorBidi"/>
              </w:rPr>
              <w:t>95%CI, 21.6</w:t>
            </w:r>
            <w:r w:rsidR="00D35E9C">
              <w:rPr>
                <w:rFonts w:cstheme="minorBidi"/>
              </w:rPr>
              <w:t>–</w:t>
            </w:r>
            <w:r w:rsidRPr="001C1D01">
              <w:rPr>
                <w:rFonts w:cstheme="minorBidi"/>
              </w:rPr>
              <w:t>72.</w:t>
            </w:r>
            <w:r w:rsidR="00344875">
              <w:rPr>
                <w:rFonts w:cstheme="minorBidi"/>
              </w:rPr>
              <w:t>4</w:t>
            </w:r>
            <w:r w:rsidRPr="001C1D01">
              <w:rPr>
                <w:rFonts w:cstheme="minorBidi"/>
              </w:rPr>
              <w:t>) No hepatic metastases: 74 months (95%CI, 60.7</w:t>
            </w:r>
            <w:r w:rsidR="00D35E9C">
              <w:rPr>
                <w:rFonts w:cstheme="minorBidi"/>
              </w:rPr>
              <w:t>–</w:t>
            </w:r>
            <w:r w:rsidRPr="001C1D01">
              <w:rPr>
                <w:rFonts w:cstheme="minorBidi"/>
              </w:rPr>
              <w:t>87.</w:t>
            </w:r>
            <w:r w:rsidR="00344875">
              <w:rPr>
                <w:rFonts w:cstheme="minorBidi"/>
              </w:rPr>
              <w:t>3</w:t>
            </w:r>
            <w:r w:rsidRPr="001C1D01">
              <w:rPr>
                <w:rFonts w:cstheme="minorBidi"/>
              </w:rPr>
              <w:t>;. p&lt;0.01)</w:t>
            </w:r>
            <w:r w:rsidRPr="001C1D01">
              <w:rPr>
                <w:rFonts w:cstheme="minorBidi"/>
                <w:u w:val="single"/>
              </w:rPr>
              <w:t xml:space="preserve"> </w:t>
            </w:r>
          </w:p>
          <w:p w14:paraId="5E7A7D59" w14:textId="77777777" w:rsidR="00752353" w:rsidRPr="0014017A" w:rsidRDefault="00752353" w:rsidP="00235658">
            <w:pPr>
              <w:pStyle w:val="Tabletext1"/>
              <w:spacing w:before="40" w:after="40"/>
              <w:rPr>
                <w:rFonts w:cstheme="minorBidi"/>
                <w:u w:val="single"/>
              </w:rPr>
            </w:pPr>
            <w:r w:rsidRPr="001C1D01">
              <w:rPr>
                <w:rFonts w:cstheme="minorBidi"/>
                <w:u w:val="single"/>
              </w:rPr>
              <w:t>Reza et al (2014)</w:t>
            </w:r>
          </w:p>
          <w:p w14:paraId="1C27B4E6" w14:textId="58F74967" w:rsidR="00237FB0" w:rsidRPr="0014017A" w:rsidRDefault="00752353" w:rsidP="00235658">
            <w:pPr>
              <w:pStyle w:val="Tabletext1"/>
              <w:spacing w:before="40" w:after="40"/>
              <w:rPr>
                <w:rFonts w:cstheme="minorBidi"/>
                <w:u w:val="single"/>
              </w:rPr>
            </w:pPr>
            <w:r w:rsidRPr="001C1D01">
              <w:rPr>
                <w:rFonts w:cstheme="minorBidi"/>
              </w:rPr>
              <w:t>3</w:t>
            </w:r>
            <w:r w:rsidR="00237FB0" w:rsidRPr="001C1D01">
              <w:rPr>
                <w:rFonts w:cstheme="minorBidi"/>
              </w:rPr>
              <w:t>5 months (95%CI 23</w:t>
            </w:r>
            <w:r w:rsidR="00D35E9C">
              <w:rPr>
                <w:rFonts w:cstheme="minorBidi"/>
              </w:rPr>
              <w:t>–</w:t>
            </w:r>
            <w:r w:rsidR="00237FB0" w:rsidRPr="001C1D01">
              <w:rPr>
                <w:rFonts w:cstheme="minorBidi"/>
              </w:rPr>
              <w:t>61</w:t>
            </w:r>
            <w:r w:rsidR="00237FB0" w:rsidRPr="001C1D01">
              <w:rPr>
                <w:rFonts w:cstheme="minorBidi"/>
                <w:u w:val="single"/>
              </w:rPr>
              <w:t xml:space="preserve">) </w:t>
            </w:r>
          </w:p>
          <w:p w14:paraId="3A538ECE" w14:textId="77777777" w:rsidR="00E96625" w:rsidRPr="0014017A" w:rsidRDefault="00237FB0" w:rsidP="00235658">
            <w:pPr>
              <w:pStyle w:val="Tabletext1"/>
              <w:spacing w:before="40" w:after="40"/>
              <w:rPr>
                <w:rFonts w:cstheme="minorBidi"/>
                <w:u w:val="single"/>
              </w:rPr>
            </w:pPr>
            <w:r w:rsidRPr="001C1D01">
              <w:rPr>
                <w:rFonts w:cstheme="minorBidi"/>
                <w:u w:val="single"/>
              </w:rPr>
              <w:t xml:space="preserve">Kitano et al </w:t>
            </w:r>
            <w:r w:rsidR="00E96625" w:rsidRPr="001C1D01">
              <w:rPr>
                <w:rFonts w:cstheme="minorBidi"/>
                <w:u w:val="single"/>
              </w:rPr>
              <w:t>(2012)</w:t>
            </w:r>
          </w:p>
          <w:p w14:paraId="329A57F8" w14:textId="0CAA6456" w:rsidR="00237FB0" w:rsidRPr="0014017A" w:rsidRDefault="00237FB0" w:rsidP="00235658">
            <w:pPr>
              <w:pStyle w:val="Tabletext1"/>
              <w:spacing w:before="40" w:after="40"/>
              <w:rPr>
                <w:rFonts w:cstheme="minorBidi"/>
                <w:u w:val="single"/>
              </w:rPr>
            </w:pPr>
            <w:r w:rsidRPr="001C1D01">
              <w:rPr>
                <w:rFonts w:cstheme="minorBidi"/>
              </w:rPr>
              <w:t>26.5 months (range: 0.7</w:t>
            </w:r>
            <w:r w:rsidR="00D35E9C">
              <w:rPr>
                <w:rFonts w:cstheme="minorBidi"/>
              </w:rPr>
              <w:t>–</w:t>
            </w:r>
            <w:r w:rsidRPr="001C1D01">
              <w:rPr>
                <w:rFonts w:cstheme="minorBidi"/>
              </w:rPr>
              <w:t>165)</w:t>
            </w:r>
          </w:p>
        </w:tc>
        <w:tc>
          <w:tcPr>
            <w:tcW w:w="961" w:type="pct"/>
            <w:tcBorders>
              <w:bottom w:val="single" w:sz="4" w:space="0" w:color="auto"/>
            </w:tcBorders>
          </w:tcPr>
          <w:p w14:paraId="662D847B" w14:textId="77777777" w:rsidR="00237FB0" w:rsidRPr="0014017A" w:rsidRDefault="00237FB0" w:rsidP="00235658">
            <w:pPr>
              <w:pStyle w:val="Tabletext1"/>
              <w:spacing w:before="40" w:after="40"/>
              <w:rPr>
                <w:rFonts w:cs="Cambria Math"/>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 xml:space="preserve">VERY LOW </w:t>
            </w:r>
            <w:r w:rsidR="00EA1FAE" w:rsidRPr="001C1D01">
              <w:rPr>
                <w:rFonts w:cstheme="minorBidi"/>
                <w:vertAlign w:val="superscript"/>
              </w:rPr>
              <w:t>2</w:t>
            </w:r>
          </w:p>
        </w:tc>
      </w:tr>
      <w:tr w:rsidR="00237FB0" w:rsidRPr="001C1D01" w14:paraId="743E30F4" w14:textId="77777777" w:rsidTr="00235658">
        <w:tc>
          <w:tcPr>
            <w:tcW w:w="1207" w:type="pct"/>
            <w:tcBorders>
              <w:right w:val="nil"/>
            </w:tcBorders>
            <w:shd w:val="clear" w:color="auto" w:fill="D9D9D9" w:themeFill="background1" w:themeFillShade="D9"/>
          </w:tcPr>
          <w:p w14:paraId="6E35C61F" w14:textId="77777777" w:rsidR="00237FB0" w:rsidRPr="00610313" w:rsidRDefault="006871DD" w:rsidP="00235658">
            <w:pPr>
              <w:pStyle w:val="Tabletext1"/>
              <w:spacing w:before="40" w:after="40"/>
              <w:rPr>
                <w:rFonts w:cstheme="minorBidi"/>
                <w:b/>
              </w:rPr>
            </w:pPr>
            <w:r w:rsidRPr="00610313">
              <w:rPr>
                <w:rFonts w:cstheme="minorBidi"/>
                <w:b/>
              </w:rPr>
              <w:t>T</w:t>
            </w:r>
            <w:r w:rsidR="00237FB0" w:rsidRPr="00610313">
              <w:rPr>
                <w:rFonts w:cstheme="minorBidi"/>
                <w:b/>
              </w:rPr>
              <w:t>ime to local progression</w:t>
            </w:r>
          </w:p>
        </w:tc>
        <w:tc>
          <w:tcPr>
            <w:tcW w:w="864" w:type="pct"/>
            <w:tcBorders>
              <w:left w:val="nil"/>
              <w:right w:val="nil"/>
            </w:tcBorders>
            <w:shd w:val="clear" w:color="auto" w:fill="D9D9D9" w:themeFill="background1" w:themeFillShade="D9"/>
          </w:tcPr>
          <w:p w14:paraId="1FFE76B2" w14:textId="77777777" w:rsidR="00237FB0" w:rsidRPr="001C1D01" w:rsidRDefault="00237FB0" w:rsidP="00235658">
            <w:pPr>
              <w:pStyle w:val="Tabletext1"/>
              <w:spacing w:before="40" w:after="40"/>
              <w:rPr>
                <w:rFonts w:cstheme="minorBidi"/>
              </w:rPr>
            </w:pPr>
          </w:p>
        </w:tc>
        <w:tc>
          <w:tcPr>
            <w:tcW w:w="1967" w:type="pct"/>
            <w:tcBorders>
              <w:left w:val="nil"/>
              <w:right w:val="nil"/>
            </w:tcBorders>
            <w:shd w:val="clear" w:color="auto" w:fill="D9D9D9" w:themeFill="background1" w:themeFillShade="D9"/>
          </w:tcPr>
          <w:p w14:paraId="001C3FA5" w14:textId="77777777" w:rsidR="00237FB0" w:rsidRPr="00FC06D9" w:rsidRDefault="00237FB0" w:rsidP="00235658">
            <w:pPr>
              <w:pStyle w:val="Tabletext1"/>
              <w:spacing w:before="40" w:after="40"/>
              <w:rPr>
                <w:rFonts w:cstheme="minorBidi"/>
              </w:rPr>
            </w:pPr>
          </w:p>
        </w:tc>
        <w:tc>
          <w:tcPr>
            <w:tcW w:w="961" w:type="pct"/>
            <w:tcBorders>
              <w:left w:val="nil"/>
            </w:tcBorders>
            <w:shd w:val="clear" w:color="auto" w:fill="D9D9D9" w:themeFill="background1" w:themeFillShade="D9"/>
          </w:tcPr>
          <w:p w14:paraId="56C23A2A" w14:textId="77777777" w:rsidR="00237FB0" w:rsidRPr="00FC06D9" w:rsidRDefault="00237FB0" w:rsidP="00235658">
            <w:pPr>
              <w:pStyle w:val="Tabletext1"/>
              <w:spacing w:before="40" w:after="40"/>
              <w:rPr>
                <w:rFonts w:cstheme="minorBidi"/>
              </w:rPr>
            </w:pPr>
          </w:p>
        </w:tc>
      </w:tr>
      <w:tr w:rsidR="00237FB0" w:rsidRPr="001C1D01" w14:paraId="3B6024AA" w14:textId="77777777" w:rsidTr="001C73CA">
        <w:tc>
          <w:tcPr>
            <w:tcW w:w="1207" w:type="pct"/>
          </w:tcPr>
          <w:p w14:paraId="10E8E4BF" w14:textId="77777777" w:rsidR="00237FB0" w:rsidRPr="001C1D01" w:rsidRDefault="00237FB0" w:rsidP="00235658">
            <w:pPr>
              <w:pStyle w:val="Tabletext1"/>
              <w:spacing w:before="40" w:after="40"/>
              <w:rPr>
                <w:rFonts w:cstheme="minorBidi"/>
              </w:rPr>
            </w:pPr>
            <w:r w:rsidRPr="001C1D01">
              <w:rPr>
                <w:rFonts w:cstheme="minorBidi"/>
              </w:rPr>
              <w:t>MTA</w:t>
            </w:r>
          </w:p>
          <w:p w14:paraId="519C40A3" w14:textId="77777777" w:rsidR="00237FB0" w:rsidRPr="00FC06D9" w:rsidRDefault="00237FB0" w:rsidP="00235658">
            <w:pPr>
              <w:pStyle w:val="Tabletext1"/>
              <w:spacing w:before="40" w:after="40"/>
              <w:rPr>
                <w:rFonts w:cstheme="minorBidi"/>
              </w:rPr>
            </w:pPr>
            <w:r w:rsidRPr="001C1D01">
              <w:rPr>
                <w:rFonts w:cstheme="minorBidi"/>
              </w:rPr>
              <w:t>Assessed with: Mean time in mont</w:t>
            </w:r>
            <w:r w:rsidRPr="00FC06D9">
              <w:rPr>
                <w:rFonts w:cstheme="minorBidi"/>
              </w:rPr>
              <w:t>hs (range)</w:t>
            </w:r>
          </w:p>
          <w:p w14:paraId="72689177" w14:textId="77777777" w:rsidR="00237FB0" w:rsidRPr="001D54EF" w:rsidRDefault="005130A1" w:rsidP="00235658">
            <w:pPr>
              <w:pStyle w:val="Tabletext1"/>
              <w:spacing w:before="40" w:after="40"/>
              <w:rPr>
                <w:rFonts w:cstheme="minorBidi"/>
              </w:rPr>
            </w:pPr>
            <w:r w:rsidRPr="00FC06D9">
              <w:rPr>
                <w:rFonts w:cstheme="minorBidi"/>
              </w:rPr>
              <w:t xml:space="preserve">F/U range </w:t>
            </w:r>
            <w:r w:rsidR="00237FB0" w:rsidRPr="00FC06D9">
              <w:rPr>
                <w:rFonts w:cstheme="minorBidi"/>
              </w:rPr>
              <w:t>9 to 14 months</w:t>
            </w:r>
          </w:p>
        </w:tc>
        <w:tc>
          <w:tcPr>
            <w:tcW w:w="864" w:type="pct"/>
          </w:tcPr>
          <w:p w14:paraId="30A183C8" w14:textId="77777777" w:rsidR="00237FB0" w:rsidRPr="00351105" w:rsidRDefault="00237FB0" w:rsidP="00235658">
            <w:pPr>
              <w:pStyle w:val="Tabletext1"/>
              <w:spacing w:before="40" w:after="40"/>
              <w:rPr>
                <w:rFonts w:cstheme="minorBidi"/>
              </w:rPr>
            </w:pPr>
            <w:r w:rsidRPr="00351105">
              <w:rPr>
                <w:rFonts w:cstheme="minorBidi"/>
              </w:rPr>
              <w:t>2 Level IV studies</w:t>
            </w:r>
          </w:p>
        </w:tc>
        <w:tc>
          <w:tcPr>
            <w:tcW w:w="1967" w:type="pct"/>
          </w:tcPr>
          <w:p w14:paraId="3F496BBE" w14:textId="77777777" w:rsidR="008E2AFB" w:rsidRPr="00935A6C" w:rsidRDefault="008E2AFB" w:rsidP="00235658">
            <w:pPr>
              <w:pStyle w:val="Tabletext1"/>
              <w:spacing w:before="40" w:after="40"/>
              <w:rPr>
                <w:rFonts w:cstheme="minorBidi"/>
                <w:u w:val="single"/>
              </w:rPr>
            </w:pPr>
            <w:r w:rsidRPr="00935A6C">
              <w:rPr>
                <w:rFonts w:cstheme="minorBidi"/>
                <w:u w:val="single"/>
              </w:rPr>
              <w:t>Qi et al (2015)</w:t>
            </w:r>
          </w:p>
          <w:p w14:paraId="7EB73AED" w14:textId="1B3D1088" w:rsidR="00237FB0" w:rsidRPr="00574E64" w:rsidRDefault="00237FB0" w:rsidP="00235658">
            <w:pPr>
              <w:pStyle w:val="Tabletext1"/>
              <w:spacing w:before="40" w:after="40"/>
              <w:rPr>
                <w:rFonts w:cstheme="minorBidi"/>
              </w:rPr>
            </w:pPr>
            <w:r w:rsidRPr="00574E64">
              <w:rPr>
                <w:rFonts w:cstheme="minorBidi"/>
              </w:rPr>
              <w:t>7.2 months (range 4</w:t>
            </w:r>
            <w:r w:rsidR="00D35E9C">
              <w:rPr>
                <w:rFonts w:cstheme="minorBidi"/>
              </w:rPr>
              <w:t>–</w:t>
            </w:r>
            <w:r w:rsidRPr="00574E64">
              <w:rPr>
                <w:rFonts w:cstheme="minorBidi"/>
              </w:rPr>
              <w:t>20)</w:t>
            </w:r>
          </w:p>
          <w:p w14:paraId="565C8D4F" w14:textId="77777777" w:rsidR="008E2AFB" w:rsidRPr="0014017A" w:rsidRDefault="008E2AFB" w:rsidP="00235658">
            <w:pPr>
              <w:pStyle w:val="Tabletext1"/>
              <w:spacing w:before="40" w:after="40"/>
              <w:rPr>
                <w:rFonts w:cstheme="minorBidi"/>
                <w:u w:val="single"/>
              </w:rPr>
            </w:pPr>
            <w:r w:rsidRPr="001C1D01">
              <w:rPr>
                <w:rFonts w:cstheme="minorBidi"/>
                <w:u w:val="single"/>
              </w:rPr>
              <w:t>Vogl et al (2015)</w:t>
            </w:r>
          </w:p>
          <w:p w14:paraId="37A5E93D" w14:textId="4B19D3AA" w:rsidR="00237FB0" w:rsidRPr="0014017A" w:rsidRDefault="00237FB0" w:rsidP="00235658">
            <w:pPr>
              <w:pStyle w:val="Tabletext1"/>
              <w:spacing w:before="40" w:after="40"/>
              <w:rPr>
                <w:rFonts w:cstheme="minorBidi"/>
              </w:rPr>
            </w:pPr>
            <w:r w:rsidRPr="001C1D01">
              <w:rPr>
                <w:rFonts w:cstheme="minorBidi"/>
              </w:rPr>
              <w:t>6 months (range: 1</w:t>
            </w:r>
            <w:r w:rsidR="00D35E9C">
              <w:rPr>
                <w:rFonts w:cstheme="minorBidi"/>
              </w:rPr>
              <w:t>–</w:t>
            </w:r>
            <w:r w:rsidRPr="001C1D01">
              <w:rPr>
                <w:rFonts w:cstheme="minorBidi"/>
              </w:rPr>
              <w:t>18)</w:t>
            </w:r>
            <w:r w:rsidRPr="001C1D01">
              <w:rPr>
                <w:rFonts w:cstheme="minorBidi"/>
                <w:u w:val="single"/>
              </w:rPr>
              <w:t xml:space="preserve"> </w:t>
            </w:r>
          </w:p>
        </w:tc>
        <w:tc>
          <w:tcPr>
            <w:tcW w:w="961" w:type="pct"/>
          </w:tcPr>
          <w:p w14:paraId="72F1A552" w14:textId="77777777" w:rsidR="00237FB0" w:rsidRPr="0014017A" w:rsidRDefault="00237FB0" w:rsidP="00235658">
            <w:pPr>
              <w:pStyle w:val="Tabletext1"/>
              <w:spacing w:before="40" w:after="40"/>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p>
        </w:tc>
      </w:tr>
      <w:tr w:rsidR="00237FB0" w:rsidRPr="001C1D01" w14:paraId="32DEDB50" w14:textId="77777777" w:rsidTr="001C73CA">
        <w:tc>
          <w:tcPr>
            <w:tcW w:w="1207" w:type="pct"/>
          </w:tcPr>
          <w:p w14:paraId="726B5A8E" w14:textId="77777777" w:rsidR="00237FB0" w:rsidRPr="001C1D01" w:rsidRDefault="00237FB0" w:rsidP="00235658">
            <w:pPr>
              <w:pStyle w:val="Tabletext1"/>
              <w:spacing w:before="40" w:after="40"/>
              <w:rPr>
                <w:rFonts w:cstheme="minorBidi"/>
              </w:rPr>
            </w:pPr>
            <w:r w:rsidRPr="001C1D01">
              <w:rPr>
                <w:rFonts w:cstheme="minorBidi"/>
              </w:rPr>
              <w:t>RFA</w:t>
            </w:r>
          </w:p>
          <w:p w14:paraId="1B7E00C2" w14:textId="77777777" w:rsidR="00237FB0" w:rsidRPr="00FC06D9" w:rsidRDefault="00323757" w:rsidP="00235658">
            <w:pPr>
              <w:pStyle w:val="Tabletext1"/>
              <w:spacing w:before="40" w:after="40"/>
              <w:rPr>
                <w:rFonts w:cstheme="minorBidi"/>
              </w:rPr>
            </w:pPr>
            <w:r w:rsidRPr="001C1D01">
              <w:rPr>
                <w:rFonts w:cstheme="minorBidi"/>
              </w:rPr>
              <w:t xml:space="preserve">Assessed with: mean </w:t>
            </w:r>
            <w:r w:rsidR="00237FB0" w:rsidRPr="00FC06D9">
              <w:rPr>
                <w:rFonts w:cstheme="minorBidi"/>
              </w:rPr>
              <w:t>(range) months/Kaplan-Meier estimate (95%CI)</w:t>
            </w:r>
          </w:p>
          <w:p w14:paraId="4BEFE007" w14:textId="77777777" w:rsidR="00237FB0" w:rsidRPr="00FC06D9" w:rsidRDefault="005130A1" w:rsidP="00235658">
            <w:pPr>
              <w:pStyle w:val="Tabletext1"/>
              <w:spacing w:before="40" w:after="40"/>
              <w:rPr>
                <w:rFonts w:cstheme="minorBidi"/>
              </w:rPr>
            </w:pPr>
            <w:r w:rsidRPr="00FC06D9">
              <w:rPr>
                <w:rFonts w:cstheme="minorBidi"/>
              </w:rPr>
              <w:t xml:space="preserve">F/U range </w:t>
            </w:r>
            <w:r w:rsidR="00237FB0" w:rsidRPr="00FC06D9">
              <w:rPr>
                <w:rFonts w:cstheme="minorBidi"/>
              </w:rPr>
              <w:t>12 to 38 months</w:t>
            </w:r>
          </w:p>
        </w:tc>
        <w:tc>
          <w:tcPr>
            <w:tcW w:w="864" w:type="pct"/>
          </w:tcPr>
          <w:p w14:paraId="4C72464E" w14:textId="77777777" w:rsidR="00237FB0" w:rsidRPr="00935A6C" w:rsidRDefault="00237FB0" w:rsidP="00235658">
            <w:pPr>
              <w:pStyle w:val="Tabletext1"/>
              <w:spacing w:before="40" w:after="40"/>
              <w:rPr>
                <w:rFonts w:cstheme="minorBidi"/>
                <w:vertAlign w:val="superscript"/>
              </w:rPr>
            </w:pPr>
            <w:r w:rsidRPr="001D54EF">
              <w:rPr>
                <w:rFonts w:cstheme="minorBidi"/>
              </w:rPr>
              <w:t>5 Level I</w:t>
            </w:r>
            <w:r w:rsidRPr="00351105">
              <w:rPr>
                <w:rFonts w:cstheme="minorBidi"/>
              </w:rPr>
              <w:t>V studies</w:t>
            </w:r>
          </w:p>
        </w:tc>
        <w:tc>
          <w:tcPr>
            <w:tcW w:w="1967" w:type="pct"/>
          </w:tcPr>
          <w:p w14:paraId="57000F67" w14:textId="1D97CF72" w:rsidR="00237FB0" w:rsidRPr="00574E64" w:rsidRDefault="00237FB0" w:rsidP="00235658">
            <w:pPr>
              <w:pStyle w:val="Tabletext1"/>
              <w:spacing w:before="40" w:after="40"/>
              <w:rPr>
                <w:rFonts w:cstheme="minorBidi"/>
              </w:rPr>
            </w:pPr>
            <w:r w:rsidRPr="00574E64">
              <w:rPr>
                <w:rFonts w:cstheme="minorBidi"/>
              </w:rPr>
              <w:t>Median time to local progression 12 months (range: 8.2</w:t>
            </w:r>
            <w:r w:rsidR="00D35E9C">
              <w:rPr>
                <w:rFonts w:cstheme="minorBidi"/>
              </w:rPr>
              <w:t>–</w:t>
            </w:r>
            <w:r w:rsidRPr="00574E64">
              <w:rPr>
                <w:rFonts w:cstheme="minorBidi"/>
              </w:rPr>
              <w:t>15 months)</w:t>
            </w:r>
          </w:p>
        </w:tc>
        <w:tc>
          <w:tcPr>
            <w:tcW w:w="961" w:type="pct"/>
          </w:tcPr>
          <w:p w14:paraId="385BBFEE" w14:textId="77777777" w:rsidR="00237FB0" w:rsidRPr="0014017A" w:rsidRDefault="00237FB0" w:rsidP="00235658">
            <w:pPr>
              <w:pStyle w:val="Tabletext1"/>
              <w:spacing w:before="40" w:after="40"/>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 xml:space="preserve">VERY LOW </w:t>
            </w:r>
            <w:r w:rsidR="00EA1FAE" w:rsidRPr="001C1D01">
              <w:rPr>
                <w:rFonts w:cstheme="minorBidi"/>
                <w:vertAlign w:val="superscript"/>
              </w:rPr>
              <w:t>3</w:t>
            </w:r>
          </w:p>
        </w:tc>
      </w:tr>
      <w:tr w:rsidR="00237FB0" w:rsidRPr="001C1D01" w14:paraId="5EA567FA" w14:textId="77777777" w:rsidTr="001C73CA">
        <w:tc>
          <w:tcPr>
            <w:tcW w:w="1207" w:type="pct"/>
          </w:tcPr>
          <w:p w14:paraId="2A905B57" w14:textId="77777777" w:rsidR="00237FB0" w:rsidRPr="001C1D01" w:rsidRDefault="00237FB0" w:rsidP="00235658">
            <w:pPr>
              <w:pStyle w:val="Tabletext1"/>
              <w:spacing w:before="40" w:after="40"/>
              <w:rPr>
                <w:rFonts w:cstheme="minorBidi"/>
              </w:rPr>
            </w:pPr>
            <w:r w:rsidRPr="001C1D01">
              <w:rPr>
                <w:rFonts w:cstheme="minorBidi"/>
              </w:rPr>
              <w:t>Radiotherapy</w:t>
            </w:r>
          </w:p>
          <w:p w14:paraId="7F0CD2D2" w14:textId="77777777" w:rsidR="00237FB0" w:rsidRPr="001C1D01" w:rsidRDefault="00237FB0" w:rsidP="00235658">
            <w:pPr>
              <w:pStyle w:val="Tabletext1"/>
              <w:spacing w:before="40" w:after="40"/>
              <w:rPr>
                <w:rFonts w:cstheme="minorBidi"/>
              </w:rPr>
            </w:pPr>
            <w:r w:rsidRPr="001C1D01">
              <w:rPr>
                <w:rFonts w:cstheme="minorBidi"/>
              </w:rPr>
              <w:t>Assessed with: median months until progression</w:t>
            </w:r>
          </w:p>
          <w:p w14:paraId="2A00C7AA" w14:textId="77777777" w:rsidR="00237FB0" w:rsidRPr="00FC06D9" w:rsidRDefault="005130A1" w:rsidP="00235658">
            <w:pPr>
              <w:pStyle w:val="Tabletext1"/>
              <w:spacing w:before="40" w:after="40"/>
              <w:rPr>
                <w:rFonts w:cstheme="minorBidi"/>
              </w:rPr>
            </w:pPr>
            <w:r w:rsidRPr="00FC06D9">
              <w:rPr>
                <w:rFonts w:cstheme="minorBidi"/>
              </w:rPr>
              <w:lastRenderedPageBreak/>
              <w:t>F/U</w:t>
            </w:r>
            <w:r w:rsidR="00237FB0" w:rsidRPr="00FC06D9">
              <w:rPr>
                <w:rFonts w:cstheme="minorBidi"/>
              </w:rPr>
              <w:t xml:space="preserve"> range 15 to 24 months</w:t>
            </w:r>
          </w:p>
        </w:tc>
        <w:tc>
          <w:tcPr>
            <w:tcW w:w="864" w:type="pct"/>
          </w:tcPr>
          <w:p w14:paraId="7AF88485" w14:textId="77777777" w:rsidR="00237FB0" w:rsidRPr="00FC06D9" w:rsidRDefault="00237FB0" w:rsidP="00235658">
            <w:pPr>
              <w:pStyle w:val="Tabletext1"/>
              <w:spacing w:before="40" w:after="40"/>
              <w:rPr>
                <w:rFonts w:cstheme="minorBidi"/>
              </w:rPr>
            </w:pPr>
            <w:r w:rsidRPr="00FC06D9">
              <w:rPr>
                <w:rFonts w:cstheme="minorBidi"/>
              </w:rPr>
              <w:lastRenderedPageBreak/>
              <w:t>1 Level III-2 study</w:t>
            </w:r>
          </w:p>
          <w:p w14:paraId="2B00D243" w14:textId="77777777" w:rsidR="00237FB0" w:rsidRPr="001D54EF" w:rsidRDefault="00237FB0" w:rsidP="00235658">
            <w:pPr>
              <w:pStyle w:val="Tabletext1"/>
              <w:spacing w:before="40" w:after="40"/>
              <w:rPr>
                <w:rFonts w:cstheme="minorBidi"/>
              </w:rPr>
            </w:pPr>
            <w:r w:rsidRPr="001D54EF">
              <w:rPr>
                <w:rFonts w:cstheme="minorBidi"/>
              </w:rPr>
              <w:t>6 Level IV studies</w:t>
            </w:r>
          </w:p>
        </w:tc>
        <w:tc>
          <w:tcPr>
            <w:tcW w:w="1967" w:type="pct"/>
          </w:tcPr>
          <w:p w14:paraId="598F1633" w14:textId="247E0B6E" w:rsidR="00237FB0" w:rsidRPr="00935A6C" w:rsidRDefault="00237FB0" w:rsidP="00235658">
            <w:pPr>
              <w:pStyle w:val="Tabletext1"/>
              <w:spacing w:before="40" w:after="40"/>
              <w:rPr>
                <w:rFonts w:cstheme="minorBidi"/>
              </w:rPr>
            </w:pPr>
            <w:r w:rsidRPr="00351105">
              <w:rPr>
                <w:rFonts w:cstheme="minorBidi"/>
              </w:rPr>
              <w:t>Median time to local progression 10.</w:t>
            </w:r>
            <w:r w:rsidRPr="00935A6C">
              <w:rPr>
                <w:rFonts w:cstheme="minorBidi"/>
              </w:rPr>
              <w:t>8 months (range: 5</w:t>
            </w:r>
            <w:r w:rsidR="00D35E9C">
              <w:rPr>
                <w:rFonts w:cstheme="minorBidi"/>
              </w:rPr>
              <w:t>–</w:t>
            </w:r>
            <w:r w:rsidRPr="00935A6C">
              <w:rPr>
                <w:rFonts w:cstheme="minorBidi"/>
              </w:rPr>
              <w:t>18)</w:t>
            </w:r>
          </w:p>
        </w:tc>
        <w:tc>
          <w:tcPr>
            <w:tcW w:w="961" w:type="pct"/>
          </w:tcPr>
          <w:p w14:paraId="615395C4" w14:textId="77777777" w:rsidR="00237FB0" w:rsidRPr="0014017A" w:rsidRDefault="00237FB0" w:rsidP="00235658">
            <w:pPr>
              <w:pStyle w:val="Tabletext1"/>
              <w:spacing w:before="40" w:after="40"/>
              <w:rPr>
                <w:rFonts w:cs="Cambria Math"/>
              </w:rPr>
            </w:pPr>
            <w:r w:rsidRPr="00574E64">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r w:rsidR="00EA1FAE" w:rsidRPr="001C1D01">
              <w:rPr>
                <w:rFonts w:cstheme="minorBidi"/>
              </w:rPr>
              <w:t xml:space="preserve"> </w:t>
            </w:r>
            <w:r w:rsidR="00EA1FAE" w:rsidRPr="001C1D01">
              <w:rPr>
                <w:rFonts w:cstheme="minorBidi"/>
                <w:vertAlign w:val="superscript"/>
              </w:rPr>
              <w:t>3</w:t>
            </w:r>
          </w:p>
        </w:tc>
      </w:tr>
      <w:tr w:rsidR="00237FB0" w:rsidRPr="001C1D01" w14:paraId="3BEF3FEC" w14:textId="77777777" w:rsidTr="001C73CA">
        <w:tc>
          <w:tcPr>
            <w:tcW w:w="1207" w:type="pct"/>
          </w:tcPr>
          <w:p w14:paraId="0A92D19E" w14:textId="77777777" w:rsidR="00237FB0" w:rsidRPr="001C1D01" w:rsidRDefault="00237FB0" w:rsidP="00235658">
            <w:pPr>
              <w:pStyle w:val="Tabletext1"/>
              <w:spacing w:before="40" w:after="40"/>
              <w:rPr>
                <w:rFonts w:cstheme="minorBidi"/>
              </w:rPr>
            </w:pPr>
            <w:r w:rsidRPr="001C1D01">
              <w:rPr>
                <w:rFonts w:cstheme="minorBidi"/>
              </w:rPr>
              <w:lastRenderedPageBreak/>
              <w:t>Surgery</w:t>
            </w:r>
          </w:p>
          <w:p w14:paraId="3D804E2D" w14:textId="77777777" w:rsidR="00237FB0" w:rsidRPr="001C1D01" w:rsidRDefault="00237FB0" w:rsidP="00235658">
            <w:pPr>
              <w:pStyle w:val="Tabletext1"/>
              <w:spacing w:before="40" w:after="40"/>
              <w:rPr>
                <w:rFonts w:cstheme="minorBidi"/>
              </w:rPr>
            </w:pPr>
            <w:r w:rsidRPr="001C1D01">
              <w:rPr>
                <w:rFonts w:cstheme="minorBidi"/>
              </w:rPr>
              <w:t>Not reported</w:t>
            </w:r>
          </w:p>
        </w:tc>
        <w:tc>
          <w:tcPr>
            <w:tcW w:w="864" w:type="pct"/>
          </w:tcPr>
          <w:p w14:paraId="7E43DB87" w14:textId="77777777" w:rsidR="00237FB0" w:rsidRPr="00FC06D9" w:rsidRDefault="00237FB0" w:rsidP="00235658">
            <w:pPr>
              <w:pStyle w:val="Tabletext1"/>
              <w:spacing w:before="40" w:after="40"/>
              <w:rPr>
                <w:rFonts w:cstheme="minorBidi"/>
              </w:rPr>
            </w:pPr>
            <w:r w:rsidRPr="00FC06D9">
              <w:rPr>
                <w:rFonts w:cstheme="minorBidi"/>
              </w:rPr>
              <w:t>0 studies</w:t>
            </w:r>
          </w:p>
        </w:tc>
        <w:tc>
          <w:tcPr>
            <w:tcW w:w="1967" w:type="pct"/>
          </w:tcPr>
          <w:p w14:paraId="0C49B951" w14:textId="77777777" w:rsidR="00237FB0" w:rsidRPr="00FC06D9" w:rsidRDefault="00237FB0" w:rsidP="00235658">
            <w:pPr>
              <w:pStyle w:val="Tabletext1"/>
              <w:spacing w:before="40" w:after="40"/>
              <w:rPr>
                <w:rFonts w:cstheme="minorBidi"/>
              </w:rPr>
            </w:pPr>
            <w:r w:rsidRPr="00FC06D9">
              <w:rPr>
                <w:rFonts w:cstheme="minorBidi"/>
              </w:rPr>
              <w:t>NA</w:t>
            </w:r>
          </w:p>
        </w:tc>
        <w:tc>
          <w:tcPr>
            <w:tcW w:w="961" w:type="pct"/>
          </w:tcPr>
          <w:p w14:paraId="035701DD" w14:textId="77777777" w:rsidR="00237FB0" w:rsidRPr="001D54EF" w:rsidRDefault="00237FB0" w:rsidP="00235658">
            <w:pPr>
              <w:pStyle w:val="Tabletext1"/>
              <w:spacing w:before="40" w:after="40"/>
              <w:rPr>
                <w:rFonts w:cstheme="minorBidi"/>
              </w:rPr>
            </w:pPr>
            <w:r w:rsidRPr="001D54EF">
              <w:rPr>
                <w:rFonts w:cstheme="minorBidi"/>
              </w:rPr>
              <w:t>NA</w:t>
            </w:r>
          </w:p>
        </w:tc>
      </w:tr>
    </w:tbl>
    <w:p w14:paraId="647402E5" w14:textId="77777777" w:rsidR="00B204BF" w:rsidRPr="00730ADD" w:rsidRDefault="008301A6" w:rsidP="00EE0498">
      <w:pPr>
        <w:pStyle w:val="Tablenotes0"/>
      </w:pPr>
      <w:r>
        <w:t xml:space="preserve">&lt; </w:t>
      </w:r>
      <w:r w:rsidR="00B204BF" w:rsidRPr="00730ADD">
        <w:t>CI</w:t>
      </w:r>
      <w:r w:rsidR="00116F0B" w:rsidRPr="00730ADD">
        <w:t xml:space="preserve"> </w:t>
      </w:r>
      <w:r w:rsidR="00B204BF" w:rsidRPr="00730ADD">
        <w:t xml:space="preserve">= </w:t>
      </w:r>
      <w:r w:rsidR="00B204BF" w:rsidRPr="00EE0498">
        <w:t>confidence</w:t>
      </w:r>
      <w:r w:rsidR="00B204BF" w:rsidRPr="00730ADD">
        <w:t xml:space="preserve"> interval; </w:t>
      </w:r>
      <w:r w:rsidR="005130A1" w:rsidRPr="00730ADD">
        <w:t xml:space="preserve">F/U = follow up; </w:t>
      </w:r>
      <w:r w:rsidR="00B82F9A" w:rsidRPr="00730ADD">
        <w:t>MTA</w:t>
      </w:r>
      <w:r w:rsidR="00116F0B" w:rsidRPr="00730ADD">
        <w:t xml:space="preserve"> </w:t>
      </w:r>
      <w:r w:rsidR="00B82F9A" w:rsidRPr="00730ADD">
        <w:t>= microwave tissue ablation;</w:t>
      </w:r>
      <w:r w:rsidR="00B204BF" w:rsidRPr="00730ADD">
        <w:t xml:space="preserve"> NA</w:t>
      </w:r>
      <w:r w:rsidR="00116F0B" w:rsidRPr="00730ADD">
        <w:t xml:space="preserve"> </w:t>
      </w:r>
      <w:r w:rsidR="00B204BF" w:rsidRPr="00730ADD">
        <w:t>= not applicable</w:t>
      </w:r>
      <w:r w:rsidR="00B82F9A" w:rsidRPr="00730ADD">
        <w:t>; RFA</w:t>
      </w:r>
      <w:r w:rsidR="00116F0B" w:rsidRPr="00730ADD">
        <w:t xml:space="preserve"> </w:t>
      </w:r>
      <w:r w:rsidR="00B82F9A" w:rsidRPr="00730ADD">
        <w:t>= radiofrequency ablation</w:t>
      </w:r>
      <w:r>
        <w:t xml:space="preserve"> &gt;</w:t>
      </w:r>
    </w:p>
    <w:p w14:paraId="519FF3F1" w14:textId="51B8C737" w:rsidR="005B0896" w:rsidRDefault="005B0896" w:rsidP="0014017A">
      <w:pPr>
        <w:pStyle w:val="Tablenotes0"/>
      </w:pPr>
      <w:r w:rsidRPr="00730ADD">
        <w:t>GRADE Working Group grades of evidence (Guyatt et al., 2013)</w:t>
      </w:r>
      <w:r w:rsidR="00C457D1">
        <w:rPr>
          <w:b/>
        </w:rPr>
        <w: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005E3BD9" w14:textId="77777777" w:rsidR="005B0896" w:rsidRPr="002758C2" w:rsidRDefault="005B0896" w:rsidP="002758C2">
      <w:pPr>
        <w:pStyle w:val="Tablenotes0"/>
        <w:numPr>
          <w:ilvl w:val="0"/>
          <w:numId w:val="85"/>
        </w:numPr>
        <w:ind w:left="284" w:hanging="284"/>
      </w:pPr>
      <w:r w:rsidRPr="002758C2">
        <w:t xml:space="preserve">Studies report a large range of survival rates with many studies not providing any indication of the variance associated with point estimates. At later time points less results are available. </w:t>
      </w:r>
    </w:p>
    <w:p w14:paraId="3A2A9866" w14:textId="77777777" w:rsidR="005B0896" w:rsidRPr="002758C2" w:rsidRDefault="005B0896" w:rsidP="002758C2">
      <w:pPr>
        <w:pStyle w:val="Tablenotes0"/>
        <w:numPr>
          <w:ilvl w:val="0"/>
          <w:numId w:val="85"/>
        </w:numPr>
        <w:ind w:left="284" w:hanging="284"/>
      </w:pPr>
      <w:r w:rsidRPr="002758C2">
        <w:t xml:space="preserve">Studies included investigated a range of prognostic factors and different studies reported on patients with different </w:t>
      </w:r>
      <w:r w:rsidR="00CC7B4A" w:rsidRPr="002758C2">
        <w:t>primary cancers</w:t>
      </w:r>
      <w:r w:rsidRPr="002758C2">
        <w:t>. This is likely to have affected the overall survival time of included patients.</w:t>
      </w:r>
    </w:p>
    <w:p w14:paraId="0F254D1D" w14:textId="77777777" w:rsidR="00C70659" w:rsidRPr="002758C2" w:rsidRDefault="005B0896" w:rsidP="002758C2">
      <w:pPr>
        <w:pStyle w:val="Tablenotes0"/>
        <w:numPr>
          <w:ilvl w:val="0"/>
          <w:numId w:val="85"/>
        </w:numPr>
        <w:ind w:left="284" w:hanging="284"/>
      </w:pPr>
      <w:r w:rsidRPr="002758C2">
        <w:t>Studies report a range of time to progression estimates and it is not clear whether they were measured in a consistent manner</w:t>
      </w:r>
      <w:r w:rsidR="007A6113" w:rsidRPr="002758C2">
        <w:t>.</w:t>
      </w:r>
    </w:p>
    <w:p w14:paraId="57AAC6F6" w14:textId="19FF6929" w:rsidR="005A4A11" w:rsidRDefault="005A4A11" w:rsidP="001B12D8">
      <w:pPr>
        <w:pStyle w:val="Caption"/>
        <w:keepNext/>
        <w:spacing w:before="500"/>
      </w:pPr>
      <w:bookmarkStart w:id="89" w:name="_Ref457465379"/>
      <w:bookmarkStart w:id="90" w:name="_Ref459709948"/>
      <w:bookmarkStart w:id="91" w:name="_Toc460514665"/>
      <w:r>
        <w:t xml:space="preserve">Table </w:t>
      </w:r>
      <w:fldSimple w:instr=" SEQ Table \* ARABIC ">
        <w:r w:rsidR="00D170A5">
          <w:rPr>
            <w:noProof/>
          </w:rPr>
          <w:t>7</w:t>
        </w:r>
      </w:fldSimple>
      <w:bookmarkEnd w:id="89"/>
      <w:bookmarkEnd w:id="90"/>
      <w:r>
        <w:tab/>
      </w:r>
      <w:r w:rsidR="006A4E2A">
        <w:tab/>
      </w:r>
      <w:r w:rsidRPr="005A4A11">
        <w:t>Effectiveness out</w:t>
      </w:r>
      <w:r>
        <w:t>comes relevant to population three</w:t>
      </w:r>
      <w:bookmarkEnd w:id="91"/>
    </w:p>
    <w:tbl>
      <w:tblPr>
        <w:tblStyle w:val="TableGrid91"/>
        <w:tblW w:w="5004" w:type="pct"/>
        <w:tblLook w:val="04A0" w:firstRow="1" w:lastRow="0" w:firstColumn="1" w:lastColumn="0" w:noHBand="0" w:noVBand="1"/>
        <w:tblCaption w:val="Table 12"/>
        <w:tblDescription w:val="Effectiveness outcomes"/>
      </w:tblPr>
      <w:tblGrid>
        <w:gridCol w:w="2226"/>
        <w:gridCol w:w="1606"/>
        <w:gridCol w:w="3639"/>
        <w:gridCol w:w="1778"/>
      </w:tblGrid>
      <w:tr w:rsidR="00237FB0" w:rsidRPr="001C1D01" w14:paraId="1AD93800" w14:textId="77777777" w:rsidTr="00D21215">
        <w:trPr>
          <w:tblHeader/>
        </w:trPr>
        <w:tc>
          <w:tcPr>
            <w:tcW w:w="1203" w:type="pct"/>
            <w:tcBorders>
              <w:bottom w:val="single" w:sz="4" w:space="0" w:color="auto"/>
            </w:tcBorders>
            <w:shd w:val="clear" w:color="auto" w:fill="D9D9D9" w:themeFill="background1" w:themeFillShade="D9"/>
          </w:tcPr>
          <w:p w14:paraId="4D9FAFC5" w14:textId="77777777" w:rsidR="00237FB0" w:rsidRPr="00610313" w:rsidRDefault="00237FB0" w:rsidP="00610313">
            <w:pPr>
              <w:pStyle w:val="Tabletext1"/>
              <w:rPr>
                <w:b/>
              </w:rPr>
            </w:pPr>
            <w:r w:rsidRPr="00610313">
              <w:rPr>
                <w:b/>
              </w:rPr>
              <w:t>Outcome and intervention/comparator</w:t>
            </w:r>
          </w:p>
        </w:tc>
        <w:tc>
          <w:tcPr>
            <w:tcW w:w="868" w:type="pct"/>
            <w:tcBorders>
              <w:bottom w:val="single" w:sz="4" w:space="0" w:color="auto"/>
            </w:tcBorders>
            <w:shd w:val="clear" w:color="auto" w:fill="D9D9D9" w:themeFill="background1" w:themeFillShade="D9"/>
          </w:tcPr>
          <w:p w14:paraId="022701B2" w14:textId="77777777" w:rsidR="00237FB0" w:rsidRPr="00610313" w:rsidRDefault="00237FB0" w:rsidP="00610313">
            <w:pPr>
              <w:pStyle w:val="Tabletext1"/>
              <w:rPr>
                <w:b/>
              </w:rPr>
            </w:pPr>
            <w:r w:rsidRPr="00610313">
              <w:rPr>
                <w:rFonts w:eastAsiaTheme="minorEastAsia"/>
                <w:b/>
              </w:rPr>
              <w:t>№ of Studies and level of evidence</w:t>
            </w:r>
          </w:p>
        </w:tc>
        <w:tc>
          <w:tcPr>
            <w:tcW w:w="1967" w:type="pct"/>
            <w:tcBorders>
              <w:bottom w:val="single" w:sz="4" w:space="0" w:color="auto"/>
            </w:tcBorders>
            <w:shd w:val="clear" w:color="auto" w:fill="D9D9D9" w:themeFill="background1" w:themeFillShade="D9"/>
          </w:tcPr>
          <w:p w14:paraId="2D78B712" w14:textId="77777777" w:rsidR="00237FB0" w:rsidRPr="00610313" w:rsidRDefault="00237FB0" w:rsidP="00610313">
            <w:pPr>
              <w:pStyle w:val="Tabletext1"/>
              <w:rPr>
                <w:rFonts w:cstheme="minorBidi"/>
                <w:b/>
              </w:rPr>
            </w:pPr>
            <w:r w:rsidRPr="00610313">
              <w:rPr>
                <w:rFonts w:cstheme="minorBidi"/>
                <w:b/>
              </w:rPr>
              <w:t>Summary</w:t>
            </w:r>
          </w:p>
        </w:tc>
        <w:tc>
          <w:tcPr>
            <w:tcW w:w="961" w:type="pct"/>
            <w:tcBorders>
              <w:bottom w:val="single" w:sz="4" w:space="0" w:color="auto"/>
            </w:tcBorders>
            <w:shd w:val="clear" w:color="auto" w:fill="D9D9D9" w:themeFill="background1" w:themeFillShade="D9"/>
          </w:tcPr>
          <w:p w14:paraId="0B140A3B" w14:textId="77777777" w:rsidR="00237FB0" w:rsidRPr="00610313" w:rsidRDefault="001C73CA" w:rsidP="00610313">
            <w:pPr>
              <w:pStyle w:val="Tabletext1"/>
              <w:rPr>
                <w:b/>
              </w:rPr>
            </w:pPr>
            <w:r w:rsidRPr="00610313">
              <w:rPr>
                <w:b/>
              </w:rPr>
              <w:t xml:space="preserve">Quality of the </w:t>
            </w:r>
            <w:r w:rsidR="00237FB0" w:rsidRPr="00610313">
              <w:rPr>
                <w:b/>
              </w:rPr>
              <w:t>evidence</w:t>
            </w:r>
            <w:r w:rsidRPr="00610313">
              <w:rPr>
                <w:b/>
              </w:rPr>
              <w:t xml:space="preserve"> </w:t>
            </w:r>
            <w:r w:rsidR="00237FB0" w:rsidRPr="00610313">
              <w:rPr>
                <w:b/>
              </w:rPr>
              <w:t>(GRADE)</w:t>
            </w:r>
          </w:p>
        </w:tc>
      </w:tr>
      <w:tr w:rsidR="00237FB0" w:rsidRPr="001C1D01" w14:paraId="3FE252DD" w14:textId="77777777" w:rsidTr="003A5379">
        <w:trPr>
          <w:trHeight w:val="354"/>
        </w:trPr>
        <w:tc>
          <w:tcPr>
            <w:tcW w:w="1203" w:type="pct"/>
            <w:tcBorders>
              <w:right w:val="nil"/>
            </w:tcBorders>
            <w:shd w:val="clear" w:color="auto" w:fill="D9D9D9" w:themeFill="background1" w:themeFillShade="D9"/>
          </w:tcPr>
          <w:p w14:paraId="1A46252E" w14:textId="77777777" w:rsidR="00237FB0" w:rsidRPr="00610313" w:rsidRDefault="00237FB0" w:rsidP="00610313">
            <w:pPr>
              <w:pStyle w:val="Tabletext1"/>
              <w:rPr>
                <w:rFonts w:cstheme="minorBidi"/>
                <w:b/>
              </w:rPr>
            </w:pPr>
            <w:r w:rsidRPr="00610313">
              <w:rPr>
                <w:rFonts w:cstheme="minorBidi"/>
                <w:b/>
              </w:rPr>
              <w:t xml:space="preserve">1 year survival </w:t>
            </w:r>
          </w:p>
        </w:tc>
        <w:tc>
          <w:tcPr>
            <w:tcW w:w="868" w:type="pct"/>
            <w:tcBorders>
              <w:left w:val="nil"/>
              <w:right w:val="nil"/>
            </w:tcBorders>
            <w:shd w:val="clear" w:color="auto" w:fill="D9D9D9" w:themeFill="background1" w:themeFillShade="D9"/>
          </w:tcPr>
          <w:p w14:paraId="100D0CA3" w14:textId="77777777" w:rsidR="00237FB0" w:rsidRPr="001C1D01" w:rsidRDefault="00237FB0" w:rsidP="00610313">
            <w:pPr>
              <w:pStyle w:val="Tabletext1"/>
              <w:rPr>
                <w:rFonts w:cstheme="minorBidi"/>
              </w:rPr>
            </w:pPr>
          </w:p>
        </w:tc>
        <w:tc>
          <w:tcPr>
            <w:tcW w:w="1967" w:type="pct"/>
            <w:tcBorders>
              <w:left w:val="nil"/>
            </w:tcBorders>
            <w:shd w:val="clear" w:color="auto" w:fill="D9D9D9" w:themeFill="background1" w:themeFillShade="D9"/>
          </w:tcPr>
          <w:p w14:paraId="5FAA8229" w14:textId="77777777" w:rsidR="00237FB0" w:rsidRPr="00FC06D9" w:rsidRDefault="00237FB0" w:rsidP="00610313">
            <w:pPr>
              <w:pStyle w:val="Tabletext1"/>
              <w:rPr>
                <w:rFonts w:cstheme="minorBidi"/>
                <w:u w:val="single"/>
              </w:rPr>
            </w:pPr>
          </w:p>
        </w:tc>
        <w:tc>
          <w:tcPr>
            <w:tcW w:w="961" w:type="pct"/>
            <w:tcBorders>
              <w:left w:val="nil"/>
            </w:tcBorders>
            <w:shd w:val="clear" w:color="auto" w:fill="D9D9D9" w:themeFill="background1" w:themeFillShade="D9"/>
          </w:tcPr>
          <w:p w14:paraId="2B503A89" w14:textId="77777777" w:rsidR="00237FB0" w:rsidRPr="00FC06D9" w:rsidRDefault="00237FB0" w:rsidP="00610313">
            <w:pPr>
              <w:pStyle w:val="Tabletext1"/>
              <w:rPr>
                <w:rFonts w:cs="Cambria Math"/>
              </w:rPr>
            </w:pPr>
          </w:p>
        </w:tc>
      </w:tr>
      <w:tr w:rsidR="00237FB0" w:rsidRPr="001C1D01" w14:paraId="17635B1D" w14:textId="77777777" w:rsidTr="003A5379">
        <w:tc>
          <w:tcPr>
            <w:tcW w:w="1203" w:type="pct"/>
            <w:tcBorders>
              <w:bottom w:val="single" w:sz="4" w:space="0" w:color="auto"/>
            </w:tcBorders>
          </w:tcPr>
          <w:p w14:paraId="6891D1DB" w14:textId="77777777" w:rsidR="003A5379" w:rsidRPr="001C1D01" w:rsidRDefault="00112F16" w:rsidP="00610313">
            <w:pPr>
              <w:pStyle w:val="Tabletext1"/>
              <w:rPr>
                <w:rFonts w:cstheme="minorBidi"/>
              </w:rPr>
            </w:pPr>
            <w:r w:rsidRPr="001C1D01">
              <w:rPr>
                <w:rFonts w:cstheme="minorBidi"/>
              </w:rPr>
              <w:t>MTA</w:t>
            </w:r>
            <w:r w:rsidR="00237FB0" w:rsidRPr="001C1D01">
              <w:rPr>
                <w:rFonts w:cstheme="minorBidi"/>
              </w:rPr>
              <w:t xml:space="preserve"> versus MTA + chemotherapy</w:t>
            </w:r>
          </w:p>
          <w:p w14:paraId="3D2CBC24" w14:textId="77777777" w:rsidR="00237FB0" w:rsidRPr="00FC06D9" w:rsidRDefault="00237FB0" w:rsidP="00610313">
            <w:pPr>
              <w:pStyle w:val="Tabletext1"/>
              <w:rPr>
                <w:rFonts w:cstheme="minorBidi"/>
              </w:rPr>
            </w:pPr>
            <w:r w:rsidRPr="00FC06D9">
              <w:rPr>
                <w:rFonts w:cstheme="minorBidi"/>
              </w:rPr>
              <w:t>Assessed with: n/N (%) at 1 and 2 years</w:t>
            </w:r>
          </w:p>
          <w:p w14:paraId="783A7509" w14:textId="77777777" w:rsidR="00237FB0" w:rsidRPr="00FC06D9" w:rsidRDefault="00800486" w:rsidP="00610313">
            <w:pPr>
              <w:pStyle w:val="Tabletext1"/>
              <w:rPr>
                <w:rFonts w:cstheme="minorBidi"/>
              </w:rPr>
            </w:pPr>
            <w:r w:rsidRPr="00FC06D9">
              <w:rPr>
                <w:rFonts w:cstheme="minorBidi"/>
              </w:rPr>
              <w:t xml:space="preserve">F/U </w:t>
            </w:r>
            <w:r w:rsidR="00237FB0" w:rsidRPr="00FC06D9">
              <w:rPr>
                <w:rFonts w:cstheme="minorBidi"/>
              </w:rPr>
              <w:t>range 6 to 35 months</w:t>
            </w:r>
          </w:p>
        </w:tc>
        <w:tc>
          <w:tcPr>
            <w:tcW w:w="868" w:type="pct"/>
            <w:tcBorders>
              <w:bottom w:val="single" w:sz="4" w:space="0" w:color="auto"/>
            </w:tcBorders>
          </w:tcPr>
          <w:p w14:paraId="75A8D0CE" w14:textId="77777777" w:rsidR="003A5379" w:rsidRPr="001D54EF" w:rsidRDefault="00237FB0" w:rsidP="00610313">
            <w:pPr>
              <w:pStyle w:val="Tabletext1"/>
              <w:rPr>
                <w:rFonts w:cstheme="minorBidi"/>
              </w:rPr>
            </w:pPr>
            <w:r w:rsidRPr="001D54EF">
              <w:rPr>
                <w:rFonts w:cstheme="minorBidi"/>
              </w:rPr>
              <w:t>1 Level III-2 study</w:t>
            </w:r>
          </w:p>
          <w:p w14:paraId="685F5676" w14:textId="77777777" w:rsidR="00237FB0" w:rsidRPr="00351105" w:rsidRDefault="003A5379" w:rsidP="00610313">
            <w:pPr>
              <w:pStyle w:val="Tabletext1"/>
              <w:rPr>
                <w:rFonts w:cstheme="minorBidi"/>
              </w:rPr>
            </w:pPr>
            <w:r w:rsidRPr="001D54EF">
              <w:rPr>
                <w:rFonts w:cstheme="minorBidi"/>
              </w:rPr>
              <w:t>(Sun et al 2015)</w:t>
            </w:r>
          </w:p>
        </w:tc>
        <w:tc>
          <w:tcPr>
            <w:tcW w:w="1967" w:type="pct"/>
            <w:tcBorders>
              <w:bottom w:val="single" w:sz="4" w:space="0" w:color="auto"/>
            </w:tcBorders>
          </w:tcPr>
          <w:p w14:paraId="2C84CECD" w14:textId="77777777" w:rsidR="00237FB0" w:rsidRPr="00935A6C" w:rsidRDefault="00237FB0" w:rsidP="00610313">
            <w:pPr>
              <w:pStyle w:val="Tabletext1"/>
              <w:rPr>
                <w:rFonts w:cstheme="minorBidi"/>
              </w:rPr>
            </w:pPr>
            <w:r w:rsidRPr="00935A6C">
              <w:rPr>
                <w:rFonts w:cstheme="minorBidi"/>
                <w:u w:val="single"/>
              </w:rPr>
              <w:t>MTA:</w:t>
            </w:r>
            <w:r w:rsidRPr="00935A6C">
              <w:rPr>
                <w:rFonts w:cstheme="minorBidi"/>
              </w:rPr>
              <w:t xml:space="preserve"> 9/18 (50%)</w:t>
            </w:r>
          </w:p>
          <w:p w14:paraId="7DFE5175" w14:textId="77777777" w:rsidR="00237FB0" w:rsidRPr="0014017A" w:rsidRDefault="00237FB0" w:rsidP="00610313">
            <w:pPr>
              <w:pStyle w:val="Tabletext1"/>
              <w:rPr>
                <w:rFonts w:cstheme="minorBidi"/>
              </w:rPr>
            </w:pPr>
            <w:r w:rsidRPr="00574E64">
              <w:rPr>
                <w:rFonts w:cstheme="minorBidi"/>
                <w:u w:val="single"/>
              </w:rPr>
              <w:t xml:space="preserve">MTA </w:t>
            </w:r>
            <w:r w:rsidR="00F45D1B" w:rsidRPr="001C1D01">
              <w:rPr>
                <w:rFonts w:cstheme="minorBidi"/>
                <w:u w:val="single"/>
              </w:rPr>
              <w:t>+</w:t>
            </w:r>
            <w:r w:rsidRPr="001C1D01">
              <w:rPr>
                <w:rFonts w:cstheme="minorBidi"/>
                <w:u w:val="single"/>
              </w:rPr>
              <w:t xml:space="preserve"> chemotherapy</w:t>
            </w:r>
            <w:r w:rsidRPr="001C1D01">
              <w:rPr>
                <w:rFonts w:cstheme="minorBidi"/>
              </w:rPr>
              <w:t>: 17/22 (77.3%)</w:t>
            </w:r>
          </w:p>
        </w:tc>
        <w:tc>
          <w:tcPr>
            <w:tcW w:w="961" w:type="pct"/>
            <w:tcBorders>
              <w:bottom w:val="single" w:sz="4" w:space="0" w:color="auto"/>
            </w:tcBorders>
          </w:tcPr>
          <w:p w14:paraId="2087DE2E" w14:textId="77777777" w:rsidR="00237FB0" w:rsidRPr="0014017A" w:rsidRDefault="00237FB0" w:rsidP="00610313">
            <w:pPr>
              <w:pStyle w:val="Tabletext1"/>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r w:rsidRPr="001C1D01">
              <w:rPr>
                <w:rFonts w:cstheme="minorBidi"/>
                <w:vertAlign w:val="superscript"/>
              </w:rPr>
              <w:t>1,2</w:t>
            </w:r>
          </w:p>
        </w:tc>
      </w:tr>
      <w:tr w:rsidR="00237FB0" w:rsidRPr="001C1D01" w14:paraId="04B8A955" w14:textId="77777777" w:rsidTr="003A5379">
        <w:tc>
          <w:tcPr>
            <w:tcW w:w="1203" w:type="pct"/>
            <w:tcBorders>
              <w:right w:val="nil"/>
            </w:tcBorders>
            <w:shd w:val="clear" w:color="auto" w:fill="D9D9D9" w:themeFill="background1" w:themeFillShade="D9"/>
          </w:tcPr>
          <w:p w14:paraId="59AB1730" w14:textId="77777777" w:rsidR="00237FB0" w:rsidRPr="00610313" w:rsidRDefault="003A5379" w:rsidP="00610313">
            <w:pPr>
              <w:pStyle w:val="Tabletext1"/>
              <w:rPr>
                <w:rFonts w:cstheme="minorBidi"/>
                <w:b/>
              </w:rPr>
            </w:pPr>
            <w:r w:rsidRPr="00610313">
              <w:rPr>
                <w:rFonts w:cstheme="minorBidi"/>
                <w:b/>
              </w:rPr>
              <w:t>2-year survival</w:t>
            </w:r>
          </w:p>
        </w:tc>
        <w:tc>
          <w:tcPr>
            <w:tcW w:w="868" w:type="pct"/>
            <w:tcBorders>
              <w:left w:val="nil"/>
              <w:right w:val="nil"/>
            </w:tcBorders>
            <w:shd w:val="clear" w:color="auto" w:fill="D9D9D9" w:themeFill="background1" w:themeFillShade="D9"/>
          </w:tcPr>
          <w:p w14:paraId="13A57A5C" w14:textId="77777777" w:rsidR="00237FB0" w:rsidRPr="001C1D01" w:rsidRDefault="00237FB0" w:rsidP="00610313">
            <w:pPr>
              <w:pStyle w:val="Tabletext1"/>
              <w:rPr>
                <w:rFonts w:cstheme="minorBidi"/>
              </w:rPr>
            </w:pPr>
          </w:p>
        </w:tc>
        <w:tc>
          <w:tcPr>
            <w:tcW w:w="1967" w:type="pct"/>
            <w:tcBorders>
              <w:left w:val="nil"/>
            </w:tcBorders>
            <w:shd w:val="clear" w:color="auto" w:fill="D9D9D9" w:themeFill="background1" w:themeFillShade="D9"/>
          </w:tcPr>
          <w:p w14:paraId="4E53E0CE" w14:textId="77777777" w:rsidR="00237FB0" w:rsidRPr="00FC06D9" w:rsidRDefault="00237FB0" w:rsidP="00610313">
            <w:pPr>
              <w:pStyle w:val="Tabletext1"/>
              <w:rPr>
                <w:rFonts w:cstheme="minorBidi"/>
                <w:u w:val="single"/>
              </w:rPr>
            </w:pPr>
          </w:p>
        </w:tc>
        <w:tc>
          <w:tcPr>
            <w:tcW w:w="961" w:type="pct"/>
            <w:tcBorders>
              <w:left w:val="nil"/>
            </w:tcBorders>
            <w:shd w:val="clear" w:color="auto" w:fill="D9D9D9" w:themeFill="background1" w:themeFillShade="D9"/>
          </w:tcPr>
          <w:p w14:paraId="02E42052" w14:textId="77777777" w:rsidR="00237FB0" w:rsidRPr="00FC06D9" w:rsidRDefault="00237FB0" w:rsidP="00610313">
            <w:pPr>
              <w:pStyle w:val="Tabletext1"/>
              <w:rPr>
                <w:color w:val="00B050"/>
              </w:rPr>
            </w:pPr>
          </w:p>
        </w:tc>
      </w:tr>
      <w:tr w:rsidR="00237FB0" w:rsidRPr="001C1D01" w14:paraId="0A542309" w14:textId="77777777" w:rsidTr="003A5379">
        <w:tc>
          <w:tcPr>
            <w:tcW w:w="1203" w:type="pct"/>
            <w:tcBorders>
              <w:bottom w:val="single" w:sz="4" w:space="0" w:color="auto"/>
            </w:tcBorders>
          </w:tcPr>
          <w:p w14:paraId="3B44D68E" w14:textId="77777777" w:rsidR="003A5379" w:rsidRPr="001C1D01" w:rsidRDefault="00237FB0" w:rsidP="00610313">
            <w:pPr>
              <w:pStyle w:val="Tabletext1"/>
              <w:rPr>
                <w:rFonts w:cstheme="minorBidi"/>
              </w:rPr>
            </w:pPr>
            <w:r w:rsidRPr="001C1D01">
              <w:rPr>
                <w:rFonts w:cstheme="minorBidi"/>
              </w:rPr>
              <w:t xml:space="preserve">MTA versus MTA + chemotherapy </w:t>
            </w:r>
          </w:p>
          <w:p w14:paraId="5AE7EAA7" w14:textId="77777777" w:rsidR="00237FB0" w:rsidRPr="00FC06D9" w:rsidRDefault="00237FB0" w:rsidP="00610313">
            <w:pPr>
              <w:pStyle w:val="Tabletext1"/>
              <w:rPr>
                <w:rFonts w:cstheme="minorBidi"/>
              </w:rPr>
            </w:pPr>
            <w:r w:rsidRPr="00FC06D9">
              <w:rPr>
                <w:rFonts w:cstheme="minorBidi"/>
              </w:rPr>
              <w:t>Assessed with: n/N (%) at 1 and 2 years</w:t>
            </w:r>
          </w:p>
          <w:p w14:paraId="0E21FADD" w14:textId="77777777" w:rsidR="00237FB0" w:rsidRPr="00FC06D9" w:rsidRDefault="00800486" w:rsidP="00610313">
            <w:pPr>
              <w:pStyle w:val="Tabletext1"/>
              <w:rPr>
                <w:rFonts w:cstheme="minorBidi"/>
              </w:rPr>
            </w:pPr>
            <w:r w:rsidRPr="00FC06D9">
              <w:rPr>
                <w:rFonts w:cstheme="minorBidi"/>
              </w:rPr>
              <w:t xml:space="preserve">F/U </w:t>
            </w:r>
            <w:r w:rsidR="00237FB0" w:rsidRPr="00FC06D9">
              <w:rPr>
                <w:rFonts w:cstheme="minorBidi"/>
              </w:rPr>
              <w:t>range 6 to 35 months</w:t>
            </w:r>
          </w:p>
        </w:tc>
        <w:tc>
          <w:tcPr>
            <w:tcW w:w="868" w:type="pct"/>
            <w:tcBorders>
              <w:bottom w:val="single" w:sz="4" w:space="0" w:color="auto"/>
            </w:tcBorders>
          </w:tcPr>
          <w:p w14:paraId="48A19CDE" w14:textId="77777777" w:rsidR="00237FB0" w:rsidRPr="001D54EF" w:rsidRDefault="00237FB0" w:rsidP="00610313">
            <w:pPr>
              <w:pStyle w:val="Tabletext1"/>
              <w:rPr>
                <w:rFonts w:cstheme="minorBidi"/>
              </w:rPr>
            </w:pPr>
            <w:r w:rsidRPr="001D54EF">
              <w:rPr>
                <w:rFonts w:cstheme="minorBidi"/>
              </w:rPr>
              <w:t>1 Level III-2 study</w:t>
            </w:r>
          </w:p>
          <w:p w14:paraId="7B0BCD68" w14:textId="77777777" w:rsidR="003A5379" w:rsidRPr="001D54EF" w:rsidRDefault="003A5379" w:rsidP="00610313">
            <w:pPr>
              <w:pStyle w:val="Tabletext1"/>
              <w:rPr>
                <w:rFonts w:cstheme="minorBidi"/>
              </w:rPr>
            </w:pPr>
            <w:r w:rsidRPr="001D54EF">
              <w:rPr>
                <w:rFonts w:cstheme="minorBidi"/>
              </w:rPr>
              <w:t>(Sun et al 2015)</w:t>
            </w:r>
          </w:p>
        </w:tc>
        <w:tc>
          <w:tcPr>
            <w:tcW w:w="1967" w:type="pct"/>
            <w:tcBorders>
              <w:bottom w:val="single" w:sz="4" w:space="0" w:color="auto"/>
            </w:tcBorders>
          </w:tcPr>
          <w:p w14:paraId="0ED40A0B" w14:textId="77777777" w:rsidR="00237FB0" w:rsidRPr="00935A6C" w:rsidRDefault="00237FB0" w:rsidP="00610313">
            <w:pPr>
              <w:pStyle w:val="Tabletext1"/>
              <w:rPr>
                <w:rFonts w:cstheme="minorBidi"/>
              </w:rPr>
            </w:pPr>
            <w:r w:rsidRPr="00351105">
              <w:rPr>
                <w:rFonts w:cstheme="minorBidi"/>
                <w:u w:val="single"/>
              </w:rPr>
              <w:t>MTA:</w:t>
            </w:r>
            <w:r w:rsidRPr="00935A6C">
              <w:rPr>
                <w:rFonts w:cstheme="minorBidi"/>
              </w:rPr>
              <w:t xml:space="preserve"> 5/18 (27.7%)</w:t>
            </w:r>
          </w:p>
          <w:p w14:paraId="7791F3D3" w14:textId="77777777" w:rsidR="00237FB0" w:rsidRPr="0014017A" w:rsidRDefault="00237FB0" w:rsidP="00610313">
            <w:pPr>
              <w:pStyle w:val="Tabletext1"/>
              <w:rPr>
                <w:rFonts w:cstheme="minorBidi"/>
              </w:rPr>
            </w:pPr>
            <w:r w:rsidRPr="00574E64">
              <w:rPr>
                <w:rFonts w:cstheme="minorBidi"/>
                <w:u w:val="single"/>
              </w:rPr>
              <w:t xml:space="preserve">MTA </w:t>
            </w:r>
            <w:r w:rsidR="00F45D1B" w:rsidRPr="001C1D01">
              <w:rPr>
                <w:rFonts w:cstheme="minorBidi"/>
                <w:u w:val="single"/>
              </w:rPr>
              <w:t>+</w:t>
            </w:r>
            <w:r w:rsidRPr="001C1D01">
              <w:rPr>
                <w:rFonts w:cstheme="minorBidi"/>
                <w:u w:val="single"/>
              </w:rPr>
              <w:t xml:space="preserve"> chemotherapy</w:t>
            </w:r>
            <w:r w:rsidRPr="001C1D01">
              <w:rPr>
                <w:rFonts w:cstheme="minorBidi"/>
              </w:rPr>
              <w:t>: 13/22 (79.1%)</w:t>
            </w:r>
          </w:p>
        </w:tc>
        <w:tc>
          <w:tcPr>
            <w:tcW w:w="961" w:type="pct"/>
            <w:tcBorders>
              <w:bottom w:val="single" w:sz="4" w:space="0" w:color="auto"/>
            </w:tcBorders>
          </w:tcPr>
          <w:p w14:paraId="3543EFD2" w14:textId="77777777" w:rsidR="00237FB0" w:rsidRPr="0014017A" w:rsidRDefault="00237FB0" w:rsidP="00610313">
            <w:pPr>
              <w:pStyle w:val="Tabletext1"/>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r w:rsidRPr="001C1D01">
              <w:rPr>
                <w:rFonts w:cstheme="minorBidi"/>
                <w:vertAlign w:val="superscript"/>
              </w:rPr>
              <w:t>1,2</w:t>
            </w:r>
          </w:p>
        </w:tc>
      </w:tr>
      <w:tr w:rsidR="00237FB0" w:rsidRPr="001C1D01" w14:paraId="6AC53F2C" w14:textId="77777777" w:rsidTr="003A5379">
        <w:tc>
          <w:tcPr>
            <w:tcW w:w="1203" w:type="pct"/>
            <w:tcBorders>
              <w:right w:val="nil"/>
            </w:tcBorders>
            <w:shd w:val="clear" w:color="auto" w:fill="D9D9D9" w:themeFill="background1" w:themeFillShade="D9"/>
          </w:tcPr>
          <w:p w14:paraId="58D0B848" w14:textId="77777777" w:rsidR="00237FB0" w:rsidRPr="00610313" w:rsidRDefault="002C2625" w:rsidP="00610313">
            <w:pPr>
              <w:pStyle w:val="Tabletext1"/>
              <w:rPr>
                <w:rFonts w:cstheme="minorBidi"/>
                <w:b/>
              </w:rPr>
            </w:pPr>
            <w:r w:rsidRPr="00610313">
              <w:rPr>
                <w:rFonts w:cstheme="minorBidi"/>
                <w:b/>
              </w:rPr>
              <w:t>Median</w:t>
            </w:r>
            <w:r w:rsidR="00237FB0" w:rsidRPr="00610313">
              <w:rPr>
                <w:rFonts w:cstheme="minorBidi"/>
                <w:b/>
              </w:rPr>
              <w:t xml:space="preserve"> survival </w:t>
            </w:r>
            <w:r w:rsidRPr="00610313">
              <w:rPr>
                <w:rFonts w:cstheme="minorBidi"/>
                <w:b/>
              </w:rPr>
              <w:t>time</w:t>
            </w:r>
          </w:p>
        </w:tc>
        <w:tc>
          <w:tcPr>
            <w:tcW w:w="868" w:type="pct"/>
            <w:tcBorders>
              <w:left w:val="nil"/>
              <w:right w:val="nil"/>
            </w:tcBorders>
            <w:shd w:val="clear" w:color="auto" w:fill="D9D9D9" w:themeFill="background1" w:themeFillShade="D9"/>
          </w:tcPr>
          <w:p w14:paraId="5A3A7BD8" w14:textId="77777777" w:rsidR="00237FB0" w:rsidRPr="00FC06D9" w:rsidRDefault="00237FB0" w:rsidP="00610313">
            <w:pPr>
              <w:pStyle w:val="Tabletext1"/>
              <w:rPr>
                <w:rFonts w:cstheme="minorBidi"/>
              </w:rPr>
            </w:pPr>
          </w:p>
        </w:tc>
        <w:tc>
          <w:tcPr>
            <w:tcW w:w="1967" w:type="pct"/>
            <w:tcBorders>
              <w:left w:val="nil"/>
            </w:tcBorders>
            <w:shd w:val="clear" w:color="auto" w:fill="D9D9D9" w:themeFill="background1" w:themeFillShade="D9"/>
          </w:tcPr>
          <w:p w14:paraId="10ADF792" w14:textId="77777777" w:rsidR="00237FB0" w:rsidRPr="00FC06D9" w:rsidRDefault="00237FB0" w:rsidP="00610313">
            <w:pPr>
              <w:pStyle w:val="Tabletext1"/>
              <w:rPr>
                <w:rFonts w:cstheme="minorBidi"/>
                <w:u w:val="single"/>
              </w:rPr>
            </w:pPr>
          </w:p>
        </w:tc>
        <w:tc>
          <w:tcPr>
            <w:tcW w:w="961" w:type="pct"/>
            <w:tcBorders>
              <w:left w:val="nil"/>
            </w:tcBorders>
            <w:shd w:val="clear" w:color="auto" w:fill="D9D9D9" w:themeFill="background1" w:themeFillShade="D9"/>
          </w:tcPr>
          <w:p w14:paraId="7CFF574E" w14:textId="77777777" w:rsidR="00237FB0" w:rsidRPr="001D54EF" w:rsidRDefault="00237FB0" w:rsidP="00610313">
            <w:pPr>
              <w:pStyle w:val="Tabletext1"/>
              <w:rPr>
                <w:color w:val="00B050"/>
              </w:rPr>
            </w:pPr>
          </w:p>
        </w:tc>
      </w:tr>
      <w:tr w:rsidR="00237FB0" w:rsidRPr="001C1D01" w14:paraId="334BD192" w14:textId="77777777" w:rsidTr="003A5379">
        <w:tc>
          <w:tcPr>
            <w:tcW w:w="1203" w:type="pct"/>
            <w:tcBorders>
              <w:bottom w:val="single" w:sz="4" w:space="0" w:color="auto"/>
            </w:tcBorders>
          </w:tcPr>
          <w:p w14:paraId="2C15744B" w14:textId="77777777" w:rsidR="00237FB0" w:rsidRPr="00FC06D9" w:rsidRDefault="00112F16" w:rsidP="00610313">
            <w:pPr>
              <w:pStyle w:val="Tabletext1"/>
              <w:rPr>
                <w:rFonts w:cstheme="minorBidi"/>
              </w:rPr>
            </w:pPr>
            <w:r w:rsidRPr="001C1D01">
              <w:rPr>
                <w:rFonts w:cstheme="minorBidi"/>
              </w:rPr>
              <w:t xml:space="preserve">Chemotherapy versus </w:t>
            </w:r>
            <w:r w:rsidR="00237FB0" w:rsidRPr="001C1D01">
              <w:rPr>
                <w:rFonts w:cstheme="minorBidi"/>
              </w:rPr>
              <w:t>MTA</w:t>
            </w:r>
            <w:r w:rsidRPr="00FC06D9">
              <w:rPr>
                <w:rFonts w:cstheme="minorBidi"/>
              </w:rPr>
              <w:t xml:space="preserve"> </w:t>
            </w:r>
            <w:r w:rsidR="00237FB0" w:rsidRPr="00FC06D9">
              <w:rPr>
                <w:rFonts w:cstheme="minorBidi"/>
              </w:rPr>
              <w:t>+ c</w:t>
            </w:r>
            <w:r w:rsidRPr="00FC06D9">
              <w:rPr>
                <w:rFonts w:cstheme="minorBidi"/>
              </w:rPr>
              <w:t>hemotherapy</w:t>
            </w:r>
          </w:p>
          <w:p w14:paraId="4E1B3E15" w14:textId="77777777" w:rsidR="00237FB0" w:rsidRPr="00351105" w:rsidRDefault="007C64EF" w:rsidP="00610313">
            <w:pPr>
              <w:pStyle w:val="Tabletext1"/>
              <w:rPr>
                <w:rFonts w:cstheme="minorBidi"/>
              </w:rPr>
            </w:pPr>
            <w:r w:rsidRPr="001D54EF">
              <w:rPr>
                <w:rFonts w:cstheme="minorBidi"/>
              </w:rPr>
              <w:t>A</w:t>
            </w:r>
            <w:r w:rsidR="00237FB0" w:rsidRPr="00351105">
              <w:rPr>
                <w:rFonts w:cstheme="minorBidi"/>
              </w:rPr>
              <w:t>ssessed with: Kaplan-Meier estimate</w:t>
            </w:r>
          </w:p>
          <w:p w14:paraId="0629877F" w14:textId="77777777" w:rsidR="00237FB0" w:rsidRPr="00216DA9" w:rsidRDefault="00800486" w:rsidP="00610313">
            <w:pPr>
              <w:pStyle w:val="Tabletext1"/>
              <w:rPr>
                <w:rFonts w:cstheme="minorBidi"/>
              </w:rPr>
            </w:pPr>
            <w:r w:rsidRPr="00935A6C">
              <w:rPr>
                <w:rFonts w:cstheme="minorBidi"/>
              </w:rPr>
              <w:t xml:space="preserve">F/U </w:t>
            </w:r>
            <w:r w:rsidR="00237FB0" w:rsidRPr="00935A6C">
              <w:rPr>
                <w:rFonts w:cstheme="minorBidi"/>
              </w:rPr>
              <w:t>median 21 months</w:t>
            </w:r>
          </w:p>
        </w:tc>
        <w:tc>
          <w:tcPr>
            <w:tcW w:w="868" w:type="pct"/>
            <w:tcBorders>
              <w:bottom w:val="single" w:sz="4" w:space="0" w:color="auto"/>
            </w:tcBorders>
          </w:tcPr>
          <w:p w14:paraId="023FBAC7" w14:textId="77777777" w:rsidR="00237FB0" w:rsidRPr="00574E64" w:rsidRDefault="00237FB0" w:rsidP="00610313">
            <w:pPr>
              <w:pStyle w:val="Tabletext1"/>
              <w:rPr>
                <w:rFonts w:cstheme="minorBidi"/>
              </w:rPr>
            </w:pPr>
            <w:r w:rsidRPr="00574E64">
              <w:rPr>
                <w:rFonts w:cstheme="minorBidi"/>
              </w:rPr>
              <w:t>1 Level III-2 study</w:t>
            </w:r>
          </w:p>
          <w:p w14:paraId="61ED1B24" w14:textId="77777777" w:rsidR="003A5379" w:rsidRPr="00753CFF" w:rsidRDefault="003A5379" w:rsidP="00610313">
            <w:pPr>
              <w:pStyle w:val="Tabletext1"/>
              <w:rPr>
                <w:rFonts w:cstheme="minorBidi"/>
              </w:rPr>
            </w:pPr>
            <w:r w:rsidRPr="001C1D01">
              <w:rPr>
                <w:rFonts w:cstheme="minorBidi"/>
              </w:rPr>
              <w:t>(Wei et al 2015)</w:t>
            </w:r>
          </w:p>
        </w:tc>
        <w:tc>
          <w:tcPr>
            <w:tcW w:w="1967" w:type="pct"/>
            <w:tcBorders>
              <w:bottom w:val="single" w:sz="4" w:space="0" w:color="auto"/>
            </w:tcBorders>
          </w:tcPr>
          <w:p w14:paraId="60370C6B" w14:textId="35C6F957" w:rsidR="00237FB0" w:rsidRPr="00753CFF" w:rsidRDefault="00F45D1B" w:rsidP="00610313">
            <w:pPr>
              <w:pStyle w:val="Tabletext1"/>
              <w:rPr>
                <w:rFonts w:cstheme="minorBidi"/>
                <w:u w:val="single"/>
              </w:rPr>
            </w:pPr>
            <w:r w:rsidRPr="001C1D01">
              <w:rPr>
                <w:rFonts w:cstheme="minorBidi"/>
                <w:u w:val="single"/>
              </w:rPr>
              <w:t xml:space="preserve">MTA + </w:t>
            </w:r>
            <w:r w:rsidR="00237FB0" w:rsidRPr="001C1D01">
              <w:rPr>
                <w:rFonts w:cstheme="minorBidi"/>
                <w:u w:val="single"/>
              </w:rPr>
              <w:t>chemotherapy:</w:t>
            </w:r>
            <w:r w:rsidR="00237FB0" w:rsidRPr="001C1D01">
              <w:rPr>
                <w:rFonts w:cstheme="minorBidi"/>
              </w:rPr>
              <w:t xml:space="preserve"> 23.9 (95%CI15.2</w:t>
            </w:r>
            <w:r w:rsidR="00D35E9C">
              <w:rPr>
                <w:rFonts w:cstheme="minorBidi"/>
              </w:rPr>
              <w:t>–</w:t>
            </w:r>
            <w:r w:rsidR="00237FB0" w:rsidRPr="001C1D01">
              <w:rPr>
                <w:rFonts w:cstheme="minorBidi"/>
              </w:rPr>
              <w:t>32.6) months</w:t>
            </w:r>
          </w:p>
          <w:p w14:paraId="3AE45BA2" w14:textId="308267E2" w:rsidR="00237FB0" w:rsidRPr="00753CFF" w:rsidRDefault="00237FB0" w:rsidP="00610313">
            <w:pPr>
              <w:pStyle w:val="Tabletext1"/>
              <w:rPr>
                <w:rFonts w:cstheme="minorBidi"/>
              </w:rPr>
            </w:pPr>
            <w:r w:rsidRPr="001C1D01">
              <w:rPr>
                <w:rFonts w:cstheme="minorBidi"/>
                <w:u w:val="single"/>
              </w:rPr>
              <w:t>Chemotherapy:</w:t>
            </w:r>
            <w:r w:rsidRPr="001C1D01">
              <w:rPr>
                <w:rFonts w:cstheme="minorBidi"/>
              </w:rPr>
              <w:t xml:space="preserve"> 17.3 (95%CI 15.2</w:t>
            </w:r>
            <w:r w:rsidR="00D35E9C">
              <w:rPr>
                <w:rFonts w:cstheme="minorBidi"/>
              </w:rPr>
              <w:t>–</w:t>
            </w:r>
            <w:r w:rsidRPr="001C1D01">
              <w:rPr>
                <w:rFonts w:cstheme="minorBidi"/>
              </w:rPr>
              <w:t>19.3) months, difference p</w:t>
            </w:r>
            <w:r w:rsidR="008E5DEC">
              <w:rPr>
                <w:rFonts w:cstheme="minorBidi"/>
              </w:rPr>
              <w:t xml:space="preserve"> </w:t>
            </w:r>
            <w:r w:rsidRPr="001C1D01">
              <w:rPr>
                <w:rFonts w:cstheme="minorBidi"/>
              </w:rPr>
              <w:t>=</w:t>
            </w:r>
            <w:r w:rsidR="008E5DEC">
              <w:rPr>
                <w:rFonts w:cstheme="minorBidi"/>
              </w:rPr>
              <w:t xml:space="preserve"> </w:t>
            </w:r>
            <w:r w:rsidRPr="001C1D01">
              <w:rPr>
                <w:rFonts w:cstheme="minorBidi"/>
              </w:rPr>
              <w:t>0.140</w:t>
            </w:r>
          </w:p>
        </w:tc>
        <w:tc>
          <w:tcPr>
            <w:tcW w:w="961" w:type="pct"/>
            <w:tcBorders>
              <w:bottom w:val="single" w:sz="4" w:space="0" w:color="auto"/>
            </w:tcBorders>
          </w:tcPr>
          <w:p w14:paraId="659C2BDE" w14:textId="77777777" w:rsidR="00237FB0" w:rsidRPr="00753CFF" w:rsidRDefault="00237FB0" w:rsidP="00610313">
            <w:pPr>
              <w:pStyle w:val="Tabletext1"/>
              <w:rPr>
                <w:rFonts w:cstheme="minorBidi"/>
              </w:rPr>
            </w:pPr>
            <w:r w:rsidRPr="001C1D01">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r w:rsidRPr="001C1D01">
              <w:rPr>
                <w:rFonts w:cstheme="minorBidi"/>
                <w:vertAlign w:val="superscript"/>
              </w:rPr>
              <w:t>1,3,4</w:t>
            </w:r>
          </w:p>
        </w:tc>
      </w:tr>
      <w:tr w:rsidR="00237FB0" w:rsidRPr="001C1D01" w14:paraId="04E14B0C" w14:textId="77777777" w:rsidTr="003A5379">
        <w:tc>
          <w:tcPr>
            <w:tcW w:w="1203" w:type="pct"/>
            <w:tcBorders>
              <w:bottom w:val="single" w:sz="4" w:space="0" w:color="auto"/>
            </w:tcBorders>
          </w:tcPr>
          <w:p w14:paraId="7EB3936B" w14:textId="77777777" w:rsidR="00237FB0" w:rsidRPr="001C1D01" w:rsidRDefault="00237FB0" w:rsidP="00610313">
            <w:pPr>
              <w:pStyle w:val="Tabletext1"/>
              <w:rPr>
                <w:rFonts w:cstheme="minorBidi"/>
              </w:rPr>
            </w:pPr>
            <w:r w:rsidRPr="001C1D01">
              <w:rPr>
                <w:rFonts w:cstheme="minorBidi"/>
              </w:rPr>
              <w:t>MTA alone</w:t>
            </w:r>
          </w:p>
          <w:p w14:paraId="4A2B77B7" w14:textId="77777777" w:rsidR="00237FB0" w:rsidRPr="00FC06D9" w:rsidRDefault="007C64EF" w:rsidP="00610313">
            <w:pPr>
              <w:pStyle w:val="Tabletext1"/>
              <w:rPr>
                <w:rFonts w:cstheme="minorBidi"/>
              </w:rPr>
            </w:pPr>
            <w:r w:rsidRPr="001C1D01">
              <w:rPr>
                <w:rFonts w:cstheme="minorBidi"/>
              </w:rPr>
              <w:t>A</w:t>
            </w:r>
            <w:r w:rsidR="00237FB0" w:rsidRPr="00FC06D9">
              <w:rPr>
                <w:rFonts w:cstheme="minorBidi"/>
              </w:rPr>
              <w:t>ssessed with: Median and range</w:t>
            </w:r>
          </w:p>
          <w:p w14:paraId="009C8D76" w14:textId="77777777" w:rsidR="00237FB0" w:rsidRPr="00FC06D9" w:rsidRDefault="002E51B3" w:rsidP="00610313">
            <w:pPr>
              <w:pStyle w:val="Tabletext1"/>
              <w:rPr>
                <w:rFonts w:cstheme="minorBidi"/>
              </w:rPr>
            </w:pPr>
            <w:r w:rsidRPr="00FC06D9">
              <w:rPr>
                <w:rFonts w:cstheme="minorBidi"/>
              </w:rPr>
              <w:t xml:space="preserve">F/U </w:t>
            </w:r>
            <w:r w:rsidR="00237FB0" w:rsidRPr="00FC06D9">
              <w:rPr>
                <w:rFonts w:cstheme="minorBidi"/>
              </w:rPr>
              <w:t>median 17.7 months</w:t>
            </w:r>
          </w:p>
        </w:tc>
        <w:tc>
          <w:tcPr>
            <w:tcW w:w="868" w:type="pct"/>
            <w:tcBorders>
              <w:bottom w:val="single" w:sz="4" w:space="0" w:color="auto"/>
            </w:tcBorders>
          </w:tcPr>
          <w:p w14:paraId="10EBA383" w14:textId="77777777" w:rsidR="00237FB0" w:rsidRPr="001D54EF" w:rsidRDefault="00237FB0" w:rsidP="00610313">
            <w:pPr>
              <w:pStyle w:val="Tabletext1"/>
              <w:rPr>
                <w:rFonts w:cstheme="minorBidi"/>
              </w:rPr>
            </w:pPr>
            <w:r w:rsidRPr="001D54EF">
              <w:rPr>
                <w:rFonts w:cstheme="minorBidi"/>
              </w:rPr>
              <w:t>1 Level III-2 study</w:t>
            </w:r>
          </w:p>
          <w:p w14:paraId="3AECA28C" w14:textId="77777777" w:rsidR="003A5379" w:rsidRPr="00351105" w:rsidRDefault="003A5379" w:rsidP="00610313">
            <w:pPr>
              <w:pStyle w:val="Tabletext1"/>
              <w:rPr>
                <w:rFonts w:cstheme="minorBidi"/>
              </w:rPr>
            </w:pPr>
            <w:r w:rsidRPr="00351105">
              <w:rPr>
                <w:rFonts w:cstheme="minorBidi"/>
              </w:rPr>
              <w:t>(Wei et al 2015)</w:t>
            </w:r>
          </w:p>
        </w:tc>
        <w:tc>
          <w:tcPr>
            <w:tcW w:w="1967" w:type="pct"/>
            <w:tcBorders>
              <w:bottom w:val="single" w:sz="4" w:space="0" w:color="auto"/>
            </w:tcBorders>
          </w:tcPr>
          <w:p w14:paraId="23249E8E" w14:textId="0D6BC8E9" w:rsidR="00237FB0" w:rsidRPr="00935A6C" w:rsidRDefault="00237FB0" w:rsidP="00610313">
            <w:pPr>
              <w:pStyle w:val="Tabletext1"/>
              <w:rPr>
                <w:rFonts w:cstheme="minorBidi"/>
              </w:rPr>
            </w:pPr>
            <w:r w:rsidRPr="00935A6C">
              <w:rPr>
                <w:rFonts w:cstheme="minorBidi"/>
                <w:u w:val="single"/>
              </w:rPr>
              <w:t>Median OS:</w:t>
            </w:r>
            <w:r w:rsidRPr="00935A6C">
              <w:rPr>
                <w:rFonts w:cstheme="minorBidi"/>
              </w:rPr>
              <w:t xml:space="preserve"> 17.7 months (range of 5</w:t>
            </w:r>
            <w:r w:rsidR="00D35E9C">
              <w:rPr>
                <w:rFonts w:cstheme="minorBidi"/>
              </w:rPr>
              <w:t>–</w:t>
            </w:r>
            <w:r w:rsidRPr="00935A6C">
              <w:rPr>
                <w:rFonts w:cstheme="minorBidi"/>
              </w:rPr>
              <w:t>45) and from the time of MTA until death it was 10.6 months (range: 3.1</w:t>
            </w:r>
            <w:r w:rsidR="00D35E9C">
              <w:rPr>
                <w:rFonts w:cstheme="minorBidi"/>
              </w:rPr>
              <w:t>–</w:t>
            </w:r>
            <w:r w:rsidRPr="00935A6C">
              <w:rPr>
                <w:rFonts w:cstheme="minorBidi"/>
              </w:rPr>
              <w:t>36.2).</w:t>
            </w:r>
          </w:p>
        </w:tc>
        <w:tc>
          <w:tcPr>
            <w:tcW w:w="961" w:type="pct"/>
            <w:tcBorders>
              <w:bottom w:val="single" w:sz="4" w:space="0" w:color="auto"/>
            </w:tcBorders>
          </w:tcPr>
          <w:p w14:paraId="4EE36688" w14:textId="77777777" w:rsidR="00237FB0" w:rsidRPr="00753CFF" w:rsidRDefault="00237FB0" w:rsidP="00610313">
            <w:pPr>
              <w:pStyle w:val="Tabletext1"/>
              <w:rPr>
                <w:rFonts w:cstheme="minorBidi"/>
              </w:rPr>
            </w:pPr>
            <w:r w:rsidRPr="00574E64">
              <w:rPr>
                <w:rFonts w:ascii="Cambria Math" w:hAnsi="Cambria Math" w:cs="Cambria Math"/>
                <w:color w:val="00B050"/>
              </w:rPr>
              <w:t>⨁</w:t>
            </w:r>
            <w:r w:rsidRPr="001C1D01">
              <w:rPr>
                <w:rFonts w:ascii="Cambria Math" w:hAnsi="Cambria Math" w:cs="Cambria Math"/>
                <w:color w:val="C00000"/>
              </w:rPr>
              <w:t>⨀⨀⨀</w:t>
            </w:r>
            <w:r w:rsidRPr="001C1D01">
              <w:rPr>
                <w:rFonts w:cstheme="minorBidi"/>
              </w:rPr>
              <w:br/>
              <w:t>VERY LOW</w:t>
            </w:r>
            <w:r w:rsidRPr="001C1D01">
              <w:rPr>
                <w:rFonts w:cstheme="minorBidi"/>
                <w:vertAlign w:val="superscript"/>
              </w:rPr>
              <w:t>1,5</w:t>
            </w:r>
          </w:p>
        </w:tc>
      </w:tr>
    </w:tbl>
    <w:p w14:paraId="5208C474" w14:textId="77777777" w:rsidR="008301A6" w:rsidRPr="008301A6" w:rsidRDefault="008301A6" w:rsidP="008301A6">
      <w:pPr>
        <w:pStyle w:val="Tablenotes0"/>
      </w:pPr>
      <w:r w:rsidRPr="008301A6">
        <w:lastRenderedPageBreak/>
        <w:t>&lt; CI = confidence interval; F/U = follow-up; MTA = microwave tissue ablation; NA = not applicable &gt;</w:t>
      </w:r>
    </w:p>
    <w:p w14:paraId="35657FB7" w14:textId="3A2FF0D1" w:rsidR="005A4A11" w:rsidRDefault="005A4A11" w:rsidP="009A0748">
      <w:pPr>
        <w:pStyle w:val="Tablenotes0"/>
        <w:spacing w:after="0"/>
      </w:pPr>
      <w:r w:rsidRPr="00CB3BFC">
        <w:t>GRADE Working Group grades of evidence (Guyatt et al., 2013)</w:t>
      </w:r>
      <w:proofErr w:type="gramStart"/>
      <w:r w:rsidR="00D710AA" w:rsidRPr="00CB3BFC">
        <w:t>,</w:t>
      </w:r>
      <w:proofErr w:type="gramEnd"/>
      <w:r w:rsidRPr="00841CB1">
        <w:br/>
      </w:r>
      <w:r w:rsidRPr="00841CB1">
        <w:rPr>
          <w:rFonts w:ascii="Cambria Math" w:hAnsi="Cambria Math"/>
          <w:color w:val="00B050"/>
        </w:rPr>
        <w:t>⨁</w:t>
      </w:r>
      <w:r w:rsidRPr="00841CB1">
        <w:rPr>
          <w:rFonts w:ascii="Cambria Math" w:hAnsi="Cambria Math" w:cs="Cambria Math"/>
          <w:color w:val="C00000"/>
        </w:rPr>
        <w:t xml:space="preserve">⨀⨀⨀ </w:t>
      </w:r>
      <w:r w:rsidRPr="00841CB1">
        <w:rPr>
          <w:b/>
          <w:bCs/>
        </w:rPr>
        <w:t>Very low quality:</w:t>
      </w:r>
      <w:r w:rsidRPr="00841CB1">
        <w:t xml:space="preserve"> We have very little confidence in the effect estimate: The true effect is likely to be substantially different from the estimate of effect</w:t>
      </w:r>
      <w:r w:rsidR="008301A6">
        <w:t>.</w:t>
      </w:r>
    </w:p>
    <w:p w14:paraId="11E166B3" w14:textId="77777777" w:rsidR="005A4A11" w:rsidRPr="008301A6" w:rsidRDefault="00C95410" w:rsidP="009970F5">
      <w:pPr>
        <w:pStyle w:val="Tablenotes0"/>
        <w:numPr>
          <w:ilvl w:val="0"/>
          <w:numId w:val="77"/>
        </w:numPr>
        <w:ind w:left="284" w:hanging="284"/>
      </w:pPr>
      <w:r w:rsidRPr="008301A6">
        <w:t>B</w:t>
      </w:r>
      <w:r w:rsidR="005A4A11" w:rsidRPr="008301A6">
        <w:t xml:space="preserve">ased on the results of one study with 22patients in one arm and 18 in the other, study reporting quality was low. </w:t>
      </w:r>
    </w:p>
    <w:p w14:paraId="0F2DA4FE" w14:textId="77777777" w:rsidR="005A4A11" w:rsidRPr="008301A6" w:rsidRDefault="005A4A11" w:rsidP="009970F5">
      <w:pPr>
        <w:pStyle w:val="Tablenotes0"/>
        <w:numPr>
          <w:ilvl w:val="0"/>
          <w:numId w:val="77"/>
        </w:numPr>
        <w:ind w:left="284" w:hanging="284"/>
      </w:pPr>
      <w:r w:rsidRPr="008301A6">
        <w:t>Measures of variance are not available. The small sample size reduces the reliability of the outcomes</w:t>
      </w:r>
    </w:p>
    <w:p w14:paraId="651F4E15" w14:textId="77777777" w:rsidR="005A4A11" w:rsidRPr="008301A6" w:rsidRDefault="005A4A11" w:rsidP="009970F5">
      <w:pPr>
        <w:pStyle w:val="Tablenotes0"/>
        <w:numPr>
          <w:ilvl w:val="0"/>
          <w:numId w:val="77"/>
        </w:numPr>
        <w:ind w:left="284" w:hanging="284"/>
      </w:pPr>
      <w:r w:rsidRPr="008301A6">
        <w:t>Wei et al (2015) reports on small sample sizes and inherent drawbacks in study design are problematic</w:t>
      </w:r>
    </w:p>
    <w:p w14:paraId="7D03631A" w14:textId="77777777" w:rsidR="005A4A11" w:rsidRPr="008301A6" w:rsidRDefault="005A4A11" w:rsidP="009970F5">
      <w:pPr>
        <w:pStyle w:val="Tablenotes0"/>
        <w:numPr>
          <w:ilvl w:val="0"/>
          <w:numId w:val="77"/>
        </w:numPr>
        <w:ind w:left="284" w:hanging="284"/>
      </w:pPr>
      <w:r w:rsidRPr="008301A6">
        <w:t>Measures of variance show wide confidence intervals associated with OS. The small sample size reduces the reliability of the outcomes.</w:t>
      </w:r>
    </w:p>
    <w:p w14:paraId="05FDD6BB" w14:textId="77777777" w:rsidR="005A4A11" w:rsidRPr="008301A6" w:rsidRDefault="005A4A11" w:rsidP="009970F5">
      <w:pPr>
        <w:pStyle w:val="Tablenotes0"/>
        <w:numPr>
          <w:ilvl w:val="0"/>
          <w:numId w:val="77"/>
        </w:numPr>
        <w:ind w:left="284" w:hanging="284"/>
      </w:pPr>
      <w:r w:rsidRPr="008301A6">
        <w:t>Due to inherent limitations in case series evidence</w:t>
      </w:r>
    </w:p>
    <w:p w14:paraId="76238831" w14:textId="77777777" w:rsidR="00CA6D77" w:rsidRDefault="00CA6D77" w:rsidP="003F6C66">
      <w:pPr>
        <w:pStyle w:val="Heading3"/>
      </w:pPr>
      <w:bookmarkStart w:id="92" w:name="_Toc460396009"/>
      <w:r>
        <w:t>Summary of the clinical evidence</w:t>
      </w:r>
      <w:bookmarkEnd w:id="92"/>
    </w:p>
    <w:p w14:paraId="4C2CABD9" w14:textId="77777777" w:rsidR="00CA6D77" w:rsidRPr="00A01661" w:rsidRDefault="00A55976" w:rsidP="00CA6D77">
      <w:pPr>
        <w:rPr>
          <w:i/>
        </w:rPr>
      </w:pPr>
      <w:r w:rsidRPr="001033C4">
        <w:t xml:space="preserve">Based on the evidence </w:t>
      </w:r>
      <w:r>
        <w:t>identified</w:t>
      </w:r>
      <w:r w:rsidRPr="001033C4">
        <w:t xml:space="preserve">, </w:t>
      </w:r>
      <w:r w:rsidR="00CA6D77">
        <w:t>the MSAC should consider the following:</w:t>
      </w:r>
    </w:p>
    <w:p w14:paraId="68C97AF9" w14:textId="487CFDAB" w:rsidR="00CA6D77" w:rsidRPr="006E7F7D" w:rsidRDefault="00A55976" w:rsidP="009970F5">
      <w:pPr>
        <w:pStyle w:val="ListParagraph"/>
        <w:numPr>
          <w:ilvl w:val="0"/>
          <w:numId w:val="61"/>
        </w:numPr>
        <w:rPr>
          <w:i/>
        </w:rPr>
      </w:pPr>
      <w:r w:rsidRPr="00A55976">
        <w:t xml:space="preserve">In </w:t>
      </w:r>
      <w:r w:rsidRPr="00A55976">
        <w:rPr>
          <w:b/>
        </w:rPr>
        <w:t>p</w:t>
      </w:r>
      <w:r w:rsidR="00CA6D77" w:rsidRPr="00A55976">
        <w:rPr>
          <w:b/>
        </w:rPr>
        <w:t>opulation one</w:t>
      </w:r>
      <w:r w:rsidR="00EE5BA0">
        <w:rPr>
          <w:b/>
        </w:rPr>
        <w:t xml:space="preserve"> (early stage, inoperable NSCLC)</w:t>
      </w:r>
      <w:r w:rsidRPr="00A55976">
        <w:t>,</w:t>
      </w:r>
      <w:r w:rsidR="00CA6D77" w:rsidRPr="00A55976">
        <w:t xml:space="preserve"> </w:t>
      </w:r>
      <w:r w:rsidR="000E59CC" w:rsidRPr="00A55976">
        <w:t>MTA</w:t>
      </w:r>
      <w:r w:rsidR="00CA6D77" w:rsidRPr="00A55976">
        <w:t xml:space="preserve"> has uncertain</w:t>
      </w:r>
      <w:r w:rsidR="00CA6D77" w:rsidRPr="001033C4">
        <w:t xml:space="preserve"> safety </w:t>
      </w:r>
      <w:r w:rsidR="00366B78">
        <w:t>and e</w:t>
      </w:r>
      <w:r w:rsidR="00CA6D77" w:rsidRPr="001033C4">
        <w:t>ffectiveness</w:t>
      </w:r>
      <w:r w:rsidR="000E59CC">
        <w:t xml:space="preserve"> </w:t>
      </w:r>
      <w:r w:rsidR="00464385">
        <w:t>compared</w:t>
      </w:r>
      <w:r w:rsidR="000E59CC">
        <w:t xml:space="preserve"> to RFA and current best practice radiotherapy</w:t>
      </w:r>
      <w:r w:rsidR="00CA6D77" w:rsidRPr="001033C4">
        <w:t>.</w:t>
      </w:r>
      <w:r w:rsidR="00CA6D77">
        <w:t xml:space="preserve"> </w:t>
      </w:r>
    </w:p>
    <w:p w14:paraId="147F85D1" w14:textId="37B5048B" w:rsidR="00CA6D77" w:rsidRPr="00A55976" w:rsidRDefault="00A55976" w:rsidP="009970F5">
      <w:pPr>
        <w:pStyle w:val="ListParagraph"/>
        <w:numPr>
          <w:ilvl w:val="0"/>
          <w:numId w:val="61"/>
        </w:numPr>
      </w:pPr>
      <w:r>
        <w:t xml:space="preserve">In </w:t>
      </w:r>
      <w:r w:rsidRPr="00A55976">
        <w:rPr>
          <w:b/>
        </w:rPr>
        <w:t>p</w:t>
      </w:r>
      <w:r w:rsidR="00CA6D77" w:rsidRPr="00A55976">
        <w:rPr>
          <w:b/>
        </w:rPr>
        <w:t>opulation two</w:t>
      </w:r>
      <w:r w:rsidR="00EE5BA0">
        <w:rPr>
          <w:b/>
        </w:rPr>
        <w:t xml:space="preserve"> (oligometastatic lung disease)</w:t>
      </w:r>
      <w:r>
        <w:t>,</w:t>
      </w:r>
      <w:r w:rsidR="00CA6D77" w:rsidRPr="00A55976">
        <w:t xml:space="preserve"> </w:t>
      </w:r>
      <w:r w:rsidR="009452BF" w:rsidRPr="00A55976">
        <w:t>MTA</w:t>
      </w:r>
      <w:r w:rsidR="00CA6D77" w:rsidRPr="001033C4">
        <w:t xml:space="preserve"> has uncertain safety and effectiveness</w:t>
      </w:r>
      <w:r w:rsidR="009452BF">
        <w:t xml:space="preserve"> </w:t>
      </w:r>
      <w:r w:rsidR="00386B5C">
        <w:t>compared</w:t>
      </w:r>
      <w:r w:rsidR="009452BF" w:rsidRPr="001033C4">
        <w:t xml:space="preserve"> to current best practice ra</w:t>
      </w:r>
      <w:r w:rsidR="009452BF">
        <w:t>diotherapy and RFA</w:t>
      </w:r>
      <w:r w:rsidR="00CA6D77">
        <w:t xml:space="preserve">. </w:t>
      </w:r>
      <w:r w:rsidR="007A2066">
        <w:t>MTA</w:t>
      </w:r>
      <w:r w:rsidR="00CA6D77">
        <w:t xml:space="preserve"> </w:t>
      </w:r>
      <w:r w:rsidR="007F1B9C">
        <w:t xml:space="preserve">appears to have </w:t>
      </w:r>
      <w:r w:rsidR="00CA6D77">
        <w:t xml:space="preserve">superior </w:t>
      </w:r>
      <w:r w:rsidR="009C6DDE">
        <w:t>p</w:t>
      </w:r>
      <w:r w:rsidR="00AA6A25">
        <w:t>rocedure-</w:t>
      </w:r>
      <w:r w:rsidR="009C6DDE">
        <w:t>related mortality</w:t>
      </w:r>
      <w:r w:rsidR="007F1B9C">
        <w:t xml:space="preserve"> and uncertain effectiveness</w:t>
      </w:r>
      <w:r w:rsidR="00386B5C">
        <w:t xml:space="preserve"> compared to surgery</w:t>
      </w:r>
      <w:r w:rsidR="007F1B9C">
        <w:t>.</w:t>
      </w:r>
    </w:p>
    <w:p w14:paraId="7B3D50DB" w14:textId="7C80ED33" w:rsidR="00CA6D77" w:rsidRDefault="00A55976" w:rsidP="009970F5">
      <w:pPr>
        <w:pStyle w:val="ListParagraph"/>
        <w:numPr>
          <w:ilvl w:val="0"/>
          <w:numId w:val="61"/>
        </w:numPr>
      </w:pPr>
      <w:r w:rsidRPr="00A55976">
        <w:t xml:space="preserve">In </w:t>
      </w:r>
      <w:r w:rsidRPr="00A55976">
        <w:rPr>
          <w:b/>
        </w:rPr>
        <w:t>population three</w:t>
      </w:r>
      <w:r w:rsidR="00EE5BA0">
        <w:rPr>
          <w:b/>
        </w:rPr>
        <w:t xml:space="preserve"> (palliative care)</w:t>
      </w:r>
      <w:r w:rsidRPr="00A55976">
        <w:t>,</w:t>
      </w:r>
      <w:r w:rsidR="00B25590">
        <w:t xml:space="preserve"> MTA </w:t>
      </w:r>
      <w:r w:rsidR="00CA6D77" w:rsidRPr="001033C4">
        <w:t>has uncertain safety and uncertain effectiveness</w:t>
      </w:r>
      <w:r w:rsidR="00B25590">
        <w:t xml:space="preserve"> compared to best supportive therapy</w:t>
      </w:r>
      <w:r w:rsidR="00E4661D">
        <w:t>.</w:t>
      </w:r>
    </w:p>
    <w:p w14:paraId="7A53C8A8" w14:textId="77777777" w:rsidR="000A2C9E" w:rsidRPr="00183E4D" w:rsidRDefault="00B304CF" w:rsidP="003F6C66">
      <w:pPr>
        <w:pStyle w:val="Heading3"/>
      </w:pPr>
      <w:bookmarkStart w:id="93" w:name="_Toc395200751"/>
      <w:bookmarkStart w:id="94" w:name="_Toc460396010"/>
      <w:bookmarkStart w:id="95" w:name="_Toc379118059"/>
      <w:bookmarkStart w:id="96" w:name="_Toc379118251"/>
      <w:bookmarkStart w:id="97" w:name="_Toc381796435"/>
      <w:r w:rsidRPr="00183E4D">
        <w:t>Translation issues</w:t>
      </w:r>
      <w:bookmarkEnd w:id="93"/>
      <w:bookmarkEnd w:id="94"/>
    </w:p>
    <w:p w14:paraId="7B45D2D5" w14:textId="77777777" w:rsidR="000A2C9E" w:rsidRPr="00183E4D" w:rsidRDefault="00D710AA" w:rsidP="00477A44">
      <w:r w:rsidRPr="00FC5A38">
        <w:t>T</w:t>
      </w:r>
      <w:r w:rsidR="00A01661" w:rsidRPr="003B2699">
        <w:t>he claim of non-inferiority for the comparative effectiveness of MTA as compared to current best practice radiotherapy, surgery or RFA remains untested by any published studies</w:t>
      </w:r>
      <w:r w:rsidRPr="00FC5A38">
        <w:t>. As such</w:t>
      </w:r>
      <w:r w:rsidR="00A01661" w:rsidRPr="003B2699">
        <w:t xml:space="preserve"> it was not necessary or appropriate to undertake any translation of the evidence presented in Section B for the purposes of an economic evaluation.</w:t>
      </w:r>
      <w:r w:rsidR="00A01661">
        <w:t xml:space="preserve"> </w:t>
      </w:r>
    </w:p>
    <w:p w14:paraId="40B634AF" w14:textId="77777777" w:rsidR="008C7152" w:rsidRPr="00183E4D" w:rsidRDefault="008C7152" w:rsidP="003F6C66">
      <w:pPr>
        <w:pStyle w:val="Heading3"/>
      </w:pPr>
      <w:bookmarkStart w:id="98" w:name="_Toc395200752"/>
      <w:bookmarkStart w:id="99" w:name="_Toc460396011"/>
      <w:r w:rsidRPr="00183E4D">
        <w:t>Economic</w:t>
      </w:r>
      <w:r w:rsidR="000B7EE2" w:rsidRPr="00183E4D">
        <w:t xml:space="preserve"> </w:t>
      </w:r>
      <w:bookmarkEnd w:id="95"/>
      <w:bookmarkEnd w:id="96"/>
      <w:bookmarkEnd w:id="97"/>
      <w:r w:rsidR="00B304CF" w:rsidRPr="00183E4D">
        <w:t>evaluation</w:t>
      </w:r>
      <w:bookmarkEnd w:id="98"/>
      <w:bookmarkEnd w:id="99"/>
    </w:p>
    <w:p w14:paraId="290FE86E" w14:textId="77777777" w:rsidR="00477A44" w:rsidRPr="00477A44" w:rsidRDefault="00477A44" w:rsidP="00477A44">
      <w:bookmarkStart w:id="100" w:name="_Ref379404328"/>
      <w:r w:rsidRPr="00477A44">
        <w:t>A cost-minimisation analysis was undertaken to examine the cost implications of MTA, v</w:t>
      </w:r>
      <w:r w:rsidR="00483943">
        <w:t>e</w:t>
      </w:r>
      <w:r w:rsidRPr="00477A44">
        <w:t>rs</w:t>
      </w:r>
      <w:r w:rsidR="00483943">
        <w:t>us</w:t>
      </w:r>
      <w:r w:rsidRPr="00477A44">
        <w:t xml:space="preserve"> </w:t>
      </w:r>
      <w:r w:rsidR="00760AC9">
        <w:t>SBRT</w:t>
      </w:r>
      <w:r w:rsidRPr="00477A44">
        <w:t xml:space="preserve"> in </w:t>
      </w:r>
      <w:r w:rsidR="00483943">
        <w:t>p</w:t>
      </w:r>
      <w:r w:rsidRPr="00477A44">
        <w:t xml:space="preserve">opulations </w:t>
      </w:r>
      <w:r w:rsidR="00483943">
        <w:t>one and two</w:t>
      </w:r>
      <w:r w:rsidRPr="00477A44">
        <w:t xml:space="preserve">, and </w:t>
      </w:r>
      <w:r w:rsidR="00216DA9">
        <w:t xml:space="preserve">also </w:t>
      </w:r>
      <w:r w:rsidRPr="00477A44">
        <w:t>against surgery</w:t>
      </w:r>
      <w:r w:rsidR="00483943">
        <w:t xml:space="preserve"> in population two</w:t>
      </w:r>
      <w:r w:rsidRPr="00477A44">
        <w:t>.  MSAC (2016) noted that where an intervention is proven to be no worse than its main comparators in terms of both effectiveness and safety (</w:t>
      </w:r>
      <w:r w:rsidR="00CA6DFD" w:rsidRPr="00477A44">
        <w:t>i.e.</w:t>
      </w:r>
      <w:r w:rsidRPr="00477A44">
        <w:t xml:space="preserve"> there is no clear efficacy benefit) a cost minimisation approach should be employed. </w:t>
      </w:r>
    </w:p>
    <w:p w14:paraId="6254890B" w14:textId="7911C02B" w:rsidR="00477A44" w:rsidRPr="00477A44" w:rsidRDefault="00477A44" w:rsidP="00477A44">
      <w:r w:rsidRPr="00477A44">
        <w:t xml:space="preserve">This type of approach has been </w:t>
      </w:r>
      <w:r w:rsidR="00D710AA">
        <w:t>under</w:t>
      </w:r>
      <w:r w:rsidRPr="00477A44">
        <w:t xml:space="preserve">taken </w:t>
      </w:r>
      <w:r w:rsidR="00216DA9" w:rsidRPr="00477A44">
        <w:t>in the pas</w:t>
      </w:r>
      <w:r w:rsidR="00216DA9">
        <w:t xml:space="preserve">t </w:t>
      </w:r>
      <w:r w:rsidRPr="00477A44">
        <w:t xml:space="preserve">for </w:t>
      </w:r>
      <w:r w:rsidR="00216DA9">
        <w:t xml:space="preserve">an assessment of </w:t>
      </w:r>
      <w:r w:rsidRPr="00477A44">
        <w:t>radiotherapy technology</w:t>
      </w:r>
      <w:r w:rsidR="00E4661D">
        <w:t xml:space="preserve"> </w:t>
      </w:r>
      <w:r w:rsidRPr="00477A44">
        <w:t>where the evidence base was limited. For example, in the case of IGRT, MSAC (2015) concluded that due to the lack of evidence (the quality of the available studies was deemed to be poor with inconsistent evidence of safety and clinical effectiveness) for any significant benefit in clinical outcomes between IGRT and non-IGRT, a cost minimisation analysis was appropriate</w:t>
      </w:r>
      <w:r w:rsidR="00216DA9">
        <w:t>.</w:t>
      </w:r>
    </w:p>
    <w:p w14:paraId="601A56F7" w14:textId="77777777" w:rsidR="00477A44" w:rsidRPr="00477A44" w:rsidRDefault="0033285E" w:rsidP="00477A44">
      <w:pPr>
        <w:rPr>
          <w:u w:val="single"/>
        </w:rPr>
      </w:pPr>
      <w:r>
        <w:rPr>
          <w:u w:val="single"/>
        </w:rPr>
        <w:lastRenderedPageBreak/>
        <w:t>Model i</w:t>
      </w:r>
      <w:r w:rsidR="00477A44" w:rsidRPr="00477A44">
        <w:rPr>
          <w:u w:val="single"/>
        </w:rPr>
        <w:t>nputs</w:t>
      </w:r>
    </w:p>
    <w:p w14:paraId="6D87381D" w14:textId="6050ADFC" w:rsidR="00477A44" w:rsidRPr="00477A44" w:rsidRDefault="00477A44" w:rsidP="00477A44">
      <w:r w:rsidRPr="00477A44">
        <w:t xml:space="preserve">Costs for MTA, RFA and surgery were obtained from MBS, the </w:t>
      </w:r>
      <w:r w:rsidR="00B32444">
        <w:t>a</w:t>
      </w:r>
      <w:r w:rsidR="00B32444" w:rsidRPr="00477A44">
        <w:t>pplicant</w:t>
      </w:r>
      <w:r w:rsidRPr="00477A44">
        <w:t xml:space="preserve">, and the National Hospital Cost Data Collection Australia Public Hospitals Cost Report Round 18. They are specified for patients with &lt; 3 </w:t>
      </w:r>
      <w:r w:rsidR="00A941E9">
        <w:t>lesions and 3</w:t>
      </w:r>
      <w:r w:rsidR="00D35E9C">
        <w:t>–</w:t>
      </w:r>
      <w:r w:rsidR="00A941E9">
        <w:t>5 lesions as the p</w:t>
      </w:r>
      <w:r w:rsidRPr="00477A44">
        <w:t xml:space="preserve">rotocol proposed a graduated fee structure for MTA based on this lesion grouping. Discussion with clinicians indicated that patients with more than </w:t>
      </w:r>
      <w:r w:rsidR="00AB6D5E">
        <w:t>five</w:t>
      </w:r>
      <w:r w:rsidR="00AB6D5E" w:rsidRPr="00477A44">
        <w:t xml:space="preserve"> </w:t>
      </w:r>
      <w:r w:rsidRPr="00477A44">
        <w:t>lesions and those undergoing palliative care would rarely receive MTA. Costs are not estimated for these patients.</w:t>
      </w:r>
    </w:p>
    <w:p w14:paraId="7780B06F" w14:textId="77777777" w:rsidR="00477A44" w:rsidRPr="00477A44" w:rsidRDefault="00477A44" w:rsidP="00477A44">
      <w:pPr>
        <w:rPr>
          <w:u w:val="single"/>
        </w:rPr>
      </w:pPr>
      <w:r w:rsidRPr="00477A44">
        <w:rPr>
          <w:u w:val="single"/>
        </w:rPr>
        <w:t>Model results</w:t>
      </w:r>
    </w:p>
    <w:p w14:paraId="1EFD94ED" w14:textId="77777777" w:rsidR="00477A44" w:rsidRPr="00477A44" w:rsidRDefault="00477A44" w:rsidP="00477A44">
      <w:pPr>
        <w:rPr>
          <w:rFonts w:eastAsia="Batang"/>
          <w:szCs w:val="24"/>
          <w:lang w:val="en-GB" w:eastAsia="ja-JP"/>
        </w:rPr>
      </w:pPr>
      <w:r w:rsidRPr="00477A44">
        <w:rPr>
          <w:rFonts w:eastAsia="Batang"/>
          <w:szCs w:val="24"/>
          <w:lang w:val="en-GB" w:eastAsia="ja-JP"/>
        </w:rPr>
        <w:t xml:space="preserve">The total average costs for MTA, </w:t>
      </w:r>
      <w:r w:rsidR="00760AC9">
        <w:rPr>
          <w:rFonts w:eastAsia="Batang"/>
          <w:szCs w:val="24"/>
          <w:lang w:val="en-GB" w:eastAsia="ja-JP"/>
        </w:rPr>
        <w:t>SBRT</w:t>
      </w:r>
      <w:r w:rsidRPr="00477A44">
        <w:rPr>
          <w:rFonts w:eastAsia="Batang"/>
          <w:szCs w:val="24"/>
          <w:lang w:val="en-GB" w:eastAsia="ja-JP"/>
        </w:rPr>
        <w:t xml:space="preserve"> and surgery are presented as the cost per patient over the course of 3 months of treatment. They are presented in </w:t>
      </w:r>
      <w:r w:rsidR="00E56FF7">
        <w:rPr>
          <w:rFonts w:eastAsia="Batang"/>
          <w:szCs w:val="24"/>
          <w:lang w:val="en-GB" w:eastAsia="ja-JP"/>
        </w:rPr>
        <w:fldChar w:fldCharType="begin"/>
      </w:r>
      <w:r w:rsidR="00E56FF7">
        <w:rPr>
          <w:rFonts w:eastAsia="Batang"/>
          <w:szCs w:val="24"/>
          <w:lang w:val="en-GB" w:eastAsia="ja-JP"/>
        </w:rPr>
        <w:instrText xml:space="preserve"> REF _Ref457410634 \h </w:instrText>
      </w:r>
      <w:r w:rsidR="00E56FF7">
        <w:rPr>
          <w:rFonts w:eastAsia="Batang"/>
          <w:szCs w:val="24"/>
          <w:lang w:val="en-GB" w:eastAsia="ja-JP"/>
        </w:rPr>
      </w:r>
      <w:r w:rsidR="00E56FF7">
        <w:rPr>
          <w:rFonts w:eastAsia="Batang"/>
          <w:szCs w:val="24"/>
          <w:lang w:val="en-GB" w:eastAsia="ja-JP"/>
        </w:rPr>
        <w:fldChar w:fldCharType="separate"/>
      </w:r>
      <w:r w:rsidR="00D170A5">
        <w:t xml:space="preserve">Table </w:t>
      </w:r>
      <w:r w:rsidR="00D170A5">
        <w:rPr>
          <w:noProof/>
        </w:rPr>
        <w:t>8</w:t>
      </w:r>
      <w:r w:rsidR="00E56FF7">
        <w:rPr>
          <w:rFonts w:eastAsia="Batang"/>
          <w:szCs w:val="24"/>
          <w:lang w:val="en-GB" w:eastAsia="ja-JP"/>
        </w:rPr>
        <w:fldChar w:fldCharType="end"/>
      </w:r>
      <w:r w:rsidRPr="00477A44">
        <w:rPr>
          <w:rFonts w:eastAsia="Batang"/>
          <w:szCs w:val="24"/>
          <w:lang w:val="en-GB" w:eastAsia="ja-JP"/>
        </w:rPr>
        <w:t xml:space="preserve"> for </w:t>
      </w:r>
      <w:r w:rsidR="00483943">
        <w:rPr>
          <w:rFonts w:eastAsia="Batang"/>
          <w:szCs w:val="24"/>
          <w:lang w:val="en-GB" w:eastAsia="ja-JP"/>
        </w:rPr>
        <w:t>p</w:t>
      </w:r>
      <w:r w:rsidRPr="00477A44">
        <w:rPr>
          <w:rFonts w:eastAsia="Batang"/>
          <w:szCs w:val="24"/>
          <w:lang w:val="en-GB" w:eastAsia="ja-JP"/>
        </w:rPr>
        <w:t xml:space="preserve">opulations </w:t>
      </w:r>
      <w:r w:rsidR="00483943">
        <w:rPr>
          <w:rFonts w:eastAsia="Batang"/>
          <w:szCs w:val="24"/>
          <w:lang w:val="en-GB" w:eastAsia="ja-JP"/>
        </w:rPr>
        <w:t>one and two</w:t>
      </w:r>
      <w:r w:rsidRPr="00477A44">
        <w:rPr>
          <w:rFonts w:eastAsia="Batang"/>
          <w:szCs w:val="24"/>
          <w:lang w:val="en-GB" w:eastAsia="ja-JP"/>
        </w:rPr>
        <w:t xml:space="preserve">, </w:t>
      </w:r>
      <w:r w:rsidR="00486748">
        <w:rPr>
          <w:rFonts w:eastAsia="Batang"/>
          <w:szCs w:val="24"/>
          <w:lang w:val="en-GB" w:eastAsia="ja-JP"/>
        </w:rPr>
        <w:t>by lesion grouping</w:t>
      </w:r>
      <w:r w:rsidRPr="00477A44">
        <w:rPr>
          <w:rFonts w:eastAsia="Batang"/>
          <w:szCs w:val="24"/>
          <w:lang w:val="en-GB" w:eastAsia="ja-JP"/>
        </w:rPr>
        <w:t xml:space="preserve">. It is evident that the total average cost of </w:t>
      </w:r>
      <w:r w:rsidR="00760AC9">
        <w:rPr>
          <w:rFonts w:eastAsia="Batang"/>
          <w:szCs w:val="24"/>
          <w:lang w:val="en-GB" w:eastAsia="ja-JP"/>
        </w:rPr>
        <w:t>SBRT</w:t>
      </w:r>
      <w:r w:rsidRPr="00477A44">
        <w:rPr>
          <w:rFonts w:eastAsia="Batang"/>
          <w:szCs w:val="24"/>
          <w:lang w:val="en-GB" w:eastAsia="ja-JP"/>
        </w:rPr>
        <w:t xml:space="preserve"> is less than that of MTA for </w:t>
      </w:r>
      <w:r w:rsidR="00483943">
        <w:rPr>
          <w:rFonts w:eastAsia="Batang"/>
          <w:szCs w:val="24"/>
          <w:lang w:val="en-GB" w:eastAsia="ja-JP"/>
        </w:rPr>
        <w:t>p</w:t>
      </w:r>
      <w:r w:rsidRPr="00477A44">
        <w:rPr>
          <w:rFonts w:eastAsia="Batang"/>
          <w:szCs w:val="24"/>
          <w:lang w:val="en-GB" w:eastAsia="ja-JP"/>
        </w:rPr>
        <w:t xml:space="preserve">opulations </w:t>
      </w:r>
      <w:r w:rsidR="00483943">
        <w:rPr>
          <w:rFonts w:eastAsia="Batang"/>
          <w:szCs w:val="24"/>
          <w:lang w:val="en-GB" w:eastAsia="ja-JP"/>
        </w:rPr>
        <w:t>one</w:t>
      </w:r>
      <w:r w:rsidRPr="00477A44">
        <w:rPr>
          <w:rFonts w:eastAsia="Batang"/>
          <w:szCs w:val="24"/>
          <w:lang w:val="en-GB" w:eastAsia="ja-JP"/>
        </w:rPr>
        <w:t xml:space="preserve"> and </w:t>
      </w:r>
      <w:r w:rsidR="00483943">
        <w:rPr>
          <w:rFonts w:eastAsia="Batang"/>
          <w:szCs w:val="24"/>
          <w:lang w:val="en-GB" w:eastAsia="ja-JP"/>
        </w:rPr>
        <w:t>two</w:t>
      </w:r>
      <w:r w:rsidRPr="00477A44">
        <w:rPr>
          <w:rFonts w:eastAsia="Batang"/>
          <w:szCs w:val="24"/>
          <w:lang w:val="en-GB" w:eastAsia="ja-JP"/>
        </w:rPr>
        <w:t xml:space="preserve"> across all included lesion groupings. For </w:t>
      </w:r>
      <w:r w:rsidR="00AB6D5E">
        <w:rPr>
          <w:rFonts w:eastAsia="Batang"/>
          <w:szCs w:val="24"/>
          <w:lang w:val="en-GB" w:eastAsia="ja-JP"/>
        </w:rPr>
        <w:t>less than three</w:t>
      </w:r>
      <w:r w:rsidRPr="00477A44">
        <w:rPr>
          <w:rFonts w:eastAsia="Batang"/>
          <w:szCs w:val="24"/>
          <w:lang w:val="en-GB" w:eastAsia="ja-JP"/>
        </w:rPr>
        <w:t xml:space="preserve"> lesions, the average cost of MTA is $2,</w:t>
      </w:r>
      <w:r w:rsidR="004554E4">
        <w:rPr>
          <w:rFonts w:eastAsia="Batang"/>
          <w:szCs w:val="24"/>
          <w:lang w:val="en-GB" w:eastAsia="ja-JP"/>
        </w:rPr>
        <w:t>471</w:t>
      </w:r>
      <w:r w:rsidRPr="00477A44">
        <w:rPr>
          <w:rFonts w:eastAsia="Batang"/>
          <w:szCs w:val="24"/>
          <w:lang w:val="en-GB" w:eastAsia="ja-JP"/>
        </w:rPr>
        <w:t xml:space="preserve"> higher than for </w:t>
      </w:r>
      <w:r w:rsidR="00760AC9">
        <w:rPr>
          <w:rFonts w:eastAsia="Batang"/>
          <w:szCs w:val="24"/>
          <w:lang w:val="en-GB" w:eastAsia="ja-JP"/>
        </w:rPr>
        <w:t>SBRT</w:t>
      </w:r>
      <w:r w:rsidRPr="00477A44">
        <w:rPr>
          <w:rFonts w:eastAsia="Batang"/>
          <w:szCs w:val="24"/>
          <w:lang w:val="en-GB" w:eastAsia="ja-JP"/>
        </w:rPr>
        <w:t>. The key items driving increased costs are the costs of the disposable applicator and the overnight hospital stay. In the case of the applicator this cost is $2,960 and the hospital stay is $873 per night. In the longer term</w:t>
      </w:r>
      <w:r w:rsidR="009616D3">
        <w:rPr>
          <w:rFonts w:eastAsia="Batang"/>
          <w:szCs w:val="24"/>
          <w:lang w:val="en-GB" w:eastAsia="ja-JP"/>
        </w:rPr>
        <w:t>,</w:t>
      </w:r>
      <w:r w:rsidRPr="00477A44">
        <w:rPr>
          <w:rFonts w:eastAsia="Batang"/>
          <w:szCs w:val="24"/>
          <w:lang w:val="en-GB" w:eastAsia="ja-JP"/>
        </w:rPr>
        <w:t xml:space="preserve"> the MTA procedure may be delivered on an outpatient basis, which would reduce the cost margin.</w:t>
      </w:r>
    </w:p>
    <w:p w14:paraId="014712A8" w14:textId="77777777" w:rsidR="00E56FF7" w:rsidRDefault="00E56FF7" w:rsidP="00E56FF7">
      <w:pPr>
        <w:pStyle w:val="Caption"/>
        <w:keepNext/>
      </w:pPr>
      <w:bookmarkStart w:id="101" w:name="_Ref457410634"/>
      <w:bookmarkStart w:id="102" w:name="_Toc460514666"/>
      <w:r>
        <w:t xml:space="preserve">Table </w:t>
      </w:r>
      <w:fldSimple w:instr=" SEQ Table \* ARABIC ">
        <w:r w:rsidR="00D170A5">
          <w:rPr>
            <w:noProof/>
          </w:rPr>
          <w:t>8</w:t>
        </w:r>
      </w:fldSimple>
      <w:bookmarkEnd w:id="101"/>
      <w:r>
        <w:tab/>
      </w:r>
      <w:r w:rsidR="0070405E">
        <w:tab/>
      </w:r>
      <w:r w:rsidRPr="00477A44">
        <w:rPr>
          <w:rFonts w:eastAsia="MS Mincho"/>
          <w:lang w:val="en-GB" w:eastAsia="en-GB"/>
        </w:rPr>
        <w:t>Health care costs per patients (3 months) for base-case analysis</w:t>
      </w:r>
      <w:bookmarkEnd w:id="102"/>
    </w:p>
    <w:tbl>
      <w:tblPr>
        <w:tblW w:w="5000" w:type="pct"/>
        <w:tblLayout w:type="fixed"/>
        <w:tblLook w:val="04A0" w:firstRow="1" w:lastRow="0" w:firstColumn="1" w:lastColumn="0" w:noHBand="0" w:noVBand="1"/>
        <w:tblCaption w:val="Table 13 "/>
        <w:tblDescription w:val="Health care costs"/>
      </w:tblPr>
      <w:tblGrid>
        <w:gridCol w:w="2896"/>
        <w:gridCol w:w="1453"/>
        <w:gridCol w:w="1309"/>
        <w:gridCol w:w="1264"/>
        <w:gridCol w:w="1137"/>
        <w:gridCol w:w="1183"/>
      </w:tblGrid>
      <w:tr w:rsidR="00477A44" w:rsidRPr="001C1D01" w14:paraId="3AD88506" w14:textId="77777777" w:rsidTr="006A4E2A">
        <w:trPr>
          <w:trHeight w:val="765"/>
          <w:tblHeader/>
        </w:trPr>
        <w:tc>
          <w:tcPr>
            <w:tcW w:w="15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EA3603F" w14:textId="77777777" w:rsidR="00477A44" w:rsidRPr="00EA50DC" w:rsidRDefault="00477A44" w:rsidP="009222CB">
            <w:pPr>
              <w:pStyle w:val="Tabletext1"/>
              <w:rPr>
                <w:rFonts w:eastAsia="Batang" w:cs="Arial"/>
                <w:b/>
                <w:lang w:val="en-GB" w:eastAsia="ja-JP"/>
              </w:rPr>
            </w:pPr>
            <w:r w:rsidRPr="00EA50DC">
              <w:rPr>
                <w:rFonts w:eastAsia="Batang"/>
                <w:b/>
                <w:lang w:val="en-NZ" w:eastAsia="ja-JP"/>
              </w:rPr>
              <w:t>Resource item description</w:t>
            </w:r>
          </w:p>
        </w:tc>
        <w:tc>
          <w:tcPr>
            <w:tcW w:w="786"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CB0009D" w14:textId="77777777" w:rsidR="00477A44" w:rsidRPr="00EA50DC" w:rsidRDefault="00477A44" w:rsidP="009222CB">
            <w:pPr>
              <w:pStyle w:val="Tabletext1"/>
              <w:rPr>
                <w:rFonts w:eastAsia="Batang" w:cs="Arial"/>
                <w:b/>
                <w:lang w:val="en-GB" w:eastAsia="ja-JP"/>
              </w:rPr>
            </w:pPr>
            <w:r w:rsidRPr="00EA50DC">
              <w:rPr>
                <w:rFonts w:eastAsia="Batang"/>
                <w:b/>
                <w:lang w:val="en-NZ" w:eastAsia="ja-JP"/>
              </w:rPr>
              <w:t>MTA</w:t>
            </w:r>
          </w:p>
        </w:tc>
        <w:tc>
          <w:tcPr>
            <w:tcW w:w="708"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714876E" w14:textId="77777777" w:rsidR="00477A44" w:rsidRPr="00EA50DC" w:rsidRDefault="00760AC9" w:rsidP="009222CB">
            <w:pPr>
              <w:pStyle w:val="Tabletext1"/>
              <w:rPr>
                <w:rFonts w:eastAsia="Batang" w:cs="Arial"/>
                <w:b/>
                <w:lang w:val="en-GB" w:eastAsia="ja-JP"/>
              </w:rPr>
            </w:pPr>
            <w:r w:rsidRPr="00EA50DC">
              <w:rPr>
                <w:rFonts w:eastAsia="Batang"/>
                <w:b/>
                <w:lang w:val="en-NZ" w:eastAsia="ja-JP"/>
              </w:rPr>
              <w:t>SBRT</w:t>
            </w:r>
          </w:p>
        </w:tc>
        <w:tc>
          <w:tcPr>
            <w:tcW w:w="684"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99C308C" w14:textId="77777777" w:rsidR="00477A44" w:rsidRPr="00EA50DC" w:rsidRDefault="00477A44" w:rsidP="0070405E">
            <w:pPr>
              <w:pStyle w:val="Tabletext1"/>
              <w:rPr>
                <w:rFonts w:eastAsia="Batang" w:cs="Arial"/>
                <w:b/>
                <w:lang w:val="en-GB" w:eastAsia="ja-JP"/>
              </w:rPr>
            </w:pPr>
            <w:r w:rsidRPr="00EA50DC">
              <w:rPr>
                <w:rFonts w:eastAsia="Batang"/>
                <w:b/>
                <w:lang w:val="en-NZ" w:eastAsia="ja-JP"/>
              </w:rPr>
              <w:t xml:space="preserve">Incremental cost of MTA </w:t>
            </w:r>
            <w:r w:rsidR="0070405E" w:rsidRPr="00EA50DC">
              <w:rPr>
                <w:rFonts w:eastAsia="Batang"/>
                <w:b/>
                <w:lang w:val="en-NZ" w:eastAsia="ja-JP"/>
              </w:rPr>
              <w:t>vs</w:t>
            </w:r>
            <w:r w:rsidRPr="00EA50DC">
              <w:rPr>
                <w:rFonts w:eastAsia="Batang"/>
                <w:b/>
                <w:lang w:val="en-NZ" w:eastAsia="ja-JP"/>
              </w:rPr>
              <w:t xml:space="preserve"> </w:t>
            </w:r>
            <w:r w:rsidR="00760AC9" w:rsidRPr="00EA50DC">
              <w:rPr>
                <w:rFonts w:eastAsia="Batang"/>
                <w:b/>
                <w:lang w:val="en-NZ" w:eastAsia="ja-JP"/>
              </w:rPr>
              <w:t>SBRT</w:t>
            </w:r>
          </w:p>
        </w:tc>
        <w:tc>
          <w:tcPr>
            <w:tcW w:w="61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7FF3D6E" w14:textId="77777777" w:rsidR="00477A44" w:rsidRPr="00EA50DC" w:rsidRDefault="00477A44" w:rsidP="009222CB">
            <w:pPr>
              <w:pStyle w:val="Tabletext1"/>
              <w:rPr>
                <w:rFonts w:eastAsia="Batang" w:cs="Arial"/>
                <w:b/>
                <w:lang w:val="en-GB" w:eastAsia="ja-JP"/>
              </w:rPr>
            </w:pPr>
            <w:r w:rsidRPr="00EA50DC">
              <w:rPr>
                <w:rFonts w:eastAsia="Batang"/>
                <w:b/>
                <w:lang w:val="en-NZ" w:eastAsia="ja-JP"/>
              </w:rPr>
              <w:t>Surgery</w:t>
            </w:r>
          </w:p>
        </w:tc>
        <w:tc>
          <w:tcPr>
            <w:tcW w:w="640"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5E4853E" w14:textId="77777777" w:rsidR="00477A44" w:rsidRPr="00EA50DC" w:rsidRDefault="00477A44" w:rsidP="0070405E">
            <w:pPr>
              <w:pStyle w:val="Tabletext1"/>
              <w:rPr>
                <w:rFonts w:eastAsia="Batang" w:cs="Arial"/>
                <w:b/>
                <w:lang w:val="en-GB" w:eastAsia="ja-JP"/>
              </w:rPr>
            </w:pPr>
            <w:r w:rsidRPr="00EA50DC">
              <w:rPr>
                <w:rFonts w:eastAsia="Batang"/>
                <w:b/>
                <w:lang w:val="en-NZ" w:eastAsia="ja-JP"/>
              </w:rPr>
              <w:t xml:space="preserve">Incremental cost of MTA </w:t>
            </w:r>
            <w:r w:rsidR="0070405E" w:rsidRPr="00EA50DC">
              <w:rPr>
                <w:rFonts w:eastAsia="Batang"/>
                <w:b/>
                <w:lang w:val="en-NZ" w:eastAsia="ja-JP"/>
              </w:rPr>
              <w:t>vs</w:t>
            </w:r>
            <w:r w:rsidRPr="00EA50DC">
              <w:rPr>
                <w:rFonts w:eastAsia="Batang"/>
                <w:b/>
                <w:lang w:val="en-NZ" w:eastAsia="ja-JP"/>
              </w:rPr>
              <w:t xml:space="preserve"> Surgery</w:t>
            </w:r>
          </w:p>
        </w:tc>
      </w:tr>
      <w:tr w:rsidR="00EF062F" w:rsidRPr="001C1D01" w14:paraId="5535ADF6" w14:textId="77777777" w:rsidTr="006A4E2A">
        <w:trPr>
          <w:trHeight w:val="255"/>
        </w:trPr>
        <w:tc>
          <w:tcPr>
            <w:tcW w:w="1567" w:type="pct"/>
            <w:tcBorders>
              <w:top w:val="nil"/>
              <w:left w:val="single" w:sz="4" w:space="0" w:color="auto"/>
              <w:bottom w:val="single" w:sz="4" w:space="0" w:color="auto"/>
              <w:right w:val="single" w:sz="4" w:space="0" w:color="auto"/>
            </w:tcBorders>
            <w:shd w:val="clear" w:color="000000" w:fill="D9D9D9"/>
            <w:hideMark/>
          </w:tcPr>
          <w:p w14:paraId="1F74076E" w14:textId="77777777" w:rsidR="00EF062F" w:rsidRPr="001C1D01" w:rsidRDefault="00782DDD" w:rsidP="009222CB">
            <w:pPr>
              <w:pStyle w:val="Tabletext1"/>
              <w:rPr>
                <w:rFonts w:eastAsia="Batang" w:cs="Arial"/>
                <w:lang w:val="en-GB" w:eastAsia="ja-JP"/>
              </w:rPr>
            </w:pPr>
            <w:r w:rsidRPr="001C1D01">
              <w:rPr>
                <w:rFonts w:eastAsia="Batang" w:cs="Arial"/>
                <w:lang w:val="en-GB" w:eastAsia="ja-JP"/>
              </w:rPr>
              <w:t>Population and L</w:t>
            </w:r>
            <w:r w:rsidR="00EF062F" w:rsidRPr="001C1D01">
              <w:rPr>
                <w:rFonts w:eastAsia="Batang" w:cs="Arial"/>
                <w:lang w:val="en-GB" w:eastAsia="ja-JP"/>
              </w:rPr>
              <w:t>esions</w:t>
            </w:r>
          </w:p>
        </w:tc>
        <w:tc>
          <w:tcPr>
            <w:tcW w:w="786" w:type="pct"/>
            <w:tcBorders>
              <w:top w:val="single" w:sz="4" w:space="0" w:color="auto"/>
              <w:left w:val="nil"/>
              <w:bottom w:val="single" w:sz="4" w:space="0" w:color="auto"/>
            </w:tcBorders>
            <w:shd w:val="clear" w:color="000000" w:fill="D9D9D9"/>
            <w:hideMark/>
          </w:tcPr>
          <w:p w14:paraId="414DCF0B" w14:textId="77777777" w:rsidR="00EF062F" w:rsidRPr="001C1D01" w:rsidRDefault="00EF062F" w:rsidP="00F52A9F">
            <w:pPr>
              <w:pStyle w:val="Tabletext1"/>
              <w:jc w:val="right"/>
              <w:rPr>
                <w:rFonts w:eastAsia="Batang" w:cs="Arial"/>
                <w:lang w:val="en-GB" w:eastAsia="ja-JP"/>
              </w:rPr>
            </w:pPr>
            <w:r w:rsidRPr="001C1D01">
              <w:rPr>
                <w:rFonts w:eastAsia="Batang" w:cs="Arial"/>
                <w:lang w:val="en-GB" w:eastAsia="ja-JP"/>
              </w:rPr>
              <w:t>Population</w:t>
            </w:r>
            <w:r w:rsidR="001078A2" w:rsidRPr="001C1D01">
              <w:rPr>
                <w:rFonts w:eastAsia="Batang" w:cs="Arial"/>
                <w:lang w:val="en-GB" w:eastAsia="ja-JP"/>
              </w:rPr>
              <w:t xml:space="preserve"> 1 and</w:t>
            </w:r>
          </w:p>
        </w:tc>
        <w:tc>
          <w:tcPr>
            <w:tcW w:w="708" w:type="pct"/>
            <w:tcBorders>
              <w:top w:val="single" w:sz="4" w:space="0" w:color="auto"/>
              <w:bottom w:val="single" w:sz="4" w:space="0" w:color="auto"/>
            </w:tcBorders>
            <w:shd w:val="clear" w:color="000000" w:fill="D9D9D9"/>
          </w:tcPr>
          <w:p w14:paraId="610CA8CB" w14:textId="77777777" w:rsidR="00EF062F" w:rsidRPr="001C1D01" w:rsidRDefault="001078A2" w:rsidP="00F52A9F">
            <w:pPr>
              <w:pStyle w:val="Tabletext1"/>
              <w:ind w:left="-96"/>
              <w:rPr>
                <w:rFonts w:eastAsia="Batang" w:cs="Arial"/>
                <w:lang w:val="en-GB" w:eastAsia="ja-JP"/>
              </w:rPr>
            </w:pPr>
            <w:r w:rsidRPr="001C1D01">
              <w:rPr>
                <w:rFonts w:eastAsia="Batang" w:cs="Arial"/>
                <w:lang w:val="en-GB" w:eastAsia="ja-JP"/>
              </w:rPr>
              <w:t>2, &lt;3 lesions</w:t>
            </w:r>
          </w:p>
        </w:tc>
        <w:tc>
          <w:tcPr>
            <w:tcW w:w="684" w:type="pct"/>
            <w:tcBorders>
              <w:top w:val="single" w:sz="4" w:space="0" w:color="auto"/>
              <w:bottom w:val="single" w:sz="4" w:space="0" w:color="auto"/>
              <w:right w:val="single" w:sz="4" w:space="0" w:color="auto"/>
            </w:tcBorders>
            <w:shd w:val="clear" w:color="000000" w:fill="D9D9D9"/>
          </w:tcPr>
          <w:p w14:paraId="3DB45EBF" w14:textId="77777777" w:rsidR="00EF062F" w:rsidRPr="00FC06D9" w:rsidRDefault="00EF062F" w:rsidP="009222CB">
            <w:pPr>
              <w:pStyle w:val="Tabletext1"/>
              <w:rPr>
                <w:rFonts w:eastAsia="Batang" w:cs="Arial"/>
                <w:lang w:val="en-GB" w:eastAsia="ja-JP"/>
              </w:rPr>
            </w:pPr>
          </w:p>
        </w:tc>
        <w:tc>
          <w:tcPr>
            <w:tcW w:w="615" w:type="pct"/>
            <w:tcBorders>
              <w:top w:val="single" w:sz="4" w:space="0" w:color="auto"/>
              <w:left w:val="nil"/>
              <w:bottom w:val="single" w:sz="4" w:space="0" w:color="auto"/>
            </w:tcBorders>
            <w:shd w:val="clear" w:color="000000" w:fill="D9D9D9"/>
            <w:hideMark/>
          </w:tcPr>
          <w:p w14:paraId="4BA3878C" w14:textId="77777777" w:rsidR="00EF062F" w:rsidRPr="00FC06D9" w:rsidRDefault="00F60046" w:rsidP="00F52A9F">
            <w:pPr>
              <w:pStyle w:val="Tabletext1"/>
              <w:jc w:val="right"/>
              <w:rPr>
                <w:rFonts w:eastAsia="Batang" w:cs="Arial"/>
                <w:lang w:val="en-GB" w:eastAsia="ja-JP"/>
              </w:rPr>
            </w:pPr>
            <w:r>
              <w:rPr>
                <w:rFonts w:eastAsia="Batang" w:cs="Arial"/>
                <w:lang w:val="en-GB" w:eastAsia="ja-JP"/>
              </w:rPr>
              <w:t>Population 2</w:t>
            </w:r>
          </w:p>
        </w:tc>
        <w:tc>
          <w:tcPr>
            <w:tcW w:w="640" w:type="pct"/>
            <w:tcBorders>
              <w:top w:val="single" w:sz="4" w:space="0" w:color="auto"/>
              <w:bottom w:val="single" w:sz="4" w:space="0" w:color="auto"/>
              <w:right w:val="single" w:sz="4" w:space="0" w:color="auto"/>
            </w:tcBorders>
            <w:shd w:val="clear" w:color="000000" w:fill="D9D9D9"/>
          </w:tcPr>
          <w:p w14:paraId="5B93EE9C" w14:textId="77777777" w:rsidR="00EF062F" w:rsidRPr="00FC06D9" w:rsidRDefault="00F60046" w:rsidP="00F60046">
            <w:pPr>
              <w:pStyle w:val="Tabletext1"/>
              <w:ind w:left="-121"/>
              <w:rPr>
                <w:rFonts w:eastAsia="Batang" w:cs="Arial"/>
                <w:lang w:val="en-GB" w:eastAsia="ja-JP"/>
              </w:rPr>
            </w:pPr>
            <w:r>
              <w:rPr>
                <w:rFonts w:eastAsia="Batang" w:cs="Arial"/>
                <w:lang w:val="en-GB" w:eastAsia="ja-JP"/>
              </w:rPr>
              <w:t xml:space="preserve">, </w:t>
            </w:r>
            <w:r w:rsidR="001078A2" w:rsidRPr="00FC06D9">
              <w:rPr>
                <w:rFonts w:eastAsia="Batang" w:cs="Arial"/>
                <w:lang w:val="en-GB" w:eastAsia="ja-JP"/>
              </w:rPr>
              <w:t>&lt;3 lesions</w:t>
            </w:r>
          </w:p>
        </w:tc>
      </w:tr>
      <w:tr w:rsidR="004554E4" w:rsidRPr="001C1D01" w14:paraId="33D3BE2C"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075FA7AA"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Specialist services – screening prior to intervention</w:t>
            </w:r>
          </w:p>
        </w:tc>
        <w:tc>
          <w:tcPr>
            <w:tcW w:w="786" w:type="pct"/>
            <w:tcBorders>
              <w:top w:val="nil"/>
              <w:left w:val="nil"/>
              <w:bottom w:val="single" w:sz="4" w:space="0" w:color="auto"/>
              <w:right w:val="single" w:sz="4" w:space="0" w:color="auto"/>
            </w:tcBorders>
            <w:shd w:val="clear" w:color="auto" w:fill="auto"/>
            <w:vAlign w:val="center"/>
          </w:tcPr>
          <w:p w14:paraId="7BAFCA72" w14:textId="77777777" w:rsidR="004554E4" w:rsidRPr="004554E4" w:rsidRDefault="004554E4" w:rsidP="009222CB">
            <w:pPr>
              <w:pStyle w:val="Tabletext1"/>
              <w:rPr>
                <w:rFonts w:cs="Arial"/>
              </w:rPr>
            </w:pPr>
            <w:r w:rsidRPr="004554E4">
              <w:rPr>
                <w:rFonts w:cs="Arial"/>
              </w:rPr>
              <w:t>1,557.55</w:t>
            </w:r>
          </w:p>
        </w:tc>
        <w:tc>
          <w:tcPr>
            <w:tcW w:w="708" w:type="pct"/>
            <w:tcBorders>
              <w:top w:val="nil"/>
              <w:left w:val="nil"/>
              <w:bottom w:val="single" w:sz="4" w:space="0" w:color="auto"/>
              <w:right w:val="single" w:sz="4" w:space="0" w:color="auto"/>
            </w:tcBorders>
            <w:shd w:val="clear" w:color="auto" w:fill="auto"/>
            <w:vAlign w:val="center"/>
          </w:tcPr>
          <w:p w14:paraId="21F65F44" w14:textId="77777777" w:rsidR="004554E4" w:rsidRPr="004554E4" w:rsidRDefault="004554E4" w:rsidP="009222CB">
            <w:pPr>
              <w:pStyle w:val="Tabletext1"/>
              <w:rPr>
                <w:rFonts w:cs="Arial"/>
              </w:rPr>
            </w:pPr>
            <w:r w:rsidRPr="004554E4">
              <w:rPr>
                <w:rFonts w:cs="Arial"/>
              </w:rPr>
              <w:t>1,557.55</w:t>
            </w:r>
          </w:p>
        </w:tc>
        <w:tc>
          <w:tcPr>
            <w:tcW w:w="684" w:type="pct"/>
            <w:tcBorders>
              <w:top w:val="nil"/>
              <w:left w:val="nil"/>
              <w:bottom w:val="single" w:sz="4" w:space="0" w:color="auto"/>
              <w:right w:val="single" w:sz="4" w:space="0" w:color="auto"/>
            </w:tcBorders>
            <w:shd w:val="clear" w:color="auto" w:fill="auto"/>
            <w:vAlign w:val="center"/>
          </w:tcPr>
          <w:p w14:paraId="03B18441" w14:textId="77777777" w:rsidR="004554E4" w:rsidRPr="004554E4" w:rsidRDefault="004554E4" w:rsidP="009222CB">
            <w:pPr>
              <w:pStyle w:val="Tabletext1"/>
              <w:rPr>
                <w:rFonts w:cs="Arial"/>
              </w:rPr>
            </w:pPr>
            <w:r w:rsidRPr="004554E4">
              <w:rPr>
                <w:rFonts w:cs="Arial"/>
              </w:rPr>
              <w:t>0.00</w:t>
            </w:r>
          </w:p>
        </w:tc>
        <w:tc>
          <w:tcPr>
            <w:tcW w:w="615" w:type="pct"/>
            <w:tcBorders>
              <w:top w:val="nil"/>
              <w:left w:val="nil"/>
              <w:bottom w:val="single" w:sz="4" w:space="0" w:color="auto"/>
              <w:right w:val="single" w:sz="4" w:space="0" w:color="auto"/>
            </w:tcBorders>
            <w:shd w:val="clear" w:color="auto" w:fill="auto"/>
            <w:vAlign w:val="center"/>
          </w:tcPr>
          <w:p w14:paraId="4C2B6F34" w14:textId="77777777" w:rsidR="004554E4" w:rsidRPr="004554E4" w:rsidRDefault="004554E4" w:rsidP="009222CB">
            <w:pPr>
              <w:pStyle w:val="Tabletext1"/>
              <w:rPr>
                <w:rFonts w:cs="Arial"/>
              </w:rPr>
            </w:pPr>
            <w:r w:rsidRPr="004554E4">
              <w:rPr>
                <w:rFonts w:cs="Arial"/>
              </w:rPr>
              <w:t>1,557.55</w:t>
            </w:r>
          </w:p>
        </w:tc>
        <w:tc>
          <w:tcPr>
            <w:tcW w:w="640" w:type="pct"/>
            <w:tcBorders>
              <w:top w:val="nil"/>
              <w:left w:val="nil"/>
              <w:bottom w:val="single" w:sz="4" w:space="0" w:color="auto"/>
              <w:right w:val="single" w:sz="4" w:space="0" w:color="auto"/>
            </w:tcBorders>
            <w:shd w:val="clear" w:color="auto" w:fill="auto"/>
            <w:vAlign w:val="center"/>
          </w:tcPr>
          <w:p w14:paraId="39560392" w14:textId="77777777" w:rsidR="004554E4" w:rsidRPr="004554E4" w:rsidRDefault="004554E4" w:rsidP="009222CB">
            <w:pPr>
              <w:pStyle w:val="Tabletext1"/>
              <w:rPr>
                <w:rFonts w:cs="Arial"/>
              </w:rPr>
            </w:pPr>
            <w:r w:rsidRPr="004554E4">
              <w:rPr>
                <w:rFonts w:cs="Arial"/>
              </w:rPr>
              <w:t>0.00</w:t>
            </w:r>
          </w:p>
        </w:tc>
      </w:tr>
      <w:tr w:rsidR="004554E4" w:rsidRPr="001C1D01" w14:paraId="547A2D16"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5D33786C" w14:textId="067FF873" w:rsidR="004554E4" w:rsidRPr="001C1D01" w:rsidRDefault="004554E4" w:rsidP="00E4661D">
            <w:pPr>
              <w:pStyle w:val="Tabletext1"/>
              <w:rPr>
                <w:rFonts w:eastAsia="Batang" w:cs="Arial"/>
                <w:lang w:val="en-GB" w:eastAsia="ja-JP"/>
              </w:rPr>
            </w:pPr>
            <w:r w:rsidRPr="001C1D01">
              <w:rPr>
                <w:rFonts w:eastAsia="Batang" w:cs="Arial"/>
                <w:lang w:val="en-GB" w:eastAsia="ja-JP"/>
              </w:rPr>
              <w:t>Specialist services – intervention (MBS supported)</w:t>
            </w:r>
            <w:r w:rsidR="00E4661D">
              <w:rPr>
                <w:rFonts w:eastAsia="Batang" w:cs="Arial"/>
                <w:vertAlign w:val="superscript"/>
                <w:lang w:val="en-GB" w:eastAsia="ja-JP"/>
              </w:rPr>
              <w:t>1</w:t>
            </w:r>
          </w:p>
        </w:tc>
        <w:tc>
          <w:tcPr>
            <w:tcW w:w="786" w:type="pct"/>
            <w:tcBorders>
              <w:top w:val="nil"/>
              <w:left w:val="nil"/>
              <w:bottom w:val="single" w:sz="4" w:space="0" w:color="auto"/>
              <w:right w:val="single" w:sz="4" w:space="0" w:color="auto"/>
            </w:tcBorders>
            <w:shd w:val="clear" w:color="auto" w:fill="auto"/>
            <w:vAlign w:val="center"/>
          </w:tcPr>
          <w:p w14:paraId="1A9FAA4B" w14:textId="77777777" w:rsidR="004554E4" w:rsidRPr="004554E4" w:rsidRDefault="004554E4" w:rsidP="009222CB">
            <w:pPr>
              <w:pStyle w:val="Tabletext1"/>
              <w:rPr>
                <w:rFonts w:cs="Arial"/>
              </w:rPr>
            </w:pPr>
            <w:r w:rsidRPr="004554E4">
              <w:rPr>
                <w:rFonts w:cs="Arial"/>
              </w:rPr>
              <w:t>1,866.68</w:t>
            </w:r>
          </w:p>
        </w:tc>
        <w:tc>
          <w:tcPr>
            <w:tcW w:w="708" w:type="pct"/>
            <w:tcBorders>
              <w:top w:val="nil"/>
              <w:left w:val="nil"/>
              <w:bottom w:val="single" w:sz="4" w:space="0" w:color="auto"/>
              <w:right w:val="single" w:sz="4" w:space="0" w:color="auto"/>
            </w:tcBorders>
            <w:shd w:val="clear" w:color="auto" w:fill="auto"/>
            <w:vAlign w:val="center"/>
          </w:tcPr>
          <w:p w14:paraId="7A54B7AA" w14:textId="77777777" w:rsidR="004554E4" w:rsidRPr="004554E4" w:rsidRDefault="004554E4" w:rsidP="009222CB">
            <w:pPr>
              <w:pStyle w:val="Tabletext1"/>
              <w:rPr>
                <w:rFonts w:cs="Arial"/>
              </w:rPr>
            </w:pPr>
            <w:r w:rsidRPr="004554E4">
              <w:rPr>
                <w:rFonts w:cs="Arial"/>
              </w:rPr>
              <w:t>3,168.90</w:t>
            </w:r>
          </w:p>
        </w:tc>
        <w:tc>
          <w:tcPr>
            <w:tcW w:w="684" w:type="pct"/>
            <w:tcBorders>
              <w:top w:val="nil"/>
              <w:left w:val="nil"/>
              <w:bottom w:val="single" w:sz="4" w:space="0" w:color="auto"/>
              <w:right w:val="single" w:sz="4" w:space="0" w:color="auto"/>
            </w:tcBorders>
            <w:shd w:val="clear" w:color="auto" w:fill="auto"/>
            <w:vAlign w:val="center"/>
          </w:tcPr>
          <w:p w14:paraId="1F16EC58" w14:textId="77777777" w:rsidR="004554E4" w:rsidRPr="004554E4" w:rsidRDefault="004554E4" w:rsidP="009222CB">
            <w:pPr>
              <w:pStyle w:val="Tabletext1"/>
              <w:rPr>
                <w:rFonts w:cs="Arial"/>
              </w:rPr>
            </w:pPr>
            <w:r w:rsidRPr="004554E4">
              <w:rPr>
                <w:rFonts w:cs="Arial"/>
              </w:rPr>
              <w:t>-1,302.22</w:t>
            </w:r>
          </w:p>
        </w:tc>
        <w:tc>
          <w:tcPr>
            <w:tcW w:w="615" w:type="pct"/>
            <w:tcBorders>
              <w:top w:val="nil"/>
              <w:left w:val="nil"/>
              <w:bottom w:val="single" w:sz="4" w:space="0" w:color="auto"/>
              <w:right w:val="single" w:sz="4" w:space="0" w:color="auto"/>
            </w:tcBorders>
            <w:shd w:val="clear" w:color="auto" w:fill="auto"/>
            <w:vAlign w:val="center"/>
          </w:tcPr>
          <w:p w14:paraId="4D75C1E9" w14:textId="77777777" w:rsidR="004554E4" w:rsidRPr="004554E4" w:rsidRDefault="004554E4" w:rsidP="009222CB">
            <w:pPr>
              <w:pStyle w:val="Tabletext1"/>
              <w:rPr>
                <w:rFonts w:cs="Arial"/>
              </w:rPr>
            </w:pPr>
            <w:r w:rsidRPr="004554E4">
              <w:rPr>
                <w:rFonts w:cs="Arial"/>
              </w:rPr>
              <w:t>2,814.33</w:t>
            </w:r>
          </w:p>
        </w:tc>
        <w:tc>
          <w:tcPr>
            <w:tcW w:w="640" w:type="pct"/>
            <w:tcBorders>
              <w:top w:val="nil"/>
              <w:left w:val="nil"/>
              <w:bottom w:val="single" w:sz="4" w:space="0" w:color="auto"/>
              <w:right w:val="single" w:sz="4" w:space="0" w:color="auto"/>
            </w:tcBorders>
            <w:shd w:val="clear" w:color="auto" w:fill="auto"/>
            <w:vAlign w:val="center"/>
          </w:tcPr>
          <w:p w14:paraId="399CEE99" w14:textId="77777777" w:rsidR="004554E4" w:rsidRPr="004554E4" w:rsidRDefault="004554E4" w:rsidP="009222CB">
            <w:pPr>
              <w:pStyle w:val="Tabletext1"/>
              <w:rPr>
                <w:rFonts w:cs="Arial"/>
              </w:rPr>
            </w:pPr>
            <w:r w:rsidRPr="004554E4">
              <w:rPr>
                <w:rFonts w:cs="Arial"/>
              </w:rPr>
              <w:t>-947.65</w:t>
            </w:r>
          </w:p>
        </w:tc>
      </w:tr>
      <w:tr w:rsidR="004554E4" w:rsidRPr="001C1D01" w14:paraId="217F719A"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6E208619"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Specialist services – intervention (Hospital)</w:t>
            </w:r>
          </w:p>
        </w:tc>
        <w:tc>
          <w:tcPr>
            <w:tcW w:w="786" w:type="pct"/>
            <w:tcBorders>
              <w:top w:val="nil"/>
              <w:left w:val="nil"/>
              <w:bottom w:val="single" w:sz="4" w:space="0" w:color="auto"/>
              <w:right w:val="single" w:sz="4" w:space="0" w:color="auto"/>
            </w:tcBorders>
            <w:shd w:val="clear" w:color="auto" w:fill="auto"/>
            <w:vAlign w:val="center"/>
          </w:tcPr>
          <w:p w14:paraId="70C55681" w14:textId="77777777" w:rsidR="004554E4" w:rsidRPr="004554E4" w:rsidRDefault="004554E4" w:rsidP="009222CB">
            <w:pPr>
              <w:pStyle w:val="Tabletext1"/>
              <w:rPr>
                <w:rFonts w:cs="Arial"/>
              </w:rPr>
            </w:pPr>
            <w:r w:rsidRPr="004554E4">
              <w:rPr>
                <w:rFonts w:cs="Arial"/>
              </w:rPr>
              <w:t>932.10</w:t>
            </w:r>
          </w:p>
        </w:tc>
        <w:tc>
          <w:tcPr>
            <w:tcW w:w="708" w:type="pct"/>
            <w:tcBorders>
              <w:top w:val="nil"/>
              <w:left w:val="nil"/>
              <w:bottom w:val="single" w:sz="4" w:space="0" w:color="auto"/>
              <w:right w:val="single" w:sz="4" w:space="0" w:color="auto"/>
            </w:tcBorders>
            <w:shd w:val="clear" w:color="auto" w:fill="auto"/>
            <w:vAlign w:val="center"/>
          </w:tcPr>
          <w:p w14:paraId="5D948294" w14:textId="77777777" w:rsidR="004554E4" w:rsidRPr="004554E4" w:rsidRDefault="004554E4" w:rsidP="009222CB">
            <w:pPr>
              <w:pStyle w:val="Tabletext1"/>
              <w:rPr>
                <w:rFonts w:cs="Arial"/>
              </w:rPr>
            </w:pPr>
            <w:r w:rsidRPr="004554E4">
              <w:rPr>
                <w:rFonts w:cs="Arial"/>
              </w:rPr>
              <w:t>0.00</w:t>
            </w:r>
          </w:p>
        </w:tc>
        <w:tc>
          <w:tcPr>
            <w:tcW w:w="684" w:type="pct"/>
            <w:tcBorders>
              <w:top w:val="nil"/>
              <w:left w:val="nil"/>
              <w:bottom w:val="single" w:sz="4" w:space="0" w:color="auto"/>
              <w:right w:val="single" w:sz="4" w:space="0" w:color="auto"/>
            </w:tcBorders>
            <w:shd w:val="clear" w:color="auto" w:fill="auto"/>
            <w:vAlign w:val="center"/>
          </w:tcPr>
          <w:p w14:paraId="25626160" w14:textId="77777777" w:rsidR="004554E4" w:rsidRPr="004554E4" w:rsidRDefault="004554E4" w:rsidP="009222CB">
            <w:pPr>
              <w:pStyle w:val="Tabletext1"/>
              <w:rPr>
                <w:rFonts w:cs="Arial"/>
              </w:rPr>
            </w:pPr>
            <w:r w:rsidRPr="004554E4">
              <w:rPr>
                <w:rFonts w:cs="Arial"/>
              </w:rPr>
              <w:t>932.10</w:t>
            </w:r>
          </w:p>
        </w:tc>
        <w:tc>
          <w:tcPr>
            <w:tcW w:w="615" w:type="pct"/>
            <w:tcBorders>
              <w:top w:val="nil"/>
              <w:left w:val="nil"/>
              <w:bottom w:val="single" w:sz="4" w:space="0" w:color="auto"/>
              <w:right w:val="single" w:sz="4" w:space="0" w:color="auto"/>
            </w:tcBorders>
            <w:shd w:val="clear" w:color="auto" w:fill="auto"/>
            <w:vAlign w:val="center"/>
          </w:tcPr>
          <w:p w14:paraId="4A3E7225" w14:textId="77777777" w:rsidR="004554E4" w:rsidRPr="004554E4" w:rsidRDefault="004554E4" w:rsidP="009222CB">
            <w:pPr>
              <w:pStyle w:val="Tabletext1"/>
              <w:rPr>
                <w:rFonts w:cs="Arial"/>
              </w:rPr>
            </w:pPr>
            <w:r w:rsidRPr="004554E4">
              <w:rPr>
                <w:rFonts w:cs="Arial"/>
              </w:rPr>
              <w:t>14,822.67</w:t>
            </w:r>
          </w:p>
        </w:tc>
        <w:tc>
          <w:tcPr>
            <w:tcW w:w="640" w:type="pct"/>
            <w:tcBorders>
              <w:top w:val="nil"/>
              <w:left w:val="nil"/>
              <w:bottom w:val="single" w:sz="4" w:space="0" w:color="auto"/>
              <w:right w:val="single" w:sz="4" w:space="0" w:color="auto"/>
            </w:tcBorders>
            <w:shd w:val="clear" w:color="auto" w:fill="auto"/>
            <w:vAlign w:val="center"/>
          </w:tcPr>
          <w:p w14:paraId="58ADE037" w14:textId="77777777" w:rsidR="004554E4" w:rsidRPr="004554E4" w:rsidRDefault="004554E4" w:rsidP="009222CB">
            <w:pPr>
              <w:pStyle w:val="Tabletext1"/>
              <w:rPr>
                <w:rFonts w:cs="Arial"/>
              </w:rPr>
            </w:pPr>
            <w:r w:rsidRPr="004554E4">
              <w:rPr>
                <w:rFonts w:cs="Arial"/>
              </w:rPr>
              <w:t>-13,890.57</w:t>
            </w:r>
          </w:p>
        </w:tc>
      </w:tr>
      <w:tr w:rsidR="004554E4" w:rsidRPr="001C1D01" w14:paraId="27960F38"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3135EFB2"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Specialist services – post intervention follow-up</w:t>
            </w:r>
          </w:p>
        </w:tc>
        <w:tc>
          <w:tcPr>
            <w:tcW w:w="786" w:type="pct"/>
            <w:tcBorders>
              <w:top w:val="nil"/>
              <w:left w:val="nil"/>
              <w:bottom w:val="single" w:sz="4" w:space="0" w:color="auto"/>
              <w:right w:val="single" w:sz="4" w:space="0" w:color="auto"/>
            </w:tcBorders>
            <w:shd w:val="clear" w:color="auto" w:fill="auto"/>
            <w:vAlign w:val="center"/>
          </w:tcPr>
          <w:p w14:paraId="7D3955D4" w14:textId="77777777" w:rsidR="004554E4" w:rsidRPr="004554E4" w:rsidRDefault="004554E4" w:rsidP="009222CB">
            <w:pPr>
              <w:pStyle w:val="Tabletext1"/>
              <w:rPr>
                <w:rFonts w:cs="Arial"/>
              </w:rPr>
            </w:pPr>
            <w:r w:rsidRPr="004554E4">
              <w:rPr>
                <w:rFonts w:cs="Arial"/>
              </w:rPr>
              <w:t>277.50</w:t>
            </w:r>
          </w:p>
        </w:tc>
        <w:tc>
          <w:tcPr>
            <w:tcW w:w="708" w:type="pct"/>
            <w:tcBorders>
              <w:top w:val="nil"/>
              <w:left w:val="nil"/>
              <w:bottom w:val="single" w:sz="4" w:space="0" w:color="auto"/>
              <w:right w:val="single" w:sz="4" w:space="0" w:color="auto"/>
            </w:tcBorders>
            <w:shd w:val="clear" w:color="auto" w:fill="auto"/>
            <w:vAlign w:val="center"/>
          </w:tcPr>
          <w:p w14:paraId="1B9EA1E0" w14:textId="77777777" w:rsidR="004554E4" w:rsidRPr="004554E4" w:rsidRDefault="004554E4" w:rsidP="009222CB">
            <w:pPr>
              <w:pStyle w:val="Tabletext1"/>
              <w:rPr>
                <w:rFonts w:cs="Arial"/>
              </w:rPr>
            </w:pPr>
            <w:r w:rsidRPr="004554E4">
              <w:rPr>
                <w:rFonts w:cs="Arial"/>
              </w:rPr>
              <w:t>353.00</w:t>
            </w:r>
          </w:p>
        </w:tc>
        <w:tc>
          <w:tcPr>
            <w:tcW w:w="684" w:type="pct"/>
            <w:tcBorders>
              <w:top w:val="nil"/>
              <w:left w:val="nil"/>
              <w:bottom w:val="single" w:sz="4" w:space="0" w:color="auto"/>
              <w:right w:val="single" w:sz="4" w:space="0" w:color="auto"/>
            </w:tcBorders>
            <w:shd w:val="clear" w:color="auto" w:fill="auto"/>
            <w:vAlign w:val="center"/>
          </w:tcPr>
          <w:p w14:paraId="2FB4CB98" w14:textId="77777777" w:rsidR="004554E4" w:rsidRPr="004554E4" w:rsidRDefault="004554E4" w:rsidP="009222CB">
            <w:pPr>
              <w:pStyle w:val="Tabletext1"/>
              <w:rPr>
                <w:rFonts w:cs="Arial"/>
              </w:rPr>
            </w:pPr>
            <w:r w:rsidRPr="004554E4">
              <w:rPr>
                <w:rFonts w:cs="Arial"/>
              </w:rPr>
              <w:t>-75.50</w:t>
            </w:r>
          </w:p>
        </w:tc>
        <w:tc>
          <w:tcPr>
            <w:tcW w:w="615" w:type="pct"/>
            <w:tcBorders>
              <w:top w:val="nil"/>
              <w:left w:val="nil"/>
              <w:bottom w:val="single" w:sz="4" w:space="0" w:color="auto"/>
              <w:right w:val="single" w:sz="4" w:space="0" w:color="auto"/>
            </w:tcBorders>
            <w:shd w:val="clear" w:color="auto" w:fill="auto"/>
            <w:vAlign w:val="center"/>
          </w:tcPr>
          <w:p w14:paraId="45F3490E" w14:textId="77777777" w:rsidR="004554E4" w:rsidRPr="004554E4" w:rsidRDefault="004554E4" w:rsidP="009222CB">
            <w:pPr>
              <w:pStyle w:val="Tabletext1"/>
              <w:rPr>
                <w:rFonts w:cs="Arial"/>
              </w:rPr>
            </w:pPr>
            <w:r w:rsidRPr="004554E4">
              <w:rPr>
                <w:rFonts w:cs="Arial"/>
              </w:rPr>
              <w:t>277.50</w:t>
            </w:r>
          </w:p>
        </w:tc>
        <w:tc>
          <w:tcPr>
            <w:tcW w:w="640" w:type="pct"/>
            <w:tcBorders>
              <w:top w:val="nil"/>
              <w:left w:val="nil"/>
              <w:bottom w:val="single" w:sz="4" w:space="0" w:color="auto"/>
              <w:right w:val="single" w:sz="4" w:space="0" w:color="auto"/>
            </w:tcBorders>
            <w:shd w:val="clear" w:color="auto" w:fill="auto"/>
            <w:vAlign w:val="center"/>
          </w:tcPr>
          <w:p w14:paraId="214678D4" w14:textId="77777777" w:rsidR="004554E4" w:rsidRPr="004554E4" w:rsidRDefault="004554E4" w:rsidP="009222CB">
            <w:pPr>
              <w:pStyle w:val="Tabletext1"/>
              <w:rPr>
                <w:rFonts w:cs="Arial"/>
              </w:rPr>
            </w:pPr>
            <w:r w:rsidRPr="004554E4">
              <w:rPr>
                <w:rFonts w:cs="Arial"/>
              </w:rPr>
              <w:t>0.00</w:t>
            </w:r>
          </w:p>
        </w:tc>
      </w:tr>
      <w:tr w:rsidR="004554E4" w:rsidRPr="001C1D01" w14:paraId="594BF98D"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42D2A5A5"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Prostheses or equipment costs</w:t>
            </w:r>
          </w:p>
        </w:tc>
        <w:tc>
          <w:tcPr>
            <w:tcW w:w="786" w:type="pct"/>
            <w:tcBorders>
              <w:top w:val="nil"/>
              <w:left w:val="nil"/>
              <w:bottom w:val="single" w:sz="4" w:space="0" w:color="auto"/>
              <w:right w:val="single" w:sz="4" w:space="0" w:color="auto"/>
            </w:tcBorders>
            <w:shd w:val="clear" w:color="auto" w:fill="auto"/>
            <w:vAlign w:val="center"/>
          </w:tcPr>
          <w:p w14:paraId="26297DAA" w14:textId="77777777" w:rsidR="004554E4" w:rsidRPr="004554E4" w:rsidRDefault="004554E4" w:rsidP="009222CB">
            <w:pPr>
              <w:pStyle w:val="Tabletext1"/>
              <w:rPr>
                <w:rFonts w:cs="Arial"/>
              </w:rPr>
            </w:pPr>
            <w:r w:rsidRPr="004554E4">
              <w:rPr>
                <w:rFonts w:cs="Arial"/>
              </w:rPr>
              <w:t>3,210.00</w:t>
            </w:r>
          </w:p>
        </w:tc>
        <w:tc>
          <w:tcPr>
            <w:tcW w:w="708" w:type="pct"/>
            <w:tcBorders>
              <w:top w:val="nil"/>
              <w:left w:val="nil"/>
              <w:bottom w:val="single" w:sz="4" w:space="0" w:color="auto"/>
              <w:right w:val="single" w:sz="4" w:space="0" w:color="auto"/>
            </w:tcBorders>
            <w:shd w:val="clear" w:color="auto" w:fill="auto"/>
            <w:vAlign w:val="center"/>
          </w:tcPr>
          <w:p w14:paraId="20C6AA9E" w14:textId="77777777" w:rsidR="004554E4" w:rsidRPr="004554E4" w:rsidRDefault="004554E4" w:rsidP="009222CB">
            <w:pPr>
              <w:pStyle w:val="Tabletext1"/>
              <w:rPr>
                <w:rFonts w:cs="Arial"/>
              </w:rPr>
            </w:pPr>
            <w:r w:rsidRPr="004554E4">
              <w:rPr>
                <w:rFonts w:cs="Arial"/>
              </w:rPr>
              <w:t>293.50</w:t>
            </w:r>
          </w:p>
        </w:tc>
        <w:tc>
          <w:tcPr>
            <w:tcW w:w="684" w:type="pct"/>
            <w:tcBorders>
              <w:top w:val="nil"/>
              <w:left w:val="nil"/>
              <w:bottom w:val="single" w:sz="4" w:space="0" w:color="auto"/>
              <w:right w:val="single" w:sz="4" w:space="0" w:color="auto"/>
            </w:tcBorders>
            <w:shd w:val="clear" w:color="auto" w:fill="auto"/>
            <w:vAlign w:val="center"/>
          </w:tcPr>
          <w:p w14:paraId="008C2A4C" w14:textId="77777777" w:rsidR="004554E4" w:rsidRPr="004554E4" w:rsidRDefault="004554E4" w:rsidP="009222CB">
            <w:pPr>
              <w:pStyle w:val="Tabletext1"/>
              <w:rPr>
                <w:rFonts w:cs="Arial"/>
              </w:rPr>
            </w:pPr>
            <w:r w:rsidRPr="004554E4">
              <w:rPr>
                <w:rFonts w:cs="Arial"/>
              </w:rPr>
              <w:t>2,916.50</w:t>
            </w:r>
          </w:p>
        </w:tc>
        <w:tc>
          <w:tcPr>
            <w:tcW w:w="615" w:type="pct"/>
            <w:tcBorders>
              <w:top w:val="nil"/>
              <w:left w:val="nil"/>
              <w:bottom w:val="single" w:sz="4" w:space="0" w:color="auto"/>
              <w:right w:val="single" w:sz="4" w:space="0" w:color="auto"/>
            </w:tcBorders>
            <w:shd w:val="clear" w:color="auto" w:fill="auto"/>
            <w:vAlign w:val="center"/>
          </w:tcPr>
          <w:p w14:paraId="1C3F503F" w14:textId="77777777" w:rsidR="004554E4" w:rsidRPr="004554E4" w:rsidRDefault="004554E4" w:rsidP="009222CB">
            <w:pPr>
              <w:pStyle w:val="Tabletext1"/>
              <w:rPr>
                <w:rFonts w:cs="Arial"/>
              </w:rPr>
            </w:pPr>
            <w:r w:rsidRPr="004554E4">
              <w:rPr>
                <w:rFonts w:cs="Arial"/>
              </w:rPr>
              <w:t>0.00</w:t>
            </w:r>
          </w:p>
        </w:tc>
        <w:tc>
          <w:tcPr>
            <w:tcW w:w="640" w:type="pct"/>
            <w:tcBorders>
              <w:top w:val="nil"/>
              <w:left w:val="nil"/>
              <w:bottom w:val="single" w:sz="4" w:space="0" w:color="auto"/>
              <w:right w:val="single" w:sz="4" w:space="0" w:color="auto"/>
            </w:tcBorders>
            <w:shd w:val="clear" w:color="auto" w:fill="auto"/>
            <w:vAlign w:val="center"/>
          </w:tcPr>
          <w:p w14:paraId="43F641ED" w14:textId="77777777" w:rsidR="004554E4" w:rsidRPr="004554E4" w:rsidRDefault="004554E4" w:rsidP="009222CB">
            <w:pPr>
              <w:pStyle w:val="Tabletext1"/>
              <w:rPr>
                <w:rFonts w:cs="Arial"/>
              </w:rPr>
            </w:pPr>
            <w:r w:rsidRPr="004554E4">
              <w:rPr>
                <w:rFonts w:cs="Arial"/>
              </w:rPr>
              <w:t>3,210.00</w:t>
            </w:r>
          </w:p>
        </w:tc>
      </w:tr>
      <w:tr w:rsidR="004554E4" w:rsidRPr="001C1D01" w14:paraId="18843419"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52B16D4A"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Adverse events</w:t>
            </w:r>
          </w:p>
        </w:tc>
        <w:tc>
          <w:tcPr>
            <w:tcW w:w="786" w:type="pct"/>
            <w:tcBorders>
              <w:top w:val="nil"/>
              <w:left w:val="nil"/>
              <w:bottom w:val="single" w:sz="4" w:space="0" w:color="auto"/>
              <w:right w:val="single" w:sz="4" w:space="0" w:color="auto"/>
            </w:tcBorders>
            <w:shd w:val="clear" w:color="auto" w:fill="auto"/>
            <w:vAlign w:val="center"/>
          </w:tcPr>
          <w:p w14:paraId="7BBA8C44" w14:textId="77777777" w:rsidR="004554E4" w:rsidRPr="004554E4" w:rsidRDefault="004554E4" w:rsidP="009222CB">
            <w:pPr>
              <w:pStyle w:val="Tabletext1"/>
              <w:rPr>
                <w:rFonts w:cs="Arial"/>
              </w:rPr>
            </w:pPr>
            <w:r w:rsidRPr="004554E4">
              <w:rPr>
                <w:rFonts w:cs="Arial"/>
              </w:rPr>
              <w:t>0.00</w:t>
            </w:r>
          </w:p>
        </w:tc>
        <w:tc>
          <w:tcPr>
            <w:tcW w:w="708" w:type="pct"/>
            <w:tcBorders>
              <w:top w:val="nil"/>
              <w:left w:val="nil"/>
              <w:bottom w:val="single" w:sz="4" w:space="0" w:color="auto"/>
              <w:right w:val="single" w:sz="4" w:space="0" w:color="auto"/>
            </w:tcBorders>
            <w:shd w:val="clear" w:color="auto" w:fill="auto"/>
            <w:vAlign w:val="center"/>
          </w:tcPr>
          <w:p w14:paraId="3EA40B7B" w14:textId="77777777" w:rsidR="004554E4" w:rsidRPr="004554E4" w:rsidRDefault="004554E4" w:rsidP="009222CB">
            <w:pPr>
              <w:pStyle w:val="Tabletext1"/>
              <w:rPr>
                <w:rFonts w:cs="Arial"/>
              </w:rPr>
            </w:pPr>
            <w:r w:rsidRPr="004554E4">
              <w:rPr>
                <w:rFonts w:cs="Arial"/>
              </w:rPr>
              <w:t>0.00</w:t>
            </w:r>
          </w:p>
        </w:tc>
        <w:tc>
          <w:tcPr>
            <w:tcW w:w="684" w:type="pct"/>
            <w:tcBorders>
              <w:top w:val="nil"/>
              <w:left w:val="nil"/>
              <w:bottom w:val="single" w:sz="4" w:space="0" w:color="auto"/>
              <w:right w:val="single" w:sz="4" w:space="0" w:color="auto"/>
            </w:tcBorders>
            <w:shd w:val="clear" w:color="auto" w:fill="auto"/>
            <w:vAlign w:val="center"/>
          </w:tcPr>
          <w:p w14:paraId="36595469" w14:textId="77777777" w:rsidR="004554E4" w:rsidRPr="004554E4" w:rsidRDefault="004554E4" w:rsidP="009222CB">
            <w:pPr>
              <w:pStyle w:val="Tabletext1"/>
              <w:rPr>
                <w:rFonts w:cs="Arial"/>
              </w:rPr>
            </w:pPr>
            <w:r w:rsidRPr="004554E4">
              <w:rPr>
                <w:rFonts w:cs="Arial"/>
              </w:rPr>
              <w:t>0.00</w:t>
            </w:r>
          </w:p>
        </w:tc>
        <w:tc>
          <w:tcPr>
            <w:tcW w:w="615" w:type="pct"/>
            <w:tcBorders>
              <w:top w:val="nil"/>
              <w:left w:val="nil"/>
              <w:bottom w:val="single" w:sz="4" w:space="0" w:color="auto"/>
              <w:right w:val="single" w:sz="4" w:space="0" w:color="auto"/>
            </w:tcBorders>
            <w:shd w:val="clear" w:color="auto" w:fill="auto"/>
            <w:vAlign w:val="center"/>
          </w:tcPr>
          <w:p w14:paraId="1C081B1C" w14:textId="77777777" w:rsidR="004554E4" w:rsidRPr="004554E4" w:rsidRDefault="004554E4" w:rsidP="009222CB">
            <w:pPr>
              <w:pStyle w:val="Tabletext1"/>
              <w:rPr>
                <w:rFonts w:cs="Arial"/>
              </w:rPr>
            </w:pPr>
            <w:r w:rsidRPr="004554E4">
              <w:rPr>
                <w:rFonts w:cs="Arial"/>
              </w:rPr>
              <w:t>0.00</w:t>
            </w:r>
          </w:p>
        </w:tc>
        <w:tc>
          <w:tcPr>
            <w:tcW w:w="640" w:type="pct"/>
            <w:tcBorders>
              <w:top w:val="nil"/>
              <w:left w:val="nil"/>
              <w:bottom w:val="single" w:sz="4" w:space="0" w:color="auto"/>
              <w:right w:val="single" w:sz="4" w:space="0" w:color="auto"/>
            </w:tcBorders>
            <w:shd w:val="clear" w:color="auto" w:fill="auto"/>
            <w:vAlign w:val="center"/>
          </w:tcPr>
          <w:p w14:paraId="7E04C846" w14:textId="77777777" w:rsidR="004554E4" w:rsidRPr="004554E4" w:rsidRDefault="004554E4" w:rsidP="009222CB">
            <w:pPr>
              <w:pStyle w:val="Tabletext1"/>
              <w:rPr>
                <w:rFonts w:cs="Arial"/>
              </w:rPr>
            </w:pPr>
            <w:r w:rsidRPr="004554E4">
              <w:rPr>
                <w:rFonts w:cs="Arial"/>
              </w:rPr>
              <w:t>0.00</w:t>
            </w:r>
          </w:p>
        </w:tc>
      </w:tr>
      <w:tr w:rsidR="004554E4" w:rsidRPr="001C1D01" w14:paraId="7E359FDA"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22CF5091"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Total</w:t>
            </w:r>
          </w:p>
        </w:tc>
        <w:tc>
          <w:tcPr>
            <w:tcW w:w="786" w:type="pct"/>
            <w:tcBorders>
              <w:top w:val="nil"/>
              <w:left w:val="nil"/>
              <w:bottom w:val="single" w:sz="4" w:space="0" w:color="auto"/>
              <w:right w:val="single" w:sz="4" w:space="0" w:color="auto"/>
            </w:tcBorders>
            <w:shd w:val="clear" w:color="auto" w:fill="auto"/>
            <w:vAlign w:val="center"/>
          </w:tcPr>
          <w:p w14:paraId="065287F9" w14:textId="77777777" w:rsidR="004554E4" w:rsidRPr="004554E4" w:rsidRDefault="004554E4" w:rsidP="009222CB">
            <w:pPr>
              <w:pStyle w:val="Tabletext1"/>
              <w:rPr>
                <w:rFonts w:cs="Arial"/>
              </w:rPr>
            </w:pPr>
            <w:r w:rsidRPr="004554E4">
              <w:rPr>
                <w:rFonts w:cs="Arial"/>
              </w:rPr>
              <w:t>7,843.83</w:t>
            </w:r>
          </w:p>
        </w:tc>
        <w:tc>
          <w:tcPr>
            <w:tcW w:w="708" w:type="pct"/>
            <w:tcBorders>
              <w:top w:val="nil"/>
              <w:left w:val="nil"/>
              <w:bottom w:val="single" w:sz="4" w:space="0" w:color="auto"/>
              <w:right w:val="single" w:sz="4" w:space="0" w:color="auto"/>
            </w:tcBorders>
            <w:shd w:val="clear" w:color="auto" w:fill="auto"/>
            <w:vAlign w:val="center"/>
          </w:tcPr>
          <w:p w14:paraId="2736FEE6" w14:textId="77777777" w:rsidR="004554E4" w:rsidRPr="004554E4" w:rsidRDefault="004554E4" w:rsidP="009222CB">
            <w:pPr>
              <w:pStyle w:val="Tabletext1"/>
              <w:rPr>
                <w:rFonts w:cs="Arial"/>
              </w:rPr>
            </w:pPr>
            <w:r w:rsidRPr="004554E4">
              <w:rPr>
                <w:rFonts w:cs="Arial"/>
              </w:rPr>
              <w:t>5,372.95</w:t>
            </w:r>
          </w:p>
        </w:tc>
        <w:tc>
          <w:tcPr>
            <w:tcW w:w="684" w:type="pct"/>
            <w:tcBorders>
              <w:top w:val="nil"/>
              <w:left w:val="nil"/>
              <w:bottom w:val="single" w:sz="4" w:space="0" w:color="auto"/>
              <w:right w:val="single" w:sz="4" w:space="0" w:color="auto"/>
            </w:tcBorders>
            <w:shd w:val="clear" w:color="auto" w:fill="auto"/>
            <w:vAlign w:val="center"/>
          </w:tcPr>
          <w:p w14:paraId="03DD942D" w14:textId="77777777" w:rsidR="004554E4" w:rsidRPr="004554E4" w:rsidRDefault="004554E4" w:rsidP="009222CB">
            <w:pPr>
              <w:pStyle w:val="Tabletext1"/>
              <w:rPr>
                <w:rFonts w:cs="Arial"/>
              </w:rPr>
            </w:pPr>
            <w:r w:rsidRPr="004554E4">
              <w:rPr>
                <w:rFonts w:cs="Arial"/>
              </w:rPr>
              <w:t>2,470.88</w:t>
            </w:r>
          </w:p>
        </w:tc>
        <w:tc>
          <w:tcPr>
            <w:tcW w:w="615" w:type="pct"/>
            <w:tcBorders>
              <w:top w:val="nil"/>
              <w:left w:val="nil"/>
              <w:bottom w:val="single" w:sz="4" w:space="0" w:color="auto"/>
              <w:right w:val="single" w:sz="4" w:space="0" w:color="auto"/>
            </w:tcBorders>
            <w:shd w:val="clear" w:color="auto" w:fill="auto"/>
            <w:vAlign w:val="center"/>
          </w:tcPr>
          <w:p w14:paraId="668A34EC" w14:textId="77777777" w:rsidR="004554E4" w:rsidRPr="004554E4" w:rsidRDefault="004554E4" w:rsidP="009222CB">
            <w:pPr>
              <w:pStyle w:val="Tabletext1"/>
              <w:rPr>
                <w:rFonts w:cs="Arial"/>
              </w:rPr>
            </w:pPr>
            <w:r w:rsidRPr="004554E4">
              <w:rPr>
                <w:rFonts w:cs="Arial"/>
              </w:rPr>
              <w:t>19,472.05</w:t>
            </w:r>
          </w:p>
        </w:tc>
        <w:tc>
          <w:tcPr>
            <w:tcW w:w="640" w:type="pct"/>
            <w:tcBorders>
              <w:top w:val="nil"/>
              <w:left w:val="nil"/>
              <w:bottom w:val="single" w:sz="4" w:space="0" w:color="auto"/>
              <w:right w:val="single" w:sz="4" w:space="0" w:color="auto"/>
            </w:tcBorders>
            <w:shd w:val="clear" w:color="auto" w:fill="auto"/>
            <w:vAlign w:val="center"/>
          </w:tcPr>
          <w:p w14:paraId="5F1D32E0" w14:textId="77777777" w:rsidR="004554E4" w:rsidRPr="004554E4" w:rsidRDefault="004554E4" w:rsidP="009222CB">
            <w:pPr>
              <w:pStyle w:val="Tabletext1"/>
              <w:rPr>
                <w:rFonts w:cs="Arial"/>
              </w:rPr>
            </w:pPr>
            <w:r w:rsidRPr="004554E4">
              <w:rPr>
                <w:rFonts w:cs="Arial"/>
              </w:rPr>
              <w:t>-11,628.22</w:t>
            </w:r>
          </w:p>
        </w:tc>
      </w:tr>
      <w:tr w:rsidR="00EF062F" w:rsidRPr="001C1D01" w14:paraId="4A934EFF" w14:textId="77777777" w:rsidTr="006A4E2A">
        <w:trPr>
          <w:trHeight w:val="255"/>
        </w:trPr>
        <w:tc>
          <w:tcPr>
            <w:tcW w:w="1567" w:type="pct"/>
            <w:tcBorders>
              <w:top w:val="nil"/>
              <w:left w:val="single" w:sz="4" w:space="0" w:color="auto"/>
              <w:bottom w:val="single" w:sz="4" w:space="0" w:color="auto"/>
              <w:right w:val="single" w:sz="4" w:space="0" w:color="auto"/>
            </w:tcBorders>
            <w:shd w:val="clear" w:color="000000" w:fill="D9D9D9"/>
            <w:hideMark/>
          </w:tcPr>
          <w:p w14:paraId="6A425E49" w14:textId="77777777" w:rsidR="00EF062F" w:rsidRPr="001C1D01" w:rsidRDefault="00EF062F" w:rsidP="009222CB">
            <w:pPr>
              <w:pStyle w:val="Tabletext1"/>
              <w:rPr>
                <w:rFonts w:eastAsia="Batang" w:cs="Arial"/>
                <w:lang w:val="en-GB" w:eastAsia="ja-JP"/>
              </w:rPr>
            </w:pPr>
            <w:r w:rsidRPr="001C1D01">
              <w:rPr>
                <w:rFonts w:eastAsia="Batang" w:cs="Arial"/>
                <w:lang w:val="en-GB" w:eastAsia="ja-JP"/>
              </w:rPr>
              <w:t> </w:t>
            </w:r>
          </w:p>
        </w:tc>
        <w:tc>
          <w:tcPr>
            <w:tcW w:w="786" w:type="pct"/>
            <w:tcBorders>
              <w:top w:val="single" w:sz="4" w:space="0" w:color="auto"/>
              <w:left w:val="nil"/>
              <w:bottom w:val="single" w:sz="4" w:space="0" w:color="auto"/>
            </w:tcBorders>
            <w:shd w:val="clear" w:color="000000" w:fill="D9D9D9"/>
            <w:hideMark/>
          </w:tcPr>
          <w:p w14:paraId="0F280C89" w14:textId="77777777" w:rsidR="00EF062F" w:rsidRPr="001C1D01" w:rsidRDefault="00EF062F" w:rsidP="005661C3">
            <w:pPr>
              <w:pStyle w:val="Tabletext1"/>
              <w:jc w:val="right"/>
              <w:rPr>
                <w:rFonts w:eastAsia="Batang" w:cs="Arial"/>
                <w:lang w:val="en-GB" w:eastAsia="ja-JP"/>
              </w:rPr>
            </w:pPr>
            <w:r w:rsidRPr="001C1D01">
              <w:rPr>
                <w:rFonts w:eastAsia="Batang" w:cs="Arial"/>
                <w:lang w:val="en-GB" w:eastAsia="ja-JP"/>
              </w:rPr>
              <w:t xml:space="preserve">Population 1 and </w:t>
            </w:r>
          </w:p>
        </w:tc>
        <w:tc>
          <w:tcPr>
            <w:tcW w:w="708" w:type="pct"/>
            <w:tcBorders>
              <w:top w:val="single" w:sz="4" w:space="0" w:color="auto"/>
              <w:bottom w:val="single" w:sz="4" w:space="0" w:color="auto"/>
            </w:tcBorders>
            <w:shd w:val="clear" w:color="000000" w:fill="D9D9D9"/>
          </w:tcPr>
          <w:p w14:paraId="0E759A78" w14:textId="44C8E403" w:rsidR="00EF062F" w:rsidRPr="001C1D01" w:rsidRDefault="001078A2" w:rsidP="009222CB">
            <w:pPr>
              <w:pStyle w:val="Tabletext1"/>
              <w:ind w:left="-96"/>
              <w:rPr>
                <w:rFonts w:eastAsia="Batang" w:cs="Arial"/>
                <w:lang w:val="en-GB" w:eastAsia="ja-JP"/>
              </w:rPr>
            </w:pPr>
            <w:r w:rsidRPr="001C1D01">
              <w:rPr>
                <w:rFonts w:eastAsia="Batang" w:cs="Arial"/>
                <w:lang w:val="en-GB" w:eastAsia="ja-JP"/>
              </w:rPr>
              <w:t>2, &lt;3</w:t>
            </w:r>
            <w:r w:rsidR="00D35E9C">
              <w:rPr>
                <w:rFonts w:eastAsia="Batang" w:cs="Arial"/>
                <w:lang w:val="en-GB" w:eastAsia="ja-JP"/>
              </w:rPr>
              <w:t>–</w:t>
            </w:r>
            <w:r w:rsidRPr="001C1D01">
              <w:rPr>
                <w:rFonts w:eastAsia="Batang" w:cs="Arial"/>
                <w:lang w:val="en-GB" w:eastAsia="ja-JP"/>
              </w:rPr>
              <w:t>5 lesions</w:t>
            </w:r>
          </w:p>
        </w:tc>
        <w:tc>
          <w:tcPr>
            <w:tcW w:w="684" w:type="pct"/>
            <w:tcBorders>
              <w:top w:val="single" w:sz="4" w:space="0" w:color="auto"/>
              <w:bottom w:val="single" w:sz="4" w:space="0" w:color="auto"/>
              <w:right w:val="single" w:sz="4" w:space="0" w:color="auto"/>
            </w:tcBorders>
            <w:shd w:val="clear" w:color="000000" w:fill="D9D9D9"/>
          </w:tcPr>
          <w:p w14:paraId="50B3B7FF" w14:textId="77777777" w:rsidR="00EF062F" w:rsidRPr="001C1D01" w:rsidRDefault="00EF062F" w:rsidP="009222CB">
            <w:pPr>
              <w:pStyle w:val="Tabletext1"/>
              <w:rPr>
                <w:rFonts w:eastAsia="Batang" w:cs="Arial"/>
                <w:lang w:val="en-GB" w:eastAsia="ja-JP"/>
              </w:rPr>
            </w:pPr>
          </w:p>
        </w:tc>
        <w:tc>
          <w:tcPr>
            <w:tcW w:w="615" w:type="pct"/>
            <w:tcBorders>
              <w:top w:val="single" w:sz="4" w:space="0" w:color="auto"/>
              <w:left w:val="nil"/>
              <w:bottom w:val="single" w:sz="4" w:space="0" w:color="auto"/>
            </w:tcBorders>
            <w:shd w:val="clear" w:color="000000" w:fill="D9D9D9"/>
            <w:hideMark/>
          </w:tcPr>
          <w:p w14:paraId="19A699A4" w14:textId="77777777" w:rsidR="00EF062F" w:rsidRPr="00FC06D9" w:rsidRDefault="00EF062F" w:rsidP="009222CB">
            <w:pPr>
              <w:pStyle w:val="Tabletext1"/>
              <w:jc w:val="right"/>
              <w:rPr>
                <w:rFonts w:eastAsia="Batang" w:cs="Arial"/>
                <w:lang w:val="en-GB" w:eastAsia="ja-JP"/>
              </w:rPr>
            </w:pPr>
            <w:r w:rsidRPr="00FC06D9">
              <w:rPr>
                <w:rFonts w:eastAsia="Batang" w:cs="Arial"/>
                <w:lang w:val="en-GB" w:eastAsia="ja-JP"/>
              </w:rPr>
              <w:t xml:space="preserve">Population 2 </w:t>
            </w:r>
          </w:p>
        </w:tc>
        <w:tc>
          <w:tcPr>
            <w:tcW w:w="640" w:type="pct"/>
            <w:tcBorders>
              <w:top w:val="single" w:sz="4" w:space="0" w:color="auto"/>
              <w:bottom w:val="single" w:sz="4" w:space="0" w:color="auto"/>
              <w:right w:val="single" w:sz="4" w:space="0" w:color="auto"/>
            </w:tcBorders>
            <w:shd w:val="clear" w:color="000000" w:fill="D9D9D9"/>
          </w:tcPr>
          <w:p w14:paraId="2760E08D" w14:textId="5FF09CA4" w:rsidR="00EF062F" w:rsidRPr="00FC06D9" w:rsidRDefault="00394F5D" w:rsidP="00394F5D">
            <w:pPr>
              <w:pStyle w:val="Tabletext1"/>
              <w:ind w:left="-121"/>
              <w:rPr>
                <w:rFonts w:eastAsia="Batang" w:cs="Arial"/>
                <w:lang w:val="en-GB" w:eastAsia="ja-JP"/>
              </w:rPr>
            </w:pPr>
            <w:r>
              <w:rPr>
                <w:rFonts w:eastAsia="Batang" w:cs="Arial"/>
                <w:lang w:val="en-GB" w:eastAsia="ja-JP"/>
              </w:rPr>
              <w:t xml:space="preserve">, </w:t>
            </w:r>
            <w:r w:rsidR="001078A2" w:rsidRPr="00FC06D9">
              <w:rPr>
                <w:rFonts w:eastAsia="Batang" w:cs="Arial"/>
                <w:lang w:val="en-GB" w:eastAsia="ja-JP"/>
              </w:rPr>
              <w:t>&lt;3</w:t>
            </w:r>
            <w:r w:rsidR="00D35E9C">
              <w:rPr>
                <w:rFonts w:eastAsia="Batang" w:cs="Arial"/>
                <w:lang w:val="en-GB" w:eastAsia="ja-JP"/>
              </w:rPr>
              <w:t>–</w:t>
            </w:r>
            <w:r w:rsidR="001078A2" w:rsidRPr="00FC06D9">
              <w:rPr>
                <w:rFonts w:eastAsia="Batang" w:cs="Arial"/>
                <w:lang w:val="en-GB" w:eastAsia="ja-JP"/>
              </w:rPr>
              <w:t>5 lesions</w:t>
            </w:r>
          </w:p>
        </w:tc>
      </w:tr>
      <w:tr w:rsidR="004554E4" w:rsidRPr="001C1D01" w14:paraId="5444D519"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104A7B4F"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 xml:space="preserve">Specialist services – screening prior </w:t>
            </w:r>
            <w:r w:rsidRPr="001C1D01">
              <w:rPr>
                <w:rFonts w:eastAsia="Batang" w:cs="Arial"/>
                <w:lang w:val="en-GB" w:eastAsia="ja-JP"/>
              </w:rPr>
              <w:lastRenderedPageBreak/>
              <w:t>to intervention</w:t>
            </w:r>
          </w:p>
        </w:tc>
        <w:tc>
          <w:tcPr>
            <w:tcW w:w="786" w:type="pct"/>
            <w:tcBorders>
              <w:top w:val="nil"/>
              <w:left w:val="nil"/>
              <w:bottom w:val="single" w:sz="4" w:space="0" w:color="auto"/>
              <w:right w:val="single" w:sz="4" w:space="0" w:color="auto"/>
            </w:tcBorders>
            <w:shd w:val="clear" w:color="auto" w:fill="auto"/>
            <w:vAlign w:val="center"/>
          </w:tcPr>
          <w:p w14:paraId="1469440B" w14:textId="77777777" w:rsidR="004554E4" w:rsidRPr="004554E4" w:rsidRDefault="004554E4" w:rsidP="009222CB">
            <w:pPr>
              <w:pStyle w:val="Tabletext1"/>
              <w:rPr>
                <w:rFonts w:cs="Arial"/>
              </w:rPr>
            </w:pPr>
            <w:r w:rsidRPr="004554E4">
              <w:rPr>
                <w:rFonts w:cs="Arial"/>
              </w:rPr>
              <w:lastRenderedPageBreak/>
              <w:t>1,557.55</w:t>
            </w:r>
          </w:p>
        </w:tc>
        <w:tc>
          <w:tcPr>
            <w:tcW w:w="708" w:type="pct"/>
            <w:tcBorders>
              <w:top w:val="nil"/>
              <w:left w:val="nil"/>
              <w:bottom w:val="single" w:sz="4" w:space="0" w:color="auto"/>
              <w:right w:val="single" w:sz="4" w:space="0" w:color="auto"/>
            </w:tcBorders>
            <w:shd w:val="clear" w:color="auto" w:fill="auto"/>
            <w:vAlign w:val="center"/>
          </w:tcPr>
          <w:p w14:paraId="25641245" w14:textId="77777777" w:rsidR="004554E4" w:rsidRPr="004554E4" w:rsidRDefault="004554E4" w:rsidP="009222CB">
            <w:pPr>
              <w:pStyle w:val="Tabletext1"/>
              <w:rPr>
                <w:rFonts w:cs="Arial"/>
              </w:rPr>
            </w:pPr>
            <w:r w:rsidRPr="004554E4">
              <w:rPr>
                <w:rFonts w:cs="Arial"/>
              </w:rPr>
              <w:t>1,557.55</w:t>
            </w:r>
          </w:p>
        </w:tc>
        <w:tc>
          <w:tcPr>
            <w:tcW w:w="684" w:type="pct"/>
            <w:tcBorders>
              <w:top w:val="nil"/>
              <w:left w:val="nil"/>
              <w:bottom w:val="single" w:sz="4" w:space="0" w:color="auto"/>
              <w:right w:val="single" w:sz="4" w:space="0" w:color="auto"/>
            </w:tcBorders>
            <w:shd w:val="clear" w:color="auto" w:fill="auto"/>
            <w:vAlign w:val="center"/>
          </w:tcPr>
          <w:p w14:paraId="0B1DA45B" w14:textId="77777777" w:rsidR="004554E4" w:rsidRPr="004554E4" w:rsidRDefault="004554E4" w:rsidP="009222CB">
            <w:pPr>
              <w:pStyle w:val="Tabletext1"/>
              <w:rPr>
                <w:rFonts w:cs="Arial"/>
              </w:rPr>
            </w:pPr>
            <w:r w:rsidRPr="004554E4">
              <w:rPr>
                <w:rFonts w:cs="Arial"/>
              </w:rPr>
              <w:t>0.00</w:t>
            </w:r>
          </w:p>
        </w:tc>
        <w:tc>
          <w:tcPr>
            <w:tcW w:w="615" w:type="pct"/>
            <w:tcBorders>
              <w:top w:val="nil"/>
              <w:left w:val="nil"/>
              <w:bottom w:val="single" w:sz="4" w:space="0" w:color="auto"/>
              <w:right w:val="single" w:sz="4" w:space="0" w:color="auto"/>
            </w:tcBorders>
            <w:shd w:val="clear" w:color="auto" w:fill="auto"/>
            <w:vAlign w:val="center"/>
          </w:tcPr>
          <w:p w14:paraId="0B36EEE2" w14:textId="77777777" w:rsidR="004554E4" w:rsidRPr="004554E4" w:rsidRDefault="004554E4" w:rsidP="009222CB">
            <w:pPr>
              <w:pStyle w:val="Tabletext1"/>
              <w:rPr>
                <w:rFonts w:cs="Arial"/>
              </w:rPr>
            </w:pPr>
            <w:r w:rsidRPr="004554E4">
              <w:rPr>
                <w:rFonts w:cs="Arial"/>
              </w:rPr>
              <w:t>1,557.55</w:t>
            </w:r>
          </w:p>
        </w:tc>
        <w:tc>
          <w:tcPr>
            <w:tcW w:w="640" w:type="pct"/>
            <w:tcBorders>
              <w:top w:val="nil"/>
              <w:left w:val="nil"/>
              <w:bottom w:val="single" w:sz="4" w:space="0" w:color="auto"/>
              <w:right w:val="single" w:sz="4" w:space="0" w:color="auto"/>
            </w:tcBorders>
            <w:shd w:val="clear" w:color="auto" w:fill="auto"/>
            <w:vAlign w:val="center"/>
          </w:tcPr>
          <w:p w14:paraId="557713F1" w14:textId="77777777" w:rsidR="004554E4" w:rsidRPr="004554E4" w:rsidRDefault="004554E4" w:rsidP="009222CB">
            <w:pPr>
              <w:pStyle w:val="Tabletext1"/>
              <w:rPr>
                <w:rFonts w:cs="Arial"/>
              </w:rPr>
            </w:pPr>
            <w:r w:rsidRPr="004554E4">
              <w:rPr>
                <w:rFonts w:cs="Arial"/>
              </w:rPr>
              <w:t>0.00</w:t>
            </w:r>
          </w:p>
        </w:tc>
      </w:tr>
      <w:tr w:rsidR="004554E4" w:rsidRPr="001C1D01" w14:paraId="65405C83"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6FB00409"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lastRenderedPageBreak/>
              <w:t>Specialist services – intervention (MBS supported)</w:t>
            </w:r>
          </w:p>
        </w:tc>
        <w:tc>
          <w:tcPr>
            <w:tcW w:w="786" w:type="pct"/>
            <w:tcBorders>
              <w:top w:val="nil"/>
              <w:left w:val="nil"/>
              <w:bottom w:val="single" w:sz="4" w:space="0" w:color="auto"/>
              <w:right w:val="single" w:sz="4" w:space="0" w:color="auto"/>
            </w:tcBorders>
            <w:shd w:val="clear" w:color="auto" w:fill="auto"/>
            <w:vAlign w:val="center"/>
          </w:tcPr>
          <w:p w14:paraId="4E97B2F2" w14:textId="77777777" w:rsidR="004554E4" w:rsidRPr="004554E4" w:rsidRDefault="004554E4" w:rsidP="009222CB">
            <w:pPr>
              <w:pStyle w:val="Tabletext1"/>
              <w:rPr>
                <w:rFonts w:cs="Arial"/>
              </w:rPr>
            </w:pPr>
            <w:r w:rsidRPr="004554E4">
              <w:rPr>
                <w:rFonts w:cs="Arial"/>
              </w:rPr>
              <w:t>2,166.68</w:t>
            </w:r>
          </w:p>
        </w:tc>
        <w:tc>
          <w:tcPr>
            <w:tcW w:w="708" w:type="pct"/>
            <w:tcBorders>
              <w:top w:val="nil"/>
              <w:left w:val="nil"/>
              <w:bottom w:val="single" w:sz="4" w:space="0" w:color="auto"/>
              <w:right w:val="single" w:sz="4" w:space="0" w:color="auto"/>
            </w:tcBorders>
            <w:shd w:val="clear" w:color="auto" w:fill="auto"/>
            <w:vAlign w:val="center"/>
          </w:tcPr>
          <w:p w14:paraId="2CB8DA7D" w14:textId="77777777" w:rsidR="004554E4" w:rsidRPr="004554E4" w:rsidRDefault="004554E4" w:rsidP="009222CB">
            <w:pPr>
              <w:pStyle w:val="Tabletext1"/>
              <w:rPr>
                <w:rFonts w:cs="Arial"/>
              </w:rPr>
            </w:pPr>
            <w:r w:rsidRPr="004554E4">
              <w:rPr>
                <w:rFonts w:cs="Arial"/>
              </w:rPr>
              <w:t>3,494.90</w:t>
            </w:r>
          </w:p>
        </w:tc>
        <w:tc>
          <w:tcPr>
            <w:tcW w:w="684" w:type="pct"/>
            <w:tcBorders>
              <w:top w:val="nil"/>
              <w:left w:val="nil"/>
              <w:bottom w:val="single" w:sz="4" w:space="0" w:color="auto"/>
              <w:right w:val="single" w:sz="4" w:space="0" w:color="auto"/>
            </w:tcBorders>
            <w:shd w:val="clear" w:color="auto" w:fill="auto"/>
            <w:vAlign w:val="center"/>
          </w:tcPr>
          <w:p w14:paraId="4AA2A874" w14:textId="77777777" w:rsidR="004554E4" w:rsidRPr="004554E4" w:rsidRDefault="004554E4" w:rsidP="009222CB">
            <w:pPr>
              <w:pStyle w:val="Tabletext1"/>
              <w:rPr>
                <w:rFonts w:cs="Arial"/>
              </w:rPr>
            </w:pPr>
            <w:r w:rsidRPr="004554E4">
              <w:rPr>
                <w:rFonts w:cs="Arial"/>
              </w:rPr>
              <w:t>-1,328.22</w:t>
            </w:r>
          </w:p>
        </w:tc>
        <w:tc>
          <w:tcPr>
            <w:tcW w:w="615" w:type="pct"/>
            <w:tcBorders>
              <w:top w:val="nil"/>
              <w:left w:val="nil"/>
              <w:bottom w:val="single" w:sz="4" w:space="0" w:color="auto"/>
              <w:right w:val="single" w:sz="4" w:space="0" w:color="auto"/>
            </w:tcBorders>
            <w:shd w:val="clear" w:color="auto" w:fill="auto"/>
            <w:vAlign w:val="center"/>
          </w:tcPr>
          <w:p w14:paraId="5D254913" w14:textId="77777777" w:rsidR="004554E4" w:rsidRPr="004554E4" w:rsidRDefault="004554E4" w:rsidP="009222CB">
            <w:pPr>
              <w:pStyle w:val="Tabletext1"/>
              <w:rPr>
                <w:rFonts w:cs="Arial"/>
              </w:rPr>
            </w:pPr>
            <w:r w:rsidRPr="004554E4">
              <w:rPr>
                <w:rFonts w:cs="Arial"/>
              </w:rPr>
              <w:t>2,814.33</w:t>
            </w:r>
          </w:p>
        </w:tc>
        <w:tc>
          <w:tcPr>
            <w:tcW w:w="640" w:type="pct"/>
            <w:tcBorders>
              <w:top w:val="nil"/>
              <w:left w:val="nil"/>
              <w:bottom w:val="single" w:sz="4" w:space="0" w:color="auto"/>
              <w:right w:val="single" w:sz="4" w:space="0" w:color="auto"/>
            </w:tcBorders>
            <w:shd w:val="clear" w:color="auto" w:fill="auto"/>
            <w:vAlign w:val="center"/>
          </w:tcPr>
          <w:p w14:paraId="7A713D0F" w14:textId="77777777" w:rsidR="004554E4" w:rsidRPr="004554E4" w:rsidRDefault="004554E4" w:rsidP="009222CB">
            <w:pPr>
              <w:pStyle w:val="Tabletext1"/>
              <w:rPr>
                <w:rFonts w:cs="Arial"/>
              </w:rPr>
            </w:pPr>
            <w:r w:rsidRPr="004554E4">
              <w:rPr>
                <w:rFonts w:cs="Arial"/>
              </w:rPr>
              <w:t>-647.65</w:t>
            </w:r>
          </w:p>
        </w:tc>
      </w:tr>
      <w:tr w:rsidR="004554E4" w:rsidRPr="001C1D01" w14:paraId="1979EEEC"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7129F55D"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Specialist services – intervention (Hospital)</w:t>
            </w:r>
          </w:p>
        </w:tc>
        <w:tc>
          <w:tcPr>
            <w:tcW w:w="786" w:type="pct"/>
            <w:tcBorders>
              <w:top w:val="nil"/>
              <w:left w:val="nil"/>
              <w:bottom w:val="single" w:sz="4" w:space="0" w:color="auto"/>
              <w:right w:val="single" w:sz="4" w:space="0" w:color="auto"/>
            </w:tcBorders>
            <w:shd w:val="clear" w:color="auto" w:fill="auto"/>
            <w:vAlign w:val="center"/>
          </w:tcPr>
          <w:p w14:paraId="71B6E093" w14:textId="77777777" w:rsidR="004554E4" w:rsidRPr="004554E4" w:rsidRDefault="004554E4" w:rsidP="009222CB">
            <w:pPr>
              <w:pStyle w:val="Tabletext1"/>
              <w:rPr>
                <w:rFonts w:cs="Arial"/>
              </w:rPr>
            </w:pPr>
            <w:r w:rsidRPr="004554E4">
              <w:rPr>
                <w:rFonts w:cs="Arial"/>
              </w:rPr>
              <w:t>932.10</w:t>
            </w:r>
          </w:p>
        </w:tc>
        <w:tc>
          <w:tcPr>
            <w:tcW w:w="708" w:type="pct"/>
            <w:tcBorders>
              <w:top w:val="nil"/>
              <w:left w:val="nil"/>
              <w:bottom w:val="single" w:sz="4" w:space="0" w:color="auto"/>
              <w:right w:val="single" w:sz="4" w:space="0" w:color="auto"/>
            </w:tcBorders>
            <w:shd w:val="clear" w:color="auto" w:fill="auto"/>
            <w:vAlign w:val="center"/>
          </w:tcPr>
          <w:p w14:paraId="0FD267E8" w14:textId="77777777" w:rsidR="004554E4" w:rsidRPr="004554E4" w:rsidRDefault="004554E4" w:rsidP="009222CB">
            <w:pPr>
              <w:pStyle w:val="Tabletext1"/>
              <w:rPr>
                <w:rFonts w:cs="Arial"/>
              </w:rPr>
            </w:pPr>
            <w:r w:rsidRPr="004554E4">
              <w:rPr>
                <w:rFonts w:cs="Arial"/>
              </w:rPr>
              <w:t>0.00</w:t>
            </w:r>
          </w:p>
        </w:tc>
        <w:tc>
          <w:tcPr>
            <w:tcW w:w="684" w:type="pct"/>
            <w:tcBorders>
              <w:top w:val="nil"/>
              <w:left w:val="nil"/>
              <w:bottom w:val="single" w:sz="4" w:space="0" w:color="auto"/>
              <w:right w:val="single" w:sz="4" w:space="0" w:color="auto"/>
            </w:tcBorders>
            <w:shd w:val="clear" w:color="auto" w:fill="auto"/>
            <w:vAlign w:val="center"/>
          </w:tcPr>
          <w:p w14:paraId="15E8F68A" w14:textId="77777777" w:rsidR="004554E4" w:rsidRPr="004554E4" w:rsidRDefault="004554E4" w:rsidP="009222CB">
            <w:pPr>
              <w:pStyle w:val="Tabletext1"/>
              <w:rPr>
                <w:rFonts w:cs="Arial"/>
              </w:rPr>
            </w:pPr>
            <w:r w:rsidRPr="004554E4">
              <w:rPr>
                <w:rFonts w:cs="Arial"/>
              </w:rPr>
              <w:t>932.10</w:t>
            </w:r>
          </w:p>
        </w:tc>
        <w:tc>
          <w:tcPr>
            <w:tcW w:w="615" w:type="pct"/>
            <w:tcBorders>
              <w:top w:val="nil"/>
              <w:left w:val="nil"/>
              <w:bottom w:val="single" w:sz="4" w:space="0" w:color="auto"/>
              <w:right w:val="single" w:sz="4" w:space="0" w:color="auto"/>
            </w:tcBorders>
            <w:shd w:val="clear" w:color="auto" w:fill="auto"/>
            <w:vAlign w:val="center"/>
          </w:tcPr>
          <w:p w14:paraId="2546DC02" w14:textId="77777777" w:rsidR="004554E4" w:rsidRPr="004554E4" w:rsidRDefault="004554E4" w:rsidP="009222CB">
            <w:pPr>
              <w:pStyle w:val="Tabletext1"/>
              <w:rPr>
                <w:rFonts w:cs="Arial"/>
              </w:rPr>
            </w:pPr>
            <w:r w:rsidRPr="004554E4">
              <w:rPr>
                <w:rFonts w:cs="Arial"/>
              </w:rPr>
              <w:t>14,822.67</w:t>
            </w:r>
          </w:p>
        </w:tc>
        <w:tc>
          <w:tcPr>
            <w:tcW w:w="640" w:type="pct"/>
            <w:tcBorders>
              <w:top w:val="nil"/>
              <w:left w:val="nil"/>
              <w:bottom w:val="single" w:sz="4" w:space="0" w:color="auto"/>
              <w:right w:val="single" w:sz="4" w:space="0" w:color="auto"/>
            </w:tcBorders>
            <w:shd w:val="clear" w:color="auto" w:fill="auto"/>
            <w:vAlign w:val="center"/>
          </w:tcPr>
          <w:p w14:paraId="2A730455" w14:textId="77777777" w:rsidR="004554E4" w:rsidRPr="004554E4" w:rsidRDefault="004554E4" w:rsidP="009222CB">
            <w:pPr>
              <w:pStyle w:val="Tabletext1"/>
              <w:rPr>
                <w:rFonts w:cs="Arial"/>
              </w:rPr>
            </w:pPr>
            <w:r w:rsidRPr="004554E4">
              <w:rPr>
                <w:rFonts w:cs="Arial"/>
              </w:rPr>
              <w:t>-13,890.57</w:t>
            </w:r>
          </w:p>
        </w:tc>
      </w:tr>
      <w:tr w:rsidR="004554E4" w:rsidRPr="001C1D01" w14:paraId="33CBEAC4"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75CF967E"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Specialist services – post intervention follow-up</w:t>
            </w:r>
          </w:p>
        </w:tc>
        <w:tc>
          <w:tcPr>
            <w:tcW w:w="786" w:type="pct"/>
            <w:tcBorders>
              <w:top w:val="nil"/>
              <w:left w:val="nil"/>
              <w:bottom w:val="single" w:sz="4" w:space="0" w:color="auto"/>
              <w:right w:val="single" w:sz="4" w:space="0" w:color="auto"/>
            </w:tcBorders>
            <w:shd w:val="clear" w:color="auto" w:fill="auto"/>
            <w:vAlign w:val="center"/>
          </w:tcPr>
          <w:p w14:paraId="37CD59E8" w14:textId="77777777" w:rsidR="004554E4" w:rsidRPr="004554E4" w:rsidRDefault="004554E4" w:rsidP="009222CB">
            <w:pPr>
              <w:pStyle w:val="Tabletext1"/>
              <w:rPr>
                <w:rFonts w:cs="Arial"/>
              </w:rPr>
            </w:pPr>
            <w:r w:rsidRPr="004554E4">
              <w:rPr>
                <w:rFonts w:cs="Arial"/>
              </w:rPr>
              <w:t>277.50</w:t>
            </w:r>
          </w:p>
        </w:tc>
        <w:tc>
          <w:tcPr>
            <w:tcW w:w="708" w:type="pct"/>
            <w:tcBorders>
              <w:top w:val="nil"/>
              <w:left w:val="nil"/>
              <w:bottom w:val="single" w:sz="4" w:space="0" w:color="auto"/>
              <w:right w:val="single" w:sz="4" w:space="0" w:color="auto"/>
            </w:tcBorders>
            <w:shd w:val="clear" w:color="auto" w:fill="auto"/>
            <w:vAlign w:val="center"/>
          </w:tcPr>
          <w:p w14:paraId="5BFEF61E" w14:textId="77777777" w:rsidR="004554E4" w:rsidRPr="004554E4" w:rsidRDefault="004554E4" w:rsidP="009222CB">
            <w:pPr>
              <w:pStyle w:val="Tabletext1"/>
              <w:rPr>
                <w:rFonts w:cs="Arial"/>
              </w:rPr>
            </w:pPr>
            <w:r w:rsidRPr="004554E4">
              <w:rPr>
                <w:rFonts w:cs="Arial"/>
              </w:rPr>
              <w:t>353.00</w:t>
            </w:r>
          </w:p>
        </w:tc>
        <w:tc>
          <w:tcPr>
            <w:tcW w:w="684" w:type="pct"/>
            <w:tcBorders>
              <w:top w:val="nil"/>
              <w:left w:val="nil"/>
              <w:bottom w:val="single" w:sz="4" w:space="0" w:color="auto"/>
              <w:right w:val="single" w:sz="4" w:space="0" w:color="auto"/>
            </w:tcBorders>
            <w:shd w:val="clear" w:color="auto" w:fill="auto"/>
            <w:vAlign w:val="center"/>
          </w:tcPr>
          <w:p w14:paraId="5F34B8C2" w14:textId="77777777" w:rsidR="004554E4" w:rsidRPr="004554E4" w:rsidRDefault="004554E4" w:rsidP="009222CB">
            <w:pPr>
              <w:pStyle w:val="Tabletext1"/>
              <w:rPr>
                <w:rFonts w:cs="Arial"/>
              </w:rPr>
            </w:pPr>
            <w:r w:rsidRPr="004554E4">
              <w:rPr>
                <w:rFonts w:cs="Arial"/>
              </w:rPr>
              <w:t>-75.50</w:t>
            </w:r>
          </w:p>
        </w:tc>
        <w:tc>
          <w:tcPr>
            <w:tcW w:w="615" w:type="pct"/>
            <w:tcBorders>
              <w:top w:val="nil"/>
              <w:left w:val="nil"/>
              <w:bottom w:val="single" w:sz="4" w:space="0" w:color="auto"/>
              <w:right w:val="single" w:sz="4" w:space="0" w:color="auto"/>
            </w:tcBorders>
            <w:shd w:val="clear" w:color="auto" w:fill="auto"/>
            <w:vAlign w:val="center"/>
          </w:tcPr>
          <w:p w14:paraId="04A0DED8" w14:textId="77777777" w:rsidR="004554E4" w:rsidRPr="004554E4" w:rsidRDefault="004554E4" w:rsidP="009222CB">
            <w:pPr>
              <w:pStyle w:val="Tabletext1"/>
              <w:rPr>
                <w:rFonts w:cs="Arial"/>
              </w:rPr>
            </w:pPr>
            <w:r w:rsidRPr="004554E4">
              <w:rPr>
                <w:rFonts w:cs="Arial"/>
              </w:rPr>
              <w:t>277.50</w:t>
            </w:r>
          </w:p>
        </w:tc>
        <w:tc>
          <w:tcPr>
            <w:tcW w:w="640" w:type="pct"/>
            <w:tcBorders>
              <w:top w:val="nil"/>
              <w:left w:val="nil"/>
              <w:bottom w:val="single" w:sz="4" w:space="0" w:color="auto"/>
              <w:right w:val="single" w:sz="4" w:space="0" w:color="auto"/>
            </w:tcBorders>
            <w:shd w:val="clear" w:color="auto" w:fill="auto"/>
            <w:vAlign w:val="center"/>
          </w:tcPr>
          <w:p w14:paraId="2A91BB51" w14:textId="77777777" w:rsidR="004554E4" w:rsidRPr="004554E4" w:rsidRDefault="004554E4" w:rsidP="009222CB">
            <w:pPr>
              <w:pStyle w:val="Tabletext1"/>
              <w:rPr>
                <w:rFonts w:cs="Arial"/>
              </w:rPr>
            </w:pPr>
            <w:r w:rsidRPr="004554E4">
              <w:rPr>
                <w:rFonts w:cs="Arial"/>
              </w:rPr>
              <w:t>0.00</w:t>
            </w:r>
          </w:p>
        </w:tc>
      </w:tr>
      <w:tr w:rsidR="004554E4" w:rsidRPr="001C1D01" w14:paraId="305FC844"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30FA40F6"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Prostheses or equipment costs</w:t>
            </w:r>
          </w:p>
        </w:tc>
        <w:tc>
          <w:tcPr>
            <w:tcW w:w="786" w:type="pct"/>
            <w:tcBorders>
              <w:top w:val="nil"/>
              <w:left w:val="nil"/>
              <w:bottom w:val="single" w:sz="4" w:space="0" w:color="auto"/>
              <w:right w:val="single" w:sz="4" w:space="0" w:color="auto"/>
            </w:tcBorders>
            <w:shd w:val="clear" w:color="auto" w:fill="auto"/>
            <w:vAlign w:val="center"/>
          </w:tcPr>
          <w:p w14:paraId="0B9AFC74" w14:textId="77777777" w:rsidR="004554E4" w:rsidRPr="004554E4" w:rsidRDefault="004554E4" w:rsidP="009222CB">
            <w:pPr>
              <w:pStyle w:val="Tabletext1"/>
              <w:rPr>
                <w:rFonts w:cs="Arial"/>
              </w:rPr>
            </w:pPr>
            <w:r w:rsidRPr="004554E4">
              <w:rPr>
                <w:rFonts w:cs="Arial"/>
              </w:rPr>
              <w:t>3,210.00</w:t>
            </w:r>
          </w:p>
        </w:tc>
        <w:tc>
          <w:tcPr>
            <w:tcW w:w="708" w:type="pct"/>
            <w:tcBorders>
              <w:top w:val="nil"/>
              <w:left w:val="nil"/>
              <w:bottom w:val="single" w:sz="4" w:space="0" w:color="auto"/>
              <w:right w:val="single" w:sz="4" w:space="0" w:color="auto"/>
            </w:tcBorders>
            <w:shd w:val="clear" w:color="auto" w:fill="auto"/>
            <w:vAlign w:val="center"/>
          </w:tcPr>
          <w:p w14:paraId="53D3B4DF" w14:textId="77777777" w:rsidR="004554E4" w:rsidRPr="004554E4" w:rsidRDefault="004554E4" w:rsidP="009222CB">
            <w:pPr>
              <w:pStyle w:val="Tabletext1"/>
              <w:rPr>
                <w:rFonts w:cs="Arial"/>
              </w:rPr>
            </w:pPr>
            <w:r w:rsidRPr="004554E4">
              <w:rPr>
                <w:rFonts w:cs="Arial"/>
              </w:rPr>
              <w:t>329.62</w:t>
            </w:r>
          </w:p>
        </w:tc>
        <w:tc>
          <w:tcPr>
            <w:tcW w:w="684" w:type="pct"/>
            <w:tcBorders>
              <w:top w:val="nil"/>
              <w:left w:val="nil"/>
              <w:bottom w:val="single" w:sz="4" w:space="0" w:color="auto"/>
              <w:right w:val="single" w:sz="4" w:space="0" w:color="auto"/>
            </w:tcBorders>
            <w:shd w:val="clear" w:color="auto" w:fill="auto"/>
            <w:vAlign w:val="center"/>
          </w:tcPr>
          <w:p w14:paraId="7BCEBAD5" w14:textId="77777777" w:rsidR="004554E4" w:rsidRPr="004554E4" w:rsidRDefault="004554E4" w:rsidP="009222CB">
            <w:pPr>
              <w:pStyle w:val="Tabletext1"/>
              <w:rPr>
                <w:rFonts w:cs="Arial"/>
              </w:rPr>
            </w:pPr>
            <w:r w:rsidRPr="004554E4">
              <w:rPr>
                <w:rFonts w:cs="Arial"/>
              </w:rPr>
              <w:t>2,880.38</w:t>
            </w:r>
          </w:p>
        </w:tc>
        <w:tc>
          <w:tcPr>
            <w:tcW w:w="615" w:type="pct"/>
            <w:tcBorders>
              <w:top w:val="nil"/>
              <w:left w:val="nil"/>
              <w:bottom w:val="single" w:sz="4" w:space="0" w:color="auto"/>
              <w:right w:val="single" w:sz="4" w:space="0" w:color="auto"/>
            </w:tcBorders>
            <w:shd w:val="clear" w:color="auto" w:fill="auto"/>
            <w:vAlign w:val="center"/>
          </w:tcPr>
          <w:p w14:paraId="44E265D4" w14:textId="77777777" w:rsidR="004554E4" w:rsidRPr="004554E4" w:rsidRDefault="004554E4" w:rsidP="009222CB">
            <w:pPr>
              <w:pStyle w:val="Tabletext1"/>
              <w:rPr>
                <w:rFonts w:cs="Arial"/>
              </w:rPr>
            </w:pPr>
            <w:r w:rsidRPr="004554E4">
              <w:rPr>
                <w:rFonts w:cs="Arial"/>
              </w:rPr>
              <w:t>0.00</w:t>
            </w:r>
          </w:p>
        </w:tc>
        <w:tc>
          <w:tcPr>
            <w:tcW w:w="640" w:type="pct"/>
            <w:tcBorders>
              <w:top w:val="nil"/>
              <w:left w:val="nil"/>
              <w:bottom w:val="single" w:sz="4" w:space="0" w:color="auto"/>
              <w:right w:val="single" w:sz="4" w:space="0" w:color="auto"/>
            </w:tcBorders>
            <w:shd w:val="clear" w:color="auto" w:fill="auto"/>
            <w:vAlign w:val="center"/>
          </w:tcPr>
          <w:p w14:paraId="3C6957F3" w14:textId="77777777" w:rsidR="004554E4" w:rsidRPr="004554E4" w:rsidRDefault="004554E4" w:rsidP="009222CB">
            <w:pPr>
              <w:pStyle w:val="Tabletext1"/>
              <w:rPr>
                <w:rFonts w:cs="Arial"/>
              </w:rPr>
            </w:pPr>
            <w:r w:rsidRPr="004554E4">
              <w:rPr>
                <w:rFonts w:cs="Arial"/>
              </w:rPr>
              <w:t>3,210.00</w:t>
            </w:r>
          </w:p>
        </w:tc>
      </w:tr>
      <w:tr w:rsidR="004554E4" w:rsidRPr="001C1D01" w14:paraId="56FAB752"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65929B03"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Adverse events</w:t>
            </w:r>
          </w:p>
        </w:tc>
        <w:tc>
          <w:tcPr>
            <w:tcW w:w="786" w:type="pct"/>
            <w:tcBorders>
              <w:top w:val="nil"/>
              <w:left w:val="nil"/>
              <w:bottom w:val="single" w:sz="4" w:space="0" w:color="auto"/>
              <w:right w:val="single" w:sz="4" w:space="0" w:color="auto"/>
            </w:tcBorders>
            <w:shd w:val="clear" w:color="auto" w:fill="auto"/>
            <w:vAlign w:val="center"/>
          </w:tcPr>
          <w:p w14:paraId="4451B8C7" w14:textId="77777777" w:rsidR="004554E4" w:rsidRPr="004554E4" w:rsidRDefault="004554E4" w:rsidP="009222CB">
            <w:pPr>
              <w:pStyle w:val="Tabletext1"/>
              <w:rPr>
                <w:rFonts w:cs="Arial"/>
              </w:rPr>
            </w:pPr>
            <w:r w:rsidRPr="004554E4">
              <w:rPr>
                <w:rFonts w:cs="Arial"/>
              </w:rPr>
              <w:t>0.00</w:t>
            </w:r>
          </w:p>
        </w:tc>
        <w:tc>
          <w:tcPr>
            <w:tcW w:w="708" w:type="pct"/>
            <w:tcBorders>
              <w:top w:val="nil"/>
              <w:left w:val="nil"/>
              <w:bottom w:val="single" w:sz="4" w:space="0" w:color="auto"/>
              <w:right w:val="single" w:sz="4" w:space="0" w:color="auto"/>
            </w:tcBorders>
            <w:shd w:val="clear" w:color="auto" w:fill="auto"/>
            <w:vAlign w:val="center"/>
          </w:tcPr>
          <w:p w14:paraId="0E2A7958" w14:textId="77777777" w:rsidR="004554E4" w:rsidRPr="004554E4" w:rsidRDefault="004554E4" w:rsidP="009222CB">
            <w:pPr>
              <w:pStyle w:val="Tabletext1"/>
              <w:rPr>
                <w:rFonts w:cs="Arial"/>
              </w:rPr>
            </w:pPr>
            <w:r w:rsidRPr="004554E4">
              <w:rPr>
                <w:rFonts w:cs="Arial"/>
              </w:rPr>
              <w:t>0.00</w:t>
            </w:r>
          </w:p>
        </w:tc>
        <w:tc>
          <w:tcPr>
            <w:tcW w:w="684" w:type="pct"/>
            <w:tcBorders>
              <w:top w:val="nil"/>
              <w:left w:val="nil"/>
              <w:bottom w:val="single" w:sz="4" w:space="0" w:color="auto"/>
              <w:right w:val="single" w:sz="4" w:space="0" w:color="auto"/>
            </w:tcBorders>
            <w:shd w:val="clear" w:color="auto" w:fill="auto"/>
            <w:vAlign w:val="center"/>
          </w:tcPr>
          <w:p w14:paraId="0E7DF0A6" w14:textId="77777777" w:rsidR="004554E4" w:rsidRPr="004554E4" w:rsidRDefault="004554E4" w:rsidP="009222CB">
            <w:pPr>
              <w:pStyle w:val="Tabletext1"/>
              <w:rPr>
                <w:rFonts w:cs="Arial"/>
              </w:rPr>
            </w:pPr>
            <w:r w:rsidRPr="004554E4">
              <w:rPr>
                <w:rFonts w:cs="Arial"/>
              </w:rPr>
              <w:t>0.00</w:t>
            </w:r>
          </w:p>
        </w:tc>
        <w:tc>
          <w:tcPr>
            <w:tcW w:w="615" w:type="pct"/>
            <w:tcBorders>
              <w:top w:val="nil"/>
              <w:left w:val="nil"/>
              <w:bottom w:val="single" w:sz="4" w:space="0" w:color="auto"/>
              <w:right w:val="single" w:sz="4" w:space="0" w:color="auto"/>
            </w:tcBorders>
            <w:shd w:val="clear" w:color="auto" w:fill="auto"/>
            <w:vAlign w:val="center"/>
          </w:tcPr>
          <w:p w14:paraId="1085D551" w14:textId="77777777" w:rsidR="004554E4" w:rsidRPr="004554E4" w:rsidRDefault="004554E4" w:rsidP="009222CB">
            <w:pPr>
              <w:pStyle w:val="Tabletext1"/>
              <w:rPr>
                <w:rFonts w:cs="Arial"/>
              </w:rPr>
            </w:pPr>
            <w:r w:rsidRPr="004554E4">
              <w:rPr>
                <w:rFonts w:cs="Arial"/>
              </w:rPr>
              <w:t>0.00</w:t>
            </w:r>
          </w:p>
        </w:tc>
        <w:tc>
          <w:tcPr>
            <w:tcW w:w="640" w:type="pct"/>
            <w:tcBorders>
              <w:top w:val="nil"/>
              <w:left w:val="nil"/>
              <w:bottom w:val="single" w:sz="4" w:space="0" w:color="auto"/>
              <w:right w:val="single" w:sz="4" w:space="0" w:color="auto"/>
            </w:tcBorders>
            <w:shd w:val="clear" w:color="auto" w:fill="auto"/>
            <w:vAlign w:val="center"/>
          </w:tcPr>
          <w:p w14:paraId="79554310" w14:textId="77777777" w:rsidR="004554E4" w:rsidRPr="004554E4" w:rsidRDefault="004554E4" w:rsidP="009222CB">
            <w:pPr>
              <w:pStyle w:val="Tabletext1"/>
              <w:rPr>
                <w:rFonts w:cs="Arial"/>
              </w:rPr>
            </w:pPr>
            <w:r w:rsidRPr="004554E4">
              <w:rPr>
                <w:rFonts w:cs="Arial"/>
              </w:rPr>
              <w:t>0.00</w:t>
            </w:r>
          </w:p>
        </w:tc>
      </w:tr>
      <w:tr w:rsidR="004554E4" w:rsidRPr="001C1D01" w14:paraId="42850379" w14:textId="77777777" w:rsidTr="006A4E2A">
        <w:trPr>
          <w:trHeight w:val="255"/>
        </w:trPr>
        <w:tc>
          <w:tcPr>
            <w:tcW w:w="1567" w:type="pct"/>
            <w:tcBorders>
              <w:top w:val="nil"/>
              <w:left w:val="single" w:sz="4" w:space="0" w:color="auto"/>
              <w:bottom w:val="single" w:sz="4" w:space="0" w:color="auto"/>
              <w:right w:val="single" w:sz="4" w:space="0" w:color="auto"/>
            </w:tcBorders>
            <w:shd w:val="clear" w:color="auto" w:fill="auto"/>
            <w:hideMark/>
          </w:tcPr>
          <w:p w14:paraId="6B579E07" w14:textId="77777777" w:rsidR="004554E4" w:rsidRPr="001C1D01" w:rsidRDefault="004554E4" w:rsidP="009222CB">
            <w:pPr>
              <w:pStyle w:val="Tabletext1"/>
              <w:rPr>
                <w:rFonts w:eastAsia="Batang" w:cs="Arial"/>
                <w:lang w:val="en-GB" w:eastAsia="ja-JP"/>
              </w:rPr>
            </w:pPr>
            <w:r w:rsidRPr="001C1D01">
              <w:rPr>
                <w:rFonts w:eastAsia="Batang" w:cs="Arial"/>
                <w:lang w:val="en-GB" w:eastAsia="ja-JP"/>
              </w:rPr>
              <w:t>Total</w:t>
            </w:r>
          </w:p>
        </w:tc>
        <w:tc>
          <w:tcPr>
            <w:tcW w:w="786" w:type="pct"/>
            <w:tcBorders>
              <w:top w:val="nil"/>
              <w:left w:val="nil"/>
              <w:bottom w:val="single" w:sz="4" w:space="0" w:color="auto"/>
              <w:right w:val="single" w:sz="4" w:space="0" w:color="auto"/>
            </w:tcBorders>
            <w:shd w:val="clear" w:color="auto" w:fill="auto"/>
            <w:vAlign w:val="center"/>
          </w:tcPr>
          <w:p w14:paraId="1B565933" w14:textId="77777777" w:rsidR="004554E4" w:rsidRPr="004554E4" w:rsidRDefault="004554E4" w:rsidP="009222CB">
            <w:pPr>
              <w:pStyle w:val="Tabletext1"/>
              <w:rPr>
                <w:rFonts w:cs="Arial"/>
              </w:rPr>
            </w:pPr>
            <w:r w:rsidRPr="004554E4">
              <w:rPr>
                <w:rFonts w:cs="Arial"/>
              </w:rPr>
              <w:t>8,143.83</w:t>
            </w:r>
          </w:p>
        </w:tc>
        <w:tc>
          <w:tcPr>
            <w:tcW w:w="708" w:type="pct"/>
            <w:tcBorders>
              <w:top w:val="nil"/>
              <w:left w:val="nil"/>
              <w:bottom w:val="single" w:sz="4" w:space="0" w:color="auto"/>
              <w:right w:val="single" w:sz="4" w:space="0" w:color="auto"/>
            </w:tcBorders>
            <w:shd w:val="clear" w:color="auto" w:fill="auto"/>
            <w:vAlign w:val="center"/>
          </w:tcPr>
          <w:p w14:paraId="5AA8A74F" w14:textId="77777777" w:rsidR="004554E4" w:rsidRPr="004554E4" w:rsidRDefault="004554E4" w:rsidP="009222CB">
            <w:pPr>
              <w:pStyle w:val="Tabletext1"/>
              <w:rPr>
                <w:rFonts w:cs="Arial"/>
              </w:rPr>
            </w:pPr>
            <w:r w:rsidRPr="004554E4">
              <w:rPr>
                <w:rFonts w:cs="Arial"/>
              </w:rPr>
              <w:t>5,735.07</w:t>
            </w:r>
          </w:p>
        </w:tc>
        <w:tc>
          <w:tcPr>
            <w:tcW w:w="684" w:type="pct"/>
            <w:tcBorders>
              <w:top w:val="nil"/>
              <w:left w:val="nil"/>
              <w:bottom w:val="single" w:sz="4" w:space="0" w:color="auto"/>
              <w:right w:val="single" w:sz="4" w:space="0" w:color="auto"/>
            </w:tcBorders>
            <w:shd w:val="clear" w:color="auto" w:fill="auto"/>
            <w:vAlign w:val="center"/>
          </w:tcPr>
          <w:p w14:paraId="13275ADE" w14:textId="77777777" w:rsidR="004554E4" w:rsidRPr="004554E4" w:rsidRDefault="004554E4" w:rsidP="009222CB">
            <w:pPr>
              <w:pStyle w:val="Tabletext1"/>
              <w:rPr>
                <w:rFonts w:cs="Arial"/>
              </w:rPr>
            </w:pPr>
            <w:r w:rsidRPr="004554E4">
              <w:rPr>
                <w:rFonts w:cs="Arial"/>
              </w:rPr>
              <w:t>2,408.76</w:t>
            </w:r>
          </w:p>
        </w:tc>
        <w:tc>
          <w:tcPr>
            <w:tcW w:w="615" w:type="pct"/>
            <w:tcBorders>
              <w:top w:val="nil"/>
              <w:left w:val="nil"/>
              <w:bottom w:val="single" w:sz="4" w:space="0" w:color="auto"/>
              <w:right w:val="single" w:sz="4" w:space="0" w:color="auto"/>
            </w:tcBorders>
            <w:shd w:val="clear" w:color="auto" w:fill="auto"/>
            <w:vAlign w:val="center"/>
          </w:tcPr>
          <w:p w14:paraId="67D5AFF7" w14:textId="77777777" w:rsidR="004554E4" w:rsidRPr="004554E4" w:rsidRDefault="004554E4" w:rsidP="009222CB">
            <w:pPr>
              <w:pStyle w:val="Tabletext1"/>
              <w:rPr>
                <w:rFonts w:cs="Arial"/>
              </w:rPr>
            </w:pPr>
            <w:r w:rsidRPr="004554E4">
              <w:rPr>
                <w:rFonts w:cs="Arial"/>
              </w:rPr>
              <w:t>19,472.05</w:t>
            </w:r>
          </w:p>
        </w:tc>
        <w:tc>
          <w:tcPr>
            <w:tcW w:w="640" w:type="pct"/>
            <w:tcBorders>
              <w:top w:val="nil"/>
              <w:left w:val="nil"/>
              <w:bottom w:val="single" w:sz="4" w:space="0" w:color="auto"/>
              <w:right w:val="single" w:sz="4" w:space="0" w:color="auto"/>
            </w:tcBorders>
            <w:shd w:val="clear" w:color="auto" w:fill="auto"/>
            <w:vAlign w:val="center"/>
          </w:tcPr>
          <w:p w14:paraId="0BCC9537" w14:textId="77777777" w:rsidR="004554E4" w:rsidRPr="004554E4" w:rsidRDefault="004554E4" w:rsidP="009222CB">
            <w:pPr>
              <w:pStyle w:val="Tabletext1"/>
              <w:rPr>
                <w:rFonts w:cs="Arial"/>
              </w:rPr>
            </w:pPr>
            <w:r w:rsidRPr="004554E4">
              <w:rPr>
                <w:rFonts w:cs="Arial"/>
              </w:rPr>
              <w:t>-11,328.22</w:t>
            </w:r>
          </w:p>
        </w:tc>
      </w:tr>
    </w:tbl>
    <w:p w14:paraId="03E2FE0B" w14:textId="77777777" w:rsidR="00477A44" w:rsidRDefault="005661C3" w:rsidP="00B05913">
      <w:pPr>
        <w:pStyle w:val="Tablenotes0"/>
      </w:pPr>
      <w:r w:rsidRPr="00B05913">
        <w:t xml:space="preserve">&lt; </w:t>
      </w:r>
      <w:r w:rsidR="00B82F9A" w:rsidRPr="00B05913">
        <w:t>MTA</w:t>
      </w:r>
      <w:r w:rsidR="008E5DEC" w:rsidRPr="00B05913">
        <w:t xml:space="preserve"> </w:t>
      </w:r>
      <w:r w:rsidR="00B82F9A" w:rsidRPr="00B05913">
        <w:t>= microwave tissue ablation; SBRT= stereotactic body radiotherapy</w:t>
      </w:r>
      <w:r w:rsidRPr="00B05913">
        <w:t xml:space="preserve"> &gt;</w:t>
      </w:r>
    </w:p>
    <w:p w14:paraId="766B0141" w14:textId="7E31CBE5" w:rsidR="00E4661D" w:rsidRPr="00B05913" w:rsidRDefault="00E4661D" w:rsidP="00B05913">
      <w:pPr>
        <w:pStyle w:val="Tablenotes0"/>
      </w:pPr>
      <w:r w:rsidRPr="00E4661D">
        <w:rPr>
          <w:vertAlign w:val="superscript"/>
        </w:rPr>
        <w:t>1</w:t>
      </w:r>
      <w:r w:rsidRPr="00E4661D">
        <w:t xml:space="preserve"> </w:t>
      </w:r>
      <w:r>
        <w:t>Total average cost including MBS fee and gap. MBS reimbursement implications are outlined in Section E.</w:t>
      </w:r>
    </w:p>
    <w:p w14:paraId="3638B19B" w14:textId="2F117311" w:rsidR="005C3E17" w:rsidRPr="00E56FF7" w:rsidRDefault="00477A44" w:rsidP="0070405E">
      <w:pPr>
        <w:rPr>
          <w:rFonts w:cs="Times New Roman"/>
        </w:rPr>
      </w:pPr>
      <w:r w:rsidRPr="00E56FF7">
        <w:t xml:space="preserve">A similar result was observed for the MTA and </w:t>
      </w:r>
      <w:r w:rsidR="00760AC9">
        <w:t>SBRT</w:t>
      </w:r>
      <w:r w:rsidRPr="00E56FF7">
        <w:t xml:space="preserve"> comparison for 3</w:t>
      </w:r>
      <w:r w:rsidR="00D35E9C">
        <w:t>–</w:t>
      </w:r>
      <w:r w:rsidRPr="00E56FF7">
        <w:t xml:space="preserve">5 lesions. Surgery </w:t>
      </w:r>
      <w:r w:rsidR="009616D3">
        <w:t>is</w:t>
      </w:r>
      <w:r w:rsidR="009616D3" w:rsidRPr="00E56FF7">
        <w:t xml:space="preserve"> </w:t>
      </w:r>
      <w:r w:rsidRPr="00E56FF7">
        <w:t xml:space="preserve">costlier when compared to MTA across both lesion groupings. Sensitivity analysis was undertaken for key parameters used in the economic evaluation for the MTA and </w:t>
      </w:r>
      <w:r w:rsidR="00760AC9">
        <w:t>SBRT</w:t>
      </w:r>
      <w:r w:rsidRPr="00E56FF7">
        <w:t xml:space="preserve"> comparison. </w:t>
      </w:r>
      <w:r w:rsidR="009616D3">
        <w:t>U</w:t>
      </w:r>
      <w:r w:rsidRPr="00E56FF7">
        <w:t>nsurprising</w:t>
      </w:r>
      <w:r w:rsidR="009616D3">
        <w:t>ly,</w:t>
      </w:r>
      <w:r w:rsidRPr="00E56FF7">
        <w:t xml:space="preserve"> the model was shown to be most sensitive to hospital costs, inclusion of adverse events for MTA and the co</w:t>
      </w:r>
      <w:r w:rsidR="00A04CC7">
        <w:t>st of the probe. Even with a 10 per cent</w:t>
      </w:r>
      <w:r w:rsidRPr="00E56FF7">
        <w:t xml:space="preserve"> variation in many of these items MTA is still costlier when compared to </w:t>
      </w:r>
      <w:r w:rsidR="00760AC9">
        <w:t>SBRT</w:t>
      </w:r>
      <w:r w:rsidRPr="00E56FF7">
        <w:t>. The complete</w:t>
      </w:r>
      <w:r w:rsidRPr="00477A44">
        <w:rPr>
          <w:rFonts w:cs="Times New Roman"/>
        </w:rPr>
        <w:t xml:space="preserve"> removal of the hospital overnight stay still results in MTA being more expensive, albeit at lesser margin. </w:t>
      </w:r>
      <w:r w:rsidRPr="00477A44">
        <w:rPr>
          <w:rFonts w:cs="Times New Roman"/>
          <w:szCs w:val="20"/>
        </w:rPr>
        <w:t xml:space="preserve">MTA was </w:t>
      </w:r>
      <w:r w:rsidR="009616D3">
        <w:rPr>
          <w:rFonts w:cs="Times New Roman"/>
          <w:szCs w:val="20"/>
        </w:rPr>
        <w:t xml:space="preserve">found to be </w:t>
      </w:r>
      <w:r w:rsidRPr="00477A44">
        <w:rPr>
          <w:rFonts w:cs="Times New Roman"/>
          <w:szCs w:val="20"/>
        </w:rPr>
        <w:t>less expensive compared to surgery across the range of variation in all key parameters</w:t>
      </w:r>
      <w:bookmarkEnd w:id="100"/>
      <w:r w:rsidR="00486748">
        <w:rPr>
          <w:rFonts w:cs="Times New Roman"/>
          <w:szCs w:val="20"/>
        </w:rPr>
        <w:t>.</w:t>
      </w:r>
    </w:p>
    <w:p w14:paraId="38025755" w14:textId="77777777" w:rsidR="005278E7" w:rsidRPr="00183E4D" w:rsidRDefault="000B7A2F" w:rsidP="003F6C66">
      <w:pPr>
        <w:pStyle w:val="Heading3"/>
      </w:pPr>
      <w:bookmarkStart w:id="103" w:name="_Toc259437725"/>
      <w:bookmarkStart w:id="104" w:name="_Toc395200753"/>
      <w:bookmarkStart w:id="105" w:name="_Toc460396012"/>
      <w:bookmarkStart w:id="106" w:name="_Toc379118060"/>
      <w:bookmarkStart w:id="107" w:name="_Toc379118252"/>
      <w:r w:rsidRPr="00183E4D">
        <w:t xml:space="preserve">Estimated </w:t>
      </w:r>
      <w:r w:rsidR="00B304CF" w:rsidRPr="00B304CF">
        <w:t>extent of use and financial im</w:t>
      </w:r>
      <w:bookmarkEnd w:id="103"/>
      <w:r w:rsidR="00B304CF" w:rsidRPr="00B304CF">
        <w:t>plications</w:t>
      </w:r>
      <w:bookmarkEnd w:id="104"/>
      <w:bookmarkEnd w:id="105"/>
    </w:p>
    <w:p w14:paraId="4CDD316B" w14:textId="68859E59" w:rsidR="00E56FF7" w:rsidRDefault="00753CFF" w:rsidP="00E56FF7">
      <w:r>
        <w:t>Within Australia i</w:t>
      </w:r>
      <w:r w:rsidR="00E56FF7">
        <w:t xml:space="preserve">t is expected that </w:t>
      </w:r>
      <w:r w:rsidR="00D34C62">
        <w:t xml:space="preserve">3,215 patients in year </w:t>
      </w:r>
      <w:r w:rsidR="00C51987">
        <w:t>one</w:t>
      </w:r>
      <w:r w:rsidR="00D34C62">
        <w:t xml:space="preserve"> </w:t>
      </w:r>
      <w:r w:rsidR="00E56FF7">
        <w:t xml:space="preserve">will </w:t>
      </w:r>
      <w:r w:rsidR="004554E4">
        <w:t>have early stage NSCLC and 1,833</w:t>
      </w:r>
      <w:r w:rsidR="00E56FF7">
        <w:t xml:space="preserve"> of them will be ineligible</w:t>
      </w:r>
      <w:r w:rsidR="004554E4">
        <w:t xml:space="preserve"> for, or not elect, surgery, increasing to 2,031</w:t>
      </w:r>
      <w:r w:rsidR="00E56FF7">
        <w:t xml:space="preserve"> patients in year five. Additionally, a smaller number of patients with pulmonary metastases, in whom the primary tumour is under control, will be eligible for MTA</w:t>
      </w:r>
      <w:r>
        <w:t xml:space="preserve"> under the proposed MBS items</w:t>
      </w:r>
      <w:r w:rsidR="00E56FF7">
        <w:t>. This is estimated to be equivalent to 10 per cent of the early stage eligible population. An uptake rate of 10% for MTA among these patients has been assumed for the first 5 years to account for developing treatment cap</w:t>
      </w:r>
      <w:r w:rsidR="00035B47">
        <w:t>acity and educating radiologists</w:t>
      </w:r>
      <w:r w:rsidR="004554E4" w:rsidRPr="007C6179">
        <w:t>. A</w:t>
      </w:r>
      <w:r w:rsidR="004554E4">
        <w:t xml:space="preserve"> total of 202</w:t>
      </w:r>
      <w:r w:rsidR="00E56FF7">
        <w:t xml:space="preserve"> MTA procedures </w:t>
      </w:r>
      <w:r w:rsidR="00CA6DFD">
        <w:t>are</w:t>
      </w:r>
      <w:r w:rsidR="00E56FF7">
        <w:t xml:space="preserve"> estimated in Year 1 increasing to 1</w:t>
      </w:r>
      <w:r w:rsidR="009616D3">
        <w:t>,</w:t>
      </w:r>
      <w:r w:rsidR="004554E4">
        <w:t>117</w:t>
      </w:r>
      <w:r w:rsidR="00E56FF7">
        <w:t xml:space="preserve"> in Year 5. </w:t>
      </w:r>
    </w:p>
    <w:p w14:paraId="5CBDB208" w14:textId="5B5255E4" w:rsidR="00B17A1D" w:rsidRDefault="00E56FF7" w:rsidP="00E56FF7">
      <w:r>
        <w:t>The number of MTA procedures is disaggregated by lesion groupings. Discussions with clinical experts indicated most ablation would involve less than 3 lesions.</w:t>
      </w:r>
      <w:r w:rsidR="004554E4">
        <w:t xml:space="preserve"> Correspondingly, 90% of the 202</w:t>
      </w:r>
      <w:r>
        <w:t xml:space="preserve"> MTA procedures forecast for Year 1 will involve the proposed fee associated with less than three </w:t>
      </w:r>
      <w:r w:rsidR="004554E4">
        <w:t xml:space="preserve">lesions. While 181 </w:t>
      </w:r>
      <w:r>
        <w:t xml:space="preserve">MTA procedures are estimated for &lt;3 lesions, around </w:t>
      </w:r>
      <w:r w:rsidR="004554E4">
        <w:t xml:space="preserve">10% of all MTA procedures, </w:t>
      </w:r>
      <w:r w:rsidR="004554E4">
        <w:lastRenderedPageBreak/>
        <w:t>or 20</w:t>
      </w:r>
      <w:r>
        <w:t>, are estimated for 3</w:t>
      </w:r>
      <w:r w:rsidR="00D35E9C">
        <w:t>–</w:t>
      </w:r>
      <w:r>
        <w:t>5 lesions. No MTA procedures are estimated for patients with more than 5 lesions. The cost to the MBS from MTA</w:t>
      </w:r>
      <w:r w:rsidR="004554E4">
        <w:t xml:space="preserve"> uptake is estimated to be $0.61</w:t>
      </w:r>
      <w:r>
        <w:t xml:space="preserve"> million </w:t>
      </w:r>
      <w:r w:rsidR="004554E4">
        <w:t>in year one, increasing to $3.41</w:t>
      </w:r>
      <w:r>
        <w:t xml:space="preserve"> million in year 5 based on these projections. MTA would largely replace </w:t>
      </w:r>
      <w:r w:rsidR="00760AC9">
        <w:t>SBRT</w:t>
      </w:r>
      <w:r>
        <w:t>, which entails a higher MBS rebate.</w:t>
      </w:r>
      <w:r w:rsidR="00486748">
        <w:t xml:space="preserve"> Consequently, there is an ann</w:t>
      </w:r>
      <w:r w:rsidR="004554E4">
        <w:t>ual net MBS cost saving of $0.30</w:t>
      </w:r>
      <w:r w:rsidR="00486748">
        <w:t xml:space="preserve"> millio</w:t>
      </w:r>
      <w:r w:rsidR="00035B47">
        <w:t>n in Year 1 to a saving of $1.64</w:t>
      </w:r>
      <w:r w:rsidR="00486748">
        <w:t xml:space="preserve"> million in Year 5.</w:t>
      </w:r>
      <w:r>
        <w:t xml:space="preserve"> These budget impacts are outlined in </w:t>
      </w:r>
      <w:r>
        <w:fldChar w:fldCharType="begin"/>
      </w:r>
      <w:r>
        <w:instrText xml:space="preserve"> REF _Ref457410671 \h </w:instrText>
      </w:r>
      <w:r>
        <w:fldChar w:fldCharType="separate"/>
      </w:r>
      <w:r w:rsidR="00D170A5">
        <w:t xml:space="preserve">Table </w:t>
      </w:r>
      <w:r w:rsidR="00D170A5">
        <w:rPr>
          <w:noProof/>
        </w:rPr>
        <w:t>9</w:t>
      </w:r>
      <w:r>
        <w:fldChar w:fldCharType="end"/>
      </w:r>
      <w:r>
        <w:t>.</w:t>
      </w:r>
    </w:p>
    <w:p w14:paraId="7463C6C7" w14:textId="77777777" w:rsidR="00E56FF7" w:rsidRDefault="00E56FF7" w:rsidP="00E56FF7">
      <w:pPr>
        <w:pStyle w:val="Caption"/>
        <w:keepNext/>
      </w:pPr>
      <w:bookmarkStart w:id="108" w:name="_Ref457410671"/>
      <w:bookmarkStart w:id="109" w:name="_Toc460514667"/>
      <w:r>
        <w:t xml:space="preserve">Table </w:t>
      </w:r>
      <w:fldSimple w:instr=" SEQ Table \* ARABIC ">
        <w:r w:rsidR="00D170A5">
          <w:rPr>
            <w:noProof/>
          </w:rPr>
          <w:t>9</w:t>
        </w:r>
      </w:fldSimple>
      <w:bookmarkEnd w:id="108"/>
      <w:r>
        <w:tab/>
      </w:r>
      <w:r w:rsidR="009E06DB">
        <w:tab/>
      </w:r>
      <w:r w:rsidRPr="00E56FF7">
        <w:t>Total estimated additional costs to MBS of changes in services ($)</w:t>
      </w:r>
      <w:bookmarkEnd w:id="109"/>
    </w:p>
    <w:tbl>
      <w:tblPr>
        <w:tblW w:w="5000" w:type="pct"/>
        <w:tblLook w:val="04A0" w:firstRow="1" w:lastRow="0" w:firstColumn="1" w:lastColumn="0" w:noHBand="0" w:noVBand="1"/>
        <w:tblCaption w:val="Table 14"/>
        <w:tblDescription w:val="Total estimated costs"/>
      </w:tblPr>
      <w:tblGrid>
        <w:gridCol w:w="3228"/>
        <w:gridCol w:w="1202"/>
        <w:gridCol w:w="1203"/>
        <w:gridCol w:w="1203"/>
        <w:gridCol w:w="1203"/>
        <w:gridCol w:w="1203"/>
      </w:tblGrid>
      <w:tr w:rsidR="00E56FF7" w:rsidRPr="001C1D01" w14:paraId="611DA99E" w14:textId="77777777" w:rsidTr="00E30CC7">
        <w:trPr>
          <w:trHeight w:val="285"/>
          <w:tblHeader/>
        </w:trPr>
        <w:tc>
          <w:tcPr>
            <w:tcW w:w="1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CDB362" w14:textId="77777777" w:rsidR="00E56FF7" w:rsidRPr="001C1D01" w:rsidRDefault="00E56FF7" w:rsidP="009E06DB">
            <w:pPr>
              <w:pStyle w:val="Tabletext1"/>
              <w:rPr>
                <w:rFonts w:eastAsia="Batang"/>
                <w:lang w:val="en-GB" w:eastAsia="ja-JP"/>
              </w:rPr>
            </w:pPr>
            <w:r w:rsidRPr="001C1D01">
              <w:rPr>
                <w:rFonts w:eastAsia="Batang"/>
                <w:lang w:val="en-GB" w:eastAsia="ja-JP"/>
              </w:rPr>
              <w:t> </w:t>
            </w:r>
          </w:p>
        </w:tc>
        <w:tc>
          <w:tcPr>
            <w:tcW w:w="6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679071" w14:textId="77777777" w:rsidR="00E56FF7" w:rsidRPr="00EF628D" w:rsidRDefault="00E56FF7" w:rsidP="009E06DB">
            <w:pPr>
              <w:pStyle w:val="Tabletext1"/>
              <w:rPr>
                <w:rFonts w:eastAsia="Batang"/>
                <w:b/>
                <w:lang w:val="en-GB" w:eastAsia="ja-JP"/>
              </w:rPr>
            </w:pPr>
            <w:r w:rsidRPr="00EF628D">
              <w:rPr>
                <w:rFonts w:eastAsia="Batang"/>
                <w:b/>
                <w:lang w:val="en-GB" w:eastAsia="ja-JP"/>
              </w:rPr>
              <w:t>Year 1</w:t>
            </w:r>
          </w:p>
        </w:tc>
        <w:tc>
          <w:tcPr>
            <w:tcW w:w="6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1D10B9" w14:textId="77777777" w:rsidR="00E56FF7" w:rsidRPr="00EF628D" w:rsidRDefault="00E56FF7" w:rsidP="009E06DB">
            <w:pPr>
              <w:pStyle w:val="Tabletext1"/>
              <w:rPr>
                <w:rFonts w:eastAsia="Batang"/>
                <w:b/>
                <w:lang w:val="en-GB" w:eastAsia="ja-JP"/>
              </w:rPr>
            </w:pPr>
            <w:r w:rsidRPr="00EF628D">
              <w:rPr>
                <w:rFonts w:eastAsia="Batang"/>
                <w:b/>
                <w:lang w:val="en-GB" w:eastAsia="ja-JP"/>
              </w:rPr>
              <w:t>Year 2</w:t>
            </w:r>
          </w:p>
        </w:tc>
        <w:tc>
          <w:tcPr>
            <w:tcW w:w="6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176298" w14:textId="77777777" w:rsidR="00E56FF7" w:rsidRPr="00EF628D" w:rsidRDefault="00E56FF7" w:rsidP="009E06DB">
            <w:pPr>
              <w:pStyle w:val="Tabletext1"/>
              <w:rPr>
                <w:rFonts w:eastAsia="Batang"/>
                <w:b/>
                <w:lang w:val="en-GB" w:eastAsia="ja-JP"/>
              </w:rPr>
            </w:pPr>
            <w:r w:rsidRPr="00EF628D">
              <w:rPr>
                <w:rFonts w:eastAsia="Batang"/>
                <w:b/>
                <w:lang w:val="en-GB" w:eastAsia="ja-JP"/>
              </w:rPr>
              <w:t>Year 3</w:t>
            </w:r>
          </w:p>
        </w:tc>
        <w:tc>
          <w:tcPr>
            <w:tcW w:w="6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2E55CF" w14:textId="77777777" w:rsidR="00E56FF7" w:rsidRPr="00EF628D" w:rsidRDefault="00E56FF7" w:rsidP="009E06DB">
            <w:pPr>
              <w:pStyle w:val="Tabletext1"/>
              <w:rPr>
                <w:rFonts w:eastAsia="Batang"/>
                <w:b/>
                <w:lang w:val="en-GB" w:eastAsia="ja-JP"/>
              </w:rPr>
            </w:pPr>
            <w:r w:rsidRPr="00EF628D">
              <w:rPr>
                <w:rFonts w:eastAsia="Batang"/>
                <w:b/>
                <w:lang w:val="en-GB" w:eastAsia="ja-JP"/>
              </w:rPr>
              <w:t>Year 4</w:t>
            </w:r>
          </w:p>
        </w:tc>
        <w:tc>
          <w:tcPr>
            <w:tcW w:w="6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9EB1F4" w14:textId="77777777" w:rsidR="00E56FF7" w:rsidRPr="00EF628D" w:rsidRDefault="00E56FF7" w:rsidP="009E06DB">
            <w:pPr>
              <w:pStyle w:val="Tabletext1"/>
              <w:rPr>
                <w:rFonts w:eastAsia="Batang"/>
                <w:b/>
                <w:lang w:val="en-GB" w:eastAsia="ja-JP"/>
              </w:rPr>
            </w:pPr>
            <w:r w:rsidRPr="00EF628D">
              <w:rPr>
                <w:rFonts w:eastAsia="Batang"/>
                <w:b/>
                <w:lang w:val="en-GB" w:eastAsia="ja-JP"/>
              </w:rPr>
              <w:t>Year 5</w:t>
            </w:r>
          </w:p>
        </w:tc>
      </w:tr>
      <w:tr w:rsidR="00E56FF7" w:rsidRPr="001C1D01" w14:paraId="2F2B38B9" w14:textId="77777777" w:rsidTr="00E30CC7">
        <w:trPr>
          <w:trHeight w:val="255"/>
        </w:trPr>
        <w:tc>
          <w:tcPr>
            <w:tcW w:w="1746" w:type="pct"/>
            <w:tcBorders>
              <w:top w:val="nil"/>
              <w:left w:val="single" w:sz="4" w:space="0" w:color="auto"/>
              <w:bottom w:val="single" w:sz="4" w:space="0" w:color="auto"/>
              <w:right w:val="single" w:sz="4" w:space="0" w:color="auto"/>
            </w:tcBorders>
            <w:shd w:val="clear" w:color="000000" w:fill="D9D9D9"/>
            <w:vAlign w:val="center"/>
            <w:hideMark/>
          </w:tcPr>
          <w:p w14:paraId="4A00F348" w14:textId="77777777" w:rsidR="00E56FF7" w:rsidRPr="00EF628D" w:rsidRDefault="00E56FF7" w:rsidP="009E06DB">
            <w:pPr>
              <w:pStyle w:val="Tabletext1"/>
              <w:rPr>
                <w:rFonts w:eastAsia="Batang"/>
                <w:b/>
                <w:lang w:val="en-GB" w:eastAsia="ja-JP"/>
              </w:rPr>
            </w:pPr>
            <w:r w:rsidRPr="00EF628D">
              <w:rPr>
                <w:rFonts w:eastAsia="Batang"/>
                <w:b/>
                <w:lang w:val="en-GB" w:eastAsia="ja-JP"/>
              </w:rPr>
              <w:t>Uptake estimate</w:t>
            </w:r>
          </w:p>
        </w:tc>
        <w:tc>
          <w:tcPr>
            <w:tcW w:w="650" w:type="pct"/>
            <w:tcBorders>
              <w:top w:val="nil"/>
              <w:left w:val="nil"/>
              <w:bottom w:val="single" w:sz="4" w:space="0" w:color="auto"/>
              <w:right w:val="single" w:sz="4" w:space="0" w:color="auto"/>
            </w:tcBorders>
            <w:shd w:val="clear" w:color="000000" w:fill="D9D9D9"/>
            <w:vAlign w:val="center"/>
            <w:hideMark/>
          </w:tcPr>
          <w:p w14:paraId="2181E5AD" w14:textId="77777777" w:rsidR="00E56FF7" w:rsidRPr="001C1D01" w:rsidRDefault="00E56FF7" w:rsidP="009E06DB">
            <w:pPr>
              <w:pStyle w:val="Tabletext1"/>
              <w:rPr>
                <w:rFonts w:eastAsia="Batang"/>
                <w:lang w:val="en-GB" w:eastAsia="ja-JP"/>
              </w:rPr>
            </w:pPr>
            <w:r w:rsidRPr="001C1D01">
              <w:rPr>
                <w:rFonts w:eastAsia="Batang"/>
                <w:lang w:val="en-GB" w:eastAsia="ja-JP"/>
              </w:rPr>
              <w:t>10%</w:t>
            </w:r>
          </w:p>
        </w:tc>
        <w:tc>
          <w:tcPr>
            <w:tcW w:w="651" w:type="pct"/>
            <w:tcBorders>
              <w:top w:val="nil"/>
              <w:left w:val="nil"/>
              <w:bottom w:val="single" w:sz="4" w:space="0" w:color="auto"/>
              <w:right w:val="single" w:sz="4" w:space="0" w:color="auto"/>
            </w:tcBorders>
            <w:shd w:val="clear" w:color="000000" w:fill="D9D9D9"/>
            <w:vAlign w:val="center"/>
            <w:hideMark/>
          </w:tcPr>
          <w:p w14:paraId="0F54F37E" w14:textId="77777777" w:rsidR="00E56FF7" w:rsidRPr="00FC06D9" w:rsidRDefault="00E56FF7" w:rsidP="009E06DB">
            <w:pPr>
              <w:pStyle w:val="Tabletext1"/>
              <w:rPr>
                <w:rFonts w:eastAsia="Batang"/>
                <w:lang w:val="en-GB" w:eastAsia="ja-JP"/>
              </w:rPr>
            </w:pPr>
            <w:r w:rsidRPr="00FC06D9">
              <w:rPr>
                <w:rFonts w:eastAsia="Batang"/>
                <w:lang w:val="en-GB" w:eastAsia="ja-JP"/>
              </w:rPr>
              <w:t>20%</w:t>
            </w:r>
          </w:p>
        </w:tc>
        <w:tc>
          <w:tcPr>
            <w:tcW w:w="651" w:type="pct"/>
            <w:tcBorders>
              <w:top w:val="nil"/>
              <w:left w:val="nil"/>
              <w:bottom w:val="single" w:sz="4" w:space="0" w:color="auto"/>
              <w:right w:val="single" w:sz="4" w:space="0" w:color="auto"/>
            </w:tcBorders>
            <w:shd w:val="clear" w:color="000000" w:fill="D9D9D9"/>
            <w:vAlign w:val="center"/>
            <w:hideMark/>
          </w:tcPr>
          <w:p w14:paraId="490DF3DA" w14:textId="77777777" w:rsidR="00E56FF7" w:rsidRPr="00FC06D9" w:rsidRDefault="00E56FF7" w:rsidP="009E06DB">
            <w:pPr>
              <w:pStyle w:val="Tabletext1"/>
              <w:rPr>
                <w:rFonts w:eastAsia="Batang"/>
                <w:lang w:val="en-GB" w:eastAsia="ja-JP"/>
              </w:rPr>
            </w:pPr>
            <w:r w:rsidRPr="00FC06D9">
              <w:rPr>
                <w:rFonts w:eastAsia="Batang"/>
                <w:lang w:val="en-GB" w:eastAsia="ja-JP"/>
              </w:rPr>
              <w:t>30%</w:t>
            </w:r>
          </w:p>
        </w:tc>
        <w:tc>
          <w:tcPr>
            <w:tcW w:w="651" w:type="pct"/>
            <w:tcBorders>
              <w:top w:val="nil"/>
              <w:left w:val="nil"/>
              <w:bottom w:val="single" w:sz="4" w:space="0" w:color="auto"/>
              <w:right w:val="single" w:sz="4" w:space="0" w:color="auto"/>
            </w:tcBorders>
            <w:shd w:val="clear" w:color="000000" w:fill="D9D9D9"/>
            <w:vAlign w:val="center"/>
            <w:hideMark/>
          </w:tcPr>
          <w:p w14:paraId="3750CC2F" w14:textId="77777777" w:rsidR="00E56FF7" w:rsidRPr="001D54EF" w:rsidRDefault="00E56FF7" w:rsidP="009E06DB">
            <w:pPr>
              <w:pStyle w:val="Tabletext1"/>
              <w:rPr>
                <w:rFonts w:eastAsia="Batang"/>
                <w:lang w:val="en-GB" w:eastAsia="ja-JP"/>
              </w:rPr>
            </w:pPr>
            <w:r w:rsidRPr="001D54EF">
              <w:rPr>
                <w:rFonts w:eastAsia="Batang"/>
                <w:lang w:val="en-GB" w:eastAsia="ja-JP"/>
              </w:rPr>
              <w:t>40%</w:t>
            </w:r>
          </w:p>
        </w:tc>
        <w:tc>
          <w:tcPr>
            <w:tcW w:w="651" w:type="pct"/>
            <w:tcBorders>
              <w:top w:val="nil"/>
              <w:left w:val="nil"/>
              <w:bottom w:val="single" w:sz="4" w:space="0" w:color="auto"/>
              <w:right w:val="single" w:sz="4" w:space="0" w:color="auto"/>
            </w:tcBorders>
            <w:shd w:val="clear" w:color="000000" w:fill="D9D9D9"/>
            <w:vAlign w:val="center"/>
            <w:hideMark/>
          </w:tcPr>
          <w:p w14:paraId="31B606AF" w14:textId="77777777" w:rsidR="00E56FF7" w:rsidRPr="00351105" w:rsidRDefault="00E56FF7" w:rsidP="009E06DB">
            <w:pPr>
              <w:pStyle w:val="Tabletext1"/>
              <w:rPr>
                <w:rFonts w:eastAsia="Batang"/>
                <w:lang w:val="en-GB" w:eastAsia="ja-JP"/>
              </w:rPr>
            </w:pPr>
            <w:r w:rsidRPr="00351105">
              <w:rPr>
                <w:rFonts w:eastAsia="Batang"/>
                <w:lang w:val="en-GB" w:eastAsia="ja-JP"/>
              </w:rPr>
              <w:t>50%</w:t>
            </w:r>
          </w:p>
        </w:tc>
      </w:tr>
      <w:tr w:rsidR="004554E4" w:rsidRPr="001C1D01" w14:paraId="2BD84FEA"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282BE02F" w14:textId="77777777" w:rsidR="004554E4" w:rsidRPr="001C1D01" w:rsidRDefault="004554E4" w:rsidP="009E06DB">
            <w:pPr>
              <w:pStyle w:val="Tabletext1"/>
              <w:rPr>
                <w:rFonts w:eastAsia="Batang"/>
                <w:lang w:val="en-GB" w:eastAsia="ja-JP"/>
              </w:rPr>
            </w:pPr>
            <w:r w:rsidRPr="001C1D01">
              <w:rPr>
                <w:rFonts w:eastAsia="Batang"/>
                <w:lang w:val="en-GB" w:eastAsia="ja-JP"/>
              </w:rPr>
              <w:t>Anticipated total number of MTA procedures per year</w:t>
            </w:r>
          </w:p>
        </w:tc>
        <w:tc>
          <w:tcPr>
            <w:tcW w:w="650" w:type="pct"/>
            <w:tcBorders>
              <w:top w:val="nil"/>
              <w:left w:val="nil"/>
              <w:bottom w:val="single" w:sz="4" w:space="0" w:color="auto"/>
              <w:right w:val="single" w:sz="4" w:space="0" w:color="auto"/>
            </w:tcBorders>
            <w:shd w:val="clear" w:color="auto" w:fill="auto"/>
            <w:vAlign w:val="center"/>
            <w:hideMark/>
          </w:tcPr>
          <w:p w14:paraId="36442FC9" w14:textId="77777777" w:rsidR="004554E4" w:rsidRPr="004554E4" w:rsidRDefault="004554E4" w:rsidP="009E06DB">
            <w:pPr>
              <w:pStyle w:val="Tabletext1"/>
            </w:pPr>
            <w:r w:rsidRPr="004554E4">
              <w:t>202</w:t>
            </w:r>
          </w:p>
        </w:tc>
        <w:tc>
          <w:tcPr>
            <w:tcW w:w="651" w:type="pct"/>
            <w:tcBorders>
              <w:top w:val="nil"/>
              <w:left w:val="nil"/>
              <w:bottom w:val="single" w:sz="4" w:space="0" w:color="auto"/>
              <w:right w:val="single" w:sz="4" w:space="0" w:color="auto"/>
            </w:tcBorders>
            <w:shd w:val="clear" w:color="auto" w:fill="auto"/>
            <w:vAlign w:val="center"/>
            <w:hideMark/>
          </w:tcPr>
          <w:p w14:paraId="70E9FB26" w14:textId="77777777" w:rsidR="004554E4" w:rsidRPr="004554E4" w:rsidRDefault="004554E4" w:rsidP="009E06DB">
            <w:pPr>
              <w:pStyle w:val="Tabletext1"/>
            </w:pPr>
            <w:r w:rsidRPr="004554E4">
              <w:t>414</w:t>
            </w:r>
          </w:p>
        </w:tc>
        <w:tc>
          <w:tcPr>
            <w:tcW w:w="651" w:type="pct"/>
            <w:tcBorders>
              <w:top w:val="nil"/>
              <w:left w:val="nil"/>
              <w:bottom w:val="single" w:sz="4" w:space="0" w:color="auto"/>
              <w:right w:val="single" w:sz="4" w:space="0" w:color="auto"/>
            </w:tcBorders>
            <w:shd w:val="clear" w:color="auto" w:fill="auto"/>
            <w:vAlign w:val="center"/>
            <w:hideMark/>
          </w:tcPr>
          <w:p w14:paraId="5B54C56F" w14:textId="77777777" w:rsidR="004554E4" w:rsidRPr="004554E4" w:rsidRDefault="004554E4" w:rsidP="009E06DB">
            <w:pPr>
              <w:pStyle w:val="Tabletext1"/>
            </w:pPr>
            <w:r w:rsidRPr="004554E4">
              <w:t>636</w:t>
            </w:r>
          </w:p>
        </w:tc>
        <w:tc>
          <w:tcPr>
            <w:tcW w:w="651" w:type="pct"/>
            <w:tcBorders>
              <w:top w:val="nil"/>
              <w:left w:val="nil"/>
              <w:bottom w:val="single" w:sz="4" w:space="0" w:color="auto"/>
              <w:right w:val="single" w:sz="4" w:space="0" w:color="auto"/>
            </w:tcBorders>
            <w:shd w:val="clear" w:color="auto" w:fill="auto"/>
            <w:vAlign w:val="center"/>
            <w:hideMark/>
          </w:tcPr>
          <w:p w14:paraId="5E270B10" w14:textId="77777777" w:rsidR="004554E4" w:rsidRPr="004554E4" w:rsidRDefault="004554E4" w:rsidP="009E06DB">
            <w:pPr>
              <w:pStyle w:val="Tabletext1"/>
            </w:pPr>
            <w:r w:rsidRPr="004554E4">
              <w:t>871</w:t>
            </w:r>
          </w:p>
        </w:tc>
        <w:tc>
          <w:tcPr>
            <w:tcW w:w="651" w:type="pct"/>
            <w:tcBorders>
              <w:top w:val="nil"/>
              <w:left w:val="nil"/>
              <w:bottom w:val="single" w:sz="4" w:space="0" w:color="auto"/>
              <w:right w:val="single" w:sz="4" w:space="0" w:color="auto"/>
            </w:tcBorders>
            <w:shd w:val="clear" w:color="auto" w:fill="auto"/>
            <w:vAlign w:val="center"/>
            <w:hideMark/>
          </w:tcPr>
          <w:p w14:paraId="1AE0598E" w14:textId="77777777" w:rsidR="004554E4" w:rsidRPr="004554E4" w:rsidRDefault="004554E4" w:rsidP="009E06DB">
            <w:pPr>
              <w:pStyle w:val="Tabletext1"/>
            </w:pPr>
            <w:r w:rsidRPr="004554E4">
              <w:t>1,117</w:t>
            </w:r>
          </w:p>
        </w:tc>
      </w:tr>
      <w:tr w:rsidR="00E56FF7" w:rsidRPr="001C1D01" w14:paraId="354454E0" w14:textId="77777777" w:rsidTr="00E30CC7">
        <w:trPr>
          <w:trHeight w:val="255"/>
        </w:trPr>
        <w:tc>
          <w:tcPr>
            <w:tcW w:w="1746" w:type="pct"/>
            <w:tcBorders>
              <w:top w:val="nil"/>
              <w:left w:val="single" w:sz="4" w:space="0" w:color="auto"/>
              <w:bottom w:val="single" w:sz="4" w:space="0" w:color="auto"/>
              <w:right w:val="single" w:sz="4" w:space="0" w:color="auto"/>
            </w:tcBorders>
            <w:shd w:val="clear" w:color="000000" w:fill="D9D9D9"/>
            <w:vAlign w:val="center"/>
            <w:hideMark/>
          </w:tcPr>
          <w:p w14:paraId="247E87BF" w14:textId="77777777" w:rsidR="00E56FF7" w:rsidRPr="00EF628D" w:rsidRDefault="00E56FF7" w:rsidP="009E06DB">
            <w:pPr>
              <w:pStyle w:val="Tabletext1"/>
              <w:rPr>
                <w:rFonts w:eastAsia="Batang"/>
                <w:b/>
                <w:lang w:val="en-GB" w:eastAsia="ja-JP"/>
              </w:rPr>
            </w:pPr>
            <w:r w:rsidRPr="00EF628D">
              <w:rPr>
                <w:rFonts w:eastAsia="Batang"/>
                <w:b/>
                <w:lang w:val="en-GB" w:eastAsia="ja-JP"/>
              </w:rPr>
              <w:t>Procedures by Lesion Grouping</w:t>
            </w:r>
          </w:p>
        </w:tc>
        <w:tc>
          <w:tcPr>
            <w:tcW w:w="650" w:type="pct"/>
            <w:tcBorders>
              <w:top w:val="nil"/>
              <w:left w:val="nil"/>
              <w:bottom w:val="single" w:sz="4" w:space="0" w:color="auto"/>
              <w:right w:val="single" w:sz="4" w:space="0" w:color="auto"/>
            </w:tcBorders>
            <w:shd w:val="clear" w:color="000000" w:fill="D9D9D9"/>
            <w:vAlign w:val="center"/>
            <w:hideMark/>
          </w:tcPr>
          <w:p w14:paraId="252A65A8" w14:textId="77777777" w:rsidR="00E56FF7" w:rsidRPr="001C1D01" w:rsidRDefault="00E56FF7" w:rsidP="009E06DB">
            <w:pPr>
              <w:pStyle w:val="Tabletext1"/>
              <w:rPr>
                <w:rFonts w:eastAsia="Batang"/>
                <w:lang w:val="en-GB" w:eastAsia="ja-JP"/>
              </w:rPr>
            </w:pPr>
            <w:r w:rsidRPr="001C1D01">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668AAB81" w14:textId="77777777" w:rsidR="00E56FF7" w:rsidRPr="001C1D01" w:rsidRDefault="00E56FF7" w:rsidP="009E06DB">
            <w:pPr>
              <w:pStyle w:val="Tabletext1"/>
              <w:rPr>
                <w:rFonts w:eastAsia="Batang"/>
                <w:lang w:val="en-GB" w:eastAsia="ja-JP"/>
              </w:rPr>
            </w:pPr>
            <w:r w:rsidRPr="001C1D01">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70E26D05" w14:textId="77777777" w:rsidR="00E56FF7" w:rsidRPr="00FC06D9" w:rsidRDefault="00E56FF7" w:rsidP="009E06DB">
            <w:pPr>
              <w:pStyle w:val="Tabletext1"/>
              <w:rPr>
                <w:rFonts w:eastAsia="Batang"/>
                <w:lang w:val="en-GB" w:eastAsia="ja-JP"/>
              </w:rPr>
            </w:pPr>
            <w:r w:rsidRPr="00FC06D9">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397D4E01" w14:textId="77777777" w:rsidR="00E56FF7" w:rsidRPr="00FC06D9" w:rsidRDefault="00E56FF7" w:rsidP="009E06DB">
            <w:pPr>
              <w:pStyle w:val="Tabletext1"/>
              <w:rPr>
                <w:rFonts w:eastAsia="Batang"/>
                <w:lang w:val="en-GB" w:eastAsia="ja-JP"/>
              </w:rPr>
            </w:pPr>
            <w:r w:rsidRPr="00FC06D9">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17265981" w14:textId="77777777" w:rsidR="00E56FF7" w:rsidRPr="001D54EF" w:rsidRDefault="00E56FF7" w:rsidP="009E06DB">
            <w:pPr>
              <w:pStyle w:val="Tabletext1"/>
              <w:rPr>
                <w:rFonts w:eastAsia="Batang"/>
                <w:lang w:val="en-GB" w:eastAsia="ja-JP"/>
              </w:rPr>
            </w:pPr>
            <w:r w:rsidRPr="001D54EF">
              <w:rPr>
                <w:rFonts w:eastAsia="Batang"/>
                <w:lang w:val="en-GB" w:eastAsia="ja-JP"/>
              </w:rPr>
              <w:t> </w:t>
            </w:r>
          </w:p>
        </w:tc>
      </w:tr>
      <w:tr w:rsidR="004554E4" w:rsidRPr="001C1D01" w14:paraId="49EE5A3B"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1978D2E5" w14:textId="5C614C58" w:rsidR="004554E4" w:rsidRPr="001C1D01" w:rsidRDefault="006D0335" w:rsidP="009E06DB">
            <w:pPr>
              <w:pStyle w:val="Tabletext1"/>
              <w:rPr>
                <w:rFonts w:eastAsia="Batang"/>
                <w:lang w:val="en-GB" w:eastAsia="ja-JP"/>
              </w:rPr>
            </w:pPr>
            <w:r>
              <w:rPr>
                <w:rFonts w:eastAsia="Batang"/>
                <w:lang w:val="en-GB" w:eastAsia="ja-JP"/>
              </w:rPr>
              <w:t>1–3</w:t>
            </w:r>
            <w:r w:rsidR="004554E4" w:rsidRPr="001C1D01">
              <w:rPr>
                <w:rFonts w:eastAsia="Batang"/>
                <w:lang w:val="en-GB" w:eastAsia="ja-JP"/>
              </w:rPr>
              <w:t>total cost per patient (90%)</w:t>
            </w:r>
          </w:p>
        </w:tc>
        <w:tc>
          <w:tcPr>
            <w:tcW w:w="650" w:type="pct"/>
            <w:tcBorders>
              <w:top w:val="nil"/>
              <w:left w:val="nil"/>
              <w:bottom w:val="single" w:sz="4" w:space="0" w:color="auto"/>
              <w:right w:val="single" w:sz="4" w:space="0" w:color="auto"/>
            </w:tcBorders>
            <w:shd w:val="clear" w:color="auto" w:fill="auto"/>
            <w:vAlign w:val="center"/>
            <w:hideMark/>
          </w:tcPr>
          <w:p w14:paraId="4B3F538A" w14:textId="77777777" w:rsidR="004554E4" w:rsidRPr="004554E4" w:rsidRDefault="004554E4" w:rsidP="009E06DB">
            <w:pPr>
              <w:pStyle w:val="Tabletext1"/>
            </w:pPr>
            <w:r w:rsidRPr="004554E4">
              <w:t>181</w:t>
            </w:r>
          </w:p>
        </w:tc>
        <w:tc>
          <w:tcPr>
            <w:tcW w:w="651" w:type="pct"/>
            <w:tcBorders>
              <w:top w:val="nil"/>
              <w:left w:val="nil"/>
              <w:bottom w:val="single" w:sz="4" w:space="0" w:color="auto"/>
              <w:right w:val="single" w:sz="4" w:space="0" w:color="auto"/>
            </w:tcBorders>
            <w:shd w:val="clear" w:color="auto" w:fill="auto"/>
            <w:vAlign w:val="center"/>
            <w:hideMark/>
          </w:tcPr>
          <w:p w14:paraId="57749F63" w14:textId="77777777" w:rsidR="004554E4" w:rsidRPr="004554E4" w:rsidRDefault="004554E4" w:rsidP="009E06DB">
            <w:pPr>
              <w:pStyle w:val="Tabletext1"/>
            </w:pPr>
            <w:r w:rsidRPr="004554E4">
              <w:t>372</w:t>
            </w:r>
          </w:p>
        </w:tc>
        <w:tc>
          <w:tcPr>
            <w:tcW w:w="651" w:type="pct"/>
            <w:tcBorders>
              <w:top w:val="nil"/>
              <w:left w:val="nil"/>
              <w:bottom w:val="single" w:sz="4" w:space="0" w:color="auto"/>
              <w:right w:val="single" w:sz="4" w:space="0" w:color="auto"/>
            </w:tcBorders>
            <w:shd w:val="clear" w:color="auto" w:fill="auto"/>
            <w:vAlign w:val="center"/>
            <w:hideMark/>
          </w:tcPr>
          <w:p w14:paraId="30137308" w14:textId="77777777" w:rsidR="004554E4" w:rsidRPr="004554E4" w:rsidRDefault="004554E4" w:rsidP="009E06DB">
            <w:pPr>
              <w:pStyle w:val="Tabletext1"/>
            </w:pPr>
            <w:r w:rsidRPr="004554E4">
              <w:t>573</w:t>
            </w:r>
          </w:p>
        </w:tc>
        <w:tc>
          <w:tcPr>
            <w:tcW w:w="651" w:type="pct"/>
            <w:tcBorders>
              <w:top w:val="nil"/>
              <w:left w:val="nil"/>
              <w:bottom w:val="single" w:sz="4" w:space="0" w:color="auto"/>
              <w:right w:val="single" w:sz="4" w:space="0" w:color="auto"/>
            </w:tcBorders>
            <w:shd w:val="clear" w:color="auto" w:fill="auto"/>
            <w:vAlign w:val="center"/>
            <w:hideMark/>
          </w:tcPr>
          <w:p w14:paraId="7530BA1E" w14:textId="77777777" w:rsidR="004554E4" w:rsidRPr="004554E4" w:rsidRDefault="004554E4" w:rsidP="009E06DB">
            <w:pPr>
              <w:pStyle w:val="Tabletext1"/>
            </w:pPr>
            <w:r w:rsidRPr="004554E4">
              <w:t>784</w:t>
            </w:r>
          </w:p>
        </w:tc>
        <w:tc>
          <w:tcPr>
            <w:tcW w:w="651" w:type="pct"/>
            <w:tcBorders>
              <w:top w:val="nil"/>
              <w:left w:val="nil"/>
              <w:bottom w:val="single" w:sz="4" w:space="0" w:color="auto"/>
              <w:right w:val="single" w:sz="4" w:space="0" w:color="auto"/>
            </w:tcBorders>
            <w:shd w:val="clear" w:color="auto" w:fill="auto"/>
            <w:vAlign w:val="center"/>
            <w:hideMark/>
          </w:tcPr>
          <w:p w14:paraId="69610449" w14:textId="77777777" w:rsidR="004554E4" w:rsidRPr="004554E4" w:rsidRDefault="004554E4" w:rsidP="009E06DB">
            <w:pPr>
              <w:pStyle w:val="Tabletext1"/>
            </w:pPr>
            <w:r w:rsidRPr="004554E4">
              <w:t>1,005</w:t>
            </w:r>
          </w:p>
        </w:tc>
      </w:tr>
      <w:tr w:rsidR="004554E4" w:rsidRPr="001C1D01" w14:paraId="6C80F658"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580870FC" w14:textId="1BCFF36A" w:rsidR="004554E4" w:rsidRPr="001C1D01" w:rsidRDefault="006D0335" w:rsidP="009E06DB">
            <w:pPr>
              <w:pStyle w:val="Tabletext1"/>
              <w:rPr>
                <w:rFonts w:eastAsia="Batang"/>
                <w:lang w:val="en-GB" w:eastAsia="ja-JP"/>
              </w:rPr>
            </w:pPr>
            <w:r>
              <w:rPr>
                <w:rFonts w:eastAsia="Batang"/>
                <w:lang w:val="en-GB" w:eastAsia="ja-JP"/>
              </w:rPr>
              <w:t>3–5</w:t>
            </w:r>
            <w:r w:rsidR="004554E4" w:rsidRPr="001C1D01">
              <w:rPr>
                <w:rFonts w:eastAsia="Batang"/>
                <w:lang w:val="en-GB" w:eastAsia="ja-JP"/>
              </w:rPr>
              <w:t xml:space="preserve"> lesions total cost per patient (10%)</w:t>
            </w:r>
          </w:p>
        </w:tc>
        <w:tc>
          <w:tcPr>
            <w:tcW w:w="650" w:type="pct"/>
            <w:tcBorders>
              <w:top w:val="nil"/>
              <w:left w:val="nil"/>
              <w:bottom w:val="single" w:sz="4" w:space="0" w:color="auto"/>
              <w:right w:val="single" w:sz="4" w:space="0" w:color="auto"/>
            </w:tcBorders>
            <w:shd w:val="clear" w:color="auto" w:fill="auto"/>
            <w:vAlign w:val="center"/>
            <w:hideMark/>
          </w:tcPr>
          <w:p w14:paraId="56E34E6F" w14:textId="77777777" w:rsidR="004554E4" w:rsidRPr="004554E4" w:rsidRDefault="004554E4" w:rsidP="009E06DB">
            <w:pPr>
              <w:pStyle w:val="Tabletext1"/>
            </w:pPr>
            <w:r w:rsidRPr="004554E4">
              <w:t>20</w:t>
            </w:r>
          </w:p>
        </w:tc>
        <w:tc>
          <w:tcPr>
            <w:tcW w:w="651" w:type="pct"/>
            <w:tcBorders>
              <w:top w:val="nil"/>
              <w:left w:val="nil"/>
              <w:bottom w:val="single" w:sz="4" w:space="0" w:color="auto"/>
              <w:right w:val="single" w:sz="4" w:space="0" w:color="auto"/>
            </w:tcBorders>
            <w:shd w:val="clear" w:color="auto" w:fill="auto"/>
            <w:vAlign w:val="center"/>
            <w:hideMark/>
          </w:tcPr>
          <w:p w14:paraId="6944DED3" w14:textId="77777777" w:rsidR="004554E4" w:rsidRPr="004554E4" w:rsidRDefault="004554E4" w:rsidP="009E06DB">
            <w:pPr>
              <w:pStyle w:val="Tabletext1"/>
            </w:pPr>
            <w:r w:rsidRPr="004554E4">
              <w:t>41</w:t>
            </w:r>
          </w:p>
        </w:tc>
        <w:tc>
          <w:tcPr>
            <w:tcW w:w="651" w:type="pct"/>
            <w:tcBorders>
              <w:top w:val="nil"/>
              <w:left w:val="nil"/>
              <w:bottom w:val="single" w:sz="4" w:space="0" w:color="auto"/>
              <w:right w:val="single" w:sz="4" w:space="0" w:color="auto"/>
            </w:tcBorders>
            <w:shd w:val="clear" w:color="auto" w:fill="auto"/>
            <w:vAlign w:val="center"/>
            <w:hideMark/>
          </w:tcPr>
          <w:p w14:paraId="12253114" w14:textId="77777777" w:rsidR="004554E4" w:rsidRPr="004554E4" w:rsidRDefault="004554E4" w:rsidP="009E06DB">
            <w:pPr>
              <w:pStyle w:val="Tabletext1"/>
            </w:pPr>
            <w:r w:rsidRPr="004554E4">
              <w:t>64</w:t>
            </w:r>
          </w:p>
        </w:tc>
        <w:tc>
          <w:tcPr>
            <w:tcW w:w="651" w:type="pct"/>
            <w:tcBorders>
              <w:top w:val="nil"/>
              <w:left w:val="nil"/>
              <w:bottom w:val="single" w:sz="4" w:space="0" w:color="auto"/>
              <w:right w:val="single" w:sz="4" w:space="0" w:color="auto"/>
            </w:tcBorders>
            <w:shd w:val="clear" w:color="auto" w:fill="auto"/>
            <w:vAlign w:val="center"/>
            <w:hideMark/>
          </w:tcPr>
          <w:p w14:paraId="37D87960" w14:textId="77777777" w:rsidR="004554E4" w:rsidRPr="004554E4" w:rsidRDefault="004554E4" w:rsidP="009E06DB">
            <w:pPr>
              <w:pStyle w:val="Tabletext1"/>
            </w:pPr>
            <w:r w:rsidRPr="004554E4">
              <w:t>87</w:t>
            </w:r>
          </w:p>
        </w:tc>
        <w:tc>
          <w:tcPr>
            <w:tcW w:w="651" w:type="pct"/>
            <w:tcBorders>
              <w:top w:val="nil"/>
              <w:left w:val="nil"/>
              <w:bottom w:val="single" w:sz="4" w:space="0" w:color="auto"/>
              <w:right w:val="single" w:sz="4" w:space="0" w:color="auto"/>
            </w:tcBorders>
            <w:shd w:val="clear" w:color="auto" w:fill="auto"/>
            <w:vAlign w:val="center"/>
            <w:hideMark/>
          </w:tcPr>
          <w:p w14:paraId="06B518B1" w14:textId="77777777" w:rsidR="004554E4" w:rsidRPr="004554E4" w:rsidRDefault="004554E4" w:rsidP="009E06DB">
            <w:pPr>
              <w:pStyle w:val="Tabletext1"/>
            </w:pPr>
            <w:r w:rsidRPr="004554E4">
              <w:t>112</w:t>
            </w:r>
          </w:p>
        </w:tc>
      </w:tr>
      <w:tr w:rsidR="004554E4" w:rsidRPr="001C1D01" w14:paraId="78C2E2F1"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2A778914" w14:textId="52C66413" w:rsidR="004554E4" w:rsidRPr="001C1D01" w:rsidRDefault="006D0335" w:rsidP="009E06DB">
            <w:pPr>
              <w:pStyle w:val="Tabletext1"/>
              <w:rPr>
                <w:rFonts w:eastAsia="Batang"/>
                <w:lang w:val="en-GB" w:eastAsia="ja-JP"/>
              </w:rPr>
            </w:pPr>
            <w:r>
              <w:rPr>
                <w:rFonts w:eastAsia="Batang"/>
                <w:lang w:val="en-GB" w:eastAsia="ja-JP"/>
              </w:rPr>
              <w:t>&gt;5</w:t>
            </w:r>
            <w:r w:rsidR="004554E4" w:rsidRPr="001C1D01">
              <w:rPr>
                <w:rFonts w:eastAsia="Batang"/>
                <w:lang w:val="en-GB" w:eastAsia="ja-JP"/>
              </w:rPr>
              <w:t xml:space="preserve"> lesions total cost per patient (0%)</w:t>
            </w:r>
          </w:p>
        </w:tc>
        <w:tc>
          <w:tcPr>
            <w:tcW w:w="650" w:type="pct"/>
            <w:tcBorders>
              <w:top w:val="nil"/>
              <w:left w:val="nil"/>
              <w:bottom w:val="single" w:sz="4" w:space="0" w:color="auto"/>
              <w:right w:val="single" w:sz="4" w:space="0" w:color="auto"/>
            </w:tcBorders>
            <w:shd w:val="clear" w:color="auto" w:fill="auto"/>
            <w:vAlign w:val="center"/>
            <w:hideMark/>
          </w:tcPr>
          <w:p w14:paraId="46D28886"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15CC68BB"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5DDA7E90"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22362FBC"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13D1F579" w14:textId="77777777" w:rsidR="004554E4" w:rsidRPr="004554E4" w:rsidRDefault="004554E4" w:rsidP="009E06DB">
            <w:pPr>
              <w:pStyle w:val="Tabletext1"/>
            </w:pPr>
            <w:r w:rsidRPr="004554E4">
              <w:t>0</w:t>
            </w:r>
          </w:p>
        </w:tc>
      </w:tr>
      <w:tr w:rsidR="004554E4" w:rsidRPr="001C1D01" w14:paraId="23AA8EE0"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67893C66" w14:textId="77777777" w:rsidR="004554E4" w:rsidRPr="001C1D01" w:rsidRDefault="004554E4" w:rsidP="009E06DB">
            <w:pPr>
              <w:pStyle w:val="Tabletext1"/>
              <w:rPr>
                <w:rFonts w:eastAsia="Batang"/>
                <w:lang w:val="en-GB" w:eastAsia="ja-JP"/>
              </w:rPr>
            </w:pPr>
            <w:r w:rsidRPr="001C1D01">
              <w:rPr>
                <w:rFonts w:eastAsia="Batang"/>
                <w:lang w:val="en-GB" w:eastAsia="ja-JP"/>
              </w:rPr>
              <w:t>Total</w:t>
            </w:r>
          </w:p>
        </w:tc>
        <w:tc>
          <w:tcPr>
            <w:tcW w:w="650" w:type="pct"/>
            <w:tcBorders>
              <w:top w:val="nil"/>
              <w:left w:val="nil"/>
              <w:bottom w:val="single" w:sz="4" w:space="0" w:color="auto"/>
              <w:right w:val="single" w:sz="4" w:space="0" w:color="auto"/>
            </w:tcBorders>
            <w:shd w:val="clear" w:color="auto" w:fill="auto"/>
            <w:vAlign w:val="center"/>
            <w:hideMark/>
          </w:tcPr>
          <w:p w14:paraId="16DEF0D8" w14:textId="77777777" w:rsidR="004554E4" w:rsidRPr="004554E4" w:rsidRDefault="004554E4" w:rsidP="009E06DB">
            <w:pPr>
              <w:pStyle w:val="Tabletext1"/>
            </w:pPr>
            <w:r w:rsidRPr="004554E4">
              <w:t>202</w:t>
            </w:r>
          </w:p>
        </w:tc>
        <w:tc>
          <w:tcPr>
            <w:tcW w:w="651" w:type="pct"/>
            <w:tcBorders>
              <w:top w:val="nil"/>
              <w:left w:val="nil"/>
              <w:bottom w:val="single" w:sz="4" w:space="0" w:color="auto"/>
              <w:right w:val="single" w:sz="4" w:space="0" w:color="auto"/>
            </w:tcBorders>
            <w:shd w:val="clear" w:color="auto" w:fill="auto"/>
            <w:vAlign w:val="center"/>
            <w:hideMark/>
          </w:tcPr>
          <w:p w14:paraId="01CA5581" w14:textId="77777777" w:rsidR="004554E4" w:rsidRPr="004554E4" w:rsidRDefault="004554E4" w:rsidP="009E06DB">
            <w:pPr>
              <w:pStyle w:val="Tabletext1"/>
            </w:pPr>
            <w:r w:rsidRPr="004554E4">
              <w:t>414</w:t>
            </w:r>
          </w:p>
        </w:tc>
        <w:tc>
          <w:tcPr>
            <w:tcW w:w="651" w:type="pct"/>
            <w:tcBorders>
              <w:top w:val="nil"/>
              <w:left w:val="nil"/>
              <w:bottom w:val="single" w:sz="4" w:space="0" w:color="auto"/>
              <w:right w:val="single" w:sz="4" w:space="0" w:color="auto"/>
            </w:tcBorders>
            <w:shd w:val="clear" w:color="auto" w:fill="auto"/>
            <w:vAlign w:val="center"/>
            <w:hideMark/>
          </w:tcPr>
          <w:p w14:paraId="4A3EF0D5" w14:textId="77777777" w:rsidR="004554E4" w:rsidRPr="004554E4" w:rsidRDefault="004554E4" w:rsidP="009E06DB">
            <w:pPr>
              <w:pStyle w:val="Tabletext1"/>
            </w:pPr>
            <w:r w:rsidRPr="004554E4">
              <w:t>636</w:t>
            </w:r>
          </w:p>
        </w:tc>
        <w:tc>
          <w:tcPr>
            <w:tcW w:w="651" w:type="pct"/>
            <w:tcBorders>
              <w:top w:val="nil"/>
              <w:left w:val="nil"/>
              <w:bottom w:val="single" w:sz="4" w:space="0" w:color="auto"/>
              <w:right w:val="single" w:sz="4" w:space="0" w:color="auto"/>
            </w:tcBorders>
            <w:shd w:val="clear" w:color="auto" w:fill="auto"/>
            <w:vAlign w:val="center"/>
            <w:hideMark/>
          </w:tcPr>
          <w:p w14:paraId="6BA9F358" w14:textId="77777777" w:rsidR="004554E4" w:rsidRPr="004554E4" w:rsidRDefault="004554E4" w:rsidP="009E06DB">
            <w:pPr>
              <w:pStyle w:val="Tabletext1"/>
            </w:pPr>
            <w:r w:rsidRPr="004554E4">
              <w:t>871</w:t>
            </w:r>
          </w:p>
        </w:tc>
        <w:tc>
          <w:tcPr>
            <w:tcW w:w="651" w:type="pct"/>
            <w:tcBorders>
              <w:top w:val="nil"/>
              <w:left w:val="nil"/>
              <w:bottom w:val="single" w:sz="4" w:space="0" w:color="auto"/>
              <w:right w:val="single" w:sz="4" w:space="0" w:color="auto"/>
            </w:tcBorders>
            <w:shd w:val="clear" w:color="auto" w:fill="auto"/>
            <w:vAlign w:val="center"/>
            <w:hideMark/>
          </w:tcPr>
          <w:p w14:paraId="71E97140" w14:textId="77777777" w:rsidR="004554E4" w:rsidRPr="004554E4" w:rsidRDefault="004554E4" w:rsidP="009E06DB">
            <w:pPr>
              <w:pStyle w:val="Tabletext1"/>
            </w:pPr>
            <w:r w:rsidRPr="004554E4">
              <w:t>1,117</w:t>
            </w:r>
          </w:p>
        </w:tc>
      </w:tr>
      <w:tr w:rsidR="00E56FF7" w:rsidRPr="001C1D01" w14:paraId="4721AD39" w14:textId="77777777" w:rsidTr="00E30CC7">
        <w:trPr>
          <w:trHeight w:val="255"/>
        </w:trPr>
        <w:tc>
          <w:tcPr>
            <w:tcW w:w="1746" w:type="pct"/>
            <w:tcBorders>
              <w:top w:val="nil"/>
              <w:left w:val="single" w:sz="4" w:space="0" w:color="auto"/>
              <w:bottom w:val="single" w:sz="4" w:space="0" w:color="auto"/>
              <w:right w:val="single" w:sz="4" w:space="0" w:color="auto"/>
            </w:tcBorders>
            <w:shd w:val="clear" w:color="000000" w:fill="D9D9D9"/>
            <w:vAlign w:val="center"/>
            <w:hideMark/>
          </w:tcPr>
          <w:p w14:paraId="6137ED22" w14:textId="77777777" w:rsidR="00E56FF7" w:rsidRPr="00EF628D" w:rsidRDefault="00E56FF7" w:rsidP="009E06DB">
            <w:pPr>
              <w:pStyle w:val="Tabletext1"/>
              <w:rPr>
                <w:rFonts w:eastAsia="Batang"/>
                <w:b/>
                <w:lang w:val="en-GB" w:eastAsia="ja-JP"/>
              </w:rPr>
            </w:pPr>
            <w:r w:rsidRPr="00EF628D">
              <w:rPr>
                <w:rFonts w:eastAsia="Batang"/>
                <w:b/>
                <w:lang w:val="en-GB" w:eastAsia="ja-JP"/>
              </w:rPr>
              <w:t>MTA MBS Costs by Lesion Grouping</w:t>
            </w:r>
          </w:p>
        </w:tc>
        <w:tc>
          <w:tcPr>
            <w:tcW w:w="650" w:type="pct"/>
            <w:tcBorders>
              <w:top w:val="nil"/>
              <w:left w:val="nil"/>
              <w:bottom w:val="single" w:sz="4" w:space="0" w:color="auto"/>
              <w:right w:val="single" w:sz="4" w:space="0" w:color="auto"/>
            </w:tcBorders>
            <w:shd w:val="clear" w:color="000000" w:fill="D9D9D9"/>
            <w:vAlign w:val="center"/>
            <w:hideMark/>
          </w:tcPr>
          <w:p w14:paraId="39910F50" w14:textId="77777777" w:rsidR="00E56FF7" w:rsidRPr="001C1D01" w:rsidRDefault="00E56FF7" w:rsidP="009E06DB">
            <w:pPr>
              <w:pStyle w:val="Tabletext1"/>
              <w:rPr>
                <w:rFonts w:eastAsia="Batang"/>
                <w:lang w:val="en-GB" w:eastAsia="ja-JP"/>
              </w:rPr>
            </w:pPr>
            <w:r w:rsidRPr="001C1D01">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0D05415D" w14:textId="77777777" w:rsidR="00E56FF7" w:rsidRPr="001C1D01" w:rsidRDefault="00E56FF7" w:rsidP="009E06DB">
            <w:pPr>
              <w:pStyle w:val="Tabletext1"/>
              <w:rPr>
                <w:rFonts w:eastAsia="Batang"/>
                <w:lang w:val="en-GB" w:eastAsia="ja-JP"/>
              </w:rPr>
            </w:pPr>
            <w:r w:rsidRPr="001C1D01">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1DA94356" w14:textId="77777777" w:rsidR="00E56FF7" w:rsidRPr="00FC06D9" w:rsidRDefault="00E56FF7" w:rsidP="009E06DB">
            <w:pPr>
              <w:pStyle w:val="Tabletext1"/>
              <w:rPr>
                <w:rFonts w:eastAsia="Batang"/>
                <w:lang w:val="en-GB" w:eastAsia="ja-JP"/>
              </w:rPr>
            </w:pPr>
            <w:r w:rsidRPr="00FC06D9">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0188F6B7" w14:textId="77777777" w:rsidR="00E56FF7" w:rsidRPr="00FC06D9" w:rsidRDefault="00E56FF7" w:rsidP="009E06DB">
            <w:pPr>
              <w:pStyle w:val="Tabletext1"/>
              <w:rPr>
                <w:rFonts w:eastAsia="Batang"/>
                <w:lang w:val="en-GB" w:eastAsia="ja-JP"/>
              </w:rPr>
            </w:pPr>
            <w:r w:rsidRPr="00FC06D9">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7E6D6DFE" w14:textId="77777777" w:rsidR="00E56FF7" w:rsidRPr="001D54EF" w:rsidRDefault="00E56FF7" w:rsidP="009E06DB">
            <w:pPr>
              <w:pStyle w:val="Tabletext1"/>
              <w:rPr>
                <w:rFonts w:eastAsia="Batang"/>
                <w:lang w:val="en-GB" w:eastAsia="ja-JP"/>
              </w:rPr>
            </w:pPr>
            <w:r w:rsidRPr="001D54EF">
              <w:rPr>
                <w:rFonts w:eastAsia="Batang"/>
                <w:lang w:val="en-GB" w:eastAsia="ja-JP"/>
              </w:rPr>
              <w:t> </w:t>
            </w:r>
          </w:p>
        </w:tc>
      </w:tr>
      <w:tr w:rsidR="004554E4" w:rsidRPr="001C1D01" w14:paraId="15E18740"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71FF4423" w14:textId="66CA7614" w:rsidR="004554E4" w:rsidRPr="001C1D01" w:rsidRDefault="006D0335" w:rsidP="009E06DB">
            <w:pPr>
              <w:pStyle w:val="Tabletext1"/>
              <w:rPr>
                <w:rFonts w:eastAsia="Batang"/>
                <w:lang w:val="en-GB" w:eastAsia="ja-JP"/>
              </w:rPr>
            </w:pPr>
            <w:r>
              <w:rPr>
                <w:rFonts w:eastAsia="Batang"/>
                <w:lang w:val="en-GB" w:eastAsia="ja-JP"/>
              </w:rPr>
              <w:t>1–3</w:t>
            </w:r>
            <w:r w:rsidR="004554E4" w:rsidRPr="001C1D01">
              <w:rPr>
                <w:rFonts w:eastAsia="Batang"/>
                <w:lang w:val="en-GB" w:eastAsia="ja-JP"/>
              </w:rPr>
              <w:t>total cost per patient (90%)</w:t>
            </w:r>
          </w:p>
        </w:tc>
        <w:tc>
          <w:tcPr>
            <w:tcW w:w="650" w:type="pct"/>
            <w:tcBorders>
              <w:top w:val="nil"/>
              <w:left w:val="nil"/>
              <w:bottom w:val="single" w:sz="4" w:space="0" w:color="auto"/>
              <w:right w:val="single" w:sz="4" w:space="0" w:color="auto"/>
            </w:tcBorders>
            <w:shd w:val="clear" w:color="auto" w:fill="auto"/>
            <w:vAlign w:val="center"/>
            <w:hideMark/>
          </w:tcPr>
          <w:p w14:paraId="68E5EA26" w14:textId="77777777" w:rsidR="004554E4" w:rsidRPr="004554E4" w:rsidRDefault="004554E4" w:rsidP="009E06DB">
            <w:pPr>
              <w:pStyle w:val="Tabletext1"/>
            </w:pPr>
            <w:r w:rsidRPr="004554E4">
              <w:t>549,161</w:t>
            </w:r>
          </w:p>
        </w:tc>
        <w:tc>
          <w:tcPr>
            <w:tcW w:w="651" w:type="pct"/>
            <w:tcBorders>
              <w:top w:val="nil"/>
              <w:left w:val="nil"/>
              <w:bottom w:val="single" w:sz="4" w:space="0" w:color="auto"/>
              <w:right w:val="single" w:sz="4" w:space="0" w:color="auto"/>
            </w:tcBorders>
            <w:shd w:val="clear" w:color="auto" w:fill="auto"/>
            <w:vAlign w:val="center"/>
            <w:hideMark/>
          </w:tcPr>
          <w:p w14:paraId="5754A253" w14:textId="77777777" w:rsidR="004554E4" w:rsidRPr="004554E4" w:rsidRDefault="004554E4" w:rsidP="009E06DB">
            <w:pPr>
              <w:pStyle w:val="Tabletext1"/>
            </w:pPr>
            <w:r w:rsidRPr="004554E4">
              <w:t>1,126,565</w:t>
            </w:r>
          </w:p>
        </w:tc>
        <w:tc>
          <w:tcPr>
            <w:tcW w:w="651" w:type="pct"/>
            <w:tcBorders>
              <w:top w:val="nil"/>
              <w:left w:val="nil"/>
              <w:bottom w:val="single" w:sz="4" w:space="0" w:color="auto"/>
              <w:right w:val="single" w:sz="4" w:space="0" w:color="auto"/>
            </w:tcBorders>
            <w:shd w:val="clear" w:color="auto" w:fill="auto"/>
            <w:vAlign w:val="center"/>
            <w:hideMark/>
          </w:tcPr>
          <w:p w14:paraId="64E420EB" w14:textId="77777777" w:rsidR="004554E4" w:rsidRPr="004554E4" w:rsidRDefault="004554E4" w:rsidP="009E06DB">
            <w:pPr>
              <w:pStyle w:val="Tabletext1"/>
            </w:pPr>
            <w:r w:rsidRPr="004554E4">
              <w:t>1,733,634</w:t>
            </w:r>
          </w:p>
        </w:tc>
        <w:tc>
          <w:tcPr>
            <w:tcW w:w="651" w:type="pct"/>
            <w:tcBorders>
              <w:top w:val="nil"/>
              <w:left w:val="nil"/>
              <w:bottom w:val="single" w:sz="4" w:space="0" w:color="auto"/>
              <w:right w:val="single" w:sz="4" w:space="0" w:color="auto"/>
            </w:tcBorders>
            <w:shd w:val="clear" w:color="auto" w:fill="auto"/>
            <w:vAlign w:val="center"/>
            <w:hideMark/>
          </w:tcPr>
          <w:p w14:paraId="1ECFBE40" w14:textId="77777777" w:rsidR="004554E4" w:rsidRPr="004554E4" w:rsidRDefault="004554E4" w:rsidP="009E06DB">
            <w:pPr>
              <w:pStyle w:val="Tabletext1"/>
            </w:pPr>
            <w:r w:rsidRPr="004554E4">
              <w:t>2,371,868</w:t>
            </w:r>
          </w:p>
        </w:tc>
        <w:tc>
          <w:tcPr>
            <w:tcW w:w="651" w:type="pct"/>
            <w:tcBorders>
              <w:top w:val="nil"/>
              <w:left w:val="nil"/>
              <w:bottom w:val="single" w:sz="4" w:space="0" w:color="auto"/>
              <w:right w:val="single" w:sz="4" w:space="0" w:color="auto"/>
            </w:tcBorders>
            <w:shd w:val="clear" w:color="auto" w:fill="auto"/>
            <w:vAlign w:val="center"/>
            <w:hideMark/>
          </w:tcPr>
          <w:p w14:paraId="22C25FCA" w14:textId="77777777" w:rsidR="004554E4" w:rsidRPr="004554E4" w:rsidRDefault="004554E4" w:rsidP="009E06DB">
            <w:pPr>
              <w:pStyle w:val="Tabletext1"/>
            </w:pPr>
            <w:r w:rsidRPr="004554E4">
              <w:t>3,042,840</w:t>
            </w:r>
          </w:p>
        </w:tc>
      </w:tr>
      <w:tr w:rsidR="004554E4" w:rsidRPr="001C1D01" w14:paraId="75F6E6C3"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080E64F1" w14:textId="5E98A79C" w:rsidR="004554E4" w:rsidRPr="001C1D01" w:rsidRDefault="006D0335" w:rsidP="009E06DB">
            <w:pPr>
              <w:pStyle w:val="Tabletext1"/>
              <w:rPr>
                <w:rFonts w:eastAsia="Batang"/>
                <w:lang w:val="en-GB" w:eastAsia="ja-JP"/>
              </w:rPr>
            </w:pPr>
            <w:r>
              <w:rPr>
                <w:rFonts w:eastAsia="Batang"/>
                <w:lang w:val="en-GB" w:eastAsia="ja-JP"/>
              </w:rPr>
              <w:t>3–5</w:t>
            </w:r>
            <w:r w:rsidR="004554E4" w:rsidRPr="001C1D01">
              <w:rPr>
                <w:rFonts w:eastAsia="Batang"/>
                <w:lang w:val="en-GB" w:eastAsia="ja-JP"/>
              </w:rPr>
              <w:t xml:space="preserve"> lesions total cost per patient (10%)</w:t>
            </w:r>
          </w:p>
        </w:tc>
        <w:tc>
          <w:tcPr>
            <w:tcW w:w="650" w:type="pct"/>
            <w:tcBorders>
              <w:top w:val="nil"/>
              <w:left w:val="nil"/>
              <w:bottom w:val="single" w:sz="4" w:space="0" w:color="auto"/>
              <w:right w:val="single" w:sz="4" w:space="0" w:color="auto"/>
            </w:tcBorders>
            <w:shd w:val="clear" w:color="auto" w:fill="auto"/>
            <w:vAlign w:val="center"/>
            <w:hideMark/>
          </w:tcPr>
          <w:p w14:paraId="2B4317FE" w14:textId="77777777" w:rsidR="004554E4" w:rsidRPr="004554E4" w:rsidRDefault="004554E4" w:rsidP="009E06DB">
            <w:pPr>
              <w:pStyle w:val="Tabletext1"/>
            </w:pPr>
            <w:r w:rsidRPr="004554E4">
              <w:t>65,554</w:t>
            </w:r>
          </w:p>
        </w:tc>
        <w:tc>
          <w:tcPr>
            <w:tcW w:w="651" w:type="pct"/>
            <w:tcBorders>
              <w:top w:val="nil"/>
              <w:left w:val="nil"/>
              <w:bottom w:val="single" w:sz="4" w:space="0" w:color="auto"/>
              <w:right w:val="single" w:sz="4" w:space="0" w:color="auto"/>
            </w:tcBorders>
            <w:shd w:val="clear" w:color="auto" w:fill="auto"/>
            <w:vAlign w:val="center"/>
            <w:hideMark/>
          </w:tcPr>
          <w:p w14:paraId="47FC25B8" w14:textId="77777777" w:rsidR="004554E4" w:rsidRPr="004554E4" w:rsidRDefault="004554E4" w:rsidP="009E06DB">
            <w:pPr>
              <w:pStyle w:val="Tabletext1"/>
            </w:pPr>
            <w:r w:rsidRPr="004554E4">
              <w:t>134,480</w:t>
            </w:r>
          </w:p>
        </w:tc>
        <w:tc>
          <w:tcPr>
            <w:tcW w:w="651" w:type="pct"/>
            <w:tcBorders>
              <w:top w:val="nil"/>
              <w:left w:val="nil"/>
              <w:bottom w:val="single" w:sz="4" w:space="0" w:color="auto"/>
              <w:right w:val="single" w:sz="4" w:space="0" w:color="auto"/>
            </w:tcBorders>
            <w:shd w:val="clear" w:color="auto" w:fill="auto"/>
            <w:vAlign w:val="center"/>
            <w:hideMark/>
          </w:tcPr>
          <w:p w14:paraId="2F3FD165" w14:textId="77777777" w:rsidR="004554E4" w:rsidRPr="004554E4" w:rsidRDefault="004554E4" w:rsidP="009E06DB">
            <w:pPr>
              <w:pStyle w:val="Tabletext1"/>
            </w:pPr>
            <w:r w:rsidRPr="004554E4">
              <w:t>206,946</w:t>
            </w:r>
          </w:p>
        </w:tc>
        <w:tc>
          <w:tcPr>
            <w:tcW w:w="651" w:type="pct"/>
            <w:tcBorders>
              <w:top w:val="nil"/>
              <w:left w:val="nil"/>
              <w:bottom w:val="single" w:sz="4" w:space="0" w:color="auto"/>
              <w:right w:val="single" w:sz="4" w:space="0" w:color="auto"/>
            </w:tcBorders>
            <w:shd w:val="clear" w:color="auto" w:fill="auto"/>
            <w:vAlign w:val="center"/>
            <w:hideMark/>
          </w:tcPr>
          <w:p w14:paraId="3E50E975" w14:textId="77777777" w:rsidR="004554E4" w:rsidRPr="004554E4" w:rsidRDefault="004554E4" w:rsidP="009E06DB">
            <w:pPr>
              <w:pStyle w:val="Tabletext1"/>
            </w:pPr>
            <w:r w:rsidRPr="004554E4">
              <w:t>283,133</w:t>
            </w:r>
          </w:p>
        </w:tc>
        <w:tc>
          <w:tcPr>
            <w:tcW w:w="651" w:type="pct"/>
            <w:tcBorders>
              <w:top w:val="nil"/>
              <w:left w:val="nil"/>
              <w:bottom w:val="single" w:sz="4" w:space="0" w:color="auto"/>
              <w:right w:val="single" w:sz="4" w:space="0" w:color="auto"/>
            </w:tcBorders>
            <w:shd w:val="clear" w:color="auto" w:fill="auto"/>
            <w:vAlign w:val="center"/>
            <w:hideMark/>
          </w:tcPr>
          <w:p w14:paraId="4118F835" w14:textId="77777777" w:rsidR="004554E4" w:rsidRPr="004554E4" w:rsidRDefault="004554E4" w:rsidP="009E06DB">
            <w:pPr>
              <w:pStyle w:val="Tabletext1"/>
            </w:pPr>
            <w:r w:rsidRPr="004554E4">
              <w:t>363,228</w:t>
            </w:r>
          </w:p>
        </w:tc>
      </w:tr>
      <w:tr w:rsidR="004554E4" w:rsidRPr="001C1D01" w14:paraId="2FF1FC68"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1BFFBB0E" w14:textId="57A1E485" w:rsidR="004554E4" w:rsidRPr="001C1D01" w:rsidRDefault="006D0335" w:rsidP="009E06DB">
            <w:pPr>
              <w:pStyle w:val="Tabletext1"/>
              <w:rPr>
                <w:rFonts w:eastAsia="Batang"/>
                <w:lang w:val="en-GB" w:eastAsia="ja-JP"/>
              </w:rPr>
            </w:pPr>
            <w:r>
              <w:rPr>
                <w:rFonts w:eastAsia="Batang"/>
                <w:lang w:val="en-GB" w:eastAsia="ja-JP"/>
              </w:rPr>
              <w:t>&gt;5</w:t>
            </w:r>
            <w:r w:rsidR="004554E4" w:rsidRPr="001C1D01">
              <w:rPr>
                <w:rFonts w:eastAsia="Batang"/>
                <w:lang w:val="en-GB" w:eastAsia="ja-JP"/>
              </w:rPr>
              <w:t xml:space="preserve"> lesions total cost per patient (0%)</w:t>
            </w:r>
          </w:p>
        </w:tc>
        <w:tc>
          <w:tcPr>
            <w:tcW w:w="650" w:type="pct"/>
            <w:tcBorders>
              <w:top w:val="nil"/>
              <w:left w:val="nil"/>
              <w:bottom w:val="single" w:sz="4" w:space="0" w:color="auto"/>
              <w:right w:val="single" w:sz="4" w:space="0" w:color="auto"/>
            </w:tcBorders>
            <w:shd w:val="clear" w:color="auto" w:fill="auto"/>
            <w:vAlign w:val="center"/>
            <w:hideMark/>
          </w:tcPr>
          <w:p w14:paraId="3CB7D76F"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73D0A4DF"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26520044"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32E0F0EB"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7A873465" w14:textId="77777777" w:rsidR="004554E4" w:rsidRPr="004554E4" w:rsidRDefault="004554E4" w:rsidP="009E06DB">
            <w:pPr>
              <w:pStyle w:val="Tabletext1"/>
            </w:pPr>
            <w:r w:rsidRPr="004554E4">
              <w:t>0</w:t>
            </w:r>
          </w:p>
        </w:tc>
      </w:tr>
      <w:tr w:rsidR="004554E4" w:rsidRPr="001C1D01" w14:paraId="177B970E"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716CE30B" w14:textId="77777777" w:rsidR="004554E4" w:rsidRPr="001C1D01" w:rsidRDefault="004554E4" w:rsidP="009E06DB">
            <w:pPr>
              <w:pStyle w:val="Tabletext1"/>
              <w:rPr>
                <w:rFonts w:eastAsia="Batang"/>
                <w:lang w:val="en-GB" w:eastAsia="ja-JP"/>
              </w:rPr>
            </w:pPr>
            <w:r w:rsidRPr="001C1D01">
              <w:rPr>
                <w:rFonts w:eastAsia="Batang"/>
                <w:lang w:val="en-GB" w:eastAsia="ja-JP"/>
              </w:rPr>
              <w:t>Total</w:t>
            </w:r>
          </w:p>
        </w:tc>
        <w:tc>
          <w:tcPr>
            <w:tcW w:w="650" w:type="pct"/>
            <w:tcBorders>
              <w:top w:val="nil"/>
              <w:left w:val="nil"/>
              <w:bottom w:val="single" w:sz="4" w:space="0" w:color="auto"/>
              <w:right w:val="single" w:sz="4" w:space="0" w:color="auto"/>
            </w:tcBorders>
            <w:shd w:val="clear" w:color="auto" w:fill="auto"/>
            <w:vAlign w:val="center"/>
            <w:hideMark/>
          </w:tcPr>
          <w:p w14:paraId="794EFED9" w14:textId="77777777" w:rsidR="004554E4" w:rsidRPr="004554E4" w:rsidRDefault="004554E4" w:rsidP="009E06DB">
            <w:pPr>
              <w:pStyle w:val="Tabletext1"/>
            </w:pPr>
            <w:r w:rsidRPr="004554E4">
              <w:t>614,715</w:t>
            </w:r>
          </w:p>
        </w:tc>
        <w:tc>
          <w:tcPr>
            <w:tcW w:w="651" w:type="pct"/>
            <w:tcBorders>
              <w:top w:val="nil"/>
              <w:left w:val="nil"/>
              <w:bottom w:val="single" w:sz="4" w:space="0" w:color="auto"/>
              <w:right w:val="single" w:sz="4" w:space="0" w:color="auto"/>
            </w:tcBorders>
            <w:shd w:val="clear" w:color="auto" w:fill="auto"/>
            <w:vAlign w:val="center"/>
            <w:hideMark/>
          </w:tcPr>
          <w:p w14:paraId="6693D3B9" w14:textId="77777777" w:rsidR="004554E4" w:rsidRPr="004554E4" w:rsidRDefault="004554E4" w:rsidP="009E06DB">
            <w:pPr>
              <w:pStyle w:val="Tabletext1"/>
            </w:pPr>
            <w:r w:rsidRPr="004554E4">
              <w:t>1,261,044</w:t>
            </w:r>
          </w:p>
        </w:tc>
        <w:tc>
          <w:tcPr>
            <w:tcW w:w="651" w:type="pct"/>
            <w:tcBorders>
              <w:top w:val="nil"/>
              <w:left w:val="nil"/>
              <w:bottom w:val="single" w:sz="4" w:space="0" w:color="auto"/>
              <w:right w:val="single" w:sz="4" w:space="0" w:color="auto"/>
            </w:tcBorders>
            <w:shd w:val="clear" w:color="auto" w:fill="auto"/>
            <w:vAlign w:val="center"/>
            <w:hideMark/>
          </w:tcPr>
          <w:p w14:paraId="502E5B04" w14:textId="77777777" w:rsidR="004554E4" w:rsidRPr="004554E4" w:rsidRDefault="004554E4" w:rsidP="009E06DB">
            <w:pPr>
              <w:pStyle w:val="Tabletext1"/>
            </w:pPr>
            <w:r w:rsidRPr="004554E4">
              <w:t>1,940,581</w:t>
            </w:r>
          </w:p>
        </w:tc>
        <w:tc>
          <w:tcPr>
            <w:tcW w:w="651" w:type="pct"/>
            <w:tcBorders>
              <w:top w:val="nil"/>
              <w:left w:val="nil"/>
              <w:bottom w:val="single" w:sz="4" w:space="0" w:color="auto"/>
              <w:right w:val="single" w:sz="4" w:space="0" w:color="auto"/>
            </w:tcBorders>
            <w:shd w:val="clear" w:color="auto" w:fill="auto"/>
            <w:vAlign w:val="center"/>
            <w:hideMark/>
          </w:tcPr>
          <w:p w14:paraId="1D667721" w14:textId="77777777" w:rsidR="004554E4" w:rsidRPr="004554E4" w:rsidRDefault="004554E4" w:rsidP="009E06DB">
            <w:pPr>
              <w:pStyle w:val="Tabletext1"/>
            </w:pPr>
            <w:r w:rsidRPr="004554E4">
              <w:t>2,655,001</w:t>
            </w:r>
          </w:p>
        </w:tc>
        <w:tc>
          <w:tcPr>
            <w:tcW w:w="651" w:type="pct"/>
            <w:tcBorders>
              <w:top w:val="nil"/>
              <w:left w:val="nil"/>
              <w:bottom w:val="single" w:sz="4" w:space="0" w:color="auto"/>
              <w:right w:val="single" w:sz="4" w:space="0" w:color="auto"/>
            </w:tcBorders>
            <w:shd w:val="clear" w:color="auto" w:fill="auto"/>
            <w:vAlign w:val="center"/>
            <w:hideMark/>
          </w:tcPr>
          <w:p w14:paraId="7EF4FC2F" w14:textId="77777777" w:rsidR="004554E4" w:rsidRPr="004554E4" w:rsidRDefault="004554E4" w:rsidP="009E06DB">
            <w:pPr>
              <w:pStyle w:val="Tabletext1"/>
            </w:pPr>
            <w:r w:rsidRPr="004554E4">
              <w:t>3,406,068</w:t>
            </w:r>
          </w:p>
        </w:tc>
      </w:tr>
      <w:tr w:rsidR="00E56FF7" w:rsidRPr="001C1D01" w14:paraId="1CA17767" w14:textId="77777777" w:rsidTr="00E30CC7">
        <w:trPr>
          <w:trHeight w:val="255"/>
        </w:trPr>
        <w:tc>
          <w:tcPr>
            <w:tcW w:w="1746" w:type="pct"/>
            <w:tcBorders>
              <w:top w:val="nil"/>
              <w:left w:val="single" w:sz="4" w:space="0" w:color="auto"/>
              <w:bottom w:val="single" w:sz="4" w:space="0" w:color="auto"/>
              <w:right w:val="single" w:sz="4" w:space="0" w:color="auto"/>
            </w:tcBorders>
            <w:shd w:val="clear" w:color="000000" w:fill="D9D9D9"/>
            <w:vAlign w:val="center"/>
            <w:hideMark/>
          </w:tcPr>
          <w:p w14:paraId="7B5EB0D9" w14:textId="77777777" w:rsidR="00E56FF7" w:rsidRPr="00EF628D" w:rsidRDefault="00760AC9" w:rsidP="009E06DB">
            <w:pPr>
              <w:pStyle w:val="Tabletext1"/>
              <w:rPr>
                <w:rFonts w:eastAsia="Batang"/>
                <w:b/>
                <w:lang w:val="en-GB" w:eastAsia="ja-JP"/>
              </w:rPr>
            </w:pPr>
            <w:r w:rsidRPr="00EF628D">
              <w:rPr>
                <w:rFonts w:eastAsia="Batang"/>
                <w:b/>
                <w:lang w:val="en-GB" w:eastAsia="ja-JP"/>
              </w:rPr>
              <w:t>SBRT</w:t>
            </w:r>
            <w:r w:rsidR="00E56FF7" w:rsidRPr="00EF628D">
              <w:rPr>
                <w:rFonts w:eastAsia="Batang"/>
                <w:b/>
                <w:lang w:val="en-GB" w:eastAsia="ja-JP"/>
              </w:rPr>
              <w:t xml:space="preserve"> MBS Costs by Lesion Grouping (Item 15600)</w:t>
            </w:r>
          </w:p>
        </w:tc>
        <w:tc>
          <w:tcPr>
            <w:tcW w:w="650" w:type="pct"/>
            <w:tcBorders>
              <w:top w:val="nil"/>
              <w:left w:val="nil"/>
              <w:bottom w:val="single" w:sz="4" w:space="0" w:color="auto"/>
              <w:right w:val="single" w:sz="4" w:space="0" w:color="auto"/>
            </w:tcBorders>
            <w:shd w:val="clear" w:color="000000" w:fill="D9D9D9"/>
            <w:vAlign w:val="center"/>
            <w:hideMark/>
          </w:tcPr>
          <w:p w14:paraId="7AB380F2" w14:textId="77777777" w:rsidR="00E56FF7" w:rsidRPr="001C1D01" w:rsidRDefault="00E56FF7" w:rsidP="009E06DB">
            <w:pPr>
              <w:pStyle w:val="Tabletext1"/>
              <w:rPr>
                <w:rFonts w:eastAsia="Batang"/>
                <w:lang w:val="en-GB" w:eastAsia="ja-JP"/>
              </w:rPr>
            </w:pPr>
            <w:r w:rsidRPr="001C1D01">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5366B787" w14:textId="77777777" w:rsidR="00E56FF7" w:rsidRPr="00FC06D9" w:rsidRDefault="00E56FF7" w:rsidP="009E06DB">
            <w:pPr>
              <w:pStyle w:val="Tabletext1"/>
              <w:rPr>
                <w:rFonts w:eastAsia="Batang"/>
                <w:lang w:val="en-GB" w:eastAsia="ja-JP"/>
              </w:rPr>
            </w:pPr>
            <w:r w:rsidRPr="00FC06D9">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269B9A60" w14:textId="77777777" w:rsidR="00E56FF7" w:rsidRPr="00FC06D9" w:rsidRDefault="00E56FF7" w:rsidP="009E06DB">
            <w:pPr>
              <w:pStyle w:val="Tabletext1"/>
              <w:rPr>
                <w:rFonts w:eastAsia="Batang"/>
                <w:lang w:val="en-GB" w:eastAsia="ja-JP"/>
              </w:rPr>
            </w:pPr>
            <w:r w:rsidRPr="00FC06D9">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3A7E10AB" w14:textId="77777777" w:rsidR="00E56FF7" w:rsidRPr="001D54EF" w:rsidRDefault="00E56FF7" w:rsidP="009E06DB">
            <w:pPr>
              <w:pStyle w:val="Tabletext1"/>
              <w:rPr>
                <w:rFonts w:eastAsia="Batang"/>
                <w:lang w:val="en-GB" w:eastAsia="ja-JP"/>
              </w:rPr>
            </w:pPr>
            <w:r w:rsidRPr="001D54EF">
              <w:rPr>
                <w:rFonts w:eastAsia="Batang"/>
                <w:lang w:val="en-GB" w:eastAsia="ja-JP"/>
              </w:rPr>
              <w:t> </w:t>
            </w:r>
          </w:p>
        </w:tc>
        <w:tc>
          <w:tcPr>
            <w:tcW w:w="651" w:type="pct"/>
            <w:tcBorders>
              <w:top w:val="nil"/>
              <w:left w:val="nil"/>
              <w:bottom w:val="single" w:sz="4" w:space="0" w:color="auto"/>
              <w:right w:val="single" w:sz="4" w:space="0" w:color="auto"/>
            </w:tcBorders>
            <w:shd w:val="clear" w:color="000000" w:fill="D9D9D9"/>
            <w:vAlign w:val="center"/>
            <w:hideMark/>
          </w:tcPr>
          <w:p w14:paraId="11524804" w14:textId="77777777" w:rsidR="00E56FF7" w:rsidRPr="00351105" w:rsidRDefault="00E56FF7" w:rsidP="009E06DB">
            <w:pPr>
              <w:pStyle w:val="Tabletext1"/>
              <w:rPr>
                <w:rFonts w:eastAsia="Batang"/>
                <w:lang w:val="en-GB" w:eastAsia="ja-JP"/>
              </w:rPr>
            </w:pPr>
            <w:r w:rsidRPr="00351105">
              <w:rPr>
                <w:rFonts w:eastAsia="Batang"/>
                <w:lang w:val="en-GB" w:eastAsia="ja-JP"/>
              </w:rPr>
              <w:t> </w:t>
            </w:r>
          </w:p>
        </w:tc>
      </w:tr>
      <w:tr w:rsidR="004554E4" w:rsidRPr="001C1D01" w14:paraId="321803EA"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796E7BDD" w14:textId="05BDCEB6" w:rsidR="004554E4" w:rsidRPr="001C1D01" w:rsidRDefault="006D0335" w:rsidP="009E06DB">
            <w:pPr>
              <w:pStyle w:val="Tabletext1"/>
              <w:rPr>
                <w:rFonts w:eastAsia="Batang"/>
                <w:lang w:val="en-GB" w:eastAsia="ja-JP"/>
              </w:rPr>
            </w:pPr>
            <w:r>
              <w:rPr>
                <w:rFonts w:eastAsia="Batang"/>
                <w:lang w:val="en-GB" w:eastAsia="ja-JP"/>
              </w:rPr>
              <w:t>1–3</w:t>
            </w:r>
            <w:r w:rsidR="004554E4" w:rsidRPr="001C1D01">
              <w:rPr>
                <w:rFonts w:eastAsia="Batang"/>
                <w:lang w:val="en-GB" w:eastAsia="ja-JP"/>
              </w:rPr>
              <w:t>total cost per patient (90%)</w:t>
            </w:r>
          </w:p>
        </w:tc>
        <w:tc>
          <w:tcPr>
            <w:tcW w:w="650" w:type="pct"/>
            <w:tcBorders>
              <w:top w:val="nil"/>
              <w:left w:val="nil"/>
              <w:bottom w:val="single" w:sz="4" w:space="0" w:color="auto"/>
              <w:right w:val="single" w:sz="4" w:space="0" w:color="auto"/>
            </w:tcBorders>
            <w:shd w:val="clear" w:color="auto" w:fill="auto"/>
            <w:vAlign w:val="center"/>
            <w:hideMark/>
          </w:tcPr>
          <w:p w14:paraId="1E92B823" w14:textId="77777777" w:rsidR="004554E4" w:rsidRPr="004554E4" w:rsidRDefault="004554E4" w:rsidP="009E06DB">
            <w:pPr>
              <w:pStyle w:val="Tabletext1"/>
            </w:pPr>
            <w:r w:rsidRPr="004554E4">
              <w:t>815,107</w:t>
            </w:r>
          </w:p>
        </w:tc>
        <w:tc>
          <w:tcPr>
            <w:tcW w:w="651" w:type="pct"/>
            <w:tcBorders>
              <w:top w:val="nil"/>
              <w:left w:val="nil"/>
              <w:bottom w:val="single" w:sz="4" w:space="0" w:color="auto"/>
              <w:right w:val="single" w:sz="4" w:space="0" w:color="auto"/>
            </w:tcBorders>
            <w:shd w:val="clear" w:color="auto" w:fill="auto"/>
            <w:vAlign w:val="center"/>
            <w:hideMark/>
          </w:tcPr>
          <w:p w14:paraId="7DAECB16" w14:textId="77777777" w:rsidR="004554E4" w:rsidRPr="004554E4" w:rsidRDefault="004554E4" w:rsidP="009E06DB">
            <w:pPr>
              <w:pStyle w:val="Tabletext1"/>
            </w:pPr>
            <w:r w:rsidRPr="004554E4">
              <w:t>1,672,134</w:t>
            </w:r>
          </w:p>
        </w:tc>
        <w:tc>
          <w:tcPr>
            <w:tcW w:w="651" w:type="pct"/>
            <w:tcBorders>
              <w:top w:val="nil"/>
              <w:left w:val="nil"/>
              <w:bottom w:val="single" w:sz="4" w:space="0" w:color="auto"/>
              <w:right w:val="single" w:sz="4" w:space="0" w:color="auto"/>
            </w:tcBorders>
            <w:shd w:val="clear" w:color="auto" w:fill="auto"/>
            <w:vAlign w:val="center"/>
            <w:hideMark/>
          </w:tcPr>
          <w:p w14:paraId="35B209EC" w14:textId="77777777" w:rsidR="004554E4" w:rsidRPr="004554E4" w:rsidRDefault="004554E4" w:rsidP="009E06DB">
            <w:pPr>
              <w:pStyle w:val="Tabletext1"/>
            </w:pPr>
            <w:r w:rsidRPr="004554E4">
              <w:t>2,573,194</w:t>
            </w:r>
          </w:p>
        </w:tc>
        <w:tc>
          <w:tcPr>
            <w:tcW w:w="651" w:type="pct"/>
            <w:tcBorders>
              <w:top w:val="nil"/>
              <w:left w:val="nil"/>
              <w:bottom w:val="single" w:sz="4" w:space="0" w:color="auto"/>
              <w:right w:val="single" w:sz="4" w:space="0" w:color="auto"/>
            </w:tcBorders>
            <w:shd w:val="clear" w:color="auto" w:fill="auto"/>
            <w:vAlign w:val="center"/>
            <w:hideMark/>
          </w:tcPr>
          <w:p w14:paraId="0A337130" w14:textId="77777777" w:rsidR="004554E4" w:rsidRPr="004554E4" w:rsidRDefault="004554E4" w:rsidP="009E06DB">
            <w:pPr>
              <w:pStyle w:val="Tabletext1"/>
            </w:pPr>
            <w:r w:rsidRPr="004554E4">
              <w:t>3,520,509</w:t>
            </w:r>
          </w:p>
        </w:tc>
        <w:tc>
          <w:tcPr>
            <w:tcW w:w="651" w:type="pct"/>
            <w:tcBorders>
              <w:top w:val="nil"/>
              <w:left w:val="nil"/>
              <w:bottom w:val="single" w:sz="4" w:space="0" w:color="auto"/>
              <w:right w:val="single" w:sz="4" w:space="0" w:color="auto"/>
            </w:tcBorders>
            <w:shd w:val="clear" w:color="auto" w:fill="auto"/>
            <w:vAlign w:val="center"/>
            <w:hideMark/>
          </w:tcPr>
          <w:p w14:paraId="7289F8BB" w14:textId="77777777" w:rsidR="004554E4" w:rsidRPr="004554E4" w:rsidRDefault="004554E4" w:rsidP="009E06DB">
            <w:pPr>
              <w:pStyle w:val="Tabletext1"/>
            </w:pPr>
            <w:r w:rsidRPr="004554E4">
              <w:t>4,516,418</w:t>
            </w:r>
          </w:p>
        </w:tc>
      </w:tr>
      <w:tr w:rsidR="004554E4" w:rsidRPr="001C1D01" w14:paraId="6F5DC858"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5E5AE3B9" w14:textId="6E2D74AB" w:rsidR="004554E4" w:rsidRPr="001C1D01" w:rsidRDefault="006D0335" w:rsidP="009E06DB">
            <w:pPr>
              <w:pStyle w:val="Tabletext1"/>
              <w:rPr>
                <w:rFonts w:eastAsia="Batang"/>
                <w:lang w:val="en-GB" w:eastAsia="ja-JP"/>
              </w:rPr>
            </w:pPr>
            <w:r>
              <w:rPr>
                <w:rFonts w:eastAsia="Batang"/>
                <w:lang w:val="en-GB" w:eastAsia="ja-JP"/>
              </w:rPr>
              <w:t>3–5</w:t>
            </w:r>
            <w:r w:rsidR="004554E4" w:rsidRPr="001C1D01">
              <w:rPr>
                <w:rFonts w:eastAsia="Batang"/>
                <w:lang w:val="en-GB" w:eastAsia="ja-JP"/>
              </w:rPr>
              <w:t xml:space="preserve"> lesions total cost per patient (10%)</w:t>
            </w:r>
          </w:p>
        </w:tc>
        <w:tc>
          <w:tcPr>
            <w:tcW w:w="650" w:type="pct"/>
            <w:tcBorders>
              <w:top w:val="nil"/>
              <w:left w:val="nil"/>
              <w:bottom w:val="single" w:sz="4" w:space="0" w:color="auto"/>
              <w:right w:val="single" w:sz="4" w:space="0" w:color="auto"/>
            </w:tcBorders>
            <w:shd w:val="clear" w:color="auto" w:fill="auto"/>
            <w:vAlign w:val="center"/>
            <w:hideMark/>
          </w:tcPr>
          <w:p w14:paraId="5FDF277E" w14:textId="77777777" w:rsidR="004554E4" w:rsidRPr="004554E4" w:rsidRDefault="004554E4" w:rsidP="009E06DB">
            <w:pPr>
              <w:pStyle w:val="Tabletext1"/>
            </w:pPr>
            <w:r w:rsidRPr="004554E4">
              <w:t>96,829</w:t>
            </w:r>
          </w:p>
        </w:tc>
        <w:tc>
          <w:tcPr>
            <w:tcW w:w="651" w:type="pct"/>
            <w:tcBorders>
              <w:top w:val="nil"/>
              <w:left w:val="nil"/>
              <w:bottom w:val="single" w:sz="4" w:space="0" w:color="auto"/>
              <w:right w:val="single" w:sz="4" w:space="0" w:color="auto"/>
            </w:tcBorders>
            <w:shd w:val="clear" w:color="auto" w:fill="auto"/>
            <w:vAlign w:val="center"/>
            <w:hideMark/>
          </w:tcPr>
          <w:p w14:paraId="0EFAED36" w14:textId="77777777" w:rsidR="004554E4" w:rsidRPr="004554E4" w:rsidRDefault="004554E4" w:rsidP="009E06DB">
            <w:pPr>
              <w:pStyle w:val="Tabletext1"/>
            </w:pPr>
            <w:r w:rsidRPr="004554E4">
              <w:t>198,638</w:t>
            </w:r>
          </w:p>
        </w:tc>
        <w:tc>
          <w:tcPr>
            <w:tcW w:w="651" w:type="pct"/>
            <w:tcBorders>
              <w:top w:val="nil"/>
              <w:left w:val="nil"/>
              <w:bottom w:val="single" w:sz="4" w:space="0" w:color="auto"/>
              <w:right w:val="single" w:sz="4" w:space="0" w:color="auto"/>
            </w:tcBorders>
            <w:shd w:val="clear" w:color="auto" w:fill="auto"/>
            <w:vAlign w:val="center"/>
            <w:hideMark/>
          </w:tcPr>
          <w:p w14:paraId="4B6ADB53" w14:textId="77777777" w:rsidR="004554E4" w:rsidRPr="004554E4" w:rsidRDefault="004554E4" w:rsidP="009E06DB">
            <w:pPr>
              <w:pStyle w:val="Tabletext1"/>
            </w:pPr>
            <w:r w:rsidRPr="004554E4">
              <w:t>305,678</w:t>
            </w:r>
          </w:p>
        </w:tc>
        <w:tc>
          <w:tcPr>
            <w:tcW w:w="651" w:type="pct"/>
            <w:tcBorders>
              <w:top w:val="nil"/>
              <w:left w:val="nil"/>
              <w:bottom w:val="single" w:sz="4" w:space="0" w:color="auto"/>
              <w:right w:val="single" w:sz="4" w:space="0" w:color="auto"/>
            </w:tcBorders>
            <w:shd w:val="clear" w:color="auto" w:fill="auto"/>
            <w:vAlign w:val="center"/>
            <w:hideMark/>
          </w:tcPr>
          <w:p w14:paraId="5D6CED85" w14:textId="77777777" w:rsidR="004554E4" w:rsidRPr="004554E4" w:rsidRDefault="004554E4" w:rsidP="009E06DB">
            <w:pPr>
              <w:pStyle w:val="Tabletext1"/>
            </w:pPr>
            <w:r w:rsidRPr="004554E4">
              <w:t>418,213</w:t>
            </w:r>
          </w:p>
        </w:tc>
        <w:tc>
          <w:tcPr>
            <w:tcW w:w="651" w:type="pct"/>
            <w:tcBorders>
              <w:top w:val="nil"/>
              <w:left w:val="nil"/>
              <w:bottom w:val="single" w:sz="4" w:space="0" w:color="auto"/>
              <w:right w:val="single" w:sz="4" w:space="0" w:color="auto"/>
            </w:tcBorders>
            <w:shd w:val="clear" w:color="auto" w:fill="auto"/>
            <w:vAlign w:val="center"/>
            <w:hideMark/>
          </w:tcPr>
          <w:p w14:paraId="36E0F683" w14:textId="1FA7087D" w:rsidR="004554E4" w:rsidRPr="004554E4" w:rsidRDefault="00035B47" w:rsidP="00035B47">
            <w:pPr>
              <w:pStyle w:val="Tabletext1"/>
            </w:pPr>
            <w:r>
              <w:t>532</w:t>
            </w:r>
            <w:r w:rsidR="004554E4" w:rsidRPr="004554E4">
              <w:t>,</w:t>
            </w:r>
            <w:r>
              <w:t>779</w:t>
            </w:r>
          </w:p>
        </w:tc>
      </w:tr>
      <w:tr w:rsidR="004554E4" w:rsidRPr="001C1D01" w14:paraId="05363005"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7BDBC01E" w14:textId="446EACF1" w:rsidR="004554E4" w:rsidRPr="001C1D01" w:rsidRDefault="006D0335" w:rsidP="009E06DB">
            <w:pPr>
              <w:pStyle w:val="Tabletext1"/>
              <w:rPr>
                <w:rFonts w:eastAsia="Batang"/>
                <w:lang w:val="en-GB" w:eastAsia="ja-JP"/>
              </w:rPr>
            </w:pPr>
            <w:r>
              <w:rPr>
                <w:rFonts w:eastAsia="Batang"/>
                <w:lang w:val="en-GB" w:eastAsia="ja-JP"/>
              </w:rPr>
              <w:t>&gt;5</w:t>
            </w:r>
            <w:r w:rsidR="004554E4" w:rsidRPr="001C1D01">
              <w:rPr>
                <w:rFonts w:eastAsia="Batang"/>
                <w:lang w:val="en-GB" w:eastAsia="ja-JP"/>
              </w:rPr>
              <w:t xml:space="preserve"> lesions total cost per patient (0%)</w:t>
            </w:r>
          </w:p>
        </w:tc>
        <w:tc>
          <w:tcPr>
            <w:tcW w:w="650" w:type="pct"/>
            <w:tcBorders>
              <w:top w:val="nil"/>
              <w:left w:val="nil"/>
              <w:bottom w:val="single" w:sz="4" w:space="0" w:color="auto"/>
              <w:right w:val="single" w:sz="4" w:space="0" w:color="auto"/>
            </w:tcBorders>
            <w:shd w:val="clear" w:color="auto" w:fill="auto"/>
            <w:vAlign w:val="center"/>
            <w:hideMark/>
          </w:tcPr>
          <w:p w14:paraId="38662B52"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4298BC56"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787DF705"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137A7B79" w14:textId="77777777" w:rsidR="004554E4" w:rsidRPr="004554E4" w:rsidRDefault="004554E4" w:rsidP="009E06DB">
            <w:pPr>
              <w:pStyle w:val="Tabletext1"/>
            </w:pPr>
            <w:r w:rsidRPr="004554E4">
              <w:t>0</w:t>
            </w:r>
          </w:p>
        </w:tc>
        <w:tc>
          <w:tcPr>
            <w:tcW w:w="651" w:type="pct"/>
            <w:tcBorders>
              <w:top w:val="nil"/>
              <w:left w:val="nil"/>
              <w:bottom w:val="single" w:sz="4" w:space="0" w:color="auto"/>
              <w:right w:val="single" w:sz="4" w:space="0" w:color="auto"/>
            </w:tcBorders>
            <w:shd w:val="clear" w:color="auto" w:fill="auto"/>
            <w:vAlign w:val="center"/>
            <w:hideMark/>
          </w:tcPr>
          <w:p w14:paraId="5CDF7FC9" w14:textId="77777777" w:rsidR="004554E4" w:rsidRPr="004554E4" w:rsidRDefault="004554E4" w:rsidP="009E06DB">
            <w:pPr>
              <w:pStyle w:val="Tabletext1"/>
            </w:pPr>
            <w:r w:rsidRPr="004554E4">
              <w:t>0</w:t>
            </w:r>
          </w:p>
        </w:tc>
      </w:tr>
      <w:tr w:rsidR="004554E4" w:rsidRPr="001C1D01" w14:paraId="03720EC6" w14:textId="77777777" w:rsidTr="00E30CC7">
        <w:trPr>
          <w:trHeight w:val="255"/>
        </w:trPr>
        <w:tc>
          <w:tcPr>
            <w:tcW w:w="1746" w:type="pct"/>
            <w:tcBorders>
              <w:top w:val="nil"/>
              <w:left w:val="single" w:sz="4" w:space="0" w:color="auto"/>
              <w:bottom w:val="single" w:sz="4" w:space="0" w:color="auto"/>
              <w:right w:val="single" w:sz="4" w:space="0" w:color="auto"/>
            </w:tcBorders>
            <w:shd w:val="clear" w:color="auto" w:fill="auto"/>
            <w:vAlign w:val="center"/>
            <w:hideMark/>
          </w:tcPr>
          <w:p w14:paraId="0ADCD5CF" w14:textId="77777777" w:rsidR="004554E4" w:rsidRPr="001C1D01" w:rsidRDefault="004554E4" w:rsidP="009E06DB">
            <w:pPr>
              <w:pStyle w:val="Tabletext1"/>
              <w:rPr>
                <w:rFonts w:eastAsia="Batang"/>
                <w:lang w:val="en-GB" w:eastAsia="ja-JP"/>
              </w:rPr>
            </w:pPr>
            <w:r w:rsidRPr="001C1D01">
              <w:rPr>
                <w:rFonts w:eastAsia="Batang"/>
                <w:lang w:val="en-GB" w:eastAsia="ja-JP"/>
              </w:rPr>
              <w:t>Total</w:t>
            </w:r>
          </w:p>
        </w:tc>
        <w:tc>
          <w:tcPr>
            <w:tcW w:w="650" w:type="pct"/>
            <w:tcBorders>
              <w:top w:val="nil"/>
              <w:left w:val="nil"/>
              <w:bottom w:val="single" w:sz="4" w:space="0" w:color="auto"/>
              <w:right w:val="single" w:sz="4" w:space="0" w:color="auto"/>
            </w:tcBorders>
            <w:shd w:val="clear" w:color="auto" w:fill="auto"/>
            <w:vAlign w:val="center"/>
            <w:hideMark/>
          </w:tcPr>
          <w:p w14:paraId="55031D32" w14:textId="77777777" w:rsidR="004554E4" w:rsidRPr="004554E4" w:rsidRDefault="004554E4" w:rsidP="009E06DB">
            <w:pPr>
              <w:pStyle w:val="Tabletext1"/>
            </w:pPr>
            <w:r w:rsidRPr="004554E4">
              <w:t>911,937</w:t>
            </w:r>
          </w:p>
        </w:tc>
        <w:tc>
          <w:tcPr>
            <w:tcW w:w="651" w:type="pct"/>
            <w:tcBorders>
              <w:top w:val="nil"/>
              <w:left w:val="nil"/>
              <w:bottom w:val="single" w:sz="4" w:space="0" w:color="auto"/>
              <w:right w:val="single" w:sz="4" w:space="0" w:color="auto"/>
            </w:tcBorders>
            <w:shd w:val="clear" w:color="auto" w:fill="auto"/>
            <w:vAlign w:val="center"/>
            <w:hideMark/>
          </w:tcPr>
          <w:p w14:paraId="7383ED70" w14:textId="77777777" w:rsidR="004554E4" w:rsidRPr="004554E4" w:rsidRDefault="004554E4" w:rsidP="009E06DB">
            <w:pPr>
              <w:pStyle w:val="Tabletext1"/>
            </w:pPr>
            <w:r w:rsidRPr="004554E4">
              <w:t>1,870,773</w:t>
            </w:r>
          </w:p>
        </w:tc>
        <w:tc>
          <w:tcPr>
            <w:tcW w:w="651" w:type="pct"/>
            <w:tcBorders>
              <w:top w:val="nil"/>
              <w:left w:val="nil"/>
              <w:bottom w:val="single" w:sz="4" w:space="0" w:color="auto"/>
              <w:right w:val="single" w:sz="4" w:space="0" w:color="auto"/>
            </w:tcBorders>
            <w:shd w:val="clear" w:color="auto" w:fill="auto"/>
            <w:vAlign w:val="center"/>
            <w:hideMark/>
          </w:tcPr>
          <w:p w14:paraId="2738DF92" w14:textId="77777777" w:rsidR="004554E4" w:rsidRPr="004554E4" w:rsidRDefault="004554E4" w:rsidP="009E06DB">
            <w:pPr>
              <w:pStyle w:val="Tabletext1"/>
            </w:pPr>
            <w:r w:rsidRPr="004554E4">
              <w:t>2,878,872</w:t>
            </w:r>
          </w:p>
        </w:tc>
        <w:tc>
          <w:tcPr>
            <w:tcW w:w="651" w:type="pct"/>
            <w:tcBorders>
              <w:top w:val="nil"/>
              <w:left w:val="nil"/>
              <w:bottom w:val="single" w:sz="4" w:space="0" w:color="auto"/>
              <w:right w:val="single" w:sz="4" w:space="0" w:color="auto"/>
            </w:tcBorders>
            <w:shd w:val="clear" w:color="auto" w:fill="auto"/>
            <w:vAlign w:val="center"/>
            <w:hideMark/>
          </w:tcPr>
          <w:p w14:paraId="4BE59D82" w14:textId="77777777" w:rsidR="004554E4" w:rsidRPr="004554E4" w:rsidRDefault="004554E4" w:rsidP="009E06DB">
            <w:pPr>
              <w:pStyle w:val="Tabletext1"/>
            </w:pPr>
            <w:r w:rsidRPr="004554E4">
              <w:t>3,938,722</w:t>
            </w:r>
          </w:p>
        </w:tc>
        <w:tc>
          <w:tcPr>
            <w:tcW w:w="651" w:type="pct"/>
            <w:tcBorders>
              <w:top w:val="nil"/>
              <w:left w:val="nil"/>
              <w:bottom w:val="single" w:sz="4" w:space="0" w:color="auto"/>
              <w:right w:val="single" w:sz="4" w:space="0" w:color="auto"/>
            </w:tcBorders>
            <w:shd w:val="clear" w:color="auto" w:fill="auto"/>
            <w:vAlign w:val="center"/>
            <w:hideMark/>
          </w:tcPr>
          <w:p w14:paraId="42D86A47" w14:textId="13A9DD63" w:rsidR="004554E4" w:rsidRPr="004554E4" w:rsidRDefault="00035B47" w:rsidP="00035B47">
            <w:pPr>
              <w:pStyle w:val="Tabletext1"/>
            </w:pPr>
            <w:r>
              <w:t>5,049</w:t>
            </w:r>
            <w:r w:rsidR="004554E4" w:rsidRPr="004554E4">
              <w:t>,</w:t>
            </w:r>
            <w:r>
              <w:t>197</w:t>
            </w:r>
          </w:p>
        </w:tc>
      </w:tr>
      <w:tr w:rsidR="004554E4" w:rsidRPr="001C1D01" w14:paraId="4D8B9629" w14:textId="77777777" w:rsidTr="00E30CC7">
        <w:trPr>
          <w:trHeight w:val="255"/>
        </w:trPr>
        <w:tc>
          <w:tcPr>
            <w:tcW w:w="1746" w:type="pct"/>
            <w:tcBorders>
              <w:top w:val="nil"/>
              <w:left w:val="single" w:sz="4" w:space="0" w:color="auto"/>
              <w:bottom w:val="single" w:sz="4" w:space="0" w:color="auto"/>
              <w:right w:val="single" w:sz="4" w:space="0" w:color="auto"/>
            </w:tcBorders>
            <w:shd w:val="clear" w:color="000000" w:fill="D9D9D9"/>
            <w:vAlign w:val="center"/>
            <w:hideMark/>
          </w:tcPr>
          <w:p w14:paraId="49AD6166" w14:textId="77777777" w:rsidR="004554E4" w:rsidRPr="00EF628D" w:rsidRDefault="004554E4" w:rsidP="009E06DB">
            <w:pPr>
              <w:pStyle w:val="Tabletext1"/>
              <w:rPr>
                <w:rFonts w:eastAsia="Batang"/>
                <w:b/>
                <w:lang w:val="en-GB" w:eastAsia="ja-JP"/>
              </w:rPr>
            </w:pPr>
            <w:r w:rsidRPr="00EF628D">
              <w:rPr>
                <w:rFonts w:eastAsia="Batang"/>
                <w:b/>
                <w:lang w:val="en-GB" w:eastAsia="ja-JP"/>
              </w:rPr>
              <w:t>Net MBS Costs</w:t>
            </w:r>
          </w:p>
        </w:tc>
        <w:tc>
          <w:tcPr>
            <w:tcW w:w="650" w:type="pct"/>
            <w:tcBorders>
              <w:top w:val="nil"/>
              <w:left w:val="nil"/>
              <w:bottom w:val="single" w:sz="4" w:space="0" w:color="auto"/>
              <w:right w:val="single" w:sz="4" w:space="0" w:color="auto"/>
            </w:tcBorders>
            <w:shd w:val="clear" w:color="000000" w:fill="D9D9D9"/>
            <w:vAlign w:val="center"/>
            <w:hideMark/>
          </w:tcPr>
          <w:p w14:paraId="1B7E6AFC" w14:textId="35A5300B" w:rsidR="004554E4" w:rsidRPr="004554E4" w:rsidRDefault="004554E4" w:rsidP="00035B47">
            <w:pPr>
              <w:pStyle w:val="Tabletext1"/>
            </w:pPr>
            <w:r w:rsidRPr="004554E4">
              <w:t>-</w:t>
            </w:r>
            <w:r w:rsidR="00035B47">
              <w:t>296,546</w:t>
            </w:r>
          </w:p>
        </w:tc>
        <w:tc>
          <w:tcPr>
            <w:tcW w:w="651" w:type="pct"/>
            <w:tcBorders>
              <w:top w:val="nil"/>
              <w:left w:val="nil"/>
              <w:bottom w:val="single" w:sz="4" w:space="0" w:color="auto"/>
              <w:right w:val="single" w:sz="4" w:space="0" w:color="auto"/>
            </w:tcBorders>
            <w:shd w:val="clear" w:color="000000" w:fill="D9D9D9"/>
            <w:vAlign w:val="center"/>
            <w:hideMark/>
          </w:tcPr>
          <w:p w14:paraId="5BDB12B9" w14:textId="508ECECC" w:rsidR="004554E4" w:rsidRPr="004554E4" w:rsidRDefault="004554E4" w:rsidP="00035B47">
            <w:pPr>
              <w:pStyle w:val="Tabletext1"/>
            </w:pPr>
            <w:r w:rsidRPr="004554E4">
              <w:t>-</w:t>
            </w:r>
            <w:r w:rsidR="00035B47">
              <w:t>608,343</w:t>
            </w:r>
          </w:p>
        </w:tc>
        <w:tc>
          <w:tcPr>
            <w:tcW w:w="651" w:type="pct"/>
            <w:tcBorders>
              <w:top w:val="nil"/>
              <w:left w:val="nil"/>
              <w:bottom w:val="single" w:sz="4" w:space="0" w:color="auto"/>
              <w:right w:val="single" w:sz="4" w:space="0" w:color="auto"/>
            </w:tcBorders>
            <w:shd w:val="clear" w:color="000000" w:fill="D9D9D9"/>
            <w:vAlign w:val="center"/>
            <w:hideMark/>
          </w:tcPr>
          <w:p w14:paraId="7E6A207D" w14:textId="5A3229ED" w:rsidR="004554E4" w:rsidRPr="004554E4" w:rsidRDefault="004554E4" w:rsidP="00035B47">
            <w:pPr>
              <w:pStyle w:val="Tabletext1"/>
            </w:pPr>
            <w:r w:rsidRPr="004554E4">
              <w:t>-9</w:t>
            </w:r>
            <w:r w:rsidR="00035B47">
              <w:t>36,160</w:t>
            </w:r>
          </w:p>
        </w:tc>
        <w:tc>
          <w:tcPr>
            <w:tcW w:w="651" w:type="pct"/>
            <w:tcBorders>
              <w:top w:val="nil"/>
              <w:left w:val="nil"/>
              <w:bottom w:val="single" w:sz="4" w:space="0" w:color="auto"/>
              <w:right w:val="single" w:sz="4" w:space="0" w:color="auto"/>
            </w:tcBorders>
            <w:shd w:val="clear" w:color="000000" w:fill="D9D9D9"/>
            <w:vAlign w:val="center"/>
            <w:hideMark/>
          </w:tcPr>
          <w:p w14:paraId="486D6115" w14:textId="20C27F12" w:rsidR="004554E4" w:rsidRPr="004554E4" w:rsidRDefault="004554E4" w:rsidP="00035B47">
            <w:pPr>
              <w:pStyle w:val="Tabletext1"/>
            </w:pPr>
            <w:r w:rsidRPr="004554E4">
              <w:t>-1,</w:t>
            </w:r>
            <w:r w:rsidR="00035B47">
              <w:t>280,805</w:t>
            </w:r>
          </w:p>
        </w:tc>
        <w:tc>
          <w:tcPr>
            <w:tcW w:w="651" w:type="pct"/>
            <w:tcBorders>
              <w:top w:val="nil"/>
              <w:left w:val="nil"/>
              <w:bottom w:val="single" w:sz="4" w:space="0" w:color="auto"/>
              <w:right w:val="single" w:sz="4" w:space="0" w:color="auto"/>
            </w:tcBorders>
            <w:shd w:val="clear" w:color="000000" w:fill="D9D9D9"/>
            <w:vAlign w:val="center"/>
            <w:hideMark/>
          </w:tcPr>
          <w:p w14:paraId="27323E45" w14:textId="43A30299" w:rsidR="004554E4" w:rsidRPr="004554E4" w:rsidRDefault="004554E4" w:rsidP="00035B47">
            <w:pPr>
              <w:pStyle w:val="Tabletext1"/>
            </w:pPr>
            <w:r w:rsidRPr="004554E4">
              <w:t>-1,</w:t>
            </w:r>
            <w:r w:rsidR="00035B47">
              <w:t>643,129</w:t>
            </w:r>
          </w:p>
        </w:tc>
      </w:tr>
    </w:tbl>
    <w:p w14:paraId="7F0C8C77" w14:textId="77777777" w:rsidR="00E56FF7" w:rsidRPr="00753CFF" w:rsidRDefault="00BF75DF" w:rsidP="004554E4">
      <w:pPr>
        <w:pStyle w:val="Tablenotes0"/>
        <w:rPr>
          <w:rFonts w:cs="Tahoma"/>
          <w:bCs/>
          <w:sz w:val="20"/>
          <w:szCs w:val="22"/>
          <w:lang w:eastAsia="en-AU"/>
        </w:rPr>
      </w:pPr>
      <w:r w:rsidRPr="00753CFF">
        <w:rPr>
          <w:rFonts w:cs="Tahoma"/>
          <w:bCs/>
          <w:snapToGrid/>
          <w:sz w:val="20"/>
          <w:szCs w:val="22"/>
          <w:lang w:eastAsia="en-AU"/>
        </w:rPr>
        <w:t xml:space="preserve">MBS = Medicare benefits schedule; </w:t>
      </w:r>
      <w:r w:rsidR="00206137" w:rsidRPr="00753CFF">
        <w:rPr>
          <w:rFonts w:cs="Tahoma"/>
          <w:bCs/>
          <w:snapToGrid/>
          <w:sz w:val="20"/>
          <w:szCs w:val="22"/>
          <w:lang w:eastAsia="en-AU"/>
        </w:rPr>
        <w:t>MTA</w:t>
      </w:r>
      <w:r w:rsidRPr="00753CFF">
        <w:rPr>
          <w:rFonts w:cs="Tahoma"/>
          <w:bCs/>
          <w:snapToGrid/>
          <w:sz w:val="20"/>
          <w:szCs w:val="22"/>
          <w:lang w:eastAsia="en-AU"/>
        </w:rPr>
        <w:t xml:space="preserve"> </w:t>
      </w:r>
      <w:r w:rsidR="00206137" w:rsidRPr="00753CFF">
        <w:rPr>
          <w:rFonts w:cs="Tahoma"/>
          <w:bCs/>
          <w:snapToGrid/>
          <w:sz w:val="20"/>
          <w:szCs w:val="22"/>
          <w:lang w:eastAsia="en-AU"/>
        </w:rPr>
        <w:t xml:space="preserve">= </w:t>
      </w:r>
      <w:r w:rsidR="00E56FF7" w:rsidRPr="00753CFF">
        <w:rPr>
          <w:rFonts w:cs="Tahoma"/>
          <w:bCs/>
          <w:snapToGrid/>
          <w:sz w:val="20"/>
          <w:szCs w:val="22"/>
          <w:lang w:eastAsia="en-AU"/>
        </w:rPr>
        <w:t xml:space="preserve">microwave tissue ablation for primary </w:t>
      </w:r>
      <w:r w:rsidR="00206137" w:rsidRPr="00753CFF">
        <w:rPr>
          <w:rFonts w:cs="Tahoma"/>
          <w:bCs/>
          <w:snapToGrid/>
          <w:sz w:val="20"/>
          <w:szCs w:val="22"/>
          <w:lang w:eastAsia="en-AU"/>
        </w:rPr>
        <w:t>and secondary lung cancer</w:t>
      </w:r>
      <w:r w:rsidRPr="00753CFF">
        <w:rPr>
          <w:rFonts w:cs="Tahoma"/>
          <w:bCs/>
          <w:snapToGrid/>
          <w:sz w:val="20"/>
          <w:szCs w:val="22"/>
          <w:lang w:eastAsia="en-AU"/>
        </w:rPr>
        <w:t>.</w:t>
      </w:r>
    </w:p>
    <w:p w14:paraId="1F75AED0" w14:textId="5C385B1A" w:rsidR="00E56FF7" w:rsidRPr="00E56FF7" w:rsidRDefault="00E56FF7" w:rsidP="00340FD7">
      <w:pPr>
        <w:spacing w:before="500"/>
      </w:pPr>
      <w:r w:rsidRPr="00E56FF7">
        <w:rPr>
          <w:noProof/>
        </w:rPr>
        <w:t>The costs of the MTA machine, and probes are borne by private health funds, patients or hospitals (state and territory budget). The base case estimate assumes the number of</w:t>
      </w:r>
      <w:r w:rsidR="00320458">
        <w:rPr>
          <w:noProof/>
        </w:rPr>
        <w:t xml:space="preserve"> MTA patients increases from 202</w:t>
      </w:r>
      <w:r w:rsidRPr="00E56FF7">
        <w:rPr>
          <w:noProof/>
        </w:rPr>
        <w:t xml:space="preserve"> to 1,</w:t>
      </w:r>
      <w:r w:rsidR="004554E4">
        <w:rPr>
          <w:noProof/>
        </w:rPr>
        <w:t>117</w:t>
      </w:r>
      <w:r w:rsidRPr="00E56FF7">
        <w:rPr>
          <w:noProof/>
        </w:rPr>
        <w:t xml:space="preserve"> per year, leading to a total cost of the machines of $0.05 mill</w:t>
      </w:r>
      <w:r w:rsidR="004554E4">
        <w:rPr>
          <w:noProof/>
        </w:rPr>
        <w:t xml:space="preserve">ion in year </w:t>
      </w:r>
      <w:r w:rsidR="00A04CC7">
        <w:rPr>
          <w:noProof/>
        </w:rPr>
        <w:t>one</w:t>
      </w:r>
      <w:r w:rsidR="004554E4">
        <w:rPr>
          <w:noProof/>
        </w:rPr>
        <w:t xml:space="preserve"> increasing to $0.28</w:t>
      </w:r>
      <w:r w:rsidRPr="00E56FF7">
        <w:rPr>
          <w:noProof/>
        </w:rPr>
        <w:t xml:space="preserve"> million in year five. The cost of probes and hospital stays also increase. Probes are the largest c</w:t>
      </w:r>
      <w:r w:rsidR="004554E4">
        <w:rPr>
          <w:noProof/>
        </w:rPr>
        <w:t>ost item – increasing from $0.60 million in Year 1 to $3.31</w:t>
      </w:r>
      <w:r w:rsidRPr="00E56FF7">
        <w:rPr>
          <w:noProof/>
        </w:rPr>
        <w:t xml:space="preserve"> million in Year </w:t>
      </w:r>
      <w:r w:rsidR="00A848FA">
        <w:rPr>
          <w:noProof/>
        </w:rPr>
        <w:t>5</w:t>
      </w:r>
      <w:r w:rsidRPr="00E56FF7">
        <w:rPr>
          <w:noProof/>
        </w:rPr>
        <w:t xml:space="preserve">. The total </w:t>
      </w:r>
      <w:r w:rsidRPr="00E56FF7">
        <w:rPr>
          <w:noProof/>
        </w:rPr>
        <w:lastRenderedPageBreak/>
        <w:t xml:space="preserve">cost to private health funds and hospitals in year </w:t>
      </w:r>
      <w:r w:rsidR="00BF75DF">
        <w:rPr>
          <w:noProof/>
        </w:rPr>
        <w:t>five</w:t>
      </w:r>
      <w:r w:rsidR="00BF75DF" w:rsidRPr="00E56FF7">
        <w:rPr>
          <w:noProof/>
        </w:rPr>
        <w:t xml:space="preserve"> </w:t>
      </w:r>
      <w:r w:rsidR="004554E4">
        <w:rPr>
          <w:noProof/>
        </w:rPr>
        <w:t>is $13.42</w:t>
      </w:r>
      <w:r w:rsidRPr="00E56FF7">
        <w:rPr>
          <w:noProof/>
        </w:rPr>
        <w:t xml:space="preserve"> million. This is substanti</w:t>
      </w:r>
      <w:r w:rsidR="00A109B2">
        <w:rPr>
          <w:noProof/>
        </w:rPr>
        <w:t>ally</w:t>
      </w:r>
      <w:r w:rsidRPr="00E56FF7">
        <w:rPr>
          <w:noProof/>
        </w:rPr>
        <w:t xml:space="preserve"> more than</w:t>
      </w:r>
      <w:r w:rsidR="00A04CC7">
        <w:rPr>
          <w:noProof/>
        </w:rPr>
        <w:t xml:space="preserve"> the net impact to the MBS</w:t>
      </w:r>
      <w:r w:rsidRPr="00E56FF7">
        <w:rPr>
          <w:noProof/>
        </w:rPr>
        <w:t>. Variables such as the propor</w:t>
      </w:r>
      <w:r w:rsidR="00A848FA">
        <w:rPr>
          <w:noProof/>
        </w:rPr>
        <w:t>t</w:t>
      </w:r>
      <w:r w:rsidRPr="00E56FF7">
        <w:rPr>
          <w:noProof/>
        </w:rPr>
        <w:t xml:space="preserve">ion of lung cancer that </w:t>
      </w:r>
      <w:r w:rsidR="00483943">
        <w:rPr>
          <w:noProof/>
        </w:rPr>
        <w:t>is NSCLC, the relative size of p</w:t>
      </w:r>
      <w:r w:rsidRPr="00E56FF7">
        <w:rPr>
          <w:noProof/>
        </w:rPr>
        <w:t xml:space="preserve">opulation </w:t>
      </w:r>
      <w:r w:rsidR="00483943">
        <w:rPr>
          <w:noProof/>
        </w:rPr>
        <w:t>one</w:t>
      </w:r>
      <w:r w:rsidRPr="00E56FF7">
        <w:rPr>
          <w:noProof/>
        </w:rPr>
        <w:t xml:space="preserve"> and </w:t>
      </w:r>
      <w:r w:rsidR="00483943">
        <w:rPr>
          <w:noProof/>
        </w:rPr>
        <w:t>two</w:t>
      </w:r>
      <w:r w:rsidRPr="00E56FF7">
        <w:rPr>
          <w:noProof/>
        </w:rPr>
        <w:t xml:space="preserve"> patient numbers, and assumed uptake have an impact on net</w:t>
      </w:r>
      <w:r w:rsidR="00483943">
        <w:rPr>
          <w:noProof/>
        </w:rPr>
        <w:t xml:space="preserve"> MBS expenditures. </w:t>
      </w:r>
      <w:r w:rsidR="006F36C8">
        <w:rPr>
          <w:noProof/>
        </w:rPr>
        <w:t>Increases in these parameters generally increase the</w:t>
      </w:r>
      <w:r w:rsidRPr="00E56FF7">
        <w:rPr>
          <w:noProof/>
        </w:rPr>
        <w:t xml:space="preserve"> MBS net cost savings, as a higher number of </w:t>
      </w:r>
      <w:r w:rsidR="00760AC9">
        <w:rPr>
          <w:noProof/>
        </w:rPr>
        <w:t>SBRT</w:t>
      </w:r>
      <w:r w:rsidRPr="00E56FF7">
        <w:rPr>
          <w:noProof/>
        </w:rPr>
        <w:t xml:space="preserve"> procedures are being subs</w:t>
      </w:r>
      <w:r w:rsidR="00A109B2">
        <w:rPr>
          <w:noProof/>
        </w:rPr>
        <w:t>t</w:t>
      </w:r>
      <w:r w:rsidRPr="00E56FF7">
        <w:rPr>
          <w:noProof/>
        </w:rPr>
        <w:t>ituted.</w:t>
      </w:r>
    </w:p>
    <w:p w14:paraId="00C02587" w14:textId="77777777" w:rsidR="00E91BE1" w:rsidRPr="00183E4D" w:rsidRDefault="00E91BE1" w:rsidP="00DF343F">
      <w:pPr>
        <w:spacing w:after="0"/>
      </w:pPr>
    </w:p>
    <w:p w14:paraId="666C55DA" w14:textId="77777777" w:rsidR="00553518" w:rsidRDefault="002106B9" w:rsidP="00DF343F">
      <w:pPr>
        <w:pStyle w:val="Heading1"/>
      </w:pPr>
      <w:bookmarkStart w:id="110" w:name="_Toc355274699"/>
      <w:bookmarkStart w:id="111" w:name="_Ref363826811"/>
      <w:bookmarkStart w:id="112" w:name="_Toc379118061"/>
      <w:bookmarkStart w:id="113" w:name="_Toc381796437"/>
      <w:bookmarkStart w:id="114" w:name="_Toc460396013"/>
      <w:bookmarkStart w:id="115" w:name="_Toc451749499"/>
      <w:bookmarkEnd w:id="106"/>
      <w:bookmarkEnd w:id="107"/>
      <w:r w:rsidRPr="0089269D">
        <w:lastRenderedPageBreak/>
        <w:t xml:space="preserve">Acronyms </w:t>
      </w:r>
      <w:r w:rsidR="003346E0" w:rsidRPr="0089269D">
        <w:t>and A</w:t>
      </w:r>
      <w:r w:rsidR="00553518" w:rsidRPr="0089269D">
        <w:t>bbreviations</w:t>
      </w:r>
      <w:bookmarkEnd w:id="110"/>
      <w:bookmarkEnd w:id="111"/>
      <w:bookmarkEnd w:id="112"/>
      <w:bookmarkEnd w:id="113"/>
      <w:bookmarkEnd w:id="114"/>
      <w:r w:rsidR="00553518" w:rsidRPr="00183E4D">
        <w:t xml:space="preserve"> </w:t>
      </w:r>
    </w:p>
    <w:p w14:paraId="652673AC" w14:textId="77777777" w:rsidR="007D4774" w:rsidRPr="007D4774" w:rsidRDefault="007D4774" w:rsidP="00430E74">
      <w:pPr>
        <w:spacing w:before="0" w:line="240" w:lineRule="auto"/>
      </w:pPr>
      <w:r w:rsidRPr="007D4774">
        <w:t>AHRT</w:t>
      </w:r>
      <w:r w:rsidRPr="007D4774">
        <w:tab/>
      </w:r>
      <w:r>
        <w:tab/>
      </w:r>
      <w:r w:rsidRPr="007D4774">
        <w:t>Accelerated hypofractionated radiotherapy</w:t>
      </w:r>
    </w:p>
    <w:p w14:paraId="0F306CDF" w14:textId="77777777" w:rsidR="007D4774" w:rsidRPr="007D4774" w:rsidRDefault="007D4774" w:rsidP="00430E74">
      <w:pPr>
        <w:spacing w:before="0" w:line="240" w:lineRule="auto"/>
      </w:pPr>
      <w:r w:rsidRPr="007D4774">
        <w:t>AIHW</w:t>
      </w:r>
      <w:r w:rsidRPr="007D4774">
        <w:tab/>
      </w:r>
      <w:r>
        <w:tab/>
      </w:r>
      <w:r w:rsidRPr="007D4774">
        <w:t>Australian Institute of Health and Welfare</w:t>
      </w:r>
    </w:p>
    <w:p w14:paraId="4FCD6341" w14:textId="77777777" w:rsidR="007D4774" w:rsidRPr="007D4774" w:rsidRDefault="007D4774" w:rsidP="00430E74">
      <w:pPr>
        <w:spacing w:before="0" w:line="240" w:lineRule="auto"/>
      </w:pPr>
      <w:r w:rsidRPr="007D4774">
        <w:t>AMSTAR</w:t>
      </w:r>
      <w:r w:rsidRPr="007D4774">
        <w:tab/>
        <w:t>A Measurement Tool to Assess Systematic Reviews</w:t>
      </w:r>
    </w:p>
    <w:p w14:paraId="15658FF4" w14:textId="77777777" w:rsidR="007D4774" w:rsidRPr="007D4774" w:rsidRDefault="007D4774" w:rsidP="00430E74">
      <w:pPr>
        <w:spacing w:before="0" w:line="240" w:lineRule="auto"/>
      </w:pPr>
      <w:r w:rsidRPr="007D4774">
        <w:t>ARTG</w:t>
      </w:r>
      <w:r w:rsidRPr="007D4774">
        <w:tab/>
      </w:r>
      <w:r>
        <w:tab/>
      </w:r>
      <w:r w:rsidRPr="007D4774">
        <w:t>Australian Register of Therapeutic Goods</w:t>
      </w:r>
    </w:p>
    <w:p w14:paraId="74504739" w14:textId="77777777" w:rsidR="007D4774" w:rsidRPr="007D4774" w:rsidRDefault="007D4774" w:rsidP="00430E74">
      <w:pPr>
        <w:spacing w:before="0" w:line="240" w:lineRule="auto"/>
      </w:pPr>
      <w:r w:rsidRPr="007D4774">
        <w:t>CHART</w:t>
      </w:r>
      <w:r w:rsidRPr="007D4774">
        <w:tab/>
        <w:t>Continuous hyperfractionated accelerated radiation therapy</w:t>
      </w:r>
    </w:p>
    <w:p w14:paraId="46C94FC4" w14:textId="77777777" w:rsidR="007D4774" w:rsidRPr="007D4774" w:rsidRDefault="007D4774" w:rsidP="00430E74">
      <w:pPr>
        <w:spacing w:before="0" w:line="240" w:lineRule="auto"/>
      </w:pPr>
      <w:r w:rsidRPr="007D4774">
        <w:t>COPD</w:t>
      </w:r>
      <w:r w:rsidRPr="007D4774">
        <w:tab/>
      </w:r>
      <w:r>
        <w:tab/>
      </w:r>
      <w:r w:rsidRPr="007D4774">
        <w:t>Chronic obstructive pulmonary disease</w:t>
      </w:r>
    </w:p>
    <w:p w14:paraId="3405E7FF" w14:textId="77777777" w:rsidR="007D4774" w:rsidRPr="007D4774" w:rsidRDefault="007D4774" w:rsidP="00430E74">
      <w:pPr>
        <w:spacing w:before="0" w:line="240" w:lineRule="auto"/>
      </w:pPr>
      <w:r w:rsidRPr="007D4774">
        <w:t>CRC</w:t>
      </w:r>
      <w:r w:rsidRPr="007D4774">
        <w:tab/>
      </w:r>
      <w:r>
        <w:tab/>
      </w:r>
      <w:r w:rsidRPr="007D4774">
        <w:t>Colorectal cancer</w:t>
      </w:r>
    </w:p>
    <w:p w14:paraId="61A1FAA6" w14:textId="77777777" w:rsidR="007D4774" w:rsidRPr="007D4774" w:rsidRDefault="007D4774" w:rsidP="00430E74">
      <w:pPr>
        <w:spacing w:before="0" w:line="240" w:lineRule="auto"/>
      </w:pPr>
      <w:r w:rsidRPr="007D4774">
        <w:t>CT</w:t>
      </w:r>
      <w:r w:rsidRPr="007D4774">
        <w:tab/>
      </w:r>
      <w:r>
        <w:tab/>
      </w:r>
      <w:r w:rsidRPr="007D4774">
        <w:t>Computed tomography</w:t>
      </w:r>
    </w:p>
    <w:p w14:paraId="1E19AA6B" w14:textId="77777777" w:rsidR="007D4774" w:rsidRPr="007D4774" w:rsidRDefault="007D4774" w:rsidP="00430E74">
      <w:pPr>
        <w:spacing w:before="0" w:line="240" w:lineRule="auto"/>
      </w:pPr>
      <w:r w:rsidRPr="007D4774">
        <w:t>CTCAE</w:t>
      </w:r>
      <w:r w:rsidRPr="007D4774">
        <w:tab/>
        <w:t>Common Terminology Criteria for Adverse Events</w:t>
      </w:r>
    </w:p>
    <w:p w14:paraId="59AB84DD" w14:textId="77777777" w:rsidR="007D4774" w:rsidRPr="007D4774" w:rsidRDefault="007D4774" w:rsidP="00430E74">
      <w:pPr>
        <w:spacing w:before="0" w:line="240" w:lineRule="auto"/>
      </w:pPr>
      <w:r w:rsidRPr="007D4774">
        <w:t>ECOG</w:t>
      </w:r>
      <w:r w:rsidRPr="007D4774">
        <w:tab/>
      </w:r>
      <w:r>
        <w:tab/>
      </w:r>
      <w:r w:rsidRPr="007D4774">
        <w:t>Eastern Cooperative Oncology Group</w:t>
      </w:r>
    </w:p>
    <w:p w14:paraId="241502C1" w14:textId="77777777" w:rsidR="007D4774" w:rsidRDefault="007D4774" w:rsidP="00430E74">
      <w:pPr>
        <w:spacing w:before="0" w:line="240" w:lineRule="auto"/>
      </w:pPr>
      <w:r w:rsidRPr="007D4774">
        <w:t>FDG</w:t>
      </w:r>
      <w:r>
        <w:tab/>
      </w:r>
      <w:r>
        <w:tab/>
        <w:t>Fludeoxyglucose (18F)</w:t>
      </w:r>
    </w:p>
    <w:p w14:paraId="5517723D" w14:textId="77777777" w:rsidR="007D4774" w:rsidRPr="007D4774" w:rsidRDefault="007D4774" w:rsidP="00430E74">
      <w:pPr>
        <w:spacing w:before="0" w:line="240" w:lineRule="auto"/>
      </w:pPr>
      <w:r w:rsidRPr="007D4774">
        <w:t>FRANZCR</w:t>
      </w:r>
      <w:r w:rsidRPr="007D4774">
        <w:tab/>
        <w:t>Fellow of the Royal Australian and New Zealand College of Radiologists</w:t>
      </w:r>
    </w:p>
    <w:p w14:paraId="7F867CFA" w14:textId="77777777" w:rsidR="007D4774" w:rsidRPr="007D4774" w:rsidRDefault="007D4774" w:rsidP="00430E74">
      <w:pPr>
        <w:spacing w:before="0" w:line="240" w:lineRule="auto"/>
      </w:pPr>
      <w:r w:rsidRPr="007D4774">
        <w:t>HCC</w:t>
      </w:r>
      <w:r w:rsidRPr="007D4774">
        <w:tab/>
      </w:r>
      <w:r>
        <w:tab/>
      </w:r>
      <w:r w:rsidRPr="007D4774">
        <w:t>Hepatocellular carcinoma</w:t>
      </w:r>
    </w:p>
    <w:p w14:paraId="65757575" w14:textId="77777777" w:rsidR="007D4774" w:rsidRPr="007D4774" w:rsidRDefault="007D4774" w:rsidP="00430E74">
      <w:pPr>
        <w:spacing w:before="0" w:line="240" w:lineRule="auto"/>
      </w:pPr>
      <w:r w:rsidRPr="007D4774">
        <w:t>HRQoL</w:t>
      </w:r>
      <w:r w:rsidRPr="007D4774">
        <w:tab/>
        <w:t>Health-related quality of life</w:t>
      </w:r>
    </w:p>
    <w:p w14:paraId="66280668" w14:textId="77777777" w:rsidR="007D4774" w:rsidRPr="007D4774" w:rsidRDefault="007D4774" w:rsidP="00430E74">
      <w:pPr>
        <w:spacing w:before="0" w:line="240" w:lineRule="auto"/>
      </w:pPr>
      <w:r w:rsidRPr="007D4774">
        <w:t>HTA</w:t>
      </w:r>
      <w:r w:rsidRPr="007D4774">
        <w:tab/>
      </w:r>
      <w:r>
        <w:tab/>
      </w:r>
      <w:r w:rsidRPr="007D4774">
        <w:t>Health technology assessment</w:t>
      </w:r>
    </w:p>
    <w:p w14:paraId="288ABC1E" w14:textId="77777777" w:rsidR="007D4774" w:rsidRPr="007D4774" w:rsidRDefault="007D4774" w:rsidP="00430E74">
      <w:pPr>
        <w:spacing w:before="0" w:line="240" w:lineRule="auto"/>
      </w:pPr>
      <w:r w:rsidRPr="007D4774">
        <w:t xml:space="preserve">ICER </w:t>
      </w:r>
      <w:r>
        <w:tab/>
      </w:r>
      <w:r>
        <w:tab/>
      </w:r>
      <w:r w:rsidRPr="007D4774">
        <w:t>Incremental cost-effectiveness ratio</w:t>
      </w:r>
    </w:p>
    <w:p w14:paraId="6D5F99CC" w14:textId="77777777" w:rsidR="007D4774" w:rsidRPr="007D4774" w:rsidRDefault="007D4774" w:rsidP="00430E74">
      <w:pPr>
        <w:spacing w:before="0" w:line="240" w:lineRule="auto"/>
      </w:pPr>
      <w:r w:rsidRPr="007D4774">
        <w:t>IGRT</w:t>
      </w:r>
      <w:r w:rsidRPr="007D4774">
        <w:tab/>
      </w:r>
      <w:r>
        <w:tab/>
      </w:r>
      <w:r w:rsidRPr="007D4774">
        <w:t>Image-guided radiation therapy</w:t>
      </w:r>
    </w:p>
    <w:p w14:paraId="079C0B38" w14:textId="77777777" w:rsidR="007D4774" w:rsidRPr="007D4774" w:rsidRDefault="007D4774" w:rsidP="00430E74">
      <w:pPr>
        <w:spacing w:before="0" w:line="240" w:lineRule="auto"/>
      </w:pPr>
      <w:r w:rsidRPr="007D4774">
        <w:t xml:space="preserve">IHE </w:t>
      </w:r>
      <w:r>
        <w:tab/>
      </w:r>
      <w:r>
        <w:tab/>
      </w:r>
      <w:r w:rsidRPr="007D4774">
        <w:t>Institute of Health Economics</w:t>
      </w:r>
    </w:p>
    <w:p w14:paraId="08670A3C" w14:textId="77777777" w:rsidR="007D4774" w:rsidRPr="007D4774" w:rsidRDefault="007D4774" w:rsidP="00430E74">
      <w:pPr>
        <w:spacing w:before="0" w:line="240" w:lineRule="auto"/>
      </w:pPr>
      <w:r w:rsidRPr="007D4774">
        <w:t>IQR</w:t>
      </w:r>
      <w:r w:rsidRPr="007D4774">
        <w:tab/>
      </w:r>
      <w:r>
        <w:tab/>
      </w:r>
      <w:r w:rsidRPr="007D4774">
        <w:t>Interquartile range</w:t>
      </w:r>
    </w:p>
    <w:p w14:paraId="74005DAF" w14:textId="77777777" w:rsidR="007D4774" w:rsidRPr="007D4774" w:rsidRDefault="007D4774" w:rsidP="00430E74">
      <w:pPr>
        <w:spacing w:before="0" w:line="240" w:lineRule="auto"/>
      </w:pPr>
      <w:r w:rsidRPr="007D4774">
        <w:t>MBS</w:t>
      </w:r>
      <w:r w:rsidRPr="007D4774">
        <w:tab/>
      </w:r>
      <w:r>
        <w:tab/>
      </w:r>
      <w:r w:rsidRPr="007D4774">
        <w:t>Medicare Benefits Schedule</w:t>
      </w:r>
    </w:p>
    <w:p w14:paraId="4D170420" w14:textId="77777777" w:rsidR="007D4774" w:rsidRPr="007D4774" w:rsidRDefault="007D4774" w:rsidP="00430E74">
      <w:pPr>
        <w:spacing w:before="0" w:line="240" w:lineRule="auto"/>
      </w:pPr>
      <w:r w:rsidRPr="007D4774">
        <w:t>MD</w:t>
      </w:r>
      <w:r w:rsidRPr="007D4774">
        <w:tab/>
      </w:r>
      <w:r>
        <w:tab/>
      </w:r>
      <w:r w:rsidRPr="007D4774">
        <w:t>Mean difference</w:t>
      </w:r>
    </w:p>
    <w:p w14:paraId="07061BB7" w14:textId="77777777" w:rsidR="007D4774" w:rsidRPr="007D4774" w:rsidRDefault="007D4774" w:rsidP="00430E74">
      <w:pPr>
        <w:spacing w:before="0" w:line="240" w:lineRule="auto"/>
      </w:pPr>
      <w:r w:rsidRPr="007D4774">
        <w:t>MeSH</w:t>
      </w:r>
      <w:r w:rsidRPr="007D4774">
        <w:tab/>
      </w:r>
      <w:r>
        <w:tab/>
      </w:r>
      <w:r w:rsidRPr="007D4774">
        <w:t>Medical subject heading</w:t>
      </w:r>
    </w:p>
    <w:p w14:paraId="1061F807" w14:textId="77777777" w:rsidR="007D4774" w:rsidRPr="007D4774" w:rsidRDefault="007D4774" w:rsidP="00430E74">
      <w:pPr>
        <w:spacing w:before="0" w:line="240" w:lineRule="auto"/>
      </w:pPr>
      <w:r w:rsidRPr="007D4774">
        <w:t>MSAC</w:t>
      </w:r>
      <w:r w:rsidRPr="007D4774">
        <w:tab/>
      </w:r>
      <w:r>
        <w:tab/>
      </w:r>
      <w:r w:rsidRPr="007D4774">
        <w:t>Medical Services Advisory Committee</w:t>
      </w:r>
    </w:p>
    <w:p w14:paraId="1974CF08" w14:textId="77777777" w:rsidR="007D4774" w:rsidRPr="007D4774" w:rsidRDefault="007D4774" w:rsidP="00430E74">
      <w:pPr>
        <w:spacing w:before="0" w:line="240" w:lineRule="auto"/>
      </w:pPr>
      <w:r w:rsidRPr="007D4774">
        <w:t>MTA</w:t>
      </w:r>
      <w:r w:rsidRPr="007D4774">
        <w:tab/>
      </w:r>
      <w:r>
        <w:tab/>
      </w:r>
      <w:r w:rsidRPr="007D4774">
        <w:t>Microwave tissue ablation</w:t>
      </w:r>
    </w:p>
    <w:p w14:paraId="31371902" w14:textId="77777777" w:rsidR="007D4774" w:rsidRPr="007D4774" w:rsidRDefault="007D4774" w:rsidP="00430E74">
      <w:pPr>
        <w:spacing w:before="0" w:line="240" w:lineRule="auto"/>
      </w:pPr>
      <w:r w:rsidRPr="007D4774">
        <w:lastRenderedPageBreak/>
        <w:t>NCI-CTCAE</w:t>
      </w:r>
      <w:r w:rsidRPr="007D4774">
        <w:tab/>
        <w:t>National Cancer Institute-Common Terminology Criteria for Adverse Events</w:t>
      </w:r>
    </w:p>
    <w:p w14:paraId="29C736EC" w14:textId="77777777" w:rsidR="007D4774" w:rsidRPr="007D4774" w:rsidRDefault="007D4774" w:rsidP="00430E74">
      <w:pPr>
        <w:spacing w:before="0" w:line="240" w:lineRule="auto"/>
      </w:pPr>
      <w:r w:rsidRPr="007D4774">
        <w:t>NHMRC</w:t>
      </w:r>
      <w:r w:rsidRPr="007D4774">
        <w:tab/>
        <w:t>National Health and Medical Research Council</w:t>
      </w:r>
    </w:p>
    <w:p w14:paraId="5A92C35D" w14:textId="77777777" w:rsidR="007D4774" w:rsidRPr="007D4774" w:rsidRDefault="007D4774" w:rsidP="00430E74">
      <w:pPr>
        <w:spacing w:before="0" w:line="240" w:lineRule="auto"/>
      </w:pPr>
      <w:r w:rsidRPr="007D4774">
        <w:t>NSCLC</w:t>
      </w:r>
      <w:r w:rsidRPr="007D4774">
        <w:tab/>
        <w:t>Non-small cell lung cancer</w:t>
      </w:r>
    </w:p>
    <w:p w14:paraId="4B5DB980" w14:textId="77777777" w:rsidR="007D4774" w:rsidRPr="007D4774" w:rsidRDefault="007D4774" w:rsidP="00430E74">
      <w:pPr>
        <w:spacing w:before="0" w:line="240" w:lineRule="auto"/>
      </w:pPr>
      <w:r w:rsidRPr="007D4774">
        <w:t>NSW</w:t>
      </w:r>
      <w:r>
        <w:tab/>
      </w:r>
      <w:r w:rsidRPr="007D4774">
        <w:tab/>
        <w:t>New South Wales</w:t>
      </w:r>
    </w:p>
    <w:p w14:paraId="65A240DC" w14:textId="77777777" w:rsidR="007D4774" w:rsidRPr="007D4774" w:rsidRDefault="007D4774" w:rsidP="00430E74">
      <w:pPr>
        <w:spacing w:before="0" w:line="240" w:lineRule="auto"/>
      </w:pPr>
      <w:r w:rsidRPr="007D4774">
        <w:t>OL</w:t>
      </w:r>
      <w:r w:rsidRPr="007D4774">
        <w:tab/>
      </w:r>
      <w:r>
        <w:tab/>
      </w:r>
      <w:r w:rsidRPr="007D4774">
        <w:t>Open label (unblinded)</w:t>
      </w:r>
    </w:p>
    <w:p w14:paraId="1C9F1E34" w14:textId="77777777" w:rsidR="007D4774" w:rsidRPr="007D4774" w:rsidRDefault="007D4774" w:rsidP="00430E74">
      <w:pPr>
        <w:spacing w:before="0" w:line="240" w:lineRule="auto"/>
      </w:pPr>
      <w:r w:rsidRPr="007D4774">
        <w:t>OS</w:t>
      </w:r>
      <w:r w:rsidRPr="007D4774">
        <w:tab/>
      </w:r>
      <w:r>
        <w:tab/>
      </w:r>
      <w:r w:rsidRPr="007D4774">
        <w:t>Overall survival</w:t>
      </w:r>
    </w:p>
    <w:p w14:paraId="1F56620C" w14:textId="77777777" w:rsidR="007D4774" w:rsidRPr="007D4774" w:rsidRDefault="007D4774" w:rsidP="00430E74">
      <w:pPr>
        <w:spacing w:before="0" w:line="240" w:lineRule="auto"/>
      </w:pPr>
      <w:r w:rsidRPr="007D4774">
        <w:t>PASC</w:t>
      </w:r>
      <w:r w:rsidRPr="007D4774">
        <w:tab/>
      </w:r>
      <w:r>
        <w:tab/>
      </w:r>
      <w:r w:rsidRPr="007D4774">
        <w:t>Protocol Advisory Sub-Committee</w:t>
      </w:r>
    </w:p>
    <w:p w14:paraId="4FFC1FD4" w14:textId="77777777" w:rsidR="007D4774" w:rsidRPr="007D4774" w:rsidRDefault="007D4774" w:rsidP="00430E74">
      <w:pPr>
        <w:spacing w:before="0" w:line="240" w:lineRule="auto"/>
      </w:pPr>
      <w:r w:rsidRPr="007D4774">
        <w:t>PET</w:t>
      </w:r>
      <w:r w:rsidRPr="007D4774">
        <w:tab/>
      </w:r>
      <w:r>
        <w:tab/>
      </w:r>
      <w:r w:rsidRPr="007D4774">
        <w:t>Positron emission tomography</w:t>
      </w:r>
    </w:p>
    <w:p w14:paraId="165DEE12" w14:textId="77777777" w:rsidR="007D4774" w:rsidRPr="007D4774" w:rsidRDefault="007D4774" w:rsidP="00430E74">
      <w:pPr>
        <w:spacing w:before="0" w:line="240" w:lineRule="auto"/>
      </w:pPr>
      <w:r w:rsidRPr="007D4774">
        <w:t>PF</w:t>
      </w:r>
      <w:r w:rsidRPr="007D4774">
        <w:tab/>
      </w:r>
      <w:r>
        <w:tab/>
      </w:r>
      <w:r w:rsidRPr="007D4774">
        <w:t>Progression-free</w:t>
      </w:r>
    </w:p>
    <w:p w14:paraId="2C82EB27" w14:textId="77777777" w:rsidR="007D4774" w:rsidRPr="007D4774" w:rsidRDefault="007D4774" w:rsidP="00430E74">
      <w:pPr>
        <w:spacing w:before="0" w:line="240" w:lineRule="auto"/>
      </w:pPr>
      <w:r w:rsidRPr="007D4774">
        <w:t>PFS</w:t>
      </w:r>
      <w:r w:rsidRPr="007D4774">
        <w:tab/>
      </w:r>
      <w:r>
        <w:tab/>
      </w:r>
      <w:r w:rsidRPr="007D4774">
        <w:t>Progression free survival</w:t>
      </w:r>
    </w:p>
    <w:p w14:paraId="3583FD01" w14:textId="77777777" w:rsidR="007D4774" w:rsidRPr="007D4774" w:rsidRDefault="007D4774" w:rsidP="00430E74">
      <w:pPr>
        <w:spacing w:before="0" w:line="240" w:lineRule="auto"/>
      </w:pPr>
      <w:r w:rsidRPr="007D4774">
        <w:t>PICO</w:t>
      </w:r>
      <w:r w:rsidRPr="007D4774">
        <w:tab/>
      </w:r>
      <w:r>
        <w:tab/>
      </w:r>
      <w:r w:rsidRPr="007D4774">
        <w:t>Population, Intervention, Comparator, Outcome</w:t>
      </w:r>
    </w:p>
    <w:p w14:paraId="238DCDEE" w14:textId="77777777" w:rsidR="007D4774" w:rsidRPr="007D4774" w:rsidRDefault="007D4774" w:rsidP="00430E74">
      <w:pPr>
        <w:spacing w:before="0" w:line="240" w:lineRule="auto"/>
      </w:pPr>
      <w:r w:rsidRPr="007D4774">
        <w:t>QALY</w:t>
      </w:r>
      <w:r w:rsidRPr="007D4774">
        <w:tab/>
      </w:r>
      <w:r>
        <w:tab/>
      </w:r>
      <w:r w:rsidRPr="007D4774">
        <w:t>Quality adjusted life year</w:t>
      </w:r>
    </w:p>
    <w:p w14:paraId="1221F0A4" w14:textId="77777777" w:rsidR="007D4774" w:rsidRPr="007D4774" w:rsidRDefault="007D4774" w:rsidP="00430E74">
      <w:pPr>
        <w:spacing w:before="0" w:line="240" w:lineRule="auto"/>
      </w:pPr>
      <w:r w:rsidRPr="007D4774">
        <w:t>RCT</w:t>
      </w:r>
      <w:r w:rsidRPr="007D4774">
        <w:tab/>
      </w:r>
      <w:r>
        <w:tab/>
      </w:r>
      <w:r w:rsidRPr="007D4774">
        <w:t>Randomised controlled trial</w:t>
      </w:r>
    </w:p>
    <w:p w14:paraId="3B197A80" w14:textId="77777777" w:rsidR="007D4774" w:rsidRPr="007D4774" w:rsidRDefault="007D4774" w:rsidP="00430E74">
      <w:pPr>
        <w:spacing w:before="0" w:line="240" w:lineRule="auto"/>
      </w:pPr>
      <w:r w:rsidRPr="007D4774">
        <w:t>RECIST</w:t>
      </w:r>
      <w:r w:rsidRPr="007D4774">
        <w:tab/>
        <w:t>Response Evaluation Criteria in Solid Tumours</w:t>
      </w:r>
    </w:p>
    <w:p w14:paraId="5B7D5FCF" w14:textId="77777777" w:rsidR="007D4774" w:rsidRPr="007D4774" w:rsidRDefault="007D4774" w:rsidP="00430E74">
      <w:pPr>
        <w:spacing w:before="0" w:line="240" w:lineRule="auto"/>
      </w:pPr>
      <w:r w:rsidRPr="007D4774">
        <w:t xml:space="preserve">RFA </w:t>
      </w:r>
      <w:r>
        <w:tab/>
      </w:r>
      <w:r>
        <w:tab/>
      </w:r>
      <w:r w:rsidRPr="007D4774">
        <w:t>Radiofrequency ablation</w:t>
      </w:r>
    </w:p>
    <w:p w14:paraId="73D163D5" w14:textId="77777777" w:rsidR="007D4774" w:rsidRPr="007D4774" w:rsidRDefault="007D4774" w:rsidP="00430E74">
      <w:pPr>
        <w:spacing w:before="0" w:line="240" w:lineRule="auto"/>
      </w:pPr>
      <w:r w:rsidRPr="007D4774">
        <w:t>RT</w:t>
      </w:r>
      <w:r w:rsidRPr="007D4774">
        <w:tab/>
      </w:r>
      <w:r>
        <w:tab/>
      </w:r>
      <w:r w:rsidRPr="007D4774">
        <w:t xml:space="preserve">Radiotherapy </w:t>
      </w:r>
    </w:p>
    <w:p w14:paraId="42EFE833" w14:textId="77777777" w:rsidR="007D4774" w:rsidRPr="007D4774" w:rsidRDefault="007D4774" w:rsidP="00430E74">
      <w:pPr>
        <w:spacing w:before="0" w:line="240" w:lineRule="auto"/>
      </w:pPr>
      <w:r w:rsidRPr="007D4774">
        <w:t>RTOG</w:t>
      </w:r>
      <w:r w:rsidRPr="007D4774">
        <w:tab/>
      </w:r>
      <w:r>
        <w:tab/>
      </w:r>
      <w:r w:rsidRPr="007D4774">
        <w:t>Randomised controlled trial Radiation Therapy Oncology Group</w:t>
      </w:r>
    </w:p>
    <w:p w14:paraId="08ABD641" w14:textId="77777777" w:rsidR="007D4774" w:rsidRPr="007D4774" w:rsidRDefault="007D4774" w:rsidP="00430E74">
      <w:pPr>
        <w:spacing w:before="0" w:line="240" w:lineRule="auto"/>
      </w:pPr>
      <w:r w:rsidRPr="007D4774">
        <w:t>SBRT</w:t>
      </w:r>
      <w:r w:rsidRPr="007D4774">
        <w:tab/>
      </w:r>
      <w:r>
        <w:tab/>
      </w:r>
      <w:r w:rsidRPr="007D4774">
        <w:t>Stereotactic body radiation therapy</w:t>
      </w:r>
    </w:p>
    <w:p w14:paraId="43473A67" w14:textId="77777777" w:rsidR="007D4774" w:rsidRPr="007D4774" w:rsidRDefault="007D4774" w:rsidP="00430E74">
      <w:pPr>
        <w:spacing w:before="0" w:line="240" w:lineRule="auto"/>
      </w:pPr>
      <w:r w:rsidRPr="007D4774">
        <w:t>SCLC</w:t>
      </w:r>
      <w:r w:rsidRPr="007D4774">
        <w:tab/>
      </w:r>
      <w:r>
        <w:tab/>
      </w:r>
      <w:r w:rsidRPr="007D4774">
        <w:t>Small cell lung cancer</w:t>
      </w:r>
    </w:p>
    <w:p w14:paraId="1E986380" w14:textId="77777777" w:rsidR="007D4774" w:rsidRPr="007D4774" w:rsidRDefault="007D4774" w:rsidP="00430E74">
      <w:pPr>
        <w:spacing w:before="0" w:line="240" w:lineRule="auto"/>
      </w:pPr>
      <w:r w:rsidRPr="007D4774">
        <w:t>TACE</w:t>
      </w:r>
      <w:r w:rsidRPr="007D4774">
        <w:tab/>
      </w:r>
      <w:r>
        <w:tab/>
      </w:r>
      <w:r w:rsidRPr="007D4774">
        <w:t>Transarterial chemoembolization</w:t>
      </w:r>
    </w:p>
    <w:p w14:paraId="572DF66C" w14:textId="77777777" w:rsidR="007D4774" w:rsidRPr="007D4774" w:rsidRDefault="007D4774" w:rsidP="00430E74">
      <w:pPr>
        <w:spacing w:before="0" w:line="240" w:lineRule="auto"/>
      </w:pPr>
      <w:r w:rsidRPr="007D4774">
        <w:t>TGA</w:t>
      </w:r>
      <w:r w:rsidRPr="007D4774">
        <w:tab/>
      </w:r>
      <w:r>
        <w:tab/>
      </w:r>
      <w:r w:rsidRPr="007D4774">
        <w:t>Therapeutic Goods Administration</w:t>
      </w:r>
    </w:p>
    <w:p w14:paraId="19536DAB" w14:textId="77777777" w:rsidR="007D4774" w:rsidRPr="007D4774" w:rsidRDefault="007D4774" w:rsidP="00430E74">
      <w:pPr>
        <w:spacing w:before="0" w:line="240" w:lineRule="auto"/>
      </w:pPr>
      <w:r w:rsidRPr="007D4774">
        <w:t>TTLP</w:t>
      </w:r>
      <w:r w:rsidRPr="007D4774">
        <w:tab/>
      </w:r>
      <w:r>
        <w:tab/>
      </w:r>
      <w:r w:rsidRPr="007D4774">
        <w:t>Time to local progression</w:t>
      </w:r>
    </w:p>
    <w:p w14:paraId="30A30A32" w14:textId="77777777" w:rsidR="007D4774" w:rsidRPr="007D4774" w:rsidRDefault="007D4774" w:rsidP="00430E74">
      <w:pPr>
        <w:spacing w:before="0" w:line="240" w:lineRule="auto"/>
      </w:pPr>
      <w:r>
        <w:t>US</w:t>
      </w:r>
      <w:r>
        <w:tab/>
      </w:r>
      <w:r>
        <w:tab/>
      </w:r>
      <w:r w:rsidRPr="007D4774">
        <w:t>Ultrasound</w:t>
      </w:r>
    </w:p>
    <w:p w14:paraId="79CAE82B" w14:textId="77777777" w:rsidR="007D4774" w:rsidRPr="007D4774" w:rsidRDefault="007D4774" w:rsidP="00430E74">
      <w:pPr>
        <w:spacing w:before="0" w:line="240" w:lineRule="auto"/>
      </w:pPr>
      <w:r>
        <w:t>VEGF</w:t>
      </w:r>
      <w:r>
        <w:tab/>
      </w:r>
      <w:r>
        <w:tab/>
      </w:r>
      <w:r w:rsidRPr="007D4774">
        <w:t>Serum vascular endothelial growth factor</w:t>
      </w:r>
    </w:p>
    <w:p w14:paraId="7839A8D0" w14:textId="233F8D1A" w:rsidR="007D4774" w:rsidRDefault="007D4774" w:rsidP="00430E74">
      <w:pPr>
        <w:spacing w:before="0" w:line="240" w:lineRule="auto"/>
      </w:pPr>
      <w:proofErr w:type="gramStart"/>
      <w:r>
        <w:t>WHO</w:t>
      </w:r>
      <w:proofErr w:type="gramEnd"/>
      <w:r>
        <w:tab/>
      </w:r>
      <w:r>
        <w:tab/>
      </w:r>
      <w:r w:rsidR="00A04CC7">
        <w:t>World H</w:t>
      </w:r>
      <w:r w:rsidRPr="007D4774">
        <w:t>e</w:t>
      </w:r>
      <w:r w:rsidR="00A04CC7">
        <w:t>alth O</w:t>
      </w:r>
      <w:r w:rsidRPr="007D4774">
        <w:t>rganisation</w:t>
      </w:r>
    </w:p>
    <w:p w14:paraId="570E22AE" w14:textId="77777777" w:rsidR="008F59A8" w:rsidRPr="00183E4D" w:rsidRDefault="00913620" w:rsidP="00DF343F">
      <w:pPr>
        <w:pStyle w:val="Heading1"/>
      </w:pPr>
      <w:bookmarkStart w:id="116" w:name="_Toc460396014"/>
      <w:bookmarkEnd w:id="115"/>
      <w:r w:rsidRPr="00183E4D">
        <w:lastRenderedPageBreak/>
        <w:t xml:space="preserve">Section </w:t>
      </w:r>
      <w:proofErr w:type="gramStart"/>
      <w:r w:rsidRPr="00183E4D">
        <w:t>A</w:t>
      </w:r>
      <w:proofErr w:type="gramEnd"/>
      <w:r w:rsidRPr="00183E4D">
        <w:tab/>
        <w:t>Context</w:t>
      </w:r>
      <w:bookmarkEnd w:id="116"/>
    </w:p>
    <w:p w14:paraId="5455556F" w14:textId="77777777" w:rsidR="00E05186" w:rsidRDefault="00E05186" w:rsidP="00DF343F">
      <w:r w:rsidRPr="00183E4D">
        <w:t xml:space="preserve">This </w:t>
      </w:r>
      <w:r w:rsidR="00E30EFC">
        <w:t xml:space="preserve">contracted </w:t>
      </w:r>
      <w:r w:rsidRPr="00183E4D">
        <w:t xml:space="preserve">assessment </w:t>
      </w:r>
      <w:r w:rsidR="00FD31FC" w:rsidRPr="00183E4D">
        <w:t xml:space="preserve">of </w:t>
      </w:r>
      <w:r w:rsidR="00E30EFC">
        <w:t>microwave tissue ablation</w:t>
      </w:r>
      <w:r w:rsidR="00E65597">
        <w:t xml:space="preserve"> (MTA)</w:t>
      </w:r>
      <w:r w:rsidRPr="00183E4D">
        <w:t xml:space="preserve"> </w:t>
      </w:r>
      <w:r w:rsidR="00FD31FC" w:rsidRPr="00183E4D">
        <w:t xml:space="preserve">for the </w:t>
      </w:r>
      <w:r w:rsidR="00E30EFC">
        <w:t>treatment of primary and secondary lung cancer</w:t>
      </w:r>
      <w:r w:rsidR="00FD31FC" w:rsidRPr="00183E4D">
        <w:t xml:space="preserve"> </w:t>
      </w:r>
      <w:r w:rsidRPr="00183E4D">
        <w:t>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68BB7690" w14:textId="77777777" w:rsidR="008B5C5B" w:rsidRPr="00C87D2A" w:rsidRDefault="00E30EFC" w:rsidP="00DF343F">
      <w:r>
        <w:t>ASERNIP-S</w:t>
      </w:r>
      <w:r w:rsidR="00CC6551">
        <w:t xml:space="preserve"> of the Royal Australasian College of Surgeons</w:t>
      </w:r>
      <w:r w:rsidR="00EB4DCD">
        <w:t xml:space="preserve"> has been commissioned by the Australian Government</w:t>
      </w:r>
      <w:r w:rsidR="00EB4DCD" w:rsidRPr="007943BC">
        <w:t xml:space="preserve"> Department of Health to conduct a systematic </w:t>
      </w:r>
      <w:r w:rsidR="00EB4DCD">
        <w:t xml:space="preserve">literature </w:t>
      </w:r>
      <w:r w:rsidR="00EB4DCD" w:rsidRPr="007943BC">
        <w:t xml:space="preserve">review </w:t>
      </w:r>
      <w:r w:rsidR="00EB4DCD">
        <w:t>and economic evaluation of</w:t>
      </w:r>
      <w:r w:rsidR="00EB4DCD" w:rsidRPr="00A12E71">
        <w:t xml:space="preserve"> </w:t>
      </w:r>
      <w:r w:rsidR="00E65597">
        <w:t>MTA</w:t>
      </w:r>
      <w:r w:rsidRPr="00E30EFC">
        <w:t xml:space="preserve"> for the treatment of primary and secondary lung cancer</w:t>
      </w:r>
      <w:r w:rsidR="00EB4DCD">
        <w:t xml:space="preserve">. This assessment has been undertaken </w:t>
      </w:r>
      <w:r w:rsidR="00EB4DCD" w:rsidRPr="007943BC">
        <w:t>in order to inform MSAC’s decision-making r</w:t>
      </w:r>
      <w:r w:rsidR="00EB4DCD">
        <w:t>egarding whether the proposed medical serv</w:t>
      </w:r>
      <w:r w:rsidR="008B5C5B">
        <w:t>ice should be publicly funded.</w:t>
      </w:r>
      <w:r w:rsidR="004906BC">
        <w:t xml:space="preserve"> </w:t>
      </w:r>
      <w:r w:rsidR="009D44E4" w:rsidRPr="00C87D2A">
        <w:t>Appendix A provides a list of the people involved in the develop</w:t>
      </w:r>
      <w:r w:rsidR="0027467A" w:rsidRPr="00C87D2A">
        <w:t>ment of this assessment report</w:t>
      </w:r>
      <w:r w:rsidR="004906BC">
        <w:t>.</w:t>
      </w:r>
    </w:p>
    <w:p w14:paraId="7AC05A16" w14:textId="72BE5192" w:rsidR="00BD49CE" w:rsidRPr="00183E4D" w:rsidRDefault="00E05186" w:rsidP="00DF343F">
      <w:r w:rsidRPr="00183E4D">
        <w:t xml:space="preserve">The proposed use </w:t>
      </w:r>
      <w:r w:rsidR="00695731" w:rsidRPr="00183E4D">
        <w:t xml:space="preserve">of </w:t>
      </w:r>
      <w:r w:rsidR="00CC6551">
        <w:t>MTA</w:t>
      </w:r>
      <w:r w:rsidR="00695731" w:rsidRPr="00183E4D">
        <w:t xml:space="preserve"> in Australian clinical practice was outlined in a </w:t>
      </w:r>
      <w:r w:rsidR="00A941E9">
        <w:t>p</w:t>
      </w:r>
      <w:r w:rsidR="00CC6551">
        <w:t>rotocol</w:t>
      </w:r>
      <w:r w:rsidR="009545FC" w:rsidRPr="00183E4D">
        <w:t xml:space="preserve"> </w:t>
      </w:r>
      <w:r w:rsidR="00695731" w:rsidRPr="00183E4D">
        <w:t xml:space="preserve">that </w:t>
      </w:r>
      <w:r w:rsidR="00BD49CE" w:rsidRPr="00183E4D">
        <w:t xml:space="preserve">was </w:t>
      </w:r>
      <w:r w:rsidR="00F458EB">
        <w:t>presented to</w:t>
      </w:r>
      <w:r w:rsidR="00752C99">
        <w:t>, and accepted by,</w:t>
      </w:r>
      <w:r w:rsidR="00F458EB">
        <w:t xml:space="preserve"> the </w:t>
      </w:r>
      <w:r w:rsidR="0088661A">
        <w:t>PICO Confirmation</w:t>
      </w:r>
      <w:r w:rsidR="00F458EB" w:rsidRPr="00183E4D">
        <w:t xml:space="preserve"> Advisory Sub</w:t>
      </w:r>
      <w:r w:rsidR="00F25D87">
        <w:t>-</w:t>
      </w:r>
      <w:r w:rsidR="00F458EB" w:rsidRPr="00183E4D">
        <w:t>Committee (PASC)</w:t>
      </w:r>
      <w:r w:rsidR="00752C99">
        <w:t xml:space="preserve">. The </w:t>
      </w:r>
      <w:r w:rsidR="00A04CC7">
        <w:t xml:space="preserve">protocol </w:t>
      </w:r>
      <w:r w:rsidR="00752C99">
        <w:t xml:space="preserve">was </w:t>
      </w:r>
      <w:r w:rsidR="00BD49CE" w:rsidRPr="00183E4D">
        <w:t xml:space="preserve">released for public comment on </w:t>
      </w:r>
      <w:r w:rsidR="005A4A11">
        <w:t>5</w:t>
      </w:r>
      <w:r w:rsidR="00CC6551">
        <w:t xml:space="preserve"> October 2016</w:t>
      </w:r>
      <w:r w:rsidR="00BD49CE" w:rsidRPr="00183E4D">
        <w:t>.</w:t>
      </w:r>
      <w:r w:rsidR="00752C99">
        <w:t xml:space="preserve"> </w:t>
      </w:r>
    </w:p>
    <w:p w14:paraId="404CEDC9" w14:textId="77777777" w:rsidR="003F169D" w:rsidRPr="00183E4D" w:rsidRDefault="009545FC" w:rsidP="00647EB9">
      <w:pPr>
        <w:pStyle w:val="Heading2"/>
        <w:numPr>
          <w:ilvl w:val="0"/>
          <w:numId w:val="7"/>
        </w:numPr>
      </w:pPr>
      <w:bookmarkStart w:id="117" w:name="_Toc460396015"/>
      <w:r>
        <w:t xml:space="preserve">Items in the agreed </w:t>
      </w:r>
      <w:r w:rsidR="0088661A">
        <w:t>PICO Confirmation</w:t>
      </w:r>
      <w:bookmarkEnd w:id="117"/>
    </w:p>
    <w:p w14:paraId="624B1228" w14:textId="0615DDF2" w:rsidR="00B313E2" w:rsidRPr="00183E4D" w:rsidRDefault="00A01661" w:rsidP="00A01661">
      <w:r w:rsidRPr="00A01661">
        <w:t>This contracted assessment addresses most of the PICO elements that were pre-specified in the protocol that was rati</w:t>
      </w:r>
      <w:r w:rsidR="00A941E9">
        <w:t>fied by the PASC. However, the p</w:t>
      </w:r>
      <w:r w:rsidRPr="00A01661">
        <w:t>rotocol advises that the assessment should st</w:t>
      </w:r>
      <w:r w:rsidR="00B85571">
        <w:t>ratify population two</w:t>
      </w:r>
      <w:r w:rsidRPr="00A01661">
        <w:t xml:space="preserve"> into two groups with respect to their primary tumours: those with sarcoma (bone and soft tissue) and those with non-sarcoma </w:t>
      </w:r>
      <w:r w:rsidR="00CC7B4A">
        <w:t>primary cancers</w:t>
      </w:r>
      <w:r w:rsidRPr="00A01661">
        <w:t xml:space="preserve">. Unfortunately, the published literature was not amenable to such stratification. Additionally, because the clinical literature identified is not suitable for a statistical test of non-inferiority of MTA as compared to any of its comparators in any of the populations it was not possible or appropriate to undertake the cost-effectiveness analysis suggested by the protocol. Rather a cost minimisation approach has been used. </w:t>
      </w:r>
      <w:r w:rsidR="0022247B" w:rsidRPr="00183E4D">
        <w:t xml:space="preserve"> </w:t>
      </w:r>
    </w:p>
    <w:p w14:paraId="75047613" w14:textId="77777777" w:rsidR="00B313E2" w:rsidRPr="00183E4D" w:rsidRDefault="00835007" w:rsidP="00647EB9">
      <w:pPr>
        <w:pStyle w:val="Heading2"/>
        <w:numPr>
          <w:ilvl w:val="0"/>
          <w:numId w:val="7"/>
        </w:numPr>
      </w:pPr>
      <w:bookmarkStart w:id="118" w:name="_Toc460396016"/>
      <w:bookmarkStart w:id="119" w:name="_Toc381796441"/>
      <w:r w:rsidRPr="00183E4D">
        <w:t>Pro</w:t>
      </w:r>
      <w:r w:rsidR="007D2548" w:rsidRPr="00183E4D">
        <w:t>posed M</w:t>
      </w:r>
      <w:r w:rsidRPr="00183E4D">
        <w:t xml:space="preserve">edical </w:t>
      </w:r>
      <w:r w:rsidR="007D2548" w:rsidRPr="00183E4D">
        <w:t>S</w:t>
      </w:r>
      <w:r w:rsidRPr="00183E4D">
        <w:t>ervice</w:t>
      </w:r>
      <w:bookmarkEnd w:id="118"/>
    </w:p>
    <w:p w14:paraId="4732A62C" w14:textId="77777777" w:rsidR="00E30EFC" w:rsidRDefault="00E65597" w:rsidP="00E30EFC">
      <w:bookmarkStart w:id="120" w:name="_Toc379118262"/>
      <w:bookmarkEnd w:id="119"/>
      <w:r>
        <w:t xml:space="preserve">MTA for primary </w:t>
      </w:r>
      <w:r w:rsidR="00C949E9">
        <w:t xml:space="preserve">or </w:t>
      </w:r>
      <w:r>
        <w:t xml:space="preserve">secondary lung cancer has not previously been assessed by MSAC. </w:t>
      </w:r>
    </w:p>
    <w:p w14:paraId="7D1DB5C8" w14:textId="77777777" w:rsidR="007554EB" w:rsidRDefault="007554EB" w:rsidP="00E30EFC"/>
    <w:p w14:paraId="77D3A4A7" w14:textId="77777777" w:rsidR="00E65597" w:rsidRPr="00411DDC" w:rsidRDefault="00E65597" w:rsidP="00E65597">
      <w:pPr>
        <w:rPr>
          <w:b/>
          <w:i/>
        </w:rPr>
      </w:pPr>
      <w:r w:rsidRPr="00411DDC">
        <w:rPr>
          <w:b/>
          <w:i/>
        </w:rPr>
        <w:lastRenderedPageBreak/>
        <w:t>Description of the proposed service</w:t>
      </w:r>
    </w:p>
    <w:p w14:paraId="0D608332" w14:textId="39ECC3A6" w:rsidR="009075F5" w:rsidRDefault="00E65597" w:rsidP="009075F5">
      <w:r>
        <w:t>MTA is a thermo-ablative technique that uses high frequency electromagnetic energy to produce large ablation volumes in short procedure times (up to ten minutes per ablation cycle), with high accuracy and predictability</w:t>
      </w:r>
      <w:r w:rsidR="00C000FD">
        <w:t xml:space="preserve"> </w:t>
      </w:r>
      <w:r w:rsidR="00C000FD">
        <w:fldChar w:fldCharType="begin"/>
      </w:r>
      <w:r w:rsidR="00BA1147">
        <w:instrText xml:space="preserve"> ADDIN EN.CITE &lt;EndNote&gt;&lt;Cite&gt;&lt;Author&gt;Dupuy&lt;/Author&gt;&lt;Year&gt;2009&lt;/Year&gt;&lt;RecNum&gt;2402&lt;/RecNum&gt;&lt;DisplayText&gt;(Dupuy 2009)&lt;/DisplayText&gt;&lt;record&gt;&lt;rec-number&gt;2402&lt;/rec-number&gt;&lt;foreign-keys&gt;&lt;key app="EN" db-id="rxw229trk00etmerwavvr25osfpd5re99at0" timestamp="1464672531"&gt;2402&lt;/key&gt;&lt;/foreign-keys&gt;&lt;ref-type name="Journal Article"&gt;17&lt;/ref-type&gt;&lt;contributors&gt;&lt;authors&gt;&lt;author&gt;Dupuy, D. E.&lt;/author&gt;&lt;/authors&gt;&lt;/contributors&gt;&lt;auth-address&gt;Department of Diagnostic Imaging, Rhode Island Hospital, 593 Eddy St, Providence, RI 02903, USA. ddupuy@lifespan.org&lt;/auth-address&gt;&lt;titles&gt;&lt;title&gt;Microwave ablation compared with radiofrequency ablation in lung tissue-is microwave not just for popcorn anymore?&lt;/title&gt;&lt;secondary-title&gt;Radiology&lt;/secondary-title&gt;&lt;alt-title&gt;Radiology&lt;/alt-title&gt;&lt;/titles&gt;&lt;periodical&gt;&lt;full-title&gt;Radiology&lt;/full-title&gt;&lt;/periodical&gt;&lt;alt-periodical&gt;&lt;full-title&gt;Radiology&lt;/full-title&gt;&lt;/alt-periodical&gt;&lt;pages&gt;617-8&lt;/pages&gt;&lt;volume&gt;251&lt;/volume&gt;&lt;number&gt;3&lt;/number&gt;&lt;edition&gt;2009/05/29&lt;/edition&gt;&lt;keywords&gt;&lt;keyword&gt;Animals&lt;/keyword&gt;&lt;keyword&gt;Catheter Ablation/*methods&lt;/keyword&gt;&lt;keyword&gt;Lung/*radiation effects&lt;/keyword&gt;&lt;keyword&gt;Lung Neoplasms/*surgery&lt;/keyword&gt;&lt;keyword&gt;Microwaves/*therapeutic use&lt;/keyword&gt;&lt;keyword&gt;Radiography, Interventional&lt;/keyword&gt;&lt;keyword&gt;Swine&lt;/keyword&gt;&lt;keyword&gt;Tomography, X-Ray Computed&lt;/keyword&gt;&lt;/keywords&gt;&lt;dates&gt;&lt;year&gt;2009&lt;/year&gt;&lt;pub-dates&gt;&lt;date&gt;Jun&lt;/date&gt;&lt;/pub-dates&gt;&lt;/dates&gt;&lt;isbn&gt;0033-8419&lt;/isbn&gt;&lt;accession-num&gt;19474368&lt;/accession-num&gt;&lt;urls&gt;&lt;/urls&gt;&lt;electronic-resource-num&gt;10.1148/radiol.2513090129&lt;/electronic-resource-num&gt;&lt;remote-database-provider&gt;NLM&lt;/remote-database-provider&gt;&lt;language&gt;eng&lt;/language&gt;&lt;/record&gt;&lt;/Cite&gt;&lt;/EndNote&gt;</w:instrText>
      </w:r>
      <w:r w:rsidR="00C000FD">
        <w:fldChar w:fldCharType="separate"/>
      </w:r>
      <w:r w:rsidR="007A01C4">
        <w:rPr>
          <w:noProof/>
        </w:rPr>
        <w:t>(</w:t>
      </w:r>
      <w:hyperlink w:anchor="_ENREF_43" w:tooltip="Dupuy, 2009 #2402" w:history="1">
        <w:r w:rsidR="00320458">
          <w:rPr>
            <w:noProof/>
          </w:rPr>
          <w:t>Dupuy 2009</w:t>
        </w:r>
      </w:hyperlink>
      <w:r w:rsidR="007A01C4">
        <w:rPr>
          <w:noProof/>
        </w:rPr>
        <w:t>)</w:t>
      </w:r>
      <w:r w:rsidR="00C000FD">
        <w:fldChar w:fldCharType="end"/>
      </w:r>
      <w:r>
        <w:t>. Microwaves are the part of the electromagnetic spectrum with frequencies ranging from 900 to 2450 MHz, lying between infr</w:t>
      </w:r>
      <w:r w:rsidR="001C0330">
        <w:t xml:space="preserve">ared radiation and radio waves </w:t>
      </w:r>
      <w:r w:rsidR="00C000FD">
        <w:fldChar w:fldCharType="begin"/>
      </w:r>
      <w:r w:rsidR="00194054">
        <w:instrText xml:space="preserve"> ADDIN EN.CITE &lt;EndNote&gt;&lt;Cite&gt;&lt;Author&gt;Banik&lt;/Author&gt;&lt;Year&gt;2003&lt;/Year&gt;&lt;RecNum&gt;42&lt;/RecNum&gt;&lt;DisplayText&gt;(Banik et al 2003)&lt;/DisplayText&gt;&lt;record&gt;&lt;rec-number&gt;42&lt;/rec-number&gt;&lt;foreign-keys&gt;&lt;key app="EN" db-id="05ssdaw2cf0zvye5xvo5z9ww0xdpfstrdtew" timestamp="1465864258"&gt;42&lt;/key&gt;&lt;/foreign-keys&gt;&lt;ref-type name="Journal Article"&gt;17&lt;/ref-type&gt;&lt;contributors&gt;&lt;authors&gt;&lt;author&gt;Banik, S.&lt;/author&gt;&lt;author&gt;Bandyopadhyay, S.&lt;/author&gt;&lt;author&gt;Ganguly, S.&lt;/author&gt;&lt;/authors&gt;&lt;/contributors&gt;&lt;titles&gt;&lt;title&gt;Bioeffects of microwave––a brief review&lt;/title&gt;&lt;secondary-title&gt;Bioresource Technology&lt;/secondary-title&gt;&lt;/titles&gt;&lt;periodical&gt;&lt;full-title&gt;Bioresource Technology&lt;/full-title&gt;&lt;/periodical&gt;&lt;pages&gt;155-159&lt;/pages&gt;&lt;volume&gt;87&lt;/volume&gt;&lt;number&gt;2&lt;/number&gt;&lt;keywords&gt;&lt;keyword&gt;Microwave&lt;/keyword&gt;&lt;keyword&gt;Bioeffects&lt;/keyword&gt;&lt;keyword&gt;Athermal effect&lt;/keyword&gt;&lt;keyword&gt;Genetic mutation&lt;/keyword&gt;&lt;keyword&gt;Biotechnology&lt;/keyword&gt;&lt;/keywords&gt;&lt;dates&gt;&lt;year&gt;2003&lt;/year&gt;&lt;pub-dates&gt;&lt;date&gt;4//&lt;/date&gt;&lt;/pub-dates&gt;&lt;/dates&gt;&lt;isbn&gt;0960-8524&lt;/isbn&gt;&lt;urls&gt;&lt;related-urls&gt;&lt;url&gt;http://www.sciencedirect.com/science/article/pii/S0960852402001694&lt;/url&gt;&lt;/related-urls&gt;&lt;/urls&gt;&lt;electronic-resource-num&gt;http://dx.doi.org/10.1016/S0960-8524(02)00169-4&lt;/electronic-resource-num&gt;&lt;/record&gt;&lt;/Cite&gt;&lt;/EndNote&gt;</w:instrText>
      </w:r>
      <w:r w:rsidR="00C000FD">
        <w:fldChar w:fldCharType="separate"/>
      </w:r>
      <w:r w:rsidR="007A01C4">
        <w:rPr>
          <w:noProof/>
        </w:rPr>
        <w:t>(</w:t>
      </w:r>
      <w:hyperlink w:anchor="_ENREF_16" w:tooltip="Banik, 2003 #42" w:history="1">
        <w:r w:rsidR="00320458">
          <w:rPr>
            <w:noProof/>
          </w:rPr>
          <w:t>Banik et al 2003</w:t>
        </w:r>
      </w:hyperlink>
      <w:r w:rsidR="007A01C4">
        <w:rPr>
          <w:noProof/>
        </w:rPr>
        <w:t>)</w:t>
      </w:r>
      <w:r w:rsidR="00C000FD">
        <w:fldChar w:fldCharType="end"/>
      </w:r>
      <w:r>
        <w:t xml:space="preserve">. Microwave is a non-ionising radiation and therefore does not contain sufficient energy per quantum to ionise (or completely remove an electron from) atoms or molecules. Consequently, microwave does not induce DNA damage in individual cells </w:t>
      </w:r>
      <w:r w:rsidR="00C000FD">
        <w:fldChar w:fldCharType="begin">
          <w:fldData xml:space="preserve">PEVuZE5vdGU+PENpdGU+PEF1dGhvcj5CYW5pazwvQXV0aG9yPjxZZWFyPjIwMDM8L1llYXI+PFJl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=
</w:fldData>
        </w:fldChar>
      </w:r>
      <w:r w:rsidR="00194054">
        <w:instrText xml:space="preserve"> ADDIN EN.CITE </w:instrText>
      </w:r>
      <w:r w:rsidR="00194054">
        <w:fldChar w:fldCharType="begin">
          <w:fldData xml:space="preserve">PEVuZE5vdGU+PENpdGU+PEF1dGhvcj5CYW5pazwvQXV0aG9yPjxZZWFyPjIwMDM8L1llYXI+PFJl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=
</w:fldData>
        </w:fldChar>
      </w:r>
      <w:r w:rsidR="00194054">
        <w:instrText xml:space="preserve"> ADDIN EN.CITE.DATA </w:instrText>
      </w:r>
      <w:r w:rsidR="00194054">
        <w:fldChar w:fldCharType="end"/>
      </w:r>
      <w:r w:rsidR="00C000FD">
        <w:fldChar w:fldCharType="separate"/>
      </w:r>
      <w:r w:rsidR="007A01C4">
        <w:rPr>
          <w:noProof/>
        </w:rPr>
        <w:t>(</w:t>
      </w:r>
      <w:hyperlink w:anchor="_ENREF_16" w:tooltip="Banik, 2003 #42" w:history="1">
        <w:r w:rsidR="00320458">
          <w:rPr>
            <w:noProof/>
          </w:rPr>
          <w:t>Banik et al 2003</w:t>
        </w:r>
      </w:hyperlink>
      <w:r w:rsidR="007A01C4">
        <w:rPr>
          <w:noProof/>
        </w:rPr>
        <w:t xml:space="preserve">; </w:t>
      </w:r>
      <w:hyperlink w:anchor="_ENREF_116" w:tooltip="Ong, 2009 #22" w:history="1">
        <w:r w:rsidR="00320458">
          <w:rPr>
            <w:noProof/>
          </w:rPr>
          <w:t>Ong et al 2009</w:t>
        </w:r>
      </w:hyperlink>
      <w:r w:rsidR="007A01C4">
        <w:rPr>
          <w:noProof/>
        </w:rPr>
        <w:t>)</w:t>
      </w:r>
      <w:r w:rsidR="00C000FD">
        <w:fldChar w:fldCharType="end"/>
      </w:r>
      <w:r>
        <w:t xml:space="preserve">. </w:t>
      </w:r>
      <w:r w:rsidR="00C949E9">
        <w:t>M</w:t>
      </w:r>
      <w:r>
        <w:t xml:space="preserve">icrowave radiation </w:t>
      </w:r>
      <w:r w:rsidR="00C949E9">
        <w:t xml:space="preserve">causes </w:t>
      </w:r>
      <w:r>
        <w:t xml:space="preserve">water molecules in tissue </w:t>
      </w:r>
      <w:r w:rsidR="00C949E9">
        <w:t xml:space="preserve">to </w:t>
      </w:r>
      <w:r>
        <w:t xml:space="preserve">oscillate between two to five billion times per second, generating heat from the friction and subsequently leading to cell death through coagulation necrosis </w:t>
      </w:r>
      <w:r w:rsidR="00C000FD">
        <w:fldChar w:fldCharType="begin">
          <w:fldData xml:space="preserve">PEVuZE5vdGU+PENpdGU+PEF1dGhvcj5MdTwvQXV0aG9yPjxZZWFyPjIwMTI8L1llYXI+PFJlY051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</w:fldData>
        </w:fldChar>
      </w:r>
      <w:r w:rsidR="006A4E2A">
        <w:instrText xml:space="preserve"> ADDIN EN.CITE </w:instrText>
      </w:r>
      <w:r w:rsidR="006A4E2A">
        <w:fldChar w:fldCharType="begin">
          <w:fldData xml:space="preserve">PEVuZE5vdGU+PENpdGU+PEF1dGhvcj5MdTwvQXV0aG9yPjxZZWFyPjIwMTI8L1llYXI+PFJlY051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</w:fldData>
        </w:fldChar>
      </w:r>
      <w:r w:rsidR="006A4E2A">
        <w:instrText xml:space="preserve"> ADDIN EN.CITE.DATA </w:instrText>
      </w:r>
      <w:r w:rsidR="006A4E2A">
        <w:fldChar w:fldCharType="end"/>
      </w:r>
      <w:r w:rsidR="00C000FD">
        <w:fldChar w:fldCharType="separate"/>
      </w:r>
      <w:r w:rsidR="006A4E2A">
        <w:rPr>
          <w:noProof/>
        </w:rPr>
        <w:t>(</w:t>
      </w:r>
      <w:hyperlink w:anchor="_ENREF_97" w:tooltip="Lu, 2012 #18" w:history="1">
        <w:r w:rsidR="00320458">
          <w:rPr>
            <w:noProof/>
          </w:rPr>
          <w:t>Lu et al 2012b</w:t>
        </w:r>
      </w:hyperlink>
      <w:r w:rsidR="006A4E2A">
        <w:rPr>
          <w:noProof/>
        </w:rPr>
        <w:t xml:space="preserve">; </w:t>
      </w:r>
      <w:hyperlink w:anchor="_ENREF_116" w:tooltip="Ong, 2009 #22" w:history="1">
        <w:r w:rsidR="00320458">
          <w:rPr>
            <w:noProof/>
          </w:rPr>
          <w:t>Ong et al 2009</w:t>
        </w:r>
      </w:hyperlink>
      <w:r w:rsidR="006A4E2A">
        <w:rPr>
          <w:noProof/>
        </w:rPr>
        <w:t xml:space="preserve">; </w:t>
      </w:r>
      <w:hyperlink w:anchor="_ENREF_143" w:tooltip="Simon, 2005 #26" w:history="1">
        <w:r w:rsidR="00320458">
          <w:rPr>
            <w:noProof/>
          </w:rPr>
          <w:t>Simon et al 2005</w:t>
        </w:r>
      </w:hyperlink>
      <w:r w:rsidR="006A4E2A">
        <w:rPr>
          <w:noProof/>
        </w:rPr>
        <w:t>)</w:t>
      </w:r>
      <w:r w:rsidR="00C000FD">
        <w:fldChar w:fldCharType="end"/>
      </w:r>
      <w:r>
        <w:t>.</w:t>
      </w:r>
    </w:p>
    <w:p w14:paraId="4A95D7A0" w14:textId="2BE8E225" w:rsidR="009075F5" w:rsidRDefault="00E65597" w:rsidP="009075F5">
      <w:r>
        <w:t>In</w:t>
      </w:r>
      <w:r w:rsidR="00C949E9">
        <w:t xml:space="preserve"> the</w:t>
      </w:r>
      <w:r>
        <w:t xml:space="preserve"> clinical application of MTA, a thin microwave antenna is positioned in the centre of the tumour</w:t>
      </w:r>
      <w:r w:rsidR="001C0330">
        <w:t xml:space="preserve"> </w:t>
      </w:r>
      <w:r w:rsidR="00C000FD">
        <w:fldChar w:fldCharType="begin">
          <w:fldData xml:space="preserve">PEVuZE5vdGU+PENpdGU+PEF1dGhvcj5Pbmc8L0F1dGhvcj48WWVhcj4yMDA5PC9ZZWFyPjxSZWNO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</w:fldData>
        </w:fldChar>
      </w:r>
      <w:r w:rsidR="00194054">
        <w:instrText xml:space="preserve"> ADDIN EN.CITE </w:instrText>
      </w:r>
      <w:r w:rsidR="00194054">
        <w:fldChar w:fldCharType="begin">
          <w:fldData xml:space="preserve">PEVuZE5vdGU+PENpdGU+PEF1dGhvcj5Pbmc8L0F1dGhvcj48WWVhcj4yMDA5PC9ZZWFyPjxSZWNO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</w:fldData>
        </w:fldChar>
      </w:r>
      <w:r w:rsidR="00194054">
        <w:instrText xml:space="preserve"> ADDIN EN.CITE.DATA </w:instrText>
      </w:r>
      <w:r w:rsidR="00194054">
        <w:fldChar w:fldCharType="end"/>
      </w:r>
      <w:r w:rsidR="00C000FD">
        <w:fldChar w:fldCharType="separate"/>
      </w:r>
      <w:r w:rsidR="007A01C4">
        <w:rPr>
          <w:noProof/>
        </w:rPr>
        <w:t>(</w:t>
      </w:r>
      <w:hyperlink w:anchor="_ENREF_116" w:tooltip="Ong, 2009 #22" w:history="1">
        <w:r w:rsidR="00320458">
          <w:rPr>
            <w:noProof/>
          </w:rPr>
          <w:t>Ong et al 2009</w:t>
        </w:r>
      </w:hyperlink>
      <w:r w:rsidR="007A01C4">
        <w:rPr>
          <w:noProof/>
        </w:rPr>
        <w:t>)</w:t>
      </w:r>
      <w:r w:rsidR="00C000FD">
        <w:fldChar w:fldCharType="end"/>
      </w:r>
      <w:r>
        <w:t xml:space="preserve">. These </w:t>
      </w:r>
      <w:r w:rsidR="00C949E9">
        <w:t xml:space="preserve">antennae </w:t>
      </w:r>
      <w:r>
        <w:t>are straight applicators with active tips ranging in length from 0.6 to 4.0 cm</w:t>
      </w:r>
      <w:r w:rsidR="00C949E9">
        <w:t>. T</w:t>
      </w:r>
      <w:r>
        <w:t>hey can be single, dual or triple antenna</w:t>
      </w:r>
      <w:r w:rsidR="00C949E9">
        <w:t>e</w:t>
      </w:r>
      <w:r>
        <w:t xml:space="preserve"> which are simultaneously activated, and have either a straight or looped configuration affecting ablation volume </w:t>
      </w:r>
      <w:r w:rsidR="00C000FD">
        <w:fldChar w:fldCharType="begin">
          <w:fldData xml:space="preserve">PEVuZE5vdGU+PENpdGU+PEF1dGhvcj5NZXJlZGl0aDwvQXV0aG9yPjxZZWFyPjIwMDU8L1llYXI+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PGFiYnItMT5SYWRpb2xvZ3k8L2FiYnItMT48L2FsdC1wZXJpb2RpY2FsPjxwYWdlcz4yNjktNzU8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</w:fldData>
        </w:fldChar>
      </w:r>
      <w:r w:rsidR="00194054">
        <w:instrText xml:space="preserve"> ADDIN EN.CITE </w:instrText>
      </w:r>
      <w:r w:rsidR="00194054">
        <w:fldChar w:fldCharType="begin">
          <w:fldData xml:space="preserve">PEVuZE5vdGU+PENpdGU+PEF1dGhvcj5NZXJlZGl0aDwvQXV0aG9yPjxZZWFyPjIwMDU8L1llYXI+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PGFiYnItMT5SYWRpb2xvZ3k8L2FiYnItMT48L2FsdC1wZXJpb2RpY2FsPjxwYWdlcz4yNjktNzU8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</w:fldData>
        </w:fldChar>
      </w:r>
      <w:r w:rsidR="00194054">
        <w:instrText xml:space="preserve"> ADDIN EN.CITE.DATA </w:instrText>
      </w:r>
      <w:r w:rsidR="00194054">
        <w:fldChar w:fldCharType="end"/>
      </w:r>
      <w:r w:rsidR="00C000FD">
        <w:fldChar w:fldCharType="separate"/>
      </w:r>
      <w:r w:rsidR="007A01C4">
        <w:rPr>
          <w:noProof/>
        </w:rPr>
        <w:t>(</w:t>
      </w:r>
      <w:hyperlink w:anchor="_ENREF_106" w:tooltip="Meredith, 2005 #50" w:history="1">
        <w:r w:rsidR="00320458">
          <w:rPr>
            <w:noProof/>
          </w:rPr>
          <w:t>Meredith et al 2005</w:t>
        </w:r>
      </w:hyperlink>
      <w:r w:rsidR="007A01C4">
        <w:rPr>
          <w:noProof/>
        </w:rPr>
        <w:t xml:space="preserve">; </w:t>
      </w:r>
      <w:hyperlink w:anchor="_ENREF_179" w:tooltip="Yu, 2006 #68" w:history="1">
        <w:r w:rsidR="00320458">
          <w:rPr>
            <w:noProof/>
          </w:rPr>
          <w:t>Yu et al 2006</w:t>
        </w:r>
      </w:hyperlink>
      <w:r w:rsidR="007A01C4">
        <w:rPr>
          <w:noProof/>
        </w:rPr>
        <w:t>)</w:t>
      </w:r>
      <w:r w:rsidR="00C000FD">
        <w:fldChar w:fldCharType="end"/>
      </w:r>
      <w:r>
        <w:t xml:space="preserve">. </w:t>
      </w:r>
    </w:p>
    <w:p w14:paraId="717DF362" w14:textId="7DC4ABB8" w:rsidR="009075F5" w:rsidRDefault="00E65597" w:rsidP="009075F5">
      <w:r>
        <w:t xml:space="preserve">A microwave generator then emits electromagnetic waves at a frequency of up to 2.45 GHz, with powers ranging from 20W to 140W through the non-insulated portion of the antenna to surrounding tissue </w:t>
      </w:r>
      <w:r w:rsidR="00C000FD">
        <w:fldChar w:fldCharType="begin">
          <w:fldData xml:space="preserve">PEVuZE5vdGU+PENpdGU+PEF1dGhvcj5Eb25nPC9BdXRob3I+PFllYXI+MjAwMzwvWWVhcj48UmVj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dWxsLXRpdGxlPkFKUiBBbSBKIFJvZW50Z2Vub2w8L2Z1bGwtdGl0bGU+PGFiYnItMT5BSlIuIEFt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</w:fldData>
        </w:fldChar>
      </w:r>
      <w:r w:rsidR="00194054">
        <w:instrText xml:space="preserve"> ADDIN EN.CITE </w:instrText>
      </w:r>
      <w:r w:rsidR="00194054">
        <w:fldChar w:fldCharType="begin">
          <w:fldData xml:space="preserve">PEVuZE5vdGU+PENpdGU+PEF1dGhvcj5Eb25nPC9BdXRob3I+PFllYXI+MjAwMzwvWWVhcj48UmVj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dWxsLXRpdGxlPkFKUiBBbSBKIFJvZW50Z2Vub2w8L2Z1bGwtdGl0bGU+PGFiYnItMT5BSlIuIEFt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</w:fldData>
        </w:fldChar>
      </w:r>
      <w:r w:rsidR="00194054">
        <w:instrText xml:space="preserve"> ADDIN EN.CITE.DATA </w:instrText>
      </w:r>
      <w:r w:rsidR="00194054">
        <w:fldChar w:fldCharType="end"/>
      </w:r>
      <w:r w:rsidR="00C000FD">
        <w:fldChar w:fldCharType="separate"/>
      </w:r>
      <w:r w:rsidR="007A01C4">
        <w:rPr>
          <w:noProof/>
        </w:rPr>
        <w:t>(</w:t>
      </w:r>
      <w:hyperlink w:anchor="_ENREF_40" w:tooltip="Dong, 2003 #45" w:history="1">
        <w:r w:rsidR="00320458">
          <w:rPr>
            <w:noProof/>
          </w:rPr>
          <w:t>Dong et al 2003</w:t>
        </w:r>
      </w:hyperlink>
      <w:r w:rsidR="007A01C4">
        <w:rPr>
          <w:noProof/>
        </w:rPr>
        <w:t xml:space="preserve">; </w:t>
      </w:r>
      <w:hyperlink w:anchor="_ENREF_134" w:tooltip="Seki, 2000 #52" w:history="1">
        <w:r w:rsidR="00320458">
          <w:rPr>
            <w:noProof/>
          </w:rPr>
          <w:t>Seki et al 2000</w:t>
        </w:r>
      </w:hyperlink>
      <w:r w:rsidR="007A01C4">
        <w:rPr>
          <w:noProof/>
        </w:rPr>
        <w:t>)</w:t>
      </w:r>
      <w:r w:rsidR="00C000FD">
        <w:fldChar w:fldCharType="end"/>
      </w:r>
      <w:r>
        <w:t xml:space="preserve">. The microwave field allows for direct and uniform deposition of energy into tissue several centimetres from the antenna, rather than relying upon current flow and resistive heating. Tumours in this field are treated to over 60°C to achieve coagulation necrosis </w:t>
      </w:r>
      <w:r w:rsidR="00C000FD">
        <w:fldChar w:fldCharType="begin"/>
      </w:r>
      <w:r w:rsidR="00194054">
        <w:instrText xml:space="preserve"> ADDIN EN.CITE &lt;EndNote&gt;&lt;Cite&gt;&lt;Author&gt;Swan&lt;/Author&gt;&lt;Year&gt;2012&lt;/Year&gt;&lt;RecNum&gt;29&lt;/RecNum&gt;&lt;DisplayText&gt;(Swan et al 2012)&lt;/DisplayText&gt;&lt;record&gt;&lt;rec-number&gt;29&lt;/rec-number&gt;&lt;foreign-keys&gt;&lt;key app="EN" db-id="05ssdaw2cf0zvye5xvo5z9ww0xdpfstrdtew" timestamp="1465864214"&gt;29&lt;/key&gt;&lt;/foreign-keys&gt;&lt;ref-type name="Journal Article"&gt;17&lt;/ref-type&gt;&lt;contributors&gt;&lt;authors&gt;&lt;author&gt;Swan, Ryan- Z.&lt;/author&gt;&lt;author&gt;Tsirline, Victor&lt;/author&gt;&lt;author&gt;Sindram, David&lt;/author&gt;&lt;author&gt;Martinie, John- B.&lt;/author&gt;&lt;author&gt;Iannitti, David- A.&lt;/author&gt;&lt;/authors&gt;&lt;/contributors&gt;&lt;titles&gt;&lt;title&gt;Fundamentals of microwave physics: application to hepatic ablation&lt;/title&gt;&lt;secondary-title&gt;Journal of Microwave Surgery&lt;/secondary-title&gt;&lt;/titles&gt;&lt;periodical&gt;&lt;full-title&gt;Journal of Microwave Surgery&lt;/full-title&gt;&lt;/periodical&gt;&lt;pages&gt;25-40&lt;/pages&gt;&lt;volume&gt;30&lt;/volume&gt;&lt;dates&gt;&lt;year&gt;2012&lt;/year&gt;&lt;/dates&gt;&lt;urls&gt;&lt;/urls&gt;&lt;electronic-resource-num&gt;10.3380/jmicrowavesurg.30.25&lt;/electronic-resource-num&gt;&lt;/record&gt;&lt;/Cite&gt;&lt;/EndNote&gt;</w:instrText>
      </w:r>
      <w:r w:rsidR="00C000FD">
        <w:fldChar w:fldCharType="separate"/>
      </w:r>
      <w:r w:rsidR="007A01C4">
        <w:rPr>
          <w:noProof/>
        </w:rPr>
        <w:t>(</w:t>
      </w:r>
      <w:hyperlink w:anchor="_ENREF_151" w:tooltip="Swan, 2012 #29" w:history="1">
        <w:r w:rsidR="00320458">
          <w:rPr>
            <w:noProof/>
          </w:rPr>
          <w:t>Swan et al 2012</w:t>
        </w:r>
      </w:hyperlink>
      <w:r w:rsidR="007A01C4">
        <w:rPr>
          <w:noProof/>
        </w:rPr>
        <w:t>)</w:t>
      </w:r>
      <w:r w:rsidR="00C000FD">
        <w:fldChar w:fldCharType="end"/>
      </w:r>
      <w:r>
        <w:t>. The average ablation duration ran</w:t>
      </w:r>
      <w:r w:rsidR="00C000FD">
        <w:t xml:space="preserve">ges between 60 and 300 seconds </w:t>
      </w:r>
      <w:r w:rsidR="00C000FD">
        <w:fldChar w:fldCharType="begin">
          <w:fldData xml:space="preserve">PEVuZE5vdGU+PENpdGU+PEF1dGhvcj5LdWFuZzwvQXV0aG9yPjxZZWFyPjIwMDc8L1llYXI+PFJl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b2RpY2FsPjxwYWdlcz45MTQtMjQ8L3BhZ2VzPjx2b2x1bWU+MjQyPC92b2x1bWU+PG51bWJlcj4z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</w:fldData>
        </w:fldChar>
      </w:r>
      <w:r w:rsidR="00194054">
        <w:instrText xml:space="preserve"> ADDIN EN.CITE </w:instrText>
      </w:r>
      <w:r w:rsidR="00194054">
        <w:fldChar w:fldCharType="begin">
          <w:fldData xml:space="preserve">PEVuZE5vdGU+PENpdGU+PEF1dGhvcj5LdWFuZzwvQXV0aG9yPjxZZWFyPjIwMDc8L1llYXI+PFJl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b2RpY2FsPjxwYWdlcz45MTQtMjQ8L3BhZ2VzPjx2b2x1bWU+MjQyPC92b2x1bWU+PG51bWJlcj4z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</w:fldData>
        </w:fldChar>
      </w:r>
      <w:r w:rsidR="00194054">
        <w:instrText xml:space="preserve"> ADDIN EN.CITE.DATA </w:instrText>
      </w:r>
      <w:r w:rsidR="00194054">
        <w:fldChar w:fldCharType="end"/>
      </w:r>
      <w:r w:rsidR="00C000FD">
        <w:fldChar w:fldCharType="separate"/>
      </w:r>
      <w:r w:rsidR="007A01C4">
        <w:rPr>
          <w:noProof/>
        </w:rPr>
        <w:t>(</w:t>
      </w:r>
      <w:hyperlink w:anchor="_ENREF_83" w:tooltip="Kuang, 2007 #69" w:history="1">
        <w:r w:rsidR="00320458">
          <w:rPr>
            <w:noProof/>
          </w:rPr>
          <w:t>Kuang et al 2007</w:t>
        </w:r>
      </w:hyperlink>
      <w:r w:rsidR="007A01C4">
        <w:rPr>
          <w:noProof/>
        </w:rPr>
        <w:t>)</w:t>
      </w:r>
      <w:r w:rsidR="00C000FD">
        <w:fldChar w:fldCharType="end"/>
      </w:r>
      <w:r>
        <w:t xml:space="preserve">. Lower frequency microwave radiation at 0.915 GHz can theoretically be applied at a power of 45W, requiring longer duration of ablation </w:t>
      </w:r>
      <w:r w:rsidR="00C000FD">
        <w:fldChar w:fldCharType="begin">
          <w:fldData xml:space="preserve">PEVuZE5vdGU+PENpdGU+PEF1dGhvcj5TaW1vbjwvQXV0aG9yPjxZZWFyPjIwMDU8L1llYXI+PFJl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</w:fldData>
        </w:fldChar>
      </w:r>
      <w:r w:rsidR="00194054">
        <w:instrText xml:space="preserve"> ADDIN EN.CITE </w:instrText>
      </w:r>
      <w:r w:rsidR="00194054">
        <w:fldChar w:fldCharType="begin">
          <w:fldData xml:space="preserve">PEVuZE5vdGU+PENpdGU+PEF1dGhvcj5TaW1vbjwvQXV0aG9yPjxZZWFyPjIwMDU8L1llYXI+PFJl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</w:fldData>
        </w:fldChar>
      </w:r>
      <w:r w:rsidR="00194054">
        <w:instrText xml:space="preserve"> ADDIN EN.CITE.DATA </w:instrText>
      </w:r>
      <w:r w:rsidR="00194054">
        <w:fldChar w:fldCharType="end"/>
      </w:r>
      <w:r w:rsidR="00C000FD">
        <w:fldChar w:fldCharType="separate"/>
      </w:r>
      <w:r w:rsidR="007A01C4">
        <w:rPr>
          <w:noProof/>
        </w:rPr>
        <w:t>(</w:t>
      </w:r>
      <w:hyperlink w:anchor="_ENREF_143" w:tooltip="Simon, 2005 #26" w:history="1">
        <w:r w:rsidR="00320458">
          <w:rPr>
            <w:noProof/>
          </w:rPr>
          <w:t>Simon et al 2005</w:t>
        </w:r>
      </w:hyperlink>
      <w:r w:rsidR="007A01C4">
        <w:rPr>
          <w:noProof/>
        </w:rPr>
        <w:t xml:space="preserve">; </w:t>
      </w:r>
      <w:hyperlink w:anchor="_ENREF_179" w:tooltip="Yu, 2006 #68" w:history="1">
        <w:r w:rsidR="00320458">
          <w:rPr>
            <w:noProof/>
          </w:rPr>
          <w:t>Yu et al 2006</w:t>
        </w:r>
      </w:hyperlink>
      <w:r w:rsidR="007A01C4">
        <w:rPr>
          <w:noProof/>
        </w:rPr>
        <w:t>)</w:t>
      </w:r>
      <w:r w:rsidR="00C000FD">
        <w:fldChar w:fldCharType="end"/>
      </w:r>
      <w:r w:rsidR="009075F5">
        <w:t xml:space="preserve">. </w:t>
      </w:r>
    </w:p>
    <w:p w14:paraId="07EEE3C7" w14:textId="60CEA8C9" w:rsidR="00E65597" w:rsidRDefault="00E65597" w:rsidP="009075F5">
      <w:r>
        <w:t xml:space="preserve">In the context of pulmonary lesions, MTA is administered percutaneously with computed tomography (CT). </w:t>
      </w:r>
      <w:r w:rsidR="00FB3768">
        <w:t xml:space="preserve">Ultrasound </w:t>
      </w:r>
      <w:r>
        <w:t xml:space="preserve">guidance is suitable for chest wall tumours, or tumours with broad pleural contact </w:t>
      </w:r>
      <w:r w:rsidR="00C000FD">
        <w:fldChar w:fldCharType="begin"/>
      </w:r>
      <w:r w:rsidR="00A07D80">
        <w:instrText xml:space="preserve"> ADDIN EN.CITE &lt;EndNote&gt;&lt;Cite&gt;&lt;Author&gt;He&lt;/Author&gt;&lt;Year&gt;2006&lt;/Year&gt;&lt;RecNum&gt;10&lt;/RecNum&gt;&lt;DisplayText&gt;(He et al 2006a)&lt;/DisplayText&gt;&lt;record&gt;&lt;rec-number&gt;10&lt;/rec-number&gt;&lt;foreign-keys&gt;&lt;key app="EN" db-id="05ssdaw2cf0zvye5xvo5z9ww0xdpfstrdtew" timestamp="1465864213"&gt;10&lt;/key&gt;&lt;/foreign-keys&gt;&lt;ref-type name="Journal Article"&gt;17&lt;/ref-type&gt;&lt;contributors&gt;&lt;authors&gt;&lt;author&gt;He, W.&lt;/author&gt;&lt;author&gt;Hu, X. D.&lt;/author&gt;&lt;author&gt;Wu, D. F.&lt;/author&gt;&lt;author&gt;Guo, L.&lt;/author&gt;&lt;author&gt;Zhang, L. Z.&lt;/author&gt;&lt;author&gt;Xiang, D. Y.&lt;/author&gt;&lt;author&gt;Ning, B.&lt;/author&gt;&lt;/authors&gt;&lt;/contributors&gt;&lt;auth-address&gt;Department of Ultrasound, Beijing Tiantan Hospital, Capital University of Medical Sciences, Beijing 100050, People&amp;apos;s Republic of China. hewen168@sohu.com&lt;/auth-address&gt;&lt;titles&gt;&lt;title&gt;Ultrasonography-guided percutaneous microwave ablation of peripheral lung cancer&lt;/title&gt;&lt;secondary-title&gt;Clin Imaging&lt;/secondary-title&gt;&lt;alt-title&gt;Clinical imaging&lt;/alt-title&gt;&lt;/titles&gt;&lt;periodical&gt;&lt;full-title&gt;Clin Imaging&lt;/full-title&gt;&lt;abbr-1&gt;Clinical imaging&lt;/abbr-1&gt;&lt;/periodical&gt;&lt;alt-periodical&gt;&lt;full-title&gt;Clin Imaging&lt;/full-title&gt;&lt;abbr-1&gt;Clinical imaging&lt;/abbr-1&gt;&lt;/alt-periodical&gt;&lt;pages&gt;234-41&lt;/pages&gt;&lt;volume&gt;30&lt;/volume&gt;&lt;number&gt;4&lt;/number&gt;&lt;edition&gt;2006/07/04&lt;/edition&gt;&lt;keywords&gt;&lt;keyword&gt;Adult&lt;/keyword&gt;&lt;keyword&gt;Aged&lt;/keyword&gt;&lt;keyword&gt;Female&lt;/keyword&gt;&lt;keyword&gt;Humans&lt;/keyword&gt;&lt;keyword&gt;Lung Neoplasms/*therapy/*ultrasonography&lt;/keyword&gt;&lt;keyword&gt;Male&lt;/keyword&gt;&lt;keyword&gt;Microwaves/*therapeutic use&lt;/keyword&gt;&lt;keyword&gt;Middle Aged&lt;/keyword&gt;&lt;keyword&gt;Therapy, Computer-Assisted/*methods&lt;/keyword&gt;&lt;keyword&gt;Treatment Outcome&lt;/keyword&gt;&lt;keyword&gt;Ultrasonography/*methods&lt;/keyword&gt;&lt;/keywords&gt;&lt;dates&gt;&lt;year&gt;2006&lt;/year&gt;&lt;pub-dates&gt;&lt;date&gt;Jul-Aug&lt;/date&gt;&lt;/pub-dates&gt;&lt;/dates&gt;&lt;isbn&gt;0899-7071 (Print)&amp;#xD;0899-7071&lt;/isbn&gt;&lt;accession-num&gt;16814137&lt;/accession-num&gt;&lt;urls&gt;&lt;/urls&gt;&lt;electronic-resource-num&gt;10.1016/j.clinimag.2005.10.008&lt;/electronic-resource-num&gt;&lt;remote-database-provider&gt;NLM&lt;/remote-database-provider&gt;&lt;language&gt;eng&lt;/language&gt;&lt;/record&gt;&lt;/Cite&gt;&lt;/EndNote&gt;</w:instrText>
      </w:r>
      <w:r w:rsidR="00C000FD">
        <w:fldChar w:fldCharType="separate"/>
      </w:r>
      <w:r w:rsidR="00A07D80">
        <w:rPr>
          <w:noProof/>
        </w:rPr>
        <w:t>(</w:t>
      </w:r>
      <w:hyperlink w:anchor="_ENREF_64" w:tooltip="He, 2006 #10" w:history="1">
        <w:r w:rsidR="00320458">
          <w:rPr>
            <w:noProof/>
          </w:rPr>
          <w:t>He et al 2006a</w:t>
        </w:r>
      </w:hyperlink>
      <w:r w:rsidR="00A07D80">
        <w:rPr>
          <w:noProof/>
        </w:rPr>
        <w:t>)</w:t>
      </w:r>
      <w:r w:rsidR="00C000FD">
        <w:fldChar w:fldCharType="end"/>
      </w:r>
      <w:r>
        <w:t>. However, it is rarely used and for the purposes of this application MTA is considered to be administered with CT. Within Australia, available MTA systems are either 902</w:t>
      </w:r>
      <w:r w:rsidR="007E3D66">
        <w:t>–</w:t>
      </w:r>
      <w:r>
        <w:t>928 MHz or 2400</w:t>
      </w:r>
      <w:r w:rsidR="007E3D66">
        <w:t>–</w:t>
      </w:r>
      <w:r>
        <w:t>2500 MHz. Independent clinical feedback has indicated that both systems have the same indication profile, but that high powered systems are considered superior owing to their ability to conduct larger ablations in shorter times.</w:t>
      </w:r>
    </w:p>
    <w:p w14:paraId="72A4EF6E" w14:textId="30B2F826" w:rsidR="002C21ED" w:rsidRDefault="00E65597" w:rsidP="00E65597">
      <w:r>
        <w:t>Clinical input suggests that MTA of lung tumours is ideally suited to tumours that do not exceed 4.5 to 5.0 cm, which accounts for a 0.5 cm circumferential safety margin. In terms of the maximum number of lesions suitable for MTA per-procedure, a soft rule of maximally 5 lesions per hemithorax has been widely</w:t>
      </w:r>
      <w:r w:rsidR="00C000FD">
        <w:t xml:space="preserve"> adopted; </w:t>
      </w:r>
      <w:r w:rsidR="00C000FD">
        <w:fldChar w:fldCharType="begin">
          <w:fldData xml:space="preserve">PEVuZE5vdGU+PENpdGU+PEF1dGhvcj5HaWxsYW1zPC9BdXRob3I+PFllYXI+MjAxMzwvWWVhcj48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</w:fldData>
        </w:fldChar>
      </w:r>
      <w:r w:rsidR="00194054">
        <w:instrText xml:space="preserve"> ADDIN EN.CITE </w:instrText>
      </w:r>
      <w:r w:rsidR="00194054">
        <w:fldChar w:fldCharType="begin">
          <w:fldData xml:space="preserve">PEVuZE5vdGU+PENpdGU+PEF1dGhvcj5HaWxsYW1zPC9BdXRob3I+PFllYXI+MjAxMzwvWWVhcj48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</w:fldData>
        </w:fldChar>
      </w:r>
      <w:r w:rsidR="00194054">
        <w:instrText xml:space="preserve"> ADDIN EN.CITE.DATA </w:instrText>
      </w:r>
      <w:r w:rsidR="00194054">
        <w:fldChar w:fldCharType="end"/>
      </w:r>
      <w:r w:rsidR="00C000FD">
        <w:fldChar w:fldCharType="separate"/>
      </w:r>
      <w:r w:rsidR="007A01C4">
        <w:rPr>
          <w:noProof/>
        </w:rPr>
        <w:t>(</w:t>
      </w:r>
      <w:hyperlink w:anchor="_ENREF_56" w:tooltip="Gillams, 2013 #46" w:history="1">
        <w:r w:rsidR="00320458">
          <w:rPr>
            <w:noProof/>
          </w:rPr>
          <w:t>Gillams et al 2013</w:t>
        </w:r>
      </w:hyperlink>
      <w:r w:rsidR="007A01C4">
        <w:rPr>
          <w:noProof/>
        </w:rPr>
        <w:t xml:space="preserve">; </w:t>
      </w:r>
      <w:hyperlink w:anchor="_ENREF_146" w:tooltip="Smith, 2015 #54" w:history="1">
        <w:r w:rsidR="00320458">
          <w:rPr>
            <w:noProof/>
          </w:rPr>
          <w:t>Smith and Jennings 2015</w:t>
        </w:r>
      </w:hyperlink>
      <w:r w:rsidR="007A01C4">
        <w:rPr>
          <w:noProof/>
        </w:rPr>
        <w:t>)</w:t>
      </w:r>
      <w:r w:rsidR="00C000FD">
        <w:fldChar w:fldCharType="end"/>
      </w:r>
      <w:r>
        <w:t xml:space="preserve"> however, the best long-term </w:t>
      </w:r>
      <w:r>
        <w:lastRenderedPageBreak/>
        <w:t xml:space="preserve">survival rates are achieved in patients with up to </w:t>
      </w:r>
      <w:r w:rsidR="00430FE3">
        <w:t xml:space="preserve">two </w:t>
      </w:r>
      <w:r>
        <w:t xml:space="preserve">pulmonary metastases no larger than 3cm in diameter </w:t>
      </w:r>
      <w:r w:rsidR="00C000FD">
        <w:fldChar w:fldCharType="begin">
          <w:fldData xml:space="preserve">PEVuZE5vdGU+PENpdGU+PEF1dGhvcj5kZSBCYWVyZTwvQXV0aG9yPjxZZWFyPjIwMTU8L1llYXI+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</w:fldData>
        </w:fldChar>
      </w:r>
      <w:r w:rsidR="00AB722F">
        <w:instrText xml:space="preserve"> ADDIN EN.CITE </w:instrText>
      </w:r>
      <w:r w:rsidR="00AB722F">
        <w:fldChar w:fldCharType="begin">
          <w:fldData xml:space="preserve">PEVuZE5vdGU+PENpdGU+PEF1dGhvcj5kZSBCYWVyZTwvQXV0aG9yPjxZZWFyPjIwMTU8L1llYXI+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</w:fldData>
        </w:fldChar>
      </w:r>
      <w:r w:rsidR="00AB722F">
        <w:instrText xml:space="preserve"> ADDIN EN.CITE.DATA </w:instrText>
      </w:r>
      <w:r w:rsidR="00AB722F">
        <w:fldChar w:fldCharType="end"/>
      </w:r>
      <w:r w:rsidR="00C000FD">
        <w:fldChar w:fldCharType="separate"/>
      </w:r>
      <w:r w:rsidR="00AB722F">
        <w:rPr>
          <w:noProof/>
        </w:rPr>
        <w:t>(</w:t>
      </w:r>
      <w:hyperlink w:anchor="_ENREF_36" w:tooltip="de Baere, 2015 #44" w:history="1">
        <w:r w:rsidR="00320458">
          <w:rPr>
            <w:noProof/>
          </w:rPr>
          <w:t>de Baere et al 2015b</w:t>
        </w:r>
      </w:hyperlink>
      <w:r w:rsidR="00AB722F">
        <w:rPr>
          <w:noProof/>
        </w:rPr>
        <w:t>)</w:t>
      </w:r>
      <w:r w:rsidR="00C000FD">
        <w:fldChar w:fldCharType="end"/>
      </w:r>
      <w:r>
        <w:t>.</w:t>
      </w:r>
    </w:p>
    <w:p w14:paraId="3C823A42" w14:textId="77777777" w:rsidR="00CD06FF" w:rsidRPr="00411DDC" w:rsidRDefault="00CD06FF" w:rsidP="00411DDC">
      <w:pPr>
        <w:spacing w:before="500"/>
        <w:rPr>
          <w:b/>
          <w:i/>
        </w:rPr>
      </w:pPr>
      <w:r w:rsidRPr="00411DDC">
        <w:rPr>
          <w:b/>
          <w:i/>
        </w:rPr>
        <w:t>Proposed clinical setting</w:t>
      </w:r>
    </w:p>
    <w:p w14:paraId="6B01D402" w14:textId="756FB7BF" w:rsidR="00C000FD" w:rsidRDefault="00C000FD" w:rsidP="00E65597">
      <w:r>
        <w:t>The intervention is proposed to be delivered in an inpatient or outpatient setting in tertiary centres.</w:t>
      </w:r>
      <w:r w:rsidRPr="00C000FD">
        <w:t xml:space="preserve"> Major complications</w:t>
      </w:r>
      <w:r w:rsidR="00FB3768" w:rsidRPr="00FB3768">
        <w:t xml:space="preserve"> </w:t>
      </w:r>
      <w:r w:rsidR="00FB3768" w:rsidRPr="00C000FD">
        <w:t>of MTA procedures</w:t>
      </w:r>
      <w:r w:rsidRPr="00C000FD">
        <w:t xml:space="preserve"> are a rare </w:t>
      </w:r>
      <w:r w:rsidR="004906BC">
        <w:t xml:space="preserve">occurrence </w:t>
      </w:r>
      <w:r w:rsidRPr="00C000FD">
        <w:t>but</w:t>
      </w:r>
      <w:r w:rsidR="00FB3768">
        <w:t xml:space="preserve"> may lead to</w:t>
      </w:r>
      <w:r w:rsidRPr="00C000FD">
        <w:t xml:space="preserve"> severe consequence</w:t>
      </w:r>
      <w:r w:rsidR="00FB3768">
        <w:t>s</w:t>
      </w:r>
      <w:r w:rsidRPr="00C000FD">
        <w:t>. In order to effectively manage major complications, vascular interventional radiology, cardiothoracic surgery and intensive care units should be accessible. These services are typically only available in specialised tertiary centres, and are not accessible in stand-alone private radiology clinics. Therefore, MTA is provided in radiology departments within larger public or private hospitals, with patients either being kept overnight or in a day surgery setting. A chest X-ray is required within 3</w:t>
      </w:r>
      <w:r w:rsidR="00D35E9C">
        <w:t>–</w:t>
      </w:r>
      <w:r w:rsidRPr="00C000FD">
        <w:t xml:space="preserve">4 hours after the procedure to monitor complications. If no complications are observed patients may be discharged on the same day. Patients may be admitted as inpatients for overnight observation to monitor perioperative complications. If patients remain stable they can be discharged the following day. </w:t>
      </w:r>
      <w:r w:rsidR="00FB3768">
        <w:t>Local expert feedback has advised that MTA is usually provided as an inpatient service in Australia, with patients remaining in hospital overnight for monitoring.</w:t>
      </w:r>
      <w:r>
        <w:t xml:space="preserve"> </w:t>
      </w:r>
    </w:p>
    <w:p w14:paraId="402F4F5B" w14:textId="77777777" w:rsidR="00CD06FF" w:rsidRPr="00411DDC" w:rsidRDefault="00CD06FF" w:rsidP="00411DDC">
      <w:pPr>
        <w:spacing w:before="500"/>
        <w:rPr>
          <w:b/>
          <w:i/>
        </w:rPr>
      </w:pPr>
      <w:r w:rsidRPr="00411DDC">
        <w:rPr>
          <w:b/>
          <w:i/>
        </w:rPr>
        <w:t>Service delivery</w:t>
      </w:r>
    </w:p>
    <w:p w14:paraId="72042EFF" w14:textId="7BCF4478" w:rsidR="004656CC" w:rsidRDefault="004656CC" w:rsidP="004656CC">
      <w:r>
        <w:t xml:space="preserve">Percutaneous MTA is provided by interventional radiologists familiar with pulmonary interventions. Interventional radiology is a clinical subspecialty of radiology, which involves the conduct of minimally invasive procedures under image guidance. Radiologists completing the Fellowship of the Royal Australian and New Zealand College of Radiologists (FRANZCR) qualification are considered competent to perform interventional radiology procedures. The Interventional Radiology Society of Australia (IRSA) defines two tiers of intervention radiology competence </w:t>
      </w:r>
      <w:r w:rsidR="00DB039D">
        <w:fldChar w:fldCharType="begin"/>
      </w:r>
      <w:r w:rsidR="006A4E2A">
        <w:instrText xml:space="preserve"> ADDIN EN.CITE &lt;EndNote&gt;&lt;Cite&gt;&lt;Author&gt;IRSA&lt;/Author&gt;&lt;Year&gt;2015&lt;/Year&gt;&lt;RecNum&gt;70&lt;/RecNum&gt;&lt;DisplayText&gt;(Interventional Radiology Society of Australasia (IRSA) 2015)&lt;/DisplayText&gt;&lt;record&gt;&lt;rec-number&gt;70&lt;/rec-number&gt;&lt;foreign-keys&gt;&lt;key app="EN" db-id="05ssdaw2cf0zvye5xvo5z9ww0xdpfstrdtew" timestamp="1465872851"&gt;70&lt;/key&gt;&lt;/foreign-keys&gt;&lt;ref-type name="Web Page"&gt;12&lt;/ref-type&gt;&lt;contributors&gt;&lt;authors&gt;&lt;author&gt;Interventional Radiology Society of Australasia (IRSA),&lt;/author&gt;&lt;/authors&gt;&lt;/contributors&gt;&lt;titles&gt;&lt;title&gt;Interventional Radiology Society of Australasia Guidelines for Credentialing for Interventional Radiology&lt;/title&gt;&lt;/titles&gt;&lt;volume&gt;2015&lt;/volume&gt;&lt;number&gt;4 September&lt;/number&gt;&lt;dates&gt;&lt;year&gt;2015&lt;/year&gt;&lt;pub-dates&gt;&lt;date&gt;unknown&lt;/date&gt;&lt;/pub-dates&gt;&lt;/dates&gt;&lt;urls&gt;&lt;related-urls&gt;&lt;url&gt;http://www.irsa.com.au/irsa-credentialing-guidelines&lt;/url&gt;&lt;/related-urls&gt;&lt;/urls&gt;&lt;/record&gt;&lt;/Cite&gt;&lt;/EndNote&gt;</w:instrText>
      </w:r>
      <w:r w:rsidR="00DB039D">
        <w:fldChar w:fldCharType="separate"/>
      </w:r>
      <w:r w:rsidR="006A4E2A">
        <w:rPr>
          <w:noProof/>
        </w:rPr>
        <w:t>(</w:t>
      </w:r>
      <w:hyperlink w:anchor="_ENREF_75" w:tooltip="Interventional Radiology Society of Australasia (IRSA), 2015 #70" w:history="1">
        <w:r w:rsidR="00320458">
          <w:rPr>
            <w:noProof/>
          </w:rPr>
          <w:t>Interventional Radiology Society of Australasia (IRSA) 2015</w:t>
        </w:r>
      </w:hyperlink>
      <w:r w:rsidR="006A4E2A">
        <w:rPr>
          <w:noProof/>
        </w:rPr>
        <w:t>)</w:t>
      </w:r>
      <w:r w:rsidR="00DB039D">
        <w:fldChar w:fldCharType="end"/>
      </w:r>
      <w:r>
        <w:t>:</w:t>
      </w:r>
    </w:p>
    <w:p w14:paraId="258BDDC8" w14:textId="77777777" w:rsidR="004656CC" w:rsidRDefault="004656CC" w:rsidP="00753CFF">
      <w:pPr>
        <w:ind w:left="567" w:hanging="567"/>
      </w:pPr>
      <w:r>
        <w:t>•</w:t>
      </w:r>
      <w:r>
        <w:tab/>
        <w:t xml:space="preserve">Tier A: includes basic diagnostic angiography and interventional techniques including angiography, nephrostomy, abscess drainage and biopsy. Tier A falls within the scope of requirements of RANZCR Fellowship training and any individual with FRANZCR may perform them. </w:t>
      </w:r>
    </w:p>
    <w:p w14:paraId="01C7FFED" w14:textId="77777777" w:rsidR="004656CC" w:rsidRDefault="004656CC" w:rsidP="00753CFF">
      <w:pPr>
        <w:ind w:left="567" w:hanging="567"/>
      </w:pPr>
      <w:r>
        <w:t>•</w:t>
      </w:r>
      <w:r>
        <w:tab/>
        <w:t xml:space="preserve">Tier B: includes a number of more complex interventional procedures such as neuro-interventional procedures and oesophageal and duodenal stent placement etc. For these procedures accreditation is based on proof of a certain number of procedures performed at IRSA/RANZCR accredited sites. </w:t>
      </w:r>
    </w:p>
    <w:p w14:paraId="70B1D866" w14:textId="77777777" w:rsidR="004656CC" w:rsidRDefault="004656CC" w:rsidP="004656CC">
      <w:r>
        <w:lastRenderedPageBreak/>
        <w:t>No formal requirements beyond FRANZCR are currently required to perform MTA procedures. However</w:t>
      </w:r>
      <w:r w:rsidR="00FB3768">
        <w:t>,</w:t>
      </w:r>
      <w:r>
        <w:t xml:space="preserve"> hospitals may apply their own </w:t>
      </w:r>
      <w:r w:rsidR="00CA6DFD">
        <w:t>credentialing</w:t>
      </w:r>
      <w:r>
        <w:t xml:space="preserve"> standards to determine that the radiologist is</w:t>
      </w:r>
      <w:r w:rsidR="00FB3768">
        <w:t xml:space="preserve"> suitably trained,</w:t>
      </w:r>
      <w:r>
        <w:t xml:space="preserve"> competent</w:t>
      </w:r>
      <w:r w:rsidR="00FB3768">
        <w:t>, has the required clinical team support,</w:t>
      </w:r>
      <w:r>
        <w:t xml:space="preserve"> and permitted to perform</w:t>
      </w:r>
      <w:r w:rsidR="00FB3768">
        <w:t xml:space="preserve"> these</w:t>
      </w:r>
      <w:r>
        <w:t xml:space="preserve"> procedures</w:t>
      </w:r>
      <w:r w:rsidR="00FB3768">
        <w:t xml:space="preserve"> in the local setting</w:t>
      </w:r>
      <w:r>
        <w:t>. It is preferable, but not formally required, that interventional radiologists wishing to conduct MTA procedures conduct prior bench work or observation of procedures.</w:t>
      </w:r>
    </w:p>
    <w:p w14:paraId="71C7AED3" w14:textId="291F582A" w:rsidR="004656CC" w:rsidRDefault="004656CC" w:rsidP="004656CC">
      <w:r>
        <w:t xml:space="preserve">The pre-procedure patient preparation is similar to that for a CT-guided lung biopsy, added by the requirement of booking an overnight bed. Patients may be contraindicated for MTA if they have tumours abutting the hilum, large blood vessels or bronchi, severe coagulation disorders, or recently used anticoagulants </w:t>
      </w:r>
      <w:r w:rsidR="00DB039D">
        <w:fldChar w:fldCharType="begin">
          <w:fldData xml:space="preserve">PEVuZE5vdGU+PENpdGU+PEF1dGhvcj5TY2huZWlkZXI8L0F1dGhvcj48WWVhcj4yMDEzPC9ZZWFy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</w:fldData>
        </w:fldChar>
      </w:r>
      <w:r w:rsidR="00194054">
        <w:instrText xml:space="preserve"> ADDIN EN.CITE </w:instrText>
      </w:r>
      <w:r w:rsidR="00194054">
        <w:fldChar w:fldCharType="begin">
          <w:fldData xml:space="preserve">PEVuZE5vdGU+PENpdGU+PEF1dGhvcj5TY2huZWlkZXI8L0F1dGhvcj48WWVhcj4yMDEzPC9ZZWFy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</w:fldData>
        </w:fldChar>
      </w:r>
      <w:r w:rsidR="00194054">
        <w:instrText xml:space="preserve"> ADDIN EN.CITE.DATA </w:instrText>
      </w:r>
      <w:r w:rsidR="00194054">
        <w:fldChar w:fldCharType="end"/>
      </w:r>
      <w:r w:rsidR="00DB039D">
        <w:fldChar w:fldCharType="separate"/>
      </w:r>
      <w:r w:rsidR="007A01C4">
        <w:rPr>
          <w:noProof/>
        </w:rPr>
        <w:t>(</w:t>
      </w:r>
      <w:hyperlink w:anchor="_ENREF_131" w:tooltip="Schneider, 2013 #65" w:history="1">
        <w:r w:rsidR="00320458">
          <w:rPr>
            <w:noProof/>
          </w:rPr>
          <w:t>Schneider et al 2013</w:t>
        </w:r>
      </w:hyperlink>
      <w:r w:rsidR="007A01C4">
        <w:rPr>
          <w:noProof/>
        </w:rPr>
        <w:t xml:space="preserve">; </w:t>
      </w:r>
      <w:hyperlink w:anchor="_ENREF_143" w:tooltip="Simon, 2005 #26" w:history="1">
        <w:r w:rsidR="00320458">
          <w:rPr>
            <w:noProof/>
          </w:rPr>
          <w:t>Simon et al 2005</w:t>
        </w:r>
      </w:hyperlink>
      <w:r w:rsidR="007A01C4">
        <w:rPr>
          <w:noProof/>
        </w:rPr>
        <w:t>)</w:t>
      </w:r>
      <w:r w:rsidR="00DB039D">
        <w:fldChar w:fldCharType="end"/>
      </w:r>
      <w:r>
        <w:t>.</w:t>
      </w:r>
    </w:p>
    <w:p w14:paraId="148AC978" w14:textId="09B1915D" w:rsidR="004656CC" w:rsidRDefault="004656CC" w:rsidP="004656CC">
      <w:r>
        <w:t>MTA is administered percutaneously, under CT image guidance to localise and position a thin microwave antenna into the centre of the target tumour</w:t>
      </w:r>
      <w:r w:rsidR="00DB039D">
        <w:t xml:space="preserve"> </w:t>
      </w:r>
      <w:r w:rsidR="00DB039D">
        <w:fldChar w:fldCharType="begin"/>
      </w:r>
      <w:r w:rsidR="00194054">
        <w:instrText xml:space="preserve"> ADDIN EN.CITE &lt;EndNote&gt;&lt;Cite&gt;&lt;Author&gt;Simon&lt;/Author&gt;&lt;Year&gt;2005&lt;/Year&gt;&lt;RecNum&gt;26&lt;/RecNum&gt;&lt;DisplayText&gt;(Simon et al 2005)&lt;/DisplayText&gt;&lt;record&gt;&lt;rec-number&gt;26&lt;/rec-number&gt;&lt;foreign-keys&gt;&lt;key app="EN" db-id="05ssdaw2cf0zvye5xvo5z9ww0xdpfstrdtew" timestamp="1465864214"&gt;26&lt;/key&gt;&lt;/foreign-keys&gt;&lt;ref-type name="Journal Article"&gt;17&lt;/ref-type&gt;&lt;contributors&gt;&lt;authors&gt;&lt;author&gt;Simon, C. J.&lt;/author&gt;&lt;author&gt;Dupuy, D. E.&lt;/author&gt;&lt;author&gt;Mayo-Smith, W. W.&lt;/author&gt;&lt;/authors&gt;&lt;/contributors&gt;&lt;auth-address&gt;Department of Diagnostic Imaging, Brown Medical School, Rhode Island Hospital, 593 Eddy St, Providence, RI 02903, USA.&lt;/auth-address&gt;&lt;titles&gt;&lt;title&gt;Microwave ablation: principles and applications&lt;/title&gt;&lt;secondary-title&gt;Radiographics&lt;/secondary-title&gt;&lt;alt-title&gt;Radiographics : a review publication of the Radiological Society of North America, Inc&lt;/alt-title&gt;&lt;/titles&gt;&lt;periodical&gt;&lt;full-title&gt;Radiographics&lt;/full-title&gt;&lt;abbr-1&gt;Radiographics : a review publication of the Radiological Society of North America, Inc&lt;/abbr-1&gt;&lt;/periodical&gt;&lt;alt-periodical&gt;&lt;full-title&gt;Radiographics&lt;/full-title&gt;&lt;abbr-1&gt;Radiographics : a review publication of the Radiological Society of North America, Inc&lt;/abbr-1&gt;&lt;/alt-periodical&gt;&lt;pages&gt;S69-83&lt;/pages&gt;&lt;volume&gt;25 Suppl 1&lt;/volume&gt;&lt;edition&gt;2005/10/18&lt;/edition&gt;&lt;keywords&gt;&lt;keyword&gt;Adolescent&lt;/keyword&gt;&lt;keyword&gt;Aged&lt;/keyword&gt;&lt;keyword&gt;Aged, 80 and over&lt;/keyword&gt;&lt;keyword&gt;*Electrocoagulation/instrumentation/methods&lt;/keyword&gt;&lt;keyword&gt;Equipment Design&lt;/keyword&gt;&lt;keyword&gt;Female&lt;/keyword&gt;&lt;keyword&gt;Humans&lt;/keyword&gt;&lt;keyword&gt;Male&lt;/keyword&gt;&lt;keyword&gt;Microwaves/*therapeutic use&lt;/keyword&gt;&lt;keyword&gt;Middle Aged&lt;/keyword&gt;&lt;keyword&gt;Neoplasms/*surgery&lt;/keyword&gt;&lt;/keywords&gt;&lt;dates&gt;&lt;year&gt;2005&lt;/year&gt;&lt;pub-dates&gt;&lt;date&gt;Oct&lt;/date&gt;&lt;/pub-dates&gt;&lt;/dates&gt;&lt;isbn&gt;0271-5333&lt;/isbn&gt;&lt;accession-num&gt;16227498&lt;/accession-num&gt;&lt;urls&gt;&lt;/urls&gt;&lt;electronic-resource-num&gt;10.1148/rg.25si055501&lt;/electronic-resource-num&gt;&lt;remote-database-provider&gt;NLM&lt;/remote-database-provider&gt;&lt;language&gt;eng&lt;/language&gt;&lt;/record&gt;&lt;/Cite&gt;&lt;/EndNote&gt;</w:instrText>
      </w:r>
      <w:r w:rsidR="00DB039D">
        <w:fldChar w:fldCharType="separate"/>
      </w:r>
      <w:r w:rsidR="007A01C4">
        <w:rPr>
          <w:noProof/>
        </w:rPr>
        <w:t>(</w:t>
      </w:r>
      <w:hyperlink w:anchor="_ENREF_143" w:tooltip="Simon, 2005 #26" w:history="1">
        <w:r w:rsidR="00320458">
          <w:rPr>
            <w:noProof/>
          </w:rPr>
          <w:t>Simon et al 2005</w:t>
        </w:r>
      </w:hyperlink>
      <w:r w:rsidR="007A01C4">
        <w:rPr>
          <w:noProof/>
        </w:rPr>
        <w:t>)</w:t>
      </w:r>
      <w:r w:rsidR="00DB039D">
        <w:fldChar w:fldCharType="end"/>
      </w:r>
      <w:r>
        <w:t>. A microwave generator emits electromagnetic waves at 915 MHz or 2.45 GHz through the non-insulated portion of the antenna to the surrounding tissue</w:t>
      </w:r>
      <w:r w:rsidR="00845D4E">
        <w:t>, with the consequent heat leading to cell death</w:t>
      </w:r>
      <w:r>
        <w:t xml:space="preserve">. During the procedure patients may receive conscious sedation or general anaesthesia. </w:t>
      </w:r>
    </w:p>
    <w:p w14:paraId="2B5FBAF7" w14:textId="5B595646" w:rsidR="004656CC" w:rsidRDefault="004656CC" w:rsidP="004656CC">
      <w:r>
        <w:t>The size, shape, location and vascular supply of the target lesion have an influence on the power and time required to complete an ablation. A single ablation is usually performed in less than 8 minutes, while overlapping ablations required in larger target lesions may add up to a total ablation time of 15</w:t>
      </w:r>
      <w:r w:rsidR="00D35E9C">
        <w:t>–</w:t>
      </w:r>
      <w:r>
        <w:t>20 minutes. The procedure as a whole – including patient positioning and anaesthesia – typically takes between 1</w:t>
      </w:r>
      <w:r w:rsidR="00D35E9C">
        <w:t>–</w:t>
      </w:r>
      <w:r>
        <w:t>1.5 hours.</w:t>
      </w:r>
    </w:p>
    <w:p w14:paraId="12945C51" w14:textId="41FE7FA7" w:rsidR="004656CC" w:rsidRDefault="004656CC" w:rsidP="004656CC">
      <w:r>
        <w:t>A routine follow-up chest X-ray is performed 3</w:t>
      </w:r>
      <w:r w:rsidR="00D35E9C">
        <w:t>–</w:t>
      </w:r>
      <w:r>
        <w:t>4 hours after the procedure, generally followed by a limited CT scan of the ablated area the morning after the procedure. The limited CT scan aims to assess the final thermal damage at the ablation site and potential salient complications (described in section 8.2); this scan is the baseline scan for comparison of future. Without complications requiring further action, the patient can be discharged after this CT scan.</w:t>
      </w:r>
    </w:p>
    <w:p w14:paraId="60A646F2" w14:textId="38E0050B" w:rsidR="00CD06FF" w:rsidRPr="00CD06FF" w:rsidRDefault="004656CC" w:rsidP="004656CC">
      <w:r>
        <w:t xml:space="preserve">Clinical feedback recommends routine CT imaging follow-up be performed at three, six and 12 months after ablation and yearly thereafter </w:t>
      </w:r>
      <w:r w:rsidR="00DB039D">
        <w:fldChar w:fldCharType="begin">
          <w:fldData xml:space="preserve">PEVuZE5vdGU+PENpdGU+PEF1dGhvcj5MaXU8L0F1dGhvcj48WWVhcj4yMDEzPC9ZZWFyPjxSZWNO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</w:fldData>
        </w:fldChar>
      </w:r>
      <w:r w:rsidR="00AB722F">
        <w:instrText xml:space="preserve"> ADDIN EN.CITE </w:instrText>
      </w:r>
      <w:r w:rsidR="00AB722F">
        <w:fldChar w:fldCharType="begin">
          <w:fldData xml:space="preserve">PEVuZE5vdGU+PENpdGU+PEF1dGhvcj5MaXU8L0F1dGhvcj48WWVhcj4yMDEzPC9ZZWFyPjxSZWNO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</w:fldData>
        </w:fldChar>
      </w:r>
      <w:r w:rsidR="00AB722F">
        <w:instrText xml:space="preserve"> ADDIN EN.CITE.DATA </w:instrText>
      </w:r>
      <w:r w:rsidR="00AB722F">
        <w:fldChar w:fldCharType="end"/>
      </w:r>
      <w:r w:rsidR="00DB039D">
        <w:fldChar w:fldCharType="separate"/>
      </w:r>
      <w:r w:rsidR="00AB722F">
        <w:rPr>
          <w:noProof/>
        </w:rPr>
        <w:t>(</w:t>
      </w:r>
      <w:hyperlink w:anchor="_ENREF_94" w:tooltip="Liu, 2013 #16" w:history="1">
        <w:r w:rsidR="00320458">
          <w:rPr>
            <w:noProof/>
          </w:rPr>
          <w:t>Liu and Steinke 2013a</w:t>
        </w:r>
      </w:hyperlink>
      <w:r w:rsidR="00AB722F">
        <w:rPr>
          <w:noProof/>
        </w:rPr>
        <w:t>)</w:t>
      </w:r>
      <w:r w:rsidR="00DB039D">
        <w:fldChar w:fldCharType="end"/>
      </w:r>
      <w:r>
        <w:t xml:space="preserve">. However, a recent literature review conducted by Cancer Australia concluded that optimal post-operative follow-up remain contentious </w:t>
      </w:r>
      <w:r w:rsidR="00DB039D">
        <w:fldChar w:fldCharType="begin"/>
      </w:r>
      <w:r w:rsidR="006A4E2A">
        <w:instrText xml:space="preserve"> ADDIN EN.CITE &lt;EndNote&gt;&lt;Cite&gt;&lt;Author&gt;Cancer Australia&lt;/Author&gt;&lt;Year&gt;2013&lt;/Year&gt;&lt;RecNum&gt;43&lt;/RecNum&gt;&lt;DisplayText&gt;(Cancer Australia 2013)&lt;/DisplayText&gt;&lt;record&gt;&lt;rec-number&gt;43&lt;/rec-number&gt;&lt;foreign-keys&gt;&lt;key app="EN" db-id="05ssdaw2cf0zvye5xvo5z9ww0xdpfstrdtew" timestamp="1465864258"&gt;43&lt;/key&gt;&lt;/foreign-keys&gt;&lt;ref-type name="Web Page"&gt;12&lt;/ref-type&gt;&lt;contributors&gt;&lt;authors&gt;&lt;author&gt;Cancer Australia,&lt;/author&gt;&lt;/authors&gt;&lt;/contributors&gt;&lt;titles&gt;&lt;title&gt;Best practice approaches to lung cancer care: A review of the literature&lt;/title&gt;&lt;/titles&gt;&lt;volume&gt;2016&lt;/volume&gt;&lt;number&gt;30 August&lt;/number&gt;&lt;dates&gt;&lt;year&gt;2013&lt;/year&gt;&lt;pub-dates&gt;&lt;date&gt;unknown&lt;/date&gt;&lt;/pub-dates&gt;&lt;/dates&gt;&lt;pub-location&gt;Surry Hills, NSW&lt;/pub-location&gt;&lt;publisher&gt;Cancer Australia&lt;/publisher&gt;&lt;urls&gt;&lt;related-urls&gt;&lt;url&gt;https://canceraustralia.gov.au/publications-and-resources/cancer-australia-publications/best-practice-approaches-management-lung-cancer-australia-review-literature&lt;/url&gt;&lt;/related-urls&gt;&lt;/urls&gt;&lt;/record&gt;&lt;/Cite&gt;&lt;/EndNote&gt;</w:instrText>
      </w:r>
      <w:r w:rsidR="00DB039D">
        <w:fldChar w:fldCharType="separate"/>
      </w:r>
      <w:r w:rsidR="007A01C4">
        <w:rPr>
          <w:noProof/>
        </w:rPr>
        <w:t>(</w:t>
      </w:r>
      <w:hyperlink w:anchor="_ENREF_24" w:tooltip="Cancer Australia, 2013 #43" w:history="1">
        <w:r w:rsidR="00320458">
          <w:rPr>
            <w:noProof/>
          </w:rPr>
          <w:t>Cancer Australia 2013</w:t>
        </w:r>
      </w:hyperlink>
      <w:r w:rsidR="007A01C4">
        <w:rPr>
          <w:noProof/>
        </w:rPr>
        <w:t>)</w:t>
      </w:r>
      <w:r w:rsidR="00DB039D">
        <w:fldChar w:fldCharType="end"/>
      </w:r>
      <w:r>
        <w:t>.</w:t>
      </w:r>
    </w:p>
    <w:p w14:paraId="65FCA29B" w14:textId="77777777" w:rsidR="007D2548" w:rsidRPr="00183E4D" w:rsidRDefault="007D2548" w:rsidP="003F6C66">
      <w:pPr>
        <w:pStyle w:val="Heading3"/>
      </w:pPr>
      <w:bookmarkStart w:id="121" w:name="_Toc381796448"/>
      <w:bookmarkStart w:id="122" w:name="_Toc395200760"/>
      <w:bookmarkStart w:id="123" w:name="_Toc460396017"/>
      <w:bookmarkStart w:id="124" w:name="_Toc381796445"/>
      <w:r w:rsidRPr="00183E4D">
        <w:t>Marketing status of device / technology</w:t>
      </w:r>
      <w:bookmarkEnd w:id="121"/>
      <w:bookmarkEnd w:id="122"/>
      <w:bookmarkEnd w:id="123"/>
    </w:p>
    <w:p w14:paraId="27F6F558" w14:textId="77777777" w:rsidR="00B04CF0" w:rsidRDefault="007D2548" w:rsidP="007D2548">
      <w:r w:rsidRPr="00183E4D">
        <w:t xml:space="preserve">All therapeutic products marketed in Australia require listing on the Australian Register of Therapeutic Goods (ARTG). MSAC will not consider a therapeutic product for reimbursement if the device is not listed on the ARTG. </w:t>
      </w:r>
      <w:r w:rsidR="00AB3CB2" w:rsidRPr="00183E4D">
        <w:t>I</w:t>
      </w:r>
      <w:r w:rsidRPr="00183E4D">
        <w:t xml:space="preserve">tems on the ARTG </w:t>
      </w:r>
      <w:r w:rsidR="00AB3CB2" w:rsidRPr="00183E4D">
        <w:t xml:space="preserve">that are relevant to this application </w:t>
      </w:r>
      <w:r w:rsidRPr="00183E4D">
        <w:t>are shown in</w:t>
      </w:r>
      <w:r w:rsidR="00C87D2A">
        <w:t xml:space="preserve"> </w:t>
      </w:r>
      <w:r w:rsidR="00C87D2A" w:rsidRPr="00C87D2A">
        <w:fldChar w:fldCharType="begin"/>
      </w:r>
      <w:r w:rsidR="00C87D2A" w:rsidRPr="00C87D2A">
        <w:instrText xml:space="preserve"> REF _Ref364240778 \h </w:instrText>
      </w:r>
      <w:r w:rsidR="00C87D2A">
        <w:instrText xml:space="preserve"> \* MERGEFORMAT </w:instrText>
      </w:r>
      <w:r w:rsidR="00C87D2A" w:rsidRPr="00C87D2A">
        <w:fldChar w:fldCharType="separate"/>
      </w:r>
      <w:r w:rsidR="00D170A5" w:rsidRPr="00C87D2A">
        <w:t xml:space="preserve">Table </w:t>
      </w:r>
      <w:r w:rsidR="00D170A5">
        <w:rPr>
          <w:noProof/>
        </w:rPr>
        <w:t>10</w:t>
      </w:r>
      <w:r w:rsidR="00C87D2A" w:rsidRPr="00C87D2A">
        <w:fldChar w:fldCharType="end"/>
      </w:r>
      <w:r w:rsidR="00C87D2A" w:rsidRPr="00C87D2A">
        <w:t>.</w:t>
      </w:r>
      <w:r w:rsidR="00C87D2A">
        <w:t xml:space="preserve"> </w:t>
      </w:r>
      <w:r w:rsidRPr="00183E4D">
        <w:t xml:space="preserve"> </w:t>
      </w:r>
      <w:r w:rsidR="00B04CF0">
        <w:t>There are four microwave ablation systems available in Australia:</w:t>
      </w:r>
    </w:p>
    <w:p w14:paraId="482EED10" w14:textId="77777777" w:rsidR="00B04CF0" w:rsidRDefault="00B04CF0" w:rsidP="007C744D">
      <w:pPr>
        <w:pStyle w:val="ListParagraph"/>
        <w:numPr>
          <w:ilvl w:val="0"/>
          <w:numId w:val="11"/>
        </w:numPr>
      </w:pPr>
      <w:r w:rsidRPr="00B04CF0">
        <w:lastRenderedPageBreak/>
        <w:t>The Acculis MTA system</w:t>
      </w:r>
      <w:r>
        <w:t xml:space="preserve"> (</w:t>
      </w:r>
      <w:r w:rsidRPr="00B04CF0">
        <w:t>N Stenning &amp; Co Pty Ltd</w:t>
      </w:r>
      <w:r>
        <w:t>, ARTG 174513, 195697, 1754514, 157722). This device uses 2.45GHz microwave energy.</w:t>
      </w:r>
    </w:p>
    <w:p w14:paraId="4B494C37" w14:textId="0A787DC4" w:rsidR="00B04CF0" w:rsidRDefault="00B04CF0" w:rsidP="007C744D">
      <w:pPr>
        <w:pStyle w:val="ListParagraph"/>
        <w:numPr>
          <w:ilvl w:val="0"/>
          <w:numId w:val="11"/>
        </w:numPr>
      </w:pPr>
      <w:r w:rsidRPr="00B04CF0">
        <w:t>The Avecure Microwave Ablation / Coagulation System</w:t>
      </w:r>
      <w:r>
        <w:t xml:space="preserve"> (Aurora BioScience Pty Ltd </w:t>
      </w:r>
      <w:r w:rsidRPr="00B04CF0">
        <w:t>ARTG ID 200325)</w:t>
      </w:r>
      <w:r>
        <w:t xml:space="preserve">. </w:t>
      </w:r>
      <w:r w:rsidRPr="00B04CF0">
        <w:t>This device uses 902</w:t>
      </w:r>
      <w:r w:rsidR="00D35E9C">
        <w:t>–</w:t>
      </w:r>
      <w:r w:rsidRPr="00B04CF0">
        <w:t>928 MHz microwaves, and 32W</w:t>
      </w:r>
      <w:r>
        <w:t>.</w:t>
      </w:r>
    </w:p>
    <w:p w14:paraId="55FDA5CF" w14:textId="2AB63496" w:rsidR="00B04CF0" w:rsidRDefault="00B04CF0" w:rsidP="007C744D">
      <w:pPr>
        <w:pStyle w:val="ListParagraph"/>
        <w:numPr>
          <w:ilvl w:val="0"/>
          <w:numId w:val="11"/>
        </w:numPr>
      </w:pPr>
      <w:r w:rsidRPr="00B04CF0">
        <w:t>The Emprint™ Ablation System with Thermosphere™ Technology</w:t>
      </w:r>
      <w:r>
        <w:t xml:space="preserve"> (</w:t>
      </w:r>
      <w:r w:rsidRPr="00B04CF0">
        <w:t>by Covidien Pty Ltd</w:t>
      </w:r>
      <w:r w:rsidR="00571DA1">
        <w:t xml:space="preserve">, ARTG </w:t>
      </w:r>
      <w:r w:rsidR="00571DA1" w:rsidRPr="00571DA1">
        <w:t>226598</w:t>
      </w:r>
      <w:r w:rsidR="00571DA1">
        <w:t xml:space="preserve">, </w:t>
      </w:r>
      <w:r w:rsidR="00571DA1" w:rsidRPr="00612063">
        <w:t>178369</w:t>
      </w:r>
      <w:r w:rsidR="00571DA1">
        <w:t xml:space="preserve">, </w:t>
      </w:r>
      <w:r w:rsidR="00571DA1" w:rsidRPr="00571DA1">
        <w:t>152044</w:t>
      </w:r>
      <w:r w:rsidR="00571DA1">
        <w:t xml:space="preserve">). </w:t>
      </w:r>
      <w:r w:rsidR="00571DA1" w:rsidRPr="00571DA1">
        <w:t>This system uses 1.4</w:t>
      </w:r>
      <w:r w:rsidR="00D35E9C">
        <w:t>–</w:t>
      </w:r>
      <w:r w:rsidR="00571DA1" w:rsidRPr="00571DA1">
        <w:t>1.5 GHz and 100W</w:t>
      </w:r>
      <w:r w:rsidR="00571DA1">
        <w:t>.</w:t>
      </w:r>
    </w:p>
    <w:p w14:paraId="7ECEC924" w14:textId="0ECE6712" w:rsidR="00571DA1" w:rsidRPr="00C87D2A" w:rsidRDefault="00571DA1" w:rsidP="007C744D">
      <w:pPr>
        <w:pStyle w:val="ListParagraph"/>
        <w:numPr>
          <w:ilvl w:val="0"/>
          <w:numId w:val="11"/>
        </w:numPr>
      </w:pPr>
      <w:r w:rsidRPr="00571DA1">
        <w:t>The Amica microwave hyperthermia system</w:t>
      </w:r>
      <w:r>
        <w:t xml:space="preserve"> (</w:t>
      </w:r>
      <w:r w:rsidRPr="00571DA1">
        <w:t>Culpan Medical Pty Ltd</w:t>
      </w:r>
      <w:r>
        <w:t xml:space="preserve">, </w:t>
      </w:r>
      <w:r w:rsidRPr="00571DA1">
        <w:t>212509</w:t>
      </w:r>
      <w:r>
        <w:t xml:space="preserve">, </w:t>
      </w:r>
      <w:r w:rsidRPr="00571DA1">
        <w:t>212510</w:t>
      </w:r>
      <w:r>
        <w:t xml:space="preserve">). </w:t>
      </w:r>
      <w:r w:rsidRPr="00571DA1">
        <w:t xml:space="preserve">The </w:t>
      </w:r>
      <w:r w:rsidRPr="00C87D2A">
        <w:t>system uses 2.45 GHz and 20</w:t>
      </w:r>
      <w:r w:rsidR="00D35E9C">
        <w:t>–</w:t>
      </w:r>
      <w:r w:rsidRPr="00C87D2A">
        <w:t xml:space="preserve">140W. </w:t>
      </w:r>
    </w:p>
    <w:p w14:paraId="5E076D33" w14:textId="77777777" w:rsidR="007D2548" w:rsidRPr="00183E4D" w:rsidRDefault="007D2548" w:rsidP="00BB381C">
      <w:pPr>
        <w:pStyle w:val="Caption"/>
        <w:tabs>
          <w:tab w:val="left" w:pos="1134"/>
        </w:tabs>
        <w:ind w:left="1134" w:hanging="1134"/>
      </w:pPr>
      <w:bookmarkStart w:id="125" w:name="_Ref364240778"/>
      <w:bookmarkStart w:id="126" w:name="_Toc381969859"/>
      <w:bookmarkStart w:id="127" w:name="_Toc460514668"/>
      <w:r w:rsidRPr="00C87D2A">
        <w:t xml:space="preserve">Table </w:t>
      </w:r>
      <w:fldSimple w:instr=" SEQ Table \* ARABIC ">
        <w:r w:rsidR="00D170A5">
          <w:rPr>
            <w:noProof/>
          </w:rPr>
          <w:t>10</w:t>
        </w:r>
      </w:fldSimple>
      <w:bookmarkEnd w:id="125"/>
      <w:r w:rsidRPr="00C87D2A">
        <w:tab/>
      </w:r>
      <w:r w:rsidR="00DB039D" w:rsidRPr="00C87D2A">
        <w:t>Microwave tissue ablation devices</w:t>
      </w:r>
      <w:r w:rsidRPr="00C87D2A">
        <w:t xml:space="preserve"> listed on the ARTG</w:t>
      </w:r>
      <w:bookmarkEnd w:id="126"/>
      <w:bookmarkEnd w:id="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0 XXX listed on the Australian Register of Therapeutic Goods"/>
        <w:tblDescription w:val="This table provides the registry number, product number, product description, product category and sponsor for products that relate to the technology being assessed and that are currently registered on the Australian Register of Therapeutic Goods."/>
      </w:tblPr>
      <w:tblGrid>
        <w:gridCol w:w="1293"/>
        <w:gridCol w:w="1401"/>
        <w:gridCol w:w="2147"/>
        <w:gridCol w:w="2148"/>
        <w:gridCol w:w="2083"/>
      </w:tblGrid>
      <w:tr w:rsidR="007D2548" w:rsidRPr="001C1D01" w14:paraId="4944B51D" w14:textId="77777777" w:rsidTr="00605669">
        <w:tc>
          <w:tcPr>
            <w:tcW w:w="1293" w:type="dxa"/>
            <w:shd w:val="clear" w:color="auto" w:fill="D9D9D9" w:themeFill="background1" w:themeFillShade="D9"/>
          </w:tcPr>
          <w:p w14:paraId="5DF538EF" w14:textId="77777777" w:rsidR="007D2548" w:rsidRPr="007554EB" w:rsidRDefault="007D2548" w:rsidP="00B5212E">
            <w:pPr>
              <w:pStyle w:val="Tabletext1"/>
              <w:spacing w:before="40" w:after="40"/>
              <w:rPr>
                <w:b/>
              </w:rPr>
            </w:pPr>
            <w:r w:rsidRPr="007554EB">
              <w:rPr>
                <w:b/>
              </w:rPr>
              <w:t>ARTG no.</w:t>
            </w:r>
          </w:p>
        </w:tc>
        <w:tc>
          <w:tcPr>
            <w:tcW w:w="1401" w:type="dxa"/>
            <w:shd w:val="clear" w:color="auto" w:fill="D9D9D9" w:themeFill="background1" w:themeFillShade="D9"/>
          </w:tcPr>
          <w:p w14:paraId="239608E2" w14:textId="77777777" w:rsidR="007D2548" w:rsidRPr="007554EB" w:rsidRDefault="007D2548" w:rsidP="00B5212E">
            <w:pPr>
              <w:pStyle w:val="Tabletext1"/>
              <w:spacing w:before="40" w:after="40"/>
              <w:rPr>
                <w:b/>
              </w:rPr>
            </w:pPr>
            <w:r w:rsidRPr="007554EB">
              <w:rPr>
                <w:b/>
              </w:rPr>
              <w:t>Product no.</w:t>
            </w:r>
          </w:p>
        </w:tc>
        <w:tc>
          <w:tcPr>
            <w:tcW w:w="2147" w:type="dxa"/>
            <w:shd w:val="clear" w:color="auto" w:fill="D9D9D9" w:themeFill="background1" w:themeFillShade="D9"/>
          </w:tcPr>
          <w:p w14:paraId="4DDF9AB2" w14:textId="77777777" w:rsidR="007D2548" w:rsidRPr="007554EB" w:rsidRDefault="007D2548" w:rsidP="00B5212E">
            <w:pPr>
              <w:pStyle w:val="Tabletext1"/>
              <w:spacing w:before="40" w:after="40"/>
              <w:rPr>
                <w:b/>
              </w:rPr>
            </w:pPr>
            <w:r w:rsidRPr="007554EB">
              <w:rPr>
                <w:b/>
              </w:rPr>
              <w:t>Product description</w:t>
            </w:r>
          </w:p>
        </w:tc>
        <w:tc>
          <w:tcPr>
            <w:tcW w:w="2148" w:type="dxa"/>
            <w:shd w:val="clear" w:color="auto" w:fill="D9D9D9" w:themeFill="background1" w:themeFillShade="D9"/>
          </w:tcPr>
          <w:p w14:paraId="163E7B47" w14:textId="77777777" w:rsidR="007D2548" w:rsidRPr="007554EB" w:rsidRDefault="007D2548" w:rsidP="00B5212E">
            <w:pPr>
              <w:pStyle w:val="Tabletext1"/>
              <w:spacing w:before="40" w:after="40"/>
              <w:rPr>
                <w:b/>
              </w:rPr>
            </w:pPr>
            <w:r w:rsidRPr="007554EB">
              <w:rPr>
                <w:b/>
              </w:rPr>
              <w:t>Product category</w:t>
            </w:r>
          </w:p>
        </w:tc>
        <w:tc>
          <w:tcPr>
            <w:tcW w:w="2083" w:type="dxa"/>
            <w:shd w:val="clear" w:color="auto" w:fill="D9D9D9" w:themeFill="background1" w:themeFillShade="D9"/>
          </w:tcPr>
          <w:p w14:paraId="760C19BF" w14:textId="77777777" w:rsidR="007D2548" w:rsidRPr="007554EB" w:rsidRDefault="007D2548" w:rsidP="00B5212E">
            <w:pPr>
              <w:pStyle w:val="Tabletext1"/>
              <w:spacing w:before="40" w:after="40"/>
              <w:rPr>
                <w:b/>
              </w:rPr>
            </w:pPr>
            <w:r w:rsidRPr="007554EB">
              <w:rPr>
                <w:b/>
              </w:rPr>
              <w:t>Sponsor</w:t>
            </w:r>
          </w:p>
        </w:tc>
      </w:tr>
      <w:tr w:rsidR="007D2548" w:rsidRPr="001C1D01" w14:paraId="41ACC24B" w14:textId="77777777" w:rsidTr="00605669">
        <w:tc>
          <w:tcPr>
            <w:tcW w:w="1293" w:type="dxa"/>
          </w:tcPr>
          <w:p w14:paraId="6BE4F5C5" w14:textId="77777777" w:rsidR="007D2548" w:rsidRPr="001C1D01" w:rsidRDefault="00DB039D" w:rsidP="00B5212E">
            <w:pPr>
              <w:pStyle w:val="Tabletext1"/>
              <w:spacing w:before="40" w:after="40"/>
            </w:pPr>
            <w:r w:rsidRPr="001C1D01">
              <w:t>200325</w:t>
            </w:r>
          </w:p>
        </w:tc>
        <w:tc>
          <w:tcPr>
            <w:tcW w:w="1401" w:type="dxa"/>
          </w:tcPr>
          <w:p w14:paraId="49B57768" w14:textId="77777777" w:rsidR="007D2548" w:rsidRPr="001C1D01" w:rsidRDefault="00B15E58" w:rsidP="00B5212E">
            <w:pPr>
              <w:pStyle w:val="Tabletext1"/>
              <w:spacing w:before="40" w:after="40"/>
            </w:pPr>
            <w:r w:rsidRPr="001C1D01">
              <w:t>NA</w:t>
            </w:r>
          </w:p>
        </w:tc>
        <w:tc>
          <w:tcPr>
            <w:tcW w:w="2147" w:type="dxa"/>
          </w:tcPr>
          <w:p w14:paraId="51B2BFE6" w14:textId="77777777" w:rsidR="007D2548" w:rsidRPr="001C1D01" w:rsidRDefault="00B15E58" w:rsidP="00B5212E">
            <w:pPr>
              <w:pStyle w:val="Tabletext1"/>
              <w:spacing w:before="40" w:after="40"/>
            </w:pPr>
            <w:r w:rsidRPr="001C1D01">
              <w:t xml:space="preserve">Avecure Microwave </w:t>
            </w:r>
            <w:r w:rsidR="00414BAD">
              <w:t>Ablation / Coagulation System</w:t>
            </w:r>
          </w:p>
        </w:tc>
        <w:tc>
          <w:tcPr>
            <w:tcW w:w="2148" w:type="dxa"/>
          </w:tcPr>
          <w:p w14:paraId="5178C2B4" w14:textId="77777777" w:rsidR="007D2548" w:rsidRPr="00FC06D9" w:rsidRDefault="00B15E58" w:rsidP="00B5212E">
            <w:pPr>
              <w:pStyle w:val="Tabletext1"/>
              <w:spacing w:before="40" w:after="40"/>
            </w:pPr>
            <w:r w:rsidRPr="00FC06D9">
              <w:t>Medical Device Class IIb</w:t>
            </w:r>
          </w:p>
        </w:tc>
        <w:tc>
          <w:tcPr>
            <w:tcW w:w="2083" w:type="dxa"/>
          </w:tcPr>
          <w:p w14:paraId="20D25FAA" w14:textId="77777777" w:rsidR="007D2548" w:rsidRPr="00FC06D9" w:rsidRDefault="002E6EC2" w:rsidP="00B5212E">
            <w:pPr>
              <w:pStyle w:val="Tabletext1"/>
              <w:spacing w:before="40" w:after="40"/>
            </w:pPr>
            <w:r w:rsidRPr="00FC06D9">
              <w:t>Aurora BioScience Pty Ltd</w:t>
            </w:r>
          </w:p>
        </w:tc>
      </w:tr>
      <w:tr w:rsidR="002E6EC2" w:rsidRPr="001C1D01" w14:paraId="2295E355" w14:textId="77777777" w:rsidTr="00605669">
        <w:tc>
          <w:tcPr>
            <w:tcW w:w="1293" w:type="dxa"/>
          </w:tcPr>
          <w:p w14:paraId="1BA6804E" w14:textId="77777777" w:rsidR="002E6EC2" w:rsidRPr="001C1D01" w:rsidRDefault="00B15E58" w:rsidP="00B5212E">
            <w:pPr>
              <w:pStyle w:val="Tabletext1"/>
              <w:spacing w:before="40" w:after="40"/>
            </w:pPr>
            <w:r w:rsidRPr="001C1D01">
              <w:t>226598</w:t>
            </w:r>
          </w:p>
        </w:tc>
        <w:tc>
          <w:tcPr>
            <w:tcW w:w="1401" w:type="dxa"/>
          </w:tcPr>
          <w:p w14:paraId="5D94E7A2" w14:textId="77777777" w:rsidR="002E6EC2" w:rsidRPr="001C1D01" w:rsidRDefault="00B15E58" w:rsidP="00B5212E">
            <w:pPr>
              <w:pStyle w:val="Tabletext1"/>
              <w:spacing w:before="40" w:after="40"/>
            </w:pPr>
            <w:r w:rsidRPr="001C1D01">
              <w:t>NA</w:t>
            </w:r>
          </w:p>
        </w:tc>
        <w:tc>
          <w:tcPr>
            <w:tcW w:w="2147" w:type="dxa"/>
          </w:tcPr>
          <w:p w14:paraId="34870DA4" w14:textId="77777777" w:rsidR="002E6EC2" w:rsidRPr="00FC06D9" w:rsidRDefault="00414BAD" w:rsidP="00B5212E">
            <w:pPr>
              <w:pStyle w:val="Tabletext1"/>
              <w:spacing w:before="40" w:after="40"/>
            </w:pPr>
            <w:r>
              <w:t>Emprint™ Ablation System with Thermosphere™</w:t>
            </w:r>
          </w:p>
        </w:tc>
        <w:tc>
          <w:tcPr>
            <w:tcW w:w="2148" w:type="dxa"/>
          </w:tcPr>
          <w:p w14:paraId="3C23139C" w14:textId="77777777" w:rsidR="002E6EC2" w:rsidRPr="001D54EF" w:rsidRDefault="00B15E58" w:rsidP="00B5212E">
            <w:pPr>
              <w:pStyle w:val="Tabletext1"/>
              <w:spacing w:before="40" w:after="40"/>
            </w:pPr>
            <w:r w:rsidRPr="00FC06D9">
              <w:t>Medical Device Class IIb</w:t>
            </w:r>
          </w:p>
        </w:tc>
        <w:tc>
          <w:tcPr>
            <w:tcW w:w="2083" w:type="dxa"/>
          </w:tcPr>
          <w:p w14:paraId="28B42901" w14:textId="77777777" w:rsidR="002E6EC2" w:rsidRPr="001C2967" w:rsidRDefault="00B15E58" w:rsidP="00B5212E">
            <w:pPr>
              <w:pStyle w:val="Tabletext1"/>
              <w:spacing w:before="40" w:after="40"/>
            </w:pPr>
            <w:r w:rsidRPr="001D54EF">
              <w:t>Covidien Pty Ltd</w:t>
            </w:r>
          </w:p>
        </w:tc>
      </w:tr>
      <w:tr w:rsidR="00571DA1" w:rsidRPr="001C1D01" w14:paraId="55ADE676" w14:textId="77777777" w:rsidTr="00605669">
        <w:tc>
          <w:tcPr>
            <w:tcW w:w="1293" w:type="dxa"/>
          </w:tcPr>
          <w:p w14:paraId="6B3EF0CB" w14:textId="77777777" w:rsidR="00571DA1" w:rsidRPr="001C1D01" w:rsidRDefault="00571DA1" w:rsidP="00B5212E">
            <w:pPr>
              <w:pStyle w:val="Tabletext1"/>
              <w:spacing w:before="40" w:after="40"/>
            </w:pPr>
            <w:r w:rsidRPr="001C1D01">
              <w:t>178369</w:t>
            </w:r>
          </w:p>
        </w:tc>
        <w:tc>
          <w:tcPr>
            <w:tcW w:w="1401" w:type="dxa"/>
          </w:tcPr>
          <w:p w14:paraId="68A88F6F" w14:textId="77777777" w:rsidR="00571DA1" w:rsidRPr="001C1D01" w:rsidRDefault="00571DA1" w:rsidP="00B5212E">
            <w:pPr>
              <w:pStyle w:val="Tabletext1"/>
              <w:spacing w:before="40" w:after="40"/>
            </w:pPr>
            <w:r w:rsidRPr="001C1D01">
              <w:t>NA</w:t>
            </w:r>
          </w:p>
        </w:tc>
        <w:tc>
          <w:tcPr>
            <w:tcW w:w="2147" w:type="dxa"/>
          </w:tcPr>
          <w:p w14:paraId="2593808C" w14:textId="77777777" w:rsidR="00571DA1" w:rsidRPr="00FC06D9" w:rsidRDefault="00571DA1" w:rsidP="00B5212E">
            <w:pPr>
              <w:pStyle w:val="Tabletext1"/>
              <w:spacing w:before="40" w:after="40"/>
            </w:pPr>
            <w:r w:rsidRPr="001C1D01">
              <w:t>Hyperthermia applicator, microwave, intracorporeal</w:t>
            </w:r>
          </w:p>
        </w:tc>
        <w:tc>
          <w:tcPr>
            <w:tcW w:w="2148" w:type="dxa"/>
          </w:tcPr>
          <w:p w14:paraId="26B751EE" w14:textId="77777777" w:rsidR="00571DA1" w:rsidRPr="00FC06D9" w:rsidRDefault="00571DA1" w:rsidP="00B5212E">
            <w:pPr>
              <w:pStyle w:val="Tabletext1"/>
              <w:spacing w:before="40" w:after="40"/>
            </w:pPr>
            <w:r w:rsidRPr="00FC06D9">
              <w:t>Medical Device Class IIb</w:t>
            </w:r>
          </w:p>
        </w:tc>
        <w:tc>
          <w:tcPr>
            <w:tcW w:w="2083" w:type="dxa"/>
          </w:tcPr>
          <w:p w14:paraId="61CECD7C" w14:textId="77777777" w:rsidR="00571DA1" w:rsidRPr="00FC06D9" w:rsidRDefault="00571DA1" w:rsidP="00B5212E">
            <w:pPr>
              <w:pStyle w:val="Tabletext1"/>
              <w:spacing w:before="40" w:after="40"/>
            </w:pPr>
            <w:r w:rsidRPr="00FC06D9">
              <w:t>Covidien Pty Ltd</w:t>
            </w:r>
          </w:p>
        </w:tc>
      </w:tr>
      <w:tr w:rsidR="00B04CF0" w:rsidRPr="001C1D01" w14:paraId="109BDA7B" w14:textId="77777777" w:rsidTr="00605669">
        <w:tc>
          <w:tcPr>
            <w:tcW w:w="1293" w:type="dxa"/>
          </w:tcPr>
          <w:p w14:paraId="0B6F2399" w14:textId="77777777" w:rsidR="00B04CF0" w:rsidRPr="001C1D01" w:rsidRDefault="00571DA1" w:rsidP="00B5212E">
            <w:pPr>
              <w:pStyle w:val="Tabletext1"/>
              <w:spacing w:before="40" w:after="40"/>
            </w:pPr>
            <w:r w:rsidRPr="001C1D01">
              <w:t>152044</w:t>
            </w:r>
          </w:p>
        </w:tc>
        <w:tc>
          <w:tcPr>
            <w:tcW w:w="1401" w:type="dxa"/>
          </w:tcPr>
          <w:p w14:paraId="41B5592F" w14:textId="77777777" w:rsidR="00B04CF0" w:rsidRPr="001C1D01" w:rsidRDefault="00571DA1" w:rsidP="00B5212E">
            <w:pPr>
              <w:pStyle w:val="Tabletext1"/>
              <w:spacing w:before="40" w:after="40"/>
            </w:pPr>
            <w:r w:rsidRPr="001C1D01">
              <w:t>NA</w:t>
            </w:r>
          </w:p>
        </w:tc>
        <w:tc>
          <w:tcPr>
            <w:tcW w:w="2147" w:type="dxa"/>
          </w:tcPr>
          <w:p w14:paraId="652B272E" w14:textId="77777777" w:rsidR="00B04CF0" w:rsidRPr="00FC06D9" w:rsidRDefault="00571DA1" w:rsidP="00B5212E">
            <w:pPr>
              <w:pStyle w:val="Tabletext1"/>
              <w:spacing w:before="40" w:after="40"/>
            </w:pPr>
            <w:r w:rsidRPr="001C1D01">
              <w:t>Hyperthermia system, microwave</w:t>
            </w:r>
          </w:p>
        </w:tc>
        <w:tc>
          <w:tcPr>
            <w:tcW w:w="2148" w:type="dxa"/>
          </w:tcPr>
          <w:p w14:paraId="438AF803" w14:textId="77777777" w:rsidR="00B04CF0" w:rsidRPr="00FC06D9" w:rsidRDefault="00571DA1" w:rsidP="00B5212E">
            <w:pPr>
              <w:pStyle w:val="Tabletext1"/>
              <w:spacing w:before="40" w:after="40"/>
            </w:pPr>
            <w:r w:rsidRPr="00FC06D9">
              <w:t>Medical Device Class IIb</w:t>
            </w:r>
          </w:p>
        </w:tc>
        <w:tc>
          <w:tcPr>
            <w:tcW w:w="2083" w:type="dxa"/>
          </w:tcPr>
          <w:p w14:paraId="45595EEF" w14:textId="77777777" w:rsidR="00B04CF0" w:rsidRPr="001D54EF" w:rsidRDefault="00571DA1" w:rsidP="00B5212E">
            <w:pPr>
              <w:pStyle w:val="Tabletext1"/>
              <w:spacing w:before="40" w:after="40"/>
            </w:pPr>
            <w:r w:rsidRPr="00FC06D9">
              <w:t>Covidien Pty Ltd</w:t>
            </w:r>
          </w:p>
        </w:tc>
      </w:tr>
      <w:tr w:rsidR="002E6EC2" w:rsidRPr="001C1D01" w14:paraId="4084DD15" w14:textId="77777777" w:rsidTr="00605669">
        <w:tc>
          <w:tcPr>
            <w:tcW w:w="1293" w:type="dxa"/>
          </w:tcPr>
          <w:p w14:paraId="46196A7D" w14:textId="77777777" w:rsidR="002E6EC2" w:rsidRPr="001C1D01" w:rsidRDefault="00B15E58" w:rsidP="00B5212E">
            <w:pPr>
              <w:pStyle w:val="Tabletext1"/>
              <w:spacing w:before="40" w:after="40"/>
            </w:pPr>
            <w:r w:rsidRPr="001C1D01">
              <w:t>212509</w:t>
            </w:r>
          </w:p>
        </w:tc>
        <w:tc>
          <w:tcPr>
            <w:tcW w:w="1401" w:type="dxa"/>
          </w:tcPr>
          <w:p w14:paraId="58171407" w14:textId="77777777" w:rsidR="002E6EC2" w:rsidRPr="001C1D01" w:rsidRDefault="00B15E58" w:rsidP="00B5212E">
            <w:pPr>
              <w:pStyle w:val="Tabletext1"/>
              <w:spacing w:before="40" w:after="40"/>
            </w:pPr>
            <w:r w:rsidRPr="001C1D01">
              <w:t>NA</w:t>
            </w:r>
          </w:p>
        </w:tc>
        <w:tc>
          <w:tcPr>
            <w:tcW w:w="2147" w:type="dxa"/>
          </w:tcPr>
          <w:p w14:paraId="0868297D" w14:textId="77777777" w:rsidR="002E6EC2" w:rsidRPr="00FC06D9" w:rsidRDefault="00B15E58" w:rsidP="00B5212E">
            <w:pPr>
              <w:pStyle w:val="Tabletext1"/>
              <w:spacing w:before="40" w:after="40"/>
            </w:pPr>
            <w:r w:rsidRPr="001C1D01">
              <w:t>Hyperthermia system, microwave</w:t>
            </w:r>
          </w:p>
        </w:tc>
        <w:tc>
          <w:tcPr>
            <w:tcW w:w="2148" w:type="dxa"/>
          </w:tcPr>
          <w:p w14:paraId="1F0C44D4" w14:textId="77777777" w:rsidR="002E6EC2" w:rsidRPr="00FC06D9" w:rsidRDefault="00B15E58" w:rsidP="00B5212E">
            <w:pPr>
              <w:pStyle w:val="Tabletext1"/>
              <w:spacing w:before="40" w:after="40"/>
            </w:pPr>
            <w:r w:rsidRPr="00FC06D9">
              <w:t>Medical Device Class IIb</w:t>
            </w:r>
          </w:p>
        </w:tc>
        <w:tc>
          <w:tcPr>
            <w:tcW w:w="2083" w:type="dxa"/>
          </w:tcPr>
          <w:p w14:paraId="34B93722" w14:textId="77777777" w:rsidR="002E6EC2" w:rsidRPr="001D54EF" w:rsidRDefault="00B15E58" w:rsidP="00B5212E">
            <w:pPr>
              <w:pStyle w:val="Tabletext1"/>
              <w:spacing w:before="40" w:after="40"/>
            </w:pPr>
            <w:r w:rsidRPr="00FC06D9">
              <w:t>Culpan Medical Pty Ltd</w:t>
            </w:r>
          </w:p>
        </w:tc>
      </w:tr>
      <w:tr w:rsidR="002E6EC2" w:rsidRPr="001C1D01" w14:paraId="4FD6EA95" w14:textId="77777777" w:rsidTr="00605669">
        <w:tc>
          <w:tcPr>
            <w:tcW w:w="1293" w:type="dxa"/>
          </w:tcPr>
          <w:p w14:paraId="44223E47" w14:textId="77777777" w:rsidR="002E6EC2" w:rsidRPr="001C1D01" w:rsidRDefault="00B15E58" w:rsidP="00B5212E">
            <w:pPr>
              <w:pStyle w:val="Tabletext1"/>
              <w:spacing w:before="40" w:after="40"/>
            </w:pPr>
            <w:r w:rsidRPr="001C1D01">
              <w:t>212510</w:t>
            </w:r>
          </w:p>
        </w:tc>
        <w:tc>
          <w:tcPr>
            <w:tcW w:w="1401" w:type="dxa"/>
          </w:tcPr>
          <w:p w14:paraId="70BC06DA" w14:textId="77777777" w:rsidR="002E6EC2" w:rsidRPr="001C1D01" w:rsidRDefault="00B15E58" w:rsidP="00B5212E">
            <w:pPr>
              <w:pStyle w:val="Tabletext1"/>
              <w:spacing w:before="40" w:after="40"/>
            </w:pPr>
            <w:r w:rsidRPr="001C1D01">
              <w:t>NA</w:t>
            </w:r>
          </w:p>
        </w:tc>
        <w:tc>
          <w:tcPr>
            <w:tcW w:w="2147" w:type="dxa"/>
          </w:tcPr>
          <w:p w14:paraId="785FC9F6" w14:textId="77777777" w:rsidR="002E6EC2" w:rsidRPr="00FC06D9" w:rsidRDefault="00B15E58" w:rsidP="00B5212E">
            <w:pPr>
              <w:pStyle w:val="Tabletext1"/>
              <w:spacing w:before="40" w:after="40"/>
            </w:pPr>
            <w:r w:rsidRPr="001C1D01">
              <w:t>Hyperthermia applicator, microwave, intracorporeal</w:t>
            </w:r>
          </w:p>
        </w:tc>
        <w:tc>
          <w:tcPr>
            <w:tcW w:w="2148" w:type="dxa"/>
          </w:tcPr>
          <w:p w14:paraId="0DD3CA72" w14:textId="77777777" w:rsidR="002E6EC2" w:rsidRPr="00FC06D9" w:rsidRDefault="00B15E58" w:rsidP="00B5212E">
            <w:pPr>
              <w:pStyle w:val="Tabletext1"/>
              <w:spacing w:before="40" w:after="40"/>
            </w:pPr>
            <w:r w:rsidRPr="00FC06D9">
              <w:t>Medical Device Class IIb</w:t>
            </w:r>
          </w:p>
        </w:tc>
        <w:tc>
          <w:tcPr>
            <w:tcW w:w="2083" w:type="dxa"/>
          </w:tcPr>
          <w:p w14:paraId="110A366F" w14:textId="77777777" w:rsidR="002E6EC2" w:rsidRPr="001D54EF" w:rsidRDefault="00B15E58" w:rsidP="00B5212E">
            <w:pPr>
              <w:pStyle w:val="Tabletext1"/>
              <w:spacing w:before="40" w:after="40"/>
            </w:pPr>
            <w:r w:rsidRPr="00FC06D9">
              <w:t>Culpan Medical Pty Ltd</w:t>
            </w:r>
          </w:p>
        </w:tc>
      </w:tr>
      <w:tr w:rsidR="002E6EC2" w:rsidRPr="001C1D01" w14:paraId="3EE110B3" w14:textId="77777777" w:rsidTr="00605669">
        <w:tc>
          <w:tcPr>
            <w:tcW w:w="1293" w:type="dxa"/>
          </w:tcPr>
          <w:p w14:paraId="02F2410E" w14:textId="77777777" w:rsidR="002E6EC2" w:rsidRPr="001C1D01" w:rsidRDefault="00B15E58" w:rsidP="00B5212E">
            <w:pPr>
              <w:pStyle w:val="Tabletext1"/>
              <w:spacing w:before="40" w:after="40"/>
            </w:pPr>
            <w:r w:rsidRPr="001C1D01">
              <w:t>157722</w:t>
            </w:r>
          </w:p>
        </w:tc>
        <w:tc>
          <w:tcPr>
            <w:tcW w:w="1401" w:type="dxa"/>
          </w:tcPr>
          <w:p w14:paraId="22B67148" w14:textId="77777777" w:rsidR="002E6EC2" w:rsidRPr="001C1D01" w:rsidRDefault="00B15E58" w:rsidP="00B5212E">
            <w:pPr>
              <w:pStyle w:val="Tabletext1"/>
              <w:spacing w:before="40" w:after="40"/>
            </w:pPr>
            <w:r w:rsidRPr="001C1D01">
              <w:t>NA</w:t>
            </w:r>
          </w:p>
        </w:tc>
        <w:tc>
          <w:tcPr>
            <w:tcW w:w="2147" w:type="dxa"/>
          </w:tcPr>
          <w:p w14:paraId="4C249DAA" w14:textId="77777777" w:rsidR="002E6EC2" w:rsidRPr="00FC06D9" w:rsidRDefault="00B15E58" w:rsidP="00B5212E">
            <w:pPr>
              <w:pStyle w:val="Tabletext1"/>
              <w:spacing w:before="40" w:after="40"/>
            </w:pPr>
            <w:r w:rsidRPr="001C1D01">
              <w:t>Hyperthermia system, microwave</w:t>
            </w:r>
          </w:p>
        </w:tc>
        <w:tc>
          <w:tcPr>
            <w:tcW w:w="2148" w:type="dxa"/>
          </w:tcPr>
          <w:p w14:paraId="33C170AE" w14:textId="77777777" w:rsidR="002E6EC2" w:rsidRPr="00FC06D9" w:rsidRDefault="00B15E58" w:rsidP="00B5212E">
            <w:pPr>
              <w:pStyle w:val="Tabletext1"/>
              <w:spacing w:before="40" w:after="40"/>
            </w:pPr>
            <w:r w:rsidRPr="00FC06D9">
              <w:t>Medical Device Class IIb</w:t>
            </w:r>
          </w:p>
        </w:tc>
        <w:tc>
          <w:tcPr>
            <w:tcW w:w="2083" w:type="dxa"/>
          </w:tcPr>
          <w:p w14:paraId="1F0C8899" w14:textId="77777777" w:rsidR="002E6EC2" w:rsidRPr="001D54EF" w:rsidRDefault="00B15E58" w:rsidP="00B5212E">
            <w:pPr>
              <w:pStyle w:val="Tabletext1"/>
              <w:spacing w:before="40" w:after="40"/>
            </w:pPr>
            <w:r w:rsidRPr="00FC06D9">
              <w:t>N Stenning &amp; Co Pty Ltd</w:t>
            </w:r>
          </w:p>
        </w:tc>
      </w:tr>
      <w:tr w:rsidR="00B15E58" w:rsidRPr="001C1D01" w14:paraId="5A38AA77" w14:textId="77777777" w:rsidTr="00605669">
        <w:tc>
          <w:tcPr>
            <w:tcW w:w="1293" w:type="dxa"/>
          </w:tcPr>
          <w:p w14:paraId="5B4A88EE" w14:textId="77777777" w:rsidR="00B15E58" w:rsidRPr="001C1D01" w:rsidRDefault="00B15E58" w:rsidP="00B5212E">
            <w:pPr>
              <w:pStyle w:val="Tabletext1"/>
              <w:spacing w:before="40" w:after="40"/>
            </w:pPr>
            <w:r w:rsidRPr="001C1D01">
              <w:t>174513</w:t>
            </w:r>
          </w:p>
        </w:tc>
        <w:tc>
          <w:tcPr>
            <w:tcW w:w="1401" w:type="dxa"/>
          </w:tcPr>
          <w:p w14:paraId="5573ED7F" w14:textId="77777777" w:rsidR="00B15E58" w:rsidRPr="001C1D01" w:rsidRDefault="00B15E58" w:rsidP="00B5212E">
            <w:pPr>
              <w:pStyle w:val="Tabletext1"/>
              <w:spacing w:before="40" w:after="40"/>
            </w:pPr>
            <w:r w:rsidRPr="001C1D01">
              <w:t>NA</w:t>
            </w:r>
          </w:p>
        </w:tc>
        <w:tc>
          <w:tcPr>
            <w:tcW w:w="2147" w:type="dxa"/>
          </w:tcPr>
          <w:p w14:paraId="5B6B1593" w14:textId="77777777" w:rsidR="00B15E58" w:rsidRPr="00FC06D9" w:rsidRDefault="00B15E58" w:rsidP="00B5212E">
            <w:pPr>
              <w:pStyle w:val="Tabletext1"/>
              <w:spacing w:before="40" w:after="40"/>
            </w:pPr>
            <w:r w:rsidRPr="001C1D01">
              <w:t>Probe, hyperthermia, temperature monitoring</w:t>
            </w:r>
          </w:p>
        </w:tc>
        <w:tc>
          <w:tcPr>
            <w:tcW w:w="2148" w:type="dxa"/>
          </w:tcPr>
          <w:p w14:paraId="36278C95" w14:textId="77777777" w:rsidR="00B15E58" w:rsidRPr="00FC06D9" w:rsidRDefault="00B15E58" w:rsidP="00B5212E">
            <w:pPr>
              <w:pStyle w:val="Tabletext1"/>
              <w:spacing w:before="40" w:after="40"/>
            </w:pPr>
            <w:r w:rsidRPr="00FC06D9">
              <w:t>Medical Device Included Class IIa</w:t>
            </w:r>
          </w:p>
        </w:tc>
        <w:tc>
          <w:tcPr>
            <w:tcW w:w="2083" w:type="dxa"/>
          </w:tcPr>
          <w:p w14:paraId="2649045A" w14:textId="77777777" w:rsidR="00B15E58" w:rsidRPr="00FC06D9" w:rsidRDefault="00B15E58" w:rsidP="00B5212E">
            <w:pPr>
              <w:pStyle w:val="Tabletext1"/>
              <w:spacing w:before="40" w:after="40"/>
            </w:pPr>
            <w:r w:rsidRPr="00FC06D9">
              <w:t>N Stenning &amp; Co Pty Ltd</w:t>
            </w:r>
          </w:p>
        </w:tc>
      </w:tr>
      <w:tr w:rsidR="00B15E58" w:rsidRPr="001C1D01" w14:paraId="3E69DDAB" w14:textId="77777777" w:rsidTr="00605669">
        <w:tc>
          <w:tcPr>
            <w:tcW w:w="1293" w:type="dxa"/>
          </w:tcPr>
          <w:p w14:paraId="4AF072CB" w14:textId="77777777" w:rsidR="00B15E58" w:rsidRPr="001C1D01" w:rsidRDefault="00B15E58" w:rsidP="00B5212E">
            <w:pPr>
              <w:pStyle w:val="Tabletext1"/>
              <w:spacing w:before="40" w:after="40"/>
            </w:pPr>
            <w:r w:rsidRPr="001C1D01">
              <w:t>174514</w:t>
            </w:r>
          </w:p>
        </w:tc>
        <w:tc>
          <w:tcPr>
            <w:tcW w:w="1401" w:type="dxa"/>
          </w:tcPr>
          <w:p w14:paraId="0570AE3E" w14:textId="77777777" w:rsidR="00B15E58" w:rsidRPr="001C1D01" w:rsidRDefault="00B15E58" w:rsidP="00B5212E">
            <w:pPr>
              <w:pStyle w:val="Tabletext1"/>
              <w:spacing w:before="40" w:after="40"/>
            </w:pPr>
            <w:r w:rsidRPr="001C1D01">
              <w:t>NA</w:t>
            </w:r>
          </w:p>
        </w:tc>
        <w:tc>
          <w:tcPr>
            <w:tcW w:w="2147" w:type="dxa"/>
          </w:tcPr>
          <w:p w14:paraId="4ED9217E" w14:textId="77777777" w:rsidR="00B15E58" w:rsidRPr="00FC06D9" w:rsidRDefault="00B15E58" w:rsidP="00B5212E">
            <w:pPr>
              <w:pStyle w:val="Tabletext1"/>
              <w:spacing w:before="40" w:after="40"/>
            </w:pPr>
            <w:r w:rsidRPr="001C1D01">
              <w:t>Hyperthermia applicator, microwave, intracorporeal</w:t>
            </w:r>
          </w:p>
        </w:tc>
        <w:tc>
          <w:tcPr>
            <w:tcW w:w="2148" w:type="dxa"/>
          </w:tcPr>
          <w:p w14:paraId="7AE6B59D" w14:textId="77777777" w:rsidR="00B15E58" w:rsidRPr="00FC06D9" w:rsidRDefault="00B15E58" w:rsidP="00B5212E">
            <w:pPr>
              <w:pStyle w:val="Tabletext1"/>
              <w:spacing w:before="40" w:after="40"/>
            </w:pPr>
            <w:r w:rsidRPr="00FC06D9">
              <w:t>Medical Device Included Class IIb</w:t>
            </w:r>
          </w:p>
        </w:tc>
        <w:tc>
          <w:tcPr>
            <w:tcW w:w="2083" w:type="dxa"/>
          </w:tcPr>
          <w:p w14:paraId="7FD235E0" w14:textId="77777777" w:rsidR="00B15E58" w:rsidRPr="00FC06D9" w:rsidRDefault="00B15E58" w:rsidP="00B5212E">
            <w:pPr>
              <w:pStyle w:val="Tabletext1"/>
              <w:spacing w:before="40" w:after="40"/>
            </w:pPr>
            <w:r w:rsidRPr="00FC06D9">
              <w:t>N Stenning &amp; Co Pty Ltd</w:t>
            </w:r>
          </w:p>
        </w:tc>
      </w:tr>
      <w:tr w:rsidR="00B15E58" w:rsidRPr="001C1D01" w14:paraId="0D22D2F3" w14:textId="77777777" w:rsidTr="00605669">
        <w:tc>
          <w:tcPr>
            <w:tcW w:w="1293" w:type="dxa"/>
          </w:tcPr>
          <w:p w14:paraId="7E69B65E" w14:textId="77777777" w:rsidR="00B15E58" w:rsidRPr="001C1D01" w:rsidRDefault="00B04CF0" w:rsidP="00B5212E">
            <w:pPr>
              <w:pStyle w:val="Tabletext1"/>
              <w:spacing w:before="40" w:after="40"/>
            </w:pPr>
            <w:r w:rsidRPr="001C1D01">
              <w:t>195697</w:t>
            </w:r>
          </w:p>
        </w:tc>
        <w:tc>
          <w:tcPr>
            <w:tcW w:w="1401" w:type="dxa"/>
          </w:tcPr>
          <w:p w14:paraId="38863EC4" w14:textId="77777777" w:rsidR="00B15E58" w:rsidRPr="001C1D01" w:rsidRDefault="00B04CF0" w:rsidP="00B5212E">
            <w:pPr>
              <w:pStyle w:val="Tabletext1"/>
              <w:spacing w:before="40" w:after="40"/>
            </w:pPr>
            <w:r w:rsidRPr="001C1D01">
              <w:t>NA</w:t>
            </w:r>
          </w:p>
        </w:tc>
        <w:tc>
          <w:tcPr>
            <w:tcW w:w="2147" w:type="dxa"/>
          </w:tcPr>
          <w:p w14:paraId="1122C08B" w14:textId="77777777" w:rsidR="00B15E58" w:rsidRPr="001C1D01" w:rsidRDefault="00B15E58" w:rsidP="00B5212E">
            <w:pPr>
              <w:pStyle w:val="Tabletext1"/>
              <w:spacing w:before="40" w:after="40"/>
            </w:pPr>
            <w:r w:rsidRPr="001C1D01">
              <w:t>Trolley, general-purpose</w:t>
            </w:r>
          </w:p>
        </w:tc>
        <w:tc>
          <w:tcPr>
            <w:tcW w:w="2148" w:type="dxa"/>
          </w:tcPr>
          <w:p w14:paraId="7D415814" w14:textId="77777777" w:rsidR="00B15E58" w:rsidRPr="00FC06D9" w:rsidRDefault="00B15E58" w:rsidP="00B5212E">
            <w:pPr>
              <w:pStyle w:val="Tabletext1"/>
              <w:spacing w:before="40" w:after="40"/>
            </w:pPr>
            <w:r w:rsidRPr="00FC06D9">
              <w:t>Medical Device Included Class 1</w:t>
            </w:r>
          </w:p>
        </w:tc>
        <w:tc>
          <w:tcPr>
            <w:tcW w:w="2083" w:type="dxa"/>
          </w:tcPr>
          <w:p w14:paraId="4EDCF153" w14:textId="77777777" w:rsidR="00B15E58" w:rsidRPr="00FC06D9" w:rsidRDefault="00B04CF0" w:rsidP="00B5212E">
            <w:pPr>
              <w:pStyle w:val="Tabletext1"/>
              <w:spacing w:before="40" w:after="40"/>
            </w:pPr>
            <w:r w:rsidRPr="00FC06D9">
              <w:t>N Stenning &amp; Co Pty Ltd</w:t>
            </w:r>
          </w:p>
        </w:tc>
      </w:tr>
    </w:tbl>
    <w:p w14:paraId="0C0366EF" w14:textId="77777777" w:rsidR="004906BC" w:rsidRPr="00A611EB" w:rsidRDefault="00414BAD" w:rsidP="00A611EB">
      <w:pPr>
        <w:pStyle w:val="Tablenotes0"/>
      </w:pPr>
      <w:r>
        <w:t xml:space="preserve">&lt; </w:t>
      </w:r>
      <w:r w:rsidR="00206137" w:rsidRPr="00A611EB">
        <w:t>ARTG</w:t>
      </w:r>
      <w:r w:rsidR="004906BC" w:rsidRPr="00A611EB">
        <w:t xml:space="preserve"> </w:t>
      </w:r>
      <w:r w:rsidR="00206137" w:rsidRPr="00A611EB">
        <w:t>= Australian register of therapeutic goods; NA</w:t>
      </w:r>
      <w:r w:rsidR="004906BC" w:rsidRPr="00A611EB">
        <w:t xml:space="preserve"> </w:t>
      </w:r>
      <w:r w:rsidR="00206137" w:rsidRPr="00A611EB">
        <w:t>=</w:t>
      </w:r>
      <w:r w:rsidR="00B15E58" w:rsidRPr="00A611EB">
        <w:t xml:space="preserve"> not applicable</w:t>
      </w:r>
      <w:r>
        <w:t xml:space="preserve"> &gt;</w:t>
      </w:r>
    </w:p>
    <w:p w14:paraId="79908A34" w14:textId="77777777" w:rsidR="007D2548" w:rsidRPr="00A611EB" w:rsidRDefault="007D2548" w:rsidP="00A611EB">
      <w:pPr>
        <w:pStyle w:val="Tablenotes0"/>
      </w:pPr>
      <w:r w:rsidRPr="00A611EB">
        <w:t xml:space="preserve">Source: Therapeutic Goods Administration, accessed </w:t>
      </w:r>
      <w:r w:rsidR="005A5E6D" w:rsidRPr="00A611EB">
        <w:t>14 June 2016,</w:t>
      </w:r>
      <w:r w:rsidRPr="00A611EB">
        <w:t xml:space="preserve"> </w:t>
      </w:r>
      <w:hyperlink r:id="rId24" w:history="1">
        <w:r w:rsidR="00397669" w:rsidRPr="00A611EB">
          <w:t>Link to TGA.gov.au</w:t>
        </w:r>
      </w:hyperlink>
    </w:p>
    <w:p w14:paraId="3912F39D" w14:textId="77777777" w:rsidR="00483A86" w:rsidRPr="00183E4D" w:rsidRDefault="0005232D" w:rsidP="003F6C66">
      <w:pPr>
        <w:pStyle w:val="Heading3"/>
      </w:pPr>
      <w:bookmarkStart w:id="128" w:name="_Toc395200761"/>
      <w:bookmarkStart w:id="129" w:name="_Toc460396018"/>
      <w:r w:rsidRPr="00183E4D">
        <w:t xml:space="preserve">Other </w:t>
      </w:r>
      <w:bookmarkEnd w:id="120"/>
      <w:bookmarkEnd w:id="124"/>
      <w:bookmarkEnd w:id="128"/>
      <w:r w:rsidR="003B4853">
        <w:t>i</w:t>
      </w:r>
      <w:r w:rsidR="003B4853" w:rsidRPr="00183E4D">
        <w:t>ndications</w:t>
      </w:r>
      <w:bookmarkEnd w:id="129"/>
    </w:p>
    <w:p w14:paraId="2718984A" w14:textId="5E60AFB7" w:rsidR="007D2548" w:rsidRPr="00183E4D" w:rsidRDefault="005E7548" w:rsidP="0005232D">
      <w:r w:rsidRPr="005E7548">
        <w:lastRenderedPageBreak/>
        <w:t>MTA can also be used for the ablation of tissue in other sites. In particular it has been used to ablate tumours of the liver. Ablation of liver lesions may be more established within Australian practice than ablation in the lung.</w:t>
      </w:r>
    </w:p>
    <w:p w14:paraId="759728F2" w14:textId="77777777" w:rsidR="007D2548" w:rsidRPr="00183E4D" w:rsidRDefault="007D2548" w:rsidP="003F6C66">
      <w:pPr>
        <w:pStyle w:val="Heading3"/>
      </w:pPr>
      <w:bookmarkStart w:id="130" w:name="_Toc379118071"/>
      <w:bookmarkStart w:id="131" w:name="_Toc381796449"/>
      <w:bookmarkStart w:id="132" w:name="_Toc395200762"/>
      <w:bookmarkStart w:id="133" w:name="_Toc460396019"/>
      <w:r w:rsidRPr="00183E4D">
        <w:t xml:space="preserve">Current </w:t>
      </w:r>
      <w:r w:rsidR="000F3B50">
        <w:t xml:space="preserve">funding </w:t>
      </w:r>
      <w:r w:rsidRPr="00183E4D">
        <w:t>arrangements</w:t>
      </w:r>
      <w:bookmarkEnd w:id="130"/>
      <w:bookmarkEnd w:id="131"/>
      <w:bookmarkEnd w:id="132"/>
      <w:bookmarkEnd w:id="133"/>
    </w:p>
    <w:p w14:paraId="430AB27E" w14:textId="77777777" w:rsidR="007D2548" w:rsidRPr="00183E4D" w:rsidRDefault="006B611A" w:rsidP="007D2548">
      <w:r w:rsidRPr="006B611A">
        <w:t xml:space="preserve">The intervention is not currently funded under the MBS and </w:t>
      </w:r>
      <w:r w:rsidR="0050723F">
        <w:t xml:space="preserve">no other ablative technologies such as </w:t>
      </w:r>
      <w:r w:rsidR="00520405">
        <w:t>r</w:t>
      </w:r>
      <w:r w:rsidR="00520405" w:rsidRPr="00682B2A">
        <w:rPr>
          <w:rFonts w:asciiTheme="minorHAnsi" w:hAnsiTheme="minorHAnsi"/>
          <w:color w:val="000000"/>
        </w:rPr>
        <w:t>adiofrequency ablation</w:t>
      </w:r>
      <w:r w:rsidR="00520405">
        <w:t xml:space="preserve"> (</w:t>
      </w:r>
      <w:r w:rsidR="0050723F">
        <w:t>RFA</w:t>
      </w:r>
      <w:r w:rsidR="00520405">
        <w:t>)</w:t>
      </w:r>
      <w:r w:rsidRPr="006B611A">
        <w:t xml:space="preserve"> are associated with MBS items</w:t>
      </w:r>
      <w:r w:rsidR="0050723F">
        <w:t xml:space="preserve"> for lung tumours</w:t>
      </w:r>
      <w:r w:rsidRPr="006B611A">
        <w:t xml:space="preserve">. However, ablative procedures </w:t>
      </w:r>
      <w:r w:rsidR="0050723F">
        <w:t>are</w:t>
      </w:r>
      <w:r w:rsidR="0050723F" w:rsidRPr="006B611A">
        <w:t xml:space="preserve"> </w:t>
      </w:r>
      <w:r w:rsidRPr="006B611A">
        <w:t>currently provided at a number of tertiary sites around Australia. In particular it has been reported that pulmonary RFA has been conducted at the Royal Perth Hospital and the Royal Brisbane and Women’s Hospital.</w:t>
      </w:r>
      <w:r>
        <w:t xml:space="preserve"> For private patients it is understood that private health funds typically cover the cost of the consumables; however, gap-payments may be charged in addition to consumable costs.</w:t>
      </w:r>
      <w:r w:rsidR="0050723F">
        <w:t xml:space="preserve"> MTA is currently available</w:t>
      </w:r>
      <w:r w:rsidR="00C87D2A">
        <w:t xml:space="preserve"> at the Royal Adelaide Hospital an</w:t>
      </w:r>
      <w:r w:rsidR="00410DFC">
        <w:t>d</w:t>
      </w:r>
      <w:r w:rsidR="00C87D2A" w:rsidRPr="00C87D2A">
        <w:t xml:space="preserve"> Royal Brisbane and Women’s Hospital</w:t>
      </w:r>
      <w:r w:rsidR="0050723F">
        <w:t>, funded through the public health system.</w:t>
      </w:r>
      <w:r>
        <w:t xml:space="preserve"> </w:t>
      </w:r>
    </w:p>
    <w:p w14:paraId="0C6E58E1" w14:textId="77777777" w:rsidR="00835007" w:rsidRPr="00183E4D" w:rsidDel="00A134DA" w:rsidRDefault="00AB3CB2" w:rsidP="00647EB9">
      <w:pPr>
        <w:pStyle w:val="Heading2"/>
        <w:numPr>
          <w:ilvl w:val="0"/>
          <w:numId w:val="7"/>
        </w:numPr>
      </w:pPr>
      <w:bookmarkStart w:id="134" w:name="_Toc381796450"/>
      <w:bookmarkStart w:id="135" w:name="_Toc460396020"/>
      <w:bookmarkStart w:id="136" w:name="_Toc327540865"/>
      <w:bookmarkStart w:id="137" w:name="_Toc379118069"/>
      <w:bookmarkStart w:id="138" w:name="_Toc381796447"/>
      <w:r w:rsidRPr="00183E4D" w:rsidDel="00A134DA">
        <w:t>Proposal for Public F</w:t>
      </w:r>
      <w:r w:rsidR="00835007" w:rsidRPr="00183E4D" w:rsidDel="00A134DA">
        <w:t>unding</w:t>
      </w:r>
      <w:bookmarkEnd w:id="134"/>
      <w:bookmarkEnd w:id="135"/>
    </w:p>
    <w:p w14:paraId="00545FB2" w14:textId="77777777" w:rsidR="00787EAB" w:rsidRPr="00A37F6B" w:rsidRDefault="00835007" w:rsidP="00787EAB">
      <w:r w:rsidRPr="00183E4D" w:rsidDel="00A134DA">
        <w:t xml:space="preserve">The proposed MBS </w:t>
      </w:r>
      <w:r w:rsidRPr="00410DFC" w:rsidDel="00A134DA">
        <w:t xml:space="preserve">item </w:t>
      </w:r>
      <w:r w:rsidR="00106705" w:rsidRPr="00410DFC" w:rsidDel="00A134DA">
        <w:t xml:space="preserve">descriptor </w:t>
      </w:r>
      <w:r w:rsidRPr="00410DFC" w:rsidDel="00A134DA">
        <w:t>is summarised in</w:t>
      </w:r>
      <w:bookmarkStart w:id="139" w:name="_Ref373485347"/>
      <w:bookmarkStart w:id="140" w:name="_Ref373485342"/>
      <w:r w:rsidR="00106705" w:rsidRPr="00410DFC" w:rsidDel="00A134DA">
        <w:t xml:space="preserve"> </w:t>
      </w:r>
      <w:r w:rsidR="00410DFC" w:rsidRPr="00410DFC">
        <w:fldChar w:fldCharType="begin"/>
      </w:r>
      <w:r w:rsidR="00410DFC" w:rsidRPr="00410DFC">
        <w:instrText xml:space="preserve"> REF _Ref394849669 \h  \* MERGEFORMAT </w:instrText>
      </w:r>
      <w:r w:rsidR="00410DFC" w:rsidRPr="00410DFC">
        <w:fldChar w:fldCharType="separate"/>
      </w:r>
      <w:r w:rsidR="00D170A5" w:rsidRPr="00410DFC" w:rsidDel="00A134DA">
        <w:t xml:space="preserve">Table </w:t>
      </w:r>
      <w:r w:rsidR="00D170A5">
        <w:rPr>
          <w:noProof/>
        </w:rPr>
        <w:t>11</w:t>
      </w:r>
      <w:r w:rsidR="00410DFC" w:rsidRPr="00410DFC">
        <w:fldChar w:fldCharType="end"/>
      </w:r>
      <w:r w:rsidRPr="00410DFC" w:rsidDel="00A134DA">
        <w:t>.</w:t>
      </w:r>
      <w:r w:rsidR="00F30EB0">
        <w:t xml:space="preserve"> </w:t>
      </w:r>
      <w:r w:rsidR="007E2D96" w:rsidRPr="007E2D96">
        <w:t>The current application requests the listing of six new ‘Category 3 – Therapeutic Procedures’ items on the MBS (</w:t>
      </w:r>
      <w:r w:rsidR="00410DFC" w:rsidRPr="00410DFC">
        <w:fldChar w:fldCharType="begin"/>
      </w:r>
      <w:r w:rsidR="00410DFC" w:rsidRPr="00410DFC">
        <w:instrText xml:space="preserve"> REF _Ref394849669 \h </w:instrText>
      </w:r>
      <w:r w:rsidR="00410DFC">
        <w:instrText xml:space="preserve"> \* MERGEFORMAT </w:instrText>
      </w:r>
      <w:r w:rsidR="00410DFC" w:rsidRPr="00410DFC">
        <w:fldChar w:fldCharType="separate"/>
      </w:r>
      <w:r w:rsidR="00D170A5" w:rsidRPr="00410DFC" w:rsidDel="00A134DA">
        <w:t xml:space="preserve">Table </w:t>
      </w:r>
      <w:r w:rsidR="00D170A5">
        <w:rPr>
          <w:noProof/>
        </w:rPr>
        <w:t>11</w:t>
      </w:r>
      <w:r w:rsidR="00410DFC" w:rsidRPr="00410DFC">
        <w:fldChar w:fldCharType="end"/>
      </w:r>
      <w:r w:rsidR="007E2D96" w:rsidRPr="00410DFC">
        <w:t>).</w:t>
      </w:r>
      <w:r w:rsidR="007E2D96" w:rsidRPr="007E2D96">
        <w:t xml:space="preserve"> The proposed items are</w:t>
      </w:r>
      <w:r w:rsidR="007811A2" w:rsidRPr="007811A2">
        <w:t xml:space="preserve"> </w:t>
      </w:r>
      <w:r w:rsidR="007811A2">
        <w:t>targeted to three defined populations</w:t>
      </w:r>
      <w:r w:rsidR="00825906">
        <w:t xml:space="preserve"> (described in the following section)</w:t>
      </w:r>
      <w:r w:rsidR="007E2D96" w:rsidRPr="007E2D96">
        <w:t xml:space="preserve"> graduated</w:t>
      </w:r>
      <w:r w:rsidR="007811A2">
        <w:t xml:space="preserve"> </w:t>
      </w:r>
      <w:r w:rsidR="007E2D96" w:rsidRPr="007E2D96">
        <w:t xml:space="preserve">based on the number of ablated lesions, and are intended to cover the cost of pre-, intra- and post-operative imaging. This includes a limited planning scan, intra-operative image guidance, and a post ablation </w:t>
      </w:r>
      <w:r w:rsidR="00410DFC">
        <w:t>CT</w:t>
      </w:r>
      <w:r w:rsidR="007E2D96" w:rsidRPr="007E2D96">
        <w:t xml:space="preserve"> scan.</w:t>
      </w:r>
      <w:r w:rsidR="00787EAB" w:rsidRPr="00787EAB">
        <w:t xml:space="preserve"> </w:t>
      </w:r>
      <w:r w:rsidR="00787EAB" w:rsidRPr="00A37F6B">
        <w:t>The proposed fee has been adopted from Application 1402 (MTA of liver tumours). Application 1402 states:</w:t>
      </w:r>
    </w:p>
    <w:p w14:paraId="3FE7ECBB" w14:textId="6E377C11" w:rsidR="00787EAB" w:rsidRPr="000700BB" w:rsidRDefault="00787EAB" w:rsidP="00787EAB">
      <w:pPr>
        <w:ind w:left="567"/>
        <w:rPr>
          <w:i/>
        </w:rPr>
      </w:pPr>
      <w:r w:rsidRPr="00FA46F3">
        <w:rPr>
          <w:i/>
        </w:rPr>
        <w:t>“A $1300 fee for ablation of 2</w:t>
      </w:r>
      <w:r w:rsidR="00D35E9C">
        <w:rPr>
          <w:i/>
        </w:rPr>
        <w:t>–</w:t>
      </w:r>
      <w:r w:rsidRPr="00FA46F3">
        <w:rPr>
          <w:i/>
        </w:rPr>
        <w:t>3 lesions, a $1600 fee for ablation of 4</w:t>
      </w:r>
      <w:r w:rsidR="00D35E9C">
        <w:rPr>
          <w:i/>
        </w:rPr>
        <w:t>–</w:t>
      </w:r>
      <w:r w:rsidRPr="00FA46F3">
        <w:rPr>
          <w:i/>
        </w:rPr>
        <w:t xml:space="preserve">5 lesions and a $2000 fee for ablation of &gt;5 lesions. The higher fee for &gt;5 lesions reflects the increased risk to the patients such as collateral </w:t>
      </w:r>
      <w:r w:rsidRPr="000700BB">
        <w:rPr>
          <w:i/>
        </w:rPr>
        <w:t>damage as well as more skill, time and expertise required of the physician to ensure better patient outcomes.”</w:t>
      </w:r>
    </w:p>
    <w:p w14:paraId="3F719D33" w14:textId="77777777" w:rsidR="0055175A" w:rsidRPr="00A37F6B" w:rsidRDefault="0055175A" w:rsidP="0055175A">
      <w:r w:rsidRPr="000700BB">
        <w:t>According to the applicant, the number of</w:t>
      </w:r>
      <w:r w:rsidRPr="00A37F6B">
        <w:t xml:space="preserve"> tumours treated alters the complexity of the procedure. A graduated fee structure for the number of tumours treated should be supported by evidence of increased complexity and increased clinical benefits. To determine the value of a graduated fee, PASC has advised that the assessment phase should include a stratified survival analysis based on the number of ablated lesions.</w:t>
      </w:r>
    </w:p>
    <w:p w14:paraId="04A87889" w14:textId="77777777" w:rsidR="0055175A" w:rsidRPr="00A37F6B" w:rsidRDefault="0055175A" w:rsidP="0055175A">
      <w:r w:rsidRPr="00A37F6B">
        <w:t xml:space="preserve">As there is no Medicare </w:t>
      </w:r>
      <w:r>
        <w:t>item</w:t>
      </w:r>
      <w:r w:rsidRPr="00A37F6B">
        <w:t xml:space="preserve"> for lung RFA, the maximum rebate that can be received in private practice is $470.00 (MBS item 57341 for CT-guided interventions). The fee for RFA services for liver [both percutaneous and open/laparoscopic (50952)] is $817.10. It should be noted, the application </w:t>
      </w:r>
      <w:r w:rsidRPr="00A37F6B">
        <w:lastRenderedPageBreak/>
        <w:t>claims MTA has a faster ablation time which would result in less time overall spent in the radiology suite, and may impact on the cost of the procedure.</w:t>
      </w:r>
    </w:p>
    <w:p w14:paraId="4E24CC6D" w14:textId="77777777" w:rsidR="00315C77" w:rsidRPr="00183E4D" w:rsidDel="00A134DA" w:rsidRDefault="00106705" w:rsidP="00BB381C">
      <w:pPr>
        <w:pStyle w:val="Caption"/>
        <w:tabs>
          <w:tab w:val="left" w:pos="1134"/>
        </w:tabs>
        <w:ind w:left="1134" w:hanging="1134"/>
      </w:pPr>
      <w:bookmarkStart w:id="141" w:name="_Ref394849669"/>
      <w:bookmarkStart w:id="142" w:name="_Toc460514669"/>
      <w:bookmarkEnd w:id="139"/>
      <w:bookmarkEnd w:id="140"/>
      <w:r w:rsidRPr="00410DFC" w:rsidDel="00A134DA">
        <w:t xml:space="preserve">Table </w:t>
      </w:r>
      <w:fldSimple w:instr=" SEQ Table \* ARABIC ">
        <w:r w:rsidR="00D170A5">
          <w:rPr>
            <w:noProof/>
          </w:rPr>
          <w:t>11</w:t>
        </w:r>
      </w:fldSimple>
      <w:bookmarkEnd w:id="141"/>
      <w:r w:rsidRPr="00410DFC" w:rsidDel="00A134DA">
        <w:tab/>
      </w:r>
      <w:r w:rsidR="00315C77" w:rsidRPr="00410DFC" w:rsidDel="00A134DA">
        <w:t>Proposed MBS item descriptor</w:t>
      </w:r>
      <w:r w:rsidR="00410DFC">
        <w:t>s</w:t>
      </w:r>
      <w:r w:rsidR="0055175A" w:rsidRPr="0055175A">
        <w:rPr>
          <w:lang w:val="en-GB" w:eastAsia="ja-JP"/>
        </w:rPr>
        <w:t xml:space="preserve"> </w:t>
      </w:r>
      <w:r w:rsidR="0055175A">
        <w:rPr>
          <w:lang w:val="en-GB" w:eastAsia="ja-JP"/>
        </w:rPr>
        <w:t xml:space="preserve">for </w:t>
      </w:r>
      <w:r w:rsidR="0055175A" w:rsidRPr="00CE70FF">
        <w:rPr>
          <w:lang w:val="en-GB" w:eastAsia="ja-JP"/>
        </w:rPr>
        <w:t>microwave tissue ablation</w:t>
      </w:r>
      <w:r w:rsidR="0055175A">
        <w:rPr>
          <w:lang w:val="en-GB" w:eastAsia="ja-JP"/>
        </w:rPr>
        <w:t xml:space="preserve"> of lung cancer</w:t>
      </w:r>
      <w:bookmarkEnd w:id="142"/>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9049"/>
      </w:tblGrid>
      <w:tr w:rsidR="00315C77" w:rsidRPr="00B04B57" w:rsidDel="00A134DA" w14:paraId="04AD484B" w14:textId="77777777" w:rsidTr="003733F6">
        <w:tc>
          <w:tcPr>
            <w:tcW w:w="9049" w:type="dxa"/>
            <w:shd w:val="clear" w:color="auto" w:fill="D9D9D9" w:themeFill="background1" w:themeFillShade="D9"/>
          </w:tcPr>
          <w:p w14:paraId="74C35553" w14:textId="77777777" w:rsidR="00315C77" w:rsidRPr="003733F6" w:rsidDel="00A134DA" w:rsidRDefault="007E2D96" w:rsidP="00B04B57">
            <w:pPr>
              <w:pStyle w:val="Tabletext1"/>
              <w:rPr>
                <w:b/>
              </w:rPr>
            </w:pPr>
            <w:r w:rsidRPr="003733F6">
              <w:rPr>
                <w:b/>
              </w:rPr>
              <w:t>Category 3 – THERAPEUTIC PROCEDURES</w:t>
            </w:r>
          </w:p>
        </w:tc>
      </w:tr>
      <w:tr w:rsidR="00315C77" w:rsidRPr="00B04B57" w:rsidDel="00A134DA" w14:paraId="73022BBF" w14:textId="77777777" w:rsidTr="00B426FF">
        <w:tc>
          <w:tcPr>
            <w:tcW w:w="9049" w:type="dxa"/>
          </w:tcPr>
          <w:p w14:paraId="06BB1188" w14:textId="77777777" w:rsidR="007E2D96" w:rsidRPr="00B04B57" w:rsidRDefault="007E2D96" w:rsidP="00B04B57">
            <w:pPr>
              <w:pStyle w:val="Tabletext1"/>
            </w:pPr>
            <w:r w:rsidRPr="00B04B57">
              <w:t>NONRESECTABLE PRIMARY LUNG CANCER OR PULMONARY METASTATIC DISEASE, destruction of up to three lesions, by percutaneous microwave tissue ablation (MTA) with curative intent, including any associated imaging services.</w:t>
            </w:r>
          </w:p>
          <w:p w14:paraId="519C4F4B" w14:textId="77777777" w:rsidR="00315C77" w:rsidRPr="00B04B57" w:rsidRDefault="007E2D96" w:rsidP="00B04B57">
            <w:pPr>
              <w:pStyle w:val="Tabletext1"/>
            </w:pPr>
            <w:r w:rsidRPr="00B04B57">
              <w:t>(Anaes)</w:t>
            </w:r>
          </w:p>
          <w:p w14:paraId="749AD59F" w14:textId="77777777" w:rsidR="00886EDF" w:rsidRPr="00B04B57" w:rsidDel="00A134DA" w:rsidRDefault="00886EDF" w:rsidP="00B04B57">
            <w:pPr>
              <w:pStyle w:val="Tabletext1"/>
            </w:pPr>
            <w:r w:rsidRPr="00B04B57">
              <w:t>Fee: $1300 Benefit: 75% = $975.00 85% = $1105.00</w:t>
            </w:r>
          </w:p>
        </w:tc>
      </w:tr>
      <w:tr w:rsidR="007E2D96" w:rsidRPr="00B04B57" w:rsidDel="00A134DA" w14:paraId="69CFDCDA" w14:textId="77777777" w:rsidTr="00F452E0">
        <w:tc>
          <w:tcPr>
            <w:tcW w:w="9049" w:type="dxa"/>
          </w:tcPr>
          <w:p w14:paraId="3555294F" w14:textId="77777777" w:rsidR="007E2D96" w:rsidRPr="00B04B57" w:rsidRDefault="007E2D96" w:rsidP="00B04B57">
            <w:pPr>
              <w:pStyle w:val="Tabletext1"/>
            </w:pPr>
            <w:r w:rsidRPr="00B04B57">
              <w:t>NONRESECTABLE PRIMARY LUNG CANCER OR PULMONARY METASTATIC DISEASE, destruction of four or five lesions, by percutaneous microwave tissue ablation (MTA) with curative intent, including any associated imaging services.</w:t>
            </w:r>
          </w:p>
          <w:p w14:paraId="1F1E9D55" w14:textId="77777777" w:rsidR="007E2D96" w:rsidRPr="00B04B57" w:rsidRDefault="007E2D96" w:rsidP="00B04B57">
            <w:pPr>
              <w:pStyle w:val="Tabletext1"/>
            </w:pPr>
            <w:r w:rsidRPr="00B04B57">
              <w:t>(Anaes)</w:t>
            </w:r>
            <w:r w:rsidRPr="00B04B57">
              <w:tab/>
            </w:r>
          </w:p>
          <w:p w14:paraId="7486935A" w14:textId="77777777" w:rsidR="00886EDF" w:rsidRPr="00B04B57" w:rsidDel="00A134DA" w:rsidRDefault="00886EDF" w:rsidP="00B04B57">
            <w:pPr>
              <w:pStyle w:val="Tabletext1"/>
            </w:pPr>
            <w:r w:rsidRPr="00B04B57">
              <w:t>Fee: $1600 Benefit: 75% = $1200.00 85% = $1360.00</w:t>
            </w:r>
          </w:p>
        </w:tc>
      </w:tr>
      <w:tr w:rsidR="007E2D96" w:rsidRPr="00B04B57" w:rsidDel="00A134DA" w14:paraId="3BBC2310" w14:textId="77777777" w:rsidTr="00F452E0">
        <w:tc>
          <w:tcPr>
            <w:tcW w:w="9049" w:type="dxa"/>
          </w:tcPr>
          <w:p w14:paraId="66588C75" w14:textId="77777777" w:rsidR="007E2D96" w:rsidRPr="00B04B57" w:rsidRDefault="007E2D96" w:rsidP="00B04B57">
            <w:pPr>
              <w:pStyle w:val="Tabletext1"/>
            </w:pPr>
            <w:r w:rsidRPr="00B04B57">
              <w:t>NONRESECTABLE PRIMARY LUNG CANCER OR PULMONARY METASTATIC DISEASE, destruction of more than five lesions, by percutaneous microwave tissue ablation (MTA) with curative intent, including any associated imaging services.</w:t>
            </w:r>
          </w:p>
          <w:p w14:paraId="6E11489B" w14:textId="77777777" w:rsidR="00886EDF" w:rsidRPr="00B04B57" w:rsidRDefault="007E2D96" w:rsidP="00B04B57">
            <w:pPr>
              <w:pStyle w:val="Tabletext1"/>
            </w:pPr>
            <w:r w:rsidRPr="00B04B57">
              <w:t>(Anaes)</w:t>
            </w:r>
            <w:r w:rsidRPr="00B04B57">
              <w:tab/>
            </w:r>
          </w:p>
          <w:p w14:paraId="281B55ED" w14:textId="77777777" w:rsidR="007E2D96" w:rsidRPr="00B04B57" w:rsidDel="00A134DA" w:rsidRDefault="00886EDF" w:rsidP="00B04B57">
            <w:pPr>
              <w:pStyle w:val="Tabletext1"/>
            </w:pPr>
            <w:r w:rsidRPr="00B04B57">
              <w:t>Fee: $2000 Benefit: 75% = $1500.00 85% = $1700.00</w:t>
            </w:r>
            <w:r w:rsidR="007E2D96" w:rsidRPr="00B04B57">
              <w:tab/>
            </w:r>
          </w:p>
        </w:tc>
      </w:tr>
      <w:tr w:rsidR="007E2D96" w:rsidRPr="00B04B57" w:rsidDel="00A134DA" w14:paraId="569D4B5E" w14:textId="77777777" w:rsidTr="00F452E0">
        <w:tc>
          <w:tcPr>
            <w:tcW w:w="9049" w:type="dxa"/>
          </w:tcPr>
          <w:p w14:paraId="3B99FEF8" w14:textId="77777777" w:rsidR="007E2D96" w:rsidRPr="00B04B57" w:rsidRDefault="007E2D96" w:rsidP="00B04B57">
            <w:pPr>
              <w:pStyle w:val="Tabletext1"/>
            </w:pPr>
            <w:r w:rsidRPr="00B04B57">
              <w:t>NONRESECTABLE PRIMARY LUNG CANCER OR PULMONARY METASTATIC DISEASE, destruction of up to three lesions, by percutaneous microwave tissue ablation (MTA) with palliative intent, including any associated imaging services.</w:t>
            </w:r>
          </w:p>
          <w:p w14:paraId="1DD747FD" w14:textId="77777777" w:rsidR="00886EDF" w:rsidRPr="00B04B57" w:rsidRDefault="007E2D96" w:rsidP="00B04B57">
            <w:pPr>
              <w:pStyle w:val="Tabletext1"/>
            </w:pPr>
            <w:r w:rsidRPr="00B04B57">
              <w:t>(Anaes)</w:t>
            </w:r>
            <w:r w:rsidRPr="00B04B57">
              <w:tab/>
            </w:r>
          </w:p>
          <w:p w14:paraId="66F16ADB" w14:textId="77777777" w:rsidR="007E2D96" w:rsidRPr="00B04B57" w:rsidDel="00A134DA" w:rsidRDefault="00886EDF" w:rsidP="00B04B57">
            <w:pPr>
              <w:pStyle w:val="Tabletext1"/>
            </w:pPr>
            <w:r w:rsidRPr="00B04B57">
              <w:t>Fee: $1300 Benefit: 75% = $975.00 85% = $1105.00</w:t>
            </w:r>
            <w:r w:rsidR="007E2D96" w:rsidRPr="00B04B57">
              <w:tab/>
            </w:r>
          </w:p>
        </w:tc>
      </w:tr>
      <w:tr w:rsidR="007E2D96" w:rsidRPr="00B04B57" w:rsidDel="00A134DA" w14:paraId="5EFDCC70" w14:textId="77777777" w:rsidTr="00F452E0">
        <w:tc>
          <w:tcPr>
            <w:tcW w:w="9049" w:type="dxa"/>
          </w:tcPr>
          <w:p w14:paraId="6B613FFE" w14:textId="77777777" w:rsidR="007E2D96" w:rsidRPr="00B04B57" w:rsidRDefault="007E2D96" w:rsidP="00B04B57">
            <w:pPr>
              <w:pStyle w:val="Tabletext1"/>
            </w:pPr>
            <w:r w:rsidRPr="00B04B57">
              <w:t>NONRESECTABLE PRIMARY LUNG CANCER OR PULMONARY METASTATIC DISEASE, destruction of four or five lesions, by percutaneous microwave tissue ablation (MTA) with palliative intent, including any associated imaging services.</w:t>
            </w:r>
          </w:p>
          <w:p w14:paraId="0CE0F43A" w14:textId="77777777" w:rsidR="00886EDF" w:rsidRPr="00B04B57" w:rsidRDefault="007E2D96" w:rsidP="00B04B57">
            <w:pPr>
              <w:pStyle w:val="Tabletext1"/>
            </w:pPr>
            <w:r w:rsidRPr="00B04B57">
              <w:t>(Anaes)</w:t>
            </w:r>
            <w:r w:rsidRPr="00B04B57">
              <w:tab/>
            </w:r>
          </w:p>
          <w:p w14:paraId="2D061FC6" w14:textId="77777777" w:rsidR="007E2D96" w:rsidRPr="00B04B57" w:rsidDel="00A134DA" w:rsidRDefault="00886EDF" w:rsidP="00B04B57">
            <w:pPr>
              <w:pStyle w:val="Tabletext1"/>
            </w:pPr>
            <w:r w:rsidRPr="00B04B57">
              <w:t>Fee: $1600 Benefit: 75% = $1200.00 85% = $1360.00</w:t>
            </w:r>
            <w:r w:rsidR="007E2D96" w:rsidRPr="00B04B57">
              <w:tab/>
            </w:r>
          </w:p>
        </w:tc>
      </w:tr>
      <w:tr w:rsidR="007E2D96" w:rsidRPr="00B04B57" w:rsidDel="00A134DA" w14:paraId="0135B39D" w14:textId="77777777" w:rsidTr="00F452E0">
        <w:tc>
          <w:tcPr>
            <w:tcW w:w="9049" w:type="dxa"/>
          </w:tcPr>
          <w:p w14:paraId="4998D8E7" w14:textId="77777777" w:rsidR="00886EDF" w:rsidRPr="00B04B57" w:rsidRDefault="00886EDF" w:rsidP="00B04B57">
            <w:pPr>
              <w:pStyle w:val="Tabletext1"/>
            </w:pPr>
            <w:r w:rsidRPr="00B04B57">
              <w:t>NONRESECTABLE PRIMARY LUNG CANCER OR PULMONARY METASTATIC DISEASE, destruction of more than five lesions, by percutaneous microwave tissue ablation (MTA) with palliative intent, including any associated imaging services.</w:t>
            </w:r>
          </w:p>
          <w:p w14:paraId="07C5E532" w14:textId="77777777" w:rsidR="007E2D96" w:rsidRPr="00B04B57" w:rsidRDefault="00886EDF" w:rsidP="00B04B57">
            <w:pPr>
              <w:pStyle w:val="Tabletext1"/>
            </w:pPr>
            <w:r w:rsidRPr="00B04B57">
              <w:t>(Anaes)</w:t>
            </w:r>
            <w:r w:rsidRPr="00B04B57">
              <w:tab/>
            </w:r>
          </w:p>
          <w:p w14:paraId="4DF66962" w14:textId="77777777" w:rsidR="00886EDF" w:rsidRPr="00B04B57" w:rsidDel="00A134DA" w:rsidRDefault="00886EDF" w:rsidP="00B04B57">
            <w:pPr>
              <w:pStyle w:val="Tabletext1"/>
            </w:pPr>
            <w:r w:rsidRPr="00B04B57">
              <w:t>Fee: $2000 Benefit: 75% = $1500.00 85% = $1700.00</w:t>
            </w:r>
          </w:p>
        </w:tc>
      </w:tr>
    </w:tbl>
    <w:p w14:paraId="04384DCE" w14:textId="77777777" w:rsidR="00C3360E" w:rsidRDefault="00C3360E" w:rsidP="00647EB9">
      <w:pPr>
        <w:pStyle w:val="Heading2"/>
        <w:numPr>
          <w:ilvl w:val="0"/>
          <w:numId w:val="7"/>
        </w:numPr>
      </w:pPr>
      <w:bookmarkStart w:id="143" w:name="_Toc460396021"/>
      <w:bookmarkStart w:id="144" w:name="_Toc379118076"/>
      <w:bookmarkStart w:id="145" w:name="_Toc381796455"/>
      <w:bookmarkStart w:id="146" w:name="_Toc379118072"/>
      <w:bookmarkStart w:id="147" w:name="_Toc355274709"/>
      <w:bookmarkEnd w:id="136"/>
      <w:bookmarkEnd w:id="137"/>
      <w:bookmarkEnd w:id="138"/>
      <w:r>
        <w:lastRenderedPageBreak/>
        <w:t xml:space="preserve">Proposed </w:t>
      </w:r>
      <w:r w:rsidR="003B4853">
        <w:t>Population</w:t>
      </w:r>
      <w:r w:rsidR="002B7ED6">
        <w:t>(s)</w:t>
      </w:r>
      <w:bookmarkEnd w:id="143"/>
    </w:p>
    <w:p w14:paraId="7F0D7B0D" w14:textId="4FF45809" w:rsidR="007E2D96" w:rsidRPr="007E2D96" w:rsidRDefault="007E2D96" w:rsidP="005E7548">
      <w:r w:rsidRPr="007E2D96">
        <w:t xml:space="preserve">Lung cancer is a major contributor to cancer-related mortality and burden of disease in Australia. It was the leading cause of cancer-related mortality in 2014 – accounting for 18.3 per cent of all cancer deaths (8,630 deaths) – and was the fifth most common primary cancer in Australia (excluding non-melanoma skin cancers) </w:t>
      </w:r>
      <w:r w:rsidR="007A01C4">
        <w:fldChar w:fldCharType="begin"/>
      </w:r>
      <w:r w:rsidR="00320458">
        <w:instrText xml:space="preserve"> ADDIN EN.CITE &lt;EndNote&gt;&lt;Cite&gt;&lt;Author&gt;AIHW&lt;/Author&gt;&lt;Year&gt;2014&lt;/Year&gt;&lt;RecNum&gt;58&lt;/RecNum&gt;&lt;DisplayText&gt;(Australian Institute of Health and Welfare (AIHW) 2014a)&lt;/DisplayText&gt;&lt;record&gt;&lt;rec-number&gt;58&lt;/rec-number&gt;&lt;foreign-keys&gt;&lt;key app="EN" db-id="05ssdaw2cf0zvye5xvo5z9ww0xdpfstrdtew" timestamp="1465864271"&gt;58&lt;/key&gt;&lt;/foreign-keys&gt;&lt;ref-type name="Web Page"&gt;12&lt;/ref-type&gt;&lt;contributors&gt;&lt;authors&gt;&lt;author&gt;Australian Institute of Health and Welfare (AIHW),&lt;/author&gt;&lt;/authors&gt;&lt;/contributors&gt;&lt;titles&gt;&lt;title&gt;Cancer in Australia: An overview 2014&lt;/title&gt;&lt;secondary-title&gt;Cancer series no. 90&lt;/secondary-title&gt;&lt;/titles&gt;&lt;volume&gt;Cat. no. CAN 788&lt;/volume&gt;&lt;number&gt;30 August 2016&lt;/number&gt;&lt;dates&gt;&lt;year&gt;2014&lt;/year&gt;&lt;pub-dates&gt;&lt;date&gt;2014&lt;/date&gt;&lt;/pub-dates&gt;&lt;/dates&gt;&lt;pub-location&gt;Canberra, Australia&lt;/pub-location&gt;&lt;publisher&gt;Australian Institute of Health and Welfare&lt;/publisher&gt;&lt;urls&gt;&lt;related-urls&gt;&lt;url&gt;http://www.aihw.gov.au/publication-detail/?id=60129550047&lt;/url&gt;&lt;/related-urls&gt;&lt;/urls&gt;&lt;/record&gt;&lt;/Cite&gt;&lt;/EndNote&gt;</w:instrText>
      </w:r>
      <w:r w:rsidR="007A01C4">
        <w:fldChar w:fldCharType="separate"/>
      </w:r>
      <w:r w:rsidR="00E74173">
        <w:rPr>
          <w:noProof/>
        </w:rPr>
        <w:t>(</w:t>
      </w:r>
      <w:hyperlink w:anchor="_ENREF_13" w:tooltip="Australian Institute of Health and Welfare (AIHW), 2014 #58" w:history="1">
        <w:r w:rsidR="00320458">
          <w:rPr>
            <w:noProof/>
          </w:rPr>
          <w:t>Australian Institute of Health and Welfare (AIHW) 2014a</w:t>
        </w:r>
      </w:hyperlink>
      <w:r w:rsidR="00E74173">
        <w:rPr>
          <w:noProof/>
        </w:rPr>
        <w:t>)</w:t>
      </w:r>
      <w:r w:rsidR="007A01C4">
        <w:fldChar w:fldCharType="end"/>
      </w:r>
      <w:r w:rsidRPr="007E2D96">
        <w:t xml:space="preserve">. Lung cancer was responsible for 9.4 per cent of new cancer diagnoses in 2014 (11,580 cases), with an estimated age-standardised incidence rate of 54.8 cases per 100,000 men and 33.2 cases per 100,000 women </w:t>
      </w:r>
      <w:r w:rsidR="007A01C4">
        <w:fldChar w:fldCharType="begin"/>
      </w:r>
      <w:r w:rsidR="00320458">
        <w:instrText xml:space="preserve"> ADDIN EN.CITE &lt;EndNote&gt;&lt;Cite&gt;&lt;Author&gt;AIHW&lt;/Author&gt;&lt;Year&gt;2014&lt;/Year&gt;&lt;RecNum&gt;58&lt;/RecNum&gt;&lt;DisplayText&gt;(Australian Institute of Health and Welfare (AIHW) 2014a)&lt;/DisplayText&gt;&lt;record&gt;&lt;rec-number&gt;58&lt;/rec-number&gt;&lt;foreign-keys&gt;&lt;key app="EN" db-id="05ssdaw2cf0zvye5xvo5z9ww0xdpfstrdtew" timestamp="1465864271"&gt;58&lt;/key&gt;&lt;/foreign-keys&gt;&lt;ref-type name="Web Page"&gt;12&lt;/ref-type&gt;&lt;contributors&gt;&lt;authors&gt;&lt;author&gt;Australian Institute of Health and Welfare (AIHW),&lt;/author&gt;&lt;/authors&gt;&lt;/contributors&gt;&lt;titles&gt;&lt;title&gt;Cancer in Australia: An overview 2014&lt;/title&gt;&lt;secondary-title&gt;Cancer series no. 90&lt;/secondary-title&gt;&lt;/titles&gt;&lt;volume&gt;Cat. no. CAN 788&lt;/volume&gt;&lt;number&gt;30 August 2016&lt;/number&gt;&lt;dates&gt;&lt;year&gt;2014&lt;/year&gt;&lt;pub-dates&gt;&lt;date&gt;2014&lt;/date&gt;&lt;/pub-dates&gt;&lt;/dates&gt;&lt;pub-location&gt;Canberra, Australia&lt;/pub-location&gt;&lt;publisher&gt;Australian Institute of Health and Welfare&lt;/publisher&gt;&lt;urls&gt;&lt;related-urls&gt;&lt;url&gt;http://www.aihw.gov.au/publication-detail/?id=60129550047&lt;/url&gt;&lt;/related-urls&gt;&lt;/urls&gt;&lt;/record&gt;&lt;/Cite&gt;&lt;/EndNote&gt;</w:instrText>
      </w:r>
      <w:r w:rsidR="007A01C4">
        <w:fldChar w:fldCharType="separate"/>
      </w:r>
      <w:r w:rsidR="00E74173">
        <w:rPr>
          <w:noProof/>
        </w:rPr>
        <w:t>(</w:t>
      </w:r>
      <w:hyperlink w:anchor="_ENREF_13" w:tooltip="Australian Institute of Health and Welfare (AIHW), 2014 #58" w:history="1">
        <w:r w:rsidR="00320458">
          <w:rPr>
            <w:noProof/>
          </w:rPr>
          <w:t>Australian Institute of Health and Welfare (AIHW) 2014a</w:t>
        </w:r>
      </w:hyperlink>
      <w:r w:rsidR="00E74173">
        <w:rPr>
          <w:noProof/>
        </w:rPr>
        <w:t>)</w:t>
      </w:r>
      <w:r w:rsidR="007A01C4">
        <w:fldChar w:fldCharType="end"/>
      </w:r>
      <w:r w:rsidRPr="007E2D96">
        <w:t xml:space="preserve">. </w:t>
      </w:r>
    </w:p>
    <w:p w14:paraId="4336954C" w14:textId="6DF74B42" w:rsidR="007E2D96" w:rsidRPr="007E2D96" w:rsidRDefault="007E2D96" w:rsidP="005E7548">
      <w:r w:rsidRPr="007E2D96">
        <w:t>The high mortality rate associated with lung cancer is reflected in the current estimates of 5-year relative survival. In 2007</w:t>
      </w:r>
      <w:r w:rsidR="00D35E9C">
        <w:t>–</w:t>
      </w:r>
      <w:r w:rsidRPr="007E2D96">
        <w:t xml:space="preserve">2011, the 5-year relative survival at diagnosis was 14.3 per cent </w:t>
      </w:r>
      <w:r w:rsidR="007A01C4">
        <w:fldChar w:fldCharType="begin"/>
      </w:r>
      <w:r w:rsidR="00320458">
        <w:instrText xml:space="preserve"> ADDIN EN.CITE &lt;EndNote&gt;&lt;Cite&gt;&lt;Author&gt;AIHW&lt;/Author&gt;&lt;Year&gt;2014&lt;/Year&gt;&lt;RecNum&gt;58&lt;/RecNum&gt;&lt;DisplayText&gt;(Australian Institute of Health and Welfare (AIHW) 2014a)&lt;/DisplayText&gt;&lt;record&gt;&lt;rec-number&gt;58&lt;/rec-number&gt;&lt;foreign-keys&gt;&lt;key app="EN" db-id="05ssdaw2cf0zvye5xvo5z9ww0xdpfstrdtew" timestamp="1465864271"&gt;58&lt;/key&gt;&lt;/foreign-keys&gt;&lt;ref-type name="Web Page"&gt;12&lt;/ref-type&gt;&lt;contributors&gt;&lt;authors&gt;&lt;author&gt;Australian Institute of Health and Welfare (AIHW),&lt;/author&gt;&lt;/authors&gt;&lt;/contributors&gt;&lt;titles&gt;&lt;title&gt;Cancer in Australia: An overview 2014&lt;/title&gt;&lt;secondary-title&gt;Cancer series no. 90&lt;/secondary-title&gt;&lt;/titles&gt;&lt;volume&gt;Cat. no. CAN 788&lt;/volume&gt;&lt;number&gt;30 August 2016&lt;/number&gt;&lt;dates&gt;&lt;year&gt;2014&lt;/year&gt;&lt;pub-dates&gt;&lt;date&gt;2014&lt;/date&gt;&lt;/pub-dates&gt;&lt;/dates&gt;&lt;pub-location&gt;Canberra, Australia&lt;/pub-location&gt;&lt;publisher&gt;Australian Institute of Health and Welfare&lt;/publisher&gt;&lt;urls&gt;&lt;related-urls&gt;&lt;url&gt;http://www.aihw.gov.au/publication-detail/?id=60129550047&lt;/url&gt;&lt;/related-urls&gt;&lt;/urls&gt;&lt;/record&gt;&lt;/Cite&gt;&lt;/EndNote&gt;</w:instrText>
      </w:r>
      <w:r w:rsidR="007A01C4">
        <w:fldChar w:fldCharType="separate"/>
      </w:r>
      <w:r w:rsidR="00E74173">
        <w:rPr>
          <w:noProof/>
        </w:rPr>
        <w:t>(</w:t>
      </w:r>
      <w:hyperlink w:anchor="_ENREF_13" w:tooltip="Australian Institute of Health and Welfare (AIHW), 2014 #58" w:history="1">
        <w:r w:rsidR="00320458">
          <w:rPr>
            <w:noProof/>
          </w:rPr>
          <w:t>Australian Institute of Health and Welfare (AIHW) 2014a</w:t>
        </w:r>
      </w:hyperlink>
      <w:r w:rsidR="00E74173">
        <w:rPr>
          <w:noProof/>
        </w:rPr>
        <w:t>)</w:t>
      </w:r>
      <w:r w:rsidR="007A01C4">
        <w:fldChar w:fldCharType="end"/>
      </w:r>
      <w:r w:rsidRPr="007E2D96">
        <w:t>. There is a strong correlation between age and relative survival, with a sharp decline in 5-year relative survival between patients aged 15</w:t>
      </w:r>
      <w:r w:rsidR="00D35E9C">
        <w:t>–</w:t>
      </w:r>
      <w:r w:rsidRPr="007E2D96">
        <w:t>24 (76%) and 25</w:t>
      </w:r>
      <w:r w:rsidR="00D35E9C">
        <w:t>–</w:t>
      </w:r>
      <w:r w:rsidRPr="007E2D96">
        <w:t xml:space="preserve">44 (29%), followed by a more gradual decline towards patients aged 75+ (8.7%) </w:t>
      </w:r>
      <w:r w:rsidR="007A01C4">
        <w:fldChar w:fldCharType="begin"/>
      </w:r>
      <w:r w:rsidR="00320458">
        <w:instrText xml:space="preserve"> ADDIN EN.CITE &lt;EndNote&gt;&lt;Cite&gt;&lt;Author&gt;AIHW&lt;/Author&gt;&lt;Year&gt;2014&lt;/Year&gt;&lt;RecNum&gt;58&lt;/RecNum&gt;&lt;DisplayText&gt;(Australian Institute of Health and Welfare (AIHW) 2014a)&lt;/DisplayText&gt;&lt;record&gt;&lt;rec-number&gt;58&lt;/rec-number&gt;&lt;foreign-keys&gt;&lt;key app="EN" db-id="05ssdaw2cf0zvye5xvo5z9ww0xdpfstrdtew" timestamp="1465864271"&gt;58&lt;/key&gt;&lt;/foreign-keys&gt;&lt;ref-type name="Web Page"&gt;12&lt;/ref-type&gt;&lt;contributors&gt;&lt;authors&gt;&lt;author&gt;Australian Institute of Health and Welfare (AIHW),&lt;/author&gt;&lt;/authors&gt;&lt;/contributors&gt;&lt;titles&gt;&lt;title&gt;Cancer in Australia: An overview 2014&lt;/title&gt;&lt;secondary-title&gt;Cancer series no. 90&lt;/secondary-title&gt;&lt;/titles&gt;&lt;volume&gt;Cat. no. CAN 788&lt;/volume&gt;&lt;number&gt;30 August 2016&lt;/number&gt;&lt;dates&gt;&lt;year&gt;2014&lt;/year&gt;&lt;pub-dates&gt;&lt;date&gt;2014&lt;/date&gt;&lt;/pub-dates&gt;&lt;/dates&gt;&lt;pub-location&gt;Canberra, Australia&lt;/pub-location&gt;&lt;publisher&gt;Australian Institute of Health and Welfare&lt;/publisher&gt;&lt;urls&gt;&lt;related-urls&gt;&lt;url&gt;http://www.aihw.gov.au/publication-detail/?id=60129550047&lt;/url&gt;&lt;/related-urls&gt;&lt;/urls&gt;&lt;/record&gt;&lt;/Cite&gt;&lt;/EndNote&gt;</w:instrText>
      </w:r>
      <w:r w:rsidR="007A01C4">
        <w:fldChar w:fldCharType="separate"/>
      </w:r>
      <w:r w:rsidR="00E74173">
        <w:rPr>
          <w:noProof/>
        </w:rPr>
        <w:t>(</w:t>
      </w:r>
      <w:hyperlink w:anchor="_ENREF_13" w:tooltip="Australian Institute of Health and Welfare (AIHW), 2014 #58" w:history="1">
        <w:r w:rsidR="00320458">
          <w:rPr>
            <w:noProof/>
          </w:rPr>
          <w:t>Australian Institute of Health and Welfare (AIHW) 2014a</w:t>
        </w:r>
      </w:hyperlink>
      <w:r w:rsidR="00E74173">
        <w:rPr>
          <w:noProof/>
        </w:rPr>
        <w:t>)</w:t>
      </w:r>
      <w:r w:rsidR="007A01C4">
        <w:fldChar w:fldCharType="end"/>
      </w:r>
      <w:r w:rsidRPr="007E2D96">
        <w:t>. However, the relative survival of lung cancer depends on the aetiology of the lesion.</w:t>
      </w:r>
    </w:p>
    <w:p w14:paraId="200A4AAB" w14:textId="77777777" w:rsidR="007E2D96" w:rsidRPr="00636BE5" w:rsidRDefault="007E2D96" w:rsidP="003F6C66">
      <w:pPr>
        <w:pStyle w:val="Heading3"/>
      </w:pPr>
      <w:r w:rsidRPr="00636BE5">
        <w:t>Primary lung cancer</w:t>
      </w:r>
    </w:p>
    <w:p w14:paraId="45DF5597" w14:textId="6D643FB8" w:rsidR="007E2D96" w:rsidRPr="007E2D96" w:rsidRDefault="007E2D96" w:rsidP="005E7548">
      <w:r w:rsidRPr="007E2D96">
        <w:t xml:space="preserve">There are two broad categories of primary lung cancer: small cell lung cancer (SCLC) and non-small cell lung cancer (NSCLC). SCLCs accounted for 12.3 per cent (1,140 cases) of all lung cancers in 2007, and are derived from neuroendocrine precursor cells in the bronchi and bronchioles. They are characterised by aggressive progression and spread throughout the body </w:t>
      </w:r>
      <w:r w:rsidR="007A01C4">
        <w:fldChar w:fldCharType="begin"/>
      </w:r>
      <w:r w:rsidR="00320458">
        <w:instrText xml:space="preserve"> ADDIN EN.CITE &lt;EndNote&gt;&lt;Cite&gt;&lt;Author&gt;AIHW&lt;/Author&gt;&lt;Year&gt;2011&lt;/Year&gt;&lt;RecNum&gt;56&lt;/RecNum&gt;&lt;DisplayText&gt;(Australian Institute of Health and Welfare (AIHW) 2011a)&lt;/DisplayText&gt;&lt;record&gt;&lt;rec-number&gt;56&lt;/rec-number&gt;&lt;foreign-keys&gt;&lt;key app="EN" db-id="05ssdaw2cf0zvye5xvo5z9ww0xdpfstrdtew" timestamp="1465864271"&gt;56&lt;/key&gt;&lt;/foreign-keys&gt;&lt;ref-type name="Web Page"&gt;12&lt;/ref-type&gt;&lt;contributors&gt;&lt;authors&gt;&lt;author&gt;Australian Institute of Health and Welfare (AIHW),&lt;/author&gt;&lt;/authors&gt;&lt;/contributors&gt;&lt;titles&gt;&lt;title&gt;Lung cancer in Australia: an overview&lt;/title&gt;&lt;secondary-title&gt;Cancer series no. 64&lt;/secondary-title&gt;&lt;/titles&gt;&lt;volume&gt;Cat. no. CAN 58&lt;/volume&gt;&lt;number&gt;30 August 2016&lt;/number&gt;&lt;dates&gt;&lt;year&gt;2011&lt;/year&gt;&lt;pub-dates&gt;&lt;date&gt;2011&lt;/date&gt;&lt;/pub-dates&gt;&lt;/dates&gt;&lt;pub-location&gt;Canberra,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rsidR="007A01C4">
        <w:fldChar w:fldCharType="separate"/>
      </w:r>
      <w:r w:rsidR="006A4E2A">
        <w:rPr>
          <w:noProof/>
        </w:rPr>
        <w:t>(</w:t>
      </w:r>
      <w:hyperlink w:anchor="_ENREF_11" w:tooltip="Australian Institute of Health and Welfare (AIHW), 2011 #56" w:history="1">
        <w:r w:rsidR="00320458">
          <w:rPr>
            <w:noProof/>
          </w:rPr>
          <w:t>Australian Institute of Health and Welfare (AIHW) 2011a</w:t>
        </w:r>
      </w:hyperlink>
      <w:r w:rsidR="006A4E2A">
        <w:rPr>
          <w:noProof/>
        </w:rPr>
        <w:t>)</w:t>
      </w:r>
      <w:r w:rsidR="007A01C4">
        <w:fldChar w:fldCharType="end"/>
      </w:r>
      <w:r w:rsidRPr="007E2D96">
        <w:t>. Due to the manner in which SCLC progresses, patients with this form of cancer may not be suitable candidates for surgical resection and are often managed with palliative care. As a result, patients with SCLC are not considered to be appropriate candidates for MTA and are not included in the eligible patient populations.</w:t>
      </w:r>
    </w:p>
    <w:p w14:paraId="23E36909" w14:textId="7D61EE15" w:rsidR="00462280" w:rsidRDefault="007E2D96" w:rsidP="005E7548">
      <w:r w:rsidRPr="007E2D96">
        <w:t xml:space="preserve">In contrast, NSCLC accounted for 62.6 per cent (6,095 cases) of lung cancers in 2007, and may be derived from a range of bronchial epithelial progenitor cells. The main forms of NSCLC include squamous cell carcinoma, adenocarcinoma, and large cell carcinoma </w:t>
      </w:r>
      <w:r w:rsidR="007A01C4">
        <w:fldChar w:fldCharType="begin"/>
      </w:r>
      <w:r w:rsidR="00320458">
        <w:instrText xml:space="preserve"> ADDIN EN.CITE &lt;EndNote&gt;&lt;Cite&gt;&lt;Author&gt;AIHW&lt;/Author&gt;&lt;Year&gt;2011&lt;/Year&gt;&lt;RecNum&gt;56&lt;/RecNum&gt;&lt;DisplayText&gt;(Australian Institute of Health and Welfare (AIHW) 2011a)&lt;/DisplayText&gt;&lt;record&gt;&lt;rec-number&gt;56&lt;/rec-number&gt;&lt;foreign-keys&gt;&lt;key app="EN" db-id="05ssdaw2cf0zvye5xvo5z9ww0xdpfstrdtew" timestamp="1465864271"&gt;56&lt;/key&gt;&lt;/foreign-keys&gt;&lt;ref-type name="Web Page"&gt;12&lt;/ref-type&gt;&lt;contributors&gt;&lt;authors&gt;&lt;author&gt;Australian Institute of Health and Welfare (AIHW),&lt;/author&gt;&lt;/authors&gt;&lt;/contributors&gt;&lt;titles&gt;&lt;title&gt;Lung cancer in Australia: an overview&lt;/title&gt;&lt;secondary-title&gt;Cancer series no. 64&lt;/secondary-title&gt;&lt;/titles&gt;&lt;volume&gt;Cat. no. CAN 58&lt;/volume&gt;&lt;number&gt;30 August 2016&lt;/number&gt;&lt;dates&gt;&lt;year&gt;2011&lt;/year&gt;&lt;pub-dates&gt;&lt;date&gt;2011&lt;/date&gt;&lt;/pub-dates&gt;&lt;/dates&gt;&lt;pub-location&gt;Canberra,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rsidR="007A01C4">
        <w:fldChar w:fldCharType="separate"/>
      </w:r>
      <w:r w:rsidR="006A4E2A">
        <w:rPr>
          <w:noProof/>
        </w:rPr>
        <w:t>(</w:t>
      </w:r>
      <w:hyperlink w:anchor="_ENREF_11" w:tooltip="Australian Institute of Health and Welfare (AIHW), 2011 #56" w:history="1">
        <w:r w:rsidR="00320458">
          <w:rPr>
            <w:noProof/>
          </w:rPr>
          <w:t>Australian Institute of Health and Welfare (AIHW) 2011a</w:t>
        </w:r>
      </w:hyperlink>
      <w:r w:rsidR="006A4E2A">
        <w:rPr>
          <w:noProof/>
        </w:rPr>
        <w:t>)</w:t>
      </w:r>
      <w:r w:rsidR="007A01C4">
        <w:fldChar w:fldCharType="end"/>
      </w:r>
      <w:r w:rsidRPr="007E2D96">
        <w:t xml:space="preserve">. They are characterised by slower growth and metastatic spread compared to SCLC </w:t>
      </w:r>
      <w:r w:rsidR="007A01C4">
        <w:fldChar w:fldCharType="begin"/>
      </w:r>
      <w:r w:rsidR="00320458">
        <w:instrText xml:space="preserve"> ADDIN EN.CITE &lt;EndNote&gt;&lt;Cite&gt;&lt;Author&gt;AIHW&lt;/Author&gt;&lt;Year&gt;2011&lt;/Year&gt;&lt;RecNum&gt;56&lt;/RecNum&gt;&lt;DisplayText&gt;(Australian Institute of Health and Welfare (AIHW) 2011a)&lt;/DisplayText&gt;&lt;record&gt;&lt;rec-number&gt;56&lt;/rec-number&gt;&lt;foreign-keys&gt;&lt;key app="EN" db-id="05ssdaw2cf0zvye5xvo5z9ww0xdpfstrdtew" timestamp="1465864271"&gt;56&lt;/key&gt;&lt;/foreign-keys&gt;&lt;ref-type name="Web Page"&gt;12&lt;/ref-type&gt;&lt;contributors&gt;&lt;authors&gt;&lt;author&gt;Australian Institute of Health and Welfare (AIHW),&lt;/author&gt;&lt;/authors&gt;&lt;/contributors&gt;&lt;titles&gt;&lt;title&gt;Lung cancer in Australia: an overview&lt;/title&gt;&lt;secondary-title&gt;Cancer series no. 64&lt;/secondary-title&gt;&lt;/titles&gt;&lt;volume&gt;Cat. no. CAN 58&lt;/volume&gt;&lt;number&gt;30 August 2016&lt;/number&gt;&lt;dates&gt;&lt;year&gt;2011&lt;/year&gt;&lt;pub-dates&gt;&lt;date&gt;2011&lt;/date&gt;&lt;/pub-dates&gt;&lt;/dates&gt;&lt;pub-location&gt;Canberra,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rsidR="007A01C4">
        <w:fldChar w:fldCharType="separate"/>
      </w:r>
      <w:r w:rsidR="006A4E2A">
        <w:rPr>
          <w:noProof/>
        </w:rPr>
        <w:t>(</w:t>
      </w:r>
      <w:hyperlink w:anchor="_ENREF_11" w:tooltip="Australian Institute of Health and Welfare (AIHW), 2011 #56" w:history="1">
        <w:r w:rsidR="00320458">
          <w:rPr>
            <w:noProof/>
          </w:rPr>
          <w:t>Australian Institute of Health and Welfare (AIHW) 2011a</w:t>
        </w:r>
      </w:hyperlink>
      <w:r w:rsidR="006A4E2A">
        <w:rPr>
          <w:noProof/>
        </w:rPr>
        <w:t>)</w:t>
      </w:r>
      <w:r w:rsidR="007A01C4">
        <w:fldChar w:fldCharType="end"/>
      </w:r>
      <w:r w:rsidRPr="007E2D96">
        <w:t xml:space="preserve">. Due to their slower rate of progression, NSCLC may be amenable to curative treatments, including surgical resection, radiotherapy, and chemoradiotherapy. Based on data from the United States, it is estimated that 16.1 per cent of NSCLC in males and 19.6 per cent of NSCLC in females remains </w:t>
      </w:r>
      <w:r w:rsidRPr="00623D58">
        <w:t xml:space="preserve">localised at the time of diagnosis </w:t>
      </w:r>
      <w:r w:rsidR="007A01C4" w:rsidRPr="00623D58">
        <w:fldChar w:fldCharType="begin"/>
      </w:r>
      <w:r w:rsidR="00320458">
        <w:instrText xml:space="preserve"> ADDIN EN.CITE &lt;EndNote&gt;&lt;Cite&gt;&lt;Author&gt;AIHW&lt;/Author&gt;&lt;Year&gt;2011&lt;/Year&gt;&lt;RecNum&gt;56&lt;/RecNum&gt;&lt;DisplayText&gt;(Australian Institute of Health and Welfare (AIHW) 2011a)&lt;/DisplayText&gt;&lt;record&gt;&lt;rec-number&gt;56&lt;/rec-number&gt;&lt;foreign-keys&gt;&lt;key app="EN" db-id="05ssdaw2cf0zvye5xvo5z9ww0xdpfstrdtew" timestamp="1465864271"&gt;56&lt;/key&gt;&lt;/foreign-keys&gt;&lt;ref-type name="Web Page"&gt;12&lt;/ref-type&gt;&lt;contributors&gt;&lt;authors&gt;&lt;author&gt;Australian Institute of Health and Welfare (AIHW),&lt;/author&gt;&lt;/authors&gt;&lt;/contributors&gt;&lt;titles&gt;&lt;title&gt;Lung cancer in Australia: an overview&lt;/title&gt;&lt;secondary-title&gt;Cancer series no. 64&lt;/secondary-title&gt;&lt;/titles&gt;&lt;volume&gt;Cat. no. CAN 58&lt;/volume&gt;&lt;number&gt;30 August 2016&lt;/number&gt;&lt;dates&gt;&lt;year&gt;2011&lt;/year&gt;&lt;pub-dates&gt;&lt;date&gt;2011&lt;/date&gt;&lt;/pub-dates&gt;&lt;/dates&gt;&lt;pub-location&gt;Canberra,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rsidR="007A01C4" w:rsidRPr="00623D58">
        <w:fldChar w:fldCharType="separate"/>
      </w:r>
      <w:r w:rsidR="006A4E2A">
        <w:rPr>
          <w:noProof/>
        </w:rPr>
        <w:t>(</w:t>
      </w:r>
      <w:hyperlink w:anchor="_ENREF_11" w:tooltip="Australian Institute of Health and Welfare (AIHW), 2011 #56" w:history="1">
        <w:r w:rsidR="00320458">
          <w:rPr>
            <w:noProof/>
          </w:rPr>
          <w:t>Australian Institute of Health and Welfare (AIHW) 2011a</w:t>
        </w:r>
      </w:hyperlink>
      <w:r w:rsidR="006A4E2A">
        <w:rPr>
          <w:noProof/>
        </w:rPr>
        <w:t>)</w:t>
      </w:r>
      <w:r w:rsidR="007A01C4" w:rsidRPr="00623D58">
        <w:fldChar w:fldCharType="end"/>
      </w:r>
      <w:r w:rsidRPr="00623D58">
        <w:t>.</w:t>
      </w:r>
      <w:r w:rsidR="00462280">
        <w:br w:type="page"/>
      </w:r>
    </w:p>
    <w:p w14:paraId="66413650" w14:textId="77777777" w:rsidR="007E2D96" w:rsidRPr="00636BE5" w:rsidRDefault="007E2D96" w:rsidP="003F6C66">
      <w:pPr>
        <w:pStyle w:val="Heading3"/>
      </w:pPr>
      <w:r w:rsidRPr="00636BE5">
        <w:lastRenderedPageBreak/>
        <w:t>Secondary lung cancer</w:t>
      </w:r>
      <w:r w:rsidRPr="00636BE5">
        <w:tab/>
      </w:r>
    </w:p>
    <w:p w14:paraId="6ECD962B" w14:textId="10526A8A" w:rsidR="007E2D96" w:rsidRPr="007E2D96" w:rsidRDefault="007E2D96" w:rsidP="005E7548">
      <w:r w:rsidRPr="007E2D96">
        <w:t>Secondary lung cancers are metastases from primary malignancies</w:t>
      </w:r>
      <w:r w:rsidR="00462280">
        <w:t xml:space="preserve"> found</w:t>
      </w:r>
      <w:r w:rsidRPr="007E2D96">
        <w:t xml:space="preserve"> elsewhere in the body. The lungs are the second most common site of metastases. Breast, colorectal, lung, kidney, head and neck, and uterine cancers are the most common primary tumours </w:t>
      </w:r>
      <w:r w:rsidR="00623D58">
        <w:t>leading to</w:t>
      </w:r>
      <w:r w:rsidR="00623D58" w:rsidRPr="007E2D96">
        <w:t xml:space="preserve"> </w:t>
      </w:r>
      <w:r w:rsidRPr="007E2D96">
        <w:t xml:space="preserve">lung metastasis at autopsy </w:t>
      </w:r>
      <w:r w:rsidR="007A01C4">
        <w:fldChar w:fldCharType="begin"/>
      </w:r>
      <w:r w:rsidR="00194054">
        <w:instrText xml:space="preserve"> ADDIN EN.CITE &lt;EndNote&gt;&lt;Cite&gt;&lt;Author&gt;Seo&lt;/Author&gt;&lt;Year&gt;2001&lt;/Year&gt;&lt;RecNum&gt;66&lt;/RecNum&gt;&lt;DisplayText&gt;(Seo et al 2001)&lt;/DisplayText&gt;&lt;record&gt;&lt;rec-number&gt;66&lt;/rec-number&gt;&lt;foreign-keys&gt;&lt;key app="EN" db-id="05ssdaw2cf0zvye5xvo5z9ww0xdpfstrdtew" timestamp="1465864272"&gt;66&lt;/key&gt;&lt;/foreign-keys&gt;&lt;ref-type name="Journal Article"&gt;17&lt;/ref-type&gt;&lt;contributors&gt;&lt;authors&gt;&lt;author&gt;Seo, J. B.&lt;/author&gt;&lt;author&gt;Im, J. G.&lt;/author&gt;&lt;author&gt;Goo, J. M.&lt;/author&gt;&lt;author&gt;Chung, M. J.&lt;/author&gt;&lt;author&gt;Kim, M. Y.&lt;/author&gt;&lt;/authors&gt;&lt;/contributors&gt;&lt;auth-address&gt;Department of Radiology, Gachon Medical School, Gil Medical Center, Inchon, South Korea.&lt;/auth-address&gt;&lt;titles&gt;&lt;title&gt;Atypical pulmonary metastases: spectrum of radiologic findings&lt;/title&gt;&lt;secondary-title&gt;Radiographics&lt;/secondary-title&gt;&lt;alt-title&gt;Radiographics : a review publication of the Radiological Society of North America, Inc&lt;/alt-title&gt;&lt;/titles&gt;&lt;periodical&gt;&lt;full-title&gt;Radiographics&lt;/full-title&gt;&lt;abbr-1&gt;Radiographics : a review publication of the Radiological Society of North America, Inc&lt;/abbr-1&gt;&lt;/periodical&gt;&lt;alt-periodical&gt;&lt;full-title&gt;Radiographics&lt;/full-title&gt;&lt;abbr-1&gt;Radiographics : a review publication of the Radiological Society of North America, Inc&lt;/abbr-1&gt;&lt;/alt-periodical&gt;&lt;pages&gt;403-17&lt;/pages&gt;&lt;volume&gt;21&lt;/volume&gt;&lt;number&gt;2&lt;/number&gt;&lt;edition&gt;2001/03/22&lt;/edition&gt;&lt;keywords&gt;&lt;keyword&gt;Calcinosis/pathology/radiography&lt;/keyword&gt;&lt;keyword&gt;Diagnosis, Differential&lt;/keyword&gt;&lt;keyword&gt;Humans&lt;/keyword&gt;&lt;keyword&gt;Lung/pathology/radiography&lt;/keyword&gt;&lt;keyword&gt;Lung Neoplasms/pathology/radiography/*secondary&lt;/keyword&gt;&lt;keyword&gt;Pneumothorax/pathology/radiography&lt;/keyword&gt;&lt;keyword&gt;*Tomography, X-Ray Computed&lt;/keyword&gt;&lt;/keywords&gt;&lt;dates&gt;&lt;year&gt;2001&lt;/year&gt;&lt;pub-dates&gt;&lt;date&gt;Mar-Apr&lt;/date&gt;&lt;/pub-dates&gt;&lt;/dates&gt;&lt;isbn&gt;0271-5333 (Print)&amp;#xD;0271-5333&lt;/isbn&gt;&lt;accession-num&gt;11259704&lt;/accession-num&gt;&lt;urls&gt;&lt;/urls&gt;&lt;electronic-resource-num&gt;10.1148/radiographics.21.2.g01mr17403&lt;/electronic-resource-num&gt;&lt;remote-database-provider&gt;NLM&lt;/remote-database-provider&gt;&lt;language&gt;eng&lt;/language&gt;&lt;/record&gt;&lt;/Cite&gt;&lt;/EndNote&gt;</w:instrText>
      </w:r>
      <w:r w:rsidR="007A01C4">
        <w:fldChar w:fldCharType="separate"/>
      </w:r>
      <w:r w:rsidR="007A01C4">
        <w:rPr>
          <w:noProof/>
        </w:rPr>
        <w:t>(</w:t>
      </w:r>
      <w:hyperlink w:anchor="_ENREF_135" w:tooltip="Seo, 2001 #66" w:history="1">
        <w:r w:rsidR="00320458">
          <w:rPr>
            <w:noProof/>
          </w:rPr>
          <w:t>Seo et al 2001</w:t>
        </w:r>
      </w:hyperlink>
      <w:r w:rsidR="007A01C4">
        <w:rPr>
          <w:noProof/>
        </w:rPr>
        <w:t>)</w:t>
      </w:r>
      <w:r w:rsidR="007A01C4">
        <w:fldChar w:fldCharType="end"/>
      </w:r>
      <w:r w:rsidRPr="007E2D96">
        <w:t xml:space="preserve">. Colorectal cancer, which accounts for 10 per cent of all cancers, accounts for 15 per cent of all cases of pulmonary metastases </w:t>
      </w:r>
      <w:r w:rsidR="007A01C4">
        <w:fldChar w:fldCharType="begin"/>
      </w:r>
      <w:r w:rsidR="00194054">
        <w:instrText xml:space="preserve"> ADDIN EN.CITE &lt;EndNote&gt;&lt;Cite&gt;&lt;Author&gt;Hirakata&lt;/Author&gt;&lt;Year&gt;1993&lt;/Year&gt;&lt;RecNum&gt;48&lt;/RecNum&gt;&lt;DisplayText&gt;(Hirakata et al 1993)&lt;/DisplayText&gt;&lt;record&gt;&lt;rec-number&gt;48&lt;/rec-number&gt;&lt;foreign-keys&gt;&lt;key app="EN" db-id="05ssdaw2cf0zvye5xvo5z9ww0xdpfstrdtew" timestamp="1465864259"&gt;48&lt;/key&gt;&lt;/foreign-keys&gt;&lt;ref-type name="Journal Article"&gt;17&lt;/ref-type&gt;&lt;contributors&gt;&lt;authors&gt;&lt;author&gt;Hirakata, K.&lt;/author&gt;&lt;author&gt;Nakata, H.&lt;/author&gt;&lt;author&gt;Haratake, J.&lt;/author&gt;&lt;/authors&gt;&lt;/contributors&gt;&lt;auth-address&gt;Department of Radiology, University of Occupational and Environmental Health, Kitakyushu-shi, Japan.&lt;/auth-address&gt;&lt;titles&gt;&lt;title&gt;Appearance of pulmonary metastases on high-resolution CT scans: comparison with histopathologic findings from autopsy specimens&lt;/title&gt;&lt;secondary-title&gt;AJR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roentgenology&lt;/abbr-1&gt;&lt;/alt-periodical&gt;&lt;pages&gt;37-43&lt;/pages&gt;&lt;volume&gt;161&lt;/volume&gt;&lt;number&gt;1&lt;/number&gt;&lt;edition&gt;1993/07/01&lt;/edition&gt;&lt;keywords&gt;&lt;keyword&gt;Aged&lt;/keyword&gt;&lt;keyword&gt;Aged, 80 and over&lt;/keyword&gt;&lt;keyword&gt;Female&lt;/keyword&gt;&lt;keyword&gt;Humans&lt;/keyword&gt;&lt;keyword&gt;Lung Neoplasms/pathology/*radiography/*secondary&lt;/keyword&gt;&lt;keyword&gt;Male&lt;/keyword&gt;&lt;keyword&gt;Middle Aged&lt;/keyword&gt;&lt;keyword&gt;*Tomography, X-Ray Computed&lt;/keyword&gt;&lt;/keywords&gt;&lt;dates&gt;&lt;year&gt;1993&lt;/year&gt;&lt;pub-dates&gt;&lt;date&gt;Jul&lt;/date&gt;&lt;/pub-dates&gt;&lt;/dates&gt;&lt;isbn&gt;0361-803X (Print)&amp;#xD;0361-803x&lt;/isbn&gt;&lt;accession-num&gt;8517317&lt;/accession-num&gt;&lt;urls&gt;&lt;/urls&gt;&lt;electronic-resource-num&gt;10.2214/ajr.161.1.8517317&lt;/electronic-resource-num&gt;&lt;remote-database-provider&gt;NLM&lt;/remote-database-provider&gt;&lt;language&gt;eng&lt;/language&gt;&lt;/record&gt;&lt;/Cite&gt;&lt;/EndNote&gt;</w:instrText>
      </w:r>
      <w:r w:rsidR="007A01C4">
        <w:fldChar w:fldCharType="separate"/>
      </w:r>
      <w:r w:rsidR="007A01C4">
        <w:rPr>
          <w:noProof/>
        </w:rPr>
        <w:t>(</w:t>
      </w:r>
      <w:hyperlink w:anchor="_ENREF_68" w:tooltip="Hirakata, 1993 #48" w:history="1">
        <w:r w:rsidR="00320458">
          <w:rPr>
            <w:noProof/>
          </w:rPr>
          <w:t>Hirakata et al 1993</w:t>
        </w:r>
      </w:hyperlink>
      <w:r w:rsidR="007A01C4">
        <w:rPr>
          <w:noProof/>
        </w:rPr>
        <w:t>)</w:t>
      </w:r>
      <w:r w:rsidR="007A01C4">
        <w:fldChar w:fldCharType="end"/>
      </w:r>
      <w:r w:rsidRPr="007E2D96">
        <w:t>. In total, 20 per cent of metastatic disease is isolated to the lungs.</w:t>
      </w:r>
    </w:p>
    <w:p w14:paraId="6006DA2B" w14:textId="77777777" w:rsidR="007E2D96" w:rsidRDefault="007E2D96" w:rsidP="005E7548">
      <w:r w:rsidRPr="007E2D96">
        <w:t>The presence of pulmonary metastases tends to indicate advanced, disseminated disease; however, it can occasionally be an isolated event. The patients’ prognosis depends on the primary tumour and whether it is under control as well as whether the pulmonary metastatic spread is an isolated event or part of disseminated disease. The applicant has suggested that sarcomas</w:t>
      </w:r>
      <w:r w:rsidR="00623D58">
        <w:t xml:space="preserve"> and</w:t>
      </w:r>
      <w:r w:rsidRPr="007E2D96">
        <w:t xml:space="preserve"> thyroid, renal, head </w:t>
      </w:r>
      <w:r w:rsidR="00623D58">
        <w:t xml:space="preserve">and </w:t>
      </w:r>
      <w:r w:rsidRPr="007E2D96">
        <w:t>neck cancers tend to metastasise predominantly or exclusively to the lung. In the setting of metastases confined to the lung with the primary tumour under control, the patient may be eligible for curative therapy.</w:t>
      </w:r>
    </w:p>
    <w:p w14:paraId="01EC88DA" w14:textId="77777777" w:rsidR="007E2D96" w:rsidRDefault="007E2D96" w:rsidP="005E7548">
      <w:r>
        <w:t>There are three proposed population groups eligible for MTA of primary or secondary lung cancers. These groups include:</w:t>
      </w:r>
    </w:p>
    <w:p w14:paraId="6A4AD5E1" w14:textId="77777777" w:rsidR="007E2D96" w:rsidRDefault="007E2D96" w:rsidP="007C744D">
      <w:pPr>
        <w:pStyle w:val="ListParagraph"/>
        <w:numPr>
          <w:ilvl w:val="0"/>
          <w:numId w:val="12"/>
        </w:numPr>
      </w:pPr>
      <w:r>
        <w:t>Patients with early stage NSCLC who are not eligible for surgical resection, and who are receiving treatment with curative intent.</w:t>
      </w:r>
    </w:p>
    <w:p w14:paraId="53FC0BE8" w14:textId="77777777" w:rsidR="007E2D96" w:rsidRDefault="007E2D96" w:rsidP="007C744D">
      <w:pPr>
        <w:pStyle w:val="ListParagraph"/>
        <w:numPr>
          <w:ilvl w:val="0"/>
          <w:numId w:val="12"/>
        </w:numPr>
      </w:pPr>
      <w:r>
        <w:t xml:space="preserve">Patients with pulmonary metastases, in </w:t>
      </w:r>
      <w:proofErr w:type="gramStart"/>
      <w:r>
        <w:t>whom</w:t>
      </w:r>
      <w:proofErr w:type="gramEnd"/>
      <w:r>
        <w:t xml:space="preserve"> the primary tumour is under control, and who are receiving treatment with curative intent (oligometastatic disease).</w:t>
      </w:r>
    </w:p>
    <w:p w14:paraId="076194BB" w14:textId="77777777" w:rsidR="007E2D96" w:rsidRDefault="007E2D96" w:rsidP="007C744D">
      <w:pPr>
        <w:pStyle w:val="ListParagraph"/>
        <w:numPr>
          <w:ilvl w:val="0"/>
          <w:numId w:val="12"/>
        </w:numPr>
      </w:pPr>
      <w:r>
        <w:t xml:space="preserve">Patients with NSCLC or pulmonary metastases, who are receiving palliative treatment. </w:t>
      </w:r>
    </w:p>
    <w:p w14:paraId="40FF6E7F" w14:textId="0237D710" w:rsidR="007E2D96" w:rsidRDefault="007E2D96" w:rsidP="005E7548">
      <w:r>
        <w:t xml:space="preserve">MTA is primarily intended to be used in patients with early stage NSCLC who are not candidates for surgical resection. This group includes 15 per cent of all NSCLC </w:t>
      </w:r>
      <w:r w:rsidR="00CA6DFD">
        <w:t>patients</w:t>
      </w:r>
      <w:r>
        <w:t xml:space="preserve"> and 30 per cent of NSCLC patients over the age of 75 </w:t>
      </w:r>
      <w:r w:rsidR="007A01C4">
        <w:fldChar w:fldCharType="begin">
          <w:fldData xml:space="preserve">PEVuZE5vdGU+PENpdGU+PEF1dGhvcj5EdXB1eTwvQXV0aG9yPjxZZWFyPjIwMTM8L1llYXI+PFJl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</w:fldData>
        </w:fldChar>
      </w:r>
      <w:r w:rsidR="00BA1147">
        <w:instrText xml:space="preserve"> ADDIN EN.CITE </w:instrText>
      </w:r>
      <w:r w:rsidR="00BA1147">
        <w:fldChar w:fldCharType="begin">
          <w:fldData xml:space="preserve">PEVuZE5vdGU+PENpdGU+PEF1dGhvcj5EdXB1eTwvQXV0aG9yPjxZZWFyPjIwMTM8L1llYXI+PFJl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</w:fldData>
        </w:fldChar>
      </w:r>
      <w:r w:rsidR="00BA1147">
        <w:instrText xml:space="preserve"> ADDIN EN.CITE.DATA </w:instrText>
      </w:r>
      <w:r w:rsidR="00BA1147">
        <w:fldChar w:fldCharType="end"/>
      </w:r>
      <w:r w:rsidR="007A01C4">
        <w:fldChar w:fldCharType="separate"/>
      </w:r>
      <w:r w:rsidR="007A01C4">
        <w:rPr>
          <w:noProof/>
        </w:rPr>
        <w:t>(</w:t>
      </w:r>
      <w:hyperlink w:anchor="_ENREF_44" w:tooltip="Dupuy, 2013 #2404" w:history="1">
        <w:r w:rsidR="00320458">
          <w:rPr>
            <w:noProof/>
          </w:rPr>
          <w:t>Dupuy 2013</w:t>
        </w:r>
      </w:hyperlink>
      <w:r w:rsidR="007A01C4">
        <w:rPr>
          <w:noProof/>
        </w:rPr>
        <w:t>)</w:t>
      </w:r>
      <w:r w:rsidR="007A01C4">
        <w:fldChar w:fldCharType="end"/>
      </w:r>
      <w:r>
        <w:t xml:space="preserve">. As lung cancer patient demographics are changing, with increasing age at time of diagnosis, invasive and costly therapies are becoming less attractive </w:t>
      </w:r>
      <w:r w:rsidR="007A01C4">
        <w:fldChar w:fldCharType="begin">
          <w:fldData xml:space="preserve">PEVuZE5vdGU+PENpdGU+PEF1dGhvcj5EdXB1eTwvQXV0aG9yPjxZZWFyPjIwMTM8L1llYXI+PFJl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</w:fldData>
        </w:fldChar>
      </w:r>
      <w:r w:rsidR="00BA1147">
        <w:instrText xml:space="preserve"> ADDIN EN.CITE </w:instrText>
      </w:r>
      <w:r w:rsidR="00BA1147">
        <w:fldChar w:fldCharType="begin">
          <w:fldData xml:space="preserve">PEVuZE5vdGU+PENpdGU+PEF1dGhvcj5EdXB1eTwvQXV0aG9yPjxZZWFyPjIwMTM8L1llYXI+PFJl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</w:fldData>
        </w:fldChar>
      </w:r>
      <w:r w:rsidR="00BA1147">
        <w:instrText xml:space="preserve"> ADDIN EN.CITE.DATA </w:instrText>
      </w:r>
      <w:r w:rsidR="00BA1147">
        <w:fldChar w:fldCharType="end"/>
      </w:r>
      <w:r w:rsidR="007A01C4">
        <w:fldChar w:fldCharType="separate"/>
      </w:r>
      <w:r w:rsidR="007A01C4">
        <w:rPr>
          <w:noProof/>
        </w:rPr>
        <w:t>(</w:t>
      </w:r>
      <w:hyperlink w:anchor="_ENREF_44" w:tooltip="Dupuy, 2013 #2404" w:history="1">
        <w:r w:rsidR="00320458">
          <w:rPr>
            <w:noProof/>
          </w:rPr>
          <w:t>Dupuy 2013</w:t>
        </w:r>
      </w:hyperlink>
      <w:r w:rsidR="007A01C4">
        <w:rPr>
          <w:noProof/>
        </w:rPr>
        <w:t>)</w:t>
      </w:r>
      <w:r w:rsidR="007A01C4">
        <w:fldChar w:fldCharType="end"/>
      </w:r>
      <w:r>
        <w:t xml:space="preserve">. MTA may also be used in patients with pulmonary metastases where the number and site of metastases, or previous lung surgery, precludes them from further surgery </w:t>
      </w:r>
      <w:r w:rsidR="007A01C4">
        <w:fldChar w:fldCharType="begin"/>
      </w:r>
      <w:r w:rsidR="00194054">
        <w:instrText xml:space="preserve"> ADDIN EN.CITE &lt;EndNote&gt;&lt;Cite&gt;&lt;Author&gt;Hiraki&lt;/Author&gt;&lt;Year&gt;2012&lt;/Year&gt;&lt;RecNum&gt;11&lt;/RecNum&gt;&lt;DisplayText&gt;(Hiraki and Kanazawa 2012)&lt;/DisplayText&gt;&lt;record&gt;&lt;rec-number&gt;11&lt;/rec-number&gt;&lt;foreign-keys&gt;&lt;key app="EN" db-id="05ssdaw2cf0zvye5xvo5z9ww0xdpfstrdtew" timestamp="1465864213"&gt;11&lt;/key&gt;&lt;/foreign-keys&gt;&lt;ref-type name="Journal Article"&gt;17&lt;/ref-type&gt;&lt;contributors&gt;&lt;authors&gt;&lt;author&gt;Hiraki, T.&lt;/author&gt;&lt;author&gt;Kanazawa, S.&lt;/author&gt;&lt;/authors&gt;&lt;/contributors&gt;&lt;auth-address&gt;Department of Radiology, Okayama University Medical School, 2-5-1 Shikatocho, Kitaku, Okayama 700-8558, Japan.&lt;/auth-address&gt;&lt;titles&gt;&lt;title&gt;Lung radiofrequency ablation: potential as a therapy to oligometastasis and oligorecurrence&lt;/title&gt;&lt;secondary-title&gt;Pulm Med&lt;/secondary-title&gt;&lt;alt-title&gt;Pulmonary medicine&lt;/alt-title&gt;&lt;/titles&gt;&lt;periodical&gt;&lt;full-title&gt;Pulm Med&lt;/full-title&gt;&lt;abbr-1&gt;Pulmonary medicine&lt;/abbr-1&gt;&lt;/periodical&gt;&lt;alt-periodical&gt;&lt;full-title&gt;Pulm Med&lt;/full-title&gt;&lt;abbr-1&gt;Pulmonary medicine&lt;/abbr-1&gt;&lt;/alt-periodical&gt;&lt;pages&gt;196173&lt;/pages&gt;&lt;volume&gt;2012&lt;/volume&gt;&lt;edition&gt;2012/11/06&lt;/edition&gt;&lt;dates&gt;&lt;year&gt;2012&lt;/year&gt;&lt;/dates&gt;&lt;isbn&gt;2090-1844&lt;/isbn&gt;&lt;accession-num&gt;23125926&lt;/accession-num&gt;&lt;urls&gt;&lt;/urls&gt;&lt;custom2&gt;Pmc3483774&lt;/custom2&gt;&lt;electronic-resource-num&gt;10.1155/2012/196173&lt;/electronic-resource-num&gt;&lt;remote-database-provider&gt;NLM&lt;/remote-database-provider&gt;&lt;language&gt;eng&lt;/language&gt;&lt;/record&gt;&lt;/Cite&gt;&lt;/EndNote&gt;</w:instrText>
      </w:r>
      <w:r w:rsidR="007A01C4">
        <w:fldChar w:fldCharType="separate"/>
      </w:r>
      <w:r w:rsidR="007A01C4">
        <w:rPr>
          <w:noProof/>
        </w:rPr>
        <w:t>(</w:t>
      </w:r>
      <w:hyperlink w:anchor="_ENREF_70" w:tooltip="Hiraki, 2012 #11" w:history="1">
        <w:r w:rsidR="00320458">
          <w:rPr>
            <w:noProof/>
          </w:rPr>
          <w:t>Hiraki and Kanazawa 2012</w:t>
        </w:r>
      </w:hyperlink>
      <w:r w:rsidR="007A01C4">
        <w:rPr>
          <w:noProof/>
        </w:rPr>
        <w:t>)</w:t>
      </w:r>
      <w:r w:rsidR="007A01C4">
        <w:fldChar w:fldCharType="end"/>
      </w:r>
      <w:r>
        <w:t>.</w:t>
      </w:r>
    </w:p>
    <w:p w14:paraId="223ED4AE" w14:textId="77777777" w:rsidR="00C3360E" w:rsidRPr="00C3360E" w:rsidRDefault="007E2D96" w:rsidP="005E7548">
      <w:r>
        <w:t>It is necessary to specify different clinical management algorithms and PICO criteria for each of these populations as the appropriate comparator for each group differs according to disease stage and treatment intent. This has flow on effects for the expected health outcomes of each patient group.</w:t>
      </w:r>
    </w:p>
    <w:p w14:paraId="5F71E92E" w14:textId="77777777" w:rsidR="005602D3" w:rsidRPr="00183E4D" w:rsidRDefault="005602D3" w:rsidP="00647EB9">
      <w:pPr>
        <w:pStyle w:val="Heading2"/>
        <w:numPr>
          <w:ilvl w:val="0"/>
          <w:numId w:val="7"/>
        </w:numPr>
      </w:pPr>
      <w:bookmarkStart w:id="148" w:name="_Toc460396022"/>
      <w:bookmarkStart w:id="149" w:name="SectionA5"/>
      <w:r w:rsidRPr="00183E4D">
        <w:lastRenderedPageBreak/>
        <w:t>Comparator</w:t>
      </w:r>
      <w:bookmarkEnd w:id="144"/>
      <w:bookmarkEnd w:id="145"/>
      <w:r w:rsidR="00106705" w:rsidRPr="00183E4D">
        <w:t xml:space="preserve"> D</w:t>
      </w:r>
      <w:r w:rsidRPr="00183E4D">
        <w:t>etails</w:t>
      </w:r>
      <w:bookmarkEnd w:id="148"/>
    </w:p>
    <w:bookmarkEnd w:id="149"/>
    <w:p w14:paraId="300B7EFA" w14:textId="77777777" w:rsidR="005E7548" w:rsidRDefault="00867601" w:rsidP="005E7548">
      <w:r>
        <w:t>The</w:t>
      </w:r>
      <w:r w:rsidR="008A7B2A">
        <w:t>re are several comparators to MTA including radiofrequency ablation (RFA</w:t>
      </w:r>
      <w:r w:rsidR="00406B60">
        <w:t>), current best practice radiotherapy and surgery.</w:t>
      </w:r>
      <w:r w:rsidR="005E7548" w:rsidRPr="005E7548">
        <w:t xml:space="preserve"> The number, and type, of comparators to MTA depends on the population</w:t>
      </w:r>
      <w:r w:rsidR="00A109B2">
        <w:t xml:space="preserve">, this is illustrated in </w:t>
      </w:r>
      <w:r w:rsidR="00A109B2">
        <w:fldChar w:fldCharType="begin"/>
      </w:r>
      <w:r w:rsidR="00A109B2">
        <w:instrText xml:space="preserve"> REF _Ref460240149 \h </w:instrText>
      </w:r>
      <w:r w:rsidR="00A109B2">
        <w:fldChar w:fldCharType="separate"/>
      </w:r>
      <w:r w:rsidR="00D170A5">
        <w:t xml:space="preserve">Table </w:t>
      </w:r>
      <w:r w:rsidR="00D170A5">
        <w:rPr>
          <w:noProof/>
        </w:rPr>
        <w:t>12</w:t>
      </w:r>
      <w:r w:rsidR="00A109B2">
        <w:fldChar w:fldCharType="end"/>
      </w:r>
      <w:r w:rsidR="005E7548" w:rsidRPr="005E7548">
        <w:t>.</w:t>
      </w:r>
    </w:p>
    <w:p w14:paraId="4412FA90" w14:textId="77777777" w:rsidR="00A109B2" w:rsidRDefault="00A109B2" w:rsidP="00A109B2">
      <w:pPr>
        <w:pStyle w:val="Caption"/>
        <w:keepNext/>
      </w:pPr>
      <w:bookmarkStart w:id="150" w:name="_Ref460240149"/>
      <w:bookmarkStart w:id="151" w:name="_Toc460514670"/>
      <w:r>
        <w:t xml:space="preserve">Table </w:t>
      </w:r>
      <w:fldSimple w:instr=" SEQ Table \* ARABIC ">
        <w:r w:rsidR="00D170A5">
          <w:rPr>
            <w:noProof/>
          </w:rPr>
          <w:t>12</w:t>
        </w:r>
      </w:fldSimple>
      <w:bookmarkEnd w:id="150"/>
      <w:r>
        <w:tab/>
        <w:t>Comparator(s) in the three populations</w:t>
      </w:r>
      <w:bookmarkEnd w:id="151"/>
    </w:p>
    <w:tbl>
      <w:tblPr>
        <w:tblStyle w:val="TableGrid"/>
        <w:tblW w:w="0" w:type="auto"/>
        <w:tblLook w:val="04A0" w:firstRow="1" w:lastRow="0" w:firstColumn="1" w:lastColumn="0" w:noHBand="0" w:noVBand="1"/>
        <w:tblCaption w:val="Table 12, Comparator(s) in the three populations"/>
        <w:tblDescription w:val="describes Comparator(s) in the three populations"/>
      </w:tblPr>
      <w:tblGrid>
        <w:gridCol w:w="4621"/>
        <w:gridCol w:w="4621"/>
      </w:tblGrid>
      <w:tr w:rsidR="00A109B2" w:rsidRPr="00A109B2" w14:paraId="58C238DD" w14:textId="77777777" w:rsidTr="00CA79E5">
        <w:trPr>
          <w:tblHeader/>
        </w:trPr>
        <w:tc>
          <w:tcPr>
            <w:tcW w:w="4621" w:type="dxa"/>
            <w:shd w:val="clear" w:color="auto" w:fill="D9D9D9" w:themeFill="background1" w:themeFillShade="D9"/>
          </w:tcPr>
          <w:p w14:paraId="27233391" w14:textId="77777777" w:rsidR="00A109B2" w:rsidRPr="006C1322" w:rsidRDefault="00A109B2" w:rsidP="006C1322">
            <w:pPr>
              <w:pStyle w:val="Tabletext1"/>
              <w:ind w:left="0"/>
              <w:rPr>
                <w:b/>
              </w:rPr>
            </w:pPr>
            <w:r w:rsidRPr="006C1322">
              <w:rPr>
                <w:b/>
              </w:rPr>
              <w:t>Population</w:t>
            </w:r>
          </w:p>
        </w:tc>
        <w:tc>
          <w:tcPr>
            <w:tcW w:w="4621" w:type="dxa"/>
            <w:shd w:val="clear" w:color="auto" w:fill="D9D9D9" w:themeFill="background1" w:themeFillShade="D9"/>
          </w:tcPr>
          <w:p w14:paraId="0C7DFF92" w14:textId="77777777" w:rsidR="00A109B2" w:rsidRPr="006C1322" w:rsidRDefault="00A109B2" w:rsidP="006C1322">
            <w:pPr>
              <w:pStyle w:val="Tabletext1"/>
              <w:ind w:left="0"/>
              <w:rPr>
                <w:b/>
              </w:rPr>
            </w:pPr>
            <w:r w:rsidRPr="006C1322">
              <w:rPr>
                <w:b/>
              </w:rPr>
              <w:t>Comparator(s)</w:t>
            </w:r>
          </w:p>
        </w:tc>
      </w:tr>
      <w:tr w:rsidR="00A109B2" w:rsidRPr="00A109B2" w14:paraId="4508E21B" w14:textId="77777777" w:rsidTr="00A109B2">
        <w:tc>
          <w:tcPr>
            <w:tcW w:w="4621" w:type="dxa"/>
          </w:tcPr>
          <w:p w14:paraId="2E0C524C" w14:textId="77777777" w:rsidR="00A109B2" w:rsidRPr="00A109B2" w:rsidRDefault="00A109B2" w:rsidP="006C1322">
            <w:pPr>
              <w:pStyle w:val="Tabletext1"/>
              <w:ind w:left="0"/>
            </w:pPr>
            <w:r w:rsidRPr="00A109B2">
              <w:t>Patients with early stage NSCLC who are not eligible for surgical resection, and who are receiving treatment with curative intent.</w:t>
            </w:r>
          </w:p>
        </w:tc>
        <w:tc>
          <w:tcPr>
            <w:tcW w:w="4621" w:type="dxa"/>
          </w:tcPr>
          <w:p w14:paraId="29BE098C" w14:textId="77777777" w:rsidR="00A109B2" w:rsidRPr="00A109B2" w:rsidRDefault="00A109B2" w:rsidP="006C1322">
            <w:pPr>
              <w:pStyle w:val="Tabletext1"/>
              <w:ind w:left="0"/>
            </w:pPr>
            <w:r w:rsidRPr="00A109B2">
              <w:t>1) Radiofrequency ablation</w:t>
            </w:r>
          </w:p>
          <w:p w14:paraId="7A8114D3" w14:textId="77777777" w:rsidR="00A109B2" w:rsidRPr="00A109B2" w:rsidRDefault="00A109B2" w:rsidP="006C1322">
            <w:pPr>
              <w:pStyle w:val="Tabletext1"/>
              <w:ind w:left="0"/>
            </w:pPr>
            <w:r w:rsidRPr="00A109B2">
              <w:t>2) Current best practice radiotherapy with or without chemotherapy</w:t>
            </w:r>
          </w:p>
        </w:tc>
      </w:tr>
      <w:tr w:rsidR="00A109B2" w:rsidRPr="00A109B2" w14:paraId="4D62D445" w14:textId="77777777" w:rsidTr="00A109B2">
        <w:tc>
          <w:tcPr>
            <w:tcW w:w="4621" w:type="dxa"/>
          </w:tcPr>
          <w:p w14:paraId="00D6FE9A" w14:textId="77777777" w:rsidR="00A109B2" w:rsidRPr="00A109B2" w:rsidRDefault="00A109B2" w:rsidP="006C1322">
            <w:pPr>
              <w:pStyle w:val="Tabletext1"/>
              <w:ind w:left="0"/>
            </w:pPr>
            <w:r w:rsidRPr="00A109B2">
              <w:t>Patients with pulmonary metastases, in whom the primary tumour is under control, and who are receiving treatment with curative intent (oligometastatic disease)</w:t>
            </w:r>
          </w:p>
        </w:tc>
        <w:tc>
          <w:tcPr>
            <w:tcW w:w="4621" w:type="dxa"/>
          </w:tcPr>
          <w:p w14:paraId="52F216C9" w14:textId="77777777" w:rsidR="00A109B2" w:rsidRPr="00A109B2" w:rsidRDefault="00A109B2" w:rsidP="006C1322">
            <w:pPr>
              <w:pStyle w:val="Tabletext1"/>
              <w:ind w:left="0"/>
            </w:pPr>
            <w:r w:rsidRPr="00A109B2">
              <w:t>1) Radiofrequency ablation</w:t>
            </w:r>
          </w:p>
          <w:p w14:paraId="2C6109BE" w14:textId="77777777" w:rsidR="00A109B2" w:rsidRPr="00A109B2" w:rsidRDefault="00A109B2" w:rsidP="006C1322">
            <w:pPr>
              <w:pStyle w:val="Tabletext1"/>
              <w:ind w:left="0"/>
            </w:pPr>
            <w:r w:rsidRPr="00A109B2">
              <w:t>2) Current best practice radiotherapy with or without chemotherapy</w:t>
            </w:r>
          </w:p>
          <w:p w14:paraId="21BF9278" w14:textId="77777777" w:rsidR="00A109B2" w:rsidRPr="00A109B2" w:rsidRDefault="00A109B2" w:rsidP="006C1322">
            <w:pPr>
              <w:pStyle w:val="Tabletext1"/>
              <w:ind w:left="0"/>
            </w:pPr>
            <w:r w:rsidRPr="00A109B2">
              <w:t>3) Surgical resection</w:t>
            </w:r>
          </w:p>
        </w:tc>
      </w:tr>
      <w:tr w:rsidR="00A109B2" w:rsidRPr="00A109B2" w14:paraId="08BCA28F" w14:textId="77777777" w:rsidTr="00A109B2">
        <w:tc>
          <w:tcPr>
            <w:tcW w:w="4621" w:type="dxa"/>
          </w:tcPr>
          <w:p w14:paraId="63762A44" w14:textId="77777777" w:rsidR="00A109B2" w:rsidRPr="00A109B2" w:rsidRDefault="00A109B2" w:rsidP="006C1322">
            <w:pPr>
              <w:pStyle w:val="Tabletext1"/>
              <w:ind w:left="0"/>
            </w:pPr>
            <w:r w:rsidRPr="00A109B2">
              <w:t>Patients with NSCLC or pulmonary metastases, who are receiving palliative treatment</w:t>
            </w:r>
          </w:p>
        </w:tc>
        <w:tc>
          <w:tcPr>
            <w:tcW w:w="4621" w:type="dxa"/>
          </w:tcPr>
          <w:p w14:paraId="47404C51" w14:textId="77777777" w:rsidR="00A109B2" w:rsidRPr="00A109B2" w:rsidRDefault="00A109B2" w:rsidP="006C1322">
            <w:pPr>
              <w:pStyle w:val="Tabletext1"/>
              <w:ind w:left="0"/>
            </w:pPr>
            <w:r w:rsidRPr="00A109B2">
              <w:t>1) Conventional palliative therapy without MTA</w:t>
            </w:r>
          </w:p>
        </w:tc>
      </w:tr>
    </w:tbl>
    <w:p w14:paraId="47B50757" w14:textId="77777777" w:rsidR="00DB661C" w:rsidRDefault="00406B60" w:rsidP="004A3ECE">
      <w:r>
        <w:t xml:space="preserve">For patients with </w:t>
      </w:r>
      <w:r w:rsidRPr="00406B60">
        <w:t xml:space="preserve">early stage inoperable NSCLC </w:t>
      </w:r>
      <w:r>
        <w:t xml:space="preserve">being treated </w:t>
      </w:r>
      <w:r w:rsidRPr="00406B60">
        <w:t>with curative intent</w:t>
      </w:r>
      <w:r w:rsidR="008A7B2A">
        <w:t xml:space="preserve"> </w:t>
      </w:r>
      <w:r>
        <w:t>the comparators include RFA and c</w:t>
      </w:r>
      <w:r w:rsidRPr="00406B60">
        <w:t>urrent best practice radiotherapy with or without chemotherapy</w:t>
      </w:r>
      <w:r>
        <w:t xml:space="preserve">. For patients with </w:t>
      </w:r>
      <w:r w:rsidRPr="00406B60">
        <w:t xml:space="preserve">lung metastases, in </w:t>
      </w:r>
      <w:proofErr w:type="gramStart"/>
      <w:r w:rsidRPr="00406B60">
        <w:t>whom</w:t>
      </w:r>
      <w:proofErr w:type="gramEnd"/>
      <w:r w:rsidRPr="00406B60">
        <w:t xml:space="preserve"> the primary tumour is under control and who are receiving treatment with curative intent </w:t>
      </w:r>
      <w:r>
        <w:t xml:space="preserve">the comparators include RFA, surgical resection by any technique, and, </w:t>
      </w:r>
      <w:r w:rsidRPr="00406B60">
        <w:t>current best practice radiotherapy with or without chemotherapy</w:t>
      </w:r>
      <w:r>
        <w:t xml:space="preserve">. For patients with </w:t>
      </w:r>
      <w:r w:rsidR="00DB661C">
        <w:t xml:space="preserve">NSCLC or lung metastases who are receiving treatment with palliative intent the comparator is conventional palliative therapy without MTA. </w:t>
      </w:r>
    </w:p>
    <w:p w14:paraId="06E761B6" w14:textId="7C64E921" w:rsidR="00A04CC7" w:rsidRDefault="0083477B" w:rsidP="00A04CC7">
      <w:pPr>
        <w:spacing w:after="500"/>
      </w:pPr>
      <w:r w:rsidRPr="00183E4D">
        <w:t>The MBS item descriptor</w:t>
      </w:r>
      <w:r w:rsidR="00DB661C">
        <w:t>s</w:t>
      </w:r>
      <w:r w:rsidRPr="00183E4D">
        <w:t xml:space="preserve"> </w:t>
      </w:r>
      <w:r w:rsidRPr="005E7548">
        <w:t>for the relevant comparator</w:t>
      </w:r>
      <w:r w:rsidR="005E7548" w:rsidRPr="005E7548">
        <w:t>s</w:t>
      </w:r>
      <w:r w:rsidR="005E7548">
        <w:t xml:space="preserve"> are</w:t>
      </w:r>
      <w:r w:rsidRPr="005E7548">
        <w:t xml:space="preserve"> summarised</w:t>
      </w:r>
      <w:r w:rsidRPr="00183E4D">
        <w:t xml:space="preserve"> below</w:t>
      </w:r>
      <w:r w:rsidR="00691958">
        <w:t>; clinical input has suggested a range</w:t>
      </w:r>
      <w:r w:rsidR="0024034F">
        <w:t xml:space="preserve"> of items </w:t>
      </w:r>
      <w:r w:rsidR="003251A0">
        <w:t>could be</w:t>
      </w:r>
      <w:r w:rsidR="0024034F">
        <w:t xml:space="preserve"> used for </w:t>
      </w:r>
      <w:r w:rsidR="00520405" w:rsidRPr="00753CFF">
        <w:t>stereotactic body radiation therapy (SBRT)</w:t>
      </w:r>
      <w:r w:rsidR="0024034F">
        <w:t xml:space="preserve"> </w:t>
      </w:r>
      <w:r w:rsidR="003251A0">
        <w:t>(</w:t>
      </w:r>
      <w:r w:rsidR="003251A0" w:rsidRPr="003251A0">
        <w:t xml:space="preserve">See </w:t>
      </w:r>
      <w:r w:rsidR="003251A0" w:rsidRPr="003251A0">
        <w:fldChar w:fldCharType="begin"/>
      </w:r>
      <w:r w:rsidR="003251A0" w:rsidRPr="003251A0">
        <w:instrText xml:space="preserve"> REF _Ref457387993 \h  \* MERGEFORMAT </w:instrText>
      </w:r>
      <w:r w:rsidR="003251A0" w:rsidRPr="003251A0">
        <w:fldChar w:fldCharType="separate"/>
      </w:r>
      <w:r w:rsidR="00D170A5" w:rsidRPr="00D170A5">
        <w:t>Table 13</w:t>
      </w:r>
      <w:r w:rsidR="003251A0" w:rsidRPr="003251A0">
        <w:fldChar w:fldCharType="end"/>
      </w:r>
      <w:r w:rsidR="003251A0" w:rsidRPr="003251A0">
        <w:t xml:space="preserve"> and </w:t>
      </w:r>
      <w:r w:rsidR="003251A0" w:rsidRPr="003251A0">
        <w:fldChar w:fldCharType="begin"/>
      </w:r>
      <w:r w:rsidR="003251A0" w:rsidRPr="003251A0">
        <w:instrText xml:space="preserve"> REF _Ref457388001 \h  \* MERGEFORMAT </w:instrText>
      </w:r>
      <w:r w:rsidR="003251A0" w:rsidRPr="003251A0">
        <w:fldChar w:fldCharType="separate"/>
      </w:r>
      <w:r w:rsidR="00D170A5" w:rsidRPr="00D170A5">
        <w:t>Table 14</w:t>
      </w:r>
      <w:r w:rsidR="003251A0" w:rsidRPr="003251A0">
        <w:fldChar w:fldCharType="end"/>
      </w:r>
      <w:r w:rsidR="003251A0">
        <w:t>) and</w:t>
      </w:r>
      <w:r w:rsidR="0024034F">
        <w:t xml:space="preserve"> that the item code for SBRT 15600 is rarely used for lung disease and is generally reserved for intracranial neoplasm</w:t>
      </w:r>
      <w:r w:rsidRPr="00183E4D">
        <w:t>.</w:t>
      </w:r>
      <w:r w:rsidR="005E7548" w:rsidRPr="005E7548">
        <w:t xml:space="preserve"> RFA is not widely diffused in the Australian healthcare system and is not currently associated with an MBS item. </w:t>
      </w:r>
    </w:p>
    <w:p w14:paraId="759C3311" w14:textId="77777777" w:rsidR="00867601" w:rsidRPr="00867601" w:rsidRDefault="00867601" w:rsidP="001163D9">
      <w:pPr>
        <w:pStyle w:val="TableHeading"/>
        <w:rPr>
          <w:rFonts w:eastAsia="Calibri"/>
          <w:lang w:eastAsia="en-US"/>
        </w:rPr>
      </w:pPr>
      <w:bookmarkStart w:id="152" w:name="_Ref457387993"/>
      <w:bookmarkStart w:id="153" w:name="_Toc460514671"/>
      <w:r w:rsidRPr="00867601">
        <w:rPr>
          <w:lang w:val="en-GB" w:eastAsia="ja-JP"/>
        </w:rPr>
        <w:t xml:space="preserve">Table </w:t>
      </w:r>
      <w:r w:rsidRPr="00867601">
        <w:rPr>
          <w:lang w:val="en-GB" w:eastAsia="ja-JP"/>
        </w:rPr>
        <w:fldChar w:fldCharType="begin"/>
      </w:r>
      <w:r w:rsidRPr="00867601">
        <w:rPr>
          <w:lang w:val="en-GB" w:eastAsia="ja-JP"/>
        </w:rPr>
        <w:instrText xml:space="preserve"> SEQ Table \* ARABIC </w:instrText>
      </w:r>
      <w:r w:rsidRPr="00867601">
        <w:rPr>
          <w:lang w:val="en-GB" w:eastAsia="ja-JP"/>
        </w:rPr>
        <w:fldChar w:fldCharType="separate"/>
      </w:r>
      <w:r w:rsidR="00D170A5">
        <w:rPr>
          <w:noProof/>
          <w:lang w:val="en-GB" w:eastAsia="ja-JP"/>
        </w:rPr>
        <w:t>13</w:t>
      </w:r>
      <w:r w:rsidRPr="00867601">
        <w:rPr>
          <w:lang w:val="en-GB" w:eastAsia="ja-JP"/>
        </w:rPr>
        <w:fldChar w:fldCharType="end"/>
      </w:r>
      <w:bookmarkEnd w:id="152"/>
      <w:r w:rsidRPr="00867601">
        <w:rPr>
          <w:lang w:val="en-GB" w:eastAsia="ja-JP"/>
        </w:rPr>
        <w:tab/>
        <w:t>Radiotherapy</w:t>
      </w:r>
      <w:r w:rsidRPr="00867601">
        <w:rPr>
          <w:rFonts w:eastAsia="Calibri"/>
          <w:lang w:eastAsia="en-US"/>
        </w:rPr>
        <w:t xml:space="preserve"> treatments for lung cancer currently listed on the MBS</w:t>
      </w:r>
      <w:bookmarkEnd w:id="153"/>
    </w:p>
    <w:tbl>
      <w:tblPr>
        <w:tblStyle w:val="TableGrid3"/>
        <w:tblW w:w="0" w:type="auto"/>
        <w:tblInd w:w="108" w:type="dxa"/>
        <w:tblLayout w:type="fixed"/>
        <w:tblLook w:val="04A0" w:firstRow="1" w:lastRow="0" w:firstColumn="1" w:lastColumn="0" w:noHBand="0" w:noVBand="1"/>
        <w:tblCaption w:val="Table 9 Radiotherapy treatments for lung cancer currently listed on the MBS"/>
        <w:tblDescription w:val="a list of radiotherapy treatments for lung cancer currently listed on the MBS"/>
      </w:tblPr>
      <w:tblGrid>
        <w:gridCol w:w="9072"/>
      </w:tblGrid>
      <w:tr w:rsidR="00867601" w:rsidRPr="00FC06D9" w14:paraId="7644316E" w14:textId="77777777" w:rsidTr="00351B9C">
        <w:trPr>
          <w:cantSplit/>
          <w:tblHeader/>
        </w:trPr>
        <w:tc>
          <w:tcPr>
            <w:tcW w:w="9072" w:type="dxa"/>
            <w:shd w:val="clear" w:color="auto" w:fill="D9D9D9" w:themeFill="background1" w:themeFillShade="D9"/>
          </w:tcPr>
          <w:p w14:paraId="04601CF9" w14:textId="77777777" w:rsidR="00867601" w:rsidRPr="00AD2A04" w:rsidRDefault="00867601" w:rsidP="00351B9C">
            <w:pPr>
              <w:pStyle w:val="Tabletext1"/>
              <w:spacing w:line="288" w:lineRule="auto"/>
              <w:rPr>
                <w:b/>
                <w:lang w:eastAsia="en-US"/>
              </w:rPr>
            </w:pPr>
            <w:r w:rsidRPr="00AD2A04">
              <w:rPr>
                <w:b/>
                <w:lang w:eastAsia="en-US"/>
              </w:rPr>
              <w:t>Category 3 – Therapeutic Procedures</w:t>
            </w:r>
          </w:p>
        </w:tc>
      </w:tr>
      <w:tr w:rsidR="00867601" w:rsidRPr="00FC06D9" w14:paraId="5BC640FB" w14:textId="77777777" w:rsidTr="00351B9C">
        <w:trPr>
          <w:cantSplit/>
        </w:trPr>
        <w:tc>
          <w:tcPr>
            <w:tcW w:w="9072" w:type="dxa"/>
            <w:shd w:val="clear" w:color="auto" w:fill="auto"/>
          </w:tcPr>
          <w:p w14:paraId="312932E9" w14:textId="77777777" w:rsidR="00867601" w:rsidRPr="00FC06D9" w:rsidRDefault="00867601" w:rsidP="00351B9C">
            <w:pPr>
              <w:pStyle w:val="Tabletext1"/>
              <w:spacing w:line="288" w:lineRule="auto"/>
              <w:rPr>
                <w:lang w:eastAsia="en-US"/>
              </w:rPr>
            </w:pPr>
            <w:r w:rsidRPr="00FC06D9">
              <w:rPr>
                <w:lang w:eastAsia="en-US"/>
              </w:rPr>
              <w:t>MBS item 15215</w:t>
            </w:r>
          </w:p>
          <w:p w14:paraId="1492E87E" w14:textId="77777777" w:rsidR="00867601" w:rsidRPr="00FC06D9" w:rsidRDefault="00867601" w:rsidP="00351B9C">
            <w:pPr>
              <w:pStyle w:val="Tabletext1"/>
              <w:spacing w:line="288" w:lineRule="auto"/>
              <w:rPr>
                <w:lang w:eastAsia="en-US"/>
              </w:rPr>
            </w:pPr>
            <w:r w:rsidRPr="00FC06D9">
              <w:rPr>
                <w:lang w:eastAsia="en-US"/>
              </w:rPr>
              <w:t>RADIATION ONCOLOGY TREATMENT, using a single photon energy linear accelerator with or without electron facilities - each attendance at which treatment is given - 1 field - treatment delivered to primary site (lung).</w:t>
            </w:r>
          </w:p>
          <w:p w14:paraId="62EDE710" w14:textId="77777777" w:rsidR="00867601" w:rsidRPr="00FC06D9" w:rsidRDefault="00867601" w:rsidP="00351B9C">
            <w:pPr>
              <w:pStyle w:val="Tabletext1"/>
              <w:spacing w:line="288" w:lineRule="auto"/>
              <w:rPr>
                <w:lang w:eastAsia="en-US"/>
              </w:rPr>
            </w:pPr>
            <w:r w:rsidRPr="00FC06D9">
              <w:rPr>
                <w:lang w:eastAsia="en-US"/>
              </w:rPr>
              <w:t>Fee: $57.40; Benefit: 75% = $43.05; 85% = $48.80</w:t>
            </w:r>
          </w:p>
        </w:tc>
      </w:tr>
      <w:tr w:rsidR="00867601" w:rsidRPr="00FC06D9" w14:paraId="4FE105FF" w14:textId="77777777" w:rsidTr="00351B9C">
        <w:trPr>
          <w:cantSplit/>
        </w:trPr>
        <w:tc>
          <w:tcPr>
            <w:tcW w:w="9072" w:type="dxa"/>
            <w:shd w:val="clear" w:color="auto" w:fill="auto"/>
          </w:tcPr>
          <w:p w14:paraId="5FB7B3CD" w14:textId="77777777" w:rsidR="00867601" w:rsidRPr="00E57DA4" w:rsidRDefault="00867601" w:rsidP="00351B9C">
            <w:pPr>
              <w:pStyle w:val="Tabletext1"/>
              <w:spacing w:line="288" w:lineRule="auto"/>
              <w:rPr>
                <w:b/>
                <w:lang w:eastAsia="en-US"/>
              </w:rPr>
            </w:pPr>
            <w:r w:rsidRPr="00E57DA4">
              <w:rPr>
                <w:b/>
                <w:lang w:eastAsia="en-US"/>
              </w:rPr>
              <w:lastRenderedPageBreak/>
              <w:t>MBS item 15230</w:t>
            </w:r>
          </w:p>
          <w:p w14:paraId="2579986A" w14:textId="77777777" w:rsidR="00867601" w:rsidRPr="00FC06D9" w:rsidRDefault="00867601" w:rsidP="00351B9C">
            <w:pPr>
              <w:pStyle w:val="Tabletext1"/>
              <w:spacing w:line="288" w:lineRule="auto"/>
              <w:rPr>
                <w:lang w:eastAsia="en-US"/>
              </w:rPr>
            </w:pPr>
            <w:r w:rsidRPr="00FC06D9">
              <w:rPr>
                <w:lang w:eastAsia="en-US"/>
              </w:rPr>
              <w:t>RADIATION ONCOLOGY TREATMENT, using a single photon energy linear accelerator with or without electron facilities - each attendance at which treatment is given - 2 or more fields up to a maximum of 5 additional fields (rotational therapy being 3 fields) - treatment delivered to primary site (lung).</w:t>
            </w:r>
          </w:p>
          <w:p w14:paraId="44D8E549" w14:textId="77777777" w:rsidR="00867601" w:rsidRPr="00FC06D9" w:rsidRDefault="00867601" w:rsidP="00351B9C">
            <w:pPr>
              <w:pStyle w:val="Tabletext1"/>
              <w:spacing w:line="288" w:lineRule="auto"/>
              <w:rPr>
                <w:lang w:eastAsia="en-US"/>
              </w:rPr>
            </w:pPr>
            <w:r w:rsidRPr="00FC06D9">
              <w:rPr>
                <w:lang w:eastAsia="en-US"/>
              </w:rPr>
              <w:t>The fee for item 15215 plus for each field in excess of 1, an amount of $36.50.</w:t>
            </w:r>
          </w:p>
        </w:tc>
      </w:tr>
      <w:tr w:rsidR="00691958" w:rsidRPr="00FC06D9" w14:paraId="0C6E40DB" w14:textId="77777777" w:rsidTr="00351B9C">
        <w:trPr>
          <w:cantSplit/>
        </w:trPr>
        <w:tc>
          <w:tcPr>
            <w:tcW w:w="9072" w:type="dxa"/>
            <w:shd w:val="clear" w:color="auto" w:fill="auto"/>
          </w:tcPr>
          <w:p w14:paraId="06AFF7BC" w14:textId="77777777" w:rsidR="0024034F" w:rsidRPr="00E57DA4" w:rsidRDefault="0024034F" w:rsidP="00351B9C">
            <w:pPr>
              <w:pStyle w:val="Tabletext1"/>
              <w:spacing w:line="288" w:lineRule="auto"/>
              <w:rPr>
                <w:b/>
                <w:lang w:eastAsia="en-US"/>
              </w:rPr>
            </w:pPr>
            <w:r w:rsidRPr="00E57DA4">
              <w:rPr>
                <w:b/>
                <w:lang w:eastAsia="en-US"/>
              </w:rPr>
              <w:t xml:space="preserve">MBS item 15555 </w:t>
            </w:r>
          </w:p>
          <w:p w14:paraId="27BF9096" w14:textId="77777777" w:rsidR="0024034F" w:rsidRPr="00FC06D9" w:rsidRDefault="0024034F" w:rsidP="00351B9C">
            <w:pPr>
              <w:pStyle w:val="Tabletext1"/>
              <w:spacing w:line="288" w:lineRule="auto"/>
              <w:rPr>
                <w:lang w:eastAsia="en-US"/>
              </w:rPr>
            </w:pPr>
            <w:r w:rsidRPr="00FC06D9">
              <w:rPr>
                <w:lang w:eastAsia="en-US"/>
              </w:rPr>
              <w:t xml:space="preserve">SIMULATION FOR INTENSITY-MODULATED RADIATION THERAPY (IMRT), with or without intravenous contrast medium, if:  </w:t>
            </w:r>
          </w:p>
          <w:p w14:paraId="7B1A8130" w14:textId="3302A77A" w:rsidR="0024034F" w:rsidRPr="00FC06D9" w:rsidRDefault="0024034F" w:rsidP="00351B9C">
            <w:pPr>
              <w:pStyle w:val="Tabletext1"/>
              <w:spacing w:line="288" w:lineRule="auto"/>
              <w:rPr>
                <w:lang w:eastAsia="en-US"/>
              </w:rPr>
            </w:pPr>
            <w:r w:rsidRPr="00FC06D9">
              <w:rPr>
                <w:lang w:eastAsia="en-US"/>
              </w:rPr>
              <w:t xml:space="preserve">1. treatment set-up and technique specifications are in preparations for three-dimensional conformal radiotherapy dose planning; and  </w:t>
            </w:r>
          </w:p>
          <w:p w14:paraId="42DAFF34" w14:textId="07DFC78B" w:rsidR="0024034F" w:rsidRPr="001D54EF" w:rsidRDefault="0024034F" w:rsidP="00351B9C">
            <w:pPr>
              <w:pStyle w:val="Tabletext1"/>
              <w:spacing w:line="288" w:lineRule="auto"/>
              <w:rPr>
                <w:lang w:eastAsia="en-US"/>
              </w:rPr>
            </w:pPr>
            <w:r w:rsidRPr="001D54EF">
              <w:rPr>
                <w:lang w:eastAsia="en-US"/>
              </w:rPr>
              <w:t xml:space="preserve">2. patient set-up and immobilisation techniques are suitable for reliable CT-image volume data acquisition and three-dimensional conformal radiotherapy; and  </w:t>
            </w:r>
          </w:p>
          <w:p w14:paraId="667D55F7" w14:textId="2EF6D944" w:rsidR="0024034F" w:rsidRPr="00935A6C" w:rsidRDefault="0024034F" w:rsidP="00351B9C">
            <w:pPr>
              <w:pStyle w:val="Tabletext1"/>
              <w:spacing w:line="288" w:lineRule="auto"/>
              <w:rPr>
                <w:lang w:eastAsia="en-US"/>
              </w:rPr>
            </w:pPr>
            <w:r w:rsidRPr="00351105">
              <w:rPr>
                <w:lang w:eastAsia="en-US"/>
              </w:rPr>
              <w:t>3. a high-qua</w:t>
            </w:r>
            <w:r w:rsidRPr="00935A6C">
              <w:rPr>
                <w:lang w:eastAsia="en-US"/>
              </w:rPr>
              <w:t xml:space="preserve">lity CT-image volume dataset is acquired for the relevant region of interest to be planned and treated; and  </w:t>
            </w:r>
          </w:p>
          <w:p w14:paraId="7157CA08" w14:textId="4EF9E144" w:rsidR="0024034F" w:rsidRPr="009616D3" w:rsidRDefault="0024034F" w:rsidP="00351B9C">
            <w:pPr>
              <w:pStyle w:val="Tabletext1"/>
              <w:spacing w:line="288" w:lineRule="auto"/>
              <w:rPr>
                <w:lang w:eastAsia="en-US"/>
              </w:rPr>
            </w:pPr>
            <w:r w:rsidRPr="009616D3">
              <w:rPr>
                <w:lang w:eastAsia="en-US"/>
              </w:rPr>
              <w:t xml:space="preserve">4. </w:t>
            </w:r>
            <w:proofErr w:type="gramStart"/>
            <w:r w:rsidRPr="009616D3">
              <w:rPr>
                <w:lang w:eastAsia="en-US"/>
              </w:rPr>
              <w:t>the</w:t>
            </w:r>
            <w:proofErr w:type="gramEnd"/>
            <w:r w:rsidRPr="009616D3">
              <w:rPr>
                <w:lang w:eastAsia="en-US"/>
              </w:rPr>
              <w:t xml:space="preserve"> image set is suitable for the generation of quality digitally-reconstructed radiographic images.  </w:t>
            </w:r>
          </w:p>
          <w:p w14:paraId="4FEE84EC" w14:textId="77777777" w:rsidR="00691958" w:rsidRPr="00753CFF" w:rsidRDefault="0024034F" w:rsidP="00351B9C">
            <w:pPr>
              <w:pStyle w:val="Tabletext1"/>
              <w:spacing w:line="288" w:lineRule="auto"/>
              <w:rPr>
                <w:lang w:eastAsia="en-US"/>
              </w:rPr>
            </w:pPr>
            <w:r w:rsidRPr="00574E64">
              <w:rPr>
                <w:lang w:eastAsia="en-US"/>
              </w:rPr>
              <w:t>Fee: $710.55 Benefit: 75% = $532.95 85% = $631.05</w:t>
            </w:r>
          </w:p>
        </w:tc>
      </w:tr>
      <w:tr w:rsidR="00691958" w:rsidRPr="00FC06D9" w14:paraId="449E98F8" w14:textId="77777777" w:rsidTr="00351B9C">
        <w:trPr>
          <w:cantSplit/>
        </w:trPr>
        <w:tc>
          <w:tcPr>
            <w:tcW w:w="9072" w:type="dxa"/>
            <w:shd w:val="clear" w:color="auto" w:fill="auto"/>
          </w:tcPr>
          <w:p w14:paraId="7CBAD358" w14:textId="77777777" w:rsidR="0024034F" w:rsidRPr="00E57DA4" w:rsidRDefault="0024034F" w:rsidP="00351B9C">
            <w:pPr>
              <w:pStyle w:val="Tabletext1"/>
              <w:spacing w:line="288" w:lineRule="auto"/>
              <w:rPr>
                <w:b/>
                <w:lang w:eastAsia="en-US"/>
              </w:rPr>
            </w:pPr>
            <w:r w:rsidRPr="00E57DA4">
              <w:rPr>
                <w:b/>
                <w:lang w:eastAsia="en-US"/>
              </w:rPr>
              <w:t>MBS item 15565</w:t>
            </w:r>
          </w:p>
          <w:p w14:paraId="264AC33E" w14:textId="77777777" w:rsidR="0024034F" w:rsidRPr="00FC06D9" w:rsidRDefault="0024034F" w:rsidP="00351B9C">
            <w:pPr>
              <w:pStyle w:val="Tabletext1"/>
              <w:spacing w:line="288" w:lineRule="auto"/>
              <w:rPr>
                <w:lang w:eastAsia="en-US"/>
              </w:rPr>
            </w:pPr>
            <w:r w:rsidRPr="00FC06D9">
              <w:rPr>
                <w:lang w:eastAsia="en-US"/>
              </w:rPr>
              <w:t xml:space="preserve">Preparation of an IMRT DOSIMETRY PLAN, which uses one or more CT image volume datasets, if: </w:t>
            </w:r>
          </w:p>
          <w:p w14:paraId="39B7FC72" w14:textId="77777777" w:rsidR="00915D86" w:rsidRDefault="0024034F" w:rsidP="00351B9C">
            <w:pPr>
              <w:pStyle w:val="Tabletext1"/>
              <w:spacing w:line="288" w:lineRule="auto"/>
              <w:rPr>
                <w:lang w:eastAsia="en-US"/>
              </w:rPr>
            </w:pPr>
            <w:r w:rsidRPr="001D54EF">
              <w:rPr>
                <w:lang w:eastAsia="en-US"/>
              </w:rPr>
              <w:t>(a) in preparing the IMRT dosimetry plan:</w:t>
            </w:r>
          </w:p>
          <w:p w14:paraId="781FD35F" w14:textId="625C842B" w:rsidR="0024034F" w:rsidRDefault="0024034F" w:rsidP="00351B9C">
            <w:pPr>
              <w:pStyle w:val="Tabletext1"/>
              <w:spacing w:line="288" w:lineRule="auto"/>
              <w:rPr>
                <w:lang w:eastAsia="en-US"/>
              </w:rPr>
            </w:pPr>
            <w:r w:rsidRPr="00351105">
              <w:rPr>
                <w:lang w:eastAsia="en-US"/>
              </w:rPr>
              <w:t xml:space="preserve"> (i) the differential between target dose and normal tissue dose is maximised,</w:t>
            </w:r>
            <w:r w:rsidRPr="00935A6C">
              <w:rPr>
                <w:lang w:eastAsia="en-US"/>
              </w:rPr>
              <w:t xml:space="preserve"> based on a review and assessment  by a radiation oncologist; and </w:t>
            </w:r>
          </w:p>
          <w:p w14:paraId="77FCE369" w14:textId="766A33F8" w:rsidR="0024034F" w:rsidRPr="009616D3" w:rsidRDefault="0024034F" w:rsidP="00351B9C">
            <w:pPr>
              <w:pStyle w:val="Tabletext1"/>
              <w:spacing w:line="288" w:lineRule="auto"/>
              <w:rPr>
                <w:lang w:eastAsia="en-US"/>
              </w:rPr>
            </w:pPr>
            <w:r w:rsidRPr="009616D3">
              <w:rPr>
                <w:lang w:eastAsia="en-US"/>
              </w:rPr>
              <w:t xml:space="preserve"> (ii) all gross tumour targets, clinical targets, planning targets and organs at risk are rendered as volumes as d</w:t>
            </w:r>
            <w:r w:rsidR="00915D86">
              <w:rPr>
                <w:lang w:eastAsia="en-US"/>
              </w:rPr>
              <w:t>efined in the prescription; and</w:t>
            </w:r>
          </w:p>
          <w:p w14:paraId="3BAD35BF" w14:textId="58D032AC" w:rsidR="0024034F" w:rsidRPr="00574E64" w:rsidRDefault="0024034F" w:rsidP="00351B9C">
            <w:pPr>
              <w:pStyle w:val="Tabletext1"/>
              <w:spacing w:line="288" w:lineRule="auto"/>
              <w:rPr>
                <w:lang w:eastAsia="en-US"/>
              </w:rPr>
            </w:pPr>
            <w:r w:rsidRPr="00574E64">
              <w:rPr>
                <w:lang w:eastAsia="en-US"/>
              </w:rPr>
              <w:t xml:space="preserve"> (iii) organs at risk are nominated as planning dose goals or constraints and the prescription specifies the organs at risk as dose goals or constraints; and </w:t>
            </w:r>
          </w:p>
          <w:p w14:paraId="7EF3AAF0" w14:textId="6358BA96" w:rsidR="0024034F" w:rsidRPr="00753CFF" w:rsidRDefault="0024034F" w:rsidP="00351B9C">
            <w:pPr>
              <w:pStyle w:val="Tabletext1"/>
              <w:spacing w:line="288" w:lineRule="auto"/>
              <w:rPr>
                <w:lang w:eastAsia="en-US"/>
              </w:rPr>
            </w:pPr>
            <w:r w:rsidRPr="00FC06D9">
              <w:rPr>
                <w:lang w:eastAsia="en-US"/>
              </w:rPr>
              <w:t xml:space="preserve">(iv) dose calculations and dose volume histograms are generated in an inverse planned process, using a specialised calculation algorithm, with prescription and plan details approved and recorded in the plan; and </w:t>
            </w:r>
          </w:p>
          <w:p w14:paraId="64F1AF1F" w14:textId="5DFAF251" w:rsidR="0024034F" w:rsidRPr="00753CFF" w:rsidRDefault="0024034F" w:rsidP="00351B9C">
            <w:pPr>
              <w:pStyle w:val="Tabletext1"/>
              <w:spacing w:line="288" w:lineRule="auto"/>
              <w:rPr>
                <w:lang w:eastAsia="en-US"/>
              </w:rPr>
            </w:pPr>
            <w:r w:rsidRPr="00FC06D9">
              <w:rPr>
                <w:lang w:eastAsia="en-US"/>
              </w:rPr>
              <w:t xml:space="preserve">(v) a CT image volume dataset is used for the relevant region to be planned and treated; and </w:t>
            </w:r>
          </w:p>
          <w:p w14:paraId="26D834DF" w14:textId="7F2F07DB" w:rsidR="0024034F" w:rsidRPr="00753CFF" w:rsidRDefault="0024034F" w:rsidP="00351B9C">
            <w:pPr>
              <w:pStyle w:val="Tabletext1"/>
              <w:spacing w:line="288" w:lineRule="auto"/>
              <w:rPr>
                <w:lang w:eastAsia="en-US"/>
              </w:rPr>
            </w:pPr>
            <w:r w:rsidRPr="00FC06D9">
              <w:rPr>
                <w:lang w:eastAsia="en-US"/>
              </w:rPr>
              <w:t xml:space="preserve">(vi) the CT images are suitable for the generation of quality digitally reconstructed radiographic images; and </w:t>
            </w:r>
          </w:p>
          <w:p w14:paraId="4F71051C" w14:textId="77777777" w:rsidR="0024034F" w:rsidRPr="00753CFF" w:rsidRDefault="0024034F" w:rsidP="00351B9C">
            <w:pPr>
              <w:pStyle w:val="Tabletext1"/>
              <w:spacing w:line="288" w:lineRule="auto"/>
              <w:rPr>
                <w:lang w:eastAsia="en-US"/>
              </w:rPr>
            </w:pPr>
            <w:r w:rsidRPr="00FC06D9">
              <w:rPr>
                <w:lang w:eastAsia="en-US"/>
              </w:rPr>
              <w:t xml:space="preserve">(b) the final IMRT dosimetry plan is validated by the radiation therapist and the medical physicist, using robust quality assurance processes that include: </w:t>
            </w:r>
          </w:p>
          <w:p w14:paraId="3DDDE28E" w14:textId="4A4D551E" w:rsidR="0024034F" w:rsidRPr="00753CFF" w:rsidRDefault="0024034F" w:rsidP="00351B9C">
            <w:pPr>
              <w:pStyle w:val="Tabletext1"/>
              <w:spacing w:line="288" w:lineRule="auto"/>
              <w:rPr>
                <w:lang w:eastAsia="en-US"/>
              </w:rPr>
            </w:pPr>
            <w:r w:rsidRPr="00FC06D9">
              <w:rPr>
                <w:lang w:eastAsia="en-US"/>
              </w:rPr>
              <w:t xml:space="preserve">(i) determination of the accuracy of the dose fluence delivered by the multi-leaf collimator and gantryposition (static or dynamic); and </w:t>
            </w:r>
          </w:p>
          <w:p w14:paraId="04494432" w14:textId="5E800800" w:rsidR="0024034F" w:rsidRPr="00753CFF" w:rsidRDefault="0024034F" w:rsidP="00351B9C">
            <w:pPr>
              <w:pStyle w:val="Tabletext1"/>
              <w:spacing w:line="288" w:lineRule="auto"/>
              <w:rPr>
                <w:lang w:eastAsia="en-US"/>
              </w:rPr>
            </w:pPr>
            <w:r w:rsidRPr="00FC06D9">
              <w:rPr>
                <w:lang w:eastAsia="en-US"/>
              </w:rPr>
              <w:t xml:space="preserve"> (ii) ensuring that the plan is deliverable, data transfer is acceptable and validation checks are completed on a linear accelerator; and </w:t>
            </w:r>
          </w:p>
          <w:p w14:paraId="09C9E724" w14:textId="70BFD89D" w:rsidR="0024034F" w:rsidRPr="00507155" w:rsidRDefault="0024034F" w:rsidP="00351B9C">
            <w:pPr>
              <w:pStyle w:val="Tabletext1"/>
              <w:spacing w:line="288" w:lineRule="auto"/>
              <w:rPr>
                <w:lang w:eastAsia="en-US"/>
              </w:rPr>
            </w:pPr>
            <w:r w:rsidRPr="00FC06D9">
              <w:rPr>
                <w:lang w:eastAsia="en-US"/>
              </w:rPr>
              <w:t xml:space="preserve">(iii) validating the accuracy of the derived IMRT dosimetry plan in a known dosimetric phantom; and </w:t>
            </w:r>
          </w:p>
          <w:p w14:paraId="21B513AA" w14:textId="0AE5FF77" w:rsidR="0024034F" w:rsidRPr="00B14A4B" w:rsidRDefault="0024034F" w:rsidP="00351B9C">
            <w:pPr>
              <w:pStyle w:val="Tabletext1"/>
              <w:spacing w:line="288" w:lineRule="auto"/>
              <w:rPr>
                <w:lang w:eastAsia="en-US"/>
              </w:rPr>
            </w:pPr>
            <w:r w:rsidRPr="00FC06D9">
              <w:rPr>
                <w:lang w:eastAsia="en-US"/>
              </w:rPr>
              <w:t xml:space="preserve">(iv) determining the accuracy of planned doses in comparison to delivered doses to designated points within the phantom or dosimetry device; and </w:t>
            </w:r>
          </w:p>
          <w:p w14:paraId="3AC03474" w14:textId="37C3D3E3" w:rsidR="0024034F" w:rsidRPr="00B14A4B" w:rsidRDefault="0024034F" w:rsidP="00351B9C">
            <w:pPr>
              <w:pStyle w:val="Tabletext1"/>
              <w:spacing w:line="288" w:lineRule="auto"/>
              <w:rPr>
                <w:lang w:eastAsia="en-US"/>
              </w:rPr>
            </w:pPr>
            <w:r w:rsidRPr="00FC06D9">
              <w:rPr>
                <w:lang w:eastAsia="en-US"/>
              </w:rPr>
              <w:t xml:space="preserve">(c) </w:t>
            </w:r>
            <w:proofErr w:type="gramStart"/>
            <w:r w:rsidRPr="00FC06D9">
              <w:rPr>
                <w:lang w:eastAsia="en-US"/>
              </w:rPr>
              <w:t>the</w:t>
            </w:r>
            <w:proofErr w:type="gramEnd"/>
            <w:r w:rsidRPr="00FC06D9">
              <w:rPr>
                <w:lang w:eastAsia="en-US"/>
              </w:rPr>
              <w:t xml:space="preserve"> final IMRT dosimetry plan is approved by the radiation oncologist prior to delivery. </w:t>
            </w:r>
          </w:p>
          <w:p w14:paraId="7AA91BDB" w14:textId="77777777" w:rsidR="00691958" w:rsidRPr="00B14A4B" w:rsidRDefault="0024034F" w:rsidP="00351B9C">
            <w:pPr>
              <w:pStyle w:val="Tabletext1"/>
              <w:spacing w:line="288" w:lineRule="auto"/>
              <w:rPr>
                <w:lang w:eastAsia="en-US"/>
              </w:rPr>
            </w:pPr>
            <w:r w:rsidRPr="00FC06D9">
              <w:rPr>
                <w:lang w:eastAsia="en-US"/>
              </w:rPr>
              <w:t>Fee: $3,313.85 Benefit: 75% = $2,485.40 85% = $3,234.35</w:t>
            </w:r>
          </w:p>
        </w:tc>
      </w:tr>
      <w:tr w:rsidR="00691958" w:rsidRPr="00FC06D9" w14:paraId="73365E21" w14:textId="77777777" w:rsidTr="00351B9C">
        <w:trPr>
          <w:cantSplit/>
        </w:trPr>
        <w:tc>
          <w:tcPr>
            <w:tcW w:w="9072" w:type="dxa"/>
            <w:shd w:val="clear" w:color="auto" w:fill="auto"/>
          </w:tcPr>
          <w:p w14:paraId="135F380A" w14:textId="77777777" w:rsidR="0024034F" w:rsidRPr="00E95DBF" w:rsidRDefault="0024034F" w:rsidP="00351B9C">
            <w:pPr>
              <w:pStyle w:val="Tabletext1"/>
              <w:spacing w:line="288" w:lineRule="auto"/>
              <w:rPr>
                <w:b/>
                <w:lang w:eastAsia="en-US"/>
              </w:rPr>
            </w:pPr>
            <w:r w:rsidRPr="00E95DBF">
              <w:rPr>
                <w:b/>
                <w:lang w:eastAsia="en-US"/>
              </w:rPr>
              <w:lastRenderedPageBreak/>
              <w:t>MBS item 15275</w:t>
            </w:r>
          </w:p>
          <w:p w14:paraId="46F59839" w14:textId="77777777" w:rsidR="0024034F" w:rsidRPr="00FC06D9" w:rsidRDefault="0024034F" w:rsidP="00351B9C">
            <w:pPr>
              <w:pStyle w:val="Tabletext1"/>
              <w:spacing w:line="288" w:lineRule="auto"/>
              <w:rPr>
                <w:lang w:eastAsia="en-US"/>
              </w:rPr>
            </w:pPr>
            <w:r w:rsidRPr="00FC06D9">
              <w:rPr>
                <w:lang w:eastAsia="en-US"/>
              </w:rPr>
              <w:t xml:space="preserve">RADIATION ONCOLOGY TREATMENT with IGRT imaging facilities undertaken: </w:t>
            </w:r>
          </w:p>
          <w:p w14:paraId="56DD8C36" w14:textId="77777777" w:rsidR="0024034F" w:rsidRPr="001D54EF" w:rsidRDefault="0024034F" w:rsidP="00351B9C">
            <w:pPr>
              <w:pStyle w:val="Tabletext1"/>
              <w:spacing w:line="288" w:lineRule="auto"/>
              <w:rPr>
                <w:lang w:eastAsia="en-US"/>
              </w:rPr>
            </w:pPr>
            <w:r w:rsidRPr="00FC06D9">
              <w:rPr>
                <w:lang w:eastAsia="en-US"/>
              </w:rPr>
              <w:t xml:space="preserve">(a) to implement an IMRT dosimetry plan prepared in accordance with item 15565; </w:t>
            </w:r>
            <w:r w:rsidRPr="001D54EF">
              <w:rPr>
                <w:lang w:eastAsia="en-US"/>
              </w:rPr>
              <w:t xml:space="preserve">and  </w:t>
            </w:r>
          </w:p>
          <w:p w14:paraId="0C58D4BA" w14:textId="77777777" w:rsidR="00691958" w:rsidRPr="009616D3" w:rsidRDefault="0024034F" w:rsidP="00351B9C">
            <w:pPr>
              <w:pStyle w:val="Tabletext1"/>
              <w:spacing w:line="288" w:lineRule="auto"/>
              <w:rPr>
                <w:lang w:eastAsia="en-US"/>
              </w:rPr>
            </w:pPr>
            <w:r w:rsidRPr="00351105">
              <w:rPr>
                <w:lang w:eastAsia="en-US"/>
              </w:rPr>
              <w:t xml:space="preserve">(b) </w:t>
            </w:r>
            <w:proofErr w:type="gramStart"/>
            <w:r w:rsidRPr="00351105">
              <w:rPr>
                <w:lang w:eastAsia="en-US"/>
              </w:rPr>
              <w:t>utilising</w:t>
            </w:r>
            <w:proofErr w:type="gramEnd"/>
            <w:r w:rsidRPr="00351105">
              <w:rPr>
                <w:lang w:eastAsia="en-US"/>
              </w:rPr>
              <w:t xml:space="preserve"> an intensity modulated treatment delivery mode (delivered by a fixed or dynamic gantry linear accelerator or by a helical non C-arm based linear accelerator</w:t>
            </w:r>
            <w:r w:rsidRPr="00935A6C">
              <w:rPr>
                <w:lang w:eastAsia="en-US"/>
              </w:rPr>
              <w:t>), once only at each attendance at which treatment is given.</w:t>
            </w:r>
          </w:p>
          <w:p w14:paraId="46E5A6A2" w14:textId="77777777" w:rsidR="0024034F" w:rsidRPr="009616D3" w:rsidRDefault="0024034F" w:rsidP="00351B9C">
            <w:pPr>
              <w:pStyle w:val="Tabletext1"/>
              <w:spacing w:line="288" w:lineRule="auto"/>
              <w:rPr>
                <w:lang w:eastAsia="en-US"/>
              </w:rPr>
            </w:pPr>
            <w:r w:rsidRPr="009616D3">
              <w:rPr>
                <w:lang w:eastAsia="en-US"/>
              </w:rPr>
              <w:t>Fee: $182.90 Benefit: 75% = $137.20 85% = $155.50</w:t>
            </w:r>
          </w:p>
        </w:tc>
      </w:tr>
      <w:tr w:rsidR="0024034F" w:rsidRPr="00FC06D9" w14:paraId="125A618C" w14:textId="77777777" w:rsidTr="00351B9C">
        <w:trPr>
          <w:cantSplit/>
        </w:trPr>
        <w:tc>
          <w:tcPr>
            <w:tcW w:w="9072" w:type="dxa"/>
            <w:shd w:val="clear" w:color="auto" w:fill="auto"/>
          </w:tcPr>
          <w:p w14:paraId="07C60A8F" w14:textId="77777777" w:rsidR="0024034F" w:rsidRPr="00E95DBF" w:rsidRDefault="0024034F" w:rsidP="00351B9C">
            <w:pPr>
              <w:pStyle w:val="Tabletext1"/>
              <w:spacing w:line="288" w:lineRule="auto"/>
              <w:rPr>
                <w:b/>
                <w:lang w:eastAsia="en-US"/>
              </w:rPr>
            </w:pPr>
            <w:r w:rsidRPr="00E95DBF">
              <w:rPr>
                <w:b/>
                <w:lang w:eastAsia="en-US"/>
              </w:rPr>
              <w:t>MBS item 15254</w:t>
            </w:r>
          </w:p>
          <w:p w14:paraId="538FB916" w14:textId="77777777" w:rsidR="0024034F" w:rsidRPr="00FC06D9" w:rsidRDefault="0024034F" w:rsidP="00351B9C">
            <w:pPr>
              <w:pStyle w:val="Tabletext1"/>
              <w:spacing w:line="288" w:lineRule="auto"/>
              <w:rPr>
                <w:lang w:eastAsia="en-US"/>
              </w:rPr>
            </w:pPr>
            <w:r w:rsidRPr="00FC06D9">
              <w:rPr>
                <w:lang w:eastAsia="en-US"/>
              </w:rPr>
              <w:t>RADIATION ONCOLOGY TREATMENT, using a dual photon energy linear accelerator with a minimum higher energy of at least 10MV photons, with electron facilities - each attendance at which treatment is given - 1 field - treatment delivered to primary site for diseases and conditions not covered by items 15245, 15248 or 15251</w:t>
            </w:r>
          </w:p>
          <w:p w14:paraId="4BBC501E" w14:textId="77777777" w:rsidR="0024034F" w:rsidRPr="001D54EF" w:rsidRDefault="0024034F" w:rsidP="00351B9C">
            <w:pPr>
              <w:pStyle w:val="Tabletext1"/>
              <w:spacing w:line="288" w:lineRule="auto"/>
              <w:rPr>
                <w:lang w:eastAsia="en-US"/>
              </w:rPr>
            </w:pPr>
            <w:r w:rsidRPr="001D54EF">
              <w:rPr>
                <w:lang w:eastAsia="en-US"/>
              </w:rPr>
              <w:t>Fee: $59.65 Benefit: 75% = $44.75 85% = $50.75</w:t>
            </w:r>
          </w:p>
        </w:tc>
      </w:tr>
      <w:tr w:rsidR="0024034F" w:rsidRPr="00FC06D9" w14:paraId="44F05F5B" w14:textId="77777777" w:rsidTr="00351B9C">
        <w:trPr>
          <w:cantSplit/>
        </w:trPr>
        <w:tc>
          <w:tcPr>
            <w:tcW w:w="9072" w:type="dxa"/>
            <w:shd w:val="clear" w:color="auto" w:fill="auto"/>
          </w:tcPr>
          <w:p w14:paraId="305CF8C0" w14:textId="77777777" w:rsidR="0024034F" w:rsidRPr="00E95DBF" w:rsidRDefault="0024034F" w:rsidP="00351B9C">
            <w:pPr>
              <w:pStyle w:val="Tabletext1"/>
              <w:spacing w:line="288" w:lineRule="auto"/>
              <w:rPr>
                <w:b/>
                <w:lang w:eastAsia="en-US"/>
              </w:rPr>
            </w:pPr>
            <w:r w:rsidRPr="00E95DBF">
              <w:rPr>
                <w:b/>
                <w:lang w:eastAsia="en-US"/>
              </w:rPr>
              <w:t>MBS item 15715</w:t>
            </w:r>
          </w:p>
          <w:p w14:paraId="79BF9CC3" w14:textId="77777777" w:rsidR="0024034F" w:rsidRPr="00FC06D9" w:rsidRDefault="0024034F" w:rsidP="00351B9C">
            <w:pPr>
              <w:pStyle w:val="Tabletext1"/>
              <w:spacing w:line="288" w:lineRule="auto"/>
              <w:rPr>
                <w:lang w:eastAsia="en-US"/>
              </w:rPr>
            </w:pPr>
            <w:r w:rsidRPr="00FC06D9">
              <w:rPr>
                <w:lang w:eastAsia="en-US"/>
              </w:rPr>
              <w:t xml:space="preserve">RADIATION ONCOLOGY TREATMENT VERIFICATION of planar or volumetric IGRT for IMRT, involving the use of at least 2 planar image views or projections or 1 volumetric image set to facilitate a 3-dimensional adjustment to radiation treatment field positioning, if: </w:t>
            </w:r>
          </w:p>
          <w:p w14:paraId="46EDDBD3" w14:textId="77777777" w:rsidR="0024034F" w:rsidRPr="001D54EF" w:rsidRDefault="0024034F" w:rsidP="00351B9C">
            <w:pPr>
              <w:pStyle w:val="Tabletext1"/>
              <w:spacing w:line="288" w:lineRule="auto"/>
              <w:rPr>
                <w:lang w:eastAsia="en-US"/>
              </w:rPr>
            </w:pPr>
            <w:r w:rsidRPr="001D54EF">
              <w:rPr>
                <w:lang w:eastAsia="en-US"/>
              </w:rPr>
              <w:t xml:space="preserve">(a) the treatment technique is classified as IMRT; and </w:t>
            </w:r>
          </w:p>
          <w:p w14:paraId="2E171894" w14:textId="77777777" w:rsidR="0024034F" w:rsidRPr="00351105" w:rsidRDefault="0024034F" w:rsidP="00351B9C">
            <w:pPr>
              <w:pStyle w:val="Tabletext1"/>
              <w:spacing w:line="288" w:lineRule="auto"/>
              <w:rPr>
                <w:lang w:eastAsia="en-US"/>
              </w:rPr>
            </w:pPr>
            <w:r w:rsidRPr="00351105">
              <w:rPr>
                <w:lang w:eastAsia="en-US"/>
              </w:rPr>
              <w:t xml:space="preserve">(b) the margins applied to volumes (clinical target volume or planning target volume) are tailored or reduced to minimise treatment related exposure of healthy or normal tissues; and </w:t>
            </w:r>
          </w:p>
          <w:p w14:paraId="4716A0F5" w14:textId="77777777" w:rsidR="0024034F" w:rsidRPr="009616D3" w:rsidRDefault="0024034F" w:rsidP="00351B9C">
            <w:pPr>
              <w:pStyle w:val="Tabletext1"/>
              <w:spacing w:line="288" w:lineRule="auto"/>
              <w:rPr>
                <w:lang w:eastAsia="en-US"/>
              </w:rPr>
            </w:pPr>
            <w:r w:rsidRPr="00935A6C">
              <w:rPr>
                <w:lang w:eastAsia="en-US"/>
              </w:rPr>
              <w:t>(c) the deci</w:t>
            </w:r>
            <w:r w:rsidRPr="009616D3">
              <w:rPr>
                <w:lang w:eastAsia="en-US"/>
              </w:rPr>
              <w:t xml:space="preserve">sions made using acquired images are based on action algorithms and are given effect immediately prior to or during treatment delivery by qualified and trained staff considering complex competing factors and using software driven modelling programs; and </w:t>
            </w:r>
          </w:p>
          <w:p w14:paraId="4A29C3E0" w14:textId="77777777" w:rsidR="0024034F" w:rsidRPr="00B14A4B" w:rsidRDefault="0024034F" w:rsidP="00351B9C">
            <w:pPr>
              <w:pStyle w:val="Tabletext1"/>
              <w:spacing w:line="288" w:lineRule="auto"/>
              <w:rPr>
                <w:lang w:eastAsia="en-US"/>
              </w:rPr>
            </w:pPr>
            <w:r w:rsidRPr="00FC06D9">
              <w:rPr>
                <w:lang w:eastAsia="en-US"/>
              </w:rPr>
              <w:t xml:space="preserve">(d) the radiation treatment field positioning requires accuracy levels of less than 5mm (curative cases) or up to 10mm (palliative cases) to ensure accurate dose delivery to the target; and </w:t>
            </w:r>
          </w:p>
          <w:p w14:paraId="3F4C3F4B" w14:textId="77777777" w:rsidR="0024034F" w:rsidRPr="00B14A4B" w:rsidRDefault="0024034F" w:rsidP="00351B9C">
            <w:pPr>
              <w:pStyle w:val="Tabletext1"/>
              <w:spacing w:line="288" w:lineRule="auto"/>
              <w:rPr>
                <w:lang w:eastAsia="en-US"/>
              </w:rPr>
            </w:pPr>
            <w:r w:rsidRPr="00FC06D9">
              <w:rPr>
                <w:lang w:eastAsia="en-US"/>
              </w:rPr>
              <w:t xml:space="preserve">(e) the image decisions and actions are documented in the patient’s record; and </w:t>
            </w:r>
          </w:p>
          <w:p w14:paraId="6B24EEB2" w14:textId="77777777" w:rsidR="0024034F" w:rsidRPr="00B14A4B" w:rsidRDefault="0024034F" w:rsidP="00351B9C">
            <w:pPr>
              <w:pStyle w:val="Tabletext1"/>
              <w:spacing w:line="288" w:lineRule="auto"/>
              <w:rPr>
                <w:lang w:eastAsia="en-US"/>
              </w:rPr>
            </w:pPr>
            <w:r w:rsidRPr="00FC06D9">
              <w:rPr>
                <w:lang w:eastAsia="en-US"/>
              </w:rPr>
              <w:t xml:space="preserve">(f) the radiation oncologist is responsible for supervising the process, including specifying the type and frequency of imaging, tolerance and action levels to be incorporated in the process, reviewing the trend analysis and any reports and relevant images during the treatment course and specifying action protocols as required; and </w:t>
            </w:r>
          </w:p>
          <w:p w14:paraId="02E60353" w14:textId="77777777" w:rsidR="0024034F" w:rsidRPr="00B14A4B" w:rsidRDefault="0024034F" w:rsidP="00351B9C">
            <w:pPr>
              <w:pStyle w:val="Tabletext1"/>
              <w:spacing w:line="288" w:lineRule="auto"/>
              <w:rPr>
                <w:lang w:eastAsia="en-US"/>
              </w:rPr>
            </w:pPr>
            <w:r w:rsidRPr="00FC06D9">
              <w:rPr>
                <w:lang w:eastAsia="en-US"/>
              </w:rPr>
              <w:t xml:space="preserve">(g) when treatment adjustments are inadequate to satisfy treatment protocol requirements, replanning is required; and </w:t>
            </w:r>
          </w:p>
          <w:p w14:paraId="4D1A46EA" w14:textId="77777777" w:rsidR="0024034F" w:rsidRPr="00B14A4B" w:rsidRDefault="0024034F" w:rsidP="00351B9C">
            <w:pPr>
              <w:pStyle w:val="Tabletext1"/>
              <w:spacing w:line="288" w:lineRule="auto"/>
              <w:rPr>
                <w:lang w:eastAsia="en-US"/>
              </w:rPr>
            </w:pPr>
            <w:r w:rsidRPr="00FC06D9">
              <w:rPr>
                <w:lang w:eastAsia="en-US"/>
              </w:rPr>
              <w:t>(h) the imaging infrastructure (hardware and software) is linked to the treatment unit and networked to an image database, enabling both on line and off line reviews</w:t>
            </w:r>
          </w:p>
          <w:p w14:paraId="041F6EF5" w14:textId="77777777" w:rsidR="0024034F" w:rsidRPr="00B14A4B" w:rsidRDefault="0024034F" w:rsidP="00351B9C">
            <w:pPr>
              <w:pStyle w:val="Tabletext1"/>
              <w:spacing w:line="288" w:lineRule="auto"/>
              <w:rPr>
                <w:lang w:eastAsia="en-US"/>
              </w:rPr>
            </w:pPr>
            <w:r w:rsidRPr="00FC06D9">
              <w:rPr>
                <w:lang w:eastAsia="en-US"/>
              </w:rPr>
              <w:t>Fee: $76.60 Benefit: 75% = $57.45 85% = $65.15</w:t>
            </w:r>
          </w:p>
        </w:tc>
      </w:tr>
      <w:tr w:rsidR="0024034F" w:rsidRPr="00FC06D9" w14:paraId="641891EE" w14:textId="77777777" w:rsidTr="00351B9C">
        <w:trPr>
          <w:cantSplit/>
        </w:trPr>
        <w:tc>
          <w:tcPr>
            <w:tcW w:w="9072" w:type="dxa"/>
            <w:shd w:val="clear" w:color="auto" w:fill="auto"/>
          </w:tcPr>
          <w:p w14:paraId="5487024B" w14:textId="77777777" w:rsidR="0024034F" w:rsidRPr="00E95DBF" w:rsidRDefault="0024034F" w:rsidP="00351B9C">
            <w:pPr>
              <w:pStyle w:val="Tabletext1"/>
              <w:spacing w:line="288" w:lineRule="auto"/>
              <w:rPr>
                <w:b/>
                <w:lang w:eastAsia="en-US"/>
              </w:rPr>
            </w:pPr>
            <w:r w:rsidRPr="00E95DBF">
              <w:rPr>
                <w:b/>
                <w:lang w:eastAsia="en-US"/>
              </w:rPr>
              <w:lastRenderedPageBreak/>
              <w:t>MBS item 15562</w:t>
            </w:r>
          </w:p>
          <w:p w14:paraId="5A6FE816" w14:textId="77777777" w:rsidR="0024034F" w:rsidRPr="00FC06D9" w:rsidRDefault="0024034F" w:rsidP="00351B9C">
            <w:pPr>
              <w:pStyle w:val="Tabletext1"/>
              <w:spacing w:line="288" w:lineRule="auto"/>
              <w:rPr>
                <w:lang w:eastAsia="en-US"/>
              </w:rPr>
            </w:pPr>
            <w:r w:rsidRPr="00FC06D9">
              <w:rPr>
                <w:lang w:eastAsia="en-US"/>
              </w:rPr>
              <w:t xml:space="preserve">DOSIMETRY FOR THREE DIMENSIONAL CONFORMAL RADIOTHERAPY OF LEVEL 3 COMPLEXITY - where: </w:t>
            </w:r>
          </w:p>
          <w:p w14:paraId="122782F7" w14:textId="6EA46C0D" w:rsidR="0024034F" w:rsidRPr="00351105" w:rsidRDefault="0024034F" w:rsidP="00351B9C">
            <w:pPr>
              <w:pStyle w:val="Tabletext1"/>
              <w:spacing w:line="288" w:lineRule="auto"/>
              <w:rPr>
                <w:lang w:eastAsia="en-US"/>
              </w:rPr>
            </w:pPr>
            <w:r w:rsidRPr="00FC06D9">
              <w:rPr>
                <w:lang w:eastAsia="en-US"/>
              </w:rPr>
              <w:t>(a) dosimetry for a three or more phase three dimensional co</w:t>
            </w:r>
            <w:r w:rsidRPr="001D54EF">
              <w:rPr>
                <w:lang w:eastAsia="en-US"/>
              </w:rPr>
              <w:t xml:space="preserve">nformal treatment plan using CT image volume dataset(s) with at least one gross tumour volume, three planning target volumes and one organ at risk defined in the prescription; </w:t>
            </w:r>
            <w:r w:rsidRPr="00351105">
              <w:rPr>
                <w:lang w:eastAsia="en-US"/>
              </w:rPr>
              <w:t xml:space="preserve">or </w:t>
            </w:r>
          </w:p>
          <w:p w14:paraId="10D7F196" w14:textId="34D21E97" w:rsidR="0024034F" w:rsidRPr="00935A6C" w:rsidRDefault="0024034F" w:rsidP="00351B9C">
            <w:pPr>
              <w:pStyle w:val="Tabletext1"/>
              <w:spacing w:line="288" w:lineRule="auto"/>
              <w:rPr>
                <w:lang w:eastAsia="en-US"/>
              </w:rPr>
            </w:pPr>
            <w:r w:rsidRPr="00935A6C">
              <w:rPr>
                <w:lang w:eastAsia="en-US"/>
              </w:rPr>
              <w:t xml:space="preserve">(b) dosimetry for a two phase three dimensional conformal treatment plan using CT image volume datasets with at least one gross tumour volume, and </w:t>
            </w:r>
          </w:p>
          <w:p w14:paraId="475BAF47" w14:textId="7BEC6809" w:rsidR="0024034F" w:rsidRPr="009616D3" w:rsidRDefault="0024034F" w:rsidP="00351B9C">
            <w:pPr>
              <w:pStyle w:val="Tabletext1"/>
              <w:spacing w:line="288" w:lineRule="auto"/>
              <w:rPr>
                <w:lang w:eastAsia="en-US"/>
              </w:rPr>
            </w:pPr>
            <w:r w:rsidRPr="009616D3">
              <w:rPr>
                <w:lang w:eastAsia="en-US"/>
              </w:rPr>
              <w:t xml:space="preserve"> (i) two planning target volumes; or </w:t>
            </w:r>
          </w:p>
          <w:p w14:paraId="236021F1" w14:textId="7B926BEA" w:rsidR="0024034F" w:rsidRPr="00B14A4B" w:rsidRDefault="0024034F" w:rsidP="00351B9C">
            <w:pPr>
              <w:pStyle w:val="Tabletext1"/>
              <w:spacing w:line="288" w:lineRule="auto"/>
              <w:rPr>
                <w:lang w:eastAsia="en-US"/>
              </w:rPr>
            </w:pPr>
            <w:r w:rsidRPr="00FC06D9">
              <w:rPr>
                <w:lang w:eastAsia="en-US"/>
              </w:rPr>
              <w:t xml:space="preserve"> (ii) </w:t>
            </w:r>
            <w:proofErr w:type="gramStart"/>
            <w:r w:rsidRPr="00FC06D9">
              <w:rPr>
                <w:lang w:eastAsia="en-US"/>
              </w:rPr>
              <w:t>two</w:t>
            </w:r>
            <w:proofErr w:type="gramEnd"/>
            <w:r w:rsidRPr="00FC06D9">
              <w:rPr>
                <w:lang w:eastAsia="en-US"/>
              </w:rPr>
              <w:t xml:space="preserve"> organ at risk dose goals or constraints defined in the prescription. </w:t>
            </w:r>
          </w:p>
          <w:p w14:paraId="3A02EAA6" w14:textId="77777777" w:rsidR="0024034F" w:rsidRPr="00B14A4B" w:rsidRDefault="0024034F" w:rsidP="00351B9C">
            <w:pPr>
              <w:pStyle w:val="Tabletext1"/>
              <w:spacing w:line="288" w:lineRule="auto"/>
              <w:rPr>
                <w:lang w:eastAsia="en-US"/>
              </w:rPr>
            </w:pPr>
            <w:r w:rsidRPr="00FC06D9">
              <w:rPr>
                <w:lang w:eastAsia="en-US"/>
              </w:rPr>
              <w:t xml:space="preserve">or </w:t>
            </w:r>
          </w:p>
          <w:p w14:paraId="1CF0C2D1" w14:textId="34863872" w:rsidR="0024034F" w:rsidRPr="00B14A4B" w:rsidRDefault="0024034F" w:rsidP="00351B9C">
            <w:pPr>
              <w:pStyle w:val="Tabletext1"/>
              <w:spacing w:line="288" w:lineRule="auto"/>
              <w:rPr>
                <w:lang w:eastAsia="en-US"/>
              </w:rPr>
            </w:pPr>
            <w:r w:rsidRPr="00FC06D9">
              <w:rPr>
                <w:lang w:eastAsia="en-US"/>
              </w:rPr>
              <w:t xml:space="preserve">(c) dosimetry for a one phase three dimensional conformal treatment plan using CT image volume datasets with at least one gross tumour volume, one planning target volume and three organ at risk dose goals or constraints defined in the prescription; </w:t>
            </w:r>
          </w:p>
          <w:p w14:paraId="5B6E7D9A" w14:textId="77777777" w:rsidR="0024034F" w:rsidRPr="00B14A4B" w:rsidRDefault="0024034F" w:rsidP="00351B9C">
            <w:pPr>
              <w:pStyle w:val="Tabletext1"/>
              <w:spacing w:line="288" w:lineRule="auto"/>
              <w:rPr>
                <w:lang w:eastAsia="en-US"/>
              </w:rPr>
            </w:pPr>
            <w:r w:rsidRPr="00FC06D9">
              <w:rPr>
                <w:lang w:eastAsia="en-US"/>
              </w:rPr>
              <w:t xml:space="preserve">or </w:t>
            </w:r>
          </w:p>
          <w:p w14:paraId="38D56732" w14:textId="1C303A71" w:rsidR="0024034F" w:rsidRPr="00B14A4B" w:rsidRDefault="0024034F" w:rsidP="00351B9C">
            <w:pPr>
              <w:pStyle w:val="Tabletext1"/>
              <w:spacing w:line="288" w:lineRule="auto"/>
              <w:rPr>
                <w:lang w:eastAsia="en-US"/>
              </w:rPr>
            </w:pPr>
            <w:r w:rsidRPr="00FC06D9">
              <w:rPr>
                <w:lang w:eastAsia="en-US"/>
              </w:rPr>
              <w:t xml:space="preserve">(d) </w:t>
            </w:r>
            <w:proofErr w:type="gramStart"/>
            <w:r w:rsidRPr="00FC06D9">
              <w:rPr>
                <w:lang w:eastAsia="en-US"/>
              </w:rPr>
              <w:t>image</w:t>
            </w:r>
            <w:proofErr w:type="gramEnd"/>
            <w:r w:rsidRPr="00FC06D9">
              <w:rPr>
                <w:lang w:eastAsia="en-US"/>
              </w:rPr>
              <w:t xml:space="preserve"> fusion with a secondary image (CT, MRI or PET) volume dataset used to define target and organ at risk volumes in conjunction with and as specified in dosimetry for three dimensional conformal radiotherapy of level 2 complexity. </w:t>
            </w:r>
          </w:p>
          <w:p w14:paraId="6DE4B25E" w14:textId="77777777" w:rsidR="0024034F" w:rsidRPr="00B14A4B" w:rsidRDefault="0024034F" w:rsidP="00351B9C">
            <w:pPr>
              <w:pStyle w:val="Tabletext1"/>
              <w:spacing w:line="288" w:lineRule="auto"/>
              <w:rPr>
                <w:lang w:eastAsia="en-US"/>
              </w:rPr>
            </w:pPr>
            <w:r w:rsidRPr="00FC06D9">
              <w:rPr>
                <w:lang w:eastAsia="en-US"/>
              </w:rPr>
              <w:t xml:space="preserve">All gross tumour targets, clinical targets, planning targets and organs at risk as defined in the prescription must be rendered as volumes. The organ at risk must be nominated as planning dose goals or constraints and the prescription must specify the organs at risk as dose goals or constraints. Dose volume histograms must be generated, approved and recorded with the plan. A CT image volume dataset must be used for the relevant region to be planned and treated. The CT images must be suitable for the generation of quality digitally reconstructed radiographic images </w:t>
            </w:r>
          </w:p>
          <w:p w14:paraId="799BABBE" w14:textId="77777777" w:rsidR="0024034F" w:rsidRPr="00B14A4B" w:rsidRDefault="0024034F" w:rsidP="00351B9C">
            <w:pPr>
              <w:pStyle w:val="Tabletext1"/>
              <w:spacing w:line="288" w:lineRule="auto"/>
              <w:rPr>
                <w:lang w:eastAsia="en-US"/>
              </w:rPr>
            </w:pPr>
            <w:r w:rsidRPr="00FC06D9">
              <w:rPr>
                <w:lang w:eastAsia="en-US"/>
              </w:rPr>
              <w:t>Fee: $1,120.75 Benefit: 75% = $840.60 85% = $1,041.25</w:t>
            </w:r>
          </w:p>
        </w:tc>
      </w:tr>
      <w:tr w:rsidR="0024034F" w:rsidRPr="00FC06D9" w14:paraId="60B1B6CE" w14:textId="77777777" w:rsidTr="00351B9C">
        <w:trPr>
          <w:cantSplit/>
        </w:trPr>
        <w:tc>
          <w:tcPr>
            <w:tcW w:w="9072" w:type="dxa"/>
            <w:shd w:val="clear" w:color="auto" w:fill="auto"/>
          </w:tcPr>
          <w:p w14:paraId="1DA345AF" w14:textId="77777777" w:rsidR="003251A0" w:rsidRPr="00E95DBF" w:rsidRDefault="003251A0" w:rsidP="00351B9C">
            <w:pPr>
              <w:pStyle w:val="Tabletext1"/>
              <w:spacing w:line="288" w:lineRule="auto"/>
              <w:rPr>
                <w:b/>
                <w:lang w:eastAsia="en-US"/>
              </w:rPr>
            </w:pPr>
            <w:r w:rsidRPr="00E95DBF">
              <w:rPr>
                <w:b/>
                <w:lang w:eastAsia="en-US"/>
              </w:rPr>
              <w:t>MBS item 15550</w:t>
            </w:r>
          </w:p>
          <w:p w14:paraId="1BB50578" w14:textId="77777777" w:rsidR="003251A0" w:rsidRPr="00FC06D9" w:rsidRDefault="003251A0" w:rsidP="00351B9C">
            <w:pPr>
              <w:pStyle w:val="Tabletext1"/>
              <w:spacing w:line="288" w:lineRule="auto"/>
              <w:rPr>
                <w:lang w:eastAsia="en-US"/>
              </w:rPr>
            </w:pPr>
            <w:r w:rsidRPr="00FC06D9">
              <w:rPr>
                <w:lang w:eastAsia="en-US"/>
              </w:rPr>
              <w:t xml:space="preserve">SIMULATION FOR THREE DIMENSIONAL CONFORMAL RADIOTHERAPY without intravenous contrast medium, where: </w:t>
            </w:r>
          </w:p>
          <w:p w14:paraId="0A9F9D98" w14:textId="3B42E2F3" w:rsidR="003251A0" w:rsidRPr="001D54EF" w:rsidRDefault="003251A0" w:rsidP="00351B9C">
            <w:pPr>
              <w:pStyle w:val="Tabletext1"/>
              <w:spacing w:line="288" w:lineRule="auto"/>
              <w:rPr>
                <w:lang w:eastAsia="en-US"/>
              </w:rPr>
            </w:pPr>
            <w:r w:rsidRPr="00FC06D9">
              <w:rPr>
                <w:lang w:eastAsia="en-US"/>
              </w:rPr>
              <w:t xml:space="preserve">(a) treatment set up and technique specifications are in preparations for three </w:t>
            </w:r>
            <w:r w:rsidRPr="001D54EF">
              <w:rPr>
                <w:lang w:eastAsia="en-US"/>
              </w:rPr>
              <w:t xml:space="preserve">dimensional conformal radiotherapy dose planning; and </w:t>
            </w:r>
          </w:p>
          <w:p w14:paraId="286D9142" w14:textId="5055CEA0" w:rsidR="003251A0" w:rsidRPr="00935A6C" w:rsidRDefault="003251A0" w:rsidP="00351B9C">
            <w:pPr>
              <w:pStyle w:val="Tabletext1"/>
              <w:spacing w:line="288" w:lineRule="auto"/>
              <w:rPr>
                <w:lang w:eastAsia="en-US"/>
              </w:rPr>
            </w:pPr>
            <w:r w:rsidRPr="00351105">
              <w:rPr>
                <w:lang w:eastAsia="en-US"/>
              </w:rPr>
              <w:t>(b</w:t>
            </w:r>
            <w:r w:rsidR="00915D86">
              <w:rPr>
                <w:lang w:eastAsia="en-US"/>
              </w:rPr>
              <w:t xml:space="preserve">) </w:t>
            </w:r>
            <w:r w:rsidRPr="00351105">
              <w:rPr>
                <w:lang w:eastAsia="en-US"/>
              </w:rPr>
              <w:t xml:space="preserve">patient set up and immobilisation techniques are suitable for reliable CT image volume data acquisition and three </w:t>
            </w:r>
            <w:r w:rsidRPr="00935A6C">
              <w:rPr>
                <w:lang w:eastAsia="en-US"/>
              </w:rPr>
              <w:t xml:space="preserve">dimensional conformal radiotherapy treatment; and </w:t>
            </w:r>
          </w:p>
          <w:p w14:paraId="0E6A5DEE" w14:textId="06E4A8C5" w:rsidR="003251A0" w:rsidRPr="009616D3" w:rsidRDefault="003251A0" w:rsidP="00351B9C">
            <w:pPr>
              <w:pStyle w:val="Tabletext1"/>
              <w:spacing w:line="288" w:lineRule="auto"/>
              <w:rPr>
                <w:lang w:eastAsia="en-US"/>
              </w:rPr>
            </w:pPr>
            <w:r w:rsidRPr="009616D3">
              <w:rPr>
                <w:lang w:eastAsia="en-US"/>
              </w:rPr>
              <w:t xml:space="preserve">(c) a high-quality CT-image volume dataset must be acquired for the relevant region of interest to be planned and treated; and </w:t>
            </w:r>
          </w:p>
          <w:p w14:paraId="21A23BD8" w14:textId="0D2B3C7A" w:rsidR="003251A0" w:rsidRPr="00B14A4B" w:rsidRDefault="003251A0" w:rsidP="00351B9C">
            <w:pPr>
              <w:pStyle w:val="Tabletext1"/>
              <w:spacing w:line="288" w:lineRule="auto"/>
              <w:rPr>
                <w:lang w:eastAsia="en-US"/>
              </w:rPr>
            </w:pPr>
            <w:r w:rsidRPr="009616D3">
              <w:rPr>
                <w:lang w:eastAsia="en-US"/>
              </w:rPr>
              <w:t>(d)</w:t>
            </w:r>
            <w:r w:rsidRPr="00FC06D9">
              <w:rPr>
                <w:lang w:eastAsia="en-US"/>
              </w:rPr>
              <w:t xml:space="preserve"> the image set must be suitable for the generation of quality digitally reconstructed radiographic images</w:t>
            </w:r>
          </w:p>
          <w:p w14:paraId="67DE92C6" w14:textId="77777777" w:rsidR="0024034F" w:rsidRPr="00B14A4B" w:rsidRDefault="003251A0" w:rsidP="00351B9C">
            <w:pPr>
              <w:pStyle w:val="Tabletext1"/>
              <w:spacing w:line="288" w:lineRule="auto"/>
              <w:rPr>
                <w:lang w:eastAsia="en-US"/>
              </w:rPr>
            </w:pPr>
            <w:r w:rsidRPr="00FC06D9">
              <w:rPr>
                <w:lang w:eastAsia="en-US"/>
              </w:rPr>
              <w:t>Fee: $658.60 Benefit: 75% = $493.95 85% = $579.10</w:t>
            </w:r>
            <w:r w:rsidRPr="00FC06D9">
              <w:rPr>
                <w:lang w:eastAsia="en-US"/>
              </w:rPr>
              <w:tab/>
            </w:r>
          </w:p>
        </w:tc>
      </w:tr>
      <w:tr w:rsidR="003251A0" w:rsidRPr="00FC06D9" w14:paraId="5C56E4A3" w14:textId="77777777" w:rsidTr="00351B9C">
        <w:trPr>
          <w:cantSplit/>
        </w:trPr>
        <w:tc>
          <w:tcPr>
            <w:tcW w:w="9072" w:type="dxa"/>
            <w:shd w:val="clear" w:color="auto" w:fill="auto"/>
          </w:tcPr>
          <w:p w14:paraId="1CBEE6DD" w14:textId="77777777" w:rsidR="003251A0" w:rsidRPr="00E95DBF" w:rsidRDefault="003251A0" w:rsidP="00351B9C">
            <w:pPr>
              <w:pStyle w:val="Tabletext1"/>
              <w:spacing w:line="288" w:lineRule="auto"/>
              <w:rPr>
                <w:b/>
                <w:lang w:eastAsia="en-US"/>
              </w:rPr>
            </w:pPr>
            <w:r w:rsidRPr="00E95DBF">
              <w:rPr>
                <w:b/>
                <w:lang w:eastAsia="en-US"/>
              </w:rPr>
              <w:t>MBS item 15710</w:t>
            </w:r>
          </w:p>
          <w:p w14:paraId="62AB6095" w14:textId="77777777" w:rsidR="003251A0" w:rsidRPr="00FC06D9" w:rsidRDefault="003251A0" w:rsidP="00351B9C">
            <w:pPr>
              <w:pStyle w:val="Tabletext1"/>
              <w:spacing w:line="288" w:lineRule="auto"/>
              <w:rPr>
                <w:lang w:eastAsia="en-US"/>
              </w:rPr>
            </w:pPr>
            <w:r w:rsidRPr="00FC06D9">
              <w:rPr>
                <w:lang w:eastAsia="en-US"/>
              </w:rPr>
              <w:t xml:space="preserve">RADIATION ONCOLOGY TREATMENT VERIFICATION - volumetric acquisition, when prescribed and reviewed  by a radiation oncologist and not associated with item 15700 or 15705 - each attendance at which treatment involving three fields or more is verified (ie maximum one per attendance). </w:t>
            </w:r>
          </w:p>
          <w:p w14:paraId="63A52C16" w14:textId="77777777" w:rsidR="003251A0" w:rsidRPr="001D54EF" w:rsidRDefault="003251A0" w:rsidP="00351B9C">
            <w:pPr>
              <w:pStyle w:val="Tabletext1"/>
              <w:spacing w:line="288" w:lineRule="auto"/>
              <w:rPr>
                <w:lang w:eastAsia="en-US"/>
              </w:rPr>
            </w:pPr>
            <w:r w:rsidRPr="001D54EF">
              <w:rPr>
                <w:lang w:eastAsia="en-US"/>
              </w:rPr>
              <w:t>(see para T2.5 of explanatory notes to this Category)</w:t>
            </w:r>
          </w:p>
          <w:p w14:paraId="529940C7" w14:textId="77777777" w:rsidR="003251A0" w:rsidRPr="00351105" w:rsidRDefault="003251A0" w:rsidP="00351B9C">
            <w:pPr>
              <w:pStyle w:val="Tabletext1"/>
              <w:spacing w:line="288" w:lineRule="auto"/>
              <w:rPr>
                <w:lang w:eastAsia="en-US"/>
              </w:rPr>
            </w:pPr>
            <w:r w:rsidRPr="00351105">
              <w:rPr>
                <w:lang w:eastAsia="en-US"/>
              </w:rPr>
              <w:t>Fee: $76.60 Benefit: 75% = $57.45 85% = $65.15</w:t>
            </w:r>
          </w:p>
        </w:tc>
      </w:tr>
    </w:tbl>
    <w:p w14:paraId="0C8E32F6" w14:textId="77777777" w:rsidR="00867601" w:rsidRPr="00867601" w:rsidRDefault="00867601" w:rsidP="00867601">
      <w:pPr>
        <w:spacing w:after="200" w:line="276" w:lineRule="auto"/>
        <w:rPr>
          <w:rFonts w:eastAsia="Calibri" w:cs="Times New Roman"/>
          <w:b/>
          <w:lang w:eastAsia="en-US"/>
        </w:rPr>
      </w:pPr>
    </w:p>
    <w:p w14:paraId="4645B081" w14:textId="77777777" w:rsidR="00867601" w:rsidRPr="00867601" w:rsidRDefault="00867601" w:rsidP="001163D9">
      <w:pPr>
        <w:pStyle w:val="TableHeading"/>
        <w:rPr>
          <w:lang w:val="en-GB" w:eastAsia="ja-JP"/>
        </w:rPr>
      </w:pPr>
      <w:bookmarkStart w:id="154" w:name="_Ref457388001"/>
      <w:bookmarkStart w:id="155" w:name="_Toc460514672"/>
      <w:r w:rsidRPr="00867601">
        <w:rPr>
          <w:lang w:val="en-GB" w:eastAsia="ja-JP"/>
        </w:rPr>
        <w:lastRenderedPageBreak/>
        <w:t xml:space="preserve">Table </w:t>
      </w:r>
      <w:r w:rsidRPr="00867601">
        <w:rPr>
          <w:lang w:val="en-GB" w:eastAsia="ja-JP"/>
        </w:rPr>
        <w:fldChar w:fldCharType="begin"/>
      </w:r>
      <w:r w:rsidRPr="00867601">
        <w:rPr>
          <w:lang w:val="en-GB" w:eastAsia="ja-JP"/>
        </w:rPr>
        <w:instrText xml:space="preserve"> SEQ Table \* ARABIC </w:instrText>
      </w:r>
      <w:r w:rsidRPr="00867601">
        <w:rPr>
          <w:lang w:val="en-GB" w:eastAsia="ja-JP"/>
        </w:rPr>
        <w:fldChar w:fldCharType="separate"/>
      </w:r>
      <w:r w:rsidR="00D170A5">
        <w:rPr>
          <w:noProof/>
          <w:lang w:val="en-GB" w:eastAsia="ja-JP"/>
        </w:rPr>
        <w:t>14</w:t>
      </w:r>
      <w:r w:rsidRPr="00867601">
        <w:rPr>
          <w:lang w:val="en-GB" w:eastAsia="ja-JP"/>
        </w:rPr>
        <w:fldChar w:fldCharType="end"/>
      </w:r>
      <w:bookmarkEnd w:id="154"/>
      <w:r w:rsidRPr="00867601">
        <w:rPr>
          <w:lang w:val="en-GB" w:eastAsia="ja-JP"/>
        </w:rPr>
        <w:tab/>
        <w:t>Stereotactic radiosurgery treatments for lung cancer currently listed on the MBS</w:t>
      </w:r>
      <w:bookmarkEnd w:id="155"/>
    </w:p>
    <w:tbl>
      <w:tblPr>
        <w:tblStyle w:val="TableGrid3"/>
        <w:tblW w:w="0" w:type="auto"/>
        <w:tblInd w:w="108" w:type="dxa"/>
        <w:tblLook w:val="04A0" w:firstRow="1" w:lastRow="0" w:firstColumn="1" w:lastColumn="0" w:noHBand="0" w:noVBand="1"/>
        <w:tblCaption w:val="Stereotactic radiosurgery treatments for lung cancer currently listed on the MBS"/>
        <w:tblDescription w:val="Stereotactic radiosurgery treatments for lung cancer currently listed on the MBS"/>
      </w:tblPr>
      <w:tblGrid>
        <w:gridCol w:w="9072"/>
      </w:tblGrid>
      <w:tr w:rsidR="00867601" w:rsidRPr="00867601" w14:paraId="2AB8A38F" w14:textId="77777777" w:rsidTr="00C01747">
        <w:trPr>
          <w:tblHeader/>
        </w:trPr>
        <w:tc>
          <w:tcPr>
            <w:tcW w:w="9072" w:type="dxa"/>
            <w:shd w:val="clear" w:color="auto" w:fill="D9D9D9" w:themeFill="background1" w:themeFillShade="D9"/>
          </w:tcPr>
          <w:p w14:paraId="7A9113FC" w14:textId="77777777" w:rsidR="00867601" w:rsidRPr="00C01747" w:rsidRDefault="00867601" w:rsidP="00B96893">
            <w:pPr>
              <w:pStyle w:val="Tabletext1"/>
              <w:rPr>
                <w:b/>
                <w:lang w:eastAsia="en-US"/>
              </w:rPr>
            </w:pPr>
            <w:r w:rsidRPr="00C01747">
              <w:rPr>
                <w:b/>
                <w:lang w:eastAsia="en-US"/>
              </w:rPr>
              <w:t>Category 3 – Therapeutic Procedures</w:t>
            </w:r>
          </w:p>
        </w:tc>
      </w:tr>
      <w:tr w:rsidR="00867601" w:rsidRPr="00867601" w14:paraId="0CC6823C" w14:textId="77777777" w:rsidTr="00F452E0">
        <w:trPr>
          <w:trHeight w:val="70"/>
        </w:trPr>
        <w:tc>
          <w:tcPr>
            <w:tcW w:w="9072" w:type="dxa"/>
            <w:shd w:val="clear" w:color="auto" w:fill="auto"/>
          </w:tcPr>
          <w:p w14:paraId="086765EA" w14:textId="77777777" w:rsidR="00867601" w:rsidRPr="00C01747" w:rsidRDefault="00867601" w:rsidP="00B96893">
            <w:pPr>
              <w:pStyle w:val="Tabletext1"/>
              <w:rPr>
                <w:b/>
                <w:lang w:eastAsia="en-US"/>
              </w:rPr>
            </w:pPr>
            <w:r w:rsidRPr="00C01747">
              <w:rPr>
                <w:b/>
                <w:lang w:eastAsia="en-US"/>
              </w:rPr>
              <w:t>MBS item 15215</w:t>
            </w:r>
          </w:p>
          <w:p w14:paraId="01BD87FF" w14:textId="77777777" w:rsidR="00867601" w:rsidRPr="00867601" w:rsidRDefault="00867601" w:rsidP="00B96893">
            <w:pPr>
              <w:pStyle w:val="Tabletext1"/>
              <w:rPr>
                <w:lang w:eastAsia="en-US"/>
              </w:rPr>
            </w:pPr>
            <w:r w:rsidRPr="00867601">
              <w:rPr>
                <w:lang w:eastAsia="en-US"/>
              </w:rPr>
              <w:t xml:space="preserve">RADIATION ONCOLOGY TREATMENT, using a single photon energy linear accelerator with </w:t>
            </w:r>
            <w:r w:rsidR="00C01747">
              <w:rPr>
                <w:lang w:eastAsia="en-US"/>
              </w:rPr>
              <w:t xml:space="preserve">or without electron facilities - </w:t>
            </w:r>
            <w:r w:rsidRPr="00867601">
              <w:rPr>
                <w:lang w:eastAsia="en-US"/>
              </w:rPr>
              <w:t>each attendance at which treatment is given - 1 field - treatment delivered to primary site (lung).</w:t>
            </w:r>
          </w:p>
          <w:p w14:paraId="5F16E7C6" w14:textId="77777777" w:rsidR="00867601" w:rsidRPr="00867601" w:rsidRDefault="00867601" w:rsidP="00B96893">
            <w:pPr>
              <w:pStyle w:val="Tabletext1"/>
              <w:rPr>
                <w:lang w:eastAsia="en-US"/>
              </w:rPr>
            </w:pPr>
            <w:r w:rsidRPr="00867601">
              <w:rPr>
                <w:lang w:eastAsia="en-US"/>
              </w:rPr>
              <w:t>Fee: $57.40; Benefit: 75% = $43.05; 85% = $48.80</w:t>
            </w:r>
          </w:p>
        </w:tc>
      </w:tr>
    </w:tbl>
    <w:p w14:paraId="367EE01C" w14:textId="77777777" w:rsidR="00867601" w:rsidRPr="00867601" w:rsidRDefault="00867601" w:rsidP="00351B9C">
      <w:pPr>
        <w:pStyle w:val="TableHeading"/>
        <w:spacing w:before="400"/>
        <w:rPr>
          <w:lang w:val="en-GB" w:eastAsia="ja-JP"/>
        </w:rPr>
      </w:pPr>
      <w:bookmarkStart w:id="156" w:name="_Toc460514673"/>
      <w:r w:rsidRPr="00867601">
        <w:rPr>
          <w:lang w:val="en-GB" w:eastAsia="ja-JP"/>
        </w:rPr>
        <w:t xml:space="preserve">Table </w:t>
      </w:r>
      <w:r w:rsidRPr="00867601">
        <w:rPr>
          <w:lang w:val="en-GB" w:eastAsia="ja-JP"/>
        </w:rPr>
        <w:fldChar w:fldCharType="begin"/>
      </w:r>
      <w:r w:rsidRPr="00867601">
        <w:rPr>
          <w:lang w:val="en-GB" w:eastAsia="ja-JP"/>
        </w:rPr>
        <w:instrText xml:space="preserve"> SEQ Table \* ARABIC </w:instrText>
      </w:r>
      <w:r w:rsidRPr="00867601">
        <w:rPr>
          <w:lang w:val="en-GB" w:eastAsia="ja-JP"/>
        </w:rPr>
        <w:fldChar w:fldCharType="separate"/>
      </w:r>
      <w:r w:rsidR="00D170A5">
        <w:rPr>
          <w:noProof/>
          <w:lang w:val="en-GB" w:eastAsia="ja-JP"/>
        </w:rPr>
        <w:t>15</w:t>
      </w:r>
      <w:r w:rsidRPr="00867601">
        <w:rPr>
          <w:lang w:val="en-GB" w:eastAsia="ja-JP"/>
        </w:rPr>
        <w:fldChar w:fldCharType="end"/>
      </w:r>
      <w:r w:rsidRPr="00867601">
        <w:rPr>
          <w:lang w:val="en-GB" w:eastAsia="ja-JP"/>
        </w:rPr>
        <w:tab/>
        <w:t>Surgical treatments for lung cancer currently listed on the MBS</w:t>
      </w:r>
      <w:bookmarkEnd w:id="156"/>
    </w:p>
    <w:tbl>
      <w:tblPr>
        <w:tblStyle w:val="TableGrid3"/>
        <w:tblW w:w="0" w:type="auto"/>
        <w:tblInd w:w="108" w:type="dxa"/>
        <w:tblLook w:val="04A0" w:firstRow="1" w:lastRow="0" w:firstColumn="1" w:lastColumn="0" w:noHBand="0" w:noVBand="1"/>
        <w:tblCaption w:val="Surgical treatments for lung cancer currently listed on the MBS"/>
        <w:tblDescription w:val="Surgical treatments for lung cancer currently listed on the MBS"/>
      </w:tblPr>
      <w:tblGrid>
        <w:gridCol w:w="9072"/>
      </w:tblGrid>
      <w:tr w:rsidR="00867601" w:rsidRPr="00867601" w14:paraId="0B6C5321" w14:textId="77777777" w:rsidTr="00C01747">
        <w:trPr>
          <w:tblHeader/>
        </w:trPr>
        <w:tc>
          <w:tcPr>
            <w:tcW w:w="9072" w:type="dxa"/>
            <w:shd w:val="clear" w:color="auto" w:fill="D9D9D9" w:themeFill="background1" w:themeFillShade="D9"/>
          </w:tcPr>
          <w:p w14:paraId="3C68615F" w14:textId="77777777" w:rsidR="00867601" w:rsidRPr="00B96893" w:rsidRDefault="00867601" w:rsidP="00351B9C">
            <w:pPr>
              <w:pStyle w:val="Tabletext1"/>
              <w:spacing w:line="288" w:lineRule="auto"/>
              <w:rPr>
                <w:b/>
                <w:lang w:eastAsia="en-US"/>
              </w:rPr>
            </w:pPr>
            <w:r w:rsidRPr="00B96893">
              <w:rPr>
                <w:b/>
                <w:lang w:eastAsia="en-US"/>
              </w:rPr>
              <w:t>Category 3 – Therapeutic Procedures</w:t>
            </w:r>
          </w:p>
        </w:tc>
      </w:tr>
      <w:tr w:rsidR="00867601" w:rsidRPr="00867601" w14:paraId="4FEA7576" w14:textId="77777777" w:rsidTr="00F452E0">
        <w:tc>
          <w:tcPr>
            <w:tcW w:w="9072" w:type="dxa"/>
            <w:shd w:val="clear" w:color="auto" w:fill="auto"/>
          </w:tcPr>
          <w:p w14:paraId="55BDD5C1" w14:textId="77777777" w:rsidR="00867601" w:rsidRPr="00C01747" w:rsidRDefault="00867601" w:rsidP="00351B9C">
            <w:pPr>
              <w:pStyle w:val="Tabletext1"/>
              <w:spacing w:line="288" w:lineRule="auto"/>
              <w:rPr>
                <w:b/>
                <w:lang w:eastAsia="en-US"/>
              </w:rPr>
            </w:pPr>
            <w:r w:rsidRPr="00C01747">
              <w:rPr>
                <w:b/>
                <w:lang w:eastAsia="en-US"/>
              </w:rPr>
              <w:t>MBS item 38418</w:t>
            </w:r>
          </w:p>
          <w:p w14:paraId="6EBE32DD" w14:textId="77777777" w:rsidR="00867601" w:rsidRPr="00867601" w:rsidRDefault="00867601" w:rsidP="00351B9C">
            <w:pPr>
              <w:pStyle w:val="Tabletext1"/>
              <w:spacing w:line="288" w:lineRule="auto"/>
              <w:rPr>
                <w:lang w:eastAsia="en-US"/>
              </w:rPr>
            </w:pPr>
            <w:r w:rsidRPr="00867601">
              <w:rPr>
                <w:lang w:eastAsia="en-US"/>
              </w:rPr>
              <w:t>THORACOTOMY, exploratory, with or without biopsy</w:t>
            </w:r>
          </w:p>
          <w:p w14:paraId="11B23BC1" w14:textId="77777777" w:rsidR="00867601" w:rsidRPr="00867601" w:rsidRDefault="00867601" w:rsidP="00351B9C">
            <w:pPr>
              <w:pStyle w:val="Tabletext1"/>
              <w:spacing w:line="288" w:lineRule="auto"/>
              <w:rPr>
                <w:lang w:eastAsia="en-US"/>
              </w:rPr>
            </w:pPr>
            <w:r w:rsidRPr="00867601">
              <w:rPr>
                <w:lang w:eastAsia="en-US"/>
              </w:rPr>
              <w:t>Multiple Services Rule</w:t>
            </w:r>
          </w:p>
          <w:p w14:paraId="7DAB0B24" w14:textId="77777777" w:rsidR="00867601" w:rsidRPr="00867601" w:rsidRDefault="00867601" w:rsidP="00351B9C">
            <w:pPr>
              <w:pStyle w:val="Tabletext1"/>
              <w:spacing w:line="288" w:lineRule="auto"/>
              <w:rPr>
                <w:lang w:eastAsia="en-US"/>
              </w:rPr>
            </w:pPr>
            <w:r w:rsidRPr="00867601">
              <w:rPr>
                <w:lang w:eastAsia="en-US"/>
              </w:rPr>
              <w:t>(Anaes.) (Assist.)</w:t>
            </w:r>
          </w:p>
          <w:p w14:paraId="25D74E7A" w14:textId="77777777" w:rsidR="00867601" w:rsidRPr="00867601" w:rsidRDefault="00867601" w:rsidP="00351B9C">
            <w:pPr>
              <w:pStyle w:val="Tabletext1"/>
              <w:spacing w:line="288" w:lineRule="auto"/>
              <w:rPr>
                <w:lang w:eastAsia="en-US"/>
              </w:rPr>
            </w:pPr>
            <w:r w:rsidRPr="00867601">
              <w:rPr>
                <w:lang w:eastAsia="en-US"/>
              </w:rPr>
              <w:t>Fee: $922.10</w:t>
            </w:r>
          </w:p>
        </w:tc>
      </w:tr>
      <w:tr w:rsidR="00867601" w:rsidRPr="00867601" w14:paraId="49085EE4" w14:textId="77777777" w:rsidTr="00F452E0">
        <w:tc>
          <w:tcPr>
            <w:tcW w:w="9072" w:type="dxa"/>
            <w:shd w:val="clear" w:color="auto" w:fill="auto"/>
          </w:tcPr>
          <w:p w14:paraId="70A91338" w14:textId="77777777" w:rsidR="00867601" w:rsidRPr="00C01747" w:rsidRDefault="00867601" w:rsidP="00351B9C">
            <w:pPr>
              <w:pStyle w:val="Tabletext1"/>
              <w:spacing w:line="288" w:lineRule="auto"/>
              <w:rPr>
                <w:b/>
                <w:lang w:eastAsia="en-US"/>
              </w:rPr>
            </w:pPr>
            <w:r w:rsidRPr="00C01747">
              <w:rPr>
                <w:b/>
                <w:lang w:eastAsia="en-US"/>
              </w:rPr>
              <w:t>MBS item 38421</w:t>
            </w:r>
          </w:p>
          <w:p w14:paraId="21534601" w14:textId="77777777" w:rsidR="00867601" w:rsidRPr="00867601" w:rsidRDefault="00867601" w:rsidP="00351B9C">
            <w:pPr>
              <w:pStyle w:val="Tabletext1"/>
              <w:spacing w:line="288" w:lineRule="auto"/>
              <w:rPr>
                <w:lang w:eastAsia="en-US"/>
              </w:rPr>
            </w:pPr>
            <w:r w:rsidRPr="00867601">
              <w:rPr>
                <w:lang w:eastAsia="en-US"/>
              </w:rPr>
              <w:t>THORACOTOMY, with pulmonary decortication</w:t>
            </w:r>
          </w:p>
          <w:p w14:paraId="12B1552E" w14:textId="77777777" w:rsidR="00867601" w:rsidRPr="00867601" w:rsidRDefault="00867601" w:rsidP="00351B9C">
            <w:pPr>
              <w:pStyle w:val="Tabletext1"/>
              <w:spacing w:line="288" w:lineRule="auto"/>
              <w:rPr>
                <w:lang w:eastAsia="en-US"/>
              </w:rPr>
            </w:pPr>
            <w:r w:rsidRPr="00867601">
              <w:rPr>
                <w:lang w:eastAsia="en-US"/>
              </w:rPr>
              <w:t>Multiple Services Rule</w:t>
            </w:r>
          </w:p>
          <w:p w14:paraId="381D7DC2" w14:textId="77777777" w:rsidR="00867601" w:rsidRPr="00867601" w:rsidRDefault="00867601" w:rsidP="00351B9C">
            <w:pPr>
              <w:pStyle w:val="Tabletext1"/>
              <w:spacing w:line="288" w:lineRule="auto"/>
              <w:rPr>
                <w:lang w:eastAsia="en-US"/>
              </w:rPr>
            </w:pPr>
            <w:r w:rsidRPr="00867601">
              <w:rPr>
                <w:lang w:eastAsia="en-US"/>
              </w:rPr>
              <w:t>(Anaes.) (Assist.)</w:t>
            </w:r>
          </w:p>
          <w:p w14:paraId="5E6E5038" w14:textId="77777777" w:rsidR="00867601" w:rsidRPr="00867601" w:rsidRDefault="00867601" w:rsidP="00351B9C">
            <w:pPr>
              <w:pStyle w:val="Tabletext1"/>
              <w:spacing w:line="288" w:lineRule="auto"/>
              <w:rPr>
                <w:lang w:eastAsia="en-US"/>
              </w:rPr>
            </w:pPr>
            <w:r w:rsidRPr="00867601">
              <w:rPr>
                <w:lang w:eastAsia="en-US"/>
              </w:rPr>
              <w:t>Fee: $1,473.95</w:t>
            </w:r>
          </w:p>
        </w:tc>
      </w:tr>
      <w:tr w:rsidR="00867601" w:rsidRPr="00867601" w14:paraId="68E6BA1C" w14:textId="77777777" w:rsidTr="00F452E0">
        <w:trPr>
          <w:trHeight w:val="416"/>
        </w:trPr>
        <w:tc>
          <w:tcPr>
            <w:tcW w:w="9072" w:type="dxa"/>
            <w:shd w:val="clear" w:color="auto" w:fill="auto"/>
          </w:tcPr>
          <w:p w14:paraId="612D35E8" w14:textId="77777777" w:rsidR="00867601" w:rsidRPr="00C01747" w:rsidRDefault="00867601" w:rsidP="00351B9C">
            <w:pPr>
              <w:pStyle w:val="Tabletext1"/>
              <w:spacing w:line="288" w:lineRule="auto"/>
              <w:rPr>
                <w:b/>
                <w:lang w:eastAsia="en-US"/>
              </w:rPr>
            </w:pPr>
            <w:r w:rsidRPr="00C01747">
              <w:rPr>
                <w:b/>
                <w:lang w:eastAsia="en-US"/>
              </w:rPr>
              <w:t>MBS item 38438</w:t>
            </w:r>
          </w:p>
          <w:p w14:paraId="1E79E065" w14:textId="77777777" w:rsidR="00867601" w:rsidRPr="00867601" w:rsidRDefault="00867601" w:rsidP="00351B9C">
            <w:pPr>
              <w:pStyle w:val="Tabletext1"/>
              <w:spacing w:line="288" w:lineRule="auto"/>
              <w:rPr>
                <w:lang w:eastAsia="en-US"/>
              </w:rPr>
            </w:pPr>
            <w:r w:rsidRPr="00867601">
              <w:rPr>
                <w:lang w:eastAsia="en-US"/>
              </w:rPr>
              <w:t>PNEUMONECTOMY or LOBECTOMY or SEGMENTECTOMY not being a service associated with a service to which Item</w:t>
            </w:r>
          </w:p>
          <w:p w14:paraId="44A257BC" w14:textId="77777777" w:rsidR="00867601" w:rsidRPr="00867601" w:rsidRDefault="00867601" w:rsidP="00351B9C">
            <w:pPr>
              <w:pStyle w:val="Tabletext1"/>
              <w:spacing w:line="288" w:lineRule="auto"/>
              <w:rPr>
                <w:lang w:eastAsia="en-US"/>
              </w:rPr>
            </w:pPr>
            <w:r w:rsidRPr="00867601">
              <w:rPr>
                <w:lang w:eastAsia="en-US"/>
              </w:rPr>
              <w:t>38418 applies</w:t>
            </w:r>
          </w:p>
          <w:p w14:paraId="230CA75B" w14:textId="77777777" w:rsidR="00867601" w:rsidRPr="00867601" w:rsidRDefault="00867601" w:rsidP="00351B9C">
            <w:pPr>
              <w:pStyle w:val="Tabletext1"/>
              <w:spacing w:line="288" w:lineRule="auto"/>
              <w:rPr>
                <w:lang w:eastAsia="en-US"/>
              </w:rPr>
            </w:pPr>
            <w:r w:rsidRPr="00867601">
              <w:rPr>
                <w:lang w:eastAsia="en-US"/>
              </w:rPr>
              <w:t>Multiple Services Rule</w:t>
            </w:r>
          </w:p>
          <w:p w14:paraId="377D22A7" w14:textId="77777777" w:rsidR="00867601" w:rsidRPr="00867601" w:rsidRDefault="00867601" w:rsidP="00351B9C">
            <w:pPr>
              <w:pStyle w:val="Tabletext1"/>
              <w:spacing w:line="288" w:lineRule="auto"/>
              <w:rPr>
                <w:lang w:eastAsia="en-US"/>
              </w:rPr>
            </w:pPr>
            <w:r w:rsidRPr="00867601">
              <w:rPr>
                <w:lang w:eastAsia="en-US"/>
              </w:rPr>
              <w:t>(Anaes.) (Assist.)</w:t>
            </w:r>
          </w:p>
          <w:p w14:paraId="56A73D47" w14:textId="77777777" w:rsidR="00867601" w:rsidRPr="00867601" w:rsidRDefault="00867601" w:rsidP="00351B9C">
            <w:pPr>
              <w:pStyle w:val="Tabletext1"/>
              <w:spacing w:line="288" w:lineRule="auto"/>
              <w:rPr>
                <w:lang w:eastAsia="en-US"/>
              </w:rPr>
            </w:pPr>
            <w:r w:rsidRPr="00867601">
              <w:rPr>
                <w:lang w:eastAsia="en-US"/>
              </w:rPr>
              <w:t>Fee: $1,473.95 Benefit: 75% = $1,149.00</w:t>
            </w:r>
          </w:p>
        </w:tc>
      </w:tr>
      <w:tr w:rsidR="00867601" w:rsidRPr="00867601" w14:paraId="6E8CD051" w14:textId="77777777" w:rsidTr="00F452E0">
        <w:tc>
          <w:tcPr>
            <w:tcW w:w="9072" w:type="dxa"/>
            <w:shd w:val="clear" w:color="auto" w:fill="auto"/>
          </w:tcPr>
          <w:p w14:paraId="767EC4E5" w14:textId="77777777" w:rsidR="00867601" w:rsidRPr="00C01747" w:rsidRDefault="00867601" w:rsidP="00351B9C">
            <w:pPr>
              <w:pStyle w:val="Tabletext1"/>
              <w:spacing w:line="288" w:lineRule="auto"/>
              <w:rPr>
                <w:b/>
                <w:lang w:eastAsia="en-US"/>
              </w:rPr>
            </w:pPr>
            <w:r w:rsidRPr="00C01747">
              <w:rPr>
                <w:b/>
                <w:lang w:eastAsia="en-US"/>
              </w:rPr>
              <w:t>MBS item 38440</w:t>
            </w:r>
          </w:p>
          <w:p w14:paraId="785487A3" w14:textId="77777777" w:rsidR="00867601" w:rsidRPr="00867601" w:rsidRDefault="00867601" w:rsidP="00351B9C">
            <w:pPr>
              <w:pStyle w:val="Tabletext1"/>
              <w:spacing w:line="288" w:lineRule="auto"/>
              <w:rPr>
                <w:lang w:eastAsia="en-US"/>
              </w:rPr>
            </w:pPr>
            <w:r w:rsidRPr="00867601">
              <w:rPr>
                <w:lang w:eastAsia="en-US"/>
              </w:rPr>
              <w:t>LUNG, wedge resection of</w:t>
            </w:r>
          </w:p>
          <w:p w14:paraId="5DE4818F" w14:textId="77777777" w:rsidR="00867601" w:rsidRPr="00867601" w:rsidRDefault="00867601" w:rsidP="00351B9C">
            <w:pPr>
              <w:pStyle w:val="Tabletext1"/>
              <w:spacing w:line="288" w:lineRule="auto"/>
              <w:rPr>
                <w:lang w:eastAsia="en-US"/>
              </w:rPr>
            </w:pPr>
            <w:r w:rsidRPr="00867601">
              <w:rPr>
                <w:lang w:eastAsia="en-US"/>
              </w:rPr>
              <w:t>Multiple Services Rule</w:t>
            </w:r>
          </w:p>
          <w:p w14:paraId="224B22D8" w14:textId="77777777" w:rsidR="00867601" w:rsidRPr="00867601" w:rsidRDefault="00867601" w:rsidP="00351B9C">
            <w:pPr>
              <w:pStyle w:val="Tabletext1"/>
              <w:spacing w:line="288" w:lineRule="auto"/>
              <w:rPr>
                <w:lang w:eastAsia="en-US"/>
              </w:rPr>
            </w:pPr>
            <w:r w:rsidRPr="00867601">
              <w:rPr>
                <w:lang w:eastAsia="en-US"/>
              </w:rPr>
              <w:t>(Anaes.) (Assist.)</w:t>
            </w:r>
          </w:p>
          <w:p w14:paraId="37846E6B" w14:textId="77777777" w:rsidR="00867601" w:rsidRPr="00867601" w:rsidRDefault="00867601" w:rsidP="00351B9C">
            <w:pPr>
              <w:pStyle w:val="Tabletext1"/>
              <w:spacing w:line="288" w:lineRule="auto"/>
              <w:rPr>
                <w:lang w:eastAsia="en-US"/>
              </w:rPr>
            </w:pPr>
            <w:r w:rsidRPr="00867601">
              <w:rPr>
                <w:lang w:eastAsia="en-US"/>
              </w:rPr>
              <w:t xml:space="preserve">Fee: $1,103.75 Benefit: 75% = </w:t>
            </w:r>
          </w:p>
        </w:tc>
      </w:tr>
      <w:tr w:rsidR="00867601" w:rsidRPr="00867601" w14:paraId="1D4EFCC4" w14:textId="77777777" w:rsidTr="00F452E0">
        <w:tc>
          <w:tcPr>
            <w:tcW w:w="9072" w:type="dxa"/>
            <w:shd w:val="clear" w:color="auto" w:fill="auto"/>
          </w:tcPr>
          <w:p w14:paraId="2B209E46" w14:textId="77777777" w:rsidR="00867601" w:rsidRPr="00C01747" w:rsidRDefault="00867601" w:rsidP="00351B9C">
            <w:pPr>
              <w:pStyle w:val="Tabletext1"/>
              <w:spacing w:line="288" w:lineRule="auto"/>
              <w:rPr>
                <w:b/>
                <w:lang w:eastAsia="en-US"/>
              </w:rPr>
            </w:pPr>
            <w:r w:rsidRPr="00C01747">
              <w:rPr>
                <w:b/>
                <w:lang w:eastAsia="en-US"/>
              </w:rPr>
              <w:t>MBS item 38441</w:t>
            </w:r>
          </w:p>
          <w:p w14:paraId="1D64BE2C" w14:textId="77777777" w:rsidR="00867601" w:rsidRPr="00867601" w:rsidRDefault="00867601" w:rsidP="00351B9C">
            <w:pPr>
              <w:pStyle w:val="Tabletext1"/>
              <w:spacing w:line="288" w:lineRule="auto"/>
              <w:rPr>
                <w:lang w:eastAsia="en-US"/>
              </w:rPr>
            </w:pPr>
            <w:r w:rsidRPr="00867601">
              <w:rPr>
                <w:lang w:eastAsia="en-US"/>
              </w:rPr>
              <w:t>RADICAL LOBECTOMY or PNEUMONECTOMY including resection of chest wall, diaphragm, pericardium, or formal</w:t>
            </w:r>
          </w:p>
          <w:p w14:paraId="3CE05030" w14:textId="77777777" w:rsidR="00867601" w:rsidRPr="00867601" w:rsidRDefault="00867601" w:rsidP="00351B9C">
            <w:pPr>
              <w:pStyle w:val="Tabletext1"/>
              <w:spacing w:line="288" w:lineRule="auto"/>
              <w:rPr>
                <w:lang w:eastAsia="en-US"/>
              </w:rPr>
            </w:pPr>
            <w:r w:rsidRPr="00867601">
              <w:rPr>
                <w:lang w:eastAsia="en-US"/>
              </w:rPr>
              <w:t>mediastinal node dissection</w:t>
            </w:r>
          </w:p>
          <w:p w14:paraId="04710FBE" w14:textId="77777777" w:rsidR="00867601" w:rsidRPr="00867601" w:rsidRDefault="00867601" w:rsidP="00351B9C">
            <w:pPr>
              <w:pStyle w:val="Tabletext1"/>
              <w:spacing w:line="288" w:lineRule="auto"/>
              <w:rPr>
                <w:lang w:eastAsia="en-US"/>
              </w:rPr>
            </w:pPr>
            <w:r w:rsidRPr="00867601">
              <w:rPr>
                <w:lang w:eastAsia="en-US"/>
              </w:rPr>
              <w:t>Multiple Services Rule</w:t>
            </w:r>
          </w:p>
          <w:p w14:paraId="00759863" w14:textId="77777777" w:rsidR="00867601" w:rsidRPr="00867601" w:rsidRDefault="00867601" w:rsidP="00351B9C">
            <w:pPr>
              <w:pStyle w:val="Tabletext1"/>
              <w:spacing w:line="288" w:lineRule="auto"/>
              <w:rPr>
                <w:lang w:eastAsia="en-US"/>
              </w:rPr>
            </w:pPr>
            <w:r w:rsidRPr="00867601">
              <w:rPr>
                <w:lang w:eastAsia="en-US"/>
              </w:rPr>
              <w:t>(Anaes.) (Assist.)</w:t>
            </w:r>
          </w:p>
          <w:p w14:paraId="3A63AF75" w14:textId="77777777" w:rsidR="00867601" w:rsidRPr="00867601" w:rsidRDefault="00867601" w:rsidP="00351B9C">
            <w:pPr>
              <w:pStyle w:val="Tabletext1"/>
              <w:spacing w:line="288" w:lineRule="auto"/>
              <w:rPr>
                <w:lang w:eastAsia="en-US"/>
              </w:rPr>
            </w:pPr>
            <w:r w:rsidRPr="00867601">
              <w:rPr>
                <w:lang w:eastAsia="en-US"/>
              </w:rPr>
              <w:t>Fee: $1,746.40 Benefit: 75% = $1,361.40</w:t>
            </w:r>
          </w:p>
        </w:tc>
      </w:tr>
    </w:tbl>
    <w:p w14:paraId="7A43A14C" w14:textId="77777777" w:rsidR="00867601" w:rsidRPr="00867601" w:rsidRDefault="00867601" w:rsidP="00867601">
      <w:pPr>
        <w:spacing w:after="200" w:line="276" w:lineRule="auto"/>
        <w:rPr>
          <w:rFonts w:eastAsia="Calibri" w:cs="Times New Roman"/>
          <w:b/>
          <w:lang w:eastAsia="en-US"/>
        </w:rPr>
      </w:pPr>
      <w:r w:rsidRPr="00867601">
        <w:rPr>
          <w:rFonts w:eastAsia="Calibri" w:cs="Times New Roman"/>
          <w:b/>
          <w:lang w:eastAsia="en-US"/>
        </w:rPr>
        <w:br w:type="page"/>
      </w:r>
    </w:p>
    <w:p w14:paraId="0F8FE65C" w14:textId="77777777" w:rsidR="005602D3" w:rsidRPr="00183E4D" w:rsidRDefault="005602D3" w:rsidP="00647EB9">
      <w:pPr>
        <w:pStyle w:val="Heading2"/>
        <w:numPr>
          <w:ilvl w:val="0"/>
          <w:numId w:val="7"/>
        </w:numPr>
      </w:pPr>
      <w:bookmarkStart w:id="157" w:name="_Toc381796446"/>
      <w:bookmarkStart w:id="158" w:name="_Toc460396023"/>
      <w:r w:rsidRPr="00183E4D">
        <w:lastRenderedPageBreak/>
        <w:t xml:space="preserve">Clinical </w:t>
      </w:r>
      <w:bookmarkEnd w:id="157"/>
      <w:r w:rsidR="00B0252E">
        <w:t>M</w:t>
      </w:r>
      <w:r w:rsidR="00715135">
        <w:t>anagement Algorithm(s)</w:t>
      </w:r>
      <w:bookmarkEnd w:id="158"/>
      <w:r w:rsidRPr="00183E4D">
        <w:t xml:space="preserve"> </w:t>
      </w:r>
    </w:p>
    <w:p w14:paraId="1E8513BE" w14:textId="77777777" w:rsidR="00DA5A56" w:rsidRPr="00DA5A56" w:rsidRDefault="00DA5A56" w:rsidP="00DA5A56">
      <w:r w:rsidRPr="00DA5A56">
        <w:t xml:space="preserve">The following algorithm, </w:t>
      </w:r>
      <w:r w:rsidR="003251A0">
        <w:fldChar w:fldCharType="begin"/>
      </w:r>
      <w:r w:rsidR="003251A0">
        <w:instrText xml:space="preserve"> REF _Ref457388097 \h </w:instrText>
      </w:r>
      <w:r w:rsidR="003251A0">
        <w:fldChar w:fldCharType="separate"/>
      </w:r>
      <w:r w:rsidR="00D170A5">
        <w:t xml:space="preserve">Figure </w:t>
      </w:r>
      <w:r w:rsidR="00D170A5">
        <w:rPr>
          <w:noProof/>
        </w:rPr>
        <w:t>2</w:t>
      </w:r>
      <w:r w:rsidR="003251A0">
        <w:fldChar w:fldCharType="end"/>
      </w:r>
      <w:r w:rsidRPr="00DA5A56">
        <w:t xml:space="preserve">, shows the current management of unresectable, early stage NSCLC. MTA is shown as an alternative to RFA and current best practice radiotherapy with or without chemotherapy. In the proposed algorithm, </w:t>
      </w:r>
      <w:r w:rsidR="003251A0">
        <w:fldChar w:fldCharType="begin"/>
      </w:r>
      <w:r w:rsidR="003251A0">
        <w:instrText xml:space="preserve"> REF _Ref457388102 \h </w:instrText>
      </w:r>
      <w:r w:rsidR="003251A0">
        <w:fldChar w:fldCharType="separate"/>
      </w:r>
      <w:r w:rsidR="00D170A5">
        <w:t xml:space="preserve">Figure </w:t>
      </w:r>
      <w:r w:rsidR="00D170A5">
        <w:rPr>
          <w:noProof/>
        </w:rPr>
        <w:t>3</w:t>
      </w:r>
      <w:r w:rsidR="003251A0">
        <w:fldChar w:fldCharType="end"/>
      </w:r>
      <w:r w:rsidRPr="00DA5A56">
        <w:t>, MTA is shown as an alternative to current best practice radiotherapy with or without chemotherapy.</w:t>
      </w:r>
    </w:p>
    <w:p w14:paraId="72531BF7" w14:textId="77777777" w:rsidR="00DA5A56" w:rsidRPr="00DA5A56" w:rsidRDefault="003251A0" w:rsidP="00DA5A56">
      <w:r>
        <w:fldChar w:fldCharType="begin"/>
      </w:r>
      <w:r>
        <w:instrText xml:space="preserve"> REF _Ref457388109 \h </w:instrText>
      </w:r>
      <w:r>
        <w:fldChar w:fldCharType="separate"/>
      </w:r>
      <w:r w:rsidR="00D170A5">
        <w:t xml:space="preserve">Figure </w:t>
      </w:r>
      <w:r w:rsidR="00D170A5">
        <w:rPr>
          <w:noProof/>
        </w:rPr>
        <w:t>4</w:t>
      </w:r>
      <w:r>
        <w:fldChar w:fldCharType="end"/>
      </w:r>
      <w:r w:rsidR="00DA5A56" w:rsidRPr="00DA5A56">
        <w:t xml:space="preserve"> shows the current clinical management algorithm for the management of pulmonary metastases in patients with the primary cancer under control. In this algorithm MTA is an alternative to RFA and radiotherapy with or without platinum-based chemotherapy in patients who are not eligible for surgical resection. </w:t>
      </w:r>
      <w:r>
        <w:fldChar w:fldCharType="begin"/>
      </w:r>
      <w:r>
        <w:instrText xml:space="preserve"> REF _Ref457388118 \h </w:instrText>
      </w:r>
      <w:r>
        <w:fldChar w:fldCharType="separate"/>
      </w:r>
      <w:r w:rsidR="00D170A5">
        <w:t xml:space="preserve">Figure </w:t>
      </w:r>
      <w:r w:rsidR="00D170A5">
        <w:rPr>
          <w:noProof/>
        </w:rPr>
        <w:t>5</w:t>
      </w:r>
      <w:r>
        <w:fldChar w:fldCharType="end"/>
      </w:r>
      <w:r w:rsidR="00DA5A56" w:rsidRPr="00DA5A56">
        <w:t xml:space="preserve">, the proposed algorithm shows MTA as a comparator both to radiotherapy with or without chemotherapy and as a comparator to surgery in both bilateral and unilateral disease. </w:t>
      </w:r>
    </w:p>
    <w:p w14:paraId="7964B88E" w14:textId="77777777" w:rsidR="00DA5A56" w:rsidRPr="00DA5A56" w:rsidRDefault="003251A0" w:rsidP="00DA5A56">
      <w:r>
        <w:fldChar w:fldCharType="begin"/>
      </w:r>
      <w:r>
        <w:instrText xml:space="preserve"> REF _Ref457388124 \h </w:instrText>
      </w:r>
      <w:r>
        <w:fldChar w:fldCharType="separate"/>
      </w:r>
      <w:r w:rsidR="00D170A5">
        <w:t xml:space="preserve">Figure </w:t>
      </w:r>
      <w:r w:rsidR="00D170A5">
        <w:rPr>
          <w:noProof/>
        </w:rPr>
        <w:t>6</w:t>
      </w:r>
      <w:r>
        <w:fldChar w:fldCharType="end"/>
      </w:r>
      <w:r w:rsidR="00DA5A56" w:rsidRPr="00DA5A56">
        <w:t xml:space="preserve"> and </w:t>
      </w:r>
      <w:r>
        <w:fldChar w:fldCharType="begin"/>
      </w:r>
      <w:r>
        <w:instrText xml:space="preserve"> REF _Ref457388128 \h </w:instrText>
      </w:r>
      <w:r>
        <w:fldChar w:fldCharType="separate"/>
      </w:r>
      <w:r w:rsidR="00D170A5">
        <w:t xml:space="preserve">Figure </w:t>
      </w:r>
      <w:r w:rsidR="00D170A5">
        <w:rPr>
          <w:noProof/>
        </w:rPr>
        <w:t>7</w:t>
      </w:r>
      <w:r>
        <w:fldChar w:fldCharType="end"/>
      </w:r>
      <w:r w:rsidR="00665DBB">
        <w:t xml:space="preserve"> </w:t>
      </w:r>
      <w:r w:rsidR="00DA5A56" w:rsidRPr="00DA5A56">
        <w:t xml:space="preserve">show the current and proposed clinical management algorithms for the palliative management of NSCLC and pulmonary metastases respectively. MTA is shown as an additional treatment option to conventional palliative treatments for NSCLC and pulmonary metastases. </w:t>
      </w:r>
    </w:p>
    <w:p w14:paraId="28091A18" w14:textId="77777777" w:rsidR="00665DBB" w:rsidRPr="00183E4D" w:rsidRDefault="00665DBB" w:rsidP="00665DBB">
      <w:r>
        <w:t>Although MTA is proposed as a replacement for RFA in each algorithm, there is currently no MBS item for RFA, and in practice, clinical input suggests that patients would more frequently be referred for current best practice radiotherapy than ablative procedures in each of the populations. In particular, clinical input has suggested that SBRT is currently the preferred radiotherapy option for populations one and two and hence from a reimbursement perspective SBRT would be the main comparator to MTA.</w:t>
      </w:r>
    </w:p>
    <w:p w14:paraId="003AE3F6" w14:textId="77777777" w:rsidR="00DA5A56" w:rsidRDefault="00DA5A56" w:rsidP="00DA5A56">
      <w:r>
        <w:br w:type="page"/>
      </w:r>
    </w:p>
    <w:p w14:paraId="6E4814A7" w14:textId="77777777" w:rsidR="00DA5A56" w:rsidRDefault="00FF3C3D" w:rsidP="00DA5A56">
      <w:pPr>
        <w:keepNext/>
        <w:spacing w:before="120" w:after="200" w:line="276" w:lineRule="auto"/>
        <w:ind w:left="567"/>
        <w:jc w:val="center"/>
        <w:rPr>
          <w:rFonts w:eastAsia="Calibri" w:cs="Arial"/>
          <w:lang w:eastAsia="en-US"/>
        </w:rPr>
      </w:pPr>
      <w:r w:rsidRPr="00DA5A56">
        <w:rPr>
          <w:rFonts w:eastAsia="Calibri" w:cs="Arial"/>
          <w:lang w:eastAsia="en-US"/>
        </w:rPr>
        <w:object w:dxaOrig="3344" w:dyaOrig="3766" w14:anchorId="1270CCC9">
          <v:shape id="_x0000_i1025" type="#_x0000_t75" alt="Current clinical management algorithm for the management of unresectable, early stage NSCLC with curative intent (Population One)" style="width:211.5pt;height:236.25pt" o:ole="">
            <v:imagedata r:id="rId25" o:title=""/>
          </v:shape>
          <o:OLEObject Type="Embed" ProgID="Visio.Drawing.11" ShapeID="_x0000_i1025" DrawAspect="Content" ObjectID="_1561961847" r:id="rId26"/>
        </w:object>
      </w:r>
    </w:p>
    <w:p w14:paraId="5E4D4507" w14:textId="77777777" w:rsidR="00DA5A56" w:rsidRDefault="00DA5A56" w:rsidP="002179B6">
      <w:pPr>
        <w:pStyle w:val="Caption"/>
        <w:ind w:left="1134" w:hanging="1134"/>
      </w:pPr>
      <w:bookmarkStart w:id="159" w:name="_Ref457388097"/>
      <w:bookmarkStart w:id="160" w:name="_Toc460515058"/>
      <w:r>
        <w:t xml:space="preserve">Figure </w:t>
      </w:r>
      <w:fldSimple w:instr=" SEQ Figure \* ARABIC ">
        <w:r w:rsidR="00D170A5">
          <w:rPr>
            <w:noProof/>
          </w:rPr>
          <w:t>2</w:t>
        </w:r>
      </w:fldSimple>
      <w:bookmarkEnd w:id="159"/>
      <w:r>
        <w:tab/>
      </w:r>
      <w:r w:rsidRPr="00DA5A56">
        <w:t>Current clinical management algorithm for the management of unresectable, early stage NSCLC with curative intent (</w:t>
      </w:r>
      <w:r w:rsidR="00B32444">
        <w:t>p</w:t>
      </w:r>
      <w:r w:rsidR="00B32444" w:rsidRPr="00DA5A56">
        <w:t xml:space="preserve">opulation </w:t>
      </w:r>
      <w:r w:rsidR="00B32444">
        <w:t>o</w:t>
      </w:r>
      <w:r w:rsidR="00B32444" w:rsidRPr="00DA5A56">
        <w:t>ne</w:t>
      </w:r>
      <w:r w:rsidRPr="00DA5A56">
        <w:t>)</w:t>
      </w:r>
      <w:bookmarkEnd w:id="160"/>
    </w:p>
    <w:p w14:paraId="555DF73B" w14:textId="77777777" w:rsidR="006B7209" w:rsidRDefault="006B7209" w:rsidP="00654AC4">
      <w:pPr>
        <w:pStyle w:val="Tablenotes0"/>
        <w:ind w:left="567" w:firstLine="567"/>
        <w:rPr>
          <w:snapToGrid/>
        </w:rPr>
      </w:pPr>
      <w:r>
        <w:rPr>
          <w:snapToGrid/>
        </w:rPr>
        <w:t xml:space="preserve">&lt; </w:t>
      </w:r>
      <w:r w:rsidR="004906BC" w:rsidRPr="00B14A4B">
        <w:rPr>
          <w:snapToGrid/>
        </w:rPr>
        <w:t xml:space="preserve">NSCLC = non-small cell lung </w:t>
      </w:r>
      <w:r w:rsidR="004906BC" w:rsidRPr="009016FC">
        <w:t>cancer</w:t>
      </w:r>
      <w:r w:rsidR="004906BC" w:rsidRPr="00B14A4B">
        <w:rPr>
          <w:snapToGrid/>
        </w:rPr>
        <w:t>; RFA = radiofrequency ablation; SBRT =</w:t>
      </w:r>
      <w:r>
        <w:rPr>
          <w:snapToGrid/>
        </w:rPr>
        <w:t xml:space="preserve"> stereotactic body radiotherapy &gt;</w:t>
      </w:r>
    </w:p>
    <w:p w14:paraId="10E27C89" w14:textId="77777777" w:rsidR="00DA5A56" w:rsidRPr="00B14A4B" w:rsidRDefault="00DA5A56" w:rsidP="00654AC4">
      <w:pPr>
        <w:pStyle w:val="Tablenotes0"/>
        <w:ind w:left="567" w:firstLine="567"/>
      </w:pPr>
      <w:r w:rsidRPr="00B14A4B">
        <w:rPr>
          <w:snapToGrid/>
        </w:rPr>
        <w:t>*Stage IIA patients are consid</w:t>
      </w:r>
      <w:r w:rsidR="006B7209">
        <w:rPr>
          <w:snapToGrid/>
        </w:rPr>
        <w:t>ered to be unsuitable for SBRT.</w:t>
      </w:r>
    </w:p>
    <w:p w14:paraId="5BD04F09" w14:textId="77777777" w:rsidR="00DA5A56" w:rsidRPr="00DA5A56" w:rsidRDefault="00DA5A56" w:rsidP="00DB5058"/>
    <w:p w14:paraId="6175001B" w14:textId="77777777" w:rsidR="00DA5A56" w:rsidRDefault="00DB5058" w:rsidP="00DA5A56">
      <w:pPr>
        <w:keepNext/>
        <w:spacing w:before="120" w:after="200" w:line="276" w:lineRule="auto"/>
        <w:ind w:left="567"/>
        <w:jc w:val="center"/>
      </w:pPr>
      <w:r w:rsidRPr="00DA5A56">
        <w:rPr>
          <w:rFonts w:eastAsia="Calibri" w:cs="Arial"/>
          <w:lang w:eastAsia="en-US"/>
        </w:rPr>
        <w:object w:dxaOrig="3811" w:dyaOrig="3939" w14:anchorId="0C6CF431">
          <v:shape id="_x0000_i1026" type="#_x0000_t75" alt="Proposed clinical management algorithm for the management of unresectable, early stage NSCLC with curative intent (Population One)" style="width:232.5pt;height:243.75pt" o:ole="">
            <v:imagedata r:id="rId27" o:title=""/>
          </v:shape>
          <o:OLEObject Type="Embed" ProgID="Visio.Drawing.11" ShapeID="_x0000_i1026" DrawAspect="Content" ObjectID="_1561961848" r:id="rId28"/>
        </w:object>
      </w:r>
    </w:p>
    <w:p w14:paraId="609204F7" w14:textId="77777777" w:rsidR="00DA5A56" w:rsidRPr="00DA5A56" w:rsidRDefault="00DA5A56" w:rsidP="00E55062">
      <w:pPr>
        <w:pStyle w:val="Caption"/>
        <w:ind w:left="1134" w:hanging="1134"/>
        <w:rPr>
          <w:rFonts w:eastAsia="Calibri" w:cs="Arial"/>
          <w:lang w:eastAsia="en-US"/>
        </w:rPr>
      </w:pPr>
      <w:bookmarkStart w:id="161" w:name="_Ref457388102"/>
      <w:bookmarkStart w:id="162" w:name="_Toc460515059"/>
      <w:r>
        <w:t xml:space="preserve">Figure </w:t>
      </w:r>
      <w:fldSimple w:instr=" SEQ Figure \* ARABIC ">
        <w:r w:rsidR="00D170A5">
          <w:rPr>
            <w:noProof/>
          </w:rPr>
          <w:t>3</w:t>
        </w:r>
      </w:fldSimple>
      <w:bookmarkEnd w:id="161"/>
      <w:r>
        <w:tab/>
      </w:r>
      <w:r w:rsidRPr="00DA5A56">
        <w:t>Proposed clinical management algorithm for the management of unresectable, early stage NSCLC with curative intent (</w:t>
      </w:r>
      <w:r w:rsidR="00B32444">
        <w:t>p</w:t>
      </w:r>
      <w:r w:rsidRPr="00DA5A56">
        <w:t xml:space="preserve">opulation </w:t>
      </w:r>
      <w:r w:rsidR="00B32444">
        <w:t>o</w:t>
      </w:r>
      <w:r w:rsidR="00B32444" w:rsidRPr="00DA5A56">
        <w:t>ne</w:t>
      </w:r>
      <w:r w:rsidRPr="00DA5A56">
        <w:t>)</w:t>
      </w:r>
      <w:bookmarkEnd w:id="162"/>
    </w:p>
    <w:p w14:paraId="5CD56CEB" w14:textId="77777777" w:rsidR="004906BC" w:rsidRPr="00DB5058" w:rsidRDefault="00DB5058" w:rsidP="00654AC4">
      <w:pPr>
        <w:pStyle w:val="Tablenotes0"/>
        <w:ind w:left="567" w:firstLine="567"/>
      </w:pPr>
      <w:r w:rsidRPr="00DB5058">
        <w:t>&lt;</w:t>
      </w:r>
      <w:r w:rsidR="004906BC" w:rsidRPr="00DB5058">
        <w:t xml:space="preserve">MTA = microwave tissue ablation; </w:t>
      </w:r>
      <w:r w:rsidR="004906BC" w:rsidRPr="009016FC">
        <w:t>NSCLC</w:t>
      </w:r>
      <w:r w:rsidR="004906BC" w:rsidRPr="00DB5058">
        <w:t xml:space="preserve"> = non-small cell lung cancer; SBRT =</w:t>
      </w:r>
      <w:r w:rsidRPr="00DB5058">
        <w:t xml:space="preserve"> stereotactic body radiotherapy &gt;</w:t>
      </w:r>
    </w:p>
    <w:p w14:paraId="02C05083" w14:textId="77777777" w:rsidR="00DA5A56" w:rsidRPr="00DB5058" w:rsidRDefault="00DA5A56" w:rsidP="00654AC4">
      <w:pPr>
        <w:pStyle w:val="Tablenotes0"/>
        <w:ind w:left="567" w:firstLine="567"/>
        <w:rPr>
          <w:rFonts w:eastAsia="Calibri"/>
        </w:rPr>
      </w:pPr>
      <w:r w:rsidRPr="00DB5058">
        <w:t>*Stage IIA patients are considered to be unsuitable for SBRT.</w:t>
      </w:r>
      <w:r w:rsidR="00F452E0" w:rsidRPr="00DB5058">
        <w:t xml:space="preserve"> </w:t>
      </w:r>
    </w:p>
    <w:p w14:paraId="26DD5C9A" w14:textId="76DF0845" w:rsidR="00DA5A56" w:rsidRDefault="008D1B5A" w:rsidP="008D1B5A">
      <w:pPr>
        <w:keepNext/>
        <w:spacing w:before="120" w:after="200" w:line="276" w:lineRule="auto"/>
        <w:ind w:left="567"/>
      </w:pPr>
      <w:r w:rsidRPr="00DA5A56">
        <w:rPr>
          <w:rFonts w:eastAsia="Calibri" w:cs="Arial"/>
          <w:lang w:eastAsia="en-US"/>
        </w:rPr>
        <w:object w:dxaOrig="5604" w:dyaOrig="8616" w14:anchorId="4AE0C5FB">
          <v:shape id="_x0000_i1027" type="#_x0000_t75" alt="Current clinical management algorithm for the management of pulmonary metastases with curative intent  in patients with the primary cancer under control (Population Two)" style="width:370.5pt;height:603pt" o:ole="">
            <v:imagedata r:id="rId29" o:title=""/>
          </v:shape>
          <o:OLEObject Type="Embed" ProgID="Visio.Drawing.11" ShapeID="_x0000_i1027" DrawAspect="Content" ObjectID="_1561961849" r:id="rId30"/>
        </w:object>
      </w:r>
    </w:p>
    <w:p w14:paraId="15363D77" w14:textId="77777777" w:rsidR="00DA5A56" w:rsidRPr="00DA5A56" w:rsidRDefault="00DA5A56" w:rsidP="00FF7855">
      <w:pPr>
        <w:pStyle w:val="Caption"/>
        <w:ind w:left="1134" w:hanging="1134"/>
        <w:rPr>
          <w:rFonts w:eastAsia="Calibri" w:cs="Arial"/>
          <w:lang w:eastAsia="en-US"/>
        </w:rPr>
      </w:pPr>
      <w:bookmarkStart w:id="163" w:name="_Ref457388109"/>
      <w:bookmarkStart w:id="164" w:name="_Toc460515060"/>
      <w:r>
        <w:t xml:space="preserve">Figure </w:t>
      </w:r>
      <w:r w:rsidR="00972268">
        <w:fldChar w:fldCharType="begin"/>
      </w:r>
      <w:r w:rsidR="00972268">
        <w:instrText xml:space="preserve"> SEQ Figure \* ARABIC </w:instrText>
      </w:r>
      <w:r w:rsidR="00972268">
        <w:fldChar w:fldCharType="separate"/>
      </w:r>
      <w:proofErr w:type="gramStart"/>
      <w:r w:rsidR="00D170A5">
        <w:rPr>
          <w:noProof/>
        </w:rPr>
        <w:t>4</w:t>
      </w:r>
      <w:r w:rsidR="00972268">
        <w:rPr>
          <w:noProof/>
        </w:rPr>
        <w:fldChar w:fldCharType="end"/>
      </w:r>
      <w:bookmarkEnd w:id="163"/>
      <w:r>
        <w:tab/>
      </w:r>
      <w:r w:rsidRPr="00DA5A56">
        <w:rPr>
          <w:rFonts w:eastAsia="Calibri" w:cs="Arial"/>
          <w:lang w:eastAsia="en-US"/>
        </w:rPr>
        <w:t>Current clinical management algorithm</w:t>
      </w:r>
      <w:proofErr w:type="gramEnd"/>
      <w:r w:rsidRPr="00DA5A56">
        <w:rPr>
          <w:rFonts w:eastAsia="Calibri" w:cs="Arial"/>
          <w:lang w:eastAsia="en-US"/>
        </w:rPr>
        <w:t xml:space="preserve"> for the management of </w:t>
      </w:r>
      <w:r w:rsidR="004906BC" w:rsidRPr="00DA5A56">
        <w:t>pulmonary metastases</w:t>
      </w:r>
      <w:r w:rsidRPr="00DA5A56">
        <w:rPr>
          <w:rFonts w:eastAsia="Calibri" w:cs="Arial"/>
          <w:lang w:eastAsia="en-US"/>
        </w:rPr>
        <w:t xml:space="preserve"> in patients with the primary cancer under control (</w:t>
      </w:r>
      <w:r w:rsidR="00B32444">
        <w:rPr>
          <w:rFonts w:eastAsia="Calibri" w:cs="Arial"/>
          <w:lang w:eastAsia="en-US"/>
        </w:rPr>
        <w:t>p</w:t>
      </w:r>
      <w:r w:rsidRPr="00DA5A56">
        <w:rPr>
          <w:rFonts w:eastAsia="Calibri" w:cs="Arial"/>
          <w:lang w:eastAsia="en-US"/>
        </w:rPr>
        <w:t xml:space="preserve">opulation </w:t>
      </w:r>
      <w:r w:rsidR="00B32444">
        <w:rPr>
          <w:rFonts w:eastAsia="Calibri" w:cs="Arial"/>
          <w:lang w:eastAsia="en-US"/>
        </w:rPr>
        <w:t>t</w:t>
      </w:r>
      <w:r w:rsidRPr="00DA5A56">
        <w:rPr>
          <w:rFonts w:eastAsia="Calibri" w:cs="Arial"/>
          <w:lang w:eastAsia="en-US"/>
        </w:rPr>
        <w:t>wo)</w:t>
      </w:r>
      <w:bookmarkEnd w:id="164"/>
    </w:p>
    <w:p w14:paraId="5CE0CD94" w14:textId="77777777" w:rsidR="00DA5A56" w:rsidRPr="00B14A4B" w:rsidRDefault="001D7758" w:rsidP="00654AC4">
      <w:pPr>
        <w:pStyle w:val="Tablenotes0"/>
        <w:ind w:left="567" w:firstLine="567"/>
        <w:rPr>
          <w:lang w:eastAsia="en-AU"/>
        </w:rPr>
      </w:pPr>
      <w:r>
        <w:rPr>
          <w:snapToGrid/>
          <w:lang w:eastAsia="en-AU"/>
        </w:rPr>
        <w:t xml:space="preserve">&lt; </w:t>
      </w:r>
      <w:r w:rsidR="00DA5A56" w:rsidRPr="00B14A4B">
        <w:rPr>
          <w:snapToGrid/>
          <w:lang w:eastAsia="en-AU"/>
        </w:rPr>
        <w:t>RFA = radiofrequency ablation</w:t>
      </w:r>
      <w:r w:rsidR="004906BC" w:rsidRPr="00B14A4B">
        <w:rPr>
          <w:snapToGrid/>
          <w:lang w:eastAsia="en-AU"/>
        </w:rPr>
        <w:t xml:space="preserve">; </w:t>
      </w:r>
      <w:r w:rsidR="00DA5A56" w:rsidRPr="00B14A4B">
        <w:rPr>
          <w:snapToGrid/>
          <w:lang w:eastAsia="en-AU"/>
        </w:rPr>
        <w:t xml:space="preserve">VATS = </w:t>
      </w:r>
      <w:r w:rsidR="00DA5A56" w:rsidRPr="009016FC">
        <w:t>Video</w:t>
      </w:r>
      <w:r>
        <w:rPr>
          <w:snapToGrid/>
          <w:lang w:eastAsia="en-AU"/>
        </w:rPr>
        <w:t>-assisted thoracoscopic surgery &gt;</w:t>
      </w:r>
    </w:p>
    <w:p w14:paraId="373B8E51" w14:textId="72599DE0" w:rsidR="00DA5A56" w:rsidRDefault="008D1B5A" w:rsidP="00DA5A56">
      <w:pPr>
        <w:keepNext/>
        <w:spacing w:after="200" w:line="276" w:lineRule="auto"/>
      </w:pPr>
      <w:r w:rsidRPr="00DA5A56">
        <w:rPr>
          <w:rFonts w:eastAsia="Calibri" w:cs="Times New Roman"/>
          <w:lang w:eastAsia="en-US"/>
        </w:rPr>
        <w:object w:dxaOrig="7756" w:dyaOrig="8616" w14:anchorId="2C180148">
          <v:shape id="_x0000_i1028" type="#_x0000_t75" alt="Proposed clinical management algorithm for the management of pulmonary metastases  with curative intent in patients with the primary cancer under control (Population Two)" style="width:443.25pt;height:548.25pt" o:ole="">
            <v:imagedata r:id="rId31" o:title=""/>
          </v:shape>
          <o:OLEObject Type="Embed" ProgID="Visio.Drawing.11" ShapeID="_x0000_i1028" DrawAspect="Content" ObjectID="_1561961850" r:id="rId32"/>
        </w:object>
      </w:r>
    </w:p>
    <w:p w14:paraId="02CF9451" w14:textId="77777777" w:rsidR="00DA5A56" w:rsidRPr="00DA5A56" w:rsidRDefault="00DA5A56" w:rsidP="008B2F62">
      <w:pPr>
        <w:pStyle w:val="Caption"/>
        <w:ind w:left="1134" w:hanging="1134"/>
        <w:rPr>
          <w:rFonts w:eastAsia="Calibri" w:cs="Times New Roman"/>
          <w:szCs w:val="20"/>
          <w:lang w:eastAsia="en-US"/>
        </w:rPr>
      </w:pPr>
      <w:bookmarkStart w:id="165" w:name="_Ref457388118"/>
      <w:bookmarkStart w:id="166" w:name="_Toc460515061"/>
      <w:r>
        <w:t xml:space="preserve">Figure </w:t>
      </w:r>
      <w:fldSimple w:instr=" SEQ Figure \* ARABIC ">
        <w:r w:rsidR="00D170A5">
          <w:rPr>
            <w:noProof/>
          </w:rPr>
          <w:t>5</w:t>
        </w:r>
      </w:fldSimple>
      <w:bookmarkEnd w:id="165"/>
      <w:r>
        <w:tab/>
      </w:r>
      <w:r w:rsidRPr="00DA5A56">
        <w:t>Proposed clinical management algorithm for the management of pulmonary metastases with curative intent in patients with the primary cancer under control (</w:t>
      </w:r>
      <w:r w:rsidR="00B32444">
        <w:t>p</w:t>
      </w:r>
      <w:r w:rsidRPr="00DA5A56">
        <w:t xml:space="preserve">opulation </w:t>
      </w:r>
      <w:r w:rsidR="00B32444">
        <w:t>t</w:t>
      </w:r>
      <w:r w:rsidRPr="00DA5A56">
        <w:t>wo)</w:t>
      </w:r>
      <w:bookmarkEnd w:id="166"/>
    </w:p>
    <w:p w14:paraId="7079A790" w14:textId="77777777" w:rsidR="00DA5A56" w:rsidRPr="00B14A4B" w:rsidRDefault="00AA6A06" w:rsidP="00654AC4">
      <w:pPr>
        <w:pStyle w:val="Tablenotes0"/>
        <w:ind w:left="567" w:firstLine="567"/>
        <w:rPr>
          <w:lang w:eastAsia="en-AU"/>
        </w:rPr>
      </w:pPr>
      <w:r>
        <w:rPr>
          <w:snapToGrid/>
          <w:lang w:eastAsia="en-AU"/>
        </w:rPr>
        <w:t xml:space="preserve">&lt; </w:t>
      </w:r>
      <w:r w:rsidR="00DA5A56" w:rsidRPr="00B14A4B">
        <w:rPr>
          <w:snapToGrid/>
          <w:lang w:eastAsia="en-AU"/>
        </w:rPr>
        <w:t xml:space="preserve">MTA = microwave tissue </w:t>
      </w:r>
      <w:r w:rsidR="00DA5A56" w:rsidRPr="009016FC">
        <w:t>ablation</w:t>
      </w:r>
      <w:r w:rsidR="004906BC" w:rsidRPr="00B14A4B">
        <w:rPr>
          <w:snapToGrid/>
          <w:lang w:eastAsia="en-AU"/>
        </w:rPr>
        <w:t xml:space="preserve">; </w:t>
      </w:r>
      <w:r w:rsidR="00DA5A56" w:rsidRPr="00B14A4B">
        <w:rPr>
          <w:snapToGrid/>
          <w:lang w:eastAsia="en-AU"/>
        </w:rPr>
        <w:t>VATS = vid</w:t>
      </w:r>
      <w:r>
        <w:rPr>
          <w:snapToGrid/>
          <w:lang w:eastAsia="en-AU"/>
        </w:rPr>
        <w:t>eo-assisted thorascopic surgery &gt;</w:t>
      </w:r>
    </w:p>
    <w:p w14:paraId="061E2BBD" w14:textId="77777777" w:rsidR="000D5DFB" w:rsidRDefault="00285CC6" w:rsidP="000D5DFB">
      <w:pPr>
        <w:keepNext/>
        <w:spacing w:before="120" w:after="200" w:line="276" w:lineRule="auto"/>
        <w:ind w:left="567"/>
        <w:jc w:val="center"/>
      </w:pPr>
      <w:r w:rsidRPr="00DA5A56">
        <w:rPr>
          <w:rFonts w:eastAsia="Calibri" w:cs="Arial"/>
          <w:lang w:eastAsia="en-US"/>
        </w:rPr>
        <w:object w:dxaOrig="3117" w:dyaOrig="3182" w14:anchorId="2FF5EB7E">
          <v:shape id="_x0000_i1029" type="#_x0000_t75" alt="Current clinical management algorithm for the palliative management of NSCLC and pulmonary metastases (Population Three)" style="width:218.25pt;height:222pt" o:ole="">
            <v:imagedata r:id="rId33" o:title=""/>
          </v:shape>
          <o:OLEObject Type="Embed" ProgID="Visio.Drawing.11" ShapeID="_x0000_i1029" DrawAspect="Content" ObjectID="_1561961851" r:id="rId34"/>
        </w:object>
      </w:r>
    </w:p>
    <w:p w14:paraId="4E80B5C5" w14:textId="77777777" w:rsidR="00DA5A56" w:rsidRPr="00DA5A56" w:rsidRDefault="000D5DFB" w:rsidP="008A6C09">
      <w:pPr>
        <w:pStyle w:val="Caption"/>
        <w:ind w:left="1140" w:hanging="1140"/>
        <w:rPr>
          <w:rFonts w:eastAsia="Calibri" w:cs="Arial"/>
          <w:lang w:eastAsia="en-US"/>
        </w:rPr>
      </w:pPr>
      <w:bookmarkStart w:id="167" w:name="_Ref457388124"/>
      <w:bookmarkStart w:id="168" w:name="_Toc460515062"/>
      <w:r>
        <w:t xml:space="preserve">Figure </w:t>
      </w:r>
      <w:r w:rsidR="00972268">
        <w:fldChar w:fldCharType="begin"/>
      </w:r>
      <w:r w:rsidR="00972268">
        <w:instrText xml:space="preserve"> SEQ Figure \* ARABIC </w:instrText>
      </w:r>
      <w:r w:rsidR="00972268">
        <w:fldChar w:fldCharType="separate"/>
      </w:r>
      <w:proofErr w:type="gramStart"/>
      <w:r w:rsidR="00D170A5">
        <w:rPr>
          <w:noProof/>
        </w:rPr>
        <w:t>6</w:t>
      </w:r>
      <w:r w:rsidR="00972268">
        <w:rPr>
          <w:noProof/>
        </w:rPr>
        <w:fldChar w:fldCharType="end"/>
      </w:r>
      <w:bookmarkEnd w:id="167"/>
      <w:r>
        <w:tab/>
      </w:r>
      <w:r w:rsidRPr="000D5DFB">
        <w:t>Current clinical management algorithm</w:t>
      </w:r>
      <w:proofErr w:type="gramEnd"/>
      <w:r w:rsidRPr="000D5DFB">
        <w:t xml:space="preserve"> for the palliative management of NSCLC and pulmonary metastases (</w:t>
      </w:r>
      <w:r w:rsidR="00B32444">
        <w:t>p</w:t>
      </w:r>
      <w:r w:rsidRPr="000D5DFB">
        <w:t xml:space="preserve">opulation </w:t>
      </w:r>
      <w:r w:rsidR="00B32444">
        <w:t>t</w:t>
      </w:r>
      <w:r w:rsidRPr="000D5DFB">
        <w:t>hree)</w:t>
      </w:r>
      <w:bookmarkEnd w:id="168"/>
    </w:p>
    <w:p w14:paraId="3ACA24AD" w14:textId="77777777" w:rsidR="00DA5A56" w:rsidRPr="00B14A4B" w:rsidRDefault="00285CC6" w:rsidP="008A6C09">
      <w:pPr>
        <w:pStyle w:val="Tablenotes0"/>
        <w:ind w:left="567" w:firstLine="567"/>
        <w:rPr>
          <w:lang w:eastAsia="en-AU"/>
        </w:rPr>
      </w:pPr>
      <w:r>
        <w:rPr>
          <w:snapToGrid/>
          <w:lang w:eastAsia="en-AU"/>
        </w:rPr>
        <w:t xml:space="preserve">&lt; </w:t>
      </w:r>
      <w:r w:rsidR="00DA5A56" w:rsidRPr="00B14A4B">
        <w:rPr>
          <w:snapToGrid/>
          <w:lang w:eastAsia="en-AU"/>
        </w:rPr>
        <w:t>NSCLC = non-small cell lung cancer</w:t>
      </w:r>
      <w:r>
        <w:rPr>
          <w:snapToGrid/>
          <w:lang w:eastAsia="en-AU"/>
        </w:rPr>
        <w:t xml:space="preserve"> &gt;</w:t>
      </w:r>
    </w:p>
    <w:p w14:paraId="7BBA5A4B" w14:textId="77777777" w:rsidR="000D5DFB" w:rsidRDefault="00285CC6" w:rsidP="000D5DFB">
      <w:pPr>
        <w:keepNext/>
        <w:spacing w:before="120" w:after="200" w:line="276" w:lineRule="auto"/>
        <w:ind w:left="567"/>
        <w:jc w:val="center"/>
      </w:pPr>
      <w:r w:rsidRPr="00DA5A56">
        <w:rPr>
          <w:rFonts w:eastAsia="Calibri" w:cs="Arial"/>
          <w:lang w:eastAsia="en-US"/>
        </w:rPr>
        <w:object w:dxaOrig="4149" w:dyaOrig="3868" w14:anchorId="08580D6E">
          <v:shape id="_x0000_i1030" type="#_x0000_t75" alt="Proposed clinical management algorithm for the palliative management of NSCLC and pulmonary metastases (Population Three)" style="width:285pt;height:264.75pt" o:ole="">
            <v:imagedata r:id="rId35" o:title=""/>
          </v:shape>
          <o:OLEObject Type="Embed" ProgID="Visio.Drawing.11" ShapeID="_x0000_i1030" DrawAspect="Content" ObjectID="_1561961852" r:id="rId36"/>
        </w:object>
      </w:r>
    </w:p>
    <w:p w14:paraId="3726F957" w14:textId="77777777" w:rsidR="00DA5A56" w:rsidRPr="00DA5A56" w:rsidRDefault="000D5DFB" w:rsidP="008A6C09">
      <w:pPr>
        <w:pStyle w:val="Caption"/>
        <w:ind w:left="1134" w:hanging="1134"/>
        <w:rPr>
          <w:rFonts w:eastAsia="Calibri" w:cs="Arial"/>
          <w:lang w:eastAsia="en-US"/>
        </w:rPr>
      </w:pPr>
      <w:bookmarkStart w:id="169" w:name="_Ref457388128"/>
      <w:bookmarkStart w:id="170" w:name="_Toc460515063"/>
      <w:r>
        <w:t xml:space="preserve">Figure </w:t>
      </w:r>
      <w:fldSimple w:instr=" SEQ Figure \* ARABIC ">
        <w:r w:rsidR="00D170A5">
          <w:rPr>
            <w:noProof/>
          </w:rPr>
          <w:t>7</w:t>
        </w:r>
      </w:fldSimple>
      <w:bookmarkEnd w:id="169"/>
      <w:r>
        <w:tab/>
      </w:r>
      <w:r w:rsidRPr="000D5DFB">
        <w:t>Proposed clinical management algorithm for the palliative management of NSCLC and pulmonary metastases (</w:t>
      </w:r>
      <w:r w:rsidR="00B32444">
        <w:t>p</w:t>
      </w:r>
      <w:r w:rsidRPr="000D5DFB">
        <w:t xml:space="preserve">opulation </w:t>
      </w:r>
      <w:r w:rsidR="00B32444">
        <w:t>t</w:t>
      </w:r>
      <w:r w:rsidRPr="000D5DFB">
        <w:t>hree)</w:t>
      </w:r>
      <w:bookmarkEnd w:id="170"/>
    </w:p>
    <w:p w14:paraId="6D384F73" w14:textId="77777777" w:rsidR="00DA5A56" w:rsidRPr="00B14A4B" w:rsidRDefault="00285CC6" w:rsidP="008A6C09">
      <w:pPr>
        <w:pStyle w:val="Tablenotes0"/>
        <w:ind w:left="567" w:firstLine="567"/>
      </w:pPr>
      <w:r>
        <w:rPr>
          <w:snapToGrid/>
          <w:lang w:eastAsia="en-AU"/>
        </w:rPr>
        <w:t xml:space="preserve">&lt; </w:t>
      </w:r>
      <w:r w:rsidR="00DA5A56" w:rsidRPr="00B14A4B">
        <w:rPr>
          <w:snapToGrid/>
          <w:lang w:eastAsia="en-AU"/>
        </w:rPr>
        <w:t>MTA = microwave tissue ablation</w:t>
      </w:r>
      <w:r w:rsidR="004906BC" w:rsidRPr="00B14A4B">
        <w:rPr>
          <w:snapToGrid/>
          <w:lang w:eastAsia="en-AU"/>
        </w:rPr>
        <w:t>;</w:t>
      </w:r>
      <w:r w:rsidR="00DA5A56" w:rsidRPr="00B14A4B">
        <w:rPr>
          <w:snapToGrid/>
          <w:lang w:eastAsia="en-AU"/>
        </w:rPr>
        <w:t xml:space="preserve"> NSC</w:t>
      </w:r>
      <w:r>
        <w:rPr>
          <w:snapToGrid/>
          <w:lang w:eastAsia="en-AU"/>
        </w:rPr>
        <w:t>LC = non-</w:t>
      </w:r>
      <w:r w:rsidRPr="009016FC">
        <w:t>small</w:t>
      </w:r>
      <w:r>
        <w:rPr>
          <w:snapToGrid/>
          <w:lang w:eastAsia="en-AU"/>
        </w:rPr>
        <w:t xml:space="preserve"> cell lung cancer &gt;</w:t>
      </w:r>
    </w:p>
    <w:p w14:paraId="244CEE9B" w14:textId="77777777" w:rsidR="00255B28" w:rsidRDefault="00255B28" w:rsidP="00DF343F"/>
    <w:p w14:paraId="366A85A7" w14:textId="77777777" w:rsidR="005354F8" w:rsidRPr="00183E4D" w:rsidRDefault="005354F8" w:rsidP="00647EB9">
      <w:pPr>
        <w:pStyle w:val="Heading2"/>
        <w:numPr>
          <w:ilvl w:val="0"/>
          <w:numId w:val="7"/>
        </w:numPr>
      </w:pPr>
      <w:bookmarkStart w:id="171" w:name="_Toc460396024"/>
      <w:r w:rsidRPr="00183E4D">
        <w:lastRenderedPageBreak/>
        <w:t>Key Differences in the Delivery of the Proposed Medical Service and the Main Comparator</w:t>
      </w:r>
      <w:bookmarkEnd w:id="171"/>
      <w:r w:rsidRPr="00183E4D">
        <w:t xml:space="preserve"> </w:t>
      </w:r>
    </w:p>
    <w:p w14:paraId="2F962D3D" w14:textId="77777777" w:rsidR="003251A0" w:rsidRDefault="003251A0" w:rsidP="003251A0">
      <w:r>
        <w:t>Before patients are referred for the intervention or any of its comparators patients would generally have seen a GP, a respiratory physician and have had several diagnostic studies performed including one or more of:</w:t>
      </w:r>
    </w:p>
    <w:p w14:paraId="2F524145" w14:textId="77777777" w:rsidR="003251A0" w:rsidRDefault="003251A0" w:rsidP="009970F5">
      <w:pPr>
        <w:pStyle w:val="ListParagraph"/>
        <w:numPr>
          <w:ilvl w:val="0"/>
          <w:numId w:val="59"/>
        </w:numPr>
      </w:pPr>
      <w:r>
        <w:t xml:space="preserve">A computed </w:t>
      </w:r>
      <w:proofErr w:type="gramStart"/>
      <w:r>
        <w:t>tomography(</w:t>
      </w:r>
      <w:proofErr w:type="gramEnd"/>
      <w:r>
        <w:t>CT) scan</w:t>
      </w:r>
      <w:r w:rsidRPr="00C03C1A">
        <w:t xml:space="preserve"> of lungs and centre of the chest (mediastinum), liver and adrenals </w:t>
      </w:r>
      <w:r>
        <w:t>for</w:t>
      </w:r>
      <w:r w:rsidRPr="00C03C1A">
        <w:t xml:space="preserve"> staging.</w:t>
      </w:r>
    </w:p>
    <w:p w14:paraId="019ED22E" w14:textId="77777777" w:rsidR="003251A0" w:rsidRDefault="003251A0" w:rsidP="009970F5">
      <w:pPr>
        <w:pStyle w:val="ListParagraph"/>
        <w:numPr>
          <w:ilvl w:val="0"/>
          <w:numId w:val="59"/>
        </w:numPr>
      </w:pPr>
      <w:r w:rsidRPr="00C03C1A">
        <w:t xml:space="preserve"> A PET scan </w:t>
      </w:r>
      <w:r>
        <w:t>to evaluate</w:t>
      </w:r>
      <w:r w:rsidRPr="00C03C1A">
        <w:t xml:space="preserve"> distant spread including to bones</w:t>
      </w:r>
      <w:r>
        <w:t>.</w:t>
      </w:r>
    </w:p>
    <w:p w14:paraId="44F1E795" w14:textId="77777777" w:rsidR="003251A0" w:rsidRDefault="003251A0" w:rsidP="009970F5">
      <w:pPr>
        <w:pStyle w:val="ListParagraph"/>
        <w:numPr>
          <w:ilvl w:val="0"/>
          <w:numId w:val="59"/>
        </w:numPr>
      </w:pPr>
      <w:r>
        <w:t xml:space="preserve">A </w:t>
      </w:r>
      <w:r w:rsidRPr="00C03C1A">
        <w:t>bronchoscopy</w:t>
      </w:r>
      <w:r>
        <w:t xml:space="preserve"> to confirm malignancy.</w:t>
      </w:r>
    </w:p>
    <w:p w14:paraId="0F4E13CD" w14:textId="0832CC04" w:rsidR="003251A0" w:rsidRDefault="003251A0" w:rsidP="003251A0">
      <w:r>
        <w:t>Following diagnosis and staging</w:t>
      </w:r>
      <w:r w:rsidR="00EB01C7">
        <w:t>, therapeutic options</w:t>
      </w:r>
      <w:r>
        <w:t xml:space="preserve"> </w:t>
      </w:r>
      <w:r w:rsidR="00EB01C7">
        <w:t>are</w:t>
      </w:r>
      <w:r>
        <w:t xml:space="preserve"> discussed at a </w:t>
      </w:r>
      <w:r w:rsidR="00A109B2">
        <w:t xml:space="preserve">multidisciplinary team meeting. The multidisciplinary team considers the appropriate treatment options, bearing in mind factors such as </w:t>
      </w:r>
      <w:r>
        <w:t xml:space="preserve">location of the lesions and comorbidities of the patient. </w:t>
      </w:r>
      <w:r w:rsidR="00A109B2">
        <w:t xml:space="preserve">Following this meeting the treating physician presents treatment options to the patient. </w:t>
      </w:r>
      <w:r>
        <w:t>The main differences in the delivery of the proposed service and the comparators are:</w:t>
      </w:r>
    </w:p>
    <w:p w14:paraId="415A6827" w14:textId="77777777" w:rsidR="003251A0" w:rsidRDefault="003251A0" w:rsidP="009970F5">
      <w:pPr>
        <w:pStyle w:val="ListParagraph"/>
        <w:numPr>
          <w:ilvl w:val="0"/>
          <w:numId w:val="60"/>
        </w:numPr>
      </w:pPr>
      <w:r>
        <w:t>The delivery of RFA and MTA are very similar, RFA may require longer anaesthesia time owing to increased ablation times. However, follow-up imaging and the mode of care requiring an overnight stay is the same. Both interventions are provided by an Interventional radiologist.</w:t>
      </w:r>
    </w:p>
    <w:p w14:paraId="445A815A" w14:textId="77777777" w:rsidR="003251A0" w:rsidRDefault="003251A0" w:rsidP="009970F5">
      <w:pPr>
        <w:pStyle w:val="ListParagraph"/>
        <w:numPr>
          <w:ilvl w:val="0"/>
          <w:numId w:val="60"/>
        </w:numPr>
      </w:pPr>
      <w:r>
        <w:t>The delivery of SBRT requires several steps including simulation</w:t>
      </w:r>
      <w:r w:rsidRPr="00C03C1A">
        <w:t>, dosimetry, treatment and verification. Prior to treatment, the patient undergoes imaging procedures to determine the size, shape and location of the tumour.  A simulation study begins with a standard high-resolution CT scan; however other imaging techniques, such as MRI, angiography or PET, may also be used.</w:t>
      </w:r>
      <w:r>
        <w:t xml:space="preserve"> Depending on the treatment plan SBRT might be delivered in a single or multiple fractions and patients may need to attend a number of planning and treatment appointments. In contrast MTA is usually performed in a single session. However, SBRT is provided on an outpatient basis and an overnight hospital stay is not required. Similarly, SBRT is not followed by an immediate, four hour or 24 hour CT. </w:t>
      </w:r>
    </w:p>
    <w:p w14:paraId="5F2123B9" w14:textId="77777777" w:rsidR="003251A0" w:rsidRDefault="003251A0" w:rsidP="009970F5">
      <w:pPr>
        <w:pStyle w:val="ListParagraph"/>
        <w:numPr>
          <w:ilvl w:val="0"/>
          <w:numId w:val="60"/>
        </w:numPr>
      </w:pPr>
      <w:r>
        <w:t xml:space="preserve">Surgical resection differs from the delivery of MTA in that patients have an extended recovery period requiring hospitalisation in all cases. Treatment is provided by a thoracic surgeon. </w:t>
      </w:r>
    </w:p>
    <w:p w14:paraId="461FE183" w14:textId="77777777" w:rsidR="005354F8" w:rsidRPr="00183E4D" w:rsidRDefault="005354F8" w:rsidP="00647EB9">
      <w:pPr>
        <w:pStyle w:val="Heading2"/>
        <w:numPr>
          <w:ilvl w:val="0"/>
          <w:numId w:val="7"/>
        </w:numPr>
      </w:pPr>
      <w:bookmarkStart w:id="172" w:name="_Toc460396025"/>
      <w:r w:rsidRPr="00183E4D">
        <w:lastRenderedPageBreak/>
        <w:t>Clinical Claim</w:t>
      </w:r>
      <w:bookmarkEnd w:id="172"/>
    </w:p>
    <w:p w14:paraId="501B2A7E" w14:textId="77777777" w:rsidR="00F452E0" w:rsidRPr="00F452E0" w:rsidRDefault="00F452E0" w:rsidP="00F452E0">
      <w:r w:rsidRPr="00F452E0">
        <w:t>The clinical claim associated with this application depends upon the intended use of, and available treatment alternatives to MTA.</w:t>
      </w:r>
    </w:p>
    <w:p w14:paraId="3D39FDB0" w14:textId="77777777" w:rsidR="00F452E0" w:rsidRPr="00826323" w:rsidRDefault="00F452E0" w:rsidP="003F6C66">
      <w:pPr>
        <w:pStyle w:val="Heading3"/>
      </w:pPr>
      <w:r w:rsidRPr="00826323">
        <w:t>Clinical claim in patients with early stage inoperable NSCLC who are receiving treatment with curative intent (</w:t>
      </w:r>
      <w:r w:rsidR="00B32444" w:rsidRPr="00826323">
        <w:t>p</w:t>
      </w:r>
      <w:r w:rsidRPr="00826323">
        <w:t xml:space="preserve">opulation </w:t>
      </w:r>
      <w:r w:rsidR="00B32444" w:rsidRPr="00826323">
        <w:t>o</w:t>
      </w:r>
      <w:r w:rsidRPr="00826323">
        <w:t>ne)</w:t>
      </w:r>
    </w:p>
    <w:p w14:paraId="74C62193" w14:textId="77777777" w:rsidR="00F452E0" w:rsidRPr="00F452E0" w:rsidRDefault="00F452E0" w:rsidP="00F452E0">
      <w:r w:rsidRPr="00F452E0">
        <w:t>The applicant has indicated that MTA has a role in the definitive treatment of early stage inoperable NSCLC. In these patients, guidelines recommend the use of radiotherapy including SBRT or radical radiotherapy and chemoradiotherapy. MTA is intended to be offered as an alternative to these therapies in selected patients. It is understood that the clinical claim associated with the application for this patient group is that MTA offers equivalent effectiveness outcomes to radiotherapy or chemoradiotherapy with an acceptable safety profile.</w:t>
      </w:r>
    </w:p>
    <w:p w14:paraId="70030008" w14:textId="77777777" w:rsidR="00F452E0" w:rsidRPr="00826323" w:rsidRDefault="00F452E0" w:rsidP="003F6C66">
      <w:pPr>
        <w:pStyle w:val="Heading3"/>
      </w:pPr>
      <w:r w:rsidRPr="00826323">
        <w:t>Clinical claim in patients with lung metastase(s), in whom the primary tumour is under control and who are receiving treatment with curative intent (</w:t>
      </w:r>
      <w:r w:rsidR="00BD1E63" w:rsidRPr="00826323">
        <w:t>population two</w:t>
      </w:r>
      <w:r w:rsidRPr="00826323">
        <w:t>)</w:t>
      </w:r>
    </w:p>
    <w:p w14:paraId="3E252805" w14:textId="77777777" w:rsidR="00F452E0" w:rsidRPr="00F452E0" w:rsidRDefault="00F452E0" w:rsidP="00F452E0">
      <w:r w:rsidRPr="00F452E0">
        <w:t xml:space="preserve">In these patients the potential treatments for lung metastases depends on whether the patient is suitable for surgical resection. In patients who are not suitable for surgical resection the clinical claim is that MTA offers equivalent effectiveness to radiotherapy or chemoradiotherapy with an acceptable safety profile. </w:t>
      </w:r>
    </w:p>
    <w:p w14:paraId="327D1E0F" w14:textId="77777777" w:rsidR="00F452E0" w:rsidRPr="00F452E0" w:rsidRDefault="00F452E0" w:rsidP="00F452E0">
      <w:r w:rsidRPr="00F452E0">
        <w:t xml:space="preserve">In patients who are eligible for surgical resection the applicant has indicated that MTA can be considered in selected operable patients with unilateral or bilateral disease, as it is less invasive, more tissue-sparing, repeatable and can be performed in an outpatient setting or with an overnight stay, having the least negative impact on quality of life. Hence, the clinical claim associated with patients in this group eligible for surgical resection is that MTA demonstrates equivalent effectiveness to surgical resection with an acceptable safety profile. Further to this the applicant claims that MTA offers certain benefits over surgical resection in terms of invasiveness, repeatability and quality of life. </w:t>
      </w:r>
    </w:p>
    <w:p w14:paraId="04F701EA" w14:textId="77777777" w:rsidR="00F452E0" w:rsidRPr="003F6C66" w:rsidRDefault="00F452E0" w:rsidP="003F6C66">
      <w:pPr>
        <w:pStyle w:val="Heading3"/>
      </w:pPr>
      <w:r w:rsidRPr="003F6C66">
        <w:t>Clinical claim in patients with NSCLC who are not eligible for surgical resection and patients with pulmonary metastases who are receiving treatment with palliative intent (Population Three)</w:t>
      </w:r>
    </w:p>
    <w:p w14:paraId="13112708" w14:textId="77777777" w:rsidR="00F452E0" w:rsidRPr="00F452E0" w:rsidRDefault="00F452E0" w:rsidP="00F452E0">
      <w:r w:rsidRPr="00F452E0">
        <w:t>MTA may have a role in treating patients with NSCLC with palliative intent. In these patients chemotherapy and radiotherapy are the main treatment options. MTA may be offered as an adjunct to radiotherapy and/or chemotherapy in these patients, as a means of de-bulking prominent tumours for symptom relief. In this population, MTA may improve symptom relief as opposed to conventional palliative therapies without MTA.</w:t>
      </w:r>
    </w:p>
    <w:p w14:paraId="14131A27" w14:textId="77777777" w:rsidR="00F452E0" w:rsidRPr="00826323" w:rsidRDefault="00F452E0" w:rsidP="00F452E0">
      <w:pPr>
        <w:rPr>
          <w:b/>
          <w:i/>
        </w:rPr>
      </w:pPr>
      <w:r w:rsidRPr="00826323">
        <w:rPr>
          <w:b/>
          <w:i/>
        </w:rPr>
        <w:lastRenderedPageBreak/>
        <w:t>Clinical claim with respect to RFA in all patient groups</w:t>
      </w:r>
    </w:p>
    <w:p w14:paraId="3BDEFF25" w14:textId="77777777" w:rsidR="00274895" w:rsidRPr="00022FCD" w:rsidRDefault="00F452E0" w:rsidP="00F452E0">
      <w:r w:rsidRPr="00F452E0">
        <w:t xml:space="preserve">The applicant suggests there are significant treatment advantages of MTA over RFA, especially in the setting of lung tumour ablation. MTA is arguably more controllable and considered a safer procedure. MTA also offers larger, faster, more predictable ablation zones and higher temperatures during ablation. This may result in lower local recurrence rates and better patient-relevant health outcomes. Hence, in all the patient groups the applicant has suggested that RFA is a treatment option and that MTA is superior to RFA in terms of effectiveness for all patient groups and is associated with an acceptable safety profile. </w:t>
      </w:r>
    </w:p>
    <w:p w14:paraId="74EEF206" w14:textId="77777777" w:rsidR="00903492" w:rsidRPr="00183E4D" w:rsidRDefault="00D461C4" w:rsidP="00647EB9">
      <w:pPr>
        <w:pStyle w:val="Heading2"/>
        <w:numPr>
          <w:ilvl w:val="0"/>
          <w:numId w:val="7"/>
        </w:numPr>
      </w:pPr>
      <w:bookmarkStart w:id="173" w:name="_Toc460396026"/>
      <w:bookmarkEnd w:id="146"/>
      <w:bookmarkEnd w:id="147"/>
      <w:r>
        <w:t>Summary of the PICO</w:t>
      </w:r>
      <w:bookmarkEnd w:id="173"/>
    </w:p>
    <w:p w14:paraId="7588560E" w14:textId="57C133E4" w:rsidR="00192EDA" w:rsidRDefault="00192EDA" w:rsidP="00192EDA">
      <w:r w:rsidRPr="00192EDA">
        <w:t>The guiding framework of a protocol is recommended by MSAC for each assessment. The protocol describes current clinical practice and reflects the likely future practice with the proposed medical service. The Population, Intervention, Comparator and Outcomes (PICO) that were pre-specified to guide the systematic lit</w:t>
      </w:r>
      <w:r>
        <w:t xml:space="preserve">erature review are presented in </w:t>
      </w:r>
      <w:r>
        <w:fldChar w:fldCharType="begin"/>
      </w:r>
      <w:r>
        <w:instrText xml:space="preserve"> REF _Ref460410319 \h </w:instrText>
      </w:r>
      <w:r>
        <w:fldChar w:fldCharType="separate"/>
      </w:r>
      <w:r w:rsidR="00D170A5">
        <w:t xml:space="preserve">Box </w:t>
      </w:r>
      <w:r w:rsidR="00D170A5">
        <w:rPr>
          <w:noProof/>
        </w:rPr>
        <w:t>1</w:t>
      </w:r>
      <w:r>
        <w:fldChar w:fldCharType="end"/>
      </w:r>
      <w:r>
        <w:t xml:space="preserve">, </w:t>
      </w:r>
      <w:r>
        <w:fldChar w:fldCharType="begin"/>
      </w:r>
      <w:r>
        <w:instrText xml:space="preserve"> REF _Ref457388340 \h </w:instrText>
      </w:r>
      <w:r>
        <w:fldChar w:fldCharType="separate"/>
      </w:r>
      <w:r w:rsidR="00D170A5">
        <w:t xml:space="preserve">Box </w:t>
      </w:r>
      <w:r w:rsidR="00D170A5">
        <w:rPr>
          <w:noProof/>
        </w:rPr>
        <w:t>2</w:t>
      </w:r>
      <w:r>
        <w:fldChar w:fldCharType="end"/>
      </w:r>
      <w:r>
        <w:t xml:space="preserve">, </w:t>
      </w:r>
      <w:r>
        <w:fldChar w:fldCharType="begin"/>
      </w:r>
      <w:r>
        <w:instrText xml:space="preserve"> REF _Ref457388342 \h </w:instrText>
      </w:r>
      <w:r>
        <w:fldChar w:fldCharType="separate"/>
      </w:r>
      <w:r w:rsidR="00D170A5">
        <w:t xml:space="preserve">Box </w:t>
      </w:r>
      <w:r w:rsidR="00D170A5">
        <w:rPr>
          <w:noProof/>
        </w:rPr>
        <w:t>3</w:t>
      </w:r>
      <w:r>
        <w:fldChar w:fldCharType="end"/>
      </w:r>
      <w:r>
        <w:t xml:space="preserve">, </w:t>
      </w:r>
      <w:r>
        <w:fldChar w:fldCharType="begin"/>
      </w:r>
      <w:r>
        <w:instrText xml:space="preserve"> REF _Ref457388343 \h </w:instrText>
      </w:r>
      <w:r>
        <w:fldChar w:fldCharType="separate"/>
      </w:r>
      <w:r w:rsidR="00D170A5">
        <w:t xml:space="preserve">Box </w:t>
      </w:r>
      <w:r w:rsidR="00D170A5">
        <w:rPr>
          <w:noProof/>
        </w:rPr>
        <w:t>4</w:t>
      </w:r>
      <w:r>
        <w:fldChar w:fldCharType="end"/>
      </w:r>
      <w:r>
        <w:t xml:space="preserve">, </w:t>
      </w:r>
      <w:r>
        <w:fldChar w:fldCharType="begin"/>
      </w:r>
      <w:r>
        <w:instrText xml:space="preserve"> REF _Ref457388345 \h </w:instrText>
      </w:r>
      <w:r>
        <w:fldChar w:fldCharType="separate"/>
      </w:r>
      <w:r w:rsidR="00D170A5">
        <w:t xml:space="preserve">Box </w:t>
      </w:r>
      <w:r w:rsidR="00D170A5">
        <w:rPr>
          <w:noProof/>
        </w:rPr>
        <w:t>5</w:t>
      </w:r>
      <w:r>
        <w:fldChar w:fldCharType="end"/>
      </w:r>
      <w:r>
        <w:t xml:space="preserve">, and </w:t>
      </w:r>
      <w:r>
        <w:fldChar w:fldCharType="begin"/>
      </w:r>
      <w:r>
        <w:instrText xml:space="preserve"> REF _Ref460410349 \h </w:instrText>
      </w:r>
      <w:r>
        <w:fldChar w:fldCharType="separate"/>
      </w:r>
      <w:r w:rsidR="00D170A5">
        <w:t xml:space="preserve">Box </w:t>
      </w:r>
      <w:r w:rsidR="00D170A5">
        <w:rPr>
          <w:noProof/>
        </w:rPr>
        <w:t>6</w:t>
      </w:r>
      <w:r>
        <w:fldChar w:fldCharType="end"/>
      </w:r>
      <w:r>
        <w:t>.</w:t>
      </w:r>
    </w:p>
    <w:p w14:paraId="0DC7CA3E" w14:textId="7B47E9B5" w:rsidR="004F36F1" w:rsidRPr="00AB3884" w:rsidRDefault="004F36F1" w:rsidP="004F36F1"/>
    <w:p w14:paraId="44A65BF4" w14:textId="77777777" w:rsidR="00AB3884" w:rsidRDefault="00AB3884" w:rsidP="007B53DE">
      <w:pPr>
        <w:pStyle w:val="Caption"/>
        <w:ind w:left="1134" w:hanging="1134"/>
      </w:pPr>
      <w:bookmarkStart w:id="174" w:name="_Ref395200496"/>
      <w:bookmarkStart w:id="175" w:name="_Toc393378291"/>
      <w:r>
        <w:br w:type="page"/>
      </w:r>
    </w:p>
    <w:p w14:paraId="3D2278A8" w14:textId="77777777" w:rsidR="004F36F1" w:rsidRPr="00183E4D" w:rsidRDefault="00255B28" w:rsidP="007B53DE">
      <w:pPr>
        <w:pStyle w:val="Caption"/>
        <w:ind w:left="1134" w:hanging="1134"/>
      </w:pPr>
      <w:bookmarkStart w:id="176" w:name="_Ref460410319"/>
      <w:bookmarkStart w:id="177" w:name="_Toc460514763"/>
      <w:r>
        <w:lastRenderedPageBreak/>
        <w:t xml:space="preserve">Box </w:t>
      </w:r>
      <w:fldSimple w:instr=" SEQ Box \* ARABIC ">
        <w:r w:rsidR="00D170A5">
          <w:rPr>
            <w:noProof/>
          </w:rPr>
          <w:t>1</w:t>
        </w:r>
      </w:fldSimple>
      <w:bookmarkEnd w:id="174"/>
      <w:bookmarkEnd w:id="176"/>
      <w:r w:rsidR="004F36F1" w:rsidRPr="00183E4D">
        <w:tab/>
      </w:r>
      <w:r w:rsidR="001A5EF8" w:rsidRPr="00183E4D">
        <w:t>Criteria</w:t>
      </w:r>
      <w:r w:rsidR="004F36F1" w:rsidRPr="00183E4D">
        <w:t xml:space="preserve"> for </w:t>
      </w:r>
      <w:r w:rsidR="001A5EF8" w:rsidRPr="00183E4D">
        <w:t xml:space="preserve">identifying and selecting studies to </w:t>
      </w:r>
      <w:r w:rsidR="00BB381C" w:rsidRPr="00183E4D">
        <w:t>determin</w:t>
      </w:r>
      <w:r w:rsidR="001A5EF8" w:rsidRPr="00183E4D">
        <w:t>e</w:t>
      </w:r>
      <w:r w:rsidR="00BB381C" w:rsidRPr="00183E4D">
        <w:t xml:space="preserve"> </w:t>
      </w:r>
      <w:r w:rsidR="004F36F1" w:rsidRPr="00183E4D">
        <w:t xml:space="preserve">the safety </w:t>
      </w:r>
      <w:bookmarkEnd w:id="175"/>
      <w:r w:rsidR="00EA7BDE">
        <w:t>of MTA in patients with early stage inoperable NSCLC</w:t>
      </w:r>
      <w:bookmarkEnd w:id="177"/>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1668"/>
        <w:gridCol w:w="7365"/>
      </w:tblGrid>
      <w:tr w:rsidR="00EA7BDE" w:rsidRPr="00EA7BDE" w14:paraId="36DB40EC" w14:textId="77777777" w:rsidTr="00E25E60">
        <w:trPr>
          <w:trHeight w:val="261"/>
        </w:trPr>
        <w:tc>
          <w:tcPr>
            <w:tcW w:w="1668" w:type="dxa"/>
            <w:tcBorders>
              <w:top w:val="single" w:sz="4" w:space="0" w:color="auto"/>
              <w:bottom w:val="single" w:sz="4" w:space="0" w:color="auto"/>
            </w:tcBorders>
            <w:shd w:val="clear" w:color="auto" w:fill="D9D9D9" w:themeFill="background1" w:themeFillShade="D9"/>
          </w:tcPr>
          <w:p w14:paraId="6E7B96C7" w14:textId="77777777" w:rsidR="00EA7BDE" w:rsidRPr="00AB7ADF" w:rsidRDefault="00EA7BDE" w:rsidP="00AB7ADF">
            <w:pPr>
              <w:pStyle w:val="Tabletext1"/>
              <w:rPr>
                <w:b/>
              </w:rPr>
            </w:pPr>
            <w:r w:rsidRPr="00AB7ADF">
              <w:rPr>
                <w:b/>
              </w:rPr>
              <w:t>Selection criteria</w:t>
            </w:r>
          </w:p>
        </w:tc>
        <w:tc>
          <w:tcPr>
            <w:tcW w:w="7365" w:type="dxa"/>
            <w:tcBorders>
              <w:top w:val="single" w:sz="4" w:space="0" w:color="auto"/>
              <w:bottom w:val="single" w:sz="4" w:space="0" w:color="auto"/>
            </w:tcBorders>
            <w:shd w:val="clear" w:color="auto" w:fill="D9D9D9" w:themeFill="background1" w:themeFillShade="D9"/>
          </w:tcPr>
          <w:p w14:paraId="165430A7" w14:textId="77777777" w:rsidR="00EA7BDE" w:rsidRPr="00AB7ADF" w:rsidRDefault="00EA7BDE" w:rsidP="00AB7ADF">
            <w:pPr>
              <w:pStyle w:val="Tabletext1"/>
              <w:rPr>
                <w:rFonts w:cs="Arial"/>
                <w:b/>
              </w:rPr>
            </w:pPr>
            <w:r w:rsidRPr="00AB7ADF">
              <w:rPr>
                <w:rFonts w:cs="Arial"/>
                <w:b/>
              </w:rPr>
              <w:t>Description</w:t>
            </w:r>
          </w:p>
        </w:tc>
      </w:tr>
      <w:tr w:rsidR="00EA7BDE" w:rsidRPr="00EA7BDE" w14:paraId="505DECF9" w14:textId="77777777" w:rsidTr="00E25E60">
        <w:trPr>
          <w:trHeight w:val="247"/>
        </w:trPr>
        <w:tc>
          <w:tcPr>
            <w:tcW w:w="1668" w:type="dxa"/>
            <w:tcBorders>
              <w:top w:val="single" w:sz="4" w:space="0" w:color="auto"/>
            </w:tcBorders>
            <w:shd w:val="clear" w:color="auto" w:fill="auto"/>
          </w:tcPr>
          <w:p w14:paraId="145677CD" w14:textId="77777777" w:rsidR="00EA7BDE" w:rsidRPr="00B14A4B" w:rsidRDefault="00EA7BDE" w:rsidP="00AB7ADF">
            <w:pPr>
              <w:pStyle w:val="Tabletext1"/>
            </w:pPr>
            <w:r w:rsidRPr="00B14A4B">
              <w:t>Population</w:t>
            </w:r>
          </w:p>
        </w:tc>
        <w:tc>
          <w:tcPr>
            <w:tcW w:w="7365" w:type="dxa"/>
            <w:tcBorders>
              <w:top w:val="single" w:sz="4" w:space="0" w:color="auto"/>
            </w:tcBorders>
            <w:shd w:val="clear" w:color="auto" w:fill="auto"/>
          </w:tcPr>
          <w:p w14:paraId="543EB3AF" w14:textId="77777777" w:rsidR="00EA7BDE" w:rsidRPr="00B14A4B" w:rsidRDefault="00EA7BDE" w:rsidP="00AB7ADF">
            <w:pPr>
              <w:pStyle w:val="Tabletext1"/>
              <w:rPr>
                <w:rFonts w:cs="Arial"/>
              </w:rPr>
            </w:pPr>
            <w:r w:rsidRPr="00B14A4B">
              <w:rPr>
                <w:rFonts w:cs="Arial"/>
                <w:u w:val="single"/>
              </w:rPr>
              <w:t>Patients with early stage, inoperable NSCLC</w:t>
            </w:r>
            <w:r w:rsidRPr="00B14A4B">
              <w:rPr>
                <w:rFonts w:cs="Arial"/>
              </w:rPr>
              <w:t>.</w:t>
            </w:r>
          </w:p>
          <w:p w14:paraId="048033F8" w14:textId="77777777" w:rsidR="00EA7BDE" w:rsidRPr="00B14A4B" w:rsidRDefault="00EA7BDE" w:rsidP="00AB7ADF">
            <w:pPr>
              <w:pStyle w:val="Tabletext1"/>
              <w:rPr>
                <w:rFonts w:cs="Arial"/>
              </w:rPr>
            </w:pPr>
            <w:r w:rsidRPr="00B14A4B">
              <w:rPr>
                <w:rFonts w:cs="Arial"/>
              </w:rPr>
              <w:t>Include those studies in which patients are said to have ‘early stage’ NSCLC, stage I NSCLC or stage IIa NSCLC. Alternatively, for studies reporting staging as TNM, early stage includes:</w:t>
            </w:r>
          </w:p>
          <w:tbl>
            <w:tblPr>
              <w:tblStyle w:val="TableGrid4"/>
              <w:tblW w:w="0" w:type="auto"/>
              <w:tblLook w:val="04A0" w:firstRow="1" w:lastRow="0" w:firstColumn="1" w:lastColumn="0" w:noHBand="0" w:noVBand="1"/>
              <w:tblCaption w:val="Box 1"/>
              <w:tblDescription w:val="Tumour staging"/>
            </w:tblPr>
            <w:tblGrid>
              <w:gridCol w:w="1947"/>
              <w:gridCol w:w="1733"/>
              <w:gridCol w:w="1729"/>
              <w:gridCol w:w="1730"/>
            </w:tblGrid>
            <w:tr w:rsidR="00EA7BDE" w:rsidRPr="00FD6A36" w14:paraId="699D603B" w14:textId="77777777" w:rsidTr="006C7673">
              <w:trPr>
                <w:tblHeader/>
              </w:trPr>
              <w:tc>
                <w:tcPr>
                  <w:tcW w:w="2022" w:type="dxa"/>
                </w:tcPr>
                <w:p w14:paraId="45565A14" w14:textId="77777777" w:rsidR="00EA7BDE" w:rsidRPr="00B14A4B" w:rsidRDefault="00EA7BDE" w:rsidP="00AB7ADF">
                  <w:pPr>
                    <w:pStyle w:val="Tabletext1"/>
                    <w:rPr>
                      <w:rFonts w:cs="Arial"/>
                    </w:rPr>
                  </w:pPr>
                  <w:r w:rsidRPr="00B14A4B">
                    <w:rPr>
                      <w:rFonts w:cs="Arial"/>
                    </w:rPr>
                    <w:t>Stage</w:t>
                  </w:r>
                </w:p>
              </w:tc>
              <w:tc>
                <w:tcPr>
                  <w:tcW w:w="1805" w:type="dxa"/>
                </w:tcPr>
                <w:p w14:paraId="1CCA98D2" w14:textId="77777777" w:rsidR="00EA7BDE" w:rsidRPr="00B14A4B" w:rsidRDefault="00EA7BDE" w:rsidP="00AB7ADF">
                  <w:pPr>
                    <w:pStyle w:val="Tabletext1"/>
                    <w:rPr>
                      <w:rFonts w:cs="Arial"/>
                    </w:rPr>
                  </w:pPr>
                  <w:r w:rsidRPr="00B14A4B">
                    <w:rPr>
                      <w:rFonts w:cs="Arial"/>
                    </w:rPr>
                    <w:t>T</w:t>
                  </w:r>
                </w:p>
              </w:tc>
              <w:tc>
                <w:tcPr>
                  <w:tcW w:w="1805" w:type="dxa"/>
                </w:tcPr>
                <w:p w14:paraId="235564D1" w14:textId="77777777" w:rsidR="00EA7BDE" w:rsidRPr="00B14A4B" w:rsidRDefault="00EA7BDE" w:rsidP="00AB7ADF">
                  <w:pPr>
                    <w:pStyle w:val="Tabletext1"/>
                    <w:rPr>
                      <w:rFonts w:cs="Arial"/>
                    </w:rPr>
                  </w:pPr>
                  <w:r w:rsidRPr="00B14A4B">
                    <w:rPr>
                      <w:rFonts w:cs="Arial"/>
                    </w:rPr>
                    <w:t>N</w:t>
                  </w:r>
                </w:p>
              </w:tc>
              <w:tc>
                <w:tcPr>
                  <w:tcW w:w="1805" w:type="dxa"/>
                </w:tcPr>
                <w:p w14:paraId="1E096611" w14:textId="77777777" w:rsidR="00EA7BDE" w:rsidRPr="00B14A4B" w:rsidRDefault="00EA7BDE" w:rsidP="00AB7ADF">
                  <w:pPr>
                    <w:pStyle w:val="Tabletext1"/>
                    <w:rPr>
                      <w:rFonts w:cs="Arial"/>
                    </w:rPr>
                  </w:pPr>
                  <w:r w:rsidRPr="00B14A4B">
                    <w:rPr>
                      <w:rFonts w:cs="Arial"/>
                    </w:rPr>
                    <w:t>M</w:t>
                  </w:r>
                </w:p>
              </w:tc>
            </w:tr>
            <w:tr w:rsidR="00EA7BDE" w:rsidRPr="00FD6A36" w14:paraId="7A964D67" w14:textId="77777777" w:rsidTr="00EA7BDE">
              <w:tc>
                <w:tcPr>
                  <w:tcW w:w="2022" w:type="dxa"/>
                </w:tcPr>
                <w:p w14:paraId="5581B144" w14:textId="77777777" w:rsidR="00EA7BDE" w:rsidRPr="00B14A4B" w:rsidRDefault="00EA7BDE" w:rsidP="00AB7ADF">
                  <w:pPr>
                    <w:pStyle w:val="Tabletext1"/>
                    <w:rPr>
                      <w:rFonts w:cs="Arial"/>
                    </w:rPr>
                  </w:pPr>
                  <w:r w:rsidRPr="00B14A4B">
                    <w:rPr>
                      <w:rFonts w:cs="Arial"/>
                    </w:rPr>
                    <w:t>0</w:t>
                  </w:r>
                </w:p>
              </w:tc>
              <w:tc>
                <w:tcPr>
                  <w:tcW w:w="1805" w:type="dxa"/>
                </w:tcPr>
                <w:p w14:paraId="6B7A64E1" w14:textId="77777777" w:rsidR="00EA7BDE" w:rsidRPr="00B14A4B" w:rsidRDefault="00EA7BDE" w:rsidP="00AB7ADF">
                  <w:pPr>
                    <w:pStyle w:val="Tabletext1"/>
                    <w:rPr>
                      <w:rFonts w:cs="Arial"/>
                    </w:rPr>
                  </w:pPr>
                  <w:r w:rsidRPr="00B14A4B">
                    <w:rPr>
                      <w:rFonts w:cs="Arial"/>
                    </w:rPr>
                    <w:t>Tis</w:t>
                  </w:r>
                </w:p>
              </w:tc>
              <w:tc>
                <w:tcPr>
                  <w:tcW w:w="1805" w:type="dxa"/>
                </w:tcPr>
                <w:p w14:paraId="517CEA26" w14:textId="77777777" w:rsidR="00EA7BDE" w:rsidRPr="00B14A4B" w:rsidRDefault="00EA7BDE" w:rsidP="00AB7ADF">
                  <w:pPr>
                    <w:pStyle w:val="Tabletext1"/>
                    <w:rPr>
                      <w:rFonts w:cs="Arial"/>
                    </w:rPr>
                  </w:pPr>
                  <w:r w:rsidRPr="00B14A4B">
                    <w:rPr>
                      <w:rFonts w:cs="Arial"/>
                    </w:rPr>
                    <w:t>N0</w:t>
                  </w:r>
                </w:p>
              </w:tc>
              <w:tc>
                <w:tcPr>
                  <w:tcW w:w="1805" w:type="dxa"/>
                </w:tcPr>
                <w:p w14:paraId="402F888D" w14:textId="77777777" w:rsidR="00EA7BDE" w:rsidRPr="00B14A4B" w:rsidRDefault="00EA7BDE" w:rsidP="00AB7ADF">
                  <w:pPr>
                    <w:pStyle w:val="Tabletext1"/>
                    <w:rPr>
                      <w:rFonts w:cs="Arial"/>
                    </w:rPr>
                  </w:pPr>
                  <w:r w:rsidRPr="00B14A4B">
                    <w:rPr>
                      <w:rFonts w:cs="Arial"/>
                    </w:rPr>
                    <w:t>M0</w:t>
                  </w:r>
                </w:p>
              </w:tc>
            </w:tr>
            <w:tr w:rsidR="00EA7BDE" w:rsidRPr="00FD6A36" w14:paraId="0D6028FB" w14:textId="77777777" w:rsidTr="00EA7BDE">
              <w:trPr>
                <w:trHeight w:val="547"/>
              </w:trPr>
              <w:tc>
                <w:tcPr>
                  <w:tcW w:w="2022" w:type="dxa"/>
                </w:tcPr>
                <w:p w14:paraId="732473DB" w14:textId="77777777" w:rsidR="00EA7BDE" w:rsidRPr="00B14A4B" w:rsidRDefault="00EA7BDE" w:rsidP="00AB7ADF">
                  <w:pPr>
                    <w:pStyle w:val="Tabletext1"/>
                    <w:rPr>
                      <w:rFonts w:cs="Arial"/>
                    </w:rPr>
                  </w:pPr>
                  <w:r w:rsidRPr="00B14A4B">
                    <w:rPr>
                      <w:rFonts w:cs="Arial"/>
                    </w:rPr>
                    <w:t>IA</w:t>
                  </w:r>
                </w:p>
              </w:tc>
              <w:tc>
                <w:tcPr>
                  <w:tcW w:w="1805" w:type="dxa"/>
                </w:tcPr>
                <w:p w14:paraId="587D9A1C" w14:textId="77777777" w:rsidR="00EA7BDE" w:rsidRPr="00B14A4B" w:rsidRDefault="00EA7BDE" w:rsidP="00AB7ADF">
                  <w:pPr>
                    <w:pStyle w:val="Tabletext1"/>
                    <w:rPr>
                      <w:rFonts w:cs="Arial"/>
                    </w:rPr>
                  </w:pPr>
                  <w:r w:rsidRPr="00B14A4B">
                    <w:rPr>
                      <w:rFonts w:cs="Arial"/>
                    </w:rPr>
                    <w:t>T1a</w:t>
                  </w:r>
                </w:p>
                <w:p w14:paraId="658E0042" w14:textId="77777777" w:rsidR="00EA7BDE" w:rsidRPr="00B14A4B" w:rsidRDefault="00EA7BDE" w:rsidP="00AB7ADF">
                  <w:pPr>
                    <w:pStyle w:val="Tabletext1"/>
                    <w:rPr>
                      <w:rFonts w:cs="Arial"/>
                    </w:rPr>
                  </w:pPr>
                  <w:r w:rsidRPr="00B14A4B">
                    <w:rPr>
                      <w:rFonts w:cs="Arial"/>
                    </w:rPr>
                    <w:t>T1b</w:t>
                  </w:r>
                </w:p>
              </w:tc>
              <w:tc>
                <w:tcPr>
                  <w:tcW w:w="1805" w:type="dxa"/>
                </w:tcPr>
                <w:p w14:paraId="13ACC6E3" w14:textId="77777777" w:rsidR="00EA7BDE" w:rsidRPr="00B14A4B" w:rsidRDefault="00EA7BDE" w:rsidP="00AB7ADF">
                  <w:pPr>
                    <w:pStyle w:val="Tabletext1"/>
                    <w:rPr>
                      <w:rFonts w:cs="Arial"/>
                    </w:rPr>
                  </w:pPr>
                  <w:r w:rsidRPr="00B14A4B">
                    <w:rPr>
                      <w:rFonts w:cs="Arial"/>
                    </w:rPr>
                    <w:t>N0</w:t>
                  </w:r>
                </w:p>
                <w:p w14:paraId="66569CF2" w14:textId="77777777" w:rsidR="00EA7BDE" w:rsidRPr="00B14A4B" w:rsidRDefault="00EA7BDE" w:rsidP="00AB7ADF">
                  <w:pPr>
                    <w:pStyle w:val="Tabletext1"/>
                    <w:rPr>
                      <w:rFonts w:cs="Arial"/>
                    </w:rPr>
                  </w:pPr>
                  <w:r w:rsidRPr="00B14A4B">
                    <w:rPr>
                      <w:rFonts w:cs="Arial"/>
                    </w:rPr>
                    <w:t>N0</w:t>
                  </w:r>
                </w:p>
              </w:tc>
              <w:tc>
                <w:tcPr>
                  <w:tcW w:w="1805" w:type="dxa"/>
                </w:tcPr>
                <w:p w14:paraId="23CFEFBE" w14:textId="77777777" w:rsidR="00EA7BDE" w:rsidRPr="00B14A4B" w:rsidRDefault="00EA7BDE" w:rsidP="00AB7ADF">
                  <w:pPr>
                    <w:pStyle w:val="Tabletext1"/>
                    <w:rPr>
                      <w:rFonts w:cs="Arial"/>
                    </w:rPr>
                  </w:pPr>
                  <w:r w:rsidRPr="00B14A4B">
                    <w:rPr>
                      <w:rFonts w:cs="Arial"/>
                    </w:rPr>
                    <w:t>M0</w:t>
                  </w:r>
                </w:p>
                <w:p w14:paraId="7B2D2137" w14:textId="77777777" w:rsidR="00EA7BDE" w:rsidRPr="00B14A4B" w:rsidRDefault="00EA7BDE" w:rsidP="00AB7ADF">
                  <w:pPr>
                    <w:pStyle w:val="Tabletext1"/>
                    <w:rPr>
                      <w:rFonts w:cs="Arial"/>
                    </w:rPr>
                  </w:pPr>
                  <w:r w:rsidRPr="00B14A4B">
                    <w:rPr>
                      <w:rFonts w:cs="Arial"/>
                    </w:rPr>
                    <w:t>M0</w:t>
                  </w:r>
                </w:p>
              </w:tc>
            </w:tr>
            <w:tr w:rsidR="00EA7BDE" w:rsidRPr="00FD6A36" w14:paraId="5AC9C140" w14:textId="77777777" w:rsidTr="00EA7BDE">
              <w:tc>
                <w:tcPr>
                  <w:tcW w:w="2022" w:type="dxa"/>
                </w:tcPr>
                <w:p w14:paraId="3D10CB2C" w14:textId="77777777" w:rsidR="00EA7BDE" w:rsidRPr="00B14A4B" w:rsidRDefault="00EA7BDE" w:rsidP="00AB7ADF">
                  <w:pPr>
                    <w:pStyle w:val="Tabletext1"/>
                    <w:rPr>
                      <w:rFonts w:cs="Arial"/>
                    </w:rPr>
                  </w:pPr>
                  <w:r w:rsidRPr="00B14A4B">
                    <w:rPr>
                      <w:rFonts w:cs="Arial"/>
                    </w:rPr>
                    <w:t>IB</w:t>
                  </w:r>
                </w:p>
              </w:tc>
              <w:tc>
                <w:tcPr>
                  <w:tcW w:w="1805" w:type="dxa"/>
                </w:tcPr>
                <w:p w14:paraId="484F3458" w14:textId="77777777" w:rsidR="00EA7BDE" w:rsidRPr="00B14A4B" w:rsidRDefault="00EA7BDE" w:rsidP="00AB7ADF">
                  <w:pPr>
                    <w:pStyle w:val="Tabletext1"/>
                    <w:rPr>
                      <w:rFonts w:cs="Arial"/>
                    </w:rPr>
                  </w:pPr>
                  <w:r w:rsidRPr="00B14A4B">
                    <w:rPr>
                      <w:rFonts w:cs="Arial"/>
                    </w:rPr>
                    <w:t>T2a</w:t>
                  </w:r>
                </w:p>
              </w:tc>
              <w:tc>
                <w:tcPr>
                  <w:tcW w:w="1805" w:type="dxa"/>
                </w:tcPr>
                <w:p w14:paraId="2197FA40" w14:textId="77777777" w:rsidR="00EA7BDE" w:rsidRPr="00B14A4B" w:rsidRDefault="00EA7BDE" w:rsidP="00AB7ADF">
                  <w:pPr>
                    <w:pStyle w:val="Tabletext1"/>
                    <w:rPr>
                      <w:rFonts w:cs="Arial"/>
                    </w:rPr>
                  </w:pPr>
                  <w:r w:rsidRPr="00B14A4B">
                    <w:rPr>
                      <w:rFonts w:cs="Arial"/>
                    </w:rPr>
                    <w:t>N0</w:t>
                  </w:r>
                </w:p>
              </w:tc>
              <w:tc>
                <w:tcPr>
                  <w:tcW w:w="1805" w:type="dxa"/>
                </w:tcPr>
                <w:p w14:paraId="5E681A67" w14:textId="77777777" w:rsidR="00EA7BDE" w:rsidRPr="00B14A4B" w:rsidRDefault="00EA7BDE" w:rsidP="00AB7ADF">
                  <w:pPr>
                    <w:pStyle w:val="Tabletext1"/>
                    <w:rPr>
                      <w:rFonts w:cs="Arial"/>
                    </w:rPr>
                  </w:pPr>
                  <w:r w:rsidRPr="00B14A4B">
                    <w:rPr>
                      <w:rFonts w:cs="Arial"/>
                    </w:rPr>
                    <w:t>M0</w:t>
                  </w:r>
                </w:p>
              </w:tc>
            </w:tr>
            <w:tr w:rsidR="00EA7BDE" w:rsidRPr="00FD6A36" w14:paraId="7DA8542D" w14:textId="77777777" w:rsidTr="00EA7BDE">
              <w:trPr>
                <w:trHeight w:val="1104"/>
              </w:trPr>
              <w:tc>
                <w:tcPr>
                  <w:tcW w:w="2022" w:type="dxa"/>
                </w:tcPr>
                <w:p w14:paraId="09079A4E" w14:textId="77777777" w:rsidR="00EA7BDE" w:rsidRPr="00B14A4B" w:rsidRDefault="00EA7BDE" w:rsidP="00AB7ADF">
                  <w:pPr>
                    <w:pStyle w:val="Tabletext1"/>
                    <w:rPr>
                      <w:rFonts w:cs="Arial"/>
                    </w:rPr>
                  </w:pPr>
                  <w:r w:rsidRPr="00B14A4B">
                    <w:rPr>
                      <w:rFonts w:cs="Arial"/>
                    </w:rPr>
                    <w:t>IIA</w:t>
                  </w:r>
                </w:p>
              </w:tc>
              <w:tc>
                <w:tcPr>
                  <w:tcW w:w="1805" w:type="dxa"/>
                </w:tcPr>
                <w:p w14:paraId="03B764F4" w14:textId="77777777" w:rsidR="00EA7BDE" w:rsidRPr="00B14A4B" w:rsidRDefault="00EA7BDE" w:rsidP="00AB7ADF">
                  <w:pPr>
                    <w:pStyle w:val="Tabletext1"/>
                    <w:rPr>
                      <w:rFonts w:cs="Arial"/>
                    </w:rPr>
                  </w:pPr>
                  <w:r w:rsidRPr="00B14A4B">
                    <w:rPr>
                      <w:rFonts w:cs="Arial"/>
                    </w:rPr>
                    <w:t>T1a</w:t>
                  </w:r>
                </w:p>
                <w:p w14:paraId="2DA8841D" w14:textId="77777777" w:rsidR="00EA7BDE" w:rsidRPr="00B14A4B" w:rsidRDefault="00EA7BDE" w:rsidP="00AB7ADF">
                  <w:pPr>
                    <w:pStyle w:val="Tabletext1"/>
                    <w:rPr>
                      <w:rFonts w:cs="Arial"/>
                    </w:rPr>
                  </w:pPr>
                  <w:r w:rsidRPr="00B14A4B">
                    <w:rPr>
                      <w:rFonts w:cs="Arial"/>
                    </w:rPr>
                    <w:t>T1b</w:t>
                  </w:r>
                </w:p>
                <w:p w14:paraId="34E10B1A" w14:textId="77777777" w:rsidR="00EA7BDE" w:rsidRPr="00B14A4B" w:rsidRDefault="00EA7BDE" w:rsidP="00AB7ADF">
                  <w:pPr>
                    <w:pStyle w:val="Tabletext1"/>
                    <w:rPr>
                      <w:rFonts w:cs="Arial"/>
                    </w:rPr>
                  </w:pPr>
                  <w:r w:rsidRPr="00B14A4B">
                    <w:rPr>
                      <w:rFonts w:cs="Arial"/>
                    </w:rPr>
                    <w:t>T2a</w:t>
                  </w:r>
                </w:p>
                <w:p w14:paraId="3873B19F" w14:textId="77777777" w:rsidR="00EA7BDE" w:rsidRPr="00B14A4B" w:rsidRDefault="00EA7BDE" w:rsidP="00AB7ADF">
                  <w:pPr>
                    <w:pStyle w:val="Tabletext1"/>
                    <w:rPr>
                      <w:rFonts w:cs="Arial"/>
                    </w:rPr>
                  </w:pPr>
                  <w:r w:rsidRPr="00B14A4B">
                    <w:rPr>
                      <w:rFonts w:cs="Arial"/>
                    </w:rPr>
                    <w:t>T2b</w:t>
                  </w:r>
                </w:p>
              </w:tc>
              <w:tc>
                <w:tcPr>
                  <w:tcW w:w="1805" w:type="dxa"/>
                </w:tcPr>
                <w:p w14:paraId="4971FE0C" w14:textId="77777777" w:rsidR="00EA7BDE" w:rsidRPr="00B14A4B" w:rsidRDefault="00EA7BDE" w:rsidP="00AB7ADF">
                  <w:pPr>
                    <w:pStyle w:val="Tabletext1"/>
                    <w:rPr>
                      <w:rFonts w:cs="Arial"/>
                    </w:rPr>
                  </w:pPr>
                  <w:r w:rsidRPr="00B14A4B">
                    <w:rPr>
                      <w:rFonts w:cs="Arial"/>
                    </w:rPr>
                    <w:t>N1</w:t>
                  </w:r>
                </w:p>
                <w:p w14:paraId="352BF1AB" w14:textId="77777777" w:rsidR="00EA7BDE" w:rsidRPr="00B14A4B" w:rsidRDefault="00EA7BDE" w:rsidP="00AB7ADF">
                  <w:pPr>
                    <w:pStyle w:val="Tabletext1"/>
                    <w:rPr>
                      <w:rFonts w:cs="Arial"/>
                    </w:rPr>
                  </w:pPr>
                  <w:r w:rsidRPr="00B14A4B">
                    <w:rPr>
                      <w:rFonts w:cs="Arial"/>
                    </w:rPr>
                    <w:t>N1</w:t>
                  </w:r>
                </w:p>
                <w:p w14:paraId="71E308C1" w14:textId="77777777" w:rsidR="00EA7BDE" w:rsidRPr="00B14A4B" w:rsidRDefault="00EA7BDE" w:rsidP="00AB7ADF">
                  <w:pPr>
                    <w:pStyle w:val="Tabletext1"/>
                    <w:rPr>
                      <w:rFonts w:cs="Arial"/>
                    </w:rPr>
                  </w:pPr>
                  <w:r w:rsidRPr="00B14A4B">
                    <w:rPr>
                      <w:rFonts w:cs="Arial"/>
                    </w:rPr>
                    <w:t>N1</w:t>
                  </w:r>
                </w:p>
                <w:p w14:paraId="2DD3D9F0" w14:textId="77777777" w:rsidR="00EA7BDE" w:rsidRPr="00B14A4B" w:rsidRDefault="00EA7BDE" w:rsidP="00AB7ADF">
                  <w:pPr>
                    <w:pStyle w:val="Tabletext1"/>
                    <w:rPr>
                      <w:rFonts w:cs="Arial"/>
                    </w:rPr>
                  </w:pPr>
                  <w:r w:rsidRPr="00B14A4B">
                    <w:rPr>
                      <w:rFonts w:cs="Arial"/>
                    </w:rPr>
                    <w:t>N0</w:t>
                  </w:r>
                </w:p>
              </w:tc>
              <w:tc>
                <w:tcPr>
                  <w:tcW w:w="1805" w:type="dxa"/>
                </w:tcPr>
                <w:p w14:paraId="335C8F8D" w14:textId="77777777" w:rsidR="00EA7BDE" w:rsidRPr="00B14A4B" w:rsidRDefault="00EA7BDE" w:rsidP="00AB7ADF">
                  <w:pPr>
                    <w:pStyle w:val="Tabletext1"/>
                    <w:rPr>
                      <w:rFonts w:cs="Arial"/>
                    </w:rPr>
                  </w:pPr>
                  <w:r w:rsidRPr="00B14A4B">
                    <w:rPr>
                      <w:rFonts w:cs="Arial"/>
                    </w:rPr>
                    <w:t>M0</w:t>
                  </w:r>
                </w:p>
                <w:p w14:paraId="00FBD304" w14:textId="77777777" w:rsidR="00EA7BDE" w:rsidRPr="00B14A4B" w:rsidRDefault="00EA7BDE" w:rsidP="00AB7ADF">
                  <w:pPr>
                    <w:pStyle w:val="Tabletext1"/>
                    <w:rPr>
                      <w:rFonts w:cs="Arial"/>
                    </w:rPr>
                  </w:pPr>
                  <w:r w:rsidRPr="00B14A4B">
                    <w:rPr>
                      <w:rFonts w:cs="Arial"/>
                    </w:rPr>
                    <w:t>M0</w:t>
                  </w:r>
                </w:p>
                <w:p w14:paraId="57DAFC2B" w14:textId="77777777" w:rsidR="00EA7BDE" w:rsidRPr="00B14A4B" w:rsidRDefault="00EA7BDE" w:rsidP="00AB7ADF">
                  <w:pPr>
                    <w:pStyle w:val="Tabletext1"/>
                    <w:rPr>
                      <w:rFonts w:cs="Arial"/>
                    </w:rPr>
                  </w:pPr>
                  <w:r w:rsidRPr="00B14A4B">
                    <w:rPr>
                      <w:rFonts w:cs="Arial"/>
                    </w:rPr>
                    <w:t>M0</w:t>
                  </w:r>
                </w:p>
                <w:p w14:paraId="0708F4E9" w14:textId="77777777" w:rsidR="00EA7BDE" w:rsidRPr="00B14A4B" w:rsidRDefault="00EA7BDE" w:rsidP="00AB7ADF">
                  <w:pPr>
                    <w:pStyle w:val="Tabletext1"/>
                    <w:rPr>
                      <w:rFonts w:cs="Arial"/>
                    </w:rPr>
                  </w:pPr>
                  <w:r w:rsidRPr="00B14A4B">
                    <w:rPr>
                      <w:rFonts w:cs="Arial"/>
                    </w:rPr>
                    <w:t>M0</w:t>
                  </w:r>
                </w:p>
              </w:tc>
            </w:tr>
          </w:tbl>
          <w:p w14:paraId="3DB231C4" w14:textId="77777777" w:rsidR="00EA7BDE" w:rsidRPr="00B14A4B" w:rsidRDefault="00EA7BDE" w:rsidP="00AB7ADF">
            <w:pPr>
              <w:pStyle w:val="Tabletext1"/>
              <w:rPr>
                <w:rFonts w:cs="Arial"/>
              </w:rPr>
            </w:pPr>
            <w:r w:rsidRPr="00B14A4B">
              <w:rPr>
                <w:rFonts w:cs="Arial"/>
              </w:rPr>
              <w:t xml:space="preserve">Include those studies which state that patients are not candidates for surgery for any reason. </w:t>
            </w:r>
          </w:p>
          <w:p w14:paraId="782C09EF" w14:textId="77777777" w:rsidR="00EA7BDE" w:rsidRPr="00B14A4B" w:rsidRDefault="00EA7BDE" w:rsidP="00AB7ADF">
            <w:pPr>
              <w:pStyle w:val="Tabletext1"/>
              <w:rPr>
                <w:rFonts w:cs="Arial"/>
                <w:u w:val="single"/>
              </w:rPr>
            </w:pPr>
            <w:r w:rsidRPr="00B14A4B">
              <w:rPr>
                <w:rFonts w:cs="Arial"/>
                <w:u w:val="single"/>
              </w:rPr>
              <w:t xml:space="preserve">Pre-planned subgroups </w:t>
            </w:r>
          </w:p>
          <w:p w14:paraId="4C861EF1" w14:textId="77777777" w:rsidR="00EA7BDE" w:rsidRPr="00FD6A36" w:rsidRDefault="00EA7BDE" w:rsidP="00AB7ADF">
            <w:pPr>
              <w:pStyle w:val="Tabletext1"/>
              <w:rPr>
                <w:rFonts w:asciiTheme="minorHAnsi" w:eastAsiaTheme="minorHAnsi" w:hAnsiTheme="minorHAnsi" w:cstheme="minorBidi"/>
              </w:rPr>
            </w:pPr>
            <w:r w:rsidRPr="00B14A4B">
              <w:rPr>
                <w:rFonts w:cs="Arial"/>
              </w:rPr>
              <w:t>Studies containing mixed populations outcomes will be included only for those patients with known early stage NSCLC. For patient cohorts that are mixed and where patient outcomes are not reported according to disease stage these studies will be reported separately.</w:t>
            </w:r>
          </w:p>
        </w:tc>
      </w:tr>
      <w:tr w:rsidR="00EA7BDE" w:rsidRPr="00EA7BDE" w14:paraId="1465D8BB" w14:textId="77777777" w:rsidTr="00E25E60">
        <w:trPr>
          <w:trHeight w:val="224"/>
        </w:trPr>
        <w:tc>
          <w:tcPr>
            <w:tcW w:w="1668" w:type="dxa"/>
            <w:shd w:val="clear" w:color="auto" w:fill="auto"/>
          </w:tcPr>
          <w:p w14:paraId="3E58FC1A" w14:textId="77777777" w:rsidR="00EA7BDE" w:rsidRPr="00B14A4B" w:rsidRDefault="00EA7BDE" w:rsidP="00AB7ADF">
            <w:pPr>
              <w:pStyle w:val="Tabletext1"/>
            </w:pPr>
            <w:r w:rsidRPr="00B14A4B">
              <w:t>Intervention</w:t>
            </w:r>
          </w:p>
        </w:tc>
        <w:tc>
          <w:tcPr>
            <w:tcW w:w="7365" w:type="dxa"/>
            <w:shd w:val="clear" w:color="auto" w:fill="auto"/>
          </w:tcPr>
          <w:p w14:paraId="76CC3DA5" w14:textId="77777777" w:rsidR="00EA7BDE" w:rsidRPr="00B14A4B" w:rsidRDefault="00EA7BDE" w:rsidP="00AB7ADF">
            <w:pPr>
              <w:pStyle w:val="Tabletext1"/>
            </w:pPr>
            <w:r w:rsidRPr="00B14A4B">
              <w:t xml:space="preserve">Percutaneous </w:t>
            </w:r>
            <w:r w:rsidR="00D73C8C" w:rsidRPr="00B14A4B">
              <w:t>MTA</w:t>
            </w:r>
            <w:r w:rsidRPr="00B14A4B">
              <w:t>, guidance may be CT or US</w:t>
            </w:r>
          </w:p>
        </w:tc>
      </w:tr>
      <w:tr w:rsidR="00EA7BDE" w:rsidRPr="00EA7BDE" w14:paraId="05BB2FAA" w14:textId="77777777" w:rsidTr="00E25E60">
        <w:trPr>
          <w:trHeight w:val="612"/>
        </w:trPr>
        <w:tc>
          <w:tcPr>
            <w:tcW w:w="1668" w:type="dxa"/>
            <w:shd w:val="clear" w:color="auto" w:fill="auto"/>
          </w:tcPr>
          <w:p w14:paraId="22384617" w14:textId="77777777" w:rsidR="00EA7BDE" w:rsidRPr="00B14A4B" w:rsidRDefault="00EA7BDE" w:rsidP="00AB7ADF">
            <w:pPr>
              <w:pStyle w:val="Tabletext1"/>
            </w:pPr>
            <w:r w:rsidRPr="00B14A4B">
              <w:t>Comparators</w:t>
            </w:r>
          </w:p>
        </w:tc>
        <w:tc>
          <w:tcPr>
            <w:tcW w:w="7365" w:type="dxa"/>
            <w:shd w:val="clear" w:color="auto" w:fill="auto"/>
          </w:tcPr>
          <w:p w14:paraId="63E5B71F" w14:textId="77777777" w:rsidR="00EA7BDE" w:rsidRPr="00B14A4B" w:rsidRDefault="00EA7BDE" w:rsidP="00AB7ADF">
            <w:pPr>
              <w:pStyle w:val="Tabletext1"/>
            </w:pPr>
            <w:r w:rsidRPr="00B14A4B">
              <w:t xml:space="preserve">Percutaneous </w:t>
            </w:r>
            <w:r w:rsidR="00D73C8C" w:rsidRPr="00B14A4B">
              <w:t>RFA</w:t>
            </w:r>
          </w:p>
          <w:p w14:paraId="7EAF0722" w14:textId="77777777" w:rsidR="00EA7BDE" w:rsidRPr="00B14A4B" w:rsidRDefault="00EA7BDE" w:rsidP="00AB7ADF">
            <w:pPr>
              <w:pStyle w:val="Tabletext1"/>
              <w:rPr>
                <w:u w:val="single"/>
              </w:rPr>
            </w:pPr>
            <w:r w:rsidRPr="00B14A4B">
              <w:rPr>
                <w:u w:val="single"/>
              </w:rPr>
              <w:t>Current best practice radiotherapy with or without chemotherapy</w:t>
            </w:r>
            <w:r w:rsidR="0028328A">
              <w:rPr>
                <w:u w:val="single"/>
              </w:rPr>
              <w:t>:</w:t>
            </w:r>
          </w:p>
          <w:p w14:paraId="1BB1B29E" w14:textId="77777777" w:rsidR="00EA7BDE" w:rsidRPr="00B14A4B" w:rsidRDefault="00EA7BDE" w:rsidP="009970F5">
            <w:pPr>
              <w:pStyle w:val="Tabletext1"/>
              <w:numPr>
                <w:ilvl w:val="0"/>
                <w:numId w:val="79"/>
              </w:numPr>
            </w:pPr>
            <w:r w:rsidRPr="00B14A4B">
              <w:t>Radical radiotherapy</w:t>
            </w:r>
          </w:p>
          <w:p w14:paraId="0B1E1644" w14:textId="77777777" w:rsidR="00EA7BDE" w:rsidRPr="00B14A4B" w:rsidRDefault="00EA7BDE" w:rsidP="009970F5">
            <w:pPr>
              <w:pStyle w:val="Tabletext1"/>
              <w:numPr>
                <w:ilvl w:val="0"/>
                <w:numId w:val="79"/>
              </w:numPr>
            </w:pPr>
            <w:r w:rsidRPr="00B14A4B">
              <w:t>Image guided radiotherapy</w:t>
            </w:r>
          </w:p>
          <w:p w14:paraId="1C48F164" w14:textId="77777777" w:rsidR="00EA7BDE" w:rsidRPr="00B14A4B" w:rsidRDefault="00EA7BDE" w:rsidP="009970F5">
            <w:pPr>
              <w:pStyle w:val="Tabletext1"/>
              <w:numPr>
                <w:ilvl w:val="0"/>
                <w:numId w:val="79"/>
              </w:numPr>
            </w:pPr>
            <w:r w:rsidRPr="00B14A4B">
              <w:t>Intensity modulated radiotherapy</w:t>
            </w:r>
          </w:p>
          <w:p w14:paraId="35615621" w14:textId="77777777" w:rsidR="00EA7BDE" w:rsidRPr="00B14A4B" w:rsidRDefault="00EA7BDE" w:rsidP="009970F5">
            <w:pPr>
              <w:pStyle w:val="Tabletext1"/>
              <w:numPr>
                <w:ilvl w:val="0"/>
                <w:numId w:val="79"/>
              </w:numPr>
            </w:pPr>
            <w:r w:rsidRPr="00B14A4B">
              <w:t>Stereotactic body radiotherapy</w:t>
            </w:r>
          </w:p>
          <w:p w14:paraId="723210CB" w14:textId="77777777" w:rsidR="00EA7BDE" w:rsidRPr="00B14A4B" w:rsidRDefault="00EA7BDE" w:rsidP="009970F5">
            <w:pPr>
              <w:pStyle w:val="Tabletext1"/>
              <w:numPr>
                <w:ilvl w:val="0"/>
                <w:numId w:val="79"/>
              </w:numPr>
            </w:pPr>
            <w:r w:rsidRPr="00B14A4B">
              <w:t>Continuous hyperfractionated accelerated radiotherapy</w:t>
            </w:r>
          </w:p>
        </w:tc>
      </w:tr>
      <w:tr w:rsidR="00EA7BDE" w:rsidRPr="00EA7BDE" w14:paraId="1F8DB777" w14:textId="77777777" w:rsidTr="00E25E60">
        <w:trPr>
          <w:trHeight w:val="547"/>
        </w:trPr>
        <w:tc>
          <w:tcPr>
            <w:tcW w:w="1668" w:type="dxa"/>
            <w:tcBorders>
              <w:bottom w:val="single" w:sz="4" w:space="0" w:color="auto"/>
            </w:tcBorders>
            <w:shd w:val="clear" w:color="auto" w:fill="auto"/>
          </w:tcPr>
          <w:p w14:paraId="7920403B" w14:textId="77777777" w:rsidR="00EA7BDE" w:rsidRPr="00B14A4B" w:rsidRDefault="00EA7BDE" w:rsidP="00AB7ADF">
            <w:pPr>
              <w:pStyle w:val="Tabletext1"/>
            </w:pPr>
            <w:r w:rsidRPr="00B14A4B">
              <w:t>Outcomes</w:t>
            </w:r>
          </w:p>
        </w:tc>
        <w:tc>
          <w:tcPr>
            <w:tcW w:w="7365" w:type="dxa"/>
            <w:tcBorders>
              <w:bottom w:val="single" w:sz="4" w:space="0" w:color="auto"/>
            </w:tcBorders>
            <w:shd w:val="clear" w:color="auto" w:fill="auto"/>
          </w:tcPr>
          <w:p w14:paraId="654D0F77" w14:textId="77777777" w:rsidR="00EA7BDE" w:rsidRPr="00B14A4B" w:rsidRDefault="00EA7BDE" w:rsidP="00AB7ADF">
            <w:pPr>
              <w:pStyle w:val="Tabletext1"/>
              <w:rPr>
                <w:rFonts w:cs="Arial"/>
              </w:rPr>
            </w:pPr>
            <w:r w:rsidRPr="00B14A4B">
              <w:rPr>
                <w:rFonts w:cs="Arial"/>
              </w:rPr>
              <w:t xml:space="preserve">Critical for decision making: </w:t>
            </w:r>
            <w:r w:rsidR="004906BC">
              <w:rPr>
                <w:rFonts w:cs="Arial"/>
              </w:rPr>
              <w:t>A</w:t>
            </w:r>
            <w:r w:rsidR="004906BC" w:rsidRPr="00B14A4B">
              <w:rPr>
                <w:rFonts w:cs="Arial"/>
              </w:rPr>
              <w:t xml:space="preserve">ny </w:t>
            </w:r>
            <w:r w:rsidRPr="00B14A4B">
              <w:rPr>
                <w:rFonts w:cs="Arial"/>
              </w:rPr>
              <w:t xml:space="preserve">immediate or delayed adverse event or mortality related to the procedure or </w:t>
            </w:r>
            <w:r w:rsidR="003B7A57" w:rsidRPr="00B14A4B">
              <w:rPr>
                <w:rFonts w:cs="Arial"/>
              </w:rPr>
              <w:t>anaesthesia</w:t>
            </w:r>
          </w:p>
          <w:p w14:paraId="58574822" w14:textId="77777777" w:rsidR="00EA7BDE" w:rsidRPr="00B14A4B" w:rsidRDefault="00EA7BDE" w:rsidP="00AB7ADF">
            <w:pPr>
              <w:pStyle w:val="Tabletext1"/>
              <w:rPr>
                <w:rFonts w:cs="Arial"/>
              </w:rPr>
            </w:pPr>
            <w:r w:rsidRPr="00B14A4B">
              <w:rPr>
                <w:rFonts w:cs="Arial"/>
              </w:rPr>
              <w:t xml:space="preserve">Important, but not critical for decision making: </w:t>
            </w:r>
            <w:r w:rsidR="004906BC">
              <w:rPr>
                <w:rFonts w:cs="Arial"/>
              </w:rPr>
              <w:t>N</w:t>
            </w:r>
            <w:r w:rsidR="004906BC" w:rsidRPr="00B14A4B">
              <w:rPr>
                <w:rFonts w:cs="Arial"/>
              </w:rPr>
              <w:t xml:space="preserve">ot </w:t>
            </w:r>
            <w:r w:rsidRPr="00B14A4B">
              <w:rPr>
                <w:rFonts w:cs="Arial"/>
              </w:rPr>
              <w:t>applicable</w:t>
            </w:r>
          </w:p>
          <w:p w14:paraId="27771C84" w14:textId="77777777" w:rsidR="00EA7BDE" w:rsidRPr="00B14A4B" w:rsidRDefault="00EA7BDE" w:rsidP="00AB7ADF">
            <w:pPr>
              <w:pStyle w:val="Tabletext1"/>
              <w:rPr>
                <w:rFonts w:cs="Arial"/>
              </w:rPr>
            </w:pPr>
            <w:r w:rsidRPr="00B14A4B">
              <w:rPr>
                <w:rFonts w:cs="Arial"/>
              </w:rPr>
              <w:t xml:space="preserve">Low importance for decision making: </w:t>
            </w:r>
            <w:r w:rsidR="004906BC">
              <w:rPr>
                <w:rFonts w:cs="Arial"/>
              </w:rPr>
              <w:t>N</w:t>
            </w:r>
            <w:r w:rsidR="004906BC" w:rsidRPr="00B14A4B">
              <w:rPr>
                <w:rFonts w:cs="Arial"/>
              </w:rPr>
              <w:t xml:space="preserve">ot </w:t>
            </w:r>
            <w:r w:rsidRPr="00B14A4B">
              <w:rPr>
                <w:rFonts w:cs="Arial"/>
              </w:rPr>
              <w:t>applicable</w:t>
            </w:r>
          </w:p>
        </w:tc>
      </w:tr>
      <w:tr w:rsidR="00EA7BDE" w:rsidRPr="00EA7BDE" w14:paraId="08347C25" w14:textId="77777777" w:rsidTr="00E25E60">
        <w:trPr>
          <w:trHeight w:val="493"/>
        </w:trPr>
        <w:tc>
          <w:tcPr>
            <w:tcW w:w="1668" w:type="dxa"/>
            <w:tcBorders>
              <w:top w:val="single" w:sz="4" w:space="0" w:color="auto"/>
              <w:bottom w:val="single" w:sz="4" w:space="0" w:color="auto"/>
            </w:tcBorders>
            <w:shd w:val="clear" w:color="auto" w:fill="auto"/>
          </w:tcPr>
          <w:p w14:paraId="1AC41CF6" w14:textId="77777777" w:rsidR="00EA7BDE" w:rsidRPr="00B14A4B" w:rsidRDefault="00EA7BDE" w:rsidP="00AB7ADF">
            <w:pPr>
              <w:pStyle w:val="Tabletext1"/>
            </w:pPr>
            <w:r w:rsidRPr="00B14A4B">
              <w:t>Systematic review question</w:t>
            </w:r>
          </w:p>
        </w:tc>
        <w:tc>
          <w:tcPr>
            <w:tcW w:w="7365" w:type="dxa"/>
            <w:tcBorders>
              <w:top w:val="single" w:sz="4" w:space="0" w:color="auto"/>
              <w:bottom w:val="single" w:sz="4" w:space="0" w:color="auto"/>
            </w:tcBorders>
            <w:shd w:val="clear" w:color="auto" w:fill="auto"/>
          </w:tcPr>
          <w:p w14:paraId="7097BCD7" w14:textId="77777777" w:rsidR="00EA7BDE" w:rsidRPr="00B14A4B" w:rsidRDefault="00EA7BDE" w:rsidP="00AB7ADF">
            <w:pPr>
              <w:pStyle w:val="Tabletext1"/>
              <w:rPr>
                <w:rFonts w:cs="Arial"/>
              </w:rPr>
            </w:pPr>
            <w:r w:rsidRPr="00B14A4B">
              <w:rPr>
                <w:rFonts w:cs="Arial"/>
              </w:rPr>
              <w:t xml:space="preserve">What is the safety profile of microwave </w:t>
            </w:r>
            <w:r w:rsidR="0066456D" w:rsidRPr="00B14A4B">
              <w:rPr>
                <w:rFonts w:cs="Arial"/>
              </w:rPr>
              <w:t>tissue</w:t>
            </w:r>
            <w:r w:rsidRPr="00B14A4B">
              <w:rPr>
                <w:rFonts w:cs="Arial"/>
              </w:rPr>
              <w:t xml:space="preserve"> ablation in patients with early stage inoperable NSCLC as compared to radiofrequency ablation or current best practice radiotherapy with or without chemotherapy? </w:t>
            </w:r>
          </w:p>
        </w:tc>
      </w:tr>
    </w:tbl>
    <w:p w14:paraId="608B4A9E" w14:textId="77777777" w:rsidR="00EA7BDE" w:rsidRDefault="00DF4CDE" w:rsidP="000269A7">
      <w:pPr>
        <w:pStyle w:val="Tablenotes0"/>
      </w:pPr>
      <w:r>
        <w:t xml:space="preserve">&lt; </w:t>
      </w:r>
      <w:r w:rsidR="000269A7">
        <w:t>CT</w:t>
      </w:r>
      <w:r w:rsidR="008E5DEC">
        <w:t xml:space="preserve"> </w:t>
      </w:r>
      <w:r w:rsidR="000269A7">
        <w:t xml:space="preserve">= computed tomography; </w:t>
      </w:r>
      <w:r w:rsidR="000269A7" w:rsidRPr="000269A7">
        <w:t>MTA</w:t>
      </w:r>
      <w:r w:rsidR="008E5DEC">
        <w:t xml:space="preserve"> </w:t>
      </w:r>
      <w:r w:rsidR="000269A7">
        <w:t>=</w:t>
      </w:r>
      <w:r w:rsidR="000269A7" w:rsidRPr="000269A7">
        <w:t xml:space="preserve"> microwave tissue ablation</w:t>
      </w:r>
      <w:r w:rsidR="000269A7">
        <w:t>;</w:t>
      </w:r>
      <w:r w:rsidR="004906BC">
        <w:t xml:space="preserve"> </w:t>
      </w:r>
      <w:r w:rsidR="004906BC" w:rsidRPr="000269A7">
        <w:t>NSCLC</w:t>
      </w:r>
      <w:r w:rsidR="008E5DEC">
        <w:t xml:space="preserve"> </w:t>
      </w:r>
      <w:r w:rsidR="004906BC" w:rsidRPr="000269A7">
        <w:t>= non-small cell lung cancer</w:t>
      </w:r>
      <w:r w:rsidR="004906BC">
        <w:t xml:space="preserve">; </w:t>
      </w:r>
      <w:r w:rsidR="000269A7">
        <w:t>RFA</w:t>
      </w:r>
      <w:r w:rsidR="008E5DEC">
        <w:t xml:space="preserve"> </w:t>
      </w:r>
      <w:r w:rsidR="000269A7">
        <w:t>= radiofrequency ablation</w:t>
      </w:r>
      <w:r w:rsidR="004906BC">
        <w:t>; US</w:t>
      </w:r>
      <w:r w:rsidR="008E5DEC">
        <w:t xml:space="preserve"> </w:t>
      </w:r>
      <w:r>
        <w:t>= ultrasound &gt;</w:t>
      </w:r>
    </w:p>
    <w:p w14:paraId="5ABA6B8F" w14:textId="77777777" w:rsidR="00EA7BDE" w:rsidRDefault="00EA7BDE" w:rsidP="001B00A6">
      <w:pPr>
        <w:pStyle w:val="Caption"/>
        <w:keepNext/>
        <w:spacing w:before="500"/>
        <w:ind w:left="1134" w:hanging="1134"/>
      </w:pPr>
      <w:bookmarkStart w:id="178" w:name="_Ref457388340"/>
      <w:bookmarkStart w:id="179" w:name="_Toc460514764"/>
      <w:r>
        <w:lastRenderedPageBreak/>
        <w:t xml:space="preserve">Box </w:t>
      </w:r>
      <w:fldSimple w:instr=" SEQ Box \* ARABIC ">
        <w:r w:rsidR="00D170A5">
          <w:rPr>
            <w:noProof/>
          </w:rPr>
          <w:t>2</w:t>
        </w:r>
      </w:fldSimple>
      <w:bookmarkEnd w:id="178"/>
      <w:r w:rsidR="001B00A6">
        <w:tab/>
      </w:r>
      <w:r>
        <w:t>Criteria for identifying and selecting studies to determine the effectiveness of MTA in patients with early stage, inoperable NSCLC</w:t>
      </w:r>
      <w:bookmarkEnd w:id="179"/>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668"/>
        <w:gridCol w:w="7371"/>
      </w:tblGrid>
      <w:tr w:rsidR="00EA7BDE" w:rsidRPr="00FD6A36" w14:paraId="3D8DA814" w14:textId="77777777" w:rsidTr="00E25E60">
        <w:trPr>
          <w:trHeight w:val="263"/>
        </w:trPr>
        <w:tc>
          <w:tcPr>
            <w:tcW w:w="1668" w:type="dxa"/>
            <w:tcBorders>
              <w:top w:val="single" w:sz="4" w:space="0" w:color="auto"/>
              <w:bottom w:val="single" w:sz="4" w:space="0" w:color="auto"/>
            </w:tcBorders>
            <w:shd w:val="clear" w:color="auto" w:fill="D9D9D9" w:themeFill="background1" w:themeFillShade="D9"/>
          </w:tcPr>
          <w:p w14:paraId="3CBD36D3" w14:textId="77777777" w:rsidR="00EA7BDE" w:rsidRPr="00A8661B" w:rsidRDefault="00EA7BDE" w:rsidP="00A8661B">
            <w:pPr>
              <w:pStyle w:val="Tabletext1"/>
              <w:rPr>
                <w:b/>
              </w:rPr>
            </w:pPr>
            <w:r w:rsidRPr="00A8661B">
              <w:rPr>
                <w:b/>
              </w:rPr>
              <w:t>Selection criteria</w:t>
            </w:r>
          </w:p>
        </w:tc>
        <w:tc>
          <w:tcPr>
            <w:tcW w:w="7371" w:type="dxa"/>
            <w:tcBorders>
              <w:top w:val="single" w:sz="4" w:space="0" w:color="auto"/>
              <w:bottom w:val="single" w:sz="4" w:space="0" w:color="auto"/>
            </w:tcBorders>
            <w:shd w:val="clear" w:color="auto" w:fill="D9D9D9" w:themeFill="background1" w:themeFillShade="D9"/>
          </w:tcPr>
          <w:p w14:paraId="41ED0961" w14:textId="77777777" w:rsidR="00EA7BDE" w:rsidRPr="00A8661B" w:rsidRDefault="00EA7BDE" w:rsidP="00A8661B">
            <w:pPr>
              <w:pStyle w:val="Tabletext1"/>
              <w:rPr>
                <w:rFonts w:cs="Arial"/>
                <w:b/>
              </w:rPr>
            </w:pPr>
            <w:r w:rsidRPr="00A8661B">
              <w:rPr>
                <w:rFonts w:cs="Arial"/>
                <w:b/>
              </w:rPr>
              <w:t>Description</w:t>
            </w:r>
          </w:p>
        </w:tc>
      </w:tr>
      <w:tr w:rsidR="00EA7BDE" w:rsidRPr="00FD6A36" w14:paraId="0CA79752" w14:textId="77777777" w:rsidTr="00E25E60">
        <w:tc>
          <w:tcPr>
            <w:tcW w:w="1668" w:type="dxa"/>
            <w:tcBorders>
              <w:top w:val="single" w:sz="4" w:space="0" w:color="auto"/>
            </w:tcBorders>
            <w:shd w:val="clear" w:color="auto" w:fill="auto"/>
          </w:tcPr>
          <w:p w14:paraId="7E75D8EF" w14:textId="77777777" w:rsidR="00EA7BDE" w:rsidRPr="00B14A4B" w:rsidRDefault="00EA7BDE" w:rsidP="00A8661B">
            <w:pPr>
              <w:pStyle w:val="Tabletext1"/>
            </w:pPr>
            <w:r w:rsidRPr="00B14A4B">
              <w:t>Population</w:t>
            </w:r>
          </w:p>
        </w:tc>
        <w:tc>
          <w:tcPr>
            <w:tcW w:w="7371" w:type="dxa"/>
            <w:tcBorders>
              <w:top w:val="single" w:sz="4" w:space="0" w:color="auto"/>
            </w:tcBorders>
            <w:shd w:val="clear" w:color="auto" w:fill="auto"/>
          </w:tcPr>
          <w:p w14:paraId="0A104895" w14:textId="77777777" w:rsidR="00EA7BDE" w:rsidRPr="00B14A4B" w:rsidRDefault="00EA7BDE" w:rsidP="00A8661B">
            <w:pPr>
              <w:pStyle w:val="Tabletext1"/>
              <w:rPr>
                <w:rFonts w:cs="Arial"/>
              </w:rPr>
            </w:pPr>
            <w:r w:rsidRPr="00B14A4B">
              <w:rPr>
                <w:rFonts w:cs="Arial"/>
                <w:u w:val="single"/>
              </w:rPr>
              <w:t>Patients with early stage, inoperable NSCLC</w:t>
            </w:r>
            <w:r w:rsidRPr="00B14A4B">
              <w:rPr>
                <w:rFonts w:cs="Arial"/>
              </w:rPr>
              <w:t>.</w:t>
            </w:r>
          </w:p>
          <w:p w14:paraId="2DBD2411" w14:textId="77777777" w:rsidR="00EA7BDE" w:rsidRPr="00B14A4B" w:rsidRDefault="00EA7BDE" w:rsidP="00A8661B">
            <w:pPr>
              <w:pStyle w:val="Tabletext1"/>
              <w:rPr>
                <w:rFonts w:cs="Arial"/>
              </w:rPr>
            </w:pPr>
            <w:r w:rsidRPr="00B14A4B">
              <w:rPr>
                <w:rFonts w:cs="Arial"/>
              </w:rPr>
              <w:t>Include those studies in which patients are said to have ‘early stage’ NSCLC, stage I NSCLC or stage IIa NSCLC. Alternatively, studies reporting staging as TNM, early stage includes:</w:t>
            </w:r>
          </w:p>
          <w:tbl>
            <w:tblPr>
              <w:tblStyle w:val="TableGrid5"/>
              <w:tblW w:w="0" w:type="auto"/>
              <w:tblLook w:val="04A0" w:firstRow="1" w:lastRow="0" w:firstColumn="1" w:lastColumn="0" w:noHBand="0" w:noVBand="1"/>
              <w:tblCaption w:val="Box 2"/>
              <w:tblDescription w:val="Tumour staging"/>
            </w:tblPr>
            <w:tblGrid>
              <w:gridCol w:w="1947"/>
              <w:gridCol w:w="1735"/>
              <w:gridCol w:w="1731"/>
              <w:gridCol w:w="1732"/>
            </w:tblGrid>
            <w:tr w:rsidR="00EA7BDE" w:rsidRPr="00FD6A36" w14:paraId="4D4C9BE9" w14:textId="77777777" w:rsidTr="006C7673">
              <w:trPr>
                <w:tblHeader/>
              </w:trPr>
              <w:tc>
                <w:tcPr>
                  <w:tcW w:w="2022" w:type="dxa"/>
                </w:tcPr>
                <w:p w14:paraId="4C1D72E5" w14:textId="77777777" w:rsidR="00EA7BDE" w:rsidRPr="00B14A4B" w:rsidRDefault="00EA7BDE" w:rsidP="00A3475E">
                  <w:pPr>
                    <w:pStyle w:val="Tabletext1"/>
                    <w:spacing w:before="40" w:after="40" w:line="240" w:lineRule="auto"/>
                    <w:rPr>
                      <w:rFonts w:cs="Arial"/>
                    </w:rPr>
                  </w:pPr>
                  <w:r w:rsidRPr="00B14A4B">
                    <w:rPr>
                      <w:rFonts w:cs="Arial"/>
                    </w:rPr>
                    <w:t>Stage</w:t>
                  </w:r>
                </w:p>
              </w:tc>
              <w:tc>
                <w:tcPr>
                  <w:tcW w:w="1805" w:type="dxa"/>
                </w:tcPr>
                <w:p w14:paraId="20CDA96A" w14:textId="77777777" w:rsidR="00EA7BDE" w:rsidRPr="00B14A4B" w:rsidRDefault="00EA7BDE" w:rsidP="00A3475E">
                  <w:pPr>
                    <w:pStyle w:val="Tabletext1"/>
                    <w:spacing w:before="40" w:after="40" w:line="240" w:lineRule="auto"/>
                    <w:rPr>
                      <w:rFonts w:cs="Arial"/>
                    </w:rPr>
                  </w:pPr>
                  <w:r w:rsidRPr="00B14A4B">
                    <w:rPr>
                      <w:rFonts w:cs="Arial"/>
                    </w:rPr>
                    <w:t>T</w:t>
                  </w:r>
                </w:p>
              </w:tc>
              <w:tc>
                <w:tcPr>
                  <w:tcW w:w="1805" w:type="dxa"/>
                </w:tcPr>
                <w:p w14:paraId="0CE90268" w14:textId="77777777" w:rsidR="00EA7BDE" w:rsidRPr="00B14A4B" w:rsidRDefault="00EA7BDE" w:rsidP="00A3475E">
                  <w:pPr>
                    <w:pStyle w:val="Tabletext1"/>
                    <w:spacing w:before="40" w:after="40" w:line="240" w:lineRule="auto"/>
                    <w:rPr>
                      <w:rFonts w:cs="Arial"/>
                    </w:rPr>
                  </w:pPr>
                  <w:r w:rsidRPr="00B14A4B">
                    <w:rPr>
                      <w:rFonts w:cs="Arial"/>
                    </w:rPr>
                    <w:t>N</w:t>
                  </w:r>
                </w:p>
              </w:tc>
              <w:tc>
                <w:tcPr>
                  <w:tcW w:w="1805" w:type="dxa"/>
                </w:tcPr>
                <w:p w14:paraId="620DFA6A" w14:textId="77777777" w:rsidR="00EA7BDE" w:rsidRPr="00B14A4B" w:rsidRDefault="00EA7BDE" w:rsidP="00A3475E">
                  <w:pPr>
                    <w:pStyle w:val="Tabletext1"/>
                    <w:spacing w:before="40" w:after="40" w:line="240" w:lineRule="auto"/>
                    <w:rPr>
                      <w:rFonts w:cs="Arial"/>
                    </w:rPr>
                  </w:pPr>
                  <w:r w:rsidRPr="00B14A4B">
                    <w:rPr>
                      <w:rFonts w:cs="Arial"/>
                    </w:rPr>
                    <w:t>M</w:t>
                  </w:r>
                </w:p>
              </w:tc>
            </w:tr>
            <w:tr w:rsidR="00EA7BDE" w:rsidRPr="00FD6A36" w14:paraId="2F934769" w14:textId="77777777" w:rsidTr="00EA7BDE">
              <w:tc>
                <w:tcPr>
                  <w:tcW w:w="2022" w:type="dxa"/>
                </w:tcPr>
                <w:p w14:paraId="0F060699" w14:textId="77777777" w:rsidR="00EA7BDE" w:rsidRPr="00B14A4B" w:rsidRDefault="00EA7BDE" w:rsidP="00A3475E">
                  <w:pPr>
                    <w:pStyle w:val="Tabletext1"/>
                    <w:spacing w:before="40" w:after="40" w:line="240" w:lineRule="auto"/>
                    <w:rPr>
                      <w:rFonts w:cs="Arial"/>
                    </w:rPr>
                  </w:pPr>
                  <w:r w:rsidRPr="00B14A4B">
                    <w:rPr>
                      <w:rFonts w:cs="Arial"/>
                    </w:rPr>
                    <w:t>0</w:t>
                  </w:r>
                </w:p>
              </w:tc>
              <w:tc>
                <w:tcPr>
                  <w:tcW w:w="1805" w:type="dxa"/>
                </w:tcPr>
                <w:p w14:paraId="7537E3F6" w14:textId="77777777" w:rsidR="00EA7BDE" w:rsidRPr="00B14A4B" w:rsidRDefault="00EA7BDE" w:rsidP="00A3475E">
                  <w:pPr>
                    <w:pStyle w:val="Tabletext1"/>
                    <w:spacing w:before="40" w:after="40" w:line="240" w:lineRule="auto"/>
                    <w:rPr>
                      <w:rFonts w:cs="Arial"/>
                    </w:rPr>
                  </w:pPr>
                  <w:r w:rsidRPr="00B14A4B">
                    <w:rPr>
                      <w:rFonts w:cs="Arial"/>
                    </w:rPr>
                    <w:t>Tis</w:t>
                  </w:r>
                </w:p>
              </w:tc>
              <w:tc>
                <w:tcPr>
                  <w:tcW w:w="1805" w:type="dxa"/>
                </w:tcPr>
                <w:p w14:paraId="7C314009" w14:textId="77777777" w:rsidR="00EA7BDE" w:rsidRPr="00B14A4B" w:rsidRDefault="00EA7BDE" w:rsidP="00A3475E">
                  <w:pPr>
                    <w:pStyle w:val="Tabletext1"/>
                    <w:spacing w:before="40" w:after="40" w:line="240" w:lineRule="auto"/>
                    <w:rPr>
                      <w:rFonts w:cs="Arial"/>
                    </w:rPr>
                  </w:pPr>
                  <w:r w:rsidRPr="00B14A4B">
                    <w:rPr>
                      <w:rFonts w:cs="Arial"/>
                    </w:rPr>
                    <w:t>N0</w:t>
                  </w:r>
                </w:p>
              </w:tc>
              <w:tc>
                <w:tcPr>
                  <w:tcW w:w="1805" w:type="dxa"/>
                </w:tcPr>
                <w:p w14:paraId="08729A3A" w14:textId="77777777" w:rsidR="00EA7BDE" w:rsidRPr="00B14A4B" w:rsidRDefault="00EA7BDE" w:rsidP="00A3475E">
                  <w:pPr>
                    <w:pStyle w:val="Tabletext1"/>
                    <w:spacing w:before="40" w:after="40" w:line="240" w:lineRule="auto"/>
                    <w:rPr>
                      <w:rFonts w:cs="Arial"/>
                    </w:rPr>
                  </w:pPr>
                  <w:r w:rsidRPr="00B14A4B">
                    <w:rPr>
                      <w:rFonts w:cs="Arial"/>
                    </w:rPr>
                    <w:t>M0</w:t>
                  </w:r>
                </w:p>
              </w:tc>
            </w:tr>
            <w:tr w:rsidR="00EA7BDE" w:rsidRPr="00FD6A36" w14:paraId="7C18FF75" w14:textId="77777777" w:rsidTr="00EA7BDE">
              <w:trPr>
                <w:trHeight w:val="547"/>
              </w:trPr>
              <w:tc>
                <w:tcPr>
                  <w:tcW w:w="2022" w:type="dxa"/>
                </w:tcPr>
                <w:p w14:paraId="402764A8" w14:textId="77777777" w:rsidR="00EA7BDE" w:rsidRPr="00B14A4B" w:rsidRDefault="00EA7BDE" w:rsidP="00A3475E">
                  <w:pPr>
                    <w:pStyle w:val="Tabletext1"/>
                    <w:spacing w:before="40" w:after="40" w:line="240" w:lineRule="auto"/>
                    <w:rPr>
                      <w:rFonts w:cs="Arial"/>
                    </w:rPr>
                  </w:pPr>
                  <w:r w:rsidRPr="00B14A4B">
                    <w:rPr>
                      <w:rFonts w:cs="Arial"/>
                    </w:rPr>
                    <w:t>IA</w:t>
                  </w:r>
                </w:p>
              </w:tc>
              <w:tc>
                <w:tcPr>
                  <w:tcW w:w="1805" w:type="dxa"/>
                </w:tcPr>
                <w:p w14:paraId="424D4EE2" w14:textId="77777777" w:rsidR="00EA7BDE" w:rsidRPr="00B14A4B" w:rsidRDefault="00EA7BDE" w:rsidP="00A3475E">
                  <w:pPr>
                    <w:pStyle w:val="Tabletext1"/>
                    <w:spacing w:before="40" w:after="40" w:line="240" w:lineRule="auto"/>
                    <w:rPr>
                      <w:rFonts w:cs="Arial"/>
                    </w:rPr>
                  </w:pPr>
                  <w:r w:rsidRPr="00B14A4B">
                    <w:rPr>
                      <w:rFonts w:cs="Arial"/>
                    </w:rPr>
                    <w:t>T1a</w:t>
                  </w:r>
                </w:p>
                <w:p w14:paraId="2AD80361" w14:textId="77777777" w:rsidR="00EA7BDE" w:rsidRPr="00B14A4B" w:rsidRDefault="00EA7BDE" w:rsidP="00A3475E">
                  <w:pPr>
                    <w:pStyle w:val="Tabletext1"/>
                    <w:spacing w:before="40" w:after="40" w:line="240" w:lineRule="auto"/>
                    <w:rPr>
                      <w:rFonts w:cs="Arial"/>
                    </w:rPr>
                  </w:pPr>
                  <w:r w:rsidRPr="00B14A4B">
                    <w:rPr>
                      <w:rFonts w:cs="Arial"/>
                    </w:rPr>
                    <w:t>T1b</w:t>
                  </w:r>
                </w:p>
              </w:tc>
              <w:tc>
                <w:tcPr>
                  <w:tcW w:w="1805" w:type="dxa"/>
                </w:tcPr>
                <w:p w14:paraId="3C065A75" w14:textId="77777777" w:rsidR="00EA7BDE" w:rsidRPr="00B14A4B" w:rsidRDefault="00EA7BDE" w:rsidP="00A3475E">
                  <w:pPr>
                    <w:pStyle w:val="Tabletext1"/>
                    <w:spacing w:before="40" w:after="40" w:line="240" w:lineRule="auto"/>
                    <w:rPr>
                      <w:rFonts w:cs="Arial"/>
                    </w:rPr>
                  </w:pPr>
                  <w:r w:rsidRPr="00B14A4B">
                    <w:rPr>
                      <w:rFonts w:cs="Arial"/>
                    </w:rPr>
                    <w:t>N0</w:t>
                  </w:r>
                </w:p>
                <w:p w14:paraId="5AC91983" w14:textId="77777777" w:rsidR="00EA7BDE" w:rsidRPr="00B14A4B" w:rsidRDefault="00EA7BDE" w:rsidP="00A3475E">
                  <w:pPr>
                    <w:pStyle w:val="Tabletext1"/>
                    <w:spacing w:before="40" w:after="40" w:line="240" w:lineRule="auto"/>
                    <w:rPr>
                      <w:rFonts w:cs="Arial"/>
                    </w:rPr>
                  </w:pPr>
                  <w:r w:rsidRPr="00B14A4B">
                    <w:rPr>
                      <w:rFonts w:cs="Arial"/>
                    </w:rPr>
                    <w:t>N0</w:t>
                  </w:r>
                </w:p>
              </w:tc>
              <w:tc>
                <w:tcPr>
                  <w:tcW w:w="1805" w:type="dxa"/>
                </w:tcPr>
                <w:p w14:paraId="6FE49CB7" w14:textId="77777777" w:rsidR="00EA7BDE" w:rsidRPr="00B14A4B" w:rsidRDefault="00EA7BDE" w:rsidP="00A3475E">
                  <w:pPr>
                    <w:pStyle w:val="Tabletext1"/>
                    <w:spacing w:before="40" w:after="40" w:line="240" w:lineRule="auto"/>
                    <w:rPr>
                      <w:rFonts w:cs="Arial"/>
                    </w:rPr>
                  </w:pPr>
                  <w:r w:rsidRPr="00B14A4B">
                    <w:rPr>
                      <w:rFonts w:cs="Arial"/>
                    </w:rPr>
                    <w:t>M0</w:t>
                  </w:r>
                </w:p>
                <w:p w14:paraId="305D086D" w14:textId="77777777" w:rsidR="00EA7BDE" w:rsidRPr="00B14A4B" w:rsidRDefault="00EA7BDE" w:rsidP="00A3475E">
                  <w:pPr>
                    <w:pStyle w:val="Tabletext1"/>
                    <w:spacing w:before="40" w:after="40" w:line="240" w:lineRule="auto"/>
                    <w:rPr>
                      <w:rFonts w:cs="Arial"/>
                    </w:rPr>
                  </w:pPr>
                  <w:r w:rsidRPr="00B14A4B">
                    <w:rPr>
                      <w:rFonts w:cs="Arial"/>
                    </w:rPr>
                    <w:t>M0</w:t>
                  </w:r>
                </w:p>
              </w:tc>
            </w:tr>
            <w:tr w:rsidR="00EA7BDE" w:rsidRPr="00FD6A36" w14:paraId="12B1E60A" w14:textId="77777777" w:rsidTr="00EA7BDE">
              <w:tc>
                <w:tcPr>
                  <w:tcW w:w="2022" w:type="dxa"/>
                </w:tcPr>
                <w:p w14:paraId="660D1EBE" w14:textId="77777777" w:rsidR="00EA7BDE" w:rsidRPr="00B14A4B" w:rsidRDefault="00EA7BDE" w:rsidP="00A3475E">
                  <w:pPr>
                    <w:pStyle w:val="Tabletext1"/>
                    <w:spacing w:before="40" w:after="40" w:line="240" w:lineRule="auto"/>
                    <w:rPr>
                      <w:rFonts w:cs="Arial"/>
                    </w:rPr>
                  </w:pPr>
                  <w:r w:rsidRPr="00B14A4B">
                    <w:rPr>
                      <w:rFonts w:cs="Arial"/>
                    </w:rPr>
                    <w:t>IB</w:t>
                  </w:r>
                </w:p>
              </w:tc>
              <w:tc>
                <w:tcPr>
                  <w:tcW w:w="1805" w:type="dxa"/>
                </w:tcPr>
                <w:p w14:paraId="206146F4" w14:textId="77777777" w:rsidR="00EA7BDE" w:rsidRPr="00B14A4B" w:rsidRDefault="00EA7BDE" w:rsidP="00A3475E">
                  <w:pPr>
                    <w:pStyle w:val="Tabletext1"/>
                    <w:spacing w:before="40" w:after="40" w:line="240" w:lineRule="auto"/>
                    <w:rPr>
                      <w:rFonts w:cs="Arial"/>
                    </w:rPr>
                  </w:pPr>
                  <w:r w:rsidRPr="00B14A4B">
                    <w:rPr>
                      <w:rFonts w:cs="Arial"/>
                    </w:rPr>
                    <w:t>T2a</w:t>
                  </w:r>
                </w:p>
              </w:tc>
              <w:tc>
                <w:tcPr>
                  <w:tcW w:w="1805" w:type="dxa"/>
                </w:tcPr>
                <w:p w14:paraId="4EEBAFA5" w14:textId="77777777" w:rsidR="00EA7BDE" w:rsidRPr="00B14A4B" w:rsidRDefault="00EA7BDE" w:rsidP="00A3475E">
                  <w:pPr>
                    <w:pStyle w:val="Tabletext1"/>
                    <w:spacing w:before="40" w:after="40" w:line="240" w:lineRule="auto"/>
                    <w:rPr>
                      <w:rFonts w:cs="Arial"/>
                    </w:rPr>
                  </w:pPr>
                  <w:r w:rsidRPr="00B14A4B">
                    <w:rPr>
                      <w:rFonts w:cs="Arial"/>
                    </w:rPr>
                    <w:t>N0</w:t>
                  </w:r>
                </w:p>
              </w:tc>
              <w:tc>
                <w:tcPr>
                  <w:tcW w:w="1805" w:type="dxa"/>
                </w:tcPr>
                <w:p w14:paraId="42BE1ED7" w14:textId="77777777" w:rsidR="00EA7BDE" w:rsidRPr="00B14A4B" w:rsidRDefault="00EA7BDE" w:rsidP="00A3475E">
                  <w:pPr>
                    <w:pStyle w:val="Tabletext1"/>
                    <w:spacing w:before="40" w:after="40" w:line="240" w:lineRule="auto"/>
                    <w:rPr>
                      <w:rFonts w:cs="Arial"/>
                    </w:rPr>
                  </w:pPr>
                  <w:r w:rsidRPr="00B14A4B">
                    <w:rPr>
                      <w:rFonts w:cs="Arial"/>
                    </w:rPr>
                    <w:t>M0</w:t>
                  </w:r>
                </w:p>
              </w:tc>
            </w:tr>
            <w:tr w:rsidR="00EA7BDE" w:rsidRPr="00FD6A36" w14:paraId="790BFDE5" w14:textId="77777777" w:rsidTr="00A3475E">
              <w:trPr>
                <w:trHeight w:val="522"/>
              </w:trPr>
              <w:tc>
                <w:tcPr>
                  <w:tcW w:w="2022" w:type="dxa"/>
                </w:tcPr>
                <w:p w14:paraId="4DD2CF7F" w14:textId="77777777" w:rsidR="00EA7BDE" w:rsidRPr="00B14A4B" w:rsidRDefault="00EA7BDE" w:rsidP="00A3475E">
                  <w:pPr>
                    <w:pStyle w:val="Tabletext1"/>
                    <w:spacing w:before="40" w:after="40" w:line="240" w:lineRule="auto"/>
                    <w:rPr>
                      <w:rFonts w:cs="Arial"/>
                    </w:rPr>
                  </w:pPr>
                  <w:r w:rsidRPr="00B14A4B">
                    <w:rPr>
                      <w:rFonts w:cs="Arial"/>
                    </w:rPr>
                    <w:t>IIA</w:t>
                  </w:r>
                </w:p>
              </w:tc>
              <w:tc>
                <w:tcPr>
                  <w:tcW w:w="1805" w:type="dxa"/>
                </w:tcPr>
                <w:p w14:paraId="2B6F0804" w14:textId="77777777" w:rsidR="00EA7BDE" w:rsidRPr="00B14A4B" w:rsidRDefault="00EA7BDE" w:rsidP="00A3475E">
                  <w:pPr>
                    <w:pStyle w:val="Tabletext1"/>
                    <w:spacing w:before="40" w:after="40" w:line="240" w:lineRule="auto"/>
                    <w:rPr>
                      <w:rFonts w:cs="Arial"/>
                    </w:rPr>
                  </w:pPr>
                  <w:r w:rsidRPr="00B14A4B">
                    <w:rPr>
                      <w:rFonts w:cs="Arial"/>
                    </w:rPr>
                    <w:t>T1a</w:t>
                  </w:r>
                </w:p>
                <w:p w14:paraId="5D9342DD" w14:textId="77777777" w:rsidR="00EA7BDE" w:rsidRPr="00B14A4B" w:rsidRDefault="00EA7BDE" w:rsidP="00A3475E">
                  <w:pPr>
                    <w:pStyle w:val="Tabletext1"/>
                    <w:spacing w:before="40" w:after="40" w:line="240" w:lineRule="auto"/>
                    <w:rPr>
                      <w:rFonts w:cs="Arial"/>
                    </w:rPr>
                  </w:pPr>
                  <w:r w:rsidRPr="00B14A4B">
                    <w:rPr>
                      <w:rFonts w:cs="Arial"/>
                    </w:rPr>
                    <w:t>T1b</w:t>
                  </w:r>
                </w:p>
                <w:p w14:paraId="75790813" w14:textId="77777777" w:rsidR="00EA7BDE" w:rsidRPr="00B14A4B" w:rsidRDefault="00EA7BDE" w:rsidP="00A3475E">
                  <w:pPr>
                    <w:pStyle w:val="Tabletext1"/>
                    <w:spacing w:before="40" w:after="40" w:line="240" w:lineRule="auto"/>
                    <w:rPr>
                      <w:rFonts w:cs="Arial"/>
                    </w:rPr>
                  </w:pPr>
                  <w:r w:rsidRPr="00B14A4B">
                    <w:rPr>
                      <w:rFonts w:cs="Arial"/>
                    </w:rPr>
                    <w:t>T2a</w:t>
                  </w:r>
                </w:p>
                <w:p w14:paraId="3F37C168" w14:textId="77777777" w:rsidR="00EA7BDE" w:rsidRPr="00B14A4B" w:rsidRDefault="00EA7BDE" w:rsidP="00A3475E">
                  <w:pPr>
                    <w:pStyle w:val="Tabletext1"/>
                    <w:spacing w:before="40" w:after="40" w:line="240" w:lineRule="auto"/>
                    <w:rPr>
                      <w:rFonts w:cs="Arial"/>
                    </w:rPr>
                  </w:pPr>
                  <w:r w:rsidRPr="00B14A4B">
                    <w:rPr>
                      <w:rFonts w:cs="Arial"/>
                    </w:rPr>
                    <w:t>T2b</w:t>
                  </w:r>
                </w:p>
              </w:tc>
              <w:tc>
                <w:tcPr>
                  <w:tcW w:w="1805" w:type="dxa"/>
                </w:tcPr>
                <w:p w14:paraId="59037A09" w14:textId="77777777" w:rsidR="00EA7BDE" w:rsidRPr="00B14A4B" w:rsidRDefault="00EA7BDE" w:rsidP="00A3475E">
                  <w:pPr>
                    <w:pStyle w:val="Tabletext1"/>
                    <w:spacing w:before="40" w:after="40" w:line="240" w:lineRule="auto"/>
                    <w:rPr>
                      <w:rFonts w:cs="Arial"/>
                    </w:rPr>
                  </w:pPr>
                  <w:r w:rsidRPr="00B14A4B">
                    <w:rPr>
                      <w:rFonts w:cs="Arial"/>
                    </w:rPr>
                    <w:t>N1</w:t>
                  </w:r>
                </w:p>
                <w:p w14:paraId="756DA181" w14:textId="77777777" w:rsidR="00EA7BDE" w:rsidRPr="00B14A4B" w:rsidRDefault="00EA7BDE" w:rsidP="00A3475E">
                  <w:pPr>
                    <w:pStyle w:val="Tabletext1"/>
                    <w:spacing w:before="40" w:after="40" w:line="240" w:lineRule="auto"/>
                    <w:rPr>
                      <w:rFonts w:cs="Arial"/>
                    </w:rPr>
                  </w:pPr>
                  <w:r w:rsidRPr="00B14A4B">
                    <w:rPr>
                      <w:rFonts w:cs="Arial"/>
                    </w:rPr>
                    <w:t>N1</w:t>
                  </w:r>
                </w:p>
                <w:p w14:paraId="09D9C3D5" w14:textId="77777777" w:rsidR="00EA7BDE" w:rsidRPr="00B14A4B" w:rsidRDefault="00EA7BDE" w:rsidP="00A3475E">
                  <w:pPr>
                    <w:pStyle w:val="Tabletext1"/>
                    <w:spacing w:before="40" w:after="40" w:line="240" w:lineRule="auto"/>
                    <w:rPr>
                      <w:rFonts w:cs="Arial"/>
                    </w:rPr>
                  </w:pPr>
                  <w:r w:rsidRPr="00B14A4B">
                    <w:rPr>
                      <w:rFonts w:cs="Arial"/>
                    </w:rPr>
                    <w:t>N1</w:t>
                  </w:r>
                </w:p>
                <w:p w14:paraId="023A8080" w14:textId="77777777" w:rsidR="00EA7BDE" w:rsidRPr="00B14A4B" w:rsidRDefault="00EA7BDE" w:rsidP="00A3475E">
                  <w:pPr>
                    <w:pStyle w:val="Tabletext1"/>
                    <w:spacing w:before="40" w:after="40" w:line="240" w:lineRule="auto"/>
                    <w:rPr>
                      <w:rFonts w:cs="Arial"/>
                    </w:rPr>
                  </w:pPr>
                  <w:r w:rsidRPr="00B14A4B">
                    <w:rPr>
                      <w:rFonts w:cs="Arial"/>
                    </w:rPr>
                    <w:t>N0</w:t>
                  </w:r>
                </w:p>
              </w:tc>
              <w:tc>
                <w:tcPr>
                  <w:tcW w:w="1805" w:type="dxa"/>
                </w:tcPr>
                <w:p w14:paraId="196051DE" w14:textId="77777777" w:rsidR="00EA7BDE" w:rsidRPr="00B14A4B" w:rsidRDefault="00EA7BDE" w:rsidP="00A3475E">
                  <w:pPr>
                    <w:pStyle w:val="Tabletext1"/>
                    <w:spacing w:before="40" w:after="40" w:line="240" w:lineRule="auto"/>
                    <w:rPr>
                      <w:rFonts w:cs="Arial"/>
                    </w:rPr>
                  </w:pPr>
                  <w:r w:rsidRPr="00B14A4B">
                    <w:rPr>
                      <w:rFonts w:cs="Arial"/>
                    </w:rPr>
                    <w:t>M0</w:t>
                  </w:r>
                </w:p>
                <w:p w14:paraId="1F31814D" w14:textId="77777777" w:rsidR="00EA7BDE" w:rsidRPr="00B14A4B" w:rsidRDefault="00EA7BDE" w:rsidP="00A3475E">
                  <w:pPr>
                    <w:pStyle w:val="Tabletext1"/>
                    <w:spacing w:before="40" w:after="40" w:line="240" w:lineRule="auto"/>
                    <w:rPr>
                      <w:rFonts w:cs="Arial"/>
                    </w:rPr>
                  </w:pPr>
                  <w:r w:rsidRPr="00B14A4B">
                    <w:rPr>
                      <w:rFonts w:cs="Arial"/>
                    </w:rPr>
                    <w:t>M0</w:t>
                  </w:r>
                </w:p>
                <w:p w14:paraId="493A34AC" w14:textId="77777777" w:rsidR="00EA7BDE" w:rsidRPr="00B14A4B" w:rsidRDefault="00EA7BDE" w:rsidP="00A3475E">
                  <w:pPr>
                    <w:pStyle w:val="Tabletext1"/>
                    <w:spacing w:before="40" w:after="40" w:line="240" w:lineRule="auto"/>
                    <w:rPr>
                      <w:rFonts w:cs="Arial"/>
                    </w:rPr>
                  </w:pPr>
                  <w:r w:rsidRPr="00B14A4B">
                    <w:rPr>
                      <w:rFonts w:cs="Arial"/>
                    </w:rPr>
                    <w:t>M0</w:t>
                  </w:r>
                </w:p>
                <w:p w14:paraId="5903922F" w14:textId="77777777" w:rsidR="00EA7BDE" w:rsidRPr="00B14A4B" w:rsidRDefault="00EA7BDE" w:rsidP="00A3475E">
                  <w:pPr>
                    <w:pStyle w:val="Tabletext1"/>
                    <w:spacing w:before="40" w:after="40" w:line="240" w:lineRule="auto"/>
                    <w:rPr>
                      <w:rFonts w:cs="Arial"/>
                    </w:rPr>
                  </w:pPr>
                  <w:r w:rsidRPr="00B14A4B">
                    <w:rPr>
                      <w:rFonts w:cs="Arial"/>
                    </w:rPr>
                    <w:t>M0</w:t>
                  </w:r>
                </w:p>
              </w:tc>
            </w:tr>
          </w:tbl>
          <w:p w14:paraId="5C183ED0" w14:textId="77777777" w:rsidR="00EA7BDE" w:rsidRPr="00B14A4B" w:rsidRDefault="00EA7BDE" w:rsidP="00A8661B">
            <w:pPr>
              <w:pStyle w:val="Tabletext1"/>
              <w:rPr>
                <w:rFonts w:cs="Arial"/>
              </w:rPr>
            </w:pPr>
            <w:r w:rsidRPr="00B14A4B">
              <w:rPr>
                <w:rFonts w:cs="Arial"/>
              </w:rPr>
              <w:t xml:space="preserve">Include those </w:t>
            </w:r>
            <w:r w:rsidR="001B00A6" w:rsidRPr="00B14A4B">
              <w:rPr>
                <w:rFonts w:cs="Arial"/>
              </w:rPr>
              <w:t>studies that</w:t>
            </w:r>
            <w:r w:rsidRPr="00B14A4B">
              <w:rPr>
                <w:rFonts w:cs="Arial"/>
              </w:rPr>
              <w:t xml:space="preserve"> state that patients are not candidates for surgery for any reason. </w:t>
            </w:r>
          </w:p>
          <w:p w14:paraId="292E9EE2" w14:textId="77777777" w:rsidR="00EA7BDE" w:rsidRPr="00B14A4B" w:rsidRDefault="00EA7BDE" w:rsidP="00A8661B">
            <w:pPr>
              <w:pStyle w:val="Tabletext1"/>
              <w:rPr>
                <w:rFonts w:cs="Arial"/>
                <w:u w:val="single"/>
              </w:rPr>
            </w:pPr>
            <w:r w:rsidRPr="00B14A4B">
              <w:rPr>
                <w:rFonts w:cs="Arial"/>
                <w:u w:val="single"/>
              </w:rPr>
              <w:t xml:space="preserve">Pre-planned subgroups </w:t>
            </w:r>
          </w:p>
          <w:p w14:paraId="7C921E76" w14:textId="77777777" w:rsidR="00EA7BDE" w:rsidRPr="00B14A4B" w:rsidRDefault="00EA7BDE" w:rsidP="00A8661B">
            <w:pPr>
              <w:pStyle w:val="Tabletext1"/>
              <w:rPr>
                <w:rFonts w:cs="Arial"/>
              </w:rPr>
            </w:pPr>
            <w:r w:rsidRPr="00B14A4B">
              <w:rPr>
                <w:rFonts w:cs="Arial"/>
              </w:rPr>
              <w:t>Studies containing mixed populations outcomes will be included only for those patients with known early stage NSCLC. For patient cohorts that are mixed and where patient outcomes are not reported according to disease stage these studies will be reported separately.</w:t>
            </w:r>
          </w:p>
        </w:tc>
      </w:tr>
      <w:tr w:rsidR="00EA7BDE" w:rsidRPr="00FD6A36" w14:paraId="08F704EE" w14:textId="77777777" w:rsidTr="00E25E60">
        <w:tc>
          <w:tcPr>
            <w:tcW w:w="1668" w:type="dxa"/>
            <w:shd w:val="clear" w:color="auto" w:fill="auto"/>
          </w:tcPr>
          <w:p w14:paraId="1464E169" w14:textId="77777777" w:rsidR="00EA7BDE" w:rsidRPr="00B14A4B" w:rsidRDefault="00EA7BDE" w:rsidP="00A8661B">
            <w:pPr>
              <w:pStyle w:val="Tabletext1"/>
            </w:pPr>
            <w:r w:rsidRPr="00B14A4B">
              <w:t>Intervention</w:t>
            </w:r>
          </w:p>
        </w:tc>
        <w:tc>
          <w:tcPr>
            <w:tcW w:w="7371" w:type="dxa"/>
            <w:shd w:val="clear" w:color="auto" w:fill="auto"/>
          </w:tcPr>
          <w:p w14:paraId="7D282A98" w14:textId="77777777" w:rsidR="00EA7BDE" w:rsidRPr="00B14A4B" w:rsidRDefault="00EA7BDE" w:rsidP="00A8661B">
            <w:pPr>
              <w:pStyle w:val="Tabletext1"/>
            </w:pPr>
            <w:r w:rsidRPr="00B14A4B">
              <w:t xml:space="preserve">Percutaneous </w:t>
            </w:r>
            <w:r w:rsidR="00D73C8C" w:rsidRPr="00B14A4B">
              <w:t>MTA</w:t>
            </w:r>
            <w:r w:rsidRPr="00B14A4B">
              <w:t>, guidance may be CT or US</w:t>
            </w:r>
          </w:p>
        </w:tc>
      </w:tr>
      <w:tr w:rsidR="00EA7BDE" w:rsidRPr="00FD6A36" w14:paraId="4E5FDB77" w14:textId="77777777" w:rsidTr="00E25E60">
        <w:tc>
          <w:tcPr>
            <w:tcW w:w="1668" w:type="dxa"/>
            <w:shd w:val="clear" w:color="auto" w:fill="auto"/>
          </w:tcPr>
          <w:p w14:paraId="0784CDBF" w14:textId="77777777" w:rsidR="00EA7BDE" w:rsidRPr="00B14A4B" w:rsidRDefault="00EA7BDE" w:rsidP="00A8661B">
            <w:pPr>
              <w:pStyle w:val="Tabletext1"/>
            </w:pPr>
            <w:r w:rsidRPr="00B14A4B">
              <w:t>Comparators</w:t>
            </w:r>
          </w:p>
        </w:tc>
        <w:tc>
          <w:tcPr>
            <w:tcW w:w="7371" w:type="dxa"/>
            <w:shd w:val="clear" w:color="auto" w:fill="auto"/>
          </w:tcPr>
          <w:p w14:paraId="0CD5BD1B" w14:textId="77777777" w:rsidR="00EA7BDE" w:rsidRPr="00B14A4B" w:rsidRDefault="00EA7BDE" w:rsidP="00A8661B">
            <w:pPr>
              <w:pStyle w:val="Tabletext1"/>
            </w:pPr>
            <w:r w:rsidRPr="00B14A4B">
              <w:t xml:space="preserve">Percutaneous </w:t>
            </w:r>
            <w:r w:rsidR="00D73C8C" w:rsidRPr="00B14A4B">
              <w:t>RFA</w:t>
            </w:r>
          </w:p>
          <w:p w14:paraId="7EC4686E" w14:textId="77777777" w:rsidR="00EA7BDE" w:rsidRPr="00B14A4B" w:rsidRDefault="00EA7BDE" w:rsidP="00A8661B">
            <w:pPr>
              <w:pStyle w:val="Tabletext1"/>
              <w:rPr>
                <w:u w:val="single"/>
              </w:rPr>
            </w:pPr>
            <w:r w:rsidRPr="00B14A4B">
              <w:rPr>
                <w:u w:val="single"/>
              </w:rPr>
              <w:t>Current best practice radiotherapy with or without chemotherapy</w:t>
            </w:r>
            <w:r w:rsidR="0028328A">
              <w:rPr>
                <w:u w:val="single"/>
              </w:rPr>
              <w:t>:</w:t>
            </w:r>
          </w:p>
          <w:p w14:paraId="4FE749EF" w14:textId="77777777" w:rsidR="00EA7BDE" w:rsidRPr="00B14A4B" w:rsidRDefault="00EA7BDE" w:rsidP="009970F5">
            <w:pPr>
              <w:pStyle w:val="Tabletext1"/>
              <w:numPr>
                <w:ilvl w:val="0"/>
                <w:numId w:val="78"/>
              </w:numPr>
            </w:pPr>
            <w:r w:rsidRPr="00B14A4B">
              <w:t>Radical radiotherapy</w:t>
            </w:r>
          </w:p>
          <w:p w14:paraId="770C26F8" w14:textId="77777777" w:rsidR="00EA7BDE" w:rsidRPr="00B14A4B" w:rsidRDefault="00EA7BDE" w:rsidP="009970F5">
            <w:pPr>
              <w:pStyle w:val="Tabletext1"/>
              <w:numPr>
                <w:ilvl w:val="0"/>
                <w:numId w:val="78"/>
              </w:numPr>
            </w:pPr>
            <w:r w:rsidRPr="00B14A4B">
              <w:t>Image guided radiotherapy</w:t>
            </w:r>
          </w:p>
          <w:p w14:paraId="283FED6F" w14:textId="77777777" w:rsidR="00EA7BDE" w:rsidRPr="00B14A4B" w:rsidRDefault="00EA7BDE" w:rsidP="009970F5">
            <w:pPr>
              <w:pStyle w:val="Tabletext1"/>
              <w:numPr>
                <w:ilvl w:val="0"/>
                <w:numId w:val="78"/>
              </w:numPr>
            </w:pPr>
            <w:r w:rsidRPr="00B14A4B">
              <w:t>Intensity modulated radiotherapy</w:t>
            </w:r>
          </w:p>
          <w:p w14:paraId="3784802F" w14:textId="77777777" w:rsidR="00EA7BDE" w:rsidRPr="00B14A4B" w:rsidRDefault="00EA7BDE" w:rsidP="009970F5">
            <w:pPr>
              <w:pStyle w:val="Tabletext1"/>
              <w:numPr>
                <w:ilvl w:val="0"/>
                <w:numId w:val="78"/>
              </w:numPr>
            </w:pPr>
            <w:r w:rsidRPr="00B14A4B">
              <w:t>Stereotactic body radiotherapy</w:t>
            </w:r>
          </w:p>
          <w:p w14:paraId="71366223" w14:textId="77777777" w:rsidR="00EA7BDE" w:rsidRPr="00B14A4B" w:rsidRDefault="00EA7BDE" w:rsidP="009970F5">
            <w:pPr>
              <w:pStyle w:val="Tabletext1"/>
              <w:numPr>
                <w:ilvl w:val="0"/>
                <w:numId w:val="78"/>
              </w:numPr>
            </w:pPr>
            <w:r w:rsidRPr="00B14A4B">
              <w:t>Continuous hyperfractionated accelerated radiotherapy</w:t>
            </w:r>
          </w:p>
        </w:tc>
      </w:tr>
      <w:tr w:rsidR="00EA7BDE" w:rsidRPr="00FD6A36" w14:paraId="0E5414E8" w14:textId="77777777" w:rsidTr="00E25E60">
        <w:tc>
          <w:tcPr>
            <w:tcW w:w="1668" w:type="dxa"/>
            <w:shd w:val="clear" w:color="auto" w:fill="auto"/>
          </w:tcPr>
          <w:p w14:paraId="4E733CB8" w14:textId="77777777" w:rsidR="00EA7BDE" w:rsidRPr="00B14A4B" w:rsidRDefault="00EA7BDE" w:rsidP="00A8661B">
            <w:pPr>
              <w:pStyle w:val="Tabletext1"/>
            </w:pPr>
            <w:r w:rsidRPr="00B14A4B">
              <w:t>Outcomes</w:t>
            </w:r>
          </w:p>
        </w:tc>
        <w:tc>
          <w:tcPr>
            <w:tcW w:w="7371" w:type="dxa"/>
            <w:shd w:val="clear" w:color="auto" w:fill="auto"/>
          </w:tcPr>
          <w:p w14:paraId="35ED4C8A" w14:textId="77777777" w:rsidR="00EA7BDE" w:rsidRPr="00B14A4B" w:rsidRDefault="00EA7BDE" w:rsidP="00A8661B">
            <w:pPr>
              <w:pStyle w:val="Tabletext1"/>
              <w:rPr>
                <w:rFonts w:cs="Arial"/>
              </w:rPr>
            </w:pPr>
            <w:r w:rsidRPr="00B14A4B">
              <w:rPr>
                <w:rFonts w:cs="Arial"/>
              </w:rPr>
              <w:t xml:space="preserve">Critical for decision making: </w:t>
            </w:r>
            <w:r w:rsidR="004906BC">
              <w:rPr>
                <w:rFonts w:cs="Arial"/>
              </w:rPr>
              <w:t>O</w:t>
            </w:r>
            <w:r w:rsidR="004906BC" w:rsidRPr="00B14A4B">
              <w:rPr>
                <w:rFonts w:cs="Arial"/>
              </w:rPr>
              <w:t xml:space="preserve">verall </w:t>
            </w:r>
            <w:r w:rsidRPr="00B14A4B">
              <w:rPr>
                <w:rFonts w:cs="Arial"/>
              </w:rPr>
              <w:t>survival, relative survival at 1, 2, 3 and 5-years, recurrence free survival period, recurrence free survival rates and cancer related mortality</w:t>
            </w:r>
          </w:p>
          <w:p w14:paraId="6B9E20F9" w14:textId="77777777" w:rsidR="00EA7BDE" w:rsidRPr="00B14A4B" w:rsidRDefault="00EA7BDE" w:rsidP="00A8661B">
            <w:pPr>
              <w:pStyle w:val="Tabletext1"/>
              <w:rPr>
                <w:rFonts w:cs="Arial"/>
              </w:rPr>
            </w:pPr>
            <w:r w:rsidRPr="00B14A4B">
              <w:rPr>
                <w:rFonts w:cs="Arial"/>
              </w:rPr>
              <w:t xml:space="preserve">Important, but not critical for decision making: </w:t>
            </w:r>
            <w:r w:rsidR="004906BC">
              <w:rPr>
                <w:rFonts w:cs="Arial"/>
              </w:rPr>
              <w:t>L</w:t>
            </w:r>
            <w:r w:rsidR="004906BC" w:rsidRPr="00B14A4B">
              <w:rPr>
                <w:rFonts w:cs="Arial"/>
              </w:rPr>
              <w:t xml:space="preserve">ocal </w:t>
            </w:r>
            <w:r w:rsidRPr="00B14A4B">
              <w:rPr>
                <w:rFonts w:cs="Arial"/>
              </w:rPr>
              <w:t>recurrence rates or time to local recurrence, 1-year local control rates, metastatic disease, tumour progression, patient reported outcomes, quality of life</w:t>
            </w:r>
          </w:p>
          <w:p w14:paraId="2C63DE4E" w14:textId="77777777" w:rsidR="00EA7BDE" w:rsidRPr="00B14A4B" w:rsidRDefault="00EA7BDE" w:rsidP="00A8661B">
            <w:pPr>
              <w:pStyle w:val="Tabletext1"/>
            </w:pPr>
            <w:r w:rsidRPr="00B14A4B">
              <w:rPr>
                <w:rFonts w:cs="Arial"/>
              </w:rPr>
              <w:t xml:space="preserve">Low importance for decision making: </w:t>
            </w:r>
            <w:r w:rsidR="004906BC">
              <w:rPr>
                <w:rFonts w:cs="Arial"/>
              </w:rPr>
              <w:t>P</w:t>
            </w:r>
            <w:r w:rsidR="004906BC" w:rsidRPr="00B14A4B">
              <w:rPr>
                <w:rFonts w:cs="Arial"/>
              </w:rPr>
              <w:t xml:space="preserve">rocedural </w:t>
            </w:r>
            <w:r w:rsidRPr="00B14A4B">
              <w:rPr>
                <w:rFonts w:cs="Arial"/>
              </w:rPr>
              <w:t>time, length of hospital stay and recovery time</w:t>
            </w:r>
          </w:p>
        </w:tc>
      </w:tr>
      <w:tr w:rsidR="00EA7BDE" w:rsidRPr="00FD6A36" w14:paraId="040A4AAD" w14:textId="77777777" w:rsidTr="00E25E60">
        <w:tc>
          <w:tcPr>
            <w:tcW w:w="1668" w:type="dxa"/>
            <w:tcBorders>
              <w:top w:val="single" w:sz="4" w:space="0" w:color="auto"/>
              <w:bottom w:val="single" w:sz="4" w:space="0" w:color="auto"/>
            </w:tcBorders>
            <w:shd w:val="clear" w:color="auto" w:fill="auto"/>
          </w:tcPr>
          <w:p w14:paraId="4AB2AF18" w14:textId="77777777" w:rsidR="00EA7BDE" w:rsidRPr="00B14A4B" w:rsidRDefault="00EA7BDE" w:rsidP="000E1C52">
            <w:pPr>
              <w:pStyle w:val="Tabletext1"/>
              <w:rPr>
                <w:rFonts w:cs="Arial"/>
              </w:rPr>
            </w:pPr>
            <w:r w:rsidRPr="00B14A4B">
              <w:rPr>
                <w:rFonts w:cs="Arial Narrow"/>
                <w:bCs/>
              </w:rPr>
              <w:t>Systematic review question</w:t>
            </w:r>
          </w:p>
        </w:tc>
        <w:tc>
          <w:tcPr>
            <w:tcW w:w="7371" w:type="dxa"/>
            <w:tcBorders>
              <w:top w:val="single" w:sz="4" w:space="0" w:color="auto"/>
              <w:bottom w:val="single" w:sz="4" w:space="0" w:color="auto"/>
            </w:tcBorders>
            <w:shd w:val="clear" w:color="auto" w:fill="auto"/>
          </w:tcPr>
          <w:p w14:paraId="43F40901" w14:textId="77777777" w:rsidR="00EA7BDE" w:rsidRPr="00B14A4B" w:rsidRDefault="00EA7BDE" w:rsidP="00A8661B">
            <w:pPr>
              <w:pStyle w:val="Tabletext1"/>
              <w:rPr>
                <w:rFonts w:cs="Arial"/>
              </w:rPr>
            </w:pPr>
            <w:r w:rsidRPr="00B14A4B">
              <w:rPr>
                <w:rFonts w:cs="Arial"/>
              </w:rPr>
              <w:t xml:space="preserve">What is the effectiveness of microwave </w:t>
            </w:r>
            <w:r w:rsidR="0066456D" w:rsidRPr="00B14A4B">
              <w:rPr>
                <w:rFonts w:cs="Arial"/>
              </w:rPr>
              <w:t>tissue</w:t>
            </w:r>
            <w:r w:rsidRPr="00B14A4B">
              <w:rPr>
                <w:rFonts w:cs="Arial"/>
              </w:rPr>
              <w:t xml:space="preserve"> ablation in patients with early stage inoperable NSCLC as compared to radiofrequency ablation or current best practice radiotherapy with or without chemotherapy?</w:t>
            </w:r>
          </w:p>
        </w:tc>
      </w:tr>
    </w:tbl>
    <w:p w14:paraId="19DF8420" w14:textId="77777777" w:rsidR="004906BC" w:rsidRPr="00B14A4B" w:rsidRDefault="00DF4CDE" w:rsidP="00DF4CDE">
      <w:pPr>
        <w:pStyle w:val="Tablenotes0"/>
        <w:rPr>
          <w:snapToGrid/>
          <w:lang w:eastAsia="en-AU"/>
        </w:rPr>
      </w:pPr>
      <w:r>
        <w:rPr>
          <w:snapToGrid/>
          <w:lang w:eastAsia="en-AU"/>
        </w:rPr>
        <w:t>&lt;</w:t>
      </w:r>
      <w:r w:rsidR="004906BC" w:rsidRPr="00B14A4B">
        <w:rPr>
          <w:snapToGrid/>
          <w:lang w:eastAsia="en-AU"/>
        </w:rPr>
        <w:t>CT</w:t>
      </w:r>
      <w:r w:rsidR="008E5DEC">
        <w:rPr>
          <w:snapToGrid/>
          <w:lang w:eastAsia="en-AU"/>
        </w:rPr>
        <w:t xml:space="preserve"> </w:t>
      </w:r>
      <w:r w:rsidR="004906BC" w:rsidRPr="00B14A4B">
        <w:rPr>
          <w:snapToGrid/>
          <w:lang w:eastAsia="en-AU"/>
        </w:rPr>
        <w:t>= computed tomography; MTA</w:t>
      </w:r>
      <w:r w:rsidR="008E5DEC">
        <w:rPr>
          <w:snapToGrid/>
          <w:lang w:eastAsia="en-AU"/>
        </w:rPr>
        <w:t xml:space="preserve"> </w:t>
      </w:r>
      <w:r w:rsidR="004906BC" w:rsidRPr="00B14A4B">
        <w:rPr>
          <w:snapToGrid/>
          <w:lang w:eastAsia="en-AU"/>
        </w:rPr>
        <w:t>= microwave tissue ablation; NSCLC</w:t>
      </w:r>
      <w:r w:rsidR="008E5DEC">
        <w:rPr>
          <w:snapToGrid/>
          <w:lang w:eastAsia="en-AU"/>
        </w:rPr>
        <w:t xml:space="preserve"> </w:t>
      </w:r>
      <w:r w:rsidR="004906BC" w:rsidRPr="00B14A4B">
        <w:rPr>
          <w:snapToGrid/>
          <w:lang w:eastAsia="en-AU"/>
        </w:rPr>
        <w:t>= non-small cell lung cancer; RFA</w:t>
      </w:r>
      <w:r w:rsidR="008E5DEC">
        <w:rPr>
          <w:snapToGrid/>
          <w:lang w:eastAsia="en-AU"/>
        </w:rPr>
        <w:t xml:space="preserve"> </w:t>
      </w:r>
      <w:r w:rsidR="004906BC" w:rsidRPr="00B14A4B">
        <w:rPr>
          <w:snapToGrid/>
          <w:lang w:eastAsia="en-AU"/>
        </w:rPr>
        <w:t xml:space="preserve">= radiofrequency ablation; </w:t>
      </w:r>
      <w:r w:rsidR="004906BC" w:rsidRPr="00DF4CDE">
        <w:t>U</w:t>
      </w:r>
      <w:r w:rsidRPr="00DF4CDE">
        <w:t>S</w:t>
      </w:r>
      <w:r>
        <w:t xml:space="preserve"> </w:t>
      </w:r>
      <w:r>
        <w:rPr>
          <w:snapToGrid/>
          <w:lang w:eastAsia="en-AU"/>
        </w:rPr>
        <w:t>= ultrasound &gt;</w:t>
      </w:r>
    </w:p>
    <w:p w14:paraId="2EDC78B9" w14:textId="77777777" w:rsidR="00EA7BDE" w:rsidRDefault="00EA7BDE" w:rsidP="001B00A6">
      <w:pPr>
        <w:pStyle w:val="Caption"/>
        <w:ind w:left="1134" w:hanging="1134"/>
      </w:pPr>
      <w:bookmarkStart w:id="180" w:name="_Ref457388342"/>
      <w:bookmarkStart w:id="181" w:name="_Toc460514765"/>
      <w:r>
        <w:lastRenderedPageBreak/>
        <w:t xml:space="preserve">Box </w:t>
      </w:r>
      <w:fldSimple w:instr=" SEQ Box \* ARABIC ">
        <w:r w:rsidR="00D170A5">
          <w:rPr>
            <w:noProof/>
          </w:rPr>
          <w:t>3</w:t>
        </w:r>
      </w:fldSimple>
      <w:bookmarkEnd w:id="180"/>
      <w:r>
        <w:tab/>
        <w:t xml:space="preserve">Criteria for identifying and selecting studies to determine the safety of MTA in patients with lung metastases in </w:t>
      </w:r>
      <w:proofErr w:type="gramStart"/>
      <w:r>
        <w:t>whom</w:t>
      </w:r>
      <w:proofErr w:type="gramEnd"/>
      <w:r>
        <w:t xml:space="preserve"> the primary tumour is under control, and who are receiving treatment with curative intent</w:t>
      </w:r>
      <w:bookmarkEnd w:id="181"/>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1668"/>
        <w:gridCol w:w="7365"/>
      </w:tblGrid>
      <w:tr w:rsidR="00EA7BDE" w:rsidRPr="00FD6A36" w14:paraId="08314A52" w14:textId="77777777" w:rsidTr="00E25E60">
        <w:trPr>
          <w:trHeight w:val="261"/>
        </w:trPr>
        <w:tc>
          <w:tcPr>
            <w:tcW w:w="1668" w:type="dxa"/>
            <w:tcBorders>
              <w:top w:val="single" w:sz="4" w:space="0" w:color="auto"/>
              <w:bottom w:val="single" w:sz="4" w:space="0" w:color="auto"/>
            </w:tcBorders>
            <w:shd w:val="clear" w:color="auto" w:fill="D9D9D9" w:themeFill="background1" w:themeFillShade="D9"/>
          </w:tcPr>
          <w:p w14:paraId="5B10146B" w14:textId="77777777" w:rsidR="00EA7BDE" w:rsidRPr="004742D6" w:rsidRDefault="00EA7BDE" w:rsidP="004742D6">
            <w:pPr>
              <w:pStyle w:val="Tabletext1"/>
              <w:rPr>
                <w:b/>
              </w:rPr>
            </w:pPr>
            <w:r w:rsidRPr="004742D6">
              <w:rPr>
                <w:b/>
              </w:rPr>
              <w:t>Selection criteria</w:t>
            </w:r>
          </w:p>
        </w:tc>
        <w:tc>
          <w:tcPr>
            <w:tcW w:w="7365" w:type="dxa"/>
            <w:tcBorders>
              <w:top w:val="single" w:sz="4" w:space="0" w:color="auto"/>
              <w:bottom w:val="single" w:sz="4" w:space="0" w:color="auto"/>
            </w:tcBorders>
            <w:shd w:val="clear" w:color="auto" w:fill="D9D9D9" w:themeFill="background1" w:themeFillShade="D9"/>
          </w:tcPr>
          <w:p w14:paraId="12EC2417" w14:textId="77777777" w:rsidR="00EA7BDE" w:rsidRPr="004742D6" w:rsidRDefault="00EA7BDE" w:rsidP="004742D6">
            <w:pPr>
              <w:pStyle w:val="Tabletext1"/>
              <w:rPr>
                <w:rFonts w:cs="Arial"/>
                <w:b/>
              </w:rPr>
            </w:pPr>
            <w:r w:rsidRPr="004742D6">
              <w:rPr>
                <w:rFonts w:cs="Arial"/>
                <w:b/>
              </w:rPr>
              <w:t>Description</w:t>
            </w:r>
          </w:p>
        </w:tc>
      </w:tr>
      <w:tr w:rsidR="00EA7BDE" w:rsidRPr="00FD6A36" w14:paraId="684392FE" w14:textId="77777777" w:rsidTr="00E25E60">
        <w:trPr>
          <w:trHeight w:val="332"/>
        </w:trPr>
        <w:tc>
          <w:tcPr>
            <w:tcW w:w="1668" w:type="dxa"/>
            <w:tcBorders>
              <w:top w:val="single" w:sz="4" w:space="0" w:color="auto"/>
            </w:tcBorders>
            <w:shd w:val="clear" w:color="auto" w:fill="auto"/>
          </w:tcPr>
          <w:p w14:paraId="65FCD599" w14:textId="77777777" w:rsidR="00EA7BDE" w:rsidRPr="00B14A4B" w:rsidRDefault="00EA7BDE" w:rsidP="004742D6">
            <w:pPr>
              <w:pStyle w:val="Tabletext1"/>
            </w:pPr>
            <w:r w:rsidRPr="00B14A4B">
              <w:t>Population</w:t>
            </w:r>
          </w:p>
        </w:tc>
        <w:tc>
          <w:tcPr>
            <w:tcW w:w="7365" w:type="dxa"/>
            <w:tcBorders>
              <w:top w:val="single" w:sz="4" w:space="0" w:color="auto"/>
            </w:tcBorders>
            <w:shd w:val="clear" w:color="auto" w:fill="auto"/>
          </w:tcPr>
          <w:p w14:paraId="2F9B360F" w14:textId="77777777" w:rsidR="00EA7BDE" w:rsidRPr="00B14A4B" w:rsidRDefault="00EA7BDE" w:rsidP="004742D6">
            <w:pPr>
              <w:pStyle w:val="Tabletext1"/>
              <w:rPr>
                <w:rFonts w:cs="Arial"/>
              </w:rPr>
            </w:pPr>
            <w:r w:rsidRPr="00B14A4B">
              <w:rPr>
                <w:rFonts w:cs="Arial"/>
                <w:u w:val="single"/>
              </w:rPr>
              <w:t>Patients with lung metastases in whom the primary tumour is under control, treated with curative intent</w:t>
            </w:r>
            <w:r w:rsidRPr="00B14A4B">
              <w:rPr>
                <w:rFonts w:cs="Arial"/>
              </w:rPr>
              <w:t xml:space="preserve">. </w:t>
            </w:r>
          </w:p>
          <w:p w14:paraId="7075B15E" w14:textId="77777777" w:rsidR="00EA7BDE" w:rsidRPr="00B14A4B" w:rsidRDefault="00EA7BDE" w:rsidP="004742D6">
            <w:pPr>
              <w:pStyle w:val="Tabletext1"/>
              <w:rPr>
                <w:rFonts w:cs="Arial"/>
              </w:rPr>
            </w:pPr>
            <w:r w:rsidRPr="00B14A4B">
              <w:rPr>
                <w:rFonts w:cs="Arial"/>
              </w:rPr>
              <w:t>Include studies which state that patients had lung metastases with prim</w:t>
            </w:r>
            <w:r w:rsidR="00C05D28" w:rsidRPr="00B14A4B">
              <w:rPr>
                <w:rFonts w:cs="Arial"/>
              </w:rPr>
              <w:t xml:space="preserve">ary tumour of any other origin and where the primary tumour was reported to be under control (or controllable), definitively treated or completely resected (etc). </w:t>
            </w:r>
          </w:p>
          <w:p w14:paraId="6E224DC5" w14:textId="77777777" w:rsidR="00C05D28" w:rsidRPr="00B14A4B" w:rsidRDefault="00C05D28" w:rsidP="004742D6">
            <w:pPr>
              <w:pStyle w:val="Tabletext1"/>
              <w:rPr>
                <w:rFonts w:cs="Arial"/>
              </w:rPr>
            </w:pPr>
            <w:r w:rsidRPr="00B14A4B">
              <w:rPr>
                <w:rFonts w:cs="Arial"/>
              </w:rPr>
              <w:t>Include studies which state that no extra thoracic disease was present or which state that extra thoracic disease was controlled or controllable.</w:t>
            </w:r>
          </w:p>
          <w:p w14:paraId="350E6AB0" w14:textId="77777777" w:rsidR="00EA7BDE" w:rsidRPr="00B14A4B" w:rsidRDefault="00EA7BDE" w:rsidP="004742D6">
            <w:pPr>
              <w:pStyle w:val="Tabletext1"/>
              <w:rPr>
                <w:rFonts w:cs="Arial"/>
              </w:rPr>
            </w:pPr>
            <w:r w:rsidRPr="00B14A4B">
              <w:rPr>
                <w:rFonts w:cs="Arial"/>
              </w:rPr>
              <w:t xml:space="preserve">Include studies which state that patients were treated with curative intent. </w:t>
            </w:r>
          </w:p>
          <w:p w14:paraId="051FBFFA" w14:textId="77777777" w:rsidR="00EA7BDE" w:rsidRPr="00B14A4B" w:rsidRDefault="00EA7BDE" w:rsidP="004742D6">
            <w:pPr>
              <w:pStyle w:val="Tabletext1"/>
              <w:rPr>
                <w:rFonts w:cs="Arial"/>
              </w:rPr>
            </w:pPr>
            <w:r w:rsidRPr="00B14A4B">
              <w:rPr>
                <w:rFonts w:cs="Arial"/>
              </w:rPr>
              <w:t xml:space="preserve">If it is unclear, studies will be included if they report outcomes that suggest patients were treated with curative intent, such as 1, 2, 3 and 5 year survival and/or progression or recurrence free periods. </w:t>
            </w:r>
          </w:p>
          <w:p w14:paraId="2E148BB9" w14:textId="77777777" w:rsidR="00EA7BDE" w:rsidRPr="00B14A4B" w:rsidRDefault="00EA7BDE" w:rsidP="004742D6">
            <w:pPr>
              <w:pStyle w:val="Tabletext1"/>
              <w:rPr>
                <w:rFonts w:cs="Arial"/>
              </w:rPr>
            </w:pPr>
            <w:r w:rsidRPr="00B14A4B">
              <w:rPr>
                <w:rFonts w:cs="Arial"/>
              </w:rPr>
              <w:t>If there is still significant uncertainty regarding the treatment intent clinical expertise may be sought on the inclusion of the study.</w:t>
            </w:r>
          </w:p>
          <w:p w14:paraId="654110FF" w14:textId="77777777" w:rsidR="00EA7BDE" w:rsidRPr="00B14A4B" w:rsidRDefault="00EA7BDE" w:rsidP="004742D6">
            <w:pPr>
              <w:pStyle w:val="Tabletext1"/>
              <w:rPr>
                <w:rFonts w:cs="Arial"/>
                <w:u w:val="single"/>
              </w:rPr>
            </w:pPr>
            <w:r w:rsidRPr="00B14A4B">
              <w:rPr>
                <w:rFonts w:cs="Arial"/>
                <w:u w:val="single"/>
              </w:rPr>
              <w:t>Pre-planned subgroups</w:t>
            </w:r>
          </w:p>
          <w:p w14:paraId="0C35E9D8" w14:textId="77777777" w:rsidR="00EA7BDE" w:rsidRPr="00B14A4B" w:rsidRDefault="00EA7BDE" w:rsidP="004742D6">
            <w:pPr>
              <w:pStyle w:val="Tabletext1"/>
              <w:rPr>
                <w:rFonts w:cs="Arial"/>
              </w:rPr>
            </w:pPr>
            <w:r w:rsidRPr="00B14A4B">
              <w:rPr>
                <w:rFonts w:cs="Arial"/>
              </w:rPr>
              <w:t xml:space="preserve">Studies reporting only on patients with sarcoma (bone and soft tissue) will be reported separately. </w:t>
            </w:r>
          </w:p>
          <w:p w14:paraId="0B58C9D4" w14:textId="77777777" w:rsidR="00EA7BDE" w:rsidRPr="00B14A4B" w:rsidRDefault="00EA7BDE" w:rsidP="004742D6">
            <w:pPr>
              <w:pStyle w:val="Tabletext1"/>
              <w:rPr>
                <w:rFonts w:cs="Arial"/>
              </w:rPr>
            </w:pPr>
            <w:r w:rsidRPr="00B14A4B">
              <w:rPr>
                <w:rFonts w:cs="Arial"/>
              </w:rPr>
              <w:t xml:space="preserve">Where possible outcomes for patients in studies reporting mixed populations will be stratified according to sarcoma and non-sarcoma </w:t>
            </w:r>
            <w:r w:rsidR="00CC7B4A">
              <w:t>primary cancers</w:t>
            </w:r>
            <w:r w:rsidRPr="00B14A4B">
              <w:rPr>
                <w:rFonts w:cs="Arial"/>
              </w:rPr>
              <w:t xml:space="preserve">. </w:t>
            </w:r>
          </w:p>
        </w:tc>
      </w:tr>
      <w:tr w:rsidR="00EA7BDE" w:rsidRPr="00FD6A36" w14:paraId="22F10942" w14:textId="77777777" w:rsidTr="00E25E60">
        <w:trPr>
          <w:trHeight w:val="224"/>
        </w:trPr>
        <w:tc>
          <w:tcPr>
            <w:tcW w:w="1668" w:type="dxa"/>
            <w:shd w:val="clear" w:color="auto" w:fill="auto"/>
          </w:tcPr>
          <w:p w14:paraId="036B1755" w14:textId="77777777" w:rsidR="00EA7BDE" w:rsidRPr="00B14A4B" w:rsidRDefault="00EA7BDE" w:rsidP="004742D6">
            <w:pPr>
              <w:pStyle w:val="Tabletext1"/>
            </w:pPr>
            <w:r w:rsidRPr="00B14A4B">
              <w:t>Intervention</w:t>
            </w:r>
          </w:p>
        </w:tc>
        <w:tc>
          <w:tcPr>
            <w:tcW w:w="7365" w:type="dxa"/>
            <w:shd w:val="clear" w:color="auto" w:fill="auto"/>
          </w:tcPr>
          <w:p w14:paraId="3E6AD16D" w14:textId="77777777" w:rsidR="00EA7BDE" w:rsidRPr="00B14A4B" w:rsidRDefault="00EA7BDE" w:rsidP="004742D6">
            <w:pPr>
              <w:pStyle w:val="Tabletext1"/>
            </w:pPr>
            <w:r w:rsidRPr="00B14A4B">
              <w:t xml:space="preserve">Percutaneous </w:t>
            </w:r>
            <w:r w:rsidR="00D73C8C" w:rsidRPr="00B14A4B">
              <w:t>MTA</w:t>
            </w:r>
            <w:r w:rsidRPr="00B14A4B">
              <w:t>, guidance may be CT or US</w:t>
            </w:r>
          </w:p>
        </w:tc>
      </w:tr>
      <w:tr w:rsidR="00EA7BDE" w:rsidRPr="00FD6A36" w14:paraId="4EAD435A" w14:textId="77777777" w:rsidTr="00E25E60">
        <w:trPr>
          <w:trHeight w:val="612"/>
        </w:trPr>
        <w:tc>
          <w:tcPr>
            <w:tcW w:w="1668" w:type="dxa"/>
            <w:shd w:val="clear" w:color="auto" w:fill="auto"/>
          </w:tcPr>
          <w:p w14:paraId="13FCE778" w14:textId="77777777" w:rsidR="00EA7BDE" w:rsidRPr="00B14A4B" w:rsidRDefault="00EA7BDE" w:rsidP="004742D6">
            <w:pPr>
              <w:pStyle w:val="Tabletext1"/>
            </w:pPr>
            <w:r w:rsidRPr="00B14A4B">
              <w:t>Comparators</w:t>
            </w:r>
          </w:p>
        </w:tc>
        <w:tc>
          <w:tcPr>
            <w:tcW w:w="7365" w:type="dxa"/>
            <w:shd w:val="clear" w:color="auto" w:fill="auto"/>
          </w:tcPr>
          <w:p w14:paraId="6848ACCD" w14:textId="77777777" w:rsidR="00EA7BDE" w:rsidRPr="00B14A4B" w:rsidRDefault="00EA7BDE" w:rsidP="004742D6">
            <w:pPr>
              <w:pStyle w:val="Tabletext1"/>
            </w:pPr>
            <w:r w:rsidRPr="00B14A4B">
              <w:t xml:space="preserve">Percutaneous </w:t>
            </w:r>
            <w:r w:rsidR="00D73C8C" w:rsidRPr="00B14A4B">
              <w:t>RFA</w:t>
            </w:r>
          </w:p>
          <w:p w14:paraId="471A15E1" w14:textId="77777777" w:rsidR="00EA7BDE" w:rsidRPr="00B14A4B" w:rsidRDefault="00EA7BDE" w:rsidP="004742D6">
            <w:pPr>
              <w:pStyle w:val="Tabletext1"/>
            </w:pPr>
            <w:r w:rsidRPr="00B14A4B">
              <w:t xml:space="preserve">Surgical resection by any technique </w:t>
            </w:r>
          </w:p>
          <w:p w14:paraId="4EC637AC" w14:textId="77777777" w:rsidR="00EA7BDE" w:rsidRPr="00B14A4B" w:rsidRDefault="00EA7BDE" w:rsidP="004742D6">
            <w:pPr>
              <w:pStyle w:val="Tabletext1"/>
              <w:rPr>
                <w:u w:val="single"/>
              </w:rPr>
            </w:pPr>
            <w:r w:rsidRPr="00B14A4B">
              <w:rPr>
                <w:u w:val="single"/>
              </w:rPr>
              <w:t>Current best practice radiotherapy with or without chemotherapy</w:t>
            </w:r>
            <w:r w:rsidR="0028328A">
              <w:rPr>
                <w:u w:val="single"/>
              </w:rPr>
              <w:t>:</w:t>
            </w:r>
          </w:p>
          <w:p w14:paraId="2552A0A5" w14:textId="77777777" w:rsidR="00EA7BDE" w:rsidRPr="00B14A4B" w:rsidRDefault="00EA7BDE" w:rsidP="00826323">
            <w:pPr>
              <w:pStyle w:val="Tabletext1"/>
              <w:numPr>
                <w:ilvl w:val="0"/>
                <w:numId w:val="91"/>
              </w:numPr>
            </w:pPr>
            <w:r w:rsidRPr="00B14A4B">
              <w:t>Radical radiotherapy</w:t>
            </w:r>
          </w:p>
          <w:p w14:paraId="6DE9A7A4" w14:textId="77777777" w:rsidR="00EA7BDE" w:rsidRPr="00B14A4B" w:rsidRDefault="00EA7BDE" w:rsidP="00826323">
            <w:pPr>
              <w:pStyle w:val="Tabletext1"/>
              <w:numPr>
                <w:ilvl w:val="0"/>
                <w:numId w:val="91"/>
              </w:numPr>
            </w:pPr>
            <w:r w:rsidRPr="00B14A4B">
              <w:t>Image guided radiotherapy</w:t>
            </w:r>
          </w:p>
          <w:p w14:paraId="37D12648" w14:textId="77777777" w:rsidR="00EA7BDE" w:rsidRPr="00B14A4B" w:rsidRDefault="00EA7BDE" w:rsidP="00826323">
            <w:pPr>
              <w:pStyle w:val="Tabletext1"/>
              <w:numPr>
                <w:ilvl w:val="0"/>
                <w:numId w:val="91"/>
              </w:numPr>
            </w:pPr>
            <w:r w:rsidRPr="00B14A4B">
              <w:t>Intensity modulated radiotherapy</w:t>
            </w:r>
          </w:p>
          <w:p w14:paraId="6DB65A9D" w14:textId="77777777" w:rsidR="00EA7BDE" w:rsidRPr="00B14A4B" w:rsidRDefault="00EA7BDE" w:rsidP="00826323">
            <w:pPr>
              <w:pStyle w:val="Tabletext1"/>
              <w:numPr>
                <w:ilvl w:val="0"/>
                <w:numId w:val="91"/>
              </w:numPr>
            </w:pPr>
            <w:r w:rsidRPr="00B14A4B">
              <w:t>Stereotactic body radiotherapy</w:t>
            </w:r>
          </w:p>
          <w:p w14:paraId="07BF3DA9" w14:textId="77777777" w:rsidR="00EA7BDE" w:rsidRPr="00B14A4B" w:rsidRDefault="00EA7BDE" w:rsidP="00826323">
            <w:pPr>
              <w:pStyle w:val="Tabletext1"/>
              <w:numPr>
                <w:ilvl w:val="0"/>
                <w:numId w:val="91"/>
              </w:numPr>
            </w:pPr>
            <w:r w:rsidRPr="00B14A4B">
              <w:t>Continuous hyperfractionated accelerated radiotherapy</w:t>
            </w:r>
          </w:p>
        </w:tc>
      </w:tr>
      <w:tr w:rsidR="00EA7BDE" w:rsidRPr="00FD6A36" w14:paraId="1346FE35" w14:textId="77777777" w:rsidTr="00E25E60">
        <w:trPr>
          <w:trHeight w:val="547"/>
        </w:trPr>
        <w:tc>
          <w:tcPr>
            <w:tcW w:w="1668" w:type="dxa"/>
            <w:tcBorders>
              <w:bottom w:val="single" w:sz="4" w:space="0" w:color="auto"/>
            </w:tcBorders>
            <w:shd w:val="clear" w:color="auto" w:fill="auto"/>
          </w:tcPr>
          <w:p w14:paraId="67FDAE0F" w14:textId="77777777" w:rsidR="00EA7BDE" w:rsidRPr="00B14A4B" w:rsidRDefault="00EA7BDE" w:rsidP="004742D6">
            <w:pPr>
              <w:pStyle w:val="Tabletext1"/>
            </w:pPr>
            <w:r w:rsidRPr="00B14A4B">
              <w:t>Outcomes</w:t>
            </w:r>
          </w:p>
        </w:tc>
        <w:tc>
          <w:tcPr>
            <w:tcW w:w="7365" w:type="dxa"/>
            <w:tcBorders>
              <w:bottom w:val="single" w:sz="4" w:space="0" w:color="auto"/>
            </w:tcBorders>
            <w:shd w:val="clear" w:color="auto" w:fill="auto"/>
          </w:tcPr>
          <w:p w14:paraId="0A0B518A" w14:textId="77777777" w:rsidR="00EA7BDE" w:rsidRPr="00B14A4B" w:rsidRDefault="00EA7BDE" w:rsidP="004742D6">
            <w:pPr>
              <w:pStyle w:val="Tabletext1"/>
              <w:rPr>
                <w:rFonts w:cs="Arial"/>
              </w:rPr>
            </w:pPr>
            <w:r w:rsidRPr="00B14A4B">
              <w:rPr>
                <w:rFonts w:cs="Arial"/>
              </w:rPr>
              <w:t xml:space="preserve">Critical for decision making: </w:t>
            </w:r>
            <w:r w:rsidR="004906BC">
              <w:rPr>
                <w:rFonts w:cs="Arial"/>
              </w:rPr>
              <w:t>A</w:t>
            </w:r>
            <w:r w:rsidR="004906BC" w:rsidRPr="00B14A4B">
              <w:rPr>
                <w:rFonts w:cs="Arial"/>
              </w:rPr>
              <w:t xml:space="preserve">ny </w:t>
            </w:r>
            <w:r w:rsidRPr="00B14A4B">
              <w:rPr>
                <w:rFonts w:cs="Arial"/>
              </w:rPr>
              <w:t>immediate or delayed adverse events or mortality related to the procedure or anaesthesia</w:t>
            </w:r>
          </w:p>
          <w:p w14:paraId="6F43D7AC" w14:textId="77777777" w:rsidR="00EA7BDE" w:rsidRPr="00B14A4B" w:rsidRDefault="00EA7BDE" w:rsidP="004742D6">
            <w:pPr>
              <w:pStyle w:val="Tabletext1"/>
              <w:rPr>
                <w:rFonts w:cs="Arial"/>
              </w:rPr>
            </w:pPr>
            <w:r w:rsidRPr="00B14A4B">
              <w:rPr>
                <w:rFonts w:cs="Arial"/>
              </w:rPr>
              <w:t xml:space="preserve">Important, but not critical for decision making: </w:t>
            </w:r>
            <w:r w:rsidR="004906BC">
              <w:rPr>
                <w:rFonts w:cs="Arial"/>
              </w:rPr>
              <w:t>N</w:t>
            </w:r>
            <w:r w:rsidR="004906BC" w:rsidRPr="00B14A4B">
              <w:rPr>
                <w:rFonts w:cs="Arial"/>
              </w:rPr>
              <w:t xml:space="preserve">ot </w:t>
            </w:r>
            <w:r w:rsidRPr="00B14A4B">
              <w:rPr>
                <w:rFonts w:cs="Arial"/>
              </w:rPr>
              <w:t>applicable</w:t>
            </w:r>
          </w:p>
          <w:p w14:paraId="18B5D8B3" w14:textId="77777777" w:rsidR="00EA7BDE" w:rsidRPr="00B14A4B" w:rsidRDefault="00EA7BDE" w:rsidP="004742D6">
            <w:pPr>
              <w:pStyle w:val="Tabletext1"/>
              <w:rPr>
                <w:rFonts w:cs="Arial"/>
              </w:rPr>
            </w:pPr>
            <w:r w:rsidRPr="00B14A4B">
              <w:rPr>
                <w:rFonts w:cs="Arial"/>
              </w:rPr>
              <w:t xml:space="preserve">Low importance for decision making: </w:t>
            </w:r>
            <w:r w:rsidR="004906BC">
              <w:rPr>
                <w:rFonts w:cs="Arial"/>
              </w:rPr>
              <w:t>N</w:t>
            </w:r>
            <w:r w:rsidR="004906BC" w:rsidRPr="00B14A4B">
              <w:rPr>
                <w:rFonts w:cs="Arial"/>
              </w:rPr>
              <w:t xml:space="preserve">ot </w:t>
            </w:r>
            <w:r w:rsidRPr="00B14A4B">
              <w:rPr>
                <w:rFonts w:cs="Arial"/>
              </w:rPr>
              <w:t>applicable</w:t>
            </w:r>
          </w:p>
        </w:tc>
      </w:tr>
      <w:tr w:rsidR="00EA7BDE" w:rsidRPr="00FD6A36" w14:paraId="7086BB4E" w14:textId="77777777" w:rsidTr="00E25E60">
        <w:trPr>
          <w:trHeight w:val="493"/>
        </w:trPr>
        <w:tc>
          <w:tcPr>
            <w:tcW w:w="1668" w:type="dxa"/>
            <w:tcBorders>
              <w:top w:val="single" w:sz="4" w:space="0" w:color="auto"/>
              <w:bottom w:val="single" w:sz="4" w:space="0" w:color="auto"/>
            </w:tcBorders>
            <w:shd w:val="clear" w:color="auto" w:fill="auto"/>
          </w:tcPr>
          <w:p w14:paraId="2592ED0E" w14:textId="77777777" w:rsidR="00EA7BDE" w:rsidRPr="00B14A4B" w:rsidRDefault="00EA7BDE" w:rsidP="004742D6">
            <w:pPr>
              <w:pStyle w:val="Tabletext1"/>
            </w:pPr>
            <w:r w:rsidRPr="00B14A4B">
              <w:t>Systematic review question</w:t>
            </w:r>
          </w:p>
        </w:tc>
        <w:tc>
          <w:tcPr>
            <w:tcW w:w="7365" w:type="dxa"/>
            <w:tcBorders>
              <w:top w:val="single" w:sz="4" w:space="0" w:color="auto"/>
              <w:bottom w:val="single" w:sz="4" w:space="0" w:color="auto"/>
            </w:tcBorders>
            <w:shd w:val="clear" w:color="auto" w:fill="auto"/>
          </w:tcPr>
          <w:p w14:paraId="109CF599" w14:textId="77777777" w:rsidR="00EA7BDE" w:rsidRPr="00B14A4B" w:rsidRDefault="00EA7BDE" w:rsidP="004742D6">
            <w:pPr>
              <w:pStyle w:val="Tabletext1"/>
              <w:rPr>
                <w:rFonts w:cs="Arial"/>
              </w:rPr>
            </w:pPr>
            <w:r w:rsidRPr="00B14A4B">
              <w:rPr>
                <w:rFonts w:cs="Arial"/>
              </w:rPr>
              <w:t xml:space="preserve">What is the safety profile of microwave </w:t>
            </w:r>
            <w:r w:rsidR="0066456D" w:rsidRPr="00B14A4B">
              <w:rPr>
                <w:rFonts w:cs="Arial"/>
              </w:rPr>
              <w:t>tissue</w:t>
            </w:r>
            <w:r w:rsidRPr="00B14A4B">
              <w:rPr>
                <w:rFonts w:cs="Arial"/>
              </w:rPr>
              <w:t xml:space="preserve"> ablation in patients with lung metastases in whom the primary tumour is under control, treated with curative intent?</w:t>
            </w:r>
          </w:p>
        </w:tc>
      </w:tr>
    </w:tbl>
    <w:p w14:paraId="7BCC9F89" w14:textId="77777777" w:rsidR="00EA7BDE" w:rsidRDefault="00DF4CDE" w:rsidP="000269A7">
      <w:pPr>
        <w:pStyle w:val="Tablenotes0"/>
      </w:pPr>
      <w:r>
        <w:t xml:space="preserve">&lt; </w:t>
      </w:r>
      <w:r w:rsidR="000269A7" w:rsidRPr="000269A7">
        <w:t>CT</w:t>
      </w:r>
      <w:r w:rsidR="008E5DEC">
        <w:t xml:space="preserve"> </w:t>
      </w:r>
      <w:r w:rsidR="000269A7" w:rsidRPr="000269A7">
        <w:t>= computed tomography; MTA</w:t>
      </w:r>
      <w:r w:rsidR="008E5DEC">
        <w:t xml:space="preserve"> </w:t>
      </w:r>
      <w:r w:rsidR="000269A7" w:rsidRPr="000269A7">
        <w:t>= microwave tissue ablation</w:t>
      </w:r>
      <w:r w:rsidR="004906BC" w:rsidRPr="000269A7">
        <w:t>; RFA</w:t>
      </w:r>
      <w:r w:rsidR="008E5DEC">
        <w:t xml:space="preserve"> </w:t>
      </w:r>
      <w:r w:rsidR="004906BC" w:rsidRPr="000269A7">
        <w:t>= radiofrequency ablation</w:t>
      </w:r>
      <w:r w:rsidR="000269A7" w:rsidRPr="000269A7">
        <w:t>; US</w:t>
      </w:r>
      <w:r w:rsidR="008E5DEC">
        <w:t xml:space="preserve"> </w:t>
      </w:r>
      <w:r w:rsidR="000269A7" w:rsidRPr="000269A7">
        <w:t>= ultrasound</w:t>
      </w:r>
      <w:r>
        <w:t xml:space="preserve"> &gt;</w:t>
      </w:r>
    </w:p>
    <w:p w14:paraId="741142E0" w14:textId="77777777" w:rsidR="00EA7BDE" w:rsidRDefault="00EA7BDE" w:rsidP="001B00A6">
      <w:pPr>
        <w:pStyle w:val="Caption"/>
        <w:ind w:left="1134" w:hanging="1134"/>
      </w:pPr>
      <w:bookmarkStart w:id="182" w:name="_Ref457388343"/>
      <w:bookmarkStart w:id="183" w:name="_Toc460514766"/>
      <w:r>
        <w:lastRenderedPageBreak/>
        <w:t xml:space="preserve">Box </w:t>
      </w:r>
      <w:fldSimple w:instr=" SEQ Box \* ARABIC ">
        <w:r w:rsidR="00D170A5">
          <w:rPr>
            <w:noProof/>
          </w:rPr>
          <w:t>4</w:t>
        </w:r>
      </w:fldSimple>
      <w:bookmarkEnd w:id="182"/>
      <w:r>
        <w:tab/>
        <w:t xml:space="preserve">Criteria for identifying and selecting studies to determine the effectiveness of MTA in patients with lung metastases in </w:t>
      </w:r>
      <w:proofErr w:type="gramStart"/>
      <w:r>
        <w:t>whom</w:t>
      </w:r>
      <w:proofErr w:type="gramEnd"/>
      <w:r>
        <w:t xml:space="preserve"> the primary tumour is under control, and who are receiving treatment with curative intent</w:t>
      </w:r>
      <w:bookmarkEnd w:id="183"/>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1668"/>
        <w:gridCol w:w="7365"/>
      </w:tblGrid>
      <w:tr w:rsidR="00EA7BDE" w:rsidRPr="00FD6A36" w14:paraId="1E68AE54" w14:textId="77777777" w:rsidTr="00E25E60">
        <w:trPr>
          <w:trHeight w:val="261"/>
        </w:trPr>
        <w:tc>
          <w:tcPr>
            <w:tcW w:w="1668" w:type="dxa"/>
            <w:tcBorders>
              <w:top w:val="single" w:sz="4" w:space="0" w:color="auto"/>
              <w:bottom w:val="single" w:sz="4" w:space="0" w:color="auto"/>
            </w:tcBorders>
            <w:shd w:val="clear" w:color="auto" w:fill="D9D9D9" w:themeFill="background1" w:themeFillShade="D9"/>
          </w:tcPr>
          <w:p w14:paraId="553F922C" w14:textId="77777777" w:rsidR="00EA7BDE" w:rsidRPr="004742D6" w:rsidRDefault="00EA7BDE" w:rsidP="004742D6">
            <w:pPr>
              <w:pStyle w:val="Tabletext1"/>
              <w:rPr>
                <w:b/>
              </w:rPr>
            </w:pPr>
            <w:r w:rsidRPr="004742D6">
              <w:rPr>
                <w:b/>
              </w:rPr>
              <w:t>Selection criteria</w:t>
            </w:r>
          </w:p>
        </w:tc>
        <w:tc>
          <w:tcPr>
            <w:tcW w:w="7365" w:type="dxa"/>
            <w:tcBorders>
              <w:top w:val="single" w:sz="4" w:space="0" w:color="auto"/>
              <w:bottom w:val="single" w:sz="4" w:space="0" w:color="auto"/>
            </w:tcBorders>
            <w:shd w:val="clear" w:color="auto" w:fill="D9D9D9" w:themeFill="background1" w:themeFillShade="D9"/>
          </w:tcPr>
          <w:p w14:paraId="02D77323" w14:textId="77777777" w:rsidR="00EA7BDE" w:rsidRPr="004742D6" w:rsidRDefault="00EA7BDE" w:rsidP="004742D6">
            <w:pPr>
              <w:pStyle w:val="Tabletext1"/>
              <w:rPr>
                <w:rFonts w:cs="Arial"/>
                <w:b/>
              </w:rPr>
            </w:pPr>
            <w:r w:rsidRPr="004742D6">
              <w:rPr>
                <w:rFonts w:cs="Arial"/>
                <w:b/>
              </w:rPr>
              <w:t>Description</w:t>
            </w:r>
          </w:p>
        </w:tc>
      </w:tr>
      <w:tr w:rsidR="00EA7BDE" w:rsidRPr="00FD6A36" w14:paraId="4FF21161" w14:textId="77777777" w:rsidTr="00E25E60">
        <w:trPr>
          <w:trHeight w:val="247"/>
        </w:trPr>
        <w:tc>
          <w:tcPr>
            <w:tcW w:w="1668" w:type="dxa"/>
            <w:tcBorders>
              <w:top w:val="single" w:sz="4" w:space="0" w:color="auto"/>
            </w:tcBorders>
            <w:shd w:val="clear" w:color="auto" w:fill="auto"/>
          </w:tcPr>
          <w:p w14:paraId="30F4913A" w14:textId="77777777" w:rsidR="00EA7BDE" w:rsidRPr="00B14A4B" w:rsidRDefault="00EA7BDE" w:rsidP="004742D6">
            <w:pPr>
              <w:pStyle w:val="Tabletext1"/>
            </w:pPr>
            <w:r w:rsidRPr="00B14A4B">
              <w:t>Population</w:t>
            </w:r>
          </w:p>
        </w:tc>
        <w:tc>
          <w:tcPr>
            <w:tcW w:w="7365" w:type="dxa"/>
            <w:tcBorders>
              <w:top w:val="single" w:sz="4" w:space="0" w:color="auto"/>
            </w:tcBorders>
            <w:shd w:val="clear" w:color="auto" w:fill="auto"/>
          </w:tcPr>
          <w:p w14:paraId="31743E34" w14:textId="77777777" w:rsidR="00EA7BDE" w:rsidRPr="00B14A4B" w:rsidRDefault="00EA7BDE" w:rsidP="004742D6">
            <w:pPr>
              <w:pStyle w:val="Tabletext1"/>
              <w:rPr>
                <w:rFonts w:cs="Arial"/>
              </w:rPr>
            </w:pPr>
            <w:r w:rsidRPr="00B14A4B">
              <w:rPr>
                <w:rFonts w:cs="Arial"/>
                <w:u w:val="single"/>
              </w:rPr>
              <w:t>Patients with lung metastases in whom the primary tumour is under control, treated with curative intent.</w:t>
            </w:r>
            <w:r w:rsidRPr="00B14A4B">
              <w:rPr>
                <w:rFonts w:cs="Arial"/>
              </w:rPr>
              <w:t xml:space="preserve"> </w:t>
            </w:r>
          </w:p>
          <w:p w14:paraId="53832C74" w14:textId="77777777" w:rsidR="00C05D28" w:rsidRPr="00B14A4B" w:rsidRDefault="00C05D28" w:rsidP="004742D6">
            <w:pPr>
              <w:pStyle w:val="Tabletext1"/>
              <w:rPr>
                <w:rFonts w:cs="Arial"/>
              </w:rPr>
            </w:pPr>
            <w:r w:rsidRPr="00B14A4B">
              <w:rPr>
                <w:rFonts w:cs="Arial"/>
              </w:rPr>
              <w:t xml:space="preserve">Include studies which state that patients had lung metastases with primary tumour of any other origin and where the primary tumour was reported to be under control (or controllable), definitively treated or completely resected (etc). </w:t>
            </w:r>
          </w:p>
          <w:p w14:paraId="6A4D36A1" w14:textId="77777777" w:rsidR="00C05D28" w:rsidRPr="00B14A4B" w:rsidRDefault="00C05D28" w:rsidP="004742D6">
            <w:pPr>
              <w:pStyle w:val="Tabletext1"/>
              <w:rPr>
                <w:rFonts w:cs="Arial"/>
              </w:rPr>
            </w:pPr>
            <w:r w:rsidRPr="00B14A4B">
              <w:rPr>
                <w:rFonts w:cs="Arial"/>
              </w:rPr>
              <w:t>Include studies which state that no extra thoracic disease was present or which state that extra thoracic disease was controlled or controllable.</w:t>
            </w:r>
          </w:p>
          <w:p w14:paraId="2F35AC2F" w14:textId="77777777" w:rsidR="00C05D28" w:rsidRPr="00B14A4B" w:rsidRDefault="00C05D28" w:rsidP="004742D6">
            <w:pPr>
              <w:pStyle w:val="Tabletext1"/>
              <w:rPr>
                <w:rFonts w:cs="Arial"/>
              </w:rPr>
            </w:pPr>
            <w:r w:rsidRPr="00B14A4B">
              <w:rPr>
                <w:rFonts w:cs="Arial"/>
              </w:rPr>
              <w:t xml:space="preserve">Include studies which state that patients were treated with curative intent. </w:t>
            </w:r>
          </w:p>
          <w:p w14:paraId="391B5DEB" w14:textId="77777777" w:rsidR="00C05D28" w:rsidRPr="00B14A4B" w:rsidRDefault="00C05D28" w:rsidP="004742D6">
            <w:pPr>
              <w:pStyle w:val="Tabletext1"/>
              <w:rPr>
                <w:rFonts w:cs="Arial"/>
              </w:rPr>
            </w:pPr>
            <w:r w:rsidRPr="00B14A4B">
              <w:rPr>
                <w:rFonts w:cs="Arial"/>
              </w:rPr>
              <w:t xml:space="preserve">If it is unclear, studies will be included if they report outcomes that suggest patients were treated with curative intent, such as 1, 2, 3 and 5 year survival and/or progression or recurrence free periods. </w:t>
            </w:r>
          </w:p>
          <w:p w14:paraId="69EEC7DA" w14:textId="77777777" w:rsidR="00C05D28" w:rsidRPr="00B14A4B" w:rsidRDefault="00C05D28" w:rsidP="004742D6">
            <w:pPr>
              <w:pStyle w:val="Tabletext1"/>
              <w:rPr>
                <w:rFonts w:cs="Arial"/>
              </w:rPr>
            </w:pPr>
            <w:r w:rsidRPr="00B14A4B">
              <w:rPr>
                <w:rFonts w:cs="Arial"/>
              </w:rPr>
              <w:t>If there is still significant uncertainty regarding the treatment intent clinical expertise may be sought on the inclusion of the study.</w:t>
            </w:r>
          </w:p>
          <w:p w14:paraId="0875DAFA" w14:textId="77777777" w:rsidR="00EA7BDE" w:rsidRPr="00B14A4B" w:rsidRDefault="00EA7BDE" w:rsidP="004742D6">
            <w:pPr>
              <w:pStyle w:val="Tabletext1"/>
              <w:rPr>
                <w:rFonts w:cs="Arial"/>
                <w:u w:val="single"/>
              </w:rPr>
            </w:pPr>
            <w:r w:rsidRPr="00B14A4B">
              <w:rPr>
                <w:rFonts w:cs="Arial"/>
                <w:u w:val="single"/>
              </w:rPr>
              <w:t>Pre-planned subgroups</w:t>
            </w:r>
          </w:p>
          <w:p w14:paraId="2C5E6810" w14:textId="77777777" w:rsidR="00EA7BDE" w:rsidRPr="00B14A4B" w:rsidRDefault="00EA7BDE" w:rsidP="004742D6">
            <w:pPr>
              <w:pStyle w:val="Tabletext1"/>
              <w:rPr>
                <w:rFonts w:cs="Arial"/>
              </w:rPr>
            </w:pPr>
            <w:r w:rsidRPr="00B14A4B">
              <w:rPr>
                <w:rFonts w:cs="Arial"/>
              </w:rPr>
              <w:t xml:space="preserve">Studies reporting only on patients with sarcoma (bone and soft tissue) will be reported separately. </w:t>
            </w:r>
          </w:p>
          <w:p w14:paraId="3CCAECFA" w14:textId="77777777" w:rsidR="00EA7BDE" w:rsidRPr="00B14A4B" w:rsidRDefault="00EA7BDE" w:rsidP="004742D6">
            <w:pPr>
              <w:pStyle w:val="Tabletext1"/>
              <w:rPr>
                <w:rFonts w:cs="Arial"/>
              </w:rPr>
            </w:pPr>
            <w:r w:rsidRPr="00B14A4B">
              <w:rPr>
                <w:rFonts w:cs="Arial"/>
              </w:rPr>
              <w:t xml:space="preserve">Where possible outcomes for patients in studies reporting mixed populations will be stratified according to sarcoma and non-sarcoma </w:t>
            </w:r>
            <w:r w:rsidR="00CC7B4A" w:rsidRPr="00B14A4B">
              <w:t>primary cancers</w:t>
            </w:r>
            <w:r w:rsidRPr="00B14A4B">
              <w:rPr>
                <w:rFonts w:cs="Arial"/>
              </w:rPr>
              <w:t>.</w:t>
            </w:r>
          </w:p>
        </w:tc>
      </w:tr>
      <w:tr w:rsidR="00EA7BDE" w:rsidRPr="00FD6A36" w14:paraId="2ADE3FAD" w14:textId="77777777" w:rsidTr="00E25E60">
        <w:trPr>
          <w:trHeight w:val="60"/>
        </w:trPr>
        <w:tc>
          <w:tcPr>
            <w:tcW w:w="1668" w:type="dxa"/>
            <w:shd w:val="clear" w:color="auto" w:fill="auto"/>
          </w:tcPr>
          <w:p w14:paraId="149198EC" w14:textId="77777777" w:rsidR="00EA7BDE" w:rsidRPr="00B14A4B" w:rsidRDefault="00EA7BDE" w:rsidP="004742D6">
            <w:pPr>
              <w:pStyle w:val="Tabletext1"/>
            </w:pPr>
            <w:r w:rsidRPr="00B14A4B">
              <w:t>Intervention</w:t>
            </w:r>
          </w:p>
        </w:tc>
        <w:tc>
          <w:tcPr>
            <w:tcW w:w="7365" w:type="dxa"/>
            <w:shd w:val="clear" w:color="auto" w:fill="auto"/>
          </w:tcPr>
          <w:p w14:paraId="30A451AE" w14:textId="77777777" w:rsidR="00EA7BDE" w:rsidRPr="00B14A4B" w:rsidRDefault="00EA7BDE" w:rsidP="004742D6">
            <w:pPr>
              <w:pStyle w:val="Tabletext1"/>
            </w:pPr>
            <w:r w:rsidRPr="00B14A4B">
              <w:t xml:space="preserve">Percutaneous </w:t>
            </w:r>
            <w:r w:rsidR="00D73C8C" w:rsidRPr="00B14A4B">
              <w:t>MTA</w:t>
            </w:r>
            <w:r w:rsidRPr="00B14A4B">
              <w:t>, guidance may be CT or US</w:t>
            </w:r>
          </w:p>
        </w:tc>
      </w:tr>
      <w:tr w:rsidR="00EA7BDE" w:rsidRPr="00FD6A36" w14:paraId="473CB187" w14:textId="77777777" w:rsidTr="00E25E60">
        <w:trPr>
          <w:trHeight w:val="612"/>
        </w:trPr>
        <w:tc>
          <w:tcPr>
            <w:tcW w:w="1668" w:type="dxa"/>
            <w:shd w:val="clear" w:color="auto" w:fill="auto"/>
          </w:tcPr>
          <w:p w14:paraId="2B3DA3EB" w14:textId="77777777" w:rsidR="00EA7BDE" w:rsidRPr="00B14A4B" w:rsidRDefault="00EA7BDE" w:rsidP="004742D6">
            <w:pPr>
              <w:pStyle w:val="Tabletext1"/>
            </w:pPr>
            <w:r w:rsidRPr="00B14A4B">
              <w:t>Comparators</w:t>
            </w:r>
          </w:p>
        </w:tc>
        <w:tc>
          <w:tcPr>
            <w:tcW w:w="7365" w:type="dxa"/>
            <w:shd w:val="clear" w:color="auto" w:fill="auto"/>
          </w:tcPr>
          <w:p w14:paraId="76C64090" w14:textId="77777777" w:rsidR="00EA7BDE" w:rsidRPr="00B14A4B" w:rsidRDefault="00EA7BDE" w:rsidP="004742D6">
            <w:pPr>
              <w:pStyle w:val="Tabletext1"/>
            </w:pPr>
            <w:r w:rsidRPr="00B14A4B">
              <w:t xml:space="preserve">Percutaneous </w:t>
            </w:r>
            <w:r w:rsidR="00D73C8C" w:rsidRPr="00B14A4B">
              <w:t>RFA</w:t>
            </w:r>
          </w:p>
          <w:p w14:paraId="2EA7DE7B" w14:textId="77777777" w:rsidR="00EA7BDE" w:rsidRPr="00B14A4B" w:rsidRDefault="00EA7BDE" w:rsidP="004742D6">
            <w:pPr>
              <w:pStyle w:val="Tabletext1"/>
            </w:pPr>
            <w:r w:rsidRPr="00B14A4B">
              <w:t xml:space="preserve">Surgical resection by any technique </w:t>
            </w:r>
          </w:p>
          <w:p w14:paraId="790EEC6C" w14:textId="77777777" w:rsidR="00EA7BDE" w:rsidRPr="00B14A4B" w:rsidRDefault="00EA7BDE" w:rsidP="004742D6">
            <w:pPr>
              <w:pStyle w:val="Tabletext1"/>
              <w:rPr>
                <w:u w:val="single"/>
              </w:rPr>
            </w:pPr>
            <w:r w:rsidRPr="00B14A4B">
              <w:rPr>
                <w:u w:val="single"/>
              </w:rPr>
              <w:t>Current best practice radiotherapy with or without chemotherapy</w:t>
            </w:r>
            <w:r w:rsidR="0028328A">
              <w:rPr>
                <w:u w:val="single"/>
              </w:rPr>
              <w:t>:</w:t>
            </w:r>
          </w:p>
          <w:p w14:paraId="4C90DFF9" w14:textId="77777777" w:rsidR="00EA7BDE" w:rsidRPr="00B14A4B" w:rsidRDefault="00EA7BDE" w:rsidP="009970F5">
            <w:pPr>
              <w:pStyle w:val="Tabletext1"/>
              <w:numPr>
                <w:ilvl w:val="0"/>
                <w:numId w:val="80"/>
              </w:numPr>
            </w:pPr>
            <w:r w:rsidRPr="00B14A4B">
              <w:t>Radical radiotherapy</w:t>
            </w:r>
          </w:p>
          <w:p w14:paraId="6CED2D4B" w14:textId="77777777" w:rsidR="00EA7BDE" w:rsidRPr="00B14A4B" w:rsidRDefault="00EA7BDE" w:rsidP="009970F5">
            <w:pPr>
              <w:pStyle w:val="Tabletext1"/>
              <w:numPr>
                <w:ilvl w:val="0"/>
                <w:numId w:val="80"/>
              </w:numPr>
            </w:pPr>
            <w:r w:rsidRPr="00B14A4B">
              <w:t>Image guided radiotherapy</w:t>
            </w:r>
          </w:p>
          <w:p w14:paraId="61EF8E48" w14:textId="77777777" w:rsidR="00EA7BDE" w:rsidRPr="00B14A4B" w:rsidRDefault="00EA7BDE" w:rsidP="009970F5">
            <w:pPr>
              <w:pStyle w:val="Tabletext1"/>
              <w:numPr>
                <w:ilvl w:val="0"/>
                <w:numId w:val="80"/>
              </w:numPr>
            </w:pPr>
            <w:r w:rsidRPr="00B14A4B">
              <w:t>Intensity modulated radiotherapy</w:t>
            </w:r>
          </w:p>
          <w:p w14:paraId="3E3239B2" w14:textId="77777777" w:rsidR="00EA7BDE" w:rsidRPr="00B14A4B" w:rsidRDefault="00EA7BDE" w:rsidP="009970F5">
            <w:pPr>
              <w:pStyle w:val="Tabletext1"/>
              <w:numPr>
                <w:ilvl w:val="0"/>
                <w:numId w:val="80"/>
              </w:numPr>
            </w:pPr>
            <w:r w:rsidRPr="00B14A4B">
              <w:t>Stereotactic body radiotherapy</w:t>
            </w:r>
          </w:p>
          <w:p w14:paraId="27DC3DD4" w14:textId="77777777" w:rsidR="00EA7BDE" w:rsidRPr="00B14A4B" w:rsidRDefault="00EA7BDE" w:rsidP="009970F5">
            <w:pPr>
              <w:pStyle w:val="Tabletext1"/>
              <w:numPr>
                <w:ilvl w:val="0"/>
                <w:numId w:val="80"/>
              </w:numPr>
            </w:pPr>
            <w:r w:rsidRPr="00B14A4B">
              <w:t>Continuous hyperfractionated accelerated radiotherapy</w:t>
            </w:r>
          </w:p>
        </w:tc>
      </w:tr>
      <w:tr w:rsidR="00EA7BDE" w:rsidRPr="00FD6A36" w14:paraId="0C7C5687" w14:textId="77777777" w:rsidTr="00E25E60">
        <w:trPr>
          <w:trHeight w:val="547"/>
        </w:trPr>
        <w:tc>
          <w:tcPr>
            <w:tcW w:w="1668" w:type="dxa"/>
            <w:tcBorders>
              <w:bottom w:val="single" w:sz="4" w:space="0" w:color="auto"/>
            </w:tcBorders>
            <w:shd w:val="clear" w:color="auto" w:fill="auto"/>
          </w:tcPr>
          <w:p w14:paraId="7E7354C4" w14:textId="77777777" w:rsidR="00EA7BDE" w:rsidRPr="00B14A4B" w:rsidRDefault="00EA7BDE" w:rsidP="004742D6">
            <w:pPr>
              <w:pStyle w:val="Tabletext1"/>
            </w:pPr>
            <w:r w:rsidRPr="00B14A4B">
              <w:t>Outcomes</w:t>
            </w:r>
          </w:p>
        </w:tc>
        <w:tc>
          <w:tcPr>
            <w:tcW w:w="7365" w:type="dxa"/>
            <w:tcBorders>
              <w:bottom w:val="single" w:sz="4" w:space="0" w:color="auto"/>
            </w:tcBorders>
            <w:shd w:val="clear" w:color="auto" w:fill="auto"/>
          </w:tcPr>
          <w:p w14:paraId="2987E368" w14:textId="77777777" w:rsidR="00EA7BDE" w:rsidRPr="00B14A4B" w:rsidRDefault="00EA7BDE" w:rsidP="004742D6">
            <w:pPr>
              <w:pStyle w:val="Tabletext1"/>
              <w:rPr>
                <w:rFonts w:cs="Arial"/>
                <w:highlight w:val="yellow"/>
              </w:rPr>
            </w:pPr>
            <w:r w:rsidRPr="00B14A4B">
              <w:rPr>
                <w:rFonts w:cs="Arial"/>
              </w:rPr>
              <w:t xml:space="preserve">Critical for decision making: </w:t>
            </w:r>
            <w:r w:rsidR="004906BC">
              <w:rPr>
                <w:rFonts w:cs="Arial"/>
              </w:rPr>
              <w:t>O</w:t>
            </w:r>
            <w:r w:rsidR="004906BC" w:rsidRPr="00B14A4B">
              <w:rPr>
                <w:rFonts w:cs="Arial"/>
              </w:rPr>
              <w:t xml:space="preserve">verall </w:t>
            </w:r>
            <w:r w:rsidRPr="00B14A4B">
              <w:rPr>
                <w:rFonts w:cs="Arial"/>
              </w:rPr>
              <w:t>survival, relative survival at 1, 2, 3 and 5-years, recurrence free survival period, recurrence free survival rates and cancer related mortality</w:t>
            </w:r>
          </w:p>
          <w:p w14:paraId="5D2BDE87" w14:textId="77777777" w:rsidR="00EA7BDE" w:rsidRPr="00B14A4B" w:rsidRDefault="00EA7BDE" w:rsidP="004742D6">
            <w:pPr>
              <w:pStyle w:val="Tabletext1"/>
              <w:rPr>
                <w:rFonts w:cs="Arial"/>
              </w:rPr>
            </w:pPr>
            <w:r w:rsidRPr="00B14A4B">
              <w:rPr>
                <w:rFonts w:cs="Arial"/>
              </w:rPr>
              <w:t xml:space="preserve">Important, but not critical for decision making: </w:t>
            </w:r>
            <w:r w:rsidR="004906BC">
              <w:rPr>
                <w:rFonts w:cs="Arial"/>
              </w:rPr>
              <w:t>L</w:t>
            </w:r>
            <w:r w:rsidR="004906BC" w:rsidRPr="00B14A4B">
              <w:rPr>
                <w:rFonts w:cs="Arial"/>
              </w:rPr>
              <w:t xml:space="preserve">ocal </w:t>
            </w:r>
            <w:r w:rsidRPr="00B14A4B">
              <w:rPr>
                <w:rFonts w:cs="Arial"/>
              </w:rPr>
              <w:t>recurrence rates or time to local recurrence, 1-year local control rates, metastatic disease, tumour progression, patient reported outcomes, quality of life</w:t>
            </w:r>
          </w:p>
          <w:p w14:paraId="7704C166" w14:textId="77777777" w:rsidR="00EA7BDE" w:rsidRPr="00B14A4B" w:rsidRDefault="00EA7BDE" w:rsidP="004742D6">
            <w:pPr>
              <w:pStyle w:val="Tabletext1"/>
              <w:rPr>
                <w:rFonts w:cs="Arial"/>
              </w:rPr>
            </w:pPr>
            <w:r w:rsidRPr="00B14A4B">
              <w:rPr>
                <w:rFonts w:cs="Arial"/>
              </w:rPr>
              <w:t xml:space="preserve">Low importance for decision making: </w:t>
            </w:r>
            <w:r w:rsidR="004906BC">
              <w:rPr>
                <w:rFonts w:cs="Arial"/>
              </w:rPr>
              <w:t>P</w:t>
            </w:r>
            <w:r w:rsidR="004906BC" w:rsidRPr="00B14A4B">
              <w:rPr>
                <w:rFonts w:cs="Arial"/>
              </w:rPr>
              <w:t xml:space="preserve">rocedural </w:t>
            </w:r>
            <w:r w:rsidRPr="00B14A4B">
              <w:rPr>
                <w:rFonts w:cs="Arial"/>
              </w:rPr>
              <w:t xml:space="preserve">time, length of hospital stay and recovery time </w:t>
            </w:r>
          </w:p>
        </w:tc>
      </w:tr>
      <w:tr w:rsidR="00EA7BDE" w:rsidRPr="00FD6A36" w14:paraId="5E916A33" w14:textId="77777777" w:rsidTr="00E25E60">
        <w:trPr>
          <w:trHeight w:val="493"/>
        </w:trPr>
        <w:tc>
          <w:tcPr>
            <w:tcW w:w="1668" w:type="dxa"/>
            <w:tcBorders>
              <w:top w:val="single" w:sz="4" w:space="0" w:color="auto"/>
              <w:bottom w:val="single" w:sz="4" w:space="0" w:color="auto"/>
            </w:tcBorders>
            <w:shd w:val="clear" w:color="auto" w:fill="auto"/>
          </w:tcPr>
          <w:p w14:paraId="19101EE2" w14:textId="77777777" w:rsidR="00EA7BDE" w:rsidRPr="00B14A4B" w:rsidRDefault="00EA7BDE" w:rsidP="004742D6">
            <w:pPr>
              <w:pStyle w:val="Tabletext1"/>
            </w:pPr>
            <w:r w:rsidRPr="00B14A4B">
              <w:t>Systematic review question</w:t>
            </w:r>
          </w:p>
        </w:tc>
        <w:tc>
          <w:tcPr>
            <w:tcW w:w="7365" w:type="dxa"/>
            <w:tcBorders>
              <w:top w:val="single" w:sz="4" w:space="0" w:color="auto"/>
              <w:bottom w:val="single" w:sz="4" w:space="0" w:color="auto"/>
            </w:tcBorders>
            <w:shd w:val="clear" w:color="auto" w:fill="auto"/>
          </w:tcPr>
          <w:p w14:paraId="1A7D9387" w14:textId="77777777" w:rsidR="00EA7BDE" w:rsidRPr="00B14A4B" w:rsidRDefault="00EA7BDE" w:rsidP="004742D6">
            <w:pPr>
              <w:pStyle w:val="Tabletext1"/>
              <w:rPr>
                <w:rFonts w:cs="Arial"/>
              </w:rPr>
            </w:pPr>
            <w:r w:rsidRPr="00B14A4B">
              <w:rPr>
                <w:rFonts w:cs="Arial"/>
              </w:rPr>
              <w:t xml:space="preserve">What is the effectiveness of microwave </w:t>
            </w:r>
            <w:r w:rsidR="0066456D" w:rsidRPr="00B14A4B">
              <w:rPr>
                <w:rFonts w:cs="Arial"/>
              </w:rPr>
              <w:t>tissue</w:t>
            </w:r>
            <w:r w:rsidRPr="00B14A4B">
              <w:rPr>
                <w:rFonts w:cs="Arial"/>
              </w:rPr>
              <w:t xml:space="preserve"> ablation in patients with lung metastases in whom the primary tumour is under control, treated with curative intent?</w:t>
            </w:r>
          </w:p>
        </w:tc>
      </w:tr>
    </w:tbl>
    <w:p w14:paraId="0BA3FD4C" w14:textId="77777777" w:rsidR="00EA7BDE" w:rsidRPr="00DF4CDE" w:rsidRDefault="00DF4CDE" w:rsidP="00DF4CDE">
      <w:pPr>
        <w:pStyle w:val="Tablenotes0"/>
      </w:pPr>
      <w:r>
        <w:t xml:space="preserve">&lt; </w:t>
      </w:r>
      <w:r w:rsidR="000269A7" w:rsidRPr="000269A7">
        <w:t>CT</w:t>
      </w:r>
      <w:r w:rsidR="008E5DEC">
        <w:t xml:space="preserve"> </w:t>
      </w:r>
      <w:r w:rsidR="000269A7" w:rsidRPr="000269A7">
        <w:t>= computed tomography; MTA</w:t>
      </w:r>
      <w:r w:rsidR="008E5DEC">
        <w:t xml:space="preserve"> </w:t>
      </w:r>
      <w:r w:rsidR="000269A7" w:rsidRPr="000269A7">
        <w:t>= microwave tissue ablation</w:t>
      </w:r>
      <w:r w:rsidR="004906BC" w:rsidRPr="000269A7">
        <w:t>; RFA</w:t>
      </w:r>
      <w:r w:rsidR="008E5DEC">
        <w:t xml:space="preserve"> </w:t>
      </w:r>
      <w:r w:rsidR="004906BC" w:rsidRPr="000269A7">
        <w:t>=</w:t>
      </w:r>
      <w:r w:rsidR="008E5DEC">
        <w:t xml:space="preserve"> </w:t>
      </w:r>
      <w:r w:rsidR="004906BC" w:rsidRPr="000269A7">
        <w:t>radiofrequency ablation</w:t>
      </w:r>
      <w:r w:rsidR="000269A7" w:rsidRPr="000269A7">
        <w:t>; US</w:t>
      </w:r>
      <w:r w:rsidR="008E5DEC">
        <w:t xml:space="preserve"> </w:t>
      </w:r>
      <w:r w:rsidR="000269A7" w:rsidRPr="000269A7">
        <w:t>= ultrasound</w:t>
      </w:r>
      <w:r>
        <w:t xml:space="preserve"> &gt;</w:t>
      </w:r>
    </w:p>
    <w:p w14:paraId="2D390D20" w14:textId="77777777" w:rsidR="003B7A57" w:rsidRDefault="003B7A57" w:rsidP="001B00A6">
      <w:pPr>
        <w:pStyle w:val="Caption"/>
        <w:ind w:left="1134" w:hanging="1134"/>
      </w:pPr>
      <w:bookmarkStart w:id="184" w:name="_Ref457388345"/>
      <w:bookmarkStart w:id="185" w:name="_Toc460514767"/>
      <w:r>
        <w:lastRenderedPageBreak/>
        <w:t xml:space="preserve">Box </w:t>
      </w:r>
      <w:fldSimple w:instr=" SEQ Box \* ARABIC ">
        <w:r w:rsidR="00D170A5">
          <w:rPr>
            <w:noProof/>
          </w:rPr>
          <w:t>5</w:t>
        </w:r>
      </w:fldSimple>
      <w:bookmarkEnd w:id="184"/>
      <w:r>
        <w:tab/>
        <w:t>Criteria for identifying and selecting studies to determine the safety of MTA in patients with NSCLC or pulmonary metastases, who are receiving palliative treatment</w:t>
      </w:r>
      <w:bookmarkEnd w:id="18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2068"/>
        <w:gridCol w:w="6965"/>
      </w:tblGrid>
      <w:tr w:rsidR="003B7A57" w:rsidRPr="00FD6A36" w14:paraId="185BEF51" w14:textId="77777777" w:rsidTr="00E25E60">
        <w:trPr>
          <w:trHeight w:val="261"/>
        </w:trPr>
        <w:tc>
          <w:tcPr>
            <w:tcW w:w="2068" w:type="dxa"/>
            <w:tcBorders>
              <w:top w:val="single" w:sz="4" w:space="0" w:color="auto"/>
              <w:bottom w:val="single" w:sz="4" w:space="0" w:color="auto"/>
            </w:tcBorders>
            <w:shd w:val="clear" w:color="auto" w:fill="D9D9D9" w:themeFill="background1" w:themeFillShade="D9"/>
          </w:tcPr>
          <w:p w14:paraId="00B9472A" w14:textId="77777777" w:rsidR="003B7A57" w:rsidRPr="002A377E" w:rsidRDefault="003B7A57" w:rsidP="002A377E">
            <w:pPr>
              <w:pStyle w:val="Tabletext1"/>
              <w:rPr>
                <w:b/>
              </w:rPr>
            </w:pPr>
            <w:r w:rsidRPr="002A377E">
              <w:rPr>
                <w:b/>
              </w:rPr>
              <w:t>Selection criteria</w:t>
            </w:r>
          </w:p>
        </w:tc>
        <w:tc>
          <w:tcPr>
            <w:tcW w:w="6965" w:type="dxa"/>
            <w:tcBorders>
              <w:top w:val="single" w:sz="4" w:space="0" w:color="auto"/>
              <w:bottom w:val="single" w:sz="4" w:space="0" w:color="auto"/>
            </w:tcBorders>
            <w:shd w:val="clear" w:color="auto" w:fill="D9D9D9" w:themeFill="background1" w:themeFillShade="D9"/>
          </w:tcPr>
          <w:p w14:paraId="5EEBD51F" w14:textId="77777777" w:rsidR="003B7A57" w:rsidRPr="002A377E" w:rsidRDefault="003B7A57" w:rsidP="002A377E">
            <w:pPr>
              <w:pStyle w:val="Tabletext1"/>
              <w:rPr>
                <w:rFonts w:cs="Arial"/>
                <w:b/>
              </w:rPr>
            </w:pPr>
            <w:r w:rsidRPr="002A377E">
              <w:rPr>
                <w:rFonts w:cs="Arial"/>
                <w:b/>
              </w:rPr>
              <w:t>Description</w:t>
            </w:r>
          </w:p>
        </w:tc>
      </w:tr>
      <w:tr w:rsidR="003B7A57" w:rsidRPr="00FD6A36" w14:paraId="7F768C8F" w14:textId="77777777" w:rsidTr="002A377E">
        <w:trPr>
          <w:trHeight w:val="247"/>
        </w:trPr>
        <w:tc>
          <w:tcPr>
            <w:tcW w:w="2068" w:type="dxa"/>
            <w:tcBorders>
              <w:top w:val="single" w:sz="4" w:space="0" w:color="auto"/>
            </w:tcBorders>
            <w:shd w:val="clear" w:color="auto" w:fill="auto"/>
          </w:tcPr>
          <w:p w14:paraId="19F8A855" w14:textId="77777777" w:rsidR="003B7A57" w:rsidRPr="00B14A4B" w:rsidRDefault="003B7A57" w:rsidP="002A377E">
            <w:pPr>
              <w:pStyle w:val="Tabletext1"/>
            </w:pPr>
            <w:r w:rsidRPr="00B14A4B">
              <w:t>Population</w:t>
            </w:r>
          </w:p>
        </w:tc>
        <w:tc>
          <w:tcPr>
            <w:tcW w:w="6965" w:type="dxa"/>
            <w:tcBorders>
              <w:top w:val="single" w:sz="4" w:space="0" w:color="auto"/>
            </w:tcBorders>
            <w:shd w:val="clear" w:color="auto" w:fill="auto"/>
          </w:tcPr>
          <w:p w14:paraId="735E774E" w14:textId="77777777" w:rsidR="003B7A57" w:rsidRPr="00B14A4B" w:rsidRDefault="003B7A57" w:rsidP="002A377E">
            <w:pPr>
              <w:pStyle w:val="Tabletext1"/>
              <w:rPr>
                <w:rFonts w:cs="Arial"/>
                <w:u w:val="single"/>
              </w:rPr>
            </w:pPr>
            <w:r w:rsidRPr="00B14A4B">
              <w:rPr>
                <w:rFonts w:cs="Arial"/>
                <w:u w:val="single"/>
              </w:rPr>
              <w:t xml:space="preserve">Patients with NSCLC or lung metastases being treated with palliative intent. </w:t>
            </w:r>
          </w:p>
          <w:p w14:paraId="0A13CE8B" w14:textId="77777777" w:rsidR="003B7A57" w:rsidRPr="00B14A4B" w:rsidRDefault="003B7A57" w:rsidP="002A377E">
            <w:pPr>
              <w:pStyle w:val="Tabletext1"/>
              <w:rPr>
                <w:rFonts w:cs="Arial"/>
              </w:rPr>
            </w:pPr>
            <w:r w:rsidRPr="00B14A4B">
              <w:rPr>
                <w:rFonts w:cs="Arial"/>
              </w:rPr>
              <w:t xml:space="preserve">Include studies which state that patients were treated with palliative intent. </w:t>
            </w:r>
          </w:p>
          <w:p w14:paraId="34E770DB" w14:textId="77777777" w:rsidR="003B7A57" w:rsidRPr="00B14A4B" w:rsidRDefault="003B7A57" w:rsidP="002A377E">
            <w:pPr>
              <w:pStyle w:val="Tabletext1"/>
              <w:rPr>
                <w:rFonts w:cs="Arial"/>
              </w:rPr>
            </w:pPr>
            <w:r w:rsidRPr="00B14A4B">
              <w:rPr>
                <w:rFonts w:cs="Arial"/>
              </w:rPr>
              <w:t xml:space="preserve">Include studies reporting that patients had advanced NSCLC or advanced </w:t>
            </w:r>
            <w:r w:rsidR="00CC7B4A" w:rsidRPr="00B14A4B">
              <w:t>primary cancers</w:t>
            </w:r>
            <w:r w:rsidRPr="00B14A4B">
              <w:rPr>
                <w:rFonts w:cs="Arial"/>
              </w:rPr>
              <w:t xml:space="preserve">. </w:t>
            </w:r>
          </w:p>
          <w:p w14:paraId="2DE14A8A" w14:textId="77777777" w:rsidR="003B7A57" w:rsidRPr="00B14A4B" w:rsidRDefault="003B7A57" w:rsidP="002A377E">
            <w:pPr>
              <w:pStyle w:val="Tabletext1"/>
              <w:rPr>
                <w:rFonts w:cs="Arial"/>
              </w:rPr>
            </w:pPr>
            <w:r w:rsidRPr="00B14A4B">
              <w:rPr>
                <w:rFonts w:cs="Arial"/>
              </w:rPr>
              <w:t xml:space="preserve">Include studies which report on outcomes relevant to palliative care only such as symptom relief/control and quality of life. </w:t>
            </w:r>
          </w:p>
          <w:p w14:paraId="36F566D3" w14:textId="77777777" w:rsidR="003B7A57" w:rsidRPr="00B14A4B" w:rsidRDefault="003B7A57" w:rsidP="002A377E">
            <w:pPr>
              <w:pStyle w:val="Tabletext1"/>
              <w:rPr>
                <w:rFonts w:cs="Arial"/>
              </w:rPr>
            </w:pPr>
            <w:r w:rsidRPr="00B14A4B">
              <w:rPr>
                <w:rFonts w:cs="Arial"/>
              </w:rPr>
              <w:t xml:space="preserve">If there is still significant uncertainty regarding the treatment intent clinical expertise may be sought on the inclusion of the study. </w:t>
            </w:r>
          </w:p>
        </w:tc>
      </w:tr>
      <w:tr w:rsidR="003B7A57" w:rsidRPr="00FD6A36" w14:paraId="39928C5C" w14:textId="77777777" w:rsidTr="003B7A57">
        <w:trPr>
          <w:trHeight w:val="224"/>
        </w:trPr>
        <w:tc>
          <w:tcPr>
            <w:tcW w:w="2068" w:type="dxa"/>
            <w:shd w:val="clear" w:color="auto" w:fill="auto"/>
          </w:tcPr>
          <w:p w14:paraId="01FB36F9" w14:textId="77777777" w:rsidR="003B7A57" w:rsidRPr="00AA307F" w:rsidRDefault="003B7A57" w:rsidP="002A377E">
            <w:pPr>
              <w:pStyle w:val="Tabletext1"/>
            </w:pPr>
            <w:r w:rsidRPr="00AA307F">
              <w:t>Intervention</w:t>
            </w:r>
          </w:p>
        </w:tc>
        <w:tc>
          <w:tcPr>
            <w:tcW w:w="6965" w:type="dxa"/>
            <w:shd w:val="clear" w:color="auto" w:fill="auto"/>
          </w:tcPr>
          <w:p w14:paraId="1D78AD06" w14:textId="77777777" w:rsidR="003B7A57" w:rsidRPr="00AA307F" w:rsidRDefault="003B7A57" w:rsidP="002A377E">
            <w:pPr>
              <w:pStyle w:val="Tabletext1"/>
            </w:pPr>
            <w:r w:rsidRPr="00AA307F">
              <w:t xml:space="preserve">Percutaneous </w:t>
            </w:r>
            <w:r w:rsidR="00D73C8C" w:rsidRPr="00AA307F">
              <w:t>MTA</w:t>
            </w:r>
            <w:r w:rsidRPr="00AA307F">
              <w:t>, guidance may be CT or US</w:t>
            </w:r>
          </w:p>
        </w:tc>
      </w:tr>
      <w:tr w:rsidR="003B7A57" w:rsidRPr="00FD6A36" w14:paraId="69C52ADD" w14:textId="77777777" w:rsidTr="003B7A57">
        <w:trPr>
          <w:trHeight w:val="612"/>
        </w:trPr>
        <w:tc>
          <w:tcPr>
            <w:tcW w:w="2068" w:type="dxa"/>
            <w:shd w:val="clear" w:color="auto" w:fill="auto"/>
          </w:tcPr>
          <w:p w14:paraId="461F7359" w14:textId="77777777" w:rsidR="003B7A57" w:rsidRPr="00AA307F" w:rsidRDefault="003B7A57" w:rsidP="002A377E">
            <w:pPr>
              <w:pStyle w:val="Tabletext1"/>
            </w:pPr>
            <w:r w:rsidRPr="00AA307F">
              <w:t>Comparators</w:t>
            </w:r>
          </w:p>
        </w:tc>
        <w:tc>
          <w:tcPr>
            <w:tcW w:w="6965" w:type="dxa"/>
            <w:shd w:val="clear" w:color="auto" w:fill="auto"/>
          </w:tcPr>
          <w:p w14:paraId="3F98F393" w14:textId="77777777" w:rsidR="003B7A57" w:rsidRPr="00AA307F" w:rsidRDefault="003B7A57" w:rsidP="002A377E">
            <w:pPr>
              <w:pStyle w:val="Tabletext1"/>
            </w:pPr>
            <w:r w:rsidRPr="00AA307F">
              <w:t>Conventional palliative therapy which may include palliative chemotherapy, radiotherapy, RFA or best supportive care</w:t>
            </w:r>
          </w:p>
        </w:tc>
      </w:tr>
      <w:tr w:rsidR="003B7A57" w:rsidRPr="00FD6A36" w14:paraId="108EE448" w14:textId="77777777" w:rsidTr="003B7A57">
        <w:trPr>
          <w:trHeight w:val="547"/>
        </w:trPr>
        <w:tc>
          <w:tcPr>
            <w:tcW w:w="2068" w:type="dxa"/>
            <w:tcBorders>
              <w:bottom w:val="single" w:sz="4" w:space="0" w:color="auto"/>
            </w:tcBorders>
            <w:shd w:val="clear" w:color="auto" w:fill="auto"/>
          </w:tcPr>
          <w:p w14:paraId="4C0A3FAB" w14:textId="77777777" w:rsidR="003B7A57" w:rsidRPr="00AA307F" w:rsidRDefault="003B7A57" w:rsidP="002A377E">
            <w:pPr>
              <w:pStyle w:val="Tabletext1"/>
            </w:pPr>
            <w:r w:rsidRPr="00AA307F">
              <w:t>Outcomes</w:t>
            </w:r>
          </w:p>
        </w:tc>
        <w:tc>
          <w:tcPr>
            <w:tcW w:w="6965" w:type="dxa"/>
            <w:tcBorders>
              <w:bottom w:val="single" w:sz="4" w:space="0" w:color="auto"/>
            </w:tcBorders>
            <w:shd w:val="clear" w:color="auto" w:fill="auto"/>
          </w:tcPr>
          <w:p w14:paraId="403965BA" w14:textId="77777777" w:rsidR="003B7A57" w:rsidRPr="00AA307F" w:rsidRDefault="003B7A57" w:rsidP="002A377E">
            <w:pPr>
              <w:pStyle w:val="Tabletext1"/>
              <w:rPr>
                <w:rFonts w:cs="Arial"/>
              </w:rPr>
            </w:pPr>
            <w:r w:rsidRPr="00AA307F">
              <w:rPr>
                <w:rFonts w:cs="Arial"/>
              </w:rPr>
              <w:t xml:space="preserve">Critical for decision making: </w:t>
            </w:r>
            <w:r w:rsidR="004906BC">
              <w:rPr>
                <w:rFonts w:cs="Arial"/>
              </w:rPr>
              <w:t>A</w:t>
            </w:r>
            <w:r w:rsidR="004906BC" w:rsidRPr="00AA307F">
              <w:rPr>
                <w:rFonts w:cs="Arial"/>
              </w:rPr>
              <w:t xml:space="preserve">ny </w:t>
            </w:r>
            <w:r w:rsidRPr="00AA307F">
              <w:rPr>
                <w:rFonts w:cs="Arial"/>
              </w:rPr>
              <w:t>immediate or delayed adverse events or mortality related to the procedure or anaesthesia</w:t>
            </w:r>
          </w:p>
          <w:p w14:paraId="75006BE8" w14:textId="77777777" w:rsidR="003B7A57" w:rsidRPr="00AA307F" w:rsidRDefault="003B7A57" w:rsidP="002A377E">
            <w:pPr>
              <w:pStyle w:val="Tabletext1"/>
              <w:rPr>
                <w:rFonts w:cs="Arial"/>
              </w:rPr>
            </w:pPr>
            <w:r w:rsidRPr="00AA307F">
              <w:rPr>
                <w:rFonts w:cs="Arial"/>
              </w:rPr>
              <w:t xml:space="preserve">Important, but not critical for decision making: </w:t>
            </w:r>
            <w:r w:rsidR="004906BC">
              <w:rPr>
                <w:rFonts w:cs="Arial"/>
              </w:rPr>
              <w:t>N</w:t>
            </w:r>
            <w:r w:rsidR="004906BC" w:rsidRPr="00AA307F">
              <w:rPr>
                <w:rFonts w:cs="Arial"/>
              </w:rPr>
              <w:t xml:space="preserve">ot </w:t>
            </w:r>
            <w:r w:rsidRPr="00AA307F">
              <w:rPr>
                <w:rFonts w:cs="Arial"/>
              </w:rPr>
              <w:t>applicable</w:t>
            </w:r>
          </w:p>
          <w:p w14:paraId="2C388D3B" w14:textId="77777777" w:rsidR="003B7A57" w:rsidRPr="00AA307F" w:rsidRDefault="003B7A57" w:rsidP="002A377E">
            <w:pPr>
              <w:pStyle w:val="Tabletext1"/>
              <w:rPr>
                <w:rFonts w:cs="Arial"/>
              </w:rPr>
            </w:pPr>
            <w:r w:rsidRPr="00AA307F">
              <w:rPr>
                <w:rFonts w:cs="Arial"/>
              </w:rPr>
              <w:t xml:space="preserve">Low importance for decision making: </w:t>
            </w:r>
            <w:r w:rsidR="004906BC">
              <w:rPr>
                <w:rFonts w:cs="Arial"/>
              </w:rPr>
              <w:t>N</w:t>
            </w:r>
            <w:r w:rsidR="004906BC" w:rsidRPr="00AA307F">
              <w:rPr>
                <w:rFonts w:cs="Arial"/>
              </w:rPr>
              <w:t xml:space="preserve">ot </w:t>
            </w:r>
            <w:r w:rsidRPr="00AA307F">
              <w:rPr>
                <w:rFonts w:cs="Arial"/>
              </w:rPr>
              <w:t>applicable</w:t>
            </w:r>
          </w:p>
        </w:tc>
      </w:tr>
      <w:tr w:rsidR="003B7A57" w:rsidRPr="00FD6A36" w14:paraId="27D76EBF" w14:textId="77777777" w:rsidTr="003B7A57">
        <w:trPr>
          <w:trHeight w:val="493"/>
        </w:trPr>
        <w:tc>
          <w:tcPr>
            <w:tcW w:w="2068" w:type="dxa"/>
            <w:tcBorders>
              <w:top w:val="single" w:sz="4" w:space="0" w:color="auto"/>
              <w:bottom w:val="single" w:sz="4" w:space="0" w:color="auto"/>
            </w:tcBorders>
            <w:shd w:val="clear" w:color="auto" w:fill="auto"/>
          </w:tcPr>
          <w:p w14:paraId="54D85B72" w14:textId="77777777" w:rsidR="003B7A57" w:rsidRPr="00AA307F" w:rsidRDefault="003B7A57" w:rsidP="002A377E">
            <w:pPr>
              <w:pStyle w:val="Tabletext1"/>
            </w:pPr>
            <w:r w:rsidRPr="00AA307F">
              <w:t>Systematic review question</w:t>
            </w:r>
          </w:p>
        </w:tc>
        <w:tc>
          <w:tcPr>
            <w:tcW w:w="6965" w:type="dxa"/>
            <w:tcBorders>
              <w:top w:val="single" w:sz="4" w:space="0" w:color="auto"/>
              <w:bottom w:val="single" w:sz="4" w:space="0" w:color="auto"/>
            </w:tcBorders>
            <w:shd w:val="clear" w:color="auto" w:fill="auto"/>
          </w:tcPr>
          <w:p w14:paraId="0B391496" w14:textId="77777777" w:rsidR="003B7A57" w:rsidRPr="00AA307F" w:rsidRDefault="003B7A57" w:rsidP="002A377E">
            <w:pPr>
              <w:pStyle w:val="Tabletext1"/>
              <w:rPr>
                <w:rFonts w:cs="Arial"/>
              </w:rPr>
            </w:pPr>
            <w:r w:rsidRPr="00AA307F">
              <w:rPr>
                <w:rFonts w:cs="Arial"/>
              </w:rPr>
              <w:t xml:space="preserve">What is the safety profile of microwave </w:t>
            </w:r>
            <w:r w:rsidR="0066456D" w:rsidRPr="00AA307F">
              <w:rPr>
                <w:rFonts w:cs="Arial"/>
              </w:rPr>
              <w:t>tissue</w:t>
            </w:r>
            <w:r w:rsidRPr="00AA307F">
              <w:rPr>
                <w:rFonts w:cs="Arial"/>
              </w:rPr>
              <w:t xml:space="preserve"> ablation in patients with NSCLC or lung metastases being treated with palliative intent?</w:t>
            </w:r>
          </w:p>
        </w:tc>
      </w:tr>
    </w:tbl>
    <w:p w14:paraId="0EC06E54" w14:textId="77777777" w:rsidR="003B7A57" w:rsidRDefault="00DF4CDE" w:rsidP="000269A7">
      <w:pPr>
        <w:pStyle w:val="Tablenotes0"/>
      </w:pPr>
      <w:r>
        <w:t xml:space="preserve">&lt; </w:t>
      </w:r>
      <w:r w:rsidR="000269A7" w:rsidRPr="000269A7">
        <w:t>CT</w:t>
      </w:r>
      <w:r w:rsidR="008E5DEC">
        <w:t xml:space="preserve"> </w:t>
      </w:r>
      <w:r w:rsidR="000269A7" w:rsidRPr="000269A7">
        <w:t>= computed tomography; MTA</w:t>
      </w:r>
      <w:r w:rsidR="008E5DEC">
        <w:t xml:space="preserve"> </w:t>
      </w:r>
      <w:r w:rsidR="000269A7" w:rsidRPr="00DF4CDE">
        <w:t>=</w:t>
      </w:r>
      <w:r w:rsidR="000269A7" w:rsidRPr="000269A7">
        <w:t xml:space="preserve"> microwave tissue ablation; </w:t>
      </w:r>
      <w:r w:rsidR="004578A6" w:rsidRPr="000269A7">
        <w:t>NSCLC</w:t>
      </w:r>
      <w:r w:rsidR="008E5DEC">
        <w:t xml:space="preserve"> </w:t>
      </w:r>
      <w:r w:rsidR="004578A6" w:rsidRPr="000269A7">
        <w:t>= non-small cell lung cancer; RFA</w:t>
      </w:r>
      <w:r w:rsidR="008E5DEC">
        <w:t xml:space="preserve"> </w:t>
      </w:r>
      <w:r w:rsidR="004578A6" w:rsidRPr="000269A7">
        <w:t>= radiofrequency ablation</w:t>
      </w:r>
      <w:r w:rsidR="004578A6">
        <w:t xml:space="preserve">; </w:t>
      </w:r>
      <w:r w:rsidR="000269A7" w:rsidRPr="000269A7">
        <w:t>US</w:t>
      </w:r>
      <w:r w:rsidR="008E5DEC">
        <w:t xml:space="preserve"> </w:t>
      </w:r>
      <w:r w:rsidR="000269A7" w:rsidRPr="000269A7">
        <w:t>= ultrasound</w:t>
      </w:r>
      <w:r>
        <w:t xml:space="preserve"> &gt;</w:t>
      </w:r>
    </w:p>
    <w:p w14:paraId="0755574C" w14:textId="77777777" w:rsidR="00A3475E" w:rsidRDefault="00A3475E" w:rsidP="001B00A6">
      <w:pPr>
        <w:pStyle w:val="Caption"/>
        <w:ind w:left="1134" w:hanging="1134"/>
      </w:pPr>
      <w:bookmarkStart w:id="186" w:name="_Ref457388347"/>
      <w:r>
        <w:br w:type="page"/>
      </w:r>
    </w:p>
    <w:p w14:paraId="7002BCB9" w14:textId="77777777" w:rsidR="003B7A57" w:rsidRDefault="003B7A57" w:rsidP="001B00A6">
      <w:pPr>
        <w:pStyle w:val="Caption"/>
        <w:ind w:left="1134" w:hanging="1134"/>
      </w:pPr>
      <w:bookmarkStart w:id="187" w:name="_Ref460410349"/>
      <w:bookmarkStart w:id="188" w:name="_Toc460514768"/>
      <w:r>
        <w:lastRenderedPageBreak/>
        <w:t xml:space="preserve">Box </w:t>
      </w:r>
      <w:fldSimple w:instr=" SEQ Box \* ARABIC ">
        <w:r w:rsidR="00D170A5">
          <w:rPr>
            <w:noProof/>
          </w:rPr>
          <w:t>6</w:t>
        </w:r>
      </w:fldSimple>
      <w:bookmarkEnd w:id="186"/>
      <w:bookmarkEnd w:id="187"/>
      <w:r>
        <w:tab/>
        <w:t>Criteria for identifying and selecting studies to determine the effectiveness of MTA in patients with NSCLC or pulmonary metastases who are receiving palliative treatment</w:t>
      </w:r>
      <w:bookmarkEnd w:id="18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2068"/>
        <w:gridCol w:w="6965"/>
      </w:tblGrid>
      <w:tr w:rsidR="003B7A57" w:rsidRPr="00FD6A36" w14:paraId="45D262D3" w14:textId="77777777" w:rsidTr="005B34BE">
        <w:trPr>
          <w:trHeight w:val="261"/>
        </w:trPr>
        <w:tc>
          <w:tcPr>
            <w:tcW w:w="2068" w:type="dxa"/>
            <w:tcBorders>
              <w:top w:val="single" w:sz="4" w:space="0" w:color="auto"/>
              <w:bottom w:val="single" w:sz="4" w:space="0" w:color="auto"/>
            </w:tcBorders>
            <w:shd w:val="clear" w:color="auto" w:fill="D9D9D9" w:themeFill="background1" w:themeFillShade="D9"/>
          </w:tcPr>
          <w:p w14:paraId="340EF54D" w14:textId="77777777" w:rsidR="003B7A57" w:rsidRPr="002A377E" w:rsidRDefault="003B7A57" w:rsidP="00C24C01">
            <w:pPr>
              <w:pStyle w:val="Tabletext1"/>
              <w:rPr>
                <w:b/>
              </w:rPr>
            </w:pPr>
            <w:r w:rsidRPr="002A377E">
              <w:rPr>
                <w:b/>
              </w:rPr>
              <w:t>Selection criteria</w:t>
            </w:r>
          </w:p>
        </w:tc>
        <w:tc>
          <w:tcPr>
            <w:tcW w:w="6965" w:type="dxa"/>
            <w:tcBorders>
              <w:top w:val="single" w:sz="4" w:space="0" w:color="auto"/>
              <w:bottom w:val="single" w:sz="4" w:space="0" w:color="auto"/>
            </w:tcBorders>
            <w:shd w:val="clear" w:color="auto" w:fill="D9D9D9" w:themeFill="background1" w:themeFillShade="D9"/>
          </w:tcPr>
          <w:p w14:paraId="3CE55A9F" w14:textId="77777777" w:rsidR="003B7A57" w:rsidRPr="002A377E" w:rsidRDefault="003B7A57" w:rsidP="00C24C01">
            <w:pPr>
              <w:pStyle w:val="Tabletext1"/>
              <w:rPr>
                <w:rFonts w:cs="Arial"/>
                <w:b/>
              </w:rPr>
            </w:pPr>
            <w:r w:rsidRPr="002A377E">
              <w:rPr>
                <w:rFonts w:cs="Arial"/>
                <w:b/>
              </w:rPr>
              <w:t>Description</w:t>
            </w:r>
          </w:p>
        </w:tc>
      </w:tr>
      <w:tr w:rsidR="003B7A57" w:rsidRPr="00FD6A36" w14:paraId="125496BC" w14:textId="77777777" w:rsidTr="002A377E">
        <w:trPr>
          <w:trHeight w:val="247"/>
        </w:trPr>
        <w:tc>
          <w:tcPr>
            <w:tcW w:w="2068" w:type="dxa"/>
            <w:tcBorders>
              <w:top w:val="single" w:sz="4" w:space="0" w:color="auto"/>
            </w:tcBorders>
            <w:shd w:val="clear" w:color="auto" w:fill="auto"/>
          </w:tcPr>
          <w:p w14:paraId="3326030F" w14:textId="77777777" w:rsidR="003B7A57" w:rsidRPr="00AA307F" w:rsidRDefault="003B7A57" w:rsidP="00C24C01">
            <w:pPr>
              <w:pStyle w:val="Tabletext1"/>
            </w:pPr>
            <w:r w:rsidRPr="00AA307F">
              <w:t>Population</w:t>
            </w:r>
          </w:p>
        </w:tc>
        <w:tc>
          <w:tcPr>
            <w:tcW w:w="6965" w:type="dxa"/>
            <w:tcBorders>
              <w:top w:val="single" w:sz="4" w:space="0" w:color="auto"/>
            </w:tcBorders>
            <w:shd w:val="clear" w:color="auto" w:fill="auto"/>
          </w:tcPr>
          <w:p w14:paraId="54501816" w14:textId="77777777" w:rsidR="003B7A57" w:rsidRPr="00AA307F" w:rsidRDefault="003B7A57" w:rsidP="00C24C01">
            <w:pPr>
              <w:pStyle w:val="Tabletext1"/>
              <w:rPr>
                <w:rFonts w:cs="Arial"/>
                <w:u w:val="single"/>
              </w:rPr>
            </w:pPr>
            <w:r w:rsidRPr="00AA307F">
              <w:rPr>
                <w:rFonts w:cs="Arial"/>
                <w:u w:val="single"/>
              </w:rPr>
              <w:t xml:space="preserve">Patients with NSCLC or lung metastases being treated with palliative intent. </w:t>
            </w:r>
          </w:p>
          <w:p w14:paraId="1FB8E254" w14:textId="77777777" w:rsidR="003B7A57" w:rsidRPr="00AA307F" w:rsidRDefault="003B7A57" w:rsidP="00C24C01">
            <w:pPr>
              <w:pStyle w:val="Tabletext1"/>
              <w:rPr>
                <w:rFonts w:cs="Arial"/>
              </w:rPr>
            </w:pPr>
            <w:r w:rsidRPr="00AA307F">
              <w:rPr>
                <w:rFonts w:cs="Arial"/>
              </w:rPr>
              <w:t xml:space="preserve">Include studies which state that patients were treated with palliative intent. </w:t>
            </w:r>
          </w:p>
          <w:p w14:paraId="12CF7E4B" w14:textId="77777777" w:rsidR="003B7A57" w:rsidRPr="00AA307F" w:rsidRDefault="003B7A57" w:rsidP="00C24C01">
            <w:pPr>
              <w:pStyle w:val="Tabletext1"/>
              <w:rPr>
                <w:rFonts w:cs="Arial"/>
              </w:rPr>
            </w:pPr>
            <w:r w:rsidRPr="00AA307F">
              <w:rPr>
                <w:rFonts w:cs="Arial"/>
              </w:rPr>
              <w:t xml:space="preserve">Include studies reporting that patients had advanced NSCLC or advanced </w:t>
            </w:r>
            <w:r w:rsidR="00CC7B4A" w:rsidRPr="00AA307F">
              <w:t>primary cancers</w:t>
            </w:r>
            <w:r w:rsidRPr="00AA307F">
              <w:rPr>
                <w:rFonts w:cs="Arial"/>
              </w:rPr>
              <w:t xml:space="preserve">. </w:t>
            </w:r>
          </w:p>
          <w:p w14:paraId="3D2CCB8D" w14:textId="77777777" w:rsidR="003B7A57" w:rsidRPr="00AA307F" w:rsidRDefault="003B7A57" w:rsidP="00C24C01">
            <w:pPr>
              <w:pStyle w:val="Tabletext1"/>
              <w:rPr>
                <w:rFonts w:cs="Arial"/>
              </w:rPr>
            </w:pPr>
            <w:r w:rsidRPr="00AA307F">
              <w:rPr>
                <w:rFonts w:cs="Arial"/>
              </w:rPr>
              <w:t xml:space="preserve">Include studies which report on outcomes relevant to palliative care only such as symptom relief/control and quality of life. </w:t>
            </w:r>
          </w:p>
          <w:p w14:paraId="7A89C4EC" w14:textId="77777777" w:rsidR="003B7A57" w:rsidRPr="00AA307F" w:rsidRDefault="003B7A57" w:rsidP="00C24C01">
            <w:pPr>
              <w:pStyle w:val="Tabletext1"/>
              <w:rPr>
                <w:rFonts w:cs="Arial"/>
              </w:rPr>
            </w:pPr>
            <w:r w:rsidRPr="00AA307F">
              <w:rPr>
                <w:rFonts w:cs="Arial"/>
              </w:rPr>
              <w:t xml:space="preserve">If there is still significant uncertainty regarding the treatment intent clinical expertise may be sought on the inclusion of the study. </w:t>
            </w:r>
          </w:p>
        </w:tc>
      </w:tr>
      <w:tr w:rsidR="003B7A57" w:rsidRPr="00FD6A36" w14:paraId="0E020C29" w14:textId="77777777" w:rsidTr="003B7A57">
        <w:trPr>
          <w:trHeight w:val="224"/>
        </w:trPr>
        <w:tc>
          <w:tcPr>
            <w:tcW w:w="2068" w:type="dxa"/>
            <w:shd w:val="clear" w:color="auto" w:fill="auto"/>
          </w:tcPr>
          <w:p w14:paraId="52276DA8" w14:textId="77777777" w:rsidR="003B7A57" w:rsidRPr="00AA307F" w:rsidRDefault="003B7A57" w:rsidP="00C24C01">
            <w:pPr>
              <w:pStyle w:val="Tabletext1"/>
            </w:pPr>
            <w:r w:rsidRPr="00AA307F">
              <w:t>Intervention</w:t>
            </w:r>
          </w:p>
        </w:tc>
        <w:tc>
          <w:tcPr>
            <w:tcW w:w="6965" w:type="dxa"/>
            <w:shd w:val="clear" w:color="auto" w:fill="auto"/>
          </w:tcPr>
          <w:p w14:paraId="4DA6AB2F" w14:textId="77777777" w:rsidR="003B7A57" w:rsidRPr="00AA307F" w:rsidRDefault="003B7A57" w:rsidP="00C24C01">
            <w:pPr>
              <w:pStyle w:val="Tabletext1"/>
            </w:pPr>
            <w:r w:rsidRPr="00AA307F">
              <w:t xml:space="preserve">Percutaneous </w:t>
            </w:r>
            <w:r w:rsidR="00D73C8C" w:rsidRPr="00AA307F">
              <w:t>MTA</w:t>
            </w:r>
            <w:r w:rsidRPr="00AA307F">
              <w:t>, guidance may be CT or US</w:t>
            </w:r>
          </w:p>
        </w:tc>
      </w:tr>
      <w:tr w:rsidR="003B7A57" w:rsidRPr="00FD6A36" w14:paraId="4BEE958D" w14:textId="77777777" w:rsidTr="003B7A57">
        <w:trPr>
          <w:trHeight w:val="612"/>
        </w:trPr>
        <w:tc>
          <w:tcPr>
            <w:tcW w:w="2068" w:type="dxa"/>
            <w:shd w:val="clear" w:color="auto" w:fill="auto"/>
          </w:tcPr>
          <w:p w14:paraId="7F992B73" w14:textId="77777777" w:rsidR="003B7A57" w:rsidRPr="00AA307F" w:rsidRDefault="003B7A57" w:rsidP="00C24C01">
            <w:pPr>
              <w:pStyle w:val="Tabletext1"/>
            </w:pPr>
            <w:r w:rsidRPr="00AA307F">
              <w:t>Comparators</w:t>
            </w:r>
          </w:p>
        </w:tc>
        <w:tc>
          <w:tcPr>
            <w:tcW w:w="6965" w:type="dxa"/>
            <w:shd w:val="clear" w:color="auto" w:fill="auto"/>
          </w:tcPr>
          <w:p w14:paraId="3224E193" w14:textId="77777777" w:rsidR="003B7A57" w:rsidRPr="00AA307F" w:rsidRDefault="003B7A57" w:rsidP="00C24C01">
            <w:pPr>
              <w:pStyle w:val="Tabletext1"/>
            </w:pPr>
            <w:r w:rsidRPr="00AA307F">
              <w:t>Conventional palliative therapy which may include palliative chemotherapy, radiotherapy, RFA or best supportive care</w:t>
            </w:r>
          </w:p>
        </w:tc>
      </w:tr>
      <w:tr w:rsidR="003B7A57" w:rsidRPr="00FD6A36" w14:paraId="6347AB41" w14:textId="77777777" w:rsidTr="003B7A57">
        <w:trPr>
          <w:trHeight w:val="547"/>
        </w:trPr>
        <w:tc>
          <w:tcPr>
            <w:tcW w:w="2068" w:type="dxa"/>
            <w:tcBorders>
              <w:bottom w:val="single" w:sz="4" w:space="0" w:color="auto"/>
            </w:tcBorders>
            <w:shd w:val="clear" w:color="auto" w:fill="auto"/>
          </w:tcPr>
          <w:p w14:paraId="1AEC1133" w14:textId="77777777" w:rsidR="003B7A57" w:rsidRPr="00AA307F" w:rsidRDefault="003B7A57" w:rsidP="00C24C01">
            <w:pPr>
              <w:pStyle w:val="Tabletext1"/>
            </w:pPr>
            <w:r w:rsidRPr="00AA307F">
              <w:t>Outcomes</w:t>
            </w:r>
          </w:p>
        </w:tc>
        <w:tc>
          <w:tcPr>
            <w:tcW w:w="6965" w:type="dxa"/>
            <w:tcBorders>
              <w:bottom w:val="single" w:sz="4" w:space="0" w:color="auto"/>
            </w:tcBorders>
            <w:shd w:val="clear" w:color="auto" w:fill="auto"/>
          </w:tcPr>
          <w:p w14:paraId="6D5C963C" w14:textId="77777777" w:rsidR="003B7A57" w:rsidRPr="00AA307F" w:rsidRDefault="003B7A57" w:rsidP="00C24C01">
            <w:pPr>
              <w:pStyle w:val="Tabletext1"/>
              <w:rPr>
                <w:rFonts w:cs="Arial"/>
              </w:rPr>
            </w:pPr>
            <w:r w:rsidRPr="00AA307F">
              <w:rPr>
                <w:rFonts w:cs="Arial"/>
              </w:rPr>
              <w:t xml:space="preserve">Critical for decision making: </w:t>
            </w:r>
            <w:r w:rsidR="004578A6">
              <w:rPr>
                <w:rFonts w:cs="Arial"/>
              </w:rPr>
              <w:t>S</w:t>
            </w:r>
            <w:r w:rsidR="004578A6" w:rsidRPr="00AA307F">
              <w:rPr>
                <w:rFonts w:cs="Arial"/>
              </w:rPr>
              <w:t xml:space="preserve">ymptom </w:t>
            </w:r>
            <w:r w:rsidRPr="00AA307F">
              <w:rPr>
                <w:rFonts w:cs="Arial"/>
              </w:rPr>
              <w:t>relief/control, quality of life, median survival times</w:t>
            </w:r>
          </w:p>
          <w:p w14:paraId="13FC6B4B" w14:textId="77777777" w:rsidR="003B7A57" w:rsidRPr="00AA307F" w:rsidRDefault="003B7A57" w:rsidP="00C24C01">
            <w:pPr>
              <w:pStyle w:val="Tabletext1"/>
              <w:rPr>
                <w:rFonts w:cs="Arial"/>
              </w:rPr>
            </w:pPr>
            <w:r w:rsidRPr="00AA307F">
              <w:rPr>
                <w:rFonts w:cs="Arial"/>
              </w:rPr>
              <w:t xml:space="preserve">Important, but not critical for decision making: </w:t>
            </w:r>
            <w:r w:rsidR="004578A6">
              <w:rPr>
                <w:rFonts w:cs="Arial"/>
              </w:rPr>
              <w:t>R</w:t>
            </w:r>
            <w:r w:rsidR="004578A6" w:rsidRPr="00AA307F">
              <w:rPr>
                <w:rFonts w:cs="Arial"/>
              </w:rPr>
              <w:t xml:space="preserve">elative </w:t>
            </w:r>
            <w:r w:rsidRPr="00AA307F">
              <w:rPr>
                <w:rFonts w:cs="Arial"/>
              </w:rPr>
              <w:t>survival rates at 1-,2-,3- and 5- years, procedural time, length of hospital stay, recovery time, patient discomfort</w:t>
            </w:r>
          </w:p>
          <w:p w14:paraId="55ACDA83" w14:textId="77777777" w:rsidR="003B7A57" w:rsidRPr="00AA307F" w:rsidRDefault="003B7A57" w:rsidP="00C24C01">
            <w:pPr>
              <w:pStyle w:val="Tabletext1"/>
              <w:rPr>
                <w:rFonts w:cs="Arial"/>
              </w:rPr>
            </w:pPr>
            <w:r w:rsidRPr="00AA307F">
              <w:rPr>
                <w:rFonts w:cs="Arial"/>
              </w:rPr>
              <w:t xml:space="preserve">Low importance for decision making: </w:t>
            </w:r>
            <w:r w:rsidR="004578A6">
              <w:rPr>
                <w:rFonts w:cs="Arial"/>
              </w:rPr>
              <w:t>N</w:t>
            </w:r>
            <w:r w:rsidR="004578A6" w:rsidRPr="00AA307F">
              <w:rPr>
                <w:rFonts w:cs="Arial"/>
              </w:rPr>
              <w:t xml:space="preserve">ot </w:t>
            </w:r>
            <w:r w:rsidRPr="00AA307F">
              <w:rPr>
                <w:rFonts w:cs="Arial"/>
              </w:rPr>
              <w:t>applicable</w:t>
            </w:r>
          </w:p>
        </w:tc>
      </w:tr>
      <w:tr w:rsidR="003B7A57" w:rsidRPr="00FD6A36" w14:paraId="001678DF" w14:textId="77777777" w:rsidTr="003B7A57">
        <w:trPr>
          <w:trHeight w:val="493"/>
        </w:trPr>
        <w:tc>
          <w:tcPr>
            <w:tcW w:w="2068" w:type="dxa"/>
            <w:tcBorders>
              <w:top w:val="single" w:sz="4" w:space="0" w:color="auto"/>
              <w:bottom w:val="single" w:sz="4" w:space="0" w:color="auto"/>
            </w:tcBorders>
            <w:shd w:val="clear" w:color="auto" w:fill="auto"/>
          </w:tcPr>
          <w:p w14:paraId="4F81CA62" w14:textId="77777777" w:rsidR="003B7A57" w:rsidRPr="00AA307F" w:rsidRDefault="003B7A57" w:rsidP="002A377E">
            <w:pPr>
              <w:pStyle w:val="Tabletext1"/>
            </w:pPr>
            <w:r w:rsidRPr="00AA307F">
              <w:t>Systematic review question</w:t>
            </w:r>
          </w:p>
        </w:tc>
        <w:tc>
          <w:tcPr>
            <w:tcW w:w="6965" w:type="dxa"/>
            <w:tcBorders>
              <w:top w:val="single" w:sz="4" w:space="0" w:color="auto"/>
              <w:bottom w:val="single" w:sz="4" w:space="0" w:color="auto"/>
            </w:tcBorders>
            <w:shd w:val="clear" w:color="auto" w:fill="auto"/>
          </w:tcPr>
          <w:p w14:paraId="413DEF69" w14:textId="77777777" w:rsidR="003B7A57" w:rsidRPr="00AA307F" w:rsidRDefault="003B7A57" w:rsidP="00C24C01">
            <w:pPr>
              <w:pStyle w:val="Tabletext1"/>
              <w:rPr>
                <w:rFonts w:cs="Arial"/>
              </w:rPr>
            </w:pPr>
            <w:r w:rsidRPr="00AA307F">
              <w:rPr>
                <w:rFonts w:cs="Arial"/>
              </w:rPr>
              <w:t xml:space="preserve">What is the effectiveness of microwave </w:t>
            </w:r>
            <w:r w:rsidR="0066456D" w:rsidRPr="00AA307F">
              <w:rPr>
                <w:rFonts w:cs="Arial"/>
              </w:rPr>
              <w:t>tissue</w:t>
            </w:r>
            <w:r w:rsidRPr="00AA307F">
              <w:rPr>
                <w:rFonts w:cs="Arial"/>
              </w:rPr>
              <w:t xml:space="preserve"> ablation in patients with NSCLC or lung metastases being treated with palliative intent?</w:t>
            </w:r>
          </w:p>
        </w:tc>
      </w:tr>
    </w:tbl>
    <w:p w14:paraId="7927C1CC" w14:textId="77777777" w:rsidR="004578A6" w:rsidRDefault="00DF4CDE" w:rsidP="004578A6">
      <w:pPr>
        <w:pStyle w:val="Tablenotes0"/>
      </w:pPr>
      <w:r>
        <w:t xml:space="preserve">&lt; </w:t>
      </w:r>
      <w:r w:rsidR="004578A6" w:rsidRPr="000269A7">
        <w:t>CT</w:t>
      </w:r>
      <w:r w:rsidR="008E5DEC">
        <w:t xml:space="preserve"> </w:t>
      </w:r>
      <w:r w:rsidR="004578A6" w:rsidRPr="000269A7">
        <w:t>= computed tomography; MTA</w:t>
      </w:r>
      <w:r w:rsidR="008E5DEC">
        <w:t xml:space="preserve"> </w:t>
      </w:r>
      <w:r w:rsidR="004578A6" w:rsidRPr="000269A7">
        <w:t>= microwave tissue ablation; NSCLC</w:t>
      </w:r>
      <w:r w:rsidR="008E5DEC">
        <w:t xml:space="preserve"> </w:t>
      </w:r>
      <w:r w:rsidR="004578A6" w:rsidRPr="000269A7">
        <w:t>= non-small cell lung cancer; RFA</w:t>
      </w:r>
      <w:r w:rsidR="008E5DEC">
        <w:t xml:space="preserve"> </w:t>
      </w:r>
      <w:r w:rsidR="004578A6" w:rsidRPr="000269A7">
        <w:t>= radiofrequency ablation</w:t>
      </w:r>
      <w:r w:rsidR="004578A6">
        <w:t xml:space="preserve">; </w:t>
      </w:r>
      <w:r w:rsidR="004578A6" w:rsidRPr="000269A7">
        <w:t>US</w:t>
      </w:r>
      <w:r w:rsidR="008E5DEC">
        <w:t xml:space="preserve"> </w:t>
      </w:r>
      <w:r w:rsidR="004578A6" w:rsidRPr="000269A7">
        <w:t>= ultrasound</w:t>
      </w:r>
      <w:r>
        <w:t xml:space="preserve"> &gt;</w:t>
      </w:r>
    </w:p>
    <w:p w14:paraId="0542B78F" w14:textId="77777777" w:rsidR="00C33F2C" w:rsidRPr="00183E4D" w:rsidRDefault="00C33F2C" w:rsidP="00647EB9">
      <w:pPr>
        <w:pStyle w:val="Heading2"/>
        <w:numPr>
          <w:ilvl w:val="0"/>
          <w:numId w:val="7"/>
        </w:numPr>
      </w:pPr>
      <w:bookmarkStart w:id="189" w:name="_Toc426968125"/>
      <w:bookmarkStart w:id="190" w:name="_Toc460396027"/>
      <w:r>
        <w:t xml:space="preserve">Consumer </w:t>
      </w:r>
      <w:r w:rsidR="003B4853">
        <w:t xml:space="preserve">Impact </w:t>
      </w:r>
      <w:bookmarkEnd w:id="189"/>
      <w:r w:rsidR="003B4853">
        <w:t>Statement</w:t>
      </w:r>
      <w:bookmarkEnd w:id="190"/>
    </w:p>
    <w:p w14:paraId="6B88A138" w14:textId="77777777" w:rsidR="00C9014F" w:rsidRPr="00183E4D" w:rsidRDefault="001F0169" w:rsidP="00DF343F">
      <w:r>
        <w:t xml:space="preserve">No </w:t>
      </w:r>
      <w:r w:rsidR="00D73C8C">
        <w:t>significant feedback was received during the pub</w:t>
      </w:r>
      <w:r w:rsidR="00A941E9">
        <w:t>lic consultation period of the p</w:t>
      </w:r>
      <w:r w:rsidR="000D7002">
        <w:t>rotocol for this application.</w:t>
      </w:r>
    </w:p>
    <w:p w14:paraId="739DCAFD" w14:textId="77777777" w:rsidR="008F59A8" w:rsidRPr="00183E4D" w:rsidRDefault="00AA708D" w:rsidP="00DF343F">
      <w:pPr>
        <w:pStyle w:val="Heading1"/>
      </w:pPr>
      <w:bookmarkStart w:id="191" w:name="_Toc460396028"/>
      <w:r w:rsidRPr="00183E4D">
        <w:lastRenderedPageBreak/>
        <w:t>Section B</w:t>
      </w:r>
      <w:r w:rsidRPr="00183E4D">
        <w:tab/>
        <w:t>Clinical Evaluation</w:t>
      </w:r>
      <w:bookmarkEnd w:id="191"/>
      <w:r w:rsidR="008F59A8" w:rsidRPr="00183E4D">
        <w:t xml:space="preserve"> </w:t>
      </w:r>
    </w:p>
    <w:p w14:paraId="0781509D" w14:textId="77777777" w:rsidR="00AA708D" w:rsidRPr="00183E4D" w:rsidRDefault="00AA708D" w:rsidP="00647EB9">
      <w:pPr>
        <w:pStyle w:val="Heading2"/>
        <w:numPr>
          <w:ilvl w:val="1"/>
          <w:numId w:val="8"/>
        </w:numPr>
      </w:pPr>
      <w:bookmarkStart w:id="192" w:name="_Toc381796460"/>
      <w:bookmarkStart w:id="193" w:name="_Toc460396029"/>
      <w:bookmarkStart w:id="194" w:name="_Toc381796462"/>
      <w:bookmarkStart w:id="195" w:name="_Toc381796467"/>
      <w:bookmarkStart w:id="196" w:name="_Toc379118083"/>
      <w:r w:rsidRPr="00183E4D">
        <w:t>Literature</w:t>
      </w:r>
      <w:r w:rsidR="00D5489B" w:rsidRPr="00183E4D">
        <w:t xml:space="preserve"> Sources and Search S</w:t>
      </w:r>
      <w:r w:rsidRPr="00183E4D">
        <w:t>trategies</w:t>
      </w:r>
      <w:bookmarkEnd w:id="192"/>
      <w:bookmarkEnd w:id="193"/>
    </w:p>
    <w:p w14:paraId="06FE3E87" w14:textId="756600E5" w:rsidR="00024C4C" w:rsidRDefault="00024C4C" w:rsidP="00024C4C">
      <w:r>
        <w:t xml:space="preserve">A step-wise approach to literature searching was necessary in order to accommodate the limitations of the </w:t>
      </w:r>
      <w:r w:rsidR="00ED78A8">
        <w:t>peer-reviewed</w:t>
      </w:r>
      <w:r>
        <w:t xml:space="preserve"> literature pertaining to the intervention. In the first instance, a systematic literature search was conducted to identify all studies </w:t>
      </w:r>
      <w:r w:rsidR="005F29B1">
        <w:t xml:space="preserve">on </w:t>
      </w:r>
      <w:r w:rsidR="00ED78A8">
        <w:t>MTA</w:t>
      </w:r>
      <w:r>
        <w:t>. No studies that directly or indirectly compared MTA to a relevant comparator were identified. As a result, the evidence base was insufficient to inform the MSAC</w:t>
      </w:r>
      <w:r w:rsidR="00BA7D29">
        <w:t xml:space="preserve"> assessment</w:t>
      </w:r>
      <w:r>
        <w:t xml:space="preserve">. </w:t>
      </w:r>
      <w:r w:rsidRPr="00BA7D29">
        <w:t xml:space="preserve">As MTA and RFA are technologically similar (both </w:t>
      </w:r>
      <w:r w:rsidRPr="00056F6C">
        <w:t>thermal ablative technologies)</w:t>
      </w:r>
      <w:r w:rsidR="00681570">
        <w:t>,</w:t>
      </w:r>
      <w:r w:rsidRPr="00056F6C">
        <w:t xml:space="preserve"> high quality comparative data for RFA compared to current MBS listed comparator services (SBRT and </w:t>
      </w:r>
      <w:r w:rsidR="00B718FB" w:rsidRPr="00056F6C">
        <w:t>surgery</w:t>
      </w:r>
      <w:r w:rsidRPr="00056F6C">
        <w:t>) could inform a funding decision on MTA.</w:t>
      </w:r>
      <w:r>
        <w:t xml:space="preserve"> </w:t>
      </w:r>
      <w:r w:rsidR="00BA7D29">
        <w:t>A</w:t>
      </w:r>
      <w:r>
        <w:t xml:space="preserve"> second systematic search was conducted to identify all studies on RFA</w:t>
      </w:r>
      <w:r w:rsidR="00BA7D29">
        <w:t>. N</w:t>
      </w:r>
      <w:r>
        <w:t xml:space="preserve">o direct or indirect comparative evidence was identified. </w:t>
      </w:r>
      <w:r w:rsidR="00BA7D29">
        <w:t>As no comparative data w</w:t>
      </w:r>
      <w:r w:rsidR="00026A52">
        <w:t>ere</w:t>
      </w:r>
      <w:r w:rsidR="00BA7D29">
        <w:t xml:space="preserve"> identified,</w:t>
      </w:r>
      <w:r>
        <w:t xml:space="preserve"> meta-analysis </w:t>
      </w:r>
      <w:r w:rsidR="00962958">
        <w:t>and</w:t>
      </w:r>
      <w:r>
        <w:t xml:space="preserve"> indirect comparison across multiple interventions</w:t>
      </w:r>
      <w:r w:rsidR="00BA7D29">
        <w:t xml:space="preserve"> could</w:t>
      </w:r>
      <w:r w:rsidR="00962958">
        <w:t xml:space="preserve"> not</w:t>
      </w:r>
      <w:r w:rsidR="00BA7D29">
        <w:t xml:space="preserve"> be undertaken</w:t>
      </w:r>
      <w:r>
        <w:t>.</w:t>
      </w:r>
      <w:r w:rsidR="00814C4F">
        <w:t xml:space="preserve"> </w:t>
      </w:r>
    </w:p>
    <w:p w14:paraId="62B169F4" w14:textId="6CDB87B4" w:rsidR="00BC4C65" w:rsidRDefault="00814C4F" w:rsidP="00024C4C">
      <w:r>
        <w:t>I</w:t>
      </w:r>
      <w:r w:rsidR="00024C4C">
        <w:t>n order to contextualise the evidence base for MTA and RFA, and to provide some idea of potential results with ablative therapies</w:t>
      </w:r>
      <w:r w:rsidR="008D3689">
        <w:t>,</w:t>
      </w:r>
      <w:r w:rsidR="00024C4C">
        <w:t xml:space="preserve"> </w:t>
      </w:r>
      <w:r w:rsidR="008D3689">
        <w:t>additional</w:t>
      </w:r>
      <w:r w:rsidR="00024C4C">
        <w:t xml:space="preserve"> pragmatic searches were executed</w:t>
      </w:r>
      <w:r>
        <w:t>. These aimed</w:t>
      </w:r>
      <w:r w:rsidR="00024C4C">
        <w:t xml:space="preserve"> to identify evidence for the remaining comparators</w:t>
      </w:r>
      <w:r>
        <w:t>—</w:t>
      </w:r>
      <w:r w:rsidR="00024C4C">
        <w:t>current best practice radiotherapy and surgical resection</w:t>
      </w:r>
      <w:r>
        <w:t>—</w:t>
      </w:r>
      <w:r w:rsidR="00B718FB">
        <w:t>across all three defined</w:t>
      </w:r>
      <w:r w:rsidR="00024C4C">
        <w:t xml:space="preserve"> populations. These searches were not designed to be comprehensive systematic reviews</w:t>
      </w:r>
      <w:r>
        <w:t>.</w:t>
      </w:r>
      <w:r w:rsidR="00024C4C">
        <w:t xml:space="preserve"> </w:t>
      </w:r>
      <w:r>
        <w:t>A systematic</w:t>
      </w:r>
      <w:r w:rsidR="00024C4C">
        <w:t xml:space="preserve"> approach is not justified based on the paucity of evidence available for ablative therapies</w:t>
      </w:r>
      <w:r>
        <w:t>,</w:t>
      </w:r>
      <w:r w:rsidR="00B718FB">
        <w:t xml:space="preserve"> including </w:t>
      </w:r>
      <w:r>
        <w:t>MTA</w:t>
      </w:r>
      <w:r w:rsidR="00024C4C">
        <w:t xml:space="preserve">. Rather, these searches were designed to enable the selection of high quality evidence on these interventions that is </w:t>
      </w:r>
      <w:r w:rsidR="00412492">
        <w:t>reflective of current practice. T</w:t>
      </w:r>
      <w:r w:rsidR="00024C4C">
        <w:t xml:space="preserve">hese searches were executed in PubMed only, and evidence was selected preferentially in order of quality. The approach taken is described </w:t>
      </w:r>
      <w:r w:rsidR="00B718FB">
        <w:t>below</w:t>
      </w:r>
      <w:r>
        <w:t xml:space="preserve"> (</w:t>
      </w:r>
      <w:r>
        <w:fldChar w:fldCharType="begin"/>
      </w:r>
      <w:r>
        <w:instrText xml:space="preserve"> REF _Ref459279409 \h </w:instrText>
      </w:r>
      <w:r>
        <w:fldChar w:fldCharType="separate"/>
      </w:r>
      <w:r w:rsidR="00D170A5">
        <w:t xml:space="preserve">Table </w:t>
      </w:r>
      <w:r w:rsidR="00D170A5">
        <w:rPr>
          <w:noProof/>
        </w:rPr>
        <w:t>16</w:t>
      </w:r>
      <w:r>
        <w:fldChar w:fldCharType="end"/>
      </w:r>
      <w:r>
        <w:t>)</w:t>
      </w:r>
      <w:r w:rsidR="00024C4C">
        <w:t xml:space="preserve">. </w:t>
      </w:r>
      <w:r w:rsidR="00B718FB">
        <w:t xml:space="preserve">Full details </w:t>
      </w:r>
      <w:r w:rsidR="00024C4C">
        <w:t>of search strategies and databases searched are provided in Appendix B.</w:t>
      </w:r>
    </w:p>
    <w:p w14:paraId="4B3A9639" w14:textId="77777777" w:rsidR="00BC4C65" w:rsidRDefault="00BC4C65" w:rsidP="00BC4C65">
      <w:pPr>
        <w:pStyle w:val="Caption"/>
        <w:keepNext/>
      </w:pPr>
      <w:bookmarkStart w:id="197" w:name="_Ref459279409"/>
      <w:bookmarkStart w:id="198" w:name="_Toc460514674"/>
      <w:r>
        <w:t xml:space="preserve">Table </w:t>
      </w:r>
      <w:fldSimple w:instr=" SEQ Table \* ARABIC ">
        <w:r w:rsidR="00D170A5">
          <w:rPr>
            <w:noProof/>
          </w:rPr>
          <w:t>16</w:t>
        </w:r>
      </w:fldSimple>
      <w:bookmarkEnd w:id="197"/>
      <w:r>
        <w:tab/>
        <w:t>Summary of searches undertaken to identify studies regarding the intervention and comparators</w:t>
      </w:r>
      <w:bookmarkEnd w:id="1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1560"/>
        <w:gridCol w:w="6662"/>
        <w:gridCol w:w="912"/>
      </w:tblGrid>
      <w:tr w:rsidR="00BC4C65" w:rsidRPr="00183E4D" w14:paraId="2449A654" w14:textId="77777777" w:rsidTr="00B20697">
        <w:trPr>
          <w:cantSplit/>
          <w:tblHeader/>
        </w:trPr>
        <w:tc>
          <w:tcPr>
            <w:tcW w:w="1560" w:type="dxa"/>
            <w:shd w:val="clear" w:color="auto" w:fill="D9D9D9" w:themeFill="background1" w:themeFillShade="D9"/>
          </w:tcPr>
          <w:p w14:paraId="21A1E7B8" w14:textId="77777777" w:rsidR="00BC4C65" w:rsidRPr="000A1C4E" w:rsidRDefault="00BC4C65" w:rsidP="000A1C4E">
            <w:pPr>
              <w:pStyle w:val="Tabletext1"/>
              <w:rPr>
                <w:b/>
              </w:rPr>
            </w:pPr>
            <w:r w:rsidRPr="000A1C4E">
              <w:rPr>
                <w:b/>
              </w:rPr>
              <w:t>Intervention</w:t>
            </w:r>
          </w:p>
        </w:tc>
        <w:tc>
          <w:tcPr>
            <w:tcW w:w="6662" w:type="dxa"/>
            <w:shd w:val="clear" w:color="auto" w:fill="D9D9D9" w:themeFill="background1" w:themeFillShade="D9"/>
          </w:tcPr>
          <w:p w14:paraId="5B433D9B" w14:textId="77777777" w:rsidR="00BC4C65" w:rsidRPr="000A1C4E" w:rsidRDefault="00BC4C65" w:rsidP="000A1C4E">
            <w:pPr>
              <w:pStyle w:val="Tabletext1"/>
              <w:rPr>
                <w:b/>
              </w:rPr>
            </w:pPr>
            <w:r w:rsidRPr="000A1C4E">
              <w:rPr>
                <w:b/>
              </w:rPr>
              <w:t>Databases searched, search date(s) and limits</w:t>
            </w:r>
          </w:p>
        </w:tc>
        <w:tc>
          <w:tcPr>
            <w:tcW w:w="912" w:type="dxa"/>
            <w:shd w:val="clear" w:color="auto" w:fill="D9D9D9" w:themeFill="background1" w:themeFillShade="D9"/>
          </w:tcPr>
          <w:p w14:paraId="3D9F5340" w14:textId="77777777" w:rsidR="00BC4C65" w:rsidRPr="000A1C4E" w:rsidRDefault="00BC4C65" w:rsidP="000A1C4E">
            <w:pPr>
              <w:pStyle w:val="Tabletext1"/>
              <w:rPr>
                <w:b/>
              </w:rPr>
            </w:pPr>
            <w:r w:rsidRPr="000A1C4E">
              <w:rPr>
                <w:b/>
              </w:rPr>
              <w:t>Pearling</w:t>
            </w:r>
          </w:p>
        </w:tc>
      </w:tr>
      <w:tr w:rsidR="00BC4C65" w:rsidRPr="00183E4D" w14:paraId="107EE392" w14:textId="77777777" w:rsidTr="00B20697">
        <w:trPr>
          <w:cantSplit/>
        </w:trPr>
        <w:tc>
          <w:tcPr>
            <w:tcW w:w="1560" w:type="dxa"/>
          </w:tcPr>
          <w:p w14:paraId="387EA375" w14:textId="77777777" w:rsidR="00BC4C65" w:rsidRPr="00183E4D" w:rsidRDefault="00BC4C65" w:rsidP="000A1C4E">
            <w:pPr>
              <w:pStyle w:val="Tabletext1"/>
            </w:pPr>
            <w:r>
              <w:t>Microwave tissue ablation</w:t>
            </w:r>
          </w:p>
        </w:tc>
        <w:tc>
          <w:tcPr>
            <w:tcW w:w="6662" w:type="dxa"/>
          </w:tcPr>
          <w:p w14:paraId="6D518928" w14:textId="77777777" w:rsidR="00BC4C65" w:rsidRDefault="00BC4C65" w:rsidP="000A1C4E">
            <w:pPr>
              <w:pStyle w:val="Tabletext1"/>
            </w:pPr>
            <w:r w:rsidRPr="00C26C01">
              <w:t>PubMed (including MEDLINE), Embase (excluding MEDLINE), Cochrane Library, and the University of York Centre for Reviews and Dissemination</w:t>
            </w:r>
            <w:r>
              <w:t>.</w:t>
            </w:r>
          </w:p>
          <w:p w14:paraId="6C07B293" w14:textId="77777777" w:rsidR="00BC4C65" w:rsidRDefault="00BC4C65" w:rsidP="000A1C4E">
            <w:pPr>
              <w:pStyle w:val="Tabletext1"/>
            </w:pPr>
            <w:r>
              <w:t xml:space="preserve">Searched on: </w:t>
            </w:r>
            <w:r w:rsidRPr="00C26C01">
              <w:t>31/05/2016 an</w:t>
            </w:r>
            <w:r w:rsidR="00AA307F">
              <w:t>d 1/06</w:t>
            </w:r>
            <w:r w:rsidRPr="00C26C01">
              <w:t>/2016</w:t>
            </w:r>
          </w:p>
          <w:p w14:paraId="7E5A92BB" w14:textId="77777777" w:rsidR="00BC4C65" w:rsidRPr="00183E4D" w:rsidRDefault="00BC4C65" w:rsidP="000A1C4E">
            <w:pPr>
              <w:pStyle w:val="Tabletext1"/>
            </w:pPr>
            <w:r>
              <w:t>Limits: English language, humans</w:t>
            </w:r>
          </w:p>
        </w:tc>
        <w:tc>
          <w:tcPr>
            <w:tcW w:w="912" w:type="dxa"/>
          </w:tcPr>
          <w:p w14:paraId="73BC0E56" w14:textId="77777777" w:rsidR="00BC4C65" w:rsidRPr="00C26C01" w:rsidRDefault="00BC4C65" w:rsidP="000A1C4E">
            <w:pPr>
              <w:pStyle w:val="Tabletext1"/>
            </w:pPr>
            <w:r>
              <w:t>Yes</w:t>
            </w:r>
          </w:p>
        </w:tc>
      </w:tr>
      <w:tr w:rsidR="00BC4C65" w:rsidRPr="00183E4D" w14:paraId="4E797A54" w14:textId="77777777" w:rsidTr="00B20697">
        <w:trPr>
          <w:cantSplit/>
        </w:trPr>
        <w:tc>
          <w:tcPr>
            <w:tcW w:w="1560" w:type="dxa"/>
          </w:tcPr>
          <w:p w14:paraId="6EED01EC" w14:textId="77777777" w:rsidR="00BC4C65" w:rsidRPr="00183E4D" w:rsidRDefault="00BC4C65" w:rsidP="000A1C4E">
            <w:pPr>
              <w:pStyle w:val="Tabletext1"/>
            </w:pPr>
            <w:r>
              <w:t>Radiofrequency ablation</w:t>
            </w:r>
          </w:p>
        </w:tc>
        <w:tc>
          <w:tcPr>
            <w:tcW w:w="6662" w:type="dxa"/>
          </w:tcPr>
          <w:p w14:paraId="156FA92E" w14:textId="77777777" w:rsidR="00BC4C65" w:rsidRDefault="00BC4C65" w:rsidP="000A1C4E">
            <w:pPr>
              <w:pStyle w:val="Tabletext1"/>
            </w:pPr>
            <w:r w:rsidRPr="00C26C01">
              <w:t>PubMed (including MEDLINE), Embase (excluding MEDLINE), Cochrane Library, and the University of York Centre for Reviews and Dissemination</w:t>
            </w:r>
          </w:p>
          <w:p w14:paraId="77BA19A8" w14:textId="77777777" w:rsidR="00BC4C65" w:rsidRPr="00C26C01" w:rsidRDefault="00AA307F" w:rsidP="000A1C4E">
            <w:pPr>
              <w:pStyle w:val="Tabletext1"/>
            </w:pPr>
            <w:r>
              <w:t>Searched on: 31/05/2016 and 1/06</w:t>
            </w:r>
            <w:r w:rsidR="00BC4C65" w:rsidRPr="00C26C01">
              <w:t>/2016</w:t>
            </w:r>
          </w:p>
          <w:p w14:paraId="39773AF7" w14:textId="77777777" w:rsidR="00BC4C65" w:rsidRPr="00183E4D" w:rsidRDefault="00BC4C65" w:rsidP="000A1C4E">
            <w:pPr>
              <w:pStyle w:val="Tabletext1"/>
            </w:pPr>
            <w:r w:rsidRPr="00C26C01">
              <w:t>Limits: English language, humans</w:t>
            </w:r>
            <w:r>
              <w:t>, published from 2006 onwards</w:t>
            </w:r>
          </w:p>
        </w:tc>
        <w:tc>
          <w:tcPr>
            <w:tcW w:w="912" w:type="dxa"/>
          </w:tcPr>
          <w:p w14:paraId="2E1DF62A" w14:textId="77777777" w:rsidR="00BC4C65" w:rsidRPr="00183E4D" w:rsidRDefault="00BC4C65" w:rsidP="000A1C4E">
            <w:pPr>
              <w:pStyle w:val="Tabletext1"/>
            </w:pPr>
            <w:r>
              <w:t>Yes</w:t>
            </w:r>
          </w:p>
        </w:tc>
      </w:tr>
      <w:tr w:rsidR="00BC4C65" w:rsidRPr="00183E4D" w14:paraId="57B6539D" w14:textId="77777777" w:rsidTr="00B20697">
        <w:trPr>
          <w:cantSplit/>
        </w:trPr>
        <w:tc>
          <w:tcPr>
            <w:tcW w:w="1560" w:type="dxa"/>
          </w:tcPr>
          <w:p w14:paraId="2556D6E3" w14:textId="77777777" w:rsidR="00BC4C65" w:rsidRPr="00183E4D" w:rsidRDefault="00BC4C65" w:rsidP="000A1C4E">
            <w:pPr>
              <w:pStyle w:val="Tabletext1"/>
            </w:pPr>
            <w:r>
              <w:lastRenderedPageBreak/>
              <w:t xml:space="preserve">Radiotherapy </w:t>
            </w:r>
          </w:p>
        </w:tc>
        <w:tc>
          <w:tcPr>
            <w:tcW w:w="6662" w:type="dxa"/>
          </w:tcPr>
          <w:p w14:paraId="0F7E8B4C" w14:textId="77777777" w:rsidR="00BC4C65" w:rsidRDefault="00BC4C65" w:rsidP="000A1C4E">
            <w:pPr>
              <w:pStyle w:val="Tabletext1"/>
            </w:pPr>
            <w:r>
              <w:t>PubMed (including MEDLINE)</w:t>
            </w:r>
          </w:p>
          <w:p w14:paraId="04B2AB5E" w14:textId="77777777" w:rsidR="00BC4C65" w:rsidRDefault="00BC4C65" w:rsidP="00B20697">
            <w:pPr>
              <w:pStyle w:val="Tabletext1"/>
            </w:pPr>
            <w:r>
              <w:t>Searched on: 15/06/2016</w:t>
            </w:r>
          </w:p>
          <w:p w14:paraId="5564F6EF" w14:textId="77777777" w:rsidR="00BC4C65" w:rsidRPr="00183E4D" w:rsidRDefault="00BC4C65" w:rsidP="000A1C4E">
            <w:pPr>
              <w:pStyle w:val="Tabletext1"/>
            </w:pPr>
            <w:r>
              <w:t xml:space="preserve">Limits: </w:t>
            </w:r>
            <w:r w:rsidRPr="00C26C01">
              <w:t>English language, humans, published from 2006 onwards</w:t>
            </w:r>
          </w:p>
        </w:tc>
        <w:tc>
          <w:tcPr>
            <w:tcW w:w="912" w:type="dxa"/>
          </w:tcPr>
          <w:p w14:paraId="1D621B19" w14:textId="77777777" w:rsidR="00BC4C65" w:rsidRPr="00183E4D" w:rsidRDefault="00BC4C65" w:rsidP="000A1C4E">
            <w:pPr>
              <w:pStyle w:val="Tabletext1"/>
            </w:pPr>
            <w:r>
              <w:t>No</w:t>
            </w:r>
          </w:p>
        </w:tc>
      </w:tr>
      <w:tr w:rsidR="00BC4C65" w:rsidRPr="00183E4D" w14:paraId="33B78470" w14:textId="77777777" w:rsidTr="00B20697">
        <w:trPr>
          <w:cantSplit/>
        </w:trPr>
        <w:tc>
          <w:tcPr>
            <w:tcW w:w="1560" w:type="dxa"/>
          </w:tcPr>
          <w:p w14:paraId="08B29D75" w14:textId="77777777" w:rsidR="00BC4C65" w:rsidRPr="00183E4D" w:rsidRDefault="00BC4C65" w:rsidP="000A1C4E">
            <w:pPr>
              <w:pStyle w:val="Tabletext1"/>
            </w:pPr>
            <w:r>
              <w:t>Surgery</w:t>
            </w:r>
          </w:p>
        </w:tc>
        <w:tc>
          <w:tcPr>
            <w:tcW w:w="6662" w:type="dxa"/>
          </w:tcPr>
          <w:p w14:paraId="474F48CD" w14:textId="77777777" w:rsidR="00BC4C65" w:rsidRDefault="00BC4C65" w:rsidP="000A1C4E">
            <w:pPr>
              <w:pStyle w:val="Tabletext1"/>
            </w:pPr>
            <w:r>
              <w:t>PubMed (including MEDLINE)</w:t>
            </w:r>
          </w:p>
          <w:p w14:paraId="47A8BC42" w14:textId="77777777" w:rsidR="00BC4C65" w:rsidRDefault="00BC4C65" w:rsidP="000A1C4E">
            <w:pPr>
              <w:pStyle w:val="Tabletext1"/>
            </w:pPr>
            <w:r>
              <w:t>Searched on:28/06/2016</w:t>
            </w:r>
          </w:p>
          <w:p w14:paraId="2F4B1D60" w14:textId="77777777" w:rsidR="00BC4C65" w:rsidRPr="00183E4D" w:rsidRDefault="00BC4C65" w:rsidP="000A1C4E">
            <w:pPr>
              <w:pStyle w:val="Tabletext1"/>
            </w:pPr>
            <w:r>
              <w:t xml:space="preserve">Limits: </w:t>
            </w:r>
            <w:r w:rsidRPr="00C26C01">
              <w:t>English language, humans, published from 2006 onwards</w:t>
            </w:r>
          </w:p>
        </w:tc>
        <w:tc>
          <w:tcPr>
            <w:tcW w:w="912" w:type="dxa"/>
          </w:tcPr>
          <w:p w14:paraId="6FB2A6D7" w14:textId="77777777" w:rsidR="00BC4C65" w:rsidRPr="00183E4D" w:rsidRDefault="00BC4C65" w:rsidP="000A1C4E">
            <w:pPr>
              <w:pStyle w:val="Tabletext1"/>
            </w:pPr>
            <w:r>
              <w:t>No</w:t>
            </w:r>
          </w:p>
        </w:tc>
      </w:tr>
    </w:tbl>
    <w:p w14:paraId="226079C2" w14:textId="77777777" w:rsidR="00F2794F" w:rsidRPr="00C31DD9" w:rsidRDefault="00F2794F" w:rsidP="0093224F">
      <w:pPr>
        <w:spacing w:before="500"/>
        <w:rPr>
          <w:b/>
          <w:i/>
        </w:rPr>
      </w:pPr>
      <w:r w:rsidRPr="00C31DD9">
        <w:rPr>
          <w:b/>
          <w:i/>
        </w:rPr>
        <w:t>Identifying literature on MTA and RFA</w:t>
      </w:r>
    </w:p>
    <w:p w14:paraId="6A2BBC60" w14:textId="3052A37B" w:rsidR="00F2794F" w:rsidRDefault="004C11A7" w:rsidP="00F2794F">
      <w:r>
        <w:t>F</w:t>
      </w:r>
      <w:r w:rsidR="00F2794F">
        <w:t xml:space="preserve">our key biomedical databases were searched, including PubMed (including MEDLINE), Embase (excluding MEDLINE), </w:t>
      </w:r>
      <w:r w:rsidR="00B718FB">
        <w:t xml:space="preserve">the </w:t>
      </w:r>
      <w:r w:rsidR="00F2794F">
        <w:t>Cochrane Library, and the University of York Centre for Reviews and Dissemination. In addition, reference lists of included studies were hand searched for studies missed by the formal searches</w:t>
      </w:r>
      <w:r>
        <w:t>. C</w:t>
      </w:r>
      <w:r w:rsidR="00F2794F">
        <w:t xml:space="preserve">linical experts were engaged to identify any studies that may be </w:t>
      </w:r>
      <w:proofErr w:type="gramStart"/>
      <w:r w:rsidR="00F2794F">
        <w:t>have</w:t>
      </w:r>
      <w:proofErr w:type="gramEnd"/>
      <w:r w:rsidR="00F2794F">
        <w:t xml:space="preserve"> been missed in the database searches. No date restrictions were applied to the search for MTA</w:t>
      </w:r>
      <w:r>
        <w:t xml:space="preserve">. </w:t>
      </w:r>
      <w:r w:rsidRPr="00056F6C">
        <w:t>T</w:t>
      </w:r>
      <w:r w:rsidR="00F2794F" w:rsidRPr="00056F6C">
        <w:t>he search for RFA was date limited from 2006 onwards owing to the existence of a</w:t>
      </w:r>
      <w:r w:rsidR="00B718FB" w:rsidRPr="00056F6C">
        <w:t xml:space="preserve"> comprehensive</w:t>
      </w:r>
      <w:r w:rsidR="00F2794F" w:rsidRPr="00056F6C">
        <w:t xml:space="preserve"> systematic review with a search date of November 2006</w:t>
      </w:r>
      <w:r w:rsidR="00826C8F" w:rsidRPr="00056F6C">
        <w:t xml:space="preserve"> whose scope aligned with that of the current </w:t>
      </w:r>
      <w:r w:rsidRPr="00056F6C">
        <w:t xml:space="preserve">assessment </w:t>
      </w:r>
      <w:r w:rsidR="005F4E96" w:rsidRPr="00056F6C">
        <w:fldChar w:fldCharType="begin"/>
      </w:r>
      <w:r w:rsidR="00320458">
        <w:instrText xml:space="preserve"> ADDIN EN.CITE &lt;EndNote&gt;&lt;Cite&gt;&lt;Author&gt;Zhu&lt;/Author&gt;&lt;Year&gt;2008&lt;/Year&gt;&lt;RecNum&gt;71&lt;/RecNum&gt;&lt;DisplayText&gt;(Zhu et al 2008a)&lt;/DisplayText&gt;&lt;record&gt;&lt;rec-number&gt;71&lt;/rec-number&gt;&lt;foreign-keys&gt;&lt;key app="EN" db-id="05ssdaw2cf0zvye5xvo5z9ww0xdpfstrdtew" timestamp="1468203543"&gt;71&lt;/key&gt;&lt;/foreign-keys&gt;&lt;ref-type name="Journal Article"&gt;17&lt;/ref-type&gt;&lt;contributors&gt;&lt;authors&gt;&lt;author&gt;Zhu, J. C.&lt;/author&gt;&lt;author&gt;Yan, T. D.&lt;/author&gt;&lt;author&gt;Morris, D. L.&lt;/author&gt;&lt;/authors&gt;&lt;/contributors&gt;&lt;titles&gt;&lt;title&gt;A systematic review of radiofrequency ablation for lung tumors&lt;/title&gt;&lt;secondary-title&gt;Annals of Surgical Oncology&lt;/secondary-title&gt;&lt;/titles&gt;&lt;periodical&gt;&lt;full-title&gt;Ann Surg Oncol&lt;/full-title&gt;&lt;abbr-1&gt;Annals of surgical oncology&lt;/abbr-1&gt;&lt;/periodical&gt;&lt;pages&gt;1765-1774&lt;/pages&gt;&lt;volume&gt;15&lt;/volume&gt;&lt;number&gt;6&lt;/number&gt;&lt;keywords&gt;&lt;keyword&gt;Catheter Ablation&lt;/keyword&gt;&lt;keyword&gt;Humans&lt;/keyword&gt;&lt;keyword&gt;Lung Neoplasms /pathology /secondary /therapy&lt;/keyword&gt;&lt;keyword&gt;Survival Analysis&lt;/keyword&gt;&lt;keyword&gt;Treatment Outcome&lt;/keyword&gt;&lt;/keywords&gt;&lt;dates&gt;&lt;year&gt;2008&lt;/year&gt;&lt;/dates&gt;&lt;accession-num&gt;12008104201&lt;/accession-num&gt;&lt;call-num&gt;18368456&lt;/call-num&gt;&lt;urls&gt;&lt;related-urls&gt;&lt;url&gt;http://www.crd.york.ac.uk/CRDWeb/ShowRecord.asp?ID=12008104201&lt;/url&gt;&lt;url&gt;http://link.springer.com/article/10.1245%2Fs10434-008-9848-7&lt;/url&gt;&lt;/related-urls&gt;&lt;/urls&gt;&lt;research-notes&gt;Justification for pre-2006&lt;/research-notes&gt;&lt;/record&gt;&lt;/Cite&gt;&lt;/EndNote&gt;</w:instrText>
      </w:r>
      <w:r w:rsidR="005F4E96" w:rsidRPr="00056F6C">
        <w:fldChar w:fldCharType="separate"/>
      </w:r>
      <w:r w:rsidR="00320458">
        <w:rPr>
          <w:noProof/>
        </w:rPr>
        <w:t>(</w:t>
      </w:r>
      <w:hyperlink w:anchor="_ENREF_182" w:tooltip="Zhu, 2008 #71" w:history="1">
        <w:r w:rsidR="00320458">
          <w:rPr>
            <w:noProof/>
          </w:rPr>
          <w:t>Zhu et al 2008a</w:t>
        </w:r>
      </w:hyperlink>
      <w:r w:rsidR="00320458">
        <w:rPr>
          <w:noProof/>
        </w:rPr>
        <w:t>)</w:t>
      </w:r>
      <w:r w:rsidR="005F4E96" w:rsidRPr="00056F6C">
        <w:fldChar w:fldCharType="end"/>
      </w:r>
      <w:r w:rsidR="00F2794F" w:rsidRPr="00056F6C">
        <w:t>.</w:t>
      </w:r>
      <w:r w:rsidR="00F2794F">
        <w:t xml:space="preserve"> </w:t>
      </w:r>
      <w:r w:rsidR="008D1E31">
        <w:t>Zhu et al (200</w:t>
      </w:r>
      <w:r>
        <w:t>8a)</w:t>
      </w:r>
      <w:r w:rsidR="00F2794F">
        <w:t xml:space="preserve"> assess</w:t>
      </w:r>
      <w:r w:rsidR="00B718FB">
        <w:t>ed</w:t>
      </w:r>
      <w:r w:rsidR="00F2794F">
        <w:t xml:space="preserve"> the safety and efficacy of RFA for </w:t>
      </w:r>
      <w:r w:rsidR="00F2794F" w:rsidRPr="00F2794F">
        <w:t>primary and metastatic lung tumours</w:t>
      </w:r>
      <w:r w:rsidR="00F2794F">
        <w:t xml:space="preserve"> and included 16 studies of </w:t>
      </w:r>
      <w:r w:rsidR="00CE470F">
        <w:t>L</w:t>
      </w:r>
      <w:r w:rsidR="00F2794F">
        <w:t>evel IV evidence.</w:t>
      </w:r>
    </w:p>
    <w:p w14:paraId="2AE691DB" w14:textId="286B4F07" w:rsidR="00AA708D" w:rsidRPr="00183E4D" w:rsidRDefault="00F2794F" w:rsidP="00AA708D">
      <w:r>
        <w:t xml:space="preserve">A comprehensive search strategy </w:t>
      </w:r>
      <w:r w:rsidR="004C11A7">
        <w:t xml:space="preserve">was designed </w:t>
      </w:r>
      <w:r>
        <w:t xml:space="preserve">using relevant search terms, incorporating key words, Medical Subject Headings </w:t>
      </w:r>
      <w:r w:rsidR="00316A02">
        <w:t>(</w:t>
      </w:r>
      <w:r>
        <w:t>MeSH</w:t>
      </w:r>
      <w:r w:rsidR="00316A02">
        <w:t>)</w:t>
      </w:r>
      <w:r w:rsidR="004C11A7">
        <w:t>,</w:t>
      </w:r>
      <w:r w:rsidR="00316A02">
        <w:t xml:space="preserve"> </w:t>
      </w:r>
      <w:r>
        <w:t>and Emtree terms. Additional search limits and filters</w:t>
      </w:r>
      <w:r w:rsidR="004C11A7">
        <w:t xml:space="preserve"> for both technologies</w:t>
      </w:r>
      <w:r>
        <w:t xml:space="preserve"> included English language, studies in humans and </w:t>
      </w:r>
      <w:r w:rsidR="004C11A7">
        <w:t xml:space="preserve">for the search for RFA, </w:t>
      </w:r>
      <w:r>
        <w:t xml:space="preserve">2006 onwards. Search terms </w:t>
      </w:r>
      <w:r w:rsidR="004C11A7">
        <w:t>were</w:t>
      </w:r>
      <w:r>
        <w:t xml:space="preserve"> developed based on the PICO criteria, and informed</w:t>
      </w:r>
      <w:r w:rsidR="007B12D1">
        <w:t xml:space="preserve"> by an initial scoping search.  </w:t>
      </w:r>
      <w:r w:rsidR="00AA708D" w:rsidRPr="00183E4D">
        <w:t xml:space="preserve">The medical literature was searched </w:t>
      </w:r>
      <w:r w:rsidR="00D5489B" w:rsidRPr="00183E4D">
        <w:t xml:space="preserve">on </w:t>
      </w:r>
      <w:r w:rsidR="007E161C">
        <w:t>31/05/2016 and 1/</w:t>
      </w:r>
      <w:r w:rsidR="003436BF">
        <w:t>06</w:t>
      </w:r>
      <w:r w:rsidR="007E161C">
        <w:t>/2016</w:t>
      </w:r>
      <w:r w:rsidR="00D5489B" w:rsidRPr="00183E4D">
        <w:t xml:space="preserve"> </w:t>
      </w:r>
      <w:r w:rsidR="004C11A7">
        <w:t>for</w:t>
      </w:r>
      <w:r w:rsidR="007E161C">
        <w:t xml:space="preserve"> MTA </w:t>
      </w:r>
      <w:r w:rsidR="004C11A7">
        <w:t xml:space="preserve">and </w:t>
      </w:r>
      <w:r w:rsidR="007E161C">
        <w:t>RFA</w:t>
      </w:r>
      <w:r w:rsidR="004C11A7">
        <w:t>,</w:t>
      </w:r>
      <w:r w:rsidR="00826C8F">
        <w:t xml:space="preserve"> respectively</w:t>
      </w:r>
      <w:r w:rsidR="00AA708D" w:rsidRPr="00183E4D">
        <w:t xml:space="preserve">. </w:t>
      </w:r>
      <w:r w:rsidR="00826C8F">
        <w:t>D</w:t>
      </w:r>
      <w:r w:rsidR="00BC4C65">
        <w:t>etailed search strategies</w:t>
      </w:r>
      <w:r w:rsidR="00826C8F">
        <w:t xml:space="preserve"> are shown in Appendix B</w:t>
      </w:r>
      <w:r w:rsidR="00D06806">
        <w:t>.</w:t>
      </w:r>
      <w:r w:rsidR="002739F4" w:rsidRPr="002739F4">
        <w:t xml:space="preserve"> </w:t>
      </w:r>
      <w:r w:rsidR="002739F4">
        <w:t>Ongoing clinical trials that are ongoing, or clinical trials that have been completed but not published, were identified by searching ClinicalTrials.gov (www.clinicaltrials.gov), the Australian New Zealand Clinical Trials Registry (www.anzctr.org.au), and the World Health Organisation International Clinical Trials Registry Platform (</w:t>
      </w:r>
      <w:hyperlink r:id="rId37" w:history="1">
        <w:r w:rsidR="006841FB">
          <w:rPr>
            <w:rStyle w:val="Hyperlink"/>
          </w:rPr>
          <w:t>www.who.int</w:t>
        </w:r>
      </w:hyperlink>
      <w:r w:rsidR="002739F4">
        <w:t>).</w:t>
      </w:r>
    </w:p>
    <w:p w14:paraId="6A76565F" w14:textId="77777777" w:rsidR="00C26C01" w:rsidRPr="00C31DD9" w:rsidRDefault="00C26C01" w:rsidP="0093224F">
      <w:pPr>
        <w:spacing w:before="500"/>
        <w:rPr>
          <w:b/>
          <w:i/>
        </w:rPr>
      </w:pPr>
      <w:r w:rsidRPr="00C31DD9">
        <w:rPr>
          <w:b/>
          <w:i/>
        </w:rPr>
        <w:t>Identifying literature on current best-practice radiotherapy</w:t>
      </w:r>
    </w:p>
    <w:p w14:paraId="58DC7638" w14:textId="0D177FF8" w:rsidR="00C26C01" w:rsidRDefault="00A54DF3" w:rsidP="00C26C01">
      <w:r>
        <w:t>N</w:t>
      </w:r>
      <w:r w:rsidR="00C26C01">
        <w:t xml:space="preserve">o comparative studies for either </w:t>
      </w:r>
      <w:r w:rsidR="00826C8F">
        <w:t>MTA or RFA</w:t>
      </w:r>
      <w:r w:rsidR="00C26C01">
        <w:t xml:space="preserve"> </w:t>
      </w:r>
      <w:r w:rsidR="00FF462A">
        <w:t>for patients with lung cancer</w:t>
      </w:r>
      <w:r w:rsidR="00C26C01">
        <w:t xml:space="preserve"> </w:t>
      </w:r>
      <w:r w:rsidR="0047434A">
        <w:t>were</w:t>
      </w:r>
      <w:r w:rsidR="004B2BE3">
        <w:t xml:space="preserve"> </w:t>
      </w:r>
      <w:r w:rsidR="00C26C01">
        <w:t>identified</w:t>
      </w:r>
      <w:r w:rsidR="0047434A">
        <w:t xml:space="preserve"> in the initial searches</w:t>
      </w:r>
      <w:r w:rsidR="00C26C01">
        <w:t xml:space="preserve">. </w:t>
      </w:r>
      <w:r w:rsidR="00056F6C">
        <w:t>A</w:t>
      </w:r>
      <w:r w:rsidR="00C26C01">
        <w:t xml:space="preserve"> third search strategy was developed in order to identify relevant literature on current best practice radiotherapy in populations one and two. In order to identify studies of current radiotherapy protocols only</w:t>
      </w:r>
      <w:r w:rsidR="00056F6C">
        <w:t>,</w:t>
      </w:r>
      <w:r w:rsidR="00C26C01">
        <w:t xml:space="preserve"> this search was limited to the last 10 years of published literature and was executed in </w:t>
      </w:r>
      <w:r w:rsidR="00BC4C65">
        <w:t>PubMed</w:t>
      </w:r>
      <w:r w:rsidR="00C26C01">
        <w:t>.</w:t>
      </w:r>
      <w:r w:rsidR="00FF462A">
        <w:t xml:space="preserve"> </w:t>
      </w:r>
      <w:r w:rsidR="00FF462A" w:rsidRPr="005F2661">
        <w:t xml:space="preserve">This date restriction aligns with the dates of published evidence available </w:t>
      </w:r>
      <w:r w:rsidR="00FF462A" w:rsidRPr="005F2661">
        <w:lastRenderedPageBreak/>
        <w:t xml:space="preserve">for MTA and RFA, and </w:t>
      </w:r>
      <w:r w:rsidR="00F2078A" w:rsidRPr="005F2661">
        <w:t>avoid</w:t>
      </w:r>
      <w:r w:rsidR="00F2078A">
        <w:t>ed</w:t>
      </w:r>
      <w:r w:rsidR="00F2078A" w:rsidRPr="005F2661">
        <w:t xml:space="preserve"> </w:t>
      </w:r>
      <w:r w:rsidR="00FF462A" w:rsidRPr="005F2661">
        <w:t>the inclusion of older studies that are not reflective of current clinical practice which would bias the evidence-base.</w:t>
      </w:r>
      <w:r w:rsidR="00C26C01">
        <w:t xml:space="preserve"> </w:t>
      </w:r>
      <w:r w:rsidR="00BC4C65">
        <w:t xml:space="preserve">The volume of literature regarding </w:t>
      </w:r>
      <w:r w:rsidR="00BC4C65" w:rsidRPr="00BC4C65">
        <w:t xml:space="preserve">current best practice radiotherapy </w:t>
      </w:r>
      <w:r w:rsidR="00BC4C65">
        <w:t>and lung cancer is extensive</w:t>
      </w:r>
      <w:r w:rsidR="00056F6C">
        <w:t>. Consequently</w:t>
      </w:r>
      <w:r w:rsidR="00BC4C65">
        <w:t xml:space="preserve"> terms for the population and intervention were combined with terms for outcomes (see </w:t>
      </w:r>
      <w:r w:rsidR="00056F6C">
        <w:t xml:space="preserve">Appendix </w:t>
      </w:r>
      <w:r w:rsidR="00BC4C65">
        <w:t xml:space="preserve">B for details). </w:t>
      </w:r>
      <w:r w:rsidR="00C26C01">
        <w:t xml:space="preserve">Supplementary scoping searches were </w:t>
      </w:r>
      <w:r w:rsidR="00273D71">
        <w:t>e</w:t>
      </w:r>
      <w:r w:rsidR="00C26C01">
        <w:t xml:space="preserve">xecuted to identify any systematic reviews or </w:t>
      </w:r>
      <w:r w:rsidR="00520405">
        <w:t>r</w:t>
      </w:r>
      <w:r w:rsidR="00520405">
        <w:rPr>
          <w:rFonts w:asciiTheme="minorHAnsi" w:hAnsiTheme="minorHAnsi"/>
        </w:rPr>
        <w:t>andomised controlled trial</w:t>
      </w:r>
      <w:r w:rsidR="00520405">
        <w:t>s (</w:t>
      </w:r>
      <w:r w:rsidR="00C26C01">
        <w:t>RCTs</w:t>
      </w:r>
      <w:r w:rsidR="00520405">
        <w:t>)</w:t>
      </w:r>
      <w:r w:rsidR="00C26C01">
        <w:t xml:space="preserve"> that may have been missed.</w:t>
      </w:r>
    </w:p>
    <w:p w14:paraId="1CB017EA" w14:textId="77777777" w:rsidR="00C26C01" w:rsidRDefault="00C26C01" w:rsidP="00C26C01">
      <w:pPr>
        <w:rPr>
          <w:i/>
        </w:rPr>
      </w:pPr>
      <w:r>
        <w:rPr>
          <w:i/>
        </w:rPr>
        <w:t xml:space="preserve">Identifying literature on surgical resection for population two  </w:t>
      </w:r>
    </w:p>
    <w:p w14:paraId="2A92301F" w14:textId="6793D5D7" w:rsidR="00C26C01" w:rsidRPr="001127AE" w:rsidRDefault="0044588E" w:rsidP="00C26C01">
      <w:r>
        <w:t>N</w:t>
      </w:r>
      <w:r w:rsidR="00C26C01" w:rsidRPr="001127AE">
        <w:t xml:space="preserve">o </w:t>
      </w:r>
      <w:r w:rsidR="0041108B">
        <w:t xml:space="preserve">high quality </w:t>
      </w:r>
      <w:r w:rsidR="00C26C01" w:rsidRPr="001127AE">
        <w:t>studies</w:t>
      </w:r>
      <w:r w:rsidR="00C26C01">
        <w:t xml:space="preserve"> of radiotherapy </w:t>
      </w:r>
      <w:r>
        <w:t>compared to</w:t>
      </w:r>
      <w:r w:rsidR="00C26C01">
        <w:t xml:space="preserve"> surgery </w:t>
      </w:r>
      <w:r w:rsidR="00031D22">
        <w:t xml:space="preserve">were identified for </w:t>
      </w:r>
      <w:r w:rsidR="00C26C01">
        <w:t xml:space="preserve">population two. </w:t>
      </w:r>
      <w:r w:rsidR="00056F6C">
        <w:t>A</w:t>
      </w:r>
      <w:r w:rsidR="00C26C01" w:rsidRPr="001127AE">
        <w:t xml:space="preserve"> </w:t>
      </w:r>
      <w:r w:rsidR="00C26C01">
        <w:t xml:space="preserve">fourth </w:t>
      </w:r>
      <w:r w:rsidR="00C26C01" w:rsidRPr="001127AE">
        <w:t xml:space="preserve">search strategy was developed to identify relevant literature on </w:t>
      </w:r>
      <w:r w:rsidR="00C26C01">
        <w:t>surgical re</w:t>
      </w:r>
      <w:r w:rsidR="004B2543">
        <w:t>section</w:t>
      </w:r>
      <w:r w:rsidR="00C26C01" w:rsidRPr="001127AE">
        <w:t xml:space="preserve"> in population two. In order to identify studies of </w:t>
      </w:r>
      <w:r w:rsidR="00C26C01">
        <w:t>current surgical practice</w:t>
      </w:r>
      <w:r w:rsidR="004B2543">
        <w:t xml:space="preserve"> and to align with the dates of the evidence available for MTA and RFA</w:t>
      </w:r>
      <w:r w:rsidR="00056F6C">
        <w:t>,</w:t>
      </w:r>
      <w:r w:rsidR="00C26C01" w:rsidRPr="001127AE">
        <w:t xml:space="preserve"> this search was limited to the last 10 years of published lite</w:t>
      </w:r>
      <w:r w:rsidR="00C26C01">
        <w:t xml:space="preserve">rature and was executed in </w:t>
      </w:r>
      <w:r w:rsidR="004B2543">
        <w:t>PubMed</w:t>
      </w:r>
      <w:r w:rsidR="00C26C01" w:rsidRPr="001127AE">
        <w:t xml:space="preserve">. </w:t>
      </w:r>
      <w:r w:rsidR="00BC4C65" w:rsidRPr="00BC4C65">
        <w:t xml:space="preserve">The volume of literature regarding </w:t>
      </w:r>
      <w:r w:rsidR="00BC4C65">
        <w:t>surgical resection</w:t>
      </w:r>
      <w:r w:rsidR="00BC4C65" w:rsidRPr="00BC4C65">
        <w:t xml:space="preserve"> and lung cancer is extensive</w:t>
      </w:r>
      <w:r w:rsidR="00056F6C">
        <w:t xml:space="preserve">. Consequently </w:t>
      </w:r>
      <w:r w:rsidR="00BC4C65" w:rsidRPr="00BC4C65">
        <w:t xml:space="preserve">terms for the population and intervention were combined with terms for outcomes (see </w:t>
      </w:r>
      <w:r w:rsidR="00056F6C">
        <w:t>A</w:t>
      </w:r>
      <w:r w:rsidR="00056F6C" w:rsidRPr="00BC4C65">
        <w:t xml:space="preserve">ppendix </w:t>
      </w:r>
      <w:r w:rsidR="00BC4C65" w:rsidRPr="00BC4C65">
        <w:t xml:space="preserve">B for details). </w:t>
      </w:r>
      <w:r w:rsidR="00C26C01" w:rsidRPr="001127AE">
        <w:t>Supplementary targeted scoping searches were also executed in order to identify any systematic reviews or RCTs that may have been missed by this search.</w:t>
      </w:r>
    </w:p>
    <w:p w14:paraId="454CCD02" w14:textId="77777777" w:rsidR="00D5489B" w:rsidRPr="00183E4D" w:rsidRDefault="00D5489B" w:rsidP="00647EB9">
      <w:pPr>
        <w:pStyle w:val="Heading2"/>
        <w:numPr>
          <w:ilvl w:val="1"/>
          <w:numId w:val="8"/>
        </w:numPr>
      </w:pPr>
      <w:bookmarkStart w:id="199" w:name="_Toc460396030"/>
      <w:r w:rsidRPr="00183E4D">
        <w:t>Results of Literature Search</w:t>
      </w:r>
      <w:bookmarkEnd w:id="199"/>
    </w:p>
    <w:p w14:paraId="2E61A4F6" w14:textId="64A58BB1" w:rsidR="00BC4C65" w:rsidRDefault="00BC4C65" w:rsidP="00BC4C65">
      <w:r>
        <w:t>The</w:t>
      </w:r>
      <w:r w:rsidR="00D5489B" w:rsidRPr="00183E4D">
        <w:t xml:space="preserve"> </w:t>
      </w:r>
      <w:r w:rsidR="00273D71">
        <w:t xml:space="preserve">results of the literature search are presented graphically in </w:t>
      </w:r>
      <w:r w:rsidR="001B7083" w:rsidRPr="001B7083">
        <w:fldChar w:fldCharType="begin"/>
      </w:r>
      <w:r w:rsidR="001B7083" w:rsidRPr="001B7083">
        <w:instrText xml:space="preserve"> REF _Ref457488350 \h </w:instrText>
      </w:r>
      <w:r w:rsidR="001B7083">
        <w:instrText xml:space="preserve"> \* MERGEFORMAT </w:instrText>
      </w:r>
      <w:r w:rsidR="001B7083" w:rsidRPr="001B7083">
        <w:fldChar w:fldCharType="separate"/>
      </w:r>
      <w:r w:rsidR="00D170A5" w:rsidRPr="00183E4D">
        <w:t xml:space="preserve">Figure </w:t>
      </w:r>
      <w:r w:rsidR="00D170A5">
        <w:rPr>
          <w:noProof/>
        </w:rPr>
        <w:t>8</w:t>
      </w:r>
      <w:r w:rsidR="001B7083" w:rsidRPr="001B7083">
        <w:fldChar w:fldCharType="end"/>
      </w:r>
      <w:r w:rsidR="001B7083" w:rsidRPr="001B7083">
        <w:t xml:space="preserve">, </w:t>
      </w:r>
      <w:r w:rsidR="00056F6C">
        <w:fldChar w:fldCharType="begin"/>
      </w:r>
      <w:r w:rsidR="00056F6C">
        <w:instrText xml:space="preserve"> REF _Ref459815836 \h </w:instrText>
      </w:r>
      <w:r w:rsidR="00056F6C">
        <w:fldChar w:fldCharType="separate"/>
      </w:r>
      <w:r w:rsidR="00D170A5" w:rsidRPr="00183E4D">
        <w:t xml:space="preserve">Figure </w:t>
      </w:r>
      <w:r w:rsidR="00D170A5">
        <w:rPr>
          <w:noProof/>
        </w:rPr>
        <w:t>9</w:t>
      </w:r>
      <w:r w:rsidR="00056F6C">
        <w:fldChar w:fldCharType="end"/>
      </w:r>
      <w:r w:rsidR="001B7083" w:rsidRPr="001B7083">
        <w:t xml:space="preserve">, and </w:t>
      </w:r>
      <w:r w:rsidR="001B7083" w:rsidRPr="001B7083">
        <w:fldChar w:fldCharType="begin"/>
      </w:r>
      <w:r w:rsidR="001B7083" w:rsidRPr="001B7083">
        <w:instrText xml:space="preserve"> REF _Ref457488355 \h </w:instrText>
      </w:r>
      <w:r w:rsidR="001B7083">
        <w:instrText xml:space="preserve"> \* MERGEFORMAT </w:instrText>
      </w:r>
      <w:r w:rsidR="001B7083" w:rsidRPr="001B7083">
        <w:fldChar w:fldCharType="separate"/>
      </w:r>
      <w:r w:rsidR="00D170A5" w:rsidRPr="00183E4D">
        <w:t xml:space="preserve">Figure </w:t>
      </w:r>
      <w:r w:rsidR="00D170A5">
        <w:rPr>
          <w:noProof/>
        </w:rPr>
        <w:t>10</w:t>
      </w:r>
      <w:r w:rsidR="001B7083" w:rsidRPr="001B7083">
        <w:fldChar w:fldCharType="end"/>
      </w:r>
      <w:r>
        <w:t xml:space="preserve">. The search results were imported into bibliographic management software (EndNote X7, Thompson Reuters). Each database was filtered to remove duplicate entries prior to formal study selection. Studies were screened for eligibility according to the relevant </w:t>
      </w:r>
      <w:r w:rsidR="006D6632">
        <w:t>PICO criteria</w:t>
      </w:r>
      <w:r>
        <w:t xml:space="preserve"> outlined in the review questions. Selection was initially undertaken by one reviewer, who screened eligible entries by title and abstract. Study selection was deliberately conservative, whereby full-texts </w:t>
      </w:r>
      <w:r w:rsidR="00887EB8">
        <w:t xml:space="preserve">were </w:t>
      </w:r>
      <w:r>
        <w:t xml:space="preserve">sought </w:t>
      </w:r>
      <w:r w:rsidR="00523F85">
        <w:t>when</w:t>
      </w:r>
      <w:r>
        <w:t xml:space="preserve"> there </w:t>
      </w:r>
      <w:r w:rsidR="00523F85">
        <w:t>was</w:t>
      </w:r>
      <w:r>
        <w:t xml:space="preserve"> any ambiguity in applying the selection criteria. One reviewer assessed each of the full-text articles for inclusion, and a second reviewer assessed a random sample of 25%. The bibliographies of all included studies</w:t>
      </w:r>
      <w:r w:rsidR="007E6F44">
        <w:t xml:space="preserve"> for the intervention (MTA) and the </w:t>
      </w:r>
      <w:r w:rsidR="004B2543">
        <w:t xml:space="preserve">comparator </w:t>
      </w:r>
      <w:r w:rsidR="007E6F44">
        <w:t>ablative technology (RFA)</w:t>
      </w:r>
      <w:r>
        <w:t xml:space="preserve"> </w:t>
      </w:r>
      <w:r w:rsidR="007E6F44">
        <w:t>were</w:t>
      </w:r>
      <w:r>
        <w:t xml:space="preserve"> hand-searched (pearling) for any relevant references missed in the database searches. </w:t>
      </w:r>
      <w:r w:rsidR="007E6F44">
        <w:t>Uncertainties</w:t>
      </w:r>
      <w:r>
        <w:t xml:space="preserve"> or discrepancies between reviewers </w:t>
      </w:r>
      <w:r w:rsidR="007E6F44">
        <w:t>were resolved through discussion</w:t>
      </w:r>
      <w:r w:rsidR="004B2543">
        <w:t xml:space="preserve"> with a</w:t>
      </w:r>
      <w:r w:rsidR="00B52465">
        <w:t xml:space="preserve"> third</w:t>
      </w:r>
      <w:r>
        <w:t xml:space="preserve"> reviewer.</w:t>
      </w:r>
    </w:p>
    <w:p w14:paraId="73024609" w14:textId="77777777" w:rsidR="00182C18" w:rsidRDefault="007E6F44" w:rsidP="00AA708D">
      <w:r w:rsidRPr="007E6F44">
        <w:t xml:space="preserve">Additional pre-specified criteria for excluding studies included </w:t>
      </w:r>
      <w:r>
        <w:t>c</w:t>
      </w:r>
      <w:r w:rsidRPr="007E6F44">
        <w:t>onference abstracts and other publications that are not subject to peer-review</w:t>
      </w:r>
      <w:r>
        <w:t xml:space="preserve">. </w:t>
      </w:r>
      <w:r w:rsidR="00BC4C65">
        <w:t xml:space="preserve">In the case of study overlap, i.e. two or more studies reporting on the same population, either the latest or most complete study </w:t>
      </w:r>
      <w:r>
        <w:t>was</w:t>
      </w:r>
      <w:r w:rsidR="00BC4C65">
        <w:t xml:space="preserve"> included.  </w:t>
      </w:r>
      <w:r w:rsidR="00273D71">
        <w:t xml:space="preserve"> </w:t>
      </w:r>
      <w:r>
        <w:t>Studies that were</w:t>
      </w:r>
      <w:r w:rsidR="00BC4C65">
        <w:t xml:space="preserve"> excluded during full-text review </w:t>
      </w:r>
      <w:r>
        <w:t>are</w:t>
      </w:r>
      <w:r w:rsidR="00BC4C65">
        <w:t xml:space="preserve"> listed </w:t>
      </w:r>
      <w:r w:rsidR="001B7083">
        <w:t>Appendix E</w:t>
      </w:r>
      <w:r w:rsidR="00BC4C65">
        <w:t xml:space="preserve">, with reasons for exclusion. </w:t>
      </w:r>
      <w:r w:rsidR="004B2543">
        <w:t>This includes s</w:t>
      </w:r>
      <w:r w:rsidR="00182C18" w:rsidRPr="00183E4D">
        <w:t xml:space="preserve">tudies that could not be retrieved or that met the inclusion criteria but contained </w:t>
      </w:r>
      <w:r w:rsidR="00182C18" w:rsidRPr="00183E4D">
        <w:lastRenderedPageBreak/>
        <w:t>insufficient or inadequate data for inclusion</w:t>
      </w:r>
      <w:r w:rsidR="00182C18" w:rsidRPr="001B7083">
        <w:t>.</w:t>
      </w:r>
      <w:r w:rsidR="00B435E9" w:rsidRPr="001B7083">
        <w:t xml:space="preserve"> All other studies that met the inclusion criteria are listed in Appendix C.</w:t>
      </w:r>
    </w:p>
    <w:p w14:paraId="3945AADA" w14:textId="77777777" w:rsidR="00386ED8" w:rsidRPr="00183E4D" w:rsidRDefault="00386ED8" w:rsidP="00AA708D">
      <w:r>
        <w:t xml:space="preserve">For the comparator of surgical resection the same process was followed; however, a </w:t>
      </w:r>
      <w:r w:rsidR="00D06806">
        <w:t>PRISMA</w:t>
      </w:r>
      <w:r>
        <w:t xml:space="preserve"> flowchart is not </w:t>
      </w:r>
      <w:r w:rsidR="00752CFB">
        <w:t>provided</w:t>
      </w:r>
      <w:r>
        <w:t xml:space="preserve"> because inclusion was not based on all studies meeting the inclusion criteria</w:t>
      </w:r>
      <w:r w:rsidR="00752CFB">
        <w:t>.</w:t>
      </w:r>
      <w:r>
        <w:t xml:space="preserve"> </w:t>
      </w:r>
      <w:r w:rsidR="00752CFB">
        <w:t>A</w:t>
      </w:r>
      <w:r>
        <w:t xml:space="preserve"> select number of studies </w:t>
      </w:r>
      <w:r w:rsidR="00752CFB">
        <w:t xml:space="preserve">were used which met </w:t>
      </w:r>
      <w:r>
        <w:t xml:space="preserve">the inclusion criteria </w:t>
      </w:r>
      <w:r w:rsidR="00752CFB">
        <w:t xml:space="preserve">and </w:t>
      </w:r>
      <w:r>
        <w:t xml:space="preserve">informed on specific elements of the comparison. Seventy-six case series studies </w:t>
      </w:r>
      <w:r w:rsidR="00752CFB">
        <w:t xml:space="preserve">and two systematic reviews were identified </w:t>
      </w:r>
      <w:r>
        <w:t>on surgical resection in oligometastatic disease. For the purposes of this report both systematic reviews were included. These reviews were supplemented with f</w:t>
      </w:r>
      <w:r w:rsidR="002F6CFF">
        <w:t>our</w:t>
      </w:r>
      <w:r>
        <w:t xml:space="preserve"> case series with greater than 100 patients</w:t>
      </w:r>
      <w:r w:rsidR="004B2BE3">
        <w:t>,</w:t>
      </w:r>
      <w:r w:rsidR="002F6CFF">
        <w:t xml:space="preserve"> and one case series (&lt;100 patients) focusing on primary hepatocellular carcinoma. These studies </w:t>
      </w:r>
      <w:r>
        <w:t xml:space="preserve">were selected based on the primary cancers represented in the studies of MTA and RFA. </w:t>
      </w:r>
      <w:r w:rsidR="00752CFB">
        <w:t>Notably,</w:t>
      </w:r>
      <w:r>
        <w:t xml:space="preserve"> although </w:t>
      </w:r>
      <w:r w:rsidR="00752CFB">
        <w:t xml:space="preserve">it is </w:t>
      </w:r>
      <w:r>
        <w:t xml:space="preserve">a widely established therapeutic option, surgical resection has not been the subject of any comparative trials in this population. Systematic reviews on the subject are comprised entirely of case series data. </w:t>
      </w:r>
      <w:r w:rsidRPr="00386ED8">
        <w:t xml:space="preserve">This </w:t>
      </w:r>
      <w:r w:rsidR="00752CFB">
        <w:t>assessment</w:t>
      </w:r>
      <w:r w:rsidR="00752CFB" w:rsidRPr="00386ED8">
        <w:t xml:space="preserve"> </w:t>
      </w:r>
      <w:r w:rsidRPr="00386ED8">
        <w:t>identified one currently recruiting clinical trial, the PULMIC</w:t>
      </w:r>
      <w:r>
        <w:t>C</w:t>
      </w:r>
      <w:r w:rsidRPr="00386ED8">
        <w:t xml:space="preserve"> trial</w:t>
      </w:r>
      <w:r>
        <w:t xml:space="preserve"> (</w:t>
      </w:r>
      <w:r w:rsidRPr="00386ED8">
        <w:t>A Randomised Trial of Pulmonary Metastasectom</w:t>
      </w:r>
      <w:r>
        <w:t xml:space="preserve">y in Colorectal Cancer [PulMiCC], </w:t>
      </w:r>
      <w:r w:rsidRPr="00386ED8">
        <w:t>NCT01106261</w:t>
      </w:r>
      <w:r>
        <w:t>)</w:t>
      </w:r>
      <w:r w:rsidR="00752CFB">
        <w:t>, a</w:t>
      </w:r>
      <w:r w:rsidRPr="00386ED8">
        <w:t xml:space="preserve"> randomized multicentre controlled trial on resection versus conservative therapy for colonic lung metastases. This trial aims to </w:t>
      </w:r>
      <w:r w:rsidR="007D5D37">
        <w:t>assess</w:t>
      </w:r>
      <w:r w:rsidRPr="00386ED8">
        <w:t xml:space="preserve"> whether surgery is beneficial in patients who have been deemed suitable for resection</w:t>
      </w:r>
      <w:r w:rsidR="00752CFB">
        <w:t>. The existence of this study</w:t>
      </w:r>
      <w:r w:rsidRPr="00386ED8">
        <w:t xml:space="preserve"> illustrates the current, relatively uncertain, state of evidence for all therapies in this population.</w:t>
      </w:r>
      <w:r>
        <w:t xml:space="preserve"> </w:t>
      </w:r>
    </w:p>
    <w:p w14:paraId="40B8301B" w14:textId="77777777" w:rsidR="00182C18" w:rsidRPr="00183E4D" w:rsidRDefault="008B2125" w:rsidP="00035579">
      <w:pPr>
        <w:spacing w:after="0"/>
        <w:jc w:val="left"/>
      </w:pPr>
      <w:r>
        <w:rPr>
          <w:noProof/>
        </w:rPr>
        <w:drawing>
          <wp:inline distT="0" distB="0" distL="0" distR="0" wp14:anchorId="3507E178" wp14:editId="4961A827">
            <wp:extent cx="4002657" cy="3880871"/>
            <wp:effectExtent l="0" t="0" r="0" b="5715"/>
            <wp:docPr id="6" name="Picture 6" descr="Summary of the process used to identify and select studies of MTA " title="Summary of the process used to identify and select studies of M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A Flow Chart - MTA.tif"/>
                    <pic:cNvPicPr/>
                  </pic:nvPicPr>
                  <pic:blipFill>
                    <a:blip r:embed="rId38">
                      <a:extLst>
                        <a:ext uri="{28A0092B-C50C-407E-A947-70E740481C1C}">
                          <a14:useLocalDpi xmlns:a14="http://schemas.microsoft.com/office/drawing/2010/main" val="0"/>
                        </a:ext>
                      </a:extLst>
                    </a:blip>
                    <a:stretch>
                      <a:fillRect/>
                    </a:stretch>
                  </pic:blipFill>
                  <pic:spPr>
                    <a:xfrm>
                      <a:off x="0" y="0"/>
                      <a:ext cx="4021286" cy="3898934"/>
                    </a:xfrm>
                    <a:prstGeom prst="rect">
                      <a:avLst/>
                    </a:prstGeom>
                  </pic:spPr>
                </pic:pic>
              </a:graphicData>
            </a:graphic>
          </wp:inline>
        </w:drawing>
      </w:r>
    </w:p>
    <w:p w14:paraId="751A5D83" w14:textId="77777777" w:rsidR="00182C18" w:rsidRPr="00183E4D" w:rsidRDefault="00182C18" w:rsidP="007D5D37">
      <w:pPr>
        <w:pStyle w:val="Caption"/>
        <w:spacing w:before="120" w:after="0"/>
      </w:pPr>
      <w:bookmarkStart w:id="200" w:name="_Ref457488350"/>
      <w:bookmarkStart w:id="201" w:name="_Toc460515064"/>
      <w:bookmarkStart w:id="202" w:name="_Toc381969892"/>
      <w:r w:rsidRPr="00183E4D">
        <w:t xml:space="preserve">Figure </w:t>
      </w:r>
      <w:fldSimple w:instr=" SEQ Figure \* ARABIC ">
        <w:r w:rsidR="00D170A5">
          <w:rPr>
            <w:noProof/>
          </w:rPr>
          <w:t>8</w:t>
        </w:r>
      </w:fldSimple>
      <w:bookmarkEnd w:id="200"/>
      <w:r w:rsidRPr="00183E4D">
        <w:t xml:space="preserve"> </w:t>
      </w:r>
      <w:r w:rsidR="00962983" w:rsidRPr="00183E4D">
        <w:tab/>
      </w:r>
      <w:r w:rsidRPr="00183E4D">
        <w:t>Summary of the process used to identify and select studies</w:t>
      </w:r>
      <w:r w:rsidR="00E95494">
        <w:t xml:space="preserve"> of MTA</w:t>
      </w:r>
      <w:bookmarkEnd w:id="201"/>
      <w:r w:rsidRPr="00183E4D">
        <w:t xml:space="preserve"> </w:t>
      </w:r>
      <w:bookmarkEnd w:id="202"/>
    </w:p>
    <w:p w14:paraId="0F826567" w14:textId="77777777" w:rsidR="001163D9" w:rsidRDefault="001163D9" w:rsidP="0013736B">
      <w:pPr>
        <w:spacing w:after="0"/>
        <w:rPr>
          <w:color w:val="C00000"/>
        </w:rPr>
      </w:pPr>
      <w:r>
        <w:rPr>
          <w:noProof/>
          <w:color w:val="C00000"/>
        </w:rPr>
        <w:lastRenderedPageBreak/>
        <w:drawing>
          <wp:inline distT="0" distB="0" distL="0" distR="0" wp14:anchorId="5BA044FA" wp14:editId="2AA33EE0">
            <wp:extent cx="4278702" cy="4400205"/>
            <wp:effectExtent l="0" t="0" r="7620" b="635"/>
            <wp:docPr id="1" name="Picture 1" descr="Summary of the process used to identify and select studies of RFA " title="Summary of the process used to identify and select studies of R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A Flow Chart - RFA.tif"/>
                    <pic:cNvPicPr/>
                  </pic:nvPicPr>
                  <pic:blipFill>
                    <a:blip r:embed="rId39">
                      <a:extLst>
                        <a:ext uri="{28A0092B-C50C-407E-A947-70E740481C1C}">
                          <a14:useLocalDpi xmlns:a14="http://schemas.microsoft.com/office/drawing/2010/main" val="0"/>
                        </a:ext>
                      </a:extLst>
                    </a:blip>
                    <a:stretch>
                      <a:fillRect/>
                    </a:stretch>
                  </pic:blipFill>
                  <pic:spPr>
                    <a:xfrm>
                      <a:off x="0" y="0"/>
                      <a:ext cx="4292782" cy="4414685"/>
                    </a:xfrm>
                    <a:prstGeom prst="rect">
                      <a:avLst/>
                    </a:prstGeom>
                  </pic:spPr>
                </pic:pic>
              </a:graphicData>
            </a:graphic>
          </wp:inline>
        </w:drawing>
      </w:r>
    </w:p>
    <w:p w14:paraId="1878C8CF" w14:textId="77777777" w:rsidR="003A30E8" w:rsidRPr="00183E4D" w:rsidRDefault="003A30E8" w:rsidP="00035579">
      <w:pPr>
        <w:pStyle w:val="Caption"/>
        <w:spacing w:before="100" w:after="300"/>
      </w:pPr>
      <w:bookmarkStart w:id="203" w:name="_Ref459815836"/>
      <w:bookmarkStart w:id="204" w:name="_Toc460515065"/>
      <w:r w:rsidRPr="00183E4D">
        <w:t xml:space="preserve">Figure </w:t>
      </w:r>
      <w:fldSimple w:instr=" SEQ Figure \* ARABIC ">
        <w:r w:rsidR="00D170A5">
          <w:rPr>
            <w:noProof/>
          </w:rPr>
          <w:t>9</w:t>
        </w:r>
      </w:fldSimple>
      <w:bookmarkEnd w:id="203"/>
      <w:r w:rsidRPr="00183E4D">
        <w:t xml:space="preserve"> </w:t>
      </w:r>
      <w:r w:rsidRPr="00183E4D">
        <w:tab/>
        <w:t>Summary of the process used to identify and select studies</w:t>
      </w:r>
      <w:r>
        <w:t xml:space="preserve"> of RFA</w:t>
      </w:r>
      <w:bookmarkEnd w:id="204"/>
      <w:r w:rsidRPr="00183E4D">
        <w:t xml:space="preserve"> </w:t>
      </w:r>
    </w:p>
    <w:p w14:paraId="6CBC5D00" w14:textId="77777777" w:rsidR="003F1A11" w:rsidRPr="003F1A11" w:rsidRDefault="007B2127" w:rsidP="0013736B">
      <w:pPr>
        <w:spacing w:after="0"/>
      </w:pPr>
      <w:r>
        <w:rPr>
          <w:noProof/>
        </w:rPr>
        <w:drawing>
          <wp:inline distT="0" distB="0" distL="0" distR="0" wp14:anchorId="77DFE4D1" wp14:editId="33425A4F">
            <wp:extent cx="4218317" cy="3456792"/>
            <wp:effectExtent l="0" t="0" r="0" b="0"/>
            <wp:docPr id="5" name="Picture 5" descr="Summary of the process used to identify and select studies of radiotherapy" title="Summary of the process used to identify and select studies of rad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A Flow Chart - Radiotherapy.tif"/>
                    <pic:cNvPicPr/>
                  </pic:nvPicPr>
                  <pic:blipFill>
                    <a:blip r:embed="rId40">
                      <a:extLst>
                        <a:ext uri="{28A0092B-C50C-407E-A947-70E740481C1C}">
                          <a14:useLocalDpi xmlns:a14="http://schemas.microsoft.com/office/drawing/2010/main" val="0"/>
                        </a:ext>
                      </a:extLst>
                    </a:blip>
                    <a:stretch>
                      <a:fillRect/>
                    </a:stretch>
                  </pic:blipFill>
                  <pic:spPr>
                    <a:xfrm>
                      <a:off x="0" y="0"/>
                      <a:ext cx="4237275" cy="3472327"/>
                    </a:xfrm>
                    <a:prstGeom prst="rect">
                      <a:avLst/>
                    </a:prstGeom>
                  </pic:spPr>
                </pic:pic>
              </a:graphicData>
            </a:graphic>
          </wp:inline>
        </w:drawing>
      </w:r>
    </w:p>
    <w:p w14:paraId="1148C4DC" w14:textId="77777777" w:rsidR="003F1A11" w:rsidRDefault="003F1A11" w:rsidP="00035579">
      <w:pPr>
        <w:pStyle w:val="Caption"/>
        <w:spacing w:before="100"/>
      </w:pPr>
      <w:bookmarkStart w:id="205" w:name="_Ref457488355"/>
      <w:bookmarkStart w:id="206" w:name="_Toc460515066"/>
      <w:r w:rsidRPr="00183E4D">
        <w:t xml:space="preserve">Figure </w:t>
      </w:r>
      <w:fldSimple w:instr=" SEQ Figure \* ARABIC ">
        <w:r w:rsidR="00D170A5">
          <w:rPr>
            <w:noProof/>
          </w:rPr>
          <w:t>10</w:t>
        </w:r>
      </w:fldSimple>
      <w:bookmarkEnd w:id="205"/>
      <w:r w:rsidRPr="00183E4D">
        <w:t xml:space="preserve"> </w:t>
      </w:r>
      <w:r w:rsidRPr="00183E4D">
        <w:tab/>
        <w:t>Summary of the process used to identify and select studies</w:t>
      </w:r>
      <w:r>
        <w:t xml:space="preserve"> of radiotherapy</w:t>
      </w:r>
      <w:bookmarkEnd w:id="206"/>
    </w:p>
    <w:p w14:paraId="2FB4E924" w14:textId="2B3DF7B1" w:rsidR="007C6179" w:rsidRDefault="00B435E9" w:rsidP="006C7263">
      <w:pPr>
        <w:spacing w:before="500"/>
        <w:rPr>
          <w:color w:val="000000"/>
        </w:rPr>
      </w:pPr>
      <w:r w:rsidRPr="00F91E83">
        <w:lastRenderedPageBreak/>
        <w:t xml:space="preserve">A profile of each included study is </w:t>
      </w:r>
      <w:r w:rsidR="008D77C9" w:rsidRPr="00F91E83">
        <w:t>given</w:t>
      </w:r>
      <w:r w:rsidRPr="00F91E83">
        <w:t xml:space="preserve"> in </w:t>
      </w:r>
      <w:r w:rsidRPr="002F6CFF">
        <w:rPr>
          <w:highlight w:val="cyan"/>
        </w:rPr>
        <w:fldChar w:fldCharType="begin"/>
      </w:r>
      <w:r w:rsidRPr="00F91E83">
        <w:instrText xml:space="preserve"> REF _Ref364237249 \h  \* MERGEFORMAT </w:instrText>
      </w:r>
      <w:r w:rsidRPr="002F6CFF">
        <w:rPr>
          <w:highlight w:val="cyan"/>
        </w:rPr>
      </w:r>
      <w:r w:rsidRPr="002F6CFF">
        <w:rPr>
          <w:highlight w:val="cyan"/>
        </w:rPr>
        <w:fldChar w:fldCharType="separate"/>
      </w:r>
      <w:r w:rsidR="00D170A5" w:rsidRPr="00183E4D">
        <w:t xml:space="preserve">Appendix </w:t>
      </w:r>
      <w:r w:rsidR="00D170A5">
        <w:t>C</w:t>
      </w:r>
      <w:r w:rsidRPr="002F6CFF">
        <w:rPr>
          <w:highlight w:val="cyan"/>
        </w:rPr>
        <w:fldChar w:fldCharType="end"/>
      </w:r>
      <w:r w:rsidRPr="00F91E83">
        <w:t xml:space="preserve">. </w:t>
      </w:r>
      <w:r w:rsidRPr="00F91E83">
        <w:rPr>
          <w:color w:val="000000"/>
        </w:rPr>
        <w:t xml:space="preserve">This study profile describes the authors, study ID, publication year, study design and quality (level of evidence and risk of bias), study location, setting, length of follow-up of patients, study population characteristics, description of the intervention, description of the comparator and the relevant outcomes assessed. </w:t>
      </w:r>
      <w:r w:rsidR="001B6A91" w:rsidRPr="00F91E83">
        <w:rPr>
          <w:color w:val="000000"/>
        </w:rPr>
        <w:t xml:space="preserve">Study characteristics are also summarised in a shorter format in Section B.4. </w:t>
      </w:r>
      <w:r w:rsidR="003F69BC" w:rsidRPr="00F91E83">
        <w:rPr>
          <w:color w:val="000000"/>
        </w:rPr>
        <w:t xml:space="preserve">A search of clinical trials identified only one comparative trial of MTA that is currently recruiting (NCT02455843). This trial will compare MTA in combination with chemotherapy to chemotherapy alone for advanced NSCLC. A list of relevant clinical trials </w:t>
      </w:r>
      <w:r w:rsidR="00A2643F" w:rsidRPr="00F91E83">
        <w:rPr>
          <w:color w:val="000000"/>
        </w:rPr>
        <w:t xml:space="preserve">on all interventions in this population </w:t>
      </w:r>
      <w:r w:rsidR="003F69BC" w:rsidRPr="00F91E83">
        <w:rPr>
          <w:color w:val="000000"/>
        </w:rPr>
        <w:t xml:space="preserve">is provided at </w:t>
      </w:r>
      <w:r w:rsidR="003F69BC" w:rsidRPr="00FC5A38">
        <w:rPr>
          <w:color w:val="000000"/>
        </w:rPr>
        <w:t xml:space="preserve">the end </w:t>
      </w:r>
      <w:r w:rsidR="003F69BC" w:rsidRPr="00D40956">
        <w:rPr>
          <w:color w:val="000000"/>
        </w:rPr>
        <w:t>of</w:t>
      </w:r>
      <w:r w:rsidR="00FC5A38" w:rsidRPr="00D40956">
        <w:rPr>
          <w:color w:val="000000"/>
        </w:rPr>
        <w:t xml:space="preserve"> </w:t>
      </w:r>
      <w:r w:rsidR="00FC5A38" w:rsidRPr="00D40956">
        <w:rPr>
          <w:color w:val="000000"/>
        </w:rPr>
        <w:fldChar w:fldCharType="begin"/>
      </w:r>
      <w:r w:rsidR="00FC5A38" w:rsidRPr="00D40956">
        <w:rPr>
          <w:color w:val="000000"/>
        </w:rPr>
        <w:instrText xml:space="preserve"> REF AppendixF \h  \* MERGEFORMAT </w:instrText>
      </w:r>
      <w:r w:rsidR="00FC5A38" w:rsidRPr="00D40956">
        <w:rPr>
          <w:color w:val="000000"/>
        </w:rPr>
      </w:r>
      <w:r w:rsidR="00FC5A38" w:rsidRPr="00D40956">
        <w:rPr>
          <w:color w:val="000000"/>
        </w:rPr>
        <w:fldChar w:fldCharType="separate"/>
      </w:r>
      <w:r w:rsidR="00D170A5" w:rsidRPr="001C2967">
        <w:t xml:space="preserve">Appendix </w:t>
      </w:r>
      <w:r w:rsidR="00D170A5">
        <w:rPr>
          <w:noProof/>
        </w:rPr>
        <w:t>F</w:t>
      </w:r>
      <w:r w:rsidR="00FC5A38" w:rsidRPr="00D40956">
        <w:rPr>
          <w:color w:val="000000"/>
        </w:rPr>
        <w:fldChar w:fldCharType="end"/>
      </w:r>
      <w:r w:rsidR="003F69BC" w:rsidRPr="00D40956">
        <w:rPr>
          <w:color w:val="000000"/>
        </w:rPr>
        <w:t>.</w:t>
      </w:r>
      <w:r w:rsidR="00FC5A38" w:rsidRPr="00D40956">
        <w:rPr>
          <w:color w:val="000000"/>
        </w:rPr>
        <w:t xml:space="preserve"> </w:t>
      </w:r>
      <w:r w:rsidR="00FC5A38" w:rsidRPr="00FC5A38">
        <w:rPr>
          <w:color w:val="000000"/>
        </w:rPr>
        <w:fldChar w:fldCharType="begin"/>
      </w:r>
      <w:r w:rsidR="00FC5A38" w:rsidRPr="00FC5A38">
        <w:rPr>
          <w:color w:val="000000"/>
        </w:rPr>
        <w:instrText xml:space="preserve"> REF _Ref460247743 \h  \* MERGEFORMAT </w:instrText>
      </w:r>
      <w:r w:rsidR="00FC5A38" w:rsidRPr="00FC5A38">
        <w:rPr>
          <w:color w:val="000000"/>
        </w:rPr>
      </w:r>
      <w:r w:rsidR="00FC5A38" w:rsidRPr="00FC5A38">
        <w:rPr>
          <w:color w:val="000000"/>
        </w:rPr>
        <w:fldChar w:fldCharType="separate"/>
      </w:r>
      <w:r w:rsidR="00D170A5">
        <w:t xml:space="preserve">Table </w:t>
      </w:r>
      <w:r w:rsidR="00D170A5">
        <w:rPr>
          <w:noProof/>
        </w:rPr>
        <w:t>17</w:t>
      </w:r>
      <w:r w:rsidR="00FC5A38" w:rsidRPr="00FC5A38">
        <w:rPr>
          <w:color w:val="000000"/>
        </w:rPr>
        <w:fldChar w:fldCharType="end"/>
      </w:r>
      <w:r w:rsidR="00FC5A38" w:rsidRPr="00FC5A38">
        <w:rPr>
          <w:color w:val="000000"/>
        </w:rPr>
        <w:t xml:space="preserve"> lists the number an</w:t>
      </w:r>
      <w:r w:rsidR="00FC5A38">
        <w:rPr>
          <w:color w:val="000000"/>
        </w:rPr>
        <w:t xml:space="preserve">d type of included studies according to the intervention. </w:t>
      </w:r>
    </w:p>
    <w:p w14:paraId="4A60CCEA" w14:textId="77777777" w:rsidR="002C11F0" w:rsidRDefault="002C11F0" w:rsidP="002C11F0">
      <w:pPr>
        <w:pStyle w:val="Caption"/>
        <w:keepNext/>
      </w:pPr>
      <w:bookmarkStart w:id="207" w:name="_Ref460247743"/>
      <w:bookmarkStart w:id="208" w:name="_Toc460514675"/>
      <w:r>
        <w:t xml:space="preserve">Table </w:t>
      </w:r>
      <w:fldSimple w:instr=" SEQ Table \* ARABIC ">
        <w:r w:rsidR="00D170A5">
          <w:rPr>
            <w:noProof/>
          </w:rPr>
          <w:t>17</w:t>
        </w:r>
      </w:fldSimple>
      <w:bookmarkEnd w:id="207"/>
      <w:r>
        <w:tab/>
      </w:r>
      <w:r>
        <w:tab/>
        <w:t>Number and type of included studies for each intervention, in each study population</w:t>
      </w:r>
      <w:bookmarkEnd w:id="208"/>
    </w:p>
    <w:tbl>
      <w:tblPr>
        <w:tblStyle w:val="TableGrid"/>
        <w:tblW w:w="0" w:type="auto"/>
        <w:tblInd w:w="108" w:type="dxa"/>
        <w:tblLook w:val="04A0" w:firstRow="1" w:lastRow="0" w:firstColumn="1" w:lastColumn="0" w:noHBand="0" w:noVBand="1"/>
        <w:tblCaption w:val="Number and type of included studies for each intervention, in each study population"/>
      </w:tblPr>
      <w:tblGrid>
        <w:gridCol w:w="1418"/>
        <w:gridCol w:w="2572"/>
        <w:gridCol w:w="2572"/>
        <w:gridCol w:w="2510"/>
      </w:tblGrid>
      <w:tr w:rsidR="002C11F0" w:rsidRPr="00FC06D9" w14:paraId="7F142110" w14:textId="77777777" w:rsidTr="006D4D44">
        <w:trPr>
          <w:cantSplit/>
          <w:tblHeader/>
        </w:trPr>
        <w:tc>
          <w:tcPr>
            <w:tcW w:w="1418" w:type="dxa"/>
            <w:shd w:val="clear" w:color="auto" w:fill="D9D9D9" w:themeFill="background1" w:themeFillShade="D9"/>
          </w:tcPr>
          <w:p w14:paraId="7EA207BE" w14:textId="77777777" w:rsidR="002C11F0" w:rsidRPr="006C7263" w:rsidRDefault="002C11F0" w:rsidP="006C7263">
            <w:pPr>
              <w:pStyle w:val="Tabletext1"/>
              <w:ind w:left="0"/>
              <w:rPr>
                <w:b/>
              </w:rPr>
            </w:pPr>
            <w:r w:rsidRPr="006C7263">
              <w:rPr>
                <w:b/>
              </w:rPr>
              <w:t>Intervention</w:t>
            </w:r>
          </w:p>
        </w:tc>
        <w:tc>
          <w:tcPr>
            <w:tcW w:w="2572" w:type="dxa"/>
            <w:shd w:val="clear" w:color="auto" w:fill="D9D9D9" w:themeFill="background1" w:themeFillShade="D9"/>
          </w:tcPr>
          <w:p w14:paraId="291002F4" w14:textId="77777777" w:rsidR="002C11F0" w:rsidRPr="006C7263" w:rsidRDefault="002C11F0" w:rsidP="006C7263">
            <w:pPr>
              <w:pStyle w:val="Tabletext1"/>
              <w:ind w:left="0"/>
              <w:rPr>
                <w:b/>
              </w:rPr>
            </w:pPr>
            <w:r w:rsidRPr="006C7263">
              <w:rPr>
                <w:b/>
              </w:rPr>
              <w:t xml:space="preserve">Included studies </w:t>
            </w:r>
            <w:r w:rsidR="006C7263">
              <w:rPr>
                <w:b/>
              </w:rPr>
              <w:t>(P1)</w:t>
            </w:r>
          </w:p>
        </w:tc>
        <w:tc>
          <w:tcPr>
            <w:tcW w:w="2572" w:type="dxa"/>
            <w:shd w:val="clear" w:color="auto" w:fill="D9D9D9" w:themeFill="background1" w:themeFillShade="D9"/>
          </w:tcPr>
          <w:p w14:paraId="664E1917" w14:textId="77777777" w:rsidR="002C11F0" w:rsidRPr="006C7263" w:rsidRDefault="002C11F0" w:rsidP="006C7263">
            <w:pPr>
              <w:pStyle w:val="Tabletext1"/>
              <w:ind w:left="0"/>
              <w:rPr>
                <w:b/>
              </w:rPr>
            </w:pPr>
            <w:r w:rsidRPr="006C7263">
              <w:rPr>
                <w:b/>
              </w:rPr>
              <w:t xml:space="preserve">Included studies </w:t>
            </w:r>
            <w:r w:rsidR="006C7263">
              <w:rPr>
                <w:b/>
              </w:rPr>
              <w:t>(P2)</w:t>
            </w:r>
          </w:p>
        </w:tc>
        <w:tc>
          <w:tcPr>
            <w:tcW w:w="2510" w:type="dxa"/>
            <w:shd w:val="clear" w:color="auto" w:fill="D9D9D9" w:themeFill="background1" w:themeFillShade="D9"/>
          </w:tcPr>
          <w:p w14:paraId="5D256803" w14:textId="77777777" w:rsidR="002C11F0" w:rsidRPr="006C7263" w:rsidRDefault="002C11F0" w:rsidP="006C7263">
            <w:pPr>
              <w:pStyle w:val="Tabletext1"/>
              <w:ind w:left="0"/>
              <w:rPr>
                <w:b/>
              </w:rPr>
            </w:pPr>
            <w:r w:rsidRPr="006C7263">
              <w:rPr>
                <w:b/>
              </w:rPr>
              <w:t>Included studies</w:t>
            </w:r>
            <w:r w:rsidR="006C7263">
              <w:rPr>
                <w:b/>
              </w:rPr>
              <w:t xml:space="preserve"> (P3)</w:t>
            </w:r>
          </w:p>
        </w:tc>
      </w:tr>
      <w:tr w:rsidR="002C11F0" w:rsidRPr="00FC06D9" w14:paraId="2D1EEEAB" w14:textId="77777777" w:rsidTr="006D4D44">
        <w:trPr>
          <w:cantSplit/>
        </w:trPr>
        <w:tc>
          <w:tcPr>
            <w:tcW w:w="1418" w:type="dxa"/>
          </w:tcPr>
          <w:p w14:paraId="42456B2F" w14:textId="77777777" w:rsidR="002C11F0" w:rsidRPr="002F6CFF" w:rsidRDefault="002C11F0" w:rsidP="006C7263">
            <w:pPr>
              <w:pStyle w:val="Tabletext1"/>
              <w:ind w:left="0"/>
            </w:pPr>
            <w:r w:rsidRPr="002F6CFF">
              <w:t>MTA*</w:t>
            </w:r>
          </w:p>
        </w:tc>
        <w:tc>
          <w:tcPr>
            <w:tcW w:w="2572" w:type="dxa"/>
          </w:tcPr>
          <w:p w14:paraId="7C2DB406" w14:textId="77777777" w:rsidR="002C11F0" w:rsidRPr="002F6CFF" w:rsidRDefault="002C11F0" w:rsidP="006C7263">
            <w:pPr>
              <w:pStyle w:val="Tabletext1"/>
              <w:ind w:left="0"/>
            </w:pPr>
            <w:r w:rsidRPr="002F6CFF">
              <w:t>3 Level IV case series</w:t>
            </w:r>
          </w:p>
        </w:tc>
        <w:tc>
          <w:tcPr>
            <w:tcW w:w="2572" w:type="dxa"/>
          </w:tcPr>
          <w:p w14:paraId="0060551A" w14:textId="77777777" w:rsidR="002C11F0" w:rsidRPr="002F6CFF" w:rsidRDefault="002C11F0" w:rsidP="006C7263">
            <w:pPr>
              <w:pStyle w:val="Tabletext1"/>
              <w:ind w:left="0"/>
            </w:pPr>
            <w:r w:rsidRPr="002F6CFF">
              <w:t>2 Level IV case series</w:t>
            </w:r>
          </w:p>
        </w:tc>
        <w:tc>
          <w:tcPr>
            <w:tcW w:w="2510" w:type="dxa"/>
          </w:tcPr>
          <w:p w14:paraId="0AAD70EF" w14:textId="77777777" w:rsidR="002C11F0" w:rsidRPr="002F6CFF" w:rsidRDefault="002C11F0" w:rsidP="006C7263">
            <w:pPr>
              <w:pStyle w:val="Tabletext1"/>
              <w:ind w:left="0"/>
            </w:pPr>
            <w:r w:rsidRPr="002F6CFF">
              <w:t>2 Level III-2 cohort</w:t>
            </w:r>
          </w:p>
          <w:p w14:paraId="3AD233ED" w14:textId="77777777" w:rsidR="002C11F0" w:rsidRPr="002F6CFF" w:rsidRDefault="002C11F0" w:rsidP="006C7263">
            <w:pPr>
              <w:pStyle w:val="Tabletext1"/>
              <w:ind w:left="0"/>
            </w:pPr>
            <w:r w:rsidRPr="002F6CFF">
              <w:t>1 Level IV case series</w:t>
            </w:r>
          </w:p>
        </w:tc>
      </w:tr>
      <w:tr w:rsidR="002C11F0" w:rsidRPr="00FC06D9" w14:paraId="17FD7EF4" w14:textId="77777777" w:rsidTr="006D4D44">
        <w:trPr>
          <w:cantSplit/>
        </w:trPr>
        <w:tc>
          <w:tcPr>
            <w:tcW w:w="1418" w:type="dxa"/>
          </w:tcPr>
          <w:p w14:paraId="16B6F00A" w14:textId="77777777" w:rsidR="002C11F0" w:rsidRPr="002F6CFF" w:rsidRDefault="002C11F0" w:rsidP="006C7263">
            <w:pPr>
              <w:pStyle w:val="Tabletext1"/>
              <w:ind w:left="0"/>
            </w:pPr>
            <w:r w:rsidRPr="002F6CFF">
              <w:t>RFA**</w:t>
            </w:r>
          </w:p>
        </w:tc>
        <w:tc>
          <w:tcPr>
            <w:tcW w:w="2572" w:type="dxa"/>
          </w:tcPr>
          <w:p w14:paraId="032361EA" w14:textId="77777777" w:rsidR="002C11F0" w:rsidRPr="002F6CFF" w:rsidRDefault="002C11F0" w:rsidP="006C7263">
            <w:pPr>
              <w:pStyle w:val="Tabletext1"/>
              <w:ind w:left="0"/>
            </w:pPr>
            <w:r w:rsidRPr="002F6CFF">
              <w:t>1 Level III-3 cohort</w:t>
            </w:r>
          </w:p>
          <w:p w14:paraId="7F6FFCE9" w14:textId="77777777" w:rsidR="002C11F0" w:rsidRPr="002F6CFF" w:rsidRDefault="002C11F0" w:rsidP="006C7263">
            <w:pPr>
              <w:pStyle w:val="Tabletext1"/>
              <w:ind w:left="0"/>
            </w:pPr>
            <w:r w:rsidRPr="002F6CFF">
              <w:t>7 Level IV case series</w:t>
            </w:r>
          </w:p>
        </w:tc>
        <w:tc>
          <w:tcPr>
            <w:tcW w:w="2572" w:type="dxa"/>
          </w:tcPr>
          <w:p w14:paraId="06466B9D" w14:textId="77777777" w:rsidR="002C11F0" w:rsidRPr="002F6CFF" w:rsidRDefault="002C11F0" w:rsidP="006C7263">
            <w:pPr>
              <w:pStyle w:val="Tabletext1"/>
              <w:ind w:left="0"/>
            </w:pPr>
            <w:r w:rsidRPr="002F6CFF">
              <w:t>11 Level IV case series</w:t>
            </w:r>
            <w:r w:rsidRPr="002F6CFF">
              <w:rPr>
                <w:vertAlign w:val="superscript"/>
              </w:rPr>
              <w:t>†</w:t>
            </w:r>
          </w:p>
        </w:tc>
        <w:tc>
          <w:tcPr>
            <w:tcW w:w="2510" w:type="dxa"/>
          </w:tcPr>
          <w:p w14:paraId="569B1EE8" w14:textId="77777777" w:rsidR="002C11F0" w:rsidRPr="002F6CFF" w:rsidRDefault="002C11F0" w:rsidP="006C7263">
            <w:pPr>
              <w:pStyle w:val="Tabletext1"/>
              <w:ind w:left="0"/>
            </w:pPr>
            <w:r w:rsidRPr="002F6CFF">
              <w:t>1 Level IV case series</w:t>
            </w:r>
          </w:p>
        </w:tc>
      </w:tr>
      <w:tr w:rsidR="002C11F0" w:rsidRPr="00FC06D9" w14:paraId="6CB12302" w14:textId="77777777" w:rsidTr="006D4D44">
        <w:trPr>
          <w:cantSplit/>
        </w:trPr>
        <w:tc>
          <w:tcPr>
            <w:tcW w:w="1418" w:type="dxa"/>
          </w:tcPr>
          <w:p w14:paraId="72FC13DB" w14:textId="77777777" w:rsidR="002C11F0" w:rsidRPr="002F6CFF" w:rsidRDefault="002C11F0" w:rsidP="006C7263">
            <w:pPr>
              <w:pStyle w:val="Tabletext1"/>
              <w:ind w:left="0"/>
            </w:pPr>
            <w:r w:rsidRPr="002F6CFF">
              <w:t>Radiotherapy</w:t>
            </w:r>
          </w:p>
        </w:tc>
        <w:tc>
          <w:tcPr>
            <w:tcW w:w="2572" w:type="dxa"/>
          </w:tcPr>
          <w:p w14:paraId="4B92A1C2" w14:textId="77777777" w:rsidR="002C11F0" w:rsidRPr="002F6CFF" w:rsidRDefault="002C11F0" w:rsidP="006C7263">
            <w:pPr>
              <w:pStyle w:val="Tabletext1"/>
              <w:ind w:left="0"/>
            </w:pPr>
            <w:r w:rsidRPr="002F6CFF">
              <w:t>2 Level II RCT</w:t>
            </w:r>
          </w:p>
          <w:p w14:paraId="53546A37" w14:textId="77777777" w:rsidR="002C11F0" w:rsidRPr="002F6CFF" w:rsidRDefault="002C11F0" w:rsidP="006C7263">
            <w:pPr>
              <w:pStyle w:val="Tabletext1"/>
              <w:ind w:left="0"/>
            </w:pPr>
            <w:r w:rsidRPr="002F6CFF">
              <w:t>1 Level III-1 propensity-matched cohort</w:t>
            </w:r>
          </w:p>
          <w:p w14:paraId="687B988B" w14:textId="77777777" w:rsidR="002C11F0" w:rsidRPr="002F6CFF" w:rsidRDefault="002C11F0" w:rsidP="006C7263">
            <w:pPr>
              <w:pStyle w:val="Tabletext1"/>
              <w:ind w:left="0"/>
            </w:pPr>
            <w:r w:rsidRPr="002F6CFF">
              <w:t>1 Level III-2 cohort</w:t>
            </w:r>
          </w:p>
          <w:p w14:paraId="68980128" w14:textId="77777777" w:rsidR="002C11F0" w:rsidRPr="002F6CFF" w:rsidRDefault="002C11F0" w:rsidP="006C7263">
            <w:pPr>
              <w:pStyle w:val="Tabletext1"/>
              <w:ind w:left="0"/>
            </w:pPr>
            <w:r w:rsidRPr="002F6CFF">
              <w:t>1 Level III-3 historical control</w:t>
            </w:r>
          </w:p>
        </w:tc>
        <w:tc>
          <w:tcPr>
            <w:tcW w:w="2572" w:type="dxa"/>
          </w:tcPr>
          <w:p w14:paraId="2A71549E" w14:textId="77777777" w:rsidR="002C11F0" w:rsidRPr="002F6CFF" w:rsidRDefault="002C11F0" w:rsidP="006C7263">
            <w:pPr>
              <w:pStyle w:val="Tabletext1"/>
              <w:ind w:left="0"/>
            </w:pPr>
            <w:r w:rsidRPr="002F6CFF">
              <w:t>3 Level III-2 cohort</w:t>
            </w:r>
          </w:p>
          <w:p w14:paraId="58C7F941" w14:textId="77777777" w:rsidR="002C11F0" w:rsidRPr="002F6CFF" w:rsidRDefault="002C11F0" w:rsidP="006C7263">
            <w:pPr>
              <w:pStyle w:val="Tabletext1"/>
              <w:ind w:left="0"/>
            </w:pPr>
            <w:r w:rsidRPr="002F6CFF">
              <w:t>14 Level IV case series</w:t>
            </w:r>
          </w:p>
        </w:tc>
        <w:tc>
          <w:tcPr>
            <w:tcW w:w="2510" w:type="dxa"/>
          </w:tcPr>
          <w:p w14:paraId="0AB213E0" w14:textId="77777777" w:rsidR="002C11F0" w:rsidRPr="002F6CFF" w:rsidRDefault="002C11F0" w:rsidP="006C7263">
            <w:pPr>
              <w:pStyle w:val="Tabletext1"/>
              <w:ind w:left="0"/>
            </w:pPr>
            <w:r w:rsidRPr="002F6CFF">
              <w:t>1 systematic review of 13 RCTs</w:t>
            </w:r>
          </w:p>
        </w:tc>
      </w:tr>
      <w:tr w:rsidR="002C11F0" w:rsidRPr="00FC06D9" w14:paraId="629ECEDD" w14:textId="77777777" w:rsidTr="006D4D44">
        <w:trPr>
          <w:cantSplit/>
        </w:trPr>
        <w:tc>
          <w:tcPr>
            <w:tcW w:w="1418" w:type="dxa"/>
          </w:tcPr>
          <w:p w14:paraId="6298EB20" w14:textId="77777777" w:rsidR="002C11F0" w:rsidRPr="002F6CFF" w:rsidRDefault="002C11F0" w:rsidP="006C7263">
            <w:pPr>
              <w:pStyle w:val="Tabletext1"/>
              <w:ind w:left="0"/>
            </w:pPr>
            <w:r w:rsidRPr="002F6CFF">
              <w:t>Surgery</w:t>
            </w:r>
          </w:p>
        </w:tc>
        <w:tc>
          <w:tcPr>
            <w:tcW w:w="2572" w:type="dxa"/>
          </w:tcPr>
          <w:p w14:paraId="1F811DF1" w14:textId="77777777" w:rsidR="002C11F0" w:rsidRPr="002F6CFF" w:rsidRDefault="002C11F0" w:rsidP="006C7263">
            <w:pPr>
              <w:pStyle w:val="Tabletext1"/>
              <w:ind w:left="0"/>
            </w:pPr>
            <w:r w:rsidRPr="002F6CFF">
              <w:t>NA</w:t>
            </w:r>
          </w:p>
        </w:tc>
        <w:tc>
          <w:tcPr>
            <w:tcW w:w="2572" w:type="dxa"/>
          </w:tcPr>
          <w:p w14:paraId="37666EEF" w14:textId="77777777" w:rsidR="002C11F0" w:rsidRPr="002F6CFF" w:rsidRDefault="002C11F0" w:rsidP="006C7263">
            <w:pPr>
              <w:pStyle w:val="Tabletext1"/>
              <w:ind w:left="0"/>
            </w:pPr>
            <w:r w:rsidRPr="002F6CFF">
              <w:t>5 Level IV case series</w:t>
            </w:r>
          </w:p>
        </w:tc>
        <w:tc>
          <w:tcPr>
            <w:tcW w:w="2510" w:type="dxa"/>
          </w:tcPr>
          <w:p w14:paraId="6FBA8C21" w14:textId="77777777" w:rsidR="002C11F0" w:rsidRPr="002F6CFF" w:rsidRDefault="002C11F0" w:rsidP="006C7263">
            <w:pPr>
              <w:pStyle w:val="Tabletext1"/>
              <w:ind w:left="0"/>
            </w:pPr>
            <w:r w:rsidRPr="002F6CFF">
              <w:t>NA</w:t>
            </w:r>
          </w:p>
        </w:tc>
      </w:tr>
    </w:tbl>
    <w:p w14:paraId="0172DE50" w14:textId="77777777" w:rsidR="002C11F0" w:rsidRPr="006C7263" w:rsidRDefault="006C7263" w:rsidP="006C7263">
      <w:pPr>
        <w:pStyle w:val="Tablenotes0"/>
      </w:pPr>
      <w:r w:rsidRPr="006C7263">
        <w:t xml:space="preserve">&lt; </w:t>
      </w:r>
      <w:r w:rsidR="002C11F0" w:rsidRPr="006C7263">
        <w:t>MTA = microwave tissue ablation; RCT = randomised controlled trial; RFA = radiofrequency ablation</w:t>
      </w:r>
      <w:r w:rsidRPr="006C7263">
        <w:t xml:space="preserve"> &gt;</w:t>
      </w:r>
    </w:p>
    <w:p w14:paraId="2EC7575D" w14:textId="77777777" w:rsidR="002C11F0" w:rsidRPr="006C7263" w:rsidRDefault="002C11F0" w:rsidP="006C7263">
      <w:pPr>
        <w:pStyle w:val="Tablenotes0"/>
      </w:pPr>
      <w:r w:rsidRPr="006C7263">
        <w:t>* An additional 16 Level IV studies with mixed populations were included in the safety section.</w:t>
      </w:r>
    </w:p>
    <w:p w14:paraId="306F5C62" w14:textId="77777777" w:rsidR="002C11F0" w:rsidRPr="006C7263" w:rsidRDefault="002C11F0" w:rsidP="006C7263">
      <w:pPr>
        <w:pStyle w:val="Tablenotes0"/>
      </w:pPr>
      <w:r w:rsidRPr="006C7263">
        <w:t>** An existing systematic review published in 2008 was included for safety outcomes. It did not identify any prior studies of effectiveness that were relevant to the current evaluation.</w:t>
      </w:r>
    </w:p>
    <w:p w14:paraId="3B37F986" w14:textId="77777777" w:rsidR="002C11F0" w:rsidRPr="006C7263" w:rsidRDefault="002C11F0" w:rsidP="006C7263">
      <w:pPr>
        <w:pStyle w:val="Tablenotes0"/>
      </w:pPr>
      <w:r w:rsidRPr="006C7263">
        <w:t>† Yan et al 2006 and Yan et al 2007 reported different outcomes from the same sample population, over the same period. These publications have been reported as a single publication in the report.</w:t>
      </w:r>
    </w:p>
    <w:p w14:paraId="6D6C6AAC" w14:textId="77777777" w:rsidR="000D328F" w:rsidRPr="005012D8" w:rsidRDefault="000D328F" w:rsidP="003F6C66">
      <w:pPr>
        <w:pStyle w:val="Heading3"/>
      </w:pPr>
      <w:bookmarkStart w:id="209" w:name="_Toc395200773"/>
      <w:bookmarkStart w:id="210" w:name="_Toc460396031"/>
      <w:r w:rsidRPr="002F6CFF">
        <w:t>Appraisal of the evidence</w:t>
      </w:r>
      <w:bookmarkEnd w:id="209"/>
      <w:bookmarkEnd w:id="210"/>
    </w:p>
    <w:p w14:paraId="73453AAC" w14:textId="77777777" w:rsidR="000D328F" w:rsidRPr="0001015A" w:rsidRDefault="000D328F" w:rsidP="000D328F">
      <w:r w:rsidRPr="006F17DE">
        <w:t xml:space="preserve">Appraisal of the evidence was conducted in </w:t>
      </w:r>
      <w:r w:rsidR="004C6311" w:rsidRPr="0001015A">
        <w:t>four</w:t>
      </w:r>
      <w:r w:rsidRPr="0001015A">
        <w:t xml:space="preserve"> stages:</w:t>
      </w:r>
    </w:p>
    <w:p w14:paraId="41E8D1CB" w14:textId="694DD55A" w:rsidR="000D328F" w:rsidRDefault="000D328F" w:rsidP="00024670">
      <w:proofErr w:type="gramStart"/>
      <w:r w:rsidRPr="0001015A">
        <w:rPr>
          <w:b/>
        </w:rPr>
        <w:t>Stage 1</w:t>
      </w:r>
      <w:r w:rsidRPr="0001015A">
        <w:t xml:space="preserve">: Appraisal of the </w:t>
      </w:r>
      <w:r w:rsidR="005071FD" w:rsidRPr="0001015A">
        <w:t>risk of bias within</w:t>
      </w:r>
      <w:r w:rsidRPr="0001015A">
        <w:t xml:space="preserve"> individual studies (or systematic reviews) included in the review</w:t>
      </w:r>
      <w:r w:rsidR="00146BFB" w:rsidRPr="0001015A">
        <w:t>.</w:t>
      </w:r>
      <w:proofErr w:type="gramEnd"/>
      <w:r w:rsidR="00146BFB" w:rsidRPr="0001015A">
        <w:t xml:space="preserve"> Some risk of bias items </w:t>
      </w:r>
      <w:r w:rsidR="004149B5" w:rsidRPr="0001015A">
        <w:t xml:space="preserve">were </w:t>
      </w:r>
      <w:r w:rsidR="00146BFB" w:rsidRPr="0001015A">
        <w:t xml:space="preserve">assessed for the study as a whole, while others </w:t>
      </w:r>
      <w:r w:rsidR="004149B5" w:rsidRPr="0001015A">
        <w:t>were</w:t>
      </w:r>
      <w:r w:rsidR="00146BFB" w:rsidRPr="0001015A">
        <w:t xml:space="preserve"> assessed at the outcome level</w:t>
      </w:r>
      <w:r w:rsidRPr="0001015A">
        <w:t xml:space="preserve"> (Section B.3)</w:t>
      </w:r>
      <w:r w:rsidR="0000124A" w:rsidRPr="0001015A">
        <w:t>.</w:t>
      </w:r>
      <w:r w:rsidR="007E6F44" w:rsidRPr="0001015A">
        <w:t xml:space="preserve"> </w:t>
      </w:r>
      <w:r w:rsidR="00C57DC4" w:rsidRPr="0001015A">
        <w:t>The risk of bias in included studies was evaluated across two domains</w:t>
      </w:r>
      <w:r w:rsidR="005012D8">
        <w:t>—</w:t>
      </w:r>
      <w:r w:rsidR="00C57DC4" w:rsidRPr="005012D8">
        <w:t xml:space="preserve">level of evidence </w:t>
      </w:r>
      <w:r w:rsidR="005F4E96" w:rsidRPr="005012D8">
        <w:fldChar w:fldCharType="begin"/>
      </w:r>
      <w:r w:rsidR="00194054">
        <w:instrText xml:space="preserve"> ADDIN EN.CITE &lt;EndNote&gt;&lt;Cite&gt;&lt;Author&gt;Merlin&lt;/Author&gt;&lt;Year&gt;2009&lt;/Year&gt;&lt;RecNum&gt;72&lt;/RecNum&gt;&lt;DisplayText&gt;(Merlin et al 2009)&lt;/DisplayText&gt;&lt;record&gt;&lt;rec-number&gt;72&lt;/rec-number&gt;&lt;foreign-keys&gt;&lt;key app="EN" db-id="05ssdaw2cf0zvye5xvo5z9ww0xdpfstrdtew" timestamp="1468298967"&gt;72&lt;/key&gt;&lt;/foreign-keys&gt;&lt;ref-type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 Res Methodol&lt;/secondary-title&gt;&lt;/titles&gt;&lt;periodical&gt;&lt;full-title&gt;BMC Med Res Methodol&lt;/full-title&gt;&lt;/periodical&gt;&lt;pages&gt;34&lt;/pages&gt;&lt;volume&gt;9&lt;/volume&gt;&lt;edition&gt;2009/06/13&lt;/edition&gt;&lt;keywords&gt;&lt;keyword&gt;Clinical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(Electronic)&amp;#xD;1471-2288 (Linking)&lt;/isbn&gt;&lt;accession-num&gt;19519887&lt;/accession-num&gt;&lt;urls&gt;&lt;related-urls&gt;&lt;url&gt;http://www.ncbi.nlm.nih.gov/pubmed/19519887&lt;/url&gt;&lt;url&gt;http://www.ncbi.nlm.nih.gov/pmc/articles/PMC2700132/pdf/1471-2288-9-34.pdf&lt;/url&gt;&lt;/related-urls&gt;&lt;/urls&gt;&lt;custom2&gt;2700132&lt;/custom2&gt;&lt;electronic-resource-num&gt;10.1186/1471-2288-9-34&amp;#xD;1471-2288-9-34 [pii]&lt;/electronic-resource-num&gt;&lt;language&gt;eng&lt;/language&gt;&lt;/record&gt;&lt;/Cite&gt;&lt;/EndNote&gt;</w:instrText>
      </w:r>
      <w:r w:rsidR="005F4E96" w:rsidRPr="005012D8">
        <w:fldChar w:fldCharType="separate"/>
      </w:r>
      <w:r w:rsidR="005F4E96" w:rsidRPr="005012D8">
        <w:rPr>
          <w:noProof/>
        </w:rPr>
        <w:t>(</w:t>
      </w:r>
      <w:hyperlink w:anchor="_ENREF_107" w:tooltip="Merlin, 2009 #72" w:history="1">
        <w:r w:rsidR="00320458" w:rsidRPr="0001015A">
          <w:rPr>
            <w:noProof/>
          </w:rPr>
          <w:t>Merlin et al 2009</w:t>
        </w:r>
      </w:hyperlink>
      <w:r w:rsidR="005F4E96" w:rsidRPr="005012D8">
        <w:rPr>
          <w:noProof/>
        </w:rPr>
        <w:t>)</w:t>
      </w:r>
      <w:r w:rsidR="005F4E96" w:rsidRPr="005012D8">
        <w:fldChar w:fldCharType="end"/>
      </w:r>
      <w:r w:rsidR="0000124A" w:rsidRPr="005012D8">
        <w:t>,</w:t>
      </w:r>
      <w:r w:rsidR="00A25896" w:rsidRPr="005012D8">
        <w:t xml:space="preserve"> </w:t>
      </w:r>
      <w:r w:rsidR="00C57DC4" w:rsidRPr="005012D8">
        <w:t xml:space="preserve">and quality of evidence </w:t>
      </w:r>
      <w:r w:rsidR="005F4E96" w:rsidRPr="005012D8">
        <w:fldChar w:fldCharType="begin"/>
      </w:r>
      <w:r w:rsidR="00194054">
        <w:instrText xml:space="preserve"> ADDIN EN.CITE &lt;EndNote&gt;&lt;Cite&gt;&lt;Author&gt;Mustafa&lt;/Author&gt;&lt;Year&gt;2013&lt;/Year&gt;&lt;RecNum&gt;73&lt;/RecNum&gt;&lt;DisplayText&gt;(Mustafa et al 2013)&lt;/DisplayText&gt;&lt;record&gt;&lt;rec-number&gt;73&lt;/rec-number&gt;&lt;foreign-keys&gt;&lt;key app="EN" db-id="05ssdaw2cf0zvye5xvo5z9ww0xdpfstrdtew" timestamp="1468298967"&gt;73&lt;/key&gt;&lt;/foreign-keys&gt;&lt;ref-type name="Journal Article"&gt;17&lt;/ref-type&gt;&lt;contributors&gt;&lt;authors&gt;&lt;author&gt;Mustafa, R. A.&lt;/author&gt;&lt;author&gt;Santesso, N.&lt;/author&gt;&lt;author&gt;Brozek, J.&lt;/author&gt;&lt;author&gt;Akl, E. A.&lt;/author&gt;&lt;author&gt;Walter, S. D.&lt;/author&gt;&lt;author&gt;Norman, G.&lt;/author&gt;&lt;author&gt;Kulasegaram, M.&lt;/author&gt;&lt;author&gt;Christensen, R.&lt;/author&gt;&lt;author&gt;Guyatt, G. H.&lt;/author&gt;&lt;author&gt;Falck-Ytter, Y.&lt;/author&gt;&lt;author&gt;Chang, S.&lt;/author&gt;&lt;author&gt;Murad, M. H.&lt;/author&gt;&lt;author&gt;Vist, G. E.&lt;/author&gt;&lt;author&gt;Lasserson, T.&lt;/author&gt;&lt;author&gt;Gartlehner, G.&lt;/author&gt;&lt;author&gt;Shukla, V.&lt;/author&gt;&lt;author&gt;Sun, X.&lt;/author&gt;&lt;author&gt;Whittington, C.&lt;/author&gt;&lt;author&gt;Post, P. N.&lt;/author&gt;&lt;author&gt;Lang, E.&lt;/author&gt;&lt;author&gt;Thaler, K.&lt;/author&gt;&lt;author&gt;Kunnamo, I.&lt;/author&gt;&lt;author&gt;Alenius, H.&lt;/author&gt;&lt;author&gt;Meerpohl, J. J.&lt;/author&gt;&lt;author&gt;Alba, A. C.&lt;/author&gt;&lt;author&gt;Nevis, I. F.&lt;/author&gt;&lt;author&gt;Gentles, S.&lt;/author&gt;&lt;author&gt;Ethier, M. C.&lt;/author&gt;&lt;author&gt;Carrasco-Labra, A.&lt;/author&gt;&lt;author&gt;Khatib, R.&lt;/author&gt;&lt;/authors&gt;&lt;/contributors&gt;&lt;titles&gt;&lt;title&gt;The GRADE approach is reproducible in assessing the quality of evidence of quantitative evidence syntheses&lt;/title&gt;&lt;secondary-title&gt;J Clin Epidemiol&lt;/secondary-title&gt;&lt;/titles&gt;&lt;periodical&gt;&lt;full-title&gt;J Clin Epidemiol&lt;/full-title&gt;&lt;abbr-1&gt;Journal of clinical epidemiology&lt;/abbr-1&gt;&lt;/periodical&gt;&lt;volume&gt;66&lt;/volume&gt;&lt;dates&gt;&lt;year&gt;2013&lt;/year&gt;&lt;/dates&gt;&lt;label&gt;Mustafa2013&lt;/label&gt;&lt;urls&gt;&lt;related-urls&gt;&lt;url&gt;http://dx.doi.org/10.1016/j.jclinepi.2013.02.004&lt;/url&gt;&lt;/related-urls&gt;&lt;/urls&gt;&lt;electronic-resource-num&gt;10.1016/j.jclinepi.2013.02.004&lt;/electronic-resource-num&gt;&lt;/record&gt;&lt;/Cite&gt;&lt;/EndNote&gt;</w:instrText>
      </w:r>
      <w:r w:rsidR="005F4E96" w:rsidRPr="005012D8">
        <w:fldChar w:fldCharType="separate"/>
      </w:r>
      <w:r w:rsidR="005F4E96" w:rsidRPr="005012D8">
        <w:rPr>
          <w:noProof/>
        </w:rPr>
        <w:t>(</w:t>
      </w:r>
      <w:hyperlink w:anchor="_ENREF_110" w:tooltip="Mustafa, 2013 #73" w:history="1">
        <w:r w:rsidR="00320458" w:rsidRPr="0001015A">
          <w:rPr>
            <w:noProof/>
          </w:rPr>
          <w:t>Mustafa et al 2013</w:t>
        </w:r>
      </w:hyperlink>
      <w:r w:rsidR="005F4E96" w:rsidRPr="005012D8">
        <w:rPr>
          <w:noProof/>
        </w:rPr>
        <w:t>)</w:t>
      </w:r>
      <w:r w:rsidR="005F4E96" w:rsidRPr="005012D8">
        <w:fldChar w:fldCharType="end"/>
      </w:r>
      <w:r w:rsidR="005012D8" w:rsidRPr="005012D8">
        <w:t xml:space="preserve"> </w:t>
      </w:r>
      <w:r w:rsidR="005012D8">
        <w:t>—</w:t>
      </w:r>
      <w:r w:rsidR="00C57DC4" w:rsidRPr="005012D8">
        <w:t xml:space="preserve">that collectively represent of the strength of the evidence of individual studies. The level of bias introduced by the study design, relative to the research question, </w:t>
      </w:r>
      <w:r w:rsidR="005F4E96" w:rsidRPr="006F17DE">
        <w:t>was</w:t>
      </w:r>
      <w:r w:rsidR="00C57DC4" w:rsidRPr="0001015A">
        <w:t xml:space="preserve"> ranked according to the National Health and Medical Research Council (NHMRC) levels of evidence </w:t>
      </w:r>
      <w:r w:rsidR="005F4E96" w:rsidRPr="0001015A">
        <w:fldChar w:fldCharType="begin"/>
      </w:r>
      <w:r w:rsidR="00194054">
        <w:instrText xml:space="preserve"> ADDIN EN.CITE &lt;EndNote&gt;&lt;Cite&gt;&lt;Author&gt;Merlin&lt;/Author&gt;&lt;Year&gt;2009&lt;/Year&gt;&lt;RecNum&gt;72&lt;/RecNum&gt;&lt;DisplayText&gt;(Merlin et al 2009)&lt;/DisplayText&gt;&lt;record&gt;&lt;rec-number&gt;72&lt;/rec-number&gt;&lt;foreign-keys&gt;&lt;key app="EN" db-id="05ssdaw2cf0zvye5xvo5z9ww0xdpfstrdtew" timestamp="1468298967"&gt;72&lt;/key&gt;&lt;/foreign-keys&gt;&lt;ref-type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 Res Methodol&lt;/secondary-title&gt;&lt;/titles&gt;&lt;periodical&gt;&lt;full-title&gt;BMC Med Res Methodol&lt;/full-title&gt;&lt;/periodical&gt;&lt;pages&gt;34&lt;/pages&gt;&lt;volume&gt;9&lt;/volume&gt;&lt;edition&gt;2009/06/13&lt;/edition&gt;&lt;keywords&gt;&lt;keyword&gt;Clinical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(Electronic)&amp;#xD;1471-2288 (Linking)&lt;/isbn&gt;&lt;accession-num&gt;19519887&lt;/accession-num&gt;&lt;urls&gt;&lt;related-urls&gt;&lt;url&gt;http://www.ncbi.nlm.nih.gov/pubmed/19519887&lt;/url&gt;&lt;url&gt;http://www.ncbi.nlm.nih.gov/pmc/articles/PMC2700132/pdf/1471-2288-9-34.pdf&lt;/url&gt;&lt;/related-urls&gt;&lt;/urls&gt;&lt;custom2&gt;2700132&lt;/custom2&gt;&lt;electronic-resource-num&gt;10.1186/1471-2288-9-34&amp;#xD;1471-2288-9-34 [pii]&lt;/electronic-resource-num&gt;&lt;language&gt;eng&lt;/language&gt;&lt;/record&gt;&lt;/Cite&gt;&lt;/EndNote&gt;</w:instrText>
      </w:r>
      <w:r w:rsidR="005F4E96" w:rsidRPr="0001015A">
        <w:fldChar w:fldCharType="separate"/>
      </w:r>
      <w:r w:rsidR="005F4E96" w:rsidRPr="0001015A">
        <w:rPr>
          <w:noProof/>
        </w:rPr>
        <w:t>(</w:t>
      </w:r>
      <w:hyperlink w:anchor="_ENREF_107" w:tooltip="Merlin, 2009 #72" w:history="1">
        <w:r w:rsidR="00320458" w:rsidRPr="0001015A">
          <w:rPr>
            <w:noProof/>
          </w:rPr>
          <w:t>Merlin et al 2009</w:t>
        </w:r>
      </w:hyperlink>
      <w:r w:rsidR="005F4E96" w:rsidRPr="0001015A">
        <w:rPr>
          <w:noProof/>
        </w:rPr>
        <w:t>)</w:t>
      </w:r>
      <w:r w:rsidR="005F4E96" w:rsidRPr="0001015A">
        <w:fldChar w:fldCharType="end"/>
      </w:r>
      <w:r w:rsidR="00C57DC4" w:rsidRPr="006F17DE">
        <w:t xml:space="preserve">. The </w:t>
      </w:r>
      <w:r w:rsidR="00C57DC4" w:rsidRPr="006F17DE">
        <w:lastRenderedPageBreak/>
        <w:t xml:space="preserve">quality of included studies </w:t>
      </w:r>
      <w:r w:rsidR="005F4E96" w:rsidRPr="0001015A">
        <w:t>was</w:t>
      </w:r>
      <w:r w:rsidR="00C57DC4" w:rsidRPr="0001015A">
        <w:t xml:space="preserve"> evaluated at the study level. Systematic reviews </w:t>
      </w:r>
      <w:r w:rsidR="005F4E96" w:rsidRPr="0001015A">
        <w:t>were</w:t>
      </w:r>
      <w:r w:rsidR="00C57DC4" w:rsidRPr="0001015A">
        <w:t xml:space="preserve"> evaluated using the A Measurement Tool to Assess Systematic Reviews (AMSTAR) tool</w:t>
      </w:r>
      <w:r w:rsidR="00C57DC4" w:rsidRPr="005012D8">
        <w:t xml:space="preserve"> </w:t>
      </w:r>
      <w:r w:rsidR="005F4E96" w:rsidRPr="005012D8">
        <w:fldChar w:fldCharType="begin"/>
      </w:r>
      <w:r w:rsidR="00F00D1D">
        <w:instrText xml:space="preserve"> ADDIN EN.CITE &lt;EndNote&gt;&lt;Cite&gt;&lt;Author&gt;Shea&lt;/Author&gt;&lt;Year&gt;2007&lt;/Year&gt;&lt;RecNum&gt;74&lt;/RecNum&gt;&lt;DisplayText&gt;(Shea et al 2007)&lt;/DisplayText&gt;&lt;record&gt;&lt;rec-number&gt;74&lt;/rec-number&gt;&lt;foreign-keys&gt;&lt;key app="EN" db-id="05ssdaw2cf0zvye5xvo5z9ww0xdpfstrdtew" timestamp="1468299011"&gt;74&lt;/key&gt;&lt;/foreign-keys&gt;&lt;ref-type name="Journal Article"&gt;17&lt;/ref-type&gt;&lt;contributors&gt;&lt;authors&gt;&lt;author&gt;Shea, BJ.,&lt;/author&gt;&lt;author&gt;Jeremy M Grimshaw&lt;/author&gt;&lt;author&gt;George A Wells&lt;/author&gt;&lt;author&gt;Maarten Boers&lt;/author&gt;&lt;author&gt;Neil Andersson Candyce Hamel&lt;/author&gt;&lt;author&gt;Ashley C Porter&lt;/author&gt;&lt;author&gt;Peter Tugwell&lt;/author&gt;&lt;author&gt;David Moher&lt;/author&gt;&lt;author&gt;Lex M Bouter&lt;/author&gt;&lt;/authors&gt;&lt;/contributors&gt;&lt;titles&gt;&lt;title&gt;Development of AMSTAR: a measurement tool to assess the methodological quality of systematic reviews&lt;/title&gt;&lt;secondary-title&gt;BMC Medical Research Methodology&lt;/secondary-title&gt;&lt;/titles&gt;&lt;periodical&gt;&lt;full-title&gt;BMC Medical Research Methodology&lt;/full-title&gt;&lt;/periodical&gt;&lt;pages&gt;doi:10.1186/1471-2288-7-10&lt;/pages&gt;&lt;volume&gt;7&lt;/volume&gt;&lt;number&gt;10&lt;/number&gt;&lt;dates&gt;&lt;year&gt;2007&lt;/year&gt;&lt;/dates&gt;&lt;urls&gt;&lt;/urls&gt;&lt;research-notes&gt;AMSTAR&lt;/research-notes&gt;&lt;/record&gt;&lt;/Cite&gt;&lt;/EndNote&gt;</w:instrText>
      </w:r>
      <w:r w:rsidR="005F4E96" w:rsidRPr="005012D8">
        <w:fldChar w:fldCharType="separate"/>
      </w:r>
      <w:r w:rsidR="00F00D1D">
        <w:rPr>
          <w:noProof/>
        </w:rPr>
        <w:t>(</w:t>
      </w:r>
      <w:hyperlink w:anchor="_ENREF_137" w:tooltip="Shea, 2007 #74" w:history="1">
        <w:r w:rsidR="00320458">
          <w:rPr>
            <w:noProof/>
          </w:rPr>
          <w:t>Shea et al 2007</w:t>
        </w:r>
      </w:hyperlink>
      <w:r w:rsidR="00F00D1D">
        <w:rPr>
          <w:noProof/>
        </w:rPr>
        <w:t>)</w:t>
      </w:r>
      <w:r w:rsidR="005F4E96" w:rsidRPr="005012D8">
        <w:fldChar w:fldCharType="end"/>
      </w:r>
      <w:r w:rsidR="00C57DC4" w:rsidRPr="005012D8">
        <w:t xml:space="preserve">. Randomised and non-randomised studies </w:t>
      </w:r>
      <w:r w:rsidR="005F4E96" w:rsidRPr="006F17DE">
        <w:t>were</w:t>
      </w:r>
      <w:r w:rsidR="00C57DC4" w:rsidRPr="0001015A">
        <w:t xml:space="preserve"> evaluated using the Downs and Black checklist </w:t>
      </w:r>
      <w:r w:rsidR="005F4E96" w:rsidRPr="0001015A">
        <w:fldChar w:fldCharType="begin"/>
      </w:r>
      <w:r w:rsidR="00194054">
        <w:instrText xml:space="preserve"> ADDIN EN.CITE &lt;EndNote&gt;&lt;Cite&gt;&lt;Author&gt;Downs&lt;/Author&gt;&lt;Year&gt;1998&lt;/Year&gt;&lt;RecNum&gt;75&lt;/RecNum&gt;&lt;DisplayText&gt;(Downs and Black 1998)&lt;/DisplayText&gt;&lt;record&gt;&lt;rec-number&gt;75&lt;/rec-number&gt;&lt;foreign-keys&gt;&lt;key app="EN" db-id="05ssdaw2cf0zvye5xvo5z9ww0xdpfstrdtew" timestamp="1468299044"&gt;75&lt;/key&gt;&lt;/foreign-keys&gt;&lt;ref-type name="Journal Article"&gt;17&lt;/ref-type&gt;&lt;contributors&gt;&lt;authors&gt;&lt;author&gt;Downs, SH &lt;/author&gt;&lt;author&gt;Black, N&lt;/author&gt;&lt;/authors&gt;&lt;/contributors&gt;&lt;titles&gt;&lt;title&gt;The feasibility of creating a checklist for the assessment of the methodological quality both of randomised and non-randomised studies of health care interventions.&lt;/title&gt;&lt;secondary-title&gt;Journal of Epidemiology and Community Health &lt;/secondary-title&gt;&lt;/titles&gt;&lt;periodical&gt;&lt;full-title&gt;Journal of Epidemiology and Community Health&lt;/full-title&gt;&lt;/periodical&gt;&lt;pages&gt;377-384&lt;/pages&gt;&lt;volume&gt;52&lt;/volume&gt;&lt;dates&gt;&lt;year&gt;1998&lt;/year&gt;&lt;/dates&gt;&lt;urls&gt;&lt;related-urls&gt;&lt;url&gt;http://jech.bmj.com/content/52/6/377.full.pdf&lt;/url&gt;&lt;/related-urls&gt;&lt;/urls&gt;&lt;/record&gt;&lt;/Cite&gt;&lt;/EndNote&gt;</w:instrText>
      </w:r>
      <w:r w:rsidR="005F4E96" w:rsidRPr="0001015A">
        <w:fldChar w:fldCharType="separate"/>
      </w:r>
      <w:r w:rsidR="005F4E96" w:rsidRPr="0001015A">
        <w:rPr>
          <w:noProof/>
        </w:rPr>
        <w:t>(</w:t>
      </w:r>
      <w:hyperlink w:anchor="_ENREF_41" w:tooltip="Downs, 1998 #75" w:history="1">
        <w:r w:rsidR="00320458" w:rsidRPr="0001015A">
          <w:rPr>
            <w:noProof/>
          </w:rPr>
          <w:t>Downs and Black 1998</w:t>
        </w:r>
      </w:hyperlink>
      <w:r w:rsidR="005F4E96" w:rsidRPr="0001015A">
        <w:rPr>
          <w:noProof/>
        </w:rPr>
        <w:t>)</w:t>
      </w:r>
      <w:r w:rsidR="005F4E96" w:rsidRPr="0001015A">
        <w:fldChar w:fldCharType="end"/>
      </w:r>
      <w:r w:rsidR="00C57DC4" w:rsidRPr="006F17DE">
        <w:t xml:space="preserve">. Single arm case series investigations </w:t>
      </w:r>
      <w:r w:rsidR="005F4E96" w:rsidRPr="0001015A">
        <w:t>were</w:t>
      </w:r>
      <w:r w:rsidR="00C57DC4" w:rsidRPr="0001015A">
        <w:t xml:space="preserve"> evaluated using the ‘Quality Appraisal Checklist for Case Series </w:t>
      </w:r>
      <w:r w:rsidR="00E21FD6" w:rsidRPr="0001015A">
        <w:t>Studies</w:t>
      </w:r>
      <w:r w:rsidR="00C57DC4" w:rsidRPr="0001015A">
        <w:t xml:space="preserve">’ developed by the Institute of Health Economics </w:t>
      </w:r>
      <w:r w:rsidR="005F4E96" w:rsidRPr="0001015A">
        <w:fldChar w:fldCharType="begin">
          <w:fldData xml:space="preserve">PEVuZE5vdGU+PENpdGU+PEF1dGhvcj5HdW88L0F1dGhvcj48WWVhcj4yMDE2PC9ZZWFyPjxSZWNO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</w:fldData>
        </w:fldChar>
      </w:r>
      <w:r w:rsidR="00194054">
        <w:instrText xml:space="preserve"> ADDIN EN.CITE </w:instrText>
      </w:r>
      <w:r w:rsidR="00194054">
        <w:fldChar w:fldCharType="begin">
          <w:fldData xml:space="preserve">PEVuZE5vdGU+PENpdGU+PEF1dGhvcj5HdW88L0F1dGhvcj48WWVhcj4yMDE2PC9ZZWFyPjxSZWNO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</w:fldData>
        </w:fldChar>
      </w:r>
      <w:r w:rsidR="00194054">
        <w:instrText xml:space="preserve"> ADDIN EN.CITE.DATA </w:instrText>
      </w:r>
      <w:r w:rsidR="00194054">
        <w:fldChar w:fldCharType="end"/>
      </w:r>
      <w:r w:rsidR="005F4E96" w:rsidRPr="0001015A">
        <w:fldChar w:fldCharType="separate"/>
      </w:r>
      <w:r w:rsidR="005F4E96" w:rsidRPr="0001015A">
        <w:rPr>
          <w:noProof/>
        </w:rPr>
        <w:t>(</w:t>
      </w:r>
      <w:hyperlink w:anchor="_ENREF_61" w:tooltip="Guo, 2016 #76" w:history="1">
        <w:r w:rsidR="00320458" w:rsidRPr="0001015A">
          <w:rPr>
            <w:noProof/>
          </w:rPr>
          <w:t>Guo et al 2016</w:t>
        </w:r>
      </w:hyperlink>
      <w:r w:rsidR="005F4E96" w:rsidRPr="0001015A">
        <w:rPr>
          <w:noProof/>
        </w:rPr>
        <w:t>)</w:t>
      </w:r>
      <w:r w:rsidR="005F4E96" w:rsidRPr="0001015A">
        <w:fldChar w:fldCharType="end"/>
      </w:r>
      <w:r w:rsidR="00C57DC4" w:rsidRPr="006F17DE">
        <w:t xml:space="preserve">. Critical appraisal </w:t>
      </w:r>
      <w:r w:rsidR="005F4E96" w:rsidRPr="0001015A">
        <w:t>was</w:t>
      </w:r>
      <w:r w:rsidR="00C57DC4" w:rsidRPr="0001015A">
        <w:t xml:space="preserve"> conducted by one reviewer, and checked by a second reviewer for accuracy. Any disputes </w:t>
      </w:r>
      <w:r w:rsidR="005F4E96" w:rsidRPr="0001015A">
        <w:t>were</w:t>
      </w:r>
      <w:r w:rsidR="00C57DC4" w:rsidRPr="0001015A">
        <w:t xml:space="preserve"> settled </w:t>
      </w:r>
      <w:r w:rsidR="005F4E96" w:rsidRPr="0001015A">
        <w:t>through discussion.</w:t>
      </w:r>
    </w:p>
    <w:p w14:paraId="1BC53596" w14:textId="0E444EFB" w:rsidR="008001D1" w:rsidRDefault="001769AB" w:rsidP="00024670">
      <w:r w:rsidRPr="004C6311">
        <w:rPr>
          <w:b/>
        </w:rPr>
        <w:t>Stage 2</w:t>
      </w:r>
      <w:r>
        <w:t xml:space="preserve">: </w:t>
      </w:r>
      <w:r w:rsidR="008001D1">
        <w:t xml:space="preserve">Extraction of the pre-specified outcomes for this </w:t>
      </w:r>
      <w:r w:rsidR="00DC7996">
        <w:t>assessment, synthesising (</w:t>
      </w:r>
      <w:r w:rsidR="00C57DC4">
        <w:t xml:space="preserve">using measures of central tendency when possible or otherwise </w:t>
      </w:r>
      <w:r w:rsidR="00DC7996">
        <w:t xml:space="preserve">a narrative synthesis) </w:t>
      </w:r>
      <w:r w:rsidR="00213B43">
        <w:t xml:space="preserve">to determine an estimate of effect </w:t>
      </w:r>
      <w:r w:rsidR="00DC7996">
        <w:t>per outcome</w:t>
      </w:r>
      <w:r w:rsidR="00C57DC4">
        <w:t>.</w:t>
      </w:r>
      <w:r w:rsidR="00FD29D4" w:rsidRPr="00FD29D4">
        <w:t xml:space="preserve"> </w:t>
      </w:r>
      <w:r w:rsidR="00C57DC4" w:rsidRPr="00C57DC4">
        <w:t xml:space="preserve">Data </w:t>
      </w:r>
      <w:r w:rsidR="00192CD8">
        <w:t xml:space="preserve">were </w:t>
      </w:r>
      <w:r w:rsidR="00C57DC4" w:rsidRPr="00C57DC4">
        <w:t xml:space="preserve">extracted by one reviewer and checked by a second using a piloted data extraction template developed </w:t>
      </w:r>
      <w:r w:rsidR="00C57DC4" w:rsidRPr="00BD1E63">
        <w:t>a priori</w:t>
      </w:r>
      <w:r w:rsidR="00C57DC4" w:rsidRPr="00C57DC4">
        <w:t xml:space="preserve">. Data </w:t>
      </w:r>
      <w:r w:rsidR="005F4E96">
        <w:t xml:space="preserve">was </w:t>
      </w:r>
      <w:r w:rsidR="00C57DC4" w:rsidRPr="00C57DC4">
        <w:t xml:space="preserve">only extracted if stated in the text, tables, graphs or figures of the article, or if they could be accurately extrapolated from the data presented. Any disagreements or discrepancies in the extracted data </w:t>
      </w:r>
      <w:r w:rsidR="005F4E96">
        <w:t xml:space="preserve">were </w:t>
      </w:r>
      <w:r w:rsidR="00C57DC4" w:rsidRPr="00C57DC4">
        <w:t>resolved through discussion, or referred to</w:t>
      </w:r>
      <w:r w:rsidR="005F4E96">
        <w:t xml:space="preserve"> a third reviewer if agreement could not</w:t>
      </w:r>
      <w:r w:rsidR="00C57DC4" w:rsidRPr="00C57DC4">
        <w:t xml:space="preserve"> be reached</w:t>
      </w:r>
      <w:r w:rsidR="00192CD8">
        <w:t xml:space="preserve"> </w:t>
      </w:r>
      <w:r w:rsidR="00C57DC4">
        <w:t>(Sections B.6</w:t>
      </w:r>
      <w:r w:rsidR="00D35E9C">
        <w:t>–</w:t>
      </w:r>
      <w:r w:rsidR="00C57DC4">
        <w:t>7)</w:t>
      </w:r>
      <w:r w:rsidR="0000124A">
        <w:t>.</w:t>
      </w:r>
    </w:p>
    <w:p w14:paraId="77A570FD" w14:textId="2784C5BE" w:rsidR="00DC7996" w:rsidRDefault="001769AB" w:rsidP="00024670">
      <w:r w:rsidRPr="004C6311">
        <w:rPr>
          <w:b/>
        </w:rPr>
        <w:t>Stage 3</w:t>
      </w:r>
      <w:r>
        <w:t xml:space="preserve">: </w:t>
      </w:r>
      <w:r w:rsidR="00DC7996">
        <w:t xml:space="preserve">Rating the quality of the evidence per outcome across studies, based on </w:t>
      </w:r>
      <w:r w:rsidR="00421694">
        <w:t xml:space="preserve">study limitations (risk of bias), imprecision, inconsistency of results, indirectness of evidence, </w:t>
      </w:r>
      <w:r w:rsidR="006606AA">
        <w:t xml:space="preserve">and </w:t>
      </w:r>
      <w:r w:rsidR="00421694">
        <w:t>likelihood of publication bias</w:t>
      </w:r>
      <w:r w:rsidR="008D6611">
        <w:t xml:space="preserve">. </w:t>
      </w:r>
      <w:r w:rsidR="005F4E96" w:rsidRPr="005F4E96">
        <w:t>Th</w:t>
      </w:r>
      <w:r w:rsidR="005F4E96">
        <w:t>is was</w:t>
      </w:r>
      <w:r w:rsidR="005F4E96" w:rsidRPr="005F4E96">
        <w:t xml:space="preserve"> assessed using the GRADE methodology </w:t>
      </w:r>
      <w:r w:rsidR="00095CDF">
        <w:fldChar w:fldCharType="begin"/>
      </w:r>
      <w:r w:rsidR="005B16C7">
        <w:instrText xml:space="preserve"> ADDIN EN.CITE &lt;EndNote&gt;&lt;Cite ExcludeYear="1"&gt;&lt;Author&gt;Guyatt&lt;/Author&gt;&lt;RecNum&gt;77&lt;/RecNum&gt;&lt;DisplayText&gt;(Guyatt et al)&lt;/DisplayText&gt;&lt;record&gt;&lt;rec-number&gt;77&lt;/rec-number&gt;&lt;foreign-keys&gt;&lt;key app="EN" db-id="05ssdaw2cf0zvye5xvo5z9ww0xdpfstrdtew" timestamp="1468299742"&gt;77&lt;/key&gt;&lt;/foreign-keys&gt;&lt;ref-type name="Journal Article"&gt;17&lt;/ref-type&gt;&lt;contributors&gt;&lt;authors&gt;&lt;author&gt;Guyatt, Gordon&lt;/author&gt;&lt;author&gt;Oxman, Andrew D.&lt;/author&gt;&lt;author&gt;Akl, Elie A.&lt;/author&gt;&lt;author&gt;Kunz, Regina&lt;/author&gt;&lt;author&gt;Vist, Gunn&lt;/author&gt;&lt;author&gt;Brozek, Jan&lt;/author&gt;&lt;author&gt;Norris, Susan&lt;/author&gt;&lt;author&gt;Falck-Ytter, Yngve&lt;/author&gt;&lt;author&gt;Glasziou, Paul&lt;/author&gt;&lt;author&gt;deBeer, Hans&lt;/author&gt;&lt;author&gt;Jaeschke, Roman&lt;/author&gt;&lt;author&gt;Rind, David&lt;/author&gt;&lt;author&gt;Meerpohl, Joerg&lt;/author&gt;&lt;author&gt;Dahm, Philipp&lt;/author&gt;&lt;author&gt;Schünemann, Holger J.&lt;/author&gt;&lt;/authors&gt;&lt;/contributors&gt;&lt;titles&gt;&lt;title&gt;GRADE guidelines: 1. Introduction - GRADE evidence profiles and summary of findings tables&lt;/title&gt;&lt;secondary-title&gt;Journal of Clinical Epidemiology&lt;/secondary-title&gt;&lt;/titles&gt;&lt;periodical&gt;&lt;full-title&gt;J Clin Epidemiol&lt;/full-title&gt;&lt;abbr-1&gt;Journal of clinical epidemiology&lt;/abbr-1&gt;&lt;/periodical&gt;&lt;pages&gt;383-394&lt;/pages&gt;&lt;volume&gt;64&lt;/volume&gt;&lt;number&gt;4&lt;/number&gt;&lt;dates&gt;&lt;year&gt;2013&lt;/year&gt;&lt;/dates&gt;&lt;publisher&gt;Elsevier&lt;/publisher&gt;&lt;isbn&gt;0895-4356&lt;/isbn&gt;&lt;urls&gt;&lt;related-urls&gt;&lt;url&gt;http://dx.doi.org/10.1016/j.jclinepi.2010.04.026&lt;/url&gt;&lt;/related-urls&gt;&lt;/urls&gt;&lt;electronic-resource-num&gt;10.1016/j.jclinepi.2010.04.026&lt;/electronic-resource-num&gt;&lt;access-date&gt;2016/05/30&lt;/access-date&gt;&lt;/record&gt;&lt;/Cite&gt;&lt;/EndNote&gt;</w:instrText>
      </w:r>
      <w:r w:rsidR="00095CDF">
        <w:fldChar w:fldCharType="separate"/>
      </w:r>
      <w:r w:rsidR="00095CDF">
        <w:rPr>
          <w:noProof/>
        </w:rPr>
        <w:t>(</w:t>
      </w:r>
      <w:hyperlink w:anchor="_ENREF_62" w:tooltip="Guyatt, 2013 #77" w:history="1">
        <w:r w:rsidR="00320458">
          <w:rPr>
            <w:noProof/>
          </w:rPr>
          <w:t>Guyatt et al</w:t>
        </w:r>
      </w:hyperlink>
      <w:r w:rsidR="00095CDF">
        <w:rPr>
          <w:noProof/>
        </w:rPr>
        <w:t>)</w:t>
      </w:r>
      <w:r w:rsidR="00095CDF">
        <w:fldChar w:fldCharType="end"/>
      </w:r>
      <w:r w:rsidR="005F4E96" w:rsidRPr="005F4E96">
        <w:t xml:space="preserve">. The strength of the evidence supporting each summary estimate </w:t>
      </w:r>
      <w:r w:rsidR="006148A6">
        <w:t>is reported</w:t>
      </w:r>
      <w:r w:rsidR="005F4E96" w:rsidRPr="005F4E96">
        <w:t xml:space="preserve"> according to risk of bias, imprecision, indirectness, inconsistency, and publication bias</w:t>
      </w:r>
      <w:r w:rsidR="00F3425F">
        <w:t xml:space="preserve"> (Evidence profile tables, </w:t>
      </w:r>
      <w:r w:rsidR="00F3425F">
        <w:fldChar w:fldCharType="begin"/>
      </w:r>
      <w:r w:rsidR="00F3425F">
        <w:instrText xml:space="preserve"> REF _Ref421017583 \h </w:instrText>
      </w:r>
      <w:r w:rsidR="00F3425F">
        <w:fldChar w:fldCharType="separate"/>
      </w:r>
      <w:r w:rsidR="00D170A5">
        <w:t xml:space="preserve">Appendix </w:t>
      </w:r>
      <w:r w:rsidR="00D170A5">
        <w:rPr>
          <w:noProof/>
        </w:rPr>
        <w:t>D</w:t>
      </w:r>
      <w:r w:rsidR="00F3425F">
        <w:fldChar w:fldCharType="end"/>
      </w:r>
      <w:r w:rsidR="00F3425F">
        <w:t>)</w:t>
      </w:r>
      <w:r w:rsidR="005F4E96" w:rsidRPr="005F4E96">
        <w:t xml:space="preserve">. Based on the combined rating against these criteria, the quality of evidence contributing to each recommendation </w:t>
      </w:r>
      <w:r w:rsidR="006148A6">
        <w:t>is</w:t>
      </w:r>
      <w:r w:rsidR="00095CDF">
        <w:t xml:space="preserve"> given a score from low to high</w:t>
      </w:r>
      <w:r w:rsidR="00C57DC4">
        <w:t xml:space="preserve">. The rating was </w:t>
      </w:r>
      <w:r w:rsidR="00F3425F">
        <w:t xml:space="preserve">determined </w:t>
      </w:r>
      <w:r w:rsidR="00C57DC4">
        <w:t xml:space="preserve">by one reviewer and checked by a second with disagreements resolved through discussion.  </w:t>
      </w:r>
      <w:r w:rsidR="008D6611">
        <w:t>This was done</w:t>
      </w:r>
      <w:r w:rsidR="00C04EB0">
        <w:t xml:space="preserve"> to provide an indication of the confidence in the estimate of effect in the context of Australian clinical practice</w:t>
      </w:r>
      <w:r w:rsidR="00421694">
        <w:t xml:space="preserve">. </w:t>
      </w:r>
    </w:p>
    <w:p w14:paraId="20EC8E47" w14:textId="4AA66EFC" w:rsidR="00A91681" w:rsidRDefault="001769AB" w:rsidP="00CC7ECA">
      <w:proofErr w:type="gramStart"/>
      <w:r w:rsidRPr="004C6311">
        <w:rPr>
          <w:b/>
        </w:rPr>
        <w:t>Stage 4</w:t>
      </w:r>
      <w:r>
        <w:t xml:space="preserve">: </w:t>
      </w:r>
      <w:r w:rsidR="000D328F" w:rsidRPr="00183E4D">
        <w:t xml:space="preserve">Integration of this evidence for conclusions about the net clinical benefit of the intervention in the context of Australian clinical practice </w:t>
      </w:r>
      <w:r w:rsidR="000B688F" w:rsidRPr="00183E4D">
        <w:t>(Sections B.6</w:t>
      </w:r>
      <w:r w:rsidR="00D35E9C">
        <w:t>–</w:t>
      </w:r>
      <w:r w:rsidR="000B688F" w:rsidRPr="00183E4D">
        <w:t>8)</w:t>
      </w:r>
      <w:r w:rsidR="0000124A">
        <w:t>.</w:t>
      </w:r>
      <w:bookmarkStart w:id="211" w:name="_Toc381796464"/>
      <w:proofErr w:type="gramEnd"/>
    </w:p>
    <w:p w14:paraId="2E1AF0B8" w14:textId="77777777" w:rsidR="009A76F8" w:rsidRPr="00183E4D" w:rsidRDefault="002737DE" w:rsidP="002737DE">
      <w:pPr>
        <w:pStyle w:val="Heading2"/>
      </w:pPr>
      <w:bookmarkStart w:id="212" w:name="_Toc460396032"/>
      <w:r>
        <w:lastRenderedPageBreak/>
        <w:t>B.3</w:t>
      </w:r>
      <w:r w:rsidR="00E03B76">
        <w:t>.</w:t>
      </w:r>
      <w:r>
        <w:tab/>
      </w:r>
      <w:r w:rsidR="009A76F8" w:rsidRPr="00183E4D">
        <w:t>Risk of Bias</w:t>
      </w:r>
      <w:r w:rsidR="00B435E9" w:rsidRPr="00183E4D">
        <w:t xml:space="preserve"> Assessment</w:t>
      </w:r>
      <w:bookmarkEnd w:id="212"/>
    </w:p>
    <w:tbl>
      <w:tblPr>
        <w:tblStyle w:val="TableGrid"/>
        <w:tblW w:w="0" w:type="auto"/>
        <w:tblInd w:w="108" w:type="dxa"/>
        <w:tblLook w:val="04A0" w:firstRow="1" w:lastRow="0" w:firstColumn="1" w:lastColumn="0" w:noHBand="0" w:noVBand="1"/>
        <w:tblCaption w:val="Summary – Risk of bias in the identified evidence base:"/>
      </w:tblPr>
      <w:tblGrid>
        <w:gridCol w:w="9072"/>
      </w:tblGrid>
      <w:tr w:rsidR="00622077" w14:paraId="70A5ED33" w14:textId="77777777" w:rsidTr="006D4D44">
        <w:trPr>
          <w:tblHeader/>
        </w:trPr>
        <w:tc>
          <w:tcPr>
            <w:tcW w:w="9072" w:type="dxa"/>
          </w:tcPr>
          <w:bookmarkEnd w:id="211"/>
          <w:p w14:paraId="5A917BCA" w14:textId="77777777" w:rsidR="00622077" w:rsidRPr="003A495E" w:rsidRDefault="00F75212" w:rsidP="00320D99">
            <w:pPr>
              <w:spacing w:before="200" w:after="40"/>
              <w:ind w:left="0"/>
              <w:rPr>
                <w:rFonts w:ascii="Arial Narrow" w:hAnsi="Arial Narrow"/>
                <w:b/>
              </w:rPr>
            </w:pPr>
            <w:r w:rsidRPr="003A495E">
              <w:rPr>
                <w:rFonts w:ascii="Arial Narrow" w:hAnsi="Arial Narrow"/>
                <w:b/>
              </w:rPr>
              <w:t xml:space="preserve">Summary </w:t>
            </w:r>
            <w:r w:rsidR="00CC5683" w:rsidRPr="003A495E">
              <w:rPr>
                <w:rFonts w:ascii="Arial Narrow" w:hAnsi="Arial Narrow"/>
                <w:b/>
              </w:rPr>
              <w:t>–</w:t>
            </w:r>
            <w:r w:rsidRPr="003A495E">
              <w:rPr>
                <w:rFonts w:ascii="Arial Narrow" w:hAnsi="Arial Narrow"/>
                <w:b/>
              </w:rPr>
              <w:t xml:space="preserve"> Risk of bias in the identified </w:t>
            </w:r>
            <w:r w:rsidR="00622077" w:rsidRPr="003A495E">
              <w:rPr>
                <w:rFonts w:ascii="Arial Narrow" w:hAnsi="Arial Narrow"/>
                <w:b/>
              </w:rPr>
              <w:t xml:space="preserve">evidence </w:t>
            </w:r>
            <w:r w:rsidRPr="003A495E">
              <w:rPr>
                <w:rFonts w:ascii="Arial Narrow" w:hAnsi="Arial Narrow"/>
                <w:b/>
              </w:rPr>
              <w:t>base</w:t>
            </w:r>
            <w:r w:rsidR="00622077" w:rsidRPr="003A495E">
              <w:rPr>
                <w:rFonts w:ascii="Arial Narrow" w:hAnsi="Arial Narrow"/>
                <w:b/>
              </w:rPr>
              <w:t>:</w:t>
            </w:r>
          </w:p>
          <w:p w14:paraId="1A46D006" w14:textId="77777777" w:rsidR="00C22532" w:rsidRPr="003A495E" w:rsidRDefault="00C22532" w:rsidP="009970F5">
            <w:pPr>
              <w:pStyle w:val="ListParagraph"/>
              <w:numPr>
                <w:ilvl w:val="0"/>
                <w:numId w:val="58"/>
              </w:numPr>
              <w:spacing w:before="40" w:after="40"/>
              <w:rPr>
                <w:rFonts w:ascii="Arial Narrow" w:hAnsi="Arial Narrow"/>
              </w:rPr>
            </w:pPr>
            <w:r w:rsidRPr="003A495E">
              <w:rPr>
                <w:rFonts w:ascii="Arial Narrow" w:hAnsi="Arial Narrow"/>
              </w:rPr>
              <w:t xml:space="preserve">No direct or indirect comparative evidence for MTA relative to </w:t>
            </w:r>
            <w:r w:rsidR="00EE0A77">
              <w:rPr>
                <w:rFonts w:ascii="Arial Narrow" w:hAnsi="Arial Narrow"/>
              </w:rPr>
              <w:t xml:space="preserve">the </w:t>
            </w:r>
            <w:r w:rsidRPr="003A495E">
              <w:rPr>
                <w:rFonts w:ascii="Arial Narrow" w:hAnsi="Arial Narrow"/>
              </w:rPr>
              <w:t>comparators was identified.</w:t>
            </w:r>
          </w:p>
          <w:p w14:paraId="29A72F47" w14:textId="77777777" w:rsidR="00622077" w:rsidRPr="003A495E" w:rsidRDefault="00622077" w:rsidP="009970F5">
            <w:pPr>
              <w:pStyle w:val="ListParagraph"/>
              <w:numPr>
                <w:ilvl w:val="0"/>
                <w:numId w:val="58"/>
              </w:numPr>
              <w:spacing w:before="40" w:after="40"/>
              <w:rPr>
                <w:rFonts w:ascii="Arial Narrow" w:hAnsi="Arial Narrow"/>
              </w:rPr>
            </w:pPr>
            <w:r w:rsidRPr="003A495E">
              <w:rPr>
                <w:rFonts w:ascii="Arial Narrow" w:hAnsi="Arial Narrow"/>
              </w:rPr>
              <w:t xml:space="preserve">The evidence base for </w:t>
            </w:r>
            <w:r w:rsidR="009B4826" w:rsidRPr="003A495E">
              <w:rPr>
                <w:rFonts w:ascii="Arial Narrow" w:hAnsi="Arial Narrow"/>
              </w:rPr>
              <w:t>MTA</w:t>
            </w:r>
            <w:r w:rsidRPr="003A495E">
              <w:rPr>
                <w:rFonts w:ascii="Arial Narrow" w:hAnsi="Arial Narrow"/>
              </w:rPr>
              <w:t xml:space="preserve"> and its compar</w:t>
            </w:r>
            <w:r w:rsidR="009F58C7" w:rsidRPr="003A495E">
              <w:rPr>
                <w:rFonts w:ascii="Arial Narrow" w:hAnsi="Arial Narrow"/>
              </w:rPr>
              <w:t xml:space="preserve">ators </w:t>
            </w:r>
            <w:r w:rsidR="00891C29" w:rsidRPr="003A495E">
              <w:rPr>
                <w:rFonts w:ascii="Arial Narrow" w:hAnsi="Arial Narrow"/>
              </w:rPr>
              <w:t>has a</w:t>
            </w:r>
            <w:r w:rsidRPr="003A495E">
              <w:rPr>
                <w:rFonts w:ascii="Arial Narrow" w:hAnsi="Arial Narrow"/>
              </w:rPr>
              <w:t xml:space="preserve"> high risk of bias due to limitations in </w:t>
            </w:r>
            <w:r w:rsidR="00170189" w:rsidRPr="003A495E">
              <w:rPr>
                <w:rFonts w:ascii="Arial Narrow" w:hAnsi="Arial Narrow"/>
              </w:rPr>
              <w:t>study</w:t>
            </w:r>
            <w:r w:rsidRPr="003A495E">
              <w:rPr>
                <w:rFonts w:ascii="Arial Narrow" w:hAnsi="Arial Narrow"/>
              </w:rPr>
              <w:t xml:space="preserve"> design (i.e. </w:t>
            </w:r>
            <w:r w:rsidR="00715505" w:rsidRPr="003A495E">
              <w:rPr>
                <w:rFonts w:ascii="Arial Narrow" w:hAnsi="Arial Narrow"/>
              </w:rPr>
              <w:t>mostly</w:t>
            </w:r>
            <w:r w:rsidR="00556766" w:rsidRPr="003A495E">
              <w:rPr>
                <w:rFonts w:ascii="Arial Narrow" w:hAnsi="Arial Narrow"/>
              </w:rPr>
              <w:t xml:space="preserve"> </w:t>
            </w:r>
            <w:r w:rsidRPr="003A495E">
              <w:rPr>
                <w:rFonts w:ascii="Arial Narrow" w:hAnsi="Arial Narrow"/>
              </w:rPr>
              <w:t>retrospective</w:t>
            </w:r>
            <w:r w:rsidR="001C72CB" w:rsidRPr="003A495E">
              <w:rPr>
                <w:rFonts w:ascii="Arial Narrow" w:hAnsi="Arial Narrow"/>
              </w:rPr>
              <w:t xml:space="preserve"> case series</w:t>
            </w:r>
            <w:r w:rsidRPr="003A495E">
              <w:rPr>
                <w:rFonts w:ascii="Arial Narrow" w:hAnsi="Arial Narrow"/>
              </w:rPr>
              <w:t xml:space="preserve">) and quality of the included studies. </w:t>
            </w:r>
          </w:p>
          <w:p w14:paraId="0DCD7A02" w14:textId="77777777" w:rsidR="00622077" w:rsidRPr="003A495E" w:rsidRDefault="00622077" w:rsidP="009970F5">
            <w:pPr>
              <w:pStyle w:val="ListParagraph"/>
              <w:numPr>
                <w:ilvl w:val="0"/>
                <w:numId w:val="58"/>
              </w:numPr>
              <w:spacing w:before="40" w:after="40"/>
              <w:rPr>
                <w:rFonts w:ascii="Arial Narrow" w:hAnsi="Arial Narrow"/>
              </w:rPr>
            </w:pPr>
            <w:r w:rsidRPr="003A495E">
              <w:rPr>
                <w:rFonts w:ascii="Arial Narrow" w:hAnsi="Arial Narrow"/>
              </w:rPr>
              <w:t xml:space="preserve">The evidence prohibits inference regarding the </w:t>
            </w:r>
            <w:r w:rsidR="00EE0A77">
              <w:rPr>
                <w:rFonts w:ascii="Arial Narrow" w:hAnsi="Arial Narrow"/>
              </w:rPr>
              <w:t xml:space="preserve">comparative </w:t>
            </w:r>
            <w:r w:rsidRPr="003A495E">
              <w:rPr>
                <w:rFonts w:ascii="Arial Narrow" w:hAnsi="Arial Narrow"/>
              </w:rPr>
              <w:t>effect</w:t>
            </w:r>
            <w:r w:rsidR="00EE0A77">
              <w:rPr>
                <w:rFonts w:ascii="Arial Narrow" w:hAnsi="Arial Narrow"/>
              </w:rPr>
              <w:t>iveness</w:t>
            </w:r>
            <w:r w:rsidRPr="003A495E">
              <w:rPr>
                <w:rFonts w:ascii="Arial Narrow" w:hAnsi="Arial Narrow"/>
              </w:rPr>
              <w:t xml:space="preserve"> of the intervention because there is no data available for:</w:t>
            </w:r>
          </w:p>
          <w:p w14:paraId="1ECE4F95" w14:textId="77777777" w:rsidR="00622077" w:rsidRPr="003A495E" w:rsidRDefault="00622077" w:rsidP="009970F5">
            <w:pPr>
              <w:pStyle w:val="ListParagraph"/>
              <w:numPr>
                <w:ilvl w:val="1"/>
                <w:numId w:val="58"/>
              </w:numPr>
              <w:spacing w:before="40" w:after="40"/>
              <w:rPr>
                <w:rFonts w:ascii="Arial Narrow" w:hAnsi="Arial Narrow"/>
              </w:rPr>
            </w:pPr>
            <w:r w:rsidRPr="003A495E">
              <w:rPr>
                <w:rFonts w:ascii="Arial Narrow" w:hAnsi="Arial Narrow"/>
              </w:rPr>
              <w:t xml:space="preserve">direct comparison </w:t>
            </w:r>
            <w:r w:rsidR="008E7C1F" w:rsidRPr="003A495E">
              <w:rPr>
                <w:rFonts w:ascii="Arial Narrow" w:hAnsi="Arial Narrow"/>
              </w:rPr>
              <w:t xml:space="preserve">of MTA </w:t>
            </w:r>
            <w:r w:rsidR="00701BA8" w:rsidRPr="003A495E">
              <w:rPr>
                <w:rFonts w:ascii="Arial Narrow" w:hAnsi="Arial Narrow"/>
              </w:rPr>
              <w:t>and</w:t>
            </w:r>
            <w:r w:rsidRPr="003A495E">
              <w:rPr>
                <w:rFonts w:ascii="Arial Narrow" w:hAnsi="Arial Narrow"/>
              </w:rPr>
              <w:t xml:space="preserve"> </w:t>
            </w:r>
            <w:r w:rsidR="008E7C1F" w:rsidRPr="003A495E">
              <w:rPr>
                <w:rFonts w:ascii="Arial Narrow" w:hAnsi="Arial Narrow"/>
              </w:rPr>
              <w:t>relevant comparators</w:t>
            </w:r>
            <w:r w:rsidRPr="003A495E">
              <w:rPr>
                <w:rFonts w:ascii="Arial Narrow" w:hAnsi="Arial Narrow"/>
              </w:rPr>
              <w:t>; or</w:t>
            </w:r>
          </w:p>
          <w:p w14:paraId="6BCFCB16" w14:textId="77777777" w:rsidR="00622077" w:rsidRPr="003A495E" w:rsidRDefault="00622077" w:rsidP="009970F5">
            <w:pPr>
              <w:pStyle w:val="ListParagraph"/>
              <w:numPr>
                <w:ilvl w:val="1"/>
                <w:numId w:val="58"/>
              </w:numPr>
              <w:spacing w:before="40" w:after="40"/>
              <w:rPr>
                <w:rFonts w:ascii="Arial Narrow" w:hAnsi="Arial Narrow"/>
              </w:rPr>
            </w:pPr>
            <w:r w:rsidRPr="003A495E">
              <w:rPr>
                <w:rFonts w:ascii="Arial Narrow" w:hAnsi="Arial Narrow"/>
              </w:rPr>
              <w:t xml:space="preserve">indirect comparison </w:t>
            </w:r>
            <w:r w:rsidR="008E7C1F" w:rsidRPr="003A495E">
              <w:rPr>
                <w:rFonts w:ascii="Arial Narrow" w:hAnsi="Arial Narrow"/>
              </w:rPr>
              <w:t xml:space="preserve">of MTA </w:t>
            </w:r>
            <w:r w:rsidR="00701BA8" w:rsidRPr="003A495E">
              <w:rPr>
                <w:rFonts w:ascii="Arial Narrow" w:hAnsi="Arial Narrow"/>
              </w:rPr>
              <w:t xml:space="preserve">and </w:t>
            </w:r>
            <w:r w:rsidR="008E7C1F" w:rsidRPr="003A495E">
              <w:rPr>
                <w:rFonts w:ascii="Arial Narrow" w:hAnsi="Arial Narrow"/>
              </w:rPr>
              <w:t>relevant comparators</w:t>
            </w:r>
            <w:r w:rsidRPr="003A495E">
              <w:rPr>
                <w:rFonts w:ascii="Arial Narrow" w:hAnsi="Arial Narrow"/>
              </w:rPr>
              <w:t>, through a common reference arm; or</w:t>
            </w:r>
          </w:p>
          <w:p w14:paraId="1DAF0188" w14:textId="77777777" w:rsidR="00622077" w:rsidRPr="003A495E" w:rsidRDefault="00622077" w:rsidP="009970F5">
            <w:pPr>
              <w:pStyle w:val="ListParagraph"/>
              <w:numPr>
                <w:ilvl w:val="1"/>
                <w:numId w:val="58"/>
              </w:numPr>
              <w:spacing w:before="40" w:after="40"/>
              <w:rPr>
                <w:rFonts w:ascii="Arial Narrow" w:hAnsi="Arial Narrow"/>
              </w:rPr>
            </w:pPr>
            <w:proofErr w:type="gramStart"/>
            <w:r w:rsidRPr="003A495E">
              <w:rPr>
                <w:rFonts w:ascii="Arial Narrow" w:hAnsi="Arial Narrow"/>
              </w:rPr>
              <w:t>the</w:t>
            </w:r>
            <w:proofErr w:type="gramEnd"/>
            <w:r w:rsidRPr="003A495E">
              <w:rPr>
                <w:rFonts w:ascii="Arial Narrow" w:hAnsi="Arial Narrow"/>
              </w:rPr>
              <w:t xml:space="preserve"> natural history of patients with oligometastatic lung disease.</w:t>
            </w:r>
          </w:p>
          <w:p w14:paraId="5DDA7FAB" w14:textId="77777777" w:rsidR="00460360" w:rsidRDefault="00704FC3" w:rsidP="009970F5">
            <w:pPr>
              <w:pStyle w:val="ListParagraph"/>
              <w:numPr>
                <w:ilvl w:val="0"/>
                <w:numId w:val="58"/>
              </w:numPr>
              <w:spacing w:before="40" w:after="40"/>
              <w:rPr>
                <w:rFonts w:ascii="Arial Narrow" w:hAnsi="Arial Narrow"/>
              </w:rPr>
            </w:pPr>
            <w:r>
              <w:rPr>
                <w:rFonts w:ascii="Arial Narrow" w:hAnsi="Arial Narrow"/>
              </w:rPr>
              <w:t>T</w:t>
            </w:r>
            <w:r w:rsidR="008F0BF2" w:rsidRPr="008F0BF2">
              <w:rPr>
                <w:rFonts w:ascii="Arial Narrow" w:hAnsi="Arial Narrow"/>
              </w:rPr>
              <w:t xml:space="preserve">here is considerable uncertainty regarding the </w:t>
            </w:r>
            <w:r w:rsidR="00AA6DFC">
              <w:rPr>
                <w:rFonts w:ascii="Arial Narrow" w:hAnsi="Arial Narrow"/>
              </w:rPr>
              <w:t>consistency</w:t>
            </w:r>
            <w:r w:rsidR="008F0BF2" w:rsidRPr="008F0BF2">
              <w:rPr>
                <w:rFonts w:ascii="Arial Narrow" w:hAnsi="Arial Narrow"/>
              </w:rPr>
              <w:t xml:space="preserve"> </w:t>
            </w:r>
            <w:r w:rsidR="003F4B3F">
              <w:rPr>
                <w:rFonts w:ascii="Arial Narrow" w:hAnsi="Arial Narrow"/>
              </w:rPr>
              <w:t>with which reported outcomes were defined</w:t>
            </w:r>
            <w:r w:rsidR="00165793">
              <w:rPr>
                <w:rFonts w:ascii="Arial Narrow" w:hAnsi="Arial Narrow"/>
              </w:rPr>
              <w:t>,</w:t>
            </w:r>
            <w:r w:rsidR="00EA3E2D">
              <w:rPr>
                <w:rFonts w:ascii="Arial Narrow" w:hAnsi="Arial Narrow"/>
              </w:rPr>
              <w:t xml:space="preserve"> and </w:t>
            </w:r>
            <w:r w:rsidR="00B43EAA">
              <w:rPr>
                <w:rFonts w:ascii="Arial Narrow" w:hAnsi="Arial Narrow"/>
              </w:rPr>
              <w:t xml:space="preserve">the </w:t>
            </w:r>
            <w:r w:rsidR="00EA3E2D">
              <w:rPr>
                <w:rFonts w:ascii="Arial Narrow" w:hAnsi="Arial Narrow"/>
              </w:rPr>
              <w:t>time points at which outcomes were measured.</w:t>
            </w:r>
            <w:r w:rsidR="008F0BF2" w:rsidRPr="008F0BF2">
              <w:rPr>
                <w:rFonts w:ascii="Arial Narrow" w:hAnsi="Arial Narrow"/>
              </w:rPr>
              <w:t xml:space="preserve"> </w:t>
            </w:r>
          </w:p>
          <w:p w14:paraId="2260A4FB" w14:textId="77777777" w:rsidR="00622077" w:rsidRPr="008F0BF2" w:rsidRDefault="00460360" w:rsidP="009970F5">
            <w:pPr>
              <w:pStyle w:val="ListParagraph"/>
              <w:numPr>
                <w:ilvl w:val="0"/>
                <w:numId w:val="58"/>
              </w:numPr>
              <w:spacing w:before="40" w:after="200"/>
              <w:rPr>
                <w:rFonts w:ascii="Arial Narrow" w:hAnsi="Arial Narrow"/>
              </w:rPr>
            </w:pPr>
            <w:r>
              <w:rPr>
                <w:rFonts w:ascii="Arial Narrow" w:hAnsi="Arial Narrow"/>
              </w:rPr>
              <w:t xml:space="preserve">Due to the limitations in the evidence base, </w:t>
            </w:r>
            <w:r w:rsidR="008F0BF2" w:rsidRPr="008F0BF2">
              <w:rPr>
                <w:rFonts w:ascii="Arial Narrow" w:hAnsi="Arial Narrow"/>
              </w:rPr>
              <w:t xml:space="preserve">it is not appropriate to compare outcomes across studies, even within the same study populations. </w:t>
            </w:r>
          </w:p>
        </w:tc>
      </w:tr>
    </w:tbl>
    <w:p w14:paraId="4458021A" w14:textId="77777777" w:rsidR="006D2D13" w:rsidRPr="00C3368C" w:rsidRDefault="006D2D13" w:rsidP="003F6C66">
      <w:pPr>
        <w:pStyle w:val="Heading3"/>
      </w:pPr>
      <w:bookmarkStart w:id="213" w:name="_Toc460396033"/>
      <w:r w:rsidRPr="002F6CFF">
        <w:t>Risk of bias within studies included for MTA</w:t>
      </w:r>
      <w:bookmarkEnd w:id="213"/>
      <w:r w:rsidRPr="00C3368C">
        <w:t xml:space="preserve"> </w:t>
      </w:r>
    </w:p>
    <w:p w14:paraId="7F557203" w14:textId="77777777" w:rsidR="0086351A" w:rsidRPr="00E53FA6" w:rsidRDefault="0086351A" w:rsidP="00061B05">
      <w:pPr>
        <w:rPr>
          <w:b/>
        </w:rPr>
      </w:pPr>
      <w:r w:rsidRPr="00E53FA6">
        <w:rPr>
          <w:b/>
          <w:i/>
        </w:rPr>
        <w:t>Risk of bias associated with study design</w:t>
      </w:r>
    </w:p>
    <w:p w14:paraId="0C03E3BD" w14:textId="0D541BBB" w:rsidR="001B594D" w:rsidRDefault="004424F1" w:rsidP="004424F1">
      <w:r>
        <w:t>Evidence for the intervention (MTA) in population</w:t>
      </w:r>
      <w:r w:rsidR="006148A6">
        <w:t>s</w:t>
      </w:r>
      <w:r>
        <w:t xml:space="preserve"> one and two is limited to Level IV evidence (</w:t>
      </w:r>
      <w:r w:rsidR="006148A6">
        <w:t xml:space="preserve">case </w:t>
      </w:r>
      <w:r>
        <w:t>series)</w:t>
      </w:r>
      <w:r w:rsidR="009F6306">
        <w:t>,</w:t>
      </w:r>
      <w:r>
        <w:t xml:space="preserve"> </w:t>
      </w:r>
      <w:r w:rsidR="009F6306">
        <w:t xml:space="preserve">with </w:t>
      </w:r>
      <w:r>
        <w:t>small</w:t>
      </w:r>
      <w:r w:rsidR="006148A6">
        <w:t xml:space="preserve"> patient</w:t>
      </w:r>
      <w:r>
        <w:t xml:space="preserve"> numbers</w:t>
      </w:r>
      <w:r w:rsidR="009F6306">
        <w:t>,</w:t>
      </w:r>
      <w:r>
        <w:t xml:space="preserve"> </w:t>
      </w:r>
      <w:r w:rsidR="006148A6">
        <w:t xml:space="preserve">which are </w:t>
      </w:r>
      <w:r>
        <w:t xml:space="preserve">largely retrospective in </w:t>
      </w:r>
      <w:r w:rsidR="006148A6">
        <w:t>design</w:t>
      </w:r>
      <w:r w:rsidR="00DF5EB1">
        <w:t xml:space="preserve"> </w:t>
      </w:r>
      <w:r w:rsidR="00D82F1D">
        <w:fldChar w:fldCharType="begin">
          <w:fldData xml:space="preserve">cz4xMjc5LTg2PC9wYWdlcz48dm9sdW1lPjIyPC92b2x1bWU+PG51bWJlcj45PC9udW1iZXI+PGVk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</w:fldData>
        </w:fldChar>
      </w:r>
      <w:r w:rsidR="00A07D80">
        <w:instrText xml:space="preserve"> ADDIN EN.CITE </w:instrText>
      </w:r>
      <w:r w:rsidR="00A07D80">
        <w:fldChar w:fldCharType="begin">
          <w:fldData xml:space="preserve">PEVuZE5vdGU+PENpdGU+PEF1dGhvcj5BbGV4YW5kZXI8L0F1dGhvcj48WWVhcj4yMDEzPC9ZZWFy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==
</w:fldData>
        </w:fldChar>
      </w:r>
      <w:r w:rsidR="00A07D80">
        <w:instrText xml:space="preserve"> ADDIN EN.CITE.DATA </w:instrText>
      </w:r>
      <w:r w:rsidR="00A07D80">
        <w:fldChar w:fldCharType="end"/>
      </w:r>
      <w:r w:rsidR="00A07D80">
        <w:fldChar w:fldCharType="begin">
          <w:fldData xml:space="preserve">cz4xMjc5LTg2PC9wYWdlcz48dm9sdW1lPjIyPC92b2x1bWU+PG51bWJlcj45PC9udW1iZXI+PGVk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</w:fldData>
        </w:fldChar>
      </w:r>
      <w:r w:rsidR="00A07D80">
        <w:instrText xml:space="preserve"> ADDIN EN.CITE.DATA </w:instrText>
      </w:r>
      <w:r w:rsidR="00A07D80">
        <w:fldChar w:fldCharType="end"/>
      </w:r>
      <w:r w:rsidR="00D82F1D">
        <w:fldChar w:fldCharType="separate"/>
      </w:r>
      <w:r w:rsidR="00A07D80">
        <w:rPr>
          <w:noProof/>
        </w:rPr>
        <w:t>(</w:t>
      </w:r>
      <w:hyperlink w:anchor="_ENREF_3" w:tooltip="Alexander, 2013 #102" w:history="1">
        <w:r w:rsidR="00320458">
          <w:rPr>
            <w:noProof/>
          </w:rPr>
          <w:t>Alexander et al 2013a</w:t>
        </w:r>
      </w:hyperlink>
      <w:r w:rsidR="00A07D80">
        <w:rPr>
          <w:noProof/>
        </w:rPr>
        <w:t xml:space="preserve">; </w:t>
      </w:r>
      <w:hyperlink w:anchor="_ENREF_19" w:tooltip="Belfiore, 2013 #103" w:history="1">
        <w:r w:rsidR="00320458">
          <w:rPr>
            <w:noProof/>
          </w:rPr>
          <w:t>Belfiore et al 2013</w:t>
        </w:r>
      </w:hyperlink>
      <w:r w:rsidR="00A07D80">
        <w:rPr>
          <w:noProof/>
        </w:rPr>
        <w:t xml:space="preserve">; </w:t>
      </w:r>
      <w:hyperlink w:anchor="_ENREF_27" w:tooltip="Carrafiello, 2012 #104" w:history="1">
        <w:r w:rsidR="00320458">
          <w:rPr>
            <w:noProof/>
          </w:rPr>
          <w:t>Carrafiello et al 2012</w:t>
        </w:r>
      </w:hyperlink>
      <w:r w:rsidR="00A07D80">
        <w:rPr>
          <w:noProof/>
        </w:rPr>
        <w:t xml:space="preserve">; </w:t>
      </w:r>
      <w:hyperlink w:anchor="_ENREF_28" w:tooltip="Carrafiello, 2014 #105" w:history="1">
        <w:r w:rsidR="00320458">
          <w:rPr>
            <w:noProof/>
          </w:rPr>
          <w:t>Carrafiello et al 2014</w:t>
        </w:r>
      </w:hyperlink>
      <w:r w:rsidR="00A07D80">
        <w:rPr>
          <w:noProof/>
        </w:rPr>
        <w:t xml:space="preserve">; </w:t>
      </w:r>
      <w:hyperlink w:anchor="_ENREF_32" w:tooltip="Chung, 2014 #106" w:history="1">
        <w:r w:rsidR="00320458">
          <w:rPr>
            <w:noProof/>
          </w:rPr>
          <w:t>Chung et al 2014</w:t>
        </w:r>
      </w:hyperlink>
      <w:r w:rsidR="00A07D80">
        <w:rPr>
          <w:noProof/>
        </w:rPr>
        <w:t xml:space="preserve">; </w:t>
      </w:r>
      <w:hyperlink w:anchor="_ENREF_47" w:tooltip="Egashira, 2016 #107" w:history="1">
        <w:r w:rsidR="00320458">
          <w:rPr>
            <w:noProof/>
          </w:rPr>
          <w:t>Egashira et al 2016</w:t>
        </w:r>
      </w:hyperlink>
      <w:r w:rsidR="00A07D80">
        <w:rPr>
          <w:noProof/>
        </w:rPr>
        <w:t xml:space="preserve">; </w:t>
      </w:r>
      <w:hyperlink w:anchor="_ENREF_65" w:tooltip="He, 2006 #108" w:history="1">
        <w:r w:rsidR="00320458">
          <w:rPr>
            <w:noProof/>
          </w:rPr>
          <w:t>He et al 2006b</w:t>
        </w:r>
      </w:hyperlink>
      <w:r w:rsidR="00A07D80">
        <w:rPr>
          <w:noProof/>
        </w:rPr>
        <w:t xml:space="preserve">; </w:t>
      </w:r>
      <w:hyperlink w:anchor="_ENREF_92" w:tooltip="Little, 2013 #109" w:history="1">
        <w:r w:rsidR="00320458">
          <w:rPr>
            <w:noProof/>
          </w:rPr>
          <w:t>Little et al 2013</w:t>
        </w:r>
      </w:hyperlink>
      <w:r w:rsidR="00A07D80">
        <w:rPr>
          <w:noProof/>
        </w:rPr>
        <w:t xml:space="preserve">; </w:t>
      </w:r>
      <w:hyperlink w:anchor="_ENREF_96" w:tooltip="Lu, 2012 #110" w:history="1">
        <w:r w:rsidR="00320458">
          <w:rPr>
            <w:noProof/>
          </w:rPr>
          <w:t>Lu et al 2012a</w:t>
        </w:r>
      </w:hyperlink>
      <w:r w:rsidR="00A07D80">
        <w:rPr>
          <w:noProof/>
        </w:rPr>
        <w:t xml:space="preserve">; </w:t>
      </w:r>
      <w:hyperlink w:anchor="_ENREF_114" w:tooltip="Nour-Eldin, 2011 #111" w:history="1">
        <w:r w:rsidR="00320458">
          <w:rPr>
            <w:noProof/>
          </w:rPr>
          <w:t>Nour-Eldin et al 2011</w:t>
        </w:r>
      </w:hyperlink>
      <w:r w:rsidR="00A07D80">
        <w:rPr>
          <w:noProof/>
        </w:rPr>
        <w:t xml:space="preserve">; </w:t>
      </w:r>
      <w:hyperlink w:anchor="_ENREF_147" w:tooltip="Splatt, 2015 #112" w:history="1">
        <w:r w:rsidR="00320458">
          <w:rPr>
            <w:noProof/>
          </w:rPr>
          <w:t>Splatt and Steinke 2015</w:t>
        </w:r>
      </w:hyperlink>
      <w:r w:rsidR="00A07D80">
        <w:rPr>
          <w:noProof/>
        </w:rPr>
        <w:t xml:space="preserve">; </w:t>
      </w:r>
      <w:hyperlink w:anchor="_ENREF_150" w:tooltip="Sun, 2015 #113" w:history="1">
        <w:r w:rsidR="00320458">
          <w:rPr>
            <w:noProof/>
          </w:rPr>
          <w:t>Sun et al 2015b</w:t>
        </w:r>
      </w:hyperlink>
      <w:r w:rsidR="00A07D80">
        <w:rPr>
          <w:noProof/>
        </w:rPr>
        <w:t xml:space="preserve">; </w:t>
      </w:r>
      <w:hyperlink w:anchor="_ENREF_168" w:tooltip="Vogl, 2013 #114" w:history="1">
        <w:r w:rsidR="00320458">
          <w:rPr>
            <w:noProof/>
          </w:rPr>
          <w:t>Vogl et al 2013</w:t>
        </w:r>
      </w:hyperlink>
      <w:r w:rsidR="00A07D80">
        <w:rPr>
          <w:noProof/>
        </w:rPr>
        <w:t xml:space="preserve">; </w:t>
      </w:r>
      <w:hyperlink w:anchor="_ENREF_172" w:tooltip="Wolf, 2008 #115" w:history="1">
        <w:r w:rsidR="00320458">
          <w:rPr>
            <w:noProof/>
          </w:rPr>
          <w:t>Wolf et al 2008</w:t>
        </w:r>
      </w:hyperlink>
      <w:r w:rsidR="00A07D80">
        <w:rPr>
          <w:noProof/>
        </w:rPr>
        <w:t xml:space="preserve">; </w:t>
      </w:r>
      <w:hyperlink w:anchor="_ENREF_175" w:tooltip="Yang, 2015 #116" w:history="1">
        <w:r w:rsidR="00320458">
          <w:rPr>
            <w:noProof/>
          </w:rPr>
          <w:t>Yang et al 2015</w:t>
        </w:r>
      </w:hyperlink>
      <w:r w:rsidR="00A07D80">
        <w:rPr>
          <w:noProof/>
        </w:rPr>
        <w:t xml:space="preserve">; </w:t>
      </w:r>
      <w:hyperlink w:anchor="_ENREF_181" w:tooltip="Zheng, 2014 #117" w:history="1">
        <w:r w:rsidR="00320458">
          <w:rPr>
            <w:noProof/>
          </w:rPr>
          <w:t>Zheng et al 2014</w:t>
        </w:r>
      </w:hyperlink>
      <w:r w:rsidR="00A07D80">
        <w:rPr>
          <w:noProof/>
        </w:rPr>
        <w:t>)</w:t>
      </w:r>
      <w:r w:rsidR="00D82F1D">
        <w:fldChar w:fldCharType="end"/>
      </w:r>
      <w:r w:rsidR="00DF5EB1">
        <w:t xml:space="preserve">. </w:t>
      </w:r>
      <w:r w:rsidR="008A6F37">
        <w:t>Two Level III-2 non-randomised comparative trials were identified in population three</w:t>
      </w:r>
      <w:r w:rsidR="00D82F1D">
        <w:t xml:space="preserve"> </w:t>
      </w:r>
      <w:r w:rsidR="00D82F1D">
        <w:fldChar w:fldCharType="begin">
          <w:fldData xml:space="preserve">PEVuZE5vdGU+PENpdGU+PEF1dGhvcj5TdW48L0F1dGhvcj48WWVhcj4yMDE1PC9ZZWFyPjxSZWNO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==
</w:fldData>
        </w:fldChar>
      </w:r>
      <w:r w:rsidR="00194054">
        <w:instrText xml:space="preserve"> ADDIN EN.CITE </w:instrText>
      </w:r>
      <w:r w:rsidR="00194054">
        <w:fldChar w:fldCharType="begin">
          <w:fldData xml:space="preserve">PEVuZE5vdGU+PENpdGU+PEF1dGhvcj5TdW48L0F1dGhvcj48WWVhcj4yMDE1PC9ZZWFyPjxSZWNO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==
</w:fldData>
        </w:fldChar>
      </w:r>
      <w:r w:rsidR="00194054">
        <w:instrText xml:space="preserve"> ADDIN EN.CITE.DATA </w:instrText>
      </w:r>
      <w:r w:rsidR="00194054">
        <w:fldChar w:fldCharType="end"/>
      </w:r>
      <w:r w:rsidR="00D82F1D">
        <w:fldChar w:fldCharType="separate"/>
      </w:r>
      <w:r w:rsidR="00D82F1D">
        <w:rPr>
          <w:noProof/>
        </w:rPr>
        <w:t>(</w:t>
      </w:r>
      <w:hyperlink w:anchor="_ENREF_149" w:tooltip="Sun, 2015 #97" w:history="1">
        <w:r w:rsidR="00320458">
          <w:rPr>
            <w:noProof/>
          </w:rPr>
          <w:t>Sun et al 2015a</w:t>
        </w:r>
      </w:hyperlink>
      <w:r w:rsidR="00D82F1D">
        <w:rPr>
          <w:noProof/>
        </w:rPr>
        <w:t xml:space="preserve">; </w:t>
      </w:r>
      <w:hyperlink w:anchor="_ENREF_170" w:tooltip="Wei, 2015 #99" w:history="1">
        <w:r w:rsidR="00320458">
          <w:rPr>
            <w:noProof/>
          </w:rPr>
          <w:t>Wei et al 2015</w:t>
        </w:r>
      </w:hyperlink>
      <w:r w:rsidR="00D82F1D">
        <w:rPr>
          <w:noProof/>
        </w:rPr>
        <w:t>)</w:t>
      </w:r>
      <w:r w:rsidR="00D82F1D">
        <w:fldChar w:fldCharType="end"/>
      </w:r>
      <w:r w:rsidR="008A6F37">
        <w:t xml:space="preserve">; however, these studies did not report the primary effectiveness outcomes relating to quality of life or symptom control. </w:t>
      </w:r>
      <w:r w:rsidR="006F17DE">
        <w:t xml:space="preserve">The evidence base is largely comprised of Level IV evidence, which prohibits any inference on the effect of the </w:t>
      </w:r>
      <w:r w:rsidR="001D5A01">
        <w:t>intervention</w:t>
      </w:r>
      <w:r w:rsidR="006F17DE">
        <w:t xml:space="preserve"> as no data is available for comparison with other interventions</w:t>
      </w:r>
      <w:r w:rsidR="008A5A14">
        <w:t xml:space="preserve">. </w:t>
      </w:r>
      <w:r w:rsidR="006F17DE">
        <w:t xml:space="preserve">Furthermore, the lack of concurrent or historical comparison groups within studies raises concerns in comparing across Level IV studies of different interventions as the study populations may differ in the distribution of prognostic factors that could affect </w:t>
      </w:r>
      <w:r w:rsidR="009D2A9D">
        <w:t xml:space="preserve">study </w:t>
      </w:r>
      <w:r w:rsidR="006F17DE">
        <w:t>outcomes</w:t>
      </w:r>
      <w:r w:rsidR="0059043C">
        <w:t xml:space="preserve">. </w:t>
      </w:r>
      <w:r w:rsidR="001B594D">
        <w:t xml:space="preserve">The </w:t>
      </w:r>
      <w:r w:rsidR="00CE470F">
        <w:t>L</w:t>
      </w:r>
      <w:r w:rsidR="001B594D">
        <w:t xml:space="preserve">evel IV studies included within this report were appraised individually using the </w:t>
      </w:r>
      <w:r w:rsidR="001B594D" w:rsidRPr="001B594D">
        <w:t xml:space="preserve">‘Quality Appraisal Checklist for Case Series Studies’ developed by the Institute of Health Economics </w:t>
      </w:r>
      <w:r w:rsidR="00DF5EB1">
        <w:fldChar w:fldCharType="begin">
          <w:fldData xml:space="preserve">PEVuZE5vdGU+PENpdGU+PEF1dGhvcj5HdW88L0F1dGhvcj48WWVhcj4yMDE2PC9ZZWFyPjxSZWNO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</w:fldData>
        </w:fldChar>
      </w:r>
      <w:r w:rsidR="00194054">
        <w:instrText xml:space="preserve"> ADDIN EN.CITE </w:instrText>
      </w:r>
      <w:r w:rsidR="00194054">
        <w:fldChar w:fldCharType="begin">
          <w:fldData xml:space="preserve">PEVuZE5vdGU+PENpdGU+PEF1dGhvcj5HdW88L0F1dGhvcj48WWVhcj4yMDE2PC9ZZWFyPjxSZWNO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</w:fldData>
        </w:fldChar>
      </w:r>
      <w:r w:rsidR="00194054">
        <w:instrText xml:space="preserve"> ADDIN EN.CITE.DATA </w:instrText>
      </w:r>
      <w:r w:rsidR="00194054">
        <w:fldChar w:fldCharType="end"/>
      </w:r>
      <w:r w:rsidR="00DF5EB1">
        <w:fldChar w:fldCharType="separate"/>
      </w:r>
      <w:r w:rsidR="00DF5EB1">
        <w:rPr>
          <w:noProof/>
        </w:rPr>
        <w:t>(</w:t>
      </w:r>
      <w:hyperlink w:anchor="_ENREF_61" w:tooltip="Guo, 2016 #76" w:history="1">
        <w:r w:rsidR="00320458">
          <w:rPr>
            <w:noProof/>
          </w:rPr>
          <w:t>Guo et al 2016</w:t>
        </w:r>
      </w:hyperlink>
      <w:r w:rsidR="00DF5EB1">
        <w:rPr>
          <w:noProof/>
        </w:rPr>
        <w:t>)</w:t>
      </w:r>
      <w:r w:rsidR="00DF5EB1">
        <w:fldChar w:fldCharType="end"/>
      </w:r>
      <w:r w:rsidR="001B594D">
        <w:t xml:space="preserve">. All but one </w:t>
      </w:r>
      <w:r w:rsidR="005E6DAB">
        <w:t>study</w:t>
      </w:r>
      <w:r w:rsidR="006F17DE">
        <w:t xml:space="preserve"> were</w:t>
      </w:r>
      <w:r w:rsidR="001B594D">
        <w:t xml:space="preserve"> retrospective in design and reporting was of variable quality. </w:t>
      </w:r>
      <w:r w:rsidR="00EF16A6">
        <w:t xml:space="preserve">Some key issues </w:t>
      </w:r>
      <w:r w:rsidR="004D10F1">
        <w:t xml:space="preserve">regarding bias </w:t>
      </w:r>
      <w:r w:rsidR="007C6179">
        <w:t xml:space="preserve">are summarised in </w:t>
      </w:r>
      <w:r w:rsidR="007C6179">
        <w:fldChar w:fldCharType="begin"/>
      </w:r>
      <w:r w:rsidR="007C6179">
        <w:instrText xml:space="preserve"> REF _Ref460431514 \h </w:instrText>
      </w:r>
      <w:r w:rsidR="007C6179">
        <w:fldChar w:fldCharType="separate"/>
      </w:r>
      <w:r w:rsidR="00D170A5">
        <w:t xml:space="preserve">Table </w:t>
      </w:r>
      <w:r w:rsidR="00D170A5">
        <w:rPr>
          <w:noProof/>
        </w:rPr>
        <w:t>18</w:t>
      </w:r>
      <w:r w:rsidR="007C6179">
        <w:fldChar w:fldCharType="end"/>
      </w:r>
      <w:r w:rsidR="001D5A01">
        <w:t xml:space="preserve">, in which </w:t>
      </w:r>
      <w:r w:rsidR="004D10F1">
        <w:t xml:space="preserve">the </w:t>
      </w:r>
      <w:r w:rsidR="000E5354">
        <w:t xml:space="preserve">studies are grouped </w:t>
      </w:r>
      <w:r w:rsidR="002F6CFF">
        <w:t xml:space="preserve">according to the population that they inform. </w:t>
      </w:r>
    </w:p>
    <w:p w14:paraId="0C448CE0" w14:textId="77777777" w:rsidR="00333D71" w:rsidRPr="00E53FA6" w:rsidRDefault="00333D71" w:rsidP="00915948">
      <w:pPr>
        <w:spacing w:before="300"/>
        <w:rPr>
          <w:b/>
          <w:i/>
        </w:rPr>
      </w:pPr>
      <w:r w:rsidRPr="00E53FA6">
        <w:rPr>
          <w:b/>
          <w:i/>
        </w:rPr>
        <w:lastRenderedPageBreak/>
        <w:t>Selection bias</w:t>
      </w:r>
    </w:p>
    <w:p w14:paraId="3CDD1E3B" w14:textId="77777777" w:rsidR="00333D71" w:rsidRDefault="00A01866" w:rsidP="004424F1">
      <w:r>
        <w:t>Inherent in the case series study design is risk of selection bias. In studies where it is unclear how patients were selected for the intervention and whether cases were included consecutively, there may be issues with selection bias</w:t>
      </w:r>
      <w:r w:rsidR="00333D71">
        <w:t xml:space="preserve">. </w:t>
      </w:r>
      <w:r w:rsidR="00A7221B">
        <w:t xml:space="preserve">Most of the included studies reported both inclusion and exclusion criteria. However, it was </w:t>
      </w:r>
      <w:r w:rsidR="009F7F14">
        <w:t>usually</w:t>
      </w:r>
      <w:r w:rsidR="00A7221B">
        <w:t xml:space="preserve"> unclear </w:t>
      </w:r>
      <w:r w:rsidR="004D10F1">
        <w:t xml:space="preserve">whether </w:t>
      </w:r>
      <w:r w:rsidR="00A7221B">
        <w:t xml:space="preserve">patient </w:t>
      </w:r>
      <w:r w:rsidR="004D10F1">
        <w:t xml:space="preserve">enrolment was </w:t>
      </w:r>
      <w:r w:rsidR="00A7221B">
        <w:t>consecutive or not. Subtle differences in inclusion criteria</w:t>
      </w:r>
      <w:r>
        <w:t xml:space="preserve"> exist,</w:t>
      </w:r>
      <w:r w:rsidR="00A7221B">
        <w:t xml:space="preserve"> such as limitations on lesion size</w:t>
      </w:r>
      <w:r>
        <w:t>,</w:t>
      </w:r>
      <w:r w:rsidR="004D10F1">
        <w:t xml:space="preserve"> and</w:t>
      </w:r>
      <w:r w:rsidR="00A7221B">
        <w:t xml:space="preserve"> may have a prognostic impact </w:t>
      </w:r>
      <w:r w:rsidR="004D10F1">
        <w:t>affecting</w:t>
      </w:r>
      <w:r w:rsidR="00781354">
        <w:t xml:space="preserve"> </w:t>
      </w:r>
      <w:r w:rsidR="00A7221B">
        <w:t xml:space="preserve">the outcomes of patients and therefore </w:t>
      </w:r>
      <w:r w:rsidR="004D10F1">
        <w:t>the study</w:t>
      </w:r>
      <w:r w:rsidR="00781354">
        <w:t xml:space="preserve"> </w:t>
      </w:r>
      <w:r w:rsidR="00A7221B">
        <w:t xml:space="preserve">conclusions. </w:t>
      </w:r>
      <w:r w:rsidR="0001015A">
        <w:t xml:space="preserve">In general, studies </w:t>
      </w:r>
      <w:r w:rsidR="00A7221B">
        <w:t>did not adjust for potential confounders.</w:t>
      </w:r>
    </w:p>
    <w:p w14:paraId="09DD8166" w14:textId="77777777" w:rsidR="002F6CFF" w:rsidRPr="00E53FA6" w:rsidRDefault="00A7221B" w:rsidP="00915948">
      <w:pPr>
        <w:spacing w:before="300"/>
        <w:rPr>
          <w:b/>
          <w:i/>
        </w:rPr>
      </w:pPr>
      <w:r w:rsidRPr="00E53FA6">
        <w:rPr>
          <w:b/>
          <w:i/>
        </w:rPr>
        <w:t xml:space="preserve">Performance </w:t>
      </w:r>
      <w:r w:rsidR="00627389" w:rsidRPr="00E53FA6">
        <w:rPr>
          <w:b/>
          <w:i/>
        </w:rPr>
        <w:t>bias and detection bias</w:t>
      </w:r>
    </w:p>
    <w:p w14:paraId="11B9CFDE" w14:textId="77777777" w:rsidR="00A7221B" w:rsidRDefault="00A7221B" w:rsidP="004424F1">
      <w:r>
        <w:t>In terms of outcome measures such as overall survival</w:t>
      </w:r>
      <w:r w:rsidR="00627389">
        <w:t>, although the outcome is dichotomous in nature</w:t>
      </w:r>
      <w:r w:rsidR="000950E6">
        <w:t>,</w:t>
      </w:r>
      <w:r w:rsidR="00627389">
        <w:t xml:space="preserve"> issues of performance bias may still be introduced in terms of co-interventions or post ablation therapies. The majority of the included studies are not explicit about treatments received post ablation. </w:t>
      </w:r>
      <w:r w:rsidR="0001015A">
        <w:t>I</w:t>
      </w:r>
      <w:r w:rsidR="00627389">
        <w:t xml:space="preserve">t is unclear whether other therapies may also have been delivered that could </w:t>
      </w:r>
      <w:r w:rsidR="0001015A">
        <w:t xml:space="preserve">influence </w:t>
      </w:r>
      <w:r w:rsidR="00627389">
        <w:t>patient survival. Similarly, in terms of follow-up CT results</w:t>
      </w:r>
      <w:r w:rsidR="0001015A">
        <w:t>,</w:t>
      </w:r>
      <w:r w:rsidR="00627389">
        <w:t xml:space="preserve"> there is potential for detection bias </w:t>
      </w:r>
      <w:r w:rsidR="0001015A">
        <w:t xml:space="preserve">as </w:t>
      </w:r>
      <w:r w:rsidR="00627389">
        <w:t>neither patients nor outcome assessors where blinded. This also applies</w:t>
      </w:r>
      <w:r w:rsidR="00370E49">
        <w:t xml:space="preserve"> to</w:t>
      </w:r>
      <w:r w:rsidR="00627389">
        <w:t xml:space="preserve"> the two </w:t>
      </w:r>
      <w:r w:rsidR="00CE470F">
        <w:t>L</w:t>
      </w:r>
      <w:r w:rsidR="00627389">
        <w:t xml:space="preserve">evel III-2 studies in population </w:t>
      </w:r>
      <w:r w:rsidR="0001015A">
        <w:t>three</w:t>
      </w:r>
      <w:r w:rsidR="00627389">
        <w:t xml:space="preserve">. </w:t>
      </w:r>
    </w:p>
    <w:p w14:paraId="206838C3" w14:textId="72715663" w:rsidR="00627389" w:rsidRPr="00E53FA6" w:rsidRDefault="00627389" w:rsidP="00915948">
      <w:pPr>
        <w:spacing w:before="20"/>
        <w:rPr>
          <w:b/>
          <w:i/>
        </w:rPr>
      </w:pPr>
      <w:r w:rsidRPr="00E53FA6">
        <w:rPr>
          <w:b/>
          <w:i/>
        </w:rPr>
        <w:t>Attrition bias and reporting bias</w:t>
      </w:r>
    </w:p>
    <w:p w14:paraId="595664C2" w14:textId="77777777" w:rsidR="00627389" w:rsidRPr="00627389" w:rsidRDefault="00627389" w:rsidP="004424F1">
      <w:r>
        <w:t xml:space="preserve">In general it is not clear within </w:t>
      </w:r>
      <w:r w:rsidR="000950E6">
        <w:t xml:space="preserve">retrospective </w:t>
      </w:r>
      <w:r>
        <w:t xml:space="preserve">case series studies whether certain outcomes </w:t>
      </w:r>
      <w:r w:rsidR="00370E49">
        <w:t>were omitted</w:t>
      </w:r>
      <w:r>
        <w:t xml:space="preserve"> because they were not collected, or because they </w:t>
      </w:r>
      <w:r w:rsidR="000950E6">
        <w:t xml:space="preserve">were </w:t>
      </w:r>
      <w:r>
        <w:t>incomplete. Reporting of outcomes across the case series</w:t>
      </w:r>
      <w:r w:rsidR="005E735E">
        <w:t xml:space="preserve"> evidence was not comprehensive and </w:t>
      </w:r>
      <w:r w:rsidR="000950E6">
        <w:t>approach</w:t>
      </w:r>
      <w:r w:rsidR="0001015A">
        <w:t xml:space="preserve"> to</w:t>
      </w:r>
      <w:r w:rsidR="000950E6">
        <w:t xml:space="preserve"> </w:t>
      </w:r>
      <w:r w:rsidR="005E735E">
        <w:t xml:space="preserve">losses to follow-up was often unclear. </w:t>
      </w:r>
    </w:p>
    <w:p w14:paraId="62645119" w14:textId="77777777" w:rsidR="006D2D13" w:rsidRPr="00E53FA6" w:rsidRDefault="006D2D13" w:rsidP="00915948">
      <w:pPr>
        <w:spacing w:before="300"/>
        <w:rPr>
          <w:b/>
          <w:i/>
        </w:rPr>
      </w:pPr>
      <w:r w:rsidRPr="00E53FA6">
        <w:rPr>
          <w:b/>
          <w:i/>
        </w:rPr>
        <w:t>Populations</w:t>
      </w:r>
    </w:p>
    <w:p w14:paraId="3D881821" w14:textId="77777777" w:rsidR="006D2D13" w:rsidRDefault="006D2D13" w:rsidP="004424F1">
      <w:r>
        <w:t xml:space="preserve">Study populations are discussed in more detail in </w:t>
      </w:r>
      <w:r w:rsidR="008C26C4">
        <w:t xml:space="preserve">Section </w:t>
      </w:r>
      <w:r>
        <w:t xml:space="preserve">B.4 of the report. </w:t>
      </w:r>
    </w:p>
    <w:p w14:paraId="291280FB" w14:textId="77777777" w:rsidR="0086351A" w:rsidRPr="00E53FA6" w:rsidRDefault="0086351A" w:rsidP="00915948">
      <w:pPr>
        <w:spacing w:before="300"/>
        <w:rPr>
          <w:b/>
          <w:i/>
        </w:rPr>
      </w:pPr>
      <w:r w:rsidRPr="00E53FA6">
        <w:rPr>
          <w:b/>
          <w:i/>
        </w:rPr>
        <w:t xml:space="preserve">Risk of bias across the </w:t>
      </w:r>
      <w:r w:rsidR="00370E49" w:rsidRPr="00E53FA6">
        <w:rPr>
          <w:b/>
          <w:i/>
        </w:rPr>
        <w:t>reporting of outcomes</w:t>
      </w:r>
    </w:p>
    <w:p w14:paraId="45EAF29A" w14:textId="42F37B8B" w:rsidR="00CB0C7C" w:rsidRDefault="001B594D" w:rsidP="004424F1">
      <w:r>
        <w:t>T</w:t>
      </w:r>
      <w:r w:rsidR="0059043C">
        <w:t>he available evidence is inconsistent</w:t>
      </w:r>
      <w:r w:rsidR="00CB0C7C">
        <w:t>—</w:t>
      </w:r>
      <w:r w:rsidR="0059043C">
        <w:t>both in terms of which outcomes were measured and how they were assesse</w:t>
      </w:r>
      <w:r>
        <w:t>d and reported within studies.</w:t>
      </w:r>
      <w:r w:rsidR="007A0EB7">
        <w:t xml:space="preserve"> This affects the quality of the studies when assessed using validated tools.</w:t>
      </w:r>
      <w:r>
        <w:t xml:space="preserve"> </w:t>
      </w:r>
      <w:r w:rsidR="0059043C">
        <w:t>For example, time to progression or recurrence was variably reported and measured</w:t>
      </w:r>
      <w:r w:rsidR="009B68EC">
        <w:t>. I</w:t>
      </w:r>
      <w:r w:rsidR="0059043C">
        <w:t xml:space="preserve">n one study this could be defined as: </w:t>
      </w:r>
      <w:r w:rsidR="0059043C" w:rsidRPr="0059043C">
        <w:rPr>
          <w:i/>
        </w:rPr>
        <w:t>a focal enhancement at the ablation site or enlargement of the ablated tumour after a series of shrinkage was considered local recurrence if technical success had been confirmed</w:t>
      </w:r>
      <w:r w:rsidR="000950E6">
        <w:rPr>
          <w:i/>
        </w:rPr>
        <w:t xml:space="preserve"> </w:t>
      </w:r>
      <w:r w:rsidR="00DF5EB1">
        <w:fldChar w:fldCharType="begin">
          <w:fldData xml:space="preserve">PEVuZE5vdGU+PENpdGU+PEF1dGhvcj5IYW48L0F1dGhvcj48WWVhcj4yMDE1PC9ZZWFyPjxSZWNO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</w:fldData>
        </w:fldChar>
      </w:r>
      <w:r w:rsidR="00194054">
        <w:instrText xml:space="preserve"> ADDIN EN.CITE </w:instrText>
      </w:r>
      <w:r w:rsidR="00194054">
        <w:fldChar w:fldCharType="begin">
          <w:fldData xml:space="preserve">PEVuZE5vdGU+PENpdGU+PEF1dGhvcj5IYW48L0F1dGhvcj48WWVhcj4yMDE1PC9ZZWFyPjxSZWNO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</w:fldData>
        </w:fldChar>
      </w:r>
      <w:r w:rsidR="00194054">
        <w:instrText xml:space="preserve"> ADDIN EN.CITE.DATA </w:instrText>
      </w:r>
      <w:r w:rsidR="00194054">
        <w:fldChar w:fldCharType="end"/>
      </w:r>
      <w:r w:rsidR="00DF5EB1">
        <w:fldChar w:fldCharType="separate"/>
      </w:r>
      <w:r w:rsidR="00DF5EB1">
        <w:rPr>
          <w:noProof/>
        </w:rPr>
        <w:t>(</w:t>
      </w:r>
      <w:hyperlink w:anchor="_ENREF_63" w:tooltip="Han, 2015 #93" w:history="1">
        <w:r w:rsidR="00320458">
          <w:rPr>
            <w:noProof/>
          </w:rPr>
          <w:t>Han et al 2015</w:t>
        </w:r>
      </w:hyperlink>
      <w:r w:rsidR="00DF5EB1">
        <w:rPr>
          <w:noProof/>
        </w:rPr>
        <w:t>)</w:t>
      </w:r>
      <w:r w:rsidR="00DF5EB1">
        <w:fldChar w:fldCharType="end"/>
      </w:r>
      <w:r w:rsidR="009B68EC">
        <w:t>,</w:t>
      </w:r>
      <w:r w:rsidR="0059043C" w:rsidRPr="00EF16A6">
        <w:t xml:space="preserve"> </w:t>
      </w:r>
      <w:r w:rsidR="0059043C">
        <w:t>or simply as</w:t>
      </w:r>
      <w:r w:rsidR="0059043C" w:rsidRPr="0059043C">
        <w:t xml:space="preserve"> </w:t>
      </w:r>
      <w:r w:rsidR="0059043C" w:rsidRPr="0059043C">
        <w:rPr>
          <w:i/>
        </w:rPr>
        <w:t>the contrast‐enhancement by CT scans in the site of ablation</w:t>
      </w:r>
      <w:r w:rsidR="0059043C">
        <w:t xml:space="preserve"> </w:t>
      </w:r>
      <w:r w:rsidR="009B68EC">
        <w:t xml:space="preserve">in another </w:t>
      </w:r>
      <w:r w:rsidR="00DF5EB1">
        <w:fldChar w:fldCharType="begin">
          <w:fldData xml:space="preserve">PEVuZE5vdGU+PENpdGU+PEF1dGhvcj5ZYW5nPC9BdXRob3I+PFllYXI+MjAxNDwvWWVhcj48UmVj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</w:fldData>
        </w:fldChar>
      </w:r>
      <w:r w:rsidR="00194054">
        <w:instrText xml:space="preserve"> ADDIN EN.CITE </w:instrText>
      </w:r>
      <w:r w:rsidR="00194054">
        <w:fldChar w:fldCharType="begin">
          <w:fldData xml:space="preserve">PEVuZE5vdGU+PENpdGU+PEF1dGhvcj5ZYW5nPC9BdXRob3I+PFllYXI+MjAxNDwvWWVhcj48UmVj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</w:fldData>
        </w:fldChar>
      </w:r>
      <w:r w:rsidR="00194054">
        <w:instrText xml:space="preserve"> ADDIN EN.CITE.DATA </w:instrText>
      </w:r>
      <w:r w:rsidR="00194054">
        <w:fldChar w:fldCharType="end"/>
      </w:r>
      <w:r w:rsidR="00DF5EB1">
        <w:fldChar w:fldCharType="separate"/>
      </w:r>
      <w:r w:rsidR="00DF5EB1">
        <w:rPr>
          <w:noProof/>
        </w:rPr>
        <w:t>(</w:t>
      </w:r>
      <w:hyperlink w:anchor="_ENREF_174" w:tooltip="Yang, 2014 #101" w:history="1">
        <w:r w:rsidR="00320458">
          <w:rPr>
            <w:noProof/>
          </w:rPr>
          <w:t>Yang et al 2014</w:t>
        </w:r>
      </w:hyperlink>
      <w:r w:rsidR="00DF5EB1">
        <w:rPr>
          <w:noProof/>
        </w:rPr>
        <w:t>)</w:t>
      </w:r>
      <w:r w:rsidR="00DF5EB1">
        <w:fldChar w:fldCharType="end"/>
      </w:r>
      <w:r w:rsidR="00EF16A6">
        <w:t>.</w:t>
      </w:r>
      <w:r w:rsidR="0059043C">
        <w:t xml:space="preserve"> In this instance, it could be expected that the more liberal defini</w:t>
      </w:r>
      <w:r w:rsidR="00EF16A6">
        <w:t>tion applied by Yang et al (2014</w:t>
      </w:r>
      <w:r w:rsidR="0059043C">
        <w:t xml:space="preserve">) would be associated with poorer median </w:t>
      </w:r>
      <w:r w:rsidR="0059043C">
        <w:lastRenderedPageBreak/>
        <w:t xml:space="preserve">time to progression. </w:t>
      </w:r>
      <w:r w:rsidR="00CB0C7C">
        <w:t>I</w:t>
      </w:r>
      <w:r w:rsidR="0059043C">
        <w:t>n actuality</w:t>
      </w:r>
      <w:r w:rsidR="00CB0C7C">
        <w:t>,</w:t>
      </w:r>
      <w:r w:rsidR="0059043C">
        <w:t xml:space="preserve"> this is further complicated by </w:t>
      </w:r>
      <w:r w:rsidR="006B33E4">
        <w:t>results indicating</w:t>
      </w:r>
      <w:r w:rsidR="0059043C">
        <w:t xml:space="preserve"> details </w:t>
      </w:r>
      <w:r w:rsidR="00CB0C7C">
        <w:t xml:space="preserve">on </w:t>
      </w:r>
      <w:r w:rsidR="0059043C">
        <w:t xml:space="preserve">the outcome measure </w:t>
      </w:r>
      <w:r w:rsidR="00CB0C7C">
        <w:t>were</w:t>
      </w:r>
      <w:r w:rsidR="0059043C">
        <w:t xml:space="preserve"> unreported. In fact, Yang et al (201</w:t>
      </w:r>
      <w:r w:rsidR="00EF16A6">
        <w:t>4</w:t>
      </w:r>
      <w:r w:rsidR="0059043C">
        <w:t xml:space="preserve">) reported median </w:t>
      </w:r>
      <w:r w:rsidR="00863735">
        <w:t xml:space="preserve">time to progression that was both longer than that reported by Han et al (2015) and longer than overall survival </w:t>
      </w:r>
      <w:r>
        <w:t>within their own study</w:t>
      </w:r>
      <w:r w:rsidR="009B68EC">
        <w:t>,</w:t>
      </w:r>
      <w:r>
        <w:t xml:space="preserve"> suggesting that this outcome </w:t>
      </w:r>
      <w:r w:rsidR="009270B7">
        <w:t>probably</w:t>
      </w:r>
      <w:r>
        <w:t xml:space="preserve"> excluded deaths from the analysis of time to progression.</w:t>
      </w:r>
    </w:p>
    <w:p w14:paraId="6169DA7B" w14:textId="77777777" w:rsidR="004424F1" w:rsidRDefault="00574A32" w:rsidP="004424F1">
      <w:r>
        <w:t>U</w:t>
      </w:r>
      <w:r w:rsidR="001B594D">
        <w:t>ncertainties</w:t>
      </w:r>
      <w:r>
        <w:t xml:space="preserve"> such as this,</w:t>
      </w:r>
      <w:r w:rsidR="001B594D">
        <w:t xml:space="preserve"> arising from limitations in study reporting</w:t>
      </w:r>
      <w:r>
        <w:t>,</w:t>
      </w:r>
      <w:r w:rsidR="001B594D">
        <w:t xml:space="preserve"> mean</w:t>
      </w:r>
      <w:r w:rsidR="00CB0C7C">
        <w:t xml:space="preserve"> it was impossible</w:t>
      </w:r>
      <w:r w:rsidR="001B594D">
        <w:t xml:space="preserve"> to establish </w:t>
      </w:r>
      <w:r w:rsidR="00CB0C7C">
        <w:t xml:space="preserve">if </w:t>
      </w:r>
      <w:r w:rsidR="001B594D">
        <w:t xml:space="preserve">inconsistency in study results within the same population </w:t>
      </w:r>
      <w:r w:rsidR="00CB0C7C">
        <w:t xml:space="preserve">was </w:t>
      </w:r>
      <w:r w:rsidR="001B594D">
        <w:t xml:space="preserve">due to differences in prognostic factors between study populations or differences in the way outcomes </w:t>
      </w:r>
      <w:r w:rsidR="00CB0C7C">
        <w:t>were</w:t>
      </w:r>
      <w:r w:rsidR="001B594D">
        <w:t xml:space="preserve"> measured</w:t>
      </w:r>
      <w:r w:rsidR="00CE49EF">
        <w:t xml:space="preserve"> and reported</w:t>
      </w:r>
      <w:r w:rsidR="001B594D">
        <w:t xml:space="preserve">. </w:t>
      </w:r>
      <w:r w:rsidR="00262CA7">
        <w:t xml:space="preserve">Both inherent limitations in the case series study design and study quality issues within studies contribute to the risk of bias across all included studies of MTA being attributed a value of </w:t>
      </w:r>
      <w:r w:rsidR="00CE49EF">
        <w:t>‘</w:t>
      </w:r>
      <w:r w:rsidR="00262CA7">
        <w:t>high</w:t>
      </w:r>
      <w:r w:rsidR="00CE49EF">
        <w:t>’</w:t>
      </w:r>
      <w:r w:rsidR="00262CA7">
        <w:t>.</w:t>
      </w:r>
    </w:p>
    <w:p w14:paraId="641C42C1" w14:textId="77777777" w:rsidR="00825190" w:rsidRDefault="00825190" w:rsidP="00825190">
      <w:pPr>
        <w:pStyle w:val="Caption"/>
        <w:keepNext/>
      </w:pPr>
      <w:bookmarkStart w:id="214" w:name="_Ref457400505"/>
      <w:bookmarkStart w:id="215" w:name="_Ref460431514"/>
      <w:bookmarkStart w:id="216" w:name="_Toc460514676"/>
      <w:r>
        <w:t xml:space="preserve">Table </w:t>
      </w:r>
      <w:fldSimple w:instr=" SEQ Table \* ARABIC ">
        <w:r w:rsidR="00D170A5">
          <w:rPr>
            <w:noProof/>
          </w:rPr>
          <w:t>18</w:t>
        </w:r>
      </w:fldSimple>
      <w:bookmarkEnd w:id="214"/>
      <w:bookmarkEnd w:id="215"/>
      <w:r>
        <w:tab/>
        <w:t xml:space="preserve">Risk of bias </w:t>
      </w:r>
      <w:r w:rsidR="00E044B3">
        <w:t>and quality appraisal for MTA</w:t>
      </w:r>
      <w:bookmarkEnd w:id="216"/>
      <w:r w:rsidR="00D82F1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2557"/>
        <w:gridCol w:w="1987"/>
        <w:gridCol w:w="2854"/>
        <w:gridCol w:w="1684"/>
      </w:tblGrid>
      <w:tr w:rsidR="00E044B3" w:rsidRPr="00183E4D" w14:paraId="24EA3921" w14:textId="77777777" w:rsidTr="000B7B79">
        <w:tc>
          <w:tcPr>
            <w:tcW w:w="1408" w:type="pct"/>
            <w:shd w:val="clear" w:color="auto" w:fill="D9D9D9" w:themeFill="background1" w:themeFillShade="D9"/>
            <w:vAlign w:val="bottom"/>
          </w:tcPr>
          <w:p w14:paraId="2B39C1D4" w14:textId="77777777" w:rsidR="00E044B3" w:rsidRPr="00844169" w:rsidRDefault="00E044B3" w:rsidP="000B7B79">
            <w:pPr>
              <w:pStyle w:val="Tabletext1"/>
              <w:rPr>
                <w:b/>
                <w:snapToGrid w:val="0"/>
                <w:lang w:eastAsia="en-US"/>
              </w:rPr>
            </w:pPr>
            <w:r w:rsidRPr="00844169">
              <w:rPr>
                <w:b/>
                <w:snapToGrid w:val="0"/>
                <w:lang w:eastAsia="en-US"/>
              </w:rPr>
              <w:t>Intervention and population</w:t>
            </w:r>
          </w:p>
        </w:tc>
        <w:tc>
          <w:tcPr>
            <w:tcW w:w="1094" w:type="pct"/>
            <w:shd w:val="clear" w:color="auto" w:fill="D9D9D9" w:themeFill="background1" w:themeFillShade="D9"/>
            <w:vAlign w:val="bottom"/>
          </w:tcPr>
          <w:p w14:paraId="61CDA214" w14:textId="77777777" w:rsidR="00E044B3" w:rsidRPr="00844169" w:rsidRDefault="001E764D" w:rsidP="000B7B79">
            <w:pPr>
              <w:pStyle w:val="Tabletext1"/>
              <w:rPr>
                <w:b/>
                <w:snapToGrid w:val="0"/>
                <w:lang w:eastAsia="en-US"/>
              </w:rPr>
            </w:pPr>
            <w:r>
              <w:rPr>
                <w:b/>
                <w:snapToGrid w:val="0"/>
                <w:lang w:eastAsia="en-US"/>
              </w:rPr>
              <w:t xml:space="preserve">Number of studies (patients), </w:t>
            </w:r>
            <w:r w:rsidR="00E044B3" w:rsidRPr="00844169">
              <w:rPr>
                <w:b/>
                <w:snapToGrid w:val="0"/>
                <w:lang w:eastAsia="en-US"/>
              </w:rPr>
              <w:t>level of evidence</w:t>
            </w:r>
          </w:p>
        </w:tc>
        <w:tc>
          <w:tcPr>
            <w:tcW w:w="1571" w:type="pct"/>
            <w:shd w:val="clear" w:color="auto" w:fill="D9D9D9" w:themeFill="background1" w:themeFillShade="D9"/>
            <w:vAlign w:val="bottom"/>
          </w:tcPr>
          <w:p w14:paraId="28CFBEB8" w14:textId="77777777" w:rsidR="00E044B3" w:rsidRPr="00844169" w:rsidRDefault="00E044B3" w:rsidP="000B7B79">
            <w:pPr>
              <w:pStyle w:val="Tabletext1"/>
              <w:rPr>
                <w:b/>
                <w:snapToGrid w:val="0"/>
                <w:lang w:eastAsia="en-US"/>
              </w:rPr>
            </w:pPr>
            <w:r w:rsidRPr="00844169">
              <w:rPr>
                <w:b/>
                <w:snapToGrid w:val="0"/>
                <w:lang w:eastAsia="en-US"/>
              </w:rPr>
              <w:t>Reporting/quality concerns</w:t>
            </w:r>
          </w:p>
        </w:tc>
        <w:tc>
          <w:tcPr>
            <w:tcW w:w="927" w:type="pct"/>
            <w:shd w:val="clear" w:color="auto" w:fill="D9D9D9" w:themeFill="background1" w:themeFillShade="D9"/>
            <w:vAlign w:val="bottom"/>
          </w:tcPr>
          <w:p w14:paraId="44D4706F" w14:textId="77777777" w:rsidR="00E044B3" w:rsidRPr="00844169" w:rsidRDefault="00E044B3" w:rsidP="000B7B79">
            <w:pPr>
              <w:pStyle w:val="Tabletext1"/>
              <w:rPr>
                <w:b/>
                <w:snapToGrid w:val="0"/>
                <w:lang w:eastAsia="en-US"/>
              </w:rPr>
            </w:pPr>
            <w:r w:rsidRPr="00844169">
              <w:rPr>
                <w:b/>
                <w:snapToGrid w:val="0"/>
                <w:lang w:eastAsia="en-US"/>
              </w:rPr>
              <w:t>Risk of bias</w:t>
            </w:r>
          </w:p>
        </w:tc>
      </w:tr>
      <w:tr w:rsidR="00E044B3" w:rsidRPr="00183E4D" w14:paraId="1E3FC693" w14:textId="77777777" w:rsidTr="009063FE">
        <w:tc>
          <w:tcPr>
            <w:tcW w:w="1408" w:type="pct"/>
            <w:shd w:val="clear" w:color="auto" w:fill="auto"/>
          </w:tcPr>
          <w:p w14:paraId="489E628E" w14:textId="77777777" w:rsidR="00E044B3" w:rsidRPr="001C2081" w:rsidRDefault="00E044B3" w:rsidP="009063FE">
            <w:pPr>
              <w:pStyle w:val="Tabletext1"/>
              <w:rPr>
                <w:snapToGrid w:val="0"/>
              </w:rPr>
            </w:pPr>
            <w:r>
              <w:rPr>
                <w:snapToGrid w:val="0"/>
              </w:rPr>
              <w:t xml:space="preserve">MTA for early stage NSCLC. Patients were ineligible for resection or refused surgery. </w:t>
            </w:r>
          </w:p>
        </w:tc>
        <w:tc>
          <w:tcPr>
            <w:tcW w:w="1094" w:type="pct"/>
            <w:shd w:val="clear" w:color="auto" w:fill="auto"/>
          </w:tcPr>
          <w:p w14:paraId="7F37CAEE" w14:textId="77777777" w:rsidR="00E044B3" w:rsidRPr="001C2081" w:rsidRDefault="00E044B3" w:rsidP="009063FE">
            <w:pPr>
              <w:pStyle w:val="Tabletext1"/>
              <w:rPr>
                <w:snapToGrid w:val="0"/>
              </w:rPr>
            </w:pPr>
            <w:r>
              <w:rPr>
                <w:snapToGrid w:val="0"/>
              </w:rPr>
              <w:t xml:space="preserve">3 (90), Level IV </w:t>
            </w:r>
          </w:p>
        </w:tc>
        <w:tc>
          <w:tcPr>
            <w:tcW w:w="1571" w:type="pct"/>
            <w:shd w:val="clear" w:color="auto" w:fill="auto"/>
          </w:tcPr>
          <w:p w14:paraId="1A711B80" w14:textId="77777777" w:rsidR="00E044B3" w:rsidRPr="001C2081" w:rsidRDefault="00E044B3" w:rsidP="009063FE">
            <w:pPr>
              <w:pStyle w:val="Tabletext1"/>
              <w:rPr>
                <w:snapToGrid w:val="0"/>
              </w:rPr>
            </w:pPr>
            <w:r>
              <w:rPr>
                <w:snapToGrid w:val="0"/>
              </w:rPr>
              <w:t xml:space="preserve">Studies predominantly retrospective in design and had poor reporting in relation to consecutive recruitment of patients, comprehensive eligibility criteria and follow-up. Study conclusions not supported by findings in </w:t>
            </w:r>
            <w:r w:rsidR="00BD1E63">
              <w:rPr>
                <w:snapToGrid w:val="0"/>
              </w:rPr>
              <w:t xml:space="preserve">two </w:t>
            </w:r>
            <w:r w:rsidR="006B33E4">
              <w:rPr>
                <w:snapToGrid w:val="0"/>
              </w:rPr>
              <w:t>studies</w:t>
            </w:r>
            <w:r>
              <w:rPr>
                <w:snapToGrid w:val="0"/>
              </w:rPr>
              <w:t xml:space="preserve">. </w:t>
            </w:r>
          </w:p>
        </w:tc>
        <w:tc>
          <w:tcPr>
            <w:tcW w:w="927" w:type="pct"/>
          </w:tcPr>
          <w:p w14:paraId="0038CDE7" w14:textId="77777777" w:rsidR="00E044B3" w:rsidRDefault="007A0EB7" w:rsidP="009063FE">
            <w:pPr>
              <w:pStyle w:val="Tabletext1"/>
              <w:rPr>
                <w:snapToGrid w:val="0"/>
              </w:rPr>
            </w:pPr>
            <w:r>
              <w:rPr>
                <w:snapToGrid w:val="0"/>
              </w:rPr>
              <w:t>High</w:t>
            </w:r>
          </w:p>
        </w:tc>
      </w:tr>
      <w:tr w:rsidR="00E044B3" w:rsidRPr="00183E4D" w14:paraId="798F5335" w14:textId="77777777" w:rsidTr="009063FE">
        <w:tc>
          <w:tcPr>
            <w:tcW w:w="1408" w:type="pct"/>
            <w:shd w:val="clear" w:color="auto" w:fill="auto"/>
          </w:tcPr>
          <w:p w14:paraId="0FB1BCF7" w14:textId="77777777" w:rsidR="00E044B3" w:rsidRPr="001C2081" w:rsidRDefault="00E044B3" w:rsidP="009063FE">
            <w:pPr>
              <w:pStyle w:val="Tabletext1"/>
              <w:rPr>
                <w:snapToGrid w:val="0"/>
              </w:rPr>
            </w:pPr>
            <w:r>
              <w:rPr>
                <w:snapToGrid w:val="0"/>
              </w:rPr>
              <w:t xml:space="preserve">MTA for patients with lung metastases in whom the primary tumour is under control. Patients included those with primary nasopharyngeal carcinoma in </w:t>
            </w:r>
            <w:r w:rsidR="00BD1E63">
              <w:rPr>
                <w:snapToGrid w:val="0"/>
              </w:rPr>
              <w:t xml:space="preserve">one </w:t>
            </w:r>
            <w:r>
              <w:rPr>
                <w:snapToGrid w:val="0"/>
              </w:rPr>
              <w:t xml:space="preserve">study and mixed </w:t>
            </w:r>
            <w:r w:rsidR="00CC7B4A" w:rsidRPr="009063FE">
              <w:rPr>
                <w:snapToGrid w:val="0"/>
              </w:rPr>
              <w:t>primary cancers</w:t>
            </w:r>
            <w:r>
              <w:rPr>
                <w:snapToGrid w:val="0"/>
              </w:rPr>
              <w:t xml:space="preserve"> in another.</w:t>
            </w:r>
          </w:p>
        </w:tc>
        <w:tc>
          <w:tcPr>
            <w:tcW w:w="1094" w:type="pct"/>
            <w:shd w:val="clear" w:color="auto" w:fill="auto"/>
          </w:tcPr>
          <w:p w14:paraId="30AAFD23" w14:textId="77777777" w:rsidR="00E044B3" w:rsidRPr="001C2081" w:rsidRDefault="00E044B3" w:rsidP="009063FE">
            <w:pPr>
              <w:pStyle w:val="Tabletext1"/>
              <w:rPr>
                <w:snapToGrid w:val="0"/>
              </w:rPr>
            </w:pPr>
            <w:r>
              <w:rPr>
                <w:snapToGrid w:val="0"/>
              </w:rPr>
              <w:t>2 (159), Level IV</w:t>
            </w:r>
          </w:p>
        </w:tc>
        <w:tc>
          <w:tcPr>
            <w:tcW w:w="1571" w:type="pct"/>
            <w:shd w:val="clear" w:color="auto" w:fill="auto"/>
          </w:tcPr>
          <w:p w14:paraId="2ABE0467" w14:textId="77777777" w:rsidR="00E044B3" w:rsidRPr="001C2081" w:rsidRDefault="00E044B3" w:rsidP="009063FE">
            <w:pPr>
              <w:pStyle w:val="Tabletext1"/>
              <w:rPr>
                <w:snapToGrid w:val="0"/>
              </w:rPr>
            </w:pPr>
            <w:r>
              <w:rPr>
                <w:snapToGrid w:val="0"/>
              </w:rPr>
              <w:t xml:space="preserve">Retrospective study design in one, reporting of adverse events was incomplete for one study, </w:t>
            </w:r>
            <w:r w:rsidRPr="00E044B3">
              <w:rPr>
                <w:snapToGrid w:val="0"/>
              </w:rPr>
              <w:t>poor reporting in relation to consecutive recruitment of patients, comprehensive eligibility criteria and follow-up</w:t>
            </w:r>
            <w:r w:rsidR="000070E2">
              <w:rPr>
                <w:snapToGrid w:val="0"/>
              </w:rPr>
              <w:t>.</w:t>
            </w:r>
          </w:p>
        </w:tc>
        <w:tc>
          <w:tcPr>
            <w:tcW w:w="927" w:type="pct"/>
          </w:tcPr>
          <w:p w14:paraId="56BBB158" w14:textId="77777777" w:rsidR="00E044B3" w:rsidRPr="001C2081" w:rsidRDefault="007A0EB7" w:rsidP="009063FE">
            <w:pPr>
              <w:pStyle w:val="Tabletext1"/>
              <w:rPr>
                <w:snapToGrid w:val="0"/>
              </w:rPr>
            </w:pPr>
            <w:r>
              <w:rPr>
                <w:snapToGrid w:val="0"/>
              </w:rPr>
              <w:t>High</w:t>
            </w:r>
          </w:p>
        </w:tc>
      </w:tr>
      <w:tr w:rsidR="00E044B3" w:rsidRPr="00183E4D" w14:paraId="2DED6B8A" w14:textId="77777777" w:rsidTr="009063FE">
        <w:tc>
          <w:tcPr>
            <w:tcW w:w="1408" w:type="pct"/>
            <w:shd w:val="clear" w:color="auto" w:fill="auto"/>
          </w:tcPr>
          <w:p w14:paraId="0A781B15" w14:textId="77777777" w:rsidR="00E044B3" w:rsidRPr="001C2081" w:rsidRDefault="00E044B3" w:rsidP="009063FE">
            <w:pPr>
              <w:pStyle w:val="Tabletext1"/>
              <w:rPr>
                <w:snapToGrid w:val="0"/>
              </w:rPr>
            </w:pPr>
            <w:r>
              <w:rPr>
                <w:snapToGrid w:val="0"/>
              </w:rPr>
              <w:t>MTA for patients with lung metastases or primary NSCLC treated with palliative intent.</w:t>
            </w:r>
          </w:p>
        </w:tc>
        <w:tc>
          <w:tcPr>
            <w:tcW w:w="1094" w:type="pct"/>
            <w:shd w:val="clear" w:color="auto" w:fill="auto"/>
          </w:tcPr>
          <w:p w14:paraId="3CB3ADCD" w14:textId="77777777" w:rsidR="00E044B3" w:rsidRPr="001C2081" w:rsidRDefault="00E044B3" w:rsidP="009063FE">
            <w:pPr>
              <w:pStyle w:val="Tabletext1"/>
              <w:rPr>
                <w:snapToGrid w:val="0"/>
              </w:rPr>
            </w:pPr>
            <w:r>
              <w:rPr>
                <w:snapToGrid w:val="0"/>
              </w:rPr>
              <w:t>3</w:t>
            </w:r>
            <w:r w:rsidR="00CE49EF">
              <w:rPr>
                <w:snapToGrid w:val="0"/>
              </w:rPr>
              <w:t xml:space="preserve"> </w:t>
            </w:r>
            <w:r>
              <w:rPr>
                <w:snapToGrid w:val="0"/>
              </w:rPr>
              <w:t>(103), Level III-2 (2 studies), Level IV (1 study)</w:t>
            </w:r>
          </w:p>
        </w:tc>
        <w:tc>
          <w:tcPr>
            <w:tcW w:w="1571" w:type="pct"/>
            <w:shd w:val="clear" w:color="auto" w:fill="auto"/>
          </w:tcPr>
          <w:p w14:paraId="541F5BA7" w14:textId="77777777" w:rsidR="00E044B3" w:rsidRPr="001C2081" w:rsidRDefault="000070E2" w:rsidP="009063FE">
            <w:pPr>
              <w:pStyle w:val="Tabletext1"/>
              <w:rPr>
                <w:snapToGrid w:val="0"/>
              </w:rPr>
            </w:pPr>
            <w:r>
              <w:rPr>
                <w:snapToGrid w:val="0"/>
              </w:rPr>
              <w:t>Studies did not allocate patients to interventions based on a randomisation procedure and patient demographics were variably reported.</w:t>
            </w:r>
          </w:p>
        </w:tc>
        <w:tc>
          <w:tcPr>
            <w:tcW w:w="927" w:type="pct"/>
          </w:tcPr>
          <w:p w14:paraId="520BE8C3" w14:textId="77777777" w:rsidR="00E044B3" w:rsidRPr="001C2081" w:rsidRDefault="007A0EB7" w:rsidP="009063FE">
            <w:pPr>
              <w:pStyle w:val="Tabletext1"/>
              <w:rPr>
                <w:snapToGrid w:val="0"/>
              </w:rPr>
            </w:pPr>
            <w:r>
              <w:rPr>
                <w:snapToGrid w:val="0"/>
              </w:rPr>
              <w:t>High</w:t>
            </w:r>
          </w:p>
        </w:tc>
      </w:tr>
      <w:tr w:rsidR="000070E2" w:rsidRPr="00183E4D" w14:paraId="22D57E0B" w14:textId="77777777" w:rsidTr="009063FE">
        <w:tc>
          <w:tcPr>
            <w:tcW w:w="1408" w:type="pct"/>
            <w:shd w:val="clear" w:color="auto" w:fill="auto"/>
          </w:tcPr>
          <w:p w14:paraId="084359CA" w14:textId="77777777" w:rsidR="000070E2" w:rsidRDefault="000070E2" w:rsidP="009063FE">
            <w:pPr>
              <w:pStyle w:val="Tabletext1"/>
              <w:rPr>
                <w:snapToGrid w:val="0"/>
              </w:rPr>
            </w:pPr>
            <w:r>
              <w:rPr>
                <w:snapToGrid w:val="0"/>
              </w:rPr>
              <w:t>MTA for mixed populations, included for an extended assessment of harms</w:t>
            </w:r>
            <w:r w:rsidR="006B33E4">
              <w:rPr>
                <w:snapToGrid w:val="0"/>
              </w:rPr>
              <w:t>.</w:t>
            </w:r>
          </w:p>
        </w:tc>
        <w:tc>
          <w:tcPr>
            <w:tcW w:w="1094" w:type="pct"/>
            <w:shd w:val="clear" w:color="auto" w:fill="auto"/>
          </w:tcPr>
          <w:p w14:paraId="1AD846E5" w14:textId="77777777" w:rsidR="000070E2" w:rsidRDefault="00510E88" w:rsidP="009063FE">
            <w:pPr>
              <w:pStyle w:val="Tabletext1"/>
              <w:rPr>
                <w:snapToGrid w:val="0"/>
              </w:rPr>
            </w:pPr>
            <w:r>
              <w:rPr>
                <w:snapToGrid w:val="0"/>
              </w:rPr>
              <w:t>15</w:t>
            </w:r>
            <w:r w:rsidR="00033303">
              <w:rPr>
                <w:snapToGrid w:val="0"/>
              </w:rPr>
              <w:t xml:space="preserve"> (977</w:t>
            </w:r>
            <w:r w:rsidR="000070E2">
              <w:rPr>
                <w:snapToGrid w:val="0"/>
              </w:rPr>
              <w:t xml:space="preserve">), Level IV </w:t>
            </w:r>
          </w:p>
        </w:tc>
        <w:tc>
          <w:tcPr>
            <w:tcW w:w="1571" w:type="pct"/>
            <w:shd w:val="clear" w:color="auto" w:fill="auto"/>
          </w:tcPr>
          <w:p w14:paraId="76246E9E" w14:textId="77777777" w:rsidR="000070E2" w:rsidRDefault="000070E2" w:rsidP="009063FE">
            <w:pPr>
              <w:pStyle w:val="Tabletext1"/>
              <w:rPr>
                <w:snapToGrid w:val="0"/>
              </w:rPr>
            </w:pPr>
            <w:r>
              <w:rPr>
                <w:snapToGrid w:val="0"/>
              </w:rPr>
              <w:t>R</w:t>
            </w:r>
            <w:r w:rsidRPr="000070E2">
              <w:rPr>
                <w:snapToGrid w:val="0"/>
              </w:rPr>
              <w:t>eporting of adverse events was incomplete</w:t>
            </w:r>
            <w:r>
              <w:rPr>
                <w:snapToGrid w:val="0"/>
              </w:rPr>
              <w:t xml:space="preserve"> in </w:t>
            </w:r>
            <w:r w:rsidR="00656659">
              <w:rPr>
                <w:snapToGrid w:val="0"/>
              </w:rPr>
              <w:t>k</w:t>
            </w:r>
            <w:r w:rsidR="00C10752">
              <w:rPr>
                <w:snapToGrid w:val="0"/>
              </w:rPr>
              <w:t xml:space="preserve"> </w:t>
            </w:r>
            <w:r w:rsidR="00656659">
              <w:rPr>
                <w:snapToGrid w:val="0"/>
              </w:rPr>
              <w:t>=</w:t>
            </w:r>
            <w:r w:rsidR="00C10752">
              <w:rPr>
                <w:snapToGrid w:val="0"/>
              </w:rPr>
              <w:t xml:space="preserve"> </w:t>
            </w:r>
            <w:r w:rsidR="00510E88">
              <w:rPr>
                <w:snapToGrid w:val="0"/>
              </w:rPr>
              <w:t>5</w:t>
            </w:r>
            <w:r>
              <w:rPr>
                <w:snapToGrid w:val="0"/>
              </w:rPr>
              <w:t>/</w:t>
            </w:r>
            <w:r w:rsidR="00510E88">
              <w:rPr>
                <w:snapToGrid w:val="0"/>
              </w:rPr>
              <w:t>15</w:t>
            </w:r>
            <w:r w:rsidR="00574A32">
              <w:rPr>
                <w:snapToGrid w:val="0"/>
              </w:rPr>
              <w:t xml:space="preserve">. Poor </w:t>
            </w:r>
            <w:r w:rsidRPr="000070E2">
              <w:rPr>
                <w:snapToGrid w:val="0"/>
              </w:rPr>
              <w:t>reporting in relation to consecutive recruitment of patients, comprehensive eligibility criteria and follow-up</w:t>
            </w:r>
            <w:r>
              <w:rPr>
                <w:snapToGrid w:val="0"/>
              </w:rPr>
              <w:t xml:space="preserve"> was an issue.</w:t>
            </w:r>
          </w:p>
        </w:tc>
        <w:tc>
          <w:tcPr>
            <w:tcW w:w="927" w:type="pct"/>
          </w:tcPr>
          <w:p w14:paraId="6EB4A2C6" w14:textId="77777777" w:rsidR="000070E2" w:rsidRDefault="007A0EB7" w:rsidP="009063FE">
            <w:pPr>
              <w:pStyle w:val="Tabletext1"/>
              <w:rPr>
                <w:snapToGrid w:val="0"/>
              </w:rPr>
            </w:pPr>
            <w:r>
              <w:rPr>
                <w:snapToGrid w:val="0"/>
              </w:rPr>
              <w:t>High</w:t>
            </w:r>
          </w:p>
        </w:tc>
      </w:tr>
    </w:tbl>
    <w:p w14:paraId="73512610" w14:textId="04E642A5" w:rsidR="001616F6" w:rsidRDefault="00EB3181" w:rsidP="000269A7">
      <w:pPr>
        <w:pStyle w:val="Tablenotes0"/>
        <w:sectPr w:rsidR="001616F6" w:rsidSect="0024526E">
          <w:headerReference w:type="even" r:id="rId41"/>
          <w:headerReference w:type="default" r:id="rId42"/>
          <w:headerReference w:type="first" r:id="rId43"/>
          <w:pgSz w:w="11906" w:h="16838"/>
          <w:pgMar w:top="1440" w:right="1440" w:bottom="1440" w:left="1440" w:header="708" w:footer="708" w:gutter="0"/>
          <w:pgNumType w:start="1"/>
          <w:cols w:space="708"/>
          <w:docGrid w:linePitch="360"/>
        </w:sectPr>
      </w:pPr>
      <w:r>
        <w:t xml:space="preserve">&lt; </w:t>
      </w:r>
      <w:r w:rsidR="004D10F1">
        <w:t>k = number of studies</w:t>
      </w:r>
      <w:r w:rsidR="00F91E83">
        <w:t>;</w:t>
      </w:r>
      <w:r w:rsidR="004D10F1">
        <w:t xml:space="preserve"> </w:t>
      </w:r>
      <w:r w:rsidR="000269A7">
        <w:t>MTA</w:t>
      </w:r>
      <w:r w:rsidR="00F91E83">
        <w:t xml:space="preserve"> </w:t>
      </w:r>
      <w:r w:rsidR="000269A7">
        <w:t>=</w:t>
      </w:r>
      <w:r w:rsidR="00F91E83">
        <w:t xml:space="preserve"> </w:t>
      </w:r>
      <w:r w:rsidR="000269A7">
        <w:t xml:space="preserve">microwave </w:t>
      </w:r>
      <w:r w:rsidR="000269A7" w:rsidRPr="000269A7">
        <w:t>tissue ablation</w:t>
      </w:r>
      <w:r w:rsidR="00F91E83">
        <w:t>;</w:t>
      </w:r>
      <w:r w:rsidR="006B33E4">
        <w:t xml:space="preserve"> NSCLC = </w:t>
      </w:r>
      <w:r>
        <w:t>non-small cell lung cancer &gt;</w:t>
      </w:r>
    </w:p>
    <w:p w14:paraId="053DFE69" w14:textId="77777777" w:rsidR="00553A37" w:rsidRDefault="00553A37" w:rsidP="00F975EC">
      <w:pPr>
        <w:pStyle w:val="Caption"/>
        <w:keepNext/>
        <w:spacing w:before="500"/>
      </w:pPr>
      <w:bookmarkStart w:id="217" w:name="_Toc460514677"/>
      <w:r>
        <w:lastRenderedPageBreak/>
        <w:t xml:space="preserve">Table </w:t>
      </w:r>
      <w:fldSimple w:instr=" SEQ Table \* ARABIC ">
        <w:r w:rsidR="00D170A5">
          <w:rPr>
            <w:noProof/>
          </w:rPr>
          <w:t>19</w:t>
        </w:r>
      </w:fldSimple>
      <w:r>
        <w:tab/>
      </w:r>
      <w:r w:rsidRPr="00553A37">
        <w:t xml:space="preserve">Quality appraisal of included case series investigations of </w:t>
      </w:r>
      <w:r w:rsidR="00351F80">
        <w:t>MTA</w:t>
      </w:r>
      <w:r w:rsidRPr="00553A37">
        <w:t>, according to the IHE Quality A</w:t>
      </w:r>
      <w:r>
        <w:t>ppraisal of Case Series Studies</w:t>
      </w:r>
      <w:bookmarkEnd w:id="217"/>
    </w:p>
    <w:tbl>
      <w:tblPr>
        <w:tblStyle w:val="TableGrid6"/>
        <w:tblW w:w="5000" w:type="pct"/>
        <w:tblLook w:val="04A0" w:firstRow="1" w:lastRow="0" w:firstColumn="1" w:lastColumn="0" w:noHBand="0" w:noVBand="1"/>
        <w:tblCaption w:val="Table 22"/>
        <w:tblDescription w:val="QA, RFA"/>
      </w:tblPr>
      <w:tblGrid>
        <w:gridCol w:w="1978"/>
        <w:gridCol w:w="677"/>
        <w:gridCol w:w="677"/>
        <w:gridCol w:w="677"/>
        <w:gridCol w:w="677"/>
        <w:gridCol w:w="677"/>
        <w:gridCol w:w="677"/>
        <w:gridCol w:w="677"/>
        <w:gridCol w:w="677"/>
        <w:gridCol w:w="678"/>
        <w:gridCol w:w="678"/>
        <w:gridCol w:w="678"/>
        <w:gridCol w:w="678"/>
        <w:gridCol w:w="678"/>
        <w:gridCol w:w="678"/>
        <w:gridCol w:w="678"/>
        <w:gridCol w:w="678"/>
        <w:gridCol w:w="678"/>
        <w:gridCol w:w="678"/>
      </w:tblGrid>
      <w:tr w:rsidR="000D2505" w:rsidRPr="00113179" w14:paraId="41E114E7" w14:textId="77777777" w:rsidTr="002F171D">
        <w:trPr>
          <w:cantSplit/>
          <w:trHeight w:val="3185"/>
          <w:tblHeader/>
        </w:trPr>
        <w:tc>
          <w:tcPr>
            <w:tcW w:w="698" w:type="pct"/>
            <w:vAlign w:val="bottom"/>
          </w:tcPr>
          <w:p w14:paraId="3655B28D" w14:textId="77777777" w:rsidR="000D2505" w:rsidRPr="00113179" w:rsidRDefault="000D2505" w:rsidP="00EA6589">
            <w:pPr>
              <w:widowControl w:val="0"/>
              <w:spacing w:before="60" w:after="60"/>
              <w:rPr>
                <w:rFonts w:ascii="Arial Narrow" w:hAnsi="Arial Narrow"/>
                <w:b/>
                <w:snapToGrid w:val="0"/>
                <w:sz w:val="20"/>
                <w:szCs w:val="20"/>
              </w:rPr>
            </w:pPr>
            <w:r w:rsidRPr="00113179">
              <w:rPr>
                <w:rFonts w:ascii="Arial Narrow" w:hAnsi="Arial Narrow"/>
                <w:b/>
                <w:snapToGrid w:val="0"/>
                <w:sz w:val="20"/>
                <w:szCs w:val="20"/>
              </w:rPr>
              <w:t>Study ID</w:t>
            </w:r>
          </w:p>
        </w:tc>
        <w:tc>
          <w:tcPr>
            <w:tcW w:w="239" w:type="pct"/>
            <w:tcBorders>
              <w:bottom w:val="single" w:sz="4" w:space="0" w:color="auto"/>
            </w:tcBorders>
            <w:textDirection w:val="btLr"/>
          </w:tcPr>
          <w:p w14:paraId="10AF8BBD"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Was the objective of the study clearly stated?</w:t>
            </w:r>
          </w:p>
          <w:p w14:paraId="39909432"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7A922764"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Was the study conducted prospectively?</w:t>
            </w:r>
          </w:p>
          <w:p w14:paraId="53FE1060"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54C72630"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the cases collected in multiple centres?</w:t>
            </w:r>
          </w:p>
          <w:p w14:paraId="7710EE2E"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5F8E4662"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patients recruited consecutively?</w:t>
            </w:r>
          </w:p>
          <w:p w14:paraId="702EF830"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54F43A6E"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patient characteristics described?</w:t>
            </w:r>
          </w:p>
          <w:p w14:paraId="38726481"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17867AD6"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the eligibility criteria clearly stated?</w:t>
            </w:r>
          </w:p>
          <w:p w14:paraId="1D2332A5"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6A5AA1AE"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Did patients enter the study at a similar point in the disease?</w:t>
            </w:r>
          </w:p>
          <w:p w14:paraId="31F983D4"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4C4319E8"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Was the intervention clearly described?</w:t>
            </w:r>
          </w:p>
          <w:p w14:paraId="4545B478"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1E293B9C"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relevant outcome measures established a priori?</w:t>
            </w:r>
          </w:p>
          <w:p w14:paraId="2EE0853F"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766496DA"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outcome assessors blinded to the intervention?</w:t>
            </w:r>
          </w:p>
          <w:p w14:paraId="0BFC28A7"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63B04118"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outcomes measured using appropriate methods?</w:t>
            </w:r>
          </w:p>
          <w:p w14:paraId="7BBE18EC"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46CF0275"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the statistical tests appropriate?</w:t>
            </w:r>
          </w:p>
          <w:p w14:paraId="0E9E0B90"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602E4A9C" w14:textId="5E3A4620"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Was follow-up long enough to capture important events and outcomes?</w:t>
            </w:r>
          </w:p>
          <w:p w14:paraId="6AF11E75"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3F2A5BE6"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losses to follow-up reported?</w:t>
            </w:r>
          </w:p>
          <w:p w14:paraId="571467E3"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44E2476E"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Did the study provide estimates of random variability in the data analysis?</w:t>
            </w:r>
          </w:p>
          <w:p w14:paraId="37DB2A3E"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6DF059D9"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the adverse events reported?</w:t>
            </w:r>
          </w:p>
          <w:p w14:paraId="38B3C50E"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639B813A"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the conclusions of the study supported by results?</w:t>
            </w:r>
          </w:p>
          <w:p w14:paraId="5FB9716C"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c>
          <w:tcPr>
            <w:tcW w:w="239" w:type="pct"/>
            <w:tcBorders>
              <w:bottom w:val="single" w:sz="4" w:space="0" w:color="auto"/>
            </w:tcBorders>
            <w:textDirection w:val="btLr"/>
          </w:tcPr>
          <w:p w14:paraId="684136E4" w14:textId="77777777" w:rsidR="000D2505" w:rsidRPr="00113179" w:rsidRDefault="000D2505" w:rsidP="002F171D">
            <w:pPr>
              <w:widowControl w:val="0"/>
              <w:spacing w:before="0" w:after="0"/>
              <w:ind w:left="40" w:right="40"/>
              <w:jc w:val="left"/>
              <w:rPr>
                <w:rFonts w:ascii="Arial Narrow" w:hAnsi="Arial Narrow"/>
                <w:snapToGrid w:val="0"/>
                <w:sz w:val="20"/>
                <w:szCs w:val="20"/>
              </w:rPr>
            </w:pPr>
            <w:r w:rsidRPr="00113179">
              <w:rPr>
                <w:rFonts w:ascii="Arial Narrow" w:hAnsi="Arial Narrow"/>
                <w:snapToGrid w:val="0"/>
                <w:sz w:val="20"/>
                <w:szCs w:val="20"/>
              </w:rPr>
              <w:t>Were competing interests and sources of support reported?</w:t>
            </w:r>
          </w:p>
          <w:p w14:paraId="28E3AFEE" w14:textId="77777777" w:rsidR="000D2505" w:rsidRPr="00113179" w:rsidRDefault="000D2505" w:rsidP="002F171D">
            <w:pPr>
              <w:widowControl w:val="0"/>
              <w:spacing w:before="0" w:after="0"/>
              <w:ind w:left="40" w:right="40"/>
              <w:jc w:val="left"/>
              <w:rPr>
                <w:rFonts w:ascii="Arial Narrow" w:hAnsi="Arial Narrow"/>
                <w:snapToGrid w:val="0"/>
                <w:sz w:val="20"/>
                <w:szCs w:val="20"/>
              </w:rPr>
            </w:pPr>
          </w:p>
        </w:tc>
      </w:tr>
      <w:tr w:rsidR="000D2505" w:rsidRPr="00113179" w14:paraId="43564E88" w14:textId="77777777" w:rsidTr="00155DF6">
        <w:tc>
          <w:tcPr>
            <w:tcW w:w="698" w:type="pct"/>
            <w:tcBorders>
              <w:right w:val="nil"/>
            </w:tcBorders>
            <w:shd w:val="clear" w:color="auto" w:fill="D9D9D9" w:themeFill="background1" w:themeFillShade="D9"/>
            <w:vAlign w:val="center"/>
          </w:tcPr>
          <w:p w14:paraId="72EBBAC8" w14:textId="77777777" w:rsidR="000D2505" w:rsidRPr="00113179" w:rsidRDefault="000D2505" w:rsidP="00155DF6">
            <w:pPr>
              <w:widowControl w:val="0"/>
              <w:spacing w:before="60" w:after="60"/>
              <w:jc w:val="left"/>
              <w:rPr>
                <w:rFonts w:ascii="Arial Narrow" w:hAnsi="Arial Narrow"/>
                <w:b/>
                <w:snapToGrid w:val="0"/>
                <w:sz w:val="20"/>
                <w:szCs w:val="20"/>
              </w:rPr>
            </w:pPr>
            <w:r w:rsidRPr="00113179">
              <w:rPr>
                <w:rFonts w:ascii="Arial Narrow" w:hAnsi="Arial Narrow"/>
                <w:b/>
                <w:snapToGrid w:val="0"/>
                <w:sz w:val="20"/>
                <w:szCs w:val="20"/>
              </w:rPr>
              <w:t>POPULATION 1</w:t>
            </w:r>
          </w:p>
        </w:tc>
        <w:tc>
          <w:tcPr>
            <w:tcW w:w="239" w:type="pct"/>
            <w:tcBorders>
              <w:left w:val="nil"/>
              <w:right w:val="nil"/>
            </w:tcBorders>
            <w:shd w:val="clear" w:color="auto" w:fill="D9D9D9" w:themeFill="background1" w:themeFillShade="D9"/>
            <w:vAlign w:val="center"/>
          </w:tcPr>
          <w:p w14:paraId="586974D4" w14:textId="77777777" w:rsidR="000D2505" w:rsidRPr="00113179" w:rsidRDefault="000D2505" w:rsidP="00155DF6">
            <w:pPr>
              <w:spacing w:before="60" w:after="60"/>
              <w:jc w:val="left"/>
              <w:rPr>
                <w:rFonts w:ascii="Wingdings 2" w:hAnsi="Wingdings 2"/>
              </w:rPr>
            </w:pPr>
          </w:p>
        </w:tc>
        <w:tc>
          <w:tcPr>
            <w:tcW w:w="239" w:type="pct"/>
            <w:tcBorders>
              <w:left w:val="nil"/>
              <w:right w:val="nil"/>
            </w:tcBorders>
            <w:shd w:val="clear" w:color="auto" w:fill="D9D9D9" w:themeFill="background1" w:themeFillShade="D9"/>
            <w:vAlign w:val="center"/>
          </w:tcPr>
          <w:p w14:paraId="60B3D1B0" w14:textId="77777777" w:rsidR="000D2505" w:rsidRPr="00113179" w:rsidRDefault="000D2505" w:rsidP="00155DF6">
            <w:pPr>
              <w:spacing w:before="60" w:after="60"/>
              <w:jc w:val="left"/>
            </w:pPr>
          </w:p>
        </w:tc>
        <w:tc>
          <w:tcPr>
            <w:tcW w:w="239" w:type="pct"/>
            <w:tcBorders>
              <w:left w:val="nil"/>
              <w:right w:val="nil"/>
            </w:tcBorders>
            <w:shd w:val="clear" w:color="auto" w:fill="D9D9D9" w:themeFill="background1" w:themeFillShade="D9"/>
            <w:vAlign w:val="center"/>
          </w:tcPr>
          <w:p w14:paraId="6D80439F" w14:textId="77777777" w:rsidR="000D2505" w:rsidRPr="00113179" w:rsidRDefault="000D2505" w:rsidP="00155DF6">
            <w:pPr>
              <w:spacing w:before="60" w:after="60"/>
              <w:jc w:val="left"/>
            </w:pPr>
          </w:p>
        </w:tc>
        <w:tc>
          <w:tcPr>
            <w:tcW w:w="239" w:type="pct"/>
            <w:tcBorders>
              <w:left w:val="nil"/>
              <w:right w:val="nil"/>
            </w:tcBorders>
            <w:shd w:val="clear" w:color="auto" w:fill="D9D9D9" w:themeFill="background1" w:themeFillShade="D9"/>
            <w:vAlign w:val="center"/>
          </w:tcPr>
          <w:p w14:paraId="6CAF202C" w14:textId="77777777" w:rsidR="000D2505" w:rsidRPr="00113179" w:rsidRDefault="000D2505" w:rsidP="00155DF6">
            <w:pPr>
              <w:spacing w:before="60" w:after="60"/>
              <w:jc w:val="left"/>
            </w:pPr>
          </w:p>
        </w:tc>
        <w:tc>
          <w:tcPr>
            <w:tcW w:w="239" w:type="pct"/>
            <w:tcBorders>
              <w:left w:val="nil"/>
              <w:right w:val="nil"/>
            </w:tcBorders>
            <w:shd w:val="clear" w:color="auto" w:fill="D9D9D9" w:themeFill="background1" w:themeFillShade="D9"/>
            <w:vAlign w:val="center"/>
          </w:tcPr>
          <w:p w14:paraId="15722A1A" w14:textId="77777777" w:rsidR="000D2505" w:rsidRPr="00113179" w:rsidRDefault="000D2505" w:rsidP="00155DF6">
            <w:pPr>
              <w:spacing w:before="60" w:after="60"/>
              <w:jc w:val="left"/>
              <w:rPr>
                <w:rFonts w:ascii="Wingdings 2" w:hAnsi="Wingdings 2"/>
              </w:rPr>
            </w:pPr>
          </w:p>
        </w:tc>
        <w:tc>
          <w:tcPr>
            <w:tcW w:w="239" w:type="pct"/>
            <w:tcBorders>
              <w:left w:val="nil"/>
              <w:right w:val="nil"/>
            </w:tcBorders>
            <w:shd w:val="clear" w:color="auto" w:fill="D9D9D9" w:themeFill="background1" w:themeFillShade="D9"/>
            <w:vAlign w:val="center"/>
          </w:tcPr>
          <w:p w14:paraId="57C5F37F" w14:textId="77777777" w:rsidR="000D2505" w:rsidRPr="00113179" w:rsidRDefault="000D2505" w:rsidP="00155DF6">
            <w:pPr>
              <w:spacing w:before="60" w:after="60"/>
              <w:jc w:val="left"/>
            </w:pPr>
          </w:p>
        </w:tc>
        <w:tc>
          <w:tcPr>
            <w:tcW w:w="239" w:type="pct"/>
            <w:tcBorders>
              <w:left w:val="nil"/>
              <w:right w:val="nil"/>
            </w:tcBorders>
            <w:shd w:val="clear" w:color="auto" w:fill="D9D9D9" w:themeFill="background1" w:themeFillShade="D9"/>
            <w:vAlign w:val="center"/>
          </w:tcPr>
          <w:p w14:paraId="601B36FC" w14:textId="77777777" w:rsidR="000D2505" w:rsidRPr="00113179" w:rsidRDefault="000D2505" w:rsidP="00155DF6">
            <w:pPr>
              <w:spacing w:before="60" w:after="60"/>
              <w:jc w:val="left"/>
              <w:rPr>
                <w:rFonts w:ascii="Wingdings 2" w:hAnsi="Wingdings 2"/>
              </w:rPr>
            </w:pPr>
          </w:p>
        </w:tc>
        <w:tc>
          <w:tcPr>
            <w:tcW w:w="239" w:type="pct"/>
            <w:tcBorders>
              <w:left w:val="nil"/>
              <w:right w:val="nil"/>
            </w:tcBorders>
            <w:shd w:val="clear" w:color="auto" w:fill="D9D9D9" w:themeFill="background1" w:themeFillShade="D9"/>
            <w:vAlign w:val="center"/>
          </w:tcPr>
          <w:p w14:paraId="0F195850" w14:textId="77777777" w:rsidR="000D2505" w:rsidRPr="00113179" w:rsidRDefault="000D2505" w:rsidP="00155DF6">
            <w:pPr>
              <w:spacing w:before="60" w:after="60"/>
              <w:jc w:val="left"/>
              <w:rPr>
                <w:rFonts w:ascii="Wingdings 2" w:hAnsi="Wingdings 2"/>
              </w:rPr>
            </w:pPr>
          </w:p>
        </w:tc>
        <w:tc>
          <w:tcPr>
            <w:tcW w:w="239" w:type="pct"/>
            <w:tcBorders>
              <w:left w:val="nil"/>
              <w:right w:val="nil"/>
            </w:tcBorders>
            <w:shd w:val="clear" w:color="auto" w:fill="D9D9D9" w:themeFill="background1" w:themeFillShade="D9"/>
            <w:vAlign w:val="center"/>
          </w:tcPr>
          <w:p w14:paraId="5A5DA4B7" w14:textId="77777777" w:rsidR="000D2505" w:rsidRPr="00113179" w:rsidRDefault="000D2505" w:rsidP="00155DF6">
            <w:pPr>
              <w:spacing w:before="60" w:after="60"/>
              <w:jc w:val="left"/>
              <w:rPr>
                <w:rFonts w:ascii="Wingdings 2" w:hAnsi="Wingdings 2"/>
              </w:rPr>
            </w:pPr>
          </w:p>
        </w:tc>
        <w:tc>
          <w:tcPr>
            <w:tcW w:w="239" w:type="pct"/>
            <w:tcBorders>
              <w:left w:val="nil"/>
              <w:right w:val="nil"/>
            </w:tcBorders>
            <w:shd w:val="clear" w:color="auto" w:fill="D9D9D9" w:themeFill="background1" w:themeFillShade="D9"/>
            <w:vAlign w:val="center"/>
          </w:tcPr>
          <w:p w14:paraId="5584EE66" w14:textId="77777777" w:rsidR="000D2505" w:rsidRPr="00113179" w:rsidRDefault="000D2505" w:rsidP="00155DF6">
            <w:pPr>
              <w:spacing w:before="60" w:after="60"/>
              <w:jc w:val="left"/>
              <w:rPr>
                <w:rFonts w:ascii="Wingdings 2" w:hAnsi="Wingdings 2"/>
                <w:color w:val="000000"/>
              </w:rPr>
            </w:pPr>
          </w:p>
        </w:tc>
        <w:tc>
          <w:tcPr>
            <w:tcW w:w="239" w:type="pct"/>
            <w:tcBorders>
              <w:left w:val="nil"/>
              <w:right w:val="nil"/>
            </w:tcBorders>
            <w:shd w:val="clear" w:color="auto" w:fill="D9D9D9" w:themeFill="background1" w:themeFillShade="D9"/>
            <w:vAlign w:val="center"/>
          </w:tcPr>
          <w:p w14:paraId="67BAAACD" w14:textId="77777777" w:rsidR="000D2505" w:rsidRPr="00113179" w:rsidRDefault="000D2505" w:rsidP="00155DF6">
            <w:pPr>
              <w:spacing w:before="60" w:after="60"/>
              <w:jc w:val="left"/>
              <w:rPr>
                <w:rFonts w:ascii="Wingdings 2" w:hAnsi="Wingdings 2"/>
              </w:rPr>
            </w:pPr>
          </w:p>
        </w:tc>
        <w:tc>
          <w:tcPr>
            <w:tcW w:w="239" w:type="pct"/>
            <w:tcBorders>
              <w:left w:val="nil"/>
              <w:right w:val="nil"/>
            </w:tcBorders>
            <w:shd w:val="clear" w:color="auto" w:fill="D9D9D9" w:themeFill="background1" w:themeFillShade="D9"/>
            <w:vAlign w:val="center"/>
          </w:tcPr>
          <w:p w14:paraId="7F375BF3" w14:textId="77777777" w:rsidR="000D2505" w:rsidRPr="00113179" w:rsidRDefault="000D2505" w:rsidP="00155DF6">
            <w:pPr>
              <w:spacing w:before="60" w:after="60"/>
              <w:jc w:val="left"/>
              <w:rPr>
                <w:rFonts w:ascii="Wingdings 2" w:hAnsi="Wingdings 2"/>
              </w:rPr>
            </w:pPr>
          </w:p>
        </w:tc>
        <w:tc>
          <w:tcPr>
            <w:tcW w:w="239" w:type="pct"/>
            <w:tcBorders>
              <w:left w:val="nil"/>
              <w:right w:val="nil"/>
            </w:tcBorders>
            <w:shd w:val="clear" w:color="auto" w:fill="D9D9D9" w:themeFill="background1" w:themeFillShade="D9"/>
            <w:vAlign w:val="center"/>
          </w:tcPr>
          <w:p w14:paraId="09CF858C" w14:textId="77777777" w:rsidR="000D2505" w:rsidRPr="00113179" w:rsidRDefault="000D2505" w:rsidP="00155DF6">
            <w:pPr>
              <w:spacing w:before="60" w:after="60"/>
              <w:jc w:val="left"/>
              <w:rPr>
                <w:rFonts w:ascii="Wingdings 2" w:hAnsi="Wingdings 2"/>
              </w:rPr>
            </w:pPr>
          </w:p>
        </w:tc>
        <w:tc>
          <w:tcPr>
            <w:tcW w:w="239" w:type="pct"/>
            <w:tcBorders>
              <w:left w:val="nil"/>
              <w:right w:val="nil"/>
            </w:tcBorders>
            <w:shd w:val="clear" w:color="auto" w:fill="D9D9D9" w:themeFill="background1" w:themeFillShade="D9"/>
            <w:vAlign w:val="center"/>
          </w:tcPr>
          <w:p w14:paraId="79430088" w14:textId="77777777" w:rsidR="000D2505" w:rsidRPr="00113179" w:rsidRDefault="000D2505" w:rsidP="00155DF6">
            <w:pPr>
              <w:spacing w:before="60" w:after="60"/>
              <w:jc w:val="left"/>
              <w:rPr>
                <w:rFonts w:ascii="Wingdings 2" w:hAnsi="Wingdings 2"/>
              </w:rPr>
            </w:pPr>
          </w:p>
        </w:tc>
        <w:tc>
          <w:tcPr>
            <w:tcW w:w="239" w:type="pct"/>
            <w:tcBorders>
              <w:left w:val="nil"/>
              <w:right w:val="nil"/>
            </w:tcBorders>
            <w:shd w:val="clear" w:color="auto" w:fill="D9D9D9" w:themeFill="background1" w:themeFillShade="D9"/>
            <w:vAlign w:val="center"/>
          </w:tcPr>
          <w:p w14:paraId="1A7855D9" w14:textId="77777777" w:rsidR="000D2505" w:rsidRPr="00113179" w:rsidRDefault="000D2505" w:rsidP="00155DF6">
            <w:pPr>
              <w:spacing w:before="60" w:after="60"/>
              <w:jc w:val="left"/>
            </w:pPr>
          </w:p>
        </w:tc>
        <w:tc>
          <w:tcPr>
            <w:tcW w:w="239" w:type="pct"/>
            <w:tcBorders>
              <w:left w:val="nil"/>
              <w:right w:val="nil"/>
            </w:tcBorders>
            <w:shd w:val="clear" w:color="auto" w:fill="D9D9D9" w:themeFill="background1" w:themeFillShade="D9"/>
            <w:vAlign w:val="center"/>
          </w:tcPr>
          <w:p w14:paraId="158223CD" w14:textId="77777777" w:rsidR="000D2505" w:rsidRPr="00113179" w:rsidRDefault="000D2505" w:rsidP="00155DF6">
            <w:pPr>
              <w:spacing w:before="60" w:after="60"/>
              <w:jc w:val="left"/>
              <w:rPr>
                <w:rFonts w:ascii="Wingdings 2" w:hAnsi="Wingdings 2"/>
              </w:rPr>
            </w:pPr>
          </w:p>
        </w:tc>
        <w:tc>
          <w:tcPr>
            <w:tcW w:w="239" w:type="pct"/>
            <w:tcBorders>
              <w:left w:val="nil"/>
              <w:right w:val="nil"/>
            </w:tcBorders>
            <w:shd w:val="clear" w:color="auto" w:fill="D9D9D9" w:themeFill="background1" w:themeFillShade="D9"/>
            <w:vAlign w:val="center"/>
          </w:tcPr>
          <w:p w14:paraId="3CA42B44" w14:textId="77777777" w:rsidR="000D2505" w:rsidRPr="00113179" w:rsidRDefault="000D2505" w:rsidP="00155DF6">
            <w:pPr>
              <w:spacing w:before="60" w:after="60"/>
              <w:jc w:val="left"/>
              <w:rPr>
                <w:rFonts w:ascii="Wingdings 2" w:hAnsi="Wingdings 2"/>
              </w:rPr>
            </w:pPr>
          </w:p>
        </w:tc>
        <w:tc>
          <w:tcPr>
            <w:tcW w:w="239" w:type="pct"/>
            <w:tcBorders>
              <w:left w:val="nil"/>
            </w:tcBorders>
            <w:shd w:val="clear" w:color="auto" w:fill="D9D9D9" w:themeFill="background1" w:themeFillShade="D9"/>
            <w:vAlign w:val="center"/>
          </w:tcPr>
          <w:p w14:paraId="011CA799" w14:textId="77777777" w:rsidR="000D2505" w:rsidRPr="00113179" w:rsidRDefault="000D2505" w:rsidP="00155DF6">
            <w:pPr>
              <w:spacing w:before="60" w:after="60"/>
              <w:jc w:val="left"/>
              <w:rPr>
                <w:rFonts w:ascii="Wingdings 2" w:hAnsi="Wingdings 2"/>
              </w:rPr>
            </w:pPr>
          </w:p>
        </w:tc>
      </w:tr>
      <w:tr w:rsidR="000D2505" w:rsidRPr="00113179" w14:paraId="572EEF92" w14:textId="77777777" w:rsidTr="007B1187">
        <w:tc>
          <w:tcPr>
            <w:tcW w:w="698" w:type="pct"/>
            <w:vAlign w:val="center"/>
          </w:tcPr>
          <w:p w14:paraId="610F88DA"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Han et al (2015)</w:t>
            </w:r>
          </w:p>
        </w:tc>
        <w:tc>
          <w:tcPr>
            <w:tcW w:w="239" w:type="pct"/>
            <w:shd w:val="clear" w:color="auto" w:fill="EAF1DD" w:themeFill="accent3" w:themeFillTint="33"/>
            <w:vAlign w:val="center"/>
          </w:tcPr>
          <w:p w14:paraId="2C020982" w14:textId="52A456EA"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FFFCC"/>
            <w:vAlign w:val="center"/>
          </w:tcPr>
          <w:p w14:paraId="653392CC" w14:textId="77777777" w:rsidR="000D2505" w:rsidRPr="00113179" w:rsidRDefault="000D2505" w:rsidP="007B1187">
            <w:pPr>
              <w:spacing w:before="60" w:after="60"/>
              <w:jc w:val="center"/>
            </w:pPr>
            <w:r w:rsidRPr="00113179">
              <w:t>?</w:t>
            </w:r>
          </w:p>
        </w:tc>
        <w:tc>
          <w:tcPr>
            <w:tcW w:w="239" w:type="pct"/>
            <w:shd w:val="clear" w:color="auto" w:fill="F2DBDB" w:themeFill="accent2" w:themeFillTint="33"/>
            <w:vAlign w:val="center"/>
          </w:tcPr>
          <w:p w14:paraId="06937C65"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FFFCC"/>
            <w:vAlign w:val="center"/>
          </w:tcPr>
          <w:p w14:paraId="6317F1D3" w14:textId="77777777" w:rsidR="000D2505" w:rsidRPr="00113179" w:rsidRDefault="000D2505" w:rsidP="007B1187">
            <w:pPr>
              <w:spacing w:before="60" w:after="60"/>
              <w:jc w:val="center"/>
            </w:pPr>
            <w:r w:rsidRPr="00113179">
              <w:t>?</w:t>
            </w:r>
          </w:p>
        </w:tc>
        <w:tc>
          <w:tcPr>
            <w:tcW w:w="239" w:type="pct"/>
            <w:shd w:val="clear" w:color="auto" w:fill="EAF1DD" w:themeFill="accent3" w:themeFillTint="33"/>
            <w:vAlign w:val="center"/>
          </w:tcPr>
          <w:p w14:paraId="28A52244" w14:textId="05A74240"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FFFCC"/>
            <w:vAlign w:val="center"/>
          </w:tcPr>
          <w:p w14:paraId="622052C8" w14:textId="7CA552A9"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0D14B8D2" w14:textId="6D610D2F"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6F0314EC" w14:textId="3F43C494"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64468A42" w14:textId="25D9290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2DBDB" w:themeFill="accent2" w:themeFillTint="33"/>
            <w:vAlign w:val="center"/>
          </w:tcPr>
          <w:p w14:paraId="0132EECE"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1A000CBC" w14:textId="17079B0E"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0EF54F1C" w14:textId="19D433B1"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73E896BC" w14:textId="7CCFCB5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2DBDB" w:themeFill="accent2" w:themeFillTint="33"/>
            <w:vAlign w:val="center"/>
          </w:tcPr>
          <w:p w14:paraId="3CEB9D46" w14:textId="4AB8B1BB"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35FD691C" w14:textId="2A8726C8"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55B6397A" w14:textId="1DE783F3"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FFFCC"/>
            <w:vAlign w:val="center"/>
          </w:tcPr>
          <w:p w14:paraId="4AC7E326" w14:textId="77777777" w:rsidR="000D2505" w:rsidRPr="00113179" w:rsidRDefault="000D2505" w:rsidP="007B1187">
            <w:pPr>
              <w:spacing w:before="60" w:after="60"/>
              <w:jc w:val="center"/>
            </w:pPr>
            <w:r w:rsidRPr="00113179">
              <w:t>?</w:t>
            </w:r>
          </w:p>
        </w:tc>
        <w:tc>
          <w:tcPr>
            <w:tcW w:w="239" w:type="pct"/>
            <w:shd w:val="clear" w:color="auto" w:fill="EAF1DD" w:themeFill="accent3" w:themeFillTint="33"/>
            <w:vAlign w:val="center"/>
          </w:tcPr>
          <w:p w14:paraId="7161FCDF" w14:textId="55BDCB15"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r>
      <w:tr w:rsidR="000D2505" w:rsidRPr="00113179" w14:paraId="26E979EE" w14:textId="77777777" w:rsidTr="007B1187">
        <w:tc>
          <w:tcPr>
            <w:tcW w:w="698" w:type="pct"/>
            <w:vAlign w:val="center"/>
          </w:tcPr>
          <w:p w14:paraId="3EA997EB" w14:textId="4385DB55" w:rsidR="000D2505" w:rsidRPr="00113179" w:rsidRDefault="000D2505" w:rsidP="00276760">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 xml:space="preserve">Liu </w:t>
            </w:r>
            <w:r w:rsidR="00276760">
              <w:rPr>
                <w:rFonts w:ascii="Arial Narrow" w:hAnsi="Arial Narrow"/>
                <w:snapToGrid w:val="0"/>
                <w:sz w:val="20"/>
                <w:szCs w:val="20"/>
              </w:rPr>
              <w:t>&amp; Steinke</w:t>
            </w:r>
            <w:r w:rsidRPr="00113179">
              <w:rPr>
                <w:rFonts w:ascii="Arial Narrow" w:hAnsi="Arial Narrow"/>
                <w:snapToGrid w:val="0"/>
                <w:sz w:val="20"/>
                <w:szCs w:val="20"/>
              </w:rPr>
              <w:t xml:space="preserve"> (2015)</w:t>
            </w:r>
          </w:p>
        </w:tc>
        <w:tc>
          <w:tcPr>
            <w:tcW w:w="239" w:type="pct"/>
            <w:shd w:val="clear" w:color="auto" w:fill="EAF1DD" w:themeFill="accent3" w:themeFillTint="33"/>
            <w:vAlign w:val="center"/>
          </w:tcPr>
          <w:p w14:paraId="0B35F116" w14:textId="6D24BB3E"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2DBDB" w:themeFill="accent2" w:themeFillTint="33"/>
            <w:vAlign w:val="center"/>
          </w:tcPr>
          <w:p w14:paraId="2F6E7CE2"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2DBDB" w:themeFill="accent2" w:themeFillTint="33"/>
            <w:vAlign w:val="center"/>
          </w:tcPr>
          <w:p w14:paraId="3CB9C42A"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FFFCC"/>
            <w:vAlign w:val="center"/>
          </w:tcPr>
          <w:p w14:paraId="3DA765D6" w14:textId="77777777" w:rsidR="000D2505" w:rsidRPr="00113179" w:rsidRDefault="000D2505" w:rsidP="007B1187">
            <w:pPr>
              <w:spacing w:before="60" w:after="60"/>
              <w:jc w:val="center"/>
            </w:pPr>
            <w:r w:rsidRPr="00113179">
              <w:t>?</w:t>
            </w:r>
          </w:p>
        </w:tc>
        <w:tc>
          <w:tcPr>
            <w:tcW w:w="239" w:type="pct"/>
            <w:shd w:val="clear" w:color="auto" w:fill="EAF1DD" w:themeFill="accent3" w:themeFillTint="33"/>
            <w:vAlign w:val="center"/>
          </w:tcPr>
          <w:p w14:paraId="59FA8FC4" w14:textId="353038D4"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FFFCC"/>
            <w:vAlign w:val="center"/>
          </w:tcPr>
          <w:p w14:paraId="7C6A47E9" w14:textId="1600E7DF"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1455C390" w14:textId="3BCC1B19"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393C1FFD" w14:textId="203853B1"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FFFCC"/>
            <w:vAlign w:val="center"/>
          </w:tcPr>
          <w:p w14:paraId="52A3FAFC" w14:textId="77777777" w:rsidR="000D2505" w:rsidRPr="00113179" w:rsidRDefault="0035554A" w:rsidP="007B1187">
            <w:pPr>
              <w:spacing w:before="60" w:after="60"/>
              <w:jc w:val="center"/>
              <w:rPr>
                <w:color w:val="000000"/>
              </w:rPr>
            </w:pPr>
            <w:r w:rsidRPr="00113179">
              <w:rPr>
                <w:color w:val="000000"/>
              </w:rPr>
              <w:t>•</w:t>
            </w:r>
          </w:p>
        </w:tc>
        <w:tc>
          <w:tcPr>
            <w:tcW w:w="239" w:type="pct"/>
            <w:shd w:val="clear" w:color="auto" w:fill="F2DBDB" w:themeFill="accent2" w:themeFillTint="33"/>
            <w:vAlign w:val="center"/>
          </w:tcPr>
          <w:p w14:paraId="77E079B9"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79AAA8C9" w14:textId="2BEF7D53"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231A2D85" w14:textId="1DA7B2B2"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3E50FC97" w14:textId="457F0C7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2DBDB" w:themeFill="accent2" w:themeFillTint="33"/>
            <w:vAlign w:val="center"/>
          </w:tcPr>
          <w:p w14:paraId="43F70C50" w14:textId="360DF4BE"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77A042A2" w14:textId="5072E9C0"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5A293E6E" w14:textId="637E449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7B4CEC48" w14:textId="7E1A268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51117CB1" w14:textId="4C44E26F"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r>
      <w:tr w:rsidR="000D2505" w:rsidRPr="00113179" w14:paraId="4E5D46B2" w14:textId="77777777" w:rsidTr="007B1187">
        <w:tc>
          <w:tcPr>
            <w:tcW w:w="698" w:type="pct"/>
            <w:tcBorders>
              <w:bottom w:val="single" w:sz="4" w:space="0" w:color="auto"/>
            </w:tcBorders>
            <w:vAlign w:val="center"/>
          </w:tcPr>
          <w:p w14:paraId="65F75AF4"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Yang et al (2014)</w:t>
            </w:r>
          </w:p>
        </w:tc>
        <w:tc>
          <w:tcPr>
            <w:tcW w:w="239" w:type="pct"/>
            <w:tcBorders>
              <w:bottom w:val="single" w:sz="4" w:space="0" w:color="auto"/>
            </w:tcBorders>
            <w:shd w:val="clear" w:color="auto" w:fill="EAF1DD" w:themeFill="accent3" w:themeFillTint="33"/>
            <w:vAlign w:val="center"/>
          </w:tcPr>
          <w:p w14:paraId="5D692505" w14:textId="09AF8AA1"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5BE1D9D"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982DFFD"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CD7991D" w14:textId="77777777" w:rsidR="000D2505" w:rsidRPr="00113179" w:rsidRDefault="000D2505" w:rsidP="007B1187">
            <w:pPr>
              <w:spacing w:before="60" w:after="60"/>
              <w:jc w:val="center"/>
            </w:pPr>
            <w:r w:rsidRPr="00113179">
              <w:t>?</w:t>
            </w:r>
          </w:p>
        </w:tc>
        <w:tc>
          <w:tcPr>
            <w:tcW w:w="239" w:type="pct"/>
            <w:tcBorders>
              <w:bottom w:val="single" w:sz="4" w:space="0" w:color="auto"/>
            </w:tcBorders>
            <w:shd w:val="clear" w:color="auto" w:fill="EAF1DD" w:themeFill="accent3" w:themeFillTint="33"/>
            <w:vAlign w:val="center"/>
          </w:tcPr>
          <w:p w14:paraId="7619F42E" w14:textId="2E65EED9"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CB97249" w14:textId="1788C2B1"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16231CF" w14:textId="74A1BB31"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F1DC37E" w14:textId="7B973E29"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3E184D3" w14:textId="77777777" w:rsidR="000D2505" w:rsidRPr="00113179" w:rsidRDefault="0035554A"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2DB17A81"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CB5776A" w14:textId="7438925E"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8B2DB1A" w14:textId="39541A82"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08C33C2" w14:textId="6A89B88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DAA85F9"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1E27BE6" w14:textId="407901F0"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8B7E340" w14:textId="7D4C276E"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1195C6AD" w14:textId="77777777" w:rsidR="000D2505" w:rsidRPr="00113179" w:rsidRDefault="000D2505" w:rsidP="007B1187">
            <w:pPr>
              <w:spacing w:before="60" w:after="60"/>
              <w:jc w:val="center"/>
            </w:pPr>
            <w:r w:rsidRPr="00113179">
              <w:t>?</w:t>
            </w:r>
          </w:p>
        </w:tc>
        <w:tc>
          <w:tcPr>
            <w:tcW w:w="239" w:type="pct"/>
            <w:tcBorders>
              <w:bottom w:val="single" w:sz="4" w:space="0" w:color="auto"/>
            </w:tcBorders>
            <w:shd w:val="clear" w:color="auto" w:fill="F2DBDB" w:themeFill="accent2" w:themeFillTint="33"/>
            <w:vAlign w:val="center"/>
          </w:tcPr>
          <w:p w14:paraId="39F385B5"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r>
      <w:tr w:rsidR="000D2505" w:rsidRPr="00113179" w14:paraId="0304769C" w14:textId="77777777" w:rsidTr="007B1187">
        <w:tc>
          <w:tcPr>
            <w:tcW w:w="698" w:type="pct"/>
            <w:tcBorders>
              <w:right w:val="nil"/>
            </w:tcBorders>
            <w:shd w:val="clear" w:color="auto" w:fill="D9D9D9" w:themeFill="background1" w:themeFillShade="D9"/>
            <w:vAlign w:val="center"/>
          </w:tcPr>
          <w:p w14:paraId="6B6E019D" w14:textId="77777777" w:rsidR="000D2505" w:rsidRPr="00113179" w:rsidRDefault="000D2505" w:rsidP="00155DF6">
            <w:pPr>
              <w:widowControl w:val="0"/>
              <w:spacing w:before="60" w:after="60"/>
              <w:jc w:val="left"/>
              <w:rPr>
                <w:rFonts w:ascii="Arial Narrow" w:hAnsi="Arial Narrow"/>
                <w:b/>
                <w:snapToGrid w:val="0"/>
                <w:sz w:val="20"/>
                <w:szCs w:val="20"/>
              </w:rPr>
            </w:pPr>
            <w:r>
              <w:rPr>
                <w:rFonts w:ascii="Arial Narrow" w:hAnsi="Arial Narrow"/>
                <w:b/>
                <w:snapToGrid w:val="0"/>
                <w:sz w:val="20"/>
                <w:szCs w:val="20"/>
              </w:rPr>
              <w:t>POPULATION</w:t>
            </w:r>
            <w:r w:rsidRPr="00113179">
              <w:rPr>
                <w:rFonts w:ascii="Arial Narrow" w:hAnsi="Arial Narrow"/>
                <w:b/>
                <w:snapToGrid w:val="0"/>
                <w:sz w:val="20"/>
                <w:szCs w:val="20"/>
              </w:rPr>
              <w:t xml:space="preserve"> 2</w:t>
            </w:r>
          </w:p>
        </w:tc>
        <w:tc>
          <w:tcPr>
            <w:tcW w:w="239" w:type="pct"/>
            <w:tcBorders>
              <w:left w:val="nil"/>
              <w:right w:val="nil"/>
            </w:tcBorders>
            <w:shd w:val="clear" w:color="auto" w:fill="D9D9D9" w:themeFill="background1" w:themeFillShade="D9"/>
            <w:vAlign w:val="center"/>
          </w:tcPr>
          <w:p w14:paraId="7640D3E6"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300E261A"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29D87D8D"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71555659"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71DE8326"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005A3B86"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20AA3AC1"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3D9CC4FF"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423E4C6B"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6B068048" w14:textId="77777777" w:rsidR="000D2505" w:rsidRPr="00113179" w:rsidRDefault="000D2505" w:rsidP="007B1187">
            <w:pPr>
              <w:spacing w:before="60" w:after="60"/>
              <w:jc w:val="center"/>
              <w:rPr>
                <w:rFonts w:ascii="Wingdings 2" w:hAnsi="Wingdings 2"/>
                <w:color w:val="000000"/>
              </w:rPr>
            </w:pPr>
          </w:p>
        </w:tc>
        <w:tc>
          <w:tcPr>
            <w:tcW w:w="239" w:type="pct"/>
            <w:tcBorders>
              <w:left w:val="nil"/>
              <w:right w:val="nil"/>
            </w:tcBorders>
            <w:shd w:val="clear" w:color="auto" w:fill="D9D9D9" w:themeFill="background1" w:themeFillShade="D9"/>
            <w:vAlign w:val="center"/>
          </w:tcPr>
          <w:p w14:paraId="73743B12"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4D0B178D"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3D93595C"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58D7EFCB" w14:textId="77777777" w:rsidR="000D2505" w:rsidRPr="00113179" w:rsidRDefault="000D2505" w:rsidP="007B1187">
            <w:pPr>
              <w:spacing w:before="60" w:after="60"/>
              <w:jc w:val="center"/>
              <w:rPr>
                <w:rFonts w:ascii="Wingdings 2" w:hAnsi="Wingdings 2"/>
              </w:rPr>
            </w:pPr>
          </w:p>
        </w:tc>
        <w:tc>
          <w:tcPr>
            <w:tcW w:w="239" w:type="pct"/>
            <w:tcBorders>
              <w:left w:val="nil"/>
              <w:right w:val="nil"/>
            </w:tcBorders>
            <w:shd w:val="clear" w:color="auto" w:fill="D9D9D9" w:themeFill="background1" w:themeFillShade="D9"/>
            <w:vAlign w:val="center"/>
          </w:tcPr>
          <w:p w14:paraId="6F17229F" w14:textId="77777777" w:rsidR="000D2505" w:rsidRPr="00113179" w:rsidRDefault="000D2505" w:rsidP="007B1187">
            <w:pPr>
              <w:spacing w:before="60" w:after="60"/>
              <w:jc w:val="center"/>
            </w:pPr>
          </w:p>
        </w:tc>
        <w:tc>
          <w:tcPr>
            <w:tcW w:w="239" w:type="pct"/>
            <w:tcBorders>
              <w:left w:val="nil"/>
              <w:right w:val="nil"/>
            </w:tcBorders>
            <w:shd w:val="clear" w:color="auto" w:fill="D9D9D9" w:themeFill="background1" w:themeFillShade="D9"/>
            <w:vAlign w:val="center"/>
          </w:tcPr>
          <w:p w14:paraId="659832D5" w14:textId="77777777" w:rsidR="000D2505" w:rsidRPr="00113179" w:rsidRDefault="000D2505" w:rsidP="007B1187">
            <w:pPr>
              <w:spacing w:before="60" w:after="60"/>
              <w:jc w:val="center"/>
            </w:pPr>
          </w:p>
        </w:tc>
        <w:tc>
          <w:tcPr>
            <w:tcW w:w="239" w:type="pct"/>
            <w:tcBorders>
              <w:left w:val="nil"/>
              <w:right w:val="nil"/>
            </w:tcBorders>
            <w:shd w:val="clear" w:color="auto" w:fill="D9D9D9" w:themeFill="background1" w:themeFillShade="D9"/>
            <w:vAlign w:val="center"/>
          </w:tcPr>
          <w:p w14:paraId="1AE30600" w14:textId="77777777" w:rsidR="000D2505" w:rsidRPr="00113179" w:rsidRDefault="000D2505" w:rsidP="007B1187">
            <w:pPr>
              <w:spacing w:before="60" w:after="60"/>
              <w:jc w:val="center"/>
              <w:rPr>
                <w:rFonts w:ascii="Wingdings 2" w:hAnsi="Wingdings 2"/>
              </w:rPr>
            </w:pPr>
          </w:p>
        </w:tc>
        <w:tc>
          <w:tcPr>
            <w:tcW w:w="239" w:type="pct"/>
            <w:tcBorders>
              <w:left w:val="nil"/>
            </w:tcBorders>
            <w:shd w:val="clear" w:color="auto" w:fill="D9D9D9" w:themeFill="background1" w:themeFillShade="D9"/>
            <w:vAlign w:val="center"/>
          </w:tcPr>
          <w:p w14:paraId="1269E1B4" w14:textId="77777777" w:rsidR="000D2505" w:rsidRPr="00113179" w:rsidRDefault="000D2505" w:rsidP="007B1187">
            <w:pPr>
              <w:spacing w:before="60" w:after="60"/>
              <w:jc w:val="center"/>
            </w:pPr>
          </w:p>
        </w:tc>
      </w:tr>
      <w:tr w:rsidR="000D2505" w:rsidRPr="00113179" w14:paraId="4E826D87" w14:textId="77777777" w:rsidTr="007B1187">
        <w:tc>
          <w:tcPr>
            <w:tcW w:w="698" w:type="pct"/>
            <w:vAlign w:val="center"/>
          </w:tcPr>
          <w:p w14:paraId="5D46E555"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Qi et al (2015)</w:t>
            </w:r>
          </w:p>
        </w:tc>
        <w:tc>
          <w:tcPr>
            <w:tcW w:w="239" w:type="pct"/>
            <w:shd w:val="clear" w:color="auto" w:fill="EAF1DD" w:themeFill="accent3" w:themeFillTint="33"/>
            <w:vAlign w:val="center"/>
          </w:tcPr>
          <w:p w14:paraId="03D8E399" w14:textId="6D919F98"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2DBDB" w:themeFill="accent2" w:themeFillTint="33"/>
            <w:vAlign w:val="center"/>
          </w:tcPr>
          <w:p w14:paraId="32A01669"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2DBDB" w:themeFill="accent2" w:themeFillTint="33"/>
            <w:vAlign w:val="center"/>
          </w:tcPr>
          <w:p w14:paraId="42888BF7"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FFFCC"/>
            <w:vAlign w:val="center"/>
          </w:tcPr>
          <w:p w14:paraId="0B6E6A0F" w14:textId="77777777" w:rsidR="000D2505" w:rsidRPr="00113179" w:rsidRDefault="000D2505" w:rsidP="007B1187">
            <w:pPr>
              <w:spacing w:before="60" w:after="60"/>
              <w:jc w:val="center"/>
              <w:rPr>
                <w:color w:val="000000"/>
              </w:rPr>
            </w:pPr>
            <w:r w:rsidRPr="00113179">
              <w:rPr>
                <w:color w:val="000000"/>
              </w:rPr>
              <w:t>?</w:t>
            </w:r>
          </w:p>
        </w:tc>
        <w:tc>
          <w:tcPr>
            <w:tcW w:w="239" w:type="pct"/>
            <w:shd w:val="clear" w:color="auto" w:fill="EAF1DD" w:themeFill="accent3" w:themeFillTint="33"/>
            <w:vAlign w:val="center"/>
          </w:tcPr>
          <w:p w14:paraId="25E7876F" w14:textId="06A47525"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3E4379D4" w14:textId="6E2EC7B5"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3DA57EF3" w14:textId="13B05E99"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11040E51" w14:textId="7029C029"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63A5EB54"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2DBDB" w:themeFill="accent2" w:themeFillTint="33"/>
            <w:vAlign w:val="center"/>
          </w:tcPr>
          <w:p w14:paraId="6F41CE4E"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FFFCC"/>
            <w:vAlign w:val="center"/>
          </w:tcPr>
          <w:p w14:paraId="4A94698A" w14:textId="77777777" w:rsidR="000D2505" w:rsidRPr="00113179" w:rsidRDefault="000D2505" w:rsidP="007B1187">
            <w:pPr>
              <w:spacing w:before="60" w:after="60"/>
              <w:jc w:val="center"/>
              <w:rPr>
                <w:color w:val="000000"/>
              </w:rPr>
            </w:pPr>
            <w:r w:rsidRPr="00113179">
              <w:rPr>
                <w:color w:val="000000"/>
              </w:rPr>
              <w:t>•</w:t>
            </w:r>
          </w:p>
        </w:tc>
        <w:tc>
          <w:tcPr>
            <w:tcW w:w="239" w:type="pct"/>
            <w:shd w:val="clear" w:color="auto" w:fill="EAF1DD" w:themeFill="accent3" w:themeFillTint="33"/>
            <w:vAlign w:val="center"/>
          </w:tcPr>
          <w:p w14:paraId="3AA1BFDB" w14:textId="0CBDE80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6A49FD89" w14:textId="6C7ADCDC"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2DBDB" w:themeFill="accent2" w:themeFillTint="33"/>
            <w:vAlign w:val="center"/>
          </w:tcPr>
          <w:p w14:paraId="33906DD3" w14:textId="4077C3FB"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2DBDB" w:themeFill="accent2" w:themeFillTint="33"/>
            <w:vAlign w:val="center"/>
          </w:tcPr>
          <w:p w14:paraId="46D2178F"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FFFFCC"/>
            <w:vAlign w:val="center"/>
          </w:tcPr>
          <w:p w14:paraId="04DEB5F9" w14:textId="77777777" w:rsidR="000D2505" w:rsidRPr="00113179" w:rsidRDefault="0035554A" w:rsidP="007B1187">
            <w:pPr>
              <w:spacing w:before="60" w:after="60"/>
              <w:jc w:val="center"/>
              <w:rPr>
                <w:rFonts w:ascii="Wingdings 2" w:hAnsi="Wingdings 2"/>
                <w:color w:val="000000"/>
              </w:rPr>
            </w:pPr>
            <w:r w:rsidRPr="00113179">
              <w:rPr>
                <w:color w:val="000000"/>
              </w:rPr>
              <w:t>•</w:t>
            </w:r>
          </w:p>
        </w:tc>
        <w:tc>
          <w:tcPr>
            <w:tcW w:w="239" w:type="pct"/>
            <w:shd w:val="clear" w:color="auto" w:fill="F2DBDB" w:themeFill="accent2" w:themeFillTint="33"/>
            <w:vAlign w:val="center"/>
          </w:tcPr>
          <w:p w14:paraId="6EF7CFF2"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shd w:val="clear" w:color="auto" w:fill="EAF1DD" w:themeFill="accent3" w:themeFillTint="33"/>
            <w:vAlign w:val="center"/>
          </w:tcPr>
          <w:p w14:paraId="33F1637C" w14:textId="4DA648ED"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r>
      <w:tr w:rsidR="000D2505" w:rsidRPr="00113179" w14:paraId="677EB3B2" w14:textId="77777777" w:rsidTr="007B1187">
        <w:tc>
          <w:tcPr>
            <w:tcW w:w="698" w:type="pct"/>
            <w:tcBorders>
              <w:bottom w:val="single" w:sz="4" w:space="0" w:color="auto"/>
            </w:tcBorders>
            <w:vAlign w:val="center"/>
          </w:tcPr>
          <w:p w14:paraId="7CB0B9F1"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Vogl et al (2015)</w:t>
            </w:r>
          </w:p>
        </w:tc>
        <w:tc>
          <w:tcPr>
            <w:tcW w:w="239" w:type="pct"/>
            <w:tcBorders>
              <w:bottom w:val="single" w:sz="4" w:space="0" w:color="auto"/>
            </w:tcBorders>
            <w:shd w:val="clear" w:color="auto" w:fill="EAF1DD" w:themeFill="accent3" w:themeFillTint="33"/>
            <w:vAlign w:val="center"/>
          </w:tcPr>
          <w:p w14:paraId="22DA53F4" w14:textId="7F4896A4"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CD385CB" w14:textId="1EC81D0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9C08188"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9360E80"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29D74B5F" w14:textId="7E0E2400"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373538D" w14:textId="7F88165F"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A593279" w14:textId="22CF3CD0"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AF2152A" w14:textId="035CCC9C"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422B17F" w14:textId="1A22365F"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2000252"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565CB93" w14:textId="2D8C88BE"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D3F7A53" w14:textId="0366BDA4"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744BDA3" w14:textId="1785DD2D"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32BD6E0"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3DF4635" w14:textId="0582BB5A"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79562C0" w14:textId="035A216C"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8FA5790" w14:textId="33C0E8C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56FDF3CC" w14:textId="77777777" w:rsidR="000D2505" w:rsidRPr="00113179" w:rsidRDefault="000D2505" w:rsidP="007B1187">
            <w:pPr>
              <w:spacing w:before="60" w:after="60"/>
              <w:jc w:val="center"/>
              <w:rPr>
                <w:color w:val="000000"/>
              </w:rPr>
            </w:pPr>
            <w:r w:rsidRPr="00113179">
              <w:rPr>
                <w:color w:val="000000"/>
              </w:rPr>
              <w:t>•</w:t>
            </w:r>
          </w:p>
        </w:tc>
      </w:tr>
      <w:tr w:rsidR="000D2505" w:rsidRPr="00113179" w14:paraId="23A383B0" w14:textId="77777777" w:rsidTr="00155DF6">
        <w:tc>
          <w:tcPr>
            <w:tcW w:w="698" w:type="pct"/>
            <w:tcBorders>
              <w:right w:val="nil"/>
            </w:tcBorders>
            <w:shd w:val="clear" w:color="auto" w:fill="D9D9D9" w:themeFill="background1" w:themeFillShade="D9"/>
            <w:vAlign w:val="center"/>
          </w:tcPr>
          <w:p w14:paraId="02C0A4A9" w14:textId="77777777" w:rsidR="000D2505" w:rsidRPr="00113179" w:rsidRDefault="000D2505" w:rsidP="00155DF6">
            <w:pPr>
              <w:widowControl w:val="0"/>
              <w:spacing w:before="60" w:after="60"/>
              <w:jc w:val="left"/>
              <w:rPr>
                <w:rFonts w:ascii="Arial Narrow" w:hAnsi="Arial Narrow"/>
                <w:b/>
                <w:snapToGrid w:val="0"/>
                <w:sz w:val="20"/>
                <w:szCs w:val="20"/>
              </w:rPr>
            </w:pPr>
            <w:r w:rsidRPr="00113179">
              <w:rPr>
                <w:rFonts w:ascii="Arial Narrow" w:hAnsi="Arial Narrow"/>
                <w:b/>
                <w:snapToGrid w:val="0"/>
                <w:sz w:val="20"/>
                <w:szCs w:val="20"/>
              </w:rPr>
              <w:t>P</w:t>
            </w:r>
            <w:r>
              <w:rPr>
                <w:rFonts w:ascii="Arial Narrow" w:hAnsi="Arial Narrow"/>
                <w:b/>
                <w:snapToGrid w:val="0"/>
                <w:sz w:val="20"/>
                <w:szCs w:val="20"/>
              </w:rPr>
              <w:t>OPULATION 3</w:t>
            </w:r>
          </w:p>
        </w:tc>
        <w:tc>
          <w:tcPr>
            <w:tcW w:w="239" w:type="pct"/>
            <w:tcBorders>
              <w:left w:val="nil"/>
              <w:bottom w:val="single" w:sz="4" w:space="0" w:color="auto"/>
              <w:right w:val="nil"/>
            </w:tcBorders>
            <w:shd w:val="clear" w:color="auto" w:fill="D9D9D9" w:themeFill="background1" w:themeFillShade="D9"/>
            <w:vAlign w:val="center"/>
          </w:tcPr>
          <w:p w14:paraId="33799793"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5AB8B460"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7AECACC6"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64AD2954"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62177007"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3831A7B1"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63FB0166"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2F718690"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31441A5B"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1CB3D8F2" w14:textId="77777777" w:rsidR="000D2505" w:rsidRPr="00113179" w:rsidRDefault="000D2505" w:rsidP="00155DF6">
            <w:pPr>
              <w:spacing w:before="60" w:after="60"/>
              <w:jc w:val="left"/>
              <w:rPr>
                <w:rFonts w:ascii="Wingdings 2" w:hAnsi="Wingdings 2"/>
                <w:color w:val="000000"/>
              </w:rPr>
            </w:pPr>
          </w:p>
        </w:tc>
        <w:tc>
          <w:tcPr>
            <w:tcW w:w="239" w:type="pct"/>
            <w:tcBorders>
              <w:left w:val="nil"/>
              <w:bottom w:val="single" w:sz="4" w:space="0" w:color="auto"/>
              <w:right w:val="nil"/>
            </w:tcBorders>
            <w:shd w:val="clear" w:color="auto" w:fill="D9D9D9" w:themeFill="background1" w:themeFillShade="D9"/>
            <w:vAlign w:val="center"/>
          </w:tcPr>
          <w:p w14:paraId="3A96851F"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3B7DBB7F"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618ECAAE"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3E02635B"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7CAA7458" w14:textId="77777777" w:rsidR="000D2505" w:rsidRPr="00113179" w:rsidRDefault="000D2505" w:rsidP="00155DF6">
            <w:pPr>
              <w:spacing w:before="60" w:after="60"/>
              <w:jc w:val="left"/>
            </w:pPr>
          </w:p>
        </w:tc>
        <w:tc>
          <w:tcPr>
            <w:tcW w:w="239" w:type="pct"/>
            <w:tcBorders>
              <w:left w:val="nil"/>
              <w:bottom w:val="single" w:sz="4" w:space="0" w:color="auto"/>
              <w:right w:val="nil"/>
            </w:tcBorders>
            <w:shd w:val="clear" w:color="auto" w:fill="D9D9D9" w:themeFill="background1" w:themeFillShade="D9"/>
            <w:vAlign w:val="center"/>
          </w:tcPr>
          <w:p w14:paraId="323E4F74"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1B7AD5CE"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tcBorders>
            <w:shd w:val="clear" w:color="auto" w:fill="D9D9D9" w:themeFill="background1" w:themeFillShade="D9"/>
            <w:vAlign w:val="center"/>
          </w:tcPr>
          <w:p w14:paraId="5269104F" w14:textId="77777777" w:rsidR="000D2505" w:rsidRPr="00113179" w:rsidRDefault="000D2505" w:rsidP="00155DF6">
            <w:pPr>
              <w:spacing w:before="60" w:after="60"/>
              <w:jc w:val="left"/>
              <w:rPr>
                <w:rFonts w:ascii="Wingdings 2" w:hAnsi="Wingdings 2"/>
              </w:rPr>
            </w:pPr>
          </w:p>
        </w:tc>
      </w:tr>
      <w:tr w:rsidR="000D2505" w:rsidRPr="00113179" w14:paraId="79D80A7D" w14:textId="77777777" w:rsidTr="008C2FA4">
        <w:tc>
          <w:tcPr>
            <w:tcW w:w="698" w:type="pct"/>
            <w:tcBorders>
              <w:bottom w:val="single" w:sz="4" w:space="0" w:color="auto"/>
            </w:tcBorders>
            <w:vAlign w:val="center"/>
          </w:tcPr>
          <w:p w14:paraId="52FFBA5F"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Ni et al (2015)</w:t>
            </w:r>
          </w:p>
        </w:tc>
        <w:tc>
          <w:tcPr>
            <w:tcW w:w="239" w:type="pct"/>
            <w:tcBorders>
              <w:bottom w:val="single" w:sz="4" w:space="0" w:color="auto"/>
            </w:tcBorders>
            <w:shd w:val="clear" w:color="auto" w:fill="EAF1DD" w:themeFill="accent3" w:themeFillTint="33"/>
            <w:vAlign w:val="center"/>
          </w:tcPr>
          <w:p w14:paraId="379DBAA2" w14:textId="5E644901"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390DB6D0"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5E2B1ADC"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36B246D5"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70543C35" w14:textId="48519E01"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A96AD7F" w14:textId="7E2762C1"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18ABEE0" w14:textId="48047083"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2C953C5" w14:textId="6D5D28B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09F6F7A" w14:textId="29F0714A"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F847D07"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8BD49FE" w14:textId="0836F855"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0CC3D95" w14:textId="3FE17D31"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66372B2" w14:textId="488C9000"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033C9EB"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DD5F923" w14:textId="537D299D"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4C39977" w14:textId="03B24F2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EE36C16" w14:textId="6A93E402"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5B6333A"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r>
      <w:tr w:rsidR="000D2505" w:rsidRPr="00113179" w14:paraId="69AAD0D3" w14:textId="77777777" w:rsidTr="00155DF6">
        <w:tc>
          <w:tcPr>
            <w:tcW w:w="698" w:type="pct"/>
            <w:tcBorders>
              <w:right w:val="nil"/>
            </w:tcBorders>
            <w:shd w:val="clear" w:color="auto" w:fill="D9D9D9" w:themeFill="background1" w:themeFillShade="D9"/>
            <w:vAlign w:val="center"/>
          </w:tcPr>
          <w:p w14:paraId="7017561E" w14:textId="77777777" w:rsidR="000D2505" w:rsidRPr="009F0727" w:rsidRDefault="000D2505" w:rsidP="00155DF6">
            <w:pPr>
              <w:widowControl w:val="0"/>
              <w:spacing w:before="60" w:after="60"/>
              <w:jc w:val="left"/>
              <w:rPr>
                <w:rFonts w:ascii="Arial Narrow" w:hAnsi="Arial Narrow"/>
                <w:b/>
                <w:snapToGrid w:val="0"/>
                <w:sz w:val="20"/>
                <w:szCs w:val="20"/>
              </w:rPr>
            </w:pPr>
            <w:r w:rsidRPr="009F0727">
              <w:rPr>
                <w:rFonts w:ascii="Arial Narrow" w:hAnsi="Arial Narrow"/>
                <w:b/>
                <w:snapToGrid w:val="0"/>
                <w:sz w:val="20"/>
                <w:szCs w:val="20"/>
              </w:rPr>
              <w:lastRenderedPageBreak/>
              <w:t>Mixed</w:t>
            </w:r>
          </w:p>
        </w:tc>
        <w:tc>
          <w:tcPr>
            <w:tcW w:w="239" w:type="pct"/>
            <w:tcBorders>
              <w:left w:val="nil"/>
              <w:bottom w:val="single" w:sz="4" w:space="0" w:color="auto"/>
              <w:right w:val="nil"/>
            </w:tcBorders>
            <w:shd w:val="clear" w:color="auto" w:fill="D9D9D9" w:themeFill="background1" w:themeFillShade="D9"/>
            <w:vAlign w:val="center"/>
          </w:tcPr>
          <w:p w14:paraId="4A4FAEB7"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6DEE7905"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70A5AD26"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1EF08038"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0B73B01A"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70377B0F"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1B78CF56"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04B6C47A"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729C3291"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6D4CD1FE" w14:textId="77777777" w:rsidR="000D2505" w:rsidRPr="00113179" w:rsidRDefault="000D2505" w:rsidP="00155DF6">
            <w:pPr>
              <w:spacing w:before="60" w:after="60"/>
              <w:jc w:val="left"/>
              <w:rPr>
                <w:rFonts w:ascii="Wingdings 2" w:hAnsi="Wingdings 2"/>
                <w:color w:val="000000"/>
              </w:rPr>
            </w:pPr>
          </w:p>
        </w:tc>
        <w:tc>
          <w:tcPr>
            <w:tcW w:w="239" w:type="pct"/>
            <w:tcBorders>
              <w:left w:val="nil"/>
              <w:bottom w:val="single" w:sz="4" w:space="0" w:color="auto"/>
              <w:right w:val="nil"/>
            </w:tcBorders>
            <w:shd w:val="clear" w:color="auto" w:fill="D9D9D9" w:themeFill="background1" w:themeFillShade="D9"/>
            <w:vAlign w:val="center"/>
          </w:tcPr>
          <w:p w14:paraId="3720FE13"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07C00209"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6C1AD2A8"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5C106A7F"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7CD26087" w14:textId="77777777" w:rsidR="000D2505" w:rsidRPr="00113179" w:rsidRDefault="000D2505" w:rsidP="00155DF6">
            <w:pPr>
              <w:spacing w:before="60" w:after="60"/>
              <w:jc w:val="left"/>
            </w:pPr>
          </w:p>
        </w:tc>
        <w:tc>
          <w:tcPr>
            <w:tcW w:w="239" w:type="pct"/>
            <w:tcBorders>
              <w:left w:val="nil"/>
              <w:bottom w:val="single" w:sz="4" w:space="0" w:color="auto"/>
              <w:right w:val="nil"/>
            </w:tcBorders>
            <w:shd w:val="clear" w:color="auto" w:fill="D9D9D9" w:themeFill="background1" w:themeFillShade="D9"/>
            <w:vAlign w:val="center"/>
          </w:tcPr>
          <w:p w14:paraId="2DCE0571"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right w:val="nil"/>
            </w:tcBorders>
            <w:shd w:val="clear" w:color="auto" w:fill="D9D9D9" w:themeFill="background1" w:themeFillShade="D9"/>
            <w:vAlign w:val="center"/>
          </w:tcPr>
          <w:p w14:paraId="53B39731" w14:textId="77777777" w:rsidR="000D2505" w:rsidRPr="00113179" w:rsidRDefault="000D2505" w:rsidP="00155DF6">
            <w:pPr>
              <w:spacing w:before="60" w:after="60"/>
              <w:jc w:val="left"/>
              <w:rPr>
                <w:rFonts w:ascii="Wingdings 2" w:hAnsi="Wingdings 2"/>
              </w:rPr>
            </w:pPr>
          </w:p>
        </w:tc>
        <w:tc>
          <w:tcPr>
            <w:tcW w:w="239" w:type="pct"/>
            <w:tcBorders>
              <w:left w:val="nil"/>
              <w:bottom w:val="single" w:sz="4" w:space="0" w:color="auto"/>
            </w:tcBorders>
            <w:shd w:val="clear" w:color="auto" w:fill="D9D9D9" w:themeFill="background1" w:themeFillShade="D9"/>
            <w:vAlign w:val="center"/>
          </w:tcPr>
          <w:p w14:paraId="2BBC1628" w14:textId="77777777" w:rsidR="000D2505" w:rsidRPr="00113179" w:rsidRDefault="000D2505" w:rsidP="00155DF6">
            <w:pPr>
              <w:spacing w:before="60" w:after="60"/>
              <w:jc w:val="left"/>
              <w:rPr>
                <w:rFonts w:ascii="Wingdings 2" w:hAnsi="Wingdings 2"/>
              </w:rPr>
            </w:pPr>
          </w:p>
        </w:tc>
      </w:tr>
      <w:tr w:rsidR="000D2505" w:rsidRPr="00113179" w14:paraId="73FDB59B" w14:textId="77777777" w:rsidTr="007B1187">
        <w:tc>
          <w:tcPr>
            <w:tcW w:w="698" w:type="pct"/>
            <w:vAlign w:val="center"/>
          </w:tcPr>
          <w:p w14:paraId="591A15C1"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Alexander et al (2013)</w:t>
            </w:r>
          </w:p>
        </w:tc>
        <w:tc>
          <w:tcPr>
            <w:tcW w:w="239" w:type="pct"/>
            <w:tcBorders>
              <w:bottom w:val="single" w:sz="4" w:space="0" w:color="auto"/>
            </w:tcBorders>
            <w:shd w:val="clear" w:color="auto" w:fill="EAF1DD" w:themeFill="accent3" w:themeFillTint="33"/>
            <w:vAlign w:val="center"/>
          </w:tcPr>
          <w:p w14:paraId="58C1648E" w14:textId="30BBEFAF"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E3B7474"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9EF49F4"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0BF4D7E1"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4B0A9C18" w14:textId="77777777" w:rsidR="000D2505" w:rsidRPr="00113179" w:rsidRDefault="0035554A" w:rsidP="008C2FA4">
            <w:pPr>
              <w:spacing w:before="60" w:after="60"/>
              <w:jc w:val="center"/>
              <w:rPr>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11317E3"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04885123"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C9D4DF4" w14:textId="34E6E178"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9C48A38" w14:textId="18648AB8"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3F7547E"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27150ED" w14:textId="642A6B51"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03A3DD5" w14:textId="4A63DE4A"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562F4E3" w14:textId="74538AE1"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0599783"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8163769" w14:textId="4403DD50"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758812C"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19606082" w14:textId="634E1E6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16327E1" w14:textId="46F1352D"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r>
      <w:tr w:rsidR="000D2505" w:rsidRPr="00113179" w14:paraId="4ED44DB4" w14:textId="77777777" w:rsidTr="007B1187">
        <w:tc>
          <w:tcPr>
            <w:tcW w:w="698" w:type="pct"/>
            <w:vAlign w:val="center"/>
          </w:tcPr>
          <w:p w14:paraId="672CF776"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Belfiore (2013)</w:t>
            </w:r>
          </w:p>
        </w:tc>
        <w:tc>
          <w:tcPr>
            <w:tcW w:w="239" w:type="pct"/>
            <w:tcBorders>
              <w:bottom w:val="single" w:sz="4" w:space="0" w:color="auto"/>
            </w:tcBorders>
            <w:shd w:val="clear" w:color="auto" w:fill="EAF1DD" w:themeFill="accent3" w:themeFillTint="33"/>
            <w:vAlign w:val="center"/>
          </w:tcPr>
          <w:p w14:paraId="431E6952" w14:textId="2E91DE6F"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0BB4782"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BB2FC1A"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0C7E3BEE"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61CDC734"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E5FFEC1" w14:textId="2D0F0F0F" w:rsidR="000D2505" w:rsidRPr="00113179" w:rsidRDefault="000D2505" w:rsidP="008C2FA4">
            <w:pPr>
              <w:spacing w:before="60" w:after="60"/>
              <w:jc w:val="center"/>
              <w:rPr>
                <w:rFonts w:ascii="Wingdings 2" w:hAnsi="Wingdings 2"/>
              </w:rPr>
            </w:pPr>
            <w:r w:rsidRPr="00113179">
              <w:rPr>
                <w:rFonts w:ascii="Wingdings 2" w:hAnsi="Wingdings 2"/>
              </w:rPr>
              <w:t></w:t>
            </w:r>
          </w:p>
        </w:tc>
        <w:tc>
          <w:tcPr>
            <w:tcW w:w="239" w:type="pct"/>
            <w:tcBorders>
              <w:bottom w:val="single" w:sz="4" w:space="0" w:color="auto"/>
            </w:tcBorders>
            <w:shd w:val="clear" w:color="auto" w:fill="F2DBDB" w:themeFill="accent2" w:themeFillTint="33"/>
            <w:vAlign w:val="center"/>
          </w:tcPr>
          <w:p w14:paraId="33BD00A4" w14:textId="77777777" w:rsidR="000D2505" w:rsidRPr="00113179" w:rsidRDefault="000D2505" w:rsidP="008C2FA4">
            <w:pPr>
              <w:spacing w:before="60" w:after="60"/>
              <w:jc w:val="center"/>
              <w:rPr>
                <w:rFonts w:ascii="Wingdings 2" w:hAnsi="Wingdings 2"/>
              </w:rPr>
            </w:pPr>
            <w:r w:rsidRPr="00113179">
              <w:rPr>
                <w:rFonts w:ascii="Wingdings 2" w:hAnsi="Wingdings 2"/>
              </w:rPr>
              <w:t></w:t>
            </w:r>
          </w:p>
        </w:tc>
        <w:tc>
          <w:tcPr>
            <w:tcW w:w="239" w:type="pct"/>
            <w:tcBorders>
              <w:bottom w:val="single" w:sz="4" w:space="0" w:color="auto"/>
            </w:tcBorders>
            <w:shd w:val="clear" w:color="auto" w:fill="EAF1DD" w:themeFill="accent3" w:themeFillTint="33"/>
            <w:vAlign w:val="center"/>
          </w:tcPr>
          <w:p w14:paraId="74CE54D6" w14:textId="35C177E9" w:rsidR="000D2505" w:rsidRPr="00113179" w:rsidRDefault="000D2505" w:rsidP="008C2FA4">
            <w:pPr>
              <w:spacing w:before="60" w:after="60"/>
              <w:jc w:val="center"/>
              <w:rPr>
                <w:rFonts w:ascii="Wingdings 2" w:hAnsi="Wingdings 2"/>
              </w:rPr>
            </w:pPr>
            <w:r w:rsidRPr="00113179">
              <w:rPr>
                <w:rFonts w:ascii="Wingdings 2" w:hAnsi="Wingdings 2"/>
              </w:rPr>
              <w:t></w:t>
            </w:r>
          </w:p>
        </w:tc>
        <w:tc>
          <w:tcPr>
            <w:tcW w:w="239" w:type="pct"/>
            <w:tcBorders>
              <w:bottom w:val="single" w:sz="4" w:space="0" w:color="auto"/>
            </w:tcBorders>
            <w:shd w:val="clear" w:color="auto" w:fill="FFFFCC"/>
            <w:vAlign w:val="center"/>
          </w:tcPr>
          <w:p w14:paraId="2A999DF7"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624DC8E5"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D20F3EC" w14:textId="5A21E7B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43A92CE" w14:textId="61C3D2B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61EBC27" w14:textId="307791E5"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42523C5"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5FDA2337" w14:textId="7624C8BE"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E85EF56" w14:textId="7C3616F5"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33BA7D6" w14:textId="421BB19C"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2A27E4E"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r>
      <w:tr w:rsidR="0035554A" w:rsidRPr="00113179" w14:paraId="5CCCEFB8" w14:textId="77777777" w:rsidTr="007B1187">
        <w:tc>
          <w:tcPr>
            <w:tcW w:w="698" w:type="pct"/>
            <w:vAlign w:val="center"/>
          </w:tcPr>
          <w:p w14:paraId="41B5DB4A" w14:textId="77777777" w:rsidR="0035554A" w:rsidRPr="00113179" w:rsidRDefault="0035554A"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Carrafiello et al (2014)</w:t>
            </w:r>
          </w:p>
        </w:tc>
        <w:tc>
          <w:tcPr>
            <w:tcW w:w="239" w:type="pct"/>
            <w:tcBorders>
              <w:bottom w:val="single" w:sz="4" w:space="0" w:color="auto"/>
            </w:tcBorders>
            <w:shd w:val="clear" w:color="auto" w:fill="EAF1DD" w:themeFill="accent3" w:themeFillTint="33"/>
            <w:vAlign w:val="center"/>
          </w:tcPr>
          <w:p w14:paraId="78AA8B1C" w14:textId="3B798A35"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1A79A39"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55D449A8"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4C1AA0C6" w14:textId="77777777" w:rsidR="0035554A" w:rsidRPr="00113179" w:rsidRDefault="0035554A"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3496B79A"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50E6976"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64F09787"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CF1F0B4" w14:textId="40B7F99B"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8AC2159" w14:textId="6CEF8DCA"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E884C31"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DDFCD1E" w14:textId="3D1F8075"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DCCBF28" w14:textId="7C8FEEED"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2CE3168" w14:textId="38CE05EA"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7B4A2E61"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67E24A01" w14:textId="52C5B9BF"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F3DF17C" w14:textId="0673C921"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6661C2E" w14:textId="22F7AA51"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0653ED8D" w14:textId="77777777" w:rsidR="0035554A" w:rsidRPr="00113179" w:rsidRDefault="0035554A" w:rsidP="008C2FA4">
            <w:pPr>
              <w:spacing w:before="60" w:after="60"/>
              <w:jc w:val="center"/>
              <w:rPr>
                <w:color w:val="000000"/>
              </w:rPr>
            </w:pPr>
            <w:r w:rsidRPr="00113179">
              <w:rPr>
                <w:color w:val="000000"/>
              </w:rPr>
              <w:t>•</w:t>
            </w:r>
          </w:p>
        </w:tc>
      </w:tr>
      <w:tr w:rsidR="000D2505" w:rsidRPr="00113179" w14:paraId="12741693" w14:textId="77777777" w:rsidTr="007B1187">
        <w:tc>
          <w:tcPr>
            <w:tcW w:w="698" w:type="pct"/>
            <w:vAlign w:val="center"/>
          </w:tcPr>
          <w:p w14:paraId="3D155A35"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Carrafiello et al (2012)</w:t>
            </w:r>
          </w:p>
        </w:tc>
        <w:tc>
          <w:tcPr>
            <w:tcW w:w="239" w:type="pct"/>
            <w:tcBorders>
              <w:bottom w:val="single" w:sz="4" w:space="0" w:color="auto"/>
            </w:tcBorders>
            <w:shd w:val="clear" w:color="auto" w:fill="EAF1DD" w:themeFill="accent3" w:themeFillTint="33"/>
            <w:vAlign w:val="center"/>
          </w:tcPr>
          <w:p w14:paraId="77328076" w14:textId="124DA92A"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67772D92"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621C19DF"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6B196610"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486D5CC9"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268D774B"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C263DC8"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21CEAB7" w14:textId="485F6B8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A6525C7" w14:textId="0FACE786"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5671F16"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02046AA" w14:textId="773AAC1C"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143C006" w14:textId="20E9A35D"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F2A7EF9" w14:textId="3E2CDD8F"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C55D34D" w14:textId="5A3C8852"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5397F754" w14:textId="5F4695A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7F840DD" w14:textId="31E89FD5"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9DD0E9D" w14:textId="444878A2"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10867CF2" w14:textId="77777777" w:rsidR="000D2505" w:rsidRPr="00113179" w:rsidRDefault="000D2505" w:rsidP="008C2FA4">
            <w:pPr>
              <w:spacing w:before="60" w:after="60"/>
              <w:jc w:val="center"/>
              <w:rPr>
                <w:color w:val="000000"/>
              </w:rPr>
            </w:pPr>
            <w:r w:rsidRPr="00113179">
              <w:rPr>
                <w:color w:val="000000"/>
              </w:rPr>
              <w:t>•</w:t>
            </w:r>
          </w:p>
        </w:tc>
      </w:tr>
      <w:tr w:rsidR="000D2505" w:rsidRPr="00113179" w14:paraId="0044A40C" w14:textId="77777777" w:rsidTr="007B1187">
        <w:tc>
          <w:tcPr>
            <w:tcW w:w="698" w:type="pct"/>
            <w:vAlign w:val="center"/>
          </w:tcPr>
          <w:p w14:paraId="0A92C3E5"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Chung et al (2014)</w:t>
            </w:r>
          </w:p>
        </w:tc>
        <w:tc>
          <w:tcPr>
            <w:tcW w:w="239" w:type="pct"/>
            <w:tcBorders>
              <w:bottom w:val="single" w:sz="4" w:space="0" w:color="auto"/>
            </w:tcBorders>
            <w:shd w:val="clear" w:color="auto" w:fill="EAF1DD" w:themeFill="accent3" w:themeFillTint="33"/>
            <w:vAlign w:val="center"/>
          </w:tcPr>
          <w:p w14:paraId="3B71EE66" w14:textId="2B48B8E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CD3A077"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7DBFADCC"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3D7B70A2"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439CC4B4"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7032FCAA"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6F13E656"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97876B0" w14:textId="1FEACF96"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D6E2B1C" w14:textId="0E2A7A86"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6789D9A"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C42DAEA" w14:textId="0EAB0FA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BD4FECE" w14:textId="5384D44F"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553FD65D"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D0F8A1A"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2831B288" w14:textId="29D1B59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59ACFE5" w14:textId="6D3021FE"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6F26386A" w14:textId="77777777" w:rsidR="000D2505" w:rsidRPr="00113179" w:rsidRDefault="000D2505" w:rsidP="008C2FA4">
            <w:pPr>
              <w:spacing w:before="60" w:after="60"/>
              <w:jc w:val="center"/>
            </w:pPr>
            <w:r w:rsidRPr="00113179">
              <w:t>?</w:t>
            </w:r>
          </w:p>
        </w:tc>
        <w:tc>
          <w:tcPr>
            <w:tcW w:w="239" w:type="pct"/>
            <w:tcBorders>
              <w:bottom w:val="single" w:sz="4" w:space="0" w:color="auto"/>
            </w:tcBorders>
            <w:shd w:val="clear" w:color="auto" w:fill="EAF1DD" w:themeFill="accent3" w:themeFillTint="33"/>
            <w:vAlign w:val="center"/>
          </w:tcPr>
          <w:p w14:paraId="284F2B80" w14:textId="6A94F9B1"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r>
      <w:tr w:rsidR="0035554A" w:rsidRPr="00113179" w14:paraId="674C77AA" w14:textId="77777777" w:rsidTr="007B1187">
        <w:tc>
          <w:tcPr>
            <w:tcW w:w="698" w:type="pct"/>
            <w:vAlign w:val="center"/>
          </w:tcPr>
          <w:p w14:paraId="64560BF7" w14:textId="77777777" w:rsidR="0035554A" w:rsidRPr="00113179" w:rsidRDefault="0035554A"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Egashira et al (2016)</w:t>
            </w:r>
          </w:p>
        </w:tc>
        <w:tc>
          <w:tcPr>
            <w:tcW w:w="239" w:type="pct"/>
            <w:tcBorders>
              <w:bottom w:val="single" w:sz="4" w:space="0" w:color="auto"/>
            </w:tcBorders>
            <w:shd w:val="clear" w:color="auto" w:fill="EAF1DD" w:themeFill="accent3" w:themeFillTint="33"/>
            <w:vAlign w:val="center"/>
          </w:tcPr>
          <w:p w14:paraId="5415F7FE" w14:textId="703BF535"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69D7BDC3"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497D0A9"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1F2CAFAD" w14:textId="77777777" w:rsidR="0035554A" w:rsidRPr="00113179" w:rsidRDefault="0035554A"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105C2FE1" w14:textId="473AE066"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BA58EC6" w14:textId="38BF837E"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59631912"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9C5AAE5" w14:textId="26245BD5"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F39E77C" w14:textId="5BE3B2CC"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B726726"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EEBF43F" w14:textId="494F33B2"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D05EDC1" w14:textId="7E7F099A"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77EC8ED" w14:textId="6AA06642"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5EEEE56" w14:textId="267FE1FF"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5A3A2299" w14:textId="130DBC52"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34E1AC2" w14:textId="10FE509C"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6665296A" w14:textId="77777777" w:rsidR="0035554A" w:rsidRPr="00113179" w:rsidRDefault="0035554A"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51F2B667" w14:textId="77777777" w:rsidR="0035554A" w:rsidRPr="00113179" w:rsidRDefault="0035554A" w:rsidP="008C2FA4">
            <w:pPr>
              <w:spacing w:before="60" w:after="60"/>
              <w:jc w:val="center"/>
              <w:rPr>
                <w:color w:val="000000"/>
              </w:rPr>
            </w:pPr>
            <w:r w:rsidRPr="00113179">
              <w:rPr>
                <w:color w:val="000000"/>
              </w:rPr>
              <w:t>•</w:t>
            </w:r>
          </w:p>
        </w:tc>
      </w:tr>
      <w:tr w:rsidR="000D2505" w:rsidRPr="00113179" w14:paraId="59413FEE" w14:textId="77777777" w:rsidTr="007B1187">
        <w:tc>
          <w:tcPr>
            <w:tcW w:w="698" w:type="pct"/>
            <w:vAlign w:val="center"/>
          </w:tcPr>
          <w:p w14:paraId="7B97A453"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He et al (2006)</w:t>
            </w:r>
          </w:p>
        </w:tc>
        <w:tc>
          <w:tcPr>
            <w:tcW w:w="239" w:type="pct"/>
            <w:tcBorders>
              <w:bottom w:val="single" w:sz="4" w:space="0" w:color="auto"/>
            </w:tcBorders>
            <w:shd w:val="clear" w:color="auto" w:fill="EAF1DD" w:themeFill="accent3" w:themeFillTint="33"/>
            <w:vAlign w:val="center"/>
          </w:tcPr>
          <w:p w14:paraId="0387EFC1" w14:textId="07673AB4"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11056C4C"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18186765"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B43419D"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5E391F84"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507AF1FB"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7A1FAA9"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C19DC05" w14:textId="1E43D08D"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471A6F40"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5C2AD65F"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26ED878" w14:textId="2AA47DCD"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1736B42" w14:textId="037AED61"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3E67999" w14:textId="1DF155C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BD3CC62"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2754915D" w14:textId="4E74FF06"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2595461" w14:textId="79685E72"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680704E6"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053C88A" w14:textId="77777777" w:rsidR="000D2505" w:rsidRPr="00113179" w:rsidRDefault="000D2505" w:rsidP="008C2FA4">
            <w:pPr>
              <w:spacing w:before="60" w:after="60"/>
              <w:jc w:val="center"/>
              <w:rPr>
                <w:color w:val="000000"/>
              </w:rPr>
            </w:pPr>
            <w:r w:rsidRPr="00113179">
              <w:rPr>
                <w:color w:val="000000"/>
              </w:rPr>
              <w:t>•</w:t>
            </w:r>
          </w:p>
        </w:tc>
      </w:tr>
      <w:tr w:rsidR="000D2505" w:rsidRPr="00113179" w14:paraId="7FC2FAA0" w14:textId="77777777" w:rsidTr="007B1187">
        <w:tc>
          <w:tcPr>
            <w:tcW w:w="698" w:type="pct"/>
            <w:vAlign w:val="center"/>
          </w:tcPr>
          <w:p w14:paraId="373E7995"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Little et al (2013)</w:t>
            </w:r>
          </w:p>
        </w:tc>
        <w:tc>
          <w:tcPr>
            <w:tcW w:w="239" w:type="pct"/>
            <w:tcBorders>
              <w:bottom w:val="single" w:sz="4" w:space="0" w:color="auto"/>
            </w:tcBorders>
            <w:shd w:val="clear" w:color="auto" w:fill="EAF1DD" w:themeFill="accent3" w:themeFillTint="33"/>
            <w:vAlign w:val="center"/>
          </w:tcPr>
          <w:p w14:paraId="72CB2716" w14:textId="33FC3061"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76A76EA6"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04CD9A8"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F46C58A" w14:textId="6CD8C18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0915323A"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0D348E8D" w14:textId="5285D633"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344D6288"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7C9D4CC" w14:textId="73774129"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4F56456" w14:textId="410BAB8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51702FF"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EDABC9E" w14:textId="77C0D1D4"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882B3EB" w14:textId="3B3EA628"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93D12E4" w14:textId="6D7914FC"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70A8A79" w14:textId="5926FA30"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0A6F0F0A" w14:textId="4758D9F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1A0A642" w14:textId="36AF4428"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B171195" w14:textId="7CD6816D"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6F0A78A3" w14:textId="77777777" w:rsidR="000D2505" w:rsidRPr="00113179" w:rsidRDefault="000D2505" w:rsidP="008C2FA4">
            <w:pPr>
              <w:spacing w:before="60" w:after="60"/>
              <w:jc w:val="center"/>
              <w:rPr>
                <w:color w:val="000000"/>
              </w:rPr>
            </w:pPr>
            <w:r w:rsidRPr="00113179">
              <w:rPr>
                <w:color w:val="000000"/>
              </w:rPr>
              <w:t>•</w:t>
            </w:r>
          </w:p>
        </w:tc>
      </w:tr>
      <w:tr w:rsidR="000D2505" w:rsidRPr="00113179" w14:paraId="4265990A" w14:textId="77777777" w:rsidTr="007B1187">
        <w:tc>
          <w:tcPr>
            <w:tcW w:w="698" w:type="pct"/>
            <w:vAlign w:val="center"/>
          </w:tcPr>
          <w:p w14:paraId="7615BE3D" w14:textId="77777777" w:rsidR="000D2505" w:rsidRPr="00113179" w:rsidRDefault="000D2505" w:rsidP="00155DF6">
            <w:pPr>
              <w:widowControl w:val="0"/>
              <w:spacing w:before="60" w:after="60"/>
              <w:jc w:val="left"/>
              <w:rPr>
                <w:rFonts w:ascii="Arial Narrow" w:hAnsi="Arial Narrow"/>
                <w:snapToGrid w:val="0"/>
                <w:sz w:val="20"/>
                <w:szCs w:val="20"/>
              </w:rPr>
            </w:pPr>
            <w:r w:rsidRPr="00113179">
              <w:rPr>
                <w:rFonts w:ascii="Arial Narrow" w:hAnsi="Arial Narrow"/>
                <w:snapToGrid w:val="0"/>
                <w:sz w:val="20"/>
                <w:szCs w:val="20"/>
              </w:rPr>
              <w:t>Lu et al (2012)</w:t>
            </w:r>
          </w:p>
        </w:tc>
        <w:tc>
          <w:tcPr>
            <w:tcW w:w="239" w:type="pct"/>
            <w:tcBorders>
              <w:bottom w:val="single" w:sz="4" w:space="0" w:color="auto"/>
            </w:tcBorders>
            <w:shd w:val="clear" w:color="auto" w:fill="EAF1DD" w:themeFill="accent3" w:themeFillTint="33"/>
            <w:vAlign w:val="center"/>
          </w:tcPr>
          <w:p w14:paraId="3B301C94" w14:textId="4C303D11"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3FC51B54"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7B63CE3"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54A7BFF"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4583D3EE" w14:textId="77777777" w:rsidR="000D2505" w:rsidRPr="00113179" w:rsidRDefault="000D2505" w:rsidP="008C2FA4">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6D6639AF" w14:textId="71A3826D"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5BFE1D1"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D46D07D" w14:textId="28CF73DA"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0B922C8" w14:textId="399C4D89"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977FE31" w14:textId="77777777"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B5F65BB" w14:textId="3C57445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5CE9F29" w14:textId="7AE62AC0"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2BCB4D9" w14:textId="6B0303D4"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C72B137" w14:textId="6DB6D46C"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2705504A" w14:textId="1A002F8B"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1E60166" w14:textId="142CA82A"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FD069B7" w14:textId="103BFD5F"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9746C25" w14:textId="6873DC22" w:rsidR="000D2505" w:rsidRPr="00113179" w:rsidRDefault="000D2505" w:rsidP="008C2FA4">
            <w:pPr>
              <w:spacing w:before="60" w:after="60"/>
              <w:jc w:val="center"/>
              <w:rPr>
                <w:rFonts w:ascii="Wingdings 2" w:hAnsi="Wingdings 2"/>
                <w:color w:val="000000"/>
              </w:rPr>
            </w:pPr>
            <w:r w:rsidRPr="00113179">
              <w:rPr>
                <w:rFonts w:ascii="Wingdings 2" w:hAnsi="Wingdings 2"/>
                <w:color w:val="000000"/>
              </w:rPr>
              <w:t></w:t>
            </w:r>
          </w:p>
        </w:tc>
      </w:tr>
      <w:tr w:rsidR="0035554A" w:rsidRPr="00113179" w14:paraId="01836626" w14:textId="77777777" w:rsidTr="007B1187">
        <w:tc>
          <w:tcPr>
            <w:tcW w:w="698" w:type="pct"/>
            <w:vAlign w:val="center"/>
          </w:tcPr>
          <w:p w14:paraId="4EACE70E" w14:textId="77777777" w:rsidR="0035554A" w:rsidRPr="00113179" w:rsidRDefault="0035554A" w:rsidP="00EA6589">
            <w:pPr>
              <w:widowControl w:val="0"/>
              <w:spacing w:before="60" w:after="60"/>
              <w:rPr>
                <w:rFonts w:ascii="Arial Narrow" w:hAnsi="Arial Narrow"/>
                <w:snapToGrid w:val="0"/>
                <w:sz w:val="20"/>
                <w:szCs w:val="20"/>
              </w:rPr>
            </w:pPr>
            <w:r w:rsidRPr="00113179">
              <w:rPr>
                <w:rFonts w:ascii="Arial Narrow" w:hAnsi="Arial Narrow"/>
                <w:snapToGrid w:val="0"/>
                <w:sz w:val="20"/>
                <w:szCs w:val="20"/>
              </w:rPr>
              <w:t>Nour-Eldin (2011)</w:t>
            </w:r>
          </w:p>
        </w:tc>
        <w:tc>
          <w:tcPr>
            <w:tcW w:w="239" w:type="pct"/>
            <w:tcBorders>
              <w:bottom w:val="single" w:sz="4" w:space="0" w:color="auto"/>
            </w:tcBorders>
            <w:shd w:val="clear" w:color="auto" w:fill="EAF1DD" w:themeFill="accent3" w:themeFillTint="33"/>
            <w:vAlign w:val="center"/>
          </w:tcPr>
          <w:p w14:paraId="5A28D66E" w14:textId="1BDD5982"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6BB72BB3"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6D1467E3"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42E26507" w14:textId="77777777" w:rsidR="0035554A" w:rsidRPr="00113179" w:rsidRDefault="0035554A"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024A973C"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2989C89"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33B9EF0B"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F14371A" w14:textId="15BF9670"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592EF42" w14:textId="71FB01BA"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30F198E9"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F83E5A1" w14:textId="457E41DE"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20D3A2A" w14:textId="17B1C0E3"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07D2D96"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2D4A7C2E" w14:textId="77777777" w:rsidR="0035554A" w:rsidRPr="00113179" w:rsidRDefault="0035554A"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1D8ABC64" w14:textId="194172C6"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6E6A0D56" w14:textId="77777777" w:rsidR="0035554A" w:rsidRPr="00113179" w:rsidRDefault="0035554A"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758E813E" w14:textId="7EDCD325"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7012207" w14:textId="77777777" w:rsidR="0035554A" w:rsidRPr="00113179" w:rsidRDefault="0035554A" w:rsidP="007B1187">
            <w:pPr>
              <w:spacing w:before="60" w:after="60"/>
              <w:jc w:val="center"/>
              <w:rPr>
                <w:color w:val="000000"/>
              </w:rPr>
            </w:pPr>
            <w:r w:rsidRPr="00113179">
              <w:rPr>
                <w:color w:val="000000"/>
              </w:rPr>
              <w:t>•</w:t>
            </w:r>
          </w:p>
        </w:tc>
      </w:tr>
      <w:tr w:rsidR="0035554A" w:rsidRPr="00113179" w14:paraId="5E92A892" w14:textId="77777777" w:rsidTr="007B1187">
        <w:tc>
          <w:tcPr>
            <w:tcW w:w="698" w:type="pct"/>
            <w:vAlign w:val="center"/>
          </w:tcPr>
          <w:p w14:paraId="28F2802B" w14:textId="77777777" w:rsidR="0035554A" w:rsidRPr="00113179" w:rsidRDefault="0035554A" w:rsidP="00EA6589">
            <w:pPr>
              <w:widowControl w:val="0"/>
              <w:spacing w:before="60" w:after="60"/>
              <w:rPr>
                <w:rFonts w:ascii="Arial Narrow" w:hAnsi="Arial Narrow"/>
                <w:snapToGrid w:val="0"/>
                <w:sz w:val="20"/>
                <w:szCs w:val="20"/>
              </w:rPr>
            </w:pPr>
            <w:r w:rsidRPr="00113179">
              <w:rPr>
                <w:rFonts w:ascii="Arial Narrow" w:hAnsi="Arial Narrow"/>
                <w:snapToGrid w:val="0"/>
                <w:sz w:val="20"/>
                <w:szCs w:val="20"/>
              </w:rPr>
              <w:lastRenderedPageBreak/>
              <w:t>Splatt &amp; Steinke (2015)</w:t>
            </w:r>
          </w:p>
        </w:tc>
        <w:tc>
          <w:tcPr>
            <w:tcW w:w="239" w:type="pct"/>
            <w:tcBorders>
              <w:bottom w:val="single" w:sz="4" w:space="0" w:color="auto"/>
            </w:tcBorders>
            <w:shd w:val="clear" w:color="auto" w:fill="EAF1DD" w:themeFill="accent3" w:themeFillTint="33"/>
            <w:vAlign w:val="center"/>
          </w:tcPr>
          <w:p w14:paraId="7A2BCC95" w14:textId="789D1BA3"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7D546919"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A50DB25"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AF3E60A" w14:textId="77777777" w:rsidR="0035554A" w:rsidRPr="00113179" w:rsidRDefault="0035554A"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79CD1866"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C2DEA2E"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87DBA8F"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A6ABD3E" w14:textId="3E3A3D51"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BEABD54"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576E1622" w14:textId="77777777"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553EF4B" w14:textId="5B4F2511"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00FDB06" w14:textId="064DD273"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2B5259A9" w14:textId="77777777" w:rsidR="0035554A" w:rsidRPr="00113179" w:rsidRDefault="0035554A"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11467234" w14:textId="77777777" w:rsidR="0035554A" w:rsidRPr="00113179" w:rsidRDefault="0035554A"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5697E525" w14:textId="728F2E03"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1C3E9562" w14:textId="77777777" w:rsidR="0035554A" w:rsidRPr="00113179" w:rsidRDefault="0035554A"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27F59B62" w14:textId="79E517AE" w:rsidR="0035554A" w:rsidRPr="00113179" w:rsidRDefault="0035554A"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1456BCB8" w14:textId="77777777" w:rsidR="0035554A" w:rsidRPr="00113179" w:rsidRDefault="0035554A" w:rsidP="007B1187">
            <w:pPr>
              <w:spacing w:before="60" w:after="60"/>
              <w:jc w:val="center"/>
              <w:rPr>
                <w:color w:val="000000"/>
              </w:rPr>
            </w:pPr>
            <w:r w:rsidRPr="00113179">
              <w:rPr>
                <w:color w:val="000000"/>
              </w:rPr>
              <w:t>•</w:t>
            </w:r>
          </w:p>
        </w:tc>
      </w:tr>
      <w:tr w:rsidR="000D2505" w:rsidRPr="00113179" w14:paraId="04E1BE16" w14:textId="77777777" w:rsidTr="007B1187">
        <w:tc>
          <w:tcPr>
            <w:tcW w:w="698" w:type="pct"/>
            <w:vAlign w:val="center"/>
          </w:tcPr>
          <w:p w14:paraId="3B59DF0D" w14:textId="77777777" w:rsidR="000D2505" w:rsidRPr="00113179" w:rsidRDefault="000D2505" w:rsidP="00EA6589">
            <w:pPr>
              <w:widowControl w:val="0"/>
              <w:spacing w:before="60" w:after="60"/>
              <w:rPr>
                <w:rFonts w:ascii="Arial Narrow" w:hAnsi="Arial Narrow"/>
                <w:snapToGrid w:val="0"/>
                <w:sz w:val="20"/>
                <w:szCs w:val="20"/>
              </w:rPr>
            </w:pPr>
            <w:r w:rsidRPr="00113179">
              <w:rPr>
                <w:rFonts w:ascii="Arial Narrow" w:hAnsi="Arial Narrow"/>
                <w:snapToGrid w:val="0"/>
                <w:sz w:val="20"/>
                <w:szCs w:val="20"/>
              </w:rPr>
              <w:t>Sun et al (2015)</w:t>
            </w:r>
          </w:p>
        </w:tc>
        <w:tc>
          <w:tcPr>
            <w:tcW w:w="239" w:type="pct"/>
            <w:tcBorders>
              <w:bottom w:val="single" w:sz="4" w:space="0" w:color="auto"/>
            </w:tcBorders>
            <w:shd w:val="clear" w:color="auto" w:fill="EAF1DD" w:themeFill="accent3" w:themeFillTint="33"/>
            <w:vAlign w:val="center"/>
          </w:tcPr>
          <w:p w14:paraId="01CED2CA" w14:textId="64CA724F"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679336C"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22B69E3D"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52E15935"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2A28384C"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6404809E"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BC71268"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F19CD90" w14:textId="45902388"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BEFE67A" w14:textId="45AFE249"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D69B602"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B781C7A" w14:textId="0788E81C"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9E96589" w14:textId="2A3D28A1"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9E9244B" w14:textId="074C73A5"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0221DD3" w14:textId="1AFD3B8A"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57DEF38E" w14:textId="7FE1D241"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F326881" w14:textId="154BFF80"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6BDFCF23"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41A6D5A"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r>
      <w:tr w:rsidR="000D2505" w:rsidRPr="00113179" w14:paraId="4709194E" w14:textId="77777777" w:rsidTr="007B1187">
        <w:tc>
          <w:tcPr>
            <w:tcW w:w="698" w:type="pct"/>
            <w:vAlign w:val="center"/>
          </w:tcPr>
          <w:p w14:paraId="634601CB" w14:textId="77777777" w:rsidR="000D2505" w:rsidRPr="00113179" w:rsidRDefault="000D2505" w:rsidP="00EA6589">
            <w:pPr>
              <w:widowControl w:val="0"/>
              <w:spacing w:before="60" w:after="60"/>
              <w:rPr>
                <w:rFonts w:ascii="Arial Narrow" w:hAnsi="Arial Narrow"/>
                <w:snapToGrid w:val="0"/>
                <w:sz w:val="20"/>
                <w:szCs w:val="20"/>
              </w:rPr>
            </w:pPr>
            <w:r w:rsidRPr="00113179">
              <w:rPr>
                <w:rFonts w:ascii="Arial Narrow" w:hAnsi="Arial Narrow"/>
                <w:snapToGrid w:val="0"/>
                <w:sz w:val="20"/>
                <w:szCs w:val="20"/>
              </w:rPr>
              <w:t>Wolf et al (2008)</w:t>
            </w:r>
          </w:p>
        </w:tc>
        <w:tc>
          <w:tcPr>
            <w:tcW w:w="239" w:type="pct"/>
            <w:tcBorders>
              <w:bottom w:val="single" w:sz="4" w:space="0" w:color="auto"/>
            </w:tcBorders>
            <w:shd w:val="clear" w:color="auto" w:fill="EAF1DD" w:themeFill="accent3" w:themeFillTint="33"/>
            <w:vAlign w:val="center"/>
          </w:tcPr>
          <w:p w14:paraId="0FBFC49B" w14:textId="1F959CF5"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AE62B73"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7B1DBD01"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3EE8D496"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053056D6"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2A800924" w14:textId="49B3131C"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CEB62CD"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D3A1935" w14:textId="75F0E42C"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8E5CBB6" w14:textId="356E655F"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22C4ED92"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7DAB59B" w14:textId="6733AAE0"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C75E4A9" w14:textId="442F4A83"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1D1E9DA" w14:textId="654A5615"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1D0554D2"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7093C33E" w14:textId="6FD5634E"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FB6223F" w14:textId="684F94F4"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394CCD7D" w14:textId="77777777" w:rsidR="000D2505" w:rsidRPr="00113179" w:rsidRDefault="000D2505" w:rsidP="007B1187">
            <w:pPr>
              <w:spacing w:before="60" w:after="60"/>
              <w:jc w:val="center"/>
            </w:pPr>
            <w:r w:rsidRPr="00113179">
              <w:t>?</w:t>
            </w:r>
          </w:p>
        </w:tc>
        <w:tc>
          <w:tcPr>
            <w:tcW w:w="239" w:type="pct"/>
            <w:tcBorders>
              <w:bottom w:val="single" w:sz="4" w:space="0" w:color="auto"/>
            </w:tcBorders>
            <w:shd w:val="clear" w:color="auto" w:fill="F2DBDB" w:themeFill="accent2" w:themeFillTint="33"/>
            <w:vAlign w:val="center"/>
          </w:tcPr>
          <w:p w14:paraId="5273FEF7"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r>
      <w:tr w:rsidR="000D2505" w:rsidRPr="00113179" w14:paraId="2D6C8355" w14:textId="77777777" w:rsidTr="007B1187">
        <w:tc>
          <w:tcPr>
            <w:tcW w:w="698" w:type="pct"/>
            <w:vAlign w:val="center"/>
          </w:tcPr>
          <w:p w14:paraId="431C9B6E" w14:textId="77777777" w:rsidR="000D2505" w:rsidRPr="00113179" w:rsidRDefault="000D2505" w:rsidP="00EA6589">
            <w:pPr>
              <w:widowControl w:val="0"/>
              <w:spacing w:before="60" w:after="60"/>
              <w:rPr>
                <w:rFonts w:ascii="Arial Narrow" w:hAnsi="Arial Narrow"/>
                <w:snapToGrid w:val="0"/>
                <w:sz w:val="20"/>
                <w:szCs w:val="20"/>
              </w:rPr>
            </w:pPr>
            <w:r w:rsidRPr="00113179">
              <w:rPr>
                <w:rFonts w:ascii="Arial Narrow" w:hAnsi="Arial Narrow"/>
                <w:snapToGrid w:val="0"/>
                <w:sz w:val="20"/>
                <w:szCs w:val="20"/>
              </w:rPr>
              <w:t>Yang et al (2015)</w:t>
            </w:r>
          </w:p>
        </w:tc>
        <w:tc>
          <w:tcPr>
            <w:tcW w:w="239" w:type="pct"/>
            <w:tcBorders>
              <w:bottom w:val="single" w:sz="4" w:space="0" w:color="auto"/>
            </w:tcBorders>
            <w:shd w:val="clear" w:color="auto" w:fill="EAF1DD" w:themeFill="accent3" w:themeFillTint="33"/>
            <w:vAlign w:val="center"/>
          </w:tcPr>
          <w:p w14:paraId="3B83997D" w14:textId="50124AF4"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42A411AC"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2B46D558"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57734CFC"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7D5D4C57"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7F469BEA"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52D85904"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0DBD5C7" w14:textId="68D2453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CA51FA4" w14:textId="65B608E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5BBA315"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A6C2191" w14:textId="1380490F"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71506F58" w14:textId="3B7F6E5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35CC8199"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0194A387"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3E521675" w14:textId="22B8A153"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E346AFB" w14:textId="2011BCF4"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6BF91ABD" w14:textId="638AA14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4E83B2BB" w14:textId="5859E2F4"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r>
      <w:tr w:rsidR="000D2505" w:rsidRPr="00113179" w14:paraId="61A4FDFB" w14:textId="77777777" w:rsidTr="007B1187">
        <w:tc>
          <w:tcPr>
            <w:tcW w:w="698" w:type="pct"/>
            <w:vAlign w:val="center"/>
          </w:tcPr>
          <w:p w14:paraId="36F70DB9" w14:textId="77777777" w:rsidR="000D2505" w:rsidRPr="00113179" w:rsidRDefault="000D2505" w:rsidP="00EA6589">
            <w:pPr>
              <w:widowControl w:val="0"/>
              <w:spacing w:before="60" w:after="60"/>
              <w:rPr>
                <w:rFonts w:ascii="Arial Narrow" w:hAnsi="Arial Narrow"/>
                <w:snapToGrid w:val="0"/>
                <w:sz w:val="20"/>
                <w:szCs w:val="20"/>
              </w:rPr>
            </w:pPr>
            <w:r w:rsidRPr="00113179">
              <w:rPr>
                <w:rFonts w:ascii="Arial Narrow" w:hAnsi="Arial Narrow"/>
                <w:snapToGrid w:val="0"/>
                <w:sz w:val="20"/>
                <w:szCs w:val="20"/>
              </w:rPr>
              <w:t>Zheng et al (2014)</w:t>
            </w:r>
          </w:p>
        </w:tc>
        <w:tc>
          <w:tcPr>
            <w:tcW w:w="239" w:type="pct"/>
            <w:tcBorders>
              <w:bottom w:val="single" w:sz="4" w:space="0" w:color="auto"/>
            </w:tcBorders>
            <w:shd w:val="clear" w:color="auto" w:fill="EAF1DD" w:themeFill="accent3" w:themeFillTint="33"/>
            <w:vAlign w:val="center"/>
          </w:tcPr>
          <w:p w14:paraId="3ED654BD" w14:textId="0B649365"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3F7DAB08"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5317199D"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83E6F5B" w14:textId="2C773A9F"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4E42CF4C"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2DBDB" w:themeFill="accent2" w:themeFillTint="33"/>
            <w:vAlign w:val="center"/>
          </w:tcPr>
          <w:p w14:paraId="74177D42"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42D4756"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1816798C" w14:textId="7510B0B0"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3141B864" w14:textId="1C57425B"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414BA793"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0E6884AD" w14:textId="5A995E9F"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5AB6A542" w14:textId="48CFD121"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2BEEA899"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7DC6C454"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FFFFCC"/>
            <w:vAlign w:val="center"/>
          </w:tcPr>
          <w:p w14:paraId="4D66C70C" w14:textId="6796B0E2"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FFFCC"/>
            <w:vAlign w:val="center"/>
          </w:tcPr>
          <w:p w14:paraId="7AEEED00" w14:textId="77777777" w:rsidR="000D2505" w:rsidRPr="00113179" w:rsidRDefault="000D2505" w:rsidP="007B1187">
            <w:pPr>
              <w:spacing w:before="60" w:after="60"/>
              <w:jc w:val="center"/>
              <w:rPr>
                <w:color w:val="000000"/>
              </w:rPr>
            </w:pPr>
            <w:r w:rsidRPr="00113179">
              <w:rPr>
                <w:color w:val="000000"/>
              </w:rPr>
              <w:t>•</w:t>
            </w:r>
          </w:p>
        </w:tc>
        <w:tc>
          <w:tcPr>
            <w:tcW w:w="239" w:type="pct"/>
            <w:tcBorders>
              <w:bottom w:val="single" w:sz="4" w:space="0" w:color="auto"/>
            </w:tcBorders>
            <w:shd w:val="clear" w:color="auto" w:fill="EAF1DD" w:themeFill="accent3" w:themeFillTint="33"/>
            <w:vAlign w:val="center"/>
          </w:tcPr>
          <w:p w14:paraId="3B070A71" w14:textId="1B0CBC66"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c>
          <w:tcPr>
            <w:tcW w:w="239" w:type="pct"/>
            <w:tcBorders>
              <w:bottom w:val="single" w:sz="4" w:space="0" w:color="auto"/>
            </w:tcBorders>
            <w:shd w:val="clear" w:color="auto" w:fill="F2DBDB" w:themeFill="accent2" w:themeFillTint="33"/>
            <w:vAlign w:val="center"/>
          </w:tcPr>
          <w:p w14:paraId="18286B31" w14:textId="77777777" w:rsidR="000D2505" w:rsidRPr="00113179" w:rsidRDefault="000D2505" w:rsidP="007B1187">
            <w:pPr>
              <w:spacing w:before="60" w:after="60"/>
              <w:jc w:val="center"/>
              <w:rPr>
                <w:rFonts w:ascii="Wingdings 2" w:hAnsi="Wingdings 2"/>
                <w:color w:val="000000"/>
              </w:rPr>
            </w:pPr>
            <w:r w:rsidRPr="00113179">
              <w:rPr>
                <w:rFonts w:ascii="Wingdings 2" w:hAnsi="Wingdings 2"/>
                <w:color w:val="000000"/>
              </w:rPr>
              <w:t></w:t>
            </w:r>
          </w:p>
        </w:tc>
      </w:tr>
    </w:tbl>
    <w:p w14:paraId="11B07575" w14:textId="77777777" w:rsidR="00510E88" w:rsidRPr="00397D77" w:rsidRDefault="00DE44DB" w:rsidP="005775DE">
      <w:pPr>
        <w:pStyle w:val="Tablenotes0"/>
        <w:rPr>
          <w:rFonts w:eastAsiaTheme="minorHAnsi"/>
        </w:rPr>
      </w:pPr>
      <w:r w:rsidRPr="00397D77">
        <w:rPr>
          <w:rFonts w:ascii="Wingdings 2" w:eastAsiaTheme="minorHAnsi" w:hAnsi="Wingdings 2"/>
        </w:rPr>
        <w:t></w:t>
      </w:r>
      <w:r w:rsidR="00397D77">
        <w:rPr>
          <w:rFonts w:eastAsiaTheme="minorHAnsi"/>
        </w:rPr>
        <w:t xml:space="preserve"> </w:t>
      </w:r>
      <w:r w:rsidRPr="00397D77">
        <w:rPr>
          <w:rFonts w:eastAsiaTheme="minorHAnsi"/>
        </w:rPr>
        <w:t>=</w:t>
      </w:r>
      <w:r w:rsidR="00397D77">
        <w:rPr>
          <w:rFonts w:eastAsiaTheme="minorHAnsi"/>
        </w:rPr>
        <w:t xml:space="preserve"> </w:t>
      </w:r>
      <w:r w:rsidRPr="00397D77">
        <w:rPr>
          <w:rFonts w:eastAsiaTheme="minorHAnsi"/>
        </w:rPr>
        <w:t xml:space="preserve">yes, </w:t>
      </w:r>
      <w:r w:rsidRPr="00397D77">
        <w:rPr>
          <w:rFonts w:ascii="Wingdings 2" w:eastAsiaTheme="minorHAnsi" w:hAnsi="Wingdings 2"/>
        </w:rPr>
        <w:t></w:t>
      </w:r>
      <w:r w:rsidR="00397D77">
        <w:rPr>
          <w:rFonts w:eastAsiaTheme="minorHAnsi"/>
        </w:rPr>
        <w:t xml:space="preserve"> </w:t>
      </w:r>
      <w:r w:rsidRPr="00397D77">
        <w:rPr>
          <w:rFonts w:eastAsiaTheme="minorHAnsi"/>
        </w:rPr>
        <w:t>=</w:t>
      </w:r>
      <w:r w:rsidR="00397D77">
        <w:rPr>
          <w:rFonts w:eastAsiaTheme="minorHAnsi"/>
        </w:rPr>
        <w:t xml:space="preserve"> </w:t>
      </w:r>
      <w:r w:rsidRPr="00397D77">
        <w:rPr>
          <w:rFonts w:eastAsiaTheme="minorHAnsi"/>
        </w:rPr>
        <w:t>no, •</w:t>
      </w:r>
      <w:r w:rsidR="00397D77">
        <w:rPr>
          <w:rFonts w:eastAsiaTheme="minorHAnsi"/>
        </w:rPr>
        <w:t xml:space="preserve"> </w:t>
      </w:r>
      <w:r w:rsidRPr="00397D77">
        <w:rPr>
          <w:rFonts w:eastAsiaTheme="minorHAnsi"/>
        </w:rPr>
        <w:t>=</w:t>
      </w:r>
      <w:r w:rsidR="00397D77">
        <w:rPr>
          <w:rFonts w:eastAsiaTheme="minorHAnsi"/>
        </w:rPr>
        <w:t xml:space="preserve"> </w:t>
      </w:r>
      <w:r w:rsidRPr="00397D77">
        <w:rPr>
          <w:rFonts w:eastAsiaTheme="minorHAnsi"/>
        </w:rPr>
        <w:t>partial</w:t>
      </w:r>
      <w:proofErr w:type="gramStart"/>
      <w:r w:rsidR="00CA6DFD" w:rsidRPr="00397D77">
        <w:rPr>
          <w:rFonts w:eastAsiaTheme="minorHAnsi"/>
        </w:rPr>
        <w:t xml:space="preserve">, </w:t>
      </w:r>
      <w:r w:rsidR="0035554A" w:rsidRPr="00397D77">
        <w:rPr>
          <w:rFonts w:eastAsiaTheme="minorHAnsi"/>
        </w:rPr>
        <w:t>?</w:t>
      </w:r>
      <w:proofErr w:type="gramEnd"/>
      <w:r w:rsidR="00397D77">
        <w:rPr>
          <w:rFonts w:eastAsiaTheme="minorHAnsi"/>
        </w:rPr>
        <w:t xml:space="preserve"> </w:t>
      </w:r>
      <w:r w:rsidR="00CA6DFD" w:rsidRPr="00397D77">
        <w:rPr>
          <w:rFonts w:eastAsiaTheme="minorHAnsi"/>
        </w:rPr>
        <w:t>=</w:t>
      </w:r>
      <w:r w:rsidR="00397D77">
        <w:rPr>
          <w:rFonts w:eastAsiaTheme="minorHAnsi"/>
        </w:rPr>
        <w:t xml:space="preserve"> </w:t>
      </w:r>
      <w:r w:rsidR="0035554A" w:rsidRPr="00397D77">
        <w:rPr>
          <w:rFonts w:eastAsiaTheme="minorHAnsi"/>
        </w:rPr>
        <w:t>unclear</w:t>
      </w:r>
      <w:r w:rsidR="00397D77">
        <w:rPr>
          <w:rFonts w:eastAsiaTheme="minorHAnsi"/>
        </w:rPr>
        <w:t>.</w:t>
      </w:r>
    </w:p>
    <w:p w14:paraId="3996B2DD" w14:textId="77777777" w:rsidR="000D2505" w:rsidRPr="00397D77" w:rsidRDefault="000D2505" w:rsidP="005775DE">
      <w:pPr>
        <w:pStyle w:val="Tablenotes0"/>
        <w:rPr>
          <w:rFonts w:eastAsiaTheme="minorHAnsi"/>
        </w:rPr>
      </w:pPr>
      <w:r w:rsidRPr="00397D77">
        <w:rPr>
          <w:rFonts w:eastAsiaTheme="minorHAnsi"/>
        </w:rPr>
        <w:t>Note: The IHE quality appraisal tool has been modified to remove two questions that are not applicable to this review. These include: Were additional interventions (co-interventions) clearly described? And</w:t>
      </w:r>
      <w:r w:rsidR="00510E88" w:rsidRPr="00397D77">
        <w:rPr>
          <w:rFonts w:eastAsiaTheme="minorHAnsi"/>
        </w:rPr>
        <w:t>,</w:t>
      </w:r>
      <w:r w:rsidRPr="00397D77">
        <w:rPr>
          <w:rFonts w:eastAsiaTheme="minorHAnsi"/>
        </w:rPr>
        <w:t xml:space="preserve"> </w:t>
      </w:r>
      <w:r w:rsidR="00510E88" w:rsidRPr="00397D77">
        <w:rPr>
          <w:rFonts w:eastAsiaTheme="minorHAnsi"/>
        </w:rPr>
        <w:t>were the relevant outcome measures made before and after the intervention?</w:t>
      </w:r>
    </w:p>
    <w:p w14:paraId="6558AC50" w14:textId="77777777" w:rsidR="001616F6" w:rsidRDefault="001616F6" w:rsidP="004424F1"/>
    <w:p w14:paraId="15D765B6" w14:textId="77777777" w:rsidR="001616F6" w:rsidRDefault="001616F6" w:rsidP="004424F1"/>
    <w:p w14:paraId="0365B922" w14:textId="68530D44" w:rsidR="00553A37" w:rsidRDefault="00553A37" w:rsidP="0076175D">
      <w:pPr>
        <w:pStyle w:val="Caption"/>
        <w:keepNext/>
        <w:ind w:left="1134" w:hanging="1134"/>
      </w:pPr>
      <w:bookmarkStart w:id="218" w:name="_Toc460514678"/>
      <w:r>
        <w:lastRenderedPageBreak/>
        <w:t xml:space="preserve">Table </w:t>
      </w:r>
      <w:fldSimple w:instr=" SEQ Table \* ARABIC ">
        <w:r w:rsidR="00D170A5">
          <w:rPr>
            <w:noProof/>
          </w:rPr>
          <w:t>20</w:t>
        </w:r>
      </w:fldSimple>
      <w:r>
        <w:tab/>
      </w:r>
      <w:r w:rsidRPr="00553A37">
        <w:t xml:space="preserve">Quality appraisal of included </w:t>
      </w:r>
      <w:r w:rsidR="00A04CC7">
        <w:t>comparative studies</w:t>
      </w:r>
      <w:r w:rsidRPr="00553A37">
        <w:t xml:space="preserve"> of </w:t>
      </w:r>
      <w:r>
        <w:t>MTA</w:t>
      </w:r>
      <w:r w:rsidRPr="00553A37">
        <w:t>, according to the Downs and Black Checklist for Randomised and Non-Randomised Comparative Trials</w:t>
      </w:r>
      <w:bookmarkEnd w:id="218"/>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3"/>
        <w:tblDescription w:val="QA MTA, comparative"/>
      </w:tblPr>
      <w:tblGrid>
        <w:gridCol w:w="1560"/>
        <w:gridCol w:w="493"/>
        <w:gridCol w:w="494"/>
        <w:gridCol w:w="493"/>
        <w:gridCol w:w="494"/>
        <w:gridCol w:w="493"/>
        <w:gridCol w:w="494"/>
        <w:gridCol w:w="493"/>
        <w:gridCol w:w="494"/>
        <w:gridCol w:w="493"/>
        <w:gridCol w:w="494"/>
        <w:gridCol w:w="493"/>
        <w:gridCol w:w="494"/>
        <w:gridCol w:w="493"/>
        <w:gridCol w:w="494"/>
        <w:gridCol w:w="493"/>
        <w:gridCol w:w="494"/>
        <w:gridCol w:w="493"/>
        <w:gridCol w:w="494"/>
        <w:gridCol w:w="493"/>
        <w:gridCol w:w="494"/>
        <w:gridCol w:w="493"/>
        <w:gridCol w:w="494"/>
        <w:gridCol w:w="493"/>
        <w:gridCol w:w="494"/>
        <w:gridCol w:w="493"/>
        <w:gridCol w:w="494"/>
        <w:gridCol w:w="494"/>
      </w:tblGrid>
      <w:tr w:rsidR="00131465" w:rsidRPr="00131465" w14:paraId="45DE824B" w14:textId="77777777" w:rsidTr="00131465">
        <w:trPr>
          <w:trHeight w:val="3327"/>
        </w:trPr>
        <w:tc>
          <w:tcPr>
            <w:tcW w:w="1560" w:type="dxa"/>
            <w:shd w:val="clear" w:color="auto" w:fill="auto"/>
            <w:noWrap/>
            <w:vAlign w:val="bottom"/>
            <w:hideMark/>
          </w:tcPr>
          <w:p w14:paraId="707C01CC" w14:textId="77777777" w:rsidR="00131465" w:rsidRPr="00131465" w:rsidRDefault="00131465" w:rsidP="00131465">
            <w:pPr>
              <w:widowControl w:val="0"/>
              <w:spacing w:after="0"/>
              <w:rPr>
                <w:rFonts w:ascii="Arial Narrow" w:hAnsi="Arial Narrow" w:cs="Times New Roman"/>
                <w:color w:val="000000"/>
                <w:sz w:val="20"/>
                <w:szCs w:val="20"/>
              </w:rPr>
            </w:pPr>
            <w:r w:rsidRPr="00131465">
              <w:rPr>
                <w:rFonts w:ascii="Arial Narrow" w:hAnsi="Arial Narrow"/>
                <w:b/>
                <w:snapToGrid w:val="0"/>
                <w:sz w:val="20"/>
                <w:szCs w:val="20"/>
                <w:lang w:eastAsia="en-US"/>
              </w:rPr>
              <w:t>Study ID</w:t>
            </w:r>
          </w:p>
        </w:tc>
        <w:tc>
          <w:tcPr>
            <w:tcW w:w="493" w:type="dxa"/>
            <w:shd w:val="clear" w:color="auto" w:fill="auto"/>
            <w:noWrap/>
            <w:textDirection w:val="btLr"/>
            <w:vAlign w:val="bottom"/>
            <w:hideMark/>
          </w:tcPr>
          <w:p w14:paraId="605DF501"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Reporting: Hypothesis</w:t>
            </w:r>
          </w:p>
        </w:tc>
        <w:tc>
          <w:tcPr>
            <w:tcW w:w="494" w:type="dxa"/>
            <w:shd w:val="clear" w:color="auto" w:fill="auto"/>
            <w:noWrap/>
            <w:textDirection w:val="btLr"/>
            <w:vAlign w:val="bottom"/>
            <w:hideMark/>
          </w:tcPr>
          <w:p w14:paraId="0F8D17FC"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Reporting: Outcomes</w:t>
            </w:r>
          </w:p>
        </w:tc>
        <w:tc>
          <w:tcPr>
            <w:tcW w:w="493" w:type="dxa"/>
            <w:shd w:val="clear" w:color="auto" w:fill="auto"/>
            <w:noWrap/>
            <w:textDirection w:val="btLr"/>
            <w:vAlign w:val="bottom"/>
            <w:hideMark/>
          </w:tcPr>
          <w:p w14:paraId="32DDD240"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Reporting: Patient characteristics</w:t>
            </w:r>
          </w:p>
        </w:tc>
        <w:tc>
          <w:tcPr>
            <w:tcW w:w="494" w:type="dxa"/>
            <w:shd w:val="clear" w:color="auto" w:fill="auto"/>
            <w:noWrap/>
            <w:textDirection w:val="btLr"/>
            <w:vAlign w:val="bottom"/>
            <w:hideMark/>
          </w:tcPr>
          <w:p w14:paraId="02D7A178"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Reporting: Intervention</w:t>
            </w:r>
          </w:p>
        </w:tc>
        <w:tc>
          <w:tcPr>
            <w:tcW w:w="493" w:type="dxa"/>
            <w:shd w:val="clear" w:color="auto" w:fill="auto"/>
            <w:noWrap/>
            <w:textDirection w:val="btLr"/>
            <w:vAlign w:val="bottom"/>
            <w:hideMark/>
          </w:tcPr>
          <w:p w14:paraId="255A1F42"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Reporting: Confounders</w:t>
            </w:r>
          </w:p>
        </w:tc>
        <w:tc>
          <w:tcPr>
            <w:tcW w:w="494" w:type="dxa"/>
            <w:shd w:val="clear" w:color="auto" w:fill="auto"/>
            <w:noWrap/>
            <w:textDirection w:val="btLr"/>
            <w:vAlign w:val="bottom"/>
            <w:hideMark/>
          </w:tcPr>
          <w:p w14:paraId="0D6DF655"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Reporting: Main findings</w:t>
            </w:r>
          </w:p>
        </w:tc>
        <w:tc>
          <w:tcPr>
            <w:tcW w:w="493" w:type="dxa"/>
            <w:shd w:val="clear" w:color="auto" w:fill="auto"/>
            <w:noWrap/>
            <w:textDirection w:val="btLr"/>
            <w:vAlign w:val="bottom"/>
            <w:hideMark/>
          </w:tcPr>
          <w:p w14:paraId="4E8FCCB5"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Reporting: Random variability in results</w:t>
            </w:r>
          </w:p>
        </w:tc>
        <w:tc>
          <w:tcPr>
            <w:tcW w:w="494" w:type="dxa"/>
            <w:shd w:val="clear" w:color="auto" w:fill="auto"/>
            <w:noWrap/>
            <w:textDirection w:val="btLr"/>
            <w:vAlign w:val="bottom"/>
            <w:hideMark/>
          </w:tcPr>
          <w:p w14:paraId="7DAD0D92"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Reporting: Adverse events</w:t>
            </w:r>
          </w:p>
        </w:tc>
        <w:tc>
          <w:tcPr>
            <w:tcW w:w="493" w:type="dxa"/>
            <w:shd w:val="clear" w:color="auto" w:fill="auto"/>
            <w:noWrap/>
            <w:textDirection w:val="btLr"/>
            <w:vAlign w:val="bottom"/>
            <w:hideMark/>
          </w:tcPr>
          <w:p w14:paraId="72EEA7BA"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Reporting: Losses to follow-up</w:t>
            </w:r>
          </w:p>
        </w:tc>
        <w:tc>
          <w:tcPr>
            <w:tcW w:w="494" w:type="dxa"/>
            <w:shd w:val="clear" w:color="auto" w:fill="auto"/>
            <w:noWrap/>
            <w:textDirection w:val="btLr"/>
            <w:vAlign w:val="bottom"/>
            <w:hideMark/>
          </w:tcPr>
          <w:p w14:paraId="48A576FE"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Reporting: Actual probabilities</w:t>
            </w:r>
          </w:p>
        </w:tc>
        <w:tc>
          <w:tcPr>
            <w:tcW w:w="493" w:type="dxa"/>
            <w:shd w:val="clear" w:color="auto" w:fill="auto"/>
            <w:noWrap/>
            <w:textDirection w:val="btLr"/>
            <w:vAlign w:val="bottom"/>
            <w:hideMark/>
          </w:tcPr>
          <w:p w14:paraId="0ED2C1D2"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Validity: Invited sample representative</w:t>
            </w:r>
          </w:p>
        </w:tc>
        <w:tc>
          <w:tcPr>
            <w:tcW w:w="494" w:type="dxa"/>
            <w:shd w:val="clear" w:color="auto" w:fill="auto"/>
            <w:noWrap/>
            <w:textDirection w:val="btLr"/>
            <w:vAlign w:val="bottom"/>
            <w:hideMark/>
          </w:tcPr>
          <w:p w14:paraId="46625D12"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Validity: Participating sample representative</w:t>
            </w:r>
          </w:p>
        </w:tc>
        <w:tc>
          <w:tcPr>
            <w:tcW w:w="493" w:type="dxa"/>
            <w:shd w:val="clear" w:color="auto" w:fill="auto"/>
            <w:noWrap/>
            <w:textDirection w:val="btLr"/>
            <w:vAlign w:val="bottom"/>
            <w:hideMark/>
          </w:tcPr>
          <w:p w14:paraId="469955D4"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Validity: Facilities representative</w:t>
            </w:r>
          </w:p>
        </w:tc>
        <w:tc>
          <w:tcPr>
            <w:tcW w:w="494" w:type="dxa"/>
            <w:shd w:val="clear" w:color="auto" w:fill="auto"/>
            <w:noWrap/>
            <w:textDirection w:val="btLr"/>
            <w:vAlign w:val="bottom"/>
            <w:hideMark/>
          </w:tcPr>
          <w:p w14:paraId="037E7B23"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Bias: Subjects blinded</w:t>
            </w:r>
          </w:p>
        </w:tc>
        <w:tc>
          <w:tcPr>
            <w:tcW w:w="493" w:type="dxa"/>
            <w:shd w:val="clear" w:color="auto" w:fill="auto"/>
            <w:noWrap/>
            <w:textDirection w:val="btLr"/>
            <w:vAlign w:val="bottom"/>
            <w:hideMark/>
          </w:tcPr>
          <w:p w14:paraId="2646AE61"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Bias: Measurements blinded</w:t>
            </w:r>
          </w:p>
        </w:tc>
        <w:tc>
          <w:tcPr>
            <w:tcW w:w="494" w:type="dxa"/>
            <w:shd w:val="clear" w:color="auto" w:fill="auto"/>
            <w:noWrap/>
            <w:textDirection w:val="btLr"/>
            <w:vAlign w:val="bottom"/>
            <w:hideMark/>
          </w:tcPr>
          <w:p w14:paraId="009C8FB7"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Bias: Data dredging</w:t>
            </w:r>
          </w:p>
        </w:tc>
        <w:tc>
          <w:tcPr>
            <w:tcW w:w="493" w:type="dxa"/>
            <w:shd w:val="clear" w:color="auto" w:fill="auto"/>
            <w:noWrap/>
            <w:textDirection w:val="btLr"/>
            <w:vAlign w:val="bottom"/>
            <w:hideMark/>
          </w:tcPr>
          <w:p w14:paraId="1142161B"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Bias: Length of follow-up accounted for</w:t>
            </w:r>
          </w:p>
        </w:tc>
        <w:tc>
          <w:tcPr>
            <w:tcW w:w="494" w:type="dxa"/>
            <w:shd w:val="clear" w:color="auto" w:fill="auto"/>
            <w:noWrap/>
            <w:textDirection w:val="btLr"/>
            <w:vAlign w:val="bottom"/>
            <w:hideMark/>
          </w:tcPr>
          <w:p w14:paraId="2F56CD3F"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Bias: Statistical tests appropriate</w:t>
            </w:r>
          </w:p>
        </w:tc>
        <w:tc>
          <w:tcPr>
            <w:tcW w:w="493" w:type="dxa"/>
            <w:shd w:val="clear" w:color="auto" w:fill="auto"/>
            <w:noWrap/>
            <w:textDirection w:val="btLr"/>
            <w:vAlign w:val="bottom"/>
            <w:hideMark/>
          </w:tcPr>
          <w:p w14:paraId="300CBB26"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Bias: Compliance with intervention</w:t>
            </w:r>
          </w:p>
        </w:tc>
        <w:tc>
          <w:tcPr>
            <w:tcW w:w="494" w:type="dxa"/>
            <w:shd w:val="clear" w:color="auto" w:fill="auto"/>
            <w:noWrap/>
            <w:textDirection w:val="btLr"/>
            <w:vAlign w:val="bottom"/>
            <w:hideMark/>
          </w:tcPr>
          <w:p w14:paraId="7374670C"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Bias: Outcomes were accurate</w:t>
            </w:r>
          </w:p>
        </w:tc>
        <w:tc>
          <w:tcPr>
            <w:tcW w:w="493" w:type="dxa"/>
            <w:shd w:val="clear" w:color="auto" w:fill="auto"/>
            <w:noWrap/>
            <w:textDirection w:val="btLr"/>
            <w:vAlign w:val="bottom"/>
            <w:hideMark/>
          </w:tcPr>
          <w:p w14:paraId="53A22F6E"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Confounding: Recruitment same population</w:t>
            </w:r>
          </w:p>
        </w:tc>
        <w:tc>
          <w:tcPr>
            <w:tcW w:w="494" w:type="dxa"/>
            <w:shd w:val="clear" w:color="auto" w:fill="auto"/>
            <w:noWrap/>
            <w:textDirection w:val="btLr"/>
            <w:vAlign w:val="bottom"/>
            <w:hideMark/>
          </w:tcPr>
          <w:p w14:paraId="10027F22"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Confounding: Recruitment same time</w:t>
            </w:r>
          </w:p>
        </w:tc>
        <w:tc>
          <w:tcPr>
            <w:tcW w:w="493" w:type="dxa"/>
            <w:shd w:val="clear" w:color="auto" w:fill="auto"/>
            <w:noWrap/>
            <w:textDirection w:val="btLr"/>
            <w:vAlign w:val="bottom"/>
            <w:hideMark/>
          </w:tcPr>
          <w:p w14:paraId="4AD3EB9B"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Confounding: Randomisation</w:t>
            </w:r>
          </w:p>
        </w:tc>
        <w:tc>
          <w:tcPr>
            <w:tcW w:w="494" w:type="dxa"/>
            <w:shd w:val="clear" w:color="auto" w:fill="auto"/>
            <w:noWrap/>
            <w:textDirection w:val="btLr"/>
            <w:vAlign w:val="bottom"/>
            <w:hideMark/>
          </w:tcPr>
          <w:p w14:paraId="3F027240"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Confounding: Randomisation blinded</w:t>
            </w:r>
          </w:p>
        </w:tc>
        <w:tc>
          <w:tcPr>
            <w:tcW w:w="493" w:type="dxa"/>
            <w:shd w:val="clear" w:color="auto" w:fill="auto"/>
            <w:noWrap/>
            <w:textDirection w:val="btLr"/>
            <w:vAlign w:val="bottom"/>
            <w:hideMark/>
          </w:tcPr>
          <w:p w14:paraId="5BE5CC07"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Confounding: Adjustment for confounders</w:t>
            </w:r>
          </w:p>
        </w:tc>
        <w:tc>
          <w:tcPr>
            <w:tcW w:w="494" w:type="dxa"/>
            <w:shd w:val="clear" w:color="auto" w:fill="auto"/>
            <w:noWrap/>
            <w:textDirection w:val="btLr"/>
            <w:vAlign w:val="bottom"/>
            <w:hideMark/>
          </w:tcPr>
          <w:p w14:paraId="19D10D06"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Confounding: Losses to follow-up</w:t>
            </w:r>
          </w:p>
        </w:tc>
        <w:tc>
          <w:tcPr>
            <w:tcW w:w="494" w:type="dxa"/>
            <w:shd w:val="clear" w:color="auto" w:fill="auto"/>
            <w:noWrap/>
            <w:textDirection w:val="btLr"/>
            <w:vAlign w:val="bottom"/>
            <w:hideMark/>
          </w:tcPr>
          <w:p w14:paraId="03ED68EA" w14:textId="77777777" w:rsidR="00131465" w:rsidRPr="00131465" w:rsidRDefault="00131465" w:rsidP="00131465">
            <w:pPr>
              <w:widowControl w:val="0"/>
              <w:spacing w:after="0"/>
              <w:ind w:left="40" w:right="40"/>
              <w:rPr>
                <w:rFonts w:ascii="Arial Narrow" w:hAnsi="Arial Narrow"/>
                <w:snapToGrid w:val="0"/>
                <w:sz w:val="20"/>
                <w:szCs w:val="20"/>
                <w:lang w:eastAsia="en-US"/>
              </w:rPr>
            </w:pPr>
            <w:r w:rsidRPr="00131465">
              <w:rPr>
                <w:rFonts w:ascii="Arial Narrow" w:hAnsi="Arial Narrow"/>
                <w:snapToGrid w:val="0"/>
                <w:sz w:val="20"/>
                <w:szCs w:val="20"/>
                <w:lang w:eastAsia="en-US"/>
              </w:rPr>
              <w:t>Power: Power reported</w:t>
            </w:r>
          </w:p>
        </w:tc>
      </w:tr>
      <w:tr w:rsidR="005F7C44" w:rsidRPr="00131465" w14:paraId="5AF2FC3D" w14:textId="77777777" w:rsidTr="00C96697">
        <w:trPr>
          <w:trHeight w:val="300"/>
        </w:trPr>
        <w:tc>
          <w:tcPr>
            <w:tcW w:w="1560" w:type="dxa"/>
            <w:shd w:val="clear" w:color="auto" w:fill="auto"/>
            <w:noWrap/>
            <w:vAlign w:val="bottom"/>
          </w:tcPr>
          <w:p w14:paraId="04395450" w14:textId="77777777" w:rsidR="00131465" w:rsidRPr="00131465" w:rsidRDefault="00131465" w:rsidP="00131465">
            <w:pPr>
              <w:widowControl w:val="0"/>
              <w:spacing w:after="0"/>
              <w:rPr>
                <w:rFonts w:ascii="Arial Narrow" w:hAnsi="Arial Narrow"/>
                <w:snapToGrid w:val="0"/>
                <w:sz w:val="20"/>
                <w:szCs w:val="20"/>
                <w:lang w:eastAsia="en-US"/>
              </w:rPr>
            </w:pPr>
            <w:r w:rsidRPr="00131465">
              <w:rPr>
                <w:rFonts w:ascii="Arial Narrow" w:hAnsi="Arial Narrow"/>
                <w:snapToGrid w:val="0"/>
                <w:sz w:val="20"/>
                <w:szCs w:val="20"/>
                <w:lang w:eastAsia="en-US"/>
              </w:rPr>
              <w:t>Sun et al (2015)</w:t>
            </w:r>
          </w:p>
        </w:tc>
        <w:tc>
          <w:tcPr>
            <w:tcW w:w="493" w:type="dxa"/>
            <w:shd w:val="clear" w:color="auto" w:fill="EAF1DD" w:themeFill="accent3" w:themeFillTint="33"/>
            <w:noWrap/>
            <w:vAlign w:val="center"/>
          </w:tcPr>
          <w:p w14:paraId="2664251B"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6AF03E72"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F2DBDB" w:themeFill="accent2" w:themeFillTint="33"/>
            <w:noWrap/>
            <w:vAlign w:val="center"/>
          </w:tcPr>
          <w:p w14:paraId="1D9879C0"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4" w:type="dxa"/>
            <w:shd w:val="clear" w:color="auto" w:fill="EAF1DD" w:themeFill="accent3" w:themeFillTint="33"/>
            <w:noWrap/>
            <w:vAlign w:val="center"/>
          </w:tcPr>
          <w:p w14:paraId="7D838899"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F2DBDB" w:themeFill="accent2" w:themeFillTint="33"/>
            <w:noWrap/>
            <w:vAlign w:val="center"/>
          </w:tcPr>
          <w:p w14:paraId="3A1C4B38"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4" w:type="dxa"/>
            <w:shd w:val="clear" w:color="auto" w:fill="EAF1DD" w:themeFill="accent3" w:themeFillTint="33"/>
            <w:noWrap/>
            <w:vAlign w:val="center"/>
          </w:tcPr>
          <w:p w14:paraId="6A7E8413"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EAF1DD" w:themeFill="accent3" w:themeFillTint="33"/>
            <w:noWrap/>
            <w:vAlign w:val="center"/>
          </w:tcPr>
          <w:p w14:paraId="129DB9DA"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F2DBDB" w:themeFill="accent2" w:themeFillTint="33"/>
            <w:noWrap/>
            <w:vAlign w:val="center"/>
          </w:tcPr>
          <w:p w14:paraId="47EF97B8"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3" w:type="dxa"/>
            <w:shd w:val="clear" w:color="auto" w:fill="EAF1DD" w:themeFill="accent3" w:themeFillTint="33"/>
            <w:noWrap/>
            <w:vAlign w:val="center"/>
          </w:tcPr>
          <w:p w14:paraId="4D9C382C"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F2DBDB" w:themeFill="accent2" w:themeFillTint="33"/>
            <w:noWrap/>
            <w:vAlign w:val="center"/>
          </w:tcPr>
          <w:p w14:paraId="7D23D103"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3" w:type="dxa"/>
            <w:shd w:val="clear" w:color="auto" w:fill="F2DBDB" w:themeFill="accent2" w:themeFillTint="33"/>
            <w:noWrap/>
            <w:vAlign w:val="center"/>
          </w:tcPr>
          <w:p w14:paraId="621668E8"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4" w:type="dxa"/>
            <w:shd w:val="clear" w:color="auto" w:fill="F2DBDB" w:themeFill="accent2" w:themeFillTint="33"/>
            <w:noWrap/>
            <w:vAlign w:val="center"/>
          </w:tcPr>
          <w:p w14:paraId="10C38033"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3" w:type="dxa"/>
            <w:shd w:val="clear" w:color="auto" w:fill="EAF1DD" w:themeFill="accent3" w:themeFillTint="33"/>
            <w:noWrap/>
            <w:vAlign w:val="center"/>
          </w:tcPr>
          <w:p w14:paraId="3719D7EE"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F2DBDB" w:themeFill="accent2" w:themeFillTint="33"/>
            <w:noWrap/>
            <w:vAlign w:val="center"/>
          </w:tcPr>
          <w:p w14:paraId="757D9029"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3" w:type="dxa"/>
            <w:shd w:val="clear" w:color="auto" w:fill="F2DBDB" w:themeFill="accent2" w:themeFillTint="33"/>
            <w:noWrap/>
            <w:vAlign w:val="center"/>
          </w:tcPr>
          <w:p w14:paraId="6D1078C4"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4" w:type="dxa"/>
            <w:shd w:val="clear" w:color="auto" w:fill="EAF1DD" w:themeFill="accent3" w:themeFillTint="33"/>
            <w:noWrap/>
            <w:vAlign w:val="center"/>
          </w:tcPr>
          <w:p w14:paraId="2BF5EB6B"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F2DBDB" w:themeFill="accent2" w:themeFillTint="33"/>
            <w:noWrap/>
            <w:vAlign w:val="center"/>
          </w:tcPr>
          <w:p w14:paraId="14553739"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4" w:type="dxa"/>
            <w:shd w:val="clear" w:color="auto" w:fill="EAF1DD" w:themeFill="accent3" w:themeFillTint="33"/>
            <w:noWrap/>
            <w:vAlign w:val="center"/>
          </w:tcPr>
          <w:p w14:paraId="243446E6"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EAF1DD" w:themeFill="accent3" w:themeFillTint="33"/>
            <w:noWrap/>
            <w:vAlign w:val="center"/>
          </w:tcPr>
          <w:p w14:paraId="04909A15"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3A73D7C5"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EAF1DD" w:themeFill="accent3" w:themeFillTint="33"/>
            <w:noWrap/>
            <w:vAlign w:val="center"/>
          </w:tcPr>
          <w:p w14:paraId="092966A1"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1452DB99"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F2DBDB" w:themeFill="accent2" w:themeFillTint="33"/>
            <w:noWrap/>
            <w:vAlign w:val="center"/>
          </w:tcPr>
          <w:p w14:paraId="49BF3D65"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4" w:type="dxa"/>
            <w:shd w:val="clear" w:color="auto" w:fill="FFFFCC"/>
            <w:noWrap/>
            <w:vAlign w:val="center"/>
          </w:tcPr>
          <w:p w14:paraId="48A32A1A"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NA</w:t>
            </w:r>
          </w:p>
        </w:tc>
        <w:tc>
          <w:tcPr>
            <w:tcW w:w="493" w:type="dxa"/>
            <w:shd w:val="clear" w:color="auto" w:fill="F2DBDB" w:themeFill="accent2" w:themeFillTint="33"/>
            <w:noWrap/>
            <w:vAlign w:val="center"/>
          </w:tcPr>
          <w:p w14:paraId="3692FC31"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4" w:type="dxa"/>
            <w:shd w:val="clear" w:color="auto" w:fill="EAF1DD" w:themeFill="accent3" w:themeFillTint="33"/>
            <w:noWrap/>
            <w:vAlign w:val="center"/>
          </w:tcPr>
          <w:p w14:paraId="3FE1A7FC"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F2DBDB" w:themeFill="accent2" w:themeFillTint="33"/>
            <w:noWrap/>
            <w:vAlign w:val="center"/>
          </w:tcPr>
          <w:p w14:paraId="4EF653A0"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r>
      <w:tr w:rsidR="005F7C44" w:rsidRPr="00131465" w14:paraId="3166DA83" w14:textId="77777777" w:rsidTr="00C96697">
        <w:trPr>
          <w:trHeight w:val="300"/>
        </w:trPr>
        <w:tc>
          <w:tcPr>
            <w:tcW w:w="1560" w:type="dxa"/>
            <w:shd w:val="clear" w:color="auto" w:fill="auto"/>
            <w:noWrap/>
            <w:vAlign w:val="bottom"/>
          </w:tcPr>
          <w:p w14:paraId="36C38534" w14:textId="77777777" w:rsidR="00131465" w:rsidRPr="00131465" w:rsidRDefault="00131465" w:rsidP="00131465">
            <w:pPr>
              <w:widowControl w:val="0"/>
              <w:spacing w:after="0"/>
              <w:rPr>
                <w:rFonts w:ascii="Arial Narrow" w:hAnsi="Arial Narrow"/>
                <w:snapToGrid w:val="0"/>
                <w:sz w:val="20"/>
                <w:szCs w:val="20"/>
                <w:lang w:eastAsia="en-US"/>
              </w:rPr>
            </w:pPr>
            <w:r w:rsidRPr="00131465">
              <w:rPr>
                <w:rFonts w:ascii="Arial Narrow" w:hAnsi="Arial Narrow"/>
                <w:snapToGrid w:val="0"/>
                <w:sz w:val="20"/>
                <w:szCs w:val="20"/>
                <w:lang w:eastAsia="en-US"/>
              </w:rPr>
              <w:t>Wei et al (2015)</w:t>
            </w:r>
          </w:p>
        </w:tc>
        <w:tc>
          <w:tcPr>
            <w:tcW w:w="493" w:type="dxa"/>
            <w:shd w:val="clear" w:color="auto" w:fill="EAF1DD" w:themeFill="accent3" w:themeFillTint="33"/>
            <w:noWrap/>
            <w:vAlign w:val="center"/>
          </w:tcPr>
          <w:p w14:paraId="05D9FBF4"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16A36DE0"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EAF1DD" w:themeFill="accent3" w:themeFillTint="33"/>
            <w:noWrap/>
            <w:vAlign w:val="center"/>
          </w:tcPr>
          <w:p w14:paraId="16BAE0A0"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1A482116"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EAF1DD" w:themeFill="accent3" w:themeFillTint="33"/>
            <w:noWrap/>
            <w:vAlign w:val="center"/>
          </w:tcPr>
          <w:p w14:paraId="5C29FCFE"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51DB785C"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EAF1DD" w:themeFill="accent3" w:themeFillTint="33"/>
            <w:noWrap/>
            <w:vAlign w:val="center"/>
          </w:tcPr>
          <w:p w14:paraId="6BA54453"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F2DBDB" w:themeFill="accent2" w:themeFillTint="33"/>
            <w:noWrap/>
            <w:vAlign w:val="center"/>
          </w:tcPr>
          <w:p w14:paraId="3E3B1B5D"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3" w:type="dxa"/>
            <w:shd w:val="clear" w:color="auto" w:fill="EAF1DD" w:themeFill="accent3" w:themeFillTint="33"/>
            <w:noWrap/>
            <w:vAlign w:val="center"/>
          </w:tcPr>
          <w:p w14:paraId="7C959852"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12018451"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F2DBDB" w:themeFill="accent2" w:themeFillTint="33"/>
            <w:noWrap/>
            <w:vAlign w:val="center"/>
          </w:tcPr>
          <w:p w14:paraId="5F3DDB16" w14:textId="77777777" w:rsidR="00131465" w:rsidRPr="00131465" w:rsidRDefault="00131465" w:rsidP="00C96697">
            <w:pPr>
              <w:widowControl w:val="0"/>
              <w:spacing w:after="0"/>
              <w:jc w:val="center"/>
              <w:rPr>
                <w:rFonts w:ascii="Arial Narrow" w:hAnsi="Arial Narrow"/>
                <w:snapToGrid w:val="0"/>
                <w:sz w:val="20"/>
                <w:szCs w:val="20"/>
                <w:lang w:eastAsia="en-US"/>
              </w:rPr>
            </w:pPr>
            <w:r w:rsidRPr="00131465">
              <w:rPr>
                <w:rFonts w:ascii="Arial Narrow" w:hAnsi="Arial Narrow"/>
                <w:snapToGrid w:val="0"/>
                <w:sz w:val="20"/>
                <w:szCs w:val="20"/>
                <w:lang w:eastAsia="en-US"/>
              </w:rPr>
              <w:t>0</w:t>
            </w:r>
          </w:p>
        </w:tc>
        <w:tc>
          <w:tcPr>
            <w:tcW w:w="494" w:type="dxa"/>
            <w:shd w:val="clear" w:color="auto" w:fill="F2DBDB" w:themeFill="accent2" w:themeFillTint="33"/>
            <w:noWrap/>
            <w:vAlign w:val="center"/>
          </w:tcPr>
          <w:p w14:paraId="630AB5A7" w14:textId="77777777" w:rsidR="00131465" w:rsidRPr="00131465" w:rsidRDefault="00131465" w:rsidP="00C96697">
            <w:pPr>
              <w:widowControl w:val="0"/>
              <w:spacing w:after="0"/>
              <w:jc w:val="center"/>
              <w:rPr>
                <w:rFonts w:ascii="Arial Narrow" w:hAnsi="Arial Narrow"/>
                <w:snapToGrid w:val="0"/>
                <w:sz w:val="20"/>
                <w:szCs w:val="20"/>
                <w:lang w:eastAsia="en-US"/>
              </w:rPr>
            </w:pPr>
            <w:r w:rsidRPr="00131465">
              <w:rPr>
                <w:rFonts w:ascii="Arial Narrow" w:hAnsi="Arial Narrow"/>
                <w:snapToGrid w:val="0"/>
                <w:sz w:val="20"/>
                <w:szCs w:val="20"/>
                <w:lang w:eastAsia="en-US"/>
              </w:rPr>
              <w:t>0</w:t>
            </w:r>
          </w:p>
        </w:tc>
        <w:tc>
          <w:tcPr>
            <w:tcW w:w="493" w:type="dxa"/>
            <w:shd w:val="clear" w:color="auto" w:fill="EAF1DD" w:themeFill="accent3" w:themeFillTint="33"/>
            <w:noWrap/>
            <w:vAlign w:val="center"/>
          </w:tcPr>
          <w:p w14:paraId="2CE7BFA1" w14:textId="77777777" w:rsidR="00131465" w:rsidRPr="00131465" w:rsidRDefault="00131465" w:rsidP="00C96697">
            <w:pPr>
              <w:widowControl w:val="0"/>
              <w:spacing w:after="0"/>
              <w:jc w:val="center"/>
              <w:rPr>
                <w:rFonts w:ascii="Arial Narrow" w:hAnsi="Arial Narrow"/>
                <w:snapToGrid w:val="0"/>
                <w:sz w:val="20"/>
                <w:szCs w:val="20"/>
                <w:lang w:eastAsia="en-US"/>
              </w:rPr>
            </w:pPr>
            <w:r w:rsidRPr="00131465">
              <w:rPr>
                <w:rFonts w:ascii="Arial Narrow" w:hAnsi="Arial Narrow"/>
                <w:snapToGrid w:val="0"/>
                <w:sz w:val="20"/>
                <w:szCs w:val="20"/>
                <w:lang w:eastAsia="en-US"/>
              </w:rPr>
              <w:t>1</w:t>
            </w:r>
          </w:p>
        </w:tc>
        <w:tc>
          <w:tcPr>
            <w:tcW w:w="494" w:type="dxa"/>
            <w:shd w:val="clear" w:color="auto" w:fill="F2DBDB" w:themeFill="accent2" w:themeFillTint="33"/>
            <w:noWrap/>
            <w:vAlign w:val="center"/>
          </w:tcPr>
          <w:p w14:paraId="51AF55E9"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3" w:type="dxa"/>
            <w:shd w:val="clear" w:color="auto" w:fill="F2DBDB" w:themeFill="accent2" w:themeFillTint="33"/>
            <w:noWrap/>
            <w:vAlign w:val="center"/>
          </w:tcPr>
          <w:p w14:paraId="4E7F9DFD"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4" w:type="dxa"/>
            <w:shd w:val="clear" w:color="auto" w:fill="EAF1DD" w:themeFill="accent3" w:themeFillTint="33"/>
            <w:noWrap/>
            <w:vAlign w:val="center"/>
          </w:tcPr>
          <w:p w14:paraId="10DCE4A8"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EAF1DD" w:themeFill="accent3" w:themeFillTint="33"/>
            <w:noWrap/>
            <w:vAlign w:val="center"/>
          </w:tcPr>
          <w:p w14:paraId="053CAA2C"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035902C0"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EAF1DD" w:themeFill="accent3" w:themeFillTint="33"/>
            <w:noWrap/>
            <w:vAlign w:val="center"/>
          </w:tcPr>
          <w:p w14:paraId="08CB2C09"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75651628"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EAF1DD" w:themeFill="accent3" w:themeFillTint="33"/>
            <w:noWrap/>
            <w:vAlign w:val="center"/>
          </w:tcPr>
          <w:p w14:paraId="420FE1E9"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765A7857"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3" w:type="dxa"/>
            <w:shd w:val="clear" w:color="auto" w:fill="F2DBDB" w:themeFill="accent2" w:themeFillTint="33"/>
            <w:noWrap/>
            <w:vAlign w:val="center"/>
          </w:tcPr>
          <w:p w14:paraId="07C79380"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0</w:t>
            </w:r>
          </w:p>
        </w:tc>
        <w:tc>
          <w:tcPr>
            <w:tcW w:w="494" w:type="dxa"/>
            <w:shd w:val="clear" w:color="auto" w:fill="FFFFCC"/>
            <w:noWrap/>
            <w:vAlign w:val="center"/>
          </w:tcPr>
          <w:p w14:paraId="0E724C93"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NA</w:t>
            </w:r>
          </w:p>
        </w:tc>
        <w:tc>
          <w:tcPr>
            <w:tcW w:w="493" w:type="dxa"/>
            <w:shd w:val="clear" w:color="auto" w:fill="EAF1DD" w:themeFill="accent3" w:themeFillTint="33"/>
            <w:noWrap/>
            <w:vAlign w:val="center"/>
          </w:tcPr>
          <w:p w14:paraId="51F06A49"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EAF1DD" w:themeFill="accent3" w:themeFillTint="33"/>
            <w:noWrap/>
            <w:vAlign w:val="center"/>
          </w:tcPr>
          <w:p w14:paraId="0F2A45EB" w14:textId="77777777" w:rsidR="00131465" w:rsidRPr="005E735E" w:rsidRDefault="00131465" w:rsidP="00C96697">
            <w:pPr>
              <w:widowControl w:val="0"/>
              <w:spacing w:after="0"/>
              <w:jc w:val="center"/>
              <w:rPr>
                <w:rFonts w:ascii="Arial Narrow" w:hAnsi="Arial Narrow"/>
                <w:snapToGrid w:val="0"/>
                <w:sz w:val="20"/>
                <w:szCs w:val="20"/>
                <w:lang w:eastAsia="en-US"/>
              </w:rPr>
            </w:pPr>
            <w:r w:rsidRPr="005E735E">
              <w:rPr>
                <w:rFonts w:ascii="Arial Narrow" w:hAnsi="Arial Narrow"/>
                <w:snapToGrid w:val="0"/>
                <w:sz w:val="20"/>
                <w:szCs w:val="20"/>
                <w:lang w:eastAsia="en-US"/>
              </w:rPr>
              <w:t>1</w:t>
            </w:r>
          </w:p>
        </w:tc>
        <w:tc>
          <w:tcPr>
            <w:tcW w:w="494" w:type="dxa"/>
            <w:shd w:val="clear" w:color="auto" w:fill="F2DBDB" w:themeFill="accent2" w:themeFillTint="33"/>
            <w:noWrap/>
            <w:vAlign w:val="center"/>
          </w:tcPr>
          <w:p w14:paraId="63C90237" w14:textId="77777777" w:rsidR="00131465" w:rsidRPr="00131465" w:rsidRDefault="00131465" w:rsidP="00C96697">
            <w:pPr>
              <w:widowControl w:val="0"/>
              <w:spacing w:after="0"/>
              <w:jc w:val="center"/>
              <w:rPr>
                <w:rFonts w:ascii="Arial Narrow" w:hAnsi="Arial Narrow"/>
                <w:snapToGrid w:val="0"/>
                <w:sz w:val="20"/>
                <w:szCs w:val="20"/>
                <w:lang w:eastAsia="en-US"/>
              </w:rPr>
            </w:pPr>
            <w:r w:rsidRPr="00131465">
              <w:rPr>
                <w:rFonts w:ascii="Arial Narrow" w:hAnsi="Arial Narrow"/>
                <w:snapToGrid w:val="0"/>
                <w:sz w:val="20"/>
                <w:szCs w:val="20"/>
                <w:lang w:eastAsia="en-US"/>
              </w:rPr>
              <w:t>0</w:t>
            </w:r>
          </w:p>
        </w:tc>
      </w:tr>
    </w:tbl>
    <w:p w14:paraId="51D9A7F5" w14:textId="77777777" w:rsidR="00131465" w:rsidRPr="00C457D1" w:rsidRDefault="00553A37" w:rsidP="00C457D1">
      <w:pPr>
        <w:pStyle w:val="Tablenotes0"/>
        <w:sectPr w:rsidR="00131465" w:rsidRPr="00C457D1" w:rsidSect="0024526E">
          <w:pgSz w:w="16838" w:h="11906" w:orient="landscape"/>
          <w:pgMar w:top="1440" w:right="1440" w:bottom="1440" w:left="1440" w:header="708" w:footer="708" w:gutter="0"/>
          <w:cols w:space="708"/>
          <w:docGrid w:linePitch="360"/>
        </w:sectPr>
      </w:pPr>
      <w:r w:rsidRPr="00C457D1">
        <w:t xml:space="preserve"> </w:t>
      </w:r>
      <w:r w:rsidR="005F7C44" w:rsidRPr="00C457D1">
        <w:t>1</w:t>
      </w:r>
      <w:r w:rsidR="00397D77">
        <w:t xml:space="preserve"> </w:t>
      </w:r>
      <w:r w:rsidR="005F7C44" w:rsidRPr="00C457D1">
        <w:t>=</w:t>
      </w:r>
      <w:r w:rsidR="00397D77">
        <w:t xml:space="preserve"> </w:t>
      </w:r>
      <w:r w:rsidR="005F7C44" w:rsidRPr="00C457D1">
        <w:t>yes, 0</w:t>
      </w:r>
      <w:r w:rsidR="00397D77">
        <w:t xml:space="preserve"> </w:t>
      </w:r>
      <w:r w:rsidR="005F7C44" w:rsidRPr="00C457D1">
        <w:t>=</w:t>
      </w:r>
      <w:r w:rsidR="00397D77">
        <w:t xml:space="preserve"> </w:t>
      </w:r>
      <w:r w:rsidR="005F7C44" w:rsidRPr="00C457D1">
        <w:t>no, NA</w:t>
      </w:r>
      <w:r w:rsidR="00397D77">
        <w:t xml:space="preserve"> </w:t>
      </w:r>
      <w:r w:rsidR="005F7C44" w:rsidRPr="00C457D1">
        <w:t>=</w:t>
      </w:r>
      <w:r w:rsidR="00397D77">
        <w:t xml:space="preserve"> </w:t>
      </w:r>
      <w:r w:rsidR="005F7C44" w:rsidRPr="00C457D1">
        <w:t>not applicable</w:t>
      </w:r>
      <w:r w:rsidR="009B68EC" w:rsidRPr="00C457D1">
        <w:t>.</w:t>
      </w:r>
    </w:p>
    <w:p w14:paraId="260D5013" w14:textId="77777777" w:rsidR="00E10816" w:rsidRPr="00E10816" w:rsidRDefault="00E10816" w:rsidP="003F6C66">
      <w:pPr>
        <w:pStyle w:val="Heading3"/>
      </w:pPr>
      <w:bookmarkStart w:id="219" w:name="_Toc460396034"/>
      <w:r w:rsidRPr="00E10816">
        <w:lastRenderedPageBreak/>
        <w:t>Risk of bias for studies of RFA</w:t>
      </w:r>
      <w:bookmarkEnd w:id="219"/>
    </w:p>
    <w:p w14:paraId="67C5BC38" w14:textId="77777777" w:rsidR="00033303" w:rsidRPr="00C96697" w:rsidRDefault="00033303" w:rsidP="00E10816">
      <w:pPr>
        <w:rPr>
          <w:b/>
          <w:i/>
        </w:rPr>
      </w:pPr>
      <w:r w:rsidRPr="00C96697">
        <w:rPr>
          <w:b/>
          <w:i/>
        </w:rPr>
        <w:t xml:space="preserve">Risk of bias associated with study design </w:t>
      </w:r>
    </w:p>
    <w:p w14:paraId="27D2AFF3" w14:textId="3E342659" w:rsidR="00E10816" w:rsidRPr="00E10816" w:rsidRDefault="005775DE" w:rsidP="00E10816">
      <w:r>
        <w:t xml:space="preserve">Nineteen </w:t>
      </w:r>
      <w:r w:rsidR="00E10816" w:rsidRPr="00E10816">
        <w:t xml:space="preserve">of the </w:t>
      </w:r>
      <w:r>
        <w:t>published</w:t>
      </w:r>
      <w:r w:rsidR="00E10816" w:rsidRPr="00E10816">
        <w:t xml:space="preserve"> studies of RFA for the treatment of lung cancer were case series, </w:t>
      </w:r>
      <w:r w:rsidR="00E16DE1">
        <w:t>and</w:t>
      </w:r>
      <w:r w:rsidR="00E10816" w:rsidRPr="00E10816">
        <w:t xml:space="preserve"> one </w:t>
      </w:r>
      <w:r w:rsidR="00E16DE1">
        <w:t xml:space="preserve">was a </w:t>
      </w:r>
      <w:r w:rsidR="00E10816" w:rsidRPr="00E10816">
        <w:t xml:space="preserve">non-randomised historical control trial of early stage NSCLC. A summary of the overall risk of bias according to each population is presented in </w:t>
      </w:r>
      <w:r w:rsidR="00E10816" w:rsidRPr="00E10816">
        <w:fldChar w:fldCharType="begin"/>
      </w:r>
      <w:r w:rsidR="00E10816" w:rsidRPr="00E10816">
        <w:instrText xml:space="preserve"> REF _Ref456961675 \h  \* MERGEFORMAT </w:instrText>
      </w:r>
      <w:r w:rsidR="00E10816" w:rsidRPr="00E10816">
        <w:fldChar w:fldCharType="separate"/>
      </w:r>
      <w:r w:rsidR="00D170A5" w:rsidRPr="00E10816">
        <w:t xml:space="preserve">Table </w:t>
      </w:r>
      <w:r w:rsidR="00D170A5">
        <w:t>21</w:t>
      </w:r>
      <w:r w:rsidR="00E10816" w:rsidRPr="00E10816">
        <w:fldChar w:fldCharType="end"/>
      </w:r>
      <w:r w:rsidR="00E10816" w:rsidRPr="00E10816">
        <w:t xml:space="preserve">. Detailed quality appraisal scores for each study are </w:t>
      </w:r>
      <w:r w:rsidR="00E10816" w:rsidRPr="00EF16A6">
        <w:t xml:space="preserve">presented </w:t>
      </w:r>
      <w:r w:rsidR="00E10816" w:rsidRPr="00EF16A6">
        <w:rPr>
          <w:rFonts w:asciiTheme="minorHAnsi" w:hAnsiTheme="minorHAnsi"/>
        </w:rPr>
        <w:t xml:space="preserve">in </w:t>
      </w:r>
      <w:r w:rsidR="00E10816" w:rsidRPr="00EF16A6">
        <w:rPr>
          <w:rFonts w:asciiTheme="minorHAnsi" w:hAnsiTheme="minorHAnsi"/>
        </w:rPr>
        <w:fldChar w:fldCharType="begin"/>
      </w:r>
      <w:r w:rsidR="00E10816" w:rsidRPr="00EF16A6">
        <w:rPr>
          <w:rFonts w:asciiTheme="minorHAnsi" w:hAnsiTheme="minorHAnsi"/>
        </w:rPr>
        <w:instrText xml:space="preserve"> REF _Ref456965131 \h </w:instrText>
      </w:r>
      <w:r w:rsidR="00EF16A6" w:rsidRPr="00EF16A6">
        <w:rPr>
          <w:rFonts w:asciiTheme="minorHAnsi" w:hAnsiTheme="minorHAnsi"/>
        </w:rPr>
        <w:instrText xml:space="preserve"> \* MERGEFORMAT </w:instrText>
      </w:r>
      <w:r w:rsidR="00E10816" w:rsidRPr="00EF16A6">
        <w:rPr>
          <w:rFonts w:asciiTheme="minorHAnsi" w:hAnsiTheme="minorHAnsi"/>
        </w:rPr>
      </w:r>
      <w:r w:rsidR="00E10816" w:rsidRPr="00EF16A6">
        <w:rPr>
          <w:rFonts w:asciiTheme="minorHAnsi" w:hAnsiTheme="minorHAnsi"/>
        </w:rPr>
        <w:fldChar w:fldCharType="separate"/>
      </w:r>
      <w:r w:rsidR="00D170A5" w:rsidRPr="00D170A5">
        <w:rPr>
          <w:rFonts w:asciiTheme="minorHAnsi" w:hAnsiTheme="minorHAnsi"/>
          <w:bCs/>
        </w:rPr>
        <w:t xml:space="preserve">Table </w:t>
      </w:r>
      <w:r w:rsidR="00D170A5" w:rsidRPr="00D170A5">
        <w:rPr>
          <w:rFonts w:asciiTheme="minorHAnsi" w:hAnsiTheme="minorHAnsi"/>
          <w:bCs/>
          <w:noProof/>
        </w:rPr>
        <w:t>22</w:t>
      </w:r>
      <w:r w:rsidR="00E10816" w:rsidRPr="00EF16A6">
        <w:rPr>
          <w:rFonts w:asciiTheme="minorHAnsi" w:hAnsiTheme="minorHAnsi"/>
        </w:rPr>
        <w:fldChar w:fldCharType="end"/>
      </w:r>
      <w:r w:rsidR="00E10816" w:rsidRPr="00EF16A6">
        <w:rPr>
          <w:rFonts w:asciiTheme="minorHAnsi" w:hAnsiTheme="minorHAnsi"/>
        </w:rPr>
        <w:t xml:space="preserve"> and </w:t>
      </w:r>
      <w:r w:rsidR="00E10816" w:rsidRPr="00EF16A6">
        <w:rPr>
          <w:rFonts w:asciiTheme="minorHAnsi" w:hAnsiTheme="minorHAnsi"/>
        </w:rPr>
        <w:fldChar w:fldCharType="begin"/>
      </w:r>
      <w:r w:rsidR="00E10816" w:rsidRPr="00EF16A6">
        <w:rPr>
          <w:rFonts w:asciiTheme="minorHAnsi" w:hAnsiTheme="minorHAnsi"/>
        </w:rPr>
        <w:instrText xml:space="preserve"> REF _Ref456965133 \h </w:instrText>
      </w:r>
      <w:r w:rsidR="00EF16A6" w:rsidRPr="00EF16A6">
        <w:rPr>
          <w:rFonts w:asciiTheme="minorHAnsi" w:hAnsiTheme="minorHAnsi"/>
        </w:rPr>
        <w:instrText xml:space="preserve"> \* MERGEFORMAT </w:instrText>
      </w:r>
      <w:r w:rsidR="00E10816" w:rsidRPr="00EF16A6">
        <w:rPr>
          <w:rFonts w:asciiTheme="minorHAnsi" w:hAnsiTheme="minorHAnsi"/>
        </w:rPr>
      </w:r>
      <w:r w:rsidR="00E10816" w:rsidRPr="00EF16A6">
        <w:rPr>
          <w:rFonts w:asciiTheme="minorHAnsi" w:hAnsiTheme="minorHAnsi"/>
        </w:rPr>
        <w:fldChar w:fldCharType="separate"/>
      </w:r>
      <w:r w:rsidR="00D170A5" w:rsidRPr="00D170A5">
        <w:rPr>
          <w:rFonts w:asciiTheme="minorHAnsi" w:hAnsiTheme="minorHAnsi"/>
          <w:bCs/>
        </w:rPr>
        <w:t xml:space="preserve">Table </w:t>
      </w:r>
      <w:r w:rsidR="00D170A5" w:rsidRPr="00D170A5">
        <w:rPr>
          <w:rFonts w:asciiTheme="minorHAnsi" w:hAnsiTheme="minorHAnsi"/>
          <w:bCs/>
          <w:noProof/>
        </w:rPr>
        <w:t>23</w:t>
      </w:r>
      <w:r w:rsidR="00E10816" w:rsidRPr="00EF16A6">
        <w:rPr>
          <w:rFonts w:asciiTheme="minorHAnsi" w:hAnsiTheme="minorHAnsi"/>
        </w:rPr>
        <w:fldChar w:fldCharType="end"/>
      </w:r>
      <w:r w:rsidR="00E10816" w:rsidRPr="00EF16A6">
        <w:rPr>
          <w:rFonts w:asciiTheme="minorHAnsi" w:hAnsiTheme="minorHAnsi"/>
        </w:rPr>
        <w:t>.</w:t>
      </w:r>
    </w:p>
    <w:p w14:paraId="58B4BD91" w14:textId="77777777" w:rsidR="00033303" w:rsidRPr="00C96697" w:rsidRDefault="00033303" w:rsidP="00E10816">
      <w:pPr>
        <w:rPr>
          <w:b/>
          <w:i/>
        </w:rPr>
      </w:pPr>
      <w:r w:rsidRPr="00C96697">
        <w:rPr>
          <w:b/>
          <w:i/>
        </w:rPr>
        <w:t>Selection bias</w:t>
      </w:r>
    </w:p>
    <w:p w14:paraId="28D937AC" w14:textId="77777777" w:rsidR="00033303" w:rsidRDefault="00E10816" w:rsidP="00E10816">
      <w:r w:rsidRPr="00E10816">
        <w:t>The majority of studies were conducted retrospectively (k</w:t>
      </w:r>
      <w:r w:rsidR="00C10752">
        <w:t xml:space="preserve"> </w:t>
      </w:r>
      <w:r w:rsidRPr="00E10816">
        <w:t>=</w:t>
      </w:r>
      <w:r w:rsidR="00C10752">
        <w:t xml:space="preserve"> </w:t>
      </w:r>
      <w:r w:rsidRPr="00E10816">
        <w:t>16) through case note review. There were no apparent discrepancies between the number of included patients and the total number of patients reported in the analysis.</w:t>
      </w:r>
    </w:p>
    <w:p w14:paraId="30398CB7" w14:textId="77777777" w:rsidR="00033303" w:rsidRPr="00C96697" w:rsidRDefault="00033303" w:rsidP="00E10816">
      <w:pPr>
        <w:rPr>
          <w:b/>
        </w:rPr>
      </w:pPr>
      <w:r w:rsidRPr="00C96697">
        <w:rPr>
          <w:b/>
          <w:i/>
        </w:rPr>
        <w:t>Performance bias and detection bias</w:t>
      </w:r>
    </w:p>
    <w:p w14:paraId="2AD80A0B" w14:textId="41CDB7CC" w:rsidR="00033303" w:rsidRDefault="00033303" w:rsidP="00033303">
      <w:r w:rsidRPr="00E10816">
        <w:t xml:space="preserve">Due to the retrospective nature of the included studies, treatment with RFA was the main study inclusion criteria, but pre- or post-RFA treatments were often not considered. Chemotherapy was the most common pre-RFA treatment for pulmonary metastases. Due to the lack of uniformity in pre- and post-RFA treatment strategies, the reported survival effects </w:t>
      </w:r>
      <w:r w:rsidR="00224A6C">
        <w:t xml:space="preserve">could not be attributed </w:t>
      </w:r>
      <w:r w:rsidRPr="00E10816">
        <w:t>to RFA alone. Similarly, the diverse patients in the included studies</w:t>
      </w:r>
      <w:r w:rsidR="00F10E79">
        <w:t xml:space="preserve"> introduced uncertainty</w:t>
      </w:r>
      <w:r w:rsidR="00B32909">
        <w:t xml:space="preserve"> whether</w:t>
      </w:r>
      <w:r w:rsidR="00F10E79">
        <w:t xml:space="preserve"> </w:t>
      </w:r>
      <w:r w:rsidRPr="00E10816">
        <w:t xml:space="preserve">survival effects </w:t>
      </w:r>
      <w:r w:rsidR="00D163D3">
        <w:t>were</w:t>
      </w:r>
      <w:r w:rsidR="00F10E79" w:rsidRPr="00E10816">
        <w:t xml:space="preserve"> </w:t>
      </w:r>
      <w:r w:rsidRPr="00E10816">
        <w:t xml:space="preserve">related to RFA therapy or the natural history of the </w:t>
      </w:r>
      <w:r w:rsidR="00F10E79">
        <w:t>patients</w:t>
      </w:r>
      <w:r w:rsidRPr="00E10816">
        <w:t>.</w:t>
      </w:r>
    </w:p>
    <w:p w14:paraId="3D061F5D" w14:textId="77777777" w:rsidR="00033303" w:rsidRPr="00C96697" w:rsidRDefault="00033303" w:rsidP="00033303">
      <w:pPr>
        <w:rPr>
          <w:b/>
          <w:i/>
        </w:rPr>
      </w:pPr>
      <w:r w:rsidRPr="00C96697">
        <w:rPr>
          <w:b/>
          <w:i/>
        </w:rPr>
        <w:t>Attrition bias and reporting bias</w:t>
      </w:r>
    </w:p>
    <w:p w14:paraId="2EEE04AF" w14:textId="066792EE" w:rsidR="00E10816" w:rsidRPr="00E10816" w:rsidRDefault="00E10816" w:rsidP="00E10816">
      <w:r w:rsidRPr="00E10816">
        <w:t xml:space="preserve">Five of the included studies accounted for patients that were excluded from the study </w:t>
      </w:r>
      <w:r w:rsidRPr="00E10816">
        <w:fldChar w:fldCharType="begin">
          <w:fldData xml:space="preserve">PEVuZE5vdGU+PENpdGU+PEF1dGhvcj5SaWRnZTwvQXV0aG9yPjxZZWFyPjIwMTQ8L1llYXI+PFJl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6A4E2A">
        <w:instrText xml:space="preserve"> ADDIN EN.CITE </w:instrText>
      </w:r>
      <w:r w:rsidR="006A4E2A">
        <w:fldChar w:fldCharType="begin">
          <w:fldData xml:space="preserve">PEVuZE5vdGU+PENpdGU+PEF1dGhvcj5SaWRnZTwvQXV0aG9yPjxZZWFyPjIwMTQ8L1llYXI+PFJl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6A4E2A">
        <w:instrText xml:space="preserve"> ADDIN EN.CITE.DATA </w:instrText>
      </w:r>
      <w:r w:rsidR="006A4E2A">
        <w:fldChar w:fldCharType="end"/>
      </w:r>
      <w:r w:rsidRPr="00E10816">
        <w:fldChar w:fldCharType="separate"/>
      </w:r>
      <w:r w:rsidRPr="00E10816">
        <w:rPr>
          <w:noProof/>
        </w:rPr>
        <w:t>(</w:t>
      </w:r>
      <w:hyperlink w:anchor="_ENREF_51" w:tooltip="Fanucchi, 2016 #169" w:history="1">
        <w:r w:rsidR="00320458" w:rsidRPr="00E10816">
          <w:rPr>
            <w:noProof/>
          </w:rPr>
          <w:t>Fanucchi et al 2016</w:t>
        </w:r>
      </w:hyperlink>
      <w:r w:rsidRPr="00E10816">
        <w:rPr>
          <w:noProof/>
        </w:rPr>
        <w:t xml:space="preserve">; </w:t>
      </w:r>
      <w:hyperlink w:anchor="_ENREF_71" w:tooltip="Hiraki, 2011 #170" w:history="1">
        <w:r w:rsidR="00320458" w:rsidRPr="00E10816">
          <w:rPr>
            <w:noProof/>
          </w:rPr>
          <w:t>Hiraki et al 2011b</w:t>
        </w:r>
      </w:hyperlink>
      <w:r w:rsidRPr="00E10816">
        <w:rPr>
          <w:noProof/>
        </w:rPr>
        <w:t xml:space="preserve">; </w:t>
      </w:r>
      <w:hyperlink w:anchor="_ENREF_98" w:tooltip="Lu, 2015 #173" w:history="1">
        <w:r w:rsidR="00320458" w:rsidRPr="00E10816">
          <w:rPr>
            <w:noProof/>
          </w:rPr>
          <w:t>Lu et al 2015a</w:t>
        </w:r>
      </w:hyperlink>
      <w:r w:rsidRPr="00E10816">
        <w:rPr>
          <w:noProof/>
        </w:rPr>
        <w:t xml:space="preserve">; </w:t>
      </w:r>
      <w:hyperlink w:anchor="_ENREF_126" w:tooltip="Ridge, 2014 #165" w:history="1">
        <w:r w:rsidR="00320458" w:rsidRPr="00E10816">
          <w:rPr>
            <w:noProof/>
          </w:rPr>
          <w:t>Ridge et al 2014</w:t>
        </w:r>
      </w:hyperlink>
      <w:r w:rsidRPr="00E10816">
        <w:rPr>
          <w:noProof/>
        </w:rPr>
        <w:t xml:space="preserve">; </w:t>
      </w:r>
      <w:hyperlink w:anchor="_ENREF_173" w:tooltip="Yan, 2007 #177" w:history="1">
        <w:r w:rsidR="00320458" w:rsidRPr="00E10816">
          <w:rPr>
            <w:noProof/>
          </w:rPr>
          <w:t>Yan et al 2007</w:t>
        </w:r>
      </w:hyperlink>
      <w:r w:rsidRPr="00E10816">
        <w:rPr>
          <w:noProof/>
        </w:rPr>
        <w:t>)</w:t>
      </w:r>
      <w:r w:rsidRPr="00E10816">
        <w:fldChar w:fldCharType="end"/>
      </w:r>
      <w:r w:rsidRPr="00E10816">
        <w:t>, whereas the other studies did not report any losses to follow-up. It is unknown whether patients with incomplete case notes were excluded from analysis.</w:t>
      </w:r>
    </w:p>
    <w:p w14:paraId="7C367581" w14:textId="77777777" w:rsidR="00033303" w:rsidRPr="00C96697" w:rsidRDefault="00033303" w:rsidP="00033303">
      <w:pPr>
        <w:rPr>
          <w:b/>
          <w:i/>
        </w:rPr>
      </w:pPr>
      <w:r w:rsidRPr="00C96697">
        <w:rPr>
          <w:b/>
          <w:i/>
        </w:rPr>
        <w:t>Populations</w:t>
      </w:r>
    </w:p>
    <w:p w14:paraId="5046BE16" w14:textId="77777777" w:rsidR="00033303" w:rsidRDefault="00E10816" w:rsidP="00E10816">
      <w:r w:rsidRPr="00E10816">
        <w:t xml:space="preserve">The included patients for population two were highly diverse, even after accounting for the strict study inclusion criteria of this </w:t>
      </w:r>
      <w:r w:rsidR="00F10E79">
        <w:t>assessment</w:t>
      </w:r>
      <w:r w:rsidRPr="00E10816">
        <w:t xml:space="preserve">. The observed variation in sample populations across studies was largely related to the stage of primary disease, type of primary disease, </w:t>
      </w:r>
      <w:r w:rsidR="00CA6DFD" w:rsidRPr="00E10816">
        <w:t>male: female</w:t>
      </w:r>
      <w:r w:rsidRPr="00E10816">
        <w:t xml:space="preserve"> distribution, age distribution, number of lesions and, most importantly, treatment strategies for pulmonary metastases before and after RFA. </w:t>
      </w:r>
      <w:r w:rsidR="00033303" w:rsidRPr="00011FB8">
        <w:t xml:space="preserve">Study populations are discussed in more detail in </w:t>
      </w:r>
      <w:r w:rsidR="008C26C4">
        <w:t>S</w:t>
      </w:r>
      <w:r w:rsidR="008C26C4" w:rsidRPr="00011FB8">
        <w:t xml:space="preserve">ection </w:t>
      </w:r>
      <w:r w:rsidR="00033303" w:rsidRPr="00011FB8">
        <w:t>B.4 of the report.</w:t>
      </w:r>
    </w:p>
    <w:p w14:paraId="44F7454F" w14:textId="77777777" w:rsidR="00B40C73" w:rsidRDefault="00B40C73" w:rsidP="00E10816"/>
    <w:p w14:paraId="5D2AB014" w14:textId="77777777" w:rsidR="00033303" w:rsidRPr="00C96697" w:rsidRDefault="00033303" w:rsidP="00E10816">
      <w:pPr>
        <w:rPr>
          <w:b/>
          <w:i/>
        </w:rPr>
      </w:pPr>
      <w:r w:rsidRPr="00C96697">
        <w:rPr>
          <w:b/>
          <w:i/>
        </w:rPr>
        <w:lastRenderedPageBreak/>
        <w:t>Risk of bias across the outcome reporting</w:t>
      </w:r>
    </w:p>
    <w:p w14:paraId="49B1DAF0" w14:textId="795BD741" w:rsidR="00E10816" w:rsidRPr="00E10816" w:rsidRDefault="00E10816" w:rsidP="00E10816">
      <w:r w:rsidRPr="00E10816">
        <w:t xml:space="preserve">Safety outcomes were reported inconsistently across studies, with the exception of procedure-related mortality and pneumothorax. Other outcomes were reported variably, and definitions for adverse events were mixed. Two studies reported adverse events as major or minor </w:t>
      </w:r>
      <w:r w:rsidRPr="00E10816">
        <w:fldChar w:fldCharType="begin">
          <w:fldData xml:space="preserve">PEVuZE5vdGU+PENpdGU+PEF1dGhvcj5BbWJyb2dpPC9BdXRob3I+PFllYXI+MjAxMTwvWWVhcj48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</w:fldData>
        </w:fldChar>
      </w:r>
      <w:r w:rsidR="00194054">
        <w:instrText xml:space="preserve"> ADDIN EN.CITE </w:instrText>
      </w:r>
      <w:r w:rsidR="00194054">
        <w:fldChar w:fldCharType="begin">
          <w:fldData xml:space="preserve">PEVuZE5vdGU+PENpdGU+PEF1dGhvcj5BbWJyb2dpPC9BdXRob3I+PFllYXI+MjAxMTwvWWVhcj48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</w:fldData>
        </w:fldChar>
      </w:r>
      <w:r w:rsidR="00194054">
        <w:instrText xml:space="preserve"> ADDIN EN.CITE.DATA </w:instrText>
      </w:r>
      <w:r w:rsidR="00194054">
        <w:fldChar w:fldCharType="end"/>
      </w:r>
      <w:r w:rsidRPr="00E10816">
        <w:fldChar w:fldCharType="separate"/>
      </w:r>
      <w:r w:rsidRPr="00E10816">
        <w:rPr>
          <w:noProof/>
        </w:rPr>
        <w:t>(</w:t>
      </w:r>
      <w:hyperlink w:anchor="_ENREF_6" w:tooltip="Ambrogi, 2011 #160" w:history="1">
        <w:r w:rsidR="00320458" w:rsidRPr="00E10816">
          <w:rPr>
            <w:noProof/>
          </w:rPr>
          <w:t>Ambrogi et al 2011</w:t>
        </w:r>
      </w:hyperlink>
      <w:r w:rsidRPr="00E10816">
        <w:rPr>
          <w:noProof/>
        </w:rPr>
        <w:t xml:space="preserve">; </w:t>
      </w:r>
      <w:hyperlink w:anchor="_ENREF_93" w:tooltip="Liu, 2015 #164" w:history="1">
        <w:r w:rsidR="00320458" w:rsidRPr="00E10816">
          <w:rPr>
            <w:noProof/>
          </w:rPr>
          <w:t>Liu et al 2015</w:t>
        </w:r>
      </w:hyperlink>
      <w:r w:rsidRPr="00E10816">
        <w:rPr>
          <w:noProof/>
        </w:rPr>
        <w:t>)</w:t>
      </w:r>
      <w:r w:rsidRPr="00E10816">
        <w:fldChar w:fldCharType="end"/>
      </w:r>
      <w:r w:rsidRPr="00E10816">
        <w:t xml:space="preserve">, six reported adverse events according to the </w:t>
      </w:r>
      <w:r w:rsidR="00154D0D" w:rsidRPr="00682B2A">
        <w:rPr>
          <w:rFonts w:asciiTheme="minorHAnsi" w:hAnsiTheme="minorHAnsi"/>
        </w:rPr>
        <w:t>National Cancer Institute-Common Terminology Criteria for Adverse Events</w:t>
      </w:r>
      <w:r w:rsidR="00154D0D">
        <w:t xml:space="preserve"> (NCI-CTCAE)</w:t>
      </w:r>
      <w:r w:rsidRPr="00E10816">
        <w:t xml:space="preserve"> criteria </w:t>
      </w:r>
      <w:r w:rsidRPr="00E10816">
        <w:fldChar w:fldCharType="begin">
          <w:fldData xml:space="preserve">PEVuZE5vdGU+PENpdGU+PEF1dGhvcj5EdXB1eTwvQXV0aG9yPjxZZWFyPjIwMTU8L1llYXI+PFJl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6A4E2A">
        <w:instrText xml:space="preserve"> ADDIN EN.CITE </w:instrText>
      </w:r>
      <w:r w:rsidR="006A4E2A">
        <w:fldChar w:fldCharType="begin">
          <w:fldData xml:space="preserve">PEVuZE5vdGU+PENpdGU+PEF1dGhvcj5EdXB1eTwvQXV0aG9yPjxZZWFyPjIwMTU8L1llYXI+PFJl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6A4E2A">
        <w:instrText xml:space="preserve"> ADDIN EN.CITE.DATA </w:instrText>
      </w:r>
      <w:r w:rsidR="006A4E2A">
        <w:fldChar w:fldCharType="end"/>
      </w:r>
      <w:r w:rsidRPr="00E10816">
        <w:fldChar w:fldCharType="separate"/>
      </w:r>
      <w:r w:rsidRPr="00E10816">
        <w:rPr>
          <w:noProof/>
        </w:rPr>
        <w:t>(</w:t>
      </w:r>
      <w:hyperlink w:anchor="_ENREF_46" w:tooltip="Dupuy, 2015 #161" w:history="1">
        <w:r w:rsidR="00320458" w:rsidRPr="00E10816">
          <w:rPr>
            <w:noProof/>
          </w:rPr>
          <w:t>Dupuy et al 2015</w:t>
        </w:r>
      </w:hyperlink>
      <w:r w:rsidRPr="00E10816">
        <w:rPr>
          <w:noProof/>
        </w:rPr>
        <w:t xml:space="preserve">; </w:t>
      </w:r>
      <w:hyperlink w:anchor="_ENREF_51" w:tooltip="Fanucchi, 2016 #169" w:history="1">
        <w:r w:rsidR="00320458" w:rsidRPr="00E10816">
          <w:rPr>
            <w:noProof/>
          </w:rPr>
          <w:t>Fanucchi et al 2016</w:t>
        </w:r>
      </w:hyperlink>
      <w:r w:rsidRPr="00E10816">
        <w:rPr>
          <w:noProof/>
        </w:rPr>
        <w:t xml:space="preserve">; </w:t>
      </w:r>
      <w:hyperlink w:anchor="_ENREF_69" w:tooltip="Hiraki, 2011 #162" w:history="1">
        <w:r w:rsidR="00320458" w:rsidRPr="00E10816">
          <w:rPr>
            <w:noProof/>
          </w:rPr>
          <w:t>Hiraki et al 2011a</w:t>
        </w:r>
      </w:hyperlink>
      <w:r w:rsidRPr="00E10816">
        <w:rPr>
          <w:noProof/>
        </w:rPr>
        <w:t xml:space="preserve">; </w:t>
      </w:r>
      <w:hyperlink w:anchor="_ENREF_102" w:tooltip="Matsui, 2015 #175" w:history="1">
        <w:r w:rsidR="00320458" w:rsidRPr="00E10816">
          <w:rPr>
            <w:noProof/>
          </w:rPr>
          <w:t>Matsui et al 2015</w:t>
        </w:r>
      </w:hyperlink>
      <w:r w:rsidRPr="00E10816">
        <w:rPr>
          <w:noProof/>
        </w:rPr>
        <w:t xml:space="preserve">; </w:t>
      </w:r>
      <w:hyperlink w:anchor="_ENREF_126" w:tooltip="Ridge, 2014 #165" w:history="1">
        <w:r w:rsidR="00320458" w:rsidRPr="00E10816">
          <w:rPr>
            <w:noProof/>
          </w:rPr>
          <w:t>Ridge et al 2014</w:t>
        </w:r>
      </w:hyperlink>
      <w:r w:rsidRPr="00E10816">
        <w:rPr>
          <w:noProof/>
        </w:rPr>
        <w:t xml:space="preserve">; </w:t>
      </w:r>
      <w:hyperlink w:anchor="_ENREF_142" w:tooltip="Simon, 2007 #179" w:history="1">
        <w:r w:rsidR="00320458" w:rsidRPr="00E10816">
          <w:rPr>
            <w:noProof/>
          </w:rPr>
          <w:t>Simon et al 2007</w:t>
        </w:r>
      </w:hyperlink>
      <w:r w:rsidRPr="00E10816">
        <w:rPr>
          <w:noProof/>
        </w:rPr>
        <w:t>)</w:t>
      </w:r>
      <w:r w:rsidRPr="00E10816">
        <w:fldChar w:fldCharType="end"/>
      </w:r>
      <w:r w:rsidRPr="00E10816">
        <w:t xml:space="preserve">, and nine studies did not adequately define how adverse events were recorded in the case notes </w:t>
      </w:r>
      <w:r w:rsidRPr="00E10816">
        <w:fldChar w:fldCharType="begin">
          <w:fldData xml:space="preserve">ZmVyZW5jZTwva2V5d29yZD48a2V5d29yZD50cmVhdG1lbnQgZmFpbHVyZTwva2V5d29yZD48a2V5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</w:fldData>
        </w:fldChar>
      </w:r>
      <w:r w:rsidR="00AB722F">
        <w:instrText xml:space="preserve"> ADDIN EN.CITE </w:instrText>
      </w:r>
      <w:r w:rsidR="00AB722F">
        <w:fldChar w:fldCharType="begin">
          <w:fldData xml:space="preserve">PEVuZE5vdGU+PENpdGU+PEF1dGhvcj5TYWZpPC9BdXRob3I+PFllYXI+MjAxNTwvWWVhcj48UmVj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==
</w:fldData>
        </w:fldChar>
      </w:r>
      <w:r w:rsidR="00AB722F">
        <w:instrText xml:space="preserve"> ADDIN EN.CITE.DATA </w:instrText>
      </w:r>
      <w:r w:rsidR="00AB722F">
        <w:fldChar w:fldCharType="end"/>
      </w:r>
      <w:r w:rsidR="00AB722F">
        <w:fldChar w:fldCharType="begin">
          <w:fldData xml:space="preserve">ZmVyZW5jZTwva2V5d29yZD48a2V5d29yZD50cmVhdG1lbnQgZmFpbHVyZTwva2V5d29yZD48a2V5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</w:fldData>
        </w:fldChar>
      </w:r>
      <w:r w:rsidR="00AB722F">
        <w:instrText xml:space="preserve"> ADDIN EN.CITE.DATA </w:instrText>
      </w:r>
      <w:r w:rsidR="00AB722F">
        <w:fldChar w:fldCharType="end"/>
      </w:r>
      <w:r w:rsidRPr="00E10816">
        <w:fldChar w:fldCharType="separate"/>
      </w:r>
      <w:r w:rsidR="00AB722F">
        <w:rPr>
          <w:noProof/>
        </w:rPr>
        <w:t>(</w:t>
      </w:r>
      <w:hyperlink w:anchor="_ENREF_35" w:tooltip="De Baere, 2015 #168" w:history="1">
        <w:r w:rsidR="00320458">
          <w:rPr>
            <w:noProof/>
          </w:rPr>
          <w:t>De Baere et al 2015a</w:t>
        </w:r>
      </w:hyperlink>
      <w:r w:rsidR="00AB722F">
        <w:rPr>
          <w:noProof/>
        </w:rPr>
        <w:t xml:space="preserve">; </w:t>
      </w:r>
      <w:hyperlink w:anchor="_ENREF_81" w:tooltip="Koelblinger, 2014 #171" w:history="1">
        <w:r w:rsidR="00320458">
          <w:rPr>
            <w:noProof/>
          </w:rPr>
          <w:t>Koelblinger et al 2014</w:t>
        </w:r>
      </w:hyperlink>
      <w:r w:rsidR="00AB722F">
        <w:rPr>
          <w:noProof/>
        </w:rPr>
        <w:t xml:space="preserve">; </w:t>
      </w:r>
      <w:hyperlink w:anchor="_ENREF_90" w:tooltip="Li, 2012 #172" w:history="1">
        <w:r w:rsidR="00320458">
          <w:rPr>
            <w:noProof/>
          </w:rPr>
          <w:t>Li et al 2012</w:t>
        </w:r>
      </w:hyperlink>
      <w:r w:rsidR="00AB722F">
        <w:rPr>
          <w:noProof/>
        </w:rPr>
        <w:t xml:space="preserve">; </w:t>
      </w:r>
      <w:hyperlink w:anchor="_ENREF_98" w:tooltip="Lu, 2015 #173" w:history="1">
        <w:r w:rsidR="00320458">
          <w:rPr>
            <w:noProof/>
          </w:rPr>
          <w:t>Lu et al 2015a</w:t>
        </w:r>
      </w:hyperlink>
      <w:r w:rsidR="00AB722F">
        <w:rPr>
          <w:noProof/>
        </w:rPr>
        <w:t xml:space="preserve">; </w:t>
      </w:r>
      <w:hyperlink w:anchor="_ENREF_99" w:tooltip="Lu, 2015 #174" w:history="1">
        <w:r w:rsidR="00320458">
          <w:rPr>
            <w:noProof/>
          </w:rPr>
          <w:t>Lu et al 2015b</w:t>
        </w:r>
      </w:hyperlink>
      <w:r w:rsidR="00AB722F">
        <w:rPr>
          <w:noProof/>
        </w:rPr>
        <w:t xml:space="preserve">; </w:t>
      </w:r>
      <w:hyperlink w:anchor="_ENREF_130" w:tooltip="Safi, 2015 #167" w:history="1">
        <w:r w:rsidR="00320458">
          <w:rPr>
            <w:noProof/>
          </w:rPr>
          <w:t>Safi et al 2015</w:t>
        </w:r>
      </w:hyperlink>
      <w:r w:rsidR="00AB722F">
        <w:rPr>
          <w:noProof/>
        </w:rPr>
        <w:t xml:space="preserve">; </w:t>
      </w:r>
      <w:hyperlink w:anchor="_ENREF_166" w:tooltip="Viti, 2014 #166" w:history="1">
        <w:r w:rsidR="00320458">
          <w:rPr>
            <w:noProof/>
          </w:rPr>
          <w:t>Viti et al 2014</w:t>
        </w:r>
      </w:hyperlink>
      <w:r w:rsidR="00AB722F">
        <w:rPr>
          <w:noProof/>
        </w:rPr>
        <w:t xml:space="preserve">; </w:t>
      </w:r>
      <w:hyperlink w:anchor="_ENREF_169" w:tooltip="Von Meyenfeldt, 2011 #176" w:history="1">
        <w:r w:rsidR="00320458">
          <w:rPr>
            <w:noProof/>
          </w:rPr>
          <w:t>Von Meyenfeldt et al 2011</w:t>
        </w:r>
      </w:hyperlink>
      <w:r w:rsidR="00AB722F">
        <w:rPr>
          <w:noProof/>
        </w:rPr>
        <w:t xml:space="preserve">; </w:t>
      </w:r>
      <w:hyperlink w:anchor="_ENREF_173" w:tooltip="Yan, 2007 #177" w:history="1">
        <w:r w:rsidR="00320458">
          <w:rPr>
            <w:noProof/>
          </w:rPr>
          <w:t>Yan et al 2007</w:t>
        </w:r>
      </w:hyperlink>
      <w:r w:rsidR="00AB722F">
        <w:rPr>
          <w:noProof/>
        </w:rPr>
        <w:t>)</w:t>
      </w:r>
      <w:r w:rsidRPr="00E10816">
        <w:fldChar w:fldCharType="end"/>
      </w:r>
      <w:r w:rsidRPr="00E10816">
        <w:t>.</w:t>
      </w:r>
    </w:p>
    <w:p w14:paraId="472903B3" w14:textId="77777777" w:rsidR="00E10816" w:rsidRPr="00E10816" w:rsidRDefault="00E10816" w:rsidP="001163D9">
      <w:pPr>
        <w:pStyle w:val="TableHeading"/>
      </w:pPr>
      <w:bookmarkStart w:id="220" w:name="_Ref456961675"/>
      <w:bookmarkStart w:id="221" w:name="_Toc460514679"/>
      <w:r w:rsidRPr="00E10816">
        <w:t xml:space="preserve">Table </w:t>
      </w:r>
      <w:fldSimple w:instr=" SEQ Table \* ARABIC ">
        <w:r w:rsidR="00D170A5">
          <w:rPr>
            <w:noProof/>
          </w:rPr>
          <w:t>21</w:t>
        </w:r>
      </w:fldSimple>
      <w:bookmarkEnd w:id="220"/>
      <w:r w:rsidRPr="00E10816">
        <w:tab/>
        <w:t>Risk of bias and quality appraisal for RFA</w:t>
      </w:r>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2557"/>
        <w:gridCol w:w="1987"/>
        <w:gridCol w:w="2854"/>
        <w:gridCol w:w="1684"/>
      </w:tblGrid>
      <w:tr w:rsidR="00E10816" w:rsidRPr="00E10816" w14:paraId="3DE740A5" w14:textId="77777777" w:rsidTr="00B40C73">
        <w:tc>
          <w:tcPr>
            <w:tcW w:w="1408" w:type="pct"/>
            <w:shd w:val="clear" w:color="auto" w:fill="D9D9D9" w:themeFill="background1" w:themeFillShade="D9"/>
            <w:vAlign w:val="bottom"/>
          </w:tcPr>
          <w:p w14:paraId="0B7FD40E" w14:textId="77777777" w:rsidR="00E10816" w:rsidRPr="00B40C73" w:rsidRDefault="00E10816" w:rsidP="00B40C73">
            <w:pPr>
              <w:pStyle w:val="Tabletext1"/>
              <w:rPr>
                <w:b/>
                <w:snapToGrid w:val="0"/>
                <w:lang w:eastAsia="en-US"/>
              </w:rPr>
            </w:pPr>
            <w:r w:rsidRPr="00B40C73">
              <w:rPr>
                <w:b/>
                <w:snapToGrid w:val="0"/>
                <w:lang w:eastAsia="en-US"/>
              </w:rPr>
              <w:t>Intervention and population</w:t>
            </w:r>
          </w:p>
        </w:tc>
        <w:tc>
          <w:tcPr>
            <w:tcW w:w="1094" w:type="pct"/>
            <w:shd w:val="clear" w:color="auto" w:fill="D9D9D9" w:themeFill="background1" w:themeFillShade="D9"/>
            <w:vAlign w:val="bottom"/>
          </w:tcPr>
          <w:p w14:paraId="41F6D163" w14:textId="77777777" w:rsidR="00E10816" w:rsidRPr="00B40C73" w:rsidRDefault="00E10816" w:rsidP="00B40C73">
            <w:pPr>
              <w:pStyle w:val="Tabletext1"/>
              <w:rPr>
                <w:b/>
                <w:snapToGrid w:val="0"/>
                <w:lang w:eastAsia="en-US"/>
              </w:rPr>
            </w:pPr>
            <w:r w:rsidRPr="00B40C73">
              <w:rPr>
                <w:b/>
                <w:snapToGrid w:val="0"/>
                <w:lang w:eastAsia="en-US"/>
              </w:rPr>
              <w:t>Number of studies (patients) and level of evidence</w:t>
            </w:r>
          </w:p>
        </w:tc>
        <w:tc>
          <w:tcPr>
            <w:tcW w:w="1571" w:type="pct"/>
            <w:shd w:val="clear" w:color="auto" w:fill="D9D9D9" w:themeFill="background1" w:themeFillShade="D9"/>
            <w:vAlign w:val="bottom"/>
          </w:tcPr>
          <w:p w14:paraId="34CB9490" w14:textId="77777777" w:rsidR="00E10816" w:rsidRPr="00B40C73" w:rsidRDefault="00E10816" w:rsidP="00B40C73">
            <w:pPr>
              <w:pStyle w:val="Tabletext1"/>
              <w:rPr>
                <w:b/>
                <w:snapToGrid w:val="0"/>
                <w:lang w:eastAsia="en-US"/>
              </w:rPr>
            </w:pPr>
            <w:r w:rsidRPr="00B40C73">
              <w:rPr>
                <w:b/>
                <w:snapToGrid w:val="0"/>
                <w:lang w:eastAsia="en-US"/>
              </w:rPr>
              <w:t>Reporting/quality concerns</w:t>
            </w:r>
          </w:p>
        </w:tc>
        <w:tc>
          <w:tcPr>
            <w:tcW w:w="927" w:type="pct"/>
            <w:shd w:val="clear" w:color="auto" w:fill="D9D9D9" w:themeFill="background1" w:themeFillShade="D9"/>
            <w:vAlign w:val="bottom"/>
          </w:tcPr>
          <w:p w14:paraId="010F2ABD" w14:textId="77777777" w:rsidR="00E10816" w:rsidRPr="00B40C73" w:rsidRDefault="00E10816" w:rsidP="00B40C73">
            <w:pPr>
              <w:pStyle w:val="Tabletext1"/>
              <w:rPr>
                <w:b/>
                <w:snapToGrid w:val="0"/>
                <w:lang w:eastAsia="en-US"/>
              </w:rPr>
            </w:pPr>
            <w:r w:rsidRPr="00B40C73">
              <w:rPr>
                <w:b/>
                <w:snapToGrid w:val="0"/>
                <w:lang w:eastAsia="en-US"/>
              </w:rPr>
              <w:t>Risk of bias</w:t>
            </w:r>
          </w:p>
        </w:tc>
      </w:tr>
      <w:tr w:rsidR="00E10816" w:rsidRPr="00E10816" w14:paraId="6E714418" w14:textId="77777777" w:rsidTr="00B40C73">
        <w:tc>
          <w:tcPr>
            <w:tcW w:w="1408" w:type="pct"/>
            <w:shd w:val="clear" w:color="auto" w:fill="auto"/>
          </w:tcPr>
          <w:p w14:paraId="6BA7C551" w14:textId="77777777" w:rsidR="00E10816" w:rsidRPr="00E10816" w:rsidRDefault="00E10816" w:rsidP="00B40C73">
            <w:pPr>
              <w:pStyle w:val="Tabletext1"/>
              <w:rPr>
                <w:snapToGrid w:val="0"/>
                <w:lang w:eastAsia="en-US"/>
              </w:rPr>
            </w:pPr>
            <w:r w:rsidRPr="00E10816">
              <w:rPr>
                <w:snapToGrid w:val="0"/>
                <w:lang w:eastAsia="en-US"/>
              </w:rPr>
              <w:t>RFA for early stage NSCLC. Patients were ineligible for resection or refused surgery</w:t>
            </w:r>
          </w:p>
        </w:tc>
        <w:tc>
          <w:tcPr>
            <w:tcW w:w="1094" w:type="pct"/>
            <w:shd w:val="clear" w:color="auto" w:fill="auto"/>
          </w:tcPr>
          <w:p w14:paraId="1E49B5C1" w14:textId="77777777" w:rsidR="00E10816" w:rsidRPr="00E10816" w:rsidRDefault="00E10816" w:rsidP="00B40C73">
            <w:pPr>
              <w:pStyle w:val="Tabletext1"/>
              <w:rPr>
                <w:snapToGrid w:val="0"/>
                <w:lang w:eastAsia="en-US"/>
              </w:rPr>
            </w:pPr>
            <w:r w:rsidRPr="00E10816">
              <w:rPr>
                <w:snapToGrid w:val="0"/>
                <w:lang w:eastAsia="en-US"/>
              </w:rPr>
              <w:t>1 (25), Level III-3</w:t>
            </w:r>
          </w:p>
          <w:p w14:paraId="0CCE7460" w14:textId="77777777" w:rsidR="00E10816" w:rsidRPr="00E10816" w:rsidRDefault="00E10816" w:rsidP="00B40C73">
            <w:pPr>
              <w:pStyle w:val="Tabletext1"/>
              <w:rPr>
                <w:snapToGrid w:val="0"/>
                <w:lang w:eastAsia="en-US"/>
              </w:rPr>
            </w:pPr>
            <w:r w:rsidRPr="00E10816">
              <w:rPr>
                <w:snapToGrid w:val="0"/>
                <w:lang w:eastAsia="en-US"/>
              </w:rPr>
              <w:t>7 (283), Level IV</w:t>
            </w:r>
          </w:p>
        </w:tc>
        <w:tc>
          <w:tcPr>
            <w:tcW w:w="1571" w:type="pct"/>
            <w:shd w:val="clear" w:color="auto" w:fill="auto"/>
          </w:tcPr>
          <w:p w14:paraId="67533062" w14:textId="77777777" w:rsidR="00E10816" w:rsidRPr="00E10816" w:rsidRDefault="00E10816" w:rsidP="00B40C73">
            <w:pPr>
              <w:pStyle w:val="Tabletext1"/>
              <w:rPr>
                <w:snapToGrid w:val="0"/>
                <w:lang w:eastAsia="en-US"/>
              </w:rPr>
            </w:pPr>
            <w:r w:rsidRPr="00E10816">
              <w:rPr>
                <w:snapToGrid w:val="0"/>
                <w:lang w:eastAsia="en-US"/>
              </w:rPr>
              <w:t>Single-arm (k</w:t>
            </w:r>
            <w:r w:rsidR="001104D0">
              <w:rPr>
                <w:snapToGrid w:val="0"/>
                <w:lang w:eastAsia="en-US"/>
              </w:rPr>
              <w:t xml:space="preserve"> </w:t>
            </w:r>
            <w:r w:rsidRPr="00E10816">
              <w:rPr>
                <w:snapToGrid w:val="0"/>
                <w:lang w:eastAsia="en-US"/>
              </w:rPr>
              <w:t>=</w:t>
            </w:r>
            <w:r w:rsidR="001104D0">
              <w:rPr>
                <w:snapToGrid w:val="0"/>
                <w:lang w:eastAsia="en-US"/>
              </w:rPr>
              <w:t xml:space="preserve"> </w:t>
            </w:r>
            <w:r w:rsidRPr="00E10816">
              <w:rPr>
                <w:snapToGrid w:val="0"/>
                <w:lang w:eastAsia="en-US"/>
              </w:rPr>
              <w:t>7/8), retrospective studies (k</w:t>
            </w:r>
            <w:r w:rsidR="001104D0">
              <w:rPr>
                <w:snapToGrid w:val="0"/>
                <w:lang w:eastAsia="en-US"/>
              </w:rPr>
              <w:t xml:space="preserve"> </w:t>
            </w:r>
            <w:r w:rsidRPr="00E10816">
              <w:rPr>
                <w:snapToGrid w:val="0"/>
                <w:lang w:eastAsia="en-US"/>
              </w:rPr>
              <w:t>=</w:t>
            </w:r>
            <w:r w:rsidR="001104D0">
              <w:rPr>
                <w:snapToGrid w:val="0"/>
                <w:lang w:eastAsia="en-US"/>
              </w:rPr>
              <w:t xml:space="preserve"> </w:t>
            </w:r>
            <w:r w:rsidRPr="00E10816">
              <w:rPr>
                <w:snapToGrid w:val="0"/>
                <w:lang w:eastAsia="en-US"/>
              </w:rPr>
              <w:t>6/8)</w:t>
            </w:r>
          </w:p>
          <w:p w14:paraId="7D741190" w14:textId="77777777" w:rsidR="00E10816" w:rsidRPr="00E10816" w:rsidRDefault="00E10816" w:rsidP="00B40C73">
            <w:pPr>
              <w:pStyle w:val="Tabletext1"/>
              <w:rPr>
                <w:snapToGrid w:val="0"/>
                <w:lang w:eastAsia="en-US"/>
              </w:rPr>
            </w:pPr>
            <w:r w:rsidRPr="00E10816">
              <w:rPr>
                <w:snapToGrid w:val="0"/>
                <w:lang w:eastAsia="en-US"/>
              </w:rPr>
              <w:t>Pre- and post-RFA therapies were diverse</w:t>
            </w:r>
          </w:p>
          <w:p w14:paraId="68D2CC14" w14:textId="77777777" w:rsidR="00E10816" w:rsidRPr="00E10816" w:rsidRDefault="00E10816" w:rsidP="00B40C73">
            <w:pPr>
              <w:pStyle w:val="Tabletext1"/>
              <w:rPr>
                <w:snapToGrid w:val="0"/>
                <w:lang w:eastAsia="en-US"/>
              </w:rPr>
            </w:pPr>
            <w:r w:rsidRPr="00E10816">
              <w:rPr>
                <w:snapToGrid w:val="0"/>
                <w:lang w:eastAsia="en-US"/>
              </w:rPr>
              <w:t>Safety outcomes reported variably or not defined</w:t>
            </w:r>
          </w:p>
        </w:tc>
        <w:tc>
          <w:tcPr>
            <w:tcW w:w="927" w:type="pct"/>
          </w:tcPr>
          <w:p w14:paraId="79EC0463" w14:textId="77777777" w:rsidR="00E10816" w:rsidRPr="00E10816" w:rsidRDefault="00E10816" w:rsidP="00B40C73">
            <w:pPr>
              <w:pStyle w:val="Tabletext1"/>
              <w:rPr>
                <w:snapToGrid w:val="0"/>
                <w:lang w:eastAsia="en-US"/>
              </w:rPr>
            </w:pPr>
            <w:r w:rsidRPr="00E10816">
              <w:rPr>
                <w:snapToGrid w:val="0"/>
                <w:lang w:eastAsia="en-US"/>
              </w:rPr>
              <w:t>High</w:t>
            </w:r>
          </w:p>
        </w:tc>
      </w:tr>
      <w:tr w:rsidR="00E10816" w:rsidRPr="00E10816" w14:paraId="642F14C8" w14:textId="77777777" w:rsidTr="00B40C73">
        <w:tc>
          <w:tcPr>
            <w:tcW w:w="1408" w:type="pct"/>
            <w:shd w:val="clear" w:color="auto" w:fill="auto"/>
          </w:tcPr>
          <w:p w14:paraId="0A4E4FEC" w14:textId="77777777" w:rsidR="00E10816" w:rsidRPr="00E10816" w:rsidRDefault="00E10816" w:rsidP="00B40C73">
            <w:pPr>
              <w:pStyle w:val="Tabletext1"/>
              <w:rPr>
                <w:snapToGrid w:val="0"/>
                <w:lang w:eastAsia="en-US"/>
              </w:rPr>
            </w:pPr>
            <w:r w:rsidRPr="00E10816">
              <w:rPr>
                <w:snapToGrid w:val="0"/>
                <w:lang w:eastAsia="en-US"/>
              </w:rPr>
              <w:t>RFA for patients with limited lung metastases in whom the primary tumour is under control</w:t>
            </w:r>
          </w:p>
        </w:tc>
        <w:tc>
          <w:tcPr>
            <w:tcW w:w="1094" w:type="pct"/>
            <w:shd w:val="clear" w:color="auto" w:fill="auto"/>
          </w:tcPr>
          <w:p w14:paraId="795CC64E" w14:textId="77777777" w:rsidR="00E10816" w:rsidRPr="00E10816" w:rsidRDefault="00E10816" w:rsidP="00B40C73">
            <w:pPr>
              <w:pStyle w:val="Tabletext1"/>
              <w:rPr>
                <w:snapToGrid w:val="0"/>
                <w:lang w:eastAsia="en-US"/>
              </w:rPr>
            </w:pPr>
            <w:r w:rsidRPr="00E10816">
              <w:rPr>
                <w:snapToGrid w:val="0"/>
                <w:lang w:eastAsia="en-US"/>
              </w:rPr>
              <w:t>10* (997), Level IV</w:t>
            </w:r>
          </w:p>
        </w:tc>
        <w:tc>
          <w:tcPr>
            <w:tcW w:w="1571" w:type="pct"/>
            <w:shd w:val="clear" w:color="auto" w:fill="auto"/>
          </w:tcPr>
          <w:p w14:paraId="773099AA" w14:textId="77777777" w:rsidR="00E10816" w:rsidRPr="00E10816" w:rsidRDefault="00E10816" w:rsidP="00B40C73">
            <w:pPr>
              <w:pStyle w:val="Tabletext1"/>
              <w:rPr>
                <w:snapToGrid w:val="0"/>
                <w:lang w:eastAsia="en-US"/>
              </w:rPr>
            </w:pPr>
            <w:r w:rsidRPr="00E10816">
              <w:rPr>
                <w:snapToGrid w:val="0"/>
                <w:lang w:eastAsia="en-US"/>
              </w:rPr>
              <w:t>Single-arm (k</w:t>
            </w:r>
            <w:r w:rsidR="001104D0">
              <w:rPr>
                <w:snapToGrid w:val="0"/>
                <w:lang w:eastAsia="en-US"/>
              </w:rPr>
              <w:t xml:space="preserve"> </w:t>
            </w:r>
            <w:r w:rsidRPr="00E10816">
              <w:rPr>
                <w:snapToGrid w:val="0"/>
                <w:lang w:eastAsia="en-US"/>
              </w:rPr>
              <w:t>=</w:t>
            </w:r>
            <w:r w:rsidR="001104D0">
              <w:rPr>
                <w:snapToGrid w:val="0"/>
                <w:lang w:eastAsia="en-US"/>
              </w:rPr>
              <w:t xml:space="preserve"> </w:t>
            </w:r>
            <w:r w:rsidRPr="00E10816">
              <w:rPr>
                <w:snapToGrid w:val="0"/>
                <w:lang w:eastAsia="en-US"/>
              </w:rPr>
              <w:t>10/10), retrospective studies (k</w:t>
            </w:r>
            <w:r w:rsidR="001104D0">
              <w:rPr>
                <w:snapToGrid w:val="0"/>
                <w:lang w:eastAsia="en-US"/>
              </w:rPr>
              <w:t xml:space="preserve"> </w:t>
            </w:r>
            <w:r w:rsidRPr="00E10816">
              <w:rPr>
                <w:snapToGrid w:val="0"/>
                <w:lang w:eastAsia="en-US"/>
              </w:rPr>
              <w:t>=</w:t>
            </w:r>
            <w:r w:rsidR="001104D0">
              <w:rPr>
                <w:snapToGrid w:val="0"/>
                <w:lang w:eastAsia="en-US"/>
              </w:rPr>
              <w:t xml:space="preserve"> </w:t>
            </w:r>
            <w:r w:rsidRPr="00E10816">
              <w:rPr>
                <w:snapToGrid w:val="0"/>
                <w:lang w:eastAsia="en-US"/>
              </w:rPr>
              <w:t>9)</w:t>
            </w:r>
          </w:p>
          <w:p w14:paraId="1E840E5D" w14:textId="77777777" w:rsidR="00E10816" w:rsidRPr="00E10816" w:rsidRDefault="00CA6DFD" w:rsidP="00B40C73">
            <w:pPr>
              <w:pStyle w:val="Tabletext1"/>
              <w:rPr>
                <w:snapToGrid w:val="0"/>
                <w:lang w:eastAsia="en-US"/>
              </w:rPr>
            </w:pPr>
            <w:r w:rsidRPr="00E10816">
              <w:rPr>
                <w:snapToGrid w:val="0"/>
                <w:lang w:eastAsia="en-US"/>
              </w:rPr>
              <w:t>Heterogeneous</w:t>
            </w:r>
            <w:r w:rsidR="00E10816" w:rsidRPr="00E10816">
              <w:rPr>
                <w:snapToGrid w:val="0"/>
                <w:lang w:eastAsia="en-US"/>
              </w:rPr>
              <w:t xml:space="preserve"> populations</w:t>
            </w:r>
          </w:p>
          <w:p w14:paraId="4B27C626" w14:textId="77777777" w:rsidR="00E10816" w:rsidRPr="00E10816" w:rsidRDefault="00E10816" w:rsidP="00B40C73">
            <w:pPr>
              <w:pStyle w:val="Tabletext1"/>
              <w:rPr>
                <w:snapToGrid w:val="0"/>
                <w:lang w:eastAsia="en-US"/>
              </w:rPr>
            </w:pPr>
            <w:r w:rsidRPr="00E10816">
              <w:rPr>
                <w:snapToGrid w:val="0"/>
                <w:lang w:eastAsia="en-US"/>
              </w:rPr>
              <w:t>Pre- and post-RFA therapies were diverse</w:t>
            </w:r>
          </w:p>
          <w:p w14:paraId="4FE97AC4" w14:textId="77777777" w:rsidR="00E10816" w:rsidRPr="00E10816" w:rsidRDefault="00E10816" w:rsidP="00B40C73">
            <w:pPr>
              <w:pStyle w:val="Tabletext1"/>
              <w:rPr>
                <w:snapToGrid w:val="0"/>
                <w:lang w:eastAsia="en-US"/>
              </w:rPr>
            </w:pPr>
            <w:r w:rsidRPr="00E10816">
              <w:rPr>
                <w:snapToGrid w:val="0"/>
                <w:lang w:eastAsia="en-US"/>
              </w:rPr>
              <w:t>Safety outcomes reported variably or not defined</w:t>
            </w:r>
          </w:p>
        </w:tc>
        <w:tc>
          <w:tcPr>
            <w:tcW w:w="927" w:type="pct"/>
          </w:tcPr>
          <w:p w14:paraId="4B179EAC" w14:textId="77777777" w:rsidR="00E10816" w:rsidRPr="00E10816" w:rsidRDefault="00E10816" w:rsidP="00B40C73">
            <w:pPr>
              <w:pStyle w:val="Tabletext1"/>
              <w:rPr>
                <w:snapToGrid w:val="0"/>
                <w:lang w:eastAsia="en-US"/>
              </w:rPr>
            </w:pPr>
            <w:r w:rsidRPr="00E10816">
              <w:rPr>
                <w:snapToGrid w:val="0"/>
                <w:lang w:eastAsia="en-US"/>
              </w:rPr>
              <w:t>High</w:t>
            </w:r>
          </w:p>
        </w:tc>
      </w:tr>
      <w:tr w:rsidR="00E10816" w:rsidRPr="00E10816" w14:paraId="76990891" w14:textId="77777777" w:rsidTr="00B40C73">
        <w:trPr>
          <w:trHeight w:val="367"/>
        </w:trPr>
        <w:tc>
          <w:tcPr>
            <w:tcW w:w="1408" w:type="pct"/>
            <w:shd w:val="clear" w:color="auto" w:fill="auto"/>
          </w:tcPr>
          <w:p w14:paraId="7D3D36DC" w14:textId="77777777" w:rsidR="00E10816" w:rsidRPr="00E10816" w:rsidRDefault="00E10816" w:rsidP="00B40C73">
            <w:pPr>
              <w:pStyle w:val="Tabletext1"/>
              <w:rPr>
                <w:snapToGrid w:val="0"/>
                <w:lang w:eastAsia="en-US"/>
              </w:rPr>
            </w:pPr>
            <w:r w:rsidRPr="00E10816">
              <w:rPr>
                <w:snapToGrid w:val="0"/>
                <w:lang w:eastAsia="en-US"/>
              </w:rPr>
              <w:t>RFA for patients with lung metastases or primary NSCLC treated with palliative intent</w:t>
            </w:r>
          </w:p>
        </w:tc>
        <w:tc>
          <w:tcPr>
            <w:tcW w:w="1094" w:type="pct"/>
            <w:shd w:val="clear" w:color="auto" w:fill="auto"/>
          </w:tcPr>
          <w:p w14:paraId="306E9FF1" w14:textId="77777777" w:rsidR="00E10816" w:rsidRPr="00E10816" w:rsidRDefault="00E10816" w:rsidP="00B40C73">
            <w:pPr>
              <w:pStyle w:val="Tabletext1"/>
              <w:rPr>
                <w:snapToGrid w:val="0"/>
                <w:lang w:eastAsia="en-US"/>
              </w:rPr>
            </w:pPr>
            <w:r w:rsidRPr="00E10816">
              <w:rPr>
                <w:snapToGrid w:val="0"/>
                <w:lang w:eastAsia="en-US"/>
              </w:rPr>
              <w:t>1 (21), Level IV</w:t>
            </w:r>
          </w:p>
        </w:tc>
        <w:tc>
          <w:tcPr>
            <w:tcW w:w="1571" w:type="pct"/>
            <w:shd w:val="clear" w:color="auto" w:fill="auto"/>
          </w:tcPr>
          <w:p w14:paraId="1EFAAA82" w14:textId="77777777" w:rsidR="00E10816" w:rsidRPr="00E10816" w:rsidRDefault="00E10816" w:rsidP="00B40C73">
            <w:pPr>
              <w:pStyle w:val="Tabletext1"/>
              <w:rPr>
                <w:snapToGrid w:val="0"/>
                <w:lang w:eastAsia="en-US"/>
              </w:rPr>
            </w:pPr>
            <w:r w:rsidRPr="00E10816">
              <w:rPr>
                <w:snapToGrid w:val="0"/>
                <w:lang w:eastAsia="en-US"/>
              </w:rPr>
              <w:t>Single-arm, retrospective study</w:t>
            </w:r>
          </w:p>
        </w:tc>
        <w:tc>
          <w:tcPr>
            <w:tcW w:w="927" w:type="pct"/>
          </w:tcPr>
          <w:p w14:paraId="116BFB6C" w14:textId="77777777" w:rsidR="00E10816" w:rsidRPr="00E10816" w:rsidRDefault="00E10816" w:rsidP="00B40C73">
            <w:pPr>
              <w:pStyle w:val="Tabletext1"/>
              <w:rPr>
                <w:snapToGrid w:val="0"/>
                <w:lang w:eastAsia="en-US"/>
              </w:rPr>
            </w:pPr>
            <w:r w:rsidRPr="00E10816">
              <w:rPr>
                <w:snapToGrid w:val="0"/>
                <w:lang w:eastAsia="en-US"/>
              </w:rPr>
              <w:t>High</w:t>
            </w:r>
          </w:p>
        </w:tc>
      </w:tr>
    </w:tbl>
    <w:p w14:paraId="67EA9491" w14:textId="46FE5F1E" w:rsidR="00127E59" w:rsidRDefault="00203EFC" w:rsidP="005775DE">
      <w:pPr>
        <w:pStyle w:val="Tablenotes0"/>
      </w:pPr>
      <w:r>
        <w:t xml:space="preserve">&lt; </w:t>
      </w:r>
      <w:r w:rsidR="00F91E83">
        <w:t xml:space="preserve">k </w:t>
      </w:r>
      <w:r w:rsidR="00127E59">
        <w:t>=</w:t>
      </w:r>
      <w:r w:rsidR="00F91E83">
        <w:t xml:space="preserve"> </w:t>
      </w:r>
      <w:r w:rsidR="00127E59">
        <w:t xml:space="preserve">number of studies; </w:t>
      </w:r>
      <w:r w:rsidR="00127E59" w:rsidRPr="00127E59">
        <w:t>NSCLC</w:t>
      </w:r>
      <w:r w:rsidR="00F91E83">
        <w:t xml:space="preserve"> </w:t>
      </w:r>
      <w:r w:rsidR="00127E59" w:rsidRPr="00127E59">
        <w:t>= non-small cell lung cancer;</w:t>
      </w:r>
      <w:r w:rsidR="00127E59">
        <w:t xml:space="preserve"> </w:t>
      </w:r>
      <w:r w:rsidR="00127E59" w:rsidRPr="00127E59">
        <w:t>RFA</w:t>
      </w:r>
      <w:r w:rsidR="00F91E83">
        <w:t xml:space="preserve"> </w:t>
      </w:r>
      <w:r w:rsidR="00127E59" w:rsidRPr="00127E59">
        <w:t>= radiofrequency ablation</w:t>
      </w:r>
      <w:r>
        <w:t xml:space="preserve"> &gt;</w:t>
      </w:r>
    </w:p>
    <w:p w14:paraId="2D525C1D" w14:textId="77777777" w:rsidR="00E10816" w:rsidRPr="00E10816" w:rsidRDefault="00E10816" w:rsidP="005775DE">
      <w:pPr>
        <w:pStyle w:val="Tablenotes0"/>
      </w:pPr>
      <w:r w:rsidRPr="00E10816">
        <w:t xml:space="preserve">*Note, two studies reported different outcomes from the same </w:t>
      </w:r>
      <w:proofErr w:type="gramStart"/>
      <w:r w:rsidRPr="00E10816">
        <w:t>population,</w:t>
      </w:r>
      <w:proofErr w:type="gramEnd"/>
      <w:r w:rsidRPr="00E10816">
        <w:t xml:space="preserve"> therefore the true number of published studies was 11</w:t>
      </w:r>
      <w:r w:rsidR="00F91E83">
        <w:t>.</w:t>
      </w:r>
    </w:p>
    <w:p w14:paraId="4BA48B6B" w14:textId="77777777" w:rsidR="00E10816" w:rsidRPr="00E10816" w:rsidRDefault="00E10816" w:rsidP="00E10816">
      <w:pPr>
        <w:rPr>
          <w:i/>
        </w:rPr>
      </w:pPr>
    </w:p>
    <w:p w14:paraId="02855B45" w14:textId="77777777" w:rsidR="00E10816" w:rsidRPr="00E10816" w:rsidRDefault="00E10816" w:rsidP="00E10816">
      <w:pPr>
        <w:rPr>
          <w:i/>
        </w:rPr>
        <w:sectPr w:rsidR="00E10816" w:rsidRPr="00E10816" w:rsidSect="0024526E">
          <w:pgSz w:w="11906" w:h="16838"/>
          <w:pgMar w:top="1440" w:right="1440" w:bottom="1440" w:left="1440" w:header="708" w:footer="708" w:gutter="0"/>
          <w:cols w:space="708"/>
          <w:docGrid w:linePitch="360"/>
        </w:sectPr>
      </w:pPr>
    </w:p>
    <w:p w14:paraId="510B1FE9" w14:textId="69248D96" w:rsidR="00E10816" w:rsidRPr="00E10816" w:rsidRDefault="00E10816" w:rsidP="004A42B3">
      <w:pPr>
        <w:pStyle w:val="TableHeading"/>
        <w:ind w:left="1134" w:hanging="1134"/>
      </w:pPr>
      <w:bookmarkStart w:id="222" w:name="_Ref456965131"/>
      <w:bookmarkStart w:id="223" w:name="_Toc460514680"/>
      <w:bookmarkStart w:id="224" w:name="_Ref456961699"/>
      <w:r w:rsidRPr="00E10816">
        <w:lastRenderedPageBreak/>
        <w:t xml:space="preserve">Table </w:t>
      </w:r>
      <w:fldSimple w:instr=" SEQ Table \* ARABIC ">
        <w:r w:rsidR="00D170A5">
          <w:rPr>
            <w:noProof/>
          </w:rPr>
          <w:t>22</w:t>
        </w:r>
      </w:fldSimple>
      <w:bookmarkEnd w:id="222"/>
      <w:r w:rsidR="004A42B3">
        <w:tab/>
      </w:r>
      <w:r w:rsidRPr="00E10816">
        <w:t>Quality appraisal of included case series investigations of RFA, according to the Downs and Black Checklist for Randomised and Non-Randomised Comparative Trials</w:t>
      </w:r>
      <w:bookmarkEnd w:id="223"/>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4A0" w:firstRow="1" w:lastRow="0" w:firstColumn="1" w:lastColumn="0" w:noHBand="0" w:noVBand="1"/>
        <w:tblCaption w:val="Table 25"/>
        <w:tblDescription w:val="QA comparative RFA"/>
      </w:tblPr>
      <w:tblGrid>
        <w:gridCol w:w="1842"/>
        <w:gridCol w:w="483"/>
        <w:gridCol w:w="483"/>
        <w:gridCol w:w="483"/>
        <w:gridCol w:w="483"/>
        <w:gridCol w:w="483"/>
        <w:gridCol w:w="422"/>
        <w:gridCol w:w="544"/>
        <w:gridCol w:w="483"/>
        <w:gridCol w:w="483"/>
        <w:gridCol w:w="483"/>
        <w:gridCol w:w="483"/>
        <w:gridCol w:w="483"/>
        <w:gridCol w:w="483"/>
        <w:gridCol w:w="484"/>
        <w:gridCol w:w="483"/>
        <w:gridCol w:w="483"/>
        <w:gridCol w:w="483"/>
        <w:gridCol w:w="483"/>
        <w:gridCol w:w="483"/>
        <w:gridCol w:w="483"/>
        <w:gridCol w:w="483"/>
        <w:gridCol w:w="483"/>
        <w:gridCol w:w="483"/>
        <w:gridCol w:w="483"/>
        <w:gridCol w:w="483"/>
        <w:gridCol w:w="483"/>
        <w:gridCol w:w="484"/>
      </w:tblGrid>
      <w:tr w:rsidR="00E10816" w:rsidRPr="00E10816" w14:paraId="18900DD1" w14:textId="77777777" w:rsidTr="00456571">
        <w:trPr>
          <w:trHeight w:val="3327"/>
        </w:trPr>
        <w:tc>
          <w:tcPr>
            <w:tcW w:w="1842" w:type="dxa"/>
            <w:shd w:val="clear" w:color="auto" w:fill="auto"/>
            <w:noWrap/>
            <w:vAlign w:val="bottom"/>
            <w:hideMark/>
          </w:tcPr>
          <w:p w14:paraId="32D4102E" w14:textId="77777777" w:rsidR="00E10816" w:rsidRPr="00E10816" w:rsidRDefault="00E10816" w:rsidP="008D3899">
            <w:pPr>
              <w:pStyle w:val="Tabletext1"/>
              <w:rPr>
                <w:rFonts w:cs="Times New Roman"/>
                <w:color w:val="000000"/>
              </w:rPr>
            </w:pPr>
            <w:r w:rsidRPr="00E10816">
              <w:rPr>
                <w:snapToGrid w:val="0"/>
                <w:lang w:eastAsia="en-US"/>
              </w:rPr>
              <w:t>Study ID</w:t>
            </w:r>
          </w:p>
        </w:tc>
        <w:tc>
          <w:tcPr>
            <w:tcW w:w="483" w:type="dxa"/>
            <w:shd w:val="clear" w:color="auto" w:fill="auto"/>
            <w:noWrap/>
            <w:textDirection w:val="btLr"/>
            <w:vAlign w:val="bottom"/>
            <w:hideMark/>
          </w:tcPr>
          <w:p w14:paraId="0C7D79B9" w14:textId="77777777" w:rsidR="00E10816" w:rsidRPr="00E10816" w:rsidRDefault="00E10816" w:rsidP="008D3899">
            <w:pPr>
              <w:pStyle w:val="Tabletext1"/>
              <w:rPr>
                <w:snapToGrid w:val="0"/>
                <w:lang w:eastAsia="en-US"/>
              </w:rPr>
            </w:pPr>
            <w:r w:rsidRPr="00E10816">
              <w:rPr>
                <w:snapToGrid w:val="0"/>
                <w:lang w:eastAsia="en-US"/>
              </w:rPr>
              <w:t>Reporting: Hypothesis</w:t>
            </w:r>
          </w:p>
        </w:tc>
        <w:tc>
          <w:tcPr>
            <w:tcW w:w="483" w:type="dxa"/>
            <w:shd w:val="clear" w:color="auto" w:fill="auto"/>
            <w:noWrap/>
            <w:textDirection w:val="btLr"/>
            <w:vAlign w:val="bottom"/>
            <w:hideMark/>
          </w:tcPr>
          <w:p w14:paraId="44B36CD9" w14:textId="77777777" w:rsidR="00E10816" w:rsidRPr="00E10816" w:rsidRDefault="00E10816" w:rsidP="008D3899">
            <w:pPr>
              <w:pStyle w:val="Tabletext1"/>
              <w:rPr>
                <w:snapToGrid w:val="0"/>
                <w:lang w:eastAsia="en-US"/>
              </w:rPr>
            </w:pPr>
            <w:r w:rsidRPr="00E10816">
              <w:rPr>
                <w:snapToGrid w:val="0"/>
                <w:lang w:eastAsia="en-US"/>
              </w:rPr>
              <w:t>Reporting: Outcomes</w:t>
            </w:r>
          </w:p>
        </w:tc>
        <w:tc>
          <w:tcPr>
            <w:tcW w:w="483" w:type="dxa"/>
            <w:shd w:val="clear" w:color="auto" w:fill="auto"/>
            <w:noWrap/>
            <w:textDirection w:val="btLr"/>
            <w:vAlign w:val="bottom"/>
            <w:hideMark/>
          </w:tcPr>
          <w:p w14:paraId="326394FA" w14:textId="77777777" w:rsidR="00E10816" w:rsidRPr="00E10816" w:rsidRDefault="00E10816" w:rsidP="008D3899">
            <w:pPr>
              <w:pStyle w:val="Tabletext1"/>
              <w:rPr>
                <w:snapToGrid w:val="0"/>
                <w:lang w:eastAsia="en-US"/>
              </w:rPr>
            </w:pPr>
            <w:r w:rsidRPr="00E10816">
              <w:rPr>
                <w:snapToGrid w:val="0"/>
                <w:lang w:eastAsia="en-US"/>
              </w:rPr>
              <w:t>Reporting: Patient characteristics</w:t>
            </w:r>
          </w:p>
        </w:tc>
        <w:tc>
          <w:tcPr>
            <w:tcW w:w="483" w:type="dxa"/>
            <w:shd w:val="clear" w:color="auto" w:fill="auto"/>
            <w:noWrap/>
            <w:textDirection w:val="btLr"/>
            <w:vAlign w:val="bottom"/>
            <w:hideMark/>
          </w:tcPr>
          <w:p w14:paraId="315713FC" w14:textId="77777777" w:rsidR="00E10816" w:rsidRPr="00E10816" w:rsidRDefault="00E10816" w:rsidP="008D3899">
            <w:pPr>
              <w:pStyle w:val="Tabletext1"/>
              <w:rPr>
                <w:snapToGrid w:val="0"/>
                <w:lang w:eastAsia="en-US"/>
              </w:rPr>
            </w:pPr>
            <w:r w:rsidRPr="00E10816">
              <w:rPr>
                <w:snapToGrid w:val="0"/>
                <w:lang w:eastAsia="en-US"/>
              </w:rPr>
              <w:t>Reporting: Intervention</w:t>
            </w:r>
          </w:p>
        </w:tc>
        <w:tc>
          <w:tcPr>
            <w:tcW w:w="483" w:type="dxa"/>
            <w:shd w:val="clear" w:color="auto" w:fill="auto"/>
            <w:noWrap/>
            <w:textDirection w:val="btLr"/>
            <w:vAlign w:val="bottom"/>
            <w:hideMark/>
          </w:tcPr>
          <w:p w14:paraId="74A68A3A" w14:textId="77777777" w:rsidR="00E10816" w:rsidRPr="00E10816" w:rsidRDefault="00E10816" w:rsidP="008D3899">
            <w:pPr>
              <w:pStyle w:val="Tabletext1"/>
              <w:rPr>
                <w:snapToGrid w:val="0"/>
                <w:lang w:eastAsia="en-US"/>
              </w:rPr>
            </w:pPr>
            <w:r w:rsidRPr="00E10816">
              <w:rPr>
                <w:snapToGrid w:val="0"/>
                <w:lang w:eastAsia="en-US"/>
              </w:rPr>
              <w:t>Reporting: Confounders</w:t>
            </w:r>
          </w:p>
        </w:tc>
        <w:tc>
          <w:tcPr>
            <w:tcW w:w="422" w:type="dxa"/>
            <w:shd w:val="clear" w:color="auto" w:fill="auto"/>
            <w:noWrap/>
            <w:textDirection w:val="btLr"/>
            <w:vAlign w:val="bottom"/>
            <w:hideMark/>
          </w:tcPr>
          <w:p w14:paraId="3411D18D" w14:textId="77777777" w:rsidR="00E10816" w:rsidRPr="00E10816" w:rsidRDefault="00E10816" w:rsidP="008D3899">
            <w:pPr>
              <w:pStyle w:val="Tabletext1"/>
              <w:rPr>
                <w:snapToGrid w:val="0"/>
                <w:lang w:eastAsia="en-US"/>
              </w:rPr>
            </w:pPr>
            <w:r w:rsidRPr="00E10816">
              <w:rPr>
                <w:snapToGrid w:val="0"/>
                <w:lang w:eastAsia="en-US"/>
              </w:rPr>
              <w:t>Reporting: Main findings</w:t>
            </w:r>
          </w:p>
        </w:tc>
        <w:tc>
          <w:tcPr>
            <w:tcW w:w="544" w:type="dxa"/>
            <w:shd w:val="clear" w:color="auto" w:fill="auto"/>
            <w:noWrap/>
            <w:textDirection w:val="btLr"/>
            <w:vAlign w:val="bottom"/>
            <w:hideMark/>
          </w:tcPr>
          <w:p w14:paraId="2AA0D914" w14:textId="77777777" w:rsidR="00E10816" w:rsidRPr="00E10816" w:rsidRDefault="00E10816" w:rsidP="008D3899">
            <w:pPr>
              <w:pStyle w:val="Tabletext1"/>
              <w:rPr>
                <w:snapToGrid w:val="0"/>
                <w:lang w:eastAsia="en-US"/>
              </w:rPr>
            </w:pPr>
            <w:r w:rsidRPr="00E10816">
              <w:rPr>
                <w:snapToGrid w:val="0"/>
                <w:lang w:eastAsia="en-US"/>
              </w:rPr>
              <w:t>Reporting: Random variability in results</w:t>
            </w:r>
          </w:p>
        </w:tc>
        <w:tc>
          <w:tcPr>
            <w:tcW w:w="483" w:type="dxa"/>
            <w:shd w:val="clear" w:color="auto" w:fill="auto"/>
            <w:noWrap/>
            <w:textDirection w:val="btLr"/>
            <w:vAlign w:val="bottom"/>
            <w:hideMark/>
          </w:tcPr>
          <w:p w14:paraId="77B49959" w14:textId="77777777" w:rsidR="00E10816" w:rsidRPr="00E10816" w:rsidRDefault="00E10816" w:rsidP="008D3899">
            <w:pPr>
              <w:pStyle w:val="Tabletext1"/>
              <w:rPr>
                <w:snapToGrid w:val="0"/>
                <w:lang w:eastAsia="en-US"/>
              </w:rPr>
            </w:pPr>
            <w:r w:rsidRPr="00E10816">
              <w:rPr>
                <w:snapToGrid w:val="0"/>
                <w:lang w:eastAsia="en-US"/>
              </w:rPr>
              <w:t>Reporting: Adverse events</w:t>
            </w:r>
          </w:p>
        </w:tc>
        <w:tc>
          <w:tcPr>
            <w:tcW w:w="483" w:type="dxa"/>
            <w:shd w:val="clear" w:color="auto" w:fill="auto"/>
            <w:noWrap/>
            <w:textDirection w:val="btLr"/>
            <w:vAlign w:val="bottom"/>
            <w:hideMark/>
          </w:tcPr>
          <w:p w14:paraId="666BD74D" w14:textId="77777777" w:rsidR="00E10816" w:rsidRPr="00E10816" w:rsidRDefault="00E10816" w:rsidP="008D3899">
            <w:pPr>
              <w:pStyle w:val="Tabletext1"/>
              <w:rPr>
                <w:snapToGrid w:val="0"/>
                <w:lang w:eastAsia="en-US"/>
              </w:rPr>
            </w:pPr>
            <w:r w:rsidRPr="00E10816">
              <w:rPr>
                <w:snapToGrid w:val="0"/>
                <w:lang w:eastAsia="en-US"/>
              </w:rPr>
              <w:t>Reporting: Losses to follow-up</w:t>
            </w:r>
          </w:p>
        </w:tc>
        <w:tc>
          <w:tcPr>
            <w:tcW w:w="483" w:type="dxa"/>
            <w:shd w:val="clear" w:color="auto" w:fill="auto"/>
            <w:noWrap/>
            <w:textDirection w:val="btLr"/>
            <w:vAlign w:val="bottom"/>
            <w:hideMark/>
          </w:tcPr>
          <w:p w14:paraId="522F9B6F" w14:textId="77777777" w:rsidR="00E10816" w:rsidRPr="00E10816" w:rsidRDefault="00E10816" w:rsidP="008D3899">
            <w:pPr>
              <w:pStyle w:val="Tabletext1"/>
              <w:rPr>
                <w:snapToGrid w:val="0"/>
                <w:lang w:eastAsia="en-US"/>
              </w:rPr>
            </w:pPr>
            <w:r w:rsidRPr="00E10816">
              <w:rPr>
                <w:snapToGrid w:val="0"/>
                <w:lang w:eastAsia="en-US"/>
              </w:rPr>
              <w:t>Reporting: Actual probabilities</w:t>
            </w:r>
          </w:p>
        </w:tc>
        <w:tc>
          <w:tcPr>
            <w:tcW w:w="483" w:type="dxa"/>
            <w:shd w:val="clear" w:color="auto" w:fill="auto"/>
            <w:noWrap/>
            <w:textDirection w:val="btLr"/>
            <w:vAlign w:val="bottom"/>
            <w:hideMark/>
          </w:tcPr>
          <w:p w14:paraId="076AD1D6" w14:textId="77777777" w:rsidR="00E10816" w:rsidRPr="00E10816" w:rsidRDefault="00E10816" w:rsidP="008D3899">
            <w:pPr>
              <w:pStyle w:val="Tabletext1"/>
              <w:rPr>
                <w:snapToGrid w:val="0"/>
                <w:lang w:eastAsia="en-US"/>
              </w:rPr>
            </w:pPr>
            <w:r w:rsidRPr="00E10816">
              <w:rPr>
                <w:snapToGrid w:val="0"/>
                <w:lang w:eastAsia="en-US"/>
              </w:rPr>
              <w:t>Validity: Invited sample representative</w:t>
            </w:r>
          </w:p>
        </w:tc>
        <w:tc>
          <w:tcPr>
            <w:tcW w:w="483" w:type="dxa"/>
            <w:shd w:val="clear" w:color="auto" w:fill="auto"/>
            <w:noWrap/>
            <w:textDirection w:val="btLr"/>
            <w:vAlign w:val="bottom"/>
            <w:hideMark/>
          </w:tcPr>
          <w:p w14:paraId="2800B06C" w14:textId="77777777" w:rsidR="00E10816" w:rsidRPr="00E10816" w:rsidRDefault="00E10816" w:rsidP="008D3899">
            <w:pPr>
              <w:pStyle w:val="Tabletext1"/>
              <w:rPr>
                <w:snapToGrid w:val="0"/>
                <w:lang w:eastAsia="en-US"/>
              </w:rPr>
            </w:pPr>
            <w:r w:rsidRPr="00E10816">
              <w:rPr>
                <w:snapToGrid w:val="0"/>
                <w:lang w:eastAsia="en-US"/>
              </w:rPr>
              <w:t>Validity: Participating sample representative</w:t>
            </w:r>
          </w:p>
        </w:tc>
        <w:tc>
          <w:tcPr>
            <w:tcW w:w="483" w:type="dxa"/>
            <w:shd w:val="clear" w:color="auto" w:fill="auto"/>
            <w:noWrap/>
            <w:textDirection w:val="btLr"/>
            <w:vAlign w:val="bottom"/>
            <w:hideMark/>
          </w:tcPr>
          <w:p w14:paraId="3D7CE31F" w14:textId="77777777" w:rsidR="00E10816" w:rsidRPr="00E10816" w:rsidRDefault="00E10816" w:rsidP="008D3899">
            <w:pPr>
              <w:pStyle w:val="Tabletext1"/>
              <w:rPr>
                <w:snapToGrid w:val="0"/>
                <w:lang w:eastAsia="en-US"/>
              </w:rPr>
            </w:pPr>
            <w:r w:rsidRPr="00E10816">
              <w:rPr>
                <w:snapToGrid w:val="0"/>
                <w:lang w:eastAsia="en-US"/>
              </w:rPr>
              <w:t>Validity: Facilities representative</w:t>
            </w:r>
          </w:p>
        </w:tc>
        <w:tc>
          <w:tcPr>
            <w:tcW w:w="484" w:type="dxa"/>
            <w:shd w:val="clear" w:color="auto" w:fill="auto"/>
            <w:noWrap/>
            <w:textDirection w:val="btLr"/>
            <w:vAlign w:val="bottom"/>
            <w:hideMark/>
          </w:tcPr>
          <w:p w14:paraId="7B21E577" w14:textId="77777777" w:rsidR="00E10816" w:rsidRPr="00E10816" w:rsidRDefault="00E10816" w:rsidP="008D3899">
            <w:pPr>
              <w:pStyle w:val="Tabletext1"/>
              <w:rPr>
                <w:snapToGrid w:val="0"/>
                <w:lang w:eastAsia="en-US"/>
              </w:rPr>
            </w:pPr>
            <w:r w:rsidRPr="00E10816">
              <w:rPr>
                <w:snapToGrid w:val="0"/>
                <w:lang w:eastAsia="en-US"/>
              </w:rPr>
              <w:t>Bias: Subjects blinded</w:t>
            </w:r>
          </w:p>
        </w:tc>
        <w:tc>
          <w:tcPr>
            <w:tcW w:w="483" w:type="dxa"/>
            <w:shd w:val="clear" w:color="auto" w:fill="auto"/>
            <w:noWrap/>
            <w:textDirection w:val="btLr"/>
            <w:vAlign w:val="bottom"/>
            <w:hideMark/>
          </w:tcPr>
          <w:p w14:paraId="5E6CF1D3" w14:textId="77777777" w:rsidR="00E10816" w:rsidRPr="00E10816" w:rsidRDefault="00E10816" w:rsidP="008D3899">
            <w:pPr>
              <w:pStyle w:val="Tabletext1"/>
              <w:rPr>
                <w:snapToGrid w:val="0"/>
                <w:lang w:eastAsia="en-US"/>
              </w:rPr>
            </w:pPr>
            <w:r w:rsidRPr="00E10816">
              <w:rPr>
                <w:snapToGrid w:val="0"/>
                <w:lang w:eastAsia="en-US"/>
              </w:rPr>
              <w:t>Bias: Measurements blinded</w:t>
            </w:r>
          </w:p>
        </w:tc>
        <w:tc>
          <w:tcPr>
            <w:tcW w:w="483" w:type="dxa"/>
            <w:shd w:val="clear" w:color="auto" w:fill="auto"/>
            <w:noWrap/>
            <w:textDirection w:val="btLr"/>
            <w:vAlign w:val="bottom"/>
            <w:hideMark/>
          </w:tcPr>
          <w:p w14:paraId="14862590" w14:textId="77777777" w:rsidR="00E10816" w:rsidRPr="00E10816" w:rsidRDefault="00E10816" w:rsidP="008D3899">
            <w:pPr>
              <w:pStyle w:val="Tabletext1"/>
              <w:rPr>
                <w:snapToGrid w:val="0"/>
                <w:lang w:eastAsia="en-US"/>
              </w:rPr>
            </w:pPr>
            <w:r w:rsidRPr="00E10816">
              <w:rPr>
                <w:snapToGrid w:val="0"/>
                <w:lang w:eastAsia="en-US"/>
              </w:rPr>
              <w:t>Bias: Data dredging</w:t>
            </w:r>
          </w:p>
        </w:tc>
        <w:tc>
          <w:tcPr>
            <w:tcW w:w="483" w:type="dxa"/>
            <w:shd w:val="clear" w:color="auto" w:fill="auto"/>
            <w:noWrap/>
            <w:textDirection w:val="btLr"/>
            <w:vAlign w:val="bottom"/>
            <w:hideMark/>
          </w:tcPr>
          <w:p w14:paraId="795BCD17" w14:textId="77777777" w:rsidR="00E10816" w:rsidRPr="00E10816" w:rsidRDefault="00E10816" w:rsidP="008D3899">
            <w:pPr>
              <w:pStyle w:val="Tabletext1"/>
              <w:rPr>
                <w:snapToGrid w:val="0"/>
                <w:lang w:eastAsia="en-US"/>
              </w:rPr>
            </w:pPr>
            <w:r w:rsidRPr="00E10816">
              <w:rPr>
                <w:snapToGrid w:val="0"/>
                <w:lang w:eastAsia="en-US"/>
              </w:rPr>
              <w:t>Bias: Length of follow-up accounted for</w:t>
            </w:r>
          </w:p>
        </w:tc>
        <w:tc>
          <w:tcPr>
            <w:tcW w:w="483" w:type="dxa"/>
            <w:shd w:val="clear" w:color="auto" w:fill="auto"/>
            <w:noWrap/>
            <w:textDirection w:val="btLr"/>
            <w:vAlign w:val="bottom"/>
            <w:hideMark/>
          </w:tcPr>
          <w:p w14:paraId="51D7EC02" w14:textId="77777777" w:rsidR="00E10816" w:rsidRPr="00E10816" w:rsidRDefault="00E10816" w:rsidP="008D3899">
            <w:pPr>
              <w:pStyle w:val="Tabletext1"/>
              <w:rPr>
                <w:snapToGrid w:val="0"/>
                <w:lang w:eastAsia="en-US"/>
              </w:rPr>
            </w:pPr>
            <w:r w:rsidRPr="00E10816">
              <w:rPr>
                <w:snapToGrid w:val="0"/>
                <w:lang w:eastAsia="en-US"/>
              </w:rPr>
              <w:t>Bias: Statistical tests appropriate</w:t>
            </w:r>
          </w:p>
        </w:tc>
        <w:tc>
          <w:tcPr>
            <w:tcW w:w="483" w:type="dxa"/>
            <w:shd w:val="clear" w:color="auto" w:fill="auto"/>
            <w:noWrap/>
            <w:textDirection w:val="btLr"/>
            <w:vAlign w:val="bottom"/>
            <w:hideMark/>
          </w:tcPr>
          <w:p w14:paraId="6385DDEB" w14:textId="77777777" w:rsidR="00E10816" w:rsidRPr="00E10816" w:rsidRDefault="00E10816" w:rsidP="008D3899">
            <w:pPr>
              <w:pStyle w:val="Tabletext1"/>
              <w:rPr>
                <w:snapToGrid w:val="0"/>
                <w:lang w:eastAsia="en-US"/>
              </w:rPr>
            </w:pPr>
            <w:r w:rsidRPr="00E10816">
              <w:rPr>
                <w:snapToGrid w:val="0"/>
                <w:lang w:eastAsia="en-US"/>
              </w:rPr>
              <w:t>Bias: Compliance with intervention</w:t>
            </w:r>
          </w:p>
        </w:tc>
        <w:tc>
          <w:tcPr>
            <w:tcW w:w="483" w:type="dxa"/>
            <w:shd w:val="clear" w:color="auto" w:fill="auto"/>
            <w:noWrap/>
            <w:textDirection w:val="btLr"/>
            <w:vAlign w:val="bottom"/>
            <w:hideMark/>
          </w:tcPr>
          <w:p w14:paraId="219F6E5E" w14:textId="77777777" w:rsidR="00E10816" w:rsidRPr="00E10816" w:rsidRDefault="00E10816" w:rsidP="008D3899">
            <w:pPr>
              <w:pStyle w:val="Tabletext1"/>
              <w:rPr>
                <w:snapToGrid w:val="0"/>
                <w:lang w:eastAsia="en-US"/>
              </w:rPr>
            </w:pPr>
            <w:r w:rsidRPr="00E10816">
              <w:rPr>
                <w:snapToGrid w:val="0"/>
                <w:lang w:eastAsia="en-US"/>
              </w:rPr>
              <w:t>Bias: Outcomes were accurate</w:t>
            </w:r>
          </w:p>
        </w:tc>
        <w:tc>
          <w:tcPr>
            <w:tcW w:w="483" w:type="dxa"/>
            <w:shd w:val="clear" w:color="auto" w:fill="auto"/>
            <w:noWrap/>
            <w:textDirection w:val="btLr"/>
            <w:vAlign w:val="bottom"/>
            <w:hideMark/>
          </w:tcPr>
          <w:p w14:paraId="7C59D87F" w14:textId="77777777" w:rsidR="00E10816" w:rsidRPr="00E10816" w:rsidRDefault="00E10816" w:rsidP="008D3899">
            <w:pPr>
              <w:pStyle w:val="Tabletext1"/>
              <w:rPr>
                <w:snapToGrid w:val="0"/>
                <w:lang w:eastAsia="en-US"/>
              </w:rPr>
            </w:pPr>
            <w:r w:rsidRPr="00E10816">
              <w:rPr>
                <w:snapToGrid w:val="0"/>
                <w:lang w:eastAsia="en-US"/>
              </w:rPr>
              <w:t>Confounding: Recruitment same population</w:t>
            </w:r>
          </w:p>
        </w:tc>
        <w:tc>
          <w:tcPr>
            <w:tcW w:w="483" w:type="dxa"/>
            <w:shd w:val="clear" w:color="auto" w:fill="auto"/>
            <w:noWrap/>
            <w:textDirection w:val="btLr"/>
            <w:vAlign w:val="bottom"/>
            <w:hideMark/>
          </w:tcPr>
          <w:p w14:paraId="1DD383DD" w14:textId="77777777" w:rsidR="00E10816" w:rsidRPr="00E10816" w:rsidRDefault="00E10816" w:rsidP="008D3899">
            <w:pPr>
              <w:pStyle w:val="Tabletext1"/>
              <w:rPr>
                <w:snapToGrid w:val="0"/>
                <w:lang w:eastAsia="en-US"/>
              </w:rPr>
            </w:pPr>
            <w:r w:rsidRPr="00E10816">
              <w:rPr>
                <w:snapToGrid w:val="0"/>
                <w:lang w:eastAsia="en-US"/>
              </w:rPr>
              <w:t>Confounding: Recruitment same time</w:t>
            </w:r>
          </w:p>
        </w:tc>
        <w:tc>
          <w:tcPr>
            <w:tcW w:w="483" w:type="dxa"/>
            <w:shd w:val="clear" w:color="auto" w:fill="auto"/>
            <w:noWrap/>
            <w:textDirection w:val="btLr"/>
            <w:vAlign w:val="bottom"/>
            <w:hideMark/>
          </w:tcPr>
          <w:p w14:paraId="56767559" w14:textId="77777777" w:rsidR="00E10816" w:rsidRPr="00E10816" w:rsidRDefault="00E10816" w:rsidP="008D3899">
            <w:pPr>
              <w:pStyle w:val="Tabletext1"/>
              <w:rPr>
                <w:snapToGrid w:val="0"/>
                <w:lang w:eastAsia="en-US"/>
              </w:rPr>
            </w:pPr>
            <w:r w:rsidRPr="00E10816">
              <w:rPr>
                <w:snapToGrid w:val="0"/>
                <w:lang w:eastAsia="en-US"/>
              </w:rPr>
              <w:t>Confounding: Randomisation</w:t>
            </w:r>
          </w:p>
        </w:tc>
        <w:tc>
          <w:tcPr>
            <w:tcW w:w="483" w:type="dxa"/>
            <w:shd w:val="clear" w:color="auto" w:fill="auto"/>
            <w:noWrap/>
            <w:textDirection w:val="btLr"/>
            <w:vAlign w:val="bottom"/>
            <w:hideMark/>
          </w:tcPr>
          <w:p w14:paraId="1980BCCA" w14:textId="77777777" w:rsidR="00E10816" w:rsidRPr="00E10816" w:rsidRDefault="00E10816" w:rsidP="008D3899">
            <w:pPr>
              <w:pStyle w:val="Tabletext1"/>
              <w:rPr>
                <w:snapToGrid w:val="0"/>
                <w:lang w:eastAsia="en-US"/>
              </w:rPr>
            </w:pPr>
            <w:r w:rsidRPr="00E10816">
              <w:rPr>
                <w:snapToGrid w:val="0"/>
                <w:lang w:eastAsia="en-US"/>
              </w:rPr>
              <w:t>Confounding: Randomisation blinded</w:t>
            </w:r>
          </w:p>
        </w:tc>
        <w:tc>
          <w:tcPr>
            <w:tcW w:w="483" w:type="dxa"/>
            <w:shd w:val="clear" w:color="auto" w:fill="auto"/>
            <w:noWrap/>
            <w:textDirection w:val="btLr"/>
            <w:vAlign w:val="bottom"/>
            <w:hideMark/>
          </w:tcPr>
          <w:p w14:paraId="7AD7429C" w14:textId="77777777" w:rsidR="00E10816" w:rsidRPr="00E10816" w:rsidRDefault="00E10816" w:rsidP="008D3899">
            <w:pPr>
              <w:pStyle w:val="Tabletext1"/>
              <w:rPr>
                <w:snapToGrid w:val="0"/>
                <w:lang w:eastAsia="en-US"/>
              </w:rPr>
            </w:pPr>
            <w:r w:rsidRPr="00E10816">
              <w:rPr>
                <w:snapToGrid w:val="0"/>
                <w:lang w:eastAsia="en-US"/>
              </w:rPr>
              <w:t>Confounding: Adjustment for confounders</w:t>
            </w:r>
          </w:p>
        </w:tc>
        <w:tc>
          <w:tcPr>
            <w:tcW w:w="483" w:type="dxa"/>
            <w:shd w:val="clear" w:color="auto" w:fill="auto"/>
            <w:noWrap/>
            <w:textDirection w:val="btLr"/>
            <w:vAlign w:val="bottom"/>
            <w:hideMark/>
          </w:tcPr>
          <w:p w14:paraId="2F23417A" w14:textId="77777777" w:rsidR="00E10816" w:rsidRPr="00E10816" w:rsidRDefault="00E10816" w:rsidP="008D3899">
            <w:pPr>
              <w:pStyle w:val="Tabletext1"/>
              <w:rPr>
                <w:snapToGrid w:val="0"/>
                <w:lang w:eastAsia="en-US"/>
              </w:rPr>
            </w:pPr>
            <w:r w:rsidRPr="00E10816">
              <w:rPr>
                <w:snapToGrid w:val="0"/>
                <w:lang w:eastAsia="en-US"/>
              </w:rPr>
              <w:t>Confounding: Losses to follow-up</w:t>
            </w:r>
          </w:p>
        </w:tc>
        <w:tc>
          <w:tcPr>
            <w:tcW w:w="484" w:type="dxa"/>
            <w:shd w:val="clear" w:color="auto" w:fill="auto"/>
            <w:noWrap/>
            <w:textDirection w:val="btLr"/>
            <w:vAlign w:val="bottom"/>
            <w:hideMark/>
          </w:tcPr>
          <w:p w14:paraId="7693A0E3" w14:textId="77777777" w:rsidR="00E10816" w:rsidRPr="00E10816" w:rsidRDefault="00E10816" w:rsidP="008D3899">
            <w:pPr>
              <w:pStyle w:val="Tabletext1"/>
              <w:rPr>
                <w:snapToGrid w:val="0"/>
                <w:lang w:eastAsia="en-US"/>
              </w:rPr>
            </w:pPr>
            <w:r w:rsidRPr="00E10816">
              <w:rPr>
                <w:snapToGrid w:val="0"/>
                <w:lang w:eastAsia="en-US"/>
              </w:rPr>
              <w:t>Power: Power reported</w:t>
            </w:r>
          </w:p>
        </w:tc>
      </w:tr>
      <w:tr w:rsidR="005F7C44" w:rsidRPr="00E10816" w14:paraId="42A6A309" w14:textId="77777777" w:rsidTr="00456571">
        <w:trPr>
          <w:trHeight w:val="300"/>
        </w:trPr>
        <w:tc>
          <w:tcPr>
            <w:tcW w:w="1842" w:type="dxa"/>
            <w:shd w:val="clear" w:color="auto" w:fill="auto"/>
            <w:noWrap/>
            <w:vAlign w:val="bottom"/>
            <w:hideMark/>
          </w:tcPr>
          <w:p w14:paraId="696ECD63" w14:textId="1E6DCDA1" w:rsidR="00E10816" w:rsidRPr="00E10816" w:rsidRDefault="00E10816" w:rsidP="008D3899">
            <w:pPr>
              <w:pStyle w:val="Tabletext1"/>
              <w:rPr>
                <w:snapToGrid w:val="0"/>
                <w:lang w:eastAsia="en-US"/>
              </w:rPr>
            </w:pPr>
            <w:r w:rsidRPr="00E10816">
              <w:rPr>
                <w:snapToGrid w:val="0"/>
                <w:lang w:eastAsia="en-US"/>
              </w:rPr>
              <w:t xml:space="preserve">Safi </w:t>
            </w:r>
            <w:r w:rsidR="004A42B3">
              <w:rPr>
                <w:snapToGrid w:val="0"/>
                <w:lang w:eastAsia="en-US"/>
              </w:rPr>
              <w:t xml:space="preserve">et al </w:t>
            </w:r>
            <w:r w:rsidRPr="00E10816">
              <w:rPr>
                <w:snapToGrid w:val="0"/>
                <w:lang w:eastAsia="en-US"/>
              </w:rPr>
              <w:t>(2015)</w:t>
            </w:r>
          </w:p>
        </w:tc>
        <w:tc>
          <w:tcPr>
            <w:tcW w:w="483" w:type="dxa"/>
            <w:shd w:val="clear" w:color="auto" w:fill="EAF1DD" w:themeFill="accent3" w:themeFillTint="33"/>
            <w:noWrap/>
            <w:vAlign w:val="center"/>
            <w:hideMark/>
          </w:tcPr>
          <w:p w14:paraId="5ACA2D39"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EAF1DD" w:themeFill="accent3" w:themeFillTint="33"/>
            <w:noWrap/>
            <w:vAlign w:val="center"/>
            <w:hideMark/>
          </w:tcPr>
          <w:p w14:paraId="1935D0E1"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EAF1DD" w:themeFill="accent3" w:themeFillTint="33"/>
            <w:noWrap/>
            <w:vAlign w:val="center"/>
            <w:hideMark/>
          </w:tcPr>
          <w:p w14:paraId="409B142A"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F2DBDB" w:themeFill="accent2" w:themeFillTint="33"/>
            <w:noWrap/>
            <w:vAlign w:val="center"/>
            <w:hideMark/>
          </w:tcPr>
          <w:p w14:paraId="18617397" w14:textId="77777777" w:rsidR="00E10816" w:rsidRPr="00E10816" w:rsidRDefault="00E10816" w:rsidP="008D3899">
            <w:pPr>
              <w:pStyle w:val="Tabletext1"/>
              <w:rPr>
                <w:snapToGrid w:val="0"/>
                <w:lang w:eastAsia="en-US"/>
              </w:rPr>
            </w:pPr>
            <w:r w:rsidRPr="00E10816">
              <w:rPr>
                <w:snapToGrid w:val="0"/>
                <w:lang w:eastAsia="en-US"/>
              </w:rPr>
              <w:t>0</w:t>
            </w:r>
          </w:p>
        </w:tc>
        <w:tc>
          <w:tcPr>
            <w:tcW w:w="483" w:type="dxa"/>
            <w:shd w:val="clear" w:color="auto" w:fill="EAF1DD" w:themeFill="accent3" w:themeFillTint="33"/>
            <w:noWrap/>
            <w:vAlign w:val="center"/>
            <w:hideMark/>
          </w:tcPr>
          <w:p w14:paraId="6D9C23A5" w14:textId="77777777" w:rsidR="00E10816" w:rsidRPr="00E10816" w:rsidRDefault="00E10816" w:rsidP="008D3899">
            <w:pPr>
              <w:pStyle w:val="Tabletext1"/>
              <w:rPr>
                <w:snapToGrid w:val="0"/>
                <w:lang w:eastAsia="en-US"/>
              </w:rPr>
            </w:pPr>
            <w:r w:rsidRPr="00E10816">
              <w:rPr>
                <w:snapToGrid w:val="0"/>
                <w:lang w:eastAsia="en-US"/>
              </w:rPr>
              <w:t>1</w:t>
            </w:r>
          </w:p>
        </w:tc>
        <w:tc>
          <w:tcPr>
            <w:tcW w:w="422" w:type="dxa"/>
            <w:shd w:val="clear" w:color="auto" w:fill="EAF1DD" w:themeFill="accent3" w:themeFillTint="33"/>
            <w:noWrap/>
            <w:vAlign w:val="center"/>
            <w:hideMark/>
          </w:tcPr>
          <w:p w14:paraId="1A106F33" w14:textId="77777777" w:rsidR="00E10816" w:rsidRPr="00E10816" w:rsidRDefault="00E10816" w:rsidP="008D3899">
            <w:pPr>
              <w:pStyle w:val="Tabletext1"/>
              <w:rPr>
                <w:snapToGrid w:val="0"/>
                <w:lang w:eastAsia="en-US"/>
              </w:rPr>
            </w:pPr>
            <w:r w:rsidRPr="00E10816">
              <w:rPr>
                <w:snapToGrid w:val="0"/>
                <w:lang w:eastAsia="en-US"/>
              </w:rPr>
              <w:t>1</w:t>
            </w:r>
          </w:p>
        </w:tc>
        <w:tc>
          <w:tcPr>
            <w:tcW w:w="544" w:type="dxa"/>
            <w:shd w:val="clear" w:color="auto" w:fill="EAF1DD" w:themeFill="accent3" w:themeFillTint="33"/>
            <w:noWrap/>
            <w:vAlign w:val="center"/>
            <w:hideMark/>
          </w:tcPr>
          <w:p w14:paraId="0386AD8E"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EAF1DD" w:themeFill="accent3" w:themeFillTint="33"/>
            <w:noWrap/>
            <w:vAlign w:val="center"/>
            <w:hideMark/>
          </w:tcPr>
          <w:p w14:paraId="60BCD2A3"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EAF1DD" w:themeFill="accent3" w:themeFillTint="33"/>
            <w:noWrap/>
            <w:vAlign w:val="center"/>
            <w:hideMark/>
          </w:tcPr>
          <w:p w14:paraId="46E99DF1"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F2DBDB" w:themeFill="accent2" w:themeFillTint="33"/>
            <w:noWrap/>
            <w:vAlign w:val="center"/>
            <w:hideMark/>
          </w:tcPr>
          <w:p w14:paraId="0B5D0184" w14:textId="77777777" w:rsidR="00E10816" w:rsidRPr="00E10816" w:rsidRDefault="00E10816" w:rsidP="008D3899">
            <w:pPr>
              <w:pStyle w:val="Tabletext1"/>
              <w:rPr>
                <w:snapToGrid w:val="0"/>
                <w:lang w:eastAsia="en-US"/>
              </w:rPr>
            </w:pPr>
            <w:r w:rsidRPr="00E10816">
              <w:rPr>
                <w:snapToGrid w:val="0"/>
                <w:lang w:eastAsia="en-US"/>
              </w:rPr>
              <w:t>0</w:t>
            </w:r>
          </w:p>
        </w:tc>
        <w:tc>
          <w:tcPr>
            <w:tcW w:w="483" w:type="dxa"/>
            <w:shd w:val="clear" w:color="auto" w:fill="FFFFCC"/>
            <w:noWrap/>
            <w:vAlign w:val="center"/>
            <w:hideMark/>
          </w:tcPr>
          <w:p w14:paraId="0A0FEC10" w14:textId="77777777" w:rsidR="00E10816" w:rsidRPr="00E10816" w:rsidRDefault="00E10816" w:rsidP="008D3899">
            <w:pPr>
              <w:pStyle w:val="Tabletext1"/>
              <w:rPr>
                <w:snapToGrid w:val="0"/>
                <w:lang w:eastAsia="en-US"/>
              </w:rPr>
            </w:pPr>
            <w:r w:rsidRPr="00E10816">
              <w:rPr>
                <w:snapToGrid w:val="0"/>
                <w:lang w:eastAsia="en-US"/>
              </w:rPr>
              <w:t>NA</w:t>
            </w:r>
          </w:p>
        </w:tc>
        <w:tc>
          <w:tcPr>
            <w:tcW w:w="483" w:type="dxa"/>
            <w:shd w:val="clear" w:color="auto" w:fill="EAF1DD" w:themeFill="accent3" w:themeFillTint="33"/>
            <w:noWrap/>
            <w:vAlign w:val="center"/>
            <w:hideMark/>
          </w:tcPr>
          <w:p w14:paraId="1FDFE3C0"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EAF1DD" w:themeFill="accent3" w:themeFillTint="33"/>
            <w:noWrap/>
            <w:vAlign w:val="center"/>
            <w:hideMark/>
          </w:tcPr>
          <w:p w14:paraId="6B311098" w14:textId="77777777" w:rsidR="00E10816" w:rsidRPr="00E10816" w:rsidRDefault="00E10816" w:rsidP="008D3899">
            <w:pPr>
              <w:pStyle w:val="Tabletext1"/>
              <w:rPr>
                <w:snapToGrid w:val="0"/>
                <w:lang w:eastAsia="en-US"/>
              </w:rPr>
            </w:pPr>
            <w:r w:rsidRPr="00E10816">
              <w:rPr>
                <w:snapToGrid w:val="0"/>
                <w:lang w:eastAsia="en-US"/>
              </w:rPr>
              <w:t>1</w:t>
            </w:r>
          </w:p>
        </w:tc>
        <w:tc>
          <w:tcPr>
            <w:tcW w:w="484" w:type="dxa"/>
            <w:shd w:val="clear" w:color="auto" w:fill="F2DBDB" w:themeFill="accent2" w:themeFillTint="33"/>
            <w:noWrap/>
            <w:vAlign w:val="center"/>
            <w:hideMark/>
          </w:tcPr>
          <w:p w14:paraId="54567ADF" w14:textId="77777777" w:rsidR="00E10816" w:rsidRPr="00E10816" w:rsidRDefault="00E10816" w:rsidP="008D3899">
            <w:pPr>
              <w:pStyle w:val="Tabletext1"/>
              <w:rPr>
                <w:snapToGrid w:val="0"/>
                <w:lang w:eastAsia="en-US"/>
              </w:rPr>
            </w:pPr>
            <w:r w:rsidRPr="00E10816">
              <w:rPr>
                <w:snapToGrid w:val="0"/>
                <w:lang w:eastAsia="en-US"/>
              </w:rPr>
              <w:t>0</w:t>
            </w:r>
          </w:p>
        </w:tc>
        <w:tc>
          <w:tcPr>
            <w:tcW w:w="483" w:type="dxa"/>
            <w:shd w:val="clear" w:color="auto" w:fill="F2DBDB" w:themeFill="accent2" w:themeFillTint="33"/>
            <w:noWrap/>
            <w:vAlign w:val="center"/>
            <w:hideMark/>
          </w:tcPr>
          <w:p w14:paraId="14B4AD55" w14:textId="77777777" w:rsidR="00E10816" w:rsidRPr="00E10816" w:rsidRDefault="00E10816" w:rsidP="008D3899">
            <w:pPr>
              <w:pStyle w:val="Tabletext1"/>
              <w:rPr>
                <w:snapToGrid w:val="0"/>
                <w:lang w:eastAsia="en-US"/>
              </w:rPr>
            </w:pPr>
            <w:r w:rsidRPr="00E10816">
              <w:rPr>
                <w:snapToGrid w:val="0"/>
                <w:lang w:eastAsia="en-US"/>
              </w:rPr>
              <w:t>0</w:t>
            </w:r>
          </w:p>
        </w:tc>
        <w:tc>
          <w:tcPr>
            <w:tcW w:w="483" w:type="dxa"/>
            <w:shd w:val="clear" w:color="auto" w:fill="EAF1DD" w:themeFill="accent3" w:themeFillTint="33"/>
            <w:noWrap/>
            <w:vAlign w:val="center"/>
            <w:hideMark/>
          </w:tcPr>
          <w:p w14:paraId="726A5411"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EAF1DD" w:themeFill="accent3" w:themeFillTint="33"/>
            <w:noWrap/>
            <w:vAlign w:val="center"/>
            <w:hideMark/>
          </w:tcPr>
          <w:p w14:paraId="7428073C"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EAF1DD" w:themeFill="accent3" w:themeFillTint="33"/>
            <w:noWrap/>
            <w:vAlign w:val="center"/>
            <w:hideMark/>
          </w:tcPr>
          <w:p w14:paraId="3EAA7AC3"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EAF1DD" w:themeFill="accent3" w:themeFillTint="33"/>
            <w:noWrap/>
            <w:vAlign w:val="center"/>
            <w:hideMark/>
          </w:tcPr>
          <w:p w14:paraId="2D346F52"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EAF1DD" w:themeFill="accent3" w:themeFillTint="33"/>
            <w:noWrap/>
            <w:vAlign w:val="center"/>
            <w:hideMark/>
          </w:tcPr>
          <w:p w14:paraId="4F9F6685"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F2DBDB" w:themeFill="accent2" w:themeFillTint="33"/>
            <w:noWrap/>
            <w:vAlign w:val="center"/>
            <w:hideMark/>
          </w:tcPr>
          <w:p w14:paraId="312CCBF7" w14:textId="77777777" w:rsidR="00E10816" w:rsidRPr="00E10816" w:rsidRDefault="00E10816" w:rsidP="008D3899">
            <w:pPr>
              <w:pStyle w:val="Tabletext1"/>
              <w:rPr>
                <w:snapToGrid w:val="0"/>
                <w:lang w:eastAsia="en-US"/>
              </w:rPr>
            </w:pPr>
            <w:r w:rsidRPr="00E10816">
              <w:rPr>
                <w:snapToGrid w:val="0"/>
                <w:lang w:eastAsia="en-US"/>
              </w:rPr>
              <w:t>0</w:t>
            </w:r>
          </w:p>
        </w:tc>
        <w:tc>
          <w:tcPr>
            <w:tcW w:w="483" w:type="dxa"/>
            <w:shd w:val="clear" w:color="auto" w:fill="EAF1DD" w:themeFill="accent3" w:themeFillTint="33"/>
            <w:noWrap/>
            <w:vAlign w:val="center"/>
            <w:hideMark/>
          </w:tcPr>
          <w:p w14:paraId="1E999FCB" w14:textId="77777777" w:rsidR="00E10816" w:rsidRPr="00E10816" w:rsidRDefault="00E10816" w:rsidP="008D3899">
            <w:pPr>
              <w:pStyle w:val="Tabletext1"/>
              <w:rPr>
                <w:snapToGrid w:val="0"/>
                <w:lang w:eastAsia="en-US"/>
              </w:rPr>
            </w:pPr>
            <w:r w:rsidRPr="00E10816">
              <w:rPr>
                <w:snapToGrid w:val="0"/>
                <w:lang w:eastAsia="en-US"/>
              </w:rPr>
              <w:t>1</w:t>
            </w:r>
          </w:p>
        </w:tc>
        <w:tc>
          <w:tcPr>
            <w:tcW w:w="483" w:type="dxa"/>
            <w:shd w:val="clear" w:color="auto" w:fill="F2DBDB" w:themeFill="accent2" w:themeFillTint="33"/>
            <w:noWrap/>
            <w:vAlign w:val="center"/>
            <w:hideMark/>
          </w:tcPr>
          <w:p w14:paraId="0693F927" w14:textId="77777777" w:rsidR="00E10816" w:rsidRPr="00E10816" w:rsidRDefault="00E10816" w:rsidP="008D3899">
            <w:pPr>
              <w:pStyle w:val="Tabletext1"/>
              <w:rPr>
                <w:snapToGrid w:val="0"/>
                <w:lang w:eastAsia="en-US"/>
              </w:rPr>
            </w:pPr>
            <w:r w:rsidRPr="00E10816">
              <w:rPr>
                <w:snapToGrid w:val="0"/>
                <w:lang w:eastAsia="en-US"/>
              </w:rPr>
              <w:t>0</w:t>
            </w:r>
          </w:p>
        </w:tc>
        <w:tc>
          <w:tcPr>
            <w:tcW w:w="483" w:type="dxa"/>
            <w:shd w:val="clear" w:color="auto" w:fill="FFFFCC"/>
            <w:noWrap/>
            <w:vAlign w:val="center"/>
            <w:hideMark/>
          </w:tcPr>
          <w:p w14:paraId="75CA0ECD" w14:textId="77777777" w:rsidR="00E10816" w:rsidRPr="00E10816" w:rsidRDefault="00E10816" w:rsidP="008D3899">
            <w:pPr>
              <w:pStyle w:val="Tabletext1"/>
              <w:rPr>
                <w:snapToGrid w:val="0"/>
                <w:lang w:eastAsia="en-US"/>
              </w:rPr>
            </w:pPr>
            <w:r w:rsidRPr="00E10816">
              <w:rPr>
                <w:snapToGrid w:val="0"/>
                <w:lang w:eastAsia="en-US"/>
              </w:rPr>
              <w:t>NA</w:t>
            </w:r>
          </w:p>
        </w:tc>
        <w:tc>
          <w:tcPr>
            <w:tcW w:w="483" w:type="dxa"/>
            <w:shd w:val="clear" w:color="auto" w:fill="F2DBDB" w:themeFill="accent2" w:themeFillTint="33"/>
            <w:noWrap/>
            <w:vAlign w:val="center"/>
            <w:hideMark/>
          </w:tcPr>
          <w:p w14:paraId="63A6D32B" w14:textId="77777777" w:rsidR="00E10816" w:rsidRPr="00E10816" w:rsidRDefault="00E10816" w:rsidP="008D3899">
            <w:pPr>
              <w:pStyle w:val="Tabletext1"/>
              <w:rPr>
                <w:snapToGrid w:val="0"/>
                <w:lang w:eastAsia="en-US"/>
              </w:rPr>
            </w:pPr>
            <w:r w:rsidRPr="00E10816">
              <w:rPr>
                <w:snapToGrid w:val="0"/>
                <w:lang w:eastAsia="en-US"/>
              </w:rPr>
              <w:t>0</w:t>
            </w:r>
          </w:p>
        </w:tc>
        <w:tc>
          <w:tcPr>
            <w:tcW w:w="483" w:type="dxa"/>
            <w:shd w:val="clear" w:color="auto" w:fill="F2DBDB" w:themeFill="accent2" w:themeFillTint="33"/>
            <w:noWrap/>
            <w:vAlign w:val="center"/>
            <w:hideMark/>
          </w:tcPr>
          <w:p w14:paraId="12000CD7" w14:textId="77777777" w:rsidR="00E10816" w:rsidRPr="00E10816" w:rsidRDefault="00E10816" w:rsidP="008D3899">
            <w:pPr>
              <w:pStyle w:val="Tabletext1"/>
              <w:rPr>
                <w:snapToGrid w:val="0"/>
                <w:lang w:eastAsia="en-US"/>
              </w:rPr>
            </w:pPr>
            <w:r w:rsidRPr="00E10816">
              <w:rPr>
                <w:snapToGrid w:val="0"/>
                <w:lang w:eastAsia="en-US"/>
              </w:rPr>
              <w:t>0</w:t>
            </w:r>
          </w:p>
        </w:tc>
        <w:tc>
          <w:tcPr>
            <w:tcW w:w="484" w:type="dxa"/>
            <w:shd w:val="clear" w:color="auto" w:fill="F2DBDB" w:themeFill="accent2" w:themeFillTint="33"/>
            <w:noWrap/>
            <w:vAlign w:val="center"/>
            <w:hideMark/>
          </w:tcPr>
          <w:p w14:paraId="26F93D05" w14:textId="77777777" w:rsidR="00E10816" w:rsidRPr="00E10816" w:rsidRDefault="00E10816" w:rsidP="008D3899">
            <w:pPr>
              <w:pStyle w:val="Tabletext1"/>
              <w:rPr>
                <w:snapToGrid w:val="0"/>
                <w:lang w:eastAsia="en-US"/>
              </w:rPr>
            </w:pPr>
            <w:r w:rsidRPr="00E10816">
              <w:rPr>
                <w:snapToGrid w:val="0"/>
                <w:lang w:eastAsia="en-US"/>
              </w:rPr>
              <w:t>0</w:t>
            </w:r>
          </w:p>
        </w:tc>
      </w:tr>
    </w:tbl>
    <w:p w14:paraId="0DC96F48" w14:textId="77777777" w:rsidR="00E10816" w:rsidRPr="00DE44DB" w:rsidRDefault="00DE44DB" w:rsidP="005775DE">
      <w:pPr>
        <w:pStyle w:val="Tablenotes0"/>
      </w:pPr>
      <w:r w:rsidRPr="00DE44DB">
        <w:t>1</w:t>
      </w:r>
      <w:r w:rsidR="001104D0">
        <w:t xml:space="preserve"> </w:t>
      </w:r>
      <w:r w:rsidRPr="00DE44DB">
        <w:t>=</w:t>
      </w:r>
      <w:r w:rsidR="001104D0">
        <w:t xml:space="preserve"> </w:t>
      </w:r>
      <w:r w:rsidRPr="00DE44DB">
        <w:t>yes, 0</w:t>
      </w:r>
      <w:r w:rsidR="001104D0">
        <w:t xml:space="preserve"> </w:t>
      </w:r>
      <w:r w:rsidRPr="00DE44DB">
        <w:t>=</w:t>
      </w:r>
      <w:r w:rsidR="001104D0">
        <w:t xml:space="preserve"> </w:t>
      </w:r>
      <w:r w:rsidRPr="00DE44DB">
        <w:t>no, NA</w:t>
      </w:r>
      <w:r w:rsidR="001104D0">
        <w:t xml:space="preserve"> </w:t>
      </w:r>
      <w:r w:rsidRPr="00DE44DB">
        <w:t>=</w:t>
      </w:r>
      <w:r w:rsidR="001104D0">
        <w:t xml:space="preserve"> </w:t>
      </w:r>
      <w:r w:rsidRPr="00DE44DB">
        <w:t>not applicable</w:t>
      </w:r>
      <w:r w:rsidR="00F91E83">
        <w:t>.</w:t>
      </w:r>
    </w:p>
    <w:p w14:paraId="03BEDCED" w14:textId="77777777" w:rsidR="00DE44DB" w:rsidRPr="00E10816" w:rsidRDefault="00DE44DB" w:rsidP="00E10816">
      <w:pPr>
        <w:keepNext/>
        <w:spacing w:after="0"/>
        <w:rPr>
          <w:rFonts w:ascii="Arial Narrow" w:hAnsi="Arial Narrow"/>
          <w:b/>
          <w:bCs/>
          <w:sz w:val="20"/>
        </w:rPr>
      </w:pPr>
    </w:p>
    <w:p w14:paraId="4C2E1350" w14:textId="3F6D3ED9" w:rsidR="00E10816" w:rsidRPr="00E10816" w:rsidRDefault="00E10816" w:rsidP="001163D9">
      <w:pPr>
        <w:pStyle w:val="TableHeading"/>
      </w:pPr>
      <w:bookmarkStart w:id="225" w:name="_Ref456965133"/>
      <w:bookmarkStart w:id="226" w:name="_Toc460514681"/>
      <w:r w:rsidRPr="00E10816">
        <w:t xml:space="preserve">Table </w:t>
      </w:r>
      <w:fldSimple w:instr=" SEQ Table \* ARABIC ">
        <w:r w:rsidR="00D170A5">
          <w:rPr>
            <w:noProof/>
          </w:rPr>
          <w:t>23</w:t>
        </w:r>
      </w:fldSimple>
      <w:bookmarkEnd w:id="224"/>
      <w:bookmarkEnd w:id="225"/>
      <w:r w:rsidR="00BA4A9B">
        <w:tab/>
      </w:r>
      <w:r w:rsidRPr="00E10816">
        <w:t xml:space="preserve">Quality appraisal of included case series investigations of RFA, according to the IHE Quality Appraisal of Case Series </w:t>
      </w:r>
      <w:r w:rsidR="00CA6DFD" w:rsidRPr="00E10816">
        <w:t xml:space="preserve">Studies </w:t>
      </w:r>
      <w:r w:rsidRPr="00E10816">
        <w:fldChar w:fldCharType="begin">
          <w:fldData xml:space="preserve">PEVuZE5vdGU+PENpdGU+PEF1dGhvcj5HdW88L0F1dGhvcj48WWVhcj4yMDE2PC9ZZWFyPjxSZWNO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</w:fldData>
        </w:fldChar>
      </w:r>
      <w:r w:rsidR="00194054">
        <w:instrText xml:space="preserve"> ADDIN EN.CITE </w:instrText>
      </w:r>
      <w:r w:rsidR="00194054">
        <w:fldChar w:fldCharType="begin">
          <w:fldData xml:space="preserve">PEVuZE5vdGU+PENpdGU+PEF1dGhvcj5HdW88L0F1dGhvcj48WWVhcj4yMDE2PC9ZZWFyPjxSZWNO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</w:fldData>
        </w:fldChar>
      </w:r>
      <w:r w:rsidR="00194054">
        <w:instrText xml:space="preserve"> ADDIN EN.CITE.DATA </w:instrText>
      </w:r>
      <w:r w:rsidR="00194054">
        <w:fldChar w:fldCharType="end"/>
      </w:r>
      <w:r w:rsidRPr="00E10816">
        <w:fldChar w:fldCharType="separate"/>
      </w:r>
      <w:r w:rsidR="006231DE">
        <w:rPr>
          <w:noProof/>
        </w:rPr>
        <w:t>(</w:t>
      </w:r>
      <w:hyperlink w:anchor="_ENREF_61" w:tooltip="Guo, 2016 #76" w:history="1">
        <w:r w:rsidR="00320458">
          <w:rPr>
            <w:noProof/>
          </w:rPr>
          <w:t>Guo et al 2016</w:t>
        </w:r>
      </w:hyperlink>
      <w:r w:rsidR="006231DE">
        <w:rPr>
          <w:noProof/>
        </w:rPr>
        <w:t>)</w:t>
      </w:r>
      <w:bookmarkEnd w:id="226"/>
      <w:r w:rsidRPr="00E10816">
        <w:fldChar w:fldCharType="end"/>
      </w:r>
    </w:p>
    <w:tbl>
      <w:tblPr>
        <w:tblStyle w:val="TableGrid6"/>
        <w:tblW w:w="5000" w:type="pct"/>
        <w:tblCellMar>
          <w:bottom w:w="57" w:type="dxa"/>
        </w:tblCellMar>
        <w:tblLook w:val="04A0" w:firstRow="1" w:lastRow="0" w:firstColumn="1" w:lastColumn="0" w:noHBand="0" w:noVBand="1"/>
        <w:tblCaption w:val="Table 25"/>
        <w:tblDescription w:val="QA RFA, case series"/>
      </w:tblPr>
      <w:tblGrid>
        <w:gridCol w:w="1978"/>
        <w:gridCol w:w="677"/>
        <w:gridCol w:w="677"/>
        <w:gridCol w:w="677"/>
        <w:gridCol w:w="677"/>
        <w:gridCol w:w="677"/>
        <w:gridCol w:w="677"/>
        <w:gridCol w:w="677"/>
        <w:gridCol w:w="677"/>
        <w:gridCol w:w="678"/>
        <w:gridCol w:w="678"/>
        <w:gridCol w:w="678"/>
        <w:gridCol w:w="678"/>
        <w:gridCol w:w="678"/>
        <w:gridCol w:w="678"/>
        <w:gridCol w:w="678"/>
        <w:gridCol w:w="678"/>
        <w:gridCol w:w="678"/>
        <w:gridCol w:w="678"/>
      </w:tblGrid>
      <w:tr w:rsidR="00510E88" w:rsidRPr="00E10816" w14:paraId="486D3579" w14:textId="77777777" w:rsidTr="00481B5B">
        <w:trPr>
          <w:cantSplit/>
          <w:trHeight w:val="3185"/>
          <w:tblHeader/>
        </w:trPr>
        <w:tc>
          <w:tcPr>
            <w:tcW w:w="698" w:type="pct"/>
            <w:vAlign w:val="bottom"/>
          </w:tcPr>
          <w:p w14:paraId="1EA7CC24" w14:textId="77777777" w:rsidR="00510E88" w:rsidRPr="00E10816" w:rsidRDefault="00510E88" w:rsidP="008D3899">
            <w:pPr>
              <w:pStyle w:val="Tabletext1"/>
              <w:rPr>
                <w:snapToGrid w:val="0"/>
              </w:rPr>
            </w:pPr>
            <w:r w:rsidRPr="00E10816">
              <w:rPr>
                <w:snapToGrid w:val="0"/>
              </w:rPr>
              <w:t>Study ID</w:t>
            </w:r>
          </w:p>
        </w:tc>
        <w:tc>
          <w:tcPr>
            <w:tcW w:w="239" w:type="pct"/>
            <w:tcBorders>
              <w:bottom w:val="single" w:sz="4" w:space="0" w:color="auto"/>
            </w:tcBorders>
            <w:textDirection w:val="btLr"/>
          </w:tcPr>
          <w:p w14:paraId="264F4005" w14:textId="77777777" w:rsidR="00510E88" w:rsidRPr="00E10816" w:rsidRDefault="00510E88" w:rsidP="008D3899">
            <w:pPr>
              <w:pStyle w:val="Tabletext1"/>
              <w:spacing w:before="0" w:after="0"/>
              <w:rPr>
                <w:snapToGrid w:val="0"/>
              </w:rPr>
            </w:pPr>
            <w:r w:rsidRPr="00E10816">
              <w:rPr>
                <w:snapToGrid w:val="0"/>
              </w:rPr>
              <w:t>Was the objective of the study clearly stated?</w:t>
            </w:r>
          </w:p>
          <w:p w14:paraId="4957C978"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47D8EFA3" w14:textId="77777777" w:rsidR="00510E88" w:rsidRPr="00E10816" w:rsidRDefault="00510E88" w:rsidP="008D3899">
            <w:pPr>
              <w:pStyle w:val="Tabletext1"/>
              <w:spacing w:before="0" w:after="0"/>
              <w:rPr>
                <w:snapToGrid w:val="0"/>
              </w:rPr>
            </w:pPr>
            <w:r w:rsidRPr="00E10816">
              <w:rPr>
                <w:snapToGrid w:val="0"/>
              </w:rPr>
              <w:t>Was the study conducted prospectively?</w:t>
            </w:r>
          </w:p>
          <w:p w14:paraId="686E2165"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64041015" w14:textId="77777777" w:rsidR="00510E88" w:rsidRPr="00E10816" w:rsidRDefault="00510E88" w:rsidP="008D3899">
            <w:pPr>
              <w:pStyle w:val="Tabletext1"/>
              <w:spacing w:before="0" w:after="0"/>
              <w:rPr>
                <w:snapToGrid w:val="0"/>
              </w:rPr>
            </w:pPr>
            <w:r w:rsidRPr="00E10816">
              <w:rPr>
                <w:snapToGrid w:val="0"/>
              </w:rPr>
              <w:t>Were the cases collected in multiple centres?</w:t>
            </w:r>
          </w:p>
          <w:p w14:paraId="0AE9E128"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496F61BF" w14:textId="77777777" w:rsidR="00510E88" w:rsidRPr="00E10816" w:rsidRDefault="00510E88" w:rsidP="008D3899">
            <w:pPr>
              <w:pStyle w:val="Tabletext1"/>
              <w:spacing w:before="0" w:after="0"/>
              <w:rPr>
                <w:snapToGrid w:val="0"/>
              </w:rPr>
            </w:pPr>
            <w:r w:rsidRPr="00E10816">
              <w:rPr>
                <w:snapToGrid w:val="0"/>
              </w:rPr>
              <w:t>Were patients recruited consecutively?</w:t>
            </w:r>
          </w:p>
          <w:p w14:paraId="5105A84A"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6115F8CC" w14:textId="77777777" w:rsidR="00510E88" w:rsidRPr="00E10816" w:rsidRDefault="00510E88" w:rsidP="008D3899">
            <w:pPr>
              <w:pStyle w:val="Tabletext1"/>
              <w:spacing w:before="0" w:after="0"/>
              <w:rPr>
                <w:snapToGrid w:val="0"/>
              </w:rPr>
            </w:pPr>
            <w:r w:rsidRPr="00E10816">
              <w:rPr>
                <w:snapToGrid w:val="0"/>
              </w:rPr>
              <w:t>Were patient characteristics described?</w:t>
            </w:r>
          </w:p>
          <w:p w14:paraId="22F682C0"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6602D504" w14:textId="77777777" w:rsidR="00510E88" w:rsidRPr="00E10816" w:rsidRDefault="00510E88" w:rsidP="008D3899">
            <w:pPr>
              <w:pStyle w:val="Tabletext1"/>
              <w:spacing w:before="0" w:after="0"/>
              <w:rPr>
                <w:snapToGrid w:val="0"/>
              </w:rPr>
            </w:pPr>
            <w:r w:rsidRPr="00E10816">
              <w:rPr>
                <w:snapToGrid w:val="0"/>
              </w:rPr>
              <w:t>Were the eligibility criteria clearly stated?</w:t>
            </w:r>
          </w:p>
          <w:p w14:paraId="15B2EF6B"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0C97A41B" w14:textId="77777777" w:rsidR="00510E88" w:rsidRPr="00E10816" w:rsidRDefault="00510E88" w:rsidP="008D3899">
            <w:pPr>
              <w:pStyle w:val="Tabletext1"/>
              <w:spacing w:before="0" w:after="0"/>
              <w:rPr>
                <w:snapToGrid w:val="0"/>
              </w:rPr>
            </w:pPr>
            <w:r w:rsidRPr="00E10816">
              <w:rPr>
                <w:snapToGrid w:val="0"/>
              </w:rPr>
              <w:t>Did patients enter the study at a similar point in the disease?</w:t>
            </w:r>
          </w:p>
          <w:p w14:paraId="307F572F"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20406278" w14:textId="77777777" w:rsidR="00510E88" w:rsidRPr="00E10816" w:rsidRDefault="00510E88" w:rsidP="008D3899">
            <w:pPr>
              <w:pStyle w:val="Tabletext1"/>
              <w:spacing w:before="0" w:after="0"/>
              <w:rPr>
                <w:snapToGrid w:val="0"/>
              </w:rPr>
            </w:pPr>
            <w:r w:rsidRPr="00E10816">
              <w:rPr>
                <w:snapToGrid w:val="0"/>
              </w:rPr>
              <w:t>Was the intervention clearly described?</w:t>
            </w:r>
          </w:p>
          <w:p w14:paraId="610E5881"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7E662E91" w14:textId="77777777" w:rsidR="00510E88" w:rsidRPr="00E10816" w:rsidRDefault="00510E88" w:rsidP="008D3899">
            <w:pPr>
              <w:pStyle w:val="Tabletext1"/>
              <w:spacing w:before="0" w:after="0"/>
              <w:rPr>
                <w:snapToGrid w:val="0"/>
              </w:rPr>
            </w:pPr>
            <w:r w:rsidRPr="00E10816">
              <w:rPr>
                <w:snapToGrid w:val="0"/>
              </w:rPr>
              <w:t>Were relevant outcome measures established a priori?</w:t>
            </w:r>
          </w:p>
          <w:p w14:paraId="31156B7C"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1DC942CD" w14:textId="77777777" w:rsidR="00510E88" w:rsidRPr="00E10816" w:rsidRDefault="00510E88" w:rsidP="008D3899">
            <w:pPr>
              <w:pStyle w:val="Tabletext1"/>
              <w:spacing w:before="0" w:after="0"/>
              <w:rPr>
                <w:snapToGrid w:val="0"/>
              </w:rPr>
            </w:pPr>
            <w:r w:rsidRPr="00E10816">
              <w:rPr>
                <w:snapToGrid w:val="0"/>
              </w:rPr>
              <w:t>Were outcome assessors blinded to the intervention?</w:t>
            </w:r>
          </w:p>
          <w:p w14:paraId="4D146247"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220B134A" w14:textId="77777777" w:rsidR="00510E88" w:rsidRPr="00E10816" w:rsidRDefault="00510E88" w:rsidP="008D3899">
            <w:pPr>
              <w:pStyle w:val="Tabletext1"/>
              <w:spacing w:before="0" w:after="0"/>
              <w:rPr>
                <w:snapToGrid w:val="0"/>
              </w:rPr>
            </w:pPr>
            <w:r w:rsidRPr="00E10816">
              <w:rPr>
                <w:snapToGrid w:val="0"/>
              </w:rPr>
              <w:t>Were outcomes measured using appropriate methods?</w:t>
            </w:r>
          </w:p>
          <w:p w14:paraId="1DEFBB07"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10E6B76A" w14:textId="77777777" w:rsidR="00510E88" w:rsidRPr="00E10816" w:rsidRDefault="00510E88" w:rsidP="008D3899">
            <w:pPr>
              <w:pStyle w:val="Tabletext1"/>
              <w:spacing w:before="0" w:after="0"/>
              <w:rPr>
                <w:snapToGrid w:val="0"/>
              </w:rPr>
            </w:pPr>
            <w:r w:rsidRPr="00E10816">
              <w:rPr>
                <w:snapToGrid w:val="0"/>
              </w:rPr>
              <w:t>Were the statistical tests appropriate?</w:t>
            </w:r>
          </w:p>
          <w:p w14:paraId="7E171600"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56B3FC8E" w14:textId="77777777" w:rsidR="00510E88" w:rsidRPr="00E10816" w:rsidRDefault="00510E88" w:rsidP="008D3899">
            <w:pPr>
              <w:pStyle w:val="Tabletext1"/>
              <w:spacing w:before="0" w:after="0"/>
              <w:rPr>
                <w:snapToGrid w:val="0"/>
              </w:rPr>
            </w:pPr>
            <w:r w:rsidRPr="00E10816">
              <w:rPr>
                <w:snapToGrid w:val="0"/>
              </w:rPr>
              <w:t xml:space="preserve">Was follow-up long enough to capture important events and outcomes? </w:t>
            </w:r>
          </w:p>
          <w:p w14:paraId="51ECA57B"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7E954DF9" w14:textId="77777777" w:rsidR="00510E88" w:rsidRPr="00E10816" w:rsidRDefault="00510E88" w:rsidP="008D3899">
            <w:pPr>
              <w:pStyle w:val="Tabletext1"/>
              <w:spacing w:before="0" w:after="0"/>
              <w:rPr>
                <w:snapToGrid w:val="0"/>
              </w:rPr>
            </w:pPr>
            <w:r w:rsidRPr="00E10816">
              <w:rPr>
                <w:snapToGrid w:val="0"/>
              </w:rPr>
              <w:t>Were losses to follow-up reported?</w:t>
            </w:r>
          </w:p>
          <w:p w14:paraId="40DD580C"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06879151" w14:textId="77777777" w:rsidR="00510E88" w:rsidRPr="00E10816" w:rsidRDefault="00510E88" w:rsidP="008D3899">
            <w:pPr>
              <w:pStyle w:val="Tabletext1"/>
              <w:spacing w:before="0" w:after="0"/>
              <w:rPr>
                <w:snapToGrid w:val="0"/>
              </w:rPr>
            </w:pPr>
            <w:r w:rsidRPr="00E10816">
              <w:rPr>
                <w:snapToGrid w:val="0"/>
              </w:rPr>
              <w:t>Did the study provide estimates of random variability in the data analysis?</w:t>
            </w:r>
          </w:p>
          <w:p w14:paraId="19DE7272"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05D944BA" w14:textId="77777777" w:rsidR="00510E88" w:rsidRPr="00E10816" w:rsidRDefault="00510E88" w:rsidP="008D3899">
            <w:pPr>
              <w:pStyle w:val="Tabletext1"/>
              <w:spacing w:before="0" w:after="0"/>
              <w:rPr>
                <w:snapToGrid w:val="0"/>
              </w:rPr>
            </w:pPr>
            <w:r w:rsidRPr="00E10816">
              <w:rPr>
                <w:snapToGrid w:val="0"/>
              </w:rPr>
              <w:t>Were the adverse events reported?</w:t>
            </w:r>
          </w:p>
          <w:p w14:paraId="7B2E47B8"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398247DE" w14:textId="77777777" w:rsidR="00510E88" w:rsidRPr="00E10816" w:rsidRDefault="00510E88" w:rsidP="008D3899">
            <w:pPr>
              <w:pStyle w:val="Tabletext1"/>
              <w:spacing w:before="0" w:after="0"/>
              <w:rPr>
                <w:snapToGrid w:val="0"/>
              </w:rPr>
            </w:pPr>
            <w:r w:rsidRPr="00E10816">
              <w:rPr>
                <w:snapToGrid w:val="0"/>
              </w:rPr>
              <w:t>Were the conclusions of the study supported by results?</w:t>
            </w:r>
          </w:p>
          <w:p w14:paraId="560BEA63" w14:textId="77777777" w:rsidR="00510E88" w:rsidRPr="00E10816" w:rsidRDefault="00510E88" w:rsidP="008D3899">
            <w:pPr>
              <w:pStyle w:val="Tabletext1"/>
              <w:spacing w:before="0" w:after="0"/>
              <w:rPr>
                <w:snapToGrid w:val="0"/>
              </w:rPr>
            </w:pPr>
          </w:p>
        </w:tc>
        <w:tc>
          <w:tcPr>
            <w:tcW w:w="239" w:type="pct"/>
            <w:tcBorders>
              <w:bottom w:val="single" w:sz="4" w:space="0" w:color="auto"/>
            </w:tcBorders>
            <w:textDirection w:val="btLr"/>
          </w:tcPr>
          <w:p w14:paraId="222BB088" w14:textId="77777777" w:rsidR="00510E88" w:rsidRPr="00E10816" w:rsidRDefault="00510E88" w:rsidP="008D3899">
            <w:pPr>
              <w:pStyle w:val="Tabletext1"/>
              <w:spacing w:before="0" w:after="0"/>
              <w:rPr>
                <w:snapToGrid w:val="0"/>
              </w:rPr>
            </w:pPr>
            <w:r w:rsidRPr="00E10816">
              <w:rPr>
                <w:snapToGrid w:val="0"/>
              </w:rPr>
              <w:t>Were competing interests and sources of support reported?</w:t>
            </w:r>
          </w:p>
          <w:p w14:paraId="01201FB6" w14:textId="77777777" w:rsidR="00510E88" w:rsidRPr="00E10816" w:rsidRDefault="00510E88" w:rsidP="008D3899">
            <w:pPr>
              <w:pStyle w:val="Tabletext1"/>
              <w:spacing w:before="0" w:after="0"/>
              <w:rPr>
                <w:snapToGrid w:val="0"/>
              </w:rPr>
            </w:pPr>
          </w:p>
        </w:tc>
      </w:tr>
      <w:tr w:rsidR="00510E88" w:rsidRPr="00E10816" w14:paraId="29896364" w14:textId="77777777" w:rsidTr="00481B5B">
        <w:tc>
          <w:tcPr>
            <w:tcW w:w="698" w:type="pct"/>
            <w:tcBorders>
              <w:right w:val="nil"/>
            </w:tcBorders>
            <w:shd w:val="clear" w:color="auto" w:fill="D9D9D9" w:themeFill="background1" w:themeFillShade="D9"/>
            <w:vAlign w:val="center"/>
          </w:tcPr>
          <w:p w14:paraId="20A9512E" w14:textId="77777777" w:rsidR="00510E88" w:rsidRPr="0003577C" w:rsidRDefault="00510E88" w:rsidP="0003577C">
            <w:pPr>
              <w:pStyle w:val="Tabletext1"/>
              <w:spacing w:before="40" w:after="40"/>
              <w:rPr>
                <w:b/>
                <w:snapToGrid w:val="0"/>
              </w:rPr>
            </w:pPr>
            <w:r w:rsidRPr="0003577C">
              <w:rPr>
                <w:b/>
                <w:snapToGrid w:val="0"/>
              </w:rPr>
              <w:t>POPULATION 1</w:t>
            </w:r>
          </w:p>
        </w:tc>
        <w:tc>
          <w:tcPr>
            <w:tcW w:w="239" w:type="pct"/>
            <w:tcBorders>
              <w:left w:val="nil"/>
              <w:right w:val="nil"/>
            </w:tcBorders>
            <w:shd w:val="clear" w:color="auto" w:fill="D9D9D9" w:themeFill="background1" w:themeFillShade="D9"/>
            <w:vAlign w:val="center"/>
          </w:tcPr>
          <w:p w14:paraId="1A9C1812"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71543384" w14:textId="77777777" w:rsidR="00510E88" w:rsidRPr="00E10816" w:rsidRDefault="00510E88" w:rsidP="0003577C">
            <w:pPr>
              <w:pStyle w:val="Tabletext1"/>
              <w:spacing w:before="40" w:after="40"/>
            </w:pPr>
          </w:p>
        </w:tc>
        <w:tc>
          <w:tcPr>
            <w:tcW w:w="239" w:type="pct"/>
            <w:tcBorders>
              <w:left w:val="nil"/>
              <w:right w:val="nil"/>
            </w:tcBorders>
            <w:shd w:val="clear" w:color="auto" w:fill="D9D9D9" w:themeFill="background1" w:themeFillShade="D9"/>
            <w:vAlign w:val="center"/>
          </w:tcPr>
          <w:p w14:paraId="46494C02" w14:textId="77777777" w:rsidR="00510E88" w:rsidRPr="00E10816" w:rsidRDefault="00510E88" w:rsidP="0003577C">
            <w:pPr>
              <w:pStyle w:val="Tabletext1"/>
              <w:spacing w:before="40" w:after="40"/>
            </w:pPr>
          </w:p>
        </w:tc>
        <w:tc>
          <w:tcPr>
            <w:tcW w:w="239" w:type="pct"/>
            <w:tcBorders>
              <w:left w:val="nil"/>
              <w:right w:val="nil"/>
            </w:tcBorders>
            <w:shd w:val="clear" w:color="auto" w:fill="D9D9D9" w:themeFill="background1" w:themeFillShade="D9"/>
            <w:vAlign w:val="center"/>
          </w:tcPr>
          <w:p w14:paraId="04F5C8B7" w14:textId="77777777" w:rsidR="00510E88" w:rsidRPr="00E10816" w:rsidRDefault="00510E88" w:rsidP="0003577C">
            <w:pPr>
              <w:pStyle w:val="Tabletext1"/>
              <w:spacing w:before="40" w:after="40"/>
            </w:pPr>
          </w:p>
        </w:tc>
        <w:tc>
          <w:tcPr>
            <w:tcW w:w="239" w:type="pct"/>
            <w:tcBorders>
              <w:left w:val="nil"/>
              <w:right w:val="nil"/>
            </w:tcBorders>
            <w:shd w:val="clear" w:color="auto" w:fill="D9D9D9" w:themeFill="background1" w:themeFillShade="D9"/>
            <w:vAlign w:val="center"/>
          </w:tcPr>
          <w:p w14:paraId="6421BBBE"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7D2C48C1" w14:textId="77777777" w:rsidR="00510E88" w:rsidRPr="00E10816" w:rsidRDefault="00510E88" w:rsidP="0003577C">
            <w:pPr>
              <w:pStyle w:val="Tabletext1"/>
              <w:spacing w:before="40" w:after="40"/>
            </w:pPr>
          </w:p>
        </w:tc>
        <w:tc>
          <w:tcPr>
            <w:tcW w:w="239" w:type="pct"/>
            <w:tcBorders>
              <w:left w:val="nil"/>
              <w:right w:val="nil"/>
            </w:tcBorders>
            <w:shd w:val="clear" w:color="auto" w:fill="D9D9D9" w:themeFill="background1" w:themeFillShade="D9"/>
            <w:vAlign w:val="center"/>
          </w:tcPr>
          <w:p w14:paraId="26F00110"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60657A7C"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3018BF50"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407038DA" w14:textId="77777777" w:rsidR="00510E88" w:rsidRPr="00E10816" w:rsidRDefault="00510E88" w:rsidP="0003577C">
            <w:pPr>
              <w:pStyle w:val="Tabletext1"/>
              <w:spacing w:before="40" w:after="40"/>
              <w:rPr>
                <w:rFonts w:ascii="Wingdings 2" w:hAnsi="Wingdings 2"/>
                <w:color w:val="000000"/>
              </w:rPr>
            </w:pPr>
          </w:p>
        </w:tc>
        <w:tc>
          <w:tcPr>
            <w:tcW w:w="239" w:type="pct"/>
            <w:tcBorders>
              <w:left w:val="nil"/>
              <w:right w:val="nil"/>
            </w:tcBorders>
            <w:shd w:val="clear" w:color="auto" w:fill="D9D9D9" w:themeFill="background1" w:themeFillShade="D9"/>
            <w:vAlign w:val="center"/>
          </w:tcPr>
          <w:p w14:paraId="2C41E667"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7730C3C6"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24D37246"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5ED3BE45"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7C374AE8" w14:textId="77777777" w:rsidR="00510E88" w:rsidRPr="00E10816" w:rsidRDefault="00510E88" w:rsidP="0003577C">
            <w:pPr>
              <w:pStyle w:val="Tabletext1"/>
              <w:spacing w:before="40" w:after="40"/>
            </w:pPr>
          </w:p>
        </w:tc>
        <w:tc>
          <w:tcPr>
            <w:tcW w:w="239" w:type="pct"/>
            <w:tcBorders>
              <w:left w:val="nil"/>
              <w:right w:val="nil"/>
            </w:tcBorders>
            <w:shd w:val="clear" w:color="auto" w:fill="D9D9D9" w:themeFill="background1" w:themeFillShade="D9"/>
            <w:vAlign w:val="center"/>
          </w:tcPr>
          <w:p w14:paraId="7041B16C"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234061EA" w14:textId="77777777" w:rsidR="00510E88" w:rsidRPr="00E10816" w:rsidRDefault="00510E88" w:rsidP="0003577C">
            <w:pPr>
              <w:pStyle w:val="Tabletext1"/>
              <w:spacing w:before="40" w:after="40"/>
              <w:rPr>
                <w:rFonts w:ascii="Wingdings 2" w:hAnsi="Wingdings 2"/>
              </w:rPr>
            </w:pPr>
          </w:p>
        </w:tc>
        <w:tc>
          <w:tcPr>
            <w:tcW w:w="239" w:type="pct"/>
            <w:tcBorders>
              <w:left w:val="nil"/>
            </w:tcBorders>
            <w:shd w:val="clear" w:color="auto" w:fill="D9D9D9" w:themeFill="background1" w:themeFillShade="D9"/>
            <w:vAlign w:val="center"/>
          </w:tcPr>
          <w:p w14:paraId="77F91436" w14:textId="77777777" w:rsidR="00510E88" w:rsidRPr="00E10816" w:rsidRDefault="00510E88" w:rsidP="0003577C">
            <w:pPr>
              <w:pStyle w:val="Tabletext1"/>
              <w:spacing w:before="40" w:after="40"/>
              <w:rPr>
                <w:rFonts w:ascii="Wingdings 2" w:hAnsi="Wingdings 2"/>
              </w:rPr>
            </w:pPr>
          </w:p>
        </w:tc>
      </w:tr>
      <w:tr w:rsidR="00510E88" w:rsidRPr="00E10816" w14:paraId="09A35C72" w14:textId="77777777" w:rsidTr="00481B5B">
        <w:tc>
          <w:tcPr>
            <w:tcW w:w="698" w:type="pct"/>
            <w:vAlign w:val="center"/>
          </w:tcPr>
          <w:p w14:paraId="16B6ABE7" w14:textId="0901140B" w:rsidR="00510E88" w:rsidRPr="00E10816" w:rsidRDefault="00510E88" w:rsidP="0003577C">
            <w:pPr>
              <w:pStyle w:val="Tabletext1"/>
              <w:spacing w:before="40" w:after="40"/>
              <w:rPr>
                <w:snapToGrid w:val="0"/>
              </w:rPr>
            </w:pPr>
            <w:r w:rsidRPr="00E10816">
              <w:rPr>
                <w:snapToGrid w:val="0"/>
              </w:rPr>
              <w:t xml:space="preserve">Ambrogi </w:t>
            </w:r>
            <w:r w:rsidR="00E56429">
              <w:rPr>
                <w:snapToGrid w:val="0"/>
              </w:rPr>
              <w:t xml:space="preserve">et al </w:t>
            </w:r>
            <w:r w:rsidRPr="00E10816">
              <w:rPr>
                <w:snapToGrid w:val="0"/>
              </w:rPr>
              <w:t>(2011)</w:t>
            </w:r>
          </w:p>
        </w:tc>
        <w:tc>
          <w:tcPr>
            <w:tcW w:w="239" w:type="pct"/>
            <w:shd w:val="clear" w:color="auto" w:fill="EAF1DD" w:themeFill="accent3" w:themeFillTint="33"/>
            <w:vAlign w:val="center"/>
          </w:tcPr>
          <w:p w14:paraId="78ED75B6"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48C9BB2E" w14:textId="77777777" w:rsidR="00510E88" w:rsidRPr="00E10816" w:rsidRDefault="00510E88" w:rsidP="0003577C">
            <w:pPr>
              <w:pStyle w:val="Tabletext1"/>
              <w:spacing w:before="40" w:after="40"/>
            </w:pPr>
            <w:r w:rsidRPr="00E10816">
              <w:t>?</w:t>
            </w:r>
          </w:p>
        </w:tc>
        <w:tc>
          <w:tcPr>
            <w:tcW w:w="239" w:type="pct"/>
            <w:shd w:val="clear" w:color="auto" w:fill="FFFFCC"/>
            <w:vAlign w:val="center"/>
          </w:tcPr>
          <w:p w14:paraId="7E1EBB7C" w14:textId="77777777" w:rsidR="00510E88" w:rsidRPr="00E10816" w:rsidRDefault="00510E88" w:rsidP="0003577C">
            <w:pPr>
              <w:pStyle w:val="Tabletext1"/>
              <w:spacing w:before="40" w:after="40"/>
            </w:pPr>
            <w:r w:rsidRPr="00E10816">
              <w:t>?</w:t>
            </w:r>
          </w:p>
        </w:tc>
        <w:tc>
          <w:tcPr>
            <w:tcW w:w="239" w:type="pct"/>
            <w:shd w:val="clear" w:color="auto" w:fill="FFFFCC"/>
            <w:vAlign w:val="center"/>
          </w:tcPr>
          <w:p w14:paraId="7C0B73D6"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5E67D93E"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51060D25"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70331450"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729F3307"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075780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158A47FD"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4F86529"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784DD53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5CF8D061"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505F04C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6846796A"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72ACC9C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9C58AD7"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5A6C591C"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r>
      <w:tr w:rsidR="00510E88" w:rsidRPr="00E10816" w14:paraId="7028A4A4" w14:textId="77777777" w:rsidTr="00481B5B">
        <w:tc>
          <w:tcPr>
            <w:tcW w:w="698" w:type="pct"/>
            <w:vAlign w:val="center"/>
          </w:tcPr>
          <w:p w14:paraId="5B1E29A6" w14:textId="1C900555" w:rsidR="00510E88" w:rsidRPr="00E10816" w:rsidRDefault="00510E88" w:rsidP="0003577C">
            <w:pPr>
              <w:pStyle w:val="Tabletext1"/>
              <w:spacing w:before="40" w:after="40"/>
              <w:rPr>
                <w:snapToGrid w:val="0"/>
              </w:rPr>
            </w:pPr>
            <w:r w:rsidRPr="00E10816">
              <w:rPr>
                <w:snapToGrid w:val="0"/>
              </w:rPr>
              <w:t xml:space="preserve">Dupuy </w:t>
            </w:r>
            <w:r w:rsidR="00E56429">
              <w:rPr>
                <w:snapToGrid w:val="0"/>
              </w:rPr>
              <w:t xml:space="preserve">et al </w:t>
            </w:r>
            <w:r w:rsidRPr="00E10816">
              <w:rPr>
                <w:snapToGrid w:val="0"/>
              </w:rPr>
              <w:t>(2015)</w:t>
            </w:r>
          </w:p>
        </w:tc>
        <w:tc>
          <w:tcPr>
            <w:tcW w:w="239" w:type="pct"/>
            <w:shd w:val="clear" w:color="auto" w:fill="EAF1DD" w:themeFill="accent3" w:themeFillTint="33"/>
            <w:vAlign w:val="center"/>
          </w:tcPr>
          <w:p w14:paraId="2F30B3E6"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7A725C49"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104B65A4"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378707A4"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523CE7D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0597AF21"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27262E0D"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7EC170E0"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5E143E81"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49AEC1E4"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5051184D"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521E1EF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89686CD"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71BE5297"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2D736F2E"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407D0929"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17D52E6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86119D3"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r>
      <w:tr w:rsidR="00510E88" w:rsidRPr="00E10816" w14:paraId="3E575510" w14:textId="77777777" w:rsidTr="00481B5B">
        <w:tc>
          <w:tcPr>
            <w:tcW w:w="698" w:type="pct"/>
            <w:vAlign w:val="center"/>
          </w:tcPr>
          <w:p w14:paraId="6241247B" w14:textId="1B775A44" w:rsidR="00510E88" w:rsidRPr="00E10816" w:rsidRDefault="00510E88" w:rsidP="0003577C">
            <w:pPr>
              <w:pStyle w:val="Tabletext1"/>
              <w:spacing w:before="40" w:after="40"/>
              <w:rPr>
                <w:snapToGrid w:val="0"/>
              </w:rPr>
            </w:pPr>
            <w:r w:rsidRPr="00E10816">
              <w:rPr>
                <w:snapToGrid w:val="0"/>
              </w:rPr>
              <w:t xml:space="preserve">Hiraki </w:t>
            </w:r>
            <w:r w:rsidR="00E56429">
              <w:rPr>
                <w:snapToGrid w:val="0"/>
              </w:rPr>
              <w:t xml:space="preserve">et al </w:t>
            </w:r>
            <w:r w:rsidRPr="00E10816">
              <w:rPr>
                <w:snapToGrid w:val="0"/>
              </w:rPr>
              <w:t>(2011)</w:t>
            </w:r>
          </w:p>
        </w:tc>
        <w:tc>
          <w:tcPr>
            <w:tcW w:w="239" w:type="pct"/>
            <w:shd w:val="clear" w:color="auto" w:fill="EAF1DD" w:themeFill="accent3" w:themeFillTint="33"/>
            <w:vAlign w:val="center"/>
          </w:tcPr>
          <w:p w14:paraId="78217B17"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377C1D96"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2F87E3A0"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0B344CB1"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706ED46D"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6D8474A"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1233DF17"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B023CD6"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4FE4C28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16074DF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3147F5C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30AC610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012466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382455A8"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64F6DF40"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DDF968E"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359FAC8A"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49AAF3C9" w14:textId="77777777" w:rsidR="00510E88" w:rsidRPr="00E10816" w:rsidRDefault="00510E88" w:rsidP="0003577C">
            <w:pPr>
              <w:pStyle w:val="Tabletext1"/>
              <w:spacing w:before="40" w:after="40"/>
            </w:pPr>
            <w:r w:rsidRPr="00E10816">
              <w:t>•</w:t>
            </w:r>
          </w:p>
        </w:tc>
      </w:tr>
      <w:tr w:rsidR="00510E88" w:rsidRPr="00E10816" w14:paraId="448CC5B3" w14:textId="77777777" w:rsidTr="00481B5B">
        <w:tc>
          <w:tcPr>
            <w:tcW w:w="698" w:type="pct"/>
            <w:vAlign w:val="center"/>
          </w:tcPr>
          <w:p w14:paraId="376727FF" w14:textId="7FCB7B72" w:rsidR="00510E88" w:rsidRPr="00E10816" w:rsidRDefault="00510E88" w:rsidP="0003577C">
            <w:pPr>
              <w:pStyle w:val="Tabletext1"/>
              <w:spacing w:before="40" w:after="40"/>
              <w:rPr>
                <w:snapToGrid w:val="0"/>
              </w:rPr>
            </w:pPr>
            <w:r w:rsidRPr="00E10816">
              <w:rPr>
                <w:snapToGrid w:val="0"/>
              </w:rPr>
              <w:t xml:space="preserve">Lanuti </w:t>
            </w:r>
            <w:r w:rsidR="00E56429">
              <w:rPr>
                <w:snapToGrid w:val="0"/>
              </w:rPr>
              <w:t xml:space="preserve">et al </w:t>
            </w:r>
            <w:r w:rsidRPr="00E10816">
              <w:rPr>
                <w:snapToGrid w:val="0"/>
              </w:rPr>
              <w:t>(2012)</w:t>
            </w:r>
          </w:p>
        </w:tc>
        <w:tc>
          <w:tcPr>
            <w:tcW w:w="239" w:type="pct"/>
            <w:shd w:val="clear" w:color="auto" w:fill="EAF1DD" w:themeFill="accent3" w:themeFillTint="33"/>
            <w:vAlign w:val="center"/>
          </w:tcPr>
          <w:p w14:paraId="0B762BA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4F760447"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7D8F0AB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739B9A3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33777084"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082457A4"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7542E054"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21A4E7BC"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4E5ADC7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0EC84115"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33758E88"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3FE9D15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08100F6F"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6B2CC43A"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2F70DA09" w14:textId="77777777" w:rsidR="00510E88" w:rsidRPr="00E10816" w:rsidRDefault="00510E88" w:rsidP="0003577C">
            <w:pPr>
              <w:pStyle w:val="Tabletext1"/>
              <w:spacing w:before="40" w:after="40"/>
            </w:pPr>
            <w:r w:rsidRPr="00E10816">
              <w:t>•</w:t>
            </w:r>
          </w:p>
        </w:tc>
        <w:tc>
          <w:tcPr>
            <w:tcW w:w="239" w:type="pct"/>
            <w:shd w:val="clear" w:color="auto" w:fill="FFFFCC"/>
            <w:vAlign w:val="center"/>
          </w:tcPr>
          <w:p w14:paraId="17695394"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3EB8131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36C1D172" w14:textId="77777777" w:rsidR="00510E88" w:rsidRPr="00E10816" w:rsidRDefault="00510E88" w:rsidP="0003577C">
            <w:pPr>
              <w:pStyle w:val="Tabletext1"/>
              <w:spacing w:before="40" w:after="40"/>
            </w:pPr>
            <w:r w:rsidRPr="00E10816">
              <w:t>•</w:t>
            </w:r>
          </w:p>
        </w:tc>
      </w:tr>
      <w:tr w:rsidR="00510E88" w:rsidRPr="00E10816" w14:paraId="03A0B67A" w14:textId="77777777" w:rsidTr="00481B5B">
        <w:tc>
          <w:tcPr>
            <w:tcW w:w="698" w:type="pct"/>
            <w:vAlign w:val="center"/>
          </w:tcPr>
          <w:p w14:paraId="67894236" w14:textId="27E79701" w:rsidR="00510E88" w:rsidRPr="00E10816" w:rsidRDefault="00510E88" w:rsidP="0003577C">
            <w:pPr>
              <w:pStyle w:val="Tabletext1"/>
              <w:spacing w:before="40" w:after="40"/>
              <w:rPr>
                <w:snapToGrid w:val="0"/>
              </w:rPr>
            </w:pPr>
            <w:r w:rsidRPr="00E10816">
              <w:rPr>
                <w:snapToGrid w:val="0"/>
              </w:rPr>
              <w:t xml:space="preserve">Liu </w:t>
            </w:r>
            <w:r w:rsidR="00E56429">
              <w:rPr>
                <w:snapToGrid w:val="0"/>
              </w:rPr>
              <w:t xml:space="preserve">et al </w:t>
            </w:r>
            <w:r w:rsidRPr="00E10816">
              <w:rPr>
                <w:snapToGrid w:val="0"/>
              </w:rPr>
              <w:t>(2015)</w:t>
            </w:r>
          </w:p>
        </w:tc>
        <w:tc>
          <w:tcPr>
            <w:tcW w:w="239" w:type="pct"/>
            <w:shd w:val="clear" w:color="auto" w:fill="EAF1DD" w:themeFill="accent3" w:themeFillTint="33"/>
            <w:vAlign w:val="center"/>
          </w:tcPr>
          <w:p w14:paraId="17BDF7D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6DD903D6"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39750CB3"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5A74EE7E"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52EE2BD8"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1614CFA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376F9090"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4E09BC0E"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680337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5F430F8E"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2AB8A4B0"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0892AF36"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7E5851BA"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1D4445B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5F33E5D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505007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0BF0624D"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1FF7E1DE" w14:textId="77777777" w:rsidR="00510E88" w:rsidRPr="00E10816" w:rsidRDefault="00510E88" w:rsidP="0003577C">
            <w:pPr>
              <w:pStyle w:val="Tabletext1"/>
              <w:spacing w:before="40" w:after="40"/>
            </w:pPr>
            <w:r w:rsidRPr="00E10816">
              <w:t>•</w:t>
            </w:r>
          </w:p>
        </w:tc>
      </w:tr>
      <w:tr w:rsidR="00510E88" w:rsidRPr="00E10816" w14:paraId="52C9EA0E" w14:textId="77777777" w:rsidTr="00481B5B">
        <w:tc>
          <w:tcPr>
            <w:tcW w:w="698" w:type="pct"/>
            <w:vAlign w:val="center"/>
          </w:tcPr>
          <w:p w14:paraId="47851BF8" w14:textId="051C7DAB" w:rsidR="00510E88" w:rsidRPr="00E10816" w:rsidRDefault="00510E88" w:rsidP="0003577C">
            <w:pPr>
              <w:pStyle w:val="Tabletext1"/>
              <w:spacing w:before="40" w:after="40"/>
              <w:rPr>
                <w:snapToGrid w:val="0"/>
              </w:rPr>
            </w:pPr>
            <w:r w:rsidRPr="00E10816">
              <w:rPr>
                <w:snapToGrid w:val="0"/>
              </w:rPr>
              <w:t xml:space="preserve">Ridge </w:t>
            </w:r>
            <w:r w:rsidR="00E56429">
              <w:rPr>
                <w:snapToGrid w:val="0"/>
              </w:rPr>
              <w:t xml:space="preserve">et al </w:t>
            </w:r>
            <w:r w:rsidRPr="00E10816">
              <w:rPr>
                <w:snapToGrid w:val="0"/>
              </w:rPr>
              <w:t>(2014)</w:t>
            </w:r>
          </w:p>
        </w:tc>
        <w:tc>
          <w:tcPr>
            <w:tcW w:w="239" w:type="pct"/>
            <w:shd w:val="clear" w:color="auto" w:fill="EAF1DD" w:themeFill="accent3" w:themeFillTint="33"/>
            <w:vAlign w:val="center"/>
          </w:tcPr>
          <w:p w14:paraId="588ED508"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7A8F68DF"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6AB73276"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1117D806"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5AC71B0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23647B8A"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0E4261C"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2B96FD3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5A7D79FA"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1ABD58D8"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6D0614F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1D5EE794"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5CE6D3E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1E5B6B0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3424E067"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05C19D7F"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FC3CEF3"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45E73ADC" w14:textId="77777777" w:rsidR="00510E88" w:rsidRPr="00E10816" w:rsidRDefault="00510E88" w:rsidP="0003577C">
            <w:pPr>
              <w:pStyle w:val="Tabletext1"/>
              <w:spacing w:before="40" w:after="40"/>
            </w:pPr>
            <w:r w:rsidRPr="00E10816">
              <w:t>•</w:t>
            </w:r>
          </w:p>
        </w:tc>
      </w:tr>
      <w:tr w:rsidR="00510E88" w:rsidRPr="00E10816" w14:paraId="167AF972" w14:textId="77777777" w:rsidTr="00481B5B">
        <w:tc>
          <w:tcPr>
            <w:tcW w:w="698" w:type="pct"/>
            <w:vAlign w:val="center"/>
          </w:tcPr>
          <w:p w14:paraId="2724F6A6" w14:textId="248CC85C" w:rsidR="00510E88" w:rsidRPr="00E10816" w:rsidRDefault="00510E88" w:rsidP="0003577C">
            <w:pPr>
              <w:pStyle w:val="Tabletext1"/>
              <w:spacing w:before="40" w:after="40"/>
              <w:rPr>
                <w:snapToGrid w:val="0"/>
              </w:rPr>
            </w:pPr>
            <w:r w:rsidRPr="00E10816">
              <w:rPr>
                <w:snapToGrid w:val="0"/>
              </w:rPr>
              <w:t xml:space="preserve">Viti </w:t>
            </w:r>
            <w:r w:rsidR="00E56429">
              <w:rPr>
                <w:snapToGrid w:val="0"/>
              </w:rPr>
              <w:t xml:space="preserve">et al </w:t>
            </w:r>
            <w:r w:rsidRPr="00E10816">
              <w:rPr>
                <w:snapToGrid w:val="0"/>
              </w:rPr>
              <w:t>(2014)</w:t>
            </w:r>
          </w:p>
        </w:tc>
        <w:tc>
          <w:tcPr>
            <w:tcW w:w="239" w:type="pct"/>
            <w:tcBorders>
              <w:bottom w:val="single" w:sz="4" w:space="0" w:color="auto"/>
            </w:tcBorders>
            <w:shd w:val="clear" w:color="auto" w:fill="EAF1DD" w:themeFill="accent3" w:themeFillTint="33"/>
            <w:vAlign w:val="center"/>
          </w:tcPr>
          <w:p w14:paraId="501716C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F2DBDB" w:themeFill="accent2" w:themeFillTint="33"/>
            <w:vAlign w:val="center"/>
          </w:tcPr>
          <w:p w14:paraId="20D25771"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F2DBDB" w:themeFill="accent2" w:themeFillTint="33"/>
            <w:vAlign w:val="center"/>
          </w:tcPr>
          <w:p w14:paraId="407160E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EAF1DD" w:themeFill="accent3" w:themeFillTint="33"/>
            <w:vAlign w:val="center"/>
          </w:tcPr>
          <w:p w14:paraId="589EF8AC"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EAF1DD" w:themeFill="accent3" w:themeFillTint="33"/>
            <w:vAlign w:val="center"/>
          </w:tcPr>
          <w:p w14:paraId="65B6C343"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EAF1DD" w:themeFill="accent3" w:themeFillTint="33"/>
            <w:vAlign w:val="center"/>
          </w:tcPr>
          <w:p w14:paraId="2F6DC6F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EAF1DD" w:themeFill="accent3" w:themeFillTint="33"/>
            <w:vAlign w:val="center"/>
          </w:tcPr>
          <w:p w14:paraId="2175F11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EAF1DD" w:themeFill="accent3" w:themeFillTint="33"/>
            <w:vAlign w:val="center"/>
          </w:tcPr>
          <w:p w14:paraId="44AE6AD3"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EAF1DD" w:themeFill="accent3" w:themeFillTint="33"/>
            <w:vAlign w:val="center"/>
          </w:tcPr>
          <w:p w14:paraId="7245035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F2DBDB" w:themeFill="accent2" w:themeFillTint="33"/>
            <w:vAlign w:val="center"/>
          </w:tcPr>
          <w:p w14:paraId="5C9DB62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tcBorders>
              <w:bottom w:val="single" w:sz="4" w:space="0" w:color="auto"/>
            </w:tcBorders>
            <w:shd w:val="clear" w:color="auto" w:fill="EAF1DD" w:themeFill="accent3" w:themeFillTint="33"/>
            <w:vAlign w:val="center"/>
          </w:tcPr>
          <w:p w14:paraId="29630EE7"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EAF1DD" w:themeFill="accent3" w:themeFillTint="33"/>
            <w:vAlign w:val="center"/>
          </w:tcPr>
          <w:p w14:paraId="583F87FD"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EAF1DD" w:themeFill="accent3" w:themeFillTint="33"/>
            <w:vAlign w:val="center"/>
          </w:tcPr>
          <w:p w14:paraId="1850C71C"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F2DBDB" w:themeFill="accent2" w:themeFillTint="33"/>
            <w:vAlign w:val="center"/>
          </w:tcPr>
          <w:p w14:paraId="6DF33A9C"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FFFFCC"/>
            <w:vAlign w:val="center"/>
          </w:tcPr>
          <w:p w14:paraId="271C70C7" w14:textId="77777777" w:rsidR="00510E88" w:rsidRPr="00E10816" w:rsidRDefault="00510E88" w:rsidP="0003577C">
            <w:pPr>
              <w:pStyle w:val="Tabletext1"/>
              <w:spacing w:before="40" w:after="40"/>
            </w:pPr>
            <w:r w:rsidRPr="00E10816">
              <w:t>•</w:t>
            </w:r>
          </w:p>
        </w:tc>
        <w:tc>
          <w:tcPr>
            <w:tcW w:w="239" w:type="pct"/>
            <w:tcBorders>
              <w:bottom w:val="single" w:sz="4" w:space="0" w:color="auto"/>
            </w:tcBorders>
            <w:shd w:val="clear" w:color="auto" w:fill="EAF1DD" w:themeFill="accent3" w:themeFillTint="33"/>
            <w:vAlign w:val="center"/>
          </w:tcPr>
          <w:p w14:paraId="091F50BF"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EAF1DD" w:themeFill="accent3" w:themeFillTint="33"/>
            <w:vAlign w:val="center"/>
          </w:tcPr>
          <w:p w14:paraId="116969AF"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tcBorders>
              <w:bottom w:val="single" w:sz="4" w:space="0" w:color="auto"/>
            </w:tcBorders>
            <w:shd w:val="clear" w:color="auto" w:fill="EAF1DD" w:themeFill="accent3" w:themeFillTint="33"/>
            <w:vAlign w:val="center"/>
          </w:tcPr>
          <w:p w14:paraId="14081E31"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r>
      <w:tr w:rsidR="00510E88" w:rsidRPr="00E10816" w14:paraId="5F3FED4F" w14:textId="77777777" w:rsidTr="00481B5B">
        <w:tc>
          <w:tcPr>
            <w:tcW w:w="698" w:type="pct"/>
            <w:tcBorders>
              <w:right w:val="nil"/>
            </w:tcBorders>
            <w:shd w:val="clear" w:color="auto" w:fill="D9D9D9" w:themeFill="background1" w:themeFillShade="D9"/>
            <w:vAlign w:val="center"/>
          </w:tcPr>
          <w:p w14:paraId="06C0545F" w14:textId="77777777" w:rsidR="00510E88" w:rsidRPr="0003577C" w:rsidRDefault="00510E88" w:rsidP="0003577C">
            <w:pPr>
              <w:pStyle w:val="Tabletext1"/>
              <w:spacing w:before="40" w:after="40"/>
              <w:rPr>
                <w:b/>
                <w:snapToGrid w:val="0"/>
              </w:rPr>
            </w:pPr>
            <w:r w:rsidRPr="0003577C">
              <w:rPr>
                <w:b/>
                <w:snapToGrid w:val="0"/>
              </w:rPr>
              <w:t>POPULATION 2</w:t>
            </w:r>
          </w:p>
        </w:tc>
        <w:tc>
          <w:tcPr>
            <w:tcW w:w="239" w:type="pct"/>
            <w:tcBorders>
              <w:left w:val="nil"/>
              <w:right w:val="nil"/>
            </w:tcBorders>
            <w:shd w:val="clear" w:color="auto" w:fill="D9D9D9" w:themeFill="background1" w:themeFillShade="D9"/>
            <w:vAlign w:val="center"/>
          </w:tcPr>
          <w:p w14:paraId="1B717EB4"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6C169016"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38A28DE2" w14:textId="77777777" w:rsidR="00510E88" w:rsidRPr="00E10816" w:rsidRDefault="00510E88" w:rsidP="0003577C">
            <w:pPr>
              <w:pStyle w:val="Tabletext1"/>
              <w:spacing w:before="40" w:after="40"/>
              <w:rPr>
                <w:rFonts w:ascii="Wingdings 2" w:hAnsi="Wingdings 2"/>
                <w:color w:val="000000"/>
              </w:rPr>
            </w:pPr>
          </w:p>
        </w:tc>
        <w:tc>
          <w:tcPr>
            <w:tcW w:w="239" w:type="pct"/>
            <w:tcBorders>
              <w:left w:val="nil"/>
              <w:right w:val="nil"/>
            </w:tcBorders>
            <w:shd w:val="clear" w:color="auto" w:fill="D9D9D9" w:themeFill="background1" w:themeFillShade="D9"/>
            <w:vAlign w:val="center"/>
          </w:tcPr>
          <w:p w14:paraId="4F29F489"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17971905" w14:textId="77777777" w:rsidR="00510E88" w:rsidRPr="00E10816" w:rsidRDefault="00510E88" w:rsidP="0003577C">
            <w:pPr>
              <w:pStyle w:val="Tabletext1"/>
              <w:spacing w:before="40" w:after="40"/>
            </w:pPr>
          </w:p>
        </w:tc>
        <w:tc>
          <w:tcPr>
            <w:tcW w:w="239" w:type="pct"/>
            <w:tcBorders>
              <w:left w:val="nil"/>
              <w:right w:val="nil"/>
            </w:tcBorders>
            <w:shd w:val="clear" w:color="auto" w:fill="D9D9D9" w:themeFill="background1" w:themeFillShade="D9"/>
            <w:vAlign w:val="center"/>
          </w:tcPr>
          <w:p w14:paraId="1AA781DA" w14:textId="77777777" w:rsidR="00510E88" w:rsidRPr="00E10816" w:rsidRDefault="00510E88" w:rsidP="0003577C">
            <w:pPr>
              <w:pStyle w:val="Tabletext1"/>
              <w:spacing w:before="40" w:after="40"/>
            </w:pPr>
          </w:p>
        </w:tc>
        <w:tc>
          <w:tcPr>
            <w:tcW w:w="239" w:type="pct"/>
            <w:tcBorders>
              <w:left w:val="nil"/>
              <w:right w:val="nil"/>
            </w:tcBorders>
            <w:shd w:val="clear" w:color="auto" w:fill="D9D9D9" w:themeFill="background1" w:themeFillShade="D9"/>
            <w:vAlign w:val="center"/>
          </w:tcPr>
          <w:p w14:paraId="272D420B" w14:textId="77777777" w:rsidR="00510E88" w:rsidRPr="00E10816" w:rsidRDefault="00510E88" w:rsidP="0003577C">
            <w:pPr>
              <w:pStyle w:val="Tabletext1"/>
              <w:spacing w:before="40" w:after="40"/>
            </w:pPr>
          </w:p>
        </w:tc>
        <w:tc>
          <w:tcPr>
            <w:tcW w:w="239" w:type="pct"/>
            <w:tcBorders>
              <w:left w:val="nil"/>
              <w:right w:val="nil"/>
            </w:tcBorders>
            <w:shd w:val="clear" w:color="auto" w:fill="D9D9D9" w:themeFill="background1" w:themeFillShade="D9"/>
            <w:vAlign w:val="center"/>
          </w:tcPr>
          <w:p w14:paraId="0E4B5C2B"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7C1B8BA0"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47C86732" w14:textId="77777777" w:rsidR="00510E88" w:rsidRPr="00E10816" w:rsidRDefault="00510E88" w:rsidP="0003577C">
            <w:pPr>
              <w:pStyle w:val="Tabletext1"/>
              <w:spacing w:before="40" w:after="40"/>
              <w:rPr>
                <w:rFonts w:ascii="Wingdings 2" w:hAnsi="Wingdings 2"/>
                <w:color w:val="000000"/>
              </w:rPr>
            </w:pPr>
          </w:p>
        </w:tc>
        <w:tc>
          <w:tcPr>
            <w:tcW w:w="239" w:type="pct"/>
            <w:tcBorders>
              <w:left w:val="nil"/>
              <w:right w:val="nil"/>
            </w:tcBorders>
            <w:shd w:val="clear" w:color="auto" w:fill="D9D9D9" w:themeFill="background1" w:themeFillShade="D9"/>
            <w:vAlign w:val="center"/>
          </w:tcPr>
          <w:p w14:paraId="6E2BBC8F"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1EED9A29"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1C3FD311"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5790E12E" w14:textId="77777777" w:rsidR="00510E88" w:rsidRPr="00E10816" w:rsidRDefault="00510E88" w:rsidP="0003577C">
            <w:pPr>
              <w:pStyle w:val="Tabletext1"/>
              <w:spacing w:before="40" w:after="40"/>
              <w:rPr>
                <w:rFonts w:ascii="Wingdings 2" w:hAnsi="Wingdings 2"/>
                <w:color w:val="000000"/>
              </w:rPr>
            </w:pPr>
          </w:p>
        </w:tc>
        <w:tc>
          <w:tcPr>
            <w:tcW w:w="239" w:type="pct"/>
            <w:tcBorders>
              <w:left w:val="nil"/>
              <w:right w:val="nil"/>
            </w:tcBorders>
            <w:shd w:val="clear" w:color="auto" w:fill="D9D9D9" w:themeFill="background1" w:themeFillShade="D9"/>
            <w:vAlign w:val="center"/>
          </w:tcPr>
          <w:p w14:paraId="6C1B8FC7" w14:textId="77777777" w:rsidR="00510E88" w:rsidRPr="00E10816" w:rsidRDefault="00510E88" w:rsidP="0003577C">
            <w:pPr>
              <w:pStyle w:val="Tabletext1"/>
              <w:spacing w:before="40" w:after="40"/>
              <w:rPr>
                <w:rFonts w:ascii="Wingdings 2" w:hAnsi="Wingdings 2"/>
              </w:rPr>
            </w:pPr>
          </w:p>
        </w:tc>
        <w:tc>
          <w:tcPr>
            <w:tcW w:w="239" w:type="pct"/>
            <w:tcBorders>
              <w:left w:val="nil"/>
              <w:right w:val="nil"/>
            </w:tcBorders>
            <w:shd w:val="clear" w:color="auto" w:fill="D9D9D9" w:themeFill="background1" w:themeFillShade="D9"/>
            <w:vAlign w:val="center"/>
          </w:tcPr>
          <w:p w14:paraId="7867BEF9" w14:textId="77777777" w:rsidR="00510E88" w:rsidRPr="00E10816" w:rsidRDefault="00510E88" w:rsidP="0003577C">
            <w:pPr>
              <w:pStyle w:val="Tabletext1"/>
              <w:spacing w:before="40" w:after="40"/>
              <w:rPr>
                <w:color w:val="000000"/>
              </w:rPr>
            </w:pPr>
          </w:p>
        </w:tc>
        <w:tc>
          <w:tcPr>
            <w:tcW w:w="239" w:type="pct"/>
            <w:tcBorders>
              <w:left w:val="nil"/>
              <w:right w:val="nil"/>
            </w:tcBorders>
            <w:shd w:val="clear" w:color="auto" w:fill="D9D9D9" w:themeFill="background1" w:themeFillShade="D9"/>
            <w:vAlign w:val="center"/>
          </w:tcPr>
          <w:p w14:paraId="3F16560F" w14:textId="77777777" w:rsidR="00510E88" w:rsidRPr="00E10816" w:rsidRDefault="00510E88" w:rsidP="0003577C">
            <w:pPr>
              <w:pStyle w:val="Tabletext1"/>
              <w:spacing w:before="40" w:after="40"/>
              <w:rPr>
                <w:rFonts w:ascii="Wingdings 2" w:hAnsi="Wingdings 2"/>
                <w:color w:val="000000"/>
              </w:rPr>
            </w:pPr>
          </w:p>
        </w:tc>
        <w:tc>
          <w:tcPr>
            <w:tcW w:w="239" w:type="pct"/>
            <w:tcBorders>
              <w:left w:val="nil"/>
            </w:tcBorders>
            <w:shd w:val="clear" w:color="auto" w:fill="D9D9D9" w:themeFill="background1" w:themeFillShade="D9"/>
            <w:vAlign w:val="center"/>
          </w:tcPr>
          <w:p w14:paraId="56F0642D" w14:textId="77777777" w:rsidR="00510E88" w:rsidRPr="00E10816" w:rsidRDefault="00510E88" w:rsidP="0003577C">
            <w:pPr>
              <w:pStyle w:val="Tabletext1"/>
              <w:spacing w:before="40" w:after="40"/>
              <w:rPr>
                <w:rFonts w:ascii="Wingdings 2" w:hAnsi="Wingdings 2"/>
              </w:rPr>
            </w:pPr>
          </w:p>
        </w:tc>
      </w:tr>
      <w:tr w:rsidR="00510E88" w:rsidRPr="00E10816" w14:paraId="1E049027" w14:textId="77777777" w:rsidTr="00481B5B">
        <w:tc>
          <w:tcPr>
            <w:tcW w:w="698" w:type="pct"/>
            <w:vAlign w:val="center"/>
          </w:tcPr>
          <w:p w14:paraId="327FDD2C" w14:textId="0357D05E" w:rsidR="00510E88" w:rsidRPr="00E10816" w:rsidRDefault="00510E88" w:rsidP="0003577C">
            <w:pPr>
              <w:pStyle w:val="Tabletext1"/>
              <w:spacing w:before="40" w:after="40"/>
              <w:rPr>
                <w:snapToGrid w:val="0"/>
              </w:rPr>
            </w:pPr>
            <w:r w:rsidRPr="00E10816">
              <w:rPr>
                <w:snapToGrid w:val="0"/>
              </w:rPr>
              <w:t xml:space="preserve">de Baere </w:t>
            </w:r>
            <w:r w:rsidR="00E56429">
              <w:rPr>
                <w:snapToGrid w:val="0"/>
              </w:rPr>
              <w:t xml:space="preserve">et al </w:t>
            </w:r>
            <w:r w:rsidRPr="00E10816">
              <w:rPr>
                <w:snapToGrid w:val="0"/>
              </w:rPr>
              <w:t>(2015)</w:t>
            </w:r>
          </w:p>
        </w:tc>
        <w:tc>
          <w:tcPr>
            <w:tcW w:w="239" w:type="pct"/>
            <w:shd w:val="clear" w:color="auto" w:fill="EAF1DD" w:themeFill="accent3" w:themeFillTint="33"/>
            <w:vAlign w:val="center"/>
          </w:tcPr>
          <w:p w14:paraId="6E54A2E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3FFB0B94"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1CF8107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39DA8E8"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0265C525" w14:textId="77777777" w:rsidR="00510E88" w:rsidRPr="00E10816" w:rsidRDefault="00510E88" w:rsidP="0003577C">
            <w:pPr>
              <w:pStyle w:val="Tabletext1"/>
              <w:spacing w:before="40" w:after="40"/>
            </w:pPr>
            <w:r w:rsidRPr="00E10816">
              <w:t>•</w:t>
            </w:r>
          </w:p>
        </w:tc>
        <w:tc>
          <w:tcPr>
            <w:tcW w:w="239" w:type="pct"/>
            <w:shd w:val="clear" w:color="auto" w:fill="FFFFCC"/>
            <w:vAlign w:val="center"/>
          </w:tcPr>
          <w:p w14:paraId="1548CF78" w14:textId="77777777" w:rsidR="00510E88" w:rsidRPr="00E10816" w:rsidRDefault="00510E88" w:rsidP="0003577C">
            <w:pPr>
              <w:pStyle w:val="Tabletext1"/>
              <w:spacing w:before="40" w:after="40"/>
            </w:pPr>
            <w:r w:rsidRPr="00E10816">
              <w:t>•</w:t>
            </w:r>
          </w:p>
        </w:tc>
        <w:tc>
          <w:tcPr>
            <w:tcW w:w="239" w:type="pct"/>
            <w:shd w:val="clear" w:color="auto" w:fill="FFFFCC"/>
            <w:vAlign w:val="center"/>
          </w:tcPr>
          <w:p w14:paraId="254BFCD3"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6F2EE70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75627A44"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5DF98AD9"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4950825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30A45550"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2B69A984"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0F99036C"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C25113C"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3513242F"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2DBDB" w:themeFill="accent2" w:themeFillTint="33"/>
            <w:vAlign w:val="center"/>
          </w:tcPr>
          <w:p w14:paraId="3A5FDC71"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0A98ABD4"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r>
      <w:tr w:rsidR="00510E88" w:rsidRPr="00E10816" w14:paraId="0E937298" w14:textId="77777777" w:rsidTr="00481B5B">
        <w:tc>
          <w:tcPr>
            <w:tcW w:w="698" w:type="pct"/>
            <w:vAlign w:val="center"/>
          </w:tcPr>
          <w:p w14:paraId="301ADB1F" w14:textId="4C471F16" w:rsidR="00510E88" w:rsidRPr="00E10816" w:rsidRDefault="00510E88" w:rsidP="0003577C">
            <w:pPr>
              <w:pStyle w:val="Tabletext1"/>
              <w:spacing w:before="40" w:after="40"/>
              <w:rPr>
                <w:snapToGrid w:val="0"/>
              </w:rPr>
            </w:pPr>
            <w:r w:rsidRPr="00E10816">
              <w:rPr>
                <w:snapToGrid w:val="0"/>
              </w:rPr>
              <w:lastRenderedPageBreak/>
              <w:t xml:space="preserve">Fanucchi </w:t>
            </w:r>
            <w:r w:rsidR="00E56429">
              <w:rPr>
                <w:snapToGrid w:val="0"/>
              </w:rPr>
              <w:t xml:space="preserve">et al </w:t>
            </w:r>
            <w:r w:rsidRPr="00E10816">
              <w:rPr>
                <w:snapToGrid w:val="0"/>
              </w:rPr>
              <w:t>(2016)</w:t>
            </w:r>
          </w:p>
        </w:tc>
        <w:tc>
          <w:tcPr>
            <w:tcW w:w="239" w:type="pct"/>
            <w:shd w:val="clear" w:color="auto" w:fill="EAF1DD" w:themeFill="accent3" w:themeFillTint="33"/>
            <w:vAlign w:val="center"/>
          </w:tcPr>
          <w:p w14:paraId="1154FB86"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0441ED3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70353C67"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455B1FD2"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FFFCC"/>
            <w:vAlign w:val="center"/>
          </w:tcPr>
          <w:p w14:paraId="53E0A46A"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6C104A46"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47FE627B" w14:textId="77777777" w:rsidR="00510E88" w:rsidRPr="00E10816" w:rsidRDefault="00510E88" w:rsidP="0003577C">
            <w:pPr>
              <w:pStyle w:val="Tabletext1"/>
              <w:spacing w:before="40" w:after="40"/>
            </w:pPr>
            <w:r w:rsidRPr="00E10816">
              <w:t>?</w:t>
            </w:r>
          </w:p>
        </w:tc>
        <w:tc>
          <w:tcPr>
            <w:tcW w:w="239" w:type="pct"/>
            <w:shd w:val="clear" w:color="auto" w:fill="FFFFCC"/>
            <w:vAlign w:val="center"/>
          </w:tcPr>
          <w:p w14:paraId="0514D6B0"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EAF1DD" w:themeFill="accent3" w:themeFillTint="33"/>
            <w:vAlign w:val="center"/>
          </w:tcPr>
          <w:p w14:paraId="0B7CD4CA"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4EFBFB5C"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33E6D82E"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EAF1DD" w:themeFill="accent3" w:themeFillTint="33"/>
            <w:vAlign w:val="center"/>
          </w:tcPr>
          <w:p w14:paraId="3A003BCC"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3602C7D8"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23B96EEE"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1BE1628D"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308E76A4"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646A4CFD"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5D1876D3"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r>
      <w:tr w:rsidR="00510E88" w:rsidRPr="00E10816" w14:paraId="0124320D" w14:textId="77777777" w:rsidTr="00481B5B">
        <w:tc>
          <w:tcPr>
            <w:tcW w:w="698" w:type="pct"/>
            <w:vAlign w:val="center"/>
          </w:tcPr>
          <w:p w14:paraId="499FE0F3" w14:textId="67955EF5" w:rsidR="00510E88" w:rsidRPr="00E10816" w:rsidRDefault="00510E88" w:rsidP="0003577C">
            <w:pPr>
              <w:pStyle w:val="Tabletext1"/>
              <w:spacing w:before="40" w:after="40"/>
              <w:rPr>
                <w:snapToGrid w:val="0"/>
              </w:rPr>
            </w:pPr>
            <w:r w:rsidRPr="00E10816">
              <w:rPr>
                <w:snapToGrid w:val="0"/>
              </w:rPr>
              <w:t xml:space="preserve">Hiraki </w:t>
            </w:r>
            <w:r w:rsidR="00E56429">
              <w:rPr>
                <w:snapToGrid w:val="0"/>
              </w:rPr>
              <w:t xml:space="preserve">et al </w:t>
            </w:r>
            <w:r w:rsidRPr="00E10816">
              <w:rPr>
                <w:snapToGrid w:val="0"/>
              </w:rPr>
              <w:t>(2011)</w:t>
            </w:r>
          </w:p>
        </w:tc>
        <w:tc>
          <w:tcPr>
            <w:tcW w:w="239" w:type="pct"/>
            <w:shd w:val="clear" w:color="auto" w:fill="EAF1DD" w:themeFill="accent3" w:themeFillTint="33"/>
            <w:vAlign w:val="center"/>
          </w:tcPr>
          <w:p w14:paraId="158598CE"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4143D819"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62C618F0"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64B79191"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71585478"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64AD75E7"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6D9117ED"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EAF1DD" w:themeFill="accent3" w:themeFillTint="33"/>
            <w:vAlign w:val="center"/>
          </w:tcPr>
          <w:p w14:paraId="724FC659"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97929DB"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3847BB8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32F32050"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342B5BDA"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E6F9C46"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1ACB20B8"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DB2ECE9"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54379E14"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4B853C8"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5E731CC9" w14:textId="77777777" w:rsidR="00510E88" w:rsidRPr="00E10816" w:rsidRDefault="00510E88" w:rsidP="0003577C">
            <w:pPr>
              <w:pStyle w:val="Tabletext1"/>
              <w:spacing w:before="40" w:after="40"/>
              <w:rPr>
                <w:bCs/>
                <w:color w:val="000000"/>
              </w:rPr>
            </w:pPr>
            <w:r w:rsidRPr="00E10816">
              <w:rPr>
                <w:bCs/>
                <w:color w:val="000000"/>
              </w:rPr>
              <w:t>•</w:t>
            </w:r>
          </w:p>
        </w:tc>
      </w:tr>
      <w:tr w:rsidR="00510E88" w:rsidRPr="00E10816" w14:paraId="7BD344A8" w14:textId="77777777" w:rsidTr="00481B5B">
        <w:tc>
          <w:tcPr>
            <w:tcW w:w="698" w:type="pct"/>
            <w:vAlign w:val="center"/>
          </w:tcPr>
          <w:p w14:paraId="64A0C6D5" w14:textId="0C8E0C5A" w:rsidR="00510E88" w:rsidRPr="00E10816" w:rsidRDefault="00510E88" w:rsidP="0003577C">
            <w:pPr>
              <w:pStyle w:val="Tabletext1"/>
              <w:spacing w:before="40" w:after="40"/>
              <w:rPr>
                <w:snapToGrid w:val="0"/>
              </w:rPr>
            </w:pPr>
            <w:r w:rsidRPr="00E10816">
              <w:rPr>
                <w:snapToGrid w:val="0"/>
              </w:rPr>
              <w:t xml:space="preserve">Koelblinger </w:t>
            </w:r>
            <w:r w:rsidR="00E56429">
              <w:rPr>
                <w:snapToGrid w:val="0"/>
              </w:rPr>
              <w:t xml:space="preserve">et al </w:t>
            </w:r>
            <w:r w:rsidRPr="00E10816">
              <w:rPr>
                <w:snapToGrid w:val="0"/>
              </w:rPr>
              <w:t>(2014)</w:t>
            </w:r>
          </w:p>
        </w:tc>
        <w:tc>
          <w:tcPr>
            <w:tcW w:w="239" w:type="pct"/>
            <w:shd w:val="clear" w:color="auto" w:fill="EAF1DD" w:themeFill="accent3" w:themeFillTint="33"/>
            <w:vAlign w:val="center"/>
          </w:tcPr>
          <w:p w14:paraId="06F8B65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0E79030D"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5376C776"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FFFCC"/>
            <w:vAlign w:val="center"/>
          </w:tcPr>
          <w:p w14:paraId="0ECEED7C"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2DBDB" w:themeFill="accent2" w:themeFillTint="33"/>
            <w:vAlign w:val="center"/>
          </w:tcPr>
          <w:p w14:paraId="33796BF0"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542EB160" w14:textId="77777777" w:rsidR="00510E88" w:rsidRPr="00E10816" w:rsidRDefault="00510E88" w:rsidP="0003577C">
            <w:pPr>
              <w:pStyle w:val="Tabletext1"/>
              <w:spacing w:before="40" w:after="40"/>
            </w:pPr>
            <w:r w:rsidRPr="00E10816">
              <w:t>•</w:t>
            </w:r>
          </w:p>
        </w:tc>
        <w:tc>
          <w:tcPr>
            <w:tcW w:w="239" w:type="pct"/>
            <w:shd w:val="clear" w:color="auto" w:fill="FFFFCC"/>
            <w:vAlign w:val="center"/>
          </w:tcPr>
          <w:p w14:paraId="1E578BE4"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EAF1DD" w:themeFill="accent3" w:themeFillTint="33"/>
            <w:vAlign w:val="center"/>
          </w:tcPr>
          <w:p w14:paraId="1F9E5F67"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19BEC764"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46F3FA0E"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18CCC3CE" w14:textId="77777777" w:rsidR="00510E88" w:rsidRPr="00E10816" w:rsidRDefault="00510E88" w:rsidP="0003577C">
            <w:pPr>
              <w:pStyle w:val="Tabletext1"/>
              <w:spacing w:before="40" w:after="40"/>
              <w:rPr>
                <w:bCs/>
                <w:color w:val="000000"/>
              </w:rPr>
            </w:pPr>
            <w:r w:rsidRPr="00E10816">
              <w:rPr>
                <w:bCs/>
                <w:color w:val="000000"/>
              </w:rPr>
              <w:t>•</w:t>
            </w:r>
          </w:p>
        </w:tc>
        <w:tc>
          <w:tcPr>
            <w:tcW w:w="239" w:type="pct"/>
            <w:shd w:val="clear" w:color="auto" w:fill="EAF1DD" w:themeFill="accent3" w:themeFillTint="33"/>
            <w:vAlign w:val="center"/>
          </w:tcPr>
          <w:p w14:paraId="02806BB7"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13B0EF99"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D9D9D9" w:themeFill="background1" w:themeFillShade="D9"/>
            <w:vAlign w:val="center"/>
          </w:tcPr>
          <w:p w14:paraId="05E48932" w14:textId="77777777" w:rsidR="00510E88" w:rsidRPr="00E10816" w:rsidRDefault="00510E88" w:rsidP="0003577C">
            <w:pPr>
              <w:pStyle w:val="Tabletext1"/>
              <w:spacing w:before="40" w:after="40"/>
              <w:rPr>
                <w:snapToGrid w:val="0"/>
              </w:rPr>
            </w:pPr>
            <w:r w:rsidRPr="00E10816">
              <w:rPr>
                <w:snapToGrid w:val="0"/>
              </w:rPr>
              <w:t>N/A</w:t>
            </w:r>
          </w:p>
        </w:tc>
        <w:tc>
          <w:tcPr>
            <w:tcW w:w="239" w:type="pct"/>
            <w:shd w:val="clear" w:color="auto" w:fill="F2DBDB" w:themeFill="accent2" w:themeFillTint="33"/>
            <w:vAlign w:val="center"/>
          </w:tcPr>
          <w:p w14:paraId="2B6FE7A8"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7F16DD1D" w14:textId="77777777" w:rsidR="00510E88" w:rsidRPr="00E10816" w:rsidRDefault="00510E88" w:rsidP="0003577C">
            <w:pPr>
              <w:pStyle w:val="Tabletext1"/>
              <w:spacing w:before="40" w:after="40"/>
              <w:rPr>
                <w:bCs/>
                <w:color w:val="000000"/>
              </w:rPr>
            </w:pPr>
            <w:r w:rsidRPr="00E10816">
              <w:rPr>
                <w:bCs/>
                <w:color w:val="000000"/>
              </w:rPr>
              <w:t>•</w:t>
            </w:r>
          </w:p>
        </w:tc>
        <w:tc>
          <w:tcPr>
            <w:tcW w:w="239" w:type="pct"/>
            <w:shd w:val="clear" w:color="auto" w:fill="EAF1DD" w:themeFill="accent3" w:themeFillTint="33"/>
            <w:vAlign w:val="center"/>
          </w:tcPr>
          <w:p w14:paraId="2B2D8D82"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0D9A8454" w14:textId="77777777" w:rsidR="00510E88" w:rsidRPr="00E10816" w:rsidRDefault="00510E88" w:rsidP="0003577C">
            <w:pPr>
              <w:pStyle w:val="Tabletext1"/>
              <w:spacing w:before="40" w:after="40"/>
              <w:rPr>
                <w:bCs/>
                <w:color w:val="000000"/>
              </w:rPr>
            </w:pPr>
            <w:r w:rsidRPr="00E10816">
              <w:rPr>
                <w:bCs/>
                <w:color w:val="000000"/>
              </w:rPr>
              <w:t>•</w:t>
            </w:r>
          </w:p>
        </w:tc>
      </w:tr>
      <w:tr w:rsidR="00510E88" w:rsidRPr="00E10816" w14:paraId="65391DB0" w14:textId="77777777" w:rsidTr="00481B5B">
        <w:tc>
          <w:tcPr>
            <w:tcW w:w="698" w:type="pct"/>
            <w:vAlign w:val="center"/>
          </w:tcPr>
          <w:p w14:paraId="72FDDF6F" w14:textId="702AA7C7" w:rsidR="00510E88" w:rsidRPr="00E10816" w:rsidRDefault="00510E88" w:rsidP="0003577C">
            <w:pPr>
              <w:pStyle w:val="Tabletext1"/>
              <w:spacing w:before="40" w:after="40"/>
              <w:rPr>
                <w:snapToGrid w:val="0"/>
              </w:rPr>
            </w:pPr>
            <w:r w:rsidRPr="00E10816">
              <w:rPr>
                <w:snapToGrid w:val="0"/>
              </w:rPr>
              <w:t xml:space="preserve">Li </w:t>
            </w:r>
            <w:r w:rsidR="00E56429">
              <w:rPr>
                <w:snapToGrid w:val="0"/>
              </w:rPr>
              <w:t xml:space="preserve">et al </w:t>
            </w:r>
            <w:r w:rsidRPr="00E10816">
              <w:rPr>
                <w:snapToGrid w:val="0"/>
              </w:rPr>
              <w:t>(2012)</w:t>
            </w:r>
          </w:p>
        </w:tc>
        <w:tc>
          <w:tcPr>
            <w:tcW w:w="239" w:type="pct"/>
            <w:shd w:val="clear" w:color="auto" w:fill="FFFFCC"/>
            <w:vAlign w:val="center"/>
          </w:tcPr>
          <w:p w14:paraId="10718FA7"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2DBDB" w:themeFill="accent2" w:themeFillTint="33"/>
            <w:vAlign w:val="center"/>
          </w:tcPr>
          <w:p w14:paraId="6FA0A38D"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00AF46AC"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5F36DE11"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EAF1DD" w:themeFill="accent3" w:themeFillTint="33"/>
            <w:vAlign w:val="center"/>
          </w:tcPr>
          <w:p w14:paraId="56F22B1C"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236CBCEC"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1D9864DB"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A61E518"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189ECB1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1EE3326A"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0D11D14C"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F96FA57"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5E0EE27A"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D9D9D9" w:themeFill="background1" w:themeFillShade="D9"/>
            <w:vAlign w:val="center"/>
          </w:tcPr>
          <w:p w14:paraId="7C133A5C" w14:textId="77777777" w:rsidR="00510E88" w:rsidRPr="00E10816" w:rsidRDefault="00510E88" w:rsidP="0003577C">
            <w:pPr>
              <w:pStyle w:val="Tabletext1"/>
              <w:spacing w:before="40" w:after="40"/>
              <w:rPr>
                <w:snapToGrid w:val="0"/>
              </w:rPr>
            </w:pPr>
            <w:r w:rsidRPr="00E10816">
              <w:rPr>
                <w:snapToGrid w:val="0"/>
              </w:rPr>
              <w:t>N/A</w:t>
            </w:r>
          </w:p>
        </w:tc>
        <w:tc>
          <w:tcPr>
            <w:tcW w:w="239" w:type="pct"/>
            <w:shd w:val="clear" w:color="auto" w:fill="EAF1DD" w:themeFill="accent3" w:themeFillTint="33"/>
            <w:vAlign w:val="center"/>
          </w:tcPr>
          <w:p w14:paraId="08B2C5AD"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4D5620D7" w14:textId="77777777" w:rsidR="00510E88" w:rsidRPr="00E10816" w:rsidRDefault="00510E88" w:rsidP="0003577C">
            <w:pPr>
              <w:pStyle w:val="Tabletext1"/>
              <w:spacing w:before="40" w:after="40"/>
              <w:rPr>
                <w:bCs/>
                <w:color w:val="000000"/>
              </w:rPr>
            </w:pPr>
            <w:r w:rsidRPr="00E10816">
              <w:rPr>
                <w:bCs/>
                <w:color w:val="000000"/>
              </w:rPr>
              <w:t>•</w:t>
            </w:r>
          </w:p>
        </w:tc>
        <w:tc>
          <w:tcPr>
            <w:tcW w:w="239" w:type="pct"/>
            <w:shd w:val="clear" w:color="auto" w:fill="F2DBDB" w:themeFill="accent2" w:themeFillTint="33"/>
            <w:vAlign w:val="center"/>
          </w:tcPr>
          <w:p w14:paraId="7C36AB46"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58558E18"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r>
      <w:tr w:rsidR="00510E88" w:rsidRPr="00E10816" w14:paraId="356B1955" w14:textId="77777777" w:rsidTr="00481B5B">
        <w:tc>
          <w:tcPr>
            <w:tcW w:w="698" w:type="pct"/>
            <w:vAlign w:val="center"/>
          </w:tcPr>
          <w:p w14:paraId="5B34C326" w14:textId="1E5FCD40" w:rsidR="00510E88" w:rsidRPr="00E10816" w:rsidRDefault="00510E88" w:rsidP="0003577C">
            <w:pPr>
              <w:pStyle w:val="Tabletext1"/>
              <w:spacing w:before="40" w:after="40"/>
              <w:rPr>
                <w:snapToGrid w:val="0"/>
              </w:rPr>
            </w:pPr>
            <w:r w:rsidRPr="00E10816">
              <w:rPr>
                <w:snapToGrid w:val="0"/>
              </w:rPr>
              <w:t xml:space="preserve">Lu </w:t>
            </w:r>
            <w:r w:rsidR="00E56429">
              <w:rPr>
                <w:snapToGrid w:val="0"/>
              </w:rPr>
              <w:t xml:space="preserve">et al </w:t>
            </w:r>
            <w:r w:rsidRPr="00E10816">
              <w:rPr>
                <w:snapToGrid w:val="0"/>
              </w:rPr>
              <w:t>(2015a)</w:t>
            </w:r>
          </w:p>
        </w:tc>
        <w:tc>
          <w:tcPr>
            <w:tcW w:w="239" w:type="pct"/>
            <w:shd w:val="clear" w:color="auto" w:fill="F2DBDB" w:themeFill="accent2" w:themeFillTint="33"/>
            <w:vAlign w:val="center"/>
          </w:tcPr>
          <w:p w14:paraId="122F7D52"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42E77793"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44E31280"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56499902"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607FB9C4"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1F067E74"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572DF158"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FFFCC"/>
            <w:vAlign w:val="center"/>
          </w:tcPr>
          <w:p w14:paraId="1890A892"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FFFCC"/>
            <w:vAlign w:val="center"/>
          </w:tcPr>
          <w:p w14:paraId="009F963A"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2DBDB" w:themeFill="accent2" w:themeFillTint="33"/>
            <w:vAlign w:val="center"/>
          </w:tcPr>
          <w:p w14:paraId="0552D07E"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551525B3"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EAF1DD" w:themeFill="accent3" w:themeFillTint="33"/>
            <w:vAlign w:val="center"/>
          </w:tcPr>
          <w:p w14:paraId="275424A5"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620E95A5"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648FD49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CDCD75C"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3F3EF170"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FFFCC"/>
            <w:vAlign w:val="center"/>
          </w:tcPr>
          <w:p w14:paraId="6CC129D4" w14:textId="77777777" w:rsidR="00510E88" w:rsidRPr="00E10816" w:rsidRDefault="00510E88" w:rsidP="0003577C">
            <w:pPr>
              <w:pStyle w:val="Tabletext1"/>
              <w:spacing w:before="40" w:after="40"/>
              <w:rPr>
                <w:bCs/>
                <w:color w:val="000000"/>
              </w:rPr>
            </w:pPr>
            <w:r w:rsidRPr="00E10816">
              <w:rPr>
                <w:bCs/>
                <w:color w:val="000000"/>
              </w:rPr>
              <w:t>•</w:t>
            </w:r>
          </w:p>
        </w:tc>
        <w:tc>
          <w:tcPr>
            <w:tcW w:w="239" w:type="pct"/>
            <w:shd w:val="clear" w:color="auto" w:fill="F2DBDB" w:themeFill="accent2" w:themeFillTint="33"/>
            <w:vAlign w:val="center"/>
          </w:tcPr>
          <w:p w14:paraId="496EA98B"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r>
      <w:tr w:rsidR="00510E88" w:rsidRPr="00E10816" w14:paraId="7269F62E" w14:textId="77777777" w:rsidTr="00481B5B">
        <w:tc>
          <w:tcPr>
            <w:tcW w:w="698" w:type="pct"/>
            <w:vAlign w:val="center"/>
          </w:tcPr>
          <w:p w14:paraId="68B79191" w14:textId="3679837D" w:rsidR="00510E88" w:rsidRPr="00E10816" w:rsidRDefault="00510E88" w:rsidP="0003577C">
            <w:pPr>
              <w:pStyle w:val="Tabletext1"/>
              <w:spacing w:before="40" w:after="40"/>
              <w:rPr>
                <w:snapToGrid w:val="0"/>
              </w:rPr>
            </w:pPr>
            <w:r w:rsidRPr="00E10816">
              <w:rPr>
                <w:snapToGrid w:val="0"/>
              </w:rPr>
              <w:t xml:space="preserve">Lu </w:t>
            </w:r>
            <w:r w:rsidR="00E56429">
              <w:rPr>
                <w:snapToGrid w:val="0"/>
              </w:rPr>
              <w:t xml:space="preserve">et al </w:t>
            </w:r>
            <w:r w:rsidRPr="00E10816">
              <w:rPr>
                <w:snapToGrid w:val="0"/>
              </w:rPr>
              <w:t>(2015b)</w:t>
            </w:r>
          </w:p>
        </w:tc>
        <w:tc>
          <w:tcPr>
            <w:tcW w:w="239" w:type="pct"/>
            <w:shd w:val="clear" w:color="auto" w:fill="EAF1DD" w:themeFill="accent3" w:themeFillTint="33"/>
            <w:vAlign w:val="center"/>
          </w:tcPr>
          <w:p w14:paraId="655850A6"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081ADC81"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2DBDB" w:themeFill="accent2" w:themeFillTint="33"/>
            <w:vAlign w:val="center"/>
          </w:tcPr>
          <w:p w14:paraId="0989FF6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0E18EC24"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FFFCC"/>
            <w:vAlign w:val="center"/>
          </w:tcPr>
          <w:p w14:paraId="6D27D800"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2C96574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1EA04D57"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FFFCC"/>
            <w:vAlign w:val="center"/>
          </w:tcPr>
          <w:p w14:paraId="06C3BBB4"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FFFCC"/>
            <w:vAlign w:val="center"/>
          </w:tcPr>
          <w:p w14:paraId="1E04AB9B"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2DBDB" w:themeFill="accent2" w:themeFillTint="33"/>
            <w:vAlign w:val="center"/>
          </w:tcPr>
          <w:p w14:paraId="34380A2A"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64EAB137"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EAF1DD" w:themeFill="accent3" w:themeFillTint="33"/>
            <w:vAlign w:val="center"/>
          </w:tcPr>
          <w:p w14:paraId="1A9D8185"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277E8C6E"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3CDE2BE2"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3246415D"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4C465278"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40D69C96"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0441FBEA"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r>
      <w:tr w:rsidR="00510E88" w:rsidRPr="00E10816" w14:paraId="6C7A6D2C" w14:textId="77777777" w:rsidTr="00481B5B">
        <w:tc>
          <w:tcPr>
            <w:tcW w:w="698" w:type="pct"/>
            <w:vAlign w:val="center"/>
          </w:tcPr>
          <w:p w14:paraId="66162910" w14:textId="7A492F3E" w:rsidR="00510E88" w:rsidRPr="00E10816" w:rsidRDefault="00E56429" w:rsidP="0003577C">
            <w:pPr>
              <w:pStyle w:val="Tabletext1"/>
              <w:spacing w:before="40" w:after="40"/>
              <w:rPr>
                <w:snapToGrid w:val="0"/>
              </w:rPr>
            </w:pPr>
            <w:r>
              <w:rPr>
                <w:snapToGrid w:val="0"/>
              </w:rPr>
              <w:t>Matsui et al (</w:t>
            </w:r>
            <w:r w:rsidR="00510E88" w:rsidRPr="00E10816">
              <w:rPr>
                <w:snapToGrid w:val="0"/>
              </w:rPr>
              <w:t>2015)</w:t>
            </w:r>
          </w:p>
        </w:tc>
        <w:tc>
          <w:tcPr>
            <w:tcW w:w="239" w:type="pct"/>
            <w:shd w:val="clear" w:color="auto" w:fill="EAF1DD" w:themeFill="accent3" w:themeFillTint="33"/>
            <w:vAlign w:val="center"/>
          </w:tcPr>
          <w:p w14:paraId="7B322972"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4E6CE410"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42761826"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47893795"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7626176F"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2E5DE207"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62B5052D"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559478F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3BF2ACD2"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67DCDA7D"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1EB6E453"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96201BE"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FE9BBB3"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D9D9D9" w:themeFill="background1" w:themeFillShade="D9"/>
            <w:vAlign w:val="center"/>
          </w:tcPr>
          <w:p w14:paraId="74D2AE85" w14:textId="77777777" w:rsidR="00510E88" w:rsidRPr="00E10816" w:rsidRDefault="00510E88" w:rsidP="0003577C">
            <w:pPr>
              <w:pStyle w:val="Tabletext1"/>
              <w:spacing w:before="40" w:after="40"/>
              <w:rPr>
                <w:snapToGrid w:val="0"/>
              </w:rPr>
            </w:pPr>
            <w:r w:rsidRPr="00E10816">
              <w:rPr>
                <w:snapToGrid w:val="0"/>
              </w:rPr>
              <w:t>N/A</w:t>
            </w:r>
          </w:p>
        </w:tc>
        <w:tc>
          <w:tcPr>
            <w:tcW w:w="239" w:type="pct"/>
            <w:shd w:val="clear" w:color="auto" w:fill="EAF1DD" w:themeFill="accent3" w:themeFillTint="33"/>
            <w:vAlign w:val="center"/>
          </w:tcPr>
          <w:p w14:paraId="517E251E"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6F62D307"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3D46994C"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5873C5DC" w14:textId="77777777" w:rsidR="00510E88" w:rsidRPr="00E10816" w:rsidRDefault="00510E88" w:rsidP="0003577C">
            <w:pPr>
              <w:pStyle w:val="Tabletext1"/>
              <w:spacing w:before="40" w:after="40"/>
              <w:rPr>
                <w:bCs/>
                <w:color w:val="000000"/>
              </w:rPr>
            </w:pPr>
            <w:r w:rsidRPr="00E10816">
              <w:rPr>
                <w:bCs/>
                <w:color w:val="000000"/>
              </w:rPr>
              <w:t>•</w:t>
            </w:r>
          </w:p>
        </w:tc>
      </w:tr>
      <w:tr w:rsidR="00510E88" w:rsidRPr="00E10816" w14:paraId="00810677" w14:textId="77777777" w:rsidTr="00481B5B">
        <w:tc>
          <w:tcPr>
            <w:tcW w:w="698" w:type="pct"/>
            <w:vAlign w:val="center"/>
          </w:tcPr>
          <w:p w14:paraId="2FBB3289" w14:textId="77777777" w:rsidR="00510E88" w:rsidRPr="00E10816" w:rsidRDefault="00510E88" w:rsidP="0003577C">
            <w:pPr>
              <w:pStyle w:val="Tabletext1"/>
              <w:spacing w:before="40" w:after="40"/>
              <w:rPr>
                <w:snapToGrid w:val="0"/>
              </w:rPr>
            </w:pPr>
            <w:r w:rsidRPr="00E10816">
              <w:rPr>
                <w:snapToGrid w:val="0"/>
              </w:rPr>
              <w:t>von Meyenfeldt (2011)</w:t>
            </w:r>
          </w:p>
        </w:tc>
        <w:tc>
          <w:tcPr>
            <w:tcW w:w="239" w:type="pct"/>
            <w:shd w:val="clear" w:color="auto" w:fill="FFFFCC"/>
            <w:vAlign w:val="center"/>
          </w:tcPr>
          <w:p w14:paraId="3B8E8DDB"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2DBDB" w:themeFill="accent2" w:themeFillTint="33"/>
            <w:vAlign w:val="center"/>
          </w:tcPr>
          <w:p w14:paraId="66E4ED76"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2DBDB" w:themeFill="accent2" w:themeFillTint="33"/>
            <w:vAlign w:val="center"/>
          </w:tcPr>
          <w:p w14:paraId="7776BF13"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EAF1DD" w:themeFill="accent3" w:themeFillTint="33"/>
            <w:vAlign w:val="center"/>
          </w:tcPr>
          <w:p w14:paraId="218D3BBB" w14:textId="77777777" w:rsidR="00510E88" w:rsidRPr="00E10816" w:rsidRDefault="00510E88" w:rsidP="0003577C">
            <w:pPr>
              <w:pStyle w:val="Tabletext1"/>
              <w:spacing w:before="40" w:after="40"/>
              <w:rPr>
                <w:rFonts w:ascii="Wingdings 2" w:hAnsi="Wingdings 2"/>
              </w:rPr>
            </w:pPr>
            <w:r w:rsidRPr="00E10816">
              <w:rPr>
                <w:rFonts w:ascii="Wingdings 2" w:hAnsi="Wingdings 2"/>
              </w:rPr>
              <w:t></w:t>
            </w:r>
          </w:p>
        </w:tc>
        <w:tc>
          <w:tcPr>
            <w:tcW w:w="239" w:type="pct"/>
            <w:shd w:val="clear" w:color="auto" w:fill="FFFFCC"/>
            <w:vAlign w:val="center"/>
          </w:tcPr>
          <w:p w14:paraId="42394A47" w14:textId="77777777" w:rsidR="00510E88" w:rsidRPr="00E10816" w:rsidRDefault="00510E88" w:rsidP="0003577C">
            <w:pPr>
              <w:pStyle w:val="Tabletext1"/>
              <w:spacing w:before="40" w:after="40"/>
            </w:pPr>
            <w:r w:rsidRPr="00E10816">
              <w:t>•</w:t>
            </w:r>
          </w:p>
        </w:tc>
        <w:tc>
          <w:tcPr>
            <w:tcW w:w="239" w:type="pct"/>
            <w:shd w:val="clear" w:color="auto" w:fill="FFFFCC"/>
            <w:vAlign w:val="center"/>
          </w:tcPr>
          <w:p w14:paraId="2AE35B5D" w14:textId="77777777" w:rsidR="00510E88" w:rsidRPr="00E10816" w:rsidRDefault="00510E88" w:rsidP="0003577C">
            <w:pPr>
              <w:pStyle w:val="Tabletext1"/>
              <w:spacing w:before="40" w:after="40"/>
            </w:pPr>
            <w:r w:rsidRPr="00E10816">
              <w:t>•</w:t>
            </w:r>
          </w:p>
        </w:tc>
        <w:tc>
          <w:tcPr>
            <w:tcW w:w="239" w:type="pct"/>
            <w:shd w:val="clear" w:color="auto" w:fill="FFFFCC"/>
            <w:vAlign w:val="center"/>
          </w:tcPr>
          <w:p w14:paraId="6F34C2E4" w14:textId="77777777" w:rsidR="00510E88" w:rsidRPr="00E10816" w:rsidRDefault="00510E88" w:rsidP="0003577C">
            <w:pPr>
              <w:pStyle w:val="Tabletext1"/>
              <w:spacing w:before="40" w:after="40"/>
            </w:pPr>
            <w:r w:rsidRPr="00E10816">
              <w:t>?</w:t>
            </w:r>
          </w:p>
        </w:tc>
        <w:tc>
          <w:tcPr>
            <w:tcW w:w="239" w:type="pct"/>
            <w:shd w:val="clear" w:color="auto" w:fill="EAF1DD" w:themeFill="accent3" w:themeFillTint="33"/>
            <w:vAlign w:val="center"/>
          </w:tcPr>
          <w:p w14:paraId="5625A94D"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DDCCE34"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1ADF9BED"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0F6D9078"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EAF1DD" w:themeFill="accent3" w:themeFillTint="33"/>
            <w:vAlign w:val="center"/>
          </w:tcPr>
          <w:p w14:paraId="794BF600"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722956DB"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36F60F50"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18B63E5E"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22834882"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21816B16"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7CF5E5E2" w14:textId="77777777" w:rsidR="00510E88" w:rsidRPr="00E10816" w:rsidRDefault="00510E88" w:rsidP="0003577C">
            <w:pPr>
              <w:pStyle w:val="Tabletext1"/>
              <w:spacing w:before="40" w:after="40"/>
              <w:rPr>
                <w:bCs/>
                <w:color w:val="000000"/>
              </w:rPr>
            </w:pPr>
            <w:r w:rsidRPr="00E10816">
              <w:rPr>
                <w:bCs/>
                <w:color w:val="000000"/>
              </w:rPr>
              <w:t>•</w:t>
            </w:r>
          </w:p>
        </w:tc>
      </w:tr>
      <w:tr w:rsidR="00510E88" w:rsidRPr="00E10816" w14:paraId="59336A04" w14:textId="77777777" w:rsidTr="00481B5B">
        <w:tc>
          <w:tcPr>
            <w:tcW w:w="698" w:type="pct"/>
            <w:vAlign w:val="center"/>
          </w:tcPr>
          <w:p w14:paraId="70E1C457" w14:textId="77777777" w:rsidR="00510E88" w:rsidRPr="00E10816" w:rsidRDefault="00510E88" w:rsidP="0003577C">
            <w:pPr>
              <w:pStyle w:val="Tabletext1"/>
              <w:spacing w:before="40" w:after="40"/>
              <w:rPr>
                <w:snapToGrid w:val="0"/>
              </w:rPr>
            </w:pPr>
            <w:r w:rsidRPr="00E10816">
              <w:rPr>
                <w:snapToGrid w:val="0"/>
              </w:rPr>
              <w:t>Yan (2006 + 2007)</w:t>
            </w:r>
          </w:p>
        </w:tc>
        <w:tc>
          <w:tcPr>
            <w:tcW w:w="239" w:type="pct"/>
            <w:shd w:val="clear" w:color="auto" w:fill="EAF1DD" w:themeFill="accent3" w:themeFillTint="33"/>
            <w:vAlign w:val="center"/>
          </w:tcPr>
          <w:p w14:paraId="203637E4"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5B0AF5A0"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4E7DE61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4EF21BC9"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3920D6C5"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3BDC1ADC"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05FF34DB"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2A9B5B40"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250867BD"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2DBDB" w:themeFill="accent2" w:themeFillTint="33"/>
            <w:vAlign w:val="center"/>
          </w:tcPr>
          <w:p w14:paraId="4E808E0F"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34D6AB78"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EAF1DD" w:themeFill="accent3" w:themeFillTint="33"/>
            <w:vAlign w:val="center"/>
          </w:tcPr>
          <w:p w14:paraId="2A7CE227"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13FCB78E"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EAF1DD" w:themeFill="accent3" w:themeFillTint="33"/>
            <w:vAlign w:val="center"/>
          </w:tcPr>
          <w:p w14:paraId="611A7DB4"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FFFCC"/>
            <w:vAlign w:val="center"/>
          </w:tcPr>
          <w:p w14:paraId="5055484B"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FFFFCC"/>
            <w:vAlign w:val="center"/>
          </w:tcPr>
          <w:p w14:paraId="72C34048" w14:textId="77777777" w:rsidR="00510E88" w:rsidRPr="00E10816" w:rsidRDefault="00510E88" w:rsidP="0003577C">
            <w:pPr>
              <w:pStyle w:val="Tabletext1"/>
              <w:spacing w:before="40" w:after="40"/>
              <w:rPr>
                <w:color w:val="000000"/>
              </w:rPr>
            </w:pPr>
            <w:r w:rsidRPr="00E10816">
              <w:rPr>
                <w:color w:val="000000"/>
              </w:rPr>
              <w:t>•</w:t>
            </w:r>
          </w:p>
        </w:tc>
        <w:tc>
          <w:tcPr>
            <w:tcW w:w="239" w:type="pct"/>
            <w:shd w:val="clear" w:color="auto" w:fill="EAF1DD" w:themeFill="accent3" w:themeFillTint="33"/>
            <w:vAlign w:val="center"/>
          </w:tcPr>
          <w:p w14:paraId="4785FE98"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c>
          <w:tcPr>
            <w:tcW w:w="239" w:type="pct"/>
            <w:shd w:val="clear" w:color="auto" w:fill="F2DBDB" w:themeFill="accent2" w:themeFillTint="33"/>
            <w:vAlign w:val="center"/>
          </w:tcPr>
          <w:p w14:paraId="7A84F18B" w14:textId="77777777" w:rsidR="00510E88" w:rsidRPr="00E10816" w:rsidRDefault="00510E88" w:rsidP="0003577C">
            <w:pPr>
              <w:pStyle w:val="Tabletext1"/>
              <w:spacing w:before="40" w:after="40"/>
              <w:rPr>
                <w:rFonts w:ascii="Wingdings 2" w:hAnsi="Wingdings 2"/>
                <w:color w:val="000000"/>
              </w:rPr>
            </w:pPr>
            <w:r w:rsidRPr="00E10816">
              <w:rPr>
                <w:rFonts w:ascii="Wingdings 2" w:hAnsi="Wingdings 2"/>
                <w:color w:val="000000"/>
              </w:rPr>
              <w:t></w:t>
            </w:r>
          </w:p>
        </w:tc>
      </w:tr>
    </w:tbl>
    <w:p w14:paraId="2476F37F" w14:textId="77777777" w:rsidR="00510E88" w:rsidRDefault="00DE44DB" w:rsidP="0003577C">
      <w:pPr>
        <w:pStyle w:val="Tablenotes0"/>
        <w:spacing w:before="0" w:after="0"/>
        <w:rPr>
          <w:rFonts w:eastAsiaTheme="minorHAnsi"/>
        </w:rPr>
      </w:pPr>
      <w:r w:rsidRPr="00DE44DB">
        <w:rPr>
          <w:rFonts w:ascii="Wingdings 2" w:eastAsiaTheme="minorHAnsi" w:hAnsi="Wingdings 2"/>
        </w:rPr>
        <w:t></w:t>
      </w:r>
      <w:r w:rsidR="001104D0">
        <w:rPr>
          <w:rFonts w:eastAsiaTheme="minorHAnsi"/>
        </w:rPr>
        <w:t xml:space="preserve"> </w:t>
      </w:r>
      <w:r>
        <w:rPr>
          <w:rFonts w:eastAsiaTheme="minorHAnsi"/>
        </w:rPr>
        <w:t>=</w:t>
      </w:r>
      <w:r w:rsidR="001104D0">
        <w:rPr>
          <w:rFonts w:eastAsiaTheme="minorHAnsi"/>
        </w:rPr>
        <w:t xml:space="preserve"> </w:t>
      </w:r>
      <w:r>
        <w:rPr>
          <w:rFonts w:eastAsiaTheme="minorHAnsi"/>
        </w:rPr>
        <w:t xml:space="preserve">yes, </w:t>
      </w:r>
      <w:r w:rsidRPr="00DE44DB">
        <w:rPr>
          <w:rFonts w:ascii="Wingdings 2" w:eastAsiaTheme="minorHAnsi" w:hAnsi="Wingdings 2"/>
        </w:rPr>
        <w:t></w:t>
      </w:r>
      <w:r w:rsidR="001104D0">
        <w:rPr>
          <w:rFonts w:eastAsiaTheme="minorHAnsi"/>
        </w:rPr>
        <w:t xml:space="preserve"> </w:t>
      </w:r>
      <w:r>
        <w:rPr>
          <w:rFonts w:eastAsiaTheme="minorHAnsi"/>
        </w:rPr>
        <w:t>=</w:t>
      </w:r>
      <w:r w:rsidR="001104D0">
        <w:rPr>
          <w:rFonts w:eastAsiaTheme="minorHAnsi"/>
        </w:rPr>
        <w:t xml:space="preserve"> </w:t>
      </w:r>
      <w:r>
        <w:rPr>
          <w:rFonts w:eastAsiaTheme="minorHAnsi"/>
        </w:rPr>
        <w:t>no,</w:t>
      </w:r>
      <w:r w:rsidRPr="00DE44DB">
        <w:rPr>
          <w:rFonts w:eastAsiaTheme="minorHAnsi"/>
        </w:rPr>
        <w:t xml:space="preserve"> •</w:t>
      </w:r>
      <w:r w:rsidR="001104D0">
        <w:rPr>
          <w:rFonts w:eastAsiaTheme="minorHAnsi"/>
        </w:rPr>
        <w:t xml:space="preserve"> </w:t>
      </w:r>
      <w:r>
        <w:rPr>
          <w:rFonts w:eastAsiaTheme="minorHAnsi"/>
        </w:rPr>
        <w:t>=</w:t>
      </w:r>
      <w:r w:rsidR="001104D0">
        <w:rPr>
          <w:rFonts w:eastAsiaTheme="minorHAnsi"/>
        </w:rPr>
        <w:t xml:space="preserve"> </w:t>
      </w:r>
      <w:r>
        <w:rPr>
          <w:rFonts w:eastAsiaTheme="minorHAnsi"/>
        </w:rPr>
        <w:t>partial</w:t>
      </w:r>
      <w:proofErr w:type="gramStart"/>
      <w:r w:rsidR="00CA6DFD">
        <w:rPr>
          <w:rFonts w:eastAsiaTheme="minorHAnsi"/>
        </w:rPr>
        <w:t>,</w:t>
      </w:r>
      <w:r w:rsidR="0035554A">
        <w:rPr>
          <w:rFonts w:eastAsiaTheme="minorHAnsi"/>
        </w:rPr>
        <w:t>?</w:t>
      </w:r>
      <w:proofErr w:type="gramEnd"/>
      <w:r w:rsidR="00CA6DFD">
        <w:rPr>
          <w:rFonts w:eastAsiaTheme="minorHAnsi"/>
        </w:rPr>
        <w:t xml:space="preserve"> =</w:t>
      </w:r>
      <w:r w:rsidR="001104D0">
        <w:rPr>
          <w:rFonts w:eastAsiaTheme="minorHAnsi"/>
        </w:rPr>
        <w:t xml:space="preserve"> </w:t>
      </w:r>
      <w:r>
        <w:rPr>
          <w:rFonts w:eastAsiaTheme="minorHAnsi"/>
        </w:rPr>
        <w:t>unclear</w:t>
      </w:r>
      <w:r w:rsidR="00F91E83">
        <w:rPr>
          <w:rFonts w:eastAsiaTheme="minorHAnsi"/>
        </w:rPr>
        <w:t>.</w:t>
      </w:r>
    </w:p>
    <w:p w14:paraId="02681307" w14:textId="77777777" w:rsidR="00510E88" w:rsidRPr="000D2505" w:rsidRDefault="00510E88" w:rsidP="0003577C">
      <w:pPr>
        <w:pStyle w:val="Tablenotes0"/>
        <w:spacing w:before="0" w:after="0"/>
        <w:rPr>
          <w:rFonts w:eastAsiaTheme="minorHAnsi"/>
        </w:rPr>
      </w:pPr>
      <w:r>
        <w:rPr>
          <w:rFonts w:eastAsiaTheme="minorHAnsi"/>
        </w:rPr>
        <w:t xml:space="preserve">Note: The IHE quality appraisal tool has been modified to remove two questions that are not applicable to this review. These include: </w:t>
      </w:r>
      <w:r w:rsidRPr="000D2505">
        <w:rPr>
          <w:rFonts w:eastAsiaTheme="minorHAnsi"/>
        </w:rPr>
        <w:t>Were additional interventions (co-interventions) clearly described?</w:t>
      </w:r>
      <w:r>
        <w:rPr>
          <w:rFonts w:eastAsiaTheme="minorHAnsi"/>
        </w:rPr>
        <w:t xml:space="preserve"> And, w</w:t>
      </w:r>
      <w:r w:rsidRPr="00510E88">
        <w:rPr>
          <w:rFonts w:eastAsiaTheme="minorHAnsi"/>
        </w:rPr>
        <w:t>ere the relevant outcome measures made before and after the intervention?</w:t>
      </w:r>
    </w:p>
    <w:p w14:paraId="5DCC1933" w14:textId="77777777" w:rsidR="00E10816" w:rsidRDefault="00E10816" w:rsidP="00E10816">
      <w:pPr>
        <w:widowControl w:val="0"/>
      </w:pPr>
    </w:p>
    <w:p w14:paraId="79EFA426" w14:textId="77777777" w:rsidR="00DE44DB" w:rsidRPr="00E10816" w:rsidRDefault="00DE44DB" w:rsidP="00E10816">
      <w:pPr>
        <w:widowControl w:val="0"/>
        <w:sectPr w:rsidR="00DE44DB" w:rsidRPr="00E10816" w:rsidSect="0024526E">
          <w:pgSz w:w="16838" w:h="11906" w:orient="landscape"/>
          <w:pgMar w:top="1440" w:right="1440" w:bottom="1440" w:left="1440" w:header="708" w:footer="708" w:gutter="0"/>
          <w:cols w:space="708"/>
          <w:docGrid w:linePitch="360"/>
        </w:sectPr>
      </w:pPr>
    </w:p>
    <w:p w14:paraId="797931D9" w14:textId="77777777" w:rsidR="00E10816" w:rsidRPr="00E10816" w:rsidRDefault="00E10816" w:rsidP="003F6C66">
      <w:pPr>
        <w:pStyle w:val="Heading3"/>
      </w:pPr>
      <w:bookmarkStart w:id="227" w:name="_Toc460396035"/>
      <w:r w:rsidRPr="00E10816">
        <w:lastRenderedPageBreak/>
        <w:t>Risk of bias for studies of radiotherapy</w:t>
      </w:r>
      <w:bookmarkEnd w:id="227"/>
    </w:p>
    <w:p w14:paraId="397A4F56" w14:textId="77777777" w:rsidR="00033303" w:rsidRPr="00BA4A9B" w:rsidRDefault="00033303" w:rsidP="00E10816">
      <w:pPr>
        <w:widowControl w:val="0"/>
        <w:rPr>
          <w:b/>
          <w:i/>
        </w:rPr>
      </w:pPr>
      <w:r w:rsidRPr="00BA4A9B">
        <w:rPr>
          <w:b/>
          <w:i/>
        </w:rPr>
        <w:t>Risk of bias associated with study design</w:t>
      </w:r>
    </w:p>
    <w:p w14:paraId="244279AD" w14:textId="77777777" w:rsidR="00E10816" w:rsidRPr="00E10816" w:rsidRDefault="00E10816" w:rsidP="00E10816">
      <w:pPr>
        <w:widowControl w:val="0"/>
      </w:pPr>
      <w:r w:rsidRPr="00E10816">
        <w:t xml:space="preserve">The overall risk of bias in the included radiotherapy studies is </w:t>
      </w:r>
      <w:r w:rsidRPr="00EF16A6">
        <w:rPr>
          <w:rFonts w:asciiTheme="minorHAnsi" w:hAnsiTheme="minorHAnsi"/>
        </w:rPr>
        <w:t xml:space="preserve">summarised in </w:t>
      </w:r>
      <w:r w:rsidRPr="00EF16A6">
        <w:rPr>
          <w:rFonts w:asciiTheme="minorHAnsi" w:hAnsiTheme="minorHAnsi"/>
        </w:rPr>
        <w:fldChar w:fldCharType="begin"/>
      </w:r>
      <w:r w:rsidRPr="00EF16A6">
        <w:rPr>
          <w:rFonts w:asciiTheme="minorHAnsi" w:hAnsiTheme="minorHAnsi"/>
        </w:rPr>
        <w:instrText xml:space="preserve"> REF _Ref456966116 \h </w:instrText>
      </w:r>
      <w:r w:rsidR="00EF16A6" w:rsidRPr="00EF16A6">
        <w:rPr>
          <w:rFonts w:asciiTheme="minorHAnsi" w:hAnsiTheme="minorHAnsi"/>
        </w:rPr>
        <w:instrText xml:space="preserve"> \* MERGEFORMAT </w:instrText>
      </w:r>
      <w:r w:rsidRPr="00EF16A6">
        <w:rPr>
          <w:rFonts w:asciiTheme="minorHAnsi" w:hAnsiTheme="minorHAnsi"/>
        </w:rPr>
      </w:r>
      <w:r w:rsidRPr="00EF16A6">
        <w:rPr>
          <w:rFonts w:asciiTheme="minorHAnsi" w:hAnsiTheme="minorHAnsi"/>
        </w:rPr>
        <w:fldChar w:fldCharType="separate"/>
      </w:r>
      <w:r w:rsidR="00D170A5" w:rsidRPr="00D170A5">
        <w:rPr>
          <w:rFonts w:asciiTheme="minorHAnsi" w:hAnsiTheme="minorHAnsi"/>
          <w:bCs/>
          <w:sz w:val="20"/>
        </w:rPr>
        <w:t xml:space="preserve">Table </w:t>
      </w:r>
      <w:r w:rsidR="00D170A5" w:rsidRPr="00D170A5">
        <w:rPr>
          <w:rFonts w:asciiTheme="minorHAnsi" w:hAnsiTheme="minorHAnsi"/>
          <w:bCs/>
          <w:noProof/>
          <w:sz w:val="20"/>
        </w:rPr>
        <w:t>24</w:t>
      </w:r>
      <w:r w:rsidRPr="00EF16A6">
        <w:rPr>
          <w:rFonts w:asciiTheme="minorHAnsi" w:hAnsiTheme="minorHAnsi"/>
        </w:rPr>
        <w:fldChar w:fldCharType="end"/>
      </w:r>
      <w:r w:rsidRPr="00EF16A6">
        <w:rPr>
          <w:rFonts w:asciiTheme="minorHAnsi" w:hAnsiTheme="minorHAnsi"/>
        </w:rPr>
        <w:t>. Detailed</w:t>
      </w:r>
      <w:r w:rsidRPr="00E10816">
        <w:t xml:space="preserve"> </w:t>
      </w:r>
      <w:r w:rsidRPr="00EF16A6">
        <w:rPr>
          <w:rFonts w:asciiTheme="minorHAnsi" w:hAnsiTheme="minorHAnsi"/>
        </w:rPr>
        <w:t xml:space="preserve">quality appraisal scores for each study are presented in </w:t>
      </w:r>
      <w:r w:rsidRPr="00EF16A6">
        <w:rPr>
          <w:rFonts w:asciiTheme="minorHAnsi" w:hAnsiTheme="minorHAnsi"/>
        </w:rPr>
        <w:fldChar w:fldCharType="begin"/>
      </w:r>
      <w:r w:rsidRPr="00EF16A6">
        <w:rPr>
          <w:rFonts w:asciiTheme="minorHAnsi" w:hAnsiTheme="minorHAnsi"/>
        </w:rPr>
        <w:instrText xml:space="preserve"> REF _Ref456966145 \h </w:instrText>
      </w:r>
      <w:r w:rsidR="00EF16A6" w:rsidRPr="00EF16A6">
        <w:rPr>
          <w:rFonts w:asciiTheme="minorHAnsi" w:hAnsiTheme="minorHAnsi"/>
        </w:rPr>
        <w:instrText xml:space="preserve"> \* MERGEFORMAT </w:instrText>
      </w:r>
      <w:r w:rsidRPr="00EF16A6">
        <w:rPr>
          <w:rFonts w:asciiTheme="minorHAnsi" w:hAnsiTheme="minorHAnsi"/>
        </w:rPr>
      </w:r>
      <w:r w:rsidRPr="00EF16A6">
        <w:rPr>
          <w:rFonts w:asciiTheme="minorHAnsi" w:hAnsiTheme="minorHAnsi"/>
        </w:rPr>
        <w:fldChar w:fldCharType="separate"/>
      </w:r>
      <w:r w:rsidR="00D170A5" w:rsidRPr="00D170A5">
        <w:rPr>
          <w:rFonts w:asciiTheme="minorHAnsi" w:hAnsiTheme="minorHAnsi"/>
          <w:bCs/>
          <w:sz w:val="20"/>
        </w:rPr>
        <w:t xml:space="preserve">Table </w:t>
      </w:r>
      <w:r w:rsidR="00D170A5" w:rsidRPr="00D170A5">
        <w:rPr>
          <w:rFonts w:asciiTheme="minorHAnsi" w:hAnsiTheme="minorHAnsi"/>
          <w:bCs/>
          <w:noProof/>
          <w:sz w:val="20"/>
        </w:rPr>
        <w:t>25</w:t>
      </w:r>
      <w:r w:rsidRPr="00EF16A6">
        <w:rPr>
          <w:rFonts w:asciiTheme="minorHAnsi" w:hAnsiTheme="minorHAnsi"/>
        </w:rPr>
        <w:fldChar w:fldCharType="end"/>
      </w:r>
      <w:r w:rsidRPr="00EF16A6">
        <w:rPr>
          <w:rFonts w:asciiTheme="minorHAnsi" w:hAnsiTheme="minorHAnsi"/>
        </w:rPr>
        <w:t xml:space="preserve"> and </w:t>
      </w:r>
      <w:r w:rsidRPr="00EF16A6">
        <w:rPr>
          <w:rFonts w:asciiTheme="minorHAnsi" w:hAnsiTheme="minorHAnsi"/>
        </w:rPr>
        <w:fldChar w:fldCharType="begin"/>
      </w:r>
      <w:r w:rsidRPr="00EF16A6">
        <w:rPr>
          <w:rFonts w:asciiTheme="minorHAnsi" w:hAnsiTheme="minorHAnsi"/>
        </w:rPr>
        <w:instrText xml:space="preserve"> REF _Ref456966146 \h </w:instrText>
      </w:r>
      <w:r w:rsidR="00EF16A6" w:rsidRPr="00EF16A6">
        <w:rPr>
          <w:rFonts w:asciiTheme="minorHAnsi" w:hAnsiTheme="minorHAnsi"/>
        </w:rPr>
        <w:instrText xml:space="preserve"> \* MERGEFORMAT </w:instrText>
      </w:r>
      <w:r w:rsidRPr="00EF16A6">
        <w:rPr>
          <w:rFonts w:asciiTheme="minorHAnsi" w:hAnsiTheme="minorHAnsi"/>
        </w:rPr>
      </w:r>
      <w:r w:rsidRPr="00EF16A6">
        <w:rPr>
          <w:rFonts w:asciiTheme="minorHAnsi" w:hAnsiTheme="minorHAnsi"/>
        </w:rPr>
        <w:fldChar w:fldCharType="separate"/>
      </w:r>
      <w:r w:rsidR="00D170A5" w:rsidRPr="00D170A5">
        <w:rPr>
          <w:rFonts w:asciiTheme="minorHAnsi" w:hAnsiTheme="minorHAnsi"/>
          <w:bCs/>
          <w:sz w:val="20"/>
        </w:rPr>
        <w:t xml:space="preserve">Table </w:t>
      </w:r>
      <w:r w:rsidR="00D170A5" w:rsidRPr="00D170A5">
        <w:rPr>
          <w:rFonts w:asciiTheme="minorHAnsi" w:hAnsiTheme="minorHAnsi"/>
          <w:bCs/>
          <w:noProof/>
          <w:sz w:val="20"/>
        </w:rPr>
        <w:t>26</w:t>
      </w:r>
      <w:r w:rsidRPr="00EF16A6">
        <w:rPr>
          <w:rFonts w:asciiTheme="minorHAnsi" w:hAnsiTheme="minorHAnsi"/>
        </w:rPr>
        <w:fldChar w:fldCharType="end"/>
      </w:r>
      <w:r w:rsidRPr="00EF16A6">
        <w:rPr>
          <w:rFonts w:asciiTheme="minorHAnsi" w:hAnsiTheme="minorHAnsi"/>
        </w:rPr>
        <w:t>.</w:t>
      </w:r>
    </w:p>
    <w:p w14:paraId="254296C0" w14:textId="77777777" w:rsidR="00033303" w:rsidRDefault="00E10816" w:rsidP="00E10816">
      <w:pPr>
        <w:widowControl w:val="0"/>
      </w:pPr>
      <w:r w:rsidRPr="00E10816">
        <w:t>In population one, two RCTs and four non-</w:t>
      </w:r>
      <w:r w:rsidR="00F10E79">
        <w:t>randomised controlled trial</w:t>
      </w:r>
      <w:r w:rsidR="00F10E79" w:rsidRPr="00E10816">
        <w:t xml:space="preserve">s </w:t>
      </w:r>
      <w:r w:rsidRPr="00E10816">
        <w:t xml:space="preserve">of current best practice radiotherapy for early stage NSCLC were identified. Included studies investigated SBRT compared to conventional radiotherapy and no therapy, single-fraction SBRT compared to multi-fraction SBRT, and radical radiotherapy compared to radical radiotherapy plus chemotherapy. The results of the comparative data give a more reliable estimate of the effectiveness and safety of radiotherapy compared to case series evidence, but cannot directly inform the relative effectiveness or safety of radiotherapy compared to MTA or RFA. </w:t>
      </w:r>
    </w:p>
    <w:p w14:paraId="069E005F" w14:textId="4DD78B70" w:rsidR="00033303" w:rsidRDefault="00033303" w:rsidP="00E10816">
      <w:pPr>
        <w:widowControl w:val="0"/>
      </w:pPr>
      <w:r w:rsidRPr="00E10816">
        <w:t>In population two, the majority of the identified studies that reported safety and effectiveness were case series (k</w:t>
      </w:r>
      <w:r w:rsidR="001104D0">
        <w:t xml:space="preserve"> </w:t>
      </w:r>
      <w:r w:rsidRPr="00E10816">
        <w:t>=</w:t>
      </w:r>
      <w:r w:rsidR="001104D0">
        <w:t xml:space="preserve"> </w:t>
      </w:r>
      <w:r w:rsidRPr="00E10816">
        <w:t xml:space="preserve">14/17). The risk of bias in case series studies is inherently high, due to the lack of comparison to an alternate therapy. Three comparative studies were also identified, which compared single- and multi-fraction SBRT schedules </w:t>
      </w:r>
      <w:r w:rsidRPr="00E10816">
        <w:fldChar w:fldCharType="begin">
          <w:fldData xml:space="preserve">PEVuZE5vdGU+PENpdGU+PEF1dGhvcj5TaXZhPC9BdXRob3I+PFllYXI+MjAxNTwvWWVhcj48UmVj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</w:fldData>
        </w:fldChar>
      </w:r>
      <w:r w:rsidR="00194054">
        <w:instrText xml:space="preserve"> ADDIN EN.CITE </w:instrText>
      </w:r>
      <w:r w:rsidR="00194054">
        <w:fldChar w:fldCharType="begin">
          <w:fldData xml:space="preserve">PEVuZE5vdGU+PENpdGU+PEF1dGhvcj5TaXZhPC9BdXRob3I+PFllYXI+MjAxNTwvWWVhcj48UmVj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</w:fldData>
        </w:fldChar>
      </w:r>
      <w:r w:rsidR="00194054">
        <w:instrText xml:space="preserve"> ADDIN EN.CITE.DATA </w:instrText>
      </w:r>
      <w:r w:rsidR="00194054">
        <w:fldChar w:fldCharType="end"/>
      </w:r>
      <w:r w:rsidRPr="00E10816">
        <w:fldChar w:fldCharType="separate"/>
      </w:r>
      <w:r w:rsidRPr="00E10816">
        <w:rPr>
          <w:noProof/>
        </w:rPr>
        <w:t>(</w:t>
      </w:r>
      <w:hyperlink w:anchor="_ENREF_144" w:tooltip="Siva, 2015 #156" w:history="1">
        <w:r w:rsidR="00320458" w:rsidRPr="00E10816">
          <w:rPr>
            <w:noProof/>
          </w:rPr>
          <w:t>Siva et al 2015</w:t>
        </w:r>
      </w:hyperlink>
      <w:r w:rsidRPr="00E10816">
        <w:rPr>
          <w:noProof/>
        </w:rPr>
        <w:t>)</w:t>
      </w:r>
      <w:r w:rsidRPr="00E10816">
        <w:fldChar w:fldCharType="end"/>
      </w:r>
      <w:r w:rsidRPr="00E10816">
        <w:t xml:space="preserve">, or compared SBRT </w:t>
      </w:r>
      <w:r w:rsidR="00F10E79">
        <w:t>and</w:t>
      </w:r>
      <w:r w:rsidR="00F10E79" w:rsidRPr="00E10816">
        <w:t xml:space="preserve"> </w:t>
      </w:r>
      <w:r w:rsidRPr="00E10816">
        <w:t xml:space="preserve">surgery </w:t>
      </w:r>
      <w:r w:rsidRPr="00E10816">
        <w:fldChar w:fldCharType="begin">
          <w:fldData xml:space="preserve">PEVuZE5vdGU+PENpdGU+PEF1dGhvcj5XaWRkZXI8L0F1dGhvcj48WWVhcj4yMDEzPC9ZZWFyPjxS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</w:fldData>
        </w:fldChar>
      </w:r>
      <w:r w:rsidR="00194054">
        <w:instrText xml:space="preserve"> ADDIN EN.CITE </w:instrText>
      </w:r>
      <w:r w:rsidR="00194054">
        <w:fldChar w:fldCharType="begin">
          <w:fldData xml:space="preserve">PEVuZE5vdGU+PENpdGU+PEF1dGhvcj5XaWRkZXI8L0F1dGhvcj48WWVhcj4yMDEzPC9ZZWFyPjxS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</w:fldData>
        </w:fldChar>
      </w:r>
      <w:r w:rsidR="00194054">
        <w:instrText xml:space="preserve"> ADDIN EN.CITE.DATA </w:instrText>
      </w:r>
      <w:r w:rsidR="00194054">
        <w:fldChar w:fldCharType="end"/>
      </w:r>
      <w:r w:rsidRPr="00E10816">
        <w:fldChar w:fldCharType="separate"/>
      </w:r>
      <w:r w:rsidRPr="00E10816">
        <w:rPr>
          <w:noProof/>
        </w:rPr>
        <w:t>(</w:t>
      </w:r>
      <w:hyperlink w:anchor="_ENREF_171" w:tooltip="Widder, 2013 #157" w:history="1">
        <w:r w:rsidR="00320458" w:rsidRPr="00E10816">
          <w:rPr>
            <w:noProof/>
          </w:rPr>
          <w:t>Widder et al 2013</w:t>
        </w:r>
      </w:hyperlink>
      <w:r w:rsidRPr="00E10816">
        <w:rPr>
          <w:noProof/>
        </w:rPr>
        <w:t xml:space="preserve">; </w:t>
      </w:r>
      <w:hyperlink w:anchor="_ENREF_180" w:tooltip="Yu, 2014 #158" w:history="1">
        <w:r w:rsidR="00320458" w:rsidRPr="00E10816">
          <w:rPr>
            <w:noProof/>
          </w:rPr>
          <w:t>Yu et al 2014</w:t>
        </w:r>
      </w:hyperlink>
      <w:r w:rsidRPr="00E10816">
        <w:rPr>
          <w:noProof/>
        </w:rPr>
        <w:t>)</w:t>
      </w:r>
      <w:r w:rsidRPr="00E10816">
        <w:fldChar w:fldCharType="end"/>
      </w:r>
      <w:r w:rsidRPr="00E10816">
        <w:t>.</w:t>
      </w:r>
    </w:p>
    <w:p w14:paraId="7680EDF6" w14:textId="0719FB83" w:rsidR="00033303" w:rsidRPr="00E10816" w:rsidRDefault="00033303" w:rsidP="00033303">
      <w:pPr>
        <w:widowControl w:val="0"/>
      </w:pPr>
      <w:r w:rsidRPr="00E10816">
        <w:t>In the Cochrane review of palliative radiotherapy for lung cancer</w:t>
      </w:r>
      <w:r w:rsidR="006526D6">
        <w:t xml:space="preserve"> (population three)</w:t>
      </w:r>
      <w:r w:rsidRPr="00E10816">
        <w:t xml:space="preserve">, risk of bias was ranked according to the Cochrane risk of bias tool </w:t>
      </w:r>
      <w:r w:rsidRPr="00E10816">
        <w:fldChar w:fldCharType="begin"/>
      </w:r>
      <w:r w:rsidR="006A4E2A">
        <w:instrText xml:space="preserve"> ADDIN EN.CITE &lt;EndNote&gt;&lt;Cite&gt;&lt;Author&gt;Higgins&lt;/Author&gt;&lt;Year&gt;2011&lt;/Year&gt;&lt;RecNum&gt;180&lt;/RecNum&gt;&lt;DisplayText&gt;(Higgins et al 2011)&lt;/DisplayText&gt;&lt;record&gt;&lt;rec-number&gt;180&lt;/rec-number&gt;&lt;foreign-keys&gt;&lt;key app="EN" db-id="05ssdaw2cf0zvye5xvo5z9ww0xdpfstrdtew" timestamp="1469149482"&gt;180&lt;/key&gt;&lt;/foreign-keys&gt;&lt;ref-type name="Journal Article"&gt;17&lt;/ref-type&gt;&lt;contributors&gt;&lt;authors&gt;&lt;author&gt;Higgins, Julian P T&lt;/author&gt;&lt;author&gt;Altman, Douglas G&lt;/author&gt;&lt;author&gt;Gøtzsche, Peter C&lt;/author&gt;&lt;author&gt;Jüni, Peter&lt;/author&gt;&lt;author&gt;Moher, David&lt;/author&gt;&lt;author&gt;Oxman, Andrew D&lt;/author&gt;&lt;author&gt;Savović, Jelena&lt;/author&gt;&lt;author&gt;Schulz, Kenneth F&lt;/author&gt;&lt;author&gt;Weeks, Laura&lt;/author&gt;&lt;author&gt;Sterne, Jonathan A C&lt;/author&gt;&lt;/authors&gt;&lt;/contributors&gt;&lt;titles&gt;&lt;title&gt;The Cochrane Collaboration’s tool for assessing risk of bias in randomised trials&lt;/title&gt;&lt;secondary-title&gt;BMJ&lt;/secondary-title&gt;&lt;/titles&gt;&lt;periodical&gt;&lt;full-title&gt;BMJ&lt;/full-title&gt;&lt;/periodical&gt;&lt;pages&gt;d5928&lt;/pages&gt;&lt;volume&gt;343&lt;/volume&gt;&lt;dates&gt;&lt;year&gt;2011&lt;/year&gt;&lt;pub-dates&gt;&lt;date&gt;2011-10-18 10:55:48&lt;/date&gt;&lt;/pub-dates&gt;&lt;/dates&gt;&lt;urls&gt;&lt;related-urls&gt;&lt;url&gt;http://www.bmj.com/content/bmj/343/bmj.d5928.full.pdf&lt;/url&gt;&lt;/related-urls&gt;&lt;/urls&gt;&lt;electronic-resource-num&gt;10.1136/bmj.d5928&lt;/electronic-resource-num&gt;&lt;/record&gt;&lt;/Cite&gt;&lt;/EndNote&gt;</w:instrText>
      </w:r>
      <w:r w:rsidRPr="00E10816">
        <w:fldChar w:fldCharType="separate"/>
      </w:r>
      <w:r w:rsidRPr="00E10816">
        <w:rPr>
          <w:noProof/>
        </w:rPr>
        <w:t>(</w:t>
      </w:r>
      <w:hyperlink w:anchor="_ENREF_67" w:tooltip="Higgins, 2011 #180" w:history="1">
        <w:r w:rsidR="00320458" w:rsidRPr="00E10816">
          <w:rPr>
            <w:noProof/>
          </w:rPr>
          <w:t>Higgins et al 2011</w:t>
        </w:r>
      </w:hyperlink>
      <w:r w:rsidRPr="00E10816">
        <w:rPr>
          <w:noProof/>
        </w:rPr>
        <w:t>)</w:t>
      </w:r>
      <w:r w:rsidRPr="00E10816">
        <w:fldChar w:fldCharType="end"/>
      </w:r>
      <w:r w:rsidRPr="00E10816">
        <w:t xml:space="preserve">. Studies were evaluated according to random sequence generation, blinding, incomplete outcome data, selective reporting and other biases. Blinding of patients and treating physicians to treatment allocation was not included as a quality criteria, as it was unlikely to affect the risk of bias in reported outcomes </w:t>
      </w:r>
      <w:r w:rsidRPr="00E10816">
        <w:fldChar w:fldCharType="begin"/>
      </w:r>
      <w:r w:rsidR="00194054">
        <w:instrText xml:space="preserve"> ADDIN EN.CITE &lt;EndNote&gt;&lt;Cite&gt;&lt;Author&gt;Stevens&lt;/Author&gt;&lt;Year&gt;2015&lt;/Year&gt;&lt;RecNum&gt;159&lt;/RecNum&gt;&lt;DisplayText&gt;(Stevens et al 2015)&lt;/DisplayText&gt;&lt;record&gt;&lt;rec-number&gt;159&lt;/rec-number&gt;&lt;foreign-keys&gt;&lt;key app="EN" db-id="05ssdaw2cf0zvye5xvo5z9ww0xdpfstrdtew" timestamp="1469142663"&gt;159&lt;/key&gt;&lt;/foreign-keys&gt;&lt;ref-type name="Journal Article"&gt;17&lt;/ref-type&gt;&lt;contributors&gt;&lt;authors&gt;&lt;author&gt;Stevens, R.&lt;/author&gt;&lt;author&gt;Macbeth, F.&lt;/author&gt;&lt;author&gt;Toy, E.&lt;/author&gt;&lt;author&gt;Coles, B.&lt;/author&gt;&lt;author&gt;Lester, J. F.&lt;/author&gt;&lt;/authors&gt;&lt;/contributors&gt;&lt;auth-address&gt;Beatson West of Scotland Cancer Centre, Glasgow, UK.&lt;/auth-address&gt;&lt;titles&gt;&lt;title&gt;Palliative radiotherapy regimens for patients with thoracic symptoms from non-small cell lung cancer&lt;/title&gt;&lt;secondary-title&gt;Cochrane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002143&lt;/pages&gt;&lt;volume&gt;1&lt;/volume&gt;&lt;edition&gt;2015/01/15&lt;/edition&gt;&lt;dates&gt;&lt;year&gt;2015&lt;/year&gt;&lt;/dates&gt;&lt;isbn&gt;1361-6137&lt;/isbn&gt;&lt;accession-num&gt;25586198&lt;/accession-num&gt;&lt;urls&gt;&lt;/urls&gt;&lt;electronic-resource-num&gt;10.1002/14651858.CD002143.pub4&lt;/electronic-resource-num&gt;&lt;remote-database-provider&gt;NLM&lt;/remote-database-provider&gt;&lt;language&gt;eng&lt;/language&gt;&lt;/record&gt;&lt;/Cite&gt;&lt;/EndNote&gt;</w:instrText>
      </w:r>
      <w:r w:rsidRPr="00E10816">
        <w:fldChar w:fldCharType="separate"/>
      </w:r>
      <w:r w:rsidRPr="00E10816">
        <w:rPr>
          <w:noProof/>
        </w:rPr>
        <w:t>(</w:t>
      </w:r>
      <w:hyperlink w:anchor="_ENREF_148" w:tooltip="Stevens, 2015 #159" w:history="1">
        <w:r w:rsidR="00320458" w:rsidRPr="00E10816">
          <w:rPr>
            <w:noProof/>
          </w:rPr>
          <w:t>Stevens et al 2015</w:t>
        </w:r>
      </w:hyperlink>
      <w:r w:rsidRPr="00E10816">
        <w:rPr>
          <w:noProof/>
        </w:rPr>
        <w:t>)</w:t>
      </w:r>
      <w:r w:rsidRPr="00E10816">
        <w:fldChar w:fldCharType="end"/>
      </w:r>
      <w:r w:rsidRPr="00E10816">
        <w:t>. Overall, the risk of bias across included studies was low.</w:t>
      </w:r>
    </w:p>
    <w:p w14:paraId="4B35F213" w14:textId="77777777" w:rsidR="00033303" w:rsidRPr="00BA4A9B" w:rsidRDefault="00033303" w:rsidP="00E10816">
      <w:pPr>
        <w:widowControl w:val="0"/>
        <w:rPr>
          <w:b/>
          <w:i/>
        </w:rPr>
      </w:pPr>
      <w:r w:rsidRPr="00BA4A9B">
        <w:rPr>
          <w:b/>
          <w:i/>
        </w:rPr>
        <w:t>Selection bias</w:t>
      </w:r>
    </w:p>
    <w:p w14:paraId="6F94988B" w14:textId="77777777" w:rsidR="00033303" w:rsidRDefault="00033303" w:rsidP="00E10816">
      <w:pPr>
        <w:widowControl w:val="0"/>
      </w:pPr>
      <w:r>
        <w:t>Most of the included studies reported both inclusion and exclusion criteria and there were a number of RCTs and comparative trials. However, within the case series evidence</w:t>
      </w:r>
      <w:r w:rsidR="007150EE">
        <w:t>,</w:t>
      </w:r>
      <w:r>
        <w:t xml:space="preserve"> differences in inclusion criteria that may have a prognostic impact may have contributed to variation in the outcomes. Most studies did not adjust for potential confounders in the analysis. </w:t>
      </w:r>
    </w:p>
    <w:p w14:paraId="32ACFDF0" w14:textId="77777777" w:rsidR="00033303" w:rsidRPr="00BA4A9B" w:rsidRDefault="00033303" w:rsidP="00E10816">
      <w:pPr>
        <w:widowControl w:val="0"/>
        <w:rPr>
          <w:b/>
          <w:i/>
        </w:rPr>
      </w:pPr>
      <w:r w:rsidRPr="00BA4A9B">
        <w:rPr>
          <w:b/>
          <w:i/>
        </w:rPr>
        <w:t>Performance bias and detection bias</w:t>
      </w:r>
    </w:p>
    <w:p w14:paraId="3196BA54" w14:textId="77777777" w:rsidR="00033303" w:rsidRDefault="00E10816" w:rsidP="00E10816">
      <w:pPr>
        <w:widowControl w:val="0"/>
      </w:pPr>
      <w:r w:rsidRPr="00E10816">
        <w:t xml:space="preserve">None of the reported trials included for population one reported the method of randomisation (if relevant), nor whether the subjects or assessors were blinded to the intervention. </w:t>
      </w:r>
      <w:r w:rsidR="00033303">
        <w:t xml:space="preserve">Case series </w:t>
      </w:r>
      <w:r w:rsidR="006526D6">
        <w:t xml:space="preserve">studies </w:t>
      </w:r>
      <w:r w:rsidR="00033303">
        <w:t xml:space="preserve">were predominantly retrospective. </w:t>
      </w:r>
      <w:r w:rsidR="006526D6">
        <w:t>Concerns</w:t>
      </w:r>
      <w:r w:rsidR="00033303">
        <w:t xml:space="preserve"> with reporting </w:t>
      </w:r>
      <w:r w:rsidR="006526D6">
        <w:t>limited interpretation of</w:t>
      </w:r>
      <w:r w:rsidR="00033303">
        <w:t xml:space="preserve"> the relationship between the intervention and outcomes.</w:t>
      </w:r>
    </w:p>
    <w:p w14:paraId="7E76EFB2" w14:textId="77777777" w:rsidR="00033303" w:rsidRPr="00BA4A9B" w:rsidRDefault="00033303" w:rsidP="00E10816">
      <w:pPr>
        <w:widowControl w:val="0"/>
        <w:rPr>
          <w:b/>
        </w:rPr>
      </w:pPr>
      <w:r w:rsidRPr="00BA4A9B">
        <w:rPr>
          <w:b/>
          <w:i/>
        </w:rPr>
        <w:lastRenderedPageBreak/>
        <w:t>Attrition bias and reporting bias</w:t>
      </w:r>
      <w:r w:rsidRPr="00BA4A9B">
        <w:rPr>
          <w:b/>
        </w:rPr>
        <w:t xml:space="preserve"> </w:t>
      </w:r>
    </w:p>
    <w:p w14:paraId="33D66EEF" w14:textId="59CB08FC" w:rsidR="00033303" w:rsidRDefault="007150EE" w:rsidP="00E10816">
      <w:pPr>
        <w:widowControl w:val="0"/>
      </w:pPr>
      <w:r>
        <w:t>In general</w:t>
      </w:r>
      <w:r w:rsidR="008D3899">
        <w:t>,</w:t>
      </w:r>
      <w:r>
        <w:t xml:space="preserve"> it is not clear within retrospective case series studies whether certain outcomes were omitted because they were not collected, or because they were incomplete.</w:t>
      </w:r>
      <w:r w:rsidR="00033303" w:rsidRPr="00033303">
        <w:t xml:space="preserve"> </w:t>
      </w:r>
      <w:r w:rsidR="006526D6">
        <w:t>Reporting of outcomes across the case series evidence was not comprehensive and approach to losses to follow-up was often unclear</w:t>
      </w:r>
      <w:r>
        <w:t xml:space="preserve">. </w:t>
      </w:r>
      <w:r w:rsidR="00033303" w:rsidRPr="00033303">
        <w:t xml:space="preserve"> Similarly, losses to follow up were </w:t>
      </w:r>
      <w:r>
        <w:t xml:space="preserve">also </w:t>
      </w:r>
      <w:r w:rsidR="00033303" w:rsidRPr="00033303">
        <w:t>poorly reported in comparative trials.</w:t>
      </w:r>
    </w:p>
    <w:p w14:paraId="446A969F" w14:textId="77777777" w:rsidR="00033303" w:rsidRPr="00BA4A9B" w:rsidRDefault="00033303" w:rsidP="00E10816">
      <w:pPr>
        <w:widowControl w:val="0"/>
        <w:rPr>
          <w:b/>
          <w:i/>
        </w:rPr>
      </w:pPr>
      <w:r w:rsidRPr="00BA4A9B">
        <w:rPr>
          <w:b/>
          <w:i/>
        </w:rPr>
        <w:t>Populations</w:t>
      </w:r>
    </w:p>
    <w:p w14:paraId="48213CC2" w14:textId="77777777" w:rsidR="00033303" w:rsidRDefault="00033303" w:rsidP="00E10816">
      <w:pPr>
        <w:widowControl w:val="0"/>
      </w:pPr>
      <w:r w:rsidRPr="00033303">
        <w:t xml:space="preserve">Study populations are discussed in more detail in </w:t>
      </w:r>
      <w:r w:rsidR="006526D6">
        <w:t>S</w:t>
      </w:r>
      <w:r w:rsidR="006526D6" w:rsidRPr="00033303">
        <w:t xml:space="preserve">ection </w:t>
      </w:r>
      <w:r w:rsidRPr="00033303">
        <w:t>B.4.</w:t>
      </w:r>
    </w:p>
    <w:p w14:paraId="3E24C701" w14:textId="77777777" w:rsidR="00033303" w:rsidRPr="00BA4A9B" w:rsidRDefault="00033303" w:rsidP="00E10816">
      <w:pPr>
        <w:widowControl w:val="0"/>
        <w:rPr>
          <w:b/>
          <w:i/>
        </w:rPr>
      </w:pPr>
      <w:r w:rsidRPr="00BA4A9B">
        <w:rPr>
          <w:b/>
          <w:i/>
        </w:rPr>
        <w:t>Risk of bias across the outcome reporting</w:t>
      </w:r>
    </w:p>
    <w:p w14:paraId="23F333C0" w14:textId="77777777" w:rsidR="00E10816" w:rsidRPr="00E10816" w:rsidRDefault="00033303" w:rsidP="00E10816">
      <w:pPr>
        <w:widowControl w:val="0"/>
      </w:pPr>
      <w:r w:rsidRPr="00033303">
        <w:t>The available evidence is inconsistent both in terms of which outcomes were measured and how they were assessed and reported within studies</w:t>
      </w:r>
      <w:r>
        <w:t xml:space="preserve">. </w:t>
      </w:r>
      <w:r w:rsidR="00E10816" w:rsidRPr="00E10816">
        <w:t>Price et al (2012), Videtic et al (2015) and Lucas et al (2015) reported adverse events according to the NCI-CTCAE, while Jeppsen et al (2013) did not define ho</w:t>
      </w:r>
      <w:r>
        <w:t xml:space="preserve">w adverse events were recorded. </w:t>
      </w:r>
      <w:r w:rsidR="00E10816" w:rsidRPr="00E10816">
        <w:t>Ten case series investigations reported adverse events according to the NCI-CTCAE criteria (k</w:t>
      </w:r>
      <w:r w:rsidR="001104D0">
        <w:t xml:space="preserve"> </w:t>
      </w:r>
      <w:r w:rsidR="00E10816" w:rsidRPr="00E10816">
        <w:t>=</w:t>
      </w:r>
      <w:r w:rsidR="001104D0">
        <w:t xml:space="preserve"> </w:t>
      </w:r>
      <w:r w:rsidR="00E10816" w:rsidRPr="00E10816">
        <w:t xml:space="preserve">10), two reported adverse events according to the </w:t>
      </w:r>
      <w:r w:rsidR="00520405" w:rsidRPr="00682B2A">
        <w:rPr>
          <w:rFonts w:asciiTheme="minorHAnsi" w:hAnsiTheme="minorHAnsi"/>
          <w:color w:val="000000"/>
        </w:rPr>
        <w:t>Randomised controlled trial Radiation Therapy Oncology Group</w:t>
      </w:r>
      <w:r w:rsidR="00520405">
        <w:t xml:space="preserve"> (</w:t>
      </w:r>
      <w:r w:rsidR="00E10816" w:rsidRPr="00E10816">
        <w:t>RTOG</w:t>
      </w:r>
      <w:r w:rsidR="00520405">
        <w:t>)</w:t>
      </w:r>
      <w:r w:rsidR="00E10816" w:rsidRPr="00E10816">
        <w:t xml:space="preserve"> criteria, and two reported adverse events according to both NCI-CTCAE and RTOG criteria. </w:t>
      </w:r>
    </w:p>
    <w:p w14:paraId="4415240B" w14:textId="2FEE354C" w:rsidR="00E10816" w:rsidRPr="00E10816" w:rsidRDefault="00E10816" w:rsidP="001163D9">
      <w:pPr>
        <w:pStyle w:val="TableHeading"/>
      </w:pPr>
      <w:bookmarkStart w:id="228" w:name="_Ref456966116"/>
      <w:bookmarkStart w:id="229" w:name="_Toc460514682"/>
      <w:r w:rsidRPr="00E10816">
        <w:t xml:space="preserve">Table </w:t>
      </w:r>
      <w:fldSimple w:instr=" SEQ Table \* ARABIC ">
        <w:r w:rsidR="00D170A5">
          <w:rPr>
            <w:noProof/>
          </w:rPr>
          <w:t>24</w:t>
        </w:r>
      </w:fldSimple>
      <w:bookmarkEnd w:id="228"/>
      <w:r w:rsidRPr="00E10816">
        <w:tab/>
        <w:t>Risk of bias and quality appraisal for Radiotherapy</w:t>
      </w:r>
      <w:r w:rsidR="008721C5">
        <w:t xml:space="preserve"> studies</w:t>
      </w:r>
      <w:bookmarkEnd w:id="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2154"/>
        <w:gridCol w:w="2269"/>
        <w:gridCol w:w="3402"/>
        <w:gridCol w:w="1257"/>
      </w:tblGrid>
      <w:tr w:rsidR="008D3899" w:rsidRPr="00E10816" w14:paraId="4F9B2841" w14:textId="77777777" w:rsidTr="008D3899">
        <w:tc>
          <w:tcPr>
            <w:tcW w:w="1186" w:type="pct"/>
            <w:shd w:val="clear" w:color="auto" w:fill="D9D9D9" w:themeFill="background1" w:themeFillShade="D9"/>
            <w:vAlign w:val="bottom"/>
          </w:tcPr>
          <w:p w14:paraId="7A1484EC" w14:textId="77777777" w:rsidR="00E10816" w:rsidRPr="00BA4A9B" w:rsidRDefault="00E10816" w:rsidP="00BA4A9B">
            <w:pPr>
              <w:pStyle w:val="Tabletext1"/>
              <w:rPr>
                <w:b/>
                <w:snapToGrid w:val="0"/>
                <w:lang w:eastAsia="en-US"/>
              </w:rPr>
            </w:pPr>
            <w:r w:rsidRPr="00BA4A9B">
              <w:rPr>
                <w:b/>
                <w:snapToGrid w:val="0"/>
                <w:lang w:eastAsia="en-US"/>
              </w:rPr>
              <w:t>Intervention and population</w:t>
            </w:r>
          </w:p>
        </w:tc>
        <w:tc>
          <w:tcPr>
            <w:tcW w:w="1249" w:type="pct"/>
            <w:shd w:val="clear" w:color="auto" w:fill="D9D9D9" w:themeFill="background1" w:themeFillShade="D9"/>
            <w:vAlign w:val="bottom"/>
          </w:tcPr>
          <w:p w14:paraId="003C4427" w14:textId="2D7AA94C" w:rsidR="00E10816" w:rsidRPr="00BA4A9B" w:rsidRDefault="008721C5" w:rsidP="008721C5">
            <w:pPr>
              <w:pStyle w:val="Tabletext1"/>
              <w:rPr>
                <w:b/>
                <w:snapToGrid w:val="0"/>
                <w:lang w:eastAsia="en-US"/>
              </w:rPr>
            </w:pPr>
            <w:r>
              <w:rPr>
                <w:b/>
                <w:snapToGrid w:val="0"/>
                <w:lang w:eastAsia="en-US"/>
              </w:rPr>
              <w:t xml:space="preserve">Number of studies (patients), </w:t>
            </w:r>
            <w:r w:rsidR="00E10816" w:rsidRPr="00BA4A9B">
              <w:rPr>
                <w:b/>
                <w:snapToGrid w:val="0"/>
                <w:lang w:eastAsia="en-US"/>
              </w:rPr>
              <w:t>level of evidence</w:t>
            </w:r>
          </w:p>
        </w:tc>
        <w:tc>
          <w:tcPr>
            <w:tcW w:w="1873" w:type="pct"/>
            <w:shd w:val="clear" w:color="auto" w:fill="D9D9D9" w:themeFill="background1" w:themeFillShade="D9"/>
            <w:vAlign w:val="bottom"/>
          </w:tcPr>
          <w:p w14:paraId="230F4DBB" w14:textId="77777777" w:rsidR="00E10816" w:rsidRPr="00BA4A9B" w:rsidRDefault="00E10816" w:rsidP="00BA4A9B">
            <w:pPr>
              <w:pStyle w:val="Tabletext1"/>
              <w:rPr>
                <w:b/>
                <w:snapToGrid w:val="0"/>
                <w:lang w:eastAsia="en-US"/>
              </w:rPr>
            </w:pPr>
            <w:r w:rsidRPr="00BA4A9B">
              <w:rPr>
                <w:b/>
                <w:snapToGrid w:val="0"/>
                <w:lang w:eastAsia="en-US"/>
              </w:rPr>
              <w:t>Reporting/quality concerns</w:t>
            </w:r>
          </w:p>
        </w:tc>
        <w:tc>
          <w:tcPr>
            <w:tcW w:w="692" w:type="pct"/>
            <w:shd w:val="clear" w:color="auto" w:fill="D9D9D9" w:themeFill="background1" w:themeFillShade="D9"/>
            <w:vAlign w:val="bottom"/>
          </w:tcPr>
          <w:p w14:paraId="1D25D64E" w14:textId="77777777" w:rsidR="00E10816" w:rsidRPr="00BA4A9B" w:rsidRDefault="00E10816" w:rsidP="00BA4A9B">
            <w:pPr>
              <w:pStyle w:val="Tabletext1"/>
              <w:rPr>
                <w:b/>
                <w:snapToGrid w:val="0"/>
                <w:lang w:eastAsia="en-US"/>
              </w:rPr>
            </w:pPr>
            <w:r w:rsidRPr="00BA4A9B">
              <w:rPr>
                <w:b/>
                <w:snapToGrid w:val="0"/>
                <w:lang w:eastAsia="en-US"/>
              </w:rPr>
              <w:t>Risk of bias</w:t>
            </w:r>
          </w:p>
        </w:tc>
      </w:tr>
      <w:tr w:rsidR="008D3899" w:rsidRPr="00E10816" w14:paraId="331C7FAE" w14:textId="77777777" w:rsidTr="008D3899">
        <w:tc>
          <w:tcPr>
            <w:tcW w:w="1186" w:type="pct"/>
            <w:shd w:val="clear" w:color="auto" w:fill="auto"/>
          </w:tcPr>
          <w:p w14:paraId="0E642F1E" w14:textId="77777777" w:rsidR="00E10816" w:rsidRPr="00E10816" w:rsidRDefault="00E10816" w:rsidP="00BA4A9B">
            <w:pPr>
              <w:pStyle w:val="Tabletext1"/>
              <w:rPr>
                <w:snapToGrid w:val="0"/>
                <w:lang w:eastAsia="en-US"/>
              </w:rPr>
            </w:pPr>
            <w:r w:rsidRPr="00E10816">
              <w:rPr>
                <w:snapToGrid w:val="0"/>
                <w:lang w:eastAsia="en-US"/>
              </w:rPr>
              <w:t>Radiotherapy for early stage NSCLC. Patients were ineligible for resection or refused surgery</w:t>
            </w:r>
          </w:p>
        </w:tc>
        <w:tc>
          <w:tcPr>
            <w:tcW w:w="1249" w:type="pct"/>
            <w:shd w:val="clear" w:color="auto" w:fill="auto"/>
          </w:tcPr>
          <w:p w14:paraId="34703BC9" w14:textId="77777777" w:rsidR="00E10816" w:rsidRPr="00E10816" w:rsidRDefault="00E10816" w:rsidP="00BA4A9B">
            <w:pPr>
              <w:pStyle w:val="Tabletext1"/>
              <w:rPr>
                <w:snapToGrid w:val="0"/>
                <w:lang w:eastAsia="en-US"/>
              </w:rPr>
            </w:pPr>
            <w:r w:rsidRPr="00E10816">
              <w:rPr>
                <w:snapToGrid w:val="0"/>
                <w:lang w:eastAsia="en-US"/>
              </w:rPr>
              <w:t>2 (195), Level II</w:t>
            </w:r>
          </w:p>
          <w:p w14:paraId="50B2561A" w14:textId="77777777" w:rsidR="00E10816" w:rsidRPr="00E10816" w:rsidRDefault="00E10816" w:rsidP="00BA4A9B">
            <w:pPr>
              <w:pStyle w:val="Tabletext1"/>
              <w:rPr>
                <w:snapToGrid w:val="0"/>
                <w:lang w:eastAsia="en-US"/>
              </w:rPr>
            </w:pPr>
            <w:r w:rsidRPr="00E10816">
              <w:rPr>
                <w:snapToGrid w:val="0"/>
                <w:lang w:eastAsia="en-US"/>
              </w:rPr>
              <w:t>1 (1,502), Level III-1</w:t>
            </w:r>
          </w:p>
          <w:p w14:paraId="649DF33E" w14:textId="77777777" w:rsidR="00E10816" w:rsidRPr="00E10816" w:rsidRDefault="00E10816" w:rsidP="00BA4A9B">
            <w:pPr>
              <w:pStyle w:val="Tabletext1"/>
              <w:rPr>
                <w:snapToGrid w:val="0"/>
                <w:lang w:eastAsia="en-US"/>
              </w:rPr>
            </w:pPr>
            <w:r w:rsidRPr="00E10816">
              <w:rPr>
                <w:snapToGrid w:val="0"/>
                <w:lang w:eastAsia="en-US"/>
              </w:rPr>
              <w:t>3* (13,282), Level III-2</w:t>
            </w:r>
          </w:p>
          <w:p w14:paraId="1A897C86" w14:textId="77777777" w:rsidR="00E10816" w:rsidRPr="00E10816" w:rsidRDefault="00E10816" w:rsidP="00BA4A9B">
            <w:pPr>
              <w:pStyle w:val="Tabletext1"/>
              <w:rPr>
                <w:snapToGrid w:val="0"/>
                <w:lang w:eastAsia="en-US"/>
              </w:rPr>
            </w:pPr>
            <w:r w:rsidRPr="00E10816">
              <w:rPr>
                <w:snapToGrid w:val="0"/>
                <w:lang w:eastAsia="en-US"/>
              </w:rPr>
              <w:t>1 (132), Level III-3</w:t>
            </w:r>
          </w:p>
        </w:tc>
        <w:tc>
          <w:tcPr>
            <w:tcW w:w="1873" w:type="pct"/>
            <w:shd w:val="clear" w:color="auto" w:fill="auto"/>
          </w:tcPr>
          <w:p w14:paraId="277AE2D8" w14:textId="77777777" w:rsidR="00E10816" w:rsidRPr="00E10816" w:rsidRDefault="00E10816" w:rsidP="00BA4A9B">
            <w:pPr>
              <w:pStyle w:val="Tabletext1"/>
              <w:rPr>
                <w:snapToGrid w:val="0"/>
                <w:lang w:eastAsia="en-US"/>
              </w:rPr>
            </w:pPr>
            <w:r w:rsidRPr="00E10816">
              <w:rPr>
                <w:snapToGrid w:val="0"/>
                <w:lang w:eastAsia="en-US"/>
              </w:rPr>
              <w:t>2 randomised, 1 propensity-matched, 4 non-randomised studies.</w:t>
            </w:r>
          </w:p>
          <w:p w14:paraId="03A7BADB" w14:textId="2A32AE4E" w:rsidR="00E10816" w:rsidRPr="00E10816" w:rsidRDefault="00E10816" w:rsidP="00BA4A9B">
            <w:pPr>
              <w:pStyle w:val="Tabletext1"/>
              <w:rPr>
                <w:snapToGrid w:val="0"/>
                <w:lang w:eastAsia="en-US"/>
              </w:rPr>
            </w:pPr>
            <w:r w:rsidRPr="00E10816">
              <w:rPr>
                <w:snapToGrid w:val="0"/>
                <w:lang w:eastAsia="en-US"/>
              </w:rPr>
              <w:t>No studies reported blinding of patients, treating physicians or outcome assessors to treatments</w:t>
            </w:r>
            <w:r w:rsidR="00BA4A9B">
              <w:rPr>
                <w:snapToGrid w:val="0"/>
                <w:lang w:eastAsia="en-US"/>
              </w:rPr>
              <w:t>.</w:t>
            </w:r>
          </w:p>
        </w:tc>
        <w:tc>
          <w:tcPr>
            <w:tcW w:w="692" w:type="pct"/>
          </w:tcPr>
          <w:p w14:paraId="54B8081F" w14:textId="77777777" w:rsidR="00E10816" w:rsidRPr="00E10816" w:rsidRDefault="00E10816" w:rsidP="00BA4A9B">
            <w:pPr>
              <w:pStyle w:val="Tabletext1"/>
              <w:rPr>
                <w:snapToGrid w:val="0"/>
                <w:lang w:eastAsia="en-US"/>
              </w:rPr>
            </w:pPr>
            <w:r w:rsidRPr="00E10816">
              <w:rPr>
                <w:snapToGrid w:val="0"/>
                <w:lang w:eastAsia="en-US"/>
              </w:rPr>
              <w:t>Moderate</w:t>
            </w:r>
          </w:p>
        </w:tc>
      </w:tr>
      <w:tr w:rsidR="008D3899" w:rsidRPr="00E10816" w14:paraId="2071A15C" w14:textId="77777777" w:rsidTr="008D3899">
        <w:tc>
          <w:tcPr>
            <w:tcW w:w="1186" w:type="pct"/>
            <w:shd w:val="clear" w:color="auto" w:fill="auto"/>
          </w:tcPr>
          <w:p w14:paraId="675AF7B2" w14:textId="77777777" w:rsidR="00E10816" w:rsidRPr="00E10816" w:rsidRDefault="00E10816" w:rsidP="00BA4A9B">
            <w:pPr>
              <w:pStyle w:val="Tabletext1"/>
              <w:rPr>
                <w:snapToGrid w:val="0"/>
                <w:lang w:eastAsia="en-US"/>
              </w:rPr>
            </w:pPr>
            <w:r w:rsidRPr="00E10816">
              <w:rPr>
                <w:snapToGrid w:val="0"/>
                <w:lang w:eastAsia="en-US"/>
              </w:rPr>
              <w:t>Radiotherapy for patients with lung metastases in whom the primary tumour is under control</w:t>
            </w:r>
          </w:p>
        </w:tc>
        <w:tc>
          <w:tcPr>
            <w:tcW w:w="1249" w:type="pct"/>
            <w:shd w:val="clear" w:color="auto" w:fill="auto"/>
          </w:tcPr>
          <w:p w14:paraId="27DD5E6D" w14:textId="77777777" w:rsidR="00E10816" w:rsidRPr="00E10816" w:rsidRDefault="00E10816" w:rsidP="00BA4A9B">
            <w:pPr>
              <w:pStyle w:val="Tabletext1"/>
              <w:rPr>
                <w:snapToGrid w:val="0"/>
                <w:lang w:eastAsia="en-US"/>
              </w:rPr>
            </w:pPr>
            <w:r w:rsidRPr="00E10816">
              <w:rPr>
                <w:snapToGrid w:val="0"/>
                <w:lang w:eastAsia="en-US"/>
              </w:rPr>
              <w:t>3 (233), Level III-2</w:t>
            </w:r>
          </w:p>
          <w:p w14:paraId="727C519D" w14:textId="77777777" w:rsidR="00E10816" w:rsidRPr="00E10816" w:rsidRDefault="00E10816" w:rsidP="00BA4A9B">
            <w:pPr>
              <w:pStyle w:val="Tabletext1"/>
              <w:rPr>
                <w:snapToGrid w:val="0"/>
                <w:lang w:eastAsia="en-US"/>
              </w:rPr>
            </w:pPr>
            <w:r w:rsidRPr="00E10816">
              <w:rPr>
                <w:snapToGrid w:val="0"/>
                <w:lang w:eastAsia="en-US"/>
              </w:rPr>
              <w:t>14 (575), Level IV</w:t>
            </w:r>
          </w:p>
        </w:tc>
        <w:tc>
          <w:tcPr>
            <w:tcW w:w="1873" w:type="pct"/>
            <w:shd w:val="clear" w:color="auto" w:fill="auto"/>
          </w:tcPr>
          <w:p w14:paraId="2653E1F5" w14:textId="77777777" w:rsidR="00E10816" w:rsidRPr="00E10816" w:rsidRDefault="00E10816" w:rsidP="00BA4A9B">
            <w:pPr>
              <w:pStyle w:val="Tabletext1"/>
              <w:rPr>
                <w:snapToGrid w:val="0"/>
                <w:lang w:eastAsia="en-US"/>
              </w:rPr>
            </w:pPr>
            <w:r w:rsidRPr="00E10816">
              <w:rPr>
                <w:snapToGrid w:val="0"/>
                <w:lang w:eastAsia="en-US"/>
              </w:rPr>
              <w:t xml:space="preserve">All non-randomised, 13/17 studies were retrospective. </w:t>
            </w:r>
          </w:p>
          <w:p w14:paraId="7B103976" w14:textId="77777777" w:rsidR="00E10816" w:rsidRPr="00E10816" w:rsidRDefault="00E10816" w:rsidP="00BA4A9B">
            <w:pPr>
              <w:pStyle w:val="Tabletext1"/>
              <w:rPr>
                <w:snapToGrid w:val="0"/>
                <w:lang w:eastAsia="en-US"/>
              </w:rPr>
            </w:pPr>
            <w:r w:rsidRPr="00E10816">
              <w:rPr>
                <w:snapToGrid w:val="0"/>
                <w:lang w:eastAsia="en-US"/>
              </w:rPr>
              <w:t>No studies reported blinding of patients, treating physicians or outcome assessors to treatments.</w:t>
            </w:r>
          </w:p>
        </w:tc>
        <w:tc>
          <w:tcPr>
            <w:tcW w:w="692" w:type="pct"/>
          </w:tcPr>
          <w:p w14:paraId="38794C51" w14:textId="77777777" w:rsidR="00E10816" w:rsidRPr="00E10816" w:rsidRDefault="00E10816" w:rsidP="00BA4A9B">
            <w:pPr>
              <w:pStyle w:val="Tabletext1"/>
              <w:rPr>
                <w:snapToGrid w:val="0"/>
                <w:lang w:eastAsia="en-US"/>
              </w:rPr>
            </w:pPr>
            <w:r w:rsidRPr="00E10816">
              <w:rPr>
                <w:snapToGrid w:val="0"/>
                <w:lang w:eastAsia="en-US"/>
              </w:rPr>
              <w:t>High</w:t>
            </w:r>
          </w:p>
        </w:tc>
      </w:tr>
      <w:tr w:rsidR="008D3899" w:rsidRPr="00E10816" w14:paraId="4E7102DA" w14:textId="77777777" w:rsidTr="008D3899">
        <w:tc>
          <w:tcPr>
            <w:tcW w:w="1186" w:type="pct"/>
            <w:shd w:val="clear" w:color="auto" w:fill="auto"/>
          </w:tcPr>
          <w:p w14:paraId="42480968" w14:textId="77777777" w:rsidR="00E10816" w:rsidRPr="00E10816" w:rsidRDefault="00E10816" w:rsidP="00BA4A9B">
            <w:pPr>
              <w:pStyle w:val="Tabletext1"/>
              <w:rPr>
                <w:snapToGrid w:val="0"/>
                <w:lang w:eastAsia="en-US"/>
              </w:rPr>
            </w:pPr>
            <w:r w:rsidRPr="00E10816">
              <w:rPr>
                <w:snapToGrid w:val="0"/>
                <w:lang w:eastAsia="en-US"/>
              </w:rPr>
              <w:t>Radiotherapy for patients with lung metastases or primary NSCLC treated with palliative intent</w:t>
            </w:r>
          </w:p>
        </w:tc>
        <w:tc>
          <w:tcPr>
            <w:tcW w:w="1249" w:type="pct"/>
            <w:shd w:val="clear" w:color="auto" w:fill="auto"/>
          </w:tcPr>
          <w:p w14:paraId="609DC374" w14:textId="77777777" w:rsidR="00E10816" w:rsidRPr="00E10816" w:rsidRDefault="00E10816" w:rsidP="00BA4A9B">
            <w:pPr>
              <w:pStyle w:val="Tabletext1"/>
              <w:rPr>
                <w:snapToGrid w:val="0"/>
                <w:lang w:eastAsia="en-US"/>
              </w:rPr>
            </w:pPr>
            <w:r w:rsidRPr="00E10816">
              <w:rPr>
                <w:snapToGrid w:val="0"/>
                <w:lang w:eastAsia="en-US"/>
              </w:rPr>
              <w:t>14 (3,576), Level I</w:t>
            </w:r>
          </w:p>
        </w:tc>
        <w:tc>
          <w:tcPr>
            <w:tcW w:w="1873" w:type="pct"/>
            <w:shd w:val="clear" w:color="auto" w:fill="auto"/>
          </w:tcPr>
          <w:p w14:paraId="1F602FD4" w14:textId="77777777" w:rsidR="00E10816" w:rsidRPr="00E10816" w:rsidRDefault="00E10816" w:rsidP="00BA4A9B">
            <w:pPr>
              <w:pStyle w:val="Tabletext1"/>
              <w:rPr>
                <w:snapToGrid w:val="0"/>
                <w:lang w:eastAsia="en-US"/>
              </w:rPr>
            </w:pPr>
            <w:r w:rsidRPr="00E10816">
              <w:rPr>
                <w:snapToGrid w:val="0"/>
                <w:lang w:eastAsia="en-US"/>
              </w:rPr>
              <w:t xml:space="preserve">Cochrane systematic </w:t>
            </w:r>
            <w:proofErr w:type="gramStart"/>
            <w:r w:rsidRPr="00E10816">
              <w:rPr>
                <w:snapToGrid w:val="0"/>
                <w:lang w:eastAsia="en-US"/>
              </w:rPr>
              <w:t>review,</w:t>
            </w:r>
            <w:proofErr w:type="gramEnd"/>
            <w:r w:rsidRPr="00E10816">
              <w:rPr>
                <w:snapToGrid w:val="0"/>
                <w:lang w:eastAsia="en-US"/>
              </w:rPr>
              <w:t xml:space="preserve"> included RCTs only. Most studies did not report their random sequence generation (selection bias), or blinding for symptom control (performance bias and detection bias). 7/14 studies had incomplete data for symptom control.</w:t>
            </w:r>
          </w:p>
        </w:tc>
        <w:tc>
          <w:tcPr>
            <w:tcW w:w="692" w:type="pct"/>
          </w:tcPr>
          <w:p w14:paraId="4817A711" w14:textId="77777777" w:rsidR="00E10816" w:rsidRPr="00E10816" w:rsidRDefault="00E10816" w:rsidP="00BA4A9B">
            <w:pPr>
              <w:pStyle w:val="Tabletext1"/>
              <w:rPr>
                <w:snapToGrid w:val="0"/>
                <w:lang w:eastAsia="en-US"/>
              </w:rPr>
            </w:pPr>
            <w:r w:rsidRPr="00E10816">
              <w:rPr>
                <w:snapToGrid w:val="0"/>
                <w:lang w:eastAsia="en-US"/>
              </w:rPr>
              <w:t>Low</w:t>
            </w:r>
          </w:p>
        </w:tc>
      </w:tr>
    </w:tbl>
    <w:p w14:paraId="60875091" w14:textId="514A4B15" w:rsidR="00E10816" w:rsidRPr="00E10816" w:rsidRDefault="008721C5" w:rsidP="005775DE">
      <w:pPr>
        <w:pStyle w:val="Tablenotes0"/>
      </w:pPr>
      <w:r>
        <w:t xml:space="preserve">&lt; </w:t>
      </w:r>
      <w:r w:rsidR="00E10816" w:rsidRPr="00E10816">
        <w:t>NSCLC = non-small cell lung cancer</w:t>
      </w:r>
      <w:r w:rsidR="00F91E83">
        <w:t>;</w:t>
      </w:r>
      <w:r w:rsidR="00F91E83" w:rsidRPr="00E10816">
        <w:t xml:space="preserve"> </w:t>
      </w:r>
      <w:r w:rsidR="00E10816" w:rsidRPr="00E10816">
        <w:t>OS = overall survival</w:t>
      </w:r>
      <w:r w:rsidR="00F91E83">
        <w:t>;</w:t>
      </w:r>
      <w:r w:rsidR="00F91E83" w:rsidRPr="00E10816">
        <w:t xml:space="preserve"> </w:t>
      </w:r>
      <w:r w:rsidR="00E10816" w:rsidRPr="00E10816">
        <w:t>PS = performance status</w:t>
      </w:r>
      <w:r w:rsidR="00F91E83">
        <w:t>;</w:t>
      </w:r>
      <w:r w:rsidR="00F91E83" w:rsidRPr="00E10816">
        <w:t xml:space="preserve"> </w:t>
      </w:r>
      <w:r w:rsidR="00E10816" w:rsidRPr="00E10816">
        <w:t>RC</w:t>
      </w:r>
      <w:r>
        <w:t>T = randomised controlled trial &gt;</w:t>
      </w:r>
    </w:p>
    <w:p w14:paraId="422AAFAE" w14:textId="77777777" w:rsidR="00E10816" w:rsidRPr="00E10816" w:rsidRDefault="00E10816" w:rsidP="005775DE">
      <w:pPr>
        <w:pStyle w:val="Tablenotes0"/>
      </w:pPr>
      <w:r w:rsidRPr="00E10816">
        <w:t>*Note: the 1502 patients from the Level III-1 group overlapped with the Level III-2 study.</w:t>
      </w:r>
    </w:p>
    <w:p w14:paraId="7AA27A5A" w14:textId="77777777" w:rsidR="00E10816" w:rsidRPr="00E10816" w:rsidRDefault="00E10816" w:rsidP="00E10816">
      <w:pPr>
        <w:widowControl w:val="0"/>
        <w:sectPr w:rsidR="00E10816" w:rsidRPr="00E10816" w:rsidSect="0024526E">
          <w:pgSz w:w="11906" w:h="16838"/>
          <w:pgMar w:top="1440" w:right="1440" w:bottom="1440" w:left="1440" w:header="708" w:footer="708" w:gutter="0"/>
          <w:cols w:space="708"/>
          <w:docGrid w:linePitch="360"/>
        </w:sectPr>
      </w:pPr>
    </w:p>
    <w:p w14:paraId="463CCE39" w14:textId="1D40215B" w:rsidR="00E10816" w:rsidRPr="00E10816" w:rsidRDefault="00E10816" w:rsidP="0024526E">
      <w:pPr>
        <w:pStyle w:val="TableHeading"/>
        <w:ind w:left="1134" w:hanging="1134"/>
      </w:pPr>
      <w:bookmarkStart w:id="230" w:name="_Ref456966145"/>
      <w:bookmarkStart w:id="231" w:name="_Toc460514683"/>
      <w:bookmarkStart w:id="232" w:name="_Ref456960523"/>
      <w:r w:rsidRPr="00E10816">
        <w:lastRenderedPageBreak/>
        <w:t xml:space="preserve">Table </w:t>
      </w:r>
      <w:fldSimple w:instr=" SEQ Table \* ARABIC ">
        <w:r w:rsidR="00D170A5">
          <w:rPr>
            <w:noProof/>
          </w:rPr>
          <w:t>25</w:t>
        </w:r>
      </w:fldSimple>
      <w:bookmarkEnd w:id="230"/>
      <w:r w:rsidR="0024526E">
        <w:tab/>
      </w:r>
      <w:r w:rsidRPr="00E10816">
        <w:t xml:space="preserve">Quality appraisal of included </w:t>
      </w:r>
      <w:r w:rsidR="00A04CC7">
        <w:t xml:space="preserve">comparative studies </w:t>
      </w:r>
      <w:r w:rsidRPr="00E10816">
        <w:t>of radiotherapy, according to the Downs and Black Checklist for Randomised and Non-Randomised Comparative Trials</w:t>
      </w:r>
      <w:bookmarkEnd w:id="231"/>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4A0" w:firstRow="1" w:lastRow="0" w:firstColumn="1" w:lastColumn="0" w:noHBand="0" w:noVBand="1"/>
        <w:tblCaption w:val="Table 28"/>
        <w:tblDescription w:val="QA comparative radiotherapy"/>
      </w:tblPr>
      <w:tblGrid>
        <w:gridCol w:w="1842"/>
        <w:gridCol w:w="483"/>
        <w:gridCol w:w="483"/>
        <w:gridCol w:w="483"/>
        <w:gridCol w:w="483"/>
        <w:gridCol w:w="483"/>
        <w:gridCol w:w="483"/>
        <w:gridCol w:w="483"/>
        <w:gridCol w:w="483"/>
        <w:gridCol w:w="483"/>
        <w:gridCol w:w="483"/>
        <w:gridCol w:w="483"/>
        <w:gridCol w:w="483"/>
        <w:gridCol w:w="483"/>
        <w:gridCol w:w="484"/>
        <w:gridCol w:w="483"/>
        <w:gridCol w:w="410"/>
        <w:gridCol w:w="556"/>
        <w:gridCol w:w="483"/>
        <w:gridCol w:w="483"/>
        <w:gridCol w:w="483"/>
        <w:gridCol w:w="483"/>
        <w:gridCol w:w="483"/>
        <w:gridCol w:w="483"/>
        <w:gridCol w:w="483"/>
        <w:gridCol w:w="483"/>
        <w:gridCol w:w="483"/>
        <w:gridCol w:w="484"/>
      </w:tblGrid>
      <w:tr w:rsidR="00E10816" w:rsidRPr="001D54EF" w14:paraId="49FED9B0" w14:textId="77777777" w:rsidTr="00D43585">
        <w:trPr>
          <w:trHeight w:val="3327"/>
        </w:trPr>
        <w:tc>
          <w:tcPr>
            <w:tcW w:w="1842" w:type="dxa"/>
            <w:shd w:val="clear" w:color="auto" w:fill="auto"/>
            <w:noWrap/>
            <w:vAlign w:val="bottom"/>
            <w:hideMark/>
          </w:tcPr>
          <w:p w14:paraId="25C0408B" w14:textId="77777777" w:rsidR="00E10816" w:rsidRPr="001D54EF" w:rsidRDefault="00E10816" w:rsidP="008D3899">
            <w:pPr>
              <w:pStyle w:val="Tabletext1"/>
              <w:rPr>
                <w:rFonts w:cs="Times New Roman"/>
                <w:color w:val="000000"/>
              </w:rPr>
            </w:pPr>
            <w:r w:rsidRPr="001D54EF">
              <w:rPr>
                <w:snapToGrid w:val="0"/>
                <w:lang w:eastAsia="en-US"/>
              </w:rPr>
              <w:t>Study ID</w:t>
            </w:r>
          </w:p>
        </w:tc>
        <w:tc>
          <w:tcPr>
            <w:tcW w:w="483" w:type="dxa"/>
            <w:tcBorders>
              <w:bottom w:val="single" w:sz="4" w:space="0" w:color="auto"/>
            </w:tcBorders>
            <w:shd w:val="clear" w:color="auto" w:fill="auto"/>
            <w:noWrap/>
            <w:textDirection w:val="btLr"/>
            <w:vAlign w:val="bottom"/>
            <w:hideMark/>
          </w:tcPr>
          <w:p w14:paraId="5B78D42F" w14:textId="77777777" w:rsidR="00E10816" w:rsidRPr="001D54EF" w:rsidRDefault="00E10816" w:rsidP="0024526E">
            <w:pPr>
              <w:pStyle w:val="Tabletext1"/>
              <w:spacing w:before="0" w:after="0"/>
              <w:rPr>
                <w:snapToGrid w:val="0"/>
                <w:lang w:eastAsia="en-US"/>
              </w:rPr>
            </w:pPr>
            <w:r w:rsidRPr="001D54EF">
              <w:rPr>
                <w:snapToGrid w:val="0"/>
                <w:lang w:eastAsia="en-US"/>
              </w:rPr>
              <w:t>Reporting: Hypothesis</w:t>
            </w:r>
          </w:p>
        </w:tc>
        <w:tc>
          <w:tcPr>
            <w:tcW w:w="483" w:type="dxa"/>
            <w:tcBorders>
              <w:bottom w:val="single" w:sz="4" w:space="0" w:color="auto"/>
            </w:tcBorders>
            <w:shd w:val="clear" w:color="auto" w:fill="auto"/>
            <w:noWrap/>
            <w:textDirection w:val="btLr"/>
            <w:vAlign w:val="bottom"/>
            <w:hideMark/>
          </w:tcPr>
          <w:p w14:paraId="4570F80C" w14:textId="77777777" w:rsidR="00E10816" w:rsidRPr="001D54EF" w:rsidRDefault="00E10816" w:rsidP="0024526E">
            <w:pPr>
              <w:pStyle w:val="Tabletext1"/>
              <w:spacing w:before="0" w:after="0"/>
              <w:rPr>
                <w:snapToGrid w:val="0"/>
                <w:lang w:eastAsia="en-US"/>
              </w:rPr>
            </w:pPr>
            <w:r w:rsidRPr="001D54EF">
              <w:rPr>
                <w:snapToGrid w:val="0"/>
                <w:lang w:eastAsia="en-US"/>
              </w:rPr>
              <w:t>Reporting: Outcomes</w:t>
            </w:r>
          </w:p>
        </w:tc>
        <w:tc>
          <w:tcPr>
            <w:tcW w:w="483" w:type="dxa"/>
            <w:tcBorders>
              <w:bottom w:val="single" w:sz="4" w:space="0" w:color="auto"/>
            </w:tcBorders>
            <w:shd w:val="clear" w:color="auto" w:fill="auto"/>
            <w:noWrap/>
            <w:textDirection w:val="btLr"/>
            <w:vAlign w:val="bottom"/>
            <w:hideMark/>
          </w:tcPr>
          <w:p w14:paraId="19E8D08F" w14:textId="77777777" w:rsidR="00E10816" w:rsidRPr="001D54EF" w:rsidRDefault="00E10816" w:rsidP="0024526E">
            <w:pPr>
              <w:pStyle w:val="Tabletext1"/>
              <w:spacing w:before="0" w:after="0"/>
              <w:rPr>
                <w:snapToGrid w:val="0"/>
                <w:lang w:eastAsia="en-US"/>
              </w:rPr>
            </w:pPr>
            <w:r w:rsidRPr="001D54EF">
              <w:rPr>
                <w:snapToGrid w:val="0"/>
                <w:lang w:eastAsia="en-US"/>
              </w:rPr>
              <w:t>Reporting: Patient characteristics</w:t>
            </w:r>
          </w:p>
        </w:tc>
        <w:tc>
          <w:tcPr>
            <w:tcW w:w="483" w:type="dxa"/>
            <w:tcBorders>
              <w:bottom w:val="single" w:sz="4" w:space="0" w:color="auto"/>
            </w:tcBorders>
            <w:shd w:val="clear" w:color="auto" w:fill="auto"/>
            <w:noWrap/>
            <w:textDirection w:val="btLr"/>
            <w:vAlign w:val="bottom"/>
            <w:hideMark/>
          </w:tcPr>
          <w:p w14:paraId="1395BC84" w14:textId="77777777" w:rsidR="00E10816" w:rsidRPr="001D54EF" w:rsidRDefault="00E10816" w:rsidP="0024526E">
            <w:pPr>
              <w:pStyle w:val="Tabletext1"/>
              <w:spacing w:before="0" w:after="0"/>
              <w:rPr>
                <w:snapToGrid w:val="0"/>
                <w:lang w:eastAsia="en-US"/>
              </w:rPr>
            </w:pPr>
            <w:r w:rsidRPr="001D54EF">
              <w:rPr>
                <w:snapToGrid w:val="0"/>
                <w:lang w:eastAsia="en-US"/>
              </w:rPr>
              <w:t>Reporting: Intervention</w:t>
            </w:r>
          </w:p>
        </w:tc>
        <w:tc>
          <w:tcPr>
            <w:tcW w:w="483" w:type="dxa"/>
            <w:tcBorders>
              <w:bottom w:val="single" w:sz="4" w:space="0" w:color="auto"/>
            </w:tcBorders>
            <w:shd w:val="clear" w:color="auto" w:fill="auto"/>
            <w:noWrap/>
            <w:textDirection w:val="btLr"/>
            <w:vAlign w:val="bottom"/>
            <w:hideMark/>
          </w:tcPr>
          <w:p w14:paraId="726DE120" w14:textId="77777777" w:rsidR="00E10816" w:rsidRPr="001D54EF" w:rsidRDefault="00E10816" w:rsidP="0024526E">
            <w:pPr>
              <w:pStyle w:val="Tabletext1"/>
              <w:spacing w:before="0" w:after="0"/>
              <w:rPr>
                <w:snapToGrid w:val="0"/>
                <w:lang w:eastAsia="en-US"/>
              </w:rPr>
            </w:pPr>
            <w:r w:rsidRPr="001D54EF">
              <w:rPr>
                <w:snapToGrid w:val="0"/>
                <w:lang w:eastAsia="en-US"/>
              </w:rPr>
              <w:t>Reporting: Confounders</w:t>
            </w:r>
          </w:p>
        </w:tc>
        <w:tc>
          <w:tcPr>
            <w:tcW w:w="483" w:type="dxa"/>
            <w:tcBorders>
              <w:bottom w:val="single" w:sz="4" w:space="0" w:color="auto"/>
            </w:tcBorders>
            <w:shd w:val="clear" w:color="auto" w:fill="auto"/>
            <w:noWrap/>
            <w:textDirection w:val="btLr"/>
            <w:vAlign w:val="bottom"/>
            <w:hideMark/>
          </w:tcPr>
          <w:p w14:paraId="7C628C45" w14:textId="77777777" w:rsidR="00E10816" w:rsidRPr="001D54EF" w:rsidRDefault="00E10816" w:rsidP="0024526E">
            <w:pPr>
              <w:pStyle w:val="Tabletext1"/>
              <w:spacing w:before="0" w:after="0"/>
              <w:rPr>
                <w:snapToGrid w:val="0"/>
                <w:lang w:eastAsia="en-US"/>
              </w:rPr>
            </w:pPr>
            <w:r w:rsidRPr="001D54EF">
              <w:rPr>
                <w:snapToGrid w:val="0"/>
                <w:lang w:eastAsia="en-US"/>
              </w:rPr>
              <w:t>Reporting: Main findings</w:t>
            </w:r>
          </w:p>
        </w:tc>
        <w:tc>
          <w:tcPr>
            <w:tcW w:w="483" w:type="dxa"/>
            <w:tcBorders>
              <w:bottom w:val="single" w:sz="4" w:space="0" w:color="auto"/>
            </w:tcBorders>
            <w:shd w:val="clear" w:color="auto" w:fill="auto"/>
            <w:noWrap/>
            <w:textDirection w:val="btLr"/>
            <w:vAlign w:val="bottom"/>
            <w:hideMark/>
          </w:tcPr>
          <w:p w14:paraId="6BAC38D0" w14:textId="77777777" w:rsidR="00E10816" w:rsidRPr="001D54EF" w:rsidRDefault="00E10816" w:rsidP="0024526E">
            <w:pPr>
              <w:pStyle w:val="Tabletext1"/>
              <w:spacing w:before="0" w:after="0"/>
              <w:rPr>
                <w:snapToGrid w:val="0"/>
                <w:lang w:eastAsia="en-US"/>
              </w:rPr>
            </w:pPr>
            <w:r w:rsidRPr="001D54EF">
              <w:rPr>
                <w:snapToGrid w:val="0"/>
                <w:lang w:eastAsia="en-US"/>
              </w:rPr>
              <w:t>Reporting: Random variability in results</w:t>
            </w:r>
          </w:p>
        </w:tc>
        <w:tc>
          <w:tcPr>
            <w:tcW w:w="483" w:type="dxa"/>
            <w:tcBorders>
              <w:bottom w:val="single" w:sz="4" w:space="0" w:color="auto"/>
            </w:tcBorders>
            <w:shd w:val="clear" w:color="auto" w:fill="auto"/>
            <w:noWrap/>
            <w:textDirection w:val="btLr"/>
            <w:vAlign w:val="bottom"/>
            <w:hideMark/>
          </w:tcPr>
          <w:p w14:paraId="490C663E" w14:textId="77777777" w:rsidR="00E10816" w:rsidRPr="001D54EF" w:rsidRDefault="00E10816" w:rsidP="0024526E">
            <w:pPr>
              <w:pStyle w:val="Tabletext1"/>
              <w:spacing w:before="0" w:after="0"/>
              <w:rPr>
                <w:snapToGrid w:val="0"/>
                <w:lang w:eastAsia="en-US"/>
              </w:rPr>
            </w:pPr>
            <w:r w:rsidRPr="001D54EF">
              <w:rPr>
                <w:snapToGrid w:val="0"/>
                <w:lang w:eastAsia="en-US"/>
              </w:rPr>
              <w:t>Reporting: Adverse events</w:t>
            </w:r>
          </w:p>
        </w:tc>
        <w:tc>
          <w:tcPr>
            <w:tcW w:w="483" w:type="dxa"/>
            <w:tcBorders>
              <w:bottom w:val="single" w:sz="4" w:space="0" w:color="auto"/>
            </w:tcBorders>
            <w:shd w:val="clear" w:color="auto" w:fill="auto"/>
            <w:noWrap/>
            <w:textDirection w:val="btLr"/>
            <w:vAlign w:val="bottom"/>
            <w:hideMark/>
          </w:tcPr>
          <w:p w14:paraId="7BBB3AE7" w14:textId="77777777" w:rsidR="00E10816" w:rsidRPr="001D54EF" w:rsidRDefault="00E10816" w:rsidP="0024526E">
            <w:pPr>
              <w:pStyle w:val="Tabletext1"/>
              <w:spacing w:before="0" w:after="0"/>
              <w:rPr>
                <w:snapToGrid w:val="0"/>
                <w:lang w:eastAsia="en-US"/>
              </w:rPr>
            </w:pPr>
            <w:r w:rsidRPr="001D54EF">
              <w:rPr>
                <w:snapToGrid w:val="0"/>
                <w:lang w:eastAsia="en-US"/>
              </w:rPr>
              <w:t>Reporting: Losses to follow-up</w:t>
            </w:r>
          </w:p>
        </w:tc>
        <w:tc>
          <w:tcPr>
            <w:tcW w:w="483" w:type="dxa"/>
            <w:tcBorders>
              <w:bottom w:val="single" w:sz="4" w:space="0" w:color="auto"/>
            </w:tcBorders>
            <w:shd w:val="clear" w:color="auto" w:fill="auto"/>
            <w:noWrap/>
            <w:textDirection w:val="btLr"/>
            <w:vAlign w:val="bottom"/>
            <w:hideMark/>
          </w:tcPr>
          <w:p w14:paraId="58CF9CB6" w14:textId="77777777" w:rsidR="00E10816" w:rsidRPr="001D54EF" w:rsidRDefault="00E10816" w:rsidP="0024526E">
            <w:pPr>
              <w:pStyle w:val="Tabletext1"/>
              <w:spacing w:before="0" w:after="0"/>
              <w:rPr>
                <w:snapToGrid w:val="0"/>
                <w:lang w:eastAsia="en-US"/>
              </w:rPr>
            </w:pPr>
            <w:r w:rsidRPr="001D54EF">
              <w:rPr>
                <w:snapToGrid w:val="0"/>
                <w:lang w:eastAsia="en-US"/>
              </w:rPr>
              <w:t>Reporting: Actual probabilities</w:t>
            </w:r>
          </w:p>
        </w:tc>
        <w:tc>
          <w:tcPr>
            <w:tcW w:w="483" w:type="dxa"/>
            <w:tcBorders>
              <w:bottom w:val="single" w:sz="4" w:space="0" w:color="auto"/>
            </w:tcBorders>
            <w:shd w:val="clear" w:color="auto" w:fill="auto"/>
            <w:noWrap/>
            <w:textDirection w:val="btLr"/>
            <w:vAlign w:val="bottom"/>
            <w:hideMark/>
          </w:tcPr>
          <w:p w14:paraId="2FBBE86E" w14:textId="77777777" w:rsidR="00E10816" w:rsidRPr="001D54EF" w:rsidRDefault="00E10816" w:rsidP="0024526E">
            <w:pPr>
              <w:pStyle w:val="Tabletext1"/>
              <w:spacing w:before="0" w:after="0"/>
              <w:rPr>
                <w:snapToGrid w:val="0"/>
                <w:lang w:eastAsia="en-US"/>
              </w:rPr>
            </w:pPr>
            <w:r w:rsidRPr="001D54EF">
              <w:rPr>
                <w:snapToGrid w:val="0"/>
                <w:lang w:eastAsia="en-US"/>
              </w:rPr>
              <w:t>Validity: Invited sample representative</w:t>
            </w:r>
          </w:p>
        </w:tc>
        <w:tc>
          <w:tcPr>
            <w:tcW w:w="483" w:type="dxa"/>
            <w:tcBorders>
              <w:bottom w:val="single" w:sz="4" w:space="0" w:color="auto"/>
            </w:tcBorders>
            <w:shd w:val="clear" w:color="auto" w:fill="auto"/>
            <w:noWrap/>
            <w:textDirection w:val="btLr"/>
            <w:vAlign w:val="bottom"/>
            <w:hideMark/>
          </w:tcPr>
          <w:p w14:paraId="56D09688" w14:textId="77777777" w:rsidR="00E10816" w:rsidRPr="001D54EF" w:rsidRDefault="00E10816" w:rsidP="0024526E">
            <w:pPr>
              <w:pStyle w:val="Tabletext1"/>
              <w:spacing w:before="0" w:after="0"/>
              <w:rPr>
                <w:snapToGrid w:val="0"/>
                <w:lang w:eastAsia="en-US"/>
              </w:rPr>
            </w:pPr>
            <w:r w:rsidRPr="001D54EF">
              <w:rPr>
                <w:snapToGrid w:val="0"/>
                <w:lang w:eastAsia="en-US"/>
              </w:rPr>
              <w:t>Validity: Participating sample representative</w:t>
            </w:r>
          </w:p>
        </w:tc>
        <w:tc>
          <w:tcPr>
            <w:tcW w:w="483" w:type="dxa"/>
            <w:tcBorders>
              <w:bottom w:val="single" w:sz="4" w:space="0" w:color="auto"/>
            </w:tcBorders>
            <w:shd w:val="clear" w:color="auto" w:fill="auto"/>
            <w:noWrap/>
            <w:textDirection w:val="btLr"/>
            <w:vAlign w:val="bottom"/>
            <w:hideMark/>
          </w:tcPr>
          <w:p w14:paraId="1B2BBFB1" w14:textId="77777777" w:rsidR="00E10816" w:rsidRPr="001D54EF" w:rsidRDefault="00E10816" w:rsidP="0024526E">
            <w:pPr>
              <w:pStyle w:val="Tabletext1"/>
              <w:spacing w:before="0" w:after="0"/>
              <w:rPr>
                <w:snapToGrid w:val="0"/>
                <w:lang w:eastAsia="en-US"/>
              </w:rPr>
            </w:pPr>
            <w:r w:rsidRPr="001D54EF">
              <w:rPr>
                <w:snapToGrid w:val="0"/>
                <w:lang w:eastAsia="en-US"/>
              </w:rPr>
              <w:t>Validity: Facilities representative</w:t>
            </w:r>
          </w:p>
        </w:tc>
        <w:tc>
          <w:tcPr>
            <w:tcW w:w="484" w:type="dxa"/>
            <w:tcBorders>
              <w:bottom w:val="single" w:sz="4" w:space="0" w:color="auto"/>
            </w:tcBorders>
            <w:shd w:val="clear" w:color="auto" w:fill="auto"/>
            <w:noWrap/>
            <w:textDirection w:val="btLr"/>
            <w:vAlign w:val="bottom"/>
            <w:hideMark/>
          </w:tcPr>
          <w:p w14:paraId="7865AC6F" w14:textId="77777777" w:rsidR="00E10816" w:rsidRPr="001D54EF" w:rsidRDefault="00E10816" w:rsidP="0024526E">
            <w:pPr>
              <w:pStyle w:val="Tabletext1"/>
              <w:spacing w:before="0" w:after="0"/>
              <w:rPr>
                <w:snapToGrid w:val="0"/>
                <w:lang w:eastAsia="en-US"/>
              </w:rPr>
            </w:pPr>
            <w:r w:rsidRPr="001D54EF">
              <w:rPr>
                <w:snapToGrid w:val="0"/>
                <w:lang w:eastAsia="en-US"/>
              </w:rPr>
              <w:t>Bias: Subjects blinded</w:t>
            </w:r>
          </w:p>
        </w:tc>
        <w:tc>
          <w:tcPr>
            <w:tcW w:w="483" w:type="dxa"/>
            <w:tcBorders>
              <w:bottom w:val="single" w:sz="4" w:space="0" w:color="auto"/>
            </w:tcBorders>
            <w:shd w:val="clear" w:color="auto" w:fill="auto"/>
            <w:noWrap/>
            <w:textDirection w:val="btLr"/>
            <w:vAlign w:val="bottom"/>
            <w:hideMark/>
          </w:tcPr>
          <w:p w14:paraId="6F9514EF" w14:textId="77777777" w:rsidR="00E10816" w:rsidRPr="001D54EF" w:rsidRDefault="00E10816" w:rsidP="0024526E">
            <w:pPr>
              <w:pStyle w:val="Tabletext1"/>
              <w:spacing w:before="0" w:after="0"/>
              <w:rPr>
                <w:snapToGrid w:val="0"/>
                <w:lang w:eastAsia="en-US"/>
              </w:rPr>
            </w:pPr>
            <w:r w:rsidRPr="001D54EF">
              <w:rPr>
                <w:snapToGrid w:val="0"/>
                <w:lang w:eastAsia="en-US"/>
              </w:rPr>
              <w:t>Bias: Measurements blinded</w:t>
            </w:r>
          </w:p>
        </w:tc>
        <w:tc>
          <w:tcPr>
            <w:tcW w:w="410" w:type="dxa"/>
            <w:tcBorders>
              <w:bottom w:val="single" w:sz="4" w:space="0" w:color="auto"/>
            </w:tcBorders>
            <w:shd w:val="clear" w:color="auto" w:fill="auto"/>
            <w:noWrap/>
            <w:textDirection w:val="btLr"/>
            <w:vAlign w:val="bottom"/>
            <w:hideMark/>
          </w:tcPr>
          <w:p w14:paraId="45510358" w14:textId="31A0E5CA" w:rsidR="00E10816" w:rsidRPr="001D54EF" w:rsidRDefault="0024526E" w:rsidP="0024526E">
            <w:pPr>
              <w:pStyle w:val="Tabletext1"/>
              <w:spacing w:before="0" w:after="0"/>
              <w:rPr>
                <w:snapToGrid w:val="0"/>
                <w:lang w:eastAsia="en-US"/>
              </w:rPr>
            </w:pPr>
            <w:r>
              <w:rPr>
                <w:snapToGrid w:val="0"/>
                <w:lang w:eastAsia="en-US"/>
              </w:rPr>
              <w:t>Bias: Data dredging</w:t>
            </w:r>
          </w:p>
        </w:tc>
        <w:tc>
          <w:tcPr>
            <w:tcW w:w="556" w:type="dxa"/>
            <w:tcBorders>
              <w:bottom w:val="single" w:sz="4" w:space="0" w:color="auto"/>
            </w:tcBorders>
            <w:shd w:val="clear" w:color="auto" w:fill="auto"/>
            <w:noWrap/>
            <w:textDirection w:val="btLr"/>
            <w:vAlign w:val="bottom"/>
            <w:hideMark/>
          </w:tcPr>
          <w:p w14:paraId="4FFA1DCF" w14:textId="77777777" w:rsidR="00E10816" w:rsidRPr="001D54EF" w:rsidRDefault="00E10816" w:rsidP="0024526E">
            <w:pPr>
              <w:pStyle w:val="Tabletext1"/>
              <w:spacing w:before="0" w:after="0"/>
              <w:rPr>
                <w:snapToGrid w:val="0"/>
                <w:lang w:eastAsia="en-US"/>
              </w:rPr>
            </w:pPr>
            <w:r w:rsidRPr="001D54EF">
              <w:rPr>
                <w:snapToGrid w:val="0"/>
                <w:lang w:eastAsia="en-US"/>
              </w:rPr>
              <w:t>Bias: Length of follow-up accounted for</w:t>
            </w:r>
          </w:p>
        </w:tc>
        <w:tc>
          <w:tcPr>
            <w:tcW w:w="483" w:type="dxa"/>
            <w:tcBorders>
              <w:bottom w:val="single" w:sz="4" w:space="0" w:color="auto"/>
            </w:tcBorders>
            <w:shd w:val="clear" w:color="auto" w:fill="auto"/>
            <w:noWrap/>
            <w:textDirection w:val="btLr"/>
            <w:vAlign w:val="bottom"/>
            <w:hideMark/>
          </w:tcPr>
          <w:p w14:paraId="49567C0B" w14:textId="77777777" w:rsidR="00E10816" w:rsidRPr="001D54EF" w:rsidRDefault="00E10816" w:rsidP="0024526E">
            <w:pPr>
              <w:pStyle w:val="Tabletext1"/>
              <w:spacing w:before="0" w:after="0"/>
              <w:rPr>
                <w:snapToGrid w:val="0"/>
                <w:lang w:eastAsia="en-US"/>
              </w:rPr>
            </w:pPr>
            <w:r w:rsidRPr="001D54EF">
              <w:rPr>
                <w:snapToGrid w:val="0"/>
                <w:lang w:eastAsia="en-US"/>
              </w:rPr>
              <w:t>Bias: Statistical tests appropriate</w:t>
            </w:r>
          </w:p>
        </w:tc>
        <w:tc>
          <w:tcPr>
            <w:tcW w:w="483" w:type="dxa"/>
            <w:tcBorders>
              <w:bottom w:val="single" w:sz="4" w:space="0" w:color="auto"/>
            </w:tcBorders>
            <w:shd w:val="clear" w:color="auto" w:fill="auto"/>
            <w:noWrap/>
            <w:textDirection w:val="btLr"/>
            <w:vAlign w:val="bottom"/>
            <w:hideMark/>
          </w:tcPr>
          <w:p w14:paraId="15E196C7" w14:textId="77777777" w:rsidR="00E10816" w:rsidRPr="001D54EF" w:rsidRDefault="00E10816" w:rsidP="0024526E">
            <w:pPr>
              <w:pStyle w:val="Tabletext1"/>
              <w:spacing w:before="0" w:after="0"/>
              <w:rPr>
                <w:snapToGrid w:val="0"/>
                <w:lang w:eastAsia="en-US"/>
              </w:rPr>
            </w:pPr>
            <w:r w:rsidRPr="001D54EF">
              <w:rPr>
                <w:snapToGrid w:val="0"/>
                <w:lang w:eastAsia="en-US"/>
              </w:rPr>
              <w:t>Bias: Compliance with intervention</w:t>
            </w:r>
          </w:p>
        </w:tc>
        <w:tc>
          <w:tcPr>
            <w:tcW w:w="483" w:type="dxa"/>
            <w:tcBorders>
              <w:bottom w:val="single" w:sz="4" w:space="0" w:color="auto"/>
            </w:tcBorders>
            <w:shd w:val="clear" w:color="auto" w:fill="auto"/>
            <w:noWrap/>
            <w:textDirection w:val="btLr"/>
            <w:vAlign w:val="bottom"/>
            <w:hideMark/>
          </w:tcPr>
          <w:p w14:paraId="0A620F89" w14:textId="77777777" w:rsidR="00E10816" w:rsidRPr="001D54EF" w:rsidRDefault="00E10816" w:rsidP="0024526E">
            <w:pPr>
              <w:pStyle w:val="Tabletext1"/>
              <w:spacing w:before="0" w:after="0"/>
              <w:rPr>
                <w:snapToGrid w:val="0"/>
                <w:lang w:eastAsia="en-US"/>
              </w:rPr>
            </w:pPr>
            <w:r w:rsidRPr="001D54EF">
              <w:rPr>
                <w:snapToGrid w:val="0"/>
                <w:lang w:eastAsia="en-US"/>
              </w:rPr>
              <w:t>Bias: Outcomes were accurate</w:t>
            </w:r>
          </w:p>
        </w:tc>
        <w:tc>
          <w:tcPr>
            <w:tcW w:w="483" w:type="dxa"/>
            <w:tcBorders>
              <w:bottom w:val="single" w:sz="4" w:space="0" w:color="auto"/>
            </w:tcBorders>
            <w:shd w:val="clear" w:color="auto" w:fill="auto"/>
            <w:noWrap/>
            <w:textDirection w:val="btLr"/>
            <w:vAlign w:val="bottom"/>
            <w:hideMark/>
          </w:tcPr>
          <w:p w14:paraId="6EFAB9EE" w14:textId="77777777" w:rsidR="00E10816" w:rsidRPr="001D54EF" w:rsidRDefault="00E10816" w:rsidP="0024526E">
            <w:pPr>
              <w:pStyle w:val="Tabletext1"/>
              <w:spacing w:before="0" w:after="0"/>
              <w:rPr>
                <w:snapToGrid w:val="0"/>
                <w:lang w:eastAsia="en-US"/>
              </w:rPr>
            </w:pPr>
            <w:r w:rsidRPr="001D54EF">
              <w:rPr>
                <w:snapToGrid w:val="0"/>
                <w:lang w:eastAsia="en-US"/>
              </w:rPr>
              <w:t>Confounding: Recruitment same population</w:t>
            </w:r>
          </w:p>
        </w:tc>
        <w:tc>
          <w:tcPr>
            <w:tcW w:w="483" w:type="dxa"/>
            <w:tcBorders>
              <w:bottom w:val="single" w:sz="4" w:space="0" w:color="auto"/>
            </w:tcBorders>
            <w:shd w:val="clear" w:color="auto" w:fill="auto"/>
            <w:noWrap/>
            <w:textDirection w:val="btLr"/>
            <w:vAlign w:val="bottom"/>
            <w:hideMark/>
          </w:tcPr>
          <w:p w14:paraId="23BBE463" w14:textId="77777777" w:rsidR="00E10816" w:rsidRPr="001D54EF" w:rsidRDefault="00E10816" w:rsidP="0024526E">
            <w:pPr>
              <w:pStyle w:val="Tabletext1"/>
              <w:spacing w:before="0" w:after="0"/>
              <w:rPr>
                <w:snapToGrid w:val="0"/>
                <w:lang w:eastAsia="en-US"/>
              </w:rPr>
            </w:pPr>
            <w:r w:rsidRPr="001D54EF">
              <w:rPr>
                <w:snapToGrid w:val="0"/>
                <w:lang w:eastAsia="en-US"/>
              </w:rPr>
              <w:t>Confounding: Recruitment same time</w:t>
            </w:r>
          </w:p>
        </w:tc>
        <w:tc>
          <w:tcPr>
            <w:tcW w:w="483" w:type="dxa"/>
            <w:tcBorders>
              <w:bottom w:val="single" w:sz="4" w:space="0" w:color="auto"/>
            </w:tcBorders>
            <w:shd w:val="clear" w:color="auto" w:fill="auto"/>
            <w:noWrap/>
            <w:textDirection w:val="btLr"/>
            <w:vAlign w:val="bottom"/>
            <w:hideMark/>
          </w:tcPr>
          <w:p w14:paraId="7A35666E" w14:textId="77777777" w:rsidR="00E10816" w:rsidRPr="001D54EF" w:rsidRDefault="00E10816" w:rsidP="0024526E">
            <w:pPr>
              <w:pStyle w:val="Tabletext1"/>
              <w:spacing w:before="0" w:after="0"/>
              <w:rPr>
                <w:snapToGrid w:val="0"/>
                <w:lang w:eastAsia="en-US"/>
              </w:rPr>
            </w:pPr>
            <w:r w:rsidRPr="001D54EF">
              <w:rPr>
                <w:snapToGrid w:val="0"/>
                <w:lang w:eastAsia="en-US"/>
              </w:rPr>
              <w:t>Confounding: Randomisation</w:t>
            </w:r>
          </w:p>
        </w:tc>
        <w:tc>
          <w:tcPr>
            <w:tcW w:w="483" w:type="dxa"/>
            <w:tcBorders>
              <w:bottom w:val="single" w:sz="4" w:space="0" w:color="auto"/>
            </w:tcBorders>
            <w:shd w:val="clear" w:color="auto" w:fill="auto"/>
            <w:noWrap/>
            <w:textDirection w:val="btLr"/>
            <w:vAlign w:val="bottom"/>
            <w:hideMark/>
          </w:tcPr>
          <w:p w14:paraId="6DA77A33" w14:textId="77777777" w:rsidR="00E10816" w:rsidRPr="001D54EF" w:rsidRDefault="00E10816" w:rsidP="0024526E">
            <w:pPr>
              <w:pStyle w:val="Tabletext1"/>
              <w:spacing w:before="0" w:after="0"/>
              <w:rPr>
                <w:snapToGrid w:val="0"/>
                <w:lang w:eastAsia="en-US"/>
              </w:rPr>
            </w:pPr>
            <w:r w:rsidRPr="001D54EF">
              <w:rPr>
                <w:snapToGrid w:val="0"/>
                <w:lang w:eastAsia="en-US"/>
              </w:rPr>
              <w:t>Confounding: Randomisation blinded</w:t>
            </w:r>
          </w:p>
        </w:tc>
        <w:tc>
          <w:tcPr>
            <w:tcW w:w="483" w:type="dxa"/>
            <w:tcBorders>
              <w:bottom w:val="single" w:sz="4" w:space="0" w:color="auto"/>
            </w:tcBorders>
            <w:shd w:val="clear" w:color="auto" w:fill="auto"/>
            <w:noWrap/>
            <w:textDirection w:val="btLr"/>
            <w:vAlign w:val="bottom"/>
            <w:hideMark/>
          </w:tcPr>
          <w:p w14:paraId="4D07FAA0" w14:textId="77777777" w:rsidR="00E10816" w:rsidRPr="001D54EF" w:rsidRDefault="00E10816" w:rsidP="0024526E">
            <w:pPr>
              <w:pStyle w:val="Tabletext1"/>
              <w:spacing w:before="0" w:after="0"/>
              <w:rPr>
                <w:snapToGrid w:val="0"/>
                <w:lang w:eastAsia="en-US"/>
              </w:rPr>
            </w:pPr>
            <w:r w:rsidRPr="001D54EF">
              <w:rPr>
                <w:snapToGrid w:val="0"/>
                <w:lang w:eastAsia="en-US"/>
              </w:rPr>
              <w:t>Confounding: Adjustment for confounders</w:t>
            </w:r>
          </w:p>
        </w:tc>
        <w:tc>
          <w:tcPr>
            <w:tcW w:w="483" w:type="dxa"/>
            <w:tcBorders>
              <w:bottom w:val="single" w:sz="4" w:space="0" w:color="auto"/>
            </w:tcBorders>
            <w:shd w:val="clear" w:color="auto" w:fill="auto"/>
            <w:noWrap/>
            <w:textDirection w:val="btLr"/>
            <w:vAlign w:val="bottom"/>
            <w:hideMark/>
          </w:tcPr>
          <w:p w14:paraId="4626AEF5" w14:textId="77777777" w:rsidR="00E10816" w:rsidRPr="001D54EF" w:rsidRDefault="00E10816" w:rsidP="0024526E">
            <w:pPr>
              <w:pStyle w:val="Tabletext1"/>
              <w:spacing w:before="0" w:after="0"/>
              <w:rPr>
                <w:snapToGrid w:val="0"/>
                <w:lang w:eastAsia="en-US"/>
              </w:rPr>
            </w:pPr>
            <w:r w:rsidRPr="001D54EF">
              <w:rPr>
                <w:snapToGrid w:val="0"/>
                <w:lang w:eastAsia="en-US"/>
              </w:rPr>
              <w:t>Confounding: Losses to follow-up</w:t>
            </w:r>
          </w:p>
        </w:tc>
        <w:tc>
          <w:tcPr>
            <w:tcW w:w="484" w:type="dxa"/>
            <w:tcBorders>
              <w:bottom w:val="single" w:sz="4" w:space="0" w:color="auto"/>
            </w:tcBorders>
            <w:shd w:val="clear" w:color="auto" w:fill="auto"/>
            <w:noWrap/>
            <w:textDirection w:val="btLr"/>
            <w:vAlign w:val="bottom"/>
            <w:hideMark/>
          </w:tcPr>
          <w:p w14:paraId="5512B6E2" w14:textId="77777777" w:rsidR="00E10816" w:rsidRPr="001D54EF" w:rsidRDefault="00E10816" w:rsidP="0024526E">
            <w:pPr>
              <w:pStyle w:val="Tabletext1"/>
              <w:spacing w:before="0" w:after="0"/>
              <w:rPr>
                <w:snapToGrid w:val="0"/>
                <w:lang w:eastAsia="en-US"/>
              </w:rPr>
            </w:pPr>
            <w:r w:rsidRPr="001D54EF">
              <w:rPr>
                <w:snapToGrid w:val="0"/>
                <w:lang w:eastAsia="en-US"/>
              </w:rPr>
              <w:t>Power: Power reported or sufficient</w:t>
            </w:r>
          </w:p>
        </w:tc>
      </w:tr>
      <w:tr w:rsidR="00E10816" w:rsidRPr="001D54EF" w14:paraId="08D29CB6" w14:textId="77777777" w:rsidTr="00D43585">
        <w:trPr>
          <w:trHeight w:val="300"/>
        </w:trPr>
        <w:tc>
          <w:tcPr>
            <w:tcW w:w="1842" w:type="dxa"/>
            <w:tcBorders>
              <w:right w:val="nil"/>
            </w:tcBorders>
            <w:shd w:val="clear" w:color="auto" w:fill="D9D9D9" w:themeFill="background1" w:themeFillShade="D9"/>
            <w:noWrap/>
            <w:vAlign w:val="bottom"/>
          </w:tcPr>
          <w:p w14:paraId="50F209C1" w14:textId="77777777" w:rsidR="00E10816" w:rsidRPr="00D43585" w:rsidRDefault="00E10816" w:rsidP="008D3899">
            <w:pPr>
              <w:pStyle w:val="Tabletext1"/>
              <w:rPr>
                <w:b/>
                <w:snapToGrid w:val="0"/>
                <w:lang w:eastAsia="en-US"/>
              </w:rPr>
            </w:pPr>
            <w:r w:rsidRPr="00D43585">
              <w:rPr>
                <w:b/>
                <w:snapToGrid w:val="0"/>
                <w:lang w:eastAsia="en-US"/>
              </w:rPr>
              <w:t>POPULATION 1</w:t>
            </w:r>
          </w:p>
        </w:tc>
        <w:tc>
          <w:tcPr>
            <w:tcW w:w="483" w:type="dxa"/>
            <w:tcBorders>
              <w:left w:val="nil"/>
              <w:right w:val="nil"/>
            </w:tcBorders>
            <w:shd w:val="clear" w:color="auto" w:fill="D9D9D9" w:themeFill="background1" w:themeFillShade="D9"/>
            <w:noWrap/>
            <w:vAlign w:val="center"/>
          </w:tcPr>
          <w:p w14:paraId="706D22A1"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25D65B73"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2B7F000E"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4231D22E"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0C59184A"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51057FBC"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5B02399E"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7F6958EE"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0785B04E"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2EC94DF8"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7BC0EE52"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3383A7B7"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5CC5EEEC" w14:textId="77777777" w:rsidR="00E10816" w:rsidRPr="001D54EF" w:rsidRDefault="00E10816" w:rsidP="008D3899">
            <w:pPr>
              <w:pStyle w:val="Tabletext1"/>
              <w:rPr>
                <w:snapToGrid w:val="0"/>
                <w:lang w:eastAsia="en-US"/>
              </w:rPr>
            </w:pPr>
          </w:p>
        </w:tc>
        <w:tc>
          <w:tcPr>
            <w:tcW w:w="484" w:type="dxa"/>
            <w:tcBorders>
              <w:left w:val="nil"/>
              <w:right w:val="nil"/>
            </w:tcBorders>
            <w:shd w:val="clear" w:color="auto" w:fill="D9D9D9" w:themeFill="background1" w:themeFillShade="D9"/>
            <w:noWrap/>
            <w:vAlign w:val="center"/>
          </w:tcPr>
          <w:p w14:paraId="306BAC9A"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2DC953C2" w14:textId="77777777" w:rsidR="00E10816" w:rsidRPr="001D54EF" w:rsidRDefault="00E10816" w:rsidP="008D3899">
            <w:pPr>
              <w:pStyle w:val="Tabletext1"/>
              <w:rPr>
                <w:snapToGrid w:val="0"/>
                <w:lang w:eastAsia="en-US"/>
              </w:rPr>
            </w:pPr>
          </w:p>
        </w:tc>
        <w:tc>
          <w:tcPr>
            <w:tcW w:w="410" w:type="dxa"/>
            <w:tcBorders>
              <w:left w:val="nil"/>
              <w:right w:val="nil"/>
            </w:tcBorders>
            <w:shd w:val="clear" w:color="auto" w:fill="D9D9D9" w:themeFill="background1" w:themeFillShade="D9"/>
            <w:noWrap/>
            <w:vAlign w:val="center"/>
          </w:tcPr>
          <w:p w14:paraId="1F9EFBB7" w14:textId="77777777" w:rsidR="00E10816" w:rsidRPr="001D54EF" w:rsidRDefault="00E10816" w:rsidP="008D3899">
            <w:pPr>
              <w:pStyle w:val="Tabletext1"/>
              <w:rPr>
                <w:snapToGrid w:val="0"/>
                <w:lang w:eastAsia="en-US"/>
              </w:rPr>
            </w:pPr>
          </w:p>
        </w:tc>
        <w:tc>
          <w:tcPr>
            <w:tcW w:w="556" w:type="dxa"/>
            <w:tcBorders>
              <w:left w:val="nil"/>
              <w:right w:val="nil"/>
            </w:tcBorders>
            <w:shd w:val="clear" w:color="auto" w:fill="D9D9D9" w:themeFill="background1" w:themeFillShade="D9"/>
            <w:noWrap/>
            <w:vAlign w:val="center"/>
          </w:tcPr>
          <w:p w14:paraId="312B64D6"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68C838E9"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643C344F"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74AFA997"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1209FF78"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249A4A94"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4E2BDB25"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0382E9F2"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505591AD"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7DC26C7D" w14:textId="77777777" w:rsidR="00E10816" w:rsidRPr="001D54EF" w:rsidRDefault="00E10816" w:rsidP="008D3899">
            <w:pPr>
              <w:pStyle w:val="Tabletext1"/>
              <w:rPr>
                <w:snapToGrid w:val="0"/>
                <w:lang w:eastAsia="en-US"/>
              </w:rPr>
            </w:pPr>
          </w:p>
        </w:tc>
        <w:tc>
          <w:tcPr>
            <w:tcW w:w="484" w:type="dxa"/>
            <w:tcBorders>
              <w:left w:val="nil"/>
            </w:tcBorders>
            <w:shd w:val="clear" w:color="auto" w:fill="D9D9D9" w:themeFill="background1" w:themeFillShade="D9"/>
            <w:noWrap/>
            <w:vAlign w:val="center"/>
          </w:tcPr>
          <w:p w14:paraId="26C90507" w14:textId="77777777" w:rsidR="00E10816" w:rsidRPr="001D54EF" w:rsidRDefault="00E10816" w:rsidP="008D3899">
            <w:pPr>
              <w:pStyle w:val="Tabletext1"/>
              <w:rPr>
                <w:snapToGrid w:val="0"/>
                <w:lang w:eastAsia="en-US"/>
              </w:rPr>
            </w:pPr>
          </w:p>
        </w:tc>
      </w:tr>
      <w:tr w:rsidR="005F7C44" w:rsidRPr="001D54EF" w14:paraId="7B8BEBC6" w14:textId="77777777" w:rsidTr="00D43585">
        <w:trPr>
          <w:trHeight w:val="300"/>
        </w:trPr>
        <w:tc>
          <w:tcPr>
            <w:tcW w:w="1842" w:type="dxa"/>
            <w:shd w:val="clear" w:color="auto" w:fill="auto"/>
            <w:noWrap/>
            <w:vAlign w:val="bottom"/>
          </w:tcPr>
          <w:p w14:paraId="12D2AA51" w14:textId="77777777" w:rsidR="00E10816" w:rsidRPr="001D54EF" w:rsidRDefault="00E10816" w:rsidP="008D3899">
            <w:pPr>
              <w:pStyle w:val="Tabletext1"/>
              <w:rPr>
                <w:snapToGrid w:val="0"/>
                <w:lang w:eastAsia="en-US"/>
              </w:rPr>
            </w:pPr>
            <w:r w:rsidRPr="001D54EF">
              <w:rPr>
                <w:snapToGrid w:val="0"/>
                <w:lang w:eastAsia="en-US"/>
              </w:rPr>
              <w:t>Price (2012)</w:t>
            </w:r>
          </w:p>
        </w:tc>
        <w:tc>
          <w:tcPr>
            <w:tcW w:w="483" w:type="dxa"/>
            <w:shd w:val="clear" w:color="auto" w:fill="EAF1DD" w:themeFill="accent3" w:themeFillTint="33"/>
            <w:noWrap/>
            <w:vAlign w:val="center"/>
          </w:tcPr>
          <w:p w14:paraId="36DCA1BE"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4935D854"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31B8F458"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1F82A80A"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27559D4"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1B03FDD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032D3909"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78F1B647"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6BEAC1D8"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281B7C92"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D9D9D9" w:themeFill="background1" w:themeFillShade="D9"/>
            <w:noWrap/>
            <w:vAlign w:val="center"/>
          </w:tcPr>
          <w:p w14:paraId="4186C5AE"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FFFCC"/>
            <w:noWrap/>
            <w:vAlign w:val="center"/>
          </w:tcPr>
          <w:p w14:paraId="6A5A797A" w14:textId="77777777" w:rsidR="00E10816" w:rsidRPr="001D54EF" w:rsidRDefault="00E10816" w:rsidP="008D3899">
            <w:pPr>
              <w:pStyle w:val="Tabletext1"/>
              <w:rPr>
                <w:snapToGrid w:val="0"/>
                <w:lang w:eastAsia="en-US"/>
              </w:rPr>
            </w:pPr>
            <w:r w:rsidRPr="001D54EF">
              <w:rPr>
                <w:snapToGrid w:val="0"/>
                <w:lang w:eastAsia="en-US"/>
              </w:rPr>
              <w:t>?</w:t>
            </w:r>
          </w:p>
        </w:tc>
        <w:tc>
          <w:tcPr>
            <w:tcW w:w="483" w:type="dxa"/>
            <w:shd w:val="clear" w:color="auto" w:fill="EAF1DD" w:themeFill="accent3" w:themeFillTint="33"/>
            <w:noWrap/>
            <w:vAlign w:val="center"/>
          </w:tcPr>
          <w:p w14:paraId="2BF33249" w14:textId="77777777" w:rsidR="00E10816" w:rsidRPr="001D54EF" w:rsidRDefault="00E10816" w:rsidP="008D3899">
            <w:pPr>
              <w:pStyle w:val="Tabletext1"/>
              <w:rPr>
                <w:snapToGrid w:val="0"/>
                <w:lang w:eastAsia="en-US"/>
              </w:rPr>
            </w:pPr>
            <w:r w:rsidRPr="001D54EF">
              <w:rPr>
                <w:snapToGrid w:val="0"/>
                <w:lang w:eastAsia="en-US"/>
              </w:rPr>
              <w:t>1</w:t>
            </w:r>
          </w:p>
        </w:tc>
        <w:tc>
          <w:tcPr>
            <w:tcW w:w="484" w:type="dxa"/>
            <w:shd w:val="clear" w:color="auto" w:fill="F2DBDB" w:themeFill="accent2" w:themeFillTint="33"/>
            <w:noWrap/>
            <w:vAlign w:val="center"/>
          </w:tcPr>
          <w:p w14:paraId="2BDCE2C1"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53F3BD7C" w14:textId="77777777" w:rsidR="00E10816" w:rsidRPr="001D54EF" w:rsidRDefault="00E10816" w:rsidP="008D3899">
            <w:pPr>
              <w:pStyle w:val="Tabletext1"/>
              <w:rPr>
                <w:snapToGrid w:val="0"/>
                <w:lang w:eastAsia="en-US"/>
              </w:rPr>
            </w:pPr>
            <w:r w:rsidRPr="001D54EF">
              <w:rPr>
                <w:snapToGrid w:val="0"/>
                <w:lang w:eastAsia="en-US"/>
              </w:rPr>
              <w:t>0</w:t>
            </w:r>
          </w:p>
        </w:tc>
        <w:tc>
          <w:tcPr>
            <w:tcW w:w="410" w:type="dxa"/>
            <w:shd w:val="clear" w:color="auto" w:fill="F2DBDB" w:themeFill="accent2" w:themeFillTint="33"/>
            <w:noWrap/>
            <w:vAlign w:val="center"/>
          </w:tcPr>
          <w:p w14:paraId="48B920CD" w14:textId="77777777" w:rsidR="00E10816" w:rsidRPr="001D54EF" w:rsidRDefault="00E10816" w:rsidP="008D3899">
            <w:pPr>
              <w:pStyle w:val="Tabletext1"/>
              <w:rPr>
                <w:snapToGrid w:val="0"/>
                <w:lang w:eastAsia="en-US"/>
              </w:rPr>
            </w:pPr>
            <w:r w:rsidRPr="001D54EF">
              <w:rPr>
                <w:snapToGrid w:val="0"/>
                <w:lang w:eastAsia="en-US"/>
              </w:rPr>
              <w:t>0</w:t>
            </w:r>
          </w:p>
        </w:tc>
        <w:tc>
          <w:tcPr>
            <w:tcW w:w="556" w:type="dxa"/>
            <w:shd w:val="clear" w:color="auto" w:fill="EAF1DD" w:themeFill="accent3" w:themeFillTint="33"/>
            <w:noWrap/>
            <w:vAlign w:val="center"/>
          </w:tcPr>
          <w:p w14:paraId="012C41C0"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19E31E19"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906532A"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42B14C6F"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FFFCC"/>
            <w:noWrap/>
            <w:vAlign w:val="center"/>
          </w:tcPr>
          <w:p w14:paraId="26CE1C23" w14:textId="77777777" w:rsidR="00E10816" w:rsidRPr="001D54EF" w:rsidRDefault="00E10816" w:rsidP="008D3899">
            <w:pPr>
              <w:pStyle w:val="Tabletext1"/>
              <w:rPr>
                <w:snapToGrid w:val="0"/>
                <w:lang w:eastAsia="en-US"/>
              </w:rPr>
            </w:pPr>
            <w:r w:rsidRPr="001D54EF">
              <w:rPr>
                <w:snapToGrid w:val="0"/>
                <w:lang w:eastAsia="en-US"/>
              </w:rPr>
              <w:t>?</w:t>
            </w:r>
          </w:p>
        </w:tc>
        <w:tc>
          <w:tcPr>
            <w:tcW w:w="483" w:type="dxa"/>
            <w:shd w:val="clear" w:color="auto" w:fill="EAF1DD" w:themeFill="accent3" w:themeFillTint="33"/>
            <w:noWrap/>
            <w:vAlign w:val="center"/>
          </w:tcPr>
          <w:p w14:paraId="4C1A2E1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2366740F"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2C7F1F2B"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23DB858C"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379F05EE" w14:textId="77777777" w:rsidR="00E10816" w:rsidRPr="001D54EF" w:rsidRDefault="00E10816" w:rsidP="008D3899">
            <w:pPr>
              <w:pStyle w:val="Tabletext1"/>
              <w:rPr>
                <w:snapToGrid w:val="0"/>
                <w:lang w:eastAsia="en-US"/>
              </w:rPr>
            </w:pPr>
            <w:r w:rsidRPr="001D54EF">
              <w:rPr>
                <w:snapToGrid w:val="0"/>
                <w:lang w:eastAsia="en-US"/>
              </w:rPr>
              <w:t>1</w:t>
            </w:r>
          </w:p>
        </w:tc>
        <w:tc>
          <w:tcPr>
            <w:tcW w:w="484" w:type="dxa"/>
            <w:shd w:val="clear" w:color="auto" w:fill="EAF1DD" w:themeFill="accent3" w:themeFillTint="33"/>
            <w:noWrap/>
            <w:vAlign w:val="center"/>
          </w:tcPr>
          <w:p w14:paraId="6AB34C88" w14:textId="77777777" w:rsidR="00E10816" w:rsidRPr="001D54EF" w:rsidRDefault="00E10816" w:rsidP="008D3899">
            <w:pPr>
              <w:pStyle w:val="Tabletext1"/>
              <w:rPr>
                <w:snapToGrid w:val="0"/>
                <w:lang w:eastAsia="en-US"/>
              </w:rPr>
            </w:pPr>
            <w:r w:rsidRPr="001D54EF">
              <w:rPr>
                <w:snapToGrid w:val="0"/>
                <w:lang w:eastAsia="en-US"/>
              </w:rPr>
              <w:t>1</w:t>
            </w:r>
          </w:p>
        </w:tc>
      </w:tr>
      <w:tr w:rsidR="005F7C44" w:rsidRPr="001D54EF" w14:paraId="32951EA2" w14:textId="77777777" w:rsidTr="00D43585">
        <w:trPr>
          <w:trHeight w:val="300"/>
        </w:trPr>
        <w:tc>
          <w:tcPr>
            <w:tcW w:w="1842" w:type="dxa"/>
            <w:shd w:val="clear" w:color="auto" w:fill="auto"/>
            <w:noWrap/>
            <w:vAlign w:val="bottom"/>
          </w:tcPr>
          <w:p w14:paraId="41E0FA20" w14:textId="77777777" w:rsidR="00E10816" w:rsidRPr="001D54EF" w:rsidRDefault="00E10816" w:rsidP="008D3899">
            <w:pPr>
              <w:pStyle w:val="Tabletext1"/>
              <w:rPr>
                <w:snapToGrid w:val="0"/>
                <w:lang w:eastAsia="en-US"/>
              </w:rPr>
            </w:pPr>
            <w:r w:rsidRPr="001D54EF">
              <w:rPr>
                <w:snapToGrid w:val="0"/>
                <w:lang w:eastAsia="en-US"/>
              </w:rPr>
              <w:t>Videtic (2015)</w:t>
            </w:r>
          </w:p>
        </w:tc>
        <w:tc>
          <w:tcPr>
            <w:tcW w:w="483" w:type="dxa"/>
            <w:shd w:val="clear" w:color="auto" w:fill="EAF1DD" w:themeFill="accent3" w:themeFillTint="33"/>
            <w:noWrap/>
            <w:vAlign w:val="center"/>
          </w:tcPr>
          <w:p w14:paraId="6EE86661"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64AC7F6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489FE56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92FDA70"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BDBBB7F"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7B4FBE9"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530EE64"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1363684"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07D624AC"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D9D9D9" w:themeFill="background1" w:themeFillShade="D9"/>
            <w:noWrap/>
            <w:vAlign w:val="center"/>
          </w:tcPr>
          <w:p w14:paraId="3D498F3C"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D9D9D9" w:themeFill="background1" w:themeFillShade="D9"/>
            <w:noWrap/>
            <w:vAlign w:val="center"/>
          </w:tcPr>
          <w:p w14:paraId="4A08C5D7"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FFFCC"/>
            <w:noWrap/>
            <w:vAlign w:val="center"/>
          </w:tcPr>
          <w:p w14:paraId="4D9AA92A" w14:textId="77777777" w:rsidR="00E10816" w:rsidRPr="001D54EF" w:rsidRDefault="00E10816" w:rsidP="008D3899">
            <w:pPr>
              <w:pStyle w:val="Tabletext1"/>
              <w:rPr>
                <w:snapToGrid w:val="0"/>
                <w:lang w:eastAsia="en-US"/>
              </w:rPr>
            </w:pPr>
            <w:r w:rsidRPr="001D54EF">
              <w:rPr>
                <w:snapToGrid w:val="0"/>
                <w:lang w:eastAsia="en-US"/>
              </w:rPr>
              <w:t>?</w:t>
            </w:r>
          </w:p>
        </w:tc>
        <w:tc>
          <w:tcPr>
            <w:tcW w:w="483" w:type="dxa"/>
            <w:shd w:val="clear" w:color="auto" w:fill="EAF1DD" w:themeFill="accent3" w:themeFillTint="33"/>
            <w:noWrap/>
            <w:vAlign w:val="center"/>
          </w:tcPr>
          <w:p w14:paraId="415884DA" w14:textId="77777777" w:rsidR="00E10816" w:rsidRPr="001D54EF" w:rsidRDefault="00E10816" w:rsidP="008D3899">
            <w:pPr>
              <w:pStyle w:val="Tabletext1"/>
              <w:rPr>
                <w:snapToGrid w:val="0"/>
                <w:lang w:eastAsia="en-US"/>
              </w:rPr>
            </w:pPr>
            <w:r w:rsidRPr="001D54EF">
              <w:rPr>
                <w:snapToGrid w:val="0"/>
                <w:lang w:eastAsia="en-US"/>
              </w:rPr>
              <w:t>1</w:t>
            </w:r>
          </w:p>
        </w:tc>
        <w:tc>
          <w:tcPr>
            <w:tcW w:w="484" w:type="dxa"/>
            <w:shd w:val="clear" w:color="auto" w:fill="F2DBDB" w:themeFill="accent2" w:themeFillTint="33"/>
            <w:noWrap/>
            <w:vAlign w:val="center"/>
          </w:tcPr>
          <w:p w14:paraId="7BED7BCE"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60B37B28" w14:textId="77777777" w:rsidR="00E10816" w:rsidRPr="001D54EF" w:rsidRDefault="00E10816" w:rsidP="008D3899">
            <w:pPr>
              <w:pStyle w:val="Tabletext1"/>
              <w:rPr>
                <w:snapToGrid w:val="0"/>
                <w:lang w:eastAsia="en-US"/>
              </w:rPr>
            </w:pPr>
            <w:r w:rsidRPr="001D54EF">
              <w:rPr>
                <w:snapToGrid w:val="0"/>
                <w:lang w:eastAsia="en-US"/>
              </w:rPr>
              <w:t>0</w:t>
            </w:r>
          </w:p>
        </w:tc>
        <w:tc>
          <w:tcPr>
            <w:tcW w:w="410" w:type="dxa"/>
            <w:shd w:val="clear" w:color="auto" w:fill="F2DBDB" w:themeFill="accent2" w:themeFillTint="33"/>
            <w:noWrap/>
            <w:vAlign w:val="center"/>
          </w:tcPr>
          <w:p w14:paraId="608887F8" w14:textId="77777777" w:rsidR="00E10816" w:rsidRPr="001D54EF" w:rsidRDefault="00E10816" w:rsidP="008D3899">
            <w:pPr>
              <w:pStyle w:val="Tabletext1"/>
              <w:rPr>
                <w:snapToGrid w:val="0"/>
                <w:lang w:eastAsia="en-US"/>
              </w:rPr>
            </w:pPr>
            <w:r w:rsidRPr="001D54EF">
              <w:rPr>
                <w:snapToGrid w:val="0"/>
                <w:lang w:eastAsia="en-US"/>
              </w:rPr>
              <w:t>0</w:t>
            </w:r>
          </w:p>
        </w:tc>
        <w:tc>
          <w:tcPr>
            <w:tcW w:w="556" w:type="dxa"/>
            <w:shd w:val="clear" w:color="auto" w:fill="EAF1DD" w:themeFill="accent3" w:themeFillTint="33"/>
            <w:noWrap/>
            <w:vAlign w:val="center"/>
          </w:tcPr>
          <w:p w14:paraId="70D51825"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A0C4897"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04499A28"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16ABA715"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FFFCC"/>
            <w:noWrap/>
            <w:vAlign w:val="center"/>
          </w:tcPr>
          <w:p w14:paraId="52358D18" w14:textId="77777777" w:rsidR="00E10816" w:rsidRPr="001D54EF" w:rsidRDefault="00E10816" w:rsidP="008D3899">
            <w:pPr>
              <w:pStyle w:val="Tabletext1"/>
              <w:rPr>
                <w:snapToGrid w:val="0"/>
                <w:lang w:eastAsia="en-US"/>
              </w:rPr>
            </w:pPr>
            <w:r w:rsidRPr="001D54EF">
              <w:rPr>
                <w:snapToGrid w:val="0"/>
                <w:lang w:eastAsia="en-US"/>
              </w:rPr>
              <w:t>?</w:t>
            </w:r>
          </w:p>
        </w:tc>
        <w:tc>
          <w:tcPr>
            <w:tcW w:w="483" w:type="dxa"/>
            <w:shd w:val="clear" w:color="auto" w:fill="EAF1DD" w:themeFill="accent3" w:themeFillTint="33"/>
            <w:noWrap/>
            <w:vAlign w:val="center"/>
          </w:tcPr>
          <w:p w14:paraId="6B72C1F6"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2C87D7F4"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72748088"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7A73D9E3"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497ADCAA" w14:textId="77777777" w:rsidR="00E10816" w:rsidRPr="001D54EF" w:rsidRDefault="00E10816" w:rsidP="008D3899">
            <w:pPr>
              <w:pStyle w:val="Tabletext1"/>
              <w:rPr>
                <w:snapToGrid w:val="0"/>
                <w:lang w:eastAsia="en-US"/>
              </w:rPr>
            </w:pPr>
            <w:r w:rsidRPr="001D54EF">
              <w:rPr>
                <w:snapToGrid w:val="0"/>
                <w:lang w:eastAsia="en-US"/>
              </w:rPr>
              <w:t>0</w:t>
            </w:r>
          </w:p>
        </w:tc>
        <w:tc>
          <w:tcPr>
            <w:tcW w:w="484" w:type="dxa"/>
            <w:shd w:val="clear" w:color="auto" w:fill="F2DBDB" w:themeFill="accent2" w:themeFillTint="33"/>
            <w:noWrap/>
            <w:vAlign w:val="center"/>
          </w:tcPr>
          <w:p w14:paraId="097041B3" w14:textId="77777777" w:rsidR="00E10816" w:rsidRPr="001D54EF" w:rsidRDefault="00E10816" w:rsidP="008D3899">
            <w:pPr>
              <w:pStyle w:val="Tabletext1"/>
              <w:rPr>
                <w:snapToGrid w:val="0"/>
                <w:lang w:eastAsia="en-US"/>
              </w:rPr>
            </w:pPr>
            <w:r w:rsidRPr="001D54EF">
              <w:rPr>
                <w:snapToGrid w:val="0"/>
                <w:lang w:eastAsia="en-US"/>
              </w:rPr>
              <w:t>0</w:t>
            </w:r>
          </w:p>
        </w:tc>
      </w:tr>
      <w:tr w:rsidR="005F7C44" w:rsidRPr="001D54EF" w14:paraId="0E848E77" w14:textId="77777777" w:rsidTr="00D43585">
        <w:trPr>
          <w:trHeight w:val="300"/>
        </w:trPr>
        <w:tc>
          <w:tcPr>
            <w:tcW w:w="1842" w:type="dxa"/>
            <w:shd w:val="clear" w:color="auto" w:fill="auto"/>
            <w:noWrap/>
            <w:vAlign w:val="bottom"/>
          </w:tcPr>
          <w:p w14:paraId="1DC505F2" w14:textId="77777777" w:rsidR="00E10816" w:rsidRPr="001D54EF" w:rsidRDefault="00E10816" w:rsidP="008D3899">
            <w:pPr>
              <w:pStyle w:val="Tabletext1"/>
              <w:rPr>
                <w:snapToGrid w:val="0"/>
                <w:lang w:eastAsia="en-US"/>
              </w:rPr>
            </w:pPr>
            <w:r w:rsidRPr="001D54EF">
              <w:rPr>
                <w:snapToGrid w:val="0"/>
                <w:lang w:eastAsia="en-US"/>
              </w:rPr>
              <w:t>Koshy (2015)</w:t>
            </w:r>
          </w:p>
        </w:tc>
        <w:tc>
          <w:tcPr>
            <w:tcW w:w="483" w:type="dxa"/>
            <w:shd w:val="clear" w:color="auto" w:fill="EAF1DD" w:themeFill="accent3" w:themeFillTint="33"/>
            <w:noWrap/>
            <w:vAlign w:val="center"/>
          </w:tcPr>
          <w:p w14:paraId="2A81C744"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4FC657F0"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07288309"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38379283"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46FC85CE"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60A5FDFC"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5B0D97B1"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338157C3"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0410B45A"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0FE39260"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D9D9D9" w:themeFill="background1" w:themeFillShade="D9"/>
            <w:noWrap/>
            <w:vAlign w:val="center"/>
          </w:tcPr>
          <w:p w14:paraId="287330C3"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FFFCC"/>
            <w:noWrap/>
            <w:vAlign w:val="center"/>
          </w:tcPr>
          <w:p w14:paraId="6622720B" w14:textId="77777777" w:rsidR="00E10816" w:rsidRPr="001D54EF" w:rsidRDefault="00E10816" w:rsidP="008D3899">
            <w:pPr>
              <w:pStyle w:val="Tabletext1"/>
              <w:rPr>
                <w:snapToGrid w:val="0"/>
                <w:lang w:eastAsia="en-US"/>
              </w:rPr>
            </w:pPr>
            <w:r w:rsidRPr="001D54EF">
              <w:rPr>
                <w:snapToGrid w:val="0"/>
                <w:lang w:eastAsia="en-US"/>
              </w:rPr>
              <w:t>?</w:t>
            </w:r>
          </w:p>
        </w:tc>
        <w:tc>
          <w:tcPr>
            <w:tcW w:w="483" w:type="dxa"/>
            <w:shd w:val="clear" w:color="auto" w:fill="EAF1DD" w:themeFill="accent3" w:themeFillTint="33"/>
            <w:noWrap/>
            <w:vAlign w:val="center"/>
          </w:tcPr>
          <w:p w14:paraId="527DFB98" w14:textId="77777777" w:rsidR="00E10816" w:rsidRPr="001D54EF" w:rsidRDefault="00E10816" w:rsidP="008D3899">
            <w:pPr>
              <w:pStyle w:val="Tabletext1"/>
              <w:rPr>
                <w:snapToGrid w:val="0"/>
                <w:lang w:eastAsia="en-US"/>
              </w:rPr>
            </w:pPr>
            <w:r w:rsidRPr="001D54EF">
              <w:rPr>
                <w:snapToGrid w:val="0"/>
                <w:lang w:eastAsia="en-US"/>
              </w:rPr>
              <w:t>1</w:t>
            </w:r>
          </w:p>
        </w:tc>
        <w:tc>
          <w:tcPr>
            <w:tcW w:w="484" w:type="dxa"/>
            <w:shd w:val="clear" w:color="auto" w:fill="F2DBDB" w:themeFill="accent2" w:themeFillTint="33"/>
            <w:noWrap/>
            <w:vAlign w:val="center"/>
          </w:tcPr>
          <w:p w14:paraId="4629C9C4"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4C2E2BFC" w14:textId="77777777" w:rsidR="00E10816" w:rsidRPr="001D54EF" w:rsidRDefault="00E10816" w:rsidP="008D3899">
            <w:pPr>
              <w:pStyle w:val="Tabletext1"/>
              <w:rPr>
                <w:snapToGrid w:val="0"/>
                <w:lang w:eastAsia="en-US"/>
              </w:rPr>
            </w:pPr>
            <w:r w:rsidRPr="001D54EF">
              <w:rPr>
                <w:snapToGrid w:val="0"/>
                <w:lang w:eastAsia="en-US"/>
              </w:rPr>
              <w:t>0</w:t>
            </w:r>
          </w:p>
        </w:tc>
        <w:tc>
          <w:tcPr>
            <w:tcW w:w="410" w:type="dxa"/>
            <w:shd w:val="clear" w:color="auto" w:fill="F2DBDB" w:themeFill="accent2" w:themeFillTint="33"/>
            <w:noWrap/>
            <w:vAlign w:val="center"/>
          </w:tcPr>
          <w:p w14:paraId="225A3CD6" w14:textId="77777777" w:rsidR="00E10816" w:rsidRPr="001D54EF" w:rsidRDefault="00E10816" w:rsidP="008D3899">
            <w:pPr>
              <w:pStyle w:val="Tabletext1"/>
              <w:rPr>
                <w:snapToGrid w:val="0"/>
                <w:lang w:eastAsia="en-US"/>
              </w:rPr>
            </w:pPr>
            <w:r w:rsidRPr="001D54EF">
              <w:rPr>
                <w:snapToGrid w:val="0"/>
                <w:lang w:eastAsia="en-US"/>
              </w:rPr>
              <w:t>0</w:t>
            </w:r>
          </w:p>
        </w:tc>
        <w:tc>
          <w:tcPr>
            <w:tcW w:w="556" w:type="dxa"/>
            <w:shd w:val="clear" w:color="auto" w:fill="EAF1DD" w:themeFill="accent3" w:themeFillTint="33"/>
            <w:noWrap/>
            <w:vAlign w:val="center"/>
          </w:tcPr>
          <w:p w14:paraId="7ADCB2DC"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FC688F2"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E80A2D2"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27F35CAF"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E376BEF"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6F3478CD"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4B0B4D87"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D9D9D9" w:themeFill="background1" w:themeFillShade="D9"/>
            <w:noWrap/>
            <w:vAlign w:val="center"/>
          </w:tcPr>
          <w:p w14:paraId="0BAA1408"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2DBDB" w:themeFill="accent2" w:themeFillTint="33"/>
            <w:noWrap/>
            <w:vAlign w:val="center"/>
          </w:tcPr>
          <w:p w14:paraId="16CF1E2C"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22C5385B" w14:textId="77777777" w:rsidR="00E10816" w:rsidRPr="001D54EF" w:rsidRDefault="00E10816" w:rsidP="008D3899">
            <w:pPr>
              <w:pStyle w:val="Tabletext1"/>
              <w:rPr>
                <w:snapToGrid w:val="0"/>
                <w:lang w:eastAsia="en-US"/>
              </w:rPr>
            </w:pPr>
            <w:r w:rsidRPr="001D54EF">
              <w:rPr>
                <w:snapToGrid w:val="0"/>
                <w:lang w:eastAsia="en-US"/>
              </w:rPr>
              <w:t>0</w:t>
            </w:r>
          </w:p>
        </w:tc>
        <w:tc>
          <w:tcPr>
            <w:tcW w:w="484" w:type="dxa"/>
            <w:shd w:val="clear" w:color="auto" w:fill="EAF1DD" w:themeFill="accent3" w:themeFillTint="33"/>
            <w:noWrap/>
            <w:vAlign w:val="center"/>
          </w:tcPr>
          <w:p w14:paraId="030FC1A5" w14:textId="77777777" w:rsidR="00E10816" w:rsidRPr="001D54EF" w:rsidRDefault="00E10816" w:rsidP="008D3899">
            <w:pPr>
              <w:pStyle w:val="Tabletext1"/>
              <w:rPr>
                <w:snapToGrid w:val="0"/>
                <w:lang w:eastAsia="en-US"/>
              </w:rPr>
            </w:pPr>
            <w:r w:rsidRPr="001D54EF">
              <w:rPr>
                <w:snapToGrid w:val="0"/>
                <w:lang w:eastAsia="en-US"/>
              </w:rPr>
              <w:t>1</w:t>
            </w:r>
          </w:p>
        </w:tc>
      </w:tr>
      <w:tr w:rsidR="005F7C44" w:rsidRPr="001D54EF" w14:paraId="50757B1E" w14:textId="77777777" w:rsidTr="00D43585">
        <w:trPr>
          <w:trHeight w:val="300"/>
        </w:trPr>
        <w:tc>
          <w:tcPr>
            <w:tcW w:w="1842" w:type="dxa"/>
            <w:shd w:val="clear" w:color="auto" w:fill="auto"/>
            <w:noWrap/>
            <w:vAlign w:val="bottom"/>
          </w:tcPr>
          <w:p w14:paraId="0E5A3591" w14:textId="77777777" w:rsidR="00E10816" w:rsidRPr="001D54EF" w:rsidRDefault="00E10816" w:rsidP="008D3899">
            <w:pPr>
              <w:pStyle w:val="Tabletext1"/>
              <w:rPr>
                <w:snapToGrid w:val="0"/>
                <w:lang w:eastAsia="en-US"/>
              </w:rPr>
            </w:pPr>
            <w:r w:rsidRPr="001D54EF">
              <w:rPr>
                <w:snapToGrid w:val="0"/>
                <w:lang w:eastAsia="en-US"/>
              </w:rPr>
              <w:t>Jeppsen (2013)</w:t>
            </w:r>
          </w:p>
        </w:tc>
        <w:tc>
          <w:tcPr>
            <w:tcW w:w="483" w:type="dxa"/>
            <w:shd w:val="clear" w:color="auto" w:fill="EAF1DD" w:themeFill="accent3" w:themeFillTint="33"/>
            <w:noWrap/>
            <w:vAlign w:val="center"/>
          </w:tcPr>
          <w:p w14:paraId="35C5A6FC"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AA3EAEF"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D78C769"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1D86F94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5E154B64"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1FA232D"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24246C1C"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24544444"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4FCBB33A"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54A79FB2"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D9D9D9" w:themeFill="background1" w:themeFillShade="D9"/>
            <w:noWrap/>
            <w:vAlign w:val="center"/>
          </w:tcPr>
          <w:p w14:paraId="3DA65185"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FFFCC"/>
            <w:noWrap/>
            <w:vAlign w:val="center"/>
          </w:tcPr>
          <w:p w14:paraId="30923DB3" w14:textId="77777777" w:rsidR="00E10816" w:rsidRPr="001D54EF" w:rsidRDefault="00E10816" w:rsidP="008D3899">
            <w:pPr>
              <w:pStyle w:val="Tabletext1"/>
              <w:rPr>
                <w:snapToGrid w:val="0"/>
                <w:lang w:eastAsia="en-US"/>
              </w:rPr>
            </w:pPr>
            <w:r w:rsidRPr="001D54EF">
              <w:rPr>
                <w:snapToGrid w:val="0"/>
                <w:lang w:eastAsia="en-US"/>
              </w:rPr>
              <w:t>?</w:t>
            </w:r>
          </w:p>
        </w:tc>
        <w:tc>
          <w:tcPr>
            <w:tcW w:w="483" w:type="dxa"/>
            <w:shd w:val="clear" w:color="auto" w:fill="EAF1DD" w:themeFill="accent3" w:themeFillTint="33"/>
            <w:noWrap/>
            <w:vAlign w:val="center"/>
          </w:tcPr>
          <w:p w14:paraId="7555C275" w14:textId="77777777" w:rsidR="00E10816" w:rsidRPr="001D54EF" w:rsidRDefault="00E10816" w:rsidP="008D3899">
            <w:pPr>
              <w:pStyle w:val="Tabletext1"/>
              <w:rPr>
                <w:snapToGrid w:val="0"/>
                <w:lang w:eastAsia="en-US"/>
              </w:rPr>
            </w:pPr>
            <w:r w:rsidRPr="001D54EF">
              <w:rPr>
                <w:snapToGrid w:val="0"/>
                <w:lang w:eastAsia="en-US"/>
              </w:rPr>
              <w:t>1</w:t>
            </w:r>
          </w:p>
        </w:tc>
        <w:tc>
          <w:tcPr>
            <w:tcW w:w="484" w:type="dxa"/>
            <w:shd w:val="clear" w:color="auto" w:fill="F2DBDB" w:themeFill="accent2" w:themeFillTint="33"/>
            <w:noWrap/>
            <w:vAlign w:val="center"/>
          </w:tcPr>
          <w:p w14:paraId="7611F8D0"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2A833C93" w14:textId="77777777" w:rsidR="00E10816" w:rsidRPr="001D54EF" w:rsidRDefault="00E10816" w:rsidP="008D3899">
            <w:pPr>
              <w:pStyle w:val="Tabletext1"/>
              <w:rPr>
                <w:snapToGrid w:val="0"/>
                <w:lang w:eastAsia="en-US"/>
              </w:rPr>
            </w:pPr>
            <w:r w:rsidRPr="001D54EF">
              <w:rPr>
                <w:snapToGrid w:val="0"/>
                <w:lang w:eastAsia="en-US"/>
              </w:rPr>
              <w:t>0</w:t>
            </w:r>
          </w:p>
        </w:tc>
        <w:tc>
          <w:tcPr>
            <w:tcW w:w="410" w:type="dxa"/>
            <w:shd w:val="clear" w:color="auto" w:fill="F2DBDB" w:themeFill="accent2" w:themeFillTint="33"/>
            <w:noWrap/>
            <w:vAlign w:val="center"/>
          </w:tcPr>
          <w:p w14:paraId="07B7945E" w14:textId="77777777" w:rsidR="00E10816" w:rsidRPr="001D54EF" w:rsidRDefault="00E10816" w:rsidP="008D3899">
            <w:pPr>
              <w:pStyle w:val="Tabletext1"/>
              <w:rPr>
                <w:snapToGrid w:val="0"/>
                <w:lang w:eastAsia="en-US"/>
              </w:rPr>
            </w:pPr>
            <w:r w:rsidRPr="001D54EF">
              <w:rPr>
                <w:snapToGrid w:val="0"/>
                <w:lang w:eastAsia="en-US"/>
              </w:rPr>
              <w:t>0</w:t>
            </w:r>
          </w:p>
        </w:tc>
        <w:tc>
          <w:tcPr>
            <w:tcW w:w="556" w:type="dxa"/>
            <w:shd w:val="clear" w:color="auto" w:fill="EAF1DD" w:themeFill="accent3" w:themeFillTint="33"/>
            <w:noWrap/>
            <w:vAlign w:val="center"/>
          </w:tcPr>
          <w:p w14:paraId="28C3A022"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3E304DA"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673E0A7E"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522561CF"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F261A76"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73D22005"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5F234318"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D9D9D9" w:themeFill="background1" w:themeFillShade="D9"/>
            <w:noWrap/>
            <w:vAlign w:val="center"/>
          </w:tcPr>
          <w:p w14:paraId="66D1E37B"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2DBDB" w:themeFill="accent2" w:themeFillTint="33"/>
            <w:noWrap/>
            <w:vAlign w:val="center"/>
          </w:tcPr>
          <w:p w14:paraId="1D10D7E0"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2A367F53" w14:textId="77777777" w:rsidR="00E10816" w:rsidRPr="001D54EF" w:rsidRDefault="00E10816" w:rsidP="008D3899">
            <w:pPr>
              <w:pStyle w:val="Tabletext1"/>
              <w:rPr>
                <w:snapToGrid w:val="0"/>
                <w:lang w:eastAsia="en-US"/>
              </w:rPr>
            </w:pPr>
            <w:r w:rsidRPr="001D54EF">
              <w:rPr>
                <w:snapToGrid w:val="0"/>
                <w:lang w:eastAsia="en-US"/>
              </w:rPr>
              <w:t>0</w:t>
            </w:r>
          </w:p>
        </w:tc>
        <w:tc>
          <w:tcPr>
            <w:tcW w:w="484" w:type="dxa"/>
            <w:shd w:val="clear" w:color="auto" w:fill="F2DBDB" w:themeFill="accent2" w:themeFillTint="33"/>
            <w:noWrap/>
            <w:vAlign w:val="center"/>
          </w:tcPr>
          <w:p w14:paraId="07BF498E" w14:textId="77777777" w:rsidR="00E10816" w:rsidRPr="001D54EF" w:rsidRDefault="00E10816" w:rsidP="008D3899">
            <w:pPr>
              <w:pStyle w:val="Tabletext1"/>
              <w:rPr>
                <w:snapToGrid w:val="0"/>
                <w:lang w:eastAsia="en-US"/>
              </w:rPr>
            </w:pPr>
            <w:r w:rsidRPr="001D54EF">
              <w:rPr>
                <w:snapToGrid w:val="0"/>
                <w:lang w:eastAsia="en-US"/>
              </w:rPr>
              <w:t>0</w:t>
            </w:r>
          </w:p>
        </w:tc>
      </w:tr>
      <w:tr w:rsidR="005F7C44" w:rsidRPr="001D54EF" w14:paraId="5D2D069E" w14:textId="77777777" w:rsidTr="00D43585">
        <w:trPr>
          <w:trHeight w:val="300"/>
        </w:trPr>
        <w:tc>
          <w:tcPr>
            <w:tcW w:w="1842" w:type="dxa"/>
            <w:shd w:val="clear" w:color="auto" w:fill="auto"/>
            <w:noWrap/>
            <w:vAlign w:val="bottom"/>
          </w:tcPr>
          <w:p w14:paraId="46010005" w14:textId="77777777" w:rsidR="00E10816" w:rsidRPr="001D54EF" w:rsidRDefault="00E10816" w:rsidP="008D3899">
            <w:pPr>
              <w:pStyle w:val="Tabletext1"/>
              <w:rPr>
                <w:snapToGrid w:val="0"/>
                <w:lang w:eastAsia="en-US"/>
              </w:rPr>
            </w:pPr>
            <w:r w:rsidRPr="001D54EF">
              <w:rPr>
                <w:snapToGrid w:val="0"/>
                <w:lang w:eastAsia="en-US"/>
              </w:rPr>
              <w:t>Lucas (2015)</w:t>
            </w:r>
          </w:p>
        </w:tc>
        <w:tc>
          <w:tcPr>
            <w:tcW w:w="483" w:type="dxa"/>
            <w:tcBorders>
              <w:bottom w:val="single" w:sz="4" w:space="0" w:color="auto"/>
            </w:tcBorders>
            <w:shd w:val="clear" w:color="auto" w:fill="F2DBDB" w:themeFill="accent2" w:themeFillTint="33"/>
            <w:noWrap/>
            <w:vAlign w:val="center"/>
          </w:tcPr>
          <w:p w14:paraId="2F6A9CA7"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tcBorders>
              <w:bottom w:val="single" w:sz="4" w:space="0" w:color="auto"/>
            </w:tcBorders>
            <w:shd w:val="clear" w:color="auto" w:fill="F2DBDB" w:themeFill="accent2" w:themeFillTint="33"/>
            <w:noWrap/>
            <w:vAlign w:val="center"/>
          </w:tcPr>
          <w:p w14:paraId="28088E88"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tcBorders>
              <w:bottom w:val="single" w:sz="4" w:space="0" w:color="auto"/>
            </w:tcBorders>
            <w:shd w:val="clear" w:color="auto" w:fill="EAF1DD" w:themeFill="accent3" w:themeFillTint="33"/>
            <w:noWrap/>
            <w:vAlign w:val="center"/>
          </w:tcPr>
          <w:p w14:paraId="6B50C567"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tcBorders>
              <w:bottom w:val="single" w:sz="4" w:space="0" w:color="auto"/>
            </w:tcBorders>
            <w:shd w:val="clear" w:color="auto" w:fill="EAF1DD" w:themeFill="accent3" w:themeFillTint="33"/>
            <w:noWrap/>
            <w:vAlign w:val="center"/>
          </w:tcPr>
          <w:p w14:paraId="14B203FF"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tcBorders>
              <w:bottom w:val="single" w:sz="4" w:space="0" w:color="auto"/>
            </w:tcBorders>
            <w:shd w:val="clear" w:color="auto" w:fill="EAF1DD" w:themeFill="accent3" w:themeFillTint="33"/>
            <w:noWrap/>
            <w:vAlign w:val="center"/>
          </w:tcPr>
          <w:p w14:paraId="0C4FFF9E"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tcBorders>
              <w:bottom w:val="single" w:sz="4" w:space="0" w:color="auto"/>
            </w:tcBorders>
            <w:shd w:val="clear" w:color="auto" w:fill="EAF1DD" w:themeFill="accent3" w:themeFillTint="33"/>
            <w:noWrap/>
            <w:vAlign w:val="center"/>
          </w:tcPr>
          <w:p w14:paraId="740E09CA"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tcBorders>
              <w:bottom w:val="single" w:sz="4" w:space="0" w:color="auto"/>
            </w:tcBorders>
            <w:shd w:val="clear" w:color="auto" w:fill="EAF1DD" w:themeFill="accent3" w:themeFillTint="33"/>
            <w:noWrap/>
            <w:vAlign w:val="center"/>
          </w:tcPr>
          <w:p w14:paraId="599A8FD4"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tcBorders>
              <w:bottom w:val="single" w:sz="4" w:space="0" w:color="auto"/>
            </w:tcBorders>
            <w:shd w:val="clear" w:color="auto" w:fill="F2DBDB" w:themeFill="accent2" w:themeFillTint="33"/>
            <w:noWrap/>
            <w:vAlign w:val="center"/>
          </w:tcPr>
          <w:p w14:paraId="198CA530"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tcBorders>
              <w:bottom w:val="single" w:sz="4" w:space="0" w:color="auto"/>
            </w:tcBorders>
            <w:shd w:val="clear" w:color="auto" w:fill="F2DBDB" w:themeFill="accent2" w:themeFillTint="33"/>
            <w:noWrap/>
            <w:vAlign w:val="center"/>
          </w:tcPr>
          <w:p w14:paraId="43A9EEDD"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tcBorders>
              <w:bottom w:val="single" w:sz="4" w:space="0" w:color="auto"/>
            </w:tcBorders>
            <w:shd w:val="clear" w:color="auto" w:fill="EAF1DD" w:themeFill="accent3" w:themeFillTint="33"/>
            <w:noWrap/>
            <w:vAlign w:val="center"/>
          </w:tcPr>
          <w:p w14:paraId="693D789D"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tcBorders>
              <w:bottom w:val="single" w:sz="4" w:space="0" w:color="auto"/>
            </w:tcBorders>
            <w:shd w:val="clear" w:color="auto" w:fill="D9D9D9" w:themeFill="background1" w:themeFillShade="D9"/>
            <w:noWrap/>
            <w:vAlign w:val="center"/>
          </w:tcPr>
          <w:p w14:paraId="76490130"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tcBorders>
              <w:bottom w:val="single" w:sz="4" w:space="0" w:color="auto"/>
            </w:tcBorders>
            <w:shd w:val="clear" w:color="auto" w:fill="FFFFCC"/>
            <w:noWrap/>
            <w:vAlign w:val="center"/>
          </w:tcPr>
          <w:p w14:paraId="69BF8CB1" w14:textId="77777777" w:rsidR="00E10816" w:rsidRPr="001D54EF" w:rsidRDefault="00E10816" w:rsidP="008D3899">
            <w:pPr>
              <w:pStyle w:val="Tabletext1"/>
              <w:rPr>
                <w:snapToGrid w:val="0"/>
                <w:lang w:eastAsia="en-US"/>
              </w:rPr>
            </w:pPr>
            <w:r w:rsidRPr="001D54EF">
              <w:rPr>
                <w:snapToGrid w:val="0"/>
                <w:lang w:eastAsia="en-US"/>
              </w:rPr>
              <w:t>?</w:t>
            </w:r>
          </w:p>
        </w:tc>
        <w:tc>
          <w:tcPr>
            <w:tcW w:w="483" w:type="dxa"/>
            <w:tcBorders>
              <w:bottom w:val="single" w:sz="4" w:space="0" w:color="auto"/>
            </w:tcBorders>
            <w:shd w:val="clear" w:color="auto" w:fill="EAF1DD" w:themeFill="accent3" w:themeFillTint="33"/>
            <w:noWrap/>
            <w:vAlign w:val="center"/>
          </w:tcPr>
          <w:p w14:paraId="74853EAF" w14:textId="77777777" w:rsidR="00E10816" w:rsidRPr="001D54EF" w:rsidRDefault="00E10816" w:rsidP="008D3899">
            <w:pPr>
              <w:pStyle w:val="Tabletext1"/>
              <w:rPr>
                <w:snapToGrid w:val="0"/>
                <w:lang w:eastAsia="en-US"/>
              </w:rPr>
            </w:pPr>
            <w:r w:rsidRPr="001D54EF">
              <w:rPr>
                <w:snapToGrid w:val="0"/>
                <w:lang w:eastAsia="en-US"/>
              </w:rPr>
              <w:t>1</w:t>
            </w:r>
          </w:p>
        </w:tc>
        <w:tc>
          <w:tcPr>
            <w:tcW w:w="484" w:type="dxa"/>
            <w:tcBorders>
              <w:bottom w:val="single" w:sz="4" w:space="0" w:color="auto"/>
            </w:tcBorders>
            <w:shd w:val="clear" w:color="auto" w:fill="F2DBDB" w:themeFill="accent2" w:themeFillTint="33"/>
            <w:noWrap/>
            <w:vAlign w:val="center"/>
          </w:tcPr>
          <w:p w14:paraId="36C2BE5B"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tcBorders>
              <w:bottom w:val="single" w:sz="4" w:space="0" w:color="auto"/>
            </w:tcBorders>
            <w:shd w:val="clear" w:color="auto" w:fill="F2DBDB" w:themeFill="accent2" w:themeFillTint="33"/>
            <w:noWrap/>
            <w:vAlign w:val="center"/>
          </w:tcPr>
          <w:p w14:paraId="680D696B" w14:textId="77777777" w:rsidR="00E10816" w:rsidRPr="001D54EF" w:rsidRDefault="00E10816" w:rsidP="008D3899">
            <w:pPr>
              <w:pStyle w:val="Tabletext1"/>
              <w:rPr>
                <w:snapToGrid w:val="0"/>
                <w:lang w:eastAsia="en-US"/>
              </w:rPr>
            </w:pPr>
            <w:r w:rsidRPr="001D54EF">
              <w:rPr>
                <w:snapToGrid w:val="0"/>
                <w:lang w:eastAsia="en-US"/>
              </w:rPr>
              <w:t>0</w:t>
            </w:r>
          </w:p>
        </w:tc>
        <w:tc>
          <w:tcPr>
            <w:tcW w:w="410" w:type="dxa"/>
            <w:tcBorders>
              <w:bottom w:val="single" w:sz="4" w:space="0" w:color="auto"/>
            </w:tcBorders>
            <w:shd w:val="clear" w:color="auto" w:fill="F2DBDB" w:themeFill="accent2" w:themeFillTint="33"/>
            <w:noWrap/>
            <w:vAlign w:val="center"/>
          </w:tcPr>
          <w:p w14:paraId="65922F32" w14:textId="77777777" w:rsidR="00E10816" w:rsidRPr="001D54EF" w:rsidRDefault="00E10816" w:rsidP="008D3899">
            <w:pPr>
              <w:pStyle w:val="Tabletext1"/>
              <w:rPr>
                <w:snapToGrid w:val="0"/>
                <w:lang w:eastAsia="en-US"/>
              </w:rPr>
            </w:pPr>
            <w:r w:rsidRPr="001D54EF">
              <w:rPr>
                <w:snapToGrid w:val="0"/>
                <w:lang w:eastAsia="en-US"/>
              </w:rPr>
              <w:t>0</w:t>
            </w:r>
          </w:p>
        </w:tc>
        <w:tc>
          <w:tcPr>
            <w:tcW w:w="556" w:type="dxa"/>
            <w:tcBorders>
              <w:bottom w:val="single" w:sz="4" w:space="0" w:color="auto"/>
            </w:tcBorders>
            <w:shd w:val="clear" w:color="auto" w:fill="EAF1DD" w:themeFill="accent3" w:themeFillTint="33"/>
            <w:noWrap/>
            <w:vAlign w:val="center"/>
          </w:tcPr>
          <w:p w14:paraId="34297EA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tcBorders>
              <w:bottom w:val="single" w:sz="4" w:space="0" w:color="auto"/>
            </w:tcBorders>
            <w:shd w:val="clear" w:color="auto" w:fill="EAF1DD" w:themeFill="accent3" w:themeFillTint="33"/>
            <w:noWrap/>
            <w:vAlign w:val="center"/>
          </w:tcPr>
          <w:p w14:paraId="36EBF527"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tcBorders>
              <w:bottom w:val="single" w:sz="4" w:space="0" w:color="auto"/>
            </w:tcBorders>
            <w:shd w:val="clear" w:color="auto" w:fill="EAF1DD" w:themeFill="accent3" w:themeFillTint="33"/>
            <w:noWrap/>
            <w:vAlign w:val="center"/>
          </w:tcPr>
          <w:p w14:paraId="1528AD04"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tcBorders>
              <w:bottom w:val="single" w:sz="4" w:space="0" w:color="auto"/>
            </w:tcBorders>
            <w:shd w:val="clear" w:color="auto" w:fill="F2DBDB" w:themeFill="accent2" w:themeFillTint="33"/>
            <w:noWrap/>
            <w:vAlign w:val="center"/>
          </w:tcPr>
          <w:p w14:paraId="54822FBE"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tcBorders>
              <w:bottom w:val="single" w:sz="4" w:space="0" w:color="auto"/>
            </w:tcBorders>
            <w:shd w:val="clear" w:color="auto" w:fill="F2DBDB" w:themeFill="accent2" w:themeFillTint="33"/>
            <w:noWrap/>
            <w:vAlign w:val="center"/>
          </w:tcPr>
          <w:p w14:paraId="216E7C31"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tcBorders>
              <w:bottom w:val="single" w:sz="4" w:space="0" w:color="auto"/>
            </w:tcBorders>
            <w:shd w:val="clear" w:color="auto" w:fill="EAF1DD" w:themeFill="accent3" w:themeFillTint="33"/>
            <w:noWrap/>
            <w:vAlign w:val="center"/>
          </w:tcPr>
          <w:p w14:paraId="269F3A6B"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tcBorders>
              <w:bottom w:val="single" w:sz="4" w:space="0" w:color="auto"/>
            </w:tcBorders>
            <w:shd w:val="clear" w:color="auto" w:fill="F2DBDB" w:themeFill="accent2" w:themeFillTint="33"/>
            <w:noWrap/>
            <w:vAlign w:val="center"/>
          </w:tcPr>
          <w:p w14:paraId="4590F3D0"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tcBorders>
              <w:bottom w:val="single" w:sz="4" w:space="0" w:color="auto"/>
            </w:tcBorders>
            <w:shd w:val="clear" w:color="auto" w:fill="D9D9D9" w:themeFill="background1" w:themeFillShade="D9"/>
            <w:noWrap/>
            <w:vAlign w:val="center"/>
          </w:tcPr>
          <w:p w14:paraId="64E63D57"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tcBorders>
              <w:bottom w:val="single" w:sz="4" w:space="0" w:color="auto"/>
            </w:tcBorders>
            <w:shd w:val="clear" w:color="auto" w:fill="F2DBDB" w:themeFill="accent2" w:themeFillTint="33"/>
            <w:noWrap/>
            <w:vAlign w:val="center"/>
          </w:tcPr>
          <w:p w14:paraId="6FCC1715"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tcBorders>
              <w:bottom w:val="single" w:sz="4" w:space="0" w:color="auto"/>
            </w:tcBorders>
            <w:shd w:val="clear" w:color="auto" w:fill="F2DBDB" w:themeFill="accent2" w:themeFillTint="33"/>
            <w:noWrap/>
            <w:vAlign w:val="center"/>
          </w:tcPr>
          <w:p w14:paraId="039E70BA" w14:textId="77777777" w:rsidR="00E10816" w:rsidRPr="001D54EF" w:rsidRDefault="00E10816" w:rsidP="008D3899">
            <w:pPr>
              <w:pStyle w:val="Tabletext1"/>
              <w:rPr>
                <w:snapToGrid w:val="0"/>
                <w:lang w:eastAsia="en-US"/>
              </w:rPr>
            </w:pPr>
            <w:r w:rsidRPr="001D54EF">
              <w:rPr>
                <w:snapToGrid w:val="0"/>
                <w:lang w:eastAsia="en-US"/>
              </w:rPr>
              <w:t>0</w:t>
            </w:r>
          </w:p>
        </w:tc>
        <w:tc>
          <w:tcPr>
            <w:tcW w:w="484" w:type="dxa"/>
            <w:tcBorders>
              <w:bottom w:val="single" w:sz="4" w:space="0" w:color="auto"/>
            </w:tcBorders>
            <w:shd w:val="clear" w:color="auto" w:fill="F2DBDB" w:themeFill="accent2" w:themeFillTint="33"/>
            <w:noWrap/>
            <w:vAlign w:val="center"/>
          </w:tcPr>
          <w:p w14:paraId="705738DA" w14:textId="77777777" w:rsidR="00E10816" w:rsidRPr="001D54EF" w:rsidRDefault="00E10816" w:rsidP="008D3899">
            <w:pPr>
              <w:pStyle w:val="Tabletext1"/>
              <w:rPr>
                <w:snapToGrid w:val="0"/>
                <w:lang w:eastAsia="en-US"/>
              </w:rPr>
            </w:pPr>
            <w:r w:rsidRPr="001D54EF">
              <w:rPr>
                <w:snapToGrid w:val="0"/>
                <w:lang w:eastAsia="en-US"/>
              </w:rPr>
              <w:t>0</w:t>
            </w:r>
          </w:p>
        </w:tc>
      </w:tr>
      <w:tr w:rsidR="00E10816" w:rsidRPr="001D54EF" w14:paraId="52CB9284" w14:textId="77777777" w:rsidTr="00D43585">
        <w:trPr>
          <w:trHeight w:val="300"/>
        </w:trPr>
        <w:tc>
          <w:tcPr>
            <w:tcW w:w="1842" w:type="dxa"/>
            <w:tcBorders>
              <w:right w:val="nil"/>
            </w:tcBorders>
            <w:shd w:val="clear" w:color="auto" w:fill="D9D9D9" w:themeFill="background1" w:themeFillShade="D9"/>
            <w:noWrap/>
            <w:vAlign w:val="bottom"/>
          </w:tcPr>
          <w:p w14:paraId="2363CC51" w14:textId="77777777" w:rsidR="00E10816" w:rsidRPr="00D43585" w:rsidRDefault="00E10816" w:rsidP="008D3899">
            <w:pPr>
              <w:pStyle w:val="Tabletext1"/>
              <w:rPr>
                <w:b/>
                <w:snapToGrid w:val="0"/>
                <w:lang w:eastAsia="en-US"/>
              </w:rPr>
            </w:pPr>
            <w:r w:rsidRPr="00D43585">
              <w:rPr>
                <w:b/>
                <w:snapToGrid w:val="0"/>
                <w:lang w:eastAsia="en-US"/>
              </w:rPr>
              <w:t>POPULATION 2</w:t>
            </w:r>
          </w:p>
        </w:tc>
        <w:tc>
          <w:tcPr>
            <w:tcW w:w="483" w:type="dxa"/>
            <w:tcBorders>
              <w:left w:val="nil"/>
              <w:right w:val="nil"/>
            </w:tcBorders>
            <w:shd w:val="clear" w:color="auto" w:fill="D9D9D9" w:themeFill="background1" w:themeFillShade="D9"/>
            <w:noWrap/>
            <w:vAlign w:val="center"/>
          </w:tcPr>
          <w:p w14:paraId="46A20F00"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52264918"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21CEEC3F"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1A49EE27"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214209AA"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7D797AC6"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3867EABA"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05A4B186"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1A3B0DE4"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66909DBF"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550091E3"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11E981B7"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46221190" w14:textId="77777777" w:rsidR="00E10816" w:rsidRPr="001D54EF" w:rsidRDefault="00E10816" w:rsidP="008D3899">
            <w:pPr>
              <w:pStyle w:val="Tabletext1"/>
              <w:rPr>
                <w:snapToGrid w:val="0"/>
                <w:lang w:eastAsia="en-US"/>
              </w:rPr>
            </w:pPr>
          </w:p>
        </w:tc>
        <w:tc>
          <w:tcPr>
            <w:tcW w:w="484" w:type="dxa"/>
            <w:tcBorders>
              <w:left w:val="nil"/>
              <w:right w:val="nil"/>
            </w:tcBorders>
            <w:shd w:val="clear" w:color="auto" w:fill="D9D9D9" w:themeFill="background1" w:themeFillShade="D9"/>
            <w:noWrap/>
            <w:vAlign w:val="center"/>
          </w:tcPr>
          <w:p w14:paraId="2408911D"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77B3CA2B" w14:textId="77777777" w:rsidR="00E10816" w:rsidRPr="001D54EF" w:rsidRDefault="00E10816" w:rsidP="008D3899">
            <w:pPr>
              <w:pStyle w:val="Tabletext1"/>
              <w:rPr>
                <w:snapToGrid w:val="0"/>
                <w:lang w:eastAsia="en-US"/>
              </w:rPr>
            </w:pPr>
          </w:p>
        </w:tc>
        <w:tc>
          <w:tcPr>
            <w:tcW w:w="410" w:type="dxa"/>
            <w:tcBorders>
              <w:left w:val="nil"/>
              <w:right w:val="nil"/>
            </w:tcBorders>
            <w:shd w:val="clear" w:color="auto" w:fill="D9D9D9" w:themeFill="background1" w:themeFillShade="D9"/>
            <w:noWrap/>
            <w:vAlign w:val="center"/>
          </w:tcPr>
          <w:p w14:paraId="475FBC25" w14:textId="77777777" w:rsidR="00E10816" w:rsidRPr="001D54EF" w:rsidRDefault="00E10816" w:rsidP="008D3899">
            <w:pPr>
              <w:pStyle w:val="Tabletext1"/>
              <w:rPr>
                <w:snapToGrid w:val="0"/>
                <w:lang w:eastAsia="en-US"/>
              </w:rPr>
            </w:pPr>
          </w:p>
        </w:tc>
        <w:tc>
          <w:tcPr>
            <w:tcW w:w="556" w:type="dxa"/>
            <w:tcBorders>
              <w:left w:val="nil"/>
              <w:right w:val="nil"/>
            </w:tcBorders>
            <w:shd w:val="clear" w:color="auto" w:fill="D9D9D9" w:themeFill="background1" w:themeFillShade="D9"/>
            <w:noWrap/>
            <w:vAlign w:val="center"/>
          </w:tcPr>
          <w:p w14:paraId="3EC1C044"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29F9CEF7"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6F85A089"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746C9A8F"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05724448"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0BB23A07"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4F68D70A"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040E72D4"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3957DA7A" w14:textId="77777777" w:rsidR="00E10816" w:rsidRPr="001D54EF" w:rsidRDefault="00E10816" w:rsidP="008D3899">
            <w:pPr>
              <w:pStyle w:val="Tabletext1"/>
              <w:rPr>
                <w:snapToGrid w:val="0"/>
                <w:lang w:eastAsia="en-US"/>
              </w:rPr>
            </w:pPr>
          </w:p>
        </w:tc>
        <w:tc>
          <w:tcPr>
            <w:tcW w:w="483" w:type="dxa"/>
            <w:tcBorders>
              <w:left w:val="nil"/>
              <w:right w:val="nil"/>
            </w:tcBorders>
            <w:shd w:val="clear" w:color="auto" w:fill="D9D9D9" w:themeFill="background1" w:themeFillShade="D9"/>
            <w:noWrap/>
            <w:vAlign w:val="center"/>
          </w:tcPr>
          <w:p w14:paraId="7A653B48" w14:textId="77777777" w:rsidR="00E10816" w:rsidRPr="001D54EF" w:rsidRDefault="00E10816" w:rsidP="008D3899">
            <w:pPr>
              <w:pStyle w:val="Tabletext1"/>
              <w:rPr>
                <w:snapToGrid w:val="0"/>
                <w:lang w:eastAsia="en-US"/>
              </w:rPr>
            </w:pPr>
          </w:p>
        </w:tc>
        <w:tc>
          <w:tcPr>
            <w:tcW w:w="484" w:type="dxa"/>
            <w:tcBorders>
              <w:left w:val="nil"/>
            </w:tcBorders>
            <w:shd w:val="clear" w:color="auto" w:fill="D9D9D9" w:themeFill="background1" w:themeFillShade="D9"/>
            <w:noWrap/>
            <w:vAlign w:val="center"/>
          </w:tcPr>
          <w:p w14:paraId="18A02581" w14:textId="77777777" w:rsidR="00E10816" w:rsidRPr="001D54EF" w:rsidRDefault="00E10816" w:rsidP="008D3899">
            <w:pPr>
              <w:pStyle w:val="Tabletext1"/>
              <w:rPr>
                <w:snapToGrid w:val="0"/>
                <w:lang w:eastAsia="en-US"/>
              </w:rPr>
            </w:pPr>
          </w:p>
        </w:tc>
      </w:tr>
      <w:tr w:rsidR="005F7C44" w:rsidRPr="001D54EF" w14:paraId="0D1600DA" w14:textId="77777777" w:rsidTr="00D43585">
        <w:trPr>
          <w:trHeight w:val="300"/>
        </w:trPr>
        <w:tc>
          <w:tcPr>
            <w:tcW w:w="1842" w:type="dxa"/>
            <w:shd w:val="clear" w:color="auto" w:fill="auto"/>
            <w:noWrap/>
            <w:vAlign w:val="bottom"/>
          </w:tcPr>
          <w:p w14:paraId="66C0A4D2" w14:textId="77777777" w:rsidR="00E10816" w:rsidRPr="001D54EF" w:rsidRDefault="00E10816" w:rsidP="008D3899">
            <w:pPr>
              <w:pStyle w:val="Tabletext1"/>
              <w:rPr>
                <w:snapToGrid w:val="0"/>
                <w:lang w:eastAsia="en-US"/>
              </w:rPr>
            </w:pPr>
            <w:r w:rsidRPr="001D54EF">
              <w:rPr>
                <w:snapToGrid w:val="0"/>
                <w:lang w:eastAsia="en-US"/>
              </w:rPr>
              <w:t>Siva (2015)</w:t>
            </w:r>
          </w:p>
        </w:tc>
        <w:tc>
          <w:tcPr>
            <w:tcW w:w="483" w:type="dxa"/>
            <w:shd w:val="clear" w:color="auto" w:fill="EAF1DD" w:themeFill="accent3" w:themeFillTint="33"/>
            <w:noWrap/>
            <w:vAlign w:val="center"/>
          </w:tcPr>
          <w:p w14:paraId="0780087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55D0D66E"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47BF0BB5"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0730FF1E"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DB7C5A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0E25F0B5"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60901835"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12FD9BE6"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26527696"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449C1C87"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D9D9D9" w:themeFill="background1" w:themeFillShade="D9"/>
            <w:noWrap/>
            <w:vAlign w:val="center"/>
          </w:tcPr>
          <w:p w14:paraId="33FF3E30"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FFFCC"/>
            <w:noWrap/>
            <w:vAlign w:val="center"/>
          </w:tcPr>
          <w:p w14:paraId="6201746D" w14:textId="77777777" w:rsidR="00E10816" w:rsidRPr="001D54EF" w:rsidRDefault="00E10816" w:rsidP="008D3899">
            <w:pPr>
              <w:pStyle w:val="Tabletext1"/>
              <w:rPr>
                <w:snapToGrid w:val="0"/>
                <w:lang w:eastAsia="en-US"/>
              </w:rPr>
            </w:pPr>
            <w:r w:rsidRPr="001D54EF">
              <w:rPr>
                <w:snapToGrid w:val="0"/>
                <w:lang w:eastAsia="en-US"/>
              </w:rPr>
              <w:t>?</w:t>
            </w:r>
          </w:p>
        </w:tc>
        <w:tc>
          <w:tcPr>
            <w:tcW w:w="483" w:type="dxa"/>
            <w:shd w:val="clear" w:color="auto" w:fill="EAF1DD" w:themeFill="accent3" w:themeFillTint="33"/>
            <w:noWrap/>
            <w:vAlign w:val="center"/>
          </w:tcPr>
          <w:p w14:paraId="6CDC7441" w14:textId="77777777" w:rsidR="00E10816" w:rsidRPr="001D54EF" w:rsidRDefault="00E10816" w:rsidP="008D3899">
            <w:pPr>
              <w:pStyle w:val="Tabletext1"/>
              <w:rPr>
                <w:snapToGrid w:val="0"/>
                <w:lang w:eastAsia="en-US"/>
              </w:rPr>
            </w:pPr>
            <w:r w:rsidRPr="001D54EF">
              <w:rPr>
                <w:snapToGrid w:val="0"/>
                <w:lang w:eastAsia="en-US"/>
              </w:rPr>
              <w:t>1</w:t>
            </w:r>
          </w:p>
        </w:tc>
        <w:tc>
          <w:tcPr>
            <w:tcW w:w="484" w:type="dxa"/>
            <w:shd w:val="clear" w:color="auto" w:fill="F2DBDB" w:themeFill="accent2" w:themeFillTint="33"/>
            <w:noWrap/>
            <w:vAlign w:val="center"/>
          </w:tcPr>
          <w:p w14:paraId="6064C8B7"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1574EBED" w14:textId="77777777" w:rsidR="00E10816" w:rsidRPr="001D54EF" w:rsidRDefault="00E10816" w:rsidP="008D3899">
            <w:pPr>
              <w:pStyle w:val="Tabletext1"/>
              <w:rPr>
                <w:snapToGrid w:val="0"/>
                <w:lang w:eastAsia="en-US"/>
              </w:rPr>
            </w:pPr>
            <w:r w:rsidRPr="001D54EF">
              <w:rPr>
                <w:snapToGrid w:val="0"/>
                <w:lang w:eastAsia="en-US"/>
              </w:rPr>
              <w:t>0</w:t>
            </w:r>
          </w:p>
        </w:tc>
        <w:tc>
          <w:tcPr>
            <w:tcW w:w="410" w:type="dxa"/>
            <w:shd w:val="clear" w:color="auto" w:fill="F2DBDB" w:themeFill="accent2" w:themeFillTint="33"/>
            <w:noWrap/>
            <w:vAlign w:val="center"/>
          </w:tcPr>
          <w:p w14:paraId="418B9599" w14:textId="77777777" w:rsidR="00E10816" w:rsidRPr="001D54EF" w:rsidRDefault="00E10816" w:rsidP="008D3899">
            <w:pPr>
              <w:pStyle w:val="Tabletext1"/>
              <w:rPr>
                <w:snapToGrid w:val="0"/>
                <w:lang w:eastAsia="en-US"/>
              </w:rPr>
            </w:pPr>
            <w:r w:rsidRPr="001D54EF">
              <w:rPr>
                <w:snapToGrid w:val="0"/>
                <w:lang w:eastAsia="en-US"/>
              </w:rPr>
              <w:t>0</w:t>
            </w:r>
          </w:p>
        </w:tc>
        <w:tc>
          <w:tcPr>
            <w:tcW w:w="556" w:type="dxa"/>
            <w:shd w:val="clear" w:color="auto" w:fill="EAF1DD" w:themeFill="accent3" w:themeFillTint="33"/>
            <w:noWrap/>
            <w:vAlign w:val="center"/>
          </w:tcPr>
          <w:p w14:paraId="22F6F8C2"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7B1ECB6"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7FD2F1D5"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5A9471FC"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0BE5C94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0966B45C"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4421D68F"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D9D9D9" w:themeFill="background1" w:themeFillShade="D9"/>
            <w:noWrap/>
            <w:vAlign w:val="center"/>
          </w:tcPr>
          <w:p w14:paraId="6130FB12"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2DBDB" w:themeFill="accent2" w:themeFillTint="33"/>
            <w:noWrap/>
            <w:vAlign w:val="center"/>
          </w:tcPr>
          <w:p w14:paraId="2F1CDA8D"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00F9141D" w14:textId="77777777" w:rsidR="00E10816" w:rsidRPr="001D54EF" w:rsidRDefault="00E10816" w:rsidP="008D3899">
            <w:pPr>
              <w:pStyle w:val="Tabletext1"/>
              <w:rPr>
                <w:snapToGrid w:val="0"/>
                <w:lang w:eastAsia="en-US"/>
              </w:rPr>
            </w:pPr>
            <w:r w:rsidRPr="001D54EF">
              <w:rPr>
                <w:snapToGrid w:val="0"/>
                <w:lang w:eastAsia="en-US"/>
              </w:rPr>
              <w:t>0</w:t>
            </w:r>
          </w:p>
        </w:tc>
        <w:tc>
          <w:tcPr>
            <w:tcW w:w="484" w:type="dxa"/>
            <w:shd w:val="clear" w:color="auto" w:fill="F2DBDB" w:themeFill="accent2" w:themeFillTint="33"/>
            <w:noWrap/>
            <w:vAlign w:val="center"/>
          </w:tcPr>
          <w:p w14:paraId="6E855B8C" w14:textId="77777777" w:rsidR="00E10816" w:rsidRPr="001D54EF" w:rsidRDefault="00E10816" w:rsidP="008D3899">
            <w:pPr>
              <w:pStyle w:val="Tabletext1"/>
              <w:rPr>
                <w:snapToGrid w:val="0"/>
                <w:lang w:eastAsia="en-US"/>
              </w:rPr>
            </w:pPr>
            <w:r w:rsidRPr="001D54EF">
              <w:rPr>
                <w:snapToGrid w:val="0"/>
                <w:lang w:eastAsia="en-US"/>
              </w:rPr>
              <w:t>0</w:t>
            </w:r>
          </w:p>
        </w:tc>
      </w:tr>
      <w:tr w:rsidR="005F7C44" w:rsidRPr="001D54EF" w14:paraId="550CAFF1" w14:textId="77777777" w:rsidTr="00D43585">
        <w:trPr>
          <w:trHeight w:val="300"/>
        </w:trPr>
        <w:tc>
          <w:tcPr>
            <w:tcW w:w="1842" w:type="dxa"/>
            <w:shd w:val="clear" w:color="auto" w:fill="auto"/>
            <w:noWrap/>
            <w:vAlign w:val="bottom"/>
          </w:tcPr>
          <w:p w14:paraId="202B54EF" w14:textId="77777777" w:rsidR="00E10816" w:rsidRPr="001D54EF" w:rsidRDefault="00E10816" w:rsidP="008D3899">
            <w:pPr>
              <w:pStyle w:val="Tabletext1"/>
              <w:rPr>
                <w:snapToGrid w:val="0"/>
                <w:lang w:eastAsia="en-US"/>
              </w:rPr>
            </w:pPr>
            <w:r w:rsidRPr="001D54EF">
              <w:rPr>
                <w:snapToGrid w:val="0"/>
                <w:lang w:eastAsia="en-US"/>
              </w:rPr>
              <w:t>Widder (2013)</w:t>
            </w:r>
          </w:p>
        </w:tc>
        <w:tc>
          <w:tcPr>
            <w:tcW w:w="483" w:type="dxa"/>
            <w:shd w:val="clear" w:color="auto" w:fill="EAF1DD" w:themeFill="accent3" w:themeFillTint="33"/>
            <w:noWrap/>
            <w:vAlign w:val="center"/>
          </w:tcPr>
          <w:p w14:paraId="39660EF8"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1B59182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43FFBA9A"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44A66F26"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4002F067"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4BCD72F6"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23C03584"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1FD1BCE1"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4C47D8DB"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7B573095"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D9D9D9" w:themeFill="background1" w:themeFillShade="D9"/>
            <w:noWrap/>
            <w:vAlign w:val="center"/>
          </w:tcPr>
          <w:p w14:paraId="5AEFBAF7"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FFFCC"/>
            <w:noWrap/>
            <w:vAlign w:val="center"/>
          </w:tcPr>
          <w:p w14:paraId="39E472DE" w14:textId="77777777" w:rsidR="00E10816" w:rsidRPr="001D54EF" w:rsidRDefault="00E10816" w:rsidP="008D3899">
            <w:pPr>
              <w:pStyle w:val="Tabletext1"/>
              <w:rPr>
                <w:snapToGrid w:val="0"/>
                <w:lang w:eastAsia="en-US"/>
              </w:rPr>
            </w:pPr>
            <w:r w:rsidRPr="001D54EF">
              <w:rPr>
                <w:snapToGrid w:val="0"/>
                <w:lang w:eastAsia="en-US"/>
              </w:rPr>
              <w:t>?</w:t>
            </w:r>
          </w:p>
        </w:tc>
        <w:tc>
          <w:tcPr>
            <w:tcW w:w="483" w:type="dxa"/>
            <w:shd w:val="clear" w:color="auto" w:fill="EAF1DD" w:themeFill="accent3" w:themeFillTint="33"/>
            <w:noWrap/>
            <w:vAlign w:val="center"/>
          </w:tcPr>
          <w:p w14:paraId="0C178006" w14:textId="77777777" w:rsidR="00E10816" w:rsidRPr="001D54EF" w:rsidRDefault="00E10816" w:rsidP="008D3899">
            <w:pPr>
              <w:pStyle w:val="Tabletext1"/>
              <w:rPr>
                <w:snapToGrid w:val="0"/>
                <w:lang w:eastAsia="en-US"/>
              </w:rPr>
            </w:pPr>
            <w:r w:rsidRPr="001D54EF">
              <w:rPr>
                <w:snapToGrid w:val="0"/>
                <w:lang w:eastAsia="en-US"/>
              </w:rPr>
              <w:t>1</w:t>
            </w:r>
          </w:p>
        </w:tc>
        <w:tc>
          <w:tcPr>
            <w:tcW w:w="484" w:type="dxa"/>
            <w:shd w:val="clear" w:color="auto" w:fill="F2DBDB" w:themeFill="accent2" w:themeFillTint="33"/>
            <w:noWrap/>
            <w:vAlign w:val="center"/>
          </w:tcPr>
          <w:p w14:paraId="7C9723B1"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4D41425F" w14:textId="77777777" w:rsidR="00E10816" w:rsidRPr="001D54EF" w:rsidRDefault="00E10816" w:rsidP="008D3899">
            <w:pPr>
              <w:pStyle w:val="Tabletext1"/>
              <w:rPr>
                <w:snapToGrid w:val="0"/>
                <w:lang w:eastAsia="en-US"/>
              </w:rPr>
            </w:pPr>
            <w:r w:rsidRPr="001D54EF">
              <w:rPr>
                <w:snapToGrid w:val="0"/>
                <w:lang w:eastAsia="en-US"/>
              </w:rPr>
              <w:t>0</w:t>
            </w:r>
          </w:p>
        </w:tc>
        <w:tc>
          <w:tcPr>
            <w:tcW w:w="410" w:type="dxa"/>
            <w:shd w:val="clear" w:color="auto" w:fill="F2DBDB" w:themeFill="accent2" w:themeFillTint="33"/>
            <w:noWrap/>
            <w:vAlign w:val="center"/>
          </w:tcPr>
          <w:p w14:paraId="5B9C2721" w14:textId="77777777" w:rsidR="00E10816" w:rsidRPr="001D54EF" w:rsidRDefault="00E10816" w:rsidP="008D3899">
            <w:pPr>
              <w:pStyle w:val="Tabletext1"/>
              <w:rPr>
                <w:snapToGrid w:val="0"/>
                <w:lang w:eastAsia="en-US"/>
              </w:rPr>
            </w:pPr>
            <w:r w:rsidRPr="001D54EF">
              <w:rPr>
                <w:snapToGrid w:val="0"/>
                <w:lang w:eastAsia="en-US"/>
              </w:rPr>
              <w:t>0</w:t>
            </w:r>
          </w:p>
        </w:tc>
        <w:tc>
          <w:tcPr>
            <w:tcW w:w="556" w:type="dxa"/>
            <w:shd w:val="clear" w:color="auto" w:fill="EAF1DD" w:themeFill="accent3" w:themeFillTint="33"/>
            <w:noWrap/>
            <w:vAlign w:val="center"/>
          </w:tcPr>
          <w:p w14:paraId="1095F70E"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6433944C"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29CD1B00"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C919E59"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974A3E2"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4ABFEFFD"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4066A36A"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D9D9D9" w:themeFill="background1" w:themeFillShade="D9"/>
            <w:noWrap/>
            <w:vAlign w:val="center"/>
          </w:tcPr>
          <w:p w14:paraId="3C97DF91"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2DBDB" w:themeFill="accent2" w:themeFillTint="33"/>
            <w:noWrap/>
            <w:vAlign w:val="center"/>
          </w:tcPr>
          <w:p w14:paraId="29689126"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2B951F9F" w14:textId="77777777" w:rsidR="00E10816" w:rsidRPr="001D54EF" w:rsidRDefault="00E10816" w:rsidP="008D3899">
            <w:pPr>
              <w:pStyle w:val="Tabletext1"/>
              <w:rPr>
                <w:snapToGrid w:val="0"/>
                <w:lang w:eastAsia="en-US"/>
              </w:rPr>
            </w:pPr>
            <w:r w:rsidRPr="001D54EF">
              <w:rPr>
                <w:snapToGrid w:val="0"/>
                <w:lang w:eastAsia="en-US"/>
              </w:rPr>
              <w:t>0</w:t>
            </w:r>
          </w:p>
        </w:tc>
        <w:tc>
          <w:tcPr>
            <w:tcW w:w="484" w:type="dxa"/>
            <w:shd w:val="clear" w:color="auto" w:fill="F2DBDB" w:themeFill="accent2" w:themeFillTint="33"/>
            <w:noWrap/>
            <w:vAlign w:val="center"/>
          </w:tcPr>
          <w:p w14:paraId="12EACED0" w14:textId="77777777" w:rsidR="00E10816" w:rsidRPr="001D54EF" w:rsidRDefault="00E10816" w:rsidP="008D3899">
            <w:pPr>
              <w:pStyle w:val="Tabletext1"/>
              <w:rPr>
                <w:snapToGrid w:val="0"/>
                <w:lang w:eastAsia="en-US"/>
              </w:rPr>
            </w:pPr>
            <w:r w:rsidRPr="001D54EF">
              <w:rPr>
                <w:snapToGrid w:val="0"/>
                <w:lang w:eastAsia="en-US"/>
              </w:rPr>
              <w:t>0</w:t>
            </w:r>
          </w:p>
        </w:tc>
      </w:tr>
      <w:tr w:rsidR="00E10816" w:rsidRPr="001D54EF" w14:paraId="5BA20A9C" w14:textId="77777777" w:rsidTr="00D43585">
        <w:trPr>
          <w:trHeight w:val="300"/>
        </w:trPr>
        <w:tc>
          <w:tcPr>
            <w:tcW w:w="1842" w:type="dxa"/>
            <w:shd w:val="clear" w:color="auto" w:fill="auto"/>
            <w:noWrap/>
            <w:vAlign w:val="bottom"/>
          </w:tcPr>
          <w:p w14:paraId="62C69B19" w14:textId="77777777" w:rsidR="00E10816" w:rsidRPr="001D54EF" w:rsidRDefault="00E10816" w:rsidP="008D3899">
            <w:pPr>
              <w:pStyle w:val="Tabletext1"/>
              <w:rPr>
                <w:snapToGrid w:val="0"/>
                <w:lang w:eastAsia="en-US"/>
              </w:rPr>
            </w:pPr>
            <w:r w:rsidRPr="001D54EF">
              <w:rPr>
                <w:snapToGrid w:val="0"/>
                <w:lang w:eastAsia="en-US"/>
              </w:rPr>
              <w:lastRenderedPageBreak/>
              <w:t>Yu (2014)</w:t>
            </w:r>
          </w:p>
        </w:tc>
        <w:tc>
          <w:tcPr>
            <w:tcW w:w="483" w:type="dxa"/>
            <w:shd w:val="clear" w:color="auto" w:fill="EAF1DD" w:themeFill="accent3" w:themeFillTint="33"/>
            <w:noWrap/>
            <w:vAlign w:val="center"/>
          </w:tcPr>
          <w:p w14:paraId="7838F328"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BD54702"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0011ECC6"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EAF1DD" w:themeFill="accent3" w:themeFillTint="33"/>
            <w:noWrap/>
            <w:vAlign w:val="center"/>
          </w:tcPr>
          <w:p w14:paraId="4AB521A0"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21D7CBB9"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6EAF3C17"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53A12DEC"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696BA267"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61424A4B"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47290945"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D9D9D9" w:themeFill="background1" w:themeFillShade="D9"/>
            <w:noWrap/>
            <w:vAlign w:val="center"/>
          </w:tcPr>
          <w:p w14:paraId="0C5576BC"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FFFCC"/>
            <w:noWrap/>
            <w:vAlign w:val="center"/>
          </w:tcPr>
          <w:p w14:paraId="45B8B588" w14:textId="77777777" w:rsidR="00E10816" w:rsidRPr="001D54EF" w:rsidRDefault="00E10816" w:rsidP="008D3899">
            <w:pPr>
              <w:pStyle w:val="Tabletext1"/>
              <w:rPr>
                <w:snapToGrid w:val="0"/>
                <w:lang w:eastAsia="en-US"/>
              </w:rPr>
            </w:pPr>
            <w:r w:rsidRPr="001D54EF">
              <w:rPr>
                <w:snapToGrid w:val="0"/>
                <w:lang w:eastAsia="en-US"/>
              </w:rPr>
              <w:t>?</w:t>
            </w:r>
          </w:p>
        </w:tc>
        <w:tc>
          <w:tcPr>
            <w:tcW w:w="483" w:type="dxa"/>
            <w:shd w:val="clear" w:color="auto" w:fill="EAF1DD" w:themeFill="accent3" w:themeFillTint="33"/>
            <w:noWrap/>
            <w:vAlign w:val="center"/>
          </w:tcPr>
          <w:p w14:paraId="5A18F4D3" w14:textId="77777777" w:rsidR="00E10816" w:rsidRPr="001D54EF" w:rsidRDefault="00E10816" w:rsidP="008D3899">
            <w:pPr>
              <w:pStyle w:val="Tabletext1"/>
              <w:rPr>
                <w:snapToGrid w:val="0"/>
                <w:lang w:eastAsia="en-US"/>
              </w:rPr>
            </w:pPr>
            <w:r w:rsidRPr="001D54EF">
              <w:rPr>
                <w:snapToGrid w:val="0"/>
                <w:lang w:eastAsia="en-US"/>
              </w:rPr>
              <w:t>1</w:t>
            </w:r>
          </w:p>
        </w:tc>
        <w:tc>
          <w:tcPr>
            <w:tcW w:w="484" w:type="dxa"/>
            <w:shd w:val="clear" w:color="auto" w:fill="F2DBDB" w:themeFill="accent2" w:themeFillTint="33"/>
            <w:noWrap/>
            <w:vAlign w:val="center"/>
          </w:tcPr>
          <w:p w14:paraId="0A753B5E"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4E732A2A" w14:textId="77777777" w:rsidR="00E10816" w:rsidRPr="001D54EF" w:rsidRDefault="00E10816" w:rsidP="008D3899">
            <w:pPr>
              <w:pStyle w:val="Tabletext1"/>
              <w:rPr>
                <w:snapToGrid w:val="0"/>
                <w:lang w:eastAsia="en-US"/>
              </w:rPr>
            </w:pPr>
            <w:r w:rsidRPr="001D54EF">
              <w:rPr>
                <w:snapToGrid w:val="0"/>
                <w:lang w:eastAsia="en-US"/>
              </w:rPr>
              <w:t>0</w:t>
            </w:r>
          </w:p>
        </w:tc>
        <w:tc>
          <w:tcPr>
            <w:tcW w:w="410" w:type="dxa"/>
            <w:shd w:val="clear" w:color="auto" w:fill="F2DBDB" w:themeFill="accent2" w:themeFillTint="33"/>
            <w:noWrap/>
            <w:vAlign w:val="center"/>
          </w:tcPr>
          <w:p w14:paraId="33255CC2" w14:textId="77777777" w:rsidR="00E10816" w:rsidRPr="001D54EF" w:rsidRDefault="00E10816" w:rsidP="008D3899">
            <w:pPr>
              <w:pStyle w:val="Tabletext1"/>
              <w:rPr>
                <w:snapToGrid w:val="0"/>
                <w:lang w:eastAsia="en-US"/>
              </w:rPr>
            </w:pPr>
            <w:r w:rsidRPr="001D54EF">
              <w:rPr>
                <w:snapToGrid w:val="0"/>
                <w:lang w:eastAsia="en-US"/>
              </w:rPr>
              <w:t>0</w:t>
            </w:r>
          </w:p>
        </w:tc>
        <w:tc>
          <w:tcPr>
            <w:tcW w:w="556" w:type="dxa"/>
            <w:shd w:val="clear" w:color="auto" w:fill="EAF1DD" w:themeFill="accent3" w:themeFillTint="33"/>
            <w:noWrap/>
            <w:vAlign w:val="center"/>
          </w:tcPr>
          <w:p w14:paraId="3B644D9A"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1201DF98"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6CEB8B1B"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23447030"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1390B223"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EAF1DD" w:themeFill="accent3" w:themeFillTint="33"/>
            <w:noWrap/>
            <w:vAlign w:val="center"/>
          </w:tcPr>
          <w:p w14:paraId="310EB43E" w14:textId="77777777" w:rsidR="00E10816" w:rsidRPr="001D54EF" w:rsidRDefault="00E10816" w:rsidP="008D3899">
            <w:pPr>
              <w:pStyle w:val="Tabletext1"/>
              <w:rPr>
                <w:snapToGrid w:val="0"/>
                <w:lang w:eastAsia="en-US"/>
              </w:rPr>
            </w:pPr>
            <w:r w:rsidRPr="001D54EF">
              <w:rPr>
                <w:snapToGrid w:val="0"/>
                <w:lang w:eastAsia="en-US"/>
              </w:rPr>
              <w:t>1</w:t>
            </w:r>
          </w:p>
        </w:tc>
        <w:tc>
          <w:tcPr>
            <w:tcW w:w="483" w:type="dxa"/>
            <w:shd w:val="clear" w:color="auto" w:fill="F2DBDB" w:themeFill="accent2" w:themeFillTint="33"/>
            <w:noWrap/>
            <w:vAlign w:val="center"/>
          </w:tcPr>
          <w:p w14:paraId="1C258BF6"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D9D9D9" w:themeFill="background1" w:themeFillShade="D9"/>
            <w:noWrap/>
            <w:vAlign w:val="center"/>
          </w:tcPr>
          <w:p w14:paraId="6777233F" w14:textId="77777777" w:rsidR="00E10816" w:rsidRPr="001D54EF" w:rsidRDefault="00E10816" w:rsidP="008D3899">
            <w:pPr>
              <w:pStyle w:val="Tabletext1"/>
              <w:rPr>
                <w:snapToGrid w:val="0"/>
                <w:lang w:eastAsia="en-US"/>
              </w:rPr>
            </w:pPr>
            <w:r w:rsidRPr="001D54EF">
              <w:rPr>
                <w:snapToGrid w:val="0"/>
                <w:lang w:eastAsia="en-US"/>
              </w:rPr>
              <w:t>NA</w:t>
            </w:r>
          </w:p>
        </w:tc>
        <w:tc>
          <w:tcPr>
            <w:tcW w:w="483" w:type="dxa"/>
            <w:shd w:val="clear" w:color="auto" w:fill="F2DBDB" w:themeFill="accent2" w:themeFillTint="33"/>
            <w:noWrap/>
            <w:vAlign w:val="center"/>
          </w:tcPr>
          <w:p w14:paraId="609021A5" w14:textId="77777777" w:rsidR="00E10816" w:rsidRPr="001D54EF" w:rsidRDefault="00E10816" w:rsidP="008D3899">
            <w:pPr>
              <w:pStyle w:val="Tabletext1"/>
              <w:rPr>
                <w:snapToGrid w:val="0"/>
                <w:lang w:eastAsia="en-US"/>
              </w:rPr>
            </w:pPr>
            <w:r w:rsidRPr="001D54EF">
              <w:rPr>
                <w:snapToGrid w:val="0"/>
                <w:lang w:eastAsia="en-US"/>
              </w:rPr>
              <w:t>0</w:t>
            </w:r>
          </w:p>
        </w:tc>
        <w:tc>
          <w:tcPr>
            <w:tcW w:w="483" w:type="dxa"/>
            <w:shd w:val="clear" w:color="auto" w:fill="F2DBDB" w:themeFill="accent2" w:themeFillTint="33"/>
            <w:noWrap/>
            <w:vAlign w:val="center"/>
          </w:tcPr>
          <w:p w14:paraId="14679727" w14:textId="77777777" w:rsidR="00E10816" w:rsidRPr="001D54EF" w:rsidRDefault="00E10816" w:rsidP="008D3899">
            <w:pPr>
              <w:pStyle w:val="Tabletext1"/>
              <w:rPr>
                <w:snapToGrid w:val="0"/>
                <w:lang w:eastAsia="en-US"/>
              </w:rPr>
            </w:pPr>
            <w:r w:rsidRPr="001D54EF">
              <w:rPr>
                <w:snapToGrid w:val="0"/>
                <w:lang w:eastAsia="en-US"/>
              </w:rPr>
              <w:t>0</w:t>
            </w:r>
          </w:p>
        </w:tc>
        <w:tc>
          <w:tcPr>
            <w:tcW w:w="484" w:type="dxa"/>
            <w:shd w:val="clear" w:color="auto" w:fill="F2DBDB" w:themeFill="accent2" w:themeFillTint="33"/>
            <w:noWrap/>
            <w:vAlign w:val="center"/>
          </w:tcPr>
          <w:p w14:paraId="651E6F55" w14:textId="77777777" w:rsidR="00E10816" w:rsidRPr="001D54EF" w:rsidRDefault="00E10816" w:rsidP="008D3899">
            <w:pPr>
              <w:pStyle w:val="Tabletext1"/>
              <w:rPr>
                <w:snapToGrid w:val="0"/>
                <w:lang w:eastAsia="en-US"/>
              </w:rPr>
            </w:pPr>
            <w:r w:rsidRPr="001D54EF">
              <w:rPr>
                <w:snapToGrid w:val="0"/>
                <w:lang w:eastAsia="en-US"/>
              </w:rPr>
              <w:t>0</w:t>
            </w:r>
          </w:p>
        </w:tc>
      </w:tr>
    </w:tbl>
    <w:p w14:paraId="727DF0BD" w14:textId="77777777" w:rsidR="00E10816" w:rsidRPr="00DE44DB" w:rsidRDefault="00DE44DB" w:rsidP="005775DE">
      <w:pPr>
        <w:pStyle w:val="Tablenotes0"/>
      </w:pPr>
      <w:r w:rsidRPr="00DE44DB">
        <w:t>CA</w:t>
      </w:r>
      <w:r w:rsidR="001104D0">
        <w:t xml:space="preserve"> </w:t>
      </w:r>
      <w:r w:rsidRPr="00DE44DB">
        <w:t>=</w:t>
      </w:r>
      <w:r w:rsidR="001104D0">
        <w:t xml:space="preserve"> </w:t>
      </w:r>
      <w:r w:rsidRPr="00DE44DB">
        <w:t>cannot answer; 1</w:t>
      </w:r>
      <w:r w:rsidR="001104D0">
        <w:t xml:space="preserve"> </w:t>
      </w:r>
      <w:r w:rsidRPr="00DE44DB">
        <w:t>=</w:t>
      </w:r>
      <w:r w:rsidR="001104D0">
        <w:t xml:space="preserve"> </w:t>
      </w:r>
      <w:r w:rsidRPr="00DE44DB">
        <w:t>yes, 0</w:t>
      </w:r>
      <w:r w:rsidR="001104D0">
        <w:t xml:space="preserve"> </w:t>
      </w:r>
      <w:r w:rsidRPr="00DE44DB">
        <w:t>=</w:t>
      </w:r>
      <w:r w:rsidR="001104D0">
        <w:t xml:space="preserve"> </w:t>
      </w:r>
      <w:r w:rsidRPr="00DE44DB">
        <w:t>no, NA</w:t>
      </w:r>
      <w:r w:rsidR="001104D0">
        <w:t xml:space="preserve"> </w:t>
      </w:r>
      <w:r w:rsidRPr="00DE44DB">
        <w:t>=</w:t>
      </w:r>
      <w:r w:rsidR="001104D0">
        <w:t xml:space="preserve"> </w:t>
      </w:r>
      <w:r w:rsidRPr="00DE44DB">
        <w:t>not applicable</w:t>
      </w:r>
      <w:r w:rsidR="00F91E83">
        <w:t>.</w:t>
      </w:r>
    </w:p>
    <w:p w14:paraId="64897C57" w14:textId="77777777" w:rsidR="00DE44DB" w:rsidRPr="00E10816" w:rsidRDefault="00DE44DB" w:rsidP="00E10816">
      <w:pPr>
        <w:keepNext/>
        <w:spacing w:after="120"/>
        <w:rPr>
          <w:rFonts w:ascii="Arial Narrow" w:hAnsi="Arial Narrow"/>
          <w:b/>
          <w:bCs/>
          <w:sz w:val="20"/>
        </w:rPr>
      </w:pPr>
    </w:p>
    <w:p w14:paraId="09741536" w14:textId="6B094852" w:rsidR="00E10816" w:rsidRPr="00E10816" w:rsidRDefault="00E10816" w:rsidP="001163D9">
      <w:pPr>
        <w:pStyle w:val="TableHeading"/>
      </w:pPr>
      <w:bookmarkStart w:id="233" w:name="_Ref456966146"/>
      <w:bookmarkStart w:id="234" w:name="_Toc460514684"/>
      <w:r w:rsidRPr="001163D9">
        <w:t xml:space="preserve">Table </w:t>
      </w:r>
      <w:fldSimple w:instr=" SEQ Table \* ARABIC ">
        <w:r w:rsidR="00D170A5">
          <w:rPr>
            <w:noProof/>
          </w:rPr>
          <w:t>26</w:t>
        </w:r>
      </w:fldSimple>
      <w:bookmarkEnd w:id="232"/>
      <w:bookmarkEnd w:id="233"/>
      <w:r w:rsidR="0024526E">
        <w:tab/>
      </w:r>
      <w:r w:rsidR="0024526E">
        <w:tab/>
      </w:r>
      <w:r w:rsidRPr="001163D9">
        <w:t xml:space="preserve">Quality appraisal of included case series investigations of radiotherapy, according to the IHE Quality Appraisal of Case Series </w:t>
      </w:r>
      <w:r w:rsidR="00CA6DFD" w:rsidRPr="001163D9">
        <w:t xml:space="preserve">Studies </w:t>
      </w:r>
      <w:r w:rsidRPr="001163D9">
        <w:fldChar w:fldCharType="begin">
          <w:fldData xml:space="preserve">PEVuZE5vdGU+PENpdGU+PEF1dGhvcj5HdW88L0F1dGhvcj48WWVhcj4yMDE2PC9ZZWFyPjxSZWNO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</w:fldData>
        </w:fldChar>
      </w:r>
      <w:r w:rsidR="00194054">
        <w:instrText xml:space="preserve"> ADDIN EN.CITE </w:instrText>
      </w:r>
      <w:r w:rsidR="00194054">
        <w:fldChar w:fldCharType="begin">
          <w:fldData xml:space="preserve">PEVuZE5vdGU+PENpdGU+PEF1dGhvcj5HdW88L0F1dGhvcj48WWVhcj4yMDE2PC9ZZWFyPjxSZWNO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</w:fldData>
        </w:fldChar>
      </w:r>
      <w:r w:rsidR="00194054">
        <w:instrText xml:space="preserve"> ADDIN EN.CITE.DATA </w:instrText>
      </w:r>
      <w:r w:rsidR="00194054">
        <w:fldChar w:fldCharType="end"/>
      </w:r>
      <w:r w:rsidRPr="001163D9">
        <w:fldChar w:fldCharType="separate"/>
      </w:r>
      <w:r w:rsidR="006231DE" w:rsidRPr="001163D9">
        <w:rPr>
          <w:noProof/>
        </w:rPr>
        <w:t>(</w:t>
      </w:r>
      <w:hyperlink w:anchor="_ENREF_61" w:tooltip="Guo, 2016 #76" w:history="1">
        <w:r w:rsidR="00320458" w:rsidRPr="001163D9">
          <w:rPr>
            <w:noProof/>
          </w:rPr>
          <w:t>Guo et al 2016</w:t>
        </w:r>
      </w:hyperlink>
      <w:r w:rsidR="006231DE" w:rsidRPr="001163D9">
        <w:rPr>
          <w:noProof/>
        </w:rPr>
        <w:t>)</w:t>
      </w:r>
      <w:bookmarkEnd w:id="234"/>
      <w:r w:rsidRPr="001163D9">
        <w:fldChar w:fldCharType="end"/>
      </w:r>
    </w:p>
    <w:tbl>
      <w:tblPr>
        <w:tblStyle w:val="TableGrid6"/>
        <w:tblW w:w="5000" w:type="pct"/>
        <w:tblCellMar>
          <w:top w:w="57" w:type="dxa"/>
          <w:bottom w:w="57" w:type="dxa"/>
        </w:tblCellMar>
        <w:tblLook w:val="04A0" w:firstRow="1" w:lastRow="0" w:firstColumn="1" w:lastColumn="0" w:noHBand="0" w:noVBand="1"/>
        <w:tblCaption w:val="Table 29"/>
        <w:tblDescription w:val="QA case series radiotherapy"/>
      </w:tblPr>
      <w:tblGrid>
        <w:gridCol w:w="1775"/>
        <w:gridCol w:w="689"/>
        <w:gridCol w:w="689"/>
        <w:gridCol w:w="689"/>
        <w:gridCol w:w="689"/>
        <w:gridCol w:w="689"/>
        <w:gridCol w:w="689"/>
        <w:gridCol w:w="689"/>
        <w:gridCol w:w="689"/>
        <w:gridCol w:w="689"/>
        <w:gridCol w:w="689"/>
        <w:gridCol w:w="689"/>
        <w:gridCol w:w="689"/>
        <w:gridCol w:w="689"/>
        <w:gridCol w:w="689"/>
        <w:gridCol w:w="689"/>
        <w:gridCol w:w="689"/>
        <w:gridCol w:w="689"/>
        <w:gridCol w:w="686"/>
      </w:tblGrid>
      <w:tr w:rsidR="00510E88" w:rsidRPr="00E10816" w14:paraId="302B5B7C" w14:textId="77777777" w:rsidTr="0024526E">
        <w:trPr>
          <w:cantSplit/>
          <w:trHeight w:val="3386"/>
          <w:tblHeader/>
        </w:trPr>
        <w:tc>
          <w:tcPr>
            <w:tcW w:w="626" w:type="pct"/>
            <w:tcBorders>
              <w:right w:val="single" w:sz="6" w:space="0" w:color="auto"/>
            </w:tcBorders>
            <w:vAlign w:val="bottom"/>
          </w:tcPr>
          <w:p w14:paraId="455E78E8" w14:textId="77777777" w:rsidR="00510E88" w:rsidRPr="00E10816" w:rsidRDefault="00510E88" w:rsidP="0024526E">
            <w:pPr>
              <w:pStyle w:val="Tabletext1"/>
              <w:rPr>
                <w:snapToGrid w:val="0"/>
              </w:rPr>
            </w:pPr>
            <w:r w:rsidRPr="00E10816">
              <w:rPr>
                <w:snapToGrid w:val="0"/>
              </w:rPr>
              <w:t>Study ID</w:t>
            </w: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54513046" w14:textId="77777777" w:rsidR="00510E88" w:rsidRPr="00E10816" w:rsidRDefault="00510E88" w:rsidP="0024526E">
            <w:pPr>
              <w:pStyle w:val="Tabletext1"/>
              <w:spacing w:before="0" w:after="0"/>
              <w:rPr>
                <w:snapToGrid w:val="0"/>
              </w:rPr>
            </w:pPr>
            <w:r w:rsidRPr="00E10816">
              <w:rPr>
                <w:snapToGrid w:val="0"/>
              </w:rPr>
              <w:t>Was the objective of the study clearly stated?</w:t>
            </w:r>
          </w:p>
          <w:p w14:paraId="49B5DF05"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6139AABE" w14:textId="77777777" w:rsidR="00510E88" w:rsidRPr="00E10816" w:rsidRDefault="00510E88" w:rsidP="0024526E">
            <w:pPr>
              <w:pStyle w:val="Tabletext1"/>
              <w:spacing w:before="0" w:after="0"/>
              <w:rPr>
                <w:snapToGrid w:val="0"/>
              </w:rPr>
            </w:pPr>
            <w:r w:rsidRPr="00E10816">
              <w:rPr>
                <w:snapToGrid w:val="0"/>
              </w:rPr>
              <w:t>Was the study conducted prospectively?</w:t>
            </w:r>
          </w:p>
          <w:p w14:paraId="7C581263"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59C65839" w14:textId="77777777" w:rsidR="00510E88" w:rsidRPr="00E10816" w:rsidRDefault="00510E88" w:rsidP="0024526E">
            <w:pPr>
              <w:pStyle w:val="Tabletext1"/>
              <w:spacing w:before="0" w:after="0"/>
              <w:rPr>
                <w:snapToGrid w:val="0"/>
              </w:rPr>
            </w:pPr>
            <w:r w:rsidRPr="00E10816">
              <w:rPr>
                <w:snapToGrid w:val="0"/>
              </w:rPr>
              <w:t>Were the cases collected in multiple centres?</w:t>
            </w:r>
          </w:p>
          <w:p w14:paraId="29337114"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3585D519" w14:textId="77777777" w:rsidR="00510E88" w:rsidRPr="00E10816" w:rsidRDefault="00510E88" w:rsidP="0024526E">
            <w:pPr>
              <w:pStyle w:val="Tabletext1"/>
              <w:spacing w:before="0" w:after="0"/>
              <w:rPr>
                <w:snapToGrid w:val="0"/>
              </w:rPr>
            </w:pPr>
            <w:r w:rsidRPr="00E10816">
              <w:rPr>
                <w:snapToGrid w:val="0"/>
              </w:rPr>
              <w:t>Were patients recruited consecutively?</w:t>
            </w:r>
          </w:p>
          <w:p w14:paraId="6A4CE8D6"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238D41E5" w14:textId="77777777" w:rsidR="00510E88" w:rsidRPr="00E10816" w:rsidRDefault="00510E88" w:rsidP="0024526E">
            <w:pPr>
              <w:pStyle w:val="Tabletext1"/>
              <w:spacing w:before="0" w:after="0"/>
              <w:rPr>
                <w:snapToGrid w:val="0"/>
              </w:rPr>
            </w:pPr>
            <w:r w:rsidRPr="00E10816">
              <w:rPr>
                <w:snapToGrid w:val="0"/>
              </w:rPr>
              <w:t>Were patient characteristics described?</w:t>
            </w:r>
          </w:p>
          <w:p w14:paraId="7D25B419"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2A7B0EFB" w14:textId="77777777" w:rsidR="00510E88" w:rsidRPr="00E10816" w:rsidRDefault="00510E88" w:rsidP="0024526E">
            <w:pPr>
              <w:pStyle w:val="Tabletext1"/>
              <w:spacing w:before="0" w:after="0"/>
              <w:rPr>
                <w:snapToGrid w:val="0"/>
              </w:rPr>
            </w:pPr>
            <w:r w:rsidRPr="00E10816">
              <w:rPr>
                <w:snapToGrid w:val="0"/>
              </w:rPr>
              <w:t>Were the eligibility criteria clearly stated?</w:t>
            </w:r>
          </w:p>
          <w:p w14:paraId="4DFA7C3D"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1D7D0DD3" w14:textId="77777777" w:rsidR="00510E88" w:rsidRPr="00E10816" w:rsidRDefault="00510E88" w:rsidP="0024526E">
            <w:pPr>
              <w:pStyle w:val="Tabletext1"/>
              <w:spacing w:before="0" w:after="0"/>
              <w:rPr>
                <w:snapToGrid w:val="0"/>
              </w:rPr>
            </w:pPr>
            <w:r w:rsidRPr="00E10816">
              <w:rPr>
                <w:snapToGrid w:val="0"/>
              </w:rPr>
              <w:t>Did patients enter the study at a similar point in the disease?</w:t>
            </w:r>
          </w:p>
          <w:p w14:paraId="61880D13"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3B6A7F4C" w14:textId="77777777" w:rsidR="00510E88" w:rsidRPr="00E10816" w:rsidRDefault="00510E88" w:rsidP="0024526E">
            <w:pPr>
              <w:pStyle w:val="Tabletext1"/>
              <w:spacing w:before="0" w:after="0"/>
              <w:rPr>
                <w:snapToGrid w:val="0"/>
              </w:rPr>
            </w:pPr>
            <w:r w:rsidRPr="00E10816">
              <w:rPr>
                <w:snapToGrid w:val="0"/>
              </w:rPr>
              <w:t>Was the intervention clearly described?</w:t>
            </w:r>
          </w:p>
          <w:p w14:paraId="7FA267F0"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147A6085" w14:textId="77777777" w:rsidR="00510E88" w:rsidRPr="00E10816" w:rsidRDefault="00510E88" w:rsidP="0024526E">
            <w:pPr>
              <w:pStyle w:val="Tabletext1"/>
              <w:spacing w:before="0" w:after="0"/>
              <w:rPr>
                <w:snapToGrid w:val="0"/>
              </w:rPr>
            </w:pPr>
            <w:r w:rsidRPr="00E10816">
              <w:rPr>
                <w:snapToGrid w:val="0"/>
              </w:rPr>
              <w:t>Were relevant outcome measures established a priori?</w:t>
            </w:r>
          </w:p>
          <w:p w14:paraId="35D58B62"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5C5109DD" w14:textId="77777777" w:rsidR="00510E88" w:rsidRPr="00E10816" w:rsidRDefault="00510E88" w:rsidP="0024526E">
            <w:pPr>
              <w:pStyle w:val="Tabletext1"/>
              <w:spacing w:before="0" w:after="0"/>
              <w:rPr>
                <w:snapToGrid w:val="0"/>
              </w:rPr>
            </w:pPr>
            <w:r w:rsidRPr="00E10816">
              <w:rPr>
                <w:snapToGrid w:val="0"/>
              </w:rPr>
              <w:t>Were outcome assessors blinded to the intervention?</w:t>
            </w:r>
          </w:p>
          <w:p w14:paraId="2BF44644"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55387685" w14:textId="77777777" w:rsidR="00510E88" w:rsidRPr="00E10816" w:rsidRDefault="00510E88" w:rsidP="0024526E">
            <w:pPr>
              <w:pStyle w:val="Tabletext1"/>
              <w:spacing w:before="0" w:after="0"/>
              <w:rPr>
                <w:snapToGrid w:val="0"/>
              </w:rPr>
            </w:pPr>
            <w:r w:rsidRPr="00E10816">
              <w:rPr>
                <w:snapToGrid w:val="0"/>
              </w:rPr>
              <w:t>Were outcomes measured using appropriate methods?</w:t>
            </w:r>
          </w:p>
          <w:p w14:paraId="7227A1A8"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7571A5F6" w14:textId="77777777" w:rsidR="00510E88" w:rsidRPr="00E10816" w:rsidRDefault="00510E88" w:rsidP="0024526E">
            <w:pPr>
              <w:pStyle w:val="Tabletext1"/>
              <w:spacing w:before="0" w:after="0"/>
              <w:rPr>
                <w:snapToGrid w:val="0"/>
              </w:rPr>
            </w:pPr>
            <w:r w:rsidRPr="00E10816">
              <w:rPr>
                <w:snapToGrid w:val="0"/>
              </w:rPr>
              <w:t>Were the statistical tests appropriate?</w:t>
            </w:r>
          </w:p>
          <w:p w14:paraId="23F8B8FE"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17DDAE09" w14:textId="77777777" w:rsidR="00510E88" w:rsidRPr="00E10816" w:rsidRDefault="00510E88" w:rsidP="0024526E">
            <w:pPr>
              <w:pStyle w:val="Tabletext1"/>
              <w:spacing w:before="0" w:after="0"/>
              <w:rPr>
                <w:snapToGrid w:val="0"/>
              </w:rPr>
            </w:pPr>
            <w:r w:rsidRPr="00E10816">
              <w:rPr>
                <w:snapToGrid w:val="0"/>
              </w:rPr>
              <w:t xml:space="preserve">Was follow-up long enough to capture important events and outcomes? </w:t>
            </w:r>
          </w:p>
          <w:p w14:paraId="2E6A46DE"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3E2D83F2" w14:textId="77777777" w:rsidR="00510E88" w:rsidRPr="00E10816" w:rsidRDefault="00510E88" w:rsidP="0024526E">
            <w:pPr>
              <w:pStyle w:val="Tabletext1"/>
              <w:spacing w:before="0" w:after="0"/>
              <w:rPr>
                <w:snapToGrid w:val="0"/>
              </w:rPr>
            </w:pPr>
            <w:r w:rsidRPr="00E10816">
              <w:rPr>
                <w:snapToGrid w:val="0"/>
              </w:rPr>
              <w:t>Were losses to follow-up reported?</w:t>
            </w:r>
          </w:p>
          <w:p w14:paraId="732BB7D3"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6F37FC7B" w14:textId="77777777" w:rsidR="00510E88" w:rsidRPr="00E10816" w:rsidRDefault="00510E88" w:rsidP="0024526E">
            <w:pPr>
              <w:pStyle w:val="Tabletext1"/>
              <w:spacing w:before="0" w:after="0"/>
              <w:rPr>
                <w:snapToGrid w:val="0"/>
              </w:rPr>
            </w:pPr>
            <w:r w:rsidRPr="00E10816">
              <w:rPr>
                <w:snapToGrid w:val="0"/>
              </w:rPr>
              <w:t>Did the study provide estimates of random variability in the data analysis?</w:t>
            </w:r>
          </w:p>
          <w:p w14:paraId="51DDEB00"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498D43A1" w14:textId="77777777" w:rsidR="00510E88" w:rsidRPr="00E10816" w:rsidRDefault="00510E88" w:rsidP="0024526E">
            <w:pPr>
              <w:pStyle w:val="Tabletext1"/>
              <w:spacing w:before="0" w:after="0"/>
              <w:rPr>
                <w:snapToGrid w:val="0"/>
              </w:rPr>
            </w:pPr>
            <w:r w:rsidRPr="00E10816">
              <w:rPr>
                <w:snapToGrid w:val="0"/>
              </w:rPr>
              <w:t>Were the adverse events reported?</w:t>
            </w:r>
          </w:p>
          <w:p w14:paraId="4B684F27" w14:textId="77777777" w:rsidR="00510E88" w:rsidRPr="00E10816" w:rsidRDefault="00510E88" w:rsidP="0024526E">
            <w:pPr>
              <w:pStyle w:val="Tabletext1"/>
              <w:spacing w:before="0" w:after="0"/>
              <w:rPr>
                <w:snapToGrid w:val="0"/>
              </w:rPr>
            </w:pPr>
          </w:p>
        </w:tc>
        <w:tc>
          <w:tcPr>
            <w:tcW w:w="243" w:type="pct"/>
            <w:tcBorders>
              <w:top w:val="single" w:sz="6" w:space="0" w:color="auto"/>
              <w:left w:val="single" w:sz="6" w:space="0" w:color="auto"/>
              <w:bottom w:val="single" w:sz="6" w:space="0" w:color="auto"/>
              <w:right w:val="single" w:sz="6" w:space="0" w:color="auto"/>
            </w:tcBorders>
            <w:shd w:val="clear" w:color="auto" w:fill="auto"/>
            <w:textDirection w:val="btLr"/>
          </w:tcPr>
          <w:p w14:paraId="7BB178EF" w14:textId="77777777" w:rsidR="00510E88" w:rsidRPr="00E10816" w:rsidRDefault="00510E88" w:rsidP="0024526E">
            <w:pPr>
              <w:pStyle w:val="Tabletext1"/>
              <w:spacing w:before="0" w:after="0"/>
              <w:rPr>
                <w:snapToGrid w:val="0"/>
              </w:rPr>
            </w:pPr>
            <w:r w:rsidRPr="00E10816">
              <w:rPr>
                <w:snapToGrid w:val="0"/>
              </w:rPr>
              <w:t>Were the conclusions of the study supported by results?</w:t>
            </w:r>
          </w:p>
          <w:p w14:paraId="62796CFF" w14:textId="77777777" w:rsidR="00510E88" w:rsidRPr="00E10816" w:rsidRDefault="00510E88" w:rsidP="0024526E">
            <w:pPr>
              <w:pStyle w:val="Tabletext1"/>
              <w:spacing w:before="0" w:after="0"/>
              <w:rPr>
                <w:snapToGrid w:val="0"/>
              </w:rPr>
            </w:pPr>
          </w:p>
        </w:tc>
        <w:tc>
          <w:tcPr>
            <w:tcW w:w="242" w:type="pct"/>
            <w:tcBorders>
              <w:top w:val="single" w:sz="6" w:space="0" w:color="auto"/>
              <w:left w:val="single" w:sz="6" w:space="0" w:color="auto"/>
              <w:bottom w:val="single" w:sz="6" w:space="0" w:color="auto"/>
              <w:right w:val="single" w:sz="6" w:space="0" w:color="auto"/>
            </w:tcBorders>
            <w:shd w:val="clear" w:color="auto" w:fill="auto"/>
            <w:textDirection w:val="btLr"/>
          </w:tcPr>
          <w:p w14:paraId="67575C5C" w14:textId="77777777" w:rsidR="00510E88" w:rsidRPr="00E10816" w:rsidRDefault="00510E88" w:rsidP="0024526E">
            <w:pPr>
              <w:pStyle w:val="Tabletext1"/>
              <w:spacing w:before="0" w:after="0"/>
              <w:rPr>
                <w:snapToGrid w:val="0"/>
              </w:rPr>
            </w:pPr>
            <w:r w:rsidRPr="00E10816">
              <w:rPr>
                <w:snapToGrid w:val="0"/>
              </w:rPr>
              <w:t>Were competing interests and sources of support reported?</w:t>
            </w:r>
          </w:p>
          <w:p w14:paraId="1D7F1A94" w14:textId="77777777" w:rsidR="00510E88" w:rsidRPr="00E10816" w:rsidRDefault="00510E88" w:rsidP="0024526E">
            <w:pPr>
              <w:pStyle w:val="Tabletext1"/>
              <w:spacing w:before="0" w:after="0"/>
              <w:rPr>
                <w:snapToGrid w:val="0"/>
              </w:rPr>
            </w:pPr>
          </w:p>
        </w:tc>
      </w:tr>
      <w:tr w:rsidR="0035554A" w:rsidRPr="00E10816" w14:paraId="3D7AED39" w14:textId="77777777" w:rsidTr="0024526E">
        <w:tc>
          <w:tcPr>
            <w:tcW w:w="626" w:type="pct"/>
            <w:vAlign w:val="bottom"/>
          </w:tcPr>
          <w:p w14:paraId="0A6174F9" w14:textId="77777777" w:rsidR="0035554A" w:rsidRPr="00E10816" w:rsidRDefault="0035554A" w:rsidP="000F264E">
            <w:pPr>
              <w:pStyle w:val="Tabletext1"/>
              <w:spacing w:before="40" w:after="40"/>
              <w:rPr>
                <w:snapToGrid w:val="0"/>
              </w:rPr>
            </w:pPr>
            <w:r w:rsidRPr="00E10816">
              <w:rPr>
                <w:snapToGrid w:val="0"/>
              </w:rPr>
              <w:t>Agolli (2015)</w:t>
            </w:r>
          </w:p>
        </w:tc>
        <w:tc>
          <w:tcPr>
            <w:tcW w:w="243" w:type="pct"/>
            <w:tcBorders>
              <w:top w:val="single" w:sz="6" w:space="0" w:color="auto"/>
            </w:tcBorders>
            <w:shd w:val="clear" w:color="auto" w:fill="EAF1DD" w:themeFill="accent3" w:themeFillTint="33"/>
            <w:vAlign w:val="center"/>
          </w:tcPr>
          <w:p w14:paraId="57D12E86"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F2DBDB" w:themeFill="accent2" w:themeFillTint="33"/>
            <w:vAlign w:val="center"/>
          </w:tcPr>
          <w:p w14:paraId="0EF2C21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F2DBDB" w:themeFill="accent2" w:themeFillTint="33"/>
            <w:vAlign w:val="center"/>
          </w:tcPr>
          <w:p w14:paraId="120DC0E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FFFFCC"/>
            <w:vAlign w:val="center"/>
          </w:tcPr>
          <w:p w14:paraId="34AE4D1D"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tcBorders>
              <w:top w:val="single" w:sz="6" w:space="0" w:color="auto"/>
            </w:tcBorders>
            <w:shd w:val="clear" w:color="auto" w:fill="EAF1DD" w:themeFill="accent3" w:themeFillTint="33"/>
            <w:vAlign w:val="center"/>
          </w:tcPr>
          <w:p w14:paraId="1DD11A4B"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EAF1DD" w:themeFill="accent3" w:themeFillTint="33"/>
            <w:vAlign w:val="center"/>
          </w:tcPr>
          <w:p w14:paraId="79EA710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EAF1DD" w:themeFill="accent3" w:themeFillTint="33"/>
            <w:vAlign w:val="center"/>
          </w:tcPr>
          <w:p w14:paraId="31FF2C2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EAF1DD" w:themeFill="accent3" w:themeFillTint="33"/>
            <w:vAlign w:val="center"/>
          </w:tcPr>
          <w:p w14:paraId="254EA65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EAF1DD" w:themeFill="accent3" w:themeFillTint="33"/>
            <w:vAlign w:val="center"/>
          </w:tcPr>
          <w:p w14:paraId="554F67D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F2DBDB" w:themeFill="accent2" w:themeFillTint="33"/>
            <w:vAlign w:val="center"/>
          </w:tcPr>
          <w:p w14:paraId="624E701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EAF1DD" w:themeFill="accent3" w:themeFillTint="33"/>
            <w:vAlign w:val="center"/>
          </w:tcPr>
          <w:p w14:paraId="762F719B" w14:textId="77777777" w:rsidR="0035554A" w:rsidRPr="00E10816" w:rsidRDefault="0035554A" w:rsidP="000F264E">
            <w:pPr>
              <w:pStyle w:val="Tabletext1"/>
              <w:spacing w:before="40" w:after="40"/>
              <w:jc w:val="center"/>
              <w:rPr>
                <w:rFonts w:ascii="Wingdings 2" w:hAnsi="Wingdings 2"/>
              </w:rPr>
            </w:pPr>
            <w:r w:rsidRPr="00E10816">
              <w:rPr>
                <w:rFonts w:ascii="Wingdings 2" w:hAnsi="Wingdings 2"/>
              </w:rPr>
              <w:t></w:t>
            </w:r>
          </w:p>
        </w:tc>
        <w:tc>
          <w:tcPr>
            <w:tcW w:w="243" w:type="pct"/>
            <w:tcBorders>
              <w:top w:val="single" w:sz="6" w:space="0" w:color="auto"/>
            </w:tcBorders>
            <w:shd w:val="clear" w:color="auto" w:fill="EAF1DD" w:themeFill="accent3" w:themeFillTint="33"/>
            <w:vAlign w:val="center"/>
          </w:tcPr>
          <w:p w14:paraId="1526312F"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EAF1DD" w:themeFill="accent3" w:themeFillTint="33"/>
            <w:vAlign w:val="center"/>
          </w:tcPr>
          <w:p w14:paraId="7539A4DF"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F2DBDB" w:themeFill="accent2" w:themeFillTint="33"/>
            <w:vAlign w:val="center"/>
          </w:tcPr>
          <w:p w14:paraId="3F77062F"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tcBorders>
              <w:top w:val="single" w:sz="6" w:space="0" w:color="auto"/>
            </w:tcBorders>
            <w:shd w:val="clear" w:color="auto" w:fill="F2DBDB" w:themeFill="accent2" w:themeFillTint="33"/>
            <w:vAlign w:val="center"/>
          </w:tcPr>
          <w:p w14:paraId="543506A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tcBorders>
              <w:top w:val="single" w:sz="6" w:space="0" w:color="auto"/>
            </w:tcBorders>
            <w:shd w:val="clear" w:color="auto" w:fill="FFFFCC"/>
            <w:vAlign w:val="center"/>
          </w:tcPr>
          <w:p w14:paraId="114C01E4"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tcBorders>
              <w:top w:val="single" w:sz="6" w:space="0" w:color="auto"/>
            </w:tcBorders>
            <w:shd w:val="clear" w:color="auto" w:fill="FFFFCC"/>
            <w:vAlign w:val="center"/>
          </w:tcPr>
          <w:p w14:paraId="2BF15288" w14:textId="77777777" w:rsidR="0035554A" w:rsidRPr="00E10816" w:rsidRDefault="0035554A" w:rsidP="000F264E">
            <w:pPr>
              <w:pStyle w:val="Tabletext1"/>
              <w:spacing w:before="40" w:after="40"/>
              <w:jc w:val="center"/>
              <w:rPr>
                <w:color w:val="000000"/>
              </w:rPr>
            </w:pPr>
            <w:r w:rsidRPr="00E10816">
              <w:rPr>
                <w:color w:val="000000"/>
              </w:rPr>
              <w:t>•</w:t>
            </w:r>
          </w:p>
        </w:tc>
        <w:tc>
          <w:tcPr>
            <w:tcW w:w="242" w:type="pct"/>
            <w:tcBorders>
              <w:top w:val="single" w:sz="6" w:space="0" w:color="auto"/>
            </w:tcBorders>
            <w:shd w:val="clear" w:color="auto" w:fill="FFFFCC"/>
            <w:vAlign w:val="center"/>
          </w:tcPr>
          <w:p w14:paraId="63F808EA" w14:textId="77777777" w:rsidR="0035554A" w:rsidRPr="00E10816" w:rsidRDefault="0035554A" w:rsidP="000F264E">
            <w:pPr>
              <w:pStyle w:val="Tabletext1"/>
              <w:spacing w:before="40" w:after="40"/>
              <w:jc w:val="center"/>
              <w:rPr>
                <w:color w:val="000000"/>
              </w:rPr>
            </w:pPr>
            <w:r w:rsidRPr="00E10816">
              <w:rPr>
                <w:color w:val="000000"/>
              </w:rPr>
              <w:t>•</w:t>
            </w:r>
          </w:p>
        </w:tc>
      </w:tr>
      <w:tr w:rsidR="0035554A" w:rsidRPr="00E10816" w14:paraId="7F6B5501" w14:textId="77777777" w:rsidTr="0024526E">
        <w:tc>
          <w:tcPr>
            <w:tcW w:w="626" w:type="pct"/>
            <w:vAlign w:val="bottom"/>
          </w:tcPr>
          <w:p w14:paraId="2FEB72FC" w14:textId="77777777" w:rsidR="0035554A" w:rsidRPr="00E10816" w:rsidRDefault="0035554A" w:rsidP="000F264E">
            <w:pPr>
              <w:pStyle w:val="Tabletext1"/>
              <w:spacing w:before="40" w:after="40"/>
              <w:rPr>
                <w:snapToGrid w:val="0"/>
              </w:rPr>
            </w:pPr>
            <w:r w:rsidRPr="00E10816">
              <w:rPr>
                <w:snapToGrid w:val="0"/>
              </w:rPr>
              <w:t>Baschnagel (2013)</w:t>
            </w:r>
          </w:p>
        </w:tc>
        <w:tc>
          <w:tcPr>
            <w:tcW w:w="243" w:type="pct"/>
            <w:shd w:val="clear" w:color="auto" w:fill="EAF1DD" w:themeFill="accent3" w:themeFillTint="33"/>
            <w:vAlign w:val="center"/>
          </w:tcPr>
          <w:p w14:paraId="76A6E7C3"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7C162935"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2DBDB" w:themeFill="accent2" w:themeFillTint="33"/>
            <w:vAlign w:val="center"/>
          </w:tcPr>
          <w:p w14:paraId="7937E2B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7002830A"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2B6A05C1"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1D6B7EF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3FF309B2"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69C7D97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2ED8D7B"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E5981D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AD642D6"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78CED4A5"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1C0B40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48C7549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220451B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1ABE8EF4"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1B7EDB18" w14:textId="77777777" w:rsidR="0035554A" w:rsidRPr="00E10816" w:rsidRDefault="0035554A" w:rsidP="000F264E">
            <w:pPr>
              <w:pStyle w:val="Tabletext1"/>
              <w:spacing w:before="40" w:after="40"/>
              <w:jc w:val="center"/>
              <w:rPr>
                <w:color w:val="000000"/>
              </w:rPr>
            </w:pPr>
            <w:r w:rsidRPr="00E10816">
              <w:rPr>
                <w:color w:val="000000"/>
              </w:rPr>
              <w:t>•</w:t>
            </w:r>
          </w:p>
        </w:tc>
        <w:tc>
          <w:tcPr>
            <w:tcW w:w="242" w:type="pct"/>
            <w:shd w:val="clear" w:color="auto" w:fill="F2DBDB" w:themeFill="accent2" w:themeFillTint="33"/>
            <w:vAlign w:val="center"/>
          </w:tcPr>
          <w:p w14:paraId="6CA7E0E3"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r>
      <w:tr w:rsidR="0035554A" w:rsidRPr="00E10816" w14:paraId="0DDE2991" w14:textId="77777777" w:rsidTr="0024526E">
        <w:tc>
          <w:tcPr>
            <w:tcW w:w="626" w:type="pct"/>
            <w:vAlign w:val="bottom"/>
          </w:tcPr>
          <w:p w14:paraId="53A900F9" w14:textId="77777777" w:rsidR="0035554A" w:rsidRPr="00E10816" w:rsidRDefault="0035554A" w:rsidP="000F264E">
            <w:pPr>
              <w:pStyle w:val="Tabletext1"/>
              <w:spacing w:before="40" w:after="40"/>
              <w:rPr>
                <w:snapToGrid w:val="0"/>
              </w:rPr>
            </w:pPr>
            <w:r w:rsidRPr="00E10816">
              <w:rPr>
                <w:snapToGrid w:val="0"/>
              </w:rPr>
              <w:t>Garcia-Cabezas (2015)</w:t>
            </w:r>
          </w:p>
        </w:tc>
        <w:tc>
          <w:tcPr>
            <w:tcW w:w="243" w:type="pct"/>
            <w:shd w:val="clear" w:color="auto" w:fill="EAF1DD" w:themeFill="accent3" w:themeFillTint="33"/>
            <w:vAlign w:val="center"/>
          </w:tcPr>
          <w:p w14:paraId="159722C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621F0436"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AF1817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7E011AC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0B6E49D9"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2113CACC"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0F57BA18"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338AF739"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753B0AA3"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7514139C"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1E414661"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4935B0B5"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BC8F5CF"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78AC8CF"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F2DBDB" w:themeFill="accent2" w:themeFillTint="33"/>
            <w:vAlign w:val="center"/>
          </w:tcPr>
          <w:p w14:paraId="02469966"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69779C9E"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2CC04CF1" w14:textId="77777777" w:rsidR="0035554A" w:rsidRPr="00E10816" w:rsidRDefault="0035554A" w:rsidP="000F264E">
            <w:pPr>
              <w:pStyle w:val="Tabletext1"/>
              <w:spacing w:before="40" w:after="40"/>
              <w:jc w:val="center"/>
              <w:rPr>
                <w:color w:val="000000"/>
              </w:rPr>
            </w:pPr>
            <w:r w:rsidRPr="00E10816">
              <w:rPr>
                <w:color w:val="000000"/>
              </w:rPr>
              <w:t>•</w:t>
            </w:r>
          </w:p>
        </w:tc>
        <w:tc>
          <w:tcPr>
            <w:tcW w:w="242" w:type="pct"/>
            <w:shd w:val="clear" w:color="auto" w:fill="FFFFCC"/>
            <w:vAlign w:val="center"/>
          </w:tcPr>
          <w:p w14:paraId="68548779" w14:textId="77777777" w:rsidR="0035554A" w:rsidRPr="00E10816" w:rsidRDefault="0035554A" w:rsidP="000F264E">
            <w:pPr>
              <w:pStyle w:val="Tabletext1"/>
              <w:spacing w:before="40" w:after="40"/>
              <w:jc w:val="center"/>
              <w:rPr>
                <w:color w:val="000000"/>
              </w:rPr>
            </w:pPr>
            <w:r w:rsidRPr="00E10816">
              <w:rPr>
                <w:color w:val="000000"/>
              </w:rPr>
              <w:t>•</w:t>
            </w:r>
          </w:p>
        </w:tc>
      </w:tr>
      <w:tr w:rsidR="00510E88" w:rsidRPr="00E10816" w14:paraId="5343D2D2" w14:textId="77777777" w:rsidTr="0024526E">
        <w:tc>
          <w:tcPr>
            <w:tcW w:w="626" w:type="pct"/>
            <w:vAlign w:val="bottom"/>
          </w:tcPr>
          <w:p w14:paraId="1EED55C7" w14:textId="77777777" w:rsidR="00510E88" w:rsidRPr="00E10816" w:rsidRDefault="00510E88" w:rsidP="000F264E">
            <w:pPr>
              <w:pStyle w:val="Tabletext1"/>
              <w:spacing w:before="40" w:after="40"/>
              <w:rPr>
                <w:snapToGrid w:val="0"/>
              </w:rPr>
            </w:pPr>
            <w:r w:rsidRPr="00E10816">
              <w:rPr>
                <w:snapToGrid w:val="0"/>
              </w:rPr>
              <w:t>Filippi (2015)</w:t>
            </w:r>
          </w:p>
        </w:tc>
        <w:tc>
          <w:tcPr>
            <w:tcW w:w="243" w:type="pct"/>
            <w:shd w:val="clear" w:color="auto" w:fill="FFFFCC"/>
            <w:vAlign w:val="center"/>
          </w:tcPr>
          <w:p w14:paraId="12006C51" w14:textId="77777777" w:rsidR="00510E88" w:rsidRPr="00E10816" w:rsidRDefault="00510E88" w:rsidP="000F264E">
            <w:pPr>
              <w:pStyle w:val="Tabletext1"/>
              <w:spacing w:before="40" w:after="40"/>
              <w:jc w:val="center"/>
              <w:rPr>
                <w:color w:val="000000"/>
              </w:rPr>
            </w:pPr>
            <w:r w:rsidRPr="00E10816">
              <w:rPr>
                <w:color w:val="000000"/>
              </w:rPr>
              <w:t>•</w:t>
            </w:r>
          </w:p>
        </w:tc>
        <w:tc>
          <w:tcPr>
            <w:tcW w:w="243" w:type="pct"/>
            <w:shd w:val="clear" w:color="auto" w:fill="F2DBDB" w:themeFill="accent2" w:themeFillTint="33"/>
            <w:vAlign w:val="center"/>
          </w:tcPr>
          <w:p w14:paraId="35481BAB"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2A5A4A76"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64E75473"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199FB9D7"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1FA91C76"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5B5ACEA"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15B762E1"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7590B5C"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6E15960C"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4D2A2B17" w14:textId="77777777" w:rsidR="00510E88" w:rsidRPr="00E10816" w:rsidRDefault="00510E88" w:rsidP="000F264E">
            <w:pPr>
              <w:pStyle w:val="Tabletext1"/>
              <w:spacing w:before="40" w:after="40"/>
              <w:jc w:val="center"/>
              <w:rPr>
                <w:rFonts w:ascii="Wingdings 2" w:hAnsi="Wingdings 2"/>
              </w:rPr>
            </w:pPr>
            <w:r w:rsidRPr="00E10816">
              <w:rPr>
                <w:rFonts w:ascii="Wingdings 2" w:hAnsi="Wingdings 2"/>
              </w:rPr>
              <w:t></w:t>
            </w:r>
          </w:p>
        </w:tc>
        <w:tc>
          <w:tcPr>
            <w:tcW w:w="243" w:type="pct"/>
            <w:shd w:val="clear" w:color="auto" w:fill="EAF1DD" w:themeFill="accent3" w:themeFillTint="33"/>
            <w:vAlign w:val="center"/>
          </w:tcPr>
          <w:p w14:paraId="65C3FE60"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B028DBB"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1C040525" w14:textId="77777777" w:rsidR="00510E88" w:rsidRPr="00E10816" w:rsidRDefault="00510E88" w:rsidP="000F264E">
            <w:pPr>
              <w:pStyle w:val="Tabletext1"/>
              <w:spacing w:before="40" w:after="40"/>
              <w:jc w:val="center"/>
            </w:pPr>
            <w:r w:rsidRPr="00E10816">
              <w:rPr>
                <w:rFonts w:ascii="Wingdings 2" w:hAnsi="Wingdings 2"/>
                <w:color w:val="000000"/>
              </w:rPr>
              <w:t></w:t>
            </w:r>
          </w:p>
        </w:tc>
        <w:tc>
          <w:tcPr>
            <w:tcW w:w="243" w:type="pct"/>
            <w:shd w:val="clear" w:color="auto" w:fill="EAF1DD" w:themeFill="accent3" w:themeFillTint="33"/>
            <w:vAlign w:val="center"/>
          </w:tcPr>
          <w:p w14:paraId="6146177C"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58FFCEFB" w14:textId="77777777" w:rsidR="00510E88" w:rsidRPr="00E10816" w:rsidRDefault="00510E88"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68B45257" w14:textId="77777777" w:rsidR="00510E88" w:rsidRPr="00E10816" w:rsidRDefault="00510E88"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2" w:type="pct"/>
            <w:shd w:val="clear" w:color="auto" w:fill="FFFFCC"/>
            <w:vAlign w:val="center"/>
          </w:tcPr>
          <w:p w14:paraId="68C7C7AB" w14:textId="77777777" w:rsidR="00510E88" w:rsidRPr="00E10816" w:rsidRDefault="00510E88" w:rsidP="000F264E">
            <w:pPr>
              <w:pStyle w:val="Tabletext1"/>
              <w:spacing w:before="40" w:after="40"/>
              <w:jc w:val="center"/>
              <w:rPr>
                <w:color w:val="000000"/>
              </w:rPr>
            </w:pPr>
            <w:r w:rsidRPr="00E10816">
              <w:rPr>
                <w:color w:val="000000"/>
              </w:rPr>
              <w:t>•</w:t>
            </w:r>
          </w:p>
        </w:tc>
      </w:tr>
      <w:tr w:rsidR="0035554A" w:rsidRPr="00E10816" w14:paraId="7031318C" w14:textId="77777777" w:rsidTr="0024526E">
        <w:tc>
          <w:tcPr>
            <w:tcW w:w="626" w:type="pct"/>
            <w:vAlign w:val="bottom"/>
          </w:tcPr>
          <w:p w14:paraId="6BFBAB1D" w14:textId="77777777" w:rsidR="0035554A" w:rsidRPr="00E10816" w:rsidRDefault="0035554A" w:rsidP="000F264E">
            <w:pPr>
              <w:pStyle w:val="Tabletext1"/>
              <w:spacing w:before="40" w:after="40"/>
              <w:rPr>
                <w:snapToGrid w:val="0"/>
              </w:rPr>
            </w:pPr>
            <w:r w:rsidRPr="00E10816">
              <w:rPr>
                <w:snapToGrid w:val="0"/>
              </w:rPr>
              <w:t>Gamsiz (2014)</w:t>
            </w:r>
          </w:p>
        </w:tc>
        <w:tc>
          <w:tcPr>
            <w:tcW w:w="243" w:type="pct"/>
            <w:shd w:val="clear" w:color="auto" w:fill="EAF1DD" w:themeFill="accent3" w:themeFillTint="33"/>
            <w:vAlign w:val="center"/>
          </w:tcPr>
          <w:p w14:paraId="30E055CC"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29483A11"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2E8788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3B652238"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31DEA140"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44DCE519"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694DC98B"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6839D50D"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0DAF41B9"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1778FC33"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176FE787" w14:textId="77777777" w:rsidR="0035554A" w:rsidRPr="00E10816" w:rsidRDefault="0035554A" w:rsidP="000F264E">
            <w:pPr>
              <w:pStyle w:val="Tabletext1"/>
              <w:spacing w:before="40" w:after="40"/>
              <w:jc w:val="center"/>
              <w:rPr>
                <w:rFonts w:ascii="Wingdings 2" w:hAnsi="Wingdings 2"/>
              </w:rPr>
            </w:pPr>
            <w:r w:rsidRPr="00E10816">
              <w:rPr>
                <w:rFonts w:ascii="Wingdings 2" w:hAnsi="Wingdings 2"/>
              </w:rPr>
              <w:t></w:t>
            </w:r>
          </w:p>
        </w:tc>
        <w:tc>
          <w:tcPr>
            <w:tcW w:w="243" w:type="pct"/>
            <w:shd w:val="clear" w:color="auto" w:fill="EAF1DD" w:themeFill="accent3" w:themeFillTint="33"/>
            <w:vAlign w:val="center"/>
          </w:tcPr>
          <w:p w14:paraId="3B11E5F5"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8AFBF85"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49533126"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F2DBDB" w:themeFill="accent2" w:themeFillTint="33"/>
            <w:vAlign w:val="center"/>
          </w:tcPr>
          <w:p w14:paraId="179164DC"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3FD70E89"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2DBDB" w:themeFill="accent2" w:themeFillTint="33"/>
            <w:vAlign w:val="center"/>
          </w:tcPr>
          <w:p w14:paraId="3855639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2" w:type="pct"/>
            <w:shd w:val="clear" w:color="auto" w:fill="FFFFCC"/>
            <w:vAlign w:val="center"/>
          </w:tcPr>
          <w:p w14:paraId="3EDAEFE0" w14:textId="77777777" w:rsidR="0035554A" w:rsidRPr="00E10816" w:rsidRDefault="0035554A" w:rsidP="000F264E">
            <w:pPr>
              <w:pStyle w:val="Tabletext1"/>
              <w:spacing w:before="40" w:after="40"/>
              <w:jc w:val="center"/>
              <w:rPr>
                <w:color w:val="000000"/>
              </w:rPr>
            </w:pPr>
            <w:r w:rsidRPr="00E10816">
              <w:rPr>
                <w:color w:val="000000"/>
              </w:rPr>
              <w:t>•</w:t>
            </w:r>
          </w:p>
        </w:tc>
      </w:tr>
      <w:tr w:rsidR="0035554A" w:rsidRPr="00E10816" w14:paraId="5CD5DC7A" w14:textId="77777777" w:rsidTr="0024526E">
        <w:tc>
          <w:tcPr>
            <w:tcW w:w="626" w:type="pct"/>
            <w:vAlign w:val="bottom"/>
          </w:tcPr>
          <w:p w14:paraId="2A46CB83" w14:textId="77777777" w:rsidR="0035554A" w:rsidRPr="00E10816" w:rsidRDefault="0035554A" w:rsidP="000F264E">
            <w:pPr>
              <w:pStyle w:val="Tabletext1"/>
              <w:spacing w:before="40" w:after="40"/>
              <w:rPr>
                <w:snapToGrid w:val="0"/>
              </w:rPr>
            </w:pPr>
            <w:r w:rsidRPr="00E10816">
              <w:rPr>
                <w:snapToGrid w:val="0"/>
              </w:rPr>
              <w:t>Kim (2009)</w:t>
            </w:r>
          </w:p>
        </w:tc>
        <w:tc>
          <w:tcPr>
            <w:tcW w:w="243" w:type="pct"/>
            <w:shd w:val="clear" w:color="auto" w:fill="EAF1DD" w:themeFill="accent3" w:themeFillTint="33"/>
            <w:vAlign w:val="center"/>
          </w:tcPr>
          <w:p w14:paraId="78FA199B"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2DB55847"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2108772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5CCF16EF"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0FAFC8E3"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65BA5BD1"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39615956"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66AD0E1C"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1803282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4C28542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42316344" w14:textId="77777777" w:rsidR="0035554A" w:rsidRPr="00E10816" w:rsidRDefault="0035554A" w:rsidP="000F264E">
            <w:pPr>
              <w:pStyle w:val="Tabletext1"/>
              <w:spacing w:before="40" w:after="40"/>
              <w:jc w:val="center"/>
              <w:rPr>
                <w:rFonts w:ascii="Wingdings 2" w:hAnsi="Wingdings 2"/>
              </w:rPr>
            </w:pPr>
            <w:r w:rsidRPr="00E10816">
              <w:rPr>
                <w:rFonts w:ascii="Wingdings 2" w:hAnsi="Wingdings 2"/>
              </w:rPr>
              <w:t></w:t>
            </w:r>
          </w:p>
        </w:tc>
        <w:tc>
          <w:tcPr>
            <w:tcW w:w="243" w:type="pct"/>
            <w:shd w:val="clear" w:color="auto" w:fill="EAF1DD" w:themeFill="accent3" w:themeFillTint="33"/>
            <w:vAlign w:val="center"/>
          </w:tcPr>
          <w:p w14:paraId="7BB9EE4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6F7446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7708142F"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FFFFCC"/>
            <w:vAlign w:val="center"/>
          </w:tcPr>
          <w:p w14:paraId="0BFB3714"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3F7CB23D"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DCE9BF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2" w:type="pct"/>
            <w:shd w:val="clear" w:color="auto" w:fill="FFFFCC"/>
            <w:vAlign w:val="center"/>
          </w:tcPr>
          <w:p w14:paraId="6A410E7E" w14:textId="77777777" w:rsidR="0035554A" w:rsidRPr="00E10816" w:rsidRDefault="0035554A" w:rsidP="000F264E">
            <w:pPr>
              <w:pStyle w:val="Tabletext1"/>
              <w:spacing w:before="40" w:after="40"/>
              <w:jc w:val="center"/>
              <w:rPr>
                <w:color w:val="000000"/>
              </w:rPr>
            </w:pPr>
            <w:r w:rsidRPr="00E10816">
              <w:rPr>
                <w:color w:val="000000"/>
              </w:rPr>
              <w:t>•</w:t>
            </w:r>
          </w:p>
        </w:tc>
      </w:tr>
      <w:tr w:rsidR="0035554A" w:rsidRPr="00E10816" w14:paraId="7EC0257A" w14:textId="77777777" w:rsidTr="0024526E">
        <w:tc>
          <w:tcPr>
            <w:tcW w:w="626" w:type="pct"/>
            <w:vAlign w:val="bottom"/>
          </w:tcPr>
          <w:p w14:paraId="137812F5" w14:textId="77777777" w:rsidR="0035554A" w:rsidRPr="00E10816" w:rsidRDefault="0035554A" w:rsidP="000F264E">
            <w:pPr>
              <w:pStyle w:val="Tabletext1"/>
              <w:spacing w:before="40" w:after="40"/>
              <w:rPr>
                <w:snapToGrid w:val="0"/>
              </w:rPr>
            </w:pPr>
            <w:r w:rsidRPr="00E10816">
              <w:rPr>
                <w:snapToGrid w:val="0"/>
              </w:rPr>
              <w:lastRenderedPageBreak/>
              <w:t>Navarria (2014)</w:t>
            </w:r>
          </w:p>
        </w:tc>
        <w:tc>
          <w:tcPr>
            <w:tcW w:w="243" w:type="pct"/>
            <w:shd w:val="clear" w:color="auto" w:fill="EAF1DD" w:themeFill="accent3" w:themeFillTint="33"/>
            <w:vAlign w:val="center"/>
          </w:tcPr>
          <w:p w14:paraId="007C044B"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0BD691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6D74976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CE0404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320F233C"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09C79229"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483EEECF"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315C52B7"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DDE165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0C0AE11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186AFE83"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5BB2AD6C"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70B3ED29"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419E316F"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F2DBDB" w:themeFill="accent2" w:themeFillTint="33"/>
            <w:vAlign w:val="center"/>
          </w:tcPr>
          <w:p w14:paraId="6CDB4CC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341C9BB9"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488EDBC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2" w:type="pct"/>
            <w:shd w:val="clear" w:color="auto" w:fill="EAF1DD" w:themeFill="accent3" w:themeFillTint="33"/>
            <w:vAlign w:val="center"/>
          </w:tcPr>
          <w:p w14:paraId="2B9142E5"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r>
      <w:tr w:rsidR="0035554A" w:rsidRPr="00E10816" w14:paraId="0F7555B6" w14:textId="77777777" w:rsidTr="0024526E">
        <w:tc>
          <w:tcPr>
            <w:tcW w:w="626" w:type="pct"/>
            <w:vAlign w:val="bottom"/>
          </w:tcPr>
          <w:p w14:paraId="2C6AB4CE" w14:textId="77777777" w:rsidR="0035554A" w:rsidRPr="00E10816" w:rsidRDefault="0035554A" w:rsidP="000F264E">
            <w:pPr>
              <w:pStyle w:val="Tabletext1"/>
              <w:spacing w:before="40" w:after="40"/>
              <w:rPr>
                <w:snapToGrid w:val="0"/>
              </w:rPr>
            </w:pPr>
            <w:r w:rsidRPr="00E10816">
              <w:rPr>
                <w:snapToGrid w:val="0"/>
              </w:rPr>
              <w:t>Navarria (2015)</w:t>
            </w:r>
          </w:p>
        </w:tc>
        <w:tc>
          <w:tcPr>
            <w:tcW w:w="243" w:type="pct"/>
            <w:shd w:val="clear" w:color="auto" w:fill="FFFFCC"/>
            <w:vAlign w:val="center"/>
          </w:tcPr>
          <w:p w14:paraId="14A70381"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663E15F9"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76DDCE71"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645AED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2A51A6F5"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197EBC9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2E16313E"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246BF47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5C8D2927"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2E70AD69"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33B972BB" w14:textId="77777777" w:rsidR="0035554A" w:rsidRPr="00E10816" w:rsidRDefault="0035554A" w:rsidP="000F264E">
            <w:pPr>
              <w:pStyle w:val="Tabletext1"/>
              <w:spacing w:before="40" w:after="40"/>
              <w:jc w:val="center"/>
              <w:rPr>
                <w:rFonts w:ascii="Wingdings 2" w:hAnsi="Wingdings 2"/>
              </w:rPr>
            </w:pPr>
            <w:r w:rsidRPr="00E10816">
              <w:rPr>
                <w:color w:val="000000"/>
              </w:rPr>
              <w:t>•</w:t>
            </w:r>
          </w:p>
        </w:tc>
        <w:tc>
          <w:tcPr>
            <w:tcW w:w="243" w:type="pct"/>
            <w:shd w:val="clear" w:color="auto" w:fill="EAF1DD" w:themeFill="accent3" w:themeFillTint="33"/>
            <w:vAlign w:val="center"/>
          </w:tcPr>
          <w:p w14:paraId="6C7344C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1D216B45"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261CF0BD"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EAF1DD" w:themeFill="accent3" w:themeFillTint="33"/>
            <w:vAlign w:val="center"/>
          </w:tcPr>
          <w:p w14:paraId="3F4C3EC1"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6B103F83"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696176C7"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2" w:type="pct"/>
            <w:shd w:val="clear" w:color="auto" w:fill="EAF1DD" w:themeFill="accent3" w:themeFillTint="33"/>
            <w:vAlign w:val="center"/>
          </w:tcPr>
          <w:p w14:paraId="5B16A99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r>
      <w:tr w:rsidR="0035554A" w:rsidRPr="00E10816" w14:paraId="0BC7C627" w14:textId="77777777" w:rsidTr="0024526E">
        <w:tc>
          <w:tcPr>
            <w:tcW w:w="626" w:type="pct"/>
            <w:vAlign w:val="bottom"/>
          </w:tcPr>
          <w:p w14:paraId="2365D5A6" w14:textId="77777777" w:rsidR="0035554A" w:rsidRPr="00E10816" w:rsidRDefault="0035554A" w:rsidP="000F264E">
            <w:pPr>
              <w:pStyle w:val="Tabletext1"/>
              <w:spacing w:before="40" w:after="40"/>
              <w:rPr>
                <w:snapToGrid w:val="0"/>
              </w:rPr>
            </w:pPr>
            <w:r w:rsidRPr="00E10816">
              <w:rPr>
                <w:snapToGrid w:val="0"/>
              </w:rPr>
              <w:t>Norihisa (2008)</w:t>
            </w:r>
          </w:p>
        </w:tc>
        <w:tc>
          <w:tcPr>
            <w:tcW w:w="243" w:type="pct"/>
            <w:shd w:val="clear" w:color="auto" w:fill="FFFFCC"/>
            <w:vAlign w:val="center"/>
          </w:tcPr>
          <w:p w14:paraId="14C2136E"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2DBDB" w:themeFill="accent2" w:themeFillTint="33"/>
            <w:vAlign w:val="center"/>
          </w:tcPr>
          <w:p w14:paraId="7470196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0B8C9331"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2AF76697"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702773A3"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348C2AAD"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004E0F6F"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4DB2CDF8"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5F948939"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606127AC"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0A3BD4C5" w14:textId="77777777" w:rsidR="0035554A" w:rsidRPr="00E10816" w:rsidRDefault="0035554A" w:rsidP="000F264E">
            <w:pPr>
              <w:pStyle w:val="Tabletext1"/>
              <w:spacing w:before="40" w:after="40"/>
              <w:jc w:val="center"/>
              <w:rPr>
                <w:rFonts w:ascii="Wingdings 2" w:hAnsi="Wingdings 2"/>
              </w:rPr>
            </w:pPr>
            <w:r w:rsidRPr="00E10816">
              <w:rPr>
                <w:rFonts w:ascii="Wingdings 2" w:hAnsi="Wingdings 2"/>
              </w:rPr>
              <w:t></w:t>
            </w:r>
          </w:p>
        </w:tc>
        <w:tc>
          <w:tcPr>
            <w:tcW w:w="243" w:type="pct"/>
            <w:shd w:val="clear" w:color="auto" w:fill="EAF1DD" w:themeFill="accent3" w:themeFillTint="33"/>
            <w:vAlign w:val="center"/>
          </w:tcPr>
          <w:p w14:paraId="345E308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1C789645"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92985C5"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F2DBDB" w:themeFill="accent2" w:themeFillTint="33"/>
            <w:vAlign w:val="center"/>
          </w:tcPr>
          <w:p w14:paraId="28FDB2F4"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7C7130F"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1B32E6D1"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2" w:type="pct"/>
            <w:shd w:val="clear" w:color="auto" w:fill="EAF1DD" w:themeFill="accent3" w:themeFillTint="33"/>
            <w:vAlign w:val="center"/>
          </w:tcPr>
          <w:p w14:paraId="0ACD9487"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r>
      <w:tr w:rsidR="0035554A" w:rsidRPr="00E10816" w14:paraId="1A1CF803" w14:textId="77777777" w:rsidTr="0024526E">
        <w:tc>
          <w:tcPr>
            <w:tcW w:w="626" w:type="pct"/>
            <w:vAlign w:val="bottom"/>
          </w:tcPr>
          <w:p w14:paraId="0A09881C" w14:textId="77777777" w:rsidR="0035554A" w:rsidRPr="00E10816" w:rsidRDefault="0035554A" w:rsidP="000F264E">
            <w:pPr>
              <w:pStyle w:val="Tabletext1"/>
              <w:spacing w:before="40" w:after="40"/>
              <w:rPr>
                <w:snapToGrid w:val="0"/>
              </w:rPr>
            </w:pPr>
            <w:r w:rsidRPr="00E10816">
              <w:rPr>
                <w:snapToGrid w:val="0"/>
              </w:rPr>
              <w:t>Nuyttens (2015)</w:t>
            </w:r>
          </w:p>
        </w:tc>
        <w:tc>
          <w:tcPr>
            <w:tcW w:w="243" w:type="pct"/>
            <w:shd w:val="clear" w:color="auto" w:fill="EAF1DD" w:themeFill="accent3" w:themeFillTint="33"/>
            <w:vAlign w:val="center"/>
          </w:tcPr>
          <w:p w14:paraId="2AB747A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5444B55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6AECFAF4"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20645FA0"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45B52FB4"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52F3D72B"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6F927119"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6009BC2C"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7084D9F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33ABE8B3"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650AE594" w14:textId="77777777" w:rsidR="0035554A" w:rsidRPr="00E10816" w:rsidRDefault="0035554A" w:rsidP="000F264E">
            <w:pPr>
              <w:pStyle w:val="Tabletext1"/>
              <w:spacing w:before="40" w:after="40"/>
              <w:jc w:val="center"/>
              <w:rPr>
                <w:rFonts w:ascii="Wingdings 2" w:hAnsi="Wingdings 2"/>
              </w:rPr>
            </w:pPr>
            <w:r w:rsidRPr="00E10816">
              <w:rPr>
                <w:rFonts w:ascii="Wingdings 2" w:hAnsi="Wingdings 2"/>
              </w:rPr>
              <w:t></w:t>
            </w:r>
          </w:p>
        </w:tc>
        <w:tc>
          <w:tcPr>
            <w:tcW w:w="243" w:type="pct"/>
            <w:shd w:val="clear" w:color="auto" w:fill="EAF1DD" w:themeFill="accent3" w:themeFillTint="33"/>
            <w:vAlign w:val="center"/>
          </w:tcPr>
          <w:p w14:paraId="6E1654B3"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69BC537B"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78DB8AA5"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EAF1DD" w:themeFill="accent3" w:themeFillTint="33"/>
            <w:vAlign w:val="center"/>
          </w:tcPr>
          <w:p w14:paraId="1962CA8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7E00C78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7EF2829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2" w:type="pct"/>
            <w:shd w:val="clear" w:color="auto" w:fill="FFFFCC"/>
            <w:vAlign w:val="center"/>
          </w:tcPr>
          <w:p w14:paraId="3889D0D3" w14:textId="77777777" w:rsidR="0035554A" w:rsidRPr="00E10816" w:rsidRDefault="0035554A" w:rsidP="000F264E">
            <w:pPr>
              <w:pStyle w:val="Tabletext1"/>
              <w:spacing w:before="40" w:after="40"/>
              <w:jc w:val="center"/>
              <w:rPr>
                <w:color w:val="000000"/>
              </w:rPr>
            </w:pPr>
            <w:r w:rsidRPr="00E10816">
              <w:rPr>
                <w:color w:val="000000"/>
              </w:rPr>
              <w:t>•</w:t>
            </w:r>
          </w:p>
        </w:tc>
      </w:tr>
      <w:tr w:rsidR="0035554A" w:rsidRPr="00E10816" w14:paraId="0C436E37" w14:textId="77777777" w:rsidTr="0024526E">
        <w:tc>
          <w:tcPr>
            <w:tcW w:w="626" w:type="pct"/>
            <w:vAlign w:val="bottom"/>
          </w:tcPr>
          <w:p w14:paraId="646337E5" w14:textId="77777777" w:rsidR="0035554A" w:rsidRPr="00E10816" w:rsidRDefault="0035554A" w:rsidP="000F264E">
            <w:pPr>
              <w:pStyle w:val="Tabletext1"/>
              <w:spacing w:before="40" w:after="40"/>
              <w:rPr>
                <w:snapToGrid w:val="0"/>
              </w:rPr>
            </w:pPr>
            <w:r w:rsidRPr="00E10816">
              <w:rPr>
                <w:snapToGrid w:val="0"/>
              </w:rPr>
              <w:t>Oh (2012)</w:t>
            </w:r>
          </w:p>
        </w:tc>
        <w:tc>
          <w:tcPr>
            <w:tcW w:w="243" w:type="pct"/>
            <w:shd w:val="clear" w:color="auto" w:fill="FFFFCC"/>
            <w:vAlign w:val="center"/>
          </w:tcPr>
          <w:p w14:paraId="4D643DDB"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2DBDB" w:themeFill="accent2" w:themeFillTint="33"/>
            <w:vAlign w:val="center"/>
          </w:tcPr>
          <w:p w14:paraId="19A5E975"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0CF9DA64"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683BDA3C"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5B301A91"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5F7826A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1F6FF025"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245C919C"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0E4AE32B"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69F9A5C3"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9590C13" w14:textId="77777777" w:rsidR="0035554A" w:rsidRPr="00E10816" w:rsidRDefault="0035554A" w:rsidP="000F264E">
            <w:pPr>
              <w:pStyle w:val="Tabletext1"/>
              <w:spacing w:before="40" w:after="40"/>
              <w:jc w:val="center"/>
              <w:rPr>
                <w:rFonts w:ascii="Wingdings 2" w:hAnsi="Wingdings 2"/>
              </w:rPr>
            </w:pPr>
            <w:r w:rsidRPr="00E10816">
              <w:rPr>
                <w:rFonts w:ascii="Wingdings 2" w:hAnsi="Wingdings 2"/>
              </w:rPr>
              <w:t></w:t>
            </w:r>
          </w:p>
        </w:tc>
        <w:tc>
          <w:tcPr>
            <w:tcW w:w="243" w:type="pct"/>
            <w:shd w:val="clear" w:color="auto" w:fill="EAF1DD" w:themeFill="accent3" w:themeFillTint="33"/>
            <w:vAlign w:val="center"/>
          </w:tcPr>
          <w:p w14:paraId="5830ED66"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68103A3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19754B5"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F2DBDB" w:themeFill="accent2" w:themeFillTint="33"/>
            <w:vAlign w:val="center"/>
          </w:tcPr>
          <w:p w14:paraId="35998B15"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5E796A9C"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72FBD589" w14:textId="77777777" w:rsidR="0035554A" w:rsidRPr="00E10816" w:rsidRDefault="0035554A" w:rsidP="000F264E">
            <w:pPr>
              <w:pStyle w:val="Tabletext1"/>
              <w:spacing w:before="40" w:after="40"/>
              <w:jc w:val="center"/>
              <w:rPr>
                <w:color w:val="000000"/>
              </w:rPr>
            </w:pPr>
            <w:r w:rsidRPr="00E10816">
              <w:rPr>
                <w:color w:val="000000"/>
              </w:rPr>
              <w:t>•</w:t>
            </w:r>
          </w:p>
        </w:tc>
        <w:tc>
          <w:tcPr>
            <w:tcW w:w="242" w:type="pct"/>
            <w:shd w:val="clear" w:color="auto" w:fill="FFFFCC"/>
            <w:vAlign w:val="center"/>
          </w:tcPr>
          <w:p w14:paraId="423BD411" w14:textId="77777777" w:rsidR="0035554A" w:rsidRPr="00E10816" w:rsidRDefault="0035554A" w:rsidP="000F264E">
            <w:pPr>
              <w:pStyle w:val="Tabletext1"/>
              <w:spacing w:before="40" w:after="40"/>
              <w:jc w:val="center"/>
              <w:rPr>
                <w:color w:val="000000"/>
              </w:rPr>
            </w:pPr>
            <w:r w:rsidRPr="00E10816">
              <w:rPr>
                <w:color w:val="000000"/>
              </w:rPr>
              <w:t>•</w:t>
            </w:r>
          </w:p>
        </w:tc>
      </w:tr>
      <w:tr w:rsidR="0035554A" w:rsidRPr="00E10816" w14:paraId="57259948" w14:textId="77777777" w:rsidTr="0024526E">
        <w:tc>
          <w:tcPr>
            <w:tcW w:w="626" w:type="pct"/>
            <w:vAlign w:val="bottom"/>
          </w:tcPr>
          <w:p w14:paraId="11E7E5E3" w14:textId="77777777" w:rsidR="0035554A" w:rsidRPr="00E10816" w:rsidRDefault="0035554A" w:rsidP="000F264E">
            <w:pPr>
              <w:pStyle w:val="Tabletext1"/>
              <w:spacing w:before="40" w:after="40"/>
              <w:rPr>
                <w:snapToGrid w:val="0"/>
              </w:rPr>
            </w:pPr>
            <w:r w:rsidRPr="00E10816">
              <w:rPr>
                <w:snapToGrid w:val="0"/>
              </w:rPr>
              <w:t>Osti (2013)</w:t>
            </w:r>
          </w:p>
        </w:tc>
        <w:tc>
          <w:tcPr>
            <w:tcW w:w="243" w:type="pct"/>
            <w:shd w:val="clear" w:color="auto" w:fill="EAF1DD" w:themeFill="accent3" w:themeFillTint="33"/>
            <w:vAlign w:val="center"/>
          </w:tcPr>
          <w:p w14:paraId="086AE7E5"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084EF909"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8B494A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22B6AD78"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5529AB49"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3A9CEF6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319A159F"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7F3C334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43870AD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2EB6FBC6"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CE59A7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4F63C8A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4214BCED"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30A0B447"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F2DBDB" w:themeFill="accent2" w:themeFillTint="33"/>
            <w:vAlign w:val="center"/>
          </w:tcPr>
          <w:p w14:paraId="2030DC04"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0D753F3A"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66074944"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2" w:type="pct"/>
            <w:shd w:val="clear" w:color="auto" w:fill="FFFFCC"/>
            <w:vAlign w:val="center"/>
          </w:tcPr>
          <w:p w14:paraId="4092B48F" w14:textId="77777777" w:rsidR="0035554A" w:rsidRPr="00E10816" w:rsidRDefault="0035554A" w:rsidP="000F264E">
            <w:pPr>
              <w:pStyle w:val="Tabletext1"/>
              <w:spacing w:before="40" w:after="40"/>
              <w:jc w:val="center"/>
              <w:rPr>
                <w:color w:val="000000"/>
              </w:rPr>
            </w:pPr>
            <w:r w:rsidRPr="00E10816">
              <w:rPr>
                <w:color w:val="000000"/>
              </w:rPr>
              <w:t>•</w:t>
            </w:r>
          </w:p>
        </w:tc>
      </w:tr>
      <w:tr w:rsidR="0035554A" w:rsidRPr="00E10816" w14:paraId="71F36C02" w14:textId="77777777" w:rsidTr="0024526E">
        <w:tc>
          <w:tcPr>
            <w:tcW w:w="626" w:type="pct"/>
            <w:vAlign w:val="bottom"/>
          </w:tcPr>
          <w:p w14:paraId="587635FF" w14:textId="77777777" w:rsidR="0035554A" w:rsidRPr="00E10816" w:rsidRDefault="0035554A" w:rsidP="000F264E">
            <w:pPr>
              <w:pStyle w:val="Tabletext1"/>
              <w:spacing w:before="40" w:after="40"/>
              <w:rPr>
                <w:snapToGrid w:val="0"/>
              </w:rPr>
            </w:pPr>
            <w:r w:rsidRPr="00E10816">
              <w:rPr>
                <w:snapToGrid w:val="0"/>
              </w:rPr>
              <w:t>Ricardi (2011)</w:t>
            </w:r>
          </w:p>
        </w:tc>
        <w:tc>
          <w:tcPr>
            <w:tcW w:w="243" w:type="pct"/>
            <w:shd w:val="clear" w:color="auto" w:fill="EAF1DD" w:themeFill="accent3" w:themeFillTint="33"/>
            <w:vAlign w:val="center"/>
          </w:tcPr>
          <w:p w14:paraId="4A02657B"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8FC0476"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744087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6805C91F"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410188D2"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72EAC2F8"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33468667"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339EDCE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708C9E2B"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D9CD02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63EB5897"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56B2779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17A1BFEF"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334CE787"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F2DBDB" w:themeFill="accent2" w:themeFillTint="33"/>
            <w:vAlign w:val="center"/>
          </w:tcPr>
          <w:p w14:paraId="285AE64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42403F01"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FFFCC"/>
            <w:vAlign w:val="center"/>
          </w:tcPr>
          <w:p w14:paraId="35BDD8B7" w14:textId="77777777" w:rsidR="0035554A" w:rsidRPr="00E10816" w:rsidRDefault="0035554A" w:rsidP="000F264E">
            <w:pPr>
              <w:pStyle w:val="Tabletext1"/>
              <w:spacing w:before="40" w:after="40"/>
              <w:jc w:val="center"/>
              <w:rPr>
                <w:color w:val="000000"/>
              </w:rPr>
            </w:pPr>
            <w:r w:rsidRPr="00E10816">
              <w:rPr>
                <w:color w:val="000000"/>
              </w:rPr>
              <w:t>•</w:t>
            </w:r>
          </w:p>
        </w:tc>
        <w:tc>
          <w:tcPr>
            <w:tcW w:w="242" w:type="pct"/>
            <w:shd w:val="clear" w:color="auto" w:fill="FFFFCC"/>
            <w:vAlign w:val="center"/>
          </w:tcPr>
          <w:p w14:paraId="4F2FA5AB" w14:textId="77777777" w:rsidR="0035554A" w:rsidRPr="00E10816" w:rsidRDefault="0035554A" w:rsidP="000F264E">
            <w:pPr>
              <w:pStyle w:val="Tabletext1"/>
              <w:spacing w:before="40" w:after="40"/>
              <w:jc w:val="center"/>
              <w:rPr>
                <w:color w:val="000000"/>
              </w:rPr>
            </w:pPr>
            <w:r w:rsidRPr="00E10816">
              <w:rPr>
                <w:color w:val="000000"/>
              </w:rPr>
              <w:t>•</w:t>
            </w:r>
          </w:p>
        </w:tc>
      </w:tr>
      <w:tr w:rsidR="0035554A" w:rsidRPr="00E10816" w14:paraId="1B178340" w14:textId="77777777" w:rsidTr="0024526E">
        <w:tc>
          <w:tcPr>
            <w:tcW w:w="626" w:type="pct"/>
            <w:vAlign w:val="bottom"/>
          </w:tcPr>
          <w:p w14:paraId="22836F3B" w14:textId="77777777" w:rsidR="0035554A" w:rsidRPr="00E10816" w:rsidRDefault="0035554A" w:rsidP="000F264E">
            <w:pPr>
              <w:pStyle w:val="Tabletext1"/>
              <w:spacing w:before="40" w:after="40"/>
              <w:rPr>
                <w:snapToGrid w:val="0"/>
              </w:rPr>
            </w:pPr>
            <w:r w:rsidRPr="00E10816">
              <w:rPr>
                <w:snapToGrid w:val="0"/>
              </w:rPr>
              <w:t>Takahashi (2014)</w:t>
            </w:r>
          </w:p>
        </w:tc>
        <w:tc>
          <w:tcPr>
            <w:tcW w:w="243" w:type="pct"/>
            <w:shd w:val="clear" w:color="auto" w:fill="EAF1DD" w:themeFill="accent3" w:themeFillTint="33"/>
            <w:vAlign w:val="center"/>
          </w:tcPr>
          <w:p w14:paraId="274EF07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1A6CE53F"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5EA362B3"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D0E4B70"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6870DC6E"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4CC5528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48FB2A4E"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EAF1DD" w:themeFill="accent3" w:themeFillTint="33"/>
            <w:vAlign w:val="center"/>
          </w:tcPr>
          <w:p w14:paraId="6692CD72"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8E089D3"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49141D59"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3B6B3EE"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332167B6"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EAF1DD" w:themeFill="accent3" w:themeFillTint="33"/>
            <w:vAlign w:val="center"/>
          </w:tcPr>
          <w:p w14:paraId="23947814"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2DBDB" w:themeFill="accent2" w:themeFillTint="33"/>
            <w:vAlign w:val="center"/>
          </w:tcPr>
          <w:p w14:paraId="11CF4B45" w14:textId="77777777" w:rsidR="0035554A" w:rsidRPr="00E10816" w:rsidRDefault="0035554A" w:rsidP="000F264E">
            <w:pPr>
              <w:pStyle w:val="Tabletext1"/>
              <w:spacing w:before="40" w:after="40"/>
              <w:jc w:val="center"/>
            </w:pPr>
            <w:r w:rsidRPr="00E10816">
              <w:rPr>
                <w:rFonts w:ascii="Wingdings 2" w:hAnsi="Wingdings 2"/>
                <w:color w:val="000000"/>
              </w:rPr>
              <w:t></w:t>
            </w:r>
          </w:p>
        </w:tc>
        <w:tc>
          <w:tcPr>
            <w:tcW w:w="243" w:type="pct"/>
            <w:shd w:val="clear" w:color="auto" w:fill="EAF1DD" w:themeFill="accent3" w:themeFillTint="33"/>
            <w:vAlign w:val="center"/>
          </w:tcPr>
          <w:p w14:paraId="58874BCA"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3" w:type="pct"/>
            <w:shd w:val="clear" w:color="auto" w:fill="FFFFCC"/>
            <w:vAlign w:val="center"/>
          </w:tcPr>
          <w:p w14:paraId="59736749" w14:textId="77777777" w:rsidR="0035554A" w:rsidRPr="00E10816" w:rsidRDefault="0035554A" w:rsidP="000F264E">
            <w:pPr>
              <w:pStyle w:val="Tabletext1"/>
              <w:spacing w:before="40" w:after="40"/>
              <w:jc w:val="center"/>
              <w:rPr>
                <w:color w:val="000000"/>
              </w:rPr>
            </w:pPr>
            <w:r w:rsidRPr="00E10816">
              <w:rPr>
                <w:color w:val="000000"/>
              </w:rPr>
              <w:t>•</w:t>
            </w:r>
          </w:p>
        </w:tc>
        <w:tc>
          <w:tcPr>
            <w:tcW w:w="243" w:type="pct"/>
            <w:shd w:val="clear" w:color="auto" w:fill="F2DBDB" w:themeFill="accent2" w:themeFillTint="33"/>
            <w:vAlign w:val="center"/>
          </w:tcPr>
          <w:p w14:paraId="3B4E52BB" w14:textId="77777777" w:rsidR="0035554A" w:rsidRPr="00E10816" w:rsidRDefault="0035554A" w:rsidP="000F264E">
            <w:pPr>
              <w:pStyle w:val="Tabletext1"/>
              <w:spacing w:before="40" w:after="40"/>
              <w:jc w:val="center"/>
              <w:rPr>
                <w:rFonts w:ascii="Wingdings 2" w:hAnsi="Wingdings 2"/>
                <w:color w:val="000000"/>
              </w:rPr>
            </w:pPr>
            <w:r w:rsidRPr="00E10816">
              <w:rPr>
                <w:rFonts w:ascii="Wingdings 2" w:hAnsi="Wingdings 2"/>
                <w:color w:val="000000"/>
              </w:rPr>
              <w:t></w:t>
            </w:r>
          </w:p>
        </w:tc>
        <w:tc>
          <w:tcPr>
            <w:tcW w:w="242" w:type="pct"/>
            <w:shd w:val="clear" w:color="auto" w:fill="FFFFCC"/>
            <w:vAlign w:val="center"/>
          </w:tcPr>
          <w:p w14:paraId="46C8A966" w14:textId="77777777" w:rsidR="0035554A" w:rsidRPr="00E10816" w:rsidRDefault="0035554A" w:rsidP="000F264E">
            <w:pPr>
              <w:pStyle w:val="Tabletext1"/>
              <w:spacing w:before="40" w:after="40"/>
              <w:jc w:val="center"/>
              <w:rPr>
                <w:color w:val="000000"/>
              </w:rPr>
            </w:pPr>
            <w:r w:rsidRPr="00E10816">
              <w:rPr>
                <w:color w:val="000000"/>
              </w:rPr>
              <w:t>•</w:t>
            </w:r>
          </w:p>
        </w:tc>
      </w:tr>
    </w:tbl>
    <w:p w14:paraId="7012F5E1" w14:textId="77777777" w:rsidR="00DE44DB" w:rsidRDefault="00DE44DB" w:rsidP="005775DE">
      <w:pPr>
        <w:pStyle w:val="Tablenotes0"/>
        <w:rPr>
          <w:rFonts w:eastAsiaTheme="minorHAnsi"/>
        </w:rPr>
      </w:pPr>
      <w:r w:rsidRPr="00DE44DB">
        <w:rPr>
          <w:rFonts w:ascii="Wingdings 2" w:eastAsiaTheme="minorHAnsi" w:hAnsi="Wingdings 2"/>
        </w:rPr>
        <w:t></w:t>
      </w:r>
      <w:r w:rsidR="001104D0">
        <w:rPr>
          <w:rFonts w:eastAsiaTheme="minorHAnsi"/>
        </w:rPr>
        <w:t xml:space="preserve"> </w:t>
      </w:r>
      <w:r>
        <w:rPr>
          <w:rFonts w:eastAsiaTheme="minorHAnsi"/>
        </w:rPr>
        <w:t>=</w:t>
      </w:r>
      <w:r w:rsidR="001104D0">
        <w:rPr>
          <w:rFonts w:eastAsiaTheme="minorHAnsi"/>
        </w:rPr>
        <w:t xml:space="preserve"> </w:t>
      </w:r>
      <w:r>
        <w:rPr>
          <w:rFonts w:eastAsiaTheme="minorHAnsi"/>
        </w:rPr>
        <w:t xml:space="preserve">yes, </w:t>
      </w:r>
      <w:r w:rsidRPr="00DE44DB">
        <w:rPr>
          <w:rFonts w:ascii="Wingdings 2" w:eastAsiaTheme="minorHAnsi" w:hAnsi="Wingdings 2"/>
        </w:rPr>
        <w:t></w:t>
      </w:r>
      <w:r w:rsidR="001104D0">
        <w:rPr>
          <w:rFonts w:eastAsiaTheme="minorHAnsi"/>
        </w:rPr>
        <w:t xml:space="preserve"> </w:t>
      </w:r>
      <w:r>
        <w:rPr>
          <w:rFonts w:eastAsiaTheme="minorHAnsi"/>
        </w:rPr>
        <w:t>=</w:t>
      </w:r>
      <w:r w:rsidR="001104D0">
        <w:rPr>
          <w:rFonts w:eastAsiaTheme="minorHAnsi"/>
        </w:rPr>
        <w:t xml:space="preserve"> </w:t>
      </w:r>
      <w:r>
        <w:rPr>
          <w:rFonts w:eastAsiaTheme="minorHAnsi"/>
        </w:rPr>
        <w:t>no,</w:t>
      </w:r>
      <w:r w:rsidRPr="00DE44DB">
        <w:rPr>
          <w:rFonts w:eastAsiaTheme="minorHAnsi"/>
        </w:rPr>
        <w:t xml:space="preserve"> •</w:t>
      </w:r>
      <w:r w:rsidR="001104D0">
        <w:rPr>
          <w:rFonts w:eastAsiaTheme="minorHAnsi"/>
        </w:rPr>
        <w:t xml:space="preserve"> </w:t>
      </w:r>
      <w:r>
        <w:rPr>
          <w:rFonts w:eastAsiaTheme="minorHAnsi"/>
        </w:rPr>
        <w:t>=</w:t>
      </w:r>
      <w:r w:rsidR="001104D0">
        <w:rPr>
          <w:rFonts w:eastAsiaTheme="minorHAnsi"/>
        </w:rPr>
        <w:t xml:space="preserve"> </w:t>
      </w:r>
      <w:r>
        <w:rPr>
          <w:rFonts w:eastAsiaTheme="minorHAnsi"/>
        </w:rPr>
        <w:t>partial</w:t>
      </w:r>
      <w:proofErr w:type="gramStart"/>
      <w:r w:rsidR="00CA6DFD">
        <w:rPr>
          <w:rFonts w:eastAsiaTheme="minorHAnsi"/>
        </w:rPr>
        <w:t xml:space="preserve">, </w:t>
      </w:r>
      <w:r w:rsidR="0035554A">
        <w:rPr>
          <w:rFonts w:eastAsiaTheme="minorHAnsi"/>
        </w:rPr>
        <w:t>?</w:t>
      </w:r>
      <w:proofErr w:type="gramEnd"/>
      <w:r w:rsidR="001104D0">
        <w:rPr>
          <w:rFonts w:eastAsiaTheme="minorHAnsi"/>
        </w:rPr>
        <w:t xml:space="preserve"> </w:t>
      </w:r>
      <w:r w:rsidR="00CA6DFD">
        <w:rPr>
          <w:rFonts w:eastAsiaTheme="minorHAnsi"/>
        </w:rPr>
        <w:t>=</w:t>
      </w:r>
      <w:r w:rsidR="001104D0">
        <w:rPr>
          <w:rFonts w:eastAsiaTheme="minorHAnsi"/>
        </w:rPr>
        <w:t xml:space="preserve"> </w:t>
      </w:r>
      <w:r>
        <w:rPr>
          <w:rFonts w:eastAsiaTheme="minorHAnsi"/>
        </w:rPr>
        <w:t>unclear, NA</w:t>
      </w:r>
      <w:r w:rsidR="001104D0">
        <w:rPr>
          <w:rFonts w:eastAsiaTheme="minorHAnsi"/>
        </w:rPr>
        <w:t xml:space="preserve"> </w:t>
      </w:r>
      <w:r>
        <w:rPr>
          <w:rFonts w:eastAsiaTheme="minorHAnsi"/>
        </w:rPr>
        <w:t>=</w:t>
      </w:r>
      <w:r w:rsidR="001104D0">
        <w:rPr>
          <w:rFonts w:eastAsiaTheme="minorHAnsi"/>
        </w:rPr>
        <w:t xml:space="preserve"> </w:t>
      </w:r>
      <w:r>
        <w:rPr>
          <w:rFonts w:eastAsiaTheme="minorHAnsi"/>
        </w:rPr>
        <w:t>not applicable</w:t>
      </w:r>
      <w:r w:rsidR="00F91E83">
        <w:rPr>
          <w:rFonts w:eastAsiaTheme="minorHAnsi"/>
        </w:rPr>
        <w:t>.</w:t>
      </w:r>
    </w:p>
    <w:p w14:paraId="31115E94" w14:textId="3E3B1453" w:rsidR="005E735E" w:rsidRDefault="00510E88" w:rsidP="000F264E">
      <w:pPr>
        <w:pStyle w:val="Tablenotes0"/>
      </w:pPr>
      <w:r w:rsidRPr="00510E88">
        <w:t>Note: The IHE quality appraisal tool has been modified to remove two questions that are not applicable to this review. These include: Were additional interventions (co-interventions) clearly described? And, were the relevant outcome measures made before and after the intervention?</w:t>
      </w:r>
    </w:p>
    <w:p w14:paraId="02661AA7" w14:textId="77777777" w:rsidR="00DE44DB" w:rsidRDefault="00DE44DB" w:rsidP="00E10816">
      <w:pPr>
        <w:widowControl w:val="0"/>
        <w:sectPr w:rsidR="00DE44DB" w:rsidSect="0024526E">
          <w:pgSz w:w="16838" w:h="11906" w:orient="landscape"/>
          <w:pgMar w:top="1440" w:right="1440" w:bottom="1440" w:left="1440" w:header="708" w:footer="708" w:gutter="0"/>
          <w:cols w:space="708"/>
          <w:docGrid w:linePitch="360"/>
        </w:sectPr>
      </w:pPr>
    </w:p>
    <w:p w14:paraId="221925B4" w14:textId="77777777" w:rsidR="00E10816" w:rsidRPr="0059043C" w:rsidRDefault="005E735E" w:rsidP="003F6C66">
      <w:pPr>
        <w:pStyle w:val="Heading3"/>
      </w:pPr>
      <w:bookmarkStart w:id="235" w:name="_Toc460396036"/>
      <w:r>
        <w:lastRenderedPageBreak/>
        <w:t xml:space="preserve">Risk of bias in the included studies for </w:t>
      </w:r>
      <w:r w:rsidR="003B4853">
        <w:t>surgery</w:t>
      </w:r>
      <w:bookmarkEnd w:id="235"/>
    </w:p>
    <w:p w14:paraId="39C8243D" w14:textId="43FB5401" w:rsidR="004424F1" w:rsidRDefault="005E735E" w:rsidP="004424F1">
      <w:r>
        <w:t xml:space="preserve">The studies </w:t>
      </w:r>
      <w:r w:rsidR="0094007F">
        <w:t>identified</w:t>
      </w:r>
      <w:r>
        <w:t xml:space="preserve"> </w:t>
      </w:r>
      <w:r w:rsidR="002F7656">
        <w:t>for</w:t>
      </w:r>
      <w:r>
        <w:t xml:space="preserve"> surgical resection </w:t>
      </w:r>
      <w:r w:rsidR="009E4001">
        <w:t>in</w:t>
      </w:r>
      <w:r>
        <w:t xml:space="preserve"> population two </w:t>
      </w:r>
      <w:r w:rsidR="002A7D74">
        <w:t>were</w:t>
      </w:r>
      <w:r>
        <w:t xml:space="preserve"> selected </w:t>
      </w:r>
      <w:r w:rsidR="00A03FF9">
        <w:t xml:space="preserve">to give an idea of the outcomes </w:t>
      </w:r>
      <w:r w:rsidR="00947041">
        <w:t>associated with</w:t>
      </w:r>
      <w:r w:rsidR="00A03FF9">
        <w:t xml:space="preserve"> surgical resect</w:t>
      </w:r>
      <w:r w:rsidR="009B3EA6">
        <w:t xml:space="preserve">ion in patients </w:t>
      </w:r>
      <w:r w:rsidR="001835AC">
        <w:t>with</w:t>
      </w:r>
      <w:r w:rsidR="009B3EA6">
        <w:t xml:space="preserve"> </w:t>
      </w:r>
      <w:r w:rsidR="00A03FF9">
        <w:t xml:space="preserve">oligometastatic disease. </w:t>
      </w:r>
      <w:r w:rsidR="009B3EA6">
        <w:t xml:space="preserve">Two systematic reviews were identified and included because they represent a synthesis of a large volume of patient data; however, neither included any comparative data. Information from these systematic reviews was supplemented with the results of large, recent studies. No randomised comparative trials, or any other comparative trials were identified in this population and the evidence base is comprised entirely of Level IV studies. The two systematic reviews were appraised using the AMSTAR tool and the case series </w:t>
      </w:r>
      <w:r w:rsidR="008C26C4">
        <w:t xml:space="preserve">were appraised </w:t>
      </w:r>
      <w:r w:rsidR="009B3EA6">
        <w:t xml:space="preserve">using the </w:t>
      </w:r>
      <w:r w:rsidR="009B3EA6" w:rsidRPr="009B3EA6">
        <w:t xml:space="preserve">‘Quality Appraisal Checklist for Case Series </w:t>
      </w:r>
      <w:r w:rsidR="00E21FD6">
        <w:t>Studies</w:t>
      </w:r>
      <w:r w:rsidR="009B3EA6" w:rsidRPr="009B3EA6">
        <w:t>’ developed by the Institute of Health Economics (Guo et al 2016</w:t>
      </w:r>
      <w:r w:rsidR="009B3EA6">
        <w:t xml:space="preserve">). </w:t>
      </w:r>
      <w:r w:rsidR="00EF16A6">
        <w:t>Some important issues</w:t>
      </w:r>
      <w:r w:rsidR="00FB08E5">
        <w:t xml:space="preserve"> regarding risk of bias in the included studies</w:t>
      </w:r>
      <w:r w:rsidR="00EF16A6">
        <w:t xml:space="preserve"> are summarised in </w:t>
      </w:r>
      <w:r w:rsidR="00FB08E5">
        <w:fldChar w:fldCharType="begin"/>
      </w:r>
      <w:r w:rsidR="00FB08E5">
        <w:instrText xml:space="preserve"> REF _Ref457400849 \h </w:instrText>
      </w:r>
      <w:r w:rsidR="00FB08E5">
        <w:fldChar w:fldCharType="separate"/>
      </w:r>
      <w:r w:rsidR="00D170A5">
        <w:t xml:space="preserve">Table </w:t>
      </w:r>
      <w:r w:rsidR="00D170A5">
        <w:rPr>
          <w:noProof/>
        </w:rPr>
        <w:t>27</w:t>
      </w:r>
      <w:r w:rsidR="00FB08E5">
        <w:fldChar w:fldCharType="end"/>
      </w:r>
      <w:r w:rsidR="00EF16A6">
        <w:t>.</w:t>
      </w:r>
      <w:r w:rsidR="00510E88">
        <w:t xml:space="preserve"> The AMSTAR appraisal of the two systematic reviews is presented in Appendix C to this report and is not reproduced within this section. </w:t>
      </w:r>
    </w:p>
    <w:p w14:paraId="4E230B54" w14:textId="77777777" w:rsidR="009B3EA6" w:rsidRPr="007C5B39" w:rsidRDefault="009B3EA6" w:rsidP="004C4A69">
      <w:pPr>
        <w:spacing w:before="400"/>
        <w:rPr>
          <w:b/>
        </w:rPr>
      </w:pPr>
      <w:r w:rsidRPr="007C5B39">
        <w:rPr>
          <w:b/>
          <w:i/>
        </w:rPr>
        <w:t>Risk of bias associated with study design</w:t>
      </w:r>
    </w:p>
    <w:p w14:paraId="3176872F" w14:textId="77777777" w:rsidR="007F7333" w:rsidRDefault="009B3EA6" w:rsidP="009B3EA6">
      <w:r>
        <w:t>Evidence for surgical resection in population two is limited to Level IV evidence (case series</w:t>
      </w:r>
      <w:r w:rsidR="005F7C44">
        <w:t>) and</w:t>
      </w:r>
      <w:r>
        <w:t xml:space="preserve"> systematic reviews of Level IV evidence. </w:t>
      </w:r>
      <w:r w:rsidR="005F7C44">
        <w:t xml:space="preserve">This evidence </w:t>
      </w:r>
      <w:r w:rsidR="007F7333">
        <w:t xml:space="preserve">cannot be used to </w:t>
      </w:r>
      <w:r w:rsidR="005F7C44">
        <w:t>inform estimates of comparative effectiveness</w:t>
      </w:r>
      <w:r w:rsidR="007F7333">
        <w:t>.</w:t>
      </w:r>
      <w:r w:rsidR="005F7C44">
        <w:t xml:space="preserve"> Of the two systematic reviews</w:t>
      </w:r>
      <w:r w:rsidR="00556630">
        <w:t>,</w:t>
      </w:r>
      <w:r w:rsidR="005F7C44">
        <w:t xml:space="preserve"> th</w:t>
      </w:r>
      <w:r w:rsidR="00556630">
        <w:t>at</w:t>
      </w:r>
      <w:r w:rsidR="005F7C44">
        <w:t xml:space="preserve"> by Pfanschmidt (2007) wa</w:t>
      </w:r>
      <w:r w:rsidR="008979E5">
        <w:t xml:space="preserve">s of particularly poor quality. </w:t>
      </w:r>
      <w:r w:rsidR="008C26C4">
        <w:t>I</w:t>
      </w:r>
      <w:r w:rsidR="008979E5">
        <w:t>n both</w:t>
      </w:r>
      <w:r w:rsidR="008C26C4">
        <w:t xml:space="preserve"> systematic reviews</w:t>
      </w:r>
      <w:r w:rsidR="00556630">
        <w:t>,</w:t>
      </w:r>
      <w:r w:rsidR="008979E5">
        <w:t xml:space="preserve"> the included studies were comprised entirely of </w:t>
      </w:r>
      <w:r w:rsidR="00CE470F">
        <w:t>L</w:t>
      </w:r>
      <w:r w:rsidR="008979E5">
        <w:t>evel IV evidence. Reporting of complications in both the primary studies and the systematic reviews was poor. Only one study reported on complications in a comprehensive fashion</w:t>
      </w:r>
      <w:r w:rsidR="00E82181">
        <w:t xml:space="preserve"> (</w:t>
      </w:r>
      <w:r w:rsidR="00E82181" w:rsidRPr="008979E5">
        <w:t>Roudriguez-Fuster et al 2014)</w:t>
      </w:r>
      <w:r w:rsidR="008979E5">
        <w:t xml:space="preserve">. </w:t>
      </w:r>
      <w:r w:rsidR="00D02C39">
        <w:t xml:space="preserve">In general only </w:t>
      </w:r>
      <w:r w:rsidR="00556630">
        <w:t>5</w:t>
      </w:r>
      <w:r w:rsidR="00D02C39">
        <w:t xml:space="preserve">-year overall survival was reported. </w:t>
      </w:r>
    </w:p>
    <w:p w14:paraId="2B2CDE9B" w14:textId="77777777" w:rsidR="009B3EA6" w:rsidRPr="007C5B39" w:rsidRDefault="009B3EA6" w:rsidP="004C4A69">
      <w:pPr>
        <w:spacing w:before="400"/>
        <w:rPr>
          <w:b/>
          <w:i/>
        </w:rPr>
      </w:pPr>
      <w:r w:rsidRPr="007C5B39">
        <w:rPr>
          <w:b/>
          <w:i/>
        </w:rPr>
        <w:t>Selection bias</w:t>
      </w:r>
    </w:p>
    <w:p w14:paraId="7364B38D" w14:textId="586D215D" w:rsidR="009B3EA6" w:rsidRDefault="00556630" w:rsidP="009B3EA6">
      <w:r>
        <w:t>Inherent in the case series study design is risk of selection bias</w:t>
      </w:r>
      <w:r w:rsidR="008C26C4">
        <w:t xml:space="preserve">. In studies </w:t>
      </w:r>
      <w:r>
        <w:t>where it is unclear how patients wer</w:t>
      </w:r>
      <w:r w:rsidR="001835AC">
        <w:t xml:space="preserve">e selected for the intervention, or </w:t>
      </w:r>
      <w:r>
        <w:t xml:space="preserve">whether cases were </w:t>
      </w:r>
      <w:r w:rsidR="008C26C4">
        <w:t>included consecutively</w:t>
      </w:r>
      <w:r>
        <w:t xml:space="preserve">, there may be issues with selection bias. </w:t>
      </w:r>
      <w:r w:rsidR="009B3EA6">
        <w:t xml:space="preserve"> </w:t>
      </w:r>
      <w:r w:rsidR="00D02C39">
        <w:t xml:space="preserve">The eligibility criteria were usually only partially reported in the Level IV studies and it was </w:t>
      </w:r>
      <w:r w:rsidR="009B3EA6">
        <w:t xml:space="preserve">unclear </w:t>
      </w:r>
      <w:r w:rsidR="00683DE0">
        <w:t xml:space="preserve">whether </w:t>
      </w:r>
      <w:r w:rsidR="009B3EA6">
        <w:t>patients were consecutive or not.</w:t>
      </w:r>
      <w:r w:rsidR="007F7333" w:rsidRPr="007F7333">
        <w:t xml:space="preserve"> </w:t>
      </w:r>
      <w:r w:rsidR="007F7333">
        <w:t>Of particular concern</w:t>
      </w:r>
      <w:r w:rsidR="00FB5F4A">
        <w:t>,</w:t>
      </w:r>
      <w:r w:rsidR="007F7333">
        <w:t xml:space="preserve"> with respect to </w:t>
      </w:r>
      <w:r w:rsidR="00D02C39">
        <w:t>patients selected for surgical resection</w:t>
      </w:r>
      <w:r w:rsidR="00FB5F4A">
        <w:t>,</w:t>
      </w:r>
      <w:r w:rsidR="00D02C39">
        <w:t xml:space="preserve"> </w:t>
      </w:r>
      <w:r w:rsidR="007F7333">
        <w:t xml:space="preserve">is the issue of ‘survivor bias’; </w:t>
      </w:r>
      <w:r w:rsidR="007F7333" w:rsidRPr="007F7333">
        <w:t>the confounding effect of selecting patients wh</w:t>
      </w:r>
      <w:r w:rsidR="008C6DFB">
        <w:t>o are likely to survive longer</w:t>
      </w:r>
      <w:r w:rsidR="00EF16A6">
        <w:t xml:space="preserve"> </w:t>
      </w:r>
      <w:r w:rsidR="00DF5EB1">
        <w:fldChar w:fldCharType="begin">
          <w:fldData xml:space="preserve">PEVuZE5vdGU+PENpdGU+PEF1dGhvcj5GaW9yZW50aW5vPC9BdXRob3I+PFllYXI+MjAxMDwvWWVh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</w:fldData>
        </w:fldChar>
      </w:r>
      <w:r w:rsidR="00194054">
        <w:instrText xml:space="preserve"> ADDIN EN.CITE </w:instrText>
      </w:r>
      <w:r w:rsidR="00194054">
        <w:fldChar w:fldCharType="begin">
          <w:fldData xml:space="preserve">PEVuZE5vdGU+PENpdGU+PEF1dGhvcj5GaW9yZW50aW5vPC9BdXRob3I+PFllYXI+MjAxMDwvWWVh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</w:fldData>
        </w:fldChar>
      </w:r>
      <w:r w:rsidR="00194054">
        <w:instrText xml:space="preserve"> ADDIN EN.CITE.DATA </w:instrText>
      </w:r>
      <w:r w:rsidR="00194054">
        <w:fldChar w:fldCharType="end"/>
      </w:r>
      <w:r w:rsidR="00DF5EB1">
        <w:fldChar w:fldCharType="separate"/>
      </w:r>
      <w:r w:rsidR="00DF5EB1">
        <w:rPr>
          <w:noProof/>
        </w:rPr>
        <w:t>(</w:t>
      </w:r>
      <w:hyperlink w:anchor="_ENREF_53" w:tooltip="Fiorentino, 2010 #1992" w:history="1">
        <w:r w:rsidR="00320458">
          <w:rPr>
            <w:noProof/>
          </w:rPr>
          <w:t>Fiorentino et al 2010</w:t>
        </w:r>
      </w:hyperlink>
      <w:r w:rsidR="00DF5EB1">
        <w:rPr>
          <w:noProof/>
        </w:rPr>
        <w:t xml:space="preserve">; </w:t>
      </w:r>
      <w:hyperlink w:anchor="_ENREF_160" w:tooltip="Treasure, 2012 #133" w:history="1">
        <w:r w:rsidR="00320458">
          <w:rPr>
            <w:noProof/>
          </w:rPr>
          <w:t>Treasure et al 2012</w:t>
        </w:r>
      </w:hyperlink>
      <w:r w:rsidR="00DF5EB1">
        <w:rPr>
          <w:noProof/>
        </w:rPr>
        <w:t>)</w:t>
      </w:r>
      <w:r w:rsidR="00DF5EB1">
        <w:fldChar w:fldCharType="end"/>
      </w:r>
      <w:r w:rsidR="007F7333">
        <w:t>. Many studies of surgical resection in this population aim to characterise the prognostic factors related to better outcome</w:t>
      </w:r>
      <w:r w:rsidR="00E23957">
        <w:t>s</w:t>
      </w:r>
      <w:r w:rsidR="007F7333">
        <w:t xml:space="preserve"> after surgical resection and thereby refine selection criteria </w:t>
      </w:r>
      <w:r w:rsidR="00E23957">
        <w:t>accordingly</w:t>
      </w:r>
      <w:r w:rsidR="007F7333">
        <w:t xml:space="preserve">. However, the findings of many studies are contradictory and underpowered for the identification of such influences. Without </w:t>
      </w:r>
      <w:r w:rsidR="008C6DFB">
        <w:t xml:space="preserve">data on the natural history of this disease state it </w:t>
      </w:r>
      <w:r w:rsidR="00E23957">
        <w:t>is unclear</w:t>
      </w:r>
      <w:r w:rsidR="008C6DFB">
        <w:t xml:space="preserve"> what benefit surgical resection offers.</w:t>
      </w:r>
    </w:p>
    <w:p w14:paraId="794920DB" w14:textId="77777777" w:rsidR="009B3EA6" w:rsidRPr="007C5B39" w:rsidRDefault="009B3EA6" w:rsidP="009B3EA6">
      <w:pPr>
        <w:rPr>
          <w:b/>
          <w:i/>
        </w:rPr>
      </w:pPr>
      <w:r w:rsidRPr="007C5B39">
        <w:rPr>
          <w:b/>
          <w:i/>
        </w:rPr>
        <w:t xml:space="preserve">Performance </w:t>
      </w:r>
      <w:r w:rsidR="00DE44DB" w:rsidRPr="007C5B39">
        <w:rPr>
          <w:b/>
          <w:i/>
        </w:rPr>
        <w:t>bias and detection bias</w:t>
      </w:r>
    </w:p>
    <w:p w14:paraId="057E5C7C" w14:textId="77777777" w:rsidR="009B3EA6" w:rsidRDefault="009B3EA6" w:rsidP="009B3EA6">
      <w:r>
        <w:lastRenderedPageBreak/>
        <w:t xml:space="preserve">In terms of outcome measures such as overall survival, </w:t>
      </w:r>
      <w:r w:rsidR="008C6DFB">
        <w:t>t</w:t>
      </w:r>
      <w:r>
        <w:t xml:space="preserve">he majority of the included studies are not explicit about treatments received </w:t>
      </w:r>
      <w:r w:rsidR="008C6DFB">
        <w:t>post-surgery</w:t>
      </w:r>
      <w:r>
        <w:t xml:space="preserve">. Therefore, it is unclear whether other therapies may also have been delivered that could affect patient survival. </w:t>
      </w:r>
      <w:r w:rsidR="00D02C39">
        <w:t xml:space="preserve">The issue of ‘survivor </w:t>
      </w:r>
      <w:proofErr w:type="gramStart"/>
      <w:r w:rsidR="00D02C39">
        <w:t>bias’</w:t>
      </w:r>
      <w:proofErr w:type="gramEnd"/>
      <w:r w:rsidR="00D02C39">
        <w:t xml:space="preserve"> will also have contributed to performance bias in both primary studies and systematic reviews. </w:t>
      </w:r>
    </w:p>
    <w:p w14:paraId="5BAEBC50" w14:textId="77777777" w:rsidR="009B3EA6" w:rsidRPr="007C5B39" w:rsidRDefault="009B3EA6" w:rsidP="004C4A69">
      <w:pPr>
        <w:spacing w:before="400"/>
        <w:rPr>
          <w:b/>
          <w:i/>
        </w:rPr>
      </w:pPr>
      <w:r w:rsidRPr="007C5B39">
        <w:rPr>
          <w:b/>
          <w:i/>
        </w:rPr>
        <w:t>Attrition bias and reporting bias</w:t>
      </w:r>
    </w:p>
    <w:p w14:paraId="597B3CE7" w14:textId="508F2DEF" w:rsidR="009B3EA6" w:rsidRPr="00D02C39" w:rsidRDefault="009B3EA6" w:rsidP="009B3EA6">
      <w:r>
        <w:t>In general</w:t>
      </w:r>
      <w:r w:rsidR="007C5B39">
        <w:t>,</w:t>
      </w:r>
      <w:r>
        <w:t xml:space="preserve"> it is not clear within </w:t>
      </w:r>
      <w:r w:rsidR="00683DE0">
        <w:t xml:space="preserve">retrospective </w:t>
      </w:r>
      <w:r>
        <w:t xml:space="preserve">case series studies whether certain outcomes are </w:t>
      </w:r>
      <w:r w:rsidR="00683DE0">
        <w:t>omitted</w:t>
      </w:r>
      <w:r>
        <w:t xml:space="preserve"> because they were not collected, or </w:t>
      </w:r>
      <w:r w:rsidR="00E23957">
        <w:t xml:space="preserve">not </w:t>
      </w:r>
      <w:r>
        <w:t xml:space="preserve">complete. </w:t>
      </w:r>
      <w:r w:rsidR="00683DE0">
        <w:t>Reporting of outcomes across the case series evidence was not comprehensive and approach</w:t>
      </w:r>
      <w:r w:rsidR="00E23957">
        <w:t xml:space="preserve"> to</w:t>
      </w:r>
      <w:r w:rsidR="00683DE0">
        <w:t xml:space="preserve"> losses to follow-up was often unclear. </w:t>
      </w:r>
      <w:r w:rsidR="008C6DFB">
        <w:t xml:space="preserve">Systematic reviews tended to report only </w:t>
      </w:r>
      <w:r w:rsidR="00683DE0">
        <w:t>5-</w:t>
      </w:r>
      <w:r w:rsidR="008C6DFB">
        <w:t xml:space="preserve">year survival and neglected complications and safety issues. In general, complications were not well reported. </w:t>
      </w:r>
      <w:r w:rsidR="00D02C39">
        <w:t xml:space="preserve">Additionally, given the invasive nature of surgical resection </w:t>
      </w:r>
      <w:r w:rsidR="00D02C39">
        <w:rPr>
          <w:i/>
        </w:rPr>
        <w:t>and</w:t>
      </w:r>
      <w:r w:rsidR="00D02C39">
        <w:t xml:space="preserve"> its impact on patient lung volume it would be reasonable to expect studies to include outcomes related to quality of life and activities of daily living post resection. However, the systematic reviews did not identify this outcome and no primary studies reporting on these outcomes were identified through the search of the literature. </w:t>
      </w:r>
      <w:r w:rsidR="009C7764">
        <w:t xml:space="preserve"> </w:t>
      </w:r>
    </w:p>
    <w:p w14:paraId="67DC3CB6" w14:textId="77777777" w:rsidR="009B3EA6" w:rsidRPr="007C5B39" w:rsidRDefault="009B3EA6" w:rsidP="004C4A69">
      <w:pPr>
        <w:spacing w:before="400"/>
        <w:rPr>
          <w:b/>
          <w:i/>
        </w:rPr>
      </w:pPr>
      <w:r w:rsidRPr="007C5B39">
        <w:rPr>
          <w:b/>
          <w:i/>
        </w:rPr>
        <w:t>Populations</w:t>
      </w:r>
    </w:p>
    <w:p w14:paraId="0712074F" w14:textId="77777777" w:rsidR="009B3EA6" w:rsidRDefault="009B3EA6" w:rsidP="009B3EA6">
      <w:r>
        <w:t xml:space="preserve">Study populations are discussed in more detail in </w:t>
      </w:r>
      <w:r w:rsidR="006526D6">
        <w:t xml:space="preserve">Section </w:t>
      </w:r>
      <w:r>
        <w:t xml:space="preserve">B.4. </w:t>
      </w:r>
      <w:r w:rsidR="007A54FF">
        <w:t>In order to provide data on the outcomes of surgical resection across a range of primary cancers</w:t>
      </w:r>
      <w:r w:rsidR="00E23957">
        <w:t>,</w:t>
      </w:r>
      <w:r w:rsidR="007A54FF">
        <w:t xml:space="preserve"> large studies of specific populations were selected. Renaud et al (2014) reported on 320 patients with colorectal </w:t>
      </w:r>
      <w:r w:rsidR="00CC7B4A">
        <w:t>primary cancers</w:t>
      </w:r>
      <w:r w:rsidR="007A54FF">
        <w:t xml:space="preserve">, Younes et al (2009) reported on 529 patients with mixed </w:t>
      </w:r>
      <w:r w:rsidR="00683DE0">
        <w:t>primary cancers</w:t>
      </w:r>
      <w:r w:rsidR="007A54FF">
        <w:t xml:space="preserve">, Reza et al (2014) reported on 118 patients with sarcoma, </w:t>
      </w:r>
      <w:r w:rsidR="007A54FF" w:rsidRPr="007A54FF">
        <w:t>Rodriguez-Fuster</w:t>
      </w:r>
      <w:r w:rsidR="007A54FF">
        <w:t xml:space="preserve"> (2014) reported on 532 patients with </w:t>
      </w:r>
      <w:r w:rsidR="00683DE0">
        <w:t xml:space="preserve">primary </w:t>
      </w:r>
      <w:r w:rsidR="007A54FF">
        <w:t xml:space="preserve">colorectal </w:t>
      </w:r>
      <w:r w:rsidR="00683DE0">
        <w:t>carcinoma</w:t>
      </w:r>
      <w:r w:rsidR="00E23957">
        <w:t>,</w:t>
      </w:r>
      <w:r w:rsidR="00683DE0">
        <w:t xml:space="preserve"> </w:t>
      </w:r>
      <w:r w:rsidR="007A54FF">
        <w:t xml:space="preserve">and Kitano et al (2012) reported on patients with hepatocellular carcinoma. The systematic reviews included one of patients with </w:t>
      </w:r>
      <w:r w:rsidR="009C7764">
        <w:t>head</w:t>
      </w:r>
      <w:r w:rsidR="007A54FF">
        <w:t xml:space="preserve"> and neck cancers and one of patients with colorectal </w:t>
      </w:r>
      <w:r w:rsidR="00D07505">
        <w:t>cancer. Given the diversity of primary cancers included in studies of MTA and RFA</w:t>
      </w:r>
      <w:r w:rsidR="00683DE0">
        <w:t>,</w:t>
      </w:r>
      <w:r w:rsidR="00D07505">
        <w:t xml:space="preserve"> it was deemed appropriate to include a similar spectrum for surgery. </w:t>
      </w:r>
      <w:r w:rsidR="00E23957">
        <w:t xml:space="preserve">Regarding </w:t>
      </w:r>
      <w:r w:rsidR="00D07505">
        <w:t xml:space="preserve">the potential prognostic impact of primary cancer type on survival following </w:t>
      </w:r>
      <w:r w:rsidR="00CA6DFD">
        <w:t>metastasectomy</w:t>
      </w:r>
      <w:r w:rsidR="00E23957">
        <w:t>,</w:t>
      </w:r>
      <w:r w:rsidR="00D07505">
        <w:t xml:space="preserve"> results from these studies should be considered with respect to the population treated. </w:t>
      </w:r>
    </w:p>
    <w:p w14:paraId="59AF1878" w14:textId="77777777" w:rsidR="009B3EA6" w:rsidRPr="007C5B39" w:rsidRDefault="009B3EA6" w:rsidP="004C4A69">
      <w:pPr>
        <w:spacing w:before="400"/>
        <w:rPr>
          <w:b/>
          <w:i/>
        </w:rPr>
      </w:pPr>
      <w:r w:rsidRPr="007C5B39">
        <w:rPr>
          <w:b/>
          <w:i/>
        </w:rPr>
        <w:t>Risk of bias across the outcome reporting</w:t>
      </w:r>
    </w:p>
    <w:p w14:paraId="2D4AAB55" w14:textId="77777777" w:rsidR="009B3EA6" w:rsidRDefault="009B3EA6" w:rsidP="007A54FF">
      <w:r>
        <w:t xml:space="preserve">The available evidence </w:t>
      </w:r>
      <w:r w:rsidR="008C6DFB">
        <w:t xml:space="preserve">has studies largely </w:t>
      </w:r>
      <w:r w:rsidR="00683DE0">
        <w:t>5</w:t>
      </w:r>
      <w:r w:rsidR="008C6DFB">
        <w:t>-year survival following resection and 1</w:t>
      </w:r>
      <w:r w:rsidR="007A54FF">
        <w:t>, 2</w:t>
      </w:r>
      <w:r w:rsidR="008C6DFB">
        <w:t xml:space="preserve"> and 3-year surv</w:t>
      </w:r>
      <w:r w:rsidR="007A54FF">
        <w:t xml:space="preserve">ival is typically not available. Time to progression and data </w:t>
      </w:r>
      <w:r w:rsidR="000D2ACA">
        <w:t xml:space="preserve">concerning </w:t>
      </w:r>
      <w:r w:rsidR="007A54FF">
        <w:t xml:space="preserve">local control and complications were sparsely reported. </w:t>
      </w:r>
      <w:r w:rsidR="000D2ACA">
        <w:t>There was i</w:t>
      </w:r>
      <w:r w:rsidR="007A54FF">
        <w:t xml:space="preserve">nconsistency across studies in terms of which outcomes were measured </w:t>
      </w:r>
      <w:r>
        <w:t>and how they were assessed</w:t>
      </w:r>
      <w:r w:rsidR="007A54FF">
        <w:t xml:space="preserve">. </w:t>
      </w:r>
    </w:p>
    <w:p w14:paraId="249B9966" w14:textId="77777777" w:rsidR="009C7764" w:rsidRDefault="009C7764" w:rsidP="009C7764">
      <w:pPr>
        <w:pStyle w:val="Caption"/>
        <w:keepNext/>
      </w:pPr>
      <w:bookmarkStart w:id="236" w:name="_Ref457400849"/>
      <w:bookmarkStart w:id="237" w:name="_Toc460514685"/>
      <w:r>
        <w:lastRenderedPageBreak/>
        <w:t xml:space="preserve">Table </w:t>
      </w:r>
      <w:fldSimple w:instr=" SEQ Table \* ARABIC ">
        <w:r w:rsidR="00D170A5">
          <w:rPr>
            <w:noProof/>
          </w:rPr>
          <w:t>27</w:t>
        </w:r>
      </w:fldSimple>
      <w:bookmarkEnd w:id="236"/>
      <w:r>
        <w:tab/>
        <w:t>Summary of the risk of bias concerns within studies of surgical resection</w:t>
      </w:r>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2558"/>
        <w:gridCol w:w="1988"/>
        <w:gridCol w:w="3279"/>
        <w:gridCol w:w="1257"/>
      </w:tblGrid>
      <w:tr w:rsidR="00DE44DB" w:rsidRPr="00E10816" w14:paraId="712F6CE1" w14:textId="77777777" w:rsidTr="00E13CE6">
        <w:tc>
          <w:tcPr>
            <w:tcW w:w="1408" w:type="pct"/>
            <w:shd w:val="clear" w:color="auto" w:fill="D9D9D9" w:themeFill="background1" w:themeFillShade="D9"/>
            <w:vAlign w:val="bottom"/>
          </w:tcPr>
          <w:p w14:paraId="00589668" w14:textId="77777777" w:rsidR="00DE44DB" w:rsidRPr="00E13CE6" w:rsidRDefault="00DE44DB" w:rsidP="00E13CE6">
            <w:pPr>
              <w:pStyle w:val="Tabletext1"/>
              <w:rPr>
                <w:b/>
                <w:snapToGrid w:val="0"/>
                <w:lang w:eastAsia="en-US"/>
              </w:rPr>
            </w:pPr>
            <w:r w:rsidRPr="00E13CE6">
              <w:rPr>
                <w:b/>
                <w:snapToGrid w:val="0"/>
                <w:lang w:eastAsia="en-US"/>
              </w:rPr>
              <w:t>Intervention and population</w:t>
            </w:r>
          </w:p>
        </w:tc>
        <w:tc>
          <w:tcPr>
            <w:tcW w:w="1094" w:type="pct"/>
            <w:shd w:val="clear" w:color="auto" w:fill="D9D9D9" w:themeFill="background1" w:themeFillShade="D9"/>
            <w:vAlign w:val="bottom"/>
          </w:tcPr>
          <w:p w14:paraId="618EB7AC" w14:textId="77777777" w:rsidR="00DE44DB" w:rsidRPr="00E13CE6" w:rsidRDefault="00DE44DB" w:rsidP="00E13CE6">
            <w:pPr>
              <w:pStyle w:val="Tabletext1"/>
              <w:rPr>
                <w:b/>
                <w:snapToGrid w:val="0"/>
                <w:lang w:eastAsia="en-US"/>
              </w:rPr>
            </w:pPr>
            <w:r w:rsidRPr="00E13CE6">
              <w:rPr>
                <w:b/>
                <w:snapToGrid w:val="0"/>
                <w:lang w:eastAsia="en-US"/>
              </w:rPr>
              <w:t>Number of studies (patients) and level of evidence</w:t>
            </w:r>
          </w:p>
        </w:tc>
        <w:tc>
          <w:tcPr>
            <w:tcW w:w="1805" w:type="pct"/>
            <w:shd w:val="clear" w:color="auto" w:fill="D9D9D9" w:themeFill="background1" w:themeFillShade="D9"/>
            <w:vAlign w:val="bottom"/>
          </w:tcPr>
          <w:p w14:paraId="3B291B8D" w14:textId="77777777" w:rsidR="00DE44DB" w:rsidRPr="00E13CE6" w:rsidRDefault="00DE44DB" w:rsidP="00E13CE6">
            <w:pPr>
              <w:pStyle w:val="Tabletext1"/>
              <w:rPr>
                <w:b/>
                <w:snapToGrid w:val="0"/>
                <w:lang w:eastAsia="en-US"/>
              </w:rPr>
            </w:pPr>
            <w:r w:rsidRPr="00E13CE6">
              <w:rPr>
                <w:b/>
                <w:snapToGrid w:val="0"/>
                <w:lang w:eastAsia="en-US"/>
              </w:rPr>
              <w:t>Reporting/quality concerns</w:t>
            </w:r>
          </w:p>
        </w:tc>
        <w:tc>
          <w:tcPr>
            <w:tcW w:w="692" w:type="pct"/>
            <w:shd w:val="clear" w:color="auto" w:fill="D9D9D9" w:themeFill="background1" w:themeFillShade="D9"/>
            <w:vAlign w:val="bottom"/>
          </w:tcPr>
          <w:p w14:paraId="3312BED3" w14:textId="77777777" w:rsidR="00DE44DB" w:rsidRPr="00E13CE6" w:rsidRDefault="00DE44DB" w:rsidP="00E13CE6">
            <w:pPr>
              <w:pStyle w:val="Tabletext1"/>
              <w:rPr>
                <w:b/>
                <w:snapToGrid w:val="0"/>
                <w:lang w:eastAsia="en-US"/>
              </w:rPr>
            </w:pPr>
            <w:r w:rsidRPr="00E13CE6">
              <w:rPr>
                <w:b/>
                <w:snapToGrid w:val="0"/>
                <w:lang w:eastAsia="en-US"/>
              </w:rPr>
              <w:t>Risk of bias</w:t>
            </w:r>
          </w:p>
        </w:tc>
      </w:tr>
      <w:tr w:rsidR="00DE44DB" w:rsidRPr="00E10816" w14:paraId="7A47359E" w14:textId="77777777" w:rsidTr="00E13CE6">
        <w:tc>
          <w:tcPr>
            <w:tcW w:w="1408" w:type="pct"/>
            <w:shd w:val="clear" w:color="auto" w:fill="auto"/>
          </w:tcPr>
          <w:p w14:paraId="4370F7D6" w14:textId="77777777" w:rsidR="00DE44DB" w:rsidRPr="00E10816" w:rsidRDefault="00DE44DB" w:rsidP="00E13CE6">
            <w:pPr>
              <w:pStyle w:val="Tabletext1"/>
              <w:rPr>
                <w:snapToGrid w:val="0"/>
                <w:lang w:eastAsia="en-US"/>
              </w:rPr>
            </w:pPr>
            <w:r>
              <w:rPr>
                <w:snapToGrid w:val="0"/>
                <w:lang w:eastAsia="en-US"/>
              </w:rPr>
              <w:t>Surgical resection</w:t>
            </w:r>
            <w:r w:rsidRPr="00E10816">
              <w:rPr>
                <w:snapToGrid w:val="0"/>
                <w:lang w:eastAsia="en-US"/>
              </w:rPr>
              <w:t xml:space="preserve"> for patients with lung metastases in whom the primary tumour is under control</w:t>
            </w:r>
          </w:p>
        </w:tc>
        <w:tc>
          <w:tcPr>
            <w:tcW w:w="1094" w:type="pct"/>
            <w:shd w:val="clear" w:color="auto" w:fill="auto"/>
          </w:tcPr>
          <w:p w14:paraId="5FE0AF92" w14:textId="77777777" w:rsidR="00DE44DB" w:rsidRPr="00E10816" w:rsidRDefault="00DE44DB" w:rsidP="00E13CE6">
            <w:pPr>
              <w:pStyle w:val="Tabletext1"/>
              <w:rPr>
                <w:snapToGrid w:val="0"/>
                <w:lang w:eastAsia="en-US"/>
              </w:rPr>
            </w:pPr>
            <w:r>
              <w:rPr>
                <w:snapToGrid w:val="0"/>
                <w:lang w:eastAsia="en-US"/>
              </w:rPr>
              <w:t>2 systematic reviews of Level IV studies</w:t>
            </w:r>
          </w:p>
          <w:p w14:paraId="49BC6448" w14:textId="77777777" w:rsidR="00DE44DB" w:rsidRPr="00E10816" w:rsidRDefault="00DE44DB" w:rsidP="00E13CE6">
            <w:pPr>
              <w:pStyle w:val="Tabletext1"/>
              <w:rPr>
                <w:snapToGrid w:val="0"/>
                <w:lang w:eastAsia="en-US"/>
              </w:rPr>
            </w:pPr>
          </w:p>
        </w:tc>
        <w:tc>
          <w:tcPr>
            <w:tcW w:w="1805" w:type="pct"/>
            <w:shd w:val="clear" w:color="auto" w:fill="auto"/>
          </w:tcPr>
          <w:p w14:paraId="5B5FFBBE" w14:textId="77777777" w:rsidR="00DE44DB" w:rsidRPr="00E10816" w:rsidRDefault="005F7C44" w:rsidP="00E13CE6">
            <w:pPr>
              <w:pStyle w:val="Tabletext1"/>
              <w:rPr>
                <w:snapToGrid w:val="0"/>
                <w:lang w:eastAsia="en-US"/>
              </w:rPr>
            </w:pPr>
            <w:r>
              <w:rPr>
                <w:snapToGrid w:val="0"/>
                <w:lang w:eastAsia="en-US"/>
              </w:rPr>
              <w:t xml:space="preserve">Both systematic reviews included only Level IV evidence in their analysis. Only one performed a meta-analysis. </w:t>
            </w:r>
            <w:r w:rsidRPr="005F7C44">
              <w:rPr>
                <w:snapToGrid w:val="0"/>
                <w:lang w:eastAsia="en-US"/>
              </w:rPr>
              <w:t>Pfannschmidt et al 2007</w:t>
            </w:r>
            <w:r>
              <w:rPr>
                <w:snapToGrid w:val="0"/>
                <w:lang w:eastAsia="en-US"/>
              </w:rPr>
              <w:t xml:space="preserve"> </w:t>
            </w:r>
            <w:r w:rsidR="00E074D7">
              <w:rPr>
                <w:snapToGrid w:val="0"/>
                <w:lang w:eastAsia="en-US"/>
              </w:rPr>
              <w:t xml:space="preserve">was of particularly low quality reporting and provided only narrative synthesis of the data. </w:t>
            </w:r>
            <w:r w:rsidR="008979E5">
              <w:rPr>
                <w:snapToGrid w:val="0"/>
                <w:lang w:eastAsia="en-US"/>
              </w:rPr>
              <w:t xml:space="preserve">The meta-analysis reported in </w:t>
            </w:r>
            <w:r w:rsidR="008979E5" w:rsidRPr="008979E5">
              <w:rPr>
                <w:snapToGrid w:val="0"/>
                <w:lang w:eastAsia="en-US"/>
              </w:rPr>
              <w:t>Young et al 2015</w:t>
            </w:r>
            <w:r w:rsidR="008979E5">
              <w:rPr>
                <w:snapToGrid w:val="0"/>
                <w:lang w:eastAsia="en-US"/>
              </w:rPr>
              <w:t xml:space="preserve"> is of a better reporting quality; however, it is still limited by the level of primary evidence (IV) which is at a high risk of bias. </w:t>
            </w:r>
          </w:p>
        </w:tc>
        <w:tc>
          <w:tcPr>
            <w:tcW w:w="692" w:type="pct"/>
          </w:tcPr>
          <w:p w14:paraId="0C497CD9" w14:textId="77777777" w:rsidR="00DE44DB" w:rsidRPr="00E10816" w:rsidRDefault="00DE44DB" w:rsidP="00E13CE6">
            <w:pPr>
              <w:pStyle w:val="Tabletext1"/>
              <w:rPr>
                <w:snapToGrid w:val="0"/>
                <w:lang w:eastAsia="en-US"/>
              </w:rPr>
            </w:pPr>
            <w:r w:rsidRPr="00E10816">
              <w:rPr>
                <w:snapToGrid w:val="0"/>
                <w:lang w:eastAsia="en-US"/>
              </w:rPr>
              <w:t>High</w:t>
            </w:r>
          </w:p>
        </w:tc>
      </w:tr>
      <w:tr w:rsidR="00DE44DB" w:rsidRPr="00E10816" w14:paraId="7C7F9CE2" w14:textId="77777777" w:rsidTr="00E13CE6">
        <w:tc>
          <w:tcPr>
            <w:tcW w:w="1408" w:type="pct"/>
            <w:shd w:val="clear" w:color="auto" w:fill="auto"/>
          </w:tcPr>
          <w:p w14:paraId="18E0F5B9" w14:textId="77777777" w:rsidR="00DE44DB" w:rsidRPr="00E10816" w:rsidRDefault="00DE44DB" w:rsidP="00E13CE6">
            <w:pPr>
              <w:pStyle w:val="Tabletext1"/>
              <w:rPr>
                <w:snapToGrid w:val="0"/>
                <w:lang w:eastAsia="en-US"/>
              </w:rPr>
            </w:pPr>
            <w:r>
              <w:rPr>
                <w:snapToGrid w:val="0"/>
                <w:lang w:eastAsia="en-US"/>
              </w:rPr>
              <w:t>Surgical resection</w:t>
            </w:r>
            <w:r w:rsidRPr="00E10816">
              <w:rPr>
                <w:snapToGrid w:val="0"/>
                <w:lang w:eastAsia="en-US"/>
              </w:rPr>
              <w:t xml:space="preserve"> for patients with lung metastases in whom the primary tumour is under control</w:t>
            </w:r>
          </w:p>
        </w:tc>
        <w:tc>
          <w:tcPr>
            <w:tcW w:w="1094" w:type="pct"/>
            <w:shd w:val="clear" w:color="auto" w:fill="auto"/>
          </w:tcPr>
          <w:p w14:paraId="093F6F7C" w14:textId="77777777" w:rsidR="00DE44DB" w:rsidRPr="00E10816" w:rsidRDefault="00DE44DB" w:rsidP="00E13CE6">
            <w:pPr>
              <w:pStyle w:val="Tabletext1"/>
              <w:rPr>
                <w:snapToGrid w:val="0"/>
                <w:lang w:eastAsia="en-US"/>
              </w:rPr>
            </w:pPr>
            <w:r>
              <w:rPr>
                <w:snapToGrid w:val="0"/>
                <w:lang w:eastAsia="en-US"/>
              </w:rPr>
              <w:t>5 Level IV studies</w:t>
            </w:r>
          </w:p>
        </w:tc>
        <w:tc>
          <w:tcPr>
            <w:tcW w:w="1805" w:type="pct"/>
            <w:shd w:val="clear" w:color="auto" w:fill="auto"/>
          </w:tcPr>
          <w:p w14:paraId="61A4A124" w14:textId="77777777" w:rsidR="00DE44DB" w:rsidRPr="00E10816" w:rsidRDefault="008979E5" w:rsidP="00E13CE6">
            <w:pPr>
              <w:pStyle w:val="Tabletext1"/>
              <w:rPr>
                <w:snapToGrid w:val="0"/>
                <w:lang w:eastAsia="en-US"/>
              </w:rPr>
            </w:pPr>
            <w:r w:rsidRPr="008979E5">
              <w:rPr>
                <w:snapToGrid w:val="0"/>
                <w:lang w:eastAsia="en-US"/>
              </w:rPr>
              <w:t>Retrospective study design</w:t>
            </w:r>
            <w:r>
              <w:rPr>
                <w:snapToGrid w:val="0"/>
                <w:lang w:eastAsia="en-US"/>
              </w:rPr>
              <w:t>s</w:t>
            </w:r>
            <w:r w:rsidRPr="008979E5">
              <w:rPr>
                <w:snapToGrid w:val="0"/>
                <w:lang w:eastAsia="en-US"/>
              </w:rPr>
              <w:t>, reporting of adverse events was incomplete for one study, poor reporting in relation to consecutive recruitment of patients, comprehensive eligibility criteria and follow-up</w:t>
            </w:r>
          </w:p>
        </w:tc>
        <w:tc>
          <w:tcPr>
            <w:tcW w:w="692" w:type="pct"/>
          </w:tcPr>
          <w:p w14:paraId="03C6CBA8" w14:textId="77777777" w:rsidR="00DE44DB" w:rsidRPr="00E10816" w:rsidRDefault="008979E5" w:rsidP="00E13CE6">
            <w:pPr>
              <w:pStyle w:val="Tabletext1"/>
              <w:rPr>
                <w:snapToGrid w:val="0"/>
                <w:lang w:eastAsia="en-US"/>
              </w:rPr>
            </w:pPr>
            <w:r>
              <w:rPr>
                <w:snapToGrid w:val="0"/>
                <w:lang w:eastAsia="en-US"/>
              </w:rPr>
              <w:t>High</w:t>
            </w:r>
          </w:p>
        </w:tc>
      </w:tr>
    </w:tbl>
    <w:p w14:paraId="46B2746D" w14:textId="77777777" w:rsidR="00DE44DB" w:rsidRDefault="00DE44DB" w:rsidP="007A54FF"/>
    <w:p w14:paraId="472949D9" w14:textId="77777777" w:rsidR="00DE44DB" w:rsidRDefault="00DE44DB" w:rsidP="007A54FF">
      <w:pPr>
        <w:sectPr w:rsidR="00DE44DB" w:rsidSect="0024526E">
          <w:headerReference w:type="even" r:id="rId44"/>
          <w:headerReference w:type="default" r:id="rId45"/>
          <w:headerReference w:type="first" r:id="rId46"/>
          <w:pgSz w:w="11906" w:h="16838"/>
          <w:pgMar w:top="1440" w:right="1440" w:bottom="1440" w:left="1440" w:header="720" w:footer="720" w:gutter="0"/>
          <w:paperSrc w:first="2" w:other="2"/>
          <w:cols w:space="720"/>
        </w:sectPr>
      </w:pPr>
    </w:p>
    <w:p w14:paraId="625342D5" w14:textId="77777777" w:rsidR="009C7764" w:rsidRDefault="009C7764" w:rsidP="009C7764">
      <w:pPr>
        <w:pStyle w:val="Caption"/>
        <w:keepNext/>
      </w:pPr>
      <w:bookmarkStart w:id="238" w:name="_Toc460514686"/>
      <w:r>
        <w:lastRenderedPageBreak/>
        <w:t xml:space="preserve">Table </w:t>
      </w:r>
      <w:fldSimple w:instr=" SEQ Table \* ARABIC ">
        <w:r w:rsidR="00D170A5">
          <w:rPr>
            <w:noProof/>
          </w:rPr>
          <w:t>28</w:t>
        </w:r>
      </w:fldSimple>
      <w:r>
        <w:tab/>
      </w:r>
      <w:r w:rsidRPr="009C7764">
        <w:t xml:space="preserve">Quality appraisal of included case series investigations of </w:t>
      </w:r>
      <w:r>
        <w:t>surgical resection</w:t>
      </w:r>
      <w:r w:rsidRPr="009C7764">
        <w:t xml:space="preserve">, according to the IHE Quality Appraisal of Case </w:t>
      </w:r>
      <w:r>
        <w:t>Series Studies</w:t>
      </w:r>
      <w:bookmarkEnd w:id="238"/>
    </w:p>
    <w:tbl>
      <w:tblPr>
        <w:tblStyle w:val="TableGrid61"/>
        <w:tblW w:w="5000" w:type="pct"/>
        <w:tblCellMar>
          <w:top w:w="57" w:type="dxa"/>
          <w:bottom w:w="57" w:type="dxa"/>
        </w:tblCellMar>
        <w:tblLook w:val="04A0" w:firstRow="1" w:lastRow="0" w:firstColumn="1" w:lastColumn="0" w:noHBand="0" w:noVBand="1"/>
        <w:tblCaption w:val="Table 31"/>
        <w:tblDescription w:val="QA case series surgery"/>
      </w:tblPr>
      <w:tblGrid>
        <w:gridCol w:w="1775"/>
        <w:gridCol w:w="689"/>
        <w:gridCol w:w="689"/>
        <w:gridCol w:w="689"/>
        <w:gridCol w:w="689"/>
        <w:gridCol w:w="689"/>
        <w:gridCol w:w="689"/>
        <w:gridCol w:w="689"/>
        <w:gridCol w:w="689"/>
        <w:gridCol w:w="689"/>
        <w:gridCol w:w="689"/>
        <w:gridCol w:w="689"/>
        <w:gridCol w:w="689"/>
        <w:gridCol w:w="689"/>
        <w:gridCol w:w="689"/>
        <w:gridCol w:w="689"/>
        <w:gridCol w:w="689"/>
        <w:gridCol w:w="689"/>
        <w:gridCol w:w="686"/>
      </w:tblGrid>
      <w:tr w:rsidR="00510E88" w:rsidRPr="00DE44DB" w14:paraId="5845F2D6" w14:textId="77777777" w:rsidTr="00D233EC">
        <w:trPr>
          <w:cantSplit/>
          <w:trHeight w:val="3251"/>
          <w:tblHeader/>
        </w:trPr>
        <w:tc>
          <w:tcPr>
            <w:tcW w:w="626" w:type="pct"/>
            <w:vAlign w:val="bottom"/>
          </w:tcPr>
          <w:p w14:paraId="2F37CDE8" w14:textId="77777777" w:rsidR="00510E88" w:rsidRPr="00DE44DB" w:rsidRDefault="00510E88" w:rsidP="00DE44DB">
            <w:pPr>
              <w:widowControl w:val="0"/>
              <w:spacing w:before="40" w:after="40"/>
              <w:rPr>
                <w:rFonts w:ascii="Arial Narrow" w:hAnsi="Arial Narrow"/>
                <w:b/>
                <w:snapToGrid w:val="0"/>
                <w:sz w:val="20"/>
                <w:szCs w:val="20"/>
              </w:rPr>
            </w:pPr>
            <w:r w:rsidRPr="00DE44DB">
              <w:rPr>
                <w:rFonts w:ascii="Arial Narrow" w:hAnsi="Arial Narrow"/>
                <w:b/>
                <w:snapToGrid w:val="0"/>
                <w:sz w:val="20"/>
                <w:szCs w:val="20"/>
              </w:rPr>
              <w:t>Study ID</w:t>
            </w:r>
          </w:p>
        </w:tc>
        <w:tc>
          <w:tcPr>
            <w:tcW w:w="243" w:type="pct"/>
            <w:textDirection w:val="btLr"/>
          </w:tcPr>
          <w:p w14:paraId="0AE2FFAC" w14:textId="77777777" w:rsidR="00510E88" w:rsidRPr="00DE44DB" w:rsidRDefault="00510E88" w:rsidP="00D233EC">
            <w:pPr>
              <w:pStyle w:val="Tabletext1"/>
              <w:spacing w:before="0" w:after="0"/>
              <w:rPr>
                <w:snapToGrid w:val="0"/>
              </w:rPr>
            </w:pPr>
            <w:r w:rsidRPr="00DE44DB">
              <w:rPr>
                <w:snapToGrid w:val="0"/>
              </w:rPr>
              <w:t>Was the objective of the study clearly stated?</w:t>
            </w:r>
          </w:p>
          <w:p w14:paraId="41771A6A" w14:textId="77777777" w:rsidR="00510E88" w:rsidRPr="00DE44DB" w:rsidRDefault="00510E88" w:rsidP="00D233EC">
            <w:pPr>
              <w:pStyle w:val="Tabletext1"/>
              <w:spacing w:before="0" w:after="0"/>
              <w:rPr>
                <w:snapToGrid w:val="0"/>
              </w:rPr>
            </w:pPr>
          </w:p>
        </w:tc>
        <w:tc>
          <w:tcPr>
            <w:tcW w:w="243" w:type="pct"/>
            <w:textDirection w:val="btLr"/>
          </w:tcPr>
          <w:p w14:paraId="113D1F70" w14:textId="77777777" w:rsidR="00510E88" w:rsidRPr="00DE44DB" w:rsidRDefault="00510E88" w:rsidP="00D233EC">
            <w:pPr>
              <w:pStyle w:val="Tabletext1"/>
              <w:spacing w:before="0" w:after="0"/>
              <w:rPr>
                <w:snapToGrid w:val="0"/>
              </w:rPr>
            </w:pPr>
            <w:r w:rsidRPr="00DE44DB">
              <w:rPr>
                <w:snapToGrid w:val="0"/>
              </w:rPr>
              <w:t>Was the study conducted prospectively?</w:t>
            </w:r>
          </w:p>
          <w:p w14:paraId="70EBD7BD" w14:textId="77777777" w:rsidR="00510E88" w:rsidRPr="00DE44DB" w:rsidRDefault="00510E88" w:rsidP="00D233EC">
            <w:pPr>
              <w:pStyle w:val="Tabletext1"/>
              <w:spacing w:before="0" w:after="0"/>
              <w:rPr>
                <w:snapToGrid w:val="0"/>
              </w:rPr>
            </w:pPr>
          </w:p>
        </w:tc>
        <w:tc>
          <w:tcPr>
            <w:tcW w:w="243" w:type="pct"/>
            <w:textDirection w:val="btLr"/>
          </w:tcPr>
          <w:p w14:paraId="22C05583" w14:textId="77777777" w:rsidR="00510E88" w:rsidRPr="00DE44DB" w:rsidRDefault="00510E88" w:rsidP="00D233EC">
            <w:pPr>
              <w:pStyle w:val="Tabletext1"/>
              <w:spacing w:before="0" w:after="0"/>
              <w:rPr>
                <w:snapToGrid w:val="0"/>
              </w:rPr>
            </w:pPr>
            <w:r w:rsidRPr="00DE44DB">
              <w:rPr>
                <w:snapToGrid w:val="0"/>
              </w:rPr>
              <w:t>Were the cases collected in multiple centres?</w:t>
            </w:r>
          </w:p>
          <w:p w14:paraId="479D5323" w14:textId="77777777" w:rsidR="00510E88" w:rsidRPr="00DE44DB" w:rsidRDefault="00510E88" w:rsidP="00D233EC">
            <w:pPr>
              <w:pStyle w:val="Tabletext1"/>
              <w:spacing w:before="0" w:after="0"/>
              <w:rPr>
                <w:snapToGrid w:val="0"/>
              </w:rPr>
            </w:pPr>
          </w:p>
        </w:tc>
        <w:tc>
          <w:tcPr>
            <w:tcW w:w="243" w:type="pct"/>
            <w:textDirection w:val="btLr"/>
          </w:tcPr>
          <w:p w14:paraId="798B49AA" w14:textId="77777777" w:rsidR="00510E88" w:rsidRPr="00DE44DB" w:rsidRDefault="00510E88" w:rsidP="00D233EC">
            <w:pPr>
              <w:pStyle w:val="Tabletext1"/>
              <w:spacing w:before="0" w:after="0"/>
              <w:rPr>
                <w:snapToGrid w:val="0"/>
              </w:rPr>
            </w:pPr>
            <w:r w:rsidRPr="00DE44DB">
              <w:rPr>
                <w:snapToGrid w:val="0"/>
              </w:rPr>
              <w:t>Were patients recruited consecutively?</w:t>
            </w:r>
          </w:p>
          <w:p w14:paraId="6F960ACC" w14:textId="77777777" w:rsidR="00510E88" w:rsidRPr="00DE44DB" w:rsidRDefault="00510E88" w:rsidP="00D233EC">
            <w:pPr>
              <w:pStyle w:val="Tabletext1"/>
              <w:spacing w:before="0" w:after="0"/>
              <w:rPr>
                <w:snapToGrid w:val="0"/>
              </w:rPr>
            </w:pPr>
          </w:p>
        </w:tc>
        <w:tc>
          <w:tcPr>
            <w:tcW w:w="243" w:type="pct"/>
            <w:textDirection w:val="btLr"/>
          </w:tcPr>
          <w:p w14:paraId="6A2920AE" w14:textId="77777777" w:rsidR="00510E88" w:rsidRPr="00DE44DB" w:rsidRDefault="00510E88" w:rsidP="00D233EC">
            <w:pPr>
              <w:pStyle w:val="Tabletext1"/>
              <w:spacing w:before="0" w:after="0"/>
              <w:rPr>
                <w:snapToGrid w:val="0"/>
              </w:rPr>
            </w:pPr>
            <w:r w:rsidRPr="00DE44DB">
              <w:rPr>
                <w:snapToGrid w:val="0"/>
              </w:rPr>
              <w:t>Were patient characteristics described?</w:t>
            </w:r>
          </w:p>
          <w:p w14:paraId="46D794B1" w14:textId="77777777" w:rsidR="00510E88" w:rsidRPr="00DE44DB" w:rsidRDefault="00510E88" w:rsidP="00D233EC">
            <w:pPr>
              <w:pStyle w:val="Tabletext1"/>
              <w:spacing w:before="0" w:after="0"/>
              <w:rPr>
                <w:snapToGrid w:val="0"/>
              </w:rPr>
            </w:pPr>
          </w:p>
        </w:tc>
        <w:tc>
          <w:tcPr>
            <w:tcW w:w="243" w:type="pct"/>
            <w:textDirection w:val="btLr"/>
          </w:tcPr>
          <w:p w14:paraId="57703034" w14:textId="77777777" w:rsidR="00510E88" w:rsidRPr="00DE44DB" w:rsidRDefault="00510E88" w:rsidP="00D233EC">
            <w:pPr>
              <w:pStyle w:val="Tabletext1"/>
              <w:spacing w:before="0" w:after="0"/>
              <w:rPr>
                <w:snapToGrid w:val="0"/>
              </w:rPr>
            </w:pPr>
            <w:r w:rsidRPr="00DE44DB">
              <w:rPr>
                <w:snapToGrid w:val="0"/>
              </w:rPr>
              <w:t>Were the eligibility criteria clearly stated?</w:t>
            </w:r>
          </w:p>
          <w:p w14:paraId="05F615EF" w14:textId="77777777" w:rsidR="00510E88" w:rsidRPr="00DE44DB" w:rsidRDefault="00510E88" w:rsidP="00D233EC">
            <w:pPr>
              <w:pStyle w:val="Tabletext1"/>
              <w:spacing w:before="0" w:after="0"/>
              <w:rPr>
                <w:snapToGrid w:val="0"/>
              </w:rPr>
            </w:pPr>
          </w:p>
        </w:tc>
        <w:tc>
          <w:tcPr>
            <w:tcW w:w="243" w:type="pct"/>
            <w:textDirection w:val="btLr"/>
          </w:tcPr>
          <w:p w14:paraId="4CB41989" w14:textId="77777777" w:rsidR="00510E88" w:rsidRPr="00DE44DB" w:rsidRDefault="00510E88" w:rsidP="00D233EC">
            <w:pPr>
              <w:pStyle w:val="Tabletext1"/>
              <w:spacing w:before="0" w:after="0"/>
              <w:rPr>
                <w:snapToGrid w:val="0"/>
              </w:rPr>
            </w:pPr>
            <w:r w:rsidRPr="00DE44DB">
              <w:rPr>
                <w:snapToGrid w:val="0"/>
              </w:rPr>
              <w:t>Did patients enter the study at a similar point in the disease?</w:t>
            </w:r>
          </w:p>
          <w:p w14:paraId="344480F3" w14:textId="77777777" w:rsidR="00510E88" w:rsidRPr="00DE44DB" w:rsidRDefault="00510E88" w:rsidP="00D233EC">
            <w:pPr>
              <w:pStyle w:val="Tabletext1"/>
              <w:spacing w:before="0" w:after="0"/>
              <w:rPr>
                <w:snapToGrid w:val="0"/>
              </w:rPr>
            </w:pPr>
          </w:p>
        </w:tc>
        <w:tc>
          <w:tcPr>
            <w:tcW w:w="243" w:type="pct"/>
            <w:textDirection w:val="btLr"/>
          </w:tcPr>
          <w:p w14:paraId="4313BE7F" w14:textId="77777777" w:rsidR="00510E88" w:rsidRPr="00DE44DB" w:rsidRDefault="00510E88" w:rsidP="00D233EC">
            <w:pPr>
              <w:pStyle w:val="Tabletext1"/>
              <w:spacing w:before="0" w:after="0"/>
              <w:rPr>
                <w:snapToGrid w:val="0"/>
              </w:rPr>
            </w:pPr>
            <w:r w:rsidRPr="00DE44DB">
              <w:rPr>
                <w:snapToGrid w:val="0"/>
              </w:rPr>
              <w:t>Was the intervention clearly described?</w:t>
            </w:r>
          </w:p>
          <w:p w14:paraId="677FEE45" w14:textId="77777777" w:rsidR="00510E88" w:rsidRPr="00DE44DB" w:rsidRDefault="00510E88" w:rsidP="00D233EC">
            <w:pPr>
              <w:pStyle w:val="Tabletext1"/>
              <w:spacing w:before="0" w:after="0"/>
              <w:rPr>
                <w:snapToGrid w:val="0"/>
              </w:rPr>
            </w:pPr>
          </w:p>
        </w:tc>
        <w:tc>
          <w:tcPr>
            <w:tcW w:w="243" w:type="pct"/>
            <w:textDirection w:val="btLr"/>
          </w:tcPr>
          <w:p w14:paraId="31E4A8A1" w14:textId="77777777" w:rsidR="00510E88" w:rsidRPr="00DE44DB" w:rsidRDefault="00510E88" w:rsidP="00D233EC">
            <w:pPr>
              <w:pStyle w:val="Tabletext1"/>
              <w:spacing w:before="0" w:after="0"/>
              <w:rPr>
                <w:snapToGrid w:val="0"/>
              </w:rPr>
            </w:pPr>
            <w:r w:rsidRPr="00DE44DB">
              <w:rPr>
                <w:snapToGrid w:val="0"/>
              </w:rPr>
              <w:t>Were relevant outcome measures established a priori?</w:t>
            </w:r>
          </w:p>
          <w:p w14:paraId="2C2600FB" w14:textId="77777777" w:rsidR="00510E88" w:rsidRPr="00DE44DB" w:rsidRDefault="00510E88" w:rsidP="00D233EC">
            <w:pPr>
              <w:pStyle w:val="Tabletext1"/>
              <w:spacing w:before="0" w:after="0"/>
              <w:rPr>
                <w:snapToGrid w:val="0"/>
              </w:rPr>
            </w:pPr>
          </w:p>
        </w:tc>
        <w:tc>
          <w:tcPr>
            <w:tcW w:w="243" w:type="pct"/>
            <w:textDirection w:val="btLr"/>
          </w:tcPr>
          <w:p w14:paraId="49006484" w14:textId="77777777" w:rsidR="00510E88" w:rsidRPr="00DE44DB" w:rsidRDefault="00510E88" w:rsidP="00D233EC">
            <w:pPr>
              <w:pStyle w:val="Tabletext1"/>
              <w:spacing w:before="0" w:after="0"/>
              <w:rPr>
                <w:snapToGrid w:val="0"/>
              </w:rPr>
            </w:pPr>
            <w:r w:rsidRPr="00DE44DB">
              <w:rPr>
                <w:snapToGrid w:val="0"/>
              </w:rPr>
              <w:t>Were outcome assessors blinded to the intervention?</w:t>
            </w:r>
          </w:p>
          <w:p w14:paraId="2F1CF2CC" w14:textId="77777777" w:rsidR="00510E88" w:rsidRPr="00DE44DB" w:rsidRDefault="00510E88" w:rsidP="00D233EC">
            <w:pPr>
              <w:pStyle w:val="Tabletext1"/>
              <w:spacing w:before="0" w:after="0"/>
              <w:rPr>
                <w:snapToGrid w:val="0"/>
              </w:rPr>
            </w:pPr>
          </w:p>
        </w:tc>
        <w:tc>
          <w:tcPr>
            <w:tcW w:w="243" w:type="pct"/>
            <w:textDirection w:val="btLr"/>
          </w:tcPr>
          <w:p w14:paraId="049B4398" w14:textId="77777777" w:rsidR="00510E88" w:rsidRPr="00DE44DB" w:rsidRDefault="00510E88" w:rsidP="00D233EC">
            <w:pPr>
              <w:pStyle w:val="Tabletext1"/>
              <w:spacing w:before="0" w:after="0"/>
              <w:rPr>
                <w:snapToGrid w:val="0"/>
              </w:rPr>
            </w:pPr>
            <w:r w:rsidRPr="00DE44DB">
              <w:rPr>
                <w:snapToGrid w:val="0"/>
              </w:rPr>
              <w:t>Were outcomes measured using appropriate methods?</w:t>
            </w:r>
          </w:p>
          <w:p w14:paraId="537CDCA2" w14:textId="77777777" w:rsidR="00510E88" w:rsidRPr="00DE44DB" w:rsidRDefault="00510E88" w:rsidP="00D233EC">
            <w:pPr>
              <w:pStyle w:val="Tabletext1"/>
              <w:spacing w:before="0" w:after="0"/>
              <w:rPr>
                <w:snapToGrid w:val="0"/>
              </w:rPr>
            </w:pPr>
          </w:p>
        </w:tc>
        <w:tc>
          <w:tcPr>
            <w:tcW w:w="243" w:type="pct"/>
            <w:textDirection w:val="btLr"/>
          </w:tcPr>
          <w:p w14:paraId="78291874" w14:textId="77777777" w:rsidR="00510E88" w:rsidRPr="00DE44DB" w:rsidRDefault="00510E88" w:rsidP="00D233EC">
            <w:pPr>
              <w:pStyle w:val="Tabletext1"/>
              <w:spacing w:before="0" w:after="0"/>
              <w:rPr>
                <w:snapToGrid w:val="0"/>
              </w:rPr>
            </w:pPr>
            <w:r w:rsidRPr="00DE44DB">
              <w:rPr>
                <w:snapToGrid w:val="0"/>
              </w:rPr>
              <w:t>Were the statistical tests appropriate?</w:t>
            </w:r>
          </w:p>
          <w:p w14:paraId="5B9BFFAB" w14:textId="77777777" w:rsidR="00510E88" w:rsidRPr="00DE44DB" w:rsidRDefault="00510E88" w:rsidP="00D233EC">
            <w:pPr>
              <w:pStyle w:val="Tabletext1"/>
              <w:spacing w:before="0" w:after="0"/>
              <w:rPr>
                <w:snapToGrid w:val="0"/>
              </w:rPr>
            </w:pPr>
          </w:p>
        </w:tc>
        <w:tc>
          <w:tcPr>
            <w:tcW w:w="243" w:type="pct"/>
            <w:textDirection w:val="btLr"/>
          </w:tcPr>
          <w:p w14:paraId="0AAC21C2" w14:textId="77777777" w:rsidR="00510E88" w:rsidRPr="00DE44DB" w:rsidRDefault="00510E88" w:rsidP="00D233EC">
            <w:pPr>
              <w:pStyle w:val="Tabletext1"/>
              <w:spacing w:before="0" w:after="0"/>
              <w:rPr>
                <w:snapToGrid w:val="0"/>
              </w:rPr>
            </w:pPr>
            <w:r w:rsidRPr="00DE44DB">
              <w:rPr>
                <w:snapToGrid w:val="0"/>
              </w:rPr>
              <w:t xml:space="preserve">Was follow-up long enough to capture important events and outcomes? </w:t>
            </w:r>
          </w:p>
          <w:p w14:paraId="0897D2C4" w14:textId="77777777" w:rsidR="00510E88" w:rsidRPr="00DE44DB" w:rsidRDefault="00510E88" w:rsidP="00D233EC">
            <w:pPr>
              <w:pStyle w:val="Tabletext1"/>
              <w:spacing w:before="0" w:after="0"/>
              <w:rPr>
                <w:snapToGrid w:val="0"/>
              </w:rPr>
            </w:pPr>
          </w:p>
        </w:tc>
        <w:tc>
          <w:tcPr>
            <w:tcW w:w="243" w:type="pct"/>
            <w:textDirection w:val="btLr"/>
          </w:tcPr>
          <w:p w14:paraId="437D6106" w14:textId="77777777" w:rsidR="00510E88" w:rsidRPr="00DE44DB" w:rsidRDefault="00510E88" w:rsidP="00D233EC">
            <w:pPr>
              <w:pStyle w:val="Tabletext1"/>
              <w:spacing w:before="0" w:after="0"/>
              <w:rPr>
                <w:snapToGrid w:val="0"/>
              </w:rPr>
            </w:pPr>
            <w:r w:rsidRPr="00DE44DB">
              <w:rPr>
                <w:snapToGrid w:val="0"/>
              </w:rPr>
              <w:t>Were losses to follow-up reported?</w:t>
            </w:r>
          </w:p>
          <w:p w14:paraId="3C000962" w14:textId="77777777" w:rsidR="00510E88" w:rsidRPr="00DE44DB" w:rsidRDefault="00510E88" w:rsidP="00D233EC">
            <w:pPr>
              <w:pStyle w:val="Tabletext1"/>
              <w:spacing w:before="0" w:after="0"/>
              <w:rPr>
                <w:snapToGrid w:val="0"/>
              </w:rPr>
            </w:pPr>
          </w:p>
        </w:tc>
        <w:tc>
          <w:tcPr>
            <w:tcW w:w="243" w:type="pct"/>
            <w:textDirection w:val="btLr"/>
          </w:tcPr>
          <w:p w14:paraId="6874C526" w14:textId="77777777" w:rsidR="00510E88" w:rsidRPr="00DE44DB" w:rsidRDefault="00510E88" w:rsidP="00D233EC">
            <w:pPr>
              <w:pStyle w:val="Tabletext1"/>
              <w:spacing w:before="0" w:after="0"/>
              <w:rPr>
                <w:snapToGrid w:val="0"/>
              </w:rPr>
            </w:pPr>
            <w:r w:rsidRPr="00DE44DB">
              <w:rPr>
                <w:snapToGrid w:val="0"/>
              </w:rPr>
              <w:t>Did the study provide estimates of random variability in the data analysis?</w:t>
            </w:r>
          </w:p>
          <w:p w14:paraId="62BC26C2" w14:textId="77777777" w:rsidR="00510E88" w:rsidRPr="00DE44DB" w:rsidRDefault="00510E88" w:rsidP="00D233EC">
            <w:pPr>
              <w:pStyle w:val="Tabletext1"/>
              <w:spacing w:before="0" w:after="0"/>
              <w:rPr>
                <w:snapToGrid w:val="0"/>
              </w:rPr>
            </w:pPr>
          </w:p>
        </w:tc>
        <w:tc>
          <w:tcPr>
            <w:tcW w:w="243" w:type="pct"/>
            <w:textDirection w:val="btLr"/>
          </w:tcPr>
          <w:p w14:paraId="6727C627" w14:textId="77777777" w:rsidR="00510E88" w:rsidRPr="00DE44DB" w:rsidRDefault="00510E88" w:rsidP="00D233EC">
            <w:pPr>
              <w:pStyle w:val="Tabletext1"/>
              <w:spacing w:before="0" w:after="0"/>
              <w:rPr>
                <w:snapToGrid w:val="0"/>
              </w:rPr>
            </w:pPr>
            <w:r w:rsidRPr="00DE44DB">
              <w:rPr>
                <w:snapToGrid w:val="0"/>
              </w:rPr>
              <w:t>Were the adverse events reported?</w:t>
            </w:r>
          </w:p>
          <w:p w14:paraId="7BE9B2A9" w14:textId="77777777" w:rsidR="00510E88" w:rsidRPr="00DE44DB" w:rsidRDefault="00510E88" w:rsidP="00D233EC">
            <w:pPr>
              <w:pStyle w:val="Tabletext1"/>
              <w:spacing w:before="0" w:after="0"/>
              <w:rPr>
                <w:snapToGrid w:val="0"/>
              </w:rPr>
            </w:pPr>
          </w:p>
        </w:tc>
        <w:tc>
          <w:tcPr>
            <w:tcW w:w="243" w:type="pct"/>
            <w:textDirection w:val="btLr"/>
          </w:tcPr>
          <w:p w14:paraId="4F77FE32" w14:textId="77777777" w:rsidR="00510E88" w:rsidRPr="00DE44DB" w:rsidRDefault="00510E88" w:rsidP="00D233EC">
            <w:pPr>
              <w:pStyle w:val="Tabletext1"/>
              <w:spacing w:before="0" w:after="0"/>
              <w:rPr>
                <w:snapToGrid w:val="0"/>
              </w:rPr>
            </w:pPr>
            <w:r w:rsidRPr="00DE44DB">
              <w:rPr>
                <w:snapToGrid w:val="0"/>
              </w:rPr>
              <w:t>Were the conclusions of the study supported by results?</w:t>
            </w:r>
          </w:p>
          <w:p w14:paraId="495FA74B" w14:textId="77777777" w:rsidR="00510E88" w:rsidRPr="00DE44DB" w:rsidRDefault="00510E88" w:rsidP="00D233EC">
            <w:pPr>
              <w:pStyle w:val="Tabletext1"/>
              <w:spacing w:before="0" w:after="0"/>
              <w:rPr>
                <w:snapToGrid w:val="0"/>
              </w:rPr>
            </w:pPr>
          </w:p>
        </w:tc>
        <w:tc>
          <w:tcPr>
            <w:tcW w:w="242" w:type="pct"/>
            <w:textDirection w:val="btLr"/>
          </w:tcPr>
          <w:p w14:paraId="75A1CDFF" w14:textId="77777777" w:rsidR="00510E88" w:rsidRPr="00DE44DB" w:rsidRDefault="00510E88" w:rsidP="00D233EC">
            <w:pPr>
              <w:pStyle w:val="Tabletext1"/>
              <w:spacing w:before="0" w:after="0"/>
              <w:rPr>
                <w:snapToGrid w:val="0"/>
              </w:rPr>
            </w:pPr>
            <w:r w:rsidRPr="00DE44DB">
              <w:rPr>
                <w:snapToGrid w:val="0"/>
              </w:rPr>
              <w:t>Were competing interests and sources of support reported?</w:t>
            </w:r>
          </w:p>
          <w:p w14:paraId="5B68A31A" w14:textId="77777777" w:rsidR="00510E88" w:rsidRPr="00DE44DB" w:rsidRDefault="00510E88" w:rsidP="00D233EC">
            <w:pPr>
              <w:pStyle w:val="Tabletext1"/>
              <w:spacing w:before="0" w:after="0"/>
              <w:rPr>
                <w:snapToGrid w:val="0"/>
              </w:rPr>
            </w:pPr>
          </w:p>
        </w:tc>
      </w:tr>
      <w:tr w:rsidR="0035554A" w:rsidRPr="00DE44DB" w14:paraId="19984F14" w14:textId="77777777" w:rsidTr="00D233EC">
        <w:tc>
          <w:tcPr>
            <w:tcW w:w="626" w:type="pct"/>
            <w:vAlign w:val="bottom"/>
          </w:tcPr>
          <w:p w14:paraId="0E81E625" w14:textId="77777777" w:rsidR="0035554A" w:rsidRPr="00DE44DB" w:rsidRDefault="0035554A" w:rsidP="00D233EC">
            <w:pPr>
              <w:pStyle w:val="Tabletext1"/>
              <w:rPr>
                <w:snapToGrid w:val="0"/>
              </w:rPr>
            </w:pPr>
            <w:r w:rsidRPr="00DE44DB">
              <w:rPr>
                <w:snapToGrid w:val="0"/>
              </w:rPr>
              <w:t>Kitano et al (2012)</w:t>
            </w:r>
          </w:p>
        </w:tc>
        <w:tc>
          <w:tcPr>
            <w:tcW w:w="243" w:type="pct"/>
            <w:shd w:val="clear" w:color="auto" w:fill="EAF1DD" w:themeFill="accent3" w:themeFillTint="33"/>
            <w:vAlign w:val="center"/>
          </w:tcPr>
          <w:p w14:paraId="2866CA39" w14:textId="5D8B4C11"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0A68A9B4"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6C430C52"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633C8CE3" w14:textId="43F21A4B"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24F5DE45" w14:textId="39E77B39"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FFFCC"/>
            <w:vAlign w:val="center"/>
          </w:tcPr>
          <w:p w14:paraId="075CD5EF" w14:textId="77777777" w:rsidR="0035554A" w:rsidRPr="00DE44DB" w:rsidRDefault="0035554A" w:rsidP="00D233EC">
            <w:pPr>
              <w:pStyle w:val="Tabletext1"/>
              <w:jc w:val="center"/>
              <w:rPr>
                <w:color w:val="000000"/>
              </w:rPr>
            </w:pPr>
            <w:r w:rsidRPr="00DE44DB">
              <w:rPr>
                <w:color w:val="000000"/>
              </w:rPr>
              <w:t>•</w:t>
            </w:r>
          </w:p>
        </w:tc>
        <w:tc>
          <w:tcPr>
            <w:tcW w:w="243" w:type="pct"/>
            <w:shd w:val="clear" w:color="auto" w:fill="EAF1DD" w:themeFill="accent3" w:themeFillTint="33"/>
            <w:vAlign w:val="center"/>
          </w:tcPr>
          <w:p w14:paraId="0F87F5A3" w14:textId="006F1A98"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6DE73073" w14:textId="415BE760"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593A9B7F" w14:textId="7DC82384"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386C2A62"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28A2C3E0" w14:textId="02077BDD"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07412CCA" w14:textId="742778F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6A5FEEA3" w14:textId="295897F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7D52D853"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6E41E4AE" w14:textId="46CAAF6E"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70EEE337" w14:textId="68B8DA7D"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178FA680" w14:textId="16A2CAD9"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2" w:type="pct"/>
            <w:shd w:val="clear" w:color="auto" w:fill="FFFFCC"/>
            <w:vAlign w:val="center"/>
          </w:tcPr>
          <w:p w14:paraId="7CF3372A" w14:textId="77777777" w:rsidR="0035554A" w:rsidRPr="00DE44DB" w:rsidRDefault="0035554A" w:rsidP="00D233EC">
            <w:pPr>
              <w:pStyle w:val="Tabletext1"/>
              <w:jc w:val="center"/>
              <w:rPr>
                <w:color w:val="000000"/>
              </w:rPr>
            </w:pPr>
            <w:r w:rsidRPr="00DE44DB">
              <w:rPr>
                <w:color w:val="000000"/>
              </w:rPr>
              <w:t>•</w:t>
            </w:r>
          </w:p>
        </w:tc>
      </w:tr>
      <w:tr w:rsidR="0035554A" w:rsidRPr="00DE44DB" w14:paraId="01FE2784" w14:textId="77777777" w:rsidTr="00D233EC">
        <w:tc>
          <w:tcPr>
            <w:tcW w:w="626" w:type="pct"/>
            <w:vAlign w:val="bottom"/>
          </w:tcPr>
          <w:p w14:paraId="031E7FD2" w14:textId="77777777" w:rsidR="0035554A" w:rsidRPr="00DE44DB" w:rsidRDefault="0035554A" w:rsidP="00D233EC">
            <w:pPr>
              <w:pStyle w:val="Tabletext1"/>
              <w:rPr>
                <w:snapToGrid w:val="0"/>
              </w:rPr>
            </w:pPr>
            <w:r w:rsidRPr="00DE44DB">
              <w:rPr>
                <w:snapToGrid w:val="0"/>
              </w:rPr>
              <w:t>Renauld et al (2014)</w:t>
            </w:r>
          </w:p>
        </w:tc>
        <w:tc>
          <w:tcPr>
            <w:tcW w:w="243" w:type="pct"/>
            <w:shd w:val="clear" w:color="auto" w:fill="EAF1DD" w:themeFill="accent3" w:themeFillTint="33"/>
            <w:vAlign w:val="center"/>
          </w:tcPr>
          <w:p w14:paraId="441A4EB1" w14:textId="7E4CADB6"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4049A702"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6498C5E0" w14:textId="5EB118E0"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FFFCC"/>
            <w:vAlign w:val="center"/>
          </w:tcPr>
          <w:p w14:paraId="53EC0D86" w14:textId="77777777" w:rsidR="0035554A" w:rsidRPr="00DE44DB" w:rsidRDefault="0035554A" w:rsidP="00D233EC">
            <w:pPr>
              <w:pStyle w:val="Tabletext1"/>
              <w:jc w:val="center"/>
              <w:rPr>
                <w:color w:val="000000"/>
              </w:rPr>
            </w:pPr>
            <w:r w:rsidRPr="00DE44DB">
              <w:rPr>
                <w:color w:val="000000"/>
              </w:rPr>
              <w:t>?</w:t>
            </w:r>
          </w:p>
        </w:tc>
        <w:tc>
          <w:tcPr>
            <w:tcW w:w="243" w:type="pct"/>
            <w:shd w:val="clear" w:color="auto" w:fill="EAF1DD" w:themeFill="accent3" w:themeFillTint="33"/>
            <w:vAlign w:val="center"/>
          </w:tcPr>
          <w:p w14:paraId="21CF9DC8" w14:textId="4B1429A8"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34E4BBCD" w14:textId="5F8EFB8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46057F83" w14:textId="0B5460A8"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5BF9AED6" w14:textId="3F0CD51D"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14B53750" w14:textId="6A588955"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0717BD4D"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34C5E028" w14:textId="61996CE0"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26352651" w14:textId="55F2B5E6"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600BA559" w14:textId="5B39214E"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39D342D1"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78B70C96" w14:textId="39BF84A1"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216ACD55" w14:textId="034FDF6C"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1953ECA7" w14:textId="2A3AD7ED"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2" w:type="pct"/>
            <w:shd w:val="clear" w:color="auto" w:fill="FFFFCC"/>
            <w:vAlign w:val="center"/>
          </w:tcPr>
          <w:p w14:paraId="43AA940A" w14:textId="77777777" w:rsidR="0035554A" w:rsidRPr="00DE44DB" w:rsidRDefault="0035554A" w:rsidP="00D233EC">
            <w:pPr>
              <w:pStyle w:val="Tabletext1"/>
              <w:jc w:val="center"/>
              <w:rPr>
                <w:color w:val="000000"/>
              </w:rPr>
            </w:pPr>
            <w:r w:rsidRPr="00DE44DB">
              <w:rPr>
                <w:color w:val="000000"/>
              </w:rPr>
              <w:t>•</w:t>
            </w:r>
          </w:p>
        </w:tc>
      </w:tr>
      <w:tr w:rsidR="0035554A" w:rsidRPr="00DE44DB" w14:paraId="2D0D2C27" w14:textId="77777777" w:rsidTr="00D233EC">
        <w:tc>
          <w:tcPr>
            <w:tcW w:w="626" w:type="pct"/>
            <w:vAlign w:val="bottom"/>
          </w:tcPr>
          <w:p w14:paraId="0E3EAB4D" w14:textId="77777777" w:rsidR="0035554A" w:rsidRPr="00DE44DB" w:rsidRDefault="0035554A" w:rsidP="00D233EC">
            <w:pPr>
              <w:pStyle w:val="Tabletext1"/>
              <w:rPr>
                <w:snapToGrid w:val="0"/>
              </w:rPr>
            </w:pPr>
            <w:r w:rsidRPr="00DE44DB">
              <w:rPr>
                <w:snapToGrid w:val="0"/>
              </w:rPr>
              <w:t>Roudriguez-Fuster et al (2014)</w:t>
            </w:r>
          </w:p>
        </w:tc>
        <w:tc>
          <w:tcPr>
            <w:tcW w:w="243" w:type="pct"/>
            <w:shd w:val="clear" w:color="auto" w:fill="EAF1DD" w:themeFill="accent3" w:themeFillTint="33"/>
            <w:vAlign w:val="center"/>
          </w:tcPr>
          <w:p w14:paraId="153E733B" w14:textId="2E7A609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17D76924" w14:textId="27D841E5"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3DE9413A" w14:textId="2E64BB25"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38781BEC" w14:textId="77777777" w:rsidR="0035554A" w:rsidRPr="00DE44DB" w:rsidRDefault="0035554A" w:rsidP="00D233EC">
            <w:pPr>
              <w:pStyle w:val="Tabletext1"/>
              <w:jc w:val="center"/>
              <w:rPr>
                <w:color w:val="000000"/>
              </w:rPr>
            </w:pPr>
            <w:r w:rsidRPr="00DE44DB">
              <w:rPr>
                <w:color w:val="000000"/>
              </w:rPr>
              <w:t>?</w:t>
            </w:r>
          </w:p>
        </w:tc>
        <w:tc>
          <w:tcPr>
            <w:tcW w:w="243" w:type="pct"/>
            <w:shd w:val="clear" w:color="auto" w:fill="EAF1DD" w:themeFill="accent3" w:themeFillTint="33"/>
            <w:vAlign w:val="center"/>
          </w:tcPr>
          <w:p w14:paraId="72D3FC01" w14:textId="696C42D2"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FFFCC"/>
            <w:vAlign w:val="center"/>
          </w:tcPr>
          <w:p w14:paraId="4977B94F" w14:textId="77777777" w:rsidR="0035554A" w:rsidRPr="00DE44DB" w:rsidRDefault="0035554A" w:rsidP="00D233EC">
            <w:pPr>
              <w:pStyle w:val="Tabletext1"/>
              <w:jc w:val="center"/>
              <w:rPr>
                <w:color w:val="000000"/>
              </w:rPr>
            </w:pPr>
            <w:r w:rsidRPr="00DE44DB">
              <w:rPr>
                <w:color w:val="000000"/>
              </w:rPr>
              <w:t>•</w:t>
            </w:r>
          </w:p>
        </w:tc>
        <w:tc>
          <w:tcPr>
            <w:tcW w:w="243" w:type="pct"/>
            <w:shd w:val="clear" w:color="auto" w:fill="EAF1DD" w:themeFill="accent3" w:themeFillTint="33"/>
            <w:vAlign w:val="center"/>
          </w:tcPr>
          <w:p w14:paraId="110CEAC9" w14:textId="794C5DF5"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3797E7C1" w14:textId="01BD80E2"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59A29C92" w14:textId="5E0621C3"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4E5D757D"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72711E30" w14:textId="2C4A1082"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78A01936" w14:textId="30680D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30F41D89" w14:textId="22D95796"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201DE06C" w14:textId="0701E8AB"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353745EF" w14:textId="6F478D0F"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2482AC3B" w14:textId="26FB6758"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44161512" w14:textId="15B86E38"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2" w:type="pct"/>
            <w:shd w:val="clear" w:color="auto" w:fill="EAF1DD" w:themeFill="accent3" w:themeFillTint="33"/>
            <w:vAlign w:val="center"/>
          </w:tcPr>
          <w:p w14:paraId="1E3331E0" w14:textId="5F690640"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r>
      <w:tr w:rsidR="0035554A" w:rsidRPr="00DE44DB" w14:paraId="420B3979" w14:textId="77777777" w:rsidTr="00D233EC">
        <w:tc>
          <w:tcPr>
            <w:tcW w:w="626" w:type="pct"/>
            <w:vAlign w:val="bottom"/>
          </w:tcPr>
          <w:p w14:paraId="6D639C79" w14:textId="77777777" w:rsidR="0035554A" w:rsidRPr="00DE44DB" w:rsidRDefault="0035554A" w:rsidP="00D233EC">
            <w:pPr>
              <w:pStyle w:val="Tabletext1"/>
              <w:rPr>
                <w:snapToGrid w:val="0"/>
              </w:rPr>
            </w:pPr>
            <w:r w:rsidRPr="00DE44DB">
              <w:rPr>
                <w:snapToGrid w:val="0"/>
              </w:rPr>
              <w:t>Reza et al (2009)</w:t>
            </w:r>
          </w:p>
        </w:tc>
        <w:tc>
          <w:tcPr>
            <w:tcW w:w="243" w:type="pct"/>
            <w:shd w:val="clear" w:color="auto" w:fill="EAF1DD" w:themeFill="accent3" w:themeFillTint="33"/>
            <w:vAlign w:val="center"/>
          </w:tcPr>
          <w:p w14:paraId="2176B2AA" w14:textId="5B21B005"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61B0DC07"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58F5E231"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6BF34FFC" w14:textId="77777777" w:rsidR="0035554A" w:rsidRPr="00DE44DB" w:rsidRDefault="0035554A" w:rsidP="00D233EC">
            <w:pPr>
              <w:pStyle w:val="Tabletext1"/>
              <w:jc w:val="center"/>
              <w:rPr>
                <w:color w:val="000000"/>
              </w:rPr>
            </w:pPr>
            <w:r w:rsidRPr="00DE44DB">
              <w:rPr>
                <w:color w:val="000000"/>
              </w:rPr>
              <w:t>?</w:t>
            </w:r>
          </w:p>
        </w:tc>
        <w:tc>
          <w:tcPr>
            <w:tcW w:w="243" w:type="pct"/>
            <w:shd w:val="clear" w:color="auto" w:fill="EAF1DD" w:themeFill="accent3" w:themeFillTint="33"/>
            <w:vAlign w:val="center"/>
          </w:tcPr>
          <w:p w14:paraId="70505CBF" w14:textId="366AA9CD"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FFFCC"/>
            <w:vAlign w:val="center"/>
          </w:tcPr>
          <w:p w14:paraId="5603024C" w14:textId="77777777" w:rsidR="0035554A" w:rsidRPr="00DE44DB" w:rsidRDefault="0035554A" w:rsidP="00D233EC">
            <w:pPr>
              <w:pStyle w:val="Tabletext1"/>
              <w:jc w:val="center"/>
              <w:rPr>
                <w:color w:val="000000"/>
              </w:rPr>
            </w:pPr>
            <w:r w:rsidRPr="00DE44DB">
              <w:rPr>
                <w:color w:val="000000"/>
              </w:rPr>
              <w:t>•</w:t>
            </w:r>
          </w:p>
        </w:tc>
        <w:tc>
          <w:tcPr>
            <w:tcW w:w="243" w:type="pct"/>
            <w:shd w:val="clear" w:color="auto" w:fill="EAF1DD" w:themeFill="accent3" w:themeFillTint="33"/>
            <w:vAlign w:val="center"/>
          </w:tcPr>
          <w:p w14:paraId="4C7C01A3" w14:textId="3500EC39"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4C57B6DC" w14:textId="7F731CDF"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5C0EFE4C" w14:textId="7E2792DD"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463E846C"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676B02C4" w14:textId="4F3A323A"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0F5609C0" w14:textId="06A5C459"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72C0B77B" w14:textId="206A45AD"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664BD461"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061F8042" w14:textId="27FFD24B"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0188107D"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5BED3AD7" w14:textId="1C3355EC"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2" w:type="pct"/>
            <w:shd w:val="clear" w:color="auto" w:fill="FFFFCC"/>
            <w:vAlign w:val="center"/>
          </w:tcPr>
          <w:p w14:paraId="36F7231F" w14:textId="77777777" w:rsidR="0035554A" w:rsidRPr="00DE44DB" w:rsidRDefault="0035554A" w:rsidP="00D233EC">
            <w:pPr>
              <w:pStyle w:val="Tabletext1"/>
              <w:jc w:val="center"/>
              <w:rPr>
                <w:color w:val="000000"/>
              </w:rPr>
            </w:pPr>
            <w:r w:rsidRPr="00DE44DB">
              <w:rPr>
                <w:color w:val="000000"/>
              </w:rPr>
              <w:t>•</w:t>
            </w:r>
          </w:p>
        </w:tc>
      </w:tr>
      <w:tr w:rsidR="0035554A" w:rsidRPr="00DE44DB" w14:paraId="1758AA7A" w14:textId="77777777" w:rsidTr="00D233EC">
        <w:tc>
          <w:tcPr>
            <w:tcW w:w="626" w:type="pct"/>
            <w:vAlign w:val="bottom"/>
          </w:tcPr>
          <w:p w14:paraId="43A8AF4C" w14:textId="77777777" w:rsidR="0035554A" w:rsidRPr="00DE44DB" w:rsidRDefault="0035554A" w:rsidP="00D233EC">
            <w:pPr>
              <w:pStyle w:val="Tabletext1"/>
              <w:rPr>
                <w:snapToGrid w:val="0"/>
              </w:rPr>
            </w:pPr>
            <w:r w:rsidRPr="00DE44DB">
              <w:rPr>
                <w:snapToGrid w:val="0"/>
              </w:rPr>
              <w:t xml:space="preserve">Younes et al (2009) </w:t>
            </w:r>
          </w:p>
        </w:tc>
        <w:tc>
          <w:tcPr>
            <w:tcW w:w="243" w:type="pct"/>
            <w:shd w:val="clear" w:color="auto" w:fill="EAF1DD" w:themeFill="accent3" w:themeFillTint="33"/>
            <w:vAlign w:val="center"/>
          </w:tcPr>
          <w:p w14:paraId="3959D65E" w14:textId="78740DEE"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4681B33B"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78C5CB87"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FFFCC"/>
            <w:vAlign w:val="center"/>
          </w:tcPr>
          <w:p w14:paraId="571DE5DD" w14:textId="77777777" w:rsidR="0035554A" w:rsidRPr="00DE44DB" w:rsidRDefault="0035554A" w:rsidP="00D233EC">
            <w:pPr>
              <w:pStyle w:val="Tabletext1"/>
              <w:jc w:val="center"/>
              <w:rPr>
                <w:color w:val="000000"/>
              </w:rPr>
            </w:pPr>
            <w:r w:rsidRPr="00DE44DB">
              <w:rPr>
                <w:color w:val="000000"/>
              </w:rPr>
              <w:t>?</w:t>
            </w:r>
          </w:p>
        </w:tc>
        <w:tc>
          <w:tcPr>
            <w:tcW w:w="243" w:type="pct"/>
            <w:shd w:val="clear" w:color="auto" w:fill="EAF1DD" w:themeFill="accent3" w:themeFillTint="33"/>
            <w:vAlign w:val="center"/>
          </w:tcPr>
          <w:p w14:paraId="310837D0" w14:textId="17476371"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FFFCC"/>
            <w:vAlign w:val="center"/>
          </w:tcPr>
          <w:p w14:paraId="2351E8F3" w14:textId="77777777" w:rsidR="0035554A" w:rsidRPr="00DE44DB" w:rsidRDefault="0035554A" w:rsidP="00D233EC">
            <w:pPr>
              <w:pStyle w:val="Tabletext1"/>
              <w:jc w:val="center"/>
              <w:rPr>
                <w:color w:val="000000"/>
              </w:rPr>
            </w:pPr>
            <w:r w:rsidRPr="00DE44DB">
              <w:rPr>
                <w:color w:val="000000"/>
              </w:rPr>
              <w:t>•</w:t>
            </w:r>
          </w:p>
        </w:tc>
        <w:tc>
          <w:tcPr>
            <w:tcW w:w="243" w:type="pct"/>
            <w:shd w:val="clear" w:color="auto" w:fill="EAF1DD" w:themeFill="accent3" w:themeFillTint="33"/>
            <w:vAlign w:val="center"/>
          </w:tcPr>
          <w:p w14:paraId="18628992" w14:textId="28BEA2D2"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174470F8" w14:textId="347911AE"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37AEA626" w14:textId="23A80D50"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2DBDB" w:themeFill="accent2" w:themeFillTint="33"/>
            <w:vAlign w:val="center"/>
          </w:tcPr>
          <w:p w14:paraId="4228C14B"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308C2AA5" w14:textId="01138C62"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0C4CD1F6" w14:textId="65FD48AB"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7A1F91EC" w14:textId="40D9A363"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282DF67C" w14:textId="785DD50B"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FFFFCC"/>
            <w:vAlign w:val="center"/>
          </w:tcPr>
          <w:p w14:paraId="0655AE52" w14:textId="77777777" w:rsidR="0035554A" w:rsidRPr="00DE44DB" w:rsidRDefault="0035554A" w:rsidP="00D233EC">
            <w:pPr>
              <w:pStyle w:val="Tabletext1"/>
              <w:jc w:val="center"/>
              <w:rPr>
                <w:color w:val="000000"/>
              </w:rPr>
            </w:pPr>
            <w:r w:rsidRPr="00DE44DB">
              <w:rPr>
                <w:color w:val="000000"/>
              </w:rPr>
              <w:t>•</w:t>
            </w:r>
          </w:p>
        </w:tc>
        <w:tc>
          <w:tcPr>
            <w:tcW w:w="243" w:type="pct"/>
            <w:shd w:val="clear" w:color="auto" w:fill="EAF1DD" w:themeFill="accent3" w:themeFillTint="33"/>
            <w:vAlign w:val="center"/>
          </w:tcPr>
          <w:p w14:paraId="200D26E7" w14:textId="42C2FD28"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3" w:type="pct"/>
            <w:shd w:val="clear" w:color="auto" w:fill="EAF1DD" w:themeFill="accent3" w:themeFillTint="33"/>
            <w:vAlign w:val="center"/>
          </w:tcPr>
          <w:p w14:paraId="339A3EB7" w14:textId="4D76D29A"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c>
          <w:tcPr>
            <w:tcW w:w="242" w:type="pct"/>
            <w:shd w:val="clear" w:color="auto" w:fill="F2DBDB" w:themeFill="accent2" w:themeFillTint="33"/>
            <w:vAlign w:val="center"/>
          </w:tcPr>
          <w:p w14:paraId="3F64C14E" w14:textId="77777777" w:rsidR="0035554A" w:rsidRPr="00DE44DB" w:rsidRDefault="0035554A" w:rsidP="00D233EC">
            <w:pPr>
              <w:pStyle w:val="Tabletext1"/>
              <w:jc w:val="center"/>
              <w:rPr>
                <w:rFonts w:ascii="Wingdings 2" w:hAnsi="Wingdings 2"/>
                <w:color w:val="000000"/>
              </w:rPr>
            </w:pPr>
            <w:r w:rsidRPr="00DE44DB">
              <w:rPr>
                <w:rFonts w:ascii="Wingdings 2" w:hAnsi="Wingdings 2"/>
                <w:color w:val="000000"/>
              </w:rPr>
              <w:t></w:t>
            </w:r>
          </w:p>
        </w:tc>
      </w:tr>
    </w:tbl>
    <w:p w14:paraId="3F90B554" w14:textId="77777777" w:rsidR="00DE44DB" w:rsidRDefault="00DE44DB" w:rsidP="005775DE">
      <w:pPr>
        <w:pStyle w:val="Tablenotes0"/>
        <w:rPr>
          <w:rFonts w:eastAsiaTheme="minorHAnsi"/>
        </w:rPr>
      </w:pPr>
      <w:r w:rsidRPr="00DE44DB">
        <w:rPr>
          <w:rFonts w:ascii="Wingdings 2" w:eastAsiaTheme="minorHAnsi" w:hAnsi="Wingdings 2"/>
        </w:rPr>
        <w:t></w:t>
      </w:r>
      <w:r w:rsidR="001104D0">
        <w:rPr>
          <w:rFonts w:eastAsiaTheme="minorHAnsi"/>
        </w:rPr>
        <w:t xml:space="preserve"> </w:t>
      </w:r>
      <w:r w:rsidRPr="00DE44DB">
        <w:rPr>
          <w:rFonts w:eastAsiaTheme="minorHAnsi"/>
        </w:rPr>
        <w:t>=</w:t>
      </w:r>
      <w:r w:rsidR="001104D0">
        <w:rPr>
          <w:rFonts w:eastAsiaTheme="minorHAnsi"/>
        </w:rPr>
        <w:t xml:space="preserve"> </w:t>
      </w:r>
      <w:r w:rsidRPr="00DE44DB">
        <w:rPr>
          <w:rFonts w:eastAsiaTheme="minorHAnsi"/>
        </w:rPr>
        <w:t xml:space="preserve">yes, </w:t>
      </w:r>
      <w:r w:rsidRPr="00DE44DB">
        <w:rPr>
          <w:rFonts w:ascii="Wingdings 2" w:eastAsiaTheme="minorHAnsi" w:hAnsi="Wingdings 2"/>
        </w:rPr>
        <w:t></w:t>
      </w:r>
      <w:r w:rsidR="001104D0">
        <w:rPr>
          <w:rFonts w:eastAsiaTheme="minorHAnsi"/>
        </w:rPr>
        <w:t xml:space="preserve"> </w:t>
      </w:r>
      <w:r w:rsidRPr="00DE44DB">
        <w:rPr>
          <w:rFonts w:eastAsiaTheme="minorHAnsi"/>
        </w:rPr>
        <w:t>=</w:t>
      </w:r>
      <w:r w:rsidR="001104D0">
        <w:rPr>
          <w:rFonts w:eastAsiaTheme="minorHAnsi"/>
        </w:rPr>
        <w:t xml:space="preserve"> </w:t>
      </w:r>
      <w:r w:rsidRPr="00DE44DB">
        <w:rPr>
          <w:rFonts w:eastAsiaTheme="minorHAnsi"/>
        </w:rPr>
        <w:t>no, •</w:t>
      </w:r>
      <w:r w:rsidR="001104D0">
        <w:rPr>
          <w:rFonts w:eastAsiaTheme="minorHAnsi"/>
        </w:rPr>
        <w:t xml:space="preserve"> </w:t>
      </w:r>
      <w:r w:rsidRPr="00DE44DB">
        <w:rPr>
          <w:rFonts w:eastAsiaTheme="minorHAnsi"/>
        </w:rPr>
        <w:t>=</w:t>
      </w:r>
      <w:r w:rsidR="001104D0">
        <w:rPr>
          <w:rFonts w:eastAsiaTheme="minorHAnsi"/>
        </w:rPr>
        <w:t xml:space="preserve"> </w:t>
      </w:r>
      <w:r w:rsidRPr="00DE44DB">
        <w:rPr>
          <w:rFonts w:eastAsiaTheme="minorHAnsi"/>
        </w:rPr>
        <w:t>partial</w:t>
      </w:r>
      <w:proofErr w:type="gramStart"/>
      <w:r w:rsidR="00CA6DFD" w:rsidRPr="00DE44DB">
        <w:rPr>
          <w:rFonts w:eastAsiaTheme="minorHAnsi"/>
        </w:rPr>
        <w:t xml:space="preserve">, </w:t>
      </w:r>
      <w:r w:rsidR="0035554A">
        <w:rPr>
          <w:rFonts w:eastAsiaTheme="minorHAnsi"/>
        </w:rPr>
        <w:t>?</w:t>
      </w:r>
      <w:proofErr w:type="gramEnd"/>
      <w:r w:rsidR="001104D0">
        <w:rPr>
          <w:rFonts w:eastAsiaTheme="minorHAnsi"/>
        </w:rPr>
        <w:t xml:space="preserve"> </w:t>
      </w:r>
      <w:r w:rsidR="00CA6DFD" w:rsidRPr="00DE44DB">
        <w:rPr>
          <w:rFonts w:eastAsiaTheme="minorHAnsi"/>
        </w:rPr>
        <w:t>=</w:t>
      </w:r>
      <w:r w:rsidR="001104D0">
        <w:rPr>
          <w:rFonts w:eastAsiaTheme="minorHAnsi"/>
        </w:rPr>
        <w:t xml:space="preserve"> </w:t>
      </w:r>
      <w:r w:rsidR="0035554A">
        <w:rPr>
          <w:rFonts w:eastAsiaTheme="minorHAnsi"/>
        </w:rPr>
        <w:t>unclear</w:t>
      </w:r>
      <w:r w:rsidR="00F91E83">
        <w:rPr>
          <w:rFonts w:eastAsiaTheme="minorHAnsi"/>
        </w:rPr>
        <w:t>.</w:t>
      </w:r>
    </w:p>
    <w:p w14:paraId="2D893B66" w14:textId="4D3DF921" w:rsidR="00510E88" w:rsidRPr="00DE44DB" w:rsidRDefault="00510E88" w:rsidP="005775DE">
      <w:pPr>
        <w:pStyle w:val="Tablenotes0"/>
      </w:pPr>
      <w:r w:rsidRPr="00510E88">
        <w:t xml:space="preserve">Note: The IHE quality appraisal tool </w:t>
      </w:r>
      <w:r w:rsidR="00D233EC">
        <w:t>was</w:t>
      </w:r>
      <w:r w:rsidRPr="00510E88">
        <w:t xml:space="preserve"> modified to remove two questions that are not applicable</w:t>
      </w:r>
      <w:r w:rsidR="00D233EC">
        <w:t xml:space="preserve"> to this review</w:t>
      </w:r>
      <w:r w:rsidRPr="00510E88">
        <w:t>. These include: Were additional interventions (co-interventions) clearly described? And, were the relevant outcome measures made before and after the intervention?</w:t>
      </w:r>
    </w:p>
    <w:p w14:paraId="04B87068" w14:textId="77777777" w:rsidR="00DE44DB" w:rsidRDefault="00DE44DB" w:rsidP="007A54FF"/>
    <w:p w14:paraId="32BCE9AC" w14:textId="77777777" w:rsidR="00DE44DB" w:rsidRDefault="00DE44DB" w:rsidP="007A54FF">
      <w:pPr>
        <w:sectPr w:rsidR="00DE44DB" w:rsidSect="0024526E">
          <w:pgSz w:w="16838" w:h="11906" w:orient="landscape"/>
          <w:pgMar w:top="1440" w:right="1440" w:bottom="1440" w:left="1440" w:header="720" w:footer="720" w:gutter="0"/>
          <w:paperSrc w:first="2" w:other="2"/>
          <w:cols w:space="720"/>
          <w:docGrid w:linePitch="299"/>
        </w:sectPr>
      </w:pPr>
    </w:p>
    <w:p w14:paraId="145D458D" w14:textId="77777777" w:rsidR="008D77C9" w:rsidRPr="00183E4D" w:rsidRDefault="008D77C9" w:rsidP="00647EB9">
      <w:pPr>
        <w:pStyle w:val="Heading2"/>
        <w:numPr>
          <w:ilvl w:val="1"/>
          <w:numId w:val="8"/>
        </w:numPr>
      </w:pPr>
      <w:bookmarkStart w:id="239" w:name="_Toc460396037"/>
      <w:r w:rsidRPr="00183E4D">
        <w:lastRenderedPageBreak/>
        <w:t>Characteristics of the Evidence Base</w:t>
      </w:r>
      <w:bookmarkEnd w:id="239"/>
    </w:p>
    <w:p w14:paraId="5941F26F" w14:textId="77777777" w:rsidR="008A6F37" w:rsidRPr="008A6F37" w:rsidRDefault="008A6F37" w:rsidP="003F6C66">
      <w:pPr>
        <w:pStyle w:val="Heading3"/>
      </w:pPr>
      <w:bookmarkStart w:id="240" w:name="_Toc460396038"/>
      <w:r w:rsidRPr="008A6F37">
        <w:t>Characteristics of the studies included for MTA</w:t>
      </w:r>
      <w:bookmarkEnd w:id="240"/>
      <w:r w:rsidRPr="008A6F37">
        <w:t xml:space="preserve"> </w:t>
      </w:r>
    </w:p>
    <w:p w14:paraId="51FE7FB7" w14:textId="77777777" w:rsidR="00AF3B82" w:rsidRDefault="008D77C9" w:rsidP="005C061E">
      <w:r w:rsidRPr="005438D9">
        <w:t>See Appendix C for details</w:t>
      </w:r>
      <w:r w:rsidRPr="00183E4D">
        <w:t xml:space="preserve"> on the individual studies included in the evidence base.</w:t>
      </w:r>
      <w:r w:rsidR="00DB3295" w:rsidRPr="00183E4D">
        <w:t xml:space="preserve"> </w:t>
      </w:r>
      <w:r w:rsidR="00735BFA" w:rsidRPr="00EF16A6">
        <w:t>A total of eight</w:t>
      </w:r>
      <w:r w:rsidR="00735BFA">
        <w:t xml:space="preserve"> studies meeting the inclusion criteria were </w:t>
      </w:r>
      <w:r w:rsidR="00735BFA" w:rsidRPr="005438D9">
        <w:t>identified</w:t>
      </w:r>
      <w:r w:rsidR="005438D9" w:rsidRPr="005438D9">
        <w:t xml:space="preserve"> (</w:t>
      </w:r>
      <w:r w:rsidR="005438D9" w:rsidRPr="005438D9">
        <w:fldChar w:fldCharType="begin"/>
      </w:r>
      <w:r w:rsidR="005438D9" w:rsidRPr="005438D9">
        <w:instrText xml:space="preserve"> REF _Ref457400891 \h </w:instrText>
      </w:r>
      <w:r w:rsidR="005438D9">
        <w:instrText xml:space="preserve"> \* MERGEFORMAT </w:instrText>
      </w:r>
      <w:r w:rsidR="005438D9" w:rsidRPr="005438D9">
        <w:fldChar w:fldCharType="separate"/>
      </w:r>
      <w:r w:rsidR="00D170A5" w:rsidRPr="005438D9">
        <w:t xml:space="preserve">Table </w:t>
      </w:r>
      <w:r w:rsidR="00D170A5">
        <w:rPr>
          <w:noProof/>
        </w:rPr>
        <w:t>29</w:t>
      </w:r>
      <w:r w:rsidR="005438D9" w:rsidRPr="005438D9">
        <w:fldChar w:fldCharType="end"/>
      </w:r>
      <w:r w:rsidR="00CA6DFD" w:rsidRPr="005438D9">
        <w:t xml:space="preserve">, </w:t>
      </w:r>
      <w:r w:rsidR="005438D9" w:rsidRPr="005438D9">
        <w:fldChar w:fldCharType="begin"/>
      </w:r>
      <w:r w:rsidR="005438D9" w:rsidRPr="005438D9">
        <w:instrText xml:space="preserve"> REF _Ref457400956 \h </w:instrText>
      </w:r>
      <w:r w:rsidR="005438D9">
        <w:instrText xml:space="preserve"> \* MERGEFORMAT </w:instrText>
      </w:r>
      <w:r w:rsidR="005438D9" w:rsidRPr="005438D9">
        <w:fldChar w:fldCharType="separate"/>
      </w:r>
      <w:r w:rsidR="00D170A5">
        <w:t xml:space="preserve">Table </w:t>
      </w:r>
      <w:r w:rsidR="00D170A5">
        <w:rPr>
          <w:noProof/>
        </w:rPr>
        <w:t>30</w:t>
      </w:r>
      <w:r w:rsidR="005438D9" w:rsidRPr="005438D9">
        <w:fldChar w:fldCharType="end"/>
      </w:r>
      <w:r w:rsidR="005438D9" w:rsidRPr="005438D9">
        <w:t xml:space="preserve">, </w:t>
      </w:r>
      <w:r w:rsidR="005438D9" w:rsidRPr="005438D9">
        <w:fldChar w:fldCharType="begin"/>
      </w:r>
      <w:r w:rsidR="005438D9" w:rsidRPr="005438D9">
        <w:instrText xml:space="preserve"> REF _Ref457400958 \h </w:instrText>
      </w:r>
      <w:r w:rsidR="005438D9">
        <w:instrText xml:space="preserve"> \* MERGEFORMAT </w:instrText>
      </w:r>
      <w:r w:rsidR="005438D9" w:rsidRPr="005438D9">
        <w:fldChar w:fldCharType="separate"/>
      </w:r>
      <w:r w:rsidR="00D170A5">
        <w:t xml:space="preserve">Table </w:t>
      </w:r>
      <w:r w:rsidR="00D170A5">
        <w:rPr>
          <w:noProof/>
        </w:rPr>
        <w:t>31</w:t>
      </w:r>
      <w:r w:rsidR="005438D9" w:rsidRPr="005438D9">
        <w:fldChar w:fldCharType="end"/>
      </w:r>
      <w:r w:rsidR="005438D9" w:rsidRPr="005438D9">
        <w:t xml:space="preserve">, </w:t>
      </w:r>
      <w:r w:rsidR="005438D9" w:rsidRPr="005438D9">
        <w:fldChar w:fldCharType="begin"/>
      </w:r>
      <w:r w:rsidR="005438D9" w:rsidRPr="005438D9">
        <w:instrText xml:space="preserve"> REF _Ref457400959 \h </w:instrText>
      </w:r>
      <w:r w:rsidR="005438D9">
        <w:instrText xml:space="preserve"> \* MERGEFORMAT </w:instrText>
      </w:r>
      <w:r w:rsidR="005438D9" w:rsidRPr="005438D9">
        <w:fldChar w:fldCharType="separate"/>
      </w:r>
      <w:r w:rsidR="00D170A5">
        <w:t xml:space="preserve">Table </w:t>
      </w:r>
      <w:r w:rsidR="00D170A5">
        <w:rPr>
          <w:noProof/>
        </w:rPr>
        <w:t>32</w:t>
      </w:r>
      <w:r w:rsidR="005438D9" w:rsidRPr="005438D9">
        <w:fldChar w:fldCharType="end"/>
      </w:r>
      <w:r w:rsidR="005438D9" w:rsidRPr="005438D9">
        <w:t>)</w:t>
      </w:r>
      <w:r w:rsidR="00735BFA" w:rsidRPr="005438D9">
        <w:t>.</w:t>
      </w:r>
      <w:r w:rsidR="00735BFA">
        <w:t xml:space="preserve"> In all but population three</w:t>
      </w:r>
      <w:r w:rsidR="000D2ACA">
        <w:t>,</w:t>
      </w:r>
      <w:r w:rsidR="00735BFA">
        <w:t xml:space="preserve"> these studies were </w:t>
      </w:r>
      <w:r w:rsidR="00CE470F">
        <w:t xml:space="preserve">Level </w:t>
      </w:r>
      <w:r w:rsidR="00735BFA">
        <w:t xml:space="preserve">IV case series evidence. </w:t>
      </w:r>
      <w:r w:rsidR="0076716E">
        <w:t xml:space="preserve">As a consequence of the study design all studies are rated as </w:t>
      </w:r>
      <w:r w:rsidR="000D2ACA">
        <w:t xml:space="preserve">having a </w:t>
      </w:r>
      <w:r w:rsidR="0076716E">
        <w:t xml:space="preserve">high risk of bias due to </w:t>
      </w:r>
      <w:r w:rsidR="000D2ACA">
        <w:t xml:space="preserve">the </w:t>
      </w:r>
      <w:r w:rsidR="0076716E">
        <w:t xml:space="preserve">inherent </w:t>
      </w:r>
      <w:r w:rsidR="000D2ACA">
        <w:t xml:space="preserve">weaknesses </w:t>
      </w:r>
      <w:r w:rsidR="0076716E">
        <w:t xml:space="preserve">of case series evidence. This does not imply that all studies were of a poor quality, but rather that the </w:t>
      </w:r>
      <w:r w:rsidR="001E27A9">
        <w:t>methodological design of the available</w:t>
      </w:r>
      <w:r w:rsidR="0076716E">
        <w:t xml:space="preserve"> evidence is at a high risk of bias. </w:t>
      </w:r>
      <w:r w:rsidR="000D2ACA">
        <w:t>The proposed populations are considered separately below i</w:t>
      </w:r>
      <w:r w:rsidR="000A55E5">
        <w:t>n terms of applicability</w:t>
      </w:r>
      <w:r w:rsidR="00E00830">
        <w:t xml:space="preserve"> for reimbursement</w:t>
      </w:r>
      <w:r w:rsidR="000D2ACA">
        <w:t>.</w:t>
      </w:r>
    </w:p>
    <w:p w14:paraId="2B765ED5" w14:textId="77777777" w:rsidR="000A55E5" w:rsidRPr="00010D2A" w:rsidRDefault="000A55E5" w:rsidP="005C061E">
      <w:pPr>
        <w:rPr>
          <w:b/>
          <w:i/>
        </w:rPr>
      </w:pPr>
      <w:r w:rsidRPr="00010D2A">
        <w:rPr>
          <w:b/>
          <w:i/>
        </w:rPr>
        <w:t>Population one</w:t>
      </w:r>
    </w:p>
    <w:p w14:paraId="7720D290" w14:textId="77777777" w:rsidR="000A55E5" w:rsidRDefault="000A55E5" w:rsidP="007F0BA3">
      <w:r>
        <w:t xml:space="preserve">In practice, this population is likely to account for the majority of ablations that would be performed if the procedure </w:t>
      </w:r>
      <w:r w:rsidR="00CE470F">
        <w:t xml:space="preserve">were </w:t>
      </w:r>
      <w:r>
        <w:t>reimbursed. Clinicians currently providing the service</w:t>
      </w:r>
      <w:r w:rsidR="001E27A9">
        <w:t xml:space="preserve"> in public hospitals</w:t>
      </w:r>
      <w:r>
        <w:t xml:space="preserve"> state that this population accounts for upwards of 90 per cent of ablation procedures. The included studies of MTA in this population are well aligned with the proposed population in that: patients were ineligible for surgical resection, had a range of comorbidities, tended to be in their sixth or seventh decade of life and had early stage NSCLC. Only two of the included studies contribute data on primary effectiveness outcomes.</w:t>
      </w:r>
    </w:p>
    <w:p w14:paraId="413ADF90" w14:textId="77777777" w:rsidR="000A55E5" w:rsidRDefault="00A97E00" w:rsidP="007F0BA3">
      <w:r>
        <w:t>In terms of study size</w:t>
      </w:r>
      <w:r w:rsidR="000A55E5">
        <w:t>,</w:t>
      </w:r>
      <w:r w:rsidR="007F0BA3">
        <w:t xml:space="preserve"> e</w:t>
      </w:r>
      <w:r w:rsidR="000A55E5">
        <w:t xml:space="preserve">ach of the included studies had less than 50 </w:t>
      </w:r>
      <w:r w:rsidR="003A53A3">
        <w:t xml:space="preserve">patients </w:t>
      </w:r>
      <w:r w:rsidR="007F0BA3">
        <w:t xml:space="preserve">and in total only 90 </w:t>
      </w:r>
      <w:r w:rsidR="00A131F4">
        <w:t>patients</w:t>
      </w:r>
      <w:r w:rsidR="000A55E5">
        <w:t xml:space="preserve"> and those </w:t>
      </w:r>
      <w:r w:rsidR="003A53A3">
        <w:t>patients</w:t>
      </w:r>
      <w:r w:rsidR="000A55E5">
        <w:t xml:space="preserve"> differed across studies in terms of t</w:t>
      </w:r>
      <w:r w:rsidR="007F0BA3">
        <w:t>he proportion of patients with potential</w:t>
      </w:r>
      <w:r w:rsidR="000A55E5">
        <w:t xml:space="preserve"> prognostic factors</w:t>
      </w:r>
      <w:r w:rsidR="007F0BA3">
        <w:t xml:space="preserve"> such as tumour size and peripheral versus central tumours</w:t>
      </w:r>
      <w:r w:rsidR="000A55E5">
        <w:t xml:space="preserve">. In Han et al (2015) lesion size </w:t>
      </w:r>
      <w:r w:rsidR="007F0BA3">
        <w:t>was predominantly</w:t>
      </w:r>
      <w:r w:rsidR="000A55E5">
        <w:t xml:space="preserve"> less than 35 mm and in Liu &amp; Steinke (2015) </w:t>
      </w:r>
      <w:r w:rsidR="00A75F64">
        <w:t xml:space="preserve">an </w:t>
      </w:r>
      <w:r w:rsidR="00285B90">
        <w:t>inclusion criteria</w:t>
      </w:r>
      <w:r w:rsidR="000A55E5">
        <w:t xml:space="preserve"> of </w:t>
      </w:r>
      <w:r w:rsidR="00A75F64">
        <w:t xml:space="preserve">lesion </w:t>
      </w:r>
      <w:r w:rsidR="000A55E5">
        <w:t xml:space="preserve">size </w:t>
      </w:r>
      <w:r w:rsidR="00A75F64">
        <w:t xml:space="preserve">being </w:t>
      </w:r>
      <w:r w:rsidR="000A55E5">
        <w:t>less than 40 mm</w:t>
      </w:r>
      <w:r w:rsidR="00A75F64">
        <w:t xml:space="preserve"> was applied</w:t>
      </w:r>
      <w:r w:rsidR="000A55E5">
        <w:t xml:space="preserve">. However, Yang et al (2014) had approximately half of the ablated lesions greater than 35 mm and included only peripheral NSCLC. </w:t>
      </w:r>
      <w:r w:rsidR="007F0BA3">
        <w:t>It is not clear what the breakdown of such factors would be in practice;</w:t>
      </w:r>
      <w:r>
        <w:t xml:space="preserve"> however,</w:t>
      </w:r>
      <w:r w:rsidR="007F0BA3">
        <w:t xml:space="preserve"> taken together the studies likely cover the spectrum of patients who might be treated.  </w:t>
      </w:r>
    </w:p>
    <w:p w14:paraId="0A9F7DE5" w14:textId="77777777" w:rsidR="00706F54" w:rsidRDefault="00706F54" w:rsidP="000066D3">
      <w:pPr>
        <w:pStyle w:val="Caption"/>
        <w:rPr>
          <w:highlight w:val="cyan"/>
        </w:rPr>
      </w:pPr>
      <w:bookmarkStart w:id="241" w:name="_Ref457389720"/>
      <w:r>
        <w:rPr>
          <w:highlight w:val="cyan"/>
        </w:rPr>
        <w:br w:type="page"/>
      </w:r>
    </w:p>
    <w:p w14:paraId="23AD60DB" w14:textId="77777777" w:rsidR="000066D3" w:rsidRPr="00183E4D" w:rsidRDefault="000066D3" w:rsidP="000066D3">
      <w:pPr>
        <w:pStyle w:val="Caption"/>
        <w:rPr>
          <w:snapToGrid w:val="0"/>
          <w:lang w:eastAsia="en-US"/>
        </w:rPr>
      </w:pPr>
      <w:bookmarkStart w:id="242" w:name="_Ref457400891"/>
      <w:bookmarkStart w:id="243" w:name="_Toc460514687"/>
      <w:r w:rsidRPr="005438D9">
        <w:lastRenderedPageBreak/>
        <w:t xml:space="preserve">Table </w:t>
      </w:r>
      <w:fldSimple w:instr=" SEQ Table \* ARABIC ">
        <w:r w:rsidR="00D170A5">
          <w:rPr>
            <w:noProof/>
          </w:rPr>
          <w:t>29</w:t>
        </w:r>
      </w:fldSimple>
      <w:bookmarkEnd w:id="241"/>
      <w:bookmarkEnd w:id="242"/>
      <w:r w:rsidRPr="00183E4D">
        <w:tab/>
      </w:r>
      <w:r w:rsidR="00BA08C2">
        <w:rPr>
          <w:snapToGrid w:val="0"/>
          <w:lang w:eastAsia="en-US"/>
        </w:rPr>
        <w:t>Characteristics</w:t>
      </w:r>
      <w:r w:rsidR="00BA08C2" w:rsidRPr="001B7083">
        <w:rPr>
          <w:snapToGrid w:val="0"/>
          <w:lang w:eastAsia="en-US"/>
        </w:rPr>
        <w:t xml:space="preserve"> </w:t>
      </w:r>
      <w:r w:rsidRPr="00183E4D">
        <w:rPr>
          <w:snapToGrid w:val="0"/>
          <w:lang w:eastAsia="en-US"/>
        </w:rPr>
        <w:t>of the included evidence</w:t>
      </w:r>
      <w:r>
        <w:rPr>
          <w:snapToGrid w:val="0"/>
          <w:lang w:eastAsia="en-US"/>
        </w:rPr>
        <w:t xml:space="preserve"> for MTA in population one</w:t>
      </w:r>
      <w:bookmarkEnd w:id="243"/>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224"/>
        <w:gridCol w:w="963"/>
        <w:gridCol w:w="1249"/>
        <w:gridCol w:w="971"/>
        <w:gridCol w:w="1818"/>
        <w:gridCol w:w="1812"/>
        <w:gridCol w:w="1018"/>
      </w:tblGrid>
      <w:tr w:rsidR="000066D3" w:rsidRPr="00183E4D" w14:paraId="420A858A" w14:textId="77777777" w:rsidTr="00FF4B36">
        <w:tc>
          <w:tcPr>
            <w:tcW w:w="1004" w:type="dxa"/>
            <w:shd w:val="clear" w:color="auto" w:fill="D9D9D9" w:themeFill="background1" w:themeFillShade="D9"/>
            <w:vAlign w:val="bottom"/>
          </w:tcPr>
          <w:p w14:paraId="4D6980E8" w14:textId="77777777" w:rsidR="000066D3" w:rsidRPr="00183E4D" w:rsidRDefault="000066D3" w:rsidP="00010D2A">
            <w:pPr>
              <w:pStyle w:val="TableHeading"/>
              <w:spacing w:before="60" w:after="60"/>
              <w:jc w:val="left"/>
              <w:rPr>
                <w:snapToGrid w:val="0"/>
                <w:lang w:eastAsia="en-US"/>
              </w:rPr>
            </w:pPr>
            <w:r w:rsidRPr="00183E4D">
              <w:rPr>
                <w:snapToGrid w:val="0"/>
                <w:lang w:eastAsia="en-US"/>
              </w:rPr>
              <w:t>Trial/Study</w:t>
            </w:r>
          </w:p>
        </w:tc>
        <w:tc>
          <w:tcPr>
            <w:tcW w:w="992" w:type="dxa"/>
            <w:shd w:val="clear" w:color="auto" w:fill="D9D9D9" w:themeFill="background1" w:themeFillShade="D9"/>
            <w:vAlign w:val="bottom"/>
          </w:tcPr>
          <w:p w14:paraId="63832BD5" w14:textId="77777777" w:rsidR="000066D3" w:rsidRPr="00183E4D" w:rsidRDefault="000066D3" w:rsidP="00FF4B36">
            <w:pPr>
              <w:pStyle w:val="TableHeading"/>
              <w:spacing w:before="60" w:after="60"/>
              <w:jc w:val="left"/>
              <w:rPr>
                <w:snapToGrid w:val="0"/>
                <w:lang w:eastAsia="en-US"/>
              </w:rPr>
            </w:pPr>
            <w:r w:rsidRPr="00183E4D">
              <w:rPr>
                <w:snapToGrid w:val="0"/>
                <w:lang w:eastAsia="en-US"/>
              </w:rPr>
              <w:t>N</w:t>
            </w:r>
            <w:r>
              <w:rPr>
                <w:snapToGrid w:val="0"/>
                <w:lang w:eastAsia="en-US"/>
              </w:rPr>
              <w:t xml:space="preserve"> (lesions)</w:t>
            </w:r>
          </w:p>
        </w:tc>
        <w:tc>
          <w:tcPr>
            <w:tcW w:w="1273" w:type="dxa"/>
            <w:shd w:val="clear" w:color="auto" w:fill="D9D9D9" w:themeFill="background1" w:themeFillShade="D9"/>
            <w:vAlign w:val="bottom"/>
          </w:tcPr>
          <w:p w14:paraId="3A356545" w14:textId="3C5C1216" w:rsidR="000066D3" w:rsidRPr="008A6F37" w:rsidRDefault="000066D3" w:rsidP="00FF4B36">
            <w:pPr>
              <w:pStyle w:val="TableHeading"/>
              <w:jc w:val="left"/>
              <w:rPr>
                <w:snapToGrid w:val="0"/>
                <w:vertAlign w:val="superscript"/>
                <w:lang w:eastAsia="en-US"/>
              </w:rPr>
            </w:pPr>
            <w:r w:rsidRPr="00183E4D">
              <w:rPr>
                <w:snapToGrid w:val="0"/>
                <w:lang w:eastAsia="en-US"/>
              </w:rPr>
              <w:t>Design</w:t>
            </w:r>
            <w:r w:rsidR="003A6B6C">
              <w:rPr>
                <w:snapToGrid w:val="0"/>
                <w:lang w:eastAsia="en-US"/>
              </w:rPr>
              <w:t>;</w:t>
            </w:r>
            <w:r w:rsidRPr="00183E4D">
              <w:rPr>
                <w:snapToGrid w:val="0"/>
                <w:lang w:eastAsia="en-US"/>
              </w:rPr>
              <w:t xml:space="preserve"> </w:t>
            </w:r>
            <w:r w:rsidR="003A6B6C">
              <w:rPr>
                <w:snapToGrid w:val="0"/>
                <w:lang w:eastAsia="en-US"/>
              </w:rPr>
              <w:t>D</w:t>
            </w:r>
            <w:r w:rsidRPr="00183E4D">
              <w:rPr>
                <w:snapToGrid w:val="0"/>
                <w:lang w:eastAsia="en-US"/>
              </w:rPr>
              <w:t>uration</w:t>
            </w:r>
            <w:r w:rsidR="00962B8F">
              <w:rPr>
                <w:snapToGrid w:val="0"/>
                <w:lang w:eastAsia="en-US"/>
              </w:rPr>
              <w:t xml:space="preserve"> </w:t>
            </w:r>
            <w:r>
              <w:rPr>
                <w:snapToGrid w:val="0"/>
                <w:vertAlign w:val="superscript"/>
                <w:lang w:eastAsia="en-US"/>
              </w:rPr>
              <w:t>a</w:t>
            </w:r>
          </w:p>
        </w:tc>
        <w:tc>
          <w:tcPr>
            <w:tcW w:w="1043" w:type="dxa"/>
            <w:shd w:val="clear" w:color="auto" w:fill="D9D9D9" w:themeFill="background1" w:themeFillShade="D9"/>
            <w:vAlign w:val="bottom"/>
          </w:tcPr>
          <w:p w14:paraId="2D7AC835" w14:textId="77777777" w:rsidR="000066D3" w:rsidRPr="00183E4D" w:rsidRDefault="000066D3" w:rsidP="00FF4B36">
            <w:pPr>
              <w:pStyle w:val="TableHeading"/>
              <w:spacing w:before="60" w:after="60"/>
              <w:jc w:val="left"/>
              <w:rPr>
                <w:snapToGrid w:val="0"/>
                <w:lang w:eastAsia="en-US"/>
              </w:rPr>
            </w:pPr>
            <w:r w:rsidRPr="00183E4D">
              <w:rPr>
                <w:snapToGrid w:val="0"/>
                <w:lang w:eastAsia="en-US"/>
              </w:rPr>
              <w:t>Risk of bias</w:t>
            </w:r>
          </w:p>
        </w:tc>
        <w:tc>
          <w:tcPr>
            <w:tcW w:w="1922" w:type="dxa"/>
            <w:shd w:val="clear" w:color="auto" w:fill="D9D9D9" w:themeFill="background1" w:themeFillShade="D9"/>
            <w:vAlign w:val="bottom"/>
          </w:tcPr>
          <w:p w14:paraId="5A5F5F50" w14:textId="77777777" w:rsidR="009D1AA6" w:rsidRPr="00183E4D" w:rsidRDefault="000066D3" w:rsidP="00FF4B36">
            <w:pPr>
              <w:pStyle w:val="TableHeading"/>
              <w:spacing w:before="60" w:after="60"/>
              <w:jc w:val="left"/>
              <w:rPr>
                <w:snapToGrid w:val="0"/>
                <w:lang w:eastAsia="en-US"/>
              </w:rPr>
            </w:pPr>
            <w:r w:rsidRPr="00183E4D">
              <w:rPr>
                <w:snapToGrid w:val="0"/>
                <w:lang w:eastAsia="en-US"/>
              </w:rPr>
              <w:t>Patient population</w:t>
            </w:r>
          </w:p>
        </w:tc>
        <w:tc>
          <w:tcPr>
            <w:tcW w:w="1922" w:type="dxa"/>
            <w:shd w:val="clear" w:color="auto" w:fill="D9D9D9" w:themeFill="background1" w:themeFillShade="D9"/>
            <w:vAlign w:val="bottom"/>
          </w:tcPr>
          <w:p w14:paraId="17D85389" w14:textId="77777777" w:rsidR="000066D3" w:rsidRPr="00183E4D" w:rsidRDefault="000066D3" w:rsidP="00FF4B36">
            <w:pPr>
              <w:pStyle w:val="TableHeading"/>
              <w:spacing w:before="60" w:after="60"/>
              <w:jc w:val="left"/>
              <w:rPr>
                <w:snapToGrid w:val="0"/>
                <w:lang w:eastAsia="en-US"/>
              </w:rPr>
            </w:pPr>
            <w:r w:rsidRPr="00183E4D">
              <w:rPr>
                <w:snapToGrid w:val="0"/>
                <w:lang w:eastAsia="en-US"/>
              </w:rPr>
              <w:t>Key outcome(s)</w:t>
            </w:r>
          </w:p>
        </w:tc>
        <w:tc>
          <w:tcPr>
            <w:tcW w:w="1043" w:type="dxa"/>
            <w:shd w:val="clear" w:color="auto" w:fill="D9D9D9" w:themeFill="background1" w:themeFillShade="D9"/>
            <w:vAlign w:val="bottom"/>
          </w:tcPr>
          <w:p w14:paraId="61096F95" w14:textId="77777777" w:rsidR="000066D3" w:rsidRPr="00183E4D" w:rsidRDefault="000066D3" w:rsidP="00FF4B36">
            <w:pPr>
              <w:pStyle w:val="TableHeading"/>
              <w:spacing w:before="60" w:after="60"/>
              <w:jc w:val="left"/>
              <w:rPr>
                <w:snapToGrid w:val="0"/>
                <w:lang w:eastAsia="en-US"/>
              </w:rPr>
            </w:pPr>
            <w:r w:rsidRPr="00183E4D">
              <w:rPr>
                <w:snapToGrid w:val="0"/>
                <w:lang w:eastAsia="en-US"/>
              </w:rPr>
              <w:t>Result used in economic model</w:t>
            </w:r>
          </w:p>
        </w:tc>
      </w:tr>
      <w:tr w:rsidR="000066D3" w:rsidRPr="00183E4D" w14:paraId="1DD9CE02" w14:textId="77777777" w:rsidTr="00FF4B36">
        <w:tc>
          <w:tcPr>
            <w:tcW w:w="1004" w:type="dxa"/>
            <w:shd w:val="clear" w:color="auto" w:fill="auto"/>
          </w:tcPr>
          <w:p w14:paraId="28B1D3E1" w14:textId="77777777" w:rsidR="000066D3" w:rsidRPr="008A6F37" w:rsidRDefault="000066D3" w:rsidP="00010D2A">
            <w:pPr>
              <w:pStyle w:val="TableText0"/>
              <w:spacing w:before="60" w:after="60"/>
              <w:jc w:val="left"/>
              <w:rPr>
                <w:snapToGrid w:val="0"/>
              </w:rPr>
            </w:pPr>
            <w:r>
              <w:rPr>
                <w:snapToGrid w:val="0"/>
              </w:rPr>
              <w:t>Han et al (2015)</w:t>
            </w:r>
          </w:p>
        </w:tc>
        <w:tc>
          <w:tcPr>
            <w:tcW w:w="992" w:type="dxa"/>
            <w:shd w:val="clear" w:color="auto" w:fill="auto"/>
          </w:tcPr>
          <w:p w14:paraId="491A22EC" w14:textId="77777777" w:rsidR="000066D3" w:rsidRPr="008A6F37" w:rsidRDefault="000066D3" w:rsidP="00FF4B36">
            <w:pPr>
              <w:pStyle w:val="TableText0"/>
              <w:spacing w:before="60" w:after="60"/>
              <w:jc w:val="left"/>
              <w:rPr>
                <w:snapToGrid w:val="0"/>
              </w:rPr>
            </w:pPr>
            <w:r>
              <w:rPr>
                <w:snapToGrid w:val="0"/>
              </w:rPr>
              <w:t>28 (28)</w:t>
            </w:r>
          </w:p>
        </w:tc>
        <w:tc>
          <w:tcPr>
            <w:tcW w:w="1273" w:type="dxa"/>
            <w:shd w:val="clear" w:color="auto" w:fill="auto"/>
          </w:tcPr>
          <w:p w14:paraId="0ABA9CD1" w14:textId="77777777" w:rsidR="000066D3" w:rsidRPr="008A6F37" w:rsidRDefault="000066D3" w:rsidP="00FF4B36">
            <w:pPr>
              <w:pStyle w:val="TableText0"/>
              <w:spacing w:before="60" w:after="60"/>
              <w:jc w:val="left"/>
              <w:rPr>
                <w:snapToGrid w:val="0"/>
              </w:rPr>
            </w:pPr>
            <w:r>
              <w:rPr>
                <w:snapToGrid w:val="0"/>
              </w:rPr>
              <w:t>Retrospective CS,</w:t>
            </w:r>
          </w:p>
          <w:p w14:paraId="341EB2AD" w14:textId="0ED59691" w:rsidR="000066D3" w:rsidRPr="008A6F37" w:rsidRDefault="00035818" w:rsidP="00FF4B36">
            <w:pPr>
              <w:pStyle w:val="TableText0"/>
              <w:spacing w:before="60" w:after="60"/>
              <w:jc w:val="left"/>
              <w:rPr>
                <w:snapToGrid w:val="0"/>
              </w:rPr>
            </w:pPr>
            <w:r>
              <w:rPr>
                <w:snapToGrid w:val="0"/>
              </w:rPr>
              <w:t xml:space="preserve">Median </w:t>
            </w:r>
            <w:r w:rsidR="000066D3" w:rsidRPr="008A6F37">
              <w:rPr>
                <w:snapToGrid w:val="0"/>
              </w:rPr>
              <w:t>22.5 (4</w:t>
            </w:r>
            <w:r w:rsidR="00D35E9C">
              <w:rPr>
                <w:szCs w:val="20"/>
              </w:rPr>
              <w:t>–</w:t>
            </w:r>
            <w:r w:rsidR="000066D3" w:rsidRPr="008A6F37">
              <w:rPr>
                <w:snapToGrid w:val="0"/>
              </w:rPr>
              <w:t>53) months</w:t>
            </w:r>
          </w:p>
        </w:tc>
        <w:tc>
          <w:tcPr>
            <w:tcW w:w="1043" w:type="dxa"/>
            <w:shd w:val="clear" w:color="auto" w:fill="auto"/>
          </w:tcPr>
          <w:p w14:paraId="18B96BE5" w14:textId="77777777" w:rsidR="000066D3" w:rsidRPr="008A6F37" w:rsidRDefault="000066D3" w:rsidP="00FF4B36">
            <w:pPr>
              <w:pStyle w:val="TableText0"/>
              <w:spacing w:before="60" w:after="60"/>
              <w:jc w:val="left"/>
              <w:rPr>
                <w:snapToGrid w:val="0"/>
              </w:rPr>
            </w:pPr>
            <w:r>
              <w:rPr>
                <w:snapToGrid w:val="0"/>
              </w:rPr>
              <w:t>High</w:t>
            </w:r>
          </w:p>
        </w:tc>
        <w:tc>
          <w:tcPr>
            <w:tcW w:w="1922" w:type="dxa"/>
            <w:shd w:val="clear" w:color="auto" w:fill="auto"/>
          </w:tcPr>
          <w:p w14:paraId="1C6CE9E4" w14:textId="77777777" w:rsidR="009D1AA6" w:rsidRDefault="009D1AA6" w:rsidP="00010D2A">
            <w:pPr>
              <w:pStyle w:val="TableText0"/>
              <w:spacing w:before="60" w:after="60"/>
              <w:jc w:val="left"/>
            </w:pPr>
            <w:r>
              <w:t>Stage I NSCLC (</w:t>
            </w:r>
            <w:r w:rsidR="000066D3" w:rsidRPr="006711AE">
              <w:t xml:space="preserve"> &gt; 75 years</w:t>
            </w:r>
            <w:r>
              <w:t>)</w:t>
            </w:r>
            <w:r w:rsidR="000066D3" w:rsidRPr="006711AE">
              <w:t xml:space="preserve"> and not candidates for </w:t>
            </w:r>
            <w:r>
              <w:t>resection</w:t>
            </w:r>
          </w:p>
          <w:p w14:paraId="19557E10" w14:textId="77777777" w:rsidR="000066D3" w:rsidRPr="006711AE" w:rsidRDefault="000066D3" w:rsidP="00010D2A">
            <w:pPr>
              <w:pStyle w:val="TableText0"/>
              <w:spacing w:before="60" w:after="60"/>
              <w:jc w:val="left"/>
            </w:pPr>
          </w:p>
        </w:tc>
        <w:tc>
          <w:tcPr>
            <w:tcW w:w="1922" w:type="dxa"/>
            <w:shd w:val="clear" w:color="auto" w:fill="auto"/>
          </w:tcPr>
          <w:p w14:paraId="7FD1E20F" w14:textId="77777777" w:rsidR="000066D3" w:rsidRPr="00723C9B" w:rsidRDefault="00457735" w:rsidP="00FF4B36">
            <w:pPr>
              <w:pStyle w:val="TableText0"/>
              <w:spacing w:before="60" w:after="60"/>
              <w:jc w:val="left"/>
            </w:pPr>
            <w:r>
              <w:t>Overall survival</w:t>
            </w:r>
            <w:r w:rsidR="000066D3" w:rsidRPr="00723C9B">
              <w:t xml:space="preserve">, local efficacy, </w:t>
            </w:r>
            <w:r w:rsidR="00EA28D0">
              <w:t>adverse events</w:t>
            </w:r>
          </w:p>
        </w:tc>
        <w:tc>
          <w:tcPr>
            <w:tcW w:w="1043" w:type="dxa"/>
            <w:shd w:val="clear" w:color="auto" w:fill="auto"/>
          </w:tcPr>
          <w:p w14:paraId="31DA46C5" w14:textId="77777777" w:rsidR="000066D3" w:rsidRPr="008A6F37" w:rsidRDefault="000066D3" w:rsidP="00FF4B36">
            <w:pPr>
              <w:pStyle w:val="TableText0"/>
              <w:spacing w:before="60" w:after="60"/>
              <w:jc w:val="left"/>
              <w:rPr>
                <w:snapToGrid w:val="0"/>
              </w:rPr>
            </w:pPr>
            <w:r w:rsidRPr="008A6F37">
              <w:rPr>
                <w:snapToGrid w:val="0"/>
              </w:rPr>
              <w:t>Not used</w:t>
            </w:r>
          </w:p>
        </w:tc>
      </w:tr>
      <w:tr w:rsidR="000066D3" w:rsidRPr="00183E4D" w14:paraId="1DFF6C24" w14:textId="77777777" w:rsidTr="00FF4B36">
        <w:tc>
          <w:tcPr>
            <w:tcW w:w="1004" w:type="dxa"/>
            <w:shd w:val="clear" w:color="auto" w:fill="auto"/>
          </w:tcPr>
          <w:p w14:paraId="47C0DF6B" w14:textId="77777777" w:rsidR="000066D3" w:rsidRPr="008A6F37" w:rsidRDefault="000066D3" w:rsidP="00010D2A">
            <w:pPr>
              <w:pStyle w:val="TableText0"/>
              <w:spacing w:before="60" w:after="60"/>
              <w:jc w:val="left"/>
              <w:rPr>
                <w:snapToGrid w:val="0"/>
              </w:rPr>
            </w:pPr>
            <w:r>
              <w:rPr>
                <w:snapToGrid w:val="0"/>
              </w:rPr>
              <w:t>Liu &amp; Steinke (2015)</w:t>
            </w:r>
          </w:p>
        </w:tc>
        <w:tc>
          <w:tcPr>
            <w:tcW w:w="992" w:type="dxa"/>
            <w:shd w:val="clear" w:color="auto" w:fill="auto"/>
          </w:tcPr>
          <w:p w14:paraId="4D47EAA8" w14:textId="77777777" w:rsidR="000066D3" w:rsidRPr="008A6F37" w:rsidRDefault="000066D3" w:rsidP="00FF4B36">
            <w:pPr>
              <w:pStyle w:val="TableText0"/>
              <w:spacing w:before="60" w:after="60"/>
              <w:jc w:val="left"/>
              <w:rPr>
                <w:snapToGrid w:val="0"/>
              </w:rPr>
            </w:pPr>
            <w:r>
              <w:rPr>
                <w:snapToGrid w:val="0"/>
              </w:rPr>
              <w:t>15 (16)</w:t>
            </w:r>
          </w:p>
        </w:tc>
        <w:tc>
          <w:tcPr>
            <w:tcW w:w="1273" w:type="dxa"/>
            <w:shd w:val="clear" w:color="auto" w:fill="auto"/>
          </w:tcPr>
          <w:p w14:paraId="5B020041" w14:textId="77777777" w:rsidR="000066D3" w:rsidRPr="008A6F37" w:rsidRDefault="000066D3" w:rsidP="00FF4B36">
            <w:pPr>
              <w:pStyle w:val="TableText0"/>
              <w:spacing w:before="60" w:after="60"/>
              <w:jc w:val="left"/>
              <w:rPr>
                <w:snapToGrid w:val="0"/>
              </w:rPr>
            </w:pPr>
            <w:r>
              <w:rPr>
                <w:snapToGrid w:val="0"/>
              </w:rPr>
              <w:t>Retrospective CS,</w:t>
            </w:r>
          </w:p>
          <w:p w14:paraId="76D0938E" w14:textId="0DCBCD59" w:rsidR="000066D3" w:rsidRPr="00475A0C" w:rsidRDefault="00035818" w:rsidP="00FF4B36">
            <w:pPr>
              <w:pStyle w:val="TableText0"/>
              <w:spacing w:before="60" w:after="60"/>
              <w:jc w:val="left"/>
              <w:rPr>
                <w:snapToGrid w:val="0"/>
              </w:rPr>
            </w:pPr>
            <w:r>
              <w:rPr>
                <w:snapToGrid w:val="0"/>
              </w:rPr>
              <w:t xml:space="preserve">Median </w:t>
            </w:r>
            <w:r w:rsidR="000066D3" w:rsidRPr="00475A0C">
              <w:rPr>
                <w:snapToGrid w:val="0"/>
              </w:rPr>
              <w:t>12  (6</w:t>
            </w:r>
            <w:r w:rsidR="00D35E9C">
              <w:rPr>
                <w:snapToGrid w:val="0"/>
              </w:rPr>
              <w:t>–</w:t>
            </w:r>
            <w:r w:rsidR="000066D3" w:rsidRPr="00475A0C">
              <w:rPr>
                <w:snapToGrid w:val="0"/>
              </w:rPr>
              <w:t>18 ) months</w:t>
            </w:r>
          </w:p>
          <w:p w14:paraId="3AB9958A" w14:textId="77777777" w:rsidR="000066D3" w:rsidRPr="008A6F37" w:rsidRDefault="000066D3" w:rsidP="00FF4B36">
            <w:pPr>
              <w:pStyle w:val="TableText0"/>
              <w:spacing w:before="60" w:after="60"/>
              <w:jc w:val="left"/>
              <w:rPr>
                <w:snapToGrid w:val="0"/>
              </w:rPr>
            </w:pPr>
          </w:p>
        </w:tc>
        <w:tc>
          <w:tcPr>
            <w:tcW w:w="1043" w:type="dxa"/>
            <w:shd w:val="clear" w:color="auto" w:fill="auto"/>
          </w:tcPr>
          <w:p w14:paraId="7CAA98C9" w14:textId="77777777" w:rsidR="000066D3" w:rsidRPr="008A6F37" w:rsidRDefault="000066D3" w:rsidP="00FF4B36">
            <w:pPr>
              <w:pStyle w:val="TableText0"/>
              <w:spacing w:before="60" w:after="60"/>
              <w:jc w:val="left"/>
              <w:rPr>
                <w:snapToGrid w:val="0"/>
              </w:rPr>
            </w:pPr>
            <w:r>
              <w:rPr>
                <w:snapToGrid w:val="0"/>
              </w:rPr>
              <w:t>High</w:t>
            </w:r>
          </w:p>
        </w:tc>
        <w:tc>
          <w:tcPr>
            <w:tcW w:w="1922" w:type="dxa"/>
            <w:shd w:val="clear" w:color="auto" w:fill="auto"/>
          </w:tcPr>
          <w:p w14:paraId="37B44610" w14:textId="77777777" w:rsidR="009F23A4" w:rsidRPr="006711AE" w:rsidRDefault="009D1AA6" w:rsidP="00010D2A">
            <w:pPr>
              <w:pStyle w:val="TableText0"/>
              <w:spacing w:before="60" w:after="60"/>
              <w:jc w:val="left"/>
            </w:pPr>
            <w:r>
              <w:t>S</w:t>
            </w:r>
            <w:r w:rsidR="000066D3" w:rsidRPr="006711AE">
              <w:t>tage Ia or Ib NSCLC, medically inoperable</w:t>
            </w:r>
          </w:p>
          <w:p w14:paraId="19F0B526" w14:textId="77777777" w:rsidR="000066D3" w:rsidRPr="006711AE" w:rsidRDefault="000066D3" w:rsidP="00010D2A">
            <w:pPr>
              <w:pStyle w:val="TableText0"/>
              <w:spacing w:before="60" w:after="60"/>
              <w:jc w:val="left"/>
            </w:pPr>
          </w:p>
        </w:tc>
        <w:tc>
          <w:tcPr>
            <w:tcW w:w="1922" w:type="dxa"/>
            <w:shd w:val="clear" w:color="auto" w:fill="auto"/>
          </w:tcPr>
          <w:p w14:paraId="42622468" w14:textId="77777777" w:rsidR="000066D3" w:rsidRPr="00723C9B" w:rsidRDefault="000066D3" w:rsidP="00FF4B36">
            <w:pPr>
              <w:pStyle w:val="TableText0"/>
              <w:spacing w:before="60" w:after="60"/>
              <w:jc w:val="left"/>
            </w:pPr>
            <w:r w:rsidRPr="00723C9B">
              <w:t xml:space="preserve">Treatment outcome, </w:t>
            </w:r>
            <w:r w:rsidR="00EA28D0">
              <w:t>adverse events</w:t>
            </w:r>
            <w:r w:rsidRPr="00723C9B">
              <w:t xml:space="preserve"> within 24 hours</w:t>
            </w:r>
          </w:p>
        </w:tc>
        <w:tc>
          <w:tcPr>
            <w:tcW w:w="1043" w:type="dxa"/>
            <w:shd w:val="clear" w:color="auto" w:fill="auto"/>
          </w:tcPr>
          <w:p w14:paraId="4A1B8D10" w14:textId="77777777" w:rsidR="000066D3" w:rsidRPr="008A6F37" w:rsidRDefault="000066D3" w:rsidP="00FF4B36">
            <w:pPr>
              <w:pStyle w:val="TableText0"/>
              <w:spacing w:before="60" w:after="60"/>
              <w:jc w:val="left"/>
              <w:rPr>
                <w:snapToGrid w:val="0"/>
              </w:rPr>
            </w:pPr>
            <w:r w:rsidRPr="008A6F37">
              <w:rPr>
                <w:snapToGrid w:val="0"/>
              </w:rPr>
              <w:t>Not used</w:t>
            </w:r>
          </w:p>
        </w:tc>
      </w:tr>
      <w:tr w:rsidR="000066D3" w:rsidRPr="00183E4D" w14:paraId="70B38322" w14:textId="77777777" w:rsidTr="00FF4B36">
        <w:tc>
          <w:tcPr>
            <w:tcW w:w="1004" w:type="dxa"/>
            <w:shd w:val="clear" w:color="auto" w:fill="auto"/>
          </w:tcPr>
          <w:p w14:paraId="6AE465EF" w14:textId="77777777" w:rsidR="000066D3" w:rsidRPr="008A6F37" w:rsidRDefault="000066D3" w:rsidP="00010D2A">
            <w:pPr>
              <w:pStyle w:val="TableText0"/>
              <w:spacing w:before="60" w:after="60"/>
              <w:jc w:val="left"/>
              <w:rPr>
                <w:snapToGrid w:val="0"/>
              </w:rPr>
            </w:pPr>
            <w:r>
              <w:rPr>
                <w:snapToGrid w:val="0"/>
              </w:rPr>
              <w:t>Yang et al (2015</w:t>
            </w:r>
          </w:p>
        </w:tc>
        <w:tc>
          <w:tcPr>
            <w:tcW w:w="992" w:type="dxa"/>
            <w:shd w:val="clear" w:color="auto" w:fill="auto"/>
          </w:tcPr>
          <w:p w14:paraId="57277F41" w14:textId="77777777" w:rsidR="000066D3" w:rsidRPr="008A6F37" w:rsidRDefault="000066D3" w:rsidP="00FF4B36">
            <w:pPr>
              <w:pStyle w:val="TableText0"/>
              <w:spacing w:before="60" w:after="60"/>
              <w:jc w:val="left"/>
              <w:rPr>
                <w:snapToGrid w:val="0"/>
              </w:rPr>
            </w:pPr>
            <w:r>
              <w:rPr>
                <w:snapToGrid w:val="0"/>
              </w:rPr>
              <w:t>47 (47)</w:t>
            </w:r>
          </w:p>
        </w:tc>
        <w:tc>
          <w:tcPr>
            <w:tcW w:w="1273" w:type="dxa"/>
            <w:tcBorders>
              <w:bottom w:val="single" w:sz="4" w:space="0" w:color="auto"/>
            </w:tcBorders>
            <w:shd w:val="clear" w:color="auto" w:fill="auto"/>
          </w:tcPr>
          <w:p w14:paraId="2149BD27" w14:textId="77777777" w:rsidR="000066D3" w:rsidRPr="008A6F37" w:rsidRDefault="000066D3" w:rsidP="00FF4B36">
            <w:pPr>
              <w:pStyle w:val="TableText0"/>
              <w:spacing w:before="60" w:after="60"/>
              <w:jc w:val="left"/>
              <w:rPr>
                <w:snapToGrid w:val="0"/>
              </w:rPr>
            </w:pPr>
            <w:r>
              <w:rPr>
                <w:snapToGrid w:val="0"/>
              </w:rPr>
              <w:t>Retrospective CS,</w:t>
            </w:r>
          </w:p>
          <w:p w14:paraId="24EA4129" w14:textId="50B5B8B8" w:rsidR="000066D3" w:rsidRPr="008A6F37" w:rsidRDefault="00035818" w:rsidP="00FF4B36">
            <w:pPr>
              <w:pStyle w:val="TableText0"/>
              <w:spacing w:before="60" w:after="60"/>
              <w:jc w:val="left"/>
              <w:rPr>
                <w:snapToGrid w:val="0"/>
              </w:rPr>
            </w:pPr>
            <w:r>
              <w:rPr>
                <w:snapToGrid w:val="0"/>
              </w:rPr>
              <w:t xml:space="preserve">Median </w:t>
            </w:r>
            <w:r w:rsidR="000066D3" w:rsidRPr="00AF3B82">
              <w:rPr>
                <w:snapToGrid w:val="0"/>
              </w:rPr>
              <w:t>30 (7</w:t>
            </w:r>
            <w:r w:rsidR="00D35E9C">
              <w:rPr>
                <w:snapToGrid w:val="0"/>
              </w:rPr>
              <w:t>–</w:t>
            </w:r>
            <w:r w:rsidR="000066D3" w:rsidRPr="00AF3B82">
              <w:rPr>
                <w:snapToGrid w:val="0"/>
              </w:rPr>
              <w:t>70) months</w:t>
            </w:r>
          </w:p>
        </w:tc>
        <w:tc>
          <w:tcPr>
            <w:tcW w:w="1043" w:type="dxa"/>
            <w:tcBorders>
              <w:bottom w:val="single" w:sz="4" w:space="0" w:color="auto"/>
            </w:tcBorders>
            <w:shd w:val="clear" w:color="auto" w:fill="auto"/>
          </w:tcPr>
          <w:p w14:paraId="49D27A04" w14:textId="77777777" w:rsidR="000066D3" w:rsidRPr="008A6F37" w:rsidRDefault="000066D3" w:rsidP="00FF4B36">
            <w:pPr>
              <w:pStyle w:val="TableText0"/>
              <w:spacing w:before="60" w:after="60"/>
              <w:jc w:val="left"/>
              <w:rPr>
                <w:snapToGrid w:val="0"/>
              </w:rPr>
            </w:pPr>
            <w:r>
              <w:rPr>
                <w:snapToGrid w:val="0"/>
              </w:rPr>
              <w:t>High</w:t>
            </w:r>
          </w:p>
        </w:tc>
        <w:tc>
          <w:tcPr>
            <w:tcW w:w="1922" w:type="dxa"/>
            <w:tcBorders>
              <w:bottom w:val="single" w:sz="4" w:space="0" w:color="auto"/>
            </w:tcBorders>
            <w:shd w:val="clear" w:color="auto" w:fill="auto"/>
          </w:tcPr>
          <w:p w14:paraId="2A9FC72B" w14:textId="77777777" w:rsidR="000066D3" w:rsidRDefault="009D1AA6" w:rsidP="00010D2A">
            <w:pPr>
              <w:pStyle w:val="TableText0"/>
              <w:spacing w:before="60" w:after="60"/>
              <w:jc w:val="left"/>
            </w:pPr>
            <w:r>
              <w:t>S</w:t>
            </w:r>
            <w:r w:rsidR="000066D3" w:rsidRPr="006711AE">
              <w:t xml:space="preserve">tage Ia </w:t>
            </w:r>
            <w:r w:rsidR="000066D3" w:rsidRPr="008A6F37">
              <w:rPr>
                <w:snapToGrid w:val="0"/>
              </w:rPr>
              <w:t>or</w:t>
            </w:r>
            <w:r w:rsidR="000066D3" w:rsidRPr="006711AE">
              <w:t xml:space="preserve"> Ib peripheral NSCLC, medically </w:t>
            </w:r>
            <w:r>
              <w:t xml:space="preserve">inoperable or declined </w:t>
            </w:r>
            <w:r w:rsidR="009F23A4">
              <w:t>surgery</w:t>
            </w:r>
          </w:p>
        </w:tc>
        <w:tc>
          <w:tcPr>
            <w:tcW w:w="1922" w:type="dxa"/>
            <w:tcBorders>
              <w:bottom w:val="single" w:sz="4" w:space="0" w:color="auto"/>
            </w:tcBorders>
            <w:shd w:val="clear" w:color="auto" w:fill="auto"/>
          </w:tcPr>
          <w:p w14:paraId="4EA87CAF" w14:textId="77777777" w:rsidR="000066D3" w:rsidRDefault="00EC3555" w:rsidP="00FF4B36">
            <w:pPr>
              <w:pStyle w:val="TableText0"/>
              <w:spacing w:before="60" w:after="60"/>
              <w:jc w:val="left"/>
            </w:pPr>
            <w:r>
              <w:t>Overall survival,</w:t>
            </w:r>
            <w:r w:rsidR="000066D3" w:rsidRPr="00723C9B">
              <w:t xml:space="preserve"> local control, </w:t>
            </w:r>
            <w:r w:rsidR="009D1AA6">
              <w:t>TTLP</w:t>
            </w:r>
            <w:r w:rsidR="000066D3" w:rsidRPr="00723C9B">
              <w:t xml:space="preserve">, cancer-specific survival, </w:t>
            </w:r>
            <w:r w:rsidR="00EA28D0">
              <w:t>adverse events</w:t>
            </w:r>
            <w:r w:rsidR="000066D3" w:rsidRPr="00723C9B">
              <w:t>, length of hospital stay</w:t>
            </w:r>
          </w:p>
        </w:tc>
        <w:tc>
          <w:tcPr>
            <w:tcW w:w="1043" w:type="dxa"/>
            <w:shd w:val="clear" w:color="auto" w:fill="auto"/>
          </w:tcPr>
          <w:p w14:paraId="30C42B07" w14:textId="77777777" w:rsidR="000066D3" w:rsidRPr="008A6F37" w:rsidRDefault="000066D3" w:rsidP="00FF4B36">
            <w:pPr>
              <w:pStyle w:val="TableText0"/>
              <w:spacing w:before="60" w:after="60"/>
              <w:jc w:val="left"/>
              <w:rPr>
                <w:snapToGrid w:val="0"/>
              </w:rPr>
            </w:pPr>
            <w:r w:rsidRPr="008A6F37">
              <w:rPr>
                <w:snapToGrid w:val="0"/>
              </w:rPr>
              <w:t>Not used</w:t>
            </w:r>
          </w:p>
        </w:tc>
      </w:tr>
      <w:tr w:rsidR="009D1AA6" w:rsidRPr="00183E4D" w14:paraId="368D9222" w14:textId="77777777" w:rsidTr="00FF4B36">
        <w:tc>
          <w:tcPr>
            <w:tcW w:w="1004" w:type="dxa"/>
            <w:shd w:val="clear" w:color="auto" w:fill="auto"/>
          </w:tcPr>
          <w:p w14:paraId="31BA9628" w14:textId="77777777" w:rsidR="009D1AA6" w:rsidRDefault="009D1AA6" w:rsidP="00010D2A">
            <w:pPr>
              <w:pStyle w:val="TableText0"/>
              <w:spacing w:before="60" w:after="60"/>
              <w:jc w:val="left"/>
              <w:rPr>
                <w:snapToGrid w:val="0"/>
              </w:rPr>
            </w:pPr>
            <w:r>
              <w:rPr>
                <w:snapToGrid w:val="0"/>
              </w:rPr>
              <w:t>Meta-analysis/pooling</w:t>
            </w:r>
          </w:p>
        </w:tc>
        <w:tc>
          <w:tcPr>
            <w:tcW w:w="992" w:type="dxa"/>
            <w:shd w:val="clear" w:color="auto" w:fill="auto"/>
          </w:tcPr>
          <w:p w14:paraId="5E1F3819" w14:textId="77777777" w:rsidR="009D1AA6" w:rsidRDefault="009D1AA6" w:rsidP="00FF4B36">
            <w:pPr>
              <w:pStyle w:val="TableText0"/>
              <w:spacing w:before="60" w:after="60"/>
              <w:jc w:val="left"/>
              <w:rPr>
                <w:snapToGrid w:val="0"/>
              </w:rPr>
            </w:pPr>
            <w:r>
              <w:rPr>
                <w:snapToGrid w:val="0"/>
              </w:rPr>
              <w:t>90</w:t>
            </w:r>
          </w:p>
          <w:p w14:paraId="6EB8006E" w14:textId="77777777" w:rsidR="009D1AA6" w:rsidRDefault="009D1AA6" w:rsidP="00FF4B36">
            <w:pPr>
              <w:pStyle w:val="TableText0"/>
              <w:spacing w:before="60" w:after="60"/>
              <w:jc w:val="left"/>
              <w:rPr>
                <w:snapToGrid w:val="0"/>
              </w:rPr>
            </w:pPr>
            <w:r>
              <w:rPr>
                <w:snapToGrid w:val="0"/>
              </w:rPr>
              <w:t>3 studies</w:t>
            </w:r>
          </w:p>
        </w:tc>
        <w:tc>
          <w:tcPr>
            <w:tcW w:w="1273" w:type="dxa"/>
            <w:tcBorders>
              <w:right w:val="nil"/>
            </w:tcBorders>
            <w:shd w:val="clear" w:color="auto" w:fill="auto"/>
          </w:tcPr>
          <w:p w14:paraId="23F564A3" w14:textId="77777777" w:rsidR="009D1AA6" w:rsidRDefault="009D1AA6" w:rsidP="00FF4B36">
            <w:pPr>
              <w:pStyle w:val="TableText0"/>
              <w:spacing w:before="60" w:after="60"/>
              <w:jc w:val="left"/>
              <w:rPr>
                <w:snapToGrid w:val="0"/>
              </w:rPr>
            </w:pPr>
          </w:p>
        </w:tc>
        <w:tc>
          <w:tcPr>
            <w:tcW w:w="1043" w:type="dxa"/>
            <w:tcBorders>
              <w:left w:val="nil"/>
              <w:right w:val="nil"/>
            </w:tcBorders>
            <w:shd w:val="clear" w:color="auto" w:fill="auto"/>
          </w:tcPr>
          <w:p w14:paraId="1822919E" w14:textId="77777777" w:rsidR="009D1AA6" w:rsidRDefault="009D1AA6" w:rsidP="00FF4B36">
            <w:pPr>
              <w:pStyle w:val="TableText0"/>
              <w:spacing w:before="60" w:after="60"/>
              <w:jc w:val="left"/>
              <w:rPr>
                <w:snapToGrid w:val="0"/>
              </w:rPr>
            </w:pPr>
          </w:p>
        </w:tc>
        <w:tc>
          <w:tcPr>
            <w:tcW w:w="1922" w:type="dxa"/>
            <w:tcBorders>
              <w:left w:val="nil"/>
              <w:right w:val="nil"/>
            </w:tcBorders>
            <w:shd w:val="clear" w:color="auto" w:fill="auto"/>
          </w:tcPr>
          <w:p w14:paraId="01390A0F" w14:textId="77777777" w:rsidR="009D1AA6" w:rsidRDefault="009D1AA6" w:rsidP="00FF4B36">
            <w:pPr>
              <w:pStyle w:val="TableText0"/>
              <w:spacing w:before="60" w:after="60"/>
              <w:jc w:val="left"/>
            </w:pPr>
            <w:r w:rsidRPr="009D1AA6">
              <w:t>Not applicable, outcomes could not be standardised or w</w:t>
            </w:r>
            <w:r>
              <w:t>ere not reported by all studies</w:t>
            </w:r>
          </w:p>
        </w:tc>
        <w:tc>
          <w:tcPr>
            <w:tcW w:w="1922" w:type="dxa"/>
            <w:tcBorders>
              <w:left w:val="nil"/>
            </w:tcBorders>
            <w:shd w:val="clear" w:color="auto" w:fill="auto"/>
          </w:tcPr>
          <w:p w14:paraId="044382A5" w14:textId="77777777" w:rsidR="009D1AA6" w:rsidRPr="00723C9B" w:rsidRDefault="009D1AA6" w:rsidP="00FF4B36">
            <w:pPr>
              <w:pStyle w:val="TableText0"/>
              <w:spacing w:before="60" w:after="60"/>
              <w:jc w:val="left"/>
            </w:pPr>
          </w:p>
        </w:tc>
        <w:tc>
          <w:tcPr>
            <w:tcW w:w="1043" w:type="dxa"/>
            <w:shd w:val="clear" w:color="auto" w:fill="auto"/>
          </w:tcPr>
          <w:p w14:paraId="2CF7B954" w14:textId="77777777" w:rsidR="009D1AA6" w:rsidRPr="008A6F37" w:rsidRDefault="009D1AA6" w:rsidP="00FF4B36">
            <w:pPr>
              <w:pStyle w:val="TableText0"/>
              <w:spacing w:before="60" w:after="60"/>
              <w:jc w:val="left"/>
              <w:rPr>
                <w:snapToGrid w:val="0"/>
              </w:rPr>
            </w:pPr>
            <w:r>
              <w:rPr>
                <w:snapToGrid w:val="0"/>
              </w:rPr>
              <w:t>Not used</w:t>
            </w:r>
          </w:p>
        </w:tc>
      </w:tr>
    </w:tbl>
    <w:p w14:paraId="702BE8E5" w14:textId="034FBC6D" w:rsidR="000066D3" w:rsidRDefault="00E24DFA" w:rsidP="005775DE">
      <w:pPr>
        <w:pStyle w:val="Tablenotes0"/>
        <w:rPr>
          <w:rStyle w:val="TablenotesChar0"/>
        </w:rPr>
      </w:pPr>
      <w:r>
        <w:rPr>
          <w:rStyle w:val="TablenotesChar0"/>
        </w:rPr>
        <w:t xml:space="preserve">&lt; </w:t>
      </w:r>
      <w:r w:rsidR="000066D3">
        <w:rPr>
          <w:rStyle w:val="TablenotesChar0"/>
        </w:rPr>
        <w:t>CS</w:t>
      </w:r>
      <w:r w:rsidR="00BC3651">
        <w:rPr>
          <w:rStyle w:val="TablenotesChar0"/>
        </w:rPr>
        <w:t xml:space="preserve"> </w:t>
      </w:r>
      <w:r w:rsidR="000066D3">
        <w:rPr>
          <w:rStyle w:val="TablenotesChar0"/>
        </w:rPr>
        <w:t>=</w:t>
      </w:r>
      <w:r w:rsidR="00BC3651">
        <w:rPr>
          <w:rStyle w:val="TablenotesChar0"/>
        </w:rPr>
        <w:t xml:space="preserve"> </w:t>
      </w:r>
      <w:r w:rsidR="000066D3">
        <w:rPr>
          <w:rStyle w:val="TablenotesChar0"/>
        </w:rPr>
        <w:t>case series;</w:t>
      </w:r>
      <w:r w:rsidR="00EA28D0">
        <w:rPr>
          <w:rStyle w:val="TablenotesChar0"/>
        </w:rPr>
        <w:t xml:space="preserve"> </w:t>
      </w:r>
      <w:r w:rsidR="000066D3">
        <w:rPr>
          <w:rStyle w:val="TablenotesChar0"/>
        </w:rPr>
        <w:t>NSCLC</w:t>
      </w:r>
      <w:r w:rsidR="00BC3651">
        <w:rPr>
          <w:rStyle w:val="TablenotesChar0"/>
        </w:rPr>
        <w:t xml:space="preserve"> </w:t>
      </w:r>
      <w:r w:rsidR="000066D3">
        <w:rPr>
          <w:rStyle w:val="TablenotesChar0"/>
        </w:rPr>
        <w:t>= non-small cell lung cancer; OS</w:t>
      </w:r>
      <w:r w:rsidR="00BC3651">
        <w:rPr>
          <w:rStyle w:val="TablenotesChar0"/>
        </w:rPr>
        <w:t xml:space="preserve"> </w:t>
      </w:r>
      <w:r w:rsidR="000066D3">
        <w:rPr>
          <w:rStyle w:val="TablenotesChar0"/>
        </w:rPr>
        <w:t>= overall survival</w:t>
      </w:r>
      <w:r w:rsidR="009D1AA6">
        <w:rPr>
          <w:rStyle w:val="TablenotesChar0"/>
        </w:rPr>
        <w:t xml:space="preserve">; </w:t>
      </w:r>
      <w:r w:rsidR="009D1AA6" w:rsidRPr="009D1AA6">
        <w:rPr>
          <w:rStyle w:val="TablenotesChar0"/>
        </w:rPr>
        <w:t>TTLP</w:t>
      </w:r>
      <w:r w:rsidR="00BC3651">
        <w:rPr>
          <w:rStyle w:val="TablenotesChar0"/>
        </w:rPr>
        <w:t xml:space="preserve"> </w:t>
      </w:r>
      <w:r w:rsidR="009D1AA6">
        <w:rPr>
          <w:rStyle w:val="TablenotesChar0"/>
        </w:rPr>
        <w:t>= time to local progression</w:t>
      </w:r>
      <w:r>
        <w:rPr>
          <w:rStyle w:val="TablenotesChar0"/>
        </w:rPr>
        <w:t xml:space="preserve"> &gt;</w:t>
      </w:r>
    </w:p>
    <w:p w14:paraId="5F9286BC" w14:textId="77777777" w:rsidR="000066D3" w:rsidRPr="00183E4D" w:rsidRDefault="000066D3" w:rsidP="005775DE">
      <w:pPr>
        <w:pStyle w:val="Tablenotes0"/>
        <w:rPr>
          <w:rStyle w:val="TablenotesChar0"/>
        </w:rPr>
      </w:pPr>
      <w:proofErr w:type="gramStart"/>
      <w:r>
        <w:rPr>
          <w:rStyle w:val="TablenotesChar0"/>
          <w:vertAlign w:val="superscript"/>
        </w:rPr>
        <w:t>a</w:t>
      </w:r>
      <w:proofErr w:type="gramEnd"/>
      <w:r>
        <w:rPr>
          <w:rStyle w:val="TablenotesChar0"/>
        </w:rPr>
        <w:t xml:space="preserve"> </w:t>
      </w:r>
      <w:r w:rsidRPr="005C3BDC">
        <w:rPr>
          <w:rStyle w:val="TablenotesChar0"/>
        </w:rPr>
        <w:t>reported</w:t>
      </w:r>
      <w:r>
        <w:rPr>
          <w:rStyle w:val="TablenotesChar0"/>
        </w:rPr>
        <w:t xml:space="preserve"> as </w:t>
      </w:r>
      <w:r w:rsidRPr="008A6F37">
        <w:rPr>
          <w:rStyle w:val="TablenotesChar0"/>
        </w:rPr>
        <w:t>median (range) unless otherwise stated</w:t>
      </w:r>
      <w:r w:rsidR="00F91E83">
        <w:rPr>
          <w:rStyle w:val="TablenotesChar0"/>
        </w:rPr>
        <w:t>.</w:t>
      </w:r>
    </w:p>
    <w:p w14:paraId="1347C9B8" w14:textId="77777777" w:rsidR="007F0BA3" w:rsidRPr="00010D2A" w:rsidRDefault="007F0BA3" w:rsidP="00010D2A">
      <w:pPr>
        <w:spacing w:before="500"/>
        <w:rPr>
          <w:b/>
          <w:i/>
        </w:rPr>
      </w:pPr>
      <w:r w:rsidRPr="00010D2A">
        <w:rPr>
          <w:b/>
          <w:i/>
        </w:rPr>
        <w:t>Population two</w:t>
      </w:r>
    </w:p>
    <w:p w14:paraId="44124F24" w14:textId="0B5975E5" w:rsidR="007A0EB7" w:rsidRDefault="00A131F4" w:rsidP="007F0BA3">
      <w:r>
        <w:t xml:space="preserve">Population </w:t>
      </w:r>
      <w:r w:rsidR="005D1473">
        <w:t>two</w:t>
      </w:r>
      <w:r w:rsidR="000D2ACA">
        <w:t>,</w:t>
      </w:r>
      <w:r>
        <w:t xml:space="preserve"> patients with oligome</w:t>
      </w:r>
      <w:r w:rsidR="00674C00">
        <w:t>tastatic disease in the lung</w:t>
      </w:r>
      <w:r w:rsidR="000D2ACA">
        <w:t>,</w:t>
      </w:r>
      <w:r w:rsidR="00674C00">
        <w:t xml:space="preserve"> are a heterogeneous group and there is debate in the literature regarding </w:t>
      </w:r>
      <w:r w:rsidR="00CD5836">
        <w:t>the criteria for selecting patients for potentially curative local therapies.</w:t>
      </w:r>
      <w:r w:rsidR="005D1473">
        <w:t xml:space="preserve"> Many studies have attempted to characterise a range of prognostic markers such as number and size of lesions, tumour histology, origin of the primary</w:t>
      </w:r>
      <w:r w:rsidR="000D2ACA">
        <w:t xml:space="preserve"> cancer</w:t>
      </w:r>
      <w:r w:rsidR="005D1473">
        <w:t xml:space="preserve">, disease free interval and others that might be used to select </w:t>
      </w:r>
      <w:r w:rsidR="000D2ACA">
        <w:t xml:space="preserve">patients </w:t>
      </w:r>
      <w:r w:rsidR="005D1473">
        <w:t>likely to benefit</w:t>
      </w:r>
      <w:r w:rsidR="00013CF6">
        <w:t xml:space="preserve"> </w:t>
      </w:r>
      <w:r w:rsidR="009B09E2">
        <w:fldChar w:fldCharType="begin">
          <w:fldData xml:space="preserve">PEVuZE5vdGU+PENpdGU+PEF1dGhvcj5DaG88L0F1dGhvcj48WWVhcj4yMDE1PC9ZZWFyPjxSZWNO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=
</w:fldData>
        </w:fldChar>
      </w:r>
      <w:r w:rsidR="00194054">
        <w:instrText xml:space="preserve"> ADDIN EN.CITE </w:instrText>
      </w:r>
      <w:r w:rsidR="00194054">
        <w:fldChar w:fldCharType="begin">
          <w:fldData xml:space="preserve">PEVuZE5vdGU+PENpdGU+PEF1dGhvcj5DaG88L0F1dGhvcj48WWVhcj4yMDE1PC9ZZWFyPjxSZWNO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=
</w:fldData>
        </w:fldChar>
      </w:r>
      <w:r w:rsidR="00194054">
        <w:instrText xml:space="preserve"> ADDIN EN.CITE.DATA </w:instrText>
      </w:r>
      <w:r w:rsidR="00194054">
        <w:fldChar w:fldCharType="end"/>
      </w:r>
      <w:r w:rsidR="009B09E2">
        <w:fldChar w:fldCharType="separate"/>
      </w:r>
      <w:r w:rsidR="00DF5EB1">
        <w:rPr>
          <w:noProof/>
        </w:rPr>
        <w:t>(</w:t>
      </w:r>
      <w:hyperlink w:anchor="_ENREF_31" w:tooltip="Cho, 2015 #128" w:history="1">
        <w:r w:rsidR="00320458">
          <w:rPr>
            <w:noProof/>
          </w:rPr>
          <w:t>Cho et al 2015</w:t>
        </w:r>
      </w:hyperlink>
      <w:r w:rsidR="00DF5EB1">
        <w:rPr>
          <w:noProof/>
        </w:rPr>
        <w:t xml:space="preserve">; </w:t>
      </w:r>
      <w:hyperlink w:anchor="_ENREF_105" w:tooltip="Meimarakis, 2014 #131" w:history="1">
        <w:r w:rsidR="00320458">
          <w:rPr>
            <w:noProof/>
          </w:rPr>
          <w:t>Meimarakis et al 2014</w:t>
        </w:r>
      </w:hyperlink>
      <w:r w:rsidR="00DF5EB1">
        <w:rPr>
          <w:noProof/>
        </w:rPr>
        <w:t xml:space="preserve">; </w:t>
      </w:r>
      <w:hyperlink w:anchor="_ENREF_133" w:tooltip="Sclafani, 2013 #132" w:history="1">
        <w:r w:rsidR="00320458">
          <w:rPr>
            <w:noProof/>
          </w:rPr>
          <w:t>Sclafani et al 2013</w:t>
        </w:r>
      </w:hyperlink>
      <w:r w:rsidR="00DF5EB1">
        <w:rPr>
          <w:noProof/>
        </w:rPr>
        <w:t xml:space="preserve">; </w:t>
      </w:r>
      <w:hyperlink w:anchor="_ENREF_162" w:tooltip="Veronesi, 2007 #129" w:history="1">
        <w:r w:rsidR="00320458">
          <w:rPr>
            <w:noProof/>
          </w:rPr>
          <w:t>Veronesi et al 2007</w:t>
        </w:r>
      </w:hyperlink>
      <w:r w:rsidR="00DF5EB1">
        <w:rPr>
          <w:noProof/>
        </w:rPr>
        <w:t xml:space="preserve">; </w:t>
      </w:r>
      <w:hyperlink w:anchor="_ENREF_177" w:tooltip="Younes, 2012 #130" w:history="1">
        <w:r w:rsidR="00320458">
          <w:rPr>
            <w:noProof/>
          </w:rPr>
          <w:t>Younes et al 2012</w:t>
        </w:r>
      </w:hyperlink>
      <w:r w:rsidR="00DF5EB1">
        <w:rPr>
          <w:noProof/>
        </w:rPr>
        <w:t>)</w:t>
      </w:r>
      <w:r w:rsidR="009B09E2">
        <w:fldChar w:fldCharType="end"/>
      </w:r>
      <w:r w:rsidR="00013CF6">
        <w:t>.</w:t>
      </w:r>
      <w:r w:rsidR="00CD5836">
        <w:t xml:space="preserve"> </w:t>
      </w:r>
      <w:r w:rsidR="005D1473">
        <w:t>M</w:t>
      </w:r>
      <w:r w:rsidR="00CD5836">
        <w:t>ore fundamentally</w:t>
      </w:r>
      <w:r w:rsidR="005D1473">
        <w:t>, some authors question</w:t>
      </w:r>
      <w:r w:rsidR="00CD5836">
        <w:t xml:space="preserve"> whether the current state of evidence for such interventions (non-comparative, case series or cohort studies) can distinguish between the therapeutic effects of the intervention in terms of extended survival and the</w:t>
      </w:r>
      <w:r w:rsidR="005D1473">
        <w:t xml:space="preserve"> confounding effect of selecting patients who are likely to survive longer (</w:t>
      </w:r>
      <w:r w:rsidR="00CD5836">
        <w:t>effect of ‘survivor bias’</w:t>
      </w:r>
      <w:r w:rsidR="00A75F64">
        <w:t xml:space="preserve">) </w:t>
      </w:r>
      <w:r w:rsidR="009B09E2">
        <w:fldChar w:fldCharType="begin">
          <w:fldData xml:space="preserve">PEVuZE5vdGU+PENpdGU+PEF1dGhvcj5UcmVhc3VyZTwvQXV0aG9yPjxZZWFyPjIwMTI8L1llYXI+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</w:fldData>
        </w:fldChar>
      </w:r>
      <w:r w:rsidR="00194054">
        <w:instrText xml:space="preserve"> ADDIN EN.CITE </w:instrText>
      </w:r>
      <w:r w:rsidR="00194054">
        <w:fldChar w:fldCharType="begin">
          <w:fldData xml:space="preserve">PEVuZE5vdGU+PENpdGU+PEF1dGhvcj5UcmVhc3VyZTwvQXV0aG9yPjxZZWFyPjIwMTI8L1llYXI+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</w:fldData>
        </w:fldChar>
      </w:r>
      <w:r w:rsidR="00194054">
        <w:instrText xml:space="preserve"> ADDIN EN.CITE.DATA </w:instrText>
      </w:r>
      <w:r w:rsidR="00194054">
        <w:fldChar w:fldCharType="end"/>
      </w:r>
      <w:r w:rsidR="009B09E2">
        <w:fldChar w:fldCharType="separate"/>
      </w:r>
      <w:r w:rsidR="009B09E2">
        <w:rPr>
          <w:noProof/>
        </w:rPr>
        <w:t>(</w:t>
      </w:r>
      <w:hyperlink w:anchor="_ENREF_53" w:tooltip="Fiorentino, 2010 #1992" w:history="1">
        <w:r w:rsidR="00320458">
          <w:rPr>
            <w:noProof/>
          </w:rPr>
          <w:t>Fiorentino et al 2010</w:t>
        </w:r>
      </w:hyperlink>
      <w:r w:rsidR="009B09E2">
        <w:rPr>
          <w:noProof/>
        </w:rPr>
        <w:t xml:space="preserve">; </w:t>
      </w:r>
      <w:hyperlink w:anchor="_ENREF_160" w:tooltip="Treasure, 2012 #133" w:history="1">
        <w:r w:rsidR="00320458">
          <w:rPr>
            <w:noProof/>
          </w:rPr>
          <w:t>Treasure et al 2012</w:t>
        </w:r>
      </w:hyperlink>
      <w:r w:rsidR="009B09E2">
        <w:rPr>
          <w:noProof/>
        </w:rPr>
        <w:t>)</w:t>
      </w:r>
      <w:r w:rsidR="009B09E2">
        <w:fldChar w:fldCharType="end"/>
      </w:r>
      <w:r w:rsidR="00EF16A6">
        <w:t xml:space="preserve">. </w:t>
      </w:r>
    </w:p>
    <w:p w14:paraId="0D72F3DE" w14:textId="5A5FA208" w:rsidR="00A131F4" w:rsidRDefault="005D1473" w:rsidP="009B09E2">
      <w:r>
        <w:lastRenderedPageBreak/>
        <w:t xml:space="preserve">Overall there is a general consensus within </w:t>
      </w:r>
      <w:r w:rsidR="0063625A">
        <w:t xml:space="preserve">the </w:t>
      </w:r>
      <w:r>
        <w:t xml:space="preserve">literature that oligometastatic disease involving the lung is characterised by </w:t>
      </w:r>
      <w:r w:rsidR="009B09E2">
        <w:t xml:space="preserve">lesions limited in number; </w:t>
      </w:r>
      <w:r>
        <w:t xml:space="preserve">cancer at the primary site that is eradicated, controlled or amenable to control; there is no extra thoracic metastases, or if there </w:t>
      </w:r>
      <w:r w:rsidR="009B09E2">
        <w:t>is</w:t>
      </w:r>
      <w:r>
        <w:t xml:space="preserve">, </w:t>
      </w:r>
      <w:r w:rsidR="009B09E2">
        <w:t>it is eradicated or controlled</w:t>
      </w:r>
      <w:r>
        <w:t>; and, that the patient is well enough to undergo the proposed treatment</w:t>
      </w:r>
      <w:r w:rsidR="00B52E58">
        <w:t xml:space="preserve"> </w:t>
      </w:r>
      <w:r w:rsidR="009B09E2">
        <w:fldChar w:fldCharType="begin"/>
      </w:r>
      <w:r w:rsidR="00194054">
        <w:instrText xml:space="preserve"> ADDIN EN.CITE &lt;EndNote&gt;&lt;Cite&gt;&lt;Author&gt;Treasure&lt;/Author&gt;&lt;Year&gt;2012&lt;/Year&gt;&lt;RecNum&gt;133&lt;/RecNum&gt;&lt;DisplayText&gt;(Treasure et al 2012)&lt;/DisplayText&gt;&lt;record&gt;&lt;rec-number&gt;133&lt;/rec-number&gt;&lt;foreign-keys&gt;&lt;key app="EN" db-id="05ssdaw2cf0zvye5xvo5z9ww0xdpfstrdtew" timestamp="1468558275"&gt;133&lt;/key&gt;&lt;/foreign-keys&gt;&lt;ref-type name="Journal Article"&gt;17&lt;/ref-type&gt;&lt;contributors&gt;&lt;authors&gt;&lt;author&gt;Treasure, T.&lt;/author&gt;&lt;author&gt;Fiorentino, F.&lt;/author&gt;&lt;author&gt;Scarci, M.&lt;/author&gt;&lt;author&gt;Moller, H.&lt;/author&gt;&lt;author&gt;Utley, M.&lt;/author&gt;&lt;/authors&gt;&lt;/contributors&gt;&lt;auth-address&gt;Clinical Operational Research Unit, Department of Mathematics, UCL (), London, UK.&lt;/auth-address&gt;&lt;titles&gt;&lt;title&gt;Pulmonary metastasectomy for sarcoma: a systematic review of reported outcomes in the context of Thames Cancer Registry data&lt;/title&gt;&lt;secondary-title&gt;BMJ Open&lt;/secondary-title&gt;&lt;alt-title&gt;BMJ open&lt;/alt-title&gt;&lt;/titles&gt;&lt;periodical&gt;&lt;full-title&gt;BMJ Open&lt;/full-title&gt;&lt;abbr-1&gt;BMJ open&lt;/abbr-1&gt;&lt;/periodical&gt;&lt;alt-periodical&gt;&lt;full-title&gt;BMJ Open&lt;/full-title&gt;&lt;abbr-1&gt;BMJ open&lt;/abbr-1&gt;&lt;/alt-periodical&gt;&lt;volume&gt;2&lt;/volume&gt;&lt;number&gt;5&lt;/number&gt;&lt;dates&gt;&lt;year&gt;2012&lt;/year&gt;&lt;/dates&gt;&lt;isbn&gt;2044-6055 (Electronic)&amp;#xD;2044-6055 (Linking)&lt;/isbn&gt;&lt;accession-num&gt;23048062&lt;/accession-num&gt;&lt;urls&gt;&lt;related-urls&gt;&lt;url&gt;http://www.ncbi.nlm.nih.gov/pubmed/23048062&lt;/url&gt;&lt;/related-urls&gt;&lt;/urls&gt;&lt;custom2&gt;3488730&lt;/custom2&gt;&lt;electronic-resource-num&gt;10.1136/bmjopen-2012-001736&lt;/electronic-resource-num&gt;&lt;/record&gt;&lt;/Cite&gt;&lt;/EndNote&gt;</w:instrText>
      </w:r>
      <w:r w:rsidR="009B09E2">
        <w:fldChar w:fldCharType="separate"/>
      </w:r>
      <w:r w:rsidR="009B09E2">
        <w:rPr>
          <w:noProof/>
        </w:rPr>
        <w:t>(</w:t>
      </w:r>
      <w:hyperlink w:anchor="_ENREF_160" w:tooltip="Treasure, 2012 #133" w:history="1">
        <w:r w:rsidR="00320458">
          <w:rPr>
            <w:noProof/>
          </w:rPr>
          <w:t>Treasure et al 2012</w:t>
        </w:r>
      </w:hyperlink>
      <w:r w:rsidR="009B09E2">
        <w:rPr>
          <w:noProof/>
        </w:rPr>
        <w:t>)</w:t>
      </w:r>
      <w:r w:rsidR="009B09E2">
        <w:fldChar w:fldCharType="end"/>
      </w:r>
      <w:r w:rsidR="00B52E58">
        <w:t>.</w:t>
      </w:r>
      <w:r>
        <w:t xml:space="preserve"> </w:t>
      </w:r>
      <w:r w:rsidR="00A84B42">
        <w:t>That is,</w:t>
      </w:r>
      <w:r>
        <w:t xml:space="preserve"> this patient group is characterised by a certain p</w:t>
      </w:r>
      <w:r w:rsidR="009B09E2">
        <w:t>rofile of disease presentation</w:t>
      </w:r>
      <w:r>
        <w:t xml:space="preserve">. This means that identifying the number of patients potentially eligible for such therapy is very challenging as cancer registries do not routinely collect detailed information on metastases. In this respect the </w:t>
      </w:r>
      <w:r w:rsidR="007A0EB7">
        <w:t xml:space="preserve">heterogeneity amongst the included studies for MTA reflects this population in a broad sense. However, the volume of published literature for other interventions within this population </w:t>
      </w:r>
      <w:r w:rsidR="007A0EB7">
        <w:rPr>
          <w:i/>
        </w:rPr>
        <w:t>and</w:t>
      </w:r>
      <w:r w:rsidR="007A0EB7">
        <w:t xml:space="preserve"> clinical input suggests that</w:t>
      </w:r>
      <w:r w:rsidR="0063625A">
        <w:t>,</w:t>
      </w:r>
      <w:r w:rsidR="007A0EB7">
        <w:t xml:space="preserve"> in practice</w:t>
      </w:r>
      <w:r w:rsidR="0063625A">
        <w:t>,</w:t>
      </w:r>
      <w:r w:rsidR="007A0EB7">
        <w:t xml:space="preserve"> metastases to the lung from colorectal cancers might comprise the majority of patients eligible for ‘curative’ local therapy. Within the MTA studies there </w:t>
      </w:r>
      <w:r w:rsidR="009B09E2">
        <w:t>were</w:t>
      </w:r>
      <w:r w:rsidR="007A0EB7">
        <w:t xml:space="preserve"> a total of 40 patients with colorectal carcinoma</w:t>
      </w:r>
      <w:r w:rsidR="00A84B42">
        <w:t xml:space="preserve"> as the primary</w:t>
      </w:r>
      <w:r w:rsidR="007A0EB7">
        <w:t xml:space="preserve"> treated</w:t>
      </w:r>
      <w:r w:rsidR="00A84B42">
        <w:t xml:space="preserve"> disease</w:t>
      </w:r>
      <w:r w:rsidR="007A0EB7">
        <w:t xml:space="preserve">. </w:t>
      </w:r>
    </w:p>
    <w:p w14:paraId="0E0252AF" w14:textId="77777777" w:rsidR="000066D3" w:rsidRDefault="000066D3" w:rsidP="000066D3">
      <w:pPr>
        <w:pStyle w:val="Caption"/>
        <w:keepNext/>
      </w:pPr>
      <w:bookmarkStart w:id="244" w:name="_Ref457400956"/>
      <w:bookmarkStart w:id="245" w:name="_Toc460514688"/>
      <w:r>
        <w:t xml:space="preserve">Table </w:t>
      </w:r>
      <w:fldSimple w:instr=" SEQ Table \* ARABIC ">
        <w:r w:rsidR="00D170A5">
          <w:rPr>
            <w:noProof/>
          </w:rPr>
          <w:t>30</w:t>
        </w:r>
      </w:fldSimple>
      <w:bookmarkEnd w:id="244"/>
      <w:r>
        <w:tab/>
      </w:r>
      <w:r w:rsidR="00BA08C2">
        <w:rPr>
          <w:snapToGrid w:val="0"/>
          <w:lang w:eastAsia="en-US"/>
        </w:rPr>
        <w:t>Characteristics</w:t>
      </w:r>
      <w:r w:rsidR="00BA08C2" w:rsidRPr="001B7083">
        <w:rPr>
          <w:snapToGrid w:val="0"/>
          <w:lang w:eastAsia="en-US"/>
        </w:rPr>
        <w:t xml:space="preserve"> </w:t>
      </w:r>
      <w:r w:rsidRPr="00F027A9">
        <w:t xml:space="preserve">of the included evidence for MTA in population </w:t>
      </w:r>
      <w:r>
        <w:t>two</w:t>
      </w:r>
      <w:bookmarkEnd w:id="245"/>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224"/>
        <w:gridCol w:w="973"/>
        <w:gridCol w:w="1233"/>
        <w:gridCol w:w="980"/>
        <w:gridCol w:w="1763"/>
        <w:gridCol w:w="1854"/>
        <w:gridCol w:w="1028"/>
      </w:tblGrid>
      <w:tr w:rsidR="000066D3" w:rsidRPr="00183E4D" w14:paraId="18299F63" w14:textId="77777777" w:rsidTr="00CD6058">
        <w:tc>
          <w:tcPr>
            <w:tcW w:w="1224" w:type="dxa"/>
            <w:shd w:val="clear" w:color="auto" w:fill="D9D9D9" w:themeFill="background1" w:themeFillShade="D9"/>
            <w:vAlign w:val="bottom"/>
          </w:tcPr>
          <w:p w14:paraId="0A2ABE8C" w14:textId="77777777" w:rsidR="000066D3" w:rsidRPr="00183E4D" w:rsidRDefault="000066D3" w:rsidP="000F6E66">
            <w:pPr>
              <w:pStyle w:val="TableHeading"/>
              <w:spacing w:before="60" w:after="60"/>
              <w:jc w:val="left"/>
              <w:rPr>
                <w:snapToGrid w:val="0"/>
                <w:lang w:eastAsia="en-US"/>
              </w:rPr>
            </w:pPr>
            <w:r w:rsidRPr="00183E4D">
              <w:rPr>
                <w:snapToGrid w:val="0"/>
                <w:lang w:eastAsia="en-US"/>
              </w:rPr>
              <w:t>Trial/Study</w:t>
            </w:r>
          </w:p>
        </w:tc>
        <w:tc>
          <w:tcPr>
            <w:tcW w:w="973" w:type="dxa"/>
            <w:shd w:val="clear" w:color="auto" w:fill="D9D9D9" w:themeFill="background1" w:themeFillShade="D9"/>
            <w:vAlign w:val="bottom"/>
          </w:tcPr>
          <w:p w14:paraId="24DCB277" w14:textId="77777777" w:rsidR="000066D3" w:rsidRPr="00183E4D" w:rsidRDefault="000066D3" w:rsidP="00FF4B36">
            <w:pPr>
              <w:pStyle w:val="TableHeading"/>
              <w:spacing w:before="60" w:after="60"/>
              <w:jc w:val="left"/>
              <w:rPr>
                <w:snapToGrid w:val="0"/>
                <w:lang w:eastAsia="en-US"/>
              </w:rPr>
            </w:pPr>
            <w:r w:rsidRPr="00183E4D">
              <w:rPr>
                <w:snapToGrid w:val="0"/>
                <w:lang w:eastAsia="en-US"/>
              </w:rPr>
              <w:t>N</w:t>
            </w:r>
            <w:r>
              <w:rPr>
                <w:snapToGrid w:val="0"/>
                <w:lang w:eastAsia="en-US"/>
              </w:rPr>
              <w:t xml:space="preserve"> (lesions)</w:t>
            </w:r>
          </w:p>
        </w:tc>
        <w:tc>
          <w:tcPr>
            <w:tcW w:w="1233" w:type="dxa"/>
            <w:shd w:val="clear" w:color="auto" w:fill="D9D9D9" w:themeFill="background1" w:themeFillShade="D9"/>
            <w:vAlign w:val="bottom"/>
          </w:tcPr>
          <w:p w14:paraId="41B73C26" w14:textId="28F92933" w:rsidR="000066D3" w:rsidRPr="008A6F37" w:rsidRDefault="000066D3" w:rsidP="00FF4B36">
            <w:pPr>
              <w:pStyle w:val="TableHeading"/>
              <w:spacing w:before="60" w:after="60"/>
              <w:jc w:val="left"/>
              <w:rPr>
                <w:snapToGrid w:val="0"/>
                <w:vertAlign w:val="superscript"/>
                <w:lang w:eastAsia="en-US"/>
              </w:rPr>
            </w:pPr>
            <w:r w:rsidRPr="00183E4D">
              <w:rPr>
                <w:snapToGrid w:val="0"/>
                <w:lang w:eastAsia="en-US"/>
              </w:rPr>
              <w:t>Design</w:t>
            </w:r>
            <w:r w:rsidR="0032263C">
              <w:rPr>
                <w:snapToGrid w:val="0"/>
                <w:lang w:eastAsia="en-US"/>
              </w:rPr>
              <w:t>;</w:t>
            </w:r>
            <w:r w:rsidRPr="00183E4D">
              <w:rPr>
                <w:snapToGrid w:val="0"/>
                <w:lang w:eastAsia="en-US"/>
              </w:rPr>
              <w:t xml:space="preserve"> </w:t>
            </w:r>
            <w:r w:rsidR="0032263C">
              <w:rPr>
                <w:snapToGrid w:val="0"/>
                <w:lang w:eastAsia="en-US"/>
              </w:rPr>
              <w:t>D</w:t>
            </w:r>
            <w:r w:rsidRPr="00183E4D">
              <w:rPr>
                <w:snapToGrid w:val="0"/>
                <w:lang w:eastAsia="en-US"/>
              </w:rPr>
              <w:t>uration</w:t>
            </w:r>
            <w:r w:rsidR="00834367">
              <w:rPr>
                <w:snapToGrid w:val="0"/>
                <w:lang w:eastAsia="en-US"/>
              </w:rPr>
              <w:t xml:space="preserve"> </w:t>
            </w:r>
            <w:r>
              <w:rPr>
                <w:snapToGrid w:val="0"/>
                <w:vertAlign w:val="superscript"/>
                <w:lang w:eastAsia="en-US"/>
              </w:rPr>
              <w:t>a</w:t>
            </w:r>
          </w:p>
        </w:tc>
        <w:tc>
          <w:tcPr>
            <w:tcW w:w="980" w:type="dxa"/>
            <w:shd w:val="clear" w:color="auto" w:fill="D9D9D9" w:themeFill="background1" w:themeFillShade="D9"/>
            <w:vAlign w:val="bottom"/>
          </w:tcPr>
          <w:p w14:paraId="2D8B4B22" w14:textId="77777777" w:rsidR="00CF5FDB" w:rsidRDefault="000066D3" w:rsidP="00FF4B36">
            <w:pPr>
              <w:pStyle w:val="TableHeading"/>
              <w:spacing w:before="60" w:after="60"/>
              <w:jc w:val="left"/>
              <w:rPr>
                <w:snapToGrid w:val="0"/>
                <w:lang w:eastAsia="en-US"/>
              </w:rPr>
            </w:pPr>
            <w:r w:rsidRPr="00183E4D">
              <w:rPr>
                <w:snapToGrid w:val="0"/>
                <w:lang w:eastAsia="en-US"/>
              </w:rPr>
              <w:t>Risk of</w:t>
            </w:r>
          </w:p>
          <w:p w14:paraId="53CE1C36" w14:textId="77777777" w:rsidR="000066D3" w:rsidRPr="00183E4D" w:rsidRDefault="000066D3" w:rsidP="00FF4B36">
            <w:pPr>
              <w:pStyle w:val="TableHeading"/>
              <w:spacing w:before="60" w:after="60"/>
              <w:jc w:val="left"/>
              <w:rPr>
                <w:snapToGrid w:val="0"/>
                <w:lang w:eastAsia="en-US"/>
              </w:rPr>
            </w:pPr>
            <w:r w:rsidRPr="00183E4D">
              <w:rPr>
                <w:snapToGrid w:val="0"/>
                <w:lang w:eastAsia="en-US"/>
              </w:rPr>
              <w:t>bias</w:t>
            </w:r>
          </w:p>
        </w:tc>
        <w:tc>
          <w:tcPr>
            <w:tcW w:w="1763" w:type="dxa"/>
            <w:shd w:val="clear" w:color="auto" w:fill="D9D9D9" w:themeFill="background1" w:themeFillShade="D9"/>
            <w:vAlign w:val="bottom"/>
          </w:tcPr>
          <w:p w14:paraId="251D1AB0" w14:textId="77777777" w:rsidR="000066D3" w:rsidRPr="00183E4D" w:rsidRDefault="000066D3" w:rsidP="00FF4B36">
            <w:pPr>
              <w:pStyle w:val="TableHeading"/>
              <w:spacing w:before="60" w:after="60"/>
              <w:jc w:val="left"/>
              <w:rPr>
                <w:snapToGrid w:val="0"/>
                <w:lang w:eastAsia="en-US"/>
              </w:rPr>
            </w:pPr>
            <w:r w:rsidRPr="00183E4D">
              <w:rPr>
                <w:snapToGrid w:val="0"/>
                <w:lang w:eastAsia="en-US"/>
              </w:rPr>
              <w:t>Patient population</w:t>
            </w:r>
          </w:p>
        </w:tc>
        <w:tc>
          <w:tcPr>
            <w:tcW w:w="1854" w:type="dxa"/>
            <w:shd w:val="clear" w:color="auto" w:fill="D9D9D9" w:themeFill="background1" w:themeFillShade="D9"/>
            <w:vAlign w:val="bottom"/>
          </w:tcPr>
          <w:p w14:paraId="689587F5" w14:textId="77777777" w:rsidR="000066D3" w:rsidRPr="00183E4D" w:rsidRDefault="000066D3" w:rsidP="00FF4B36">
            <w:pPr>
              <w:pStyle w:val="TableHeading"/>
              <w:spacing w:before="60" w:after="60"/>
              <w:jc w:val="left"/>
              <w:rPr>
                <w:snapToGrid w:val="0"/>
                <w:lang w:eastAsia="en-US"/>
              </w:rPr>
            </w:pPr>
            <w:r w:rsidRPr="00183E4D">
              <w:rPr>
                <w:snapToGrid w:val="0"/>
                <w:lang w:eastAsia="en-US"/>
              </w:rPr>
              <w:t>Key outcome(s)</w:t>
            </w:r>
          </w:p>
        </w:tc>
        <w:tc>
          <w:tcPr>
            <w:tcW w:w="1028" w:type="dxa"/>
            <w:shd w:val="clear" w:color="auto" w:fill="D9D9D9" w:themeFill="background1" w:themeFillShade="D9"/>
            <w:vAlign w:val="bottom"/>
          </w:tcPr>
          <w:p w14:paraId="4B8DC0C8" w14:textId="77777777" w:rsidR="000066D3" w:rsidRPr="00183E4D" w:rsidRDefault="000066D3" w:rsidP="00FF4B36">
            <w:pPr>
              <w:pStyle w:val="TableHeading"/>
              <w:spacing w:before="60" w:after="60"/>
              <w:jc w:val="left"/>
              <w:rPr>
                <w:snapToGrid w:val="0"/>
                <w:lang w:eastAsia="en-US"/>
              </w:rPr>
            </w:pPr>
            <w:r w:rsidRPr="00183E4D">
              <w:rPr>
                <w:snapToGrid w:val="0"/>
                <w:lang w:eastAsia="en-US"/>
              </w:rPr>
              <w:t>Result used in economic model</w:t>
            </w:r>
          </w:p>
        </w:tc>
      </w:tr>
      <w:tr w:rsidR="000066D3" w:rsidRPr="00183E4D" w14:paraId="396146DD" w14:textId="77777777" w:rsidTr="00035818">
        <w:tc>
          <w:tcPr>
            <w:tcW w:w="1224" w:type="dxa"/>
            <w:shd w:val="clear" w:color="auto" w:fill="auto"/>
          </w:tcPr>
          <w:p w14:paraId="0FD44D91" w14:textId="77777777" w:rsidR="000066D3" w:rsidRPr="008A6F37" w:rsidRDefault="000066D3" w:rsidP="00552D60">
            <w:pPr>
              <w:pStyle w:val="Tabletext1"/>
              <w:rPr>
                <w:snapToGrid w:val="0"/>
              </w:rPr>
            </w:pPr>
            <w:r>
              <w:rPr>
                <w:snapToGrid w:val="0"/>
              </w:rPr>
              <w:t>Qi et al (2015)</w:t>
            </w:r>
          </w:p>
        </w:tc>
        <w:tc>
          <w:tcPr>
            <w:tcW w:w="973" w:type="dxa"/>
            <w:shd w:val="clear" w:color="auto" w:fill="auto"/>
          </w:tcPr>
          <w:p w14:paraId="5EB07AC8" w14:textId="77777777" w:rsidR="000066D3" w:rsidRPr="008A6F37" w:rsidRDefault="000066D3" w:rsidP="00FF4B36">
            <w:pPr>
              <w:pStyle w:val="Tabletext1"/>
              <w:rPr>
                <w:snapToGrid w:val="0"/>
              </w:rPr>
            </w:pPr>
            <w:r>
              <w:rPr>
                <w:snapToGrid w:val="0"/>
              </w:rPr>
              <w:t>17 (29)</w:t>
            </w:r>
          </w:p>
        </w:tc>
        <w:tc>
          <w:tcPr>
            <w:tcW w:w="1233" w:type="dxa"/>
            <w:shd w:val="clear" w:color="auto" w:fill="auto"/>
          </w:tcPr>
          <w:p w14:paraId="336332F5" w14:textId="77777777" w:rsidR="000066D3" w:rsidRPr="008A6F37" w:rsidRDefault="000066D3" w:rsidP="00FF4B36">
            <w:pPr>
              <w:pStyle w:val="Tabletext1"/>
              <w:rPr>
                <w:snapToGrid w:val="0"/>
              </w:rPr>
            </w:pPr>
            <w:r>
              <w:rPr>
                <w:snapToGrid w:val="0"/>
              </w:rPr>
              <w:t>Retrospective CS,</w:t>
            </w:r>
          </w:p>
          <w:p w14:paraId="7FA6B4D8" w14:textId="4C4092C2" w:rsidR="000066D3" w:rsidRPr="008A6F37" w:rsidRDefault="00035818" w:rsidP="00FF4B36">
            <w:pPr>
              <w:pStyle w:val="Tabletext1"/>
              <w:rPr>
                <w:snapToGrid w:val="0"/>
              </w:rPr>
            </w:pPr>
            <w:r>
              <w:rPr>
                <w:snapToGrid w:val="0"/>
              </w:rPr>
              <w:t xml:space="preserve">Median </w:t>
            </w:r>
            <w:r w:rsidR="000066D3" w:rsidRPr="005C3BDC">
              <w:rPr>
                <w:snapToGrid w:val="0"/>
              </w:rPr>
              <w:t>14 (3</w:t>
            </w:r>
            <w:r w:rsidR="00D35E9C">
              <w:rPr>
                <w:snapToGrid w:val="0"/>
              </w:rPr>
              <w:t>–</w:t>
            </w:r>
            <w:r w:rsidR="000066D3" w:rsidRPr="005C3BDC">
              <w:rPr>
                <w:snapToGrid w:val="0"/>
              </w:rPr>
              <w:t>24) months</w:t>
            </w:r>
          </w:p>
        </w:tc>
        <w:tc>
          <w:tcPr>
            <w:tcW w:w="980" w:type="dxa"/>
            <w:shd w:val="clear" w:color="auto" w:fill="auto"/>
          </w:tcPr>
          <w:p w14:paraId="3974CC7D" w14:textId="77777777" w:rsidR="000066D3" w:rsidRPr="008A6F37" w:rsidRDefault="000066D3" w:rsidP="00FF4B36">
            <w:pPr>
              <w:pStyle w:val="Tabletext1"/>
              <w:rPr>
                <w:snapToGrid w:val="0"/>
              </w:rPr>
            </w:pPr>
            <w:r>
              <w:rPr>
                <w:snapToGrid w:val="0"/>
              </w:rPr>
              <w:t>High</w:t>
            </w:r>
          </w:p>
        </w:tc>
        <w:tc>
          <w:tcPr>
            <w:tcW w:w="1763" w:type="dxa"/>
            <w:shd w:val="clear" w:color="auto" w:fill="auto"/>
          </w:tcPr>
          <w:p w14:paraId="50D5A15D" w14:textId="77777777" w:rsidR="000066D3" w:rsidRPr="006711AE" w:rsidRDefault="009D1AA6" w:rsidP="00FF4B36">
            <w:pPr>
              <w:pStyle w:val="Tabletext1"/>
            </w:pPr>
            <w:r>
              <w:t>Lung metastases from nasopharyngeal carcinoma, primary tumour controlled</w:t>
            </w:r>
          </w:p>
        </w:tc>
        <w:tc>
          <w:tcPr>
            <w:tcW w:w="1854" w:type="dxa"/>
            <w:shd w:val="clear" w:color="auto" w:fill="auto"/>
          </w:tcPr>
          <w:p w14:paraId="2E9C5157" w14:textId="77777777" w:rsidR="000066D3" w:rsidRPr="00723C9B" w:rsidRDefault="000066D3" w:rsidP="00FF4B36">
            <w:pPr>
              <w:pStyle w:val="Tabletext1"/>
            </w:pPr>
            <w:r w:rsidRPr="005C3BDC">
              <w:t xml:space="preserve">Treatment response,  local control, new recurrence, </w:t>
            </w:r>
            <w:r w:rsidR="00EA28D0">
              <w:t>adverse events</w:t>
            </w:r>
          </w:p>
        </w:tc>
        <w:tc>
          <w:tcPr>
            <w:tcW w:w="1028" w:type="dxa"/>
            <w:shd w:val="clear" w:color="auto" w:fill="auto"/>
          </w:tcPr>
          <w:p w14:paraId="3DE9474E" w14:textId="77777777" w:rsidR="000066D3" w:rsidRPr="008A6F37" w:rsidRDefault="000066D3" w:rsidP="00FF4B36">
            <w:pPr>
              <w:pStyle w:val="Tabletext1"/>
              <w:rPr>
                <w:snapToGrid w:val="0"/>
              </w:rPr>
            </w:pPr>
            <w:r w:rsidRPr="008A6F37">
              <w:rPr>
                <w:snapToGrid w:val="0"/>
              </w:rPr>
              <w:t>Not used</w:t>
            </w:r>
          </w:p>
        </w:tc>
      </w:tr>
      <w:tr w:rsidR="000066D3" w:rsidRPr="00183E4D" w14:paraId="4BE914D8" w14:textId="77777777" w:rsidTr="00035818">
        <w:tc>
          <w:tcPr>
            <w:tcW w:w="1224" w:type="dxa"/>
            <w:shd w:val="clear" w:color="auto" w:fill="auto"/>
          </w:tcPr>
          <w:p w14:paraId="63E869B8" w14:textId="77777777" w:rsidR="000066D3" w:rsidRPr="008A6F37" w:rsidRDefault="000066D3" w:rsidP="00552D60">
            <w:pPr>
              <w:pStyle w:val="Tabletext1"/>
              <w:rPr>
                <w:snapToGrid w:val="0"/>
              </w:rPr>
            </w:pPr>
            <w:r>
              <w:rPr>
                <w:snapToGrid w:val="0"/>
              </w:rPr>
              <w:t>Vogl et al (2015)</w:t>
            </w:r>
          </w:p>
        </w:tc>
        <w:tc>
          <w:tcPr>
            <w:tcW w:w="973" w:type="dxa"/>
            <w:shd w:val="clear" w:color="auto" w:fill="auto"/>
          </w:tcPr>
          <w:p w14:paraId="662CA516" w14:textId="77777777" w:rsidR="000066D3" w:rsidRPr="008A6F37" w:rsidRDefault="000066D3" w:rsidP="00FF4B36">
            <w:pPr>
              <w:pStyle w:val="Tabletext1"/>
              <w:rPr>
                <w:snapToGrid w:val="0"/>
              </w:rPr>
            </w:pPr>
            <w:r>
              <w:rPr>
                <w:snapToGrid w:val="0"/>
              </w:rPr>
              <w:t>80 (130)</w:t>
            </w:r>
          </w:p>
        </w:tc>
        <w:tc>
          <w:tcPr>
            <w:tcW w:w="1233" w:type="dxa"/>
            <w:tcBorders>
              <w:bottom w:val="single" w:sz="4" w:space="0" w:color="auto"/>
            </w:tcBorders>
            <w:shd w:val="clear" w:color="auto" w:fill="auto"/>
          </w:tcPr>
          <w:p w14:paraId="59C636C0" w14:textId="77777777" w:rsidR="000066D3" w:rsidRPr="008A6F37" w:rsidRDefault="000066D3" w:rsidP="00FF4B36">
            <w:pPr>
              <w:pStyle w:val="Tabletext1"/>
              <w:rPr>
                <w:snapToGrid w:val="0"/>
              </w:rPr>
            </w:pPr>
            <w:r>
              <w:rPr>
                <w:snapToGrid w:val="0"/>
              </w:rPr>
              <w:t>Retrospective CS,</w:t>
            </w:r>
          </w:p>
          <w:p w14:paraId="242F43F6" w14:textId="2B0C10C5" w:rsidR="000066D3" w:rsidRPr="008A6F37" w:rsidRDefault="00035818" w:rsidP="00FF4B36">
            <w:pPr>
              <w:pStyle w:val="Tabletext1"/>
              <w:rPr>
                <w:snapToGrid w:val="0"/>
              </w:rPr>
            </w:pPr>
            <w:r>
              <w:rPr>
                <w:snapToGrid w:val="0"/>
              </w:rPr>
              <w:t xml:space="preserve">Median </w:t>
            </w:r>
            <w:r w:rsidR="000066D3" w:rsidRPr="005C3BDC">
              <w:rPr>
                <w:snapToGrid w:val="0"/>
              </w:rPr>
              <w:t>9 (6</w:t>
            </w:r>
            <w:r w:rsidR="00D35E9C">
              <w:rPr>
                <w:snapToGrid w:val="0"/>
              </w:rPr>
              <w:t>–</w:t>
            </w:r>
            <w:r w:rsidR="000066D3" w:rsidRPr="005C3BDC">
              <w:rPr>
                <w:snapToGrid w:val="0"/>
              </w:rPr>
              <w:t>24) months</w:t>
            </w:r>
          </w:p>
        </w:tc>
        <w:tc>
          <w:tcPr>
            <w:tcW w:w="980" w:type="dxa"/>
            <w:tcBorders>
              <w:bottom w:val="single" w:sz="4" w:space="0" w:color="auto"/>
            </w:tcBorders>
            <w:shd w:val="clear" w:color="auto" w:fill="auto"/>
          </w:tcPr>
          <w:p w14:paraId="444EF089" w14:textId="77777777" w:rsidR="000066D3" w:rsidRPr="008A6F37" w:rsidRDefault="000066D3" w:rsidP="00FF4B36">
            <w:pPr>
              <w:pStyle w:val="Tabletext1"/>
              <w:rPr>
                <w:snapToGrid w:val="0"/>
              </w:rPr>
            </w:pPr>
            <w:r>
              <w:rPr>
                <w:snapToGrid w:val="0"/>
              </w:rPr>
              <w:t>High</w:t>
            </w:r>
          </w:p>
        </w:tc>
        <w:tc>
          <w:tcPr>
            <w:tcW w:w="1763" w:type="dxa"/>
            <w:tcBorders>
              <w:bottom w:val="single" w:sz="4" w:space="0" w:color="auto"/>
            </w:tcBorders>
            <w:shd w:val="clear" w:color="auto" w:fill="auto"/>
          </w:tcPr>
          <w:p w14:paraId="236E8C24" w14:textId="77777777" w:rsidR="000066D3" w:rsidRPr="006711AE" w:rsidRDefault="009D1AA6" w:rsidP="00FF4B36">
            <w:pPr>
              <w:pStyle w:val="Tabletext1"/>
            </w:pPr>
            <w:r>
              <w:t>S</w:t>
            </w:r>
            <w:r w:rsidR="000066D3" w:rsidRPr="005C3BDC">
              <w:t>urgically unresectab</w:t>
            </w:r>
            <w:r>
              <w:t>le lung metastases or recurrence, primary tumour controlled</w:t>
            </w:r>
            <w:r w:rsidR="007C7D1A" w:rsidRPr="007C7D1A">
              <w:rPr>
                <w:vertAlign w:val="superscript"/>
              </w:rPr>
              <w:t>b</w:t>
            </w:r>
          </w:p>
        </w:tc>
        <w:tc>
          <w:tcPr>
            <w:tcW w:w="1854" w:type="dxa"/>
            <w:tcBorders>
              <w:bottom w:val="single" w:sz="4" w:space="0" w:color="auto"/>
            </w:tcBorders>
            <w:shd w:val="clear" w:color="auto" w:fill="auto"/>
          </w:tcPr>
          <w:p w14:paraId="630308C8" w14:textId="77777777" w:rsidR="000066D3" w:rsidRPr="00723C9B" w:rsidRDefault="000066D3" w:rsidP="00FF4B36">
            <w:pPr>
              <w:pStyle w:val="Tabletext1"/>
            </w:pPr>
            <w:r>
              <w:t>Local tumour control,  s</w:t>
            </w:r>
            <w:r w:rsidRPr="005C3BDC">
              <w:t xml:space="preserve">urvival rate, </w:t>
            </w:r>
            <w:r w:rsidR="00EA28D0">
              <w:t>adverse events</w:t>
            </w:r>
            <w:r w:rsidRPr="005C3BDC">
              <w:t>, re</w:t>
            </w:r>
            <w:r>
              <w:t>-</w:t>
            </w:r>
            <w:r w:rsidRPr="005C3BDC">
              <w:t>ablation,</w:t>
            </w:r>
          </w:p>
        </w:tc>
        <w:tc>
          <w:tcPr>
            <w:tcW w:w="1028" w:type="dxa"/>
            <w:shd w:val="clear" w:color="auto" w:fill="auto"/>
          </w:tcPr>
          <w:p w14:paraId="0674DA58" w14:textId="77777777" w:rsidR="000066D3" w:rsidRPr="008A6F37" w:rsidRDefault="000066D3" w:rsidP="00FF4B36">
            <w:pPr>
              <w:pStyle w:val="Tabletext1"/>
              <w:rPr>
                <w:snapToGrid w:val="0"/>
              </w:rPr>
            </w:pPr>
            <w:r w:rsidRPr="008A6F37">
              <w:rPr>
                <w:snapToGrid w:val="0"/>
              </w:rPr>
              <w:t>Not used</w:t>
            </w:r>
          </w:p>
        </w:tc>
      </w:tr>
      <w:tr w:rsidR="00EA28D0" w:rsidRPr="00183E4D" w14:paraId="68311989" w14:textId="77777777" w:rsidTr="00035818">
        <w:tc>
          <w:tcPr>
            <w:tcW w:w="1224" w:type="dxa"/>
            <w:shd w:val="clear" w:color="auto" w:fill="auto"/>
          </w:tcPr>
          <w:p w14:paraId="47D1891F" w14:textId="77777777" w:rsidR="00EA28D0" w:rsidRDefault="00EA28D0" w:rsidP="00552D60">
            <w:pPr>
              <w:pStyle w:val="Tabletext1"/>
              <w:rPr>
                <w:snapToGrid w:val="0"/>
              </w:rPr>
            </w:pPr>
            <w:r>
              <w:rPr>
                <w:snapToGrid w:val="0"/>
              </w:rPr>
              <w:t>Meta-analysis/pooling</w:t>
            </w:r>
          </w:p>
        </w:tc>
        <w:tc>
          <w:tcPr>
            <w:tcW w:w="973" w:type="dxa"/>
            <w:shd w:val="clear" w:color="auto" w:fill="auto"/>
          </w:tcPr>
          <w:p w14:paraId="4C863E42" w14:textId="77777777" w:rsidR="00EA28D0" w:rsidRDefault="00EA28D0" w:rsidP="00FF4B36">
            <w:pPr>
              <w:pStyle w:val="Tabletext1"/>
              <w:rPr>
                <w:snapToGrid w:val="0"/>
              </w:rPr>
            </w:pPr>
            <w:r>
              <w:rPr>
                <w:snapToGrid w:val="0"/>
              </w:rPr>
              <w:t>97</w:t>
            </w:r>
          </w:p>
          <w:p w14:paraId="550F3534" w14:textId="77777777" w:rsidR="00EA28D0" w:rsidRDefault="00EA28D0" w:rsidP="00FF4B36">
            <w:pPr>
              <w:pStyle w:val="Tabletext1"/>
              <w:rPr>
                <w:snapToGrid w:val="0"/>
              </w:rPr>
            </w:pPr>
            <w:r>
              <w:rPr>
                <w:snapToGrid w:val="0"/>
              </w:rPr>
              <w:t>2 studies</w:t>
            </w:r>
          </w:p>
        </w:tc>
        <w:tc>
          <w:tcPr>
            <w:tcW w:w="1233" w:type="dxa"/>
            <w:tcBorders>
              <w:right w:val="nil"/>
            </w:tcBorders>
            <w:shd w:val="clear" w:color="auto" w:fill="auto"/>
          </w:tcPr>
          <w:p w14:paraId="4378F3D1" w14:textId="77777777" w:rsidR="00EA28D0" w:rsidRDefault="00EA28D0" w:rsidP="00FF4B36">
            <w:pPr>
              <w:pStyle w:val="Tabletext1"/>
              <w:rPr>
                <w:snapToGrid w:val="0"/>
              </w:rPr>
            </w:pPr>
          </w:p>
        </w:tc>
        <w:tc>
          <w:tcPr>
            <w:tcW w:w="980" w:type="dxa"/>
            <w:tcBorders>
              <w:left w:val="nil"/>
              <w:right w:val="nil"/>
            </w:tcBorders>
            <w:shd w:val="clear" w:color="auto" w:fill="auto"/>
          </w:tcPr>
          <w:p w14:paraId="122E704C" w14:textId="77777777" w:rsidR="00EA28D0" w:rsidRDefault="00EA28D0" w:rsidP="00FF4B36">
            <w:pPr>
              <w:pStyle w:val="Tabletext1"/>
              <w:rPr>
                <w:snapToGrid w:val="0"/>
              </w:rPr>
            </w:pPr>
          </w:p>
        </w:tc>
        <w:tc>
          <w:tcPr>
            <w:tcW w:w="1763" w:type="dxa"/>
            <w:tcBorders>
              <w:left w:val="nil"/>
              <w:right w:val="nil"/>
            </w:tcBorders>
            <w:shd w:val="clear" w:color="auto" w:fill="auto"/>
          </w:tcPr>
          <w:p w14:paraId="1A96BF25" w14:textId="77777777" w:rsidR="00EA28D0" w:rsidRDefault="00EA28D0" w:rsidP="00FF4B36">
            <w:pPr>
              <w:pStyle w:val="Tabletext1"/>
            </w:pPr>
            <w:r w:rsidRPr="00EA28D0">
              <w:t>Not applicable, it is not appropriate to undertake pooling for two studies</w:t>
            </w:r>
          </w:p>
        </w:tc>
        <w:tc>
          <w:tcPr>
            <w:tcW w:w="1854" w:type="dxa"/>
            <w:tcBorders>
              <w:left w:val="nil"/>
            </w:tcBorders>
            <w:shd w:val="clear" w:color="auto" w:fill="auto"/>
          </w:tcPr>
          <w:p w14:paraId="242FB660" w14:textId="77777777" w:rsidR="00EA28D0" w:rsidRDefault="00EA28D0" w:rsidP="00FF4B36">
            <w:pPr>
              <w:pStyle w:val="Tabletext1"/>
            </w:pPr>
          </w:p>
        </w:tc>
        <w:tc>
          <w:tcPr>
            <w:tcW w:w="1028" w:type="dxa"/>
            <w:shd w:val="clear" w:color="auto" w:fill="auto"/>
          </w:tcPr>
          <w:p w14:paraId="557442BC" w14:textId="77777777" w:rsidR="00EA28D0" w:rsidRPr="008A6F37" w:rsidRDefault="00EA28D0" w:rsidP="00FF4B36">
            <w:pPr>
              <w:pStyle w:val="Tabletext1"/>
              <w:rPr>
                <w:snapToGrid w:val="0"/>
              </w:rPr>
            </w:pPr>
            <w:r>
              <w:rPr>
                <w:snapToGrid w:val="0"/>
              </w:rPr>
              <w:t>Not used</w:t>
            </w:r>
          </w:p>
        </w:tc>
      </w:tr>
    </w:tbl>
    <w:p w14:paraId="3EAD848C" w14:textId="11AE696C" w:rsidR="00EA28D0" w:rsidRDefault="00E24DFA" w:rsidP="005775DE">
      <w:pPr>
        <w:pStyle w:val="Tablenotes0"/>
        <w:rPr>
          <w:rStyle w:val="TablenotesChar0"/>
        </w:rPr>
      </w:pPr>
      <w:r>
        <w:rPr>
          <w:rStyle w:val="TablenotesChar0"/>
        </w:rPr>
        <w:t xml:space="preserve">&lt; </w:t>
      </w:r>
      <w:r w:rsidR="00EA28D0">
        <w:rPr>
          <w:rStyle w:val="TablenotesChar0"/>
        </w:rPr>
        <w:t>CS</w:t>
      </w:r>
      <w:r w:rsidR="00BC3651">
        <w:rPr>
          <w:rStyle w:val="TablenotesChar0"/>
        </w:rPr>
        <w:t xml:space="preserve"> </w:t>
      </w:r>
      <w:r w:rsidR="00EA28D0">
        <w:rPr>
          <w:rStyle w:val="TablenotesChar0"/>
        </w:rPr>
        <w:t>=</w:t>
      </w:r>
      <w:r w:rsidR="00BC3651">
        <w:rPr>
          <w:rStyle w:val="TablenotesChar0"/>
        </w:rPr>
        <w:t xml:space="preserve"> </w:t>
      </w:r>
      <w:r w:rsidR="00EA28D0">
        <w:rPr>
          <w:rStyle w:val="TablenotesChar0"/>
        </w:rPr>
        <w:t>case series;</w:t>
      </w:r>
      <w:r w:rsidR="00EA28D0" w:rsidRPr="00EA28D0">
        <w:rPr>
          <w:rStyle w:val="TablenotesChar0"/>
        </w:rPr>
        <w:t xml:space="preserve"> </w:t>
      </w:r>
      <w:r w:rsidR="00127E59">
        <w:rPr>
          <w:rStyle w:val="TablenotesChar0"/>
        </w:rPr>
        <w:t>MTA</w:t>
      </w:r>
      <w:r w:rsidR="00BC3651">
        <w:rPr>
          <w:rStyle w:val="TablenotesChar0"/>
        </w:rPr>
        <w:t xml:space="preserve"> = microwave tissue ablation</w:t>
      </w:r>
      <w:r w:rsidR="002F591C">
        <w:rPr>
          <w:rStyle w:val="TablenotesChar0"/>
        </w:rPr>
        <w:t xml:space="preserve">; </w:t>
      </w:r>
      <w:r w:rsidR="00EA28D0">
        <w:rPr>
          <w:rStyle w:val="TablenotesChar0"/>
        </w:rPr>
        <w:t>NSCLC</w:t>
      </w:r>
      <w:r w:rsidR="00BC3651">
        <w:rPr>
          <w:rStyle w:val="TablenotesChar0"/>
        </w:rPr>
        <w:t xml:space="preserve"> </w:t>
      </w:r>
      <w:r w:rsidR="00EA28D0">
        <w:rPr>
          <w:rStyle w:val="TablenotesChar0"/>
        </w:rPr>
        <w:t xml:space="preserve">= non-small cell lung cancer; </w:t>
      </w:r>
      <w:r w:rsidR="00EA28D0" w:rsidRPr="009D1AA6">
        <w:rPr>
          <w:rStyle w:val="TablenotesChar0"/>
        </w:rPr>
        <w:t>TTLP</w:t>
      </w:r>
      <w:r w:rsidR="00BC3651">
        <w:rPr>
          <w:rStyle w:val="TablenotesChar0"/>
        </w:rPr>
        <w:t xml:space="preserve"> </w:t>
      </w:r>
      <w:r w:rsidR="00EA28D0">
        <w:rPr>
          <w:rStyle w:val="TablenotesChar0"/>
        </w:rPr>
        <w:t>= time to local progression</w:t>
      </w:r>
      <w:r>
        <w:rPr>
          <w:rStyle w:val="TablenotesChar0"/>
        </w:rPr>
        <w:t xml:space="preserve"> &gt;</w:t>
      </w:r>
    </w:p>
    <w:p w14:paraId="21C2B84B" w14:textId="77777777" w:rsidR="000066D3" w:rsidRDefault="000066D3" w:rsidP="005775DE">
      <w:pPr>
        <w:pStyle w:val="Tablenotes0"/>
        <w:rPr>
          <w:rStyle w:val="TablenotesChar0"/>
        </w:rPr>
      </w:pPr>
      <w:proofErr w:type="gramStart"/>
      <w:r w:rsidRPr="005C3BDC">
        <w:rPr>
          <w:rStyle w:val="TablenotesChar0"/>
          <w:vertAlign w:val="superscript"/>
        </w:rPr>
        <w:t>a</w:t>
      </w:r>
      <w:proofErr w:type="gramEnd"/>
      <w:r w:rsidRPr="005C3BDC">
        <w:rPr>
          <w:rStyle w:val="TablenotesChar0"/>
          <w:vertAlign w:val="superscript"/>
        </w:rPr>
        <w:t xml:space="preserve"> </w:t>
      </w:r>
      <w:r w:rsidRPr="005C3BDC">
        <w:rPr>
          <w:rStyle w:val="TablenotesChar0"/>
        </w:rPr>
        <w:t xml:space="preserve">reported as </w:t>
      </w:r>
      <w:r w:rsidR="000C6B85">
        <w:rPr>
          <w:rStyle w:val="TablenotesChar0"/>
        </w:rPr>
        <w:t>mean</w:t>
      </w:r>
      <w:r w:rsidRPr="005C3BDC">
        <w:rPr>
          <w:rStyle w:val="TablenotesChar0"/>
        </w:rPr>
        <w:t xml:space="preserve"> (range) unless otherwise stated</w:t>
      </w:r>
      <w:r w:rsidR="00F91E83">
        <w:rPr>
          <w:rStyle w:val="TablenotesChar0"/>
        </w:rPr>
        <w:t>.</w:t>
      </w:r>
    </w:p>
    <w:p w14:paraId="4624C906" w14:textId="77777777" w:rsidR="000066D3" w:rsidRPr="005C3BDC" w:rsidRDefault="000066D3" w:rsidP="005775DE">
      <w:pPr>
        <w:pStyle w:val="Tablenotes0"/>
        <w:rPr>
          <w:rStyle w:val="TablenotesChar0"/>
        </w:rPr>
      </w:pPr>
      <w:proofErr w:type="gramStart"/>
      <w:r>
        <w:rPr>
          <w:rStyle w:val="TablenotesChar0"/>
          <w:vertAlign w:val="superscript"/>
        </w:rPr>
        <w:t>b</w:t>
      </w:r>
      <w:proofErr w:type="gramEnd"/>
      <w:r>
        <w:rPr>
          <w:rStyle w:val="TablenotesChar0"/>
        </w:rPr>
        <w:t xml:space="preserve"> </w:t>
      </w:r>
      <w:r w:rsidRPr="005C3BDC">
        <w:rPr>
          <w:rStyle w:val="TablenotesChar0"/>
        </w:rPr>
        <w:t>primary tumour</w:t>
      </w:r>
      <w:r w:rsidR="00F91E83">
        <w:rPr>
          <w:rStyle w:val="TablenotesChar0"/>
        </w:rPr>
        <w:t xml:space="preserve"> </w:t>
      </w:r>
      <w:r w:rsidRPr="005C3BDC">
        <w:rPr>
          <w:rStyle w:val="TablenotesChar0"/>
        </w:rPr>
        <w:t>(patients/lesions): colorectal carcinoma (40/58), breast carcinoma (20/32),</w:t>
      </w:r>
      <w:r w:rsidRPr="005C3BDC">
        <w:t xml:space="preserve"> </w:t>
      </w:r>
      <w:r w:rsidRPr="005C3BDC">
        <w:rPr>
          <w:rStyle w:val="TablenotesChar0"/>
        </w:rPr>
        <w:t>hepatocellular carcinoma (10/30), renal cell carcinoma (5/5), bronchogenic carcinoma (5/5)</w:t>
      </w:r>
      <w:r w:rsidR="00F91E83">
        <w:rPr>
          <w:rStyle w:val="TablenotesChar0"/>
        </w:rPr>
        <w:t>.</w:t>
      </w:r>
    </w:p>
    <w:p w14:paraId="0C40B25D" w14:textId="77777777" w:rsidR="009B09E2" w:rsidRPr="006E4052" w:rsidRDefault="009B09E2" w:rsidP="006E4052">
      <w:pPr>
        <w:spacing w:before="500"/>
        <w:rPr>
          <w:b/>
          <w:i/>
        </w:rPr>
      </w:pPr>
      <w:r w:rsidRPr="006E4052">
        <w:rPr>
          <w:b/>
          <w:i/>
        </w:rPr>
        <w:t>Population three</w:t>
      </w:r>
    </w:p>
    <w:p w14:paraId="290762B1" w14:textId="5CF7BA00" w:rsidR="000066D3" w:rsidRPr="000066D3" w:rsidRDefault="000066D3" w:rsidP="009B09E2">
      <w:r>
        <w:t xml:space="preserve">Population three includes patients who would be eligible for MTA as a palliative therapy with the primary aim of </w:t>
      </w:r>
      <w:r w:rsidR="0076716E">
        <w:t xml:space="preserve">relieving symptoms, improving quality of life and minimising tumour burden </w:t>
      </w:r>
      <w:r w:rsidR="00574A32">
        <w:fldChar w:fldCharType="begin">
          <w:fldData xml:space="preserve">PEVuZE5vdGU+PENpdGU+PEF1dGhvcj5ZZTwvQXV0aG9yPjxZZWFyPjIwMTU8L1llYXI+PFJlY051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</w:fldData>
        </w:fldChar>
      </w:r>
      <w:r w:rsidR="00194054">
        <w:instrText xml:space="preserve"> ADDIN EN.CITE </w:instrText>
      </w:r>
      <w:r w:rsidR="00194054">
        <w:fldChar w:fldCharType="begin">
          <w:fldData xml:space="preserve">PEVuZE5vdGU+PENpdGU+PEF1dGhvcj5ZZTwvQXV0aG9yPjxZZWFyPjIwMTU8L1llYXI+PFJlY051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</w:fldData>
        </w:fldChar>
      </w:r>
      <w:r w:rsidR="00194054">
        <w:instrText xml:space="preserve"> ADDIN EN.CITE.DATA </w:instrText>
      </w:r>
      <w:r w:rsidR="00194054">
        <w:fldChar w:fldCharType="end"/>
      </w:r>
      <w:r w:rsidR="00574A32">
        <w:fldChar w:fldCharType="separate"/>
      </w:r>
      <w:r w:rsidR="00574A32">
        <w:rPr>
          <w:noProof/>
        </w:rPr>
        <w:t>(</w:t>
      </w:r>
      <w:hyperlink w:anchor="_ENREF_176" w:tooltip="Ye, 2015 #89" w:history="1">
        <w:r w:rsidR="00320458">
          <w:rPr>
            <w:noProof/>
          </w:rPr>
          <w:t>Ye et al 2015</w:t>
        </w:r>
      </w:hyperlink>
      <w:r w:rsidR="00574A32">
        <w:rPr>
          <w:noProof/>
        </w:rPr>
        <w:t>)</w:t>
      </w:r>
      <w:r w:rsidR="00574A32">
        <w:fldChar w:fldCharType="end"/>
      </w:r>
      <w:r w:rsidR="0076716E">
        <w:t>. This population is heterogeneous in the sense that the primary cancer could be NSCLC or any other</w:t>
      </w:r>
      <w:r w:rsidR="00B71F4C">
        <w:t xml:space="preserve">, </w:t>
      </w:r>
      <w:r w:rsidR="0076716E">
        <w:t>patients</w:t>
      </w:r>
      <w:r w:rsidR="00B71F4C">
        <w:t xml:space="preserve"> in this group</w:t>
      </w:r>
      <w:r w:rsidR="0076716E">
        <w:t xml:space="preserve"> are characterised by prognosis and tumour burden within the lung. The </w:t>
      </w:r>
      <w:r w:rsidR="0076716E">
        <w:lastRenderedPageBreak/>
        <w:t xml:space="preserve">three studies included in this review included only patients with advanced stage primary NSCLC. None of the three studies included in this population provided any information regarding the effects of treatment on symptoms or quality of life. Two of the included studies were non-randomised comparative trials which </w:t>
      </w:r>
      <w:r w:rsidR="00AA5E3C">
        <w:t xml:space="preserve">investigate </w:t>
      </w:r>
      <w:r w:rsidR="0076716E" w:rsidRPr="005438D9">
        <w:t>MTA in combination with chemotherapy compared to chemotherapy</w:t>
      </w:r>
      <w:r w:rsidR="005438D9">
        <w:t xml:space="preserve"> alone </w:t>
      </w:r>
      <w:r w:rsidR="00DF5EB1">
        <w:fldChar w:fldCharType="begin">
          <w:fldData xml:space="preserve">PEVuZE5vdGU+PENpdGU+PEF1dGhvcj5XZWk8L0F1dGhvcj48WWVhcj4yMDE1PC9ZZWFyPjxSZWNO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</w:fldData>
        </w:fldChar>
      </w:r>
      <w:r w:rsidR="00194054">
        <w:instrText xml:space="preserve"> ADDIN EN.CITE </w:instrText>
      </w:r>
      <w:r w:rsidR="00194054">
        <w:fldChar w:fldCharType="begin">
          <w:fldData xml:space="preserve">PEVuZE5vdGU+PENpdGU+PEF1dGhvcj5XZWk8L0F1dGhvcj48WWVhcj4yMDE1PC9ZZWFyPjxSZWNO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</w:fldData>
        </w:fldChar>
      </w:r>
      <w:r w:rsidR="00194054">
        <w:instrText xml:space="preserve"> ADDIN EN.CITE.DATA </w:instrText>
      </w:r>
      <w:r w:rsidR="00194054">
        <w:fldChar w:fldCharType="end"/>
      </w:r>
      <w:r w:rsidR="00DF5EB1">
        <w:fldChar w:fldCharType="separate"/>
      </w:r>
      <w:r w:rsidR="00DF5EB1">
        <w:rPr>
          <w:noProof/>
        </w:rPr>
        <w:t>(</w:t>
      </w:r>
      <w:hyperlink w:anchor="_ENREF_170" w:tooltip="Wei, 2015 #99" w:history="1">
        <w:r w:rsidR="00320458">
          <w:rPr>
            <w:noProof/>
          </w:rPr>
          <w:t>Wei et al 2015</w:t>
        </w:r>
      </w:hyperlink>
      <w:r w:rsidR="00DF5EB1">
        <w:rPr>
          <w:noProof/>
        </w:rPr>
        <w:t>)</w:t>
      </w:r>
      <w:r w:rsidR="00DF5EB1">
        <w:fldChar w:fldCharType="end"/>
      </w:r>
      <w:r w:rsidR="005438D9">
        <w:t xml:space="preserve">, </w:t>
      </w:r>
      <w:r w:rsidR="00A84B42" w:rsidRPr="005438D9">
        <w:t>and</w:t>
      </w:r>
      <w:r w:rsidR="0076716E">
        <w:t xml:space="preserve"> MTA in combination with chemotherapy compared to MTA </w:t>
      </w:r>
      <w:r w:rsidR="00CA6DFD">
        <w:t xml:space="preserve">alone </w:t>
      </w:r>
      <w:r w:rsidR="00DF5EB1">
        <w:fldChar w:fldCharType="begin">
          <w:fldData xml:space="preserve">PEVuZE5vdGU+PENpdGU+PEF1dGhvcj5TdW48L0F1dGhvcj48WWVhcj4yMDE1PC9ZZWFyPjxSZWNO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==
</w:fldData>
        </w:fldChar>
      </w:r>
      <w:r w:rsidR="00194054">
        <w:instrText xml:space="preserve"> ADDIN EN.CITE </w:instrText>
      </w:r>
      <w:r w:rsidR="00194054">
        <w:fldChar w:fldCharType="begin">
          <w:fldData xml:space="preserve">PEVuZE5vdGU+PENpdGU+PEF1dGhvcj5TdW48L0F1dGhvcj48WWVhcj4yMDE1PC9ZZWFyPjxSZWNO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==
</w:fldData>
        </w:fldChar>
      </w:r>
      <w:r w:rsidR="00194054">
        <w:instrText xml:space="preserve"> ADDIN EN.CITE.DATA </w:instrText>
      </w:r>
      <w:r w:rsidR="00194054">
        <w:fldChar w:fldCharType="end"/>
      </w:r>
      <w:r w:rsidR="00DF5EB1">
        <w:fldChar w:fldCharType="separate"/>
      </w:r>
      <w:r w:rsidR="00DF5EB1">
        <w:rPr>
          <w:noProof/>
        </w:rPr>
        <w:t>(</w:t>
      </w:r>
      <w:hyperlink w:anchor="_ENREF_149" w:tooltip="Sun, 2015 #97" w:history="1">
        <w:r w:rsidR="00320458">
          <w:rPr>
            <w:noProof/>
          </w:rPr>
          <w:t>Sun et al 2015a</w:t>
        </w:r>
      </w:hyperlink>
      <w:r w:rsidR="00DF5EB1">
        <w:rPr>
          <w:noProof/>
        </w:rPr>
        <w:t>)</w:t>
      </w:r>
      <w:r w:rsidR="00DF5EB1">
        <w:fldChar w:fldCharType="end"/>
      </w:r>
      <w:r w:rsidR="005438D9">
        <w:t xml:space="preserve">. </w:t>
      </w:r>
      <w:r w:rsidR="0076716E">
        <w:t xml:space="preserve">Thus there was some heterogeneity in terms of the intervention; however, given the nature of palliative interventions this is appropriate. The </w:t>
      </w:r>
      <w:r w:rsidR="00AA5E3C">
        <w:t xml:space="preserve">weakness in </w:t>
      </w:r>
      <w:r w:rsidR="0076716E">
        <w:t xml:space="preserve">this evidence is that no data on quality of life or symptom control is provided. </w:t>
      </w:r>
    </w:p>
    <w:p w14:paraId="1B61F007" w14:textId="77777777" w:rsidR="005C3BDC" w:rsidRDefault="005C3BDC" w:rsidP="005C3BDC">
      <w:pPr>
        <w:pStyle w:val="Caption"/>
        <w:keepNext/>
      </w:pPr>
      <w:bookmarkStart w:id="246" w:name="_Ref457400958"/>
      <w:bookmarkStart w:id="247" w:name="_Toc460514689"/>
      <w:r>
        <w:t xml:space="preserve">Table </w:t>
      </w:r>
      <w:fldSimple w:instr=" SEQ Table \* ARABIC ">
        <w:r w:rsidR="00D170A5">
          <w:rPr>
            <w:noProof/>
          </w:rPr>
          <w:t>31</w:t>
        </w:r>
      </w:fldSimple>
      <w:bookmarkEnd w:id="246"/>
      <w:r>
        <w:tab/>
      </w:r>
      <w:r w:rsidR="00BA08C2">
        <w:rPr>
          <w:snapToGrid w:val="0"/>
          <w:lang w:eastAsia="en-US"/>
        </w:rPr>
        <w:t>Characteristics</w:t>
      </w:r>
      <w:r w:rsidR="00BA08C2" w:rsidRPr="001B7083">
        <w:rPr>
          <w:snapToGrid w:val="0"/>
          <w:lang w:eastAsia="en-US"/>
        </w:rPr>
        <w:t xml:space="preserve"> </w:t>
      </w:r>
      <w:r w:rsidRPr="005C3BDC">
        <w:t>of the included ev</w:t>
      </w:r>
      <w:r>
        <w:t>idence for MTA in population three</w:t>
      </w:r>
      <w:bookmarkEnd w:id="247"/>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283"/>
        <w:gridCol w:w="929"/>
        <w:gridCol w:w="1218"/>
        <w:gridCol w:w="980"/>
        <w:gridCol w:w="1763"/>
        <w:gridCol w:w="1838"/>
        <w:gridCol w:w="1044"/>
      </w:tblGrid>
      <w:tr w:rsidR="00EA28D0" w:rsidRPr="00183E4D" w14:paraId="2F1E0413" w14:textId="77777777" w:rsidTr="00414740">
        <w:tc>
          <w:tcPr>
            <w:tcW w:w="1283" w:type="dxa"/>
            <w:shd w:val="clear" w:color="auto" w:fill="D9D9D9" w:themeFill="background1" w:themeFillShade="D9"/>
            <w:vAlign w:val="bottom"/>
          </w:tcPr>
          <w:p w14:paraId="1741FA36" w14:textId="77777777" w:rsidR="005C3BDC" w:rsidRPr="00183E4D" w:rsidRDefault="005C3BDC" w:rsidP="000F6E66">
            <w:pPr>
              <w:pStyle w:val="TableHeading"/>
              <w:spacing w:before="60" w:after="60"/>
              <w:jc w:val="left"/>
              <w:rPr>
                <w:snapToGrid w:val="0"/>
                <w:lang w:eastAsia="en-US"/>
              </w:rPr>
            </w:pPr>
            <w:r w:rsidRPr="00183E4D">
              <w:rPr>
                <w:snapToGrid w:val="0"/>
                <w:lang w:eastAsia="en-US"/>
              </w:rPr>
              <w:t>Trial/Study</w:t>
            </w:r>
          </w:p>
        </w:tc>
        <w:tc>
          <w:tcPr>
            <w:tcW w:w="929" w:type="dxa"/>
            <w:shd w:val="clear" w:color="auto" w:fill="D9D9D9" w:themeFill="background1" w:themeFillShade="D9"/>
            <w:vAlign w:val="bottom"/>
          </w:tcPr>
          <w:p w14:paraId="5928AFE6" w14:textId="77777777" w:rsidR="0078274D" w:rsidRPr="0078274D" w:rsidRDefault="005C3BDC" w:rsidP="00CD6058">
            <w:pPr>
              <w:pStyle w:val="TableHeading"/>
              <w:spacing w:before="60" w:after="60"/>
              <w:jc w:val="center"/>
              <w:rPr>
                <w:snapToGrid w:val="0"/>
                <w:lang w:eastAsia="en-US"/>
              </w:rPr>
            </w:pPr>
            <w:r w:rsidRPr="00183E4D">
              <w:rPr>
                <w:snapToGrid w:val="0"/>
                <w:lang w:eastAsia="en-US"/>
              </w:rPr>
              <w:t>N</w:t>
            </w:r>
            <w:r>
              <w:rPr>
                <w:snapToGrid w:val="0"/>
                <w:lang w:eastAsia="en-US"/>
              </w:rPr>
              <w:t xml:space="preserve"> (lesions)</w:t>
            </w:r>
          </w:p>
        </w:tc>
        <w:tc>
          <w:tcPr>
            <w:tcW w:w="1218" w:type="dxa"/>
            <w:shd w:val="clear" w:color="auto" w:fill="D9D9D9" w:themeFill="background1" w:themeFillShade="D9"/>
            <w:vAlign w:val="bottom"/>
          </w:tcPr>
          <w:p w14:paraId="08F0F2EF" w14:textId="3E7A0FDB" w:rsidR="005C3BDC" w:rsidRPr="008A6F37" w:rsidRDefault="005C3BDC" w:rsidP="00414740">
            <w:pPr>
              <w:pStyle w:val="TableHeading"/>
              <w:spacing w:before="60" w:after="60"/>
              <w:jc w:val="left"/>
              <w:rPr>
                <w:snapToGrid w:val="0"/>
                <w:vertAlign w:val="superscript"/>
                <w:lang w:eastAsia="en-US"/>
              </w:rPr>
            </w:pPr>
            <w:r w:rsidRPr="00183E4D">
              <w:rPr>
                <w:snapToGrid w:val="0"/>
                <w:lang w:eastAsia="en-US"/>
              </w:rPr>
              <w:t>Design</w:t>
            </w:r>
            <w:r w:rsidR="0032263C">
              <w:rPr>
                <w:snapToGrid w:val="0"/>
                <w:lang w:eastAsia="en-US"/>
              </w:rPr>
              <w:t>;</w:t>
            </w:r>
            <w:r w:rsidRPr="00183E4D">
              <w:rPr>
                <w:snapToGrid w:val="0"/>
                <w:lang w:eastAsia="en-US"/>
              </w:rPr>
              <w:t xml:space="preserve"> </w:t>
            </w:r>
            <w:r w:rsidR="0032263C">
              <w:rPr>
                <w:snapToGrid w:val="0"/>
                <w:lang w:eastAsia="en-US"/>
              </w:rPr>
              <w:t>D</w:t>
            </w:r>
            <w:r w:rsidRPr="00183E4D">
              <w:rPr>
                <w:snapToGrid w:val="0"/>
                <w:lang w:eastAsia="en-US"/>
              </w:rPr>
              <w:t>uration</w:t>
            </w:r>
            <w:r w:rsidR="00962B8F">
              <w:rPr>
                <w:snapToGrid w:val="0"/>
                <w:lang w:eastAsia="en-US"/>
              </w:rPr>
              <w:t xml:space="preserve"> </w:t>
            </w:r>
            <w:r>
              <w:rPr>
                <w:snapToGrid w:val="0"/>
                <w:vertAlign w:val="superscript"/>
                <w:lang w:eastAsia="en-US"/>
              </w:rPr>
              <w:t>a</w:t>
            </w:r>
          </w:p>
        </w:tc>
        <w:tc>
          <w:tcPr>
            <w:tcW w:w="980" w:type="dxa"/>
            <w:shd w:val="clear" w:color="auto" w:fill="D9D9D9" w:themeFill="background1" w:themeFillShade="D9"/>
            <w:vAlign w:val="bottom"/>
          </w:tcPr>
          <w:p w14:paraId="1EA46F47" w14:textId="2A5FF50A" w:rsidR="00CF5FDB" w:rsidRDefault="005C3BDC" w:rsidP="00414740">
            <w:pPr>
              <w:pStyle w:val="TableHeading"/>
              <w:spacing w:before="60" w:after="60"/>
              <w:jc w:val="left"/>
              <w:rPr>
                <w:snapToGrid w:val="0"/>
                <w:lang w:eastAsia="en-US"/>
              </w:rPr>
            </w:pPr>
            <w:r w:rsidRPr="00183E4D">
              <w:rPr>
                <w:snapToGrid w:val="0"/>
                <w:lang w:eastAsia="en-US"/>
              </w:rPr>
              <w:t>Risk of</w:t>
            </w:r>
          </w:p>
          <w:p w14:paraId="254DAFF7" w14:textId="77777777" w:rsidR="005C3BDC" w:rsidRPr="00183E4D" w:rsidRDefault="005C3BDC" w:rsidP="00414740">
            <w:pPr>
              <w:pStyle w:val="TableHeading"/>
              <w:spacing w:before="60" w:after="60"/>
              <w:jc w:val="left"/>
              <w:rPr>
                <w:snapToGrid w:val="0"/>
                <w:lang w:eastAsia="en-US"/>
              </w:rPr>
            </w:pPr>
            <w:r w:rsidRPr="00183E4D">
              <w:rPr>
                <w:snapToGrid w:val="0"/>
                <w:lang w:eastAsia="en-US"/>
              </w:rPr>
              <w:t>bias</w:t>
            </w:r>
          </w:p>
        </w:tc>
        <w:tc>
          <w:tcPr>
            <w:tcW w:w="1763" w:type="dxa"/>
            <w:shd w:val="clear" w:color="auto" w:fill="D9D9D9" w:themeFill="background1" w:themeFillShade="D9"/>
            <w:vAlign w:val="bottom"/>
          </w:tcPr>
          <w:p w14:paraId="306460E9" w14:textId="77777777" w:rsidR="005C3BDC" w:rsidRPr="00183E4D" w:rsidRDefault="005C3BDC" w:rsidP="00414740">
            <w:pPr>
              <w:pStyle w:val="TableHeading"/>
              <w:spacing w:before="60" w:after="60"/>
              <w:jc w:val="left"/>
              <w:rPr>
                <w:snapToGrid w:val="0"/>
                <w:lang w:eastAsia="en-US"/>
              </w:rPr>
            </w:pPr>
            <w:r w:rsidRPr="00183E4D">
              <w:rPr>
                <w:snapToGrid w:val="0"/>
                <w:lang w:eastAsia="en-US"/>
              </w:rPr>
              <w:t>Patient population</w:t>
            </w:r>
          </w:p>
        </w:tc>
        <w:tc>
          <w:tcPr>
            <w:tcW w:w="1838" w:type="dxa"/>
            <w:shd w:val="clear" w:color="auto" w:fill="D9D9D9" w:themeFill="background1" w:themeFillShade="D9"/>
            <w:vAlign w:val="bottom"/>
          </w:tcPr>
          <w:p w14:paraId="15E69DBE" w14:textId="77777777" w:rsidR="005C3BDC" w:rsidRPr="00183E4D" w:rsidRDefault="005C3BDC" w:rsidP="00414740">
            <w:pPr>
              <w:pStyle w:val="TableHeading"/>
              <w:spacing w:before="60" w:after="60"/>
              <w:jc w:val="left"/>
              <w:rPr>
                <w:snapToGrid w:val="0"/>
                <w:lang w:eastAsia="en-US"/>
              </w:rPr>
            </w:pPr>
            <w:r w:rsidRPr="00183E4D">
              <w:rPr>
                <w:snapToGrid w:val="0"/>
                <w:lang w:eastAsia="en-US"/>
              </w:rPr>
              <w:t>Key outcome(s)</w:t>
            </w:r>
          </w:p>
        </w:tc>
        <w:tc>
          <w:tcPr>
            <w:tcW w:w="1044" w:type="dxa"/>
            <w:shd w:val="clear" w:color="auto" w:fill="D9D9D9" w:themeFill="background1" w:themeFillShade="D9"/>
            <w:vAlign w:val="bottom"/>
          </w:tcPr>
          <w:p w14:paraId="4B3E465C" w14:textId="77777777" w:rsidR="005C3BDC" w:rsidRPr="00183E4D" w:rsidRDefault="005C3BDC" w:rsidP="00414740">
            <w:pPr>
              <w:pStyle w:val="TableHeading"/>
              <w:spacing w:before="60" w:after="60"/>
              <w:jc w:val="left"/>
              <w:rPr>
                <w:snapToGrid w:val="0"/>
                <w:lang w:eastAsia="en-US"/>
              </w:rPr>
            </w:pPr>
            <w:r w:rsidRPr="00183E4D">
              <w:rPr>
                <w:snapToGrid w:val="0"/>
                <w:lang w:eastAsia="en-US"/>
              </w:rPr>
              <w:t>Result used in economic model</w:t>
            </w:r>
          </w:p>
        </w:tc>
      </w:tr>
      <w:tr w:rsidR="00EA28D0" w:rsidRPr="00183E4D" w14:paraId="7E10F6B7" w14:textId="77777777" w:rsidTr="00414740">
        <w:tc>
          <w:tcPr>
            <w:tcW w:w="1283" w:type="dxa"/>
            <w:shd w:val="clear" w:color="auto" w:fill="auto"/>
          </w:tcPr>
          <w:p w14:paraId="2D8F1FC6" w14:textId="77777777" w:rsidR="00735BFA" w:rsidRDefault="00735BFA" w:rsidP="00AF30CA">
            <w:pPr>
              <w:pStyle w:val="TableText0"/>
              <w:spacing w:before="60" w:after="60"/>
              <w:jc w:val="left"/>
            </w:pPr>
            <w:r w:rsidRPr="00735BFA">
              <w:t>Ni et al (2015)</w:t>
            </w:r>
          </w:p>
        </w:tc>
        <w:tc>
          <w:tcPr>
            <w:tcW w:w="929" w:type="dxa"/>
            <w:shd w:val="clear" w:color="auto" w:fill="auto"/>
          </w:tcPr>
          <w:p w14:paraId="66C2C4B8" w14:textId="77777777" w:rsidR="00735BFA" w:rsidRDefault="00735BFA" w:rsidP="005F2661">
            <w:pPr>
              <w:pStyle w:val="TableText0"/>
              <w:spacing w:before="60" w:after="60"/>
              <w:jc w:val="center"/>
              <w:rPr>
                <w:snapToGrid w:val="0"/>
              </w:rPr>
            </w:pPr>
            <w:r>
              <w:rPr>
                <w:snapToGrid w:val="0"/>
              </w:rPr>
              <w:t>35 (39)</w:t>
            </w:r>
          </w:p>
        </w:tc>
        <w:tc>
          <w:tcPr>
            <w:tcW w:w="1218" w:type="dxa"/>
            <w:shd w:val="clear" w:color="auto" w:fill="auto"/>
          </w:tcPr>
          <w:p w14:paraId="5901C638" w14:textId="77777777" w:rsidR="00735BFA" w:rsidRDefault="00735BFA" w:rsidP="00414740">
            <w:pPr>
              <w:pStyle w:val="TableText0"/>
              <w:spacing w:before="60" w:after="60"/>
              <w:jc w:val="left"/>
              <w:rPr>
                <w:snapToGrid w:val="0"/>
              </w:rPr>
            </w:pPr>
            <w:r w:rsidRPr="00735BFA">
              <w:rPr>
                <w:snapToGrid w:val="0"/>
              </w:rPr>
              <w:t>Retrospective CS,</w:t>
            </w:r>
          </w:p>
          <w:p w14:paraId="341E4A74" w14:textId="6833F6D4" w:rsidR="00735BFA" w:rsidRDefault="00EE6D14" w:rsidP="00414740">
            <w:pPr>
              <w:pStyle w:val="TableText0"/>
              <w:spacing w:before="60" w:after="60"/>
              <w:jc w:val="left"/>
              <w:rPr>
                <w:snapToGrid w:val="0"/>
              </w:rPr>
            </w:pPr>
            <w:r>
              <w:rPr>
                <w:snapToGrid w:val="0"/>
              </w:rPr>
              <w:t xml:space="preserve">Median </w:t>
            </w:r>
            <w:r w:rsidR="00735BFA" w:rsidRPr="00735BFA">
              <w:rPr>
                <w:snapToGrid w:val="0"/>
              </w:rPr>
              <w:t>1</w:t>
            </w:r>
            <w:r>
              <w:rPr>
                <w:snapToGrid w:val="0"/>
              </w:rPr>
              <w:t>8</w:t>
            </w:r>
            <w:r w:rsidR="00735BFA" w:rsidRPr="00735BFA">
              <w:rPr>
                <w:snapToGrid w:val="0"/>
              </w:rPr>
              <w:t xml:space="preserve"> (6</w:t>
            </w:r>
            <w:r w:rsidR="00D35E9C">
              <w:rPr>
                <w:snapToGrid w:val="0"/>
              </w:rPr>
              <w:t>–</w:t>
            </w:r>
            <w:r w:rsidR="00735BFA" w:rsidRPr="00735BFA">
              <w:rPr>
                <w:snapToGrid w:val="0"/>
              </w:rPr>
              <w:t>45) months</w:t>
            </w:r>
          </w:p>
        </w:tc>
        <w:tc>
          <w:tcPr>
            <w:tcW w:w="980" w:type="dxa"/>
            <w:shd w:val="clear" w:color="auto" w:fill="auto"/>
          </w:tcPr>
          <w:p w14:paraId="091B2481" w14:textId="77777777" w:rsidR="00735BFA" w:rsidRPr="008A6F37" w:rsidRDefault="007A0EB7" w:rsidP="00414740">
            <w:pPr>
              <w:pStyle w:val="TableText0"/>
              <w:spacing w:before="60" w:after="60"/>
              <w:jc w:val="left"/>
              <w:rPr>
                <w:snapToGrid w:val="0"/>
              </w:rPr>
            </w:pPr>
            <w:r>
              <w:rPr>
                <w:snapToGrid w:val="0"/>
              </w:rPr>
              <w:t>High</w:t>
            </w:r>
          </w:p>
        </w:tc>
        <w:tc>
          <w:tcPr>
            <w:tcW w:w="1763" w:type="dxa"/>
            <w:shd w:val="clear" w:color="auto" w:fill="auto"/>
          </w:tcPr>
          <w:p w14:paraId="71540C9A" w14:textId="77777777" w:rsidR="00735BFA" w:rsidRDefault="00EA28D0" w:rsidP="00414740">
            <w:pPr>
              <w:pStyle w:val="TableText0"/>
              <w:spacing w:before="60" w:after="60"/>
              <w:jc w:val="left"/>
            </w:pPr>
            <w:r>
              <w:t>S</w:t>
            </w:r>
            <w:r w:rsidR="00735BFA" w:rsidRPr="00735BFA">
              <w:t xml:space="preserve">tage IIIB-IV NSCLC who had had prior treatment </w:t>
            </w:r>
            <w:r>
              <w:t xml:space="preserve">and </w:t>
            </w:r>
            <w:r w:rsidR="00735BFA" w:rsidRPr="00735BFA">
              <w:t>who had partial response or stable disease</w:t>
            </w:r>
          </w:p>
        </w:tc>
        <w:tc>
          <w:tcPr>
            <w:tcW w:w="1838" w:type="dxa"/>
            <w:shd w:val="clear" w:color="auto" w:fill="auto"/>
          </w:tcPr>
          <w:p w14:paraId="40746270" w14:textId="77777777" w:rsidR="00735BFA" w:rsidRPr="00E50962" w:rsidRDefault="00735BFA" w:rsidP="00414740">
            <w:pPr>
              <w:pStyle w:val="TableText0"/>
              <w:spacing w:before="60" w:after="60"/>
              <w:jc w:val="left"/>
            </w:pPr>
            <w:r w:rsidRPr="00735BFA">
              <w:t>Response to MTA (complete/incomplete ablation), technical efficacy, survival and complications</w:t>
            </w:r>
          </w:p>
        </w:tc>
        <w:tc>
          <w:tcPr>
            <w:tcW w:w="1044" w:type="dxa"/>
            <w:shd w:val="clear" w:color="auto" w:fill="auto"/>
          </w:tcPr>
          <w:p w14:paraId="4BF12B25" w14:textId="77777777" w:rsidR="00735BFA" w:rsidRPr="008A6F37" w:rsidRDefault="00735BFA" w:rsidP="00414740">
            <w:pPr>
              <w:pStyle w:val="TableText0"/>
              <w:spacing w:before="60" w:after="60"/>
              <w:jc w:val="left"/>
              <w:rPr>
                <w:snapToGrid w:val="0"/>
              </w:rPr>
            </w:pPr>
            <w:r w:rsidRPr="008A6F37">
              <w:rPr>
                <w:snapToGrid w:val="0"/>
              </w:rPr>
              <w:t>Not used</w:t>
            </w:r>
          </w:p>
        </w:tc>
      </w:tr>
      <w:tr w:rsidR="00EA28D0" w:rsidRPr="00183E4D" w14:paraId="22AF4D25" w14:textId="77777777" w:rsidTr="00414740">
        <w:tc>
          <w:tcPr>
            <w:tcW w:w="1283" w:type="dxa"/>
            <w:shd w:val="clear" w:color="auto" w:fill="auto"/>
          </w:tcPr>
          <w:p w14:paraId="6BD5C73C" w14:textId="77777777" w:rsidR="005C3BDC" w:rsidRPr="008A6F37" w:rsidRDefault="0078274D" w:rsidP="00AF30CA">
            <w:pPr>
              <w:pStyle w:val="TableText0"/>
              <w:spacing w:before="60" w:after="60"/>
              <w:jc w:val="left"/>
              <w:rPr>
                <w:snapToGrid w:val="0"/>
              </w:rPr>
            </w:pPr>
            <w:r>
              <w:t>Sun et al (2015)</w:t>
            </w:r>
          </w:p>
        </w:tc>
        <w:tc>
          <w:tcPr>
            <w:tcW w:w="929" w:type="dxa"/>
            <w:shd w:val="clear" w:color="auto" w:fill="auto"/>
          </w:tcPr>
          <w:p w14:paraId="03493346" w14:textId="77777777" w:rsidR="005C3BDC" w:rsidRPr="008A6F37" w:rsidRDefault="00735BFA" w:rsidP="005F2661">
            <w:pPr>
              <w:pStyle w:val="TableText0"/>
              <w:spacing w:before="60" w:after="60"/>
              <w:jc w:val="center"/>
              <w:rPr>
                <w:snapToGrid w:val="0"/>
              </w:rPr>
            </w:pPr>
            <w:r>
              <w:rPr>
                <w:snapToGrid w:val="0"/>
              </w:rPr>
              <w:t>40</w:t>
            </w:r>
            <w:r w:rsidR="00E50962">
              <w:rPr>
                <w:snapToGrid w:val="0"/>
              </w:rPr>
              <w:t xml:space="preserve"> (46)</w:t>
            </w:r>
          </w:p>
        </w:tc>
        <w:tc>
          <w:tcPr>
            <w:tcW w:w="1218" w:type="dxa"/>
            <w:shd w:val="clear" w:color="auto" w:fill="auto"/>
          </w:tcPr>
          <w:p w14:paraId="2A40BC41" w14:textId="77777777" w:rsidR="005C3BDC" w:rsidRPr="008A6F37" w:rsidRDefault="005C3BDC" w:rsidP="00414740">
            <w:pPr>
              <w:pStyle w:val="TableText0"/>
              <w:spacing w:before="60" w:after="60"/>
              <w:jc w:val="left"/>
              <w:rPr>
                <w:snapToGrid w:val="0"/>
              </w:rPr>
            </w:pPr>
            <w:r>
              <w:rPr>
                <w:snapToGrid w:val="0"/>
              </w:rPr>
              <w:t xml:space="preserve">Retrospective </w:t>
            </w:r>
            <w:r w:rsidR="00E1415D">
              <w:rPr>
                <w:snapToGrid w:val="0"/>
              </w:rPr>
              <w:t>N</w:t>
            </w:r>
            <w:r w:rsidR="00325CA4">
              <w:rPr>
                <w:snapToGrid w:val="0"/>
              </w:rPr>
              <w:t>R c</w:t>
            </w:r>
            <w:r w:rsidR="00E1415D">
              <w:rPr>
                <w:snapToGrid w:val="0"/>
              </w:rPr>
              <w:t>o</w:t>
            </w:r>
            <w:r w:rsidR="00E50962">
              <w:rPr>
                <w:snapToGrid w:val="0"/>
              </w:rPr>
              <w:t>mparative</w:t>
            </w:r>
            <w:r>
              <w:rPr>
                <w:snapToGrid w:val="0"/>
              </w:rPr>
              <w:t>,</w:t>
            </w:r>
          </w:p>
          <w:p w14:paraId="1082C975" w14:textId="56E42E4F" w:rsidR="005C3BDC" w:rsidRPr="008A6F37" w:rsidRDefault="00E50962" w:rsidP="00414740">
            <w:pPr>
              <w:pStyle w:val="TableText0"/>
              <w:spacing w:before="60" w:after="60"/>
              <w:jc w:val="left"/>
              <w:rPr>
                <w:snapToGrid w:val="0"/>
              </w:rPr>
            </w:pPr>
            <w:r w:rsidRPr="00E50962">
              <w:rPr>
                <w:snapToGrid w:val="0"/>
              </w:rPr>
              <w:t>Range: 6</w:t>
            </w:r>
            <w:r w:rsidR="00D35E9C">
              <w:rPr>
                <w:snapToGrid w:val="0"/>
              </w:rPr>
              <w:t>–</w:t>
            </w:r>
            <w:r w:rsidRPr="00E50962">
              <w:rPr>
                <w:snapToGrid w:val="0"/>
              </w:rPr>
              <w:t>35 months</w:t>
            </w:r>
          </w:p>
        </w:tc>
        <w:tc>
          <w:tcPr>
            <w:tcW w:w="980" w:type="dxa"/>
            <w:shd w:val="clear" w:color="auto" w:fill="auto"/>
          </w:tcPr>
          <w:p w14:paraId="04774EB2" w14:textId="77777777" w:rsidR="005C3BDC" w:rsidRPr="008A6F37" w:rsidRDefault="007A0EB7" w:rsidP="00414740">
            <w:pPr>
              <w:pStyle w:val="TableText0"/>
              <w:spacing w:before="60" w:after="60"/>
              <w:jc w:val="left"/>
              <w:rPr>
                <w:snapToGrid w:val="0"/>
              </w:rPr>
            </w:pPr>
            <w:r>
              <w:rPr>
                <w:snapToGrid w:val="0"/>
              </w:rPr>
              <w:t>High</w:t>
            </w:r>
          </w:p>
        </w:tc>
        <w:tc>
          <w:tcPr>
            <w:tcW w:w="1763" w:type="dxa"/>
            <w:shd w:val="clear" w:color="auto" w:fill="auto"/>
          </w:tcPr>
          <w:p w14:paraId="7012B730" w14:textId="77777777" w:rsidR="005C3BDC" w:rsidRPr="006711AE" w:rsidRDefault="00EA28D0" w:rsidP="00414740">
            <w:pPr>
              <w:pStyle w:val="TableText0"/>
              <w:spacing w:before="60" w:after="60"/>
              <w:jc w:val="left"/>
            </w:pPr>
            <w:r>
              <w:t>S</w:t>
            </w:r>
            <w:r w:rsidR="00E50962">
              <w:t>tage IIIB-IV NSCLC</w:t>
            </w:r>
          </w:p>
        </w:tc>
        <w:tc>
          <w:tcPr>
            <w:tcW w:w="1838" w:type="dxa"/>
            <w:shd w:val="clear" w:color="auto" w:fill="auto"/>
          </w:tcPr>
          <w:p w14:paraId="190A92F1" w14:textId="77777777" w:rsidR="005C3BDC" w:rsidRPr="00723C9B" w:rsidRDefault="00E50962" w:rsidP="00414740">
            <w:pPr>
              <w:pStyle w:val="TableText0"/>
              <w:spacing w:before="60" w:after="60"/>
              <w:jc w:val="left"/>
            </w:pPr>
            <w:r w:rsidRPr="00E50962">
              <w:t xml:space="preserve">Local efficacy, modified RECIST criteria, disease control, 1-year and 2-year </w:t>
            </w:r>
            <w:r>
              <w:t>survival rates, adverse events</w:t>
            </w:r>
          </w:p>
        </w:tc>
        <w:tc>
          <w:tcPr>
            <w:tcW w:w="1044" w:type="dxa"/>
            <w:shd w:val="clear" w:color="auto" w:fill="auto"/>
          </w:tcPr>
          <w:p w14:paraId="45B3ED9C" w14:textId="77777777" w:rsidR="005C3BDC" w:rsidRPr="008A6F37" w:rsidRDefault="005C3BDC" w:rsidP="00414740">
            <w:pPr>
              <w:pStyle w:val="TableText0"/>
              <w:spacing w:before="60" w:after="60"/>
              <w:jc w:val="left"/>
              <w:rPr>
                <w:snapToGrid w:val="0"/>
              </w:rPr>
            </w:pPr>
            <w:r w:rsidRPr="008A6F37">
              <w:rPr>
                <w:snapToGrid w:val="0"/>
              </w:rPr>
              <w:t>Not used</w:t>
            </w:r>
          </w:p>
        </w:tc>
      </w:tr>
      <w:tr w:rsidR="00EA28D0" w:rsidRPr="00183E4D" w14:paraId="3338DF1A" w14:textId="77777777" w:rsidTr="00414740">
        <w:tc>
          <w:tcPr>
            <w:tcW w:w="1283" w:type="dxa"/>
            <w:shd w:val="clear" w:color="auto" w:fill="auto"/>
          </w:tcPr>
          <w:p w14:paraId="3A2F4541" w14:textId="77777777" w:rsidR="005C3BDC" w:rsidRPr="008A6F37" w:rsidRDefault="00E50962" w:rsidP="00AF30CA">
            <w:pPr>
              <w:pStyle w:val="TableText0"/>
              <w:spacing w:before="60" w:after="60"/>
              <w:jc w:val="left"/>
              <w:rPr>
                <w:snapToGrid w:val="0"/>
              </w:rPr>
            </w:pPr>
            <w:r>
              <w:rPr>
                <w:snapToGrid w:val="0"/>
              </w:rPr>
              <w:t>Wei</w:t>
            </w:r>
            <w:r w:rsidR="005C3BDC">
              <w:rPr>
                <w:snapToGrid w:val="0"/>
              </w:rPr>
              <w:t xml:space="preserve"> et al (2015)</w:t>
            </w:r>
          </w:p>
        </w:tc>
        <w:tc>
          <w:tcPr>
            <w:tcW w:w="929" w:type="dxa"/>
            <w:shd w:val="clear" w:color="auto" w:fill="auto"/>
          </w:tcPr>
          <w:p w14:paraId="4280AD06" w14:textId="77777777" w:rsidR="005C3BDC" w:rsidRPr="008A6F37" w:rsidRDefault="00735BFA" w:rsidP="005F2661">
            <w:pPr>
              <w:pStyle w:val="TableText0"/>
              <w:spacing w:before="60" w:after="60"/>
              <w:jc w:val="center"/>
              <w:rPr>
                <w:snapToGrid w:val="0"/>
              </w:rPr>
            </w:pPr>
            <w:r>
              <w:rPr>
                <w:snapToGrid w:val="0"/>
              </w:rPr>
              <w:t>74 (NR</w:t>
            </w:r>
            <w:r w:rsidR="005C3BDC">
              <w:rPr>
                <w:snapToGrid w:val="0"/>
              </w:rPr>
              <w:t>)</w:t>
            </w:r>
          </w:p>
        </w:tc>
        <w:tc>
          <w:tcPr>
            <w:tcW w:w="1218" w:type="dxa"/>
            <w:tcBorders>
              <w:bottom w:val="single" w:sz="4" w:space="0" w:color="auto"/>
            </w:tcBorders>
            <w:shd w:val="clear" w:color="auto" w:fill="auto"/>
          </w:tcPr>
          <w:p w14:paraId="5D7A93EC" w14:textId="77777777" w:rsidR="00735BFA" w:rsidRDefault="00735BFA" w:rsidP="00414740">
            <w:pPr>
              <w:pStyle w:val="TableText0"/>
              <w:spacing w:before="60" w:after="60"/>
              <w:jc w:val="left"/>
              <w:rPr>
                <w:snapToGrid w:val="0"/>
              </w:rPr>
            </w:pPr>
            <w:r w:rsidRPr="00735BFA">
              <w:rPr>
                <w:snapToGrid w:val="0"/>
              </w:rPr>
              <w:t xml:space="preserve">Retrospective </w:t>
            </w:r>
            <w:r w:rsidR="00E1415D">
              <w:rPr>
                <w:snapToGrid w:val="0"/>
              </w:rPr>
              <w:t>NR</w:t>
            </w:r>
            <w:r>
              <w:rPr>
                <w:snapToGrid w:val="0"/>
              </w:rPr>
              <w:t xml:space="preserve"> comparative</w:t>
            </w:r>
            <w:r w:rsidRPr="00735BFA">
              <w:rPr>
                <w:snapToGrid w:val="0"/>
              </w:rPr>
              <w:t>,</w:t>
            </w:r>
          </w:p>
          <w:p w14:paraId="4289AF48" w14:textId="1EB389AB" w:rsidR="005C3BDC" w:rsidRPr="008A6F37" w:rsidRDefault="0052119E" w:rsidP="00414740">
            <w:pPr>
              <w:pStyle w:val="TableText0"/>
              <w:spacing w:before="60" w:after="60"/>
              <w:jc w:val="left"/>
              <w:rPr>
                <w:snapToGrid w:val="0"/>
              </w:rPr>
            </w:pPr>
            <w:r>
              <w:rPr>
                <w:snapToGrid w:val="0"/>
              </w:rPr>
              <w:t xml:space="preserve">Median </w:t>
            </w:r>
            <w:r w:rsidR="00735BFA" w:rsidRPr="00735BFA">
              <w:rPr>
                <w:snapToGrid w:val="0"/>
              </w:rPr>
              <w:t>21 (5</w:t>
            </w:r>
            <w:r w:rsidR="00D35E9C">
              <w:rPr>
                <w:snapToGrid w:val="0"/>
              </w:rPr>
              <w:t>–</w:t>
            </w:r>
            <w:r w:rsidR="00735BFA" w:rsidRPr="00735BFA">
              <w:rPr>
                <w:snapToGrid w:val="0"/>
              </w:rPr>
              <w:t>39) months</w:t>
            </w:r>
          </w:p>
        </w:tc>
        <w:tc>
          <w:tcPr>
            <w:tcW w:w="980" w:type="dxa"/>
            <w:tcBorders>
              <w:bottom w:val="single" w:sz="4" w:space="0" w:color="auto"/>
            </w:tcBorders>
            <w:shd w:val="clear" w:color="auto" w:fill="auto"/>
          </w:tcPr>
          <w:p w14:paraId="3716423C" w14:textId="77777777" w:rsidR="005C3BDC" w:rsidRPr="008A6F37" w:rsidRDefault="007A0EB7" w:rsidP="00414740">
            <w:pPr>
              <w:pStyle w:val="TableText0"/>
              <w:spacing w:before="60" w:after="60"/>
              <w:jc w:val="left"/>
              <w:rPr>
                <w:snapToGrid w:val="0"/>
              </w:rPr>
            </w:pPr>
            <w:r>
              <w:rPr>
                <w:snapToGrid w:val="0"/>
              </w:rPr>
              <w:t>High</w:t>
            </w:r>
          </w:p>
        </w:tc>
        <w:tc>
          <w:tcPr>
            <w:tcW w:w="1763" w:type="dxa"/>
            <w:tcBorders>
              <w:bottom w:val="single" w:sz="4" w:space="0" w:color="auto"/>
            </w:tcBorders>
            <w:shd w:val="clear" w:color="auto" w:fill="auto"/>
          </w:tcPr>
          <w:p w14:paraId="6BF7D2E8" w14:textId="77777777" w:rsidR="005C3BDC" w:rsidRPr="006711AE" w:rsidRDefault="00EA28D0" w:rsidP="00414740">
            <w:pPr>
              <w:pStyle w:val="TableText0"/>
              <w:spacing w:before="60" w:after="60"/>
              <w:jc w:val="left"/>
            </w:pPr>
            <w:r>
              <w:t>S</w:t>
            </w:r>
            <w:r w:rsidR="00E733FF">
              <w:t>tage IIIB-IV NSCLC</w:t>
            </w:r>
          </w:p>
        </w:tc>
        <w:tc>
          <w:tcPr>
            <w:tcW w:w="1838" w:type="dxa"/>
            <w:tcBorders>
              <w:bottom w:val="single" w:sz="4" w:space="0" w:color="auto"/>
            </w:tcBorders>
            <w:shd w:val="clear" w:color="auto" w:fill="auto"/>
          </w:tcPr>
          <w:p w14:paraId="1D6309B1" w14:textId="77777777" w:rsidR="005C3BDC" w:rsidRPr="00723C9B" w:rsidRDefault="000C38FE" w:rsidP="00414740">
            <w:pPr>
              <w:pStyle w:val="TableText0"/>
              <w:spacing w:before="60" w:after="60"/>
              <w:jc w:val="left"/>
            </w:pPr>
            <w:r>
              <w:t>T</w:t>
            </w:r>
            <w:r w:rsidR="00735BFA" w:rsidRPr="00735BFA">
              <w:t xml:space="preserve">reatment </w:t>
            </w:r>
            <w:r>
              <w:t xml:space="preserve">response </w:t>
            </w:r>
            <w:r w:rsidR="00735BFA">
              <w:t>(complete</w:t>
            </w:r>
            <w:r>
              <w:t xml:space="preserve"> </w:t>
            </w:r>
            <w:r w:rsidR="00735BFA">
              <w:t>/</w:t>
            </w:r>
            <w:r>
              <w:t xml:space="preserve"> </w:t>
            </w:r>
            <w:r w:rsidR="00735BFA">
              <w:t>incomplete ablation)</w:t>
            </w:r>
            <w:r w:rsidR="00735BFA" w:rsidRPr="00735BFA">
              <w:t xml:space="preserve">, </w:t>
            </w:r>
            <w:r>
              <w:t>TTLP</w:t>
            </w:r>
            <w:r w:rsidR="00735BFA" w:rsidRPr="00735BFA">
              <w:t>, progression free survival, overall survival, complications</w:t>
            </w:r>
          </w:p>
        </w:tc>
        <w:tc>
          <w:tcPr>
            <w:tcW w:w="1044" w:type="dxa"/>
            <w:shd w:val="clear" w:color="auto" w:fill="auto"/>
          </w:tcPr>
          <w:p w14:paraId="7B778511" w14:textId="77777777" w:rsidR="005C3BDC" w:rsidRPr="008A6F37" w:rsidRDefault="00735BFA" w:rsidP="00414740">
            <w:pPr>
              <w:pStyle w:val="TableText0"/>
              <w:spacing w:before="60" w:after="60"/>
              <w:jc w:val="left"/>
              <w:rPr>
                <w:snapToGrid w:val="0"/>
              </w:rPr>
            </w:pPr>
            <w:r>
              <w:rPr>
                <w:snapToGrid w:val="0"/>
              </w:rPr>
              <w:t>Not used</w:t>
            </w:r>
          </w:p>
        </w:tc>
      </w:tr>
      <w:tr w:rsidR="00EA28D0" w:rsidRPr="00183E4D" w14:paraId="7F79BE64" w14:textId="77777777" w:rsidTr="00414740">
        <w:tc>
          <w:tcPr>
            <w:tcW w:w="1283" w:type="dxa"/>
            <w:shd w:val="clear" w:color="auto" w:fill="auto"/>
          </w:tcPr>
          <w:p w14:paraId="27D3C116" w14:textId="77777777" w:rsidR="00EA28D0" w:rsidRDefault="00EA28D0" w:rsidP="00AF30CA">
            <w:pPr>
              <w:pStyle w:val="TableText0"/>
              <w:spacing w:before="60" w:after="60"/>
              <w:jc w:val="left"/>
              <w:rPr>
                <w:snapToGrid w:val="0"/>
              </w:rPr>
            </w:pPr>
            <w:r>
              <w:rPr>
                <w:snapToGrid w:val="0"/>
              </w:rPr>
              <w:t>Meta-analysis/pooling</w:t>
            </w:r>
          </w:p>
        </w:tc>
        <w:tc>
          <w:tcPr>
            <w:tcW w:w="929" w:type="dxa"/>
            <w:shd w:val="clear" w:color="auto" w:fill="auto"/>
          </w:tcPr>
          <w:p w14:paraId="01A33E44" w14:textId="77777777" w:rsidR="00EA28D0" w:rsidRDefault="00EA28D0" w:rsidP="005F2661">
            <w:pPr>
              <w:pStyle w:val="TableText0"/>
              <w:spacing w:before="60" w:after="60"/>
              <w:jc w:val="center"/>
              <w:rPr>
                <w:snapToGrid w:val="0"/>
              </w:rPr>
            </w:pPr>
            <w:r>
              <w:rPr>
                <w:snapToGrid w:val="0"/>
              </w:rPr>
              <w:t>149</w:t>
            </w:r>
          </w:p>
          <w:p w14:paraId="6E985EF0" w14:textId="77777777" w:rsidR="00EA28D0" w:rsidRDefault="00EA28D0" w:rsidP="005F2661">
            <w:pPr>
              <w:pStyle w:val="TableText0"/>
              <w:spacing w:before="60" w:after="60"/>
              <w:jc w:val="center"/>
              <w:rPr>
                <w:snapToGrid w:val="0"/>
              </w:rPr>
            </w:pPr>
            <w:r>
              <w:rPr>
                <w:snapToGrid w:val="0"/>
              </w:rPr>
              <w:t>3 studies</w:t>
            </w:r>
          </w:p>
        </w:tc>
        <w:tc>
          <w:tcPr>
            <w:tcW w:w="1218" w:type="dxa"/>
            <w:tcBorders>
              <w:right w:val="nil"/>
            </w:tcBorders>
            <w:shd w:val="clear" w:color="auto" w:fill="auto"/>
          </w:tcPr>
          <w:p w14:paraId="667F0BC8" w14:textId="77777777" w:rsidR="00EA28D0" w:rsidRPr="00735BFA" w:rsidRDefault="00EA28D0" w:rsidP="00414740">
            <w:pPr>
              <w:pStyle w:val="TableText0"/>
              <w:spacing w:before="60" w:after="60"/>
              <w:jc w:val="left"/>
              <w:rPr>
                <w:snapToGrid w:val="0"/>
              </w:rPr>
            </w:pPr>
          </w:p>
        </w:tc>
        <w:tc>
          <w:tcPr>
            <w:tcW w:w="980" w:type="dxa"/>
            <w:tcBorders>
              <w:left w:val="nil"/>
              <w:right w:val="nil"/>
            </w:tcBorders>
            <w:shd w:val="clear" w:color="auto" w:fill="auto"/>
          </w:tcPr>
          <w:p w14:paraId="32F3E0EE" w14:textId="77777777" w:rsidR="00EA28D0" w:rsidRDefault="00EA28D0" w:rsidP="00414740">
            <w:pPr>
              <w:pStyle w:val="TableText0"/>
              <w:spacing w:before="60" w:after="60"/>
              <w:jc w:val="left"/>
              <w:rPr>
                <w:snapToGrid w:val="0"/>
              </w:rPr>
            </w:pPr>
          </w:p>
        </w:tc>
        <w:tc>
          <w:tcPr>
            <w:tcW w:w="1763" w:type="dxa"/>
            <w:tcBorders>
              <w:left w:val="nil"/>
              <w:right w:val="nil"/>
            </w:tcBorders>
            <w:shd w:val="clear" w:color="auto" w:fill="auto"/>
          </w:tcPr>
          <w:p w14:paraId="5108EC2B" w14:textId="77777777" w:rsidR="00EA28D0" w:rsidRDefault="00EA28D0" w:rsidP="00414740">
            <w:pPr>
              <w:pStyle w:val="TableText0"/>
              <w:spacing w:before="60" w:after="60"/>
              <w:jc w:val="left"/>
            </w:pPr>
            <w:r w:rsidRPr="00735BFA">
              <w:rPr>
                <w:snapToGrid w:val="0"/>
              </w:rPr>
              <w:t>Not applicable, outcomes could not be standardised or w</w:t>
            </w:r>
            <w:r w:rsidR="00BC3651">
              <w:rPr>
                <w:snapToGrid w:val="0"/>
              </w:rPr>
              <w:t>ere not reported by all studies</w:t>
            </w:r>
          </w:p>
        </w:tc>
        <w:tc>
          <w:tcPr>
            <w:tcW w:w="1838" w:type="dxa"/>
            <w:tcBorders>
              <w:left w:val="nil"/>
            </w:tcBorders>
            <w:shd w:val="clear" w:color="auto" w:fill="auto"/>
          </w:tcPr>
          <w:p w14:paraId="5E590210" w14:textId="77777777" w:rsidR="00EA28D0" w:rsidRPr="00735BFA" w:rsidRDefault="00EA28D0" w:rsidP="00414740">
            <w:pPr>
              <w:pStyle w:val="TableText0"/>
              <w:spacing w:before="60" w:after="60"/>
              <w:jc w:val="left"/>
            </w:pPr>
          </w:p>
        </w:tc>
        <w:tc>
          <w:tcPr>
            <w:tcW w:w="1044" w:type="dxa"/>
            <w:shd w:val="clear" w:color="auto" w:fill="auto"/>
          </w:tcPr>
          <w:p w14:paraId="17B114DA" w14:textId="77777777" w:rsidR="00EA28D0" w:rsidRDefault="00EA28D0" w:rsidP="00414740">
            <w:pPr>
              <w:pStyle w:val="TableText0"/>
              <w:spacing w:before="60" w:after="60"/>
              <w:jc w:val="left"/>
              <w:rPr>
                <w:snapToGrid w:val="0"/>
              </w:rPr>
            </w:pPr>
            <w:r>
              <w:rPr>
                <w:snapToGrid w:val="0"/>
              </w:rPr>
              <w:t>Not used</w:t>
            </w:r>
          </w:p>
        </w:tc>
      </w:tr>
    </w:tbl>
    <w:p w14:paraId="7C8A024D" w14:textId="08B2BE54" w:rsidR="00EA28D0" w:rsidRDefault="00E24DFA" w:rsidP="005775DE">
      <w:pPr>
        <w:pStyle w:val="Tablenotes0"/>
        <w:rPr>
          <w:rStyle w:val="TablenotesChar0"/>
        </w:rPr>
      </w:pPr>
      <w:r>
        <w:rPr>
          <w:rStyle w:val="TablenotesChar0"/>
        </w:rPr>
        <w:t xml:space="preserve">&lt; </w:t>
      </w:r>
      <w:r w:rsidR="00EA28D0">
        <w:rPr>
          <w:rStyle w:val="TablenotesChar0"/>
        </w:rPr>
        <w:t>CS</w:t>
      </w:r>
      <w:r w:rsidR="006B4CA5">
        <w:rPr>
          <w:rStyle w:val="TablenotesChar0"/>
        </w:rPr>
        <w:t xml:space="preserve"> </w:t>
      </w:r>
      <w:r w:rsidR="00EA28D0">
        <w:rPr>
          <w:rStyle w:val="TablenotesChar0"/>
        </w:rPr>
        <w:t>=</w:t>
      </w:r>
      <w:r w:rsidR="006B4CA5">
        <w:rPr>
          <w:rStyle w:val="TablenotesChar0"/>
        </w:rPr>
        <w:t xml:space="preserve"> </w:t>
      </w:r>
      <w:r w:rsidR="00EA28D0">
        <w:rPr>
          <w:rStyle w:val="TablenotesChar0"/>
        </w:rPr>
        <w:t xml:space="preserve">case series; </w:t>
      </w:r>
      <w:r w:rsidR="00A20C2E">
        <w:rPr>
          <w:rStyle w:val="TablenotesChar0"/>
        </w:rPr>
        <w:t>MTA</w:t>
      </w:r>
      <w:r w:rsidR="006B4CA5">
        <w:rPr>
          <w:rStyle w:val="TablenotesChar0"/>
        </w:rPr>
        <w:t xml:space="preserve"> </w:t>
      </w:r>
      <w:r w:rsidR="00A20C2E">
        <w:rPr>
          <w:rStyle w:val="TablenotesChar0"/>
        </w:rPr>
        <w:t xml:space="preserve">= microwave tissue ablation; </w:t>
      </w:r>
      <w:r w:rsidR="002F591C" w:rsidRPr="002F591C">
        <w:rPr>
          <w:rStyle w:val="TablenotesChar0"/>
        </w:rPr>
        <w:t>N</w:t>
      </w:r>
      <w:r w:rsidR="008C6DFA">
        <w:rPr>
          <w:rStyle w:val="TablenotesChar0"/>
        </w:rPr>
        <w:t>R</w:t>
      </w:r>
      <w:r w:rsidR="006B4CA5">
        <w:rPr>
          <w:rStyle w:val="TablenotesChar0"/>
        </w:rPr>
        <w:t xml:space="preserve"> </w:t>
      </w:r>
      <w:r w:rsidR="002F591C" w:rsidRPr="002F591C">
        <w:rPr>
          <w:rStyle w:val="TablenotesChar0"/>
        </w:rPr>
        <w:t>=</w:t>
      </w:r>
      <w:r w:rsidR="006B4CA5">
        <w:rPr>
          <w:rStyle w:val="TablenotesChar0"/>
        </w:rPr>
        <w:t xml:space="preserve"> </w:t>
      </w:r>
      <w:r w:rsidR="008C6DFA">
        <w:rPr>
          <w:rStyle w:val="TablenotesChar0"/>
        </w:rPr>
        <w:t>non-randomised</w:t>
      </w:r>
      <w:r w:rsidR="002F591C">
        <w:rPr>
          <w:rStyle w:val="TablenotesChar0"/>
        </w:rPr>
        <w:t xml:space="preserve">; </w:t>
      </w:r>
      <w:r w:rsidR="00EA28D0">
        <w:rPr>
          <w:rStyle w:val="TablenotesChar0"/>
        </w:rPr>
        <w:t>NSCLC</w:t>
      </w:r>
      <w:r w:rsidR="006B4CA5">
        <w:rPr>
          <w:rStyle w:val="TablenotesChar0"/>
        </w:rPr>
        <w:t xml:space="preserve"> </w:t>
      </w:r>
      <w:r w:rsidR="00EA28D0">
        <w:rPr>
          <w:rStyle w:val="TablenotesChar0"/>
        </w:rPr>
        <w:t>= non-small cell lung cancer; OS</w:t>
      </w:r>
      <w:r w:rsidR="006B4CA5">
        <w:rPr>
          <w:rStyle w:val="TablenotesChar0"/>
        </w:rPr>
        <w:t xml:space="preserve"> </w:t>
      </w:r>
      <w:r w:rsidR="00EA28D0">
        <w:rPr>
          <w:rStyle w:val="TablenotesChar0"/>
        </w:rPr>
        <w:t xml:space="preserve">= overall survival; </w:t>
      </w:r>
      <w:r w:rsidR="00A20C2E" w:rsidRPr="00A20C2E">
        <w:rPr>
          <w:rStyle w:val="TablenotesChar0"/>
        </w:rPr>
        <w:t>RECIST</w:t>
      </w:r>
      <w:r w:rsidR="006B4CA5">
        <w:rPr>
          <w:rStyle w:val="TablenotesChar0"/>
        </w:rPr>
        <w:t xml:space="preserve"> </w:t>
      </w:r>
      <w:r w:rsidR="00A20C2E" w:rsidRPr="00A20C2E">
        <w:rPr>
          <w:rStyle w:val="TablenotesChar0"/>
        </w:rPr>
        <w:t>= Response Evaluation Criteria in Solid Tumours</w:t>
      </w:r>
      <w:r w:rsidR="002472B0">
        <w:rPr>
          <w:rStyle w:val="TablenotesChar0"/>
        </w:rPr>
        <w:t>;</w:t>
      </w:r>
      <w:r w:rsidR="000C38FE">
        <w:rPr>
          <w:rStyle w:val="TablenotesChar0"/>
        </w:rPr>
        <w:t xml:space="preserve"> TTLP</w:t>
      </w:r>
      <w:r w:rsidR="006B4CA5">
        <w:rPr>
          <w:rStyle w:val="TablenotesChar0"/>
        </w:rPr>
        <w:t xml:space="preserve"> </w:t>
      </w:r>
      <w:r w:rsidR="000C38FE">
        <w:rPr>
          <w:rStyle w:val="TablenotesChar0"/>
        </w:rPr>
        <w:t>=</w:t>
      </w:r>
      <w:r w:rsidR="006B4CA5">
        <w:rPr>
          <w:rStyle w:val="TablenotesChar0"/>
        </w:rPr>
        <w:t xml:space="preserve"> </w:t>
      </w:r>
      <w:r>
        <w:rPr>
          <w:rStyle w:val="TablenotesChar0"/>
        </w:rPr>
        <w:t>time to local progression &gt;</w:t>
      </w:r>
    </w:p>
    <w:p w14:paraId="55874D77" w14:textId="77777777" w:rsidR="00EA28D0" w:rsidRDefault="00EA28D0" w:rsidP="005775DE">
      <w:pPr>
        <w:pStyle w:val="Tablenotes0"/>
        <w:rPr>
          <w:rStyle w:val="TablenotesChar0"/>
        </w:rPr>
      </w:pPr>
      <w:proofErr w:type="gramStart"/>
      <w:r w:rsidRPr="005C3BDC">
        <w:rPr>
          <w:rStyle w:val="TablenotesChar0"/>
          <w:vertAlign w:val="superscript"/>
        </w:rPr>
        <w:t>a</w:t>
      </w:r>
      <w:proofErr w:type="gramEnd"/>
      <w:r w:rsidRPr="005C3BDC">
        <w:rPr>
          <w:rStyle w:val="TablenotesChar0"/>
          <w:vertAlign w:val="superscript"/>
        </w:rPr>
        <w:t xml:space="preserve"> </w:t>
      </w:r>
      <w:r w:rsidRPr="005C3BDC">
        <w:rPr>
          <w:rStyle w:val="TablenotesChar0"/>
        </w:rPr>
        <w:t>reported as median (range) unless otherwise stated</w:t>
      </w:r>
      <w:r w:rsidR="00C63823">
        <w:rPr>
          <w:rStyle w:val="TablenotesChar0"/>
        </w:rPr>
        <w:t>.</w:t>
      </w:r>
    </w:p>
    <w:p w14:paraId="44D85B6B" w14:textId="77777777" w:rsidR="006E4052" w:rsidRDefault="006E4052" w:rsidP="008D77C9">
      <w:pPr>
        <w:rPr>
          <w:i/>
        </w:rPr>
      </w:pPr>
    </w:p>
    <w:p w14:paraId="3B37EABE" w14:textId="77777777" w:rsidR="006E4052" w:rsidRDefault="006E4052" w:rsidP="008D77C9">
      <w:pPr>
        <w:rPr>
          <w:i/>
        </w:rPr>
      </w:pPr>
    </w:p>
    <w:p w14:paraId="42B3B40F" w14:textId="77777777" w:rsidR="00B41093" w:rsidRDefault="00B41093" w:rsidP="008D77C9">
      <w:pPr>
        <w:rPr>
          <w:i/>
        </w:rPr>
      </w:pPr>
      <w:r>
        <w:rPr>
          <w:i/>
        </w:rPr>
        <w:lastRenderedPageBreak/>
        <w:t>Studies of microwave ablation of lung tumours not meeting inclusion criteria for effectiveness but included to inform the safety profile of MTA</w:t>
      </w:r>
    </w:p>
    <w:p w14:paraId="030F7786" w14:textId="77777777" w:rsidR="00B71F4C" w:rsidRDefault="00B71F4C" w:rsidP="008D77C9">
      <w:r>
        <w:t>In order to provide the MSAC with a more complete safety profile of MTA used in the lung</w:t>
      </w:r>
      <w:r w:rsidR="0063625A">
        <w:t>,</w:t>
      </w:r>
      <w:r>
        <w:t xml:space="preserve"> all studies of MTA for primary or secondary lung cancer which did not meet the inclusion criteria were extracted and appraised separately. These studies include:</w:t>
      </w:r>
    </w:p>
    <w:p w14:paraId="0368FB84" w14:textId="77777777" w:rsidR="00B71F4C" w:rsidRDefault="00B71F4C" w:rsidP="009970F5">
      <w:pPr>
        <w:pStyle w:val="ListParagraph"/>
        <w:numPr>
          <w:ilvl w:val="0"/>
          <w:numId w:val="16"/>
        </w:numPr>
      </w:pPr>
      <w:r>
        <w:t>Studies with mixed primary and secondary lung lesions that meet inclusion criteria but for whom demographic data and results are not separable.</w:t>
      </w:r>
    </w:p>
    <w:p w14:paraId="6D85B465" w14:textId="77777777" w:rsidR="00B71F4C" w:rsidRDefault="00B71F4C" w:rsidP="009970F5">
      <w:pPr>
        <w:pStyle w:val="ListParagraph"/>
        <w:numPr>
          <w:ilvl w:val="0"/>
          <w:numId w:val="16"/>
        </w:numPr>
      </w:pPr>
      <w:r>
        <w:t>Studies of patients with primary or secondary lung lesions for whom there is insufficient demographic or other data to establish whether they meet the inclusion criteria for the review.</w:t>
      </w:r>
    </w:p>
    <w:p w14:paraId="3D66756D" w14:textId="77777777" w:rsidR="00B71F4C" w:rsidRDefault="00B71F4C" w:rsidP="009970F5">
      <w:pPr>
        <w:pStyle w:val="ListParagraph"/>
        <w:numPr>
          <w:ilvl w:val="0"/>
          <w:numId w:val="16"/>
        </w:numPr>
      </w:pPr>
      <w:r>
        <w:t xml:space="preserve">Studies of patients treated with MTA or RFA for whom results are separable but demographic data is not separable. </w:t>
      </w:r>
    </w:p>
    <w:p w14:paraId="1EB3B323" w14:textId="77777777" w:rsidR="00B71F4C" w:rsidRPr="00B71F4C" w:rsidRDefault="00924D6D" w:rsidP="00B71F4C">
      <w:r>
        <w:t xml:space="preserve">It was not appropriate to include these studies for an assessment of effectiveness as they do not meet the inclusion criteria. However, where possible adverse events associated with MTA have been extracted and contribute to </w:t>
      </w:r>
      <w:r w:rsidR="00AA5E3C">
        <w:t xml:space="preserve">Section </w:t>
      </w:r>
      <w:r>
        <w:t xml:space="preserve">B.6. All studies are at a high risk of bias. </w:t>
      </w:r>
    </w:p>
    <w:p w14:paraId="6EEC05B3" w14:textId="77777777" w:rsidR="00B71F4C" w:rsidRDefault="00B71F4C" w:rsidP="004B2AA6">
      <w:pPr>
        <w:pStyle w:val="Caption"/>
        <w:widowControl w:val="0"/>
      </w:pPr>
      <w:bookmarkStart w:id="248" w:name="_Ref457400959"/>
      <w:bookmarkStart w:id="249" w:name="_Toc460514690"/>
      <w:r>
        <w:t xml:space="preserve">Table </w:t>
      </w:r>
      <w:fldSimple w:instr=" SEQ Table \* ARABIC ">
        <w:r w:rsidR="00D170A5">
          <w:rPr>
            <w:noProof/>
          </w:rPr>
          <w:t>32</w:t>
        </w:r>
      </w:fldSimple>
      <w:bookmarkEnd w:id="248"/>
      <w:r>
        <w:tab/>
        <w:t>Additional studies of MTA included for safety</w:t>
      </w:r>
      <w:bookmarkEnd w:id="249"/>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224"/>
        <w:gridCol w:w="965"/>
        <w:gridCol w:w="1221"/>
        <w:gridCol w:w="977"/>
        <w:gridCol w:w="1827"/>
        <w:gridCol w:w="1821"/>
        <w:gridCol w:w="1020"/>
      </w:tblGrid>
      <w:tr w:rsidR="00B41093" w:rsidRPr="001D54EF" w14:paraId="0A7296EA" w14:textId="77777777" w:rsidTr="00EA77CC">
        <w:trPr>
          <w:cantSplit/>
          <w:tblHeader/>
        </w:trPr>
        <w:tc>
          <w:tcPr>
            <w:tcW w:w="1224" w:type="dxa"/>
            <w:shd w:val="clear" w:color="auto" w:fill="D9D9D9" w:themeFill="background1" w:themeFillShade="D9"/>
            <w:vAlign w:val="bottom"/>
          </w:tcPr>
          <w:p w14:paraId="6FA3A8DF" w14:textId="77777777" w:rsidR="00B41093" w:rsidRPr="00E72D7C" w:rsidRDefault="00B41093" w:rsidP="00EA77CC">
            <w:pPr>
              <w:pStyle w:val="TableHeading"/>
              <w:keepNext w:val="0"/>
              <w:widowControl w:val="0"/>
              <w:spacing w:before="60" w:after="60"/>
              <w:jc w:val="left"/>
              <w:rPr>
                <w:snapToGrid w:val="0"/>
                <w:lang w:eastAsia="en-US"/>
              </w:rPr>
            </w:pPr>
            <w:r w:rsidRPr="00E72D7C">
              <w:rPr>
                <w:snapToGrid w:val="0"/>
                <w:lang w:eastAsia="en-US"/>
              </w:rPr>
              <w:t>Trial/Study</w:t>
            </w:r>
          </w:p>
        </w:tc>
        <w:tc>
          <w:tcPr>
            <w:tcW w:w="965" w:type="dxa"/>
            <w:shd w:val="clear" w:color="auto" w:fill="D9D9D9" w:themeFill="background1" w:themeFillShade="D9"/>
            <w:vAlign w:val="bottom"/>
          </w:tcPr>
          <w:p w14:paraId="74927529" w14:textId="77777777" w:rsidR="00B41093" w:rsidRPr="00E72D7C" w:rsidRDefault="00B41093" w:rsidP="00414740">
            <w:pPr>
              <w:pStyle w:val="TableHeading"/>
              <w:keepNext w:val="0"/>
              <w:widowControl w:val="0"/>
              <w:spacing w:before="60" w:after="60"/>
              <w:jc w:val="left"/>
              <w:rPr>
                <w:snapToGrid w:val="0"/>
                <w:lang w:eastAsia="en-US"/>
              </w:rPr>
            </w:pPr>
            <w:r w:rsidRPr="00E72D7C">
              <w:rPr>
                <w:snapToGrid w:val="0"/>
                <w:lang w:eastAsia="en-US"/>
              </w:rPr>
              <w:t>N (lesions)</w:t>
            </w:r>
          </w:p>
        </w:tc>
        <w:tc>
          <w:tcPr>
            <w:tcW w:w="1221" w:type="dxa"/>
            <w:shd w:val="clear" w:color="auto" w:fill="D9D9D9" w:themeFill="background1" w:themeFillShade="D9"/>
            <w:vAlign w:val="bottom"/>
          </w:tcPr>
          <w:p w14:paraId="31A5935E" w14:textId="77777777" w:rsidR="00B41093" w:rsidRPr="00E72D7C" w:rsidRDefault="00F26B1A" w:rsidP="00414740">
            <w:pPr>
              <w:pStyle w:val="TableHeading"/>
              <w:keepNext w:val="0"/>
              <w:widowControl w:val="0"/>
              <w:spacing w:before="60" w:after="60"/>
              <w:jc w:val="left"/>
              <w:rPr>
                <w:snapToGrid w:val="0"/>
                <w:vertAlign w:val="superscript"/>
                <w:lang w:eastAsia="en-US"/>
              </w:rPr>
            </w:pPr>
            <w:r w:rsidRPr="00E72D7C">
              <w:rPr>
                <w:snapToGrid w:val="0"/>
                <w:lang w:eastAsia="en-US"/>
              </w:rPr>
              <w:t>Design; D</w:t>
            </w:r>
            <w:r w:rsidR="00B41093" w:rsidRPr="00E72D7C">
              <w:rPr>
                <w:snapToGrid w:val="0"/>
                <w:lang w:eastAsia="en-US"/>
              </w:rPr>
              <w:t>uration</w:t>
            </w:r>
            <w:r w:rsidR="00B41093" w:rsidRPr="00E72D7C">
              <w:rPr>
                <w:snapToGrid w:val="0"/>
                <w:vertAlign w:val="superscript"/>
                <w:lang w:eastAsia="en-US"/>
              </w:rPr>
              <w:t>a</w:t>
            </w:r>
          </w:p>
        </w:tc>
        <w:tc>
          <w:tcPr>
            <w:tcW w:w="977" w:type="dxa"/>
            <w:shd w:val="clear" w:color="auto" w:fill="D9D9D9" w:themeFill="background1" w:themeFillShade="D9"/>
            <w:vAlign w:val="bottom"/>
          </w:tcPr>
          <w:p w14:paraId="38133F29" w14:textId="77777777" w:rsidR="00B41093" w:rsidRPr="00E72D7C" w:rsidRDefault="00B41093" w:rsidP="00414740">
            <w:pPr>
              <w:pStyle w:val="TableHeading"/>
              <w:keepNext w:val="0"/>
              <w:widowControl w:val="0"/>
              <w:spacing w:before="60" w:after="60"/>
              <w:jc w:val="left"/>
              <w:rPr>
                <w:snapToGrid w:val="0"/>
                <w:lang w:eastAsia="en-US"/>
              </w:rPr>
            </w:pPr>
            <w:r w:rsidRPr="00E72D7C">
              <w:rPr>
                <w:snapToGrid w:val="0"/>
                <w:lang w:eastAsia="en-US"/>
              </w:rPr>
              <w:t>Risk of bias</w:t>
            </w:r>
          </w:p>
        </w:tc>
        <w:tc>
          <w:tcPr>
            <w:tcW w:w="1827" w:type="dxa"/>
            <w:shd w:val="clear" w:color="auto" w:fill="D9D9D9" w:themeFill="background1" w:themeFillShade="D9"/>
            <w:vAlign w:val="bottom"/>
          </w:tcPr>
          <w:p w14:paraId="556AE2B5" w14:textId="77777777" w:rsidR="00B41093" w:rsidRPr="00E72D7C" w:rsidRDefault="00B41093" w:rsidP="00414740">
            <w:pPr>
              <w:pStyle w:val="TableHeading"/>
              <w:keepNext w:val="0"/>
              <w:widowControl w:val="0"/>
              <w:spacing w:before="60" w:after="60"/>
              <w:jc w:val="left"/>
              <w:rPr>
                <w:snapToGrid w:val="0"/>
                <w:lang w:eastAsia="en-US"/>
              </w:rPr>
            </w:pPr>
            <w:r w:rsidRPr="00E72D7C">
              <w:rPr>
                <w:snapToGrid w:val="0"/>
                <w:lang w:eastAsia="en-US"/>
              </w:rPr>
              <w:t>Patient population</w:t>
            </w:r>
          </w:p>
        </w:tc>
        <w:tc>
          <w:tcPr>
            <w:tcW w:w="1821" w:type="dxa"/>
            <w:shd w:val="clear" w:color="auto" w:fill="D9D9D9" w:themeFill="background1" w:themeFillShade="D9"/>
            <w:vAlign w:val="bottom"/>
          </w:tcPr>
          <w:p w14:paraId="0088194B" w14:textId="77777777" w:rsidR="00B41093" w:rsidRPr="00E72D7C" w:rsidRDefault="00B41093" w:rsidP="00414740">
            <w:pPr>
              <w:pStyle w:val="TableHeading"/>
              <w:keepNext w:val="0"/>
              <w:widowControl w:val="0"/>
              <w:spacing w:before="60" w:after="60"/>
              <w:jc w:val="left"/>
              <w:rPr>
                <w:snapToGrid w:val="0"/>
                <w:lang w:eastAsia="en-US"/>
              </w:rPr>
            </w:pPr>
            <w:r w:rsidRPr="00E72D7C">
              <w:rPr>
                <w:snapToGrid w:val="0"/>
                <w:lang w:eastAsia="en-US"/>
              </w:rPr>
              <w:t>Key outcome(s)</w:t>
            </w:r>
          </w:p>
        </w:tc>
        <w:tc>
          <w:tcPr>
            <w:tcW w:w="1020" w:type="dxa"/>
            <w:shd w:val="clear" w:color="auto" w:fill="D9D9D9" w:themeFill="background1" w:themeFillShade="D9"/>
          </w:tcPr>
          <w:p w14:paraId="003EF611" w14:textId="77777777" w:rsidR="00B41093" w:rsidRPr="00E72D7C" w:rsidRDefault="00B41093" w:rsidP="00414740">
            <w:pPr>
              <w:pStyle w:val="TableHeading"/>
              <w:keepNext w:val="0"/>
              <w:widowControl w:val="0"/>
              <w:spacing w:before="60" w:after="60"/>
              <w:jc w:val="left"/>
              <w:rPr>
                <w:snapToGrid w:val="0"/>
                <w:lang w:eastAsia="en-US"/>
              </w:rPr>
            </w:pPr>
            <w:r w:rsidRPr="00E72D7C">
              <w:rPr>
                <w:snapToGrid w:val="0"/>
                <w:lang w:eastAsia="en-US"/>
              </w:rPr>
              <w:t>Result used in economic model</w:t>
            </w:r>
          </w:p>
        </w:tc>
      </w:tr>
      <w:tr w:rsidR="00B41093" w:rsidRPr="001D54EF" w14:paraId="0E9D606B" w14:textId="77777777" w:rsidTr="003C214D">
        <w:trPr>
          <w:cantSplit/>
        </w:trPr>
        <w:tc>
          <w:tcPr>
            <w:tcW w:w="1224" w:type="dxa"/>
            <w:shd w:val="clear" w:color="auto" w:fill="auto"/>
          </w:tcPr>
          <w:p w14:paraId="6914387A" w14:textId="77777777" w:rsidR="00B41093" w:rsidRPr="001D54EF" w:rsidRDefault="00B41093" w:rsidP="00E72D7C">
            <w:pPr>
              <w:pStyle w:val="TableText0"/>
              <w:keepNext w:val="0"/>
              <w:widowControl w:val="0"/>
              <w:spacing w:before="60" w:after="60"/>
              <w:jc w:val="left"/>
              <w:rPr>
                <w:szCs w:val="20"/>
              </w:rPr>
            </w:pPr>
            <w:r w:rsidRPr="001D54EF">
              <w:rPr>
                <w:szCs w:val="20"/>
              </w:rPr>
              <w:t>Alexander et al (2013)</w:t>
            </w:r>
          </w:p>
        </w:tc>
        <w:tc>
          <w:tcPr>
            <w:tcW w:w="965" w:type="dxa"/>
            <w:shd w:val="clear" w:color="auto" w:fill="auto"/>
          </w:tcPr>
          <w:p w14:paraId="47C78DDE" w14:textId="77777777" w:rsidR="00B41093" w:rsidRPr="00F2078A" w:rsidRDefault="00B41093" w:rsidP="00414740">
            <w:pPr>
              <w:pStyle w:val="TableText0"/>
              <w:keepNext w:val="0"/>
              <w:widowControl w:val="0"/>
              <w:spacing w:before="60" w:after="60"/>
              <w:jc w:val="left"/>
              <w:rPr>
                <w:snapToGrid w:val="0"/>
                <w:szCs w:val="20"/>
                <w:vertAlign w:val="superscript"/>
              </w:rPr>
            </w:pPr>
            <w:r w:rsidRPr="005F2661">
              <w:rPr>
                <w:snapToGrid w:val="0"/>
                <w:szCs w:val="20"/>
              </w:rPr>
              <w:t>163 (195)</w:t>
            </w:r>
            <w:r w:rsidR="00B7710C" w:rsidRPr="005F2661">
              <w:rPr>
                <w:snapToGrid w:val="0"/>
                <w:szCs w:val="20"/>
                <w:vertAlign w:val="superscript"/>
              </w:rPr>
              <w:t>b</w:t>
            </w:r>
          </w:p>
        </w:tc>
        <w:tc>
          <w:tcPr>
            <w:tcW w:w="1221" w:type="dxa"/>
            <w:shd w:val="clear" w:color="auto" w:fill="auto"/>
          </w:tcPr>
          <w:p w14:paraId="4D9A468E" w14:textId="77777777" w:rsidR="00B41093" w:rsidRPr="00642604" w:rsidRDefault="00B41093" w:rsidP="00414740">
            <w:pPr>
              <w:pStyle w:val="TableText0"/>
              <w:keepNext w:val="0"/>
              <w:widowControl w:val="0"/>
              <w:spacing w:before="60" w:after="60"/>
              <w:jc w:val="left"/>
              <w:rPr>
                <w:snapToGrid w:val="0"/>
                <w:szCs w:val="20"/>
              </w:rPr>
            </w:pPr>
            <w:r w:rsidRPr="00642604">
              <w:rPr>
                <w:snapToGrid w:val="0"/>
                <w:szCs w:val="20"/>
              </w:rPr>
              <w:t>Retrospective CS,</w:t>
            </w:r>
          </w:p>
          <w:p w14:paraId="32918550" w14:textId="77777777" w:rsidR="00B41093" w:rsidRPr="0000124A" w:rsidRDefault="00F53685" w:rsidP="00414740">
            <w:pPr>
              <w:pStyle w:val="TableText0"/>
              <w:keepNext w:val="0"/>
              <w:widowControl w:val="0"/>
              <w:spacing w:before="60" w:after="60"/>
              <w:jc w:val="left"/>
              <w:rPr>
                <w:snapToGrid w:val="0"/>
                <w:szCs w:val="20"/>
              </w:rPr>
            </w:pPr>
            <w:r w:rsidRPr="00642604">
              <w:rPr>
                <w:snapToGrid w:val="0"/>
                <w:szCs w:val="20"/>
              </w:rPr>
              <w:t>Mean</w:t>
            </w:r>
            <w:r w:rsidR="002251D8" w:rsidRPr="001C2967">
              <w:rPr>
                <w:snapToGrid w:val="0"/>
                <w:szCs w:val="20"/>
              </w:rPr>
              <w:t xml:space="preserve"> 20 (</w:t>
            </w:r>
            <w:r w:rsidRPr="00EB5A53">
              <w:rPr>
                <w:snapToGrid w:val="0"/>
                <w:szCs w:val="20"/>
              </w:rPr>
              <w:t xml:space="preserve">SD </w:t>
            </w:r>
            <w:r w:rsidR="002251D8" w:rsidRPr="00351105">
              <w:rPr>
                <w:snapToGrid w:val="0"/>
                <w:szCs w:val="20"/>
              </w:rPr>
              <w:t>15) mo</w:t>
            </w:r>
            <w:r w:rsidRPr="0000124A">
              <w:rPr>
                <w:snapToGrid w:val="0"/>
                <w:szCs w:val="20"/>
              </w:rPr>
              <w:t>nths</w:t>
            </w:r>
          </w:p>
        </w:tc>
        <w:tc>
          <w:tcPr>
            <w:tcW w:w="977" w:type="dxa"/>
            <w:shd w:val="clear" w:color="auto" w:fill="auto"/>
          </w:tcPr>
          <w:p w14:paraId="13B40BBB" w14:textId="77777777" w:rsidR="00B41093" w:rsidRPr="00781354" w:rsidRDefault="00B41093" w:rsidP="00414740">
            <w:pPr>
              <w:pStyle w:val="TableText0"/>
              <w:keepNext w:val="0"/>
              <w:widowControl w:val="0"/>
              <w:spacing w:before="60" w:after="60"/>
              <w:jc w:val="left"/>
              <w:rPr>
                <w:snapToGrid w:val="0"/>
                <w:szCs w:val="20"/>
              </w:rPr>
            </w:pPr>
            <w:r w:rsidRPr="00781354">
              <w:rPr>
                <w:snapToGrid w:val="0"/>
                <w:szCs w:val="20"/>
              </w:rPr>
              <w:t>High</w:t>
            </w:r>
          </w:p>
        </w:tc>
        <w:tc>
          <w:tcPr>
            <w:tcW w:w="1827" w:type="dxa"/>
            <w:shd w:val="clear" w:color="auto" w:fill="auto"/>
          </w:tcPr>
          <w:p w14:paraId="7D32CB37" w14:textId="77777777" w:rsidR="00B41093" w:rsidRPr="006B33E4" w:rsidRDefault="00B41093" w:rsidP="00414740">
            <w:pPr>
              <w:pStyle w:val="TableText0"/>
              <w:keepNext w:val="0"/>
              <w:widowControl w:val="0"/>
              <w:spacing w:before="60" w:after="60"/>
              <w:jc w:val="left"/>
              <w:rPr>
                <w:szCs w:val="20"/>
              </w:rPr>
            </w:pPr>
            <w:r w:rsidRPr="006B33E4">
              <w:rPr>
                <w:szCs w:val="20"/>
              </w:rPr>
              <w:t>Lung neoplasms treated with MTA and/or RFA</w:t>
            </w:r>
          </w:p>
        </w:tc>
        <w:tc>
          <w:tcPr>
            <w:tcW w:w="1821" w:type="dxa"/>
            <w:shd w:val="clear" w:color="auto" w:fill="auto"/>
          </w:tcPr>
          <w:p w14:paraId="20AAE55C" w14:textId="77777777" w:rsidR="00B41093" w:rsidRPr="004D10F1" w:rsidRDefault="00B41093" w:rsidP="00414740">
            <w:pPr>
              <w:pStyle w:val="TableText0"/>
              <w:keepNext w:val="0"/>
              <w:widowControl w:val="0"/>
              <w:spacing w:before="60" w:after="60"/>
              <w:jc w:val="left"/>
              <w:rPr>
                <w:snapToGrid w:val="0"/>
                <w:szCs w:val="20"/>
              </w:rPr>
            </w:pPr>
            <w:r w:rsidRPr="004D10F1">
              <w:rPr>
                <w:snapToGrid w:val="0"/>
                <w:szCs w:val="20"/>
              </w:rPr>
              <w:t>Incidence of rib fracture</w:t>
            </w:r>
          </w:p>
        </w:tc>
        <w:tc>
          <w:tcPr>
            <w:tcW w:w="1020" w:type="dxa"/>
            <w:shd w:val="clear" w:color="auto" w:fill="auto"/>
          </w:tcPr>
          <w:p w14:paraId="572DAEF2" w14:textId="77777777" w:rsidR="00B41093" w:rsidRPr="00935A6C" w:rsidRDefault="00B41093" w:rsidP="00414740">
            <w:pPr>
              <w:pStyle w:val="TableText0"/>
              <w:keepNext w:val="0"/>
              <w:widowControl w:val="0"/>
              <w:spacing w:before="60" w:after="60"/>
              <w:jc w:val="left"/>
              <w:rPr>
                <w:snapToGrid w:val="0"/>
                <w:szCs w:val="20"/>
              </w:rPr>
            </w:pPr>
            <w:r w:rsidRPr="00935A6C">
              <w:rPr>
                <w:snapToGrid w:val="0"/>
                <w:szCs w:val="20"/>
              </w:rPr>
              <w:t>Not used</w:t>
            </w:r>
          </w:p>
        </w:tc>
      </w:tr>
      <w:tr w:rsidR="00B41093" w:rsidRPr="001D54EF" w14:paraId="49D2AE34" w14:textId="77777777" w:rsidTr="003C214D">
        <w:trPr>
          <w:cantSplit/>
        </w:trPr>
        <w:tc>
          <w:tcPr>
            <w:tcW w:w="1224" w:type="dxa"/>
            <w:shd w:val="clear" w:color="auto" w:fill="auto"/>
          </w:tcPr>
          <w:p w14:paraId="4688AEEE" w14:textId="77777777" w:rsidR="00B41093" w:rsidRPr="001D54EF" w:rsidRDefault="00B41093" w:rsidP="00E72D7C">
            <w:pPr>
              <w:pStyle w:val="TableText0"/>
              <w:keepNext w:val="0"/>
              <w:widowControl w:val="0"/>
              <w:spacing w:before="60" w:after="60"/>
              <w:jc w:val="left"/>
              <w:rPr>
                <w:szCs w:val="20"/>
              </w:rPr>
            </w:pPr>
            <w:r w:rsidRPr="001D54EF">
              <w:rPr>
                <w:szCs w:val="20"/>
              </w:rPr>
              <w:t>Belfiore et al (2013)</w:t>
            </w:r>
          </w:p>
        </w:tc>
        <w:tc>
          <w:tcPr>
            <w:tcW w:w="965" w:type="dxa"/>
            <w:shd w:val="clear" w:color="auto" w:fill="auto"/>
          </w:tcPr>
          <w:p w14:paraId="04ABB3EF" w14:textId="77777777" w:rsidR="00B41093" w:rsidRPr="001D54EF" w:rsidRDefault="00B41093" w:rsidP="00414740">
            <w:pPr>
              <w:pStyle w:val="TableText0"/>
              <w:keepNext w:val="0"/>
              <w:widowControl w:val="0"/>
              <w:spacing w:before="60" w:after="60"/>
              <w:jc w:val="left"/>
              <w:rPr>
                <w:snapToGrid w:val="0"/>
                <w:szCs w:val="20"/>
              </w:rPr>
            </w:pPr>
            <w:r w:rsidRPr="001D54EF">
              <w:rPr>
                <w:snapToGrid w:val="0"/>
                <w:szCs w:val="20"/>
              </w:rPr>
              <w:t>58 (69)</w:t>
            </w:r>
          </w:p>
        </w:tc>
        <w:tc>
          <w:tcPr>
            <w:tcW w:w="1221" w:type="dxa"/>
            <w:shd w:val="clear" w:color="auto" w:fill="auto"/>
          </w:tcPr>
          <w:p w14:paraId="4A2298A3" w14:textId="77777777" w:rsidR="00B41093" w:rsidRPr="001D54EF" w:rsidRDefault="00B41093" w:rsidP="00414740">
            <w:pPr>
              <w:pStyle w:val="TableText0"/>
              <w:keepNext w:val="0"/>
              <w:widowControl w:val="0"/>
              <w:spacing w:before="60" w:after="60"/>
              <w:jc w:val="left"/>
              <w:rPr>
                <w:snapToGrid w:val="0"/>
                <w:szCs w:val="20"/>
              </w:rPr>
            </w:pPr>
            <w:r w:rsidRPr="001D54EF">
              <w:rPr>
                <w:snapToGrid w:val="0"/>
                <w:szCs w:val="20"/>
              </w:rPr>
              <w:t>Retrospective CS,</w:t>
            </w:r>
          </w:p>
          <w:p w14:paraId="2C4683A0" w14:textId="77777777" w:rsidR="00B41093" w:rsidRPr="005F2661" w:rsidRDefault="00B41093" w:rsidP="00414740">
            <w:pPr>
              <w:pStyle w:val="TableText0"/>
              <w:keepNext w:val="0"/>
              <w:widowControl w:val="0"/>
              <w:spacing w:before="60" w:after="60"/>
              <w:jc w:val="left"/>
              <w:rPr>
                <w:snapToGrid w:val="0"/>
                <w:szCs w:val="20"/>
              </w:rPr>
            </w:pPr>
            <w:r w:rsidRPr="005F2661">
              <w:rPr>
                <w:snapToGrid w:val="0"/>
                <w:szCs w:val="20"/>
              </w:rPr>
              <w:t>NR</w:t>
            </w:r>
          </w:p>
        </w:tc>
        <w:tc>
          <w:tcPr>
            <w:tcW w:w="977" w:type="dxa"/>
            <w:shd w:val="clear" w:color="auto" w:fill="auto"/>
          </w:tcPr>
          <w:p w14:paraId="283465DF" w14:textId="77777777" w:rsidR="00B41093" w:rsidRPr="005F2661" w:rsidRDefault="00B41093" w:rsidP="00414740">
            <w:pPr>
              <w:pStyle w:val="TableText0"/>
              <w:keepNext w:val="0"/>
              <w:widowControl w:val="0"/>
              <w:spacing w:before="60" w:after="60"/>
              <w:jc w:val="left"/>
              <w:rPr>
                <w:snapToGrid w:val="0"/>
                <w:szCs w:val="20"/>
              </w:rPr>
            </w:pPr>
            <w:r w:rsidRPr="005F2661">
              <w:rPr>
                <w:snapToGrid w:val="0"/>
                <w:szCs w:val="20"/>
              </w:rPr>
              <w:t>High</w:t>
            </w:r>
          </w:p>
        </w:tc>
        <w:tc>
          <w:tcPr>
            <w:tcW w:w="1827" w:type="dxa"/>
            <w:shd w:val="clear" w:color="auto" w:fill="auto"/>
          </w:tcPr>
          <w:p w14:paraId="7D34E031" w14:textId="77777777" w:rsidR="00BD39D5" w:rsidRPr="001C2967" w:rsidRDefault="00CB6068" w:rsidP="00414740">
            <w:pPr>
              <w:pStyle w:val="TableText0"/>
              <w:keepNext w:val="0"/>
              <w:widowControl w:val="0"/>
              <w:spacing w:before="60" w:after="60"/>
              <w:jc w:val="left"/>
              <w:rPr>
                <w:szCs w:val="20"/>
              </w:rPr>
            </w:pPr>
            <w:r w:rsidRPr="00F2078A">
              <w:rPr>
                <w:szCs w:val="20"/>
              </w:rPr>
              <w:t>Inoperable p</w:t>
            </w:r>
            <w:r w:rsidR="00B41093" w:rsidRPr="006E71B4">
              <w:rPr>
                <w:szCs w:val="20"/>
              </w:rPr>
              <w:t>rimary or secondary lung cancer</w:t>
            </w:r>
          </w:p>
        </w:tc>
        <w:tc>
          <w:tcPr>
            <w:tcW w:w="1821" w:type="dxa"/>
            <w:shd w:val="clear" w:color="auto" w:fill="auto"/>
          </w:tcPr>
          <w:p w14:paraId="7089C33D" w14:textId="77777777" w:rsidR="00B41093" w:rsidRPr="00351105" w:rsidRDefault="00BD39D5" w:rsidP="00414740">
            <w:pPr>
              <w:pStyle w:val="TableText0"/>
              <w:keepNext w:val="0"/>
              <w:widowControl w:val="0"/>
              <w:spacing w:before="60" w:after="60"/>
              <w:jc w:val="left"/>
              <w:rPr>
                <w:szCs w:val="20"/>
              </w:rPr>
            </w:pPr>
            <w:r w:rsidRPr="00EB5A53">
              <w:rPr>
                <w:szCs w:val="20"/>
              </w:rPr>
              <w:t>Adverse events</w:t>
            </w:r>
          </w:p>
        </w:tc>
        <w:tc>
          <w:tcPr>
            <w:tcW w:w="1020" w:type="dxa"/>
            <w:shd w:val="clear" w:color="auto" w:fill="auto"/>
          </w:tcPr>
          <w:p w14:paraId="7013FCB5" w14:textId="77777777" w:rsidR="00B41093" w:rsidRPr="0000124A" w:rsidRDefault="00BD39D5" w:rsidP="00414740">
            <w:pPr>
              <w:pStyle w:val="TableText0"/>
              <w:keepNext w:val="0"/>
              <w:widowControl w:val="0"/>
              <w:spacing w:before="60" w:after="60"/>
              <w:jc w:val="left"/>
              <w:rPr>
                <w:snapToGrid w:val="0"/>
                <w:szCs w:val="20"/>
              </w:rPr>
            </w:pPr>
            <w:r w:rsidRPr="0000124A">
              <w:rPr>
                <w:snapToGrid w:val="0"/>
                <w:szCs w:val="20"/>
              </w:rPr>
              <w:t>Not used</w:t>
            </w:r>
          </w:p>
        </w:tc>
      </w:tr>
      <w:tr w:rsidR="00B41093" w:rsidRPr="001D54EF" w14:paraId="047B9F5E" w14:textId="77777777" w:rsidTr="003C214D">
        <w:trPr>
          <w:cantSplit/>
        </w:trPr>
        <w:tc>
          <w:tcPr>
            <w:tcW w:w="1224" w:type="dxa"/>
            <w:shd w:val="clear" w:color="auto" w:fill="auto"/>
          </w:tcPr>
          <w:p w14:paraId="3271E3DF" w14:textId="77777777" w:rsidR="00B41093" w:rsidRPr="001D54EF" w:rsidRDefault="00B41093" w:rsidP="00E72D7C">
            <w:pPr>
              <w:pStyle w:val="TableText0"/>
              <w:keepNext w:val="0"/>
              <w:widowControl w:val="0"/>
              <w:spacing w:before="60" w:after="60"/>
              <w:jc w:val="left"/>
              <w:rPr>
                <w:szCs w:val="20"/>
              </w:rPr>
            </w:pPr>
            <w:r w:rsidRPr="001D54EF">
              <w:rPr>
                <w:szCs w:val="20"/>
              </w:rPr>
              <w:t>Carafiello et al (2014)</w:t>
            </w:r>
          </w:p>
        </w:tc>
        <w:tc>
          <w:tcPr>
            <w:tcW w:w="965" w:type="dxa"/>
            <w:shd w:val="clear" w:color="auto" w:fill="auto"/>
          </w:tcPr>
          <w:p w14:paraId="563FB9D4" w14:textId="77777777" w:rsidR="00B41093" w:rsidRPr="001D54EF" w:rsidRDefault="00BA550A" w:rsidP="00414740">
            <w:pPr>
              <w:pStyle w:val="TableText0"/>
              <w:keepNext w:val="0"/>
              <w:widowControl w:val="0"/>
              <w:spacing w:before="60" w:after="60"/>
              <w:jc w:val="left"/>
              <w:rPr>
                <w:snapToGrid w:val="0"/>
                <w:szCs w:val="20"/>
              </w:rPr>
            </w:pPr>
            <w:r w:rsidRPr="001D54EF">
              <w:rPr>
                <w:snapToGrid w:val="0"/>
                <w:szCs w:val="20"/>
              </w:rPr>
              <w:t>24 (26)</w:t>
            </w:r>
          </w:p>
        </w:tc>
        <w:tc>
          <w:tcPr>
            <w:tcW w:w="1221" w:type="dxa"/>
            <w:tcBorders>
              <w:bottom w:val="single" w:sz="4" w:space="0" w:color="auto"/>
            </w:tcBorders>
            <w:shd w:val="clear" w:color="auto" w:fill="auto"/>
          </w:tcPr>
          <w:p w14:paraId="65C8CF5B" w14:textId="77777777" w:rsidR="00B41093" w:rsidRPr="006E71B4" w:rsidRDefault="00BA550A" w:rsidP="00414740">
            <w:pPr>
              <w:pStyle w:val="TableText0"/>
              <w:keepNext w:val="0"/>
              <w:widowControl w:val="0"/>
              <w:spacing w:before="60" w:after="60"/>
              <w:jc w:val="left"/>
              <w:rPr>
                <w:snapToGrid w:val="0"/>
                <w:szCs w:val="20"/>
              </w:rPr>
            </w:pPr>
            <w:r w:rsidRPr="001D54EF">
              <w:rPr>
                <w:snapToGrid w:val="0"/>
                <w:szCs w:val="20"/>
              </w:rPr>
              <w:t>Retrospective CS</w:t>
            </w:r>
          </w:p>
          <w:p w14:paraId="63C7D1FD" w14:textId="09A812CA" w:rsidR="00BA550A" w:rsidRPr="004D10F1" w:rsidRDefault="002251D8" w:rsidP="00414740">
            <w:pPr>
              <w:pStyle w:val="TableText0"/>
              <w:keepNext w:val="0"/>
              <w:widowControl w:val="0"/>
              <w:spacing w:before="60" w:after="60"/>
              <w:jc w:val="left"/>
              <w:rPr>
                <w:snapToGrid w:val="0"/>
                <w:szCs w:val="20"/>
              </w:rPr>
            </w:pPr>
            <w:r w:rsidRPr="001C2967">
              <w:rPr>
                <w:snapToGrid w:val="0"/>
                <w:szCs w:val="20"/>
              </w:rPr>
              <w:t>M</w:t>
            </w:r>
            <w:r w:rsidR="00F53685" w:rsidRPr="00EB5A53">
              <w:rPr>
                <w:snapToGrid w:val="0"/>
                <w:szCs w:val="20"/>
              </w:rPr>
              <w:t>ean</w:t>
            </w:r>
            <w:r w:rsidRPr="00351105">
              <w:rPr>
                <w:snapToGrid w:val="0"/>
                <w:szCs w:val="20"/>
              </w:rPr>
              <w:t xml:space="preserve"> 10</w:t>
            </w:r>
            <w:r w:rsidR="00BA550A" w:rsidRPr="0000124A">
              <w:rPr>
                <w:snapToGrid w:val="0"/>
                <w:szCs w:val="20"/>
              </w:rPr>
              <w:t xml:space="preserve"> (</w:t>
            </w:r>
            <w:r w:rsidR="00F53685" w:rsidRPr="0000124A">
              <w:rPr>
                <w:snapToGrid w:val="0"/>
                <w:szCs w:val="20"/>
              </w:rPr>
              <w:t xml:space="preserve">range </w:t>
            </w:r>
            <w:r w:rsidR="00BA550A" w:rsidRPr="00781354">
              <w:rPr>
                <w:snapToGrid w:val="0"/>
                <w:szCs w:val="20"/>
              </w:rPr>
              <w:t>2</w:t>
            </w:r>
            <w:r w:rsidR="00D35E9C">
              <w:rPr>
                <w:snapToGrid w:val="0"/>
                <w:szCs w:val="20"/>
              </w:rPr>
              <w:t>–</w:t>
            </w:r>
            <w:r w:rsidR="00BA550A" w:rsidRPr="00781354">
              <w:rPr>
                <w:snapToGrid w:val="0"/>
                <w:szCs w:val="20"/>
              </w:rPr>
              <w:t>26)</w:t>
            </w:r>
            <w:r w:rsidRPr="006B33E4">
              <w:rPr>
                <w:snapToGrid w:val="0"/>
                <w:szCs w:val="20"/>
              </w:rPr>
              <w:t xml:space="preserve"> mo</w:t>
            </w:r>
            <w:r w:rsidR="00F53685" w:rsidRPr="006B33E4">
              <w:rPr>
                <w:snapToGrid w:val="0"/>
                <w:szCs w:val="20"/>
              </w:rPr>
              <w:t>nths</w:t>
            </w:r>
          </w:p>
        </w:tc>
        <w:tc>
          <w:tcPr>
            <w:tcW w:w="977" w:type="dxa"/>
            <w:tcBorders>
              <w:bottom w:val="single" w:sz="4" w:space="0" w:color="auto"/>
            </w:tcBorders>
            <w:shd w:val="clear" w:color="auto" w:fill="auto"/>
          </w:tcPr>
          <w:p w14:paraId="03CFC163" w14:textId="77777777" w:rsidR="00B41093" w:rsidRPr="009616D3" w:rsidRDefault="00BA550A" w:rsidP="00414740">
            <w:pPr>
              <w:pStyle w:val="TableText0"/>
              <w:keepNext w:val="0"/>
              <w:widowControl w:val="0"/>
              <w:spacing w:before="60" w:after="60"/>
              <w:jc w:val="left"/>
              <w:rPr>
                <w:snapToGrid w:val="0"/>
                <w:szCs w:val="20"/>
              </w:rPr>
            </w:pPr>
            <w:r w:rsidRPr="00935A6C">
              <w:rPr>
                <w:snapToGrid w:val="0"/>
                <w:szCs w:val="20"/>
              </w:rPr>
              <w:t>High</w:t>
            </w:r>
          </w:p>
        </w:tc>
        <w:tc>
          <w:tcPr>
            <w:tcW w:w="1827" w:type="dxa"/>
            <w:tcBorders>
              <w:bottom w:val="single" w:sz="4" w:space="0" w:color="auto"/>
            </w:tcBorders>
            <w:shd w:val="clear" w:color="auto" w:fill="auto"/>
          </w:tcPr>
          <w:p w14:paraId="543AAAB6" w14:textId="77777777" w:rsidR="00BA550A" w:rsidRPr="00B63D1C" w:rsidRDefault="00BA550A" w:rsidP="00414740">
            <w:pPr>
              <w:pStyle w:val="TableText0"/>
              <w:keepNext w:val="0"/>
              <w:widowControl w:val="0"/>
              <w:spacing w:before="60" w:after="60"/>
              <w:jc w:val="left"/>
              <w:rPr>
                <w:szCs w:val="20"/>
              </w:rPr>
            </w:pPr>
            <w:r w:rsidRPr="009616D3">
              <w:rPr>
                <w:szCs w:val="20"/>
              </w:rPr>
              <w:t>NSCLC stages I-IV</w:t>
            </w:r>
            <w:r w:rsidR="00A644C5" w:rsidRPr="00C76207">
              <w:rPr>
                <w:szCs w:val="20"/>
              </w:rPr>
              <w:t>,</w:t>
            </w:r>
            <w:r w:rsidRPr="00C76207">
              <w:rPr>
                <w:szCs w:val="20"/>
              </w:rPr>
              <w:t xml:space="preserve"> or metastases</w:t>
            </w:r>
            <w:r w:rsidR="00E477DE" w:rsidRPr="00B63D1C">
              <w:rPr>
                <w:szCs w:val="20"/>
              </w:rPr>
              <w:t>, inoperable or refused</w:t>
            </w:r>
            <w:r w:rsidRPr="00B63D1C">
              <w:rPr>
                <w:szCs w:val="20"/>
              </w:rPr>
              <w:t xml:space="preserve"> surgery</w:t>
            </w:r>
          </w:p>
        </w:tc>
        <w:tc>
          <w:tcPr>
            <w:tcW w:w="1821" w:type="dxa"/>
            <w:tcBorders>
              <w:bottom w:val="single" w:sz="4" w:space="0" w:color="auto"/>
            </w:tcBorders>
            <w:shd w:val="clear" w:color="auto" w:fill="auto"/>
          </w:tcPr>
          <w:p w14:paraId="69B3E759" w14:textId="77777777" w:rsidR="00B41093" w:rsidRPr="00556630" w:rsidRDefault="00BA550A" w:rsidP="00414740">
            <w:pPr>
              <w:pStyle w:val="TableText0"/>
              <w:keepNext w:val="0"/>
              <w:widowControl w:val="0"/>
              <w:spacing w:before="60" w:after="60"/>
              <w:jc w:val="left"/>
              <w:rPr>
                <w:szCs w:val="20"/>
              </w:rPr>
            </w:pPr>
            <w:r w:rsidRPr="007150EE">
              <w:rPr>
                <w:szCs w:val="20"/>
              </w:rPr>
              <w:t>Adverse events</w:t>
            </w:r>
          </w:p>
        </w:tc>
        <w:tc>
          <w:tcPr>
            <w:tcW w:w="1020" w:type="dxa"/>
            <w:shd w:val="clear" w:color="auto" w:fill="auto"/>
          </w:tcPr>
          <w:p w14:paraId="35BF3C5E" w14:textId="77777777" w:rsidR="00B41093" w:rsidRPr="0063625A" w:rsidRDefault="00BD39D5" w:rsidP="00414740">
            <w:pPr>
              <w:pStyle w:val="TableText0"/>
              <w:keepNext w:val="0"/>
              <w:widowControl w:val="0"/>
              <w:spacing w:before="60" w:after="60"/>
              <w:jc w:val="left"/>
              <w:rPr>
                <w:snapToGrid w:val="0"/>
                <w:szCs w:val="20"/>
              </w:rPr>
            </w:pPr>
            <w:r w:rsidRPr="00CE470F">
              <w:rPr>
                <w:snapToGrid w:val="0"/>
                <w:szCs w:val="20"/>
              </w:rPr>
              <w:t>Not used</w:t>
            </w:r>
          </w:p>
        </w:tc>
      </w:tr>
      <w:tr w:rsidR="00B41093" w:rsidRPr="001D54EF" w14:paraId="416C10F9" w14:textId="77777777" w:rsidTr="003C214D">
        <w:trPr>
          <w:cantSplit/>
        </w:trPr>
        <w:tc>
          <w:tcPr>
            <w:tcW w:w="1224" w:type="dxa"/>
            <w:shd w:val="clear" w:color="auto" w:fill="auto"/>
          </w:tcPr>
          <w:p w14:paraId="159D9BFD" w14:textId="77777777" w:rsidR="00B41093" w:rsidRPr="001D54EF" w:rsidRDefault="00B41093" w:rsidP="00E72D7C">
            <w:pPr>
              <w:pStyle w:val="TableText0"/>
              <w:keepNext w:val="0"/>
              <w:widowControl w:val="0"/>
              <w:spacing w:before="60" w:after="60"/>
              <w:jc w:val="left"/>
              <w:rPr>
                <w:szCs w:val="20"/>
              </w:rPr>
            </w:pPr>
            <w:r w:rsidRPr="001D54EF">
              <w:rPr>
                <w:szCs w:val="20"/>
              </w:rPr>
              <w:t>Carafiello et al (2012)</w:t>
            </w:r>
          </w:p>
        </w:tc>
        <w:tc>
          <w:tcPr>
            <w:tcW w:w="965" w:type="dxa"/>
            <w:shd w:val="clear" w:color="auto" w:fill="auto"/>
          </w:tcPr>
          <w:p w14:paraId="5A75ED49" w14:textId="77777777" w:rsidR="00B41093" w:rsidRPr="001C2967" w:rsidRDefault="00B7710C" w:rsidP="00414740">
            <w:pPr>
              <w:pStyle w:val="TableText0"/>
              <w:keepNext w:val="0"/>
              <w:widowControl w:val="0"/>
              <w:spacing w:before="60" w:after="60"/>
              <w:jc w:val="left"/>
              <w:rPr>
                <w:snapToGrid w:val="0"/>
                <w:szCs w:val="20"/>
              </w:rPr>
            </w:pPr>
            <w:r w:rsidRPr="001D54EF">
              <w:rPr>
                <w:snapToGrid w:val="0"/>
                <w:szCs w:val="20"/>
              </w:rPr>
              <w:t>45</w:t>
            </w:r>
            <w:r w:rsidR="00BA550A" w:rsidRPr="001D54EF">
              <w:rPr>
                <w:snapToGrid w:val="0"/>
                <w:szCs w:val="20"/>
              </w:rPr>
              <w:t xml:space="preserve"> (</w:t>
            </w:r>
            <w:r w:rsidRPr="001D54EF">
              <w:rPr>
                <w:snapToGrid w:val="0"/>
                <w:szCs w:val="20"/>
              </w:rPr>
              <w:t>53)</w:t>
            </w:r>
            <w:r w:rsidRPr="006E71B4">
              <w:rPr>
                <w:snapToGrid w:val="0"/>
                <w:szCs w:val="20"/>
                <w:vertAlign w:val="superscript"/>
              </w:rPr>
              <w:t>c</w:t>
            </w:r>
          </w:p>
        </w:tc>
        <w:tc>
          <w:tcPr>
            <w:tcW w:w="1221" w:type="dxa"/>
            <w:tcBorders>
              <w:bottom w:val="single" w:sz="4" w:space="0" w:color="auto"/>
            </w:tcBorders>
            <w:shd w:val="clear" w:color="auto" w:fill="auto"/>
          </w:tcPr>
          <w:p w14:paraId="791CE215" w14:textId="77777777" w:rsidR="00B41093" w:rsidRPr="00351105" w:rsidRDefault="00BA550A" w:rsidP="00414740">
            <w:pPr>
              <w:pStyle w:val="TableText0"/>
              <w:keepNext w:val="0"/>
              <w:widowControl w:val="0"/>
              <w:spacing w:before="60" w:after="60"/>
              <w:jc w:val="left"/>
              <w:rPr>
                <w:snapToGrid w:val="0"/>
                <w:szCs w:val="20"/>
              </w:rPr>
            </w:pPr>
            <w:r w:rsidRPr="00EB5A53">
              <w:rPr>
                <w:snapToGrid w:val="0"/>
                <w:szCs w:val="20"/>
              </w:rPr>
              <w:t>Retrospective CS</w:t>
            </w:r>
          </w:p>
          <w:p w14:paraId="641A344A" w14:textId="77777777" w:rsidR="00BA550A" w:rsidRPr="0000124A" w:rsidRDefault="00BA550A" w:rsidP="00414740">
            <w:pPr>
              <w:pStyle w:val="TableText0"/>
              <w:keepNext w:val="0"/>
              <w:widowControl w:val="0"/>
              <w:spacing w:before="60" w:after="60"/>
              <w:jc w:val="left"/>
              <w:rPr>
                <w:snapToGrid w:val="0"/>
                <w:szCs w:val="20"/>
              </w:rPr>
            </w:pPr>
            <w:r w:rsidRPr="0000124A">
              <w:rPr>
                <w:szCs w:val="20"/>
                <w:lang w:eastAsia="en-AU"/>
              </w:rPr>
              <w:t>NR</w:t>
            </w:r>
          </w:p>
        </w:tc>
        <w:tc>
          <w:tcPr>
            <w:tcW w:w="977" w:type="dxa"/>
            <w:tcBorders>
              <w:bottom w:val="single" w:sz="4" w:space="0" w:color="auto"/>
            </w:tcBorders>
            <w:shd w:val="clear" w:color="auto" w:fill="auto"/>
          </w:tcPr>
          <w:p w14:paraId="5C54F40A" w14:textId="77777777" w:rsidR="00B41093" w:rsidRPr="006B33E4" w:rsidRDefault="00BA550A" w:rsidP="00414740">
            <w:pPr>
              <w:pStyle w:val="TableText0"/>
              <w:keepNext w:val="0"/>
              <w:widowControl w:val="0"/>
              <w:spacing w:before="60" w:after="60"/>
              <w:jc w:val="left"/>
              <w:rPr>
                <w:snapToGrid w:val="0"/>
                <w:szCs w:val="20"/>
              </w:rPr>
            </w:pPr>
            <w:r w:rsidRPr="00781354">
              <w:rPr>
                <w:snapToGrid w:val="0"/>
                <w:szCs w:val="20"/>
              </w:rPr>
              <w:t>High</w:t>
            </w:r>
          </w:p>
        </w:tc>
        <w:tc>
          <w:tcPr>
            <w:tcW w:w="1827" w:type="dxa"/>
            <w:tcBorders>
              <w:bottom w:val="single" w:sz="4" w:space="0" w:color="auto"/>
            </w:tcBorders>
            <w:shd w:val="clear" w:color="auto" w:fill="auto"/>
          </w:tcPr>
          <w:p w14:paraId="422318D2" w14:textId="77777777" w:rsidR="00BA550A" w:rsidRPr="00935A6C" w:rsidRDefault="00BA550A" w:rsidP="00414740">
            <w:pPr>
              <w:pStyle w:val="TableText0"/>
              <w:keepNext w:val="0"/>
              <w:widowControl w:val="0"/>
              <w:spacing w:before="60" w:after="60"/>
              <w:jc w:val="left"/>
              <w:rPr>
                <w:szCs w:val="20"/>
              </w:rPr>
            </w:pPr>
            <w:r w:rsidRPr="004D10F1">
              <w:rPr>
                <w:szCs w:val="20"/>
              </w:rPr>
              <w:t>Inoperable primary or seco</w:t>
            </w:r>
            <w:r w:rsidRPr="00935A6C">
              <w:rPr>
                <w:szCs w:val="20"/>
              </w:rPr>
              <w:t xml:space="preserve">ndary lung tumours treated by </w:t>
            </w:r>
            <w:r w:rsidR="00814C4F" w:rsidRPr="00935A6C">
              <w:rPr>
                <w:szCs w:val="20"/>
              </w:rPr>
              <w:t>M</w:t>
            </w:r>
            <w:r w:rsidR="00814C4F">
              <w:rPr>
                <w:szCs w:val="20"/>
              </w:rPr>
              <w:t>T</w:t>
            </w:r>
            <w:r w:rsidR="00814C4F" w:rsidRPr="00935A6C">
              <w:rPr>
                <w:szCs w:val="20"/>
              </w:rPr>
              <w:t xml:space="preserve">A </w:t>
            </w:r>
            <w:r w:rsidRPr="00935A6C">
              <w:rPr>
                <w:szCs w:val="20"/>
              </w:rPr>
              <w:t>or RFA</w:t>
            </w:r>
          </w:p>
        </w:tc>
        <w:tc>
          <w:tcPr>
            <w:tcW w:w="1821" w:type="dxa"/>
            <w:tcBorders>
              <w:bottom w:val="single" w:sz="4" w:space="0" w:color="auto"/>
            </w:tcBorders>
            <w:shd w:val="clear" w:color="auto" w:fill="auto"/>
          </w:tcPr>
          <w:p w14:paraId="577C0D6C" w14:textId="77777777" w:rsidR="00B41093" w:rsidRPr="009616D3" w:rsidRDefault="00BA550A" w:rsidP="00414740">
            <w:pPr>
              <w:pStyle w:val="TableText0"/>
              <w:keepNext w:val="0"/>
              <w:widowControl w:val="0"/>
              <w:spacing w:before="60" w:after="60"/>
              <w:jc w:val="left"/>
              <w:rPr>
                <w:szCs w:val="20"/>
              </w:rPr>
            </w:pPr>
            <w:r w:rsidRPr="009616D3">
              <w:rPr>
                <w:szCs w:val="20"/>
              </w:rPr>
              <w:t>Adverse events</w:t>
            </w:r>
          </w:p>
        </w:tc>
        <w:tc>
          <w:tcPr>
            <w:tcW w:w="1020" w:type="dxa"/>
            <w:shd w:val="clear" w:color="auto" w:fill="auto"/>
          </w:tcPr>
          <w:p w14:paraId="4D1BDFF8" w14:textId="77777777" w:rsidR="00B41093" w:rsidRPr="00C76207" w:rsidRDefault="00BD39D5" w:rsidP="00414740">
            <w:pPr>
              <w:pStyle w:val="TableText0"/>
              <w:keepNext w:val="0"/>
              <w:widowControl w:val="0"/>
              <w:spacing w:before="60" w:after="60"/>
              <w:jc w:val="left"/>
              <w:rPr>
                <w:snapToGrid w:val="0"/>
                <w:szCs w:val="20"/>
              </w:rPr>
            </w:pPr>
            <w:r w:rsidRPr="00C76207">
              <w:rPr>
                <w:snapToGrid w:val="0"/>
                <w:szCs w:val="20"/>
              </w:rPr>
              <w:t>Not used</w:t>
            </w:r>
          </w:p>
        </w:tc>
      </w:tr>
      <w:tr w:rsidR="00B41093" w:rsidRPr="001D54EF" w14:paraId="3F8DA715" w14:textId="77777777" w:rsidTr="003C214D">
        <w:trPr>
          <w:cantSplit/>
        </w:trPr>
        <w:tc>
          <w:tcPr>
            <w:tcW w:w="1224" w:type="dxa"/>
            <w:shd w:val="clear" w:color="auto" w:fill="auto"/>
          </w:tcPr>
          <w:p w14:paraId="69D3FF2A" w14:textId="77777777" w:rsidR="00B41093" w:rsidRPr="001D54EF" w:rsidRDefault="00B41093" w:rsidP="00E72D7C">
            <w:pPr>
              <w:pStyle w:val="TableText0"/>
              <w:keepNext w:val="0"/>
              <w:widowControl w:val="0"/>
              <w:spacing w:before="60" w:after="60"/>
              <w:jc w:val="left"/>
              <w:rPr>
                <w:szCs w:val="20"/>
              </w:rPr>
            </w:pPr>
            <w:r w:rsidRPr="001D54EF">
              <w:rPr>
                <w:szCs w:val="20"/>
              </w:rPr>
              <w:lastRenderedPageBreak/>
              <w:t>Chung et al 2014</w:t>
            </w:r>
          </w:p>
        </w:tc>
        <w:tc>
          <w:tcPr>
            <w:tcW w:w="965" w:type="dxa"/>
            <w:shd w:val="clear" w:color="auto" w:fill="auto"/>
          </w:tcPr>
          <w:p w14:paraId="04F0DEE1" w14:textId="77777777" w:rsidR="00B41093" w:rsidRPr="001D54EF" w:rsidRDefault="00BA550A" w:rsidP="00414740">
            <w:pPr>
              <w:pStyle w:val="TableText0"/>
              <w:keepNext w:val="0"/>
              <w:widowControl w:val="0"/>
              <w:spacing w:before="60" w:after="60"/>
              <w:jc w:val="left"/>
              <w:rPr>
                <w:snapToGrid w:val="0"/>
                <w:szCs w:val="20"/>
              </w:rPr>
            </w:pPr>
            <w:r w:rsidRPr="001D54EF">
              <w:rPr>
                <w:snapToGrid w:val="0"/>
                <w:szCs w:val="20"/>
              </w:rPr>
              <w:t>39 (63)</w:t>
            </w:r>
          </w:p>
        </w:tc>
        <w:tc>
          <w:tcPr>
            <w:tcW w:w="1221" w:type="dxa"/>
            <w:tcBorders>
              <w:bottom w:val="single" w:sz="4" w:space="0" w:color="auto"/>
            </w:tcBorders>
            <w:shd w:val="clear" w:color="auto" w:fill="auto"/>
          </w:tcPr>
          <w:p w14:paraId="27A31171" w14:textId="77777777" w:rsidR="00BA550A" w:rsidRPr="006E71B4" w:rsidRDefault="00BA550A" w:rsidP="00414740">
            <w:pPr>
              <w:pStyle w:val="TableText0"/>
              <w:keepNext w:val="0"/>
              <w:widowControl w:val="0"/>
              <w:spacing w:before="60" w:after="60"/>
              <w:jc w:val="left"/>
              <w:rPr>
                <w:snapToGrid w:val="0"/>
                <w:szCs w:val="20"/>
              </w:rPr>
            </w:pPr>
            <w:r w:rsidRPr="006E71B4">
              <w:rPr>
                <w:snapToGrid w:val="0"/>
                <w:szCs w:val="20"/>
              </w:rPr>
              <w:t>Retrospective CS</w:t>
            </w:r>
          </w:p>
          <w:p w14:paraId="35E0DC44" w14:textId="77777777" w:rsidR="00B41093" w:rsidRPr="00EB5A53" w:rsidRDefault="00BA550A" w:rsidP="00414740">
            <w:pPr>
              <w:pStyle w:val="TableText0"/>
              <w:keepNext w:val="0"/>
              <w:widowControl w:val="0"/>
              <w:spacing w:before="60" w:after="60"/>
              <w:jc w:val="left"/>
              <w:rPr>
                <w:snapToGrid w:val="0"/>
                <w:szCs w:val="20"/>
              </w:rPr>
            </w:pPr>
            <w:r w:rsidRPr="001C2967">
              <w:rPr>
                <w:szCs w:val="20"/>
                <w:lang w:eastAsia="en-AU"/>
              </w:rPr>
              <w:t>NR</w:t>
            </w:r>
          </w:p>
        </w:tc>
        <w:tc>
          <w:tcPr>
            <w:tcW w:w="977" w:type="dxa"/>
            <w:tcBorders>
              <w:bottom w:val="single" w:sz="4" w:space="0" w:color="auto"/>
            </w:tcBorders>
            <w:shd w:val="clear" w:color="auto" w:fill="auto"/>
          </w:tcPr>
          <w:p w14:paraId="0E6EE9BC" w14:textId="77777777" w:rsidR="00B41093" w:rsidRPr="0000124A" w:rsidRDefault="00BA550A" w:rsidP="00414740">
            <w:pPr>
              <w:pStyle w:val="TableText0"/>
              <w:keepNext w:val="0"/>
              <w:widowControl w:val="0"/>
              <w:spacing w:before="60" w:after="60"/>
              <w:jc w:val="left"/>
              <w:rPr>
                <w:snapToGrid w:val="0"/>
                <w:szCs w:val="20"/>
              </w:rPr>
            </w:pPr>
            <w:r w:rsidRPr="00351105">
              <w:rPr>
                <w:snapToGrid w:val="0"/>
                <w:szCs w:val="20"/>
              </w:rPr>
              <w:t>High</w:t>
            </w:r>
          </w:p>
        </w:tc>
        <w:tc>
          <w:tcPr>
            <w:tcW w:w="1827" w:type="dxa"/>
            <w:tcBorders>
              <w:bottom w:val="single" w:sz="4" w:space="0" w:color="auto"/>
            </w:tcBorders>
            <w:shd w:val="clear" w:color="auto" w:fill="auto"/>
          </w:tcPr>
          <w:p w14:paraId="50097A48" w14:textId="77777777" w:rsidR="00B41093" w:rsidRPr="006B33E4" w:rsidRDefault="001804A9" w:rsidP="00414740">
            <w:pPr>
              <w:pStyle w:val="TableText0"/>
              <w:keepNext w:val="0"/>
              <w:widowControl w:val="0"/>
              <w:spacing w:before="60" w:after="60"/>
              <w:jc w:val="left"/>
              <w:rPr>
                <w:szCs w:val="20"/>
              </w:rPr>
            </w:pPr>
            <w:r w:rsidRPr="0000124A">
              <w:rPr>
                <w:szCs w:val="20"/>
              </w:rPr>
              <w:t>L</w:t>
            </w:r>
            <w:r w:rsidR="00BA550A" w:rsidRPr="00781354">
              <w:rPr>
                <w:szCs w:val="20"/>
              </w:rPr>
              <w:t>ung tumours treated by MTA</w:t>
            </w:r>
          </w:p>
        </w:tc>
        <w:tc>
          <w:tcPr>
            <w:tcW w:w="1821" w:type="dxa"/>
            <w:tcBorders>
              <w:bottom w:val="single" w:sz="4" w:space="0" w:color="auto"/>
            </w:tcBorders>
            <w:shd w:val="clear" w:color="auto" w:fill="auto"/>
          </w:tcPr>
          <w:p w14:paraId="16A503B6" w14:textId="77777777" w:rsidR="00B41093" w:rsidRPr="00935A6C" w:rsidRDefault="00982DA2" w:rsidP="00414740">
            <w:pPr>
              <w:pStyle w:val="TableText0"/>
              <w:keepNext w:val="0"/>
              <w:widowControl w:val="0"/>
              <w:spacing w:before="60" w:after="60"/>
              <w:jc w:val="left"/>
              <w:rPr>
                <w:szCs w:val="20"/>
              </w:rPr>
            </w:pPr>
            <w:r w:rsidRPr="004D10F1">
              <w:rPr>
                <w:szCs w:val="20"/>
              </w:rPr>
              <w:t>Adverse events</w:t>
            </w:r>
          </w:p>
        </w:tc>
        <w:tc>
          <w:tcPr>
            <w:tcW w:w="1020" w:type="dxa"/>
            <w:shd w:val="clear" w:color="auto" w:fill="auto"/>
          </w:tcPr>
          <w:p w14:paraId="538C11A4" w14:textId="77777777" w:rsidR="00B41093" w:rsidRPr="009616D3" w:rsidRDefault="00BD39D5" w:rsidP="00414740">
            <w:pPr>
              <w:pStyle w:val="TableText0"/>
              <w:keepNext w:val="0"/>
              <w:widowControl w:val="0"/>
              <w:spacing w:before="60" w:after="60"/>
              <w:jc w:val="left"/>
              <w:rPr>
                <w:snapToGrid w:val="0"/>
                <w:szCs w:val="20"/>
              </w:rPr>
            </w:pPr>
            <w:r w:rsidRPr="009616D3">
              <w:rPr>
                <w:snapToGrid w:val="0"/>
                <w:szCs w:val="20"/>
              </w:rPr>
              <w:t>Not used</w:t>
            </w:r>
          </w:p>
        </w:tc>
      </w:tr>
      <w:tr w:rsidR="00B41093" w:rsidRPr="001D54EF" w14:paraId="3BE53F44" w14:textId="77777777" w:rsidTr="003C214D">
        <w:trPr>
          <w:cantSplit/>
        </w:trPr>
        <w:tc>
          <w:tcPr>
            <w:tcW w:w="1224" w:type="dxa"/>
            <w:shd w:val="clear" w:color="auto" w:fill="auto"/>
          </w:tcPr>
          <w:p w14:paraId="384F96B0" w14:textId="77777777" w:rsidR="00B41093" w:rsidRPr="001D54EF" w:rsidRDefault="00B41093" w:rsidP="00E72D7C">
            <w:pPr>
              <w:pStyle w:val="TableText0"/>
              <w:keepNext w:val="0"/>
              <w:widowControl w:val="0"/>
              <w:spacing w:before="60" w:after="60"/>
              <w:jc w:val="left"/>
              <w:rPr>
                <w:szCs w:val="20"/>
              </w:rPr>
            </w:pPr>
            <w:r w:rsidRPr="001D54EF">
              <w:rPr>
                <w:szCs w:val="20"/>
              </w:rPr>
              <w:t>Egashira et al 2016</w:t>
            </w:r>
          </w:p>
        </w:tc>
        <w:tc>
          <w:tcPr>
            <w:tcW w:w="965" w:type="dxa"/>
            <w:shd w:val="clear" w:color="auto" w:fill="auto"/>
          </w:tcPr>
          <w:p w14:paraId="6054B168" w14:textId="77777777" w:rsidR="00B41093" w:rsidRPr="001D54EF" w:rsidRDefault="00982DA2" w:rsidP="00414740">
            <w:pPr>
              <w:pStyle w:val="TableText0"/>
              <w:keepNext w:val="0"/>
              <w:widowControl w:val="0"/>
              <w:spacing w:before="60" w:after="60"/>
              <w:jc w:val="left"/>
              <w:rPr>
                <w:snapToGrid w:val="0"/>
                <w:szCs w:val="20"/>
              </w:rPr>
            </w:pPr>
            <w:r w:rsidRPr="001D54EF">
              <w:rPr>
                <w:snapToGrid w:val="0"/>
                <w:szCs w:val="20"/>
              </w:rPr>
              <w:t>44 (87)</w:t>
            </w:r>
          </w:p>
        </w:tc>
        <w:tc>
          <w:tcPr>
            <w:tcW w:w="1221" w:type="dxa"/>
            <w:tcBorders>
              <w:bottom w:val="single" w:sz="4" w:space="0" w:color="auto"/>
            </w:tcBorders>
            <w:shd w:val="clear" w:color="auto" w:fill="auto"/>
          </w:tcPr>
          <w:p w14:paraId="2C26C9F6" w14:textId="77777777" w:rsidR="00982DA2" w:rsidRPr="001D54EF" w:rsidRDefault="00982DA2" w:rsidP="00414740">
            <w:pPr>
              <w:pStyle w:val="TableText0"/>
              <w:keepNext w:val="0"/>
              <w:widowControl w:val="0"/>
              <w:spacing w:before="60" w:after="60"/>
              <w:jc w:val="left"/>
              <w:rPr>
                <w:snapToGrid w:val="0"/>
                <w:szCs w:val="20"/>
              </w:rPr>
            </w:pPr>
            <w:r w:rsidRPr="001D54EF">
              <w:rPr>
                <w:snapToGrid w:val="0"/>
                <w:szCs w:val="20"/>
              </w:rPr>
              <w:t>Retrospective CS</w:t>
            </w:r>
          </w:p>
          <w:p w14:paraId="671E9A69" w14:textId="711997C4" w:rsidR="00B41093" w:rsidRPr="006E71B4" w:rsidRDefault="00396F7D" w:rsidP="00414740">
            <w:pPr>
              <w:pStyle w:val="TableText0"/>
              <w:keepNext w:val="0"/>
              <w:widowControl w:val="0"/>
              <w:spacing w:before="60" w:after="60"/>
              <w:jc w:val="left"/>
              <w:rPr>
                <w:snapToGrid w:val="0"/>
                <w:szCs w:val="20"/>
              </w:rPr>
            </w:pPr>
            <w:r w:rsidRPr="005F2661">
              <w:rPr>
                <w:snapToGrid w:val="0"/>
                <w:szCs w:val="20"/>
              </w:rPr>
              <w:t xml:space="preserve">Median </w:t>
            </w:r>
            <w:r w:rsidR="00982DA2" w:rsidRPr="005F2661">
              <w:rPr>
                <w:snapToGrid w:val="0"/>
                <w:szCs w:val="20"/>
              </w:rPr>
              <w:t>15 (6.2</w:t>
            </w:r>
            <w:r w:rsidR="00D35E9C">
              <w:rPr>
                <w:snapToGrid w:val="0"/>
                <w:szCs w:val="20"/>
              </w:rPr>
              <w:t>–</w:t>
            </w:r>
            <w:r w:rsidR="00982DA2" w:rsidRPr="005F2661">
              <w:rPr>
                <w:snapToGrid w:val="0"/>
                <w:szCs w:val="20"/>
              </w:rPr>
              <w:t>29.5) months</w:t>
            </w:r>
          </w:p>
        </w:tc>
        <w:tc>
          <w:tcPr>
            <w:tcW w:w="977" w:type="dxa"/>
            <w:tcBorders>
              <w:bottom w:val="single" w:sz="4" w:space="0" w:color="auto"/>
            </w:tcBorders>
            <w:shd w:val="clear" w:color="auto" w:fill="auto"/>
          </w:tcPr>
          <w:p w14:paraId="1C16A941" w14:textId="77777777" w:rsidR="00B41093" w:rsidRPr="00EB5A53" w:rsidRDefault="00F76678" w:rsidP="00414740">
            <w:pPr>
              <w:pStyle w:val="TableText0"/>
              <w:keepNext w:val="0"/>
              <w:widowControl w:val="0"/>
              <w:spacing w:before="60" w:after="60"/>
              <w:jc w:val="left"/>
              <w:rPr>
                <w:snapToGrid w:val="0"/>
                <w:szCs w:val="20"/>
              </w:rPr>
            </w:pPr>
            <w:r w:rsidRPr="001C2967">
              <w:rPr>
                <w:snapToGrid w:val="0"/>
                <w:szCs w:val="20"/>
              </w:rPr>
              <w:t>High</w:t>
            </w:r>
          </w:p>
        </w:tc>
        <w:tc>
          <w:tcPr>
            <w:tcW w:w="1827" w:type="dxa"/>
            <w:tcBorders>
              <w:bottom w:val="single" w:sz="4" w:space="0" w:color="auto"/>
            </w:tcBorders>
            <w:shd w:val="clear" w:color="auto" w:fill="auto"/>
          </w:tcPr>
          <w:p w14:paraId="2C67E6CD" w14:textId="77777777" w:rsidR="00DC5F4B" w:rsidRPr="00781354" w:rsidRDefault="00F76678" w:rsidP="00414740">
            <w:pPr>
              <w:pStyle w:val="TableText0"/>
              <w:keepNext w:val="0"/>
              <w:widowControl w:val="0"/>
              <w:spacing w:before="60" w:after="60"/>
              <w:jc w:val="left"/>
              <w:rPr>
                <w:szCs w:val="20"/>
              </w:rPr>
            </w:pPr>
            <w:r w:rsidRPr="00351105">
              <w:rPr>
                <w:szCs w:val="20"/>
              </w:rPr>
              <w:t>Pulmonary</w:t>
            </w:r>
            <w:r w:rsidRPr="0000124A">
              <w:rPr>
                <w:szCs w:val="20"/>
              </w:rPr>
              <w:t xml:space="preserve"> tumours of primary or secondary origin</w:t>
            </w:r>
            <w:r w:rsidR="00924D6D" w:rsidRPr="0000124A">
              <w:rPr>
                <w:szCs w:val="20"/>
                <w:vertAlign w:val="superscript"/>
              </w:rPr>
              <w:t>d</w:t>
            </w:r>
          </w:p>
        </w:tc>
        <w:tc>
          <w:tcPr>
            <w:tcW w:w="1821" w:type="dxa"/>
            <w:tcBorders>
              <w:bottom w:val="single" w:sz="4" w:space="0" w:color="auto"/>
            </w:tcBorders>
            <w:shd w:val="clear" w:color="auto" w:fill="auto"/>
          </w:tcPr>
          <w:p w14:paraId="290E0530" w14:textId="77777777" w:rsidR="00B41093" w:rsidRPr="006B33E4" w:rsidRDefault="00DC5F4B" w:rsidP="00414740">
            <w:pPr>
              <w:pStyle w:val="TableText0"/>
              <w:keepNext w:val="0"/>
              <w:widowControl w:val="0"/>
              <w:spacing w:before="60" w:after="60"/>
              <w:jc w:val="left"/>
              <w:rPr>
                <w:szCs w:val="20"/>
              </w:rPr>
            </w:pPr>
            <w:r w:rsidRPr="006B33E4">
              <w:rPr>
                <w:szCs w:val="20"/>
              </w:rPr>
              <w:t>Adverse events</w:t>
            </w:r>
          </w:p>
        </w:tc>
        <w:tc>
          <w:tcPr>
            <w:tcW w:w="1020" w:type="dxa"/>
            <w:shd w:val="clear" w:color="auto" w:fill="auto"/>
          </w:tcPr>
          <w:p w14:paraId="19E9DD8E" w14:textId="77777777" w:rsidR="00B41093" w:rsidRPr="00935A6C" w:rsidRDefault="00BD39D5" w:rsidP="00414740">
            <w:pPr>
              <w:pStyle w:val="TableText0"/>
              <w:keepNext w:val="0"/>
              <w:widowControl w:val="0"/>
              <w:spacing w:before="60" w:after="60"/>
              <w:jc w:val="left"/>
              <w:rPr>
                <w:snapToGrid w:val="0"/>
                <w:szCs w:val="20"/>
              </w:rPr>
            </w:pPr>
            <w:r w:rsidRPr="004D10F1">
              <w:rPr>
                <w:snapToGrid w:val="0"/>
                <w:szCs w:val="20"/>
              </w:rPr>
              <w:t>Not used</w:t>
            </w:r>
          </w:p>
        </w:tc>
      </w:tr>
      <w:tr w:rsidR="00B41093" w:rsidRPr="001D54EF" w14:paraId="1F36F210" w14:textId="77777777" w:rsidTr="003C214D">
        <w:trPr>
          <w:cantSplit/>
        </w:trPr>
        <w:tc>
          <w:tcPr>
            <w:tcW w:w="1224" w:type="dxa"/>
            <w:shd w:val="clear" w:color="auto" w:fill="auto"/>
          </w:tcPr>
          <w:p w14:paraId="64B8F3C2" w14:textId="77777777" w:rsidR="00B41093" w:rsidRPr="001D54EF" w:rsidRDefault="00B41093" w:rsidP="00E72D7C">
            <w:pPr>
              <w:pStyle w:val="TableText0"/>
              <w:keepNext w:val="0"/>
              <w:widowControl w:val="0"/>
              <w:spacing w:before="60" w:after="60"/>
              <w:jc w:val="left"/>
              <w:rPr>
                <w:szCs w:val="20"/>
              </w:rPr>
            </w:pPr>
            <w:r w:rsidRPr="001D54EF">
              <w:rPr>
                <w:szCs w:val="20"/>
              </w:rPr>
              <w:t>He et al (2006)</w:t>
            </w:r>
          </w:p>
        </w:tc>
        <w:tc>
          <w:tcPr>
            <w:tcW w:w="965" w:type="dxa"/>
            <w:shd w:val="clear" w:color="auto" w:fill="auto"/>
          </w:tcPr>
          <w:p w14:paraId="266C5470" w14:textId="77777777" w:rsidR="00B41093" w:rsidRPr="001D54EF" w:rsidRDefault="006B7B17" w:rsidP="00414740">
            <w:pPr>
              <w:pStyle w:val="TableText0"/>
              <w:keepNext w:val="0"/>
              <w:widowControl w:val="0"/>
              <w:spacing w:before="60" w:after="60"/>
              <w:jc w:val="left"/>
              <w:rPr>
                <w:snapToGrid w:val="0"/>
                <w:szCs w:val="20"/>
              </w:rPr>
            </w:pPr>
            <w:r w:rsidRPr="001D54EF">
              <w:rPr>
                <w:snapToGrid w:val="0"/>
                <w:szCs w:val="20"/>
              </w:rPr>
              <w:t>12 (16)</w:t>
            </w:r>
          </w:p>
        </w:tc>
        <w:tc>
          <w:tcPr>
            <w:tcW w:w="1221" w:type="dxa"/>
            <w:tcBorders>
              <w:bottom w:val="single" w:sz="4" w:space="0" w:color="auto"/>
            </w:tcBorders>
            <w:shd w:val="clear" w:color="auto" w:fill="auto"/>
          </w:tcPr>
          <w:p w14:paraId="24F002F0" w14:textId="77777777" w:rsidR="00B41093" w:rsidRPr="006E71B4" w:rsidRDefault="00DC5F4B" w:rsidP="00414740">
            <w:pPr>
              <w:pStyle w:val="TableText0"/>
              <w:keepNext w:val="0"/>
              <w:widowControl w:val="0"/>
              <w:spacing w:before="60" w:after="60"/>
              <w:jc w:val="left"/>
              <w:rPr>
                <w:snapToGrid w:val="0"/>
                <w:szCs w:val="20"/>
              </w:rPr>
            </w:pPr>
            <w:r w:rsidRPr="001D54EF">
              <w:rPr>
                <w:snapToGrid w:val="0"/>
                <w:szCs w:val="20"/>
              </w:rPr>
              <w:t>Retrospective CS</w:t>
            </w:r>
          </w:p>
          <w:p w14:paraId="26AD7825" w14:textId="1CB7CA58" w:rsidR="00DC5F4B" w:rsidRPr="001C2967" w:rsidRDefault="00DC5F4B" w:rsidP="00414740">
            <w:pPr>
              <w:pStyle w:val="TableText0"/>
              <w:keepNext w:val="0"/>
              <w:widowControl w:val="0"/>
              <w:spacing w:before="60" w:after="60"/>
              <w:jc w:val="left"/>
              <w:rPr>
                <w:snapToGrid w:val="0"/>
                <w:szCs w:val="20"/>
              </w:rPr>
            </w:pPr>
            <w:r w:rsidRPr="001C2967">
              <w:rPr>
                <w:snapToGrid w:val="0"/>
                <w:szCs w:val="20"/>
              </w:rPr>
              <w:t>Mean: 20 (6</w:t>
            </w:r>
            <w:r w:rsidR="00D35E9C">
              <w:rPr>
                <w:snapToGrid w:val="0"/>
                <w:szCs w:val="20"/>
              </w:rPr>
              <w:t>–</w:t>
            </w:r>
            <w:r w:rsidRPr="001C2967">
              <w:rPr>
                <w:snapToGrid w:val="0"/>
                <w:szCs w:val="20"/>
              </w:rPr>
              <w:t>40) months</w:t>
            </w:r>
          </w:p>
        </w:tc>
        <w:tc>
          <w:tcPr>
            <w:tcW w:w="977" w:type="dxa"/>
            <w:tcBorders>
              <w:bottom w:val="single" w:sz="4" w:space="0" w:color="auto"/>
            </w:tcBorders>
            <w:shd w:val="clear" w:color="auto" w:fill="auto"/>
          </w:tcPr>
          <w:p w14:paraId="67E6FDCE" w14:textId="77777777" w:rsidR="00B41093" w:rsidRPr="00351105" w:rsidRDefault="00DC5F4B" w:rsidP="00414740">
            <w:pPr>
              <w:pStyle w:val="TableText0"/>
              <w:keepNext w:val="0"/>
              <w:widowControl w:val="0"/>
              <w:spacing w:before="60" w:after="60"/>
              <w:jc w:val="left"/>
              <w:rPr>
                <w:snapToGrid w:val="0"/>
                <w:szCs w:val="20"/>
              </w:rPr>
            </w:pPr>
            <w:r w:rsidRPr="00EB5A53">
              <w:rPr>
                <w:snapToGrid w:val="0"/>
                <w:szCs w:val="20"/>
              </w:rPr>
              <w:t>High</w:t>
            </w:r>
          </w:p>
        </w:tc>
        <w:tc>
          <w:tcPr>
            <w:tcW w:w="1827" w:type="dxa"/>
            <w:tcBorders>
              <w:bottom w:val="single" w:sz="4" w:space="0" w:color="auto"/>
            </w:tcBorders>
            <w:shd w:val="clear" w:color="auto" w:fill="auto"/>
          </w:tcPr>
          <w:p w14:paraId="23A3A3ED" w14:textId="77777777" w:rsidR="00DC5F4B" w:rsidRPr="0000124A" w:rsidRDefault="00DC5F4B" w:rsidP="00414740">
            <w:pPr>
              <w:pStyle w:val="TableText0"/>
              <w:keepNext w:val="0"/>
              <w:widowControl w:val="0"/>
              <w:spacing w:before="60" w:after="60"/>
              <w:jc w:val="left"/>
              <w:rPr>
                <w:szCs w:val="20"/>
              </w:rPr>
            </w:pPr>
            <w:r w:rsidRPr="0000124A">
              <w:rPr>
                <w:szCs w:val="20"/>
              </w:rPr>
              <w:t>Primary cancer not suitable for resection and patients with oligometastatic lung lesions</w:t>
            </w:r>
          </w:p>
        </w:tc>
        <w:tc>
          <w:tcPr>
            <w:tcW w:w="1821" w:type="dxa"/>
            <w:tcBorders>
              <w:bottom w:val="single" w:sz="4" w:space="0" w:color="auto"/>
            </w:tcBorders>
            <w:shd w:val="clear" w:color="auto" w:fill="auto"/>
          </w:tcPr>
          <w:p w14:paraId="57D477A3" w14:textId="77777777" w:rsidR="00B41093" w:rsidRPr="00781354" w:rsidRDefault="006B7B17" w:rsidP="00414740">
            <w:pPr>
              <w:pStyle w:val="TableText0"/>
              <w:keepNext w:val="0"/>
              <w:widowControl w:val="0"/>
              <w:spacing w:before="60" w:after="60"/>
              <w:jc w:val="left"/>
              <w:rPr>
                <w:szCs w:val="20"/>
              </w:rPr>
            </w:pPr>
            <w:r w:rsidRPr="0000124A">
              <w:rPr>
                <w:szCs w:val="20"/>
              </w:rPr>
              <w:t>Adverse events</w:t>
            </w:r>
          </w:p>
        </w:tc>
        <w:tc>
          <w:tcPr>
            <w:tcW w:w="1020" w:type="dxa"/>
            <w:shd w:val="clear" w:color="auto" w:fill="auto"/>
          </w:tcPr>
          <w:p w14:paraId="0CFE9F6E" w14:textId="77777777" w:rsidR="00B41093" w:rsidRPr="006B33E4" w:rsidRDefault="00BD39D5" w:rsidP="00414740">
            <w:pPr>
              <w:pStyle w:val="TableText0"/>
              <w:keepNext w:val="0"/>
              <w:widowControl w:val="0"/>
              <w:spacing w:before="60" w:after="60"/>
              <w:jc w:val="left"/>
              <w:rPr>
                <w:snapToGrid w:val="0"/>
                <w:szCs w:val="20"/>
              </w:rPr>
            </w:pPr>
            <w:r w:rsidRPr="006B33E4">
              <w:rPr>
                <w:snapToGrid w:val="0"/>
                <w:szCs w:val="20"/>
              </w:rPr>
              <w:t>Not used</w:t>
            </w:r>
          </w:p>
        </w:tc>
      </w:tr>
      <w:tr w:rsidR="00B41093" w:rsidRPr="001D54EF" w14:paraId="076A36FD" w14:textId="77777777" w:rsidTr="003C214D">
        <w:trPr>
          <w:cantSplit/>
        </w:trPr>
        <w:tc>
          <w:tcPr>
            <w:tcW w:w="1224" w:type="dxa"/>
            <w:shd w:val="clear" w:color="auto" w:fill="auto"/>
          </w:tcPr>
          <w:p w14:paraId="19F12502" w14:textId="77777777" w:rsidR="00B41093" w:rsidRPr="001D54EF" w:rsidRDefault="00B41093" w:rsidP="00E72D7C">
            <w:pPr>
              <w:pStyle w:val="TableText0"/>
              <w:keepNext w:val="0"/>
              <w:widowControl w:val="0"/>
              <w:spacing w:before="60" w:after="60"/>
              <w:jc w:val="left"/>
              <w:rPr>
                <w:szCs w:val="20"/>
              </w:rPr>
            </w:pPr>
            <w:r w:rsidRPr="001D54EF">
              <w:rPr>
                <w:szCs w:val="20"/>
              </w:rPr>
              <w:t>Little et al (2013)</w:t>
            </w:r>
          </w:p>
        </w:tc>
        <w:tc>
          <w:tcPr>
            <w:tcW w:w="965" w:type="dxa"/>
            <w:shd w:val="clear" w:color="auto" w:fill="auto"/>
          </w:tcPr>
          <w:p w14:paraId="5325855B" w14:textId="77777777" w:rsidR="00B41093" w:rsidRPr="001D54EF" w:rsidRDefault="006B7B17" w:rsidP="00414740">
            <w:pPr>
              <w:pStyle w:val="TableText0"/>
              <w:keepNext w:val="0"/>
              <w:widowControl w:val="0"/>
              <w:spacing w:before="60" w:after="60"/>
              <w:jc w:val="left"/>
              <w:rPr>
                <w:snapToGrid w:val="0"/>
                <w:szCs w:val="20"/>
              </w:rPr>
            </w:pPr>
            <w:r w:rsidRPr="001D54EF">
              <w:rPr>
                <w:snapToGrid w:val="0"/>
                <w:szCs w:val="20"/>
              </w:rPr>
              <w:t>23 (29)</w:t>
            </w:r>
          </w:p>
        </w:tc>
        <w:tc>
          <w:tcPr>
            <w:tcW w:w="1221" w:type="dxa"/>
            <w:tcBorders>
              <w:bottom w:val="single" w:sz="4" w:space="0" w:color="auto"/>
            </w:tcBorders>
            <w:shd w:val="clear" w:color="auto" w:fill="auto"/>
          </w:tcPr>
          <w:p w14:paraId="6179E6C6" w14:textId="77777777" w:rsidR="006B7B17" w:rsidRPr="001D54EF" w:rsidRDefault="006B7B17" w:rsidP="00414740">
            <w:pPr>
              <w:pStyle w:val="TableText0"/>
              <w:keepNext w:val="0"/>
              <w:widowControl w:val="0"/>
              <w:spacing w:before="60" w:after="60"/>
              <w:jc w:val="left"/>
              <w:rPr>
                <w:snapToGrid w:val="0"/>
                <w:szCs w:val="20"/>
              </w:rPr>
            </w:pPr>
            <w:r w:rsidRPr="001D54EF">
              <w:rPr>
                <w:snapToGrid w:val="0"/>
                <w:szCs w:val="20"/>
              </w:rPr>
              <w:t>Retrospective CS</w:t>
            </w:r>
          </w:p>
          <w:p w14:paraId="1C97174B" w14:textId="3E702F09" w:rsidR="00B41093" w:rsidRPr="006E71B4" w:rsidRDefault="00396F7D" w:rsidP="00414740">
            <w:pPr>
              <w:pStyle w:val="TableText0"/>
              <w:keepNext w:val="0"/>
              <w:widowControl w:val="0"/>
              <w:spacing w:before="60" w:after="60"/>
              <w:jc w:val="left"/>
              <w:rPr>
                <w:snapToGrid w:val="0"/>
                <w:szCs w:val="20"/>
              </w:rPr>
            </w:pPr>
            <w:r w:rsidRPr="005F2661">
              <w:rPr>
                <w:snapToGrid w:val="0"/>
                <w:szCs w:val="20"/>
              </w:rPr>
              <w:t xml:space="preserve">Median </w:t>
            </w:r>
            <w:r w:rsidR="006B7B17" w:rsidRPr="005F2661">
              <w:rPr>
                <w:snapToGrid w:val="0"/>
                <w:szCs w:val="20"/>
              </w:rPr>
              <w:t>6 (3</w:t>
            </w:r>
            <w:r w:rsidR="00D35E9C">
              <w:rPr>
                <w:snapToGrid w:val="0"/>
                <w:szCs w:val="20"/>
              </w:rPr>
              <w:t>–</w:t>
            </w:r>
            <w:r w:rsidR="006B7B17" w:rsidRPr="005F2661">
              <w:rPr>
                <w:snapToGrid w:val="0"/>
                <w:szCs w:val="20"/>
              </w:rPr>
              <w:t>19) months</w:t>
            </w:r>
          </w:p>
        </w:tc>
        <w:tc>
          <w:tcPr>
            <w:tcW w:w="977" w:type="dxa"/>
            <w:tcBorders>
              <w:bottom w:val="single" w:sz="4" w:space="0" w:color="auto"/>
            </w:tcBorders>
            <w:shd w:val="clear" w:color="auto" w:fill="auto"/>
          </w:tcPr>
          <w:p w14:paraId="6B655828" w14:textId="77777777" w:rsidR="00B41093" w:rsidRPr="00EB5A53" w:rsidRDefault="006B7B17" w:rsidP="00414740">
            <w:pPr>
              <w:pStyle w:val="TableText0"/>
              <w:keepNext w:val="0"/>
              <w:widowControl w:val="0"/>
              <w:spacing w:before="60" w:after="60"/>
              <w:jc w:val="left"/>
              <w:rPr>
                <w:snapToGrid w:val="0"/>
                <w:szCs w:val="20"/>
              </w:rPr>
            </w:pPr>
            <w:r w:rsidRPr="001C2967">
              <w:rPr>
                <w:snapToGrid w:val="0"/>
                <w:szCs w:val="20"/>
              </w:rPr>
              <w:t>High</w:t>
            </w:r>
          </w:p>
        </w:tc>
        <w:tc>
          <w:tcPr>
            <w:tcW w:w="1827" w:type="dxa"/>
            <w:tcBorders>
              <w:bottom w:val="single" w:sz="4" w:space="0" w:color="auto"/>
            </w:tcBorders>
            <w:shd w:val="clear" w:color="auto" w:fill="auto"/>
          </w:tcPr>
          <w:p w14:paraId="29F3F46A" w14:textId="77777777" w:rsidR="006B7B17" w:rsidRPr="00351105" w:rsidRDefault="006B7B17" w:rsidP="00414740">
            <w:pPr>
              <w:pStyle w:val="TableText0"/>
              <w:keepNext w:val="0"/>
              <w:widowControl w:val="0"/>
              <w:spacing w:before="60" w:after="60"/>
              <w:jc w:val="left"/>
              <w:rPr>
                <w:szCs w:val="20"/>
              </w:rPr>
            </w:pPr>
            <w:r w:rsidRPr="00351105">
              <w:rPr>
                <w:szCs w:val="20"/>
              </w:rPr>
              <w:t>Primary cancer not suitable for resection and oligometastatic lung lesions</w:t>
            </w:r>
          </w:p>
        </w:tc>
        <w:tc>
          <w:tcPr>
            <w:tcW w:w="1821" w:type="dxa"/>
            <w:tcBorders>
              <w:bottom w:val="single" w:sz="4" w:space="0" w:color="auto"/>
            </w:tcBorders>
            <w:shd w:val="clear" w:color="auto" w:fill="auto"/>
          </w:tcPr>
          <w:p w14:paraId="0EF43FFB" w14:textId="77777777" w:rsidR="00B41093" w:rsidRPr="0000124A" w:rsidRDefault="005C037C" w:rsidP="00414740">
            <w:pPr>
              <w:pStyle w:val="TableText0"/>
              <w:keepNext w:val="0"/>
              <w:widowControl w:val="0"/>
              <w:spacing w:before="60" w:after="60"/>
              <w:jc w:val="left"/>
              <w:rPr>
                <w:szCs w:val="20"/>
              </w:rPr>
            </w:pPr>
            <w:r w:rsidRPr="0000124A">
              <w:rPr>
                <w:szCs w:val="20"/>
              </w:rPr>
              <w:t>Adverse events</w:t>
            </w:r>
          </w:p>
        </w:tc>
        <w:tc>
          <w:tcPr>
            <w:tcW w:w="1020" w:type="dxa"/>
            <w:shd w:val="clear" w:color="auto" w:fill="auto"/>
          </w:tcPr>
          <w:p w14:paraId="4B473FDF" w14:textId="77777777" w:rsidR="00B41093" w:rsidRPr="006B33E4" w:rsidRDefault="00BD39D5" w:rsidP="00414740">
            <w:pPr>
              <w:pStyle w:val="TableText0"/>
              <w:keepNext w:val="0"/>
              <w:widowControl w:val="0"/>
              <w:spacing w:before="60" w:after="60"/>
              <w:jc w:val="left"/>
              <w:rPr>
                <w:snapToGrid w:val="0"/>
                <w:szCs w:val="20"/>
              </w:rPr>
            </w:pPr>
            <w:r w:rsidRPr="00781354">
              <w:rPr>
                <w:snapToGrid w:val="0"/>
                <w:szCs w:val="20"/>
              </w:rPr>
              <w:t>Not used</w:t>
            </w:r>
          </w:p>
        </w:tc>
      </w:tr>
      <w:tr w:rsidR="00B41093" w:rsidRPr="001D54EF" w14:paraId="43EA9227" w14:textId="77777777" w:rsidTr="003C214D">
        <w:trPr>
          <w:cantSplit/>
        </w:trPr>
        <w:tc>
          <w:tcPr>
            <w:tcW w:w="1224" w:type="dxa"/>
            <w:shd w:val="clear" w:color="auto" w:fill="auto"/>
          </w:tcPr>
          <w:p w14:paraId="10CC4DBF" w14:textId="77777777" w:rsidR="00B41093" w:rsidRPr="001D54EF" w:rsidRDefault="00B41093" w:rsidP="00E72D7C">
            <w:pPr>
              <w:pStyle w:val="TableText0"/>
              <w:keepNext w:val="0"/>
              <w:widowControl w:val="0"/>
              <w:spacing w:before="60" w:after="60"/>
              <w:jc w:val="left"/>
              <w:rPr>
                <w:szCs w:val="20"/>
              </w:rPr>
            </w:pPr>
            <w:r w:rsidRPr="001D54EF">
              <w:rPr>
                <w:szCs w:val="20"/>
              </w:rPr>
              <w:t>Lu et al (2012)</w:t>
            </w:r>
          </w:p>
        </w:tc>
        <w:tc>
          <w:tcPr>
            <w:tcW w:w="965" w:type="dxa"/>
            <w:shd w:val="clear" w:color="auto" w:fill="auto"/>
          </w:tcPr>
          <w:p w14:paraId="08CF56F5" w14:textId="77777777" w:rsidR="00B41093" w:rsidRPr="001D54EF" w:rsidRDefault="005C037C" w:rsidP="00414740">
            <w:pPr>
              <w:pStyle w:val="TableText0"/>
              <w:keepNext w:val="0"/>
              <w:widowControl w:val="0"/>
              <w:spacing w:before="60" w:after="60"/>
              <w:jc w:val="left"/>
              <w:rPr>
                <w:snapToGrid w:val="0"/>
                <w:szCs w:val="20"/>
              </w:rPr>
            </w:pPr>
            <w:r w:rsidRPr="001D54EF">
              <w:rPr>
                <w:snapToGrid w:val="0"/>
                <w:szCs w:val="20"/>
              </w:rPr>
              <w:t>69 (93)</w:t>
            </w:r>
          </w:p>
        </w:tc>
        <w:tc>
          <w:tcPr>
            <w:tcW w:w="1221" w:type="dxa"/>
            <w:tcBorders>
              <w:bottom w:val="single" w:sz="4" w:space="0" w:color="auto"/>
            </w:tcBorders>
            <w:shd w:val="clear" w:color="auto" w:fill="auto"/>
          </w:tcPr>
          <w:p w14:paraId="15479BD2" w14:textId="77777777" w:rsidR="00B41093" w:rsidRPr="001C2967" w:rsidRDefault="005C037C" w:rsidP="00414740">
            <w:pPr>
              <w:pStyle w:val="TableText0"/>
              <w:keepNext w:val="0"/>
              <w:widowControl w:val="0"/>
              <w:spacing w:before="60" w:after="60"/>
              <w:jc w:val="left"/>
              <w:rPr>
                <w:snapToGrid w:val="0"/>
                <w:szCs w:val="20"/>
              </w:rPr>
            </w:pPr>
            <w:r w:rsidRPr="006E71B4">
              <w:rPr>
                <w:snapToGrid w:val="0"/>
                <w:szCs w:val="20"/>
              </w:rPr>
              <w:t>Retrospective CS</w:t>
            </w:r>
          </w:p>
          <w:p w14:paraId="77317E35" w14:textId="77777777" w:rsidR="005C037C" w:rsidRPr="00EB5A53" w:rsidRDefault="005C037C" w:rsidP="00414740">
            <w:pPr>
              <w:pStyle w:val="TableText0"/>
              <w:keepNext w:val="0"/>
              <w:widowControl w:val="0"/>
              <w:spacing w:before="60" w:after="60"/>
              <w:jc w:val="left"/>
              <w:rPr>
                <w:snapToGrid w:val="0"/>
                <w:szCs w:val="20"/>
              </w:rPr>
            </w:pPr>
            <w:r w:rsidRPr="00EB5A53">
              <w:rPr>
                <w:snapToGrid w:val="0"/>
                <w:szCs w:val="20"/>
              </w:rPr>
              <w:t>NR</w:t>
            </w:r>
          </w:p>
        </w:tc>
        <w:tc>
          <w:tcPr>
            <w:tcW w:w="977" w:type="dxa"/>
            <w:tcBorders>
              <w:bottom w:val="single" w:sz="4" w:space="0" w:color="auto"/>
            </w:tcBorders>
            <w:shd w:val="clear" w:color="auto" w:fill="auto"/>
          </w:tcPr>
          <w:p w14:paraId="40C3BCED" w14:textId="77777777" w:rsidR="00B41093" w:rsidRPr="0000124A" w:rsidRDefault="005C037C" w:rsidP="00414740">
            <w:pPr>
              <w:pStyle w:val="TableText0"/>
              <w:keepNext w:val="0"/>
              <w:widowControl w:val="0"/>
              <w:spacing w:before="60" w:after="60"/>
              <w:jc w:val="left"/>
              <w:rPr>
                <w:snapToGrid w:val="0"/>
                <w:szCs w:val="20"/>
              </w:rPr>
            </w:pPr>
            <w:r w:rsidRPr="00351105">
              <w:rPr>
                <w:snapToGrid w:val="0"/>
                <w:szCs w:val="20"/>
              </w:rPr>
              <w:t>High</w:t>
            </w:r>
          </w:p>
        </w:tc>
        <w:tc>
          <w:tcPr>
            <w:tcW w:w="1827" w:type="dxa"/>
            <w:tcBorders>
              <w:bottom w:val="single" w:sz="4" w:space="0" w:color="auto"/>
            </w:tcBorders>
            <w:shd w:val="clear" w:color="auto" w:fill="auto"/>
          </w:tcPr>
          <w:p w14:paraId="3033ABBC" w14:textId="77777777" w:rsidR="005C037C" w:rsidRPr="006B33E4" w:rsidRDefault="005C037C" w:rsidP="00414740">
            <w:pPr>
              <w:pStyle w:val="TableText0"/>
              <w:keepNext w:val="0"/>
              <w:widowControl w:val="0"/>
              <w:spacing w:before="60" w:after="60"/>
              <w:jc w:val="left"/>
              <w:rPr>
                <w:szCs w:val="20"/>
              </w:rPr>
            </w:pPr>
            <w:r w:rsidRPr="0000124A">
              <w:rPr>
                <w:szCs w:val="20"/>
              </w:rPr>
              <w:t>Stage IIIB NSCLC or pulmonary</w:t>
            </w:r>
            <w:r w:rsidR="00396F7D" w:rsidRPr="00781354">
              <w:rPr>
                <w:szCs w:val="20"/>
              </w:rPr>
              <w:t xml:space="preserve"> metastases</w:t>
            </w:r>
            <w:r w:rsidRPr="006B33E4">
              <w:rPr>
                <w:szCs w:val="20"/>
              </w:rPr>
              <w:t>, inoperable</w:t>
            </w:r>
          </w:p>
        </w:tc>
        <w:tc>
          <w:tcPr>
            <w:tcW w:w="1821" w:type="dxa"/>
            <w:tcBorders>
              <w:bottom w:val="single" w:sz="4" w:space="0" w:color="auto"/>
            </w:tcBorders>
            <w:shd w:val="clear" w:color="auto" w:fill="auto"/>
          </w:tcPr>
          <w:p w14:paraId="49502AC1" w14:textId="77777777" w:rsidR="00B41093" w:rsidRPr="00935A6C" w:rsidRDefault="005C037C" w:rsidP="00414740">
            <w:pPr>
              <w:pStyle w:val="TableText0"/>
              <w:keepNext w:val="0"/>
              <w:widowControl w:val="0"/>
              <w:spacing w:before="60" w:after="60"/>
              <w:jc w:val="left"/>
              <w:rPr>
                <w:szCs w:val="20"/>
              </w:rPr>
            </w:pPr>
            <w:r w:rsidRPr="004D10F1">
              <w:rPr>
                <w:szCs w:val="20"/>
              </w:rPr>
              <w:t>Adverse events</w:t>
            </w:r>
          </w:p>
        </w:tc>
        <w:tc>
          <w:tcPr>
            <w:tcW w:w="1020" w:type="dxa"/>
            <w:shd w:val="clear" w:color="auto" w:fill="auto"/>
          </w:tcPr>
          <w:p w14:paraId="238517B0" w14:textId="77777777" w:rsidR="00B41093" w:rsidRPr="009616D3" w:rsidRDefault="00BD39D5" w:rsidP="00414740">
            <w:pPr>
              <w:pStyle w:val="TableText0"/>
              <w:keepNext w:val="0"/>
              <w:widowControl w:val="0"/>
              <w:spacing w:before="60" w:after="60"/>
              <w:jc w:val="left"/>
              <w:rPr>
                <w:snapToGrid w:val="0"/>
                <w:szCs w:val="20"/>
              </w:rPr>
            </w:pPr>
            <w:r w:rsidRPr="009616D3">
              <w:rPr>
                <w:snapToGrid w:val="0"/>
                <w:szCs w:val="20"/>
              </w:rPr>
              <w:t>Not used</w:t>
            </w:r>
          </w:p>
        </w:tc>
      </w:tr>
      <w:tr w:rsidR="00B41093" w:rsidRPr="001D54EF" w14:paraId="01C20D14" w14:textId="77777777" w:rsidTr="003C214D">
        <w:trPr>
          <w:cantSplit/>
        </w:trPr>
        <w:tc>
          <w:tcPr>
            <w:tcW w:w="1224" w:type="dxa"/>
            <w:shd w:val="clear" w:color="auto" w:fill="auto"/>
          </w:tcPr>
          <w:p w14:paraId="18F5CC7E" w14:textId="77777777" w:rsidR="00B41093" w:rsidRPr="001D54EF" w:rsidRDefault="00B41093" w:rsidP="00E72D7C">
            <w:pPr>
              <w:pStyle w:val="TableText0"/>
              <w:keepNext w:val="0"/>
              <w:widowControl w:val="0"/>
              <w:spacing w:before="60" w:after="60"/>
              <w:jc w:val="left"/>
              <w:rPr>
                <w:szCs w:val="20"/>
              </w:rPr>
            </w:pPr>
            <w:r w:rsidRPr="001D54EF">
              <w:rPr>
                <w:szCs w:val="20"/>
              </w:rPr>
              <w:t>Nour-eldin et al (2011)</w:t>
            </w:r>
          </w:p>
        </w:tc>
        <w:tc>
          <w:tcPr>
            <w:tcW w:w="965" w:type="dxa"/>
            <w:shd w:val="clear" w:color="auto" w:fill="auto"/>
          </w:tcPr>
          <w:p w14:paraId="28B2CDF3" w14:textId="77777777" w:rsidR="00B41093" w:rsidRPr="001C2967" w:rsidRDefault="00B7710C" w:rsidP="00414740">
            <w:pPr>
              <w:pStyle w:val="TableText0"/>
              <w:keepNext w:val="0"/>
              <w:widowControl w:val="0"/>
              <w:spacing w:before="60" w:after="60"/>
              <w:jc w:val="left"/>
              <w:rPr>
                <w:snapToGrid w:val="0"/>
                <w:szCs w:val="20"/>
              </w:rPr>
            </w:pPr>
            <w:r w:rsidRPr="001D54EF">
              <w:rPr>
                <w:snapToGrid w:val="0"/>
                <w:szCs w:val="20"/>
              </w:rPr>
              <w:t>164</w:t>
            </w:r>
            <w:r w:rsidR="00924D6D" w:rsidRPr="001D54EF">
              <w:rPr>
                <w:snapToGrid w:val="0"/>
                <w:szCs w:val="20"/>
                <w:vertAlign w:val="superscript"/>
              </w:rPr>
              <w:t>e</w:t>
            </w:r>
            <w:r w:rsidR="005C037C" w:rsidRPr="001D54EF">
              <w:rPr>
                <w:snapToGrid w:val="0"/>
                <w:szCs w:val="20"/>
              </w:rPr>
              <w:t xml:space="preserve"> (NR</w:t>
            </w:r>
            <w:r w:rsidR="005C037C" w:rsidRPr="006E71B4">
              <w:rPr>
                <w:snapToGrid w:val="0"/>
                <w:szCs w:val="20"/>
              </w:rPr>
              <w:t>)</w:t>
            </w:r>
          </w:p>
        </w:tc>
        <w:tc>
          <w:tcPr>
            <w:tcW w:w="1221" w:type="dxa"/>
            <w:tcBorders>
              <w:bottom w:val="single" w:sz="4" w:space="0" w:color="auto"/>
            </w:tcBorders>
            <w:shd w:val="clear" w:color="auto" w:fill="auto"/>
          </w:tcPr>
          <w:p w14:paraId="6E93A463" w14:textId="77777777" w:rsidR="005C037C" w:rsidRPr="00EB5A53" w:rsidRDefault="005C037C" w:rsidP="00414740">
            <w:pPr>
              <w:pStyle w:val="TableText0"/>
              <w:keepNext w:val="0"/>
              <w:widowControl w:val="0"/>
              <w:spacing w:before="60" w:after="60"/>
              <w:jc w:val="left"/>
              <w:rPr>
                <w:snapToGrid w:val="0"/>
                <w:szCs w:val="20"/>
              </w:rPr>
            </w:pPr>
            <w:r w:rsidRPr="00EB5A53">
              <w:rPr>
                <w:snapToGrid w:val="0"/>
                <w:szCs w:val="20"/>
              </w:rPr>
              <w:t>Retrospective CS</w:t>
            </w:r>
          </w:p>
          <w:p w14:paraId="31166440" w14:textId="77777777" w:rsidR="00B41093" w:rsidRPr="0000124A" w:rsidRDefault="005C037C" w:rsidP="00414740">
            <w:pPr>
              <w:pStyle w:val="TableText0"/>
              <w:keepNext w:val="0"/>
              <w:widowControl w:val="0"/>
              <w:spacing w:before="60" w:after="60"/>
              <w:jc w:val="left"/>
              <w:rPr>
                <w:snapToGrid w:val="0"/>
                <w:szCs w:val="20"/>
              </w:rPr>
            </w:pPr>
            <w:r w:rsidRPr="00351105">
              <w:rPr>
                <w:snapToGrid w:val="0"/>
                <w:szCs w:val="20"/>
              </w:rPr>
              <w:t>NR</w:t>
            </w:r>
          </w:p>
        </w:tc>
        <w:tc>
          <w:tcPr>
            <w:tcW w:w="977" w:type="dxa"/>
            <w:tcBorders>
              <w:bottom w:val="single" w:sz="4" w:space="0" w:color="auto"/>
            </w:tcBorders>
            <w:shd w:val="clear" w:color="auto" w:fill="auto"/>
          </w:tcPr>
          <w:p w14:paraId="4310AF83" w14:textId="77777777" w:rsidR="00B41093" w:rsidRPr="00781354" w:rsidRDefault="005C037C" w:rsidP="00414740">
            <w:pPr>
              <w:pStyle w:val="TableText0"/>
              <w:keepNext w:val="0"/>
              <w:widowControl w:val="0"/>
              <w:spacing w:before="60" w:after="60"/>
              <w:jc w:val="left"/>
              <w:rPr>
                <w:snapToGrid w:val="0"/>
                <w:szCs w:val="20"/>
              </w:rPr>
            </w:pPr>
            <w:r w:rsidRPr="0000124A">
              <w:rPr>
                <w:snapToGrid w:val="0"/>
                <w:szCs w:val="20"/>
              </w:rPr>
              <w:t>High</w:t>
            </w:r>
          </w:p>
        </w:tc>
        <w:tc>
          <w:tcPr>
            <w:tcW w:w="1827" w:type="dxa"/>
            <w:tcBorders>
              <w:bottom w:val="single" w:sz="4" w:space="0" w:color="auto"/>
            </w:tcBorders>
            <w:shd w:val="clear" w:color="auto" w:fill="auto"/>
          </w:tcPr>
          <w:p w14:paraId="7229FA45" w14:textId="77777777" w:rsidR="005C037C" w:rsidRPr="006B33E4" w:rsidRDefault="005C037C" w:rsidP="00414740">
            <w:pPr>
              <w:pStyle w:val="TableText0"/>
              <w:keepNext w:val="0"/>
              <w:widowControl w:val="0"/>
              <w:spacing w:before="60" w:after="60"/>
              <w:jc w:val="left"/>
              <w:rPr>
                <w:szCs w:val="20"/>
              </w:rPr>
            </w:pPr>
            <w:r w:rsidRPr="006B33E4">
              <w:rPr>
                <w:szCs w:val="20"/>
              </w:rPr>
              <w:t>Primary NSCLC or secondary lung tumours, inoperable</w:t>
            </w:r>
          </w:p>
        </w:tc>
        <w:tc>
          <w:tcPr>
            <w:tcW w:w="1821" w:type="dxa"/>
            <w:tcBorders>
              <w:bottom w:val="single" w:sz="4" w:space="0" w:color="auto"/>
            </w:tcBorders>
            <w:shd w:val="clear" w:color="auto" w:fill="auto"/>
          </w:tcPr>
          <w:p w14:paraId="4F73266C" w14:textId="77777777" w:rsidR="00B41093" w:rsidRPr="00935A6C" w:rsidRDefault="005C037C" w:rsidP="00414740">
            <w:pPr>
              <w:pStyle w:val="TableText0"/>
              <w:keepNext w:val="0"/>
              <w:widowControl w:val="0"/>
              <w:spacing w:before="60" w:after="60"/>
              <w:jc w:val="left"/>
              <w:rPr>
                <w:szCs w:val="20"/>
              </w:rPr>
            </w:pPr>
            <w:r w:rsidRPr="004D10F1">
              <w:rPr>
                <w:szCs w:val="20"/>
              </w:rPr>
              <w:t>Adverse events</w:t>
            </w:r>
          </w:p>
        </w:tc>
        <w:tc>
          <w:tcPr>
            <w:tcW w:w="1020" w:type="dxa"/>
            <w:shd w:val="clear" w:color="auto" w:fill="auto"/>
          </w:tcPr>
          <w:p w14:paraId="0F95D2BB" w14:textId="77777777" w:rsidR="00B41093" w:rsidRPr="009616D3" w:rsidRDefault="00BD39D5" w:rsidP="00414740">
            <w:pPr>
              <w:pStyle w:val="TableText0"/>
              <w:keepNext w:val="0"/>
              <w:widowControl w:val="0"/>
              <w:spacing w:before="60" w:after="60"/>
              <w:jc w:val="left"/>
              <w:rPr>
                <w:snapToGrid w:val="0"/>
                <w:szCs w:val="20"/>
              </w:rPr>
            </w:pPr>
            <w:r w:rsidRPr="009616D3">
              <w:rPr>
                <w:snapToGrid w:val="0"/>
                <w:szCs w:val="20"/>
              </w:rPr>
              <w:t>Not used</w:t>
            </w:r>
          </w:p>
        </w:tc>
      </w:tr>
      <w:tr w:rsidR="00B41093" w:rsidRPr="001D54EF" w14:paraId="5321945A" w14:textId="77777777" w:rsidTr="003C214D">
        <w:trPr>
          <w:cantSplit/>
        </w:trPr>
        <w:tc>
          <w:tcPr>
            <w:tcW w:w="1224" w:type="dxa"/>
            <w:shd w:val="clear" w:color="auto" w:fill="auto"/>
          </w:tcPr>
          <w:p w14:paraId="0C7C7423" w14:textId="77777777" w:rsidR="00B41093" w:rsidRPr="001D54EF" w:rsidRDefault="00B41093" w:rsidP="00E72D7C">
            <w:pPr>
              <w:pStyle w:val="TableText0"/>
              <w:keepNext w:val="0"/>
              <w:widowControl w:val="0"/>
              <w:spacing w:before="60" w:after="60"/>
              <w:jc w:val="left"/>
              <w:rPr>
                <w:szCs w:val="20"/>
              </w:rPr>
            </w:pPr>
            <w:r w:rsidRPr="001D54EF">
              <w:rPr>
                <w:szCs w:val="20"/>
              </w:rPr>
              <w:t>Sun et al (2014)</w:t>
            </w:r>
          </w:p>
        </w:tc>
        <w:tc>
          <w:tcPr>
            <w:tcW w:w="965" w:type="dxa"/>
            <w:shd w:val="clear" w:color="auto" w:fill="auto"/>
          </w:tcPr>
          <w:p w14:paraId="1D801B37" w14:textId="77777777" w:rsidR="00B41093" w:rsidRPr="001D54EF" w:rsidRDefault="005C037C" w:rsidP="00414740">
            <w:pPr>
              <w:pStyle w:val="TableText0"/>
              <w:keepNext w:val="0"/>
              <w:widowControl w:val="0"/>
              <w:spacing w:before="60" w:after="60"/>
              <w:jc w:val="left"/>
              <w:rPr>
                <w:snapToGrid w:val="0"/>
                <w:szCs w:val="20"/>
              </w:rPr>
            </w:pPr>
            <w:r w:rsidRPr="001D54EF">
              <w:rPr>
                <w:snapToGrid w:val="0"/>
                <w:szCs w:val="20"/>
              </w:rPr>
              <w:t>29 (39)</w:t>
            </w:r>
          </w:p>
        </w:tc>
        <w:tc>
          <w:tcPr>
            <w:tcW w:w="1221" w:type="dxa"/>
            <w:tcBorders>
              <w:bottom w:val="single" w:sz="4" w:space="0" w:color="auto"/>
            </w:tcBorders>
            <w:shd w:val="clear" w:color="auto" w:fill="auto"/>
          </w:tcPr>
          <w:p w14:paraId="56A0D5CD" w14:textId="77777777" w:rsidR="005C037C" w:rsidRPr="001D54EF" w:rsidRDefault="005C037C" w:rsidP="00414740">
            <w:pPr>
              <w:pStyle w:val="TableText0"/>
              <w:keepNext w:val="0"/>
              <w:widowControl w:val="0"/>
              <w:spacing w:before="60" w:after="60"/>
              <w:jc w:val="left"/>
              <w:rPr>
                <w:snapToGrid w:val="0"/>
                <w:szCs w:val="20"/>
              </w:rPr>
            </w:pPr>
            <w:r w:rsidRPr="001D54EF">
              <w:rPr>
                <w:snapToGrid w:val="0"/>
                <w:szCs w:val="20"/>
              </w:rPr>
              <w:t>Retrospective CS</w:t>
            </w:r>
          </w:p>
          <w:p w14:paraId="7336F957" w14:textId="71859505" w:rsidR="00B41093" w:rsidRPr="006E71B4" w:rsidRDefault="00396F7D" w:rsidP="00414740">
            <w:pPr>
              <w:pStyle w:val="TableText0"/>
              <w:keepNext w:val="0"/>
              <w:widowControl w:val="0"/>
              <w:spacing w:before="60" w:after="60"/>
              <w:jc w:val="left"/>
              <w:rPr>
                <w:snapToGrid w:val="0"/>
                <w:szCs w:val="20"/>
              </w:rPr>
            </w:pPr>
            <w:r w:rsidRPr="005F2661">
              <w:rPr>
                <w:snapToGrid w:val="0"/>
                <w:szCs w:val="20"/>
              </w:rPr>
              <w:t>Median 25 (3</w:t>
            </w:r>
            <w:r w:rsidR="00D35E9C">
              <w:rPr>
                <w:snapToGrid w:val="0"/>
                <w:szCs w:val="20"/>
              </w:rPr>
              <w:t>–</w:t>
            </w:r>
            <w:r w:rsidRPr="005F2661">
              <w:rPr>
                <w:snapToGrid w:val="0"/>
                <w:szCs w:val="20"/>
              </w:rPr>
              <w:t xml:space="preserve">45) </w:t>
            </w:r>
            <w:r w:rsidR="005C037C" w:rsidRPr="005F2661">
              <w:rPr>
                <w:snapToGrid w:val="0"/>
                <w:szCs w:val="20"/>
              </w:rPr>
              <w:t>months</w:t>
            </w:r>
          </w:p>
        </w:tc>
        <w:tc>
          <w:tcPr>
            <w:tcW w:w="977" w:type="dxa"/>
            <w:tcBorders>
              <w:bottom w:val="single" w:sz="4" w:space="0" w:color="auto"/>
            </w:tcBorders>
            <w:shd w:val="clear" w:color="auto" w:fill="auto"/>
          </w:tcPr>
          <w:p w14:paraId="1F087B4A" w14:textId="77777777" w:rsidR="00B41093" w:rsidRPr="00EB5A53" w:rsidRDefault="005C037C" w:rsidP="00414740">
            <w:pPr>
              <w:pStyle w:val="TableText0"/>
              <w:keepNext w:val="0"/>
              <w:widowControl w:val="0"/>
              <w:spacing w:before="60" w:after="60"/>
              <w:jc w:val="left"/>
              <w:rPr>
                <w:snapToGrid w:val="0"/>
                <w:szCs w:val="20"/>
              </w:rPr>
            </w:pPr>
            <w:r w:rsidRPr="001C2967">
              <w:rPr>
                <w:snapToGrid w:val="0"/>
                <w:szCs w:val="20"/>
              </w:rPr>
              <w:t>High</w:t>
            </w:r>
          </w:p>
        </w:tc>
        <w:tc>
          <w:tcPr>
            <w:tcW w:w="1827" w:type="dxa"/>
            <w:tcBorders>
              <w:bottom w:val="single" w:sz="4" w:space="0" w:color="auto"/>
            </w:tcBorders>
            <w:shd w:val="clear" w:color="auto" w:fill="auto"/>
          </w:tcPr>
          <w:p w14:paraId="236E82F4" w14:textId="77777777" w:rsidR="005C037C" w:rsidRPr="0000124A" w:rsidRDefault="005C037C" w:rsidP="00414740">
            <w:pPr>
              <w:pStyle w:val="TableText0"/>
              <w:keepNext w:val="0"/>
              <w:widowControl w:val="0"/>
              <w:spacing w:before="60" w:after="60"/>
              <w:jc w:val="left"/>
              <w:rPr>
                <w:szCs w:val="20"/>
              </w:rPr>
            </w:pPr>
            <w:r w:rsidRPr="00351105">
              <w:rPr>
                <w:szCs w:val="20"/>
              </w:rPr>
              <w:t>Primary or m</w:t>
            </w:r>
            <w:r w:rsidRPr="0000124A">
              <w:rPr>
                <w:szCs w:val="20"/>
              </w:rPr>
              <w:t>etastatic lung cancer</w:t>
            </w:r>
          </w:p>
        </w:tc>
        <w:tc>
          <w:tcPr>
            <w:tcW w:w="1821" w:type="dxa"/>
            <w:tcBorders>
              <w:bottom w:val="single" w:sz="4" w:space="0" w:color="auto"/>
            </w:tcBorders>
            <w:shd w:val="clear" w:color="auto" w:fill="auto"/>
          </w:tcPr>
          <w:p w14:paraId="61A27F8A" w14:textId="77777777" w:rsidR="00B41093" w:rsidRPr="00781354" w:rsidRDefault="005C037C" w:rsidP="00414740">
            <w:pPr>
              <w:pStyle w:val="TableText0"/>
              <w:keepNext w:val="0"/>
              <w:widowControl w:val="0"/>
              <w:spacing w:before="60" w:after="60"/>
              <w:jc w:val="left"/>
              <w:rPr>
                <w:szCs w:val="20"/>
              </w:rPr>
            </w:pPr>
            <w:r w:rsidRPr="0000124A">
              <w:rPr>
                <w:szCs w:val="20"/>
              </w:rPr>
              <w:t>Adverse events</w:t>
            </w:r>
          </w:p>
        </w:tc>
        <w:tc>
          <w:tcPr>
            <w:tcW w:w="1020" w:type="dxa"/>
            <w:shd w:val="clear" w:color="auto" w:fill="auto"/>
          </w:tcPr>
          <w:p w14:paraId="3203B41D" w14:textId="77777777" w:rsidR="00B41093" w:rsidRPr="006B33E4" w:rsidRDefault="00BD39D5" w:rsidP="00414740">
            <w:pPr>
              <w:pStyle w:val="TableText0"/>
              <w:keepNext w:val="0"/>
              <w:widowControl w:val="0"/>
              <w:spacing w:before="60" w:after="60"/>
              <w:jc w:val="left"/>
              <w:rPr>
                <w:snapToGrid w:val="0"/>
                <w:szCs w:val="20"/>
              </w:rPr>
            </w:pPr>
            <w:r w:rsidRPr="006B33E4">
              <w:rPr>
                <w:snapToGrid w:val="0"/>
                <w:szCs w:val="20"/>
              </w:rPr>
              <w:t>Not used</w:t>
            </w:r>
          </w:p>
        </w:tc>
      </w:tr>
      <w:tr w:rsidR="00B41093" w:rsidRPr="001D54EF" w14:paraId="694C047E" w14:textId="77777777" w:rsidTr="003C214D">
        <w:trPr>
          <w:cantSplit/>
        </w:trPr>
        <w:tc>
          <w:tcPr>
            <w:tcW w:w="1224" w:type="dxa"/>
            <w:shd w:val="clear" w:color="auto" w:fill="auto"/>
          </w:tcPr>
          <w:p w14:paraId="4A45160A" w14:textId="77777777" w:rsidR="00B41093" w:rsidRPr="001D54EF" w:rsidRDefault="00B41093" w:rsidP="00E72D7C">
            <w:pPr>
              <w:pStyle w:val="TableText0"/>
              <w:keepNext w:val="0"/>
              <w:widowControl w:val="0"/>
              <w:spacing w:before="60" w:after="60"/>
              <w:jc w:val="left"/>
              <w:rPr>
                <w:szCs w:val="20"/>
              </w:rPr>
            </w:pPr>
            <w:r w:rsidRPr="001D54EF">
              <w:rPr>
                <w:szCs w:val="20"/>
              </w:rPr>
              <w:t>Splatt &amp; Steinke (2015)</w:t>
            </w:r>
          </w:p>
        </w:tc>
        <w:tc>
          <w:tcPr>
            <w:tcW w:w="965" w:type="dxa"/>
            <w:shd w:val="clear" w:color="auto" w:fill="auto"/>
          </w:tcPr>
          <w:p w14:paraId="576B5333" w14:textId="77777777" w:rsidR="00B41093" w:rsidRPr="001D54EF" w:rsidRDefault="009A0EE9" w:rsidP="00414740">
            <w:pPr>
              <w:pStyle w:val="TableText0"/>
              <w:keepNext w:val="0"/>
              <w:widowControl w:val="0"/>
              <w:spacing w:before="60" w:after="60"/>
              <w:jc w:val="left"/>
              <w:rPr>
                <w:snapToGrid w:val="0"/>
                <w:szCs w:val="20"/>
              </w:rPr>
            </w:pPr>
            <w:r w:rsidRPr="001D54EF">
              <w:rPr>
                <w:snapToGrid w:val="0"/>
                <w:szCs w:val="20"/>
              </w:rPr>
              <w:t>51 (70)</w:t>
            </w:r>
          </w:p>
        </w:tc>
        <w:tc>
          <w:tcPr>
            <w:tcW w:w="1221" w:type="dxa"/>
            <w:tcBorders>
              <w:bottom w:val="single" w:sz="4" w:space="0" w:color="auto"/>
            </w:tcBorders>
            <w:shd w:val="clear" w:color="auto" w:fill="auto"/>
          </w:tcPr>
          <w:p w14:paraId="4B63B600" w14:textId="77777777" w:rsidR="00B41093" w:rsidRPr="006E71B4" w:rsidRDefault="009A0EE9" w:rsidP="00414740">
            <w:pPr>
              <w:pStyle w:val="TableText0"/>
              <w:keepNext w:val="0"/>
              <w:widowControl w:val="0"/>
              <w:spacing w:before="60" w:after="60"/>
              <w:jc w:val="left"/>
              <w:rPr>
                <w:snapToGrid w:val="0"/>
                <w:szCs w:val="20"/>
              </w:rPr>
            </w:pPr>
            <w:r w:rsidRPr="001D54EF">
              <w:rPr>
                <w:snapToGrid w:val="0"/>
                <w:szCs w:val="20"/>
              </w:rPr>
              <w:t>Retrospective CS</w:t>
            </w:r>
          </w:p>
          <w:p w14:paraId="4B49FC1C" w14:textId="77777777" w:rsidR="009B5BA2" w:rsidRPr="001C2967" w:rsidRDefault="009B5BA2" w:rsidP="00414740">
            <w:pPr>
              <w:pStyle w:val="TableText0"/>
              <w:keepNext w:val="0"/>
              <w:widowControl w:val="0"/>
              <w:spacing w:before="60" w:after="60"/>
              <w:jc w:val="left"/>
              <w:rPr>
                <w:snapToGrid w:val="0"/>
                <w:szCs w:val="20"/>
              </w:rPr>
            </w:pPr>
            <w:r w:rsidRPr="001C2967">
              <w:rPr>
                <w:snapToGrid w:val="0"/>
                <w:szCs w:val="20"/>
              </w:rPr>
              <w:t>NR</w:t>
            </w:r>
          </w:p>
        </w:tc>
        <w:tc>
          <w:tcPr>
            <w:tcW w:w="977" w:type="dxa"/>
            <w:tcBorders>
              <w:bottom w:val="single" w:sz="4" w:space="0" w:color="auto"/>
            </w:tcBorders>
            <w:shd w:val="clear" w:color="auto" w:fill="auto"/>
          </w:tcPr>
          <w:p w14:paraId="70599D67" w14:textId="77777777" w:rsidR="00B41093" w:rsidRPr="00351105" w:rsidRDefault="009A0EE9" w:rsidP="00414740">
            <w:pPr>
              <w:pStyle w:val="TableText0"/>
              <w:keepNext w:val="0"/>
              <w:widowControl w:val="0"/>
              <w:spacing w:before="60" w:after="60"/>
              <w:jc w:val="left"/>
              <w:rPr>
                <w:snapToGrid w:val="0"/>
                <w:szCs w:val="20"/>
              </w:rPr>
            </w:pPr>
            <w:r w:rsidRPr="00EB5A53">
              <w:rPr>
                <w:snapToGrid w:val="0"/>
                <w:szCs w:val="20"/>
              </w:rPr>
              <w:t>High</w:t>
            </w:r>
          </w:p>
        </w:tc>
        <w:tc>
          <w:tcPr>
            <w:tcW w:w="1827" w:type="dxa"/>
            <w:tcBorders>
              <w:bottom w:val="single" w:sz="4" w:space="0" w:color="auto"/>
            </w:tcBorders>
            <w:shd w:val="clear" w:color="auto" w:fill="auto"/>
          </w:tcPr>
          <w:p w14:paraId="38F87373" w14:textId="77777777" w:rsidR="009A0EE9" w:rsidRPr="0000124A" w:rsidRDefault="009A0EE9" w:rsidP="00414740">
            <w:pPr>
              <w:pStyle w:val="TableText0"/>
              <w:keepNext w:val="0"/>
              <w:widowControl w:val="0"/>
              <w:spacing w:before="60" w:after="60"/>
              <w:jc w:val="left"/>
              <w:rPr>
                <w:szCs w:val="20"/>
              </w:rPr>
            </w:pPr>
            <w:r w:rsidRPr="0000124A">
              <w:rPr>
                <w:szCs w:val="20"/>
              </w:rPr>
              <w:t>Primary pulmonary malignancies or secondary metastases</w:t>
            </w:r>
          </w:p>
        </w:tc>
        <w:tc>
          <w:tcPr>
            <w:tcW w:w="1821" w:type="dxa"/>
            <w:tcBorders>
              <w:bottom w:val="single" w:sz="4" w:space="0" w:color="auto"/>
            </w:tcBorders>
            <w:shd w:val="clear" w:color="auto" w:fill="auto"/>
          </w:tcPr>
          <w:p w14:paraId="2E71E682" w14:textId="77777777" w:rsidR="00B41093" w:rsidRPr="00781354" w:rsidRDefault="009A0EE9" w:rsidP="00414740">
            <w:pPr>
              <w:pStyle w:val="TableText0"/>
              <w:keepNext w:val="0"/>
              <w:widowControl w:val="0"/>
              <w:spacing w:before="60" w:after="60"/>
              <w:jc w:val="left"/>
              <w:rPr>
                <w:szCs w:val="20"/>
              </w:rPr>
            </w:pPr>
            <w:r w:rsidRPr="0000124A">
              <w:rPr>
                <w:szCs w:val="20"/>
              </w:rPr>
              <w:t>Adverse events</w:t>
            </w:r>
          </w:p>
        </w:tc>
        <w:tc>
          <w:tcPr>
            <w:tcW w:w="1020" w:type="dxa"/>
            <w:shd w:val="clear" w:color="auto" w:fill="auto"/>
          </w:tcPr>
          <w:p w14:paraId="62A4D9FF" w14:textId="77777777" w:rsidR="00B41093" w:rsidRPr="006B33E4" w:rsidRDefault="00BD39D5" w:rsidP="00414740">
            <w:pPr>
              <w:pStyle w:val="TableText0"/>
              <w:keepNext w:val="0"/>
              <w:widowControl w:val="0"/>
              <w:spacing w:before="60" w:after="60"/>
              <w:jc w:val="left"/>
              <w:rPr>
                <w:snapToGrid w:val="0"/>
                <w:szCs w:val="20"/>
              </w:rPr>
            </w:pPr>
            <w:r w:rsidRPr="006B33E4">
              <w:rPr>
                <w:snapToGrid w:val="0"/>
                <w:szCs w:val="20"/>
              </w:rPr>
              <w:t>Not used</w:t>
            </w:r>
          </w:p>
        </w:tc>
      </w:tr>
      <w:tr w:rsidR="00B41093" w:rsidRPr="001D54EF" w14:paraId="586D03E1" w14:textId="77777777" w:rsidTr="003C214D">
        <w:trPr>
          <w:cantSplit/>
        </w:trPr>
        <w:tc>
          <w:tcPr>
            <w:tcW w:w="1224" w:type="dxa"/>
            <w:shd w:val="clear" w:color="auto" w:fill="auto"/>
          </w:tcPr>
          <w:p w14:paraId="24555574" w14:textId="77777777" w:rsidR="00B41093" w:rsidRPr="001D54EF" w:rsidRDefault="00B41093" w:rsidP="00E72D7C">
            <w:pPr>
              <w:pStyle w:val="TableText0"/>
              <w:keepNext w:val="0"/>
              <w:widowControl w:val="0"/>
              <w:spacing w:before="60" w:after="60"/>
              <w:jc w:val="left"/>
              <w:rPr>
                <w:szCs w:val="20"/>
              </w:rPr>
            </w:pPr>
            <w:r w:rsidRPr="001D54EF">
              <w:rPr>
                <w:szCs w:val="20"/>
              </w:rPr>
              <w:t>Vogl et al (2012)</w:t>
            </w:r>
          </w:p>
        </w:tc>
        <w:tc>
          <w:tcPr>
            <w:tcW w:w="965" w:type="dxa"/>
            <w:shd w:val="clear" w:color="auto" w:fill="auto"/>
          </w:tcPr>
          <w:p w14:paraId="78BC0A65" w14:textId="77777777" w:rsidR="00B41093" w:rsidRPr="001D54EF" w:rsidRDefault="00B421B9" w:rsidP="00414740">
            <w:pPr>
              <w:pStyle w:val="TableText0"/>
              <w:keepNext w:val="0"/>
              <w:widowControl w:val="0"/>
              <w:spacing w:before="60" w:after="60"/>
              <w:jc w:val="left"/>
              <w:rPr>
                <w:snapToGrid w:val="0"/>
                <w:szCs w:val="20"/>
              </w:rPr>
            </w:pPr>
            <w:r w:rsidRPr="001D54EF">
              <w:rPr>
                <w:snapToGrid w:val="0"/>
                <w:szCs w:val="20"/>
              </w:rPr>
              <w:t>57 (91)</w:t>
            </w:r>
          </w:p>
        </w:tc>
        <w:tc>
          <w:tcPr>
            <w:tcW w:w="1221" w:type="dxa"/>
            <w:tcBorders>
              <w:bottom w:val="single" w:sz="4" w:space="0" w:color="auto"/>
            </w:tcBorders>
            <w:shd w:val="clear" w:color="auto" w:fill="auto"/>
          </w:tcPr>
          <w:p w14:paraId="60E7BAED" w14:textId="77777777" w:rsidR="00B41093" w:rsidRPr="006E71B4" w:rsidRDefault="00B421B9" w:rsidP="00414740">
            <w:pPr>
              <w:pStyle w:val="TableText0"/>
              <w:keepNext w:val="0"/>
              <w:widowControl w:val="0"/>
              <w:spacing w:before="60" w:after="60"/>
              <w:jc w:val="left"/>
              <w:rPr>
                <w:snapToGrid w:val="0"/>
                <w:szCs w:val="20"/>
              </w:rPr>
            </w:pPr>
            <w:r w:rsidRPr="001D54EF">
              <w:rPr>
                <w:snapToGrid w:val="0"/>
                <w:szCs w:val="20"/>
              </w:rPr>
              <w:t>Retrospective CS</w:t>
            </w:r>
          </w:p>
          <w:p w14:paraId="34FB0837" w14:textId="60E04311" w:rsidR="00B421B9" w:rsidRPr="00EB5A53" w:rsidRDefault="00B421B9" w:rsidP="00414740">
            <w:pPr>
              <w:pStyle w:val="TableText0"/>
              <w:keepNext w:val="0"/>
              <w:widowControl w:val="0"/>
              <w:spacing w:before="60" w:after="60"/>
              <w:jc w:val="left"/>
              <w:rPr>
                <w:snapToGrid w:val="0"/>
                <w:szCs w:val="20"/>
              </w:rPr>
            </w:pPr>
            <w:r w:rsidRPr="001C2967">
              <w:rPr>
                <w:snapToGrid w:val="0"/>
                <w:szCs w:val="20"/>
              </w:rPr>
              <w:t>mean (range): 10.2 (6.0</w:t>
            </w:r>
            <w:r w:rsidR="00D35E9C">
              <w:rPr>
                <w:snapToGrid w:val="0"/>
                <w:szCs w:val="20"/>
              </w:rPr>
              <w:t>–</w:t>
            </w:r>
            <w:r w:rsidRPr="001C2967">
              <w:rPr>
                <w:snapToGrid w:val="0"/>
                <w:szCs w:val="20"/>
              </w:rPr>
              <w:t>29.2)</w:t>
            </w:r>
            <w:r w:rsidRPr="00EB5A53">
              <w:rPr>
                <w:snapToGrid w:val="0"/>
                <w:szCs w:val="20"/>
              </w:rPr>
              <w:t xml:space="preserve"> months</w:t>
            </w:r>
          </w:p>
        </w:tc>
        <w:tc>
          <w:tcPr>
            <w:tcW w:w="977" w:type="dxa"/>
            <w:tcBorders>
              <w:bottom w:val="single" w:sz="4" w:space="0" w:color="auto"/>
            </w:tcBorders>
            <w:shd w:val="clear" w:color="auto" w:fill="auto"/>
          </w:tcPr>
          <w:p w14:paraId="1D76F1F6" w14:textId="77777777" w:rsidR="00B41093" w:rsidRPr="0000124A" w:rsidRDefault="00B421B9" w:rsidP="00414740">
            <w:pPr>
              <w:pStyle w:val="TableText0"/>
              <w:keepNext w:val="0"/>
              <w:widowControl w:val="0"/>
              <w:spacing w:before="60" w:after="60"/>
              <w:jc w:val="left"/>
              <w:rPr>
                <w:snapToGrid w:val="0"/>
                <w:szCs w:val="20"/>
              </w:rPr>
            </w:pPr>
            <w:r w:rsidRPr="00351105">
              <w:rPr>
                <w:snapToGrid w:val="0"/>
                <w:szCs w:val="20"/>
              </w:rPr>
              <w:t>High</w:t>
            </w:r>
          </w:p>
        </w:tc>
        <w:tc>
          <w:tcPr>
            <w:tcW w:w="1827" w:type="dxa"/>
            <w:tcBorders>
              <w:bottom w:val="single" w:sz="4" w:space="0" w:color="auto"/>
            </w:tcBorders>
            <w:shd w:val="clear" w:color="auto" w:fill="auto"/>
          </w:tcPr>
          <w:p w14:paraId="772D24E2" w14:textId="77777777" w:rsidR="00B421B9" w:rsidRPr="0000124A" w:rsidRDefault="00B421B9" w:rsidP="00414740">
            <w:pPr>
              <w:pStyle w:val="TableText0"/>
              <w:keepNext w:val="0"/>
              <w:widowControl w:val="0"/>
              <w:spacing w:before="60" w:after="60"/>
              <w:jc w:val="left"/>
              <w:rPr>
                <w:szCs w:val="20"/>
              </w:rPr>
            </w:pPr>
            <w:r w:rsidRPr="0000124A">
              <w:rPr>
                <w:szCs w:val="20"/>
              </w:rPr>
              <w:t>Primary or oligometastatic secondary lung cancer</w:t>
            </w:r>
          </w:p>
        </w:tc>
        <w:tc>
          <w:tcPr>
            <w:tcW w:w="1821" w:type="dxa"/>
            <w:tcBorders>
              <w:bottom w:val="single" w:sz="4" w:space="0" w:color="auto"/>
            </w:tcBorders>
            <w:shd w:val="clear" w:color="auto" w:fill="auto"/>
          </w:tcPr>
          <w:p w14:paraId="19ECECFD" w14:textId="77777777" w:rsidR="00B41093" w:rsidRPr="006B33E4" w:rsidRDefault="00B421B9" w:rsidP="00414740">
            <w:pPr>
              <w:pStyle w:val="TableText0"/>
              <w:keepNext w:val="0"/>
              <w:widowControl w:val="0"/>
              <w:spacing w:before="60" w:after="60"/>
              <w:jc w:val="left"/>
              <w:rPr>
                <w:szCs w:val="20"/>
              </w:rPr>
            </w:pPr>
            <w:r w:rsidRPr="00781354">
              <w:rPr>
                <w:szCs w:val="20"/>
              </w:rPr>
              <w:t>Adverse events</w:t>
            </w:r>
          </w:p>
        </w:tc>
        <w:tc>
          <w:tcPr>
            <w:tcW w:w="1020" w:type="dxa"/>
            <w:shd w:val="clear" w:color="auto" w:fill="auto"/>
          </w:tcPr>
          <w:p w14:paraId="314C5531" w14:textId="77777777" w:rsidR="00B41093" w:rsidRPr="00935A6C" w:rsidRDefault="00BD39D5" w:rsidP="00414740">
            <w:pPr>
              <w:pStyle w:val="TableText0"/>
              <w:keepNext w:val="0"/>
              <w:widowControl w:val="0"/>
              <w:spacing w:before="60" w:after="60"/>
              <w:jc w:val="left"/>
              <w:rPr>
                <w:snapToGrid w:val="0"/>
                <w:szCs w:val="20"/>
              </w:rPr>
            </w:pPr>
            <w:r w:rsidRPr="004D10F1">
              <w:rPr>
                <w:snapToGrid w:val="0"/>
                <w:szCs w:val="20"/>
              </w:rPr>
              <w:t>Not used</w:t>
            </w:r>
          </w:p>
        </w:tc>
      </w:tr>
      <w:tr w:rsidR="00B41093" w:rsidRPr="001D54EF" w14:paraId="52597519" w14:textId="77777777" w:rsidTr="003C214D">
        <w:trPr>
          <w:cantSplit/>
        </w:trPr>
        <w:tc>
          <w:tcPr>
            <w:tcW w:w="1224" w:type="dxa"/>
            <w:shd w:val="clear" w:color="auto" w:fill="auto"/>
          </w:tcPr>
          <w:p w14:paraId="693AA8BA" w14:textId="77777777" w:rsidR="00B41093" w:rsidRPr="001D54EF" w:rsidRDefault="00B41093" w:rsidP="00E72D7C">
            <w:pPr>
              <w:pStyle w:val="TableText0"/>
              <w:keepNext w:val="0"/>
              <w:widowControl w:val="0"/>
              <w:spacing w:before="60" w:after="60"/>
              <w:jc w:val="left"/>
              <w:rPr>
                <w:szCs w:val="20"/>
              </w:rPr>
            </w:pPr>
            <w:r w:rsidRPr="001D54EF">
              <w:rPr>
                <w:szCs w:val="20"/>
              </w:rPr>
              <w:lastRenderedPageBreak/>
              <w:t>Wolf et al (2008)</w:t>
            </w:r>
          </w:p>
        </w:tc>
        <w:tc>
          <w:tcPr>
            <w:tcW w:w="965" w:type="dxa"/>
            <w:shd w:val="clear" w:color="auto" w:fill="auto"/>
          </w:tcPr>
          <w:p w14:paraId="0A67C72F" w14:textId="77777777" w:rsidR="00B41093" w:rsidRPr="001D54EF" w:rsidRDefault="00B421B9" w:rsidP="00414740">
            <w:pPr>
              <w:pStyle w:val="TableText0"/>
              <w:keepNext w:val="0"/>
              <w:widowControl w:val="0"/>
              <w:spacing w:before="60" w:after="60"/>
              <w:jc w:val="left"/>
              <w:rPr>
                <w:snapToGrid w:val="0"/>
                <w:szCs w:val="20"/>
              </w:rPr>
            </w:pPr>
            <w:r w:rsidRPr="001D54EF">
              <w:rPr>
                <w:snapToGrid w:val="0"/>
                <w:szCs w:val="20"/>
              </w:rPr>
              <w:t>82 (NR)</w:t>
            </w:r>
          </w:p>
        </w:tc>
        <w:tc>
          <w:tcPr>
            <w:tcW w:w="1221" w:type="dxa"/>
            <w:tcBorders>
              <w:bottom w:val="single" w:sz="4" w:space="0" w:color="auto"/>
            </w:tcBorders>
            <w:shd w:val="clear" w:color="auto" w:fill="auto"/>
          </w:tcPr>
          <w:p w14:paraId="4A5100DC" w14:textId="77777777" w:rsidR="00B421B9" w:rsidRPr="006E71B4" w:rsidRDefault="00B421B9" w:rsidP="00414740">
            <w:pPr>
              <w:pStyle w:val="TableText0"/>
              <w:keepNext w:val="0"/>
              <w:widowControl w:val="0"/>
              <w:spacing w:before="60" w:after="60"/>
              <w:jc w:val="left"/>
              <w:rPr>
                <w:snapToGrid w:val="0"/>
                <w:szCs w:val="20"/>
              </w:rPr>
            </w:pPr>
            <w:r w:rsidRPr="006E71B4">
              <w:rPr>
                <w:snapToGrid w:val="0"/>
                <w:szCs w:val="20"/>
              </w:rPr>
              <w:t>Retrospective CS</w:t>
            </w:r>
          </w:p>
          <w:p w14:paraId="209AC6E6" w14:textId="77777777" w:rsidR="00B41093" w:rsidRPr="00EB5A53" w:rsidRDefault="00B421B9" w:rsidP="00414740">
            <w:pPr>
              <w:pStyle w:val="TableText0"/>
              <w:keepNext w:val="0"/>
              <w:widowControl w:val="0"/>
              <w:spacing w:before="60" w:after="60"/>
              <w:jc w:val="left"/>
              <w:rPr>
                <w:snapToGrid w:val="0"/>
                <w:szCs w:val="20"/>
              </w:rPr>
            </w:pPr>
            <w:r w:rsidRPr="001C2967">
              <w:rPr>
                <w:snapToGrid w:val="0"/>
                <w:szCs w:val="20"/>
              </w:rPr>
              <w:t>mean (SD): 10 (6.8) months</w:t>
            </w:r>
          </w:p>
        </w:tc>
        <w:tc>
          <w:tcPr>
            <w:tcW w:w="977" w:type="dxa"/>
            <w:tcBorders>
              <w:bottom w:val="single" w:sz="4" w:space="0" w:color="auto"/>
            </w:tcBorders>
            <w:shd w:val="clear" w:color="auto" w:fill="auto"/>
          </w:tcPr>
          <w:p w14:paraId="6CCD2A43" w14:textId="77777777" w:rsidR="00B41093" w:rsidRPr="0000124A" w:rsidRDefault="00B421B9" w:rsidP="00414740">
            <w:pPr>
              <w:pStyle w:val="TableText0"/>
              <w:keepNext w:val="0"/>
              <w:widowControl w:val="0"/>
              <w:spacing w:before="60" w:after="60"/>
              <w:jc w:val="left"/>
              <w:rPr>
                <w:snapToGrid w:val="0"/>
                <w:szCs w:val="20"/>
              </w:rPr>
            </w:pPr>
            <w:r w:rsidRPr="00351105">
              <w:rPr>
                <w:snapToGrid w:val="0"/>
                <w:szCs w:val="20"/>
              </w:rPr>
              <w:t>High</w:t>
            </w:r>
          </w:p>
        </w:tc>
        <w:tc>
          <w:tcPr>
            <w:tcW w:w="1827" w:type="dxa"/>
            <w:tcBorders>
              <w:bottom w:val="single" w:sz="4" w:space="0" w:color="auto"/>
            </w:tcBorders>
            <w:shd w:val="clear" w:color="auto" w:fill="auto"/>
          </w:tcPr>
          <w:p w14:paraId="15DB3BD6" w14:textId="77777777" w:rsidR="00B421B9" w:rsidRPr="0000124A" w:rsidRDefault="00B421B9" w:rsidP="00414740">
            <w:pPr>
              <w:pStyle w:val="TableText0"/>
              <w:keepNext w:val="0"/>
              <w:widowControl w:val="0"/>
              <w:spacing w:before="60" w:after="60"/>
              <w:jc w:val="left"/>
              <w:rPr>
                <w:szCs w:val="20"/>
              </w:rPr>
            </w:pPr>
            <w:r w:rsidRPr="0000124A">
              <w:rPr>
                <w:szCs w:val="20"/>
              </w:rPr>
              <w:t>Primary or secondary lung cancer, medically inoperable or refusing surgery</w:t>
            </w:r>
          </w:p>
        </w:tc>
        <w:tc>
          <w:tcPr>
            <w:tcW w:w="1821" w:type="dxa"/>
            <w:tcBorders>
              <w:bottom w:val="single" w:sz="4" w:space="0" w:color="auto"/>
            </w:tcBorders>
            <w:shd w:val="clear" w:color="auto" w:fill="auto"/>
          </w:tcPr>
          <w:p w14:paraId="16933F03" w14:textId="77777777" w:rsidR="00B41093" w:rsidRPr="006B33E4" w:rsidRDefault="00B421B9" w:rsidP="00414740">
            <w:pPr>
              <w:pStyle w:val="TableText0"/>
              <w:keepNext w:val="0"/>
              <w:widowControl w:val="0"/>
              <w:spacing w:before="60" w:after="60"/>
              <w:jc w:val="left"/>
              <w:rPr>
                <w:szCs w:val="20"/>
              </w:rPr>
            </w:pPr>
            <w:r w:rsidRPr="00781354">
              <w:rPr>
                <w:szCs w:val="20"/>
              </w:rPr>
              <w:t>Adverse events</w:t>
            </w:r>
          </w:p>
        </w:tc>
        <w:tc>
          <w:tcPr>
            <w:tcW w:w="1020" w:type="dxa"/>
            <w:shd w:val="clear" w:color="auto" w:fill="auto"/>
          </w:tcPr>
          <w:p w14:paraId="29E50765" w14:textId="77777777" w:rsidR="00B41093" w:rsidRPr="009616D3" w:rsidRDefault="00BD39D5" w:rsidP="00414740">
            <w:pPr>
              <w:pStyle w:val="TableText0"/>
              <w:keepNext w:val="0"/>
              <w:widowControl w:val="0"/>
              <w:spacing w:before="60" w:after="60"/>
              <w:jc w:val="left"/>
              <w:rPr>
                <w:snapToGrid w:val="0"/>
                <w:szCs w:val="20"/>
              </w:rPr>
            </w:pPr>
            <w:r w:rsidRPr="004D10F1">
              <w:rPr>
                <w:snapToGrid w:val="0"/>
                <w:szCs w:val="20"/>
              </w:rPr>
              <w:t xml:space="preserve">Not </w:t>
            </w:r>
            <w:r w:rsidRPr="00935A6C">
              <w:rPr>
                <w:snapToGrid w:val="0"/>
                <w:szCs w:val="20"/>
              </w:rPr>
              <w:t>used</w:t>
            </w:r>
          </w:p>
        </w:tc>
      </w:tr>
      <w:tr w:rsidR="00B41093" w:rsidRPr="001D54EF" w14:paraId="46390EE4" w14:textId="77777777" w:rsidTr="003C214D">
        <w:trPr>
          <w:cantSplit/>
        </w:trPr>
        <w:tc>
          <w:tcPr>
            <w:tcW w:w="1224" w:type="dxa"/>
            <w:shd w:val="clear" w:color="auto" w:fill="auto"/>
          </w:tcPr>
          <w:p w14:paraId="4CEE1DE4" w14:textId="77777777" w:rsidR="00B41093" w:rsidRPr="001D54EF" w:rsidRDefault="00B41093" w:rsidP="00E72D7C">
            <w:pPr>
              <w:pStyle w:val="TableText0"/>
              <w:keepNext w:val="0"/>
              <w:widowControl w:val="0"/>
              <w:spacing w:before="60" w:after="60"/>
              <w:jc w:val="left"/>
              <w:rPr>
                <w:szCs w:val="20"/>
              </w:rPr>
            </w:pPr>
            <w:r w:rsidRPr="001D54EF">
              <w:rPr>
                <w:szCs w:val="20"/>
              </w:rPr>
              <w:t>Yang et al (2015)</w:t>
            </w:r>
          </w:p>
        </w:tc>
        <w:tc>
          <w:tcPr>
            <w:tcW w:w="965" w:type="dxa"/>
            <w:shd w:val="clear" w:color="auto" w:fill="auto"/>
          </w:tcPr>
          <w:p w14:paraId="65FD9D8D" w14:textId="77777777" w:rsidR="00B41093" w:rsidRPr="001D54EF" w:rsidRDefault="00B421B9" w:rsidP="00414740">
            <w:pPr>
              <w:pStyle w:val="TableText0"/>
              <w:keepNext w:val="0"/>
              <w:widowControl w:val="0"/>
              <w:spacing w:before="60" w:after="60"/>
              <w:jc w:val="left"/>
              <w:rPr>
                <w:snapToGrid w:val="0"/>
                <w:szCs w:val="20"/>
              </w:rPr>
            </w:pPr>
            <w:r w:rsidRPr="001D54EF">
              <w:rPr>
                <w:snapToGrid w:val="0"/>
                <w:szCs w:val="20"/>
              </w:rPr>
              <w:t>36 (40)</w:t>
            </w:r>
          </w:p>
        </w:tc>
        <w:tc>
          <w:tcPr>
            <w:tcW w:w="1221" w:type="dxa"/>
            <w:tcBorders>
              <w:bottom w:val="single" w:sz="4" w:space="0" w:color="auto"/>
            </w:tcBorders>
            <w:shd w:val="clear" w:color="auto" w:fill="auto"/>
          </w:tcPr>
          <w:p w14:paraId="4D920F60" w14:textId="77777777" w:rsidR="00B421B9" w:rsidRPr="005F2661" w:rsidRDefault="00B421B9" w:rsidP="00414740">
            <w:pPr>
              <w:pStyle w:val="TableText0"/>
              <w:keepNext w:val="0"/>
              <w:widowControl w:val="0"/>
              <w:spacing w:before="60" w:after="60"/>
              <w:jc w:val="left"/>
              <w:rPr>
                <w:snapToGrid w:val="0"/>
                <w:szCs w:val="20"/>
              </w:rPr>
            </w:pPr>
            <w:r w:rsidRPr="005F2661">
              <w:rPr>
                <w:snapToGrid w:val="0"/>
                <w:szCs w:val="20"/>
              </w:rPr>
              <w:t>Retrospective CS</w:t>
            </w:r>
          </w:p>
          <w:p w14:paraId="7764B7F4" w14:textId="77777777" w:rsidR="00B41093" w:rsidRPr="00F2078A" w:rsidRDefault="00B421B9" w:rsidP="00414740">
            <w:pPr>
              <w:pStyle w:val="TableText0"/>
              <w:keepNext w:val="0"/>
              <w:widowControl w:val="0"/>
              <w:spacing w:before="60" w:after="60"/>
              <w:jc w:val="left"/>
              <w:rPr>
                <w:snapToGrid w:val="0"/>
                <w:szCs w:val="20"/>
              </w:rPr>
            </w:pPr>
            <w:r w:rsidRPr="005F2661">
              <w:rPr>
                <w:snapToGrid w:val="0"/>
                <w:szCs w:val="20"/>
              </w:rPr>
              <w:t>Patients had at least one 6 month follow-up</w:t>
            </w:r>
          </w:p>
        </w:tc>
        <w:tc>
          <w:tcPr>
            <w:tcW w:w="977" w:type="dxa"/>
            <w:tcBorders>
              <w:bottom w:val="single" w:sz="4" w:space="0" w:color="auto"/>
            </w:tcBorders>
            <w:shd w:val="clear" w:color="auto" w:fill="auto"/>
          </w:tcPr>
          <w:p w14:paraId="6DF202ED" w14:textId="77777777" w:rsidR="00B41093" w:rsidRPr="00642604" w:rsidRDefault="00B421B9" w:rsidP="00414740">
            <w:pPr>
              <w:pStyle w:val="TableText0"/>
              <w:keepNext w:val="0"/>
              <w:widowControl w:val="0"/>
              <w:spacing w:before="60" w:after="60"/>
              <w:jc w:val="left"/>
              <w:rPr>
                <w:snapToGrid w:val="0"/>
                <w:szCs w:val="20"/>
              </w:rPr>
            </w:pPr>
            <w:r w:rsidRPr="006E71B4">
              <w:rPr>
                <w:snapToGrid w:val="0"/>
                <w:szCs w:val="20"/>
              </w:rPr>
              <w:t>High</w:t>
            </w:r>
          </w:p>
        </w:tc>
        <w:tc>
          <w:tcPr>
            <w:tcW w:w="1827" w:type="dxa"/>
            <w:tcBorders>
              <w:bottom w:val="single" w:sz="4" w:space="0" w:color="auto"/>
            </w:tcBorders>
            <w:shd w:val="clear" w:color="auto" w:fill="auto"/>
          </w:tcPr>
          <w:p w14:paraId="78671E87" w14:textId="77777777" w:rsidR="00B421B9" w:rsidRPr="00EB5A53" w:rsidRDefault="00B421B9" w:rsidP="00414740">
            <w:pPr>
              <w:pStyle w:val="TableText0"/>
              <w:keepNext w:val="0"/>
              <w:widowControl w:val="0"/>
              <w:spacing w:before="60" w:after="60"/>
              <w:jc w:val="left"/>
              <w:rPr>
                <w:szCs w:val="20"/>
              </w:rPr>
            </w:pPr>
            <w:r w:rsidRPr="00642604">
              <w:rPr>
                <w:szCs w:val="20"/>
              </w:rPr>
              <w:t>Primary or second</w:t>
            </w:r>
            <w:r w:rsidR="00A20C2E" w:rsidRPr="001C2967">
              <w:rPr>
                <w:szCs w:val="20"/>
              </w:rPr>
              <w:t>ary lung cancer who underwent MT</w:t>
            </w:r>
            <w:r w:rsidRPr="00EB5A53">
              <w:rPr>
                <w:szCs w:val="20"/>
              </w:rPr>
              <w:t>A with or without induction of an artificial pneumothorax</w:t>
            </w:r>
          </w:p>
        </w:tc>
        <w:tc>
          <w:tcPr>
            <w:tcW w:w="1821" w:type="dxa"/>
            <w:tcBorders>
              <w:bottom w:val="single" w:sz="4" w:space="0" w:color="auto"/>
            </w:tcBorders>
            <w:shd w:val="clear" w:color="auto" w:fill="auto"/>
          </w:tcPr>
          <w:p w14:paraId="270B188E" w14:textId="77777777" w:rsidR="00B41093" w:rsidRPr="0000124A" w:rsidRDefault="00B421B9" w:rsidP="00414740">
            <w:pPr>
              <w:pStyle w:val="TableText0"/>
              <w:keepNext w:val="0"/>
              <w:widowControl w:val="0"/>
              <w:spacing w:before="60" w:after="60"/>
              <w:jc w:val="left"/>
              <w:rPr>
                <w:szCs w:val="20"/>
              </w:rPr>
            </w:pPr>
            <w:r w:rsidRPr="00351105">
              <w:rPr>
                <w:szCs w:val="20"/>
              </w:rPr>
              <w:t>Adverse events</w:t>
            </w:r>
          </w:p>
        </w:tc>
        <w:tc>
          <w:tcPr>
            <w:tcW w:w="1020" w:type="dxa"/>
            <w:shd w:val="clear" w:color="auto" w:fill="auto"/>
          </w:tcPr>
          <w:p w14:paraId="6FB9CEA2" w14:textId="77777777" w:rsidR="00B41093" w:rsidRPr="00781354" w:rsidRDefault="00BD39D5" w:rsidP="00414740">
            <w:pPr>
              <w:pStyle w:val="TableText0"/>
              <w:keepNext w:val="0"/>
              <w:widowControl w:val="0"/>
              <w:spacing w:before="60" w:after="60"/>
              <w:jc w:val="left"/>
              <w:rPr>
                <w:snapToGrid w:val="0"/>
                <w:szCs w:val="20"/>
              </w:rPr>
            </w:pPr>
            <w:r w:rsidRPr="0000124A">
              <w:rPr>
                <w:snapToGrid w:val="0"/>
                <w:szCs w:val="20"/>
              </w:rPr>
              <w:t>Not used</w:t>
            </w:r>
          </w:p>
        </w:tc>
      </w:tr>
      <w:tr w:rsidR="00B41093" w:rsidRPr="001D54EF" w14:paraId="40CFAA41" w14:textId="77777777" w:rsidTr="003C214D">
        <w:trPr>
          <w:cantSplit/>
        </w:trPr>
        <w:tc>
          <w:tcPr>
            <w:tcW w:w="1224" w:type="dxa"/>
            <w:shd w:val="clear" w:color="auto" w:fill="auto"/>
          </w:tcPr>
          <w:p w14:paraId="15FD2C5A" w14:textId="77777777" w:rsidR="00B41093" w:rsidRPr="001D54EF" w:rsidRDefault="00B41093" w:rsidP="00E72D7C">
            <w:pPr>
              <w:pStyle w:val="TableText0"/>
              <w:keepNext w:val="0"/>
              <w:widowControl w:val="0"/>
              <w:spacing w:before="60" w:after="60"/>
              <w:jc w:val="left"/>
              <w:rPr>
                <w:szCs w:val="20"/>
              </w:rPr>
            </w:pPr>
            <w:r w:rsidRPr="001D54EF">
              <w:rPr>
                <w:szCs w:val="20"/>
              </w:rPr>
              <w:t>Zheng at al (2014)</w:t>
            </w:r>
          </w:p>
        </w:tc>
        <w:tc>
          <w:tcPr>
            <w:tcW w:w="965" w:type="dxa"/>
            <w:shd w:val="clear" w:color="auto" w:fill="auto"/>
          </w:tcPr>
          <w:p w14:paraId="2C9B4546" w14:textId="77777777" w:rsidR="00B41093" w:rsidRPr="001D54EF" w:rsidRDefault="00B7710C" w:rsidP="00414740">
            <w:pPr>
              <w:pStyle w:val="TableText0"/>
              <w:keepNext w:val="0"/>
              <w:widowControl w:val="0"/>
              <w:spacing w:before="60" w:after="60"/>
              <w:jc w:val="left"/>
              <w:rPr>
                <w:snapToGrid w:val="0"/>
                <w:szCs w:val="20"/>
              </w:rPr>
            </w:pPr>
            <w:r w:rsidRPr="001D54EF">
              <w:rPr>
                <w:snapToGrid w:val="0"/>
                <w:szCs w:val="20"/>
              </w:rPr>
              <w:t>184 (253)</w:t>
            </w:r>
          </w:p>
        </w:tc>
        <w:tc>
          <w:tcPr>
            <w:tcW w:w="1221" w:type="dxa"/>
            <w:tcBorders>
              <w:bottom w:val="single" w:sz="4" w:space="0" w:color="auto"/>
            </w:tcBorders>
            <w:shd w:val="clear" w:color="auto" w:fill="auto"/>
          </w:tcPr>
          <w:p w14:paraId="5BBD5A55" w14:textId="77777777" w:rsidR="00B7710C" w:rsidRPr="005F2661" w:rsidRDefault="00B7710C" w:rsidP="00414740">
            <w:pPr>
              <w:pStyle w:val="TableText0"/>
              <w:keepNext w:val="0"/>
              <w:widowControl w:val="0"/>
              <w:spacing w:before="60" w:after="60"/>
              <w:jc w:val="left"/>
              <w:rPr>
                <w:snapToGrid w:val="0"/>
                <w:szCs w:val="20"/>
              </w:rPr>
            </w:pPr>
            <w:r w:rsidRPr="005F2661">
              <w:rPr>
                <w:snapToGrid w:val="0"/>
                <w:szCs w:val="20"/>
              </w:rPr>
              <w:t>Retrospective CS</w:t>
            </w:r>
          </w:p>
          <w:p w14:paraId="0A3F48CC" w14:textId="77777777" w:rsidR="00B41093" w:rsidRPr="006E71B4" w:rsidRDefault="00B7710C" w:rsidP="00414740">
            <w:pPr>
              <w:pStyle w:val="TableText0"/>
              <w:keepNext w:val="0"/>
              <w:widowControl w:val="0"/>
              <w:spacing w:before="60" w:after="60"/>
              <w:jc w:val="left"/>
              <w:rPr>
                <w:snapToGrid w:val="0"/>
                <w:szCs w:val="20"/>
              </w:rPr>
            </w:pPr>
            <w:r w:rsidRPr="005F2661">
              <w:rPr>
                <w:snapToGrid w:val="0"/>
                <w:szCs w:val="20"/>
              </w:rPr>
              <w:t>NR</w:t>
            </w:r>
          </w:p>
        </w:tc>
        <w:tc>
          <w:tcPr>
            <w:tcW w:w="977" w:type="dxa"/>
            <w:tcBorders>
              <w:bottom w:val="single" w:sz="4" w:space="0" w:color="auto"/>
            </w:tcBorders>
            <w:shd w:val="clear" w:color="auto" w:fill="auto"/>
          </w:tcPr>
          <w:p w14:paraId="38D86C63" w14:textId="77777777" w:rsidR="00B41093" w:rsidRPr="00351105" w:rsidRDefault="00B7710C" w:rsidP="00414740">
            <w:pPr>
              <w:pStyle w:val="TableText0"/>
              <w:keepNext w:val="0"/>
              <w:widowControl w:val="0"/>
              <w:spacing w:before="60" w:after="60"/>
              <w:jc w:val="left"/>
              <w:rPr>
                <w:snapToGrid w:val="0"/>
                <w:szCs w:val="20"/>
              </w:rPr>
            </w:pPr>
            <w:r w:rsidRPr="00EB5A53">
              <w:rPr>
                <w:snapToGrid w:val="0"/>
                <w:szCs w:val="20"/>
              </w:rPr>
              <w:t>High</w:t>
            </w:r>
          </w:p>
        </w:tc>
        <w:tc>
          <w:tcPr>
            <w:tcW w:w="1827" w:type="dxa"/>
            <w:tcBorders>
              <w:bottom w:val="single" w:sz="4" w:space="0" w:color="auto"/>
            </w:tcBorders>
            <w:shd w:val="clear" w:color="auto" w:fill="auto"/>
          </w:tcPr>
          <w:p w14:paraId="61C2E73B" w14:textId="77777777" w:rsidR="00B7710C" w:rsidRPr="00781354" w:rsidRDefault="00B7710C" w:rsidP="00414740">
            <w:pPr>
              <w:pStyle w:val="TableText0"/>
              <w:keepNext w:val="0"/>
              <w:widowControl w:val="0"/>
              <w:spacing w:before="60" w:after="60"/>
              <w:jc w:val="left"/>
              <w:rPr>
                <w:szCs w:val="20"/>
              </w:rPr>
            </w:pPr>
            <w:r w:rsidRPr="0000124A">
              <w:rPr>
                <w:szCs w:val="20"/>
              </w:rPr>
              <w:t>Primary or secondary lung cancer, medicall</w:t>
            </w:r>
            <w:r w:rsidR="009B5BA2" w:rsidRPr="0000124A">
              <w:rPr>
                <w:szCs w:val="20"/>
              </w:rPr>
              <w:t>y inoperable or refusing surgery</w:t>
            </w:r>
          </w:p>
        </w:tc>
        <w:tc>
          <w:tcPr>
            <w:tcW w:w="1821" w:type="dxa"/>
            <w:tcBorders>
              <w:bottom w:val="single" w:sz="4" w:space="0" w:color="auto"/>
            </w:tcBorders>
            <w:shd w:val="clear" w:color="auto" w:fill="auto"/>
          </w:tcPr>
          <w:p w14:paraId="0D2DB766" w14:textId="77777777" w:rsidR="00B41093" w:rsidRPr="006B33E4" w:rsidRDefault="00B7710C" w:rsidP="00414740">
            <w:pPr>
              <w:pStyle w:val="TableText0"/>
              <w:keepNext w:val="0"/>
              <w:widowControl w:val="0"/>
              <w:spacing w:before="60" w:after="60"/>
              <w:jc w:val="left"/>
              <w:rPr>
                <w:szCs w:val="20"/>
              </w:rPr>
            </w:pPr>
            <w:r w:rsidRPr="006B33E4">
              <w:rPr>
                <w:szCs w:val="20"/>
              </w:rPr>
              <w:t>Adverse events</w:t>
            </w:r>
          </w:p>
        </w:tc>
        <w:tc>
          <w:tcPr>
            <w:tcW w:w="1020" w:type="dxa"/>
            <w:shd w:val="clear" w:color="auto" w:fill="auto"/>
          </w:tcPr>
          <w:p w14:paraId="2DE18C49" w14:textId="77777777" w:rsidR="00B41093" w:rsidRPr="00935A6C" w:rsidRDefault="00BD39D5" w:rsidP="00414740">
            <w:pPr>
              <w:pStyle w:val="TableText0"/>
              <w:keepNext w:val="0"/>
              <w:widowControl w:val="0"/>
              <w:spacing w:before="60" w:after="60"/>
              <w:jc w:val="left"/>
              <w:rPr>
                <w:snapToGrid w:val="0"/>
                <w:szCs w:val="20"/>
              </w:rPr>
            </w:pPr>
            <w:r w:rsidRPr="004D10F1">
              <w:rPr>
                <w:snapToGrid w:val="0"/>
                <w:szCs w:val="20"/>
              </w:rPr>
              <w:t>Not used</w:t>
            </w:r>
          </w:p>
        </w:tc>
      </w:tr>
      <w:tr w:rsidR="00B7710C" w:rsidRPr="001D54EF" w14:paraId="25872C34" w14:textId="77777777" w:rsidTr="003C214D">
        <w:trPr>
          <w:cantSplit/>
        </w:trPr>
        <w:tc>
          <w:tcPr>
            <w:tcW w:w="1224" w:type="dxa"/>
            <w:shd w:val="clear" w:color="auto" w:fill="auto"/>
          </w:tcPr>
          <w:p w14:paraId="79C3625E" w14:textId="77777777" w:rsidR="00B7710C" w:rsidRPr="001D54EF" w:rsidRDefault="00B7710C" w:rsidP="00E72D7C">
            <w:pPr>
              <w:pStyle w:val="TableText0"/>
              <w:keepNext w:val="0"/>
              <w:widowControl w:val="0"/>
              <w:spacing w:before="60" w:after="60"/>
              <w:jc w:val="left"/>
              <w:rPr>
                <w:snapToGrid w:val="0"/>
                <w:szCs w:val="20"/>
              </w:rPr>
            </w:pPr>
            <w:r w:rsidRPr="001D54EF">
              <w:rPr>
                <w:snapToGrid w:val="0"/>
                <w:szCs w:val="20"/>
              </w:rPr>
              <w:t>Meta-analysis/pooling</w:t>
            </w:r>
          </w:p>
        </w:tc>
        <w:tc>
          <w:tcPr>
            <w:tcW w:w="965" w:type="dxa"/>
            <w:shd w:val="clear" w:color="auto" w:fill="auto"/>
          </w:tcPr>
          <w:p w14:paraId="57A1996C" w14:textId="77777777" w:rsidR="00B7710C" w:rsidRPr="001D54EF" w:rsidRDefault="00B71F4C" w:rsidP="00414740">
            <w:pPr>
              <w:pStyle w:val="TableText0"/>
              <w:keepNext w:val="0"/>
              <w:widowControl w:val="0"/>
              <w:spacing w:before="60" w:after="60"/>
              <w:jc w:val="left"/>
              <w:rPr>
                <w:snapToGrid w:val="0"/>
                <w:szCs w:val="20"/>
              </w:rPr>
            </w:pPr>
            <w:r w:rsidRPr="001D54EF">
              <w:rPr>
                <w:snapToGrid w:val="0"/>
                <w:szCs w:val="20"/>
              </w:rPr>
              <w:t>Not calculable</w:t>
            </w:r>
          </w:p>
          <w:p w14:paraId="6D87A603" w14:textId="77777777" w:rsidR="00B71F4C" w:rsidRPr="005F2661" w:rsidRDefault="00B71F4C" w:rsidP="00414740">
            <w:pPr>
              <w:pStyle w:val="TableText0"/>
              <w:keepNext w:val="0"/>
              <w:widowControl w:val="0"/>
              <w:spacing w:before="60" w:after="60"/>
              <w:jc w:val="left"/>
              <w:rPr>
                <w:snapToGrid w:val="0"/>
                <w:szCs w:val="20"/>
              </w:rPr>
            </w:pPr>
            <w:r w:rsidRPr="005F2661">
              <w:rPr>
                <w:snapToGrid w:val="0"/>
                <w:szCs w:val="20"/>
              </w:rPr>
              <w:t>16 studies</w:t>
            </w:r>
          </w:p>
        </w:tc>
        <w:tc>
          <w:tcPr>
            <w:tcW w:w="1221" w:type="dxa"/>
            <w:tcBorders>
              <w:right w:val="nil"/>
            </w:tcBorders>
            <w:shd w:val="clear" w:color="auto" w:fill="auto"/>
          </w:tcPr>
          <w:p w14:paraId="07F8C2DF" w14:textId="77777777" w:rsidR="00B7710C" w:rsidRPr="005F2661" w:rsidRDefault="00B7710C" w:rsidP="00414740">
            <w:pPr>
              <w:pStyle w:val="TableText0"/>
              <w:keepNext w:val="0"/>
              <w:widowControl w:val="0"/>
              <w:spacing w:before="60" w:after="60"/>
              <w:jc w:val="left"/>
              <w:rPr>
                <w:snapToGrid w:val="0"/>
                <w:szCs w:val="20"/>
              </w:rPr>
            </w:pPr>
          </w:p>
        </w:tc>
        <w:tc>
          <w:tcPr>
            <w:tcW w:w="977" w:type="dxa"/>
            <w:tcBorders>
              <w:left w:val="nil"/>
              <w:right w:val="nil"/>
            </w:tcBorders>
            <w:shd w:val="clear" w:color="auto" w:fill="auto"/>
          </w:tcPr>
          <w:p w14:paraId="6D588933" w14:textId="77777777" w:rsidR="00B7710C" w:rsidRPr="00F2078A" w:rsidRDefault="00B7710C" w:rsidP="00414740">
            <w:pPr>
              <w:pStyle w:val="TableText0"/>
              <w:keepNext w:val="0"/>
              <w:widowControl w:val="0"/>
              <w:spacing w:before="60" w:after="60"/>
              <w:jc w:val="left"/>
              <w:rPr>
                <w:snapToGrid w:val="0"/>
                <w:szCs w:val="20"/>
              </w:rPr>
            </w:pPr>
          </w:p>
        </w:tc>
        <w:tc>
          <w:tcPr>
            <w:tcW w:w="1827" w:type="dxa"/>
            <w:tcBorders>
              <w:left w:val="nil"/>
              <w:right w:val="nil"/>
            </w:tcBorders>
            <w:shd w:val="clear" w:color="auto" w:fill="auto"/>
          </w:tcPr>
          <w:p w14:paraId="78945F76" w14:textId="77777777" w:rsidR="00B7710C" w:rsidRPr="00EB5A53" w:rsidRDefault="00B71F4C" w:rsidP="00414740">
            <w:pPr>
              <w:pStyle w:val="TableText0"/>
              <w:keepNext w:val="0"/>
              <w:widowControl w:val="0"/>
              <w:spacing w:before="60" w:after="60"/>
              <w:jc w:val="left"/>
              <w:rPr>
                <w:szCs w:val="20"/>
              </w:rPr>
            </w:pPr>
            <w:r w:rsidRPr="00642604">
              <w:rPr>
                <w:snapToGrid w:val="0"/>
                <w:szCs w:val="20"/>
              </w:rPr>
              <w:t>Where possible n/N (%) for adverse events has been calculated across all studies. Measures of central tendency and associated measures of variance have been reported if applicable</w:t>
            </w:r>
          </w:p>
        </w:tc>
        <w:tc>
          <w:tcPr>
            <w:tcW w:w="1821" w:type="dxa"/>
            <w:tcBorders>
              <w:left w:val="nil"/>
            </w:tcBorders>
            <w:shd w:val="clear" w:color="auto" w:fill="auto"/>
          </w:tcPr>
          <w:p w14:paraId="6F1F2E78" w14:textId="77777777" w:rsidR="00B7710C" w:rsidRPr="00351105" w:rsidRDefault="00B7710C" w:rsidP="00414740">
            <w:pPr>
              <w:pStyle w:val="TableText0"/>
              <w:keepNext w:val="0"/>
              <w:widowControl w:val="0"/>
              <w:spacing w:before="60" w:after="60"/>
              <w:jc w:val="left"/>
              <w:rPr>
                <w:szCs w:val="20"/>
              </w:rPr>
            </w:pPr>
          </w:p>
        </w:tc>
        <w:tc>
          <w:tcPr>
            <w:tcW w:w="1020" w:type="dxa"/>
            <w:shd w:val="clear" w:color="auto" w:fill="auto"/>
          </w:tcPr>
          <w:p w14:paraId="1A46B47F" w14:textId="77777777" w:rsidR="00B7710C" w:rsidRPr="0000124A" w:rsidRDefault="00B7710C" w:rsidP="00414740">
            <w:pPr>
              <w:pStyle w:val="TableText0"/>
              <w:keepNext w:val="0"/>
              <w:widowControl w:val="0"/>
              <w:spacing w:before="60" w:after="60"/>
              <w:jc w:val="left"/>
              <w:rPr>
                <w:snapToGrid w:val="0"/>
                <w:szCs w:val="20"/>
              </w:rPr>
            </w:pPr>
            <w:r w:rsidRPr="0000124A">
              <w:rPr>
                <w:snapToGrid w:val="0"/>
                <w:szCs w:val="20"/>
              </w:rPr>
              <w:t>Not used</w:t>
            </w:r>
          </w:p>
        </w:tc>
      </w:tr>
    </w:tbl>
    <w:p w14:paraId="4DB785FB" w14:textId="73C6BDB6" w:rsidR="00A20C2E" w:rsidRDefault="00D351EA" w:rsidP="005775DE">
      <w:pPr>
        <w:pStyle w:val="Tablenotes0"/>
        <w:rPr>
          <w:rStyle w:val="TablenotesChar0"/>
        </w:rPr>
      </w:pPr>
      <w:r>
        <w:rPr>
          <w:rStyle w:val="TablenotesChar0"/>
        </w:rPr>
        <w:t xml:space="preserve">&lt; </w:t>
      </w:r>
      <w:r w:rsidR="00B71F4C">
        <w:rPr>
          <w:rStyle w:val="TablenotesChar0"/>
        </w:rPr>
        <w:t>CS</w:t>
      </w:r>
      <w:r w:rsidR="00B2427F">
        <w:rPr>
          <w:rStyle w:val="TablenotesChar0"/>
        </w:rPr>
        <w:t xml:space="preserve"> </w:t>
      </w:r>
      <w:r w:rsidR="00B71F4C">
        <w:rPr>
          <w:rStyle w:val="TablenotesChar0"/>
        </w:rPr>
        <w:t>=</w:t>
      </w:r>
      <w:r w:rsidR="00B2427F">
        <w:rPr>
          <w:rStyle w:val="TablenotesChar0"/>
        </w:rPr>
        <w:t xml:space="preserve"> </w:t>
      </w:r>
      <w:r w:rsidR="00B71F4C">
        <w:rPr>
          <w:rStyle w:val="TablenotesChar0"/>
        </w:rPr>
        <w:t>case series</w:t>
      </w:r>
      <w:r w:rsidR="00A20C2E">
        <w:rPr>
          <w:rStyle w:val="TablenotesChar0"/>
        </w:rPr>
        <w:t xml:space="preserve">; </w:t>
      </w:r>
      <w:r w:rsidR="00A20C2E" w:rsidRPr="00A20C2E">
        <w:rPr>
          <w:rStyle w:val="TablenotesChar0"/>
        </w:rPr>
        <w:t>MTA</w:t>
      </w:r>
      <w:r w:rsidR="00B2427F">
        <w:rPr>
          <w:rStyle w:val="TablenotesChar0"/>
        </w:rPr>
        <w:t xml:space="preserve"> </w:t>
      </w:r>
      <w:r w:rsidR="00A20C2E" w:rsidRPr="00A20C2E">
        <w:rPr>
          <w:rStyle w:val="TablenotesChar0"/>
        </w:rPr>
        <w:t>= microwave tissue ablation</w:t>
      </w:r>
      <w:r w:rsidR="00A20C2E">
        <w:rPr>
          <w:rStyle w:val="TablenotesChar0"/>
        </w:rPr>
        <w:t>;</w:t>
      </w:r>
      <w:r w:rsidR="00C63823">
        <w:t xml:space="preserve"> </w:t>
      </w:r>
      <w:r w:rsidR="00C63823" w:rsidRPr="00A20C2E">
        <w:t>n/N (%)</w:t>
      </w:r>
      <w:r w:rsidR="00FA74C7">
        <w:t xml:space="preserve"> </w:t>
      </w:r>
      <w:r w:rsidR="00C63823" w:rsidRPr="00A20C2E">
        <w:t>= number with event/ total (percentage)</w:t>
      </w:r>
      <w:r w:rsidR="00C63823">
        <w:t xml:space="preserve">; </w:t>
      </w:r>
      <w:r w:rsidR="00C63823" w:rsidRPr="002F591C">
        <w:rPr>
          <w:rStyle w:val="TablenotesChar0"/>
        </w:rPr>
        <w:t>N</w:t>
      </w:r>
      <w:r w:rsidR="00C63823">
        <w:rPr>
          <w:rStyle w:val="TablenotesChar0"/>
        </w:rPr>
        <w:t xml:space="preserve">R </w:t>
      </w:r>
      <w:r w:rsidR="00C63823" w:rsidRPr="002F591C">
        <w:rPr>
          <w:rStyle w:val="TablenotesChar0"/>
        </w:rPr>
        <w:t>=</w:t>
      </w:r>
      <w:r w:rsidR="00C63823">
        <w:rPr>
          <w:rStyle w:val="TablenotesChar0"/>
        </w:rPr>
        <w:t xml:space="preserve"> not reported; </w:t>
      </w:r>
      <w:r w:rsidR="00A20C2E" w:rsidRPr="00A20C2E">
        <w:rPr>
          <w:rStyle w:val="TablenotesChar0"/>
        </w:rPr>
        <w:t>NSCLC</w:t>
      </w:r>
      <w:r w:rsidR="00B2427F">
        <w:rPr>
          <w:rStyle w:val="TablenotesChar0"/>
        </w:rPr>
        <w:t xml:space="preserve"> </w:t>
      </w:r>
      <w:r w:rsidR="00A20C2E" w:rsidRPr="00A20C2E">
        <w:rPr>
          <w:rStyle w:val="TablenotesChar0"/>
        </w:rPr>
        <w:t>= non-small cell lung cancer</w:t>
      </w:r>
      <w:r w:rsidR="00A20C2E">
        <w:rPr>
          <w:rStyle w:val="TablenotesChar0"/>
        </w:rPr>
        <w:t xml:space="preserve">; </w:t>
      </w:r>
      <w:r w:rsidR="00A20C2E" w:rsidRPr="00A20C2E">
        <w:rPr>
          <w:rStyle w:val="TablenotesChar0"/>
        </w:rPr>
        <w:t>RFA</w:t>
      </w:r>
      <w:r w:rsidR="00B2427F">
        <w:rPr>
          <w:rStyle w:val="TablenotesChar0"/>
        </w:rPr>
        <w:t xml:space="preserve"> </w:t>
      </w:r>
      <w:r w:rsidR="00A20C2E" w:rsidRPr="00A20C2E">
        <w:rPr>
          <w:rStyle w:val="TablenotesChar0"/>
        </w:rPr>
        <w:t>= radiofrequency ablation</w:t>
      </w:r>
      <w:r>
        <w:rPr>
          <w:rStyle w:val="TablenotesChar0"/>
        </w:rPr>
        <w:t xml:space="preserve"> &gt;</w:t>
      </w:r>
    </w:p>
    <w:p w14:paraId="149BC5C7" w14:textId="77777777" w:rsidR="00B71F4C" w:rsidRDefault="00B71F4C" w:rsidP="005775DE">
      <w:pPr>
        <w:pStyle w:val="Tablenotes0"/>
        <w:rPr>
          <w:rStyle w:val="TablenotesChar0"/>
        </w:rPr>
      </w:pPr>
      <w:proofErr w:type="gramStart"/>
      <w:r w:rsidRPr="005C3BDC">
        <w:rPr>
          <w:rStyle w:val="TablenotesChar0"/>
          <w:vertAlign w:val="superscript"/>
        </w:rPr>
        <w:t>a</w:t>
      </w:r>
      <w:proofErr w:type="gramEnd"/>
      <w:r w:rsidRPr="005C3BDC">
        <w:rPr>
          <w:rStyle w:val="TablenotesChar0"/>
          <w:vertAlign w:val="superscript"/>
        </w:rPr>
        <w:t xml:space="preserve"> </w:t>
      </w:r>
      <w:r w:rsidRPr="005C3BDC">
        <w:rPr>
          <w:rStyle w:val="TablenotesChar0"/>
        </w:rPr>
        <w:t>reported as median (range) unless otherwise stated</w:t>
      </w:r>
      <w:r w:rsidR="00FA74C7">
        <w:rPr>
          <w:rStyle w:val="TablenotesChar0"/>
        </w:rPr>
        <w:t>.</w:t>
      </w:r>
    </w:p>
    <w:p w14:paraId="36FF23BB" w14:textId="77777777" w:rsidR="00B41093" w:rsidRDefault="00B71F4C" w:rsidP="00C457D1">
      <w:pPr>
        <w:pStyle w:val="Tablenotes0"/>
      </w:pPr>
      <w:proofErr w:type="gramStart"/>
      <w:r w:rsidRPr="00B71F4C">
        <w:rPr>
          <w:vertAlign w:val="superscript"/>
        </w:rPr>
        <w:t>b</w:t>
      </w:r>
      <w:proofErr w:type="gramEnd"/>
      <w:r w:rsidR="00B7710C">
        <w:t xml:space="preserve"> </w:t>
      </w:r>
      <w:r w:rsidR="00B7710C" w:rsidRPr="00B7710C">
        <w:t>113 tumours treated by RFA, 74 tumours treated by M</w:t>
      </w:r>
      <w:r w:rsidR="00A20C2E">
        <w:t>T</w:t>
      </w:r>
      <w:r w:rsidR="00B7710C" w:rsidRPr="00B7710C">
        <w:t>A, 8 tumours treated by RFA and M</w:t>
      </w:r>
      <w:r w:rsidR="00A20C2E">
        <w:t>T</w:t>
      </w:r>
      <w:r w:rsidR="00B7710C" w:rsidRPr="00B7710C">
        <w:t>A in separate sessions</w:t>
      </w:r>
      <w:r w:rsidR="00FA74C7">
        <w:t>.</w:t>
      </w:r>
    </w:p>
    <w:p w14:paraId="750A9EDD" w14:textId="77777777" w:rsidR="00B7710C" w:rsidRDefault="00B71F4C" w:rsidP="00C457D1">
      <w:pPr>
        <w:pStyle w:val="Tablenotes0"/>
      </w:pPr>
      <w:proofErr w:type="gramStart"/>
      <w:r>
        <w:rPr>
          <w:vertAlign w:val="superscript"/>
        </w:rPr>
        <w:t>c</w:t>
      </w:r>
      <w:proofErr w:type="gramEnd"/>
      <w:r w:rsidR="00B7710C">
        <w:t xml:space="preserve"> 29 patients (36 lung lesions) were treated with RFA; 16 patients (17 lung lesions) were treated with M</w:t>
      </w:r>
      <w:r w:rsidR="00A20C2E">
        <w:t>T</w:t>
      </w:r>
      <w:r w:rsidR="00B7710C">
        <w:t>A</w:t>
      </w:r>
      <w:r w:rsidR="00FA74C7">
        <w:t>.</w:t>
      </w:r>
    </w:p>
    <w:p w14:paraId="337D6DA3" w14:textId="77777777" w:rsidR="00924D6D" w:rsidRDefault="00924D6D" w:rsidP="00C457D1">
      <w:pPr>
        <w:pStyle w:val="Tablenotes0"/>
      </w:pPr>
      <w:proofErr w:type="gramStart"/>
      <w:r w:rsidRPr="00924D6D">
        <w:rPr>
          <w:vertAlign w:val="superscript"/>
        </w:rPr>
        <w:t>d</w:t>
      </w:r>
      <w:proofErr w:type="gramEnd"/>
      <w:r>
        <w:t xml:space="preserve"> </w:t>
      </w:r>
      <w:r w:rsidRPr="00924D6D">
        <w:t>performed under normal respiration under conscious sedation (NR-CS) or high-frequency jet ventilation under general anaesthesia (HFJV-GA)</w:t>
      </w:r>
      <w:r w:rsidR="00FA74C7">
        <w:t>.</w:t>
      </w:r>
    </w:p>
    <w:p w14:paraId="5696731B" w14:textId="1673FB2A" w:rsidR="007F70F3" w:rsidRDefault="00924D6D" w:rsidP="00B71F4C">
      <w:pPr>
        <w:pStyle w:val="Tablenotes0"/>
      </w:pPr>
      <w:proofErr w:type="gramStart"/>
      <w:r>
        <w:rPr>
          <w:vertAlign w:val="superscript"/>
        </w:rPr>
        <w:t>e</w:t>
      </w:r>
      <w:proofErr w:type="gramEnd"/>
      <w:r w:rsidR="00B71F4C">
        <w:t xml:space="preserve"> 248 ablations in 164 patients were RFA ablations in 200 and MTA ablations in 48, number of patients: NR</w:t>
      </w:r>
      <w:r w:rsidR="00FA74C7">
        <w:t>.</w:t>
      </w:r>
    </w:p>
    <w:p w14:paraId="64CAC021" w14:textId="77777777" w:rsidR="007F70F3" w:rsidRDefault="00561934" w:rsidP="003F6C66">
      <w:pPr>
        <w:pStyle w:val="Heading3"/>
      </w:pPr>
      <w:bookmarkStart w:id="250" w:name="_Toc460396039"/>
      <w:r>
        <w:t>C</w:t>
      </w:r>
      <w:r w:rsidR="007F70F3">
        <w:t>haracteristics of the studies included for RFA</w:t>
      </w:r>
      <w:bookmarkEnd w:id="250"/>
    </w:p>
    <w:p w14:paraId="51398C5A" w14:textId="5D87E159" w:rsidR="001E2A67" w:rsidRDefault="00B6566C" w:rsidP="001E2A67">
      <w:r>
        <w:t>One</w:t>
      </w:r>
      <w:r w:rsidR="001E2A67">
        <w:t xml:space="preserve"> </w:t>
      </w:r>
      <w:r w:rsidR="0063625A">
        <w:t xml:space="preserve">existing systematic review  of </w:t>
      </w:r>
      <w:r w:rsidR="009879AC">
        <w:t>reasonable quality</w:t>
      </w:r>
      <w:r w:rsidR="001E2A67">
        <w:t xml:space="preserve"> was identified that reported the safety and effectiveness of RFA in patients with primary and secondary lung </w:t>
      </w:r>
      <w:r w:rsidR="0062126F">
        <w:t>cancer</w:t>
      </w:r>
      <w:r w:rsidR="007741A8">
        <w:t>, with search results</w:t>
      </w:r>
      <w:r w:rsidR="001E2A67">
        <w:t xml:space="preserve"> up to</w:t>
      </w:r>
      <w:r w:rsidR="00F95A86">
        <w:t xml:space="preserve"> </w:t>
      </w:r>
      <w:r w:rsidR="00AB29C1">
        <w:t>2006</w:t>
      </w:r>
      <w:r w:rsidR="001E2A67">
        <w:t xml:space="preserve"> </w:t>
      </w:r>
      <w:r w:rsidR="000A6AF5">
        <w:fldChar w:fldCharType="begin"/>
      </w:r>
      <w:r w:rsidR="00320458">
        <w:instrText xml:space="preserve"> ADDIN EN.CITE &lt;EndNote&gt;&lt;Cite&gt;&lt;Author&gt;Zhu&lt;/Author&gt;&lt;Year&gt;2008&lt;/Year&gt;&lt;RecNum&gt;71&lt;/RecNum&gt;&lt;DisplayText&gt;(Zhu et al 2008a)&lt;/DisplayText&gt;&lt;record&gt;&lt;rec-number&gt;71&lt;/rec-number&gt;&lt;foreign-keys&gt;&lt;key app="EN" db-id="05ssdaw2cf0zvye5xvo5z9ww0xdpfstrdtew" timestamp="1468203543"&gt;71&lt;/key&gt;&lt;/foreign-keys&gt;&lt;ref-type name="Journal Article"&gt;17&lt;/ref-type&gt;&lt;contributors&gt;&lt;authors&gt;&lt;author&gt;Zhu, J. C.&lt;/author&gt;&lt;author&gt;Yan, T. D.&lt;/author&gt;&lt;author&gt;Morris, D. L.&lt;/author&gt;&lt;/authors&gt;&lt;/contributors&gt;&lt;titles&gt;&lt;title&gt;A systematic review of radiofrequency ablation for lung tumors&lt;/title&gt;&lt;secondary-title&gt;Annals of Surgical Oncology&lt;/secondary-title&gt;&lt;/titles&gt;&lt;periodical&gt;&lt;full-title&gt;Ann Surg Oncol&lt;/full-title&gt;&lt;abbr-1&gt;Annals of surgical oncology&lt;/abbr-1&gt;&lt;/periodical&gt;&lt;pages&gt;1765-1774&lt;/pages&gt;&lt;volume&gt;15&lt;/volume&gt;&lt;number&gt;6&lt;/number&gt;&lt;keywords&gt;&lt;keyword&gt;Catheter Ablation&lt;/keyword&gt;&lt;keyword&gt;Humans&lt;/keyword&gt;&lt;keyword&gt;Lung Neoplasms /pathology /secondary /therapy&lt;/keyword&gt;&lt;keyword&gt;Survival Analysis&lt;/keyword&gt;&lt;keyword&gt;Treatment Outcome&lt;/keyword&gt;&lt;/keywords&gt;&lt;dates&gt;&lt;year&gt;2008&lt;/year&gt;&lt;/dates&gt;&lt;accession-num&gt;12008104201&lt;/accession-num&gt;&lt;call-num&gt;18368456&lt;/call-num&gt;&lt;urls&gt;&lt;related-urls&gt;&lt;url&gt;http://www.crd.york.ac.uk/CRDWeb/ShowRecord.asp?ID=12008104201&lt;/url&gt;&lt;url&gt;http://link.springer.com/article/10.1245%2Fs10434-008-9848-7&lt;/url&gt;&lt;/related-urls&gt;&lt;/urls&gt;&lt;research-notes&gt;Justification for pre-2006&lt;/research-notes&gt;&lt;/record&gt;&lt;/Cite&gt;&lt;/EndNote&gt;</w:instrText>
      </w:r>
      <w:r w:rsidR="000A6AF5">
        <w:fldChar w:fldCharType="separate"/>
      </w:r>
      <w:r w:rsidR="00320458">
        <w:rPr>
          <w:noProof/>
        </w:rPr>
        <w:t>(</w:t>
      </w:r>
      <w:hyperlink w:anchor="_ENREF_182" w:tooltip="Zhu, 2008 #71" w:history="1">
        <w:r w:rsidR="00320458">
          <w:rPr>
            <w:noProof/>
          </w:rPr>
          <w:t>Zhu et al 2008a</w:t>
        </w:r>
      </w:hyperlink>
      <w:r w:rsidR="00320458">
        <w:rPr>
          <w:noProof/>
        </w:rPr>
        <w:t>)</w:t>
      </w:r>
      <w:r w:rsidR="000A6AF5">
        <w:fldChar w:fldCharType="end"/>
      </w:r>
      <w:r w:rsidR="001E2A67">
        <w:t>.</w:t>
      </w:r>
      <w:r w:rsidR="00192F88">
        <w:t xml:space="preserve"> </w:t>
      </w:r>
      <w:r w:rsidR="009D760F">
        <w:t xml:space="preserve">The review </w:t>
      </w:r>
      <w:r w:rsidR="003A6CE6">
        <w:t>conducted</w:t>
      </w:r>
      <w:r w:rsidR="009D760F">
        <w:t xml:space="preserve"> a</w:t>
      </w:r>
      <w:r w:rsidR="009D760F" w:rsidRPr="009D760F">
        <w:t xml:space="preserve"> comprehensive</w:t>
      </w:r>
      <w:r w:rsidR="00B25E9D">
        <w:t xml:space="preserve"> search, which identified only </w:t>
      </w:r>
      <w:r w:rsidR="00B04452">
        <w:t>two</w:t>
      </w:r>
      <w:r w:rsidR="009D760F" w:rsidRPr="009D760F">
        <w:t xml:space="preserve"> studies </w:t>
      </w:r>
      <w:r w:rsidR="006539BC">
        <w:t>that investigated</w:t>
      </w:r>
      <w:r w:rsidR="009D760F" w:rsidRPr="009D760F">
        <w:t xml:space="preserve"> primary NSCLC</w:t>
      </w:r>
      <w:r w:rsidR="00992AB0">
        <w:t>, and one</w:t>
      </w:r>
      <w:r w:rsidR="009D760F" w:rsidRPr="009D760F">
        <w:t xml:space="preserve"> that investigated </w:t>
      </w:r>
      <w:r w:rsidR="00371D16">
        <w:t>metast</w:t>
      </w:r>
      <w:r w:rsidR="00673D2B">
        <w:t>a</w:t>
      </w:r>
      <w:r w:rsidR="00371D16">
        <w:t>ses</w:t>
      </w:r>
      <w:r w:rsidR="009D760F" w:rsidRPr="009D760F">
        <w:t>.</w:t>
      </w:r>
      <w:r w:rsidR="00265400">
        <w:t xml:space="preserve"> The remaining 14 studies included in the review were from mixed population studies, which may have included patients from all three populations relevant to this </w:t>
      </w:r>
      <w:r w:rsidR="0063625A">
        <w:t>assessment</w:t>
      </w:r>
      <w:r w:rsidR="00265400">
        <w:t>.</w:t>
      </w:r>
      <w:r w:rsidR="002B6643">
        <w:t xml:space="preserve"> </w:t>
      </w:r>
      <w:r w:rsidR="00265400">
        <w:t xml:space="preserve"> </w:t>
      </w:r>
    </w:p>
    <w:p w14:paraId="27CA34C9" w14:textId="77777777" w:rsidR="00F306D5" w:rsidRDefault="00F306D5" w:rsidP="00F306D5">
      <w:r w:rsidRPr="005438D9">
        <w:lastRenderedPageBreak/>
        <w:t>See Appendix C for details</w:t>
      </w:r>
      <w:r w:rsidRPr="007F70F3">
        <w:t xml:space="preserve"> on the individual studies </w:t>
      </w:r>
      <w:r>
        <w:t xml:space="preserve">on RFA </w:t>
      </w:r>
      <w:r w:rsidRPr="007F70F3">
        <w:t xml:space="preserve">included in the evidence base. A summary is </w:t>
      </w:r>
      <w:r w:rsidRPr="001B7083">
        <w:t xml:space="preserve">provided in </w:t>
      </w:r>
      <w:r w:rsidRPr="001B7083">
        <w:fldChar w:fldCharType="begin"/>
      </w:r>
      <w:r w:rsidRPr="001B7083">
        <w:instrText xml:space="preserve"> REF _Ref457395299 \h  \* MERGEFORMAT </w:instrText>
      </w:r>
      <w:r w:rsidRPr="001B7083">
        <w:fldChar w:fldCharType="separate"/>
      </w:r>
      <w:r w:rsidR="00D170A5" w:rsidRPr="00D170A5">
        <w:rPr>
          <w:bCs/>
        </w:rPr>
        <w:t xml:space="preserve">Table </w:t>
      </w:r>
      <w:r w:rsidR="00D170A5" w:rsidRPr="00D170A5">
        <w:rPr>
          <w:bCs/>
          <w:noProof/>
        </w:rPr>
        <w:t>33</w:t>
      </w:r>
      <w:r w:rsidRPr="001B7083">
        <w:fldChar w:fldCharType="end"/>
      </w:r>
      <w:r w:rsidRPr="001B7083">
        <w:t xml:space="preserve"> </w:t>
      </w:r>
      <w:r w:rsidR="00C76207">
        <w:t>to</w:t>
      </w:r>
      <w:r w:rsidR="00C76207" w:rsidRPr="001B7083">
        <w:t xml:space="preserve"> </w:t>
      </w:r>
      <w:r w:rsidRPr="001B7083">
        <w:fldChar w:fldCharType="begin"/>
      </w:r>
      <w:r w:rsidRPr="001B7083">
        <w:instrText xml:space="preserve"> REF _Ref457395300 \h  \* MERGEFORMAT </w:instrText>
      </w:r>
      <w:r w:rsidRPr="001B7083">
        <w:fldChar w:fldCharType="separate"/>
      </w:r>
      <w:r w:rsidR="00D170A5" w:rsidRPr="00D170A5">
        <w:rPr>
          <w:bCs/>
        </w:rPr>
        <w:t xml:space="preserve">Table </w:t>
      </w:r>
      <w:r w:rsidR="00D170A5" w:rsidRPr="00D170A5">
        <w:rPr>
          <w:bCs/>
          <w:noProof/>
        </w:rPr>
        <w:t>35</w:t>
      </w:r>
      <w:r w:rsidRPr="001B7083">
        <w:fldChar w:fldCharType="end"/>
      </w:r>
      <w:r w:rsidRPr="001B7083">
        <w:t>.</w:t>
      </w:r>
    </w:p>
    <w:p w14:paraId="1357BF91" w14:textId="77777777" w:rsidR="0042467E" w:rsidRPr="00253E71" w:rsidRDefault="0042467E" w:rsidP="0042467E">
      <w:pPr>
        <w:rPr>
          <w:b/>
          <w:i/>
        </w:rPr>
      </w:pPr>
      <w:r w:rsidRPr="00253E71">
        <w:rPr>
          <w:b/>
          <w:i/>
        </w:rPr>
        <w:t xml:space="preserve">Population one </w:t>
      </w:r>
    </w:p>
    <w:p w14:paraId="285CC829" w14:textId="77C5AF30" w:rsidR="00615DA8" w:rsidRDefault="008B212B" w:rsidP="0042467E">
      <w:r>
        <w:t>E</w:t>
      </w:r>
      <w:r w:rsidR="00CB43F4">
        <w:t>ight</w:t>
      </w:r>
      <w:r w:rsidR="0042467E">
        <w:t xml:space="preserve"> </w:t>
      </w:r>
      <w:r w:rsidR="00CB43F4">
        <w:t>case series and one retrospective cohort</w:t>
      </w:r>
      <w:r w:rsidR="0042467E">
        <w:t xml:space="preserve"> stu</w:t>
      </w:r>
      <w:r w:rsidR="00CB43F4">
        <w:t>dy</w:t>
      </w:r>
      <w:r w:rsidR="0042467E">
        <w:t xml:space="preserve"> </w:t>
      </w:r>
      <w:r w:rsidR="004D67A7">
        <w:t xml:space="preserve">involving </w:t>
      </w:r>
      <w:r w:rsidR="003A292C">
        <w:t xml:space="preserve">a total of </w:t>
      </w:r>
      <w:r w:rsidR="004D67A7">
        <w:t>387 patients</w:t>
      </w:r>
      <w:r w:rsidR="004274C0">
        <w:t xml:space="preserve"> </w:t>
      </w:r>
      <w:r w:rsidR="0042467E">
        <w:t>met the inclusion criteria</w:t>
      </w:r>
      <w:r w:rsidR="00B4525A">
        <w:t xml:space="preserve"> for </w:t>
      </w:r>
      <w:r w:rsidR="004D67A7">
        <w:t xml:space="preserve">population one. </w:t>
      </w:r>
      <w:r w:rsidR="00586275">
        <w:t>The included patients presented with homogenous disease (</w:t>
      </w:r>
      <w:r w:rsidR="00EB7C68">
        <w:t>inoperable</w:t>
      </w:r>
      <w:r w:rsidR="00033087">
        <w:t xml:space="preserve"> stage</w:t>
      </w:r>
      <w:r w:rsidR="00EB7C68">
        <w:t xml:space="preserve"> </w:t>
      </w:r>
      <w:r w:rsidR="00586275">
        <w:t xml:space="preserve">IA-IB NSCLC), </w:t>
      </w:r>
      <w:r w:rsidR="00F920AE">
        <w:t>of simila</w:t>
      </w:r>
      <w:r w:rsidR="002B7C3D">
        <w:t xml:space="preserve">r </w:t>
      </w:r>
      <w:r w:rsidR="00AC779C">
        <w:t xml:space="preserve">mean </w:t>
      </w:r>
      <w:r w:rsidR="002B7C3D">
        <w:t>size (</w:t>
      </w:r>
      <w:r w:rsidR="00064197">
        <w:t>median 21</w:t>
      </w:r>
      <w:r w:rsidR="0063625A">
        <w:t xml:space="preserve"> </w:t>
      </w:r>
      <w:r w:rsidR="00064197">
        <w:t xml:space="preserve">mm, </w:t>
      </w:r>
      <w:r w:rsidR="00F920AE">
        <w:t xml:space="preserve">range </w:t>
      </w:r>
      <w:r w:rsidR="006E0C21">
        <w:t>14</w:t>
      </w:r>
      <w:r w:rsidR="00D35E9C">
        <w:t>–</w:t>
      </w:r>
      <w:r w:rsidR="006E0C21">
        <w:t>32</w:t>
      </w:r>
      <w:r w:rsidR="0043266A">
        <w:t xml:space="preserve"> </w:t>
      </w:r>
      <w:r w:rsidR="00FE06BA">
        <w:t>mm), similar</w:t>
      </w:r>
      <w:r w:rsidR="00505D2A">
        <w:t xml:space="preserve"> median</w:t>
      </w:r>
      <w:r w:rsidR="00FE06BA">
        <w:t xml:space="preserve"> age (</w:t>
      </w:r>
      <w:r w:rsidR="00501E51">
        <w:t>median 74.7</w:t>
      </w:r>
      <w:r w:rsidR="00CF7365">
        <w:t xml:space="preserve"> years</w:t>
      </w:r>
      <w:r w:rsidR="00501E51">
        <w:t xml:space="preserve">, range </w:t>
      </w:r>
      <w:r w:rsidR="005C658C">
        <w:t>70</w:t>
      </w:r>
      <w:r w:rsidR="00D35E9C">
        <w:t>–</w:t>
      </w:r>
      <w:r w:rsidR="005C658C">
        <w:t>78 years)</w:t>
      </w:r>
      <w:r w:rsidR="00636C23">
        <w:t xml:space="preserve">, and similar gender </w:t>
      </w:r>
      <w:r w:rsidR="005650E7">
        <w:t>(median 50% male, range 40</w:t>
      </w:r>
      <w:r w:rsidR="00D35E9C">
        <w:t>–</w:t>
      </w:r>
      <w:r w:rsidR="005650E7">
        <w:t>90%).</w:t>
      </w:r>
      <w:r w:rsidR="000123EE">
        <w:t xml:space="preserve"> The types </w:t>
      </w:r>
      <w:r w:rsidR="00CA6DFD">
        <w:t>of pre</w:t>
      </w:r>
      <w:r w:rsidR="00586275">
        <w:t>- and post-RFA</w:t>
      </w:r>
      <w:r w:rsidR="00615DA8">
        <w:t xml:space="preserve"> therapies</w:t>
      </w:r>
      <w:r w:rsidR="000123EE">
        <w:t xml:space="preserve"> varied between patients</w:t>
      </w:r>
      <w:r w:rsidR="00615DA8">
        <w:t xml:space="preserve">. </w:t>
      </w:r>
      <w:r w:rsidR="00E33338">
        <w:t>Between 37 and 58 per cent</w:t>
      </w:r>
      <w:r w:rsidR="00A17800">
        <w:t xml:space="preserve"> of patients had prior surgery </w:t>
      </w:r>
      <w:r w:rsidR="00D031B3">
        <w:t xml:space="preserve">for either an existing cancer (either NSCLC or other), with or without radiotherapy. </w:t>
      </w:r>
      <w:r w:rsidR="009A7A5D">
        <w:t>Other significant comorbidities were not reported.</w:t>
      </w:r>
    </w:p>
    <w:p w14:paraId="0A77A65D" w14:textId="77777777" w:rsidR="007F70F3" w:rsidRPr="007F70F3" w:rsidRDefault="007F70F3" w:rsidP="001163D9">
      <w:pPr>
        <w:pStyle w:val="TableHeading"/>
        <w:rPr>
          <w:snapToGrid w:val="0"/>
          <w:lang w:eastAsia="en-US"/>
        </w:rPr>
      </w:pPr>
      <w:bookmarkStart w:id="251" w:name="_Ref457395299"/>
      <w:bookmarkStart w:id="252" w:name="_Toc460514691"/>
      <w:r w:rsidRPr="005438D9">
        <w:t xml:space="preserve">Table </w:t>
      </w:r>
      <w:fldSimple w:instr=" SEQ Table \* ARABIC ">
        <w:r w:rsidR="00D170A5">
          <w:rPr>
            <w:noProof/>
          </w:rPr>
          <w:t>33</w:t>
        </w:r>
      </w:fldSimple>
      <w:bookmarkEnd w:id="251"/>
      <w:r w:rsidRPr="005438D9">
        <w:tab/>
      </w:r>
      <w:r w:rsidR="003E38A5">
        <w:rPr>
          <w:snapToGrid w:val="0"/>
          <w:lang w:eastAsia="en-US"/>
        </w:rPr>
        <w:t>Characteristics</w:t>
      </w:r>
      <w:r w:rsidR="003E38A5" w:rsidRPr="001B7083">
        <w:rPr>
          <w:snapToGrid w:val="0"/>
          <w:lang w:eastAsia="en-US"/>
        </w:rPr>
        <w:t xml:space="preserve"> </w:t>
      </w:r>
      <w:r w:rsidRPr="005438D9">
        <w:rPr>
          <w:snapToGrid w:val="0"/>
          <w:lang w:eastAsia="en-US"/>
        </w:rPr>
        <w:t>of the included evidence for RFA in population one</w:t>
      </w:r>
      <w:bookmarkEnd w:id="252"/>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165"/>
        <w:gridCol w:w="823"/>
        <w:gridCol w:w="1344"/>
        <w:gridCol w:w="808"/>
        <w:gridCol w:w="2510"/>
        <w:gridCol w:w="1356"/>
        <w:gridCol w:w="1049"/>
      </w:tblGrid>
      <w:tr w:rsidR="007F70F3" w:rsidRPr="001D54EF" w14:paraId="35563FF8" w14:textId="77777777" w:rsidTr="00134FB7">
        <w:trPr>
          <w:cantSplit/>
          <w:trHeight w:val="1093"/>
          <w:tblHeader/>
        </w:trPr>
        <w:tc>
          <w:tcPr>
            <w:tcW w:w="643" w:type="pct"/>
            <w:shd w:val="clear" w:color="auto" w:fill="D9D9D9" w:themeFill="background1" w:themeFillShade="D9"/>
            <w:vAlign w:val="bottom"/>
          </w:tcPr>
          <w:p w14:paraId="2B35EC9E" w14:textId="77777777" w:rsidR="007F70F3" w:rsidRPr="001D54EF" w:rsidRDefault="007F70F3" w:rsidP="00134FB7">
            <w:pPr>
              <w:pStyle w:val="Tabletext1"/>
              <w:rPr>
                <w:b/>
                <w:snapToGrid w:val="0"/>
                <w:lang w:eastAsia="en-US"/>
              </w:rPr>
            </w:pPr>
            <w:r w:rsidRPr="001D54EF">
              <w:rPr>
                <w:b/>
                <w:snapToGrid w:val="0"/>
                <w:lang w:eastAsia="en-US"/>
              </w:rPr>
              <w:t>Study</w:t>
            </w:r>
          </w:p>
        </w:tc>
        <w:tc>
          <w:tcPr>
            <w:tcW w:w="454" w:type="pct"/>
            <w:shd w:val="clear" w:color="auto" w:fill="D9D9D9" w:themeFill="background1" w:themeFillShade="D9"/>
            <w:vAlign w:val="bottom"/>
          </w:tcPr>
          <w:p w14:paraId="4EC33108" w14:textId="77777777" w:rsidR="007F70F3" w:rsidRPr="001D54EF" w:rsidRDefault="007F70F3" w:rsidP="00414740">
            <w:pPr>
              <w:pStyle w:val="Tabletext1"/>
              <w:rPr>
                <w:b/>
                <w:snapToGrid w:val="0"/>
                <w:lang w:eastAsia="en-US"/>
              </w:rPr>
            </w:pPr>
            <w:r w:rsidRPr="001D54EF">
              <w:rPr>
                <w:b/>
                <w:snapToGrid w:val="0"/>
                <w:lang w:eastAsia="en-US"/>
              </w:rPr>
              <w:t>N (lesions)</w:t>
            </w:r>
          </w:p>
        </w:tc>
        <w:tc>
          <w:tcPr>
            <w:tcW w:w="742" w:type="pct"/>
            <w:shd w:val="clear" w:color="auto" w:fill="D9D9D9" w:themeFill="background1" w:themeFillShade="D9"/>
            <w:vAlign w:val="bottom"/>
          </w:tcPr>
          <w:p w14:paraId="313CCC42" w14:textId="77777777" w:rsidR="007F70F3" w:rsidRPr="005F2661" w:rsidRDefault="007F70F3" w:rsidP="00414740">
            <w:pPr>
              <w:pStyle w:val="Tabletext1"/>
              <w:rPr>
                <w:b/>
                <w:snapToGrid w:val="0"/>
                <w:lang w:eastAsia="en-US"/>
              </w:rPr>
            </w:pPr>
            <w:r w:rsidRPr="005F2661">
              <w:rPr>
                <w:b/>
                <w:snapToGrid w:val="0"/>
                <w:lang w:eastAsia="en-US"/>
              </w:rPr>
              <w:t>Design;</w:t>
            </w:r>
          </w:p>
          <w:p w14:paraId="0474DD57" w14:textId="77777777" w:rsidR="007F70F3" w:rsidRPr="00F2078A" w:rsidRDefault="007F70F3" w:rsidP="00414740">
            <w:pPr>
              <w:pStyle w:val="Tabletext1"/>
              <w:rPr>
                <w:b/>
                <w:snapToGrid w:val="0"/>
                <w:vertAlign w:val="superscript"/>
                <w:lang w:eastAsia="en-US"/>
              </w:rPr>
            </w:pPr>
            <w:r w:rsidRPr="005F2661">
              <w:rPr>
                <w:b/>
                <w:snapToGrid w:val="0"/>
                <w:lang w:eastAsia="en-US"/>
              </w:rPr>
              <w:t>Median follow up (range)</w:t>
            </w:r>
          </w:p>
        </w:tc>
        <w:tc>
          <w:tcPr>
            <w:tcW w:w="446" w:type="pct"/>
            <w:shd w:val="clear" w:color="auto" w:fill="D9D9D9" w:themeFill="background1" w:themeFillShade="D9"/>
            <w:vAlign w:val="bottom"/>
          </w:tcPr>
          <w:p w14:paraId="125C1286" w14:textId="77777777" w:rsidR="007F70F3" w:rsidRPr="00642604" w:rsidRDefault="007F70F3" w:rsidP="00414740">
            <w:pPr>
              <w:pStyle w:val="Tabletext1"/>
              <w:rPr>
                <w:b/>
                <w:snapToGrid w:val="0"/>
                <w:lang w:eastAsia="en-US"/>
              </w:rPr>
            </w:pPr>
            <w:r w:rsidRPr="00642604">
              <w:rPr>
                <w:b/>
                <w:snapToGrid w:val="0"/>
                <w:lang w:eastAsia="en-US"/>
              </w:rPr>
              <w:t>Risk of bias</w:t>
            </w:r>
          </w:p>
        </w:tc>
        <w:tc>
          <w:tcPr>
            <w:tcW w:w="1386" w:type="pct"/>
            <w:shd w:val="clear" w:color="auto" w:fill="D9D9D9" w:themeFill="background1" w:themeFillShade="D9"/>
            <w:vAlign w:val="bottom"/>
          </w:tcPr>
          <w:p w14:paraId="713F4FD4" w14:textId="77777777" w:rsidR="007F70F3" w:rsidRPr="00EB5A53" w:rsidRDefault="007F70F3" w:rsidP="00414740">
            <w:pPr>
              <w:pStyle w:val="Tabletext1"/>
              <w:rPr>
                <w:b/>
                <w:snapToGrid w:val="0"/>
                <w:lang w:eastAsia="en-US"/>
              </w:rPr>
            </w:pPr>
            <w:r w:rsidRPr="00642604">
              <w:rPr>
                <w:b/>
                <w:snapToGrid w:val="0"/>
                <w:lang w:eastAsia="en-US"/>
              </w:rPr>
              <w:t>Incl</w:t>
            </w:r>
            <w:r w:rsidRPr="001C2967">
              <w:rPr>
                <w:b/>
                <w:snapToGrid w:val="0"/>
                <w:lang w:eastAsia="en-US"/>
              </w:rPr>
              <w:t>usion cr</w:t>
            </w:r>
            <w:r w:rsidRPr="00EB5A53">
              <w:rPr>
                <w:b/>
                <w:snapToGrid w:val="0"/>
                <w:lang w:eastAsia="en-US"/>
              </w:rPr>
              <w:t>iteria</w:t>
            </w:r>
          </w:p>
        </w:tc>
        <w:tc>
          <w:tcPr>
            <w:tcW w:w="749" w:type="pct"/>
            <w:shd w:val="clear" w:color="auto" w:fill="D9D9D9" w:themeFill="background1" w:themeFillShade="D9"/>
            <w:vAlign w:val="bottom"/>
          </w:tcPr>
          <w:p w14:paraId="24E67E37" w14:textId="77777777" w:rsidR="007F70F3" w:rsidRPr="0000124A" w:rsidRDefault="007F70F3" w:rsidP="00414740">
            <w:pPr>
              <w:pStyle w:val="Tabletext1"/>
              <w:rPr>
                <w:b/>
                <w:snapToGrid w:val="0"/>
                <w:lang w:eastAsia="en-US"/>
              </w:rPr>
            </w:pPr>
            <w:r w:rsidRPr="00351105">
              <w:rPr>
                <w:b/>
                <w:snapToGrid w:val="0"/>
                <w:lang w:eastAsia="en-US"/>
              </w:rPr>
              <w:t>Key</w:t>
            </w:r>
            <w:r w:rsidR="00F26B1A" w:rsidRPr="0000124A">
              <w:rPr>
                <w:b/>
                <w:snapToGrid w:val="0"/>
                <w:lang w:eastAsia="en-US"/>
              </w:rPr>
              <w:t xml:space="preserve"> </w:t>
            </w:r>
            <w:r w:rsidRPr="0000124A">
              <w:rPr>
                <w:b/>
                <w:snapToGrid w:val="0"/>
                <w:lang w:eastAsia="en-US"/>
              </w:rPr>
              <w:t>outcome(s)</w:t>
            </w:r>
          </w:p>
        </w:tc>
        <w:tc>
          <w:tcPr>
            <w:tcW w:w="579" w:type="pct"/>
            <w:shd w:val="clear" w:color="auto" w:fill="D9D9D9" w:themeFill="background1" w:themeFillShade="D9"/>
            <w:vAlign w:val="bottom"/>
          </w:tcPr>
          <w:p w14:paraId="3984C3BF" w14:textId="77777777" w:rsidR="007F70F3" w:rsidRPr="00781354" w:rsidRDefault="007F70F3" w:rsidP="00414740">
            <w:pPr>
              <w:pStyle w:val="Tabletext1"/>
              <w:rPr>
                <w:b/>
                <w:snapToGrid w:val="0"/>
                <w:lang w:eastAsia="en-US"/>
              </w:rPr>
            </w:pPr>
            <w:r w:rsidRPr="00781354">
              <w:rPr>
                <w:b/>
                <w:snapToGrid w:val="0"/>
                <w:lang w:eastAsia="en-US"/>
              </w:rPr>
              <w:t>Result used in economic model</w:t>
            </w:r>
          </w:p>
        </w:tc>
      </w:tr>
      <w:tr w:rsidR="007F70F3" w:rsidRPr="001D54EF" w14:paraId="63F9F7BD" w14:textId="77777777" w:rsidTr="000F20E2">
        <w:trPr>
          <w:cantSplit/>
        </w:trPr>
        <w:tc>
          <w:tcPr>
            <w:tcW w:w="643" w:type="pct"/>
            <w:shd w:val="clear" w:color="auto" w:fill="auto"/>
          </w:tcPr>
          <w:p w14:paraId="48E0CECE" w14:textId="77777777" w:rsidR="007F70F3" w:rsidRPr="001D54EF" w:rsidRDefault="007F70F3" w:rsidP="00253E71">
            <w:pPr>
              <w:pStyle w:val="Tabletext1"/>
              <w:rPr>
                <w:snapToGrid w:val="0"/>
                <w:lang w:eastAsia="en-US"/>
              </w:rPr>
            </w:pPr>
            <w:r w:rsidRPr="001D54EF">
              <w:rPr>
                <w:snapToGrid w:val="0"/>
                <w:lang w:eastAsia="en-US"/>
              </w:rPr>
              <w:t>Ambrogi et al (2011)</w:t>
            </w:r>
          </w:p>
        </w:tc>
        <w:tc>
          <w:tcPr>
            <w:tcW w:w="454" w:type="pct"/>
            <w:shd w:val="clear" w:color="auto" w:fill="auto"/>
          </w:tcPr>
          <w:p w14:paraId="736A9A23" w14:textId="77777777" w:rsidR="007F70F3" w:rsidRPr="001D54EF" w:rsidRDefault="007F70F3" w:rsidP="00414740">
            <w:pPr>
              <w:pStyle w:val="Tabletext1"/>
              <w:rPr>
                <w:snapToGrid w:val="0"/>
                <w:lang w:eastAsia="en-US"/>
              </w:rPr>
            </w:pPr>
            <w:r w:rsidRPr="001D54EF">
              <w:rPr>
                <w:snapToGrid w:val="0"/>
                <w:lang w:eastAsia="en-US"/>
              </w:rPr>
              <w:t>57 (59)</w:t>
            </w:r>
          </w:p>
        </w:tc>
        <w:tc>
          <w:tcPr>
            <w:tcW w:w="742" w:type="pct"/>
            <w:shd w:val="clear" w:color="auto" w:fill="auto"/>
          </w:tcPr>
          <w:p w14:paraId="5BA820BB" w14:textId="77777777" w:rsidR="007F70F3" w:rsidRPr="005F2661" w:rsidRDefault="00B2427F" w:rsidP="00414740">
            <w:pPr>
              <w:pStyle w:val="Tabletext1"/>
              <w:rPr>
                <w:snapToGrid w:val="0"/>
                <w:lang w:eastAsia="en-US"/>
              </w:rPr>
            </w:pPr>
            <w:r w:rsidRPr="005F2661">
              <w:rPr>
                <w:snapToGrid w:val="0"/>
                <w:lang w:eastAsia="en-US"/>
              </w:rPr>
              <w:t>CS</w:t>
            </w:r>
          </w:p>
          <w:p w14:paraId="5BFC950D" w14:textId="7CCEC8E5" w:rsidR="007F70F3" w:rsidRPr="00F2078A" w:rsidRDefault="007F70F3" w:rsidP="00414740">
            <w:pPr>
              <w:pStyle w:val="Tabletext1"/>
              <w:rPr>
                <w:snapToGrid w:val="0"/>
                <w:lang w:eastAsia="en-US"/>
              </w:rPr>
            </w:pPr>
            <w:r w:rsidRPr="00F2078A">
              <w:rPr>
                <w:snapToGrid w:val="0"/>
                <w:lang w:eastAsia="en-US"/>
              </w:rPr>
              <w:t>46 (12</w:t>
            </w:r>
            <w:r w:rsidR="00D35E9C">
              <w:rPr>
                <w:snapToGrid w:val="0"/>
                <w:lang w:eastAsia="en-US"/>
              </w:rPr>
              <w:t>–</w:t>
            </w:r>
            <w:r w:rsidRPr="00F2078A">
              <w:rPr>
                <w:snapToGrid w:val="0"/>
                <w:lang w:eastAsia="en-US"/>
              </w:rPr>
              <w:t>82) months</w:t>
            </w:r>
          </w:p>
        </w:tc>
        <w:tc>
          <w:tcPr>
            <w:tcW w:w="446" w:type="pct"/>
            <w:shd w:val="clear" w:color="auto" w:fill="auto"/>
          </w:tcPr>
          <w:p w14:paraId="03EEFBE1" w14:textId="77777777" w:rsidR="007F70F3" w:rsidRPr="00642604" w:rsidRDefault="007F70F3" w:rsidP="00414740">
            <w:pPr>
              <w:pStyle w:val="Tabletext1"/>
              <w:rPr>
                <w:snapToGrid w:val="0"/>
                <w:lang w:eastAsia="en-US"/>
              </w:rPr>
            </w:pPr>
            <w:r w:rsidRPr="00642604">
              <w:rPr>
                <w:snapToGrid w:val="0"/>
                <w:lang w:eastAsia="en-US"/>
              </w:rPr>
              <w:t>High</w:t>
            </w:r>
          </w:p>
        </w:tc>
        <w:tc>
          <w:tcPr>
            <w:tcW w:w="1386" w:type="pct"/>
            <w:shd w:val="clear" w:color="auto" w:fill="auto"/>
          </w:tcPr>
          <w:p w14:paraId="0241864A" w14:textId="77777777" w:rsidR="007F70F3" w:rsidRPr="00642604" w:rsidRDefault="007F70F3" w:rsidP="00414740">
            <w:pPr>
              <w:pStyle w:val="Tabletext1"/>
              <w:rPr>
                <w:snapToGrid w:val="0"/>
                <w:lang w:eastAsia="en-US"/>
              </w:rPr>
            </w:pPr>
            <w:r w:rsidRPr="00642604">
              <w:rPr>
                <w:snapToGrid w:val="0"/>
                <w:lang w:eastAsia="en-US"/>
              </w:rPr>
              <w:t>Stage IA-IB NSCLC, inoperable or refused surgery, diameter ≤ 50 mm, lesions &gt; 10 mm from large vessels and airways</w:t>
            </w:r>
          </w:p>
        </w:tc>
        <w:tc>
          <w:tcPr>
            <w:tcW w:w="749" w:type="pct"/>
            <w:shd w:val="clear" w:color="auto" w:fill="auto"/>
          </w:tcPr>
          <w:p w14:paraId="26C9640E" w14:textId="77777777" w:rsidR="007F70F3" w:rsidRPr="00781354" w:rsidRDefault="009B4B0C" w:rsidP="00414740">
            <w:pPr>
              <w:pStyle w:val="Tabletext1"/>
              <w:rPr>
                <w:snapToGrid w:val="0"/>
                <w:lang w:eastAsia="en-US"/>
              </w:rPr>
            </w:pPr>
            <w:r w:rsidRPr="001C2967">
              <w:rPr>
                <w:snapToGrid w:val="0"/>
                <w:lang w:eastAsia="en-US"/>
              </w:rPr>
              <w:t>Overall, disease free,</w:t>
            </w:r>
            <w:r w:rsidR="007F70F3" w:rsidRPr="00351105">
              <w:rPr>
                <w:snapToGrid w:val="0"/>
                <w:lang w:eastAsia="en-US"/>
              </w:rPr>
              <w:t xml:space="preserve"> cancer spe</w:t>
            </w:r>
            <w:r w:rsidR="007F70F3" w:rsidRPr="0000124A">
              <w:rPr>
                <w:snapToGrid w:val="0"/>
                <w:lang w:eastAsia="en-US"/>
              </w:rPr>
              <w:t>cific survival</w:t>
            </w:r>
            <w:r w:rsidR="00982613" w:rsidRPr="0000124A">
              <w:rPr>
                <w:snapToGrid w:val="0"/>
                <w:lang w:eastAsia="en-US"/>
              </w:rPr>
              <w:t>, a</w:t>
            </w:r>
            <w:r w:rsidR="007F70F3" w:rsidRPr="00781354">
              <w:rPr>
                <w:snapToGrid w:val="0"/>
                <w:lang w:eastAsia="en-US"/>
              </w:rPr>
              <w:t>dverse events</w:t>
            </w:r>
          </w:p>
        </w:tc>
        <w:tc>
          <w:tcPr>
            <w:tcW w:w="579" w:type="pct"/>
            <w:shd w:val="clear" w:color="auto" w:fill="auto"/>
          </w:tcPr>
          <w:p w14:paraId="17103625" w14:textId="77777777" w:rsidR="007F70F3" w:rsidRPr="006B33E4" w:rsidRDefault="007F70F3" w:rsidP="00414740">
            <w:pPr>
              <w:pStyle w:val="Tabletext1"/>
              <w:rPr>
                <w:snapToGrid w:val="0"/>
                <w:lang w:eastAsia="en-US"/>
              </w:rPr>
            </w:pPr>
            <w:r w:rsidRPr="006B33E4">
              <w:rPr>
                <w:snapToGrid w:val="0"/>
                <w:lang w:eastAsia="en-US"/>
              </w:rPr>
              <w:t>Not used</w:t>
            </w:r>
          </w:p>
        </w:tc>
      </w:tr>
      <w:tr w:rsidR="007F70F3" w:rsidRPr="001D54EF" w14:paraId="00197D33" w14:textId="77777777" w:rsidTr="000F20E2">
        <w:trPr>
          <w:cantSplit/>
        </w:trPr>
        <w:tc>
          <w:tcPr>
            <w:tcW w:w="643" w:type="pct"/>
            <w:shd w:val="clear" w:color="auto" w:fill="auto"/>
          </w:tcPr>
          <w:p w14:paraId="07A206BF" w14:textId="77777777" w:rsidR="007F70F3" w:rsidRPr="001D54EF" w:rsidRDefault="007F70F3" w:rsidP="00253E71">
            <w:pPr>
              <w:pStyle w:val="Tabletext1"/>
              <w:rPr>
                <w:snapToGrid w:val="0"/>
                <w:lang w:eastAsia="en-US"/>
              </w:rPr>
            </w:pPr>
            <w:r w:rsidRPr="001D54EF">
              <w:rPr>
                <w:snapToGrid w:val="0"/>
                <w:lang w:eastAsia="en-US"/>
              </w:rPr>
              <w:t>Dupuy et al (2015)</w:t>
            </w:r>
          </w:p>
        </w:tc>
        <w:tc>
          <w:tcPr>
            <w:tcW w:w="454" w:type="pct"/>
            <w:shd w:val="clear" w:color="auto" w:fill="auto"/>
          </w:tcPr>
          <w:p w14:paraId="6DE9953E" w14:textId="77777777" w:rsidR="007F70F3" w:rsidRPr="001D54EF" w:rsidRDefault="007F70F3" w:rsidP="00414740">
            <w:pPr>
              <w:pStyle w:val="Tabletext1"/>
              <w:rPr>
                <w:snapToGrid w:val="0"/>
                <w:lang w:eastAsia="en-US"/>
              </w:rPr>
            </w:pPr>
            <w:r w:rsidRPr="001D54EF">
              <w:rPr>
                <w:snapToGrid w:val="0"/>
                <w:lang w:eastAsia="en-US"/>
              </w:rPr>
              <w:t>51 (51)</w:t>
            </w:r>
          </w:p>
        </w:tc>
        <w:tc>
          <w:tcPr>
            <w:tcW w:w="742" w:type="pct"/>
            <w:shd w:val="clear" w:color="auto" w:fill="auto"/>
          </w:tcPr>
          <w:p w14:paraId="350F4CC8" w14:textId="77777777" w:rsidR="007F70F3" w:rsidRPr="005F2661" w:rsidRDefault="00BC1E97" w:rsidP="00414740">
            <w:pPr>
              <w:pStyle w:val="Tabletext1"/>
              <w:rPr>
                <w:snapToGrid w:val="0"/>
                <w:lang w:eastAsia="en-US"/>
              </w:rPr>
            </w:pPr>
            <w:r w:rsidRPr="005F2661">
              <w:rPr>
                <w:snapToGrid w:val="0"/>
                <w:lang w:eastAsia="en-US"/>
              </w:rPr>
              <w:t>p</w:t>
            </w:r>
            <w:r w:rsidR="007F70F3" w:rsidRPr="005F2661">
              <w:rPr>
                <w:snapToGrid w:val="0"/>
                <w:lang w:eastAsia="en-US"/>
              </w:rPr>
              <w:t>rospective CS</w:t>
            </w:r>
          </w:p>
          <w:p w14:paraId="270165CE" w14:textId="77777777" w:rsidR="007F70F3" w:rsidRPr="00F2078A" w:rsidRDefault="007F70F3" w:rsidP="00414740">
            <w:pPr>
              <w:pStyle w:val="Tabletext1"/>
              <w:rPr>
                <w:snapToGrid w:val="0"/>
                <w:lang w:eastAsia="en-US"/>
              </w:rPr>
            </w:pPr>
            <w:r w:rsidRPr="00F2078A">
              <w:rPr>
                <w:snapToGrid w:val="0"/>
                <w:lang w:eastAsia="en-US"/>
              </w:rPr>
              <w:t>*24 (NR) months</w:t>
            </w:r>
          </w:p>
        </w:tc>
        <w:tc>
          <w:tcPr>
            <w:tcW w:w="446" w:type="pct"/>
            <w:shd w:val="clear" w:color="auto" w:fill="auto"/>
          </w:tcPr>
          <w:p w14:paraId="7BAB5ECF" w14:textId="77777777" w:rsidR="007F70F3" w:rsidRPr="00642604" w:rsidRDefault="007F70F3" w:rsidP="00414740">
            <w:pPr>
              <w:pStyle w:val="Tabletext1"/>
              <w:rPr>
                <w:snapToGrid w:val="0"/>
                <w:lang w:eastAsia="en-US"/>
              </w:rPr>
            </w:pPr>
            <w:r w:rsidRPr="00642604">
              <w:rPr>
                <w:snapToGrid w:val="0"/>
                <w:lang w:eastAsia="en-US"/>
              </w:rPr>
              <w:t>High</w:t>
            </w:r>
          </w:p>
        </w:tc>
        <w:tc>
          <w:tcPr>
            <w:tcW w:w="1386" w:type="pct"/>
            <w:shd w:val="clear" w:color="auto" w:fill="auto"/>
          </w:tcPr>
          <w:p w14:paraId="78611645" w14:textId="77777777" w:rsidR="007F70F3" w:rsidRPr="00642604" w:rsidRDefault="007F70F3" w:rsidP="00414740">
            <w:pPr>
              <w:pStyle w:val="Tabletext1"/>
              <w:rPr>
                <w:snapToGrid w:val="0"/>
                <w:lang w:eastAsia="en-US"/>
              </w:rPr>
            </w:pPr>
            <w:r w:rsidRPr="00642604">
              <w:rPr>
                <w:snapToGrid w:val="0"/>
                <w:lang w:eastAsia="en-US"/>
              </w:rPr>
              <w:t>Stage IA NSCLC, inoperable or refused surgery, lesion diameter ≤ 30 mm</w:t>
            </w:r>
          </w:p>
        </w:tc>
        <w:tc>
          <w:tcPr>
            <w:tcW w:w="749" w:type="pct"/>
            <w:shd w:val="clear" w:color="auto" w:fill="auto"/>
          </w:tcPr>
          <w:p w14:paraId="3FA044A3" w14:textId="77777777" w:rsidR="007F70F3" w:rsidRPr="00781354" w:rsidRDefault="00E157D6" w:rsidP="00414740">
            <w:pPr>
              <w:pStyle w:val="Tabletext1"/>
              <w:rPr>
                <w:snapToGrid w:val="0"/>
                <w:lang w:eastAsia="en-US"/>
              </w:rPr>
            </w:pPr>
            <w:r w:rsidRPr="001C2967">
              <w:rPr>
                <w:snapToGrid w:val="0"/>
                <w:lang w:eastAsia="en-US"/>
              </w:rPr>
              <w:t>Overall,</w:t>
            </w:r>
            <w:r w:rsidR="007F70F3" w:rsidRPr="00EB5A53">
              <w:rPr>
                <w:snapToGrid w:val="0"/>
                <w:lang w:eastAsia="en-US"/>
              </w:rPr>
              <w:t xml:space="preserve"> </w:t>
            </w:r>
            <w:r w:rsidR="005C22E0" w:rsidRPr="00351105">
              <w:rPr>
                <w:snapToGrid w:val="0"/>
                <w:lang w:eastAsia="en-US"/>
              </w:rPr>
              <w:t>PF</w:t>
            </w:r>
            <w:r w:rsidR="007F70F3" w:rsidRPr="0000124A">
              <w:rPr>
                <w:snapToGrid w:val="0"/>
                <w:lang w:eastAsia="en-US"/>
              </w:rPr>
              <w:t xml:space="preserve"> survival</w:t>
            </w:r>
            <w:r w:rsidR="00982613" w:rsidRPr="0000124A">
              <w:rPr>
                <w:snapToGrid w:val="0"/>
                <w:lang w:eastAsia="en-US"/>
              </w:rPr>
              <w:t>, a</w:t>
            </w:r>
            <w:r w:rsidR="007F70F3" w:rsidRPr="00781354">
              <w:rPr>
                <w:snapToGrid w:val="0"/>
                <w:lang w:eastAsia="en-US"/>
              </w:rPr>
              <w:t>dverse events</w:t>
            </w:r>
          </w:p>
        </w:tc>
        <w:tc>
          <w:tcPr>
            <w:tcW w:w="579" w:type="pct"/>
            <w:shd w:val="clear" w:color="auto" w:fill="auto"/>
          </w:tcPr>
          <w:p w14:paraId="0275E687" w14:textId="77777777" w:rsidR="007F70F3" w:rsidRPr="006B33E4" w:rsidRDefault="007F70F3" w:rsidP="00414740">
            <w:pPr>
              <w:pStyle w:val="Tabletext1"/>
              <w:rPr>
                <w:snapToGrid w:val="0"/>
                <w:lang w:eastAsia="en-US"/>
              </w:rPr>
            </w:pPr>
            <w:r w:rsidRPr="006B33E4">
              <w:rPr>
                <w:snapToGrid w:val="0"/>
                <w:lang w:eastAsia="en-US"/>
              </w:rPr>
              <w:t>Not used</w:t>
            </w:r>
          </w:p>
        </w:tc>
      </w:tr>
      <w:tr w:rsidR="007F70F3" w:rsidRPr="001D54EF" w14:paraId="1A567D20" w14:textId="77777777" w:rsidTr="000F20E2">
        <w:trPr>
          <w:cantSplit/>
        </w:trPr>
        <w:tc>
          <w:tcPr>
            <w:tcW w:w="643" w:type="pct"/>
            <w:shd w:val="clear" w:color="auto" w:fill="auto"/>
          </w:tcPr>
          <w:p w14:paraId="6CE4AAD3" w14:textId="77777777" w:rsidR="007F70F3" w:rsidRPr="001D54EF" w:rsidRDefault="007F70F3" w:rsidP="00253E71">
            <w:pPr>
              <w:pStyle w:val="Tabletext1"/>
              <w:rPr>
                <w:snapToGrid w:val="0"/>
                <w:lang w:eastAsia="en-US"/>
              </w:rPr>
            </w:pPr>
            <w:r w:rsidRPr="001D54EF">
              <w:rPr>
                <w:snapToGrid w:val="0"/>
                <w:lang w:eastAsia="en-US"/>
              </w:rPr>
              <w:t>Hiraki et al</w:t>
            </w:r>
          </w:p>
          <w:p w14:paraId="1B7A5251" w14:textId="77777777" w:rsidR="007F70F3" w:rsidRPr="001D54EF" w:rsidRDefault="007F70F3" w:rsidP="00253E71">
            <w:pPr>
              <w:pStyle w:val="Tabletext1"/>
              <w:rPr>
                <w:snapToGrid w:val="0"/>
                <w:lang w:eastAsia="en-US"/>
              </w:rPr>
            </w:pPr>
            <w:r w:rsidRPr="001D54EF">
              <w:rPr>
                <w:snapToGrid w:val="0"/>
                <w:lang w:eastAsia="en-US"/>
              </w:rPr>
              <w:t>(2011)</w:t>
            </w:r>
          </w:p>
        </w:tc>
        <w:tc>
          <w:tcPr>
            <w:tcW w:w="454" w:type="pct"/>
            <w:shd w:val="clear" w:color="auto" w:fill="auto"/>
          </w:tcPr>
          <w:p w14:paraId="3EB4A519" w14:textId="77777777" w:rsidR="007F70F3" w:rsidRPr="005F2661" w:rsidRDefault="007F70F3" w:rsidP="00414740">
            <w:pPr>
              <w:pStyle w:val="Tabletext1"/>
              <w:rPr>
                <w:snapToGrid w:val="0"/>
                <w:lang w:eastAsia="en-US"/>
              </w:rPr>
            </w:pPr>
            <w:r w:rsidRPr="005F2661">
              <w:rPr>
                <w:snapToGrid w:val="0"/>
                <w:lang w:eastAsia="en-US"/>
              </w:rPr>
              <w:t>50 (52)</w:t>
            </w:r>
          </w:p>
        </w:tc>
        <w:tc>
          <w:tcPr>
            <w:tcW w:w="742" w:type="pct"/>
            <w:shd w:val="clear" w:color="auto" w:fill="auto"/>
          </w:tcPr>
          <w:p w14:paraId="332E8859" w14:textId="77777777" w:rsidR="007F70F3" w:rsidRPr="006E71B4" w:rsidRDefault="00BC1E97" w:rsidP="00414740">
            <w:pPr>
              <w:pStyle w:val="Tabletext1"/>
              <w:rPr>
                <w:snapToGrid w:val="0"/>
                <w:lang w:eastAsia="en-US"/>
              </w:rPr>
            </w:pPr>
            <w:r w:rsidRPr="00F2078A">
              <w:rPr>
                <w:snapToGrid w:val="0"/>
                <w:lang w:eastAsia="en-US"/>
              </w:rPr>
              <w:t>R</w:t>
            </w:r>
            <w:r w:rsidR="007F70F3" w:rsidRPr="006E71B4">
              <w:rPr>
                <w:snapToGrid w:val="0"/>
                <w:lang w:eastAsia="en-US"/>
              </w:rPr>
              <w:t>etrospective CS</w:t>
            </w:r>
          </w:p>
          <w:p w14:paraId="1B319720" w14:textId="61442A36" w:rsidR="007F70F3" w:rsidRPr="00642604" w:rsidRDefault="007F70F3" w:rsidP="00414740">
            <w:pPr>
              <w:pStyle w:val="Tabletext1"/>
              <w:rPr>
                <w:snapToGrid w:val="0"/>
                <w:lang w:eastAsia="en-US"/>
              </w:rPr>
            </w:pPr>
            <w:r w:rsidRPr="00642604">
              <w:rPr>
                <w:snapToGrid w:val="0"/>
                <w:lang w:eastAsia="en-US"/>
              </w:rPr>
              <w:t>37 (2</w:t>
            </w:r>
            <w:r w:rsidR="00D35E9C">
              <w:rPr>
                <w:snapToGrid w:val="0"/>
                <w:lang w:eastAsia="en-US"/>
              </w:rPr>
              <w:t>–</w:t>
            </w:r>
            <w:r w:rsidRPr="00642604">
              <w:rPr>
                <w:snapToGrid w:val="0"/>
                <w:lang w:eastAsia="en-US"/>
              </w:rPr>
              <w:t>88) months</w:t>
            </w:r>
          </w:p>
        </w:tc>
        <w:tc>
          <w:tcPr>
            <w:tcW w:w="446" w:type="pct"/>
            <w:shd w:val="clear" w:color="auto" w:fill="auto"/>
          </w:tcPr>
          <w:p w14:paraId="587F6377" w14:textId="77777777" w:rsidR="007F70F3" w:rsidRPr="00642604" w:rsidRDefault="007F70F3" w:rsidP="00414740">
            <w:pPr>
              <w:pStyle w:val="Tabletext1"/>
              <w:rPr>
                <w:snapToGrid w:val="0"/>
                <w:lang w:eastAsia="en-US"/>
              </w:rPr>
            </w:pPr>
            <w:r w:rsidRPr="00642604">
              <w:rPr>
                <w:snapToGrid w:val="0"/>
                <w:lang w:eastAsia="en-US"/>
              </w:rPr>
              <w:t>High</w:t>
            </w:r>
          </w:p>
        </w:tc>
        <w:tc>
          <w:tcPr>
            <w:tcW w:w="1386" w:type="pct"/>
            <w:shd w:val="clear" w:color="auto" w:fill="auto"/>
          </w:tcPr>
          <w:p w14:paraId="2A17B8F4" w14:textId="77777777" w:rsidR="007F70F3" w:rsidRPr="001C2967" w:rsidRDefault="007F70F3" w:rsidP="00414740">
            <w:pPr>
              <w:pStyle w:val="Tabletext1"/>
              <w:rPr>
                <w:snapToGrid w:val="0"/>
                <w:lang w:eastAsia="en-US"/>
              </w:rPr>
            </w:pPr>
            <w:r w:rsidRPr="001C2967">
              <w:rPr>
                <w:snapToGrid w:val="0"/>
                <w:lang w:eastAsia="en-US"/>
              </w:rPr>
              <w:t>Stage IA-IB NSCLC, inoperable or refused surgery,</w:t>
            </w:r>
          </w:p>
        </w:tc>
        <w:tc>
          <w:tcPr>
            <w:tcW w:w="749" w:type="pct"/>
            <w:shd w:val="clear" w:color="auto" w:fill="auto"/>
          </w:tcPr>
          <w:p w14:paraId="6B1F319E" w14:textId="77777777" w:rsidR="007F70F3" w:rsidRPr="00935A6C" w:rsidRDefault="00E964DF" w:rsidP="00414740">
            <w:pPr>
              <w:pStyle w:val="Tabletext1"/>
              <w:rPr>
                <w:snapToGrid w:val="0"/>
                <w:lang w:eastAsia="en-US"/>
              </w:rPr>
            </w:pPr>
            <w:r w:rsidRPr="00EB5A53">
              <w:rPr>
                <w:snapToGrid w:val="0"/>
                <w:lang w:eastAsia="en-US"/>
              </w:rPr>
              <w:t>Overall</w:t>
            </w:r>
            <w:r w:rsidR="009B4B0C" w:rsidRPr="00351105">
              <w:rPr>
                <w:snapToGrid w:val="0"/>
                <w:lang w:eastAsia="en-US"/>
              </w:rPr>
              <w:t>,</w:t>
            </w:r>
            <w:r w:rsidRPr="0000124A">
              <w:rPr>
                <w:snapToGrid w:val="0"/>
                <w:lang w:eastAsia="en-US"/>
              </w:rPr>
              <w:t xml:space="preserve"> cancer-specific</w:t>
            </w:r>
            <w:r w:rsidR="009B4B0C" w:rsidRPr="0000124A">
              <w:rPr>
                <w:snapToGrid w:val="0"/>
                <w:lang w:eastAsia="en-US"/>
              </w:rPr>
              <w:t>,</w:t>
            </w:r>
            <w:r w:rsidR="00995DC1" w:rsidRPr="00781354">
              <w:rPr>
                <w:snapToGrid w:val="0"/>
                <w:lang w:eastAsia="en-US"/>
              </w:rPr>
              <w:t xml:space="preserve"> </w:t>
            </w:r>
            <w:r w:rsidRPr="006B33E4">
              <w:rPr>
                <w:snapToGrid w:val="0"/>
                <w:lang w:eastAsia="en-US"/>
              </w:rPr>
              <w:t>d</w:t>
            </w:r>
            <w:r w:rsidR="007F70F3" w:rsidRPr="006B33E4">
              <w:rPr>
                <w:snapToGrid w:val="0"/>
                <w:lang w:eastAsia="en-US"/>
              </w:rPr>
              <w:t>isease-free survival</w:t>
            </w:r>
            <w:r w:rsidR="00982613" w:rsidRPr="004D10F1">
              <w:rPr>
                <w:snapToGrid w:val="0"/>
                <w:lang w:eastAsia="en-US"/>
              </w:rPr>
              <w:t>, a</w:t>
            </w:r>
            <w:r w:rsidR="007F70F3" w:rsidRPr="00935A6C">
              <w:rPr>
                <w:snapToGrid w:val="0"/>
                <w:lang w:eastAsia="en-US"/>
              </w:rPr>
              <w:t>dverse events</w:t>
            </w:r>
          </w:p>
        </w:tc>
        <w:tc>
          <w:tcPr>
            <w:tcW w:w="579" w:type="pct"/>
            <w:shd w:val="clear" w:color="auto" w:fill="auto"/>
          </w:tcPr>
          <w:p w14:paraId="26BF7775" w14:textId="77777777" w:rsidR="007F70F3" w:rsidRPr="009616D3" w:rsidRDefault="007F70F3" w:rsidP="00414740">
            <w:pPr>
              <w:pStyle w:val="Tabletext1"/>
              <w:rPr>
                <w:snapToGrid w:val="0"/>
                <w:lang w:eastAsia="en-US"/>
              </w:rPr>
            </w:pPr>
            <w:r w:rsidRPr="009616D3">
              <w:rPr>
                <w:snapToGrid w:val="0"/>
                <w:lang w:eastAsia="en-US"/>
              </w:rPr>
              <w:t>Not used</w:t>
            </w:r>
          </w:p>
        </w:tc>
      </w:tr>
      <w:tr w:rsidR="007F70F3" w:rsidRPr="001D54EF" w14:paraId="5A94F5DB" w14:textId="77777777" w:rsidTr="000F20E2">
        <w:trPr>
          <w:cantSplit/>
        </w:trPr>
        <w:tc>
          <w:tcPr>
            <w:tcW w:w="643" w:type="pct"/>
            <w:shd w:val="clear" w:color="auto" w:fill="auto"/>
          </w:tcPr>
          <w:p w14:paraId="030B0241" w14:textId="77777777" w:rsidR="007F70F3" w:rsidRPr="001D54EF" w:rsidRDefault="007F70F3" w:rsidP="00253E71">
            <w:pPr>
              <w:pStyle w:val="Tabletext1"/>
              <w:rPr>
                <w:snapToGrid w:val="0"/>
                <w:lang w:eastAsia="en-US"/>
              </w:rPr>
            </w:pPr>
            <w:r w:rsidRPr="001D54EF">
              <w:rPr>
                <w:snapToGrid w:val="0"/>
                <w:lang w:eastAsia="en-US"/>
              </w:rPr>
              <w:t>Lanuti et al</w:t>
            </w:r>
          </w:p>
          <w:p w14:paraId="586231FB" w14:textId="77777777" w:rsidR="007F70F3" w:rsidRPr="001D54EF" w:rsidRDefault="007F70F3" w:rsidP="00253E71">
            <w:pPr>
              <w:pStyle w:val="Tabletext1"/>
              <w:rPr>
                <w:snapToGrid w:val="0"/>
                <w:lang w:eastAsia="en-US"/>
              </w:rPr>
            </w:pPr>
            <w:r w:rsidRPr="001D54EF">
              <w:rPr>
                <w:snapToGrid w:val="0"/>
                <w:lang w:eastAsia="en-US"/>
              </w:rPr>
              <w:t>(2012)</w:t>
            </w:r>
          </w:p>
        </w:tc>
        <w:tc>
          <w:tcPr>
            <w:tcW w:w="454" w:type="pct"/>
            <w:shd w:val="clear" w:color="auto" w:fill="auto"/>
          </w:tcPr>
          <w:p w14:paraId="4A245722" w14:textId="77777777" w:rsidR="007F70F3" w:rsidRPr="005F2661" w:rsidRDefault="007F70F3" w:rsidP="00414740">
            <w:pPr>
              <w:pStyle w:val="Tabletext1"/>
              <w:rPr>
                <w:snapToGrid w:val="0"/>
                <w:lang w:eastAsia="en-US"/>
              </w:rPr>
            </w:pPr>
            <w:r w:rsidRPr="005F2661">
              <w:rPr>
                <w:snapToGrid w:val="0"/>
                <w:lang w:eastAsia="en-US"/>
              </w:rPr>
              <w:t>45 (55)</w:t>
            </w:r>
          </w:p>
        </w:tc>
        <w:tc>
          <w:tcPr>
            <w:tcW w:w="742" w:type="pct"/>
            <w:tcBorders>
              <w:bottom w:val="single" w:sz="4" w:space="0" w:color="auto"/>
            </w:tcBorders>
            <w:shd w:val="clear" w:color="auto" w:fill="auto"/>
          </w:tcPr>
          <w:p w14:paraId="6F2F81E0" w14:textId="77777777" w:rsidR="007F70F3" w:rsidRPr="00F2078A" w:rsidRDefault="00BC1E97" w:rsidP="00414740">
            <w:pPr>
              <w:pStyle w:val="Tabletext1"/>
              <w:rPr>
                <w:snapToGrid w:val="0"/>
                <w:lang w:eastAsia="en-US"/>
              </w:rPr>
            </w:pPr>
            <w:r w:rsidRPr="005F2661">
              <w:rPr>
                <w:snapToGrid w:val="0"/>
                <w:lang w:eastAsia="en-US"/>
              </w:rPr>
              <w:t>R</w:t>
            </w:r>
            <w:r w:rsidR="007F70F3" w:rsidRPr="00F2078A">
              <w:rPr>
                <w:snapToGrid w:val="0"/>
                <w:lang w:eastAsia="en-US"/>
              </w:rPr>
              <w:t>etrospective CS</w:t>
            </w:r>
          </w:p>
          <w:p w14:paraId="0C965601" w14:textId="19B58B40" w:rsidR="007F70F3" w:rsidRPr="00642604" w:rsidRDefault="007F70F3" w:rsidP="00414740">
            <w:pPr>
              <w:pStyle w:val="Tabletext1"/>
              <w:rPr>
                <w:snapToGrid w:val="0"/>
                <w:lang w:eastAsia="en-US"/>
              </w:rPr>
            </w:pPr>
            <w:r w:rsidRPr="00642604">
              <w:rPr>
                <w:snapToGrid w:val="0"/>
                <w:lang w:eastAsia="en-US"/>
              </w:rPr>
              <w:t>32 (2</w:t>
            </w:r>
            <w:r w:rsidR="00D35E9C">
              <w:rPr>
                <w:snapToGrid w:val="0"/>
                <w:lang w:eastAsia="en-US"/>
              </w:rPr>
              <w:t>–</w:t>
            </w:r>
            <w:r w:rsidRPr="00642604">
              <w:rPr>
                <w:snapToGrid w:val="0"/>
                <w:lang w:eastAsia="en-US"/>
              </w:rPr>
              <w:t>75) months</w:t>
            </w:r>
          </w:p>
        </w:tc>
        <w:tc>
          <w:tcPr>
            <w:tcW w:w="446" w:type="pct"/>
            <w:tcBorders>
              <w:bottom w:val="single" w:sz="4" w:space="0" w:color="auto"/>
            </w:tcBorders>
            <w:shd w:val="clear" w:color="auto" w:fill="auto"/>
          </w:tcPr>
          <w:p w14:paraId="7E6E1FEE" w14:textId="77777777" w:rsidR="007F70F3" w:rsidRPr="00642604" w:rsidRDefault="007F70F3" w:rsidP="00414740">
            <w:pPr>
              <w:pStyle w:val="Tabletext1"/>
              <w:rPr>
                <w:snapToGrid w:val="0"/>
                <w:lang w:eastAsia="en-US"/>
              </w:rPr>
            </w:pPr>
            <w:r w:rsidRPr="00642604">
              <w:rPr>
                <w:snapToGrid w:val="0"/>
                <w:lang w:eastAsia="en-US"/>
              </w:rPr>
              <w:t>High</w:t>
            </w:r>
          </w:p>
        </w:tc>
        <w:tc>
          <w:tcPr>
            <w:tcW w:w="1386" w:type="pct"/>
            <w:shd w:val="clear" w:color="auto" w:fill="auto"/>
          </w:tcPr>
          <w:p w14:paraId="61CBD6CF" w14:textId="77777777" w:rsidR="007F70F3" w:rsidRPr="0000124A" w:rsidRDefault="007F70F3" w:rsidP="00414740">
            <w:pPr>
              <w:pStyle w:val="Tabletext1"/>
              <w:rPr>
                <w:snapToGrid w:val="0"/>
                <w:lang w:eastAsia="en-US"/>
              </w:rPr>
            </w:pPr>
            <w:r w:rsidRPr="001C2967">
              <w:rPr>
                <w:snapToGrid w:val="0"/>
                <w:lang w:eastAsia="en-US"/>
              </w:rPr>
              <w:t>Stage IA-IB NSCLC, inoperable or</w:t>
            </w:r>
            <w:r w:rsidRPr="0000124A">
              <w:rPr>
                <w:snapToGrid w:val="0"/>
                <w:lang w:eastAsia="en-US"/>
              </w:rPr>
              <w:t xml:space="preserve"> refused surgery, lesion diameter &lt; 50 mm, no disease outside involved lobe</w:t>
            </w:r>
          </w:p>
        </w:tc>
        <w:tc>
          <w:tcPr>
            <w:tcW w:w="749" w:type="pct"/>
            <w:tcBorders>
              <w:bottom w:val="single" w:sz="4" w:space="0" w:color="auto"/>
            </w:tcBorders>
            <w:shd w:val="clear" w:color="auto" w:fill="auto"/>
          </w:tcPr>
          <w:p w14:paraId="63FCAC06" w14:textId="77777777" w:rsidR="007F70F3" w:rsidRPr="006B33E4" w:rsidRDefault="009B4B0C" w:rsidP="00414740">
            <w:pPr>
              <w:pStyle w:val="Tabletext1"/>
              <w:rPr>
                <w:snapToGrid w:val="0"/>
                <w:lang w:eastAsia="en-US"/>
              </w:rPr>
            </w:pPr>
            <w:r w:rsidRPr="0000124A">
              <w:rPr>
                <w:snapToGrid w:val="0"/>
                <w:lang w:eastAsia="en-US"/>
              </w:rPr>
              <w:t>Overall,</w:t>
            </w:r>
            <w:r w:rsidR="007F70F3" w:rsidRPr="00781354">
              <w:rPr>
                <w:snapToGrid w:val="0"/>
                <w:lang w:eastAsia="en-US"/>
              </w:rPr>
              <w:t xml:space="preserve"> disease-free survival</w:t>
            </w:r>
            <w:r w:rsidR="00982613" w:rsidRPr="006B33E4">
              <w:rPr>
                <w:snapToGrid w:val="0"/>
                <w:lang w:eastAsia="en-US"/>
              </w:rPr>
              <w:t>, a</w:t>
            </w:r>
            <w:r w:rsidR="007F70F3" w:rsidRPr="006B33E4">
              <w:rPr>
                <w:snapToGrid w:val="0"/>
                <w:lang w:eastAsia="en-US"/>
              </w:rPr>
              <w:t>dverse events</w:t>
            </w:r>
          </w:p>
        </w:tc>
        <w:tc>
          <w:tcPr>
            <w:tcW w:w="579" w:type="pct"/>
            <w:shd w:val="clear" w:color="auto" w:fill="auto"/>
          </w:tcPr>
          <w:p w14:paraId="6F604070" w14:textId="77777777" w:rsidR="007F70F3" w:rsidRPr="004D10F1" w:rsidRDefault="007F70F3" w:rsidP="00414740">
            <w:pPr>
              <w:pStyle w:val="Tabletext1"/>
              <w:rPr>
                <w:snapToGrid w:val="0"/>
                <w:lang w:eastAsia="en-US"/>
              </w:rPr>
            </w:pPr>
            <w:r w:rsidRPr="004D10F1">
              <w:rPr>
                <w:snapToGrid w:val="0"/>
                <w:lang w:eastAsia="en-US"/>
              </w:rPr>
              <w:t>Not used</w:t>
            </w:r>
          </w:p>
        </w:tc>
      </w:tr>
      <w:tr w:rsidR="007F70F3" w:rsidRPr="001D54EF" w14:paraId="7D7DD957" w14:textId="77777777" w:rsidTr="000F20E2">
        <w:trPr>
          <w:cantSplit/>
        </w:trPr>
        <w:tc>
          <w:tcPr>
            <w:tcW w:w="643" w:type="pct"/>
            <w:shd w:val="clear" w:color="auto" w:fill="auto"/>
          </w:tcPr>
          <w:p w14:paraId="1FA8C56D" w14:textId="77777777" w:rsidR="007F70F3" w:rsidRPr="001D54EF" w:rsidRDefault="007F70F3" w:rsidP="00253E71">
            <w:pPr>
              <w:pStyle w:val="Tabletext1"/>
              <w:rPr>
                <w:snapToGrid w:val="0"/>
                <w:lang w:eastAsia="en-US"/>
              </w:rPr>
            </w:pPr>
            <w:r w:rsidRPr="001D54EF">
              <w:rPr>
                <w:snapToGrid w:val="0"/>
                <w:lang w:eastAsia="en-US"/>
              </w:rPr>
              <w:t>Liu et al</w:t>
            </w:r>
          </w:p>
          <w:p w14:paraId="28AAAB89" w14:textId="77777777" w:rsidR="007F70F3" w:rsidRPr="001D54EF" w:rsidRDefault="007F70F3" w:rsidP="00253E71">
            <w:pPr>
              <w:pStyle w:val="Tabletext1"/>
              <w:rPr>
                <w:snapToGrid w:val="0"/>
                <w:lang w:eastAsia="en-US"/>
              </w:rPr>
            </w:pPr>
            <w:r w:rsidRPr="001D54EF">
              <w:rPr>
                <w:snapToGrid w:val="0"/>
                <w:lang w:eastAsia="en-US"/>
              </w:rPr>
              <w:t>(2015)</w:t>
            </w:r>
          </w:p>
        </w:tc>
        <w:tc>
          <w:tcPr>
            <w:tcW w:w="454" w:type="pct"/>
            <w:shd w:val="clear" w:color="auto" w:fill="auto"/>
          </w:tcPr>
          <w:p w14:paraId="36835E71" w14:textId="77777777" w:rsidR="007F70F3" w:rsidRPr="005F2661" w:rsidRDefault="007F70F3" w:rsidP="00414740">
            <w:pPr>
              <w:pStyle w:val="Tabletext1"/>
              <w:rPr>
                <w:snapToGrid w:val="0"/>
                <w:lang w:eastAsia="en-US"/>
              </w:rPr>
            </w:pPr>
            <w:r w:rsidRPr="005F2661">
              <w:rPr>
                <w:snapToGrid w:val="0"/>
                <w:lang w:eastAsia="en-US"/>
              </w:rPr>
              <w:t>29 (29)</w:t>
            </w:r>
          </w:p>
        </w:tc>
        <w:tc>
          <w:tcPr>
            <w:tcW w:w="742" w:type="pct"/>
            <w:tcBorders>
              <w:bottom w:val="single" w:sz="4" w:space="0" w:color="auto"/>
            </w:tcBorders>
            <w:shd w:val="clear" w:color="auto" w:fill="auto"/>
          </w:tcPr>
          <w:p w14:paraId="68CAED50" w14:textId="77777777" w:rsidR="007F70F3" w:rsidRPr="00F2078A" w:rsidRDefault="00BC1E97" w:rsidP="00414740">
            <w:pPr>
              <w:pStyle w:val="Tabletext1"/>
              <w:rPr>
                <w:snapToGrid w:val="0"/>
                <w:lang w:eastAsia="en-US"/>
              </w:rPr>
            </w:pPr>
            <w:r w:rsidRPr="005F2661">
              <w:rPr>
                <w:snapToGrid w:val="0"/>
                <w:lang w:eastAsia="en-US"/>
              </w:rPr>
              <w:t>R</w:t>
            </w:r>
            <w:r w:rsidR="007F70F3" w:rsidRPr="00F2078A">
              <w:rPr>
                <w:snapToGrid w:val="0"/>
                <w:lang w:eastAsia="en-US"/>
              </w:rPr>
              <w:t>etrospective CS</w:t>
            </w:r>
          </w:p>
          <w:p w14:paraId="4BFF1537" w14:textId="2E834971" w:rsidR="007F70F3" w:rsidRPr="00642604" w:rsidRDefault="007F70F3" w:rsidP="00414740">
            <w:pPr>
              <w:pStyle w:val="Tabletext1"/>
              <w:rPr>
                <w:snapToGrid w:val="0"/>
                <w:lang w:eastAsia="en-US"/>
              </w:rPr>
            </w:pPr>
            <w:r w:rsidRPr="00642604">
              <w:rPr>
                <w:snapToGrid w:val="0"/>
                <w:lang w:eastAsia="en-US"/>
              </w:rPr>
              <w:t>19 (2</w:t>
            </w:r>
            <w:r w:rsidR="00D35E9C">
              <w:rPr>
                <w:snapToGrid w:val="0"/>
                <w:lang w:eastAsia="en-US"/>
              </w:rPr>
              <w:t>–</w:t>
            </w:r>
            <w:r w:rsidRPr="00642604">
              <w:rPr>
                <w:snapToGrid w:val="0"/>
                <w:lang w:eastAsia="en-US"/>
              </w:rPr>
              <w:t>75) months</w:t>
            </w:r>
          </w:p>
        </w:tc>
        <w:tc>
          <w:tcPr>
            <w:tcW w:w="446" w:type="pct"/>
            <w:tcBorders>
              <w:bottom w:val="single" w:sz="4" w:space="0" w:color="auto"/>
            </w:tcBorders>
            <w:shd w:val="clear" w:color="auto" w:fill="auto"/>
          </w:tcPr>
          <w:p w14:paraId="13DDC230" w14:textId="77777777" w:rsidR="007F70F3" w:rsidRPr="00642604" w:rsidRDefault="007F70F3" w:rsidP="00414740">
            <w:pPr>
              <w:pStyle w:val="Tabletext1"/>
              <w:rPr>
                <w:snapToGrid w:val="0"/>
                <w:lang w:eastAsia="en-US"/>
              </w:rPr>
            </w:pPr>
            <w:r w:rsidRPr="00642604">
              <w:rPr>
                <w:snapToGrid w:val="0"/>
                <w:lang w:eastAsia="en-US"/>
              </w:rPr>
              <w:t>High</w:t>
            </w:r>
          </w:p>
        </w:tc>
        <w:tc>
          <w:tcPr>
            <w:tcW w:w="1386" w:type="pct"/>
            <w:shd w:val="clear" w:color="auto" w:fill="auto"/>
          </w:tcPr>
          <w:p w14:paraId="3D6F71CC" w14:textId="77777777" w:rsidR="007F70F3" w:rsidRPr="0000124A" w:rsidRDefault="007F70F3" w:rsidP="00414740">
            <w:pPr>
              <w:pStyle w:val="Tabletext1"/>
              <w:rPr>
                <w:snapToGrid w:val="0"/>
                <w:lang w:eastAsia="en-US"/>
              </w:rPr>
            </w:pPr>
            <w:r w:rsidRPr="001C2967">
              <w:rPr>
                <w:snapToGrid w:val="0"/>
                <w:lang w:eastAsia="en-US"/>
              </w:rPr>
              <w:t>Stage IA-IB NSCLC, inoperable or refused surgery, ECOG stat</w:t>
            </w:r>
            <w:r w:rsidRPr="0000124A">
              <w:rPr>
                <w:snapToGrid w:val="0"/>
                <w:lang w:eastAsia="en-US"/>
              </w:rPr>
              <w:t>us ≤ 2</w:t>
            </w:r>
          </w:p>
        </w:tc>
        <w:tc>
          <w:tcPr>
            <w:tcW w:w="749" w:type="pct"/>
            <w:tcBorders>
              <w:bottom w:val="single" w:sz="4" w:space="0" w:color="auto"/>
            </w:tcBorders>
            <w:shd w:val="clear" w:color="auto" w:fill="auto"/>
          </w:tcPr>
          <w:p w14:paraId="776D6816" w14:textId="77777777" w:rsidR="007F70F3" w:rsidRPr="004D10F1" w:rsidRDefault="009B4B0C" w:rsidP="00414740">
            <w:pPr>
              <w:pStyle w:val="Tabletext1"/>
              <w:rPr>
                <w:snapToGrid w:val="0"/>
                <w:lang w:eastAsia="en-US"/>
              </w:rPr>
            </w:pPr>
            <w:r w:rsidRPr="0000124A">
              <w:rPr>
                <w:snapToGrid w:val="0"/>
                <w:lang w:eastAsia="en-US"/>
              </w:rPr>
              <w:t>Overall,</w:t>
            </w:r>
            <w:r w:rsidR="007F70F3" w:rsidRPr="00781354">
              <w:rPr>
                <w:snapToGrid w:val="0"/>
                <w:lang w:eastAsia="en-US"/>
              </w:rPr>
              <w:t xml:space="preserve"> cancer-specific survival</w:t>
            </w:r>
            <w:r w:rsidR="00982613" w:rsidRPr="006B33E4">
              <w:rPr>
                <w:snapToGrid w:val="0"/>
                <w:lang w:eastAsia="en-US"/>
              </w:rPr>
              <w:t>, a</w:t>
            </w:r>
            <w:r w:rsidR="007F70F3" w:rsidRPr="004D10F1">
              <w:rPr>
                <w:snapToGrid w:val="0"/>
                <w:lang w:eastAsia="en-US"/>
              </w:rPr>
              <w:t>dverse events</w:t>
            </w:r>
          </w:p>
        </w:tc>
        <w:tc>
          <w:tcPr>
            <w:tcW w:w="579" w:type="pct"/>
            <w:shd w:val="clear" w:color="auto" w:fill="auto"/>
          </w:tcPr>
          <w:p w14:paraId="3B3F110C" w14:textId="77777777" w:rsidR="007F70F3" w:rsidRPr="00935A6C" w:rsidRDefault="007F70F3" w:rsidP="00414740">
            <w:pPr>
              <w:pStyle w:val="Tabletext1"/>
              <w:rPr>
                <w:snapToGrid w:val="0"/>
                <w:lang w:eastAsia="en-US"/>
              </w:rPr>
            </w:pPr>
            <w:r w:rsidRPr="00935A6C">
              <w:rPr>
                <w:snapToGrid w:val="0"/>
                <w:lang w:eastAsia="en-US"/>
              </w:rPr>
              <w:t>Not used</w:t>
            </w:r>
          </w:p>
        </w:tc>
      </w:tr>
      <w:tr w:rsidR="007F70F3" w:rsidRPr="001D54EF" w14:paraId="7AD2FB4D" w14:textId="77777777" w:rsidTr="000F20E2">
        <w:trPr>
          <w:cantSplit/>
        </w:trPr>
        <w:tc>
          <w:tcPr>
            <w:tcW w:w="643" w:type="pct"/>
            <w:shd w:val="clear" w:color="auto" w:fill="auto"/>
          </w:tcPr>
          <w:p w14:paraId="6007D298" w14:textId="77777777" w:rsidR="007F70F3" w:rsidRPr="001D54EF" w:rsidRDefault="007F70F3" w:rsidP="00253E71">
            <w:pPr>
              <w:pStyle w:val="Tabletext1"/>
              <w:rPr>
                <w:snapToGrid w:val="0"/>
                <w:lang w:eastAsia="en-US"/>
              </w:rPr>
            </w:pPr>
            <w:r w:rsidRPr="001D54EF">
              <w:rPr>
                <w:snapToGrid w:val="0"/>
                <w:lang w:eastAsia="en-US"/>
              </w:rPr>
              <w:t>Ridge et al</w:t>
            </w:r>
          </w:p>
          <w:p w14:paraId="2726F1F4" w14:textId="77777777" w:rsidR="007F70F3" w:rsidRPr="001D54EF" w:rsidRDefault="007F70F3" w:rsidP="00253E71">
            <w:pPr>
              <w:pStyle w:val="Tabletext1"/>
              <w:rPr>
                <w:snapToGrid w:val="0"/>
                <w:lang w:eastAsia="en-US"/>
              </w:rPr>
            </w:pPr>
            <w:r w:rsidRPr="001D54EF">
              <w:rPr>
                <w:snapToGrid w:val="0"/>
                <w:lang w:eastAsia="en-US"/>
              </w:rPr>
              <w:t>(2014)</w:t>
            </w:r>
          </w:p>
        </w:tc>
        <w:tc>
          <w:tcPr>
            <w:tcW w:w="454" w:type="pct"/>
            <w:shd w:val="clear" w:color="auto" w:fill="auto"/>
          </w:tcPr>
          <w:p w14:paraId="1C1CE43A" w14:textId="77777777" w:rsidR="007F70F3" w:rsidRPr="005F2661" w:rsidRDefault="007F70F3" w:rsidP="00414740">
            <w:pPr>
              <w:pStyle w:val="Tabletext1"/>
              <w:rPr>
                <w:snapToGrid w:val="0"/>
                <w:lang w:eastAsia="en-US"/>
              </w:rPr>
            </w:pPr>
            <w:r w:rsidRPr="005F2661">
              <w:rPr>
                <w:snapToGrid w:val="0"/>
                <w:lang w:eastAsia="en-US"/>
              </w:rPr>
              <w:t>29 (29)</w:t>
            </w:r>
          </w:p>
        </w:tc>
        <w:tc>
          <w:tcPr>
            <w:tcW w:w="742" w:type="pct"/>
            <w:tcBorders>
              <w:bottom w:val="single" w:sz="4" w:space="0" w:color="auto"/>
            </w:tcBorders>
            <w:shd w:val="clear" w:color="auto" w:fill="auto"/>
          </w:tcPr>
          <w:p w14:paraId="1B6C3C98" w14:textId="45F2804F" w:rsidR="007F70F3" w:rsidRPr="00F2078A" w:rsidRDefault="00877D68" w:rsidP="00414740">
            <w:pPr>
              <w:pStyle w:val="Tabletext1"/>
              <w:rPr>
                <w:snapToGrid w:val="0"/>
                <w:lang w:eastAsia="en-US"/>
              </w:rPr>
            </w:pPr>
            <w:r w:rsidRPr="005F2661">
              <w:rPr>
                <w:snapToGrid w:val="0"/>
                <w:lang w:eastAsia="en-US"/>
              </w:rPr>
              <w:t>R</w:t>
            </w:r>
            <w:r w:rsidR="007F70F3" w:rsidRPr="00F2078A">
              <w:rPr>
                <w:snapToGrid w:val="0"/>
                <w:lang w:eastAsia="en-US"/>
              </w:rPr>
              <w:t>etrospective CS 30 (12</w:t>
            </w:r>
            <w:r w:rsidR="00D35E9C">
              <w:rPr>
                <w:snapToGrid w:val="0"/>
                <w:lang w:eastAsia="en-US"/>
              </w:rPr>
              <w:t>–</w:t>
            </w:r>
            <w:r w:rsidR="007F70F3" w:rsidRPr="00F2078A">
              <w:rPr>
                <w:snapToGrid w:val="0"/>
                <w:lang w:eastAsia="en-US"/>
              </w:rPr>
              <w:t>85) months</w:t>
            </w:r>
          </w:p>
        </w:tc>
        <w:tc>
          <w:tcPr>
            <w:tcW w:w="446" w:type="pct"/>
            <w:tcBorders>
              <w:bottom w:val="single" w:sz="4" w:space="0" w:color="auto"/>
            </w:tcBorders>
            <w:shd w:val="clear" w:color="auto" w:fill="auto"/>
          </w:tcPr>
          <w:p w14:paraId="225D5D8D" w14:textId="77777777" w:rsidR="007F70F3" w:rsidRPr="00642604" w:rsidRDefault="007F70F3" w:rsidP="00414740">
            <w:pPr>
              <w:pStyle w:val="Tabletext1"/>
              <w:rPr>
                <w:snapToGrid w:val="0"/>
                <w:lang w:eastAsia="en-US"/>
              </w:rPr>
            </w:pPr>
            <w:r w:rsidRPr="00642604">
              <w:rPr>
                <w:snapToGrid w:val="0"/>
                <w:lang w:eastAsia="en-US"/>
              </w:rPr>
              <w:t>High</w:t>
            </w:r>
          </w:p>
        </w:tc>
        <w:tc>
          <w:tcPr>
            <w:tcW w:w="1386" w:type="pct"/>
            <w:shd w:val="clear" w:color="auto" w:fill="auto"/>
          </w:tcPr>
          <w:p w14:paraId="72DAA4E4" w14:textId="77777777" w:rsidR="007F70F3" w:rsidRPr="00642604" w:rsidRDefault="007F70F3" w:rsidP="00414740">
            <w:pPr>
              <w:pStyle w:val="Tabletext1"/>
              <w:rPr>
                <w:snapToGrid w:val="0"/>
                <w:lang w:eastAsia="en-US"/>
              </w:rPr>
            </w:pPr>
            <w:r w:rsidRPr="00642604">
              <w:rPr>
                <w:snapToGrid w:val="0"/>
                <w:lang w:eastAsia="en-US"/>
              </w:rPr>
              <w:t>Stage IA-IIA NSCLC, no prior in-field RT or resection, no chemo 12 months prior</w:t>
            </w:r>
          </w:p>
        </w:tc>
        <w:tc>
          <w:tcPr>
            <w:tcW w:w="749" w:type="pct"/>
            <w:tcBorders>
              <w:bottom w:val="single" w:sz="4" w:space="0" w:color="auto"/>
            </w:tcBorders>
            <w:shd w:val="clear" w:color="auto" w:fill="auto"/>
          </w:tcPr>
          <w:p w14:paraId="48F4A149" w14:textId="77777777" w:rsidR="007F70F3" w:rsidRPr="006B33E4" w:rsidRDefault="009B4B0C" w:rsidP="00414740">
            <w:pPr>
              <w:pStyle w:val="Tabletext1"/>
              <w:rPr>
                <w:snapToGrid w:val="0"/>
                <w:lang w:eastAsia="en-US"/>
              </w:rPr>
            </w:pPr>
            <w:r w:rsidRPr="001C2967">
              <w:rPr>
                <w:snapToGrid w:val="0"/>
                <w:lang w:eastAsia="en-US"/>
              </w:rPr>
              <w:t xml:space="preserve">Overall, </w:t>
            </w:r>
            <w:r w:rsidR="005C22E0" w:rsidRPr="0000124A">
              <w:rPr>
                <w:snapToGrid w:val="0"/>
                <w:lang w:eastAsia="en-US"/>
              </w:rPr>
              <w:t>PF</w:t>
            </w:r>
            <w:r w:rsidR="007F70F3" w:rsidRPr="0000124A">
              <w:rPr>
                <w:snapToGrid w:val="0"/>
                <w:lang w:eastAsia="en-US"/>
              </w:rPr>
              <w:t xml:space="preserve"> survival</w:t>
            </w:r>
            <w:r w:rsidR="00982613" w:rsidRPr="00781354">
              <w:rPr>
                <w:snapToGrid w:val="0"/>
                <w:lang w:eastAsia="en-US"/>
              </w:rPr>
              <w:t>, a</w:t>
            </w:r>
            <w:r w:rsidR="007F70F3" w:rsidRPr="006B33E4">
              <w:rPr>
                <w:snapToGrid w:val="0"/>
                <w:lang w:eastAsia="en-US"/>
              </w:rPr>
              <w:t>dverse events</w:t>
            </w:r>
          </w:p>
        </w:tc>
        <w:tc>
          <w:tcPr>
            <w:tcW w:w="579" w:type="pct"/>
            <w:shd w:val="clear" w:color="auto" w:fill="auto"/>
          </w:tcPr>
          <w:p w14:paraId="6BDC3B11" w14:textId="77777777" w:rsidR="007F70F3" w:rsidRPr="00935A6C" w:rsidRDefault="007F70F3" w:rsidP="00414740">
            <w:pPr>
              <w:pStyle w:val="Tabletext1"/>
              <w:rPr>
                <w:snapToGrid w:val="0"/>
                <w:lang w:eastAsia="en-US"/>
              </w:rPr>
            </w:pPr>
            <w:r w:rsidRPr="004D10F1">
              <w:rPr>
                <w:snapToGrid w:val="0"/>
                <w:lang w:eastAsia="en-US"/>
              </w:rPr>
              <w:t>Not u</w:t>
            </w:r>
            <w:r w:rsidRPr="00935A6C">
              <w:rPr>
                <w:snapToGrid w:val="0"/>
                <w:lang w:eastAsia="en-US"/>
              </w:rPr>
              <w:t>sed</w:t>
            </w:r>
          </w:p>
        </w:tc>
      </w:tr>
      <w:tr w:rsidR="007F70F3" w:rsidRPr="001D54EF" w14:paraId="3DC2388B" w14:textId="77777777" w:rsidTr="000F20E2">
        <w:trPr>
          <w:cantSplit/>
        </w:trPr>
        <w:tc>
          <w:tcPr>
            <w:tcW w:w="643" w:type="pct"/>
            <w:shd w:val="clear" w:color="auto" w:fill="auto"/>
          </w:tcPr>
          <w:p w14:paraId="0AFFAA31" w14:textId="77777777" w:rsidR="007F70F3" w:rsidRPr="001D54EF" w:rsidRDefault="007F70F3" w:rsidP="00253E71">
            <w:pPr>
              <w:pStyle w:val="Tabletext1"/>
              <w:rPr>
                <w:snapToGrid w:val="0"/>
                <w:lang w:eastAsia="en-US"/>
              </w:rPr>
            </w:pPr>
            <w:r w:rsidRPr="001D54EF">
              <w:rPr>
                <w:snapToGrid w:val="0"/>
                <w:lang w:eastAsia="en-US"/>
              </w:rPr>
              <w:lastRenderedPageBreak/>
              <w:t>Safi et al</w:t>
            </w:r>
          </w:p>
          <w:p w14:paraId="0D30DEF7" w14:textId="77777777" w:rsidR="007F70F3" w:rsidRPr="001D54EF" w:rsidRDefault="007F70F3" w:rsidP="00253E71">
            <w:pPr>
              <w:pStyle w:val="Tabletext1"/>
              <w:rPr>
                <w:snapToGrid w:val="0"/>
                <w:lang w:eastAsia="en-US"/>
              </w:rPr>
            </w:pPr>
            <w:r w:rsidRPr="001D54EF">
              <w:rPr>
                <w:snapToGrid w:val="0"/>
                <w:lang w:eastAsia="en-US"/>
              </w:rPr>
              <w:t>(2015)</w:t>
            </w:r>
          </w:p>
        </w:tc>
        <w:tc>
          <w:tcPr>
            <w:tcW w:w="454" w:type="pct"/>
            <w:shd w:val="clear" w:color="auto" w:fill="auto"/>
          </w:tcPr>
          <w:p w14:paraId="26E64FF2" w14:textId="77777777" w:rsidR="007F70F3" w:rsidRPr="006E71B4" w:rsidRDefault="007F70F3" w:rsidP="00414740">
            <w:pPr>
              <w:pStyle w:val="Tabletext1"/>
              <w:rPr>
                <w:snapToGrid w:val="0"/>
                <w:lang w:eastAsia="en-US"/>
              </w:rPr>
            </w:pPr>
            <w:r w:rsidRPr="005F2661">
              <w:rPr>
                <w:snapToGrid w:val="0"/>
                <w:lang w:eastAsia="en-US"/>
              </w:rPr>
              <w:t>RFA</w:t>
            </w:r>
            <w:r w:rsidR="005C22E0" w:rsidRPr="005F2661">
              <w:rPr>
                <w:snapToGrid w:val="0"/>
                <w:lang w:eastAsia="en-US"/>
              </w:rPr>
              <w:t xml:space="preserve"> </w:t>
            </w:r>
            <w:r w:rsidRPr="006E71B4">
              <w:rPr>
                <w:snapToGrid w:val="0"/>
                <w:lang w:eastAsia="en-US"/>
              </w:rPr>
              <w:t>25 (NR)</w:t>
            </w:r>
          </w:p>
          <w:p w14:paraId="6C95C2D0" w14:textId="77777777" w:rsidR="007F70F3" w:rsidRPr="0000124A" w:rsidRDefault="007F70F3" w:rsidP="00414740">
            <w:pPr>
              <w:pStyle w:val="Tabletext1"/>
              <w:rPr>
                <w:snapToGrid w:val="0"/>
                <w:lang w:eastAsia="en-US"/>
              </w:rPr>
            </w:pPr>
            <w:r w:rsidRPr="00351105">
              <w:rPr>
                <w:snapToGrid w:val="0"/>
                <w:lang w:eastAsia="en-US"/>
              </w:rPr>
              <w:t>RT</w:t>
            </w:r>
            <w:r w:rsidR="005C22E0" w:rsidRPr="0000124A">
              <w:rPr>
                <w:snapToGrid w:val="0"/>
                <w:lang w:eastAsia="en-US"/>
              </w:rPr>
              <w:t xml:space="preserve"> </w:t>
            </w:r>
            <w:r w:rsidRPr="0000124A">
              <w:rPr>
                <w:snapToGrid w:val="0"/>
                <w:lang w:eastAsia="en-US"/>
              </w:rPr>
              <w:t>49 (NR)</w:t>
            </w:r>
          </w:p>
        </w:tc>
        <w:tc>
          <w:tcPr>
            <w:tcW w:w="742" w:type="pct"/>
            <w:tcBorders>
              <w:bottom w:val="single" w:sz="4" w:space="0" w:color="auto"/>
            </w:tcBorders>
            <w:shd w:val="clear" w:color="auto" w:fill="auto"/>
          </w:tcPr>
          <w:p w14:paraId="485FA5D7" w14:textId="77777777" w:rsidR="007F70F3" w:rsidRPr="006B33E4" w:rsidRDefault="00877D68" w:rsidP="00414740">
            <w:pPr>
              <w:pStyle w:val="Tabletext1"/>
              <w:rPr>
                <w:snapToGrid w:val="0"/>
                <w:lang w:eastAsia="en-US"/>
              </w:rPr>
            </w:pPr>
            <w:r w:rsidRPr="00781354">
              <w:rPr>
                <w:snapToGrid w:val="0"/>
                <w:lang w:eastAsia="en-US"/>
              </w:rPr>
              <w:t>R</w:t>
            </w:r>
            <w:r w:rsidR="007F70F3" w:rsidRPr="006B33E4">
              <w:rPr>
                <w:snapToGrid w:val="0"/>
                <w:lang w:eastAsia="en-US"/>
              </w:rPr>
              <w:t>etrospective cohort</w:t>
            </w:r>
          </w:p>
          <w:p w14:paraId="186A01C0" w14:textId="0E850DD0" w:rsidR="007F70F3" w:rsidRPr="004D10F1" w:rsidRDefault="007F70F3" w:rsidP="00414740">
            <w:pPr>
              <w:pStyle w:val="Tabletext1"/>
              <w:rPr>
                <w:snapToGrid w:val="0"/>
                <w:lang w:eastAsia="en-US"/>
              </w:rPr>
            </w:pPr>
            <w:r w:rsidRPr="004D10F1">
              <w:rPr>
                <w:snapToGrid w:val="0"/>
                <w:lang w:eastAsia="en-US"/>
              </w:rPr>
              <w:t>10</w:t>
            </w:r>
            <w:r w:rsidR="00D35E9C">
              <w:rPr>
                <w:snapToGrid w:val="0"/>
                <w:lang w:eastAsia="en-US"/>
              </w:rPr>
              <w:t>–</w:t>
            </w:r>
            <w:r w:rsidRPr="004D10F1">
              <w:rPr>
                <w:snapToGrid w:val="0"/>
                <w:lang w:eastAsia="en-US"/>
              </w:rPr>
              <w:t>13 (NR) months</w:t>
            </w:r>
          </w:p>
        </w:tc>
        <w:tc>
          <w:tcPr>
            <w:tcW w:w="446" w:type="pct"/>
            <w:tcBorders>
              <w:bottom w:val="single" w:sz="4" w:space="0" w:color="auto"/>
            </w:tcBorders>
            <w:shd w:val="clear" w:color="auto" w:fill="auto"/>
          </w:tcPr>
          <w:p w14:paraId="35D1D1A8" w14:textId="77777777" w:rsidR="007F70F3" w:rsidRPr="00935A6C" w:rsidRDefault="007F70F3" w:rsidP="00414740">
            <w:pPr>
              <w:pStyle w:val="Tabletext1"/>
              <w:rPr>
                <w:snapToGrid w:val="0"/>
                <w:lang w:eastAsia="en-US"/>
              </w:rPr>
            </w:pPr>
            <w:r w:rsidRPr="00935A6C">
              <w:rPr>
                <w:snapToGrid w:val="0"/>
                <w:lang w:eastAsia="en-US"/>
              </w:rPr>
              <w:t>Moderate</w:t>
            </w:r>
          </w:p>
        </w:tc>
        <w:tc>
          <w:tcPr>
            <w:tcW w:w="1386" w:type="pct"/>
            <w:shd w:val="clear" w:color="auto" w:fill="auto"/>
          </w:tcPr>
          <w:p w14:paraId="4D64E8A1" w14:textId="77777777" w:rsidR="007F70F3" w:rsidRPr="009616D3" w:rsidRDefault="007F70F3" w:rsidP="00414740">
            <w:pPr>
              <w:pStyle w:val="Tabletext1"/>
              <w:rPr>
                <w:snapToGrid w:val="0"/>
                <w:lang w:eastAsia="en-US"/>
              </w:rPr>
            </w:pPr>
            <w:r w:rsidRPr="009616D3">
              <w:rPr>
                <w:snapToGrid w:val="0"/>
                <w:lang w:eastAsia="en-US"/>
              </w:rPr>
              <w:t>Stage IA-IB NSCLC</w:t>
            </w:r>
          </w:p>
        </w:tc>
        <w:tc>
          <w:tcPr>
            <w:tcW w:w="749" w:type="pct"/>
            <w:tcBorders>
              <w:bottom w:val="single" w:sz="4" w:space="0" w:color="auto"/>
            </w:tcBorders>
            <w:shd w:val="clear" w:color="auto" w:fill="auto"/>
          </w:tcPr>
          <w:p w14:paraId="333D5715" w14:textId="77777777" w:rsidR="007F70F3" w:rsidRPr="001D54EF" w:rsidRDefault="009B4B0C" w:rsidP="00414740">
            <w:pPr>
              <w:pStyle w:val="Tabletext1"/>
              <w:rPr>
                <w:snapToGrid w:val="0"/>
                <w:lang w:eastAsia="en-US"/>
              </w:rPr>
            </w:pPr>
            <w:r w:rsidRPr="009616D3">
              <w:rPr>
                <w:snapToGrid w:val="0"/>
                <w:lang w:eastAsia="en-US"/>
              </w:rPr>
              <w:t>Overall,</w:t>
            </w:r>
            <w:r w:rsidR="007F70F3" w:rsidRPr="00C76207">
              <w:rPr>
                <w:snapToGrid w:val="0"/>
                <w:lang w:eastAsia="en-US"/>
              </w:rPr>
              <w:t xml:space="preserve"> </w:t>
            </w:r>
            <w:r w:rsidR="005C22E0" w:rsidRPr="00B63D1C">
              <w:rPr>
                <w:snapToGrid w:val="0"/>
                <w:lang w:eastAsia="en-US"/>
              </w:rPr>
              <w:t>PF</w:t>
            </w:r>
            <w:r w:rsidR="007F70F3" w:rsidRPr="00B63D1C">
              <w:rPr>
                <w:snapToGrid w:val="0"/>
                <w:lang w:eastAsia="en-US"/>
              </w:rPr>
              <w:t xml:space="preserve"> survival</w:t>
            </w:r>
            <w:r w:rsidR="00982613" w:rsidRPr="007150EE">
              <w:rPr>
                <w:snapToGrid w:val="0"/>
                <w:lang w:eastAsia="en-US"/>
              </w:rPr>
              <w:t>, a</w:t>
            </w:r>
            <w:r w:rsidR="007F70F3" w:rsidRPr="00556630">
              <w:rPr>
                <w:snapToGrid w:val="0"/>
                <w:lang w:eastAsia="en-US"/>
              </w:rPr>
              <w:t>dverse events</w:t>
            </w:r>
          </w:p>
        </w:tc>
        <w:tc>
          <w:tcPr>
            <w:tcW w:w="579" w:type="pct"/>
            <w:shd w:val="clear" w:color="auto" w:fill="auto"/>
          </w:tcPr>
          <w:p w14:paraId="53429E5D" w14:textId="77777777" w:rsidR="007F70F3" w:rsidRPr="001D54EF" w:rsidRDefault="007F70F3" w:rsidP="00414740">
            <w:pPr>
              <w:pStyle w:val="Tabletext1"/>
              <w:rPr>
                <w:snapToGrid w:val="0"/>
                <w:lang w:eastAsia="en-US"/>
              </w:rPr>
            </w:pPr>
            <w:r w:rsidRPr="00C76207">
              <w:rPr>
                <w:snapToGrid w:val="0"/>
                <w:lang w:eastAsia="en-US"/>
              </w:rPr>
              <w:t>Not used</w:t>
            </w:r>
          </w:p>
        </w:tc>
      </w:tr>
      <w:tr w:rsidR="007F70F3" w:rsidRPr="001D54EF" w14:paraId="52A27D15" w14:textId="77777777" w:rsidTr="000F20E2">
        <w:trPr>
          <w:cantSplit/>
        </w:trPr>
        <w:tc>
          <w:tcPr>
            <w:tcW w:w="643" w:type="pct"/>
            <w:shd w:val="clear" w:color="auto" w:fill="auto"/>
          </w:tcPr>
          <w:p w14:paraId="5EFFEF68" w14:textId="77777777" w:rsidR="007F70F3" w:rsidRPr="001D54EF" w:rsidRDefault="007F70F3" w:rsidP="00253E71">
            <w:pPr>
              <w:pStyle w:val="Tabletext1"/>
              <w:rPr>
                <w:snapToGrid w:val="0"/>
                <w:lang w:eastAsia="en-US"/>
              </w:rPr>
            </w:pPr>
            <w:r w:rsidRPr="001D54EF">
              <w:rPr>
                <w:snapToGrid w:val="0"/>
                <w:lang w:eastAsia="en-US"/>
              </w:rPr>
              <w:t>Viti et al</w:t>
            </w:r>
          </w:p>
          <w:p w14:paraId="1B904A7E" w14:textId="77777777" w:rsidR="007F70F3" w:rsidRPr="001D54EF" w:rsidRDefault="007F70F3" w:rsidP="00253E71">
            <w:pPr>
              <w:pStyle w:val="Tabletext1"/>
              <w:rPr>
                <w:snapToGrid w:val="0"/>
                <w:lang w:eastAsia="en-US"/>
              </w:rPr>
            </w:pPr>
            <w:r w:rsidRPr="001D54EF">
              <w:rPr>
                <w:snapToGrid w:val="0"/>
                <w:lang w:eastAsia="en-US"/>
              </w:rPr>
              <w:t>(2014)</w:t>
            </w:r>
          </w:p>
        </w:tc>
        <w:tc>
          <w:tcPr>
            <w:tcW w:w="454" w:type="pct"/>
            <w:shd w:val="clear" w:color="auto" w:fill="auto"/>
          </w:tcPr>
          <w:p w14:paraId="098671DC" w14:textId="77777777" w:rsidR="007F70F3" w:rsidRPr="005F2661" w:rsidRDefault="007F70F3" w:rsidP="00414740">
            <w:pPr>
              <w:pStyle w:val="Tabletext1"/>
              <w:rPr>
                <w:snapToGrid w:val="0"/>
                <w:lang w:eastAsia="en-US"/>
              </w:rPr>
            </w:pPr>
            <w:r w:rsidRPr="005F2661">
              <w:rPr>
                <w:snapToGrid w:val="0"/>
                <w:lang w:eastAsia="en-US"/>
              </w:rPr>
              <w:t>22 (24)</w:t>
            </w:r>
          </w:p>
        </w:tc>
        <w:tc>
          <w:tcPr>
            <w:tcW w:w="742" w:type="pct"/>
            <w:tcBorders>
              <w:bottom w:val="single" w:sz="4" w:space="0" w:color="auto"/>
            </w:tcBorders>
            <w:shd w:val="clear" w:color="auto" w:fill="auto"/>
          </w:tcPr>
          <w:p w14:paraId="05CAAD3D" w14:textId="77777777" w:rsidR="007F70F3" w:rsidRPr="00F2078A" w:rsidRDefault="00877D68" w:rsidP="00414740">
            <w:pPr>
              <w:pStyle w:val="Tabletext1"/>
              <w:rPr>
                <w:snapToGrid w:val="0"/>
                <w:lang w:eastAsia="en-US"/>
              </w:rPr>
            </w:pPr>
            <w:r w:rsidRPr="005F2661">
              <w:rPr>
                <w:snapToGrid w:val="0"/>
                <w:lang w:eastAsia="en-US"/>
              </w:rPr>
              <w:t>R</w:t>
            </w:r>
            <w:r w:rsidR="007F70F3" w:rsidRPr="00F2078A">
              <w:rPr>
                <w:snapToGrid w:val="0"/>
                <w:lang w:eastAsia="en-US"/>
              </w:rPr>
              <w:t>etrospective CS</w:t>
            </w:r>
          </w:p>
          <w:p w14:paraId="4B64A5FF" w14:textId="77777777" w:rsidR="007F70F3" w:rsidRPr="00642604" w:rsidRDefault="007F70F3" w:rsidP="00414740">
            <w:pPr>
              <w:pStyle w:val="Tabletext1"/>
              <w:rPr>
                <w:snapToGrid w:val="0"/>
                <w:lang w:eastAsia="en-US"/>
              </w:rPr>
            </w:pPr>
            <w:r w:rsidRPr="00642604">
              <w:rPr>
                <w:snapToGrid w:val="0"/>
                <w:lang w:eastAsia="en-US"/>
              </w:rPr>
              <w:t>Mean 30 (NR) months</w:t>
            </w:r>
          </w:p>
        </w:tc>
        <w:tc>
          <w:tcPr>
            <w:tcW w:w="446" w:type="pct"/>
            <w:tcBorders>
              <w:bottom w:val="single" w:sz="4" w:space="0" w:color="auto"/>
            </w:tcBorders>
            <w:shd w:val="clear" w:color="auto" w:fill="auto"/>
          </w:tcPr>
          <w:p w14:paraId="6F410140" w14:textId="77777777" w:rsidR="007F70F3" w:rsidRPr="00642604" w:rsidRDefault="007F70F3" w:rsidP="00414740">
            <w:pPr>
              <w:pStyle w:val="Tabletext1"/>
              <w:rPr>
                <w:snapToGrid w:val="0"/>
                <w:lang w:eastAsia="en-US"/>
              </w:rPr>
            </w:pPr>
            <w:r w:rsidRPr="00642604">
              <w:rPr>
                <w:snapToGrid w:val="0"/>
                <w:lang w:eastAsia="en-US"/>
              </w:rPr>
              <w:t>High</w:t>
            </w:r>
          </w:p>
        </w:tc>
        <w:tc>
          <w:tcPr>
            <w:tcW w:w="1386" w:type="pct"/>
            <w:shd w:val="clear" w:color="auto" w:fill="auto"/>
          </w:tcPr>
          <w:p w14:paraId="2BD9D762" w14:textId="77777777" w:rsidR="007F70F3" w:rsidRPr="0000124A" w:rsidRDefault="007F70F3" w:rsidP="00414740">
            <w:pPr>
              <w:pStyle w:val="Tabletext1"/>
              <w:rPr>
                <w:snapToGrid w:val="0"/>
                <w:lang w:eastAsia="en-US"/>
              </w:rPr>
            </w:pPr>
            <w:r w:rsidRPr="001C2967">
              <w:rPr>
                <w:snapToGrid w:val="0"/>
                <w:lang w:eastAsia="en-US"/>
              </w:rPr>
              <w:t>Stage IA-IB NSCLC, inoperable</w:t>
            </w:r>
            <w:r w:rsidRPr="0000124A">
              <w:rPr>
                <w:snapToGrid w:val="0"/>
                <w:lang w:eastAsia="en-US"/>
              </w:rPr>
              <w:t xml:space="preserve"> or refused surgery, lesion diameter ≤ 35 mm</w:t>
            </w:r>
          </w:p>
        </w:tc>
        <w:tc>
          <w:tcPr>
            <w:tcW w:w="749" w:type="pct"/>
            <w:tcBorders>
              <w:bottom w:val="single" w:sz="4" w:space="0" w:color="auto"/>
            </w:tcBorders>
            <w:shd w:val="clear" w:color="auto" w:fill="auto"/>
          </w:tcPr>
          <w:p w14:paraId="5F288A10" w14:textId="77777777" w:rsidR="007F70F3" w:rsidRPr="00935A6C" w:rsidRDefault="007F70F3" w:rsidP="00414740">
            <w:pPr>
              <w:pStyle w:val="Tabletext1"/>
              <w:rPr>
                <w:snapToGrid w:val="0"/>
                <w:lang w:eastAsia="en-US"/>
              </w:rPr>
            </w:pPr>
            <w:r w:rsidRPr="00781354">
              <w:rPr>
                <w:snapToGrid w:val="0"/>
                <w:lang w:eastAsia="en-US"/>
              </w:rPr>
              <w:t>Overall</w:t>
            </w:r>
            <w:r w:rsidR="000E6DD8" w:rsidRPr="006B33E4">
              <w:rPr>
                <w:snapToGrid w:val="0"/>
                <w:lang w:eastAsia="en-US"/>
              </w:rPr>
              <w:t>,</w:t>
            </w:r>
            <w:r w:rsidRPr="006B33E4">
              <w:rPr>
                <w:snapToGrid w:val="0"/>
                <w:lang w:eastAsia="en-US"/>
              </w:rPr>
              <w:t xml:space="preserve"> disease-free survival</w:t>
            </w:r>
            <w:r w:rsidR="00982613" w:rsidRPr="004D10F1">
              <w:rPr>
                <w:snapToGrid w:val="0"/>
                <w:lang w:eastAsia="en-US"/>
              </w:rPr>
              <w:t>, a</w:t>
            </w:r>
            <w:r w:rsidRPr="00935A6C">
              <w:rPr>
                <w:snapToGrid w:val="0"/>
                <w:lang w:eastAsia="en-US"/>
              </w:rPr>
              <w:t>dverse events</w:t>
            </w:r>
          </w:p>
        </w:tc>
        <w:tc>
          <w:tcPr>
            <w:tcW w:w="579" w:type="pct"/>
            <w:shd w:val="clear" w:color="auto" w:fill="auto"/>
          </w:tcPr>
          <w:p w14:paraId="3145823F" w14:textId="77777777" w:rsidR="007F70F3" w:rsidRPr="009616D3" w:rsidRDefault="007F70F3" w:rsidP="00414740">
            <w:pPr>
              <w:pStyle w:val="Tabletext1"/>
              <w:rPr>
                <w:snapToGrid w:val="0"/>
                <w:lang w:eastAsia="en-US"/>
              </w:rPr>
            </w:pPr>
            <w:r w:rsidRPr="009616D3">
              <w:rPr>
                <w:snapToGrid w:val="0"/>
                <w:lang w:eastAsia="en-US"/>
              </w:rPr>
              <w:t>Not used</w:t>
            </w:r>
          </w:p>
        </w:tc>
      </w:tr>
      <w:tr w:rsidR="007F70F3" w:rsidRPr="001D54EF" w14:paraId="216C52CF" w14:textId="77777777" w:rsidTr="000F20E2">
        <w:trPr>
          <w:cantSplit/>
        </w:trPr>
        <w:tc>
          <w:tcPr>
            <w:tcW w:w="643" w:type="pct"/>
            <w:shd w:val="clear" w:color="auto" w:fill="auto"/>
          </w:tcPr>
          <w:p w14:paraId="3EA5726F" w14:textId="77777777" w:rsidR="007F70F3" w:rsidRPr="001D54EF" w:rsidRDefault="007F70F3" w:rsidP="00253E71">
            <w:pPr>
              <w:pStyle w:val="Tabletext1"/>
              <w:rPr>
                <w:snapToGrid w:val="0"/>
                <w:lang w:eastAsia="en-US"/>
              </w:rPr>
            </w:pPr>
            <w:r w:rsidRPr="001D54EF">
              <w:rPr>
                <w:snapToGrid w:val="0"/>
                <w:lang w:eastAsia="en-US"/>
              </w:rPr>
              <w:t>Yoo et al</w:t>
            </w:r>
          </w:p>
          <w:p w14:paraId="6C23E410" w14:textId="77777777" w:rsidR="007F70F3" w:rsidRPr="001D54EF" w:rsidRDefault="007F70F3" w:rsidP="00253E71">
            <w:pPr>
              <w:pStyle w:val="Tabletext1"/>
              <w:rPr>
                <w:snapToGrid w:val="0"/>
                <w:lang w:eastAsia="en-US"/>
              </w:rPr>
            </w:pPr>
            <w:r w:rsidRPr="001D54EF">
              <w:rPr>
                <w:snapToGrid w:val="0"/>
                <w:lang w:eastAsia="en-US"/>
              </w:rPr>
              <w:t>(2011)</w:t>
            </w:r>
          </w:p>
        </w:tc>
        <w:tc>
          <w:tcPr>
            <w:tcW w:w="454" w:type="pct"/>
            <w:shd w:val="clear" w:color="auto" w:fill="auto"/>
          </w:tcPr>
          <w:p w14:paraId="37F12E8D" w14:textId="77777777" w:rsidR="007F70F3" w:rsidRPr="005F2661" w:rsidRDefault="007F70F3" w:rsidP="00414740">
            <w:pPr>
              <w:pStyle w:val="Tabletext1"/>
              <w:rPr>
                <w:snapToGrid w:val="0"/>
                <w:lang w:eastAsia="en-US"/>
              </w:rPr>
            </w:pPr>
            <w:r w:rsidRPr="005F2661">
              <w:rPr>
                <w:snapToGrid w:val="0"/>
                <w:lang w:eastAsia="en-US"/>
              </w:rPr>
              <w:t>30 (30)</w:t>
            </w:r>
          </w:p>
        </w:tc>
        <w:tc>
          <w:tcPr>
            <w:tcW w:w="742" w:type="pct"/>
            <w:tcBorders>
              <w:bottom w:val="single" w:sz="4" w:space="0" w:color="auto"/>
            </w:tcBorders>
            <w:shd w:val="clear" w:color="auto" w:fill="auto"/>
          </w:tcPr>
          <w:p w14:paraId="3A93B110" w14:textId="77777777" w:rsidR="007F70F3" w:rsidRPr="00F2078A" w:rsidRDefault="00877D68" w:rsidP="00414740">
            <w:pPr>
              <w:pStyle w:val="Tabletext1"/>
              <w:rPr>
                <w:snapToGrid w:val="0"/>
                <w:lang w:eastAsia="en-US"/>
              </w:rPr>
            </w:pPr>
            <w:r w:rsidRPr="005F2661">
              <w:rPr>
                <w:snapToGrid w:val="0"/>
                <w:lang w:eastAsia="en-US"/>
              </w:rPr>
              <w:t>P</w:t>
            </w:r>
            <w:r w:rsidR="007F70F3" w:rsidRPr="00F2078A">
              <w:rPr>
                <w:snapToGrid w:val="0"/>
                <w:lang w:eastAsia="en-US"/>
              </w:rPr>
              <w:t>rospective CS</w:t>
            </w:r>
          </w:p>
          <w:p w14:paraId="4EFC847C" w14:textId="72162186" w:rsidR="007F70F3" w:rsidRPr="00642604" w:rsidRDefault="007F70F3" w:rsidP="00414740">
            <w:pPr>
              <w:pStyle w:val="Tabletext1"/>
              <w:rPr>
                <w:snapToGrid w:val="0"/>
                <w:lang w:eastAsia="en-US"/>
              </w:rPr>
            </w:pPr>
            <w:r w:rsidRPr="00642604">
              <w:rPr>
                <w:snapToGrid w:val="0"/>
                <w:lang w:eastAsia="en-US"/>
              </w:rPr>
              <w:t>12</w:t>
            </w:r>
            <w:r w:rsidR="00FF5480">
              <w:rPr>
                <w:snapToGrid w:val="0"/>
                <w:vertAlign w:val="superscript"/>
                <w:lang w:eastAsia="en-US"/>
              </w:rPr>
              <w:t>a</w:t>
            </w:r>
            <w:r w:rsidRPr="00642604">
              <w:rPr>
                <w:snapToGrid w:val="0"/>
                <w:lang w:eastAsia="en-US"/>
              </w:rPr>
              <w:t xml:space="preserve"> (range NR) months</w:t>
            </w:r>
          </w:p>
        </w:tc>
        <w:tc>
          <w:tcPr>
            <w:tcW w:w="446" w:type="pct"/>
            <w:tcBorders>
              <w:bottom w:val="single" w:sz="4" w:space="0" w:color="auto"/>
            </w:tcBorders>
            <w:shd w:val="clear" w:color="auto" w:fill="auto"/>
          </w:tcPr>
          <w:p w14:paraId="48736270" w14:textId="77777777" w:rsidR="007F70F3" w:rsidRPr="00642604" w:rsidRDefault="007F70F3" w:rsidP="00414740">
            <w:pPr>
              <w:pStyle w:val="Tabletext1"/>
              <w:rPr>
                <w:snapToGrid w:val="0"/>
                <w:lang w:eastAsia="en-US"/>
              </w:rPr>
            </w:pPr>
            <w:r w:rsidRPr="00642604">
              <w:rPr>
                <w:snapToGrid w:val="0"/>
                <w:lang w:eastAsia="en-US"/>
              </w:rPr>
              <w:t>High</w:t>
            </w:r>
          </w:p>
        </w:tc>
        <w:tc>
          <w:tcPr>
            <w:tcW w:w="1386" w:type="pct"/>
            <w:shd w:val="clear" w:color="auto" w:fill="auto"/>
          </w:tcPr>
          <w:p w14:paraId="0D9430EB" w14:textId="77777777" w:rsidR="007F70F3" w:rsidRPr="001C2967" w:rsidRDefault="007F70F3" w:rsidP="00414740">
            <w:pPr>
              <w:pStyle w:val="Tabletext1"/>
              <w:rPr>
                <w:snapToGrid w:val="0"/>
                <w:lang w:eastAsia="en-US"/>
              </w:rPr>
            </w:pPr>
            <w:r w:rsidRPr="001C2967">
              <w:rPr>
                <w:snapToGrid w:val="0"/>
                <w:lang w:eastAsia="en-US"/>
              </w:rPr>
              <w:t>Stage IA NSCLC, inoperable  or high risk for surgery, ECOG status ≤ 2</w:t>
            </w:r>
          </w:p>
        </w:tc>
        <w:tc>
          <w:tcPr>
            <w:tcW w:w="749" w:type="pct"/>
            <w:tcBorders>
              <w:bottom w:val="single" w:sz="4" w:space="0" w:color="auto"/>
            </w:tcBorders>
            <w:shd w:val="clear" w:color="auto" w:fill="auto"/>
          </w:tcPr>
          <w:p w14:paraId="09254CC4" w14:textId="77777777" w:rsidR="007F70F3" w:rsidRPr="006B33E4" w:rsidRDefault="007F70F3" w:rsidP="00414740">
            <w:pPr>
              <w:pStyle w:val="Tabletext1"/>
              <w:rPr>
                <w:snapToGrid w:val="0"/>
                <w:lang w:eastAsia="en-US"/>
              </w:rPr>
            </w:pPr>
            <w:r w:rsidRPr="00EB5A53">
              <w:rPr>
                <w:snapToGrid w:val="0"/>
                <w:lang w:eastAsia="en-US"/>
              </w:rPr>
              <w:t>Event rate (death</w:t>
            </w:r>
            <w:r w:rsidRPr="0000124A">
              <w:rPr>
                <w:snapToGrid w:val="0"/>
                <w:lang w:eastAsia="en-US"/>
              </w:rPr>
              <w:t>, repeat ablation</w:t>
            </w:r>
            <w:r w:rsidR="00B061EB" w:rsidRPr="00781354">
              <w:rPr>
                <w:snapToGrid w:val="0"/>
                <w:lang w:eastAsia="en-US"/>
              </w:rPr>
              <w:t xml:space="preserve">, </w:t>
            </w:r>
            <w:r w:rsidR="007C68D2" w:rsidRPr="006B33E4">
              <w:rPr>
                <w:snapToGrid w:val="0"/>
                <w:lang w:eastAsia="en-US"/>
              </w:rPr>
              <w:t>progression</w:t>
            </w:r>
            <w:r w:rsidRPr="006B33E4">
              <w:rPr>
                <w:snapToGrid w:val="0"/>
                <w:lang w:eastAsia="en-US"/>
              </w:rPr>
              <w:t>)</w:t>
            </w:r>
          </w:p>
        </w:tc>
        <w:tc>
          <w:tcPr>
            <w:tcW w:w="579" w:type="pct"/>
            <w:shd w:val="clear" w:color="auto" w:fill="auto"/>
          </w:tcPr>
          <w:p w14:paraId="76FEA0D0" w14:textId="77777777" w:rsidR="007F70F3" w:rsidRPr="004D10F1" w:rsidRDefault="007F70F3" w:rsidP="00414740">
            <w:pPr>
              <w:pStyle w:val="Tabletext1"/>
              <w:rPr>
                <w:snapToGrid w:val="0"/>
                <w:lang w:eastAsia="en-US"/>
              </w:rPr>
            </w:pPr>
            <w:r w:rsidRPr="004D10F1">
              <w:rPr>
                <w:snapToGrid w:val="0"/>
                <w:lang w:eastAsia="en-US"/>
              </w:rPr>
              <w:t>Not used</w:t>
            </w:r>
          </w:p>
        </w:tc>
      </w:tr>
      <w:tr w:rsidR="007F70F3" w:rsidRPr="001D54EF" w14:paraId="487C8DBC" w14:textId="77777777" w:rsidTr="000F20E2">
        <w:trPr>
          <w:cantSplit/>
        </w:trPr>
        <w:tc>
          <w:tcPr>
            <w:tcW w:w="643" w:type="pct"/>
            <w:shd w:val="clear" w:color="auto" w:fill="auto"/>
          </w:tcPr>
          <w:p w14:paraId="53B1A3CB" w14:textId="77777777" w:rsidR="007F70F3" w:rsidRPr="001D54EF" w:rsidRDefault="007F70F3" w:rsidP="00253E71">
            <w:pPr>
              <w:pStyle w:val="Tabletext1"/>
              <w:rPr>
                <w:snapToGrid w:val="0"/>
                <w:lang w:eastAsia="en-US"/>
              </w:rPr>
            </w:pPr>
            <w:r w:rsidRPr="001D54EF">
              <w:rPr>
                <w:snapToGrid w:val="0"/>
                <w:lang w:eastAsia="en-US"/>
              </w:rPr>
              <w:t>Zhu et al (2008)</w:t>
            </w:r>
          </w:p>
        </w:tc>
        <w:tc>
          <w:tcPr>
            <w:tcW w:w="454" w:type="pct"/>
            <w:shd w:val="clear" w:color="auto" w:fill="auto"/>
          </w:tcPr>
          <w:p w14:paraId="60E57F5B" w14:textId="77777777" w:rsidR="007F70F3" w:rsidRPr="001D54EF" w:rsidRDefault="007F70F3" w:rsidP="00414740">
            <w:pPr>
              <w:pStyle w:val="Tabletext1"/>
              <w:rPr>
                <w:snapToGrid w:val="0"/>
                <w:lang w:eastAsia="en-US"/>
              </w:rPr>
            </w:pPr>
            <w:r w:rsidRPr="001D54EF">
              <w:rPr>
                <w:snapToGrid w:val="0"/>
                <w:lang w:eastAsia="en-US"/>
              </w:rPr>
              <w:t>833</w:t>
            </w:r>
          </w:p>
          <w:p w14:paraId="5F53B361" w14:textId="77777777" w:rsidR="007F70F3" w:rsidRPr="005F2661" w:rsidRDefault="007F70F3" w:rsidP="00414740">
            <w:pPr>
              <w:pStyle w:val="Tabletext1"/>
              <w:rPr>
                <w:snapToGrid w:val="0"/>
                <w:highlight w:val="cyan"/>
                <w:lang w:eastAsia="en-US"/>
              </w:rPr>
            </w:pPr>
            <w:r w:rsidRPr="005F2661">
              <w:rPr>
                <w:snapToGrid w:val="0"/>
                <w:lang w:eastAsia="en-US"/>
              </w:rPr>
              <w:t>k</w:t>
            </w:r>
            <w:r w:rsidR="00C10752">
              <w:rPr>
                <w:snapToGrid w:val="0"/>
                <w:lang w:eastAsia="en-US"/>
              </w:rPr>
              <w:t xml:space="preserve"> </w:t>
            </w:r>
            <w:r w:rsidRPr="005F2661">
              <w:rPr>
                <w:snapToGrid w:val="0"/>
                <w:lang w:eastAsia="en-US"/>
              </w:rPr>
              <w:t>=</w:t>
            </w:r>
            <w:r w:rsidR="00C10752">
              <w:rPr>
                <w:snapToGrid w:val="0"/>
                <w:lang w:eastAsia="en-US"/>
              </w:rPr>
              <w:t xml:space="preserve"> </w:t>
            </w:r>
            <w:r w:rsidRPr="005F2661">
              <w:rPr>
                <w:snapToGrid w:val="0"/>
                <w:lang w:eastAsia="en-US"/>
              </w:rPr>
              <w:t>16</w:t>
            </w:r>
          </w:p>
        </w:tc>
        <w:tc>
          <w:tcPr>
            <w:tcW w:w="742" w:type="pct"/>
            <w:tcBorders>
              <w:right w:val="single" w:sz="4" w:space="0" w:color="auto"/>
            </w:tcBorders>
            <w:shd w:val="clear" w:color="auto" w:fill="auto"/>
          </w:tcPr>
          <w:p w14:paraId="29156A9B" w14:textId="77777777" w:rsidR="007F70F3" w:rsidRPr="006B33E4" w:rsidRDefault="007F70F3" w:rsidP="00414740">
            <w:pPr>
              <w:pStyle w:val="Tabletext1"/>
              <w:rPr>
                <w:b/>
                <w:snapToGrid w:val="0"/>
              </w:rPr>
            </w:pPr>
            <w:r w:rsidRPr="00F2078A">
              <w:rPr>
                <w:snapToGrid w:val="0"/>
                <w:lang w:eastAsia="en-US"/>
              </w:rPr>
              <w:t>Systematic review</w:t>
            </w:r>
            <w:r w:rsidRPr="0000124A">
              <w:rPr>
                <w:b/>
                <w:snapToGrid w:val="0"/>
              </w:rPr>
              <w:t xml:space="preserve"> </w:t>
            </w:r>
            <w:r w:rsidRPr="00781354">
              <w:rPr>
                <w:snapToGrid w:val="0"/>
              </w:rPr>
              <w:t>of CS</w:t>
            </w:r>
          </w:p>
        </w:tc>
        <w:tc>
          <w:tcPr>
            <w:tcW w:w="446" w:type="pct"/>
            <w:tcBorders>
              <w:left w:val="single" w:sz="4" w:space="0" w:color="auto"/>
              <w:bottom w:val="single" w:sz="4" w:space="0" w:color="auto"/>
              <w:right w:val="single" w:sz="4" w:space="0" w:color="auto"/>
            </w:tcBorders>
            <w:shd w:val="clear" w:color="auto" w:fill="auto"/>
          </w:tcPr>
          <w:p w14:paraId="35A77208" w14:textId="77777777" w:rsidR="007F70F3" w:rsidRPr="004D10F1" w:rsidRDefault="007F70F3" w:rsidP="00414740">
            <w:pPr>
              <w:pStyle w:val="Tabletext1"/>
              <w:rPr>
                <w:snapToGrid w:val="0"/>
                <w:lang w:eastAsia="en-US"/>
              </w:rPr>
            </w:pPr>
            <w:r w:rsidRPr="004D10F1">
              <w:rPr>
                <w:snapToGrid w:val="0"/>
                <w:lang w:eastAsia="en-US"/>
              </w:rPr>
              <w:t>Moderate</w:t>
            </w:r>
          </w:p>
        </w:tc>
        <w:tc>
          <w:tcPr>
            <w:tcW w:w="1386" w:type="pct"/>
            <w:tcBorders>
              <w:left w:val="single" w:sz="4" w:space="0" w:color="auto"/>
              <w:bottom w:val="single" w:sz="4" w:space="0" w:color="auto"/>
              <w:right w:val="single" w:sz="4" w:space="0" w:color="auto"/>
            </w:tcBorders>
            <w:shd w:val="clear" w:color="auto" w:fill="auto"/>
          </w:tcPr>
          <w:p w14:paraId="73CE7FCF" w14:textId="77777777" w:rsidR="007F70F3" w:rsidRPr="00935A6C" w:rsidRDefault="007F70F3" w:rsidP="00414740">
            <w:pPr>
              <w:pStyle w:val="Tabletext1"/>
              <w:rPr>
                <w:snapToGrid w:val="0"/>
                <w:lang w:eastAsia="en-US"/>
              </w:rPr>
            </w:pPr>
            <w:r w:rsidRPr="00935A6C">
              <w:rPr>
                <w:snapToGrid w:val="0"/>
                <w:lang w:eastAsia="en-US"/>
              </w:rPr>
              <w:t>Narrative analysis with descriptive statistics</w:t>
            </w:r>
          </w:p>
        </w:tc>
        <w:tc>
          <w:tcPr>
            <w:tcW w:w="749" w:type="pct"/>
            <w:tcBorders>
              <w:left w:val="single" w:sz="4" w:space="0" w:color="auto"/>
              <w:bottom w:val="single" w:sz="4" w:space="0" w:color="auto"/>
            </w:tcBorders>
            <w:shd w:val="clear" w:color="auto" w:fill="auto"/>
          </w:tcPr>
          <w:p w14:paraId="540A1F69" w14:textId="77777777" w:rsidR="007F70F3" w:rsidRPr="009616D3" w:rsidRDefault="007F70F3" w:rsidP="00414740">
            <w:pPr>
              <w:pStyle w:val="Tabletext1"/>
              <w:rPr>
                <w:snapToGrid w:val="0"/>
                <w:lang w:eastAsia="en-US"/>
              </w:rPr>
            </w:pPr>
            <w:r w:rsidRPr="009616D3">
              <w:rPr>
                <w:snapToGrid w:val="0"/>
                <w:lang w:eastAsia="en-US"/>
              </w:rPr>
              <w:t>Adverse events</w:t>
            </w:r>
          </w:p>
        </w:tc>
        <w:tc>
          <w:tcPr>
            <w:tcW w:w="579" w:type="pct"/>
            <w:shd w:val="clear" w:color="auto" w:fill="auto"/>
          </w:tcPr>
          <w:p w14:paraId="2363D8B0" w14:textId="77777777" w:rsidR="007F70F3" w:rsidRPr="001D54EF" w:rsidRDefault="007F70F3" w:rsidP="00414740">
            <w:pPr>
              <w:pStyle w:val="Tabletext1"/>
              <w:rPr>
                <w:snapToGrid w:val="0"/>
                <w:highlight w:val="cyan"/>
                <w:lang w:eastAsia="en-US"/>
              </w:rPr>
            </w:pPr>
            <w:r w:rsidRPr="009616D3">
              <w:rPr>
                <w:snapToGrid w:val="0"/>
                <w:lang w:eastAsia="en-US"/>
              </w:rPr>
              <w:t>Not used</w:t>
            </w:r>
          </w:p>
        </w:tc>
      </w:tr>
      <w:tr w:rsidR="008269AB" w:rsidRPr="001D54EF" w14:paraId="04611A2D" w14:textId="77777777" w:rsidTr="000F20E2">
        <w:trPr>
          <w:cantSplit/>
        </w:trPr>
        <w:tc>
          <w:tcPr>
            <w:tcW w:w="643" w:type="pct"/>
            <w:shd w:val="clear" w:color="auto" w:fill="auto"/>
          </w:tcPr>
          <w:p w14:paraId="6D564F2B" w14:textId="77777777" w:rsidR="008269AB" w:rsidRPr="001D54EF" w:rsidRDefault="008269AB" w:rsidP="00253E71">
            <w:pPr>
              <w:pStyle w:val="TableText0"/>
              <w:keepNext w:val="0"/>
              <w:widowControl w:val="0"/>
              <w:spacing w:before="60" w:after="60"/>
              <w:jc w:val="left"/>
              <w:rPr>
                <w:snapToGrid w:val="0"/>
                <w:szCs w:val="20"/>
              </w:rPr>
            </w:pPr>
            <w:r w:rsidRPr="001D54EF">
              <w:rPr>
                <w:snapToGrid w:val="0"/>
                <w:szCs w:val="20"/>
              </w:rPr>
              <w:t>Meta-analysis/</w:t>
            </w:r>
            <w:r w:rsidR="005013B8" w:rsidRPr="001D54EF">
              <w:rPr>
                <w:snapToGrid w:val="0"/>
                <w:szCs w:val="20"/>
              </w:rPr>
              <w:t xml:space="preserve"> </w:t>
            </w:r>
            <w:r w:rsidRPr="001D54EF">
              <w:rPr>
                <w:snapToGrid w:val="0"/>
                <w:szCs w:val="20"/>
              </w:rPr>
              <w:t>pooling</w:t>
            </w:r>
          </w:p>
        </w:tc>
        <w:tc>
          <w:tcPr>
            <w:tcW w:w="454" w:type="pct"/>
            <w:shd w:val="clear" w:color="auto" w:fill="auto"/>
          </w:tcPr>
          <w:p w14:paraId="232817B7" w14:textId="77777777" w:rsidR="008269AB" w:rsidRPr="005F2661" w:rsidRDefault="0076128B" w:rsidP="00414740">
            <w:pPr>
              <w:pStyle w:val="TableText0"/>
              <w:keepNext w:val="0"/>
              <w:widowControl w:val="0"/>
              <w:spacing w:before="60" w:after="60"/>
              <w:jc w:val="left"/>
              <w:rPr>
                <w:snapToGrid w:val="0"/>
                <w:szCs w:val="20"/>
              </w:rPr>
            </w:pPr>
            <w:r w:rsidRPr="005F2661">
              <w:rPr>
                <w:snapToGrid w:val="0"/>
                <w:szCs w:val="20"/>
              </w:rPr>
              <w:t>387</w:t>
            </w:r>
          </w:p>
          <w:p w14:paraId="54227AF5" w14:textId="77777777" w:rsidR="008269AB" w:rsidRPr="006E71B4" w:rsidRDefault="0076128B" w:rsidP="00414740">
            <w:pPr>
              <w:pStyle w:val="TableText0"/>
              <w:keepNext w:val="0"/>
              <w:widowControl w:val="0"/>
              <w:spacing w:before="60" w:after="60"/>
              <w:jc w:val="left"/>
              <w:rPr>
                <w:snapToGrid w:val="0"/>
                <w:szCs w:val="20"/>
              </w:rPr>
            </w:pPr>
            <w:r w:rsidRPr="00F2078A">
              <w:rPr>
                <w:snapToGrid w:val="0"/>
                <w:szCs w:val="20"/>
              </w:rPr>
              <w:t>9</w:t>
            </w:r>
            <w:r w:rsidR="008269AB" w:rsidRPr="006E71B4">
              <w:rPr>
                <w:snapToGrid w:val="0"/>
                <w:szCs w:val="20"/>
              </w:rPr>
              <w:t xml:space="preserve"> studies</w:t>
            </w:r>
          </w:p>
        </w:tc>
        <w:tc>
          <w:tcPr>
            <w:tcW w:w="742" w:type="pct"/>
            <w:tcBorders>
              <w:right w:val="nil"/>
            </w:tcBorders>
            <w:shd w:val="clear" w:color="auto" w:fill="auto"/>
          </w:tcPr>
          <w:p w14:paraId="49D3DAAD" w14:textId="77777777" w:rsidR="008269AB" w:rsidRPr="00642604" w:rsidRDefault="008269AB" w:rsidP="00414740">
            <w:pPr>
              <w:pStyle w:val="TableText0"/>
              <w:keepNext w:val="0"/>
              <w:widowControl w:val="0"/>
              <w:spacing w:before="60" w:after="60"/>
              <w:jc w:val="left"/>
              <w:rPr>
                <w:snapToGrid w:val="0"/>
                <w:szCs w:val="20"/>
              </w:rPr>
            </w:pPr>
          </w:p>
        </w:tc>
        <w:tc>
          <w:tcPr>
            <w:tcW w:w="446" w:type="pct"/>
            <w:tcBorders>
              <w:left w:val="nil"/>
              <w:right w:val="nil"/>
            </w:tcBorders>
            <w:shd w:val="clear" w:color="auto" w:fill="auto"/>
          </w:tcPr>
          <w:p w14:paraId="5F78F83C" w14:textId="77777777" w:rsidR="008269AB" w:rsidRPr="00642604" w:rsidRDefault="008269AB" w:rsidP="00414740">
            <w:pPr>
              <w:pStyle w:val="TableText0"/>
              <w:keepNext w:val="0"/>
              <w:widowControl w:val="0"/>
              <w:spacing w:before="60" w:after="60"/>
              <w:jc w:val="left"/>
              <w:rPr>
                <w:snapToGrid w:val="0"/>
                <w:szCs w:val="20"/>
              </w:rPr>
            </w:pPr>
          </w:p>
        </w:tc>
        <w:tc>
          <w:tcPr>
            <w:tcW w:w="1386" w:type="pct"/>
            <w:tcBorders>
              <w:left w:val="nil"/>
              <w:right w:val="nil"/>
            </w:tcBorders>
            <w:shd w:val="clear" w:color="auto" w:fill="auto"/>
          </w:tcPr>
          <w:p w14:paraId="3ED80A63" w14:textId="77777777" w:rsidR="008269AB" w:rsidRPr="00351105" w:rsidRDefault="008269AB" w:rsidP="00414740">
            <w:pPr>
              <w:pStyle w:val="TableText0"/>
              <w:keepNext w:val="0"/>
              <w:widowControl w:val="0"/>
              <w:spacing w:before="60" w:after="60"/>
              <w:jc w:val="left"/>
              <w:rPr>
                <w:szCs w:val="20"/>
              </w:rPr>
            </w:pPr>
            <w:r w:rsidRPr="001C2967">
              <w:rPr>
                <w:snapToGrid w:val="0"/>
                <w:szCs w:val="20"/>
              </w:rPr>
              <w:t>Where possible n/N (%) for adverse events ha</w:t>
            </w:r>
            <w:r w:rsidRPr="00EB5A53">
              <w:rPr>
                <w:snapToGrid w:val="0"/>
                <w:szCs w:val="20"/>
              </w:rPr>
              <w:t>s been calculated across all studies. Measures of central tendency and associated measures of variance have been reported if applicable</w:t>
            </w:r>
          </w:p>
        </w:tc>
        <w:tc>
          <w:tcPr>
            <w:tcW w:w="749" w:type="pct"/>
            <w:tcBorders>
              <w:left w:val="nil"/>
            </w:tcBorders>
            <w:shd w:val="clear" w:color="auto" w:fill="auto"/>
          </w:tcPr>
          <w:p w14:paraId="011343B9" w14:textId="77777777" w:rsidR="008269AB" w:rsidRPr="0000124A" w:rsidRDefault="008269AB" w:rsidP="00414740">
            <w:pPr>
              <w:pStyle w:val="TableText0"/>
              <w:keepNext w:val="0"/>
              <w:widowControl w:val="0"/>
              <w:spacing w:before="60" w:after="60"/>
              <w:jc w:val="left"/>
              <w:rPr>
                <w:szCs w:val="20"/>
              </w:rPr>
            </w:pPr>
          </w:p>
        </w:tc>
        <w:tc>
          <w:tcPr>
            <w:tcW w:w="579" w:type="pct"/>
            <w:shd w:val="clear" w:color="auto" w:fill="auto"/>
          </w:tcPr>
          <w:p w14:paraId="5B19B5D2" w14:textId="77777777" w:rsidR="008269AB" w:rsidRPr="0000124A" w:rsidRDefault="008269AB" w:rsidP="00414740">
            <w:pPr>
              <w:pStyle w:val="TableText0"/>
              <w:keepNext w:val="0"/>
              <w:widowControl w:val="0"/>
              <w:spacing w:before="60" w:after="60"/>
              <w:jc w:val="left"/>
              <w:rPr>
                <w:snapToGrid w:val="0"/>
                <w:szCs w:val="20"/>
              </w:rPr>
            </w:pPr>
            <w:r w:rsidRPr="0000124A">
              <w:rPr>
                <w:snapToGrid w:val="0"/>
                <w:szCs w:val="20"/>
              </w:rPr>
              <w:t>Not used</w:t>
            </w:r>
          </w:p>
        </w:tc>
      </w:tr>
    </w:tbl>
    <w:p w14:paraId="1C35E9F8" w14:textId="59FE3FC3" w:rsidR="007F70F3" w:rsidRPr="007F70F3" w:rsidRDefault="00A14D16" w:rsidP="008063EA">
      <w:pPr>
        <w:pStyle w:val="Tablenotes0"/>
      </w:pPr>
      <w:r>
        <w:t xml:space="preserve">&lt; </w:t>
      </w:r>
      <w:r w:rsidR="007F70F3" w:rsidRPr="007F70F3">
        <w:t>CS = case series</w:t>
      </w:r>
      <w:r w:rsidR="00A20C2E">
        <w:t>;</w:t>
      </w:r>
      <w:r w:rsidR="007F70F3" w:rsidRPr="007F70F3">
        <w:t xml:space="preserve"> ECOG = Eastern Cooperative Oncology Group</w:t>
      </w:r>
      <w:r w:rsidR="00A20C2E">
        <w:t>;</w:t>
      </w:r>
      <w:r w:rsidR="00A20C2E" w:rsidRPr="00A20C2E">
        <w:t xml:space="preserve"> mm</w:t>
      </w:r>
      <w:r w:rsidR="00FA74C7">
        <w:t xml:space="preserve"> </w:t>
      </w:r>
      <w:r w:rsidR="00A20C2E" w:rsidRPr="00A20C2E">
        <w:t>=</w:t>
      </w:r>
      <w:r w:rsidR="00FA74C7">
        <w:t xml:space="preserve"> </w:t>
      </w:r>
      <w:r w:rsidR="00A20C2E" w:rsidRPr="00A20C2E">
        <w:t>millimetres</w:t>
      </w:r>
      <w:r w:rsidR="00A20C2E">
        <w:t>;</w:t>
      </w:r>
      <w:r w:rsidR="002F591C">
        <w:t xml:space="preserve"> </w:t>
      </w:r>
      <w:r w:rsidR="00A20C2E" w:rsidRPr="00A20C2E">
        <w:t>n/N (%)</w:t>
      </w:r>
      <w:r w:rsidR="00FA74C7">
        <w:t xml:space="preserve"> </w:t>
      </w:r>
      <w:r w:rsidR="00A20C2E" w:rsidRPr="00A20C2E">
        <w:t>= number with event/ total (percentage)</w:t>
      </w:r>
      <w:r w:rsidR="00A20C2E">
        <w:t xml:space="preserve">; </w:t>
      </w:r>
      <w:r w:rsidR="007F70F3" w:rsidRPr="007F70F3">
        <w:t>NR = not reported</w:t>
      </w:r>
      <w:r w:rsidR="00A20C2E">
        <w:t>;</w:t>
      </w:r>
      <w:r w:rsidR="007F70F3" w:rsidRPr="007F70F3">
        <w:t xml:space="preserve"> NSCLC = non-small cell lung cancer</w:t>
      </w:r>
      <w:r w:rsidR="00A20C2E">
        <w:t>;</w:t>
      </w:r>
      <w:r w:rsidR="007F70F3" w:rsidRPr="007F70F3">
        <w:t xml:space="preserve"> </w:t>
      </w:r>
      <w:r w:rsidR="005C22E0">
        <w:t xml:space="preserve">PF = progression-free; </w:t>
      </w:r>
      <w:r w:rsidR="007F70F3" w:rsidRPr="007F70F3">
        <w:t>RFA = radiofrequency ablation</w:t>
      </w:r>
      <w:r w:rsidR="00A20C2E">
        <w:t>;</w:t>
      </w:r>
      <w:r>
        <w:t xml:space="preserve"> RT = radiotherapy &gt;</w:t>
      </w:r>
    </w:p>
    <w:p w14:paraId="5B5D9CB8" w14:textId="2CB882A9" w:rsidR="00C26F6E" w:rsidRDefault="00FF5480" w:rsidP="008063EA">
      <w:pPr>
        <w:pStyle w:val="Tablenotes0"/>
      </w:pPr>
      <w:proofErr w:type="gramStart"/>
      <w:r>
        <w:t>a</w:t>
      </w:r>
      <w:proofErr w:type="gramEnd"/>
      <w:r>
        <w:t xml:space="preserve"> </w:t>
      </w:r>
      <w:r w:rsidR="007F70F3" w:rsidRPr="007F70F3">
        <w:t>unclear if median or mean reported</w:t>
      </w:r>
      <w:r w:rsidR="00FA74C7">
        <w:t>.</w:t>
      </w:r>
    </w:p>
    <w:p w14:paraId="36923759" w14:textId="77777777" w:rsidR="00694004" w:rsidRPr="001B2013" w:rsidRDefault="00694004" w:rsidP="00AC08DB">
      <w:pPr>
        <w:spacing w:before="500"/>
        <w:rPr>
          <w:b/>
          <w:i/>
        </w:rPr>
      </w:pPr>
      <w:r w:rsidRPr="001B2013">
        <w:rPr>
          <w:b/>
          <w:i/>
        </w:rPr>
        <w:t>Population two</w:t>
      </w:r>
    </w:p>
    <w:p w14:paraId="22622F38" w14:textId="1B1B96E8" w:rsidR="009B17C9" w:rsidRDefault="00075E99" w:rsidP="009B17C9">
      <w:r>
        <w:t>T</w:t>
      </w:r>
      <w:r w:rsidR="002922FB">
        <w:t>en</w:t>
      </w:r>
      <w:r w:rsidR="00C8690E">
        <w:t xml:space="preserve"> </w:t>
      </w:r>
      <w:r w:rsidR="00BC2B68">
        <w:t>case series</w:t>
      </w:r>
      <w:r w:rsidR="00C8690E">
        <w:t xml:space="preserve"> </w:t>
      </w:r>
      <w:r w:rsidR="009C56F0">
        <w:t xml:space="preserve">studies </w:t>
      </w:r>
      <w:r w:rsidR="00C8690E">
        <w:t xml:space="preserve">involving </w:t>
      </w:r>
      <w:r w:rsidR="002922FB">
        <w:t>997</w:t>
      </w:r>
      <w:r w:rsidR="00C8690E">
        <w:t xml:space="preserve"> patients met the inclusion criteria for population </w:t>
      </w:r>
      <w:r w:rsidR="00097D69">
        <w:t>two</w:t>
      </w:r>
      <w:r w:rsidR="00FE25A3">
        <w:t xml:space="preserve">. </w:t>
      </w:r>
      <w:r w:rsidR="00B72C02" w:rsidRPr="005E6A72">
        <w:t xml:space="preserve">The included </w:t>
      </w:r>
      <w:r w:rsidR="00097D69">
        <w:t>sample</w:t>
      </w:r>
      <w:r w:rsidR="00BE68AB">
        <w:t xml:space="preserve"> </w:t>
      </w:r>
      <w:r w:rsidR="00097D69">
        <w:t>populations</w:t>
      </w:r>
      <w:r w:rsidR="00B72C02" w:rsidRPr="005E6A72">
        <w:t xml:space="preserve"> were diverse, even after accounting for the strict study inclusion criteria. </w:t>
      </w:r>
      <w:r w:rsidR="001A5969">
        <w:t>The high degree of v</w:t>
      </w:r>
      <w:r w:rsidR="00B72C02" w:rsidRPr="005E6A72">
        <w:t xml:space="preserve">ariation was due to </w:t>
      </w:r>
      <w:r w:rsidR="00695E3C">
        <w:t>differences in the</w:t>
      </w:r>
      <w:r w:rsidR="00145A78">
        <w:t xml:space="preserve"> </w:t>
      </w:r>
      <w:r w:rsidR="00B72C02" w:rsidRPr="005E6A72">
        <w:t>stage of primary disease</w:t>
      </w:r>
      <w:r w:rsidR="00150703">
        <w:t xml:space="preserve"> (T</w:t>
      </w:r>
      <w:r w:rsidR="002B6838">
        <w:t>1</w:t>
      </w:r>
      <w:r w:rsidR="00D35E9C">
        <w:t>–</w:t>
      </w:r>
      <w:r w:rsidR="00150703">
        <w:t>T4</w:t>
      </w:r>
      <w:r w:rsidR="00564923">
        <w:t>)</w:t>
      </w:r>
      <w:r w:rsidR="00B72C02" w:rsidRPr="005E6A72">
        <w:t xml:space="preserve">, type of primary </w:t>
      </w:r>
      <w:r w:rsidR="001E3A4F">
        <w:t>cancer</w:t>
      </w:r>
      <w:r w:rsidR="007B5972">
        <w:t xml:space="preserve"> (</w:t>
      </w:r>
      <w:r w:rsidR="004F604D">
        <w:t>liver</w:t>
      </w:r>
      <w:r w:rsidR="007B5972">
        <w:t xml:space="preserve">, </w:t>
      </w:r>
      <w:r w:rsidR="004F604D">
        <w:t>colorectal</w:t>
      </w:r>
      <w:r w:rsidR="007B5972">
        <w:t xml:space="preserve">, sarcoma, </w:t>
      </w:r>
      <w:r w:rsidR="002B6838">
        <w:t xml:space="preserve">breast, kidney, </w:t>
      </w:r>
      <w:r w:rsidR="007B5972">
        <w:t>other)</w:t>
      </w:r>
      <w:r w:rsidR="00B72C02" w:rsidRPr="005E6A72">
        <w:t xml:space="preserve">, </w:t>
      </w:r>
      <w:r w:rsidR="00085FC1">
        <w:t>median</w:t>
      </w:r>
      <w:r w:rsidR="005A11A8">
        <w:t xml:space="preserve"> </w:t>
      </w:r>
      <w:r w:rsidR="00B72C02" w:rsidRPr="005E6A72">
        <w:t>age di</w:t>
      </w:r>
      <w:r w:rsidR="00B72C02">
        <w:t>stribution</w:t>
      </w:r>
      <w:r w:rsidR="005E09DB">
        <w:t xml:space="preserve"> (</w:t>
      </w:r>
      <w:r w:rsidR="0025454C">
        <w:t xml:space="preserve">median 62 years, </w:t>
      </w:r>
      <w:r w:rsidR="005250C6">
        <w:t xml:space="preserve">range </w:t>
      </w:r>
      <w:r w:rsidR="0025454C">
        <w:t>48</w:t>
      </w:r>
      <w:r w:rsidR="00D35E9C">
        <w:t>–</w:t>
      </w:r>
      <w:r w:rsidR="0025454C">
        <w:t>75</w:t>
      </w:r>
      <w:r w:rsidR="005E09DB">
        <w:t xml:space="preserve"> years)</w:t>
      </w:r>
      <w:r w:rsidR="006970EE">
        <w:t>, and</w:t>
      </w:r>
      <w:r w:rsidR="001F27DB">
        <w:t xml:space="preserve"> </w:t>
      </w:r>
      <w:r w:rsidR="006970EE">
        <w:t>i</w:t>
      </w:r>
      <w:r w:rsidR="001F27DB">
        <w:t xml:space="preserve">mportantly, </w:t>
      </w:r>
      <w:r w:rsidR="00B72C02">
        <w:t xml:space="preserve">treatment strategies for pulmonary metastases </w:t>
      </w:r>
      <w:r w:rsidR="005D71E8">
        <w:t>pre- and post-</w:t>
      </w:r>
      <w:r w:rsidR="00B72C02">
        <w:t>RFA.</w:t>
      </w:r>
      <w:r w:rsidR="0041207D">
        <w:t xml:space="preserve"> </w:t>
      </w:r>
      <w:r w:rsidR="009B17C9">
        <w:t>The lack of uniformity in pre-RFA treatment strategies was indicative of the retrospective nature of the included studies</w:t>
      </w:r>
      <w:r w:rsidR="00814AC1">
        <w:t>, in which</w:t>
      </w:r>
      <w:r w:rsidR="009B17C9">
        <w:t xml:space="preserve"> RFA was not typically used as a first-line therapy, but after surgery was refused or </w:t>
      </w:r>
      <w:r w:rsidR="00485DD5">
        <w:t xml:space="preserve">deemed </w:t>
      </w:r>
      <w:r w:rsidR="009B17C9">
        <w:t xml:space="preserve">non-feasible. </w:t>
      </w:r>
      <w:r w:rsidR="001B3EE5">
        <w:t xml:space="preserve">Due to these key differences between studies, </w:t>
      </w:r>
      <w:r w:rsidR="00A6107D">
        <w:t xml:space="preserve">it is difficult to </w:t>
      </w:r>
      <w:r w:rsidR="00A6107D" w:rsidRPr="00927FBF">
        <w:t xml:space="preserve">determine </w:t>
      </w:r>
      <w:r w:rsidR="001B3EE5" w:rsidRPr="00927FBF">
        <w:t xml:space="preserve">whether </w:t>
      </w:r>
      <w:r w:rsidR="00F64842">
        <w:t xml:space="preserve">the estimated </w:t>
      </w:r>
      <w:r w:rsidR="001B3EE5" w:rsidRPr="00927FBF">
        <w:t xml:space="preserve">survival </w:t>
      </w:r>
      <w:r w:rsidR="00F64842">
        <w:t>rates can be attributed</w:t>
      </w:r>
      <w:r w:rsidR="001B3EE5" w:rsidRPr="00927FBF">
        <w:t xml:space="preserve"> to treatment</w:t>
      </w:r>
      <w:r w:rsidR="00927FBF">
        <w:t xml:space="preserve"> effects from RFA</w:t>
      </w:r>
      <w:r w:rsidR="001B3EE5" w:rsidRPr="00927FBF">
        <w:t xml:space="preserve">, </w:t>
      </w:r>
      <w:r w:rsidR="00874F88">
        <w:t xml:space="preserve">pre- or post-RFA therapies, </w:t>
      </w:r>
      <w:r w:rsidR="001B3EE5" w:rsidRPr="00927FBF">
        <w:t>or</w:t>
      </w:r>
      <w:r w:rsidR="00F64842">
        <w:t xml:space="preserve"> if they reflect the natural history of this</w:t>
      </w:r>
      <w:r w:rsidR="001B3EE5" w:rsidRPr="00927FBF">
        <w:t xml:space="preserve"> </w:t>
      </w:r>
      <w:r w:rsidR="001F1150">
        <w:t>highly selected population (i.e. limited metasta</w:t>
      </w:r>
      <w:r w:rsidR="004F544F">
        <w:t>s</w:t>
      </w:r>
      <w:r w:rsidR="001F1150">
        <w:t>es, primary under control</w:t>
      </w:r>
      <w:r w:rsidR="00E1767F">
        <w:t xml:space="preserve">, </w:t>
      </w:r>
      <w:r w:rsidR="002A74D8">
        <w:t xml:space="preserve">good performance status, </w:t>
      </w:r>
      <w:r w:rsidR="00CA6DFD">
        <w:lastRenderedPageBreak/>
        <w:t>etc.</w:t>
      </w:r>
      <w:r w:rsidR="001F1150">
        <w:t>).</w:t>
      </w:r>
      <w:r w:rsidR="00E372B3">
        <w:t xml:space="preserve"> Due to the prese</w:t>
      </w:r>
      <w:r w:rsidR="00E60849">
        <w:t xml:space="preserve">nce of significant confounders that </w:t>
      </w:r>
      <w:r w:rsidR="00E372B3">
        <w:t xml:space="preserve">have not been </w:t>
      </w:r>
      <w:r w:rsidR="00E60849">
        <w:t>adjusted</w:t>
      </w:r>
      <w:r w:rsidR="00E372B3">
        <w:t xml:space="preserve"> for in the primary studies, the impact of RF</w:t>
      </w:r>
      <w:r w:rsidR="00033995">
        <w:t xml:space="preserve">A on survival </w:t>
      </w:r>
      <w:r w:rsidR="00A45ED6">
        <w:t>is unclear based on the included evidence.</w:t>
      </w:r>
    </w:p>
    <w:p w14:paraId="2BBA41AD" w14:textId="77777777" w:rsidR="00694004" w:rsidRPr="007F70F3" w:rsidRDefault="00694004" w:rsidP="001163D9">
      <w:pPr>
        <w:pStyle w:val="TableHeading"/>
        <w:rPr>
          <w:snapToGrid w:val="0"/>
          <w:lang w:eastAsia="en-US"/>
        </w:rPr>
      </w:pPr>
      <w:bookmarkStart w:id="253" w:name="_Toc460514692"/>
      <w:r w:rsidRPr="001163D9">
        <w:t xml:space="preserve">Table </w:t>
      </w:r>
      <w:fldSimple w:instr=" SEQ Table \* ARABIC ">
        <w:r w:rsidR="00D170A5">
          <w:rPr>
            <w:noProof/>
          </w:rPr>
          <w:t>34</w:t>
        </w:r>
      </w:fldSimple>
      <w:r w:rsidRPr="001163D9">
        <w:tab/>
      </w:r>
      <w:r w:rsidR="003E38A5">
        <w:rPr>
          <w:snapToGrid w:val="0"/>
          <w:lang w:eastAsia="en-US"/>
        </w:rPr>
        <w:t>Characteristics</w:t>
      </w:r>
      <w:r w:rsidR="003E38A5" w:rsidRPr="001B7083">
        <w:rPr>
          <w:snapToGrid w:val="0"/>
          <w:lang w:eastAsia="en-US"/>
        </w:rPr>
        <w:t xml:space="preserve"> </w:t>
      </w:r>
      <w:r w:rsidRPr="001163D9">
        <w:rPr>
          <w:snapToGrid w:val="0"/>
          <w:lang w:eastAsia="en-US"/>
        </w:rPr>
        <w:t>of the included evidence for RFA in population two</w:t>
      </w:r>
      <w:bookmarkEnd w:id="253"/>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165"/>
        <w:gridCol w:w="781"/>
        <w:gridCol w:w="1445"/>
        <w:gridCol w:w="750"/>
        <w:gridCol w:w="2508"/>
        <w:gridCol w:w="1318"/>
        <w:gridCol w:w="1088"/>
      </w:tblGrid>
      <w:tr w:rsidR="00694004" w:rsidRPr="001D54EF" w14:paraId="2FC7A5BC" w14:textId="77777777" w:rsidTr="007E44CD">
        <w:trPr>
          <w:cantSplit/>
          <w:tblHeader/>
        </w:trPr>
        <w:tc>
          <w:tcPr>
            <w:tcW w:w="643" w:type="pct"/>
            <w:shd w:val="clear" w:color="auto" w:fill="D9D9D9" w:themeFill="background1" w:themeFillShade="D9"/>
            <w:vAlign w:val="bottom"/>
          </w:tcPr>
          <w:p w14:paraId="23764485" w14:textId="77777777" w:rsidR="00694004" w:rsidRPr="001D54EF" w:rsidRDefault="00694004" w:rsidP="007E44CD">
            <w:pPr>
              <w:pStyle w:val="Tabletext1"/>
              <w:rPr>
                <w:b/>
                <w:snapToGrid w:val="0"/>
                <w:lang w:eastAsia="en-US"/>
              </w:rPr>
            </w:pPr>
            <w:r w:rsidRPr="001D54EF">
              <w:rPr>
                <w:b/>
                <w:snapToGrid w:val="0"/>
                <w:lang w:eastAsia="en-US"/>
              </w:rPr>
              <w:t>Study</w:t>
            </w:r>
          </w:p>
        </w:tc>
        <w:tc>
          <w:tcPr>
            <w:tcW w:w="431" w:type="pct"/>
            <w:shd w:val="clear" w:color="auto" w:fill="D9D9D9" w:themeFill="background1" w:themeFillShade="D9"/>
            <w:vAlign w:val="bottom"/>
          </w:tcPr>
          <w:p w14:paraId="0B2F5E6A" w14:textId="77777777" w:rsidR="00694004" w:rsidRPr="001D54EF" w:rsidRDefault="00694004" w:rsidP="00414740">
            <w:pPr>
              <w:pStyle w:val="Tabletext1"/>
              <w:rPr>
                <w:b/>
                <w:snapToGrid w:val="0"/>
                <w:lang w:eastAsia="en-US"/>
              </w:rPr>
            </w:pPr>
            <w:r w:rsidRPr="001D54EF">
              <w:rPr>
                <w:b/>
                <w:snapToGrid w:val="0"/>
                <w:lang w:eastAsia="en-US"/>
              </w:rPr>
              <w:t>N (lesions)</w:t>
            </w:r>
          </w:p>
        </w:tc>
        <w:tc>
          <w:tcPr>
            <w:tcW w:w="798" w:type="pct"/>
            <w:shd w:val="clear" w:color="auto" w:fill="D9D9D9" w:themeFill="background1" w:themeFillShade="D9"/>
            <w:vAlign w:val="bottom"/>
          </w:tcPr>
          <w:p w14:paraId="3345AF8C" w14:textId="77777777" w:rsidR="00694004" w:rsidRPr="005F2661" w:rsidRDefault="00694004" w:rsidP="00414740">
            <w:pPr>
              <w:pStyle w:val="Tabletext1"/>
              <w:rPr>
                <w:b/>
                <w:snapToGrid w:val="0"/>
                <w:lang w:eastAsia="en-US"/>
              </w:rPr>
            </w:pPr>
            <w:r w:rsidRPr="005F2661">
              <w:rPr>
                <w:b/>
                <w:snapToGrid w:val="0"/>
                <w:lang w:eastAsia="en-US"/>
              </w:rPr>
              <w:t>Design;</w:t>
            </w:r>
          </w:p>
          <w:p w14:paraId="136C59B1" w14:textId="77777777" w:rsidR="00694004" w:rsidRPr="00F2078A" w:rsidRDefault="00694004" w:rsidP="00414740">
            <w:pPr>
              <w:pStyle w:val="Tabletext1"/>
              <w:rPr>
                <w:b/>
                <w:snapToGrid w:val="0"/>
                <w:vertAlign w:val="superscript"/>
                <w:lang w:eastAsia="en-US"/>
              </w:rPr>
            </w:pPr>
            <w:r w:rsidRPr="005F2661">
              <w:rPr>
                <w:b/>
                <w:snapToGrid w:val="0"/>
                <w:lang w:eastAsia="en-US"/>
              </w:rPr>
              <w:t>Median follow up (range)</w:t>
            </w:r>
          </w:p>
        </w:tc>
        <w:tc>
          <w:tcPr>
            <w:tcW w:w="414" w:type="pct"/>
            <w:shd w:val="clear" w:color="auto" w:fill="D9D9D9" w:themeFill="background1" w:themeFillShade="D9"/>
            <w:vAlign w:val="bottom"/>
          </w:tcPr>
          <w:p w14:paraId="3EB987E2" w14:textId="77777777" w:rsidR="00694004" w:rsidRPr="00642604" w:rsidRDefault="00694004" w:rsidP="00414740">
            <w:pPr>
              <w:pStyle w:val="Tabletext1"/>
              <w:rPr>
                <w:b/>
                <w:snapToGrid w:val="0"/>
                <w:lang w:eastAsia="en-US"/>
              </w:rPr>
            </w:pPr>
            <w:r w:rsidRPr="00642604">
              <w:rPr>
                <w:b/>
                <w:snapToGrid w:val="0"/>
                <w:lang w:eastAsia="en-US"/>
              </w:rPr>
              <w:t>Risk of bias</w:t>
            </w:r>
          </w:p>
        </w:tc>
        <w:tc>
          <w:tcPr>
            <w:tcW w:w="1385" w:type="pct"/>
            <w:shd w:val="clear" w:color="auto" w:fill="D9D9D9" w:themeFill="background1" w:themeFillShade="D9"/>
            <w:vAlign w:val="bottom"/>
          </w:tcPr>
          <w:p w14:paraId="6E9EC5DC" w14:textId="77777777" w:rsidR="00694004" w:rsidRPr="00642604" w:rsidRDefault="00694004" w:rsidP="00414740">
            <w:pPr>
              <w:pStyle w:val="Tabletext1"/>
              <w:rPr>
                <w:b/>
                <w:snapToGrid w:val="0"/>
                <w:lang w:eastAsia="en-US"/>
              </w:rPr>
            </w:pPr>
            <w:r w:rsidRPr="00642604">
              <w:rPr>
                <w:b/>
                <w:snapToGrid w:val="0"/>
                <w:lang w:eastAsia="en-US"/>
              </w:rPr>
              <w:t>Population</w:t>
            </w:r>
          </w:p>
        </w:tc>
        <w:tc>
          <w:tcPr>
            <w:tcW w:w="728" w:type="pct"/>
            <w:shd w:val="clear" w:color="auto" w:fill="D9D9D9" w:themeFill="background1" w:themeFillShade="D9"/>
            <w:vAlign w:val="bottom"/>
          </w:tcPr>
          <w:p w14:paraId="5C19842D" w14:textId="77777777" w:rsidR="00694004" w:rsidRPr="001C2967" w:rsidRDefault="00694004" w:rsidP="00414740">
            <w:pPr>
              <w:pStyle w:val="Tabletext1"/>
              <w:rPr>
                <w:b/>
                <w:snapToGrid w:val="0"/>
                <w:lang w:eastAsia="en-US"/>
              </w:rPr>
            </w:pPr>
            <w:r w:rsidRPr="001C2967">
              <w:rPr>
                <w:b/>
                <w:snapToGrid w:val="0"/>
                <w:lang w:eastAsia="en-US"/>
              </w:rPr>
              <w:t>Key</w:t>
            </w:r>
          </w:p>
          <w:p w14:paraId="59F0AAE8" w14:textId="77777777" w:rsidR="00694004" w:rsidRPr="00EB5A53" w:rsidRDefault="00694004" w:rsidP="00414740">
            <w:pPr>
              <w:pStyle w:val="Tabletext1"/>
              <w:rPr>
                <w:b/>
                <w:snapToGrid w:val="0"/>
                <w:lang w:eastAsia="en-US"/>
              </w:rPr>
            </w:pPr>
            <w:r w:rsidRPr="00EB5A53">
              <w:rPr>
                <w:b/>
                <w:snapToGrid w:val="0"/>
                <w:lang w:eastAsia="en-US"/>
              </w:rPr>
              <w:t>outcome(s)</w:t>
            </w:r>
          </w:p>
        </w:tc>
        <w:tc>
          <w:tcPr>
            <w:tcW w:w="601" w:type="pct"/>
            <w:shd w:val="clear" w:color="auto" w:fill="D9D9D9" w:themeFill="background1" w:themeFillShade="D9"/>
            <w:vAlign w:val="bottom"/>
          </w:tcPr>
          <w:p w14:paraId="00D96A17" w14:textId="77777777" w:rsidR="00694004" w:rsidRPr="00351105" w:rsidRDefault="00694004" w:rsidP="00414740">
            <w:pPr>
              <w:pStyle w:val="Tabletext1"/>
              <w:rPr>
                <w:b/>
                <w:snapToGrid w:val="0"/>
                <w:lang w:eastAsia="en-US"/>
              </w:rPr>
            </w:pPr>
            <w:r w:rsidRPr="00351105">
              <w:rPr>
                <w:b/>
                <w:snapToGrid w:val="0"/>
                <w:lang w:eastAsia="en-US"/>
              </w:rPr>
              <w:t>Result used in economic model</w:t>
            </w:r>
          </w:p>
        </w:tc>
      </w:tr>
      <w:tr w:rsidR="00694004" w:rsidRPr="001D54EF" w14:paraId="6A54FDBF" w14:textId="77777777" w:rsidTr="007E44CD">
        <w:trPr>
          <w:cantSplit/>
        </w:trPr>
        <w:tc>
          <w:tcPr>
            <w:tcW w:w="643" w:type="pct"/>
            <w:shd w:val="clear" w:color="auto" w:fill="auto"/>
          </w:tcPr>
          <w:p w14:paraId="192DEBAD" w14:textId="77777777" w:rsidR="00694004" w:rsidRPr="001D54EF" w:rsidRDefault="00694004" w:rsidP="005C3A89">
            <w:pPr>
              <w:pStyle w:val="Tabletext1"/>
              <w:rPr>
                <w:snapToGrid w:val="0"/>
                <w:lang w:eastAsia="en-US"/>
              </w:rPr>
            </w:pPr>
            <w:r w:rsidRPr="001D54EF">
              <w:rPr>
                <w:snapToGrid w:val="0"/>
                <w:lang w:eastAsia="en-US"/>
              </w:rPr>
              <w:t>de Baere et al (2015)</w:t>
            </w:r>
          </w:p>
        </w:tc>
        <w:tc>
          <w:tcPr>
            <w:tcW w:w="431" w:type="pct"/>
            <w:shd w:val="clear" w:color="auto" w:fill="auto"/>
          </w:tcPr>
          <w:p w14:paraId="11B70AAE" w14:textId="77777777" w:rsidR="00694004" w:rsidRPr="001D54EF" w:rsidRDefault="00694004" w:rsidP="00414740">
            <w:pPr>
              <w:pStyle w:val="Tabletext1"/>
              <w:rPr>
                <w:snapToGrid w:val="0"/>
                <w:lang w:eastAsia="en-US"/>
              </w:rPr>
            </w:pPr>
            <w:r w:rsidRPr="001D54EF">
              <w:rPr>
                <w:snapToGrid w:val="0"/>
                <w:lang w:eastAsia="en-US"/>
              </w:rPr>
              <w:t>566 (1037)</w:t>
            </w:r>
          </w:p>
        </w:tc>
        <w:tc>
          <w:tcPr>
            <w:tcW w:w="798" w:type="pct"/>
            <w:shd w:val="clear" w:color="auto" w:fill="auto"/>
          </w:tcPr>
          <w:p w14:paraId="3621613B" w14:textId="77777777" w:rsidR="00694004" w:rsidRPr="005F2661" w:rsidRDefault="003F1BAB" w:rsidP="00414740">
            <w:pPr>
              <w:pStyle w:val="Tabletext1"/>
              <w:rPr>
                <w:snapToGrid w:val="0"/>
                <w:lang w:eastAsia="en-US"/>
              </w:rPr>
            </w:pPr>
            <w:r w:rsidRPr="005F2661">
              <w:rPr>
                <w:snapToGrid w:val="0"/>
                <w:lang w:eastAsia="en-US"/>
              </w:rPr>
              <w:t>R</w:t>
            </w:r>
            <w:r w:rsidR="00694004" w:rsidRPr="005F2661">
              <w:rPr>
                <w:snapToGrid w:val="0"/>
                <w:lang w:eastAsia="en-US"/>
              </w:rPr>
              <w:t>etrospective CS</w:t>
            </w:r>
          </w:p>
          <w:p w14:paraId="399BF67A" w14:textId="16A14EDA" w:rsidR="00694004" w:rsidRPr="006E71B4" w:rsidRDefault="00694004" w:rsidP="00414740">
            <w:pPr>
              <w:pStyle w:val="Tabletext1"/>
              <w:rPr>
                <w:snapToGrid w:val="0"/>
                <w:lang w:eastAsia="en-US"/>
              </w:rPr>
            </w:pPr>
            <w:r w:rsidRPr="00F2078A">
              <w:rPr>
                <w:snapToGrid w:val="0"/>
                <w:lang w:eastAsia="en-US"/>
              </w:rPr>
              <w:t>36 (IQR 20</w:t>
            </w:r>
            <w:r w:rsidR="00D35E9C">
              <w:rPr>
                <w:snapToGrid w:val="0"/>
                <w:lang w:eastAsia="en-US"/>
              </w:rPr>
              <w:t>–</w:t>
            </w:r>
            <w:r w:rsidRPr="00F2078A">
              <w:rPr>
                <w:snapToGrid w:val="0"/>
                <w:lang w:eastAsia="en-US"/>
              </w:rPr>
              <w:t>55) m</w:t>
            </w:r>
            <w:r w:rsidRPr="006E71B4">
              <w:rPr>
                <w:snapToGrid w:val="0"/>
                <w:lang w:eastAsia="en-US"/>
              </w:rPr>
              <w:t>onths</w:t>
            </w:r>
          </w:p>
        </w:tc>
        <w:tc>
          <w:tcPr>
            <w:tcW w:w="414" w:type="pct"/>
            <w:shd w:val="clear" w:color="auto" w:fill="auto"/>
          </w:tcPr>
          <w:p w14:paraId="2F4B86FB" w14:textId="77777777" w:rsidR="00694004" w:rsidRPr="00642604" w:rsidRDefault="00694004" w:rsidP="00414740">
            <w:pPr>
              <w:pStyle w:val="Tabletext1"/>
              <w:rPr>
                <w:snapToGrid w:val="0"/>
                <w:lang w:eastAsia="en-US"/>
              </w:rPr>
            </w:pPr>
            <w:r w:rsidRPr="00642604">
              <w:rPr>
                <w:snapToGrid w:val="0"/>
                <w:lang w:eastAsia="en-US"/>
              </w:rPr>
              <w:t>High</w:t>
            </w:r>
          </w:p>
        </w:tc>
        <w:tc>
          <w:tcPr>
            <w:tcW w:w="1385" w:type="pct"/>
            <w:shd w:val="clear" w:color="auto" w:fill="auto"/>
          </w:tcPr>
          <w:p w14:paraId="7F860ACB" w14:textId="77777777" w:rsidR="00694004" w:rsidRPr="00642604" w:rsidRDefault="00694004" w:rsidP="00414740">
            <w:pPr>
              <w:pStyle w:val="Tabletext1"/>
              <w:rPr>
                <w:snapToGrid w:val="0"/>
                <w:lang w:eastAsia="en-US"/>
              </w:rPr>
            </w:pPr>
            <w:r w:rsidRPr="00642604">
              <w:rPr>
                <w:snapToGrid w:val="0"/>
                <w:lang w:eastAsia="en-US"/>
              </w:rPr>
              <w:t>Lung metastases, inoperable or refused surgery, amenable to curative therapy</w:t>
            </w:r>
          </w:p>
        </w:tc>
        <w:tc>
          <w:tcPr>
            <w:tcW w:w="728" w:type="pct"/>
            <w:shd w:val="clear" w:color="auto" w:fill="auto"/>
          </w:tcPr>
          <w:p w14:paraId="5459161D" w14:textId="77777777" w:rsidR="00694004" w:rsidRPr="00935A6C" w:rsidRDefault="00694004" w:rsidP="00414740">
            <w:pPr>
              <w:pStyle w:val="Tabletext1"/>
              <w:rPr>
                <w:snapToGrid w:val="0"/>
                <w:lang w:eastAsia="en-US"/>
              </w:rPr>
            </w:pPr>
            <w:r w:rsidRPr="001C2967">
              <w:rPr>
                <w:snapToGrid w:val="0"/>
                <w:lang w:eastAsia="en-US"/>
              </w:rPr>
              <w:t>Overall</w:t>
            </w:r>
            <w:r w:rsidR="000E6DD8" w:rsidRPr="0000124A">
              <w:rPr>
                <w:snapToGrid w:val="0"/>
                <w:lang w:eastAsia="en-US"/>
              </w:rPr>
              <w:t>,</w:t>
            </w:r>
            <w:r w:rsidRPr="0000124A">
              <w:rPr>
                <w:snapToGrid w:val="0"/>
                <w:lang w:eastAsia="en-US"/>
              </w:rPr>
              <w:t xml:space="preserve"> </w:t>
            </w:r>
            <w:r w:rsidR="008F4989" w:rsidRPr="00781354">
              <w:rPr>
                <w:snapToGrid w:val="0"/>
                <w:lang w:eastAsia="en-US"/>
              </w:rPr>
              <w:t>PF</w:t>
            </w:r>
            <w:r w:rsidRPr="006B33E4">
              <w:rPr>
                <w:snapToGrid w:val="0"/>
                <w:lang w:eastAsia="en-US"/>
              </w:rPr>
              <w:t xml:space="preserve"> survival</w:t>
            </w:r>
            <w:r w:rsidR="00E83391" w:rsidRPr="004D10F1">
              <w:rPr>
                <w:snapToGrid w:val="0"/>
                <w:lang w:eastAsia="en-US"/>
              </w:rPr>
              <w:t>, a</w:t>
            </w:r>
            <w:r w:rsidRPr="00935A6C">
              <w:rPr>
                <w:snapToGrid w:val="0"/>
                <w:lang w:eastAsia="en-US"/>
              </w:rPr>
              <w:t>dverse events</w:t>
            </w:r>
          </w:p>
        </w:tc>
        <w:tc>
          <w:tcPr>
            <w:tcW w:w="601" w:type="pct"/>
            <w:shd w:val="clear" w:color="auto" w:fill="auto"/>
          </w:tcPr>
          <w:p w14:paraId="78B246D9" w14:textId="77777777" w:rsidR="00694004" w:rsidRPr="009616D3" w:rsidRDefault="00694004" w:rsidP="00414740">
            <w:pPr>
              <w:pStyle w:val="Tabletext1"/>
              <w:rPr>
                <w:snapToGrid w:val="0"/>
                <w:lang w:eastAsia="en-US"/>
              </w:rPr>
            </w:pPr>
            <w:r w:rsidRPr="009616D3">
              <w:rPr>
                <w:snapToGrid w:val="0"/>
                <w:lang w:eastAsia="en-US"/>
              </w:rPr>
              <w:t>Not used</w:t>
            </w:r>
          </w:p>
        </w:tc>
      </w:tr>
      <w:tr w:rsidR="00694004" w:rsidRPr="001D54EF" w14:paraId="7B8A5BA5" w14:textId="77777777" w:rsidTr="007E44CD">
        <w:trPr>
          <w:cantSplit/>
        </w:trPr>
        <w:tc>
          <w:tcPr>
            <w:tcW w:w="643" w:type="pct"/>
            <w:shd w:val="clear" w:color="auto" w:fill="auto"/>
          </w:tcPr>
          <w:p w14:paraId="59977F99" w14:textId="77777777" w:rsidR="00694004" w:rsidRPr="001D54EF" w:rsidRDefault="00694004" w:rsidP="005C3A89">
            <w:pPr>
              <w:pStyle w:val="Tabletext1"/>
              <w:rPr>
                <w:snapToGrid w:val="0"/>
                <w:lang w:eastAsia="en-US"/>
              </w:rPr>
            </w:pPr>
            <w:r w:rsidRPr="001D54EF">
              <w:rPr>
                <w:snapToGrid w:val="0"/>
                <w:lang w:eastAsia="en-US"/>
              </w:rPr>
              <w:t>Fanucchi et al (2016)</w:t>
            </w:r>
          </w:p>
        </w:tc>
        <w:tc>
          <w:tcPr>
            <w:tcW w:w="431" w:type="pct"/>
            <w:shd w:val="clear" w:color="auto" w:fill="auto"/>
          </w:tcPr>
          <w:p w14:paraId="2406EA0C" w14:textId="77777777" w:rsidR="00694004" w:rsidRPr="001D54EF" w:rsidRDefault="00694004" w:rsidP="00414740">
            <w:pPr>
              <w:pStyle w:val="Tabletext1"/>
              <w:rPr>
                <w:snapToGrid w:val="0"/>
                <w:lang w:eastAsia="en-US"/>
              </w:rPr>
            </w:pPr>
            <w:r w:rsidRPr="001D54EF">
              <w:rPr>
                <w:snapToGrid w:val="0"/>
                <w:lang w:eastAsia="en-US"/>
              </w:rPr>
              <w:t>61 (86)</w:t>
            </w:r>
          </w:p>
        </w:tc>
        <w:tc>
          <w:tcPr>
            <w:tcW w:w="798" w:type="pct"/>
            <w:shd w:val="clear" w:color="auto" w:fill="auto"/>
          </w:tcPr>
          <w:p w14:paraId="384DA38E" w14:textId="77777777" w:rsidR="00694004" w:rsidRPr="005F2661" w:rsidRDefault="003F1BAB" w:rsidP="00414740">
            <w:pPr>
              <w:pStyle w:val="Tabletext1"/>
              <w:rPr>
                <w:snapToGrid w:val="0"/>
                <w:lang w:eastAsia="en-US"/>
              </w:rPr>
            </w:pPr>
            <w:r w:rsidRPr="005F2661">
              <w:rPr>
                <w:snapToGrid w:val="0"/>
                <w:lang w:eastAsia="en-US"/>
              </w:rPr>
              <w:t>R</w:t>
            </w:r>
            <w:r w:rsidR="00694004" w:rsidRPr="005F2661">
              <w:rPr>
                <w:snapToGrid w:val="0"/>
                <w:lang w:eastAsia="en-US"/>
              </w:rPr>
              <w:t>etrospective CS</w:t>
            </w:r>
          </w:p>
          <w:p w14:paraId="15884638" w14:textId="4414192F" w:rsidR="00694004" w:rsidRPr="00F2078A" w:rsidRDefault="00694004" w:rsidP="00414740">
            <w:pPr>
              <w:pStyle w:val="Tabletext1"/>
              <w:rPr>
                <w:snapToGrid w:val="0"/>
                <w:lang w:eastAsia="en-US"/>
              </w:rPr>
            </w:pPr>
            <w:r w:rsidRPr="00F2078A">
              <w:rPr>
                <w:snapToGrid w:val="0"/>
                <w:lang w:eastAsia="en-US"/>
              </w:rPr>
              <w:t>28 (2</w:t>
            </w:r>
            <w:r w:rsidR="00D35E9C">
              <w:rPr>
                <w:snapToGrid w:val="0"/>
                <w:lang w:eastAsia="en-US"/>
              </w:rPr>
              <w:t>–</w:t>
            </w:r>
            <w:r w:rsidRPr="00F2078A">
              <w:rPr>
                <w:snapToGrid w:val="0"/>
                <w:lang w:eastAsia="en-US"/>
              </w:rPr>
              <w:t>126) months</w:t>
            </w:r>
          </w:p>
        </w:tc>
        <w:tc>
          <w:tcPr>
            <w:tcW w:w="414" w:type="pct"/>
            <w:shd w:val="clear" w:color="auto" w:fill="auto"/>
          </w:tcPr>
          <w:p w14:paraId="27FA9EB3" w14:textId="77777777" w:rsidR="00694004" w:rsidRPr="00642604" w:rsidRDefault="00694004" w:rsidP="00414740">
            <w:pPr>
              <w:pStyle w:val="Tabletext1"/>
              <w:rPr>
                <w:snapToGrid w:val="0"/>
                <w:lang w:eastAsia="en-US"/>
              </w:rPr>
            </w:pPr>
            <w:r w:rsidRPr="00642604">
              <w:rPr>
                <w:snapToGrid w:val="0"/>
                <w:lang w:eastAsia="en-US"/>
              </w:rPr>
              <w:t>High</w:t>
            </w:r>
          </w:p>
        </w:tc>
        <w:tc>
          <w:tcPr>
            <w:tcW w:w="1385" w:type="pct"/>
            <w:shd w:val="clear" w:color="auto" w:fill="auto"/>
          </w:tcPr>
          <w:p w14:paraId="54A6F006" w14:textId="77777777" w:rsidR="00694004" w:rsidRPr="0000124A" w:rsidRDefault="00694004" w:rsidP="00414740">
            <w:pPr>
              <w:pStyle w:val="Tabletext1"/>
              <w:rPr>
                <w:snapToGrid w:val="0"/>
                <w:lang w:eastAsia="en-US"/>
              </w:rPr>
            </w:pPr>
            <w:r w:rsidRPr="00642604">
              <w:rPr>
                <w:snapToGrid w:val="0"/>
                <w:lang w:eastAsia="en-US"/>
              </w:rPr>
              <w:t xml:space="preserve">Lung metastases, controlled or absent </w:t>
            </w:r>
            <w:r w:rsidR="00CA6DFD" w:rsidRPr="00351105">
              <w:rPr>
                <w:snapToGrid w:val="0"/>
                <w:lang w:eastAsia="en-US"/>
              </w:rPr>
              <w:t>extra thoracic</w:t>
            </w:r>
            <w:r w:rsidRPr="0000124A">
              <w:rPr>
                <w:snapToGrid w:val="0"/>
                <w:lang w:eastAsia="en-US"/>
              </w:rPr>
              <w:t xml:space="preserve"> disease, size &lt; 50 mm</w:t>
            </w:r>
          </w:p>
        </w:tc>
        <w:tc>
          <w:tcPr>
            <w:tcW w:w="728" w:type="pct"/>
            <w:shd w:val="clear" w:color="auto" w:fill="auto"/>
          </w:tcPr>
          <w:p w14:paraId="2352FC75" w14:textId="77777777" w:rsidR="00694004" w:rsidRPr="009616D3" w:rsidRDefault="00694004" w:rsidP="00414740">
            <w:pPr>
              <w:pStyle w:val="Tabletext1"/>
              <w:rPr>
                <w:snapToGrid w:val="0"/>
                <w:lang w:eastAsia="en-US"/>
              </w:rPr>
            </w:pPr>
            <w:r w:rsidRPr="00781354">
              <w:rPr>
                <w:snapToGrid w:val="0"/>
                <w:lang w:eastAsia="en-US"/>
              </w:rPr>
              <w:t>Overall</w:t>
            </w:r>
            <w:r w:rsidR="000E6DD8" w:rsidRPr="006B33E4">
              <w:rPr>
                <w:snapToGrid w:val="0"/>
                <w:lang w:eastAsia="en-US"/>
              </w:rPr>
              <w:t>,</w:t>
            </w:r>
            <w:r w:rsidRPr="006B33E4">
              <w:rPr>
                <w:snapToGrid w:val="0"/>
                <w:lang w:eastAsia="en-US"/>
              </w:rPr>
              <w:t xml:space="preserve"> </w:t>
            </w:r>
            <w:r w:rsidR="008F4989" w:rsidRPr="006B33E4">
              <w:rPr>
                <w:snapToGrid w:val="0"/>
                <w:lang w:eastAsia="en-US"/>
              </w:rPr>
              <w:t>PF</w:t>
            </w:r>
            <w:r w:rsidRPr="004D10F1">
              <w:rPr>
                <w:snapToGrid w:val="0"/>
                <w:lang w:eastAsia="en-US"/>
              </w:rPr>
              <w:t xml:space="preserve"> </w:t>
            </w:r>
            <w:r w:rsidR="00E83391" w:rsidRPr="00935A6C">
              <w:rPr>
                <w:snapToGrid w:val="0"/>
                <w:lang w:eastAsia="en-US"/>
              </w:rPr>
              <w:t>survival, a</w:t>
            </w:r>
            <w:r w:rsidRPr="009616D3">
              <w:rPr>
                <w:snapToGrid w:val="0"/>
                <w:lang w:eastAsia="en-US"/>
              </w:rPr>
              <w:t>dverse events</w:t>
            </w:r>
          </w:p>
        </w:tc>
        <w:tc>
          <w:tcPr>
            <w:tcW w:w="601" w:type="pct"/>
            <w:shd w:val="clear" w:color="auto" w:fill="auto"/>
          </w:tcPr>
          <w:p w14:paraId="41ABEC05" w14:textId="77777777" w:rsidR="00694004" w:rsidRPr="009616D3" w:rsidRDefault="00694004" w:rsidP="00414740">
            <w:pPr>
              <w:pStyle w:val="Tabletext1"/>
              <w:rPr>
                <w:snapToGrid w:val="0"/>
                <w:lang w:eastAsia="en-US"/>
              </w:rPr>
            </w:pPr>
            <w:r w:rsidRPr="009616D3">
              <w:rPr>
                <w:snapToGrid w:val="0"/>
                <w:lang w:eastAsia="en-US"/>
              </w:rPr>
              <w:t>Not used</w:t>
            </w:r>
          </w:p>
        </w:tc>
      </w:tr>
      <w:tr w:rsidR="00694004" w:rsidRPr="001D54EF" w14:paraId="428D27A9" w14:textId="77777777" w:rsidTr="007E44CD">
        <w:trPr>
          <w:cantSplit/>
        </w:trPr>
        <w:tc>
          <w:tcPr>
            <w:tcW w:w="643" w:type="pct"/>
            <w:shd w:val="clear" w:color="auto" w:fill="auto"/>
          </w:tcPr>
          <w:p w14:paraId="05EAD55C" w14:textId="77777777" w:rsidR="00694004" w:rsidRPr="001D54EF" w:rsidRDefault="00694004" w:rsidP="005C3A89">
            <w:pPr>
              <w:pStyle w:val="Tabletext1"/>
              <w:rPr>
                <w:snapToGrid w:val="0"/>
                <w:lang w:eastAsia="en-US"/>
              </w:rPr>
            </w:pPr>
            <w:r w:rsidRPr="001D54EF">
              <w:rPr>
                <w:snapToGrid w:val="0"/>
                <w:lang w:eastAsia="en-US"/>
              </w:rPr>
              <w:t>Hiraki et al (2011)</w:t>
            </w:r>
          </w:p>
        </w:tc>
        <w:tc>
          <w:tcPr>
            <w:tcW w:w="431" w:type="pct"/>
            <w:shd w:val="clear" w:color="auto" w:fill="auto"/>
          </w:tcPr>
          <w:p w14:paraId="1D07ED2F" w14:textId="77777777" w:rsidR="00694004" w:rsidRPr="001D54EF" w:rsidRDefault="00694004" w:rsidP="00414740">
            <w:pPr>
              <w:pStyle w:val="Tabletext1"/>
              <w:rPr>
                <w:snapToGrid w:val="0"/>
                <w:lang w:eastAsia="en-US"/>
              </w:rPr>
            </w:pPr>
            <w:r w:rsidRPr="001D54EF">
              <w:rPr>
                <w:snapToGrid w:val="0"/>
                <w:lang w:eastAsia="en-US"/>
              </w:rPr>
              <w:t>32 (83)</w:t>
            </w:r>
          </w:p>
        </w:tc>
        <w:tc>
          <w:tcPr>
            <w:tcW w:w="798" w:type="pct"/>
            <w:shd w:val="clear" w:color="auto" w:fill="auto"/>
          </w:tcPr>
          <w:p w14:paraId="5422F7D8" w14:textId="77777777" w:rsidR="00694004" w:rsidRPr="005F2661" w:rsidRDefault="003F1BAB" w:rsidP="00414740">
            <w:pPr>
              <w:pStyle w:val="Tabletext1"/>
              <w:rPr>
                <w:snapToGrid w:val="0"/>
                <w:lang w:eastAsia="en-US"/>
              </w:rPr>
            </w:pPr>
            <w:r w:rsidRPr="005F2661">
              <w:rPr>
                <w:snapToGrid w:val="0"/>
                <w:lang w:eastAsia="en-US"/>
              </w:rPr>
              <w:t>R</w:t>
            </w:r>
            <w:r w:rsidR="00694004" w:rsidRPr="005F2661">
              <w:rPr>
                <w:snapToGrid w:val="0"/>
                <w:lang w:eastAsia="en-US"/>
              </w:rPr>
              <w:t>etrospective CS</w:t>
            </w:r>
          </w:p>
          <w:p w14:paraId="5C8AF627" w14:textId="53B8579F" w:rsidR="00694004" w:rsidRPr="006E71B4" w:rsidRDefault="00487657" w:rsidP="00414740">
            <w:pPr>
              <w:pStyle w:val="Tabletext1"/>
              <w:rPr>
                <w:snapToGrid w:val="0"/>
                <w:lang w:eastAsia="en-US"/>
              </w:rPr>
            </w:pPr>
            <w:r w:rsidRPr="00F2078A">
              <w:rPr>
                <w:snapToGrid w:val="0"/>
                <w:lang w:eastAsia="en-US"/>
              </w:rPr>
              <w:t>21 (4</w:t>
            </w:r>
            <w:r w:rsidR="00D35E9C">
              <w:rPr>
                <w:snapToGrid w:val="0"/>
                <w:lang w:eastAsia="en-US"/>
              </w:rPr>
              <w:t>–</w:t>
            </w:r>
            <w:r w:rsidRPr="00F2078A">
              <w:rPr>
                <w:snapToGrid w:val="0"/>
                <w:lang w:eastAsia="en-US"/>
              </w:rPr>
              <w:t xml:space="preserve">98) </w:t>
            </w:r>
            <w:r w:rsidR="00694004" w:rsidRPr="006E71B4">
              <w:rPr>
                <w:snapToGrid w:val="0"/>
                <w:lang w:eastAsia="en-US"/>
              </w:rPr>
              <w:t>months</w:t>
            </w:r>
          </w:p>
        </w:tc>
        <w:tc>
          <w:tcPr>
            <w:tcW w:w="414" w:type="pct"/>
            <w:shd w:val="clear" w:color="auto" w:fill="auto"/>
          </w:tcPr>
          <w:p w14:paraId="5A122A75" w14:textId="77777777" w:rsidR="00694004" w:rsidRPr="00642604" w:rsidRDefault="00694004" w:rsidP="00414740">
            <w:pPr>
              <w:pStyle w:val="Tabletext1"/>
              <w:rPr>
                <w:snapToGrid w:val="0"/>
                <w:lang w:eastAsia="en-US"/>
              </w:rPr>
            </w:pPr>
            <w:r w:rsidRPr="00642604">
              <w:rPr>
                <w:snapToGrid w:val="0"/>
                <w:lang w:eastAsia="en-US"/>
              </w:rPr>
              <w:t>High</w:t>
            </w:r>
          </w:p>
        </w:tc>
        <w:tc>
          <w:tcPr>
            <w:tcW w:w="1385" w:type="pct"/>
            <w:shd w:val="clear" w:color="auto" w:fill="auto"/>
          </w:tcPr>
          <w:p w14:paraId="05F3A0C0" w14:textId="77777777" w:rsidR="00694004" w:rsidRPr="0000124A" w:rsidRDefault="00694004" w:rsidP="00414740">
            <w:pPr>
              <w:pStyle w:val="Tabletext1"/>
              <w:rPr>
                <w:snapToGrid w:val="0"/>
                <w:lang w:eastAsia="en-US"/>
              </w:rPr>
            </w:pPr>
            <w:r w:rsidRPr="00642604">
              <w:rPr>
                <w:snapToGrid w:val="0"/>
                <w:lang w:eastAsia="en-US"/>
              </w:rPr>
              <w:t>HCC lung metastases,</w:t>
            </w:r>
            <w:r w:rsidR="00FF007E" w:rsidRPr="00351105">
              <w:rPr>
                <w:snapToGrid w:val="0"/>
                <w:lang w:eastAsia="en-US"/>
              </w:rPr>
              <w:t xml:space="preserve"> size &lt; 40 mm</w:t>
            </w:r>
          </w:p>
        </w:tc>
        <w:tc>
          <w:tcPr>
            <w:tcW w:w="728" w:type="pct"/>
            <w:shd w:val="clear" w:color="auto" w:fill="auto"/>
          </w:tcPr>
          <w:p w14:paraId="6E6A9BD9" w14:textId="77777777" w:rsidR="00694004" w:rsidRPr="006B33E4" w:rsidRDefault="00694004" w:rsidP="00414740">
            <w:pPr>
              <w:pStyle w:val="Tabletext1"/>
              <w:rPr>
                <w:snapToGrid w:val="0"/>
                <w:lang w:eastAsia="en-US"/>
              </w:rPr>
            </w:pPr>
            <w:r w:rsidRPr="0000124A">
              <w:rPr>
                <w:snapToGrid w:val="0"/>
                <w:lang w:eastAsia="en-US"/>
              </w:rPr>
              <w:t>Overall survival</w:t>
            </w:r>
            <w:r w:rsidR="00E83391" w:rsidRPr="00781354">
              <w:rPr>
                <w:snapToGrid w:val="0"/>
                <w:lang w:eastAsia="en-US"/>
              </w:rPr>
              <w:t>, a</w:t>
            </w:r>
            <w:r w:rsidRPr="006B33E4">
              <w:rPr>
                <w:snapToGrid w:val="0"/>
                <w:lang w:eastAsia="en-US"/>
              </w:rPr>
              <w:t>dverse events</w:t>
            </w:r>
          </w:p>
        </w:tc>
        <w:tc>
          <w:tcPr>
            <w:tcW w:w="601" w:type="pct"/>
            <w:shd w:val="clear" w:color="auto" w:fill="auto"/>
          </w:tcPr>
          <w:p w14:paraId="0AE9B338" w14:textId="77777777" w:rsidR="00694004" w:rsidRPr="004D10F1" w:rsidRDefault="00694004" w:rsidP="00414740">
            <w:pPr>
              <w:pStyle w:val="Tabletext1"/>
              <w:rPr>
                <w:snapToGrid w:val="0"/>
                <w:lang w:eastAsia="en-US"/>
              </w:rPr>
            </w:pPr>
            <w:r w:rsidRPr="004D10F1">
              <w:rPr>
                <w:snapToGrid w:val="0"/>
                <w:lang w:eastAsia="en-US"/>
              </w:rPr>
              <w:t>Not used</w:t>
            </w:r>
          </w:p>
        </w:tc>
      </w:tr>
      <w:tr w:rsidR="00694004" w:rsidRPr="001D54EF" w14:paraId="312F110F" w14:textId="77777777" w:rsidTr="007E44CD">
        <w:trPr>
          <w:cantSplit/>
        </w:trPr>
        <w:tc>
          <w:tcPr>
            <w:tcW w:w="643" w:type="pct"/>
            <w:shd w:val="clear" w:color="auto" w:fill="auto"/>
          </w:tcPr>
          <w:p w14:paraId="3C3760B3" w14:textId="77777777" w:rsidR="00694004" w:rsidRPr="001D54EF" w:rsidRDefault="00694004" w:rsidP="005C3A89">
            <w:pPr>
              <w:pStyle w:val="Tabletext1"/>
              <w:rPr>
                <w:snapToGrid w:val="0"/>
                <w:lang w:eastAsia="en-US"/>
              </w:rPr>
            </w:pPr>
            <w:r w:rsidRPr="001D54EF">
              <w:rPr>
                <w:snapToGrid w:val="0"/>
                <w:lang w:eastAsia="en-US"/>
              </w:rPr>
              <w:t>Koelblinger et al (2014)</w:t>
            </w:r>
          </w:p>
        </w:tc>
        <w:tc>
          <w:tcPr>
            <w:tcW w:w="431" w:type="pct"/>
            <w:shd w:val="clear" w:color="auto" w:fill="auto"/>
          </w:tcPr>
          <w:p w14:paraId="338598DB" w14:textId="77777777" w:rsidR="00694004" w:rsidRPr="001D54EF" w:rsidRDefault="00694004" w:rsidP="00414740">
            <w:pPr>
              <w:pStyle w:val="Tabletext1"/>
              <w:rPr>
                <w:snapToGrid w:val="0"/>
                <w:lang w:eastAsia="en-US"/>
              </w:rPr>
            </w:pPr>
            <w:r w:rsidRPr="001D54EF">
              <w:rPr>
                <w:snapToGrid w:val="0"/>
                <w:lang w:eastAsia="en-US"/>
              </w:rPr>
              <w:t>22 (55)</w:t>
            </w:r>
          </w:p>
        </w:tc>
        <w:tc>
          <w:tcPr>
            <w:tcW w:w="798" w:type="pct"/>
            <w:tcBorders>
              <w:bottom w:val="single" w:sz="4" w:space="0" w:color="auto"/>
            </w:tcBorders>
            <w:shd w:val="clear" w:color="auto" w:fill="auto"/>
          </w:tcPr>
          <w:p w14:paraId="2745DDA1" w14:textId="77777777" w:rsidR="00694004" w:rsidRPr="006E71B4" w:rsidRDefault="003F1BAB" w:rsidP="00414740">
            <w:pPr>
              <w:pStyle w:val="Tabletext1"/>
              <w:rPr>
                <w:snapToGrid w:val="0"/>
                <w:lang w:eastAsia="en-US"/>
              </w:rPr>
            </w:pPr>
            <w:r w:rsidRPr="005F2661">
              <w:rPr>
                <w:snapToGrid w:val="0"/>
                <w:lang w:eastAsia="en-US"/>
              </w:rPr>
              <w:t>R</w:t>
            </w:r>
            <w:r w:rsidR="00694004" w:rsidRPr="005F2661">
              <w:rPr>
                <w:snapToGrid w:val="0"/>
                <w:lang w:eastAsia="en-US"/>
              </w:rPr>
              <w:t>etrospe</w:t>
            </w:r>
            <w:r w:rsidR="00694004" w:rsidRPr="006E71B4">
              <w:rPr>
                <w:snapToGrid w:val="0"/>
                <w:lang w:eastAsia="en-US"/>
              </w:rPr>
              <w:t>ctive CS</w:t>
            </w:r>
          </w:p>
          <w:p w14:paraId="3E543BAF" w14:textId="291B8B17" w:rsidR="00694004" w:rsidRPr="00351105" w:rsidRDefault="00694004" w:rsidP="00414740">
            <w:pPr>
              <w:pStyle w:val="Tabletext1"/>
              <w:rPr>
                <w:snapToGrid w:val="0"/>
                <w:lang w:eastAsia="en-US"/>
              </w:rPr>
            </w:pPr>
            <w:r w:rsidRPr="00351105">
              <w:rPr>
                <w:snapToGrid w:val="0"/>
                <w:lang w:eastAsia="en-US"/>
              </w:rPr>
              <w:t>12 (4</w:t>
            </w:r>
            <w:r w:rsidR="00D35E9C">
              <w:rPr>
                <w:snapToGrid w:val="0"/>
                <w:lang w:eastAsia="en-US"/>
              </w:rPr>
              <w:t>–</w:t>
            </w:r>
            <w:r w:rsidRPr="00351105">
              <w:rPr>
                <w:snapToGrid w:val="0"/>
                <w:lang w:eastAsia="en-US"/>
              </w:rPr>
              <w:t>54) months</w:t>
            </w:r>
          </w:p>
        </w:tc>
        <w:tc>
          <w:tcPr>
            <w:tcW w:w="414" w:type="pct"/>
            <w:tcBorders>
              <w:bottom w:val="single" w:sz="4" w:space="0" w:color="auto"/>
            </w:tcBorders>
            <w:shd w:val="clear" w:color="auto" w:fill="auto"/>
          </w:tcPr>
          <w:p w14:paraId="40828C61" w14:textId="77777777" w:rsidR="00694004" w:rsidRPr="0000124A" w:rsidRDefault="00694004" w:rsidP="00414740">
            <w:pPr>
              <w:pStyle w:val="Tabletext1"/>
              <w:rPr>
                <w:snapToGrid w:val="0"/>
                <w:lang w:eastAsia="en-US"/>
              </w:rPr>
            </w:pPr>
            <w:r w:rsidRPr="0000124A">
              <w:rPr>
                <w:snapToGrid w:val="0"/>
                <w:lang w:eastAsia="en-US"/>
              </w:rPr>
              <w:t>High</w:t>
            </w:r>
          </w:p>
        </w:tc>
        <w:tc>
          <w:tcPr>
            <w:tcW w:w="1385" w:type="pct"/>
            <w:shd w:val="clear" w:color="auto" w:fill="auto"/>
          </w:tcPr>
          <w:p w14:paraId="6B503CFA" w14:textId="77777777" w:rsidR="00694004" w:rsidRPr="0000124A" w:rsidRDefault="00694004" w:rsidP="00414740">
            <w:pPr>
              <w:pStyle w:val="Tabletext1"/>
              <w:rPr>
                <w:snapToGrid w:val="0"/>
                <w:lang w:eastAsia="en-US"/>
              </w:rPr>
            </w:pPr>
            <w:r w:rsidRPr="0000124A">
              <w:rPr>
                <w:snapToGrid w:val="0"/>
                <w:lang w:eastAsia="en-US"/>
              </w:rPr>
              <w:t>Sarcoma lung metastases, amenable to curative therapy</w:t>
            </w:r>
          </w:p>
        </w:tc>
        <w:tc>
          <w:tcPr>
            <w:tcW w:w="728" w:type="pct"/>
            <w:tcBorders>
              <w:bottom w:val="single" w:sz="4" w:space="0" w:color="auto"/>
            </w:tcBorders>
            <w:shd w:val="clear" w:color="auto" w:fill="auto"/>
          </w:tcPr>
          <w:p w14:paraId="00403790" w14:textId="77777777" w:rsidR="00694004" w:rsidRPr="009616D3" w:rsidRDefault="00694004" w:rsidP="00414740">
            <w:pPr>
              <w:pStyle w:val="Tabletext1"/>
              <w:rPr>
                <w:snapToGrid w:val="0"/>
                <w:lang w:eastAsia="en-US"/>
              </w:rPr>
            </w:pPr>
            <w:r w:rsidRPr="00781354">
              <w:rPr>
                <w:snapToGrid w:val="0"/>
                <w:lang w:eastAsia="en-US"/>
              </w:rPr>
              <w:t>Overall</w:t>
            </w:r>
            <w:r w:rsidR="000E6DD8" w:rsidRPr="006B33E4">
              <w:rPr>
                <w:snapToGrid w:val="0"/>
                <w:lang w:eastAsia="en-US"/>
              </w:rPr>
              <w:t>,</w:t>
            </w:r>
            <w:r w:rsidRPr="006B33E4">
              <w:rPr>
                <w:snapToGrid w:val="0"/>
                <w:lang w:eastAsia="en-US"/>
              </w:rPr>
              <w:t xml:space="preserve"> </w:t>
            </w:r>
            <w:r w:rsidR="008F4989" w:rsidRPr="006B33E4">
              <w:rPr>
                <w:snapToGrid w:val="0"/>
                <w:lang w:eastAsia="en-US"/>
              </w:rPr>
              <w:t>PF</w:t>
            </w:r>
            <w:r w:rsidRPr="004D10F1">
              <w:rPr>
                <w:snapToGrid w:val="0"/>
                <w:lang w:eastAsia="en-US"/>
              </w:rPr>
              <w:t xml:space="preserve"> survival</w:t>
            </w:r>
            <w:r w:rsidR="00E83391" w:rsidRPr="00935A6C">
              <w:rPr>
                <w:snapToGrid w:val="0"/>
                <w:lang w:eastAsia="en-US"/>
              </w:rPr>
              <w:t>, a</w:t>
            </w:r>
            <w:r w:rsidRPr="009616D3">
              <w:rPr>
                <w:snapToGrid w:val="0"/>
                <w:lang w:eastAsia="en-US"/>
              </w:rPr>
              <w:t>dverse events</w:t>
            </w:r>
          </w:p>
        </w:tc>
        <w:tc>
          <w:tcPr>
            <w:tcW w:w="601" w:type="pct"/>
            <w:shd w:val="clear" w:color="auto" w:fill="auto"/>
          </w:tcPr>
          <w:p w14:paraId="3AA042CA" w14:textId="77777777" w:rsidR="00694004" w:rsidRPr="009616D3" w:rsidRDefault="00694004" w:rsidP="00414740">
            <w:pPr>
              <w:pStyle w:val="Tabletext1"/>
              <w:rPr>
                <w:snapToGrid w:val="0"/>
                <w:lang w:eastAsia="en-US"/>
              </w:rPr>
            </w:pPr>
            <w:r w:rsidRPr="009616D3">
              <w:rPr>
                <w:snapToGrid w:val="0"/>
                <w:lang w:eastAsia="en-US"/>
              </w:rPr>
              <w:t>Not used</w:t>
            </w:r>
          </w:p>
        </w:tc>
      </w:tr>
      <w:tr w:rsidR="00694004" w:rsidRPr="001D54EF" w14:paraId="315B2233" w14:textId="77777777" w:rsidTr="007E44CD">
        <w:trPr>
          <w:cantSplit/>
        </w:trPr>
        <w:tc>
          <w:tcPr>
            <w:tcW w:w="643" w:type="pct"/>
            <w:shd w:val="clear" w:color="auto" w:fill="auto"/>
          </w:tcPr>
          <w:p w14:paraId="75AE2DDC" w14:textId="77777777" w:rsidR="00694004" w:rsidRPr="001D54EF" w:rsidRDefault="00694004" w:rsidP="005C3A89">
            <w:pPr>
              <w:pStyle w:val="Tabletext1"/>
              <w:rPr>
                <w:snapToGrid w:val="0"/>
                <w:lang w:eastAsia="en-US"/>
              </w:rPr>
            </w:pPr>
            <w:r w:rsidRPr="001D54EF">
              <w:rPr>
                <w:snapToGrid w:val="0"/>
                <w:lang w:eastAsia="en-US"/>
              </w:rPr>
              <w:t>Li et al</w:t>
            </w:r>
          </w:p>
          <w:p w14:paraId="362240B7" w14:textId="77777777" w:rsidR="00694004" w:rsidRPr="001D54EF" w:rsidRDefault="00694004" w:rsidP="005C3A89">
            <w:pPr>
              <w:pStyle w:val="Tabletext1"/>
              <w:rPr>
                <w:snapToGrid w:val="0"/>
                <w:lang w:eastAsia="en-US"/>
              </w:rPr>
            </w:pPr>
            <w:r w:rsidRPr="001D54EF">
              <w:rPr>
                <w:snapToGrid w:val="0"/>
                <w:lang w:eastAsia="en-US"/>
              </w:rPr>
              <w:t>(2012)</w:t>
            </w:r>
          </w:p>
        </w:tc>
        <w:tc>
          <w:tcPr>
            <w:tcW w:w="431" w:type="pct"/>
            <w:shd w:val="clear" w:color="auto" w:fill="auto"/>
          </w:tcPr>
          <w:p w14:paraId="5B19869E" w14:textId="77777777" w:rsidR="00694004" w:rsidRPr="005F2661" w:rsidRDefault="00694004" w:rsidP="00414740">
            <w:pPr>
              <w:pStyle w:val="Tabletext1"/>
              <w:rPr>
                <w:snapToGrid w:val="0"/>
                <w:lang w:eastAsia="en-US"/>
              </w:rPr>
            </w:pPr>
            <w:r w:rsidRPr="005F2661">
              <w:rPr>
                <w:snapToGrid w:val="0"/>
                <w:lang w:eastAsia="en-US"/>
              </w:rPr>
              <w:t>29 (68)</w:t>
            </w:r>
          </w:p>
        </w:tc>
        <w:tc>
          <w:tcPr>
            <w:tcW w:w="798" w:type="pct"/>
            <w:tcBorders>
              <w:bottom w:val="single" w:sz="4" w:space="0" w:color="auto"/>
            </w:tcBorders>
            <w:shd w:val="clear" w:color="auto" w:fill="auto"/>
          </w:tcPr>
          <w:p w14:paraId="7D4E48F1" w14:textId="77777777" w:rsidR="00694004" w:rsidRPr="00F2078A" w:rsidRDefault="003F1BAB" w:rsidP="00414740">
            <w:pPr>
              <w:pStyle w:val="Tabletext1"/>
              <w:rPr>
                <w:snapToGrid w:val="0"/>
                <w:lang w:eastAsia="en-US"/>
              </w:rPr>
            </w:pPr>
            <w:r w:rsidRPr="005F2661">
              <w:rPr>
                <w:snapToGrid w:val="0"/>
                <w:lang w:eastAsia="en-US"/>
              </w:rPr>
              <w:t>R</w:t>
            </w:r>
            <w:r w:rsidR="00694004" w:rsidRPr="00F2078A">
              <w:rPr>
                <w:snapToGrid w:val="0"/>
                <w:lang w:eastAsia="en-US"/>
              </w:rPr>
              <w:t>etrospective CS</w:t>
            </w:r>
          </w:p>
          <w:p w14:paraId="3F5134D2" w14:textId="288A9CC0" w:rsidR="00694004" w:rsidRPr="00642604" w:rsidRDefault="00694004" w:rsidP="00414740">
            <w:pPr>
              <w:pStyle w:val="Tabletext1"/>
              <w:rPr>
                <w:snapToGrid w:val="0"/>
                <w:lang w:eastAsia="en-US"/>
              </w:rPr>
            </w:pPr>
            <w:r w:rsidRPr="00642604">
              <w:rPr>
                <w:snapToGrid w:val="0"/>
                <w:lang w:eastAsia="en-US"/>
              </w:rPr>
              <w:t>23 (6</w:t>
            </w:r>
            <w:r w:rsidR="00D35E9C">
              <w:rPr>
                <w:snapToGrid w:val="0"/>
                <w:lang w:eastAsia="en-US"/>
              </w:rPr>
              <w:t>–</w:t>
            </w:r>
            <w:r w:rsidRPr="00642604">
              <w:rPr>
                <w:snapToGrid w:val="0"/>
                <w:lang w:eastAsia="en-US"/>
              </w:rPr>
              <w:t>70) months</w:t>
            </w:r>
          </w:p>
        </w:tc>
        <w:tc>
          <w:tcPr>
            <w:tcW w:w="414" w:type="pct"/>
            <w:tcBorders>
              <w:bottom w:val="single" w:sz="4" w:space="0" w:color="auto"/>
            </w:tcBorders>
            <w:shd w:val="clear" w:color="auto" w:fill="auto"/>
          </w:tcPr>
          <w:p w14:paraId="29642C17" w14:textId="77777777" w:rsidR="00694004" w:rsidRPr="00642604" w:rsidRDefault="00694004" w:rsidP="00414740">
            <w:pPr>
              <w:pStyle w:val="Tabletext1"/>
              <w:rPr>
                <w:snapToGrid w:val="0"/>
                <w:lang w:eastAsia="en-US"/>
              </w:rPr>
            </w:pPr>
            <w:r w:rsidRPr="00642604">
              <w:rPr>
                <w:snapToGrid w:val="0"/>
                <w:lang w:eastAsia="en-US"/>
              </w:rPr>
              <w:t>High</w:t>
            </w:r>
          </w:p>
        </w:tc>
        <w:tc>
          <w:tcPr>
            <w:tcW w:w="1385" w:type="pct"/>
            <w:shd w:val="clear" w:color="auto" w:fill="auto"/>
          </w:tcPr>
          <w:p w14:paraId="02FC32FE" w14:textId="77777777" w:rsidR="00694004" w:rsidRPr="00351105" w:rsidRDefault="00694004" w:rsidP="00414740">
            <w:pPr>
              <w:pStyle w:val="Tabletext1"/>
              <w:rPr>
                <w:snapToGrid w:val="0"/>
                <w:lang w:eastAsia="en-US"/>
              </w:rPr>
            </w:pPr>
            <w:r w:rsidRPr="001C2967">
              <w:rPr>
                <w:snapToGrid w:val="0"/>
                <w:lang w:eastAsia="en-US"/>
              </w:rPr>
              <w:t>HCC lung metastases, inoperable, control</w:t>
            </w:r>
            <w:r w:rsidRPr="00351105">
              <w:rPr>
                <w:snapToGrid w:val="0"/>
                <w:lang w:eastAsia="en-US"/>
              </w:rPr>
              <w:t xml:space="preserve">led primary, size ≤ 50 mm, ≤ 5 lesions </w:t>
            </w:r>
          </w:p>
        </w:tc>
        <w:tc>
          <w:tcPr>
            <w:tcW w:w="728" w:type="pct"/>
            <w:tcBorders>
              <w:bottom w:val="single" w:sz="4" w:space="0" w:color="auto"/>
            </w:tcBorders>
            <w:shd w:val="clear" w:color="auto" w:fill="auto"/>
          </w:tcPr>
          <w:p w14:paraId="203CFC70" w14:textId="77777777" w:rsidR="00694004" w:rsidRPr="00935A6C" w:rsidRDefault="00694004" w:rsidP="00414740">
            <w:pPr>
              <w:pStyle w:val="Tabletext1"/>
              <w:rPr>
                <w:snapToGrid w:val="0"/>
                <w:lang w:eastAsia="en-US"/>
              </w:rPr>
            </w:pPr>
            <w:r w:rsidRPr="0000124A">
              <w:rPr>
                <w:snapToGrid w:val="0"/>
                <w:lang w:eastAsia="en-US"/>
              </w:rPr>
              <w:t>Overall</w:t>
            </w:r>
            <w:r w:rsidR="000E6DD8" w:rsidRPr="0000124A">
              <w:rPr>
                <w:snapToGrid w:val="0"/>
                <w:lang w:eastAsia="en-US"/>
              </w:rPr>
              <w:t>,</w:t>
            </w:r>
            <w:r w:rsidRPr="00781354">
              <w:rPr>
                <w:snapToGrid w:val="0"/>
                <w:lang w:eastAsia="en-US"/>
              </w:rPr>
              <w:t xml:space="preserve"> </w:t>
            </w:r>
            <w:r w:rsidR="008F4989" w:rsidRPr="006B33E4">
              <w:rPr>
                <w:snapToGrid w:val="0"/>
                <w:lang w:eastAsia="en-US"/>
              </w:rPr>
              <w:t>PF</w:t>
            </w:r>
            <w:r w:rsidRPr="006B33E4">
              <w:rPr>
                <w:snapToGrid w:val="0"/>
                <w:lang w:eastAsia="en-US"/>
              </w:rPr>
              <w:t xml:space="preserve"> survival</w:t>
            </w:r>
            <w:r w:rsidR="00E83391" w:rsidRPr="004D10F1">
              <w:rPr>
                <w:snapToGrid w:val="0"/>
                <w:lang w:eastAsia="en-US"/>
              </w:rPr>
              <w:t>, a</w:t>
            </w:r>
            <w:r w:rsidRPr="00935A6C">
              <w:rPr>
                <w:snapToGrid w:val="0"/>
                <w:lang w:eastAsia="en-US"/>
              </w:rPr>
              <w:t>dverse events</w:t>
            </w:r>
          </w:p>
        </w:tc>
        <w:tc>
          <w:tcPr>
            <w:tcW w:w="601" w:type="pct"/>
            <w:shd w:val="clear" w:color="auto" w:fill="auto"/>
          </w:tcPr>
          <w:p w14:paraId="5EAD1713" w14:textId="77777777" w:rsidR="00694004" w:rsidRPr="009616D3" w:rsidRDefault="00694004" w:rsidP="00414740">
            <w:pPr>
              <w:pStyle w:val="Tabletext1"/>
              <w:rPr>
                <w:snapToGrid w:val="0"/>
                <w:lang w:eastAsia="en-US"/>
              </w:rPr>
            </w:pPr>
            <w:r w:rsidRPr="009616D3">
              <w:rPr>
                <w:snapToGrid w:val="0"/>
                <w:lang w:eastAsia="en-US"/>
              </w:rPr>
              <w:t>Not used</w:t>
            </w:r>
          </w:p>
        </w:tc>
      </w:tr>
      <w:tr w:rsidR="00694004" w:rsidRPr="001D54EF" w14:paraId="51993271" w14:textId="77777777" w:rsidTr="007E44CD">
        <w:trPr>
          <w:cantSplit/>
        </w:trPr>
        <w:tc>
          <w:tcPr>
            <w:tcW w:w="643" w:type="pct"/>
            <w:shd w:val="clear" w:color="auto" w:fill="auto"/>
          </w:tcPr>
          <w:p w14:paraId="103BC064" w14:textId="77777777" w:rsidR="00694004" w:rsidRPr="001D54EF" w:rsidRDefault="00694004" w:rsidP="005C3A89">
            <w:pPr>
              <w:pStyle w:val="Tabletext1"/>
              <w:rPr>
                <w:snapToGrid w:val="0"/>
                <w:lang w:eastAsia="en-US"/>
              </w:rPr>
            </w:pPr>
            <w:r w:rsidRPr="001D54EF">
              <w:rPr>
                <w:snapToGrid w:val="0"/>
                <w:lang w:eastAsia="en-US"/>
              </w:rPr>
              <w:t>Lu et al</w:t>
            </w:r>
          </w:p>
          <w:p w14:paraId="5F508934" w14:textId="77777777" w:rsidR="00694004" w:rsidRPr="001D54EF" w:rsidRDefault="00694004" w:rsidP="005C3A89">
            <w:pPr>
              <w:pStyle w:val="Tabletext1"/>
              <w:rPr>
                <w:snapToGrid w:val="0"/>
                <w:lang w:eastAsia="en-US"/>
              </w:rPr>
            </w:pPr>
            <w:r w:rsidRPr="001D54EF">
              <w:rPr>
                <w:snapToGrid w:val="0"/>
                <w:lang w:eastAsia="en-US"/>
              </w:rPr>
              <w:t>(2015)</w:t>
            </w:r>
          </w:p>
        </w:tc>
        <w:tc>
          <w:tcPr>
            <w:tcW w:w="431" w:type="pct"/>
            <w:shd w:val="clear" w:color="auto" w:fill="auto"/>
          </w:tcPr>
          <w:p w14:paraId="2FAC77AB" w14:textId="77777777" w:rsidR="00694004" w:rsidRPr="005F2661" w:rsidRDefault="00694004" w:rsidP="00414740">
            <w:pPr>
              <w:pStyle w:val="Tabletext1"/>
              <w:rPr>
                <w:snapToGrid w:val="0"/>
                <w:lang w:eastAsia="en-US"/>
              </w:rPr>
            </w:pPr>
            <w:r w:rsidRPr="005F2661">
              <w:rPr>
                <w:snapToGrid w:val="0"/>
                <w:lang w:eastAsia="en-US"/>
              </w:rPr>
              <w:t>67 (115)</w:t>
            </w:r>
          </w:p>
        </w:tc>
        <w:tc>
          <w:tcPr>
            <w:tcW w:w="798" w:type="pct"/>
            <w:tcBorders>
              <w:bottom w:val="single" w:sz="4" w:space="0" w:color="auto"/>
            </w:tcBorders>
            <w:shd w:val="clear" w:color="auto" w:fill="auto"/>
          </w:tcPr>
          <w:p w14:paraId="0677A48E" w14:textId="77777777" w:rsidR="00694004" w:rsidRPr="00F2078A" w:rsidRDefault="003F1BAB" w:rsidP="00414740">
            <w:pPr>
              <w:pStyle w:val="Tabletext1"/>
              <w:rPr>
                <w:snapToGrid w:val="0"/>
                <w:lang w:eastAsia="en-US"/>
              </w:rPr>
            </w:pPr>
            <w:r w:rsidRPr="005F2661">
              <w:rPr>
                <w:snapToGrid w:val="0"/>
                <w:lang w:eastAsia="en-US"/>
              </w:rPr>
              <w:t>P</w:t>
            </w:r>
            <w:r w:rsidR="00694004" w:rsidRPr="00F2078A">
              <w:rPr>
                <w:snapToGrid w:val="0"/>
                <w:lang w:eastAsia="en-US"/>
              </w:rPr>
              <w:t>rospective CS</w:t>
            </w:r>
          </w:p>
          <w:p w14:paraId="36F08F5D" w14:textId="2FD20B99" w:rsidR="00694004" w:rsidRPr="00642604" w:rsidRDefault="00694004" w:rsidP="00414740">
            <w:pPr>
              <w:pStyle w:val="Tabletext1"/>
              <w:rPr>
                <w:snapToGrid w:val="0"/>
                <w:lang w:eastAsia="en-US"/>
              </w:rPr>
            </w:pPr>
            <w:r w:rsidRPr="00642604">
              <w:rPr>
                <w:snapToGrid w:val="0"/>
                <w:lang w:eastAsia="en-US"/>
              </w:rPr>
              <w:t>24 (3</w:t>
            </w:r>
            <w:r w:rsidR="00D35E9C">
              <w:rPr>
                <w:snapToGrid w:val="0"/>
                <w:lang w:eastAsia="en-US"/>
              </w:rPr>
              <w:t>–</w:t>
            </w:r>
            <w:r w:rsidRPr="00642604">
              <w:rPr>
                <w:snapToGrid w:val="0"/>
                <w:lang w:eastAsia="en-US"/>
              </w:rPr>
              <w:t>39) months</w:t>
            </w:r>
          </w:p>
        </w:tc>
        <w:tc>
          <w:tcPr>
            <w:tcW w:w="414" w:type="pct"/>
            <w:tcBorders>
              <w:bottom w:val="single" w:sz="4" w:space="0" w:color="auto"/>
            </w:tcBorders>
            <w:shd w:val="clear" w:color="auto" w:fill="auto"/>
          </w:tcPr>
          <w:p w14:paraId="45B8A9F8" w14:textId="77777777" w:rsidR="00694004" w:rsidRPr="00642604" w:rsidRDefault="00694004" w:rsidP="00414740">
            <w:pPr>
              <w:pStyle w:val="Tabletext1"/>
              <w:rPr>
                <w:snapToGrid w:val="0"/>
                <w:lang w:eastAsia="en-US"/>
              </w:rPr>
            </w:pPr>
            <w:r w:rsidRPr="00642604">
              <w:rPr>
                <w:snapToGrid w:val="0"/>
                <w:lang w:eastAsia="en-US"/>
              </w:rPr>
              <w:t>High</w:t>
            </w:r>
          </w:p>
        </w:tc>
        <w:tc>
          <w:tcPr>
            <w:tcW w:w="1385" w:type="pct"/>
            <w:shd w:val="clear" w:color="auto" w:fill="auto"/>
          </w:tcPr>
          <w:p w14:paraId="585D57FF" w14:textId="77777777" w:rsidR="00694004" w:rsidRPr="001C2967" w:rsidRDefault="00694004" w:rsidP="00414740">
            <w:pPr>
              <w:pStyle w:val="Tabletext1"/>
              <w:rPr>
                <w:snapToGrid w:val="0"/>
                <w:lang w:eastAsia="en-US"/>
              </w:rPr>
            </w:pPr>
            <w:r w:rsidRPr="001C2967">
              <w:rPr>
                <w:snapToGrid w:val="0"/>
                <w:lang w:eastAsia="en-US"/>
              </w:rPr>
              <w:t>Lung oligometastses, inoperable or refused surgery, absent or controlled primary, size &lt; 50 mm</w:t>
            </w:r>
          </w:p>
        </w:tc>
        <w:tc>
          <w:tcPr>
            <w:tcW w:w="728" w:type="pct"/>
            <w:tcBorders>
              <w:bottom w:val="single" w:sz="4" w:space="0" w:color="auto"/>
            </w:tcBorders>
            <w:shd w:val="clear" w:color="auto" w:fill="auto"/>
          </w:tcPr>
          <w:p w14:paraId="1005C7BA" w14:textId="77777777" w:rsidR="00694004" w:rsidRPr="009616D3" w:rsidRDefault="00694004" w:rsidP="00414740">
            <w:pPr>
              <w:pStyle w:val="Tabletext1"/>
              <w:rPr>
                <w:snapToGrid w:val="0"/>
                <w:lang w:eastAsia="en-US"/>
              </w:rPr>
            </w:pPr>
            <w:r w:rsidRPr="00EB5A53">
              <w:rPr>
                <w:snapToGrid w:val="0"/>
                <w:lang w:eastAsia="en-US"/>
              </w:rPr>
              <w:t>Overall</w:t>
            </w:r>
            <w:r w:rsidR="000E6DD8" w:rsidRPr="0000124A">
              <w:rPr>
                <w:snapToGrid w:val="0"/>
                <w:lang w:eastAsia="en-US"/>
              </w:rPr>
              <w:t>,</w:t>
            </w:r>
            <w:r w:rsidRPr="0000124A">
              <w:rPr>
                <w:snapToGrid w:val="0"/>
                <w:lang w:eastAsia="en-US"/>
              </w:rPr>
              <w:t xml:space="preserve"> </w:t>
            </w:r>
            <w:r w:rsidR="008F4989" w:rsidRPr="00781354">
              <w:rPr>
                <w:snapToGrid w:val="0"/>
                <w:lang w:eastAsia="en-US"/>
              </w:rPr>
              <w:t>PF</w:t>
            </w:r>
            <w:r w:rsidRPr="006B33E4">
              <w:rPr>
                <w:snapToGrid w:val="0"/>
                <w:lang w:eastAsia="en-US"/>
              </w:rPr>
              <w:t xml:space="preserve"> </w:t>
            </w:r>
            <w:r w:rsidRPr="004D10F1">
              <w:rPr>
                <w:snapToGrid w:val="0"/>
                <w:lang w:eastAsia="en-US"/>
              </w:rPr>
              <w:t>survival</w:t>
            </w:r>
            <w:r w:rsidR="00E83391" w:rsidRPr="00935A6C">
              <w:rPr>
                <w:snapToGrid w:val="0"/>
                <w:lang w:eastAsia="en-US"/>
              </w:rPr>
              <w:t>, a</w:t>
            </w:r>
            <w:r w:rsidRPr="009616D3">
              <w:rPr>
                <w:snapToGrid w:val="0"/>
                <w:lang w:eastAsia="en-US"/>
              </w:rPr>
              <w:t>dverse events</w:t>
            </w:r>
          </w:p>
        </w:tc>
        <w:tc>
          <w:tcPr>
            <w:tcW w:w="601" w:type="pct"/>
            <w:shd w:val="clear" w:color="auto" w:fill="auto"/>
          </w:tcPr>
          <w:p w14:paraId="48CBE83C" w14:textId="77777777" w:rsidR="00694004" w:rsidRPr="009616D3" w:rsidRDefault="00694004" w:rsidP="00414740">
            <w:pPr>
              <w:pStyle w:val="Tabletext1"/>
              <w:rPr>
                <w:snapToGrid w:val="0"/>
                <w:lang w:eastAsia="en-US"/>
              </w:rPr>
            </w:pPr>
            <w:r w:rsidRPr="009616D3">
              <w:rPr>
                <w:snapToGrid w:val="0"/>
                <w:lang w:eastAsia="en-US"/>
              </w:rPr>
              <w:t>Not used</w:t>
            </w:r>
          </w:p>
        </w:tc>
      </w:tr>
      <w:tr w:rsidR="00694004" w:rsidRPr="001D54EF" w14:paraId="6EF238D7" w14:textId="77777777" w:rsidTr="007E44CD">
        <w:trPr>
          <w:cantSplit/>
        </w:trPr>
        <w:tc>
          <w:tcPr>
            <w:tcW w:w="643" w:type="pct"/>
            <w:shd w:val="clear" w:color="auto" w:fill="auto"/>
          </w:tcPr>
          <w:p w14:paraId="7D31016C" w14:textId="77777777" w:rsidR="00694004" w:rsidRPr="001D54EF" w:rsidRDefault="00694004" w:rsidP="005C3A89">
            <w:pPr>
              <w:pStyle w:val="Tabletext1"/>
              <w:rPr>
                <w:snapToGrid w:val="0"/>
                <w:lang w:eastAsia="en-US"/>
              </w:rPr>
            </w:pPr>
            <w:r w:rsidRPr="001D54EF">
              <w:rPr>
                <w:snapToGrid w:val="0"/>
                <w:lang w:eastAsia="en-US"/>
              </w:rPr>
              <w:t>Lu et al (2015b)</w:t>
            </w:r>
          </w:p>
        </w:tc>
        <w:tc>
          <w:tcPr>
            <w:tcW w:w="431" w:type="pct"/>
            <w:shd w:val="clear" w:color="auto" w:fill="auto"/>
          </w:tcPr>
          <w:p w14:paraId="5C108D69" w14:textId="77777777" w:rsidR="00694004" w:rsidRPr="001D54EF" w:rsidRDefault="00694004" w:rsidP="00414740">
            <w:pPr>
              <w:pStyle w:val="Tabletext1"/>
              <w:rPr>
                <w:snapToGrid w:val="0"/>
                <w:lang w:eastAsia="en-US"/>
              </w:rPr>
            </w:pPr>
            <w:r w:rsidRPr="001D54EF">
              <w:rPr>
                <w:snapToGrid w:val="0"/>
                <w:lang w:eastAsia="en-US"/>
              </w:rPr>
              <w:t>35 (67)</w:t>
            </w:r>
          </w:p>
        </w:tc>
        <w:tc>
          <w:tcPr>
            <w:tcW w:w="798" w:type="pct"/>
            <w:tcBorders>
              <w:bottom w:val="single" w:sz="4" w:space="0" w:color="auto"/>
            </w:tcBorders>
            <w:shd w:val="clear" w:color="auto" w:fill="auto"/>
          </w:tcPr>
          <w:p w14:paraId="020DD4AF" w14:textId="77777777" w:rsidR="00694004" w:rsidRPr="005F2661" w:rsidRDefault="00694004" w:rsidP="00414740">
            <w:pPr>
              <w:pStyle w:val="Tabletext1"/>
              <w:rPr>
                <w:snapToGrid w:val="0"/>
                <w:lang w:eastAsia="en-US"/>
              </w:rPr>
            </w:pPr>
            <w:r w:rsidRPr="005F2661">
              <w:rPr>
                <w:snapToGrid w:val="0"/>
                <w:lang w:eastAsia="en-US"/>
              </w:rPr>
              <w:t>CS (enrolment unclear)</w:t>
            </w:r>
          </w:p>
          <w:p w14:paraId="67A4E163" w14:textId="77777777" w:rsidR="00694004" w:rsidRPr="005F2661" w:rsidRDefault="00694004" w:rsidP="00414740">
            <w:pPr>
              <w:pStyle w:val="Tabletext1"/>
              <w:rPr>
                <w:snapToGrid w:val="0"/>
                <w:lang w:eastAsia="en-US"/>
              </w:rPr>
            </w:pPr>
            <w:r w:rsidRPr="005F2661">
              <w:rPr>
                <w:snapToGrid w:val="0"/>
                <w:lang w:eastAsia="en-US"/>
              </w:rPr>
              <w:t>F/U NR</w:t>
            </w:r>
          </w:p>
        </w:tc>
        <w:tc>
          <w:tcPr>
            <w:tcW w:w="414" w:type="pct"/>
            <w:tcBorders>
              <w:bottom w:val="single" w:sz="4" w:space="0" w:color="auto"/>
            </w:tcBorders>
            <w:shd w:val="clear" w:color="auto" w:fill="auto"/>
          </w:tcPr>
          <w:p w14:paraId="3B678C6D" w14:textId="77777777" w:rsidR="00694004" w:rsidRPr="00F2078A" w:rsidRDefault="00694004" w:rsidP="00414740">
            <w:pPr>
              <w:pStyle w:val="Tabletext1"/>
              <w:rPr>
                <w:snapToGrid w:val="0"/>
                <w:lang w:eastAsia="en-US"/>
              </w:rPr>
            </w:pPr>
            <w:r w:rsidRPr="00F2078A">
              <w:rPr>
                <w:snapToGrid w:val="0"/>
                <w:lang w:eastAsia="en-US"/>
              </w:rPr>
              <w:t>High</w:t>
            </w:r>
          </w:p>
        </w:tc>
        <w:tc>
          <w:tcPr>
            <w:tcW w:w="1385" w:type="pct"/>
            <w:shd w:val="clear" w:color="auto" w:fill="auto"/>
          </w:tcPr>
          <w:p w14:paraId="0E830CF0" w14:textId="77777777" w:rsidR="00694004" w:rsidRPr="0000124A" w:rsidRDefault="00694004" w:rsidP="00414740">
            <w:pPr>
              <w:pStyle w:val="Tabletext1"/>
              <w:rPr>
                <w:snapToGrid w:val="0"/>
                <w:lang w:eastAsia="en-US"/>
              </w:rPr>
            </w:pPr>
            <w:r w:rsidRPr="00642604">
              <w:rPr>
                <w:snapToGrid w:val="0"/>
                <w:lang w:eastAsia="en-US"/>
              </w:rPr>
              <w:t xml:space="preserve">Breast cancer lung metastases, inoperable or refused surgery, absent or controlled </w:t>
            </w:r>
            <w:r w:rsidR="00CA6DFD" w:rsidRPr="00642604">
              <w:rPr>
                <w:snapToGrid w:val="0"/>
                <w:lang w:eastAsia="en-US"/>
              </w:rPr>
              <w:t>extra thoracic</w:t>
            </w:r>
            <w:r w:rsidRPr="0000124A">
              <w:rPr>
                <w:snapToGrid w:val="0"/>
                <w:lang w:eastAsia="en-US"/>
              </w:rPr>
              <w:t xml:space="preserve"> disease, prior systemic chemotherapy, size &lt; 40 mm</w:t>
            </w:r>
          </w:p>
        </w:tc>
        <w:tc>
          <w:tcPr>
            <w:tcW w:w="728" w:type="pct"/>
            <w:tcBorders>
              <w:bottom w:val="single" w:sz="4" w:space="0" w:color="auto"/>
            </w:tcBorders>
            <w:shd w:val="clear" w:color="auto" w:fill="auto"/>
          </w:tcPr>
          <w:p w14:paraId="549416C6" w14:textId="77777777" w:rsidR="00694004" w:rsidRPr="004D10F1" w:rsidRDefault="00694004" w:rsidP="00414740">
            <w:pPr>
              <w:pStyle w:val="Tabletext1"/>
              <w:rPr>
                <w:snapToGrid w:val="0"/>
                <w:lang w:eastAsia="en-US"/>
              </w:rPr>
            </w:pPr>
            <w:r w:rsidRPr="0000124A">
              <w:rPr>
                <w:snapToGrid w:val="0"/>
                <w:lang w:eastAsia="en-US"/>
              </w:rPr>
              <w:t>Overall surv</w:t>
            </w:r>
            <w:r w:rsidRPr="00781354">
              <w:rPr>
                <w:snapToGrid w:val="0"/>
                <w:lang w:eastAsia="en-US"/>
              </w:rPr>
              <w:t>ival</w:t>
            </w:r>
            <w:r w:rsidR="00E83391" w:rsidRPr="006B33E4">
              <w:rPr>
                <w:snapToGrid w:val="0"/>
                <w:lang w:eastAsia="en-US"/>
              </w:rPr>
              <w:t>, a</w:t>
            </w:r>
            <w:r w:rsidRPr="004D10F1">
              <w:rPr>
                <w:snapToGrid w:val="0"/>
                <w:lang w:eastAsia="en-US"/>
              </w:rPr>
              <w:t>dverse events</w:t>
            </w:r>
          </w:p>
        </w:tc>
        <w:tc>
          <w:tcPr>
            <w:tcW w:w="601" w:type="pct"/>
            <w:shd w:val="clear" w:color="auto" w:fill="auto"/>
          </w:tcPr>
          <w:p w14:paraId="503A7DA0" w14:textId="77777777" w:rsidR="00694004" w:rsidRPr="00935A6C" w:rsidRDefault="00694004" w:rsidP="00414740">
            <w:pPr>
              <w:pStyle w:val="Tabletext1"/>
              <w:rPr>
                <w:snapToGrid w:val="0"/>
                <w:lang w:eastAsia="en-US"/>
              </w:rPr>
            </w:pPr>
            <w:r w:rsidRPr="00935A6C">
              <w:rPr>
                <w:snapToGrid w:val="0"/>
                <w:lang w:eastAsia="en-US"/>
              </w:rPr>
              <w:t>Not used</w:t>
            </w:r>
          </w:p>
        </w:tc>
      </w:tr>
      <w:tr w:rsidR="00694004" w:rsidRPr="001D54EF" w14:paraId="1C4C800F" w14:textId="77777777" w:rsidTr="007E44CD">
        <w:trPr>
          <w:cantSplit/>
        </w:trPr>
        <w:tc>
          <w:tcPr>
            <w:tcW w:w="643" w:type="pct"/>
            <w:shd w:val="clear" w:color="auto" w:fill="auto"/>
          </w:tcPr>
          <w:p w14:paraId="5D7B8884" w14:textId="77777777" w:rsidR="00694004" w:rsidRPr="001D54EF" w:rsidRDefault="00694004" w:rsidP="005C3A89">
            <w:pPr>
              <w:pStyle w:val="Tabletext1"/>
              <w:rPr>
                <w:snapToGrid w:val="0"/>
                <w:lang w:eastAsia="en-US"/>
              </w:rPr>
            </w:pPr>
            <w:r w:rsidRPr="001D54EF">
              <w:rPr>
                <w:snapToGrid w:val="0"/>
                <w:lang w:eastAsia="en-US"/>
              </w:rPr>
              <w:t>Matsui et al (2015)</w:t>
            </w:r>
          </w:p>
        </w:tc>
        <w:tc>
          <w:tcPr>
            <w:tcW w:w="431" w:type="pct"/>
            <w:shd w:val="clear" w:color="auto" w:fill="auto"/>
          </w:tcPr>
          <w:p w14:paraId="673105E5" w14:textId="77777777" w:rsidR="00694004" w:rsidRPr="001D54EF" w:rsidRDefault="00694004" w:rsidP="00414740">
            <w:pPr>
              <w:pStyle w:val="Tabletext1"/>
              <w:rPr>
                <w:snapToGrid w:val="0"/>
                <w:lang w:eastAsia="en-US"/>
              </w:rPr>
            </w:pPr>
            <w:r w:rsidRPr="001D54EF">
              <w:rPr>
                <w:snapToGrid w:val="0"/>
                <w:lang w:eastAsia="en-US"/>
              </w:rPr>
              <w:t>84 (172)</w:t>
            </w:r>
          </w:p>
        </w:tc>
        <w:tc>
          <w:tcPr>
            <w:tcW w:w="798" w:type="pct"/>
            <w:tcBorders>
              <w:bottom w:val="single" w:sz="4" w:space="0" w:color="auto"/>
            </w:tcBorders>
            <w:shd w:val="clear" w:color="auto" w:fill="auto"/>
          </w:tcPr>
          <w:p w14:paraId="5EBC0924" w14:textId="77777777" w:rsidR="00694004" w:rsidRPr="005F2661" w:rsidRDefault="003F1BAB" w:rsidP="00414740">
            <w:pPr>
              <w:pStyle w:val="Tabletext1"/>
              <w:rPr>
                <w:snapToGrid w:val="0"/>
                <w:lang w:eastAsia="en-US"/>
              </w:rPr>
            </w:pPr>
            <w:r w:rsidRPr="005F2661">
              <w:rPr>
                <w:snapToGrid w:val="0"/>
                <w:lang w:eastAsia="en-US"/>
              </w:rPr>
              <w:t>R</w:t>
            </w:r>
            <w:r w:rsidR="00694004" w:rsidRPr="005F2661">
              <w:rPr>
                <w:snapToGrid w:val="0"/>
                <w:lang w:eastAsia="en-US"/>
              </w:rPr>
              <w:t>etrospective CS</w:t>
            </w:r>
          </w:p>
          <w:p w14:paraId="6EB799F2" w14:textId="15350283" w:rsidR="00694004" w:rsidRPr="00F2078A" w:rsidRDefault="00694004" w:rsidP="00414740">
            <w:pPr>
              <w:pStyle w:val="Tabletext1"/>
              <w:rPr>
                <w:snapToGrid w:val="0"/>
                <w:lang w:eastAsia="en-US"/>
              </w:rPr>
            </w:pPr>
            <w:r w:rsidRPr="00F2078A">
              <w:rPr>
                <w:snapToGrid w:val="0"/>
                <w:lang w:eastAsia="en-US"/>
              </w:rPr>
              <w:t>38 (5</w:t>
            </w:r>
            <w:r w:rsidR="00D35E9C">
              <w:rPr>
                <w:snapToGrid w:val="0"/>
                <w:lang w:eastAsia="en-US"/>
              </w:rPr>
              <w:t>–</w:t>
            </w:r>
            <w:r w:rsidRPr="00F2078A">
              <w:rPr>
                <w:snapToGrid w:val="0"/>
                <w:lang w:eastAsia="en-US"/>
              </w:rPr>
              <w:t>130) months</w:t>
            </w:r>
          </w:p>
        </w:tc>
        <w:tc>
          <w:tcPr>
            <w:tcW w:w="414" w:type="pct"/>
            <w:tcBorders>
              <w:bottom w:val="single" w:sz="4" w:space="0" w:color="auto"/>
            </w:tcBorders>
            <w:shd w:val="clear" w:color="auto" w:fill="auto"/>
          </w:tcPr>
          <w:p w14:paraId="1499BA06" w14:textId="77777777" w:rsidR="00694004" w:rsidRPr="00642604" w:rsidRDefault="00694004" w:rsidP="00414740">
            <w:pPr>
              <w:pStyle w:val="Tabletext1"/>
              <w:rPr>
                <w:snapToGrid w:val="0"/>
                <w:lang w:eastAsia="en-US"/>
              </w:rPr>
            </w:pPr>
            <w:r w:rsidRPr="00642604">
              <w:rPr>
                <w:snapToGrid w:val="0"/>
                <w:lang w:eastAsia="en-US"/>
              </w:rPr>
              <w:t>High</w:t>
            </w:r>
          </w:p>
        </w:tc>
        <w:tc>
          <w:tcPr>
            <w:tcW w:w="1385" w:type="pct"/>
            <w:shd w:val="clear" w:color="auto" w:fill="auto"/>
          </w:tcPr>
          <w:p w14:paraId="68823B3D" w14:textId="77777777" w:rsidR="00694004" w:rsidRPr="00642604" w:rsidRDefault="00694004" w:rsidP="00414740">
            <w:pPr>
              <w:pStyle w:val="Tabletext1"/>
              <w:rPr>
                <w:snapToGrid w:val="0"/>
                <w:lang w:eastAsia="en-US"/>
              </w:rPr>
            </w:pPr>
            <w:r w:rsidRPr="00642604">
              <w:rPr>
                <w:snapToGrid w:val="0"/>
                <w:lang w:eastAsia="en-US"/>
              </w:rPr>
              <w:t>CRC lung metastases, inoperable or refused surgery, primary lesion resected, amenable to curative therapy</w:t>
            </w:r>
          </w:p>
        </w:tc>
        <w:tc>
          <w:tcPr>
            <w:tcW w:w="728" w:type="pct"/>
            <w:tcBorders>
              <w:bottom w:val="single" w:sz="4" w:space="0" w:color="auto"/>
            </w:tcBorders>
            <w:shd w:val="clear" w:color="auto" w:fill="auto"/>
          </w:tcPr>
          <w:p w14:paraId="672782CD" w14:textId="77777777" w:rsidR="00694004" w:rsidRPr="006B33E4" w:rsidRDefault="00694004" w:rsidP="00414740">
            <w:pPr>
              <w:pStyle w:val="Tabletext1"/>
              <w:rPr>
                <w:snapToGrid w:val="0"/>
                <w:lang w:eastAsia="en-US"/>
              </w:rPr>
            </w:pPr>
            <w:r w:rsidRPr="001C2967">
              <w:rPr>
                <w:snapToGrid w:val="0"/>
                <w:lang w:eastAsia="en-US"/>
              </w:rPr>
              <w:t>Overall</w:t>
            </w:r>
            <w:r w:rsidR="000E6DD8" w:rsidRPr="00EB5A53">
              <w:rPr>
                <w:snapToGrid w:val="0"/>
                <w:lang w:eastAsia="en-US"/>
              </w:rPr>
              <w:t>,</w:t>
            </w:r>
            <w:r w:rsidRPr="00351105">
              <w:rPr>
                <w:snapToGrid w:val="0"/>
                <w:lang w:eastAsia="en-US"/>
              </w:rPr>
              <w:t xml:space="preserve"> </w:t>
            </w:r>
            <w:r w:rsidR="008F4989" w:rsidRPr="0000124A">
              <w:rPr>
                <w:snapToGrid w:val="0"/>
                <w:lang w:eastAsia="en-US"/>
              </w:rPr>
              <w:t>PF</w:t>
            </w:r>
            <w:r w:rsidRPr="0000124A">
              <w:rPr>
                <w:snapToGrid w:val="0"/>
                <w:lang w:eastAsia="en-US"/>
              </w:rPr>
              <w:t xml:space="preserve"> survival</w:t>
            </w:r>
            <w:r w:rsidR="00E83391" w:rsidRPr="00781354">
              <w:rPr>
                <w:snapToGrid w:val="0"/>
                <w:lang w:eastAsia="en-US"/>
              </w:rPr>
              <w:t>, a</w:t>
            </w:r>
            <w:r w:rsidRPr="006B33E4">
              <w:rPr>
                <w:snapToGrid w:val="0"/>
                <w:lang w:eastAsia="en-US"/>
              </w:rPr>
              <w:t>dverse events</w:t>
            </w:r>
          </w:p>
        </w:tc>
        <w:tc>
          <w:tcPr>
            <w:tcW w:w="601" w:type="pct"/>
            <w:shd w:val="clear" w:color="auto" w:fill="auto"/>
          </w:tcPr>
          <w:p w14:paraId="71D1E509" w14:textId="77777777" w:rsidR="00694004" w:rsidRPr="004D10F1" w:rsidRDefault="00694004" w:rsidP="00414740">
            <w:pPr>
              <w:pStyle w:val="Tabletext1"/>
              <w:rPr>
                <w:snapToGrid w:val="0"/>
                <w:lang w:eastAsia="en-US"/>
              </w:rPr>
            </w:pPr>
            <w:r w:rsidRPr="004D10F1">
              <w:rPr>
                <w:snapToGrid w:val="0"/>
                <w:lang w:eastAsia="en-US"/>
              </w:rPr>
              <w:t>Not used</w:t>
            </w:r>
          </w:p>
        </w:tc>
      </w:tr>
      <w:tr w:rsidR="00694004" w:rsidRPr="001D54EF" w14:paraId="3850C3AD" w14:textId="77777777" w:rsidTr="007E44CD">
        <w:trPr>
          <w:cantSplit/>
        </w:trPr>
        <w:tc>
          <w:tcPr>
            <w:tcW w:w="643" w:type="pct"/>
            <w:shd w:val="clear" w:color="auto" w:fill="auto"/>
          </w:tcPr>
          <w:p w14:paraId="3DD9879B" w14:textId="138C7EBD" w:rsidR="00694004" w:rsidRPr="00FF5480" w:rsidRDefault="00694004" w:rsidP="005C3A89">
            <w:pPr>
              <w:pStyle w:val="Tabletext1"/>
              <w:rPr>
                <w:snapToGrid w:val="0"/>
                <w:lang w:eastAsia="en-US"/>
              </w:rPr>
            </w:pPr>
            <w:r w:rsidRPr="001D54EF">
              <w:rPr>
                <w:snapToGrid w:val="0"/>
                <w:lang w:eastAsia="en-US"/>
              </w:rPr>
              <w:t>von Meyenfeldt et al (2011)</w:t>
            </w:r>
            <w:r w:rsidR="00FF5480">
              <w:rPr>
                <w:b/>
                <w:snapToGrid w:val="0"/>
                <w:lang w:eastAsia="en-US"/>
              </w:rPr>
              <w:t xml:space="preserve"> </w:t>
            </w:r>
            <w:r w:rsidR="00FF5480">
              <w:rPr>
                <w:b/>
                <w:snapToGrid w:val="0"/>
                <w:vertAlign w:val="superscript"/>
                <w:lang w:eastAsia="en-US"/>
              </w:rPr>
              <w:t>a</w:t>
            </w:r>
          </w:p>
        </w:tc>
        <w:tc>
          <w:tcPr>
            <w:tcW w:w="431" w:type="pct"/>
            <w:shd w:val="clear" w:color="auto" w:fill="auto"/>
          </w:tcPr>
          <w:p w14:paraId="5D341C13" w14:textId="77777777" w:rsidR="00694004" w:rsidRPr="0000124A" w:rsidRDefault="00694004" w:rsidP="00414740">
            <w:pPr>
              <w:pStyle w:val="Tabletext1"/>
              <w:rPr>
                <w:snapToGrid w:val="0"/>
                <w:lang w:eastAsia="en-US"/>
              </w:rPr>
            </w:pPr>
            <w:r w:rsidRPr="0000124A">
              <w:rPr>
                <w:snapToGrid w:val="0"/>
                <w:lang w:eastAsia="en-US"/>
              </w:rPr>
              <w:t>46 (90)</w:t>
            </w:r>
          </w:p>
        </w:tc>
        <w:tc>
          <w:tcPr>
            <w:tcW w:w="798" w:type="pct"/>
            <w:tcBorders>
              <w:bottom w:val="single" w:sz="4" w:space="0" w:color="auto"/>
            </w:tcBorders>
            <w:shd w:val="clear" w:color="auto" w:fill="auto"/>
          </w:tcPr>
          <w:p w14:paraId="3325EBC8" w14:textId="77777777" w:rsidR="00694004" w:rsidRPr="00781354" w:rsidRDefault="003F1BAB" w:rsidP="00414740">
            <w:pPr>
              <w:pStyle w:val="Tabletext1"/>
              <w:rPr>
                <w:snapToGrid w:val="0"/>
                <w:lang w:eastAsia="en-US"/>
              </w:rPr>
            </w:pPr>
            <w:r w:rsidRPr="0000124A">
              <w:rPr>
                <w:snapToGrid w:val="0"/>
                <w:lang w:eastAsia="en-US"/>
              </w:rPr>
              <w:t>R</w:t>
            </w:r>
            <w:r w:rsidR="00694004" w:rsidRPr="00781354">
              <w:rPr>
                <w:snapToGrid w:val="0"/>
                <w:lang w:eastAsia="en-US"/>
              </w:rPr>
              <w:t>etrospective CS</w:t>
            </w:r>
          </w:p>
          <w:p w14:paraId="50D31A31" w14:textId="08A77ACF" w:rsidR="00694004" w:rsidRPr="006B33E4" w:rsidRDefault="00694004" w:rsidP="00414740">
            <w:pPr>
              <w:pStyle w:val="Tabletext1"/>
              <w:rPr>
                <w:snapToGrid w:val="0"/>
                <w:lang w:eastAsia="en-US"/>
              </w:rPr>
            </w:pPr>
            <w:r w:rsidRPr="006B33E4">
              <w:rPr>
                <w:snapToGrid w:val="0"/>
                <w:lang w:eastAsia="en-US"/>
              </w:rPr>
              <w:t>22 (2</w:t>
            </w:r>
            <w:r w:rsidR="00D35E9C">
              <w:rPr>
                <w:snapToGrid w:val="0"/>
                <w:lang w:eastAsia="en-US"/>
              </w:rPr>
              <w:t>–</w:t>
            </w:r>
            <w:r w:rsidRPr="006B33E4">
              <w:rPr>
                <w:snapToGrid w:val="0"/>
                <w:lang w:eastAsia="en-US"/>
              </w:rPr>
              <w:t>65) months</w:t>
            </w:r>
          </w:p>
        </w:tc>
        <w:tc>
          <w:tcPr>
            <w:tcW w:w="414" w:type="pct"/>
            <w:tcBorders>
              <w:bottom w:val="single" w:sz="4" w:space="0" w:color="auto"/>
            </w:tcBorders>
            <w:shd w:val="clear" w:color="auto" w:fill="auto"/>
          </w:tcPr>
          <w:p w14:paraId="4DA0AF07" w14:textId="77777777" w:rsidR="00694004" w:rsidRPr="004D10F1" w:rsidRDefault="00694004" w:rsidP="00414740">
            <w:pPr>
              <w:pStyle w:val="Tabletext1"/>
              <w:rPr>
                <w:snapToGrid w:val="0"/>
                <w:lang w:eastAsia="en-US"/>
              </w:rPr>
            </w:pPr>
            <w:r w:rsidRPr="004D10F1">
              <w:rPr>
                <w:snapToGrid w:val="0"/>
                <w:lang w:eastAsia="en-US"/>
              </w:rPr>
              <w:t>High</w:t>
            </w:r>
          </w:p>
        </w:tc>
        <w:tc>
          <w:tcPr>
            <w:tcW w:w="1385" w:type="pct"/>
            <w:shd w:val="clear" w:color="auto" w:fill="auto"/>
          </w:tcPr>
          <w:p w14:paraId="28678898" w14:textId="77777777" w:rsidR="00694004" w:rsidRPr="00935A6C" w:rsidRDefault="00694004" w:rsidP="00414740">
            <w:pPr>
              <w:pStyle w:val="Tabletext1"/>
              <w:rPr>
                <w:snapToGrid w:val="0"/>
                <w:lang w:eastAsia="en-US"/>
              </w:rPr>
            </w:pPr>
            <w:r w:rsidRPr="00935A6C">
              <w:rPr>
                <w:snapToGrid w:val="0"/>
                <w:lang w:eastAsia="en-US"/>
              </w:rPr>
              <w:t>Limited (recurrent) lung metastases with peripheral locations, &lt; 5 lesions per patient</w:t>
            </w:r>
          </w:p>
        </w:tc>
        <w:tc>
          <w:tcPr>
            <w:tcW w:w="728" w:type="pct"/>
            <w:tcBorders>
              <w:bottom w:val="single" w:sz="4" w:space="0" w:color="auto"/>
            </w:tcBorders>
            <w:shd w:val="clear" w:color="auto" w:fill="auto"/>
          </w:tcPr>
          <w:p w14:paraId="26EFFC06" w14:textId="77777777" w:rsidR="00694004" w:rsidRPr="001D54EF" w:rsidRDefault="00694004" w:rsidP="00414740">
            <w:pPr>
              <w:pStyle w:val="Tabletext1"/>
              <w:rPr>
                <w:snapToGrid w:val="0"/>
                <w:lang w:eastAsia="en-US"/>
              </w:rPr>
            </w:pPr>
            <w:r w:rsidRPr="009616D3">
              <w:rPr>
                <w:snapToGrid w:val="0"/>
                <w:lang w:eastAsia="en-US"/>
              </w:rPr>
              <w:t>Overall</w:t>
            </w:r>
            <w:r w:rsidR="000E6DD8" w:rsidRPr="009616D3">
              <w:rPr>
                <w:snapToGrid w:val="0"/>
                <w:lang w:eastAsia="en-US"/>
              </w:rPr>
              <w:t>,</w:t>
            </w:r>
            <w:r w:rsidRPr="00C76207">
              <w:rPr>
                <w:snapToGrid w:val="0"/>
                <w:lang w:eastAsia="en-US"/>
              </w:rPr>
              <w:t xml:space="preserve"> </w:t>
            </w:r>
            <w:r w:rsidR="008F4989" w:rsidRPr="00B63D1C">
              <w:rPr>
                <w:snapToGrid w:val="0"/>
                <w:lang w:eastAsia="en-US"/>
              </w:rPr>
              <w:t>PF</w:t>
            </w:r>
            <w:r w:rsidRPr="00B63D1C">
              <w:rPr>
                <w:snapToGrid w:val="0"/>
                <w:lang w:eastAsia="en-US"/>
              </w:rPr>
              <w:t xml:space="preserve"> survival</w:t>
            </w:r>
            <w:r w:rsidR="00E83391" w:rsidRPr="007150EE">
              <w:rPr>
                <w:snapToGrid w:val="0"/>
                <w:lang w:eastAsia="en-US"/>
              </w:rPr>
              <w:t>, a</w:t>
            </w:r>
            <w:r w:rsidRPr="00556630">
              <w:rPr>
                <w:snapToGrid w:val="0"/>
                <w:lang w:eastAsia="en-US"/>
              </w:rPr>
              <w:t>dverse events</w:t>
            </w:r>
          </w:p>
        </w:tc>
        <w:tc>
          <w:tcPr>
            <w:tcW w:w="601" w:type="pct"/>
            <w:shd w:val="clear" w:color="auto" w:fill="auto"/>
          </w:tcPr>
          <w:p w14:paraId="5FA42C9F" w14:textId="77777777" w:rsidR="00694004" w:rsidRPr="001D54EF" w:rsidRDefault="00694004" w:rsidP="00414740">
            <w:pPr>
              <w:pStyle w:val="Tabletext1"/>
              <w:rPr>
                <w:snapToGrid w:val="0"/>
                <w:lang w:eastAsia="en-US"/>
              </w:rPr>
            </w:pPr>
            <w:r w:rsidRPr="00C76207">
              <w:rPr>
                <w:snapToGrid w:val="0"/>
                <w:lang w:eastAsia="en-US"/>
              </w:rPr>
              <w:t>Not used</w:t>
            </w:r>
          </w:p>
        </w:tc>
      </w:tr>
      <w:tr w:rsidR="00694004" w:rsidRPr="001D54EF" w14:paraId="3DF74FD6" w14:textId="77777777" w:rsidTr="007E44CD">
        <w:trPr>
          <w:cantSplit/>
        </w:trPr>
        <w:tc>
          <w:tcPr>
            <w:tcW w:w="643" w:type="pct"/>
            <w:shd w:val="clear" w:color="auto" w:fill="auto"/>
          </w:tcPr>
          <w:p w14:paraId="0D6F9D9D" w14:textId="77777777" w:rsidR="00694004" w:rsidRPr="001D54EF" w:rsidRDefault="00694004" w:rsidP="005C3A89">
            <w:pPr>
              <w:pStyle w:val="Tabletext1"/>
              <w:rPr>
                <w:snapToGrid w:val="0"/>
                <w:lang w:eastAsia="en-US"/>
              </w:rPr>
            </w:pPr>
            <w:r w:rsidRPr="001D54EF">
              <w:rPr>
                <w:snapToGrid w:val="0"/>
                <w:lang w:eastAsia="en-US"/>
              </w:rPr>
              <w:lastRenderedPageBreak/>
              <w:t>Yan et al (2006 + 2007)</w:t>
            </w:r>
          </w:p>
        </w:tc>
        <w:tc>
          <w:tcPr>
            <w:tcW w:w="431" w:type="pct"/>
            <w:shd w:val="clear" w:color="auto" w:fill="auto"/>
          </w:tcPr>
          <w:p w14:paraId="0DFE5ABE" w14:textId="77777777" w:rsidR="00694004" w:rsidRPr="001D54EF" w:rsidRDefault="00694004" w:rsidP="00414740">
            <w:pPr>
              <w:pStyle w:val="Tabletext1"/>
              <w:rPr>
                <w:snapToGrid w:val="0"/>
                <w:lang w:eastAsia="en-US"/>
              </w:rPr>
            </w:pPr>
            <w:r w:rsidRPr="001D54EF">
              <w:rPr>
                <w:snapToGrid w:val="0"/>
                <w:lang w:eastAsia="en-US"/>
              </w:rPr>
              <w:t>55 (NR)</w:t>
            </w:r>
          </w:p>
        </w:tc>
        <w:tc>
          <w:tcPr>
            <w:tcW w:w="798" w:type="pct"/>
            <w:shd w:val="clear" w:color="auto" w:fill="auto"/>
          </w:tcPr>
          <w:p w14:paraId="71EBE22B" w14:textId="77777777" w:rsidR="00694004" w:rsidRPr="005F2661" w:rsidRDefault="003F1BAB" w:rsidP="00414740">
            <w:pPr>
              <w:pStyle w:val="Tabletext1"/>
              <w:rPr>
                <w:snapToGrid w:val="0"/>
                <w:lang w:eastAsia="en-US"/>
              </w:rPr>
            </w:pPr>
            <w:r w:rsidRPr="005F2661">
              <w:rPr>
                <w:snapToGrid w:val="0"/>
                <w:lang w:eastAsia="en-US"/>
              </w:rPr>
              <w:t>P</w:t>
            </w:r>
            <w:r w:rsidR="00694004" w:rsidRPr="005F2661">
              <w:rPr>
                <w:snapToGrid w:val="0"/>
                <w:lang w:eastAsia="en-US"/>
              </w:rPr>
              <w:t>rospective CS</w:t>
            </w:r>
          </w:p>
          <w:p w14:paraId="01507FD7" w14:textId="6F67AF51" w:rsidR="00694004" w:rsidRPr="00351105" w:rsidRDefault="00694004" w:rsidP="00414740">
            <w:pPr>
              <w:pStyle w:val="Tabletext1"/>
              <w:rPr>
                <w:snapToGrid w:val="0"/>
                <w:lang w:eastAsia="en-US"/>
              </w:rPr>
            </w:pPr>
            <w:r w:rsidRPr="00F2078A">
              <w:rPr>
                <w:snapToGrid w:val="0"/>
                <w:lang w:eastAsia="en-US"/>
              </w:rPr>
              <w:t>2</w:t>
            </w:r>
            <w:r w:rsidRPr="00351105">
              <w:rPr>
                <w:snapToGrid w:val="0"/>
                <w:lang w:eastAsia="en-US"/>
              </w:rPr>
              <w:t>4 (6</w:t>
            </w:r>
            <w:r w:rsidR="00D35E9C">
              <w:rPr>
                <w:snapToGrid w:val="0"/>
                <w:lang w:eastAsia="en-US"/>
              </w:rPr>
              <w:t>–</w:t>
            </w:r>
            <w:r w:rsidRPr="00351105">
              <w:rPr>
                <w:snapToGrid w:val="0"/>
                <w:lang w:eastAsia="en-US"/>
              </w:rPr>
              <w:t>40) months</w:t>
            </w:r>
          </w:p>
        </w:tc>
        <w:tc>
          <w:tcPr>
            <w:tcW w:w="414" w:type="pct"/>
            <w:shd w:val="clear" w:color="auto" w:fill="auto"/>
          </w:tcPr>
          <w:p w14:paraId="08450418" w14:textId="77777777" w:rsidR="00694004" w:rsidRPr="0000124A" w:rsidRDefault="00694004" w:rsidP="00414740">
            <w:pPr>
              <w:pStyle w:val="Tabletext1"/>
              <w:rPr>
                <w:snapToGrid w:val="0"/>
                <w:lang w:eastAsia="en-US"/>
              </w:rPr>
            </w:pPr>
            <w:r w:rsidRPr="0000124A">
              <w:rPr>
                <w:snapToGrid w:val="0"/>
                <w:lang w:eastAsia="en-US"/>
              </w:rPr>
              <w:t>High</w:t>
            </w:r>
          </w:p>
        </w:tc>
        <w:tc>
          <w:tcPr>
            <w:tcW w:w="1385" w:type="pct"/>
            <w:shd w:val="clear" w:color="auto" w:fill="auto"/>
          </w:tcPr>
          <w:p w14:paraId="5ABACDE8" w14:textId="425C43F2" w:rsidR="00694004" w:rsidRPr="006B33E4" w:rsidRDefault="00694004" w:rsidP="00414740">
            <w:pPr>
              <w:pStyle w:val="Tabletext1"/>
              <w:rPr>
                <w:snapToGrid w:val="0"/>
                <w:lang w:eastAsia="en-US"/>
              </w:rPr>
            </w:pPr>
            <w:r w:rsidRPr="0000124A">
              <w:rPr>
                <w:snapToGrid w:val="0"/>
                <w:lang w:eastAsia="en-US"/>
              </w:rPr>
              <w:t xml:space="preserve">CRC lung metastases, inoperable or refused surgery, primary </w:t>
            </w:r>
            <w:r w:rsidR="006C03BB" w:rsidRPr="00781354">
              <w:rPr>
                <w:snapToGrid w:val="0"/>
                <w:lang w:eastAsia="en-US"/>
              </w:rPr>
              <w:t>cancer</w:t>
            </w:r>
            <w:r w:rsidRPr="006B33E4">
              <w:rPr>
                <w:snapToGrid w:val="0"/>
                <w:lang w:eastAsia="en-US"/>
              </w:rPr>
              <w:t xml:space="preserve"> resected, 3</w:t>
            </w:r>
            <w:r w:rsidR="00D35E9C">
              <w:rPr>
                <w:snapToGrid w:val="0"/>
                <w:lang w:eastAsia="en-US"/>
              </w:rPr>
              <w:t>–</w:t>
            </w:r>
            <w:r w:rsidRPr="006B33E4">
              <w:rPr>
                <w:snapToGrid w:val="0"/>
                <w:lang w:eastAsia="en-US"/>
              </w:rPr>
              <w:t>5 lesions, size ≤ 50mm</w:t>
            </w:r>
          </w:p>
        </w:tc>
        <w:tc>
          <w:tcPr>
            <w:tcW w:w="728" w:type="pct"/>
            <w:shd w:val="clear" w:color="auto" w:fill="auto"/>
          </w:tcPr>
          <w:p w14:paraId="4B7A23AC" w14:textId="77777777" w:rsidR="00694004" w:rsidRPr="001D54EF" w:rsidRDefault="00694004" w:rsidP="00414740">
            <w:pPr>
              <w:pStyle w:val="Tabletext1"/>
              <w:rPr>
                <w:snapToGrid w:val="0"/>
                <w:lang w:eastAsia="en-US"/>
              </w:rPr>
            </w:pPr>
            <w:r w:rsidRPr="004D10F1">
              <w:rPr>
                <w:snapToGrid w:val="0"/>
                <w:lang w:eastAsia="en-US"/>
              </w:rPr>
              <w:t>Overall</w:t>
            </w:r>
            <w:r w:rsidR="000E6DD8" w:rsidRPr="00935A6C">
              <w:rPr>
                <w:snapToGrid w:val="0"/>
                <w:lang w:eastAsia="en-US"/>
              </w:rPr>
              <w:t>,</w:t>
            </w:r>
            <w:r w:rsidRPr="009616D3">
              <w:rPr>
                <w:snapToGrid w:val="0"/>
                <w:lang w:eastAsia="en-US"/>
              </w:rPr>
              <w:t xml:space="preserve"> </w:t>
            </w:r>
            <w:r w:rsidR="008F4989" w:rsidRPr="009616D3">
              <w:rPr>
                <w:snapToGrid w:val="0"/>
                <w:lang w:eastAsia="en-US"/>
              </w:rPr>
              <w:t>PF</w:t>
            </w:r>
            <w:r w:rsidRPr="00C76207">
              <w:rPr>
                <w:snapToGrid w:val="0"/>
                <w:lang w:eastAsia="en-US"/>
              </w:rPr>
              <w:t xml:space="preserve"> survival</w:t>
            </w:r>
            <w:r w:rsidR="00E83391" w:rsidRPr="00B63D1C">
              <w:rPr>
                <w:snapToGrid w:val="0"/>
                <w:lang w:eastAsia="en-US"/>
              </w:rPr>
              <w:t>, a</w:t>
            </w:r>
            <w:r w:rsidRPr="00B63D1C">
              <w:rPr>
                <w:snapToGrid w:val="0"/>
                <w:lang w:eastAsia="en-US"/>
              </w:rPr>
              <w:t>dverse events</w:t>
            </w:r>
          </w:p>
        </w:tc>
        <w:tc>
          <w:tcPr>
            <w:tcW w:w="601" w:type="pct"/>
            <w:shd w:val="clear" w:color="auto" w:fill="auto"/>
          </w:tcPr>
          <w:p w14:paraId="27B74C50" w14:textId="77777777" w:rsidR="00694004" w:rsidRPr="001D54EF" w:rsidRDefault="00694004" w:rsidP="00414740">
            <w:pPr>
              <w:pStyle w:val="Tabletext1"/>
              <w:rPr>
                <w:snapToGrid w:val="0"/>
                <w:lang w:eastAsia="en-US"/>
              </w:rPr>
            </w:pPr>
            <w:r w:rsidRPr="00C76207">
              <w:rPr>
                <w:snapToGrid w:val="0"/>
                <w:lang w:eastAsia="en-US"/>
              </w:rPr>
              <w:t>Not used</w:t>
            </w:r>
          </w:p>
        </w:tc>
      </w:tr>
      <w:tr w:rsidR="00694004" w:rsidRPr="001D54EF" w14:paraId="5A85C8FA" w14:textId="77777777" w:rsidTr="007E44CD">
        <w:trPr>
          <w:cantSplit/>
        </w:trPr>
        <w:tc>
          <w:tcPr>
            <w:tcW w:w="643" w:type="pct"/>
            <w:shd w:val="clear" w:color="auto" w:fill="auto"/>
          </w:tcPr>
          <w:p w14:paraId="53BE961D" w14:textId="77777777" w:rsidR="00694004" w:rsidRPr="001D54EF" w:rsidRDefault="00694004" w:rsidP="005C3A89">
            <w:pPr>
              <w:pStyle w:val="Tabletext1"/>
              <w:rPr>
                <w:snapToGrid w:val="0"/>
                <w:lang w:eastAsia="en-US"/>
              </w:rPr>
            </w:pPr>
            <w:r w:rsidRPr="001D54EF">
              <w:rPr>
                <w:snapToGrid w:val="0"/>
                <w:lang w:eastAsia="en-US"/>
              </w:rPr>
              <w:t>Zhu et al (2008)</w:t>
            </w:r>
          </w:p>
        </w:tc>
        <w:tc>
          <w:tcPr>
            <w:tcW w:w="431" w:type="pct"/>
            <w:shd w:val="clear" w:color="auto" w:fill="auto"/>
          </w:tcPr>
          <w:p w14:paraId="5191BA6A" w14:textId="77777777" w:rsidR="00694004" w:rsidRPr="001D54EF" w:rsidRDefault="00694004" w:rsidP="00414740">
            <w:pPr>
              <w:pStyle w:val="Tabletext1"/>
              <w:rPr>
                <w:snapToGrid w:val="0"/>
                <w:lang w:eastAsia="en-US"/>
              </w:rPr>
            </w:pPr>
            <w:r w:rsidRPr="001D54EF">
              <w:rPr>
                <w:snapToGrid w:val="0"/>
                <w:lang w:eastAsia="en-US"/>
              </w:rPr>
              <w:t>833</w:t>
            </w:r>
          </w:p>
          <w:p w14:paraId="5EA95337" w14:textId="77777777" w:rsidR="00694004" w:rsidRPr="005F2661" w:rsidRDefault="001104D0" w:rsidP="00414740">
            <w:pPr>
              <w:pStyle w:val="Tabletext1"/>
              <w:rPr>
                <w:snapToGrid w:val="0"/>
                <w:highlight w:val="cyan"/>
                <w:lang w:eastAsia="en-US"/>
              </w:rPr>
            </w:pPr>
            <w:r>
              <w:rPr>
                <w:snapToGrid w:val="0"/>
                <w:lang w:eastAsia="en-US"/>
              </w:rPr>
              <w:t xml:space="preserve">k </w:t>
            </w:r>
            <w:r w:rsidR="00694004" w:rsidRPr="005F2661">
              <w:rPr>
                <w:snapToGrid w:val="0"/>
                <w:lang w:eastAsia="en-US"/>
              </w:rPr>
              <w:t>=</w:t>
            </w:r>
            <w:r>
              <w:rPr>
                <w:snapToGrid w:val="0"/>
                <w:lang w:eastAsia="en-US"/>
              </w:rPr>
              <w:t xml:space="preserve"> </w:t>
            </w:r>
            <w:r w:rsidR="00694004" w:rsidRPr="005F2661">
              <w:rPr>
                <w:snapToGrid w:val="0"/>
                <w:lang w:eastAsia="en-US"/>
              </w:rPr>
              <w:t>16</w:t>
            </w:r>
          </w:p>
        </w:tc>
        <w:tc>
          <w:tcPr>
            <w:tcW w:w="798" w:type="pct"/>
            <w:shd w:val="clear" w:color="auto" w:fill="auto"/>
          </w:tcPr>
          <w:p w14:paraId="20EA559A" w14:textId="77777777" w:rsidR="00694004" w:rsidRPr="0000124A" w:rsidRDefault="00694004" w:rsidP="00414740">
            <w:pPr>
              <w:pStyle w:val="Tabletext1"/>
              <w:rPr>
                <w:b/>
                <w:snapToGrid w:val="0"/>
              </w:rPr>
            </w:pPr>
            <w:r w:rsidRPr="00F2078A">
              <w:rPr>
                <w:snapToGrid w:val="0"/>
                <w:lang w:eastAsia="en-US"/>
              </w:rPr>
              <w:t>Systematic review</w:t>
            </w:r>
            <w:r w:rsidRPr="00351105">
              <w:rPr>
                <w:b/>
                <w:snapToGrid w:val="0"/>
              </w:rPr>
              <w:t xml:space="preserve"> </w:t>
            </w:r>
            <w:r w:rsidRPr="0000124A">
              <w:rPr>
                <w:snapToGrid w:val="0"/>
              </w:rPr>
              <w:t>of CS</w:t>
            </w:r>
          </w:p>
        </w:tc>
        <w:tc>
          <w:tcPr>
            <w:tcW w:w="414" w:type="pct"/>
            <w:tcBorders>
              <w:bottom w:val="single" w:sz="4" w:space="0" w:color="auto"/>
            </w:tcBorders>
            <w:shd w:val="clear" w:color="auto" w:fill="auto"/>
          </w:tcPr>
          <w:p w14:paraId="58E2A8A5" w14:textId="77777777" w:rsidR="00694004" w:rsidRPr="00781354" w:rsidRDefault="00694004" w:rsidP="00414740">
            <w:pPr>
              <w:pStyle w:val="Tabletext1"/>
              <w:rPr>
                <w:snapToGrid w:val="0"/>
                <w:lang w:eastAsia="en-US"/>
              </w:rPr>
            </w:pPr>
            <w:r w:rsidRPr="00781354">
              <w:rPr>
                <w:snapToGrid w:val="0"/>
                <w:lang w:eastAsia="en-US"/>
              </w:rPr>
              <w:t>Moderate</w:t>
            </w:r>
          </w:p>
        </w:tc>
        <w:tc>
          <w:tcPr>
            <w:tcW w:w="1385" w:type="pct"/>
            <w:tcBorders>
              <w:bottom w:val="single" w:sz="4" w:space="0" w:color="auto"/>
            </w:tcBorders>
            <w:shd w:val="clear" w:color="auto" w:fill="auto"/>
          </w:tcPr>
          <w:p w14:paraId="0A6CA886" w14:textId="77777777" w:rsidR="00694004" w:rsidRPr="006B33E4" w:rsidRDefault="00694004" w:rsidP="00414740">
            <w:pPr>
              <w:pStyle w:val="Tabletext1"/>
              <w:rPr>
                <w:snapToGrid w:val="0"/>
                <w:lang w:eastAsia="en-US"/>
              </w:rPr>
            </w:pPr>
            <w:r w:rsidRPr="006B33E4">
              <w:rPr>
                <w:snapToGrid w:val="0"/>
                <w:lang w:eastAsia="en-US"/>
              </w:rPr>
              <w:t>Narrative analysis with descriptive statistics</w:t>
            </w:r>
          </w:p>
        </w:tc>
        <w:tc>
          <w:tcPr>
            <w:tcW w:w="728" w:type="pct"/>
            <w:tcBorders>
              <w:bottom w:val="single" w:sz="4" w:space="0" w:color="auto"/>
            </w:tcBorders>
            <w:shd w:val="clear" w:color="auto" w:fill="auto"/>
          </w:tcPr>
          <w:p w14:paraId="0589C359" w14:textId="77777777" w:rsidR="00694004" w:rsidRPr="004D10F1" w:rsidRDefault="00694004" w:rsidP="00414740">
            <w:pPr>
              <w:pStyle w:val="Tabletext1"/>
              <w:rPr>
                <w:snapToGrid w:val="0"/>
                <w:lang w:eastAsia="en-US"/>
              </w:rPr>
            </w:pPr>
            <w:r w:rsidRPr="004D10F1">
              <w:rPr>
                <w:snapToGrid w:val="0"/>
                <w:lang w:eastAsia="en-US"/>
              </w:rPr>
              <w:t>Adverse events</w:t>
            </w:r>
          </w:p>
        </w:tc>
        <w:tc>
          <w:tcPr>
            <w:tcW w:w="601" w:type="pct"/>
            <w:shd w:val="clear" w:color="auto" w:fill="auto"/>
          </w:tcPr>
          <w:p w14:paraId="1117D652" w14:textId="77777777" w:rsidR="00694004" w:rsidRPr="009616D3" w:rsidRDefault="00694004" w:rsidP="00414740">
            <w:pPr>
              <w:pStyle w:val="Tabletext1"/>
              <w:rPr>
                <w:snapToGrid w:val="0"/>
                <w:highlight w:val="cyan"/>
                <w:lang w:eastAsia="en-US"/>
              </w:rPr>
            </w:pPr>
            <w:r w:rsidRPr="00935A6C">
              <w:rPr>
                <w:snapToGrid w:val="0"/>
                <w:lang w:eastAsia="en-US"/>
              </w:rPr>
              <w:t>Not used</w:t>
            </w:r>
          </w:p>
        </w:tc>
      </w:tr>
      <w:tr w:rsidR="00694004" w:rsidRPr="001D54EF" w14:paraId="1E344ED2" w14:textId="77777777" w:rsidTr="007E44CD">
        <w:trPr>
          <w:cantSplit/>
        </w:trPr>
        <w:tc>
          <w:tcPr>
            <w:tcW w:w="643" w:type="pct"/>
            <w:shd w:val="clear" w:color="auto" w:fill="auto"/>
          </w:tcPr>
          <w:p w14:paraId="597BF9B5" w14:textId="77777777" w:rsidR="00694004" w:rsidRPr="001D54EF" w:rsidRDefault="00694004" w:rsidP="005C3A89">
            <w:pPr>
              <w:pStyle w:val="TableText0"/>
              <w:keepNext w:val="0"/>
              <w:widowControl w:val="0"/>
              <w:spacing w:before="60" w:after="60"/>
              <w:jc w:val="left"/>
              <w:rPr>
                <w:snapToGrid w:val="0"/>
                <w:szCs w:val="20"/>
              </w:rPr>
            </w:pPr>
            <w:r w:rsidRPr="001D54EF">
              <w:rPr>
                <w:snapToGrid w:val="0"/>
                <w:szCs w:val="20"/>
              </w:rPr>
              <w:t>Meta-analysis/ pooling</w:t>
            </w:r>
          </w:p>
        </w:tc>
        <w:tc>
          <w:tcPr>
            <w:tcW w:w="431" w:type="pct"/>
            <w:shd w:val="clear" w:color="auto" w:fill="auto"/>
          </w:tcPr>
          <w:p w14:paraId="04277B43" w14:textId="77777777" w:rsidR="00694004" w:rsidRPr="001D54EF" w:rsidRDefault="00694004" w:rsidP="00414740">
            <w:pPr>
              <w:pStyle w:val="TableText0"/>
              <w:keepNext w:val="0"/>
              <w:widowControl w:val="0"/>
              <w:spacing w:before="60" w:after="60"/>
              <w:jc w:val="left"/>
              <w:rPr>
                <w:snapToGrid w:val="0"/>
                <w:szCs w:val="20"/>
              </w:rPr>
            </w:pPr>
            <w:r w:rsidRPr="001D54EF">
              <w:rPr>
                <w:snapToGrid w:val="0"/>
                <w:szCs w:val="20"/>
              </w:rPr>
              <w:t>997</w:t>
            </w:r>
          </w:p>
          <w:p w14:paraId="79B05908" w14:textId="77777777" w:rsidR="00694004" w:rsidRPr="005F2661" w:rsidRDefault="00694004" w:rsidP="00414740">
            <w:pPr>
              <w:pStyle w:val="TableText0"/>
              <w:keepNext w:val="0"/>
              <w:widowControl w:val="0"/>
              <w:spacing w:before="60" w:after="60"/>
              <w:jc w:val="left"/>
              <w:rPr>
                <w:snapToGrid w:val="0"/>
                <w:szCs w:val="20"/>
              </w:rPr>
            </w:pPr>
            <w:r w:rsidRPr="005F2661">
              <w:rPr>
                <w:snapToGrid w:val="0"/>
                <w:szCs w:val="20"/>
              </w:rPr>
              <w:t>10 studies</w:t>
            </w:r>
          </w:p>
        </w:tc>
        <w:tc>
          <w:tcPr>
            <w:tcW w:w="798" w:type="pct"/>
            <w:tcBorders>
              <w:bottom w:val="single" w:sz="4" w:space="0" w:color="auto"/>
              <w:right w:val="nil"/>
            </w:tcBorders>
            <w:shd w:val="clear" w:color="auto" w:fill="auto"/>
          </w:tcPr>
          <w:p w14:paraId="7D5481BC" w14:textId="77777777" w:rsidR="00694004" w:rsidRPr="005F2661" w:rsidRDefault="00694004" w:rsidP="00414740">
            <w:pPr>
              <w:pStyle w:val="TableText0"/>
              <w:keepNext w:val="0"/>
              <w:widowControl w:val="0"/>
              <w:spacing w:before="60" w:after="60"/>
              <w:jc w:val="left"/>
              <w:rPr>
                <w:snapToGrid w:val="0"/>
                <w:szCs w:val="20"/>
              </w:rPr>
            </w:pPr>
          </w:p>
        </w:tc>
        <w:tc>
          <w:tcPr>
            <w:tcW w:w="414" w:type="pct"/>
            <w:tcBorders>
              <w:left w:val="nil"/>
              <w:bottom w:val="single" w:sz="4" w:space="0" w:color="auto"/>
              <w:right w:val="nil"/>
            </w:tcBorders>
            <w:shd w:val="clear" w:color="auto" w:fill="auto"/>
          </w:tcPr>
          <w:p w14:paraId="2E0216FD" w14:textId="77777777" w:rsidR="00694004" w:rsidRPr="00F2078A" w:rsidRDefault="00694004" w:rsidP="00414740">
            <w:pPr>
              <w:pStyle w:val="TableText0"/>
              <w:keepNext w:val="0"/>
              <w:widowControl w:val="0"/>
              <w:spacing w:before="60" w:after="60"/>
              <w:jc w:val="left"/>
              <w:rPr>
                <w:snapToGrid w:val="0"/>
                <w:szCs w:val="20"/>
              </w:rPr>
            </w:pPr>
          </w:p>
        </w:tc>
        <w:tc>
          <w:tcPr>
            <w:tcW w:w="1385" w:type="pct"/>
            <w:tcBorders>
              <w:left w:val="nil"/>
              <w:right w:val="nil"/>
            </w:tcBorders>
            <w:shd w:val="clear" w:color="auto" w:fill="auto"/>
          </w:tcPr>
          <w:p w14:paraId="2138ADF8" w14:textId="77777777" w:rsidR="00694004" w:rsidRPr="001C2967" w:rsidRDefault="00694004" w:rsidP="00414740">
            <w:pPr>
              <w:pStyle w:val="TableText0"/>
              <w:keepNext w:val="0"/>
              <w:widowControl w:val="0"/>
              <w:spacing w:before="60" w:after="60"/>
              <w:jc w:val="left"/>
              <w:rPr>
                <w:szCs w:val="20"/>
              </w:rPr>
            </w:pPr>
            <w:r w:rsidRPr="00642604">
              <w:rPr>
                <w:snapToGrid w:val="0"/>
                <w:szCs w:val="20"/>
              </w:rPr>
              <w:t>Where possible n/N (%) for adverse events has been calculated across all studies. Measures of central tendency and associated measures of variance have been reported if applicable</w:t>
            </w:r>
          </w:p>
        </w:tc>
        <w:tc>
          <w:tcPr>
            <w:tcW w:w="728" w:type="pct"/>
            <w:tcBorders>
              <w:left w:val="nil"/>
              <w:bottom w:val="single" w:sz="4" w:space="0" w:color="auto"/>
            </w:tcBorders>
            <w:shd w:val="clear" w:color="auto" w:fill="auto"/>
          </w:tcPr>
          <w:p w14:paraId="1676D691" w14:textId="77777777" w:rsidR="00694004" w:rsidRPr="00EB5A53" w:rsidRDefault="00694004" w:rsidP="00414740">
            <w:pPr>
              <w:pStyle w:val="TableText0"/>
              <w:keepNext w:val="0"/>
              <w:widowControl w:val="0"/>
              <w:spacing w:before="60" w:after="60"/>
              <w:jc w:val="left"/>
              <w:rPr>
                <w:szCs w:val="20"/>
              </w:rPr>
            </w:pPr>
          </w:p>
        </w:tc>
        <w:tc>
          <w:tcPr>
            <w:tcW w:w="601" w:type="pct"/>
            <w:shd w:val="clear" w:color="auto" w:fill="auto"/>
          </w:tcPr>
          <w:p w14:paraId="6812397D" w14:textId="77777777" w:rsidR="00694004" w:rsidRPr="00351105" w:rsidRDefault="00694004" w:rsidP="00414740">
            <w:pPr>
              <w:pStyle w:val="TableText0"/>
              <w:keepNext w:val="0"/>
              <w:widowControl w:val="0"/>
              <w:spacing w:before="60" w:after="60"/>
              <w:jc w:val="left"/>
              <w:rPr>
                <w:snapToGrid w:val="0"/>
                <w:szCs w:val="20"/>
              </w:rPr>
            </w:pPr>
            <w:r w:rsidRPr="00351105">
              <w:rPr>
                <w:snapToGrid w:val="0"/>
                <w:szCs w:val="20"/>
              </w:rPr>
              <w:t>Not used</w:t>
            </w:r>
          </w:p>
        </w:tc>
      </w:tr>
    </w:tbl>
    <w:p w14:paraId="57C0A308" w14:textId="64A0829C" w:rsidR="00694004" w:rsidRPr="007F70F3" w:rsidRDefault="007226FC" w:rsidP="008063EA">
      <w:pPr>
        <w:pStyle w:val="Tablenotes0"/>
      </w:pPr>
      <w:r>
        <w:t xml:space="preserve">&lt; </w:t>
      </w:r>
      <w:r w:rsidR="00694004" w:rsidRPr="007F70F3">
        <w:t>CRC = colorectal cancer</w:t>
      </w:r>
      <w:r w:rsidR="00A20C2E">
        <w:t>;</w:t>
      </w:r>
      <w:r w:rsidR="00694004" w:rsidRPr="007F70F3">
        <w:t xml:space="preserve"> CS = case series</w:t>
      </w:r>
      <w:r w:rsidR="00A20C2E">
        <w:t>; HCC = hepatocellular carcinoma; IQR = interquartile range</w:t>
      </w:r>
      <w:r w:rsidR="00FA74C7">
        <w:t>;</w:t>
      </w:r>
      <w:r w:rsidR="00A20C2E" w:rsidRPr="00A20C2E">
        <w:t xml:space="preserve"> </w:t>
      </w:r>
      <w:r w:rsidR="00FA74C7">
        <w:t xml:space="preserve">k = number of studies; </w:t>
      </w:r>
      <w:r w:rsidR="00A20C2E" w:rsidRPr="00A20C2E">
        <w:t>mm</w:t>
      </w:r>
      <w:r w:rsidR="00FA74C7">
        <w:t xml:space="preserve"> </w:t>
      </w:r>
      <w:r w:rsidR="00A20C2E" w:rsidRPr="00A20C2E">
        <w:t>=</w:t>
      </w:r>
      <w:r w:rsidR="00FA74C7">
        <w:t xml:space="preserve"> </w:t>
      </w:r>
      <w:r w:rsidR="00A20C2E" w:rsidRPr="00A20C2E">
        <w:t>millimetres</w:t>
      </w:r>
      <w:r w:rsidR="00D22316">
        <w:t>;</w:t>
      </w:r>
      <w:r w:rsidR="00FA74C7">
        <w:t xml:space="preserve"> </w:t>
      </w:r>
      <w:r w:rsidR="00A20C2E" w:rsidRPr="00A20C2E">
        <w:t>n/N (%)</w:t>
      </w:r>
      <w:r w:rsidR="00FA74C7">
        <w:t xml:space="preserve"> </w:t>
      </w:r>
      <w:r w:rsidR="00A20C2E" w:rsidRPr="00A20C2E">
        <w:t>= number with event/ total (percentage)</w:t>
      </w:r>
      <w:r w:rsidR="00A20C2E">
        <w:t>;</w:t>
      </w:r>
      <w:r w:rsidR="00694004" w:rsidRPr="007F70F3">
        <w:t xml:space="preserve"> NR = not reported</w:t>
      </w:r>
      <w:r w:rsidR="00FA74C7">
        <w:t xml:space="preserve">; </w:t>
      </w:r>
      <w:r>
        <w:t>PF = progression-free &gt;</w:t>
      </w:r>
    </w:p>
    <w:p w14:paraId="143B5475" w14:textId="23D5544E" w:rsidR="00694004" w:rsidRPr="007F70F3" w:rsidRDefault="00FF5480" w:rsidP="008063EA">
      <w:pPr>
        <w:pStyle w:val="Tablenotes0"/>
      </w:pPr>
      <w:proofErr w:type="gramStart"/>
      <w:r>
        <w:t>a</w:t>
      </w:r>
      <w:proofErr w:type="gramEnd"/>
      <w:r>
        <w:t xml:space="preserve"> </w:t>
      </w:r>
      <w:r w:rsidR="00694004" w:rsidRPr="007F70F3">
        <w:t>While not explicitly stated in the inclusion criteria, the authors state in the introduction that patients with lung metastases are only treated at their institution if the primary cancer is under control.</w:t>
      </w:r>
    </w:p>
    <w:p w14:paraId="4F37FE75" w14:textId="77777777" w:rsidR="00971E34" w:rsidRPr="007226FC" w:rsidRDefault="00971E34" w:rsidP="007226FC">
      <w:pPr>
        <w:spacing w:before="500"/>
        <w:rPr>
          <w:b/>
          <w:i/>
        </w:rPr>
      </w:pPr>
      <w:r w:rsidRPr="007226FC">
        <w:rPr>
          <w:b/>
          <w:i/>
        </w:rPr>
        <w:t>Population three</w:t>
      </w:r>
    </w:p>
    <w:p w14:paraId="3229A38C" w14:textId="77777777" w:rsidR="007A55DF" w:rsidRPr="007F70F3" w:rsidRDefault="00EF53EA" w:rsidP="00C8690E">
      <w:r>
        <w:t xml:space="preserve">One case series study </w:t>
      </w:r>
      <w:r w:rsidR="006674B4">
        <w:t xml:space="preserve">including </w:t>
      </w:r>
      <w:r>
        <w:t xml:space="preserve">21 patients was identified that reported palliative </w:t>
      </w:r>
      <w:r w:rsidR="007A55DF">
        <w:t>therapy. The study investigated long-term patient sur</w:t>
      </w:r>
      <w:r w:rsidR="00292926">
        <w:t xml:space="preserve">vival, local tumour progression, </w:t>
      </w:r>
      <w:r w:rsidR="007A55DF">
        <w:t xml:space="preserve">complication rates </w:t>
      </w:r>
      <w:r w:rsidR="00292926">
        <w:t xml:space="preserve">and symptom improvement </w:t>
      </w:r>
      <w:r w:rsidR="005B4490">
        <w:t>r</w:t>
      </w:r>
      <w:r w:rsidR="00A82A8A">
        <w:t>elated to</w:t>
      </w:r>
      <w:r w:rsidR="007A55DF">
        <w:t xml:space="preserve"> RFA in lung cancer patients. There were two groups – a local control group of stage I NSCLC and stage IV metastatic cancer</w:t>
      </w:r>
      <w:r w:rsidR="006A1379">
        <w:t>, and a palliation group involving</w:t>
      </w:r>
      <w:r w:rsidR="007A55DF">
        <w:t xml:space="preserve"> stage IV metastatic cancer only. Patients were assigned to each group based on their symptoms (symptomatic or asymptomatic). The local control group included a mix of </w:t>
      </w:r>
      <w:r w:rsidR="00403039">
        <w:t>patients from population one and population two, and was therefore not included in this report</w:t>
      </w:r>
      <w:r w:rsidR="009002D8">
        <w:t>.</w:t>
      </w:r>
      <w:r w:rsidR="009878B3">
        <w:t xml:space="preserve"> </w:t>
      </w:r>
      <w:r w:rsidR="006B0874">
        <w:t>T</w:t>
      </w:r>
      <w:r w:rsidR="009878B3">
        <w:t xml:space="preserve">he palliation group </w:t>
      </w:r>
      <w:r w:rsidR="00F42B9B">
        <w:t xml:space="preserve">included in this report was representative of the population outlined in the PICO criteria. </w:t>
      </w:r>
    </w:p>
    <w:p w14:paraId="027411EC" w14:textId="77777777" w:rsidR="00971E34" w:rsidRPr="007F70F3" w:rsidRDefault="00971E34" w:rsidP="001163D9">
      <w:pPr>
        <w:pStyle w:val="TableHeading"/>
        <w:rPr>
          <w:snapToGrid w:val="0"/>
          <w:lang w:eastAsia="en-US"/>
        </w:rPr>
      </w:pPr>
      <w:bookmarkStart w:id="254" w:name="_Ref457395300"/>
      <w:bookmarkStart w:id="255" w:name="_Toc460514693"/>
      <w:r w:rsidRPr="001163D9">
        <w:t xml:space="preserve">Table </w:t>
      </w:r>
      <w:fldSimple w:instr=" SEQ Table \* ARABIC ">
        <w:r w:rsidR="00D170A5">
          <w:rPr>
            <w:noProof/>
          </w:rPr>
          <w:t>35</w:t>
        </w:r>
      </w:fldSimple>
      <w:bookmarkEnd w:id="254"/>
      <w:r w:rsidRPr="001163D9">
        <w:tab/>
      </w:r>
      <w:r w:rsidR="003E38A5">
        <w:rPr>
          <w:snapToGrid w:val="0"/>
          <w:lang w:eastAsia="en-US"/>
        </w:rPr>
        <w:t>Characteristics</w:t>
      </w:r>
      <w:r w:rsidR="003E38A5" w:rsidRPr="001B7083">
        <w:rPr>
          <w:snapToGrid w:val="0"/>
          <w:lang w:eastAsia="en-US"/>
        </w:rPr>
        <w:t xml:space="preserve"> </w:t>
      </w:r>
      <w:r w:rsidRPr="001163D9">
        <w:rPr>
          <w:snapToGrid w:val="0"/>
          <w:lang w:eastAsia="en-US"/>
        </w:rPr>
        <w:t>of the included evidence for RFA in population three</w:t>
      </w:r>
      <w:bookmarkEnd w:id="255"/>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165"/>
        <w:gridCol w:w="850"/>
        <w:gridCol w:w="1419"/>
        <w:gridCol w:w="708"/>
        <w:gridCol w:w="2124"/>
        <w:gridCol w:w="1702"/>
        <w:gridCol w:w="1087"/>
      </w:tblGrid>
      <w:tr w:rsidR="00971E34" w:rsidRPr="007F70F3" w14:paraId="295D8B5D" w14:textId="77777777" w:rsidTr="007226FC">
        <w:tc>
          <w:tcPr>
            <w:tcW w:w="643" w:type="pct"/>
            <w:shd w:val="clear" w:color="auto" w:fill="D9D9D9" w:themeFill="background1" w:themeFillShade="D9"/>
            <w:vAlign w:val="bottom"/>
          </w:tcPr>
          <w:p w14:paraId="39E038F7" w14:textId="77777777" w:rsidR="00971E34" w:rsidRPr="007F70F3" w:rsidRDefault="00971E34" w:rsidP="007226FC">
            <w:pPr>
              <w:pStyle w:val="Tabletext1"/>
              <w:rPr>
                <w:b/>
                <w:snapToGrid w:val="0"/>
                <w:lang w:eastAsia="en-US"/>
              </w:rPr>
            </w:pPr>
            <w:r w:rsidRPr="007F70F3">
              <w:rPr>
                <w:b/>
                <w:snapToGrid w:val="0"/>
                <w:lang w:eastAsia="en-US"/>
              </w:rPr>
              <w:t>Study</w:t>
            </w:r>
          </w:p>
        </w:tc>
        <w:tc>
          <w:tcPr>
            <w:tcW w:w="469" w:type="pct"/>
            <w:shd w:val="clear" w:color="auto" w:fill="D9D9D9" w:themeFill="background1" w:themeFillShade="D9"/>
            <w:vAlign w:val="bottom"/>
          </w:tcPr>
          <w:p w14:paraId="69F63858" w14:textId="77777777" w:rsidR="00971E34" w:rsidRPr="007F70F3" w:rsidRDefault="00971E34" w:rsidP="00414740">
            <w:pPr>
              <w:pStyle w:val="Tabletext1"/>
              <w:rPr>
                <w:b/>
                <w:snapToGrid w:val="0"/>
                <w:lang w:eastAsia="en-US"/>
              </w:rPr>
            </w:pPr>
            <w:r w:rsidRPr="007F70F3">
              <w:rPr>
                <w:b/>
                <w:snapToGrid w:val="0"/>
                <w:lang w:eastAsia="en-US"/>
              </w:rPr>
              <w:t>N (lesions)</w:t>
            </w:r>
          </w:p>
        </w:tc>
        <w:tc>
          <w:tcPr>
            <w:tcW w:w="783" w:type="pct"/>
            <w:shd w:val="clear" w:color="auto" w:fill="D9D9D9" w:themeFill="background1" w:themeFillShade="D9"/>
            <w:vAlign w:val="bottom"/>
          </w:tcPr>
          <w:p w14:paraId="25DC65EE" w14:textId="77777777" w:rsidR="00971E34" w:rsidRPr="007F70F3" w:rsidRDefault="00971E34" w:rsidP="00414740">
            <w:pPr>
              <w:pStyle w:val="Tabletext1"/>
              <w:rPr>
                <w:b/>
                <w:snapToGrid w:val="0"/>
                <w:lang w:eastAsia="en-US"/>
              </w:rPr>
            </w:pPr>
            <w:r w:rsidRPr="007F70F3">
              <w:rPr>
                <w:b/>
                <w:snapToGrid w:val="0"/>
                <w:lang w:eastAsia="en-US"/>
              </w:rPr>
              <w:t>Design</w:t>
            </w:r>
          </w:p>
          <w:p w14:paraId="133F2CC3" w14:textId="77777777" w:rsidR="00971E34" w:rsidRPr="007F70F3" w:rsidRDefault="00971E34" w:rsidP="00414740">
            <w:pPr>
              <w:pStyle w:val="Tabletext1"/>
              <w:rPr>
                <w:b/>
                <w:snapToGrid w:val="0"/>
                <w:vertAlign w:val="superscript"/>
                <w:lang w:eastAsia="en-US"/>
              </w:rPr>
            </w:pPr>
            <w:r w:rsidRPr="007F70F3">
              <w:rPr>
                <w:b/>
                <w:snapToGrid w:val="0"/>
                <w:lang w:eastAsia="en-US"/>
              </w:rPr>
              <w:t>Median follow up (range)</w:t>
            </w:r>
          </w:p>
        </w:tc>
        <w:tc>
          <w:tcPr>
            <w:tcW w:w="391" w:type="pct"/>
            <w:shd w:val="clear" w:color="auto" w:fill="D9D9D9" w:themeFill="background1" w:themeFillShade="D9"/>
            <w:vAlign w:val="bottom"/>
          </w:tcPr>
          <w:p w14:paraId="79A4EB62" w14:textId="77777777" w:rsidR="00971E34" w:rsidRPr="007F70F3" w:rsidRDefault="00971E34" w:rsidP="00414740">
            <w:pPr>
              <w:pStyle w:val="Tabletext1"/>
              <w:rPr>
                <w:b/>
                <w:snapToGrid w:val="0"/>
                <w:lang w:eastAsia="en-US"/>
              </w:rPr>
            </w:pPr>
            <w:r w:rsidRPr="007F70F3">
              <w:rPr>
                <w:b/>
                <w:snapToGrid w:val="0"/>
                <w:lang w:eastAsia="en-US"/>
              </w:rPr>
              <w:t>Risk of bias</w:t>
            </w:r>
          </w:p>
        </w:tc>
        <w:tc>
          <w:tcPr>
            <w:tcW w:w="1173" w:type="pct"/>
            <w:shd w:val="clear" w:color="auto" w:fill="D9D9D9" w:themeFill="background1" w:themeFillShade="D9"/>
            <w:vAlign w:val="bottom"/>
          </w:tcPr>
          <w:p w14:paraId="46E717CC" w14:textId="77777777" w:rsidR="00971E34" w:rsidRPr="007F70F3" w:rsidRDefault="00971E34" w:rsidP="00414740">
            <w:pPr>
              <w:pStyle w:val="Tabletext1"/>
              <w:rPr>
                <w:b/>
                <w:snapToGrid w:val="0"/>
                <w:lang w:eastAsia="en-US"/>
              </w:rPr>
            </w:pPr>
            <w:r w:rsidRPr="007F70F3">
              <w:rPr>
                <w:b/>
                <w:snapToGrid w:val="0"/>
                <w:lang w:eastAsia="en-US"/>
              </w:rPr>
              <w:t>Inclusion criteria</w:t>
            </w:r>
          </w:p>
        </w:tc>
        <w:tc>
          <w:tcPr>
            <w:tcW w:w="940" w:type="pct"/>
            <w:shd w:val="clear" w:color="auto" w:fill="D9D9D9" w:themeFill="background1" w:themeFillShade="D9"/>
            <w:vAlign w:val="bottom"/>
          </w:tcPr>
          <w:p w14:paraId="2A88B711" w14:textId="77777777" w:rsidR="00971E34" w:rsidRPr="007F70F3" w:rsidRDefault="00971E34" w:rsidP="00414740">
            <w:pPr>
              <w:pStyle w:val="Tabletext1"/>
              <w:rPr>
                <w:b/>
                <w:snapToGrid w:val="0"/>
                <w:lang w:eastAsia="en-US"/>
              </w:rPr>
            </w:pPr>
            <w:r w:rsidRPr="007F70F3">
              <w:rPr>
                <w:b/>
                <w:snapToGrid w:val="0"/>
                <w:lang w:eastAsia="en-US"/>
              </w:rPr>
              <w:t>Key</w:t>
            </w:r>
          </w:p>
          <w:p w14:paraId="59E3C55D" w14:textId="77777777" w:rsidR="00971E34" w:rsidRPr="007F70F3" w:rsidRDefault="00971E34" w:rsidP="00414740">
            <w:pPr>
              <w:pStyle w:val="Tabletext1"/>
              <w:rPr>
                <w:b/>
                <w:snapToGrid w:val="0"/>
                <w:lang w:eastAsia="en-US"/>
              </w:rPr>
            </w:pPr>
            <w:r w:rsidRPr="007F70F3">
              <w:rPr>
                <w:b/>
                <w:snapToGrid w:val="0"/>
                <w:lang w:eastAsia="en-US"/>
              </w:rPr>
              <w:t>outcome(s)</w:t>
            </w:r>
          </w:p>
        </w:tc>
        <w:tc>
          <w:tcPr>
            <w:tcW w:w="600" w:type="pct"/>
            <w:shd w:val="clear" w:color="auto" w:fill="D9D9D9" w:themeFill="background1" w:themeFillShade="D9"/>
            <w:vAlign w:val="bottom"/>
          </w:tcPr>
          <w:p w14:paraId="121777D9" w14:textId="77777777" w:rsidR="00971E34" w:rsidRPr="007F70F3" w:rsidRDefault="00971E34" w:rsidP="00414740">
            <w:pPr>
              <w:pStyle w:val="Tabletext1"/>
              <w:rPr>
                <w:b/>
                <w:snapToGrid w:val="0"/>
                <w:lang w:eastAsia="en-US"/>
              </w:rPr>
            </w:pPr>
            <w:r w:rsidRPr="007F70F3">
              <w:rPr>
                <w:b/>
                <w:snapToGrid w:val="0"/>
                <w:lang w:eastAsia="en-US"/>
              </w:rPr>
              <w:t>Result used in economic model</w:t>
            </w:r>
          </w:p>
        </w:tc>
      </w:tr>
      <w:tr w:rsidR="00971E34" w:rsidRPr="007F70F3" w14:paraId="5C2EBB12" w14:textId="77777777" w:rsidTr="007226FC">
        <w:tc>
          <w:tcPr>
            <w:tcW w:w="643" w:type="pct"/>
            <w:shd w:val="clear" w:color="auto" w:fill="auto"/>
          </w:tcPr>
          <w:p w14:paraId="04B825DD" w14:textId="77777777" w:rsidR="00971E34" w:rsidRPr="007F70F3" w:rsidRDefault="00971E34" w:rsidP="007226FC">
            <w:pPr>
              <w:pStyle w:val="Tabletext1"/>
              <w:rPr>
                <w:snapToGrid w:val="0"/>
                <w:lang w:eastAsia="en-US"/>
              </w:rPr>
            </w:pPr>
            <w:r w:rsidRPr="007F70F3">
              <w:rPr>
                <w:snapToGrid w:val="0"/>
                <w:lang w:eastAsia="en-US"/>
              </w:rPr>
              <w:t>Simon et al (2007)</w:t>
            </w:r>
          </w:p>
        </w:tc>
        <w:tc>
          <w:tcPr>
            <w:tcW w:w="469" w:type="pct"/>
            <w:shd w:val="clear" w:color="auto" w:fill="auto"/>
          </w:tcPr>
          <w:p w14:paraId="27912FCE" w14:textId="77777777" w:rsidR="00971E34" w:rsidRPr="007F70F3" w:rsidRDefault="00971E34" w:rsidP="00414740">
            <w:pPr>
              <w:pStyle w:val="Tabletext1"/>
              <w:rPr>
                <w:snapToGrid w:val="0"/>
                <w:lang w:eastAsia="en-US"/>
              </w:rPr>
            </w:pPr>
            <w:r w:rsidRPr="007F70F3">
              <w:rPr>
                <w:snapToGrid w:val="0"/>
                <w:lang w:eastAsia="en-US"/>
              </w:rPr>
              <w:t>21 (27)</w:t>
            </w:r>
          </w:p>
        </w:tc>
        <w:tc>
          <w:tcPr>
            <w:tcW w:w="783" w:type="pct"/>
            <w:shd w:val="clear" w:color="auto" w:fill="auto"/>
          </w:tcPr>
          <w:p w14:paraId="07E3C53C" w14:textId="77777777" w:rsidR="00971E34" w:rsidRPr="007F70F3" w:rsidRDefault="00971E34" w:rsidP="00414740">
            <w:pPr>
              <w:pStyle w:val="Tabletext1"/>
              <w:rPr>
                <w:snapToGrid w:val="0"/>
                <w:lang w:eastAsia="en-US"/>
              </w:rPr>
            </w:pPr>
            <w:r w:rsidRPr="007F70F3">
              <w:rPr>
                <w:snapToGrid w:val="0"/>
                <w:lang w:eastAsia="en-US"/>
              </w:rPr>
              <w:t>Level IV retrospective CS</w:t>
            </w:r>
          </w:p>
          <w:p w14:paraId="481248A4" w14:textId="7DA98597" w:rsidR="00971E34" w:rsidRPr="007F70F3" w:rsidRDefault="00971E34" w:rsidP="00414740">
            <w:pPr>
              <w:pStyle w:val="Tabletext1"/>
              <w:rPr>
                <w:snapToGrid w:val="0"/>
                <w:lang w:eastAsia="en-US"/>
              </w:rPr>
            </w:pPr>
            <w:r w:rsidRPr="007F70F3">
              <w:rPr>
                <w:snapToGrid w:val="0"/>
                <w:lang w:eastAsia="en-US"/>
              </w:rPr>
              <w:t>21 (3</w:t>
            </w:r>
            <w:r w:rsidR="00D35E9C">
              <w:rPr>
                <w:snapToGrid w:val="0"/>
                <w:lang w:eastAsia="en-US"/>
              </w:rPr>
              <w:t>–</w:t>
            </w:r>
            <w:r w:rsidRPr="007F70F3">
              <w:rPr>
                <w:snapToGrid w:val="0"/>
                <w:lang w:eastAsia="en-US"/>
              </w:rPr>
              <w:t>74) months</w:t>
            </w:r>
          </w:p>
        </w:tc>
        <w:tc>
          <w:tcPr>
            <w:tcW w:w="391" w:type="pct"/>
            <w:tcBorders>
              <w:bottom w:val="single" w:sz="4" w:space="0" w:color="auto"/>
            </w:tcBorders>
            <w:shd w:val="clear" w:color="auto" w:fill="auto"/>
          </w:tcPr>
          <w:p w14:paraId="00799E1D" w14:textId="77777777" w:rsidR="00971E34" w:rsidRPr="007F70F3" w:rsidRDefault="00971E34" w:rsidP="00414740">
            <w:pPr>
              <w:pStyle w:val="Tabletext1"/>
              <w:rPr>
                <w:snapToGrid w:val="0"/>
                <w:lang w:eastAsia="en-US"/>
              </w:rPr>
            </w:pPr>
            <w:r w:rsidRPr="007F70F3">
              <w:rPr>
                <w:snapToGrid w:val="0"/>
                <w:lang w:eastAsia="en-US"/>
              </w:rPr>
              <w:t>High</w:t>
            </w:r>
          </w:p>
        </w:tc>
        <w:tc>
          <w:tcPr>
            <w:tcW w:w="1173" w:type="pct"/>
            <w:tcBorders>
              <w:bottom w:val="single" w:sz="4" w:space="0" w:color="auto"/>
            </w:tcBorders>
            <w:shd w:val="clear" w:color="auto" w:fill="auto"/>
          </w:tcPr>
          <w:p w14:paraId="54B36C8A" w14:textId="77777777" w:rsidR="00971E34" w:rsidRPr="007F70F3" w:rsidRDefault="00971E34" w:rsidP="00414740">
            <w:pPr>
              <w:pStyle w:val="Tabletext1"/>
              <w:rPr>
                <w:lang w:eastAsia="en-US"/>
              </w:rPr>
            </w:pPr>
            <w:r w:rsidRPr="007F70F3">
              <w:rPr>
                <w:lang w:eastAsia="en-US"/>
              </w:rPr>
              <w:t>Advanced lung cancer, inoperable or refused surgery, refractory to treatment</w:t>
            </w:r>
          </w:p>
        </w:tc>
        <w:tc>
          <w:tcPr>
            <w:tcW w:w="940" w:type="pct"/>
            <w:shd w:val="clear" w:color="auto" w:fill="auto"/>
          </w:tcPr>
          <w:p w14:paraId="0257D835" w14:textId="77777777" w:rsidR="00971E34" w:rsidRPr="007F70F3" w:rsidRDefault="00971E34" w:rsidP="00414740">
            <w:pPr>
              <w:pStyle w:val="Tabletext1"/>
              <w:rPr>
                <w:lang w:eastAsia="en-US"/>
              </w:rPr>
            </w:pPr>
            <w:r w:rsidRPr="007F70F3">
              <w:rPr>
                <w:lang w:eastAsia="en-US"/>
              </w:rPr>
              <w:t>Symptom improvement and relapse</w:t>
            </w:r>
            <w:r w:rsidR="00F757D8">
              <w:rPr>
                <w:lang w:eastAsia="en-US"/>
              </w:rPr>
              <w:t>, a</w:t>
            </w:r>
            <w:r w:rsidRPr="007F70F3">
              <w:rPr>
                <w:lang w:eastAsia="en-US"/>
              </w:rPr>
              <w:t>dverse events</w:t>
            </w:r>
          </w:p>
        </w:tc>
        <w:tc>
          <w:tcPr>
            <w:tcW w:w="600" w:type="pct"/>
            <w:shd w:val="clear" w:color="auto" w:fill="auto"/>
          </w:tcPr>
          <w:p w14:paraId="7F0E21AC" w14:textId="77777777" w:rsidR="00971E34" w:rsidRPr="007F70F3" w:rsidRDefault="00971E34" w:rsidP="00414740">
            <w:pPr>
              <w:pStyle w:val="Tabletext1"/>
              <w:rPr>
                <w:snapToGrid w:val="0"/>
                <w:highlight w:val="cyan"/>
                <w:lang w:eastAsia="en-US"/>
              </w:rPr>
            </w:pPr>
            <w:r w:rsidRPr="007F70F3">
              <w:rPr>
                <w:snapToGrid w:val="0"/>
                <w:lang w:eastAsia="en-US"/>
              </w:rPr>
              <w:t>Not used</w:t>
            </w:r>
          </w:p>
        </w:tc>
      </w:tr>
    </w:tbl>
    <w:p w14:paraId="07CB8E90" w14:textId="6A40426E" w:rsidR="00971E34" w:rsidRPr="007F70F3" w:rsidRDefault="007226FC" w:rsidP="008063EA">
      <w:pPr>
        <w:pStyle w:val="Tablenotes0"/>
      </w:pPr>
      <w:r>
        <w:t xml:space="preserve">&lt; </w:t>
      </w:r>
      <w:r w:rsidR="00D22316">
        <w:t>CS = case series</w:t>
      </w:r>
      <w:r>
        <w:t xml:space="preserve"> &gt;</w:t>
      </w:r>
    </w:p>
    <w:p w14:paraId="6777ED0B" w14:textId="77777777" w:rsidR="00EC1E03" w:rsidRDefault="00EC1E03" w:rsidP="003F6C66">
      <w:pPr>
        <w:pStyle w:val="Heading3"/>
      </w:pPr>
      <w:bookmarkStart w:id="256" w:name="_Toc460396040"/>
      <w:r>
        <w:lastRenderedPageBreak/>
        <w:t>Characteristics of the studies included for radiotherapy</w:t>
      </w:r>
      <w:bookmarkEnd w:id="256"/>
    </w:p>
    <w:p w14:paraId="7ECDA066" w14:textId="77777777" w:rsidR="00287413" w:rsidRPr="00287413" w:rsidRDefault="00287413" w:rsidP="00751E05">
      <w:r w:rsidRPr="001163D9">
        <w:t xml:space="preserve">See Appendix C for details on the individual studies </w:t>
      </w:r>
      <w:r w:rsidR="00322541" w:rsidRPr="001163D9">
        <w:t xml:space="preserve">of radiotherapy </w:t>
      </w:r>
      <w:r w:rsidRPr="001163D9">
        <w:t xml:space="preserve">included in the evidence base. A summary is provided in </w:t>
      </w:r>
      <w:r w:rsidRPr="001163D9">
        <w:fldChar w:fldCharType="begin"/>
      </w:r>
      <w:r w:rsidRPr="001163D9">
        <w:instrText xml:space="preserve"> REF _Ref457395340 \h  \* MERGEFORMAT </w:instrText>
      </w:r>
      <w:r w:rsidRPr="001163D9">
        <w:fldChar w:fldCharType="separate"/>
      </w:r>
      <w:r w:rsidR="00D170A5" w:rsidRPr="00D170A5">
        <w:rPr>
          <w:bCs/>
        </w:rPr>
        <w:t xml:space="preserve">Table </w:t>
      </w:r>
      <w:r w:rsidR="00D170A5" w:rsidRPr="00D170A5">
        <w:rPr>
          <w:bCs/>
          <w:noProof/>
        </w:rPr>
        <w:t>36</w:t>
      </w:r>
      <w:r w:rsidRPr="001163D9">
        <w:fldChar w:fldCharType="end"/>
      </w:r>
      <w:r w:rsidR="00751E05">
        <w:t xml:space="preserve"> to </w:t>
      </w:r>
      <w:r w:rsidR="00751E05">
        <w:fldChar w:fldCharType="begin"/>
      </w:r>
      <w:r w:rsidR="00751E05">
        <w:instrText xml:space="preserve"> REF _Ref458414195 \h </w:instrText>
      </w:r>
      <w:r w:rsidR="00751E05">
        <w:fldChar w:fldCharType="separate"/>
      </w:r>
      <w:r w:rsidR="00D170A5" w:rsidRPr="001163D9">
        <w:t xml:space="preserve">Table </w:t>
      </w:r>
      <w:r w:rsidR="00D170A5">
        <w:rPr>
          <w:noProof/>
        </w:rPr>
        <w:t>38</w:t>
      </w:r>
      <w:r w:rsidR="00751E05">
        <w:fldChar w:fldCharType="end"/>
      </w:r>
      <w:r w:rsidR="00751E05">
        <w:t>.</w:t>
      </w:r>
    </w:p>
    <w:p w14:paraId="318F6E5A" w14:textId="77777777" w:rsidR="00EC1E03" w:rsidRPr="004704FE" w:rsidRDefault="00EC1E03" w:rsidP="00414740">
      <w:pPr>
        <w:spacing w:before="500"/>
        <w:rPr>
          <w:b/>
          <w:i/>
        </w:rPr>
      </w:pPr>
      <w:r w:rsidRPr="004704FE">
        <w:rPr>
          <w:b/>
          <w:i/>
        </w:rPr>
        <w:t>Population one</w:t>
      </w:r>
    </w:p>
    <w:p w14:paraId="668951ED" w14:textId="2C14224B" w:rsidR="006A15B7" w:rsidRDefault="006A15B7" w:rsidP="006A15B7">
      <w:r>
        <w:t>No studies were identified that directly or indirectly compared MTA to current best practice radiotherapy</w:t>
      </w:r>
      <w:r w:rsidR="00C31A7A">
        <w:t xml:space="preserve"> in population one</w:t>
      </w:r>
      <w:r>
        <w:t>. Two Level II</w:t>
      </w:r>
      <w:r w:rsidRPr="00DF31D7">
        <w:t xml:space="preserve"> </w:t>
      </w:r>
      <w:r>
        <w:t xml:space="preserve">studies, two Level III-2 studies and one Level III-3 study, involving  a combined total of 6,635 patients that received radiotherapy, met the inclusion criteria for population one. In addition, one study included a control group of 6,888 patients that received no treatment, and reported a propensity-matched subgroup analysis of SBRT compared to RT (Level III-1) </w:t>
      </w:r>
      <w:r w:rsidR="00C566F0">
        <w:fldChar w:fldCharType="begin">
          <w:fldData xml:space="preserve">PEVuZE5vdGU+PENpdGU+PEF1dGhvcj5Lb3NoeTwvQXV0aG9yPjxZZWFyPjIwMTU8L1llYXI+PFJl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</w:fldData>
        </w:fldChar>
      </w:r>
      <w:r w:rsidR="00194054">
        <w:instrText xml:space="preserve"> ADDIN EN.CITE </w:instrText>
      </w:r>
      <w:r w:rsidR="00194054">
        <w:fldChar w:fldCharType="begin">
          <w:fldData xml:space="preserve">PEVuZE5vdGU+PENpdGU+PEF1dGhvcj5Lb3NoeTwvQXV0aG9yPjxZZWFyPjIwMTU8L1llYXI+PFJl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</w:fldData>
        </w:fldChar>
      </w:r>
      <w:r w:rsidR="00194054">
        <w:instrText xml:space="preserve"> ADDIN EN.CITE.DATA </w:instrText>
      </w:r>
      <w:r w:rsidR="00194054">
        <w:fldChar w:fldCharType="end"/>
      </w:r>
      <w:r w:rsidR="00C566F0">
        <w:fldChar w:fldCharType="separate"/>
      </w:r>
      <w:r w:rsidR="00C566F0">
        <w:rPr>
          <w:noProof/>
        </w:rPr>
        <w:t>(</w:t>
      </w:r>
      <w:hyperlink w:anchor="_ENREF_82" w:tooltip="Koshy, 2015 #137" w:history="1">
        <w:r w:rsidR="00320458">
          <w:rPr>
            <w:noProof/>
          </w:rPr>
          <w:t>Koshy et al 2015</w:t>
        </w:r>
      </w:hyperlink>
      <w:r w:rsidR="00C566F0">
        <w:rPr>
          <w:noProof/>
        </w:rPr>
        <w:t>)</w:t>
      </w:r>
      <w:r w:rsidR="00C566F0">
        <w:fldChar w:fldCharType="end"/>
      </w:r>
      <w:r>
        <w:t>.</w:t>
      </w:r>
    </w:p>
    <w:p w14:paraId="3D18EC21" w14:textId="410A7E1E" w:rsidR="006A15B7" w:rsidRDefault="006A15B7" w:rsidP="006A15B7">
      <w:r>
        <w:t xml:space="preserve">The included studies compared SBRT to </w:t>
      </w:r>
      <w:r w:rsidR="00477B7A">
        <w:t>a</w:t>
      </w:r>
      <w:r w:rsidR="00477B7A" w:rsidRPr="003B04F1">
        <w:t>ccelerated hypofractionated radiotherapy</w:t>
      </w:r>
      <w:r w:rsidR="00477B7A">
        <w:t xml:space="preserve"> (AHRT) </w:t>
      </w:r>
      <w:r w:rsidR="00C566F0">
        <w:fldChar w:fldCharType="begin">
          <w:fldData xml:space="preserve">PEVuZE5vdGU+PENpdGU+PEF1dGhvcj5MdWNhczwvQXV0aG9yPjxZZWFyPjIwMTQ8L1llYXI+PFJl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</w:fldData>
        </w:fldChar>
      </w:r>
      <w:r w:rsidR="00194054">
        <w:instrText xml:space="preserve"> ADDIN EN.CITE </w:instrText>
      </w:r>
      <w:r w:rsidR="00194054">
        <w:fldChar w:fldCharType="begin">
          <w:fldData xml:space="preserve">PEVuZE5vdGU+PENpdGU+PEF1dGhvcj5MdWNhczwvQXV0aG9yPjxZZWFyPjIwMTQ8L1llYXI+PFJl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</w:fldData>
        </w:fldChar>
      </w:r>
      <w:r w:rsidR="00194054">
        <w:instrText xml:space="preserve"> ADDIN EN.CITE.DATA </w:instrText>
      </w:r>
      <w:r w:rsidR="00194054">
        <w:fldChar w:fldCharType="end"/>
      </w:r>
      <w:r w:rsidR="00C566F0">
        <w:fldChar w:fldCharType="separate"/>
      </w:r>
      <w:r w:rsidR="00C566F0">
        <w:rPr>
          <w:noProof/>
        </w:rPr>
        <w:t>(</w:t>
      </w:r>
      <w:hyperlink w:anchor="_ENREF_100" w:tooltip="Lucas, 2014 #138" w:history="1">
        <w:r w:rsidR="00320458">
          <w:rPr>
            <w:noProof/>
          </w:rPr>
          <w:t>Lucas et al 2014</w:t>
        </w:r>
      </w:hyperlink>
      <w:r w:rsidR="00C566F0">
        <w:rPr>
          <w:noProof/>
        </w:rPr>
        <w:t>)</w:t>
      </w:r>
      <w:r w:rsidR="00C566F0">
        <w:fldChar w:fldCharType="end"/>
      </w:r>
      <w:r>
        <w:t>, radical RT to radical RT with chemotherapy</w:t>
      </w:r>
      <w:r w:rsidR="00F4766B">
        <w:t xml:space="preserve"> </w:t>
      </w:r>
      <w:r w:rsidR="00C566F0">
        <w:fldChar w:fldCharType="begin">
          <w:fldData xml:space="preserve">PEVuZE5vdGU+PENpdGU+PEF1dGhvcj5QcmljZTwvQXV0aG9yPjxZZWFyPjIwMTI8L1llYXI+PFJl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=
</w:fldData>
        </w:fldChar>
      </w:r>
      <w:r w:rsidR="00194054">
        <w:instrText xml:space="preserve"> ADDIN EN.CITE </w:instrText>
      </w:r>
      <w:r w:rsidR="00194054">
        <w:fldChar w:fldCharType="begin">
          <w:fldData xml:space="preserve">PEVuZE5vdGU+PENpdGU+PEF1dGhvcj5QcmljZTwvQXV0aG9yPjxZZWFyPjIwMTI8L1llYXI+PFJl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=
</w:fldData>
        </w:fldChar>
      </w:r>
      <w:r w:rsidR="00194054">
        <w:instrText xml:space="preserve"> ADDIN EN.CITE.DATA </w:instrText>
      </w:r>
      <w:r w:rsidR="00194054">
        <w:fldChar w:fldCharType="end"/>
      </w:r>
      <w:r w:rsidR="00C566F0">
        <w:fldChar w:fldCharType="separate"/>
      </w:r>
      <w:r w:rsidR="00C566F0">
        <w:rPr>
          <w:noProof/>
        </w:rPr>
        <w:t>(</w:t>
      </w:r>
      <w:hyperlink w:anchor="_ENREF_120" w:tooltip="Price, 2012 #139" w:history="1">
        <w:r w:rsidR="00320458">
          <w:rPr>
            <w:noProof/>
          </w:rPr>
          <w:t>Price et al 2012</w:t>
        </w:r>
      </w:hyperlink>
      <w:r w:rsidR="00C566F0">
        <w:rPr>
          <w:noProof/>
        </w:rPr>
        <w:t>)</w:t>
      </w:r>
      <w:r w:rsidR="00C566F0">
        <w:fldChar w:fldCharType="end"/>
      </w:r>
      <w:r>
        <w:t xml:space="preserve">, SBRT to conventional RT and/or no treatment </w:t>
      </w:r>
      <w:r w:rsidR="00C566F0">
        <w:fldChar w:fldCharType="begin">
          <w:fldData xml:space="preserve">PEVuZE5vdGU+PENpdGU+PEF1dGhvcj5KZXBwZXNlbjwvQXV0aG9yPjxZZWFyPjIwMTM8L1llYXI+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</w:fldData>
        </w:fldChar>
      </w:r>
      <w:r w:rsidR="00194054">
        <w:instrText xml:space="preserve"> ADDIN EN.CITE </w:instrText>
      </w:r>
      <w:r w:rsidR="00194054">
        <w:fldChar w:fldCharType="begin">
          <w:fldData xml:space="preserve">PEVuZE5vdGU+PENpdGU+PEF1dGhvcj5KZXBwZXNlbjwvQXV0aG9yPjxZZWFyPjIwMTM8L1llYXI+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</w:fldData>
        </w:fldChar>
      </w:r>
      <w:r w:rsidR="00194054">
        <w:instrText xml:space="preserve"> ADDIN EN.CITE.DATA </w:instrText>
      </w:r>
      <w:r w:rsidR="00194054">
        <w:fldChar w:fldCharType="end"/>
      </w:r>
      <w:r w:rsidR="00C566F0">
        <w:fldChar w:fldCharType="separate"/>
      </w:r>
      <w:r w:rsidR="00C566F0">
        <w:rPr>
          <w:noProof/>
        </w:rPr>
        <w:t>(</w:t>
      </w:r>
      <w:hyperlink w:anchor="_ENREF_76" w:tooltip="Jeppesen, 2013 #136" w:history="1">
        <w:r w:rsidR="00320458">
          <w:rPr>
            <w:noProof/>
          </w:rPr>
          <w:t>Jeppesen et al 2013</w:t>
        </w:r>
      </w:hyperlink>
      <w:r w:rsidR="00C566F0">
        <w:rPr>
          <w:noProof/>
        </w:rPr>
        <w:t xml:space="preserve">; </w:t>
      </w:r>
      <w:hyperlink w:anchor="_ENREF_82" w:tooltip="Koshy, 2015 #137" w:history="1">
        <w:r w:rsidR="00320458">
          <w:rPr>
            <w:noProof/>
          </w:rPr>
          <w:t>Koshy et al 2015</w:t>
        </w:r>
      </w:hyperlink>
      <w:r w:rsidR="00C566F0">
        <w:rPr>
          <w:noProof/>
        </w:rPr>
        <w:t>)</w:t>
      </w:r>
      <w:r w:rsidR="00C566F0">
        <w:fldChar w:fldCharType="end"/>
      </w:r>
      <w:r>
        <w:t xml:space="preserve">, and single-fraction SBRT to multi-fraction SBRT </w:t>
      </w:r>
      <w:r w:rsidR="00C566F0">
        <w:fldChar w:fldCharType="begin">
          <w:fldData xml:space="preserve">PEVuZE5vdGU+PENpdGU+PEF1dGhvcj5WaWRldGljPC9BdXRob3I+PFllYXI+MjAxNTwvWWVhcj48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LCBiaW9sb2d5LCBwaHlzaWNzPC9hYmJyLTE+PC9hbHQtcGVyaW9kaWNhbD48cGFnZXM+NzU3LTY0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</w:fldData>
        </w:fldChar>
      </w:r>
      <w:r w:rsidR="00194054">
        <w:instrText xml:space="preserve"> ADDIN EN.CITE </w:instrText>
      </w:r>
      <w:r w:rsidR="00194054">
        <w:fldChar w:fldCharType="begin">
          <w:fldData xml:space="preserve">PEVuZE5vdGU+PENpdGU+PEF1dGhvcj5WaWRldGljPC9BdXRob3I+PFllYXI+MjAxNTwvWWVhcj48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LCBiaW9sb2d5LCBwaHlzaWNzPC9hYmJyLTE+PC9hbHQtcGVyaW9kaWNhbD48cGFnZXM+NzU3LTY0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</w:fldData>
        </w:fldChar>
      </w:r>
      <w:r w:rsidR="00194054">
        <w:instrText xml:space="preserve"> ADDIN EN.CITE.DATA </w:instrText>
      </w:r>
      <w:r w:rsidR="00194054">
        <w:fldChar w:fldCharType="end"/>
      </w:r>
      <w:r w:rsidR="00C566F0">
        <w:fldChar w:fldCharType="separate"/>
      </w:r>
      <w:r w:rsidR="00C566F0">
        <w:rPr>
          <w:noProof/>
        </w:rPr>
        <w:t>(</w:t>
      </w:r>
      <w:hyperlink w:anchor="_ENREF_163" w:tooltip="Videtic, 2015 #140" w:history="1">
        <w:r w:rsidR="00320458">
          <w:rPr>
            <w:noProof/>
          </w:rPr>
          <w:t>Videtic et al 2015</w:t>
        </w:r>
      </w:hyperlink>
      <w:r w:rsidR="00C566F0">
        <w:rPr>
          <w:noProof/>
        </w:rPr>
        <w:t>)</w:t>
      </w:r>
      <w:r w:rsidR="00C566F0">
        <w:fldChar w:fldCharType="end"/>
      </w:r>
      <w:r>
        <w:t xml:space="preserve">. In the absence of direct evidence for radiotherapy compared to MTA, comparative data for radiotherapy provides a more representative indication of the safety and effectiveness than single arm trials. In the trial that compared SBRT to AHRT, patients were selected for each treatment based on tumour size, which is likely to have introduced systematic bias into the results </w:t>
      </w:r>
      <w:r w:rsidR="007717ED">
        <w:fldChar w:fldCharType="begin">
          <w:fldData xml:space="preserve">PEVuZE5vdGU+PENpdGU+PEF1dGhvcj5MdWNhczwvQXV0aG9yPjxZZWFyPjIwMTQ8L1llYXI+PFJl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</w:fldData>
        </w:fldChar>
      </w:r>
      <w:r w:rsidR="00194054">
        <w:instrText xml:space="preserve"> ADDIN EN.CITE </w:instrText>
      </w:r>
      <w:r w:rsidR="00194054">
        <w:fldChar w:fldCharType="begin">
          <w:fldData xml:space="preserve">PEVuZE5vdGU+PENpdGU+PEF1dGhvcj5MdWNhczwvQXV0aG9yPjxZZWFyPjIwMTQ8L1llYXI+PFJl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</w:fldData>
        </w:fldChar>
      </w:r>
      <w:r w:rsidR="00194054">
        <w:instrText xml:space="preserve"> ADDIN EN.CITE.DATA </w:instrText>
      </w:r>
      <w:r w:rsidR="00194054">
        <w:fldChar w:fldCharType="end"/>
      </w:r>
      <w:r w:rsidR="007717ED">
        <w:fldChar w:fldCharType="separate"/>
      </w:r>
      <w:r w:rsidR="007717ED">
        <w:rPr>
          <w:noProof/>
        </w:rPr>
        <w:t>(</w:t>
      </w:r>
      <w:hyperlink w:anchor="_ENREF_100" w:tooltip="Lucas, 2014 #138" w:history="1">
        <w:r w:rsidR="00320458">
          <w:rPr>
            <w:noProof/>
          </w:rPr>
          <w:t>Lucas et al 2014</w:t>
        </w:r>
      </w:hyperlink>
      <w:r w:rsidR="007717ED">
        <w:rPr>
          <w:noProof/>
        </w:rPr>
        <w:t>)</w:t>
      </w:r>
      <w:r w:rsidR="007717ED">
        <w:fldChar w:fldCharType="end"/>
      </w:r>
      <w:r>
        <w:t xml:space="preserve">. SBRT patients were significantly older, more </w:t>
      </w:r>
      <w:r w:rsidR="007717ED">
        <w:t xml:space="preserve">likely to be </w:t>
      </w:r>
      <w:r>
        <w:t>Caucasian, had more squamous cell carcinoma, smaller tumours, earlier stage, and peripherally located lesions.</w:t>
      </w:r>
    </w:p>
    <w:p w14:paraId="00279192" w14:textId="2C3AE3B9" w:rsidR="006A15B7" w:rsidRDefault="006A15B7" w:rsidP="006A15B7">
      <w:r>
        <w:t>Sample populations in the randomised and non-randomised comparative trials of radiotherapy were relatively homogenous in terms of disease stage (Stage I-IIB NSCLC), gender distribution (median 49% males, range 40</w:t>
      </w:r>
      <w:r w:rsidR="00D35E9C">
        <w:t>–</w:t>
      </w:r>
      <w:r>
        <w:t>68%), and median age (median 75 years, range 69</w:t>
      </w:r>
      <w:r w:rsidR="00D35E9C">
        <w:t>–</w:t>
      </w:r>
      <w:r>
        <w:t xml:space="preserve">76 years). Prior treatments were only reported in one study </w:t>
      </w:r>
      <w:r w:rsidR="00C566F0">
        <w:fldChar w:fldCharType="begin">
          <w:fldData xml:space="preserve">PEVuZE5vdGU+PENpdGU+PEF1dGhvcj5MdWNhczwvQXV0aG9yPjxZZWFyPjIwMTQ8L1llYXI+PFJl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</w:fldData>
        </w:fldChar>
      </w:r>
      <w:r w:rsidR="00194054">
        <w:instrText xml:space="preserve"> ADDIN EN.CITE </w:instrText>
      </w:r>
      <w:r w:rsidR="00194054">
        <w:fldChar w:fldCharType="begin">
          <w:fldData xml:space="preserve">PEVuZE5vdGU+PENpdGU+PEF1dGhvcj5MdWNhczwvQXV0aG9yPjxZZWFyPjIwMTQ8L1llYXI+PFJl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</w:fldData>
        </w:fldChar>
      </w:r>
      <w:r w:rsidR="00194054">
        <w:instrText xml:space="preserve"> ADDIN EN.CITE.DATA </w:instrText>
      </w:r>
      <w:r w:rsidR="00194054">
        <w:fldChar w:fldCharType="end"/>
      </w:r>
      <w:r w:rsidR="00C566F0">
        <w:fldChar w:fldCharType="separate"/>
      </w:r>
      <w:r w:rsidR="00C566F0">
        <w:rPr>
          <w:noProof/>
        </w:rPr>
        <w:t>(</w:t>
      </w:r>
      <w:hyperlink w:anchor="_ENREF_100" w:tooltip="Lucas, 2014 #138" w:history="1">
        <w:r w:rsidR="00320458">
          <w:rPr>
            <w:noProof/>
          </w:rPr>
          <w:t>Lucas et al 2014</w:t>
        </w:r>
      </w:hyperlink>
      <w:r w:rsidR="00C566F0">
        <w:rPr>
          <w:noProof/>
        </w:rPr>
        <w:t>)</w:t>
      </w:r>
      <w:r w:rsidR="00C566F0">
        <w:fldChar w:fldCharType="end"/>
      </w:r>
      <w:r>
        <w:t xml:space="preserve">, </w:t>
      </w:r>
      <w:r w:rsidR="007717ED">
        <w:t xml:space="preserve">making </w:t>
      </w:r>
      <w:r>
        <w:t xml:space="preserve">it unclear </w:t>
      </w:r>
      <w:r w:rsidR="007717ED">
        <w:t xml:space="preserve">if </w:t>
      </w:r>
      <w:r>
        <w:t xml:space="preserve">prior treatment was a confounding factor. Overall, there were limited applicability issues regarding the included studies relative to the PICO criteria. </w:t>
      </w:r>
    </w:p>
    <w:p w14:paraId="090850E1" w14:textId="77777777" w:rsidR="007F70F3" w:rsidRPr="007F70F3" w:rsidRDefault="007F70F3" w:rsidP="00CA6DFD">
      <w:pPr>
        <w:pStyle w:val="TableHeading"/>
        <w:rPr>
          <w:snapToGrid w:val="0"/>
          <w:lang w:eastAsia="en-US"/>
        </w:rPr>
      </w:pPr>
      <w:bookmarkStart w:id="257" w:name="_Ref457395340"/>
      <w:bookmarkStart w:id="258" w:name="_Toc460514694"/>
      <w:r w:rsidRPr="001B7083">
        <w:t xml:space="preserve">Table </w:t>
      </w:r>
      <w:fldSimple w:instr=" SEQ Table \* ARABIC ">
        <w:r w:rsidR="00D170A5">
          <w:rPr>
            <w:noProof/>
          </w:rPr>
          <w:t>36</w:t>
        </w:r>
      </w:fldSimple>
      <w:bookmarkEnd w:id="257"/>
      <w:r w:rsidRPr="001B7083">
        <w:tab/>
      </w:r>
      <w:r w:rsidR="003E38A5">
        <w:rPr>
          <w:snapToGrid w:val="0"/>
          <w:lang w:eastAsia="en-US"/>
        </w:rPr>
        <w:t>Characteristics</w:t>
      </w:r>
      <w:r w:rsidRPr="001B7083">
        <w:rPr>
          <w:snapToGrid w:val="0"/>
          <w:lang w:eastAsia="en-US"/>
        </w:rPr>
        <w:t xml:space="preserve"> of the included evidence for radiotherapy in population one</w:t>
      </w:r>
      <w:bookmarkEnd w:id="258"/>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133"/>
        <w:gridCol w:w="995"/>
        <w:gridCol w:w="1326"/>
        <w:gridCol w:w="749"/>
        <w:gridCol w:w="2523"/>
        <w:gridCol w:w="1262"/>
        <w:gridCol w:w="1067"/>
      </w:tblGrid>
      <w:tr w:rsidR="008F67E2" w:rsidRPr="001D54EF" w14:paraId="6C2D0E4E" w14:textId="77777777" w:rsidTr="00E64AC1">
        <w:trPr>
          <w:cantSplit/>
          <w:tblHeader/>
          <w:jc w:val="center"/>
        </w:trPr>
        <w:tc>
          <w:tcPr>
            <w:tcW w:w="632" w:type="pct"/>
            <w:shd w:val="clear" w:color="auto" w:fill="D9D9D9" w:themeFill="background1" w:themeFillShade="D9"/>
            <w:vAlign w:val="bottom"/>
          </w:tcPr>
          <w:p w14:paraId="1F137C1E" w14:textId="77777777" w:rsidR="007F70F3" w:rsidRPr="001D54EF" w:rsidRDefault="007F70F3" w:rsidP="00E64AC1">
            <w:pPr>
              <w:pStyle w:val="Tabletext1"/>
              <w:rPr>
                <w:b/>
                <w:snapToGrid w:val="0"/>
                <w:lang w:eastAsia="en-US"/>
              </w:rPr>
            </w:pPr>
            <w:r w:rsidRPr="001D54EF">
              <w:rPr>
                <w:b/>
                <w:snapToGrid w:val="0"/>
                <w:lang w:eastAsia="en-US"/>
              </w:rPr>
              <w:t>Study</w:t>
            </w:r>
          </w:p>
        </w:tc>
        <w:tc>
          <w:tcPr>
            <w:tcW w:w="512" w:type="pct"/>
            <w:shd w:val="clear" w:color="auto" w:fill="D9D9D9" w:themeFill="background1" w:themeFillShade="D9"/>
            <w:vAlign w:val="bottom"/>
          </w:tcPr>
          <w:p w14:paraId="498D4B7A" w14:textId="38AD1F63" w:rsidR="00BA60C3" w:rsidRPr="005F2661" w:rsidRDefault="000A3DFC" w:rsidP="00414740">
            <w:pPr>
              <w:pStyle w:val="Tabletext1"/>
              <w:rPr>
                <w:b/>
                <w:snapToGrid w:val="0"/>
                <w:lang w:eastAsia="en-US"/>
              </w:rPr>
            </w:pPr>
            <w:r w:rsidRPr="001D54EF">
              <w:rPr>
                <w:b/>
                <w:snapToGrid w:val="0"/>
                <w:lang w:eastAsia="en-US"/>
              </w:rPr>
              <w:t>Intervention</w:t>
            </w:r>
          </w:p>
          <w:p w14:paraId="4C9567F1" w14:textId="77777777" w:rsidR="007F70F3" w:rsidRPr="00642604" w:rsidRDefault="007F70F3" w:rsidP="00414740">
            <w:pPr>
              <w:pStyle w:val="Tabletext1"/>
              <w:rPr>
                <w:b/>
                <w:snapToGrid w:val="0"/>
                <w:lang w:eastAsia="en-US"/>
              </w:rPr>
            </w:pPr>
            <w:r w:rsidRPr="00F2078A">
              <w:rPr>
                <w:b/>
                <w:snapToGrid w:val="0"/>
                <w:lang w:eastAsia="en-US"/>
              </w:rPr>
              <w:t>(</w:t>
            </w:r>
            <w:r w:rsidR="000A3DFC" w:rsidRPr="006E71B4">
              <w:rPr>
                <w:b/>
                <w:snapToGrid w:val="0"/>
                <w:lang w:eastAsia="en-US"/>
              </w:rPr>
              <w:t>N</w:t>
            </w:r>
            <w:r w:rsidRPr="00642604">
              <w:rPr>
                <w:b/>
                <w:snapToGrid w:val="0"/>
                <w:lang w:eastAsia="en-US"/>
              </w:rPr>
              <w:t>)</w:t>
            </w:r>
          </w:p>
        </w:tc>
        <w:tc>
          <w:tcPr>
            <w:tcW w:w="739" w:type="pct"/>
            <w:shd w:val="clear" w:color="auto" w:fill="D9D9D9" w:themeFill="background1" w:themeFillShade="D9"/>
            <w:vAlign w:val="bottom"/>
          </w:tcPr>
          <w:p w14:paraId="1AC157D4" w14:textId="77777777" w:rsidR="007F70F3" w:rsidRPr="00642604" w:rsidRDefault="007F70F3" w:rsidP="00414740">
            <w:pPr>
              <w:pStyle w:val="Tabletext1"/>
              <w:rPr>
                <w:b/>
                <w:snapToGrid w:val="0"/>
                <w:lang w:eastAsia="en-US"/>
              </w:rPr>
            </w:pPr>
            <w:r w:rsidRPr="00642604">
              <w:rPr>
                <w:b/>
                <w:snapToGrid w:val="0"/>
                <w:lang w:eastAsia="en-US"/>
              </w:rPr>
              <w:t>Design;</w:t>
            </w:r>
          </w:p>
          <w:p w14:paraId="06531A3D" w14:textId="77777777" w:rsidR="007F70F3" w:rsidRPr="00EB5A53" w:rsidRDefault="007F70F3" w:rsidP="00414740">
            <w:pPr>
              <w:pStyle w:val="Tabletext1"/>
              <w:rPr>
                <w:b/>
                <w:snapToGrid w:val="0"/>
                <w:vertAlign w:val="superscript"/>
                <w:lang w:eastAsia="en-US"/>
              </w:rPr>
            </w:pPr>
            <w:r w:rsidRPr="001C2967">
              <w:rPr>
                <w:b/>
                <w:snapToGrid w:val="0"/>
                <w:lang w:eastAsia="en-US"/>
              </w:rPr>
              <w:t>Median follow up (range)</w:t>
            </w:r>
          </w:p>
        </w:tc>
        <w:tc>
          <w:tcPr>
            <w:tcW w:w="414" w:type="pct"/>
            <w:shd w:val="clear" w:color="auto" w:fill="D9D9D9" w:themeFill="background1" w:themeFillShade="D9"/>
            <w:vAlign w:val="bottom"/>
          </w:tcPr>
          <w:p w14:paraId="3D224ECE" w14:textId="77777777" w:rsidR="007F70F3" w:rsidRPr="0000124A" w:rsidRDefault="007F70F3" w:rsidP="00414740">
            <w:pPr>
              <w:pStyle w:val="Tabletext1"/>
              <w:rPr>
                <w:b/>
                <w:snapToGrid w:val="0"/>
                <w:lang w:eastAsia="en-US"/>
              </w:rPr>
            </w:pPr>
            <w:r w:rsidRPr="00351105">
              <w:rPr>
                <w:b/>
                <w:snapToGrid w:val="0"/>
                <w:lang w:eastAsia="en-US"/>
              </w:rPr>
              <w:t>Risk of b</w:t>
            </w:r>
            <w:r w:rsidRPr="0000124A">
              <w:rPr>
                <w:b/>
                <w:snapToGrid w:val="0"/>
                <w:lang w:eastAsia="en-US"/>
              </w:rPr>
              <w:t>ias</w:t>
            </w:r>
          </w:p>
        </w:tc>
        <w:tc>
          <w:tcPr>
            <w:tcW w:w="1405" w:type="pct"/>
            <w:shd w:val="clear" w:color="auto" w:fill="D9D9D9" w:themeFill="background1" w:themeFillShade="D9"/>
            <w:vAlign w:val="bottom"/>
          </w:tcPr>
          <w:p w14:paraId="68361AF6" w14:textId="77777777" w:rsidR="007F70F3" w:rsidRPr="0000124A" w:rsidRDefault="007F70F3" w:rsidP="00414740">
            <w:pPr>
              <w:pStyle w:val="Tabletext1"/>
              <w:rPr>
                <w:b/>
                <w:snapToGrid w:val="0"/>
                <w:lang w:eastAsia="en-US"/>
              </w:rPr>
            </w:pPr>
            <w:r w:rsidRPr="0000124A">
              <w:rPr>
                <w:b/>
                <w:snapToGrid w:val="0"/>
                <w:lang w:eastAsia="en-US"/>
              </w:rPr>
              <w:t>Inclusion criteria</w:t>
            </w:r>
          </w:p>
        </w:tc>
        <w:tc>
          <w:tcPr>
            <w:tcW w:w="703" w:type="pct"/>
            <w:shd w:val="clear" w:color="auto" w:fill="D9D9D9" w:themeFill="background1" w:themeFillShade="D9"/>
            <w:vAlign w:val="bottom"/>
          </w:tcPr>
          <w:p w14:paraId="7EB53F4E" w14:textId="77777777" w:rsidR="007F70F3" w:rsidRPr="00781354" w:rsidRDefault="007F70F3" w:rsidP="00414740">
            <w:pPr>
              <w:pStyle w:val="Tabletext1"/>
              <w:rPr>
                <w:b/>
                <w:snapToGrid w:val="0"/>
                <w:lang w:eastAsia="en-US"/>
              </w:rPr>
            </w:pPr>
            <w:r w:rsidRPr="00781354">
              <w:rPr>
                <w:b/>
                <w:snapToGrid w:val="0"/>
                <w:lang w:eastAsia="en-US"/>
              </w:rPr>
              <w:t>Key outcome(s)</w:t>
            </w:r>
          </w:p>
        </w:tc>
        <w:tc>
          <w:tcPr>
            <w:tcW w:w="595" w:type="pct"/>
            <w:shd w:val="clear" w:color="auto" w:fill="D9D9D9" w:themeFill="background1" w:themeFillShade="D9"/>
            <w:vAlign w:val="bottom"/>
          </w:tcPr>
          <w:p w14:paraId="0A4AA1C7" w14:textId="77777777" w:rsidR="007F70F3" w:rsidRPr="006B33E4" w:rsidRDefault="007F70F3" w:rsidP="00414740">
            <w:pPr>
              <w:pStyle w:val="Tabletext1"/>
              <w:rPr>
                <w:b/>
                <w:snapToGrid w:val="0"/>
                <w:lang w:eastAsia="en-US"/>
              </w:rPr>
            </w:pPr>
            <w:r w:rsidRPr="006B33E4">
              <w:rPr>
                <w:b/>
                <w:snapToGrid w:val="0"/>
                <w:lang w:eastAsia="en-US"/>
              </w:rPr>
              <w:t>Result used in economic model</w:t>
            </w:r>
          </w:p>
        </w:tc>
      </w:tr>
      <w:tr w:rsidR="008F67E2" w:rsidRPr="001D54EF" w14:paraId="0195F796" w14:textId="77777777" w:rsidTr="00E64AC1">
        <w:trPr>
          <w:cantSplit/>
          <w:jc w:val="center"/>
        </w:trPr>
        <w:tc>
          <w:tcPr>
            <w:tcW w:w="632" w:type="pct"/>
            <w:shd w:val="clear" w:color="auto" w:fill="auto"/>
          </w:tcPr>
          <w:p w14:paraId="178ABD53" w14:textId="77777777" w:rsidR="007F70F3" w:rsidRPr="001D54EF" w:rsidRDefault="007F70F3" w:rsidP="004704FE">
            <w:pPr>
              <w:pStyle w:val="Tabletext1"/>
              <w:rPr>
                <w:snapToGrid w:val="0"/>
                <w:lang w:eastAsia="en-US"/>
              </w:rPr>
            </w:pPr>
            <w:r w:rsidRPr="001D54EF">
              <w:rPr>
                <w:snapToGrid w:val="0"/>
                <w:lang w:eastAsia="en-US"/>
              </w:rPr>
              <w:t>Koshy et al (2015)</w:t>
            </w:r>
          </w:p>
        </w:tc>
        <w:tc>
          <w:tcPr>
            <w:tcW w:w="512" w:type="pct"/>
            <w:shd w:val="clear" w:color="auto" w:fill="auto"/>
          </w:tcPr>
          <w:p w14:paraId="408DDDB6" w14:textId="77777777" w:rsidR="007F70F3" w:rsidRPr="005F2661" w:rsidRDefault="007F70F3" w:rsidP="00414740">
            <w:pPr>
              <w:pStyle w:val="Tabletext1"/>
              <w:rPr>
                <w:snapToGrid w:val="0"/>
                <w:lang w:eastAsia="en-US"/>
              </w:rPr>
            </w:pPr>
            <w:r w:rsidRPr="001D54EF">
              <w:rPr>
                <w:snapToGrid w:val="0"/>
                <w:lang w:eastAsia="en-US"/>
              </w:rPr>
              <w:t>SBRT</w:t>
            </w:r>
            <w:r w:rsidR="000A3DFC" w:rsidRPr="005F2661">
              <w:rPr>
                <w:snapToGrid w:val="0"/>
                <w:lang w:eastAsia="en-US"/>
              </w:rPr>
              <w:t xml:space="preserve"> (751) </w:t>
            </w:r>
          </w:p>
          <w:p w14:paraId="1D7F70AD" w14:textId="77777777" w:rsidR="007F70F3" w:rsidRPr="006B33E4" w:rsidRDefault="007F70F3" w:rsidP="00414740">
            <w:pPr>
              <w:pStyle w:val="Tabletext1"/>
              <w:rPr>
                <w:snapToGrid w:val="0"/>
                <w:lang w:eastAsia="en-US"/>
              </w:rPr>
            </w:pPr>
            <w:r w:rsidRPr="006E71B4">
              <w:rPr>
                <w:snapToGrid w:val="0"/>
                <w:lang w:eastAsia="en-US"/>
              </w:rPr>
              <w:t>RT</w:t>
            </w:r>
            <w:r w:rsidR="000A3DFC" w:rsidRPr="0000124A">
              <w:rPr>
                <w:snapToGrid w:val="0"/>
                <w:lang w:eastAsia="en-US"/>
              </w:rPr>
              <w:t xml:space="preserve"> (</w:t>
            </w:r>
            <w:r w:rsidRPr="0000124A">
              <w:rPr>
                <w:snapToGrid w:val="0"/>
                <w:lang w:eastAsia="en-US"/>
              </w:rPr>
              <w:t>751</w:t>
            </w:r>
            <w:r w:rsidR="000A3DFC" w:rsidRPr="00781354">
              <w:rPr>
                <w:snapToGrid w:val="0"/>
                <w:lang w:eastAsia="en-US"/>
              </w:rPr>
              <w:t>)</w:t>
            </w:r>
          </w:p>
        </w:tc>
        <w:tc>
          <w:tcPr>
            <w:tcW w:w="739" w:type="pct"/>
            <w:shd w:val="clear" w:color="auto" w:fill="auto"/>
          </w:tcPr>
          <w:p w14:paraId="3D12635B" w14:textId="77777777" w:rsidR="007F70F3" w:rsidRPr="00935A6C" w:rsidRDefault="007547F4" w:rsidP="00414740">
            <w:pPr>
              <w:pStyle w:val="Tabletext1"/>
              <w:rPr>
                <w:snapToGrid w:val="0"/>
                <w:lang w:eastAsia="en-US"/>
              </w:rPr>
            </w:pPr>
            <w:r w:rsidRPr="004D10F1">
              <w:rPr>
                <w:snapToGrid w:val="0"/>
                <w:lang w:eastAsia="en-US"/>
              </w:rPr>
              <w:t>R</w:t>
            </w:r>
            <w:r w:rsidR="007F70F3" w:rsidRPr="00935A6C">
              <w:rPr>
                <w:snapToGrid w:val="0"/>
                <w:lang w:eastAsia="en-US"/>
              </w:rPr>
              <w:t>etrospective propensity-matched cohort</w:t>
            </w:r>
          </w:p>
          <w:p w14:paraId="057A70FB" w14:textId="5B7AB90B" w:rsidR="007F70F3" w:rsidRPr="009616D3" w:rsidRDefault="007F70F3" w:rsidP="00414740">
            <w:pPr>
              <w:pStyle w:val="Tabletext1"/>
              <w:rPr>
                <w:snapToGrid w:val="0"/>
                <w:lang w:eastAsia="en-US"/>
              </w:rPr>
            </w:pPr>
            <w:r w:rsidRPr="009616D3">
              <w:rPr>
                <w:snapToGrid w:val="0"/>
                <w:lang w:eastAsia="en-US"/>
              </w:rPr>
              <w:t>21 (IQR 11</w:t>
            </w:r>
            <w:r w:rsidR="00D35E9C">
              <w:rPr>
                <w:snapToGrid w:val="0"/>
                <w:lang w:eastAsia="en-US"/>
              </w:rPr>
              <w:t>–</w:t>
            </w:r>
            <w:r w:rsidRPr="009616D3">
              <w:rPr>
                <w:snapToGrid w:val="0"/>
                <w:lang w:eastAsia="en-US"/>
              </w:rPr>
              <w:t>43) months</w:t>
            </w:r>
          </w:p>
        </w:tc>
        <w:tc>
          <w:tcPr>
            <w:tcW w:w="414" w:type="pct"/>
            <w:shd w:val="clear" w:color="auto" w:fill="auto"/>
          </w:tcPr>
          <w:p w14:paraId="454CF545" w14:textId="77777777" w:rsidR="007F70F3" w:rsidRPr="009616D3" w:rsidRDefault="007F70F3" w:rsidP="00414740">
            <w:pPr>
              <w:pStyle w:val="Tabletext1"/>
              <w:rPr>
                <w:snapToGrid w:val="0"/>
                <w:lang w:eastAsia="en-US"/>
              </w:rPr>
            </w:pPr>
            <w:r w:rsidRPr="009616D3">
              <w:rPr>
                <w:snapToGrid w:val="0"/>
                <w:lang w:eastAsia="en-US"/>
              </w:rPr>
              <w:t>Low</w:t>
            </w:r>
          </w:p>
        </w:tc>
        <w:tc>
          <w:tcPr>
            <w:tcW w:w="1405" w:type="pct"/>
            <w:shd w:val="clear" w:color="auto" w:fill="auto"/>
          </w:tcPr>
          <w:p w14:paraId="346A38BA" w14:textId="77777777" w:rsidR="007F70F3" w:rsidRPr="001D54EF" w:rsidRDefault="007F70F3" w:rsidP="00414740">
            <w:pPr>
              <w:pStyle w:val="Tabletext1"/>
              <w:rPr>
                <w:snapToGrid w:val="0"/>
                <w:lang w:eastAsia="en-US"/>
              </w:rPr>
            </w:pPr>
            <w:r w:rsidRPr="00C76207">
              <w:rPr>
                <w:snapToGrid w:val="0"/>
                <w:lang w:eastAsia="en-US"/>
              </w:rPr>
              <w:t>Stage I NSCLC who did not undergo surgery</w:t>
            </w:r>
          </w:p>
        </w:tc>
        <w:tc>
          <w:tcPr>
            <w:tcW w:w="703" w:type="pct"/>
            <w:shd w:val="clear" w:color="auto" w:fill="auto"/>
          </w:tcPr>
          <w:p w14:paraId="6A0EF72F" w14:textId="77777777" w:rsidR="007F70F3" w:rsidRPr="001D54EF" w:rsidRDefault="007F70F3" w:rsidP="00414740">
            <w:pPr>
              <w:pStyle w:val="Tabletext1"/>
              <w:rPr>
                <w:lang w:eastAsia="en-US"/>
              </w:rPr>
            </w:pPr>
            <w:r w:rsidRPr="00C76207">
              <w:rPr>
                <w:lang w:eastAsia="en-US"/>
              </w:rPr>
              <w:t>Overall survival</w:t>
            </w:r>
          </w:p>
        </w:tc>
        <w:tc>
          <w:tcPr>
            <w:tcW w:w="595" w:type="pct"/>
            <w:shd w:val="clear" w:color="auto" w:fill="auto"/>
          </w:tcPr>
          <w:p w14:paraId="5B2DA814" w14:textId="77777777" w:rsidR="007F70F3" w:rsidRPr="001D54EF" w:rsidRDefault="007F70F3" w:rsidP="00414740">
            <w:pPr>
              <w:pStyle w:val="Tabletext1"/>
              <w:rPr>
                <w:snapToGrid w:val="0"/>
                <w:lang w:eastAsia="en-US"/>
              </w:rPr>
            </w:pPr>
            <w:r w:rsidRPr="00C76207">
              <w:rPr>
                <w:snapToGrid w:val="0"/>
                <w:lang w:eastAsia="en-US"/>
              </w:rPr>
              <w:t>Not used</w:t>
            </w:r>
          </w:p>
        </w:tc>
      </w:tr>
      <w:tr w:rsidR="008F67E2" w:rsidRPr="001D54EF" w14:paraId="2182C806" w14:textId="77777777" w:rsidTr="00E64AC1">
        <w:trPr>
          <w:cantSplit/>
          <w:jc w:val="center"/>
        </w:trPr>
        <w:tc>
          <w:tcPr>
            <w:tcW w:w="632" w:type="pct"/>
            <w:shd w:val="clear" w:color="auto" w:fill="auto"/>
          </w:tcPr>
          <w:p w14:paraId="7147F3AE" w14:textId="77777777" w:rsidR="007F70F3" w:rsidRPr="001D54EF" w:rsidRDefault="007F70F3" w:rsidP="004704FE">
            <w:pPr>
              <w:pStyle w:val="Tabletext1"/>
              <w:rPr>
                <w:snapToGrid w:val="0"/>
                <w:lang w:eastAsia="en-US"/>
              </w:rPr>
            </w:pPr>
            <w:r w:rsidRPr="001D54EF">
              <w:rPr>
                <w:snapToGrid w:val="0"/>
                <w:lang w:eastAsia="en-US"/>
              </w:rPr>
              <w:lastRenderedPageBreak/>
              <w:t>Koshy et al (2015)</w:t>
            </w:r>
          </w:p>
        </w:tc>
        <w:tc>
          <w:tcPr>
            <w:tcW w:w="512" w:type="pct"/>
            <w:shd w:val="clear" w:color="auto" w:fill="auto"/>
          </w:tcPr>
          <w:p w14:paraId="705C5145" w14:textId="77777777" w:rsidR="007F70F3" w:rsidRPr="0000124A" w:rsidRDefault="007F70F3" w:rsidP="00414740">
            <w:pPr>
              <w:pStyle w:val="Tabletext1"/>
              <w:rPr>
                <w:snapToGrid w:val="0"/>
                <w:lang w:eastAsia="en-US"/>
              </w:rPr>
            </w:pPr>
            <w:r w:rsidRPr="005F2661">
              <w:rPr>
                <w:snapToGrid w:val="0"/>
                <w:lang w:eastAsia="en-US"/>
              </w:rPr>
              <w:t>SBRT</w:t>
            </w:r>
            <w:r w:rsidR="000A3DFC" w:rsidRPr="005F2661">
              <w:rPr>
                <w:snapToGrid w:val="0"/>
                <w:lang w:eastAsia="en-US"/>
              </w:rPr>
              <w:t xml:space="preserve"> (</w:t>
            </w:r>
            <w:r w:rsidRPr="006E71B4">
              <w:rPr>
                <w:snapToGrid w:val="0"/>
                <w:lang w:eastAsia="en-US"/>
              </w:rPr>
              <w:t>773</w:t>
            </w:r>
            <w:r w:rsidR="000A3DFC" w:rsidRPr="0000124A">
              <w:rPr>
                <w:snapToGrid w:val="0"/>
                <w:lang w:eastAsia="en-US"/>
              </w:rPr>
              <w:t>)</w:t>
            </w:r>
          </w:p>
          <w:p w14:paraId="20A6C193" w14:textId="77777777" w:rsidR="007F70F3" w:rsidRPr="006B33E4" w:rsidRDefault="007F70F3" w:rsidP="00414740">
            <w:pPr>
              <w:pStyle w:val="Tabletext1"/>
              <w:rPr>
                <w:snapToGrid w:val="0"/>
                <w:lang w:eastAsia="en-US"/>
              </w:rPr>
            </w:pPr>
            <w:r w:rsidRPr="00781354">
              <w:rPr>
                <w:snapToGrid w:val="0"/>
                <w:lang w:eastAsia="en-US"/>
              </w:rPr>
              <w:t>RT</w:t>
            </w:r>
            <w:r w:rsidR="000A3DFC" w:rsidRPr="006B33E4">
              <w:rPr>
                <w:snapToGrid w:val="0"/>
                <w:lang w:eastAsia="en-US"/>
              </w:rPr>
              <w:t xml:space="preserve"> (5375)</w:t>
            </w:r>
          </w:p>
          <w:p w14:paraId="385CE178" w14:textId="77777777" w:rsidR="007F70F3" w:rsidRPr="009616D3" w:rsidRDefault="000A3DFC" w:rsidP="00414740">
            <w:pPr>
              <w:pStyle w:val="Tabletext1"/>
              <w:rPr>
                <w:snapToGrid w:val="0"/>
                <w:lang w:eastAsia="en-US"/>
              </w:rPr>
            </w:pPr>
            <w:r w:rsidRPr="004D10F1">
              <w:rPr>
                <w:snapToGrid w:val="0"/>
                <w:lang w:eastAsia="en-US"/>
              </w:rPr>
              <w:t>NT (</w:t>
            </w:r>
            <w:r w:rsidR="007F70F3" w:rsidRPr="00935A6C">
              <w:rPr>
                <w:snapToGrid w:val="0"/>
                <w:lang w:eastAsia="en-US"/>
              </w:rPr>
              <w:t>6888</w:t>
            </w:r>
            <w:r w:rsidRPr="009616D3">
              <w:rPr>
                <w:snapToGrid w:val="0"/>
                <w:lang w:eastAsia="en-US"/>
              </w:rPr>
              <w:t>)</w:t>
            </w:r>
          </w:p>
        </w:tc>
        <w:tc>
          <w:tcPr>
            <w:tcW w:w="739" w:type="pct"/>
            <w:shd w:val="clear" w:color="auto" w:fill="auto"/>
          </w:tcPr>
          <w:p w14:paraId="5E4293DB" w14:textId="77777777" w:rsidR="007F70F3" w:rsidRPr="001D54EF" w:rsidRDefault="007F70F3" w:rsidP="00414740">
            <w:pPr>
              <w:pStyle w:val="Tabletext1"/>
              <w:rPr>
                <w:snapToGrid w:val="0"/>
                <w:lang w:eastAsia="en-US"/>
              </w:rPr>
            </w:pPr>
            <w:r w:rsidRPr="00C76207">
              <w:rPr>
                <w:snapToGrid w:val="0"/>
                <w:lang w:eastAsia="en-US"/>
              </w:rPr>
              <w:t>Retrospective cohort</w:t>
            </w:r>
          </w:p>
          <w:p w14:paraId="3B2F1B8A" w14:textId="0FE7119E" w:rsidR="007F70F3" w:rsidRPr="001D54EF" w:rsidRDefault="007F70F3" w:rsidP="00414740">
            <w:pPr>
              <w:pStyle w:val="Tabletext1"/>
              <w:rPr>
                <w:snapToGrid w:val="0"/>
                <w:lang w:eastAsia="en-US"/>
              </w:rPr>
            </w:pPr>
            <w:r w:rsidRPr="00C76207">
              <w:rPr>
                <w:snapToGrid w:val="0"/>
                <w:lang w:eastAsia="en-US"/>
              </w:rPr>
              <w:t>21 (IQR 11</w:t>
            </w:r>
            <w:r w:rsidR="00D35E9C">
              <w:rPr>
                <w:snapToGrid w:val="0"/>
                <w:lang w:eastAsia="en-US"/>
              </w:rPr>
              <w:t>–</w:t>
            </w:r>
            <w:r w:rsidRPr="00C76207">
              <w:rPr>
                <w:snapToGrid w:val="0"/>
                <w:lang w:eastAsia="en-US"/>
              </w:rPr>
              <w:t>43) months</w:t>
            </w:r>
          </w:p>
        </w:tc>
        <w:tc>
          <w:tcPr>
            <w:tcW w:w="414" w:type="pct"/>
            <w:shd w:val="clear" w:color="auto" w:fill="auto"/>
          </w:tcPr>
          <w:p w14:paraId="194054F4" w14:textId="77777777" w:rsidR="007F70F3" w:rsidRPr="001D54EF" w:rsidRDefault="007F70F3" w:rsidP="00414740">
            <w:pPr>
              <w:pStyle w:val="Tabletext1"/>
              <w:rPr>
                <w:snapToGrid w:val="0"/>
                <w:lang w:eastAsia="en-US"/>
              </w:rPr>
            </w:pPr>
            <w:r w:rsidRPr="00C76207">
              <w:rPr>
                <w:snapToGrid w:val="0"/>
                <w:lang w:eastAsia="en-US"/>
              </w:rPr>
              <w:t>Moderate</w:t>
            </w:r>
          </w:p>
        </w:tc>
        <w:tc>
          <w:tcPr>
            <w:tcW w:w="1405" w:type="pct"/>
            <w:shd w:val="clear" w:color="auto" w:fill="auto"/>
          </w:tcPr>
          <w:p w14:paraId="5407C39F" w14:textId="77777777" w:rsidR="007F70F3" w:rsidRPr="001D54EF" w:rsidRDefault="007F70F3" w:rsidP="00414740">
            <w:pPr>
              <w:pStyle w:val="Tabletext1"/>
              <w:rPr>
                <w:snapToGrid w:val="0"/>
                <w:lang w:eastAsia="en-US"/>
              </w:rPr>
            </w:pPr>
            <w:r w:rsidRPr="00C76207">
              <w:rPr>
                <w:snapToGrid w:val="0"/>
                <w:lang w:eastAsia="en-US"/>
              </w:rPr>
              <w:t>Stage I NSCLC who did not undergo surgery</w:t>
            </w:r>
          </w:p>
        </w:tc>
        <w:tc>
          <w:tcPr>
            <w:tcW w:w="703" w:type="pct"/>
            <w:shd w:val="clear" w:color="auto" w:fill="auto"/>
          </w:tcPr>
          <w:p w14:paraId="48E88054" w14:textId="77777777" w:rsidR="007F70F3" w:rsidRPr="001D54EF" w:rsidRDefault="007F70F3" w:rsidP="00414740">
            <w:pPr>
              <w:pStyle w:val="Tabletext1"/>
              <w:rPr>
                <w:lang w:eastAsia="en-US"/>
              </w:rPr>
            </w:pPr>
            <w:r w:rsidRPr="00C76207">
              <w:rPr>
                <w:lang w:eastAsia="en-US"/>
              </w:rPr>
              <w:t>Overall survival</w:t>
            </w:r>
          </w:p>
        </w:tc>
        <w:tc>
          <w:tcPr>
            <w:tcW w:w="595" w:type="pct"/>
            <w:shd w:val="clear" w:color="auto" w:fill="auto"/>
          </w:tcPr>
          <w:p w14:paraId="1A9000FE" w14:textId="77777777" w:rsidR="007F70F3" w:rsidRPr="001D54EF" w:rsidRDefault="007F70F3" w:rsidP="00414740">
            <w:pPr>
              <w:pStyle w:val="Tabletext1"/>
              <w:rPr>
                <w:snapToGrid w:val="0"/>
                <w:lang w:eastAsia="en-US"/>
              </w:rPr>
            </w:pPr>
            <w:r w:rsidRPr="00C76207">
              <w:rPr>
                <w:snapToGrid w:val="0"/>
                <w:lang w:eastAsia="en-US"/>
              </w:rPr>
              <w:t>Not used</w:t>
            </w:r>
          </w:p>
        </w:tc>
      </w:tr>
      <w:tr w:rsidR="008F67E2" w:rsidRPr="001D54EF" w14:paraId="6F83A5EF" w14:textId="77777777" w:rsidTr="00E64AC1">
        <w:trPr>
          <w:cantSplit/>
          <w:jc w:val="center"/>
        </w:trPr>
        <w:tc>
          <w:tcPr>
            <w:tcW w:w="632" w:type="pct"/>
            <w:shd w:val="clear" w:color="auto" w:fill="auto"/>
          </w:tcPr>
          <w:p w14:paraId="3140470D" w14:textId="77777777" w:rsidR="007F70F3" w:rsidRPr="001D54EF" w:rsidRDefault="007F70F3" w:rsidP="004704FE">
            <w:pPr>
              <w:pStyle w:val="Tabletext1"/>
              <w:rPr>
                <w:snapToGrid w:val="0"/>
                <w:lang w:eastAsia="en-US"/>
              </w:rPr>
            </w:pPr>
            <w:r w:rsidRPr="001D54EF">
              <w:rPr>
                <w:snapToGrid w:val="0"/>
                <w:lang w:eastAsia="en-US"/>
              </w:rPr>
              <w:t>Price et al (2012)</w:t>
            </w:r>
          </w:p>
        </w:tc>
        <w:tc>
          <w:tcPr>
            <w:tcW w:w="512" w:type="pct"/>
            <w:shd w:val="clear" w:color="auto" w:fill="auto"/>
          </w:tcPr>
          <w:p w14:paraId="09F29265" w14:textId="77777777" w:rsidR="007F70F3" w:rsidRPr="006E71B4" w:rsidRDefault="007F70F3" w:rsidP="00414740">
            <w:pPr>
              <w:pStyle w:val="Tabletext1"/>
              <w:rPr>
                <w:snapToGrid w:val="0"/>
                <w:lang w:eastAsia="en-US"/>
              </w:rPr>
            </w:pPr>
            <w:r w:rsidRPr="001D54EF">
              <w:rPr>
                <w:snapToGrid w:val="0"/>
                <w:lang w:eastAsia="en-US"/>
              </w:rPr>
              <w:t>RT</w:t>
            </w:r>
            <w:r w:rsidR="006A2593" w:rsidRPr="005F2661">
              <w:rPr>
                <w:snapToGrid w:val="0"/>
                <w:lang w:eastAsia="en-US"/>
              </w:rPr>
              <w:t xml:space="preserve"> </w:t>
            </w:r>
            <w:r w:rsidR="000A3DFC" w:rsidRPr="005F2661">
              <w:rPr>
                <w:snapToGrid w:val="0"/>
                <w:lang w:eastAsia="en-US"/>
              </w:rPr>
              <w:t>(</w:t>
            </w:r>
            <w:r w:rsidRPr="006E71B4">
              <w:rPr>
                <w:snapToGrid w:val="0"/>
                <w:lang w:eastAsia="en-US"/>
              </w:rPr>
              <w:t>56)</w:t>
            </w:r>
          </w:p>
          <w:p w14:paraId="39E6E9E9" w14:textId="77777777" w:rsidR="007F70F3" w:rsidRPr="006B33E4" w:rsidRDefault="006A2593" w:rsidP="00414740">
            <w:pPr>
              <w:pStyle w:val="Tabletext1"/>
              <w:rPr>
                <w:snapToGrid w:val="0"/>
                <w:lang w:eastAsia="en-US"/>
              </w:rPr>
            </w:pPr>
            <w:r w:rsidRPr="0000124A">
              <w:rPr>
                <w:snapToGrid w:val="0"/>
                <w:lang w:eastAsia="en-US"/>
              </w:rPr>
              <w:t xml:space="preserve">RT + C </w:t>
            </w:r>
            <w:r w:rsidR="000A3DFC" w:rsidRPr="00781354">
              <w:rPr>
                <w:snapToGrid w:val="0"/>
                <w:lang w:eastAsia="en-US"/>
              </w:rPr>
              <w:t>(55</w:t>
            </w:r>
            <w:r w:rsidR="007F70F3" w:rsidRPr="006B33E4">
              <w:rPr>
                <w:snapToGrid w:val="0"/>
                <w:lang w:eastAsia="en-US"/>
              </w:rPr>
              <w:t>)</w:t>
            </w:r>
          </w:p>
        </w:tc>
        <w:tc>
          <w:tcPr>
            <w:tcW w:w="739" w:type="pct"/>
            <w:shd w:val="clear" w:color="auto" w:fill="auto"/>
          </w:tcPr>
          <w:p w14:paraId="6AA8527A" w14:textId="77777777" w:rsidR="007F70F3" w:rsidRPr="004D10F1" w:rsidRDefault="007F70F3" w:rsidP="00414740">
            <w:pPr>
              <w:pStyle w:val="Tabletext1"/>
              <w:rPr>
                <w:snapToGrid w:val="0"/>
                <w:lang w:eastAsia="en-US"/>
              </w:rPr>
            </w:pPr>
            <w:r w:rsidRPr="004D10F1">
              <w:rPr>
                <w:snapToGrid w:val="0"/>
                <w:lang w:eastAsia="en-US"/>
              </w:rPr>
              <w:t>RCT OL MC</w:t>
            </w:r>
          </w:p>
          <w:p w14:paraId="5671136C" w14:textId="77777777" w:rsidR="007F70F3" w:rsidRPr="00935A6C" w:rsidRDefault="007F70F3" w:rsidP="00414740">
            <w:pPr>
              <w:pStyle w:val="Tabletext1"/>
              <w:rPr>
                <w:snapToGrid w:val="0"/>
                <w:lang w:eastAsia="en-US"/>
              </w:rPr>
            </w:pPr>
            <w:r w:rsidRPr="00935A6C">
              <w:rPr>
                <w:snapToGrid w:val="0"/>
                <w:lang w:eastAsia="en-US"/>
              </w:rPr>
              <w:t>Follow-up NR</w:t>
            </w:r>
          </w:p>
        </w:tc>
        <w:tc>
          <w:tcPr>
            <w:tcW w:w="414" w:type="pct"/>
            <w:shd w:val="clear" w:color="auto" w:fill="auto"/>
          </w:tcPr>
          <w:p w14:paraId="4B02EECD" w14:textId="77777777" w:rsidR="007F70F3" w:rsidRPr="009616D3" w:rsidRDefault="007F70F3" w:rsidP="00414740">
            <w:pPr>
              <w:pStyle w:val="Tabletext1"/>
              <w:rPr>
                <w:snapToGrid w:val="0"/>
                <w:lang w:eastAsia="en-US"/>
              </w:rPr>
            </w:pPr>
            <w:r w:rsidRPr="009616D3">
              <w:rPr>
                <w:snapToGrid w:val="0"/>
                <w:lang w:eastAsia="en-US"/>
              </w:rPr>
              <w:t>Moderate</w:t>
            </w:r>
          </w:p>
        </w:tc>
        <w:tc>
          <w:tcPr>
            <w:tcW w:w="1405" w:type="pct"/>
            <w:shd w:val="clear" w:color="auto" w:fill="auto"/>
          </w:tcPr>
          <w:p w14:paraId="4A8FFCC6" w14:textId="77777777" w:rsidR="007F70F3" w:rsidRPr="001D54EF" w:rsidRDefault="007F70F3" w:rsidP="00414740">
            <w:pPr>
              <w:pStyle w:val="Tabletext1"/>
              <w:rPr>
                <w:snapToGrid w:val="0"/>
                <w:lang w:eastAsia="en-US"/>
              </w:rPr>
            </w:pPr>
            <w:r w:rsidRPr="009616D3">
              <w:rPr>
                <w:snapToGrid w:val="0"/>
                <w:lang w:eastAsia="en-US"/>
              </w:rPr>
              <w:t>Inoperab</w:t>
            </w:r>
            <w:r w:rsidR="004379DD" w:rsidRPr="00C76207">
              <w:rPr>
                <w:snapToGrid w:val="0"/>
                <w:lang w:eastAsia="en-US"/>
              </w:rPr>
              <w:t>le stage IA-IIB NSCLC</w:t>
            </w:r>
          </w:p>
        </w:tc>
        <w:tc>
          <w:tcPr>
            <w:tcW w:w="703" w:type="pct"/>
            <w:shd w:val="clear" w:color="auto" w:fill="auto"/>
          </w:tcPr>
          <w:p w14:paraId="10E10AA7" w14:textId="77777777" w:rsidR="007F70F3" w:rsidRPr="001D54EF" w:rsidRDefault="007F70F3" w:rsidP="00414740">
            <w:pPr>
              <w:pStyle w:val="Tabletext1"/>
              <w:rPr>
                <w:snapToGrid w:val="0"/>
                <w:lang w:eastAsia="en-US"/>
              </w:rPr>
            </w:pPr>
            <w:r w:rsidRPr="00C76207">
              <w:rPr>
                <w:snapToGrid w:val="0"/>
                <w:lang w:eastAsia="en-US"/>
              </w:rPr>
              <w:t xml:space="preserve">Overall + </w:t>
            </w:r>
            <w:r w:rsidR="008F4989" w:rsidRPr="00B63D1C">
              <w:rPr>
                <w:snapToGrid w:val="0"/>
                <w:lang w:eastAsia="en-US"/>
              </w:rPr>
              <w:t>PF</w:t>
            </w:r>
            <w:r w:rsidRPr="00B63D1C">
              <w:rPr>
                <w:snapToGrid w:val="0"/>
                <w:lang w:eastAsia="en-US"/>
              </w:rPr>
              <w:t xml:space="preserve"> survival</w:t>
            </w:r>
            <w:r w:rsidR="000A3DFC" w:rsidRPr="007150EE">
              <w:rPr>
                <w:snapToGrid w:val="0"/>
                <w:lang w:eastAsia="en-US"/>
              </w:rPr>
              <w:t>, a</w:t>
            </w:r>
            <w:r w:rsidRPr="00556630">
              <w:rPr>
                <w:snapToGrid w:val="0"/>
                <w:lang w:eastAsia="en-US"/>
              </w:rPr>
              <w:t>dverse events</w:t>
            </w:r>
          </w:p>
        </w:tc>
        <w:tc>
          <w:tcPr>
            <w:tcW w:w="595" w:type="pct"/>
            <w:shd w:val="clear" w:color="auto" w:fill="auto"/>
          </w:tcPr>
          <w:p w14:paraId="24627087" w14:textId="77777777" w:rsidR="007F70F3" w:rsidRPr="001D54EF" w:rsidRDefault="007F70F3" w:rsidP="00414740">
            <w:pPr>
              <w:pStyle w:val="Tabletext1"/>
              <w:rPr>
                <w:snapToGrid w:val="0"/>
                <w:lang w:eastAsia="en-US"/>
              </w:rPr>
            </w:pPr>
            <w:r w:rsidRPr="00C76207">
              <w:rPr>
                <w:snapToGrid w:val="0"/>
                <w:lang w:eastAsia="en-US"/>
              </w:rPr>
              <w:t>Not used</w:t>
            </w:r>
          </w:p>
        </w:tc>
      </w:tr>
      <w:tr w:rsidR="008F67E2" w:rsidRPr="001D54EF" w14:paraId="5D709DC0" w14:textId="77777777" w:rsidTr="00E64AC1">
        <w:trPr>
          <w:cantSplit/>
          <w:jc w:val="center"/>
        </w:trPr>
        <w:tc>
          <w:tcPr>
            <w:tcW w:w="632" w:type="pct"/>
            <w:shd w:val="clear" w:color="auto" w:fill="auto"/>
          </w:tcPr>
          <w:p w14:paraId="2881B930" w14:textId="77777777" w:rsidR="007F70F3" w:rsidRPr="001D54EF" w:rsidRDefault="007F70F3" w:rsidP="004704FE">
            <w:pPr>
              <w:pStyle w:val="Tabletext1"/>
              <w:rPr>
                <w:snapToGrid w:val="0"/>
                <w:lang w:eastAsia="en-US"/>
              </w:rPr>
            </w:pPr>
            <w:r w:rsidRPr="001D54EF">
              <w:rPr>
                <w:snapToGrid w:val="0"/>
                <w:lang w:eastAsia="en-US"/>
              </w:rPr>
              <w:t>Videtic et al (2015)</w:t>
            </w:r>
          </w:p>
        </w:tc>
        <w:tc>
          <w:tcPr>
            <w:tcW w:w="512" w:type="pct"/>
            <w:shd w:val="clear" w:color="auto" w:fill="auto"/>
          </w:tcPr>
          <w:p w14:paraId="13AA278E" w14:textId="77777777" w:rsidR="007F70F3" w:rsidRPr="0000124A" w:rsidRDefault="007F70F3" w:rsidP="00414740">
            <w:pPr>
              <w:pStyle w:val="Tabletext1"/>
              <w:rPr>
                <w:snapToGrid w:val="0"/>
                <w:lang w:eastAsia="en-US"/>
              </w:rPr>
            </w:pPr>
            <w:r w:rsidRPr="001D54EF">
              <w:rPr>
                <w:snapToGrid w:val="0"/>
                <w:lang w:eastAsia="en-US"/>
              </w:rPr>
              <w:t>Single-FX SBRT</w:t>
            </w:r>
            <w:r w:rsidR="006A2593" w:rsidRPr="005F2661">
              <w:rPr>
                <w:snapToGrid w:val="0"/>
                <w:lang w:eastAsia="en-US"/>
              </w:rPr>
              <w:t>(</w:t>
            </w:r>
            <w:r w:rsidRPr="005F2661">
              <w:rPr>
                <w:snapToGrid w:val="0"/>
                <w:lang w:eastAsia="en-US"/>
              </w:rPr>
              <w:t>39</w:t>
            </w:r>
            <w:r w:rsidR="006A2593" w:rsidRPr="006E71B4">
              <w:rPr>
                <w:snapToGrid w:val="0"/>
                <w:lang w:eastAsia="en-US"/>
              </w:rPr>
              <w:t>)</w:t>
            </w:r>
          </w:p>
          <w:p w14:paraId="01BC2025" w14:textId="77777777" w:rsidR="007F70F3" w:rsidRPr="006B33E4" w:rsidRDefault="007F70F3" w:rsidP="00414740">
            <w:pPr>
              <w:pStyle w:val="Tabletext1"/>
              <w:rPr>
                <w:snapToGrid w:val="0"/>
                <w:lang w:eastAsia="en-US"/>
              </w:rPr>
            </w:pPr>
            <w:r w:rsidRPr="00781354">
              <w:rPr>
                <w:snapToGrid w:val="0"/>
                <w:lang w:eastAsia="en-US"/>
              </w:rPr>
              <w:t>Multi-FX SBRT</w:t>
            </w:r>
            <w:r w:rsidR="006A2593" w:rsidRPr="006B33E4">
              <w:rPr>
                <w:snapToGrid w:val="0"/>
                <w:lang w:eastAsia="en-US"/>
              </w:rPr>
              <w:t>(</w:t>
            </w:r>
            <w:r w:rsidRPr="006B33E4">
              <w:rPr>
                <w:snapToGrid w:val="0"/>
                <w:lang w:eastAsia="en-US"/>
              </w:rPr>
              <w:t>45)</w:t>
            </w:r>
          </w:p>
        </w:tc>
        <w:tc>
          <w:tcPr>
            <w:tcW w:w="739" w:type="pct"/>
            <w:shd w:val="clear" w:color="auto" w:fill="auto"/>
          </w:tcPr>
          <w:p w14:paraId="2929EFB4" w14:textId="77777777" w:rsidR="007F70F3" w:rsidRPr="004D10F1" w:rsidRDefault="007F70F3" w:rsidP="00414740">
            <w:pPr>
              <w:pStyle w:val="Tabletext1"/>
              <w:rPr>
                <w:snapToGrid w:val="0"/>
                <w:lang w:eastAsia="en-US"/>
              </w:rPr>
            </w:pPr>
            <w:r w:rsidRPr="004D10F1">
              <w:rPr>
                <w:snapToGrid w:val="0"/>
                <w:lang w:eastAsia="en-US"/>
              </w:rPr>
              <w:t>RCT OL MC</w:t>
            </w:r>
          </w:p>
          <w:p w14:paraId="48DD9213" w14:textId="77777777" w:rsidR="007F70F3" w:rsidRPr="00935A6C" w:rsidRDefault="007F70F3" w:rsidP="00414740">
            <w:pPr>
              <w:pStyle w:val="Tabletext1"/>
              <w:rPr>
                <w:snapToGrid w:val="0"/>
                <w:lang w:eastAsia="en-US"/>
              </w:rPr>
            </w:pPr>
            <w:r w:rsidRPr="00935A6C">
              <w:rPr>
                <w:snapToGrid w:val="0"/>
                <w:lang w:eastAsia="en-US"/>
              </w:rPr>
              <w:t>Median 30.2 months</w:t>
            </w:r>
          </w:p>
        </w:tc>
        <w:tc>
          <w:tcPr>
            <w:tcW w:w="414" w:type="pct"/>
            <w:shd w:val="clear" w:color="auto" w:fill="auto"/>
          </w:tcPr>
          <w:p w14:paraId="7739D0E5" w14:textId="77777777" w:rsidR="007F70F3" w:rsidRPr="009616D3" w:rsidRDefault="007F70F3" w:rsidP="00414740">
            <w:pPr>
              <w:pStyle w:val="Tabletext1"/>
              <w:rPr>
                <w:snapToGrid w:val="0"/>
                <w:lang w:eastAsia="en-US"/>
              </w:rPr>
            </w:pPr>
            <w:r w:rsidRPr="009616D3">
              <w:rPr>
                <w:snapToGrid w:val="0"/>
                <w:lang w:eastAsia="en-US"/>
              </w:rPr>
              <w:t>Moderate</w:t>
            </w:r>
          </w:p>
        </w:tc>
        <w:tc>
          <w:tcPr>
            <w:tcW w:w="1405" w:type="pct"/>
            <w:shd w:val="clear" w:color="auto" w:fill="auto"/>
          </w:tcPr>
          <w:p w14:paraId="000FD3E9" w14:textId="77777777" w:rsidR="007F70F3" w:rsidRPr="009616D3" w:rsidRDefault="007F70F3" w:rsidP="00414740">
            <w:pPr>
              <w:pStyle w:val="Tabletext1"/>
              <w:rPr>
                <w:snapToGrid w:val="0"/>
                <w:lang w:eastAsia="en-US"/>
              </w:rPr>
            </w:pPr>
            <w:r w:rsidRPr="009616D3">
              <w:rPr>
                <w:snapToGrid w:val="0"/>
                <w:lang w:eastAsia="en-US"/>
              </w:rPr>
              <w:t>Stage IA-IIA NSCLC, ≤ 50 mm, medically inoperable or refused surgery</w:t>
            </w:r>
          </w:p>
        </w:tc>
        <w:tc>
          <w:tcPr>
            <w:tcW w:w="703" w:type="pct"/>
            <w:shd w:val="clear" w:color="auto" w:fill="auto"/>
          </w:tcPr>
          <w:p w14:paraId="7A4148B7" w14:textId="77777777" w:rsidR="007F70F3" w:rsidRPr="001D54EF" w:rsidRDefault="007F70F3" w:rsidP="00414740">
            <w:pPr>
              <w:pStyle w:val="Tabletext1"/>
              <w:rPr>
                <w:snapToGrid w:val="0"/>
                <w:lang w:eastAsia="en-US"/>
              </w:rPr>
            </w:pPr>
            <w:r w:rsidRPr="00C76207">
              <w:rPr>
                <w:snapToGrid w:val="0"/>
                <w:lang w:eastAsia="en-US"/>
              </w:rPr>
              <w:t>Overall + disease-free survival</w:t>
            </w:r>
            <w:r w:rsidR="00FF101B" w:rsidRPr="00B63D1C">
              <w:rPr>
                <w:snapToGrid w:val="0"/>
                <w:lang w:eastAsia="en-US"/>
              </w:rPr>
              <w:t>, a</w:t>
            </w:r>
            <w:r w:rsidRPr="00B63D1C">
              <w:rPr>
                <w:snapToGrid w:val="0"/>
                <w:lang w:eastAsia="en-US"/>
              </w:rPr>
              <w:t>dverse events</w:t>
            </w:r>
          </w:p>
        </w:tc>
        <w:tc>
          <w:tcPr>
            <w:tcW w:w="595" w:type="pct"/>
            <w:shd w:val="clear" w:color="auto" w:fill="auto"/>
          </w:tcPr>
          <w:p w14:paraId="358F81BA" w14:textId="77777777" w:rsidR="007F70F3" w:rsidRPr="001D54EF" w:rsidRDefault="007F70F3" w:rsidP="00414740">
            <w:pPr>
              <w:pStyle w:val="Tabletext1"/>
              <w:rPr>
                <w:snapToGrid w:val="0"/>
                <w:lang w:eastAsia="en-US"/>
              </w:rPr>
            </w:pPr>
            <w:r w:rsidRPr="00C76207">
              <w:rPr>
                <w:snapToGrid w:val="0"/>
                <w:lang w:eastAsia="en-US"/>
              </w:rPr>
              <w:t>Not used</w:t>
            </w:r>
          </w:p>
        </w:tc>
      </w:tr>
      <w:tr w:rsidR="008F67E2" w:rsidRPr="001D54EF" w14:paraId="6D96B981" w14:textId="77777777" w:rsidTr="00E64AC1">
        <w:trPr>
          <w:cantSplit/>
          <w:jc w:val="center"/>
        </w:trPr>
        <w:tc>
          <w:tcPr>
            <w:tcW w:w="632" w:type="pct"/>
            <w:shd w:val="clear" w:color="auto" w:fill="auto"/>
          </w:tcPr>
          <w:p w14:paraId="4460BF24" w14:textId="77777777" w:rsidR="007F70F3" w:rsidRPr="001D54EF" w:rsidRDefault="007F70F3" w:rsidP="004704FE">
            <w:pPr>
              <w:pStyle w:val="Tabletext1"/>
              <w:rPr>
                <w:snapToGrid w:val="0"/>
                <w:lang w:eastAsia="en-US"/>
              </w:rPr>
            </w:pPr>
            <w:r w:rsidRPr="001D54EF">
              <w:rPr>
                <w:snapToGrid w:val="0"/>
                <w:lang w:eastAsia="en-US"/>
              </w:rPr>
              <w:t>Jeppsen et al (2013)</w:t>
            </w:r>
          </w:p>
        </w:tc>
        <w:tc>
          <w:tcPr>
            <w:tcW w:w="512" w:type="pct"/>
            <w:shd w:val="clear" w:color="auto" w:fill="auto"/>
          </w:tcPr>
          <w:p w14:paraId="4E91B39A" w14:textId="77777777" w:rsidR="007F70F3" w:rsidRPr="005F2661" w:rsidRDefault="007F70F3" w:rsidP="00414740">
            <w:pPr>
              <w:pStyle w:val="Tabletext1"/>
              <w:rPr>
                <w:snapToGrid w:val="0"/>
                <w:lang w:eastAsia="en-US"/>
              </w:rPr>
            </w:pPr>
            <w:r w:rsidRPr="001D54EF">
              <w:rPr>
                <w:snapToGrid w:val="0"/>
                <w:lang w:eastAsia="en-US"/>
              </w:rPr>
              <w:t>SBRT</w:t>
            </w:r>
            <w:r w:rsidR="008F67E2" w:rsidRPr="005F2661">
              <w:rPr>
                <w:snapToGrid w:val="0"/>
                <w:lang w:eastAsia="en-US"/>
              </w:rPr>
              <w:t>(</w:t>
            </w:r>
            <w:r w:rsidRPr="005F2661">
              <w:rPr>
                <w:snapToGrid w:val="0"/>
                <w:lang w:eastAsia="en-US"/>
              </w:rPr>
              <w:t>100)</w:t>
            </w:r>
          </w:p>
          <w:p w14:paraId="46A3E786" w14:textId="77777777" w:rsidR="007F70F3" w:rsidRPr="00781354" w:rsidRDefault="007F70F3" w:rsidP="00414740">
            <w:pPr>
              <w:pStyle w:val="Tabletext1"/>
              <w:rPr>
                <w:snapToGrid w:val="0"/>
                <w:lang w:eastAsia="en-US"/>
              </w:rPr>
            </w:pPr>
            <w:r w:rsidRPr="006E71B4">
              <w:rPr>
                <w:snapToGrid w:val="0"/>
                <w:lang w:eastAsia="en-US"/>
              </w:rPr>
              <w:t>RT</w:t>
            </w:r>
            <w:r w:rsidR="008F67E2" w:rsidRPr="0000124A">
              <w:rPr>
                <w:snapToGrid w:val="0"/>
                <w:lang w:eastAsia="en-US"/>
              </w:rPr>
              <w:t xml:space="preserve"> (32)</w:t>
            </w:r>
          </w:p>
        </w:tc>
        <w:tc>
          <w:tcPr>
            <w:tcW w:w="739" w:type="pct"/>
            <w:shd w:val="clear" w:color="auto" w:fill="auto"/>
          </w:tcPr>
          <w:p w14:paraId="18F5CB96" w14:textId="77777777" w:rsidR="007F70F3" w:rsidRPr="006B33E4" w:rsidRDefault="007547F4" w:rsidP="00414740">
            <w:pPr>
              <w:pStyle w:val="Tabletext1"/>
              <w:rPr>
                <w:snapToGrid w:val="0"/>
                <w:lang w:eastAsia="en-US"/>
              </w:rPr>
            </w:pPr>
            <w:r w:rsidRPr="006B33E4">
              <w:rPr>
                <w:snapToGrid w:val="0"/>
                <w:lang w:eastAsia="en-US"/>
              </w:rPr>
              <w:t>H</w:t>
            </w:r>
            <w:r w:rsidR="007F70F3" w:rsidRPr="006B33E4">
              <w:rPr>
                <w:snapToGrid w:val="0"/>
                <w:lang w:eastAsia="en-US"/>
              </w:rPr>
              <w:t>istorical control</w:t>
            </w:r>
          </w:p>
          <w:p w14:paraId="288FED0B" w14:textId="22594822" w:rsidR="007F70F3" w:rsidRPr="00935A6C" w:rsidRDefault="007F70F3" w:rsidP="00414740">
            <w:pPr>
              <w:pStyle w:val="Tabletext1"/>
              <w:rPr>
                <w:snapToGrid w:val="0"/>
                <w:lang w:eastAsia="en-US"/>
              </w:rPr>
            </w:pPr>
            <w:r w:rsidRPr="004D10F1">
              <w:rPr>
                <w:lang w:eastAsia="en-US"/>
              </w:rPr>
              <w:t>82 (9</w:t>
            </w:r>
            <w:r w:rsidR="00D35E9C">
              <w:rPr>
                <w:lang w:eastAsia="en-US"/>
              </w:rPr>
              <w:t>–</w:t>
            </w:r>
            <w:r w:rsidRPr="004D10F1">
              <w:rPr>
                <w:lang w:eastAsia="en-US"/>
              </w:rPr>
              <w:t>173) months</w:t>
            </w:r>
          </w:p>
        </w:tc>
        <w:tc>
          <w:tcPr>
            <w:tcW w:w="414" w:type="pct"/>
            <w:shd w:val="clear" w:color="auto" w:fill="auto"/>
          </w:tcPr>
          <w:p w14:paraId="348597A3" w14:textId="77777777" w:rsidR="007F70F3" w:rsidRPr="009616D3" w:rsidRDefault="007F70F3" w:rsidP="00414740">
            <w:pPr>
              <w:pStyle w:val="Tabletext1"/>
              <w:rPr>
                <w:snapToGrid w:val="0"/>
                <w:lang w:eastAsia="en-US"/>
              </w:rPr>
            </w:pPr>
            <w:r w:rsidRPr="009616D3">
              <w:rPr>
                <w:snapToGrid w:val="0"/>
                <w:lang w:eastAsia="en-US"/>
              </w:rPr>
              <w:t>High</w:t>
            </w:r>
          </w:p>
        </w:tc>
        <w:tc>
          <w:tcPr>
            <w:tcW w:w="1405" w:type="pct"/>
            <w:shd w:val="clear" w:color="auto" w:fill="auto"/>
          </w:tcPr>
          <w:p w14:paraId="04171D7D" w14:textId="77777777" w:rsidR="007F70F3" w:rsidRPr="009616D3" w:rsidRDefault="007F70F3" w:rsidP="00414740">
            <w:pPr>
              <w:pStyle w:val="Tabletext1"/>
              <w:rPr>
                <w:snapToGrid w:val="0"/>
                <w:lang w:eastAsia="en-US"/>
              </w:rPr>
            </w:pPr>
            <w:r w:rsidRPr="009616D3">
              <w:rPr>
                <w:snapToGrid w:val="0"/>
                <w:lang w:eastAsia="en-US"/>
              </w:rPr>
              <w:t>Inoperable stage IA-IIA NSCLC</w:t>
            </w:r>
          </w:p>
        </w:tc>
        <w:tc>
          <w:tcPr>
            <w:tcW w:w="703" w:type="pct"/>
            <w:shd w:val="clear" w:color="auto" w:fill="auto"/>
          </w:tcPr>
          <w:p w14:paraId="05D2ECA7" w14:textId="77777777" w:rsidR="007F70F3" w:rsidRPr="001D54EF" w:rsidRDefault="007F70F3" w:rsidP="00414740">
            <w:pPr>
              <w:pStyle w:val="Tabletext1"/>
              <w:rPr>
                <w:snapToGrid w:val="0"/>
                <w:lang w:eastAsia="en-US"/>
              </w:rPr>
            </w:pPr>
            <w:r w:rsidRPr="00C76207">
              <w:rPr>
                <w:snapToGrid w:val="0"/>
                <w:lang w:eastAsia="en-US"/>
              </w:rPr>
              <w:t>Adverse events</w:t>
            </w:r>
          </w:p>
        </w:tc>
        <w:tc>
          <w:tcPr>
            <w:tcW w:w="595" w:type="pct"/>
            <w:shd w:val="clear" w:color="auto" w:fill="auto"/>
          </w:tcPr>
          <w:p w14:paraId="07CD648A" w14:textId="77777777" w:rsidR="007F70F3" w:rsidRPr="001D54EF" w:rsidRDefault="007F70F3" w:rsidP="00414740">
            <w:pPr>
              <w:pStyle w:val="Tabletext1"/>
              <w:rPr>
                <w:snapToGrid w:val="0"/>
                <w:lang w:eastAsia="en-US"/>
              </w:rPr>
            </w:pPr>
            <w:r w:rsidRPr="00C76207">
              <w:rPr>
                <w:snapToGrid w:val="0"/>
                <w:lang w:eastAsia="en-US"/>
              </w:rPr>
              <w:t>Not used</w:t>
            </w:r>
          </w:p>
        </w:tc>
      </w:tr>
      <w:tr w:rsidR="008F67E2" w:rsidRPr="001D54EF" w14:paraId="5DA19BAE" w14:textId="77777777" w:rsidTr="00E64AC1">
        <w:trPr>
          <w:cantSplit/>
          <w:jc w:val="center"/>
        </w:trPr>
        <w:tc>
          <w:tcPr>
            <w:tcW w:w="632" w:type="pct"/>
            <w:shd w:val="clear" w:color="auto" w:fill="auto"/>
          </w:tcPr>
          <w:p w14:paraId="4A576C9E" w14:textId="77777777" w:rsidR="007F70F3" w:rsidRPr="001D54EF" w:rsidRDefault="007F70F3" w:rsidP="004704FE">
            <w:pPr>
              <w:pStyle w:val="Tabletext1"/>
              <w:rPr>
                <w:snapToGrid w:val="0"/>
                <w:lang w:eastAsia="en-US"/>
              </w:rPr>
            </w:pPr>
            <w:r w:rsidRPr="001D54EF">
              <w:rPr>
                <w:snapToGrid w:val="0"/>
                <w:lang w:eastAsia="en-US"/>
              </w:rPr>
              <w:t>Lucas et al (2015)</w:t>
            </w:r>
          </w:p>
        </w:tc>
        <w:tc>
          <w:tcPr>
            <w:tcW w:w="512" w:type="pct"/>
            <w:shd w:val="clear" w:color="auto" w:fill="auto"/>
          </w:tcPr>
          <w:p w14:paraId="16EED2D3" w14:textId="77777777" w:rsidR="008F67E2" w:rsidRPr="00781354" w:rsidRDefault="007F70F3" w:rsidP="00414740">
            <w:pPr>
              <w:pStyle w:val="Tabletext1"/>
              <w:rPr>
                <w:snapToGrid w:val="0"/>
                <w:lang w:eastAsia="en-US"/>
              </w:rPr>
            </w:pPr>
            <w:r w:rsidRPr="001D54EF">
              <w:rPr>
                <w:snapToGrid w:val="0"/>
                <w:lang w:eastAsia="en-US"/>
              </w:rPr>
              <w:t>SBRT</w:t>
            </w:r>
            <w:r w:rsidR="008F67E2" w:rsidRPr="005F2661">
              <w:rPr>
                <w:snapToGrid w:val="0"/>
                <w:lang w:eastAsia="en-US"/>
              </w:rPr>
              <w:t xml:space="preserve"> (</w:t>
            </w:r>
            <w:r w:rsidRPr="005F2661">
              <w:rPr>
                <w:snapToGrid w:val="0"/>
                <w:lang w:eastAsia="en-US"/>
              </w:rPr>
              <w:t>81</w:t>
            </w:r>
            <w:r w:rsidR="008F67E2" w:rsidRPr="006E71B4">
              <w:rPr>
                <w:snapToGrid w:val="0"/>
                <w:lang w:eastAsia="en-US"/>
              </w:rPr>
              <w:t>)</w:t>
            </w:r>
            <w:r w:rsidRPr="0000124A">
              <w:rPr>
                <w:snapToGrid w:val="0"/>
                <w:lang w:eastAsia="en-US"/>
              </w:rPr>
              <w:t xml:space="preserve"> </w:t>
            </w:r>
          </w:p>
          <w:p w14:paraId="631AB1EE" w14:textId="77777777" w:rsidR="007F70F3" w:rsidRPr="004D10F1" w:rsidRDefault="007F70F3" w:rsidP="00414740">
            <w:pPr>
              <w:pStyle w:val="Tabletext1"/>
              <w:rPr>
                <w:snapToGrid w:val="0"/>
                <w:lang w:eastAsia="en-US"/>
              </w:rPr>
            </w:pPr>
            <w:r w:rsidRPr="006B33E4">
              <w:rPr>
                <w:snapToGrid w:val="0"/>
                <w:lang w:eastAsia="en-US"/>
              </w:rPr>
              <w:t>AHRT</w:t>
            </w:r>
            <w:r w:rsidR="003F2503" w:rsidRPr="006B33E4">
              <w:rPr>
                <w:snapToGrid w:val="0"/>
                <w:lang w:eastAsia="en-US"/>
              </w:rPr>
              <w:t xml:space="preserve"> </w:t>
            </w:r>
            <w:r w:rsidR="008F67E2" w:rsidRPr="006B33E4">
              <w:rPr>
                <w:snapToGrid w:val="0"/>
                <w:lang w:eastAsia="en-US"/>
              </w:rPr>
              <w:t>(</w:t>
            </w:r>
            <w:r w:rsidRPr="004D10F1">
              <w:rPr>
                <w:snapToGrid w:val="0"/>
                <w:lang w:eastAsia="en-US"/>
              </w:rPr>
              <w:t>79)</w:t>
            </w:r>
          </w:p>
        </w:tc>
        <w:tc>
          <w:tcPr>
            <w:tcW w:w="739" w:type="pct"/>
            <w:shd w:val="clear" w:color="auto" w:fill="auto"/>
          </w:tcPr>
          <w:p w14:paraId="1228EA08" w14:textId="77777777" w:rsidR="007F70F3" w:rsidRPr="009616D3" w:rsidRDefault="007547F4" w:rsidP="00414740">
            <w:pPr>
              <w:pStyle w:val="Tabletext1"/>
              <w:rPr>
                <w:snapToGrid w:val="0"/>
                <w:lang w:eastAsia="en-US"/>
              </w:rPr>
            </w:pPr>
            <w:r w:rsidRPr="00935A6C">
              <w:rPr>
                <w:snapToGrid w:val="0"/>
                <w:lang w:eastAsia="en-US"/>
              </w:rPr>
              <w:t>R</w:t>
            </w:r>
            <w:r w:rsidR="007F70F3" w:rsidRPr="009616D3">
              <w:rPr>
                <w:snapToGrid w:val="0"/>
                <w:lang w:eastAsia="en-US"/>
              </w:rPr>
              <w:t>etrospective cohort</w:t>
            </w:r>
          </w:p>
          <w:p w14:paraId="46A6DDF8" w14:textId="31964034" w:rsidR="007F70F3" w:rsidRPr="009616D3" w:rsidRDefault="007F70F3" w:rsidP="00414740">
            <w:pPr>
              <w:pStyle w:val="Tabletext1"/>
              <w:rPr>
                <w:snapToGrid w:val="0"/>
                <w:lang w:eastAsia="en-US"/>
              </w:rPr>
            </w:pPr>
            <w:r w:rsidRPr="009616D3">
              <w:rPr>
                <w:snapToGrid w:val="0"/>
                <w:lang w:eastAsia="en-US"/>
              </w:rPr>
              <w:t>24 (IQR 11</w:t>
            </w:r>
            <w:r w:rsidR="00D35E9C">
              <w:rPr>
                <w:snapToGrid w:val="0"/>
                <w:lang w:eastAsia="en-US"/>
              </w:rPr>
              <w:t>–</w:t>
            </w:r>
            <w:r w:rsidRPr="009616D3">
              <w:rPr>
                <w:snapToGrid w:val="0"/>
                <w:lang w:eastAsia="en-US"/>
              </w:rPr>
              <w:t>40) months</w:t>
            </w:r>
          </w:p>
        </w:tc>
        <w:tc>
          <w:tcPr>
            <w:tcW w:w="414" w:type="pct"/>
            <w:tcBorders>
              <w:bottom w:val="single" w:sz="4" w:space="0" w:color="auto"/>
            </w:tcBorders>
            <w:shd w:val="clear" w:color="auto" w:fill="auto"/>
          </w:tcPr>
          <w:p w14:paraId="0A9E3B41" w14:textId="77777777" w:rsidR="007F70F3" w:rsidRPr="001D54EF" w:rsidRDefault="007F70F3" w:rsidP="00414740">
            <w:pPr>
              <w:pStyle w:val="Tabletext1"/>
              <w:rPr>
                <w:snapToGrid w:val="0"/>
                <w:lang w:eastAsia="en-US"/>
              </w:rPr>
            </w:pPr>
            <w:r w:rsidRPr="00C76207">
              <w:rPr>
                <w:snapToGrid w:val="0"/>
                <w:lang w:eastAsia="en-US"/>
              </w:rPr>
              <w:t>High</w:t>
            </w:r>
          </w:p>
        </w:tc>
        <w:tc>
          <w:tcPr>
            <w:tcW w:w="1405" w:type="pct"/>
            <w:tcBorders>
              <w:bottom w:val="single" w:sz="4" w:space="0" w:color="auto"/>
            </w:tcBorders>
            <w:shd w:val="clear" w:color="auto" w:fill="auto"/>
          </w:tcPr>
          <w:p w14:paraId="7353DD04" w14:textId="77777777" w:rsidR="007F70F3" w:rsidRPr="001D54EF" w:rsidRDefault="007F70F3" w:rsidP="00414740">
            <w:pPr>
              <w:pStyle w:val="Tabletext1"/>
              <w:rPr>
                <w:snapToGrid w:val="0"/>
                <w:lang w:eastAsia="en-US"/>
              </w:rPr>
            </w:pPr>
            <w:r w:rsidRPr="00C76207">
              <w:rPr>
                <w:snapToGrid w:val="0"/>
                <w:lang w:eastAsia="en-US"/>
              </w:rPr>
              <w:t>Inoperable stage IA-IIA NSCLC</w:t>
            </w:r>
          </w:p>
        </w:tc>
        <w:tc>
          <w:tcPr>
            <w:tcW w:w="703" w:type="pct"/>
            <w:tcBorders>
              <w:bottom w:val="single" w:sz="4" w:space="0" w:color="auto"/>
            </w:tcBorders>
            <w:shd w:val="clear" w:color="auto" w:fill="auto"/>
          </w:tcPr>
          <w:p w14:paraId="7352C954" w14:textId="77777777" w:rsidR="007F70F3" w:rsidRPr="001D54EF" w:rsidRDefault="007F70F3" w:rsidP="00414740">
            <w:pPr>
              <w:pStyle w:val="Tabletext1"/>
              <w:rPr>
                <w:snapToGrid w:val="0"/>
                <w:lang w:eastAsia="en-US"/>
              </w:rPr>
            </w:pPr>
            <w:r w:rsidRPr="00C76207">
              <w:rPr>
                <w:snapToGrid w:val="0"/>
                <w:lang w:eastAsia="en-US"/>
              </w:rPr>
              <w:t>Adverse events</w:t>
            </w:r>
          </w:p>
        </w:tc>
        <w:tc>
          <w:tcPr>
            <w:tcW w:w="595" w:type="pct"/>
            <w:shd w:val="clear" w:color="auto" w:fill="auto"/>
          </w:tcPr>
          <w:p w14:paraId="4A02847D" w14:textId="77777777" w:rsidR="007F70F3" w:rsidRPr="001D54EF" w:rsidRDefault="007F70F3" w:rsidP="00414740">
            <w:pPr>
              <w:pStyle w:val="Tabletext1"/>
              <w:rPr>
                <w:snapToGrid w:val="0"/>
                <w:lang w:eastAsia="en-US"/>
              </w:rPr>
            </w:pPr>
            <w:r w:rsidRPr="00C76207">
              <w:rPr>
                <w:snapToGrid w:val="0"/>
                <w:lang w:eastAsia="en-US"/>
              </w:rPr>
              <w:t>Not used</w:t>
            </w:r>
          </w:p>
        </w:tc>
      </w:tr>
      <w:tr w:rsidR="008F67E2" w:rsidRPr="001D54EF" w14:paraId="5A72D5E0" w14:textId="77777777" w:rsidTr="00E64AC1">
        <w:trPr>
          <w:cantSplit/>
          <w:jc w:val="center"/>
        </w:trPr>
        <w:tc>
          <w:tcPr>
            <w:tcW w:w="632" w:type="pct"/>
            <w:shd w:val="clear" w:color="auto" w:fill="auto"/>
          </w:tcPr>
          <w:p w14:paraId="1BDE4E1C" w14:textId="77777777" w:rsidR="0092123D" w:rsidRPr="001D54EF" w:rsidRDefault="0092123D" w:rsidP="004704FE">
            <w:pPr>
              <w:pStyle w:val="TableText0"/>
              <w:keepNext w:val="0"/>
              <w:widowControl w:val="0"/>
              <w:spacing w:before="60" w:after="60"/>
              <w:jc w:val="left"/>
              <w:rPr>
                <w:snapToGrid w:val="0"/>
                <w:szCs w:val="20"/>
              </w:rPr>
            </w:pPr>
            <w:r w:rsidRPr="001D54EF">
              <w:rPr>
                <w:snapToGrid w:val="0"/>
                <w:szCs w:val="20"/>
              </w:rPr>
              <w:t>Meta-analysis/ pooling</w:t>
            </w:r>
          </w:p>
        </w:tc>
        <w:tc>
          <w:tcPr>
            <w:tcW w:w="512" w:type="pct"/>
            <w:shd w:val="clear" w:color="auto" w:fill="auto"/>
          </w:tcPr>
          <w:p w14:paraId="3A67513A" w14:textId="77777777" w:rsidR="0092123D" w:rsidRPr="005F2661" w:rsidRDefault="001635DA" w:rsidP="00414740">
            <w:pPr>
              <w:pStyle w:val="TableText0"/>
              <w:keepNext w:val="0"/>
              <w:widowControl w:val="0"/>
              <w:spacing w:before="60" w:after="60"/>
              <w:jc w:val="left"/>
              <w:rPr>
                <w:snapToGrid w:val="0"/>
                <w:szCs w:val="20"/>
              </w:rPr>
            </w:pPr>
            <w:r w:rsidRPr="001D54EF">
              <w:rPr>
                <w:snapToGrid w:val="0"/>
                <w:szCs w:val="20"/>
              </w:rPr>
              <w:t>487</w:t>
            </w:r>
          </w:p>
          <w:p w14:paraId="28A3FBBC" w14:textId="77777777" w:rsidR="0092123D" w:rsidRPr="00F2078A" w:rsidRDefault="001635DA" w:rsidP="00414740">
            <w:pPr>
              <w:pStyle w:val="TableText0"/>
              <w:keepNext w:val="0"/>
              <w:widowControl w:val="0"/>
              <w:spacing w:before="60" w:after="60"/>
              <w:jc w:val="left"/>
              <w:rPr>
                <w:snapToGrid w:val="0"/>
                <w:szCs w:val="20"/>
              </w:rPr>
            </w:pPr>
            <w:r w:rsidRPr="005F2661">
              <w:rPr>
                <w:snapToGrid w:val="0"/>
                <w:szCs w:val="20"/>
              </w:rPr>
              <w:t>4</w:t>
            </w:r>
            <w:r w:rsidR="0092123D" w:rsidRPr="00F2078A">
              <w:rPr>
                <w:snapToGrid w:val="0"/>
                <w:szCs w:val="20"/>
              </w:rPr>
              <w:t xml:space="preserve"> studies</w:t>
            </w:r>
          </w:p>
        </w:tc>
        <w:tc>
          <w:tcPr>
            <w:tcW w:w="739" w:type="pct"/>
            <w:tcBorders>
              <w:right w:val="nil"/>
            </w:tcBorders>
            <w:shd w:val="clear" w:color="auto" w:fill="auto"/>
          </w:tcPr>
          <w:p w14:paraId="35FD10B9" w14:textId="77777777" w:rsidR="0092123D" w:rsidRPr="006E71B4" w:rsidRDefault="0092123D" w:rsidP="00414740">
            <w:pPr>
              <w:pStyle w:val="TableText0"/>
              <w:keepNext w:val="0"/>
              <w:widowControl w:val="0"/>
              <w:spacing w:before="60" w:after="60"/>
              <w:jc w:val="left"/>
              <w:rPr>
                <w:snapToGrid w:val="0"/>
                <w:szCs w:val="20"/>
              </w:rPr>
            </w:pPr>
          </w:p>
        </w:tc>
        <w:tc>
          <w:tcPr>
            <w:tcW w:w="414" w:type="pct"/>
            <w:tcBorders>
              <w:left w:val="nil"/>
              <w:right w:val="nil"/>
            </w:tcBorders>
            <w:shd w:val="clear" w:color="auto" w:fill="auto"/>
          </w:tcPr>
          <w:p w14:paraId="4877503D" w14:textId="77777777" w:rsidR="0092123D" w:rsidRPr="00642604" w:rsidRDefault="0092123D" w:rsidP="00414740">
            <w:pPr>
              <w:pStyle w:val="TableText0"/>
              <w:keepNext w:val="0"/>
              <w:widowControl w:val="0"/>
              <w:spacing w:before="60" w:after="60"/>
              <w:jc w:val="left"/>
              <w:rPr>
                <w:snapToGrid w:val="0"/>
                <w:szCs w:val="20"/>
              </w:rPr>
            </w:pPr>
          </w:p>
        </w:tc>
        <w:tc>
          <w:tcPr>
            <w:tcW w:w="1405" w:type="pct"/>
            <w:tcBorders>
              <w:left w:val="nil"/>
              <w:right w:val="nil"/>
            </w:tcBorders>
            <w:shd w:val="clear" w:color="auto" w:fill="auto"/>
          </w:tcPr>
          <w:p w14:paraId="244E157E" w14:textId="77777777" w:rsidR="0092123D" w:rsidRPr="00EB5A53" w:rsidRDefault="0092123D" w:rsidP="00414740">
            <w:pPr>
              <w:pStyle w:val="TableText0"/>
              <w:keepNext w:val="0"/>
              <w:widowControl w:val="0"/>
              <w:spacing w:before="60" w:after="60"/>
              <w:jc w:val="left"/>
              <w:rPr>
                <w:szCs w:val="20"/>
              </w:rPr>
            </w:pPr>
            <w:r w:rsidRPr="00642604">
              <w:rPr>
                <w:snapToGrid w:val="0"/>
                <w:szCs w:val="20"/>
              </w:rPr>
              <w:t>Where possible n/N (%) for adverse events has been calculated acros</w:t>
            </w:r>
            <w:r w:rsidRPr="001C2967">
              <w:rPr>
                <w:snapToGrid w:val="0"/>
                <w:szCs w:val="20"/>
              </w:rPr>
              <w:t>s all studies. Measures of central tendency and associated measures of variance have been reported if applicable</w:t>
            </w:r>
          </w:p>
        </w:tc>
        <w:tc>
          <w:tcPr>
            <w:tcW w:w="703" w:type="pct"/>
            <w:tcBorders>
              <w:left w:val="nil"/>
            </w:tcBorders>
            <w:shd w:val="clear" w:color="auto" w:fill="auto"/>
          </w:tcPr>
          <w:p w14:paraId="629B5ABD" w14:textId="77777777" w:rsidR="0092123D" w:rsidRPr="00351105" w:rsidRDefault="0092123D" w:rsidP="00414740">
            <w:pPr>
              <w:pStyle w:val="TableText0"/>
              <w:keepNext w:val="0"/>
              <w:widowControl w:val="0"/>
              <w:spacing w:before="60" w:after="60"/>
              <w:jc w:val="left"/>
              <w:rPr>
                <w:szCs w:val="20"/>
              </w:rPr>
            </w:pPr>
          </w:p>
        </w:tc>
        <w:tc>
          <w:tcPr>
            <w:tcW w:w="595" w:type="pct"/>
            <w:shd w:val="clear" w:color="auto" w:fill="auto"/>
          </w:tcPr>
          <w:p w14:paraId="7CF4E7F0" w14:textId="77777777" w:rsidR="0092123D" w:rsidRPr="0000124A" w:rsidRDefault="0092123D" w:rsidP="00414740">
            <w:pPr>
              <w:pStyle w:val="TableText0"/>
              <w:keepNext w:val="0"/>
              <w:widowControl w:val="0"/>
              <w:spacing w:before="60" w:after="60"/>
              <w:jc w:val="left"/>
              <w:rPr>
                <w:snapToGrid w:val="0"/>
                <w:szCs w:val="20"/>
              </w:rPr>
            </w:pPr>
            <w:r w:rsidRPr="0000124A">
              <w:rPr>
                <w:snapToGrid w:val="0"/>
                <w:szCs w:val="20"/>
              </w:rPr>
              <w:t>Not used</w:t>
            </w:r>
          </w:p>
        </w:tc>
      </w:tr>
    </w:tbl>
    <w:p w14:paraId="0283DD9A" w14:textId="77A23E47" w:rsidR="007F70F3" w:rsidRPr="007F70F3" w:rsidRDefault="00E151FB" w:rsidP="008063EA">
      <w:pPr>
        <w:pStyle w:val="Tablenotes0"/>
      </w:pPr>
      <w:r>
        <w:t xml:space="preserve">&lt; </w:t>
      </w:r>
      <w:r w:rsidR="007F70F3" w:rsidRPr="007F70F3">
        <w:t>AHRT = accelerated hypofractionated radiotherapy</w:t>
      </w:r>
      <w:r w:rsidR="00A20C2E">
        <w:t>;</w:t>
      </w:r>
      <w:r w:rsidR="007F70F3" w:rsidRPr="007F70F3">
        <w:t xml:space="preserve"> </w:t>
      </w:r>
      <w:r w:rsidR="006A2593">
        <w:t xml:space="preserve">C = chemotherapy; </w:t>
      </w:r>
      <w:r w:rsidR="007F70F3" w:rsidRPr="007F70F3">
        <w:t>FX = fraction</w:t>
      </w:r>
      <w:r w:rsidR="00A20C2E">
        <w:t>; IQR = interquartile range;</w:t>
      </w:r>
      <w:r w:rsidR="007F70F3" w:rsidRPr="007F70F3">
        <w:t xml:space="preserve"> MC = multicentre</w:t>
      </w:r>
      <w:r w:rsidR="00A20C2E">
        <w:t>;</w:t>
      </w:r>
      <w:r w:rsidR="00A20C2E" w:rsidRPr="00A20C2E">
        <w:t xml:space="preserve"> n/N (%)</w:t>
      </w:r>
      <w:r w:rsidR="00FA74C7">
        <w:t xml:space="preserve"> </w:t>
      </w:r>
      <w:r w:rsidR="00A20C2E" w:rsidRPr="00A20C2E">
        <w:t>= number with event/ total (percentage)</w:t>
      </w:r>
      <w:r w:rsidR="00A20C2E">
        <w:t>; NR = not reported;</w:t>
      </w:r>
      <w:r w:rsidR="007F70F3" w:rsidRPr="007F70F3">
        <w:t xml:space="preserve"> NSCLC = non-small cell lung cancer</w:t>
      </w:r>
      <w:r w:rsidR="00A20C2E">
        <w:t>;</w:t>
      </w:r>
      <w:r w:rsidR="007F70F3" w:rsidRPr="007F70F3">
        <w:t xml:space="preserve"> </w:t>
      </w:r>
      <w:r w:rsidR="00052C0B">
        <w:t xml:space="preserve">NT = no therapy; </w:t>
      </w:r>
      <w:r w:rsidR="007F70F3" w:rsidRPr="007F70F3">
        <w:t>OL = open label (unblinded)</w:t>
      </w:r>
      <w:r w:rsidR="00A20C2E">
        <w:t>;</w:t>
      </w:r>
      <w:r w:rsidR="007F70F3" w:rsidRPr="007F70F3">
        <w:t xml:space="preserve"> </w:t>
      </w:r>
      <w:r w:rsidR="008F4989">
        <w:t xml:space="preserve">PF = progression-free; </w:t>
      </w:r>
      <w:r w:rsidR="007F70F3" w:rsidRPr="007F70F3">
        <w:t>RCT = randomised-controlled trial</w:t>
      </w:r>
      <w:r w:rsidR="00A20C2E">
        <w:t>; RT = radiotherapy;</w:t>
      </w:r>
      <w:r w:rsidR="007F70F3" w:rsidRPr="007F70F3">
        <w:t xml:space="preserve"> SBRT = </w:t>
      </w:r>
      <w:r>
        <w:t>stereotactic body radiotherapy &gt;</w:t>
      </w:r>
    </w:p>
    <w:p w14:paraId="7CED75B1" w14:textId="77777777" w:rsidR="00694004" w:rsidRPr="004B492A" w:rsidRDefault="00694004" w:rsidP="004B492A">
      <w:pPr>
        <w:spacing w:before="500"/>
        <w:rPr>
          <w:b/>
          <w:i/>
        </w:rPr>
      </w:pPr>
      <w:r w:rsidRPr="004B492A">
        <w:rPr>
          <w:b/>
          <w:i/>
        </w:rPr>
        <w:t>Population two</w:t>
      </w:r>
    </w:p>
    <w:p w14:paraId="3CC8F6B8" w14:textId="1B3815AA" w:rsidR="00C8690E" w:rsidRDefault="00C31A7A" w:rsidP="00C8690E">
      <w:r>
        <w:t xml:space="preserve">No studies were identified that directly or indirectly compared MTA to current best practice radiotherapy in population two. </w:t>
      </w:r>
      <w:r w:rsidR="003B65B6">
        <w:t>T</w:t>
      </w:r>
      <w:r w:rsidR="0020424D">
        <w:t>hree</w:t>
      </w:r>
      <w:r w:rsidR="00C8690E">
        <w:t xml:space="preserve"> </w:t>
      </w:r>
      <w:r w:rsidR="0020424D">
        <w:t>Level III-2 and</w:t>
      </w:r>
      <w:r w:rsidR="002455B5">
        <w:t xml:space="preserve"> 14 Level IV studies</w:t>
      </w:r>
      <w:r w:rsidR="00081D3C">
        <w:t>,</w:t>
      </w:r>
      <w:r w:rsidR="0020424D">
        <w:t xml:space="preserve"> </w:t>
      </w:r>
      <w:r w:rsidR="00C8690E">
        <w:t xml:space="preserve">involving </w:t>
      </w:r>
      <w:r w:rsidR="00AE369E">
        <w:t>709</w:t>
      </w:r>
      <w:r w:rsidR="00C8690E">
        <w:t xml:space="preserve"> patients </w:t>
      </w:r>
      <w:r w:rsidR="00AE369E">
        <w:t>that received radiotherapy</w:t>
      </w:r>
      <w:r w:rsidR="00AD03E3">
        <w:t xml:space="preserve"> and </w:t>
      </w:r>
      <w:r w:rsidR="00E16483">
        <w:t>99 patients that received surgery,</w:t>
      </w:r>
      <w:r w:rsidR="00AE369E">
        <w:t xml:space="preserve"> </w:t>
      </w:r>
      <w:r w:rsidR="00C8690E">
        <w:t xml:space="preserve">met the inclusion criteria for population </w:t>
      </w:r>
      <w:r w:rsidR="0014054E">
        <w:t>two</w:t>
      </w:r>
      <w:r w:rsidR="00C8690E">
        <w:t xml:space="preserve">. </w:t>
      </w:r>
      <w:r w:rsidR="00870ED8">
        <w:t xml:space="preserve">The comparative trials investigated the safety and effectiveness of single- versus multi-fraction SBRT </w:t>
      </w:r>
      <w:r w:rsidR="007D7CAB">
        <w:fldChar w:fldCharType="begin">
          <w:fldData xml:space="preserve">PEVuZE5vdGU+PENpdGU+PEF1dGhvcj5TaXZhPC9BdXRob3I+PFllYXI+MjAxNTwvWWVhcj48UmVj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</w:fldData>
        </w:fldChar>
      </w:r>
      <w:r w:rsidR="00194054">
        <w:instrText xml:space="preserve"> ADDIN EN.CITE </w:instrText>
      </w:r>
      <w:r w:rsidR="00194054">
        <w:fldChar w:fldCharType="begin">
          <w:fldData xml:space="preserve">PEVuZE5vdGU+PENpdGU+PEF1dGhvcj5TaXZhPC9BdXRob3I+PFllYXI+MjAxNTwvWWVhcj48UmVj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</w:fldData>
        </w:fldChar>
      </w:r>
      <w:r w:rsidR="00194054">
        <w:instrText xml:space="preserve"> ADDIN EN.CITE.DATA </w:instrText>
      </w:r>
      <w:r w:rsidR="00194054">
        <w:fldChar w:fldCharType="end"/>
      </w:r>
      <w:r w:rsidR="007D7CAB">
        <w:fldChar w:fldCharType="separate"/>
      </w:r>
      <w:r w:rsidR="007D7CAB">
        <w:rPr>
          <w:noProof/>
        </w:rPr>
        <w:t>(</w:t>
      </w:r>
      <w:hyperlink w:anchor="_ENREF_144" w:tooltip="Siva, 2015 #156" w:history="1">
        <w:r w:rsidR="00320458">
          <w:rPr>
            <w:noProof/>
          </w:rPr>
          <w:t>Siva et al 2015</w:t>
        </w:r>
      </w:hyperlink>
      <w:r w:rsidR="007D7CAB">
        <w:rPr>
          <w:noProof/>
        </w:rPr>
        <w:t>)</w:t>
      </w:r>
      <w:r w:rsidR="007D7CAB">
        <w:fldChar w:fldCharType="end"/>
      </w:r>
      <w:r w:rsidR="00870ED8">
        <w:t xml:space="preserve">, and SBRT compared to </w:t>
      </w:r>
      <w:r w:rsidR="007D7CAB">
        <w:t xml:space="preserve">pulmonary metastectomy </w:t>
      </w:r>
      <w:r w:rsidR="007D7CAB">
        <w:fldChar w:fldCharType="begin">
          <w:fldData xml:space="preserve">PEVuZE5vdGU+PENpdGU+PEF1dGhvcj5XaWRkZXI8L0F1dGhvcj48WWVhcj4yMDEzPC9ZZWFyPjxS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</w:fldData>
        </w:fldChar>
      </w:r>
      <w:r w:rsidR="00194054">
        <w:instrText xml:space="preserve"> ADDIN EN.CITE </w:instrText>
      </w:r>
      <w:r w:rsidR="00194054">
        <w:fldChar w:fldCharType="begin">
          <w:fldData xml:space="preserve">PEVuZE5vdGU+PENpdGU+PEF1dGhvcj5XaWRkZXI8L0F1dGhvcj48WWVhcj4yMDEzPC9ZZWFyPjxS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</w:fldData>
        </w:fldChar>
      </w:r>
      <w:r w:rsidR="00194054">
        <w:instrText xml:space="preserve"> ADDIN EN.CITE.DATA </w:instrText>
      </w:r>
      <w:r w:rsidR="00194054">
        <w:fldChar w:fldCharType="end"/>
      </w:r>
      <w:r w:rsidR="007D7CAB">
        <w:fldChar w:fldCharType="separate"/>
      </w:r>
      <w:r w:rsidR="007D7CAB">
        <w:rPr>
          <w:noProof/>
        </w:rPr>
        <w:t>(</w:t>
      </w:r>
      <w:hyperlink w:anchor="_ENREF_171" w:tooltip="Widder, 2013 #157" w:history="1">
        <w:r w:rsidR="00320458">
          <w:rPr>
            <w:noProof/>
          </w:rPr>
          <w:t>Widder et al 2013</w:t>
        </w:r>
      </w:hyperlink>
      <w:r w:rsidR="007D7CAB">
        <w:rPr>
          <w:noProof/>
        </w:rPr>
        <w:t xml:space="preserve">; </w:t>
      </w:r>
      <w:hyperlink w:anchor="_ENREF_180" w:tooltip="Yu, 2014 #158" w:history="1">
        <w:r w:rsidR="00320458">
          <w:rPr>
            <w:noProof/>
          </w:rPr>
          <w:t>Yu et al 2014</w:t>
        </w:r>
      </w:hyperlink>
      <w:r w:rsidR="007D7CAB">
        <w:rPr>
          <w:noProof/>
        </w:rPr>
        <w:t>)</w:t>
      </w:r>
      <w:r w:rsidR="007D7CAB">
        <w:fldChar w:fldCharType="end"/>
      </w:r>
      <w:r w:rsidR="007D7CAB">
        <w:t>.</w:t>
      </w:r>
    </w:p>
    <w:p w14:paraId="04ADCE95" w14:textId="24E8F6F1" w:rsidR="00A246FB" w:rsidRPr="001163D9" w:rsidRDefault="00BD62E2" w:rsidP="00C8690E">
      <w:r>
        <w:lastRenderedPageBreak/>
        <w:t>As with the evidence for RFA in population two, the identified studies of radiotherapy</w:t>
      </w:r>
      <w:r w:rsidR="00CE1901">
        <w:t xml:space="preserve"> for lung oligometastases </w:t>
      </w:r>
      <w:r>
        <w:t xml:space="preserve">included </w:t>
      </w:r>
      <w:r w:rsidR="00CE1901">
        <w:t xml:space="preserve">a diverse population group. </w:t>
      </w:r>
      <w:r w:rsidR="001C44DC">
        <w:t>The main differences across studies were related to the type of primary cancer (</w:t>
      </w:r>
      <w:r w:rsidR="002A22E1">
        <w:t xml:space="preserve">colorectal, lung, liver, sarcoma, breast, other), </w:t>
      </w:r>
      <w:r w:rsidR="0018354B">
        <w:t xml:space="preserve">median age (median </w:t>
      </w:r>
      <w:r w:rsidR="00E97089">
        <w:t>66</w:t>
      </w:r>
      <w:r w:rsidR="00D64C43">
        <w:t xml:space="preserve"> years</w:t>
      </w:r>
      <w:r w:rsidR="00E97089">
        <w:t xml:space="preserve">, </w:t>
      </w:r>
      <w:r w:rsidR="00D64C43">
        <w:t>range 46</w:t>
      </w:r>
      <w:r w:rsidR="00D35E9C">
        <w:t>–</w:t>
      </w:r>
      <w:r w:rsidR="00D64C43">
        <w:t>74 years</w:t>
      </w:r>
      <w:r w:rsidR="0018354B">
        <w:t>)</w:t>
      </w:r>
      <w:r w:rsidR="00D64C43">
        <w:t>, gender distribution (median 64% male, range 43%</w:t>
      </w:r>
      <w:r w:rsidR="00D35E9C">
        <w:t>–</w:t>
      </w:r>
      <w:r w:rsidR="00D64C43">
        <w:t>86%</w:t>
      </w:r>
      <w:r w:rsidR="001343DC">
        <w:t>), and pre- and post-radiotherapy treatments.</w:t>
      </w:r>
      <w:r w:rsidR="006C0D79">
        <w:t xml:space="preserve"> </w:t>
      </w:r>
      <w:r w:rsidR="000B076E">
        <w:t>Only two studies reported the T-stage of the primary cancer site</w:t>
      </w:r>
      <w:r w:rsidR="000C6619">
        <w:t>.</w:t>
      </w:r>
      <w:r w:rsidR="00F015DA">
        <w:t xml:space="preserve"> </w:t>
      </w:r>
      <w:r w:rsidR="00A246FB" w:rsidRPr="00835137">
        <w:t xml:space="preserve">Due to the presence of significant confounders that have not been </w:t>
      </w:r>
      <w:r w:rsidR="00DB3BA1">
        <w:t xml:space="preserve">reported or </w:t>
      </w:r>
      <w:r w:rsidR="00A246FB" w:rsidRPr="00835137">
        <w:t>adjusted for in the primary</w:t>
      </w:r>
      <w:r w:rsidR="00A246FB">
        <w:t xml:space="preserve"> studies, the impact of </w:t>
      </w:r>
      <w:r w:rsidR="00C70344">
        <w:t>radiotherapy</w:t>
      </w:r>
      <w:r w:rsidR="00A246FB">
        <w:t xml:space="preserve"> on survival is unclear based on the included </w:t>
      </w:r>
      <w:r w:rsidR="00A246FB" w:rsidRPr="001163D9">
        <w:t>evidence.</w:t>
      </w:r>
    </w:p>
    <w:p w14:paraId="1ADAE686" w14:textId="77777777" w:rsidR="007F70F3" w:rsidRPr="007F70F3" w:rsidRDefault="007F70F3" w:rsidP="001163D9">
      <w:pPr>
        <w:pStyle w:val="TableHeading"/>
        <w:rPr>
          <w:snapToGrid w:val="0"/>
          <w:lang w:eastAsia="en-US"/>
        </w:rPr>
      </w:pPr>
      <w:bookmarkStart w:id="259" w:name="_Ref457395342"/>
      <w:bookmarkStart w:id="260" w:name="_Toc460514695"/>
      <w:r w:rsidRPr="001163D9">
        <w:t xml:space="preserve">Table </w:t>
      </w:r>
      <w:fldSimple w:instr=" SEQ Table \* ARABIC ">
        <w:r w:rsidR="00D170A5">
          <w:rPr>
            <w:noProof/>
          </w:rPr>
          <w:t>37</w:t>
        </w:r>
      </w:fldSimple>
      <w:bookmarkEnd w:id="259"/>
      <w:r w:rsidRPr="001163D9">
        <w:tab/>
      </w:r>
      <w:r w:rsidR="003E38A5">
        <w:rPr>
          <w:snapToGrid w:val="0"/>
          <w:lang w:eastAsia="en-US"/>
        </w:rPr>
        <w:t>Characteristics</w:t>
      </w:r>
      <w:r w:rsidR="003E38A5" w:rsidRPr="001B7083">
        <w:rPr>
          <w:snapToGrid w:val="0"/>
          <w:lang w:eastAsia="en-US"/>
        </w:rPr>
        <w:t xml:space="preserve"> </w:t>
      </w:r>
      <w:r w:rsidRPr="001163D9">
        <w:rPr>
          <w:snapToGrid w:val="0"/>
          <w:lang w:eastAsia="en-US"/>
        </w:rPr>
        <w:t>of the included evidence for radiotherapy in population two</w:t>
      </w:r>
      <w:bookmarkEnd w:id="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134"/>
        <w:gridCol w:w="829"/>
        <w:gridCol w:w="1382"/>
        <w:gridCol w:w="749"/>
        <w:gridCol w:w="2498"/>
        <w:gridCol w:w="1375"/>
        <w:gridCol w:w="1115"/>
      </w:tblGrid>
      <w:tr w:rsidR="007F70F3" w:rsidRPr="001D54EF" w14:paraId="26A87DCE" w14:textId="77777777" w:rsidTr="004B492A">
        <w:trPr>
          <w:cantSplit/>
          <w:tblHeader/>
        </w:trPr>
        <w:tc>
          <w:tcPr>
            <w:tcW w:w="624" w:type="pct"/>
            <w:shd w:val="clear" w:color="auto" w:fill="D9D9D9" w:themeFill="background1" w:themeFillShade="D9"/>
            <w:vAlign w:val="bottom"/>
          </w:tcPr>
          <w:p w14:paraId="5ACA6597" w14:textId="77777777" w:rsidR="007F70F3" w:rsidRPr="001D54EF" w:rsidRDefault="007F70F3" w:rsidP="004B492A">
            <w:pPr>
              <w:pStyle w:val="Tabletext1"/>
              <w:rPr>
                <w:b/>
                <w:snapToGrid w:val="0"/>
                <w:lang w:eastAsia="en-US"/>
              </w:rPr>
            </w:pPr>
            <w:r w:rsidRPr="001D54EF">
              <w:rPr>
                <w:b/>
                <w:snapToGrid w:val="0"/>
                <w:lang w:eastAsia="en-US"/>
              </w:rPr>
              <w:t>Study</w:t>
            </w:r>
          </w:p>
        </w:tc>
        <w:tc>
          <w:tcPr>
            <w:tcW w:w="456" w:type="pct"/>
            <w:shd w:val="clear" w:color="auto" w:fill="D9D9D9" w:themeFill="background1" w:themeFillShade="D9"/>
            <w:vAlign w:val="bottom"/>
          </w:tcPr>
          <w:p w14:paraId="21A83390" w14:textId="77777777" w:rsidR="007F70F3" w:rsidRPr="001D54EF" w:rsidRDefault="007F70F3" w:rsidP="005569FD">
            <w:pPr>
              <w:pStyle w:val="Tabletext1"/>
              <w:rPr>
                <w:b/>
                <w:snapToGrid w:val="0"/>
                <w:lang w:eastAsia="en-US"/>
              </w:rPr>
            </w:pPr>
            <w:r w:rsidRPr="001D54EF">
              <w:rPr>
                <w:b/>
                <w:snapToGrid w:val="0"/>
                <w:lang w:eastAsia="en-US"/>
              </w:rPr>
              <w:t>N (lesions)</w:t>
            </w:r>
          </w:p>
        </w:tc>
        <w:tc>
          <w:tcPr>
            <w:tcW w:w="761" w:type="pct"/>
            <w:shd w:val="clear" w:color="auto" w:fill="D9D9D9" w:themeFill="background1" w:themeFillShade="D9"/>
            <w:vAlign w:val="bottom"/>
          </w:tcPr>
          <w:p w14:paraId="4CCEEFC2" w14:textId="77777777" w:rsidR="007F70F3" w:rsidRPr="005F2661" w:rsidRDefault="007F70F3" w:rsidP="005569FD">
            <w:pPr>
              <w:pStyle w:val="Tabletext1"/>
              <w:rPr>
                <w:b/>
                <w:snapToGrid w:val="0"/>
                <w:lang w:eastAsia="en-US"/>
              </w:rPr>
            </w:pPr>
            <w:r w:rsidRPr="005F2661">
              <w:rPr>
                <w:b/>
                <w:snapToGrid w:val="0"/>
                <w:lang w:eastAsia="en-US"/>
              </w:rPr>
              <w:t>Design;</w:t>
            </w:r>
          </w:p>
          <w:p w14:paraId="39D0B427" w14:textId="0A703325" w:rsidR="007F70F3" w:rsidRPr="00EB5A53" w:rsidRDefault="00055D72" w:rsidP="005569FD">
            <w:pPr>
              <w:pStyle w:val="Tabletext1"/>
              <w:rPr>
                <w:b/>
                <w:snapToGrid w:val="0"/>
                <w:vertAlign w:val="superscript"/>
                <w:lang w:eastAsia="en-US"/>
              </w:rPr>
            </w:pPr>
            <w:r w:rsidRPr="005F2661">
              <w:rPr>
                <w:b/>
                <w:snapToGrid w:val="0"/>
                <w:lang w:eastAsia="en-US"/>
              </w:rPr>
              <w:t xml:space="preserve">Median follow up </w:t>
            </w:r>
            <w:r w:rsidR="007F70F3" w:rsidRPr="00F2078A">
              <w:rPr>
                <w:b/>
                <w:snapToGrid w:val="0"/>
                <w:lang w:eastAsia="en-US"/>
              </w:rPr>
              <w:t>(range)</w:t>
            </w:r>
          </w:p>
        </w:tc>
        <w:tc>
          <w:tcPr>
            <w:tcW w:w="412" w:type="pct"/>
            <w:shd w:val="clear" w:color="auto" w:fill="D9D9D9" w:themeFill="background1" w:themeFillShade="D9"/>
            <w:vAlign w:val="bottom"/>
          </w:tcPr>
          <w:p w14:paraId="169C0B5F" w14:textId="77777777" w:rsidR="007F70F3" w:rsidRPr="00351105" w:rsidRDefault="007F70F3" w:rsidP="005569FD">
            <w:pPr>
              <w:pStyle w:val="Tabletext1"/>
              <w:rPr>
                <w:b/>
                <w:snapToGrid w:val="0"/>
                <w:lang w:eastAsia="en-US"/>
              </w:rPr>
            </w:pPr>
            <w:r w:rsidRPr="00351105">
              <w:rPr>
                <w:b/>
                <w:snapToGrid w:val="0"/>
                <w:lang w:eastAsia="en-US"/>
              </w:rPr>
              <w:t>Risk of bias</w:t>
            </w:r>
          </w:p>
        </w:tc>
        <w:tc>
          <w:tcPr>
            <w:tcW w:w="1375" w:type="pct"/>
            <w:shd w:val="clear" w:color="auto" w:fill="D9D9D9" w:themeFill="background1" w:themeFillShade="D9"/>
            <w:vAlign w:val="bottom"/>
          </w:tcPr>
          <w:p w14:paraId="7B6CEEC2" w14:textId="77777777" w:rsidR="007F70F3" w:rsidRPr="0000124A" w:rsidRDefault="007F70F3" w:rsidP="005569FD">
            <w:pPr>
              <w:pStyle w:val="Tabletext1"/>
              <w:rPr>
                <w:b/>
                <w:snapToGrid w:val="0"/>
                <w:lang w:eastAsia="en-US"/>
              </w:rPr>
            </w:pPr>
            <w:r w:rsidRPr="0000124A">
              <w:rPr>
                <w:b/>
                <w:snapToGrid w:val="0"/>
                <w:lang w:eastAsia="en-US"/>
              </w:rPr>
              <w:t>Inclusion criteria</w:t>
            </w:r>
          </w:p>
        </w:tc>
        <w:tc>
          <w:tcPr>
            <w:tcW w:w="757" w:type="pct"/>
            <w:shd w:val="clear" w:color="auto" w:fill="D9D9D9" w:themeFill="background1" w:themeFillShade="D9"/>
            <w:vAlign w:val="bottom"/>
          </w:tcPr>
          <w:p w14:paraId="1D1091F9" w14:textId="77777777" w:rsidR="007F70F3" w:rsidRPr="0000124A" w:rsidRDefault="007F70F3" w:rsidP="005569FD">
            <w:pPr>
              <w:pStyle w:val="Tabletext1"/>
              <w:rPr>
                <w:b/>
                <w:snapToGrid w:val="0"/>
                <w:lang w:eastAsia="en-US"/>
              </w:rPr>
            </w:pPr>
            <w:r w:rsidRPr="0000124A">
              <w:rPr>
                <w:b/>
                <w:snapToGrid w:val="0"/>
                <w:lang w:eastAsia="en-US"/>
              </w:rPr>
              <w:t>Key outcome(s)</w:t>
            </w:r>
          </w:p>
        </w:tc>
        <w:tc>
          <w:tcPr>
            <w:tcW w:w="614" w:type="pct"/>
            <w:shd w:val="clear" w:color="auto" w:fill="D9D9D9" w:themeFill="background1" w:themeFillShade="D9"/>
            <w:vAlign w:val="bottom"/>
          </w:tcPr>
          <w:p w14:paraId="1FBCBCEC" w14:textId="77777777" w:rsidR="007F70F3" w:rsidRPr="00781354" w:rsidRDefault="007F70F3" w:rsidP="005569FD">
            <w:pPr>
              <w:pStyle w:val="Tabletext1"/>
              <w:rPr>
                <w:b/>
                <w:snapToGrid w:val="0"/>
                <w:lang w:eastAsia="en-US"/>
              </w:rPr>
            </w:pPr>
            <w:r w:rsidRPr="00781354">
              <w:rPr>
                <w:b/>
                <w:snapToGrid w:val="0"/>
                <w:lang w:eastAsia="en-US"/>
              </w:rPr>
              <w:t>Result used in economic model</w:t>
            </w:r>
          </w:p>
        </w:tc>
      </w:tr>
      <w:tr w:rsidR="007F70F3" w:rsidRPr="001D54EF" w14:paraId="0614F410" w14:textId="77777777" w:rsidTr="004B492A">
        <w:trPr>
          <w:cantSplit/>
        </w:trPr>
        <w:tc>
          <w:tcPr>
            <w:tcW w:w="624" w:type="pct"/>
            <w:shd w:val="clear" w:color="auto" w:fill="auto"/>
          </w:tcPr>
          <w:p w14:paraId="28EF1A09" w14:textId="77777777" w:rsidR="007F70F3" w:rsidRPr="001D54EF" w:rsidRDefault="007F70F3" w:rsidP="004B492A">
            <w:pPr>
              <w:pStyle w:val="Tabletext1"/>
              <w:rPr>
                <w:snapToGrid w:val="0"/>
                <w:lang w:eastAsia="en-US"/>
              </w:rPr>
            </w:pPr>
            <w:r w:rsidRPr="001D54EF">
              <w:rPr>
                <w:snapToGrid w:val="0"/>
                <w:lang w:eastAsia="en-US"/>
              </w:rPr>
              <w:t>Siva et al (2015)</w:t>
            </w:r>
          </w:p>
        </w:tc>
        <w:tc>
          <w:tcPr>
            <w:tcW w:w="456" w:type="pct"/>
            <w:shd w:val="clear" w:color="auto" w:fill="auto"/>
          </w:tcPr>
          <w:p w14:paraId="77C688B5" w14:textId="77777777" w:rsidR="007F70F3" w:rsidRPr="001D54EF" w:rsidRDefault="007F70F3" w:rsidP="005569FD">
            <w:pPr>
              <w:pStyle w:val="Tabletext1"/>
              <w:rPr>
                <w:snapToGrid w:val="0"/>
                <w:lang w:eastAsia="en-US"/>
              </w:rPr>
            </w:pPr>
            <w:r w:rsidRPr="001D54EF">
              <w:rPr>
                <w:snapToGrid w:val="0"/>
                <w:lang w:eastAsia="en-US"/>
              </w:rPr>
              <w:t>41 (49)</w:t>
            </w:r>
          </w:p>
          <w:p w14:paraId="167785DC" w14:textId="77777777" w:rsidR="007F70F3" w:rsidRPr="005F2661" w:rsidRDefault="007F70F3" w:rsidP="005569FD">
            <w:pPr>
              <w:pStyle w:val="Tabletext1"/>
              <w:rPr>
                <w:snapToGrid w:val="0"/>
                <w:lang w:eastAsia="en-US"/>
              </w:rPr>
            </w:pPr>
            <w:r w:rsidRPr="005F2661">
              <w:rPr>
                <w:snapToGrid w:val="0"/>
                <w:lang w:eastAsia="en-US"/>
              </w:rPr>
              <w:t>24 (33)</w:t>
            </w:r>
          </w:p>
        </w:tc>
        <w:tc>
          <w:tcPr>
            <w:tcW w:w="761" w:type="pct"/>
            <w:shd w:val="clear" w:color="auto" w:fill="auto"/>
          </w:tcPr>
          <w:p w14:paraId="02571760" w14:textId="77777777" w:rsidR="007F70F3" w:rsidRPr="005F2661" w:rsidRDefault="007F70F3" w:rsidP="005569FD">
            <w:pPr>
              <w:pStyle w:val="Tabletext1"/>
              <w:rPr>
                <w:snapToGrid w:val="0"/>
                <w:lang w:eastAsia="en-US"/>
              </w:rPr>
            </w:pPr>
            <w:r w:rsidRPr="005F2661">
              <w:rPr>
                <w:snapToGrid w:val="0"/>
                <w:lang w:eastAsia="en-US"/>
              </w:rPr>
              <w:t>Retrospective cohort</w:t>
            </w:r>
          </w:p>
          <w:p w14:paraId="6228782B" w14:textId="77777777" w:rsidR="007F70F3" w:rsidRPr="00F2078A" w:rsidRDefault="007F70F3" w:rsidP="005569FD">
            <w:pPr>
              <w:pStyle w:val="Tabletext1"/>
              <w:rPr>
                <w:snapToGrid w:val="0"/>
                <w:lang w:eastAsia="en-US"/>
              </w:rPr>
            </w:pPr>
            <w:r w:rsidRPr="00F2078A">
              <w:rPr>
                <w:snapToGrid w:val="0"/>
                <w:lang w:eastAsia="en-US"/>
              </w:rPr>
              <w:t>25 months</w:t>
            </w:r>
          </w:p>
        </w:tc>
        <w:tc>
          <w:tcPr>
            <w:tcW w:w="412" w:type="pct"/>
            <w:shd w:val="clear" w:color="auto" w:fill="auto"/>
          </w:tcPr>
          <w:p w14:paraId="4596EF9A" w14:textId="77777777" w:rsidR="007F70F3" w:rsidRPr="00642604" w:rsidRDefault="007F70F3" w:rsidP="005569FD">
            <w:pPr>
              <w:pStyle w:val="Tabletext1"/>
              <w:rPr>
                <w:snapToGrid w:val="0"/>
                <w:lang w:eastAsia="en-US"/>
              </w:rPr>
            </w:pPr>
            <w:r w:rsidRPr="00642604">
              <w:rPr>
                <w:snapToGrid w:val="0"/>
                <w:lang w:eastAsia="en-US"/>
              </w:rPr>
              <w:t>Moderate</w:t>
            </w:r>
          </w:p>
        </w:tc>
        <w:tc>
          <w:tcPr>
            <w:tcW w:w="1375" w:type="pct"/>
            <w:shd w:val="clear" w:color="auto" w:fill="auto"/>
          </w:tcPr>
          <w:p w14:paraId="4A72B997" w14:textId="3F289C44" w:rsidR="007F70F3" w:rsidRPr="0000124A" w:rsidRDefault="007F70F3" w:rsidP="005569FD">
            <w:pPr>
              <w:pStyle w:val="Tabletext1"/>
              <w:rPr>
                <w:lang w:eastAsia="en-US"/>
              </w:rPr>
            </w:pPr>
            <w:r w:rsidRPr="00642604">
              <w:rPr>
                <w:snapToGrid w:val="0"/>
                <w:lang w:eastAsia="en-US"/>
              </w:rPr>
              <w:t>1</w:t>
            </w:r>
            <w:r w:rsidR="00D35E9C">
              <w:rPr>
                <w:snapToGrid w:val="0"/>
                <w:lang w:eastAsia="en-US"/>
              </w:rPr>
              <w:t>–</w:t>
            </w:r>
            <w:r w:rsidRPr="00642604">
              <w:rPr>
                <w:snapToGrid w:val="0"/>
                <w:lang w:eastAsia="en-US"/>
              </w:rPr>
              <w:t xml:space="preserve">3 lung metastases, ≤ 50 mm, </w:t>
            </w:r>
            <w:r w:rsidR="00CA6DFD" w:rsidRPr="00351105">
              <w:rPr>
                <w:snapToGrid w:val="0"/>
                <w:lang w:eastAsia="en-US"/>
              </w:rPr>
              <w:t>extra thoracic</w:t>
            </w:r>
            <w:r w:rsidRPr="0000124A">
              <w:rPr>
                <w:snapToGrid w:val="0"/>
                <w:lang w:eastAsia="en-US"/>
              </w:rPr>
              <w:t xml:space="preserve"> disease treated definitively</w:t>
            </w:r>
          </w:p>
        </w:tc>
        <w:tc>
          <w:tcPr>
            <w:tcW w:w="757" w:type="pct"/>
            <w:shd w:val="clear" w:color="auto" w:fill="auto"/>
          </w:tcPr>
          <w:p w14:paraId="2E46BD1C" w14:textId="77777777" w:rsidR="007F70F3" w:rsidRPr="004D10F1" w:rsidRDefault="007F70F3" w:rsidP="005569FD">
            <w:pPr>
              <w:pStyle w:val="Tabletext1"/>
              <w:rPr>
                <w:snapToGrid w:val="0"/>
                <w:lang w:eastAsia="en-US"/>
              </w:rPr>
            </w:pPr>
            <w:r w:rsidRPr="00781354">
              <w:rPr>
                <w:snapToGrid w:val="0"/>
                <w:lang w:eastAsia="en-US"/>
              </w:rPr>
              <w:t>Overall survival</w:t>
            </w:r>
            <w:r w:rsidR="00E155A6" w:rsidRPr="006B33E4">
              <w:rPr>
                <w:snapToGrid w:val="0"/>
                <w:lang w:eastAsia="en-US"/>
              </w:rPr>
              <w:t>, a</w:t>
            </w:r>
            <w:r w:rsidRPr="004D10F1">
              <w:rPr>
                <w:snapToGrid w:val="0"/>
                <w:lang w:eastAsia="en-US"/>
              </w:rPr>
              <w:t>dverse events</w:t>
            </w:r>
          </w:p>
        </w:tc>
        <w:tc>
          <w:tcPr>
            <w:tcW w:w="614" w:type="pct"/>
            <w:shd w:val="clear" w:color="auto" w:fill="auto"/>
          </w:tcPr>
          <w:p w14:paraId="6AD19A2F" w14:textId="77777777" w:rsidR="007F70F3" w:rsidRPr="00935A6C" w:rsidRDefault="007F70F3" w:rsidP="005569FD">
            <w:pPr>
              <w:pStyle w:val="Tabletext1"/>
              <w:rPr>
                <w:snapToGrid w:val="0"/>
                <w:lang w:eastAsia="en-US"/>
              </w:rPr>
            </w:pPr>
            <w:r w:rsidRPr="00935A6C">
              <w:rPr>
                <w:snapToGrid w:val="0"/>
                <w:lang w:eastAsia="en-US"/>
              </w:rPr>
              <w:t>Not used</w:t>
            </w:r>
          </w:p>
        </w:tc>
      </w:tr>
      <w:tr w:rsidR="007F70F3" w:rsidRPr="001D54EF" w14:paraId="2659E835" w14:textId="77777777" w:rsidTr="00BF3791">
        <w:trPr>
          <w:cantSplit/>
          <w:trHeight w:val="800"/>
        </w:trPr>
        <w:tc>
          <w:tcPr>
            <w:tcW w:w="624" w:type="pct"/>
            <w:shd w:val="clear" w:color="auto" w:fill="auto"/>
          </w:tcPr>
          <w:p w14:paraId="6CE3CE5F" w14:textId="77777777" w:rsidR="007F70F3" w:rsidRPr="001D54EF" w:rsidRDefault="007F70F3" w:rsidP="004B492A">
            <w:pPr>
              <w:pStyle w:val="Tabletext1"/>
              <w:rPr>
                <w:snapToGrid w:val="0"/>
                <w:lang w:eastAsia="en-US"/>
              </w:rPr>
            </w:pPr>
            <w:r w:rsidRPr="001D54EF">
              <w:rPr>
                <w:snapToGrid w:val="0"/>
                <w:lang w:eastAsia="en-US"/>
              </w:rPr>
              <w:t>Widder et al (2013)</w:t>
            </w:r>
          </w:p>
        </w:tc>
        <w:tc>
          <w:tcPr>
            <w:tcW w:w="456" w:type="pct"/>
            <w:shd w:val="clear" w:color="auto" w:fill="auto"/>
          </w:tcPr>
          <w:p w14:paraId="7A70F411" w14:textId="77777777" w:rsidR="007F70F3" w:rsidRPr="001D54EF" w:rsidRDefault="007F70F3" w:rsidP="005569FD">
            <w:pPr>
              <w:pStyle w:val="Tabletext1"/>
              <w:rPr>
                <w:snapToGrid w:val="0"/>
                <w:lang w:eastAsia="en-US"/>
              </w:rPr>
            </w:pPr>
            <w:r w:rsidRPr="001D54EF">
              <w:rPr>
                <w:snapToGrid w:val="0"/>
                <w:lang w:eastAsia="en-US"/>
              </w:rPr>
              <w:t>42 (NR)</w:t>
            </w:r>
          </w:p>
          <w:p w14:paraId="5A501D32" w14:textId="77777777" w:rsidR="007F70F3" w:rsidRPr="005F2661" w:rsidRDefault="007F70F3" w:rsidP="005569FD">
            <w:pPr>
              <w:pStyle w:val="Tabletext1"/>
              <w:rPr>
                <w:snapToGrid w:val="0"/>
                <w:lang w:eastAsia="en-US"/>
              </w:rPr>
            </w:pPr>
            <w:r w:rsidRPr="005F2661">
              <w:rPr>
                <w:snapToGrid w:val="0"/>
                <w:lang w:eastAsia="en-US"/>
              </w:rPr>
              <w:t>68 (NR)</w:t>
            </w:r>
          </w:p>
        </w:tc>
        <w:tc>
          <w:tcPr>
            <w:tcW w:w="761" w:type="pct"/>
            <w:shd w:val="clear" w:color="auto" w:fill="auto"/>
          </w:tcPr>
          <w:p w14:paraId="4E7CEC18" w14:textId="77777777" w:rsidR="007F70F3" w:rsidRPr="005F2661" w:rsidRDefault="007F70F3" w:rsidP="005569FD">
            <w:pPr>
              <w:pStyle w:val="Tabletext1"/>
            </w:pPr>
            <w:r w:rsidRPr="005F2661">
              <w:t>Retrospective cohort</w:t>
            </w:r>
          </w:p>
          <w:p w14:paraId="297A21E6" w14:textId="51A95F96" w:rsidR="007F70F3" w:rsidRPr="00F2078A" w:rsidRDefault="007F70F3" w:rsidP="005569FD">
            <w:pPr>
              <w:pStyle w:val="Tabletext1"/>
            </w:pPr>
            <w:r w:rsidRPr="00F2078A">
              <w:t>43 (IQR 36</w:t>
            </w:r>
            <w:r w:rsidR="00D35E9C">
              <w:t>–</w:t>
            </w:r>
            <w:r w:rsidRPr="00F2078A">
              <w:t>60) months</w:t>
            </w:r>
          </w:p>
        </w:tc>
        <w:tc>
          <w:tcPr>
            <w:tcW w:w="412" w:type="pct"/>
            <w:shd w:val="clear" w:color="auto" w:fill="auto"/>
          </w:tcPr>
          <w:p w14:paraId="4D732B7A" w14:textId="77777777" w:rsidR="007F70F3" w:rsidRPr="00642604" w:rsidRDefault="007F70F3" w:rsidP="005569FD">
            <w:pPr>
              <w:pStyle w:val="Tabletext1"/>
              <w:rPr>
                <w:snapToGrid w:val="0"/>
                <w:lang w:eastAsia="en-US"/>
              </w:rPr>
            </w:pPr>
            <w:r w:rsidRPr="00642604">
              <w:rPr>
                <w:snapToGrid w:val="0"/>
                <w:lang w:eastAsia="en-US"/>
              </w:rPr>
              <w:t>Moderate</w:t>
            </w:r>
          </w:p>
        </w:tc>
        <w:tc>
          <w:tcPr>
            <w:tcW w:w="1375" w:type="pct"/>
            <w:shd w:val="clear" w:color="auto" w:fill="auto"/>
          </w:tcPr>
          <w:p w14:paraId="5657C6A1" w14:textId="3E26F954" w:rsidR="007F70F3" w:rsidRPr="00351105" w:rsidRDefault="007F70F3" w:rsidP="005569FD">
            <w:pPr>
              <w:pStyle w:val="Tabletext1"/>
              <w:rPr>
                <w:snapToGrid w:val="0"/>
                <w:lang w:eastAsia="en-US"/>
              </w:rPr>
            </w:pPr>
            <w:r w:rsidRPr="00642604">
              <w:rPr>
                <w:snapToGrid w:val="0"/>
                <w:lang w:eastAsia="en-US"/>
              </w:rPr>
              <w:t>1</w:t>
            </w:r>
            <w:r w:rsidR="00D35E9C">
              <w:rPr>
                <w:snapToGrid w:val="0"/>
                <w:lang w:eastAsia="en-US"/>
              </w:rPr>
              <w:t>–</w:t>
            </w:r>
            <w:r w:rsidRPr="00642604">
              <w:rPr>
                <w:snapToGrid w:val="0"/>
                <w:lang w:eastAsia="en-US"/>
              </w:rPr>
              <w:t>5 lung metastases treated with curative intent (a</w:t>
            </w:r>
            <w:r w:rsidRPr="00351105">
              <w:rPr>
                <w:snapToGrid w:val="0"/>
                <w:lang w:eastAsia="en-US"/>
              </w:rPr>
              <w:t>ll visible lesions amenable to treatment), primary tumour curatively resected</w:t>
            </w:r>
          </w:p>
        </w:tc>
        <w:tc>
          <w:tcPr>
            <w:tcW w:w="757" w:type="pct"/>
            <w:shd w:val="clear" w:color="auto" w:fill="auto"/>
          </w:tcPr>
          <w:p w14:paraId="006BEA21" w14:textId="77777777" w:rsidR="007F70F3" w:rsidRPr="004D10F1" w:rsidRDefault="007F70F3" w:rsidP="005569FD">
            <w:pPr>
              <w:pStyle w:val="Tabletext1"/>
              <w:rPr>
                <w:snapToGrid w:val="0"/>
                <w:lang w:eastAsia="en-US"/>
              </w:rPr>
            </w:pPr>
            <w:r w:rsidRPr="0000124A">
              <w:rPr>
                <w:snapToGrid w:val="0"/>
                <w:lang w:eastAsia="en-US"/>
              </w:rPr>
              <w:t>Overall</w:t>
            </w:r>
            <w:r w:rsidR="00055D72" w:rsidRPr="0000124A">
              <w:rPr>
                <w:snapToGrid w:val="0"/>
                <w:lang w:eastAsia="en-US"/>
              </w:rPr>
              <w:t>,</w:t>
            </w:r>
            <w:r w:rsidRPr="00781354">
              <w:rPr>
                <w:snapToGrid w:val="0"/>
                <w:lang w:eastAsia="en-US"/>
              </w:rPr>
              <w:t xml:space="preserve"> </w:t>
            </w:r>
            <w:r w:rsidR="004F6722" w:rsidRPr="006B33E4">
              <w:rPr>
                <w:snapToGrid w:val="0"/>
                <w:lang w:eastAsia="en-US"/>
              </w:rPr>
              <w:t>PF</w:t>
            </w:r>
            <w:r w:rsidRPr="004D10F1">
              <w:rPr>
                <w:snapToGrid w:val="0"/>
                <w:lang w:eastAsia="en-US"/>
              </w:rPr>
              <w:t xml:space="preserve"> survival</w:t>
            </w:r>
          </w:p>
        </w:tc>
        <w:tc>
          <w:tcPr>
            <w:tcW w:w="614" w:type="pct"/>
            <w:shd w:val="clear" w:color="auto" w:fill="auto"/>
          </w:tcPr>
          <w:p w14:paraId="4701AD15" w14:textId="77777777" w:rsidR="007F70F3" w:rsidRPr="00935A6C" w:rsidRDefault="007F70F3" w:rsidP="005569FD">
            <w:pPr>
              <w:pStyle w:val="Tabletext1"/>
              <w:rPr>
                <w:snapToGrid w:val="0"/>
                <w:lang w:eastAsia="en-US"/>
              </w:rPr>
            </w:pPr>
            <w:r w:rsidRPr="00935A6C">
              <w:rPr>
                <w:snapToGrid w:val="0"/>
                <w:lang w:eastAsia="en-US"/>
              </w:rPr>
              <w:t>Not used</w:t>
            </w:r>
          </w:p>
        </w:tc>
      </w:tr>
      <w:tr w:rsidR="007F70F3" w:rsidRPr="001D54EF" w14:paraId="7D0B6B91" w14:textId="77777777" w:rsidTr="004B492A">
        <w:trPr>
          <w:cantSplit/>
        </w:trPr>
        <w:tc>
          <w:tcPr>
            <w:tcW w:w="624" w:type="pct"/>
            <w:shd w:val="clear" w:color="auto" w:fill="auto"/>
          </w:tcPr>
          <w:p w14:paraId="622DF592" w14:textId="77777777" w:rsidR="007F70F3" w:rsidRPr="001D54EF" w:rsidRDefault="007F70F3" w:rsidP="004B492A">
            <w:pPr>
              <w:pStyle w:val="Tabletext1"/>
              <w:rPr>
                <w:snapToGrid w:val="0"/>
                <w:lang w:eastAsia="en-US"/>
              </w:rPr>
            </w:pPr>
            <w:r w:rsidRPr="001D54EF">
              <w:rPr>
                <w:snapToGrid w:val="0"/>
                <w:lang w:eastAsia="en-US"/>
              </w:rPr>
              <w:t>Yu et al</w:t>
            </w:r>
          </w:p>
          <w:p w14:paraId="1832C459" w14:textId="77777777" w:rsidR="007F70F3" w:rsidRPr="001D54EF" w:rsidRDefault="007F70F3" w:rsidP="004B492A">
            <w:pPr>
              <w:pStyle w:val="Tabletext1"/>
              <w:rPr>
                <w:snapToGrid w:val="0"/>
                <w:lang w:eastAsia="en-US"/>
              </w:rPr>
            </w:pPr>
            <w:r w:rsidRPr="001D54EF">
              <w:rPr>
                <w:snapToGrid w:val="0"/>
                <w:lang w:eastAsia="en-US"/>
              </w:rPr>
              <w:t>(2014)</w:t>
            </w:r>
          </w:p>
        </w:tc>
        <w:tc>
          <w:tcPr>
            <w:tcW w:w="456" w:type="pct"/>
            <w:shd w:val="clear" w:color="auto" w:fill="auto"/>
          </w:tcPr>
          <w:p w14:paraId="6EA349CB" w14:textId="77777777" w:rsidR="007F70F3" w:rsidRPr="005F2661" w:rsidRDefault="007F70F3" w:rsidP="005569FD">
            <w:pPr>
              <w:pStyle w:val="Tabletext1"/>
              <w:rPr>
                <w:snapToGrid w:val="0"/>
                <w:lang w:eastAsia="en-US"/>
              </w:rPr>
            </w:pPr>
            <w:r w:rsidRPr="005F2661">
              <w:rPr>
                <w:snapToGrid w:val="0"/>
                <w:lang w:eastAsia="en-US"/>
              </w:rPr>
              <w:t>27 (NR)</w:t>
            </w:r>
          </w:p>
          <w:p w14:paraId="0952EB2F" w14:textId="77777777" w:rsidR="007F70F3" w:rsidRPr="005F2661" w:rsidRDefault="007F70F3" w:rsidP="005569FD">
            <w:pPr>
              <w:pStyle w:val="Tabletext1"/>
              <w:rPr>
                <w:snapToGrid w:val="0"/>
                <w:lang w:eastAsia="en-US"/>
              </w:rPr>
            </w:pPr>
            <w:r w:rsidRPr="005F2661">
              <w:rPr>
                <w:snapToGrid w:val="0"/>
                <w:lang w:eastAsia="en-US"/>
              </w:rPr>
              <w:t>31 (NR)</w:t>
            </w:r>
          </w:p>
        </w:tc>
        <w:tc>
          <w:tcPr>
            <w:tcW w:w="761" w:type="pct"/>
            <w:shd w:val="clear" w:color="auto" w:fill="auto"/>
          </w:tcPr>
          <w:p w14:paraId="4D15160F" w14:textId="77777777" w:rsidR="007F70F3" w:rsidRPr="00F2078A" w:rsidRDefault="007F70F3" w:rsidP="005569FD">
            <w:pPr>
              <w:pStyle w:val="Tabletext1"/>
            </w:pPr>
            <w:r w:rsidRPr="00F2078A">
              <w:t>Retrospective cohort</w:t>
            </w:r>
          </w:p>
          <w:p w14:paraId="3CFC08D4" w14:textId="13F09F87" w:rsidR="007F70F3" w:rsidRPr="00642604" w:rsidRDefault="007F70F3" w:rsidP="005569FD">
            <w:pPr>
              <w:pStyle w:val="Tabletext1"/>
              <w:rPr>
                <w:snapToGrid w:val="0"/>
                <w:lang w:eastAsia="en-US"/>
              </w:rPr>
            </w:pPr>
            <w:r w:rsidRPr="00642604">
              <w:rPr>
                <w:lang w:eastAsia="en-US"/>
              </w:rPr>
              <w:t>30 (5</w:t>
            </w:r>
            <w:r w:rsidR="00D35E9C">
              <w:rPr>
                <w:lang w:eastAsia="en-US"/>
              </w:rPr>
              <w:t>–</w:t>
            </w:r>
            <w:r w:rsidRPr="00642604">
              <w:rPr>
                <w:lang w:eastAsia="en-US"/>
              </w:rPr>
              <w:t>96) months</w:t>
            </w:r>
          </w:p>
        </w:tc>
        <w:tc>
          <w:tcPr>
            <w:tcW w:w="412" w:type="pct"/>
            <w:shd w:val="clear" w:color="auto" w:fill="auto"/>
          </w:tcPr>
          <w:p w14:paraId="2BEB7C84" w14:textId="77777777" w:rsidR="007F70F3" w:rsidRPr="00351105" w:rsidRDefault="007F70F3" w:rsidP="005569FD">
            <w:pPr>
              <w:pStyle w:val="Tabletext1"/>
              <w:rPr>
                <w:snapToGrid w:val="0"/>
                <w:lang w:eastAsia="en-US"/>
              </w:rPr>
            </w:pPr>
            <w:r w:rsidRPr="00351105">
              <w:rPr>
                <w:snapToGrid w:val="0"/>
                <w:lang w:eastAsia="en-US"/>
              </w:rPr>
              <w:t>High</w:t>
            </w:r>
          </w:p>
        </w:tc>
        <w:tc>
          <w:tcPr>
            <w:tcW w:w="1375" w:type="pct"/>
            <w:shd w:val="clear" w:color="auto" w:fill="auto"/>
          </w:tcPr>
          <w:p w14:paraId="0414A315" w14:textId="77777777" w:rsidR="007F70F3" w:rsidRPr="00935A6C" w:rsidRDefault="00C31D2D" w:rsidP="005569FD">
            <w:pPr>
              <w:pStyle w:val="Tabletext1"/>
              <w:rPr>
                <w:lang w:eastAsia="en-US"/>
              </w:rPr>
            </w:pPr>
            <w:r w:rsidRPr="0000124A">
              <w:rPr>
                <w:snapToGrid w:val="0"/>
                <w:lang w:eastAsia="en-US"/>
              </w:rPr>
              <w:t>O</w:t>
            </w:r>
            <w:r w:rsidR="007F70F3" w:rsidRPr="0000124A">
              <w:rPr>
                <w:snapToGrid w:val="0"/>
                <w:lang w:eastAsia="en-US"/>
              </w:rPr>
              <w:t xml:space="preserve">steosarcoma lung metastases, no other </w:t>
            </w:r>
            <w:r w:rsidR="00C4493E" w:rsidRPr="00781354">
              <w:rPr>
                <w:snapToGrid w:val="0"/>
                <w:lang w:eastAsia="en-US"/>
              </w:rPr>
              <w:t>sites</w:t>
            </w:r>
            <w:r w:rsidR="007F70F3" w:rsidRPr="006B33E4">
              <w:rPr>
                <w:snapToGrid w:val="0"/>
                <w:lang w:eastAsia="en-US"/>
              </w:rPr>
              <w:t xml:space="preserve">, complete resectability of </w:t>
            </w:r>
            <w:r w:rsidR="007F70F3" w:rsidRPr="004D10F1">
              <w:rPr>
                <w:snapToGrid w:val="0"/>
                <w:lang w:eastAsia="en-US"/>
              </w:rPr>
              <w:t>metastases</w:t>
            </w:r>
          </w:p>
        </w:tc>
        <w:tc>
          <w:tcPr>
            <w:tcW w:w="757" w:type="pct"/>
            <w:shd w:val="clear" w:color="auto" w:fill="auto"/>
          </w:tcPr>
          <w:p w14:paraId="26C108EA" w14:textId="77777777" w:rsidR="007F70F3" w:rsidRPr="001D54EF" w:rsidRDefault="007F70F3" w:rsidP="005569FD">
            <w:pPr>
              <w:pStyle w:val="Tabletext1"/>
              <w:rPr>
                <w:snapToGrid w:val="0"/>
                <w:lang w:eastAsia="en-US"/>
              </w:rPr>
            </w:pPr>
            <w:r w:rsidRPr="009616D3">
              <w:rPr>
                <w:snapToGrid w:val="0"/>
                <w:lang w:eastAsia="en-US"/>
              </w:rPr>
              <w:t>Overall</w:t>
            </w:r>
            <w:r w:rsidR="00055D72" w:rsidRPr="009616D3">
              <w:rPr>
                <w:snapToGrid w:val="0"/>
                <w:lang w:eastAsia="en-US"/>
              </w:rPr>
              <w:t>,</w:t>
            </w:r>
            <w:r w:rsidRPr="00C76207">
              <w:rPr>
                <w:snapToGrid w:val="0"/>
                <w:lang w:eastAsia="en-US"/>
              </w:rPr>
              <w:t xml:space="preserve"> </w:t>
            </w:r>
            <w:r w:rsidR="004F6722" w:rsidRPr="00B63D1C">
              <w:rPr>
                <w:snapToGrid w:val="0"/>
                <w:lang w:eastAsia="en-US"/>
              </w:rPr>
              <w:t>PF</w:t>
            </w:r>
            <w:r w:rsidRPr="00B63D1C">
              <w:rPr>
                <w:snapToGrid w:val="0"/>
                <w:lang w:eastAsia="en-US"/>
              </w:rPr>
              <w:t xml:space="preserve"> survival</w:t>
            </w:r>
            <w:r w:rsidR="00055D72" w:rsidRPr="007150EE">
              <w:rPr>
                <w:snapToGrid w:val="0"/>
                <w:lang w:eastAsia="en-US"/>
              </w:rPr>
              <w:t>, a</w:t>
            </w:r>
            <w:r w:rsidRPr="00556630">
              <w:rPr>
                <w:snapToGrid w:val="0"/>
                <w:lang w:eastAsia="en-US"/>
              </w:rPr>
              <w:t>dverse events</w:t>
            </w:r>
          </w:p>
        </w:tc>
        <w:tc>
          <w:tcPr>
            <w:tcW w:w="614" w:type="pct"/>
            <w:shd w:val="clear" w:color="auto" w:fill="auto"/>
          </w:tcPr>
          <w:p w14:paraId="567FB9E5" w14:textId="77777777" w:rsidR="007F70F3" w:rsidRPr="001D54EF" w:rsidRDefault="007F70F3" w:rsidP="005569FD">
            <w:pPr>
              <w:pStyle w:val="Tabletext1"/>
              <w:rPr>
                <w:snapToGrid w:val="0"/>
                <w:lang w:eastAsia="en-US"/>
              </w:rPr>
            </w:pPr>
            <w:r w:rsidRPr="00C76207">
              <w:rPr>
                <w:snapToGrid w:val="0"/>
                <w:lang w:eastAsia="en-US"/>
              </w:rPr>
              <w:t>Not used</w:t>
            </w:r>
          </w:p>
        </w:tc>
      </w:tr>
      <w:tr w:rsidR="007F70F3" w:rsidRPr="001D54EF" w14:paraId="7E47B988" w14:textId="77777777" w:rsidTr="004B492A">
        <w:trPr>
          <w:cantSplit/>
        </w:trPr>
        <w:tc>
          <w:tcPr>
            <w:tcW w:w="624" w:type="pct"/>
            <w:shd w:val="clear" w:color="auto" w:fill="auto"/>
          </w:tcPr>
          <w:p w14:paraId="3A2A90AA" w14:textId="77777777" w:rsidR="007F70F3" w:rsidRPr="001D54EF" w:rsidRDefault="007F70F3" w:rsidP="004B492A">
            <w:pPr>
              <w:pStyle w:val="Tabletext1"/>
              <w:rPr>
                <w:snapToGrid w:val="0"/>
                <w:lang w:eastAsia="en-US"/>
              </w:rPr>
            </w:pPr>
            <w:r w:rsidRPr="001D54EF">
              <w:rPr>
                <w:snapToGrid w:val="0"/>
                <w:lang w:eastAsia="en-US"/>
              </w:rPr>
              <w:t>Agolli et al (2015)</w:t>
            </w:r>
          </w:p>
        </w:tc>
        <w:tc>
          <w:tcPr>
            <w:tcW w:w="456" w:type="pct"/>
            <w:shd w:val="clear" w:color="auto" w:fill="auto"/>
          </w:tcPr>
          <w:p w14:paraId="0DFC8E52" w14:textId="77777777" w:rsidR="007F70F3" w:rsidRPr="001D54EF" w:rsidRDefault="007F70F3" w:rsidP="005569FD">
            <w:pPr>
              <w:pStyle w:val="Tabletext1"/>
              <w:rPr>
                <w:snapToGrid w:val="0"/>
                <w:lang w:eastAsia="en-US"/>
              </w:rPr>
            </w:pPr>
            <w:r w:rsidRPr="001D54EF">
              <w:rPr>
                <w:snapToGrid w:val="0"/>
                <w:lang w:eastAsia="en-US"/>
              </w:rPr>
              <w:t>22 (29)</w:t>
            </w:r>
          </w:p>
        </w:tc>
        <w:tc>
          <w:tcPr>
            <w:tcW w:w="761" w:type="pct"/>
            <w:shd w:val="clear" w:color="auto" w:fill="auto"/>
          </w:tcPr>
          <w:p w14:paraId="2CEC9AFC" w14:textId="77777777" w:rsidR="007F70F3" w:rsidRPr="005F2661" w:rsidRDefault="007037AB" w:rsidP="005569FD">
            <w:pPr>
              <w:pStyle w:val="Tabletext1"/>
              <w:rPr>
                <w:snapToGrid w:val="0"/>
                <w:lang w:eastAsia="en-US"/>
              </w:rPr>
            </w:pPr>
            <w:r w:rsidRPr="005F2661">
              <w:rPr>
                <w:snapToGrid w:val="0"/>
                <w:lang w:eastAsia="en-US"/>
              </w:rPr>
              <w:t>Retrospective CS</w:t>
            </w:r>
          </w:p>
          <w:p w14:paraId="0C027C0F" w14:textId="46C3D81C" w:rsidR="007F70F3" w:rsidRPr="00F2078A" w:rsidRDefault="007F70F3" w:rsidP="005569FD">
            <w:pPr>
              <w:pStyle w:val="Tabletext1"/>
              <w:rPr>
                <w:snapToGrid w:val="0"/>
                <w:lang w:eastAsia="en-US"/>
              </w:rPr>
            </w:pPr>
            <w:r w:rsidRPr="00F2078A">
              <w:rPr>
                <w:snapToGrid w:val="0"/>
                <w:lang w:eastAsia="en-US"/>
              </w:rPr>
              <w:t>18 (4</w:t>
            </w:r>
            <w:r w:rsidR="00D35E9C">
              <w:rPr>
                <w:snapToGrid w:val="0"/>
                <w:lang w:eastAsia="en-US"/>
              </w:rPr>
              <w:t>–</w:t>
            </w:r>
            <w:r w:rsidRPr="00F2078A">
              <w:rPr>
                <w:snapToGrid w:val="0"/>
                <w:lang w:eastAsia="en-US"/>
              </w:rPr>
              <w:t>53) months</w:t>
            </w:r>
          </w:p>
        </w:tc>
        <w:tc>
          <w:tcPr>
            <w:tcW w:w="412" w:type="pct"/>
            <w:shd w:val="clear" w:color="auto" w:fill="auto"/>
          </w:tcPr>
          <w:p w14:paraId="565DFC00" w14:textId="77777777" w:rsidR="007F70F3" w:rsidRPr="00642604" w:rsidRDefault="007F70F3" w:rsidP="005569FD">
            <w:pPr>
              <w:pStyle w:val="Tabletext1"/>
              <w:rPr>
                <w:snapToGrid w:val="0"/>
                <w:lang w:eastAsia="en-US"/>
              </w:rPr>
            </w:pPr>
            <w:r w:rsidRPr="00642604">
              <w:rPr>
                <w:snapToGrid w:val="0"/>
                <w:lang w:eastAsia="en-US"/>
              </w:rPr>
              <w:t>High</w:t>
            </w:r>
          </w:p>
        </w:tc>
        <w:tc>
          <w:tcPr>
            <w:tcW w:w="1375" w:type="pct"/>
            <w:shd w:val="clear" w:color="auto" w:fill="auto"/>
          </w:tcPr>
          <w:p w14:paraId="6E9980D0" w14:textId="4790A9C2" w:rsidR="007F70F3" w:rsidRPr="0000124A" w:rsidRDefault="00BB3037" w:rsidP="005569FD">
            <w:pPr>
              <w:pStyle w:val="Tabletext1"/>
              <w:rPr>
                <w:lang w:eastAsia="en-US"/>
              </w:rPr>
            </w:pPr>
            <w:r w:rsidRPr="00642604">
              <w:rPr>
                <w:snapToGrid w:val="0"/>
                <w:lang w:eastAsia="en-US"/>
              </w:rPr>
              <w:t>1</w:t>
            </w:r>
            <w:r w:rsidR="00D35E9C">
              <w:rPr>
                <w:snapToGrid w:val="0"/>
                <w:lang w:eastAsia="en-US"/>
              </w:rPr>
              <w:t>–</w:t>
            </w:r>
            <w:r w:rsidR="007F70F3" w:rsidRPr="0000124A">
              <w:rPr>
                <w:snapToGrid w:val="0"/>
                <w:lang w:eastAsia="en-US"/>
              </w:rPr>
              <w:t>4 lung metastases with primary under control, and no other active sites of distant metastasis</w:t>
            </w:r>
          </w:p>
        </w:tc>
        <w:tc>
          <w:tcPr>
            <w:tcW w:w="757" w:type="pct"/>
            <w:shd w:val="clear" w:color="auto" w:fill="auto"/>
          </w:tcPr>
          <w:p w14:paraId="11EF8C39" w14:textId="77777777" w:rsidR="007F70F3" w:rsidRPr="001D54EF" w:rsidRDefault="007F70F3" w:rsidP="005569FD">
            <w:pPr>
              <w:pStyle w:val="Tabletext1"/>
              <w:rPr>
                <w:snapToGrid w:val="0"/>
                <w:lang w:eastAsia="en-US"/>
              </w:rPr>
            </w:pPr>
            <w:r w:rsidRPr="00781354">
              <w:rPr>
                <w:snapToGrid w:val="0"/>
                <w:lang w:eastAsia="en-US"/>
              </w:rPr>
              <w:t>Overall</w:t>
            </w:r>
            <w:r w:rsidR="00055D72" w:rsidRPr="006B33E4">
              <w:rPr>
                <w:snapToGrid w:val="0"/>
                <w:lang w:eastAsia="en-US"/>
              </w:rPr>
              <w:t>,</w:t>
            </w:r>
            <w:r w:rsidRPr="004D10F1">
              <w:rPr>
                <w:snapToGrid w:val="0"/>
                <w:lang w:eastAsia="en-US"/>
              </w:rPr>
              <w:t xml:space="preserve"> cancer-specific</w:t>
            </w:r>
            <w:r w:rsidR="00055D72" w:rsidRPr="00935A6C">
              <w:rPr>
                <w:snapToGrid w:val="0"/>
                <w:lang w:eastAsia="en-US"/>
              </w:rPr>
              <w:t>,</w:t>
            </w:r>
            <w:r w:rsidRPr="009616D3">
              <w:rPr>
                <w:snapToGrid w:val="0"/>
                <w:lang w:eastAsia="en-US"/>
              </w:rPr>
              <w:t xml:space="preserve"> </w:t>
            </w:r>
            <w:r w:rsidR="004F6722" w:rsidRPr="009616D3">
              <w:rPr>
                <w:snapToGrid w:val="0"/>
                <w:lang w:eastAsia="en-US"/>
              </w:rPr>
              <w:t>PF</w:t>
            </w:r>
            <w:r w:rsidRPr="00C76207">
              <w:rPr>
                <w:snapToGrid w:val="0"/>
                <w:lang w:eastAsia="en-US"/>
              </w:rPr>
              <w:t xml:space="preserve"> survival</w:t>
            </w:r>
            <w:r w:rsidR="00055D72" w:rsidRPr="00B63D1C">
              <w:rPr>
                <w:snapToGrid w:val="0"/>
                <w:lang w:eastAsia="en-US"/>
              </w:rPr>
              <w:t>, a</w:t>
            </w:r>
            <w:r w:rsidRPr="00B63D1C">
              <w:rPr>
                <w:lang w:eastAsia="en-US"/>
              </w:rPr>
              <w:t>dverse events</w:t>
            </w:r>
          </w:p>
        </w:tc>
        <w:tc>
          <w:tcPr>
            <w:tcW w:w="614" w:type="pct"/>
            <w:shd w:val="clear" w:color="auto" w:fill="auto"/>
          </w:tcPr>
          <w:p w14:paraId="2DE32679" w14:textId="77777777" w:rsidR="007F70F3" w:rsidRPr="001D54EF" w:rsidRDefault="007F70F3" w:rsidP="005569FD">
            <w:pPr>
              <w:pStyle w:val="Tabletext1"/>
              <w:rPr>
                <w:snapToGrid w:val="0"/>
                <w:lang w:eastAsia="en-US"/>
              </w:rPr>
            </w:pPr>
            <w:r w:rsidRPr="00C76207">
              <w:rPr>
                <w:snapToGrid w:val="0"/>
                <w:lang w:eastAsia="en-US"/>
              </w:rPr>
              <w:t>Not used</w:t>
            </w:r>
          </w:p>
        </w:tc>
      </w:tr>
      <w:tr w:rsidR="007F70F3" w:rsidRPr="001D54EF" w14:paraId="54240E48" w14:textId="77777777" w:rsidTr="004B492A">
        <w:trPr>
          <w:cantSplit/>
        </w:trPr>
        <w:tc>
          <w:tcPr>
            <w:tcW w:w="624" w:type="pct"/>
            <w:shd w:val="clear" w:color="auto" w:fill="auto"/>
          </w:tcPr>
          <w:p w14:paraId="20A5A4D9" w14:textId="77777777" w:rsidR="007F70F3" w:rsidRPr="001D54EF" w:rsidRDefault="007F70F3" w:rsidP="004B492A">
            <w:pPr>
              <w:pStyle w:val="Tabletext1"/>
              <w:rPr>
                <w:snapToGrid w:val="0"/>
                <w:lang w:eastAsia="en-US"/>
              </w:rPr>
            </w:pPr>
            <w:r w:rsidRPr="001D54EF">
              <w:rPr>
                <w:snapToGrid w:val="0"/>
                <w:lang w:eastAsia="en-US"/>
              </w:rPr>
              <w:t>Baschnagel et al (2013)</w:t>
            </w:r>
          </w:p>
        </w:tc>
        <w:tc>
          <w:tcPr>
            <w:tcW w:w="456" w:type="pct"/>
            <w:shd w:val="clear" w:color="auto" w:fill="auto"/>
          </w:tcPr>
          <w:p w14:paraId="0DB1D7DA" w14:textId="77777777" w:rsidR="007F70F3" w:rsidRPr="001D54EF" w:rsidRDefault="007F70F3" w:rsidP="005569FD">
            <w:pPr>
              <w:pStyle w:val="Tabletext1"/>
              <w:rPr>
                <w:snapToGrid w:val="0"/>
                <w:lang w:eastAsia="en-US"/>
              </w:rPr>
            </w:pPr>
            <w:r w:rsidRPr="001D54EF">
              <w:rPr>
                <w:snapToGrid w:val="0"/>
                <w:lang w:eastAsia="en-US"/>
              </w:rPr>
              <w:t>32 (47)</w:t>
            </w:r>
          </w:p>
        </w:tc>
        <w:tc>
          <w:tcPr>
            <w:tcW w:w="761" w:type="pct"/>
            <w:shd w:val="clear" w:color="auto" w:fill="auto"/>
          </w:tcPr>
          <w:p w14:paraId="7AB27074" w14:textId="77777777" w:rsidR="007037AB" w:rsidRPr="005F2661" w:rsidRDefault="007037AB" w:rsidP="005569FD">
            <w:pPr>
              <w:pStyle w:val="Tabletext1"/>
              <w:rPr>
                <w:snapToGrid w:val="0"/>
                <w:lang w:eastAsia="en-US"/>
              </w:rPr>
            </w:pPr>
            <w:r w:rsidRPr="005F2661">
              <w:rPr>
                <w:snapToGrid w:val="0"/>
                <w:lang w:eastAsia="en-US"/>
              </w:rPr>
              <w:t>Retrospective CS</w:t>
            </w:r>
          </w:p>
          <w:p w14:paraId="2A90FD11" w14:textId="49BD7F2E" w:rsidR="007F70F3" w:rsidRPr="005F2661" w:rsidRDefault="007F70F3" w:rsidP="005569FD">
            <w:pPr>
              <w:pStyle w:val="Tabletext1"/>
              <w:rPr>
                <w:snapToGrid w:val="0"/>
                <w:lang w:eastAsia="en-US"/>
              </w:rPr>
            </w:pPr>
            <w:r w:rsidRPr="005F2661">
              <w:rPr>
                <w:snapToGrid w:val="0"/>
                <w:lang w:eastAsia="en-US"/>
              </w:rPr>
              <w:t>28 (8</w:t>
            </w:r>
            <w:r w:rsidR="00D35E9C">
              <w:rPr>
                <w:snapToGrid w:val="0"/>
                <w:lang w:eastAsia="en-US"/>
              </w:rPr>
              <w:t>–</w:t>
            </w:r>
            <w:r w:rsidRPr="005F2661">
              <w:rPr>
                <w:snapToGrid w:val="0"/>
                <w:lang w:eastAsia="en-US"/>
              </w:rPr>
              <w:t>57) months</w:t>
            </w:r>
          </w:p>
        </w:tc>
        <w:tc>
          <w:tcPr>
            <w:tcW w:w="412" w:type="pct"/>
            <w:shd w:val="clear" w:color="auto" w:fill="auto"/>
          </w:tcPr>
          <w:p w14:paraId="17493072" w14:textId="77777777" w:rsidR="007F70F3" w:rsidRPr="00F2078A" w:rsidRDefault="007F70F3" w:rsidP="005569FD">
            <w:pPr>
              <w:pStyle w:val="Tabletext1"/>
              <w:rPr>
                <w:snapToGrid w:val="0"/>
                <w:lang w:eastAsia="en-US"/>
              </w:rPr>
            </w:pPr>
            <w:r w:rsidRPr="00F2078A">
              <w:rPr>
                <w:snapToGrid w:val="0"/>
                <w:lang w:eastAsia="en-US"/>
              </w:rPr>
              <w:t>High</w:t>
            </w:r>
          </w:p>
        </w:tc>
        <w:tc>
          <w:tcPr>
            <w:tcW w:w="1375" w:type="pct"/>
            <w:shd w:val="clear" w:color="auto" w:fill="auto"/>
          </w:tcPr>
          <w:p w14:paraId="6DD452E3" w14:textId="6CF6B0ED" w:rsidR="007F70F3" w:rsidRPr="00781354" w:rsidRDefault="00C31D2D" w:rsidP="005569FD">
            <w:pPr>
              <w:pStyle w:val="Tabletext1"/>
              <w:rPr>
                <w:snapToGrid w:val="0"/>
                <w:lang w:eastAsia="en-US"/>
              </w:rPr>
            </w:pPr>
            <w:r w:rsidRPr="00642604">
              <w:rPr>
                <w:snapToGrid w:val="0"/>
                <w:lang w:eastAsia="en-US"/>
              </w:rPr>
              <w:t>1</w:t>
            </w:r>
            <w:r w:rsidR="00D35E9C">
              <w:rPr>
                <w:snapToGrid w:val="0"/>
                <w:lang w:eastAsia="en-US"/>
              </w:rPr>
              <w:t>–</w:t>
            </w:r>
            <w:r w:rsidR="007F70F3" w:rsidRPr="00642604">
              <w:rPr>
                <w:snapToGrid w:val="0"/>
                <w:lang w:eastAsia="en-US"/>
              </w:rPr>
              <w:t xml:space="preserve">3 lung metastases, controlled </w:t>
            </w:r>
            <w:r w:rsidR="00CA6DFD" w:rsidRPr="00351105">
              <w:rPr>
                <w:snapToGrid w:val="0"/>
                <w:lang w:eastAsia="en-US"/>
              </w:rPr>
              <w:t>extra thoracic</w:t>
            </w:r>
            <w:r w:rsidR="007F70F3" w:rsidRPr="0000124A">
              <w:rPr>
                <w:snapToGrid w:val="0"/>
                <w:lang w:eastAsia="en-US"/>
              </w:rPr>
              <w:t xml:space="preserve"> disease, inoperable or refused</w:t>
            </w:r>
            <w:r w:rsidR="007F70F3" w:rsidRPr="0000124A">
              <w:rPr>
                <w:b/>
                <w:snapToGrid w:val="0"/>
                <w:lang w:eastAsia="en-US"/>
              </w:rPr>
              <w:t xml:space="preserve"> </w:t>
            </w:r>
            <w:r w:rsidR="007F70F3" w:rsidRPr="00781354">
              <w:rPr>
                <w:snapToGrid w:val="0"/>
                <w:lang w:eastAsia="en-US"/>
              </w:rPr>
              <w:t>surgery</w:t>
            </w:r>
          </w:p>
        </w:tc>
        <w:tc>
          <w:tcPr>
            <w:tcW w:w="757" w:type="pct"/>
            <w:shd w:val="clear" w:color="auto" w:fill="auto"/>
          </w:tcPr>
          <w:p w14:paraId="057CC7A1" w14:textId="77777777" w:rsidR="007F70F3" w:rsidRPr="00935A6C" w:rsidRDefault="007F70F3" w:rsidP="005569FD">
            <w:pPr>
              <w:pStyle w:val="Tabletext1"/>
              <w:rPr>
                <w:snapToGrid w:val="0"/>
                <w:lang w:eastAsia="en-US"/>
              </w:rPr>
            </w:pPr>
            <w:r w:rsidRPr="006B33E4">
              <w:rPr>
                <w:snapToGrid w:val="0"/>
                <w:lang w:eastAsia="en-US"/>
              </w:rPr>
              <w:t>Overall survival</w:t>
            </w:r>
            <w:r w:rsidR="00477407" w:rsidRPr="004D10F1">
              <w:rPr>
                <w:snapToGrid w:val="0"/>
                <w:lang w:eastAsia="en-US"/>
              </w:rPr>
              <w:t>, a</w:t>
            </w:r>
            <w:r w:rsidRPr="00935A6C">
              <w:rPr>
                <w:snapToGrid w:val="0"/>
                <w:lang w:eastAsia="en-US"/>
              </w:rPr>
              <w:t>dverse events</w:t>
            </w:r>
          </w:p>
        </w:tc>
        <w:tc>
          <w:tcPr>
            <w:tcW w:w="614" w:type="pct"/>
            <w:shd w:val="clear" w:color="auto" w:fill="auto"/>
          </w:tcPr>
          <w:p w14:paraId="1F031407" w14:textId="77777777" w:rsidR="007F70F3" w:rsidRPr="009616D3" w:rsidRDefault="007F70F3" w:rsidP="005569FD">
            <w:pPr>
              <w:pStyle w:val="Tabletext1"/>
              <w:rPr>
                <w:snapToGrid w:val="0"/>
                <w:lang w:eastAsia="en-US"/>
              </w:rPr>
            </w:pPr>
            <w:r w:rsidRPr="009616D3">
              <w:rPr>
                <w:snapToGrid w:val="0"/>
                <w:lang w:eastAsia="en-US"/>
              </w:rPr>
              <w:t>Not used</w:t>
            </w:r>
          </w:p>
        </w:tc>
      </w:tr>
      <w:tr w:rsidR="007F70F3" w:rsidRPr="001D54EF" w14:paraId="003B8409" w14:textId="77777777" w:rsidTr="004B492A">
        <w:trPr>
          <w:cantSplit/>
        </w:trPr>
        <w:tc>
          <w:tcPr>
            <w:tcW w:w="624" w:type="pct"/>
            <w:shd w:val="clear" w:color="auto" w:fill="auto"/>
          </w:tcPr>
          <w:p w14:paraId="0644D3C6" w14:textId="77777777" w:rsidR="007F70F3" w:rsidRPr="001D54EF" w:rsidRDefault="007F70F3" w:rsidP="004B492A">
            <w:pPr>
              <w:pStyle w:val="Tabletext1"/>
              <w:rPr>
                <w:snapToGrid w:val="0"/>
                <w:lang w:eastAsia="en-US"/>
              </w:rPr>
            </w:pPr>
            <w:r w:rsidRPr="001D54EF">
              <w:rPr>
                <w:snapToGrid w:val="0"/>
                <w:lang w:eastAsia="en-US"/>
              </w:rPr>
              <w:t>Garcia-Cabezas et al (2015)</w:t>
            </w:r>
          </w:p>
        </w:tc>
        <w:tc>
          <w:tcPr>
            <w:tcW w:w="456" w:type="pct"/>
            <w:shd w:val="clear" w:color="auto" w:fill="auto"/>
          </w:tcPr>
          <w:p w14:paraId="197D10D3" w14:textId="77777777" w:rsidR="007F70F3" w:rsidRPr="005F2661" w:rsidRDefault="007F70F3" w:rsidP="005569FD">
            <w:pPr>
              <w:pStyle w:val="Tabletext1"/>
              <w:rPr>
                <w:snapToGrid w:val="0"/>
                <w:lang w:eastAsia="en-US"/>
              </w:rPr>
            </w:pPr>
            <w:r w:rsidRPr="005F2661">
              <w:rPr>
                <w:snapToGrid w:val="0"/>
                <w:lang w:eastAsia="en-US"/>
              </w:rPr>
              <w:t>44 (53)</w:t>
            </w:r>
          </w:p>
        </w:tc>
        <w:tc>
          <w:tcPr>
            <w:tcW w:w="761" w:type="pct"/>
            <w:shd w:val="clear" w:color="auto" w:fill="auto"/>
          </w:tcPr>
          <w:p w14:paraId="6DFB2379" w14:textId="77777777" w:rsidR="007037AB" w:rsidRPr="005F2661" w:rsidRDefault="007037AB" w:rsidP="005569FD">
            <w:pPr>
              <w:pStyle w:val="Tabletext1"/>
              <w:rPr>
                <w:snapToGrid w:val="0"/>
                <w:lang w:eastAsia="en-US"/>
              </w:rPr>
            </w:pPr>
            <w:r w:rsidRPr="005F2661">
              <w:rPr>
                <w:snapToGrid w:val="0"/>
                <w:lang w:eastAsia="en-US"/>
              </w:rPr>
              <w:t>Retrospective CS</w:t>
            </w:r>
          </w:p>
          <w:p w14:paraId="568CDB55" w14:textId="2C1049CF" w:rsidR="007F70F3" w:rsidRPr="00F2078A" w:rsidRDefault="007F70F3" w:rsidP="005569FD">
            <w:pPr>
              <w:pStyle w:val="Tabletext1"/>
              <w:rPr>
                <w:snapToGrid w:val="0"/>
                <w:lang w:eastAsia="en-US"/>
              </w:rPr>
            </w:pPr>
            <w:r w:rsidRPr="00F2078A">
              <w:rPr>
                <w:snapToGrid w:val="0"/>
                <w:lang w:eastAsia="en-US"/>
              </w:rPr>
              <w:t>13 (4</w:t>
            </w:r>
            <w:r w:rsidR="00D35E9C">
              <w:rPr>
                <w:snapToGrid w:val="0"/>
                <w:lang w:eastAsia="en-US"/>
              </w:rPr>
              <w:t>–</w:t>
            </w:r>
            <w:r w:rsidRPr="00F2078A">
              <w:rPr>
                <w:snapToGrid w:val="0"/>
                <w:lang w:eastAsia="en-US"/>
              </w:rPr>
              <w:t>46) months</w:t>
            </w:r>
          </w:p>
        </w:tc>
        <w:tc>
          <w:tcPr>
            <w:tcW w:w="412" w:type="pct"/>
            <w:shd w:val="clear" w:color="auto" w:fill="auto"/>
          </w:tcPr>
          <w:p w14:paraId="74C727D0" w14:textId="77777777" w:rsidR="007F70F3" w:rsidRPr="00642604" w:rsidRDefault="007F70F3" w:rsidP="005569FD">
            <w:pPr>
              <w:pStyle w:val="Tabletext1"/>
              <w:rPr>
                <w:snapToGrid w:val="0"/>
                <w:lang w:eastAsia="en-US"/>
              </w:rPr>
            </w:pPr>
            <w:r w:rsidRPr="00642604">
              <w:rPr>
                <w:snapToGrid w:val="0"/>
                <w:lang w:eastAsia="en-US"/>
              </w:rPr>
              <w:t>High</w:t>
            </w:r>
          </w:p>
        </w:tc>
        <w:tc>
          <w:tcPr>
            <w:tcW w:w="1375" w:type="pct"/>
            <w:shd w:val="clear" w:color="auto" w:fill="auto"/>
          </w:tcPr>
          <w:p w14:paraId="174F51E6" w14:textId="102EA32F" w:rsidR="007F70F3" w:rsidRPr="0000124A" w:rsidRDefault="00C31D2D" w:rsidP="005569FD">
            <w:pPr>
              <w:pStyle w:val="Tabletext1"/>
              <w:rPr>
                <w:lang w:eastAsia="en-US"/>
              </w:rPr>
            </w:pPr>
            <w:r w:rsidRPr="00642604">
              <w:rPr>
                <w:snapToGrid w:val="0"/>
                <w:lang w:eastAsia="en-US"/>
              </w:rPr>
              <w:t>L</w:t>
            </w:r>
            <w:r w:rsidR="007F70F3" w:rsidRPr="00EB5A53">
              <w:rPr>
                <w:snapToGrid w:val="0"/>
                <w:lang w:eastAsia="en-US"/>
              </w:rPr>
              <w:t xml:space="preserve">ung oligometastases, </w:t>
            </w:r>
            <w:r w:rsidR="00157B4F" w:rsidRPr="00351105">
              <w:rPr>
                <w:snapToGrid w:val="0"/>
                <w:lang w:eastAsia="en-US"/>
              </w:rPr>
              <w:t>1</w:t>
            </w:r>
            <w:r w:rsidR="00D35E9C">
              <w:rPr>
                <w:snapToGrid w:val="0"/>
                <w:lang w:eastAsia="en-US"/>
              </w:rPr>
              <w:t>–</w:t>
            </w:r>
            <w:r w:rsidR="007F70F3" w:rsidRPr="0000124A">
              <w:rPr>
                <w:snapToGrid w:val="0"/>
                <w:lang w:eastAsia="en-US"/>
              </w:rPr>
              <w:t>5 lesions, ≤ 50 mm, controlled primary disease</w:t>
            </w:r>
          </w:p>
        </w:tc>
        <w:tc>
          <w:tcPr>
            <w:tcW w:w="757" w:type="pct"/>
            <w:shd w:val="clear" w:color="auto" w:fill="auto"/>
          </w:tcPr>
          <w:p w14:paraId="5905976E" w14:textId="77777777" w:rsidR="007F70F3" w:rsidRPr="001D54EF" w:rsidRDefault="007F70F3" w:rsidP="005569FD">
            <w:pPr>
              <w:pStyle w:val="Tabletext1"/>
              <w:rPr>
                <w:snapToGrid w:val="0"/>
                <w:lang w:eastAsia="en-US"/>
              </w:rPr>
            </w:pPr>
            <w:r w:rsidRPr="00781354">
              <w:rPr>
                <w:snapToGrid w:val="0"/>
                <w:lang w:eastAsia="en-US"/>
              </w:rPr>
              <w:t>Overall</w:t>
            </w:r>
            <w:r w:rsidR="00055D72" w:rsidRPr="006B33E4">
              <w:rPr>
                <w:snapToGrid w:val="0"/>
                <w:lang w:eastAsia="en-US"/>
              </w:rPr>
              <w:t>,</w:t>
            </w:r>
            <w:r w:rsidRPr="004D10F1">
              <w:rPr>
                <w:snapToGrid w:val="0"/>
                <w:lang w:eastAsia="en-US"/>
              </w:rPr>
              <w:t xml:space="preserve"> cancer-specific</w:t>
            </w:r>
            <w:r w:rsidR="00055D72" w:rsidRPr="00935A6C">
              <w:rPr>
                <w:snapToGrid w:val="0"/>
                <w:lang w:eastAsia="en-US"/>
              </w:rPr>
              <w:t>,</w:t>
            </w:r>
            <w:r w:rsidRPr="009616D3">
              <w:rPr>
                <w:snapToGrid w:val="0"/>
                <w:lang w:eastAsia="en-US"/>
              </w:rPr>
              <w:t xml:space="preserve"> </w:t>
            </w:r>
            <w:r w:rsidR="004F6722" w:rsidRPr="009616D3">
              <w:rPr>
                <w:snapToGrid w:val="0"/>
                <w:lang w:eastAsia="en-US"/>
              </w:rPr>
              <w:t>PF</w:t>
            </w:r>
            <w:r w:rsidRPr="00C76207">
              <w:rPr>
                <w:snapToGrid w:val="0"/>
                <w:lang w:eastAsia="en-US"/>
              </w:rPr>
              <w:t xml:space="preserve"> survival</w:t>
            </w:r>
            <w:r w:rsidR="00055D72" w:rsidRPr="00B63D1C">
              <w:rPr>
                <w:snapToGrid w:val="0"/>
                <w:lang w:eastAsia="en-US"/>
              </w:rPr>
              <w:t>, a</w:t>
            </w:r>
            <w:r w:rsidRPr="00B63D1C">
              <w:rPr>
                <w:snapToGrid w:val="0"/>
                <w:lang w:eastAsia="en-US"/>
              </w:rPr>
              <w:t>dverse events</w:t>
            </w:r>
          </w:p>
        </w:tc>
        <w:tc>
          <w:tcPr>
            <w:tcW w:w="614" w:type="pct"/>
            <w:shd w:val="clear" w:color="auto" w:fill="auto"/>
          </w:tcPr>
          <w:p w14:paraId="468F3D9D" w14:textId="77777777" w:rsidR="007F70F3" w:rsidRPr="001D54EF" w:rsidRDefault="007F70F3" w:rsidP="005569FD">
            <w:pPr>
              <w:pStyle w:val="Tabletext1"/>
              <w:rPr>
                <w:snapToGrid w:val="0"/>
                <w:lang w:eastAsia="en-US"/>
              </w:rPr>
            </w:pPr>
            <w:r w:rsidRPr="00C76207">
              <w:rPr>
                <w:snapToGrid w:val="0"/>
                <w:lang w:eastAsia="en-US"/>
              </w:rPr>
              <w:t>Not used</w:t>
            </w:r>
          </w:p>
        </w:tc>
      </w:tr>
      <w:tr w:rsidR="007F70F3" w:rsidRPr="001D54EF" w14:paraId="65913510" w14:textId="77777777" w:rsidTr="004B492A">
        <w:trPr>
          <w:cantSplit/>
        </w:trPr>
        <w:tc>
          <w:tcPr>
            <w:tcW w:w="624" w:type="pct"/>
            <w:shd w:val="clear" w:color="auto" w:fill="auto"/>
          </w:tcPr>
          <w:p w14:paraId="0644F223" w14:textId="77777777" w:rsidR="007F70F3" w:rsidRPr="001D54EF" w:rsidRDefault="007F70F3" w:rsidP="004B492A">
            <w:pPr>
              <w:pStyle w:val="Tabletext1"/>
              <w:rPr>
                <w:snapToGrid w:val="0"/>
                <w:lang w:eastAsia="en-US"/>
              </w:rPr>
            </w:pPr>
            <w:r w:rsidRPr="001D54EF">
              <w:rPr>
                <w:snapToGrid w:val="0"/>
                <w:lang w:eastAsia="en-US"/>
              </w:rPr>
              <w:t>Filippi et al (2015)</w:t>
            </w:r>
          </w:p>
        </w:tc>
        <w:tc>
          <w:tcPr>
            <w:tcW w:w="456" w:type="pct"/>
            <w:shd w:val="clear" w:color="auto" w:fill="auto"/>
          </w:tcPr>
          <w:p w14:paraId="1E09EA48" w14:textId="77777777" w:rsidR="007F70F3" w:rsidRPr="001D54EF" w:rsidRDefault="007F70F3" w:rsidP="005569FD">
            <w:pPr>
              <w:pStyle w:val="Tabletext1"/>
              <w:rPr>
                <w:snapToGrid w:val="0"/>
                <w:lang w:eastAsia="en-US"/>
              </w:rPr>
            </w:pPr>
            <w:r w:rsidRPr="001D54EF">
              <w:rPr>
                <w:snapToGrid w:val="0"/>
                <w:lang w:eastAsia="en-US"/>
              </w:rPr>
              <w:t>40 (59)</w:t>
            </w:r>
          </w:p>
        </w:tc>
        <w:tc>
          <w:tcPr>
            <w:tcW w:w="761" w:type="pct"/>
            <w:shd w:val="clear" w:color="auto" w:fill="auto"/>
          </w:tcPr>
          <w:p w14:paraId="7D6D8B87" w14:textId="77777777" w:rsidR="007037AB" w:rsidRPr="005F2661" w:rsidRDefault="007037AB" w:rsidP="005569FD">
            <w:pPr>
              <w:pStyle w:val="Tabletext1"/>
              <w:rPr>
                <w:snapToGrid w:val="0"/>
                <w:lang w:eastAsia="en-US"/>
              </w:rPr>
            </w:pPr>
            <w:r w:rsidRPr="005F2661">
              <w:rPr>
                <w:snapToGrid w:val="0"/>
                <w:lang w:eastAsia="en-US"/>
              </w:rPr>
              <w:t>Retrospective CS</w:t>
            </w:r>
          </w:p>
          <w:p w14:paraId="6E8EBCFA" w14:textId="1E54A0F5" w:rsidR="007F70F3" w:rsidRPr="005F2661" w:rsidRDefault="007F70F3" w:rsidP="005569FD">
            <w:pPr>
              <w:pStyle w:val="Tabletext1"/>
              <w:rPr>
                <w:snapToGrid w:val="0"/>
                <w:lang w:eastAsia="en-US"/>
              </w:rPr>
            </w:pPr>
            <w:r w:rsidRPr="005F2661">
              <w:rPr>
                <w:snapToGrid w:val="0"/>
                <w:lang w:eastAsia="en-US"/>
              </w:rPr>
              <w:t>20 (3</w:t>
            </w:r>
            <w:r w:rsidR="00D35E9C">
              <w:rPr>
                <w:snapToGrid w:val="0"/>
                <w:lang w:eastAsia="en-US"/>
              </w:rPr>
              <w:t>–</w:t>
            </w:r>
            <w:r w:rsidRPr="005F2661">
              <w:rPr>
                <w:snapToGrid w:val="0"/>
                <w:lang w:eastAsia="en-US"/>
              </w:rPr>
              <w:t>72) months</w:t>
            </w:r>
          </w:p>
        </w:tc>
        <w:tc>
          <w:tcPr>
            <w:tcW w:w="412" w:type="pct"/>
            <w:shd w:val="clear" w:color="auto" w:fill="auto"/>
          </w:tcPr>
          <w:p w14:paraId="74F4BFDF" w14:textId="77777777" w:rsidR="007F70F3" w:rsidRPr="00F2078A" w:rsidRDefault="007F70F3" w:rsidP="005569FD">
            <w:pPr>
              <w:pStyle w:val="Tabletext1"/>
              <w:rPr>
                <w:snapToGrid w:val="0"/>
                <w:lang w:eastAsia="en-US"/>
              </w:rPr>
            </w:pPr>
            <w:r w:rsidRPr="00F2078A">
              <w:rPr>
                <w:snapToGrid w:val="0"/>
                <w:lang w:eastAsia="en-US"/>
              </w:rPr>
              <w:t>High</w:t>
            </w:r>
          </w:p>
        </w:tc>
        <w:tc>
          <w:tcPr>
            <w:tcW w:w="1375" w:type="pct"/>
            <w:shd w:val="clear" w:color="auto" w:fill="auto"/>
          </w:tcPr>
          <w:p w14:paraId="6C71D45B" w14:textId="01318AE1" w:rsidR="007F70F3" w:rsidRPr="00781354" w:rsidRDefault="007F70F3" w:rsidP="005569FD">
            <w:pPr>
              <w:pStyle w:val="Tabletext1"/>
              <w:rPr>
                <w:snapToGrid w:val="0"/>
                <w:lang w:eastAsia="en-US"/>
              </w:rPr>
            </w:pPr>
            <w:r w:rsidRPr="00642604">
              <w:rPr>
                <w:snapToGrid w:val="0"/>
                <w:lang w:eastAsia="en-US"/>
              </w:rPr>
              <w:t>1</w:t>
            </w:r>
            <w:r w:rsidR="00D35E9C">
              <w:rPr>
                <w:snapToGrid w:val="0"/>
                <w:lang w:eastAsia="en-US"/>
              </w:rPr>
              <w:t>–</w:t>
            </w:r>
            <w:r w:rsidRPr="00642604">
              <w:rPr>
                <w:snapToGrid w:val="0"/>
                <w:lang w:eastAsia="en-US"/>
              </w:rPr>
              <w:t xml:space="preserve">5 colorectal lung metastases, primary </w:t>
            </w:r>
            <w:r w:rsidR="0032456F" w:rsidRPr="00642604">
              <w:rPr>
                <w:snapToGrid w:val="0"/>
                <w:lang w:eastAsia="en-US"/>
              </w:rPr>
              <w:t>resected</w:t>
            </w:r>
            <w:r w:rsidRPr="00351105">
              <w:rPr>
                <w:snapToGrid w:val="0"/>
                <w:lang w:eastAsia="en-US"/>
              </w:rPr>
              <w:t xml:space="preserve">, absent or controlled </w:t>
            </w:r>
            <w:r w:rsidR="00CA6DFD" w:rsidRPr="0000124A">
              <w:rPr>
                <w:snapToGrid w:val="0"/>
                <w:lang w:eastAsia="en-US"/>
              </w:rPr>
              <w:t>extra thoracic</w:t>
            </w:r>
            <w:r w:rsidRPr="00781354">
              <w:rPr>
                <w:snapToGrid w:val="0"/>
                <w:lang w:eastAsia="en-US"/>
              </w:rPr>
              <w:t xml:space="preserve"> disease</w:t>
            </w:r>
          </w:p>
        </w:tc>
        <w:tc>
          <w:tcPr>
            <w:tcW w:w="757" w:type="pct"/>
            <w:shd w:val="clear" w:color="auto" w:fill="auto"/>
          </w:tcPr>
          <w:p w14:paraId="65EC9B1F" w14:textId="77777777" w:rsidR="007F70F3" w:rsidRPr="001D54EF" w:rsidRDefault="007F70F3" w:rsidP="005569FD">
            <w:pPr>
              <w:pStyle w:val="Tabletext1"/>
              <w:rPr>
                <w:snapToGrid w:val="0"/>
                <w:lang w:eastAsia="en-US"/>
              </w:rPr>
            </w:pPr>
            <w:r w:rsidRPr="006B33E4">
              <w:rPr>
                <w:snapToGrid w:val="0"/>
                <w:lang w:eastAsia="en-US"/>
              </w:rPr>
              <w:t>Overall</w:t>
            </w:r>
            <w:r w:rsidR="00055D72" w:rsidRPr="004D10F1">
              <w:rPr>
                <w:snapToGrid w:val="0"/>
                <w:lang w:eastAsia="en-US"/>
              </w:rPr>
              <w:t>,</w:t>
            </w:r>
            <w:r w:rsidRPr="00935A6C">
              <w:rPr>
                <w:snapToGrid w:val="0"/>
                <w:lang w:eastAsia="en-US"/>
              </w:rPr>
              <w:t xml:space="preserve"> </w:t>
            </w:r>
            <w:r w:rsidR="004F6722" w:rsidRPr="009616D3">
              <w:rPr>
                <w:snapToGrid w:val="0"/>
                <w:lang w:eastAsia="en-US"/>
              </w:rPr>
              <w:t>PF</w:t>
            </w:r>
            <w:r w:rsidRPr="009616D3">
              <w:rPr>
                <w:snapToGrid w:val="0"/>
                <w:lang w:eastAsia="en-US"/>
              </w:rPr>
              <w:t xml:space="preserve"> survival</w:t>
            </w:r>
            <w:r w:rsidR="00055D72" w:rsidRPr="00C76207">
              <w:rPr>
                <w:snapToGrid w:val="0"/>
                <w:lang w:eastAsia="en-US"/>
              </w:rPr>
              <w:t>, a</w:t>
            </w:r>
            <w:r w:rsidRPr="00B63D1C">
              <w:rPr>
                <w:snapToGrid w:val="0"/>
                <w:lang w:eastAsia="en-US"/>
              </w:rPr>
              <w:t>dverse events</w:t>
            </w:r>
          </w:p>
        </w:tc>
        <w:tc>
          <w:tcPr>
            <w:tcW w:w="614" w:type="pct"/>
            <w:shd w:val="clear" w:color="auto" w:fill="auto"/>
          </w:tcPr>
          <w:p w14:paraId="4107DC0A" w14:textId="77777777" w:rsidR="007F70F3" w:rsidRPr="001D54EF" w:rsidRDefault="007F70F3" w:rsidP="005569FD">
            <w:pPr>
              <w:pStyle w:val="Tabletext1"/>
              <w:rPr>
                <w:snapToGrid w:val="0"/>
                <w:lang w:eastAsia="en-US"/>
              </w:rPr>
            </w:pPr>
            <w:r w:rsidRPr="00C76207">
              <w:rPr>
                <w:snapToGrid w:val="0"/>
                <w:lang w:eastAsia="en-US"/>
              </w:rPr>
              <w:t>Not used</w:t>
            </w:r>
          </w:p>
        </w:tc>
      </w:tr>
      <w:tr w:rsidR="007F70F3" w:rsidRPr="001D54EF" w14:paraId="62382CA4" w14:textId="77777777" w:rsidTr="004B492A">
        <w:trPr>
          <w:cantSplit/>
        </w:trPr>
        <w:tc>
          <w:tcPr>
            <w:tcW w:w="624" w:type="pct"/>
            <w:shd w:val="clear" w:color="auto" w:fill="auto"/>
          </w:tcPr>
          <w:p w14:paraId="0EAD80F4" w14:textId="77777777" w:rsidR="007F70F3" w:rsidRPr="001D54EF" w:rsidRDefault="007F70F3" w:rsidP="004B492A">
            <w:pPr>
              <w:pStyle w:val="Tabletext1"/>
              <w:rPr>
                <w:snapToGrid w:val="0"/>
                <w:lang w:eastAsia="en-US"/>
              </w:rPr>
            </w:pPr>
            <w:r w:rsidRPr="001D54EF">
              <w:rPr>
                <w:snapToGrid w:val="0"/>
                <w:lang w:eastAsia="en-US"/>
              </w:rPr>
              <w:lastRenderedPageBreak/>
              <w:t>Gamsiz et al (2014)</w:t>
            </w:r>
          </w:p>
        </w:tc>
        <w:tc>
          <w:tcPr>
            <w:tcW w:w="456" w:type="pct"/>
            <w:shd w:val="clear" w:color="auto" w:fill="auto"/>
          </w:tcPr>
          <w:p w14:paraId="3138D7D3" w14:textId="77777777" w:rsidR="007F70F3" w:rsidRPr="001D54EF" w:rsidRDefault="007F70F3" w:rsidP="005569FD">
            <w:pPr>
              <w:pStyle w:val="Tabletext1"/>
              <w:rPr>
                <w:snapToGrid w:val="0"/>
                <w:lang w:eastAsia="en-US"/>
              </w:rPr>
            </w:pPr>
            <w:r w:rsidRPr="001D54EF">
              <w:rPr>
                <w:snapToGrid w:val="0"/>
                <w:lang w:eastAsia="en-US"/>
              </w:rPr>
              <w:t>20 (31)</w:t>
            </w:r>
          </w:p>
        </w:tc>
        <w:tc>
          <w:tcPr>
            <w:tcW w:w="761" w:type="pct"/>
            <w:tcBorders>
              <w:bottom w:val="single" w:sz="4" w:space="0" w:color="auto"/>
            </w:tcBorders>
            <w:shd w:val="clear" w:color="auto" w:fill="auto"/>
          </w:tcPr>
          <w:p w14:paraId="6CBC828E" w14:textId="77777777" w:rsidR="007037AB" w:rsidRPr="005F2661" w:rsidRDefault="007037AB" w:rsidP="005569FD">
            <w:pPr>
              <w:pStyle w:val="Tabletext1"/>
              <w:rPr>
                <w:snapToGrid w:val="0"/>
                <w:lang w:eastAsia="en-US"/>
              </w:rPr>
            </w:pPr>
            <w:r w:rsidRPr="005F2661">
              <w:rPr>
                <w:snapToGrid w:val="0"/>
                <w:lang w:eastAsia="en-US"/>
              </w:rPr>
              <w:t>Retrospective CS</w:t>
            </w:r>
          </w:p>
          <w:p w14:paraId="16E977AD" w14:textId="77777777" w:rsidR="007F70F3" w:rsidRPr="005F2661" w:rsidRDefault="007F70F3" w:rsidP="005569FD">
            <w:pPr>
              <w:pStyle w:val="Tabletext1"/>
              <w:rPr>
                <w:snapToGrid w:val="0"/>
                <w:lang w:eastAsia="en-US"/>
              </w:rPr>
            </w:pPr>
            <w:r w:rsidRPr="005F2661">
              <w:rPr>
                <w:snapToGrid w:val="0"/>
                <w:lang w:eastAsia="en-US"/>
              </w:rPr>
              <w:t>14 (range NR) months</w:t>
            </w:r>
          </w:p>
        </w:tc>
        <w:tc>
          <w:tcPr>
            <w:tcW w:w="412" w:type="pct"/>
            <w:tcBorders>
              <w:bottom w:val="single" w:sz="4" w:space="0" w:color="auto"/>
            </w:tcBorders>
            <w:shd w:val="clear" w:color="auto" w:fill="auto"/>
          </w:tcPr>
          <w:p w14:paraId="15A0E584" w14:textId="77777777" w:rsidR="007F70F3" w:rsidRPr="00F2078A" w:rsidRDefault="007F70F3" w:rsidP="005569FD">
            <w:pPr>
              <w:pStyle w:val="Tabletext1"/>
              <w:rPr>
                <w:snapToGrid w:val="0"/>
                <w:lang w:eastAsia="en-US"/>
              </w:rPr>
            </w:pPr>
            <w:r w:rsidRPr="00F2078A">
              <w:rPr>
                <w:snapToGrid w:val="0"/>
                <w:lang w:eastAsia="en-US"/>
              </w:rPr>
              <w:t>High</w:t>
            </w:r>
          </w:p>
        </w:tc>
        <w:tc>
          <w:tcPr>
            <w:tcW w:w="1375" w:type="pct"/>
            <w:shd w:val="clear" w:color="auto" w:fill="auto"/>
          </w:tcPr>
          <w:p w14:paraId="5891BF3C" w14:textId="570E6EFD" w:rsidR="007F70F3" w:rsidRPr="00642604" w:rsidRDefault="007F70F3" w:rsidP="005569FD">
            <w:pPr>
              <w:pStyle w:val="Tabletext1"/>
              <w:rPr>
                <w:snapToGrid w:val="0"/>
                <w:lang w:eastAsia="en-US"/>
              </w:rPr>
            </w:pPr>
            <w:r w:rsidRPr="00642604">
              <w:rPr>
                <w:snapToGrid w:val="0"/>
                <w:lang w:eastAsia="en-US"/>
              </w:rPr>
              <w:t>1</w:t>
            </w:r>
            <w:r w:rsidR="00D35E9C">
              <w:rPr>
                <w:snapToGrid w:val="0"/>
                <w:lang w:eastAsia="en-US"/>
              </w:rPr>
              <w:t>–</w:t>
            </w:r>
            <w:r w:rsidRPr="00642604">
              <w:rPr>
                <w:snapToGrid w:val="0"/>
                <w:lang w:eastAsia="en-US"/>
              </w:rPr>
              <w:t>5 pulmonary metastases, &lt; 70 mm, controlled primary</w:t>
            </w:r>
          </w:p>
        </w:tc>
        <w:tc>
          <w:tcPr>
            <w:tcW w:w="757" w:type="pct"/>
            <w:tcBorders>
              <w:bottom w:val="single" w:sz="4" w:space="0" w:color="auto"/>
            </w:tcBorders>
            <w:shd w:val="clear" w:color="auto" w:fill="auto"/>
          </w:tcPr>
          <w:p w14:paraId="6A62492B" w14:textId="77777777" w:rsidR="007F70F3" w:rsidRPr="0000124A" w:rsidRDefault="007F70F3" w:rsidP="005569FD">
            <w:pPr>
              <w:pStyle w:val="Tabletext1"/>
              <w:rPr>
                <w:snapToGrid w:val="0"/>
                <w:lang w:eastAsia="en-US"/>
              </w:rPr>
            </w:pPr>
            <w:r w:rsidRPr="00642604">
              <w:rPr>
                <w:snapToGrid w:val="0"/>
                <w:lang w:eastAsia="en-US"/>
              </w:rPr>
              <w:t>Overall</w:t>
            </w:r>
            <w:r w:rsidR="00055D72" w:rsidRPr="00EB5A53">
              <w:rPr>
                <w:snapToGrid w:val="0"/>
                <w:lang w:eastAsia="en-US"/>
              </w:rPr>
              <w:t>,</w:t>
            </w:r>
            <w:r w:rsidRPr="00351105">
              <w:rPr>
                <w:snapToGrid w:val="0"/>
                <w:lang w:eastAsia="en-US"/>
              </w:rPr>
              <w:t xml:space="preserve"> disease-free survival</w:t>
            </w:r>
            <w:r w:rsidR="00055D72" w:rsidRPr="0000124A">
              <w:rPr>
                <w:snapToGrid w:val="0"/>
                <w:lang w:eastAsia="en-US"/>
              </w:rPr>
              <w:t>, a</w:t>
            </w:r>
            <w:r w:rsidRPr="0000124A">
              <w:rPr>
                <w:snapToGrid w:val="0"/>
                <w:lang w:eastAsia="en-US"/>
              </w:rPr>
              <w:t>dverse events</w:t>
            </w:r>
          </w:p>
        </w:tc>
        <w:tc>
          <w:tcPr>
            <w:tcW w:w="614" w:type="pct"/>
            <w:shd w:val="clear" w:color="auto" w:fill="auto"/>
          </w:tcPr>
          <w:p w14:paraId="579DF7CC" w14:textId="77777777" w:rsidR="007F70F3" w:rsidRPr="00781354" w:rsidRDefault="007F70F3" w:rsidP="005569FD">
            <w:pPr>
              <w:pStyle w:val="Tabletext1"/>
              <w:rPr>
                <w:snapToGrid w:val="0"/>
                <w:lang w:eastAsia="en-US"/>
              </w:rPr>
            </w:pPr>
            <w:r w:rsidRPr="00781354">
              <w:rPr>
                <w:snapToGrid w:val="0"/>
                <w:lang w:eastAsia="en-US"/>
              </w:rPr>
              <w:t>Not used</w:t>
            </w:r>
          </w:p>
        </w:tc>
      </w:tr>
      <w:tr w:rsidR="007F70F3" w:rsidRPr="001D54EF" w14:paraId="2433F5DE" w14:textId="77777777" w:rsidTr="004B492A">
        <w:trPr>
          <w:cantSplit/>
        </w:trPr>
        <w:tc>
          <w:tcPr>
            <w:tcW w:w="624" w:type="pct"/>
            <w:shd w:val="clear" w:color="auto" w:fill="auto"/>
          </w:tcPr>
          <w:p w14:paraId="2015801F" w14:textId="77777777" w:rsidR="007F70F3" w:rsidRPr="001D54EF" w:rsidRDefault="007F70F3" w:rsidP="004B492A">
            <w:pPr>
              <w:pStyle w:val="Tabletext1"/>
              <w:rPr>
                <w:snapToGrid w:val="0"/>
                <w:lang w:eastAsia="en-US"/>
              </w:rPr>
            </w:pPr>
            <w:r w:rsidRPr="001D54EF">
              <w:rPr>
                <w:snapToGrid w:val="0"/>
                <w:lang w:eastAsia="en-US"/>
              </w:rPr>
              <w:t>Kim et al (2009)</w:t>
            </w:r>
          </w:p>
        </w:tc>
        <w:tc>
          <w:tcPr>
            <w:tcW w:w="456" w:type="pct"/>
            <w:shd w:val="clear" w:color="auto" w:fill="auto"/>
          </w:tcPr>
          <w:p w14:paraId="73E0F85B" w14:textId="77777777" w:rsidR="007F70F3" w:rsidRPr="005F2661" w:rsidRDefault="007F70F3" w:rsidP="005569FD">
            <w:pPr>
              <w:pStyle w:val="Tabletext1"/>
              <w:rPr>
                <w:snapToGrid w:val="0"/>
                <w:lang w:eastAsia="en-US"/>
              </w:rPr>
            </w:pPr>
            <w:r w:rsidRPr="005F2661">
              <w:rPr>
                <w:snapToGrid w:val="0"/>
                <w:lang w:eastAsia="en-US"/>
              </w:rPr>
              <w:t>31 (134)</w:t>
            </w:r>
          </w:p>
        </w:tc>
        <w:tc>
          <w:tcPr>
            <w:tcW w:w="761" w:type="pct"/>
            <w:tcBorders>
              <w:bottom w:val="single" w:sz="4" w:space="0" w:color="auto"/>
            </w:tcBorders>
            <w:shd w:val="clear" w:color="auto" w:fill="auto"/>
          </w:tcPr>
          <w:p w14:paraId="18A4A5C2" w14:textId="77777777" w:rsidR="007037AB" w:rsidRPr="005F2661" w:rsidRDefault="007037AB" w:rsidP="005569FD">
            <w:pPr>
              <w:pStyle w:val="Tabletext1"/>
              <w:rPr>
                <w:snapToGrid w:val="0"/>
                <w:lang w:eastAsia="en-US"/>
              </w:rPr>
            </w:pPr>
            <w:r w:rsidRPr="005F2661">
              <w:rPr>
                <w:snapToGrid w:val="0"/>
                <w:lang w:eastAsia="en-US"/>
              </w:rPr>
              <w:t>Retrospective CS</w:t>
            </w:r>
          </w:p>
          <w:p w14:paraId="7F77D020" w14:textId="1C4167F4" w:rsidR="007F70F3" w:rsidRPr="00F2078A" w:rsidRDefault="007F70F3" w:rsidP="005569FD">
            <w:pPr>
              <w:pStyle w:val="Tabletext1"/>
              <w:rPr>
                <w:snapToGrid w:val="0"/>
                <w:lang w:eastAsia="en-US"/>
              </w:rPr>
            </w:pPr>
            <w:r w:rsidRPr="00F2078A">
              <w:rPr>
                <w:snapToGrid w:val="0"/>
                <w:lang w:eastAsia="en-US"/>
              </w:rPr>
              <w:t>13 (3</w:t>
            </w:r>
            <w:r w:rsidR="00D35E9C">
              <w:rPr>
                <w:snapToGrid w:val="0"/>
                <w:lang w:eastAsia="en-US"/>
              </w:rPr>
              <w:t>–</w:t>
            </w:r>
            <w:r w:rsidRPr="00F2078A">
              <w:rPr>
                <w:snapToGrid w:val="0"/>
                <w:lang w:eastAsia="en-US"/>
              </w:rPr>
              <w:t>23) months</w:t>
            </w:r>
          </w:p>
        </w:tc>
        <w:tc>
          <w:tcPr>
            <w:tcW w:w="412" w:type="pct"/>
            <w:tcBorders>
              <w:bottom w:val="single" w:sz="4" w:space="0" w:color="auto"/>
            </w:tcBorders>
            <w:shd w:val="clear" w:color="auto" w:fill="auto"/>
          </w:tcPr>
          <w:p w14:paraId="327854DC" w14:textId="77777777" w:rsidR="007F70F3" w:rsidRPr="00642604" w:rsidRDefault="007F70F3" w:rsidP="005569FD">
            <w:pPr>
              <w:pStyle w:val="Tabletext1"/>
              <w:rPr>
                <w:snapToGrid w:val="0"/>
                <w:lang w:eastAsia="en-US"/>
              </w:rPr>
            </w:pPr>
            <w:r w:rsidRPr="00642604">
              <w:rPr>
                <w:snapToGrid w:val="0"/>
                <w:lang w:eastAsia="en-US"/>
              </w:rPr>
              <w:t>High</w:t>
            </w:r>
          </w:p>
        </w:tc>
        <w:tc>
          <w:tcPr>
            <w:tcW w:w="1375" w:type="pct"/>
            <w:shd w:val="clear" w:color="auto" w:fill="auto"/>
          </w:tcPr>
          <w:p w14:paraId="4D5C51DD" w14:textId="77777777" w:rsidR="007F70F3" w:rsidRPr="00EB5A53" w:rsidRDefault="00C31D2D" w:rsidP="005569FD">
            <w:pPr>
              <w:pStyle w:val="Tabletext1"/>
              <w:rPr>
                <w:snapToGrid w:val="0"/>
                <w:lang w:eastAsia="en-US"/>
              </w:rPr>
            </w:pPr>
            <w:r w:rsidRPr="00642604">
              <w:rPr>
                <w:snapToGrid w:val="0"/>
                <w:lang w:eastAsia="en-US"/>
              </w:rPr>
              <w:t>L</w:t>
            </w:r>
            <w:r w:rsidR="007F70F3" w:rsidRPr="00EB5A53">
              <w:rPr>
                <w:snapToGrid w:val="0"/>
                <w:lang w:eastAsia="en-US"/>
              </w:rPr>
              <w:t>ung oligometastases, no extrapulmonary metastases</w:t>
            </w:r>
          </w:p>
        </w:tc>
        <w:tc>
          <w:tcPr>
            <w:tcW w:w="757" w:type="pct"/>
            <w:tcBorders>
              <w:bottom w:val="single" w:sz="4" w:space="0" w:color="auto"/>
            </w:tcBorders>
            <w:shd w:val="clear" w:color="auto" w:fill="auto"/>
          </w:tcPr>
          <w:p w14:paraId="69BD723C" w14:textId="77777777" w:rsidR="007F70F3" w:rsidRPr="00935A6C" w:rsidRDefault="007F70F3" w:rsidP="005569FD">
            <w:pPr>
              <w:pStyle w:val="Tabletext1"/>
              <w:rPr>
                <w:snapToGrid w:val="0"/>
                <w:lang w:eastAsia="en-US"/>
              </w:rPr>
            </w:pPr>
            <w:r w:rsidRPr="00351105">
              <w:rPr>
                <w:snapToGrid w:val="0"/>
                <w:lang w:eastAsia="en-US"/>
              </w:rPr>
              <w:t>Overall</w:t>
            </w:r>
            <w:r w:rsidR="00055D72" w:rsidRPr="0000124A">
              <w:rPr>
                <w:snapToGrid w:val="0"/>
                <w:lang w:eastAsia="en-US"/>
              </w:rPr>
              <w:t>,</w:t>
            </w:r>
            <w:r w:rsidRPr="0000124A">
              <w:rPr>
                <w:snapToGrid w:val="0"/>
                <w:lang w:eastAsia="en-US"/>
              </w:rPr>
              <w:t xml:space="preserve"> </w:t>
            </w:r>
            <w:r w:rsidR="004F6722" w:rsidRPr="00781354">
              <w:rPr>
                <w:snapToGrid w:val="0"/>
                <w:lang w:eastAsia="en-US"/>
              </w:rPr>
              <w:t>PF</w:t>
            </w:r>
            <w:r w:rsidRPr="006B33E4">
              <w:rPr>
                <w:snapToGrid w:val="0"/>
                <w:lang w:eastAsia="en-US"/>
              </w:rPr>
              <w:t xml:space="preserve"> survival</w:t>
            </w:r>
            <w:r w:rsidR="00055D72" w:rsidRPr="004D10F1">
              <w:rPr>
                <w:snapToGrid w:val="0"/>
                <w:lang w:eastAsia="en-US"/>
              </w:rPr>
              <w:t>, a</w:t>
            </w:r>
            <w:r w:rsidRPr="00935A6C">
              <w:rPr>
                <w:snapToGrid w:val="0"/>
                <w:lang w:eastAsia="en-US"/>
              </w:rPr>
              <w:t>dverse events</w:t>
            </w:r>
          </w:p>
        </w:tc>
        <w:tc>
          <w:tcPr>
            <w:tcW w:w="614" w:type="pct"/>
            <w:shd w:val="clear" w:color="auto" w:fill="auto"/>
          </w:tcPr>
          <w:p w14:paraId="23D457AB" w14:textId="77777777" w:rsidR="007F70F3" w:rsidRPr="009616D3" w:rsidRDefault="007F70F3" w:rsidP="005569FD">
            <w:pPr>
              <w:pStyle w:val="Tabletext1"/>
              <w:rPr>
                <w:snapToGrid w:val="0"/>
                <w:lang w:eastAsia="en-US"/>
              </w:rPr>
            </w:pPr>
            <w:r w:rsidRPr="009616D3">
              <w:rPr>
                <w:snapToGrid w:val="0"/>
                <w:lang w:eastAsia="en-US"/>
              </w:rPr>
              <w:t>Not used</w:t>
            </w:r>
          </w:p>
        </w:tc>
      </w:tr>
      <w:tr w:rsidR="007F70F3" w:rsidRPr="001D54EF" w14:paraId="01EC87AE" w14:textId="77777777" w:rsidTr="004B492A">
        <w:trPr>
          <w:cantSplit/>
        </w:trPr>
        <w:tc>
          <w:tcPr>
            <w:tcW w:w="624" w:type="pct"/>
            <w:shd w:val="clear" w:color="auto" w:fill="auto"/>
          </w:tcPr>
          <w:p w14:paraId="786C08B5" w14:textId="77777777" w:rsidR="007F70F3" w:rsidRPr="001D54EF" w:rsidRDefault="007F70F3" w:rsidP="004B492A">
            <w:pPr>
              <w:pStyle w:val="Tabletext1"/>
              <w:rPr>
                <w:snapToGrid w:val="0"/>
                <w:lang w:eastAsia="en-US"/>
              </w:rPr>
            </w:pPr>
            <w:r w:rsidRPr="001D54EF">
              <w:rPr>
                <w:snapToGrid w:val="0"/>
                <w:lang w:eastAsia="en-US"/>
              </w:rPr>
              <w:t>Navarria et al (2014)</w:t>
            </w:r>
          </w:p>
        </w:tc>
        <w:tc>
          <w:tcPr>
            <w:tcW w:w="456" w:type="pct"/>
            <w:shd w:val="clear" w:color="auto" w:fill="auto"/>
          </w:tcPr>
          <w:p w14:paraId="6396F765" w14:textId="77777777" w:rsidR="007F70F3" w:rsidRPr="001D54EF" w:rsidRDefault="007F70F3" w:rsidP="005569FD">
            <w:pPr>
              <w:pStyle w:val="Tabletext1"/>
              <w:rPr>
                <w:snapToGrid w:val="0"/>
                <w:lang w:eastAsia="en-US"/>
              </w:rPr>
            </w:pPr>
            <w:r w:rsidRPr="001D54EF">
              <w:rPr>
                <w:snapToGrid w:val="0"/>
                <w:lang w:eastAsia="en-US"/>
              </w:rPr>
              <w:t>76 (118)</w:t>
            </w:r>
          </w:p>
        </w:tc>
        <w:tc>
          <w:tcPr>
            <w:tcW w:w="761" w:type="pct"/>
            <w:tcBorders>
              <w:bottom w:val="single" w:sz="4" w:space="0" w:color="auto"/>
            </w:tcBorders>
            <w:shd w:val="clear" w:color="auto" w:fill="auto"/>
          </w:tcPr>
          <w:p w14:paraId="319DD068" w14:textId="77777777" w:rsidR="007037AB" w:rsidRPr="005F2661" w:rsidRDefault="007037AB" w:rsidP="005569FD">
            <w:pPr>
              <w:pStyle w:val="Tabletext1"/>
              <w:rPr>
                <w:snapToGrid w:val="0"/>
                <w:lang w:eastAsia="en-US"/>
              </w:rPr>
            </w:pPr>
            <w:r w:rsidRPr="005F2661">
              <w:rPr>
                <w:snapToGrid w:val="0"/>
                <w:lang w:eastAsia="en-US"/>
              </w:rPr>
              <w:t>Prospective CS</w:t>
            </w:r>
          </w:p>
          <w:p w14:paraId="0E510325" w14:textId="21733588" w:rsidR="007F70F3" w:rsidRPr="005F2661" w:rsidRDefault="007F70F3" w:rsidP="005569FD">
            <w:pPr>
              <w:pStyle w:val="Tabletext1"/>
              <w:rPr>
                <w:snapToGrid w:val="0"/>
                <w:lang w:eastAsia="en-US"/>
              </w:rPr>
            </w:pPr>
            <w:r w:rsidRPr="005F2661">
              <w:rPr>
                <w:snapToGrid w:val="0"/>
                <w:lang w:eastAsia="en-US"/>
              </w:rPr>
              <w:t>18 (6</w:t>
            </w:r>
            <w:r w:rsidR="00D35E9C">
              <w:rPr>
                <w:snapToGrid w:val="0"/>
                <w:lang w:eastAsia="en-US"/>
              </w:rPr>
              <w:t>–</w:t>
            </w:r>
            <w:r w:rsidRPr="005F2661">
              <w:rPr>
                <w:snapToGrid w:val="0"/>
                <w:lang w:eastAsia="en-US"/>
              </w:rPr>
              <w:t>45) months</w:t>
            </w:r>
          </w:p>
        </w:tc>
        <w:tc>
          <w:tcPr>
            <w:tcW w:w="412" w:type="pct"/>
            <w:tcBorders>
              <w:bottom w:val="single" w:sz="4" w:space="0" w:color="auto"/>
            </w:tcBorders>
            <w:shd w:val="clear" w:color="auto" w:fill="auto"/>
          </w:tcPr>
          <w:p w14:paraId="54F2625B" w14:textId="77777777" w:rsidR="007F70F3" w:rsidRPr="00F2078A" w:rsidRDefault="007F70F3" w:rsidP="005569FD">
            <w:pPr>
              <w:pStyle w:val="Tabletext1"/>
              <w:rPr>
                <w:snapToGrid w:val="0"/>
                <w:lang w:eastAsia="en-US"/>
              </w:rPr>
            </w:pPr>
            <w:r w:rsidRPr="00F2078A">
              <w:rPr>
                <w:snapToGrid w:val="0"/>
                <w:lang w:eastAsia="en-US"/>
              </w:rPr>
              <w:t>High</w:t>
            </w:r>
          </w:p>
        </w:tc>
        <w:tc>
          <w:tcPr>
            <w:tcW w:w="1375" w:type="pct"/>
            <w:shd w:val="clear" w:color="auto" w:fill="auto"/>
          </w:tcPr>
          <w:p w14:paraId="71B41492" w14:textId="400A9F5F" w:rsidR="007F70F3" w:rsidRPr="00351105" w:rsidRDefault="00BB3037" w:rsidP="005569FD">
            <w:pPr>
              <w:pStyle w:val="Tabletext1"/>
              <w:rPr>
                <w:snapToGrid w:val="0"/>
                <w:lang w:eastAsia="en-US"/>
              </w:rPr>
            </w:pPr>
            <w:r w:rsidRPr="00642604">
              <w:rPr>
                <w:snapToGrid w:val="0"/>
                <w:lang w:eastAsia="en-US"/>
              </w:rPr>
              <w:t>1</w:t>
            </w:r>
            <w:r w:rsidR="00D35E9C">
              <w:rPr>
                <w:snapToGrid w:val="0"/>
                <w:lang w:eastAsia="en-US"/>
              </w:rPr>
              <w:t>–</w:t>
            </w:r>
            <w:r w:rsidR="007F70F3" w:rsidRPr="00642604">
              <w:rPr>
                <w:snapToGrid w:val="0"/>
                <w:lang w:eastAsia="en-US"/>
              </w:rPr>
              <w:t>5 lung metastases, controlled pri</w:t>
            </w:r>
            <w:r w:rsidR="007F70F3" w:rsidRPr="00351105">
              <w:rPr>
                <w:snapToGrid w:val="0"/>
                <w:lang w:eastAsia="en-US"/>
              </w:rPr>
              <w:t>mary tumour, no progressive disease longer than 6 months, medically inoperable</w:t>
            </w:r>
          </w:p>
        </w:tc>
        <w:tc>
          <w:tcPr>
            <w:tcW w:w="757" w:type="pct"/>
            <w:tcBorders>
              <w:bottom w:val="single" w:sz="4" w:space="0" w:color="auto"/>
            </w:tcBorders>
            <w:shd w:val="clear" w:color="auto" w:fill="auto"/>
          </w:tcPr>
          <w:p w14:paraId="24862B3D" w14:textId="77777777" w:rsidR="007F70F3" w:rsidRPr="009616D3" w:rsidRDefault="007F70F3" w:rsidP="005569FD">
            <w:pPr>
              <w:pStyle w:val="Tabletext1"/>
              <w:rPr>
                <w:snapToGrid w:val="0"/>
                <w:lang w:eastAsia="en-US"/>
              </w:rPr>
            </w:pPr>
            <w:r w:rsidRPr="0000124A">
              <w:rPr>
                <w:snapToGrid w:val="0"/>
                <w:lang w:eastAsia="en-US"/>
              </w:rPr>
              <w:t>Overall</w:t>
            </w:r>
            <w:r w:rsidR="00055D72" w:rsidRPr="0000124A">
              <w:rPr>
                <w:snapToGrid w:val="0"/>
                <w:lang w:eastAsia="en-US"/>
              </w:rPr>
              <w:t>,</w:t>
            </w:r>
            <w:r w:rsidRPr="00781354">
              <w:rPr>
                <w:snapToGrid w:val="0"/>
                <w:lang w:eastAsia="en-US"/>
              </w:rPr>
              <w:t xml:space="preserve"> cancer-specific </w:t>
            </w:r>
            <w:r w:rsidR="004F6722" w:rsidRPr="006B33E4">
              <w:rPr>
                <w:snapToGrid w:val="0"/>
                <w:lang w:eastAsia="en-US"/>
              </w:rPr>
              <w:t>PF</w:t>
            </w:r>
            <w:r w:rsidRPr="004D10F1">
              <w:rPr>
                <w:snapToGrid w:val="0"/>
                <w:lang w:eastAsia="en-US"/>
              </w:rPr>
              <w:t xml:space="preserve"> survival</w:t>
            </w:r>
            <w:r w:rsidR="00055D72" w:rsidRPr="00935A6C">
              <w:rPr>
                <w:snapToGrid w:val="0"/>
                <w:lang w:eastAsia="en-US"/>
              </w:rPr>
              <w:t>, a</w:t>
            </w:r>
            <w:r w:rsidRPr="009616D3">
              <w:rPr>
                <w:snapToGrid w:val="0"/>
                <w:lang w:eastAsia="en-US"/>
              </w:rPr>
              <w:t>dverse events</w:t>
            </w:r>
          </w:p>
        </w:tc>
        <w:tc>
          <w:tcPr>
            <w:tcW w:w="614" w:type="pct"/>
            <w:shd w:val="clear" w:color="auto" w:fill="auto"/>
          </w:tcPr>
          <w:p w14:paraId="4A3582ED" w14:textId="77777777" w:rsidR="007F70F3" w:rsidRPr="009616D3" w:rsidRDefault="007F70F3" w:rsidP="005569FD">
            <w:pPr>
              <w:pStyle w:val="Tabletext1"/>
              <w:rPr>
                <w:snapToGrid w:val="0"/>
                <w:lang w:eastAsia="en-US"/>
              </w:rPr>
            </w:pPr>
            <w:r w:rsidRPr="009616D3">
              <w:rPr>
                <w:snapToGrid w:val="0"/>
                <w:lang w:eastAsia="en-US"/>
              </w:rPr>
              <w:t>Not used</w:t>
            </w:r>
          </w:p>
        </w:tc>
      </w:tr>
      <w:tr w:rsidR="007F70F3" w:rsidRPr="001D54EF" w14:paraId="27038B03" w14:textId="77777777" w:rsidTr="004B492A">
        <w:trPr>
          <w:cantSplit/>
        </w:trPr>
        <w:tc>
          <w:tcPr>
            <w:tcW w:w="624" w:type="pct"/>
            <w:shd w:val="clear" w:color="auto" w:fill="auto"/>
          </w:tcPr>
          <w:p w14:paraId="6A1DDFEC" w14:textId="77777777" w:rsidR="007F70F3" w:rsidRPr="001D54EF" w:rsidRDefault="007F70F3" w:rsidP="004B492A">
            <w:pPr>
              <w:pStyle w:val="Tabletext1"/>
              <w:rPr>
                <w:snapToGrid w:val="0"/>
                <w:lang w:eastAsia="en-US"/>
              </w:rPr>
            </w:pPr>
            <w:r w:rsidRPr="001D54EF">
              <w:rPr>
                <w:snapToGrid w:val="0"/>
                <w:lang w:eastAsia="en-US"/>
              </w:rPr>
              <w:t>Navarria et al (2015)</w:t>
            </w:r>
          </w:p>
        </w:tc>
        <w:tc>
          <w:tcPr>
            <w:tcW w:w="456" w:type="pct"/>
            <w:shd w:val="clear" w:color="auto" w:fill="auto"/>
          </w:tcPr>
          <w:p w14:paraId="1724460B" w14:textId="77777777" w:rsidR="007F70F3" w:rsidRPr="001D54EF" w:rsidRDefault="007F70F3" w:rsidP="005569FD">
            <w:pPr>
              <w:pStyle w:val="Tabletext1"/>
              <w:rPr>
                <w:snapToGrid w:val="0"/>
                <w:lang w:eastAsia="en-US"/>
              </w:rPr>
            </w:pPr>
            <w:r w:rsidRPr="001D54EF">
              <w:rPr>
                <w:snapToGrid w:val="0"/>
                <w:lang w:eastAsia="en-US"/>
              </w:rPr>
              <w:t>28 (51)</w:t>
            </w:r>
          </w:p>
        </w:tc>
        <w:tc>
          <w:tcPr>
            <w:tcW w:w="761" w:type="pct"/>
            <w:tcBorders>
              <w:bottom w:val="single" w:sz="4" w:space="0" w:color="auto"/>
            </w:tcBorders>
            <w:shd w:val="clear" w:color="auto" w:fill="auto"/>
          </w:tcPr>
          <w:p w14:paraId="659FCE4A" w14:textId="77777777" w:rsidR="007037AB" w:rsidRPr="005F2661" w:rsidRDefault="007037AB" w:rsidP="005569FD">
            <w:pPr>
              <w:pStyle w:val="Tabletext1"/>
              <w:rPr>
                <w:snapToGrid w:val="0"/>
                <w:lang w:eastAsia="en-US"/>
              </w:rPr>
            </w:pPr>
            <w:r w:rsidRPr="005F2661">
              <w:rPr>
                <w:snapToGrid w:val="0"/>
                <w:lang w:eastAsia="en-US"/>
              </w:rPr>
              <w:t>Prospective CS</w:t>
            </w:r>
          </w:p>
          <w:p w14:paraId="3EB9D2DC" w14:textId="39AA2679" w:rsidR="007F70F3" w:rsidRPr="00F2078A" w:rsidRDefault="00A11782" w:rsidP="005569FD">
            <w:pPr>
              <w:pStyle w:val="Tabletext1"/>
              <w:rPr>
                <w:snapToGrid w:val="0"/>
                <w:lang w:eastAsia="en-US"/>
              </w:rPr>
            </w:pPr>
            <w:r w:rsidRPr="005F2661">
              <w:rPr>
                <w:snapToGrid w:val="0"/>
                <w:lang w:eastAsia="en-US"/>
              </w:rPr>
              <w:t>21 (8</w:t>
            </w:r>
            <w:r w:rsidR="00D35E9C">
              <w:rPr>
                <w:snapToGrid w:val="0"/>
                <w:lang w:eastAsia="en-US"/>
              </w:rPr>
              <w:t>–</w:t>
            </w:r>
            <w:r w:rsidRPr="005F2661">
              <w:rPr>
                <w:snapToGrid w:val="0"/>
                <w:lang w:eastAsia="en-US"/>
              </w:rPr>
              <w:t>20)</w:t>
            </w:r>
            <w:r w:rsidR="007F70F3" w:rsidRPr="00F2078A">
              <w:rPr>
                <w:snapToGrid w:val="0"/>
                <w:lang w:eastAsia="en-US"/>
              </w:rPr>
              <w:t xml:space="preserve"> months</w:t>
            </w:r>
          </w:p>
        </w:tc>
        <w:tc>
          <w:tcPr>
            <w:tcW w:w="412" w:type="pct"/>
            <w:tcBorders>
              <w:bottom w:val="single" w:sz="4" w:space="0" w:color="auto"/>
            </w:tcBorders>
            <w:shd w:val="clear" w:color="auto" w:fill="auto"/>
          </w:tcPr>
          <w:p w14:paraId="79DB23ED" w14:textId="77777777" w:rsidR="007F70F3" w:rsidRPr="00642604" w:rsidRDefault="007F70F3" w:rsidP="005569FD">
            <w:pPr>
              <w:pStyle w:val="Tabletext1"/>
              <w:rPr>
                <w:snapToGrid w:val="0"/>
                <w:lang w:eastAsia="en-US"/>
              </w:rPr>
            </w:pPr>
            <w:r w:rsidRPr="00642604">
              <w:rPr>
                <w:snapToGrid w:val="0"/>
                <w:lang w:eastAsia="en-US"/>
              </w:rPr>
              <w:t>High</w:t>
            </w:r>
          </w:p>
        </w:tc>
        <w:tc>
          <w:tcPr>
            <w:tcW w:w="1375" w:type="pct"/>
            <w:shd w:val="clear" w:color="auto" w:fill="auto"/>
          </w:tcPr>
          <w:p w14:paraId="66FE2B6A" w14:textId="4AD6457E" w:rsidR="007F70F3" w:rsidRPr="006B33E4" w:rsidRDefault="00BB3037" w:rsidP="005569FD">
            <w:pPr>
              <w:pStyle w:val="Tabletext1"/>
              <w:rPr>
                <w:snapToGrid w:val="0"/>
                <w:lang w:eastAsia="en-US"/>
              </w:rPr>
            </w:pPr>
            <w:r w:rsidRPr="00642604">
              <w:rPr>
                <w:snapToGrid w:val="0"/>
                <w:lang w:eastAsia="en-US"/>
              </w:rPr>
              <w:t>1</w:t>
            </w:r>
            <w:r w:rsidR="00D35E9C">
              <w:rPr>
                <w:snapToGrid w:val="0"/>
                <w:lang w:eastAsia="en-US"/>
              </w:rPr>
              <w:t>–</w:t>
            </w:r>
            <w:r w:rsidRPr="00642604">
              <w:rPr>
                <w:snapToGrid w:val="0"/>
                <w:lang w:eastAsia="en-US"/>
              </w:rPr>
              <w:t>4</w:t>
            </w:r>
            <w:r w:rsidR="007F70F3" w:rsidRPr="00EB5A53">
              <w:rPr>
                <w:snapToGrid w:val="0"/>
                <w:lang w:eastAsia="en-US"/>
              </w:rPr>
              <w:t xml:space="preserve"> lung metastases, slow-progressing disease, </w:t>
            </w:r>
            <w:r w:rsidR="007F70F3" w:rsidRPr="00351105">
              <w:rPr>
                <w:snapToGrid w:val="0"/>
                <w:lang w:eastAsia="en-US"/>
              </w:rPr>
              <w:t xml:space="preserve">controlled primary tumour, progressive disease after </w:t>
            </w:r>
            <w:r w:rsidR="00445A13" w:rsidRPr="0000124A">
              <w:rPr>
                <w:snapToGrid w:val="0"/>
                <w:lang w:eastAsia="en-US"/>
              </w:rPr>
              <w:t xml:space="preserve">chemo </w:t>
            </w:r>
            <w:r w:rsidR="0019481D" w:rsidRPr="0000124A">
              <w:rPr>
                <w:snapToGrid w:val="0"/>
                <w:lang w:eastAsia="en-US"/>
              </w:rPr>
              <w:t xml:space="preserve">± </w:t>
            </w:r>
            <w:r w:rsidR="00445A13" w:rsidRPr="00781354">
              <w:rPr>
                <w:snapToGrid w:val="0"/>
                <w:lang w:eastAsia="en-US"/>
              </w:rPr>
              <w:t>surgery</w:t>
            </w:r>
          </w:p>
        </w:tc>
        <w:tc>
          <w:tcPr>
            <w:tcW w:w="757" w:type="pct"/>
            <w:tcBorders>
              <w:bottom w:val="single" w:sz="4" w:space="0" w:color="auto"/>
            </w:tcBorders>
            <w:shd w:val="clear" w:color="auto" w:fill="auto"/>
          </w:tcPr>
          <w:p w14:paraId="3FD46623" w14:textId="77777777" w:rsidR="007F70F3" w:rsidRPr="009616D3" w:rsidRDefault="007F70F3" w:rsidP="005569FD">
            <w:pPr>
              <w:pStyle w:val="Tabletext1"/>
              <w:rPr>
                <w:snapToGrid w:val="0"/>
                <w:lang w:eastAsia="en-US"/>
              </w:rPr>
            </w:pPr>
            <w:r w:rsidRPr="004D10F1">
              <w:rPr>
                <w:snapToGrid w:val="0"/>
                <w:lang w:eastAsia="en-US"/>
              </w:rPr>
              <w:t>Overall survival</w:t>
            </w:r>
            <w:r w:rsidR="00055D72" w:rsidRPr="00935A6C">
              <w:rPr>
                <w:snapToGrid w:val="0"/>
                <w:lang w:eastAsia="en-US"/>
              </w:rPr>
              <w:t>, a</w:t>
            </w:r>
            <w:r w:rsidRPr="009616D3">
              <w:rPr>
                <w:snapToGrid w:val="0"/>
                <w:lang w:eastAsia="en-US"/>
              </w:rPr>
              <w:t>dverse events</w:t>
            </w:r>
          </w:p>
        </w:tc>
        <w:tc>
          <w:tcPr>
            <w:tcW w:w="614" w:type="pct"/>
            <w:shd w:val="clear" w:color="auto" w:fill="auto"/>
          </w:tcPr>
          <w:p w14:paraId="525F2461" w14:textId="77777777" w:rsidR="007F70F3" w:rsidRPr="009616D3" w:rsidRDefault="007F70F3" w:rsidP="005569FD">
            <w:pPr>
              <w:pStyle w:val="Tabletext1"/>
              <w:rPr>
                <w:snapToGrid w:val="0"/>
                <w:lang w:eastAsia="en-US"/>
              </w:rPr>
            </w:pPr>
            <w:r w:rsidRPr="009616D3">
              <w:rPr>
                <w:snapToGrid w:val="0"/>
                <w:lang w:eastAsia="en-US"/>
              </w:rPr>
              <w:t>Not used</w:t>
            </w:r>
          </w:p>
        </w:tc>
      </w:tr>
      <w:tr w:rsidR="007F70F3" w:rsidRPr="001D54EF" w14:paraId="6CC78FA4" w14:textId="77777777" w:rsidTr="004B492A">
        <w:trPr>
          <w:cantSplit/>
        </w:trPr>
        <w:tc>
          <w:tcPr>
            <w:tcW w:w="624" w:type="pct"/>
            <w:shd w:val="clear" w:color="auto" w:fill="auto"/>
          </w:tcPr>
          <w:p w14:paraId="4DF8A989" w14:textId="77777777" w:rsidR="007F70F3" w:rsidRPr="001D54EF" w:rsidRDefault="007F70F3" w:rsidP="004B492A">
            <w:pPr>
              <w:pStyle w:val="Tabletext1"/>
              <w:rPr>
                <w:snapToGrid w:val="0"/>
                <w:lang w:eastAsia="en-US"/>
              </w:rPr>
            </w:pPr>
            <w:r w:rsidRPr="001D54EF">
              <w:rPr>
                <w:snapToGrid w:val="0"/>
                <w:lang w:eastAsia="en-US"/>
              </w:rPr>
              <w:t>Norihasa et al (2008)</w:t>
            </w:r>
          </w:p>
        </w:tc>
        <w:tc>
          <w:tcPr>
            <w:tcW w:w="456" w:type="pct"/>
            <w:shd w:val="clear" w:color="auto" w:fill="auto"/>
          </w:tcPr>
          <w:p w14:paraId="578CD67E" w14:textId="77777777" w:rsidR="007F70F3" w:rsidRPr="001D54EF" w:rsidRDefault="007F70F3" w:rsidP="005569FD">
            <w:pPr>
              <w:pStyle w:val="Tabletext1"/>
              <w:rPr>
                <w:snapToGrid w:val="0"/>
                <w:lang w:eastAsia="en-US"/>
              </w:rPr>
            </w:pPr>
            <w:r w:rsidRPr="001D54EF">
              <w:rPr>
                <w:snapToGrid w:val="0"/>
                <w:lang w:eastAsia="en-US"/>
              </w:rPr>
              <w:t>34 (43)</w:t>
            </w:r>
          </w:p>
        </w:tc>
        <w:tc>
          <w:tcPr>
            <w:tcW w:w="761" w:type="pct"/>
            <w:tcBorders>
              <w:bottom w:val="single" w:sz="4" w:space="0" w:color="auto"/>
            </w:tcBorders>
            <w:shd w:val="clear" w:color="auto" w:fill="auto"/>
          </w:tcPr>
          <w:p w14:paraId="510D84ED" w14:textId="77777777" w:rsidR="007037AB" w:rsidRPr="005F2661" w:rsidRDefault="007037AB" w:rsidP="005569FD">
            <w:pPr>
              <w:pStyle w:val="Tabletext1"/>
              <w:rPr>
                <w:snapToGrid w:val="0"/>
                <w:lang w:eastAsia="en-US"/>
              </w:rPr>
            </w:pPr>
            <w:r w:rsidRPr="005F2661">
              <w:rPr>
                <w:snapToGrid w:val="0"/>
                <w:lang w:eastAsia="en-US"/>
              </w:rPr>
              <w:t>Retrospective CS</w:t>
            </w:r>
          </w:p>
          <w:p w14:paraId="0EB15A2F" w14:textId="18A8FF93" w:rsidR="007F70F3" w:rsidRPr="005F2661" w:rsidRDefault="007F70F3" w:rsidP="005569FD">
            <w:pPr>
              <w:pStyle w:val="Tabletext1"/>
              <w:rPr>
                <w:snapToGrid w:val="0"/>
                <w:lang w:eastAsia="en-US"/>
              </w:rPr>
            </w:pPr>
            <w:r w:rsidRPr="005F2661">
              <w:rPr>
                <w:snapToGrid w:val="0"/>
                <w:lang w:eastAsia="en-US"/>
              </w:rPr>
              <w:t>27 (10</w:t>
            </w:r>
            <w:r w:rsidR="00D35E9C">
              <w:rPr>
                <w:snapToGrid w:val="0"/>
                <w:lang w:eastAsia="en-US"/>
              </w:rPr>
              <w:t>–</w:t>
            </w:r>
            <w:r w:rsidRPr="005F2661">
              <w:rPr>
                <w:snapToGrid w:val="0"/>
                <w:lang w:eastAsia="en-US"/>
              </w:rPr>
              <w:t>80) months</w:t>
            </w:r>
          </w:p>
        </w:tc>
        <w:tc>
          <w:tcPr>
            <w:tcW w:w="412" w:type="pct"/>
            <w:tcBorders>
              <w:bottom w:val="single" w:sz="4" w:space="0" w:color="auto"/>
            </w:tcBorders>
            <w:shd w:val="clear" w:color="auto" w:fill="auto"/>
          </w:tcPr>
          <w:p w14:paraId="44DD67A2" w14:textId="77777777" w:rsidR="007F70F3" w:rsidRPr="00F2078A" w:rsidRDefault="007F70F3" w:rsidP="005569FD">
            <w:pPr>
              <w:pStyle w:val="Tabletext1"/>
              <w:rPr>
                <w:snapToGrid w:val="0"/>
                <w:lang w:eastAsia="en-US"/>
              </w:rPr>
            </w:pPr>
            <w:r w:rsidRPr="00F2078A">
              <w:rPr>
                <w:snapToGrid w:val="0"/>
                <w:lang w:eastAsia="en-US"/>
              </w:rPr>
              <w:t>High</w:t>
            </w:r>
          </w:p>
        </w:tc>
        <w:tc>
          <w:tcPr>
            <w:tcW w:w="1375" w:type="pct"/>
            <w:shd w:val="clear" w:color="auto" w:fill="auto"/>
          </w:tcPr>
          <w:p w14:paraId="7CDD9248" w14:textId="006C91A3" w:rsidR="007F70F3" w:rsidRPr="00642604" w:rsidRDefault="007F70F3" w:rsidP="005569FD">
            <w:pPr>
              <w:pStyle w:val="Tabletext1"/>
              <w:rPr>
                <w:snapToGrid w:val="0"/>
                <w:lang w:eastAsia="en-US"/>
              </w:rPr>
            </w:pPr>
            <w:r w:rsidRPr="00642604">
              <w:rPr>
                <w:snapToGrid w:val="0"/>
                <w:lang w:eastAsia="en-US"/>
              </w:rPr>
              <w:t>1</w:t>
            </w:r>
            <w:r w:rsidR="00D35E9C">
              <w:rPr>
                <w:snapToGrid w:val="0"/>
                <w:lang w:eastAsia="en-US"/>
              </w:rPr>
              <w:t>–</w:t>
            </w:r>
            <w:r w:rsidRPr="00642604">
              <w:rPr>
                <w:snapToGrid w:val="0"/>
                <w:lang w:eastAsia="en-US"/>
              </w:rPr>
              <w:t>2 pulmonary metastases, ≤ 40 mm, locally controlled primary tumour, no other metastatic sites</w:t>
            </w:r>
          </w:p>
        </w:tc>
        <w:tc>
          <w:tcPr>
            <w:tcW w:w="757" w:type="pct"/>
            <w:tcBorders>
              <w:bottom w:val="single" w:sz="4" w:space="0" w:color="auto"/>
            </w:tcBorders>
            <w:shd w:val="clear" w:color="auto" w:fill="auto"/>
          </w:tcPr>
          <w:p w14:paraId="5B41CB97" w14:textId="77777777" w:rsidR="007F70F3" w:rsidRPr="00781354" w:rsidRDefault="007F70F3" w:rsidP="005569FD">
            <w:pPr>
              <w:pStyle w:val="Tabletext1"/>
              <w:rPr>
                <w:snapToGrid w:val="0"/>
                <w:lang w:eastAsia="en-US"/>
              </w:rPr>
            </w:pPr>
            <w:r w:rsidRPr="00642604">
              <w:rPr>
                <w:snapToGrid w:val="0"/>
                <w:lang w:eastAsia="en-US"/>
              </w:rPr>
              <w:t>Overall</w:t>
            </w:r>
            <w:r w:rsidR="00055D72" w:rsidRPr="00351105">
              <w:rPr>
                <w:snapToGrid w:val="0"/>
                <w:lang w:eastAsia="en-US"/>
              </w:rPr>
              <w:t>,</w:t>
            </w:r>
            <w:r w:rsidRPr="0000124A">
              <w:rPr>
                <w:snapToGrid w:val="0"/>
                <w:lang w:eastAsia="en-US"/>
              </w:rPr>
              <w:t xml:space="preserve"> disease-free survival</w:t>
            </w:r>
            <w:r w:rsidR="00055D72" w:rsidRPr="0000124A">
              <w:rPr>
                <w:snapToGrid w:val="0"/>
                <w:lang w:eastAsia="en-US"/>
              </w:rPr>
              <w:t>, a</w:t>
            </w:r>
            <w:r w:rsidRPr="00781354">
              <w:rPr>
                <w:snapToGrid w:val="0"/>
                <w:lang w:eastAsia="en-US"/>
              </w:rPr>
              <w:t>dverse events</w:t>
            </w:r>
          </w:p>
        </w:tc>
        <w:tc>
          <w:tcPr>
            <w:tcW w:w="614" w:type="pct"/>
            <w:shd w:val="clear" w:color="auto" w:fill="auto"/>
          </w:tcPr>
          <w:p w14:paraId="062C4E61" w14:textId="77777777" w:rsidR="007F70F3" w:rsidRPr="006B33E4" w:rsidRDefault="007F70F3" w:rsidP="005569FD">
            <w:pPr>
              <w:pStyle w:val="Tabletext1"/>
              <w:rPr>
                <w:snapToGrid w:val="0"/>
                <w:lang w:eastAsia="en-US"/>
              </w:rPr>
            </w:pPr>
            <w:r w:rsidRPr="006B33E4">
              <w:rPr>
                <w:snapToGrid w:val="0"/>
                <w:lang w:eastAsia="en-US"/>
              </w:rPr>
              <w:t>Not used</w:t>
            </w:r>
          </w:p>
        </w:tc>
      </w:tr>
      <w:tr w:rsidR="007F70F3" w:rsidRPr="001D54EF" w14:paraId="743F2DDD" w14:textId="77777777" w:rsidTr="004B492A">
        <w:trPr>
          <w:cantSplit/>
        </w:trPr>
        <w:tc>
          <w:tcPr>
            <w:tcW w:w="624" w:type="pct"/>
            <w:shd w:val="clear" w:color="auto" w:fill="auto"/>
          </w:tcPr>
          <w:p w14:paraId="3EDE6D74" w14:textId="77777777" w:rsidR="007F70F3" w:rsidRPr="001D54EF" w:rsidRDefault="007F70F3" w:rsidP="004B492A">
            <w:pPr>
              <w:pStyle w:val="Tabletext1"/>
              <w:rPr>
                <w:snapToGrid w:val="0"/>
                <w:lang w:eastAsia="en-US"/>
              </w:rPr>
            </w:pPr>
            <w:r w:rsidRPr="001D54EF">
              <w:rPr>
                <w:snapToGrid w:val="0"/>
                <w:lang w:eastAsia="en-US"/>
              </w:rPr>
              <w:t>Nuyttens et al (2015)</w:t>
            </w:r>
          </w:p>
        </w:tc>
        <w:tc>
          <w:tcPr>
            <w:tcW w:w="456" w:type="pct"/>
            <w:shd w:val="clear" w:color="auto" w:fill="auto"/>
          </w:tcPr>
          <w:p w14:paraId="7619E41D" w14:textId="77777777" w:rsidR="007F70F3" w:rsidRPr="001D54EF" w:rsidRDefault="007F70F3" w:rsidP="005569FD">
            <w:pPr>
              <w:pStyle w:val="Tabletext1"/>
              <w:rPr>
                <w:snapToGrid w:val="0"/>
                <w:lang w:eastAsia="en-US"/>
              </w:rPr>
            </w:pPr>
            <w:r w:rsidRPr="001D54EF">
              <w:rPr>
                <w:snapToGrid w:val="0"/>
                <w:lang w:eastAsia="en-US"/>
              </w:rPr>
              <w:t>30 (57)</w:t>
            </w:r>
          </w:p>
        </w:tc>
        <w:tc>
          <w:tcPr>
            <w:tcW w:w="761" w:type="pct"/>
            <w:tcBorders>
              <w:bottom w:val="single" w:sz="4" w:space="0" w:color="auto"/>
            </w:tcBorders>
            <w:shd w:val="clear" w:color="auto" w:fill="auto"/>
          </w:tcPr>
          <w:p w14:paraId="5A5118BB" w14:textId="77777777" w:rsidR="007037AB" w:rsidRPr="005F2661" w:rsidRDefault="007037AB" w:rsidP="005569FD">
            <w:pPr>
              <w:pStyle w:val="Tabletext1"/>
              <w:rPr>
                <w:snapToGrid w:val="0"/>
                <w:lang w:eastAsia="en-US"/>
              </w:rPr>
            </w:pPr>
            <w:r w:rsidRPr="005F2661">
              <w:rPr>
                <w:snapToGrid w:val="0"/>
                <w:lang w:eastAsia="en-US"/>
              </w:rPr>
              <w:t>Prospective CS</w:t>
            </w:r>
          </w:p>
          <w:p w14:paraId="742EA2DC" w14:textId="27A8BA37" w:rsidR="007F70F3" w:rsidRPr="005F2661" w:rsidRDefault="007F70F3" w:rsidP="005569FD">
            <w:pPr>
              <w:pStyle w:val="Tabletext1"/>
              <w:rPr>
                <w:snapToGrid w:val="0"/>
                <w:lang w:eastAsia="en-US"/>
              </w:rPr>
            </w:pPr>
            <w:r w:rsidRPr="005F2661">
              <w:rPr>
                <w:snapToGrid w:val="0"/>
                <w:lang w:eastAsia="en-US"/>
              </w:rPr>
              <w:t>36 (4</w:t>
            </w:r>
            <w:r w:rsidR="00D35E9C">
              <w:rPr>
                <w:snapToGrid w:val="0"/>
                <w:lang w:eastAsia="en-US"/>
              </w:rPr>
              <w:t>–</w:t>
            </w:r>
            <w:r w:rsidRPr="005F2661">
              <w:rPr>
                <w:snapToGrid w:val="0"/>
                <w:lang w:eastAsia="en-US"/>
              </w:rPr>
              <w:t>60) months</w:t>
            </w:r>
          </w:p>
        </w:tc>
        <w:tc>
          <w:tcPr>
            <w:tcW w:w="412" w:type="pct"/>
            <w:tcBorders>
              <w:bottom w:val="single" w:sz="4" w:space="0" w:color="auto"/>
            </w:tcBorders>
            <w:shd w:val="clear" w:color="auto" w:fill="auto"/>
          </w:tcPr>
          <w:p w14:paraId="3C2AC576" w14:textId="77777777" w:rsidR="007F70F3" w:rsidRPr="00F2078A" w:rsidRDefault="007F70F3" w:rsidP="005569FD">
            <w:pPr>
              <w:pStyle w:val="Tabletext1"/>
              <w:rPr>
                <w:snapToGrid w:val="0"/>
                <w:lang w:eastAsia="en-US"/>
              </w:rPr>
            </w:pPr>
            <w:r w:rsidRPr="00F2078A">
              <w:rPr>
                <w:snapToGrid w:val="0"/>
                <w:lang w:eastAsia="en-US"/>
              </w:rPr>
              <w:t>High</w:t>
            </w:r>
          </w:p>
        </w:tc>
        <w:tc>
          <w:tcPr>
            <w:tcW w:w="1375" w:type="pct"/>
            <w:shd w:val="clear" w:color="auto" w:fill="auto"/>
          </w:tcPr>
          <w:p w14:paraId="4FE61D4D" w14:textId="77777777" w:rsidR="007F70F3" w:rsidRPr="00642604" w:rsidRDefault="007F70F3" w:rsidP="005569FD">
            <w:pPr>
              <w:pStyle w:val="Tabletext1"/>
              <w:rPr>
                <w:snapToGrid w:val="0"/>
                <w:lang w:eastAsia="en-US"/>
              </w:rPr>
            </w:pPr>
            <w:r w:rsidRPr="00642604">
              <w:rPr>
                <w:snapToGrid w:val="0"/>
                <w:lang w:eastAsia="en-US"/>
              </w:rPr>
              <w:t>1–5 lung metastases, inoperable or refused surgery, primary under control</w:t>
            </w:r>
          </w:p>
        </w:tc>
        <w:tc>
          <w:tcPr>
            <w:tcW w:w="757" w:type="pct"/>
            <w:tcBorders>
              <w:bottom w:val="single" w:sz="4" w:space="0" w:color="auto"/>
            </w:tcBorders>
            <w:shd w:val="clear" w:color="auto" w:fill="auto"/>
          </w:tcPr>
          <w:p w14:paraId="49FF0038" w14:textId="77777777" w:rsidR="007F70F3" w:rsidRPr="0000124A" w:rsidRDefault="00055D72" w:rsidP="005569FD">
            <w:pPr>
              <w:pStyle w:val="Tabletext1"/>
              <w:rPr>
                <w:snapToGrid w:val="0"/>
                <w:lang w:eastAsia="en-US"/>
              </w:rPr>
            </w:pPr>
            <w:r w:rsidRPr="001C2967">
              <w:rPr>
                <w:snapToGrid w:val="0"/>
                <w:lang w:eastAsia="en-US"/>
              </w:rPr>
              <w:t>Overall,</w:t>
            </w:r>
            <w:r w:rsidR="007F70F3" w:rsidRPr="00EB5A53">
              <w:rPr>
                <w:snapToGrid w:val="0"/>
                <w:lang w:eastAsia="en-US"/>
              </w:rPr>
              <w:t xml:space="preserve"> disease-free survival</w:t>
            </w:r>
            <w:r w:rsidRPr="00351105">
              <w:rPr>
                <w:snapToGrid w:val="0"/>
                <w:lang w:eastAsia="en-US"/>
              </w:rPr>
              <w:t>, a</w:t>
            </w:r>
            <w:r w:rsidR="007F70F3" w:rsidRPr="0000124A">
              <w:rPr>
                <w:snapToGrid w:val="0"/>
                <w:lang w:eastAsia="en-US"/>
              </w:rPr>
              <w:t>dverse events</w:t>
            </w:r>
          </w:p>
        </w:tc>
        <w:tc>
          <w:tcPr>
            <w:tcW w:w="614" w:type="pct"/>
            <w:shd w:val="clear" w:color="auto" w:fill="auto"/>
          </w:tcPr>
          <w:p w14:paraId="56B837BD" w14:textId="77777777" w:rsidR="007F70F3" w:rsidRPr="0000124A" w:rsidRDefault="007F70F3" w:rsidP="005569FD">
            <w:pPr>
              <w:pStyle w:val="Tabletext1"/>
              <w:rPr>
                <w:snapToGrid w:val="0"/>
                <w:lang w:eastAsia="en-US"/>
              </w:rPr>
            </w:pPr>
            <w:r w:rsidRPr="0000124A">
              <w:rPr>
                <w:snapToGrid w:val="0"/>
                <w:lang w:eastAsia="en-US"/>
              </w:rPr>
              <w:t>Not used</w:t>
            </w:r>
          </w:p>
        </w:tc>
      </w:tr>
      <w:tr w:rsidR="007F70F3" w:rsidRPr="001D54EF" w14:paraId="75F32F81" w14:textId="77777777" w:rsidTr="004B492A">
        <w:trPr>
          <w:cantSplit/>
        </w:trPr>
        <w:tc>
          <w:tcPr>
            <w:tcW w:w="624" w:type="pct"/>
            <w:shd w:val="clear" w:color="auto" w:fill="auto"/>
          </w:tcPr>
          <w:p w14:paraId="36CF802E" w14:textId="77777777" w:rsidR="007F70F3" w:rsidRPr="001D54EF" w:rsidRDefault="007F70F3" w:rsidP="004B492A">
            <w:pPr>
              <w:pStyle w:val="Tabletext1"/>
              <w:rPr>
                <w:snapToGrid w:val="0"/>
                <w:lang w:eastAsia="en-US"/>
              </w:rPr>
            </w:pPr>
            <w:r w:rsidRPr="001D54EF">
              <w:rPr>
                <w:snapToGrid w:val="0"/>
                <w:lang w:eastAsia="en-US"/>
              </w:rPr>
              <w:t>Oh et al (2012)</w:t>
            </w:r>
          </w:p>
        </w:tc>
        <w:tc>
          <w:tcPr>
            <w:tcW w:w="456" w:type="pct"/>
            <w:shd w:val="clear" w:color="auto" w:fill="auto"/>
          </w:tcPr>
          <w:p w14:paraId="51753928" w14:textId="77777777" w:rsidR="007F70F3" w:rsidRPr="001D54EF" w:rsidRDefault="007F70F3" w:rsidP="005569FD">
            <w:pPr>
              <w:pStyle w:val="Tabletext1"/>
              <w:rPr>
                <w:snapToGrid w:val="0"/>
                <w:lang w:eastAsia="en-US"/>
              </w:rPr>
            </w:pPr>
            <w:r w:rsidRPr="001D54EF">
              <w:rPr>
                <w:snapToGrid w:val="0"/>
                <w:lang w:eastAsia="en-US"/>
              </w:rPr>
              <w:t>57 (67)</w:t>
            </w:r>
          </w:p>
        </w:tc>
        <w:tc>
          <w:tcPr>
            <w:tcW w:w="761" w:type="pct"/>
            <w:tcBorders>
              <w:bottom w:val="single" w:sz="4" w:space="0" w:color="auto"/>
            </w:tcBorders>
            <w:shd w:val="clear" w:color="auto" w:fill="auto"/>
          </w:tcPr>
          <w:p w14:paraId="191E8235" w14:textId="77777777" w:rsidR="007037AB" w:rsidRPr="005F2661" w:rsidRDefault="007037AB" w:rsidP="005569FD">
            <w:pPr>
              <w:pStyle w:val="Tabletext1"/>
              <w:rPr>
                <w:snapToGrid w:val="0"/>
                <w:lang w:eastAsia="en-US"/>
              </w:rPr>
            </w:pPr>
            <w:r w:rsidRPr="005F2661">
              <w:rPr>
                <w:snapToGrid w:val="0"/>
                <w:lang w:eastAsia="en-US"/>
              </w:rPr>
              <w:t>Retrospective CS</w:t>
            </w:r>
          </w:p>
          <w:p w14:paraId="4275FA74" w14:textId="0A7C77F6" w:rsidR="007F70F3" w:rsidRPr="005F2661" w:rsidRDefault="007F70F3" w:rsidP="005569FD">
            <w:pPr>
              <w:pStyle w:val="Tabletext1"/>
              <w:rPr>
                <w:snapToGrid w:val="0"/>
                <w:lang w:eastAsia="en-US"/>
              </w:rPr>
            </w:pPr>
            <w:r w:rsidRPr="005F2661">
              <w:rPr>
                <w:snapToGrid w:val="0"/>
                <w:lang w:eastAsia="en-US"/>
              </w:rPr>
              <w:t>21 (3</w:t>
            </w:r>
            <w:r w:rsidR="00D35E9C">
              <w:rPr>
                <w:snapToGrid w:val="0"/>
                <w:lang w:eastAsia="en-US"/>
              </w:rPr>
              <w:t>–</w:t>
            </w:r>
            <w:r w:rsidRPr="005F2661">
              <w:rPr>
                <w:snapToGrid w:val="0"/>
                <w:lang w:eastAsia="en-US"/>
              </w:rPr>
              <w:t>107) months</w:t>
            </w:r>
          </w:p>
        </w:tc>
        <w:tc>
          <w:tcPr>
            <w:tcW w:w="412" w:type="pct"/>
            <w:tcBorders>
              <w:bottom w:val="single" w:sz="4" w:space="0" w:color="auto"/>
            </w:tcBorders>
            <w:shd w:val="clear" w:color="auto" w:fill="auto"/>
          </w:tcPr>
          <w:p w14:paraId="43160DC1" w14:textId="77777777" w:rsidR="007F70F3" w:rsidRPr="00F2078A" w:rsidRDefault="007F70F3" w:rsidP="005569FD">
            <w:pPr>
              <w:pStyle w:val="Tabletext1"/>
              <w:rPr>
                <w:snapToGrid w:val="0"/>
                <w:lang w:eastAsia="en-US"/>
              </w:rPr>
            </w:pPr>
            <w:r w:rsidRPr="00F2078A">
              <w:rPr>
                <w:snapToGrid w:val="0"/>
                <w:lang w:eastAsia="en-US"/>
              </w:rPr>
              <w:t>High</w:t>
            </w:r>
          </w:p>
        </w:tc>
        <w:tc>
          <w:tcPr>
            <w:tcW w:w="1375" w:type="pct"/>
            <w:shd w:val="clear" w:color="auto" w:fill="auto"/>
          </w:tcPr>
          <w:p w14:paraId="401A883E" w14:textId="405F4C6D" w:rsidR="007F70F3" w:rsidRPr="00642604" w:rsidRDefault="00766EDB" w:rsidP="005569FD">
            <w:pPr>
              <w:pStyle w:val="Tabletext1"/>
              <w:rPr>
                <w:snapToGrid w:val="0"/>
                <w:lang w:eastAsia="en-US"/>
              </w:rPr>
            </w:pPr>
            <w:r w:rsidRPr="00642604">
              <w:rPr>
                <w:snapToGrid w:val="0"/>
                <w:lang w:eastAsia="en-US"/>
              </w:rPr>
              <w:t>1</w:t>
            </w:r>
            <w:r w:rsidR="00D35E9C">
              <w:rPr>
                <w:snapToGrid w:val="0"/>
                <w:lang w:eastAsia="en-US"/>
              </w:rPr>
              <w:t>–</w:t>
            </w:r>
            <w:r w:rsidRPr="00642604">
              <w:rPr>
                <w:snapToGrid w:val="0"/>
                <w:lang w:eastAsia="en-US"/>
              </w:rPr>
              <w:t>4</w:t>
            </w:r>
            <w:r w:rsidR="007F70F3" w:rsidRPr="00642604">
              <w:rPr>
                <w:snapToGrid w:val="0"/>
                <w:lang w:eastAsia="en-US"/>
              </w:rPr>
              <w:t xml:space="preserve"> lung metastases, &lt; 50 mm, with a controlled primary tumour</w:t>
            </w:r>
          </w:p>
        </w:tc>
        <w:tc>
          <w:tcPr>
            <w:tcW w:w="757" w:type="pct"/>
            <w:tcBorders>
              <w:bottom w:val="single" w:sz="4" w:space="0" w:color="auto"/>
            </w:tcBorders>
            <w:shd w:val="clear" w:color="auto" w:fill="auto"/>
          </w:tcPr>
          <w:p w14:paraId="54E99846" w14:textId="77777777" w:rsidR="007F70F3" w:rsidRPr="0000124A" w:rsidRDefault="007F70F3" w:rsidP="005569FD">
            <w:pPr>
              <w:pStyle w:val="Tabletext1"/>
              <w:rPr>
                <w:snapToGrid w:val="0"/>
                <w:lang w:eastAsia="en-US"/>
              </w:rPr>
            </w:pPr>
            <w:r w:rsidRPr="00EB5A53">
              <w:rPr>
                <w:snapToGrid w:val="0"/>
                <w:lang w:eastAsia="en-US"/>
              </w:rPr>
              <w:t>Overall survival</w:t>
            </w:r>
            <w:r w:rsidR="00055D72" w:rsidRPr="00351105">
              <w:rPr>
                <w:snapToGrid w:val="0"/>
                <w:lang w:eastAsia="en-US"/>
              </w:rPr>
              <w:t>, a</w:t>
            </w:r>
            <w:r w:rsidRPr="0000124A">
              <w:rPr>
                <w:snapToGrid w:val="0"/>
                <w:lang w:eastAsia="en-US"/>
              </w:rPr>
              <w:t>dverse events</w:t>
            </w:r>
          </w:p>
        </w:tc>
        <w:tc>
          <w:tcPr>
            <w:tcW w:w="614" w:type="pct"/>
            <w:shd w:val="clear" w:color="auto" w:fill="auto"/>
          </w:tcPr>
          <w:p w14:paraId="2083A8E5" w14:textId="77777777" w:rsidR="007F70F3" w:rsidRPr="00781354" w:rsidRDefault="007F70F3" w:rsidP="005569FD">
            <w:pPr>
              <w:pStyle w:val="Tabletext1"/>
              <w:rPr>
                <w:snapToGrid w:val="0"/>
                <w:lang w:eastAsia="en-US"/>
              </w:rPr>
            </w:pPr>
            <w:r w:rsidRPr="0000124A">
              <w:rPr>
                <w:snapToGrid w:val="0"/>
                <w:lang w:eastAsia="en-US"/>
              </w:rPr>
              <w:t>N</w:t>
            </w:r>
            <w:r w:rsidRPr="00781354">
              <w:rPr>
                <w:snapToGrid w:val="0"/>
                <w:lang w:eastAsia="en-US"/>
              </w:rPr>
              <w:t>ot used</w:t>
            </w:r>
          </w:p>
        </w:tc>
      </w:tr>
      <w:tr w:rsidR="007F70F3" w:rsidRPr="001D54EF" w14:paraId="38A85F37" w14:textId="77777777" w:rsidTr="004B492A">
        <w:trPr>
          <w:cantSplit/>
        </w:trPr>
        <w:tc>
          <w:tcPr>
            <w:tcW w:w="624" w:type="pct"/>
            <w:shd w:val="clear" w:color="auto" w:fill="auto"/>
          </w:tcPr>
          <w:p w14:paraId="0D7271A9" w14:textId="77777777" w:rsidR="007F70F3" w:rsidRPr="001D54EF" w:rsidRDefault="007F70F3" w:rsidP="004B492A">
            <w:pPr>
              <w:pStyle w:val="Tabletext1"/>
              <w:rPr>
                <w:snapToGrid w:val="0"/>
                <w:lang w:eastAsia="en-US"/>
              </w:rPr>
            </w:pPr>
            <w:r w:rsidRPr="001D54EF">
              <w:rPr>
                <w:snapToGrid w:val="0"/>
                <w:lang w:eastAsia="en-US"/>
              </w:rPr>
              <w:t>Osti et al (2013)</w:t>
            </w:r>
          </w:p>
        </w:tc>
        <w:tc>
          <w:tcPr>
            <w:tcW w:w="456" w:type="pct"/>
            <w:shd w:val="clear" w:color="auto" w:fill="auto"/>
          </w:tcPr>
          <w:p w14:paraId="7A7F155E" w14:textId="77777777" w:rsidR="007F70F3" w:rsidRPr="001D54EF" w:rsidRDefault="007F70F3" w:rsidP="005569FD">
            <w:pPr>
              <w:pStyle w:val="Tabletext1"/>
              <w:rPr>
                <w:snapToGrid w:val="0"/>
                <w:lang w:eastAsia="en-US"/>
              </w:rPr>
            </w:pPr>
            <w:r w:rsidRPr="001D54EF">
              <w:rPr>
                <w:snapToGrid w:val="0"/>
                <w:lang w:eastAsia="en-US"/>
              </w:rPr>
              <w:t>66 (103)</w:t>
            </w:r>
          </w:p>
        </w:tc>
        <w:tc>
          <w:tcPr>
            <w:tcW w:w="761" w:type="pct"/>
            <w:tcBorders>
              <w:bottom w:val="single" w:sz="4" w:space="0" w:color="auto"/>
            </w:tcBorders>
            <w:shd w:val="clear" w:color="auto" w:fill="auto"/>
          </w:tcPr>
          <w:p w14:paraId="7863A118" w14:textId="77777777" w:rsidR="007037AB" w:rsidRPr="005F2661" w:rsidRDefault="007037AB" w:rsidP="005569FD">
            <w:pPr>
              <w:pStyle w:val="Tabletext1"/>
              <w:rPr>
                <w:snapToGrid w:val="0"/>
                <w:lang w:eastAsia="en-US"/>
              </w:rPr>
            </w:pPr>
            <w:r w:rsidRPr="005F2661">
              <w:rPr>
                <w:snapToGrid w:val="0"/>
                <w:lang w:eastAsia="en-US"/>
              </w:rPr>
              <w:t>Prospective CS</w:t>
            </w:r>
          </w:p>
          <w:p w14:paraId="21280FEE" w14:textId="62168B13" w:rsidR="007F70F3" w:rsidRPr="005F2661" w:rsidRDefault="007F70F3" w:rsidP="005569FD">
            <w:pPr>
              <w:pStyle w:val="Tabletext1"/>
              <w:rPr>
                <w:snapToGrid w:val="0"/>
                <w:lang w:eastAsia="en-US"/>
              </w:rPr>
            </w:pPr>
            <w:r w:rsidRPr="005F2661">
              <w:rPr>
                <w:snapToGrid w:val="0"/>
                <w:lang w:eastAsia="en-US"/>
              </w:rPr>
              <w:t>15 (3</w:t>
            </w:r>
            <w:r w:rsidR="00D35E9C">
              <w:rPr>
                <w:snapToGrid w:val="0"/>
                <w:lang w:eastAsia="en-US"/>
              </w:rPr>
              <w:t>–</w:t>
            </w:r>
            <w:r w:rsidRPr="005F2661">
              <w:rPr>
                <w:snapToGrid w:val="0"/>
                <w:lang w:eastAsia="en-US"/>
              </w:rPr>
              <w:t>45) months</w:t>
            </w:r>
          </w:p>
        </w:tc>
        <w:tc>
          <w:tcPr>
            <w:tcW w:w="412" w:type="pct"/>
            <w:tcBorders>
              <w:bottom w:val="single" w:sz="4" w:space="0" w:color="auto"/>
            </w:tcBorders>
            <w:shd w:val="clear" w:color="auto" w:fill="auto"/>
          </w:tcPr>
          <w:p w14:paraId="18F7DAD4" w14:textId="77777777" w:rsidR="007F70F3" w:rsidRPr="00F2078A" w:rsidRDefault="007F70F3" w:rsidP="005569FD">
            <w:pPr>
              <w:pStyle w:val="Tabletext1"/>
              <w:rPr>
                <w:snapToGrid w:val="0"/>
                <w:lang w:eastAsia="en-US"/>
              </w:rPr>
            </w:pPr>
            <w:r w:rsidRPr="00F2078A">
              <w:rPr>
                <w:snapToGrid w:val="0"/>
                <w:lang w:eastAsia="en-US"/>
              </w:rPr>
              <w:t>High</w:t>
            </w:r>
          </w:p>
        </w:tc>
        <w:tc>
          <w:tcPr>
            <w:tcW w:w="1375" w:type="pct"/>
            <w:shd w:val="clear" w:color="auto" w:fill="auto"/>
          </w:tcPr>
          <w:p w14:paraId="7792C7C9" w14:textId="77777777" w:rsidR="007F70F3" w:rsidRPr="00EB5A53" w:rsidRDefault="007F70F3" w:rsidP="005569FD">
            <w:pPr>
              <w:pStyle w:val="Tabletext1"/>
              <w:rPr>
                <w:snapToGrid w:val="0"/>
                <w:lang w:eastAsia="en-US"/>
              </w:rPr>
            </w:pPr>
            <w:r w:rsidRPr="00642604">
              <w:rPr>
                <w:snapToGrid w:val="0"/>
                <w:lang w:eastAsia="en-US"/>
              </w:rPr>
              <w:t xml:space="preserve">1–2 lung metastases, &lt; 50 mm, controlled </w:t>
            </w:r>
            <w:r w:rsidR="00CA6DFD" w:rsidRPr="00642604">
              <w:rPr>
                <w:snapToGrid w:val="0"/>
                <w:lang w:eastAsia="en-US"/>
              </w:rPr>
              <w:t>extra thoracic</w:t>
            </w:r>
            <w:r w:rsidRPr="00EB5A53">
              <w:rPr>
                <w:snapToGrid w:val="0"/>
                <w:lang w:eastAsia="en-US"/>
              </w:rPr>
              <w:t xml:space="preserve"> disease</w:t>
            </w:r>
          </w:p>
        </w:tc>
        <w:tc>
          <w:tcPr>
            <w:tcW w:w="757" w:type="pct"/>
            <w:tcBorders>
              <w:bottom w:val="single" w:sz="4" w:space="0" w:color="auto"/>
            </w:tcBorders>
            <w:shd w:val="clear" w:color="auto" w:fill="auto"/>
          </w:tcPr>
          <w:p w14:paraId="550762E1" w14:textId="77777777" w:rsidR="007F70F3" w:rsidRPr="006B33E4" w:rsidRDefault="00055D72" w:rsidP="005569FD">
            <w:pPr>
              <w:pStyle w:val="Tabletext1"/>
              <w:rPr>
                <w:snapToGrid w:val="0"/>
                <w:lang w:eastAsia="en-US"/>
              </w:rPr>
            </w:pPr>
            <w:r w:rsidRPr="00351105">
              <w:rPr>
                <w:snapToGrid w:val="0"/>
                <w:lang w:eastAsia="en-US"/>
              </w:rPr>
              <w:t>Overall, cancer-specific,</w:t>
            </w:r>
            <w:r w:rsidR="007F70F3" w:rsidRPr="0000124A">
              <w:rPr>
                <w:snapToGrid w:val="0"/>
                <w:lang w:eastAsia="en-US"/>
              </w:rPr>
              <w:t xml:space="preserve"> </w:t>
            </w:r>
            <w:r w:rsidR="004F6722" w:rsidRPr="0000124A">
              <w:rPr>
                <w:snapToGrid w:val="0"/>
                <w:lang w:eastAsia="en-US"/>
              </w:rPr>
              <w:t>PF</w:t>
            </w:r>
            <w:r w:rsidR="007F70F3" w:rsidRPr="00781354">
              <w:rPr>
                <w:snapToGrid w:val="0"/>
                <w:lang w:eastAsia="en-US"/>
              </w:rPr>
              <w:t xml:space="preserve"> survival</w:t>
            </w:r>
            <w:r w:rsidRPr="006B33E4">
              <w:rPr>
                <w:snapToGrid w:val="0"/>
                <w:lang w:eastAsia="en-US"/>
              </w:rPr>
              <w:t>, a</w:t>
            </w:r>
            <w:r w:rsidR="007F70F3" w:rsidRPr="006B33E4">
              <w:rPr>
                <w:snapToGrid w:val="0"/>
                <w:lang w:eastAsia="en-US"/>
              </w:rPr>
              <w:t>dverse events</w:t>
            </w:r>
          </w:p>
        </w:tc>
        <w:tc>
          <w:tcPr>
            <w:tcW w:w="614" w:type="pct"/>
            <w:shd w:val="clear" w:color="auto" w:fill="auto"/>
          </w:tcPr>
          <w:p w14:paraId="17692B21" w14:textId="77777777" w:rsidR="007F70F3" w:rsidRPr="004D10F1" w:rsidRDefault="007F70F3" w:rsidP="005569FD">
            <w:pPr>
              <w:pStyle w:val="Tabletext1"/>
              <w:rPr>
                <w:snapToGrid w:val="0"/>
                <w:lang w:eastAsia="en-US"/>
              </w:rPr>
            </w:pPr>
            <w:r w:rsidRPr="004D10F1">
              <w:rPr>
                <w:snapToGrid w:val="0"/>
                <w:lang w:eastAsia="en-US"/>
              </w:rPr>
              <w:t>Not used</w:t>
            </w:r>
          </w:p>
        </w:tc>
      </w:tr>
      <w:tr w:rsidR="007F70F3" w:rsidRPr="001D54EF" w14:paraId="0053BEC2" w14:textId="77777777" w:rsidTr="004B492A">
        <w:trPr>
          <w:cantSplit/>
        </w:trPr>
        <w:tc>
          <w:tcPr>
            <w:tcW w:w="624" w:type="pct"/>
            <w:shd w:val="clear" w:color="auto" w:fill="auto"/>
          </w:tcPr>
          <w:p w14:paraId="2E598CBC" w14:textId="77777777" w:rsidR="007F70F3" w:rsidRPr="001D54EF" w:rsidRDefault="007F70F3" w:rsidP="004B492A">
            <w:pPr>
              <w:pStyle w:val="Tabletext1"/>
              <w:rPr>
                <w:snapToGrid w:val="0"/>
                <w:lang w:eastAsia="en-US"/>
              </w:rPr>
            </w:pPr>
            <w:r w:rsidRPr="001D54EF">
              <w:rPr>
                <w:snapToGrid w:val="0"/>
                <w:lang w:eastAsia="en-US"/>
              </w:rPr>
              <w:t>Ricardi et al (2011)</w:t>
            </w:r>
          </w:p>
        </w:tc>
        <w:tc>
          <w:tcPr>
            <w:tcW w:w="456" w:type="pct"/>
            <w:shd w:val="clear" w:color="auto" w:fill="auto"/>
          </w:tcPr>
          <w:p w14:paraId="3C78D446" w14:textId="77777777" w:rsidR="007F70F3" w:rsidRPr="001D54EF" w:rsidRDefault="007F70F3" w:rsidP="005569FD">
            <w:pPr>
              <w:pStyle w:val="Tabletext1"/>
              <w:rPr>
                <w:snapToGrid w:val="0"/>
                <w:lang w:eastAsia="en-US"/>
              </w:rPr>
            </w:pPr>
            <w:r w:rsidRPr="001D54EF">
              <w:rPr>
                <w:snapToGrid w:val="0"/>
                <w:lang w:eastAsia="en-US"/>
              </w:rPr>
              <w:t>61 (77)</w:t>
            </w:r>
          </w:p>
        </w:tc>
        <w:tc>
          <w:tcPr>
            <w:tcW w:w="761" w:type="pct"/>
            <w:tcBorders>
              <w:bottom w:val="single" w:sz="4" w:space="0" w:color="auto"/>
            </w:tcBorders>
            <w:shd w:val="clear" w:color="auto" w:fill="auto"/>
          </w:tcPr>
          <w:p w14:paraId="02746251" w14:textId="77777777" w:rsidR="007037AB" w:rsidRPr="005F2661" w:rsidRDefault="007037AB" w:rsidP="005569FD">
            <w:pPr>
              <w:pStyle w:val="Tabletext1"/>
              <w:rPr>
                <w:snapToGrid w:val="0"/>
                <w:lang w:eastAsia="en-US"/>
              </w:rPr>
            </w:pPr>
            <w:r w:rsidRPr="005F2661">
              <w:rPr>
                <w:snapToGrid w:val="0"/>
                <w:lang w:eastAsia="en-US"/>
              </w:rPr>
              <w:t>Retrospective CS</w:t>
            </w:r>
          </w:p>
          <w:p w14:paraId="45EC6B95" w14:textId="25A8C903" w:rsidR="007F70F3" w:rsidRPr="00F2078A" w:rsidRDefault="007F70F3" w:rsidP="005569FD">
            <w:pPr>
              <w:pStyle w:val="Tabletext1"/>
              <w:rPr>
                <w:snapToGrid w:val="0"/>
                <w:lang w:eastAsia="en-US"/>
              </w:rPr>
            </w:pPr>
            <w:r w:rsidRPr="005F2661">
              <w:rPr>
                <w:snapToGrid w:val="0"/>
                <w:lang w:eastAsia="en-US"/>
              </w:rPr>
              <w:t>20 (3</w:t>
            </w:r>
            <w:r w:rsidR="00D35E9C">
              <w:rPr>
                <w:snapToGrid w:val="0"/>
                <w:lang w:eastAsia="en-US"/>
              </w:rPr>
              <w:t>–</w:t>
            </w:r>
            <w:r w:rsidRPr="005F2661">
              <w:rPr>
                <w:snapToGrid w:val="0"/>
                <w:lang w:eastAsia="en-US"/>
              </w:rPr>
              <w:t>77)</w:t>
            </w:r>
            <w:r w:rsidRPr="00F2078A">
              <w:rPr>
                <w:snapToGrid w:val="0"/>
                <w:lang w:eastAsia="en-US"/>
              </w:rPr>
              <w:t xml:space="preserve"> months</w:t>
            </w:r>
          </w:p>
        </w:tc>
        <w:tc>
          <w:tcPr>
            <w:tcW w:w="412" w:type="pct"/>
            <w:tcBorders>
              <w:bottom w:val="single" w:sz="4" w:space="0" w:color="auto"/>
            </w:tcBorders>
            <w:shd w:val="clear" w:color="auto" w:fill="auto"/>
          </w:tcPr>
          <w:p w14:paraId="19E808C7" w14:textId="77777777" w:rsidR="007F70F3" w:rsidRPr="00642604" w:rsidRDefault="007F70F3" w:rsidP="005569FD">
            <w:pPr>
              <w:pStyle w:val="Tabletext1"/>
              <w:rPr>
                <w:snapToGrid w:val="0"/>
                <w:lang w:eastAsia="en-US"/>
              </w:rPr>
            </w:pPr>
            <w:r w:rsidRPr="00642604">
              <w:rPr>
                <w:snapToGrid w:val="0"/>
                <w:lang w:eastAsia="en-US"/>
              </w:rPr>
              <w:t>High</w:t>
            </w:r>
          </w:p>
        </w:tc>
        <w:tc>
          <w:tcPr>
            <w:tcW w:w="1375" w:type="pct"/>
            <w:shd w:val="clear" w:color="auto" w:fill="auto"/>
          </w:tcPr>
          <w:p w14:paraId="75A57602" w14:textId="77777777" w:rsidR="007F70F3" w:rsidRPr="00351105" w:rsidRDefault="007F70F3" w:rsidP="005569FD">
            <w:pPr>
              <w:pStyle w:val="Tabletext1"/>
              <w:rPr>
                <w:snapToGrid w:val="0"/>
                <w:lang w:eastAsia="en-US"/>
              </w:rPr>
            </w:pPr>
            <w:r w:rsidRPr="00642604">
              <w:rPr>
                <w:snapToGrid w:val="0"/>
                <w:lang w:eastAsia="en-US"/>
              </w:rPr>
              <w:t xml:space="preserve">Patients with 1–3 lung metastases, &lt;50mm, absent or controlled </w:t>
            </w:r>
            <w:r w:rsidR="00CA6DFD" w:rsidRPr="00EB5A53">
              <w:rPr>
                <w:snapToGrid w:val="0"/>
                <w:lang w:eastAsia="en-US"/>
              </w:rPr>
              <w:t>extra thoracic</w:t>
            </w:r>
            <w:r w:rsidRPr="00351105">
              <w:rPr>
                <w:snapToGrid w:val="0"/>
                <w:lang w:eastAsia="en-US"/>
              </w:rPr>
              <w:t xml:space="preserve"> disease</w:t>
            </w:r>
          </w:p>
        </w:tc>
        <w:tc>
          <w:tcPr>
            <w:tcW w:w="757" w:type="pct"/>
            <w:tcBorders>
              <w:bottom w:val="single" w:sz="4" w:space="0" w:color="auto"/>
            </w:tcBorders>
            <w:shd w:val="clear" w:color="auto" w:fill="auto"/>
          </w:tcPr>
          <w:p w14:paraId="67AD2203" w14:textId="77777777" w:rsidR="007F70F3" w:rsidRPr="009616D3" w:rsidRDefault="007F70F3" w:rsidP="005569FD">
            <w:pPr>
              <w:pStyle w:val="Tabletext1"/>
              <w:rPr>
                <w:snapToGrid w:val="0"/>
                <w:lang w:eastAsia="en-US"/>
              </w:rPr>
            </w:pPr>
            <w:r w:rsidRPr="0000124A">
              <w:rPr>
                <w:snapToGrid w:val="0"/>
                <w:lang w:eastAsia="en-US"/>
              </w:rPr>
              <w:t>Overall</w:t>
            </w:r>
            <w:r w:rsidR="00055D72" w:rsidRPr="0000124A">
              <w:rPr>
                <w:snapToGrid w:val="0"/>
                <w:lang w:eastAsia="en-US"/>
              </w:rPr>
              <w:t>,</w:t>
            </w:r>
            <w:r w:rsidRPr="00781354">
              <w:rPr>
                <w:snapToGrid w:val="0"/>
                <w:lang w:eastAsia="en-US"/>
              </w:rPr>
              <w:t xml:space="preserve"> cancer-specific</w:t>
            </w:r>
            <w:r w:rsidR="00055D72" w:rsidRPr="006B33E4">
              <w:rPr>
                <w:snapToGrid w:val="0"/>
                <w:lang w:eastAsia="en-US"/>
              </w:rPr>
              <w:t>,</w:t>
            </w:r>
            <w:r w:rsidRPr="006B33E4">
              <w:rPr>
                <w:snapToGrid w:val="0"/>
                <w:lang w:eastAsia="en-US"/>
              </w:rPr>
              <w:t xml:space="preserve"> </w:t>
            </w:r>
            <w:r w:rsidR="004F6722" w:rsidRPr="006B33E4">
              <w:rPr>
                <w:snapToGrid w:val="0"/>
                <w:lang w:eastAsia="en-US"/>
              </w:rPr>
              <w:t>PF</w:t>
            </w:r>
            <w:r w:rsidRPr="004D10F1">
              <w:rPr>
                <w:snapToGrid w:val="0"/>
                <w:lang w:eastAsia="en-US"/>
              </w:rPr>
              <w:t xml:space="preserve"> survival</w:t>
            </w:r>
            <w:r w:rsidR="00055D72" w:rsidRPr="00935A6C">
              <w:rPr>
                <w:snapToGrid w:val="0"/>
                <w:lang w:eastAsia="en-US"/>
              </w:rPr>
              <w:t>, a</w:t>
            </w:r>
            <w:r w:rsidRPr="009616D3">
              <w:rPr>
                <w:snapToGrid w:val="0"/>
                <w:lang w:eastAsia="en-US"/>
              </w:rPr>
              <w:t>dverse events</w:t>
            </w:r>
          </w:p>
        </w:tc>
        <w:tc>
          <w:tcPr>
            <w:tcW w:w="614" w:type="pct"/>
            <w:shd w:val="clear" w:color="auto" w:fill="auto"/>
          </w:tcPr>
          <w:p w14:paraId="77FEAD85" w14:textId="77777777" w:rsidR="007F70F3" w:rsidRPr="009616D3" w:rsidRDefault="007F70F3" w:rsidP="005569FD">
            <w:pPr>
              <w:pStyle w:val="Tabletext1"/>
              <w:rPr>
                <w:snapToGrid w:val="0"/>
                <w:lang w:eastAsia="en-US"/>
              </w:rPr>
            </w:pPr>
            <w:r w:rsidRPr="009616D3">
              <w:rPr>
                <w:snapToGrid w:val="0"/>
                <w:lang w:eastAsia="en-US"/>
              </w:rPr>
              <w:t>Not used</w:t>
            </w:r>
          </w:p>
        </w:tc>
      </w:tr>
      <w:tr w:rsidR="007F70F3" w:rsidRPr="001D54EF" w14:paraId="7BEAE5B3" w14:textId="77777777" w:rsidTr="004B492A">
        <w:trPr>
          <w:cantSplit/>
        </w:trPr>
        <w:tc>
          <w:tcPr>
            <w:tcW w:w="624" w:type="pct"/>
            <w:shd w:val="clear" w:color="auto" w:fill="auto"/>
          </w:tcPr>
          <w:p w14:paraId="27C9BA45" w14:textId="77777777" w:rsidR="007F70F3" w:rsidRPr="001D54EF" w:rsidRDefault="007F70F3" w:rsidP="004B492A">
            <w:pPr>
              <w:pStyle w:val="Tabletext1"/>
              <w:rPr>
                <w:snapToGrid w:val="0"/>
                <w:lang w:eastAsia="en-US"/>
              </w:rPr>
            </w:pPr>
            <w:r w:rsidRPr="001D54EF">
              <w:rPr>
                <w:snapToGrid w:val="0"/>
                <w:lang w:eastAsia="en-US"/>
              </w:rPr>
              <w:t>Takahashi et al (2014)</w:t>
            </w:r>
          </w:p>
        </w:tc>
        <w:tc>
          <w:tcPr>
            <w:tcW w:w="456" w:type="pct"/>
            <w:shd w:val="clear" w:color="auto" w:fill="auto"/>
          </w:tcPr>
          <w:p w14:paraId="00FBBFD7" w14:textId="77777777" w:rsidR="007F70F3" w:rsidRPr="001D54EF" w:rsidRDefault="007F70F3" w:rsidP="005569FD">
            <w:pPr>
              <w:pStyle w:val="Tabletext1"/>
              <w:rPr>
                <w:snapToGrid w:val="0"/>
                <w:lang w:eastAsia="en-US"/>
              </w:rPr>
            </w:pPr>
            <w:r w:rsidRPr="001D54EF">
              <w:rPr>
                <w:snapToGrid w:val="0"/>
                <w:lang w:eastAsia="en-US"/>
              </w:rPr>
              <w:t>34 (44)</w:t>
            </w:r>
          </w:p>
        </w:tc>
        <w:tc>
          <w:tcPr>
            <w:tcW w:w="761" w:type="pct"/>
            <w:shd w:val="clear" w:color="auto" w:fill="auto"/>
          </w:tcPr>
          <w:p w14:paraId="54FB43A4" w14:textId="77777777" w:rsidR="007037AB" w:rsidRPr="005F2661" w:rsidRDefault="007037AB" w:rsidP="005569FD">
            <w:pPr>
              <w:pStyle w:val="Tabletext1"/>
              <w:rPr>
                <w:snapToGrid w:val="0"/>
                <w:lang w:eastAsia="en-US"/>
              </w:rPr>
            </w:pPr>
            <w:r w:rsidRPr="005F2661">
              <w:rPr>
                <w:snapToGrid w:val="0"/>
                <w:lang w:eastAsia="en-US"/>
              </w:rPr>
              <w:t>Retrospective CS</w:t>
            </w:r>
          </w:p>
          <w:p w14:paraId="465ECEAF" w14:textId="08ABBD83" w:rsidR="007F70F3" w:rsidRPr="005F2661" w:rsidRDefault="007F70F3" w:rsidP="005569FD">
            <w:pPr>
              <w:pStyle w:val="Tabletext1"/>
              <w:rPr>
                <w:snapToGrid w:val="0"/>
                <w:lang w:eastAsia="en-US"/>
              </w:rPr>
            </w:pPr>
            <w:r w:rsidRPr="005F2661">
              <w:rPr>
                <w:snapToGrid w:val="0"/>
                <w:lang w:eastAsia="en-US"/>
              </w:rPr>
              <w:t>24 (6</w:t>
            </w:r>
            <w:r w:rsidR="00D35E9C">
              <w:rPr>
                <w:snapToGrid w:val="0"/>
                <w:lang w:eastAsia="en-US"/>
              </w:rPr>
              <w:t>–</w:t>
            </w:r>
            <w:r w:rsidRPr="005F2661">
              <w:rPr>
                <w:snapToGrid w:val="0"/>
                <w:lang w:eastAsia="en-US"/>
              </w:rPr>
              <w:t>167) months</w:t>
            </w:r>
          </w:p>
        </w:tc>
        <w:tc>
          <w:tcPr>
            <w:tcW w:w="412" w:type="pct"/>
            <w:tcBorders>
              <w:bottom w:val="single" w:sz="4" w:space="0" w:color="auto"/>
            </w:tcBorders>
            <w:shd w:val="clear" w:color="auto" w:fill="auto"/>
          </w:tcPr>
          <w:p w14:paraId="3E2BE84A" w14:textId="77777777" w:rsidR="007F70F3" w:rsidRPr="00F2078A" w:rsidRDefault="007F70F3" w:rsidP="005569FD">
            <w:pPr>
              <w:pStyle w:val="Tabletext1"/>
              <w:rPr>
                <w:snapToGrid w:val="0"/>
                <w:lang w:eastAsia="en-US"/>
              </w:rPr>
            </w:pPr>
            <w:r w:rsidRPr="00F2078A">
              <w:rPr>
                <w:snapToGrid w:val="0"/>
                <w:lang w:eastAsia="en-US"/>
              </w:rPr>
              <w:t>High</w:t>
            </w:r>
          </w:p>
        </w:tc>
        <w:tc>
          <w:tcPr>
            <w:tcW w:w="1375" w:type="pct"/>
            <w:tcBorders>
              <w:bottom w:val="single" w:sz="4" w:space="0" w:color="auto"/>
            </w:tcBorders>
            <w:shd w:val="clear" w:color="auto" w:fill="auto"/>
          </w:tcPr>
          <w:p w14:paraId="357B3B1F" w14:textId="77777777" w:rsidR="007F70F3" w:rsidRPr="006B33E4" w:rsidRDefault="007F70F3" w:rsidP="005569FD">
            <w:pPr>
              <w:pStyle w:val="Tabletext1"/>
              <w:rPr>
                <w:snapToGrid w:val="0"/>
                <w:lang w:eastAsia="en-US"/>
              </w:rPr>
            </w:pPr>
            <w:r w:rsidRPr="00642604">
              <w:rPr>
                <w:snapToGrid w:val="0"/>
                <w:lang w:eastAsia="en-US"/>
              </w:rPr>
              <w:t xml:space="preserve">Colorectal lung metastases, </w:t>
            </w:r>
            <w:r w:rsidR="001A78C9" w:rsidRPr="00351105">
              <w:rPr>
                <w:snapToGrid w:val="0"/>
                <w:lang w:eastAsia="en-US"/>
              </w:rPr>
              <w:t xml:space="preserve">resected primary, </w:t>
            </w:r>
            <w:r w:rsidR="00766EDB" w:rsidRPr="0000124A">
              <w:rPr>
                <w:snapToGrid w:val="0"/>
                <w:lang w:eastAsia="en-US"/>
              </w:rPr>
              <w:t>inoperable</w:t>
            </w:r>
            <w:r w:rsidRPr="0000124A">
              <w:rPr>
                <w:snapToGrid w:val="0"/>
                <w:lang w:eastAsia="en-US"/>
              </w:rPr>
              <w:t xml:space="preserve">, no </w:t>
            </w:r>
            <w:r w:rsidR="001A78C9" w:rsidRPr="00781354">
              <w:rPr>
                <w:snapToGrid w:val="0"/>
                <w:lang w:eastAsia="en-US"/>
              </w:rPr>
              <w:t xml:space="preserve">other </w:t>
            </w:r>
            <w:r w:rsidRPr="006B33E4">
              <w:rPr>
                <w:snapToGrid w:val="0"/>
                <w:lang w:eastAsia="en-US"/>
              </w:rPr>
              <w:t>metastases</w:t>
            </w:r>
          </w:p>
        </w:tc>
        <w:tc>
          <w:tcPr>
            <w:tcW w:w="757" w:type="pct"/>
            <w:tcBorders>
              <w:bottom w:val="single" w:sz="4" w:space="0" w:color="auto"/>
            </w:tcBorders>
            <w:shd w:val="clear" w:color="auto" w:fill="auto"/>
          </w:tcPr>
          <w:p w14:paraId="5397DEBD" w14:textId="77777777" w:rsidR="007F70F3" w:rsidRPr="009616D3" w:rsidRDefault="007F70F3" w:rsidP="005569FD">
            <w:pPr>
              <w:pStyle w:val="Tabletext1"/>
              <w:rPr>
                <w:snapToGrid w:val="0"/>
                <w:lang w:eastAsia="en-US"/>
              </w:rPr>
            </w:pPr>
            <w:r w:rsidRPr="004D10F1">
              <w:rPr>
                <w:snapToGrid w:val="0"/>
                <w:lang w:eastAsia="en-US"/>
              </w:rPr>
              <w:t>Overall survival</w:t>
            </w:r>
            <w:r w:rsidR="00055D72" w:rsidRPr="00935A6C">
              <w:rPr>
                <w:snapToGrid w:val="0"/>
                <w:lang w:eastAsia="en-US"/>
              </w:rPr>
              <w:t>, a</w:t>
            </w:r>
            <w:r w:rsidRPr="009616D3">
              <w:rPr>
                <w:snapToGrid w:val="0"/>
                <w:lang w:eastAsia="en-US"/>
              </w:rPr>
              <w:t>dverse events</w:t>
            </w:r>
          </w:p>
        </w:tc>
        <w:tc>
          <w:tcPr>
            <w:tcW w:w="614" w:type="pct"/>
            <w:shd w:val="clear" w:color="auto" w:fill="auto"/>
          </w:tcPr>
          <w:p w14:paraId="0448E7A2" w14:textId="77777777" w:rsidR="007F70F3" w:rsidRPr="009616D3" w:rsidRDefault="007F70F3" w:rsidP="005569FD">
            <w:pPr>
              <w:pStyle w:val="Tabletext1"/>
              <w:rPr>
                <w:snapToGrid w:val="0"/>
                <w:lang w:eastAsia="en-US"/>
              </w:rPr>
            </w:pPr>
            <w:r w:rsidRPr="009616D3">
              <w:rPr>
                <w:snapToGrid w:val="0"/>
                <w:lang w:eastAsia="en-US"/>
              </w:rPr>
              <w:t>Not used</w:t>
            </w:r>
          </w:p>
        </w:tc>
      </w:tr>
      <w:tr w:rsidR="007A3D35" w:rsidRPr="001D54EF" w14:paraId="776BDD0D" w14:textId="77777777" w:rsidTr="004B492A">
        <w:trPr>
          <w:cantSplit/>
        </w:trPr>
        <w:tc>
          <w:tcPr>
            <w:tcW w:w="624" w:type="pct"/>
            <w:shd w:val="clear" w:color="auto" w:fill="auto"/>
          </w:tcPr>
          <w:p w14:paraId="7D7AF88A" w14:textId="77777777" w:rsidR="007A3D35" w:rsidRPr="001D54EF" w:rsidRDefault="007A3D35" w:rsidP="004B492A">
            <w:pPr>
              <w:pStyle w:val="TableText0"/>
              <w:keepNext w:val="0"/>
              <w:widowControl w:val="0"/>
              <w:spacing w:before="60" w:after="60"/>
              <w:jc w:val="left"/>
              <w:rPr>
                <w:snapToGrid w:val="0"/>
                <w:szCs w:val="20"/>
              </w:rPr>
            </w:pPr>
            <w:r w:rsidRPr="001D54EF">
              <w:rPr>
                <w:snapToGrid w:val="0"/>
                <w:szCs w:val="20"/>
              </w:rPr>
              <w:lastRenderedPageBreak/>
              <w:t>Meta-analysis/ pooling</w:t>
            </w:r>
          </w:p>
        </w:tc>
        <w:tc>
          <w:tcPr>
            <w:tcW w:w="456" w:type="pct"/>
            <w:shd w:val="clear" w:color="auto" w:fill="auto"/>
          </w:tcPr>
          <w:p w14:paraId="719DB15A" w14:textId="77777777" w:rsidR="005E31E5" w:rsidRPr="001D54EF" w:rsidRDefault="005E31E5" w:rsidP="005569FD">
            <w:pPr>
              <w:pStyle w:val="TableText0"/>
              <w:keepNext w:val="0"/>
              <w:widowControl w:val="0"/>
              <w:spacing w:before="60" w:after="60"/>
              <w:jc w:val="left"/>
              <w:rPr>
                <w:snapToGrid w:val="0"/>
                <w:szCs w:val="20"/>
              </w:rPr>
            </w:pPr>
            <w:r w:rsidRPr="001D54EF">
              <w:rPr>
                <w:snapToGrid w:val="0"/>
                <w:szCs w:val="20"/>
              </w:rPr>
              <w:t>808</w:t>
            </w:r>
          </w:p>
          <w:p w14:paraId="49A9C733" w14:textId="77777777" w:rsidR="007A3D35" w:rsidRPr="005F2661" w:rsidRDefault="007A3D35" w:rsidP="005569FD">
            <w:pPr>
              <w:pStyle w:val="TableText0"/>
              <w:keepNext w:val="0"/>
              <w:widowControl w:val="0"/>
              <w:spacing w:before="60" w:after="60"/>
              <w:jc w:val="left"/>
              <w:rPr>
                <w:snapToGrid w:val="0"/>
                <w:szCs w:val="20"/>
              </w:rPr>
            </w:pPr>
            <w:r w:rsidRPr="005F2661">
              <w:rPr>
                <w:snapToGrid w:val="0"/>
                <w:szCs w:val="20"/>
              </w:rPr>
              <w:t>17 studies</w:t>
            </w:r>
          </w:p>
        </w:tc>
        <w:tc>
          <w:tcPr>
            <w:tcW w:w="761" w:type="pct"/>
            <w:tcBorders>
              <w:bottom w:val="single" w:sz="4" w:space="0" w:color="auto"/>
              <w:right w:val="nil"/>
            </w:tcBorders>
            <w:shd w:val="clear" w:color="auto" w:fill="auto"/>
          </w:tcPr>
          <w:p w14:paraId="114BD2F6" w14:textId="77777777" w:rsidR="007A3D35" w:rsidRPr="005F2661" w:rsidRDefault="007A3D35" w:rsidP="005569FD">
            <w:pPr>
              <w:pStyle w:val="TableText0"/>
              <w:keepNext w:val="0"/>
              <w:widowControl w:val="0"/>
              <w:spacing w:before="60" w:after="60"/>
              <w:jc w:val="left"/>
              <w:rPr>
                <w:snapToGrid w:val="0"/>
                <w:szCs w:val="20"/>
              </w:rPr>
            </w:pPr>
          </w:p>
        </w:tc>
        <w:tc>
          <w:tcPr>
            <w:tcW w:w="412" w:type="pct"/>
            <w:tcBorders>
              <w:left w:val="nil"/>
              <w:bottom w:val="single" w:sz="4" w:space="0" w:color="auto"/>
              <w:right w:val="nil"/>
            </w:tcBorders>
            <w:shd w:val="clear" w:color="auto" w:fill="auto"/>
          </w:tcPr>
          <w:p w14:paraId="24E8DC45" w14:textId="77777777" w:rsidR="007A3D35" w:rsidRPr="00F2078A" w:rsidRDefault="007A3D35" w:rsidP="005569FD">
            <w:pPr>
              <w:pStyle w:val="TableText0"/>
              <w:keepNext w:val="0"/>
              <w:widowControl w:val="0"/>
              <w:spacing w:before="60" w:after="60"/>
              <w:jc w:val="left"/>
              <w:rPr>
                <w:snapToGrid w:val="0"/>
                <w:szCs w:val="20"/>
              </w:rPr>
            </w:pPr>
          </w:p>
        </w:tc>
        <w:tc>
          <w:tcPr>
            <w:tcW w:w="1375" w:type="pct"/>
            <w:tcBorders>
              <w:left w:val="nil"/>
              <w:right w:val="nil"/>
            </w:tcBorders>
            <w:shd w:val="clear" w:color="auto" w:fill="auto"/>
          </w:tcPr>
          <w:p w14:paraId="1456FFB0" w14:textId="77777777" w:rsidR="007A3D35" w:rsidRPr="001C2967" w:rsidRDefault="007A3D35" w:rsidP="005569FD">
            <w:pPr>
              <w:pStyle w:val="TableText0"/>
              <w:keepNext w:val="0"/>
              <w:widowControl w:val="0"/>
              <w:spacing w:before="60" w:after="60"/>
              <w:jc w:val="left"/>
              <w:rPr>
                <w:szCs w:val="20"/>
              </w:rPr>
            </w:pPr>
            <w:r w:rsidRPr="00642604">
              <w:rPr>
                <w:snapToGrid w:val="0"/>
                <w:szCs w:val="20"/>
              </w:rPr>
              <w:t>Where possible n/N (%) for adverse events has been calculated across all studies. Measures of central tendency and associated measures of variance have been reported if applicable</w:t>
            </w:r>
          </w:p>
        </w:tc>
        <w:tc>
          <w:tcPr>
            <w:tcW w:w="757" w:type="pct"/>
            <w:tcBorders>
              <w:left w:val="nil"/>
              <w:bottom w:val="single" w:sz="4" w:space="0" w:color="auto"/>
            </w:tcBorders>
            <w:shd w:val="clear" w:color="auto" w:fill="auto"/>
          </w:tcPr>
          <w:p w14:paraId="689BB463" w14:textId="77777777" w:rsidR="007A3D35" w:rsidRPr="00EB5A53" w:rsidRDefault="007A3D35" w:rsidP="005569FD">
            <w:pPr>
              <w:pStyle w:val="TableText0"/>
              <w:keepNext w:val="0"/>
              <w:widowControl w:val="0"/>
              <w:spacing w:before="60" w:after="60"/>
              <w:jc w:val="left"/>
              <w:rPr>
                <w:szCs w:val="20"/>
              </w:rPr>
            </w:pPr>
          </w:p>
        </w:tc>
        <w:tc>
          <w:tcPr>
            <w:tcW w:w="614" w:type="pct"/>
            <w:shd w:val="clear" w:color="auto" w:fill="auto"/>
          </w:tcPr>
          <w:p w14:paraId="386435AC" w14:textId="77777777" w:rsidR="007A3D35" w:rsidRPr="00351105" w:rsidRDefault="007A3D35" w:rsidP="005569FD">
            <w:pPr>
              <w:pStyle w:val="TableText0"/>
              <w:keepNext w:val="0"/>
              <w:widowControl w:val="0"/>
              <w:spacing w:before="60" w:after="60"/>
              <w:jc w:val="left"/>
              <w:rPr>
                <w:snapToGrid w:val="0"/>
                <w:szCs w:val="20"/>
              </w:rPr>
            </w:pPr>
            <w:r w:rsidRPr="00351105">
              <w:rPr>
                <w:snapToGrid w:val="0"/>
                <w:szCs w:val="20"/>
              </w:rPr>
              <w:t>Not used</w:t>
            </w:r>
          </w:p>
        </w:tc>
      </w:tr>
    </w:tbl>
    <w:p w14:paraId="000C2633" w14:textId="44DD44B9" w:rsidR="007F70F3" w:rsidRPr="007F70F3" w:rsidRDefault="00902CF6" w:rsidP="008063EA">
      <w:pPr>
        <w:pStyle w:val="Tablenotes0"/>
      </w:pPr>
      <w:r>
        <w:t xml:space="preserve">&lt; </w:t>
      </w:r>
      <w:r w:rsidR="00A20C2E">
        <w:t>CS = case series;</w:t>
      </w:r>
      <w:r w:rsidR="00FD58DA">
        <w:t xml:space="preserve"> IQR = interquartile range;</w:t>
      </w:r>
      <w:r w:rsidR="00FD58DA" w:rsidRPr="00FD58DA">
        <w:t xml:space="preserve"> mm</w:t>
      </w:r>
      <w:r w:rsidR="00FA74C7">
        <w:t xml:space="preserve"> </w:t>
      </w:r>
      <w:r w:rsidR="00FD58DA" w:rsidRPr="00FD58DA">
        <w:t>=</w:t>
      </w:r>
      <w:r w:rsidR="00FA74C7">
        <w:t xml:space="preserve"> </w:t>
      </w:r>
      <w:r w:rsidR="00FD58DA" w:rsidRPr="00FD58DA">
        <w:t>millimetres</w:t>
      </w:r>
      <w:r w:rsidR="00FD58DA">
        <w:t>;</w:t>
      </w:r>
      <w:r w:rsidR="00FA74C7">
        <w:t xml:space="preserve"> </w:t>
      </w:r>
      <w:r w:rsidR="00FD58DA" w:rsidRPr="007F70F3">
        <w:t>n</w:t>
      </w:r>
      <w:r w:rsidR="00FD58DA" w:rsidRPr="00FD58DA">
        <w:t>/N (%)</w:t>
      </w:r>
      <w:r w:rsidR="00FA74C7">
        <w:t xml:space="preserve"> </w:t>
      </w:r>
      <w:r w:rsidR="00FD58DA" w:rsidRPr="00FD58DA">
        <w:t>= number with event/ total (percentage)</w:t>
      </w:r>
      <w:r w:rsidR="00FD58DA">
        <w:t xml:space="preserve">; </w:t>
      </w:r>
      <w:r w:rsidR="004F6722">
        <w:t xml:space="preserve">NR = not </w:t>
      </w:r>
      <w:r>
        <w:t>reported; PF = progression-free &gt;</w:t>
      </w:r>
    </w:p>
    <w:p w14:paraId="52BF7E89" w14:textId="77777777" w:rsidR="007F70F3" w:rsidRPr="00902CF6" w:rsidRDefault="00971E34" w:rsidP="00902CF6">
      <w:pPr>
        <w:spacing w:before="500"/>
        <w:rPr>
          <w:b/>
          <w:i/>
        </w:rPr>
      </w:pPr>
      <w:r w:rsidRPr="00902CF6">
        <w:rPr>
          <w:b/>
          <w:i/>
        </w:rPr>
        <w:t>Population three</w:t>
      </w:r>
    </w:p>
    <w:p w14:paraId="17662C1B" w14:textId="4C3F447D" w:rsidR="0020424D" w:rsidRDefault="0020424D" w:rsidP="0020424D">
      <w:bookmarkStart w:id="261" w:name="_Ref457395344"/>
      <w:r>
        <w:t xml:space="preserve">A recently published Cochrane review was identified that evaluated the safety and effectiveness of different palliative radiotherapy regimens in lung cancer patients </w:t>
      </w:r>
      <w:r>
        <w:fldChar w:fldCharType="begin"/>
      </w:r>
      <w:r w:rsidR="00194054">
        <w:instrText xml:space="preserve"> ADDIN EN.CITE &lt;EndNote&gt;&lt;Cite&gt;&lt;Author&gt;Stevens&lt;/Author&gt;&lt;Year&gt;2015&lt;/Year&gt;&lt;RecNum&gt;159&lt;/RecNum&gt;&lt;DisplayText&gt;(Stevens et al 2015)&lt;/DisplayText&gt;&lt;record&gt;&lt;rec-number&gt;159&lt;/rec-number&gt;&lt;foreign-keys&gt;&lt;key app="EN" db-id="05ssdaw2cf0zvye5xvo5z9ww0xdpfstrdtew" timestamp="1469142663"&gt;159&lt;/key&gt;&lt;/foreign-keys&gt;&lt;ref-type name="Journal Article"&gt;17&lt;/ref-type&gt;&lt;contributors&gt;&lt;authors&gt;&lt;author&gt;Stevens, R.&lt;/author&gt;&lt;author&gt;Macbeth, F.&lt;/author&gt;&lt;author&gt;Toy, E.&lt;/author&gt;&lt;author&gt;Coles, B.&lt;/author&gt;&lt;author&gt;Lester, J. F.&lt;/author&gt;&lt;/authors&gt;&lt;/contributors&gt;&lt;auth-address&gt;Beatson West of Scotland Cancer Centre, Glasgow, UK.&lt;/auth-address&gt;&lt;titles&gt;&lt;title&gt;Palliative radiotherapy regimens for patients with thoracic symptoms from non-small cell lung cancer&lt;/title&gt;&lt;secondary-title&gt;Cochrane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002143&lt;/pages&gt;&lt;volume&gt;1&lt;/volume&gt;&lt;edition&gt;2015/01/15&lt;/edition&gt;&lt;dates&gt;&lt;year&gt;2015&lt;/year&gt;&lt;/dates&gt;&lt;isbn&gt;1361-6137&lt;/isbn&gt;&lt;accession-num&gt;25586198&lt;/accession-num&gt;&lt;urls&gt;&lt;/urls&gt;&lt;electronic-resource-num&gt;10.1002/14651858.CD002143.pub4&lt;/electronic-resource-num&gt;&lt;remote-database-provider&gt;NLM&lt;/remote-database-provider&gt;&lt;language&gt;eng&lt;/language&gt;&lt;/record&gt;&lt;/Cite&gt;&lt;/EndNote&gt;</w:instrText>
      </w:r>
      <w:r>
        <w:fldChar w:fldCharType="separate"/>
      </w:r>
      <w:r>
        <w:rPr>
          <w:noProof/>
        </w:rPr>
        <w:t>(</w:t>
      </w:r>
      <w:hyperlink w:anchor="_ENREF_148" w:tooltip="Stevens, 2015 #159" w:history="1">
        <w:r w:rsidR="00320458">
          <w:rPr>
            <w:noProof/>
          </w:rPr>
          <w:t>Stevens et al 2015</w:t>
        </w:r>
      </w:hyperlink>
      <w:r>
        <w:rPr>
          <w:noProof/>
        </w:rPr>
        <w:t>)</w:t>
      </w:r>
      <w:r>
        <w:fldChar w:fldCharType="end"/>
      </w:r>
      <w:r>
        <w:t>. The search was conducted in January 2014, and identified 14 randomised controlled trials involving 3,756 patients.  P</w:t>
      </w:r>
      <w:r w:rsidRPr="006E3661">
        <w:t xml:space="preserve">atients </w:t>
      </w:r>
      <w:r>
        <w:t>included</w:t>
      </w:r>
      <w:r w:rsidRPr="006E3661">
        <w:t xml:space="preserve"> those with locally advanced or metastatic </w:t>
      </w:r>
      <w:r>
        <w:t xml:space="preserve">NSCLC </w:t>
      </w:r>
      <w:r w:rsidRPr="006E3661">
        <w:t>with thoracic symptoms.</w:t>
      </w:r>
      <w:r>
        <w:t xml:space="preserve"> In order to identify the treatment effects attributable to different radiotherapy regimens, studies that included radiotherapy plus chemotherapy were excluded. As a result, the studies included are not completely reflective of the patients that are likely to receive palliative radiotherapy for lung cancer in Australia, but provide a good representation of the effect of radiotherapy for palliation.</w:t>
      </w:r>
    </w:p>
    <w:p w14:paraId="45B6D596" w14:textId="77777777" w:rsidR="007F70F3" w:rsidRPr="007F70F3" w:rsidRDefault="007F70F3" w:rsidP="001163D9">
      <w:pPr>
        <w:pStyle w:val="TableHeading"/>
        <w:rPr>
          <w:snapToGrid w:val="0"/>
          <w:lang w:eastAsia="en-US"/>
        </w:rPr>
      </w:pPr>
      <w:bookmarkStart w:id="262" w:name="_Ref458414195"/>
      <w:bookmarkStart w:id="263" w:name="_Toc460514696"/>
      <w:r w:rsidRPr="001163D9">
        <w:t xml:space="preserve">Table </w:t>
      </w:r>
      <w:fldSimple w:instr=" SEQ Table \* ARABIC ">
        <w:r w:rsidR="00D170A5">
          <w:rPr>
            <w:noProof/>
          </w:rPr>
          <w:t>38</w:t>
        </w:r>
      </w:fldSimple>
      <w:bookmarkEnd w:id="261"/>
      <w:bookmarkEnd w:id="262"/>
      <w:r w:rsidRPr="001163D9">
        <w:tab/>
      </w:r>
      <w:r w:rsidR="003E38A5">
        <w:rPr>
          <w:snapToGrid w:val="0"/>
          <w:lang w:eastAsia="en-US"/>
        </w:rPr>
        <w:t>Characteristics</w:t>
      </w:r>
      <w:r w:rsidR="003E38A5" w:rsidRPr="001B7083">
        <w:rPr>
          <w:snapToGrid w:val="0"/>
          <w:lang w:eastAsia="en-US"/>
        </w:rPr>
        <w:t xml:space="preserve"> </w:t>
      </w:r>
      <w:r w:rsidRPr="001163D9">
        <w:rPr>
          <w:snapToGrid w:val="0"/>
          <w:lang w:eastAsia="en-US"/>
        </w:rPr>
        <w:t>of the included evidence for radiotherapy in population three</w:t>
      </w:r>
      <w:bookmarkEnd w:id="263"/>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158"/>
        <w:gridCol w:w="844"/>
        <w:gridCol w:w="1409"/>
        <w:gridCol w:w="750"/>
        <w:gridCol w:w="2544"/>
        <w:gridCol w:w="1271"/>
        <w:gridCol w:w="1079"/>
      </w:tblGrid>
      <w:tr w:rsidR="007F70F3" w:rsidRPr="007F70F3" w14:paraId="36A43365" w14:textId="77777777" w:rsidTr="00D300CC">
        <w:tc>
          <w:tcPr>
            <w:tcW w:w="639" w:type="pct"/>
            <w:shd w:val="clear" w:color="auto" w:fill="D9D9D9" w:themeFill="background1" w:themeFillShade="D9"/>
            <w:vAlign w:val="bottom"/>
          </w:tcPr>
          <w:p w14:paraId="122CA3CD" w14:textId="77777777" w:rsidR="007F70F3" w:rsidRPr="007F70F3" w:rsidRDefault="007F70F3" w:rsidP="00D300CC">
            <w:pPr>
              <w:pStyle w:val="Tabletext1"/>
              <w:rPr>
                <w:b/>
                <w:snapToGrid w:val="0"/>
                <w:lang w:eastAsia="en-US"/>
              </w:rPr>
            </w:pPr>
            <w:r w:rsidRPr="007F70F3">
              <w:rPr>
                <w:b/>
                <w:snapToGrid w:val="0"/>
                <w:lang w:eastAsia="en-US"/>
              </w:rPr>
              <w:t>Study</w:t>
            </w:r>
          </w:p>
        </w:tc>
        <w:tc>
          <w:tcPr>
            <w:tcW w:w="466" w:type="pct"/>
            <w:shd w:val="clear" w:color="auto" w:fill="D9D9D9" w:themeFill="background1" w:themeFillShade="D9"/>
            <w:vAlign w:val="bottom"/>
          </w:tcPr>
          <w:p w14:paraId="5594ADD0" w14:textId="77777777" w:rsidR="007F70F3" w:rsidRPr="007F70F3" w:rsidRDefault="007F70F3" w:rsidP="005569FD">
            <w:pPr>
              <w:pStyle w:val="Tabletext1"/>
              <w:rPr>
                <w:b/>
                <w:snapToGrid w:val="0"/>
                <w:lang w:eastAsia="en-US"/>
              </w:rPr>
            </w:pPr>
            <w:r w:rsidRPr="007F70F3">
              <w:rPr>
                <w:b/>
                <w:snapToGrid w:val="0"/>
                <w:lang w:eastAsia="en-US"/>
              </w:rPr>
              <w:t>N (lesions)</w:t>
            </w:r>
          </w:p>
        </w:tc>
        <w:tc>
          <w:tcPr>
            <w:tcW w:w="778" w:type="pct"/>
            <w:shd w:val="clear" w:color="auto" w:fill="D9D9D9" w:themeFill="background1" w:themeFillShade="D9"/>
            <w:vAlign w:val="bottom"/>
          </w:tcPr>
          <w:p w14:paraId="43DCE332" w14:textId="77777777" w:rsidR="007F70F3" w:rsidRPr="007F70F3" w:rsidRDefault="007F70F3" w:rsidP="005569FD">
            <w:pPr>
              <w:pStyle w:val="Tabletext1"/>
              <w:rPr>
                <w:b/>
                <w:snapToGrid w:val="0"/>
                <w:lang w:eastAsia="en-US"/>
              </w:rPr>
            </w:pPr>
            <w:r w:rsidRPr="007F70F3">
              <w:rPr>
                <w:b/>
                <w:snapToGrid w:val="0"/>
                <w:lang w:eastAsia="en-US"/>
              </w:rPr>
              <w:t>Design;</w:t>
            </w:r>
          </w:p>
          <w:p w14:paraId="0C04DED1" w14:textId="77777777" w:rsidR="007F70F3" w:rsidRPr="007F70F3" w:rsidRDefault="007F70F3" w:rsidP="005569FD">
            <w:pPr>
              <w:pStyle w:val="Tabletext1"/>
              <w:rPr>
                <w:b/>
                <w:snapToGrid w:val="0"/>
                <w:vertAlign w:val="superscript"/>
                <w:lang w:eastAsia="en-US"/>
              </w:rPr>
            </w:pPr>
            <w:r w:rsidRPr="007F70F3">
              <w:rPr>
                <w:b/>
                <w:snapToGrid w:val="0"/>
                <w:lang w:eastAsia="en-US"/>
              </w:rPr>
              <w:t>Follow up duration (range)</w:t>
            </w:r>
          </w:p>
        </w:tc>
        <w:tc>
          <w:tcPr>
            <w:tcW w:w="414" w:type="pct"/>
            <w:tcBorders>
              <w:bottom w:val="single" w:sz="4" w:space="0" w:color="auto"/>
            </w:tcBorders>
            <w:shd w:val="clear" w:color="auto" w:fill="D9D9D9" w:themeFill="background1" w:themeFillShade="D9"/>
            <w:vAlign w:val="bottom"/>
          </w:tcPr>
          <w:p w14:paraId="31E4AFC0" w14:textId="77777777" w:rsidR="007F70F3" w:rsidRPr="007F70F3" w:rsidRDefault="007F70F3" w:rsidP="005569FD">
            <w:pPr>
              <w:pStyle w:val="Tabletext1"/>
              <w:rPr>
                <w:b/>
                <w:snapToGrid w:val="0"/>
                <w:lang w:eastAsia="en-US"/>
              </w:rPr>
            </w:pPr>
            <w:r w:rsidRPr="007F70F3">
              <w:rPr>
                <w:b/>
                <w:snapToGrid w:val="0"/>
                <w:lang w:eastAsia="en-US"/>
              </w:rPr>
              <w:t>Risk of bias</w:t>
            </w:r>
          </w:p>
        </w:tc>
        <w:tc>
          <w:tcPr>
            <w:tcW w:w="1405" w:type="pct"/>
            <w:tcBorders>
              <w:bottom w:val="single" w:sz="4" w:space="0" w:color="auto"/>
            </w:tcBorders>
            <w:shd w:val="clear" w:color="auto" w:fill="D9D9D9" w:themeFill="background1" w:themeFillShade="D9"/>
            <w:vAlign w:val="bottom"/>
          </w:tcPr>
          <w:p w14:paraId="25CB7A31" w14:textId="578CA4FB" w:rsidR="009C7518" w:rsidRPr="007F70F3" w:rsidRDefault="00F22BCA" w:rsidP="005569FD">
            <w:pPr>
              <w:pStyle w:val="Tabletext1"/>
              <w:rPr>
                <w:b/>
                <w:snapToGrid w:val="0"/>
                <w:lang w:eastAsia="en-US"/>
              </w:rPr>
            </w:pPr>
            <w:r>
              <w:rPr>
                <w:b/>
                <w:snapToGrid w:val="0"/>
                <w:lang w:eastAsia="en-US"/>
              </w:rPr>
              <w:t>Inclusion criteria</w:t>
            </w:r>
          </w:p>
        </w:tc>
        <w:tc>
          <w:tcPr>
            <w:tcW w:w="702" w:type="pct"/>
            <w:tcBorders>
              <w:bottom w:val="single" w:sz="4" w:space="0" w:color="auto"/>
            </w:tcBorders>
            <w:shd w:val="clear" w:color="auto" w:fill="D9D9D9" w:themeFill="background1" w:themeFillShade="D9"/>
            <w:vAlign w:val="bottom"/>
          </w:tcPr>
          <w:p w14:paraId="0A1B6FF0" w14:textId="77777777" w:rsidR="007F70F3" w:rsidRPr="007F70F3" w:rsidRDefault="007F70F3" w:rsidP="005569FD">
            <w:pPr>
              <w:pStyle w:val="Tabletext1"/>
              <w:rPr>
                <w:b/>
                <w:snapToGrid w:val="0"/>
                <w:lang w:eastAsia="en-US"/>
              </w:rPr>
            </w:pPr>
            <w:r w:rsidRPr="007F70F3">
              <w:rPr>
                <w:b/>
                <w:snapToGrid w:val="0"/>
                <w:lang w:eastAsia="en-US"/>
              </w:rPr>
              <w:t>Key outcome(s)</w:t>
            </w:r>
          </w:p>
        </w:tc>
        <w:tc>
          <w:tcPr>
            <w:tcW w:w="597" w:type="pct"/>
            <w:shd w:val="clear" w:color="auto" w:fill="D9D9D9" w:themeFill="background1" w:themeFillShade="D9"/>
            <w:vAlign w:val="bottom"/>
          </w:tcPr>
          <w:p w14:paraId="59A1FE43" w14:textId="77777777" w:rsidR="007F70F3" w:rsidRPr="007F70F3" w:rsidRDefault="007F70F3" w:rsidP="005569FD">
            <w:pPr>
              <w:pStyle w:val="Tabletext1"/>
              <w:rPr>
                <w:b/>
                <w:snapToGrid w:val="0"/>
                <w:lang w:eastAsia="en-US"/>
              </w:rPr>
            </w:pPr>
            <w:r w:rsidRPr="007F70F3">
              <w:rPr>
                <w:b/>
                <w:snapToGrid w:val="0"/>
                <w:lang w:eastAsia="en-US"/>
              </w:rPr>
              <w:t>Result used in economic model</w:t>
            </w:r>
          </w:p>
        </w:tc>
      </w:tr>
      <w:tr w:rsidR="007F70F3" w:rsidRPr="007F70F3" w14:paraId="40677B9D" w14:textId="77777777" w:rsidTr="00D300CC">
        <w:tc>
          <w:tcPr>
            <w:tcW w:w="639" w:type="pct"/>
            <w:shd w:val="clear" w:color="auto" w:fill="auto"/>
          </w:tcPr>
          <w:p w14:paraId="5454887A" w14:textId="77777777" w:rsidR="007F70F3" w:rsidRPr="007F70F3" w:rsidRDefault="007F70F3" w:rsidP="00D300CC">
            <w:pPr>
              <w:pStyle w:val="Tabletext1"/>
              <w:rPr>
                <w:snapToGrid w:val="0"/>
                <w:lang w:eastAsia="en-US"/>
              </w:rPr>
            </w:pPr>
            <w:r w:rsidRPr="007F70F3">
              <w:rPr>
                <w:snapToGrid w:val="0"/>
                <w:lang w:eastAsia="en-US"/>
              </w:rPr>
              <w:t>Stevens et al (2015)</w:t>
            </w:r>
          </w:p>
        </w:tc>
        <w:tc>
          <w:tcPr>
            <w:tcW w:w="466" w:type="pct"/>
            <w:shd w:val="clear" w:color="auto" w:fill="auto"/>
          </w:tcPr>
          <w:p w14:paraId="4A04818B" w14:textId="77777777" w:rsidR="007F70F3" w:rsidRPr="007F70F3" w:rsidRDefault="007F70F3" w:rsidP="005569FD">
            <w:pPr>
              <w:pStyle w:val="Tabletext1"/>
              <w:rPr>
                <w:snapToGrid w:val="0"/>
                <w:lang w:eastAsia="en-US"/>
              </w:rPr>
            </w:pPr>
            <w:r w:rsidRPr="007F70F3">
              <w:rPr>
                <w:snapToGrid w:val="0"/>
                <w:lang w:eastAsia="en-US"/>
              </w:rPr>
              <w:t>3576</w:t>
            </w:r>
          </w:p>
          <w:p w14:paraId="29EA8771" w14:textId="77777777" w:rsidR="007F70F3" w:rsidRPr="007F70F3" w:rsidRDefault="001104D0" w:rsidP="005569FD">
            <w:pPr>
              <w:pStyle w:val="Tabletext1"/>
              <w:rPr>
                <w:snapToGrid w:val="0"/>
                <w:highlight w:val="cyan"/>
                <w:lang w:eastAsia="en-US"/>
              </w:rPr>
            </w:pPr>
            <w:r>
              <w:rPr>
                <w:snapToGrid w:val="0"/>
                <w:lang w:eastAsia="en-US"/>
              </w:rPr>
              <w:t xml:space="preserve">k </w:t>
            </w:r>
            <w:r w:rsidR="007F70F3" w:rsidRPr="007F70F3">
              <w:rPr>
                <w:snapToGrid w:val="0"/>
                <w:lang w:eastAsia="en-US"/>
              </w:rPr>
              <w:t>=</w:t>
            </w:r>
            <w:r>
              <w:rPr>
                <w:snapToGrid w:val="0"/>
                <w:lang w:eastAsia="en-US"/>
              </w:rPr>
              <w:t xml:space="preserve"> </w:t>
            </w:r>
            <w:r w:rsidR="007F70F3" w:rsidRPr="007F70F3">
              <w:rPr>
                <w:snapToGrid w:val="0"/>
                <w:lang w:eastAsia="en-US"/>
              </w:rPr>
              <w:t>14</w:t>
            </w:r>
          </w:p>
        </w:tc>
        <w:tc>
          <w:tcPr>
            <w:tcW w:w="778" w:type="pct"/>
            <w:tcBorders>
              <w:right w:val="single" w:sz="4" w:space="0" w:color="auto"/>
            </w:tcBorders>
            <w:shd w:val="clear" w:color="auto" w:fill="auto"/>
          </w:tcPr>
          <w:p w14:paraId="255ABAA4" w14:textId="77777777" w:rsidR="007F70F3" w:rsidRPr="007F70F3" w:rsidRDefault="007F70F3" w:rsidP="005569FD">
            <w:pPr>
              <w:pStyle w:val="Tabletext1"/>
              <w:rPr>
                <w:snapToGrid w:val="0"/>
                <w:lang w:eastAsia="en-US"/>
              </w:rPr>
            </w:pPr>
            <w:r w:rsidRPr="007F70F3">
              <w:rPr>
                <w:snapToGrid w:val="0"/>
                <w:lang w:eastAsia="en-US"/>
              </w:rPr>
              <w:t>Systematic review of CS</w:t>
            </w:r>
          </w:p>
        </w:tc>
        <w:tc>
          <w:tcPr>
            <w:tcW w:w="414" w:type="pct"/>
            <w:tcBorders>
              <w:left w:val="single" w:sz="4" w:space="0" w:color="auto"/>
              <w:bottom w:val="single" w:sz="4" w:space="0" w:color="auto"/>
              <w:right w:val="single" w:sz="4" w:space="0" w:color="auto"/>
            </w:tcBorders>
            <w:shd w:val="clear" w:color="auto" w:fill="auto"/>
          </w:tcPr>
          <w:p w14:paraId="24B6EF16" w14:textId="77777777" w:rsidR="007F70F3" w:rsidRPr="007F70F3" w:rsidRDefault="007F70F3" w:rsidP="005569FD">
            <w:pPr>
              <w:pStyle w:val="Tabletext1"/>
              <w:rPr>
                <w:snapToGrid w:val="0"/>
                <w:lang w:eastAsia="en-US"/>
              </w:rPr>
            </w:pPr>
            <w:r w:rsidRPr="007F70F3">
              <w:rPr>
                <w:snapToGrid w:val="0"/>
                <w:lang w:eastAsia="en-US"/>
              </w:rPr>
              <w:t>Moderate</w:t>
            </w:r>
          </w:p>
        </w:tc>
        <w:tc>
          <w:tcPr>
            <w:tcW w:w="1405" w:type="pct"/>
            <w:tcBorders>
              <w:left w:val="single" w:sz="4" w:space="0" w:color="auto"/>
              <w:bottom w:val="single" w:sz="4" w:space="0" w:color="auto"/>
              <w:right w:val="single" w:sz="4" w:space="0" w:color="auto"/>
            </w:tcBorders>
            <w:shd w:val="clear" w:color="auto" w:fill="auto"/>
          </w:tcPr>
          <w:p w14:paraId="18FED9BD" w14:textId="77777777" w:rsidR="007F70F3" w:rsidRPr="007F70F3" w:rsidRDefault="007F70F3" w:rsidP="005569FD">
            <w:pPr>
              <w:pStyle w:val="Tabletext1"/>
              <w:rPr>
                <w:snapToGrid w:val="0"/>
                <w:lang w:eastAsia="en-US"/>
              </w:rPr>
            </w:pPr>
            <w:r w:rsidRPr="007F70F3">
              <w:rPr>
                <w:snapToGrid w:val="0"/>
                <w:lang w:eastAsia="en-US"/>
              </w:rPr>
              <w:t>Narrative analysis with descriptive statistics</w:t>
            </w:r>
          </w:p>
        </w:tc>
        <w:tc>
          <w:tcPr>
            <w:tcW w:w="702" w:type="pct"/>
            <w:tcBorders>
              <w:left w:val="single" w:sz="4" w:space="0" w:color="auto"/>
              <w:bottom w:val="single" w:sz="4" w:space="0" w:color="auto"/>
            </w:tcBorders>
            <w:shd w:val="clear" w:color="auto" w:fill="auto"/>
          </w:tcPr>
          <w:p w14:paraId="03F3EABA" w14:textId="77777777" w:rsidR="007F70F3" w:rsidRPr="007F70F3" w:rsidRDefault="007F70F3" w:rsidP="005569FD">
            <w:pPr>
              <w:pStyle w:val="Tabletext1"/>
              <w:rPr>
                <w:snapToGrid w:val="0"/>
                <w:lang w:eastAsia="en-US"/>
              </w:rPr>
            </w:pPr>
            <w:r w:rsidRPr="007F70F3">
              <w:rPr>
                <w:snapToGrid w:val="0"/>
                <w:lang w:eastAsia="en-US"/>
              </w:rPr>
              <w:t>Overall survival</w:t>
            </w:r>
            <w:r w:rsidR="004651BD">
              <w:rPr>
                <w:snapToGrid w:val="0"/>
                <w:lang w:eastAsia="en-US"/>
              </w:rPr>
              <w:t>, a</w:t>
            </w:r>
            <w:r w:rsidRPr="007F70F3">
              <w:rPr>
                <w:snapToGrid w:val="0"/>
                <w:lang w:eastAsia="en-US"/>
              </w:rPr>
              <w:t>dverse events</w:t>
            </w:r>
          </w:p>
        </w:tc>
        <w:tc>
          <w:tcPr>
            <w:tcW w:w="597" w:type="pct"/>
            <w:shd w:val="clear" w:color="auto" w:fill="auto"/>
          </w:tcPr>
          <w:p w14:paraId="3F80847D" w14:textId="77777777" w:rsidR="007F70F3" w:rsidRPr="007F70F3" w:rsidRDefault="007F70F3" w:rsidP="005569FD">
            <w:pPr>
              <w:pStyle w:val="Tabletext1"/>
              <w:rPr>
                <w:snapToGrid w:val="0"/>
                <w:lang w:eastAsia="en-US"/>
              </w:rPr>
            </w:pPr>
            <w:r w:rsidRPr="007F70F3">
              <w:rPr>
                <w:snapToGrid w:val="0"/>
                <w:lang w:eastAsia="en-US"/>
              </w:rPr>
              <w:t>Not used</w:t>
            </w:r>
          </w:p>
        </w:tc>
      </w:tr>
      <w:tr w:rsidR="00C50078" w:rsidRPr="007F70F3" w14:paraId="31A6FA67" w14:textId="77777777" w:rsidTr="00431EA2">
        <w:tc>
          <w:tcPr>
            <w:tcW w:w="639" w:type="pct"/>
            <w:shd w:val="clear" w:color="auto" w:fill="auto"/>
          </w:tcPr>
          <w:p w14:paraId="5CFE0575" w14:textId="77777777" w:rsidR="00C50078" w:rsidRDefault="00C50078" w:rsidP="00431EA2">
            <w:pPr>
              <w:pStyle w:val="TableText0"/>
              <w:keepNext w:val="0"/>
              <w:widowControl w:val="0"/>
              <w:spacing w:before="60" w:after="60"/>
              <w:jc w:val="left"/>
              <w:rPr>
                <w:snapToGrid w:val="0"/>
              </w:rPr>
            </w:pPr>
            <w:r>
              <w:rPr>
                <w:snapToGrid w:val="0"/>
              </w:rPr>
              <w:t>Meta-analysis/ pooling</w:t>
            </w:r>
          </w:p>
        </w:tc>
        <w:tc>
          <w:tcPr>
            <w:tcW w:w="466" w:type="pct"/>
            <w:shd w:val="clear" w:color="auto" w:fill="auto"/>
          </w:tcPr>
          <w:p w14:paraId="18244807" w14:textId="77777777" w:rsidR="00C50078" w:rsidRDefault="00C50078" w:rsidP="005569FD">
            <w:pPr>
              <w:pStyle w:val="TableText0"/>
              <w:keepNext w:val="0"/>
              <w:widowControl w:val="0"/>
              <w:spacing w:before="60" w:after="60"/>
              <w:jc w:val="left"/>
              <w:rPr>
                <w:snapToGrid w:val="0"/>
              </w:rPr>
            </w:pPr>
            <w:r>
              <w:rPr>
                <w:snapToGrid w:val="0"/>
              </w:rPr>
              <w:t>3576</w:t>
            </w:r>
          </w:p>
          <w:p w14:paraId="42EBE4F2" w14:textId="77777777" w:rsidR="00C50078" w:rsidRDefault="00C50078" w:rsidP="005569FD">
            <w:pPr>
              <w:pStyle w:val="TableText0"/>
              <w:keepNext w:val="0"/>
              <w:widowControl w:val="0"/>
              <w:spacing w:before="60" w:after="60"/>
              <w:jc w:val="left"/>
              <w:rPr>
                <w:snapToGrid w:val="0"/>
              </w:rPr>
            </w:pPr>
            <w:r>
              <w:rPr>
                <w:snapToGrid w:val="0"/>
              </w:rPr>
              <w:t>14 studies</w:t>
            </w:r>
          </w:p>
        </w:tc>
        <w:tc>
          <w:tcPr>
            <w:tcW w:w="778" w:type="pct"/>
            <w:tcBorders>
              <w:right w:val="nil"/>
            </w:tcBorders>
            <w:shd w:val="clear" w:color="auto" w:fill="auto"/>
          </w:tcPr>
          <w:p w14:paraId="6EBAFECA" w14:textId="77777777" w:rsidR="00C50078" w:rsidRPr="00735BFA" w:rsidRDefault="00C50078" w:rsidP="005569FD">
            <w:pPr>
              <w:pStyle w:val="TableText0"/>
              <w:keepNext w:val="0"/>
              <w:widowControl w:val="0"/>
              <w:spacing w:before="60" w:after="60"/>
              <w:jc w:val="left"/>
              <w:rPr>
                <w:snapToGrid w:val="0"/>
              </w:rPr>
            </w:pPr>
          </w:p>
        </w:tc>
        <w:tc>
          <w:tcPr>
            <w:tcW w:w="414" w:type="pct"/>
            <w:tcBorders>
              <w:left w:val="nil"/>
              <w:right w:val="nil"/>
            </w:tcBorders>
            <w:shd w:val="clear" w:color="auto" w:fill="auto"/>
          </w:tcPr>
          <w:p w14:paraId="16CD7449" w14:textId="77777777" w:rsidR="00C50078" w:rsidRDefault="00C50078" w:rsidP="005569FD">
            <w:pPr>
              <w:pStyle w:val="TableText0"/>
              <w:keepNext w:val="0"/>
              <w:widowControl w:val="0"/>
              <w:spacing w:before="60" w:after="60"/>
              <w:jc w:val="left"/>
              <w:rPr>
                <w:snapToGrid w:val="0"/>
              </w:rPr>
            </w:pPr>
          </w:p>
        </w:tc>
        <w:tc>
          <w:tcPr>
            <w:tcW w:w="1405" w:type="pct"/>
            <w:tcBorders>
              <w:left w:val="nil"/>
              <w:right w:val="nil"/>
            </w:tcBorders>
            <w:shd w:val="clear" w:color="auto" w:fill="auto"/>
          </w:tcPr>
          <w:p w14:paraId="62F2D362" w14:textId="77777777" w:rsidR="00C50078" w:rsidRDefault="00281C42" w:rsidP="005569FD">
            <w:pPr>
              <w:pStyle w:val="TableText0"/>
              <w:keepNext w:val="0"/>
              <w:widowControl w:val="0"/>
              <w:spacing w:before="60" w:after="60"/>
              <w:jc w:val="left"/>
            </w:pPr>
            <w:r>
              <w:rPr>
                <w:snapToGrid w:val="0"/>
              </w:rPr>
              <w:t>Random effect model, overall pooled and subgroup analyses for oesophagitis, radiation myelopathy,</w:t>
            </w:r>
            <w:r w:rsidR="00D109CE">
              <w:rPr>
                <w:snapToGrid w:val="0"/>
              </w:rPr>
              <w:t xml:space="preserve"> pneumonitis, 1-yr overall survival</w:t>
            </w:r>
          </w:p>
        </w:tc>
        <w:tc>
          <w:tcPr>
            <w:tcW w:w="702" w:type="pct"/>
            <w:tcBorders>
              <w:left w:val="nil"/>
            </w:tcBorders>
            <w:shd w:val="clear" w:color="auto" w:fill="auto"/>
          </w:tcPr>
          <w:p w14:paraId="18A43FA7" w14:textId="77777777" w:rsidR="00C50078" w:rsidRPr="00735BFA" w:rsidRDefault="00C50078" w:rsidP="005569FD">
            <w:pPr>
              <w:pStyle w:val="TableText0"/>
              <w:keepNext w:val="0"/>
              <w:widowControl w:val="0"/>
              <w:spacing w:before="60" w:after="60"/>
              <w:jc w:val="left"/>
            </w:pPr>
          </w:p>
        </w:tc>
        <w:tc>
          <w:tcPr>
            <w:tcW w:w="597" w:type="pct"/>
            <w:shd w:val="clear" w:color="auto" w:fill="auto"/>
          </w:tcPr>
          <w:p w14:paraId="702AB678" w14:textId="77777777" w:rsidR="00C50078" w:rsidRDefault="00C50078" w:rsidP="005569FD">
            <w:pPr>
              <w:pStyle w:val="TableText0"/>
              <w:keepNext w:val="0"/>
              <w:widowControl w:val="0"/>
              <w:spacing w:before="60" w:after="60"/>
              <w:jc w:val="left"/>
              <w:rPr>
                <w:snapToGrid w:val="0"/>
              </w:rPr>
            </w:pPr>
            <w:r>
              <w:rPr>
                <w:snapToGrid w:val="0"/>
              </w:rPr>
              <w:t>Not used</w:t>
            </w:r>
          </w:p>
        </w:tc>
      </w:tr>
    </w:tbl>
    <w:p w14:paraId="6DE10EF7" w14:textId="2E66EFD0" w:rsidR="007F70F3" w:rsidRPr="007F70F3" w:rsidRDefault="00F22BCA" w:rsidP="008063EA">
      <w:pPr>
        <w:pStyle w:val="Tablenotes0"/>
      </w:pPr>
      <w:r>
        <w:t xml:space="preserve">&lt; </w:t>
      </w:r>
      <w:r w:rsidR="00FD58DA">
        <w:t>CS = case series; k</w:t>
      </w:r>
      <w:r w:rsidR="00C10752">
        <w:t xml:space="preserve"> </w:t>
      </w:r>
      <w:r w:rsidR="00FD58DA">
        <w:t>= number of studies</w:t>
      </w:r>
      <w:r>
        <w:t xml:space="preserve"> &gt;</w:t>
      </w:r>
    </w:p>
    <w:p w14:paraId="6E0819DB" w14:textId="77777777" w:rsidR="007F70F3" w:rsidRDefault="007F70F3" w:rsidP="007F70F3">
      <w:pPr>
        <w:pStyle w:val="Tabletext1"/>
      </w:pPr>
    </w:p>
    <w:p w14:paraId="47D4D7C6" w14:textId="77777777" w:rsidR="007F70F3" w:rsidRDefault="009C7764" w:rsidP="003F6C66">
      <w:pPr>
        <w:pStyle w:val="Heading3"/>
      </w:pPr>
      <w:bookmarkStart w:id="264" w:name="_Toc460396041"/>
      <w:r>
        <w:t xml:space="preserve">Characteristics of the included studies for </w:t>
      </w:r>
      <w:r w:rsidR="003B4853">
        <w:t>surgery</w:t>
      </w:r>
      <w:bookmarkEnd w:id="264"/>
      <w:r w:rsidR="003B4853">
        <w:t xml:space="preserve"> </w:t>
      </w:r>
    </w:p>
    <w:p w14:paraId="4B66B274" w14:textId="77777777" w:rsidR="00F84D45" w:rsidRDefault="00F84D45" w:rsidP="00F84D45">
      <w:r w:rsidRPr="005438D9">
        <w:lastRenderedPageBreak/>
        <w:t xml:space="preserve">See Appendix C for details on the individual studies included in the evidence base. A summary is provided in </w:t>
      </w:r>
      <w:r w:rsidRPr="005438D9">
        <w:fldChar w:fldCharType="begin"/>
      </w:r>
      <w:r w:rsidRPr="005438D9">
        <w:instrText xml:space="preserve"> REF _Ref457395383 \h  \* MERGEFORMAT </w:instrText>
      </w:r>
      <w:r w:rsidRPr="005438D9">
        <w:fldChar w:fldCharType="separate"/>
      </w:r>
      <w:r w:rsidR="00D170A5" w:rsidRPr="005438D9">
        <w:t xml:space="preserve">Table </w:t>
      </w:r>
      <w:r w:rsidR="00D170A5">
        <w:rPr>
          <w:noProof/>
        </w:rPr>
        <w:t>39</w:t>
      </w:r>
      <w:r w:rsidRPr="005438D9">
        <w:fldChar w:fldCharType="end"/>
      </w:r>
      <w:r w:rsidRPr="005438D9">
        <w:t>.</w:t>
      </w:r>
    </w:p>
    <w:p w14:paraId="3DD8D8B8" w14:textId="77777777" w:rsidR="00EA4D01" w:rsidRPr="009250D5" w:rsidRDefault="00EA4D01" w:rsidP="005569FD">
      <w:pPr>
        <w:spacing w:before="500"/>
        <w:rPr>
          <w:b/>
          <w:i/>
        </w:rPr>
      </w:pPr>
      <w:r w:rsidRPr="009250D5">
        <w:rPr>
          <w:b/>
          <w:i/>
        </w:rPr>
        <w:t>Population two</w:t>
      </w:r>
    </w:p>
    <w:p w14:paraId="42FED6BF" w14:textId="77777777" w:rsidR="00EA4D01" w:rsidRDefault="00EA4D01" w:rsidP="00EA4D01">
      <w:r>
        <w:t xml:space="preserve">Studies on surgical resection are only applicable in population two, patients with oligometastatic disease in the lung. Given the heterogeneity of primary cancers in studies of MTA and RFA studies of surgical resection were sought across a range of primary cancers as shown in the tables below. The literature on surgical resection for </w:t>
      </w:r>
      <w:r w:rsidR="00CA6DFD">
        <w:t>oligometastatic</w:t>
      </w:r>
      <w:r>
        <w:t xml:space="preserve"> disease is </w:t>
      </w:r>
      <w:r w:rsidR="00FB5F4A">
        <w:t>voluminous</w:t>
      </w:r>
      <w:r>
        <w:t xml:space="preserve"> and it is </w:t>
      </w:r>
      <w:r w:rsidR="00824661">
        <w:t>neither informative nor</w:t>
      </w:r>
      <w:r>
        <w:t xml:space="preserve"> feasible to include all studies of surgical resection in this population. The evidence for this intervention is comprised entirely of </w:t>
      </w:r>
      <w:r w:rsidR="00CE470F">
        <w:t>L</w:t>
      </w:r>
      <w:r>
        <w:t xml:space="preserve">evel IV studies and as pointed out by other authors there is little to be gained by continuing to compile and report on further uncontrolled studies. </w:t>
      </w:r>
      <w:r w:rsidR="00824661">
        <w:t xml:space="preserve">Therefore, the approach to providing an overview of potential outcomes expected in this group has been based on the selection of systematic reviews supplemented by large, recent case series data. </w:t>
      </w:r>
    </w:p>
    <w:p w14:paraId="4581374D" w14:textId="77777777" w:rsidR="007F70F3" w:rsidRPr="005438D9" w:rsidRDefault="00824661" w:rsidP="00824661">
      <w:r>
        <w:t xml:space="preserve">Overall the studies include patients that are broadly representative of the population under assessment in that they conform to the general consensus on what constitutes oligometastatic </w:t>
      </w:r>
      <w:r w:rsidRPr="005438D9">
        <w:t xml:space="preserve">disease. </w:t>
      </w:r>
    </w:p>
    <w:p w14:paraId="09335D9E" w14:textId="77777777" w:rsidR="00EA4D01" w:rsidRDefault="00EA4D01" w:rsidP="00EA4D01">
      <w:pPr>
        <w:pStyle w:val="Caption"/>
        <w:keepNext/>
      </w:pPr>
      <w:bookmarkStart w:id="265" w:name="_Ref457395383"/>
      <w:bookmarkStart w:id="266" w:name="_Toc460514697"/>
      <w:r w:rsidRPr="005438D9">
        <w:t xml:space="preserve">Table </w:t>
      </w:r>
      <w:fldSimple w:instr=" SEQ Table \* ARABIC ">
        <w:r w:rsidR="00D170A5">
          <w:rPr>
            <w:noProof/>
          </w:rPr>
          <w:t>39</w:t>
        </w:r>
      </w:fldSimple>
      <w:bookmarkEnd w:id="265"/>
      <w:r>
        <w:tab/>
      </w:r>
      <w:r w:rsidR="000A2FA5">
        <w:t>C</w:t>
      </w:r>
      <w:r>
        <w:t>haracteristics of the included evidence for surgical resection, systematic reviews</w:t>
      </w:r>
      <w:bookmarkEnd w:id="266"/>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158"/>
        <w:gridCol w:w="844"/>
        <w:gridCol w:w="1409"/>
        <w:gridCol w:w="750"/>
        <w:gridCol w:w="2544"/>
        <w:gridCol w:w="1271"/>
        <w:gridCol w:w="1079"/>
      </w:tblGrid>
      <w:tr w:rsidR="00EA4D01" w:rsidRPr="007F70F3" w14:paraId="5B114C60" w14:textId="77777777" w:rsidTr="009250D5">
        <w:tc>
          <w:tcPr>
            <w:tcW w:w="639" w:type="pct"/>
            <w:shd w:val="clear" w:color="auto" w:fill="D9D9D9" w:themeFill="background1" w:themeFillShade="D9"/>
            <w:vAlign w:val="bottom"/>
          </w:tcPr>
          <w:p w14:paraId="129B254F" w14:textId="77777777" w:rsidR="00EA4D01" w:rsidRPr="007F70F3" w:rsidRDefault="00EA4D01" w:rsidP="009250D5">
            <w:pPr>
              <w:pStyle w:val="Tabletext1"/>
              <w:rPr>
                <w:b/>
                <w:snapToGrid w:val="0"/>
                <w:lang w:eastAsia="en-US"/>
              </w:rPr>
            </w:pPr>
            <w:r w:rsidRPr="007F70F3">
              <w:rPr>
                <w:b/>
                <w:snapToGrid w:val="0"/>
                <w:lang w:eastAsia="en-US"/>
              </w:rPr>
              <w:t>Study</w:t>
            </w:r>
          </w:p>
        </w:tc>
        <w:tc>
          <w:tcPr>
            <w:tcW w:w="466" w:type="pct"/>
            <w:shd w:val="clear" w:color="auto" w:fill="D9D9D9" w:themeFill="background1" w:themeFillShade="D9"/>
            <w:vAlign w:val="bottom"/>
          </w:tcPr>
          <w:p w14:paraId="64F2EFEF" w14:textId="02047015" w:rsidR="00EA4D01" w:rsidRDefault="00EA4D01" w:rsidP="005569FD">
            <w:pPr>
              <w:pStyle w:val="Tabletext1"/>
              <w:rPr>
                <w:b/>
                <w:snapToGrid w:val="0"/>
                <w:lang w:eastAsia="en-US"/>
              </w:rPr>
            </w:pPr>
            <w:r>
              <w:rPr>
                <w:b/>
                <w:snapToGrid w:val="0"/>
                <w:lang w:eastAsia="en-US"/>
              </w:rPr>
              <w:t>N</w:t>
            </w:r>
          </w:p>
          <w:p w14:paraId="56EB926B" w14:textId="77777777" w:rsidR="00EA4D01" w:rsidRPr="007F70F3" w:rsidRDefault="00EA4D01" w:rsidP="005569FD">
            <w:pPr>
              <w:pStyle w:val="Tabletext1"/>
              <w:rPr>
                <w:b/>
                <w:snapToGrid w:val="0"/>
                <w:lang w:eastAsia="en-US"/>
              </w:rPr>
            </w:pPr>
            <w:r>
              <w:rPr>
                <w:b/>
                <w:snapToGrid w:val="0"/>
                <w:lang w:eastAsia="en-US"/>
              </w:rPr>
              <w:t>studies</w:t>
            </w:r>
          </w:p>
        </w:tc>
        <w:tc>
          <w:tcPr>
            <w:tcW w:w="778" w:type="pct"/>
            <w:shd w:val="clear" w:color="auto" w:fill="D9D9D9" w:themeFill="background1" w:themeFillShade="D9"/>
            <w:vAlign w:val="bottom"/>
          </w:tcPr>
          <w:p w14:paraId="265CF09C" w14:textId="77777777" w:rsidR="00EA4D01" w:rsidRPr="007F70F3" w:rsidRDefault="00EA4D01" w:rsidP="005569FD">
            <w:pPr>
              <w:pStyle w:val="Tabletext1"/>
              <w:rPr>
                <w:b/>
                <w:snapToGrid w:val="0"/>
                <w:lang w:eastAsia="en-US"/>
              </w:rPr>
            </w:pPr>
            <w:r w:rsidRPr="007F70F3">
              <w:rPr>
                <w:b/>
                <w:snapToGrid w:val="0"/>
                <w:lang w:eastAsia="en-US"/>
              </w:rPr>
              <w:t>Design;</w:t>
            </w:r>
          </w:p>
          <w:p w14:paraId="56874D10" w14:textId="77777777" w:rsidR="00EA4D01" w:rsidRPr="007F70F3" w:rsidRDefault="00EA4D01" w:rsidP="005569FD">
            <w:pPr>
              <w:pStyle w:val="Tabletext1"/>
              <w:rPr>
                <w:b/>
                <w:snapToGrid w:val="0"/>
                <w:vertAlign w:val="superscript"/>
                <w:lang w:eastAsia="en-US"/>
              </w:rPr>
            </w:pPr>
            <w:r w:rsidRPr="007F70F3">
              <w:rPr>
                <w:b/>
                <w:snapToGrid w:val="0"/>
                <w:lang w:eastAsia="en-US"/>
              </w:rPr>
              <w:t>Follow up duration (range)</w:t>
            </w:r>
          </w:p>
        </w:tc>
        <w:tc>
          <w:tcPr>
            <w:tcW w:w="414" w:type="pct"/>
            <w:tcBorders>
              <w:bottom w:val="single" w:sz="4" w:space="0" w:color="auto"/>
            </w:tcBorders>
            <w:shd w:val="clear" w:color="auto" w:fill="D9D9D9" w:themeFill="background1" w:themeFillShade="D9"/>
            <w:vAlign w:val="bottom"/>
          </w:tcPr>
          <w:p w14:paraId="1FA44817" w14:textId="77777777" w:rsidR="00EA4D01" w:rsidRPr="007F70F3" w:rsidRDefault="00EA4D01" w:rsidP="005569FD">
            <w:pPr>
              <w:pStyle w:val="Tabletext1"/>
              <w:rPr>
                <w:b/>
                <w:snapToGrid w:val="0"/>
                <w:lang w:eastAsia="en-US"/>
              </w:rPr>
            </w:pPr>
            <w:r w:rsidRPr="007F70F3">
              <w:rPr>
                <w:b/>
                <w:snapToGrid w:val="0"/>
                <w:lang w:eastAsia="en-US"/>
              </w:rPr>
              <w:t>Risk of bias</w:t>
            </w:r>
          </w:p>
        </w:tc>
        <w:tc>
          <w:tcPr>
            <w:tcW w:w="1405" w:type="pct"/>
            <w:tcBorders>
              <w:bottom w:val="single" w:sz="4" w:space="0" w:color="auto"/>
            </w:tcBorders>
            <w:shd w:val="clear" w:color="auto" w:fill="D9D9D9" w:themeFill="background1" w:themeFillShade="D9"/>
            <w:vAlign w:val="bottom"/>
          </w:tcPr>
          <w:p w14:paraId="2FDA8879" w14:textId="11BD9F44" w:rsidR="00EA4D01" w:rsidRPr="007F70F3" w:rsidRDefault="00EA4D01" w:rsidP="005569FD">
            <w:pPr>
              <w:pStyle w:val="Tabletext1"/>
              <w:rPr>
                <w:b/>
                <w:snapToGrid w:val="0"/>
                <w:lang w:eastAsia="en-US"/>
              </w:rPr>
            </w:pPr>
            <w:r>
              <w:rPr>
                <w:b/>
                <w:snapToGrid w:val="0"/>
                <w:lang w:eastAsia="en-US"/>
              </w:rPr>
              <w:t>Results</w:t>
            </w:r>
          </w:p>
        </w:tc>
        <w:tc>
          <w:tcPr>
            <w:tcW w:w="702" w:type="pct"/>
            <w:tcBorders>
              <w:bottom w:val="single" w:sz="4" w:space="0" w:color="auto"/>
            </w:tcBorders>
            <w:shd w:val="clear" w:color="auto" w:fill="D9D9D9" w:themeFill="background1" w:themeFillShade="D9"/>
            <w:vAlign w:val="bottom"/>
          </w:tcPr>
          <w:p w14:paraId="6DB258B4" w14:textId="77777777" w:rsidR="00EA4D01" w:rsidRPr="007F70F3" w:rsidRDefault="00EA4D01" w:rsidP="005569FD">
            <w:pPr>
              <w:pStyle w:val="Tabletext1"/>
              <w:rPr>
                <w:b/>
                <w:snapToGrid w:val="0"/>
                <w:lang w:eastAsia="en-US"/>
              </w:rPr>
            </w:pPr>
            <w:r w:rsidRPr="007F70F3">
              <w:rPr>
                <w:b/>
                <w:snapToGrid w:val="0"/>
                <w:lang w:eastAsia="en-US"/>
              </w:rPr>
              <w:t>Key outcome(s)</w:t>
            </w:r>
          </w:p>
        </w:tc>
        <w:tc>
          <w:tcPr>
            <w:tcW w:w="596" w:type="pct"/>
            <w:shd w:val="clear" w:color="auto" w:fill="D9D9D9" w:themeFill="background1" w:themeFillShade="D9"/>
            <w:vAlign w:val="bottom"/>
          </w:tcPr>
          <w:p w14:paraId="6E01EDEB" w14:textId="77777777" w:rsidR="00EA4D01" w:rsidRPr="007F70F3" w:rsidRDefault="00EA4D01" w:rsidP="005569FD">
            <w:pPr>
              <w:pStyle w:val="Tabletext1"/>
              <w:rPr>
                <w:b/>
                <w:snapToGrid w:val="0"/>
                <w:lang w:eastAsia="en-US"/>
              </w:rPr>
            </w:pPr>
            <w:r w:rsidRPr="007F70F3">
              <w:rPr>
                <w:b/>
                <w:snapToGrid w:val="0"/>
                <w:lang w:eastAsia="en-US"/>
              </w:rPr>
              <w:t>Result used in economic model</w:t>
            </w:r>
          </w:p>
        </w:tc>
      </w:tr>
      <w:tr w:rsidR="00EA4D01" w:rsidRPr="007F70F3" w14:paraId="15AF2247" w14:textId="77777777" w:rsidTr="009250D5">
        <w:tc>
          <w:tcPr>
            <w:tcW w:w="639" w:type="pct"/>
            <w:shd w:val="clear" w:color="auto" w:fill="auto"/>
          </w:tcPr>
          <w:p w14:paraId="41ABF064" w14:textId="77777777" w:rsidR="00EA4D01" w:rsidRDefault="00EA4D01" w:rsidP="009250D5">
            <w:pPr>
              <w:pStyle w:val="Tabletext1"/>
              <w:rPr>
                <w:snapToGrid w:val="0"/>
                <w:lang w:eastAsia="en-US"/>
              </w:rPr>
            </w:pPr>
            <w:r w:rsidRPr="00EA4D01">
              <w:rPr>
                <w:snapToGrid w:val="0"/>
                <w:lang w:eastAsia="en-US"/>
              </w:rPr>
              <w:t>Pfannschmidt et al 2007</w:t>
            </w:r>
          </w:p>
        </w:tc>
        <w:tc>
          <w:tcPr>
            <w:tcW w:w="466" w:type="pct"/>
            <w:shd w:val="clear" w:color="auto" w:fill="auto"/>
          </w:tcPr>
          <w:p w14:paraId="7C320D48" w14:textId="77777777" w:rsidR="00EA4D01" w:rsidRDefault="00EA4D01" w:rsidP="005569FD">
            <w:pPr>
              <w:pStyle w:val="Tabletext1"/>
              <w:rPr>
                <w:snapToGrid w:val="0"/>
                <w:lang w:eastAsia="en-US"/>
              </w:rPr>
            </w:pPr>
            <w:r>
              <w:rPr>
                <w:snapToGrid w:val="0"/>
                <w:lang w:eastAsia="en-US"/>
              </w:rPr>
              <w:t>2,320</w:t>
            </w:r>
          </w:p>
          <w:p w14:paraId="27348502" w14:textId="77777777" w:rsidR="00EA4D01" w:rsidRDefault="006B33E4" w:rsidP="005569FD">
            <w:pPr>
              <w:pStyle w:val="Tabletext1"/>
              <w:rPr>
                <w:snapToGrid w:val="0"/>
                <w:lang w:eastAsia="en-US"/>
              </w:rPr>
            </w:pPr>
            <w:r>
              <w:rPr>
                <w:snapToGrid w:val="0"/>
                <w:lang w:eastAsia="en-US"/>
              </w:rPr>
              <w:t>k</w:t>
            </w:r>
            <w:r w:rsidR="001104D0">
              <w:rPr>
                <w:snapToGrid w:val="0"/>
                <w:lang w:eastAsia="en-US"/>
              </w:rPr>
              <w:t xml:space="preserve"> </w:t>
            </w:r>
            <w:r w:rsidR="00EA4D01">
              <w:rPr>
                <w:snapToGrid w:val="0"/>
                <w:lang w:eastAsia="en-US"/>
              </w:rPr>
              <w:t>=</w:t>
            </w:r>
            <w:r w:rsidR="001104D0">
              <w:rPr>
                <w:snapToGrid w:val="0"/>
                <w:lang w:eastAsia="en-US"/>
              </w:rPr>
              <w:t xml:space="preserve"> </w:t>
            </w:r>
            <w:r w:rsidR="00EA4D01">
              <w:rPr>
                <w:snapToGrid w:val="0"/>
                <w:lang w:eastAsia="en-US"/>
              </w:rPr>
              <w:t>20</w:t>
            </w:r>
          </w:p>
        </w:tc>
        <w:tc>
          <w:tcPr>
            <w:tcW w:w="778" w:type="pct"/>
            <w:tcBorders>
              <w:right w:val="single" w:sz="4" w:space="0" w:color="auto"/>
            </w:tcBorders>
            <w:shd w:val="clear" w:color="auto" w:fill="auto"/>
          </w:tcPr>
          <w:p w14:paraId="24DF6F53" w14:textId="77777777" w:rsidR="00EA4D01" w:rsidRPr="007F70F3" w:rsidRDefault="00EA4D01" w:rsidP="005569FD">
            <w:pPr>
              <w:pStyle w:val="Tabletext1"/>
              <w:rPr>
                <w:snapToGrid w:val="0"/>
                <w:lang w:eastAsia="en-US"/>
              </w:rPr>
            </w:pPr>
            <w:r w:rsidRPr="007F70F3">
              <w:rPr>
                <w:snapToGrid w:val="0"/>
                <w:lang w:eastAsia="en-US"/>
              </w:rPr>
              <w:t>Systematic review of CS</w:t>
            </w:r>
          </w:p>
        </w:tc>
        <w:tc>
          <w:tcPr>
            <w:tcW w:w="414" w:type="pct"/>
            <w:tcBorders>
              <w:left w:val="single" w:sz="4" w:space="0" w:color="auto"/>
              <w:right w:val="single" w:sz="4" w:space="0" w:color="auto"/>
            </w:tcBorders>
            <w:shd w:val="clear" w:color="auto" w:fill="auto"/>
          </w:tcPr>
          <w:p w14:paraId="2ABE9593" w14:textId="77777777" w:rsidR="00EA4D01" w:rsidRPr="007F70F3" w:rsidRDefault="00EA4D01" w:rsidP="005569FD">
            <w:pPr>
              <w:pStyle w:val="Tabletext1"/>
              <w:rPr>
                <w:snapToGrid w:val="0"/>
                <w:lang w:eastAsia="en-US"/>
              </w:rPr>
            </w:pPr>
            <w:r>
              <w:rPr>
                <w:snapToGrid w:val="0"/>
                <w:lang w:eastAsia="en-US"/>
              </w:rPr>
              <w:t>High</w:t>
            </w:r>
          </w:p>
        </w:tc>
        <w:tc>
          <w:tcPr>
            <w:tcW w:w="1405" w:type="pct"/>
            <w:tcBorders>
              <w:left w:val="single" w:sz="4" w:space="0" w:color="auto"/>
              <w:right w:val="single" w:sz="4" w:space="0" w:color="auto"/>
            </w:tcBorders>
            <w:shd w:val="clear" w:color="auto" w:fill="auto"/>
          </w:tcPr>
          <w:p w14:paraId="6C7CFABF" w14:textId="77777777" w:rsidR="00EA4D01" w:rsidRDefault="00EA4D01" w:rsidP="005569FD">
            <w:pPr>
              <w:pStyle w:val="Tabletext1"/>
              <w:rPr>
                <w:snapToGrid w:val="0"/>
                <w:lang w:eastAsia="en-US"/>
              </w:rPr>
            </w:pPr>
            <w:r w:rsidRPr="00EA4D01">
              <w:rPr>
                <w:snapToGrid w:val="0"/>
                <w:lang w:eastAsia="en-US"/>
              </w:rPr>
              <w:t>Narrative analysis with descriptive statistics</w:t>
            </w:r>
          </w:p>
        </w:tc>
        <w:tc>
          <w:tcPr>
            <w:tcW w:w="702" w:type="pct"/>
            <w:tcBorders>
              <w:left w:val="single" w:sz="4" w:space="0" w:color="auto"/>
            </w:tcBorders>
            <w:shd w:val="clear" w:color="auto" w:fill="auto"/>
          </w:tcPr>
          <w:p w14:paraId="11AC6322" w14:textId="77777777" w:rsidR="00EA4D01" w:rsidRPr="007F70F3" w:rsidRDefault="00EA4D01" w:rsidP="005569FD">
            <w:pPr>
              <w:pStyle w:val="Tabletext1"/>
              <w:rPr>
                <w:snapToGrid w:val="0"/>
                <w:lang w:eastAsia="en-US"/>
              </w:rPr>
            </w:pPr>
            <w:r w:rsidRPr="007F70F3">
              <w:rPr>
                <w:snapToGrid w:val="0"/>
                <w:lang w:eastAsia="en-US"/>
              </w:rPr>
              <w:t>Overall survival</w:t>
            </w:r>
            <w:r w:rsidR="00BC1C64">
              <w:rPr>
                <w:snapToGrid w:val="0"/>
                <w:lang w:eastAsia="en-US"/>
              </w:rPr>
              <w:t xml:space="preserve"> </w:t>
            </w:r>
            <w:r>
              <w:rPr>
                <w:snapToGrid w:val="0"/>
                <w:lang w:eastAsia="en-US"/>
              </w:rPr>
              <w:t>with analysis of prognostic factors</w:t>
            </w:r>
          </w:p>
        </w:tc>
        <w:tc>
          <w:tcPr>
            <w:tcW w:w="596" w:type="pct"/>
            <w:shd w:val="clear" w:color="auto" w:fill="auto"/>
          </w:tcPr>
          <w:p w14:paraId="1D63B8A4" w14:textId="77777777" w:rsidR="00EA4D01" w:rsidRPr="007F70F3" w:rsidRDefault="00EA4D01" w:rsidP="005569FD">
            <w:pPr>
              <w:pStyle w:val="Tabletext1"/>
              <w:rPr>
                <w:snapToGrid w:val="0"/>
                <w:lang w:eastAsia="en-US"/>
              </w:rPr>
            </w:pPr>
            <w:r>
              <w:rPr>
                <w:snapToGrid w:val="0"/>
                <w:lang w:eastAsia="en-US"/>
              </w:rPr>
              <w:t>Not used</w:t>
            </w:r>
          </w:p>
        </w:tc>
      </w:tr>
      <w:tr w:rsidR="00EA4D01" w:rsidRPr="007F70F3" w14:paraId="031626F5" w14:textId="77777777" w:rsidTr="009250D5">
        <w:tc>
          <w:tcPr>
            <w:tcW w:w="639" w:type="pct"/>
            <w:tcBorders>
              <w:bottom w:val="single" w:sz="4" w:space="0" w:color="auto"/>
            </w:tcBorders>
            <w:shd w:val="clear" w:color="auto" w:fill="auto"/>
          </w:tcPr>
          <w:p w14:paraId="7AC2C832" w14:textId="77777777" w:rsidR="00EA4D01" w:rsidRPr="007F70F3" w:rsidRDefault="00EA4D01" w:rsidP="009250D5">
            <w:pPr>
              <w:pStyle w:val="Tabletext1"/>
              <w:rPr>
                <w:snapToGrid w:val="0"/>
                <w:lang w:eastAsia="en-US"/>
              </w:rPr>
            </w:pPr>
            <w:r>
              <w:rPr>
                <w:snapToGrid w:val="0"/>
                <w:lang w:eastAsia="en-US"/>
              </w:rPr>
              <w:t>Young et al 2015</w:t>
            </w:r>
          </w:p>
        </w:tc>
        <w:tc>
          <w:tcPr>
            <w:tcW w:w="466" w:type="pct"/>
            <w:tcBorders>
              <w:bottom w:val="single" w:sz="4" w:space="0" w:color="auto"/>
            </w:tcBorders>
            <w:shd w:val="clear" w:color="auto" w:fill="auto"/>
          </w:tcPr>
          <w:p w14:paraId="1D870E2B" w14:textId="77777777" w:rsidR="00EA4D01" w:rsidRDefault="00EA4D01" w:rsidP="005569FD">
            <w:pPr>
              <w:pStyle w:val="Tabletext1"/>
              <w:rPr>
                <w:snapToGrid w:val="0"/>
                <w:lang w:eastAsia="en-US"/>
              </w:rPr>
            </w:pPr>
            <w:r>
              <w:rPr>
                <w:snapToGrid w:val="0"/>
                <w:lang w:eastAsia="en-US"/>
              </w:rPr>
              <w:t>403</w:t>
            </w:r>
          </w:p>
          <w:p w14:paraId="61373F97" w14:textId="77777777" w:rsidR="00EA4D01" w:rsidRPr="007F70F3" w:rsidRDefault="006B33E4" w:rsidP="005569FD">
            <w:pPr>
              <w:pStyle w:val="Tabletext1"/>
              <w:rPr>
                <w:snapToGrid w:val="0"/>
                <w:highlight w:val="cyan"/>
                <w:lang w:eastAsia="en-US"/>
              </w:rPr>
            </w:pPr>
            <w:r>
              <w:rPr>
                <w:snapToGrid w:val="0"/>
                <w:lang w:eastAsia="en-US"/>
              </w:rPr>
              <w:t>k</w:t>
            </w:r>
            <w:r w:rsidR="001104D0">
              <w:rPr>
                <w:snapToGrid w:val="0"/>
                <w:lang w:eastAsia="en-US"/>
              </w:rPr>
              <w:t xml:space="preserve"> </w:t>
            </w:r>
            <w:r w:rsidR="00EA4D01">
              <w:rPr>
                <w:snapToGrid w:val="0"/>
                <w:lang w:eastAsia="en-US"/>
              </w:rPr>
              <w:t>=</w:t>
            </w:r>
            <w:r w:rsidR="001104D0">
              <w:rPr>
                <w:snapToGrid w:val="0"/>
                <w:lang w:eastAsia="en-US"/>
              </w:rPr>
              <w:t xml:space="preserve"> </w:t>
            </w:r>
            <w:r w:rsidR="00EA4D01">
              <w:rPr>
                <w:snapToGrid w:val="0"/>
                <w:lang w:eastAsia="en-US"/>
              </w:rPr>
              <w:t>13</w:t>
            </w:r>
          </w:p>
        </w:tc>
        <w:tc>
          <w:tcPr>
            <w:tcW w:w="778" w:type="pct"/>
            <w:tcBorders>
              <w:bottom w:val="single" w:sz="4" w:space="0" w:color="auto"/>
              <w:right w:val="single" w:sz="4" w:space="0" w:color="auto"/>
            </w:tcBorders>
            <w:shd w:val="clear" w:color="auto" w:fill="auto"/>
          </w:tcPr>
          <w:p w14:paraId="1F8F77FF" w14:textId="77777777" w:rsidR="00EA4D01" w:rsidRPr="007F70F3" w:rsidRDefault="00EA4D01" w:rsidP="005569FD">
            <w:pPr>
              <w:pStyle w:val="Tabletext1"/>
              <w:rPr>
                <w:snapToGrid w:val="0"/>
                <w:lang w:eastAsia="en-US"/>
              </w:rPr>
            </w:pPr>
            <w:r w:rsidRPr="007F70F3">
              <w:rPr>
                <w:snapToGrid w:val="0"/>
                <w:lang w:eastAsia="en-US"/>
              </w:rPr>
              <w:t>Systematic review of CS</w:t>
            </w:r>
          </w:p>
        </w:tc>
        <w:tc>
          <w:tcPr>
            <w:tcW w:w="414" w:type="pct"/>
            <w:tcBorders>
              <w:left w:val="single" w:sz="4" w:space="0" w:color="auto"/>
              <w:bottom w:val="single" w:sz="4" w:space="0" w:color="auto"/>
              <w:right w:val="single" w:sz="4" w:space="0" w:color="auto"/>
            </w:tcBorders>
            <w:shd w:val="clear" w:color="auto" w:fill="auto"/>
          </w:tcPr>
          <w:p w14:paraId="5DFB39F1" w14:textId="77777777" w:rsidR="00EA4D01" w:rsidRPr="007F70F3" w:rsidRDefault="00EA4D01" w:rsidP="005569FD">
            <w:pPr>
              <w:pStyle w:val="Tabletext1"/>
              <w:rPr>
                <w:snapToGrid w:val="0"/>
                <w:lang w:eastAsia="en-US"/>
              </w:rPr>
            </w:pPr>
            <w:r w:rsidRPr="007F70F3">
              <w:rPr>
                <w:snapToGrid w:val="0"/>
                <w:lang w:eastAsia="en-US"/>
              </w:rPr>
              <w:t>Moderate</w:t>
            </w:r>
          </w:p>
        </w:tc>
        <w:tc>
          <w:tcPr>
            <w:tcW w:w="1405" w:type="pct"/>
            <w:tcBorders>
              <w:left w:val="single" w:sz="4" w:space="0" w:color="auto"/>
              <w:bottom w:val="single" w:sz="4" w:space="0" w:color="auto"/>
              <w:right w:val="single" w:sz="4" w:space="0" w:color="auto"/>
            </w:tcBorders>
            <w:shd w:val="clear" w:color="auto" w:fill="auto"/>
          </w:tcPr>
          <w:p w14:paraId="09EAB742" w14:textId="77777777" w:rsidR="00EA4D01" w:rsidRPr="007F70F3" w:rsidRDefault="00EA4D01" w:rsidP="005569FD">
            <w:pPr>
              <w:pStyle w:val="Tabletext1"/>
              <w:rPr>
                <w:snapToGrid w:val="0"/>
                <w:lang w:eastAsia="en-US"/>
              </w:rPr>
            </w:pPr>
            <w:r>
              <w:rPr>
                <w:snapToGrid w:val="0"/>
                <w:lang w:eastAsia="en-US"/>
              </w:rPr>
              <w:t>Meta-analysis of 5-year overall survival</w:t>
            </w:r>
          </w:p>
        </w:tc>
        <w:tc>
          <w:tcPr>
            <w:tcW w:w="702" w:type="pct"/>
            <w:tcBorders>
              <w:left w:val="single" w:sz="4" w:space="0" w:color="auto"/>
              <w:bottom w:val="single" w:sz="4" w:space="0" w:color="auto"/>
            </w:tcBorders>
            <w:shd w:val="clear" w:color="auto" w:fill="auto"/>
          </w:tcPr>
          <w:p w14:paraId="0C851740" w14:textId="77777777" w:rsidR="00EA4D01" w:rsidRPr="007F70F3" w:rsidRDefault="00EA4D01" w:rsidP="005569FD">
            <w:pPr>
              <w:pStyle w:val="Tabletext1"/>
              <w:rPr>
                <w:snapToGrid w:val="0"/>
                <w:lang w:eastAsia="en-US"/>
              </w:rPr>
            </w:pPr>
            <w:r w:rsidRPr="007F70F3">
              <w:rPr>
                <w:snapToGrid w:val="0"/>
                <w:lang w:eastAsia="en-US"/>
              </w:rPr>
              <w:t>Overall survival</w:t>
            </w:r>
            <w:r w:rsidR="00BC1C64">
              <w:rPr>
                <w:snapToGrid w:val="0"/>
                <w:lang w:eastAsia="en-US"/>
              </w:rPr>
              <w:t xml:space="preserve"> </w:t>
            </w:r>
            <w:r>
              <w:rPr>
                <w:snapToGrid w:val="0"/>
                <w:lang w:eastAsia="en-US"/>
              </w:rPr>
              <w:t>with analysis of prognostic factors</w:t>
            </w:r>
          </w:p>
        </w:tc>
        <w:tc>
          <w:tcPr>
            <w:tcW w:w="596" w:type="pct"/>
            <w:tcBorders>
              <w:bottom w:val="single" w:sz="4" w:space="0" w:color="auto"/>
            </w:tcBorders>
            <w:shd w:val="clear" w:color="auto" w:fill="auto"/>
          </w:tcPr>
          <w:p w14:paraId="68D9B589" w14:textId="77777777" w:rsidR="00EA4D01" w:rsidRPr="007F70F3" w:rsidRDefault="00EA4D01" w:rsidP="005569FD">
            <w:pPr>
              <w:pStyle w:val="Tabletext1"/>
              <w:rPr>
                <w:snapToGrid w:val="0"/>
                <w:lang w:eastAsia="en-US"/>
              </w:rPr>
            </w:pPr>
            <w:r w:rsidRPr="007F70F3">
              <w:rPr>
                <w:snapToGrid w:val="0"/>
                <w:lang w:eastAsia="en-US"/>
              </w:rPr>
              <w:t>Not used</w:t>
            </w:r>
          </w:p>
        </w:tc>
      </w:tr>
      <w:tr w:rsidR="0099224F" w:rsidRPr="007F70F3" w14:paraId="46840B67" w14:textId="77777777" w:rsidTr="009250D5">
        <w:tc>
          <w:tcPr>
            <w:tcW w:w="5000" w:type="pct"/>
            <w:gridSpan w:val="7"/>
            <w:tcBorders>
              <w:top w:val="single" w:sz="4" w:space="0" w:color="auto"/>
              <w:left w:val="nil"/>
              <w:bottom w:val="nil"/>
              <w:right w:val="nil"/>
            </w:tcBorders>
            <w:shd w:val="clear" w:color="auto" w:fill="auto"/>
          </w:tcPr>
          <w:p w14:paraId="03E144D9" w14:textId="626DDD9B" w:rsidR="0099224F" w:rsidRPr="007F70F3" w:rsidRDefault="009250D5" w:rsidP="005569FD">
            <w:pPr>
              <w:pStyle w:val="Tablenotes0"/>
            </w:pPr>
            <w:r>
              <w:t xml:space="preserve">&lt; </w:t>
            </w:r>
            <w:r w:rsidR="0099224F">
              <w:t>CS = case series; k</w:t>
            </w:r>
            <w:r w:rsidR="00C10752">
              <w:t xml:space="preserve"> </w:t>
            </w:r>
            <w:r>
              <w:t>= number of studies &gt;</w:t>
            </w:r>
          </w:p>
          <w:p w14:paraId="741AE304" w14:textId="77777777" w:rsidR="0099224F" w:rsidRPr="007F70F3" w:rsidRDefault="0099224F" w:rsidP="005569FD">
            <w:pPr>
              <w:pStyle w:val="Tabletext1"/>
              <w:rPr>
                <w:snapToGrid w:val="0"/>
                <w:lang w:eastAsia="en-US"/>
              </w:rPr>
            </w:pPr>
          </w:p>
        </w:tc>
      </w:tr>
    </w:tbl>
    <w:p w14:paraId="52B63BD1" w14:textId="77777777" w:rsidR="009C7518" w:rsidRDefault="009C7518" w:rsidP="009C7518">
      <w:pPr>
        <w:pStyle w:val="Caption"/>
        <w:keepNext/>
      </w:pPr>
      <w:bookmarkStart w:id="267" w:name="_Ref457401943"/>
      <w:bookmarkStart w:id="268" w:name="_Toc460514698"/>
      <w:r>
        <w:lastRenderedPageBreak/>
        <w:t xml:space="preserve">Table </w:t>
      </w:r>
      <w:fldSimple w:instr=" SEQ Table \* ARABIC ">
        <w:r w:rsidR="00D170A5">
          <w:rPr>
            <w:noProof/>
          </w:rPr>
          <w:t>40</w:t>
        </w:r>
      </w:fldSimple>
      <w:bookmarkEnd w:id="267"/>
      <w:r>
        <w:tab/>
        <w:t>Characteristics of the included case series evidence for surgical resection</w:t>
      </w:r>
      <w:bookmarkEnd w:id="268"/>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006"/>
        <w:gridCol w:w="1007"/>
        <w:gridCol w:w="1108"/>
        <w:gridCol w:w="1042"/>
        <w:gridCol w:w="1924"/>
        <w:gridCol w:w="1924"/>
        <w:gridCol w:w="1044"/>
      </w:tblGrid>
      <w:tr w:rsidR="009C7764" w:rsidRPr="00183E4D" w14:paraId="105AE37F" w14:textId="77777777" w:rsidTr="001D4835">
        <w:tc>
          <w:tcPr>
            <w:tcW w:w="1006" w:type="dxa"/>
            <w:shd w:val="clear" w:color="auto" w:fill="D9D9D9" w:themeFill="background1" w:themeFillShade="D9"/>
            <w:vAlign w:val="bottom"/>
          </w:tcPr>
          <w:p w14:paraId="3421B31E" w14:textId="77777777" w:rsidR="009C7764" w:rsidRPr="00183E4D" w:rsidRDefault="009C7764" w:rsidP="001D4835">
            <w:pPr>
              <w:pStyle w:val="TableHeading"/>
              <w:jc w:val="left"/>
              <w:rPr>
                <w:snapToGrid w:val="0"/>
                <w:lang w:eastAsia="en-US"/>
              </w:rPr>
            </w:pPr>
            <w:r w:rsidRPr="00183E4D">
              <w:rPr>
                <w:snapToGrid w:val="0"/>
                <w:lang w:eastAsia="en-US"/>
              </w:rPr>
              <w:t>Trial/Study</w:t>
            </w:r>
          </w:p>
        </w:tc>
        <w:tc>
          <w:tcPr>
            <w:tcW w:w="1007" w:type="dxa"/>
            <w:shd w:val="clear" w:color="auto" w:fill="D9D9D9" w:themeFill="background1" w:themeFillShade="D9"/>
            <w:vAlign w:val="bottom"/>
          </w:tcPr>
          <w:p w14:paraId="0BE158D9" w14:textId="77777777" w:rsidR="009C7764" w:rsidRPr="0078274D" w:rsidRDefault="009C7764" w:rsidP="00276A5D">
            <w:pPr>
              <w:pStyle w:val="TableHeading"/>
              <w:jc w:val="left"/>
              <w:rPr>
                <w:snapToGrid w:val="0"/>
                <w:lang w:eastAsia="en-US"/>
              </w:rPr>
            </w:pPr>
            <w:r w:rsidRPr="00183E4D">
              <w:rPr>
                <w:snapToGrid w:val="0"/>
                <w:lang w:eastAsia="en-US"/>
              </w:rPr>
              <w:t>N</w:t>
            </w:r>
            <w:r>
              <w:rPr>
                <w:snapToGrid w:val="0"/>
                <w:lang w:eastAsia="en-US"/>
              </w:rPr>
              <w:t xml:space="preserve"> (lesions)</w:t>
            </w:r>
          </w:p>
        </w:tc>
        <w:tc>
          <w:tcPr>
            <w:tcW w:w="1108" w:type="dxa"/>
            <w:shd w:val="clear" w:color="auto" w:fill="D9D9D9" w:themeFill="background1" w:themeFillShade="D9"/>
            <w:vAlign w:val="bottom"/>
          </w:tcPr>
          <w:p w14:paraId="5F1A333A" w14:textId="76A793DE" w:rsidR="009C7764" w:rsidRPr="008A6F37" w:rsidRDefault="009C7764" w:rsidP="00276A5D">
            <w:pPr>
              <w:pStyle w:val="TableHeading"/>
              <w:jc w:val="left"/>
              <w:rPr>
                <w:snapToGrid w:val="0"/>
                <w:vertAlign w:val="superscript"/>
                <w:lang w:eastAsia="en-US"/>
              </w:rPr>
            </w:pPr>
            <w:r w:rsidRPr="00183E4D">
              <w:rPr>
                <w:snapToGrid w:val="0"/>
                <w:lang w:eastAsia="en-US"/>
              </w:rPr>
              <w:t>Design/ duration</w:t>
            </w:r>
            <w:r w:rsidR="001D4835">
              <w:rPr>
                <w:snapToGrid w:val="0"/>
                <w:lang w:eastAsia="en-US"/>
              </w:rPr>
              <w:t xml:space="preserve"> </w:t>
            </w:r>
            <w:r>
              <w:rPr>
                <w:snapToGrid w:val="0"/>
                <w:vertAlign w:val="superscript"/>
                <w:lang w:eastAsia="en-US"/>
              </w:rPr>
              <w:t>a</w:t>
            </w:r>
          </w:p>
        </w:tc>
        <w:tc>
          <w:tcPr>
            <w:tcW w:w="1042" w:type="dxa"/>
            <w:shd w:val="clear" w:color="auto" w:fill="D9D9D9" w:themeFill="background1" w:themeFillShade="D9"/>
            <w:vAlign w:val="bottom"/>
          </w:tcPr>
          <w:p w14:paraId="0B2C3355" w14:textId="77777777" w:rsidR="009C7764" w:rsidRPr="00183E4D" w:rsidRDefault="009C7764" w:rsidP="00276A5D">
            <w:pPr>
              <w:pStyle w:val="TableHeading"/>
              <w:jc w:val="left"/>
              <w:rPr>
                <w:snapToGrid w:val="0"/>
                <w:lang w:eastAsia="en-US"/>
              </w:rPr>
            </w:pPr>
            <w:r w:rsidRPr="00183E4D">
              <w:rPr>
                <w:snapToGrid w:val="0"/>
                <w:lang w:eastAsia="en-US"/>
              </w:rPr>
              <w:t>Risk of bias</w:t>
            </w:r>
          </w:p>
        </w:tc>
        <w:tc>
          <w:tcPr>
            <w:tcW w:w="1924" w:type="dxa"/>
            <w:shd w:val="clear" w:color="auto" w:fill="D9D9D9" w:themeFill="background1" w:themeFillShade="D9"/>
            <w:vAlign w:val="bottom"/>
          </w:tcPr>
          <w:p w14:paraId="39B9EFA3" w14:textId="750B5016" w:rsidR="009C7764" w:rsidRPr="00183E4D" w:rsidRDefault="001D4835" w:rsidP="00276A5D">
            <w:pPr>
              <w:pStyle w:val="TableHeading"/>
              <w:jc w:val="left"/>
              <w:rPr>
                <w:snapToGrid w:val="0"/>
                <w:lang w:eastAsia="en-US"/>
              </w:rPr>
            </w:pPr>
            <w:r>
              <w:rPr>
                <w:snapToGrid w:val="0"/>
                <w:lang w:eastAsia="en-US"/>
              </w:rPr>
              <w:t>Inclusion criteria</w:t>
            </w:r>
          </w:p>
        </w:tc>
        <w:tc>
          <w:tcPr>
            <w:tcW w:w="1924" w:type="dxa"/>
            <w:shd w:val="clear" w:color="auto" w:fill="D9D9D9" w:themeFill="background1" w:themeFillShade="D9"/>
            <w:vAlign w:val="bottom"/>
          </w:tcPr>
          <w:p w14:paraId="2D2B1D0D" w14:textId="77777777" w:rsidR="009C7764" w:rsidRPr="00183E4D" w:rsidRDefault="009C7764" w:rsidP="00276A5D">
            <w:pPr>
              <w:pStyle w:val="TableHeading"/>
              <w:jc w:val="left"/>
              <w:rPr>
                <w:snapToGrid w:val="0"/>
                <w:lang w:eastAsia="en-US"/>
              </w:rPr>
            </w:pPr>
            <w:r w:rsidRPr="00183E4D">
              <w:rPr>
                <w:snapToGrid w:val="0"/>
                <w:lang w:eastAsia="en-US"/>
              </w:rPr>
              <w:t>Key outcome(s)</w:t>
            </w:r>
          </w:p>
        </w:tc>
        <w:tc>
          <w:tcPr>
            <w:tcW w:w="1044" w:type="dxa"/>
            <w:shd w:val="clear" w:color="auto" w:fill="D9D9D9" w:themeFill="background1" w:themeFillShade="D9"/>
            <w:vAlign w:val="bottom"/>
          </w:tcPr>
          <w:p w14:paraId="6A065795" w14:textId="77777777" w:rsidR="009C7764" w:rsidRPr="00183E4D" w:rsidRDefault="009C7764" w:rsidP="00276A5D">
            <w:pPr>
              <w:pStyle w:val="TableHeading"/>
              <w:jc w:val="left"/>
              <w:rPr>
                <w:snapToGrid w:val="0"/>
                <w:lang w:eastAsia="en-US"/>
              </w:rPr>
            </w:pPr>
            <w:r w:rsidRPr="00183E4D">
              <w:rPr>
                <w:snapToGrid w:val="0"/>
                <w:lang w:eastAsia="en-US"/>
              </w:rPr>
              <w:t>Result used in economic model</w:t>
            </w:r>
          </w:p>
        </w:tc>
      </w:tr>
      <w:tr w:rsidR="009C7764" w:rsidRPr="00183E4D" w14:paraId="0D6B25B3" w14:textId="77777777" w:rsidTr="001D4835">
        <w:tc>
          <w:tcPr>
            <w:tcW w:w="1006" w:type="dxa"/>
            <w:shd w:val="clear" w:color="auto" w:fill="auto"/>
          </w:tcPr>
          <w:p w14:paraId="09D635FD" w14:textId="77777777" w:rsidR="009C7764" w:rsidRPr="00644D67" w:rsidRDefault="009C7764" w:rsidP="00337541">
            <w:pPr>
              <w:pStyle w:val="TableText0"/>
              <w:spacing w:before="60" w:after="60"/>
              <w:jc w:val="left"/>
            </w:pPr>
            <w:r w:rsidRPr="00644D67">
              <w:t>Renaud et al</w:t>
            </w:r>
            <w:r>
              <w:t xml:space="preserve"> 2014</w:t>
            </w:r>
          </w:p>
        </w:tc>
        <w:tc>
          <w:tcPr>
            <w:tcW w:w="1007" w:type="dxa"/>
            <w:shd w:val="clear" w:color="auto" w:fill="auto"/>
          </w:tcPr>
          <w:p w14:paraId="79E1DCE2" w14:textId="77777777" w:rsidR="009C7764" w:rsidRPr="008A6F37" w:rsidRDefault="009603FA" w:rsidP="00276A5D">
            <w:pPr>
              <w:pStyle w:val="TableText0"/>
              <w:spacing w:before="60" w:after="60"/>
              <w:jc w:val="left"/>
              <w:rPr>
                <w:snapToGrid w:val="0"/>
              </w:rPr>
            </w:pPr>
            <w:r>
              <w:rPr>
                <w:snapToGrid w:val="0"/>
              </w:rPr>
              <w:t>320 (NR)</w:t>
            </w:r>
          </w:p>
        </w:tc>
        <w:tc>
          <w:tcPr>
            <w:tcW w:w="1108" w:type="dxa"/>
            <w:shd w:val="clear" w:color="auto" w:fill="auto"/>
          </w:tcPr>
          <w:p w14:paraId="68E3D039" w14:textId="77777777" w:rsidR="009603FA" w:rsidRDefault="009603FA" w:rsidP="00276A5D">
            <w:pPr>
              <w:pStyle w:val="TableText0"/>
              <w:spacing w:before="60" w:after="60"/>
              <w:jc w:val="left"/>
              <w:rPr>
                <w:snapToGrid w:val="0"/>
              </w:rPr>
            </w:pPr>
            <w:r w:rsidRPr="00735BFA">
              <w:rPr>
                <w:snapToGrid w:val="0"/>
              </w:rPr>
              <w:t>Retrospective CS,</w:t>
            </w:r>
          </w:p>
          <w:p w14:paraId="06B7F9F2" w14:textId="61A3E320" w:rsidR="009C7764" w:rsidRPr="008A6F37" w:rsidRDefault="009603FA" w:rsidP="00276A5D">
            <w:pPr>
              <w:pStyle w:val="TableText0"/>
              <w:spacing w:before="60" w:after="60"/>
              <w:jc w:val="left"/>
              <w:rPr>
                <w:snapToGrid w:val="0"/>
              </w:rPr>
            </w:pPr>
            <w:r w:rsidRPr="009603FA">
              <w:rPr>
                <w:snapToGrid w:val="0"/>
              </w:rPr>
              <w:t>21.6 months</w:t>
            </w:r>
            <w:r>
              <w:rPr>
                <w:snapToGrid w:val="0"/>
              </w:rPr>
              <w:t xml:space="preserve"> (</w:t>
            </w:r>
            <w:r w:rsidRPr="009603FA">
              <w:rPr>
                <w:snapToGrid w:val="0"/>
              </w:rPr>
              <w:t>0</w:t>
            </w:r>
            <w:r w:rsidR="00D35E9C">
              <w:rPr>
                <w:snapToGrid w:val="0"/>
              </w:rPr>
              <w:t>–</w:t>
            </w:r>
            <w:r w:rsidRPr="009603FA">
              <w:rPr>
                <w:snapToGrid w:val="0"/>
              </w:rPr>
              <w:t>192</w:t>
            </w:r>
            <w:r>
              <w:rPr>
                <w:snapToGrid w:val="0"/>
              </w:rPr>
              <w:t>)</w:t>
            </w:r>
          </w:p>
        </w:tc>
        <w:tc>
          <w:tcPr>
            <w:tcW w:w="1042" w:type="dxa"/>
            <w:shd w:val="clear" w:color="auto" w:fill="auto"/>
          </w:tcPr>
          <w:p w14:paraId="5AFC6738" w14:textId="77777777" w:rsidR="009C7764" w:rsidRPr="008A6F37" w:rsidRDefault="009603FA" w:rsidP="00276A5D">
            <w:pPr>
              <w:pStyle w:val="TableText0"/>
              <w:spacing w:before="60" w:after="60"/>
              <w:jc w:val="left"/>
              <w:rPr>
                <w:snapToGrid w:val="0"/>
              </w:rPr>
            </w:pPr>
            <w:r>
              <w:rPr>
                <w:snapToGrid w:val="0"/>
              </w:rPr>
              <w:t>High</w:t>
            </w:r>
          </w:p>
        </w:tc>
        <w:tc>
          <w:tcPr>
            <w:tcW w:w="1924" w:type="dxa"/>
            <w:shd w:val="clear" w:color="auto" w:fill="auto"/>
          </w:tcPr>
          <w:p w14:paraId="74A3DB8F" w14:textId="64324562" w:rsidR="009603FA" w:rsidRPr="006711AE" w:rsidRDefault="00034899" w:rsidP="00276A5D">
            <w:pPr>
              <w:pStyle w:val="TableText0"/>
              <w:spacing w:before="60" w:after="60"/>
              <w:jc w:val="left"/>
            </w:pPr>
            <w:r>
              <w:t xml:space="preserve">CRC </w:t>
            </w:r>
            <w:r w:rsidR="009603FA">
              <w:t>L</w:t>
            </w:r>
            <w:r>
              <w:t xml:space="preserve">ung metastases, </w:t>
            </w:r>
            <w:r w:rsidR="009603FA" w:rsidRPr="009603FA">
              <w:t>resection with curative intent</w:t>
            </w:r>
          </w:p>
        </w:tc>
        <w:tc>
          <w:tcPr>
            <w:tcW w:w="1924" w:type="dxa"/>
            <w:shd w:val="clear" w:color="auto" w:fill="auto"/>
          </w:tcPr>
          <w:p w14:paraId="4D2AFBE1" w14:textId="77777777" w:rsidR="009C7764" w:rsidRDefault="009C7518" w:rsidP="00276A5D">
            <w:pPr>
              <w:pStyle w:val="TableText0"/>
              <w:spacing w:before="60" w:after="60"/>
              <w:jc w:val="left"/>
            </w:pPr>
            <w:r>
              <w:t>Overall survival,</w:t>
            </w:r>
          </w:p>
          <w:p w14:paraId="050DB531" w14:textId="77777777" w:rsidR="009C7518" w:rsidRPr="00723C9B" w:rsidRDefault="009C7518" w:rsidP="00276A5D">
            <w:pPr>
              <w:pStyle w:val="TableText0"/>
              <w:spacing w:before="60" w:after="60"/>
              <w:jc w:val="left"/>
            </w:pPr>
            <w:r>
              <w:t>Prognostic factors, postoperative death</w:t>
            </w:r>
          </w:p>
        </w:tc>
        <w:tc>
          <w:tcPr>
            <w:tcW w:w="1044" w:type="dxa"/>
            <w:shd w:val="clear" w:color="auto" w:fill="auto"/>
          </w:tcPr>
          <w:p w14:paraId="79ECD317" w14:textId="77777777" w:rsidR="009C7764" w:rsidRPr="008A6F37" w:rsidRDefault="009C7518" w:rsidP="00276A5D">
            <w:pPr>
              <w:pStyle w:val="TableText0"/>
              <w:spacing w:before="60" w:after="60"/>
              <w:jc w:val="left"/>
              <w:rPr>
                <w:snapToGrid w:val="0"/>
              </w:rPr>
            </w:pPr>
            <w:r w:rsidRPr="008A6F37">
              <w:rPr>
                <w:snapToGrid w:val="0"/>
              </w:rPr>
              <w:t>Not used</w:t>
            </w:r>
          </w:p>
        </w:tc>
      </w:tr>
      <w:tr w:rsidR="009C7764" w:rsidRPr="00183E4D" w14:paraId="5C19806C" w14:textId="77777777" w:rsidTr="001D4835">
        <w:tc>
          <w:tcPr>
            <w:tcW w:w="1006" w:type="dxa"/>
            <w:shd w:val="clear" w:color="auto" w:fill="auto"/>
          </w:tcPr>
          <w:p w14:paraId="6291FFBE" w14:textId="77777777" w:rsidR="009C7764" w:rsidRPr="00644D67" w:rsidRDefault="009C7764" w:rsidP="00337541">
            <w:pPr>
              <w:pStyle w:val="TableText0"/>
              <w:spacing w:before="60" w:after="60"/>
              <w:jc w:val="left"/>
            </w:pPr>
            <w:r w:rsidRPr="00644D67">
              <w:t>Younes et al</w:t>
            </w:r>
            <w:r>
              <w:t xml:space="preserve"> 2009</w:t>
            </w:r>
          </w:p>
        </w:tc>
        <w:tc>
          <w:tcPr>
            <w:tcW w:w="1007" w:type="dxa"/>
            <w:shd w:val="clear" w:color="auto" w:fill="auto"/>
          </w:tcPr>
          <w:p w14:paraId="160D1350" w14:textId="77777777" w:rsidR="009C7764" w:rsidRPr="008A6F37" w:rsidRDefault="009603FA" w:rsidP="00276A5D">
            <w:pPr>
              <w:pStyle w:val="TableText0"/>
              <w:spacing w:before="60" w:after="60"/>
              <w:jc w:val="left"/>
              <w:rPr>
                <w:snapToGrid w:val="0"/>
              </w:rPr>
            </w:pPr>
            <w:r>
              <w:rPr>
                <w:snapToGrid w:val="0"/>
              </w:rPr>
              <w:t>529 (NR)</w:t>
            </w:r>
          </w:p>
        </w:tc>
        <w:tc>
          <w:tcPr>
            <w:tcW w:w="1108" w:type="dxa"/>
            <w:tcBorders>
              <w:bottom w:val="single" w:sz="4" w:space="0" w:color="auto"/>
            </w:tcBorders>
            <w:shd w:val="clear" w:color="auto" w:fill="auto"/>
          </w:tcPr>
          <w:p w14:paraId="0EAA9E23" w14:textId="77777777" w:rsidR="009603FA" w:rsidRDefault="009603FA" w:rsidP="00276A5D">
            <w:pPr>
              <w:pStyle w:val="TableText0"/>
              <w:spacing w:before="60" w:after="60"/>
              <w:jc w:val="left"/>
              <w:rPr>
                <w:snapToGrid w:val="0"/>
              </w:rPr>
            </w:pPr>
            <w:r w:rsidRPr="00735BFA">
              <w:rPr>
                <w:snapToGrid w:val="0"/>
              </w:rPr>
              <w:t>Retrospective CS,</w:t>
            </w:r>
          </w:p>
          <w:p w14:paraId="42814F6D" w14:textId="77777777" w:rsidR="009C7764" w:rsidRPr="008A6F37" w:rsidRDefault="009603FA" w:rsidP="00276A5D">
            <w:pPr>
              <w:pStyle w:val="TableText0"/>
              <w:spacing w:before="60" w:after="60"/>
              <w:jc w:val="left"/>
              <w:rPr>
                <w:snapToGrid w:val="0"/>
              </w:rPr>
            </w:pPr>
            <w:r>
              <w:rPr>
                <w:snapToGrid w:val="0"/>
              </w:rPr>
              <w:t>NR</w:t>
            </w:r>
          </w:p>
        </w:tc>
        <w:tc>
          <w:tcPr>
            <w:tcW w:w="1042" w:type="dxa"/>
            <w:tcBorders>
              <w:bottom w:val="single" w:sz="4" w:space="0" w:color="auto"/>
            </w:tcBorders>
            <w:shd w:val="clear" w:color="auto" w:fill="auto"/>
          </w:tcPr>
          <w:p w14:paraId="75D0D09A" w14:textId="77777777" w:rsidR="009C7764" w:rsidRPr="008A6F37" w:rsidRDefault="009603FA" w:rsidP="00276A5D">
            <w:pPr>
              <w:pStyle w:val="TableText0"/>
              <w:spacing w:before="60" w:after="60"/>
              <w:jc w:val="left"/>
              <w:rPr>
                <w:snapToGrid w:val="0"/>
              </w:rPr>
            </w:pPr>
            <w:r>
              <w:rPr>
                <w:snapToGrid w:val="0"/>
              </w:rPr>
              <w:t>High</w:t>
            </w:r>
          </w:p>
        </w:tc>
        <w:tc>
          <w:tcPr>
            <w:tcW w:w="1924" w:type="dxa"/>
            <w:tcBorders>
              <w:bottom w:val="single" w:sz="4" w:space="0" w:color="auto"/>
            </w:tcBorders>
            <w:shd w:val="clear" w:color="auto" w:fill="auto"/>
          </w:tcPr>
          <w:p w14:paraId="25869788" w14:textId="1DD15E26" w:rsidR="009603FA" w:rsidRPr="001D4835" w:rsidRDefault="009603FA" w:rsidP="00276A5D">
            <w:pPr>
              <w:pStyle w:val="TableText0"/>
              <w:spacing w:before="60" w:after="60"/>
              <w:jc w:val="left"/>
            </w:pPr>
            <w:r>
              <w:t xml:space="preserve">Patients had </w:t>
            </w:r>
            <w:r w:rsidRPr="009603FA">
              <w:t>primary malignant solid tumours and who subsequently underwent surgical resection of lung nodules</w:t>
            </w:r>
            <w:r>
              <w:rPr>
                <w:vertAlign w:val="superscript"/>
              </w:rPr>
              <w:t>b</w:t>
            </w:r>
          </w:p>
        </w:tc>
        <w:tc>
          <w:tcPr>
            <w:tcW w:w="1924" w:type="dxa"/>
            <w:tcBorders>
              <w:bottom w:val="single" w:sz="4" w:space="0" w:color="auto"/>
            </w:tcBorders>
            <w:shd w:val="clear" w:color="auto" w:fill="auto"/>
          </w:tcPr>
          <w:p w14:paraId="37700251" w14:textId="77777777" w:rsidR="009C7764" w:rsidRPr="00723C9B" w:rsidRDefault="009C7518" w:rsidP="00276A5D">
            <w:pPr>
              <w:pStyle w:val="TableText0"/>
              <w:spacing w:before="60" w:after="60"/>
              <w:jc w:val="left"/>
            </w:pPr>
            <w:r w:rsidRPr="009C7518">
              <w:t>Complications, overall survival rate, univariate and multivariate analyses of factors affecting overall survival</w:t>
            </w:r>
          </w:p>
        </w:tc>
        <w:tc>
          <w:tcPr>
            <w:tcW w:w="1044" w:type="dxa"/>
            <w:shd w:val="clear" w:color="auto" w:fill="auto"/>
          </w:tcPr>
          <w:p w14:paraId="5F15A2F5" w14:textId="77777777" w:rsidR="009C7764" w:rsidRPr="008A6F37" w:rsidRDefault="009C7518" w:rsidP="00276A5D">
            <w:pPr>
              <w:pStyle w:val="TableText0"/>
              <w:spacing w:before="60" w:after="60"/>
              <w:jc w:val="left"/>
              <w:rPr>
                <w:snapToGrid w:val="0"/>
              </w:rPr>
            </w:pPr>
            <w:r w:rsidRPr="008A6F37">
              <w:rPr>
                <w:snapToGrid w:val="0"/>
              </w:rPr>
              <w:t>Not used</w:t>
            </w:r>
          </w:p>
        </w:tc>
      </w:tr>
      <w:tr w:rsidR="009C7764" w:rsidRPr="00183E4D" w14:paraId="6EDB5EF1" w14:textId="77777777" w:rsidTr="001D4835">
        <w:tc>
          <w:tcPr>
            <w:tcW w:w="1006" w:type="dxa"/>
            <w:shd w:val="clear" w:color="auto" w:fill="auto"/>
          </w:tcPr>
          <w:p w14:paraId="59608CE5" w14:textId="77777777" w:rsidR="009C7764" w:rsidRPr="00644D67" w:rsidRDefault="009C7764" w:rsidP="00337541">
            <w:pPr>
              <w:pStyle w:val="TableText0"/>
              <w:spacing w:before="60" w:after="60"/>
              <w:jc w:val="left"/>
            </w:pPr>
            <w:r w:rsidRPr="00644D67">
              <w:t>Reza et al</w:t>
            </w:r>
            <w:r>
              <w:t xml:space="preserve"> 2014</w:t>
            </w:r>
          </w:p>
        </w:tc>
        <w:tc>
          <w:tcPr>
            <w:tcW w:w="1007" w:type="dxa"/>
            <w:shd w:val="clear" w:color="auto" w:fill="auto"/>
          </w:tcPr>
          <w:p w14:paraId="680A08FA" w14:textId="77777777" w:rsidR="009C7764" w:rsidRPr="008A6F37" w:rsidRDefault="009603FA" w:rsidP="00276A5D">
            <w:pPr>
              <w:pStyle w:val="TableText0"/>
              <w:spacing w:before="60" w:after="60"/>
              <w:jc w:val="left"/>
              <w:rPr>
                <w:snapToGrid w:val="0"/>
              </w:rPr>
            </w:pPr>
            <w:r>
              <w:rPr>
                <w:snapToGrid w:val="0"/>
              </w:rPr>
              <w:t>118 (NR)</w:t>
            </w:r>
          </w:p>
        </w:tc>
        <w:tc>
          <w:tcPr>
            <w:tcW w:w="1108" w:type="dxa"/>
            <w:tcBorders>
              <w:bottom w:val="single" w:sz="4" w:space="0" w:color="auto"/>
            </w:tcBorders>
            <w:shd w:val="clear" w:color="auto" w:fill="auto"/>
          </w:tcPr>
          <w:p w14:paraId="64074C37" w14:textId="77777777" w:rsidR="009603FA" w:rsidRDefault="009603FA" w:rsidP="00276A5D">
            <w:pPr>
              <w:pStyle w:val="TableText0"/>
              <w:spacing w:before="60" w:after="60"/>
              <w:jc w:val="left"/>
              <w:rPr>
                <w:snapToGrid w:val="0"/>
              </w:rPr>
            </w:pPr>
            <w:r w:rsidRPr="00735BFA">
              <w:rPr>
                <w:snapToGrid w:val="0"/>
              </w:rPr>
              <w:t>Retrospective CS,</w:t>
            </w:r>
          </w:p>
          <w:p w14:paraId="0703BB51" w14:textId="18F2BD3C" w:rsidR="009C7764" w:rsidRPr="008A6F37" w:rsidRDefault="009603FA" w:rsidP="00276A5D">
            <w:pPr>
              <w:pStyle w:val="TableText0"/>
              <w:spacing w:before="60" w:after="60"/>
              <w:jc w:val="left"/>
              <w:rPr>
                <w:snapToGrid w:val="0"/>
              </w:rPr>
            </w:pPr>
            <w:r w:rsidRPr="00735BFA">
              <w:rPr>
                <w:snapToGrid w:val="0"/>
              </w:rPr>
              <w:t>17.7 (6</w:t>
            </w:r>
            <w:r w:rsidR="00D35E9C">
              <w:rPr>
                <w:snapToGrid w:val="0"/>
              </w:rPr>
              <w:t>–</w:t>
            </w:r>
            <w:r w:rsidRPr="00735BFA">
              <w:rPr>
                <w:snapToGrid w:val="0"/>
              </w:rPr>
              <w:t>45) months</w:t>
            </w:r>
          </w:p>
        </w:tc>
        <w:tc>
          <w:tcPr>
            <w:tcW w:w="1042" w:type="dxa"/>
            <w:tcBorders>
              <w:bottom w:val="single" w:sz="4" w:space="0" w:color="auto"/>
            </w:tcBorders>
            <w:shd w:val="clear" w:color="auto" w:fill="auto"/>
          </w:tcPr>
          <w:p w14:paraId="3535C408" w14:textId="77777777" w:rsidR="009C7764" w:rsidRPr="008A6F37" w:rsidRDefault="009603FA" w:rsidP="00276A5D">
            <w:pPr>
              <w:pStyle w:val="TableText0"/>
              <w:spacing w:before="60" w:after="60"/>
              <w:jc w:val="left"/>
              <w:rPr>
                <w:snapToGrid w:val="0"/>
              </w:rPr>
            </w:pPr>
            <w:r>
              <w:rPr>
                <w:snapToGrid w:val="0"/>
              </w:rPr>
              <w:t>High</w:t>
            </w:r>
          </w:p>
        </w:tc>
        <w:tc>
          <w:tcPr>
            <w:tcW w:w="1924" w:type="dxa"/>
            <w:tcBorders>
              <w:bottom w:val="single" w:sz="4" w:space="0" w:color="auto"/>
            </w:tcBorders>
            <w:shd w:val="clear" w:color="auto" w:fill="auto"/>
          </w:tcPr>
          <w:p w14:paraId="01C7BC0C" w14:textId="79CFAB0C" w:rsidR="009603FA" w:rsidRPr="006711AE" w:rsidRDefault="001D4835" w:rsidP="00276A5D">
            <w:pPr>
              <w:pStyle w:val="TableText0"/>
              <w:spacing w:before="60" w:after="60"/>
              <w:jc w:val="left"/>
            </w:pPr>
            <w:r>
              <w:t>Pulmonary metastasectomy</w:t>
            </w:r>
            <w:r w:rsidR="009603FA" w:rsidRPr="009603FA">
              <w:t xml:space="preserve"> for sarcoma involving complete resection of their metastatic disease</w:t>
            </w:r>
          </w:p>
        </w:tc>
        <w:tc>
          <w:tcPr>
            <w:tcW w:w="1924" w:type="dxa"/>
            <w:tcBorders>
              <w:bottom w:val="single" w:sz="4" w:space="0" w:color="auto"/>
            </w:tcBorders>
            <w:shd w:val="clear" w:color="auto" w:fill="auto"/>
          </w:tcPr>
          <w:p w14:paraId="6685C910" w14:textId="77777777" w:rsidR="009C7764" w:rsidRPr="00723C9B" w:rsidRDefault="009C7518" w:rsidP="00276A5D">
            <w:pPr>
              <w:pStyle w:val="TableText0"/>
              <w:spacing w:before="60" w:after="60"/>
              <w:jc w:val="left"/>
            </w:pPr>
            <w:r w:rsidRPr="009C7518">
              <w:t>Survival, recurrence and repeat resection, analysis of prognostic factors affecting survival</w:t>
            </w:r>
          </w:p>
        </w:tc>
        <w:tc>
          <w:tcPr>
            <w:tcW w:w="1044" w:type="dxa"/>
            <w:shd w:val="clear" w:color="auto" w:fill="auto"/>
          </w:tcPr>
          <w:p w14:paraId="357F4734" w14:textId="77777777" w:rsidR="009C7764" w:rsidRPr="008A6F37" w:rsidRDefault="009C7518" w:rsidP="00276A5D">
            <w:pPr>
              <w:pStyle w:val="TableText0"/>
              <w:spacing w:before="60" w:after="60"/>
              <w:jc w:val="left"/>
              <w:rPr>
                <w:snapToGrid w:val="0"/>
              </w:rPr>
            </w:pPr>
            <w:r w:rsidRPr="008A6F37">
              <w:rPr>
                <w:snapToGrid w:val="0"/>
              </w:rPr>
              <w:t>Not used</w:t>
            </w:r>
          </w:p>
        </w:tc>
      </w:tr>
      <w:tr w:rsidR="009C7764" w:rsidRPr="00183E4D" w14:paraId="67BC820E" w14:textId="77777777" w:rsidTr="001D4835">
        <w:tc>
          <w:tcPr>
            <w:tcW w:w="1006" w:type="dxa"/>
            <w:shd w:val="clear" w:color="auto" w:fill="auto"/>
          </w:tcPr>
          <w:p w14:paraId="70D64792" w14:textId="77777777" w:rsidR="009C7764" w:rsidRPr="00644D67" w:rsidRDefault="009C7764" w:rsidP="00337541">
            <w:pPr>
              <w:pStyle w:val="TableText0"/>
              <w:spacing w:before="60" w:after="60"/>
              <w:jc w:val="left"/>
            </w:pPr>
            <w:r w:rsidRPr="00644D67">
              <w:t>Rodriguez-Fuster et al</w:t>
            </w:r>
            <w:r>
              <w:t xml:space="preserve"> 2014</w:t>
            </w:r>
          </w:p>
        </w:tc>
        <w:tc>
          <w:tcPr>
            <w:tcW w:w="1007" w:type="dxa"/>
            <w:shd w:val="clear" w:color="auto" w:fill="auto"/>
          </w:tcPr>
          <w:p w14:paraId="6784AE56" w14:textId="77777777" w:rsidR="009C7764" w:rsidRPr="008A6F37" w:rsidRDefault="009603FA" w:rsidP="00276A5D">
            <w:pPr>
              <w:pStyle w:val="TableText0"/>
              <w:spacing w:before="60" w:after="60"/>
              <w:jc w:val="left"/>
              <w:rPr>
                <w:snapToGrid w:val="0"/>
              </w:rPr>
            </w:pPr>
            <w:r>
              <w:rPr>
                <w:snapToGrid w:val="0"/>
              </w:rPr>
              <w:t>532 (NR)</w:t>
            </w:r>
          </w:p>
        </w:tc>
        <w:tc>
          <w:tcPr>
            <w:tcW w:w="1108" w:type="dxa"/>
            <w:tcBorders>
              <w:bottom w:val="single" w:sz="4" w:space="0" w:color="auto"/>
            </w:tcBorders>
            <w:shd w:val="clear" w:color="auto" w:fill="auto"/>
          </w:tcPr>
          <w:p w14:paraId="682114A6" w14:textId="77777777" w:rsidR="009603FA" w:rsidRDefault="009603FA" w:rsidP="00276A5D">
            <w:pPr>
              <w:pStyle w:val="TableText0"/>
              <w:spacing w:before="60" w:after="60"/>
              <w:jc w:val="left"/>
              <w:rPr>
                <w:snapToGrid w:val="0"/>
              </w:rPr>
            </w:pPr>
            <w:r w:rsidRPr="00735BFA">
              <w:rPr>
                <w:snapToGrid w:val="0"/>
              </w:rPr>
              <w:t>Retrospective CS,</w:t>
            </w:r>
          </w:p>
          <w:p w14:paraId="5822045D" w14:textId="77777777" w:rsidR="009C7764" w:rsidRPr="008A6F37" w:rsidRDefault="009603FA" w:rsidP="00276A5D">
            <w:pPr>
              <w:pStyle w:val="TableText0"/>
              <w:spacing w:before="60" w:after="60"/>
              <w:jc w:val="left"/>
              <w:rPr>
                <w:snapToGrid w:val="0"/>
              </w:rPr>
            </w:pPr>
            <w:r>
              <w:rPr>
                <w:snapToGrid w:val="0"/>
              </w:rPr>
              <w:t>30 days</w:t>
            </w:r>
          </w:p>
        </w:tc>
        <w:tc>
          <w:tcPr>
            <w:tcW w:w="1042" w:type="dxa"/>
            <w:tcBorders>
              <w:bottom w:val="single" w:sz="4" w:space="0" w:color="auto"/>
            </w:tcBorders>
            <w:shd w:val="clear" w:color="auto" w:fill="auto"/>
          </w:tcPr>
          <w:p w14:paraId="2C0E3861" w14:textId="77777777" w:rsidR="009C7764" w:rsidRPr="008A6F37" w:rsidRDefault="009603FA" w:rsidP="00276A5D">
            <w:pPr>
              <w:pStyle w:val="TableText0"/>
              <w:spacing w:before="60" w:after="60"/>
              <w:jc w:val="left"/>
              <w:rPr>
                <w:snapToGrid w:val="0"/>
              </w:rPr>
            </w:pPr>
            <w:r>
              <w:rPr>
                <w:snapToGrid w:val="0"/>
              </w:rPr>
              <w:t>High</w:t>
            </w:r>
          </w:p>
        </w:tc>
        <w:tc>
          <w:tcPr>
            <w:tcW w:w="1924" w:type="dxa"/>
            <w:tcBorders>
              <w:bottom w:val="single" w:sz="4" w:space="0" w:color="auto"/>
            </w:tcBorders>
            <w:shd w:val="clear" w:color="auto" w:fill="auto"/>
          </w:tcPr>
          <w:p w14:paraId="369B8188" w14:textId="46332F62" w:rsidR="009603FA" w:rsidRPr="006711AE" w:rsidRDefault="00F03949" w:rsidP="00276A5D">
            <w:pPr>
              <w:pStyle w:val="TableText0"/>
              <w:spacing w:before="60" w:after="60"/>
              <w:jc w:val="left"/>
            </w:pPr>
            <w:r>
              <w:t xml:space="preserve">CRC pulmonary metastases, </w:t>
            </w:r>
            <w:r w:rsidR="009603FA" w:rsidRPr="009603FA">
              <w:t>primary cancer under control, absence of extra pulmonary disease</w:t>
            </w:r>
          </w:p>
        </w:tc>
        <w:tc>
          <w:tcPr>
            <w:tcW w:w="1924" w:type="dxa"/>
            <w:tcBorders>
              <w:bottom w:val="single" w:sz="4" w:space="0" w:color="auto"/>
            </w:tcBorders>
            <w:shd w:val="clear" w:color="auto" w:fill="auto"/>
          </w:tcPr>
          <w:p w14:paraId="06C51A7F" w14:textId="77777777" w:rsidR="009C7764" w:rsidRPr="00723C9B" w:rsidRDefault="009C7518" w:rsidP="00276A5D">
            <w:pPr>
              <w:pStyle w:val="TableText0"/>
              <w:spacing w:before="60" w:after="60"/>
              <w:jc w:val="left"/>
            </w:pPr>
            <w:r w:rsidRPr="009C7518">
              <w:t>Complications</w:t>
            </w:r>
          </w:p>
        </w:tc>
        <w:tc>
          <w:tcPr>
            <w:tcW w:w="1044" w:type="dxa"/>
            <w:shd w:val="clear" w:color="auto" w:fill="auto"/>
          </w:tcPr>
          <w:p w14:paraId="529636AE" w14:textId="77777777" w:rsidR="009C7764" w:rsidRPr="008A6F37" w:rsidRDefault="009C7518" w:rsidP="00276A5D">
            <w:pPr>
              <w:pStyle w:val="TableText0"/>
              <w:spacing w:before="60" w:after="60"/>
              <w:jc w:val="left"/>
              <w:rPr>
                <w:snapToGrid w:val="0"/>
              </w:rPr>
            </w:pPr>
            <w:r w:rsidRPr="008A6F37">
              <w:rPr>
                <w:snapToGrid w:val="0"/>
              </w:rPr>
              <w:t>Not used</w:t>
            </w:r>
          </w:p>
        </w:tc>
      </w:tr>
      <w:tr w:rsidR="009C7764" w:rsidRPr="00183E4D" w14:paraId="76D05F0C" w14:textId="77777777" w:rsidTr="001D4835">
        <w:tc>
          <w:tcPr>
            <w:tcW w:w="1006" w:type="dxa"/>
            <w:shd w:val="clear" w:color="auto" w:fill="auto"/>
          </w:tcPr>
          <w:p w14:paraId="45D652EA" w14:textId="77777777" w:rsidR="009C7764" w:rsidRDefault="009C7764" w:rsidP="00337541">
            <w:pPr>
              <w:pStyle w:val="TableText0"/>
              <w:spacing w:before="60" w:after="60"/>
              <w:jc w:val="left"/>
            </w:pPr>
            <w:r w:rsidRPr="00644D67">
              <w:t>Kitano et al</w:t>
            </w:r>
            <w:r>
              <w:t xml:space="preserve"> 2012</w:t>
            </w:r>
          </w:p>
        </w:tc>
        <w:tc>
          <w:tcPr>
            <w:tcW w:w="1007" w:type="dxa"/>
            <w:shd w:val="clear" w:color="auto" w:fill="auto"/>
          </w:tcPr>
          <w:p w14:paraId="4A37B033" w14:textId="77777777" w:rsidR="009C7764" w:rsidRPr="008A6F37" w:rsidRDefault="009603FA" w:rsidP="00276A5D">
            <w:pPr>
              <w:pStyle w:val="TableText0"/>
              <w:spacing w:before="60" w:after="60"/>
              <w:jc w:val="left"/>
              <w:rPr>
                <w:snapToGrid w:val="0"/>
              </w:rPr>
            </w:pPr>
            <w:r>
              <w:rPr>
                <w:snapToGrid w:val="0"/>
              </w:rPr>
              <w:t>45 (NR)</w:t>
            </w:r>
          </w:p>
        </w:tc>
        <w:tc>
          <w:tcPr>
            <w:tcW w:w="1108" w:type="dxa"/>
            <w:tcBorders>
              <w:bottom w:val="single" w:sz="4" w:space="0" w:color="auto"/>
            </w:tcBorders>
            <w:shd w:val="clear" w:color="auto" w:fill="auto"/>
          </w:tcPr>
          <w:p w14:paraId="556F8285" w14:textId="77777777" w:rsidR="009603FA" w:rsidRDefault="009603FA" w:rsidP="00276A5D">
            <w:pPr>
              <w:pStyle w:val="TableText0"/>
              <w:spacing w:before="60" w:after="60"/>
              <w:jc w:val="left"/>
              <w:rPr>
                <w:snapToGrid w:val="0"/>
              </w:rPr>
            </w:pPr>
            <w:r w:rsidRPr="00735BFA">
              <w:rPr>
                <w:snapToGrid w:val="0"/>
              </w:rPr>
              <w:t>Retrospective CS,</w:t>
            </w:r>
          </w:p>
          <w:p w14:paraId="31EF1B08" w14:textId="7BB6C612" w:rsidR="009C7764" w:rsidRPr="008A6F37" w:rsidRDefault="009603FA" w:rsidP="00276A5D">
            <w:pPr>
              <w:pStyle w:val="TableText0"/>
              <w:spacing w:before="60" w:after="60"/>
              <w:jc w:val="left"/>
              <w:rPr>
                <w:snapToGrid w:val="0"/>
              </w:rPr>
            </w:pPr>
            <w:r w:rsidRPr="009603FA">
              <w:rPr>
                <w:snapToGrid w:val="0"/>
              </w:rPr>
              <w:t xml:space="preserve">17.6 </w:t>
            </w:r>
            <w:r>
              <w:rPr>
                <w:snapToGrid w:val="0"/>
              </w:rPr>
              <w:t xml:space="preserve">months </w:t>
            </w:r>
            <w:r w:rsidRPr="009603FA">
              <w:rPr>
                <w:snapToGrid w:val="0"/>
              </w:rPr>
              <w:t>(0.7</w:t>
            </w:r>
            <w:r w:rsidR="00D35E9C">
              <w:rPr>
                <w:snapToGrid w:val="0"/>
              </w:rPr>
              <w:t>–</w:t>
            </w:r>
            <w:r w:rsidRPr="009603FA">
              <w:rPr>
                <w:snapToGrid w:val="0"/>
              </w:rPr>
              <w:t>165)</w:t>
            </w:r>
          </w:p>
        </w:tc>
        <w:tc>
          <w:tcPr>
            <w:tcW w:w="1042" w:type="dxa"/>
            <w:tcBorders>
              <w:bottom w:val="single" w:sz="4" w:space="0" w:color="auto"/>
            </w:tcBorders>
            <w:shd w:val="clear" w:color="auto" w:fill="auto"/>
          </w:tcPr>
          <w:p w14:paraId="3CECDF44" w14:textId="77777777" w:rsidR="009C7764" w:rsidRPr="008A6F37" w:rsidRDefault="009603FA" w:rsidP="00276A5D">
            <w:pPr>
              <w:pStyle w:val="TableText0"/>
              <w:spacing w:before="60" w:after="60"/>
              <w:jc w:val="left"/>
              <w:rPr>
                <w:snapToGrid w:val="0"/>
              </w:rPr>
            </w:pPr>
            <w:r>
              <w:rPr>
                <w:snapToGrid w:val="0"/>
              </w:rPr>
              <w:t>High</w:t>
            </w:r>
          </w:p>
        </w:tc>
        <w:tc>
          <w:tcPr>
            <w:tcW w:w="1924" w:type="dxa"/>
            <w:tcBorders>
              <w:bottom w:val="single" w:sz="4" w:space="0" w:color="auto"/>
            </w:tcBorders>
            <w:shd w:val="clear" w:color="auto" w:fill="auto"/>
          </w:tcPr>
          <w:p w14:paraId="3FEA77DC" w14:textId="48B5226B" w:rsidR="009603FA" w:rsidRPr="001D4835" w:rsidRDefault="001D4835" w:rsidP="00276A5D">
            <w:pPr>
              <w:pStyle w:val="TableText0"/>
              <w:spacing w:before="60" w:after="60"/>
              <w:jc w:val="left"/>
              <w:rPr>
                <w:vertAlign w:val="superscript"/>
              </w:rPr>
            </w:pPr>
            <w:r>
              <w:t>P</w:t>
            </w:r>
            <w:r w:rsidR="009603FA" w:rsidRPr="009603FA">
              <w:t>ulmonary metastastasectomy for HCC</w:t>
            </w:r>
            <w:r>
              <w:t xml:space="preserve"> </w:t>
            </w:r>
            <w:r w:rsidR="009603FA">
              <w:rPr>
                <w:vertAlign w:val="superscript"/>
              </w:rPr>
              <w:t>d</w:t>
            </w:r>
          </w:p>
        </w:tc>
        <w:tc>
          <w:tcPr>
            <w:tcW w:w="1924" w:type="dxa"/>
            <w:tcBorders>
              <w:bottom w:val="single" w:sz="4" w:space="0" w:color="auto"/>
            </w:tcBorders>
            <w:shd w:val="clear" w:color="auto" w:fill="auto"/>
          </w:tcPr>
          <w:p w14:paraId="2105190D" w14:textId="77777777" w:rsidR="009C7764" w:rsidRPr="00723C9B" w:rsidRDefault="009C7518" w:rsidP="00276A5D">
            <w:pPr>
              <w:pStyle w:val="TableText0"/>
              <w:spacing w:before="60" w:after="60"/>
              <w:jc w:val="left"/>
            </w:pPr>
            <w:r>
              <w:t>O</w:t>
            </w:r>
            <w:r w:rsidRPr="009C7518">
              <w:t>verall survival and disease-free survival</w:t>
            </w:r>
          </w:p>
        </w:tc>
        <w:tc>
          <w:tcPr>
            <w:tcW w:w="1044" w:type="dxa"/>
            <w:shd w:val="clear" w:color="auto" w:fill="auto"/>
          </w:tcPr>
          <w:p w14:paraId="5B9ED14D" w14:textId="77777777" w:rsidR="009C7764" w:rsidRPr="008A6F37" w:rsidRDefault="009C7518" w:rsidP="00276A5D">
            <w:pPr>
              <w:pStyle w:val="TableText0"/>
              <w:spacing w:before="60" w:after="60"/>
              <w:jc w:val="left"/>
              <w:rPr>
                <w:snapToGrid w:val="0"/>
              </w:rPr>
            </w:pPr>
            <w:r w:rsidRPr="008A6F37">
              <w:rPr>
                <w:snapToGrid w:val="0"/>
              </w:rPr>
              <w:t>Not used</w:t>
            </w:r>
          </w:p>
        </w:tc>
      </w:tr>
      <w:tr w:rsidR="009C7764" w:rsidRPr="00183E4D" w14:paraId="63E30C90" w14:textId="77777777" w:rsidTr="001D4835">
        <w:tc>
          <w:tcPr>
            <w:tcW w:w="1006" w:type="dxa"/>
            <w:shd w:val="clear" w:color="auto" w:fill="auto"/>
          </w:tcPr>
          <w:p w14:paraId="32DB34AA" w14:textId="77777777" w:rsidR="009C7764" w:rsidRDefault="009C7764" w:rsidP="00337541">
            <w:pPr>
              <w:pStyle w:val="TableText0"/>
              <w:spacing w:before="60" w:after="60"/>
              <w:jc w:val="left"/>
              <w:rPr>
                <w:snapToGrid w:val="0"/>
              </w:rPr>
            </w:pPr>
            <w:r>
              <w:rPr>
                <w:snapToGrid w:val="0"/>
              </w:rPr>
              <w:t>Meta-analysis/pooling</w:t>
            </w:r>
          </w:p>
        </w:tc>
        <w:tc>
          <w:tcPr>
            <w:tcW w:w="1007" w:type="dxa"/>
            <w:shd w:val="clear" w:color="auto" w:fill="auto"/>
          </w:tcPr>
          <w:p w14:paraId="1E80276A" w14:textId="77777777" w:rsidR="009C7764" w:rsidRDefault="009C7518" w:rsidP="00276A5D">
            <w:pPr>
              <w:pStyle w:val="TableText0"/>
              <w:spacing w:before="60" w:after="60"/>
              <w:jc w:val="left"/>
              <w:rPr>
                <w:snapToGrid w:val="0"/>
              </w:rPr>
            </w:pPr>
            <w:r>
              <w:rPr>
                <w:snapToGrid w:val="0"/>
              </w:rPr>
              <w:t>1544</w:t>
            </w:r>
          </w:p>
          <w:p w14:paraId="3574D630" w14:textId="77777777" w:rsidR="009C7764" w:rsidRDefault="009C7518" w:rsidP="00276A5D">
            <w:pPr>
              <w:pStyle w:val="TableText0"/>
              <w:spacing w:before="60" w:after="60"/>
              <w:jc w:val="left"/>
              <w:rPr>
                <w:snapToGrid w:val="0"/>
              </w:rPr>
            </w:pPr>
            <w:r>
              <w:rPr>
                <w:snapToGrid w:val="0"/>
              </w:rPr>
              <w:t>5</w:t>
            </w:r>
            <w:r w:rsidR="009C7764">
              <w:rPr>
                <w:snapToGrid w:val="0"/>
              </w:rPr>
              <w:t xml:space="preserve"> studies</w:t>
            </w:r>
          </w:p>
        </w:tc>
        <w:tc>
          <w:tcPr>
            <w:tcW w:w="1108" w:type="dxa"/>
            <w:tcBorders>
              <w:right w:val="nil"/>
            </w:tcBorders>
            <w:shd w:val="clear" w:color="auto" w:fill="auto"/>
          </w:tcPr>
          <w:p w14:paraId="5E49D09E" w14:textId="77777777" w:rsidR="009C7764" w:rsidRPr="00735BFA" w:rsidRDefault="009C7764" w:rsidP="00276A5D">
            <w:pPr>
              <w:pStyle w:val="TableText0"/>
              <w:spacing w:before="60" w:after="60"/>
              <w:jc w:val="left"/>
              <w:rPr>
                <w:snapToGrid w:val="0"/>
              </w:rPr>
            </w:pPr>
          </w:p>
        </w:tc>
        <w:tc>
          <w:tcPr>
            <w:tcW w:w="1042" w:type="dxa"/>
            <w:tcBorders>
              <w:left w:val="nil"/>
              <w:right w:val="nil"/>
            </w:tcBorders>
            <w:shd w:val="clear" w:color="auto" w:fill="auto"/>
          </w:tcPr>
          <w:p w14:paraId="50D52DCA" w14:textId="77777777" w:rsidR="009C7764" w:rsidRDefault="009C7764" w:rsidP="00276A5D">
            <w:pPr>
              <w:pStyle w:val="TableText0"/>
              <w:spacing w:before="60" w:after="60"/>
              <w:jc w:val="left"/>
              <w:rPr>
                <w:snapToGrid w:val="0"/>
              </w:rPr>
            </w:pPr>
          </w:p>
        </w:tc>
        <w:tc>
          <w:tcPr>
            <w:tcW w:w="1924" w:type="dxa"/>
            <w:tcBorders>
              <w:left w:val="nil"/>
              <w:right w:val="nil"/>
            </w:tcBorders>
            <w:shd w:val="clear" w:color="auto" w:fill="auto"/>
          </w:tcPr>
          <w:p w14:paraId="1D4A89E8" w14:textId="77777777" w:rsidR="009C7764" w:rsidRDefault="009C7764" w:rsidP="00276A5D">
            <w:pPr>
              <w:pStyle w:val="TableText0"/>
              <w:spacing w:before="60" w:after="60"/>
              <w:jc w:val="left"/>
            </w:pPr>
            <w:r w:rsidRPr="00735BFA">
              <w:rPr>
                <w:snapToGrid w:val="0"/>
              </w:rPr>
              <w:t>Not applicable, outcomes could not be standardised or were not reported by all studies.</w:t>
            </w:r>
          </w:p>
        </w:tc>
        <w:tc>
          <w:tcPr>
            <w:tcW w:w="1924" w:type="dxa"/>
            <w:tcBorders>
              <w:left w:val="nil"/>
            </w:tcBorders>
            <w:shd w:val="clear" w:color="auto" w:fill="auto"/>
          </w:tcPr>
          <w:p w14:paraId="4F9955DB" w14:textId="77777777" w:rsidR="009C7764" w:rsidRPr="00735BFA" w:rsidRDefault="009C7764" w:rsidP="00276A5D">
            <w:pPr>
              <w:pStyle w:val="TableText0"/>
              <w:spacing w:before="60" w:after="60"/>
              <w:jc w:val="left"/>
            </w:pPr>
          </w:p>
        </w:tc>
        <w:tc>
          <w:tcPr>
            <w:tcW w:w="1044" w:type="dxa"/>
            <w:shd w:val="clear" w:color="auto" w:fill="auto"/>
          </w:tcPr>
          <w:p w14:paraId="487FA4D3" w14:textId="77777777" w:rsidR="009C7764" w:rsidRDefault="009C7764" w:rsidP="00276A5D">
            <w:pPr>
              <w:pStyle w:val="TableText0"/>
              <w:spacing w:before="60" w:after="60"/>
              <w:jc w:val="left"/>
              <w:rPr>
                <w:snapToGrid w:val="0"/>
              </w:rPr>
            </w:pPr>
            <w:r>
              <w:rPr>
                <w:snapToGrid w:val="0"/>
              </w:rPr>
              <w:t>Not used</w:t>
            </w:r>
          </w:p>
        </w:tc>
      </w:tr>
    </w:tbl>
    <w:p w14:paraId="1865EF52" w14:textId="07CA16D6" w:rsidR="00FD58DA" w:rsidRPr="00FD58DA" w:rsidRDefault="00034899" w:rsidP="008063EA">
      <w:pPr>
        <w:pStyle w:val="Tablenotes0"/>
      </w:pPr>
      <w:r>
        <w:t xml:space="preserve">&lt; </w:t>
      </w:r>
      <w:r w:rsidR="00FD58DA">
        <w:t>CS</w:t>
      </w:r>
      <w:r w:rsidR="00F510B6">
        <w:t xml:space="preserve"> </w:t>
      </w:r>
      <w:r w:rsidR="00FD58DA">
        <w:t>= case serie</w:t>
      </w:r>
      <w:r w:rsidR="00F510B6">
        <w:t>s</w:t>
      </w:r>
      <w:r w:rsidR="00FD58DA">
        <w:t>; CRC</w:t>
      </w:r>
      <w:r w:rsidR="00F510B6">
        <w:t xml:space="preserve"> </w:t>
      </w:r>
      <w:r w:rsidR="00FD58DA">
        <w:t>=</w:t>
      </w:r>
      <w:r w:rsidR="00F510B6">
        <w:t xml:space="preserve"> </w:t>
      </w:r>
      <w:r w:rsidR="00FD58DA">
        <w:t xml:space="preserve">colorectal carcinoma; HCC = hepatocellular carcinoma; </w:t>
      </w:r>
      <w:r w:rsidR="00FD58DA" w:rsidRPr="00FD58DA">
        <w:t>SD</w:t>
      </w:r>
      <w:r w:rsidR="00F510B6">
        <w:t xml:space="preserve"> </w:t>
      </w:r>
      <w:r w:rsidR="00FD58DA" w:rsidRPr="00FD58DA">
        <w:t>= standard deviation</w:t>
      </w:r>
      <w:r>
        <w:t xml:space="preserve"> &gt;</w:t>
      </w:r>
    </w:p>
    <w:p w14:paraId="199ACBB2" w14:textId="77777777" w:rsidR="00CD309D" w:rsidRPr="00183E4D" w:rsidRDefault="00CD309D" w:rsidP="007C7D1A">
      <w:pPr>
        <w:pStyle w:val="Tablenotes0"/>
        <w:rPr>
          <w:rStyle w:val="TablenotesChar0"/>
        </w:rPr>
      </w:pPr>
      <w:proofErr w:type="gramStart"/>
      <w:r>
        <w:rPr>
          <w:rStyle w:val="TablenotesChar0"/>
          <w:vertAlign w:val="superscript"/>
        </w:rPr>
        <w:t>a</w:t>
      </w:r>
      <w:proofErr w:type="gramEnd"/>
      <w:r>
        <w:rPr>
          <w:rStyle w:val="TablenotesChar0"/>
        </w:rPr>
        <w:t xml:space="preserve"> </w:t>
      </w:r>
      <w:r w:rsidRPr="005C3BDC">
        <w:rPr>
          <w:rStyle w:val="TablenotesChar0"/>
        </w:rPr>
        <w:t>reported</w:t>
      </w:r>
      <w:r>
        <w:rPr>
          <w:rStyle w:val="TablenotesChar0"/>
        </w:rPr>
        <w:t xml:space="preserve"> as </w:t>
      </w:r>
      <w:r w:rsidRPr="008A6F37">
        <w:rPr>
          <w:rStyle w:val="TablenotesChar0"/>
        </w:rPr>
        <w:t>median (range) unless otherwise stated</w:t>
      </w:r>
      <w:r>
        <w:rPr>
          <w:rStyle w:val="TablenotesChar0"/>
        </w:rPr>
        <w:t>.</w:t>
      </w:r>
    </w:p>
    <w:p w14:paraId="62853A43" w14:textId="77777777" w:rsidR="009C7764" w:rsidRDefault="009603FA" w:rsidP="008063EA">
      <w:pPr>
        <w:pStyle w:val="Tablenotes0"/>
      </w:pPr>
      <w:r>
        <w:rPr>
          <w:vertAlign w:val="superscript"/>
        </w:rPr>
        <w:t>b</w:t>
      </w:r>
      <w:r>
        <w:t xml:space="preserve"> </w:t>
      </w:r>
      <w:r w:rsidR="00CD309D">
        <w:t>I</w:t>
      </w:r>
      <w:r w:rsidR="00CD309D" w:rsidRPr="009603FA">
        <w:t xml:space="preserve">n </w:t>
      </w:r>
      <w:r w:rsidRPr="009603FA">
        <w:t>the context of suspected or diagnosed metastatic lesions, patients eligible for resection included those with the following characteristics: 1) primary tumour controlled or controllable, 2) nodules confined to the lung parenchyma, 3) nodules that were amenable to surgical, 4) pulmonary function and clinical condition that were compatible with the planned operation, 5) predictable remaining lung function after resection that would allow for adequate postoperative quality of life, 6) non-availability of a more suitable treatment option for the metastases</w:t>
      </w:r>
      <w:r w:rsidR="00CD309D">
        <w:t>.</w:t>
      </w:r>
    </w:p>
    <w:p w14:paraId="2C190AEF" w14:textId="77777777" w:rsidR="009603FA" w:rsidRDefault="009603FA" w:rsidP="008063EA">
      <w:pPr>
        <w:pStyle w:val="Tablenotes0"/>
      </w:pPr>
      <w:r w:rsidRPr="009603FA">
        <w:rPr>
          <w:vertAlign w:val="superscript"/>
        </w:rPr>
        <w:t>C</w:t>
      </w:r>
      <w:r>
        <w:t xml:space="preserve"> </w:t>
      </w:r>
      <w:r w:rsidRPr="009603FA">
        <w:t>0-12 years: 38/529 (7.2%); 13-40 years: 155/529 (29.3%); 65 years: 231/529 (43.7%); 70 years: 105/529 (19.8%)</w:t>
      </w:r>
      <w:r w:rsidR="00CD309D">
        <w:t>.</w:t>
      </w:r>
    </w:p>
    <w:p w14:paraId="57C5508F" w14:textId="77777777" w:rsidR="009603FA" w:rsidRDefault="00CD309D" w:rsidP="008063EA">
      <w:pPr>
        <w:pStyle w:val="Tablenotes0"/>
      </w:pPr>
      <w:proofErr w:type="gramStart"/>
      <w:r>
        <w:rPr>
          <w:vertAlign w:val="superscript"/>
        </w:rPr>
        <w:t>d</w:t>
      </w:r>
      <w:proofErr w:type="gramEnd"/>
      <w:r>
        <w:t xml:space="preserve"> W</w:t>
      </w:r>
      <w:r w:rsidRPr="009603FA">
        <w:t xml:space="preserve">ith </w:t>
      </w:r>
      <w:r w:rsidR="009603FA" w:rsidRPr="009603FA">
        <w:t>1) the possibility of complete resection, 2) no evidence of uncontrolled intrahepatic or extrapulmonary lesions at the time of the lung surgery and 3) adequate general physical condition for the pulmonary resection.</w:t>
      </w:r>
    </w:p>
    <w:p w14:paraId="47B060B4" w14:textId="77777777" w:rsidR="009603FA" w:rsidRDefault="009603FA" w:rsidP="009603FA">
      <w:pPr>
        <w:pStyle w:val="Tablenotes0"/>
        <w:spacing w:after="0"/>
      </w:pPr>
    </w:p>
    <w:p w14:paraId="547AC2AA" w14:textId="77777777" w:rsidR="008D77C9" w:rsidRPr="00183E4D" w:rsidRDefault="008D77C9" w:rsidP="00647EB9">
      <w:pPr>
        <w:pStyle w:val="Heading2"/>
        <w:numPr>
          <w:ilvl w:val="1"/>
          <w:numId w:val="8"/>
        </w:numPr>
      </w:pPr>
      <w:bookmarkStart w:id="269" w:name="_Toc460396042"/>
      <w:r w:rsidRPr="00183E4D">
        <w:lastRenderedPageBreak/>
        <w:t>Outcome</w:t>
      </w:r>
      <w:r w:rsidR="0060025E" w:rsidRPr="00183E4D">
        <w:t xml:space="preserve"> Measure</w:t>
      </w:r>
      <w:r w:rsidRPr="00183E4D">
        <w:t>s</w:t>
      </w:r>
      <w:r w:rsidR="0060025E" w:rsidRPr="00183E4D">
        <w:t xml:space="preserve"> and Analysis</w:t>
      </w:r>
      <w:bookmarkEnd w:id="269"/>
    </w:p>
    <w:p w14:paraId="048AD578" w14:textId="77777777" w:rsidR="0060025E" w:rsidRDefault="0060025E" w:rsidP="0060025E">
      <w:r w:rsidRPr="00183E4D">
        <w:t xml:space="preserve">See </w:t>
      </w:r>
      <w:r w:rsidRPr="005438D9">
        <w:t>Appendix C for</w:t>
      </w:r>
      <w:r w:rsidRPr="00183E4D">
        <w:t xml:space="preserve"> details on the outcomes measured in the included studies, along with the statistical methods used to analyse the results.</w:t>
      </w:r>
      <w:r w:rsidR="008063EA">
        <w:t xml:space="preserve"> The comparative safety and effectiveness presented in this assessment draws upon unadjusted and non-comparative data from (largely) low quality evidence. The results should be interpreted with caution. This is reflected in the GRADE assessment presented in summary tables in Section B.8. </w:t>
      </w:r>
    </w:p>
    <w:p w14:paraId="5D2C0AAC" w14:textId="77777777" w:rsidR="00147EBA" w:rsidRPr="006D18FE" w:rsidRDefault="00147EBA" w:rsidP="00A9748D">
      <w:pPr>
        <w:spacing w:before="500"/>
        <w:rPr>
          <w:b/>
          <w:i/>
        </w:rPr>
      </w:pPr>
      <w:r w:rsidRPr="006D18FE">
        <w:rPr>
          <w:b/>
          <w:i/>
        </w:rPr>
        <w:t xml:space="preserve">Meta-analysis and statistical analysis of the included studies </w:t>
      </w:r>
    </w:p>
    <w:p w14:paraId="7DA25D85" w14:textId="5CC07FCA" w:rsidR="008063EA" w:rsidRDefault="00283A38" w:rsidP="00283A38">
      <w:r>
        <w:t xml:space="preserve">The main issue in terms of outcome measures and analysis in the included studies stems from a lack of any comparative data for populations one and two. </w:t>
      </w:r>
      <w:r w:rsidR="00147EBA">
        <w:t xml:space="preserve">Some comparative evidence for radiotherapy was identified; however, comparisons were generally concerned with different radiotherapy regimes and could not be used to inform the comparative effectiveness of ablative therapies </w:t>
      </w:r>
      <w:r w:rsidR="009B1CF2">
        <w:t xml:space="preserve">and </w:t>
      </w:r>
      <w:r w:rsidR="00147EBA">
        <w:t xml:space="preserve">radiotherapy. Rather, these studies, being of a higher level of evidence simply have a decreased risk of bias and uncertainty associated with summary effects. Because </w:t>
      </w:r>
      <w:r>
        <w:t>s</w:t>
      </w:r>
      <w:r w:rsidRPr="00283A38">
        <w:t xml:space="preserve">tudies </w:t>
      </w:r>
      <w:r w:rsidR="00147EBA">
        <w:t>on ablative therapies do not contain any comparisons</w:t>
      </w:r>
      <w:r w:rsidR="002A0FE4">
        <w:t>,</w:t>
      </w:r>
      <w:r w:rsidR="002A0FE4" w:rsidRPr="00283A38">
        <w:t xml:space="preserve"> </w:t>
      </w:r>
      <w:r w:rsidRPr="00283A38">
        <w:t>no benefit with respect to other treatment options</w:t>
      </w:r>
      <w:r w:rsidR="00147EBA">
        <w:t xml:space="preserve"> (direct or indirect)</w:t>
      </w:r>
      <w:r w:rsidRPr="00283A38">
        <w:t xml:space="preserve"> was tested by the included studies</w:t>
      </w:r>
      <w:r>
        <w:t xml:space="preserve">. </w:t>
      </w:r>
      <w:r w:rsidR="002A0FE4">
        <w:t>Also</w:t>
      </w:r>
      <w:r>
        <w:t>, information given on patient details within studies was</w:t>
      </w:r>
      <w:r w:rsidR="00EB4D4C">
        <w:t xml:space="preserve"> scarce and measured in variable units. This was also true of outcome measures; meaning that data was</w:t>
      </w:r>
      <w:r>
        <w:t xml:space="preserve"> not amenable to pooling with a view to undertaking any synthesis such as propensity matched adjustment that would allow for pseudo randomisation </w:t>
      </w:r>
      <w:r w:rsidR="009C64DE">
        <w:fldChar w:fldCharType="begin"/>
      </w:r>
      <w:r w:rsidR="00194054">
        <w:instrText xml:space="preserve"> ADDIN EN.CITE &lt;EndNote&gt;&lt;Cite&gt;&lt;Author&gt;Bosco&lt;/Author&gt;&lt;Year&gt;2010&lt;/Year&gt;&lt;RecNum&gt;122&lt;/RecNum&gt;&lt;DisplayText&gt;(Bosco et al 2010)&lt;/DisplayText&gt;&lt;record&gt;&lt;rec-number&gt;122&lt;/rec-number&gt;&lt;foreign-keys&gt;&lt;key app="EN" db-id="05ssdaw2cf0zvye5xvo5z9ww0xdpfstrdtew" timestamp="1468463244"&gt;122&lt;/key&gt;&lt;/foreign-keys&gt;&lt;ref-type name="Journal Article"&gt;17&lt;/ref-type&gt;&lt;contributors&gt;&lt;authors&gt;&lt;author&gt;Bosco, Jaclyn Lee Fong&lt;/author&gt;&lt;author&gt;Silliman, Rebecca A.&lt;/author&gt;&lt;author&gt;Thwin, Soe Soe&lt;/author&gt;&lt;author&gt;Geiger, Ann M.&lt;/author&gt;&lt;author&gt;Buist, Diana S. M.&lt;/author&gt;&lt;author&gt;Prout, Marianne N.&lt;/author&gt;&lt;author&gt;Yood, Marianne Ulcickas&lt;/author&gt;&lt;author&gt;Haque, Reina&lt;/author&gt;&lt;author&gt;Wei, Feifei&lt;/author&gt;&lt;author&gt;Lash, Timothy L.&lt;/author&gt;&lt;/authors&gt;&lt;/contributors&gt;&lt;titles&gt;&lt;title&gt;A most stubborn bias: No adjustment method fully resolves confounding by indication in observational studies&lt;/title&gt;&lt;secondary-title&gt;Journal of clinical epidemiology&lt;/secondary-title&gt;&lt;/titles&gt;&lt;periodical&gt;&lt;full-title&gt;J Clin Epidemiol&lt;/full-title&gt;&lt;abbr-1&gt;Journal of clinical epidemiology&lt;/abbr-1&gt;&lt;/periodical&gt;&lt;pages&gt;64-74&lt;/pages&gt;&lt;volume&gt;63&lt;/volume&gt;&lt;number&gt;1&lt;/number&gt;&lt;dates&gt;&lt;year&gt;2010&lt;/year&gt;&lt;pub-dates&gt;&lt;date&gt;05/19&lt;/date&gt;&lt;/pub-dates&gt;&lt;/dates&gt;&lt;isbn&gt;0895-4356&amp;#xD;1878-5921&lt;/isbn&gt;&lt;accession-num&gt;PMC2789188&lt;/accession-num&gt;&lt;urls&gt;&lt;related-urls&gt;&lt;url&gt;http://www.ncbi.nlm.nih.gov/pmc/articles/PMC2789188/&lt;/url&gt;&lt;/related-urls&gt;&lt;/urls&gt;&lt;electronic-resource-num&gt;10.1016/j.jclinepi.2009.03.001&lt;/electronic-resource-num&gt;&lt;remote-database-name&gt;PMC&lt;/remote-database-name&gt;&lt;/record&gt;&lt;/Cite&gt;&lt;/EndNote&gt;</w:instrText>
      </w:r>
      <w:r w:rsidR="009C64DE">
        <w:fldChar w:fldCharType="separate"/>
      </w:r>
      <w:r w:rsidR="009C64DE">
        <w:rPr>
          <w:noProof/>
        </w:rPr>
        <w:t>(</w:t>
      </w:r>
      <w:hyperlink w:anchor="_ENREF_23" w:tooltip="Bosco, 2010 #122" w:history="1">
        <w:r w:rsidR="00320458">
          <w:rPr>
            <w:noProof/>
          </w:rPr>
          <w:t>Bosco et al 2010</w:t>
        </w:r>
      </w:hyperlink>
      <w:r w:rsidR="009C64DE">
        <w:rPr>
          <w:noProof/>
        </w:rPr>
        <w:t>)</w:t>
      </w:r>
      <w:r w:rsidR="009C64DE">
        <w:fldChar w:fldCharType="end"/>
      </w:r>
      <w:r>
        <w:t xml:space="preserve">. </w:t>
      </w:r>
      <w:r w:rsidR="009B1CF2">
        <w:t>Because of these limitations n</w:t>
      </w:r>
      <w:r w:rsidR="00EB4D4C">
        <w:t xml:space="preserve">o statistical comparisons </w:t>
      </w:r>
      <w:r w:rsidR="009B1CF2">
        <w:t xml:space="preserve">could </w:t>
      </w:r>
      <w:r w:rsidR="00EB4D4C">
        <w:t xml:space="preserve">be made across the studies of different interventions. </w:t>
      </w:r>
      <w:r>
        <w:t>Authors of MTA studies were contacted in an effort to obtain raw data; however,</w:t>
      </w:r>
      <w:r w:rsidR="002A0FE4">
        <w:t xml:space="preserve"> low</w:t>
      </w:r>
      <w:r>
        <w:t xml:space="preserve"> response rates and </w:t>
      </w:r>
      <w:r w:rsidR="009B1CF2">
        <w:t xml:space="preserve">the </w:t>
      </w:r>
      <w:r>
        <w:t xml:space="preserve">format of data received precluded its use. </w:t>
      </w:r>
    </w:p>
    <w:p w14:paraId="58EAACE1" w14:textId="77777777" w:rsidR="00207B50" w:rsidRDefault="00E00830" w:rsidP="00283A38">
      <w:r>
        <w:t xml:space="preserve">When possible, measures of central tendency across studies including the mean and or median from the data as well as an indication of variance have been provided. </w:t>
      </w:r>
      <w:r w:rsidR="00EB4D4C">
        <w:t>Studies of MTA are both scarce and of low quality, raising concerns about their suitability for assessment</w:t>
      </w:r>
      <w:r w:rsidR="009B1CF2">
        <w:t>. T</w:t>
      </w:r>
      <w:r w:rsidR="00EB4D4C">
        <w:t>hese issues are also prevalent amongst studies of other interventions used in these populations. Although a greater number of studies have been published on radiotherapy, surgical resection and RFA the vast majority of these studies are also retrospective case series studies with similar issues in terms of</w:t>
      </w:r>
      <w:r w:rsidR="002A0FE4">
        <w:t xml:space="preserve"> reporting of</w:t>
      </w:r>
      <w:r w:rsidR="00EB4D4C">
        <w:t xml:space="preserve"> outcome measures. </w:t>
      </w:r>
      <w:r w:rsidR="00AB6EEE">
        <w:t xml:space="preserve">The </w:t>
      </w:r>
      <w:r w:rsidR="00EB4D4C">
        <w:t>evidence base</w:t>
      </w:r>
      <w:r w:rsidR="00AB6EEE">
        <w:t>, including outcome measures,</w:t>
      </w:r>
      <w:r w:rsidR="00EB4D4C">
        <w:t xml:space="preserve"> for all interventions is characterised by a low level of evide</w:t>
      </w:r>
      <w:r w:rsidR="00147EBA">
        <w:t>nce (of varying quantity), poor reporting of outcome definitions</w:t>
      </w:r>
      <w:r w:rsidR="009B1CF2">
        <w:t>,</w:t>
      </w:r>
      <w:r w:rsidR="00147EBA">
        <w:t xml:space="preserve"> and un-quantifiable levels of uncertainty regarding </w:t>
      </w:r>
      <w:r w:rsidR="002A0FE4">
        <w:t>the impact of</w:t>
      </w:r>
      <w:r w:rsidR="00147EBA">
        <w:t xml:space="preserve"> patient prognostic factors or the effect of the intervention</w:t>
      </w:r>
      <w:r w:rsidR="002A0FE4">
        <w:t xml:space="preserve"> on study results</w:t>
      </w:r>
      <w:r w:rsidR="00147EBA">
        <w:t>.</w:t>
      </w:r>
    </w:p>
    <w:p w14:paraId="23660E7D" w14:textId="77777777" w:rsidR="00A9748D" w:rsidRDefault="00A9748D" w:rsidP="00A9748D">
      <w:pPr>
        <w:spacing w:before="500"/>
        <w:rPr>
          <w:b/>
          <w:i/>
        </w:rPr>
      </w:pPr>
    </w:p>
    <w:p w14:paraId="3DF70D6E" w14:textId="77777777" w:rsidR="005801C1" w:rsidRPr="006D18FE" w:rsidRDefault="005801C1" w:rsidP="00A9748D">
      <w:pPr>
        <w:spacing w:before="500"/>
        <w:rPr>
          <w:b/>
          <w:i/>
        </w:rPr>
      </w:pPr>
      <w:r w:rsidRPr="006D18FE">
        <w:rPr>
          <w:b/>
          <w:i/>
        </w:rPr>
        <w:lastRenderedPageBreak/>
        <w:t xml:space="preserve">Safety </w:t>
      </w:r>
    </w:p>
    <w:p w14:paraId="49CAF8B2" w14:textId="77777777" w:rsidR="007F2CE3" w:rsidRDefault="005801C1" w:rsidP="005801C1">
      <w:r>
        <w:t xml:space="preserve">The </w:t>
      </w:r>
      <w:r w:rsidRPr="005801C1">
        <w:t>International Working Group on Image-guided Tumour Ablation</w:t>
      </w:r>
      <w:r>
        <w:t xml:space="preserve"> has defined major complications, minor complications and side effects and </w:t>
      </w:r>
      <w:proofErr w:type="gramStart"/>
      <w:r>
        <w:t>make</w:t>
      </w:r>
      <w:proofErr w:type="gramEnd"/>
      <w:r>
        <w:t xml:space="preserve"> recommendations regarding the reporting of those outcomes. According to this working group a major complication is an event leading “</w:t>
      </w:r>
      <w:r w:rsidRPr="007F2CE3">
        <w:rPr>
          <w:i/>
        </w:rPr>
        <w:t>to substantial morbidity and disability, increasing the level of care, or results in hospital admission or substantially lengthened hospital stay</w:t>
      </w:r>
      <w:r>
        <w:t>”. All other complications are considered minor, whilst side effects are defined as “</w:t>
      </w:r>
      <w:r w:rsidRPr="007F2CE3">
        <w:rPr>
          <w:i/>
        </w:rPr>
        <w:t>expected undesired consequences of the procedure that, although occurring frequently, rarely if ever result in substantial morbidity</w:t>
      </w:r>
      <w:r>
        <w:t>”. For example</w:t>
      </w:r>
      <w:r w:rsidR="00AB6EEE">
        <w:t>, in these populations,</w:t>
      </w:r>
      <w:r>
        <w:t xml:space="preserve"> pneumothorax requiring chest tube drainage would be considered a major complication whilst pneumothorax that resolves spontaneously would be considered a minor complication. Side effects </w:t>
      </w:r>
      <w:r w:rsidR="00AB6EEE">
        <w:t xml:space="preserve">may </w:t>
      </w:r>
      <w:r>
        <w:t xml:space="preserve">include pain, </w:t>
      </w:r>
      <w:r w:rsidR="00CA6DFD">
        <w:t>post ablation</w:t>
      </w:r>
      <w:r>
        <w:t xml:space="preserve"> syndrome and asymptomatic pleural effusion. The working group recommends that complications should be reported on a per-session basis. </w:t>
      </w:r>
    </w:p>
    <w:p w14:paraId="0AB3A64D" w14:textId="77777777" w:rsidR="005801C1" w:rsidRDefault="007F2CE3" w:rsidP="005801C1">
      <w:r>
        <w:t>T</w:t>
      </w:r>
      <w:r w:rsidR="005801C1">
        <w:t>he included studies infrequently reported the classification of the adverse event</w:t>
      </w:r>
      <w:r w:rsidR="003D5BE8">
        <w:t>s</w:t>
      </w:r>
      <w:r w:rsidR="005801C1">
        <w:t xml:space="preserve"> and</w:t>
      </w:r>
      <w:r w:rsidR="00AB6EEE">
        <w:t>,</w:t>
      </w:r>
      <w:r w:rsidR="005801C1">
        <w:t xml:space="preserve"> owing to limited reporting</w:t>
      </w:r>
      <w:r w:rsidR="00AB6EEE">
        <w:t>,</w:t>
      </w:r>
      <w:r w:rsidR="005801C1">
        <w:t xml:space="preserve"> it was often difficult to distinguish features of the adverse event that may have required additional treatment. For example, differentiating pleural effusion into major and minor pleural effusions was largely not possible. </w:t>
      </w:r>
      <w:r>
        <w:t>Similarly the retrospective nature of the majority of the included studies meant that it is not possible to know whether no adverse events occurred or whether no adverse events were reported. In the event that studies made explicit statements such as “no other complications or side effects occurred” events that were not reported were assumed to be nil. However, most events have been recorded as not reported rather than assumed to be nil. Resultantly, pooled estimates of adverse events are largely inappropriate. For the outcome of mortality and pneumothorax a pooled event rate has been calculated as this was reported by the vast majority of studies. However, for other outcomes reporting en masse is given as a measure of central te</w:t>
      </w:r>
      <w:r w:rsidR="000D29BC">
        <w:t xml:space="preserve">ndency and an associated range as these outcomes are more sparsely reported and less amenable to pooling. </w:t>
      </w:r>
    </w:p>
    <w:p w14:paraId="28FF7F16" w14:textId="77777777" w:rsidR="005801C1" w:rsidRPr="006D18FE" w:rsidRDefault="00E349D9" w:rsidP="00A9748D">
      <w:pPr>
        <w:spacing w:before="500"/>
        <w:rPr>
          <w:b/>
          <w:i/>
        </w:rPr>
      </w:pPr>
      <w:r w:rsidRPr="006D18FE">
        <w:rPr>
          <w:b/>
          <w:i/>
        </w:rPr>
        <w:t xml:space="preserve">Overall </w:t>
      </w:r>
      <w:r w:rsidR="006815E7" w:rsidRPr="006D18FE">
        <w:rPr>
          <w:b/>
          <w:i/>
        </w:rPr>
        <w:t xml:space="preserve">and relative survival outcomes </w:t>
      </w:r>
      <w:r w:rsidR="00207B50" w:rsidRPr="006D18FE">
        <w:rPr>
          <w:b/>
          <w:i/>
        </w:rPr>
        <w:t>(primary effectiveness)</w:t>
      </w:r>
    </w:p>
    <w:p w14:paraId="6CBB41C9" w14:textId="77777777" w:rsidR="009B17A1" w:rsidRDefault="00464E5C" w:rsidP="00464E5C">
      <w:r>
        <w:t xml:space="preserve">Survival outcomes are intended to speak to the underlying aim of prolonging life through cure or reduction in disease burden. Within studies of MTA survival outcomes were reported, typically, as Kaplan-Meier estimates with 95 per cent confidence intervals. These were reported as median overall survival time as well as survival rates at 1-, 2-, 3- and 5- years post procedure. </w:t>
      </w:r>
      <w:r w:rsidR="009B17A1">
        <w:t>In some studies the cancer-specific survival for patients was also reported, although this was infrequent. There are several issues to consider with respect to outcome measures for survival in retrospective case series data:</w:t>
      </w:r>
    </w:p>
    <w:p w14:paraId="66D7B135" w14:textId="77777777" w:rsidR="009B17A1" w:rsidRDefault="009B17A1" w:rsidP="009970F5">
      <w:pPr>
        <w:pStyle w:val="ListParagraph"/>
        <w:numPr>
          <w:ilvl w:val="0"/>
          <w:numId w:val="14"/>
        </w:numPr>
      </w:pPr>
      <w:r>
        <w:lastRenderedPageBreak/>
        <w:t xml:space="preserve">The majority of included studies did not report </w:t>
      </w:r>
      <w:r w:rsidR="000F3D2B">
        <w:t xml:space="preserve">approach to </w:t>
      </w:r>
      <w:r>
        <w:t>losses to follow-up</w:t>
      </w:r>
      <w:r w:rsidR="00991425">
        <w:t xml:space="preserve"> or if there were any</w:t>
      </w:r>
      <w:r>
        <w:t xml:space="preserve">. This </w:t>
      </w:r>
      <w:r w:rsidR="00991425">
        <w:t>will have</w:t>
      </w:r>
      <w:r>
        <w:t xml:space="preserve"> affect</w:t>
      </w:r>
      <w:r w:rsidR="00991425">
        <w:t>ed</w:t>
      </w:r>
      <w:r>
        <w:t xml:space="preserve"> censoring of patients. However, this may be tempered by the fact that retrospective studies probably selected only those </w:t>
      </w:r>
      <w:r w:rsidR="000C6B85">
        <w:t>patients with available records which introduces some selection bias.</w:t>
      </w:r>
    </w:p>
    <w:p w14:paraId="7BB61B63" w14:textId="77777777" w:rsidR="00E349D9" w:rsidRDefault="00E349D9" w:rsidP="009970F5">
      <w:pPr>
        <w:pStyle w:val="ListParagraph"/>
        <w:numPr>
          <w:ilvl w:val="0"/>
          <w:numId w:val="14"/>
        </w:numPr>
      </w:pPr>
      <w:r>
        <w:t xml:space="preserve">Small sample size and retrospective study design means that </w:t>
      </w:r>
      <w:r w:rsidR="006815E7">
        <w:t>differences in prognostic factors within study groups are</w:t>
      </w:r>
      <w:r>
        <w:t xml:space="preserve"> likely to contribute to differences in point estimates. For example, certain tumour factors such as size greater than 35 mm in diameter might be associated with a poorer prognosis; however, subgroup analysis with respect to such factors was not routinely undertaken. </w:t>
      </w:r>
    </w:p>
    <w:p w14:paraId="14459CB4" w14:textId="77777777" w:rsidR="00991425" w:rsidRDefault="00991425" w:rsidP="009970F5">
      <w:pPr>
        <w:pStyle w:val="ListParagraph"/>
        <w:numPr>
          <w:ilvl w:val="0"/>
          <w:numId w:val="14"/>
        </w:numPr>
      </w:pPr>
      <w:r>
        <w:t>Sample sizes were gene</w:t>
      </w:r>
      <w:r w:rsidR="00CA2D74">
        <w:t xml:space="preserve">rally small (&lt;50 patients), </w:t>
      </w:r>
      <w:r w:rsidR="005823ED">
        <w:t xml:space="preserve">which </w:t>
      </w:r>
      <w:r w:rsidR="00CA2D74">
        <w:t>reduces the reliability of the estimates.</w:t>
      </w:r>
      <w:r>
        <w:t xml:space="preserve"> </w:t>
      </w:r>
    </w:p>
    <w:p w14:paraId="4D99630E" w14:textId="77777777" w:rsidR="00F32119" w:rsidRPr="006D18FE" w:rsidRDefault="008838AD" w:rsidP="0044026A">
      <w:pPr>
        <w:spacing w:before="500"/>
        <w:rPr>
          <w:b/>
          <w:i/>
        </w:rPr>
      </w:pPr>
      <w:r w:rsidRPr="006D18FE">
        <w:rPr>
          <w:b/>
          <w:i/>
        </w:rPr>
        <w:t>P</w:t>
      </w:r>
      <w:r w:rsidR="00F32119" w:rsidRPr="006D18FE">
        <w:rPr>
          <w:b/>
          <w:i/>
        </w:rPr>
        <w:t>rogres</w:t>
      </w:r>
      <w:r w:rsidRPr="006D18FE">
        <w:rPr>
          <w:b/>
          <w:i/>
        </w:rPr>
        <w:t>sion free survival and time to progression</w:t>
      </w:r>
      <w:r w:rsidR="00207B50" w:rsidRPr="006D18FE">
        <w:rPr>
          <w:b/>
          <w:i/>
        </w:rPr>
        <w:t xml:space="preserve"> (secondary effectiveness)</w:t>
      </w:r>
    </w:p>
    <w:p w14:paraId="1079FCBC" w14:textId="7A725B8E" w:rsidR="008838AD" w:rsidRDefault="00F32119" w:rsidP="00583BBA">
      <w:r>
        <w:t>There are a range of outcomes used to report on the local control of tumours including progression free survival and time to local progression. The term</w:t>
      </w:r>
      <w:r w:rsidR="00D54809">
        <w:t>s</w:t>
      </w:r>
      <w:r>
        <w:t xml:space="preserve"> </w:t>
      </w:r>
      <w:r w:rsidR="00E06C94">
        <w:t>‘</w:t>
      </w:r>
      <w:r>
        <w:t>recurrence</w:t>
      </w:r>
      <w:r w:rsidR="00E06C94">
        <w:t>’</w:t>
      </w:r>
      <w:r>
        <w:t xml:space="preserve"> and </w:t>
      </w:r>
      <w:r w:rsidR="00E06C94">
        <w:t>‘</w:t>
      </w:r>
      <w:r>
        <w:t>progression</w:t>
      </w:r>
      <w:r w:rsidR="00E06C94">
        <w:t>’</w:t>
      </w:r>
      <w:r>
        <w:t xml:space="preserve"> are fr</w:t>
      </w:r>
      <w:r w:rsidR="00583BBA">
        <w:t>equently used interchangeably</w:t>
      </w:r>
      <w:r w:rsidR="000F3D2B">
        <w:t>. I</w:t>
      </w:r>
      <w:r w:rsidR="00583BBA">
        <w:t xml:space="preserve">n practice, it is not usually possible to distinguish between </w:t>
      </w:r>
      <w:r w:rsidR="00E06C94">
        <w:t xml:space="preserve">an </w:t>
      </w:r>
      <w:r w:rsidR="00583BBA">
        <w:t>incompletely treated viable tumour that continued to grow (recurrence)</w:t>
      </w:r>
      <w:r w:rsidR="00E06C94">
        <w:t>,</w:t>
      </w:r>
      <w:r w:rsidR="00583BBA">
        <w:t xml:space="preserve"> or a new tumour</w:t>
      </w:r>
      <w:r w:rsidR="005823ED">
        <w:t xml:space="preserve"> which</w:t>
      </w:r>
      <w:r w:rsidR="00583BBA">
        <w:t xml:space="preserve"> is growing at the treated site</w:t>
      </w:r>
      <w:r w:rsidR="008838AD">
        <w:t xml:space="preserve"> </w:t>
      </w:r>
      <w:r w:rsidR="009C64DE">
        <w:fldChar w:fldCharType="begin">
          <w:fldData xml:space="preserve">PEVuZE5vdGU+PENpdGU+PEF1dGhvcj5Hb2xkYmVyZzwvQXV0aG9yPjxZZWFyPjIwMDU8L1llYXI+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dGl0bGU+PGFiYnItMT5SYWRpb2xvZ3k8L2FiYnItMT48L2FsdC1wZXJpb2RpY2FsPjxwYWdlcz43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=
</w:fldData>
        </w:fldChar>
      </w:r>
      <w:r w:rsidR="00194054">
        <w:instrText xml:space="preserve"> ADDIN EN.CITE </w:instrText>
      </w:r>
      <w:r w:rsidR="00194054">
        <w:fldChar w:fldCharType="begin">
          <w:fldData xml:space="preserve">PEVuZE5vdGU+PENpdGU+PEF1dGhvcj5Hb2xkYmVyZzwvQXV0aG9yPjxZZWFyPjIwMDU8L1llYXI+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dGl0bGU+PGFiYnItMT5SYWRpb2xvZ3k8L2FiYnItMT48L2FsdC1wZXJpb2RpY2FsPjxwYWdlcz43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=
</w:fldData>
        </w:fldChar>
      </w:r>
      <w:r w:rsidR="00194054">
        <w:instrText xml:space="preserve"> ADDIN EN.CITE.DATA </w:instrText>
      </w:r>
      <w:r w:rsidR="00194054">
        <w:fldChar w:fldCharType="end"/>
      </w:r>
      <w:r w:rsidR="009C64DE">
        <w:fldChar w:fldCharType="separate"/>
      </w:r>
      <w:r w:rsidR="009C64DE">
        <w:rPr>
          <w:noProof/>
        </w:rPr>
        <w:t>(</w:t>
      </w:r>
      <w:hyperlink w:anchor="_ENREF_57" w:tooltip="Goldberg, 2005 #90" w:history="1">
        <w:r w:rsidR="00320458">
          <w:rPr>
            <w:noProof/>
          </w:rPr>
          <w:t>Goldberg et al 2005</w:t>
        </w:r>
      </w:hyperlink>
      <w:r w:rsidR="009C64DE">
        <w:rPr>
          <w:noProof/>
        </w:rPr>
        <w:t>)</w:t>
      </w:r>
      <w:r w:rsidR="009C64DE">
        <w:fldChar w:fldCharType="end"/>
      </w:r>
      <w:r w:rsidR="00583BBA">
        <w:t xml:space="preserve">. The term </w:t>
      </w:r>
      <w:r w:rsidR="00E06C94">
        <w:t>‘</w:t>
      </w:r>
      <w:r w:rsidR="00583BBA">
        <w:t>progression</w:t>
      </w:r>
      <w:r w:rsidR="00E06C94">
        <w:t>’</w:t>
      </w:r>
      <w:r w:rsidR="00583BBA">
        <w:t xml:space="preserve"> is used preferentially within this report. Progression is usually defined as enhancement on CT following treatment, and definitions for what constitutes enhancement </w:t>
      </w:r>
      <w:r w:rsidR="00E06C94">
        <w:t xml:space="preserve">varies </w:t>
      </w:r>
      <w:r w:rsidR="00583BBA">
        <w:t>substantially across studies making it difficult to compare across</w:t>
      </w:r>
      <w:r w:rsidR="005823ED">
        <w:t xml:space="preserve"> the evidence base</w:t>
      </w:r>
      <w:r w:rsidR="00583BBA">
        <w:t xml:space="preserve">. </w:t>
      </w:r>
    </w:p>
    <w:p w14:paraId="32E17A4F" w14:textId="77777777" w:rsidR="008838AD" w:rsidRDefault="00583BBA" w:rsidP="00583BBA">
      <w:r>
        <w:t xml:space="preserve">Progression free survival (PFS), in general, is calculated from time of treatment until progression at the treatment site, distant disease or death. However, time to local progression </w:t>
      </w:r>
      <w:r w:rsidR="008838AD">
        <w:t>(TTLP) is generally calculated from the time of treatment to progression at the treatment site and does not include deaths or distant disease. A complication for the comparison of PFS and TTLP across studies (for any intervention) is variation in:</w:t>
      </w:r>
    </w:p>
    <w:p w14:paraId="0F1E0384" w14:textId="77777777" w:rsidR="008838AD" w:rsidRDefault="00E06C94" w:rsidP="009970F5">
      <w:pPr>
        <w:pStyle w:val="ListParagraph"/>
        <w:numPr>
          <w:ilvl w:val="0"/>
          <w:numId w:val="15"/>
        </w:numPr>
      </w:pPr>
      <w:r>
        <w:t xml:space="preserve">definitions </w:t>
      </w:r>
      <w:r w:rsidR="008838AD">
        <w:t>of progression at the local site;</w:t>
      </w:r>
    </w:p>
    <w:p w14:paraId="0D799820" w14:textId="77777777" w:rsidR="008838AD" w:rsidRDefault="00E06C94" w:rsidP="009970F5">
      <w:pPr>
        <w:pStyle w:val="ListParagraph"/>
        <w:numPr>
          <w:ilvl w:val="0"/>
          <w:numId w:val="15"/>
        </w:numPr>
      </w:pPr>
      <w:r>
        <w:t xml:space="preserve">whether </w:t>
      </w:r>
      <w:r w:rsidR="008838AD">
        <w:t>deaths or distant disease are included in measures of PFS; and</w:t>
      </w:r>
    </w:p>
    <w:p w14:paraId="0CCDCDCF" w14:textId="77777777" w:rsidR="008838AD" w:rsidRDefault="00E06C94" w:rsidP="009970F5">
      <w:pPr>
        <w:pStyle w:val="ListParagraph"/>
        <w:numPr>
          <w:ilvl w:val="0"/>
          <w:numId w:val="15"/>
        </w:numPr>
      </w:pPr>
      <w:proofErr w:type="gramStart"/>
      <w:r>
        <w:t>lack</w:t>
      </w:r>
      <w:proofErr w:type="gramEnd"/>
      <w:r>
        <w:t xml:space="preserve"> </w:t>
      </w:r>
      <w:r w:rsidR="008838AD">
        <w:t>of clarity in reporting definitions.</w:t>
      </w:r>
    </w:p>
    <w:p w14:paraId="4E5D2AEE" w14:textId="77777777" w:rsidR="008838AD" w:rsidRDefault="008838AD" w:rsidP="00F32119">
      <w:r>
        <w:t>These issues largely preclude the pooling of study reports. Where measures of central tendency across studies are provided</w:t>
      </w:r>
      <w:r w:rsidR="00E06C94">
        <w:t>,</w:t>
      </w:r>
      <w:r>
        <w:t xml:space="preserve"> any uncertainty around definitions or potential explanations of inconsistency in results has been noted. </w:t>
      </w:r>
    </w:p>
    <w:p w14:paraId="6744D728" w14:textId="77777777" w:rsidR="007C5EDD" w:rsidRPr="006D18FE" w:rsidRDefault="007C5EDD" w:rsidP="00A9748D">
      <w:pPr>
        <w:spacing w:before="500"/>
        <w:rPr>
          <w:b/>
          <w:i/>
        </w:rPr>
      </w:pPr>
      <w:r w:rsidRPr="006D18FE">
        <w:rPr>
          <w:b/>
          <w:i/>
        </w:rPr>
        <w:lastRenderedPageBreak/>
        <w:t xml:space="preserve">Local control </w:t>
      </w:r>
      <w:r w:rsidR="00207B50" w:rsidRPr="006D18FE">
        <w:rPr>
          <w:b/>
          <w:i/>
        </w:rPr>
        <w:t>(secondary effectiveness)</w:t>
      </w:r>
    </w:p>
    <w:p w14:paraId="56FF0C8C" w14:textId="77777777" w:rsidR="008F0033" w:rsidRDefault="007C5EDD" w:rsidP="007C5EDD">
      <w:r>
        <w:t xml:space="preserve">Local control measures act as a surrogate measure of effectiveness in that they evaluate the mechanism of effect, i.e. destruction of the tumour and durability of that treatment.  A range of local control outcomes were reported within the included studies </w:t>
      </w:r>
      <w:r w:rsidR="00175132">
        <w:t>which</w:t>
      </w:r>
      <w:r>
        <w:t xml:space="preserve"> vary in terms of the definition of the measure and in terms of time points at which the outcome was measured. </w:t>
      </w:r>
    </w:p>
    <w:p w14:paraId="119129BC" w14:textId="77777777" w:rsidR="00F32119" w:rsidRDefault="008F0033" w:rsidP="007C5EDD">
      <w:r>
        <w:rPr>
          <w:i/>
        </w:rPr>
        <w:t xml:space="preserve">Local recurrence rate </w:t>
      </w:r>
      <w:r>
        <w:t xml:space="preserve">could include the number of patients at the end of a study with local recurrence, the number of patients with local recurrence at a particular time point such as at </w:t>
      </w:r>
      <w:r w:rsidR="00175132">
        <w:t xml:space="preserve">the 6 </w:t>
      </w:r>
      <w:r>
        <w:t>month CT</w:t>
      </w:r>
      <w:r w:rsidR="005823ED">
        <w:t>,</w:t>
      </w:r>
      <w:r>
        <w:t xml:space="preserve"> or it could be reported as the number of patients with local recurrence at </w:t>
      </w:r>
      <w:r w:rsidR="00175132">
        <w:t>1, 2, 3</w:t>
      </w:r>
      <w:r>
        <w:t xml:space="preserve"> years etc. In addition to differences in reporting time points some studies also reported </w:t>
      </w:r>
      <w:r>
        <w:rPr>
          <w:i/>
        </w:rPr>
        <w:t>local recurrence</w:t>
      </w:r>
      <w:r>
        <w:t xml:space="preserve"> </w:t>
      </w:r>
      <w:r w:rsidRPr="008F0033">
        <w:rPr>
          <w:i/>
        </w:rPr>
        <w:t>rates</w:t>
      </w:r>
      <w:r>
        <w:t xml:space="preserve"> as Kaplan-Meier estimates. </w:t>
      </w:r>
    </w:p>
    <w:p w14:paraId="1A3BDA56" w14:textId="70D1B8F7" w:rsidR="007E5FD0" w:rsidRDefault="008F0033" w:rsidP="0044026A">
      <w:pPr>
        <w:spacing w:before="500"/>
        <w:rPr>
          <w:b/>
          <w:i/>
        </w:rPr>
      </w:pPr>
      <w:r w:rsidRPr="007E5FD0">
        <w:rPr>
          <w:b/>
          <w:i/>
        </w:rPr>
        <w:t>Tumour progression</w:t>
      </w:r>
      <w:r w:rsidR="00FF5480">
        <w:rPr>
          <w:b/>
          <w:i/>
        </w:rPr>
        <w:t xml:space="preserve"> (secondary effectiveness)</w:t>
      </w:r>
    </w:p>
    <w:p w14:paraId="08FAC0BB" w14:textId="0CB2CB8E" w:rsidR="008F0033" w:rsidRPr="008F0033" w:rsidRDefault="003A5B1A" w:rsidP="007C5EDD">
      <w:r w:rsidRPr="003A5B1A">
        <w:t>Tumour progression</w:t>
      </w:r>
      <w:r>
        <w:t xml:space="preserve"> </w:t>
      </w:r>
      <w:r w:rsidR="008F0033">
        <w:t xml:space="preserve">was a measure of local control reported in some studies and it </w:t>
      </w:r>
      <w:r w:rsidR="00207B50">
        <w:t xml:space="preserve">was generally based on the modified </w:t>
      </w:r>
      <w:r w:rsidR="00207B50" w:rsidRPr="00207B50">
        <w:t>response evaluation criteria in solid tumour</w:t>
      </w:r>
      <w:r w:rsidR="00207B50">
        <w:t xml:space="preserve"> (RECIST) </w:t>
      </w:r>
      <w:r w:rsidR="009C64DE">
        <w:fldChar w:fldCharType="begin">
          <w:fldData xml:space="preserve">PEVuZE5vdGU+PENpdGU+PEF1dGhvcj5UaGVyYXNzZTwvQXV0aG9yPjxZZWFyPjIwMDA8L1llYXI+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</w:fldData>
        </w:fldChar>
      </w:r>
      <w:r w:rsidR="00194054">
        <w:instrText xml:space="preserve"> ADDIN EN.CITE </w:instrText>
      </w:r>
      <w:r w:rsidR="00194054">
        <w:fldChar w:fldCharType="begin">
          <w:fldData xml:space="preserve">PEVuZE5vdGU+PENpdGU+PEF1dGhvcj5UaGVyYXNzZTwvQXV0aG9yPjxZZWFyPjIwMDA8L1llYXI+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</w:fldData>
        </w:fldChar>
      </w:r>
      <w:r w:rsidR="00194054">
        <w:instrText xml:space="preserve"> ADDIN EN.CITE.DATA </w:instrText>
      </w:r>
      <w:r w:rsidR="00194054">
        <w:fldChar w:fldCharType="end"/>
      </w:r>
      <w:r w:rsidR="009C64DE">
        <w:fldChar w:fldCharType="separate"/>
      </w:r>
      <w:r w:rsidR="009C64DE">
        <w:rPr>
          <w:noProof/>
        </w:rPr>
        <w:t>(</w:t>
      </w:r>
      <w:hyperlink w:anchor="_ENREF_156" w:tooltip="Therasse, 2000 #123" w:history="1">
        <w:r w:rsidR="00320458">
          <w:rPr>
            <w:noProof/>
          </w:rPr>
          <w:t>Therasse et al 2000</w:t>
        </w:r>
      </w:hyperlink>
      <w:r w:rsidR="009C64DE">
        <w:rPr>
          <w:noProof/>
        </w:rPr>
        <w:t>)</w:t>
      </w:r>
      <w:r w:rsidR="009C64DE">
        <w:fldChar w:fldCharType="end"/>
      </w:r>
      <w:r w:rsidR="00207B50">
        <w:t xml:space="preserve">. The RECIST criteria are generally measured relatively soon after procedures. Variability in reporting of this outcome, and its uncertain relationship with patient relevant outcomes such as survival, resulted in the decision not to report this local control outcome within the body of the report. </w:t>
      </w:r>
    </w:p>
    <w:p w14:paraId="16C07897" w14:textId="77777777" w:rsidR="00F32119" w:rsidRPr="006D18FE" w:rsidRDefault="00207B50" w:rsidP="0044026A">
      <w:pPr>
        <w:spacing w:before="500"/>
        <w:rPr>
          <w:b/>
          <w:i/>
        </w:rPr>
      </w:pPr>
      <w:r w:rsidRPr="006D18FE">
        <w:rPr>
          <w:b/>
          <w:i/>
        </w:rPr>
        <w:t>Patient reported outcomes, symptom relief or quality of life</w:t>
      </w:r>
      <w:r w:rsidR="009C64DE" w:rsidRPr="006D18FE">
        <w:rPr>
          <w:b/>
          <w:i/>
        </w:rPr>
        <w:t xml:space="preserve"> (primary effectiveness for population three)</w:t>
      </w:r>
    </w:p>
    <w:p w14:paraId="70DEE43C" w14:textId="77777777" w:rsidR="00F32119" w:rsidRDefault="00207B50" w:rsidP="006815E7">
      <w:r>
        <w:t xml:space="preserve">No studies reporting these outcomes were identified and therefore no information regarding the potentially benefits or harms of MTA for patient relevant factors can be provided. </w:t>
      </w:r>
    </w:p>
    <w:p w14:paraId="31E6D885" w14:textId="77777777" w:rsidR="004C5A84" w:rsidRPr="00183E4D" w:rsidRDefault="004C5A84" w:rsidP="008D77C9"/>
    <w:p w14:paraId="000D3093" w14:textId="77777777" w:rsidR="004C5A84" w:rsidRPr="00183E4D" w:rsidRDefault="004C5A84" w:rsidP="008D77C9">
      <w:pPr>
        <w:sectPr w:rsidR="004C5A84" w:rsidRPr="00183E4D" w:rsidSect="0024526E">
          <w:pgSz w:w="11906" w:h="16838"/>
          <w:pgMar w:top="1440" w:right="1440" w:bottom="1440" w:left="1440" w:header="720" w:footer="720" w:gutter="0"/>
          <w:paperSrc w:first="2" w:other="2"/>
          <w:cols w:space="720"/>
        </w:sectPr>
      </w:pPr>
    </w:p>
    <w:p w14:paraId="150D2B1B" w14:textId="77777777" w:rsidR="00214F7B" w:rsidRPr="00183E4D" w:rsidRDefault="00214F7B" w:rsidP="00647EB9">
      <w:pPr>
        <w:pStyle w:val="Heading2"/>
        <w:numPr>
          <w:ilvl w:val="1"/>
          <w:numId w:val="8"/>
        </w:numPr>
      </w:pPr>
      <w:bookmarkStart w:id="270" w:name="_Toc460396043"/>
      <w:bookmarkStart w:id="271" w:name="_Toc122538326"/>
      <w:bookmarkStart w:id="272" w:name="_Toc143663862"/>
      <w:bookmarkStart w:id="273" w:name="_Ref144697268"/>
      <w:bookmarkStart w:id="274" w:name="_Ref144697275"/>
      <w:r w:rsidRPr="00183E4D">
        <w:lastRenderedPageBreak/>
        <w:t>Results of the Systematic Literature review</w:t>
      </w:r>
      <w:bookmarkEnd w:id="270"/>
    </w:p>
    <w:p w14:paraId="353B6B06" w14:textId="77777777" w:rsidR="008F59A8" w:rsidRDefault="008F59A8" w:rsidP="007434D6">
      <w:pPr>
        <w:pStyle w:val="Heading2"/>
        <w:spacing w:before="300"/>
      </w:pPr>
      <w:bookmarkStart w:id="275" w:name="_Toc460396044"/>
      <w:bookmarkEnd w:id="194"/>
      <w:bookmarkEnd w:id="271"/>
      <w:bookmarkEnd w:id="272"/>
      <w:bookmarkEnd w:id="273"/>
      <w:bookmarkEnd w:id="274"/>
      <w:r w:rsidRPr="00183E4D">
        <w:t xml:space="preserve">Is </w:t>
      </w:r>
      <w:r w:rsidR="00596B74">
        <w:t xml:space="preserve">MTA for ablation of lung cancer </w:t>
      </w:r>
      <w:r w:rsidRPr="00183E4D">
        <w:t>safe?</w:t>
      </w:r>
      <w:bookmarkEnd w:id="195"/>
      <w:bookmarkEnd w:id="275"/>
      <w:r w:rsidRPr="00183E4D">
        <w:t xml:space="preserve"> </w:t>
      </w:r>
      <w:bookmarkEnd w:id="196"/>
    </w:p>
    <w:p w14:paraId="43859FDD" w14:textId="77777777" w:rsidR="005438D9" w:rsidRDefault="005438D9" w:rsidP="00D0646E">
      <w:pPr>
        <w:pStyle w:val="Summaryboxheading"/>
        <w:pBdr>
          <w:top w:val="single" w:sz="4" w:space="1" w:color="auto"/>
          <w:left w:val="single" w:sz="4" w:space="4" w:color="auto"/>
          <w:bottom w:val="single" w:sz="4" w:space="1" w:color="auto"/>
          <w:right w:val="single" w:sz="4" w:space="4" w:color="auto"/>
        </w:pBdr>
        <w:spacing w:before="100" w:afterAutospacing="0"/>
      </w:pPr>
      <w:r>
        <w:t>Summary – Research questions were:</w:t>
      </w:r>
    </w:p>
    <w:p w14:paraId="7852AB03" w14:textId="77777777" w:rsidR="005438D9" w:rsidRDefault="005438D9" w:rsidP="00D0646E">
      <w:pPr>
        <w:pStyle w:val="Summaryboxheading"/>
        <w:pBdr>
          <w:top w:val="single" w:sz="4" w:space="1" w:color="auto"/>
          <w:left w:val="single" w:sz="4" w:space="4" w:color="auto"/>
          <w:bottom w:val="single" w:sz="4" w:space="1" w:color="auto"/>
          <w:right w:val="single" w:sz="4" w:space="4" w:color="auto"/>
        </w:pBdr>
        <w:spacing w:before="100" w:afterAutospacing="0"/>
      </w:pPr>
      <w:r w:rsidRPr="005438D9">
        <w:t xml:space="preserve">What is the safety of </w:t>
      </w:r>
      <w:r w:rsidR="00FB3719">
        <w:t>MTA</w:t>
      </w:r>
      <w:r w:rsidRPr="005438D9">
        <w:t xml:space="preserve"> in patients with early stage inoperable NSCLC as compared to radiofrequency ablation or current best practice radiotherapy with or without chemotherapy? </w:t>
      </w:r>
    </w:p>
    <w:p w14:paraId="1677881B" w14:textId="77777777" w:rsidR="005438D9" w:rsidRDefault="005438D9" w:rsidP="00D0646E">
      <w:pPr>
        <w:pStyle w:val="Summaryboxheading"/>
        <w:pBdr>
          <w:top w:val="single" w:sz="4" w:space="1" w:color="auto"/>
          <w:left w:val="single" w:sz="4" w:space="4" w:color="auto"/>
          <w:bottom w:val="single" w:sz="4" w:space="1" w:color="auto"/>
          <w:right w:val="single" w:sz="4" w:space="4" w:color="auto"/>
        </w:pBdr>
        <w:spacing w:before="100" w:afterAutospacing="0"/>
      </w:pPr>
      <w:r w:rsidRPr="005438D9">
        <w:t xml:space="preserve">What is the safety of </w:t>
      </w:r>
      <w:r w:rsidR="00FB3719">
        <w:t>MTA</w:t>
      </w:r>
      <w:r w:rsidRPr="005438D9">
        <w:t xml:space="preserve"> in patients with lung metastases in whom the primary tumour is under control, treated with curative intent</w:t>
      </w:r>
      <w:r>
        <w:t xml:space="preserve"> </w:t>
      </w:r>
      <w:r w:rsidRPr="005438D9">
        <w:t>as compared to radiofrequency ablation or current best practice radiotherapy with or without chemotherapy</w:t>
      </w:r>
      <w:r>
        <w:t xml:space="preserve"> or surgical resection</w:t>
      </w:r>
      <w:r w:rsidRPr="005438D9">
        <w:t>?</w:t>
      </w:r>
    </w:p>
    <w:p w14:paraId="02AD2A96" w14:textId="77777777" w:rsidR="005438D9" w:rsidRDefault="005438D9" w:rsidP="00D0646E">
      <w:pPr>
        <w:pStyle w:val="Summaryboxheading"/>
        <w:pBdr>
          <w:top w:val="single" w:sz="4" w:space="1" w:color="auto"/>
          <w:left w:val="single" w:sz="4" w:space="4" w:color="auto"/>
          <w:bottom w:val="single" w:sz="4" w:space="1" w:color="auto"/>
          <w:right w:val="single" w:sz="4" w:space="4" w:color="auto"/>
        </w:pBdr>
        <w:spacing w:before="100" w:afterAutospacing="0"/>
      </w:pPr>
      <w:r w:rsidRPr="005438D9">
        <w:t xml:space="preserve">What is the safety of </w:t>
      </w:r>
      <w:r w:rsidR="00FB3719">
        <w:t>MTA</w:t>
      </w:r>
      <w:r w:rsidRPr="005438D9">
        <w:t xml:space="preserve"> in patients with NSCLC or lung metastases being treated with palliative intent</w:t>
      </w:r>
      <w:r>
        <w:t>?</w:t>
      </w:r>
    </w:p>
    <w:p w14:paraId="48476780" w14:textId="77777777" w:rsidR="005438D9" w:rsidRDefault="005438D9" w:rsidP="00D0646E">
      <w:pPr>
        <w:pStyle w:val="Summaryboxheading"/>
        <w:pBdr>
          <w:top w:val="single" w:sz="4" w:space="1" w:color="auto"/>
          <w:left w:val="single" w:sz="4" w:space="4" w:color="auto"/>
          <w:bottom w:val="single" w:sz="4" w:space="1" w:color="auto"/>
          <w:right w:val="single" w:sz="4" w:space="4" w:color="auto"/>
        </w:pBdr>
        <w:spacing w:before="100" w:afterAutospacing="0"/>
        <w:rPr>
          <w:b w:val="0"/>
        </w:rPr>
      </w:pPr>
      <w:r w:rsidRPr="005438D9">
        <w:rPr>
          <w:b w:val="0"/>
        </w:rPr>
        <w:t>No comparative studie</w:t>
      </w:r>
      <w:r w:rsidR="00FB3719">
        <w:rPr>
          <w:b w:val="0"/>
        </w:rPr>
        <w:t>s of MTA were identified to inform these</w:t>
      </w:r>
      <w:r w:rsidRPr="005438D9">
        <w:rPr>
          <w:b w:val="0"/>
        </w:rPr>
        <w:t xml:space="preserve"> research question</w:t>
      </w:r>
      <w:r w:rsidR="00FB3719">
        <w:rPr>
          <w:b w:val="0"/>
        </w:rPr>
        <w:t>s</w:t>
      </w:r>
      <w:r w:rsidRPr="005438D9">
        <w:rPr>
          <w:b w:val="0"/>
        </w:rPr>
        <w:t xml:space="preserve">. </w:t>
      </w:r>
    </w:p>
    <w:p w14:paraId="765A7D61" w14:textId="77777777" w:rsidR="001B3AFA" w:rsidRDefault="001B3AFA" w:rsidP="00D0646E">
      <w:pPr>
        <w:pStyle w:val="Summaryboxheading"/>
        <w:pBdr>
          <w:top w:val="single" w:sz="4" w:space="1" w:color="auto"/>
          <w:left w:val="single" w:sz="4" w:space="4" w:color="auto"/>
          <w:bottom w:val="single" w:sz="4" w:space="1" w:color="auto"/>
          <w:right w:val="single" w:sz="4" w:space="4" w:color="auto"/>
        </w:pBdr>
        <w:spacing w:before="100" w:afterAutospacing="0"/>
        <w:rPr>
          <w:b w:val="0"/>
        </w:rPr>
      </w:pPr>
      <w:r>
        <w:rPr>
          <w:b w:val="0"/>
        </w:rPr>
        <w:t>Due to the low numbers of studies available for each defined population, safety results are provided for MTA for lung cancer as a whole (including studies with a mixed population base) to provide a more robust evidence base. Due to the limited evidence-base and variability in reporting of safety outcomes, is not possible to comment on safety outcomes for each of the three defined populations separately.</w:t>
      </w:r>
    </w:p>
    <w:p w14:paraId="0888E7F4" w14:textId="77777777" w:rsidR="005438D9" w:rsidRDefault="005438D9" w:rsidP="00D0646E">
      <w:pPr>
        <w:pStyle w:val="Summaryboxheading"/>
        <w:pBdr>
          <w:top w:val="single" w:sz="4" w:space="1" w:color="auto"/>
          <w:left w:val="single" w:sz="4" w:space="4" w:color="auto"/>
          <w:bottom w:val="single" w:sz="4" w:space="1" w:color="auto"/>
          <w:right w:val="single" w:sz="4" w:space="4" w:color="auto"/>
        </w:pBdr>
        <w:spacing w:before="100" w:afterAutospacing="0"/>
        <w:rPr>
          <w:b w:val="0"/>
        </w:rPr>
      </w:pPr>
      <w:r w:rsidRPr="005438D9">
        <w:rPr>
          <w:b w:val="0"/>
        </w:rPr>
        <w:t>Procedure-related mortality is a rare adverse event associated with MTA, occurring in less than 1 per cent of all patients (2/</w:t>
      </w:r>
      <w:r w:rsidR="00172E96" w:rsidRPr="005438D9">
        <w:rPr>
          <w:b w:val="0"/>
        </w:rPr>
        <w:t xml:space="preserve">916, </w:t>
      </w:r>
      <w:r w:rsidR="00D640E0">
        <w:rPr>
          <w:b w:val="0"/>
        </w:rPr>
        <w:t>0.22</w:t>
      </w:r>
      <w:r w:rsidRPr="005438D9">
        <w:rPr>
          <w:b w:val="0"/>
        </w:rPr>
        <w:t>%). Mortality within 30 days is also very low, occurring in less than 1 pe</w:t>
      </w:r>
      <w:r w:rsidR="00D640E0">
        <w:rPr>
          <w:b w:val="0"/>
        </w:rPr>
        <w:t>r cent of all patients (1/739, 0.</w:t>
      </w:r>
      <w:r w:rsidRPr="005438D9">
        <w:rPr>
          <w:b w:val="0"/>
        </w:rPr>
        <w:t>1</w:t>
      </w:r>
      <w:r w:rsidR="00D640E0">
        <w:rPr>
          <w:b w:val="0"/>
        </w:rPr>
        <w:t>4</w:t>
      </w:r>
      <w:r w:rsidRPr="005438D9">
        <w:rPr>
          <w:b w:val="0"/>
        </w:rPr>
        <w:t>%).</w:t>
      </w:r>
      <w:r>
        <w:rPr>
          <w:b w:val="0"/>
        </w:rPr>
        <w:t xml:space="preserve"> The mortality profile with RFA is similar and in studies of radiotherapy</w:t>
      </w:r>
      <w:r w:rsidR="005E0D4E">
        <w:rPr>
          <w:b w:val="0"/>
        </w:rPr>
        <w:t>,</w:t>
      </w:r>
      <w:r>
        <w:rPr>
          <w:b w:val="0"/>
        </w:rPr>
        <w:t xml:space="preserve"> procedure-related mortality is a rare event. </w:t>
      </w:r>
      <w:r w:rsidR="00172E96">
        <w:rPr>
          <w:b w:val="0"/>
        </w:rPr>
        <w:t xml:space="preserve">Surgery is associated with the highest rates of mortality; however, it is still an infrequent outcome. </w:t>
      </w:r>
    </w:p>
    <w:p w14:paraId="07373CE8" w14:textId="77777777" w:rsidR="00172E96" w:rsidRDefault="00172E96" w:rsidP="00D0646E">
      <w:pPr>
        <w:pStyle w:val="Summaryboxheading"/>
        <w:pBdr>
          <w:top w:val="single" w:sz="4" w:space="1" w:color="auto"/>
          <w:left w:val="single" w:sz="4" w:space="4" w:color="auto"/>
          <w:bottom w:val="single" w:sz="4" w:space="1" w:color="auto"/>
          <w:right w:val="single" w:sz="4" w:space="4" w:color="auto"/>
        </w:pBdr>
        <w:spacing w:before="100" w:afterAutospacing="0"/>
        <w:rPr>
          <w:b w:val="0"/>
        </w:rPr>
      </w:pPr>
      <w:r w:rsidRPr="00172E96">
        <w:rPr>
          <w:b w:val="0"/>
        </w:rPr>
        <w:t>Pneumothorax following microwave ablation is a relatively frequent complication; however, not all instances of pneumothorax require subsequent intervention such as chest tube drainage.</w:t>
      </w:r>
      <w:r w:rsidRPr="00172E96">
        <w:t xml:space="preserve"> </w:t>
      </w:r>
      <w:r w:rsidRPr="00172E96">
        <w:rPr>
          <w:b w:val="0"/>
        </w:rPr>
        <w:t>Across studies reporting pneumothorax</w:t>
      </w:r>
      <w:r w:rsidR="005E0D4E">
        <w:rPr>
          <w:b w:val="0"/>
        </w:rPr>
        <w:t>,</w:t>
      </w:r>
      <w:r w:rsidRPr="00172E96">
        <w:rPr>
          <w:b w:val="0"/>
        </w:rPr>
        <w:t xml:space="preserve"> a median of 9.3 per cent </w:t>
      </w:r>
      <w:r w:rsidR="005E0D4E" w:rsidRPr="00172E96">
        <w:rPr>
          <w:b w:val="0"/>
        </w:rPr>
        <w:t>required chest tube drainage or other intervention</w:t>
      </w:r>
      <w:r w:rsidR="005E0D4E">
        <w:rPr>
          <w:b w:val="0"/>
        </w:rPr>
        <w:t>s</w:t>
      </w:r>
      <w:r w:rsidR="005E0D4E" w:rsidRPr="00172E96">
        <w:rPr>
          <w:b w:val="0"/>
        </w:rPr>
        <w:t xml:space="preserve"> </w:t>
      </w:r>
      <w:r w:rsidRPr="00172E96">
        <w:rPr>
          <w:b w:val="0"/>
        </w:rPr>
        <w:t xml:space="preserve">and </w:t>
      </w:r>
      <w:r w:rsidR="005E0D4E">
        <w:rPr>
          <w:b w:val="0"/>
        </w:rPr>
        <w:t xml:space="preserve">this </w:t>
      </w:r>
      <w:r w:rsidRPr="00172E96">
        <w:rPr>
          <w:b w:val="0"/>
        </w:rPr>
        <w:t xml:space="preserve">ranged from </w:t>
      </w:r>
      <w:r w:rsidR="00910184">
        <w:rPr>
          <w:b w:val="0"/>
        </w:rPr>
        <w:t>nil</w:t>
      </w:r>
      <w:r w:rsidR="005E0D4E" w:rsidRPr="00172E96">
        <w:rPr>
          <w:b w:val="0"/>
        </w:rPr>
        <w:t xml:space="preserve"> </w:t>
      </w:r>
      <w:r w:rsidRPr="00172E96">
        <w:rPr>
          <w:b w:val="0"/>
        </w:rPr>
        <w:t>to 28.6 per cent.</w:t>
      </w:r>
      <w:r w:rsidRPr="00172E96">
        <w:t xml:space="preserve"> </w:t>
      </w:r>
      <w:r w:rsidRPr="00172E96">
        <w:rPr>
          <w:b w:val="0"/>
        </w:rPr>
        <w:t>Similar to MTA, pneumothorax was the most commonly reported adverse event associated with RFA therapy</w:t>
      </w:r>
      <w:r>
        <w:rPr>
          <w:b w:val="0"/>
        </w:rPr>
        <w:t xml:space="preserve">. </w:t>
      </w:r>
      <w:r w:rsidRPr="00172E96">
        <w:rPr>
          <w:b w:val="0"/>
        </w:rPr>
        <w:t>Serious adverse events arising from radiotherapy were rar</w:t>
      </w:r>
      <w:r>
        <w:rPr>
          <w:b w:val="0"/>
        </w:rPr>
        <w:t xml:space="preserve">e. </w:t>
      </w:r>
      <w:r w:rsidRPr="00172E96">
        <w:rPr>
          <w:b w:val="0"/>
        </w:rPr>
        <w:t xml:space="preserve">The majority of studies reported no grade </w:t>
      </w:r>
      <w:r w:rsidR="005E0D4E">
        <w:rPr>
          <w:b w:val="0"/>
        </w:rPr>
        <w:t>three</w:t>
      </w:r>
      <w:r w:rsidR="005E0D4E" w:rsidRPr="00172E96">
        <w:rPr>
          <w:b w:val="0"/>
        </w:rPr>
        <w:t xml:space="preserve"> </w:t>
      </w:r>
      <w:r w:rsidRPr="00172E96">
        <w:rPr>
          <w:b w:val="0"/>
        </w:rPr>
        <w:t xml:space="preserve">(“severe”) or higher adverse events. Thirty-four per cent of patients experienced a grade 1 </w:t>
      </w:r>
      <w:r w:rsidR="00335519">
        <w:rPr>
          <w:b w:val="0"/>
        </w:rPr>
        <w:t xml:space="preserve">(“mild”) </w:t>
      </w:r>
      <w:r w:rsidRPr="00172E96">
        <w:rPr>
          <w:b w:val="0"/>
        </w:rPr>
        <w:t xml:space="preserve">or 2 </w:t>
      </w:r>
      <w:r w:rsidR="00335519">
        <w:rPr>
          <w:b w:val="0"/>
        </w:rPr>
        <w:t xml:space="preserve">(“moderate”) </w:t>
      </w:r>
      <w:proofErr w:type="gramStart"/>
      <w:r w:rsidRPr="00172E96">
        <w:rPr>
          <w:b w:val="0"/>
        </w:rPr>
        <w:t>event</w:t>
      </w:r>
      <w:proofErr w:type="gramEnd"/>
      <w:r w:rsidRPr="00172E96">
        <w:rPr>
          <w:b w:val="0"/>
        </w:rPr>
        <w:t xml:space="preserve"> across studies, while 3.3 per cent of patients experienced a grade </w:t>
      </w:r>
      <w:r w:rsidR="005E0D4E">
        <w:rPr>
          <w:b w:val="0"/>
        </w:rPr>
        <w:t>three</w:t>
      </w:r>
      <w:r w:rsidR="005E0D4E" w:rsidRPr="00172E96">
        <w:rPr>
          <w:b w:val="0"/>
        </w:rPr>
        <w:t xml:space="preserve"> </w:t>
      </w:r>
      <w:r w:rsidRPr="00172E96">
        <w:rPr>
          <w:b w:val="0"/>
        </w:rPr>
        <w:t>event</w:t>
      </w:r>
      <w:r>
        <w:rPr>
          <w:b w:val="0"/>
        </w:rPr>
        <w:t xml:space="preserve">. </w:t>
      </w:r>
    </w:p>
    <w:p w14:paraId="6D284BC6" w14:textId="77777777" w:rsidR="00A6596E" w:rsidRPr="00172E96" w:rsidRDefault="00172E96" w:rsidP="00D0646E">
      <w:pPr>
        <w:pStyle w:val="Summaryboxheading"/>
        <w:pBdr>
          <w:top w:val="single" w:sz="4" w:space="1" w:color="auto"/>
          <w:left w:val="single" w:sz="4" w:space="4" w:color="auto"/>
          <w:bottom w:val="single" w:sz="4" w:space="1" w:color="auto"/>
          <w:right w:val="single" w:sz="4" w:space="4" w:color="auto"/>
        </w:pBdr>
        <w:spacing w:before="100" w:afterAutospacing="0"/>
      </w:pPr>
      <w:r>
        <w:rPr>
          <w:b w:val="0"/>
        </w:rPr>
        <w:t xml:space="preserve">Adverse events associated with surgery are generally not well reported; </w:t>
      </w:r>
      <w:r w:rsidR="008C42D3">
        <w:rPr>
          <w:b w:val="0"/>
        </w:rPr>
        <w:t>although when reported</w:t>
      </w:r>
      <w:r>
        <w:rPr>
          <w:b w:val="0"/>
        </w:rPr>
        <w:t>, complications occurred in greater than 10 per cent of thoracotomies.</w:t>
      </w:r>
      <w:r w:rsidR="005438D9">
        <w:rPr>
          <w:b w:val="0"/>
        </w:rPr>
        <w:t xml:space="preserve"> </w:t>
      </w:r>
    </w:p>
    <w:p w14:paraId="3DEFCD50" w14:textId="233C1ECE" w:rsidR="000D29BC" w:rsidRPr="00172E96" w:rsidRDefault="00596B74" w:rsidP="005801C1">
      <w:r>
        <w:t>No comparative studies were identified to inform this research question. Owing to the paucity of evidence on MTA</w:t>
      </w:r>
      <w:r w:rsidR="007B503C">
        <w:t>,</w:t>
      </w:r>
      <w:r>
        <w:t xml:space="preserve"> as it pertains to the populations specified in the PICO</w:t>
      </w:r>
      <w:r w:rsidR="004132FA">
        <w:t>,</w:t>
      </w:r>
      <w:r>
        <w:t xml:space="preserve"> the assessment of safety for MTA in the setting of lung cancer took into account all studies of MTA in the lung in order to provide the MSAC with a more complete understanding of the safety profile of MTA when used in the lung. </w:t>
      </w:r>
      <w:r w:rsidR="0004175D">
        <w:t xml:space="preserve"> Overall the safety assessment for MTA in the lung is comprised of 22 studies of which 20 are Level IV evidence and two ar</w:t>
      </w:r>
      <w:r w:rsidR="005801C1">
        <w:t xml:space="preserve">e Level III-2 evidence. </w:t>
      </w:r>
      <w:r w:rsidR="000D29BC">
        <w:t xml:space="preserve"> What follows is a summary of the harms associated with </w:t>
      </w:r>
      <w:r w:rsidR="000D29BC">
        <w:lastRenderedPageBreak/>
        <w:t>MTA based on data from studies that included a total of 1</w:t>
      </w:r>
      <w:r w:rsidR="003B5066">
        <w:t>,</w:t>
      </w:r>
      <w:r w:rsidR="000D29BC">
        <w:t xml:space="preserve">160 patients. The following </w:t>
      </w:r>
      <w:r w:rsidR="00C02E1C">
        <w:t>table</w:t>
      </w:r>
      <w:r w:rsidR="000D29BC">
        <w:t xml:space="preserve"> outlines the outcomes that were reported by more than two studies and gives an overview of the number of </w:t>
      </w:r>
      <w:r w:rsidR="000D29BC" w:rsidRPr="00172E96">
        <w:t xml:space="preserve">studies contributing to assessment </w:t>
      </w:r>
      <w:proofErr w:type="gramStart"/>
      <w:r w:rsidR="000D29BC" w:rsidRPr="00172E96">
        <w:t>of each harm</w:t>
      </w:r>
      <w:proofErr w:type="gramEnd"/>
      <w:r w:rsidR="000D29BC" w:rsidRPr="00172E96">
        <w:t xml:space="preserve">. </w:t>
      </w:r>
    </w:p>
    <w:p w14:paraId="33A43C92" w14:textId="77777777" w:rsidR="000768BB" w:rsidRDefault="000D29BC" w:rsidP="003F6C66">
      <w:pPr>
        <w:pStyle w:val="Heading3"/>
      </w:pPr>
      <w:bookmarkStart w:id="276" w:name="_Toc460396045"/>
      <w:bookmarkStart w:id="277" w:name="_Toc395200779"/>
      <w:r w:rsidRPr="00172E96">
        <w:t>Procedure-related mortality</w:t>
      </w:r>
      <w:bookmarkEnd w:id="276"/>
      <w:r w:rsidRPr="00172E96">
        <w:t xml:space="preserve"> </w:t>
      </w:r>
      <w:bookmarkEnd w:id="277"/>
    </w:p>
    <w:p w14:paraId="3EB483F5" w14:textId="7CB7154E" w:rsidR="00C02E1C" w:rsidRPr="00172E96" w:rsidRDefault="007C6F8D" w:rsidP="00C02E1C">
      <w:r>
        <w:t>Procedure-related mortality is a rare adverse event associated with MTA, occurring in less than 1 per cent of all patients</w:t>
      </w:r>
      <w:r w:rsidR="00172E96">
        <w:t xml:space="preserve"> (</w:t>
      </w:r>
      <w:r w:rsidR="00172E96">
        <w:fldChar w:fldCharType="begin"/>
      </w:r>
      <w:r w:rsidR="00172E96">
        <w:instrText xml:space="preserve"> REF _Ref457401943 \h </w:instrText>
      </w:r>
      <w:r w:rsidR="00172E96">
        <w:fldChar w:fldCharType="separate"/>
      </w:r>
      <w:r w:rsidR="00D170A5">
        <w:t xml:space="preserve">Table </w:t>
      </w:r>
      <w:r w:rsidR="00D170A5">
        <w:rPr>
          <w:noProof/>
        </w:rPr>
        <w:t>40</w:t>
      </w:r>
      <w:r w:rsidR="00172E96">
        <w:fldChar w:fldCharType="end"/>
      </w:r>
      <w:r w:rsidR="00172E96">
        <w:t>)</w:t>
      </w:r>
      <w:r>
        <w:t xml:space="preserve">. </w:t>
      </w:r>
      <w:r w:rsidR="00C02E1C">
        <w:t xml:space="preserve">There were two instances of </w:t>
      </w:r>
      <w:r>
        <w:t xml:space="preserve">definite </w:t>
      </w:r>
      <w:r w:rsidR="00EC1D6F">
        <w:t>procedure-</w:t>
      </w:r>
      <w:r w:rsidR="00C02E1C">
        <w:t>related mortality reported across studies of MT</w:t>
      </w:r>
      <w:r>
        <w:t>A in patients with lung tumours and one instance of death within 30 days</w:t>
      </w:r>
      <w:r w:rsidR="00043AC7">
        <w:t>,</w:t>
      </w:r>
      <w:r>
        <w:t xml:space="preserve"> which may or may not have been </w:t>
      </w:r>
      <w:r w:rsidR="00EC1D6F">
        <w:t>procedure-</w:t>
      </w:r>
      <w:r>
        <w:t>related. Procedure related deaths were reported by</w:t>
      </w:r>
      <w:r w:rsidR="00CA2D74" w:rsidRPr="00CA2D74">
        <w:t xml:space="preserve"> Wolf et </w:t>
      </w:r>
      <w:r w:rsidR="006550CC" w:rsidRPr="00CA2D74">
        <w:t>al</w:t>
      </w:r>
      <w:r w:rsidR="006550CC">
        <w:t xml:space="preserve"> </w:t>
      </w:r>
      <w:r w:rsidR="00D12FD1">
        <w:fldChar w:fldCharType="begin">
          <w:fldData xml:space="preserve">PEVuZE5vdGU+PENpdGUgRXhjbHVkZUF1dGg9IjEiPjxBdXRob3I+V29sZjwvQXV0aG9yPjxZZWFy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</w:fldData>
        </w:fldChar>
      </w:r>
      <w:r w:rsidR="00194054">
        <w:instrText xml:space="preserve"> ADDIN EN.CITE </w:instrText>
      </w:r>
      <w:r w:rsidR="00194054">
        <w:fldChar w:fldCharType="begin">
          <w:fldData xml:space="preserve">PEVuZE5vdGU+PENpdGUgRXhjbHVkZUF1dGg9IjEiPjxBdXRob3I+V29sZjwvQXV0aG9yPjxZZWFy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</w:fldData>
        </w:fldChar>
      </w:r>
      <w:r w:rsidR="00194054">
        <w:instrText xml:space="preserve"> ADDIN EN.CITE.DATA </w:instrText>
      </w:r>
      <w:r w:rsidR="00194054">
        <w:fldChar w:fldCharType="end"/>
      </w:r>
      <w:r w:rsidR="00D12FD1">
        <w:fldChar w:fldCharType="separate"/>
      </w:r>
      <w:r w:rsidR="006550CC">
        <w:rPr>
          <w:noProof/>
        </w:rPr>
        <w:t>(</w:t>
      </w:r>
      <w:hyperlink w:anchor="_ENREF_172" w:tooltip="Wolf, 2008 #115" w:history="1">
        <w:r w:rsidR="00320458">
          <w:rPr>
            <w:noProof/>
          </w:rPr>
          <w:t>2008</w:t>
        </w:r>
      </w:hyperlink>
      <w:r w:rsidR="006550CC">
        <w:rPr>
          <w:noProof/>
        </w:rPr>
        <w:t>)</w:t>
      </w:r>
      <w:r w:rsidR="00D12FD1">
        <w:fldChar w:fldCharType="end"/>
      </w:r>
      <w:r w:rsidR="00CA2D74">
        <w:t xml:space="preserve"> </w:t>
      </w:r>
      <w:r>
        <w:t xml:space="preserve">and Zheng et al </w:t>
      </w:r>
      <w:r w:rsidR="00D12FD1">
        <w:fldChar w:fldCharType="begin">
          <w:fldData xml:space="preserve">PEVuZE5vdGU+PENpdGUgRXhjbHVkZUF1dGg9IjEiPjxBdXRob3I+Wmhlbmc8L0F1dGhvcj48WWVh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</w:fldData>
        </w:fldChar>
      </w:r>
      <w:r w:rsidR="00194054">
        <w:instrText xml:space="preserve"> ADDIN EN.CITE </w:instrText>
      </w:r>
      <w:r w:rsidR="00194054">
        <w:fldChar w:fldCharType="begin">
          <w:fldData xml:space="preserve">PEVuZE5vdGU+PENpdGUgRXhjbHVkZUF1dGg9IjEiPjxBdXRob3I+Wmhlbmc8L0F1dGhvcj48WWVh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</w:fldData>
        </w:fldChar>
      </w:r>
      <w:r w:rsidR="00194054">
        <w:instrText xml:space="preserve"> ADDIN EN.CITE.DATA </w:instrText>
      </w:r>
      <w:r w:rsidR="00194054">
        <w:fldChar w:fldCharType="end"/>
      </w:r>
      <w:r w:rsidR="00D12FD1">
        <w:fldChar w:fldCharType="separate"/>
      </w:r>
      <w:r w:rsidR="006550CC">
        <w:rPr>
          <w:noProof/>
        </w:rPr>
        <w:t>(</w:t>
      </w:r>
      <w:hyperlink w:anchor="_ENREF_181" w:tooltip="Zheng, 2014 #117" w:history="1">
        <w:r w:rsidR="00320458">
          <w:rPr>
            <w:noProof/>
          </w:rPr>
          <w:t>2014</w:t>
        </w:r>
      </w:hyperlink>
      <w:r w:rsidR="006550CC">
        <w:rPr>
          <w:noProof/>
        </w:rPr>
        <w:t>)</w:t>
      </w:r>
      <w:r w:rsidR="00D12FD1">
        <w:fldChar w:fldCharType="end"/>
      </w:r>
      <w:r>
        <w:t xml:space="preserve">. </w:t>
      </w:r>
      <w:r w:rsidR="00CA2D74">
        <w:t>In one instance</w:t>
      </w:r>
      <w:r w:rsidR="00C02E1C">
        <w:t xml:space="preserve"> a patient died 8 months and 14 days post-procedure due to infection of the cavity lesion that caused </w:t>
      </w:r>
      <w:r w:rsidR="00EC1D6F">
        <w:t xml:space="preserve">fatal </w:t>
      </w:r>
      <w:r w:rsidR="00C02E1C" w:rsidRPr="00C02E1C">
        <w:t>haemoptysis</w:t>
      </w:r>
      <w:r w:rsidR="00043AC7">
        <w:t xml:space="preserve"> </w:t>
      </w:r>
      <w:r w:rsidR="00043AC7">
        <w:fldChar w:fldCharType="begin">
          <w:fldData xml:space="preserve">PEVuZE5vdGU+PENpdGU+PEF1dGhvcj5Xb2xmPC9BdXRob3I+PFllYXI+MjAwODwvWWVhcj48UmVj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</w:fldData>
        </w:fldChar>
      </w:r>
      <w:r w:rsidR="00194054">
        <w:instrText xml:space="preserve"> ADDIN EN.CITE </w:instrText>
      </w:r>
      <w:r w:rsidR="00194054">
        <w:fldChar w:fldCharType="begin">
          <w:fldData xml:space="preserve">PEVuZE5vdGU+PENpdGU+PEF1dGhvcj5Xb2xmPC9BdXRob3I+PFllYXI+MjAwODwvWWVhcj48UmVj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</w:fldData>
        </w:fldChar>
      </w:r>
      <w:r w:rsidR="00194054">
        <w:instrText xml:space="preserve"> ADDIN EN.CITE.DATA </w:instrText>
      </w:r>
      <w:r w:rsidR="00194054">
        <w:fldChar w:fldCharType="end"/>
      </w:r>
      <w:r w:rsidR="00043AC7">
        <w:fldChar w:fldCharType="separate"/>
      </w:r>
      <w:r w:rsidR="00043AC7">
        <w:rPr>
          <w:noProof/>
        </w:rPr>
        <w:t>(</w:t>
      </w:r>
      <w:hyperlink w:anchor="_ENREF_172" w:tooltip="Wolf, 2008 #115" w:history="1">
        <w:r w:rsidR="00320458">
          <w:rPr>
            <w:noProof/>
          </w:rPr>
          <w:t>Wolf et al 2008</w:t>
        </w:r>
      </w:hyperlink>
      <w:r w:rsidR="00043AC7">
        <w:rPr>
          <w:noProof/>
        </w:rPr>
        <w:t>)</w:t>
      </w:r>
      <w:r w:rsidR="00043AC7">
        <w:fldChar w:fldCharType="end"/>
      </w:r>
      <w:r w:rsidR="00043AC7">
        <w:t>. In a second instance</w:t>
      </w:r>
      <w:r w:rsidR="00157339">
        <w:t>,</w:t>
      </w:r>
      <w:r w:rsidR="00C02E1C">
        <w:t xml:space="preserve"> one patient died 41 hours after the procedure</w:t>
      </w:r>
      <w:r w:rsidR="00043AC7">
        <w:t xml:space="preserve"> </w:t>
      </w:r>
      <w:r w:rsidR="00043AC7">
        <w:fldChar w:fldCharType="begin">
          <w:fldData xml:space="preserve">PEVuZE5vdGU+PENpdGU+PEF1dGhvcj5aaGVuZzwvQXV0aG9yPjxZZWFyPjIwMTQ8L1llYXI+PFJl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</w:fldData>
        </w:fldChar>
      </w:r>
      <w:r w:rsidR="00194054">
        <w:instrText xml:space="preserve"> ADDIN EN.CITE </w:instrText>
      </w:r>
      <w:r w:rsidR="00194054">
        <w:fldChar w:fldCharType="begin">
          <w:fldData xml:space="preserve">PEVuZE5vdGU+PENpdGU+PEF1dGhvcj5aaGVuZzwvQXV0aG9yPjxZZWFyPjIwMTQ8L1llYXI+PFJl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</w:fldData>
        </w:fldChar>
      </w:r>
      <w:r w:rsidR="00194054">
        <w:instrText xml:space="preserve"> ADDIN EN.CITE.DATA </w:instrText>
      </w:r>
      <w:r w:rsidR="00194054">
        <w:fldChar w:fldCharType="end"/>
      </w:r>
      <w:r w:rsidR="00043AC7">
        <w:fldChar w:fldCharType="separate"/>
      </w:r>
      <w:r w:rsidR="00043AC7">
        <w:rPr>
          <w:noProof/>
        </w:rPr>
        <w:t>(</w:t>
      </w:r>
      <w:hyperlink w:anchor="_ENREF_181" w:tooltip="Zheng, 2014 #117" w:history="1">
        <w:r w:rsidR="00320458">
          <w:rPr>
            <w:noProof/>
          </w:rPr>
          <w:t>Zheng et al 2014</w:t>
        </w:r>
      </w:hyperlink>
      <w:r w:rsidR="00043AC7">
        <w:rPr>
          <w:noProof/>
        </w:rPr>
        <w:t>)</w:t>
      </w:r>
      <w:r w:rsidR="00043AC7">
        <w:fldChar w:fldCharType="end"/>
      </w:r>
      <w:r w:rsidR="00C02E1C">
        <w:t xml:space="preserve">. The patient’s chest X-ray </w:t>
      </w:r>
      <w:r w:rsidR="00C02E1C" w:rsidRPr="00C02E1C">
        <w:t xml:space="preserve">showed a large pneumothorax with a good-sized pleural effusion. Chest tube placement and thoracic drainage alleviated the respiratory failure, but the patient died of </w:t>
      </w:r>
      <w:r w:rsidR="00C02E1C">
        <w:t>sudden ventricular fibrillation.</w:t>
      </w:r>
      <w:r>
        <w:t xml:space="preserve"> The death within 30 days was reported by </w:t>
      </w:r>
      <w:r w:rsidR="00D12FD1">
        <w:t xml:space="preserve">Splatt &amp; Steinke </w:t>
      </w:r>
      <w:r w:rsidR="00D12FD1">
        <w:fldChar w:fldCharType="begin">
          <w:fldData xml:space="preserve">PEVuZE5vdGU+PENpdGUgRXhjbHVkZUF1dGg9IjEiPjxBdXRob3I+U3BsYXR0PC9BdXRob3I+PFll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</w:fldData>
        </w:fldChar>
      </w:r>
      <w:r w:rsidR="00194054">
        <w:instrText xml:space="preserve"> ADDIN EN.CITE </w:instrText>
      </w:r>
      <w:r w:rsidR="00194054">
        <w:fldChar w:fldCharType="begin">
          <w:fldData xml:space="preserve">PEVuZE5vdGU+PENpdGUgRXhjbHVkZUF1dGg9IjEiPjxBdXRob3I+U3BsYXR0PC9BdXRob3I+PFll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</w:fldData>
        </w:fldChar>
      </w:r>
      <w:r w:rsidR="00194054">
        <w:instrText xml:space="preserve"> ADDIN EN.CITE.DATA </w:instrText>
      </w:r>
      <w:r w:rsidR="00194054">
        <w:fldChar w:fldCharType="end"/>
      </w:r>
      <w:r w:rsidR="00D12FD1">
        <w:fldChar w:fldCharType="separate"/>
      </w:r>
      <w:r w:rsidR="00252A4F">
        <w:rPr>
          <w:noProof/>
        </w:rPr>
        <w:t>(</w:t>
      </w:r>
      <w:hyperlink w:anchor="_ENREF_147" w:tooltip="Splatt, 2015 #112" w:history="1">
        <w:r w:rsidR="00320458">
          <w:rPr>
            <w:noProof/>
          </w:rPr>
          <w:t>2015</w:t>
        </w:r>
      </w:hyperlink>
      <w:r w:rsidR="00252A4F">
        <w:rPr>
          <w:noProof/>
        </w:rPr>
        <w:t>)</w:t>
      </w:r>
      <w:r w:rsidR="00D12FD1">
        <w:fldChar w:fldCharType="end"/>
      </w:r>
      <w:r w:rsidR="00D12FD1">
        <w:t xml:space="preserve"> </w:t>
      </w:r>
      <w:r>
        <w:t xml:space="preserve">who state that a </w:t>
      </w:r>
      <w:r w:rsidRPr="00172E96">
        <w:t xml:space="preserve">patient died suddenly during the night two days after ablation. The cause was not identified. </w:t>
      </w:r>
    </w:p>
    <w:p w14:paraId="2E371C75" w14:textId="77777777" w:rsidR="007C6F8D" w:rsidRDefault="007C6F8D" w:rsidP="007C6F8D">
      <w:pPr>
        <w:pStyle w:val="Caption"/>
        <w:keepNext/>
      </w:pPr>
      <w:bookmarkStart w:id="278" w:name="_Ref457389219"/>
      <w:bookmarkStart w:id="279" w:name="_Toc460514699"/>
      <w:r w:rsidRPr="00172E96">
        <w:t xml:space="preserve">Table </w:t>
      </w:r>
      <w:fldSimple w:instr=" SEQ Table \* ARABIC ">
        <w:r w:rsidR="00D170A5">
          <w:rPr>
            <w:noProof/>
          </w:rPr>
          <w:t>41</w:t>
        </w:r>
      </w:fldSimple>
      <w:bookmarkEnd w:id="278"/>
      <w:r w:rsidRPr="00172E96">
        <w:tab/>
        <w:t>Procedure related mortality reported in studies of MTA</w:t>
      </w:r>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5"/>
        <w:tblDescription w:val="Procedure-related mortality, MTA"/>
      </w:tblPr>
      <w:tblGrid>
        <w:gridCol w:w="2700"/>
        <w:gridCol w:w="2412"/>
        <w:gridCol w:w="2410"/>
        <w:gridCol w:w="1560"/>
      </w:tblGrid>
      <w:tr w:rsidR="008D60DB" w:rsidRPr="008D60DB" w14:paraId="1C736DD1" w14:textId="77777777" w:rsidTr="00A06395">
        <w:trPr>
          <w:tblHeader/>
        </w:trPr>
        <w:tc>
          <w:tcPr>
            <w:tcW w:w="1486" w:type="pct"/>
            <w:shd w:val="clear" w:color="auto" w:fill="D9D9D9" w:themeFill="background1" w:themeFillShade="D9"/>
            <w:vAlign w:val="bottom"/>
          </w:tcPr>
          <w:p w14:paraId="134B6ECD" w14:textId="77777777" w:rsidR="008D60DB" w:rsidRPr="00AE7A6F" w:rsidRDefault="008D60DB" w:rsidP="00AE7A6F">
            <w:pPr>
              <w:pStyle w:val="Tabletext1"/>
              <w:rPr>
                <w:b/>
                <w:snapToGrid w:val="0"/>
                <w:lang w:eastAsia="en-US"/>
              </w:rPr>
            </w:pPr>
            <w:bookmarkStart w:id="280" w:name="_Ref360617011"/>
            <w:r w:rsidRPr="00AE7A6F">
              <w:rPr>
                <w:b/>
                <w:snapToGrid w:val="0"/>
                <w:lang w:eastAsia="en-US"/>
              </w:rPr>
              <w:t>Study ID</w:t>
            </w:r>
          </w:p>
        </w:tc>
        <w:tc>
          <w:tcPr>
            <w:tcW w:w="1328" w:type="pct"/>
            <w:shd w:val="clear" w:color="auto" w:fill="D9D9D9" w:themeFill="background1" w:themeFillShade="D9"/>
            <w:vAlign w:val="bottom"/>
          </w:tcPr>
          <w:p w14:paraId="4FE66E16" w14:textId="77777777" w:rsidR="008D60DB" w:rsidRPr="00AE7A6F" w:rsidRDefault="008D60DB" w:rsidP="00AE7A6F">
            <w:pPr>
              <w:pStyle w:val="Tabletext1"/>
              <w:rPr>
                <w:b/>
                <w:snapToGrid w:val="0"/>
                <w:lang w:eastAsia="en-US"/>
              </w:rPr>
            </w:pPr>
            <w:r w:rsidRPr="00AE7A6F">
              <w:rPr>
                <w:b/>
                <w:snapToGrid w:val="0"/>
                <w:color w:val="000000"/>
              </w:rPr>
              <w:t>Level of evidence/ Quality</w:t>
            </w:r>
            <w:r w:rsidRPr="00AE7A6F">
              <w:rPr>
                <w:b/>
                <w:snapToGrid w:val="0"/>
                <w:color w:val="000000"/>
                <w:vertAlign w:val="superscript"/>
              </w:rPr>
              <w:t xml:space="preserve"> </w:t>
            </w:r>
            <w:r w:rsidRPr="00AE7A6F">
              <w:rPr>
                <w:b/>
                <w:snapToGrid w:val="0"/>
                <w:color w:val="000000"/>
              </w:rPr>
              <w:t>rating of summary estimate</w:t>
            </w:r>
          </w:p>
        </w:tc>
        <w:tc>
          <w:tcPr>
            <w:tcW w:w="1327" w:type="pct"/>
            <w:shd w:val="clear" w:color="auto" w:fill="D9D9D9" w:themeFill="background1" w:themeFillShade="D9"/>
            <w:vAlign w:val="bottom"/>
          </w:tcPr>
          <w:p w14:paraId="561A23FF" w14:textId="77777777" w:rsidR="008D60DB" w:rsidRPr="00AE7A6F" w:rsidRDefault="008D60DB" w:rsidP="00AE7A6F">
            <w:pPr>
              <w:pStyle w:val="Tabletext1"/>
              <w:rPr>
                <w:b/>
                <w:snapToGrid w:val="0"/>
                <w:color w:val="000000"/>
              </w:rPr>
            </w:pPr>
            <w:r w:rsidRPr="00AE7A6F">
              <w:rPr>
                <w:b/>
                <w:snapToGrid w:val="0"/>
                <w:color w:val="000000"/>
              </w:rPr>
              <w:t>Procedure-related mortality</w:t>
            </w:r>
          </w:p>
          <w:p w14:paraId="43E3DDF4" w14:textId="77777777" w:rsidR="008D60DB" w:rsidRPr="00AE7A6F" w:rsidRDefault="008D60DB" w:rsidP="00AE7A6F">
            <w:pPr>
              <w:pStyle w:val="Tabletext1"/>
              <w:rPr>
                <w:b/>
                <w:snapToGrid w:val="0"/>
                <w:color w:val="000000"/>
              </w:rPr>
            </w:pPr>
            <w:r w:rsidRPr="00AE7A6F">
              <w:rPr>
                <w:b/>
                <w:snapToGrid w:val="0"/>
                <w:color w:val="000000"/>
              </w:rPr>
              <w:t>n/N (%), per patient</w:t>
            </w:r>
          </w:p>
        </w:tc>
        <w:tc>
          <w:tcPr>
            <w:tcW w:w="859" w:type="pct"/>
            <w:shd w:val="clear" w:color="auto" w:fill="D9D9D9" w:themeFill="background1" w:themeFillShade="D9"/>
            <w:vAlign w:val="bottom"/>
          </w:tcPr>
          <w:p w14:paraId="17C6BE32" w14:textId="77777777" w:rsidR="008D60DB" w:rsidRPr="00AE7A6F" w:rsidRDefault="008D60DB" w:rsidP="00AE7A6F">
            <w:pPr>
              <w:pStyle w:val="Tabletext1"/>
              <w:rPr>
                <w:b/>
                <w:snapToGrid w:val="0"/>
                <w:color w:val="000000"/>
              </w:rPr>
            </w:pPr>
            <w:r w:rsidRPr="00AE7A6F">
              <w:rPr>
                <w:b/>
                <w:snapToGrid w:val="0"/>
                <w:color w:val="000000"/>
              </w:rPr>
              <w:t>30-day mortality</w:t>
            </w:r>
          </w:p>
          <w:p w14:paraId="3E7B54DD" w14:textId="77777777" w:rsidR="008D60DB" w:rsidRPr="00AE7A6F" w:rsidRDefault="008D60DB" w:rsidP="00AE7A6F">
            <w:pPr>
              <w:pStyle w:val="Tabletext1"/>
              <w:rPr>
                <w:b/>
                <w:snapToGrid w:val="0"/>
                <w:color w:val="000000"/>
              </w:rPr>
            </w:pPr>
            <w:r w:rsidRPr="00AE7A6F">
              <w:rPr>
                <w:b/>
                <w:snapToGrid w:val="0"/>
                <w:color w:val="000000"/>
              </w:rPr>
              <w:t>n/N (%), per patient</w:t>
            </w:r>
          </w:p>
        </w:tc>
      </w:tr>
      <w:tr w:rsidR="008D60DB" w:rsidRPr="008D60DB" w14:paraId="7CE1737F" w14:textId="77777777" w:rsidTr="00A06395">
        <w:tc>
          <w:tcPr>
            <w:tcW w:w="1486" w:type="pct"/>
            <w:shd w:val="clear" w:color="auto" w:fill="auto"/>
            <w:vAlign w:val="center"/>
          </w:tcPr>
          <w:p w14:paraId="1348A200" w14:textId="77777777" w:rsidR="008D60DB" w:rsidRPr="008D60DB" w:rsidRDefault="008D60DB" w:rsidP="00AE7A6F">
            <w:pPr>
              <w:pStyle w:val="Tabletext1"/>
              <w:rPr>
                <w:color w:val="000000"/>
              </w:rPr>
            </w:pPr>
            <w:r w:rsidRPr="008D60DB">
              <w:rPr>
                <w:snapToGrid w:val="0"/>
                <w:color w:val="000000"/>
              </w:rPr>
              <w:t>Belfiore et al (2013)</w:t>
            </w:r>
          </w:p>
        </w:tc>
        <w:tc>
          <w:tcPr>
            <w:tcW w:w="1328" w:type="pct"/>
          </w:tcPr>
          <w:p w14:paraId="647BA0E1" w14:textId="77777777" w:rsidR="008D60DB" w:rsidRPr="008D60DB" w:rsidRDefault="008D60DB" w:rsidP="00AE7A6F">
            <w:pPr>
              <w:pStyle w:val="Tabletext1"/>
              <w:rPr>
                <w:snapToGrid w:val="0"/>
                <w:color w:val="000000"/>
              </w:rPr>
            </w:pPr>
            <w:r w:rsidRPr="008063EA">
              <w:rPr>
                <w:snapToGrid w:val="0"/>
                <w:color w:val="000000"/>
              </w:rPr>
              <w:t>IV</w:t>
            </w:r>
          </w:p>
        </w:tc>
        <w:tc>
          <w:tcPr>
            <w:tcW w:w="1327" w:type="pct"/>
            <w:shd w:val="clear" w:color="auto" w:fill="auto"/>
          </w:tcPr>
          <w:p w14:paraId="75D7D17E" w14:textId="77777777" w:rsidR="008D60DB" w:rsidRPr="008D60DB" w:rsidRDefault="008D60DB" w:rsidP="00AE7A6F">
            <w:pPr>
              <w:pStyle w:val="Tabletext1"/>
              <w:rPr>
                <w:snapToGrid w:val="0"/>
                <w:color w:val="000000"/>
              </w:rPr>
            </w:pPr>
            <w:r w:rsidRPr="008063EA">
              <w:rPr>
                <w:snapToGrid w:val="0"/>
                <w:color w:val="000000"/>
              </w:rPr>
              <w:t>0/56 (0%)</w:t>
            </w:r>
          </w:p>
        </w:tc>
        <w:tc>
          <w:tcPr>
            <w:tcW w:w="859" w:type="pct"/>
            <w:shd w:val="clear" w:color="auto" w:fill="auto"/>
          </w:tcPr>
          <w:p w14:paraId="738CD558" w14:textId="77777777" w:rsidR="008D60DB" w:rsidRPr="008D60DB" w:rsidRDefault="008D60DB" w:rsidP="00AE7A6F">
            <w:pPr>
              <w:pStyle w:val="Tabletext1"/>
              <w:rPr>
                <w:snapToGrid w:val="0"/>
                <w:color w:val="000000"/>
              </w:rPr>
            </w:pPr>
            <w:r w:rsidRPr="008063EA">
              <w:rPr>
                <w:snapToGrid w:val="0"/>
                <w:color w:val="000000"/>
              </w:rPr>
              <w:t>NR</w:t>
            </w:r>
          </w:p>
        </w:tc>
      </w:tr>
      <w:tr w:rsidR="008D60DB" w:rsidRPr="008D60DB" w14:paraId="72B7D43E" w14:textId="77777777" w:rsidTr="00A06395">
        <w:tc>
          <w:tcPr>
            <w:tcW w:w="1486" w:type="pct"/>
            <w:shd w:val="clear" w:color="auto" w:fill="auto"/>
            <w:vAlign w:val="center"/>
          </w:tcPr>
          <w:p w14:paraId="7018C9F1" w14:textId="77777777" w:rsidR="008D60DB" w:rsidRPr="008D60DB" w:rsidRDefault="008D60DB" w:rsidP="00AE7A6F">
            <w:pPr>
              <w:pStyle w:val="Tabletext1"/>
              <w:rPr>
                <w:color w:val="000000"/>
              </w:rPr>
            </w:pPr>
            <w:r w:rsidRPr="008D60DB">
              <w:rPr>
                <w:snapToGrid w:val="0"/>
                <w:color w:val="000000"/>
              </w:rPr>
              <w:t>Carafiello et al (2012)</w:t>
            </w:r>
          </w:p>
        </w:tc>
        <w:tc>
          <w:tcPr>
            <w:tcW w:w="1328" w:type="pct"/>
          </w:tcPr>
          <w:p w14:paraId="020817AB" w14:textId="77777777" w:rsidR="008D60DB" w:rsidRPr="008D60DB" w:rsidRDefault="008D60DB" w:rsidP="00AE7A6F">
            <w:pPr>
              <w:pStyle w:val="Tabletext1"/>
              <w:rPr>
                <w:snapToGrid w:val="0"/>
                <w:color w:val="000000"/>
              </w:rPr>
            </w:pPr>
            <w:r w:rsidRPr="008063EA">
              <w:rPr>
                <w:snapToGrid w:val="0"/>
                <w:color w:val="000000"/>
              </w:rPr>
              <w:t>IV</w:t>
            </w:r>
          </w:p>
        </w:tc>
        <w:tc>
          <w:tcPr>
            <w:tcW w:w="1327" w:type="pct"/>
            <w:shd w:val="clear" w:color="auto" w:fill="auto"/>
          </w:tcPr>
          <w:p w14:paraId="0B80AB01" w14:textId="77777777" w:rsidR="008D60DB" w:rsidRPr="008D60DB" w:rsidRDefault="008D60DB" w:rsidP="00AE7A6F">
            <w:pPr>
              <w:pStyle w:val="Tabletext1"/>
              <w:rPr>
                <w:snapToGrid w:val="0"/>
                <w:color w:val="000000"/>
              </w:rPr>
            </w:pPr>
            <w:r w:rsidRPr="008063EA">
              <w:rPr>
                <w:snapToGrid w:val="0"/>
                <w:color w:val="000000"/>
              </w:rPr>
              <w:t>0/17 (0%)</w:t>
            </w:r>
          </w:p>
        </w:tc>
        <w:tc>
          <w:tcPr>
            <w:tcW w:w="859" w:type="pct"/>
            <w:shd w:val="clear" w:color="auto" w:fill="auto"/>
          </w:tcPr>
          <w:p w14:paraId="622CFB76" w14:textId="77777777" w:rsidR="008D60DB" w:rsidRPr="008D60DB" w:rsidRDefault="008D60DB" w:rsidP="00AE7A6F">
            <w:pPr>
              <w:pStyle w:val="Tabletext1"/>
              <w:rPr>
                <w:snapToGrid w:val="0"/>
                <w:color w:val="000000"/>
              </w:rPr>
            </w:pPr>
            <w:r w:rsidRPr="008063EA">
              <w:rPr>
                <w:snapToGrid w:val="0"/>
                <w:color w:val="000000"/>
              </w:rPr>
              <w:t>NR</w:t>
            </w:r>
          </w:p>
        </w:tc>
      </w:tr>
      <w:tr w:rsidR="008D60DB" w:rsidRPr="008D60DB" w14:paraId="4654BE13" w14:textId="77777777" w:rsidTr="00A06395">
        <w:tc>
          <w:tcPr>
            <w:tcW w:w="1486" w:type="pct"/>
            <w:tcBorders>
              <w:bottom w:val="single" w:sz="4" w:space="0" w:color="auto"/>
            </w:tcBorders>
            <w:shd w:val="clear" w:color="auto" w:fill="auto"/>
            <w:vAlign w:val="center"/>
          </w:tcPr>
          <w:p w14:paraId="11563F25" w14:textId="77777777" w:rsidR="008D60DB" w:rsidRPr="008D60DB" w:rsidRDefault="008D60DB" w:rsidP="00AE7A6F">
            <w:pPr>
              <w:pStyle w:val="Tabletext1"/>
              <w:rPr>
                <w:color w:val="000000"/>
              </w:rPr>
            </w:pPr>
            <w:r w:rsidRPr="008D60DB">
              <w:rPr>
                <w:snapToGrid w:val="0"/>
                <w:color w:val="000000"/>
              </w:rPr>
              <w:t>Carrafiello et al (2014)</w:t>
            </w:r>
          </w:p>
        </w:tc>
        <w:tc>
          <w:tcPr>
            <w:tcW w:w="1328" w:type="pct"/>
            <w:tcBorders>
              <w:bottom w:val="single" w:sz="4" w:space="0" w:color="auto"/>
            </w:tcBorders>
          </w:tcPr>
          <w:p w14:paraId="34C12238" w14:textId="77777777" w:rsidR="008D60DB" w:rsidRPr="008D60DB" w:rsidRDefault="008D60DB" w:rsidP="00AE7A6F">
            <w:pPr>
              <w:pStyle w:val="Tabletext1"/>
              <w:rPr>
                <w:snapToGrid w:val="0"/>
                <w:color w:val="000000"/>
              </w:rPr>
            </w:pPr>
            <w:r w:rsidRPr="008063EA">
              <w:rPr>
                <w:snapToGrid w:val="0"/>
                <w:color w:val="000000"/>
              </w:rPr>
              <w:t>IV</w:t>
            </w:r>
          </w:p>
        </w:tc>
        <w:tc>
          <w:tcPr>
            <w:tcW w:w="1327" w:type="pct"/>
            <w:tcBorders>
              <w:bottom w:val="single" w:sz="4" w:space="0" w:color="auto"/>
            </w:tcBorders>
            <w:shd w:val="clear" w:color="auto" w:fill="auto"/>
          </w:tcPr>
          <w:p w14:paraId="704A8586" w14:textId="77777777" w:rsidR="008D60DB" w:rsidRPr="008D60DB" w:rsidRDefault="008D60DB" w:rsidP="00AE7A6F">
            <w:pPr>
              <w:pStyle w:val="Tabletext1"/>
              <w:rPr>
                <w:snapToGrid w:val="0"/>
                <w:color w:val="000000"/>
              </w:rPr>
            </w:pPr>
            <w:r w:rsidRPr="008063EA">
              <w:rPr>
                <w:snapToGrid w:val="0"/>
                <w:color w:val="000000"/>
              </w:rPr>
              <w:t>0/24 (0%)</w:t>
            </w:r>
          </w:p>
        </w:tc>
        <w:tc>
          <w:tcPr>
            <w:tcW w:w="859" w:type="pct"/>
            <w:tcBorders>
              <w:bottom w:val="single" w:sz="4" w:space="0" w:color="auto"/>
            </w:tcBorders>
            <w:shd w:val="clear" w:color="auto" w:fill="auto"/>
          </w:tcPr>
          <w:p w14:paraId="75F154F2" w14:textId="77777777" w:rsidR="008D60DB" w:rsidRPr="008D60DB" w:rsidRDefault="008D60DB" w:rsidP="00AE7A6F">
            <w:pPr>
              <w:pStyle w:val="Tabletext1"/>
              <w:rPr>
                <w:snapToGrid w:val="0"/>
                <w:color w:val="000000"/>
              </w:rPr>
            </w:pPr>
            <w:r w:rsidRPr="008063EA">
              <w:rPr>
                <w:snapToGrid w:val="0"/>
                <w:color w:val="000000"/>
              </w:rPr>
              <w:t>0/24 (0%)</w:t>
            </w:r>
          </w:p>
        </w:tc>
      </w:tr>
      <w:tr w:rsidR="008D60DB" w:rsidRPr="008D60DB" w14:paraId="004D12D7" w14:textId="77777777" w:rsidTr="00A06395">
        <w:tc>
          <w:tcPr>
            <w:tcW w:w="1486" w:type="pct"/>
            <w:tcBorders>
              <w:bottom w:val="single" w:sz="4" w:space="0" w:color="auto"/>
            </w:tcBorders>
            <w:shd w:val="clear" w:color="auto" w:fill="auto"/>
            <w:vAlign w:val="center"/>
          </w:tcPr>
          <w:p w14:paraId="3C0CC9FA" w14:textId="77777777" w:rsidR="008D60DB" w:rsidRPr="008D60DB" w:rsidRDefault="008D60DB" w:rsidP="00AE7A6F">
            <w:pPr>
              <w:pStyle w:val="Tabletext1"/>
              <w:rPr>
                <w:color w:val="000000"/>
              </w:rPr>
            </w:pPr>
            <w:r w:rsidRPr="008D60DB">
              <w:rPr>
                <w:snapToGrid w:val="0"/>
                <w:color w:val="000000"/>
              </w:rPr>
              <w:t>Chung et al (2014)</w:t>
            </w:r>
          </w:p>
        </w:tc>
        <w:tc>
          <w:tcPr>
            <w:tcW w:w="1328" w:type="pct"/>
            <w:tcBorders>
              <w:bottom w:val="single" w:sz="4" w:space="0" w:color="auto"/>
            </w:tcBorders>
          </w:tcPr>
          <w:p w14:paraId="51AD44F3" w14:textId="77777777" w:rsidR="008D60DB" w:rsidRPr="008D60DB" w:rsidRDefault="008D60DB" w:rsidP="00AE7A6F">
            <w:pPr>
              <w:pStyle w:val="Tabletext1"/>
              <w:rPr>
                <w:snapToGrid w:val="0"/>
                <w:color w:val="000000"/>
              </w:rPr>
            </w:pPr>
            <w:r w:rsidRPr="008063EA">
              <w:rPr>
                <w:snapToGrid w:val="0"/>
                <w:color w:val="000000"/>
              </w:rPr>
              <w:t>IV</w:t>
            </w:r>
          </w:p>
        </w:tc>
        <w:tc>
          <w:tcPr>
            <w:tcW w:w="1327" w:type="pct"/>
            <w:tcBorders>
              <w:bottom w:val="single" w:sz="4" w:space="0" w:color="auto"/>
            </w:tcBorders>
            <w:shd w:val="clear" w:color="auto" w:fill="auto"/>
          </w:tcPr>
          <w:p w14:paraId="7F3B02E7" w14:textId="77777777" w:rsidR="008D60DB" w:rsidRPr="008D60DB" w:rsidRDefault="008D60DB" w:rsidP="00AE7A6F">
            <w:pPr>
              <w:pStyle w:val="Tabletext1"/>
              <w:rPr>
                <w:snapToGrid w:val="0"/>
                <w:color w:val="000000"/>
              </w:rPr>
            </w:pPr>
            <w:r w:rsidRPr="008063EA">
              <w:rPr>
                <w:snapToGrid w:val="0"/>
                <w:color w:val="000000"/>
              </w:rPr>
              <w:t>0/39 (0%)</w:t>
            </w:r>
          </w:p>
        </w:tc>
        <w:tc>
          <w:tcPr>
            <w:tcW w:w="859" w:type="pct"/>
            <w:tcBorders>
              <w:bottom w:val="single" w:sz="4" w:space="0" w:color="auto"/>
            </w:tcBorders>
            <w:shd w:val="clear" w:color="auto" w:fill="auto"/>
          </w:tcPr>
          <w:p w14:paraId="15EB55F3" w14:textId="77777777" w:rsidR="008D60DB" w:rsidRPr="008D60DB" w:rsidRDefault="008D60DB" w:rsidP="00AE7A6F">
            <w:pPr>
              <w:pStyle w:val="Tabletext1"/>
              <w:rPr>
                <w:snapToGrid w:val="0"/>
                <w:color w:val="000000"/>
              </w:rPr>
            </w:pPr>
            <w:r w:rsidRPr="008063EA">
              <w:rPr>
                <w:snapToGrid w:val="0"/>
                <w:color w:val="000000"/>
              </w:rPr>
              <w:t>0/39 (0%)</w:t>
            </w:r>
          </w:p>
        </w:tc>
      </w:tr>
      <w:tr w:rsidR="008D60DB" w:rsidRPr="008D60DB" w14:paraId="57C4FFB0" w14:textId="77777777" w:rsidTr="00A06395">
        <w:trPr>
          <w:trHeight w:val="368"/>
        </w:trPr>
        <w:tc>
          <w:tcPr>
            <w:tcW w:w="1486" w:type="pct"/>
            <w:tcBorders>
              <w:bottom w:val="single" w:sz="4" w:space="0" w:color="auto"/>
            </w:tcBorders>
            <w:shd w:val="clear" w:color="auto" w:fill="auto"/>
            <w:vAlign w:val="center"/>
          </w:tcPr>
          <w:p w14:paraId="27D86121" w14:textId="77777777" w:rsidR="008D60DB" w:rsidRPr="008D60DB" w:rsidRDefault="008D60DB" w:rsidP="00AE7A6F">
            <w:pPr>
              <w:pStyle w:val="Tabletext1"/>
              <w:rPr>
                <w:color w:val="000000"/>
              </w:rPr>
            </w:pPr>
            <w:r w:rsidRPr="008D60DB">
              <w:rPr>
                <w:snapToGrid w:val="0"/>
                <w:color w:val="000000"/>
              </w:rPr>
              <w:t>Egashira et al (2016)</w:t>
            </w:r>
          </w:p>
        </w:tc>
        <w:tc>
          <w:tcPr>
            <w:tcW w:w="1328" w:type="pct"/>
            <w:tcBorders>
              <w:bottom w:val="single" w:sz="4" w:space="0" w:color="auto"/>
            </w:tcBorders>
          </w:tcPr>
          <w:p w14:paraId="3312EA1C" w14:textId="77777777" w:rsidR="008D60DB" w:rsidRPr="008D60DB" w:rsidRDefault="008D60DB" w:rsidP="00AE7A6F">
            <w:pPr>
              <w:pStyle w:val="Tabletext1"/>
              <w:rPr>
                <w:snapToGrid w:val="0"/>
                <w:color w:val="000000"/>
              </w:rPr>
            </w:pPr>
            <w:r w:rsidRPr="008063EA">
              <w:rPr>
                <w:snapToGrid w:val="0"/>
                <w:color w:val="000000"/>
              </w:rPr>
              <w:t>IV</w:t>
            </w:r>
          </w:p>
        </w:tc>
        <w:tc>
          <w:tcPr>
            <w:tcW w:w="1327" w:type="pct"/>
            <w:tcBorders>
              <w:bottom w:val="single" w:sz="4" w:space="0" w:color="auto"/>
            </w:tcBorders>
            <w:shd w:val="clear" w:color="auto" w:fill="auto"/>
          </w:tcPr>
          <w:p w14:paraId="77AC0218" w14:textId="77777777" w:rsidR="008D60DB" w:rsidRPr="008D60DB" w:rsidRDefault="008D60DB" w:rsidP="00AE7A6F">
            <w:pPr>
              <w:pStyle w:val="Tabletext1"/>
              <w:rPr>
                <w:snapToGrid w:val="0"/>
                <w:color w:val="000000"/>
              </w:rPr>
            </w:pPr>
            <w:r w:rsidRPr="008063EA">
              <w:rPr>
                <w:snapToGrid w:val="0"/>
                <w:color w:val="000000"/>
              </w:rPr>
              <w:t>0/44 (0%)</w:t>
            </w:r>
          </w:p>
        </w:tc>
        <w:tc>
          <w:tcPr>
            <w:tcW w:w="859" w:type="pct"/>
            <w:tcBorders>
              <w:bottom w:val="single" w:sz="4" w:space="0" w:color="auto"/>
            </w:tcBorders>
            <w:shd w:val="clear" w:color="auto" w:fill="auto"/>
          </w:tcPr>
          <w:p w14:paraId="1CD94F54" w14:textId="77777777" w:rsidR="008D60DB" w:rsidRPr="008D60DB" w:rsidRDefault="008D60DB" w:rsidP="00AE7A6F">
            <w:pPr>
              <w:pStyle w:val="Tabletext1"/>
              <w:rPr>
                <w:snapToGrid w:val="0"/>
                <w:color w:val="000000"/>
              </w:rPr>
            </w:pPr>
            <w:r w:rsidRPr="008063EA">
              <w:rPr>
                <w:snapToGrid w:val="0"/>
                <w:color w:val="000000"/>
              </w:rPr>
              <w:t>0/44 (0%)</w:t>
            </w:r>
          </w:p>
        </w:tc>
      </w:tr>
      <w:tr w:rsidR="008D60DB" w:rsidRPr="008D60DB" w14:paraId="698A1CC8" w14:textId="77777777" w:rsidTr="00A06395">
        <w:tc>
          <w:tcPr>
            <w:tcW w:w="1486" w:type="pct"/>
            <w:tcBorders>
              <w:bottom w:val="single" w:sz="4" w:space="0" w:color="auto"/>
            </w:tcBorders>
            <w:shd w:val="clear" w:color="auto" w:fill="auto"/>
            <w:vAlign w:val="center"/>
          </w:tcPr>
          <w:p w14:paraId="3B91E94A" w14:textId="77777777" w:rsidR="008D60DB" w:rsidRPr="003E4064" w:rsidRDefault="008D60DB" w:rsidP="00AE7A6F">
            <w:pPr>
              <w:pStyle w:val="Tabletext1"/>
              <w:rPr>
                <w:color w:val="000000"/>
              </w:rPr>
            </w:pPr>
            <w:r w:rsidRPr="008D60DB">
              <w:rPr>
                <w:snapToGrid w:val="0"/>
                <w:color w:val="000000"/>
              </w:rPr>
              <w:t>Han et al (2015)</w:t>
            </w:r>
          </w:p>
        </w:tc>
        <w:tc>
          <w:tcPr>
            <w:tcW w:w="1328" w:type="pct"/>
            <w:tcBorders>
              <w:bottom w:val="single" w:sz="4" w:space="0" w:color="auto"/>
            </w:tcBorders>
          </w:tcPr>
          <w:p w14:paraId="67AF9A5E" w14:textId="77777777" w:rsidR="008D60DB" w:rsidRPr="008D60DB" w:rsidRDefault="008D60DB" w:rsidP="00AE7A6F">
            <w:pPr>
              <w:pStyle w:val="Tabletext1"/>
              <w:rPr>
                <w:snapToGrid w:val="0"/>
                <w:color w:val="000000"/>
              </w:rPr>
            </w:pPr>
            <w:r w:rsidRPr="008063EA">
              <w:rPr>
                <w:snapToGrid w:val="0"/>
                <w:color w:val="000000"/>
              </w:rPr>
              <w:t>IV</w:t>
            </w:r>
          </w:p>
        </w:tc>
        <w:tc>
          <w:tcPr>
            <w:tcW w:w="1327" w:type="pct"/>
            <w:tcBorders>
              <w:bottom w:val="single" w:sz="4" w:space="0" w:color="auto"/>
            </w:tcBorders>
            <w:shd w:val="clear" w:color="auto" w:fill="auto"/>
          </w:tcPr>
          <w:p w14:paraId="56C1E3DC" w14:textId="77777777" w:rsidR="008D60DB" w:rsidRPr="008D60DB" w:rsidRDefault="008D60DB" w:rsidP="00AE7A6F">
            <w:pPr>
              <w:pStyle w:val="Tabletext1"/>
              <w:rPr>
                <w:snapToGrid w:val="0"/>
                <w:color w:val="000000"/>
              </w:rPr>
            </w:pPr>
            <w:r w:rsidRPr="008063EA">
              <w:rPr>
                <w:snapToGrid w:val="0"/>
                <w:color w:val="000000"/>
              </w:rPr>
              <w:t>0/28 (0%)</w:t>
            </w:r>
          </w:p>
        </w:tc>
        <w:tc>
          <w:tcPr>
            <w:tcW w:w="859" w:type="pct"/>
            <w:tcBorders>
              <w:bottom w:val="single" w:sz="4" w:space="0" w:color="auto"/>
            </w:tcBorders>
            <w:shd w:val="clear" w:color="auto" w:fill="auto"/>
          </w:tcPr>
          <w:p w14:paraId="674F5559" w14:textId="77777777" w:rsidR="008D60DB" w:rsidRPr="008D60DB" w:rsidRDefault="008D60DB" w:rsidP="00AE7A6F">
            <w:pPr>
              <w:pStyle w:val="Tabletext1"/>
              <w:rPr>
                <w:snapToGrid w:val="0"/>
                <w:color w:val="000000"/>
              </w:rPr>
            </w:pPr>
            <w:r w:rsidRPr="008063EA">
              <w:rPr>
                <w:snapToGrid w:val="0"/>
                <w:color w:val="000000"/>
              </w:rPr>
              <w:t>0/28 (0%)</w:t>
            </w:r>
          </w:p>
        </w:tc>
      </w:tr>
      <w:tr w:rsidR="008D60DB" w:rsidRPr="008D60DB" w14:paraId="249CAD64" w14:textId="77777777" w:rsidTr="00A06395">
        <w:tc>
          <w:tcPr>
            <w:tcW w:w="1486" w:type="pct"/>
            <w:tcBorders>
              <w:bottom w:val="single" w:sz="4" w:space="0" w:color="auto"/>
            </w:tcBorders>
            <w:shd w:val="clear" w:color="auto" w:fill="auto"/>
            <w:vAlign w:val="center"/>
          </w:tcPr>
          <w:p w14:paraId="727F229C" w14:textId="77777777" w:rsidR="008D60DB" w:rsidRPr="003E4064" w:rsidRDefault="008D60DB" w:rsidP="00AE7A6F">
            <w:pPr>
              <w:pStyle w:val="Tabletext1"/>
              <w:rPr>
                <w:color w:val="000000"/>
              </w:rPr>
            </w:pPr>
            <w:r w:rsidRPr="008D60DB">
              <w:rPr>
                <w:snapToGrid w:val="0"/>
                <w:color w:val="000000"/>
              </w:rPr>
              <w:t>He et al (2006)</w:t>
            </w:r>
          </w:p>
        </w:tc>
        <w:tc>
          <w:tcPr>
            <w:tcW w:w="1328" w:type="pct"/>
            <w:tcBorders>
              <w:bottom w:val="single" w:sz="4" w:space="0" w:color="auto"/>
            </w:tcBorders>
          </w:tcPr>
          <w:p w14:paraId="125FA17A" w14:textId="77777777" w:rsidR="008D60DB" w:rsidRPr="008D60DB" w:rsidRDefault="008D60DB" w:rsidP="00AE7A6F">
            <w:pPr>
              <w:pStyle w:val="Tabletext1"/>
              <w:rPr>
                <w:snapToGrid w:val="0"/>
                <w:color w:val="000000"/>
              </w:rPr>
            </w:pPr>
            <w:r w:rsidRPr="008063EA">
              <w:rPr>
                <w:snapToGrid w:val="0"/>
                <w:color w:val="000000"/>
              </w:rPr>
              <w:t>IV</w:t>
            </w:r>
          </w:p>
        </w:tc>
        <w:tc>
          <w:tcPr>
            <w:tcW w:w="1327" w:type="pct"/>
            <w:tcBorders>
              <w:bottom w:val="single" w:sz="4" w:space="0" w:color="auto"/>
            </w:tcBorders>
            <w:shd w:val="clear" w:color="auto" w:fill="auto"/>
          </w:tcPr>
          <w:p w14:paraId="79C280E3" w14:textId="77777777" w:rsidR="008D60DB" w:rsidRPr="008D60DB" w:rsidRDefault="008D60DB" w:rsidP="00AE7A6F">
            <w:pPr>
              <w:pStyle w:val="Tabletext1"/>
              <w:rPr>
                <w:snapToGrid w:val="0"/>
                <w:color w:val="000000"/>
              </w:rPr>
            </w:pPr>
            <w:r w:rsidRPr="008063EA">
              <w:rPr>
                <w:snapToGrid w:val="0"/>
                <w:color w:val="000000"/>
              </w:rPr>
              <w:t>0/12 (0%)</w:t>
            </w:r>
          </w:p>
        </w:tc>
        <w:tc>
          <w:tcPr>
            <w:tcW w:w="859" w:type="pct"/>
            <w:tcBorders>
              <w:bottom w:val="single" w:sz="4" w:space="0" w:color="auto"/>
            </w:tcBorders>
            <w:shd w:val="clear" w:color="auto" w:fill="auto"/>
          </w:tcPr>
          <w:p w14:paraId="35D76DD1" w14:textId="77777777" w:rsidR="008D60DB" w:rsidRPr="008D60DB" w:rsidRDefault="008D60DB" w:rsidP="00AE7A6F">
            <w:pPr>
              <w:pStyle w:val="Tabletext1"/>
              <w:rPr>
                <w:snapToGrid w:val="0"/>
                <w:color w:val="000000"/>
              </w:rPr>
            </w:pPr>
            <w:r w:rsidRPr="008063EA">
              <w:rPr>
                <w:snapToGrid w:val="0"/>
                <w:color w:val="000000"/>
              </w:rPr>
              <w:t>0/12 (0%)</w:t>
            </w:r>
          </w:p>
        </w:tc>
      </w:tr>
      <w:tr w:rsidR="008D60DB" w:rsidRPr="008D60DB" w14:paraId="279483A6" w14:textId="77777777" w:rsidTr="00A06395">
        <w:tc>
          <w:tcPr>
            <w:tcW w:w="1486" w:type="pct"/>
            <w:tcBorders>
              <w:bottom w:val="single" w:sz="4" w:space="0" w:color="auto"/>
            </w:tcBorders>
            <w:shd w:val="clear" w:color="auto" w:fill="auto"/>
            <w:vAlign w:val="center"/>
          </w:tcPr>
          <w:p w14:paraId="29B48D3A" w14:textId="77777777" w:rsidR="008D60DB" w:rsidRPr="008D60DB" w:rsidRDefault="008D60DB" w:rsidP="00AE7A6F">
            <w:pPr>
              <w:pStyle w:val="Tabletext1"/>
              <w:rPr>
                <w:color w:val="000000"/>
              </w:rPr>
            </w:pPr>
            <w:r w:rsidRPr="008D60DB">
              <w:rPr>
                <w:snapToGrid w:val="0"/>
                <w:color w:val="000000"/>
              </w:rPr>
              <w:t>Little et al (2013)</w:t>
            </w:r>
          </w:p>
        </w:tc>
        <w:tc>
          <w:tcPr>
            <w:tcW w:w="1328" w:type="pct"/>
            <w:tcBorders>
              <w:bottom w:val="single" w:sz="4" w:space="0" w:color="auto"/>
            </w:tcBorders>
          </w:tcPr>
          <w:p w14:paraId="0E9AB0E2" w14:textId="77777777" w:rsidR="008D60DB" w:rsidRPr="008D60DB" w:rsidRDefault="008D60DB" w:rsidP="00AE7A6F">
            <w:pPr>
              <w:pStyle w:val="Tabletext1"/>
              <w:rPr>
                <w:snapToGrid w:val="0"/>
                <w:color w:val="000000"/>
              </w:rPr>
            </w:pPr>
            <w:r w:rsidRPr="008063EA">
              <w:rPr>
                <w:snapToGrid w:val="0"/>
                <w:color w:val="000000"/>
              </w:rPr>
              <w:t>IV</w:t>
            </w:r>
          </w:p>
        </w:tc>
        <w:tc>
          <w:tcPr>
            <w:tcW w:w="1327" w:type="pct"/>
            <w:tcBorders>
              <w:bottom w:val="single" w:sz="4" w:space="0" w:color="auto"/>
            </w:tcBorders>
            <w:shd w:val="clear" w:color="auto" w:fill="auto"/>
          </w:tcPr>
          <w:p w14:paraId="5F80742A" w14:textId="77777777" w:rsidR="008D60DB" w:rsidRPr="008D60DB" w:rsidRDefault="008D60DB" w:rsidP="00AE7A6F">
            <w:pPr>
              <w:pStyle w:val="Tabletext1"/>
              <w:rPr>
                <w:snapToGrid w:val="0"/>
                <w:color w:val="000000"/>
              </w:rPr>
            </w:pPr>
            <w:r w:rsidRPr="008063EA">
              <w:rPr>
                <w:snapToGrid w:val="0"/>
                <w:color w:val="000000"/>
              </w:rPr>
              <w:t>0/23 (0%)</w:t>
            </w:r>
          </w:p>
        </w:tc>
        <w:tc>
          <w:tcPr>
            <w:tcW w:w="859" w:type="pct"/>
            <w:tcBorders>
              <w:bottom w:val="single" w:sz="4" w:space="0" w:color="auto"/>
            </w:tcBorders>
            <w:shd w:val="clear" w:color="auto" w:fill="auto"/>
          </w:tcPr>
          <w:p w14:paraId="5DF55396" w14:textId="77777777" w:rsidR="008D60DB" w:rsidRPr="008D60DB" w:rsidRDefault="008D60DB" w:rsidP="00AE7A6F">
            <w:pPr>
              <w:pStyle w:val="Tabletext1"/>
              <w:rPr>
                <w:snapToGrid w:val="0"/>
                <w:color w:val="000000"/>
              </w:rPr>
            </w:pPr>
            <w:r w:rsidRPr="008063EA">
              <w:rPr>
                <w:snapToGrid w:val="0"/>
                <w:color w:val="000000"/>
              </w:rPr>
              <w:t>0/23 (0%)</w:t>
            </w:r>
          </w:p>
        </w:tc>
      </w:tr>
      <w:tr w:rsidR="008D60DB" w:rsidRPr="008D60DB" w14:paraId="5981914F" w14:textId="77777777" w:rsidTr="00A06395">
        <w:tc>
          <w:tcPr>
            <w:tcW w:w="1486" w:type="pct"/>
            <w:tcBorders>
              <w:bottom w:val="single" w:sz="4" w:space="0" w:color="auto"/>
            </w:tcBorders>
            <w:shd w:val="clear" w:color="auto" w:fill="auto"/>
            <w:vAlign w:val="center"/>
          </w:tcPr>
          <w:p w14:paraId="078B4F33" w14:textId="77777777" w:rsidR="008D60DB" w:rsidRPr="008D60DB" w:rsidRDefault="008063EA" w:rsidP="00AE7A6F">
            <w:pPr>
              <w:pStyle w:val="Tabletext1"/>
              <w:rPr>
                <w:color w:val="000000"/>
              </w:rPr>
            </w:pPr>
            <w:r>
              <w:rPr>
                <w:snapToGrid w:val="0"/>
                <w:color w:val="000000"/>
              </w:rPr>
              <w:t>Liu &amp; Steinke (2015)</w:t>
            </w:r>
          </w:p>
        </w:tc>
        <w:tc>
          <w:tcPr>
            <w:tcW w:w="1328" w:type="pct"/>
            <w:tcBorders>
              <w:bottom w:val="single" w:sz="4" w:space="0" w:color="auto"/>
            </w:tcBorders>
          </w:tcPr>
          <w:p w14:paraId="066A0D7B" w14:textId="77777777" w:rsidR="008D60DB" w:rsidRPr="003E4064" w:rsidRDefault="008D60DB" w:rsidP="00AE7A6F">
            <w:pPr>
              <w:pStyle w:val="Tabletext1"/>
              <w:rPr>
                <w:snapToGrid w:val="0"/>
                <w:color w:val="000000"/>
              </w:rPr>
            </w:pPr>
            <w:r w:rsidRPr="003E4064">
              <w:rPr>
                <w:snapToGrid w:val="0"/>
                <w:color w:val="000000"/>
              </w:rPr>
              <w:t>IV</w:t>
            </w:r>
          </w:p>
        </w:tc>
        <w:tc>
          <w:tcPr>
            <w:tcW w:w="1327" w:type="pct"/>
            <w:tcBorders>
              <w:bottom w:val="single" w:sz="4" w:space="0" w:color="auto"/>
            </w:tcBorders>
            <w:shd w:val="clear" w:color="auto" w:fill="auto"/>
          </w:tcPr>
          <w:p w14:paraId="2D93D2C5" w14:textId="77777777" w:rsidR="008D60DB" w:rsidRPr="008D60DB" w:rsidRDefault="008D60DB" w:rsidP="00AE7A6F">
            <w:pPr>
              <w:pStyle w:val="Tabletext1"/>
              <w:rPr>
                <w:snapToGrid w:val="0"/>
                <w:color w:val="000000"/>
              </w:rPr>
            </w:pPr>
            <w:r w:rsidRPr="008063EA">
              <w:rPr>
                <w:snapToGrid w:val="0"/>
                <w:color w:val="000000"/>
              </w:rPr>
              <w:t>0/15 (0%)</w:t>
            </w:r>
          </w:p>
        </w:tc>
        <w:tc>
          <w:tcPr>
            <w:tcW w:w="859" w:type="pct"/>
            <w:tcBorders>
              <w:bottom w:val="single" w:sz="4" w:space="0" w:color="auto"/>
            </w:tcBorders>
            <w:shd w:val="clear" w:color="auto" w:fill="auto"/>
          </w:tcPr>
          <w:p w14:paraId="1B09940E" w14:textId="77777777" w:rsidR="008D60DB" w:rsidRPr="008D60DB" w:rsidRDefault="008D60DB" w:rsidP="00AE7A6F">
            <w:pPr>
              <w:pStyle w:val="Tabletext1"/>
              <w:rPr>
                <w:snapToGrid w:val="0"/>
                <w:color w:val="000000"/>
              </w:rPr>
            </w:pPr>
            <w:r w:rsidRPr="008063EA">
              <w:rPr>
                <w:snapToGrid w:val="0"/>
                <w:color w:val="000000"/>
              </w:rPr>
              <w:t>0/15 (0%)</w:t>
            </w:r>
          </w:p>
        </w:tc>
      </w:tr>
      <w:tr w:rsidR="008D60DB" w:rsidRPr="008D60DB" w14:paraId="06572763" w14:textId="77777777" w:rsidTr="00A06395">
        <w:tc>
          <w:tcPr>
            <w:tcW w:w="1486" w:type="pct"/>
            <w:tcBorders>
              <w:bottom w:val="single" w:sz="4" w:space="0" w:color="auto"/>
            </w:tcBorders>
            <w:shd w:val="clear" w:color="auto" w:fill="auto"/>
            <w:vAlign w:val="center"/>
          </w:tcPr>
          <w:p w14:paraId="5AB074B1" w14:textId="77777777" w:rsidR="008D60DB" w:rsidRPr="008D60DB" w:rsidRDefault="008D60DB" w:rsidP="00AE7A6F">
            <w:pPr>
              <w:pStyle w:val="Tabletext1"/>
              <w:rPr>
                <w:color w:val="000000"/>
              </w:rPr>
            </w:pPr>
            <w:r w:rsidRPr="008D60DB">
              <w:rPr>
                <w:snapToGrid w:val="0"/>
                <w:color w:val="000000"/>
              </w:rPr>
              <w:t>Lu et al (2012)</w:t>
            </w:r>
          </w:p>
        </w:tc>
        <w:tc>
          <w:tcPr>
            <w:tcW w:w="1328" w:type="pct"/>
            <w:tcBorders>
              <w:bottom w:val="single" w:sz="4" w:space="0" w:color="auto"/>
            </w:tcBorders>
          </w:tcPr>
          <w:p w14:paraId="3E7980D8" w14:textId="77777777" w:rsidR="008D60DB" w:rsidRPr="003E4064" w:rsidRDefault="008D60DB" w:rsidP="00AE7A6F">
            <w:pPr>
              <w:pStyle w:val="Tabletext1"/>
              <w:rPr>
                <w:snapToGrid w:val="0"/>
                <w:color w:val="000000"/>
              </w:rPr>
            </w:pPr>
            <w:r w:rsidRPr="003E4064">
              <w:rPr>
                <w:snapToGrid w:val="0"/>
                <w:color w:val="000000"/>
              </w:rPr>
              <w:t>IV</w:t>
            </w:r>
          </w:p>
        </w:tc>
        <w:tc>
          <w:tcPr>
            <w:tcW w:w="1327" w:type="pct"/>
            <w:tcBorders>
              <w:bottom w:val="single" w:sz="4" w:space="0" w:color="auto"/>
            </w:tcBorders>
            <w:shd w:val="clear" w:color="auto" w:fill="auto"/>
          </w:tcPr>
          <w:p w14:paraId="5650B070" w14:textId="77777777" w:rsidR="008D60DB" w:rsidRPr="008D60DB" w:rsidRDefault="008D60DB" w:rsidP="00AE7A6F">
            <w:pPr>
              <w:pStyle w:val="Tabletext1"/>
              <w:rPr>
                <w:snapToGrid w:val="0"/>
                <w:color w:val="000000"/>
              </w:rPr>
            </w:pPr>
            <w:r w:rsidRPr="008063EA">
              <w:rPr>
                <w:snapToGrid w:val="0"/>
                <w:color w:val="000000"/>
              </w:rPr>
              <w:t>0/69 (0%)</w:t>
            </w:r>
          </w:p>
        </w:tc>
        <w:tc>
          <w:tcPr>
            <w:tcW w:w="859" w:type="pct"/>
            <w:tcBorders>
              <w:bottom w:val="single" w:sz="4" w:space="0" w:color="auto"/>
            </w:tcBorders>
            <w:shd w:val="clear" w:color="auto" w:fill="auto"/>
          </w:tcPr>
          <w:p w14:paraId="708DADF3" w14:textId="77777777" w:rsidR="008D60DB" w:rsidRPr="008D60DB" w:rsidRDefault="008D60DB" w:rsidP="00AE7A6F">
            <w:pPr>
              <w:pStyle w:val="Tabletext1"/>
              <w:rPr>
                <w:snapToGrid w:val="0"/>
                <w:color w:val="000000"/>
              </w:rPr>
            </w:pPr>
            <w:r w:rsidRPr="008063EA">
              <w:rPr>
                <w:snapToGrid w:val="0"/>
                <w:color w:val="000000"/>
              </w:rPr>
              <w:t>0/69 (0%)</w:t>
            </w:r>
          </w:p>
        </w:tc>
      </w:tr>
      <w:tr w:rsidR="008D60DB" w:rsidRPr="008D60DB" w14:paraId="5C849FD4" w14:textId="77777777" w:rsidTr="00A06395">
        <w:tc>
          <w:tcPr>
            <w:tcW w:w="1486" w:type="pct"/>
            <w:tcBorders>
              <w:bottom w:val="single" w:sz="4" w:space="0" w:color="auto"/>
            </w:tcBorders>
            <w:shd w:val="clear" w:color="auto" w:fill="auto"/>
            <w:vAlign w:val="center"/>
          </w:tcPr>
          <w:p w14:paraId="588EA7DA" w14:textId="77777777" w:rsidR="008D60DB" w:rsidRPr="008D60DB" w:rsidRDefault="008D60DB" w:rsidP="00AE7A6F">
            <w:pPr>
              <w:pStyle w:val="Tabletext1"/>
              <w:rPr>
                <w:color w:val="000000"/>
              </w:rPr>
            </w:pPr>
            <w:r w:rsidRPr="008D60DB">
              <w:rPr>
                <w:snapToGrid w:val="0"/>
                <w:color w:val="000000"/>
              </w:rPr>
              <w:t>Ni et al (2015)</w:t>
            </w:r>
          </w:p>
        </w:tc>
        <w:tc>
          <w:tcPr>
            <w:tcW w:w="1328" w:type="pct"/>
            <w:tcBorders>
              <w:bottom w:val="single" w:sz="4" w:space="0" w:color="auto"/>
            </w:tcBorders>
          </w:tcPr>
          <w:p w14:paraId="73CA3A72" w14:textId="77777777" w:rsidR="008D60DB" w:rsidRPr="003E4064" w:rsidRDefault="008D60DB" w:rsidP="00AE7A6F">
            <w:pPr>
              <w:pStyle w:val="Tabletext1"/>
              <w:rPr>
                <w:snapToGrid w:val="0"/>
                <w:color w:val="000000"/>
              </w:rPr>
            </w:pPr>
            <w:r w:rsidRPr="003E4064">
              <w:rPr>
                <w:snapToGrid w:val="0"/>
                <w:color w:val="000000"/>
              </w:rPr>
              <w:t>IV</w:t>
            </w:r>
          </w:p>
        </w:tc>
        <w:tc>
          <w:tcPr>
            <w:tcW w:w="1327" w:type="pct"/>
            <w:tcBorders>
              <w:bottom w:val="single" w:sz="4" w:space="0" w:color="auto"/>
            </w:tcBorders>
            <w:shd w:val="clear" w:color="auto" w:fill="auto"/>
          </w:tcPr>
          <w:p w14:paraId="303128F7" w14:textId="77777777" w:rsidR="008D60DB" w:rsidRPr="008D60DB" w:rsidRDefault="008D60DB" w:rsidP="00AE7A6F">
            <w:pPr>
              <w:pStyle w:val="Tabletext1"/>
              <w:rPr>
                <w:snapToGrid w:val="0"/>
                <w:color w:val="000000"/>
              </w:rPr>
            </w:pPr>
            <w:r w:rsidRPr="008063EA">
              <w:rPr>
                <w:snapToGrid w:val="0"/>
                <w:color w:val="000000"/>
              </w:rPr>
              <w:t>0/35 (0%)</w:t>
            </w:r>
          </w:p>
        </w:tc>
        <w:tc>
          <w:tcPr>
            <w:tcW w:w="859" w:type="pct"/>
            <w:tcBorders>
              <w:bottom w:val="single" w:sz="4" w:space="0" w:color="auto"/>
            </w:tcBorders>
            <w:shd w:val="clear" w:color="auto" w:fill="auto"/>
          </w:tcPr>
          <w:p w14:paraId="68FD67D1" w14:textId="77777777" w:rsidR="008D60DB" w:rsidRPr="008D60DB" w:rsidRDefault="008D60DB" w:rsidP="00AE7A6F">
            <w:pPr>
              <w:pStyle w:val="Tabletext1"/>
              <w:rPr>
                <w:snapToGrid w:val="0"/>
                <w:color w:val="000000"/>
              </w:rPr>
            </w:pPr>
            <w:r w:rsidRPr="008063EA">
              <w:rPr>
                <w:snapToGrid w:val="0"/>
                <w:color w:val="000000"/>
              </w:rPr>
              <w:t>0/35 (0%)</w:t>
            </w:r>
          </w:p>
        </w:tc>
      </w:tr>
      <w:tr w:rsidR="008D60DB" w:rsidRPr="008D60DB" w14:paraId="58611823" w14:textId="77777777" w:rsidTr="00A06395">
        <w:tc>
          <w:tcPr>
            <w:tcW w:w="1486" w:type="pct"/>
            <w:tcBorders>
              <w:bottom w:val="single" w:sz="4" w:space="0" w:color="auto"/>
            </w:tcBorders>
            <w:shd w:val="clear" w:color="auto" w:fill="auto"/>
            <w:vAlign w:val="center"/>
          </w:tcPr>
          <w:p w14:paraId="66F47F39" w14:textId="77777777" w:rsidR="008D60DB" w:rsidRPr="003E4064" w:rsidRDefault="008D60DB" w:rsidP="00AE7A6F">
            <w:pPr>
              <w:pStyle w:val="Tabletext1"/>
              <w:rPr>
                <w:color w:val="000000"/>
                <w:vertAlign w:val="superscript"/>
              </w:rPr>
            </w:pPr>
            <w:r w:rsidRPr="008D60DB">
              <w:rPr>
                <w:snapToGrid w:val="0"/>
                <w:color w:val="000000"/>
              </w:rPr>
              <w:t>Qi et al (2015)</w:t>
            </w:r>
            <w:r w:rsidRPr="003E4064">
              <w:rPr>
                <w:snapToGrid w:val="0"/>
                <w:color w:val="000000"/>
                <w:vertAlign w:val="superscript"/>
              </w:rPr>
              <w:t>a</w:t>
            </w:r>
          </w:p>
        </w:tc>
        <w:tc>
          <w:tcPr>
            <w:tcW w:w="1328" w:type="pct"/>
            <w:tcBorders>
              <w:bottom w:val="single" w:sz="4" w:space="0" w:color="auto"/>
            </w:tcBorders>
          </w:tcPr>
          <w:p w14:paraId="4CC1AD89" w14:textId="77777777" w:rsidR="008D60DB" w:rsidRPr="008D60DB" w:rsidRDefault="008D60DB" w:rsidP="00AE7A6F">
            <w:pPr>
              <w:pStyle w:val="Tabletext1"/>
              <w:rPr>
                <w:snapToGrid w:val="0"/>
                <w:color w:val="000000"/>
              </w:rPr>
            </w:pPr>
            <w:r w:rsidRPr="008063EA">
              <w:rPr>
                <w:snapToGrid w:val="0"/>
                <w:color w:val="000000"/>
              </w:rPr>
              <w:t>IV</w:t>
            </w:r>
          </w:p>
        </w:tc>
        <w:tc>
          <w:tcPr>
            <w:tcW w:w="1327" w:type="pct"/>
            <w:tcBorders>
              <w:bottom w:val="single" w:sz="4" w:space="0" w:color="auto"/>
            </w:tcBorders>
            <w:shd w:val="clear" w:color="auto" w:fill="auto"/>
          </w:tcPr>
          <w:p w14:paraId="3D2B35F7" w14:textId="77777777" w:rsidR="008D60DB" w:rsidRPr="008D60DB" w:rsidRDefault="008D60DB" w:rsidP="00AE7A6F">
            <w:pPr>
              <w:pStyle w:val="Tabletext1"/>
              <w:rPr>
                <w:snapToGrid w:val="0"/>
                <w:color w:val="000000"/>
              </w:rPr>
            </w:pPr>
            <w:r w:rsidRPr="008063EA">
              <w:rPr>
                <w:snapToGrid w:val="0"/>
                <w:color w:val="000000"/>
              </w:rPr>
              <w:t>0/17 (0%)</w:t>
            </w:r>
          </w:p>
        </w:tc>
        <w:tc>
          <w:tcPr>
            <w:tcW w:w="859" w:type="pct"/>
            <w:tcBorders>
              <w:bottom w:val="single" w:sz="4" w:space="0" w:color="auto"/>
            </w:tcBorders>
            <w:shd w:val="clear" w:color="auto" w:fill="auto"/>
          </w:tcPr>
          <w:p w14:paraId="3DC20C5D" w14:textId="77777777" w:rsidR="008D60DB" w:rsidRPr="008D60DB" w:rsidRDefault="008D60DB" w:rsidP="00AE7A6F">
            <w:pPr>
              <w:pStyle w:val="Tabletext1"/>
              <w:rPr>
                <w:snapToGrid w:val="0"/>
                <w:color w:val="000000"/>
              </w:rPr>
            </w:pPr>
            <w:r w:rsidRPr="008063EA">
              <w:rPr>
                <w:snapToGrid w:val="0"/>
                <w:color w:val="000000"/>
              </w:rPr>
              <w:t>0/17 (0%)</w:t>
            </w:r>
          </w:p>
        </w:tc>
      </w:tr>
      <w:tr w:rsidR="008D60DB" w:rsidRPr="008D60DB" w14:paraId="51C63EF8" w14:textId="77777777" w:rsidTr="00A06395">
        <w:tc>
          <w:tcPr>
            <w:tcW w:w="1486" w:type="pct"/>
            <w:tcBorders>
              <w:bottom w:val="single" w:sz="4" w:space="0" w:color="auto"/>
            </w:tcBorders>
            <w:shd w:val="clear" w:color="auto" w:fill="auto"/>
            <w:vAlign w:val="center"/>
          </w:tcPr>
          <w:p w14:paraId="1FE7D414" w14:textId="77777777" w:rsidR="008D60DB" w:rsidRPr="003E4064" w:rsidRDefault="008D60DB" w:rsidP="00AE7A6F">
            <w:pPr>
              <w:pStyle w:val="Tabletext1"/>
              <w:rPr>
                <w:color w:val="000000"/>
                <w:vertAlign w:val="superscript"/>
              </w:rPr>
            </w:pPr>
            <w:r w:rsidRPr="008D60DB">
              <w:rPr>
                <w:snapToGrid w:val="0"/>
                <w:color w:val="000000"/>
              </w:rPr>
              <w:t>Song et al (2014)</w:t>
            </w:r>
            <w:r w:rsidRPr="008D60DB">
              <w:rPr>
                <w:snapToGrid w:val="0"/>
                <w:color w:val="000000"/>
                <w:vertAlign w:val="superscript"/>
              </w:rPr>
              <w:t>a</w:t>
            </w:r>
          </w:p>
        </w:tc>
        <w:tc>
          <w:tcPr>
            <w:tcW w:w="1328" w:type="pct"/>
            <w:tcBorders>
              <w:bottom w:val="single" w:sz="4" w:space="0" w:color="auto"/>
            </w:tcBorders>
          </w:tcPr>
          <w:p w14:paraId="1BBFC32F" w14:textId="77777777" w:rsidR="008D60DB" w:rsidRPr="003E4064" w:rsidRDefault="008D60DB" w:rsidP="00AE7A6F">
            <w:pPr>
              <w:pStyle w:val="Tabletext1"/>
              <w:rPr>
                <w:snapToGrid w:val="0"/>
                <w:color w:val="000000"/>
              </w:rPr>
            </w:pPr>
            <w:r w:rsidRPr="003E4064">
              <w:rPr>
                <w:snapToGrid w:val="0"/>
                <w:color w:val="000000"/>
              </w:rPr>
              <w:t>IV</w:t>
            </w:r>
          </w:p>
        </w:tc>
        <w:tc>
          <w:tcPr>
            <w:tcW w:w="1327" w:type="pct"/>
            <w:tcBorders>
              <w:bottom w:val="single" w:sz="4" w:space="0" w:color="auto"/>
            </w:tcBorders>
            <w:shd w:val="clear" w:color="auto" w:fill="auto"/>
          </w:tcPr>
          <w:p w14:paraId="26AF933B" w14:textId="77777777" w:rsidR="008D60DB" w:rsidRPr="008D60DB" w:rsidRDefault="008D60DB" w:rsidP="00AE7A6F">
            <w:pPr>
              <w:pStyle w:val="Tabletext1"/>
              <w:rPr>
                <w:snapToGrid w:val="0"/>
                <w:color w:val="000000"/>
              </w:rPr>
            </w:pPr>
            <w:r w:rsidRPr="008063EA">
              <w:rPr>
                <w:snapToGrid w:val="0"/>
                <w:color w:val="000000"/>
              </w:rPr>
              <w:t>0/29 (0%)</w:t>
            </w:r>
          </w:p>
        </w:tc>
        <w:tc>
          <w:tcPr>
            <w:tcW w:w="859" w:type="pct"/>
            <w:tcBorders>
              <w:bottom w:val="single" w:sz="4" w:space="0" w:color="auto"/>
            </w:tcBorders>
            <w:shd w:val="clear" w:color="auto" w:fill="auto"/>
          </w:tcPr>
          <w:p w14:paraId="38AFF7E8" w14:textId="77777777" w:rsidR="008D60DB" w:rsidRPr="008D60DB" w:rsidRDefault="008D60DB" w:rsidP="00AE7A6F">
            <w:pPr>
              <w:pStyle w:val="Tabletext1"/>
              <w:rPr>
                <w:snapToGrid w:val="0"/>
                <w:color w:val="000000"/>
              </w:rPr>
            </w:pPr>
            <w:r w:rsidRPr="008063EA">
              <w:rPr>
                <w:snapToGrid w:val="0"/>
                <w:color w:val="000000"/>
              </w:rPr>
              <w:t>0/29 (0%)</w:t>
            </w:r>
          </w:p>
        </w:tc>
      </w:tr>
      <w:tr w:rsidR="008D60DB" w:rsidRPr="008D60DB" w14:paraId="7A18045A" w14:textId="77777777" w:rsidTr="00A06395">
        <w:tc>
          <w:tcPr>
            <w:tcW w:w="1486" w:type="pct"/>
            <w:tcBorders>
              <w:bottom w:val="single" w:sz="4" w:space="0" w:color="auto"/>
            </w:tcBorders>
            <w:shd w:val="clear" w:color="auto" w:fill="auto"/>
            <w:vAlign w:val="center"/>
          </w:tcPr>
          <w:p w14:paraId="3D6A9912" w14:textId="77777777" w:rsidR="008D60DB" w:rsidRPr="003E4064" w:rsidRDefault="008D60DB" w:rsidP="00AE7A6F">
            <w:pPr>
              <w:pStyle w:val="Tabletext1"/>
              <w:rPr>
                <w:color w:val="000000"/>
                <w:vertAlign w:val="superscript"/>
              </w:rPr>
            </w:pPr>
            <w:r w:rsidRPr="008D60DB">
              <w:rPr>
                <w:snapToGrid w:val="0"/>
                <w:color w:val="000000"/>
              </w:rPr>
              <w:t>Splatt &amp; Steinke (2015)</w:t>
            </w:r>
            <w:r w:rsidRPr="008D60DB">
              <w:rPr>
                <w:snapToGrid w:val="0"/>
                <w:color w:val="000000"/>
                <w:vertAlign w:val="superscript"/>
              </w:rPr>
              <w:t>a</w:t>
            </w:r>
          </w:p>
        </w:tc>
        <w:tc>
          <w:tcPr>
            <w:tcW w:w="1328" w:type="pct"/>
            <w:tcBorders>
              <w:bottom w:val="single" w:sz="4" w:space="0" w:color="auto"/>
            </w:tcBorders>
          </w:tcPr>
          <w:p w14:paraId="3D7F0D5F" w14:textId="77777777" w:rsidR="008D60DB" w:rsidRPr="003E4064" w:rsidRDefault="008D60DB" w:rsidP="00AE7A6F">
            <w:pPr>
              <w:pStyle w:val="Tabletext1"/>
              <w:rPr>
                <w:snapToGrid w:val="0"/>
                <w:color w:val="000000"/>
              </w:rPr>
            </w:pPr>
            <w:r w:rsidRPr="003E4064">
              <w:rPr>
                <w:snapToGrid w:val="0"/>
                <w:color w:val="000000"/>
              </w:rPr>
              <w:t>IV</w:t>
            </w:r>
          </w:p>
        </w:tc>
        <w:tc>
          <w:tcPr>
            <w:tcW w:w="1327" w:type="pct"/>
            <w:tcBorders>
              <w:bottom w:val="single" w:sz="4" w:space="0" w:color="auto"/>
            </w:tcBorders>
            <w:shd w:val="clear" w:color="auto" w:fill="auto"/>
          </w:tcPr>
          <w:p w14:paraId="4E30DA71" w14:textId="77777777" w:rsidR="008D60DB" w:rsidRPr="008D60DB" w:rsidRDefault="008D60DB" w:rsidP="00AE7A6F">
            <w:pPr>
              <w:pStyle w:val="Tabletext1"/>
              <w:rPr>
                <w:snapToGrid w:val="0"/>
                <w:color w:val="000000"/>
              </w:rPr>
            </w:pPr>
            <w:r w:rsidRPr="008063EA">
              <w:rPr>
                <w:snapToGrid w:val="0"/>
                <w:color w:val="000000"/>
              </w:rPr>
              <w:t>0/51 (0%)</w:t>
            </w:r>
          </w:p>
        </w:tc>
        <w:tc>
          <w:tcPr>
            <w:tcW w:w="859" w:type="pct"/>
            <w:tcBorders>
              <w:bottom w:val="single" w:sz="4" w:space="0" w:color="auto"/>
            </w:tcBorders>
            <w:shd w:val="clear" w:color="auto" w:fill="auto"/>
          </w:tcPr>
          <w:p w14:paraId="4338EE3A" w14:textId="77777777" w:rsidR="008D60DB" w:rsidRPr="008D60DB" w:rsidRDefault="008D60DB" w:rsidP="00AE7A6F">
            <w:pPr>
              <w:pStyle w:val="Tabletext1"/>
              <w:rPr>
                <w:snapToGrid w:val="0"/>
                <w:color w:val="000000"/>
              </w:rPr>
            </w:pPr>
            <w:r w:rsidRPr="008063EA">
              <w:rPr>
                <w:snapToGrid w:val="0"/>
                <w:color w:val="000000"/>
              </w:rPr>
              <w:t>1/51 (2%)</w:t>
            </w:r>
          </w:p>
        </w:tc>
      </w:tr>
      <w:tr w:rsidR="008D60DB" w:rsidRPr="008D60DB" w14:paraId="5003AE26" w14:textId="77777777" w:rsidTr="00A06395">
        <w:tc>
          <w:tcPr>
            <w:tcW w:w="1486" w:type="pct"/>
            <w:tcBorders>
              <w:bottom w:val="single" w:sz="4" w:space="0" w:color="auto"/>
            </w:tcBorders>
            <w:shd w:val="clear" w:color="auto" w:fill="auto"/>
            <w:vAlign w:val="center"/>
          </w:tcPr>
          <w:p w14:paraId="066BF65F" w14:textId="77777777" w:rsidR="008D60DB" w:rsidRPr="008D60DB" w:rsidRDefault="008D60DB" w:rsidP="00AE7A6F">
            <w:pPr>
              <w:pStyle w:val="Tabletext1"/>
              <w:rPr>
                <w:color w:val="000000"/>
              </w:rPr>
            </w:pPr>
            <w:r w:rsidRPr="008D60DB">
              <w:rPr>
                <w:snapToGrid w:val="0"/>
                <w:color w:val="000000"/>
              </w:rPr>
              <w:t>Sun et al (2015)</w:t>
            </w:r>
          </w:p>
        </w:tc>
        <w:tc>
          <w:tcPr>
            <w:tcW w:w="1328" w:type="pct"/>
            <w:tcBorders>
              <w:bottom w:val="single" w:sz="4" w:space="0" w:color="auto"/>
            </w:tcBorders>
          </w:tcPr>
          <w:p w14:paraId="76D74FC8" w14:textId="77777777" w:rsidR="008D60DB" w:rsidRPr="003E4064" w:rsidRDefault="008D60DB" w:rsidP="00AE7A6F">
            <w:pPr>
              <w:pStyle w:val="Tabletext1"/>
              <w:rPr>
                <w:snapToGrid w:val="0"/>
                <w:color w:val="000000"/>
              </w:rPr>
            </w:pPr>
            <w:r w:rsidRPr="003E4064">
              <w:rPr>
                <w:snapToGrid w:val="0"/>
                <w:color w:val="000000"/>
              </w:rPr>
              <w:t>III-2</w:t>
            </w:r>
          </w:p>
        </w:tc>
        <w:tc>
          <w:tcPr>
            <w:tcW w:w="1327" w:type="pct"/>
            <w:tcBorders>
              <w:bottom w:val="single" w:sz="4" w:space="0" w:color="auto"/>
            </w:tcBorders>
            <w:shd w:val="clear" w:color="auto" w:fill="auto"/>
          </w:tcPr>
          <w:p w14:paraId="3D1CB17B" w14:textId="77777777" w:rsidR="008D60DB" w:rsidRPr="008D60DB" w:rsidRDefault="008D60DB" w:rsidP="00AE7A6F">
            <w:pPr>
              <w:pStyle w:val="Tabletext1"/>
              <w:rPr>
                <w:snapToGrid w:val="0"/>
                <w:color w:val="000000"/>
              </w:rPr>
            </w:pPr>
            <w:r w:rsidRPr="008063EA">
              <w:rPr>
                <w:snapToGrid w:val="0"/>
                <w:color w:val="000000"/>
              </w:rPr>
              <w:t>0/40 (0%)</w:t>
            </w:r>
          </w:p>
        </w:tc>
        <w:tc>
          <w:tcPr>
            <w:tcW w:w="859" w:type="pct"/>
            <w:tcBorders>
              <w:bottom w:val="single" w:sz="4" w:space="0" w:color="auto"/>
            </w:tcBorders>
            <w:shd w:val="clear" w:color="auto" w:fill="auto"/>
          </w:tcPr>
          <w:p w14:paraId="10D17F0C" w14:textId="77777777" w:rsidR="008D60DB" w:rsidRPr="008D60DB" w:rsidRDefault="008D60DB" w:rsidP="00AE7A6F">
            <w:pPr>
              <w:pStyle w:val="Tabletext1"/>
              <w:rPr>
                <w:snapToGrid w:val="0"/>
                <w:color w:val="000000"/>
              </w:rPr>
            </w:pPr>
            <w:r w:rsidRPr="008063EA">
              <w:rPr>
                <w:snapToGrid w:val="0"/>
                <w:color w:val="000000"/>
              </w:rPr>
              <w:t>NR</w:t>
            </w:r>
          </w:p>
        </w:tc>
      </w:tr>
      <w:tr w:rsidR="008D60DB" w:rsidRPr="008D60DB" w14:paraId="54145425" w14:textId="77777777" w:rsidTr="00A06395">
        <w:tc>
          <w:tcPr>
            <w:tcW w:w="1486" w:type="pct"/>
            <w:tcBorders>
              <w:bottom w:val="single" w:sz="4" w:space="0" w:color="auto"/>
            </w:tcBorders>
            <w:shd w:val="clear" w:color="auto" w:fill="auto"/>
            <w:vAlign w:val="center"/>
          </w:tcPr>
          <w:p w14:paraId="383CC9E3" w14:textId="77777777" w:rsidR="008D60DB" w:rsidRPr="003E4064" w:rsidRDefault="008D60DB" w:rsidP="00AE7A6F">
            <w:pPr>
              <w:pStyle w:val="Tabletext1"/>
              <w:rPr>
                <w:color w:val="000000"/>
                <w:vertAlign w:val="superscript"/>
              </w:rPr>
            </w:pPr>
            <w:r w:rsidRPr="008D60DB">
              <w:rPr>
                <w:snapToGrid w:val="0"/>
                <w:color w:val="000000"/>
              </w:rPr>
              <w:lastRenderedPageBreak/>
              <w:t>Vogl et al (2015)</w:t>
            </w:r>
            <w:r w:rsidRPr="008D60DB">
              <w:rPr>
                <w:snapToGrid w:val="0"/>
                <w:color w:val="000000"/>
                <w:vertAlign w:val="superscript"/>
              </w:rPr>
              <w:t>a</w:t>
            </w:r>
          </w:p>
        </w:tc>
        <w:tc>
          <w:tcPr>
            <w:tcW w:w="1328" w:type="pct"/>
            <w:tcBorders>
              <w:bottom w:val="single" w:sz="4" w:space="0" w:color="auto"/>
            </w:tcBorders>
          </w:tcPr>
          <w:p w14:paraId="0F19DA64" w14:textId="77777777" w:rsidR="008D60DB" w:rsidRPr="003E4064" w:rsidRDefault="008D60DB" w:rsidP="00AE7A6F">
            <w:pPr>
              <w:pStyle w:val="Tabletext1"/>
              <w:rPr>
                <w:snapToGrid w:val="0"/>
                <w:color w:val="000000"/>
              </w:rPr>
            </w:pPr>
            <w:r w:rsidRPr="003E4064">
              <w:rPr>
                <w:snapToGrid w:val="0"/>
                <w:color w:val="000000"/>
              </w:rPr>
              <w:t>IV</w:t>
            </w:r>
          </w:p>
        </w:tc>
        <w:tc>
          <w:tcPr>
            <w:tcW w:w="1327" w:type="pct"/>
            <w:tcBorders>
              <w:bottom w:val="single" w:sz="4" w:space="0" w:color="auto"/>
            </w:tcBorders>
            <w:shd w:val="clear" w:color="auto" w:fill="auto"/>
          </w:tcPr>
          <w:p w14:paraId="6DDBE865" w14:textId="77777777" w:rsidR="008D60DB" w:rsidRPr="008D60DB" w:rsidRDefault="008D60DB" w:rsidP="00AE7A6F">
            <w:pPr>
              <w:pStyle w:val="Tabletext1"/>
              <w:rPr>
                <w:snapToGrid w:val="0"/>
                <w:color w:val="000000"/>
              </w:rPr>
            </w:pPr>
            <w:r w:rsidRPr="008063EA">
              <w:rPr>
                <w:snapToGrid w:val="0"/>
                <w:color w:val="000000"/>
              </w:rPr>
              <w:t>0/80 (0%)</w:t>
            </w:r>
          </w:p>
        </w:tc>
        <w:tc>
          <w:tcPr>
            <w:tcW w:w="859" w:type="pct"/>
            <w:tcBorders>
              <w:bottom w:val="single" w:sz="4" w:space="0" w:color="auto"/>
            </w:tcBorders>
            <w:shd w:val="clear" w:color="auto" w:fill="auto"/>
          </w:tcPr>
          <w:p w14:paraId="286F6221" w14:textId="77777777" w:rsidR="008D60DB" w:rsidRPr="008D60DB" w:rsidRDefault="008D60DB" w:rsidP="00AE7A6F">
            <w:pPr>
              <w:pStyle w:val="Tabletext1"/>
              <w:rPr>
                <w:snapToGrid w:val="0"/>
                <w:color w:val="000000"/>
              </w:rPr>
            </w:pPr>
            <w:r w:rsidRPr="008063EA">
              <w:rPr>
                <w:snapToGrid w:val="0"/>
                <w:color w:val="000000"/>
              </w:rPr>
              <w:t>0/80 (0%)</w:t>
            </w:r>
          </w:p>
        </w:tc>
      </w:tr>
      <w:tr w:rsidR="008D60DB" w:rsidRPr="008D60DB" w14:paraId="7AD83C59" w14:textId="77777777" w:rsidTr="00A06395">
        <w:tc>
          <w:tcPr>
            <w:tcW w:w="1486" w:type="pct"/>
            <w:tcBorders>
              <w:bottom w:val="single" w:sz="4" w:space="0" w:color="auto"/>
            </w:tcBorders>
            <w:shd w:val="clear" w:color="auto" w:fill="auto"/>
            <w:vAlign w:val="center"/>
          </w:tcPr>
          <w:p w14:paraId="2AECE636" w14:textId="77777777" w:rsidR="008D60DB" w:rsidRPr="008D60DB" w:rsidRDefault="008D60DB" w:rsidP="00AE7A6F">
            <w:pPr>
              <w:pStyle w:val="Tabletext1"/>
              <w:rPr>
                <w:color w:val="000000"/>
              </w:rPr>
            </w:pPr>
            <w:r w:rsidRPr="008D60DB">
              <w:rPr>
                <w:snapToGrid w:val="0"/>
                <w:color w:val="000000"/>
              </w:rPr>
              <w:t>Wolf et al (2006)</w:t>
            </w:r>
          </w:p>
        </w:tc>
        <w:tc>
          <w:tcPr>
            <w:tcW w:w="1328" w:type="pct"/>
            <w:tcBorders>
              <w:bottom w:val="single" w:sz="4" w:space="0" w:color="auto"/>
            </w:tcBorders>
          </w:tcPr>
          <w:p w14:paraId="5D486621" w14:textId="77777777" w:rsidR="008D60DB" w:rsidRPr="003E4064" w:rsidRDefault="008D60DB" w:rsidP="00AE7A6F">
            <w:pPr>
              <w:pStyle w:val="Tabletext1"/>
              <w:rPr>
                <w:snapToGrid w:val="0"/>
                <w:color w:val="000000"/>
              </w:rPr>
            </w:pPr>
            <w:r w:rsidRPr="003E4064">
              <w:rPr>
                <w:snapToGrid w:val="0"/>
                <w:color w:val="000000"/>
              </w:rPr>
              <w:t>IV</w:t>
            </w:r>
          </w:p>
        </w:tc>
        <w:tc>
          <w:tcPr>
            <w:tcW w:w="1327" w:type="pct"/>
            <w:tcBorders>
              <w:bottom w:val="single" w:sz="4" w:space="0" w:color="auto"/>
            </w:tcBorders>
            <w:shd w:val="clear" w:color="auto" w:fill="auto"/>
          </w:tcPr>
          <w:p w14:paraId="3D82E8E3" w14:textId="77777777" w:rsidR="008D60DB" w:rsidRPr="008D60DB" w:rsidRDefault="008D60DB" w:rsidP="00AE7A6F">
            <w:pPr>
              <w:pStyle w:val="Tabletext1"/>
              <w:rPr>
                <w:snapToGrid w:val="0"/>
                <w:color w:val="000000"/>
                <w:vertAlign w:val="superscript"/>
              </w:rPr>
            </w:pPr>
            <w:r w:rsidRPr="008063EA">
              <w:rPr>
                <w:snapToGrid w:val="0"/>
                <w:color w:val="000000"/>
              </w:rPr>
              <w:t>1/50 (0%)</w:t>
            </w:r>
            <w:r w:rsidRPr="008063EA">
              <w:rPr>
                <w:snapToGrid w:val="0"/>
                <w:color w:val="000000"/>
                <w:vertAlign w:val="superscript"/>
              </w:rPr>
              <w:t>b</w:t>
            </w:r>
          </w:p>
        </w:tc>
        <w:tc>
          <w:tcPr>
            <w:tcW w:w="859" w:type="pct"/>
            <w:tcBorders>
              <w:bottom w:val="single" w:sz="4" w:space="0" w:color="auto"/>
            </w:tcBorders>
            <w:shd w:val="clear" w:color="auto" w:fill="auto"/>
          </w:tcPr>
          <w:p w14:paraId="622D31B1" w14:textId="77777777" w:rsidR="008D60DB" w:rsidRPr="008D60DB" w:rsidRDefault="008D60DB" w:rsidP="00AE7A6F">
            <w:pPr>
              <w:pStyle w:val="Tabletext1"/>
              <w:rPr>
                <w:snapToGrid w:val="0"/>
                <w:color w:val="000000"/>
              </w:rPr>
            </w:pPr>
            <w:r w:rsidRPr="008063EA">
              <w:rPr>
                <w:snapToGrid w:val="0"/>
                <w:color w:val="000000"/>
              </w:rPr>
              <w:t>0/50 (0%)</w:t>
            </w:r>
          </w:p>
        </w:tc>
      </w:tr>
      <w:tr w:rsidR="008D60DB" w:rsidRPr="008D60DB" w14:paraId="177F8D8C" w14:textId="77777777" w:rsidTr="00A06395">
        <w:tc>
          <w:tcPr>
            <w:tcW w:w="1486" w:type="pct"/>
            <w:tcBorders>
              <w:bottom w:val="single" w:sz="4" w:space="0" w:color="auto"/>
            </w:tcBorders>
            <w:shd w:val="clear" w:color="auto" w:fill="auto"/>
            <w:vAlign w:val="center"/>
          </w:tcPr>
          <w:p w14:paraId="5490157F" w14:textId="77777777" w:rsidR="008D60DB" w:rsidRPr="003E4064" w:rsidRDefault="008D60DB" w:rsidP="00AE7A6F">
            <w:pPr>
              <w:pStyle w:val="Tabletext1"/>
              <w:rPr>
                <w:color w:val="000000"/>
              </w:rPr>
            </w:pPr>
            <w:r w:rsidRPr="008D60DB">
              <w:rPr>
                <w:snapToGrid w:val="0"/>
                <w:color w:val="000000"/>
              </w:rPr>
              <w:t>Yang et al (2014)</w:t>
            </w:r>
          </w:p>
        </w:tc>
        <w:tc>
          <w:tcPr>
            <w:tcW w:w="1328" w:type="pct"/>
            <w:tcBorders>
              <w:bottom w:val="single" w:sz="4" w:space="0" w:color="auto"/>
            </w:tcBorders>
          </w:tcPr>
          <w:p w14:paraId="36958A05" w14:textId="77777777" w:rsidR="008D60DB" w:rsidRPr="003E4064" w:rsidRDefault="008D60DB" w:rsidP="00AE7A6F">
            <w:pPr>
              <w:pStyle w:val="Tabletext1"/>
              <w:rPr>
                <w:snapToGrid w:val="0"/>
                <w:color w:val="000000"/>
              </w:rPr>
            </w:pPr>
            <w:r w:rsidRPr="003E4064">
              <w:rPr>
                <w:snapToGrid w:val="0"/>
                <w:color w:val="000000"/>
              </w:rPr>
              <w:t>IV</w:t>
            </w:r>
          </w:p>
        </w:tc>
        <w:tc>
          <w:tcPr>
            <w:tcW w:w="1327" w:type="pct"/>
            <w:tcBorders>
              <w:bottom w:val="single" w:sz="4" w:space="0" w:color="auto"/>
            </w:tcBorders>
            <w:shd w:val="clear" w:color="auto" w:fill="auto"/>
          </w:tcPr>
          <w:p w14:paraId="21DCB656" w14:textId="77777777" w:rsidR="008D60DB" w:rsidRPr="008D60DB" w:rsidRDefault="008D60DB" w:rsidP="00AE7A6F">
            <w:pPr>
              <w:pStyle w:val="Tabletext1"/>
              <w:rPr>
                <w:snapToGrid w:val="0"/>
                <w:color w:val="000000"/>
              </w:rPr>
            </w:pPr>
            <w:r w:rsidRPr="008063EA">
              <w:rPr>
                <w:snapToGrid w:val="0"/>
                <w:color w:val="000000"/>
              </w:rPr>
              <w:t>0/47 (0%)</w:t>
            </w:r>
          </w:p>
        </w:tc>
        <w:tc>
          <w:tcPr>
            <w:tcW w:w="859" w:type="pct"/>
            <w:tcBorders>
              <w:bottom w:val="single" w:sz="4" w:space="0" w:color="auto"/>
            </w:tcBorders>
            <w:shd w:val="clear" w:color="auto" w:fill="auto"/>
          </w:tcPr>
          <w:p w14:paraId="2B4BD6E3" w14:textId="77777777" w:rsidR="008D60DB" w:rsidRPr="008D60DB" w:rsidRDefault="008D60DB" w:rsidP="00AE7A6F">
            <w:pPr>
              <w:pStyle w:val="Tabletext1"/>
              <w:rPr>
                <w:snapToGrid w:val="0"/>
                <w:color w:val="000000"/>
              </w:rPr>
            </w:pPr>
            <w:r w:rsidRPr="008063EA">
              <w:rPr>
                <w:snapToGrid w:val="0"/>
                <w:color w:val="000000"/>
              </w:rPr>
              <w:t>0/47 (0%)</w:t>
            </w:r>
          </w:p>
        </w:tc>
      </w:tr>
      <w:tr w:rsidR="008D60DB" w:rsidRPr="008D60DB" w14:paraId="299B74CC" w14:textId="77777777" w:rsidTr="00A06395">
        <w:tc>
          <w:tcPr>
            <w:tcW w:w="1486" w:type="pct"/>
            <w:tcBorders>
              <w:bottom w:val="single" w:sz="4" w:space="0" w:color="auto"/>
            </w:tcBorders>
            <w:shd w:val="clear" w:color="auto" w:fill="auto"/>
            <w:vAlign w:val="center"/>
          </w:tcPr>
          <w:p w14:paraId="1365E77D" w14:textId="77777777" w:rsidR="008D60DB" w:rsidRPr="008D60DB" w:rsidRDefault="008D60DB" w:rsidP="00AE7A6F">
            <w:pPr>
              <w:pStyle w:val="Tabletext1"/>
              <w:rPr>
                <w:color w:val="000000"/>
              </w:rPr>
            </w:pPr>
            <w:r w:rsidRPr="008D60DB">
              <w:rPr>
                <w:snapToGrid w:val="0"/>
                <w:color w:val="000000"/>
              </w:rPr>
              <w:t>Yang et al (2015)</w:t>
            </w:r>
          </w:p>
        </w:tc>
        <w:tc>
          <w:tcPr>
            <w:tcW w:w="1328" w:type="pct"/>
            <w:tcBorders>
              <w:bottom w:val="single" w:sz="4" w:space="0" w:color="auto"/>
            </w:tcBorders>
          </w:tcPr>
          <w:p w14:paraId="476E5FA8" w14:textId="77777777" w:rsidR="008D60DB" w:rsidRPr="003E4064" w:rsidRDefault="008D60DB" w:rsidP="00AE7A6F">
            <w:pPr>
              <w:pStyle w:val="Tabletext1"/>
              <w:rPr>
                <w:snapToGrid w:val="0"/>
                <w:color w:val="000000"/>
              </w:rPr>
            </w:pPr>
            <w:r w:rsidRPr="003E4064">
              <w:rPr>
                <w:snapToGrid w:val="0"/>
                <w:color w:val="000000"/>
              </w:rPr>
              <w:t>IV</w:t>
            </w:r>
          </w:p>
        </w:tc>
        <w:tc>
          <w:tcPr>
            <w:tcW w:w="1327" w:type="pct"/>
            <w:tcBorders>
              <w:bottom w:val="single" w:sz="4" w:space="0" w:color="auto"/>
            </w:tcBorders>
            <w:shd w:val="clear" w:color="auto" w:fill="auto"/>
          </w:tcPr>
          <w:p w14:paraId="7058812D" w14:textId="77777777" w:rsidR="008D60DB" w:rsidRPr="008D60DB" w:rsidRDefault="008D60DB" w:rsidP="00AE7A6F">
            <w:pPr>
              <w:pStyle w:val="Tabletext1"/>
              <w:rPr>
                <w:snapToGrid w:val="0"/>
                <w:color w:val="000000"/>
              </w:rPr>
            </w:pPr>
            <w:r w:rsidRPr="008063EA">
              <w:rPr>
                <w:snapToGrid w:val="0"/>
                <w:color w:val="000000"/>
              </w:rPr>
              <w:t>0/36 (0%)</w:t>
            </w:r>
          </w:p>
        </w:tc>
        <w:tc>
          <w:tcPr>
            <w:tcW w:w="859" w:type="pct"/>
            <w:tcBorders>
              <w:bottom w:val="single" w:sz="4" w:space="0" w:color="auto"/>
            </w:tcBorders>
            <w:shd w:val="clear" w:color="auto" w:fill="auto"/>
          </w:tcPr>
          <w:p w14:paraId="0E6090B0" w14:textId="77777777" w:rsidR="008D60DB" w:rsidRPr="008D60DB" w:rsidRDefault="008D60DB" w:rsidP="00AE7A6F">
            <w:pPr>
              <w:pStyle w:val="Tabletext1"/>
              <w:rPr>
                <w:snapToGrid w:val="0"/>
                <w:color w:val="000000"/>
              </w:rPr>
            </w:pPr>
            <w:r w:rsidRPr="008063EA">
              <w:rPr>
                <w:snapToGrid w:val="0"/>
                <w:color w:val="000000"/>
              </w:rPr>
              <w:t>0/36 (0%)</w:t>
            </w:r>
          </w:p>
        </w:tc>
      </w:tr>
      <w:tr w:rsidR="008D60DB" w:rsidRPr="008D60DB" w14:paraId="17F17882" w14:textId="77777777" w:rsidTr="00A06395">
        <w:tc>
          <w:tcPr>
            <w:tcW w:w="1486" w:type="pct"/>
            <w:shd w:val="clear" w:color="auto" w:fill="auto"/>
            <w:vAlign w:val="center"/>
          </w:tcPr>
          <w:p w14:paraId="4BDC8D2D" w14:textId="77777777" w:rsidR="008D60DB" w:rsidRPr="003E4064" w:rsidRDefault="008D60DB" w:rsidP="00AE7A6F">
            <w:pPr>
              <w:pStyle w:val="Tabletext1"/>
              <w:rPr>
                <w:color w:val="000000"/>
                <w:vertAlign w:val="superscript"/>
              </w:rPr>
            </w:pPr>
            <w:r w:rsidRPr="008D60DB">
              <w:rPr>
                <w:snapToGrid w:val="0"/>
                <w:color w:val="000000"/>
              </w:rPr>
              <w:t>Zheng et al (2014)</w:t>
            </w:r>
            <w:r w:rsidRPr="008D60DB">
              <w:rPr>
                <w:snapToGrid w:val="0"/>
                <w:color w:val="000000"/>
                <w:vertAlign w:val="superscript"/>
              </w:rPr>
              <w:t>a</w:t>
            </w:r>
          </w:p>
        </w:tc>
        <w:tc>
          <w:tcPr>
            <w:tcW w:w="1328" w:type="pct"/>
          </w:tcPr>
          <w:p w14:paraId="6720D3BB" w14:textId="77777777" w:rsidR="008D60DB" w:rsidRPr="003E4064" w:rsidRDefault="008D60DB" w:rsidP="00AE7A6F">
            <w:pPr>
              <w:pStyle w:val="Tabletext1"/>
              <w:rPr>
                <w:snapToGrid w:val="0"/>
                <w:color w:val="000000"/>
              </w:rPr>
            </w:pPr>
            <w:r w:rsidRPr="003E4064">
              <w:rPr>
                <w:snapToGrid w:val="0"/>
                <w:color w:val="000000"/>
              </w:rPr>
              <w:t>IV</w:t>
            </w:r>
          </w:p>
        </w:tc>
        <w:tc>
          <w:tcPr>
            <w:tcW w:w="1327" w:type="pct"/>
            <w:shd w:val="clear" w:color="auto" w:fill="auto"/>
          </w:tcPr>
          <w:p w14:paraId="7167ABB6" w14:textId="77777777" w:rsidR="008D60DB" w:rsidRPr="008D60DB" w:rsidRDefault="008D60DB" w:rsidP="00AE7A6F">
            <w:pPr>
              <w:pStyle w:val="Tabletext1"/>
              <w:rPr>
                <w:snapToGrid w:val="0"/>
                <w:color w:val="000000"/>
              </w:rPr>
            </w:pPr>
            <w:r w:rsidRPr="008063EA">
              <w:rPr>
                <w:snapToGrid w:val="0"/>
                <w:color w:val="000000"/>
              </w:rPr>
              <w:t>1/204 (0.5%)</w:t>
            </w:r>
          </w:p>
        </w:tc>
        <w:tc>
          <w:tcPr>
            <w:tcW w:w="859" w:type="pct"/>
            <w:shd w:val="clear" w:color="auto" w:fill="auto"/>
          </w:tcPr>
          <w:p w14:paraId="31334BD8" w14:textId="77777777" w:rsidR="008D60DB" w:rsidRPr="008D60DB" w:rsidRDefault="008D60DB" w:rsidP="00AE7A6F">
            <w:pPr>
              <w:pStyle w:val="Tabletext1"/>
              <w:rPr>
                <w:snapToGrid w:val="0"/>
                <w:color w:val="000000"/>
              </w:rPr>
            </w:pPr>
            <w:r w:rsidRPr="008063EA">
              <w:rPr>
                <w:snapToGrid w:val="0"/>
                <w:color w:val="000000"/>
              </w:rPr>
              <w:t>NR</w:t>
            </w:r>
          </w:p>
        </w:tc>
      </w:tr>
      <w:tr w:rsidR="008D60DB" w:rsidRPr="008D60DB" w14:paraId="54AEE16E" w14:textId="77777777" w:rsidTr="00A06395">
        <w:tc>
          <w:tcPr>
            <w:tcW w:w="1486" w:type="pct"/>
            <w:tcBorders>
              <w:bottom w:val="single" w:sz="4" w:space="0" w:color="auto"/>
            </w:tcBorders>
            <w:shd w:val="clear" w:color="auto" w:fill="auto"/>
            <w:vAlign w:val="center"/>
          </w:tcPr>
          <w:p w14:paraId="25A8E14E" w14:textId="77777777" w:rsidR="008D60DB" w:rsidRPr="008D60DB" w:rsidRDefault="008D60DB" w:rsidP="00AE7A6F">
            <w:pPr>
              <w:pStyle w:val="Tabletext1"/>
              <w:rPr>
                <w:snapToGrid w:val="0"/>
                <w:color w:val="000000"/>
              </w:rPr>
            </w:pPr>
            <w:r w:rsidRPr="008D60DB">
              <w:rPr>
                <w:snapToGrid w:val="0"/>
                <w:color w:val="000000"/>
              </w:rPr>
              <w:t>Pooled, n/N (%), per patient</w:t>
            </w:r>
          </w:p>
        </w:tc>
        <w:tc>
          <w:tcPr>
            <w:tcW w:w="1328" w:type="pct"/>
            <w:tcBorders>
              <w:bottom w:val="single" w:sz="4" w:space="0" w:color="auto"/>
            </w:tcBorders>
          </w:tcPr>
          <w:p w14:paraId="5AD82B27" w14:textId="77777777" w:rsidR="008D60DB" w:rsidRPr="008063EA" w:rsidRDefault="008D60DB" w:rsidP="00AE7A6F">
            <w:pPr>
              <w:pStyle w:val="Tabletext1"/>
              <w:rPr>
                <w:rFonts w:cs="Cambria Math"/>
                <w:color w:val="C00000"/>
              </w:rPr>
            </w:pPr>
            <w:r w:rsidRPr="008063EA">
              <w:rPr>
                <w:rFonts w:ascii="Cambria Math" w:hAnsi="Cambria Math" w:cs="Cambria Math"/>
                <w:color w:val="00B050"/>
              </w:rPr>
              <w:t>⨁</w:t>
            </w:r>
            <w:r w:rsidRPr="008063EA">
              <w:rPr>
                <w:rFonts w:ascii="Cambria Math" w:hAnsi="Cambria Math" w:cs="Cambria Math"/>
                <w:color w:val="C00000"/>
              </w:rPr>
              <w:t>⨀⨀⨀</w:t>
            </w:r>
          </w:p>
          <w:p w14:paraId="31FC4B63" w14:textId="77777777" w:rsidR="008D60DB" w:rsidRPr="008D60DB" w:rsidRDefault="008D60DB" w:rsidP="00AE7A6F">
            <w:pPr>
              <w:pStyle w:val="Tabletext1"/>
              <w:rPr>
                <w:snapToGrid w:val="0"/>
                <w:color w:val="000000"/>
              </w:rPr>
            </w:pPr>
            <w:r w:rsidRPr="008063EA">
              <w:rPr>
                <w:rStyle w:val="quality-sign"/>
                <w:rFonts w:eastAsia="MS Mincho" w:cs="MS Mincho"/>
                <w:b/>
              </w:rPr>
              <w:t>VERY LOW</w:t>
            </w:r>
          </w:p>
        </w:tc>
        <w:tc>
          <w:tcPr>
            <w:tcW w:w="1327" w:type="pct"/>
            <w:tcBorders>
              <w:bottom w:val="single" w:sz="4" w:space="0" w:color="auto"/>
            </w:tcBorders>
            <w:shd w:val="clear" w:color="auto" w:fill="auto"/>
          </w:tcPr>
          <w:p w14:paraId="36E4F519" w14:textId="77777777" w:rsidR="008D60DB" w:rsidRPr="003E4064" w:rsidRDefault="008D60DB" w:rsidP="00AE7A6F">
            <w:pPr>
              <w:pStyle w:val="Tabletext1"/>
              <w:rPr>
                <w:snapToGrid w:val="0"/>
                <w:color w:val="000000"/>
              </w:rPr>
            </w:pPr>
            <w:r w:rsidRPr="003E4064">
              <w:rPr>
                <w:snapToGrid w:val="0"/>
                <w:color w:val="000000"/>
              </w:rPr>
              <w:t>2/916 (0.22%)</w:t>
            </w:r>
          </w:p>
        </w:tc>
        <w:tc>
          <w:tcPr>
            <w:tcW w:w="859" w:type="pct"/>
            <w:tcBorders>
              <w:bottom w:val="single" w:sz="4" w:space="0" w:color="auto"/>
            </w:tcBorders>
            <w:shd w:val="clear" w:color="auto" w:fill="auto"/>
          </w:tcPr>
          <w:p w14:paraId="089B9BA6" w14:textId="77777777" w:rsidR="008D60DB" w:rsidRPr="008D60DB" w:rsidRDefault="008D60DB" w:rsidP="00AE7A6F">
            <w:pPr>
              <w:pStyle w:val="Tabletext1"/>
              <w:rPr>
                <w:snapToGrid w:val="0"/>
                <w:color w:val="000000"/>
              </w:rPr>
            </w:pPr>
            <w:r w:rsidRPr="008063EA">
              <w:rPr>
                <w:snapToGrid w:val="0"/>
                <w:color w:val="000000"/>
              </w:rPr>
              <w:t>1/739 (0.14%)</w:t>
            </w:r>
          </w:p>
        </w:tc>
      </w:tr>
    </w:tbl>
    <w:p w14:paraId="540B26A8" w14:textId="61D4DD9B" w:rsidR="00FB16B5" w:rsidRPr="00FB16B5" w:rsidRDefault="00FA034D" w:rsidP="008063EA">
      <w:pPr>
        <w:pStyle w:val="Tablenotes0"/>
      </w:pPr>
      <w:r>
        <w:t>&lt;</w:t>
      </w:r>
      <w:r w:rsidR="00172E96" w:rsidRPr="00FB16B5">
        <w:t xml:space="preserve"> </w:t>
      </w:r>
      <w:proofErr w:type="gramStart"/>
      <w:r w:rsidR="00FB16B5" w:rsidRPr="00FB16B5">
        <w:t>n/N</w:t>
      </w:r>
      <w:proofErr w:type="gramEnd"/>
      <w:r w:rsidR="00FB16B5" w:rsidRPr="00FB16B5">
        <w:t xml:space="preserve"> (%)</w:t>
      </w:r>
      <w:r w:rsidR="008D60DB">
        <w:t xml:space="preserve"> </w:t>
      </w:r>
      <w:r w:rsidR="00FB16B5" w:rsidRPr="00FB16B5">
        <w:t>= number with event/ total (percentage)</w:t>
      </w:r>
      <w:r w:rsidR="00FB16B5">
        <w:t xml:space="preserve">; </w:t>
      </w:r>
      <w:r w:rsidR="00FB16B5" w:rsidRPr="00FB16B5">
        <w:t>NR</w:t>
      </w:r>
      <w:r w:rsidR="008D60DB">
        <w:t xml:space="preserve"> </w:t>
      </w:r>
      <w:r w:rsidR="00FB16B5" w:rsidRPr="00FB16B5">
        <w:t>= not reported</w:t>
      </w:r>
      <w:r>
        <w:t xml:space="preserve"> &gt;</w:t>
      </w:r>
    </w:p>
    <w:p w14:paraId="4AD6D1DF" w14:textId="38B1CA1A" w:rsidR="00172E96" w:rsidRDefault="00172E96" w:rsidP="008063EA">
      <w:pPr>
        <w:pStyle w:val="Tablenotes0"/>
      </w:pPr>
      <w:r w:rsidRPr="00E10B76">
        <w:t>GRADE Working Group grades of evidence</w:t>
      </w:r>
      <w:r>
        <w:t xml:space="preserve"> (Guyatt et al., 2013)</w:t>
      </w:r>
      <w:r w:rsidR="008D60DB">
        <w: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2E3E45DC" w14:textId="77777777" w:rsidR="000D29BC" w:rsidRDefault="00C02E1C" w:rsidP="00C02E1C">
      <w:pPr>
        <w:pStyle w:val="Tablenotes0"/>
      </w:pPr>
      <w:proofErr w:type="gramStart"/>
      <w:r w:rsidRPr="00C02E1C">
        <w:t>a</w:t>
      </w:r>
      <w:proofErr w:type="gramEnd"/>
      <w:r w:rsidRPr="00C02E1C">
        <w:t xml:space="preserve"> These studies were assessed through quality appraisal as being at risk of incomplete reporting of adverse events</w:t>
      </w:r>
      <w:r w:rsidR="008D60DB">
        <w:t>.</w:t>
      </w:r>
    </w:p>
    <w:p w14:paraId="260AC757" w14:textId="77777777" w:rsidR="007C6F8D" w:rsidRDefault="007C6F8D" w:rsidP="00C02E1C">
      <w:pPr>
        <w:pStyle w:val="Tablenotes0"/>
      </w:pPr>
      <w:proofErr w:type="gramStart"/>
      <w:r>
        <w:t>b</w:t>
      </w:r>
      <w:proofErr w:type="gramEnd"/>
      <w:r>
        <w:t xml:space="preserve"> Death was delayed, occurring 8 months after the procedure</w:t>
      </w:r>
      <w:r w:rsidR="008D60DB">
        <w:t>.</w:t>
      </w:r>
    </w:p>
    <w:p w14:paraId="068E13D9" w14:textId="77777777" w:rsidR="007C6F8D" w:rsidRDefault="007C6F8D" w:rsidP="003F6C66">
      <w:pPr>
        <w:pStyle w:val="Heading3"/>
      </w:pPr>
      <w:bookmarkStart w:id="281" w:name="_Toc460396046"/>
      <w:r w:rsidRPr="00172E96">
        <w:t>Pneumothorax</w:t>
      </w:r>
      <w:bookmarkEnd w:id="281"/>
      <w:r w:rsidRPr="00172E96">
        <w:t xml:space="preserve"> </w:t>
      </w:r>
    </w:p>
    <w:p w14:paraId="139C2B00" w14:textId="77777777" w:rsidR="00C96CBA" w:rsidRDefault="00C96CBA" w:rsidP="003E7374">
      <w:r>
        <w:t xml:space="preserve">Pneumothorax following microwave ablation </w:t>
      </w:r>
      <w:r w:rsidR="001B7766">
        <w:t>is a relatively frequent complication</w:t>
      </w:r>
      <w:r w:rsidR="00172E96">
        <w:t xml:space="preserve"> (</w:t>
      </w:r>
      <w:r w:rsidR="00172E96">
        <w:fldChar w:fldCharType="begin"/>
      </w:r>
      <w:r w:rsidR="00172E96">
        <w:instrText xml:space="preserve"> REF _Ref457401986 \h </w:instrText>
      </w:r>
      <w:r w:rsidR="00172E96">
        <w:fldChar w:fldCharType="separate"/>
      </w:r>
      <w:r w:rsidR="00D170A5" w:rsidRPr="00172E96">
        <w:t xml:space="preserve">Table </w:t>
      </w:r>
      <w:r w:rsidR="00D170A5">
        <w:rPr>
          <w:noProof/>
        </w:rPr>
        <w:t>42</w:t>
      </w:r>
      <w:r w:rsidR="00172E96">
        <w:fldChar w:fldCharType="end"/>
      </w:r>
      <w:r w:rsidR="00172E96">
        <w:t>)</w:t>
      </w:r>
      <w:r w:rsidR="001B7766">
        <w:t xml:space="preserve">; however, not all instances of pneumothorax require subsequent intervention such as chest tube drainage. Across the studies reporting rates of pneumothorax as a percentage of ablation sessions the median rate of any pneumothorax was </w:t>
      </w:r>
      <w:r w:rsidR="004302B6">
        <w:t>30</w:t>
      </w:r>
      <w:r w:rsidR="001B7766">
        <w:t xml:space="preserve">.2 per cent with a range of 8.3 to 63.8 per cent. This includes all instances of pneumothorax irrespective of their seriousness. </w:t>
      </w:r>
      <w:r w:rsidR="00910184" w:rsidRPr="008063EA">
        <w:t xml:space="preserve">Across studies reporting pneumothorax, a median of 9.3 per cent required chest tube drainage or other interventions and this ranged from </w:t>
      </w:r>
      <w:r w:rsidR="00910184">
        <w:t>nil</w:t>
      </w:r>
      <w:r w:rsidR="00910184" w:rsidRPr="008063EA">
        <w:t xml:space="preserve"> to 28.6 per cent.</w:t>
      </w:r>
    </w:p>
    <w:p w14:paraId="692A5732" w14:textId="5D2E8D85" w:rsidR="00AC1C94" w:rsidRDefault="00AC1C94" w:rsidP="00AC1C94">
      <w:r>
        <w:t>Nour</w:t>
      </w:r>
      <w:r w:rsidR="00E03CBC">
        <w:t>-E</w:t>
      </w:r>
      <w:r>
        <w:t>ldin et al</w:t>
      </w:r>
      <w:r w:rsidR="00B03588">
        <w:t xml:space="preserve"> </w:t>
      </w:r>
      <w:r w:rsidR="00D12FD1">
        <w:fldChar w:fldCharType="begin">
          <w:fldData xml:space="preserve">PEVuZE5vdGU+PENpdGUgRXhjbHVkZUF1dGg9IjEiPjxBdXRob3I+Tm91ci1FbGRpbjwvQXV0aG9y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</w:fldData>
        </w:fldChar>
      </w:r>
      <w:r w:rsidR="00FF6A6F">
        <w:instrText xml:space="preserve"> ADDIN EN.CITE </w:instrText>
      </w:r>
      <w:r w:rsidR="00FF6A6F">
        <w:fldChar w:fldCharType="begin">
          <w:fldData xml:space="preserve">PEVuZE5vdGU+PENpdGUgRXhjbHVkZUF1dGg9IjEiPjxBdXRob3I+Tm91ci1FbGRpbjwvQXV0aG9y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</w:fldData>
        </w:fldChar>
      </w:r>
      <w:r w:rsidR="00FF6A6F">
        <w:instrText xml:space="preserve"> ADDIN EN.CITE.DATA </w:instrText>
      </w:r>
      <w:r w:rsidR="00FF6A6F">
        <w:fldChar w:fldCharType="end"/>
      </w:r>
      <w:r w:rsidR="00D12FD1">
        <w:fldChar w:fldCharType="separate"/>
      </w:r>
      <w:r w:rsidR="00FF6A6F">
        <w:rPr>
          <w:noProof/>
        </w:rPr>
        <w:t>(</w:t>
      </w:r>
      <w:hyperlink w:anchor="_ENREF_114" w:tooltip="Nour-Eldin, 2011 #111" w:history="1">
        <w:r w:rsidR="00320458">
          <w:rPr>
            <w:noProof/>
          </w:rPr>
          <w:t>2011</w:t>
        </w:r>
      </w:hyperlink>
      <w:r w:rsidR="00FF6A6F">
        <w:rPr>
          <w:noProof/>
        </w:rPr>
        <w:t>)</w:t>
      </w:r>
      <w:r w:rsidR="00D12FD1">
        <w:fldChar w:fldCharType="end"/>
      </w:r>
      <w:r>
        <w:t xml:space="preserve"> retrospectively investigated the incidence of pneumothorax following RFA and MTA ablation at their institution. Of 200 RFA ablation sessions pneumothorax occurred in 45 (18.1%), pneumothorax consisted of 10 mild, 25 moderate and six severe cases. In patients treated by MTA, four of 48 ablation sessions (8.9%) resulted in pneumothorax, of those two were mild and two were moderate. The difference in </w:t>
      </w:r>
      <w:r w:rsidRPr="00AC1C94">
        <w:t xml:space="preserve">the incidence of pneumothorax between </w:t>
      </w:r>
      <w:r>
        <w:t>RFA and MTA</w:t>
      </w:r>
      <w:r w:rsidRPr="00AC1C94">
        <w:t xml:space="preserve"> ablation was no</w:t>
      </w:r>
      <w:r>
        <w:t>t significant (p</w:t>
      </w:r>
      <w:r w:rsidRPr="00AC1C94">
        <w:t xml:space="preserve"> = </w:t>
      </w:r>
      <w:r w:rsidR="001F59BD">
        <w:t>0</w:t>
      </w:r>
      <w:r w:rsidRPr="00AC1C94">
        <w:t>.59)</w:t>
      </w:r>
      <w:r>
        <w:t>.</w:t>
      </w:r>
    </w:p>
    <w:p w14:paraId="76F6D534" w14:textId="77777777" w:rsidR="00AD7856" w:rsidRDefault="00AD7856" w:rsidP="00AC1C94"/>
    <w:p w14:paraId="7E5EEBB9" w14:textId="77777777" w:rsidR="007B54CA" w:rsidRDefault="007B54CA" w:rsidP="00AC1C94"/>
    <w:p w14:paraId="185FFBD9" w14:textId="77777777" w:rsidR="007F5901" w:rsidRPr="00183E4D" w:rsidRDefault="0005272E" w:rsidP="005C061E">
      <w:pPr>
        <w:pStyle w:val="Caption"/>
        <w:keepNext/>
        <w:rPr>
          <w:rFonts w:cs="Arial"/>
          <w:snapToGrid w:val="0"/>
          <w:szCs w:val="16"/>
          <w:lang w:eastAsia="en-US"/>
        </w:rPr>
      </w:pPr>
      <w:bookmarkStart w:id="282" w:name="_Ref457401986"/>
      <w:bookmarkStart w:id="283" w:name="_Toc381969870"/>
      <w:bookmarkStart w:id="284" w:name="_Toc460514700"/>
      <w:r w:rsidRPr="00172E96">
        <w:t xml:space="preserve">Table </w:t>
      </w:r>
      <w:r w:rsidR="0086593E" w:rsidRPr="00172E96">
        <w:fldChar w:fldCharType="begin"/>
      </w:r>
      <w:r w:rsidRPr="00172E96">
        <w:instrText xml:space="preserve"> SEQ Table \* ARABIC </w:instrText>
      </w:r>
      <w:r w:rsidR="0086593E" w:rsidRPr="00172E96">
        <w:fldChar w:fldCharType="separate"/>
      </w:r>
      <w:r w:rsidR="00D170A5">
        <w:rPr>
          <w:noProof/>
        </w:rPr>
        <w:t>42</w:t>
      </w:r>
      <w:r w:rsidR="0086593E" w:rsidRPr="00172E96">
        <w:fldChar w:fldCharType="end"/>
      </w:r>
      <w:bookmarkEnd w:id="280"/>
      <w:bookmarkEnd w:id="282"/>
      <w:r w:rsidR="009D57A2" w:rsidRPr="00172E96">
        <w:tab/>
      </w:r>
      <w:bookmarkEnd w:id="283"/>
      <w:r w:rsidR="007F5901" w:rsidRPr="00172E96">
        <w:rPr>
          <w:rFonts w:cs="Arial"/>
          <w:snapToGrid w:val="0"/>
          <w:szCs w:val="16"/>
          <w:lang w:eastAsia="en-US"/>
        </w:rPr>
        <w:t>Results of key patient-relevant outcome across the studies</w:t>
      </w:r>
      <w:bookmarkEnd w:id="284"/>
      <w:r w:rsidR="007F5901" w:rsidRPr="00183E4D">
        <w:rPr>
          <w:rFonts w:cs="Arial"/>
          <w:snapToGrid w:val="0"/>
          <w:szCs w:val="16"/>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6"/>
        <w:tblDescription w:val="Pneumothorax outcomes"/>
      </w:tblPr>
      <w:tblGrid>
        <w:gridCol w:w="2296"/>
        <w:gridCol w:w="1749"/>
        <w:gridCol w:w="2080"/>
        <w:gridCol w:w="2957"/>
      </w:tblGrid>
      <w:tr w:rsidR="004F479D" w:rsidRPr="0069748F" w14:paraId="19D80AF0" w14:textId="77777777" w:rsidTr="00BC0959">
        <w:tc>
          <w:tcPr>
            <w:tcW w:w="1264" w:type="pct"/>
            <w:shd w:val="clear" w:color="auto" w:fill="D9D9D9" w:themeFill="background1" w:themeFillShade="D9"/>
            <w:vAlign w:val="bottom"/>
          </w:tcPr>
          <w:p w14:paraId="354D6FC7" w14:textId="77777777" w:rsidR="000623BB" w:rsidRPr="005E7176" w:rsidRDefault="000623BB" w:rsidP="00DE202F">
            <w:pPr>
              <w:pStyle w:val="Tabletext1"/>
              <w:spacing w:before="0"/>
              <w:rPr>
                <w:b/>
                <w:snapToGrid w:val="0"/>
                <w:lang w:eastAsia="en-US"/>
              </w:rPr>
            </w:pPr>
            <w:r w:rsidRPr="005E7176">
              <w:rPr>
                <w:b/>
                <w:snapToGrid w:val="0"/>
                <w:lang w:eastAsia="en-US"/>
              </w:rPr>
              <w:t>Study ID</w:t>
            </w:r>
          </w:p>
        </w:tc>
        <w:tc>
          <w:tcPr>
            <w:tcW w:w="963" w:type="pct"/>
            <w:shd w:val="clear" w:color="auto" w:fill="D9D9D9" w:themeFill="background1" w:themeFillShade="D9"/>
            <w:vAlign w:val="bottom"/>
          </w:tcPr>
          <w:p w14:paraId="76C5E4C1" w14:textId="77777777" w:rsidR="008A7467" w:rsidRPr="005E7176" w:rsidRDefault="008A7467" w:rsidP="00DE202F">
            <w:pPr>
              <w:pStyle w:val="Tabletext1"/>
              <w:spacing w:before="0"/>
              <w:rPr>
                <w:b/>
                <w:snapToGrid w:val="0"/>
                <w:lang w:eastAsia="en-US"/>
              </w:rPr>
            </w:pPr>
            <w:r w:rsidRPr="005E7176">
              <w:rPr>
                <w:b/>
                <w:snapToGrid w:val="0"/>
                <w:lang w:eastAsia="en-US"/>
              </w:rPr>
              <w:t>Level of evidence;</w:t>
            </w:r>
          </w:p>
          <w:p w14:paraId="20E5BA8C" w14:textId="77777777" w:rsidR="000623BB" w:rsidRPr="005E7176" w:rsidRDefault="001B7766" w:rsidP="00DE202F">
            <w:pPr>
              <w:pStyle w:val="Tabletext1"/>
              <w:spacing w:before="0"/>
              <w:rPr>
                <w:b/>
                <w:snapToGrid w:val="0"/>
                <w:lang w:eastAsia="en-US"/>
              </w:rPr>
            </w:pPr>
            <w:r w:rsidRPr="005E7176">
              <w:rPr>
                <w:b/>
                <w:snapToGrid w:val="0"/>
                <w:lang w:eastAsia="en-US"/>
              </w:rPr>
              <w:t xml:space="preserve">Quality rating of </w:t>
            </w:r>
            <w:r w:rsidRPr="005E7176">
              <w:rPr>
                <w:b/>
                <w:snapToGrid w:val="0"/>
                <w:lang w:eastAsia="en-US"/>
              </w:rPr>
              <w:lastRenderedPageBreak/>
              <w:t>summary estimate</w:t>
            </w:r>
          </w:p>
        </w:tc>
        <w:tc>
          <w:tcPr>
            <w:tcW w:w="1145" w:type="pct"/>
            <w:shd w:val="clear" w:color="auto" w:fill="D9D9D9" w:themeFill="background1" w:themeFillShade="D9"/>
            <w:vAlign w:val="bottom"/>
          </w:tcPr>
          <w:p w14:paraId="28325F35" w14:textId="77777777" w:rsidR="000623BB" w:rsidRPr="005E7176" w:rsidRDefault="000623BB" w:rsidP="00DE202F">
            <w:pPr>
              <w:pStyle w:val="Tabletext1"/>
              <w:spacing w:before="0"/>
              <w:rPr>
                <w:b/>
                <w:snapToGrid w:val="0"/>
                <w:lang w:eastAsia="en-US"/>
              </w:rPr>
            </w:pPr>
            <w:r w:rsidRPr="005E7176">
              <w:rPr>
                <w:b/>
                <w:snapToGrid w:val="0"/>
                <w:lang w:eastAsia="en-US"/>
              </w:rPr>
              <w:lastRenderedPageBreak/>
              <w:t xml:space="preserve">Pneumothorax </w:t>
            </w:r>
          </w:p>
          <w:p w14:paraId="2F7B3FA2" w14:textId="77777777" w:rsidR="000623BB" w:rsidRPr="005E7176" w:rsidRDefault="000623BB" w:rsidP="00DE202F">
            <w:pPr>
              <w:pStyle w:val="Tabletext1"/>
              <w:spacing w:before="0"/>
              <w:rPr>
                <w:b/>
                <w:snapToGrid w:val="0"/>
                <w:lang w:eastAsia="en-US"/>
              </w:rPr>
            </w:pPr>
            <w:proofErr w:type="gramStart"/>
            <w:r w:rsidRPr="005E7176">
              <w:rPr>
                <w:b/>
                <w:snapToGrid w:val="0"/>
                <w:lang w:eastAsia="en-US"/>
              </w:rPr>
              <w:t>n</w:t>
            </w:r>
            <w:proofErr w:type="gramEnd"/>
            <w:r w:rsidRPr="005E7176">
              <w:rPr>
                <w:b/>
                <w:snapToGrid w:val="0"/>
                <w:lang w:eastAsia="en-US"/>
              </w:rPr>
              <w:t xml:space="preserve"> with event/N ablation </w:t>
            </w:r>
            <w:r w:rsidRPr="005E7176">
              <w:rPr>
                <w:b/>
                <w:snapToGrid w:val="0"/>
                <w:lang w:eastAsia="en-US"/>
              </w:rPr>
              <w:lastRenderedPageBreak/>
              <w:t>sessions (%)</w:t>
            </w:r>
          </w:p>
        </w:tc>
        <w:tc>
          <w:tcPr>
            <w:tcW w:w="1628" w:type="pct"/>
            <w:shd w:val="clear" w:color="auto" w:fill="D9D9D9" w:themeFill="background1" w:themeFillShade="D9"/>
            <w:vAlign w:val="bottom"/>
          </w:tcPr>
          <w:p w14:paraId="2644F95A" w14:textId="77777777" w:rsidR="000623BB" w:rsidRPr="005E7176" w:rsidRDefault="000623BB" w:rsidP="00DE202F">
            <w:pPr>
              <w:pStyle w:val="Tabletext1"/>
              <w:spacing w:before="0"/>
              <w:rPr>
                <w:b/>
                <w:snapToGrid w:val="0"/>
                <w:lang w:eastAsia="en-US"/>
              </w:rPr>
            </w:pPr>
            <w:r w:rsidRPr="005E7176">
              <w:rPr>
                <w:b/>
                <w:snapToGrid w:val="0"/>
                <w:lang w:eastAsia="en-US"/>
              </w:rPr>
              <w:lastRenderedPageBreak/>
              <w:t>Pneumothorax requiring intervention</w:t>
            </w:r>
            <w:r w:rsidR="004302B6" w:rsidRPr="005E7176">
              <w:rPr>
                <w:b/>
                <w:snapToGrid w:val="0"/>
                <w:vertAlign w:val="superscript"/>
                <w:lang w:eastAsia="en-US"/>
              </w:rPr>
              <w:t>a</w:t>
            </w:r>
          </w:p>
          <w:p w14:paraId="3F1EC0D2" w14:textId="77777777" w:rsidR="000623BB" w:rsidRPr="005E7176" w:rsidRDefault="000623BB" w:rsidP="00DE202F">
            <w:pPr>
              <w:pStyle w:val="Tabletext1"/>
              <w:spacing w:before="0"/>
              <w:rPr>
                <w:b/>
                <w:snapToGrid w:val="0"/>
                <w:lang w:eastAsia="en-US"/>
              </w:rPr>
            </w:pPr>
            <w:proofErr w:type="gramStart"/>
            <w:r w:rsidRPr="005E7176">
              <w:rPr>
                <w:b/>
                <w:snapToGrid w:val="0"/>
                <w:lang w:eastAsia="en-US"/>
              </w:rPr>
              <w:lastRenderedPageBreak/>
              <w:t>n</w:t>
            </w:r>
            <w:proofErr w:type="gramEnd"/>
            <w:r w:rsidRPr="005E7176">
              <w:rPr>
                <w:b/>
                <w:snapToGrid w:val="0"/>
                <w:lang w:eastAsia="en-US"/>
              </w:rPr>
              <w:t xml:space="preserve"> with event/N ablation sessions (%)</w:t>
            </w:r>
          </w:p>
        </w:tc>
      </w:tr>
      <w:tr w:rsidR="004F479D" w:rsidRPr="0069748F" w14:paraId="04C9E28B" w14:textId="77777777" w:rsidTr="00BC0959">
        <w:tc>
          <w:tcPr>
            <w:tcW w:w="1264" w:type="pct"/>
            <w:shd w:val="clear" w:color="auto" w:fill="auto"/>
            <w:vAlign w:val="center"/>
          </w:tcPr>
          <w:p w14:paraId="10285A14" w14:textId="77777777" w:rsidR="000623BB" w:rsidRDefault="000623BB" w:rsidP="00DE202F">
            <w:pPr>
              <w:pStyle w:val="Tabletext1"/>
              <w:spacing w:before="0"/>
              <w:rPr>
                <w:color w:val="000000"/>
              </w:rPr>
            </w:pPr>
            <w:r>
              <w:rPr>
                <w:snapToGrid w:val="0"/>
                <w:color w:val="000000"/>
              </w:rPr>
              <w:lastRenderedPageBreak/>
              <w:t>Belfiore et al (2013)</w:t>
            </w:r>
          </w:p>
        </w:tc>
        <w:tc>
          <w:tcPr>
            <w:tcW w:w="963" w:type="pct"/>
            <w:shd w:val="clear" w:color="auto" w:fill="auto"/>
          </w:tcPr>
          <w:p w14:paraId="77147047" w14:textId="77777777" w:rsidR="000623BB" w:rsidRPr="0069748F" w:rsidRDefault="000623BB" w:rsidP="00DE202F">
            <w:pPr>
              <w:pStyle w:val="Tabletext1"/>
              <w:spacing w:before="0"/>
              <w:rPr>
                <w:snapToGrid w:val="0"/>
              </w:rPr>
            </w:pPr>
            <w:r>
              <w:rPr>
                <w:snapToGrid w:val="0"/>
              </w:rPr>
              <w:t>IV</w:t>
            </w:r>
          </w:p>
        </w:tc>
        <w:tc>
          <w:tcPr>
            <w:tcW w:w="1145" w:type="pct"/>
            <w:shd w:val="clear" w:color="auto" w:fill="auto"/>
          </w:tcPr>
          <w:p w14:paraId="66244AC7" w14:textId="77777777" w:rsidR="000623BB" w:rsidRPr="0069748F" w:rsidRDefault="000623BB" w:rsidP="00DE202F">
            <w:pPr>
              <w:pStyle w:val="Tabletext1"/>
              <w:spacing w:before="0"/>
              <w:rPr>
                <w:snapToGrid w:val="0"/>
                <w:color w:val="000000"/>
              </w:rPr>
            </w:pPr>
            <w:r>
              <w:rPr>
                <w:snapToGrid w:val="0"/>
                <w:color w:val="000000"/>
              </w:rPr>
              <w:t>18/56 (32</w:t>
            </w:r>
            <w:r w:rsidR="004B09CD">
              <w:rPr>
                <w:snapToGrid w:val="0"/>
                <w:color w:val="000000"/>
              </w:rPr>
              <w:t>.1</w:t>
            </w:r>
            <w:r>
              <w:rPr>
                <w:snapToGrid w:val="0"/>
                <w:color w:val="000000"/>
              </w:rPr>
              <w:t>)</w:t>
            </w:r>
          </w:p>
        </w:tc>
        <w:tc>
          <w:tcPr>
            <w:tcW w:w="1628" w:type="pct"/>
            <w:shd w:val="clear" w:color="auto" w:fill="auto"/>
          </w:tcPr>
          <w:p w14:paraId="19559F38" w14:textId="77777777" w:rsidR="000623BB" w:rsidRPr="004565C0" w:rsidRDefault="000623BB" w:rsidP="00DE202F">
            <w:pPr>
              <w:pStyle w:val="Tabletext1"/>
              <w:spacing w:before="0"/>
              <w:rPr>
                <w:snapToGrid w:val="0"/>
                <w:color w:val="000000"/>
              </w:rPr>
            </w:pPr>
            <w:r w:rsidRPr="004565C0">
              <w:rPr>
                <w:snapToGrid w:val="0"/>
                <w:color w:val="000000"/>
              </w:rPr>
              <w:t>8</w:t>
            </w:r>
            <w:r>
              <w:rPr>
                <w:snapToGrid w:val="0"/>
                <w:color w:val="000000"/>
              </w:rPr>
              <w:t>/56 (14</w:t>
            </w:r>
            <w:r w:rsidR="004B09CD">
              <w:rPr>
                <w:snapToGrid w:val="0"/>
                <w:color w:val="000000"/>
              </w:rPr>
              <w:t>.3</w:t>
            </w:r>
            <w:r>
              <w:rPr>
                <w:snapToGrid w:val="0"/>
                <w:color w:val="000000"/>
              </w:rPr>
              <w:t>)</w:t>
            </w:r>
          </w:p>
        </w:tc>
      </w:tr>
      <w:tr w:rsidR="004F479D" w:rsidRPr="0069748F" w14:paraId="36CEACC8" w14:textId="77777777" w:rsidTr="00BC0959">
        <w:tc>
          <w:tcPr>
            <w:tcW w:w="1264" w:type="pct"/>
            <w:shd w:val="clear" w:color="auto" w:fill="auto"/>
            <w:vAlign w:val="center"/>
          </w:tcPr>
          <w:p w14:paraId="50048EA4" w14:textId="77777777" w:rsidR="000623BB" w:rsidRDefault="000623BB" w:rsidP="00DE202F">
            <w:pPr>
              <w:pStyle w:val="Tabletext1"/>
              <w:spacing w:before="0"/>
              <w:rPr>
                <w:color w:val="000000"/>
              </w:rPr>
            </w:pPr>
            <w:r>
              <w:rPr>
                <w:snapToGrid w:val="0"/>
                <w:color w:val="000000"/>
              </w:rPr>
              <w:t>Carafiello et al (2012)</w:t>
            </w:r>
          </w:p>
        </w:tc>
        <w:tc>
          <w:tcPr>
            <w:tcW w:w="963" w:type="pct"/>
            <w:shd w:val="clear" w:color="auto" w:fill="auto"/>
          </w:tcPr>
          <w:p w14:paraId="59E1007E" w14:textId="77777777" w:rsidR="000623BB" w:rsidRPr="0069748F" w:rsidRDefault="000623BB" w:rsidP="00DE202F">
            <w:pPr>
              <w:pStyle w:val="Tabletext1"/>
              <w:spacing w:before="0"/>
              <w:rPr>
                <w:snapToGrid w:val="0"/>
              </w:rPr>
            </w:pPr>
            <w:r>
              <w:rPr>
                <w:snapToGrid w:val="0"/>
              </w:rPr>
              <w:t>IV</w:t>
            </w:r>
          </w:p>
        </w:tc>
        <w:tc>
          <w:tcPr>
            <w:tcW w:w="1145" w:type="pct"/>
            <w:shd w:val="clear" w:color="auto" w:fill="auto"/>
          </w:tcPr>
          <w:p w14:paraId="27DCD697" w14:textId="77777777" w:rsidR="000623BB" w:rsidRPr="0069748F" w:rsidRDefault="004B09CD" w:rsidP="00DE202F">
            <w:pPr>
              <w:pStyle w:val="Tabletext1"/>
              <w:spacing w:before="0"/>
              <w:rPr>
                <w:snapToGrid w:val="0"/>
                <w:color w:val="000000"/>
              </w:rPr>
            </w:pPr>
            <w:r>
              <w:rPr>
                <w:snapToGrid w:val="0"/>
                <w:color w:val="000000"/>
              </w:rPr>
              <w:t>4/17 (23.5</w:t>
            </w:r>
            <w:r w:rsidR="000623BB">
              <w:rPr>
                <w:snapToGrid w:val="0"/>
                <w:color w:val="000000"/>
              </w:rPr>
              <w:t>)</w:t>
            </w:r>
          </w:p>
        </w:tc>
        <w:tc>
          <w:tcPr>
            <w:tcW w:w="1628" w:type="pct"/>
            <w:shd w:val="clear" w:color="auto" w:fill="auto"/>
          </w:tcPr>
          <w:p w14:paraId="5E211926" w14:textId="77777777" w:rsidR="000623BB" w:rsidRPr="004565C0" w:rsidRDefault="000623BB" w:rsidP="00DE202F">
            <w:pPr>
              <w:pStyle w:val="Tabletext1"/>
              <w:spacing w:before="0"/>
              <w:rPr>
                <w:snapToGrid w:val="0"/>
                <w:color w:val="000000"/>
              </w:rPr>
            </w:pPr>
            <w:r>
              <w:rPr>
                <w:snapToGrid w:val="0"/>
                <w:color w:val="000000"/>
              </w:rPr>
              <w:t>0/17 (0)</w:t>
            </w:r>
          </w:p>
        </w:tc>
      </w:tr>
      <w:tr w:rsidR="004F479D" w:rsidRPr="0069748F" w14:paraId="3E7C309A" w14:textId="77777777" w:rsidTr="00BC0959">
        <w:tc>
          <w:tcPr>
            <w:tcW w:w="1264" w:type="pct"/>
            <w:tcBorders>
              <w:bottom w:val="single" w:sz="4" w:space="0" w:color="auto"/>
            </w:tcBorders>
            <w:shd w:val="clear" w:color="auto" w:fill="auto"/>
            <w:vAlign w:val="center"/>
          </w:tcPr>
          <w:p w14:paraId="31C756AA" w14:textId="77777777" w:rsidR="000623BB" w:rsidRDefault="000623BB" w:rsidP="00DE202F">
            <w:pPr>
              <w:pStyle w:val="Tabletext1"/>
              <w:spacing w:before="0"/>
              <w:rPr>
                <w:color w:val="000000"/>
              </w:rPr>
            </w:pPr>
            <w:r>
              <w:rPr>
                <w:snapToGrid w:val="0"/>
                <w:color w:val="000000"/>
              </w:rPr>
              <w:t>Carrafiello et al (2014)</w:t>
            </w:r>
          </w:p>
        </w:tc>
        <w:tc>
          <w:tcPr>
            <w:tcW w:w="963" w:type="pct"/>
            <w:tcBorders>
              <w:bottom w:val="single" w:sz="4" w:space="0" w:color="auto"/>
            </w:tcBorders>
            <w:shd w:val="clear" w:color="auto" w:fill="auto"/>
          </w:tcPr>
          <w:p w14:paraId="475481B6"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100107AD" w14:textId="77777777" w:rsidR="000623BB" w:rsidRPr="0069748F" w:rsidRDefault="000623BB" w:rsidP="00DE202F">
            <w:pPr>
              <w:pStyle w:val="Tabletext1"/>
              <w:spacing w:before="0"/>
              <w:rPr>
                <w:snapToGrid w:val="0"/>
                <w:color w:val="000000"/>
              </w:rPr>
            </w:pPr>
            <w:r w:rsidRPr="0069748F">
              <w:rPr>
                <w:snapToGrid w:val="0"/>
                <w:color w:val="000000"/>
              </w:rPr>
              <w:t>9/24 (37.5)</w:t>
            </w:r>
            <w:r w:rsidR="004302B6" w:rsidRPr="004302B6">
              <w:rPr>
                <w:snapToGrid w:val="0"/>
                <w:color w:val="000000"/>
                <w:vertAlign w:val="superscript"/>
              </w:rPr>
              <w:t>b</w:t>
            </w:r>
          </w:p>
        </w:tc>
        <w:tc>
          <w:tcPr>
            <w:tcW w:w="1628" w:type="pct"/>
            <w:tcBorders>
              <w:bottom w:val="single" w:sz="4" w:space="0" w:color="auto"/>
            </w:tcBorders>
            <w:shd w:val="clear" w:color="auto" w:fill="auto"/>
          </w:tcPr>
          <w:p w14:paraId="1290222F" w14:textId="77777777" w:rsidR="000623BB" w:rsidRPr="004565C0" w:rsidRDefault="000623BB" w:rsidP="00DE202F">
            <w:pPr>
              <w:pStyle w:val="Tabletext1"/>
              <w:spacing w:before="0"/>
              <w:rPr>
                <w:snapToGrid w:val="0"/>
                <w:color w:val="000000"/>
              </w:rPr>
            </w:pPr>
            <w:r>
              <w:rPr>
                <w:snapToGrid w:val="0"/>
                <w:color w:val="000000"/>
              </w:rPr>
              <w:t>NR</w:t>
            </w:r>
          </w:p>
        </w:tc>
      </w:tr>
      <w:tr w:rsidR="004F479D" w:rsidRPr="0069748F" w14:paraId="1D562082" w14:textId="77777777" w:rsidTr="00BC0959">
        <w:tc>
          <w:tcPr>
            <w:tcW w:w="1264" w:type="pct"/>
            <w:tcBorders>
              <w:bottom w:val="single" w:sz="4" w:space="0" w:color="auto"/>
            </w:tcBorders>
            <w:shd w:val="clear" w:color="auto" w:fill="auto"/>
            <w:vAlign w:val="center"/>
          </w:tcPr>
          <w:p w14:paraId="3D616162" w14:textId="77777777" w:rsidR="000623BB" w:rsidRDefault="000623BB" w:rsidP="00DE202F">
            <w:pPr>
              <w:pStyle w:val="Tabletext1"/>
              <w:spacing w:before="0"/>
              <w:rPr>
                <w:color w:val="000000"/>
              </w:rPr>
            </w:pPr>
            <w:r>
              <w:rPr>
                <w:snapToGrid w:val="0"/>
                <w:color w:val="000000"/>
              </w:rPr>
              <w:t>Chung et al (2014)</w:t>
            </w:r>
          </w:p>
        </w:tc>
        <w:tc>
          <w:tcPr>
            <w:tcW w:w="963" w:type="pct"/>
            <w:tcBorders>
              <w:bottom w:val="single" w:sz="4" w:space="0" w:color="auto"/>
            </w:tcBorders>
            <w:shd w:val="clear" w:color="auto" w:fill="auto"/>
          </w:tcPr>
          <w:p w14:paraId="5BE1B37B"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7CAF6F70" w14:textId="4AA3A0FC" w:rsidR="000623BB" w:rsidRPr="0069748F" w:rsidRDefault="000623BB" w:rsidP="00DE202F">
            <w:pPr>
              <w:pStyle w:val="Tabletext1"/>
              <w:spacing w:before="0"/>
              <w:rPr>
                <w:snapToGrid w:val="0"/>
                <w:color w:val="000000"/>
              </w:rPr>
            </w:pPr>
            <w:r w:rsidRPr="0069748F">
              <w:rPr>
                <w:snapToGrid w:val="0"/>
                <w:color w:val="000000"/>
              </w:rPr>
              <w:t xml:space="preserve">13/46 (28.3) </w:t>
            </w:r>
          </w:p>
        </w:tc>
        <w:tc>
          <w:tcPr>
            <w:tcW w:w="1628" w:type="pct"/>
            <w:tcBorders>
              <w:bottom w:val="single" w:sz="4" w:space="0" w:color="auto"/>
            </w:tcBorders>
            <w:shd w:val="clear" w:color="auto" w:fill="auto"/>
          </w:tcPr>
          <w:p w14:paraId="71532242" w14:textId="77777777" w:rsidR="000623BB" w:rsidRPr="004565C0" w:rsidRDefault="000623BB" w:rsidP="00DE202F">
            <w:pPr>
              <w:pStyle w:val="Tabletext1"/>
              <w:spacing w:before="0"/>
              <w:rPr>
                <w:snapToGrid w:val="0"/>
                <w:color w:val="000000"/>
              </w:rPr>
            </w:pPr>
            <w:r w:rsidRPr="004565C0">
              <w:rPr>
                <w:snapToGrid w:val="0"/>
                <w:color w:val="000000"/>
              </w:rPr>
              <w:t>4</w:t>
            </w:r>
            <w:r w:rsidR="004B09CD">
              <w:rPr>
                <w:snapToGrid w:val="0"/>
                <w:color w:val="000000"/>
              </w:rPr>
              <w:t>/46 (8.7</w:t>
            </w:r>
            <w:r>
              <w:rPr>
                <w:snapToGrid w:val="0"/>
                <w:color w:val="000000"/>
              </w:rPr>
              <w:t>)</w:t>
            </w:r>
          </w:p>
        </w:tc>
      </w:tr>
      <w:tr w:rsidR="004F479D" w:rsidRPr="0069748F" w14:paraId="5592A602" w14:textId="77777777" w:rsidTr="00BC0959">
        <w:tc>
          <w:tcPr>
            <w:tcW w:w="1264" w:type="pct"/>
            <w:tcBorders>
              <w:bottom w:val="single" w:sz="4" w:space="0" w:color="auto"/>
            </w:tcBorders>
            <w:shd w:val="clear" w:color="auto" w:fill="auto"/>
            <w:vAlign w:val="center"/>
          </w:tcPr>
          <w:p w14:paraId="0C29EFAD" w14:textId="77777777" w:rsidR="000623BB" w:rsidRDefault="000623BB" w:rsidP="00DE202F">
            <w:pPr>
              <w:pStyle w:val="Tabletext1"/>
              <w:spacing w:before="0"/>
              <w:rPr>
                <w:color w:val="000000"/>
              </w:rPr>
            </w:pPr>
            <w:r>
              <w:rPr>
                <w:snapToGrid w:val="0"/>
                <w:color w:val="000000"/>
              </w:rPr>
              <w:t>Egashira et al (2016)</w:t>
            </w:r>
          </w:p>
        </w:tc>
        <w:tc>
          <w:tcPr>
            <w:tcW w:w="963" w:type="pct"/>
            <w:tcBorders>
              <w:bottom w:val="single" w:sz="4" w:space="0" w:color="auto"/>
            </w:tcBorders>
            <w:shd w:val="clear" w:color="auto" w:fill="auto"/>
          </w:tcPr>
          <w:p w14:paraId="3FDC6829"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0594BC19" w14:textId="77777777" w:rsidR="000623BB" w:rsidRPr="0069748F" w:rsidRDefault="000623BB" w:rsidP="00DE202F">
            <w:pPr>
              <w:pStyle w:val="Tabletext1"/>
              <w:spacing w:before="0"/>
              <w:rPr>
                <w:snapToGrid w:val="0"/>
                <w:color w:val="000000"/>
              </w:rPr>
            </w:pPr>
            <w:r w:rsidRPr="0069748F">
              <w:rPr>
                <w:snapToGrid w:val="0"/>
                <w:color w:val="000000"/>
              </w:rPr>
              <w:t>12/62 (19.4</w:t>
            </w:r>
            <w:r>
              <w:rPr>
                <w:snapToGrid w:val="0"/>
                <w:color w:val="000000"/>
              </w:rPr>
              <w:t>)</w:t>
            </w:r>
            <w:r w:rsidRPr="0069748F">
              <w:rPr>
                <w:snapToGrid w:val="0"/>
                <w:color w:val="000000"/>
              </w:rPr>
              <w:t xml:space="preserve"> </w:t>
            </w:r>
          </w:p>
        </w:tc>
        <w:tc>
          <w:tcPr>
            <w:tcW w:w="1628" w:type="pct"/>
            <w:tcBorders>
              <w:bottom w:val="single" w:sz="4" w:space="0" w:color="auto"/>
            </w:tcBorders>
            <w:shd w:val="clear" w:color="auto" w:fill="auto"/>
          </w:tcPr>
          <w:p w14:paraId="3600BE55" w14:textId="77777777" w:rsidR="000623BB" w:rsidRPr="004565C0" w:rsidRDefault="00AA06B0" w:rsidP="00DE202F">
            <w:pPr>
              <w:pStyle w:val="Tabletext1"/>
              <w:spacing w:before="0"/>
              <w:rPr>
                <w:snapToGrid w:val="0"/>
                <w:color w:val="000000"/>
              </w:rPr>
            </w:pPr>
            <w:r w:rsidRPr="00495906">
              <w:rPr>
                <w:snapToGrid w:val="0"/>
                <w:color w:val="000000"/>
              </w:rPr>
              <w:t>12</w:t>
            </w:r>
            <w:r w:rsidR="000623BB" w:rsidRPr="00495906">
              <w:rPr>
                <w:snapToGrid w:val="0"/>
                <w:color w:val="000000"/>
              </w:rPr>
              <w:t>/62 (16</w:t>
            </w:r>
            <w:r w:rsidR="004B09CD" w:rsidRPr="00495906">
              <w:rPr>
                <w:snapToGrid w:val="0"/>
                <w:color w:val="000000"/>
              </w:rPr>
              <w:t>.1</w:t>
            </w:r>
            <w:r w:rsidR="000623BB" w:rsidRPr="00495906">
              <w:rPr>
                <w:snapToGrid w:val="0"/>
                <w:color w:val="000000"/>
              </w:rPr>
              <w:t>)</w:t>
            </w:r>
          </w:p>
        </w:tc>
      </w:tr>
      <w:tr w:rsidR="004F479D" w:rsidRPr="0069748F" w14:paraId="7E0CFDA2" w14:textId="77777777" w:rsidTr="00BC0959">
        <w:tc>
          <w:tcPr>
            <w:tcW w:w="1264" w:type="pct"/>
            <w:tcBorders>
              <w:bottom w:val="single" w:sz="4" w:space="0" w:color="auto"/>
            </w:tcBorders>
            <w:shd w:val="clear" w:color="auto" w:fill="auto"/>
            <w:vAlign w:val="center"/>
          </w:tcPr>
          <w:p w14:paraId="75F7807A" w14:textId="77777777" w:rsidR="000623BB" w:rsidRDefault="000623BB" w:rsidP="00DE202F">
            <w:pPr>
              <w:pStyle w:val="Tabletext1"/>
              <w:spacing w:before="0"/>
              <w:rPr>
                <w:color w:val="000000"/>
              </w:rPr>
            </w:pPr>
            <w:r>
              <w:rPr>
                <w:snapToGrid w:val="0"/>
                <w:color w:val="000000"/>
              </w:rPr>
              <w:t>Han et al (2015)</w:t>
            </w:r>
          </w:p>
        </w:tc>
        <w:tc>
          <w:tcPr>
            <w:tcW w:w="963" w:type="pct"/>
            <w:tcBorders>
              <w:bottom w:val="single" w:sz="4" w:space="0" w:color="auto"/>
            </w:tcBorders>
            <w:shd w:val="clear" w:color="auto" w:fill="auto"/>
          </w:tcPr>
          <w:p w14:paraId="3308BBC9"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7118E469" w14:textId="77777777" w:rsidR="000623BB" w:rsidRPr="0069748F" w:rsidRDefault="000623BB" w:rsidP="00DE202F">
            <w:pPr>
              <w:pStyle w:val="Tabletext1"/>
              <w:spacing w:before="0"/>
              <w:rPr>
                <w:snapToGrid w:val="0"/>
                <w:color w:val="000000"/>
              </w:rPr>
            </w:pPr>
            <w:r>
              <w:rPr>
                <w:snapToGrid w:val="0"/>
                <w:color w:val="000000"/>
              </w:rPr>
              <w:t>14/28 (50</w:t>
            </w:r>
            <w:r w:rsidR="004B09CD">
              <w:rPr>
                <w:snapToGrid w:val="0"/>
                <w:color w:val="000000"/>
              </w:rPr>
              <w:t>.0</w:t>
            </w:r>
            <w:r>
              <w:rPr>
                <w:snapToGrid w:val="0"/>
                <w:color w:val="000000"/>
              </w:rPr>
              <w:t>)</w:t>
            </w:r>
          </w:p>
        </w:tc>
        <w:tc>
          <w:tcPr>
            <w:tcW w:w="1628" w:type="pct"/>
            <w:tcBorders>
              <w:bottom w:val="single" w:sz="4" w:space="0" w:color="auto"/>
            </w:tcBorders>
            <w:shd w:val="clear" w:color="auto" w:fill="auto"/>
          </w:tcPr>
          <w:p w14:paraId="62FF7A8A" w14:textId="77777777" w:rsidR="000623BB" w:rsidRPr="004565C0" w:rsidRDefault="000623BB" w:rsidP="00DE202F">
            <w:pPr>
              <w:pStyle w:val="Tabletext1"/>
              <w:spacing w:before="0"/>
              <w:rPr>
                <w:snapToGrid w:val="0"/>
                <w:color w:val="000000"/>
              </w:rPr>
            </w:pPr>
            <w:r w:rsidRPr="004565C0">
              <w:rPr>
                <w:snapToGrid w:val="0"/>
                <w:color w:val="000000"/>
              </w:rPr>
              <w:t>8</w:t>
            </w:r>
            <w:r w:rsidR="004B09CD">
              <w:rPr>
                <w:snapToGrid w:val="0"/>
                <w:color w:val="000000"/>
              </w:rPr>
              <w:t>/28 (28.6</w:t>
            </w:r>
            <w:r>
              <w:rPr>
                <w:snapToGrid w:val="0"/>
                <w:color w:val="000000"/>
              </w:rPr>
              <w:t>)</w:t>
            </w:r>
          </w:p>
        </w:tc>
      </w:tr>
      <w:tr w:rsidR="004F479D" w:rsidRPr="0069748F" w14:paraId="044FA466" w14:textId="77777777" w:rsidTr="00BC0959">
        <w:tc>
          <w:tcPr>
            <w:tcW w:w="1264" w:type="pct"/>
            <w:tcBorders>
              <w:bottom w:val="single" w:sz="4" w:space="0" w:color="auto"/>
            </w:tcBorders>
            <w:shd w:val="clear" w:color="auto" w:fill="auto"/>
            <w:vAlign w:val="center"/>
          </w:tcPr>
          <w:p w14:paraId="536B3992" w14:textId="77777777" w:rsidR="000623BB" w:rsidRDefault="004302B6" w:rsidP="00DE202F">
            <w:pPr>
              <w:pStyle w:val="Tabletext1"/>
              <w:spacing w:before="0"/>
              <w:rPr>
                <w:color w:val="000000"/>
              </w:rPr>
            </w:pPr>
            <w:r>
              <w:rPr>
                <w:snapToGrid w:val="0"/>
                <w:color w:val="000000"/>
              </w:rPr>
              <w:t>He e</w:t>
            </w:r>
            <w:r w:rsidR="000623BB">
              <w:rPr>
                <w:snapToGrid w:val="0"/>
                <w:color w:val="000000"/>
              </w:rPr>
              <w:t>t al (2006)</w:t>
            </w:r>
          </w:p>
        </w:tc>
        <w:tc>
          <w:tcPr>
            <w:tcW w:w="963" w:type="pct"/>
            <w:tcBorders>
              <w:bottom w:val="single" w:sz="4" w:space="0" w:color="auto"/>
            </w:tcBorders>
            <w:shd w:val="clear" w:color="auto" w:fill="auto"/>
          </w:tcPr>
          <w:p w14:paraId="538C6A7B"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4CDDE5B9" w14:textId="77777777" w:rsidR="000623BB" w:rsidRPr="0069748F" w:rsidRDefault="000623BB" w:rsidP="00DE202F">
            <w:pPr>
              <w:pStyle w:val="Tabletext1"/>
              <w:spacing w:before="0"/>
              <w:rPr>
                <w:snapToGrid w:val="0"/>
                <w:color w:val="000000"/>
              </w:rPr>
            </w:pPr>
            <w:r>
              <w:rPr>
                <w:snapToGrid w:val="0"/>
                <w:color w:val="000000"/>
              </w:rPr>
              <w:t>1/12 (8.3)</w:t>
            </w:r>
          </w:p>
        </w:tc>
        <w:tc>
          <w:tcPr>
            <w:tcW w:w="1628" w:type="pct"/>
            <w:tcBorders>
              <w:bottom w:val="single" w:sz="4" w:space="0" w:color="auto"/>
            </w:tcBorders>
            <w:shd w:val="clear" w:color="auto" w:fill="auto"/>
          </w:tcPr>
          <w:p w14:paraId="77C2B967" w14:textId="77777777" w:rsidR="000623BB" w:rsidRPr="004565C0" w:rsidRDefault="000623BB" w:rsidP="00DE202F">
            <w:pPr>
              <w:pStyle w:val="Tabletext1"/>
              <w:spacing w:before="0"/>
              <w:rPr>
                <w:snapToGrid w:val="0"/>
                <w:color w:val="000000"/>
              </w:rPr>
            </w:pPr>
            <w:r>
              <w:rPr>
                <w:snapToGrid w:val="0"/>
                <w:color w:val="000000"/>
              </w:rPr>
              <w:t>0/12 (0)</w:t>
            </w:r>
          </w:p>
        </w:tc>
      </w:tr>
      <w:tr w:rsidR="004F479D" w:rsidRPr="0069748F" w14:paraId="1E682B45" w14:textId="77777777" w:rsidTr="00BC0959">
        <w:tc>
          <w:tcPr>
            <w:tcW w:w="1264" w:type="pct"/>
            <w:tcBorders>
              <w:bottom w:val="single" w:sz="4" w:space="0" w:color="auto"/>
            </w:tcBorders>
            <w:shd w:val="clear" w:color="auto" w:fill="auto"/>
            <w:vAlign w:val="center"/>
          </w:tcPr>
          <w:p w14:paraId="7E6299D1" w14:textId="77777777" w:rsidR="000623BB" w:rsidRDefault="000623BB" w:rsidP="00DE202F">
            <w:pPr>
              <w:pStyle w:val="Tabletext1"/>
              <w:spacing w:before="0"/>
              <w:rPr>
                <w:color w:val="000000"/>
              </w:rPr>
            </w:pPr>
            <w:r>
              <w:rPr>
                <w:snapToGrid w:val="0"/>
                <w:color w:val="000000"/>
              </w:rPr>
              <w:t>Little et al (2013)</w:t>
            </w:r>
          </w:p>
        </w:tc>
        <w:tc>
          <w:tcPr>
            <w:tcW w:w="963" w:type="pct"/>
            <w:tcBorders>
              <w:bottom w:val="single" w:sz="4" w:space="0" w:color="auto"/>
            </w:tcBorders>
            <w:shd w:val="clear" w:color="auto" w:fill="auto"/>
          </w:tcPr>
          <w:p w14:paraId="27B3F30B"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3D7FBA3F" w14:textId="77777777" w:rsidR="000623BB" w:rsidRPr="0069748F" w:rsidRDefault="000623BB" w:rsidP="00DE202F">
            <w:pPr>
              <w:pStyle w:val="Tabletext1"/>
              <w:spacing w:before="0"/>
              <w:rPr>
                <w:snapToGrid w:val="0"/>
                <w:color w:val="000000"/>
              </w:rPr>
            </w:pPr>
            <w:r>
              <w:rPr>
                <w:snapToGrid w:val="0"/>
                <w:color w:val="000000"/>
              </w:rPr>
              <w:t>10/23 (</w:t>
            </w:r>
            <w:r w:rsidR="004B09CD">
              <w:rPr>
                <w:snapToGrid w:val="0"/>
                <w:color w:val="000000"/>
              </w:rPr>
              <w:t>43.5</w:t>
            </w:r>
            <w:r>
              <w:rPr>
                <w:snapToGrid w:val="0"/>
                <w:color w:val="000000"/>
              </w:rPr>
              <w:t>)</w:t>
            </w:r>
          </w:p>
        </w:tc>
        <w:tc>
          <w:tcPr>
            <w:tcW w:w="1628" w:type="pct"/>
            <w:tcBorders>
              <w:bottom w:val="single" w:sz="4" w:space="0" w:color="auto"/>
            </w:tcBorders>
            <w:shd w:val="clear" w:color="auto" w:fill="auto"/>
          </w:tcPr>
          <w:p w14:paraId="6818E723" w14:textId="77777777" w:rsidR="000623BB" w:rsidRPr="004565C0" w:rsidRDefault="000623BB" w:rsidP="00DE202F">
            <w:pPr>
              <w:pStyle w:val="Tabletext1"/>
              <w:spacing w:before="0"/>
              <w:rPr>
                <w:snapToGrid w:val="0"/>
                <w:color w:val="000000"/>
              </w:rPr>
            </w:pPr>
            <w:r w:rsidRPr="004565C0">
              <w:rPr>
                <w:snapToGrid w:val="0"/>
                <w:color w:val="000000"/>
              </w:rPr>
              <w:t>3</w:t>
            </w:r>
            <w:r>
              <w:rPr>
                <w:snapToGrid w:val="0"/>
                <w:color w:val="000000"/>
              </w:rPr>
              <w:t>/23 (13</w:t>
            </w:r>
            <w:r w:rsidR="004B09CD">
              <w:rPr>
                <w:snapToGrid w:val="0"/>
                <w:color w:val="000000"/>
              </w:rPr>
              <w:t>.0</w:t>
            </w:r>
            <w:r>
              <w:rPr>
                <w:snapToGrid w:val="0"/>
                <w:color w:val="000000"/>
              </w:rPr>
              <w:t>)</w:t>
            </w:r>
          </w:p>
        </w:tc>
      </w:tr>
      <w:tr w:rsidR="004F479D" w:rsidRPr="0069748F" w14:paraId="427E0BE1" w14:textId="77777777" w:rsidTr="00BC0959">
        <w:tc>
          <w:tcPr>
            <w:tcW w:w="1264" w:type="pct"/>
            <w:tcBorders>
              <w:bottom w:val="single" w:sz="4" w:space="0" w:color="auto"/>
            </w:tcBorders>
            <w:shd w:val="clear" w:color="auto" w:fill="auto"/>
            <w:vAlign w:val="center"/>
          </w:tcPr>
          <w:p w14:paraId="1D50ABB8" w14:textId="77777777" w:rsidR="000623BB" w:rsidRDefault="008063EA" w:rsidP="00DE202F">
            <w:pPr>
              <w:pStyle w:val="Tabletext1"/>
              <w:spacing w:before="0"/>
              <w:rPr>
                <w:color w:val="000000"/>
              </w:rPr>
            </w:pPr>
            <w:r>
              <w:rPr>
                <w:snapToGrid w:val="0"/>
                <w:color w:val="000000"/>
              </w:rPr>
              <w:t>Liu &amp; Steinke (2015)</w:t>
            </w:r>
          </w:p>
        </w:tc>
        <w:tc>
          <w:tcPr>
            <w:tcW w:w="963" w:type="pct"/>
            <w:tcBorders>
              <w:bottom w:val="single" w:sz="4" w:space="0" w:color="auto"/>
            </w:tcBorders>
            <w:shd w:val="clear" w:color="auto" w:fill="auto"/>
          </w:tcPr>
          <w:p w14:paraId="3AD8676B"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1B0448D8" w14:textId="77777777" w:rsidR="000623BB" w:rsidRPr="0069748F" w:rsidRDefault="000623BB" w:rsidP="00DE202F">
            <w:pPr>
              <w:pStyle w:val="Tabletext1"/>
              <w:spacing w:before="0"/>
              <w:rPr>
                <w:snapToGrid w:val="0"/>
                <w:color w:val="000000"/>
              </w:rPr>
            </w:pPr>
            <w:r w:rsidRPr="0069748F">
              <w:rPr>
                <w:snapToGrid w:val="0"/>
                <w:color w:val="000000"/>
              </w:rPr>
              <w:t>10/16 (</w:t>
            </w:r>
            <w:r w:rsidR="004B09CD">
              <w:rPr>
                <w:snapToGrid w:val="0"/>
                <w:color w:val="000000"/>
              </w:rPr>
              <w:t>62.5</w:t>
            </w:r>
            <w:r w:rsidRPr="0069748F">
              <w:rPr>
                <w:snapToGrid w:val="0"/>
                <w:color w:val="000000"/>
              </w:rPr>
              <w:t>)</w:t>
            </w:r>
          </w:p>
        </w:tc>
        <w:tc>
          <w:tcPr>
            <w:tcW w:w="1628" w:type="pct"/>
            <w:tcBorders>
              <w:bottom w:val="single" w:sz="4" w:space="0" w:color="auto"/>
            </w:tcBorders>
            <w:shd w:val="clear" w:color="auto" w:fill="auto"/>
          </w:tcPr>
          <w:p w14:paraId="0E6B3933" w14:textId="77777777" w:rsidR="000623BB" w:rsidRPr="004565C0" w:rsidRDefault="000623BB" w:rsidP="00DE202F">
            <w:pPr>
              <w:pStyle w:val="Tabletext1"/>
              <w:spacing w:before="0"/>
              <w:rPr>
                <w:snapToGrid w:val="0"/>
                <w:color w:val="000000"/>
              </w:rPr>
            </w:pPr>
            <w:r>
              <w:rPr>
                <w:snapToGrid w:val="0"/>
                <w:color w:val="000000"/>
              </w:rPr>
              <w:t>NR</w:t>
            </w:r>
          </w:p>
        </w:tc>
      </w:tr>
      <w:tr w:rsidR="004F479D" w:rsidRPr="0069748F" w14:paraId="33D7A31E" w14:textId="77777777" w:rsidTr="00BC0959">
        <w:tc>
          <w:tcPr>
            <w:tcW w:w="1264" w:type="pct"/>
            <w:tcBorders>
              <w:bottom w:val="single" w:sz="4" w:space="0" w:color="auto"/>
            </w:tcBorders>
            <w:shd w:val="clear" w:color="auto" w:fill="auto"/>
            <w:vAlign w:val="center"/>
          </w:tcPr>
          <w:p w14:paraId="789A92F9" w14:textId="77777777" w:rsidR="000623BB" w:rsidRDefault="000623BB" w:rsidP="00DE202F">
            <w:pPr>
              <w:pStyle w:val="Tabletext1"/>
              <w:spacing w:before="0"/>
              <w:rPr>
                <w:color w:val="000000"/>
              </w:rPr>
            </w:pPr>
            <w:r>
              <w:rPr>
                <w:snapToGrid w:val="0"/>
                <w:color w:val="000000"/>
              </w:rPr>
              <w:t>Lu et al (2012)</w:t>
            </w:r>
          </w:p>
        </w:tc>
        <w:tc>
          <w:tcPr>
            <w:tcW w:w="963" w:type="pct"/>
            <w:tcBorders>
              <w:bottom w:val="single" w:sz="4" w:space="0" w:color="auto"/>
            </w:tcBorders>
            <w:shd w:val="clear" w:color="auto" w:fill="auto"/>
          </w:tcPr>
          <w:p w14:paraId="5D054B4C"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2F2691BB" w14:textId="77777777" w:rsidR="000623BB" w:rsidRPr="0069748F" w:rsidRDefault="000623BB" w:rsidP="00DE202F">
            <w:pPr>
              <w:pStyle w:val="Tabletext1"/>
              <w:spacing w:before="0"/>
              <w:rPr>
                <w:snapToGrid w:val="0"/>
                <w:color w:val="000000"/>
              </w:rPr>
            </w:pPr>
            <w:r w:rsidRPr="0069748F">
              <w:rPr>
                <w:snapToGrid w:val="0"/>
                <w:color w:val="000000"/>
              </w:rPr>
              <w:t>13/69 (18.8)</w:t>
            </w:r>
          </w:p>
        </w:tc>
        <w:tc>
          <w:tcPr>
            <w:tcW w:w="1628" w:type="pct"/>
            <w:tcBorders>
              <w:bottom w:val="single" w:sz="4" w:space="0" w:color="auto"/>
            </w:tcBorders>
            <w:shd w:val="clear" w:color="auto" w:fill="auto"/>
          </w:tcPr>
          <w:p w14:paraId="75B174B8" w14:textId="77777777" w:rsidR="000623BB" w:rsidRPr="004565C0" w:rsidRDefault="000623BB" w:rsidP="00DE202F">
            <w:pPr>
              <w:pStyle w:val="Tabletext1"/>
              <w:spacing w:before="0"/>
              <w:rPr>
                <w:snapToGrid w:val="0"/>
                <w:color w:val="000000"/>
              </w:rPr>
            </w:pPr>
            <w:r w:rsidRPr="004565C0">
              <w:rPr>
                <w:snapToGrid w:val="0"/>
                <w:color w:val="000000"/>
              </w:rPr>
              <w:t>5</w:t>
            </w:r>
            <w:r>
              <w:rPr>
                <w:snapToGrid w:val="0"/>
                <w:color w:val="000000"/>
              </w:rPr>
              <w:t>/69 (7</w:t>
            </w:r>
            <w:r w:rsidR="004B09CD">
              <w:rPr>
                <w:snapToGrid w:val="0"/>
                <w:color w:val="000000"/>
              </w:rPr>
              <w:t>.2</w:t>
            </w:r>
            <w:r>
              <w:rPr>
                <w:snapToGrid w:val="0"/>
                <w:color w:val="000000"/>
              </w:rPr>
              <w:t>)</w:t>
            </w:r>
          </w:p>
        </w:tc>
      </w:tr>
      <w:tr w:rsidR="004F479D" w:rsidRPr="0069748F" w14:paraId="09048D60" w14:textId="77777777" w:rsidTr="00BC0959">
        <w:tc>
          <w:tcPr>
            <w:tcW w:w="1264" w:type="pct"/>
            <w:tcBorders>
              <w:bottom w:val="single" w:sz="4" w:space="0" w:color="auto"/>
            </w:tcBorders>
            <w:shd w:val="clear" w:color="auto" w:fill="auto"/>
            <w:vAlign w:val="center"/>
          </w:tcPr>
          <w:p w14:paraId="72997B81" w14:textId="77777777" w:rsidR="000623BB" w:rsidRDefault="000623BB" w:rsidP="00DE202F">
            <w:pPr>
              <w:pStyle w:val="Tabletext1"/>
              <w:spacing w:before="0"/>
              <w:rPr>
                <w:color w:val="000000"/>
              </w:rPr>
            </w:pPr>
            <w:r>
              <w:rPr>
                <w:snapToGrid w:val="0"/>
                <w:color w:val="000000"/>
              </w:rPr>
              <w:t>Ni et al (2015)</w:t>
            </w:r>
          </w:p>
        </w:tc>
        <w:tc>
          <w:tcPr>
            <w:tcW w:w="963" w:type="pct"/>
            <w:tcBorders>
              <w:bottom w:val="single" w:sz="4" w:space="0" w:color="auto"/>
            </w:tcBorders>
            <w:shd w:val="clear" w:color="auto" w:fill="auto"/>
          </w:tcPr>
          <w:p w14:paraId="0523FA41"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504442CA" w14:textId="77777777" w:rsidR="000623BB" w:rsidRPr="0069748F" w:rsidRDefault="004B09CD" w:rsidP="00DE202F">
            <w:pPr>
              <w:pStyle w:val="Tabletext1"/>
              <w:spacing w:before="0"/>
              <w:rPr>
                <w:snapToGrid w:val="0"/>
                <w:color w:val="000000"/>
              </w:rPr>
            </w:pPr>
            <w:r>
              <w:rPr>
                <w:snapToGrid w:val="0"/>
                <w:color w:val="000000"/>
              </w:rPr>
              <w:t>8/39 (20.5</w:t>
            </w:r>
            <w:r w:rsidR="000623BB">
              <w:rPr>
                <w:snapToGrid w:val="0"/>
                <w:color w:val="000000"/>
              </w:rPr>
              <w:t>)</w:t>
            </w:r>
          </w:p>
        </w:tc>
        <w:tc>
          <w:tcPr>
            <w:tcW w:w="1628" w:type="pct"/>
            <w:tcBorders>
              <w:bottom w:val="single" w:sz="4" w:space="0" w:color="auto"/>
            </w:tcBorders>
            <w:shd w:val="clear" w:color="auto" w:fill="auto"/>
          </w:tcPr>
          <w:p w14:paraId="65C31B8B" w14:textId="77777777" w:rsidR="000623BB" w:rsidRPr="004565C0" w:rsidRDefault="000623BB" w:rsidP="00DE202F">
            <w:pPr>
              <w:pStyle w:val="Tabletext1"/>
              <w:spacing w:before="0"/>
              <w:rPr>
                <w:snapToGrid w:val="0"/>
                <w:color w:val="000000"/>
              </w:rPr>
            </w:pPr>
            <w:r>
              <w:rPr>
                <w:snapToGrid w:val="0"/>
                <w:color w:val="000000"/>
              </w:rPr>
              <w:t>3/39</w:t>
            </w:r>
          </w:p>
        </w:tc>
      </w:tr>
      <w:tr w:rsidR="004F479D" w:rsidRPr="0069748F" w14:paraId="0E7F139A" w14:textId="77777777" w:rsidTr="00BC0959">
        <w:tc>
          <w:tcPr>
            <w:tcW w:w="1264" w:type="pct"/>
            <w:tcBorders>
              <w:bottom w:val="single" w:sz="4" w:space="0" w:color="auto"/>
            </w:tcBorders>
            <w:shd w:val="clear" w:color="auto" w:fill="auto"/>
            <w:vAlign w:val="center"/>
          </w:tcPr>
          <w:p w14:paraId="0EB0423E" w14:textId="77777777" w:rsidR="000623BB" w:rsidRDefault="000623BB" w:rsidP="00DE202F">
            <w:pPr>
              <w:pStyle w:val="Tabletext1"/>
              <w:spacing w:before="0"/>
              <w:rPr>
                <w:color w:val="000000"/>
              </w:rPr>
            </w:pPr>
            <w:r>
              <w:rPr>
                <w:snapToGrid w:val="0"/>
                <w:color w:val="000000"/>
              </w:rPr>
              <w:t>Nour-Eldin et al (2011)</w:t>
            </w:r>
          </w:p>
        </w:tc>
        <w:tc>
          <w:tcPr>
            <w:tcW w:w="963" w:type="pct"/>
            <w:tcBorders>
              <w:bottom w:val="single" w:sz="4" w:space="0" w:color="auto"/>
            </w:tcBorders>
            <w:shd w:val="clear" w:color="auto" w:fill="auto"/>
          </w:tcPr>
          <w:p w14:paraId="1AE9F800"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1CDBE9AD" w14:textId="77777777" w:rsidR="000623BB" w:rsidRPr="004B09CD" w:rsidRDefault="004B09CD" w:rsidP="00DE202F">
            <w:pPr>
              <w:pStyle w:val="Tabletext1"/>
              <w:spacing w:before="0"/>
              <w:rPr>
                <w:snapToGrid w:val="0"/>
                <w:color w:val="000000"/>
              </w:rPr>
            </w:pPr>
            <w:r w:rsidRPr="004B09CD">
              <w:rPr>
                <w:snapToGrid w:val="0"/>
                <w:color w:val="000000"/>
              </w:rPr>
              <w:t>4/48 (8.3)</w:t>
            </w:r>
          </w:p>
        </w:tc>
        <w:tc>
          <w:tcPr>
            <w:tcW w:w="1628" w:type="pct"/>
            <w:tcBorders>
              <w:bottom w:val="single" w:sz="4" w:space="0" w:color="auto"/>
            </w:tcBorders>
            <w:shd w:val="clear" w:color="auto" w:fill="auto"/>
          </w:tcPr>
          <w:p w14:paraId="3BA044E0" w14:textId="77777777" w:rsidR="000623BB" w:rsidRPr="004B09CD" w:rsidRDefault="004B09CD" w:rsidP="00DE202F">
            <w:pPr>
              <w:pStyle w:val="Tabletext1"/>
              <w:spacing w:before="0"/>
              <w:rPr>
                <w:snapToGrid w:val="0"/>
                <w:color w:val="000000"/>
              </w:rPr>
            </w:pPr>
            <w:r>
              <w:rPr>
                <w:snapToGrid w:val="0"/>
                <w:color w:val="000000"/>
              </w:rPr>
              <w:t>2/48 (4.2</w:t>
            </w:r>
            <w:r w:rsidR="000623BB" w:rsidRPr="004B09CD">
              <w:rPr>
                <w:snapToGrid w:val="0"/>
                <w:color w:val="000000"/>
              </w:rPr>
              <w:t>)</w:t>
            </w:r>
          </w:p>
        </w:tc>
      </w:tr>
      <w:tr w:rsidR="004F479D" w:rsidRPr="0069748F" w14:paraId="7C6FBC6C" w14:textId="77777777" w:rsidTr="00BC0959">
        <w:tc>
          <w:tcPr>
            <w:tcW w:w="1264" w:type="pct"/>
            <w:tcBorders>
              <w:bottom w:val="single" w:sz="4" w:space="0" w:color="auto"/>
            </w:tcBorders>
            <w:shd w:val="clear" w:color="auto" w:fill="auto"/>
            <w:vAlign w:val="center"/>
          </w:tcPr>
          <w:p w14:paraId="3C1FC6B3" w14:textId="77777777" w:rsidR="000623BB" w:rsidRDefault="000623BB" w:rsidP="00DE202F">
            <w:pPr>
              <w:pStyle w:val="Tabletext1"/>
              <w:spacing w:before="0"/>
              <w:rPr>
                <w:color w:val="000000"/>
              </w:rPr>
            </w:pPr>
            <w:r>
              <w:rPr>
                <w:snapToGrid w:val="0"/>
                <w:color w:val="000000"/>
              </w:rPr>
              <w:t>Qi et al (2015)</w:t>
            </w:r>
          </w:p>
        </w:tc>
        <w:tc>
          <w:tcPr>
            <w:tcW w:w="963" w:type="pct"/>
            <w:tcBorders>
              <w:bottom w:val="single" w:sz="4" w:space="0" w:color="auto"/>
            </w:tcBorders>
            <w:shd w:val="clear" w:color="auto" w:fill="auto"/>
          </w:tcPr>
          <w:p w14:paraId="2A168D02"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3E2C403F" w14:textId="77777777" w:rsidR="000623BB" w:rsidRPr="0069748F" w:rsidRDefault="004B09CD" w:rsidP="00DE202F">
            <w:pPr>
              <w:pStyle w:val="Tabletext1"/>
              <w:spacing w:before="0"/>
              <w:rPr>
                <w:snapToGrid w:val="0"/>
                <w:color w:val="000000"/>
              </w:rPr>
            </w:pPr>
            <w:r>
              <w:rPr>
                <w:snapToGrid w:val="0"/>
                <w:color w:val="000000"/>
              </w:rPr>
              <w:t>2/17 (11.8</w:t>
            </w:r>
            <w:r w:rsidR="000623BB" w:rsidRPr="0069748F">
              <w:rPr>
                <w:snapToGrid w:val="0"/>
                <w:color w:val="000000"/>
              </w:rPr>
              <w:t>)</w:t>
            </w:r>
          </w:p>
        </w:tc>
        <w:tc>
          <w:tcPr>
            <w:tcW w:w="1628" w:type="pct"/>
            <w:tcBorders>
              <w:bottom w:val="single" w:sz="4" w:space="0" w:color="auto"/>
            </w:tcBorders>
            <w:shd w:val="clear" w:color="auto" w:fill="auto"/>
          </w:tcPr>
          <w:p w14:paraId="42A98568" w14:textId="77777777" w:rsidR="000623BB" w:rsidRPr="004565C0" w:rsidRDefault="000623BB" w:rsidP="00DE202F">
            <w:pPr>
              <w:pStyle w:val="Tabletext1"/>
              <w:spacing w:before="0"/>
              <w:rPr>
                <w:snapToGrid w:val="0"/>
                <w:color w:val="000000"/>
              </w:rPr>
            </w:pPr>
            <w:r w:rsidRPr="004565C0">
              <w:rPr>
                <w:snapToGrid w:val="0"/>
                <w:color w:val="000000"/>
              </w:rPr>
              <w:t>0</w:t>
            </w:r>
            <w:r>
              <w:rPr>
                <w:snapToGrid w:val="0"/>
                <w:color w:val="000000"/>
              </w:rPr>
              <w:t>/17 (0)</w:t>
            </w:r>
          </w:p>
        </w:tc>
      </w:tr>
      <w:tr w:rsidR="004F479D" w:rsidRPr="0069748F" w14:paraId="1D9209DA" w14:textId="77777777" w:rsidTr="00BC0959">
        <w:tc>
          <w:tcPr>
            <w:tcW w:w="1264" w:type="pct"/>
            <w:tcBorders>
              <w:bottom w:val="single" w:sz="4" w:space="0" w:color="auto"/>
            </w:tcBorders>
            <w:shd w:val="clear" w:color="auto" w:fill="auto"/>
            <w:vAlign w:val="center"/>
          </w:tcPr>
          <w:p w14:paraId="659C6CAD" w14:textId="77777777" w:rsidR="000623BB" w:rsidRDefault="000623BB" w:rsidP="00DE202F">
            <w:pPr>
              <w:pStyle w:val="Tabletext1"/>
              <w:spacing w:before="0"/>
              <w:rPr>
                <w:color w:val="000000"/>
              </w:rPr>
            </w:pPr>
            <w:r>
              <w:rPr>
                <w:snapToGrid w:val="0"/>
                <w:color w:val="000000"/>
              </w:rPr>
              <w:t>Song et al (2014)</w:t>
            </w:r>
          </w:p>
        </w:tc>
        <w:tc>
          <w:tcPr>
            <w:tcW w:w="963" w:type="pct"/>
            <w:tcBorders>
              <w:bottom w:val="single" w:sz="4" w:space="0" w:color="auto"/>
            </w:tcBorders>
            <w:shd w:val="clear" w:color="auto" w:fill="auto"/>
          </w:tcPr>
          <w:p w14:paraId="3D0202FD"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11396B18" w14:textId="77777777" w:rsidR="000623BB" w:rsidRPr="0069748F" w:rsidRDefault="000623BB" w:rsidP="00DE202F">
            <w:pPr>
              <w:pStyle w:val="Tabletext1"/>
              <w:spacing w:before="0"/>
              <w:rPr>
                <w:snapToGrid w:val="0"/>
                <w:color w:val="000000"/>
              </w:rPr>
            </w:pPr>
            <w:r w:rsidRPr="0069748F">
              <w:rPr>
                <w:snapToGrid w:val="0"/>
                <w:color w:val="000000"/>
              </w:rPr>
              <w:t>5</w:t>
            </w:r>
            <w:r w:rsidR="004B09CD">
              <w:rPr>
                <w:snapToGrid w:val="0"/>
                <w:color w:val="000000"/>
              </w:rPr>
              <w:t>/29 (17.2</w:t>
            </w:r>
            <w:r w:rsidRPr="0069748F">
              <w:rPr>
                <w:snapToGrid w:val="0"/>
                <w:color w:val="000000"/>
              </w:rPr>
              <w:t>)</w:t>
            </w:r>
          </w:p>
        </w:tc>
        <w:tc>
          <w:tcPr>
            <w:tcW w:w="1628" w:type="pct"/>
            <w:tcBorders>
              <w:bottom w:val="single" w:sz="4" w:space="0" w:color="auto"/>
            </w:tcBorders>
            <w:shd w:val="clear" w:color="auto" w:fill="auto"/>
          </w:tcPr>
          <w:p w14:paraId="62CE409F" w14:textId="77777777" w:rsidR="000623BB" w:rsidRPr="004565C0" w:rsidRDefault="000623BB" w:rsidP="00DE202F">
            <w:pPr>
              <w:pStyle w:val="Tabletext1"/>
              <w:spacing w:before="0"/>
              <w:rPr>
                <w:snapToGrid w:val="0"/>
                <w:color w:val="000000"/>
              </w:rPr>
            </w:pPr>
            <w:r w:rsidRPr="004565C0">
              <w:rPr>
                <w:snapToGrid w:val="0"/>
                <w:color w:val="000000"/>
              </w:rPr>
              <w:t>1</w:t>
            </w:r>
            <w:r>
              <w:rPr>
                <w:snapToGrid w:val="0"/>
                <w:color w:val="000000"/>
              </w:rPr>
              <w:t>/29 (3</w:t>
            </w:r>
            <w:r w:rsidR="004B09CD">
              <w:rPr>
                <w:snapToGrid w:val="0"/>
                <w:color w:val="000000"/>
              </w:rPr>
              <w:t>.4</w:t>
            </w:r>
            <w:r>
              <w:rPr>
                <w:snapToGrid w:val="0"/>
                <w:color w:val="000000"/>
              </w:rPr>
              <w:t>)</w:t>
            </w:r>
          </w:p>
        </w:tc>
      </w:tr>
      <w:tr w:rsidR="004F479D" w:rsidRPr="0069748F" w14:paraId="1F396C2D" w14:textId="77777777" w:rsidTr="00BC0959">
        <w:tc>
          <w:tcPr>
            <w:tcW w:w="1264" w:type="pct"/>
            <w:tcBorders>
              <w:bottom w:val="single" w:sz="4" w:space="0" w:color="auto"/>
            </w:tcBorders>
            <w:shd w:val="clear" w:color="auto" w:fill="auto"/>
            <w:vAlign w:val="center"/>
          </w:tcPr>
          <w:p w14:paraId="0690ADDD" w14:textId="77777777" w:rsidR="000623BB" w:rsidRDefault="000623BB" w:rsidP="00DE202F">
            <w:pPr>
              <w:pStyle w:val="Tabletext1"/>
              <w:spacing w:before="0"/>
              <w:rPr>
                <w:color w:val="000000"/>
              </w:rPr>
            </w:pPr>
            <w:r>
              <w:rPr>
                <w:snapToGrid w:val="0"/>
                <w:color w:val="000000"/>
              </w:rPr>
              <w:t>Splatt &amp; Steinke (2015)</w:t>
            </w:r>
          </w:p>
        </w:tc>
        <w:tc>
          <w:tcPr>
            <w:tcW w:w="963" w:type="pct"/>
            <w:tcBorders>
              <w:bottom w:val="single" w:sz="4" w:space="0" w:color="auto"/>
            </w:tcBorders>
            <w:shd w:val="clear" w:color="auto" w:fill="auto"/>
          </w:tcPr>
          <w:p w14:paraId="776ABD91"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54F74C0D" w14:textId="77777777" w:rsidR="000623BB" w:rsidRPr="0069748F" w:rsidRDefault="004B09CD" w:rsidP="00DE202F">
            <w:pPr>
              <w:pStyle w:val="Tabletext1"/>
              <w:spacing w:before="0"/>
              <w:rPr>
                <w:snapToGrid w:val="0"/>
                <w:color w:val="000000"/>
              </w:rPr>
            </w:pPr>
            <w:r w:rsidRPr="004565C0">
              <w:rPr>
                <w:snapToGrid w:val="0"/>
                <w:color w:val="000000"/>
              </w:rPr>
              <w:t>9</w:t>
            </w:r>
            <w:r w:rsidR="004302B6">
              <w:rPr>
                <w:snapToGrid w:val="0"/>
                <w:color w:val="000000"/>
              </w:rPr>
              <w:t>/70 (12.9)</w:t>
            </w:r>
            <w:r w:rsidR="004302B6" w:rsidRPr="004302B6">
              <w:rPr>
                <w:snapToGrid w:val="0"/>
                <w:color w:val="000000"/>
                <w:vertAlign w:val="superscript"/>
              </w:rPr>
              <w:t>c</w:t>
            </w:r>
          </w:p>
        </w:tc>
        <w:tc>
          <w:tcPr>
            <w:tcW w:w="1628" w:type="pct"/>
            <w:tcBorders>
              <w:bottom w:val="single" w:sz="4" w:space="0" w:color="auto"/>
            </w:tcBorders>
            <w:shd w:val="clear" w:color="auto" w:fill="auto"/>
          </w:tcPr>
          <w:p w14:paraId="2E2D699D" w14:textId="77777777" w:rsidR="000623BB" w:rsidRPr="004565C0" w:rsidRDefault="000623BB" w:rsidP="00DE202F">
            <w:pPr>
              <w:pStyle w:val="Tabletext1"/>
              <w:spacing w:before="0"/>
              <w:rPr>
                <w:snapToGrid w:val="0"/>
                <w:color w:val="000000"/>
              </w:rPr>
            </w:pPr>
            <w:r w:rsidRPr="004565C0">
              <w:rPr>
                <w:snapToGrid w:val="0"/>
                <w:color w:val="000000"/>
              </w:rPr>
              <w:t>9</w:t>
            </w:r>
            <w:r>
              <w:rPr>
                <w:snapToGrid w:val="0"/>
                <w:color w:val="000000"/>
              </w:rPr>
              <w:t>/70 (12.9)</w:t>
            </w:r>
          </w:p>
        </w:tc>
      </w:tr>
      <w:tr w:rsidR="004F479D" w:rsidRPr="0069748F" w14:paraId="3DB69441" w14:textId="77777777" w:rsidTr="00BC0959">
        <w:tc>
          <w:tcPr>
            <w:tcW w:w="1264" w:type="pct"/>
            <w:tcBorders>
              <w:bottom w:val="single" w:sz="4" w:space="0" w:color="auto"/>
            </w:tcBorders>
            <w:shd w:val="clear" w:color="auto" w:fill="auto"/>
            <w:vAlign w:val="center"/>
          </w:tcPr>
          <w:p w14:paraId="78F7C067" w14:textId="77777777" w:rsidR="000623BB" w:rsidRDefault="000623BB" w:rsidP="00DE202F">
            <w:pPr>
              <w:pStyle w:val="Tabletext1"/>
              <w:spacing w:before="0"/>
              <w:rPr>
                <w:color w:val="000000"/>
              </w:rPr>
            </w:pPr>
            <w:r>
              <w:rPr>
                <w:snapToGrid w:val="0"/>
                <w:color w:val="000000"/>
              </w:rPr>
              <w:t>Sun et al (2015)</w:t>
            </w:r>
          </w:p>
        </w:tc>
        <w:tc>
          <w:tcPr>
            <w:tcW w:w="963" w:type="pct"/>
            <w:tcBorders>
              <w:bottom w:val="single" w:sz="4" w:space="0" w:color="auto"/>
            </w:tcBorders>
            <w:shd w:val="clear" w:color="auto" w:fill="auto"/>
          </w:tcPr>
          <w:p w14:paraId="539D2940" w14:textId="77777777" w:rsidR="000623BB" w:rsidRPr="0069748F" w:rsidRDefault="000623BB" w:rsidP="00DE202F">
            <w:pPr>
              <w:pStyle w:val="Tabletext1"/>
              <w:spacing w:before="0"/>
              <w:rPr>
                <w:snapToGrid w:val="0"/>
              </w:rPr>
            </w:pPr>
            <w:r>
              <w:rPr>
                <w:snapToGrid w:val="0"/>
              </w:rPr>
              <w:t>III-2</w:t>
            </w:r>
          </w:p>
        </w:tc>
        <w:tc>
          <w:tcPr>
            <w:tcW w:w="1145" w:type="pct"/>
            <w:tcBorders>
              <w:bottom w:val="single" w:sz="4" w:space="0" w:color="auto"/>
            </w:tcBorders>
            <w:shd w:val="clear" w:color="auto" w:fill="auto"/>
          </w:tcPr>
          <w:p w14:paraId="4F446393" w14:textId="77777777" w:rsidR="000623BB" w:rsidRPr="0069748F" w:rsidRDefault="000623BB" w:rsidP="00DE202F">
            <w:pPr>
              <w:pStyle w:val="Tabletext1"/>
              <w:spacing w:before="0"/>
              <w:rPr>
                <w:snapToGrid w:val="0"/>
                <w:color w:val="000000"/>
              </w:rPr>
            </w:pPr>
            <w:r w:rsidRPr="0069748F">
              <w:rPr>
                <w:snapToGrid w:val="0"/>
                <w:color w:val="000000"/>
              </w:rPr>
              <w:t>13/40 (32.5)</w:t>
            </w:r>
          </w:p>
        </w:tc>
        <w:tc>
          <w:tcPr>
            <w:tcW w:w="1628" w:type="pct"/>
            <w:tcBorders>
              <w:bottom w:val="single" w:sz="4" w:space="0" w:color="auto"/>
            </w:tcBorders>
            <w:shd w:val="clear" w:color="auto" w:fill="auto"/>
          </w:tcPr>
          <w:p w14:paraId="0DACEAC1" w14:textId="77777777" w:rsidR="000623BB" w:rsidRPr="004565C0" w:rsidRDefault="000623BB" w:rsidP="00DE202F">
            <w:pPr>
              <w:pStyle w:val="Tabletext1"/>
              <w:spacing w:before="0"/>
              <w:rPr>
                <w:snapToGrid w:val="0"/>
                <w:color w:val="000000"/>
              </w:rPr>
            </w:pPr>
            <w:r w:rsidRPr="004565C0">
              <w:rPr>
                <w:snapToGrid w:val="0"/>
                <w:color w:val="000000"/>
              </w:rPr>
              <w:t>4</w:t>
            </w:r>
            <w:r>
              <w:rPr>
                <w:snapToGrid w:val="0"/>
                <w:color w:val="000000"/>
              </w:rPr>
              <w:t>/40 (10</w:t>
            </w:r>
            <w:r w:rsidR="004B09CD">
              <w:rPr>
                <w:snapToGrid w:val="0"/>
                <w:color w:val="000000"/>
              </w:rPr>
              <w:t>.0</w:t>
            </w:r>
            <w:r>
              <w:rPr>
                <w:snapToGrid w:val="0"/>
                <w:color w:val="000000"/>
              </w:rPr>
              <w:t>)</w:t>
            </w:r>
          </w:p>
        </w:tc>
      </w:tr>
      <w:tr w:rsidR="004F479D" w:rsidRPr="0069748F" w14:paraId="2257D431" w14:textId="77777777" w:rsidTr="00BC0959">
        <w:tc>
          <w:tcPr>
            <w:tcW w:w="1264" w:type="pct"/>
            <w:tcBorders>
              <w:bottom w:val="single" w:sz="4" w:space="0" w:color="auto"/>
            </w:tcBorders>
            <w:shd w:val="clear" w:color="auto" w:fill="auto"/>
            <w:vAlign w:val="center"/>
          </w:tcPr>
          <w:p w14:paraId="2585B848" w14:textId="77777777" w:rsidR="000623BB" w:rsidRDefault="000623BB" w:rsidP="00DE202F">
            <w:pPr>
              <w:pStyle w:val="Tabletext1"/>
              <w:spacing w:before="0"/>
              <w:rPr>
                <w:color w:val="000000"/>
              </w:rPr>
            </w:pPr>
            <w:r>
              <w:rPr>
                <w:snapToGrid w:val="0"/>
                <w:color w:val="000000"/>
              </w:rPr>
              <w:t>Vogl et al (2015)</w:t>
            </w:r>
          </w:p>
        </w:tc>
        <w:tc>
          <w:tcPr>
            <w:tcW w:w="963" w:type="pct"/>
            <w:tcBorders>
              <w:bottom w:val="single" w:sz="4" w:space="0" w:color="auto"/>
            </w:tcBorders>
            <w:shd w:val="clear" w:color="auto" w:fill="auto"/>
          </w:tcPr>
          <w:p w14:paraId="15FB6BF7"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696992FB" w14:textId="77777777" w:rsidR="000623BB" w:rsidRPr="0069748F" w:rsidRDefault="004B09CD" w:rsidP="00DE202F">
            <w:pPr>
              <w:pStyle w:val="Tabletext1"/>
              <w:spacing w:before="0"/>
              <w:rPr>
                <w:snapToGrid w:val="0"/>
                <w:color w:val="000000"/>
              </w:rPr>
            </w:pPr>
            <w:r>
              <w:rPr>
                <w:snapToGrid w:val="0"/>
                <w:color w:val="000000"/>
              </w:rPr>
              <w:t>11/30 (36.7</w:t>
            </w:r>
            <w:r w:rsidR="000623BB" w:rsidRPr="0069748F">
              <w:rPr>
                <w:snapToGrid w:val="0"/>
                <w:color w:val="000000"/>
              </w:rPr>
              <w:t xml:space="preserve">) </w:t>
            </w:r>
          </w:p>
        </w:tc>
        <w:tc>
          <w:tcPr>
            <w:tcW w:w="1628" w:type="pct"/>
            <w:tcBorders>
              <w:bottom w:val="single" w:sz="4" w:space="0" w:color="auto"/>
            </w:tcBorders>
            <w:shd w:val="clear" w:color="auto" w:fill="auto"/>
          </w:tcPr>
          <w:p w14:paraId="1238A67D" w14:textId="77777777" w:rsidR="000623BB" w:rsidRPr="004565C0" w:rsidRDefault="000623BB" w:rsidP="00DE202F">
            <w:pPr>
              <w:pStyle w:val="Tabletext1"/>
              <w:spacing w:before="0"/>
              <w:rPr>
                <w:snapToGrid w:val="0"/>
                <w:color w:val="000000"/>
              </w:rPr>
            </w:pPr>
            <w:r w:rsidRPr="004565C0">
              <w:rPr>
                <w:snapToGrid w:val="0"/>
                <w:color w:val="000000"/>
              </w:rPr>
              <w:t>5</w:t>
            </w:r>
            <w:r w:rsidR="004B09CD">
              <w:rPr>
                <w:snapToGrid w:val="0"/>
                <w:color w:val="000000"/>
              </w:rPr>
              <w:t>/30 (16.7</w:t>
            </w:r>
            <w:r>
              <w:rPr>
                <w:snapToGrid w:val="0"/>
                <w:color w:val="000000"/>
              </w:rPr>
              <w:t>)</w:t>
            </w:r>
          </w:p>
        </w:tc>
      </w:tr>
      <w:tr w:rsidR="004F479D" w:rsidRPr="0069748F" w14:paraId="10D1CF10" w14:textId="77777777" w:rsidTr="00BC0959">
        <w:tc>
          <w:tcPr>
            <w:tcW w:w="1264" w:type="pct"/>
            <w:tcBorders>
              <w:bottom w:val="single" w:sz="4" w:space="0" w:color="auto"/>
            </w:tcBorders>
            <w:shd w:val="clear" w:color="auto" w:fill="auto"/>
            <w:vAlign w:val="center"/>
          </w:tcPr>
          <w:p w14:paraId="1E7419EB" w14:textId="77777777" w:rsidR="000623BB" w:rsidRDefault="000623BB" w:rsidP="00DE202F">
            <w:pPr>
              <w:pStyle w:val="Tabletext1"/>
              <w:spacing w:before="0"/>
              <w:rPr>
                <w:color w:val="000000"/>
              </w:rPr>
            </w:pPr>
            <w:r>
              <w:rPr>
                <w:snapToGrid w:val="0"/>
                <w:color w:val="000000"/>
              </w:rPr>
              <w:t>Wei et al (2015)</w:t>
            </w:r>
          </w:p>
        </w:tc>
        <w:tc>
          <w:tcPr>
            <w:tcW w:w="963" w:type="pct"/>
            <w:tcBorders>
              <w:bottom w:val="single" w:sz="4" w:space="0" w:color="auto"/>
            </w:tcBorders>
            <w:shd w:val="clear" w:color="auto" w:fill="auto"/>
          </w:tcPr>
          <w:p w14:paraId="67131619" w14:textId="77777777" w:rsidR="000623BB" w:rsidRPr="0069748F" w:rsidRDefault="000623BB" w:rsidP="00DE202F">
            <w:pPr>
              <w:pStyle w:val="Tabletext1"/>
              <w:spacing w:before="0"/>
              <w:rPr>
                <w:snapToGrid w:val="0"/>
              </w:rPr>
            </w:pPr>
            <w:r>
              <w:rPr>
                <w:snapToGrid w:val="0"/>
              </w:rPr>
              <w:t>III-2</w:t>
            </w:r>
          </w:p>
        </w:tc>
        <w:tc>
          <w:tcPr>
            <w:tcW w:w="1145" w:type="pct"/>
            <w:tcBorders>
              <w:bottom w:val="single" w:sz="4" w:space="0" w:color="auto"/>
            </w:tcBorders>
            <w:shd w:val="clear" w:color="auto" w:fill="auto"/>
          </w:tcPr>
          <w:p w14:paraId="6243B318" w14:textId="77777777" w:rsidR="000623BB" w:rsidRPr="0069748F" w:rsidRDefault="000623BB" w:rsidP="00DE202F">
            <w:pPr>
              <w:pStyle w:val="Tabletext1"/>
              <w:spacing w:before="0"/>
              <w:rPr>
                <w:snapToGrid w:val="0"/>
                <w:color w:val="000000"/>
              </w:rPr>
            </w:pPr>
            <w:r w:rsidRPr="0069748F">
              <w:rPr>
                <w:snapToGrid w:val="0"/>
                <w:color w:val="000000"/>
              </w:rPr>
              <w:t>18/46 (39.1)</w:t>
            </w:r>
          </w:p>
        </w:tc>
        <w:tc>
          <w:tcPr>
            <w:tcW w:w="1628" w:type="pct"/>
            <w:tcBorders>
              <w:bottom w:val="single" w:sz="4" w:space="0" w:color="auto"/>
            </w:tcBorders>
            <w:shd w:val="clear" w:color="auto" w:fill="auto"/>
          </w:tcPr>
          <w:p w14:paraId="5A3A7CC7" w14:textId="77777777" w:rsidR="000623BB" w:rsidRPr="004565C0" w:rsidRDefault="000623BB" w:rsidP="00DE202F">
            <w:pPr>
              <w:pStyle w:val="Tabletext1"/>
              <w:spacing w:before="0"/>
              <w:rPr>
                <w:snapToGrid w:val="0"/>
                <w:color w:val="000000"/>
              </w:rPr>
            </w:pPr>
            <w:r w:rsidRPr="004565C0">
              <w:rPr>
                <w:snapToGrid w:val="0"/>
                <w:color w:val="000000"/>
              </w:rPr>
              <w:t>3</w:t>
            </w:r>
            <w:r w:rsidR="004B09CD">
              <w:rPr>
                <w:snapToGrid w:val="0"/>
                <w:color w:val="000000"/>
              </w:rPr>
              <w:t>/46 (6.5</w:t>
            </w:r>
            <w:r>
              <w:rPr>
                <w:snapToGrid w:val="0"/>
                <w:color w:val="000000"/>
              </w:rPr>
              <w:t>)</w:t>
            </w:r>
          </w:p>
        </w:tc>
      </w:tr>
      <w:tr w:rsidR="004F479D" w:rsidRPr="0069748F" w14:paraId="46145DDA" w14:textId="77777777" w:rsidTr="00BC0959">
        <w:tc>
          <w:tcPr>
            <w:tcW w:w="1264" w:type="pct"/>
            <w:tcBorders>
              <w:bottom w:val="single" w:sz="4" w:space="0" w:color="auto"/>
            </w:tcBorders>
            <w:shd w:val="clear" w:color="auto" w:fill="auto"/>
            <w:vAlign w:val="center"/>
          </w:tcPr>
          <w:p w14:paraId="5C015A73" w14:textId="77777777" w:rsidR="000623BB" w:rsidRDefault="000623BB" w:rsidP="00DE202F">
            <w:pPr>
              <w:pStyle w:val="Tabletext1"/>
              <w:spacing w:before="0"/>
              <w:rPr>
                <w:color w:val="000000"/>
              </w:rPr>
            </w:pPr>
            <w:r>
              <w:rPr>
                <w:snapToGrid w:val="0"/>
                <w:color w:val="000000"/>
              </w:rPr>
              <w:t>Wolf et al (2006)</w:t>
            </w:r>
          </w:p>
        </w:tc>
        <w:tc>
          <w:tcPr>
            <w:tcW w:w="963" w:type="pct"/>
            <w:tcBorders>
              <w:bottom w:val="single" w:sz="4" w:space="0" w:color="auto"/>
            </w:tcBorders>
            <w:shd w:val="clear" w:color="auto" w:fill="auto"/>
          </w:tcPr>
          <w:p w14:paraId="3AF7CC1D"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4F5E424F" w14:textId="77777777" w:rsidR="000623BB" w:rsidRPr="0069748F" w:rsidRDefault="000623BB" w:rsidP="00DE202F">
            <w:pPr>
              <w:pStyle w:val="Tabletext1"/>
              <w:spacing w:before="0"/>
              <w:rPr>
                <w:snapToGrid w:val="0"/>
                <w:color w:val="000000"/>
              </w:rPr>
            </w:pPr>
            <w:r w:rsidRPr="0069748F">
              <w:rPr>
                <w:snapToGrid w:val="0"/>
                <w:color w:val="000000"/>
              </w:rPr>
              <w:t>26/66 (39</w:t>
            </w:r>
            <w:r w:rsidR="004B09CD">
              <w:rPr>
                <w:snapToGrid w:val="0"/>
                <w:color w:val="000000"/>
              </w:rPr>
              <w:t>.1</w:t>
            </w:r>
            <w:r w:rsidRPr="0069748F">
              <w:rPr>
                <w:snapToGrid w:val="0"/>
                <w:color w:val="000000"/>
              </w:rPr>
              <w:t xml:space="preserve">) </w:t>
            </w:r>
          </w:p>
        </w:tc>
        <w:tc>
          <w:tcPr>
            <w:tcW w:w="1628" w:type="pct"/>
            <w:tcBorders>
              <w:bottom w:val="single" w:sz="4" w:space="0" w:color="auto"/>
            </w:tcBorders>
            <w:shd w:val="clear" w:color="auto" w:fill="auto"/>
          </w:tcPr>
          <w:p w14:paraId="6E22BF5E" w14:textId="77777777" w:rsidR="000623BB" w:rsidRPr="004565C0" w:rsidRDefault="000623BB" w:rsidP="00DE202F">
            <w:pPr>
              <w:pStyle w:val="Tabletext1"/>
              <w:spacing w:before="0"/>
              <w:rPr>
                <w:snapToGrid w:val="0"/>
                <w:color w:val="000000"/>
              </w:rPr>
            </w:pPr>
            <w:r w:rsidRPr="004565C0">
              <w:rPr>
                <w:snapToGrid w:val="0"/>
                <w:color w:val="000000"/>
              </w:rPr>
              <w:t>8</w:t>
            </w:r>
            <w:r>
              <w:rPr>
                <w:snapToGrid w:val="0"/>
                <w:color w:val="000000"/>
              </w:rPr>
              <w:t>/66 (12</w:t>
            </w:r>
            <w:r w:rsidR="004B09CD">
              <w:rPr>
                <w:snapToGrid w:val="0"/>
                <w:color w:val="000000"/>
              </w:rPr>
              <w:t>.1</w:t>
            </w:r>
            <w:r>
              <w:rPr>
                <w:snapToGrid w:val="0"/>
                <w:color w:val="000000"/>
              </w:rPr>
              <w:t>)</w:t>
            </w:r>
          </w:p>
        </w:tc>
      </w:tr>
      <w:tr w:rsidR="004F479D" w:rsidRPr="0069748F" w14:paraId="52007AA9" w14:textId="77777777" w:rsidTr="00BC0959">
        <w:tc>
          <w:tcPr>
            <w:tcW w:w="1264" w:type="pct"/>
            <w:tcBorders>
              <w:bottom w:val="single" w:sz="4" w:space="0" w:color="auto"/>
            </w:tcBorders>
            <w:shd w:val="clear" w:color="auto" w:fill="auto"/>
            <w:vAlign w:val="center"/>
          </w:tcPr>
          <w:p w14:paraId="166152D5" w14:textId="77777777" w:rsidR="000623BB" w:rsidRDefault="000623BB" w:rsidP="00DE202F">
            <w:pPr>
              <w:pStyle w:val="Tabletext1"/>
              <w:spacing w:before="0"/>
              <w:rPr>
                <w:color w:val="000000"/>
              </w:rPr>
            </w:pPr>
            <w:r>
              <w:rPr>
                <w:snapToGrid w:val="0"/>
                <w:color w:val="000000"/>
              </w:rPr>
              <w:t>Yang et al (2014)</w:t>
            </w:r>
          </w:p>
        </w:tc>
        <w:tc>
          <w:tcPr>
            <w:tcW w:w="963" w:type="pct"/>
            <w:tcBorders>
              <w:bottom w:val="single" w:sz="4" w:space="0" w:color="auto"/>
            </w:tcBorders>
            <w:shd w:val="clear" w:color="auto" w:fill="auto"/>
          </w:tcPr>
          <w:p w14:paraId="2EB378AA"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3628EFF2" w14:textId="77777777" w:rsidR="000623BB" w:rsidRPr="0069748F" w:rsidRDefault="000623BB" w:rsidP="00DE202F">
            <w:pPr>
              <w:pStyle w:val="Tabletext1"/>
              <w:spacing w:before="0"/>
              <w:rPr>
                <w:snapToGrid w:val="0"/>
                <w:color w:val="000000"/>
              </w:rPr>
            </w:pPr>
            <w:r w:rsidRPr="0069748F">
              <w:rPr>
                <w:snapToGrid w:val="0"/>
                <w:color w:val="000000"/>
              </w:rPr>
              <w:t>30/47 (63.8)</w:t>
            </w:r>
          </w:p>
        </w:tc>
        <w:tc>
          <w:tcPr>
            <w:tcW w:w="1628" w:type="pct"/>
            <w:tcBorders>
              <w:bottom w:val="single" w:sz="4" w:space="0" w:color="auto"/>
            </w:tcBorders>
            <w:shd w:val="clear" w:color="auto" w:fill="auto"/>
          </w:tcPr>
          <w:p w14:paraId="5B89D6C0" w14:textId="77777777" w:rsidR="000623BB" w:rsidRPr="004565C0" w:rsidRDefault="000623BB" w:rsidP="00DE202F">
            <w:pPr>
              <w:pStyle w:val="Tabletext1"/>
              <w:spacing w:before="0"/>
              <w:rPr>
                <w:snapToGrid w:val="0"/>
                <w:color w:val="000000"/>
              </w:rPr>
            </w:pPr>
            <w:r w:rsidRPr="004565C0">
              <w:rPr>
                <w:snapToGrid w:val="0"/>
                <w:color w:val="000000"/>
              </w:rPr>
              <w:t>5</w:t>
            </w:r>
            <w:r w:rsidR="004B09CD">
              <w:rPr>
                <w:snapToGrid w:val="0"/>
                <w:color w:val="000000"/>
              </w:rPr>
              <w:t>/47 (10.6</w:t>
            </w:r>
            <w:r>
              <w:rPr>
                <w:snapToGrid w:val="0"/>
                <w:color w:val="000000"/>
              </w:rPr>
              <w:t>)</w:t>
            </w:r>
          </w:p>
        </w:tc>
      </w:tr>
      <w:tr w:rsidR="004F479D" w:rsidRPr="0069748F" w14:paraId="29534F64" w14:textId="77777777" w:rsidTr="00BC0959">
        <w:tc>
          <w:tcPr>
            <w:tcW w:w="1264" w:type="pct"/>
            <w:tcBorders>
              <w:bottom w:val="single" w:sz="4" w:space="0" w:color="auto"/>
            </w:tcBorders>
            <w:shd w:val="clear" w:color="auto" w:fill="auto"/>
            <w:vAlign w:val="center"/>
          </w:tcPr>
          <w:p w14:paraId="776E8959" w14:textId="77777777" w:rsidR="000623BB" w:rsidRDefault="000623BB" w:rsidP="00DE202F">
            <w:pPr>
              <w:pStyle w:val="Tabletext1"/>
              <w:spacing w:before="0"/>
              <w:rPr>
                <w:color w:val="000000"/>
              </w:rPr>
            </w:pPr>
            <w:r>
              <w:rPr>
                <w:snapToGrid w:val="0"/>
                <w:color w:val="000000"/>
              </w:rPr>
              <w:t>Yang et al (2015)</w:t>
            </w:r>
          </w:p>
        </w:tc>
        <w:tc>
          <w:tcPr>
            <w:tcW w:w="963" w:type="pct"/>
            <w:tcBorders>
              <w:bottom w:val="single" w:sz="4" w:space="0" w:color="auto"/>
            </w:tcBorders>
            <w:shd w:val="clear" w:color="auto" w:fill="auto"/>
          </w:tcPr>
          <w:p w14:paraId="66980102" w14:textId="77777777" w:rsidR="000623BB" w:rsidRPr="0069748F" w:rsidRDefault="000623BB" w:rsidP="00DE202F">
            <w:pPr>
              <w:pStyle w:val="Tabletext1"/>
              <w:spacing w:before="0"/>
              <w:rPr>
                <w:snapToGrid w:val="0"/>
              </w:rPr>
            </w:pPr>
            <w:r>
              <w:rPr>
                <w:snapToGrid w:val="0"/>
              </w:rPr>
              <w:t>IV</w:t>
            </w:r>
          </w:p>
        </w:tc>
        <w:tc>
          <w:tcPr>
            <w:tcW w:w="1145" w:type="pct"/>
            <w:tcBorders>
              <w:bottom w:val="single" w:sz="4" w:space="0" w:color="auto"/>
            </w:tcBorders>
            <w:shd w:val="clear" w:color="auto" w:fill="auto"/>
          </w:tcPr>
          <w:p w14:paraId="706B964C" w14:textId="77777777" w:rsidR="000623BB" w:rsidRPr="0069748F" w:rsidRDefault="000623BB" w:rsidP="00DE202F">
            <w:pPr>
              <w:pStyle w:val="Tabletext1"/>
              <w:spacing w:before="0"/>
              <w:rPr>
                <w:snapToGrid w:val="0"/>
                <w:color w:val="000000"/>
              </w:rPr>
            </w:pPr>
            <w:r w:rsidRPr="0069748F">
              <w:rPr>
                <w:snapToGrid w:val="0"/>
                <w:color w:val="000000"/>
              </w:rPr>
              <w:t>18/36 (50</w:t>
            </w:r>
            <w:r w:rsidR="004B09CD">
              <w:rPr>
                <w:snapToGrid w:val="0"/>
                <w:color w:val="000000"/>
              </w:rPr>
              <w:t>.0</w:t>
            </w:r>
            <w:r w:rsidRPr="0069748F">
              <w:rPr>
                <w:snapToGrid w:val="0"/>
                <w:color w:val="000000"/>
              </w:rPr>
              <w:t>)</w:t>
            </w:r>
          </w:p>
        </w:tc>
        <w:tc>
          <w:tcPr>
            <w:tcW w:w="1628" w:type="pct"/>
            <w:tcBorders>
              <w:bottom w:val="single" w:sz="4" w:space="0" w:color="auto"/>
            </w:tcBorders>
            <w:shd w:val="clear" w:color="auto" w:fill="auto"/>
          </w:tcPr>
          <w:p w14:paraId="6A71C304" w14:textId="77777777" w:rsidR="000623BB" w:rsidRPr="004565C0" w:rsidRDefault="000623BB" w:rsidP="00DE202F">
            <w:pPr>
              <w:pStyle w:val="Tabletext1"/>
              <w:spacing w:before="0"/>
              <w:rPr>
                <w:snapToGrid w:val="0"/>
                <w:color w:val="000000"/>
              </w:rPr>
            </w:pPr>
            <w:r w:rsidRPr="004565C0">
              <w:rPr>
                <w:snapToGrid w:val="0"/>
                <w:color w:val="000000"/>
              </w:rPr>
              <w:t>10</w:t>
            </w:r>
            <w:r w:rsidR="004B09CD">
              <w:rPr>
                <w:snapToGrid w:val="0"/>
                <w:color w:val="000000"/>
              </w:rPr>
              <w:t>/36 (27.8</w:t>
            </w:r>
            <w:r>
              <w:rPr>
                <w:snapToGrid w:val="0"/>
                <w:color w:val="000000"/>
              </w:rPr>
              <w:t>)</w:t>
            </w:r>
          </w:p>
        </w:tc>
      </w:tr>
      <w:tr w:rsidR="004F479D" w:rsidRPr="0069748F" w14:paraId="7D73DFD6" w14:textId="77777777" w:rsidTr="00BC0959">
        <w:tc>
          <w:tcPr>
            <w:tcW w:w="1264" w:type="pct"/>
            <w:tcBorders>
              <w:bottom w:val="single" w:sz="4" w:space="0" w:color="auto"/>
            </w:tcBorders>
            <w:shd w:val="clear" w:color="auto" w:fill="auto"/>
            <w:vAlign w:val="center"/>
          </w:tcPr>
          <w:p w14:paraId="7C19681F" w14:textId="77777777" w:rsidR="000623BB" w:rsidRPr="004B09CD" w:rsidRDefault="000623BB" w:rsidP="00DE202F">
            <w:pPr>
              <w:pStyle w:val="Tabletext1"/>
              <w:spacing w:before="0"/>
              <w:rPr>
                <w:color w:val="000000"/>
              </w:rPr>
            </w:pPr>
            <w:r w:rsidRPr="004B09CD">
              <w:rPr>
                <w:snapToGrid w:val="0"/>
                <w:color w:val="000000"/>
              </w:rPr>
              <w:t>Zheng et al (2014)</w:t>
            </w:r>
          </w:p>
        </w:tc>
        <w:tc>
          <w:tcPr>
            <w:tcW w:w="963" w:type="pct"/>
            <w:tcBorders>
              <w:bottom w:val="single" w:sz="4" w:space="0" w:color="auto"/>
            </w:tcBorders>
            <w:shd w:val="clear" w:color="auto" w:fill="auto"/>
          </w:tcPr>
          <w:p w14:paraId="75BC6153" w14:textId="77777777" w:rsidR="000623BB" w:rsidRPr="004B09CD" w:rsidRDefault="000623BB" w:rsidP="00DE202F">
            <w:pPr>
              <w:pStyle w:val="Tabletext1"/>
              <w:spacing w:before="0"/>
              <w:rPr>
                <w:snapToGrid w:val="0"/>
              </w:rPr>
            </w:pPr>
            <w:r w:rsidRPr="004B09CD">
              <w:rPr>
                <w:snapToGrid w:val="0"/>
              </w:rPr>
              <w:t>IV</w:t>
            </w:r>
          </w:p>
        </w:tc>
        <w:tc>
          <w:tcPr>
            <w:tcW w:w="1145" w:type="pct"/>
            <w:tcBorders>
              <w:bottom w:val="single" w:sz="4" w:space="0" w:color="auto"/>
            </w:tcBorders>
            <w:shd w:val="clear" w:color="auto" w:fill="auto"/>
          </w:tcPr>
          <w:p w14:paraId="56EE94ED" w14:textId="77777777" w:rsidR="000623BB" w:rsidRPr="004B09CD" w:rsidRDefault="004B09CD" w:rsidP="00DE202F">
            <w:pPr>
              <w:pStyle w:val="Tabletext1"/>
              <w:spacing w:before="0"/>
              <w:rPr>
                <w:snapToGrid w:val="0"/>
                <w:color w:val="000000"/>
              </w:rPr>
            </w:pPr>
            <w:r w:rsidRPr="004B09CD">
              <w:rPr>
                <w:snapToGrid w:val="0"/>
                <w:color w:val="000000"/>
              </w:rPr>
              <w:t>32/204 (15.7)</w:t>
            </w:r>
            <w:r w:rsidR="004302B6" w:rsidRPr="004302B6">
              <w:rPr>
                <w:snapToGrid w:val="0"/>
                <w:color w:val="000000"/>
                <w:vertAlign w:val="superscript"/>
              </w:rPr>
              <w:t>c</w:t>
            </w:r>
          </w:p>
        </w:tc>
        <w:tc>
          <w:tcPr>
            <w:tcW w:w="1628" w:type="pct"/>
            <w:tcBorders>
              <w:bottom w:val="single" w:sz="4" w:space="0" w:color="auto"/>
            </w:tcBorders>
            <w:shd w:val="clear" w:color="auto" w:fill="auto"/>
          </w:tcPr>
          <w:p w14:paraId="19D437F8" w14:textId="77777777" w:rsidR="000623BB" w:rsidRPr="004B09CD" w:rsidRDefault="000623BB" w:rsidP="00DE202F">
            <w:pPr>
              <w:pStyle w:val="Tabletext1"/>
              <w:spacing w:before="0"/>
              <w:rPr>
                <w:snapToGrid w:val="0"/>
                <w:color w:val="000000"/>
              </w:rPr>
            </w:pPr>
            <w:r w:rsidRPr="004B09CD">
              <w:rPr>
                <w:snapToGrid w:val="0"/>
                <w:color w:val="000000"/>
              </w:rPr>
              <w:t>32/204 (15.7)</w:t>
            </w:r>
          </w:p>
        </w:tc>
      </w:tr>
      <w:tr w:rsidR="004F479D" w:rsidRPr="0069748F" w14:paraId="5763EB00" w14:textId="77777777" w:rsidTr="00BC0959">
        <w:tc>
          <w:tcPr>
            <w:tcW w:w="1264" w:type="pct"/>
            <w:tcBorders>
              <w:bottom w:val="single" w:sz="4" w:space="0" w:color="auto"/>
            </w:tcBorders>
            <w:shd w:val="clear" w:color="auto" w:fill="auto"/>
            <w:vAlign w:val="center"/>
          </w:tcPr>
          <w:p w14:paraId="615EFE2A" w14:textId="77777777" w:rsidR="000623BB" w:rsidRPr="003312E7" w:rsidRDefault="000623BB" w:rsidP="00DE202F">
            <w:pPr>
              <w:pStyle w:val="Tabletext1"/>
              <w:spacing w:before="0"/>
              <w:rPr>
                <w:snapToGrid w:val="0"/>
              </w:rPr>
            </w:pPr>
            <w:r w:rsidRPr="003312E7">
              <w:rPr>
                <w:snapToGrid w:val="0"/>
              </w:rPr>
              <w:t>Pooled</w:t>
            </w:r>
            <w:r w:rsidR="007C6F8D" w:rsidRPr="003312E7">
              <w:rPr>
                <w:snapToGrid w:val="0"/>
              </w:rPr>
              <w:t xml:space="preserve"> n/N (%)</w:t>
            </w:r>
          </w:p>
          <w:p w14:paraId="144980FB" w14:textId="77777777" w:rsidR="007C6F8D" w:rsidRPr="003312E7" w:rsidRDefault="007C6F8D" w:rsidP="00DE202F">
            <w:pPr>
              <w:pStyle w:val="Tabletext1"/>
              <w:spacing w:before="0"/>
              <w:rPr>
                <w:snapToGrid w:val="0"/>
              </w:rPr>
            </w:pPr>
            <w:r w:rsidRPr="003312E7">
              <w:rPr>
                <w:snapToGrid w:val="0"/>
              </w:rPr>
              <w:t>Median % (range)</w:t>
            </w:r>
          </w:p>
        </w:tc>
        <w:tc>
          <w:tcPr>
            <w:tcW w:w="963" w:type="pct"/>
            <w:tcBorders>
              <w:bottom w:val="single" w:sz="4" w:space="0" w:color="auto"/>
            </w:tcBorders>
            <w:shd w:val="clear" w:color="auto" w:fill="auto"/>
          </w:tcPr>
          <w:p w14:paraId="62E5C9FD" w14:textId="77777777" w:rsidR="00172E96" w:rsidRPr="003312E7" w:rsidRDefault="00172E96" w:rsidP="00DE202F">
            <w:pPr>
              <w:pStyle w:val="Tabletext1"/>
              <w:spacing w:before="0"/>
              <w:rPr>
                <w:rFonts w:ascii="Cambria Math" w:hAnsi="Cambria Math" w:cs="Cambria Math"/>
                <w:color w:val="C00000"/>
              </w:rPr>
            </w:pPr>
            <w:r w:rsidRPr="003312E7">
              <w:rPr>
                <w:rFonts w:ascii="Cambria Math" w:hAnsi="Cambria Math"/>
                <w:color w:val="00B050"/>
              </w:rPr>
              <w:t>⨁</w:t>
            </w:r>
            <w:r w:rsidRPr="003312E7">
              <w:rPr>
                <w:rFonts w:ascii="Cambria Math" w:hAnsi="Cambria Math" w:cs="Cambria Math"/>
                <w:color w:val="C00000"/>
              </w:rPr>
              <w:t>⨀⨀⨀</w:t>
            </w:r>
          </w:p>
          <w:p w14:paraId="2482E094" w14:textId="77777777" w:rsidR="000623BB" w:rsidRPr="003312E7" w:rsidRDefault="00BD06D5" w:rsidP="00DE202F">
            <w:pPr>
              <w:pStyle w:val="Tabletext1"/>
              <w:spacing w:before="0"/>
              <w:rPr>
                <w:snapToGrid w:val="0"/>
              </w:rPr>
            </w:pPr>
            <w:r w:rsidRPr="003312E7">
              <w:rPr>
                <w:rStyle w:val="quality-sign"/>
                <w:rFonts w:eastAsia="MS Mincho" w:cs="MS Mincho"/>
                <w:b/>
                <w:sz w:val="21"/>
                <w:szCs w:val="21"/>
              </w:rPr>
              <w:t>VERY LOW</w:t>
            </w:r>
          </w:p>
        </w:tc>
        <w:tc>
          <w:tcPr>
            <w:tcW w:w="1145" w:type="pct"/>
            <w:tcBorders>
              <w:bottom w:val="single" w:sz="4" w:space="0" w:color="auto"/>
            </w:tcBorders>
            <w:shd w:val="clear" w:color="auto" w:fill="auto"/>
            <w:vAlign w:val="center"/>
          </w:tcPr>
          <w:p w14:paraId="4BEE564C" w14:textId="77777777" w:rsidR="000623BB" w:rsidRPr="003312E7" w:rsidRDefault="00AA06B0" w:rsidP="00DE202F">
            <w:pPr>
              <w:pStyle w:val="Tabletext1"/>
              <w:spacing w:before="0"/>
              <w:rPr>
                <w:snapToGrid w:val="0"/>
              </w:rPr>
            </w:pPr>
            <w:r w:rsidRPr="003312E7">
              <w:rPr>
                <w:snapToGrid w:val="0"/>
              </w:rPr>
              <w:t>280/1025 (27.3</w:t>
            </w:r>
            <w:r w:rsidR="000623BB" w:rsidRPr="003312E7">
              <w:rPr>
                <w:snapToGrid w:val="0"/>
              </w:rPr>
              <w:t>)</w:t>
            </w:r>
          </w:p>
          <w:p w14:paraId="117174DC" w14:textId="2B428F60" w:rsidR="007C6F8D" w:rsidRPr="003312E7" w:rsidRDefault="004B09CD" w:rsidP="00DE202F">
            <w:pPr>
              <w:pStyle w:val="Tabletext1"/>
              <w:spacing w:before="0"/>
              <w:rPr>
                <w:snapToGrid w:val="0"/>
              </w:rPr>
            </w:pPr>
            <w:r w:rsidRPr="003312E7">
              <w:rPr>
                <w:snapToGrid w:val="0"/>
              </w:rPr>
              <w:t>30.2</w:t>
            </w:r>
            <w:r w:rsidR="00AA06B0" w:rsidRPr="003312E7">
              <w:rPr>
                <w:snapToGrid w:val="0"/>
              </w:rPr>
              <w:t xml:space="preserve"> (8.3</w:t>
            </w:r>
            <w:r w:rsidR="007E3D66">
              <w:rPr>
                <w:snapToGrid w:val="0"/>
              </w:rPr>
              <w:t>–</w:t>
            </w:r>
            <w:r w:rsidR="00AA06B0" w:rsidRPr="003312E7">
              <w:rPr>
                <w:snapToGrid w:val="0"/>
              </w:rPr>
              <w:t>63.8</w:t>
            </w:r>
            <w:r w:rsidR="007C6F8D" w:rsidRPr="003312E7">
              <w:rPr>
                <w:snapToGrid w:val="0"/>
              </w:rPr>
              <w:t>)</w:t>
            </w:r>
          </w:p>
        </w:tc>
        <w:tc>
          <w:tcPr>
            <w:tcW w:w="1628" w:type="pct"/>
            <w:tcBorders>
              <w:bottom w:val="single" w:sz="4" w:space="0" w:color="auto"/>
            </w:tcBorders>
            <w:shd w:val="clear" w:color="auto" w:fill="auto"/>
            <w:vAlign w:val="center"/>
          </w:tcPr>
          <w:p w14:paraId="489CC7D4" w14:textId="77777777" w:rsidR="000623BB" w:rsidRPr="003312E7" w:rsidRDefault="00495906" w:rsidP="00DE202F">
            <w:pPr>
              <w:pStyle w:val="Tabletext1"/>
              <w:spacing w:before="0"/>
              <w:rPr>
                <w:snapToGrid w:val="0"/>
                <w:color w:val="000000"/>
              </w:rPr>
            </w:pPr>
            <w:r w:rsidRPr="003312E7">
              <w:rPr>
                <w:snapToGrid w:val="0"/>
                <w:color w:val="000000"/>
              </w:rPr>
              <w:t>122/985</w:t>
            </w:r>
            <w:r w:rsidR="004B09CD" w:rsidRPr="003312E7">
              <w:rPr>
                <w:snapToGrid w:val="0"/>
                <w:color w:val="000000"/>
              </w:rPr>
              <w:t xml:space="preserve"> (</w:t>
            </w:r>
            <w:r w:rsidRPr="003312E7">
              <w:rPr>
                <w:snapToGrid w:val="0"/>
                <w:color w:val="000000"/>
              </w:rPr>
              <w:t>12.4</w:t>
            </w:r>
          </w:p>
          <w:p w14:paraId="41AAFACA" w14:textId="77777777" w:rsidR="007C6F8D" w:rsidRPr="003312E7" w:rsidRDefault="00495906" w:rsidP="00DE202F">
            <w:pPr>
              <w:pStyle w:val="Tabletext1"/>
              <w:spacing w:before="0"/>
              <w:rPr>
                <w:snapToGrid w:val="0"/>
                <w:color w:val="000000"/>
              </w:rPr>
            </w:pPr>
            <w:r w:rsidRPr="003312E7">
              <w:rPr>
                <w:snapToGrid w:val="0"/>
                <w:color w:val="000000"/>
              </w:rPr>
              <w:t>10</w:t>
            </w:r>
            <w:r w:rsidR="004302B6" w:rsidRPr="003312E7">
              <w:rPr>
                <w:snapToGrid w:val="0"/>
                <w:color w:val="000000"/>
              </w:rPr>
              <w:t>.3</w:t>
            </w:r>
            <w:r w:rsidR="007C6F8D" w:rsidRPr="003312E7">
              <w:rPr>
                <w:snapToGrid w:val="0"/>
                <w:color w:val="000000"/>
              </w:rPr>
              <w:t xml:space="preserve"> (</w:t>
            </w:r>
            <w:r w:rsidR="001B7766" w:rsidRPr="003312E7">
              <w:rPr>
                <w:snapToGrid w:val="0"/>
                <w:color w:val="000000"/>
              </w:rPr>
              <w:t>0</w:t>
            </w:r>
            <w:r w:rsidR="001B7766" w:rsidRPr="003312E7">
              <w:rPr>
                <w:snapToGrid w:val="0"/>
              </w:rPr>
              <w:t xml:space="preserve">– </w:t>
            </w:r>
            <w:r w:rsidR="004302B6" w:rsidRPr="003312E7">
              <w:rPr>
                <w:snapToGrid w:val="0"/>
                <w:color w:val="000000"/>
              </w:rPr>
              <w:t>28.6</w:t>
            </w:r>
            <w:r w:rsidR="001B7766" w:rsidRPr="003312E7">
              <w:rPr>
                <w:snapToGrid w:val="0"/>
                <w:color w:val="000000"/>
              </w:rPr>
              <w:t>)</w:t>
            </w:r>
          </w:p>
        </w:tc>
      </w:tr>
    </w:tbl>
    <w:p w14:paraId="2F3B541D" w14:textId="214B2E3C" w:rsidR="00FB16B5" w:rsidRPr="00FB16B5" w:rsidRDefault="00916E7F" w:rsidP="008063EA">
      <w:pPr>
        <w:pStyle w:val="Tablenotes0"/>
      </w:pPr>
      <w:r>
        <w:t xml:space="preserve">&lt; </w:t>
      </w:r>
      <w:proofErr w:type="gramStart"/>
      <w:r w:rsidR="00FB16B5" w:rsidRPr="00FB16B5">
        <w:t>n/N</w:t>
      </w:r>
      <w:proofErr w:type="gramEnd"/>
      <w:r w:rsidR="00FB16B5" w:rsidRPr="00FB16B5">
        <w:t xml:space="preserve"> (%)</w:t>
      </w:r>
      <w:r w:rsidR="001104D0">
        <w:t xml:space="preserve"> </w:t>
      </w:r>
      <w:r w:rsidR="00FB16B5" w:rsidRPr="00FB16B5">
        <w:t>= number with event/ total (percentage)</w:t>
      </w:r>
      <w:r w:rsidR="00FB16B5">
        <w:t xml:space="preserve">; </w:t>
      </w:r>
      <w:r w:rsidR="00FB16B5" w:rsidRPr="00FB16B5">
        <w:t>NR</w:t>
      </w:r>
      <w:r w:rsidR="001104D0">
        <w:t xml:space="preserve"> </w:t>
      </w:r>
      <w:r w:rsidR="00FB16B5" w:rsidRPr="00FB16B5">
        <w:t>= not reported</w:t>
      </w:r>
      <w:r>
        <w:t xml:space="preserve"> &gt;</w:t>
      </w:r>
    </w:p>
    <w:p w14:paraId="1216B2B5" w14:textId="17A3105A" w:rsidR="00172E96" w:rsidRDefault="00172E96" w:rsidP="008063EA">
      <w:pPr>
        <w:pStyle w:val="Tablenotes0"/>
      </w:pPr>
      <w:r w:rsidRPr="00E10B76">
        <w:t>GRADE Working Group grades of evidence</w:t>
      </w:r>
      <w:r>
        <w:t xml:space="preserve"> (Guyatt et al., 2013)</w:t>
      </w:r>
      <w:r w:rsidR="003E4064">
        <w: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0BD278E3" w14:textId="77777777" w:rsidR="004302B6" w:rsidRPr="004302B6" w:rsidRDefault="004302B6" w:rsidP="008063EA">
      <w:pPr>
        <w:pStyle w:val="Tablenotes0"/>
      </w:pPr>
      <w:proofErr w:type="gramStart"/>
      <w:r w:rsidRPr="004302B6">
        <w:rPr>
          <w:vertAlign w:val="superscript"/>
        </w:rPr>
        <w:t>a</w:t>
      </w:r>
      <w:proofErr w:type="gramEnd"/>
      <w:r>
        <w:t xml:space="preserve"> Intervention includes any additional resources including chest tubes, thoracentesis etc. </w:t>
      </w:r>
      <w:r w:rsidR="00FB5F4A">
        <w:t xml:space="preserve">includes </w:t>
      </w:r>
      <w:r>
        <w:t>moderate and severe pneumothorax.</w:t>
      </w:r>
    </w:p>
    <w:p w14:paraId="2474599C" w14:textId="77777777" w:rsidR="00746CAB" w:rsidRDefault="004302B6" w:rsidP="008063EA">
      <w:pPr>
        <w:pStyle w:val="Tablenotes0"/>
      </w:pPr>
      <w:proofErr w:type="gramStart"/>
      <w:r w:rsidRPr="004302B6">
        <w:rPr>
          <w:vertAlign w:val="superscript"/>
        </w:rPr>
        <w:t>b</w:t>
      </w:r>
      <w:proofErr w:type="gramEnd"/>
      <w:r>
        <w:t xml:space="preserve"> </w:t>
      </w:r>
      <w:r w:rsidR="00746CAB">
        <w:t>Did not report severity of pneumothorax</w:t>
      </w:r>
      <w:r w:rsidR="003E4064">
        <w:t>.</w:t>
      </w:r>
    </w:p>
    <w:p w14:paraId="1E9E718B" w14:textId="77777777" w:rsidR="004302B6" w:rsidRPr="00183E4D" w:rsidRDefault="004302B6" w:rsidP="008063EA">
      <w:pPr>
        <w:pStyle w:val="Tablenotes0"/>
      </w:pPr>
      <w:proofErr w:type="gramStart"/>
      <w:r w:rsidRPr="004302B6">
        <w:rPr>
          <w:vertAlign w:val="superscript"/>
        </w:rPr>
        <w:t>c</w:t>
      </w:r>
      <w:proofErr w:type="gramEnd"/>
      <w:r>
        <w:t xml:space="preserve"> </w:t>
      </w:r>
      <w:r w:rsidR="003E4064">
        <w:t xml:space="preserve">Reported </w:t>
      </w:r>
      <w:r>
        <w:t>only severe pneumothorax</w:t>
      </w:r>
      <w:r w:rsidR="003E4064">
        <w:t>.</w:t>
      </w:r>
    </w:p>
    <w:p w14:paraId="3F7699FE" w14:textId="77777777" w:rsidR="00F00D42" w:rsidRDefault="001B7766" w:rsidP="003F6C66">
      <w:pPr>
        <w:pStyle w:val="Heading3"/>
      </w:pPr>
      <w:bookmarkStart w:id="285" w:name="_Toc460396047"/>
      <w:bookmarkStart w:id="286" w:name="_Toc395200780"/>
      <w:r w:rsidRPr="00172E96">
        <w:t>Pneumonia</w:t>
      </w:r>
      <w:bookmarkEnd w:id="285"/>
      <w:r w:rsidRPr="00172E96">
        <w:t xml:space="preserve"> </w:t>
      </w:r>
      <w:bookmarkEnd w:id="286"/>
    </w:p>
    <w:p w14:paraId="43FE7D77" w14:textId="4A219735" w:rsidR="001B7766" w:rsidRPr="001B7766" w:rsidRDefault="00E36774" w:rsidP="001B7766">
      <w:r>
        <w:t>Pneumonia was reported by five</w:t>
      </w:r>
      <w:r w:rsidR="001B7766">
        <w:t xml:space="preserve"> studies of MTA</w:t>
      </w:r>
      <w:r w:rsidR="004302B6">
        <w:t xml:space="preserve"> </w:t>
      </w:r>
      <w:r w:rsidR="00D55D40">
        <w:fldChar w:fldCharType="begin">
          <w:fldData xml:space="preserve">PEVuZE5vdGU+PENpdGU+PEF1dGhvcj5OaTwvQXV0aG9yPjxZZWFyPjIwMTU8L1llYXI+PFJlY051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=
</w:fldData>
        </w:fldChar>
      </w:r>
      <w:r w:rsidR="00194054">
        <w:instrText xml:space="preserve"> ADDIN EN.CITE </w:instrText>
      </w:r>
      <w:r w:rsidR="00194054">
        <w:fldChar w:fldCharType="begin">
          <w:fldData xml:space="preserve">PEVuZE5vdGU+PENpdGU+PEF1dGhvcj5OaTwvQXV0aG9yPjxZZWFyPjIwMTU8L1llYXI+PFJlY051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=
</w:fldData>
        </w:fldChar>
      </w:r>
      <w:r w:rsidR="00194054">
        <w:instrText xml:space="preserve"> ADDIN EN.CITE.DATA </w:instrText>
      </w:r>
      <w:r w:rsidR="00194054">
        <w:fldChar w:fldCharType="end"/>
      </w:r>
      <w:r w:rsidR="00D55D40">
        <w:fldChar w:fldCharType="separate"/>
      </w:r>
      <w:r w:rsidR="00E14908">
        <w:rPr>
          <w:noProof/>
        </w:rPr>
        <w:t>(</w:t>
      </w:r>
      <w:hyperlink w:anchor="_ENREF_112" w:tooltip="Ni, 2015 #95" w:history="1">
        <w:r w:rsidR="00320458">
          <w:rPr>
            <w:noProof/>
          </w:rPr>
          <w:t>Ni et al 2015</w:t>
        </w:r>
      </w:hyperlink>
      <w:r w:rsidR="00E14908">
        <w:rPr>
          <w:noProof/>
        </w:rPr>
        <w:t xml:space="preserve">; </w:t>
      </w:r>
      <w:hyperlink w:anchor="_ENREF_174" w:tooltip="Yang, 2014 #101" w:history="1">
        <w:r w:rsidR="00320458">
          <w:rPr>
            <w:noProof/>
          </w:rPr>
          <w:t>Yang et al 2014</w:t>
        </w:r>
      </w:hyperlink>
      <w:r w:rsidR="00E14908">
        <w:rPr>
          <w:noProof/>
        </w:rPr>
        <w:t xml:space="preserve">; </w:t>
      </w:r>
      <w:hyperlink w:anchor="_ENREF_175" w:tooltip="Yang, 2015 #116" w:history="1">
        <w:r w:rsidR="00320458">
          <w:rPr>
            <w:noProof/>
          </w:rPr>
          <w:t>Yang et al 2015</w:t>
        </w:r>
      </w:hyperlink>
      <w:r w:rsidR="00E14908">
        <w:rPr>
          <w:noProof/>
        </w:rPr>
        <w:t xml:space="preserve">; </w:t>
      </w:r>
      <w:hyperlink w:anchor="_ENREF_181" w:tooltip="Zheng, 2014 #117" w:history="1">
        <w:r w:rsidR="00320458">
          <w:rPr>
            <w:noProof/>
          </w:rPr>
          <w:t>Zheng et al 2014</w:t>
        </w:r>
      </w:hyperlink>
      <w:r w:rsidR="00E14908">
        <w:rPr>
          <w:noProof/>
        </w:rPr>
        <w:t>)</w:t>
      </w:r>
      <w:r w:rsidR="00D55D40">
        <w:fldChar w:fldCharType="end"/>
      </w:r>
      <w:r w:rsidR="001B7766">
        <w:t xml:space="preserve"> and is reported separately as it is an unexpected adverse event with potentially serious repercussions. It is not clear what relationship</w:t>
      </w:r>
      <w:r w:rsidR="00D55D40">
        <w:t xml:space="preserve"> there is, whether causative, associative or incidental</w:t>
      </w:r>
      <w:r w:rsidR="001B7766">
        <w:t xml:space="preserve">, between the MTA procedure and incidence of pneumonia in studies reporting it. Overall, it is likely to be an uncommon event as studies not reporting pneumonia are likely not to have </w:t>
      </w:r>
      <w:r w:rsidR="001B7766">
        <w:lastRenderedPageBreak/>
        <w:t xml:space="preserve">observed any cases of pneumonia. In studies in which </w:t>
      </w:r>
      <w:r w:rsidR="00DA0A12">
        <w:t>pneumonia is reported</w:t>
      </w:r>
      <w:r w:rsidR="00910184">
        <w:t>,</w:t>
      </w:r>
      <w:r w:rsidR="00DA0A12">
        <w:t xml:space="preserve"> it occurs after a median of </w:t>
      </w:r>
      <w:r>
        <w:t xml:space="preserve">3.6 </w:t>
      </w:r>
      <w:r w:rsidR="00DA0A12">
        <w:t xml:space="preserve">per cent of ablation sessions with a range of 2.8 per cent to 14.9 per cent. </w:t>
      </w:r>
    </w:p>
    <w:p w14:paraId="1520100E" w14:textId="77777777" w:rsidR="00096AAE" w:rsidRPr="00172E96" w:rsidRDefault="00DA0A12" w:rsidP="003F6C66">
      <w:pPr>
        <w:pStyle w:val="Heading3"/>
      </w:pPr>
      <w:bookmarkStart w:id="287" w:name="_Toc460396048"/>
      <w:r w:rsidRPr="00172E96">
        <w:t>Other adverse events reported</w:t>
      </w:r>
      <w:bookmarkEnd w:id="287"/>
    </w:p>
    <w:p w14:paraId="0A14AA0D" w14:textId="77777777" w:rsidR="009E50A0" w:rsidRDefault="00C83213" w:rsidP="00DA0A12">
      <w:r>
        <w:t>Other adverse events reported by more than two studies include haemoptysis, skin burns, broncho-pleural fistula, infection, pleural effusion and post-ablation syndrome. The large range in reported rates of these outcomes makes it difficult to conclude with what frequency these outcomes might be expected in practice.</w:t>
      </w:r>
      <w:r w:rsidR="009E50A0">
        <w:t xml:space="preserve"> However, a brief summary of these results is provided in</w:t>
      </w:r>
      <w:r w:rsidR="00172E96">
        <w:t xml:space="preserve"> </w:t>
      </w:r>
      <w:r w:rsidR="00172E96">
        <w:fldChar w:fldCharType="begin"/>
      </w:r>
      <w:r w:rsidR="00172E96">
        <w:instrText xml:space="preserve"> REF _Ref457402053 \h </w:instrText>
      </w:r>
      <w:r w:rsidR="00172E96">
        <w:fldChar w:fldCharType="separate"/>
      </w:r>
      <w:r w:rsidR="00D170A5" w:rsidRPr="00172E96">
        <w:t xml:space="preserve">Table </w:t>
      </w:r>
      <w:r w:rsidR="00D170A5">
        <w:rPr>
          <w:noProof/>
        </w:rPr>
        <w:t>43</w:t>
      </w:r>
      <w:r w:rsidR="00172E96">
        <w:fldChar w:fldCharType="end"/>
      </w:r>
      <w:r w:rsidR="009E50A0" w:rsidRPr="00172E96">
        <w:t>.</w:t>
      </w:r>
      <w:r w:rsidR="009E50A0">
        <w:t xml:space="preserve"> In most instances the percentage of patients with that adverse event had a range from nil up to 3</w:t>
      </w:r>
      <w:r w:rsidR="000E1C27">
        <w:t>5.9</w:t>
      </w:r>
      <w:r w:rsidR="009E50A0">
        <w:t xml:space="preserve"> per cent</w:t>
      </w:r>
      <w:r w:rsidR="00910184">
        <w:t>,</w:t>
      </w:r>
      <w:r w:rsidR="009E50A0">
        <w:t xml:space="preserve"> reflecting substantial variation across studies in terms of the frequency of event</w:t>
      </w:r>
      <w:r w:rsidR="00910184">
        <w:t>s</w:t>
      </w:r>
      <w:r w:rsidR="009E50A0">
        <w:t>.</w:t>
      </w:r>
    </w:p>
    <w:p w14:paraId="55CC7AB4" w14:textId="4B7E4622" w:rsidR="009E50A0" w:rsidRDefault="00D12FD1" w:rsidP="00DA0A12">
      <w:r>
        <w:t xml:space="preserve">One study </w:t>
      </w:r>
      <w:r>
        <w:fldChar w:fldCharType="begin">
          <w:fldData xml:space="preserve">PEVuZE5vdGU+PENpdGU+PEF1dGhvcj5BbGV4YW5kZXI8L0F1dGhvcj48WWVhcj4yMDEzPC9ZZWFy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</w:fldData>
        </w:fldChar>
      </w:r>
      <w:r w:rsidR="00194054">
        <w:instrText xml:space="preserve"> ADDIN EN.CITE </w:instrText>
      </w:r>
      <w:r w:rsidR="00194054">
        <w:fldChar w:fldCharType="begin">
          <w:fldData xml:space="preserve">PEVuZE5vdGU+PENpdGU+PEF1dGhvcj5BbGV4YW5kZXI8L0F1dGhvcj48WWVhcj4yMDEzPC9ZZWFy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</w:fldData>
        </w:fldChar>
      </w:r>
      <w:r w:rsidR="00194054">
        <w:instrText xml:space="preserve"> ADDIN EN.CITE.DATA </w:instrText>
      </w:r>
      <w:r w:rsidR="00194054">
        <w:fldChar w:fldCharType="end"/>
      </w:r>
      <w:r>
        <w:fldChar w:fldCharType="separate"/>
      </w:r>
      <w:r w:rsidR="00DF5EB1">
        <w:rPr>
          <w:noProof/>
        </w:rPr>
        <w:t>(</w:t>
      </w:r>
      <w:hyperlink w:anchor="_ENREF_3" w:tooltip="Alexander, 2013 #102" w:history="1">
        <w:r w:rsidR="00320458">
          <w:rPr>
            <w:noProof/>
          </w:rPr>
          <w:t>Alexander et al 2013a</w:t>
        </w:r>
      </w:hyperlink>
      <w:r w:rsidR="00DF5EB1">
        <w:rPr>
          <w:noProof/>
        </w:rPr>
        <w:t>)</w:t>
      </w:r>
      <w:r>
        <w:fldChar w:fldCharType="end"/>
      </w:r>
      <w:r w:rsidR="009E50A0">
        <w:t xml:space="preserve"> undertook a review of 163 patients treated by RFA, MTA or both to identify the incidence of rib fracture. The authors found that p</w:t>
      </w:r>
      <w:r w:rsidR="009E50A0" w:rsidRPr="009E50A0">
        <w:t xml:space="preserve">atients treated with RFA were more likely to experience a rib fracture than those who had </w:t>
      </w:r>
      <w:r w:rsidR="00814C4F" w:rsidRPr="009E50A0">
        <w:t>M</w:t>
      </w:r>
      <w:r w:rsidR="00814C4F">
        <w:t>T</w:t>
      </w:r>
      <w:r w:rsidR="00814C4F" w:rsidRPr="009E50A0">
        <w:t xml:space="preserve">A </w:t>
      </w:r>
      <w:r w:rsidR="009E50A0" w:rsidRPr="009E50A0">
        <w:t>(p</w:t>
      </w:r>
      <w:r w:rsidR="001104D0">
        <w:t xml:space="preserve"> </w:t>
      </w:r>
      <w:r w:rsidR="009E50A0" w:rsidRPr="009E50A0">
        <w:t>=</w:t>
      </w:r>
      <w:r w:rsidR="001104D0">
        <w:t xml:space="preserve"> </w:t>
      </w:r>
      <w:r w:rsidR="009E50A0" w:rsidRPr="009E50A0">
        <w:t>0.0396). Simi</w:t>
      </w:r>
      <w:r w:rsidR="009E50A0">
        <w:t xml:space="preserve">larly patients treated with RFA and </w:t>
      </w:r>
      <w:r w:rsidR="00814C4F" w:rsidRPr="009E50A0">
        <w:t>M</w:t>
      </w:r>
      <w:r w:rsidR="00814C4F">
        <w:t>T</w:t>
      </w:r>
      <w:r w:rsidR="00814C4F" w:rsidRPr="009E50A0">
        <w:t xml:space="preserve">A </w:t>
      </w:r>
      <w:r w:rsidR="009E50A0" w:rsidRPr="009E50A0">
        <w:t xml:space="preserve">were more likely to experience a rib fracture than those who had </w:t>
      </w:r>
      <w:r w:rsidR="00814C4F" w:rsidRPr="009E50A0">
        <w:t>M</w:t>
      </w:r>
      <w:r w:rsidR="00814C4F">
        <w:t>T</w:t>
      </w:r>
      <w:r w:rsidR="00814C4F" w:rsidRPr="009E50A0">
        <w:t>A</w:t>
      </w:r>
      <w:r w:rsidR="00814C4F">
        <w:t xml:space="preserve"> </w:t>
      </w:r>
      <w:r w:rsidR="009E50A0">
        <w:t>alone</w:t>
      </w:r>
      <w:r w:rsidR="009E50A0" w:rsidRPr="009E50A0">
        <w:t xml:space="preserve"> (p&lt;0.049). </w:t>
      </w:r>
      <w:r w:rsidR="00D22EF2">
        <w:t>Across aspects of baseline patient demographics, females</w:t>
      </w:r>
      <w:r w:rsidR="009E50A0" w:rsidRPr="009E50A0">
        <w:t xml:space="preserve"> were associated with a higher rate of rib fracture</w:t>
      </w:r>
      <w:r w:rsidR="009E50A0">
        <w:t>,</w:t>
      </w:r>
      <w:r w:rsidR="00D22EF2">
        <w:t xml:space="preserve"> and</w:t>
      </w:r>
      <w:r w:rsidR="009E50A0">
        <w:t xml:space="preserve"> </w:t>
      </w:r>
      <w:r w:rsidR="009E50A0" w:rsidRPr="009E50A0">
        <w:t>ablation zones close to the chest wall were associated with a higher probability of fracture.</w:t>
      </w:r>
      <w:r w:rsidR="009E50A0">
        <w:t xml:space="preserve"> This was the only study to report rib fracture. The Kaplan-Meier estimate of probability of a rib fracture at one year was 2.7 per cent</w:t>
      </w:r>
      <w:r w:rsidR="009E50A0" w:rsidRPr="009E50A0">
        <w:t xml:space="preserve"> (95%CI 0.7</w:t>
      </w:r>
      <w:r w:rsidR="00D35E9C">
        <w:t>–</w:t>
      </w:r>
      <w:r w:rsidR="009E50A0" w:rsidRPr="009E50A0">
        <w:t>10.4)</w:t>
      </w:r>
      <w:r w:rsidR="009E50A0">
        <w:t xml:space="preserve"> for patients treated with MTA.</w:t>
      </w:r>
    </w:p>
    <w:p w14:paraId="5E814FF9" w14:textId="76954568" w:rsidR="00DE202F" w:rsidRPr="00C83213" w:rsidRDefault="00C83213" w:rsidP="00DA0A12">
      <w:r>
        <w:t>In addition to these</w:t>
      </w:r>
      <w:r w:rsidR="00910184">
        <w:t>,</w:t>
      </w:r>
      <w:r>
        <w:t xml:space="preserve"> there were two reported instances of</w:t>
      </w:r>
      <w:r w:rsidR="00D22EF2">
        <w:t xml:space="preserve"> technical</w:t>
      </w:r>
      <w:r>
        <w:t xml:space="preserve"> events related to MTA device</w:t>
      </w:r>
      <w:r w:rsidR="00D22EF2">
        <w:t xml:space="preserve"> failure</w:t>
      </w:r>
      <w:r>
        <w:t xml:space="preserve"> that did not result in reported harm to patients. In one patient the c</w:t>
      </w:r>
      <w:r w:rsidRPr="00C83213">
        <w:t>eramic coating of microwave ante</w:t>
      </w:r>
      <w:r>
        <w:t xml:space="preserve">nnae </w:t>
      </w:r>
      <w:r w:rsidR="00CE4F18">
        <w:t xml:space="preserve">was </w:t>
      </w:r>
      <w:r>
        <w:t xml:space="preserve">lost in the pleural space </w:t>
      </w:r>
      <w:r w:rsidR="00D12FD1">
        <w:fldChar w:fldCharType="begin">
          <w:fldData xml:space="preserve">PEVuZE5vdGU+PENpdGU+PEF1dGhvcj5MaXU8L0F1dGhvcj48WWVhcj4yMDEzPC9ZZWFyPjxSZWNO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</w:fldData>
        </w:fldChar>
      </w:r>
      <w:r w:rsidR="00AB722F">
        <w:instrText xml:space="preserve"> ADDIN EN.CITE </w:instrText>
      </w:r>
      <w:r w:rsidR="00AB722F">
        <w:fldChar w:fldCharType="begin">
          <w:fldData xml:space="preserve">PEVuZE5vdGU+PENpdGU+PEF1dGhvcj5MaXU8L0F1dGhvcj48WWVhcj4yMDEzPC9ZZWFyPjxSZWNO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</w:fldData>
        </w:fldChar>
      </w:r>
      <w:r w:rsidR="00AB722F">
        <w:instrText xml:space="preserve"> ADDIN EN.CITE.DATA </w:instrText>
      </w:r>
      <w:r w:rsidR="00AB722F">
        <w:fldChar w:fldCharType="end"/>
      </w:r>
      <w:r w:rsidR="00D12FD1">
        <w:fldChar w:fldCharType="separate"/>
      </w:r>
      <w:r w:rsidR="00AB722F">
        <w:rPr>
          <w:noProof/>
        </w:rPr>
        <w:t>(</w:t>
      </w:r>
      <w:hyperlink w:anchor="_ENREF_95" w:tooltip="Liu, 2013 #94" w:history="1">
        <w:r w:rsidR="00320458">
          <w:rPr>
            <w:noProof/>
          </w:rPr>
          <w:t>Liu and Steinke 2013b</w:t>
        </w:r>
      </w:hyperlink>
      <w:r w:rsidR="00AB722F">
        <w:rPr>
          <w:noProof/>
        </w:rPr>
        <w:t>)</w:t>
      </w:r>
      <w:r w:rsidR="00D12FD1">
        <w:fldChar w:fldCharType="end"/>
      </w:r>
      <w:r>
        <w:t xml:space="preserve"> and in another a needle tip fractured and was left in the lesion that had been ablated </w:t>
      </w:r>
      <w:r w:rsidR="00D12FD1">
        <w:fldChar w:fldCharType="begin">
          <w:fldData xml:space="preserve">PEVuZE5vdGU+PENpdGU+PEF1dGhvcj5MaXR0bGU8L0F1dGhvcj48WWVhcj4yMDEzPC9ZZWFyPjxS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=
</w:fldData>
        </w:fldChar>
      </w:r>
      <w:r w:rsidR="00194054">
        <w:instrText xml:space="preserve"> ADDIN EN.CITE </w:instrText>
      </w:r>
      <w:r w:rsidR="00194054">
        <w:fldChar w:fldCharType="begin">
          <w:fldData xml:space="preserve">PEVuZE5vdGU+PENpdGU+PEF1dGhvcj5MaXR0bGU8L0F1dGhvcj48WWVhcj4yMDEzPC9ZZWFyPjxS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=
</w:fldData>
        </w:fldChar>
      </w:r>
      <w:r w:rsidR="00194054">
        <w:instrText xml:space="preserve"> ADDIN EN.CITE.DATA </w:instrText>
      </w:r>
      <w:r w:rsidR="00194054">
        <w:fldChar w:fldCharType="end"/>
      </w:r>
      <w:r w:rsidR="00D12FD1">
        <w:fldChar w:fldCharType="separate"/>
      </w:r>
      <w:r w:rsidR="00D12FD1">
        <w:rPr>
          <w:noProof/>
        </w:rPr>
        <w:t>(</w:t>
      </w:r>
      <w:hyperlink w:anchor="_ENREF_92" w:tooltip="Little, 2013 #109" w:history="1">
        <w:r w:rsidR="00320458">
          <w:rPr>
            <w:noProof/>
          </w:rPr>
          <w:t>Little et al 2013</w:t>
        </w:r>
      </w:hyperlink>
      <w:r w:rsidR="00D12FD1">
        <w:rPr>
          <w:noProof/>
        </w:rPr>
        <w:t>)</w:t>
      </w:r>
      <w:r w:rsidR="00D12FD1">
        <w:fldChar w:fldCharType="end"/>
      </w:r>
      <w:r>
        <w:t>.</w:t>
      </w:r>
      <w:r w:rsidR="00E44EDF" w:rsidRPr="00C83213">
        <w:t xml:space="preserve"> </w:t>
      </w:r>
    </w:p>
    <w:p w14:paraId="78BDB26B" w14:textId="77777777" w:rsidR="00E44EDF" w:rsidRDefault="00E44EDF">
      <w:pPr>
        <w:spacing w:before="60" w:after="60" w:line="240" w:lineRule="auto"/>
        <w:jc w:val="left"/>
        <w:rPr>
          <w:rFonts w:ascii="Arial Narrow" w:hAnsi="Arial Narrow"/>
          <w:b/>
          <w:bCs/>
          <w:sz w:val="20"/>
        </w:rPr>
      </w:pPr>
      <w:bookmarkStart w:id="288" w:name="_Ref457402053"/>
      <w:bookmarkStart w:id="289" w:name="_Toc460514701"/>
      <w:r>
        <w:br w:type="page"/>
      </w:r>
    </w:p>
    <w:p w14:paraId="3F3D2EE9" w14:textId="57948BA2" w:rsidR="00C83213" w:rsidRDefault="00C83213" w:rsidP="00C83213">
      <w:pPr>
        <w:pStyle w:val="Caption"/>
        <w:keepNext/>
      </w:pPr>
      <w:r w:rsidRPr="00172E96">
        <w:lastRenderedPageBreak/>
        <w:t xml:space="preserve">Table </w:t>
      </w:r>
      <w:fldSimple w:instr=" SEQ Table \* ARABIC ">
        <w:r w:rsidR="00D170A5">
          <w:rPr>
            <w:noProof/>
          </w:rPr>
          <w:t>43</w:t>
        </w:r>
      </w:fldSimple>
      <w:bookmarkEnd w:id="288"/>
      <w:r w:rsidRPr="00172E96">
        <w:tab/>
        <w:t>Other adverse events reported</w:t>
      </w:r>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7"/>
        <w:tblDescription w:val="Other adverse events"/>
      </w:tblPr>
      <w:tblGrid>
        <w:gridCol w:w="2925"/>
        <w:gridCol w:w="2490"/>
        <w:gridCol w:w="3667"/>
      </w:tblGrid>
      <w:tr w:rsidR="008B51D1" w:rsidRPr="0069748F" w14:paraId="28F70B61" w14:textId="77777777" w:rsidTr="008B51D1">
        <w:trPr>
          <w:tblHeader/>
        </w:trPr>
        <w:tc>
          <w:tcPr>
            <w:tcW w:w="1610" w:type="pct"/>
            <w:tcBorders>
              <w:bottom w:val="single" w:sz="4" w:space="0" w:color="auto"/>
            </w:tcBorders>
            <w:shd w:val="clear" w:color="auto" w:fill="D9D9D9" w:themeFill="background1" w:themeFillShade="D9"/>
          </w:tcPr>
          <w:p w14:paraId="293D7EAE" w14:textId="77777777" w:rsidR="003E5EC5" w:rsidRPr="00E106E6" w:rsidRDefault="003E5EC5" w:rsidP="00E106E6">
            <w:pPr>
              <w:pStyle w:val="Tabletext1"/>
              <w:rPr>
                <w:b/>
                <w:snapToGrid w:val="0"/>
              </w:rPr>
            </w:pPr>
            <w:r w:rsidRPr="00E106E6">
              <w:rPr>
                <w:b/>
                <w:snapToGrid w:val="0"/>
              </w:rPr>
              <w:t>Study ID</w:t>
            </w:r>
          </w:p>
        </w:tc>
        <w:tc>
          <w:tcPr>
            <w:tcW w:w="1371" w:type="pct"/>
            <w:tcBorders>
              <w:bottom w:val="single" w:sz="4" w:space="0" w:color="auto"/>
            </w:tcBorders>
            <w:shd w:val="clear" w:color="auto" w:fill="D9D9D9" w:themeFill="background1" w:themeFillShade="D9"/>
          </w:tcPr>
          <w:p w14:paraId="3731B17A" w14:textId="77777777" w:rsidR="003E5EC5" w:rsidRPr="00E106E6" w:rsidRDefault="003E5EC5" w:rsidP="00E106E6">
            <w:pPr>
              <w:pStyle w:val="Tabletext1"/>
              <w:rPr>
                <w:b/>
                <w:snapToGrid w:val="0"/>
              </w:rPr>
            </w:pPr>
            <w:r w:rsidRPr="00E106E6">
              <w:rPr>
                <w:b/>
                <w:snapToGrid w:val="0"/>
              </w:rPr>
              <w:t>Level of evidence</w:t>
            </w:r>
          </w:p>
        </w:tc>
        <w:tc>
          <w:tcPr>
            <w:tcW w:w="2019" w:type="pct"/>
            <w:tcBorders>
              <w:bottom w:val="single" w:sz="4" w:space="0" w:color="auto"/>
            </w:tcBorders>
            <w:shd w:val="clear" w:color="auto" w:fill="D9D9D9" w:themeFill="background1" w:themeFillShade="D9"/>
          </w:tcPr>
          <w:p w14:paraId="08726E1D" w14:textId="77777777" w:rsidR="003E5EC5" w:rsidRPr="00E106E6" w:rsidRDefault="003E5EC5" w:rsidP="00E106E6">
            <w:pPr>
              <w:pStyle w:val="Tabletext1"/>
              <w:rPr>
                <w:b/>
                <w:snapToGrid w:val="0"/>
              </w:rPr>
            </w:pPr>
            <w:proofErr w:type="gramStart"/>
            <w:r w:rsidRPr="00E106E6">
              <w:rPr>
                <w:b/>
                <w:snapToGrid w:val="0"/>
              </w:rPr>
              <w:t>n</w:t>
            </w:r>
            <w:proofErr w:type="gramEnd"/>
            <w:r w:rsidRPr="00E106E6">
              <w:rPr>
                <w:b/>
                <w:snapToGrid w:val="0"/>
              </w:rPr>
              <w:t xml:space="preserve"> with event/N ablation sessions (%)</w:t>
            </w:r>
          </w:p>
        </w:tc>
      </w:tr>
      <w:tr w:rsidR="003E5EC5" w:rsidRPr="0069748F" w14:paraId="3A355146" w14:textId="77777777" w:rsidTr="008B51D1">
        <w:tc>
          <w:tcPr>
            <w:tcW w:w="1610" w:type="pct"/>
            <w:tcBorders>
              <w:right w:val="nil"/>
            </w:tcBorders>
            <w:shd w:val="clear" w:color="auto" w:fill="D9D9D9" w:themeFill="background1" w:themeFillShade="D9"/>
          </w:tcPr>
          <w:p w14:paraId="287C4E99" w14:textId="77777777" w:rsidR="003E5EC5" w:rsidRPr="00E106E6" w:rsidRDefault="003E5EC5" w:rsidP="00E106E6">
            <w:pPr>
              <w:pStyle w:val="Tabletext1"/>
              <w:rPr>
                <w:b/>
                <w:snapToGrid w:val="0"/>
              </w:rPr>
            </w:pPr>
            <w:r w:rsidRPr="00E106E6">
              <w:rPr>
                <w:b/>
                <w:snapToGrid w:val="0"/>
              </w:rPr>
              <w:t>Haemoptysis</w:t>
            </w:r>
          </w:p>
        </w:tc>
        <w:tc>
          <w:tcPr>
            <w:tcW w:w="1371" w:type="pct"/>
            <w:tcBorders>
              <w:left w:val="nil"/>
              <w:right w:val="nil"/>
            </w:tcBorders>
            <w:shd w:val="clear" w:color="auto" w:fill="D9D9D9" w:themeFill="background1" w:themeFillShade="D9"/>
          </w:tcPr>
          <w:p w14:paraId="43E00C90" w14:textId="77777777" w:rsidR="003E5EC5" w:rsidRDefault="003E5EC5" w:rsidP="00E106E6">
            <w:pPr>
              <w:pStyle w:val="Tabletext1"/>
              <w:rPr>
                <w:snapToGrid w:val="0"/>
              </w:rPr>
            </w:pPr>
          </w:p>
        </w:tc>
        <w:tc>
          <w:tcPr>
            <w:tcW w:w="2019" w:type="pct"/>
            <w:tcBorders>
              <w:left w:val="nil"/>
            </w:tcBorders>
            <w:shd w:val="clear" w:color="auto" w:fill="D9D9D9" w:themeFill="background1" w:themeFillShade="D9"/>
          </w:tcPr>
          <w:p w14:paraId="054EC702" w14:textId="77777777" w:rsidR="003E5EC5" w:rsidRPr="0069748F" w:rsidRDefault="003E5EC5" w:rsidP="00E106E6">
            <w:pPr>
              <w:pStyle w:val="Tabletext1"/>
              <w:rPr>
                <w:snapToGrid w:val="0"/>
              </w:rPr>
            </w:pPr>
          </w:p>
        </w:tc>
      </w:tr>
      <w:tr w:rsidR="003E5EC5" w:rsidRPr="0069748F" w14:paraId="107CC50B" w14:textId="77777777" w:rsidTr="008B51D1">
        <w:tc>
          <w:tcPr>
            <w:tcW w:w="1610" w:type="pct"/>
            <w:shd w:val="clear" w:color="auto" w:fill="auto"/>
            <w:vAlign w:val="center"/>
          </w:tcPr>
          <w:p w14:paraId="2A7BB117" w14:textId="77777777" w:rsidR="003E5EC5" w:rsidRPr="00D21141" w:rsidRDefault="003E5EC5" w:rsidP="00E106E6">
            <w:pPr>
              <w:pStyle w:val="Tabletext1"/>
              <w:rPr>
                <w:snapToGrid w:val="0"/>
              </w:rPr>
            </w:pPr>
            <w:r w:rsidRPr="00F66E92">
              <w:rPr>
                <w:snapToGrid w:val="0"/>
              </w:rPr>
              <w:t>Carrafiello et al (2014)</w:t>
            </w:r>
          </w:p>
        </w:tc>
        <w:tc>
          <w:tcPr>
            <w:tcW w:w="1371" w:type="pct"/>
          </w:tcPr>
          <w:p w14:paraId="66457DD8" w14:textId="77777777" w:rsidR="003E5EC5" w:rsidRPr="00D5237F" w:rsidRDefault="003E5EC5" w:rsidP="00E106E6">
            <w:pPr>
              <w:pStyle w:val="Tabletext1"/>
              <w:rPr>
                <w:snapToGrid w:val="0"/>
              </w:rPr>
            </w:pPr>
            <w:r w:rsidRPr="00B05E00">
              <w:rPr>
                <w:snapToGrid w:val="0"/>
              </w:rPr>
              <w:t>IV</w:t>
            </w:r>
          </w:p>
        </w:tc>
        <w:tc>
          <w:tcPr>
            <w:tcW w:w="2019" w:type="pct"/>
            <w:shd w:val="clear" w:color="auto" w:fill="auto"/>
          </w:tcPr>
          <w:p w14:paraId="12F9B40B" w14:textId="77777777" w:rsidR="003E5EC5" w:rsidRPr="00374308" w:rsidRDefault="003E5EC5" w:rsidP="00E106E6">
            <w:pPr>
              <w:pStyle w:val="Tabletext1"/>
              <w:rPr>
                <w:snapToGrid w:val="0"/>
              </w:rPr>
            </w:pPr>
            <w:r w:rsidRPr="00374308">
              <w:rPr>
                <w:snapToGrid w:val="0"/>
              </w:rPr>
              <w:t>1/24 (4.2)</w:t>
            </w:r>
          </w:p>
        </w:tc>
      </w:tr>
      <w:tr w:rsidR="003E5EC5" w:rsidRPr="0069748F" w14:paraId="277BA5C1" w14:textId="77777777" w:rsidTr="008B51D1">
        <w:tc>
          <w:tcPr>
            <w:tcW w:w="1610" w:type="pct"/>
            <w:shd w:val="clear" w:color="auto" w:fill="auto"/>
            <w:vAlign w:val="center"/>
          </w:tcPr>
          <w:p w14:paraId="1D9FEF92" w14:textId="77777777" w:rsidR="003E5EC5" w:rsidRPr="00D21141" w:rsidRDefault="003E5EC5" w:rsidP="00E106E6">
            <w:pPr>
              <w:pStyle w:val="Tabletext1"/>
              <w:rPr>
                <w:snapToGrid w:val="0"/>
              </w:rPr>
            </w:pPr>
            <w:r w:rsidRPr="00F66E92">
              <w:rPr>
                <w:snapToGrid w:val="0"/>
              </w:rPr>
              <w:t>Chung et al (2014)</w:t>
            </w:r>
          </w:p>
        </w:tc>
        <w:tc>
          <w:tcPr>
            <w:tcW w:w="1371" w:type="pct"/>
          </w:tcPr>
          <w:p w14:paraId="1BB66CD6" w14:textId="77777777" w:rsidR="003E5EC5" w:rsidRPr="00D5237F" w:rsidRDefault="003E5EC5" w:rsidP="00E106E6">
            <w:pPr>
              <w:pStyle w:val="Tabletext1"/>
              <w:rPr>
                <w:snapToGrid w:val="0"/>
              </w:rPr>
            </w:pPr>
            <w:r w:rsidRPr="00B05E00">
              <w:rPr>
                <w:snapToGrid w:val="0"/>
              </w:rPr>
              <w:t>IV</w:t>
            </w:r>
          </w:p>
        </w:tc>
        <w:tc>
          <w:tcPr>
            <w:tcW w:w="2019" w:type="pct"/>
            <w:shd w:val="clear" w:color="auto" w:fill="auto"/>
          </w:tcPr>
          <w:p w14:paraId="407A1B71" w14:textId="77777777" w:rsidR="003E5EC5" w:rsidRPr="00374308" w:rsidRDefault="003E5EC5" w:rsidP="00E106E6">
            <w:pPr>
              <w:pStyle w:val="Tabletext1"/>
              <w:rPr>
                <w:snapToGrid w:val="0"/>
              </w:rPr>
            </w:pPr>
            <w:r w:rsidRPr="00374308">
              <w:rPr>
                <w:snapToGrid w:val="0"/>
              </w:rPr>
              <w:t xml:space="preserve">3/46 (6.5) </w:t>
            </w:r>
          </w:p>
        </w:tc>
      </w:tr>
      <w:tr w:rsidR="003E5EC5" w:rsidRPr="0069748F" w14:paraId="2F13AF1B" w14:textId="77777777" w:rsidTr="008B51D1">
        <w:tc>
          <w:tcPr>
            <w:tcW w:w="1610" w:type="pct"/>
            <w:shd w:val="clear" w:color="auto" w:fill="auto"/>
            <w:vAlign w:val="center"/>
          </w:tcPr>
          <w:p w14:paraId="4D929F93" w14:textId="77777777" w:rsidR="003E5EC5" w:rsidRPr="00D21141" w:rsidRDefault="003E5EC5" w:rsidP="00E106E6">
            <w:pPr>
              <w:pStyle w:val="Tabletext1"/>
              <w:rPr>
                <w:snapToGrid w:val="0"/>
              </w:rPr>
            </w:pPr>
            <w:r w:rsidRPr="00F66E92">
              <w:rPr>
                <w:snapToGrid w:val="0"/>
              </w:rPr>
              <w:t>Egashira et al (2016)</w:t>
            </w:r>
          </w:p>
        </w:tc>
        <w:tc>
          <w:tcPr>
            <w:tcW w:w="1371" w:type="pct"/>
          </w:tcPr>
          <w:p w14:paraId="0D00A8AA" w14:textId="77777777" w:rsidR="003E5EC5" w:rsidRPr="00D5237F" w:rsidRDefault="003E5EC5" w:rsidP="00E106E6">
            <w:pPr>
              <w:pStyle w:val="Tabletext1"/>
              <w:rPr>
                <w:snapToGrid w:val="0"/>
              </w:rPr>
            </w:pPr>
            <w:r w:rsidRPr="00B05E00">
              <w:rPr>
                <w:snapToGrid w:val="0"/>
              </w:rPr>
              <w:t>IV</w:t>
            </w:r>
          </w:p>
        </w:tc>
        <w:tc>
          <w:tcPr>
            <w:tcW w:w="2019" w:type="pct"/>
            <w:shd w:val="clear" w:color="auto" w:fill="auto"/>
          </w:tcPr>
          <w:p w14:paraId="6D534890" w14:textId="77777777" w:rsidR="003E5EC5" w:rsidRPr="00374308" w:rsidRDefault="003E5EC5" w:rsidP="00E106E6">
            <w:pPr>
              <w:pStyle w:val="Tabletext1"/>
              <w:rPr>
                <w:snapToGrid w:val="0"/>
              </w:rPr>
            </w:pPr>
            <w:r>
              <w:rPr>
                <w:snapToGrid w:val="0"/>
              </w:rPr>
              <w:t>0/44 (0</w:t>
            </w:r>
            <w:r w:rsidRPr="00374308">
              <w:rPr>
                <w:snapToGrid w:val="0"/>
              </w:rPr>
              <w:t>)</w:t>
            </w:r>
          </w:p>
        </w:tc>
      </w:tr>
      <w:tr w:rsidR="003E5EC5" w:rsidRPr="0069748F" w14:paraId="1053BB7E" w14:textId="77777777" w:rsidTr="008B51D1">
        <w:tc>
          <w:tcPr>
            <w:tcW w:w="1610" w:type="pct"/>
            <w:shd w:val="clear" w:color="auto" w:fill="auto"/>
            <w:vAlign w:val="center"/>
          </w:tcPr>
          <w:p w14:paraId="21315CC7" w14:textId="77777777" w:rsidR="003E5EC5" w:rsidRPr="00D21141" w:rsidRDefault="003E5EC5" w:rsidP="00E106E6">
            <w:pPr>
              <w:pStyle w:val="Tabletext1"/>
              <w:rPr>
                <w:snapToGrid w:val="0"/>
              </w:rPr>
            </w:pPr>
            <w:r w:rsidRPr="00F66E92">
              <w:rPr>
                <w:snapToGrid w:val="0"/>
              </w:rPr>
              <w:t>Han et al (2015)</w:t>
            </w:r>
          </w:p>
        </w:tc>
        <w:tc>
          <w:tcPr>
            <w:tcW w:w="1371" w:type="pct"/>
          </w:tcPr>
          <w:p w14:paraId="7DC0FA15" w14:textId="77777777" w:rsidR="003E5EC5" w:rsidRPr="00D5237F" w:rsidRDefault="003E5EC5" w:rsidP="00E106E6">
            <w:pPr>
              <w:pStyle w:val="Tabletext1"/>
              <w:rPr>
                <w:snapToGrid w:val="0"/>
              </w:rPr>
            </w:pPr>
            <w:r w:rsidRPr="00B05E00">
              <w:rPr>
                <w:snapToGrid w:val="0"/>
              </w:rPr>
              <w:t>IV</w:t>
            </w:r>
          </w:p>
        </w:tc>
        <w:tc>
          <w:tcPr>
            <w:tcW w:w="2019" w:type="pct"/>
            <w:shd w:val="clear" w:color="auto" w:fill="auto"/>
          </w:tcPr>
          <w:p w14:paraId="6F46F5E1" w14:textId="77777777" w:rsidR="003E5EC5" w:rsidRPr="00374308" w:rsidRDefault="003E5EC5" w:rsidP="00E106E6">
            <w:pPr>
              <w:pStyle w:val="Tabletext1"/>
              <w:rPr>
                <w:snapToGrid w:val="0"/>
              </w:rPr>
            </w:pPr>
            <w:r w:rsidRPr="00374308">
              <w:rPr>
                <w:snapToGrid w:val="0"/>
              </w:rPr>
              <w:t>1/28 (3.6)</w:t>
            </w:r>
          </w:p>
        </w:tc>
      </w:tr>
      <w:tr w:rsidR="003E5EC5" w:rsidRPr="0069748F" w14:paraId="37602D34" w14:textId="77777777" w:rsidTr="008B51D1">
        <w:tc>
          <w:tcPr>
            <w:tcW w:w="1610" w:type="pct"/>
            <w:shd w:val="clear" w:color="auto" w:fill="auto"/>
            <w:vAlign w:val="center"/>
          </w:tcPr>
          <w:p w14:paraId="774C82E6" w14:textId="77777777" w:rsidR="003E5EC5" w:rsidRPr="00D21141" w:rsidRDefault="008063EA" w:rsidP="00E106E6">
            <w:pPr>
              <w:pStyle w:val="Tabletext1"/>
              <w:rPr>
                <w:snapToGrid w:val="0"/>
              </w:rPr>
            </w:pPr>
            <w:r>
              <w:rPr>
                <w:snapToGrid w:val="0"/>
              </w:rPr>
              <w:t>Liu &amp; Steinke (2015)</w:t>
            </w:r>
          </w:p>
        </w:tc>
        <w:tc>
          <w:tcPr>
            <w:tcW w:w="1371" w:type="pct"/>
          </w:tcPr>
          <w:p w14:paraId="4D469F40" w14:textId="77777777" w:rsidR="003E5EC5" w:rsidRPr="00D5237F" w:rsidRDefault="003E5EC5" w:rsidP="00E106E6">
            <w:pPr>
              <w:pStyle w:val="Tabletext1"/>
              <w:rPr>
                <w:snapToGrid w:val="0"/>
              </w:rPr>
            </w:pPr>
            <w:r w:rsidRPr="00B05E00">
              <w:rPr>
                <w:snapToGrid w:val="0"/>
              </w:rPr>
              <w:t>IV</w:t>
            </w:r>
          </w:p>
        </w:tc>
        <w:tc>
          <w:tcPr>
            <w:tcW w:w="2019" w:type="pct"/>
            <w:shd w:val="clear" w:color="auto" w:fill="auto"/>
          </w:tcPr>
          <w:p w14:paraId="29583118" w14:textId="77777777" w:rsidR="003E5EC5" w:rsidRPr="00374308" w:rsidRDefault="003E5EC5" w:rsidP="00E106E6">
            <w:pPr>
              <w:pStyle w:val="Tabletext1"/>
              <w:rPr>
                <w:snapToGrid w:val="0"/>
              </w:rPr>
            </w:pPr>
            <w:r>
              <w:rPr>
                <w:snapToGrid w:val="0"/>
              </w:rPr>
              <w:t>1/16 (6.3)</w:t>
            </w:r>
          </w:p>
        </w:tc>
      </w:tr>
      <w:tr w:rsidR="003E5EC5" w:rsidRPr="0069748F" w14:paraId="58EC9E0A" w14:textId="77777777" w:rsidTr="008B51D1">
        <w:tc>
          <w:tcPr>
            <w:tcW w:w="1610" w:type="pct"/>
            <w:shd w:val="clear" w:color="auto" w:fill="auto"/>
            <w:vAlign w:val="center"/>
          </w:tcPr>
          <w:p w14:paraId="7FB2E24D" w14:textId="77777777" w:rsidR="003E5EC5" w:rsidRPr="00D21141" w:rsidRDefault="003E5EC5" w:rsidP="00E106E6">
            <w:pPr>
              <w:pStyle w:val="Tabletext1"/>
              <w:rPr>
                <w:snapToGrid w:val="0"/>
              </w:rPr>
            </w:pPr>
            <w:r w:rsidRPr="00F66E92">
              <w:rPr>
                <w:snapToGrid w:val="0"/>
              </w:rPr>
              <w:t>Lu et al (2012)</w:t>
            </w:r>
          </w:p>
        </w:tc>
        <w:tc>
          <w:tcPr>
            <w:tcW w:w="1371" w:type="pct"/>
          </w:tcPr>
          <w:p w14:paraId="0CA0AFF1" w14:textId="77777777" w:rsidR="003E5EC5" w:rsidRPr="00D5237F" w:rsidRDefault="003E5EC5" w:rsidP="00E106E6">
            <w:pPr>
              <w:pStyle w:val="Tabletext1"/>
              <w:rPr>
                <w:snapToGrid w:val="0"/>
              </w:rPr>
            </w:pPr>
            <w:r w:rsidRPr="00B05E00">
              <w:rPr>
                <w:snapToGrid w:val="0"/>
              </w:rPr>
              <w:t>IV</w:t>
            </w:r>
          </w:p>
        </w:tc>
        <w:tc>
          <w:tcPr>
            <w:tcW w:w="2019" w:type="pct"/>
            <w:shd w:val="clear" w:color="auto" w:fill="auto"/>
          </w:tcPr>
          <w:p w14:paraId="0B8A6FB8" w14:textId="77777777" w:rsidR="003E5EC5" w:rsidRPr="00374308" w:rsidRDefault="003E5EC5" w:rsidP="00E106E6">
            <w:pPr>
              <w:pStyle w:val="Tabletext1"/>
              <w:rPr>
                <w:snapToGrid w:val="0"/>
              </w:rPr>
            </w:pPr>
            <w:r>
              <w:rPr>
                <w:snapToGrid w:val="0"/>
              </w:rPr>
              <w:t>5/69 (7.3</w:t>
            </w:r>
            <w:r w:rsidRPr="00374308">
              <w:rPr>
                <w:snapToGrid w:val="0"/>
              </w:rPr>
              <w:t xml:space="preserve">) </w:t>
            </w:r>
          </w:p>
        </w:tc>
      </w:tr>
      <w:tr w:rsidR="00000C3A" w:rsidRPr="0069748F" w14:paraId="100278F8" w14:textId="77777777" w:rsidTr="008B51D1">
        <w:tc>
          <w:tcPr>
            <w:tcW w:w="1610" w:type="pct"/>
            <w:shd w:val="clear" w:color="auto" w:fill="auto"/>
            <w:vAlign w:val="center"/>
          </w:tcPr>
          <w:p w14:paraId="0877C851" w14:textId="77777777" w:rsidR="00000C3A" w:rsidRPr="00F66E92" w:rsidRDefault="00000C3A" w:rsidP="00E106E6">
            <w:pPr>
              <w:pStyle w:val="Tabletext1"/>
              <w:rPr>
                <w:snapToGrid w:val="0"/>
              </w:rPr>
            </w:pPr>
            <w:r>
              <w:rPr>
                <w:snapToGrid w:val="0"/>
              </w:rPr>
              <w:t>Ni et al (2015)</w:t>
            </w:r>
          </w:p>
        </w:tc>
        <w:tc>
          <w:tcPr>
            <w:tcW w:w="1371" w:type="pct"/>
          </w:tcPr>
          <w:p w14:paraId="764C875E" w14:textId="77777777" w:rsidR="00000C3A" w:rsidRPr="00B05E00" w:rsidRDefault="00000C3A" w:rsidP="00E106E6">
            <w:pPr>
              <w:pStyle w:val="Tabletext1"/>
              <w:rPr>
                <w:snapToGrid w:val="0"/>
              </w:rPr>
            </w:pPr>
            <w:r>
              <w:rPr>
                <w:snapToGrid w:val="0"/>
              </w:rPr>
              <w:t>IV</w:t>
            </w:r>
          </w:p>
        </w:tc>
        <w:tc>
          <w:tcPr>
            <w:tcW w:w="2019" w:type="pct"/>
            <w:shd w:val="clear" w:color="auto" w:fill="auto"/>
          </w:tcPr>
          <w:p w14:paraId="70F206F9" w14:textId="77777777" w:rsidR="00000C3A" w:rsidRDefault="00000C3A" w:rsidP="00E106E6">
            <w:pPr>
              <w:pStyle w:val="Tabletext1"/>
              <w:rPr>
                <w:snapToGrid w:val="0"/>
              </w:rPr>
            </w:pPr>
            <w:r>
              <w:rPr>
                <w:snapToGrid w:val="0"/>
              </w:rPr>
              <w:t>1/39 (2.6)</w:t>
            </w:r>
          </w:p>
        </w:tc>
      </w:tr>
      <w:tr w:rsidR="003E5EC5" w:rsidRPr="0069748F" w14:paraId="408015D4" w14:textId="77777777" w:rsidTr="008B51D1">
        <w:tc>
          <w:tcPr>
            <w:tcW w:w="1610" w:type="pct"/>
            <w:shd w:val="clear" w:color="auto" w:fill="auto"/>
            <w:vAlign w:val="center"/>
          </w:tcPr>
          <w:p w14:paraId="49E774F8" w14:textId="77777777" w:rsidR="003E5EC5" w:rsidRPr="00F66E92" w:rsidRDefault="003E5EC5" w:rsidP="00E106E6">
            <w:pPr>
              <w:pStyle w:val="Tabletext1"/>
              <w:rPr>
                <w:snapToGrid w:val="0"/>
              </w:rPr>
            </w:pPr>
            <w:r w:rsidRPr="00D21141">
              <w:rPr>
                <w:snapToGrid w:val="0"/>
              </w:rPr>
              <w:t>Vogl et al (2015)</w:t>
            </w:r>
            <w:r w:rsidRPr="008063EA">
              <w:rPr>
                <w:snapToGrid w:val="0"/>
                <w:vertAlign w:val="superscript"/>
              </w:rPr>
              <w:t>a</w:t>
            </w:r>
          </w:p>
        </w:tc>
        <w:tc>
          <w:tcPr>
            <w:tcW w:w="1371" w:type="pct"/>
          </w:tcPr>
          <w:p w14:paraId="4F7F34BF" w14:textId="77777777" w:rsidR="003E5EC5" w:rsidRPr="00D5237F" w:rsidRDefault="003E5EC5" w:rsidP="00E106E6">
            <w:pPr>
              <w:pStyle w:val="Tabletext1"/>
              <w:rPr>
                <w:snapToGrid w:val="0"/>
              </w:rPr>
            </w:pPr>
            <w:r w:rsidRPr="00B05E00">
              <w:rPr>
                <w:snapToGrid w:val="0"/>
              </w:rPr>
              <w:t>IV</w:t>
            </w:r>
          </w:p>
        </w:tc>
        <w:tc>
          <w:tcPr>
            <w:tcW w:w="2019" w:type="pct"/>
            <w:shd w:val="clear" w:color="auto" w:fill="auto"/>
          </w:tcPr>
          <w:p w14:paraId="5E175761" w14:textId="77777777" w:rsidR="003E5EC5" w:rsidRDefault="003E5EC5" w:rsidP="00E106E6">
            <w:pPr>
              <w:pStyle w:val="Tabletext1"/>
              <w:rPr>
                <w:snapToGrid w:val="0"/>
              </w:rPr>
            </w:pPr>
            <w:r w:rsidRPr="00D5237F">
              <w:rPr>
                <w:snapToGrid w:val="0"/>
              </w:rPr>
              <w:t>6/130 (4.6)</w:t>
            </w:r>
          </w:p>
        </w:tc>
      </w:tr>
      <w:tr w:rsidR="003E5EC5" w:rsidRPr="0069748F" w14:paraId="29B77913" w14:textId="77777777" w:rsidTr="008B51D1">
        <w:tc>
          <w:tcPr>
            <w:tcW w:w="1610" w:type="pct"/>
            <w:shd w:val="clear" w:color="auto" w:fill="auto"/>
            <w:vAlign w:val="center"/>
          </w:tcPr>
          <w:p w14:paraId="0CD24DF2" w14:textId="77777777" w:rsidR="003E5EC5" w:rsidRPr="00F66E92" w:rsidRDefault="003E5EC5" w:rsidP="00E106E6">
            <w:pPr>
              <w:pStyle w:val="Tabletext1"/>
              <w:rPr>
                <w:snapToGrid w:val="0"/>
              </w:rPr>
            </w:pPr>
            <w:r w:rsidRPr="00D21141">
              <w:rPr>
                <w:snapToGrid w:val="0"/>
              </w:rPr>
              <w:t>Wolf et al (2006)</w:t>
            </w:r>
          </w:p>
        </w:tc>
        <w:tc>
          <w:tcPr>
            <w:tcW w:w="1371" w:type="pct"/>
          </w:tcPr>
          <w:p w14:paraId="7B04EDEA" w14:textId="77777777" w:rsidR="003E5EC5" w:rsidRPr="00D5237F" w:rsidRDefault="003E5EC5" w:rsidP="00E106E6">
            <w:pPr>
              <w:pStyle w:val="Tabletext1"/>
              <w:rPr>
                <w:snapToGrid w:val="0"/>
              </w:rPr>
            </w:pPr>
            <w:r w:rsidRPr="00B05E00">
              <w:rPr>
                <w:snapToGrid w:val="0"/>
              </w:rPr>
              <w:t>IV</w:t>
            </w:r>
          </w:p>
        </w:tc>
        <w:tc>
          <w:tcPr>
            <w:tcW w:w="2019" w:type="pct"/>
            <w:shd w:val="clear" w:color="auto" w:fill="auto"/>
          </w:tcPr>
          <w:p w14:paraId="07282246" w14:textId="77777777" w:rsidR="003E5EC5" w:rsidRDefault="003E5EC5" w:rsidP="00E106E6">
            <w:pPr>
              <w:pStyle w:val="Tabletext1"/>
              <w:rPr>
                <w:snapToGrid w:val="0"/>
              </w:rPr>
            </w:pPr>
            <w:r w:rsidRPr="00D5237F">
              <w:rPr>
                <w:snapToGrid w:val="0"/>
              </w:rPr>
              <w:t>4/66 (6</w:t>
            </w:r>
            <w:r>
              <w:rPr>
                <w:snapToGrid w:val="0"/>
              </w:rPr>
              <w:t>.1</w:t>
            </w:r>
            <w:r w:rsidRPr="00D5237F">
              <w:rPr>
                <w:snapToGrid w:val="0"/>
              </w:rPr>
              <w:t>)</w:t>
            </w:r>
          </w:p>
        </w:tc>
      </w:tr>
      <w:tr w:rsidR="003E5EC5" w:rsidRPr="0069748F" w14:paraId="6F8AB427" w14:textId="77777777" w:rsidTr="008B51D1">
        <w:tc>
          <w:tcPr>
            <w:tcW w:w="1610" w:type="pct"/>
            <w:shd w:val="clear" w:color="auto" w:fill="auto"/>
            <w:vAlign w:val="center"/>
          </w:tcPr>
          <w:p w14:paraId="7EAC96BB" w14:textId="77777777" w:rsidR="003E5EC5" w:rsidRPr="00F66E92" w:rsidRDefault="003E5EC5" w:rsidP="00E106E6">
            <w:pPr>
              <w:pStyle w:val="Tabletext1"/>
              <w:rPr>
                <w:snapToGrid w:val="0"/>
              </w:rPr>
            </w:pPr>
            <w:r w:rsidRPr="00D21141">
              <w:rPr>
                <w:snapToGrid w:val="0"/>
              </w:rPr>
              <w:t>Yang et al (2014)</w:t>
            </w:r>
          </w:p>
        </w:tc>
        <w:tc>
          <w:tcPr>
            <w:tcW w:w="1371" w:type="pct"/>
          </w:tcPr>
          <w:p w14:paraId="3E1F730D" w14:textId="77777777" w:rsidR="003E5EC5" w:rsidRPr="00D5237F" w:rsidRDefault="003E5EC5" w:rsidP="00E106E6">
            <w:pPr>
              <w:pStyle w:val="Tabletext1"/>
              <w:rPr>
                <w:snapToGrid w:val="0"/>
              </w:rPr>
            </w:pPr>
            <w:r w:rsidRPr="00B05E00">
              <w:rPr>
                <w:snapToGrid w:val="0"/>
              </w:rPr>
              <w:t>IV</w:t>
            </w:r>
          </w:p>
        </w:tc>
        <w:tc>
          <w:tcPr>
            <w:tcW w:w="2019" w:type="pct"/>
            <w:shd w:val="clear" w:color="auto" w:fill="auto"/>
          </w:tcPr>
          <w:p w14:paraId="578DA1F2" w14:textId="77777777" w:rsidR="003E5EC5" w:rsidRDefault="003E5EC5" w:rsidP="00E106E6">
            <w:pPr>
              <w:pStyle w:val="Tabletext1"/>
              <w:rPr>
                <w:snapToGrid w:val="0"/>
              </w:rPr>
            </w:pPr>
            <w:r>
              <w:rPr>
                <w:snapToGrid w:val="0"/>
              </w:rPr>
              <w:t>15/47 (31.9</w:t>
            </w:r>
            <w:r w:rsidRPr="00D5237F">
              <w:rPr>
                <w:snapToGrid w:val="0"/>
              </w:rPr>
              <w:t>), 7 occurring during ablation</w:t>
            </w:r>
          </w:p>
        </w:tc>
      </w:tr>
      <w:tr w:rsidR="003E5EC5" w:rsidRPr="0069748F" w14:paraId="7AA3E93E" w14:textId="77777777" w:rsidTr="008B51D1">
        <w:tc>
          <w:tcPr>
            <w:tcW w:w="1610" w:type="pct"/>
            <w:tcBorders>
              <w:bottom w:val="single" w:sz="4" w:space="0" w:color="auto"/>
            </w:tcBorders>
            <w:shd w:val="clear" w:color="auto" w:fill="auto"/>
            <w:vAlign w:val="center"/>
          </w:tcPr>
          <w:p w14:paraId="372E23F2" w14:textId="77777777" w:rsidR="003E5EC5" w:rsidRPr="00F66E92" w:rsidRDefault="003E5EC5" w:rsidP="00E106E6">
            <w:pPr>
              <w:pStyle w:val="Tabletext1"/>
              <w:rPr>
                <w:snapToGrid w:val="0"/>
              </w:rPr>
            </w:pPr>
            <w:r w:rsidRPr="00D21141">
              <w:rPr>
                <w:snapToGrid w:val="0"/>
              </w:rPr>
              <w:t>Yang et al (2015)</w:t>
            </w:r>
          </w:p>
        </w:tc>
        <w:tc>
          <w:tcPr>
            <w:tcW w:w="1371" w:type="pct"/>
            <w:tcBorders>
              <w:bottom w:val="single" w:sz="4" w:space="0" w:color="auto"/>
            </w:tcBorders>
          </w:tcPr>
          <w:p w14:paraId="0025C46C" w14:textId="77777777" w:rsidR="003E5EC5" w:rsidRPr="00D5237F" w:rsidRDefault="003E5EC5" w:rsidP="00E106E6">
            <w:pPr>
              <w:pStyle w:val="Tabletext1"/>
              <w:rPr>
                <w:snapToGrid w:val="0"/>
              </w:rPr>
            </w:pPr>
            <w:r w:rsidRPr="00B05E00">
              <w:rPr>
                <w:snapToGrid w:val="0"/>
              </w:rPr>
              <w:t>IV</w:t>
            </w:r>
          </w:p>
        </w:tc>
        <w:tc>
          <w:tcPr>
            <w:tcW w:w="2019" w:type="pct"/>
            <w:tcBorders>
              <w:bottom w:val="single" w:sz="4" w:space="0" w:color="auto"/>
            </w:tcBorders>
            <w:shd w:val="clear" w:color="auto" w:fill="auto"/>
          </w:tcPr>
          <w:p w14:paraId="43ED1DFA" w14:textId="77777777" w:rsidR="003E5EC5" w:rsidRDefault="003E5EC5" w:rsidP="00E106E6">
            <w:pPr>
              <w:pStyle w:val="Tabletext1"/>
              <w:rPr>
                <w:snapToGrid w:val="0"/>
              </w:rPr>
            </w:pPr>
            <w:r>
              <w:rPr>
                <w:snapToGrid w:val="0"/>
              </w:rPr>
              <w:t>11/36 (30.6</w:t>
            </w:r>
            <w:r w:rsidRPr="00D5237F">
              <w:rPr>
                <w:snapToGrid w:val="0"/>
              </w:rPr>
              <w:t>)</w:t>
            </w:r>
          </w:p>
        </w:tc>
      </w:tr>
      <w:tr w:rsidR="003E5EC5" w:rsidRPr="0069748F" w14:paraId="1F52FDE5" w14:textId="77777777" w:rsidTr="008B51D1">
        <w:tc>
          <w:tcPr>
            <w:tcW w:w="1610" w:type="pct"/>
            <w:tcBorders>
              <w:bottom w:val="single" w:sz="4" w:space="0" w:color="auto"/>
              <w:right w:val="nil"/>
            </w:tcBorders>
            <w:shd w:val="clear" w:color="auto" w:fill="auto"/>
            <w:vAlign w:val="center"/>
          </w:tcPr>
          <w:p w14:paraId="7D37ED8D" w14:textId="77777777" w:rsidR="003E5EC5" w:rsidRPr="004E0F2D" w:rsidRDefault="003E5EC5" w:rsidP="00E106E6">
            <w:pPr>
              <w:pStyle w:val="Tabletext1"/>
              <w:rPr>
                <w:snapToGrid w:val="0"/>
              </w:rPr>
            </w:pPr>
            <w:r w:rsidRPr="004E0F2D">
              <w:rPr>
                <w:snapToGrid w:val="0"/>
              </w:rPr>
              <w:t>Pooled n/N (%)</w:t>
            </w:r>
          </w:p>
          <w:p w14:paraId="65A12824" w14:textId="77777777" w:rsidR="003E5EC5" w:rsidRPr="004E0F2D" w:rsidRDefault="003E5EC5" w:rsidP="00E106E6">
            <w:pPr>
              <w:pStyle w:val="Tabletext1"/>
              <w:rPr>
                <w:snapToGrid w:val="0"/>
              </w:rPr>
            </w:pPr>
            <w:r w:rsidRPr="004E0F2D">
              <w:rPr>
                <w:snapToGrid w:val="0"/>
              </w:rPr>
              <w:t>Median % (range)</w:t>
            </w:r>
          </w:p>
        </w:tc>
        <w:tc>
          <w:tcPr>
            <w:tcW w:w="1371" w:type="pct"/>
            <w:tcBorders>
              <w:left w:val="nil"/>
              <w:bottom w:val="single" w:sz="4" w:space="0" w:color="auto"/>
              <w:right w:val="nil"/>
            </w:tcBorders>
          </w:tcPr>
          <w:p w14:paraId="728DD8E6" w14:textId="77777777" w:rsidR="00172E96" w:rsidRDefault="00172E96" w:rsidP="00E106E6">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46C6D801" w14:textId="77777777" w:rsidR="003E5EC5" w:rsidRPr="00FF5480" w:rsidRDefault="00BD06D5" w:rsidP="00E106E6">
            <w:pPr>
              <w:pStyle w:val="Tabletext1"/>
              <w:rPr>
                <w:b/>
                <w:snapToGrid w:val="0"/>
              </w:rPr>
            </w:pPr>
            <w:r>
              <w:rPr>
                <w:rStyle w:val="quality-sign"/>
                <w:rFonts w:eastAsia="MS Mincho" w:cs="MS Mincho"/>
                <w:sz w:val="21"/>
                <w:szCs w:val="21"/>
              </w:rPr>
              <w:t xml:space="preserve"> </w:t>
            </w:r>
            <w:r w:rsidRPr="00FF5480">
              <w:rPr>
                <w:rStyle w:val="quality-sign"/>
                <w:rFonts w:eastAsia="MS Mincho" w:cs="MS Mincho"/>
                <w:b/>
                <w:sz w:val="21"/>
                <w:szCs w:val="21"/>
              </w:rPr>
              <w:t>VERY LOW</w:t>
            </w:r>
          </w:p>
        </w:tc>
        <w:tc>
          <w:tcPr>
            <w:tcW w:w="2019" w:type="pct"/>
            <w:tcBorders>
              <w:left w:val="nil"/>
              <w:bottom w:val="single" w:sz="4" w:space="0" w:color="auto"/>
            </w:tcBorders>
            <w:shd w:val="clear" w:color="auto" w:fill="auto"/>
            <w:vAlign w:val="center"/>
          </w:tcPr>
          <w:p w14:paraId="5559804B" w14:textId="77777777" w:rsidR="003E5EC5" w:rsidRPr="00A31B77" w:rsidRDefault="00A31B77" w:rsidP="00E106E6">
            <w:pPr>
              <w:pStyle w:val="Tabletext1"/>
              <w:rPr>
                <w:snapToGrid w:val="0"/>
              </w:rPr>
            </w:pPr>
            <w:r w:rsidRPr="00A31B77">
              <w:rPr>
                <w:snapToGrid w:val="0"/>
              </w:rPr>
              <w:t>48/545 (8.8</w:t>
            </w:r>
            <w:r w:rsidR="003E5EC5" w:rsidRPr="00A31B77">
              <w:rPr>
                <w:snapToGrid w:val="0"/>
              </w:rPr>
              <w:t>)</w:t>
            </w:r>
          </w:p>
          <w:p w14:paraId="659BA698" w14:textId="48604CF5" w:rsidR="003E5EC5" w:rsidRPr="004E0F2D" w:rsidRDefault="00A31B77" w:rsidP="00E106E6">
            <w:pPr>
              <w:pStyle w:val="Tabletext1"/>
              <w:rPr>
                <w:snapToGrid w:val="0"/>
              </w:rPr>
            </w:pPr>
            <w:r w:rsidRPr="00A31B77">
              <w:rPr>
                <w:snapToGrid w:val="0"/>
              </w:rPr>
              <w:t>6.1</w:t>
            </w:r>
            <w:r w:rsidR="003E5EC5" w:rsidRPr="00A31B77">
              <w:rPr>
                <w:snapToGrid w:val="0"/>
              </w:rPr>
              <w:t xml:space="preserve"> (0</w:t>
            </w:r>
            <w:r w:rsidR="007E3D66">
              <w:rPr>
                <w:snapToGrid w:val="0"/>
              </w:rPr>
              <w:t>–</w:t>
            </w:r>
            <w:r w:rsidR="003E5EC5" w:rsidRPr="00A31B77">
              <w:rPr>
                <w:snapToGrid w:val="0"/>
              </w:rPr>
              <w:t>31.9)</w:t>
            </w:r>
          </w:p>
        </w:tc>
      </w:tr>
      <w:tr w:rsidR="003E5EC5" w:rsidRPr="0069748F" w14:paraId="02FF1602" w14:textId="77777777" w:rsidTr="008B51D1">
        <w:tc>
          <w:tcPr>
            <w:tcW w:w="1610" w:type="pct"/>
            <w:tcBorders>
              <w:right w:val="nil"/>
            </w:tcBorders>
            <w:shd w:val="clear" w:color="auto" w:fill="D9D9D9" w:themeFill="background1" w:themeFillShade="D9"/>
            <w:vAlign w:val="center"/>
          </w:tcPr>
          <w:p w14:paraId="4DE30A84" w14:textId="77777777" w:rsidR="003E5EC5" w:rsidRPr="00E106E6" w:rsidRDefault="003E5EC5" w:rsidP="00E106E6">
            <w:pPr>
              <w:pStyle w:val="Tabletext1"/>
              <w:rPr>
                <w:b/>
                <w:snapToGrid w:val="0"/>
              </w:rPr>
            </w:pPr>
            <w:r w:rsidRPr="00E106E6">
              <w:rPr>
                <w:b/>
                <w:snapToGrid w:val="0"/>
              </w:rPr>
              <w:t>Infection</w:t>
            </w:r>
          </w:p>
        </w:tc>
        <w:tc>
          <w:tcPr>
            <w:tcW w:w="1371" w:type="pct"/>
            <w:tcBorders>
              <w:left w:val="nil"/>
              <w:right w:val="nil"/>
            </w:tcBorders>
            <w:shd w:val="clear" w:color="auto" w:fill="D9D9D9" w:themeFill="background1" w:themeFillShade="D9"/>
          </w:tcPr>
          <w:p w14:paraId="1A173901" w14:textId="77777777" w:rsidR="003E5EC5" w:rsidRPr="00E16552" w:rsidRDefault="003E5EC5" w:rsidP="00E106E6">
            <w:pPr>
              <w:pStyle w:val="Tabletext1"/>
              <w:rPr>
                <w:snapToGrid w:val="0"/>
              </w:rPr>
            </w:pPr>
          </w:p>
        </w:tc>
        <w:tc>
          <w:tcPr>
            <w:tcW w:w="2019" w:type="pct"/>
            <w:tcBorders>
              <w:left w:val="nil"/>
            </w:tcBorders>
            <w:shd w:val="clear" w:color="auto" w:fill="D9D9D9" w:themeFill="background1" w:themeFillShade="D9"/>
          </w:tcPr>
          <w:p w14:paraId="07F2A70B" w14:textId="77777777" w:rsidR="003E5EC5" w:rsidRPr="00E16552" w:rsidRDefault="003E5EC5" w:rsidP="00E106E6">
            <w:pPr>
              <w:pStyle w:val="Tabletext1"/>
              <w:rPr>
                <w:snapToGrid w:val="0"/>
              </w:rPr>
            </w:pPr>
          </w:p>
        </w:tc>
      </w:tr>
      <w:tr w:rsidR="003E5EC5" w:rsidRPr="0069748F" w14:paraId="636AF933" w14:textId="77777777" w:rsidTr="008B51D1">
        <w:tc>
          <w:tcPr>
            <w:tcW w:w="1610" w:type="pct"/>
            <w:shd w:val="clear" w:color="auto" w:fill="auto"/>
          </w:tcPr>
          <w:p w14:paraId="0EFC095F" w14:textId="77777777" w:rsidR="003E5EC5" w:rsidRPr="00C83213" w:rsidRDefault="003E5EC5" w:rsidP="00E106E6">
            <w:pPr>
              <w:pStyle w:val="Tabletext1"/>
              <w:rPr>
                <w:snapToGrid w:val="0"/>
              </w:rPr>
            </w:pPr>
            <w:r w:rsidRPr="003E5EC5">
              <w:rPr>
                <w:snapToGrid w:val="0"/>
              </w:rPr>
              <w:t>Carafiello et al (2012)</w:t>
            </w:r>
          </w:p>
        </w:tc>
        <w:tc>
          <w:tcPr>
            <w:tcW w:w="1371" w:type="pct"/>
          </w:tcPr>
          <w:p w14:paraId="76002F4B" w14:textId="77777777" w:rsidR="003E5EC5" w:rsidRPr="00B05E00" w:rsidRDefault="00E16552" w:rsidP="00E106E6">
            <w:pPr>
              <w:pStyle w:val="Tabletext1"/>
              <w:rPr>
                <w:snapToGrid w:val="0"/>
              </w:rPr>
            </w:pPr>
            <w:r w:rsidRPr="00B05E00">
              <w:rPr>
                <w:snapToGrid w:val="0"/>
              </w:rPr>
              <w:t>IV</w:t>
            </w:r>
          </w:p>
        </w:tc>
        <w:tc>
          <w:tcPr>
            <w:tcW w:w="2019" w:type="pct"/>
            <w:shd w:val="clear" w:color="auto" w:fill="auto"/>
          </w:tcPr>
          <w:p w14:paraId="0023406B" w14:textId="77777777" w:rsidR="003E5EC5" w:rsidRDefault="003E5EC5" w:rsidP="00E106E6">
            <w:pPr>
              <w:pStyle w:val="Tabletext1"/>
              <w:rPr>
                <w:snapToGrid w:val="0"/>
              </w:rPr>
            </w:pPr>
            <w:r w:rsidRPr="003E5EC5">
              <w:rPr>
                <w:snapToGrid w:val="0"/>
              </w:rPr>
              <w:t>0/46 (0)</w:t>
            </w:r>
          </w:p>
        </w:tc>
      </w:tr>
      <w:tr w:rsidR="003E5EC5" w:rsidRPr="0069748F" w14:paraId="044037DF" w14:textId="77777777" w:rsidTr="008B51D1">
        <w:tc>
          <w:tcPr>
            <w:tcW w:w="1610" w:type="pct"/>
            <w:shd w:val="clear" w:color="auto" w:fill="auto"/>
          </w:tcPr>
          <w:p w14:paraId="19E6F971" w14:textId="77777777" w:rsidR="003E5EC5" w:rsidRPr="003E5EC5" w:rsidRDefault="003E5EC5" w:rsidP="00E106E6">
            <w:pPr>
              <w:pStyle w:val="Tabletext1"/>
              <w:rPr>
                <w:snapToGrid w:val="0"/>
              </w:rPr>
            </w:pPr>
            <w:r>
              <w:rPr>
                <w:snapToGrid w:val="0"/>
              </w:rPr>
              <w:t>Little et al (2013)</w:t>
            </w:r>
          </w:p>
        </w:tc>
        <w:tc>
          <w:tcPr>
            <w:tcW w:w="1371" w:type="pct"/>
          </w:tcPr>
          <w:p w14:paraId="4CFC12BB" w14:textId="77777777" w:rsidR="003E5EC5" w:rsidRPr="00B05E00" w:rsidRDefault="00E16552" w:rsidP="00E106E6">
            <w:pPr>
              <w:pStyle w:val="Tabletext1"/>
              <w:rPr>
                <w:snapToGrid w:val="0"/>
              </w:rPr>
            </w:pPr>
            <w:r w:rsidRPr="00B05E00">
              <w:rPr>
                <w:snapToGrid w:val="0"/>
              </w:rPr>
              <w:t>IV</w:t>
            </w:r>
          </w:p>
        </w:tc>
        <w:tc>
          <w:tcPr>
            <w:tcW w:w="2019" w:type="pct"/>
            <w:shd w:val="clear" w:color="auto" w:fill="auto"/>
          </w:tcPr>
          <w:p w14:paraId="7D676FFD" w14:textId="77777777" w:rsidR="003E5EC5" w:rsidRPr="003E5EC5" w:rsidRDefault="003E5EC5" w:rsidP="00E106E6">
            <w:pPr>
              <w:pStyle w:val="Tabletext1"/>
              <w:rPr>
                <w:snapToGrid w:val="0"/>
              </w:rPr>
            </w:pPr>
            <w:r w:rsidRPr="003E5EC5">
              <w:rPr>
                <w:snapToGrid w:val="0"/>
              </w:rPr>
              <w:t>0/23 (0)</w:t>
            </w:r>
          </w:p>
        </w:tc>
      </w:tr>
      <w:tr w:rsidR="00E16552" w:rsidRPr="0069748F" w14:paraId="0ECE4AC0" w14:textId="77777777" w:rsidTr="008B51D1">
        <w:tc>
          <w:tcPr>
            <w:tcW w:w="1610" w:type="pct"/>
            <w:shd w:val="clear" w:color="auto" w:fill="auto"/>
          </w:tcPr>
          <w:p w14:paraId="2EAC1C56" w14:textId="77777777" w:rsidR="00E16552" w:rsidRPr="00C83213" w:rsidRDefault="00E16552" w:rsidP="00E106E6">
            <w:pPr>
              <w:pStyle w:val="Tabletext1"/>
              <w:rPr>
                <w:snapToGrid w:val="0"/>
              </w:rPr>
            </w:pPr>
            <w:r w:rsidRPr="003E5EC5">
              <w:rPr>
                <w:snapToGrid w:val="0"/>
              </w:rPr>
              <w:t>Splatt &amp; Steinke (2015)</w:t>
            </w:r>
            <w:r w:rsidRPr="005E1A24">
              <w:rPr>
                <w:snapToGrid w:val="0"/>
                <w:vertAlign w:val="superscript"/>
              </w:rPr>
              <w:t>a</w:t>
            </w:r>
          </w:p>
        </w:tc>
        <w:tc>
          <w:tcPr>
            <w:tcW w:w="1371" w:type="pct"/>
          </w:tcPr>
          <w:p w14:paraId="1BC7DD2C" w14:textId="77777777" w:rsidR="00E16552" w:rsidRPr="00E16552" w:rsidRDefault="00E16552" w:rsidP="00E106E6">
            <w:pPr>
              <w:pStyle w:val="Tabletext1"/>
              <w:rPr>
                <w:snapToGrid w:val="0"/>
              </w:rPr>
            </w:pPr>
            <w:r w:rsidRPr="00855A2E">
              <w:rPr>
                <w:snapToGrid w:val="0"/>
              </w:rPr>
              <w:t>IV</w:t>
            </w:r>
          </w:p>
        </w:tc>
        <w:tc>
          <w:tcPr>
            <w:tcW w:w="2019" w:type="pct"/>
            <w:shd w:val="clear" w:color="auto" w:fill="auto"/>
          </w:tcPr>
          <w:p w14:paraId="5D7C90DD" w14:textId="77777777" w:rsidR="00E16552" w:rsidRDefault="00E16552" w:rsidP="00E106E6">
            <w:pPr>
              <w:pStyle w:val="Tabletext1"/>
              <w:rPr>
                <w:snapToGrid w:val="0"/>
              </w:rPr>
            </w:pPr>
            <w:r w:rsidRPr="003E5EC5">
              <w:rPr>
                <w:snapToGrid w:val="0"/>
              </w:rPr>
              <w:t>2/70 (2.9)</w:t>
            </w:r>
          </w:p>
        </w:tc>
      </w:tr>
      <w:tr w:rsidR="00E16552" w:rsidRPr="0069748F" w14:paraId="31BF82BD" w14:textId="77777777" w:rsidTr="008B51D1">
        <w:tc>
          <w:tcPr>
            <w:tcW w:w="1610" w:type="pct"/>
            <w:shd w:val="clear" w:color="auto" w:fill="auto"/>
          </w:tcPr>
          <w:p w14:paraId="1B1660C6" w14:textId="77777777" w:rsidR="00E16552" w:rsidRPr="00C83213" w:rsidRDefault="00E16552" w:rsidP="00E106E6">
            <w:pPr>
              <w:pStyle w:val="Tabletext1"/>
              <w:rPr>
                <w:snapToGrid w:val="0"/>
              </w:rPr>
            </w:pPr>
            <w:r w:rsidRPr="003E5EC5">
              <w:rPr>
                <w:snapToGrid w:val="0"/>
              </w:rPr>
              <w:t>Sun et al (2015)</w:t>
            </w:r>
          </w:p>
        </w:tc>
        <w:tc>
          <w:tcPr>
            <w:tcW w:w="1371" w:type="pct"/>
          </w:tcPr>
          <w:p w14:paraId="448B482C" w14:textId="77777777" w:rsidR="00E16552" w:rsidRPr="00E16552" w:rsidRDefault="00E16552" w:rsidP="00E106E6">
            <w:pPr>
              <w:pStyle w:val="Tabletext1"/>
              <w:rPr>
                <w:snapToGrid w:val="0"/>
              </w:rPr>
            </w:pPr>
            <w:r w:rsidRPr="00855A2E">
              <w:rPr>
                <w:snapToGrid w:val="0"/>
              </w:rPr>
              <w:t>IV</w:t>
            </w:r>
          </w:p>
        </w:tc>
        <w:tc>
          <w:tcPr>
            <w:tcW w:w="2019" w:type="pct"/>
            <w:shd w:val="clear" w:color="auto" w:fill="auto"/>
          </w:tcPr>
          <w:p w14:paraId="2E5C9B53" w14:textId="77777777" w:rsidR="00E16552" w:rsidRDefault="00E16552" w:rsidP="00E106E6">
            <w:pPr>
              <w:pStyle w:val="Tabletext1"/>
              <w:rPr>
                <w:snapToGrid w:val="0"/>
              </w:rPr>
            </w:pPr>
            <w:r>
              <w:rPr>
                <w:snapToGrid w:val="0"/>
              </w:rPr>
              <w:t>7/40 (17.5</w:t>
            </w:r>
            <w:r w:rsidRPr="003E5EC5">
              <w:rPr>
                <w:snapToGrid w:val="0"/>
              </w:rPr>
              <w:t>)</w:t>
            </w:r>
          </w:p>
        </w:tc>
      </w:tr>
      <w:tr w:rsidR="006603D1" w:rsidRPr="0069748F" w14:paraId="12748B7A" w14:textId="77777777" w:rsidTr="008B51D1">
        <w:tc>
          <w:tcPr>
            <w:tcW w:w="1610" w:type="pct"/>
            <w:shd w:val="clear" w:color="auto" w:fill="auto"/>
          </w:tcPr>
          <w:p w14:paraId="1B07605C" w14:textId="77777777" w:rsidR="006603D1" w:rsidRPr="003E5EC5" w:rsidRDefault="006603D1" w:rsidP="00E106E6">
            <w:pPr>
              <w:pStyle w:val="Tabletext1"/>
              <w:rPr>
                <w:snapToGrid w:val="0"/>
              </w:rPr>
            </w:pPr>
            <w:r w:rsidRPr="006603D1">
              <w:rPr>
                <w:snapToGrid w:val="0"/>
              </w:rPr>
              <w:t>Vogl et al (2015)</w:t>
            </w:r>
            <w:r w:rsidRPr="005E1A24">
              <w:rPr>
                <w:snapToGrid w:val="0"/>
                <w:vertAlign w:val="superscript"/>
              </w:rPr>
              <w:t>a</w:t>
            </w:r>
          </w:p>
        </w:tc>
        <w:tc>
          <w:tcPr>
            <w:tcW w:w="1371" w:type="pct"/>
          </w:tcPr>
          <w:p w14:paraId="050858C8" w14:textId="77777777" w:rsidR="006603D1" w:rsidRPr="00855A2E" w:rsidRDefault="002E425C" w:rsidP="00E106E6">
            <w:pPr>
              <w:pStyle w:val="Tabletext1"/>
              <w:rPr>
                <w:snapToGrid w:val="0"/>
              </w:rPr>
            </w:pPr>
            <w:r w:rsidRPr="00B05E00">
              <w:rPr>
                <w:snapToGrid w:val="0"/>
              </w:rPr>
              <w:t>IV</w:t>
            </w:r>
          </w:p>
        </w:tc>
        <w:tc>
          <w:tcPr>
            <w:tcW w:w="2019" w:type="pct"/>
            <w:shd w:val="clear" w:color="auto" w:fill="auto"/>
          </w:tcPr>
          <w:p w14:paraId="2C429C57" w14:textId="77777777" w:rsidR="006603D1" w:rsidRPr="003E5EC5" w:rsidRDefault="006603D1" w:rsidP="00E106E6">
            <w:pPr>
              <w:pStyle w:val="Tabletext1"/>
              <w:rPr>
                <w:snapToGrid w:val="0"/>
              </w:rPr>
            </w:pPr>
            <w:r>
              <w:rPr>
                <w:snapToGrid w:val="0"/>
              </w:rPr>
              <w:t>0/130</w:t>
            </w:r>
            <w:r w:rsidR="00000C3A">
              <w:rPr>
                <w:snapToGrid w:val="0"/>
              </w:rPr>
              <w:t xml:space="preserve"> (0)</w:t>
            </w:r>
          </w:p>
        </w:tc>
      </w:tr>
      <w:tr w:rsidR="003E5EC5" w:rsidRPr="0069748F" w14:paraId="468552D6" w14:textId="77777777" w:rsidTr="008B51D1">
        <w:tc>
          <w:tcPr>
            <w:tcW w:w="1610" w:type="pct"/>
            <w:tcBorders>
              <w:bottom w:val="single" w:sz="4" w:space="0" w:color="auto"/>
              <w:right w:val="single" w:sz="4" w:space="0" w:color="auto"/>
            </w:tcBorders>
            <w:shd w:val="clear" w:color="auto" w:fill="auto"/>
          </w:tcPr>
          <w:p w14:paraId="1C1780F1" w14:textId="77777777" w:rsidR="003E5EC5" w:rsidRPr="003312E7" w:rsidRDefault="003E5EC5" w:rsidP="00E106E6">
            <w:pPr>
              <w:pStyle w:val="Tabletext1"/>
              <w:rPr>
                <w:snapToGrid w:val="0"/>
              </w:rPr>
            </w:pPr>
            <w:r w:rsidRPr="003312E7">
              <w:rPr>
                <w:snapToGrid w:val="0"/>
              </w:rPr>
              <w:t>Pooled n/N (%)</w:t>
            </w:r>
          </w:p>
          <w:p w14:paraId="4CBA6B2D" w14:textId="77777777" w:rsidR="003E5EC5" w:rsidRPr="003312E7" w:rsidRDefault="003E5EC5" w:rsidP="00E106E6">
            <w:pPr>
              <w:pStyle w:val="Tabletext1"/>
              <w:rPr>
                <w:snapToGrid w:val="0"/>
              </w:rPr>
            </w:pPr>
            <w:r w:rsidRPr="003312E7">
              <w:rPr>
                <w:snapToGrid w:val="0"/>
              </w:rPr>
              <w:t>Median % (range)</w:t>
            </w:r>
          </w:p>
        </w:tc>
        <w:tc>
          <w:tcPr>
            <w:tcW w:w="1371" w:type="pct"/>
            <w:tcBorders>
              <w:left w:val="single" w:sz="4" w:space="0" w:color="auto"/>
              <w:bottom w:val="single" w:sz="4" w:space="0" w:color="auto"/>
              <w:right w:val="single" w:sz="4" w:space="0" w:color="auto"/>
            </w:tcBorders>
          </w:tcPr>
          <w:p w14:paraId="26AE7E15" w14:textId="77777777" w:rsidR="00172E96" w:rsidRPr="00997BA0" w:rsidRDefault="00172E96" w:rsidP="00E106E6">
            <w:pPr>
              <w:pStyle w:val="Tabletext1"/>
              <w:rPr>
                <w:rFonts w:ascii="Cambria Math" w:hAnsi="Cambria Math" w:cs="Cambria Math"/>
                <w:color w:val="C00000"/>
              </w:rPr>
            </w:pPr>
            <w:r w:rsidRPr="00997BA0">
              <w:rPr>
                <w:rFonts w:ascii="Cambria Math" w:hAnsi="Cambria Math"/>
                <w:color w:val="00B050"/>
              </w:rPr>
              <w:t>⨁</w:t>
            </w:r>
            <w:r w:rsidRPr="00997BA0">
              <w:rPr>
                <w:rFonts w:ascii="Cambria Math" w:hAnsi="Cambria Math" w:cs="Cambria Math"/>
                <w:color w:val="C00000"/>
              </w:rPr>
              <w:t>⨀⨀⨀</w:t>
            </w:r>
          </w:p>
          <w:p w14:paraId="0F27B237" w14:textId="77777777" w:rsidR="003E5EC5" w:rsidRPr="003312E7" w:rsidRDefault="00BD06D5" w:rsidP="00E106E6">
            <w:pPr>
              <w:pStyle w:val="Tabletext1"/>
              <w:rPr>
                <w:snapToGrid w:val="0"/>
              </w:rPr>
            </w:pPr>
            <w:r w:rsidRPr="003312E7">
              <w:rPr>
                <w:rStyle w:val="quality-sign"/>
                <w:rFonts w:eastAsia="MS Mincho" w:cs="MS Mincho"/>
                <w:b/>
                <w:sz w:val="21"/>
                <w:szCs w:val="21"/>
              </w:rPr>
              <w:t>VERY LOW</w:t>
            </w:r>
          </w:p>
        </w:tc>
        <w:tc>
          <w:tcPr>
            <w:tcW w:w="2019" w:type="pct"/>
            <w:tcBorders>
              <w:left w:val="single" w:sz="4" w:space="0" w:color="auto"/>
              <w:bottom w:val="single" w:sz="4" w:space="0" w:color="auto"/>
            </w:tcBorders>
            <w:shd w:val="clear" w:color="auto" w:fill="auto"/>
          </w:tcPr>
          <w:p w14:paraId="00EC9F82" w14:textId="77777777" w:rsidR="003E5EC5" w:rsidRPr="003312E7" w:rsidRDefault="00A11782" w:rsidP="00E106E6">
            <w:pPr>
              <w:pStyle w:val="Tabletext1"/>
              <w:rPr>
                <w:snapToGrid w:val="0"/>
              </w:rPr>
            </w:pPr>
            <w:r>
              <w:rPr>
                <w:snapToGrid w:val="0"/>
              </w:rPr>
              <w:t>9/309 (2.9)</w:t>
            </w:r>
          </w:p>
          <w:p w14:paraId="10AFE232" w14:textId="17F58F42" w:rsidR="003E5EC5" w:rsidRPr="003312E7" w:rsidRDefault="00A11782" w:rsidP="00E106E6">
            <w:pPr>
              <w:pStyle w:val="Tabletext1"/>
              <w:rPr>
                <w:snapToGrid w:val="0"/>
              </w:rPr>
            </w:pPr>
            <w:r>
              <w:rPr>
                <w:snapToGrid w:val="0"/>
              </w:rPr>
              <w:t>0 (0</w:t>
            </w:r>
            <w:r w:rsidR="00D35E9C">
              <w:rPr>
                <w:snapToGrid w:val="0"/>
              </w:rPr>
              <w:t>–</w:t>
            </w:r>
            <w:r>
              <w:rPr>
                <w:snapToGrid w:val="0"/>
              </w:rPr>
              <w:t>17.5)</w:t>
            </w:r>
          </w:p>
        </w:tc>
      </w:tr>
      <w:tr w:rsidR="00E16552" w:rsidRPr="0069748F" w14:paraId="7A85B130" w14:textId="77777777" w:rsidTr="008B51D1">
        <w:tc>
          <w:tcPr>
            <w:tcW w:w="1610" w:type="pct"/>
            <w:tcBorders>
              <w:right w:val="nil"/>
            </w:tcBorders>
            <w:shd w:val="clear" w:color="auto" w:fill="D9D9D9" w:themeFill="background1" w:themeFillShade="D9"/>
            <w:vAlign w:val="center"/>
          </w:tcPr>
          <w:p w14:paraId="03C7A357" w14:textId="77777777" w:rsidR="00E16552" w:rsidRPr="00E106E6" w:rsidRDefault="00E16552" w:rsidP="00E106E6">
            <w:pPr>
              <w:pStyle w:val="Tabletext1"/>
              <w:rPr>
                <w:b/>
                <w:snapToGrid w:val="0"/>
              </w:rPr>
            </w:pPr>
            <w:r w:rsidRPr="00E106E6">
              <w:rPr>
                <w:b/>
                <w:snapToGrid w:val="0"/>
              </w:rPr>
              <w:t>Pleural effusion</w:t>
            </w:r>
          </w:p>
        </w:tc>
        <w:tc>
          <w:tcPr>
            <w:tcW w:w="1371" w:type="pct"/>
            <w:tcBorders>
              <w:left w:val="nil"/>
              <w:right w:val="nil"/>
            </w:tcBorders>
            <w:shd w:val="clear" w:color="auto" w:fill="D9D9D9" w:themeFill="background1" w:themeFillShade="D9"/>
          </w:tcPr>
          <w:p w14:paraId="1CD1F642" w14:textId="77777777" w:rsidR="00E16552" w:rsidRPr="00E16552" w:rsidRDefault="00E16552" w:rsidP="00E106E6">
            <w:pPr>
              <w:pStyle w:val="Tabletext1"/>
              <w:rPr>
                <w:snapToGrid w:val="0"/>
              </w:rPr>
            </w:pPr>
          </w:p>
        </w:tc>
        <w:tc>
          <w:tcPr>
            <w:tcW w:w="2019" w:type="pct"/>
            <w:tcBorders>
              <w:left w:val="nil"/>
            </w:tcBorders>
            <w:shd w:val="clear" w:color="auto" w:fill="D9D9D9" w:themeFill="background1" w:themeFillShade="D9"/>
          </w:tcPr>
          <w:p w14:paraId="3DE0F78D" w14:textId="77777777" w:rsidR="00E16552" w:rsidRPr="00E16552" w:rsidRDefault="00E16552" w:rsidP="00E106E6">
            <w:pPr>
              <w:pStyle w:val="Tabletext1"/>
              <w:rPr>
                <w:snapToGrid w:val="0"/>
              </w:rPr>
            </w:pPr>
          </w:p>
        </w:tc>
      </w:tr>
      <w:tr w:rsidR="00E16552" w:rsidRPr="0069748F" w14:paraId="7D30FC89" w14:textId="77777777" w:rsidTr="008B51D1">
        <w:tc>
          <w:tcPr>
            <w:tcW w:w="1610" w:type="pct"/>
            <w:shd w:val="clear" w:color="auto" w:fill="auto"/>
            <w:vAlign w:val="center"/>
          </w:tcPr>
          <w:p w14:paraId="75EB7DE3" w14:textId="77777777" w:rsidR="00E16552" w:rsidRPr="00C83213" w:rsidRDefault="00E16552" w:rsidP="00E106E6">
            <w:pPr>
              <w:pStyle w:val="Tabletext1"/>
              <w:rPr>
                <w:snapToGrid w:val="0"/>
              </w:rPr>
            </w:pPr>
            <w:r w:rsidRPr="00E16552">
              <w:rPr>
                <w:snapToGrid w:val="0"/>
              </w:rPr>
              <w:t>Carafiello et al (2012)</w:t>
            </w:r>
          </w:p>
        </w:tc>
        <w:tc>
          <w:tcPr>
            <w:tcW w:w="1371" w:type="pct"/>
          </w:tcPr>
          <w:p w14:paraId="66496C9E" w14:textId="77777777" w:rsidR="00E16552" w:rsidRPr="00B05E00" w:rsidRDefault="002E425C" w:rsidP="00E106E6">
            <w:pPr>
              <w:pStyle w:val="Tabletext1"/>
              <w:rPr>
                <w:snapToGrid w:val="0"/>
              </w:rPr>
            </w:pPr>
            <w:r w:rsidRPr="00B05E00">
              <w:rPr>
                <w:snapToGrid w:val="0"/>
              </w:rPr>
              <w:t>IV</w:t>
            </w:r>
          </w:p>
        </w:tc>
        <w:tc>
          <w:tcPr>
            <w:tcW w:w="2019" w:type="pct"/>
            <w:shd w:val="clear" w:color="auto" w:fill="auto"/>
          </w:tcPr>
          <w:p w14:paraId="29D8CCAE" w14:textId="77777777" w:rsidR="00E16552" w:rsidRPr="00B05E00" w:rsidRDefault="00E16552" w:rsidP="00E106E6">
            <w:pPr>
              <w:pStyle w:val="Tabletext1"/>
              <w:rPr>
                <w:snapToGrid w:val="0"/>
              </w:rPr>
            </w:pPr>
            <w:r>
              <w:rPr>
                <w:snapToGrid w:val="0"/>
              </w:rPr>
              <w:t>4/46 (8.7</w:t>
            </w:r>
            <w:r w:rsidRPr="00E16552">
              <w:rPr>
                <w:snapToGrid w:val="0"/>
              </w:rPr>
              <w:t>)</w:t>
            </w:r>
          </w:p>
        </w:tc>
      </w:tr>
      <w:tr w:rsidR="002E425C" w:rsidRPr="0069748F" w14:paraId="0B7AD895" w14:textId="77777777" w:rsidTr="008B51D1">
        <w:tc>
          <w:tcPr>
            <w:tcW w:w="1610" w:type="pct"/>
            <w:shd w:val="clear" w:color="auto" w:fill="auto"/>
            <w:vAlign w:val="center"/>
          </w:tcPr>
          <w:p w14:paraId="5B54FEFE" w14:textId="77777777" w:rsidR="002E425C" w:rsidRPr="00C83213" w:rsidRDefault="002E425C" w:rsidP="00E106E6">
            <w:pPr>
              <w:pStyle w:val="Tabletext1"/>
              <w:rPr>
                <w:snapToGrid w:val="0"/>
              </w:rPr>
            </w:pPr>
            <w:r w:rsidRPr="00E16552">
              <w:rPr>
                <w:snapToGrid w:val="0"/>
              </w:rPr>
              <w:t>Carrafiello et al (2014)</w:t>
            </w:r>
          </w:p>
        </w:tc>
        <w:tc>
          <w:tcPr>
            <w:tcW w:w="1371" w:type="pct"/>
          </w:tcPr>
          <w:p w14:paraId="66C72D6A" w14:textId="77777777" w:rsidR="002E425C" w:rsidRDefault="002E425C" w:rsidP="00E106E6">
            <w:pPr>
              <w:pStyle w:val="Tabletext1"/>
            </w:pPr>
            <w:r w:rsidRPr="009A6A06">
              <w:rPr>
                <w:snapToGrid w:val="0"/>
              </w:rPr>
              <w:t>IV</w:t>
            </w:r>
          </w:p>
        </w:tc>
        <w:tc>
          <w:tcPr>
            <w:tcW w:w="2019" w:type="pct"/>
            <w:shd w:val="clear" w:color="auto" w:fill="auto"/>
          </w:tcPr>
          <w:p w14:paraId="02261EDE" w14:textId="77777777" w:rsidR="002E425C" w:rsidRPr="00B05E00" w:rsidRDefault="002E425C" w:rsidP="00E106E6">
            <w:pPr>
              <w:pStyle w:val="Tabletext1"/>
              <w:rPr>
                <w:snapToGrid w:val="0"/>
              </w:rPr>
            </w:pPr>
            <w:r>
              <w:rPr>
                <w:snapToGrid w:val="0"/>
              </w:rPr>
              <w:t>1/24 (4.2</w:t>
            </w:r>
            <w:r w:rsidRPr="00E16552">
              <w:rPr>
                <w:snapToGrid w:val="0"/>
              </w:rPr>
              <w:t>)</w:t>
            </w:r>
          </w:p>
        </w:tc>
      </w:tr>
      <w:tr w:rsidR="002E425C" w:rsidRPr="0069748F" w14:paraId="092C8BB6" w14:textId="77777777" w:rsidTr="008B51D1">
        <w:tc>
          <w:tcPr>
            <w:tcW w:w="1610" w:type="pct"/>
            <w:shd w:val="clear" w:color="auto" w:fill="auto"/>
            <w:vAlign w:val="center"/>
          </w:tcPr>
          <w:p w14:paraId="02D38CE0" w14:textId="77777777" w:rsidR="002E425C" w:rsidRPr="00E16552" w:rsidRDefault="002E425C" w:rsidP="00E106E6">
            <w:pPr>
              <w:pStyle w:val="Tabletext1"/>
              <w:rPr>
                <w:snapToGrid w:val="0"/>
              </w:rPr>
            </w:pPr>
            <w:r w:rsidRPr="00F66E92">
              <w:rPr>
                <w:snapToGrid w:val="0"/>
              </w:rPr>
              <w:t>Chung et al (2014)</w:t>
            </w:r>
          </w:p>
        </w:tc>
        <w:tc>
          <w:tcPr>
            <w:tcW w:w="1371" w:type="pct"/>
          </w:tcPr>
          <w:p w14:paraId="08D00F16" w14:textId="77777777" w:rsidR="002E425C" w:rsidRPr="002E425C" w:rsidRDefault="002E425C" w:rsidP="00E106E6">
            <w:pPr>
              <w:pStyle w:val="Tabletext1"/>
              <w:rPr>
                <w:snapToGrid w:val="0"/>
              </w:rPr>
            </w:pPr>
            <w:r w:rsidRPr="009A6A06">
              <w:rPr>
                <w:snapToGrid w:val="0"/>
              </w:rPr>
              <w:t>IV</w:t>
            </w:r>
          </w:p>
        </w:tc>
        <w:tc>
          <w:tcPr>
            <w:tcW w:w="2019" w:type="pct"/>
            <w:shd w:val="clear" w:color="auto" w:fill="auto"/>
          </w:tcPr>
          <w:p w14:paraId="30DF7F8A" w14:textId="77777777" w:rsidR="002E425C" w:rsidRPr="00EC3462" w:rsidRDefault="002E425C" w:rsidP="00E106E6">
            <w:pPr>
              <w:pStyle w:val="Tabletext1"/>
              <w:rPr>
                <w:snapToGrid w:val="0"/>
              </w:rPr>
            </w:pPr>
            <w:r>
              <w:rPr>
                <w:snapToGrid w:val="0"/>
              </w:rPr>
              <w:t>14/46 (30.4</w:t>
            </w:r>
            <w:r w:rsidRPr="00EC3462">
              <w:rPr>
                <w:snapToGrid w:val="0"/>
              </w:rPr>
              <w:t>)</w:t>
            </w:r>
          </w:p>
        </w:tc>
      </w:tr>
      <w:tr w:rsidR="002E425C" w:rsidRPr="0069748F" w14:paraId="5D622052" w14:textId="77777777" w:rsidTr="008B51D1">
        <w:tc>
          <w:tcPr>
            <w:tcW w:w="1610" w:type="pct"/>
            <w:shd w:val="clear" w:color="auto" w:fill="auto"/>
            <w:vAlign w:val="center"/>
          </w:tcPr>
          <w:p w14:paraId="0CF8821D" w14:textId="77777777" w:rsidR="002E425C" w:rsidRPr="00E16552" w:rsidRDefault="002E425C" w:rsidP="00E106E6">
            <w:pPr>
              <w:pStyle w:val="Tabletext1"/>
              <w:rPr>
                <w:snapToGrid w:val="0"/>
              </w:rPr>
            </w:pPr>
            <w:r w:rsidRPr="00F66E92">
              <w:rPr>
                <w:snapToGrid w:val="0"/>
              </w:rPr>
              <w:t>Egashira et al (2016)</w:t>
            </w:r>
          </w:p>
        </w:tc>
        <w:tc>
          <w:tcPr>
            <w:tcW w:w="1371" w:type="pct"/>
          </w:tcPr>
          <w:p w14:paraId="34A44078" w14:textId="77777777" w:rsidR="002E425C" w:rsidRPr="002E425C" w:rsidRDefault="002E425C" w:rsidP="00E106E6">
            <w:pPr>
              <w:pStyle w:val="Tabletext1"/>
              <w:rPr>
                <w:snapToGrid w:val="0"/>
              </w:rPr>
            </w:pPr>
            <w:r w:rsidRPr="009A6A06">
              <w:rPr>
                <w:snapToGrid w:val="0"/>
              </w:rPr>
              <w:t>IV</w:t>
            </w:r>
          </w:p>
        </w:tc>
        <w:tc>
          <w:tcPr>
            <w:tcW w:w="2019" w:type="pct"/>
            <w:shd w:val="clear" w:color="auto" w:fill="auto"/>
          </w:tcPr>
          <w:p w14:paraId="1C49FC56" w14:textId="77777777" w:rsidR="002E425C" w:rsidRPr="00EC3462" w:rsidRDefault="002E425C" w:rsidP="00E106E6">
            <w:pPr>
              <w:pStyle w:val="Tabletext1"/>
              <w:rPr>
                <w:snapToGrid w:val="0"/>
              </w:rPr>
            </w:pPr>
            <w:r>
              <w:rPr>
                <w:snapToGrid w:val="0"/>
              </w:rPr>
              <w:t xml:space="preserve"> 0/62 (0</w:t>
            </w:r>
            <w:r w:rsidRPr="00EC3462">
              <w:rPr>
                <w:snapToGrid w:val="0"/>
              </w:rPr>
              <w:t>)</w:t>
            </w:r>
          </w:p>
        </w:tc>
      </w:tr>
      <w:tr w:rsidR="002E425C" w:rsidRPr="0069748F" w14:paraId="784FC31B" w14:textId="77777777" w:rsidTr="008B51D1">
        <w:tc>
          <w:tcPr>
            <w:tcW w:w="1610" w:type="pct"/>
            <w:shd w:val="clear" w:color="auto" w:fill="auto"/>
            <w:vAlign w:val="center"/>
          </w:tcPr>
          <w:p w14:paraId="187EC2A8" w14:textId="77777777" w:rsidR="002E425C" w:rsidRPr="00C83213" w:rsidRDefault="002E425C" w:rsidP="00E106E6">
            <w:pPr>
              <w:pStyle w:val="Tabletext1"/>
              <w:rPr>
                <w:snapToGrid w:val="0"/>
              </w:rPr>
            </w:pPr>
            <w:r w:rsidRPr="00E16552">
              <w:rPr>
                <w:snapToGrid w:val="0"/>
              </w:rPr>
              <w:t>Ni et al (2015)</w:t>
            </w:r>
          </w:p>
        </w:tc>
        <w:tc>
          <w:tcPr>
            <w:tcW w:w="1371" w:type="pct"/>
          </w:tcPr>
          <w:p w14:paraId="51FE6AD7" w14:textId="77777777" w:rsidR="002E425C" w:rsidRPr="002E425C" w:rsidRDefault="002E425C" w:rsidP="00E106E6">
            <w:pPr>
              <w:pStyle w:val="Tabletext1"/>
              <w:rPr>
                <w:snapToGrid w:val="0"/>
              </w:rPr>
            </w:pPr>
            <w:r w:rsidRPr="009A6A06">
              <w:rPr>
                <w:snapToGrid w:val="0"/>
              </w:rPr>
              <w:t>IV</w:t>
            </w:r>
          </w:p>
        </w:tc>
        <w:tc>
          <w:tcPr>
            <w:tcW w:w="2019" w:type="pct"/>
            <w:shd w:val="clear" w:color="auto" w:fill="auto"/>
          </w:tcPr>
          <w:p w14:paraId="2855A2B5" w14:textId="77777777" w:rsidR="002E425C" w:rsidRPr="00B05E00" w:rsidRDefault="002E425C" w:rsidP="00E106E6">
            <w:pPr>
              <w:pStyle w:val="Tabletext1"/>
              <w:rPr>
                <w:snapToGrid w:val="0"/>
              </w:rPr>
            </w:pPr>
            <w:r>
              <w:rPr>
                <w:snapToGrid w:val="0"/>
              </w:rPr>
              <w:t>6/39 (15.4</w:t>
            </w:r>
            <w:r w:rsidRPr="00E16552">
              <w:rPr>
                <w:snapToGrid w:val="0"/>
              </w:rPr>
              <w:t>)</w:t>
            </w:r>
          </w:p>
        </w:tc>
      </w:tr>
      <w:tr w:rsidR="002E425C" w:rsidRPr="0069748F" w14:paraId="20F5F465" w14:textId="77777777" w:rsidTr="008B51D1">
        <w:tc>
          <w:tcPr>
            <w:tcW w:w="1610" w:type="pct"/>
            <w:shd w:val="clear" w:color="auto" w:fill="auto"/>
            <w:vAlign w:val="center"/>
          </w:tcPr>
          <w:p w14:paraId="26FCDC58" w14:textId="77777777" w:rsidR="002E425C" w:rsidRPr="00C83213" w:rsidRDefault="002E425C" w:rsidP="00E106E6">
            <w:pPr>
              <w:pStyle w:val="Tabletext1"/>
              <w:rPr>
                <w:snapToGrid w:val="0"/>
              </w:rPr>
            </w:pPr>
            <w:r w:rsidRPr="00E16552">
              <w:rPr>
                <w:snapToGrid w:val="0"/>
              </w:rPr>
              <w:t>Song et al (2014)a</w:t>
            </w:r>
          </w:p>
        </w:tc>
        <w:tc>
          <w:tcPr>
            <w:tcW w:w="1371" w:type="pct"/>
          </w:tcPr>
          <w:p w14:paraId="4D9DE76C" w14:textId="77777777" w:rsidR="002E425C" w:rsidRPr="002E425C" w:rsidRDefault="002E425C" w:rsidP="00E106E6">
            <w:pPr>
              <w:pStyle w:val="Tabletext1"/>
              <w:rPr>
                <w:snapToGrid w:val="0"/>
              </w:rPr>
            </w:pPr>
            <w:r w:rsidRPr="009A6A06">
              <w:rPr>
                <w:snapToGrid w:val="0"/>
              </w:rPr>
              <w:t>IV</w:t>
            </w:r>
          </w:p>
        </w:tc>
        <w:tc>
          <w:tcPr>
            <w:tcW w:w="2019" w:type="pct"/>
            <w:shd w:val="clear" w:color="auto" w:fill="auto"/>
          </w:tcPr>
          <w:p w14:paraId="3DC3F0B4" w14:textId="77777777" w:rsidR="002E425C" w:rsidRPr="00B05E00" w:rsidRDefault="002E425C" w:rsidP="00E106E6">
            <w:pPr>
              <w:pStyle w:val="Tabletext1"/>
              <w:rPr>
                <w:snapToGrid w:val="0"/>
              </w:rPr>
            </w:pPr>
            <w:r>
              <w:rPr>
                <w:snapToGrid w:val="0"/>
              </w:rPr>
              <w:t>2/29 (6.9</w:t>
            </w:r>
            <w:r w:rsidRPr="00E16552">
              <w:rPr>
                <w:snapToGrid w:val="0"/>
              </w:rPr>
              <w:t>)</w:t>
            </w:r>
          </w:p>
        </w:tc>
      </w:tr>
      <w:tr w:rsidR="002E425C" w:rsidRPr="0069748F" w14:paraId="70F31BCD" w14:textId="77777777" w:rsidTr="008B51D1">
        <w:tc>
          <w:tcPr>
            <w:tcW w:w="1610" w:type="pct"/>
            <w:shd w:val="clear" w:color="auto" w:fill="auto"/>
            <w:vAlign w:val="center"/>
          </w:tcPr>
          <w:p w14:paraId="16AD99B7" w14:textId="77777777" w:rsidR="002E425C" w:rsidRPr="00C83213" w:rsidRDefault="002E425C" w:rsidP="00E106E6">
            <w:pPr>
              <w:pStyle w:val="Tabletext1"/>
              <w:rPr>
                <w:snapToGrid w:val="0"/>
              </w:rPr>
            </w:pPr>
            <w:r w:rsidRPr="00E16552">
              <w:rPr>
                <w:snapToGrid w:val="0"/>
              </w:rPr>
              <w:lastRenderedPageBreak/>
              <w:t>Splatt &amp; Steinke (2015)</w:t>
            </w:r>
            <w:r w:rsidRPr="005E1A24">
              <w:rPr>
                <w:snapToGrid w:val="0"/>
                <w:vertAlign w:val="superscript"/>
              </w:rPr>
              <w:t>a</w:t>
            </w:r>
          </w:p>
        </w:tc>
        <w:tc>
          <w:tcPr>
            <w:tcW w:w="1371" w:type="pct"/>
          </w:tcPr>
          <w:p w14:paraId="1CEEBED9" w14:textId="77777777" w:rsidR="002E425C" w:rsidRPr="002E425C" w:rsidRDefault="002E425C" w:rsidP="00E106E6">
            <w:pPr>
              <w:pStyle w:val="Tabletext1"/>
              <w:rPr>
                <w:snapToGrid w:val="0"/>
              </w:rPr>
            </w:pPr>
            <w:r w:rsidRPr="009A6A06">
              <w:rPr>
                <w:snapToGrid w:val="0"/>
              </w:rPr>
              <w:t>IV</w:t>
            </w:r>
          </w:p>
        </w:tc>
        <w:tc>
          <w:tcPr>
            <w:tcW w:w="2019" w:type="pct"/>
            <w:shd w:val="clear" w:color="auto" w:fill="auto"/>
          </w:tcPr>
          <w:p w14:paraId="0E1C5B9C" w14:textId="77777777" w:rsidR="002E425C" w:rsidRPr="00B05E00" w:rsidRDefault="002E425C" w:rsidP="00E106E6">
            <w:pPr>
              <w:pStyle w:val="Tabletext1"/>
              <w:rPr>
                <w:snapToGrid w:val="0"/>
              </w:rPr>
            </w:pPr>
            <w:r>
              <w:rPr>
                <w:snapToGrid w:val="0"/>
              </w:rPr>
              <w:t>4/70 (5.7</w:t>
            </w:r>
            <w:r w:rsidRPr="00E16552">
              <w:rPr>
                <w:snapToGrid w:val="0"/>
              </w:rPr>
              <w:t>)</w:t>
            </w:r>
          </w:p>
        </w:tc>
      </w:tr>
      <w:tr w:rsidR="00000C3A" w:rsidRPr="0069748F" w14:paraId="2825D890" w14:textId="77777777" w:rsidTr="008B51D1">
        <w:tc>
          <w:tcPr>
            <w:tcW w:w="1610" w:type="pct"/>
            <w:shd w:val="clear" w:color="auto" w:fill="auto"/>
            <w:vAlign w:val="center"/>
          </w:tcPr>
          <w:p w14:paraId="397E8727" w14:textId="77777777" w:rsidR="00000C3A" w:rsidRPr="00E16552" w:rsidRDefault="00000C3A" w:rsidP="00E106E6">
            <w:pPr>
              <w:pStyle w:val="Tabletext1"/>
              <w:rPr>
                <w:snapToGrid w:val="0"/>
              </w:rPr>
            </w:pPr>
            <w:r>
              <w:rPr>
                <w:snapToGrid w:val="0"/>
              </w:rPr>
              <w:t>Wei et al (2015)</w:t>
            </w:r>
          </w:p>
        </w:tc>
        <w:tc>
          <w:tcPr>
            <w:tcW w:w="1371" w:type="pct"/>
          </w:tcPr>
          <w:p w14:paraId="4613AA6D" w14:textId="77777777" w:rsidR="00000C3A" w:rsidRPr="009A6A06" w:rsidRDefault="00000C3A" w:rsidP="00E106E6">
            <w:pPr>
              <w:pStyle w:val="Tabletext1"/>
              <w:rPr>
                <w:snapToGrid w:val="0"/>
              </w:rPr>
            </w:pPr>
            <w:r>
              <w:rPr>
                <w:snapToGrid w:val="0"/>
              </w:rPr>
              <w:t>IV</w:t>
            </w:r>
          </w:p>
        </w:tc>
        <w:tc>
          <w:tcPr>
            <w:tcW w:w="2019" w:type="pct"/>
            <w:shd w:val="clear" w:color="auto" w:fill="auto"/>
          </w:tcPr>
          <w:p w14:paraId="7B7DE778" w14:textId="77777777" w:rsidR="00000C3A" w:rsidRPr="000E1C27" w:rsidRDefault="00000C3A" w:rsidP="00E106E6">
            <w:pPr>
              <w:pStyle w:val="Tabletext1"/>
              <w:rPr>
                <w:snapToGrid w:val="0"/>
              </w:rPr>
            </w:pPr>
            <w:r w:rsidRPr="000E1C27">
              <w:rPr>
                <w:snapToGrid w:val="0"/>
              </w:rPr>
              <w:t>15/46 (32.6)</w:t>
            </w:r>
          </w:p>
        </w:tc>
      </w:tr>
      <w:tr w:rsidR="00000C3A" w:rsidRPr="0069748F" w14:paraId="1E8E4757" w14:textId="77777777" w:rsidTr="008B51D1">
        <w:tc>
          <w:tcPr>
            <w:tcW w:w="1610" w:type="pct"/>
            <w:shd w:val="clear" w:color="auto" w:fill="auto"/>
            <w:vAlign w:val="center"/>
          </w:tcPr>
          <w:p w14:paraId="4EF1CA6D" w14:textId="77777777" w:rsidR="00000C3A" w:rsidRDefault="00000C3A" w:rsidP="00E106E6">
            <w:pPr>
              <w:pStyle w:val="Tabletext1"/>
              <w:rPr>
                <w:snapToGrid w:val="0"/>
              </w:rPr>
            </w:pPr>
            <w:r>
              <w:rPr>
                <w:snapToGrid w:val="0"/>
              </w:rPr>
              <w:t>Yang et al (2015)</w:t>
            </w:r>
          </w:p>
        </w:tc>
        <w:tc>
          <w:tcPr>
            <w:tcW w:w="1371" w:type="pct"/>
          </w:tcPr>
          <w:p w14:paraId="2CEFA7B1" w14:textId="77777777" w:rsidR="00000C3A" w:rsidRDefault="00000C3A" w:rsidP="00E106E6">
            <w:pPr>
              <w:pStyle w:val="Tabletext1"/>
              <w:rPr>
                <w:snapToGrid w:val="0"/>
              </w:rPr>
            </w:pPr>
            <w:r>
              <w:rPr>
                <w:snapToGrid w:val="0"/>
              </w:rPr>
              <w:t>IV</w:t>
            </w:r>
          </w:p>
        </w:tc>
        <w:tc>
          <w:tcPr>
            <w:tcW w:w="2019" w:type="pct"/>
            <w:shd w:val="clear" w:color="auto" w:fill="auto"/>
          </w:tcPr>
          <w:p w14:paraId="010100F4" w14:textId="77777777" w:rsidR="00000C3A" w:rsidRPr="000E1C27" w:rsidRDefault="00000C3A" w:rsidP="00E106E6">
            <w:pPr>
              <w:pStyle w:val="Tabletext1"/>
              <w:rPr>
                <w:snapToGrid w:val="0"/>
              </w:rPr>
            </w:pPr>
            <w:r w:rsidRPr="000E1C27">
              <w:rPr>
                <w:snapToGrid w:val="0"/>
              </w:rPr>
              <w:t>11/36 (30.6)</w:t>
            </w:r>
          </w:p>
        </w:tc>
      </w:tr>
      <w:tr w:rsidR="00000C3A" w:rsidRPr="0069748F" w14:paraId="6EDD3856" w14:textId="77777777" w:rsidTr="008B51D1">
        <w:tc>
          <w:tcPr>
            <w:tcW w:w="1610" w:type="pct"/>
            <w:shd w:val="clear" w:color="auto" w:fill="auto"/>
            <w:vAlign w:val="center"/>
          </w:tcPr>
          <w:p w14:paraId="53539F02" w14:textId="77777777" w:rsidR="00000C3A" w:rsidRPr="00E16552" w:rsidRDefault="00000C3A" w:rsidP="00E106E6">
            <w:pPr>
              <w:pStyle w:val="Tabletext1"/>
              <w:rPr>
                <w:snapToGrid w:val="0"/>
              </w:rPr>
            </w:pPr>
            <w:r>
              <w:rPr>
                <w:snapToGrid w:val="0"/>
              </w:rPr>
              <w:t>Yang et al (2014)</w:t>
            </w:r>
          </w:p>
        </w:tc>
        <w:tc>
          <w:tcPr>
            <w:tcW w:w="1371" w:type="pct"/>
          </w:tcPr>
          <w:p w14:paraId="4A08033A" w14:textId="77777777" w:rsidR="00000C3A" w:rsidRPr="009A6A06" w:rsidRDefault="00000C3A" w:rsidP="00E106E6">
            <w:pPr>
              <w:pStyle w:val="Tabletext1"/>
              <w:rPr>
                <w:snapToGrid w:val="0"/>
              </w:rPr>
            </w:pPr>
            <w:r>
              <w:rPr>
                <w:snapToGrid w:val="0"/>
              </w:rPr>
              <w:t>IV</w:t>
            </w:r>
          </w:p>
        </w:tc>
        <w:tc>
          <w:tcPr>
            <w:tcW w:w="2019" w:type="pct"/>
            <w:shd w:val="clear" w:color="auto" w:fill="auto"/>
          </w:tcPr>
          <w:p w14:paraId="3070B504" w14:textId="77777777" w:rsidR="00000C3A" w:rsidRPr="000E1C27" w:rsidRDefault="00000C3A" w:rsidP="00E106E6">
            <w:pPr>
              <w:pStyle w:val="Tabletext1"/>
              <w:rPr>
                <w:snapToGrid w:val="0"/>
              </w:rPr>
            </w:pPr>
            <w:r w:rsidRPr="000E1C27">
              <w:rPr>
                <w:snapToGrid w:val="0"/>
              </w:rPr>
              <w:t>16/47 (34)</w:t>
            </w:r>
          </w:p>
        </w:tc>
      </w:tr>
      <w:tr w:rsidR="00CC345E" w:rsidRPr="0069748F" w14:paraId="3FC39B01" w14:textId="77777777" w:rsidTr="008B51D1">
        <w:tc>
          <w:tcPr>
            <w:tcW w:w="1610" w:type="pct"/>
            <w:shd w:val="clear" w:color="auto" w:fill="auto"/>
            <w:vAlign w:val="center"/>
          </w:tcPr>
          <w:p w14:paraId="37C72BEF" w14:textId="77777777" w:rsidR="00CC345E" w:rsidRDefault="00CC345E" w:rsidP="00E106E6">
            <w:pPr>
              <w:pStyle w:val="Tabletext1"/>
              <w:rPr>
                <w:snapToGrid w:val="0"/>
              </w:rPr>
            </w:pPr>
            <w:r>
              <w:rPr>
                <w:snapToGrid w:val="0"/>
              </w:rPr>
              <w:t>Zheng et al (2014)</w:t>
            </w:r>
          </w:p>
        </w:tc>
        <w:tc>
          <w:tcPr>
            <w:tcW w:w="1371" w:type="pct"/>
          </w:tcPr>
          <w:p w14:paraId="6EED50DB" w14:textId="77777777" w:rsidR="00CC345E" w:rsidRDefault="00CC345E" w:rsidP="00E106E6">
            <w:pPr>
              <w:pStyle w:val="Tabletext1"/>
              <w:rPr>
                <w:snapToGrid w:val="0"/>
              </w:rPr>
            </w:pPr>
            <w:r>
              <w:rPr>
                <w:snapToGrid w:val="0"/>
              </w:rPr>
              <w:t>IV</w:t>
            </w:r>
          </w:p>
        </w:tc>
        <w:tc>
          <w:tcPr>
            <w:tcW w:w="2019" w:type="pct"/>
            <w:shd w:val="clear" w:color="auto" w:fill="auto"/>
          </w:tcPr>
          <w:p w14:paraId="2143C404" w14:textId="77777777" w:rsidR="00CC345E" w:rsidRPr="000E1C27" w:rsidRDefault="00CC345E" w:rsidP="00E106E6">
            <w:pPr>
              <w:pStyle w:val="Tabletext1"/>
              <w:rPr>
                <w:snapToGrid w:val="0"/>
              </w:rPr>
            </w:pPr>
            <w:r w:rsidRPr="000E1C27">
              <w:rPr>
                <w:snapToGrid w:val="0"/>
              </w:rPr>
              <w:t>6/204 (2.9)</w:t>
            </w:r>
          </w:p>
        </w:tc>
      </w:tr>
      <w:tr w:rsidR="008B51D1" w:rsidRPr="0069748F" w14:paraId="0812443F" w14:textId="77777777" w:rsidTr="008B51D1">
        <w:trPr>
          <w:trHeight w:val="492"/>
        </w:trPr>
        <w:tc>
          <w:tcPr>
            <w:tcW w:w="1610" w:type="pct"/>
            <w:shd w:val="clear" w:color="auto" w:fill="auto"/>
            <w:vAlign w:val="center"/>
          </w:tcPr>
          <w:p w14:paraId="4E1E4F20" w14:textId="77777777" w:rsidR="00E16552" w:rsidRPr="003312E7" w:rsidRDefault="00E16552" w:rsidP="00E106E6">
            <w:pPr>
              <w:pStyle w:val="Tabletext1"/>
              <w:rPr>
                <w:snapToGrid w:val="0"/>
              </w:rPr>
            </w:pPr>
            <w:r w:rsidRPr="003312E7">
              <w:rPr>
                <w:snapToGrid w:val="0"/>
              </w:rPr>
              <w:t>Pooled n/N (%)</w:t>
            </w:r>
          </w:p>
          <w:p w14:paraId="7BCE6FB0" w14:textId="77777777" w:rsidR="00E16552" w:rsidRPr="003312E7" w:rsidRDefault="00E16552" w:rsidP="00E106E6">
            <w:pPr>
              <w:pStyle w:val="Tabletext1"/>
              <w:rPr>
                <w:snapToGrid w:val="0"/>
              </w:rPr>
            </w:pPr>
            <w:r w:rsidRPr="003312E7">
              <w:rPr>
                <w:snapToGrid w:val="0"/>
              </w:rPr>
              <w:t>Median % (range)</w:t>
            </w:r>
          </w:p>
        </w:tc>
        <w:tc>
          <w:tcPr>
            <w:tcW w:w="1371" w:type="pct"/>
            <w:tcBorders>
              <w:bottom w:val="single" w:sz="4" w:space="0" w:color="auto"/>
            </w:tcBorders>
          </w:tcPr>
          <w:p w14:paraId="399FB6D0" w14:textId="77777777" w:rsidR="00172E96" w:rsidRPr="00997BA0" w:rsidRDefault="00172E96" w:rsidP="00E106E6">
            <w:pPr>
              <w:pStyle w:val="Tabletext1"/>
              <w:rPr>
                <w:rFonts w:ascii="Cambria Math" w:hAnsi="Cambria Math" w:cs="Cambria Math"/>
                <w:color w:val="C00000"/>
              </w:rPr>
            </w:pPr>
            <w:r w:rsidRPr="00997BA0">
              <w:rPr>
                <w:rFonts w:ascii="Cambria Math" w:hAnsi="Cambria Math"/>
                <w:color w:val="00B050"/>
              </w:rPr>
              <w:t>⨁</w:t>
            </w:r>
            <w:r w:rsidRPr="00997BA0">
              <w:rPr>
                <w:rFonts w:ascii="Cambria Math" w:hAnsi="Cambria Math" w:cs="Cambria Math"/>
                <w:color w:val="C00000"/>
              </w:rPr>
              <w:t>⨀⨀⨀</w:t>
            </w:r>
          </w:p>
          <w:p w14:paraId="3F35176A" w14:textId="77777777" w:rsidR="00E16552" w:rsidRPr="003312E7" w:rsidRDefault="00BD06D5" w:rsidP="00E106E6">
            <w:pPr>
              <w:pStyle w:val="Tabletext1"/>
              <w:rPr>
                <w:snapToGrid w:val="0"/>
              </w:rPr>
            </w:pPr>
            <w:r w:rsidRPr="003312E7">
              <w:rPr>
                <w:rStyle w:val="quality-sign"/>
                <w:rFonts w:eastAsia="MS Mincho" w:cs="MS Mincho"/>
                <w:b/>
                <w:sz w:val="21"/>
                <w:szCs w:val="21"/>
              </w:rPr>
              <w:t>VERY LOW</w:t>
            </w:r>
          </w:p>
        </w:tc>
        <w:tc>
          <w:tcPr>
            <w:tcW w:w="2019" w:type="pct"/>
            <w:tcBorders>
              <w:bottom w:val="single" w:sz="4" w:space="0" w:color="auto"/>
            </w:tcBorders>
            <w:shd w:val="clear" w:color="auto" w:fill="auto"/>
          </w:tcPr>
          <w:p w14:paraId="72D00CC7" w14:textId="77777777" w:rsidR="00E16552" w:rsidRPr="003312E7" w:rsidRDefault="000E1C27" w:rsidP="00E106E6">
            <w:pPr>
              <w:pStyle w:val="Tabletext1"/>
              <w:rPr>
                <w:snapToGrid w:val="0"/>
              </w:rPr>
            </w:pPr>
            <w:r w:rsidRPr="003312E7">
              <w:rPr>
                <w:snapToGrid w:val="0"/>
              </w:rPr>
              <w:t>79/649 (12.2</w:t>
            </w:r>
            <w:r w:rsidR="00E16552" w:rsidRPr="003312E7">
              <w:rPr>
                <w:snapToGrid w:val="0"/>
              </w:rPr>
              <w:t>)</w:t>
            </w:r>
          </w:p>
          <w:p w14:paraId="3287353D" w14:textId="77C1C694" w:rsidR="00E16552" w:rsidRPr="003312E7" w:rsidRDefault="000E1C27" w:rsidP="00E106E6">
            <w:pPr>
              <w:pStyle w:val="Tabletext1"/>
              <w:rPr>
                <w:snapToGrid w:val="0"/>
              </w:rPr>
            </w:pPr>
            <w:r w:rsidRPr="003312E7">
              <w:rPr>
                <w:snapToGrid w:val="0"/>
              </w:rPr>
              <w:t>8.7 (0</w:t>
            </w:r>
            <w:r w:rsidR="007E3D66">
              <w:rPr>
                <w:snapToGrid w:val="0"/>
              </w:rPr>
              <w:t>–</w:t>
            </w:r>
            <w:r w:rsidRPr="003312E7">
              <w:rPr>
                <w:snapToGrid w:val="0"/>
              </w:rPr>
              <w:t>34.0</w:t>
            </w:r>
            <w:r w:rsidR="00E16552" w:rsidRPr="003312E7">
              <w:rPr>
                <w:snapToGrid w:val="0"/>
              </w:rPr>
              <w:t>)</w:t>
            </w:r>
          </w:p>
        </w:tc>
      </w:tr>
      <w:tr w:rsidR="008B51D1" w:rsidRPr="0069748F" w14:paraId="3E8DA187" w14:textId="77777777" w:rsidTr="008B51D1">
        <w:tc>
          <w:tcPr>
            <w:tcW w:w="1610" w:type="pct"/>
            <w:tcBorders>
              <w:right w:val="nil"/>
            </w:tcBorders>
            <w:shd w:val="clear" w:color="auto" w:fill="D9D9D9" w:themeFill="background1" w:themeFillShade="D9"/>
            <w:vAlign w:val="center"/>
          </w:tcPr>
          <w:p w14:paraId="3FD0EB9F" w14:textId="77777777" w:rsidR="002E425C" w:rsidRPr="00E106E6" w:rsidRDefault="002E425C" w:rsidP="00E106E6">
            <w:pPr>
              <w:pStyle w:val="Tabletext1"/>
              <w:rPr>
                <w:b/>
                <w:snapToGrid w:val="0"/>
              </w:rPr>
            </w:pPr>
            <w:r w:rsidRPr="00E106E6">
              <w:rPr>
                <w:b/>
                <w:snapToGrid w:val="0"/>
              </w:rPr>
              <w:t>Skin burns</w:t>
            </w:r>
          </w:p>
        </w:tc>
        <w:tc>
          <w:tcPr>
            <w:tcW w:w="1371" w:type="pct"/>
            <w:tcBorders>
              <w:left w:val="nil"/>
              <w:right w:val="nil"/>
            </w:tcBorders>
            <w:shd w:val="clear" w:color="auto" w:fill="D9D9D9" w:themeFill="background1" w:themeFillShade="D9"/>
          </w:tcPr>
          <w:p w14:paraId="4CEBF838" w14:textId="77777777" w:rsidR="002E425C" w:rsidRPr="002E425C" w:rsidRDefault="002E425C" w:rsidP="00E106E6">
            <w:pPr>
              <w:pStyle w:val="Tabletext1"/>
              <w:rPr>
                <w:snapToGrid w:val="0"/>
              </w:rPr>
            </w:pPr>
          </w:p>
        </w:tc>
        <w:tc>
          <w:tcPr>
            <w:tcW w:w="2019" w:type="pct"/>
            <w:tcBorders>
              <w:left w:val="nil"/>
            </w:tcBorders>
            <w:shd w:val="clear" w:color="auto" w:fill="D9D9D9" w:themeFill="background1" w:themeFillShade="D9"/>
          </w:tcPr>
          <w:p w14:paraId="139E64CC" w14:textId="77777777" w:rsidR="002E425C" w:rsidRPr="003E18F4" w:rsidRDefault="002E425C" w:rsidP="00E106E6">
            <w:pPr>
              <w:pStyle w:val="Tabletext1"/>
              <w:rPr>
                <w:snapToGrid w:val="0"/>
              </w:rPr>
            </w:pPr>
          </w:p>
        </w:tc>
      </w:tr>
      <w:tr w:rsidR="002E425C" w:rsidRPr="0069748F" w14:paraId="77133945" w14:textId="77777777" w:rsidTr="008B51D1">
        <w:tc>
          <w:tcPr>
            <w:tcW w:w="1610" w:type="pct"/>
            <w:shd w:val="clear" w:color="auto" w:fill="auto"/>
            <w:vAlign w:val="center"/>
          </w:tcPr>
          <w:p w14:paraId="5A7A9374" w14:textId="77777777" w:rsidR="002E425C" w:rsidRPr="00C83213" w:rsidRDefault="002E425C" w:rsidP="00E106E6">
            <w:pPr>
              <w:pStyle w:val="Tabletext1"/>
              <w:rPr>
                <w:snapToGrid w:val="0"/>
              </w:rPr>
            </w:pPr>
            <w:r w:rsidRPr="003E18F4">
              <w:rPr>
                <w:snapToGrid w:val="0"/>
              </w:rPr>
              <w:t>Carrafiello et al (2014)</w:t>
            </w:r>
          </w:p>
        </w:tc>
        <w:tc>
          <w:tcPr>
            <w:tcW w:w="1371" w:type="pct"/>
          </w:tcPr>
          <w:p w14:paraId="2B77BA0F" w14:textId="77777777" w:rsidR="002E425C" w:rsidRPr="002E425C" w:rsidRDefault="002E425C" w:rsidP="00E106E6">
            <w:pPr>
              <w:pStyle w:val="Tabletext1"/>
              <w:rPr>
                <w:snapToGrid w:val="0"/>
              </w:rPr>
            </w:pPr>
            <w:r w:rsidRPr="0060100B">
              <w:rPr>
                <w:snapToGrid w:val="0"/>
              </w:rPr>
              <w:t>IV</w:t>
            </w:r>
          </w:p>
        </w:tc>
        <w:tc>
          <w:tcPr>
            <w:tcW w:w="2019" w:type="pct"/>
            <w:shd w:val="clear" w:color="auto" w:fill="auto"/>
          </w:tcPr>
          <w:p w14:paraId="2B29A106" w14:textId="77777777" w:rsidR="002E425C" w:rsidRDefault="002E425C" w:rsidP="00E106E6">
            <w:pPr>
              <w:pStyle w:val="Tabletext1"/>
              <w:rPr>
                <w:snapToGrid w:val="0"/>
              </w:rPr>
            </w:pPr>
            <w:r>
              <w:rPr>
                <w:snapToGrid w:val="0"/>
              </w:rPr>
              <w:t>0/24 (0</w:t>
            </w:r>
            <w:r w:rsidRPr="003E18F4">
              <w:rPr>
                <w:snapToGrid w:val="0"/>
              </w:rPr>
              <w:t>)</w:t>
            </w:r>
          </w:p>
        </w:tc>
      </w:tr>
      <w:tr w:rsidR="002E425C" w:rsidRPr="0069748F" w14:paraId="644C1254" w14:textId="77777777" w:rsidTr="008B51D1">
        <w:tc>
          <w:tcPr>
            <w:tcW w:w="1610" w:type="pct"/>
            <w:shd w:val="clear" w:color="auto" w:fill="auto"/>
            <w:vAlign w:val="center"/>
          </w:tcPr>
          <w:p w14:paraId="378900F5" w14:textId="77777777" w:rsidR="002E425C" w:rsidRPr="00C83213" w:rsidRDefault="002E425C" w:rsidP="00E106E6">
            <w:pPr>
              <w:pStyle w:val="Tabletext1"/>
              <w:rPr>
                <w:snapToGrid w:val="0"/>
              </w:rPr>
            </w:pPr>
            <w:r>
              <w:rPr>
                <w:snapToGrid w:val="0"/>
              </w:rPr>
              <w:t>He e</w:t>
            </w:r>
            <w:r w:rsidRPr="003E18F4">
              <w:rPr>
                <w:snapToGrid w:val="0"/>
              </w:rPr>
              <w:t>t al (2006)</w:t>
            </w:r>
          </w:p>
        </w:tc>
        <w:tc>
          <w:tcPr>
            <w:tcW w:w="1371" w:type="pct"/>
          </w:tcPr>
          <w:p w14:paraId="1DF67845" w14:textId="77777777" w:rsidR="002E425C" w:rsidRPr="002E425C" w:rsidRDefault="002E425C" w:rsidP="00E106E6">
            <w:pPr>
              <w:pStyle w:val="Tabletext1"/>
              <w:rPr>
                <w:snapToGrid w:val="0"/>
              </w:rPr>
            </w:pPr>
            <w:r w:rsidRPr="0060100B">
              <w:rPr>
                <w:snapToGrid w:val="0"/>
              </w:rPr>
              <w:t>IV</w:t>
            </w:r>
          </w:p>
        </w:tc>
        <w:tc>
          <w:tcPr>
            <w:tcW w:w="2019" w:type="pct"/>
            <w:shd w:val="clear" w:color="auto" w:fill="auto"/>
          </w:tcPr>
          <w:p w14:paraId="1370AA90" w14:textId="77777777" w:rsidR="002E425C" w:rsidRDefault="002E425C" w:rsidP="00E106E6">
            <w:pPr>
              <w:pStyle w:val="Tabletext1"/>
              <w:rPr>
                <w:snapToGrid w:val="0"/>
              </w:rPr>
            </w:pPr>
            <w:r>
              <w:rPr>
                <w:snapToGrid w:val="0"/>
              </w:rPr>
              <w:t>1/12 (8.3</w:t>
            </w:r>
            <w:r w:rsidRPr="003E18F4">
              <w:rPr>
                <w:snapToGrid w:val="0"/>
              </w:rPr>
              <w:t>)</w:t>
            </w:r>
          </w:p>
        </w:tc>
      </w:tr>
      <w:tr w:rsidR="002E425C" w:rsidRPr="0069748F" w14:paraId="1C387AAE" w14:textId="77777777" w:rsidTr="008B51D1">
        <w:tc>
          <w:tcPr>
            <w:tcW w:w="1610" w:type="pct"/>
            <w:shd w:val="clear" w:color="auto" w:fill="auto"/>
            <w:vAlign w:val="center"/>
          </w:tcPr>
          <w:p w14:paraId="55680D4F" w14:textId="77777777" w:rsidR="002E425C" w:rsidRPr="00C83213" w:rsidRDefault="002E425C" w:rsidP="00E106E6">
            <w:pPr>
              <w:pStyle w:val="Tabletext1"/>
              <w:rPr>
                <w:snapToGrid w:val="0"/>
              </w:rPr>
            </w:pPr>
            <w:r w:rsidRPr="003E18F4">
              <w:rPr>
                <w:snapToGrid w:val="0"/>
              </w:rPr>
              <w:t>Little et al (2013)</w:t>
            </w:r>
          </w:p>
        </w:tc>
        <w:tc>
          <w:tcPr>
            <w:tcW w:w="1371" w:type="pct"/>
          </w:tcPr>
          <w:p w14:paraId="13D38604" w14:textId="77777777" w:rsidR="002E425C" w:rsidRPr="002E425C" w:rsidRDefault="002E425C" w:rsidP="00E106E6">
            <w:pPr>
              <w:pStyle w:val="Tabletext1"/>
              <w:rPr>
                <w:snapToGrid w:val="0"/>
              </w:rPr>
            </w:pPr>
            <w:r w:rsidRPr="0060100B">
              <w:rPr>
                <w:snapToGrid w:val="0"/>
              </w:rPr>
              <w:t>IV</w:t>
            </w:r>
          </w:p>
        </w:tc>
        <w:tc>
          <w:tcPr>
            <w:tcW w:w="2019" w:type="pct"/>
            <w:shd w:val="clear" w:color="auto" w:fill="auto"/>
          </w:tcPr>
          <w:p w14:paraId="34C8F3A9" w14:textId="77777777" w:rsidR="002E425C" w:rsidRDefault="002E425C" w:rsidP="00E106E6">
            <w:pPr>
              <w:pStyle w:val="Tabletext1"/>
              <w:rPr>
                <w:snapToGrid w:val="0"/>
              </w:rPr>
            </w:pPr>
            <w:r>
              <w:rPr>
                <w:snapToGrid w:val="0"/>
              </w:rPr>
              <w:t>1/23 (4.3</w:t>
            </w:r>
            <w:r w:rsidRPr="003E18F4">
              <w:rPr>
                <w:snapToGrid w:val="0"/>
              </w:rPr>
              <w:t>)</w:t>
            </w:r>
          </w:p>
        </w:tc>
      </w:tr>
      <w:tr w:rsidR="002E425C" w:rsidRPr="0069748F" w14:paraId="60B7B16A" w14:textId="77777777" w:rsidTr="008B51D1">
        <w:tc>
          <w:tcPr>
            <w:tcW w:w="1610" w:type="pct"/>
            <w:shd w:val="clear" w:color="auto" w:fill="auto"/>
            <w:vAlign w:val="center"/>
          </w:tcPr>
          <w:p w14:paraId="3DC72859" w14:textId="77777777" w:rsidR="002E425C" w:rsidRPr="00C83213" w:rsidRDefault="002E425C" w:rsidP="00E106E6">
            <w:pPr>
              <w:pStyle w:val="Tabletext1"/>
              <w:rPr>
                <w:snapToGrid w:val="0"/>
              </w:rPr>
            </w:pPr>
            <w:r w:rsidRPr="003E18F4">
              <w:rPr>
                <w:snapToGrid w:val="0"/>
              </w:rPr>
              <w:t>Splatt &amp; Steinke (2015)</w:t>
            </w:r>
            <w:r w:rsidRPr="005E1A24">
              <w:rPr>
                <w:snapToGrid w:val="0"/>
                <w:vertAlign w:val="superscript"/>
              </w:rPr>
              <w:t>a</w:t>
            </w:r>
          </w:p>
        </w:tc>
        <w:tc>
          <w:tcPr>
            <w:tcW w:w="1371" w:type="pct"/>
          </w:tcPr>
          <w:p w14:paraId="1C63AE95" w14:textId="77777777" w:rsidR="002E425C" w:rsidRPr="002E425C" w:rsidRDefault="002E425C" w:rsidP="00E106E6">
            <w:pPr>
              <w:pStyle w:val="Tabletext1"/>
              <w:rPr>
                <w:snapToGrid w:val="0"/>
              </w:rPr>
            </w:pPr>
            <w:r w:rsidRPr="0060100B">
              <w:rPr>
                <w:snapToGrid w:val="0"/>
              </w:rPr>
              <w:t>IV</w:t>
            </w:r>
          </w:p>
        </w:tc>
        <w:tc>
          <w:tcPr>
            <w:tcW w:w="2019" w:type="pct"/>
            <w:shd w:val="clear" w:color="auto" w:fill="auto"/>
          </w:tcPr>
          <w:p w14:paraId="372D5236" w14:textId="77777777" w:rsidR="002E425C" w:rsidRDefault="002E425C" w:rsidP="00E106E6">
            <w:pPr>
              <w:pStyle w:val="Tabletext1"/>
              <w:rPr>
                <w:snapToGrid w:val="0"/>
              </w:rPr>
            </w:pPr>
            <w:r>
              <w:rPr>
                <w:snapToGrid w:val="0"/>
              </w:rPr>
              <w:t>1/70 (1.4</w:t>
            </w:r>
            <w:r w:rsidRPr="003E18F4">
              <w:rPr>
                <w:snapToGrid w:val="0"/>
              </w:rPr>
              <w:t>)</w:t>
            </w:r>
          </w:p>
        </w:tc>
      </w:tr>
      <w:tr w:rsidR="002E425C" w:rsidRPr="0069748F" w14:paraId="2BAFC7C7" w14:textId="77777777" w:rsidTr="008B51D1">
        <w:tc>
          <w:tcPr>
            <w:tcW w:w="1610" w:type="pct"/>
            <w:shd w:val="clear" w:color="auto" w:fill="auto"/>
            <w:vAlign w:val="center"/>
          </w:tcPr>
          <w:p w14:paraId="021E1A82" w14:textId="77777777" w:rsidR="002E425C" w:rsidRPr="00C83213" w:rsidRDefault="002E425C" w:rsidP="00E106E6">
            <w:pPr>
              <w:pStyle w:val="Tabletext1"/>
              <w:rPr>
                <w:snapToGrid w:val="0"/>
              </w:rPr>
            </w:pPr>
            <w:r w:rsidRPr="003E18F4">
              <w:rPr>
                <w:snapToGrid w:val="0"/>
              </w:rPr>
              <w:t>Vogl et al (2015)</w:t>
            </w:r>
            <w:r w:rsidRPr="005E1A24">
              <w:rPr>
                <w:snapToGrid w:val="0"/>
                <w:vertAlign w:val="superscript"/>
              </w:rPr>
              <w:t>a</w:t>
            </w:r>
          </w:p>
        </w:tc>
        <w:tc>
          <w:tcPr>
            <w:tcW w:w="1371" w:type="pct"/>
          </w:tcPr>
          <w:p w14:paraId="57EBAF63" w14:textId="77777777" w:rsidR="002E425C" w:rsidRPr="002E425C" w:rsidRDefault="002E425C" w:rsidP="00E106E6">
            <w:pPr>
              <w:pStyle w:val="Tabletext1"/>
              <w:rPr>
                <w:snapToGrid w:val="0"/>
              </w:rPr>
            </w:pPr>
            <w:r w:rsidRPr="0060100B">
              <w:rPr>
                <w:snapToGrid w:val="0"/>
              </w:rPr>
              <w:t>IV</w:t>
            </w:r>
          </w:p>
        </w:tc>
        <w:tc>
          <w:tcPr>
            <w:tcW w:w="2019" w:type="pct"/>
            <w:shd w:val="clear" w:color="auto" w:fill="auto"/>
          </w:tcPr>
          <w:p w14:paraId="07B451B8" w14:textId="77777777" w:rsidR="002E425C" w:rsidRDefault="002E425C" w:rsidP="00E106E6">
            <w:pPr>
              <w:pStyle w:val="Tabletext1"/>
              <w:rPr>
                <w:snapToGrid w:val="0"/>
              </w:rPr>
            </w:pPr>
            <w:r>
              <w:rPr>
                <w:snapToGrid w:val="0"/>
              </w:rPr>
              <w:t>1/130 (0.8</w:t>
            </w:r>
            <w:r w:rsidRPr="003E18F4">
              <w:rPr>
                <w:snapToGrid w:val="0"/>
              </w:rPr>
              <w:t>) grade 3 burn</w:t>
            </w:r>
          </w:p>
        </w:tc>
      </w:tr>
      <w:tr w:rsidR="003E18F4" w:rsidRPr="0069748F" w14:paraId="50B15E61" w14:textId="77777777" w:rsidTr="008B51D1">
        <w:tc>
          <w:tcPr>
            <w:tcW w:w="1610" w:type="pct"/>
            <w:shd w:val="clear" w:color="auto" w:fill="auto"/>
            <w:vAlign w:val="center"/>
          </w:tcPr>
          <w:p w14:paraId="118FDF28" w14:textId="77777777" w:rsidR="003E18F4" w:rsidRPr="00CC345E" w:rsidRDefault="003E18F4" w:rsidP="00E106E6">
            <w:pPr>
              <w:pStyle w:val="Tabletext1"/>
              <w:rPr>
                <w:snapToGrid w:val="0"/>
              </w:rPr>
            </w:pPr>
            <w:r w:rsidRPr="00CC345E">
              <w:rPr>
                <w:snapToGrid w:val="0"/>
              </w:rPr>
              <w:t>Wolf et al (2006)</w:t>
            </w:r>
          </w:p>
        </w:tc>
        <w:tc>
          <w:tcPr>
            <w:tcW w:w="1371" w:type="pct"/>
          </w:tcPr>
          <w:p w14:paraId="5770CE68" w14:textId="77777777" w:rsidR="003E18F4" w:rsidRPr="004E0F2D" w:rsidRDefault="00CC345E" w:rsidP="00E106E6">
            <w:pPr>
              <w:pStyle w:val="Tabletext1"/>
              <w:rPr>
                <w:snapToGrid w:val="0"/>
              </w:rPr>
            </w:pPr>
            <w:r w:rsidRPr="0060100B">
              <w:rPr>
                <w:snapToGrid w:val="0"/>
              </w:rPr>
              <w:t>IV</w:t>
            </w:r>
          </w:p>
        </w:tc>
        <w:tc>
          <w:tcPr>
            <w:tcW w:w="2019" w:type="pct"/>
            <w:shd w:val="clear" w:color="auto" w:fill="auto"/>
          </w:tcPr>
          <w:p w14:paraId="1DAB538F" w14:textId="77777777" w:rsidR="003E18F4" w:rsidRPr="00CC345E" w:rsidRDefault="003E18F4" w:rsidP="00E106E6">
            <w:pPr>
              <w:pStyle w:val="Tabletext1"/>
              <w:rPr>
                <w:snapToGrid w:val="0"/>
              </w:rPr>
            </w:pPr>
            <w:r w:rsidRPr="00CC345E">
              <w:rPr>
                <w:snapToGrid w:val="0"/>
              </w:rPr>
              <w:t>2/66 (3.0) in 2 patients, both required treatment</w:t>
            </w:r>
          </w:p>
        </w:tc>
      </w:tr>
      <w:tr w:rsidR="002E425C" w:rsidRPr="0069748F" w14:paraId="33D865E9" w14:textId="77777777" w:rsidTr="008B51D1">
        <w:tc>
          <w:tcPr>
            <w:tcW w:w="1610" w:type="pct"/>
            <w:shd w:val="clear" w:color="auto" w:fill="auto"/>
            <w:vAlign w:val="center"/>
          </w:tcPr>
          <w:p w14:paraId="3F7E8961" w14:textId="77777777" w:rsidR="002E425C" w:rsidRPr="003312E7" w:rsidRDefault="002E425C" w:rsidP="00E106E6">
            <w:pPr>
              <w:pStyle w:val="Tabletext1"/>
              <w:rPr>
                <w:snapToGrid w:val="0"/>
              </w:rPr>
            </w:pPr>
            <w:r w:rsidRPr="003312E7">
              <w:rPr>
                <w:snapToGrid w:val="0"/>
              </w:rPr>
              <w:t>Pooled n/N (%)</w:t>
            </w:r>
          </w:p>
          <w:p w14:paraId="7469156B" w14:textId="77777777" w:rsidR="002E425C" w:rsidRPr="003312E7" w:rsidRDefault="002E425C" w:rsidP="00E106E6">
            <w:pPr>
              <w:pStyle w:val="Tabletext1"/>
              <w:rPr>
                <w:snapToGrid w:val="0"/>
              </w:rPr>
            </w:pPr>
            <w:r w:rsidRPr="003312E7">
              <w:rPr>
                <w:snapToGrid w:val="0"/>
              </w:rPr>
              <w:t>Median % (range)</w:t>
            </w:r>
          </w:p>
        </w:tc>
        <w:tc>
          <w:tcPr>
            <w:tcW w:w="1371" w:type="pct"/>
            <w:tcBorders>
              <w:bottom w:val="single" w:sz="4" w:space="0" w:color="auto"/>
            </w:tcBorders>
          </w:tcPr>
          <w:p w14:paraId="7E679923" w14:textId="77777777" w:rsidR="00CC345E" w:rsidRPr="00997BA0" w:rsidRDefault="00CC345E" w:rsidP="00E106E6">
            <w:pPr>
              <w:pStyle w:val="Tabletext1"/>
              <w:rPr>
                <w:rStyle w:val="quality-sign"/>
                <w:rFonts w:ascii="MS Mincho" w:eastAsia="MS Mincho" w:hAnsi="MS Mincho" w:cs="MS Mincho"/>
                <w:sz w:val="21"/>
                <w:szCs w:val="21"/>
              </w:rPr>
            </w:pPr>
            <w:r w:rsidRPr="00997BA0">
              <w:rPr>
                <w:rFonts w:ascii="Cambria Math" w:hAnsi="Cambria Math"/>
                <w:color w:val="00B050"/>
              </w:rPr>
              <w:t>⨁</w:t>
            </w:r>
            <w:r w:rsidRPr="00997BA0">
              <w:rPr>
                <w:rFonts w:ascii="Cambria Math" w:hAnsi="Cambria Math" w:cs="Cambria Math"/>
                <w:color w:val="C00000"/>
              </w:rPr>
              <w:t>⨀⨀⨀</w:t>
            </w:r>
          </w:p>
          <w:p w14:paraId="676AC9E0" w14:textId="77777777" w:rsidR="002E425C" w:rsidRPr="003312E7" w:rsidRDefault="00CC345E" w:rsidP="00E106E6">
            <w:pPr>
              <w:pStyle w:val="Tabletext1"/>
              <w:rPr>
                <w:snapToGrid w:val="0"/>
              </w:rPr>
            </w:pPr>
            <w:r w:rsidRPr="003312E7">
              <w:rPr>
                <w:rStyle w:val="quality-sign"/>
                <w:rFonts w:eastAsia="MS Mincho" w:cs="MS Mincho"/>
                <w:b/>
                <w:sz w:val="21"/>
                <w:szCs w:val="21"/>
              </w:rPr>
              <w:t xml:space="preserve"> VERY LOW</w:t>
            </w:r>
          </w:p>
        </w:tc>
        <w:tc>
          <w:tcPr>
            <w:tcW w:w="2019" w:type="pct"/>
            <w:tcBorders>
              <w:bottom w:val="single" w:sz="4" w:space="0" w:color="auto"/>
            </w:tcBorders>
            <w:shd w:val="clear" w:color="auto" w:fill="auto"/>
          </w:tcPr>
          <w:p w14:paraId="06CF8174" w14:textId="77777777" w:rsidR="002E425C" w:rsidRPr="003312E7" w:rsidRDefault="000E1C27" w:rsidP="00E106E6">
            <w:pPr>
              <w:pStyle w:val="Tabletext1"/>
              <w:rPr>
                <w:snapToGrid w:val="0"/>
              </w:rPr>
            </w:pPr>
            <w:r w:rsidRPr="003312E7">
              <w:rPr>
                <w:snapToGrid w:val="0"/>
              </w:rPr>
              <w:t>6/325 (1.8</w:t>
            </w:r>
            <w:r w:rsidR="002E425C" w:rsidRPr="003312E7">
              <w:rPr>
                <w:snapToGrid w:val="0"/>
              </w:rPr>
              <w:t>)</w:t>
            </w:r>
          </w:p>
          <w:p w14:paraId="61A5E1E8" w14:textId="1A595C14" w:rsidR="002E425C" w:rsidRPr="003312E7" w:rsidRDefault="000E1C27" w:rsidP="00E106E6">
            <w:pPr>
              <w:pStyle w:val="Tabletext1"/>
              <w:rPr>
                <w:snapToGrid w:val="0"/>
              </w:rPr>
            </w:pPr>
            <w:r w:rsidRPr="003312E7">
              <w:rPr>
                <w:snapToGrid w:val="0"/>
              </w:rPr>
              <w:t>2.2</w:t>
            </w:r>
            <w:r w:rsidR="002E425C" w:rsidRPr="003312E7">
              <w:rPr>
                <w:snapToGrid w:val="0"/>
              </w:rPr>
              <w:t xml:space="preserve"> (0</w:t>
            </w:r>
            <w:r w:rsidR="00D35E9C">
              <w:rPr>
                <w:snapToGrid w:val="0"/>
              </w:rPr>
              <w:t>–</w:t>
            </w:r>
            <w:r w:rsidR="002E425C" w:rsidRPr="003312E7">
              <w:rPr>
                <w:snapToGrid w:val="0"/>
              </w:rPr>
              <w:t>8.3)</w:t>
            </w:r>
          </w:p>
        </w:tc>
      </w:tr>
      <w:tr w:rsidR="002E425C" w:rsidRPr="0069748F" w14:paraId="16795125" w14:textId="77777777" w:rsidTr="008B51D1">
        <w:tc>
          <w:tcPr>
            <w:tcW w:w="1610" w:type="pct"/>
            <w:tcBorders>
              <w:right w:val="nil"/>
            </w:tcBorders>
            <w:shd w:val="clear" w:color="auto" w:fill="D9D9D9" w:themeFill="background1" w:themeFillShade="D9"/>
            <w:vAlign w:val="center"/>
          </w:tcPr>
          <w:p w14:paraId="0FCA7350" w14:textId="77777777" w:rsidR="002E425C" w:rsidRPr="00E106E6" w:rsidRDefault="002E425C" w:rsidP="00E106E6">
            <w:pPr>
              <w:pStyle w:val="Tabletext1"/>
              <w:rPr>
                <w:b/>
                <w:snapToGrid w:val="0"/>
              </w:rPr>
            </w:pPr>
            <w:r w:rsidRPr="00E106E6">
              <w:rPr>
                <w:b/>
                <w:snapToGrid w:val="0"/>
              </w:rPr>
              <w:t>Post-ablation syndrome</w:t>
            </w:r>
          </w:p>
        </w:tc>
        <w:tc>
          <w:tcPr>
            <w:tcW w:w="1371" w:type="pct"/>
            <w:tcBorders>
              <w:left w:val="nil"/>
              <w:right w:val="nil"/>
            </w:tcBorders>
            <w:shd w:val="clear" w:color="auto" w:fill="D9D9D9" w:themeFill="background1" w:themeFillShade="D9"/>
          </w:tcPr>
          <w:p w14:paraId="64B68B78" w14:textId="77777777" w:rsidR="002E425C" w:rsidRPr="002E425C" w:rsidRDefault="002E425C" w:rsidP="00E106E6">
            <w:pPr>
              <w:pStyle w:val="Tabletext1"/>
              <w:rPr>
                <w:snapToGrid w:val="0"/>
              </w:rPr>
            </w:pPr>
          </w:p>
        </w:tc>
        <w:tc>
          <w:tcPr>
            <w:tcW w:w="2019" w:type="pct"/>
            <w:tcBorders>
              <w:left w:val="nil"/>
            </w:tcBorders>
            <w:shd w:val="clear" w:color="auto" w:fill="D9D9D9" w:themeFill="background1" w:themeFillShade="D9"/>
          </w:tcPr>
          <w:p w14:paraId="4A115867" w14:textId="77777777" w:rsidR="002E425C" w:rsidRPr="0069748F" w:rsidRDefault="002E425C" w:rsidP="00E106E6">
            <w:pPr>
              <w:pStyle w:val="Tabletext1"/>
              <w:rPr>
                <w:snapToGrid w:val="0"/>
              </w:rPr>
            </w:pPr>
          </w:p>
        </w:tc>
      </w:tr>
      <w:tr w:rsidR="002E425C" w:rsidRPr="0069748F" w14:paraId="39067DCF" w14:textId="77777777" w:rsidTr="008B51D1">
        <w:tc>
          <w:tcPr>
            <w:tcW w:w="1610" w:type="pct"/>
            <w:shd w:val="clear" w:color="auto" w:fill="auto"/>
            <w:vAlign w:val="center"/>
          </w:tcPr>
          <w:p w14:paraId="472AB73B" w14:textId="77777777" w:rsidR="002E425C" w:rsidRPr="00C83213" w:rsidRDefault="002E425C" w:rsidP="00E106E6">
            <w:pPr>
              <w:pStyle w:val="Tabletext1"/>
              <w:rPr>
                <w:snapToGrid w:val="0"/>
              </w:rPr>
            </w:pPr>
            <w:r w:rsidRPr="003E18F4">
              <w:rPr>
                <w:snapToGrid w:val="0"/>
              </w:rPr>
              <w:t>Carafiello et al (2012)</w:t>
            </w:r>
          </w:p>
        </w:tc>
        <w:tc>
          <w:tcPr>
            <w:tcW w:w="1371" w:type="pct"/>
          </w:tcPr>
          <w:p w14:paraId="4CC43484" w14:textId="77777777" w:rsidR="002E425C" w:rsidRPr="002E425C" w:rsidRDefault="002E425C" w:rsidP="00E106E6">
            <w:pPr>
              <w:pStyle w:val="Tabletext1"/>
              <w:rPr>
                <w:snapToGrid w:val="0"/>
              </w:rPr>
            </w:pPr>
            <w:r w:rsidRPr="00CB16E9">
              <w:rPr>
                <w:snapToGrid w:val="0"/>
              </w:rPr>
              <w:t>IV</w:t>
            </w:r>
          </w:p>
        </w:tc>
        <w:tc>
          <w:tcPr>
            <w:tcW w:w="2019" w:type="pct"/>
            <w:shd w:val="clear" w:color="auto" w:fill="auto"/>
          </w:tcPr>
          <w:p w14:paraId="1E1F7CE1" w14:textId="77777777" w:rsidR="002E425C" w:rsidRPr="0069748F" w:rsidRDefault="002E425C" w:rsidP="00E106E6">
            <w:pPr>
              <w:pStyle w:val="Tabletext1"/>
              <w:rPr>
                <w:snapToGrid w:val="0"/>
              </w:rPr>
            </w:pPr>
            <w:r>
              <w:rPr>
                <w:snapToGrid w:val="0"/>
              </w:rPr>
              <w:t>2/17 (11.8</w:t>
            </w:r>
            <w:r w:rsidRPr="003E18F4">
              <w:rPr>
                <w:snapToGrid w:val="0"/>
              </w:rPr>
              <w:t>)</w:t>
            </w:r>
          </w:p>
        </w:tc>
      </w:tr>
      <w:tr w:rsidR="002E425C" w:rsidRPr="0069748F" w14:paraId="3A3CCC13" w14:textId="77777777" w:rsidTr="008B51D1">
        <w:tc>
          <w:tcPr>
            <w:tcW w:w="1610" w:type="pct"/>
            <w:shd w:val="clear" w:color="auto" w:fill="auto"/>
            <w:vAlign w:val="center"/>
          </w:tcPr>
          <w:p w14:paraId="49153F45" w14:textId="77777777" w:rsidR="002E425C" w:rsidRPr="00C83213" w:rsidRDefault="002E425C" w:rsidP="00E106E6">
            <w:pPr>
              <w:pStyle w:val="Tabletext1"/>
              <w:rPr>
                <w:snapToGrid w:val="0"/>
              </w:rPr>
            </w:pPr>
            <w:r w:rsidRPr="003E18F4">
              <w:rPr>
                <w:snapToGrid w:val="0"/>
              </w:rPr>
              <w:t>Carrafiello et al (2014)</w:t>
            </w:r>
          </w:p>
        </w:tc>
        <w:tc>
          <w:tcPr>
            <w:tcW w:w="1371" w:type="pct"/>
          </w:tcPr>
          <w:p w14:paraId="4F29286F" w14:textId="77777777" w:rsidR="002E425C" w:rsidRPr="002E425C" w:rsidRDefault="002E425C" w:rsidP="00E106E6">
            <w:pPr>
              <w:pStyle w:val="Tabletext1"/>
              <w:rPr>
                <w:snapToGrid w:val="0"/>
              </w:rPr>
            </w:pPr>
            <w:r w:rsidRPr="00CB16E9">
              <w:rPr>
                <w:snapToGrid w:val="0"/>
              </w:rPr>
              <w:t>IV</w:t>
            </w:r>
          </w:p>
        </w:tc>
        <w:tc>
          <w:tcPr>
            <w:tcW w:w="2019" w:type="pct"/>
            <w:shd w:val="clear" w:color="auto" w:fill="auto"/>
          </w:tcPr>
          <w:p w14:paraId="79011984" w14:textId="77777777" w:rsidR="002E425C" w:rsidRPr="0069748F" w:rsidRDefault="002E425C" w:rsidP="00E106E6">
            <w:pPr>
              <w:pStyle w:val="Tabletext1"/>
              <w:rPr>
                <w:snapToGrid w:val="0"/>
              </w:rPr>
            </w:pPr>
            <w:r>
              <w:rPr>
                <w:snapToGrid w:val="0"/>
              </w:rPr>
              <w:t>0/24 (0</w:t>
            </w:r>
            <w:r w:rsidRPr="003E18F4">
              <w:rPr>
                <w:snapToGrid w:val="0"/>
              </w:rPr>
              <w:t>)</w:t>
            </w:r>
          </w:p>
        </w:tc>
      </w:tr>
      <w:tr w:rsidR="002E425C" w:rsidRPr="0069748F" w14:paraId="3E0C746D" w14:textId="77777777" w:rsidTr="008B51D1">
        <w:tc>
          <w:tcPr>
            <w:tcW w:w="1610" w:type="pct"/>
            <w:shd w:val="clear" w:color="auto" w:fill="auto"/>
          </w:tcPr>
          <w:p w14:paraId="496DB6C4" w14:textId="77777777" w:rsidR="002E425C" w:rsidRPr="00C83213" w:rsidRDefault="002E425C" w:rsidP="00E106E6">
            <w:pPr>
              <w:pStyle w:val="Tabletext1"/>
              <w:rPr>
                <w:snapToGrid w:val="0"/>
              </w:rPr>
            </w:pPr>
            <w:r w:rsidRPr="003E18F4">
              <w:rPr>
                <w:snapToGrid w:val="0"/>
              </w:rPr>
              <w:t>Little et al (2013)</w:t>
            </w:r>
          </w:p>
        </w:tc>
        <w:tc>
          <w:tcPr>
            <w:tcW w:w="1371" w:type="pct"/>
          </w:tcPr>
          <w:p w14:paraId="11094A15" w14:textId="77777777" w:rsidR="002E425C" w:rsidRPr="002E425C" w:rsidRDefault="002E425C" w:rsidP="00E106E6">
            <w:pPr>
              <w:pStyle w:val="Tabletext1"/>
              <w:rPr>
                <w:snapToGrid w:val="0"/>
              </w:rPr>
            </w:pPr>
            <w:r w:rsidRPr="00CB16E9">
              <w:rPr>
                <w:snapToGrid w:val="0"/>
              </w:rPr>
              <w:t>IV</w:t>
            </w:r>
          </w:p>
        </w:tc>
        <w:tc>
          <w:tcPr>
            <w:tcW w:w="2019" w:type="pct"/>
            <w:shd w:val="clear" w:color="auto" w:fill="auto"/>
          </w:tcPr>
          <w:p w14:paraId="2C6BC90B" w14:textId="77777777" w:rsidR="002E425C" w:rsidRPr="0069748F" w:rsidRDefault="002E425C" w:rsidP="00E106E6">
            <w:pPr>
              <w:pStyle w:val="Tabletext1"/>
              <w:rPr>
                <w:snapToGrid w:val="0"/>
              </w:rPr>
            </w:pPr>
            <w:r>
              <w:rPr>
                <w:snapToGrid w:val="0"/>
              </w:rPr>
              <w:t>0/23 (0</w:t>
            </w:r>
            <w:r w:rsidRPr="003E18F4">
              <w:rPr>
                <w:snapToGrid w:val="0"/>
              </w:rPr>
              <w:t>)</w:t>
            </w:r>
          </w:p>
        </w:tc>
      </w:tr>
      <w:tr w:rsidR="00A31B77" w:rsidRPr="0069748F" w14:paraId="3C2C5D57" w14:textId="77777777" w:rsidTr="008B51D1">
        <w:tc>
          <w:tcPr>
            <w:tcW w:w="1610" w:type="pct"/>
            <w:shd w:val="clear" w:color="auto" w:fill="auto"/>
          </w:tcPr>
          <w:p w14:paraId="7EDB53BC" w14:textId="77777777" w:rsidR="00A31B77" w:rsidRPr="003E18F4" w:rsidRDefault="00A31B77" w:rsidP="00E106E6">
            <w:pPr>
              <w:pStyle w:val="Tabletext1"/>
              <w:rPr>
                <w:snapToGrid w:val="0"/>
              </w:rPr>
            </w:pPr>
            <w:r>
              <w:rPr>
                <w:snapToGrid w:val="0"/>
              </w:rPr>
              <w:t>Lu et al (2012)</w:t>
            </w:r>
          </w:p>
        </w:tc>
        <w:tc>
          <w:tcPr>
            <w:tcW w:w="1371" w:type="pct"/>
          </w:tcPr>
          <w:p w14:paraId="3F2840D8" w14:textId="77777777" w:rsidR="00A31B77" w:rsidRPr="00CB16E9" w:rsidRDefault="00A31B77" w:rsidP="00E106E6">
            <w:pPr>
              <w:pStyle w:val="Tabletext1"/>
              <w:rPr>
                <w:snapToGrid w:val="0"/>
              </w:rPr>
            </w:pPr>
            <w:r>
              <w:rPr>
                <w:snapToGrid w:val="0"/>
              </w:rPr>
              <w:t>IV</w:t>
            </w:r>
          </w:p>
        </w:tc>
        <w:tc>
          <w:tcPr>
            <w:tcW w:w="2019" w:type="pct"/>
            <w:shd w:val="clear" w:color="auto" w:fill="auto"/>
          </w:tcPr>
          <w:p w14:paraId="064C6787" w14:textId="77777777" w:rsidR="00A31B77" w:rsidRPr="00A31B77" w:rsidRDefault="00A31B77" w:rsidP="00E106E6">
            <w:pPr>
              <w:pStyle w:val="Tabletext1"/>
              <w:rPr>
                <w:snapToGrid w:val="0"/>
                <w:highlight w:val="yellow"/>
              </w:rPr>
            </w:pPr>
            <w:r w:rsidRPr="000E1C27">
              <w:rPr>
                <w:snapToGrid w:val="0"/>
              </w:rPr>
              <w:t>0/69 (0)</w:t>
            </w:r>
          </w:p>
        </w:tc>
      </w:tr>
      <w:tr w:rsidR="002E425C" w:rsidRPr="0069748F" w14:paraId="55B8CF19" w14:textId="77777777" w:rsidTr="008B51D1">
        <w:tc>
          <w:tcPr>
            <w:tcW w:w="1610" w:type="pct"/>
            <w:shd w:val="clear" w:color="auto" w:fill="auto"/>
          </w:tcPr>
          <w:p w14:paraId="0D05AE65" w14:textId="77777777" w:rsidR="002E425C" w:rsidRPr="00C83213" w:rsidRDefault="002E425C" w:rsidP="00E106E6">
            <w:pPr>
              <w:pStyle w:val="Tabletext1"/>
              <w:rPr>
                <w:snapToGrid w:val="0"/>
              </w:rPr>
            </w:pPr>
            <w:r w:rsidRPr="003E18F4">
              <w:rPr>
                <w:snapToGrid w:val="0"/>
              </w:rPr>
              <w:t>Ni et al (2015)</w:t>
            </w:r>
          </w:p>
        </w:tc>
        <w:tc>
          <w:tcPr>
            <w:tcW w:w="1371" w:type="pct"/>
          </w:tcPr>
          <w:p w14:paraId="2E001FBA" w14:textId="77777777" w:rsidR="002E425C" w:rsidRPr="002E425C" w:rsidRDefault="002E425C" w:rsidP="00E106E6">
            <w:pPr>
              <w:pStyle w:val="Tabletext1"/>
              <w:rPr>
                <w:snapToGrid w:val="0"/>
              </w:rPr>
            </w:pPr>
            <w:r w:rsidRPr="00CB16E9">
              <w:rPr>
                <w:snapToGrid w:val="0"/>
              </w:rPr>
              <w:t>IV</w:t>
            </w:r>
          </w:p>
        </w:tc>
        <w:tc>
          <w:tcPr>
            <w:tcW w:w="2019" w:type="pct"/>
            <w:shd w:val="clear" w:color="auto" w:fill="auto"/>
          </w:tcPr>
          <w:p w14:paraId="55CDDD8A" w14:textId="77777777" w:rsidR="002E425C" w:rsidRPr="0069748F" w:rsidRDefault="002E425C" w:rsidP="00E106E6">
            <w:pPr>
              <w:pStyle w:val="Tabletext1"/>
              <w:rPr>
                <w:snapToGrid w:val="0"/>
              </w:rPr>
            </w:pPr>
            <w:r>
              <w:rPr>
                <w:snapToGrid w:val="0"/>
              </w:rPr>
              <w:t>14/39 (35.9</w:t>
            </w:r>
            <w:r w:rsidRPr="003E18F4">
              <w:rPr>
                <w:snapToGrid w:val="0"/>
              </w:rPr>
              <w:t>)</w:t>
            </w:r>
          </w:p>
        </w:tc>
      </w:tr>
      <w:tr w:rsidR="002E425C" w:rsidRPr="0069748F" w14:paraId="463610C2" w14:textId="77777777" w:rsidTr="008B51D1">
        <w:tc>
          <w:tcPr>
            <w:tcW w:w="1610" w:type="pct"/>
            <w:shd w:val="clear" w:color="auto" w:fill="auto"/>
          </w:tcPr>
          <w:p w14:paraId="2DEDD55D" w14:textId="77777777" w:rsidR="002E425C" w:rsidRPr="00C83213" w:rsidRDefault="002E425C" w:rsidP="00E106E6">
            <w:pPr>
              <w:pStyle w:val="Tabletext1"/>
              <w:rPr>
                <w:snapToGrid w:val="0"/>
              </w:rPr>
            </w:pPr>
            <w:r w:rsidRPr="003E18F4">
              <w:rPr>
                <w:snapToGrid w:val="0"/>
              </w:rPr>
              <w:t>Wolf et al (2006)</w:t>
            </w:r>
          </w:p>
        </w:tc>
        <w:tc>
          <w:tcPr>
            <w:tcW w:w="1371" w:type="pct"/>
          </w:tcPr>
          <w:p w14:paraId="181F1E1D" w14:textId="77777777" w:rsidR="002E425C" w:rsidRPr="002E425C" w:rsidRDefault="002E425C" w:rsidP="00E106E6">
            <w:pPr>
              <w:pStyle w:val="Tabletext1"/>
              <w:rPr>
                <w:snapToGrid w:val="0"/>
              </w:rPr>
            </w:pPr>
            <w:r w:rsidRPr="00CB16E9">
              <w:rPr>
                <w:snapToGrid w:val="0"/>
              </w:rPr>
              <w:t>IV</w:t>
            </w:r>
          </w:p>
        </w:tc>
        <w:tc>
          <w:tcPr>
            <w:tcW w:w="2019" w:type="pct"/>
            <w:shd w:val="clear" w:color="auto" w:fill="auto"/>
          </w:tcPr>
          <w:p w14:paraId="7CD30364" w14:textId="14E1E838" w:rsidR="002E425C" w:rsidRPr="0069748F" w:rsidRDefault="002E425C" w:rsidP="00E106E6">
            <w:pPr>
              <w:pStyle w:val="Tabletext1"/>
              <w:rPr>
                <w:snapToGrid w:val="0"/>
              </w:rPr>
            </w:pPr>
            <w:r w:rsidRPr="003E18F4">
              <w:rPr>
                <w:snapToGrid w:val="0"/>
              </w:rPr>
              <w:t>1/66 (</w:t>
            </w:r>
            <w:r>
              <w:rPr>
                <w:snapToGrid w:val="0"/>
              </w:rPr>
              <w:t>1.5</w:t>
            </w:r>
            <w:r w:rsidRPr="003E18F4">
              <w:rPr>
                <w:snapToGrid w:val="0"/>
              </w:rPr>
              <w:t>) with signs and symptoms resolving in 3</w:t>
            </w:r>
            <w:r w:rsidR="00D35E9C">
              <w:rPr>
                <w:snapToGrid w:val="0"/>
              </w:rPr>
              <w:t>–</w:t>
            </w:r>
            <w:r w:rsidRPr="003E18F4">
              <w:rPr>
                <w:snapToGrid w:val="0"/>
              </w:rPr>
              <w:t>4 days</w:t>
            </w:r>
          </w:p>
        </w:tc>
      </w:tr>
      <w:tr w:rsidR="002E425C" w:rsidRPr="0069748F" w14:paraId="3AAF787B" w14:textId="77777777" w:rsidTr="008B51D1">
        <w:tc>
          <w:tcPr>
            <w:tcW w:w="1610" w:type="pct"/>
            <w:shd w:val="clear" w:color="auto" w:fill="auto"/>
          </w:tcPr>
          <w:p w14:paraId="232DBF04" w14:textId="77777777" w:rsidR="002E425C" w:rsidRPr="00C83213" w:rsidRDefault="002E425C" w:rsidP="00E106E6">
            <w:pPr>
              <w:pStyle w:val="Tabletext1"/>
              <w:rPr>
                <w:snapToGrid w:val="0"/>
              </w:rPr>
            </w:pPr>
            <w:r w:rsidRPr="003E18F4">
              <w:rPr>
                <w:snapToGrid w:val="0"/>
              </w:rPr>
              <w:t>Yang et al (2014)</w:t>
            </w:r>
          </w:p>
        </w:tc>
        <w:tc>
          <w:tcPr>
            <w:tcW w:w="1371" w:type="pct"/>
          </w:tcPr>
          <w:p w14:paraId="2D05BC72" w14:textId="77777777" w:rsidR="002E425C" w:rsidRPr="002E425C" w:rsidRDefault="002E425C" w:rsidP="00E106E6">
            <w:pPr>
              <w:pStyle w:val="Tabletext1"/>
              <w:rPr>
                <w:snapToGrid w:val="0"/>
              </w:rPr>
            </w:pPr>
            <w:r w:rsidRPr="00CB16E9">
              <w:rPr>
                <w:snapToGrid w:val="0"/>
              </w:rPr>
              <w:t>IV</w:t>
            </w:r>
          </w:p>
        </w:tc>
        <w:tc>
          <w:tcPr>
            <w:tcW w:w="2019" w:type="pct"/>
            <w:shd w:val="clear" w:color="auto" w:fill="auto"/>
          </w:tcPr>
          <w:p w14:paraId="501B1989" w14:textId="77777777" w:rsidR="002E425C" w:rsidRPr="0069748F" w:rsidRDefault="002E425C" w:rsidP="00E106E6">
            <w:pPr>
              <w:pStyle w:val="Tabletext1"/>
              <w:rPr>
                <w:snapToGrid w:val="0"/>
              </w:rPr>
            </w:pPr>
            <w:r w:rsidRPr="003E18F4">
              <w:rPr>
                <w:snapToGrid w:val="0"/>
              </w:rPr>
              <w:t>15/47 (</w:t>
            </w:r>
            <w:r w:rsidR="000E1C27">
              <w:rPr>
                <w:snapToGrid w:val="0"/>
              </w:rPr>
              <w:t>31.9</w:t>
            </w:r>
            <w:r w:rsidRPr="003E18F4">
              <w:rPr>
                <w:snapToGrid w:val="0"/>
              </w:rPr>
              <w:t>)</w:t>
            </w:r>
          </w:p>
        </w:tc>
      </w:tr>
      <w:tr w:rsidR="003E5EC5" w:rsidRPr="0069748F" w14:paraId="584571CC" w14:textId="77777777" w:rsidTr="008B51D1">
        <w:tc>
          <w:tcPr>
            <w:tcW w:w="1610" w:type="pct"/>
            <w:shd w:val="clear" w:color="auto" w:fill="auto"/>
          </w:tcPr>
          <w:p w14:paraId="78ADED1C" w14:textId="77777777" w:rsidR="007D2EBB" w:rsidRPr="003312E7" w:rsidRDefault="007D2EBB" w:rsidP="00E106E6">
            <w:pPr>
              <w:pStyle w:val="Tabletext1"/>
              <w:rPr>
                <w:snapToGrid w:val="0"/>
              </w:rPr>
            </w:pPr>
            <w:r w:rsidRPr="003312E7">
              <w:rPr>
                <w:snapToGrid w:val="0"/>
              </w:rPr>
              <w:t>Pooled n/N (%)</w:t>
            </w:r>
          </w:p>
          <w:p w14:paraId="436E30A0" w14:textId="77777777" w:rsidR="003E5EC5" w:rsidRPr="003312E7" w:rsidRDefault="007D2EBB" w:rsidP="00E106E6">
            <w:pPr>
              <w:pStyle w:val="Tabletext1"/>
              <w:rPr>
                <w:snapToGrid w:val="0"/>
              </w:rPr>
            </w:pPr>
            <w:r w:rsidRPr="003312E7">
              <w:rPr>
                <w:snapToGrid w:val="0"/>
              </w:rPr>
              <w:t>Median % (range)</w:t>
            </w:r>
          </w:p>
        </w:tc>
        <w:tc>
          <w:tcPr>
            <w:tcW w:w="1371" w:type="pct"/>
            <w:tcBorders>
              <w:bottom w:val="single" w:sz="4" w:space="0" w:color="auto"/>
            </w:tcBorders>
          </w:tcPr>
          <w:p w14:paraId="754C41DD" w14:textId="77777777" w:rsidR="00BD06D5" w:rsidRPr="00997BA0" w:rsidRDefault="00172E96" w:rsidP="00E106E6">
            <w:pPr>
              <w:pStyle w:val="Tabletext1"/>
              <w:rPr>
                <w:rStyle w:val="quality-sign"/>
                <w:rFonts w:ascii="MS Mincho" w:eastAsia="MS Mincho" w:hAnsi="MS Mincho" w:cs="MS Mincho"/>
                <w:sz w:val="21"/>
                <w:szCs w:val="21"/>
              </w:rPr>
            </w:pPr>
            <w:r w:rsidRPr="00997BA0">
              <w:rPr>
                <w:rFonts w:ascii="Cambria Math" w:hAnsi="Cambria Math"/>
                <w:color w:val="00B050"/>
              </w:rPr>
              <w:t>⨁</w:t>
            </w:r>
            <w:r w:rsidRPr="00997BA0">
              <w:rPr>
                <w:rFonts w:ascii="Cambria Math" w:hAnsi="Cambria Math" w:cs="Cambria Math"/>
                <w:color w:val="C00000"/>
              </w:rPr>
              <w:t>⨀⨀⨀</w:t>
            </w:r>
          </w:p>
          <w:p w14:paraId="0987B007" w14:textId="77777777" w:rsidR="003E5EC5" w:rsidRPr="003312E7" w:rsidRDefault="00BD06D5" w:rsidP="00E106E6">
            <w:pPr>
              <w:pStyle w:val="Tabletext1"/>
            </w:pPr>
            <w:r w:rsidRPr="003312E7">
              <w:rPr>
                <w:rStyle w:val="quality-sign"/>
                <w:rFonts w:eastAsia="MS Mincho" w:cs="MS Mincho"/>
                <w:b/>
                <w:sz w:val="21"/>
                <w:szCs w:val="21"/>
              </w:rPr>
              <w:t xml:space="preserve"> VERY LOW</w:t>
            </w:r>
          </w:p>
        </w:tc>
        <w:tc>
          <w:tcPr>
            <w:tcW w:w="2019" w:type="pct"/>
            <w:tcBorders>
              <w:bottom w:val="single" w:sz="4" w:space="0" w:color="auto"/>
            </w:tcBorders>
            <w:shd w:val="clear" w:color="auto" w:fill="auto"/>
          </w:tcPr>
          <w:p w14:paraId="3578B005" w14:textId="77777777" w:rsidR="007D2EBB" w:rsidRPr="003312E7" w:rsidRDefault="000E1C27" w:rsidP="00E106E6">
            <w:pPr>
              <w:pStyle w:val="Tabletext1"/>
              <w:rPr>
                <w:snapToGrid w:val="0"/>
              </w:rPr>
            </w:pPr>
            <w:r w:rsidRPr="003312E7">
              <w:rPr>
                <w:snapToGrid w:val="0"/>
              </w:rPr>
              <w:t>32/285</w:t>
            </w:r>
            <w:r w:rsidR="007D2EBB" w:rsidRPr="003312E7">
              <w:rPr>
                <w:snapToGrid w:val="0"/>
              </w:rPr>
              <w:t xml:space="preserve"> (</w:t>
            </w:r>
            <w:r w:rsidRPr="003312E7">
              <w:rPr>
                <w:snapToGrid w:val="0"/>
              </w:rPr>
              <w:t>11.2</w:t>
            </w:r>
            <w:r w:rsidR="007D2EBB" w:rsidRPr="003312E7">
              <w:rPr>
                <w:snapToGrid w:val="0"/>
              </w:rPr>
              <w:t>)</w:t>
            </w:r>
          </w:p>
          <w:p w14:paraId="7205817C" w14:textId="7C595489" w:rsidR="003E5EC5" w:rsidRPr="003312E7" w:rsidRDefault="000E1C27" w:rsidP="00E106E6">
            <w:pPr>
              <w:pStyle w:val="Tabletext1"/>
              <w:rPr>
                <w:snapToGrid w:val="0"/>
              </w:rPr>
            </w:pPr>
            <w:r w:rsidRPr="003312E7">
              <w:rPr>
                <w:snapToGrid w:val="0"/>
              </w:rPr>
              <w:t>1.5</w:t>
            </w:r>
            <w:r w:rsidR="003E5EC5" w:rsidRPr="003312E7">
              <w:rPr>
                <w:snapToGrid w:val="0"/>
              </w:rPr>
              <w:t xml:space="preserve"> ( 0</w:t>
            </w:r>
            <w:r w:rsidR="007E3D66">
              <w:rPr>
                <w:snapToGrid w:val="0"/>
              </w:rPr>
              <w:t>–</w:t>
            </w:r>
            <w:r w:rsidR="007D2EBB" w:rsidRPr="003312E7">
              <w:rPr>
                <w:snapToGrid w:val="0"/>
              </w:rPr>
              <w:t>35.9</w:t>
            </w:r>
            <w:r w:rsidR="003E5EC5" w:rsidRPr="003312E7">
              <w:rPr>
                <w:snapToGrid w:val="0"/>
              </w:rPr>
              <w:t>)</w:t>
            </w:r>
          </w:p>
        </w:tc>
      </w:tr>
      <w:tr w:rsidR="003E5EC5" w:rsidRPr="0069748F" w14:paraId="658598EF" w14:textId="77777777" w:rsidTr="008B51D1">
        <w:tc>
          <w:tcPr>
            <w:tcW w:w="1610" w:type="pct"/>
            <w:tcBorders>
              <w:right w:val="nil"/>
            </w:tcBorders>
            <w:shd w:val="clear" w:color="auto" w:fill="D9D9D9" w:themeFill="background1" w:themeFillShade="D9"/>
          </w:tcPr>
          <w:p w14:paraId="7B2B93C5" w14:textId="77777777" w:rsidR="003E5EC5" w:rsidRPr="00E106E6" w:rsidRDefault="003E5EC5" w:rsidP="00E106E6">
            <w:pPr>
              <w:pStyle w:val="Tabletext1"/>
              <w:rPr>
                <w:b/>
                <w:snapToGrid w:val="0"/>
              </w:rPr>
            </w:pPr>
            <w:r w:rsidRPr="00E106E6">
              <w:rPr>
                <w:b/>
                <w:snapToGrid w:val="0"/>
              </w:rPr>
              <w:t>Broncho-pleural fistula</w:t>
            </w:r>
          </w:p>
        </w:tc>
        <w:tc>
          <w:tcPr>
            <w:tcW w:w="1371" w:type="pct"/>
            <w:tcBorders>
              <w:left w:val="nil"/>
              <w:right w:val="nil"/>
            </w:tcBorders>
            <w:shd w:val="clear" w:color="auto" w:fill="D9D9D9" w:themeFill="background1" w:themeFillShade="D9"/>
          </w:tcPr>
          <w:p w14:paraId="51D0E5A6" w14:textId="4218A09D" w:rsidR="003E5EC5" w:rsidRPr="002E425C" w:rsidRDefault="003E5EC5" w:rsidP="00E106E6">
            <w:pPr>
              <w:pStyle w:val="Tabletext1"/>
              <w:rPr>
                <w:snapToGrid w:val="0"/>
              </w:rPr>
            </w:pPr>
          </w:p>
        </w:tc>
        <w:tc>
          <w:tcPr>
            <w:tcW w:w="2019" w:type="pct"/>
            <w:tcBorders>
              <w:left w:val="nil"/>
            </w:tcBorders>
            <w:shd w:val="clear" w:color="auto" w:fill="D9D9D9" w:themeFill="background1" w:themeFillShade="D9"/>
          </w:tcPr>
          <w:p w14:paraId="5606FF86" w14:textId="77777777" w:rsidR="003E5EC5" w:rsidRPr="0069748F" w:rsidRDefault="003E5EC5" w:rsidP="00E106E6">
            <w:pPr>
              <w:pStyle w:val="Tabletext1"/>
              <w:rPr>
                <w:snapToGrid w:val="0"/>
              </w:rPr>
            </w:pPr>
          </w:p>
        </w:tc>
      </w:tr>
      <w:tr w:rsidR="002E425C" w:rsidRPr="0069748F" w14:paraId="3B3FE8E3" w14:textId="77777777" w:rsidTr="008B51D1">
        <w:tc>
          <w:tcPr>
            <w:tcW w:w="1610" w:type="pct"/>
            <w:shd w:val="clear" w:color="auto" w:fill="auto"/>
          </w:tcPr>
          <w:p w14:paraId="5149002F" w14:textId="77777777" w:rsidR="002E425C" w:rsidRPr="00C83213" w:rsidRDefault="002E425C" w:rsidP="00E106E6">
            <w:pPr>
              <w:pStyle w:val="Tabletext1"/>
              <w:rPr>
                <w:snapToGrid w:val="0"/>
              </w:rPr>
            </w:pPr>
            <w:r w:rsidRPr="007D2EBB">
              <w:rPr>
                <w:snapToGrid w:val="0"/>
              </w:rPr>
              <w:t>Ni et al (2015)</w:t>
            </w:r>
          </w:p>
        </w:tc>
        <w:tc>
          <w:tcPr>
            <w:tcW w:w="1371" w:type="pct"/>
          </w:tcPr>
          <w:p w14:paraId="7898F279" w14:textId="77777777" w:rsidR="002E425C" w:rsidRPr="002E425C" w:rsidRDefault="002E425C" w:rsidP="00E106E6">
            <w:pPr>
              <w:pStyle w:val="Tabletext1"/>
              <w:rPr>
                <w:snapToGrid w:val="0"/>
              </w:rPr>
            </w:pPr>
            <w:r w:rsidRPr="002C77EC">
              <w:rPr>
                <w:snapToGrid w:val="0"/>
              </w:rPr>
              <w:t>IV</w:t>
            </w:r>
          </w:p>
        </w:tc>
        <w:tc>
          <w:tcPr>
            <w:tcW w:w="2019" w:type="pct"/>
            <w:shd w:val="clear" w:color="auto" w:fill="auto"/>
          </w:tcPr>
          <w:p w14:paraId="1E9AFF46" w14:textId="77777777" w:rsidR="002E425C" w:rsidRDefault="002E425C" w:rsidP="00E106E6">
            <w:pPr>
              <w:pStyle w:val="Tabletext1"/>
              <w:rPr>
                <w:snapToGrid w:val="0"/>
              </w:rPr>
            </w:pPr>
            <w:r>
              <w:rPr>
                <w:snapToGrid w:val="0"/>
              </w:rPr>
              <w:t>1/39 (2.6</w:t>
            </w:r>
            <w:r w:rsidRPr="007D2EBB">
              <w:rPr>
                <w:snapToGrid w:val="0"/>
              </w:rPr>
              <w:t>)</w:t>
            </w:r>
          </w:p>
        </w:tc>
      </w:tr>
      <w:tr w:rsidR="002E425C" w:rsidRPr="0069748F" w14:paraId="1E9E366D" w14:textId="77777777" w:rsidTr="008B51D1">
        <w:tc>
          <w:tcPr>
            <w:tcW w:w="1610" w:type="pct"/>
            <w:shd w:val="clear" w:color="auto" w:fill="auto"/>
          </w:tcPr>
          <w:p w14:paraId="1DD618BF" w14:textId="77777777" w:rsidR="002E425C" w:rsidRPr="00C83213" w:rsidRDefault="002E425C" w:rsidP="00E106E6">
            <w:pPr>
              <w:pStyle w:val="Tabletext1"/>
              <w:rPr>
                <w:snapToGrid w:val="0"/>
              </w:rPr>
            </w:pPr>
            <w:r w:rsidRPr="00C67946">
              <w:rPr>
                <w:snapToGrid w:val="0"/>
              </w:rPr>
              <w:t>Splatt &amp; Steinke (2015)</w:t>
            </w:r>
            <w:r w:rsidRPr="00C67946">
              <w:rPr>
                <w:snapToGrid w:val="0"/>
                <w:vertAlign w:val="superscript"/>
              </w:rPr>
              <w:t>a</w:t>
            </w:r>
          </w:p>
        </w:tc>
        <w:tc>
          <w:tcPr>
            <w:tcW w:w="1371" w:type="pct"/>
          </w:tcPr>
          <w:p w14:paraId="3980076B" w14:textId="77777777" w:rsidR="002E425C" w:rsidRPr="002E425C" w:rsidRDefault="002E425C" w:rsidP="00E106E6">
            <w:pPr>
              <w:pStyle w:val="Tabletext1"/>
              <w:rPr>
                <w:snapToGrid w:val="0"/>
              </w:rPr>
            </w:pPr>
            <w:r w:rsidRPr="002C77EC">
              <w:rPr>
                <w:snapToGrid w:val="0"/>
              </w:rPr>
              <w:t>IV</w:t>
            </w:r>
          </w:p>
        </w:tc>
        <w:tc>
          <w:tcPr>
            <w:tcW w:w="2019" w:type="pct"/>
            <w:shd w:val="clear" w:color="auto" w:fill="auto"/>
          </w:tcPr>
          <w:p w14:paraId="7FA957E7" w14:textId="77777777" w:rsidR="002E425C" w:rsidRDefault="002E425C" w:rsidP="00E106E6">
            <w:pPr>
              <w:pStyle w:val="Tabletext1"/>
              <w:rPr>
                <w:snapToGrid w:val="0"/>
              </w:rPr>
            </w:pPr>
            <w:r w:rsidRPr="00C67946">
              <w:rPr>
                <w:snapToGrid w:val="0"/>
              </w:rPr>
              <w:t>1/70 (1.4) delayed broncho</w:t>
            </w:r>
            <w:r w:rsidR="00FB5F4A">
              <w:rPr>
                <w:snapToGrid w:val="0"/>
              </w:rPr>
              <w:t>-</w:t>
            </w:r>
            <w:r w:rsidRPr="00C67946">
              <w:rPr>
                <w:snapToGrid w:val="0"/>
              </w:rPr>
              <w:t>pleural fistula (related to pneumothoraces)</w:t>
            </w:r>
          </w:p>
        </w:tc>
      </w:tr>
      <w:tr w:rsidR="002E425C" w:rsidRPr="0069748F" w14:paraId="788A70EC" w14:textId="77777777" w:rsidTr="008B51D1">
        <w:tc>
          <w:tcPr>
            <w:tcW w:w="1610" w:type="pct"/>
            <w:shd w:val="clear" w:color="auto" w:fill="auto"/>
          </w:tcPr>
          <w:p w14:paraId="369AB0AA" w14:textId="77777777" w:rsidR="002E425C" w:rsidRPr="00C83213" w:rsidRDefault="002E425C" w:rsidP="00E106E6">
            <w:pPr>
              <w:pStyle w:val="Tabletext1"/>
              <w:rPr>
                <w:snapToGrid w:val="0"/>
              </w:rPr>
            </w:pPr>
            <w:r w:rsidRPr="00C67946">
              <w:rPr>
                <w:snapToGrid w:val="0"/>
              </w:rPr>
              <w:lastRenderedPageBreak/>
              <w:t>Yang et al (2014)</w:t>
            </w:r>
          </w:p>
        </w:tc>
        <w:tc>
          <w:tcPr>
            <w:tcW w:w="1371" w:type="pct"/>
          </w:tcPr>
          <w:p w14:paraId="67784505" w14:textId="77777777" w:rsidR="002E425C" w:rsidRPr="002E425C" w:rsidRDefault="002E425C" w:rsidP="00E106E6">
            <w:pPr>
              <w:pStyle w:val="Tabletext1"/>
              <w:rPr>
                <w:snapToGrid w:val="0"/>
              </w:rPr>
            </w:pPr>
            <w:r w:rsidRPr="002C77EC">
              <w:rPr>
                <w:snapToGrid w:val="0"/>
              </w:rPr>
              <w:t>IV</w:t>
            </w:r>
          </w:p>
        </w:tc>
        <w:tc>
          <w:tcPr>
            <w:tcW w:w="2019" w:type="pct"/>
            <w:shd w:val="clear" w:color="auto" w:fill="auto"/>
          </w:tcPr>
          <w:p w14:paraId="0BFCB3CD" w14:textId="77777777" w:rsidR="002E425C" w:rsidRDefault="002E425C" w:rsidP="00E106E6">
            <w:pPr>
              <w:pStyle w:val="Tabletext1"/>
              <w:rPr>
                <w:snapToGrid w:val="0"/>
              </w:rPr>
            </w:pPr>
            <w:r>
              <w:rPr>
                <w:snapToGrid w:val="0"/>
              </w:rPr>
              <w:t xml:space="preserve">1/47 </w:t>
            </w:r>
            <w:r w:rsidRPr="000E1C27">
              <w:rPr>
                <w:snapToGrid w:val="0"/>
              </w:rPr>
              <w:t>(</w:t>
            </w:r>
            <w:r w:rsidR="00A31B77" w:rsidRPr="000E1C27">
              <w:rPr>
                <w:snapToGrid w:val="0"/>
              </w:rPr>
              <w:t>2.1</w:t>
            </w:r>
            <w:r w:rsidRPr="000E1C27">
              <w:rPr>
                <w:snapToGrid w:val="0"/>
              </w:rPr>
              <w:t>)</w:t>
            </w:r>
          </w:p>
        </w:tc>
      </w:tr>
      <w:tr w:rsidR="002E425C" w:rsidRPr="0069748F" w14:paraId="18CE7EE3" w14:textId="77777777" w:rsidTr="008B51D1">
        <w:tc>
          <w:tcPr>
            <w:tcW w:w="1610" w:type="pct"/>
            <w:shd w:val="clear" w:color="auto" w:fill="auto"/>
          </w:tcPr>
          <w:p w14:paraId="721B0970" w14:textId="77777777" w:rsidR="002E425C" w:rsidRPr="00C83213" w:rsidRDefault="002E425C" w:rsidP="00E106E6">
            <w:pPr>
              <w:pStyle w:val="Tabletext1"/>
              <w:rPr>
                <w:snapToGrid w:val="0"/>
              </w:rPr>
            </w:pPr>
            <w:r w:rsidRPr="00C67946">
              <w:rPr>
                <w:snapToGrid w:val="0"/>
              </w:rPr>
              <w:t>Zheng et al (2014)</w:t>
            </w:r>
            <w:r w:rsidRPr="005E1A24">
              <w:rPr>
                <w:snapToGrid w:val="0"/>
                <w:vertAlign w:val="superscript"/>
              </w:rPr>
              <w:t>a</w:t>
            </w:r>
          </w:p>
        </w:tc>
        <w:tc>
          <w:tcPr>
            <w:tcW w:w="1371" w:type="pct"/>
          </w:tcPr>
          <w:p w14:paraId="124609B2" w14:textId="77777777" w:rsidR="002E425C" w:rsidRPr="002E425C" w:rsidRDefault="002E425C" w:rsidP="00E106E6">
            <w:pPr>
              <w:pStyle w:val="Tabletext1"/>
              <w:rPr>
                <w:snapToGrid w:val="0"/>
              </w:rPr>
            </w:pPr>
            <w:r w:rsidRPr="002C77EC">
              <w:rPr>
                <w:snapToGrid w:val="0"/>
              </w:rPr>
              <w:t>IV</w:t>
            </w:r>
          </w:p>
        </w:tc>
        <w:tc>
          <w:tcPr>
            <w:tcW w:w="2019" w:type="pct"/>
            <w:shd w:val="clear" w:color="auto" w:fill="auto"/>
          </w:tcPr>
          <w:p w14:paraId="23EEBCD2" w14:textId="77777777" w:rsidR="002E425C" w:rsidRDefault="002E425C" w:rsidP="00E106E6">
            <w:pPr>
              <w:pStyle w:val="Tabletext1"/>
              <w:rPr>
                <w:snapToGrid w:val="0"/>
              </w:rPr>
            </w:pPr>
            <w:r>
              <w:rPr>
                <w:snapToGrid w:val="0"/>
              </w:rPr>
              <w:t>1/204 (0.5</w:t>
            </w:r>
            <w:r w:rsidRPr="00C67946">
              <w:rPr>
                <w:snapToGrid w:val="0"/>
              </w:rPr>
              <w:t>) which caused pneumothorax</w:t>
            </w:r>
          </w:p>
        </w:tc>
      </w:tr>
      <w:tr w:rsidR="00C67946" w:rsidRPr="0069748F" w14:paraId="3AA6A82E" w14:textId="77777777" w:rsidTr="008B51D1">
        <w:tc>
          <w:tcPr>
            <w:tcW w:w="1610" w:type="pct"/>
            <w:shd w:val="clear" w:color="auto" w:fill="auto"/>
          </w:tcPr>
          <w:p w14:paraId="44E67F97" w14:textId="77777777" w:rsidR="00C67946" w:rsidRPr="003312E7" w:rsidRDefault="00C67946" w:rsidP="00E106E6">
            <w:pPr>
              <w:pStyle w:val="Tabletext1"/>
              <w:rPr>
                <w:snapToGrid w:val="0"/>
              </w:rPr>
            </w:pPr>
            <w:r w:rsidRPr="003312E7">
              <w:rPr>
                <w:snapToGrid w:val="0"/>
              </w:rPr>
              <w:t>Pooled n/N (%)</w:t>
            </w:r>
          </w:p>
          <w:p w14:paraId="59B99560" w14:textId="77777777" w:rsidR="00C67946" w:rsidRPr="003312E7" w:rsidRDefault="00C67946" w:rsidP="00E106E6">
            <w:pPr>
              <w:pStyle w:val="Tabletext1"/>
              <w:rPr>
                <w:snapToGrid w:val="0"/>
              </w:rPr>
            </w:pPr>
            <w:r w:rsidRPr="003312E7">
              <w:rPr>
                <w:snapToGrid w:val="0"/>
              </w:rPr>
              <w:t>Median % (range)</w:t>
            </w:r>
          </w:p>
        </w:tc>
        <w:tc>
          <w:tcPr>
            <w:tcW w:w="1371" w:type="pct"/>
          </w:tcPr>
          <w:p w14:paraId="3FA475B1" w14:textId="77777777" w:rsidR="00BD06D5" w:rsidRPr="00997BA0" w:rsidRDefault="00172E96" w:rsidP="00E106E6">
            <w:pPr>
              <w:pStyle w:val="Tabletext1"/>
              <w:rPr>
                <w:rStyle w:val="quality-sign"/>
                <w:rFonts w:ascii="MS Mincho" w:eastAsia="MS Mincho" w:hAnsi="MS Mincho" w:cs="MS Mincho"/>
                <w:sz w:val="21"/>
                <w:szCs w:val="21"/>
              </w:rPr>
            </w:pPr>
            <w:r w:rsidRPr="00997BA0">
              <w:rPr>
                <w:rFonts w:ascii="Cambria Math" w:hAnsi="Cambria Math"/>
                <w:color w:val="00B050"/>
              </w:rPr>
              <w:t>⨁</w:t>
            </w:r>
            <w:r w:rsidRPr="00997BA0">
              <w:rPr>
                <w:rFonts w:ascii="Cambria Math" w:hAnsi="Cambria Math" w:cs="Cambria Math"/>
                <w:color w:val="C00000"/>
              </w:rPr>
              <w:t>⨀⨀⨀</w:t>
            </w:r>
          </w:p>
          <w:p w14:paraId="2343DDC5" w14:textId="77777777" w:rsidR="00C67946" w:rsidRPr="003312E7" w:rsidRDefault="00BD06D5" w:rsidP="00E106E6">
            <w:pPr>
              <w:pStyle w:val="Tabletext1"/>
              <w:rPr>
                <w:snapToGrid w:val="0"/>
              </w:rPr>
            </w:pPr>
            <w:r w:rsidRPr="003312E7">
              <w:rPr>
                <w:rStyle w:val="quality-sign"/>
                <w:rFonts w:eastAsia="MS Mincho" w:cs="MS Mincho"/>
                <w:b/>
                <w:sz w:val="21"/>
                <w:szCs w:val="21"/>
              </w:rPr>
              <w:t xml:space="preserve"> VERY LOW</w:t>
            </w:r>
          </w:p>
        </w:tc>
        <w:tc>
          <w:tcPr>
            <w:tcW w:w="2019" w:type="pct"/>
            <w:shd w:val="clear" w:color="auto" w:fill="auto"/>
          </w:tcPr>
          <w:p w14:paraId="7D9F9991" w14:textId="77777777" w:rsidR="00C67946" w:rsidRPr="003312E7" w:rsidRDefault="00C67946" w:rsidP="00E106E6">
            <w:pPr>
              <w:pStyle w:val="Tabletext1"/>
              <w:rPr>
                <w:snapToGrid w:val="0"/>
              </w:rPr>
            </w:pPr>
            <w:r w:rsidRPr="003312E7">
              <w:rPr>
                <w:snapToGrid w:val="0"/>
              </w:rPr>
              <w:t>4/360 (1.1)</w:t>
            </w:r>
          </w:p>
          <w:p w14:paraId="6ED3490F" w14:textId="5B0334A5" w:rsidR="00C67946" w:rsidRPr="003312E7" w:rsidRDefault="000E1C27" w:rsidP="00E106E6">
            <w:pPr>
              <w:pStyle w:val="Tabletext1"/>
              <w:rPr>
                <w:snapToGrid w:val="0"/>
              </w:rPr>
            </w:pPr>
            <w:r w:rsidRPr="003312E7">
              <w:rPr>
                <w:snapToGrid w:val="0"/>
              </w:rPr>
              <w:t>1.8</w:t>
            </w:r>
            <w:r w:rsidR="00C67946" w:rsidRPr="003312E7">
              <w:rPr>
                <w:snapToGrid w:val="0"/>
              </w:rPr>
              <w:t xml:space="preserve"> (0.5</w:t>
            </w:r>
            <w:r w:rsidR="00D35E9C">
              <w:rPr>
                <w:snapToGrid w:val="0"/>
              </w:rPr>
              <w:t>–</w:t>
            </w:r>
            <w:r w:rsidR="00C67946" w:rsidRPr="003312E7">
              <w:rPr>
                <w:snapToGrid w:val="0"/>
              </w:rPr>
              <w:t>2.6)</w:t>
            </w:r>
          </w:p>
        </w:tc>
      </w:tr>
    </w:tbl>
    <w:p w14:paraId="268EBD8F" w14:textId="306193BC" w:rsidR="00FB16B5" w:rsidRPr="00FB16B5" w:rsidRDefault="007E7380" w:rsidP="005E1A24">
      <w:pPr>
        <w:pStyle w:val="Tablenotes0"/>
      </w:pPr>
      <w:r>
        <w:t xml:space="preserve">&lt; </w:t>
      </w:r>
      <w:proofErr w:type="gramStart"/>
      <w:r w:rsidR="00FB16B5" w:rsidRPr="00FB16B5">
        <w:t>n/N</w:t>
      </w:r>
      <w:proofErr w:type="gramEnd"/>
      <w:r w:rsidR="00FB16B5" w:rsidRPr="00FB16B5">
        <w:t xml:space="preserve"> (%)</w:t>
      </w:r>
      <w:r w:rsidR="00247328">
        <w:t xml:space="preserve"> </w:t>
      </w:r>
      <w:r w:rsidR="00FB16B5" w:rsidRPr="00FB16B5">
        <w:t>= number with event/ total (percentage)</w:t>
      </w:r>
      <w:r w:rsidR="00FB16B5">
        <w:t xml:space="preserve">; </w:t>
      </w:r>
      <w:r w:rsidR="00FB16B5" w:rsidRPr="00FB16B5">
        <w:t>NR</w:t>
      </w:r>
      <w:r w:rsidR="00247328">
        <w:t xml:space="preserve"> </w:t>
      </w:r>
      <w:r w:rsidR="00FB16B5" w:rsidRPr="00FB16B5">
        <w:t>= not reported</w:t>
      </w:r>
      <w:r>
        <w:t xml:space="preserve"> &gt;</w:t>
      </w:r>
    </w:p>
    <w:p w14:paraId="4D0AF06A" w14:textId="65B71C6B" w:rsidR="00DA0A12" w:rsidRDefault="00172E96" w:rsidP="005E1A24">
      <w:pPr>
        <w:pStyle w:val="Tablenotes0"/>
      </w:pPr>
      <w:r w:rsidRPr="00E10B76">
        <w:t>GRADE Working Group grades of evidence</w:t>
      </w:r>
      <w:r>
        <w:t xml:space="preserve"> (Guyatt et al., 2013</w:t>
      </w:r>
      <w:r w:rsidR="00CA6DFD">
        <w:t>)</w:t>
      </w:r>
      <w:r w:rsidR="003E4064">
        <w: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r w:rsidR="003E4064">
        <w:t>.</w:t>
      </w:r>
    </w:p>
    <w:p w14:paraId="37B5E7B4" w14:textId="77777777" w:rsidR="005E1A24" w:rsidRDefault="005E1A24" w:rsidP="00346EFB">
      <w:pPr>
        <w:pStyle w:val="Tablenotes0"/>
      </w:pPr>
      <w:proofErr w:type="gramStart"/>
      <w:r w:rsidRPr="005E1A24">
        <w:t>a</w:t>
      </w:r>
      <w:proofErr w:type="gramEnd"/>
      <w:r w:rsidRPr="005E1A24">
        <w:t xml:space="preserve"> These studies were assessed through quality appraisal as being at risk of incomplete reporting of adverse events.</w:t>
      </w:r>
    </w:p>
    <w:p w14:paraId="5886AC05" w14:textId="77777777" w:rsidR="00C22682" w:rsidRPr="00183E4D" w:rsidRDefault="00C22682" w:rsidP="00C22682">
      <w:pPr>
        <w:pStyle w:val="Heading2"/>
        <w:rPr>
          <w:b w:val="0"/>
        </w:rPr>
      </w:pPr>
      <w:bookmarkStart w:id="290" w:name="_Toc460396049"/>
      <w:r w:rsidRPr="00183E4D">
        <w:t xml:space="preserve">Is </w:t>
      </w:r>
      <w:r>
        <w:t xml:space="preserve">radiofrequency ablation of lung cancer </w:t>
      </w:r>
      <w:r w:rsidRPr="00183E4D">
        <w:t>safe?</w:t>
      </w:r>
      <w:bookmarkEnd w:id="290"/>
      <w:r w:rsidRPr="00183E4D">
        <w:t xml:space="preserve"> </w:t>
      </w:r>
    </w:p>
    <w:p w14:paraId="41822E88" w14:textId="77777777" w:rsidR="00C22682" w:rsidRDefault="00C22682" w:rsidP="00C22682">
      <w:r>
        <w:t xml:space="preserve">No trials of MTA compared to RFA were identified. In the absence of relevant comparative data, adverse events reported in the included RFA studies are reported to provide some indication of the safety of RFA for consideration by the MSAC. </w:t>
      </w:r>
    </w:p>
    <w:p w14:paraId="3A3FF4C5" w14:textId="1932556E" w:rsidR="00662489" w:rsidRDefault="00C22682" w:rsidP="00662489">
      <w:r>
        <w:t xml:space="preserve">Only one comparative trial of RFA compared to a relevant comparator (radiotherapy) in early stage NSCLC was identified </w:t>
      </w:r>
      <w:r w:rsidR="006231DE">
        <w:fldChar w:fldCharType="begin">
          <w:fldData xml:space="preserve">PEVuZE5vdGU+PENpdGU+PEF1dGhvcj5TYWZpPC9BdXRob3I+PFllYXI+MjAxNTwvWWVhcj48UmVj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</w:fldData>
        </w:fldChar>
      </w:r>
      <w:r w:rsidR="00194054">
        <w:instrText xml:space="preserve"> ADDIN EN.CITE </w:instrText>
      </w:r>
      <w:r w:rsidR="00194054">
        <w:fldChar w:fldCharType="begin">
          <w:fldData xml:space="preserve">PEVuZE5vdGU+PENpdGU+PEF1dGhvcj5TYWZpPC9BdXRob3I+PFllYXI+MjAxNTwvWWVhcj48UmVj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</w:fldData>
        </w:fldChar>
      </w:r>
      <w:r w:rsidR="00194054">
        <w:instrText xml:space="preserve"> ADDIN EN.CITE.DATA </w:instrText>
      </w:r>
      <w:r w:rsidR="00194054">
        <w:fldChar w:fldCharType="end"/>
      </w:r>
      <w:r w:rsidR="006231DE">
        <w:fldChar w:fldCharType="separate"/>
      </w:r>
      <w:r w:rsidR="006231DE">
        <w:rPr>
          <w:noProof/>
        </w:rPr>
        <w:t>(</w:t>
      </w:r>
      <w:hyperlink w:anchor="_ENREF_130" w:tooltip="Safi, 2015 #167" w:history="1">
        <w:r w:rsidR="00320458">
          <w:rPr>
            <w:noProof/>
          </w:rPr>
          <w:t>Safi et al 2015</w:t>
        </w:r>
      </w:hyperlink>
      <w:r w:rsidR="006231DE">
        <w:rPr>
          <w:noProof/>
        </w:rPr>
        <w:t>)</w:t>
      </w:r>
      <w:r w:rsidR="006231DE">
        <w:fldChar w:fldCharType="end"/>
      </w:r>
      <w:r>
        <w:t xml:space="preserve">. No comparative studies on RFA for lung metastases or palliative therapy were identified. As per the previous section on MTA, the safety outcomes for RFA are grouped for all populations, to provide MSAC with an understanding of the main safety issues associated with RFA of the lung. In total, one Level III-3 and 18 Level IV studies of RFA, which included a combined total of 1,354 patients, were included. As RFA and MTA are technologically similar devices, </w:t>
      </w:r>
      <w:r w:rsidR="00172E96">
        <w:fldChar w:fldCharType="begin"/>
      </w:r>
      <w:r w:rsidR="00172E96">
        <w:instrText xml:space="preserve"> REF _Ref457312404 \h </w:instrText>
      </w:r>
      <w:r w:rsidR="00172E96">
        <w:fldChar w:fldCharType="separate"/>
      </w:r>
      <w:r w:rsidR="00D170A5" w:rsidRPr="00172E96">
        <w:t xml:space="preserve">Table </w:t>
      </w:r>
      <w:r w:rsidR="00D170A5">
        <w:rPr>
          <w:noProof/>
        </w:rPr>
        <w:t>44</w:t>
      </w:r>
      <w:r w:rsidR="00172E96">
        <w:fldChar w:fldCharType="end"/>
      </w:r>
      <w:r>
        <w:t xml:space="preserve"> presents a summary of the key MTA safety outcomes reported in studies of RFA. The evidence has been presented in this way to enable a rudimentary comparison of the relative safety of MTA and RFA, noting that the level of evidence identified does not allow definitive comparisons to be drawn.</w:t>
      </w:r>
    </w:p>
    <w:p w14:paraId="429DE97B" w14:textId="77777777" w:rsidR="00C22682" w:rsidRPr="006A71EC" w:rsidRDefault="00C22682" w:rsidP="003F6C66">
      <w:pPr>
        <w:pStyle w:val="Heading3"/>
      </w:pPr>
      <w:bookmarkStart w:id="291" w:name="_Toc460396050"/>
      <w:r w:rsidRPr="006A71EC">
        <w:t>Procedure-related mortality</w:t>
      </w:r>
      <w:bookmarkEnd w:id="291"/>
      <w:r w:rsidRPr="006A71EC">
        <w:t xml:space="preserve"> </w:t>
      </w:r>
    </w:p>
    <w:p w14:paraId="3F12EB33" w14:textId="4255DF5A" w:rsidR="00C22682" w:rsidRPr="00172E96" w:rsidRDefault="00C22682" w:rsidP="00C22682">
      <w:r w:rsidRPr="001B7083">
        <w:t>Similar to MTA, the procedure-related mortality associated with RFA is very low (</w:t>
      </w:r>
      <w:r w:rsidRPr="001B7083">
        <w:fldChar w:fldCharType="begin"/>
      </w:r>
      <w:r w:rsidRPr="001B7083">
        <w:instrText xml:space="preserve"> REF _Ref457312404 \h </w:instrText>
      </w:r>
      <w:r w:rsidR="009F096D" w:rsidRPr="001B7083">
        <w:instrText xml:space="preserve"> \* MERGEFORMAT </w:instrText>
      </w:r>
      <w:r w:rsidRPr="001B7083">
        <w:fldChar w:fldCharType="separate"/>
      </w:r>
      <w:r w:rsidR="00D170A5" w:rsidRPr="00172E96">
        <w:t xml:space="preserve">Table </w:t>
      </w:r>
      <w:r w:rsidR="00D170A5">
        <w:rPr>
          <w:noProof/>
        </w:rPr>
        <w:t>44</w:t>
      </w:r>
      <w:r w:rsidRPr="001B7083">
        <w:fldChar w:fldCharType="end"/>
      </w:r>
      <w:r w:rsidRPr="001B7083">
        <w:t>). From</w:t>
      </w:r>
      <w:r>
        <w:t xml:space="preserve"> a combined sample of 1,259 patients, there was only one procedure-related death reported. In this case, the patient died three months after RFA from repeated infection and pulmonary deterioration associated with the therapy </w:t>
      </w:r>
      <w:r w:rsidR="000B0AB1">
        <w:fldChar w:fldCharType="begin">
          <w:fldData xml:space="preserve">PEVuZE5vdGU+PENpdGU+PEF1dGhvcj5Wb24gTWV5ZW5mZWxkdDwvQXV0aG9yPjxZZWFyPjIwMTE8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194054">
        <w:instrText xml:space="preserve"> ADDIN EN.CITE </w:instrText>
      </w:r>
      <w:r w:rsidR="00194054">
        <w:fldChar w:fldCharType="begin">
          <w:fldData xml:space="preserve">PEVuZE5vdGU+PENpdGU+PEF1dGhvcj5Wb24gTWV5ZW5mZWxkdDwvQXV0aG9yPjxZZWFyPjIwMTE8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194054">
        <w:instrText xml:space="preserve"> ADDIN EN.CITE.DATA </w:instrText>
      </w:r>
      <w:r w:rsidR="00194054">
        <w:fldChar w:fldCharType="end"/>
      </w:r>
      <w:r w:rsidR="000B0AB1">
        <w:fldChar w:fldCharType="separate"/>
      </w:r>
      <w:r w:rsidR="000B0AB1">
        <w:rPr>
          <w:noProof/>
        </w:rPr>
        <w:t>(</w:t>
      </w:r>
      <w:hyperlink w:anchor="_ENREF_169" w:tooltip="Von Meyenfeldt, 2011 #176" w:history="1">
        <w:r w:rsidR="00320458">
          <w:rPr>
            <w:noProof/>
          </w:rPr>
          <w:t>Von Meyenfeldt et al 2011</w:t>
        </w:r>
      </w:hyperlink>
      <w:r w:rsidR="000B0AB1">
        <w:rPr>
          <w:noProof/>
        </w:rPr>
        <w:t>)</w:t>
      </w:r>
      <w:r w:rsidR="000B0AB1">
        <w:fldChar w:fldCharType="end"/>
      </w:r>
      <w:r>
        <w:t xml:space="preserve">. Two patients died within 30 days of </w:t>
      </w:r>
      <w:r w:rsidR="00CE4F18">
        <w:t xml:space="preserve">RFA </w:t>
      </w:r>
      <w:r>
        <w:t>therapy, due to unrelated causes</w:t>
      </w:r>
      <w:r w:rsidR="00520CE0">
        <w:t xml:space="preserve"> </w:t>
      </w:r>
      <w:r w:rsidR="000B0AB1">
        <w:fldChar w:fldCharType="begin">
          <w:fldData xml:space="preserve">PEVuZE5vdGU+PENpdGU+PEF1dGhvcj5EZSBCYWVyZTwvQXV0aG9yPjxZZWFyPjIwMTU8L1llYXI+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AB722F">
        <w:instrText xml:space="preserve"> ADDIN EN.CITE </w:instrText>
      </w:r>
      <w:r w:rsidR="00AB722F">
        <w:fldChar w:fldCharType="begin">
          <w:fldData xml:space="preserve">PEVuZE5vdGU+PENpdGU+PEF1dGhvcj5EZSBCYWVyZTwvQXV0aG9yPjxZZWFyPjIwMTU8L1llYXI+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AB722F">
        <w:instrText xml:space="preserve"> ADDIN EN.CITE.DATA </w:instrText>
      </w:r>
      <w:r w:rsidR="00AB722F">
        <w:fldChar w:fldCharType="end"/>
      </w:r>
      <w:r w:rsidR="000B0AB1">
        <w:fldChar w:fldCharType="separate"/>
      </w:r>
      <w:r w:rsidR="00AB722F">
        <w:rPr>
          <w:noProof/>
        </w:rPr>
        <w:t>(</w:t>
      </w:r>
      <w:hyperlink w:anchor="_ENREF_35" w:tooltip="De Baere, 2015 #168" w:history="1">
        <w:r w:rsidR="00320458">
          <w:rPr>
            <w:noProof/>
          </w:rPr>
          <w:t>De Baere et al 2015a</w:t>
        </w:r>
      </w:hyperlink>
      <w:r w:rsidR="00AB722F">
        <w:rPr>
          <w:noProof/>
        </w:rPr>
        <w:t>)</w:t>
      </w:r>
      <w:r w:rsidR="000B0AB1">
        <w:fldChar w:fldCharType="end"/>
      </w:r>
      <w:r>
        <w:t xml:space="preserve">. In these patients, one died at 21 days from </w:t>
      </w:r>
      <w:r w:rsidRPr="00172E96">
        <w:t>decompensate cardiorespiratory function, and the other at 16 days from cerebral stroke.</w:t>
      </w:r>
    </w:p>
    <w:p w14:paraId="53D5E35C" w14:textId="77777777" w:rsidR="00C22682" w:rsidRDefault="00C22682" w:rsidP="00C22682">
      <w:pPr>
        <w:pStyle w:val="Caption"/>
        <w:keepNext/>
      </w:pPr>
      <w:bookmarkStart w:id="292" w:name="_Ref457312404"/>
      <w:bookmarkStart w:id="293" w:name="_Toc460514702"/>
      <w:r w:rsidRPr="00172E96">
        <w:lastRenderedPageBreak/>
        <w:t xml:space="preserve">Table </w:t>
      </w:r>
      <w:fldSimple w:instr=" SEQ Table \* ARABIC ">
        <w:r w:rsidR="00D170A5">
          <w:rPr>
            <w:noProof/>
          </w:rPr>
          <w:t>44</w:t>
        </w:r>
      </w:fldSimple>
      <w:bookmarkEnd w:id="292"/>
      <w:r w:rsidRPr="00172E96">
        <w:tab/>
        <w:t>Procedure related mortality reported in 17 studies of RFA</w:t>
      </w:r>
      <w:bookmarkEnd w:id="2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8"/>
        <w:tblDescription w:val="Procedure-related mortality RFA"/>
      </w:tblPr>
      <w:tblGrid>
        <w:gridCol w:w="2438"/>
        <w:gridCol w:w="2410"/>
        <w:gridCol w:w="2410"/>
        <w:gridCol w:w="1824"/>
      </w:tblGrid>
      <w:tr w:rsidR="00C22682" w:rsidRPr="00C02E1C" w14:paraId="2A225E66" w14:textId="77777777" w:rsidTr="00346EFB">
        <w:trPr>
          <w:tblHeader/>
        </w:trPr>
        <w:tc>
          <w:tcPr>
            <w:tcW w:w="1342" w:type="pct"/>
            <w:shd w:val="clear" w:color="auto" w:fill="D9D9D9" w:themeFill="background1" w:themeFillShade="D9"/>
          </w:tcPr>
          <w:p w14:paraId="4F802679" w14:textId="77777777" w:rsidR="00C22682" w:rsidRPr="00346EFB" w:rsidRDefault="00C22682" w:rsidP="00346EFB">
            <w:pPr>
              <w:pStyle w:val="Tabletext1"/>
              <w:rPr>
                <w:b/>
                <w:snapToGrid w:val="0"/>
                <w:lang w:eastAsia="en-US"/>
              </w:rPr>
            </w:pPr>
            <w:r w:rsidRPr="00346EFB">
              <w:rPr>
                <w:b/>
                <w:snapToGrid w:val="0"/>
                <w:lang w:eastAsia="en-US"/>
              </w:rPr>
              <w:t>Study ID</w:t>
            </w:r>
          </w:p>
        </w:tc>
        <w:tc>
          <w:tcPr>
            <w:tcW w:w="1327" w:type="pct"/>
            <w:shd w:val="clear" w:color="auto" w:fill="D9D9D9" w:themeFill="background1" w:themeFillShade="D9"/>
          </w:tcPr>
          <w:p w14:paraId="0250D8F0" w14:textId="77777777" w:rsidR="00C22682" w:rsidRPr="00346EFB" w:rsidRDefault="00C22682" w:rsidP="00346EFB">
            <w:pPr>
              <w:pStyle w:val="Tabletext1"/>
              <w:rPr>
                <w:b/>
                <w:snapToGrid w:val="0"/>
                <w:lang w:eastAsia="en-US"/>
              </w:rPr>
            </w:pPr>
            <w:r w:rsidRPr="00346EFB">
              <w:rPr>
                <w:b/>
                <w:snapToGrid w:val="0"/>
                <w:color w:val="000000"/>
              </w:rPr>
              <w:t>Level of evidence/ Quality of summary estimate</w:t>
            </w:r>
            <w:r w:rsidR="00C17408" w:rsidRPr="00346EFB">
              <w:rPr>
                <w:b/>
                <w:snapToGrid w:val="0"/>
                <w:color w:val="000000"/>
              </w:rPr>
              <w:t>s</w:t>
            </w:r>
          </w:p>
        </w:tc>
        <w:tc>
          <w:tcPr>
            <w:tcW w:w="1327" w:type="pct"/>
            <w:shd w:val="clear" w:color="auto" w:fill="D9D9D9" w:themeFill="background1" w:themeFillShade="D9"/>
          </w:tcPr>
          <w:p w14:paraId="729F0EA8" w14:textId="77777777" w:rsidR="00C22682" w:rsidRPr="00346EFB" w:rsidRDefault="00C22682" w:rsidP="00346EFB">
            <w:pPr>
              <w:pStyle w:val="Tabletext1"/>
              <w:rPr>
                <w:b/>
                <w:snapToGrid w:val="0"/>
                <w:color w:val="000000"/>
              </w:rPr>
            </w:pPr>
            <w:r w:rsidRPr="00346EFB">
              <w:rPr>
                <w:b/>
                <w:snapToGrid w:val="0"/>
                <w:color w:val="000000"/>
              </w:rPr>
              <w:t>Procedure-related mortality</w:t>
            </w:r>
          </w:p>
          <w:p w14:paraId="5B0227F6" w14:textId="77777777" w:rsidR="00C22682" w:rsidRPr="00346EFB" w:rsidRDefault="00C22682" w:rsidP="00346EFB">
            <w:pPr>
              <w:pStyle w:val="Tabletext1"/>
              <w:rPr>
                <w:b/>
                <w:snapToGrid w:val="0"/>
                <w:color w:val="000000"/>
              </w:rPr>
            </w:pPr>
            <w:r w:rsidRPr="00346EFB">
              <w:rPr>
                <w:b/>
                <w:snapToGrid w:val="0"/>
                <w:color w:val="000000"/>
              </w:rPr>
              <w:t>n/N (%), per patient</w:t>
            </w:r>
          </w:p>
        </w:tc>
        <w:tc>
          <w:tcPr>
            <w:tcW w:w="1004" w:type="pct"/>
            <w:shd w:val="clear" w:color="auto" w:fill="D9D9D9" w:themeFill="background1" w:themeFillShade="D9"/>
          </w:tcPr>
          <w:p w14:paraId="7CC3EC8B" w14:textId="77777777" w:rsidR="00C22682" w:rsidRPr="00346EFB" w:rsidRDefault="00C22682" w:rsidP="00346EFB">
            <w:pPr>
              <w:pStyle w:val="Tabletext1"/>
              <w:rPr>
                <w:b/>
                <w:snapToGrid w:val="0"/>
                <w:color w:val="000000"/>
              </w:rPr>
            </w:pPr>
            <w:r w:rsidRPr="00346EFB">
              <w:rPr>
                <w:b/>
                <w:snapToGrid w:val="0"/>
                <w:color w:val="000000"/>
              </w:rPr>
              <w:t>30-day mortality</w:t>
            </w:r>
          </w:p>
          <w:p w14:paraId="03568B15" w14:textId="77777777" w:rsidR="00C22682" w:rsidRPr="00346EFB" w:rsidRDefault="00C22682" w:rsidP="00346EFB">
            <w:pPr>
              <w:pStyle w:val="Tabletext1"/>
              <w:rPr>
                <w:b/>
                <w:snapToGrid w:val="0"/>
                <w:color w:val="000000"/>
              </w:rPr>
            </w:pPr>
            <w:r w:rsidRPr="00346EFB">
              <w:rPr>
                <w:b/>
                <w:snapToGrid w:val="0"/>
                <w:color w:val="000000"/>
              </w:rPr>
              <w:t>n/N (%), per patient</w:t>
            </w:r>
          </w:p>
        </w:tc>
      </w:tr>
      <w:tr w:rsidR="00C22682" w:rsidRPr="00C02E1C" w14:paraId="16C34E38" w14:textId="77777777" w:rsidTr="006C64B1">
        <w:tc>
          <w:tcPr>
            <w:tcW w:w="1342" w:type="pct"/>
            <w:shd w:val="clear" w:color="auto" w:fill="auto"/>
          </w:tcPr>
          <w:p w14:paraId="038C4A9F" w14:textId="77777777" w:rsidR="00C22682" w:rsidRPr="000D29BC" w:rsidRDefault="00C22682" w:rsidP="00346EFB">
            <w:pPr>
              <w:pStyle w:val="Tabletext1"/>
              <w:rPr>
                <w:color w:val="000000"/>
              </w:rPr>
            </w:pPr>
            <w:r>
              <w:rPr>
                <w:color w:val="000000"/>
              </w:rPr>
              <w:t>Ambrogi et al (2011)</w:t>
            </w:r>
          </w:p>
        </w:tc>
        <w:tc>
          <w:tcPr>
            <w:tcW w:w="1327" w:type="pct"/>
          </w:tcPr>
          <w:p w14:paraId="381767E4" w14:textId="77777777" w:rsidR="00C22682" w:rsidRPr="00AC1100" w:rsidRDefault="00C22682" w:rsidP="00346EFB">
            <w:pPr>
              <w:pStyle w:val="Tabletext1"/>
              <w:rPr>
                <w:color w:val="000000"/>
              </w:rPr>
            </w:pPr>
            <w:r w:rsidRPr="00AC1100">
              <w:rPr>
                <w:color w:val="000000"/>
              </w:rPr>
              <w:t>IV</w:t>
            </w:r>
          </w:p>
        </w:tc>
        <w:tc>
          <w:tcPr>
            <w:tcW w:w="1327" w:type="pct"/>
            <w:shd w:val="clear" w:color="auto" w:fill="auto"/>
          </w:tcPr>
          <w:p w14:paraId="74F95D28" w14:textId="77777777" w:rsidR="00C22682" w:rsidRPr="00AC1100" w:rsidRDefault="00C22682" w:rsidP="00346EFB">
            <w:pPr>
              <w:pStyle w:val="Tabletext1"/>
              <w:rPr>
                <w:color w:val="000000"/>
              </w:rPr>
            </w:pPr>
            <w:r w:rsidRPr="00AC1100">
              <w:rPr>
                <w:color w:val="000000"/>
              </w:rPr>
              <w:t>0/</w:t>
            </w:r>
            <w:r>
              <w:rPr>
                <w:color w:val="000000"/>
              </w:rPr>
              <w:t>57</w:t>
            </w:r>
            <w:r w:rsidR="005E1A24">
              <w:rPr>
                <w:color w:val="000000"/>
              </w:rPr>
              <w:t xml:space="preserve"> (0</w:t>
            </w:r>
            <w:r w:rsidRPr="00AC1100">
              <w:rPr>
                <w:color w:val="000000"/>
              </w:rPr>
              <w:t>)</w:t>
            </w:r>
          </w:p>
        </w:tc>
        <w:tc>
          <w:tcPr>
            <w:tcW w:w="1004" w:type="pct"/>
            <w:shd w:val="clear" w:color="auto" w:fill="auto"/>
          </w:tcPr>
          <w:p w14:paraId="1D77C4BD" w14:textId="77777777" w:rsidR="00C22682" w:rsidRPr="00AC1100" w:rsidRDefault="00C22682" w:rsidP="00346EFB">
            <w:pPr>
              <w:pStyle w:val="Tabletext1"/>
              <w:rPr>
                <w:color w:val="000000"/>
              </w:rPr>
            </w:pPr>
            <w:r w:rsidRPr="00AC1100">
              <w:rPr>
                <w:color w:val="000000"/>
              </w:rPr>
              <w:t>NR</w:t>
            </w:r>
          </w:p>
        </w:tc>
      </w:tr>
      <w:tr w:rsidR="00C22682" w:rsidRPr="00C02E1C" w14:paraId="00A28656" w14:textId="77777777" w:rsidTr="006C64B1">
        <w:tc>
          <w:tcPr>
            <w:tcW w:w="1342" w:type="pct"/>
            <w:tcBorders>
              <w:bottom w:val="single" w:sz="4" w:space="0" w:color="auto"/>
            </w:tcBorders>
            <w:shd w:val="clear" w:color="auto" w:fill="auto"/>
          </w:tcPr>
          <w:p w14:paraId="5D9C7FBA" w14:textId="77777777" w:rsidR="00C22682" w:rsidRPr="000D29BC" w:rsidRDefault="00C22682" w:rsidP="00346EFB">
            <w:pPr>
              <w:pStyle w:val="Tabletext1"/>
              <w:rPr>
                <w:color w:val="000000"/>
              </w:rPr>
            </w:pPr>
            <w:r>
              <w:rPr>
                <w:color w:val="000000"/>
              </w:rPr>
              <w:t>De Baere et al (2015)</w:t>
            </w:r>
          </w:p>
        </w:tc>
        <w:tc>
          <w:tcPr>
            <w:tcW w:w="1327" w:type="pct"/>
            <w:tcBorders>
              <w:bottom w:val="single" w:sz="4" w:space="0" w:color="auto"/>
            </w:tcBorders>
          </w:tcPr>
          <w:p w14:paraId="57DCE40D"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5025ACA0" w14:textId="77777777" w:rsidR="00C22682" w:rsidRPr="00AC1100" w:rsidRDefault="00C22682" w:rsidP="00346EFB">
            <w:pPr>
              <w:pStyle w:val="Tabletext1"/>
              <w:rPr>
                <w:color w:val="000000"/>
              </w:rPr>
            </w:pPr>
            <w:r w:rsidRPr="00AC1100">
              <w:rPr>
                <w:color w:val="000000"/>
              </w:rPr>
              <w:t>0/</w:t>
            </w:r>
            <w:r>
              <w:rPr>
                <w:color w:val="000000"/>
              </w:rPr>
              <w:t>566</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505C512A" w14:textId="77777777" w:rsidR="00C22682" w:rsidRPr="00AC1100" w:rsidRDefault="00C22682" w:rsidP="00346EFB">
            <w:pPr>
              <w:pStyle w:val="Tabletext1"/>
              <w:rPr>
                <w:color w:val="000000"/>
              </w:rPr>
            </w:pPr>
            <w:r>
              <w:rPr>
                <w:color w:val="000000"/>
              </w:rPr>
              <w:t>2</w:t>
            </w:r>
            <w:r w:rsidRPr="00AC1100">
              <w:rPr>
                <w:color w:val="000000"/>
              </w:rPr>
              <w:t>/</w:t>
            </w:r>
            <w:r>
              <w:rPr>
                <w:color w:val="000000"/>
              </w:rPr>
              <w:t>566 (0.3</w:t>
            </w:r>
            <w:r w:rsidRPr="00AC1100">
              <w:rPr>
                <w:color w:val="000000"/>
              </w:rPr>
              <w:t>)</w:t>
            </w:r>
          </w:p>
        </w:tc>
      </w:tr>
      <w:tr w:rsidR="00C22682" w:rsidRPr="00C02E1C" w14:paraId="6CCA3CFF" w14:textId="77777777" w:rsidTr="006C64B1">
        <w:tc>
          <w:tcPr>
            <w:tcW w:w="1342" w:type="pct"/>
            <w:shd w:val="clear" w:color="auto" w:fill="auto"/>
          </w:tcPr>
          <w:p w14:paraId="76084F0E" w14:textId="77777777" w:rsidR="00C22682" w:rsidRPr="000D29BC" w:rsidRDefault="00C22682" w:rsidP="00346EFB">
            <w:pPr>
              <w:pStyle w:val="Tabletext1"/>
              <w:rPr>
                <w:color w:val="000000"/>
              </w:rPr>
            </w:pPr>
            <w:r>
              <w:rPr>
                <w:color w:val="000000"/>
              </w:rPr>
              <w:t>Dupuy et al (2015)</w:t>
            </w:r>
          </w:p>
        </w:tc>
        <w:tc>
          <w:tcPr>
            <w:tcW w:w="1327" w:type="pct"/>
          </w:tcPr>
          <w:p w14:paraId="37CDC6AC" w14:textId="77777777" w:rsidR="00C22682" w:rsidRPr="00AC1100" w:rsidRDefault="00C22682" w:rsidP="00346EFB">
            <w:pPr>
              <w:pStyle w:val="Tabletext1"/>
              <w:rPr>
                <w:color w:val="000000"/>
              </w:rPr>
            </w:pPr>
            <w:r w:rsidRPr="00AC1100">
              <w:rPr>
                <w:color w:val="000000"/>
              </w:rPr>
              <w:t>IV</w:t>
            </w:r>
          </w:p>
        </w:tc>
        <w:tc>
          <w:tcPr>
            <w:tcW w:w="1327" w:type="pct"/>
            <w:shd w:val="clear" w:color="auto" w:fill="auto"/>
          </w:tcPr>
          <w:p w14:paraId="6C4B79CA" w14:textId="77777777" w:rsidR="00C22682" w:rsidRPr="00AC1100" w:rsidRDefault="00C22682" w:rsidP="00346EFB">
            <w:pPr>
              <w:pStyle w:val="Tabletext1"/>
              <w:rPr>
                <w:color w:val="000000"/>
              </w:rPr>
            </w:pPr>
            <w:r w:rsidRPr="00AC1100">
              <w:rPr>
                <w:color w:val="000000"/>
              </w:rPr>
              <w:t>0/</w:t>
            </w:r>
            <w:r>
              <w:rPr>
                <w:color w:val="000000"/>
              </w:rPr>
              <w:t>51</w:t>
            </w:r>
            <w:r w:rsidR="005E1A24">
              <w:rPr>
                <w:color w:val="000000"/>
              </w:rPr>
              <w:t xml:space="preserve"> (0</w:t>
            </w:r>
            <w:r w:rsidRPr="00AC1100">
              <w:rPr>
                <w:color w:val="000000"/>
              </w:rPr>
              <w:t>)</w:t>
            </w:r>
          </w:p>
        </w:tc>
        <w:tc>
          <w:tcPr>
            <w:tcW w:w="1004" w:type="pct"/>
            <w:shd w:val="clear" w:color="auto" w:fill="auto"/>
          </w:tcPr>
          <w:p w14:paraId="268C3B43" w14:textId="77777777" w:rsidR="00C22682" w:rsidRPr="00AC1100" w:rsidRDefault="00C22682" w:rsidP="00346EFB">
            <w:pPr>
              <w:pStyle w:val="Tabletext1"/>
              <w:rPr>
                <w:color w:val="000000"/>
              </w:rPr>
            </w:pPr>
            <w:r w:rsidRPr="00AC1100">
              <w:rPr>
                <w:color w:val="000000"/>
              </w:rPr>
              <w:t>NR</w:t>
            </w:r>
          </w:p>
        </w:tc>
      </w:tr>
      <w:tr w:rsidR="00C22682" w:rsidRPr="00C02E1C" w14:paraId="316002C4" w14:textId="77777777" w:rsidTr="006C64B1">
        <w:tc>
          <w:tcPr>
            <w:tcW w:w="1342" w:type="pct"/>
            <w:tcBorders>
              <w:bottom w:val="single" w:sz="4" w:space="0" w:color="auto"/>
            </w:tcBorders>
            <w:shd w:val="clear" w:color="auto" w:fill="auto"/>
          </w:tcPr>
          <w:p w14:paraId="259303AA" w14:textId="77777777" w:rsidR="00C22682" w:rsidRPr="000D29BC" w:rsidRDefault="00C22682" w:rsidP="00346EFB">
            <w:pPr>
              <w:pStyle w:val="Tabletext1"/>
              <w:rPr>
                <w:color w:val="000000"/>
              </w:rPr>
            </w:pPr>
            <w:r>
              <w:rPr>
                <w:color w:val="000000"/>
              </w:rPr>
              <w:t>Fanucchi et al (2016)</w:t>
            </w:r>
          </w:p>
        </w:tc>
        <w:tc>
          <w:tcPr>
            <w:tcW w:w="1327" w:type="pct"/>
            <w:tcBorders>
              <w:bottom w:val="single" w:sz="4" w:space="0" w:color="auto"/>
            </w:tcBorders>
          </w:tcPr>
          <w:p w14:paraId="14006282"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6DCFCF38" w14:textId="77777777" w:rsidR="00C22682" w:rsidRPr="00AC1100" w:rsidRDefault="00C22682" w:rsidP="00346EFB">
            <w:pPr>
              <w:pStyle w:val="Tabletext1"/>
              <w:rPr>
                <w:color w:val="000000"/>
              </w:rPr>
            </w:pPr>
            <w:r w:rsidRPr="00AC1100">
              <w:rPr>
                <w:color w:val="000000"/>
              </w:rPr>
              <w:t>0/</w:t>
            </w:r>
            <w:r>
              <w:rPr>
                <w:color w:val="000000"/>
              </w:rPr>
              <w:t>61</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584D87CF" w14:textId="77777777" w:rsidR="00C22682" w:rsidRPr="00AC1100" w:rsidRDefault="00C22682" w:rsidP="00346EFB">
            <w:pPr>
              <w:pStyle w:val="Tabletext1"/>
              <w:rPr>
                <w:color w:val="000000"/>
              </w:rPr>
            </w:pPr>
            <w:r w:rsidRPr="00AC1100">
              <w:rPr>
                <w:color w:val="000000"/>
              </w:rPr>
              <w:t>0/</w:t>
            </w:r>
            <w:r>
              <w:rPr>
                <w:color w:val="000000"/>
              </w:rPr>
              <w:t>61</w:t>
            </w:r>
            <w:r w:rsidR="005E1A24">
              <w:rPr>
                <w:color w:val="000000"/>
              </w:rPr>
              <w:t xml:space="preserve"> (0</w:t>
            </w:r>
            <w:r w:rsidRPr="00AC1100">
              <w:rPr>
                <w:color w:val="000000"/>
              </w:rPr>
              <w:t>)</w:t>
            </w:r>
          </w:p>
        </w:tc>
      </w:tr>
      <w:tr w:rsidR="00C22682" w:rsidRPr="00C02E1C" w14:paraId="73A53763" w14:textId="77777777" w:rsidTr="006C64B1">
        <w:tc>
          <w:tcPr>
            <w:tcW w:w="1342" w:type="pct"/>
            <w:tcBorders>
              <w:bottom w:val="single" w:sz="4" w:space="0" w:color="auto"/>
            </w:tcBorders>
            <w:shd w:val="clear" w:color="auto" w:fill="auto"/>
          </w:tcPr>
          <w:p w14:paraId="4B56E8A0" w14:textId="77777777" w:rsidR="00C22682" w:rsidRPr="000D29BC" w:rsidRDefault="00C22682" w:rsidP="00346EFB">
            <w:pPr>
              <w:pStyle w:val="Tabletext1"/>
              <w:rPr>
                <w:color w:val="000000"/>
              </w:rPr>
            </w:pPr>
            <w:r>
              <w:rPr>
                <w:color w:val="000000"/>
              </w:rPr>
              <w:t>Hiraki et al (2011a)</w:t>
            </w:r>
          </w:p>
        </w:tc>
        <w:tc>
          <w:tcPr>
            <w:tcW w:w="1327" w:type="pct"/>
            <w:tcBorders>
              <w:bottom w:val="single" w:sz="4" w:space="0" w:color="auto"/>
            </w:tcBorders>
          </w:tcPr>
          <w:p w14:paraId="602730A5"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5A8200B5" w14:textId="77777777" w:rsidR="00C22682" w:rsidRPr="00AC1100" w:rsidRDefault="00C22682" w:rsidP="00346EFB">
            <w:pPr>
              <w:pStyle w:val="Tabletext1"/>
              <w:rPr>
                <w:color w:val="000000"/>
              </w:rPr>
            </w:pPr>
            <w:r w:rsidRPr="00AC1100">
              <w:rPr>
                <w:color w:val="000000"/>
              </w:rPr>
              <w:t>0/</w:t>
            </w:r>
            <w:r>
              <w:rPr>
                <w:color w:val="000000"/>
              </w:rPr>
              <w:t>50</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486206A1" w14:textId="77777777" w:rsidR="00C22682" w:rsidRPr="00AC1100" w:rsidRDefault="00C22682" w:rsidP="00346EFB">
            <w:pPr>
              <w:pStyle w:val="Tabletext1"/>
              <w:rPr>
                <w:color w:val="000000"/>
              </w:rPr>
            </w:pPr>
            <w:r w:rsidRPr="00AC1100">
              <w:rPr>
                <w:color w:val="000000"/>
              </w:rPr>
              <w:t>NR</w:t>
            </w:r>
          </w:p>
        </w:tc>
      </w:tr>
      <w:tr w:rsidR="00C22682" w:rsidRPr="00C02E1C" w14:paraId="4F8ED32B" w14:textId="77777777" w:rsidTr="006C64B1">
        <w:tc>
          <w:tcPr>
            <w:tcW w:w="1342" w:type="pct"/>
            <w:tcBorders>
              <w:bottom w:val="single" w:sz="4" w:space="0" w:color="auto"/>
            </w:tcBorders>
            <w:shd w:val="clear" w:color="auto" w:fill="auto"/>
          </w:tcPr>
          <w:p w14:paraId="244AB632" w14:textId="77777777" w:rsidR="00C22682" w:rsidRPr="000D29BC" w:rsidRDefault="00C22682" w:rsidP="00346EFB">
            <w:pPr>
              <w:pStyle w:val="Tabletext1"/>
              <w:rPr>
                <w:color w:val="000000"/>
              </w:rPr>
            </w:pPr>
            <w:r>
              <w:rPr>
                <w:color w:val="000000"/>
              </w:rPr>
              <w:t>Hiraki et al (2011b)</w:t>
            </w:r>
          </w:p>
        </w:tc>
        <w:tc>
          <w:tcPr>
            <w:tcW w:w="1327" w:type="pct"/>
            <w:tcBorders>
              <w:bottom w:val="single" w:sz="4" w:space="0" w:color="auto"/>
            </w:tcBorders>
          </w:tcPr>
          <w:p w14:paraId="613C5EEC"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64127DDE" w14:textId="77777777" w:rsidR="00C22682" w:rsidRPr="00AC1100" w:rsidRDefault="00C22682" w:rsidP="00346EFB">
            <w:pPr>
              <w:pStyle w:val="Tabletext1"/>
              <w:rPr>
                <w:color w:val="000000"/>
              </w:rPr>
            </w:pPr>
            <w:r w:rsidRPr="00AC1100">
              <w:rPr>
                <w:color w:val="000000"/>
              </w:rPr>
              <w:t>0/</w:t>
            </w:r>
            <w:r>
              <w:rPr>
                <w:color w:val="000000"/>
              </w:rPr>
              <w:t>32</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34738A56" w14:textId="77777777" w:rsidR="00C22682" w:rsidRPr="00AC1100" w:rsidRDefault="00C22682" w:rsidP="00346EFB">
            <w:pPr>
              <w:pStyle w:val="Tabletext1"/>
              <w:rPr>
                <w:color w:val="000000"/>
              </w:rPr>
            </w:pPr>
            <w:r w:rsidRPr="00AC1100">
              <w:rPr>
                <w:color w:val="000000"/>
              </w:rPr>
              <w:t>0/</w:t>
            </w:r>
            <w:r>
              <w:rPr>
                <w:color w:val="000000"/>
              </w:rPr>
              <w:t>32</w:t>
            </w:r>
            <w:r w:rsidR="005E1A24">
              <w:rPr>
                <w:color w:val="000000"/>
              </w:rPr>
              <w:t xml:space="preserve"> (0</w:t>
            </w:r>
            <w:r w:rsidRPr="00AC1100">
              <w:rPr>
                <w:color w:val="000000"/>
              </w:rPr>
              <w:t>)</w:t>
            </w:r>
          </w:p>
        </w:tc>
      </w:tr>
      <w:tr w:rsidR="00C22682" w:rsidRPr="00C02E1C" w14:paraId="6E365952" w14:textId="77777777" w:rsidTr="006C64B1">
        <w:tc>
          <w:tcPr>
            <w:tcW w:w="1342" w:type="pct"/>
            <w:tcBorders>
              <w:bottom w:val="single" w:sz="4" w:space="0" w:color="auto"/>
            </w:tcBorders>
            <w:shd w:val="clear" w:color="auto" w:fill="auto"/>
          </w:tcPr>
          <w:p w14:paraId="3547EEDD" w14:textId="77777777" w:rsidR="00C22682" w:rsidRPr="000D29BC" w:rsidRDefault="00C22682" w:rsidP="00346EFB">
            <w:pPr>
              <w:pStyle w:val="Tabletext1"/>
              <w:rPr>
                <w:color w:val="000000"/>
              </w:rPr>
            </w:pPr>
            <w:r>
              <w:rPr>
                <w:color w:val="000000"/>
              </w:rPr>
              <w:t>Li et al (2012)</w:t>
            </w:r>
          </w:p>
        </w:tc>
        <w:tc>
          <w:tcPr>
            <w:tcW w:w="1327" w:type="pct"/>
            <w:tcBorders>
              <w:bottom w:val="single" w:sz="4" w:space="0" w:color="auto"/>
            </w:tcBorders>
          </w:tcPr>
          <w:p w14:paraId="23A370C0"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50292EC5" w14:textId="77777777" w:rsidR="00C22682" w:rsidRPr="00AC1100" w:rsidRDefault="00C22682" w:rsidP="00346EFB">
            <w:pPr>
              <w:pStyle w:val="Tabletext1"/>
              <w:rPr>
                <w:color w:val="000000"/>
              </w:rPr>
            </w:pPr>
            <w:r w:rsidRPr="00AC1100">
              <w:rPr>
                <w:color w:val="000000"/>
              </w:rPr>
              <w:t>0/</w:t>
            </w:r>
            <w:r>
              <w:rPr>
                <w:color w:val="000000"/>
              </w:rPr>
              <w:t>29</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56F41E2C" w14:textId="77777777" w:rsidR="00C22682" w:rsidRPr="00AC1100" w:rsidRDefault="00C22682" w:rsidP="00346EFB">
            <w:pPr>
              <w:pStyle w:val="Tabletext1"/>
              <w:rPr>
                <w:color w:val="000000"/>
              </w:rPr>
            </w:pPr>
            <w:r w:rsidRPr="00AC1100">
              <w:rPr>
                <w:color w:val="000000"/>
              </w:rPr>
              <w:t>NR</w:t>
            </w:r>
          </w:p>
        </w:tc>
      </w:tr>
      <w:tr w:rsidR="00C22682" w:rsidRPr="00C02E1C" w14:paraId="412A11F4" w14:textId="77777777" w:rsidTr="006C64B1">
        <w:tc>
          <w:tcPr>
            <w:tcW w:w="1342" w:type="pct"/>
            <w:tcBorders>
              <w:bottom w:val="single" w:sz="4" w:space="0" w:color="auto"/>
            </w:tcBorders>
            <w:shd w:val="clear" w:color="auto" w:fill="auto"/>
          </w:tcPr>
          <w:p w14:paraId="360D88BD" w14:textId="77777777" w:rsidR="00C22682" w:rsidRPr="000D29BC" w:rsidRDefault="00C22682" w:rsidP="00346EFB">
            <w:pPr>
              <w:pStyle w:val="Tabletext1"/>
              <w:rPr>
                <w:color w:val="000000"/>
              </w:rPr>
            </w:pPr>
            <w:r>
              <w:rPr>
                <w:color w:val="000000"/>
              </w:rPr>
              <w:t>Liu et al (2015)</w:t>
            </w:r>
          </w:p>
        </w:tc>
        <w:tc>
          <w:tcPr>
            <w:tcW w:w="1327" w:type="pct"/>
            <w:tcBorders>
              <w:bottom w:val="single" w:sz="4" w:space="0" w:color="auto"/>
            </w:tcBorders>
          </w:tcPr>
          <w:p w14:paraId="40438E81"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7ABECE84" w14:textId="77777777" w:rsidR="00C22682" w:rsidRPr="00AC1100" w:rsidRDefault="00C22682" w:rsidP="00346EFB">
            <w:pPr>
              <w:pStyle w:val="Tabletext1"/>
              <w:rPr>
                <w:color w:val="000000"/>
              </w:rPr>
            </w:pPr>
            <w:r w:rsidRPr="00AC1100">
              <w:rPr>
                <w:color w:val="000000"/>
              </w:rPr>
              <w:t>0/</w:t>
            </w:r>
            <w:r>
              <w:rPr>
                <w:color w:val="000000"/>
              </w:rPr>
              <w:t>29</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05058E20" w14:textId="77777777" w:rsidR="00C22682" w:rsidRPr="00AC1100" w:rsidRDefault="00C22682" w:rsidP="00346EFB">
            <w:pPr>
              <w:pStyle w:val="Tabletext1"/>
              <w:rPr>
                <w:color w:val="000000"/>
              </w:rPr>
            </w:pPr>
            <w:r w:rsidRPr="00AC1100">
              <w:rPr>
                <w:color w:val="000000"/>
              </w:rPr>
              <w:t>0/</w:t>
            </w:r>
            <w:r>
              <w:rPr>
                <w:color w:val="000000"/>
              </w:rPr>
              <w:t>29</w:t>
            </w:r>
            <w:r w:rsidR="005E1A24">
              <w:rPr>
                <w:color w:val="000000"/>
              </w:rPr>
              <w:t xml:space="preserve"> (0</w:t>
            </w:r>
            <w:r w:rsidRPr="00AC1100">
              <w:rPr>
                <w:color w:val="000000"/>
              </w:rPr>
              <w:t>)</w:t>
            </w:r>
          </w:p>
        </w:tc>
      </w:tr>
      <w:tr w:rsidR="00C22682" w:rsidRPr="00C02E1C" w14:paraId="29B59C02" w14:textId="77777777" w:rsidTr="006C64B1">
        <w:tc>
          <w:tcPr>
            <w:tcW w:w="1342" w:type="pct"/>
            <w:tcBorders>
              <w:bottom w:val="single" w:sz="4" w:space="0" w:color="auto"/>
            </w:tcBorders>
            <w:shd w:val="clear" w:color="auto" w:fill="auto"/>
          </w:tcPr>
          <w:p w14:paraId="05FF9D8D" w14:textId="77777777" w:rsidR="00C22682" w:rsidRPr="000D29BC" w:rsidRDefault="00C22682" w:rsidP="00346EFB">
            <w:pPr>
              <w:pStyle w:val="Tabletext1"/>
              <w:rPr>
                <w:color w:val="000000"/>
              </w:rPr>
            </w:pPr>
            <w:r>
              <w:rPr>
                <w:color w:val="000000"/>
              </w:rPr>
              <w:t>Lu et al (2015a)</w:t>
            </w:r>
          </w:p>
        </w:tc>
        <w:tc>
          <w:tcPr>
            <w:tcW w:w="1327" w:type="pct"/>
            <w:tcBorders>
              <w:bottom w:val="single" w:sz="4" w:space="0" w:color="auto"/>
            </w:tcBorders>
          </w:tcPr>
          <w:p w14:paraId="3A4BF0E1"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0E64CC98" w14:textId="77777777" w:rsidR="00C22682" w:rsidRPr="00AC1100" w:rsidRDefault="00C22682" w:rsidP="00346EFB">
            <w:pPr>
              <w:pStyle w:val="Tabletext1"/>
              <w:rPr>
                <w:color w:val="000000"/>
              </w:rPr>
            </w:pPr>
            <w:r w:rsidRPr="00AC1100">
              <w:rPr>
                <w:color w:val="000000"/>
              </w:rPr>
              <w:t>0/</w:t>
            </w:r>
            <w:r>
              <w:rPr>
                <w:color w:val="000000"/>
              </w:rPr>
              <w:t>67</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4C09A96D" w14:textId="77777777" w:rsidR="00C22682" w:rsidRPr="00AC1100" w:rsidRDefault="00C22682" w:rsidP="00346EFB">
            <w:pPr>
              <w:pStyle w:val="Tabletext1"/>
              <w:rPr>
                <w:color w:val="000000"/>
              </w:rPr>
            </w:pPr>
            <w:r w:rsidRPr="00AC1100">
              <w:rPr>
                <w:color w:val="000000"/>
              </w:rPr>
              <w:t>NR</w:t>
            </w:r>
          </w:p>
        </w:tc>
      </w:tr>
      <w:tr w:rsidR="00C22682" w:rsidRPr="00C02E1C" w14:paraId="37F1063E" w14:textId="77777777" w:rsidTr="006C64B1">
        <w:tc>
          <w:tcPr>
            <w:tcW w:w="1342" w:type="pct"/>
            <w:tcBorders>
              <w:bottom w:val="single" w:sz="4" w:space="0" w:color="auto"/>
            </w:tcBorders>
            <w:shd w:val="clear" w:color="auto" w:fill="auto"/>
          </w:tcPr>
          <w:p w14:paraId="372EB14C" w14:textId="77777777" w:rsidR="00C22682" w:rsidRPr="000D29BC" w:rsidRDefault="00C22682" w:rsidP="00346EFB">
            <w:pPr>
              <w:pStyle w:val="Tabletext1"/>
              <w:rPr>
                <w:color w:val="000000"/>
              </w:rPr>
            </w:pPr>
            <w:r>
              <w:rPr>
                <w:color w:val="000000"/>
              </w:rPr>
              <w:t>Lu et al (2015b)</w:t>
            </w:r>
          </w:p>
        </w:tc>
        <w:tc>
          <w:tcPr>
            <w:tcW w:w="1327" w:type="pct"/>
            <w:tcBorders>
              <w:bottom w:val="single" w:sz="4" w:space="0" w:color="auto"/>
            </w:tcBorders>
          </w:tcPr>
          <w:p w14:paraId="15548FC5"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681C4644" w14:textId="77777777" w:rsidR="00C22682" w:rsidRPr="00AC1100" w:rsidRDefault="00C22682" w:rsidP="00346EFB">
            <w:pPr>
              <w:pStyle w:val="Tabletext1"/>
              <w:rPr>
                <w:color w:val="000000"/>
              </w:rPr>
            </w:pPr>
            <w:r w:rsidRPr="00AC1100">
              <w:rPr>
                <w:color w:val="000000"/>
              </w:rPr>
              <w:t>0/</w:t>
            </w:r>
            <w:r>
              <w:rPr>
                <w:color w:val="000000"/>
              </w:rPr>
              <w:t>35</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1FC08668" w14:textId="77777777" w:rsidR="00C22682" w:rsidRPr="00AC1100" w:rsidRDefault="00C22682" w:rsidP="00346EFB">
            <w:pPr>
              <w:pStyle w:val="Tabletext1"/>
              <w:rPr>
                <w:color w:val="000000"/>
              </w:rPr>
            </w:pPr>
            <w:r w:rsidRPr="00AC1100">
              <w:rPr>
                <w:color w:val="000000"/>
              </w:rPr>
              <w:t>NR</w:t>
            </w:r>
          </w:p>
        </w:tc>
      </w:tr>
      <w:tr w:rsidR="00C22682" w:rsidRPr="00C02E1C" w14:paraId="7DC59A64" w14:textId="77777777" w:rsidTr="006C64B1">
        <w:tc>
          <w:tcPr>
            <w:tcW w:w="1342" w:type="pct"/>
            <w:tcBorders>
              <w:bottom w:val="single" w:sz="4" w:space="0" w:color="auto"/>
            </w:tcBorders>
            <w:shd w:val="clear" w:color="auto" w:fill="auto"/>
          </w:tcPr>
          <w:p w14:paraId="348956C9" w14:textId="77777777" w:rsidR="00C22682" w:rsidRPr="000D29BC" w:rsidRDefault="00C22682" w:rsidP="00346EFB">
            <w:pPr>
              <w:pStyle w:val="Tabletext1"/>
              <w:rPr>
                <w:color w:val="000000"/>
              </w:rPr>
            </w:pPr>
            <w:r>
              <w:rPr>
                <w:color w:val="000000"/>
              </w:rPr>
              <w:t>Matsui et al (2015)</w:t>
            </w:r>
          </w:p>
        </w:tc>
        <w:tc>
          <w:tcPr>
            <w:tcW w:w="1327" w:type="pct"/>
            <w:tcBorders>
              <w:bottom w:val="single" w:sz="4" w:space="0" w:color="auto"/>
            </w:tcBorders>
          </w:tcPr>
          <w:p w14:paraId="13D323D4"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26124872" w14:textId="77777777" w:rsidR="00C22682" w:rsidRPr="00AC1100" w:rsidRDefault="00C22682" w:rsidP="00346EFB">
            <w:pPr>
              <w:pStyle w:val="Tabletext1"/>
              <w:rPr>
                <w:color w:val="000000"/>
              </w:rPr>
            </w:pPr>
            <w:r w:rsidRPr="00AC1100">
              <w:rPr>
                <w:color w:val="000000"/>
              </w:rPr>
              <w:t>0/</w:t>
            </w:r>
            <w:r>
              <w:rPr>
                <w:color w:val="000000"/>
              </w:rPr>
              <w:t>84</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2671FB62" w14:textId="77777777" w:rsidR="00C22682" w:rsidRPr="00AC1100" w:rsidRDefault="00C22682" w:rsidP="00346EFB">
            <w:pPr>
              <w:pStyle w:val="Tabletext1"/>
              <w:rPr>
                <w:color w:val="000000"/>
              </w:rPr>
            </w:pPr>
            <w:r w:rsidRPr="00AC1100">
              <w:rPr>
                <w:color w:val="000000"/>
              </w:rPr>
              <w:t>NR</w:t>
            </w:r>
          </w:p>
        </w:tc>
      </w:tr>
      <w:tr w:rsidR="00C22682" w:rsidRPr="00C02E1C" w14:paraId="29C63457" w14:textId="77777777" w:rsidTr="006C64B1">
        <w:tc>
          <w:tcPr>
            <w:tcW w:w="1342" w:type="pct"/>
            <w:tcBorders>
              <w:bottom w:val="single" w:sz="4" w:space="0" w:color="auto"/>
            </w:tcBorders>
            <w:shd w:val="clear" w:color="auto" w:fill="auto"/>
          </w:tcPr>
          <w:p w14:paraId="20C0EC96" w14:textId="77777777" w:rsidR="00C22682" w:rsidRPr="000D29BC" w:rsidRDefault="00C22682" w:rsidP="00346EFB">
            <w:pPr>
              <w:pStyle w:val="Tabletext1"/>
              <w:rPr>
                <w:color w:val="000000"/>
              </w:rPr>
            </w:pPr>
            <w:r>
              <w:rPr>
                <w:color w:val="000000"/>
              </w:rPr>
              <w:t>Ridge et al (2014)</w:t>
            </w:r>
          </w:p>
        </w:tc>
        <w:tc>
          <w:tcPr>
            <w:tcW w:w="1327" w:type="pct"/>
            <w:tcBorders>
              <w:bottom w:val="single" w:sz="4" w:space="0" w:color="auto"/>
            </w:tcBorders>
          </w:tcPr>
          <w:p w14:paraId="2440EC84"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69BE5C5E" w14:textId="77777777" w:rsidR="00C22682" w:rsidRPr="00AC1100" w:rsidRDefault="00C22682" w:rsidP="00346EFB">
            <w:pPr>
              <w:pStyle w:val="Tabletext1"/>
              <w:rPr>
                <w:color w:val="000000"/>
              </w:rPr>
            </w:pPr>
            <w:r w:rsidRPr="00AC1100">
              <w:rPr>
                <w:color w:val="000000"/>
              </w:rPr>
              <w:t>0/</w:t>
            </w:r>
            <w:r>
              <w:rPr>
                <w:color w:val="000000"/>
              </w:rPr>
              <w:t>29</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46EA68E0" w14:textId="77777777" w:rsidR="00C22682" w:rsidRPr="00AC1100" w:rsidRDefault="00C22682" w:rsidP="00346EFB">
            <w:pPr>
              <w:pStyle w:val="Tabletext1"/>
              <w:rPr>
                <w:color w:val="000000"/>
              </w:rPr>
            </w:pPr>
            <w:r w:rsidRPr="00AC1100">
              <w:rPr>
                <w:color w:val="000000"/>
              </w:rPr>
              <w:t>0/</w:t>
            </w:r>
            <w:r>
              <w:rPr>
                <w:color w:val="000000"/>
              </w:rPr>
              <w:t>29</w:t>
            </w:r>
            <w:r w:rsidR="005E1A24">
              <w:rPr>
                <w:color w:val="000000"/>
              </w:rPr>
              <w:t xml:space="preserve"> (0</w:t>
            </w:r>
            <w:r w:rsidRPr="00AC1100">
              <w:rPr>
                <w:color w:val="000000"/>
              </w:rPr>
              <w:t>)</w:t>
            </w:r>
          </w:p>
        </w:tc>
      </w:tr>
      <w:tr w:rsidR="00C22682" w:rsidRPr="00C02E1C" w14:paraId="1BD5AEAC" w14:textId="77777777" w:rsidTr="006C64B1">
        <w:tc>
          <w:tcPr>
            <w:tcW w:w="1342" w:type="pct"/>
            <w:tcBorders>
              <w:bottom w:val="single" w:sz="4" w:space="0" w:color="auto"/>
            </w:tcBorders>
            <w:shd w:val="clear" w:color="auto" w:fill="auto"/>
          </w:tcPr>
          <w:p w14:paraId="33D2B4B7" w14:textId="77777777" w:rsidR="00C22682" w:rsidRPr="000D29BC" w:rsidRDefault="00C22682" w:rsidP="00346EFB">
            <w:pPr>
              <w:pStyle w:val="Tabletext1"/>
              <w:rPr>
                <w:color w:val="000000"/>
              </w:rPr>
            </w:pPr>
            <w:r>
              <w:rPr>
                <w:color w:val="000000"/>
              </w:rPr>
              <w:t>Safi et al (2015)</w:t>
            </w:r>
          </w:p>
        </w:tc>
        <w:tc>
          <w:tcPr>
            <w:tcW w:w="1327" w:type="pct"/>
            <w:tcBorders>
              <w:bottom w:val="single" w:sz="4" w:space="0" w:color="auto"/>
            </w:tcBorders>
          </w:tcPr>
          <w:p w14:paraId="356B926B" w14:textId="77777777" w:rsidR="00C22682" w:rsidRPr="00AC1100" w:rsidRDefault="00C22682" w:rsidP="00346EFB">
            <w:pPr>
              <w:pStyle w:val="Tabletext1"/>
              <w:rPr>
                <w:color w:val="000000"/>
              </w:rPr>
            </w:pPr>
            <w:r w:rsidRPr="00AC1100">
              <w:rPr>
                <w:color w:val="000000"/>
              </w:rPr>
              <w:t>III-3</w:t>
            </w:r>
          </w:p>
        </w:tc>
        <w:tc>
          <w:tcPr>
            <w:tcW w:w="1327" w:type="pct"/>
            <w:tcBorders>
              <w:bottom w:val="single" w:sz="4" w:space="0" w:color="auto"/>
            </w:tcBorders>
            <w:shd w:val="clear" w:color="auto" w:fill="auto"/>
          </w:tcPr>
          <w:p w14:paraId="7ADCE6B6" w14:textId="77777777" w:rsidR="00C22682" w:rsidRPr="00AC1100" w:rsidRDefault="00C22682" w:rsidP="00346EFB">
            <w:pPr>
              <w:pStyle w:val="Tabletext1"/>
              <w:rPr>
                <w:color w:val="000000"/>
              </w:rPr>
            </w:pPr>
            <w:r w:rsidRPr="00AC1100">
              <w:rPr>
                <w:color w:val="000000"/>
              </w:rPr>
              <w:t>0/</w:t>
            </w:r>
            <w:r>
              <w:rPr>
                <w:color w:val="000000"/>
              </w:rPr>
              <w:t>25</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078BDE24" w14:textId="77777777" w:rsidR="00C22682" w:rsidRPr="00AC1100" w:rsidRDefault="005E1A24" w:rsidP="00346EFB">
            <w:pPr>
              <w:pStyle w:val="Tabletext1"/>
              <w:rPr>
                <w:color w:val="000000"/>
              </w:rPr>
            </w:pPr>
            <w:r>
              <w:rPr>
                <w:color w:val="000000"/>
              </w:rPr>
              <w:t>0/25 (0</w:t>
            </w:r>
            <w:r w:rsidR="00C22682">
              <w:rPr>
                <w:color w:val="000000"/>
              </w:rPr>
              <w:t>)</w:t>
            </w:r>
          </w:p>
        </w:tc>
      </w:tr>
      <w:tr w:rsidR="00C22682" w:rsidRPr="00C02E1C" w14:paraId="2648A831" w14:textId="77777777" w:rsidTr="006C64B1">
        <w:tc>
          <w:tcPr>
            <w:tcW w:w="1342" w:type="pct"/>
            <w:shd w:val="clear" w:color="auto" w:fill="auto"/>
          </w:tcPr>
          <w:p w14:paraId="6F9ABAAC" w14:textId="77777777" w:rsidR="00C22682" w:rsidRPr="000D29BC" w:rsidRDefault="00C22682" w:rsidP="00346EFB">
            <w:pPr>
              <w:pStyle w:val="Tabletext1"/>
              <w:rPr>
                <w:color w:val="000000"/>
              </w:rPr>
            </w:pPr>
            <w:r>
              <w:rPr>
                <w:color w:val="000000"/>
              </w:rPr>
              <w:t>Simon et al (2007)</w:t>
            </w:r>
          </w:p>
        </w:tc>
        <w:tc>
          <w:tcPr>
            <w:tcW w:w="1327" w:type="pct"/>
          </w:tcPr>
          <w:p w14:paraId="1DF84F8C" w14:textId="77777777" w:rsidR="00C22682" w:rsidRPr="00AC1100" w:rsidRDefault="00C22682" w:rsidP="00346EFB">
            <w:pPr>
              <w:pStyle w:val="Tabletext1"/>
              <w:rPr>
                <w:color w:val="000000"/>
              </w:rPr>
            </w:pPr>
            <w:r w:rsidRPr="00AC1100">
              <w:rPr>
                <w:color w:val="000000"/>
              </w:rPr>
              <w:t>IV</w:t>
            </w:r>
          </w:p>
        </w:tc>
        <w:tc>
          <w:tcPr>
            <w:tcW w:w="1327" w:type="pct"/>
            <w:shd w:val="clear" w:color="auto" w:fill="auto"/>
          </w:tcPr>
          <w:p w14:paraId="5A107976" w14:textId="77777777" w:rsidR="00C22682" w:rsidRPr="00AC1100" w:rsidRDefault="00C22682" w:rsidP="00346EFB">
            <w:pPr>
              <w:pStyle w:val="Tabletext1"/>
              <w:rPr>
                <w:color w:val="000000"/>
              </w:rPr>
            </w:pPr>
            <w:r w:rsidRPr="00AC1100">
              <w:rPr>
                <w:color w:val="000000"/>
              </w:rPr>
              <w:t>0/</w:t>
            </w:r>
            <w:r>
              <w:rPr>
                <w:color w:val="000000"/>
              </w:rPr>
              <w:t>21</w:t>
            </w:r>
            <w:r w:rsidR="005E1A24">
              <w:rPr>
                <w:color w:val="000000"/>
              </w:rPr>
              <w:t xml:space="preserve"> (0</w:t>
            </w:r>
            <w:r w:rsidRPr="00AC1100">
              <w:rPr>
                <w:color w:val="000000"/>
              </w:rPr>
              <w:t>)</w:t>
            </w:r>
          </w:p>
        </w:tc>
        <w:tc>
          <w:tcPr>
            <w:tcW w:w="1004" w:type="pct"/>
            <w:shd w:val="clear" w:color="auto" w:fill="auto"/>
          </w:tcPr>
          <w:p w14:paraId="45108845" w14:textId="77777777" w:rsidR="00C22682" w:rsidRPr="00AC1100" w:rsidRDefault="00C22682" w:rsidP="00346EFB">
            <w:pPr>
              <w:pStyle w:val="Tabletext1"/>
              <w:rPr>
                <w:color w:val="000000"/>
              </w:rPr>
            </w:pPr>
            <w:r w:rsidRPr="00AC1100">
              <w:rPr>
                <w:color w:val="000000"/>
              </w:rPr>
              <w:t>NR</w:t>
            </w:r>
          </w:p>
        </w:tc>
      </w:tr>
      <w:tr w:rsidR="00C22682" w:rsidRPr="00C02E1C" w14:paraId="260934B4" w14:textId="77777777" w:rsidTr="006C64B1">
        <w:tc>
          <w:tcPr>
            <w:tcW w:w="1342" w:type="pct"/>
            <w:tcBorders>
              <w:bottom w:val="single" w:sz="4" w:space="0" w:color="auto"/>
            </w:tcBorders>
            <w:shd w:val="clear" w:color="auto" w:fill="auto"/>
          </w:tcPr>
          <w:p w14:paraId="4C693392" w14:textId="77777777" w:rsidR="00C22682" w:rsidRPr="000D29BC" w:rsidRDefault="00C22682" w:rsidP="00346EFB">
            <w:pPr>
              <w:pStyle w:val="Tabletext1"/>
              <w:rPr>
                <w:color w:val="000000"/>
              </w:rPr>
            </w:pPr>
            <w:r>
              <w:rPr>
                <w:color w:val="000000"/>
              </w:rPr>
              <w:t>Viti et al (2014)</w:t>
            </w:r>
          </w:p>
        </w:tc>
        <w:tc>
          <w:tcPr>
            <w:tcW w:w="1327" w:type="pct"/>
            <w:tcBorders>
              <w:bottom w:val="single" w:sz="4" w:space="0" w:color="auto"/>
            </w:tcBorders>
          </w:tcPr>
          <w:p w14:paraId="7AEC44B9"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5515617F" w14:textId="77777777" w:rsidR="00C22682" w:rsidRPr="00AC1100" w:rsidRDefault="00C22682" w:rsidP="00346EFB">
            <w:pPr>
              <w:pStyle w:val="Tabletext1"/>
              <w:rPr>
                <w:color w:val="000000"/>
              </w:rPr>
            </w:pPr>
            <w:r w:rsidRPr="00AC1100">
              <w:rPr>
                <w:color w:val="000000"/>
              </w:rPr>
              <w:t>0/</w:t>
            </w:r>
            <w:r>
              <w:rPr>
                <w:color w:val="000000"/>
              </w:rPr>
              <w:t>22</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304A1B61" w14:textId="77777777" w:rsidR="00C22682" w:rsidRPr="00AC1100" w:rsidRDefault="00C22682" w:rsidP="00346EFB">
            <w:pPr>
              <w:pStyle w:val="Tabletext1"/>
              <w:rPr>
                <w:color w:val="000000"/>
              </w:rPr>
            </w:pPr>
            <w:r w:rsidRPr="00AC1100">
              <w:rPr>
                <w:color w:val="000000"/>
              </w:rPr>
              <w:t>0/</w:t>
            </w:r>
            <w:r>
              <w:rPr>
                <w:color w:val="000000"/>
              </w:rPr>
              <w:t>22</w:t>
            </w:r>
            <w:r w:rsidR="005E1A24">
              <w:rPr>
                <w:color w:val="000000"/>
              </w:rPr>
              <w:t xml:space="preserve"> (0</w:t>
            </w:r>
            <w:r w:rsidRPr="00AC1100">
              <w:rPr>
                <w:color w:val="000000"/>
              </w:rPr>
              <w:t>)</w:t>
            </w:r>
          </w:p>
        </w:tc>
      </w:tr>
      <w:tr w:rsidR="00C22682" w:rsidRPr="00C02E1C" w14:paraId="58392765" w14:textId="77777777" w:rsidTr="006C64B1">
        <w:tc>
          <w:tcPr>
            <w:tcW w:w="1342" w:type="pct"/>
            <w:tcBorders>
              <w:bottom w:val="single" w:sz="4" w:space="0" w:color="auto"/>
            </w:tcBorders>
            <w:shd w:val="clear" w:color="auto" w:fill="auto"/>
          </w:tcPr>
          <w:p w14:paraId="4A379669" w14:textId="77777777" w:rsidR="00C22682" w:rsidRPr="000D29BC" w:rsidRDefault="00C22682" w:rsidP="00346EFB">
            <w:pPr>
              <w:pStyle w:val="Tabletext1"/>
              <w:rPr>
                <w:color w:val="000000"/>
              </w:rPr>
            </w:pPr>
            <w:r>
              <w:rPr>
                <w:color w:val="000000"/>
              </w:rPr>
              <w:t>von Meyenfeldt et al (2011)</w:t>
            </w:r>
          </w:p>
        </w:tc>
        <w:tc>
          <w:tcPr>
            <w:tcW w:w="1327" w:type="pct"/>
            <w:tcBorders>
              <w:bottom w:val="single" w:sz="4" w:space="0" w:color="auto"/>
            </w:tcBorders>
          </w:tcPr>
          <w:p w14:paraId="51921CC0"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6D65CD16" w14:textId="77777777" w:rsidR="00C22682" w:rsidRPr="00AC1100" w:rsidRDefault="00C22682" w:rsidP="00346EFB">
            <w:pPr>
              <w:pStyle w:val="Tabletext1"/>
              <w:rPr>
                <w:color w:val="000000"/>
              </w:rPr>
            </w:pPr>
            <w:r>
              <w:rPr>
                <w:color w:val="000000"/>
              </w:rPr>
              <w:t>1</w:t>
            </w:r>
            <w:r w:rsidRPr="00AC1100">
              <w:rPr>
                <w:color w:val="000000"/>
              </w:rPr>
              <w:t>/</w:t>
            </w:r>
            <w:r>
              <w:rPr>
                <w:color w:val="000000"/>
              </w:rPr>
              <w:t>46</w:t>
            </w:r>
            <w:r w:rsidRPr="00AC1100">
              <w:rPr>
                <w:color w:val="000000"/>
              </w:rPr>
              <w:t xml:space="preserve"> (</w:t>
            </w:r>
            <w:r>
              <w:rPr>
                <w:color w:val="000000"/>
              </w:rPr>
              <w:t>2</w:t>
            </w:r>
            <w:r w:rsidRPr="00AC1100">
              <w:rPr>
                <w:color w:val="000000"/>
              </w:rPr>
              <w:t>)</w:t>
            </w:r>
          </w:p>
        </w:tc>
        <w:tc>
          <w:tcPr>
            <w:tcW w:w="1004" w:type="pct"/>
            <w:tcBorders>
              <w:bottom w:val="single" w:sz="4" w:space="0" w:color="auto"/>
            </w:tcBorders>
            <w:shd w:val="clear" w:color="auto" w:fill="auto"/>
          </w:tcPr>
          <w:p w14:paraId="7579AEF0" w14:textId="77777777" w:rsidR="00C22682" w:rsidRPr="00AC1100" w:rsidRDefault="00C22682" w:rsidP="00346EFB">
            <w:pPr>
              <w:pStyle w:val="Tabletext1"/>
              <w:rPr>
                <w:color w:val="000000"/>
              </w:rPr>
            </w:pPr>
            <w:r w:rsidRPr="00AC1100">
              <w:rPr>
                <w:color w:val="000000"/>
              </w:rPr>
              <w:t>0/</w:t>
            </w:r>
            <w:r>
              <w:rPr>
                <w:color w:val="000000"/>
              </w:rPr>
              <w:t>46</w:t>
            </w:r>
            <w:r w:rsidR="005E1A24">
              <w:rPr>
                <w:color w:val="000000"/>
              </w:rPr>
              <w:t xml:space="preserve"> (0</w:t>
            </w:r>
            <w:r w:rsidRPr="00AC1100">
              <w:rPr>
                <w:color w:val="000000"/>
              </w:rPr>
              <w:t>)</w:t>
            </w:r>
          </w:p>
        </w:tc>
      </w:tr>
      <w:tr w:rsidR="00C22682" w:rsidRPr="00C02E1C" w14:paraId="2C445970" w14:textId="77777777" w:rsidTr="006C64B1">
        <w:tc>
          <w:tcPr>
            <w:tcW w:w="1342" w:type="pct"/>
            <w:tcBorders>
              <w:bottom w:val="single" w:sz="4" w:space="0" w:color="auto"/>
            </w:tcBorders>
            <w:shd w:val="clear" w:color="auto" w:fill="auto"/>
          </w:tcPr>
          <w:p w14:paraId="23A9316C" w14:textId="77777777" w:rsidR="00C22682" w:rsidRPr="000D29BC" w:rsidRDefault="00C22682" w:rsidP="00346EFB">
            <w:pPr>
              <w:pStyle w:val="Tabletext1"/>
              <w:rPr>
                <w:color w:val="000000"/>
              </w:rPr>
            </w:pPr>
            <w:r>
              <w:rPr>
                <w:color w:val="000000"/>
              </w:rPr>
              <w:t>Yan et al (2006+ 2007)</w:t>
            </w:r>
          </w:p>
        </w:tc>
        <w:tc>
          <w:tcPr>
            <w:tcW w:w="1327" w:type="pct"/>
            <w:tcBorders>
              <w:bottom w:val="single" w:sz="4" w:space="0" w:color="auto"/>
            </w:tcBorders>
          </w:tcPr>
          <w:p w14:paraId="2CD9CD02" w14:textId="77777777" w:rsidR="00C22682" w:rsidRPr="00AC1100" w:rsidRDefault="00C22682" w:rsidP="00346EFB">
            <w:pPr>
              <w:pStyle w:val="Tabletext1"/>
              <w:rPr>
                <w:color w:val="000000"/>
              </w:rPr>
            </w:pPr>
            <w:r w:rsidRPr="00AC1100">
              <w:rPr>
                <w:color w:val="000000"/>
              </w:rPr>
              <w:t>IV</w:t>
            </w:r>
          </w:p>
        </w:tc>
        <w:tc>
          <w:tcPr>
            <w:tcW w:w="1327" w:type="pct"/>
            <w:tcBorders>
              <w:bottom w:val="single" w:sz="4" w:space="0" w:color="auto"/>
            </w:tcBorders>
            <w:shd w:val="clear" w:color="auto" w:fill="auto"/>
          </w:tcPr>
          <w:p w14:paraId="3A9A9839" w14:textId="77777777" w:rsidR="00C22682" w:rsidRPr="00AC1100" w:rsidRDefault="00C22682" w:rsidP="00346EFB">
            <w:pPr>
              <w:pStyle w:val="Tabletext1"/>
              <w:rPr>
                <w:color w:val="000000"/>
              </w:rPr>
            </w:pPr>
            <w:r w:rsidRPr="00AC1100">
              <w:rPr>
                <w:color w:val="000000"/>
              </w:rPr>
              <w:t>0/</w:t>
            </w:r>
            <w:r>
              <w:rPr>
                <w:color w:val="000000"/>
              </w:rPr>
              <w:t>55</w:t>
            </w:r>
            <w:r w:rsidR="005E1A24">
              <w:rPr>
                <w:color w:val="000000"/>
              </w:rPr>
              <w:t xml:space="preserve"> (0</w:t>
            </w:r>
            <w:r w:rsidRPr="00AC1100">
              <w:rPr>
                <w:color w:val="000000"/>
              </w:rPr>
              <w:t>)</w:t>
            </w:r>
          </w:p>
        </w:tc>
        <w:tc>
          <w:tcPr>
            <w:tcW w:w="1004" w:type="pct"/>
            <w:tcBorders>
              <w:bottom w:val="single" w:sz="4" w:space="0" w:color="auto"/>
            </w:tcBorders>
            <w:shd w:val="clear" w:color="auto" w:fill="auto"/>
          </w:tcPr>
          <w:p w14:paraId="57CE9C05" w14:textId="77777777" w:rsidR="00C22682" w:rsidRPr="00AC1100" w:rsidRDefault="00C22682" w:rsidP="00346EFB">
            <w:pPr>
              <w:pStyle w:val="Tabletext1"/>
              <w:rPr>
                <w:color w:val="000000"/>
              </w:rPr>
            </w:pPr>
            <w:r w:rsidRPr="00AC1100">
              <w:rPr>
                <w:color w:val="000000"/>
              </w:rPr>
              <w:t>NR</w:t>
            </w:r>
          </w:p>
        </w:tc>
      </w:tr>
      <w:tr w:rsidR="00C22682" w:rsidRPr="00C02E1C" w14:paraId="74C47E6D" w14:textId="77777777" w:rsidTr="006C64B1">
        <w:tc>
          <w:tcPr>
            <w:tcW w:w="1342" w:type="pct"/>
            <w:tcBorders>
              <w:bottom w:val="single" w:sz="4" w:space="0" w:color="auto"/>
            </w:tcBorders>
            <w:shd w:val="clear" w:color="auto" w:fill="auto"/>
          </w:tcPr>
          <w:p w14:paraId="5527ED8F" w14:textId="77777777" w:rsidR="00C22682" w:rsidRPr="003312E7" w:rsidRDefault="00C22682" w:rsidP="00346EFB">
            <w:pPr>
              <w:pStyle w:val="Tabletext1"/>
              <w:rPr>
                <w:color w:val="000000"/>
              </w:rPr>
            </w:pPr>
            <w:r w:rsidRPr="003312E7">
              <w:rPr>
                <w:snapToGrid w:val="0"/>
                <w:color w:val="000000"/>
              </w:rPr>
              <w:t>Pooled, n/N (%), per patient</w:t>
            </w:r>
          </w:p>
        </w:tc>
        <w:tc>
          <w:tcPr>
            <w:tcW w:w="1327" w:type="pct"/>
            <w:tcBorders>
              <w:bottom w:val="single" w:sz="4" w:space="0" w:color="auto"/>
            </w:tcBorders>
          </w:tcPr>
          <w:p w14:paraId="77D178E9" w14:textId="77777777" w:rsidR="00172E96" w:rsidRPr="00997BA0" w:rsidRDefault="00172E96" w:rsidP="00346EFB">
            <w:pPr>
              <w:pStyle w:val="Tabletext1"/>
              <w:rPr>
                <w:rFonts w:ascii="Cambria Math" w:hAnsi="Cambria Math" w:cs="Cambria Math"/>
                <w:color w:val="C00000"/>
              </w:rPr>
            </w:pPr>
            <w:r w:rsidRPr="00997BA0">
              <w:rPr>
                <w:rFonts w:ascii="Cambria Math" w:hAnsi="Cambria Math"/>
                <w:color w:val="00B050"/>
              </w:rPr>
              <w:t>⨁</w:t>
            </w:r>
            <w:r w:rsidRPr="00997BA0">
              <w:rPr>
                <w:rFonts w:ascii="Cambria Math" w:hAnsi="Cambria Math" w:cs="Cambria Math"/>
                <w:color w:val="C00000"/>
              </w:rPr>
              <w:t>⨀⨀⨀</w:t>
            </w:r>
          </w:p>
          <w:p w14:paraId="3A188D6A" w14:textId="77777777" w:rsidR="00C22682" w:rsidRPr="003312E7" w:rsidRDefault="002C2C99" w:rsidP="00346EFB">
            <w:pPr>
              <w:pStyle w:val="Tabletext1"/>
              <w:rPr>
                <w:snapToGrid w:val="0"/>
                <w:color w:val="000000"/>
              </w:rPr>
            </w:pPr>
            <w:r w:rsidRPr="003312E7">
              <w:rPr>
                <w:rStyle w:val="quality-sign"/>
                <w:rFonts w:eastAsia="MS Mincho" w:cs="MS Mincho"/>
                <w:b/>
                <w:sz w:val="21"/>
                <w:szCs w:val="21"/>
              </w:rPr>
              <w:t>VERY LOW</w:t>
            </w:r>
          </w:p>
        </w:tc>
        <w:tc>
          <w:tcPr>
            <w:tcW w:w="1327" w:type="pct"/>
            <w:tcBorders>
              <w:bottom w:val="single" w:sz="4" w:space="0" w:color="auto"/>
            </w:tcBorders>
            <w:shd w:val="clear" w:color="auto" w:fill="auto"/>
          </w:tcPr>
          <w:p w14:paraId="5AF5DE45" w14:textId="77777777" w:rsidR="00C22682" w:rsidRPr="003312E7" w:rsidRDefault="005E1A24" w:rsidP="00346EFB">
            <w:pPr>
              <w:pStyle w:val="Tabletext1"/>
              <w:rPr>
                <w:color w:val="000000"/>
              </w:rPr>
            </w:pPr>
            <w:r>
              <w:rPr>
                <w:color w:val="000000"/>
              </w:rPr>
              <w:t>1/1259 (&lt;0.1</w:t>
            </w:r>
            <w:r w:rsidR="00C22682" w:rsidRPr="003312E7">
              <w:rPr>
                <w:color w:val="000000"/>
              </w:rPr>
              <w:t>)</w:t>
            </w:r>
          </w:p>
        </w:tc>
        <w:tc>
          <w:tcPr>
            <w:tcW w:w="1004" w:type="pct"/>
            <w:tcBorders>
              <w:bottom w:val="single" w:sz="4" w:space="0" w:color="auto"/>
            </w:tcBorders>
            <w:shd w:val="clear" w:color="auto" w:fill="auto"/>
          </w:tcPr>
          <w:p w14:paraId="255CD0D7" w14:textId="77777777" w:rsidR="00C22682" w:rsidRPr="003312E7" w:rsidRDefault="005E1A24" w:rsidP="00346EFB">
            <w:pPr>
              <w:pStyle w:val="Tabletext1"/>
              <w:rPr>
                <w:color w:val="000000"/>
              </w:rPr>
            </w:pPr>
            <w:r>
              <w:rPr>
                <w:color w:val="000000"/>
              </w:rPr>
              <w:t>2/810 (&lt;0.1</w:t>
            </w:r>
            <w:r w:rsidR="00C22682" w:rsidRPr="003312E7">
              <w:rPr>
                <w:color w:val="000000"/>
              </w:rPr>
              <w:t>)</w:t>
            </w:r>
          </w:p>
        </w:tc>
      </w:tr>
    </w:tbl>
    <w:p w14:paraId="31330FE3" w14:textId="5A88B8E7" w:rsidR="00FB16B5" w:rsidRPr="00FB16B5" w:rsidRDefault="00346EFB" w:rsidP="005E1A24">
      <w:pPr>
        <w:pStyle w:val="Tablenotes0"/>
      </w:pPr>
      <w:r>
        <w:t xml:space="preserve">&lt; </w:t>
      </w:r>
      <w:proofErr w:type="gramStart"/>
      <w:r w:rsidR="00FB16B5" w:rsidRPr="00FB16B5">
        <w:t>n/N</w:t>
      </w:r>
      <w:proofErr w:type="gramEnd"/>
      <w:r w:rsidR="00FB16B5" w:rsidRPr="00FB16B5">
        <w:t xml:space="preserve"> (%)</w:t>
      </w:r>
      <w:r w:rsidR="003E4064">
        <w:t xml:space="preserve"> </w:t>
      </w:r>
      <w:r w:rsidR="00FB16B5" w:rsidRPr="00FB16B5">
        <w:t>= number with event/ total (percentage)</w:t>
      </w:r>
      <w:r w:rsidR="00FB16B5">
        <w:t xml:space="preserve">; </w:t>
      </w:r>
      <w:r w:rsidR="00FB16B5" w:rsidRPr="00FB16B5">
        <w:t>NR</w:t>
      </w:r>
      <w:r w:rsidR="003E4064">
        <w:t xml:space="preserve"> </w:t>
      </w:r>
      <w:r w:rsidR="00FB16B5" w:rsidRPr="00FB16B5">
        <w:t>= not reported</w:t>
      </w:r>
      <w:r w:rsidR="00FF5480">
        <w:t>; RFA=radiofrequency ablation</w:t>
      </w:r>
      <w:r>
        <w:t>&gt;</w:t>
      </w:r>
    </w:p>
    <w:p w14:paraId="0EF54DB6" w14:textId="3CCA18E7" w:rsidR="00172E96" w:rsidRDefault="00172E96" w:rsidP="005E1A24">
      <w:pPr>
        <w:pStyle w:val="Tablenotes0"/>
      </w:pPr>
      <w:r w:rsidRPr="00E10B76">
        <w:t>GRADE Working Group grades of evidence</w:t>
      </w:r>
      <w:r>
        <w:t xml:space="preserve"> (Guyatt et al., 2013</w:t>
      </w:r>
      <w:r w:rsidR="00CA6DFD">
        <w:t>)</w:t>
      </w:r>
      <w:r w:rsidR="003E4064">
        <w: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33761E5E" w14:textId="77777777" w:rsidR="00C22682" w:rsidRDefault="00C22682" w:rsidP="003F6C66">
      <w:pPr>
        <w:pStyle w:val="Heading3"/>
      </w:pPr>
      <w:bookmarkStart w:id="294" w:name="_Toc460396051"/>
      <w:r w:rsidRPr="00460042">
        <w:t>Pneumothorax</w:t>
      </w:r>
      <w:bookmarkEnd w:id="294"/>
      <w:r w:rsidRPr="00460042">
        <w:t xml:space="preserve"> </w:t>
      </w:r>
    </w:p>
    <w:p w14:paraId="5577B877" w14:textId="77777777" w:rsidR="00C22682" w:rsidRPr="00CA0D4C" w:rsidRDefault="00C22682" w:rsidP="00C22682">
      <w:r>
        <w:t>Similar to MTA, pneumothorax was the most commonly reported adverse event associated with RFA therapy. The incidence of pneumothorax was reported as either a percentage of ablation sessions, or total patients. In total, pneumothorax occurred in 45 per cent of ablation sessions, and 18 per cent of patients (</w:t>
      </w:r>
      <w:r>
        <w:fldChar w:fldCharType="begin"/>
      </w:r>
      <w:r>
        <w:instrText xml:space="preserve"> REF _Ref457312435 \h </w:instrText>
      </w:r>
      <w:r>
        <w:fldChar w:fldCharType="separate"/>
      </w:r>
      <w:r w:rsidR="00D170A5" w:rsidRPr="00172E96">
        <w:t xml:space="preserve">Table </w:t>
      </w:r>
      <w:r w:rsidR="00D170A5">
        <w:rPr>
          <w:noProof/>
        </w:rPr>
        <w:t>45</w:t>
      </w:r>
      <w:r>
        <w:fldChar w:fldCharType="end"/>
      </w:r>
      <w:r>
        <w:t xml:space="preserve">). The severity of pneumothorax was reported according to those that spontaneously resolved without intervention, and those that required chest tube placement. Intervention with a chest tube was required in 50 per cent of sessions that led to pneumothorax. In contrast, 63 per cent of patients that had a pneumothorax needed a chest tube placed. </w:t>
      </w:r>
    </w:p>
    <w:p w14:paraId="6CEC8F89" w14:textId="77777777" w:rsidR="00C22682" w:rsidRPr="00183E4D" w:rsidRDefault="00C22682" w:rsidP="00C22682">
      <w:pPr>
        <w:pStyle w:val="Caption"/>
        <w:keepNext/>
        <w:rPr>
          <w:rFonts w:cs="Arial"/>
          <w:snapToGrid w:val="0"/>
          <w:szCs w:val="16"/>
          <w:lang w:eastAsia="en-US"/>
        </w:rPr>
      </w:pPr>
      <w:bookmarkStart w:id="295" w:name="_Ref457312435"/>
      <w:bookmarkStart w:id="296" w:name="_Toc460514703"/>
      <w:r w:rsidRPr="00172E96">
        <w:lastRenderedPageBreak/>
        <w:t xml:space="preserve">Table </w:t>
      </w:r>
      <w:fldSimple w:instr=" SEQ Table \* ARABIC ">
        <w:r w:rsidR="00D170A5">
          <w:rPr>
            <w:noProof/>
          </w:rPr>
          <w:t>45</w:t>
        </w:r>
      </w:fldSimple>
      <w:bookmarkEnd w:id="295"/>
      <w:r w:rsidR="00FB2D0C" w:rsidRPr="00172E96">
        <w:tab/>
      </w:r>
      <w:r w:rsidRPr="00172E96">
        <w:t>P</w:t>
      </w:r>
      <w:r w:rsidRPr="00172E96">
        <w:rPr>
          <w:rFonts w:cs="Arial"/>
          <w:snapToGrid w:val="0"/>
          <w:szCs w:val="16"/>
          <w:lang w:eastAsia="en-US"/>
        </w:rPr>
        <w:t>neumothorax reported in 19 studies of RFA, per-session and per-patient</w:t>
      </w:r>
      <w:bookmarkEnd w:id="2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9"/>
        <w:tblDescription w:val="Pneumothorax outcomes RFA"/>
      </w:tblPr>
      <w:tblGrid>
        <w:gridCol w:w="2399"/>
        <w:gridCol w:w="1882"/>
        <w:gridCol w:w="2280"/>
        <w:gridCol w:w="2521"/>
      </w:tblGrid>
      <w:tr w:rsidR="00C22682" w:rsidRPr="0069748F" w14:paraId="601B160D" w14:textId="77777777" w:rsidTr="00436C56">
        <w:tc>
          <w:tcPr>
            <w:tcW w:w="1321" w:type="pct"/>
            <w:shd w:val="clear" w:color="auto" w:fill="D9D9D9" w:themeFill="background1" w:themeFillShade="D9"/>
            <w:vAlign w:val="bottom"/>
          </w:tcPr>
          <w:p w14:paraId="4A4B6099" w14:textId="77777777" w:rsidR="00C22682" w:rsidRPr="00346EFB" w:rsidRDefault="00C22682" w:rsidP="00436C56">
            <w:pPr>
              <w:pStyle w:val="Tabletext1"/>
              <w:rPr>
                <w:b/>
                <w:snapToGrid w:val="0"/>
                <w:lang w:eastAsia="en-US"/>
              </w:rPr>
            </w:pPr>
            <w:r w:rsidRPr="00346EFB">
              <w:rPr>
                <w:b/>
                <w:snapToGrid w:val="0"/>
                <w:lang w:eastAsia="en-US"/>
              </w:rPr>
              <w:t>Study ID</w:t>
            </w:r>
          </w:p>
        </w:tc>
        <w:tc>
          <w:tcPr>
            <w:tcW w:w="1036" w:type="pct"/>
            <w:shd w:val="clear" w:color="auto" w:fill="D9D9D9" w:themeFill="background1" w:themeFillShade="D9"/>
            <w:vAlign w:val="bottom"/>
          </w:tcPr>
          <w:p w14:paraId="48C5A1BA" w14:textId="77777777" w:rsidR="00C22682" w:rsidRPr="00346EFB" w:rsidRDefault="00C22682" w:rsidP="00436C56">
            <w:pPr>
              <w:pStyle w:val="Tabletext1"/>
              <w:rPr>
                <w:b/>
                <w:snapToGrid w:val="0"/>
                <w:lang w:eastAsia="en-US"/>
              </w:rPr>
            </w:pPr>
            <w:r w:rsidRPr="00346EFB">
              <w:rPr>
                <w:b/>
                <w:snapToGrid w:val="0"/>
                <w:lang w:eastAsia="en-US"/>
              </w:rPr>
              <w:t>Level of evidence/ Quality of summary estimate</w:t>
            </w:r>
            <w:r w:rsidR="00C17408" w:rsidRPr="00346EFB">
              <w:rPr>
                <w:b/>
                <w:snapToGrid w:val="0"/>
                <w:lang w:eastAsia="en-US"/>
              </w:rPr>
              <w:t>s</w:t>
            </w:r>
          </w:p>
        </w:tc>
        <w:tc>
          <w:tcPr>
            <w:tcW w:w="1255" w:type="pct"/>
            <w:shd w:val="clear" w:color="auto" w:fill="D9D9D9" w:themeFill="background1" w:themeFillShade="D9"/>
            <w:vAlign w:val="bottom"/>
          </w:tcPr>
          <w:p w14:paraId="60DA35BC" w14:textId="77777777" w:rsidR="00C22682" w:rsidRPr="00346EFB" w:rsidRDefault="00C22682" w:rsidP="00436C56">
            <w:pPr>
              <w:pStyle w:val="Tabletext1"/>
              <w:rPr>
                <w:b/>
                <w:snapToGrid w:val="0"/>
                <w:lang w:eastAsia="en-US"/>
              </w:rPr>
            </w:pPr>
            <w:r w:rsidRPr="00346EFB">
              <w:rPr>
                <w:b/>
                <w:snapToGrid w:val="0"/>
                <w:lang w:eastAsia="en-US"/>
              </w:rPr>
              <w:t xml:space="preserve">Pneumothorax </w:t>
            </w:r>
          </w:p>
          <w:p w14:paraId="2E4C4CFB" w14:textId="77777777" w:rsidR="00C22682" w:rsidRPr="00346EFB" w:rsidRDefault="00C22682" w:rsidP="00436C56">
            <w:pPr>
              <w:pStyle w:val="Tabletext1"/>
              <w:rPr>
                <w:b/>
                <w:snapToGrid w:val="0"/>
                <w:lang w:eastAsia="en-US"/>
              </w:rPr>
            </w:pPr>
            <w:proofErr w:type="gramStart"/>
            <w:r w:rsidRPr="00346EFB">
              <w:rPr>
                <w:b/>
                <w:snapToGrid w:val="0"/>
                <w:lang w:eastAsia="en-US"/>
              </w:rPr>
              <w:t>n</w:t>
            </w:r>
            <w:proofErr w:type="gramEnd"/>
            <w:r w:rsidRPr="00346EFB">
              <w:rPr>
                <w:b/>
                <w:snapToGrid w:val="0"/>
                <w:lang w:eastAsia="en-US"/>
              </w:rPr>
              <w:t xml:space="preserve"> with event/N (%)</w:t>
            </w:r>
          </w:p>
          <w:p w14:paraId="4032114D" w14:textId="77777777" w:rsidR="00C22682" w:rsidRPr="00346EFB" w:rsidRDefault="00C22682" w:rsidP="00436C56">
            <w:pPr>
              <w:pStyle w:val="Tabletext1"/>
              <w:rPr>
                <w:b/>
                <w:snapToGrid w:val="0"/>
                <w:lang w:eastAsia="en-US"/>
              </w:rPr>
            </w:pPr>
          </w:p>
        </w:tc>
        <w:tc>
          <w:tcPr>
            <w:tcW w:w="1388" w:type="pct"/>
            <w:shd w:val="clear" w:color="auto" w:fill="D9D9D9" w:themeFill="background1" w:themeFillShade="D9"/>
            <w:vAlign w:val="bottom"/>
          </w:tcPr>
          <w:p w14:paraId="5BCE81D3" w14:textId="77777777" w:rsidR="00C22682" w:rsidRPr="00346EFB" w:rsidRDefault="00C22682" w:rsidP="00436C56">
            <w:pPr>
              <w:pStyle w:val="Tabletext1"/>
              <w:rPr>
                <w:b/>
                <w:snapToGrid w:val="0"/>
                <w:lang w:eastAsia="en-US"/>
              </w:rPr>
            </w:pPr>
            <w:r w:rsidRPr="00346EFB">
              <w:rPr>
                <w:b/>
                <w:snapToGrid w:val="0"/>
                <w:lang w:eastAsia="en-US"/>
              </w:rPr>
              <w:t>Pneumothorax requiring intervention</w:t>
            </w:r>
          </w:p>
          <w:p w14:paraId="1C57671A" w14:textId="77777777" w:rsidR="00C22682" w:rsidRPr="00346EFB" w:rsidRDefault="00C22682" w:rsidP="00436C56">
            <w:pPr>
              <w:pStyle w:val="Tabletext1"/>
              <w:rPr>
                <w:b/>
                <w:snapToGrid w:val="0"/>
                <w:lang w:eastAsia="en-US"/>
              </w:rPr>
            </w:pPr>
            <w:proofErr w:type="gramStart"/>
            <w:r w:rsidRPr="00346EFB">
              <w:rPr>
                <w:b/>
                <w:snapToGrid w:val="0"/>
                <w:lang w:eastAsia="en-US"/>
              </w:rPr>
              <w:t>n</w:t>
            </w:r>
            <w:proofErr w:type="gramEnd"/>
            <w:r w:rsidRPr="00346EFB">
              <w:rPr>
                <w:b/>
                <w:snapToGrid w:val="0"/>
                <w:lang w:eastAsia="en-US"/>
              </w:rPr>
              <w:t xml:space="preserve"> with event/N (%)</w:t>
            </w:r>
          </w:p>
        </w:tc>
      </w:tr>
      <w:tr w:rsidR="00C22682" w:rsidRPr="0069748F" w14:paraId="345325D9" w14:textId="77777777" w:rsidTr="00C17408">
        <w:tc>
          <w:tcPr>
            <w:tcW w:w="1321" w:type="pct"/>
            <w:shd w:val="clear" w:color="auto" w:fill="auto"/>
            <w:vAlign w:val="center"/>
          </w:tcPr>
          <w:p w14:paraId="0A29E71D" w14:textId="77777777" w:rsidR="00C22682" w:rsidRPr="000D29BC" w:rsidRDefault="00C22682" w:rsidP="00346EFB">
            <w:pPr>
              <w:pStyle w:val="Tabletext1"/>
              <w:rPr>
                <w:color w:val="000000"/>
              </w:rPr>
            </w:pPr>
            <w:r>
              <w:rPr>
                <w:color w:val="000000"/>
              </w:rPr>
              <w:t>Ambrogi et al (2011)</w:t>
            </w:r>
          </w:p>
        </w:tc>
        <w:tc>
          <w:tcPr>
            <w:tcW w:w="1036" w:type="pct"/>
            <w:shd w:val="clear" w:color="auto" w:fill="auto"/>
          </w:tcPr>
          <w:p w14:paraId="0493F6B7" w14:textId="77777777" w:rsidR="00C22682" w:rsidRDefault="00C22682" w:rsidP="00346EFB">
            <w:pPr>
              <w:pStyle w:val="Tabletext1"/>
            </w:pPr>
            <w:r w:rsidRPr="000561C5">
              <w:rPr>
                <w:color w:val="000000"/>
              </w:rPr>
              <w:t>IV</w:t>
            </w:r>
          </w:p>
        </w:tc>
        <w:tc>
          <w:tcPr>
            <w:tcW w:w="1255" w:type="pct"/>
            <w:shd w:val="clear" w:color="auto" w:fill="FFFFFF" w:themeFill="background1"/>
          </w:tcPr>
          <w:p w14:paraId="3B6C8048" w14:textId="77777777" w:rsidR="00C22682" w:rsidRPr="00AC1100" w:rsidRDefault="00C22682" w:rsidP="00346EFB">
            <w:pPr>
              <w:pStyle w:val="Tabletext1"/>
              <w:rPr>
                <w:color w:val="000000"/>
              </w:rPr>
            </w:pPr>
            <w:r>
              <w:rPr>
                <w:color w:val="000000"/>
              </w:rPr>
              <w:t>9</w:t>
            </w:r>
            <w:r w:rsidRPr="00AC1100">
              <w:rPr>
                <w:color w:val="000000"/>
              </w:rPr>
              <w:t>/</w:t>
            </w:r>
            <w:r>
              <w:rPr>
                <w:color w:val="000000"/>
              </w:rPr>
              <w:t>80 (11</w:t>
            </w:r>
            <w:r w:rsidRPr="00AC1100">
              <w:rPr>
                <w:color w:val="000000"/>
              </w:rPr>
              <w:t>)</w:t>
            </w:r>
          </w:p>
        </w:tc>
        <w:tc>
          <w:tcPr>
            <w:tcW w:w="1388" w:type="pct"/>
            <w:shd w:val="clear" w:color="auto" w:fill="FFFFFF" w:themeFill="background1"/>
          </w:tcPr>
          <w:p w14:paraId="4C820DAB" w14:textId="77777777" w:rsidR="00C22682" w:rsidRPr="00AC1100" w:rsidRDefault="00C22682" w:rsidP="00346EFB">
            <w:pPr>
              <w:pStyle w:val="Tabletext1"/>
              <w:rPr>
                <w:color w:val="000000"/>
              </w:rPr>
            </w:pPr>
            <w:r>
              <w:rPr>
                <w:color w:val="000000"/>
              </w:rPr>
              <w:t>4</w:t>
            </w:r>
            <w:r w:rsidRPr="00AC1100">
              <w:rPr>
                <w:color w:val="000000"/>
              </w:rPr>
              <w:t>/</w:t>
            </w:r>
            <w:r>
              <w:rPr>
                <w:color w:val="000000"/>
              </w:rPr>
              <w:t>80 (5</w:t>
            </w:r>
            <w:r w:rsidRPr="00AC1100">
              <w:rPr>
                <w:color w:val="000000"/>
              </w:rPr>
              <w:t>)</w:t>
            </w:r>
          </w:p>
        </w:tc>
      </w:tr>
      <w:tr w:rsidR="00C22682" w:rsidRPr="0069748F" w14:paraId="5FA7E1E6" w14:textId="77777777" w:rsidTr="00C17408">
        <w:tc>
          <w:tcPr>
            <w:tcW w:w="1321" w:type="pct"/>
            <w:tcBorders>
              <w:bottom w:val="single" w:sz="4" w:space="0" w:color="auto"/>
            </w:tcBorders>
            <w:shd w:val="clear" w:color="auto" w:fill="auto"/>
            <w:vAlign w:val="center"/>
          </w:tcPr>
          <w:p w14:paraId="74DFCFAB" w14:textId="77777777" w:rsidR="00C22682" w:rsidRPr="000D29BC" w:rsidRDefault="00C22682" w:rsidP="00346EFB">
            <w:pPr>
              <w:pStyle w:val="Tabletext1"/>
              <w:rPr>
                <w:color w:val="000000"/>
              </w:rPr>
            </w:pPr>
            <w:r>
              <w:rPr>
                <w:color w:val="000000"/>
              </w:rPr>
              <w:t>De Baere et al (2015)</w:t>
            </w:r>
          </w:p>
        </w:tc>
        <w:tc>
          <w:tcPr>
            <w:tcW w:w="1036" w:type="pct"/>
            <w:tcBorders>
              <w:bottom w:val="single" w:sz="4" w:space="0" w:color="auto"/>
            </w:tcBorders>
            <w:shd w:val="clear" w:color="auto" w:fill="auto"/>
          </w:tcPr>
          <w:p w14:paraId="492ECB28"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23349713" w14:textId="77777777" w:rsidR="00C22682" w:rsidRPr="00AC1100" w:rsidRDefault="00C22682" w:rsidP="00346EFB">
            <w:pPr>
              <w:pStyle w:val="Tabletext1"/>
              <w:rPr>
                <w:color w:val="000000"/>
              </w:rPr>
            </w:pPr>
            <w:r>
              <w:rPr>
                <w:color w:val="000000"/>
              </w:rPr>
              <w:t>430</w:t>
            </w:r>
            <w:r w:rsidRPr="00AC1100">
              <w:rPr>
                <w:color w:val="000000"/>
              </w:rPr>
              <w:t>/</w:t>
            </w:r>
            <w:r>
              <w:rPr>
                <w:color w:val="000000"/>
              </w:rPr>
              <w:t>642</w:t>
            </w:r>
            <w:r w:rsidRPr="00AC1100">
              <w:rPr>
                <w:color w:val="000000"/>
              </w:rPr>
              <w:t xml:space="preserve"> (</w:t>
            </w:r>
            <w:r>
              <w:rPr>
                <w:color w:val="000000"/>
              </w:rPr>
              <w:t>67</w:t>
            </w:r>
            <w:r w:rsidRPr="00AC1100">
              <w:rPr>
                <w:color w:val="000000"/>
              </w:rPr>
              <w:t>)</w:t>
            </w:r>
          </w:p>
        </w:tc>
        <w:tc>
          <w:tcPr>
            <w:tcW w:w="1388" w:type="pct"/>
            <w:tcBorders>
              <w:bottom w:val="single" w:sz="4" w:space="0" w:color="auto"/>
            </w:tcBorders>
            <w:shd w:val="clear" w:color="auto" w:fill="FFFFFF" w:themeFill="background1"/>
          </w:tcPr>
          <w:p w14:paraId="339469B4" w14:textId="77777777" w:rsidR="00C22682" w:rsidRPr="00AC1100" w:rsidRDefault="00C22682" w:rsidP="00346EFB">
            <w:pPr>
              <w:pStyle w:val="Tabletext1"/>
              <w:rPr>
                <w:color w:val="000000"/>
              </w:rPr>
            </w:pPr>
            <w:r>
              <w:rPr>
                <w:color w:val="000000"/>
              </w:rPr>
              <w:t>250</w:t>
            </w:r>
            <w:r w:rsidRPr="00AC1100">
              <w:rPr>
                <w:color w:val="000000"/>
              </w:rPr>
              <w:t>/</w:t>
            </w:r>
            <w:r>
              <w:rPr>
                <w:color w:val="000000"/>
              </w:rPr>
              <w:t>642</w:t>
            </w:r>
            <w:r w:rsidRPr="00AC1100">
              <w:rPr>
                <w:color w:val="000000"/>
              </w:rPr>
              <w:t xml:space="preserve"> (</w:t>
            </w:r>
            <w:r>
              <w:rPr>
                <w:color w:val="000000"/>
              </w:rPr>
              <w:t>39</w:t>
            </w:r>
            <w:r w:rsidRPr="00AC1100">
              <w:rPr>
                <w:color w:val="000000"/>
              </w:rPr>
              <w:t>)</w:t>
            </w:r>
          </w:p>
        </w:tc>
      </w:tr>
      <w:tr w:rsidR="00C22682" w:rsidRPr="0069748F" w14:paraId="323DF553" w14:textId="77777777" w:rsidTr="00C17408">
        <w:tc>
          <w:tcPr>
            <w:tcW w:w="1321" w:type="pct"/>
            <w:tcBorders>
              <w:bottom w:val="single" w:sz="4" w:space="0" w:color="auto"/>
            </w:tcBorders>
            <w:shd w:val="clear" w:color="auto" w:fill="auto"/>
            <w:vAlign w:val="center"/>
          </w:tcPr>
          <w:p w14:paraId="469227A5" w14:textId="77777777" w:rsidR="00C22682" w:rsidRPr="000D29BC" w:rsidRDefault="00C22682" w:rsidP="00346EFB">
            <w:pPr>
              <w:pStyle w:val="Tabletext1"/>
              <w:rPr>
                <w:color w:val="000000"/>
              </w:rPr>
            </w:pPr>
            <w:r>
              <w:rPr>
                <w:color w:val="000000"/>
              </w:rPr>
              <w:t>Fanucchi et al (2016)</w:t>
            </w:r>
          </w:p>
        </w:tc>
        <w:tc>
          <w:tcPr>
            <w:tcW w:w="1036" w:type="pct"/>
            <w:tcBorders>
              <w:bottom w:val="single" w:sz="4" w:space="0" w:color="auto"/>
            </w:tcBorders>
            <w:shd w:val="clear" w:color="auto" w:fill="auto"/>
          </w:tcPr>
          <w:p w14:paraId="7007BEC7"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742ED053" w14:textId="77777777" w:rsidR="00C22682" w:rsidRPr="00AC1100" w:rsidRDefault="00C22682" w:rsidP="00346EFB">
            <w:pPr>
              <w:pStyle w:val="Tabletext1"/>
              <w:rPr>
                <w:color w:val="000000"/>
              </w:rPr>
            </w:pPr>
            <w:r>
              <w:rPr>
                <w:color w:val="000000"/>
              </w:rPr>
              <w:t>9</w:t>
            </w:r>
            <w:r w:rsidRPr="00AC1100">
              <w:rPr>
                <w:color w:val="000000"/>
              </w:rPr>
              <w:t>/</w:t>
            </w:r>
            <w:r>
              <w:rPr>
                <w:color w:val="000000"/>
              </w:rPr>
              <w:t>99</w:t>
            </w:r>
            <w:r w:rsidRPr="00AC1100">
              <w:rPr>
                <w:color w:val="000000"/>
              </w:rPr>
              <w:t xml:space="preserve"> (</w:t>
            </w:r>
            <w:r>
              <w:rPr>
                <w:color w:val="000000"/>
              </w:rPr>
              <w:t>9</w:t>
            </w:r>
            <w:r w:rsidRPr="00AC1100">
              <w:rPr>
                <w:color w:val="000000"/>
              </w:rPr>
              <w:t>)</w:t>
            </w:r>
          </w:p>
        </w:tc>
        <w:tc>
          <w:tcPr>
            <w:tcW w:w="1388" w:type="pct"/>
            <w:tcBorders>
              <w:bottom w:val="single" w:sz="4" w:space="0" w:color="auto"/>
            </w:tcBorders>
            <w:shd w:val="clear" w:color="auto" w:fill="FFFFFF" w:themeFill="background1"/>
          </w:tcPr>
          <w:p w14:paraId="42FB000E" w14:textId="77777777" w:rsidR="00C22682" w:rsidRPr="00AC1100" w:rsidRDefault="00C22682" w:rsidP="00346EFB">
            <w:pPr>
              <w:pStyle w:val="Tabletext1"/>
              <w:rPr>
                <w:color w:val="000000"/>
              </w:rPr>
            </w:pPr>
            <w:r>
              <w:rPr>
                <w:color w:val="000000"/>
              </w:rPr>
              <w:t>8</w:t>
            </w:r>
            <w:r w:rsidRPr="00AC1100">
              <w:rPr>
                <w:color w:val="000000"/>
              </w:rPr>
              <w:t>/</w:t>
            </w:r>
            <w:r>
              <w:rPr>
                <w:color w:val="000000"/>
              </w:rPr>
              <w:t>99</w:t>
            </w:r>
            <w:r w:rsidRPr="00AC1100">
              <w:rPr>
                <w:color w:val="000000"/>
              </w:rPr>
              <w:t xml:space="preserve"> (</w:t>
            </w:r>
            <w:r>
              <w:rPr>
                <w:color w:val="000000"/>
              </w:rPr>
              <w:t>8</w:t>
            </w:r>
            <w:r w:rsidRPr="00AC1100">
              <w:rPr>
                <w:color w:val="000000"/>
              </w:rPr>
              <w:t>)</w:t>
            </w:r>
          </w:p>
        </w:tc>
      </w:tr>
      <w:tr w:rsidR="00C22682" w:rsidRPr="0069748F" w14:paraId="35FA437F" w14:textId="77777777" w:rsidTr="00C17408">
        <w:tc>
          <w:tcPr>
            <w:tcW w:w="1321" w:type="pct"/>
            <w:tcBorders>
              <w:bottom w:val="single" w:sz="4" w:space="0" w:color="auto"/>
            </w:tcBorders>
            <w:shd w:val="clear" w:color="auto" w:fill="auto"/>
            <w:vAlign w:val="center"/>
          </w:tcPr>
          <w:p w14:paraId="0DF93BA2" w14:textId="77777777" w:rsidR="00C22682" w:rsidRPr="000D29BC" w:rsidRDefault="00C22682" w:rsidP="00346EFB">
            <w:pPr>
              <w:pStyle w:val="Tabletext1"/>
              <w:rPr>
                <w:color w:val="000000"/>
              </w:rPr>
            </w:pPr>
            <w:r>
              <w:rPr>
                <w:color w:val="000000"/>
              </w:rPr>
              <w:t>Hiraki et al (2011a)</w:t>
            </w:r>
          </w:p>
        </w:tc>
        <w:tc>
          <w:tcPr>
            <w:tcW w:w="1036" w:type="pct"/>
            <w:tcBorders>
              <w:bottom w:val="single" w:sz="4" w:space="0" w:color="auto"/>
            </w:tcBorders>
            <w:shd w:val="clear" w:color="auto" w:fill="auto"/>
          </w:tcPr>
          <w:p w14:paraId="2D717E75"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760D28B7" w14:textId="77777777" w:rsidR="00C22682" w:rsidRPr="00AC1100" w:rsidRDefault="00C22682" w:rsidP="00346EFB">
            <w:pPr>
              <w:pStyle w:val="Tabletext1"/>
              <w:rPr>
                <w:color w:val="000000"/>
              </w:rPr>
            </w:pPr>
            <w:r>
              <w:rPr>
                <w:color w:val="000000"/>
              </w:rPr>
              <w:t>25</w:t>
            </w:r>
            <w:r w:rsidRPr="00AC1100">
              <w:rPr>
                <w:color w:val="000000"/>
              </w:rPr>
              <w:t>/</w:t>
            </w:r>
            <w:r>
              <w:rPr>
                <w:color w:val="000000"/>
              </w:rPr>
              <w:t>52</w:t>
            </w:r>
            <w:r w:rsidRPr="00AC1100">
              <w:rPr>
                <w:color w:val="000000"/>
              </w:rPr>
              <w:t xml:space="preserve"> (</w:t>
            </w:r>
            <w:r>
              <w:rPr>
                <w:color w:val="000000"/>
              </w:rPr>
              <w:t>48</w:t>
            </w:r>
            <w:r w:rsidRPr="00AC1100">
              <w:rPr>
                <w:color w:val="000000"/>
              </w:rPr>
              <w:t>)</w:t>
            </w:r>
          </w:p>
        </w:tc>
        <w:tc>
          <w:tcPr>
            <w:tcW w:w="1388" w:type="pct"/>
            <w:tcBorders>
              <w:bottom w:val="single" w:sz="4" w:space="0" w:color="auto"/>
            </w:tcBorders>
            <w:shd w:val="clear" w:color="auto" w:fill="FFFFFF" w:themeFill="background1"/>
          </w:tcPr>
          <w:p w14:paraId="71DFE8FE" w14:textId="77777777" w:rsidR="00C22682" w:rsidRPr="00AC1100" w:rsidRDefault="00C22682" w:rsidP="00346EFB">
            <w:pPr>
              <w:pStyle w:val="Tabletext1"/>
              <w:rPr>
                <w:color w:val="000000"/>
              </w:rPr>
            </w:pPr>
            <w:r>
              <w:rPr>
                <w:color w:val="000000"/>
              </w:rPr>
              <w:t>3</w:t>
            </w:r>
            <w:r w:rsidRPr="00AC1100">
              <w:rPr>
                <w:color w:val="000000"/>
              </w:rPr>
              <w:t>/</w:t>
            </w:r>
            <w:r>
              <w:rPr>
                <w:color w:val="000000"/>
              </w:rPr>
              <w:t>52</w:t>
            </w:r>
            <w:r w:rsidRPr="00AC1100">
              <w:rPr>
                <w:color w:val="000000"/>
              </w:rPr>
              <w:t xml:space="preserve"> (</w:t>
            </w:r>
            <w:r>
              <w:rPr>
                <w:color w:val="000000"/>
              </w:rPr>
              <w:t>6</w:t>
            </w:r>
            <w:r w:rsidRPr="00AC1100">
              <w:rPr>
                <w:color w:val="000000"/>
              </w:rPr>
              <w:t>)</w:t>
            </w:r>
          </w:p>
        </w:tc>
      </w:tr>
      <w:tr w:rsidR="00C22682" w:rsidRPr="0069748F" w14:paraId="22CD1F85" w14:textId="77777777" w:rsidTr="00C17408">
        <w:tc>
          <w:tcPr>
            <w:tcW w:w="1321" w:type="pct"/>
            <w:shd w:val="clear" w:color="auto" w:fill="auto"/>
            <w:vAlign w:val="center"/>
          </w:tcPr>
          <w:p w14:paraId="5CFC3647" w14:textId="77777777" w:rsidR="00C22682" w:rsidRPr="000D29BC" w:rsidRDefault="00C22682" w:rsidP="00346EFB">
            <w:pPr>
              <w:pStyle w:val="Tabletext1"/>
              <w:rPr>
                <w:color w:val="000000"/>
              </w:rPr>
            </w:pPr>
            <w:r>
              <w:rPr>
                <w:color w:val="000000"/>
              </w:rPr>
              <w:t>Hiraki et al (2011b)</w:t>
            </w:r>
          </w:p>
        </w:tc>
        <w:tc>
          <w:tcPr>
            <w:tcW w:w="1036" w:type="pct"/>
            <w:shd w:val="clear" w:color="auto" w:fill="auto"/>
          </w:tcPr>
          <w:p w14:paraId="52BB2526" w14:textId="77777777" w:rsidR="00C22682" w:rsidRDefault="00C22682" w:rsidP="00346EFB">
            <w:pPr>
              <w:pStyle w:val="Tabletext1"/>
            </w:pPr>
            <w:r w:rsidRPr="000561C5">
              <w:rPr>
                <w:color w:val="000000"/>
              </w:rPr>
              <w:t>IV</w:t>
            </w:r>
          </w:p>
        </w:tc>
        <w:tc>
          <w:tcPr>
            <w:tcW w:w="1255" w:type="pct"/>
            <w:shd w:val="clear" w:color="auto" w:fill="FFFFFF" w:themeFill="background1"/>
          </w:tcPr>
          <w:p w14:paraId="708CF719" w14:textId="77777777" w:rsidR="00C22682" w:rsidRPr="00AC1100" w:rsidRDefault="00C22682" w:rsidP="00346EFB">
            <w:pPr>
              <w:pStyle w:val="Tabletext1"/>
              <w:rPr>
                <w:color w:val="000000"/>
              </w:rPr>
            </w:pPr>
            <w:r>
              <w:rPr>
                <w:color w:val="000000"/>
              </w:rPr>
              <w:t>38</w:t>
            </w:r>
            <w:r w:rsidRPr="00AC1100">
              <w:rPr>
                <w:color w:val="000000"/>
              </w:rPr>
              <w:t>/</w:t>
            </w:r>
            <w:r>
              <w:rPr>
                <w:color w:val="000000"/>
              </w:rPr>
              <w:t>65</w:t>
            </w:r>
            <w:r w:rsidRPr="00AC1100">
              <w:rPr>
                <w:color w:val="000000"/>
              </w:rPr>
              <w:t xml:space="preserve"> (</w:t>
            </w:r>
            <w:r>
              <w:rPr>
                <w:color w:val="000000"/>
              </w:rPr>
              <w:t>58</w:t>
            </w:r>
            <w:r w:rsidRPr="00AC1100">
              <w:rPr>
                <w:color w:val="000000"/>
              </w:rPr>
              <w:t>)</w:t>
            </w:r>
          </w:p>
        </w:tc>
        <w:tc>
          <w:tcPr>
            <w:tcW w:w="1388" w:type="pct"/>
            <w:shd w:val="clear" w:color="auto" w:fill="FFFFFF" w:themeFill="background1"/>
          </w:tcPr>
          <w:p w14:paraId="6AF0612E" w14:textId="77777777" w:rsidR="00C22682" w:rsidRPr="00AC1100" w:rsidRDefault="00C22682" w:rsidP="00346EFB">
            <w:pPr>
              <w:pStyle w:val="Tabletext1"/>
              <w:rPr>
                <w:color w:val="000000"/>
              </w:rPr>
            </w:pPr>
            <w:r>
              <w:rPr>
                <w:color w:val="000000"/>
              </w:rPr>
              <w:t>15</w:t>
            </w:r>
            <w:r w:rsidRPr="00AC1100">
              <w:rPr>
                <w:color w:val="000000"/>
              </w:rPr>
              <w:t>/</w:t>
            </w:r>
            <w:r>
              <w:rPr>
                <w:color w:val="000000"/>
              </w:rPr>
              <w:t>65</w:t>
            </w:r>
            <w:r w:rsidRPr="00AC1100">
              <w:rPr>
                <w:color w:val="000000"/>
              </w:rPr>
              <w:t xml:space="preserve"> (</w:t>
            </w:r>
            <w:r>
              <w:rPr>
                <w:color w:val="000000"/>
              </w:rPr>
              <w:t>23</w:t>
            </w:r>
            <w:r w:rsidRPr="00AC1100">
              <w:rPr>
                <w:color w:val="000000"/>
              </w:rPr>
              <w:t>)</w:t>
            </w:r>
          </w:p>
        </w:tc>
      </w:tr>
      <w:tr w:rsidR="00C22682" w:rsidRPr="0069748F" w14:paraId="2B10AD00" w14:textId="77777777" w:rsidTr="00C17408">
        <w:tc>
          <w:tcPr>
            <w:tcW w:w="1321" w:type="pct"/>
            <w:shd w:val="clear" w:color="auto" w:fill="auto"/>
            <w:vAlign w:val="center"/>
          </w:tcPr>
          <w:p w14:paraId="323EE3E5" w14:textId="77777777" w:rsidR="00C22682" w:rsidRPr="000D29BC" w:rsidRDefault="00C22682" w:rsidP="00346EFB">
            <w:pPr>
              <w:pStyle w:val="Tabletext1"/>
              <w:rPr>
                <w:color w:val="000000"/>
              </w:rPr>
            </w:pPr>
            <w:r>
              <w:rPr>
                <w:color w:val="000000"/>
              </w:rPr>
              <w:t>Koelblinger et al (2014)</w:t>
            </w:r>
          </w:p>
        </w:tc>
        <w:tc>
          <w:tcPr>
            <w:tcW w:w="1036" w:type="pct"/>
            <w:shd w:val="clear" w:color="auto" w:fill="auto"/>
          </w:tcPr>
          <w:p w14:paraId="31B992F9" w14:textId="77777777" w:rsidR="00C22682" w:rsidRDefault="00C22682" w:rsidP="00346EFB">
            <w:pPr>
              <w:pStyle w:val="Tabletext1"/>
            </w:pPr>
            <w:r w:rsidRPr="000561C5">
              <w:rPr>
                <w:color w:val="000000"/>
              </w:rPr>
              <w:t>IV</w:t>
            </w:r>
          </w:p>
        </w:tc>
        <w:tc>
          <w:tcPr>
            <w:tcW w:w="1255" w:type="pct"/>
            <w:shd w:val="clear" w:color="auto" w:fill="FFFFFF" w:themeFill="background1"/>
          </w:tcPr>
          <w:p w14:paraId="37481893" w14:textId="77777777" w:rsidR="00C22682" w:rsidRPr="009E39BC" w:rsidRDefault="005E1A24" w:rsidP="00346EFB">
            <w:pPr>
              <w:pStyle w:val="Tabletext1"/>
              <w:rPr>
                <w:color w:val="000000"/>
              </w:rPr>
            </w:pPr>
            <w:r>
              <w:rPr>
                <w:color w:val="000000"/>
              </w:rPr>
              <w:t>3/30 (10</w:t>
            </w:r>
            <w:r w:rsidR="00C22682" w:rsidRPr="009E39BC">
              <w:rPr>
                <w:color w:val="000000"/>
              </w:rPr>
              <w:t>)</w:t>
            </w:r>
          </w:p>
        </w:tc>
        <w:tc>
          <w:tcPr>
            <w:tcW w:w="1388" w:type="pct"/>
            <w:shd w:val="clear" w:color="auto" w:fill="FFFFFF" w:themeFill="background1"/>
          </w:tcPr>
          <w:p w14:paraId="63E38921" w14:textId="77777777" w:rsidR="00C22682" w:rsidRPr="009E39BC" w:rsidRDefault="005E1A24" w:rsidP="00346EFB">
            <w:pPr>
              <w:pStyle w:val="Tabletext1"/>
              <w:rPr>
                <w:color w:val="000000"/>
              </w:rPr>
            </w:pPr>
            <w:r>
              <w:rPr>
                <w:color w:val="000000"/>
              </w:rPr>
              <w:t>1/30 (3</w:t>
            </w:r>
            <w:r w:rsidR="00C22682" w:rsidRPr="009E39BC">
              <w:rPr>
                <w:color w:val="000000"/>
              </w:rPr>
              <w:t>)</w:t>
            </w:r>
          </w:p>
        </w:tc>
      </w:tr>
      <w:tr w:rsidR="00C22682" w:rsidRPr="0069748F" w14:paraId="0057FE19" w14:textId="77777777" w:rsidTr="00C17408">
        <w:tc>
          <w:tcPr>
            <w:tcW w:w="1321" w:type="pct"/>
            <w:tcBorders>
              <w:bottom w:val="single" w:sz="4" w:space="0" w:color="auto"/>
            </w:tcBorders>
            <w:shd w:val="clear" w:color="auto" w:fill="auto"/>
            <w:vAlign w:val="center"/>
          </w:tcPr>
          <w:p w14:paraId="39C9B610" w14:textId="77777777" w:rsidR="00C22682" w:rsidRPr="000D29BC" w:rsidRDefault="00C22682" w:rsidP="00346EFB">
            <w:pPr>
              <w:pStyle w:val="Tabletext1"/>
              <w:rPr>
                <w:color w:val="000000"/>
              </w:rPr>
            </w:pPr>
            <w:r>
              <w:rPr>
                <w:color w:val="000000"/>
              </w:rPr>
              <w:t>Lanuti et al (2012)</w:t>
            </w:r>
          </w:p>
        </w:tc>
        <w:tc>
          <w:tcPr>
            <w:tcW w:w="1036" w:type="pct"/>
            <w:tcBorders>
              <w:bottom w:val="single" w:sz="4" w:space="0" w:color="auto"/>
            </w:tcBorders>
            <w:shd w:val="clear" w:color="auto" w:fill="auto"/>
          </w:tcPr>
          <w:p w14:paraId="0A5A4E38"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45777BFB" w14:textId="77777777" w:rsidR="00C22682" w:rsidRPr="009E39BC" w:rsidRDefault="005E1A24" w:rsidP="00346EFB">
            <w:pPr>
              <w:pStyle w:val="Tabletext1"/>
              <w:rPr>
                <w:color w:val="000000"/>
              </w:rPr>
            </w:pPr>
            <w:r>
              <w:rPr>
                <w:color w:val="000000"/>
              </w:rPr>
              <w:t>10/55 (18</w:t>
            </w:r>
            <w:r w:rsidR="00C22682" w:rsidRPr="009E39BC">
              <w:rPr>
                <w:color w:val="000000"/>
              </w:rPr>
              <w:t>)</w:t>
            </w:r>
          </w:p>
        </w:tc>
        <w:tc>
          <w:tcPr>
            <w:tcW w:w="1388" w:type="pct"/>
            <w:tcBorders>
              <w:bottom w:val="single" w:sz="4" w:space="0" w:color="auto"/>
            </w:tcBorders>
            <w:shd w:val="clear" w:color="auto" w:fill="FFFFFF" w:themeFill="background1"/>
          </w:tcPr>
          <w:p w14:paraId="13DC2A85" w14:textId="77777777" w:rsidR="00C22682" w:rsidRPr="009E39BC" w:rsidRDefault="005E1A24" w:rsidP="00346EFB">
            <w:pPr>
              <w:pStyle w:val="Tabletext1"/>
              <w:rPr>
                <w:color w:val="000000"/>
              </w:rPr>
            </w:pPr>
            <w:r>
              <w:rPr>
                <w:color w:val="000000"/>
              </w:rPr>
              <w:t>1/55 (2</w:t>
            </w:r>
            <w:r w:rsidR="00C22682" w:rsidRPr="009E39BC">
              <w:rPr>
                <w:color w:val="000000"/>
              </w:rPr>
              <w:t>)</w:t>
            </w:r>
          </w:p>
        </w:tc>
      </w:tr>
      <w:tr w:rsidR="00C22682" w:rsidRPr="0069748F" w14:paraId="1202131C" w14:textId="77777777" w:rsidTr="00C17408">
        <w:tc>
          <w:tcPr>
            <w:tcW w:w="1321" w:type="pct"/>
            <w:tcBorders>
              <w:bottom w:val="single" w:sz="4" w:space="0" w:color="auto"/>
            </w:tcBorders>
            <w:shd w:val="clear" w:color="auto" w:fill="auto"/>
            <w:vAlign w:val="center"/>
          </w:tcPr>
          <w:p w14:paraId="4ABBA706" w14:textId="77777777" w:rsidR="00C22682" w:rsidRPr="000D29BC" w:rsidRDefault="00C22682" w:rsidP="00346EFB">
            <w:pPr>
              <w:pStyle w:val="Tabletext1"/>
              <w:rPr>
                <w:color w:val="000000"/>
              </w:rPr>
            </w:pPr>
            <w:r>
              <w:rPr>
                <w:color w:val="000000"/>
              </w:rPr>
              <w:t>Li et al (2012)</w:t>
            </w:r>
          </w:p>
        </w:tc>
        <w:tc>
          <w:tcPr>
            <w:tcW w:w="1036" w:type="pct"/>
            <w:tcBorders>
              <w:bottom w:val="single" w:sz="4" w:space="0" w:color="auto"/>
            </w:tcBorders>
            <w:shd w:val="clear" w:color="auto" w:fill="auto"/>
          </w:tcPr>
          <w:p w14:paraId="1C0375E3"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4BCE4C1F" w14:textId="4721D895" w:rsidR="00C22682" w:rsidRPr="00AC1100" w:rsidRDefault="00C22682" w:rsidP="00346EFB">
            <w:pPr>
              <w:pStyle w:val="Tabletext1"/>
              <w:rPr>
                <w:color w:val="000000"/>
              </w:rPr>
            </w:pPr>
            <w:r>
              <w:rPr>
                <w:color w:val="000000"/>
              </w:rPr>
              <w:t>5</w:t>
            </w:r>
            <w:r w:rsidRPr="00AC1100">
              <w:rPr>
                <w:color w:val="000000"/>
              </w:rPr>
              <w:t>/</w:t>
            </w:r>
            <w:r>
              <w:rPr>
                <w:color w:val="000000"/>
              </w:rPr>
              <w:t>56</w:t>
            </w:r>
            <w:r w:rsidRPr="00AC1100">
              <w:rPr>
                <w:color w:val="000000"/>
              </w:rPr>
              <w:t xml:space="preserve"> (</w:t>
            </w:r>
            <w:r>
              <w:rPr>
                <w:color w:val="000000"/>
              </w:rPr>
              <w:t>9</w:t>
            </w:r>
            <w:r w:rsidRPr="00AC1100">
              <w:rPr>
                <w:color w:val="000000"/>
              </w:rPr>
              <w:t>)</w:t>
            </w:r>
            <w:r w:rsidR="00FF5480" w:rsidRPr="00FF5480">
              <w:rPr>
                <w:color w:val="000000"/>
                <w:vertAlign w:val="superscript"/>
              </w:rPr>
              <w:t>a</w:t>
            </w:r>
          </w:p>
        </w:tc>
        <w:tc>
          <w:tcPr>
            <w:tcW w:w="1388" w:type="pct"/>
            <w:tcBorders>
              <w:bottom w:val="single" w:sz="4" w:space="0" w:color="auto"/>
            </w:tcBorders>
            <w:shd w:val="clear" w:color="auto" w:fill="FFFFFF" w:themeFill="background1"/>
          </w:tcPr>
          <w:p w14:paraId="444B261E" w14:textId="77777777" w:rsidR="00C22682" w:rsidRPr="00AC1100" w:rsidRDefault="00C22682" w:rsidP="00346EFB">
            <w:pPr>
              <w:pStyle w:val="Tabletext1"/>
              <w:rPr>
                <w:color w:val="000000"/>
              </w:rPr>
            </w:pPr>
            <w:r>
              <w:rPr>
                <w:color w:val="000000"/>
              </w:rPr>
              <w:t>5</w:t>
            </w:r>
            <w:r w:rsidRPr="00AC1100">
              <w:rPr>
                <w:color w:val="000000"/>
              </w:rPr>
              <w:t>/</w:t>
            </w:r>
            <w:r>
              <w:rPr>
                <w:color w:val="000000"/>
              </w:rPr>
              <w:t>56</w:t>
            </w:r>
            <w:r w:rsidRPr="00AC1100">
              <w:rPr>
                <w:color w:val="000000"/>
              </w:rPr>
              <w:t xml:space="preserve"> (</w:t>
            </w:r>
            <w:r>
              <w:rPr>
                <w:color w:val="000000"/>
              </w:rPr>
              <w:t>9</w:t>
            </w:r>
            <w:r w:rsidRPr="00AC1100">
              <w:rPr>
                <w:color w:val="000000"/>
              </w:rPr>
              <w:t>)</w:t>
            </w:r>
          </w:p>
        </w:tc>
      </w:tr>
      <w:tr w:rsidR="00C22682" w:rsidRPr="0069748F" w14:paraId="44E08E61" w14:textId="77777777" w:rsidTr="00C17408">
        <w:tc>
          <w:tcPr>
            <w:tcW w:w="1321" w:type="pct"/>
            <w:tcBorders>
              <w:bottom w:val="single" w:sz="4" w:space="0" w:color="auto"/>
            </w:tcBorders>
            <w:shd w:val="clear" w:color="auto" w:fill="auto"/>
            <w:vAlign w:val="center"/>
          </w:tcPr>
          <w:p w14:paraId="74A3D436" w14:textId="77777777" w:rsidR="00C22682" w:rsidRPr="000D29BC" w:rsidRDefault="00C22682" w:rsidP="00346EFB">
            <w:pPr>
              <w:pStyle w:val="Tabletext1"/>
              <w:rPr>
                <w:color w:val="000000"/>
              </w:rPr>
            </w:pPr>
            <w:r>
              <w:rPr>
                <w:color w:val="000000"/>
              </w:rPr>
              <w:t>Liu et al (2015)</w:t>
            </w:r>
          </w:p>
        </w:tc>
        <w:tc>
          <w:tcPr>
            <w:tcW w:w="1036" w:type="pct"/>
            <w:tcBorders>
              <w:bottom w:val="single" w:sz="4" w:space="0" w:color="auto"/>
            </w:tcBorders>
            <w:shd w:val="clear" w:color="auto" w:fill="auto"/>
          </w:tcPr>
          <w:p w14:paraId="4C1120EA"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4828903E" w14:textId="77777777" w:rsidR="00C22682" w:rsidRPr="00AC1100" w:rsidRDefault="00C22682" w:rsidP="00346EFB">
            <w:pPr>
              <w:pStyle w:val="Tabletext1"/>
              <w:rPr>
                <w:color w:val="000000"/>
              </w:rPr>
            </w:pPr>
            <w:r>
              <w:rPr>
                <w:color w:val="000000"/>
              </w:rPr>
              <w:t>8</w:t>
            </w:r>
            <w:r w:rsidRPr="00AC1100">
              <w:rPr>
                <w:color w:val="000000"/>
              </w:rPr>
              <w:t>/</w:t>
            </w:r>
            <w:r>
              <w:rPr>
                <w:color w:val="000000"/>
              </w:rPr>
              <w:t>33</w:t>
            </w:r>
            <w:r w:rsidRPr="00AC1100">
              <w:rPr>
                <w:color w:val="000000"/>
              </w:rPr>
              <w:t xml:space="preserve"> (</w:t>
            </w:r>
            <w:r>
              <w:rPr>
                <w:color w:val="000000"/>
              </w:rPr>
              <w:t>24</w:t>
            </w:r>
            <w:r w:rsidRPr="00AC1100">
              <w:rPr>
                <w:color w:val="000000"/>
              </w:rPr>
              <w:t>)</w:t>
            </w:r>
          </w:p>
        </w:tc>
        <w:tc>
          <w:tcPr>
            <w:tcW w:w="1388" w:type="pct"/>
            <w:tcBorders>
              <w:bottom w:val="single" w:sz="4" w:space="0" w:color="auto"/>
            </w:tcBorders>
            <w:shd w:val="clear" w:color="auto" w:fill="FFFFFF" w:themeFill="background1"/>
          </w:tcPr>
          <w:p w14:paraId="57326F31" w14:textId="77777777" w:rsidR="00C22682" w:rsidRPr="00AC1100" w:rsidRDefault="00C22682" w:rsidP="00346EFB">
            <w:pPr>
              <w:pStyle w:val="Tabletext1"/>
              <w:rPr>
                <w:color w:val="000000"/>
              </w:rPr>
            </w:pPr>
            <w:r>
              <w:rPr>
                <w:color w:val="000000"/>
              </w:rPr>
              <w:t>3</w:t>
            </w:r>
            <w:r w:rsidRPr="00AC1100">
              <w:rPr>
                <w:color w:val="000000"/>
              </w:rPr>
              <w:t>/</w:t>
            </w:r>
            <w:r>
              <w:rPr>
                <w:color w:val="000000"/>
              </w:rPr>
              <w:t>33</w:t>
            </w:r>
            <w:r w:rsidRPr="00AC1100">
              <w:rPr>
                <w:color w:val="000000"/>
              </w:rPr>
              <w:t xml:space="preserve"> (</w:t>
            </w:r>
            <w:r>
              <w:rPr>
                <w:color w:val="000000"/>
              </w:rPr>
              <w:t>9</w:t>
            </w:r>
            <w:r w:rsidRPr="00AC1100">
              <w:rPr>
                <w:color w:val="000000"/>
              </w:rPr>
              <w:t>)</w:t>
            </w:r>
          </w:p>
        </w:tc>
      </w:tr>
      <w:tr w:rsidR="00C22682" w:rsidRPr="0069748F" w14:paraId="004B9491" w14:textId="77777777" w:rsidTr="00C17408">
        <w:tc>
          <w:tcPr>
            <w:tcW w:w="1321" w:type="pct"/>
            <w:tcBorders>
              <w:bottom w:val="single" w:sz="4" w:space="0" w:color="auto"/>
            </w:tcBorders>
            <w:shd w:val="clear" w:color="auto" w:fill="auto"/>
            <w:vAlign w:val="center"/>
          </w:tcPr>
          <w:p w14:paraId="75C3086F" w14:textId="77777777" w:rsidR="00C22682" w:rsidRPr="000D29BC" w:rsidRDefault="00C22682" w:rsidP="00346EFB">
            <w:pPr>
              <w:pStyle w:val="Tabletext1"/>
              <w:rPr>
                <w:color w:val="000000"/>
              </w:rPr>
            </w:pPr>
            <w:r>
              <w:rPr>
                <w:color w:val="000000"/>
              </w:rPr>
              <w:t>Matsui et al (2015)</w:t>
            </w:r>
          </w:p>
        </w:tc>
        <w:tc>
          <w:tcPr>
            <w:tcW w:w="1036" w:type="pct"/>
            <w:tcBorders>
              <w:bottom w:val="single" w:sz="4" w:space="0" w:color="auto"/>
            </w:tcBorders>
            <w:shd w:val="clear" w:color="auto" w:fill="auto"/>
          </w:tcPr>
          <w:p w14:paraId="56278B6D"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461CAD3D" w14:textId="77777777" w:rsidR="00C22682" w:rsidRPr="00AC1100" w:rsidRDefault="00C22682" w:rsidP="00346EFB">
            <w:pPr>
              <w:pStyle w:val="Tabletext1"/>
              <w:rPr>
                <w:color w:val="000000"/>
              </w:rPr>
            </w:pPr>
            <w:r>
              <w:rPr>
                <w:color w:val="000000"/>
              </w:rPr>
              <w:t>59</w:t>
            </w:r>
            <w:r w:rsidRPr="00AC1100">
              <w:rPr>
                <w:color w:val="000000"/>
              </w:rPr>
              <w:t>/</w:t>
            </w:r>
            <w:r>
              <w:rPr>
                <w:color w:val="000000"/>
              </w:rPr>
              <w:t>113</w:t>
            </w:r>
            <w:r w:rsidRPr="00AC1100">
              <w:rPr>
                <w:color w:val="000000"/>
              </w:rPr>
              <w:t xml:space="preserve"> (</w:t>
            </w:r>
            <w:r>
              <w:rPr>
                <w:color w:val="000000"/>
              </w:rPr>
              <w:t>52</w:t>
            </w:r>
            <w:r w:rsidRPr="00AC1100">
              <w:rPr>
                <w:color w:val="000000"/>
              </w:rPr>
              <w:t>)</w:t>
            </w:r>
          </w:p>
        </w:tc>
        <w:tc>
          <w:tcPr>
            <w:tcW w:w="1388" w:type="pct"/>
            <w:tcBorders>
              <w:bottom w:val="single" w:sz="4" w:space="0" w:color="auto"/>
            </w:tcBorders>
            <w:shd w:val="clear" w:color="auto" w:fill="FFFFFF" w:themeFill="background1"/>
          </w:tcPr>
          <w:p w14:paraId="552ED26D" w14:textId="77777777" w:rsidR="00C22682" w:rsidRPr="00AC1100" w:rsidRDefault="00C22682" w:rsidP="00346EFB">
            <w:pPr>
              <w:pStyle w:val="Tabletext1"/>
              <w:rPr>
                <w:color w:val="000000"/>
              </w:rPr>
            </w:pPr>
            <w:r>
              <w:rPr>
                <w:color w:val="000000"/>
              </w:rPr>
              <w:t>15</w:t>
            </w:r>
            <w:r w:rsidRPr="00AC1100">
              <w:rPr>
                <w:color w:val="000000"/>
              </w:rPr>
              <w:t>/</w:t>
            </w:r>
            <w:r>
              <w:rPr>
                <w:color w:val="000000"/>
              </w:rPr>
              <w:t>113</w:t>
            </w:r>
            <w:r w:rsidRPr="00AC1100">
              <w:rPr>
                <w:color w:val="000000"/>
              </w:rPr>
              <w:t xml:space="preserve"> (</w:t>
            </w:r>
            <w:r>
              <w:rPr>
                <w:color w:val="000000"/>
              </w:rPr>
              <w:t>13</w:t>
            </w:r>
            <w:r w:rsidRPr="00AC1100">
              <w:rPr>
                <w:color w:val="000000"/>
              </w:rPr>
              <w:t>)</w:t>
            </w:r>
          </w:p>
        </w:tc>
      </w:tr>
      <w:tr w:rsidR="00C22682" w:rsidRPr="0069748F" w14:paraId="0E3A12BA" w14:textId="77777777" w:rsidTr="00C17408">
        <w:tc>
          <w:tcPr>
            <w:tcW w:w="1321" w:type="pct"/>
            <w:tcBorders>
              <w:bottom w:val="single" w:sz="4" w:space="0" w:color="auto"/>
            </w:tcBorders>
            <w:shd w:val="clear" w:color="auto" w:fill="auto"/>
            <w:vAlign w:val="center"/>
          </w:tcPr>
          <w:p w14:paraId="6E8F208A" w14:textId="77777777" w:rsidR="00C22682" w:rsidRPr="000D29BC" w:rsidRDefault="00C22682" w:rsidP="00346EFB">
            <w:pPr>
              <w:pStyle w:val="Tabletext1"/>
              <w:rPr>
                <w:color w:val="000000"/>
              </w:rPr>
            </w:pPr>
            <w:r>
              <w:rPr>
                <w:color w:val="000000"/>
              </w:rPr>
              <w:t>Simon et al (2007)</w:t>
            </w:r>
          </w:p>
        </w:tc>
        <w:tc>
          <w:tcPr>
            <w:tcW w:w="1036" w:type="pct"/>
            <w:tcBorders>
              <w:bottom w:val="single" w:sz="4" w:space="0" w:color="auto"/>
            </w:tcBorders>
            <w:shd w:val="clear" w:color="auto" w:fill="auto"/>
          </w:tcPr>
          <w:p w14:paraId="03E0523D" w14:textId="77777777" w:rsidR="00C22682" w:rsidRDefault="00C22682" w:rsidP="00346EFB">
            <w:pPr>
              <w:pStyle w:val="Tabletext1"/>
            </w:pPr>
            <w:r w:rsidRPr="000561C5">
              <w:rPr>
                <w:color w:val="000000"/>
              </w:rPr>
              <w:t>IV</w:t>
            </w:r>
            <w:r>
              <w:rPr>
                <w:color w:val="000000"/>
              </w:rPr>
              <w:tab/>
            </w:r>
          </w:p>
        </w:tc>
        <w:tc>
          <w:tcPr>
            <w:tcW w:w="1255" w:type="pct"/>
            <w:tcBorders>
              <w:bottom w:val="single" w:sz="4" w:space="0" w:color="auto"/>
            </w:tcBorders>
            <w:shd w:val="clear" w:color="auto" w:fill="FFFFFF" w:themeFill="background1"/>
          </w:tcPr>
          <w:p w14:paraId="4FBF92A6" w14:textId="77777777" w:rsidR="00C22682" w:rsidRPr="00AC1100" w:rsidRDefault="00C22682" w:rsidP="00346EFB">
            <w:pPr>
              <w:pStyle w:val="Tabletext1"/>
              <w:rPr>
                <w:color w:val="000000"/>
              </w:rPr>
            </w:pPr>
            <w:r>
              <w:rPr>
                <w:color w:val="000000"/>
              </w:rPr>
              <w:t>52</w:t>
            </w:r>
            <w:r w:rsidRPr="00AC1100">
              <w:rPr>
                <w:color w:val="000000"/>
              </w:rPr>
              <w:t>/</w:t>
            </w:r>
            <w:r>
              <w:rPr>
                <w:color w:val="000000"/>
              </w:rPr>
              <w:t>183</w:t>
            </w:r>
            <w:r w:rsidRPr="00AC1100">
              <w:rPr>
                <w:color w:val="000000"/>
              </w:rPr>
              <w:t xml:space="preserve"> (</w:t>
            </w:r>
            <w:r>
              <w:rPr>
                <w:color w:val="000000"/>
              </w:rPr>
              <w:t>28</w:t>
            </w:r>
            <w:r w:rsidRPr="00AC1100">
              <w:rPr>
                <w:color w:val="000000"/>
              </w:rPr>
              <w:t>)</w:t>
            </w:r>
          </w:p>
        </w:tc>
        <w:tc>
          <w:tcPr>
            <w:tcW w:w="1388" w:type="pct"/>
            <w:tcBorders>
              <w:bottom w:val="single" w:sz="4" w:space="0" w:color="auto"/>
            </w:tcBorders>
            <w:shd w:val="clear" w:color="auto" w:fill="FFFFFF" w:themeFill="background1"/>
          </w:tcPr>
          <w:p w14:paraId="0369D5C2" w14:textId="77777777" w:rsidR="00C22682" w:rsidRPr="00AC1100" w:rsidRDefault="00C22682" w:rsidP="00346EFB">
            <w:pPr>
              <w:pStyle w:val="Tabletext1"/>
              <w:rPr>
                <w:color w:val="000000"/>
              </w:rPr>
            </w:pPr>
            <w:r>
              <w:rPr>
                <w:color w:val="000000"/>
              </w:rPr>
              <w:t>18</w:t>
            </w:r>
            <w:r w:rsidRPr="00AC1100">
              <w:rPr>
                <w:color w:val="000000"/>
              </w:rPr>
              <w:t>/</w:t>
            </w:r>
            <w:r>
              <w:rPr>
                <w:color w:val="000000"/>
              </w:rPr>
              <w:t xml:space="preserve">183 </w:t>
            </w:r>
            <w:r w:rsidRPr="00AC1100">
              <w:rPr>
                <w:color w:val="000000"/>
              </w:rPr>
              <w:t>(</w:t>
            </w:r>
            <w:r>
              <w:rPr>
                <w:color w:val="000000"/>
              </w:rPr>
              <w:t>10</w:t>
            </w:r>
            <w:r w:rsidRPr="00AC1100">
              <w:rPr>
                <w:color w:val="000000"/>
              </w:rPr>
              <w:t>)</w:t>
            </w:r>
          </w:p>
        </w:tc>
      </w:tr>
      <w:tr w:rsidR="00C22682" w:rsidRPr="0069748F" w14:paraId="4FD063E6" w14:textId="77777777" w:rsidTr="00C17408">
        <w:tc>
          <w:tcPr>
            <w:tcW w:w="1321" w:type="pct"/>
            <w:tcBorders>
              <w:bottom w:val="single" w:sz="4" w:space="0" w:color="auto"/>
            </w:tcBorders>
            <w:shd w:val="clear" w:color="auto" w:fill="auto"/>
            <w:vAlign w:val="center"/>
          </w:tcPr>
          <w:p w14:paraId="64ED133B" w14:textId="77777777" w:rsidR="00C22682" w:rsidRPr="000D29BC" w:rsidRDefault="00C22682" w:rsidP="00346EFB">
            <w:pPr>
              <w:pStyle w:val="Tabletext1"/>
              <w:rPr>
                <w:color w:val="000000"/>
              </w:rPr>
            </w:pPr>
            <w:r>
              <w:rPr>
                <w:color w:val="000000"/>
              </w:rPr>
              <w:t>Viti et al (2014)</w:t>
            </w:r>
          </w:p>
        </w:tc>
        <w:tc>
          <w:tcPr>
            <w:tcW w:w="1036" w:type="pct"/>
            <w:tcBorders>
              <w:bottom w:val="single" w:sz="4" w:space="0" w:color="auto"/>
            </w:tcBorders>
            <w:shd w:val="clear" w:color="auto" w:fill="auto"/>
          </w:tcPr>
          <w:p w14:paraId="760797F8"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1C5E079F" w14:textId="77777777" w:rsidR="00C22682" w:rsidRPr="00AC1100" w:rsidRDefault="00C22682" w:rsidP="00346EFB">
            <w:pPr>
              <w:pStyle w:val="Tabletext1"/>
              <w:rPr>
                <w:color w:val="000000"/>
              </w:rPr>
            </w:pPr>
            <w:r>
              <w:rPr>
                <w:color w:val="000000"/>
              </w:rPr>
              <w:t>4</w:t>
            </w:r>
            <w:r w:rsidRPr="00AC1100">
              <w:rPr>
                <w:color w:val="000000"/>
              </w:rPr>
              <w:t>/</w:t>
            </w:r>
            <w:r>
              <w:rPr>
                <w:color w:val="000000"/>
              </w:rPr>
              <w:t>24</w:t>
            </w:r>
            <w:r w:rsidRPr="00AC1100">
              <w:rPr>
                <w:color w:val="000000"/>
              </w:rPr>
              <w:t xml:space="preserve"> (</w:t>
            </w:r>
            <w:r>
              <w:rPr>
                <w:color w:val="000000"/>
              </w:rPr>
              <w:t>17</w:t>
            </w:r>
            <w:r w:rsidRPr="00AC1100">
              <w:rPr>
                <w:color w:val="000000"/>
              </w:rPr>
              <w:t>)</w:t>
            </w:r>
          </w:p>
        </w:tc>
        <w:tc>
          <w:tcPr>
            <w:tcW w:w="1388" w:type="pct"/>
            <w:tcBorders>
              <w:bottom w:val="single" w:sz="4" w:space="0" w:color="auto"/>
            </w:tcBorders>
            <w:shd w:val="clear" w:color="auto" w:fill="FFFFFF" w:themeFill="background1"/>
          </w:tcPr>
          <w:p w14:paraId="5E57226C" w14:textId="77777777" w:rsidR="00C22682" w:rsidRPr="00AC1100" w:rsidRDefault="00C22682" w:rsidP="00346EFB">
            <w:pPr>
              <w:pStyle w:val="Tabletext1"/>
              <w:rPr>
                <w:color w:val="000000"/>
              </w:rPr>
            </w:pPr>
            <w:r>
              <w:rPr>
                <w:color w:val="000000"/>
              </w:rPr>
              <w:t>3</w:t>
            </w:r>
            <w:r w:rsidRPr="00AC1100">
              <w:rPr>
                <w:color w:val="000000"/>
              </w:rPr>
              <w:t>/</w:t>
            </w:r>
            <w:r>
              <w:rPr>
                <w:color w:val="000000"/>
              </w:rPr>
              <w:t>24</w:t>
            </w:r>
            <w:r w:rsidRPr="00AC1100">
              <w:rPr>
                <w:color w:val="000000"/>
              </w:rPr>
              <w:t xml:space="preserve"> (</w:t>
            </w:r>
            <w:r>
              <w:rPr>
                <w:color w:val="000000"/>
              </w:rPr>
              <w:t>13</w:t>
            </w:r>
            <w:r w:rsidRPr="00AC1100">
              <w:rPr>
                <w:color w:val="000000"/>
              </w:rPr>
              <w:t>)</w:t>
            </w:r>
          </w:p>
        </w:tc>
      </w:tr>
      <w:tr w:rsidR="00C22682" w:rsidRPr="0069748F" w14:paraId="10588192" w14:textId="77777777" w:rsidTr="00C17408">
        <w:tc>
          <w:tcPr>
            <w:tcW w:w="1321" w:type="pct"/>
            <w:tcBorders>
              <w:bottom w:val="single" w:sz="4" w:space="0" w:color="auto"/>
            </w:tcBorders>
            <w:shd w:val="clear" w:color="auto" w:fill="auto"/>
            <w:vAlign w:val="center"/>
          </w:tcPr>
          <w:p w14:paraId="08954028" w14:textId="77777777" w:rsidR="00C22682" w:rsidRPr="000D29BC" w:rsidRDefault="00C22682" w:rsidP="00346EFB">
            <w:pPr>
              <w:pStyle w:val="Tabletext1"/>
              <w:rPr>
                <w:color w:val="000000"/>
              </w:rPr>
            </w:pPr>
            <w:r>
              <w:rPr>
                <w:color w:val="000000"/>
              </w:rPr>
              <w:t>von Meyenfeldt et al (2011)</w:t>
            </w:r>
          </w:p>
        </w:tc>
        <w:tc>
          <w:tcPr>
            <w:tcW w:w="1036" w:type="pct"/>
            <w:tcBorders>
              <w:bottom w:val="single" w:sz="4" w:space="0" w:color="auto"/>
            </w:tcBorders>
            <w:shd w:val="clear" w:color="auto" w:fill="auto"/>
          </w:tcPr>
          <w:p w14:paraId="60CAEA96"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63967533" w14:textId="77777777" w:rsidR="00C22682" w:rsidRPr="00AC1100" w:rsidRDefault="00C22682" w:rsidP="00346EFB">
            <w:pPr>
              <w:pStyle w:val="Tabletext1"/>
              <w:rPr>
                <w:color w:val="000000"/>
              </w:rPr>
            </w:pPr>
            <w:r>
              <w:rPr>
                <w:color w:val="000000"/>
              </w:rPr>
              <w:t>22</w:t>
            </w:r>
            <w:r w:rsidRPr="00AC1100">
              <w:rPr>
                <w:color w:val="000000"/>
              </w:rPr>
              <w:t>/</w:t>
            </w:r>
            <w:r>
              <w:rPr>
                <w:color w:val="000000"/>
              </w:rPr>
              <w:t>65</w:t>
            </w:r>
            <w:r w:rsidRPr="00AC1100">
              <w:rPr>
                <w:color w:val="000000"/>
              </w:rPr>
              <w:t xml:space="preserve"> (</w:t>
            </w:r>
            <w:r>
              <w:rPr>
                <w:color w:val="000000"/>
              </w:rPr>
              <w:t>29</w:t>
            </w:r>
            <w:r w:rsidRPr="00AC1100">
              <w:rPr>
                <w:color w:val="000000"/>
              </w:rPr>
              <w:t>)</w:t>
            </w:r>
          </w:p>
        </w:tc>
        <w:tc>
          <w:tcPr>
            <w:tcW w:w="1388" w:type="pct"/>
            <w:tcBorders>
              <w:bottom w:val="single" w:sz="4" w:space="0" w:color="auto"/>
            </w:tcBorders>
            <w:shd w:val="clear" w:color="auto" w:fill="FFFFFF" w:themeFill="background1"/>
          </w:tcPr>
          <w:p w14:paraId="1E1B1745" w14:textId="77777777" w:rsidR="00C22682" w:rsidRPr="00AC1100" w:rsidRDefault="00C22682" w:rsidP="00346EFB">
            <w:pPr>
              <w:pStyle w:val="Tabletext1"/>
              <w:rPr>
                <w:color w:val="000000"/>
              </w:rPr>
            </w:pPr>
            <w:r>
              <w:rPr>
                <w:color w:val="000000"/>
              </w:rPr>
              <w:t>9</w:t>
            </w:r>
            <w:r w:rsidRPr="00AC1100">
              <w:rPr>
                <w:color w:val="000000"/>
              </w:rPr>
              <w:t>/</w:t>
            </w:r>
            <w:r>
              <w:rPr>
                <w:color w:val="000000"/>
              </w:rPr>
              <w:t>65</w:t>
            </w:r>
            <w:r w:rsidRPr="00AC1100">
              <w:rPr>
                <w:color w:val="000000"/>
              </w:rPr>
              <w:t xml:space="preserve"> (</w:t>
            </w:r>
            <w:r>
              <w:rPr>
                <w:color w:val="000000"/>
              </w:rPr>
              <w:t>14</w:t>
            </w:r>
            <w:r w:rsidRPr="00AC1100">
              <w:rPr>
                <w:color w:val="000000"/>
              </w:rPr>
              <w:t>)</w:t>
            </w:r>
          </w:p>
        </w:tc>
      </w:tr>
      <w:tr w:rsidR="00C22682" w:rsidRPr="0069748F" w14:paraId="505A2549" w14:textId="77777777" w:rsidTr="00C17408">
        <w:tc>
          <w:tcPr>
            <w:tcW w:w="1321" w:type="pct"/>
            <w:tcBorders>
              <w:bottom w:val="single" w:sz="4" w:space="0" w:color="auto"/>
            </w:tcBorders>
            <w:shd w:val="clear" w:color="auto" w:fill="auto"/>
            <w:vAlign w:val="center"/>
          </w:tcPr>
          <w:p w14:paraId="2E6F66CD" w14:textId="77777777" w:rsidR="00C22682" w:rsidRPr="00997BA0" w:rsidRDefault="00C22682" w:rsidP="00346EFB">
            <w:pPr>
              <w:pStyle w:val="Tabletext1"/>
              <w:rPr>
                <w:b/>
                <w:snapToGrid w:val="0"/>
                <w:color w:val="000000"/>
              </w:rPr>
            </w:pPr>
            <w:r w:rsidRPr="00997BA0">
              <w:rPr>
                <w:b/>
                <w:snapToGrid w:val="0"/>
                <w:color w:val="000000"/>
              </w:rPr>
              <w:t>Pooled, n/N (%), per session</w:t>
            </w:r>
          </w:p>
          <w:p w14:paraId="02C7991F" w14:textId="77777777" w:rsidR="00C22682" w:rsidRPr="00997BA0" w:rsidRDefault="00C22682" w:rsidP="00346EFB">
            <w:pPr>
              <w:pStyle w:val="Tabletext1"/>
              <w:rPr>
                <w:b/>
                <w:color w:val="000000"/>
              </w:rPr>
            </w:pPr>
            <w:r w:rsidRPr="00997BA0">
              <w:rPr>
                <w:b/>
                <w:snapToGrid w:val="0"/>
                <w:color w:val="000000"/>
              </w:rPr>
              <w:t>Median (rage), per session</w:t>
            </w:r>
          </w:p>
        </w:tc>
        <w:tc>
          <w:tcPr>
            <w:tcW w:w="1036" w:type="pct"/>
            <w:tcBorders>
              <w:bottom w:val="single" w:sz="4" w:space="0" w:color="auto"/>
            </w:tcBorders>
            <w:shd w:val="clear" w:color="auto" w:fill="auto"/>
            <w:vAlign w:val="center"/>
          </w:tcPr>
          <w:p w14:paraId="3E49FB26" w14:textId="77777777" w:rsidR="00172E96" w:rsidRPr="00997BA0" w:rsidRDefault="00172E96" w:rsidP="00346EFB">
            <w:pPr>
              <w:pStyle w:val="Tabletext1"/>
              <w:rPr>
                <w:rFonts w:ascii="Cambria Math" w:hAnsi="Cambria Math" w:cs="Cambria Math"/>
                <w:color w:val="C00000"/>
              </w:rPr>
            </w:pPr>
            <w:r w:rsidRPr="00997BA0">
              <w:rPr>
                <w:rFonts w:ascii="Cambria Math" w:hAnsi="Cambria Math"/>
                <w:color w:val="00B050"/>
              </w:rPr>
              <w:t>⨁</w:t>
            </w:r>
            <w:r w:rsidRPr="00997BA0">
              <w:rPr>
                <w:rFonts w:ascii="Cambria Math" w:hAnsi="Cambria Math" w:cs="Cambria Math"/>
                <w:color w:val="C00000"/>
              </w:rPr>
              <w:t>⨀⨀⨀</w:t>
            </w:r>
          </w:p>
          <w:p w14:paraId="3734C630" w14:textId="77777777" w:rsidR="00C22682" w:rsidRPr="00997BA0" w:rsidRDefault="00C22682" w:rsidP="00346EFB">
            <w:pPr>
              <w:pStyle w:val="Tabletext1"/>
              <w:rPr>
                <w:b/>
                <w:snapToGrid w:val="0"/>
                <w:color w:val="000000"/>
              </w:rPr>
            </w:pPr>
            <w:r w:rsidRPr="00997BA0">
              <w:rPr>
                <w:rStyle w:val="quality-sign"/>
                <w:rFonts w:eastAsia="MS Mincho" w:cs="MS Mincho"/>
                <w:b/>
                <w:sz w:val="21"/>
                <w:szCs w:val="21"/>
              </w:rPr>
              <w:t>VERY LOW</w:t>
            </w:r>
          </w:p>
        </w:tc>
        <w:tc>
          <w:tcPr>
            <w:tcW w:w="1255" w:type="pct"/>
            <w:tcBorders>
              <w:bottom w:val="single" w:sz="4" w:space="0" w:color="auto"/>
            </w:tcBorders>
            <w:shd w:val="clear" w:color="auto" w:fill="FFFFFF" w:themeFill="background1"/>
          </w:tcPr>
          <w:p w14:paraId="7EA3E0B2" w14:textId="77777777" w:rsidR="00C22682" w:rsidRDefault="00C22682" w:rsidP="00346EFB">
            <w:pPr>
              <w:pStyle w:val="Tabletext1"/>
              <w:rPr>
                <w:b/>
                <w:snapToGrid w:val="0"/>
                <w:color w:val="000000"/>
              </w:rPr>
            </w:pPr>
            <w:r>
              <w:rPr>
                <w:b/>
                <w:snapToGrid w:val="0"/>
                <w:color w:val="000000"/>
              </w:rPr>
              <w:t>674/1497</w:t>
            </w:r>
            <w:r w:rsidRPr="00731AD6">
              <w:rPr>
                <w:b/>
                <w:snapToGrid w:val="0"/>
                <w:color w:val="000000"/>
              </w:rPr>
              <w:t xml:space="preserve"> (</w:t>
            </w:r>
            <w:r>
              <w:rPr>
                <w:b/>
                <w:snapToGrid w:val="0"/>
                <w:color w:val="000000"/>
              </w:rPr>
              <w:t>45</w:t>
            </w:r>
            <w:r w:rsidRPr="00731AD6">
              <w:rPr>
                <w:b/>
                <w:snapToGrid w:val="0"/>
                <w:color w:val="000000"/>
              </w:rPr>
              <w:t>)</w:t>
            </w:r>
          </w:p>
          <w:p w14:paraId="6FF014E2" w14:textId="2F1A10D3" w:rsidR="00C22682" w:rsidRPr="00731AD6" w:rsidRDefault="005E1A24" w:rsidP="00346EFB">
            <w:pPr>
              <w:pStyle w:val="Tabletext1"/>
              <w:rPr>
                <w:b/>
                <w:snapToGrid w:val="0"/>
                <w:color w:val="000000"/>
              </w:rPr>
            </w:pPr>
            <w:r>
              <w:rPr>
                <w:b/>
                <w:snapToGrid w:val="0"/>
                <w:color w:val="000000"/>
              </w:rPr>
              <w:t>24% (9</w:t>
            </w:r>
            <w:r w:rsidR="00D35E9C">
              <w:rPr>
                <w:b/>
                <w:snapToGrid w:val="0"/>
                <w:color w:val="000000"/>
              </w:rPr>
              <w:t>–</w:t>
            </w:r>
            <w:r>
              <w:rPr>
                <w:b/>
                <w:snapToGrid w:val="0"/>
                <w:color w:val="000000"/>
              </w:rPr>
              <w:t>67</w:t>
            </w:r>
            <w:r w:rsidR="00C22682">
              <w:rPr>
                <w:b/>
                <w:snapToGrid w:val="0"/>
                <w:color w:val="000000"/>
              </w:rPr>
              <w:t>)</w:t>
            </w:r>
          </w:p>
        </w:tc>
        <w:tc>
          <w:tcPr>
            <w:tcW w:w="1388" w:type="pct"/>
            <w:tcBorders>
              <w:bottom w:val="single" w:sz="4" w:space="0" w:color="auto"/>
            </w:tcBorders>
            <w:shd w:val="clear" w:color="auto" w:fill="FFFFFF" w:themeFill="background1"/>
          </w:tcPr>
          <w:p w14:paraId="685E04A1" w14:textId="77777777" w:rsidR="00C22682" w:rsidRDefault="00C22682" w:rsidP="00346EFB">
            <w:pPr>
              <w:pStyle w:val="Tabletext1"/>
              <w:rPr>
                <w:b/>
                <w:snapToGrid w:val="0"/>
                <w:color w:val="000000"/>
              </w:rPr>
            </w:pPr>
            <w:r>
              <w:rPr>
                <w:b/>
                <w:snapToGrid w:val="0"/>
                <w:color w:val="000000"/>
              </w:rPr>
              <w:t>335</w:t>
            </w:r>
            <w:r w:rsidRPr="00731AD6">
              <w:rPr>
                <w:b/>
                <w:snapToGrid w:val="0"/>
                <w:color w:val="000000"/>
              </w:rPr>
              <w:t>/</w:t>
            </w:r>
            <w:r>
              <w:rPr>
                <w:b/>
                <w:snapToGrid w:val="0"/>
                <w:color w:val="000000"/>
              </w:rPr>
              <w:t>1497</w:t>
            </w:r>
            <w:r w:rsidRPr="00731AD6">
              <w:rPr>
                <w:b/>
                <w:snapToGrid w:val="0"/>
                <w:color w:val="000000"/>
              </w:rPr>
              <w:t xml:space="preserve"> (</w:t>
            </w:r>
            <w:r>
              <w:rPr>
                <w:b/>
                <w:snapToGrid w:val="0"/>
                <w:color w:val="000000"/>
              </w:rPr>
              <w:t>22</w:t>
            </w:r>
            <w:r w:rsidRPr="00731AD6">
              <w:rPr>
                <w:b/>
                <w:snapToGrid w:val="0"/>
                <w:color w:val="000000"/>
              </w:rPr>
              <w:t>)</w:t>
            </w:r>
          </w:p>
          <w:p w14:paraId="79E48F4B" w14:textId="39C604D5" w:rsidR="00C22682" w:rsidRPr="00731AD6" w:rsidRDefault="005E1A24" w:rsidP="00346EFB">
            <w:pPr>
              <w:pStyle w:val="Tabletext1"/>
              <w:rPr>
                <w:b/>
                <w:snapToGrid w:val="0"/>
                <w:color w:val="000000"/>
              </w:rPr>
            </w:pPr>
            <w:r>
              <w:rPr>
                <w:b/>
                <w:snapToGrid w:val="0"/>
                <w:color w:val="000000"/>
              </w:rPr>
              <w:t>9% (2</w:t>
            </w:r>
            <w:r w:rsidR="00D35E9C">
              <w:rPr>
                <w:b/>
                <w:snapToGrid w:val="0"/>
                <w:color w:val="000000"/>
              </w:rPr>
              <w:t>–</w:t>
            </w:r>
            <w:r>
              <w:rPr>
                <w:b/>
                <w:snapToGrid w:val="0"/>
                <w:color w:val="000000"/>
              </w:rPr>
              <w:t>39</w:t>
            </w:r>
            <w:r w:rsidR="00C22682">
              <w:rPr>
                <w:b/>
                <w:snapToGrid w:val="0"/>
                <w:color w:val="000000"/>
              </w:rPr>
              <w:t>)</w:t>
            </w:r>
          </w:p>
        </w:tc>
      </w:tr>
      <w:tr w:rsidR="00C22682" w:rsidRPr="0069748F" w14:paraId="07560127" w14:textId="77777777" w:rsidTr="00C17408">
        <w:tc>
          <w:tcPr>
            <w:tcW w:w="1321" w:type="pct"/>
            <w:tcBorders>
              <w:bottom w:val="single" w:sz="4" w:space="0" w:color="auto"/>
            </w:tcBorders>
            <w:shd w:val="clear" w:color="auto" w:fill="auto"/>
            <w:vAlign w:val="center"/>
          </w:tcPr>
          <w:p w14:paraId="2D5530DF" w14:textId="77777777" w:rsidR="00C22682" w:rsidRPr="000D29BC" w:rsidRDefault="00C22682" w:rsidP="00346EFB">
            <w:pPr>
              <w:pStyle w:val="Tabletext1"/>
              <w:rPr>
                <w:color w:val="000000"/>
              </w:rPr>
            </w:pPr>
            <w:r>
              <w:rPr>
                <w:color w:val="000000"/>
              </w:rPr>
              <w:t>Dupuy et al (2015)</w:t>
            </w:r>
          </w:p>
        </w:tc>
        <w:tc>
          <w:tcPr>
            <w:tcW w:w="1036" w:type="pct"/>
            <w:tcBorders>
              <w:bottom w:val="single" w:sz="4" w:space="0" w:color="auto"/>
            </w:tcBorders>
            <w:shd w:val="clear" w:color="auto" w:fill="auto"/>
          </w:tcPr>
          <w:p w14:paraId="38409C33"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21B52B6B" w14:textId="77777777" w:rsidR="00C22682" w:rsidRPr="00AC1100" w:rsidRDefault="00C22682" w:rsidP="00346EFB">
            <w:pPr>
              <w:pStyle w:val="Tabletext1"/>
              <w:rPr>
                <w:color w:val="000000"/>
              </w:rPr>
            </w:pPr>
            <w:r>
              <w:rPr>
                <w:color w:val="000000"/>
              </w:rPr>
              <w:t>2</w:t>
            </w:r>
            <w:r w:rsidRPr="00AC1100">
              <w:rPr>
                <w:color w:val="000000"/>
              </w:rPr>
              <w:t>/</w:t>
            </w:r>
            <w:r>
              <w:rPr>
                <w:color w:val="000000"/>
              </w:rPr>
              <w:t>51</w:t>
            </w:r>
            <w:r w:rsidRPr="00AC1100">
              <w:rPr>
                <w:color w:val="000000"/>
              </w:rPr>
              <w:t xml:space="preserve"> (</w:t>
            </w:r>
            <w:r>
              <w:rPr>
                <w:color w:val="000000"/>
              </w:rPr>
              <w:t>4</w:t>
            </w:r>
            <w:r w:rsidRPr="00AC1100">
              <w:rPr>
                <w:color w:val="000000"/>
              </w:rPr>
              <w:t>)</w:t>
            </w:r>
          </w:p>
        </w:tc>
        <w:tc>
          <w:tcPr>
            <w:tcW w:w="1388" w:type="pct"/>
            <w:tcBorders>
              <w:bottom w:val="single" w:sz="4" w:space="0" w:color="auto"/>
            </w:tcBorders>
            <w:shd w:val="clear" w:color="auto" w:fill="FFFFFF" w:themeFill="background1"/>
          </w:tcPr>
          <w:p w14:paraId="3E4F6803" w14:textId="77777777" w:rsidR="00C22682" w:rsidRPr="004565C0" w:rsidRDefault="005E1A24" w:rsidP="00346EFB">
            <w:pPr>
              <w:pStyle w:val="Tabletext1"/>
              <w:rPr>
                <w:snapToGrid w:val="0"/>
                <w:color w:val="000000"/>
              </w:rPr>
            </w:pPr>
            <w:r>
              <w:rPr>
                <w:snapToGrid w:val="0"/>
                <w:color w:val="000000"/>
              </w:rPr>
              <w:t>2/51 (4</w:t>
            </w:r>
            <w:r w:rsidR="00C22682">
              <w:rPr>
                <w:snapToGrid w:val="0"/>
                <w:color w:val="000000"/>
              </w:rPr>
              <w:t>)</w:t>
            </w:r>
          </w:p>
        </w:tc>
      </w:tr>
      <w:tr w:rsidR="00C22682" w:rsidRPr="0069748F" w14:paraId="5DBB1E0A" w14:textId="77777777" w:rsidTr="00C17408">
        <w:tc>
          <w:tcPr>
            <w:tcW w:w="1321" w:type="pct"/>
            <w:tcBorders>
              <w:bottom w:val="single" w:sz="4" w:space="0" w:color="auto"/>
            </w:tcBorders>
            <w:shd w:val="clear" w:color="auto" w:fill="auto"/>
            <w:vAlign w:val="center"/>
          </w:tcPr>
          <w:p w14:paraId="0976E247" w14:textId="77777777" w:rsidR="00C22682" w:rsidRPr="000D29BC" w:rsidRDefault="00C22682" w:rsidP="00346EFB">
            <w:pPr>
              <w:pStyle w:val="Tabletext1"/>
              <w:rPr>
                <w:color w:val="000000"/>
              </w:rPr>
            </w:pPr>
            <w:r>
              <w:rPr>
                <w:color w:val="000000"/>
              </w:rPr>
              <w:t>Lu et al (2015a)</w:t>
            </w:r>
          </w:p>
        </w:tc>
        <w:tc>
          <w:tcPr>
            <w:tcW w:w="1036" w:type="pct"/>
            <w:tcBorders>
              <w:bottom w:val="single" w:sz="4" w:space="0" w:color="auto"/>
            </w:tcBorders>
            <w:shd w:val="clear" w:color="auto" w:fill="auto"/>
          </w:tcPr>
          <w:p w14:paraId="30D37E9B"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3CACDEB8" w14:textId="77777777" w:rsidR="00C22682" w:rsidRPr="00AC1100" w:rsidRDefault="00C22682" w:rsidP="00346EFB">
            <w:pPr>
              <w:pStyle w:val="Tabletext1"/>
              <w:rPr>
                <w:color w:val="000000"/>
              </w:rPr>
            </w:pPr>
            <w:r>
              <w:rPr>
                <w:color w:val="000000"/>
              </w:rPr>
              <w:t>8</w:t>
            </w:r>
            <w:r w:rsidRPr="00AC1100">
              <w:rPr>
                <w:color w:val="000000"/>
              </w:rPr>
              <w:t>/</w:t>
            </w:r>
            <w:r>
              <w:rPr>
                <w:color w:val="000000"/>
              </w:rPr>
              <w:t>67</w:t>
            </w:r>
            <w:r w:rsidRPr="00AC1100">
              <w:rPr>
                <w:color w:val="000000"/>
              </w:rPr>
              <w:t xml:space="preserve"> (</w:t>
            </w:r>
            <w:r>
              <w:rPr>
                <w:color w:val="000000"/>
              </w:rPr>
              <w:t>12</w:t>
            </w:r>
            <w:r w:rsidRPr="00AC1100">
              <w:rPr>
                <w:color w:val="000000"/>
              </w:rPr>
              <w:t>)</w:t>
            </w:r>
          </w:p>
        </w:tc>
        <w:tc>
          <w:tcPr>
            <w:tcW w:w="1388" w:type="pct"/>
            <w:tcBorders>
              <w:bottom w:val="single" w:sz="4" w:space="0" w:color="auto"/>
            </w:tcBorders>
            <w:shd w:val="clear" w:color="auto" w:fill="FFFFFF" w:themeFill="background1"/>
          </w:tcPr>
          <w:p w14:paraId="4EE90D96" w14:textId="77777777" w:rsidR="00C22682" w:rsidRPr="00AC1100" w:rsidRDefault="00C22682" w:rsidP="00346EFB">
            <w:pPr>
              <w:pStyle w:val="Tabletext1"/>
              <w:rPr>
                <w:color w:val="000000"/>
              </w:rPr>
            </w:pPr>
            <w:r>
              <w:rPr>
                <w:color w:val="000000"/>
              </w:rPr>
              <w:t>2</w:t>
            </w:r>
            <w:r w:rsidRPr="00AC1100">
              <w:rPr>
                <w:color w:val="000000"/>
              </w:rPr>
              <w:t>/</w:t>
            </w:r>
            <w:r>
              <w:rPr>
                <w:color w:val="000000"/>
              </w:rPr>
              <w:t>67</w:t>
            </w:r>
            <w:r w:rsidRPr="00AC1100">
              <w:rPr>
                <w:color w:val="000000"/>
              </w:rPr>
              <w:t xml:space="preserve"> (</w:t>
            </w:r>
            <w:r>
              <w:rPr>
                <w:color w:val="000000"/>
              </w:rPr>
              <w:t>3</w:t>
            </w:r>
            <w:r w:rsidRPr="00AC1100">
              <w:rPr>
                <w:color w:val="000000"/>
              </w:rPr>
              <w:t>)</w:t>
            </w:r>
          </w:p>
        </w:tc>
      </w:tr>
      <w:tr w:rsidR="00C22682" w:rsidRPr="0069748F" w14:paraId="372C00D5" w14:textId="77777777" w:rsidTr="00C17408">
        <w:tc>
          <w:tcPr>
            <w:tcW w:w="1321" w:type="pct"/>
            <w:tcBorders>
              <w:bottom w:val="single" w:sz="4" w:space="0" w:color="auto"/>
            </w:tcBorders>
            <w:shd w:val="clear" w:color="auto" w:fill="auto"/>
            <w:vAlign w:val="center"/>
          </w:tcPr>
          <w:p w14:paraId="6E7C4AB5" w14:textId="77777777" w:rsidR="00C22682" w:rsidRPr="000D29BC" w:rsidRDefault="00C22682" w:rsidP="00346EFB">
            <w:pPr>
              <w:pStyle w:val="Tabletext1"/>
              <w:rPr>
                <w:color w:val="000000"/>
              </w:rPr>
            </w:pPr>
            <w:r>
              <w:rPr>
                <w:color w:val="000000"/>
              </w:rPr>
              <w:t>Lu et al (2015b)</w:t>
            </w:r>
          </w:p>
        </w:tc>
        <w:tc>
          <w:tcPr>
            <w:tcW w:w="1036" w:type="pct"/>
            <w:tcBorders>
              <w:bottom w:val="single" w:sz="4" w:space="0" w:color="auto"/>
            </w:tcBorders>
            <w:shd w:val="clear" w:color="auto" w:fill="auto"/>
          </w:tcPr>
          <w:p w14:paraId="314B033B"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25C7C37B" w14:textId="77777777" w:rsidR="00C22682" w:rsidRPr="00AC1100" w:rsidRDefault="00C22682" w:rsidP="00346EFB">
            <w:pPr>
              <w:pStyle w:val="Tabletext1"/>
              <w:rPr>
                <w:color w:val="000000"/>
              </w:rPr>
            </w:pPr>
            <w:r>
              <w:rPr>
                <w:color w:val="000000"/>
              </w:rPr>
              <w:t>3</w:t>
            </w:r>
            <w:r w:rsidRPr="00AC1100">
              <w:rPr>
                <w:color w:val="000000"/>
              </w:rPr>
              <w:t>/</w:t>
            </w:r>
            <w:r>
              <w:rPr>
                <w:color w:val="000000"/>
              </w:rPr>
              <w:t>35</w:t>
            </w:r>
            <w:r w:rsidRPr="00AC1100">
              <w:rPr>
                <w:color w:val="000000"/>
              </w:rPr>
              <w:t xml:space="preserve"> (</w:t>
            </w:r>
            <w:r>
              <w:rPr>
                <w:color w:val="000000"/>
              </w:rPr>
              <w:t>9</w:t>
            </w:r>
            <w:r w:rsidRPr="00AC1100">
              <w:rPr>
                <w:color w:val="000000"/>
              </w:rPr>
              <w:t>)</w:t>
            </w:r>
          </w:p>
        </w:tc>
        <w:tc>
          <w:tcPr>
            <w:tcW w:w="1388" w:type="pct"/>
            <w:tcBorders>
              <w:bottom w:val="single" w:sz="4" w:space="0" w:color="auto"/>
            </w:tcBorders>
            <w:shd w:val="clear" w:color="auto" w:fill="FFFFFF" w:themeFill="background1"/>
          </w:tcPr>
          <w:p w14:paraId="7BA2FF60" w14:textId="77777777" w:rsidR="00C22682" w:rsidRPr="00AC1100" w:rsidRDefault="00C22682" w:rsidP="00346EFB">
            <w:pPr>
              <w:pStyle w:val="Tabletext1"/>
              <w:rPr>
                <w:color w:val="000000"/>
              </w:rPr>
            </w:pPr>
            <w:r>
              <w:rPr>
                <w:color w:val="000000"/>
              </w:rPr>
              <w:t>2</w:t>
            </w:r>
            <w:r w:rsidRPr="00AC1100">
              <w:rPr>
                <w:color w:val="000000"/>
              </w:rPr>
              <w:t>/</w:t>
            </w:r>
            <w:r>
              <w:rPr>
                <w:color w:val="000000"/>
              </w:rPr>
              <w:t>35</w:t>
            </w:r>
            <w:r w:rsidRPr="00AC1100">
              <w:rPr>
                <w:color w:val="000000"/>
              </w:rPr>
              <w:t xml:space="preserve"> (</w:t>
            </w:r>
            <w:r>
              <w:rPr>
                <w:color w:val="000000"/>
              </w:rPr>
              <w:t>6</w:t>
            </w:r>
            <w:r w:rsidRPr="00AC1100">
              <w:rPr>
                <w:color w:val="000000"/>
              </w:rPr>
              <w:t>)</w:t>
            </w:r>
          </w:p>
        </w:tc>
      </w:tr>
      <w:tr w:rsidR="00C22682" w:rsidRPr="0069748F" w14:paraId="35D9B14F" w14:textId="77777777" w:rsidTr="00C17408">
        <w:tc>
          <w:tcPr>
            <w:tcW w:w="1321" w:type="pct"/>
            <w:tcBorders>
              <w:bottom w:val="single" w:sz="4" w:space="0" w:color="auto"/>
            </w:tcBorders>
            <w:shd w:val="clear" w:color="auto" w:fill="auto"/>
            <w:vAlign w:val="center"/>
          </w:tcPr>
          <w:p w14:paraId="2E28C811" w14:textId="77777777" w:rsidR="00C22682" w:rsidRPr="000D29BC" w:rsidRDefault="00C22682" w:rsidP="00346EFB">
            <w:pPr>
              <w:pStyle w:val="Tabletext1"/>
              <w:rPr>
                <w:color w:val="000000"/>
              </w:rPr>
            </w:pPr>
            <w:r>
              <w:rPr>
                <w:color w:val="000000"/>
              </w:rPr>
              <w:t>Ridge et al (2014)</w:t>
            </w:r>
          </w:p>
        </w:tc>
        <w:tc>
          <w:tcPr>
            <w:tcW w:w="1036" w:type="pct"/>
            <w:tcBorders>
              <w:bottom w:val="single" w:sz="4" w:space="0" w:color="auto"/>
            </w:tcBorders>
            <w:shd w:val="clear" w:color="auto" w:fill="auto"/>
          </w:tcPr>
          <w:p w14:paraId="6D900219"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48AD75B0" w14:textId="77777777" w:rsidR="00C22682" w:rsidRPr="00AC1100" w:rsidRDefault="00C22682" w:rsidP="00346EFB">
            <w:pPr>
              <w:pStyle w:val="Tabletext1"/>
              <w:rPr>
                <w:color w:val="000000"/>
              </w:rPr>
            </w:pPr>
            <w:r>
              <w:rPr>
                <w:color w:val="000000"/>
              </w:rPr>
              <w:t>8</w:t>
            </w:r>
            <w:r w:rsidRPr="00AC1100">
              <w:rPr>
                <w:color w:val="000000"/>
              </w:rPr>
              <w:t>/</w:t>
            </w:r>
            <w:r>
              <w:rPr>
                <w:color w:val="000000"/>
              </w:rPr>
              <w:t>29</w:t>
            </w:r>
            <w:r w:rsidRPr="00AC1100">
              <w:rPr>
                <w:color w:val="000000"/>
              </w:rPr>
              <w:t xml:space="preserve"> (</w:t>
            </w:r>
            <w:r>
              <w:rPr>
                <w:color w:val="000000"/>
              </w:rPr>
              <w:t>28</w:t>
            </w:r>
            <w:r w:rsidRPr="00AC1100">
              <w:rPr>
                <w:color w:val="000000"/>
              </w:rPr>
              <w:t>)</w:t>
            </w:r>
          </w:p>
        </w:tc>
        <w:tc>
          <w:tcPr>
            <w:tcW w:w="1388" w:type="pct"/>
            <w:tcBorders>
              <w:bottom w:val="single" w:sz="4" w:space="0" w:color="auto"/>
            </w:tcBorders>
            <w:shd w:val="clear" w:color="auto" w:fill="FFFFFF" w:themeFill="background1"/>
          </w:tcPr>
          <w:p w14:paraId="4188BD79" w14:textId="77777777" w:rsidR="00C22682" w:rsidRPr="00AC1100" w:rsidRDefault="00C22682" w:rsidP="00346EFB">
            <w:pPr>
              <w:pStyle w:val="Tabletext1"/>
              <w:rPr>
                <w:color w:val="000000"/>
              </w:rPr>
            </w:pPr>
            <w:r>
              <w:rPr>
                <w:color w:val="000000"/>
              </w:rPr>
              <w:t>7</w:t>
            </w:r>
            <w:r w:rsidRPr="00AC1100">
              <w:rPr>
                <w:color w:val="000000"/>
              </w:rPr>
              <w:t>/</w:t>
            </w:r>
            <w:r>
              <w:rPr>
                <w:color w:val="000000"/>
              </w:rPr>
              <w:t>29</w:t>
            </w:r>
            <w:r w:rsidRPr="00AC1100">
              <w:rPr>
                <w:color w:val="000000"/>
              </w:rPr>
              <w:t xml:space="preserve"> (</w:t>
            </w:r>
            <w:r>
              <w:rPr>
                <w:color w:val="000000"/>
              </w:rPr>
              <w:t>24</w:t>
            </w:r>
            <w:r w:rsidRPr="00AC1100">
              <w:rPr>
                <w:color w:val="000000"/>
              </w:rPr>
              <w:t>)</w:t>
            </w:r>
          </w:p>
        </w:tc>
      </w:tr>
      <w:tr w:rsidR="00C22682" w:rsidRPr="0069748F" w14:paraId="163CFB64" w14:textId="77777777" w:rsidTr="00C17408">
        <w:tc>
          <w:tcPr>
            <w:tcW w:w="1321" w:type="pct"/>
            <w:tcBorders>
              <w:bottom w:val="single" w:sz="4" w:space="0" w:color="auto"/>
            </w:tcBorders>
            <w:shd w:val="clear" w:color="auto" w:fill="auto"/>
            <w:vAlign w:val="center"/>
          </w:tcPr>
          <w:p w14:paraId="7B74022E" w14:textId="77777777" w:rsidR="00C22682" w:rsidRPr="000D29BC" w:rsidRDefault="00C22682" w:rsidP="00346EFB">
            <w:pPr>
              <w:pStyle w:val="Tabletext1"/>
              <w:rPr>
                <w:color w:val="000000"/>
              </w:rPr>
            </w:pPr>
            <w:r>
              <w:rPr>
                <w:color w:val="000000"/>
              </w:rPr>
              <w:t>Safi et al (2015)</w:t>
            </w:r>
          </w:p>
        </w:tc>
        <w:tc>
          <w:tcPr>
            <w:tcW w:w="1036" w:type="pct"/>
            <w:tcBorders>
              <w:bottom w:val="single" w:sz="4" w:space="0" w:color="auto"/>
            </w:tcBorders>
            <w:shd w:val="clear" w:color="auto" w:fill="auto"/>
          </w:tcPr>
          <w:p w14:paraId="2C84A0CA" w14:textId="77777777" w:rsidR="00C22682" w:rsidRDefault="00C22682" w:rsidP="00346EFB">
            <w:pPr>
              <w:pStyle w:val="Tabletext1"/>
            </w:pPr>
            <w:r w:rsidRPr="00AC1100">
              <w:rPr>
                <w:color w:val="000000"/>
              </w:rPr>
              <w:t>III-3</w:t>
            </w:r>
          </w:p>
        </w:tc>
        <w:tc>
          <w:tcPr>
            <w:tcW w:w="1255" w:type="pct"/>
            <w:tcBorders>
              <w:bottom w:val="single" w:sz="4" w:space="0" w:color="auto"/>
            </w:tcBorders>
            <w:shd w:val="clear" w:color="auto" w:fill="FFFFFF" w:themeFill="background1"/>
          </w:tcPr>
          <w:p w14:paraId="77192572" w14:textId="77777777" w:rsidR="00C22682" w:rsidRPr="00AC1100" w:rsidRDefault="00C22682" w:rsidP="00346EFB">
            <w:pPr>
              <w:pStyle w:val="Tabletext1"/>
              <w:rPr>
                <w:color w:val="000000"/>
              </w:rPr>
            </w:pPr>
            <w:r>
              <w:rPr>
                <w:color w:val="000000"/>
              </w:rPr>
              <w:t>9</w:t>
            </w:r>
            <w:r w:rsidRPr="00AC1100">
              <w:rPr>
                <w:color w:val="000000"/>
              </w:rPr>
              <w:t>/</w:t>
            </w:r>
            <w:r>
              <w:rPr>
                <w:color w:val="000000"/>
              </w:rPr>
              <w:t>25</w:t>
            </w:r>
            <w:r w:rsidRPr="00AC1100">
              <w:rPr>
                <w:color w:val="000000"/>
              </w:rPr>
              <w:t xml:space="preserve"> (</w:t>
            </w:r>
            <w:r>
              <w:rPr>
                <w:color w:val="000000"/>
              </w:rPr>
              <w:t>36</w:t>
            </w:r>
            <w:r w:rsidRPr="00AC1100">
              <w:rPr>
                <w:color w:val="000000"/>
              </w:rPr>
              <w:t>)</w:t>
            </w:r>
          </w:p>
        </w:tc>
        <w:tc>
          <w:tcPr>
            <w:tcW w:w="1388" w:type="pct"/>
            <w:tcBorders>
              <w:bottom w:val="single" w:sz="4" w:space="0" w:color="auto"/>
            </w:tcBorders>
            <w:shd w:val="clear" w:color="auto" w:fill="FFFFFF" w:themeFill="background1"/>
          </w:tcPr>
          <w:p w14:paraId="1ABE6BDF" w14:textId="77777777" w:rsidR="00C22682" w:rsidRPr="00AC1100" w:rsidRDefault="00C22682" w:rsidP="00346EFB">
            <w:pPr>
              <w:pStyle w:val="Tabletext1"/>
              <w:rPr>
                <w:color w:val="000000"/>
              </w:rPr>
            </w:pPr>
            <w:r>
              <w:rPr>
                <w:color w:val="000000"/>
              </w:rPr>
              <w:t>7</w:t>
            </w:r>
            <w:r w:rsidRPr="00AC1100">
              <w:rPr>
                <w:color w:val="000000"/>
              </w:rPr>
              <w:t>/</w:t>
            </w:r>
            <w:r>
              <w:rPr>
                <w:color w:val="000000"/>
              </w:rPr>
              <w:t>25</w:t>
            </w:r>
            <w:r w:rsidRPr="00AC1100">
              <w:rPr>
                <w:color w:val="000000"/>
              </w:rPr>
              <w:t xml:space="preserve"> (</w:t>
            </w:r>
            <w:r>
              <w:rPr>
                <w:color w:val="000000"/>
              </w:rPr>
              <w:t>28</w:t>
            </w:r>
            <w:r w:rsidRPr="00AC1100">
              <w:rPr>
                <w:color w:val="000000"/>
              </w:rPr>
              <w:t>)</w:t>
            </w:r>
          </w:p>
        </w:tc>
      </w:tr>
      <w:tr w:rsidR="00C22682" w:rsidRPr="0069748F" w14:paraId="5AC11C58" w14:textId="77777777" w:rsidTr="00C17408">
        <w:tc>
          <w:tcPr>
            <w:tcW w:w="1321" w:type="pct"/>
            <w:tcBorders>
              <w:bottom w:val="single" w:sz="4" w:space="0" w:color="auto"/>
            </w:tcBorders>
            <w:shd w:val="clear" w:color="auto" w:fill="auto"/>
            <w:vAlign w:val="center"/>
          </w:tcPr>
          <w:p w14:paraId="3C84F9B4" w14:textId="77777777" w:rsidR="00C22682" w:rsidRPr="000D29BC" w:rsidRDefault="00C22682" w:rsidP="00346EFB">
            <w:pPr>
              <w:pStyle w:val="Tabletext1"/>
              <w:rPr>
                <w:color w:val="000000"/>
              </w:rPr>
            </w:pPr>
            <w:r>
              <w:rPr>
                <w:color w:val="000000"/>
              </w:rPr>
              <w:t>Yan et al (2006+ 2007)</w:t>
            </w:r>
          </w:p>
        </w:tc>
        <w:tc>
          <w:tcPr>
            <w:tcW w:w="1036" w:type="pct"/>
            <w:tcBorders>
              <w:bottom w:val="single" w:sz="4" w:space="0" w:color="auto"/>
            </w:tcBorders>
            <w:shd w:val="clear" w:color="auto" w:fill="auto"/>
          </w:tcPr>
          <w:p w14:paraId="546C4814" w14:textId="77777777" w:rsidR="00C22682" w:rsidRDefault="00C22682" w:rsidP="00346EFB">
            <w:pPr>
              <w:pStyle w:val="Tabletext1"/>
            </w:pPr>
            <w:r w:rsidRPr="000561C5">
              <w:rPr>
                <w:color w:val="000000"/>
              </w:rPr>
              <w:t>IV</w:t>
            </w:r>
          </w:p>
        </w:tc>
        <w:tc>
          <w:tcPr>
            <w:tcW w:w="1255" w:type="pct"/>
            <w:tcBorders>
              <w:bottom w:val="single" w:sz="4" w:space="0" w:color="auto"/>
            </w:tcBorders>
            <w:shd w:val="clear" w:color="auto" w:fill="FFFFFF" w:themeFill="background1"/>
          </w:tcPr>
          <w:p w14:paraId="5916115D" w14:textId="77777777" w:rsidR="00C22682" w:rsidRPr="00AC1100" w:rsidRDefault="00C22682" w:rsidP="00346EFB">
            <w:pPr>
              <w:pStyle w:val="Tabletext1"/>
              <w:rPr>
                <w:color w:val="000000"/>
              </w:rPr>
            </w:pPr>
            <w:r>
              <w:rPr>
                <w:color w:val="000000"/>
              </w:rPr>
              <w:t>16</w:t>
            </w:r>
            <w:r w:rsidRPr="00AC1100">
              <w:rPr>
                <w:color w:val="000000"/>
              </w:rPr>
              <w:t>/</w:t>
            </w:r>
            <w:r>
              <w:rPr>
                <w:color w:val="000000"/>
              </w:rPr>
              <w:t>55</w:t>
            </w:r>
            <w:r w:rsidRPr="00AC1100">
              <w:rPr>
                <w:color w:val="000000"/>
              </w:rPr>
              <w:t xml:space="preserve"> (</w:t>
            </w:r>
            <w:r>
              <w:rPr>
                <w:color w:val="000000"/>
              </w:rPr>
              <w:t>29</w:t>
            </w:r>
            <w:r w:rsidRPr="00AC1100">
              <w:rPr>
                <w:color w:val="000000"/>
              </w:rPr>
              <w:t>)</w:t>
            </w:r>
          </w:p>
        </w:tc>
        <w:tc>
          <w:tcPr>
            <w:tcW w:w="1388" w:type="pct"/>
            <w:tcBorders>
              <w:bottom w:val="single" w:sz="4" w:space="0" w:color="auto"/>
            </w:tcBorders>
            <w:shd w:val="clear" w:color="auto" w:fill="FFFFFF" w:themeFill="background1"/>
          </w:tcPr>
          <w:p w14:paraId="3EA4FE6B" w14:textId="77777777" w:rsidR="00C22682" w:rsidRPr="00AC1100" w:rsidRDefault="00C22682" w:rsidP="00346EFB">
            <w:pPr>
              <w:pStyle w:val="Tabletext1"/>
              <w:rPr>
                <w:color w:val="000000"/>
              </w:rPr>
            </w:pPr>
            <w:r>
              <w:rPr>
                <w:color w:val="000000"/>
              </w:rPr>
              <w:t>9</w:t>
            </w:r>
            <w:r w:rsidRPr="00AC1100">
              <w:rPr>
                <w:color w:val="000000"/>
              </w:rPr>
              <w:t>/</w:t>
            </w:r>
            <w:r>
              <w:rPr>
                <w:color w:val="000000"/>
              </w:rPr>
              <w:t>55</w:t>
            </w:r>
            <w:r w:rsidRPr="00AC1100">
              <w:rPr>
                <w:color w:val="000000"/>
              </w:rPr>
              <w:t xml:space="preserve"> (</w:t>
            </w:r>
            <w:r>
              <w:rPr>
                <w:color w:val="000000"/>
              </w:rPr>
              <w:t>14</w:t>
            </w:r>
            <w:r w:rsidRPr="00AC1100">
              <w:rPr>
                <w:color w:val="000000"/>
              </w:rPr>
              <w:t>)</w:t>
            </w:r>
          </w:p>
        </w:tc>
      </w:tr>
      <w:tr w:rsidR="00C22682" w:rsidRPr="0069748F" w14:paraId="4A10FD9F" w14:textId="77777777" w:rsidTr="00C17408">
        <w:tc>
          <w:tcPr>
            <w:tcW w:w="1321" w:type="pct"/>
            <w:tcBorders>
              <w:bottom w:val="single" w:sz="4" w:space="0" w:color="auto"/>
            </w:tcBorders>
            <w:shd w:val="clear" w:color="auto" w:fill="auto"/>
            <w:vAlign w:val="center"/>
          </w:tcPr>
          <w:p w14:paraId="3D695521" w14:textId="77777777" w:rsidR="00C22682" w:rsidRPr="00866856" w:rsidRDefault="00C22682" w:rsidP="00346EFB">
            <w:pPr>
              <w:pStyle w:val="Tabletext1"/>
              <w:rPr>
                <w:b/>
                <w:snapToGrid w:val="0"/>
                <w:color w:val="000000"/>
              </w:rPr>
            </w:pPr>
            <w:r w:rsidRPr="00866856">
              <w:rPr>
                <w:b/>
                <w:snapToGrid w:val="0"/>
                <w:color w:val="000000"/>
              </w:rPr>
              <w:t>Pooled, n/N (%), per patient</w:t>
            </w:r>
          </w:p>
          <w:p w14:paraId="0CF3A1D1" w14:textId="77777777" w:rsidR="00C22682" w:rsidRPr="00866856" w:rsidRDefault="00C22682" w:rsidP="00346EFB">
            <w:pPr>
              <w:pStyle w:val="Tabletext1"/>
              <w:rPr>
                <w:b/>
                <w:color w:val="000000"/>
              </w:rPr>
            </w:pPr>
            <w:r w:rsidRPr="00866856">
              <w:rPr>
                <w:b/>
                <w:snapToGrid w:val="0"/>
                <w:color w:val="000000"/>
              </w:rPr>
              <w:t xml:space="preserve">Median </w:t>
            </w:r>
            <w:r>
              <w:rPr>
                <w:b/>
                <w:snapToGrid w:val="0"/>
                <w:color w:val="000000"/>
              </w:rPr>
              <w:t xml:space="preserve">% </w:t>
            </w:r>
            <w:r w:rsidRPr="00866856">
              <w:rPr>
                <w:b/>
                <w:snapToGrid w:val="0"/>
                <w:color w:val="000000"/>
              </w:rPr>
              <w:t>(ra</w:t>
            </w:r>
            <w:r>
              <w:rPr>
                <w:b/>
                <w:snapToGrid w:val="0"/>
                <w:color w:val="000000"/>
              </w:rPr>
              <w:t>n</w:t>
            </w:r>
            <w:r w:rsidRPr="00866856">
              <w:rPr>
                <w:b/>
                <w:snapToGrid w:val="0"/>
                <w:color w:val="000000"/>
              </w:rPr>
              <w:t>ge), per patient</w:t>
            </w:r>
          </w:p>
        </w:tc>
        <w:tc>
          <w:tcPr>
            <w:tcW w:w="1036" w:type="pct"/>
            <w:tcBorders>
              <w:bottom w:val="single" w:sz="4" w:space="0" w:color="auto"/>
            </w:tcBorders>
            <w:shd w:val="clear" w:color="auto" w:fill="auto"/>
            <w:vAlign w:val="center"/>
          </w:tcPr>
          <w:p w14:paraId="799385B2" w14:textId="77777777" w:rsidR="00172E96" w:rsidRDefault="00172E96" w:rsidP="00346EFB">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2B7CF567" w14:textId="77777777" w:rsidR="00C22682" w:rsidRPr="00866856" w:rsidRDefault="00C22682" w:rsidP="00346EFB">
            <w:pPr>
              <w:pStyle w:val="Tabletext1"/>
              <w:rPr>
                <w:b/>
                <w:snapToGrid w:val="0"/>
                <w:color w:val="000000"/>
              </w:rPr>
            </w:pPr>
            <w:r w:rsidRPr="00866856">
              <w:rPr>
                <w:rStyle w:val="quality-sign"/>
                <w:rFonts w:eastAsia="MS Mincho" w:cs="MS Mincho"/>
                <w:b/>
                <w:sz w:val="21"/>
                <w:szCs w:val="21"/>
              </w:rPr>
              <w:t>LOW</w:t>
            </w:r>
          </w:p>
        </w:tc>
        <w:tc>
          <w:tcPr>
            <w:tcW w:w="1255" w:type="pct"/>
            <w:tcBorders>
              <w:bottom w:val="single" w:sz="4" w:space="0" w:color="auto"/>
            </w:tcBorders>
            <w:shd w:val="clear" w:color="auto" w:fill="FFFFFF" w:themeFill="background1"/>
          </w:tcPr>
          <w:p w14:paraId="73DF2E15" w14:textId="77777777" w:rsidR="00C22682" w:rsidRPr="00866856" w:rsidRDefault="005E1A24" w:rsidP="00346EFB">
            <w:pPr>
              <w:pStyle w:val="Tabletext1"/>
              <w:rPr>
                <w:b/>
                <w:snapToGrid w:val="0"/>
                <w:color w:val="000000"/>
              </w:rPr>
            </w:pPr>
            <w:r>
              <w:rPr>
                <w:b/>
                <w:snapToGrid w:val="0"/>
                <w:color w:val="000000"/>
              </w:rPr>
              <w:t>46/262 (18</w:t>
            </w:r>
            <w:r w:rsidR="00C22682" w:rsidRPr="00866856">
              <w:rPr>
                <w:b/>
                <w:snapToGrid w:val="0"/>
                <w:color w:val="000000"/>
              </w:rPr>
              <w:t>)</w:t>
            </w:r>
          </w:p>
          <w:p w14:paraId="53F7C846" w14:textId="255AD52E" w:rsidR="00C22682" w:rsidRPr="00866856" w:rsidRDefault="00C22682" w:rsidP="00346EFB">
            <w:pPr>
              <w:pStyle w:val="Tabletext1"/>
              <w:rPr>
                <w:b/>
                <w:snapToGrid w:val="0"/>
                <w:color w:val="000000"/>
              </w:rPr>
            </w:pPr>
            <w:r>
              <w:rPr>
                <w:b/>
                <w:snapToGrid w:val="0"/>
                <w:color w:val="000000"/>
              </w:rPr>
              <w:t>17.5%</w:t>
            </w:r>
            <w:r w:rsidRPr="00866856">
              <w:rPr>
                <w:b/>
                <w:snapToGrid w:val="0"/>
                <w:color w:val="000000"/>
              </w:rPr>
              <w:t xml:space="preserve"> (</w:t>
            </w:r>
            <w:r w:rsidR="005E1A24">
              <w:rPr>
                <w:b/>
                <w:snapToGrid w:val="0"/>
                <w:color w:val="000000"/>
              </w:rPr>
              <w:t>5</w:t>
            </w:r>
            <w:r w:rsidR="00D35E9C">
              <w:rPr>
                <w:b/>
                <w:snapToGrid w:val="0"/>
                <w:color w:val="000000"/>
              </w:rPr>
              <w:t>–</w:t>
            </w:r>
            <w:r w:rsidR="005E1A24">
              <w:rPr>
                <w:b/>
                <w:snapToGrid w:val="0"/>
                <w:color w:val="000000"/>
              </w:rPr>
              <w:t>36</w:t>
            </w:r>
            <w:r w:rsidRPr="00866856">
              <w:rPr>
                <w:b/>
                <w:snapToGrid w:val="0"/>
                <w:color w:val="000000"/>
              </w:rPr>
              <w:t>)</w:t>
            </w:r>
          </w:p>
        </w:tc>
        <w:tc>
          <w:tcPr>
            <w:tcW w:w="1388" w:type="pct"/>
            <w:tcBorders>
              <w:bottom w:val="single" w:sz="4" w:space="0" w:color="auto"/>
            </w:tcBorders>
            <w:shd w:val="clear" w:color="auto" w:fill="FFFFFF" w:themeFill="background1"/>
          </w:tcPr>
          <w:p w14:paraId="63CB0DF4" w14:textId="77777777" w:rsidR="00C22682" w:rsidRPr="00866856" w:rsidRDefault="00C22682" w:rsidP="00346EFB">
            <w:pPr>
              <w:pStyle w:val="Tabletext1"/>
              <w:rPr>
                <w:b/>
                <w:snapToGrid w:val="0"/>
                <w:color w:val="000000"/>
              </w:rPr>
            </w:pPr>
            <w:r w:rsidRPr="00866856">
              <w:rPr>
                <w:b/>
                <w:snapToGrid w:val="0"/>
                <w:color w:val="000000"/>
              </w:rPr>
              <w:t>29/262 (</w:t>
            </w:r>
            <w:r w:rsidR="005E1A24">
              <w:rPr>
                <w:b/>
                <w:snapToGrid w:val="0"/>
                <w:color w:val="000000"/>
              </w:rPr>
              <w:t>11</w:t>
            </w:r>
            <w:r w:rsidRPr="00866856">
              <w:rPr>
                <w:b/>
                <w:snapToGrid w:val="0"/>
                <w:color w:val="000000"/>
              </w:rPr>
              <w:t>)</w:t>
            </w:r>
          </w:p>
          <w:p w14:paraId="7FE33263" w14:textId="285FF798" w:rsidR="00C22682" w:rsidRPr="00866856" w:rsidRDefault="005E1A24" w:rsidP="00346EFB">
            <w:pPr>
              <w:pStyle w:val="Tabletext1"/>
              <w:rPr>
                <w:b/>
                <w:snapToGrid w:val="0"/>
                <w:color w:val="000000"/>
              </w:rPr>
            </w:pPr>
            <w:r>
              <w:rPr>
                <w:b/>
                <w:snapToGrid w:val="0"/>
                <w:color w:val="000000"/>
              </w:rPr>
              <w:t>10% (3</w:t>
            </w:r>
            <w:r w:rsidR="00D35E9C">
              <w:rPr>
                <w:b/>
                <w:snapToGrid w:val="0"/>
                <w:color w:val="000000"/>
              </w:rPr>
              <w:t>–</w:t>
            </w:r>
            <w:r>
              <w:rPr>
                <w:b/>
                <w:snapToGrid w:val="0"/>
                <w:color w:val="000000"/>
              </w:rPr>
              <w:t>24</w:t>
            </w:r>
            <w:r w:rsidR="00C22682">
              <w:rPr>
                <w:b/>
                <w:snapToGrid w:val="0"/>
                <w:color w:val="000000"/>
              </w:rPr>
              <w:t>)</w:t>
            </w:r>
          </w:p>
        </w:tc>
      </w:tr>
    </w:tbl>
    <w:p w14:paraId="08DE87C5" w14:textId="39F93384" w:rsidR="00FB16B5" w:rsidRPr="00FB16B5" w:rsidRDefault="007B503C" w:rsidP="005E1A24">
      <w:pPr>
        <w:pStyle w:val="Tablenotes0"/>
      </w:pPr>
      <w:r>
        <w:t xml:space="preserve">&lt; </w:t>
      </w:r>
      <w:proofErr w:type="gramStart"/>
      <w:r w:rsidR="00FB16B5" w:rsidRPr="00FB16B5">
        <w:t>n/N</w:t>
      </w:r>
      <w:proofErr w:type="gramEnd"/>
      <w:r w:rsidR="00FB16B5" w:rsidRPr="00FB16B5">
        <w:t xml:space="preserve"> (%)</w:t>
      </w:r>
      <w:r w:rsidR="003E4064">
        <w:t xml:space="preserve"> </w:t>
      </w:r>
      <w:r w:rsidR="00FB16B5" w:rsidRPr="00FB16B5">
        <w:t xml:space="preserve">= number </w:t>
      </w:r>
      <w:r>
        <w:t>with event/ total (percentage</w:t>
      </w:r>
      <w:r w:rsidR="007D2EAB">
        <w:t>)</w:t>
      </w:r>
      <w:r>
        <w:t xml:space="preserve"> &gt;</w:t>
      </w:r>
    </w:p>
    <w:p w14:paraId="5C0B3D39" w14:textId="4A2A50BB" w:rsidR="00172E96" w:rsidRDefault="00172E96" w:rsidP="005E1A24">
      <w:pPr>
        <w:pStyle w:val="Tablenotes0"/>
      </w:pPr>
      <w:r w:rsidRPr="00E10B76">
        <w:rPr>
          <w:vertAlign w:val="superscript"/>
        </w:rPr>
        <w:t xml:space="preserve"> </w:t>
      </w:r>
      <w:r w:rsidRPr="00E10B76">
        <w:t>GRADE Working Group grades of evidence</w:t>
      </w:r>
      <w:r>
        <w:t xml:space="preserve"> (Guyatt et al., 2013</w:t>
      </w:r>
      <w:r w:rsidR="00CA6DFD">
        <w:t>)</w:t>
      </w:r>
      <w:r w:rsidR="003E4064">
        <w:t>.</w:t>
      </w:r>
      <w:r w:rsidR="00CA6DFD">
        <w:t xml:space="preserve">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36389770" w14:textId="40D15E52" w:rsidR="00C22682" w:rsidRDefault="00FF5480" w:rsidP="006F0BB3">
      <w:pPr>
        <w:pStyle w:val="Tablenotes0"/>
        <w:rPr>
          <w:color w:val="000000"/>
          <w:sz w:val="20"/>
        </w:rPr>
      </w:pPr>
      <w:proofErr w:type="gramStart"/>
      <w:r>
        <w:rPr>
          <w:rStyle w:val="TablenotesChar0"/>
        </w:rPr>
        <w:t>a</w:t>
      </w:r>
      <w:proofErr w:type="gramEnd"/>
      <w:r>
        <w:rPr>
          <w:rStyle w:val="TablenotesChar0"/>
        </w:rPr>
        <w:t xml:space="preserve"> </w:t>
      </w:r>
      <w:r w:rsidR="00C22682" w:rsidRPr="00172E96">
        <w:rPr>
          <w:rStyle w:val="TablenotesChar0"/>
        </w:rPr>
        <w:t xml:space="preserve">10/56 additional patients had </w:t>
      </w:r>
      <w:r w:rsidR="00C22682" w:rsidRPr="006F0BB3">
        <w:rPr>
          <w:rStyle w:val="TablenotesChar0"/>
          <w:snapToGrid w:val="0"/>
        </w:rPr>
        <w:t>minor</w:t>
      </w:r>
      <w:r w:rsidR="00C22682" w:rsidRPr="00172E96">
        <w:rPr>
          <w:rStyle w:val="TablenotesChar0"/>
        </w:rPr>
        <w:t xml:space="preserve"> self-limiting complications including pneumothorax and cough, but the total number of each type of complication was not reported</w:t>
      </w:r>
      <w:r w:rsidR="00C22682" w:rsidRPr="00C10351">
        <w:rPr>
          <w:color w:val="000000"/>
          <w:sz w:val="20"/>
        </w:rPr>
        <w:t>.</w:t>
      </w:r>
    </w:p>
    <w:p w14:paraId="5C7EA55D" w14:textId="77777777" w:rsidR="00662489" w:rsidRDefault="00662489" w:rsidP="003F6C66">
      <w:pPr>
        <w:pStyle w:val="Heading3"/>
      </w:pPr>
      <w:bookmarkStart w:id="297" w:name="_Toc460396052"/>
      <w:r>
        <w:lastRenderedPageBreak/>
        <w:t>Other adverse events</w:t>
      </w:r>
      <w:bookmarkEnd w:id="297"/>
    </w:p>
    <w:p w14:paraId="019ABA1B" w14:textId="21828870" w:rsidR="0061371B" w:rsidRDefault="0061371B" w:rsidP="0061371B">
      <w:r>
        <w:t xml:space="preserve">Other adverse events were reported variably across the included studies, and were rarely reported according to standardised grading criteria for severity. As a result, it is difficult to summarise the incidence of major and minor adverse events that occurred across the included studies. </w:t>
      </w:r>
      <w:r>
        <w:fldChar w:fldCharType="begin"/>
      </w:r>
      <w:r>
        <w:instrText xml:space="preserve"> REF _Ref457382423 \h </w:instrText>
      </w:r>
      <w:r>
        <w:fldChar w:fldCharType="separate"/>
      </w:r>
      <w:r w:rsidR="00D170A5" w:rsidRPr="00172E96">
        <w:t xml:space="preserve">Table </w:t>
      </w:r>
      <w:r w:rsidR="00D170A5">
        <w:rPr>
          <w:noProof/>
        </w:rPr>
        <w:t>46</w:t>
      </w:r>
      <w:r>
        <w:fldChar w:fldCharType="end"/>
      </w:r>
      <w:r>
        <w:t xml:space="preserve"> describes the overall rate of adverse events that were directly related to RFA therapy, as reported by at least two studies. The pneumonitis group included cases of pneumonitis, infection, and pneumonia. Pneumonia was a rare event in the RFA studies, which occurred in three patients in one study</w:t>
      </w:r>
      <w:r w:rsidR="00FA6FD5">
        <w:t xml:space="preserve"> </w:t>
      </w:r>
      <w:r w:rsidR="009B1754">
        <w:fldChar w:fldCharType="begin">
          <w:fldData xml:space="preserve">PEVuZE5vdGU+PENpdGU+PEF1dGhvcj5Wb24gTWV5ZW5mZWxkdDwvQXV0aG9yPjxZZWFyPjIwMTE8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194054">
        <w:instrText xml:space="preserve"> ADDIN EN.CITE </w:instrText>
      </w:r>
      <w:r w:rsidR="00194054">
        <w:fldChar w:fldCharType="begin">
          <w:fldData xml:space="preserve">PEVuZE5vdGU+PENpdGU+PEF1dGhvcj5Wb24gTWV5ZW5mZWxkdDwvQXV0aG9yPjxZZWFyPjIwMTE8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</w:fldData>
        </w:fldChar>
      </w:r>
      <w:r w:rsidR="00194054">
        <w:instrText xml:space="preserve"> ADDIN EN.CITE.DATA </w:instrText>
      </w:r>
      <w:r w:rsidR="00194054">
        <w:fldChar w:fldCharType="end"/>
      </w:r>
      <w:r w:rsidR="009B1754">
        <w:fldChar w:fldCharType="separate"/>
      </w:r>
      <w:r w:rsidR="009B1754">
        <w:rPr>
          <w:noProof/>
        </w:rPr>
        <w:t>(</w:t>
      </w:r>
      <w:hyperlink w:anchor="_ENREF_169" w:tooltip="Von Meyenfeldt, 2011 #176" w:history="1">
        <w:r w:rsidR="00320458">
          <w:rPr>
            <w:noProof/>
          </w:rPr>
          <w:t>Von Meyenfeldt et al 2011</w:t>
        </w:r>
      </w:hyperlink>
      <w:r w:rsidR="009B1754">
        <w:rPr>
          <w:noProof/>
        </w:rPr>
        <w:t>)</w:t>
      </w:r>
      <w:r w:rsidR="009B1754">
        <w:fldChar w:fldCharType="end"/>
      </w:r>
      <w:r>
        <w:t xml:space="preserve">. Pain (median 9.0%, range </w:t>
      </w:r>
      <w:r w:rsidRPr="00BA03F3">
        <w:t>7.3%</w:t>
      </w:r>
      <w:r w:rsidR="00D35E9C">
        <w:t>–</w:t>
      </w:r>
      <w:r w:rsidRPr="00BA03F3">
        <w:t>27.6%</w:t>
      </w:r>
      <w:r>
        <w:t xml:space="preserve">) was the second most commonly reported adverse event behind pneumothorax, followed by haemoptysis (median </w:t>
      </w:r>
      <w:r w:rsidRPr="00BA03F3">
        <w:t xml:space="preserve"> </w:t>
      </w:r>
      <w:r w:rsidRPr="00CF16BF">
        <w:t>8.8%, range 8.6%</w:t>
      </w:r>
      <w:r w:rsidR="00D35E9C">
        <w:t>–</w:t>
      </w:r>
      <w:r w:rsidRPr="00CF16BF">
        <w:t>9.0%</w:t>
      </w:r>
      <w:r>
        <w:t xml:space="preserve">), and pleural effusion </w:t>
      </w:r>
      <w:r w:rsidRPr="00AB30A5">
        <w:t>(median 5.9%, range 2.0%</w:t>
      </w:r>
      <w:r w:rsidR="00D35E9C">
        <w:t>–</w:t>
      </w:r>
      <w:r w:rsidRPr="00AB30A5">
        <w:t>16.0%</w:t>
      </w:r>
      <w:r>
        <w:t>).</w:t>
      </w:r>
      <w:r w:rsidRPr="00030D70">
        <w:t xml:space="preserve"> </w:t>
      </w:r>
      <w:r>
        <w:t>Post-ablation syndrome was not reported in any study. Brachial and phrenic neuropathies were reported in 3/113 (2.7%) and 2/113 (1.8%) patients respectively, across two studies</w:t>
      </w:r>
      <w:r w:rsidR="00FA6FD5">
        <w:t xml:space="preserve"> </w:t>
      </w:r>
      <w:r w:rsidR="009B1754">
        <w:fldChar w:fldCharType="begin">
          <w:fldData xml:space="preserve">PEVuZE5vdGU+PENpdGU+PEF1dGhvcj5NYXRzdWk8L0F1dGhvcj48WWVhcj4yMDE1PC9ZZWFyPjxS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</w:fldData>
        </w:fldChar>
      </w:r>
      <w:r w:rsidR="00194054">
        <w:instrText xml:space="preserve"> ADDIN EN.CITE </w:instrText>
      </w:r>
      <w:r w:rsidR="00194054">
        <w:fldChar w:fldCharType="begin">
          <w:fldData xml:space="preserve">PEVuZE5vdGU+PENpdGU+PEF1dGhvcj5NYXRzdWk8L0F1dGhvcj48WWVhcj4yMDE1PC9ZZWFyPjxS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</w:fldData>
        </w:fldChar>
      </w:r>
      <w:r w:rsidR="00194054">
        <w:instrText xml:space="preserve"> ADDIN EN.CITE.DATA </w:instrText>
      </w:r>
      <w:r w:rsidR="00194054">
        <w:fldChar w:fldCharType="end"/>
      </w:r>
      <w:r w:rsidR="009B1754">
        <w:fldChar w:fldCharType="separate"/>
      </w:r>
      <w:r w:rsidR="009B1754">
        <w:rPr>
          <w:noProof/>
        </w:rPr>
        <w:t>(</w:t>
      </w:r>
      <w:hyperlink w:anchor="_ENREF_102" w:tooltip="Matsui, 2015 #175" w:history="1">
        <w:r w:rsidR="00320458">
          <w:rPr>
            <w:noProof/>
          </w:rPr>
          <w:t>Matsui et al 2015</w:t>
        </w:r>
      </w:hyperlink>
      <w:r w:rsidR="009B1754">
        <w:rPr>
          <w:noProof/>
        </w:rPr>
        <w:t xml:space="preserve">; </w:t>
      </w:r>
      <w:hyperlink w:anchor="_ENREF_126" w:tooltip="Ridge, 2014 #165" w:history="1">
        <w:r w:rsidR="00320458">
          <w:rPr>
            <w:noProof/>
          </w:rPr>
          <w:t>Ridge et al 2014</w:t>
        </w:r>
      </w:hyperlink>
      <w:r w:rsidR="009B1754">
        <w:rPr>
          <w:noProof/>
        </w:rPr>
        <w:t>)</w:t>
      </w:r>
      <w:r w:rsidR="009B1754">
        <w:fldChar w:fldCharType="end"/>
      </w:r>
      <w:r>
        <w:t xml:space="preserve">. </w:t>
      </w:r>
    </w:p>
    <w:p w14:paraId="27E23EB4" w14:textId="77777777" w:rsidR="0061371B" w:rsidRDefault="0061371B" w:rsidP="0061371B">
      <w:r>
        <w:t xml:space="preserve">In addition to the adverse events listed in </w:t>
      </w:r>
      <w:r>
        <w:fldChar w:fldCharType="begin"/>
      </w:r>
      <w:r>
        <w:instrText xml:space="preserve"> REF _Ref457382423 \h </w:instrText>
      </w:r>
      <w:r>
        <w:fldChar w:fldCharType="separate"/>
      </w:r>
      <w:r w:rsidR="00D170A5" w:rsidRPr="00172E96">
        <w:t xml:space="preserve">Table </w:t>
      </w:r>
      <w:r w:rsidR="00D170A5">
        <w:rPr>
          <w:noProof/>
        </w:rPr>
        <w:t>46</w:t>
      </w:r>
      <w:r>
        <w:fldChar w:fldCharType="end"/>
      </w:r>
      <w:r>
        <w:t xml:space="preserve">, a range of studies reported additional adverse events not detected in the other studies. These included: </w:t>
      </w:r>
    </w:p>
    <w:p w14:paraId="2D8C4F44" w14:textId="19FCF41D" w:rsidR="0061371B" w:rsidRDefault="0061371B" w:rsidP="009970F5">
      <w:pPr>
        <w:pStyle w:val="ListParagraph"/>
        <w:numPr>
          <w:ilvl w:val="0"/>
          <w:numId w:val="13"/>
        </w:numPr>
        <w:contextualSpacing/>
      </w:pPr>
      <w:r>
        <w:t xml:space="preserve">one case of </w:t>
      </w:r>
      <w:r w:rsidR="00CA6DFD">
        <w:t>dyspnoea</w:t>
      </w:r>
      <w:r w:rsidR="00D6190D">
        <w:t xml:space="preserve"> </w:t>
      </w:r>
      <w:r w:rsidR="009B1754">
        <w:fldChar w:fldCharType="begin">
          <w:fldData xml:space="preserve">PEVuZE5vdGU+PENpdGU+PEF1dGhvcj5EdXB1eTwvQXV0aG9yPjxZZWFyPjIwMTU8L1llYXI+PFJl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194054">
        <w:instrText xml:space="preserve"> ADDIN EN.CITE </w:instrText>
      </w:r>
      <w:r w:rsidR="00194054">
        <w:fldChar w:fldCharType="begin">
          <w:fldData xml:space="preserve">PEVuZE5vdGU+PENpdGU+PEF1dGhvcj5EdXB1eTwvQXV0aG9yPjxZZWFyPjIwMTU8L1llYXI+PFJl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194054">
        <w:instrText xml:space="preserve"> ADDIN EN.CITE.DATA </w:instrText>
      </w:r>
      <w:r w:rsidR="00194054">
        <w:fldChar w:fldCharType="end"/>
      </w:r>
      <w:r w:rsidR="009B1754">
        <w:fldChar w:fldCharType="separate"/>
      </w:r>
      <w:r w:rsidR="009B1754">
        <w:rPr>
          <w:noProof/>
        </w:rPr>
        <w:t>(</w:t>
      </w:r>
      <w:hyperlink w:anchor="_ENREF_46" w:tooltip="Dupuy, 2015 #161" w:history="1">
        <w:r w:rsidR="00320458">
          <w:rPr>
            <w:noProof/>
          </w:rPr>
          <w:t>Dupuy et al 2015</w:t>
        </w:r>
      </w:hyperlink>
      <w:r w:rsidR="009B1754">
        <w:rPr>
          <w:noProof/>
        </w:rPr>
        <w:t>)</w:t>
      </w:r>
      <w:r w:rsidR="009B1754">
        <w:fldChar w:fldCharType="end"/>
      </w:r>
      <w:r w:rsidR="0028328A">
        <w:t>;</w:t>
      </w:r>
    </w:p>
    <w:p w14:paraId="7AC9BACE" w14:textId="2F433FA2" w:rsidR="00D6190D" w:rsidRDefault="0061371B" w:rsidP="009970F5">
      <w:pPr>
        <w:pStyle w:val="ListParagraph"/>
        <w:numPr>
          <w:ilvl w:val="0"/>
          <w:numId w:val="13"/>
        </w:numPr>
        <w:contextualSpacing/>
      </w:pPr>
      <w:r>
        <w:t xml:space="preserve">one case of hypoxia </w:t>
      </w:r>
      <w:r w:rsidR="009B1754">
        <w:fldChar w:fldCharType="begin">
          <w:fldData xml:space="preserve">PEVuZE5vdGU+PENpdGU+PEF1dGhvcj5EdXB1eTwvQXV0aG9yPjxZZWFyPjIwMTU8L1llYXI+PFJl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194054">
        <w:instrText xml:space="preserve"> ADDIN EN.CITE </w:instrText>
      </w:r>
      <w:r w:rsidR="00194054">
        <w:fldChar w:fldCharType="begin">
          <w:fldData xml:space="preserve">PEVuZE5vdGU+PENpdGU+PEF1dGhvcj5EdXB1eTwvQXV0aG9yPjxZZWFyPjIwMTU8L1llYXI+PFJl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194054">
        <w:instrText xml:space="preserve"> ADDIN EN.CITE.DATA </w:instrText>
      </w:r>
      <w:r w:rsidR="00194054">
        <w:fldChar w:fldCharType="end"/>
      </w:r>
      <w:r w:rsidR="009B1754">
        <w:fldChar w:fldCharType="separate"/>
      </w:r>
      <w:r w:rsidR="009B1754">
        <w:rPr>
          <w:noProof/>
        </w:rPr>
        <w:t>(</w:t>
      </w:r>
      <w:hyperlink w:anchor="_ENREF_46" w:tooltip="Dupuy, 2015 #161" w:history="1">
        <w:r w:rsidR="00320458">
          <w:rPr>
            <w:noProof/>
          </w:rPr>
          <w:t>Dupuy et al 2015</w:t>
        </w:r>
      </w:hyperlink>
      <w:r w:rsidR="009B1754">
        <w:rPr>
          <w:noProof/>
        </w:rPr>
        <w:t>)</w:t>
      </w:r>
      <w:r w:rsidR="009B1754">
        <w:fldChar w:fldCharType="end"/>
      </w:r>
      <w:r w:rsidR="0028328A">
        <w:t>;</w:t>
      </w:r>
    </w:p>
    <w:p w14:paraId="281063E4" w14:textId="0BCABDC3" w:rsidR="0061371B" w:rsidRDefault="0061371B" w:rsidP="009970F5">
      <w:pPr>
        <w:pStyle w:val="ListParagraph"/>
        <w:numPr>
          <w:ilvl w:val="0"/>
          <w:numId w:val="13"/>
        </w:numPr>
        <w:contextualSpacing/>
      </w:pPr>
      <w:r>
        <w:t xml:space="preserve">one case of broncho-pleural fistula </w:t>
      </w:r>
      <w:r w:rsidR="009B1754">
        <w:fldChar w:fldCharType="begin">
          <w:fldData xml:space="preserve">PEVuZE5vdGU+PENpdGU+PEF1dGhvcj5IaXJha2k8L0F1dGhvcj48WWVhcj4yMDExPC9ZZWFyPjxS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194054">
        <w:instrText xml:space="preserve"> ADDIN EN.CITE </w:instrText>
      </w:r>
      <w:r w:rsidR="00194054">
        <w:fldChar w:fldCharType="begin">
          <w:fldData xml:space="preserve">PEVuZE5vdGU+PENpdGU+PEF1dGhvcj5IaXJha2k8L0F1dGhvcj48WWVhcj4yMDExPC9ZZWFyPjxS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194054">
        <w:instrText xml:space="preserve"> ADDIN EN.CITE.DATA </w:instrText>
      </w:r>
      <w:r w:rsidR="00194054">
        <w:fldChar w:fldCharType="end"/>
      </w:r>
      <w:r w:rsidR="009B1754">
        <w:fldChar w:fldCharType="separate"/>
      </w:r>
      <w:r w:rsidR="009B1754">
        <w:rPr>
          <w:noProof/>
        </w:rPr>
        <w:t>(</w:t>
      </w:r>
      <w:hyperlink w:anchor="_ENREF_69" w:tooltip="Hiraki, 2011 #162" w:history="1">
        <w:r w:rsidR="00320458">
          <w:rPr>
            <w:noProof/>
          </w:rPr>
          <w:t>Hiraki et al 2011a</w:t>
        </w:r>
      </w:hyperlink>
      <w:r w:rsidR="009B1754">
        <w:rPr>
          <w:noProof/>
        </w:rPr>
        <w:t>)</w:t>
      </w:r>
      <w:r w:rsidR="009B1754">
        <w:fldChar w:fldCharType="end"/>
      </w:r>
      <w:r w:rsidR="0028328A">
        <w:t>;</w:t>
      </w:r>
    </w:p>
    <w:p w14:paraId="17D4E50B" w14:textId="318481DA" w:rsidR="00D6190D" w:rsidRDefault="0061371B" w:rsidP="009970F5">
      <w:pPr>
        <w:pStyle w:val="ListParagraph"/>
        <w:numPr>
          <w:ilvl w:val="0"/>
          <w:numId w:val="13"/>
        </w:numPr>
        <w:contextualSpacing/>
      </w:pPr>
      <w:r>
        <w:t xml:space="preserve">four cases of minor skin burns </w:t>
      </w:r>
      <w:r w:rsidR="009B1754">
        <w:fldChar w:fldCharType="begin">
          <w:fldData xml:space="preserve">PEVuZE5vdGU+PENpdGU+PEF1dGhvcj5EZSBCYWVyZTwvQXV0aG9yPjxZZWFyPjIwMTU8L1llYXI+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AB722F">
        <w:instrText xml:space="preserve"> ADDIN EN.CITE </w:instrText>
      </w:r>
      <w:r w:rsidR="00AB722F">
        <w:fldChar w:fldCharType="begin">
          <w:fldData xml:space="preserve">PEVuZE5vdGU+PENpdGU+PEF1dGhvcj5EZSBCYWVyZTwvQXV0aG9yPjxZZWFyPjIwMTU8L1llYXI+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AB722F">
        <w:instrText xml:space="preserve"> ADDIN EN.CITE.DATA </w:instrText>
      </w:r>
      <w:r w:rsidR="00AB722F">
        <w:fldChar w:fldCharType="end"/>
      </w:r>
      <w:r w:rsidR="009B1754">
        <w:fldChar w:fldCharType="separate"/>
      </w:r>
      <w:r w:rsidR="00AB722F">
        <w:rPr>
          <w:noProof/>
        </w:rPr>
        <w:t>(</w:t>
      </w:r>
      <w:hyperlink w:anchor="_ENREF_35" w:tooltip="De Baere, 2015 #168" w:history="1">
        <w:r w:rsidR="00320458">
          <w:rPr>
            <w:noProof/>
          </w:rPr>
          <w:t>De Baere et al 2015a</w:t>
        </w:r>
      </w:hyperlink>
      <w:r w:rsidR="00AB722F">
        <w:rPr>
          <w:noProof/>
        </w:rPr>
        <w:t>)</w:t>
      </w:r>
      <w:r w:rsidR="009B1754">
        <w:fldChar w:fldCharType="end"/>
      </w:r>
      <w:r w:rsidR="0028328A">
        <w:t>;</w:t>
      </w:r>
    </w:p>
    <w:p w14:paraId="5D6387D9" w14:textId="5AE74357" w:rsidR="00D6190D" w:rsidRDefault="0061371B" w:rsidP="009970F5">
      <w:pPr>
        <w:pStyle w:val="ListParagraph"/>
        <w:numPr>
          <w:ilvl w:val="0"/>
          <w:numId w:val="13"/>
        </w:numPr>
        <w:contextualSpacing/>
      </w:pPr>
      <w:r>
        <w:t xml:space="preserve">one case of </w:t>
      </w:r>
      <w:r w:rsidR="00FB5F4A">
        <w:t>pneumomediastinum</w:t>
      </w:r>
      <w:r>
        <w:t xml:space="preserve"> </w:t>
      </w:r>
      <w:r w:rsidR="009B1754">
        <w:fldChar w:fldCharType="begin">
          <w:fldData xml:space="preserve">PEVuZE5vdGU+PENpdGU+PEF1dGhvcj5WaXRpPC9BdXRob3I+PFllYXI+MjAxNDwvWWVhcj48UmVj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</w:fldData>
        </w:fldChar>
      </w:r>
      <w:r w:rsidR="00194054">
        <w:instrText xml:space="preserve"> ADDIN EN.CITE </w:instrText>
      </w:r>
      <w:r w:rsidR="00194054">
        <w:fldChar w:fldCharType="begin">
          <w:fldData xml:space="preserve">PEVuZE5vdGU+PENpdGU+PEF1dGhvcj5WaXRpPC9BdXRob3I+PFllYXI+MjAxNDwvWWVhcj48UmVj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</w:fldData>
        </w:fldChar>
      </w:r>
      <w:r w:rsidR="00194054">
        <w:instrText xml:space="preserve"> ADDIN EN.CITE.DATA </w:instrText>
      </w:r>
      <w:r w:rsidR="00194054">
        <w:fldChar w:fldCharType="end"/>
      </w:r>
      <w:r w:rsidR="009B1754">
        <w:fldChar w:fldCharType="separate"/>
      </w:r>
      <w:r w:rsidR="009B1754">
        <w:rPr>
          <w:noProof/>
        </w:rPr>
        <w:t>(</w:t>
      </w:r>
      <w:hyperlink w:anchor="_ENREF_166" w:tooltip="Viti, 2014 #166" w:history="1">
        <w:r w:rsidR="00320458">
          <w:rPr>
            <w:noProof/>
          </w:rPr>
          <w:t>Viti et al 2014</w:t>
        </w:r>
      </w:hyperlink>
      <w:r w:rsidR="009B1754">
        <w:rPr>
          <w:noProof/>
        </w:rPr>
        <w:t>)</w:t>
      </w:r>
      <w:r w:rsidR="009B1754">
        <w:fldChar w:fldCharType="end"/>
      </w:r>
      <w:r w:rsidR="0028328A">
        <w:t>;</w:t>
      </w:r>
    </w:p>
    <w:p w14:paraId="4E5F7A28" w14:textId="06E339F3" w:rsidR="0061371B" w:rsidRDefault="0061371B" w:rsidP="009970F5">
      <w:pPr>
        <w:pStyle w:val="ListParagraph"/>
        <w:numPr>
          <w:ilvl w:val="0"/>
          <w:numId w:val="13"/>
        </w:numPr>
        <w:contextualSpacing/>
      </w:pPr>
      <w:r>
        <w:t xml:space="preserve">one case of </w:t>
      </w:r>
      <w:r w:rsidR="00D6190D">
        <w:t xml:space="preserve">worsening stridor </w:t>
      </w:r>
      <w:r w:rsidR="009B1754">
        <w:fldChar w:fldCharType="begin">
          <w:fldData xml:space="preserve">PEVuZE5vdGU+PENpdGU+PEF1dGhvcj5SaWRnZTwvQXV0aG9yPjxZZWFyPjIwMTQ8L1llYXI+PFJl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194054">
        <w:instrText xml:space="preserve"> ADDIN EN.CITE </w:instrText>
      </w:r>
      <w:r w:rsidR="00194054">
        <w:fldChar w:fldCharType="begin">
          <w:fldData xml:space="preserve">PEVuZE5vdGU+PENpdGU+PEF1dGhvcj5SaWRnZTwvQXV0aG9yPjxZZWFyPjIwMTQ8L1llYXI+PFJl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194054">
        <w:instrText xml:space="preserve"> ADDIN EN.CITE.DATA </w:instrText>
      </w:r>
      <w:r w:rsidR="00194054">
        <w:fldChar w:fldCharType="end"/>
      </w:r>
      <w:r w:rsidR="009B1754">
        <w:fldChar w:fldCharType="separate"/>
      </w:r>
      <w:r w:rsidR="009B1754">
        <w:rPr>
          <w:noProof/>
        </w:rPr>
        <w:t>(</w:t>
      </w:r>
      <w:hyperlink w:anchor="_ENREF_126" w:tooltip="Ridge, 2014 #165" w:history="1">
        <w:r w:rsidR="00320458">
          <w:rPr>
            <w:noProof/>
          </w:rPr>
          <w:t>Ridge et al 2014</w:t>
        </w:r>
      </w:hyperlink>
      <w:r w:rsidR="009B1754">
        <w:rPr>
          <w:noProof/>
        </w:rPr>
        <w:t>)</w:t>
      </w:r>
      <w:r w:rsidR="009B1754">
        <w:fldChar w:fldCharType="end"/>
      </w:r>
    </w:p>
    <w:p w14:paraId="3FDE20B4" w14:textId="45BB0BDB" w:rsidR="0061371B" w:rsidRDefault="0061371B" w:rsidP="009970F5">
      <w:pPr>
        <w:pStyle w:val="ListParagraph"/>
        <w:numPr>
          <w:ilvl w:val="0"/>
          <w:numId w:val="13"/>
        </w:numPr>
        <w:contextualSpacing/>
      </w:pPr>
      <w:r>
        <w:t xml:space="preserve">two cases of self-liming aerodermectasia </w:t>
      </w:r>
      <w:r w:rsidR="009B1754">
        <w:fldChar w:fldCharType="begin">
          <w:fldData xml:space="preserve">PEVuZE5vdGU+PENpdGU+PEF1dGhvcj5MdTwvQXV0aG9yPjxZZWFyPjIwMTU8L1llYXI+PFJlY051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194054">
        <w:instrText xml:space="preserve"> ADDIN EN.CITE </w:instrText>
      </w:r>
      <w:r w:rsidR="00194054">
        <w:fldChar w:fldCharType="begin">
          <w:fldData xml:space="preserve">PEVuZE5vdGU+PENpdGU+PEF1dGhvcj5MdTwvQXV0aG9yPjxZZWFyPjIwMTU8L1llYXI+PFJlY051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194054">
        <w:instrText xml:space="preserve"> ADDIN EN.CITE.DATA </w:instrText>
      </w:r>
      <w:r w:rsidR="00194054">
        <w:fldChar w:fldCharType="end"/>
      </w:r>
      <w:r w:rsidR="009B1754">
        <w:fldChar w:fldCharType="separate"/>
      </w:r>
      <w:r w:rsidR="009B1754">
        <w:rPr>
          <w:noProof/>
        </w:rPr>
        <w:t>(</w:t>
      </w:r>
      <w:hyperlink w:anchor="_ENREF_98" w:tooltip="Lu, 2015 #173" w:history="1">
        <w:r w:rsidR="00320458">
          <w:rPr>
            <w:noProof/>
          </w:rPr>
          <w:t>Lu et al 2015a</w:t>
        </w:r>
      </w:hyperlink>
      <w:r w:rsidR="009B1754">
        <w:rPr>
          <w:noProof/>
        </w:rPr>
        <w:t>)</w:t>
      </w:r>
      <w:r w:rsidR="009B1754">
        <w:fldChar w:fldCharType="end"/>
      </w:r>
      <w:r w:rsidR="0028328A">
        <w:t>; and</w:t>
      </w:r>
    </w:p>
    <w:p w14:paraId="479980DE" w14:textId="5370956E" w:rsidR="0061371B" w:rsidRDefault="0061371B" w:rsidP="009970F5">
      <w:pPr>
        <w:pStyle w:val="ListParagraph"/>
        <w:numPr>
          <w:ilvl w:val="0"/>
          <w:numId w:val="13"/>
        </w:numPr>
        <w:contextualSpacing/>
      </w:pPr>
      <w:proofErr w:type="gramStart"/>
      <w:r>
        <w:t>one</w:t>
      </w:r>
      <w:proofErr w:type="gramEnd"/>
      <w:r>
        <w:t xml:space="preserve"> case of vomiting </w:t>
      </w:r>
      <w:r w:rsidR="009B1754">
        <w:fldChar w:fldCharType="begin">
          <w:fldData xml:space="preserve">PEVuZE5vdGU+PENpdGU+PEF1dGhvcj5MdTwvQXV0aG9yPjxZZWFyPjIwMTU8L1llYXI+PFJlY051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194054">
        <w:instrText xml:space="preserve"> ADDIN EN.CITE </w:instrText>
      </w:r>
      <w:r w:rsidR="00194054">
        <w:fldChar w:fldCharType="begin">
          <w:fldData xml:space="preserve">PEVuZE5vdGU+PENpdGU+PEF1dGhvcj5MdTwvQXV0aG9yPjxZZWFyPjIwMTU8L1llYXI+PFJlY051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194054">
        <w:instrText xml:space="preserve"> ADDIN EN.CITE.DATA </w:instrText>
      </w:r>
      <w:r w:rsidR="00194054">
        <w:fldChar w:fldCharType="end"/>
      </w:r>
      <w:r w:rsidR="009B1754">
        <w:fldChar w:fldCharType="separate"/>
      </w:r>
      <w:r w:rsidR="009B1754">
        <w:rPr>
          <w:noProof/>
        </w:rPr>
        <w:t>(</w:t>
      </w:r>
      <w:hyperlink w:anchor="_ENREF_98" w:tooltip="Lu, 2015 #173" w:history="1">
        <w:r w:rsidR="00320458">
          <w:rPr>
            <w:noProof/>
          </w:rPr>
          <w:t>Lu et al 2015a</w:t>
        </w:r>
      </w:hyperlink>
      <w:r w:rsidR="009B1754">
        <w:rPr>
          <w:noProof/>
        </w:rPr>
        <w:t>)</w:t>
      </w:r>
      <w:r w:rsidR="009B1754">
        <w:fldChar w:fldCharType="end"/>
      </w:r>
      <w:r w:rsidR="0028328A">
        <w:t>.</w:t>
      </w:r>
    </w:p>
    <w:p w14:paraId="66F19891" w14:textId="77777777" w:rsidR="0061371B" w:rsidRPr="00183E4D" w:rsidRDefault="0061371B" w:rsidP="0061371B">
      <w:pPr>
        <w:pStyle w:val="Caption"/>
        <w:keepNext/>
        <w:rPr>
          <w:rFonts w:cs="Arial"/>
          <w:snapToGrid w:val="0"/>
          <w:szCs w:val="16"/>
          <w:lang w:eastAsia="en-US"/>
        </w:rPr>
      </w:pPr>
      <w:bookmarkStart w:id="298" w:name="_Ref457382423"/>
      <w:bookmarkStart w:id="299" w:name="_Toc460514704"/>
      <w:r w:rsidRPr="00172E96">
        <w:t xml:space="preserve">Table </w:t>
      </w:r>
      <w:fldSimple w:instr=" SEQ Table \* ARABIC ">
        <w:r w:rsidR="00D170A5">
          <w:rPr>
            <w:noProof/>
          </w:rPr>
          <w:t>46</w:t>
        </w:r>
      </w:fldSimple>
      <w:bookmarkEnd w:id="298"/>
      <w:r w:rsidRPr="00172E96">
        <w:tab/>
        <w:t>Adverse events re</w:t>
      </w:r>
      <w:r w:rsidRPr="00172E96">
        <w:rPr>
          <w:rFonts w:cs="Arial"/>
          <w:snapToGrid w:val="0"/>
          <w:szCs w:val="16"/>
          <w:lang w:eastAsia="en-US"/>
        </w:rPr>
        <w:t>ported in studies of RFA (per-session or per-patient)</w:t>
      </w:r>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0"/>
        <w:tblDescription w:val="Other adverse events RFA"/>
      </w:tblPr>
      <w:tblGrid>
        <w:gridCol w:w="2924"/>
        <w:gridCol w:w="1924"/>
        <w:gridCol w:w="4234"/>
      </w:tblGrid>
      <w:tr w:rsidR="0061371B" w:rsidRPr="00C83213" w14:paraId="1CD8879A" w14:textId="77777777" w:rsidTr="00321A0B">
        <w:trPr>
          <w:tblHeader/>
        </w:trPr>
        <w:tc>
          <w:tcPr>
            <w:tcW w:w="1610" w:type="pct"/>
            <w:tcBorders>
              <w:bottom w:val="single" w:sz="4" w:space="0" w:color="auto"/>
            </w:tcBorders>
            <w:shd w:val="clear" w:color="auto" w:fill="D9D9D9" w:themeFill="background1" w:themeFillShade="D9"/>
          </w:tcPr>
          <w:p w14:paraId="5D76DD4C" w14:textId="77777777" w:rsidR="0061371B" w:rsidRPr="007B503C" w:rsidRDefault="0061371B" w:rsidP="007B503C">
            <w:pPr>
              <w:pStyle w:val="Tabletext1"/>
              <w:rPr>
                <w:b/>
                <w:snapToGrid w:val="0"/>
              </w:rPr>
            </w:pPr>
            <w:r w:rsidRPr="007B503C">
              <w:rPr>
                <w:b/>
                <w:snapToGrid w:val="0"/>
              </w:rPr>
              <w:t>Study ID</w:t>
            </w:r>
          </w:p>
        </w:tc>
        <w:tc>
          <w:tcPr>
            <w:tcW w:w="1059" w:type="pct"/>
            <w:tcBorders>
              <w:bottom w:val="single" w:sz="4" w:space="0" w:color="auto"/>
            </w:tcBorders>
            <w:shd w:val="clear" w:color="auto" w:fill="D9D9D9" w:themeFill="background1" w:themeFillShade="D9"/>
          </w:tcPr>
          <w:p w14:paraId="341498A8" w14:textId="77777777" w:rsidR="0061371B" w:rsidRPr="007B503C" w:rsidRDefault="0061371B" w:rsidP="007B503C">
            <w:pPr>
              <w:pStyle w:val="Tabletext1"/>
              <w:rPr>
                <w:b/>
                <w:snapToGrid w:val="0"/>
              </w:rPr>
            </w:pPr>
            <w:r w:rsidRPr="007B503C">
              <w:rPr>
                <w:b/>
                <w:snapToGrid w:val="0"/>
              </w:rPr>
              <w:t>Level of evidence</w:t>
            </w:r>
          </w:p>
        </w:tc>
        <w:tc>
          <w:tcPr>
            <w:tcW w:w="2331" w:type="pct"/>
            <w:tcBorders>
              <w:bottom w:val="single" w:sz="4" w:space="0" w:color="auto"/>
            </w:tcBorders>
            <w:shd w:val="clear" w:color="auto" w:fill="D9D9D9" w:themeFill="background1" w:themeFillShade="D9"/>
          </w:tcPr>
          <w:p w14:paraId="15313C07" w14:textId="77777777" w:rsidR="0061371B" w:rsidRPr="007B503C" w:rsidRDefault="0061371B" w:rsidP="007B503C">
            <w:pPr>
              <w:pStyle w:val="Tabletext1"/>
              <w:rPr>
                <w:b/>
                <w:snapToGrid w:val="0"/>
              </w:rPr>
            </w:pPr>
            <w:proofErr w:type="gramStart"/>
            <w:r w:rsidRPr="007B503C">
              <w:rPr>
                <w:b/>
                <w:snapToGrid w:val="0"/>
              </w:rPr>
              <w:t>n</w:t>
            </w:r>
            <w:proofErr w:type="gramEnd"/>
            <w:r w:rsidRPr="007B503C">
              <w:rPr>
                <w:b/>
                <w:snapToGrid w:val="0"/>
              </w:rPr>
              <w:t xml:space="preserve"> / N (%)</w:t>
            </w:r>
          </w:p>
        </w:tc>
      </w:tr>
      <w:tr w:rsidR="0061371B" w:rsidRPr="0069748F" w14:paraId="4182FF03" w14:textId="77777777" w:rsidTr="00DB65F2">
        <w:tc>
          <w:tcPr>
            <w:tcW w:w="1610" w:type="pct"/>
            <w:tcBorders>
              <w:right w:val="nil"/>
            </w:tcBorders>
            <w:shd w:val="clear" w:color="auto" w:fill="D9D9D9" w:themeFill="background1" w:themeFillShade="D9"/>
          </w:tcPr>
          <w:p w14:paraId="39D6D51F" w14:textId="77777777" w:rsidR="0061371B" w:rsidRPr="008578C2" w:rsidRDefault="0061371B" w:rsidP="007B503C">
            <w:pPr>
              <w:pStyle w:val="Tabletext1"/>
              <w:rPr>
                <w:b/>
                <w:snapToGrid w:val="0"/>
              </w:rPr>
            </w:pPr>
            <w:r w:rsidRPr="008578C2">
              <w:rPr>
                <w:b/>
                <w:snapToGrid w:val="0"/>
              </w:rPr>
              <w:t>Haemoptysis</w:t>
            </w:r>
            <w:r w:rsidRPr="008578C2">
              <w:rPr>
                <w:b/>
                <w:snapToGrid w:val="0"/>
                <w:vertAlign w:val="superscript"/>
              </w:rPr>
              <w:t xml:space="preserve"> </w:t>
            </w:r>
            <w:r w:rsidRPr="008578C2">
              <w:rPr>
                <w:b/>
                <w:snapToGrid w:val="0"/>
              </w:rPr>
              <w:t>(per session)</w:t>
            </w:r>
          </w:p>
        </w:tc>
        <w:tc>
          <w:tcPr>
            <w:tcW w:w="1059" w:type="pct"/>
            <w:tcBorders>
              <w:left w:val="nil"/>
              <w:right w:val="nil"/>
            </w:tcBorders>
            <w:shd w:val="clear" w:color="auto" w:fill="D9D9D9" w:themeFill="background1" w:themeFillShade="D9"/>
          </w:tcPr>
          <w:p w14:paraId="01BAC641" w14:textId="77777777" w:rsidR="0061371B" w:rsidRDefault="0061371B" w:rsidP="007B503C">
            <w:pPr>
              <w:pStyle w:val="Tabletext1"/>
              <w:rPr>
                <w:snapToGrid w:val="0"/>
              </w:rPr>
            </w:pPr>
          </w:p>
        </w:tc>
        <w:tc>
          <w:tcPr>
            <w:tcW w:w="2331" w:type="pct"/>
            <w:tcBorders>
              <w:left w:val="nil"/>
            </w:tcBorders>
            <w:shd w:val="clear" w:color="auto" w:fill="D9D9D9" w:themeFill="background1" w:themeFillShade="D9"/>
          </w:tcPr>
          <w:p w14:paraId="755463BB" w14:textId="77777777" w:rsidR="0061371B" w:rsidRPr="0069748F" w:rsidRDefault="0061371B" w:rsidP="007B503C">
            <w:pPr>
              <w:pStyle w:val="Tabletext1"/>
              <w:rPr>
                <w:snapToGrid w:val="0"/>
              </w:rPr>
            </w:pPr>
          </w:p>
        </w:tc>
      </w:tr>
      <w:tr w:rsidR="0061371B" w:rsidRPr="00374308" w14:paraId="6B8393F2" w14:textId="77777777" w:rsidTr="00BA1147">
        <w:tc>
          <w:tcPr>
            <w:tcW w:w="1610" w:type="pct"/>
            <w:shd w:val="clear" w:color="auto" w:fill="auto"/>
            <w:vAlign w:val="center"/>
          </w:tcPr>
          <w:p w14:paraId="597DED3B" w14:textId="77777777" w:rsidR="0061371B" w:rsidRPr="003E58B2" w:rsidRDefault="0061371B" w:rsidP="007B503C">
            <w:pPr>
              <w:pStyle w:val="Tabletext1"/>
              <w:rPr>
                <w:snapToGrid w:val="0"/>
              </w:rPr>
            </w:pPr>
            <w:r w:rsidRPr="003E58B2">
              <w:rPr>
                <w:snapToGrid w:val="0"/>
              </w:rPr>
              <w:t>Ambrogi et al (2011)</w:t>
            </w:r>
          </w:p>
        </w:tc>
        <w:tc>
          <w:tcPr>
            <w:tcW w:w="1059" w:type="pct"/>
          </w:tcPr>
          <w:p w14:paraId="4F02D3CA" w14:textId="77777777" w:rsidR="0061371B" w:rsidRPr="00D5237F" w:rsidRDefault="0061371B" w:rsidP="007B503C">
            <w:pPr>
              <w:pStyle w:val="Tabletext1"/>
              <w:rPr>
                <w:snapToGrid w:val="0"/>
              </w:rPr>
            </w:pPr>
            <w:r w:rsidRPr="00B05E00">
              <w:rPr>
                <w:snapToGrid w:val="0"/>
              </w:rPr>
              <w:t>IV</w:t>
            </w:r>
          </w:p>
        </w:tc>
        <w:tc>
          <w:tcPr>
            <w:tcW w:w="2331" w:type="pct"/>
            <w:shd w:val="clear" w:color="auto" w:fill="auto"/>
          </w:tcPr>
          <w:p w14:paraId="3A83C0AE" w14:textId="77777777" w:rsidR="0061371B" w:rsidRPr="00374308" w:rsidRDefault="005E1A24" w:rsidP="007B503C">
            <w:pPr>
              <w:pStyle w:val="Tabletext1"/>
              <w:rPr>
                <w:snapToGrid w:val="0"/>
              </w:rPr>
            </w:pPr>
            <w:r>
              <w:rPr>
                <w:snapToGrid w:val="0"/>
              </w:rPr>
              <w:t>2/80 (2.5</w:t>
            </w:r>
            <w:r w:rsidR="0061371B">
              <w:rPr>
                <w:snapToGrid w:val="0"/>
              </w:rPr>
              <w:t>) sessions</w:t>
            </w:r>
          </w:p>
        </w:tc>
      </w:tr>
      <w:tr w:rsidR="0061371B" w:rsidRPr="00374308" w14:paraId="03616698" w14:textId="77777777" w:rsidTr="00BA1147">
        <w:tc>
          <w:tcPr>
            <w:tcW w:w="1610" w:type="pct"/>
            <w:shd w:val="clear" w:color="auto" w:fill="auto"/>
            <w:vAlign w:val="center"/>
          </w:tcPr>
          <w:p w14:paraId="31CFA8B8" w14:textId="77777777" w:rsidR="0061371B" w:rsidRPr="003E58B2" w:rsidRDefault="0061371B" w:rsidP="007B503C">
            <w:pPr>
              <w:pStyle w:val="Tabletext1"/>
              <w:rPr>
                <w:snapToGrid w:val="0"/>
              </w:rPr>
            </w:pPr>
            <w:r w:rsidRPr="003E58B2">
              <w:rPr>
                <w:snapToGrid w:val="0"/>
              </w:rPr>
              <w:t>Hiraki et al (2011b)</w:t>
            </w:r>
          </w:p>
        </w:tc>
        <w:tc>
          <w:tcPr>
            <w:tcW w:w="1059" w:type="pct"/>
          </w:tcPr>
          <w:p w14:paraId="068873CA" w14:textId="77777777" w:rsidR="0061371B" w:rsidRPr="00D5237F" w:rsidRDefault="0061371B" w:rsidP="007B503C">
            <w:pPr>
              <w:pStyle w:val="Tabletext1"/>
              <w:rPr>
                <w:snapToGrid w:val="0"/>
              </w:rPr>
            </w:pPr>
            <w:r w:rsidRPr="00B05E00">
              <w:rPr>
                <w:snapToGrid w:val="0"/>
              </w:rPr>
              <w:t>IV</w:t>
            </w:r>
          </w:p>
        </w:tc>
        <w:tc>
          <w:tcPr>
            <w:tcW w:w="2331" w:type="pct"/>
            <w:shd w:val="clear" w:color="auto" w:fill="auto"/>
          </w:tcPr>
          <w:p w14:paraId="3BCEB0CC" w14:textId="77777777" w:rsidR="0061371B" w:rsidRPr="00374308" w:rsidRDefault="005E1A24" w:rsidP="007B503C">
            <w:pPr>
              <w:pStyle w:val="Tabletext1"/>
              <w:rPr>
                <w:snapToGrid w:val="0"/>
              </w:rPr>
            </w:pPr>
            <w:r>
              <w:rPr>
                <w:snapToGrid w:val="0"/>
              </w:rPr>
              <w:t>1/65 (1.5</w:t>
            </w:r>
            <w:r w:rsidR="0061371B">
              <w:rPr>
                <w:snapToGrid w:val="0"/>
              </w:rPr>
              <w:t>) sessions</w:t>
            </w:r>
          </w:p>
        </w:tc>
      </w:tr>
      <w:tr w:rsidR="0061371B" w:rsidRPr="00374308" w14:paraId="7BE69B7B" w14:textId="77777777" w:rsidTr="00BA1147">
        <w:tc>
          <w:tcPr>
            <w:tcW w:w="1610" w:type="pct"/>
            <w:shd w:val="clear" w:color="auto" w:fill="auto"/>
            <w:vAlign w:val="center"/>
          </w:tcPr>
          <w:p w14:paraId="4AA97896" w14:textId="77777777" w:rsidR="0061371B" w:rsidRPr="003E58B2" w:rsidRDefault="0061371B" w:rsidP="007B503C">
            <w:pPr>
              <w:pStyle w:val="Tabletext1"/>
              <w:rPr>
                <w:snapToGrid w:val="0"/>
              </w:rPr>
            </w:pPr>
            <w:r w:rsidRPr="003E58B2">
              <w:rPr>
                <w:snapToGrid w:val="0"/>
              </w:rPr>
              <w:t>Li et al (2012)</w:t>
            </w:r>
          </w:p>
        </w:tc>
        <w:tc>
          <w:tcPr>
            <w:tcW w:w="1059" w:type="pct"/>
          </w:tcPr>
          <w:p w14:paraId="6283E224" w14:textId="77777777" w:rsidR="0061371B" w:rsidRPr="00D5237F" w:rsidRDefault="0061371B" w:rsidP="007B503C">
            <w:pPr>
              <w:pStyle w:val="Tabletext1"/>
              <w:rPr>
                <w:snapToGrid w:val="0"/>
              </w:rPr>
            </w:pPr>
            <w:r w:rsidRPr="00B05E00">
              <w:rPr>
                <w:snapToGrid w:val="0"/>
              </w:rPr>
              <w:t>IV</w:t>
            </w:r>
          </w:p>
        </w:tc>
        <w:tc>
          <w:tcPr>
            <w:tcW w:w="2331" w:type="pct"/>
            <w:shd w:val="clear" w:color="auto" w:fill="auto"/>
          </w:tcPr>
          <w:p w14:paraId="78875C23" w14:textId="77777777" w:rsidR="0061371B" w:rsidRPr="00374308" w:rsidRDefault="005E1A24" w:rsidP="007B503C">
            <w:pPr>
              <w:pStyle w:val="Tabletext1"/>
              <w:rPr>
                <w:snapToGrid w:val="0"/>
              </w:rPr>
            </w:pPr>
            <w:r>
              <w:rPr>
                <w:snapToGrid w:val="0"/>
              </w:rPr>
              <w:t>0/56 (0.0</w:t>
            </w:r>
            <w:r w:rsidR="0061371B">
              <w:rPr>
                <w:snapToGrid w:val="0"/>
              </w:rPr>
              <w:t>) sessions</w:t>
            </w:r>
          </w:p>
        </w:tc>
      </w:tr>
      <w:tr w:rsidR="0061371B" w:rsidRPr="00374308" w14:paraId="0D6FD1A3" w14:textId="77777777" w:rsidTr="00BA1147">
        <w:tc>
          <w:tcPr>
            <w:tcW w:w="1610" w:type="pct"/>
            <w:shd w:val="clear" w:color="auto" w:fill="auto"/>
            <w:vAlign w:val="center"/>
          </w:tcPr>
          <w:p w14:paraId="58E7A5C2" w14:textId="77777777" w:rsidR="0061371B" w:rsidRPr="003E58B2" w:rsidRDefault="0061371B" w:rsidP="007B503C">
            <w:pPr>
              <w:pStyle w:val="Tabletext1"/>
              <w:rPr>
                <w:snapToGrid w:val="0"/>
              </w:rPr>
            </w:pPr>
            <w:r w:rsidRPr="003E58B2">
              <w:rPr>
                <w:snapToGrid w:val="0"/>
              </w:rPr>
              <w:t>Lu et al (2015a)</w:t>
            </w:r>
          </w:p>
        </w:tc>
        <w:tc>
          <w:tcPr>
            <w:tcW w:w="1059" w:type="pct"/>
          </w:tcPr>
          <w:p w14:paraId="49CEE8DB" w14:textId="77777777" w:rsidR="0061371B" w:rsidRPr="00D5237F" w:rsidRDefault="0061371B" w:rsidP="007B503C">
            <w:pPr>
              <w:pStyle w:val="Tabletext1"/>
              <w:rPr>
                <w:snapToGrid w:val="0"/>
              </w:rPr>
            </w:pPr>
            <w:r w:rsidRPr="00B05E00">
              <w:rPr>
                <w:snapToGrid w:val="0"/>
              </w:rPr>
              <w:t>IV</w:t>
            </w:r>
          </w:p>
        </w:tc>
        <w:tc>
          <w:tcPr>
            <w:tcW w:w="2331" w:type="pct"/>
            <w:shd w:val="clear" w:color="auto" w:fill="auto"/>
          </w:tcPr>
          <w:p w14:paraId="21C7EA2F" w14:textId="77777777" w:rsidR="0061371B" w:rsidRPr="00374308" w:rsidRDefault="005E1A24" w:rsidP="007B503C">
            <w:pPr>
              <w:pStyle w:val="Tabletext1"/>
              <w:rPr>
                <w:snapToGrid w:val="0"/>
              </w:rPr>
            </w:pPr>
            <w:r>
              <w:rPr>
                <w:snapToGrid w:val="0"/>
              </w:rPr>
              <w:t>5/185 (2.7</w:t>
            </w:r>
            <w:r w:rsidR="0061371B">
              <w:rPr>
                <w:snapToGrid w:val="0"/>
              </w:rPr>
              <w:t>) sessions</w:t>
            </w:r>
          </w:p>
        </w:tc>
      </w:tr>
      <w:tr w:rsidR="0061371B" w:rsidRPr="001C4B2B" w14:paraId="25FC7E71" w14:textId="77777777" w:rsidTr="00BA1147">
        <w:tc>
          <w:tcPr>
            <w:tcW w:w="1610" w:type="pct"/>
            <w:tcBorders>
              <w:right w:val="nil"/>
            </w:tcBorders>
            <w:shd w:val="clear" w:color="auto" w:fill="auto"/>
            <w:vAlign w:val="center"/>
          </w:tcPr>
          <w:p w14:paraId="15CA1569" w14:textId="77777777" w:rsidR="0061371B" w:rsidRPr="003E58B2" w:rsidRDefault="0061371B" w:rsidP="007B503C">
            <w:pPr>
              <w:pStyle w:val="Tabletext1"/>
              <w:rPr>
                <w:snapToGrid w:val="0"/>
              </w:rPr>
            </w:pPr>
            <w:r w:rsidRPr="003E58B2">
              <w:rPr>
                <w:snapToGrid w:val="0"/>
              </w:rPr>
              <w:t>Pooled n/N (%)</w:t>
            </w:r>
          </w:p>
          <w:p w14:paraId="04A423A8" w14:textId="77777777" w:rsidR="0061371B" w:rsidRPr="003E58B2" w:rsidRDefault="0061371B" w:rsidP="007B503C">
            <w:pPr>
              <w:pStyle w:val="Tabletext1"/>
              <w:rPr>
                <w:snapToGrid w:val="0"/>
              </w:rPr>
            </w:pPr>
            <w:r w:rsidRPr="003E58B2">
              <w:rPr>
                <w:snapToGrid w:val="0"/>
              </w:rPr>
              <w:t>Median % (range)</w:t>
            </w:r>
          </w:p>
        </w:tc>
        <w:tc>
          <w:tcPr>
            <w:tcW w:w="1059" w:type="pct"/>
            <w:tcBorders>
              <w:left w:val="nil"/>
              <w:bottom w:val="single" w:sz="4" w:space="0" w:color="auto"/>
              <w:right w:val="nil"/>
            </w:tcBorders>
          </w:tcPr>
          <w:p w14:paraId="27F89496" w14:textId="77777777" w:rsidR="00172E96" w:rsidRDefault="00172E96" w:rsidP="007B503C">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p>
          <w:p w14:paraId="06690CF2" w14:textId="77777777" w:rsidR="0061371B" w:rsidRPr="003E58B2" w:rsidRDefault="0061371B" w:rsidP="007B503C">
            <w:pPr>
              <w:pStyle w:val="Tabletext1"/>
              <w:rPr>
                <w:snapToGrid w:val="0"/>
              </w:rPr>
            </w:pPr>
            <w:r w:rsidRPr="009463B9">
              <w:rPr>
                <w:rStyle w:val="quality-sign"/>
                <w:rFonts w:eastAsia="MS Mincho" w:cs="MS Mincho"/>
                <w:b/>
              </w:rPr>
              <w:t>VERY LOW</w:t>
            </w:r>
          </w:p>
        </w:tc>
        <w:tc>
          <w:tcPr>
            <w:tcW w:w="2331" w:type="pct"/>
            <w:tcBorders>
              <w:left w:val="nil"/>
            </w:tcBorders>
            <w:shd w:val="clear" w:color="auto" w:fill="auto"/>
            <w:vAlign w:val="center"/>
          </w:tcPr>
          <w:p w14:paraId="07225A36" w14:textId="77777777" w:rsidR="0061371B" w:rsidRDefault="005E1A24" w:rsidP="007B503C">
            <w:pPr>
              <w:pStyle w:val="Tabletext1"/>
              <w:rPr>
                <w:snapToGrid w:val="0"/>
              </w:rPr>
            </w:pPr>
            <w:r>
              <w:rPr>
                <w:snapToGrid w:val="0"/>
              </w:rPr>
              <w:t>Total 8/384 (2.1</w:t>
            </w:r>
            <w:r w:rsidR="0061371B">
              <w:rPr>
                <w:snapToGrid w:val="0"/>
              </w:rPr>
              <w:t>)</w:t>
            </w:r>
          </w:p>
          <w:p w14:paraId="4BEB893B" w14:textId="78FBB303" w:rsidR="0061371B" w:rsidRPr="003E58B2" w:rsidRDefault="005E1A24" w:rsidP="007B503C">
            <w:pPr>
              <w:pStyle w:val="Tabletext1"/>
              <w:rPr>
                <w:snapToGrid w:val="0"/>
              </w:rPr>
            </w:pPr>
            <w:r>
              <w:rPr>
                <w:snapToGrid w:val="0"/>
              </w:rPr>
              <w:t>Median 2.0 (0.0</w:t>
            </w:r>
            <w:r w:rsidR="00D35E9C">
              <w:rPr>
                <w:snapToGrid w:val="0"/>
              </w:rPr>
              <w:t>–</w:t>
            </w:r>
            <w:r>
              <w:rPr>
                <w:snapToGrid w:val="0"/>
              </w:rPr>
              <w:t>2.7</w:t>
            </w:r>
            <w:r w:rsidR="0061371B">
              <w:rPr>
                <w:snapToGrid w:val="0"/>
              </w:rPr>
              <w:t>)</w:t>
            </w:r>
          </w:p>
        </w:tc>
      </w:tr>
      <w:tr w:rsidR="0061371B" w:rsidRPr="0069748F" w14:paraId="0542BB12" w14:textId="77777777" w:rsidTr="00DB65F2">
        <w:tc>
          <w:tcPr>
            <w:tcW w:w="1610"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628B7F01" w14:textId="0E36BC15" w:rsidR="0061371B" w:rsidRPr="007B503C" w:rsidRDefault="003E4064" w:rsidP="007B503C">
            <w:pPr>
              <w:pStyle w:val="Tabletext1"/>
              <w:rPr>
                <w:b/>
                <w:snapToGrid w:val="0"/>
              </w:rPr>
            </w:pPr>
            <w:r w:rsidRPr="007B503C">
              <w:rPr>
                <w:b/>
                <w:snapToGrid w:val="0"/>
              </w:rPr>
              <w:t>Haemoptysis</w:t>
            </w:r>
            <w:r w:rsidRPr="007B503C">
              <w:rPr>
                <w:b/>
                <w:snapToGrid w:val="0"/>
                <w:vertAlign w:val="superscript"/>
              </w:rPr>
              <w:t xml:space="preserve"> </w:t>
            </w:r>
            <w:r w:rsidR="0061371B" w:rsidRPr="007B503C">
              <w:rPr>
                <w:b/>
                <w:snapToGrid w:val="0"/>
              </w:rPr>
              <w:t>(per patient)</w:t>
            </w:r>
          </w:p>
        </w:tc>
        <w:tc>
          <w:tcPr>
            <w:tcW w:w="1059" w:type="pct"/>
            <w:tcBorders>
              <w:top w:val="single" w:sz="4" w:space="0" w:color="auto"/>
              <w:left w:val="nil"/>
              <w:bottom w:val="single" w:sz="4" w:space="0" w:color="auto"/>
              <w:right w:val="nil"/>
            </w:tcBorders>
            <w:shd w:val="clear" w:color="auto" w:fill="D9D9D9" w:themeFill="background1" w:themeFillShade="D9"/>
          </w:tcPr>
          <w:p w14:paraId="1C942DEB" w14:textId="77777777" w:rsidR="0061371B" w:rsidRPr="001C4B2B" w:rsidRDefault="0061371B" w:rsidP="007B503C">
            <w:pPr>
              <w:pStyle w:val="Tabletext1"/>
              <w:rPr>
                <w:snapToGrid w:val="0"/>
              </w:rPr>
            </w:pPr>
          </w:p>
        </w:tc>
        <w:tc>
          <w:tcPr>
            <w:tcW w:w="23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BB26111" w14:textId="77777777" w:rsidR="0061371B" w:rsidRPr="001C4B2B" w:rsidRDefault="0061371B" w:rsidP="007B503C">
            <w:pPr>
              <w:pStyle w:val="Tabletext1"/>
              <w:rPr>
                <w:snapToGrid w:val="0"/>
              </w:rPr>
            </w:pPr>
          </w:p>
        </w:tc>
      </w:tr>
      <w:tr w:rsidR="0061371B" w:rsidRPr="0069748F" w14:paraId="4D85CE27"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6C0F589C" w14:textId="77777777" w:rsidR="0061371B" w:rsidRPr="003E58B2" w:rsidRDefault="0061371B" w:rsidP="007B503C">
            <w:pPr>
              <w:pStyle w:val="Tabletext1"/>
              <w:rPr>
                <w:snapToGrid w:val="0"/>
              </w:rPr>
            </w:pPr>
            <w:r w:rsidRPr="003E58B2">
              <w:rPr>
                <w:snapToGrid w:val="0"/>
              </w:rPr>
              <w:t>Lu et al (2015b)</w:t>
            </w:r>
          </w:p>
        </w:tc>
        <w:tc>
          <w:tcPr>
            <w:tcW w:w="1059" w:type="pct"/>
            <w:tcBorders>
              <w:top w:val="single" w:sz="4" w:space="0" w:color="auto"/>
              <w:left w:val="single" w:sz="4" w:space="0" w:color="auto"/>
              <w:bottom w:val="single" w:sz="4" w:space="0" w:color="auto"/>
              <w:right w:val="single" w:sz="4" w:space="0" w:color="auto"/>
            </w:tcBorders>
          </w:tcPr>
          <w:p w14:paraId="23C745EB" w14:textId="77777777" w:rsidR="0061371B" w:rsidRPr="00D5237F" w:rsidRDefault="0061371B" w:rsidP="007B503C">
            <w:pPr>
              <w:pStyle w:val="Tabletext1"/>
              <w:rPr>
                <w:snapToGrid w:val="0"/>
              </w:rPr>
            </w:pPr>
            <w:r w:rsidRPr="00B05E00">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2ED21BEB" w14:textId="77777777" w:rsidR="0061371B" w:rsidRPr="00374308" w:rsidRDefault="005E1A24" w:rsidP="007B503C">
            <w:pPr>
              <w:pStyle w:val="Tabletext1"/>
              <w:rPr>
                <w:snapToGrid w:val="0"/>
              </w:rPr>
            </w:pPr>
            <w:r>
              <w:rPr>
                <w:snapToGrid w:val="0"/>
              </w:rPr>
              <w:t>6/67 (9.0</w:t>
            </w:r>
            <w:r w:rsidR="0061371B">
              <w:rPr>
                <w:snapToGrid w:val="0"/>
              </w:rPr>
              <w:t>) patients</w:t>
            </w:r>
          </w:p>
        </w:tc>
      </w:tr>
      <w:tr w:rsidR="0061371B" w:rsidRPr="0069748F" w14:paraId="3C2B54DB"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21428875" w14:textId="77777777" w:rsidR="0061371B" w:rsidRPr="003E58B2" w:rsidRDefault="0061371B" w:rsidP="007B503C">
            <w:pPr>
              <w:pStyle w:val="Tabletext1"/>
              <w:rPr>
                <w:snapToGrid w:val="0"/>
              </w:rPr>
            </w:pPr>
            <w:r w:rsidRPr="003E58B2">
              <w:rPr>
                <w:snapToGrid w:val="0"/>
              </w:rPr>
              <w:lastRenderedPageBreak/>
              <w:t>Simon et al (2007)</w:t>
            </w:r>
          </w:p>
        </w:tc>
        <w:tc>
          <w:tcPr>
            <w:tcW w:w="1059" w:type="pct"/>
            <w:tcBorders>
              <w:top w:val="single" w:sz="4" w:space="0" w:color="auto"/>
              <w:left w:val="single" w:sz="4" w:space="0" w:color="auto"/>
              <w:bottom w:val="single" w:sz="4" w:space="0" w:color="auto"/>
              <w:right w:val="single" w:sz="4" w:space="0" w:color="auto"/>
            </w:tcBorders>
          </w:tcPr>
          <w:p w14:paraId="1079C5A0" w14:textId="77777777" w:rsidR="0061371B" w:rsidRPr="00D5237F" w:rsidRDefault="0061371B" w:rsidP="007B503C">
            <w:pPr>
              <w:pStyle w:val="Tabletext1"/>
              <w:rPr>
                <w:snapToGrid w:val="0"/>
              </w:rPr>
            </w:pPr>
            <w:r w:rsidRPr="00B05E00">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2A9F4BCA" w14:textId="77777777" w:rsidR="0061371B" w:rsidRPr="00374308" w:rsidRDefault="005E1A24" w:rsidP="007B503C">
            <w:pPr>
              <w:pStyle w:val="Tabletext1"/>
              <w:rPr>
                <w:snapToGrid w:val="0"/>
              </w:rPr>
            </w:pPr>
            <w:r>
              <w:rPr>
                <w:snapToGrid w:val="0"/>
              </w:rPr>
              <w:t>3/35 (8.6</w:t>
            </w:r>
            <w:r w:rsidR="0061371B">
              <w:rPr>
                <w:snapToGrid w:val="0"/>
              </w:rPr>
              <w:t>) patients</w:t>
            </w:r>
          </w:p>
        </w:tc>
      </w:tr>
      <w:tr w:rsidR="0061371B" w:rsidRPr="0069748F" w14:paraId="426B0FB2"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6563328B" w14:textId="77777777" w:rsidR="0061371B" w:rsidRPr="003E58B2" w:rsidRDefault="0061371B" w:rsidP="007B503C">
            <w:pPr>
              <w:pStyle w:val="Tabletext1"/>
              <w:rPr>
                <w:snapToGrid w:val="0"/>
              </w:rPr>
            </w:pPr>
            <w:r w:rsidRPr="003E58B2">
              <w:rPr>
                <w:snapToGrid w:val="0"/>
              </w:rPr>
              <w:t>Pooled n/N (%)</w:t>
            </w:r>
          </w:p>
          <w:p w14:paraId="2996E84C" w14:textId="77777777" w:rsidR="0061371B" w:rsidRPr="003E58B2" w:rsidRDefault="0061371B" w:rsidP="007B503C">
            <w:pPr>
              <w:pStyle w:val="Tabletext1"/>
              <w:rPr>
                <w:snapToGrid w:val="0"/>
              </w:rPr>
            </w:pPr>
            <w:r w:rsidRPr="003E58B2">
              <w:rPr>
                <w:snapToGrid w:val="0"/>
              </w:rPr>
              <w:t>Median % (range)</w:t>
            </w:r>
          </w:p>
        </w:tc>
        <w:tc>
          <w:tcPr>
            <w:tcW w:w="1059" w:type="pct"/>
            <w:tcBorders>
              <w:top w:val="single" w:sz="4" w:space="0" w:color="auto"/>
              <w:left w:val="single" w:sz="4" w:space="0" w:color="auto"/>
              <w:bottom w:val="single" w:sz="4" w:space="0" w:color="auto"/>
              <w:right w:val="single" w:sz="4" w:space="0" w:color="auto"/>
            </w:tcBorders>
          </w:tcPr>
          <w:p w14:paraId="1D5A715F" w14:textId="77777777" w:rsidR="00172E96" w:rsidRDefault="00172E96" w:rsidP="007B503C">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p>
          <w:p w14:paraId="31BC011C" w14:textId="77777777" w:rsidR="0061371B" w:rsidRPr="003E58B2" w:rsidRDefault="0061371B" w:rsidP="007B503C">
            <w:pPr>
              <w:pStyle w:val="Tabletext1"/>
              <w:rPr>
                <w:snapToGrid w:val="0"/>
              </w:rPr>
            </w:pPr>
            <w:r w:rsidRPr="009463B9">
              <w:rPr>
                <w:rStyle w:val="quality-sign"/>
                <w:rFonts w:eastAsia="MS Mincho" w:cs="MS Mincho"/>
                <w:b/>
              </w:rPr>
              <w:t>VERY LOW</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14836079" w14:textId="77777777" w:rsidR="0061371B" w:rsidRDefault="005E1A24" w:rsidP="007B503C">
            <w:pPr>
              <w:pStyle w:val="Tabletext1"/>
              <w:rPr>
                <w:snapToGrid w:val="0"/>
              </w:rPr>
            </w:pPr>
            <w:r>
              <w:rPr>
                <w:snapToGrid w:val="0"/>
              </w:rPr>
              <w:t>Total 9/102 (8.8</w:t>
            </w:r>
            <w:r w:rsidR="0061371B">
              <w:rPr>
                <w:snapToGrid w:val="0"/>
              </w:rPr>
              <w:t xml:space="preserve">) </w:t>
            </w:r>
          </w:p>
          <w:p w14:paraId="0F18B882" w14:textId="4AD0ACA2" w:rsidR="0061371B" w:rsidRPr="003E58B2" w:rsidRDefault="005E1A24" w:rsidP="007B503C">
            <w:pPr>
              <w:pStyle w:val="Tabletext1"/>
              <w:rPr>
                <w:snapToGrid w:val="0"/>
              </w:rPr>
            </w:pPr>
            <w:r>
              <w:rPr>
                <w:snapToGrid w:val="0"/>
              </w:rPr>
              <w:t>Median 8.8 (8.6</w:t>
            </w:r>
            <w:r w:rsidR="00D35E9C">
              <w:rPr>
                <w:snapToGrid w:val="0"/>
              </w:rPr>
              <w:t>–</w:t>
            </w:r>
            <w:r>
              <w:rPr>
                <w:snapToGrid w:val="0"/>
              </w:rPr>
              <w:t>9.0</w:t>
            </w:r>
            <w:r w:rsidR="0061371B">
              <w:rPr>
                <w:snapToGrid w:val="0"/>
              </w:rPr>
              <w:t xml:space="preserve">) </w:t>
            </w:r>
          </w:p>
        </w:tc>
      </w:tr>
      <w:tr w:rsidR="0061371B" w:rsidRPr="0069748F" w14:paraId="154C27EF" w14:textId="77777777" w:rsidTr="00CF665A">
        <w:tc>
          <w:tcPr>
            <w:tcW w:w="1610"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2045E98C" w14:textId="77777777" w:rsidR="0061371B" w:rsidRPr="007B503C" w:rsidRDefault="0061371B" w:rsidP="007B503C">
            <w:pPr>
              <w:pStyle w:val="Tabletext1"/>
              <w:rPr>
                <w:b/>
                <w:snapToGrid w:val="0"/>
              </w:rPr>
            </w:pPr>
            <w:r w:rsidRPr="007B503C">
              <w:rPr>
                <w:b/>
                <w:snapToGrid w:val="0"/>
              </w:rPr>
              <w:t>Pneumonitis/infection (per patient)</w:t>
            </w:r>
          </w:p>
        </w:tc>
        <w:tc>
          <w:tcPr>
            <w:tcW w:w="1059" w:type="pct"/>
            <w:tcBorders>
              <w:top w:val="single" w:sz="4" w:space="0" w:color="auto"/>
              <w:left w:val="nil"/>
              <w:bottom w:val="single" w:sz="4" w:space="0" w:color="auto"/>
              <w:right w:val="nil"/>
            </w:tcBorders>
            <w:shd w:val="clear" w:color="auto" w:fill="D9D9D9" w:themeFill="background1" w:themeFillShade="D9"/>
          </w:tcPr>
          <w:p w14:paraId="351D5715" w14:textId="77777777" w:rsidR="0061371B" w:rsidRPr="001C4B2B" w:rsidRDefault="0061371B" w:rsidP="007B503C">
            <w:pPr>
              <w:pStyle w:val="Tabletext1"/>
              <w:rPr>
                <w:snapToGrid w:val="0"/>
              </w:rPr>
            </w:pPr>
          </w:p>
        </w:tc>
        <w:tc>
          <w:tcPr>
            <w:tcW w:w="23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1A29573" w14:textId="77777777" w:rsidR="0061371B" w:rsidRPr="001C4B2B" w:rsidRDefault="0061371B" w:rsidP="007B503C">
            <w:pPr>
              <w:pStyle w:val="Tabletext1"/>
              <w:rPr>
                <w:snapToGrid w:val="0"/>
              </w:rPr>
            </w:pPr>
          </w:p>
        </w:tc>
      </w:tr>
      <w:tr w:rsidR="0061371B" w:rsidRPr="00374308" w14:paraId="0D21935F"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bottom"/>
          </w:tcPr>
          <w:p w14:paraId="25A4B66C" w14:textId="77777777" w:rsidR="0061371B" w:rsidRPr="009345FB" w:rsidRDefault="0061371B" w:rsidP="007B503C">
            <w:pPr>
              <w:pStyle w:val="Tabletext1"/>
              <w:rPr>
                <w:snapToGrid w:val="0"/>
              </w:rPr>
            </w:pPr>
            <w:r w:rsidRPr="009345FB">
              <w:rPr>
                <w:snapToGrid w:val="0"/>
              </w:rPr>
              <w:t>Dupuy et al (2015)</w:t>
            </w:r>
          </w:p>
        </w:tc>
        <w:tc>
          <w:tcPr>
            <w:tcW w:w="1059" w:type="pct"/>
            <w:tcBorders>
              <w:top w:val="single" w:sz="4" w:space="0" w:color="auto"/>
              <w:left w:val="single" w:sz="4" w:space="0" w:color="auto"/>
              <w:bottom w:val="single" w:sz="4" w:space="0" w:color="auto"/>
              <w:right w:val="single" w:sz="4" w:space="0" w:color="auto"/>
            </w:tcBorders>
          </w:tcPr>
          <w:p w14:paraId="3AF7025C"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312254F2" w14:textId="77777777" w:rsidR="0061371B" w:rsidRPr="001C4B2B" w:rsidRDefault="005E1A24" w:rsidP="007B503C">
            <w:pPr>
              <w:pStyle w:val="Tabletext1"/>
              <w:rPr>
                <w:snapToGrid w:val="0"/>
              </w:rPr>
            </w:pPr>
            <w:r>
              <w:rPr>
                <w:snapToGrid w:val="0"/>
              </w:rPr>
              <w:t>1/51 (2.0</w:t>
            </w:r>
            <w:r w:rsidR="0061371B">
              <w:rPr>
                <w:snapToGrid w:val="0"/>
              </w:rPr>
              <w:t>) patients</w:t>
            </w:r>
          </w:p>
        </w:tc>
      </w:tr>
      <w:tr w:rsidR="0061371B" w:rsidRPr="00374308" w14:paraId="18DC7D6B"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bottom"/>
          </w:tcPr>
          <w:p w14:paraId="5C1F539D" w14:textId="77777777" w:rsidR="0061371B" w:rsidRPr="009345FB" w:rsidRDefault="0061371B" w:rsidP="007B503C">
            <w:pPr>
              <w:pStyle w:val="Tabletext1"/>
              <w:rPr>
                <w:snapToGrid w:val="0"/>
              </w:rPr>
            </w:pPr>
            <w:r w:rsidRPr="009345FB">
              <w:rPr>
                <w:snapToGrid w:val="0"/>
              </w:rPr>
              <w:t>Hiraki et al (2011a)</w:t>
            </w:r>
          </w:p>
        </w:tc>
        <w:tc>
          <w:tcPr>
            <w:tcW w:w="1059" w:type="pct"/>
            <w:tcBorders>
              <w:top w:val="single" w:sz="4" w:space="0" w:color="auto"/>
              <w:left w:val="single" w:sz="4" w:space="0" w:color="auto"/>
              <w:bottom w:val="single" w:sz="4" w:space="0" w:color="auto"/>
              <w:right w:val="single" w:sz="4" w:space="0" w:color="auto"/>
            </w:tcBorders>
          </w:tcPr>
          <w:p w14:paraId="38D79F67"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430B0570" w14:textId="77777777" w:rsidR="0061371B" w:rsidRPr="001C4B2B" w:rsidRDefault="005E1A24" w:rsidP="007B503C">
            <w:pPr>
              <w:pStyle w:val="Tabletext1"/>
              <w:rPr>
                <w:snapToGrid w:val="0"/>
              </w:rPr>
            </w:pPr>
            <w:r>
              <w:rPr>
                <w:snapToGrid w:val="0"/>
              </w:rPr>
              <w:t>2/50 (4.0</w:t>
            </w:r>
            <w:r w:rsidR="0061371B">
              <w:rPr>
                <w:snapToGrid w:val="0"/>
              </w:rPr>
              <w:t>) patients</w:t>
            </w:r>
          </w:p>
        </w:tc>
      </w:tr>
      <w:tr w:rsidR="0061371B" w:rsidRPr="00374308" w14:paraId="6618FD9E"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bottom"/>
          </w:tcPr>
          <w:p w14:paraId="5DC442A4" w14:textId="77777777" w:rsidR="0061371B" w:rsidRPr="009345FB" w:rsidRDefault="0061371B" w:rsidP="007B503C">
            <w:pPr>
              <w:pStyle w:val="Tabletext1"/>
              <w:rPr>
                <w:snapToGrid w:val="0"/>
              </w:rPr>
            </w:pPr>
            <w:r w:rsidRPr="009345FB">
              <w:rPr>
                <w:snapToGrid w:val="0"/>
              </w:rPr>
              <w:t>Koelblinger et al (2014)</w:t>
            </w:r>
          </w:p>
        </w:tc>
        <w:tc>
          <w:tcPr>
            <w:tcW w:w="1059" w:type="pct"/>
            <w:tcBorders>
              <w:top w:val="single" w:sz="4" w:space="0" w:color="auto"/>
              <w:left w:val="single" w:sz="4" w:space="0" w:color="auto"/>
              <w:bottom w:val="single" w:sz="4" w:space="0" w:color="auto"/>
              <w:right w:val="single" w:sz="4" w:space="0" w:color="auto"/>
            </w:tcBorders>
          </w:tcPr>
          <w:p w14:paraId="4D3D8670"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4C5B5000" w14:textId="77777777" w:rsidR="0061371B" w:rsidRPr="001C4B2B" w:rsidRDefault="005E1A24" w:rsidP="007B503C">
            <w:pPr>
              <w:pStyle w:val="Tabletext1"/>
              <w:rPr>
                <w:snapToGrid w:val="0"/>
              </w:rPr>
            </w:pPr>
            <w:r>
              <w:rPr>
                <w:snapToGrid w:val="0"/>
              </w:rPr>
              <w:t>1/22 (4.5</w:t>
            </w:r>
            <w:r w:rsidR="0061371B">
              <w:rPr>
                <w:snapToGrid w:val="0"/>
              </w:rPr>
              <w:t>) patients</w:t>
            </w:r>
          </w:p>
        </w:tc>
      </w:tr>
      <w:tr w:rsidR="0061371B" w:rsidRPr="00374308" w14:paraId="24FED1A4"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bottom"/>
          </w:tcPr>
          <w:p w14:paraId="67C68CA2" w14:textId="77777777" w:rsidR="0061371B" w:rsidRPr="009345FB" w:rsidRDefault="0061371B" w:rsidP="007B503C">
            <w:pPr>
              <w:pStyle w:val="Tabletext1"/>
              <w:rPr>
                <w:snapToGrid w:val="0"/>
              </w:rPr>
            </w:pPr>
            <w:r w:rsidRPr="009345FB">
              <w:rPr>
                <w:snapToGrid w:val="0"/>
              </w:rPr>
              <w:t>Li et al (2012)</w:t>
            </w:r>
          </w:p>
        </w:tc>
        <w:tc>
          <w:tcPr>
            <w:tcW w:w="1059" w:type="pct"/>
            <w:tcBorders>
              <w:top w:val="single" w:sz="4" w:space="0" w:color="auto"/>
              <w:left w:val="single" w:sz="4" w:space="0" w:color="auto"/>
              <w:bottom w:val="single" w:sz="4" w:space="0" w:color="auto"/>
              <w:right w:val="single" w:sz="4" w:space="0" w:color="auto"/>
            </w:tcBorders>
          </w:tcPr>
          <w:p w14:paraId="470E14D1"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02417A55" w14:textId="77777777" w:rsidR="0061371B" w:rsidRPr="001C4B2B" w:rsidRDefault="005E1A24" w:rsidP="007B503C">
            <w:pPr>
              <w:pStyle w:val="Tabletext1"/>
              <w:rPr>
                <w:snapToGrid w:val="0"/>
              </w:rPr>
            </w:pPr>
            <w:r>
              <w:rPr>
                <w:snapToGrid w:val="0"/>
              </w:rPr>
              <w:t>0/29 (0.0</w:t>
            </w:r>
            <w:r w:rsidR="0061371B">
              <w:rPr>
                <w:snapToGrid w:val="0"/>
              </w:rPr>
              <w:t>) patients</w:t>
            </w:r>
          </w:p>
        </w:tc>
      </w:tr>
      <w:tr w:rsidR="0061371B" w:rsidRPr="00374308" w14:paraId="5C0033B3"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bottom"/>
          </w:tcPr>
          <w:p w14:paraId="5EBD5459" w14:textId="77777777" w:rsidR="0061371B" w:rsidRPr="009345FB" w:rsidRDefault="0061371B" w:rsidP="007B503C">
            <w:pPr>
              <w:pStyle w:val="Tabletext1"/>
              <w:rPr>
                <w:snapToGrid w:val="0"/>
              </w:rPr>
            </w:pPr>
            <w:r w:rsidRPr="009345FB">
              <w:rPr>
                <w:snapToGrid w:val="0"/>
              </w:rPr>
              <w:t>Matsui et al (2015)</w:t>
            </w:r>
          </w:p>
        </w:tc>
        <w:tc>
          <w:tcPr>
            <w:tcW w:w="1059" w:type="pct"/>
            <w:tcBorders>
              <w:top w:val="single" w:sz="4" w:space="0" w:color="auto"/>
              <w:left w:val="single" w:sz="4" w:space="0" w:color="auto"/>
              <w:bottom w:val="single" w:sz="4" w:space="0" w:color="auto"/>
              <w:right w:val="single" w:sz="4" w:space="0" w:color="auto"/>
            </w:tcBorders>
          </w:tcPr>
          <w:p w14:paraId="2059CE06"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3041810A" w14:textId="77777777" w:rsidR="0061371B" w:rsidRPr="001C4B2B" w:rsidRDefault="005E1A24" w:rsidP="007B503C">
            <w:pPr>
              <w:pStyle w:val="Tabletext1"/>
              <w:rPr>
                <w:snapToGrid w:val="0"/>
              </w:rPr>
            </w:pPr>
            <w:r>
              <w:rPr>
                <w:snapToGrid w:val="0"/>
              </w:rPr>
              <w:t>1/84 (1/2</w:t>
            </w:r>
            <w:r w:rsidR="0061371B">
              <w:rPr>
                <w:snapToGrid w:val="0"/>
              </w:rPr>
              <w:t>) patients</w:t>
            </w:r>
          </w:p>
        </w:tc>
      </w:tr>
      <w:tr w:rsidR="0061371B" w:rsidRPr="00374308" w14:paraId="40CC55D5"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bottom"/>
          </w:tcPr>
          <w:p w14:paraId="0ECC366B" w14:textId="77777777" w:rsidR="0061371B" w:rsidRPr="009345FB" w:rsidRDefault="0061371B" w:rsidP="007B503C">
            <w:pPr>
              <w:pStyle w:val="Tabletext1"/>
              <w:rPr>
                <w:snapToGrid w:val="0"/>
              </w:rPr>
            </w:pPr>
            <w:r w:rsidRPr="009345FB">
              <w:rPr>
                <w:snapToGrid w:val="0"/>
              </w:rPr>
              <w:t>Simon et al (2007)</w:t>
            </w:r>
          </w:p>
        </w:tc>
        <w:tc>
          <w:tcPr>
            <w:tcW w:w="1059" w:type="pct"/>
            <w:tcBorders>
              <w:top w:val="single" w:sz="4" w:space="0" w:color="auto"/>
              <w:left w:val="single" w:sz="4" w:space="0" w:color="auto"/>
              <w:bottom w:val="single" w:sz="4" w:space="0" w:color="auto"/>
              <w:right w:val="single" w:sz="4" w:space="0" w:color="auto"/>
            </w:tcBorders>
          </w:tcPr>
          <w:p w14:paraId="4B5058EC"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64703C76" w14:textId="77777777" w:rsidR="0061371B" w:rsidRPr="001C4B2B" w:rsidRDefault="005E1A24" w:rsidP="007B503C">
            <w:pPr>
              <w:pStyle w:val="Tabletext1"/>
              <w:rPr>
                <w:snapToGrid w:val="0"/>
              </w:rPr>
            </w:pPr>
            <w:r>
              <w:rPr>
                <w:snapToGrid w:val="0"/>
              </w:rPr>
              <w:t>2/21 (9.5</w:t>
            </w:r>
            <w:r w:rsidR="0061371B">
              <w:rPr>
                <w:snapToGrid w:val="0"/>
              </w:rPr>
              <w:t>) patients</w:t>
            </w:r>
          </w:p>
        </w:tc>
      </w:tr>
      <w:tr w:rsidR="0061371B" w14:paraId="09C6E802"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bottom"/>
          </w:tcPr>
          <w:p w14:paraId="7A05937C" w14:textId="77777777" w:rsidR="0061371B" w:rsidRPr="009345FB" w:rsidRDefault="0061371B" w:rsidP="007B503C">
            <w:pPr>
              <w:pStyle w:val="Tabletext1"/>
              <w:rPr>
                <w:snapToGrid w:val="0"/>
              </w:rPr>
            </w:pPr>
            <w:r w:rsidRPr="009345FB">
              <w:rPr>
                <w:snapToGrid w:val="0"/>
              </w:rPr>
              <w:t>von Meyenfeldt et al (2011)</w:t>
            </w:r>
          </w:p>
        </w:tc>
        <w:tc>
          <w:tcPr>
            <w:tcW w:w="1059" w:type="pct"/>
            <w:tcBorders>
              <w:top w:val="single" w:sz="4" w:space="0" w:color="auto"/>
              <w:left w:val="single" w:sz="4" w:space="0" w:color="auto"/>
              <w:bottom w:val="single" w:sz="4" w:space="0" w:color="auto"/>
              <w:right w:val="single" w:sz="4" w:space="0" w:color="auto"/>
            </w:tcBorders>
          </w:tcPr>
          <w:p w14:paraId="42F7E459"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3AFFFE2D" w14:textId="77777777" w:rsidR="0061371B" w:rsidRPr="001C4B2B" w:rsidRDefault="005E1A24" w:rsidP="007B503C">
            <w:pPr>
              <w:pStyle w:val="Tabletext1"/>
              <w:rPr>
                <w:snapToGrid w:val="0"/>
              </w:rPr>
            </w:pPr>
            <w:r>
              <w:rPr>
                <w:snapToGrid w:val="0"/>
              </w:rPr>
              <w:t>4/46 (8.7</w:t>
            </w:r>
            <w:r w:rsidR="0061371B">
              <w:rPr>
                <w:snapToGrid w:val="0"/>
              </w:rPr>
              <w:t>) patients</w:t>
            </w:r>
          </w:p>
        </w:tc>
      </w:tr>
      <w:tr w:rsidR="0061371B" w:rsidRPr="001C4B2B" w14:paraId="28696E5D"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2EBF382B" w14:textId="77777777" w:rsidR="0061371B" w:rsidRPr="009345FB" w:rsidRDefault="0061371B" w:rsidP="007B503C">
            <w:pPr>
              <w:pStyle w:val="Tabletext1"/>
              <w:rPr>
                <w:snapToGrid w:val="0"/>
              </w:rPr>
            </w:pPr>
            <w:r w:rsidRPr="009345FB">
              <w:rPr>
                <w:snapToGrid w:val="0"/>
              </w:rPr>
              <w:t>Pooled n/N (%)</w:t>
            </w:r>
          </w:p>
          <w:p w14:paraId="78DAA03C" w14:textId="77777777" w:rsidR="0061371B" w:rsidRPr="009345FB" w:rsidRDefault="0061371B" w:rsidP="007B503C">
            <w:pPr>
              <w:pStyle w:val="Tabletext1"/>
              <w:rPr>
                <w:snapToGrid w:val="0"/>
              </w:rPr>
            </w:pPr>
            <w:r w:rsidRPr="009345FB">
              <w:rPr>
                <w:snapToGrid w:val="0"/>
              </w:rPr>
              <w:t>Median % (range)</w:t>
            </w:r>
          </w:p>
        </w:tc>
        <w:tc>
          <w:tcPr>
            <w:tcW w:w="1059" w:type="pct"/>
            <w:tcBorders>
              <w:top w:val="single" w:sz="4" w:space="0" w:color="auto"/>
              <w:left w:val="single" w:sz="4" w:space="0" w:color="auto"/>
              <w:bottom w:val="single" w:sz="4" w:space="0" w:color="auto"/>
              <w:right w:val="single" w:sz="4" w:space="0" w:color="auto"/>
            </w:tcBorders>
          </w:tcPr>
          <w:p w14:paraId="76421D19" w14:textId="77777777" w:rsidR="00172E96" w:rsidRDefault="00172E96" w:rsidP="007B503C">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p>
          <w:p w14:paraId="6163394C" w14:textId="77777777" w:rsidR="0061371B" w:rsidRPr="009345FB" w:rsidRDefault="0061371B" w:rsidP="007B503C">
            <w:pPr>
              <w:pStyle w:val="Tabletext1"/>
              <w:rPr>
                <w:snapToGrid w:val="0"/>
              </w:rPr>
            </w:pPr>
            <w:r w:rsidRPr="00E805F1">
              <w:rPr>
                <w:rStyle w:val="quality-sign"/>
                <w:rFonts w:eastAsia="MS Mincho" w:cs="MS Mincho"/>
                <w:b/>
              </w:rPr>
              <w:t>VERY LOW</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369A0422" w14:textId="77777777" w:rsidR="0061371B" w:rsidRDefault="005E1A24" w:rsidP="007B503C">
            <w:pPr>
              <w:pStyle w:val="Tabletext1"/>
              <w:rPr>
                <w:snapToGrid w:val="0"/>
              </w:rPr>
            </w:pPr>
            <w:r>
              <w:rPr>
                <w:snapToGrid w:val="0"/>
              </w:rPr>
              <w:t>Total 11/303 (3.6</w:t>
            </w:r>
            <w:r w:rsidR="0061371B">
              <w:rPr>
                <w:snapToGrid w:val="0"/>
              </w:rPr>
              <w:t xml:space="preserve">) </w:t>
            </w:r>
          </w:p>
          <w:p w14:paraId="4D9D58EE" w14:textId="1A4B4E94" w:rsidR="0061371B" w:rsidRPr="009345FB" w:rsidRDefault="005E1A24" w:rsidP="007B503C">
            <w:pPr>
              <w:pStyle w:val="Tabletext1"/>
              <w:rPr>
                <w:snapToGrid w:val="0"/>
              </w:rPr>
            </w:pPr>
            <w:r>
              <w:rPr>
                <w:snapToGrid w:val="0"/>
              </w:rPr>
              <w:t>Median 4.0 (0.0</w:t>
            </w:r>
            <w:r w:rsidR="00D35E9C">
              <w:rPr>
                <w:snapToGrid w:val="0"/>
              </w:rPr>
              <w:t>–</w:t>
            </w:r>
            <w:r>
              <w:rPr>
                <w:snapToGrid w:val="0"/>
              </w:rPr>
              <w:t>9.5</w:t>
            </w:r>
            <w:r w:rsidR="0061371B">
              <w:rPr>
                <w:snapToGrid w:val="0"/>
              </w:rPr>
              <w:t>)</w:t>
            </w:r>
          </w:p>
        </w:tc>
      </w:tr>
      <w:tr w:rsidR="0061371B" w:rsidRPr="0069748F" w14:paraId="26BC29CD" w14:textId="77777777" w:rsidTr="00CF665A">
        <w:tc>
          <w:tcPr>
            <w:tcW w:w="1610"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6FBBBFB2" w14:textId="77777777" w:rsidR="0061371B" w:rsidRPr="007B503C" w:rsidRDefault="0061371B" w:rsidP="007B503C">
            <w:pPr>
              <w:pStyle w:val="Tabletext1"/>
              <w:rPr>
                <w:b/>
                <w:snapToGrid w:val="0"/>
              </w:rPr>
            </w:pPr>
            <w:r w:rsidRPr="007B503C">
              <w:rPr>
                <w:b/>
                <w:snapToGrid w:val="0"/>
              </w:rPr>
              <w:t>Pleural effusion (per session)</w:t>
            </w:r>
          </w:p>
        </w:tc>
        <w:tc>
          <w:tcPr>
            <w:tcW w:w="1059" w:type="pct"/>
            <w:tcBorders>
              <w:top w:val="single" w:sz="4" w:space="0" w:color="auto"/>
              <w:left w:val="nil"/>
              <w:bottom w:val="single" w:sz="4" w:space="0" w:color="auto"/>
              <w:right w:val="nil"/>
            </w:tcBorders>
            <w:shd w:val="clear" w:color="auto" w:fill="D9D9D9" w:themeFill="background1" w:themeFillShade="D9"/>
          </w:tcPr>
          <w:p w14:paraId="10B60EAC" w14:textId="77777777" w:rsidR="0061371B" w:rsidRPr="001C4B2B" w:rsidRDefault="0061371B" w:rsidP="007B503C">
            <w:pPr>
              <w:pStyle w:val="Tabletext1"/>
              <w:rPr>
                <w:snapToGrid w:val="0"/>
              </w:rPr>
            </w:pPr>
          </w:p>
        </w:tc>
        <w:tc>
          <w:tcPr>
            <w:tcW w:w="23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35D8B77" w14:textId="77777777" w:rsidR="0061371B" w:rsidRPr="001C4B2B" w:rsidRDefault="0061371B" w:rsidP="007B503C">
            <w:pPr>
              <w:pStyle w:val="Tabletext1"/>
              <w:rPr>
                <w:snapToGrid w:val="0"/>
              </w:rPr>
            </w:pPr>
          </w:p>
        </w:tc>
      </w:tr>
      <w:tr w:rsidR="0061371B" w:rsidRPr="00374308" w14:paraId="77EF355B"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B9C6196" w14:textId="77777777" w:rsidR="0061371B" w:rsidRPr="00F1613B" w:rsidRDefault="0061371B" w:rsidP="007B503C">
            <w:pPr>
              <w:pStyle w:val="Tabletext1"/>
              <w:rPr>
                <w:snapToGrid w:val="0"/>
              </w:rPr>
            </w:pPr>
            <w:r w:rsidRPr="00F1613B">
              <w:rPr>
                <w:snapToGrid w:val="0"/>
              </w:rPr>
              <w:t>Ambrogi et al (2011)</w:t>
            </w:r>
          </w:p>
        </w:tc>
        <w:tc>
          <w:tcPr>
            <w:tcW w:w="1059" w:type="pct"/>
            <w:tcBorders>
              <w:top w:val="single" w:sz="4" w:space="0" w:color="auto"/>
              <w:left w:val="single" w:sz="4" w:space="0" w:color="auto"/>
              <w:bottom w:val="single" w:sz="4" w:space="0" w:color="auto"/>
              <w:right w:val="single" w:sz="4" w:space="0" w:color="auto"/>
            </w:tcBorders>
          </w:tcPr>
          <w:p w14:paraId="59586F3D"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30B05665" w14:textId="77777777" w:rsidR="0061371B" w:rsidRPr="001C4B2B" w:rsidRDefault="005E1A24" w:rsidP="007B503C">
            <w:pPr>
              <w:pStyle w:val="Tabletext1"/>
              <w:rPr>
                <w:snapToGrid w:val="0"/>
              </w:rPr>
            </w:pPr>
            <w:r>
              <w:rPr>
                <w:snapToGrid w:val="0"/>
              </w:rPr>
              <w:t>3/80 (3.8</w:t>
            </w:r>
            <w:r w:rsidR="0061371B">
              <w:rPr>
                <w:snapToGrid w:val="0"/>
              </w:rPr>
              <w:t>) sessions</w:t>
            </w:r>
          </w:p>
        </w:tc>
      </w:tr>
      <w:tr w:rsidR="0061371B" w:rsidRPr="00374308" w14:paraId="451C2D29"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2EDEEE01" w14:textId="77777777" w:rsidR="0061371B" w:rsidRPr="00F1613B" w:rsidRDefault="0061371B" w:rsidP="007B503C">
            <w:pPr>
              <w:pStyle w:val="Tabletext1"/>
              <w:rPr>
                <w:snapToGrid w:val="0"/>
              </w:rPr>
            </w:pPr>
            <w:r w:rsidRPr="00F1613B">
              <w:rPr>
                <w:snapToGrid w:val="0"/>
              </w:rPr>
              <w:t>Fanucchi et al (2016)</w:t>
            </w:r>
          </w:p>
        </w:tc>
        <w:tc>
          <w:tcPr>
            <w:tcW w:w="1059" w:type="pct"/>
            <w:tcBorders>
              <w:top w:val="single" w:sz="4" w:space="0" w:color="auto"/>
              <w:left w:val="single" w:sz="4" w:space="0" w:color="auto"/>
              <w:bottom w:val="single" w:sz="4" w:space="0" w:color="auto"/>
              <w:right w:val="single" w:sz="4" w:space="0" w:color="auto"/>
            </w:tcBorders>
          </w:tcPr>
          <w:p w14:paraId="395D5F46"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4E1CE223" w14:textId="77777777" w:rsidR="0061371B" w:rsidRPr="00F1613B" w:rsidRDefault="005E1A24" w:rsidP="007B503C">
            <w:pPr>
              <w:pStyle w:val="Tabletext1"/>
              <w:rPr>
                <w:snapToGrid w:val="0"/>
              </w:rPr>
            </w:pPr>
            <w:r>
              <w:rPr>
                <w:snapToGrid w:val="0"/>
              </w:rPr>
              <w:t>2/99 (2.0</w:t>
            </w:r>
            <w:r w:rsidR="0061371B">
              <w:rPr>
                <w:snapToGrid w:val="0"/>
              </w:rPr>
              <w:t>) sessions</w:t>
            </w:r>
          </w:p>
        </w:tc>
      </w:tr>
      <w:tr w:rsidR="0061371B" w:rsidRPr="00374308" w14:paraId="7034240F"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64FD4C91" w14:textId="77777777" w:rsidR="0061371B" w:rsidRPr="00F1613B" w:rsidRDefault="0061371B" w:rsidP="007B503C">
            <w:pPr>
              <w:pStyle w:val="Tabletext1"/>
              <w:rPr>
                <w:snapToGrid w:val="0"/>
              </w:rPr>
            </w:pPr>
            <w:r w:rsidRPr="00F1613B">
              <w:rPr>
                <w:snapToGrid w:val="0"/>
              </w:rPr>
              <w:t>Hiraki et al (2011a)</w:t>
            </w:r>
          </w:p>
        </w:tc>
        <w:tc>
          <w:tcPr>
            <w:tcW w:w="1059" w:type="pct"/>
            <w:tcBorders>
              <w:top w:val="single" w:sz="4" w:space="0" w:color="auto"/>
              <w:left w:val="single" w:sz="4" w:space="0" w:color="auto"/>
              <w:bottom w:val="single" w:sz="4" w:space="0" w:color="auto"/>
              <w:right w:val="single" w:sz="4" w:space="0" w:color="auto"/>
            </w:tcBorders>
          </w:tcPr>
          <w:p w14:paraId="646F4C3D"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1CCC99C7" w14:textId="77777777" w:rsidR="0061371B" w:rsidRPr="001C4B2B" w:rsidRDefault="005E1A24" w:rsidP="007B503C">
            <w:pPr>
              <w:pStyle w:val="Tabletext1"/>
              <w:rPr>
                <w:snapToGrid w:val="0"/>
              </w:rPr>
            </w:pPr>
            <w:r>
              <w:rPr>
                <w:snapToGrid w:val="0"/>
              </w:rPr>
              <w:t>11/65 (16.9</w:t>
            </w:r>
            <w:r w:rsidR="0061371B">
              <w:rPr>
                <w:snapToGrid w:val="0"/>
              </w:rPr>
              <w:t>) sessions</w:t>
            </w:r>
          </w:p>
        </w:tc>
      </w:tr>
      <w:tr w:rsidR="0061371B" w:rsidRPr="00374308" w14:paraId="77389210"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B583934" w14:textId="77777777" w:rsidR="0061371B" w:rsidRPr="00F1613B" w:rsidRDefault="0061371B" w:rsidP="007B503C">
            <w:pPr>
              <w:pStyle w:val="Tabletext1"/>
              <w:rPr>
                <w:snapToGrid w:val="0"/>
              </w:rPr>
            </w:pPr>
            <w:r w:rsidRPr="00F1613B">
              <w:rPr>
                <w:snapToGrid w:val="0"/>
              </w:rPr>
              <w:t>Hiraki et al (2011b)</w:t>
            </w:r>
          </w:p>
        </w:tc>
        <w:tc>
          <w:tcPr>
            <w:tcW w:w="1059" w:type="pct"/>
            <w:tcBorders>
              <w:top w:val="single" w:sz="4" w:space="0" w:color="auto"/>
              <w:left w:val="single" w:sz="4" w:space="0" w:color="auto"/>
              <w:bottom w:val="single" w:sz="4" w:space="0" w:color="auto"/>
              <w:right w:val="single" w:sz="4" w:space="0" w:color="auto"/>
            </w:tcBorders>
          </w:tcPr>
          <w:p w14:paraId="22974D25"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21774256" w14:textId="77777777" w:rsidR="0061371B" w:rsidRPr="001C4B2B" w:rsidRDefault="005E1A24" w:rsidP="007B503C">
            <w:pPr>
              <w:pStyle w:val="Tabletext1"/>
              <w:rPr>
                <w:snapToGrid w:val="0"/>
              </w:rPr>
            </w:pPr>
            <w:r>
              <w:rPr>
                <w:snapToGrid w:val="0"/>
              </w:rPr>
              <w:t>1/52 (1.9</w:t>
            </w:r>
            <w:r w:rsidR="0061371B">
              <w:rPr>
                <w:snapToGrid w:val="0"/>
              </w:rPr>
              <w:t>) sessions</w:t>
            </w:r>
          </w:p>
        </w:tc>
      </w:tr>
      <w:tr w:rsidR="0061371B" w:rsidRPr="00374308" w14:paraId="1F9D6702"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50487230" w14:textId="77777777" w:rsidR="0061371B" w:rsidRPr="00E34346" w:rsidRDefault="0061371B" w:rsidP="007B503C">
            <w:pPr>
              <w:pStyle w:val="Tabletext1"/>
              <w:rPr>
                <w:snapToGrid w:val="0"/>
              </w:rPr>
            </w:pPr>
            <w:r w:rsidRPr="00E34346">
              <w:rPr>
                <w:snapToGrid w:val="0"/>
              </w:rPr>
              <w:t>Pooled n/N (%)</w:t>
            </w:r>
          </w:p>
          <w:p w14:paraId="06517761" w14:textId="77777777" w:rsidR="0061371B" w:rsidRPr="00E34346" w:rsidRDefault="0061371B" w:rsidP="007B503C">
            <w:pPr>
              <w:pStyle w:val="Tabletext1"/>
              <w:rPr>
                <w:snapToGrid w:val="0"/>
              </w:rPr>
            </w:pPr>
            <w:r w:rsidRPr="00E34346">
              <w:rPr>
                <w:snapToGrid w:val="0"/>
              </w:rPr>
              <w:t>Median % (range)</w:t>
            </w:r>
          </w:p>
        </w:tc>
        <w:tc>
          <w:tcPr>
            <w:tcW w:w="1059" w:type="pct"/>
            <w:tcBorders>
              <w:top w:val="single" w:sz="4" w:space="0" w:color="auto"/>
              <w:left w:val="single" w:sz="4" w:space="0" w:color="auto"/>
              <w:bottom w:val="single" w:sz="4" w:space="0" w:color="auto"/>
              <w:right w:val="single" w:sz="4" w:space="0" w:color="auto"/>
            </w:tcBorders>
          </w:tcPr>
          <w:p w14:paraId="7E5D72D7" w14:textId="77777777" w:rsidR="00172E96" w:rsidRDefault="00172E96" w:rsidP="007B503C">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p>
          <w:p w14:paraId="620BA18F" w14:textId="77777777" w:rsidR="0061371B" w:rsidRPr="00E34346" w:rsidRDefault="0061371B" w:rsidP="007B503C">
            <w:pPr>
              <w:pStyle w:val="Tabletext1"/>
              <w:rPr>
                <w:snapToGrid w:val="0"/>
              </w:rPr>
            </w:pPr>
            <w:r w:rsidRPr="00E805F1">
              <w:rPr>
                <w:rStyle w:val="quality-sign"/>
                <w:rFonts w:eastAsia="MS Mincho" w:cs="MS Mincho"/>
                <w:b/>
              </w:rPr>
              <w:t>VERY LOW</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7341C3BD" w14:textId="77777777" w:rsidR="0061371B" w:rsidRDefault="005E1A24" w:rsidP="007B503C">
            <w:pPr>
              <w:pStyle w:val="Tabletext1"/>
              <w:rPr>
                <w:snapToGrid w:val="0"/>
              </w:rPr>
            </w:pPr>
            <w:r>
              <w:rPr>
                <w:snapToGrid w:val="0"/>
              </w:rPr>
              <w:t>Total 17/296 (5.7</w:t>
            </w:r>
            <w:r w:rsidR="0061371B">
              <w:rPr>
                <w:snapToGrid w:val="0"/>
              </w:rPr>
              <w:t>)</w:t>
            </w:r>
          </w:p>
          <w:p w14:paraId="3CFF0CDE" w14:textId="1872E26F" w:rsidR="0061371B" w:rsidRPr="00E34346" w:rsidRDefault="005E1A24" w:rsidP="007B503C">
            <w:pPr>
              <w:pStyle w:val="Tabletext1"/>
              <w:rPr>
                <w:snapToGrid w:val="0"/>
              </w:rPr>
            </w:pPr>
            <w:r>
              <w:rPr>
                <w:snapToGrid w:val="0"/>
              </w:rPr>
              <w:t>Median 2.9 (1.9</w:t>
            </w:r>
            <w:r w:rsidR="00D35E9C">
              <w:rPr>
                <w:snapToGrid w:val="0"/>
              </w:rPr>
              <w:t>–</w:t>
            </w:r>
            <w:r>
              <w:rPr>
                <w:snapToGrid w:val="0"/>
              </w:rPr>
              <w:t>16.9</w:t>
            </w:r>
            <w:r w:rsidR="0061371B">
              <w:rPr>
                <w:snapToGrid w:val="0"/>
              </w:rPr>
              <w:t>)</w:t>
            </w:r>
          </w:p>
        </w:tc>
      </w:tr>
      <w:tr w:rsidR="0061371B" w:rsidRPr="00374308" w14:paraId="56F5BDAE" w14:textId="77777777" w:rsidTr="00CF665A">
        <w:tc>
          <w:tcPr>
            <w:tcW w:w="1610"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748580B4" w14:textId="68F15AD6" w:rsidR="0061371B" w:rsidRPr="007B503C" w:rsidRDefault="0061371B" w:rsidP="007B503C">
            <w:pPr>
              <w:pStyle w:val="Tabletext1"/>
              <w:rPr>
                <w:b/>
                <w:snapToGrid w:val="0"/>
              </w:rPr>
            </w:pPr>
            <w:r w:rsidRPr="007B503C">
              <w:rPr>
                <w:b/>
                <w:snapToGrid w:val="0"/>
              </w:rPr>
              <w:t>Pleural effusion (per patient)</w:t>
            </w:r>
          </w:p>
        </w:tc>
        <w:tc>
          <w:tcPr>
            <w:tcW w:w="1059" w:type="pct"/>
            <w:tcBorders>
              <w:top w:val="single" w:sz="4" w:space="0" w:color="auto"/>
              <w:left w:val="nil"/>
              <w:bottom w:val="single" w:sz="4" w:space="0" w:color="auto"/>
              <w:right w:val="nil"/>
            </w:tcBorders>
            <w:shd w:val="clear" w:color="auto" w:fill="D9D9D9" w:themeFill="background1" w:themeFillShade="D9"/>
          </w:tcPr>
          <w:p w14:paraId="40A77672" w14:textId="77777777" w:rsidR="0061371B" w:rsidRPr="001C4B2B" w:rsidRDefault="0061371B" w:rsidP="007B503C">
            <w:pPr>
              <w:pStyle w:val="Tabletext1"/>
              <w:rPr>
                <w:snapToGrid w:val="0"/>
              </w:rPr>
            </w:pPr>
          </w:p>
        </w:tc>
        <w:tc>
          <w:tcPr>
            <w:tcW w:w="23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377D365" w14:textId="77777777" w:rsidR="0061371B" w:rsidRPr="001C4B2B" w:rsidRDefault="0061371B" w:rsidP="007B503C">
            <w:pPr>
              <w:pStyle w:val="Tabletext1"/>
              <w:rPr>
                <w:snapToGrid w:val="0"/>
              </w:rPr>
            </w:pPr>
          </w:p>
        </w:tc>
      </w:tr>
      <w:tr w:rsidR="0061371B" w:rsidRPr="00374308" w14:paraId="71F02495"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2C7A9CF2" w14:textId="77777777" w:rsidR="0061371B" w:rsidRPr="00F1613B" w:rsidRDefault="0061371B" w:rsidP="007B503C">
            <w:pPr>
              <w:pStyle w:val="Tabletext1"/>
              <w:rPr>
                <w:snapToGrid w:val="0"/>
              </w:rPr>
            </w:pPr>
            <w:r w:rsidRPr="00F1613B">
              <w:rPr>
                <w:snapToGrid w:val="0"/>
              </w:rPr>
              <w:t>Dupuy et al (2015)</w:t>
            </w:r>
          </w:p>
        </w:tc>
        <w:tc>
          <w:tcPr>
            <w:tcW w:w="1059" w:type="pct"/>
            <w:tcBorders>
              <w:top w:val="single" w:sz="4" w:space="0" w:color="auto"/>
              <w:left w:val="single" w:sz="4" w:space="0" w:color="auto"/>
              <w:bottom w:val="single" w:sz="4" w:space="0" w:color="auto"/>
              <w:right w:val="single" w:sz="4" w:space="0" w:color="auto"/>
            </w:tcBorders>
          </w:tcPr>
          <w:p w14:paraId="76E3B67E"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18DD0406" w14:textId="77777777" w:rsidR="0061371B" w:rsidRPr="001C4B2B" w:rsidRDefault="005E1A24" w:rsidP="007B503C">
            <w:pPr>
              <w:pStyle w:val="Tabletext1"/>
              <w:rPr>
                <w:snapToGrid w:val="0"/>
              </w:rPr>
            </w:pPr>
            <w:r>
              <w:rPr>
                <w:snapToGrid w:val="0"/>
              </w:rPr>
              <w:t>1/51 (2.0</w:t>
            </w:r>
            <w:r w:rsidR="0061371B">
              <w:rPr>
                <w:snapToGrid w:val="0"/>
              </w:rPr>
              <w:t>) patients</w:t>
            </w:r>
          </w:p>
        </w:tc>
      </w:tr>
      <w:tr w:rsidR="0061371B" w:rsidRPr="00374308" w14:paraId="700F7BC4"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24B85022" w14:textId="77777777" w:rsidR="0061371B" w:rsidRPr="00F1613B" w:rsidRDefault="0061371B" w:rsidP="007B503C">
            <w:pPr>
              <w:pStyle w:val="Tabletext1"/>
              <w:rPr>
                <w:snapToGrid w:val="0"/>
              </w:rPr>
            </w:pPr>
            <w:r w:rsidRPr="00F1613B">
              <w:rPr>
                <w:snapToGrid w:val="0"/>
              </w:rPr>
              <w:t>Koelblinger et al (2014)</w:t>
            </w:r>
          </w:p>
        </w:tc>
        <w:tc>
          <w:tcPr>
            <w:tcW w:w="1059" w:type="pct"/>
            <w:tcBorders>
              <w:top w:val="single" w:sz="4" w:space="0" w:color="auto"/>
              <w:left w:val="single" w:sz="4" w:space="0" w:color="auto"/>
              <w:bottom w:val="single" w:sz="4" w:space="0" w:color="auto"/>
              <w:right w:val="single" w:sz="4" w:space="0" w:color="auto"/>
            </w:tcBorders>
          </w:tcPr>
          <w:p w14:paraId="4DE6E053"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2D389DEE" w14:textId="77777777" w:rsidR="0061371B" w:rsidRPr="001C4B2B" w:rsidRDefault="005E1A24" w:rsidP="007B503C">
            <w:pPr>
              <w:pStyle w:val="Tabletext1"/>
              <w:rPr>
                <w:snapToGrid w:val="0"/>
              </w:rPr>
            </w:pPr>
            <w:r>
              <w:rPr>
                <w:snapToGrid w:val="0"/>
              </w:rPr>
              <w:t>1/22 (4.5</w:t>
            </w:r>
            <w:r w:rsidR="0061371B">
              <w:rPr>
                <w:snapToGrid w:val="0"/>
              </w:rPr>
              <w:t>) patients</w:t>
            </w:r>
          </w:p>
        </w:tc>
      </w:tr>
      <w:tr w:rsidR="0061371B" w14:paraId="57FBC95D"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D0BF2E9" w14:textId="77777777" w:rsidR="0061371B" w:rsidRPr="00F1613B" w:rsidRDefault="0061371B" w:rsidP="007B503C">
            <w:pPr>
              <w:pStyle w:val="Tabletext1"/>
              <w:rPr>
                <w:snapToGrid w:val="0"/>
              </w:rPr>
            </w:pPr>
            <w:r w:rsidRPr="00F1613B">
              <w:rPr>
                <w:snapToGrid w:val="0"/>
              </w:rPr>
              <w:t>Lu et al (2015b)</w:t>
            </w:r>
          </w:p>
        </w:tc>
        <w:tc>
          <w:tcPr>
            <w:tcW w:w="1059" w:type="pct"/>
            <w:tcBorders>
              <w:top w:val="single" w:sz="4" w:space="0" w:color="auto"/>
              <w:left w:val="single" w:sz="4" w:space="0" w:color="auto"/>
              <w:bottom w:val="single" w:sz="4" w:space="0" w:color="auto"/>
              <w:right w:val="single" w:sz="4" w:space="0" w:color="auto"/>
            </w:tcBorders>
          </w:tcPr>
          <w:p w14:paraId="6E728CEA"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3B94D6A8" w14:textId="77777777" w:rsidR="0061371B" w:rsidRPr="001C4B2B" w:rsidRDefault="005E1A24" w:rsidP="007B503C">
            <w:pPr>
              <w:pStyle w:val="Tabletext1"/>
              <w:rPr>
                <w:snapToGrid w:val="0"/>
              </w:rPr>
            </w:pPr>
            <w:r>
              <w:rPr>
                <w:snapToGrid w:val="0"/>
              </w:rPr>
              <w:t>2/67 (3.0</w:t>
            </w:r>
            <w:r w:rsidR="0061371B">
              <w:rPr>
                <w:snapToGrid w:val="0"/>
              </w:rPr>
              <w:t>) patients</w:t>
            </w:r>
          </w:p>
        </w:tc>
      </w:tr>
      <w:tr w:rsidR="0061371B" w14:paraId="422B1BC4"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7168E8EC" w14:textId="77777777" w:rsidR="0061371B" w:rsidRPr="00F1613B" w:rsidRDefault="0061371B" w:rsidP="007B503C">
            <w:pPr>
              <w:pStyle w:val="Tabletext1"/>
              <w:rPr>
                <w:snapToGrid w:val="0"/>
              </w:rPr>
            </w:pPr>
            <w:r w:rsidRPr="00F1613B">
              <w:rPr>
                <w:snapToGrid w:val="0"/>
              </w:rPr>
              <w:t>Ridge et al (2014)</w:t>
            </w:r>
          </w:p>
        </w:tc>
        <w:tc>
          <w:tcPr>
            <w:tcW w:w="1059" w:type="pct"/>
            <w:tcBorders>
              <w:top w:val="single" w:sz="4" w:space="0" w:color="auto"/>
              <w:left w:val="single" w:sz="4" w:space="0" w:color="auto"/>
              <w:bottom w:val="single" w:sz="4" w:space="0" w:color="auto"/>
              <w:right w:val="single" w:sz="4" w:space="0" w:color="auto"/>
            </w:tcBorders>
          </w:tcPr>
          <w:p w14:paraId="60BC9467"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3D961832" w14:textId="77777777" w:rsidR="0061371B" w:rsidRPr="001C4B2B" w:rsidRDefault="005E1A24" w:rsidP="007B503C">
            <w:pPr>
              <w:pStyle w:val="Tabletext1"/>
              <w:rPr>
                <w:snapToGrid w:val="0"/>
              </w:rPr>
            </w:pPr>
            <w:r>
              <w:rPr>
                <w:snapToGrid w:val="0"/>
              </w:rPr>
              <w:t>3/29 (10.3</w:t>
            </w:r>
            <w:r w:rsidR="0061371B">
              <w:rPr>
                <w:snapToGrid w:val="0"/>
              </w:rPr>
              <w:t>) patients</w:t>
            </w:r>
          </w:p>
        </w:tc>
      </w:tr>
      <w:tr w:rsidR="0061371B" w14:paraId="2230DB73"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0AD513BC" w14:textId="77777777" w:rsidR="0061371B" w:rsidRPr="00F1613B" w:rsidRDefault="0061371B" w:rsidP="007B503C">
            <w:pPr>
              <w:pStyle w:val="Tabletext1"/>
              <w:rPr>
                <w:snapToGrid w:val="0"/>
              </w:rPr>
            </w:pPr>
            <w:r w:rsidRPr="00F1613B">
              <w:rPr>
                <w:snapToGrid w:val="0"/>
              </w:rPr>
              <w:t>Safi et al (2015)</w:t>
            </w:r>
          </w:p>
        </w:tc>
        <w:tc>
          <w:tcPr>
            <w:tcW w:w="1059" w:type="pct"/>
            <w:tcBorders>
              <w:top w:val="single" w:sz="4" w:space="0" w:color="auto"/>
              <w:left w:val="single" w:sz="4" w:space="0" w:color="auto"/>
              <w:bottom w:val="single" w:sz="4" w:space="0" w:color="auto"/>
              <w:right w:val="single" w:sz="4" w:space="0" w:color="auto"/>
            </w:tcBorders>
          </w:tcPr>
          <w:p w14:paraId="2B62CB7F" w14:textId="77777777" w:rsidR="0061371B" w:rsidRPr="001C4B2B" w:rsidRDefault="0061371B" w:rsidP="007B503C">
            <w:pPr>
              <w:pStyle w:val="Tabletext1"/>
              <w:rPr>
                <w:snapToGrid w:val="0"/>
              </w:rPr>
            </w:pPr>
            <w:r>
              <w:rPr>
                <w:snapToGrid w:val="0"/>
              </w:rPr>
              <w:t>III-3</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08258375" w14:textId="77777777" w:rsidR="0061371B" w:rsidRPr="001C4B2B" w:rsidRDefault="005E1A24" w:rsidP="007B503C">
            <w:pPr>
              <w:pStyle w:val="Tabletext1"/>
              <w:rPr>
                <w:snapToGrid w:val="0"/>
              </w:rPr>
            </w:pPr>
            <w:r>
              <w:rPr>
                <w:snapToGrid w:val="0"/>
              </w:rPr>
              <w:t>4/25 (16.0</w:t>
            </w:r>
            <w:r w:rsidR="0061371B">
              <w:rPr>
                <w:snapToGrid w:val="0"/>
              </w:rPr>
              <w:t>) patients</w:t>
            </w:r>
          </w:p>
        </w:tc>
      </w:tr>
      <w:tr w:rsidR="0061371B" w14:paraId="00F29B51"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475F8A3E" w14:textId="77777777" w:rsidR="0061371B" w:rsidRPr="00F1613B" w:rsidRDefault="0061371B" w:rsidP="007B503C">
            <w:pPr>
              <w:pStyle w:val="Tabletext1"/>
              <w:rPr>
                <w:snapToGrid w:val="0"/>
              </w:rPr>
            </w:pPr>
            <w:r w:rsidRPr="00F1613B">
              <w:rPr>
                <w:snapToGrid w:val="0"/>
              </w:rPr>
              <w:t>Yan et al (2006+ 2007)</w:t>
            </w:r>
          </w:p>
        </w:tc>
        <w:tc>
          <w:tcPr>
            <w:tcW w:w="1059" w:type="pct"/>
            <w:tcBorders>
              <w:top w:val="single" w:sz="4" w:space="0" w:color="auto"/>
              <w:left w:val="single" w:sz="4" w:space="0" w:color="auto"/>
              <w:bottom w:val="single" w:sz="4" w:space="0" w:color="auto"/>
              <w:right w:val="single" w:sz="4" w:space="0" w:color="auto"/>
            </w:tcBorders>
          </w:tcPr>
          <w:p w14:paraId="37474098" w14:textId="77777777" w:rsidR="0061371B" w:rsidRPr="001C4B2B" w:rsidRDefault="0061371B" w:rsidP="007B503C">
            <w:pPr>
              <w:pStyle w:val="Tabletext1"/>
              <w:rPr>
                <w:snapToGrid w:val="0"/>
              </w:rPr>
            </w:pPr>
            <w:r w:rsidRPr="001C4B2B">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4385D96A" w14:textId="77777777" w:rsidR="0061371B" w:rsidRPr="001C4B2B" w:rsidRDefault="005E1A24" w:rsidP="007B503C">
            <w:pPr>
              <w:pStyle w:val="Tabletext1"/>
              <w:rPr>
                <w:snapToGrid w:val="0"/>
              </w:rPr>
            </w:pPr>
            <w:r>
              <w:rPr>
                <w:snapToGrid w:val="0"/>
              </w:rPr>
              <w:t>4/55 (7.3</w:t>
            </w:r>
            <w:r w:rsidR="0061371B">
              <w:rPr>
                <w:snapToGrid w:val="0"/>
              </w:rPr>
              <w:t>) patients</w:t>
            </w:r>
          </w:p>
        </w:tc>
      </w:tr>
      <w:tr w:rsidR="0061371B" w:rsidRPr="001C4B2B" w14:paraId="3216F64E"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763D23CD" w14:textId="77777777" w:rsidR="0061371B" w:rsidRPr="00E34346" w:rsidRDefault="0061371B" w:rsidP="007B503C">
            <w:pPr>
              <w:pStyle w:val="Tabletext1"/>
              <w:rPr>
                <w:snapToGrid w:val="0"/>
              </w:rPr>
            </w:pPr>
            <w:r w:rsidRPr="00E34346">
              <w:rPr>
                <w:snapToGrid w:val="0"/>
              </w:rPr>
              <w:t>Pooled n/N (%)</w:t>
            </w:r>
          </w:p>
          <w:p w14:paraId="22936437" w14:textId="77777777" w:rsidR="0061371B" w:rsidRPr="00E34346" w:rsidRDefault="0061371B" w:rsidP="007B503C">
            <w:pPr>
              <w:pStyle w:val="Tabletext1"/>
              <w:rPr>
                <w:snapToGrid w:val="0"/>
              </w:rPr>
            </w:pPr>
            <w:r w:rsidRPr="00E34346">
              <w:rPr>
                <w:snapToGrid w:val="0"/>
              </w:rPr>
              <w:t>Median % (range)</w:t>
            </w:r>
          </w:p>
        </w:tc>
        <w:tc>
          <w:tcPr>
            <w:tcW w:w="1059" w:type="pct"/>
            <w:tcBorders>
              <w:top w:val="single" w:sz="4" w:space="0" w:color="auto"/>
              <w:left w:val="single" w:sz="4" w:space="0" w:color="auto"/>
              <w:bottom w:val="single" w:sz="4" w:space="0" w:color="auto"/>
              <w:right w:val="single" w:sz="4" w:space="0" w:color="auto"/>
            </w:tcBorders>
          </w:tcPr>
          <w:p w14:paraId="0B7850D9" w14:textId="77777777" w:rsidR="00172E96" w:rsidRDefault="00172E96" w:rsidP="007B503C">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p>
          <w:p w14:paraId="21C25785" w14:textId="77777777" w:rsidR="0061371B" w:rsidRPr="00E34346" w:rsidRDefault="0061371B" w:rsidP="007B503C">
            <w:pPr>
              <w:pStyle w:val="Tabletext1"/>
              <w:rPr>
                <w:snapToGrid w:val="0"/>
              </w:rPr>
            </w:pPr>
            <w:r w:rsidRPr="00E805F1">
              <w:rPr>
                <w:rStyle w:val="quality-sign"/>
                <w:rFonts w:eastAsia="MS Mincho" w:cs="MS Mincho"/>
                <w:b/>
              </w:rPr>
              <w:t>VERY LOW</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37A4561E" w14:textId="77777777" w:rsidR="0061371B" w:rsidRDefault="005E1A24" w:rsidP="007B503C">
            <w:pPr>
              <w:pStyle w:val="Tabletext1"/>
              <w:rPr>
                <w:snapToGrid w:val="0"/>
              </w:rPr>
            </w:pPr>
            <w:r>
              <w:rPr>
                <w:snapToGrid w:val="0"/>
              </w:rPr>
              <w:t>Total 15/249 (6.0</w:t>
            </w:r>
            <w:r w:rsidR="0061371B">
              <w:rPr>
                <w:snapToGrid w:val="0"/>
              </w:rPr>
              <w:t>)</w:t>
            </w:r>
          </w:p>
          <w:p w14:paraId="36889DB5" w14:textId="716A9289" w:rsidR="0061371B" w:rsidRPr="00E34346" w:rsidRDefault="005E1A24" w:rsidP="007B503C">
            <w:pPr>
              <w:pStyle w:val="Tabletext1"/>
              <w:rPr>
                <w:snapToGrid w:val="0"/>
              </w:rPr>
            </w:pPr>
            <w:r>
              <w:rPr>
                <w:snapToGrid w:val="0"/>
              </w:rPr>
              <w:t>Median 5.9</w:t>
            </w:r>
            <w:r w:rsidR="0061371B">
              <w:rPr>
                <w:snapToGrid w:val="0"/>
              </w:rPr>
              <w:t xml:space="preserve"> (2</w:t>
            </w:r>
            <w:r>
              <w:rPr>
                <w:snapToGrid w:val="0"/>
              </w:rPr>
              <w:t>.0</w:t>
            </w:r>
            <w:r w:rsidR="00D35E9C">
              <w:rPr>
                <w:snapToGrid w:val="0"/>
              </w:rPr>
              <w:t>–</w:t>
            </w:r>
            <w:r>
              <w:rPr>
                <w:snapToGrid w:val="0"/>
              </w:rPr>
              <w:t>16.0</w:t>
            </w:r>
            <w:r w:rsidR="0061371B">
              <w:rPr>
                <w:snapToGrid w:val="0"/>
              </w:rPr>
              <w:t>)</w:t>
            </w:r>
          </w:p>
        </w:tc>
      </w:tr>
      <w:tr w:rsidR="0061371B" w:rsidRPr="001C4B2B" w14:paraId="671E9C46" w14:textId="77777777" w:rsidTr="00CF665A">
        <w:tc>
          <w:tcPr>
            <w:tcW w:w="1610"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35F3E81A" w14:textId="3CB438BC" w:rsidR="0061371B" w:rsidRPr="008578C2" w:rsidRDefault="003E4064" w:rsidP="007B503C">
            <w:pPr>
              <w:pStyle w:val="Tabletext1"/>
              <w:rPr>
                <w:b/>
                <w:snapToGrid w:val="0"/>
              </w:rPr>
            </w:pPr>
            <w:r w:rsidRPr="008578C2">
              <w:rPr>
                <w:b/>
                <w:snapToGrid w:val="0"/>
              </w:rPr>
              <w:t>Pain</w:t>
            </w:r>
          </w:p>
        </w:tc>
        <w:tc>
          <w:tcPr>
            <w:tcW w:w="1059" w:type="pct"/>
            <w:tcBorders>
              <w:top w:val="single" w:sz="4" w:space="0" w:color="auto"/>
              <w:left w:val="nil"/>
              <w:bottom w:val="single" w:sz="4" w:space="0" w:color="auto"/>
              <w:right w:val="nil"/>
            </w:tcBorders>
            <w:shd w:val="clear" w:color="auto" w:fill="D9D9D9" w:themeFill="background1" w:themeFillShade="D9"/>
          </w:tcPr>
          <w:p w14:paraId="691BF826" w14:textId="77777777" w:rsidR="0061371B" w:rsidRPr="00F12911" w:rsidRDefault="0061371B" w:rsidP="007B503C">
            <w:pPr>
              <w:pStyle w:val="Tabletext1"/>
              <w:rPr>
                <w:snapToGrid w:val="0"/>
              </w:rPr>
            </w:pPr>
          </w:p>
        </w:tc>
        <w:tc>
          <w:tcPr>
            <w:tcW w:w="23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10BA750" w14:textId="77777777" w:rsidR="0061371B" w:rsidRPr="001C4B2B" w:rsidRDefault="0061371B" w:rsidP="007B503C">
            <w:pPr>
              <w:pStyle w:val="Tabletext1"/>
              <w:rPr>
                <w:snapToGrid w:val="0"/>
              </w:rPr>
            </w:pPr>
          </w:p>
        </w:tc>
      </w:tr>
      <w:tr w:rsidR="0061371B" w:rsidRPr="001C4B2B" w14:paraId="0F54BF61"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C5E1F25" w14:textId="77777777" w:rsidR="0061371B" w:rsidRPr="00E24143" w:rsidRDefault="0061371B" w:rsidP="007B503C">
            <w:pPr>
              <w:pStyle w:val="Tabletext1"/>
              <w:rPr>
                <w:snapToGrid w:val="0"/>
              </w:rPr>
            </w:pPr>
            <w:r w:rsidRPr="00E24143">
              <w:rPr>
                <w:snapToGrid w:val="0"/>
              </w:rPr>
              <w:t>Ambrogi et al (2011)</w:t>
            </w:r>
          </w:p>
        </w:tc>
        <w:tc>
          <w:tcPr>
            <w:tcW w:w="1059" w:type="pct"/>
            <w:tcBorders>
              <w:top w:val="single" w:sz="4" w:space="0" w:color="auto"/>
              <w:left w:val="single" w:sz="4" w:space="0" w:color="auto"/>
              <w:bottom w:val="single" w:sz="4" w:space="0" w:color="auto"/>
              <w:right w:val="single" w:sz="4" w:space="0" w:color="auto"/>
            </w:tcBorders>
          </w:tcPr>
          <w:p w14:paraId="61DD8FA1" w14:textId="77777777" w:rsidR="0061371B" w:rsidRPr="00F12911" w:rsidRDefault="0061371B" w:rsidP="007B503C">
            <w:pPr>
              <w:pStyle w:val="Tabletext1"/>
              <w:rPr>
                <w:snapToGrid w:val="0"/>
              </w:rPr>
            </w:pPr>
            <w:r w:rsidRPr="00F12911">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0BDBEE61" w14:textId="77777777" w:rsidR="0061371B" w:rsidRPr="001C4B2B" w:rsidRDefault="005E1A24" w:rsidP="007B503C">
            <w:pPr>
              <w:pStyle w:val="Tabletext1"/>
              <w:rPr>
                <w:snapToGrid w:val="0"/>
              </w:rPr>
            </w:pPr>
            <w:r>
              <w:rPr>
                <w:snapToGrid w:val="0"/>
              </w:rPr>
              <w:t>5/57 (8.8</w:t>
            </w:r>
            <w:r w:rsidR="0061371B">
              <w:rPr>
                <w:snapToGrid w:val="0"/>
              </w:rPr>
              <w:t>) patients</w:t>
            </w:r>
          </w:p>
        </w:tc>
      </w:tr>
      <w:tr w:rsidR="0061371B" w:rsidRPr="001C4B2B" w14:paraId="72F00475"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413EB24C" w14:textId="77777777" w:rsidR="0061371B" w:rsidRPr="00E24143" w:rsidRDefault="0061371B" w:rsidP="007B503C">
            <w:pPr>
              <w:pStyle w:val="Tabletext1"/>
              <w:rPr>
                <w:snapToGrid w:val="0"/>
              </w:rPr>
            </w:pPr>
            <w:r w:rsidRPr="00E24143">
              <w:rPr>
                <w:snapToGrid w:val="0"/>
              </w:rPr>
              <w:lastRenderedPageBreak/>
              <w:t>Liu et al (2015)</w:t>
            </w:r>
          </w:p>
        </w:tc>
        <w:tc>
          <w:tcPr>
            <w:tcW w:w="1059" w:type="pct"/>
            <w:tcBorders>
              <w:top w:val="single" w:sz="4" w:space="0" w:color="auto"/>
              <w:left w:val="single" w:sz="4" w:space="0" w:color="auto"/>
              <w:bottom w:val="single" w:sz="4" w:space="0" w:color="auto"/>
              <w:right w:val="single" w:sz="4" w:space="0" w:color="auto"/>
            </w:tcBorders>
          </w:tcPr>
          <w:p w14:paraId="1D4AE115" w14:textId="77777777" w:rsidR="0061371B" w:rsidRPr="00F12911" w:rsidRDefault="0061371B" w:rsidP="007B503C">
            <w:pPr>
              <w:pStyle w:val="Tabletext1"/>
              <w:rPr>
                <w:snapToGrid w:val="0"/>
              </w:rPr>
            </w:pPr>
            <w:r w:rsidRPr="00F12911">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5CA9A371" w14:textId="77777777" w:rsidR="0061371B" w:rsidRPr="001C4B2B" w:rsidRDefault="005E1A24" w:rsidP="007B503C">
            <w:pPr>
              <w:pStyle w:val="Tabletext1"/>
              <w:rPr>
                <w:snapToGrid w:val="0"/>
              </w:rPr>
            </w:pPr>
            <w:r>
              <w:rPr>
                <w:snapToGrid w:val="0"/>
              </w:rPr>
              <w:t>8/29 (27.6</w:t>
            </w:r>
            <w:r w:rsidR="0061371B">
              <w:rPr>
                <w:snapToGrid w:val="0"/>
              </w:rPr>
              <w:t>) patients</w:t>
            </w:r>
          </w:p>
        </w:tc>
      </w:tr>
      <w:tr w:rsidR="0061371B" w:rsidRPr="001C4B2B" w14:paraId="57558F1C"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7CE7F79C" w14:textId="77777777" w:rsidR="0061371B" w:rsidRPr="00E24143" w:rsidRDefault="0061371B" w:rsidP="007B503C">
            <w:pPr>
              <w:pStyle w:val="Tabletext1"/>
              <w:rPr>
                <w:snapToGrid w:val="0"/>
              </w:rPr>
            </w:pPr>
            <w:r w:rsidRPr="00E24143">
              <w:rPr>
                <w:snapToGrid w:val="0"/>
              </w:rPr>
              <w:t>Lu et al (2015a)</w:t>
            </w:r>
          </w:p>
        </w:tc>
        <w:tc>
          <w:tcPr>
            <w:tcW w:w="1059" w:type="pct"/>
            <w:tcBorders>
              <w:top w:val="single" w:sz="4" w:space="0" w:color="auto"/>
              <w:left w:val="single" w:sz="4" w:space="0" w:color="auto"/>
              <w:bottom w:val="single" w:sz="4" w:space="0" w:color="auto"/>
              <w:right w:val="single" w:sz="4" w:space="0" w:color="auto"/>
            </w:tcBorders>
          </w:tcPr>
          <w:p w14:paraId="6A13064B" w14:textId="77777777" w:rsidR="0061371B" w:rsidRPr="00F12911" w:rsidRDefault="0061371B" w:rsidP="007B503C">
            <w:pPr>
              <w:pStyle w:val="Tabletext1"/>
              <w:rPr>
                <w:snapToGrid w:val="0"/>
              </w:rPr>
            </w:pPr>
            <w:r w:rsidRPr="00F12911">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76E5575D" w14:textId="77777777" w:rsidR="0061371B" w:rsidRPr="001C4B2B" w:rsidRDefault="005E1A24" w:rsidP="007B503C">
            <w:pPr>
              <w:pStyle w:val="Tabletext1"/>
              <w:rPr>
                <w:snapToGrid w:val="0"/>
              </w:rPr>
            </w:pPr>
            <w:r>
              <w:rPr>
                <w:snapToGrid w:val="0"/>
              </w:rPr>
              <w:t>6/67 (9.0</w:t>
            </w:r>
            <w:r w:rsidR="0061371B">
              <w:rPr>
                <w:snapToGrid w:val="0"/>
              </w:rPr>
              <w:t>) patients</w:t>
            </w:r>
          </w:p>
        </w:tc>
      </w:tr>
      <w:tr w:rsidR="0061371B" w:rsidRPr="001C4B2B" w14:paraId="615D77F2"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085FF69F" w14:textId="77777777" w:rsidR="0061371B" w:rsidRPr="00E24143" w:rsidRDefault="0061371B" w:rsidP="007B503C">
            <w:pPr>
              <w:pStyle w:val="Tabletext1"/>
              <w:rPr>
                <w:snapToGrid w:val="0"/>
              </w:rPr>
            </w:pPr>
            <w:r w:rsidRPr="00E24143">
              <w:rPr>
                <w:snapToGrid w:val="0"/>
              </w:rPr>
              <w:t>Lu et al (2015n)</w:t>
            </w:r>
          </w:p>
        </w:tc>
        <w:tc>
          <w:tcPr>
            <w:tcW w:w="1059" w:type="pct"/>
            <w:tcBorders>
              <w:top w:val="single" w:sz="4" w:space="0" w:color="auto"/>
              <w:left w:val="single" w:sz="4" w:space="0" w:color="auto"/>
              <w:bottom w:val="single" w:sz="4" w:space="0" w:color="auto"/>
              <w:right w:val="single" w:sz="4" w:space="0" w:color="auto"/>
            </w:tcBorders>
          </w:tcPr>
          <w:p w14:paraId="6484F63F" w14:textId="77777777" w:rsidR="0061371B" w:rsidRPr="00F12911" w:rsidRDefault="0061371B" w:rsidP="007B503C">
            <w:pPr>
              <w:pStyle w:val="Tabletext1"/>
              <w:rPr>
                <w:snapToGrid w:val="0"/>
              </w:rPr>
            </w:pPr>
            <w:r w:rsidRPr="00F12911">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5BE7A979" w14:textId="77777777" w:rsidR="0061371B" w:rsidRPr="001C4B2B" w:rsidRDefault="005E1A24" w:rsidP="007B503C">
            <w:pPr>
              <w:pStyle w:val="Tabletext1"/>
              <w:rPr>
                <w:snapToGrid w:val="0"/>
              </w:rPr>
            </w:pPr>
            <w:r>
              <w:rPr>
                <w:snapToGrid w:val="0"/>
              </w:rPr>
              <w:t>4/35 (11.4</w:t>
            </w:r>
            <w:r w:rsidR="0061371B">
              <w:rPr>
                <w:snapToGrid w:val="0"/>
              </w:rPr>
              <w:t>) patients</w:t>
            </w:r>
          </w:p>
        </w:tc>
      </w:tr>
      <w:tr w:rsidR="0061371B" w:rsidRPr="001C4B2B" w14:paraId="4F265E44"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59CF7BD1" w14:textId="77777777" w:rsidR="0061371B" w:rsidRPr="00E24143" w:rsidRDefault="0061371B" w:rsidP="007B503C">
            <w:pPr>
              <w:pStyle w:val="Tabletext1"/>
              <w:rPr>
                <w:snapToGrid w:val="0"/>
              </w:rPr>
            </w:pPr>
            <w:r w:rsidRPr="00E24143">
              <w:rPr>
                <w:snapToGrid w:val="0"/>
              </w:rPr>
              <w:t>Yan et al (2006+ 2007)</w:t>
            </w:r>
          </w:p>
        </w:tc>
        <w:tc>
          <w:tcPr>
            <w:tcW w:w="1059" w:type="pct"/>
            <w:tcBorders>
              <w:top w:val="single" w:sz="4" w:space="0" w:color="auto"/>
              <w:left w:val="single" w:sz="4" w:space="0" w:color="auto"/>
              <w:bottom w:val="single" w:sz="4" w:space="0" w:color="auto"/>
              <w:right w:val="single" w:sz="4" w:space="0" w:color="auto"/>
            </w:tcBorders>
          </w:tcPr>
          <w:p w14:paraId="07CDF944" w14:textId="77777777" w:rsidR="0061371B" w:rsidRPr="00F12911" w:rsidRDefault="0061371B" w:rsidP="007B503C">
            <w:pPr>
              <w:pStyle w:val="Tabletext1"/>
              <w:rPr>
                <w:snapToGrid w:val="0"/>
              </w:rPr>
            </w:pPr>
            <w:r w:rsidRPr="00F12911">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03E04E3E" w14:textId="77777777" w:rsidR="0061371B" w:rsidRPr="001C4B2B" w:rsidRDefault="005E1A24" w:rsidP="007B503C">
            <w:pPr>
              <w:pStyle w:val="Tabletext1"/>
              <w:rPr>
                <w:snapToGrid w:val="0"/>
              </w:rPr>
            </w:pPr>
            <w:r>
              <w:rPr>
                <w:snapToGrid w:val="0"/>
              </w:rPr>
              <w:t>4/55 (7.3</w:t>
            </w:r>
            <w:r w:rsidR="0061371B">
              <w:rPr>
                <w:snapToGrid w:val="0"/>
              </w:rPr>
              <w:t>) patients</w:t>
            </w:r>
          </w:p>
        </w:tc>
      </w:tr>
      <w:tr w:rsidR="0061371B" w:rsidRPr="001C4B2B" w14:paraId="5AB0EC13"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0DFB23F5" w14:textId="77777777" w:rsidR="0061371B" w:rsidRPr="005560E0" w:rsidRDefault="0061371B" w:rsidP="007B503C">
            <w:pPr>
              <w:pStyle w:val="Tabletext1"/>
              <w:rPr>
                <w:snapToGrid w:val="0"/>
              </w:rPr>
            </w:pPr>
            <w:r w:rsidRPr="005560E0">
              <w:rPr>
                <w:snapToGrid w:val="0"/>
              </w:rPr>
              <w:t>Pooled n/N (%)</w:t>
            </w:r>
          </w:p>
          <w:p w14:paraId="769F2BE4" w14:textId="77777777" w:rsidR="0061371B" w:rsidRPr="005560E0" w:rsidRDefault="0061371B" w:rsidP="007B503C">
            <w:pPr>
              <w:pStyle w:val="Tabletext1"/>
              <w:rPr>
                <w:snapToGrid w:val="0"/>
              </w:rPr>
            </w:pPr>
            <w:r w:rsidRPr="005560E0">
              <w:rPr>
                <w:snapToGrid w:val="0"/>
              </w:rPr>
              <w:t>Median % (range)</w:t>
            </w:r>
          </w:p>
        </w:tc>
        <w:tc>
          <w:tcPr>
            <w:tcW w:w="1059" w:type="pct"/>
            <w:tcBorders>
              <w:top w:val="single" w:sz="4" w:space="0" w:color="auto"/>
              <w:left w:val="single" w:sz="4" w:space="0" w:color="auto"/>
              <w:bottom w:val="single" w:sz="4" w:space="0" w:color="auto"/>
              <w:right w:val="single" w:sz="4" w:space="0" w:color="auto"/>
            </w:tcBorders>
          </w:tcPr>
          <w:p w14:paraId="5363CB61" w14:textId="77777777" w:rsidR="00172E96" w:rsidRDefault="00172E96" w:rsidP="007B503C">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p>
          <w:p w14:paraId="367E2453" w14:textId="77777777" w:rsidR="0061371B" w:rsidRPr="005560E0" w:rsidRDefault="0061371B" w:rsidP="007B503C">
            <w:pPr>
              <w:pStyle w:val="Tabletext1"/>
              <w:rPr>
                <w:snapToGrid w:val="0"/>
              </w:rPr>
            </w:pPr>
            <w:r w:rsidRPr="00E805F1">
              <w:rPr>
                <w:rStyle w:val="quality-sign"/>
                <w:rFonts w:eastAsia="MS Mincho" w:cs="MS Mincho"/>
                <w:b/>
              </w:rPr>
              <w:t>VERY LOW</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2044670F" w14:textId="77777777" w:rsidR="0061371B" w:rsidRDefault="005E1A24" w:rsidP="007B503C">
            <w:pPr>
              <w:pStyle w:val="Tabletext1"/>
              <w:rPr>
                <w:snapToGrid w:val="0"/>
              </w:rPr>
            </w:pPr>
            <w:r>
              <w:rPr>
                <w:snapToGrid w:val="0"/>
              </w:rPr>
              <w:t>Total 27/243 (11.1</w:t>
            </w:r>
            <w:r w:rsidR="0061371B">
              <w:rPr>
                <w:snapToGrid w:val="0"/>
              </w:rPr>
              <w:t>)</w:t>
            </w:r>
          </w:p>
          <w:p w14:paraId="7B327B4B" w14:textId="19E9434F" w:rsidR="0061371B" w:rsidRPr="005560E0" w:rsidRDefault="005E1A24" w:rsidP="007B503C">
            <w:pPr>
              <w:pStyle w:val="Tabletext1"/>
              <w:rPr>
                <w:snapToGrid w:val="0"/>
              </w:rPr>
            </w:pPr>
            <w:r>
              <w:rPr>
                <w:snapToGrid w:val="0"/>
              </w:rPr>
              <w:t>Median 9.0 (7.3</w:t>
            </w:r>
            <w:r w:rsidR="00D35E9C">
              <w:rPr>
                <w:snapToGrid w:val="0"/>
              </w:rPr>
              <w:t>–</w:t>
            </w:r>
            <w:r>
              <w:rPr>
                <w:snapToGrid w:val="0"/>
              </w:rPr>
              <w:t>27.6</w:t>
            </w:r>
            <w:r w:rsidR="0061371B">
              <w:rPr>
                <w:snapToGrid w:val="0"/>
              </w:rPr>
              <w:t>)</w:t>
            </w:r>
          </w:p>
        </w:tc>
      </w:tr>
      <w:tr w:rsidR="0061371B" w:rsidRPr="001C4B2B" w14:paraId="4F3C0925" w14:textId="77777777" w:rsidTr="00CF665A">
        <w:tc>
          <w:tcPr>
            <w:tcW w:w="1610"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505D6A3F" w14:textId="77777777" w:rsidR="0061371B" w:rsidRPr="008578C2" w:rsidRDefault="0061371B" w:rsidP="007B503C">
            <w:pPr>
              <w:pStyle w:val="Tabletext1"/>
              <w:rPr>
                <w:b/>
                <w:snapToGrid w:val="0"/>
              </w:rPr>
            </w:pPr>
            <w:r w:rsidRPr="008578C2">
              <w:rPr>
                <w:b/>
                <w:snapToGrid w:val="0"/>
              </w:rPr>
              <w:t>Pulmonary bleeding</w:t>
            </w:r>
          </w:p>
        </w:tc>
        <w:tc>
          <w:tcPr>
            <w:tcW w:w="1059" w:type="pct"/>
            <w:tcBorders>
              <w:top w:val="single" w:sz="4" w:space="0" w:color="auto"/>
              <w:left w:val="nil"/>
              <w:bottom w:val="single" w:sz="4" w:space="0" w:color="auto"/>
              <w:right w:val="nil"/>
            </w:tcBorders>
            <w:shd w:val="clear" w:color="auto" w:fill="D9D9D9" w:themeFill="background1" w:themeFillShade="D9"/>
          </w:tcPr>
          <w:p w14:paraId="2AC1C875" w14:textId="77777777" w:rsidR="0061371B" w:rsidRPr="00F12911" w:rsidRDefault="0061371B" w:rsidP="007B503C">
            <w:pPr>
              <w:pStyle w:val="Tabletext1"/>
              <w:rPr>
                <w:snapToGrid w:val="0"/>
              </w:rPr>
            </w:pPr>
          </w:p>
        </w:tc>
        <w:tc>
          <w:tcPr>
            <w:tcW w:w="23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33F49D" w14:textId="77777777" w:rsidR="0061371B" w:rsidRPr="001C4B2B" w:rsidRDefault="0061371B" w:rsidP="007B503C">
            <w:pPr>
              <w:pStyle w:val="Tabletext1"/>
              <w:rPr>
                <w:snapToGrid w:val="0"/>
              </w:rPr>
            </w:pPr>
          </w:p>
        </w:tc>
      </w:tr>
      <w:tr w:rsidR="0061371B" w:rsidRPr="001C4B2B" w14:paraId="7C1A5DAD"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4D37AFAD" w14:textId="77777777" w:rsidR="0061371B" w:rsidRDefault="0061371B" w:rsidP="007B503C">
            <w:pPr>
              <w:pStyle w:val="Tabletext1"/>
              <w:rPr>
                <w:snapToGrid w:val="0"/>
              </w:rPr>
            </w:pPr>
            <w:r>
              <w:rPr>
                <w:snapToGrid w:val="0"/>
              </w:rPr>
              <w:t>Ambrogi et al (2011)</w:t>
            </w:r>
          </w:p>
        </w:tc>
        <w:tc>
          <w:tcPr>
            <w:tcW w:w="1059" w:type="pct"/>
            <w:tcBorders>
              <w:top w:val="single" w:sz="4" w:space="0" w:color="auto"/>
              <w:left w:val="single" w:sz="4" w:space="0" w:color="auto"/>
              <w:bottom w:val="single" w:sz="4" w:space="0" w:color="auto"/>
              <w:right w:val="single" w:sz="4" w:space="0" w:color="auto"/>
            </w:tcBorders>
          </w:tcPr>
          <w:p w14:paraId="6C5B5484" w14:textId="77777777" w:rsidR="0061371B" w:rsidRDefault="0061371B" w:rsidP="007B503C">
            <w:pPr>
              <w:pStyle w:val="Tabletext1"/>
              <w:rPr>
                <w:snapToGrid w:val="0"/>
              </w:rPr>
            </w:pPr>
            <w:r>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06C62F89" w14:textId="77777777" w:rsidR="0061371B" w:rsidRDefault="005E1A24" w:rsidP="007B503C">
            <w:pPr>
              <w:pStyle w:val="Tabletext1"/>
              <w:rPr>
                <w:snapToGrid w:val="0"/>
              </w:rPr>
            </w:pPr>
            <w:r>
              <w:rPr>
                <w:snapToGrid w:val="0"/>
              </w:rPr>
              <w:t>1/57 (1.8</w:t>
            </w:r>
            <w:r w:rsidR="0061371B">
              <w:rPr>
                <w:snapToGrid w:val="0"/>
              </w:rPr>
              <w:t>) patients</w:t>
            </w:r>
          </w:p>
        </w:tc>
      </w:tr>
      <w:tr w:rsidR="0061371B" w:rsidRPr="001C4B2B" w14:paraId="2C16D725"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A88BDEC" w14:textId="77777777" w:rsidR="0061371B" w:rsidRPr="00584DA8" w:rsidRDefault="0061371B" w:rsidP="007B503C">
            <w:pPr>
              <w:pStyle w:val="Tabletext1"/>
              <w:rPr>
                <w:snapToGrid w:val="0"/>
              </w:rPr>
            </w:pPr>
            <w:r>
              <w:rPr>
                <w:snapToGrid w:val="0"/>
              </w:rPr>
              <w:t>Hiraki et al (2011b)</w:t>
            </w:r>
          </w:p>
        </w:tc>
        <w:tc>
          <w:tcPr>
            <w:tcW w:w="1059" w:type="pct"/>
            <w:tcBorders>
              <w:top w:val="single" w:sz="4" w:space="0" w:color="auto"/>
              <w:left w:val="single" w:sz="4" w:space="0" w:color="auto"/>
              <w:bottom w:val="single" w:sz="4" w:space="0" w:color="auto"/>
              <w:right w:val="single" w:sz="4" w:space="0" w:color="auto"/>
            </w:tcBorders>
          </w:tcPr>
          <w:p w14:paraId="0AEAB4D2" w14:textId="77777777" w:rsidR="0061371B" w:rsidRPr="00F12911" w:rsidRDefault="0061371B" w:rsidP="007B503C">
            <w:pPr>
              <w:pStyle w:val="Tabletext1"/>
              <w:rPr>
                <w:snapToGrid w:val="0"/>
              </w:rPr>
            </w:pPr>
            <w:r w:rsidRPr="00F12911">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69278499" w14:textId="77777777" w:rsidR="0061371B" w:rsidRPr="001C4B2B" w:rsidRDefault="005E1A24" w:rsidP="007B503C">
            <w:pPr>
              <w:pStyle w:val="Tabletext1"/>
              <w:rPr>
                <w:snapToGrid w:val="0"/>
              </w:rPr>
            </w:pPr>
            <w:r>
              <w:rPr>
                <w:snapToGrid w:val="0"/>
              </w:rPr>
              <w:t>1/32 (3.1</w:t>
            </w:r>
            <w:r w:rsidR="0061371B">
              <w:rPr>
                <w:snapToGrid w:val="0"/>
              </w:rPr>
              <w:t>) patients</w:t>
            </w:r>
          </w:p>
        </w:tc>
      </w:tr>
      <w:tr w:rsidR="0061371B" w:rsidRPr="001C4B2B" w14:paraId="1C432367"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0348800F" w14:textId="77777777" w:rsidR="0061371B" w:rsidRPr="00584DA8" w:rsidRDefault="0061371B" w:rsidP="007B503C">
            <w:pPr>
              <w:pStyle w:val="Tabletext1"/>
              <w:rPr>
                <w:snapToGrid w:val="0"/>
              </w:rPr>
            </w:pPr>
            <w:r>
              <w:rPr>
                <w:snapToGrid w:val="0"/>
              </w:rPr>
              <w:t>Li et al (2012)</w:t>
            </w:r>
          </w:p>
        </w:tc>
        <w:tc>
          <w:tcPr>
            <w:tcW w:w="1059" w:type="pct"/>
            <w:tcBorders>
              <w:top w:val="single" w:sz="4" w:space="0" w:color="auto"/>
              <w:left w:val="single" w:sz="4" w:space="0" w:color="auto"/>
              <w:bottom w:val="single" w:sz="4" w:space="0" w:color="auto"/>
              <w:right w:val="single" w:sz="4" w:space="0" w:color="auto"/>
            </w:tcBorders>
          </w:tcPr>
          <w:p w14:paraId="0F657C38" w14:textId="77777777" w:rsidR="0061371B" w:rsidRPr="00F12911" w:rsidRDefault="0061371B" w:rsidP="007B503C">
            <w:pPr>
              <w:pStyle w:val="Tabletext1"/>
              <w:rPr>
                <w:snapToGrid w:val="0"/>
              </w:rPr>
            </w:pPr>
            <w:r w:rsidRPr="00F12911">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435B2FBC" w14:textId="77777777" w:rsidR="0061371B" w:rsidRPr="001C4B2B" w:rsidRDefault="005E1A24" w:rsidP="007B503C">
            <w:pPr>
              <w:pStyle w:val="Tabletext1"/>
              <w:rPr>
                <w:snapToGrid w:val="0"/>
              </w:rPr>
            </w:pPr>
            <w:r>
              <w:rPr>
                <w:snapToGrid w:val="0"/>
              </w:rPr>
              <w:t>0/29 (0.0</w:t>
            </w:r>
            <w:r w:rsidR="0061371B">
              <w:rPr>
                <w:snapToGrid w:val="0"/>
              </w:rPr>
              <w:t>) patients</w:t>
            </w:r>
          </w:p>
        </w:tc>
      </w:tr>
      <w:tr w:rsidR="0061371B" w:rsidRPr="001C4B2B" w14:paraId="3C2C2AD3"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56B1F3AB" w14:textId="77777777" w:rsidR="0061371B" w:rsidRPr="00584DA8" w:rsidRDefault="0061371B" w:rsidP="007B503C">
            <w:pPr>
              <w:pStyle w:val="Tabletext1"/>
              <w:rPr>
                <w:snapToGrid w:val="0"/>
              </w:rPr>
            </w:pPr>
            <w:r>
              <w:rPr>
                <w:snapToGrid w:val="0"/>
              </w:rPr>
              <w:t>Matsui et al (2015)</w:t>
            </w:r>
          </w:p>
        </w:tc>
        <w:tc>
          <w:tcPr>
            <w:tcW w:w="1059" w:type="pct"/>
            <w:tcBorders>
              <w:top w:val="single" w:sz="4" w:space="0" w:color="auto"/>
              <w:left w:val="single" w:sz="4" w:space="0" w:color="auto"/>
              <w:bottom w:val="single" w:sz="4" w:space="0" w:color="auto"/>
              <w:right w:val="single" w:sz="4" w:space="0" w:color="auto"/>
            </w:tcBorders>
          </w:tcPr>
          <w:p w14:paraId="03DDCB61" w14:textId="77777777" w:rsidR="0061371B" w:rsidRPr="00F12911" w:rsidRDefault="0061371B" w:rsidP="007B503C">
            <w:pPr>
              <w:pStyle w:val="Tabletext1"/>
              <w:rPr>
                <w:snapToGrid w:val="0"/>
              </w:rPr>
            </w:pPr>
            <w:r w:rsidRPr="00F12911">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6ECFFD0F" w14:textId="77777777" w:rsidR="0061371B" w:rsidRPr="001C4B2B" w:rsidRDefault="005E1A24" w:rsidP="007B503C">
            <w:pPr>
              <w:pStyle w:val="Tabletext1"/>
              <w:rPr>
                <w:snapToGrid w:val="0"/>
              </w:rPr>
            </w:pPr>
            <w:r>
              <w:rPr>
                <w:snapToGrid w:val="0"/>
              </w:rPr>
              <w:t>5/113 (4.4</w:t>
            </w:r>
            <w:r w:rsidR="0061371B">
              <w:rPr>
                <w:snapToGrid w:val="0"/>
              </w:rPr>
              <w:t>) sessions</w:t>
            </w:r>
          </w:p>
        </w:tc>
      </w:tr>
      <w:tr w:rsidR="0061371B" w:rsidRPr="001C4B2B" w14:paraId="555515BD"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0573BC98" w14:textId="77777777" w:rsidR="0061371B" w:rsidRPr="00584DA8" w:rsidRDefault="0061371B" w:rsidP="007B503C">
            <w:pPr>
              <w:pStyle w:val="Tabletext1"/>
              <w:rPr>
                <w:snapToGrid w:val="0"/>
              </w:rPr>
            </w:pPr>
            <w:r>
              <w:rPr>
                <w:snapToGrid w:val="0"/>
              </w:rPr>
              <w:t>Safi et al (2015)</w:t>
            </w:r>
          </w:p>
        </w:tc>
        <w:tc>
          <w:tcPr>
            <w:tcW w:w="1059" w:type="pct"/>
            <w:tcBorders>
              <w:top w:val="single" w:sz="4" w:space="0" w:color="auto"/>
              <w:left w:val="single" w:sz="4" w:space="0" w:color="auto"/>
              <w:bottom w:val="single" w:sz="4" w:space="0" w:color="auto"/>
              <w:right w:val="single" w:sz="4" w:space="0" w:color="auto"/>
            </w:tcBorders>
          </w:tcPr>
          <w:p w14:paraId="4416C1D3" w14:textId="77777777" w:rsidR="0061371B" w:rsidRPr="00F12911" w:rsidRDefault="0061371B" w:rsidP="007B503C">
            <w:pPr>
              <w:pStyle w:val="Tabletext1"/>
              <w:rPr>
                <w:snapToGrid w:val="0"/>
              </w:rPr>
            </w:pPr>
            <w:r>
              <w:rPr>
                <w:snapToGrid w:val="0"/>
              </w:rPr>
              <w:t>III-3</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381694BE" w14:textId="77777777" w:rsidR="0061371B" w:rsidRPr="001C4B2B" w:rsidRDefault="0061371B" w:rsidP="007B503C">
            <w:pPr>
              <w:pStyle w:val="Tabletext1"/>
              <w:rPr>
                <w:snapToGrid w:val="0"/>
              </w:rPr>
            </w:pPr>
            <w:r>
              <w:rPr>
                <w:snapToGrid w:val="0"/>
              </w:rPr>
              <w:t>1/25 (4.0) patients</w:t>
            </w:r>
          </w:p>
        </w:tc>
      </w:tr>
      <w:tr w:rsidR="0061371B" w:rsidRPr="001C4B2B" w14:paraId="25B24597" w14:textId="77777777" w:rsidTr="00BA1147">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3C2FCFE6" w14:textId="77777777" w:rsidR="0061371B" w:rsidRPr="00584DA8" w:rsidRDefault="0061371B" w:rsidP="007B503C">
            <w:pPr>
              <w:pStyle w:val="Tabletext1"/>
              <w:rPr>
                <w:snapToGrid w:val="0"/>
              </w:rPr>
            </w:pPr>
            <w:r>
              <w:rPr>
                <w:snapToGrid w:val="0"/>
              </w:rPr>
              <w:t>von Meyenfeldt et al (2011)</w:t>
            </w:r>
          </w:p>
        </w:tc>
        <w:tc>
          <w:tcPr>
            <w:tcW w:w="1059" w:type="pct"/>
            <w:tcBorders>
              <w:top w:val="single" w:sz="4" w:space="0" w:color="auto"/>
              <w:left w:val="single" w:sz="4" w:space="0" w:color="auto"/>
              <w:bottom w:val="single" w:sz="4" w:space="0" w:color="auto"/>
              <w:right w:val="single" w:sz="4" w:space="0" w:color="auto"/>
            </w:tcBorders>
          </w:tcPr>
          <w:p w14:paraId="11477509" w14:textId="77777777" w:rsidR="0061371B" w:rsidRPr="00F12911" w:rsidRDefault="0061371B" w:rsidP="007B503C">
            <w:pPr>
              <w:pStyle w:val="Tabletext1"/>
              <w:rPr>
                <w:snapToGrid w:val="0"/>
              </w:rPr>
            </w:pPr>
            <w:r w:rsidRPr="00F12911">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7D61A2DF" w14:textId="77777777" w:rsidR="0061371B" w:rsidRPr="001C4B2B" w:rsidRDefault="00434BBC" w:rsidP="007B503C">
            <w:pPr>
              <w:pStyle w:val="Tabletext1"/>
              <w:rPr>
                <w:snapToGrid w:val="0"/>
              </w:rPr>
            </w:pPr>
            <w:r>
              <w:rPr>
                <w:snapToGrid w:val="0"/>
              </w:rPr>
              <w:t>4/46 (8.7</w:t>
            </w:r>
            <w:r w:rsidR="0061371B">
              <w:rPr>
                <w:snapToGrid w:val="0"/>
              </w:rPr>
              <w:t>) patients</w:t>
            </w:r>
          </w:p>
        </w:tc>
      </w:tr>
      <w:tr w:rsidR="0061371B" w:rsidRPr="001C4B2B" w14:paraId="2C3C2672"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43248001" w14:textId="77777777" w:rsidR="0061371B" w:rsidRDefault="0061371B" w:rsidP="007B503C">
            <w:pPr>
              <w:pStyle w:val="Tabletext1"/>
              <w:rPr>
                <w:snapToGrid w:val="0"/>
              </w:rPr>
            </w:pPr>
            <w:r>
              <w:rPr>
                <w:snapToGrid w:val="0"/>
              </w:rPr>
              <w:t>Yan et al (2006 +2007)</w:t>
            </w:r>
          </w:p>
        </w:tc>
        <w:tc>
          <w:tcPr>
            <w:tcW w:w="1059" w:type="pct"/>
            <w:tcBorders>
              <w:top w:val="single" w:sz="4" w:space="0" w:color="auto"/>
              <w:left w:val="single" w:sz="4" w:space="0" w:color="auto"/>
              <w:bottom w:val="single" w:sz="4" w:space="0" w:color="auto"/>
              <w:right w:val="single" w:sz="4" w:space="0" w:color="auto"/>
            </w:tcBorders>
          </w:tcPr>
          <w:p w14:paraId="6A4F9182" w14:textId="77777777" w:rsidR="0061371B" w:rsidRPr="00F12911" w:rsidRDefault="0061371B" w:rsidP="007B503C">
            <w:pPr>
              <w:pStyle w:val="Tabletext1"/>
              <w:rPr>
                <w:snapToGrid w:val="0"/>
              </w:rPr>
            </w:pPr>
            <w:r>
              <w:rPr>
                <w:snapToGrid w:val="0"/>
              </w:rPr>
              <w:t>IV</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098E1EB1" w14:textId="77777777" w:rsidR="0061371B" w:rsidRDefault="00434BBC" w:rsidP="007B503C">
            <w:pPr>
              <w:pStyle w:val="Tabletext1"/>
              <w:rPr>
                <w:snapToGrid w:val="0"/>
              </w:rPr>
            </w:pPr>
            <w:r>
              <w:rPr>
                <w:snapToGrid w:val="0"/>
              </w:rPr>
              <w:t>5/55 (9.1</w:t>
            </w:r>
            <w:r w:rsidR="0061371B">
              <w:rPr>
                <w:snapToGrid w:val="0"/>
              </w:rPr>
              <w:t>) patients</w:t>
            </w:r>
          </w:p>
        </w:tc>
      </w:tr>
      <w:tr w:rsidR="0061371B" w:rsidRPr="005560E0" w14:paraId="63A04FE2" w14:textId="77777777" w:rsidTr="00997BA0">
        <w:tc>
          <w:tcPr>
            <w:tcW w:w="1610" w:type="pct"/>
            <w:tcBorders>
              <w:top w:val="single" w:sz="4" w:space="0" w:color="auto"/>
              <w:left w:val="single" w:sz="4" w:space="0" w:color="auto"/>
              <w:bottom w:val="single" w:sz="4" w:space="0" w:color="auto"/>
              <w:right w:val="single" w:sz="4" w:space="0" w:color="auto"/>
            </w:tcBorders>
            <w:shd w:val="clear" w:color="auto" w:fill="auto"/>
            <w:vAlign w:val="center"/>
          </w:tcPr>
          <w:p w14:paraId="1A9BBB75" w14:textId="77777777" w:rsidR="0061371B" w:rsidRPr="005560E0" w:rsidRDefault="0061371B" w:rsidP="007B503C">
            <w:pPr>
              <w:pStyle w:val="Tabletext1"/>
              <w:rPr>
                <w:snapToGrid w:val="0"/>
              </w:rPr>
            </w:pPr>
            <w:r w:rsidRPr="005560E0">
              <w:rPr>
                <w:snapToGrid w:val="0"/>
              </w:rPr>
              <w:t>Pooled n/N (%)</w:t>
            </w:r>
          </w:p>
          <w:p w14:paraId="63733B63" w14:textId="77777777" w:rsidR="0061371B" w:rsidRPr="005560E0" w:rsidRDefault="0061371B" w:rsidP="007B503C">
            <w:pPr>
              <w:pStyle w:val="Tabletext1"/>
              <w:rPr>
                <w:snapToGrid w:val="0"/>
              </w:rPr>
            </w:pPr>
            <w:r w:rsidRPr="005560E0">
              <w:rPr>
                <w:snapToGrid w:val="0"/>
              </w:rPr>
              <w:t>Median % (range)</w:t>
            </w:r>
          </w:p>
        </w:tc>
        <w:tc>
          <w:tcPr>
            <w:tcW w:w="1059" w:type="pct"/>
            <w:tcBorders>
              <w:top w:val="single" w:sz="4" w:space="0" w:color="auto"/>
              <w:left w:val="single" w:sz="4" w:space="0" w:color="auto"/>
              <w:bottom w:val="single" w:sz="4" w:space="0" w:color="auto"/>
              <w:right w:val="single" w:sz="4" w:space="0" w:color="auto"/>
            </w:tcBorders>
          </w:tcPr>
          <w:p w14:paraId="56BA3488" w14:textId="77777777" w:rsidR="00172E96" w:rsidRDefault="00172E96" w:rsidP="007B503C">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p>
          <w:p w14:paraId="407E3101" w14:textId="77777777" w:rsidR="0061371B" w:rsidRPr="00BA52F8" w:rsidRDefault="0061371B" w:rsidP="007B503C">
            <w:pPr>
              <w:pStyle w:val="Tabletext1"/>
              <w:rPr>
                <w:snapToGrid w:val="0"/>
              </w:rPr>
            </w:pPr>
            <w:r w:rsidRPr="00E805F1">
              <w:rPr>
                <w:rStyle w:val="quality-sign"/>
                <w:rFonts w:eastAsia="MS Mincho" w:cs="MS Mincho"/>
                <w:b/>
              </w:rPr>
              <w:t>VERY LOW</w:t>
            </w:r>
          </w:p>
        </w:tc>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14:paraId="442AC6E9" w14:textId="77777777" w:rsidR="0061371B" w:rsidRPr="00BA52F8" w:rsidRDefault="0061371B" w:rsidP="007B503C">
            <w:pPr>
              <w:pStyle w:val="Tabletext1"/>
              <w:rPr>
                <w:snapToGrid w:val="0"/>
              </w:rPr>
            </w:pPr>
            <w:r>
              <w:rPr>
                <w:snapToGrid w:val="0"/>
              </w:rPr>
              <w:t>Total 17</w:t>
            </w:r>
            <w:r w:rsidRPr="00BA52F8">
              <w:rPr>
                <w:snapToGrid w:val="0"/>
              </w:rPr>
              <w:t>/</w:t>
            </w:r>
            <w:r>
              <w:rPr>
                <w:snapToGrid w:val="0"/>
              </w:rPr>
              <w:t>357</w:t>
            </w:r>
            <w:r w:rsidRPr="00BA52F8">
              <w:rPr>
                <w:snapToGrid w:val="0"/>
              </w:rPr>
              <w:t xml:space="preserve"> (</w:t>
            </w:r>
            <w:r>
              <w:rPr>
                <w:snapToGrid w:val="0"/>
              </w:rPr>
              <w:t>4</w:t>
            </w:r>
            <w:r w:rsidRPr="00BA52F8">
              <w:rPr>
                <w:snapToGrid w:val="0"/>
              </w:rPr>
              <w:t>.</w:t>
            </w:r>
            <w:r>
              <w:rPr>
                <w:snapToGrid w:val="0"/>
              </w:rPr>
              <w:t>8</w:t>
            </w:r>
            <w:r w:rsidRPr="00BA52F8">
              <w:rPr>
                <w:snapToGrid w:val="0"/>
              </w:rPr>
              <w:t>)</w:t>
            </w:r>
          </w:p>
          <w:p w14:paraId="381DA06D" w14:textId="24BCDA03" w:rsidR="0061371B" w:rsidRPr="00BA52F8" w:rsidRDefault="00434BBC" w:rsidP="007B503C">
            <w:pPr>
              <w:pStyle w:val="Tabletext1"/>
              <w:rPr>
                <w:snapToGrid w:val="0"/>
              </w:rPr>
            </w:pPr>
            <w:r>
              <w:rPr>
                <w:snapToGrid w:val="0"/>
              </w:rPr>
              <w:t>Median 4.0% (0.0</w:t>
            </w:r>
            <w:r w:rsidR="00D35E9C">
              <w:rPr>
                <w:snapToGrid w:val="0"/>
              </w:rPr>
              <w:t>–</w:t>
            </w:r>
            <w:r w:rsidR="0061371B">
              <w:rPr>
                <w:snapToGrid w:val="0"/>
              </w:rPr>
              <w:t>9.1</w:t>
            </w:r>
            <w:r w:rsidR="0061371B" w:rsidRPr="00BA52F8">
              <w:rPr>
                <w:snapToGrid w:val="0"/>
              </w:rPr>
              <w:t>)</w:t>
            </w:r>
          </w:p>
        </w:tc>
      </w:tr>
    </w:tbl>
    <w:p w14:paraId="17C2F128" w14:textId="5307B40F" w:rsidR="007D2EAB" w:rsidRDefault="007D2EAB" w:rsidP="007D2EAB">
      <w:pPr>
        <w:pStyle w:val="Tablenotes0"/>
      </w:pPr>
      <w:bookmarkStart w:id="300" w:name="_Toc460396053"/>
      <w:r>
        <w:t>&lt;n/N (%</w:t>
      </w:r>
      <w:proofErr w:type="gramStart"/>
      <w:r>
        <w:t>)</w:t>
      </w:r>
      <w:r w:rsidRPr="007D2EAB">
        <w:t>=</w:t>
      </w:r>
      <w:proofErr w:type="gramEnd"/>
      <w:r w:rsidRPr="007D2EAB">
        <w:t xml:space="preserve"> number with event/ total (percentage</w:t>
      </w:r>
      <w:r>
        <w:t>)&gt;</w:t>
      </w:r>
    </w:p>
    <w:p w14:paraId="2B1801BF" w14:textId="7B1C7FB1" w:rsidR="007D2EAB" w:rsidRDefault="007D2EAB" w:rsidP="007D2EAB">
      <w:pPr>
        <w:pStyle w:val="Tablenotes0"/>
      </w:pPr>
      <w:r w:rsidRPr="00E10B76">
        <w:t>GRADE Working Group grades of evidence</w:t>
      </w:r>
      <w:r>
        <w:t xml:space="preserve"> (Guyatt et al., 2013).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73A710DF" w14:textId="77777777" w:rsidR="00C22682" w:rsidRPr="00183E4D" w:rsidRDefault="00C22682" w:rsidP="0061371B">
      <w:pPr>
        <w:pStyle w:val="Heading2"/>
        <w:rPr>
          <w:b w:val="0"/>
        </w:rPr>
      </w:pPr>
      <w:r w:rsidRPr="00183E4D">
        <w:t xml:space="preserve">Is </w:t>
      </w:r>
      <w:r>
        <w:t xml:space="preserve">current best practice radiotherapy for lung cancer </w:t>
      </w:r>
      <w:r w:rsidRPr="00183E4D">
        <w:t>safe?</w:t>
      </w:r>
      <w:bookmarkEnd w:id="300"/>
      <w:r w:rsidRPr="00183E4D">
        <w:t xml:space="preserve"> </w:t>
      </w:r>
    </w:p>
    <w:p w14:paraId="6B3F1EE4" w14:textId="77777777" w:rsidR="00C22682" w:rsidRDefault="00C22682" w:rsidP="00C22682">
      <w:r>
        <w:t xml:space="preserve">No trials of MTA compared to current best practice radiotherapy were identified. In the absence of relevant comparative data, adverse events reported in the included radiotherapy studies are reported to provide some indication of the safety of radiotherapy for consideration by the MSAC. </w:t>
      </w:r>
    </w:p>
    <w:p w14:paraId="6F90EF9C" w14:textId="77777777" w:rsidR="00C22682" w:rsidRDefault="00C22682" w:rsidP="00C22682">
      <w:r>
        <w:t xml:space="preserve">In population one, two Level II studies, one Level III-2 study, and one </w:t>
      </w:r>
      <w:r w:rsidR="00CE470F">
        <w:t>L</w:t>
      </w:r>
      <w:r>
        <w:t xml:space="preserve">evel III-3 study reported safety outcomes from a total sample of 487 patients. In population two, three Level III-3 studies and 14 Level IV studies reported safety outcomes </w:t>
      </w:r>
      <w:r w:rsidR="00CE4F18">
        <w:t>from a total sample of</w:t>
      </w:r>
      <w:r>
        <w:t xml:space="preserve"> 643 patients. </w:t>
      </w:r>
      <w:r w:rsidR="00BA0C62">
        <w:t xml:space="preserve">The safety of radiotherapy in population three is summarised by a recent Cochrane review of 14 RCTs. </w:t>
      </w:r>
      <w:r>
        <w:t xml:space="preserve">Due to the small number of comparative studies identified in </w:t>
      </w:r>
      <w:r w:rsidR="00682BD7">
        <w:t>population one and two</w:t>
      </w:r>
      <w:r>
        <w:t>, and the nature of the comparisons, it was not appropriate to conduct a meta-analysis of the available randomised and non-randomised studies. In lieu of meta-analysis, adverse event rates across studies have been reporting with simple descriptive statistics.</w:t>
      </w:r>
    </w:p>
    <w:p w14:paraId="26452B56" w14:textId="77777777" w:rsidR="00C22682" w:rsidRDefault="00C22682" w:rsidP="00C22682">
      <w:r>
        <w:lastRenderedPageBreak/>
        <w:t xml:space="preserve">Serious adverse events arising from radiotherapy were rare, such that the overall sample size of each population was too small to meaningfully represent the likelihood of key adverse events in each population. In addition, 14 of 20 included studies were retrospective, observational case note reviews, in which it was unclear whether relevant adverse events were formally monitored. </w:t>
      </w:r>
      <w:r w:rsidR="00A54BE9">
        <w:t>T</w:t>
      </w:r>
      <w:r>
        <w:t xml:space="preserve">he prospective RCT </w:t>
      </w:r>
      <w:r w:rsidRPr="00E16457">
        <w:t>by Price et al (2012) did not</w:t>
      </w:r>
      <w:r>
        <w:t xml:space="preserve"> report which adverse events were formally monitored, or how relevant adverse events were defined.</w:t>
      </w:r>
      <w:r w:rsidR="00A54BE9">
        <w:t xml:space="preserve"> </w:t>
      </w:r>
    </w:p>
    <w:p w14:paraId="469C38DD" w14:textId="77777777" w:rsidR="00C22682" w:rsidRDefault="00C22682" w:rsidP="00C22682">
      <w:r>
        <w:t xml:space="preserve">Due to limitations in the available evidence base, </w:t>
      </w:r>
      <w:r w:rsidRPr="005245B8">
        <w:t>it was not possible or informative to report safety outcomes separately for population one and population two.</w:t>
      </w:r>
      <w:r>
        <w:t xml:space="preserve"> Therefore, the safety results have been combined for population one and two to give an indication of the safety of radiotherapy for the treatment of lung cancer more broadly. </w:t>
      </w:r>
    </w:p>
    <w:p w14:paraId="723E6015" w14:textId="77777777" w:rsidR="00C22682" w:rsidRPr="00335519" w:rsidRDefault="00C22682" w:rsidP="003F6C66">
      <w:pPr>
        <w:pStyle w:val="Heading3"/>
      </w:pPr>
      <w:bookmarkStart w:id="301" w:name="_Toc460396054"/>
      <w:bookmarkStart w:id="302" w:name="_Ref457301762"/>
      <w:r w:rsidRPr="00335519">
        <w:t>Severity of adverse events</w:t>
      </w:r>
      <w:bookmarkEnd w:id="301"/>
    </w:p>
    <w:p w14:paraId="5DF8F1C0" w14:textId="77777777" w:rsidR="00C22682" w:rsidRPr="00041F9C" w:rsidRDefault="00C22682" w:rsidP="00C22682">
      <w:r w:rsidRPr="00335519">
        <w:t>The majority of adverse events were reported according to the NCI-CTCAE criteria, and were scored as grade 1 (“mild”) or 2 (“moderate”) in severity. The majority of studies reported no grade 3</w:t>
      </w:r>
      <w:r>
        <w:t xml:space="preserve"> (“severe”) or higher adverse events. As reported in</w:t>
      </w:r>
      <w:r w:rsidR="00605DC2">
        <w:t xml:space="preserve"> </w:t>
      </w:r>
      <w:r w:rsidR="00605DC2">
        <w:fldChar w:fldCharType="begin"/>
      </w:r>
      <w:r w:rsidR="00605DC2">
        <w:instrText xml:space="preserve"> REF _Ref457389032 \h </w:instrText>
      </w:r>
      <w:r w:rsidR="00605DC2">
        <w:fldChar w:fldCharType="separate"/>
      </w:r>
      <w:r w:rsidR="00D170A5" w:rsidRPr="00041F9C">
        <w:t xml:space="preserve">Table </w:t>
      </w:r>
      <w:r w:rsidR="00D170A5">
        <w:rPr>
          <w:noProof/>
        </w:rPr>
        <w:t>47</w:t>
      </w:r>
      <w:r w:rsidR="00605DC2">
        <w:fldChar w:fldCharType="end"/>
      </w:r>
      <w:r w:rsidR="00605DC2">
        <w:t>,</w:t>
      </w:r>
      <w:r>
        <w:t xml:space="preserve"> 34 per cent of patients experienced a </w:t>
      </w:r>
      <w:r w:rsidRPr="00041F9C">
        <w:t xml:space="preserve">grade 1 or 2 event across studies, while 3.3 per cent of patients experienced a grade 3 event. </w:t>
      </w:r>
    </w:p>
    <w:p w14:paraId="325F30C9" w14:textId="77777777" w:rsidR="00C22682" w:rsidRDefault="00C22682" w:rsidP="00C22682">
      <w:pPr>
        <w:pStyle w:val="Caption"/>
        <w:keepNext/>
        <w:rPr>
          <w:rFonts w:cs="Arial"/>
          <w:snapToGrid w:val="0"/>
          <w:szCs w:val="16"/>
          <w:lang w:eastAsia="en-US"/>
        </w:rPr>
      </w:pPr>
      <w:bookmarkStart w:id="303" w:name="_Ref457389032"/>
      <w:bookmarkStart w:id="304" w:name="_Toc460514705"/>
      <w:r w:rsidRPr="00041F9C">
        <w:t xml:space="preserve">Table </w:t>
      </w:r>
      <w:fldSimple w:instr=" SEQ Table \* ARABIC ">
        <w:r w:rsidR="00D170A5">
          <w:rPr>
            <w:noProof/>
          </w:rPr>
          <w:t>47</w:t>
        </w:r>
      </w:fldSimple>
      <w:bookmarkEnd w:id="302"/>
      <w:bookmarkEnd w:id="303"/>
      <w:r w:rsidRPr="00041F9C">
        <w:tab/>
        <w:t>Adverse</w:t>
      </w:r>
      <w:r>
        <w:t xml:space="preserve"> events</w:t>
      </w:r>
      <w:r w:rsidRPr="00183E4D">
        <w:rPr>
          <w:rFonts w:cs="Arial"/>
          <w:snapToGrid w:val="0"/>
          <w:szCs w:val="16"/>
          <w:lang w:eastAsia="en-US"/>
        </w:rPr>
        <w:t xml:space="preserve"> </w:t>
      </w:r>
      <w:r>
        <w:rPr>
          <w:rFonts w:cs="Arial"/>
          <w:snapToGrid w:val="0"/>
          <w:szCs w:val="16"/>
          <w:lang w:eastAsia="en-US"/>
        </w:rPr>
        <w:t>reported in</w:t>
      </w:r>
      <w:r w:rsidRPr="00183E4D">
        <w:rPr>
          <w:rFonts w:cs="Arial"/>
          <w:snapToGrid w:val="0"/>
          <w:szCs w:val="16"/>
          <w:lang w:eastAsia="en-US"/>
        </w:rPr>
        <w:t xml:space="preserve"> </w:t>
      </w:r>
      <w:r>
        <w:rPr>
          <w:rFonts w:cs="Arial"/>
          <w:snapToGrid w:val="0"/>
          <w:szCs w:val="16"/>
          <w:lang w:eastAsia="en-US"/>
        </w:rPr>
        <w:t>radiotherapy studies, stratified by event grade*</w:t>
      </w:r>
      <w:bookmarkEnd w:id="304"/>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1"/>
        <w:tblDescription w:val="Adverse events radiotherapy"/>
      </w:tblPr>
      <w:tblGrid>
        <w:gridCol w:w="2292"/>
        <w:gridCol w:w="1702"/>
        <w:gridCol w:w="1702"/>
        <w:gridCol w:w="1702"/>
        <w:gridCol w:w="1702"/>
      </w:tblGrid>
      <w:tr w:rsidR="00C22682" w:rsidRPr="00046EA7" w14:paraId="5AE3621D" w14:textId="77777777" w:rsidTr="00E56B62">
        <w:tc>
          <w:tcPr>
            <w:tcW w:w="1260" w:type="pct"/>
            <w:shd w:val="clear" w:color="auto" w:fill="D9D9D9" w:themeFill="background1" w:themeFillShade="D9"/>
            <w:vAlign w:val="bottom"/>
          </w:tcPr>
          <w:p w14:paraId="08DF674A" w14:textId="77777777" w:rsidR="00C22682" w:rsidRPr="00ED4BAB" w:rsidRDefault="00C22682" w:rsidP="00E56B62">
            <w:pPr>
              <w:pStyle w:val="Tabletext1"/>
              <w:rPr>
                <w:b/>
                <w:snapToGrid w:val="0"/>
              </w:rPr>
            </w:pPr>
            <w:r w:rsidRPr="00ED4BAB">
              <w:rPr>
                <w:b/>
                <w:snapToGrid w:val="0"/>
              </w:rPr>
              <w:t>Study</w:t>
            </w:r>
          </w:p>
        </w:tc>
        <w:tc>
          <w:tcPr>
            <w:tcW w:w="935" w:type="pct"/>
            <w:tcBorders>
              <w:top w:val="single" w:sz="4" w:space="0" w:color="auto"/>
              <w:right w:val="single" w:sz="4" w:space="0" w:color="auto"/>
            </w:tcBorders>
            <w:shd w:val="clear" w:color="auto" w:fill="D9D9D9" w:themeFill="background1" w:themeFillShade="D9"/>
            <w:vAlign w:val="bottom"/>
          </w:tcPr>
          <w:p w14:paraId="7D8A344E" w14:textId="77777777" w:rsidR="00C22682" w:rsidRPr="00ED4BAB" w:rsidRDefault="00C22682" w:rsidP="00E56B62">
            <w:pPr>
              <w:pStyle w:val="Tabletext1"/>
              <w:rPr>
                <w:b/>
                <w:snapToGrid w:val="0"/>
              </w:rPr>
            </w:pPr>
            <w:r w:rsidRPr="00ED4BAB">
              <w:rPr>
                <w:b/>
                <w:snapToGrid w:val="0"/>
              </w:rPr>
              <w:t xml:space="preserve">Grade 1-2 </w:t>
            </w:r>
          </w:p>
          <w:p w14:paraId="3A059DE8" w14:textId="77777777" w:rsidR="00C22682" w:rsidRPr="00ED4BAB" w:rsidRDefault="00C22682" w:rsidP="00E56B62">
            <w:pPr>
              <w:pStyle w:val="Tabletext1"/>
              <w:rPr>
                <w:b/>
                <w:snapToGrid w:val="0"/>
              </w:rPr>
            </w:pPr>
            <w:r w:rsidRPr="00ED4BAB">
              <w:rPr>
                <w:b/>
                <w:snapToGrid w:val="0"/>
              </w:rPr>
              <w:t>Events / patients (%)</w:t>
            </w:r>
          </w:p>
        </w:tc>
        <w:tc>
          <w:tcPr>
            <w:tcW w:w="935" w:type="pct"/>
            <w:tcBorders>
              <w:top w:val="single" w:sz="4" w:space="0" w:color="auto"/>
              <w:left w:val="single" w:sz="4" w:space="0" w:color="auto"/>
            </w:tcBorders>
            <w:shd w:val="clear" w:color="auto" w:fill="D9D9D9" w:themeFill="background1" w:themeFillShade="D9"/>
            <w:vAlign w:val="bottom"/>
          </w:tcPr>
          <w:p w14:paraId="048793A5" w14:textId="77777777" w:rsidR="00C22682" w:rsidRPr="00ED4BAB" w:rsidRDefault="00C22682" w:rsidP="00E56B62">
            <w:pPr>
              <w:pStyle w:val="Tabletext1"/>
              <w:rPr>
                <w:b/>
                <w:snapToGrid w:val="0"/>
              </w:rPr>
            </w:pPr>
            <w:r w:rsidRPr="00ED4BAB">
              <w:rPr>
                <w:b/>
                <w:snapToGrid w:val="0"/>
              </w:rPr>
              <w:t xml:space="preserve">Grade 3 </w:t>
            </w:r>
          </w:p>
          <w:p w14:paraId="6037C38F" w14:textId="77777777" w:rsidR="00C22682" w:rsidRPr="00ED4BAB" w:rsidRDefault="00C22682" w:rsidP="00E56B62">
            <w:pPr>
              <w:pStyle w:val="Tabletext1"/>
              <w:rPr>
                <w:b/>
                <w:snapToGrid w:val="0"/>
              </w:rPr>
            </w:pPr>
            <w:r w:rsidRPr="00ED4BAB">
              <w:rPr>
                <w:b/>
                <w:snapToGrid w:val="0"/>
              </w:rPr>
              <w:t>Events / patients (%)</w:t>
            </w:r>
          </w:p>
        </w:tc>
        <w:tc>
          <w:tcPr>
            <w:tcW w:w="935" w:type="pct"/>
            <w:shd w:val="clear" w:color="auto" w:fill="D9D9D9" w:themeFill="background1" w:themeFillShade="D9"/>
            <w:vAlign w:val="bottom"/>
          </w:tcPr>
          <w:p w14:paraId="56561BA4" w14:textId="77777777" w:rsidR="00C22682" w:rsidRPr="00ED4BAB" w:rsidRDefault="00C22682" w:rsidP="00E56B62">
            <w:pPr>
              <w:pStyle w:val="Tabletext1"/>
              <w:rPr>
                <w:b/>
                <w:snapToGrid w:val="0"/>
              </w:rPr>
            </w:pPr>
            <w:r w:rsidRPr="00ED4BAB">
              <w:rPr>
                <w:b/>
                <w:snapToGrid w:val="0"/>
              </w:rPr>
              <w:t xml:space="preserve">Grade 4 </w:t>
            </w:r>
          </w:p>
          <w:p w14:paraId="406F427D" w14:textId="77777777" w:rsidR="00C22682" w:rsidRPr="00ED4BAB" w:rsidRDefault="00C22682" w:rsidP="00E56B62">
            <w:pPr>
              <w:pStyle w:val="Tabletext1"/>
              <w:rPr>
                <w:b/>
                <w:snapToGrid w:val="0"/>
              </w:rPr>
            </w:pPr>
            <w:r w:rsidRPr="00ED4BAB">
              <w:rPr>
                <w:b/>
                <w:snapToGrid w:val="0"/>
              </w:rPr>
              <w:t>Events / patients (%)</w:t>
            </w:r>
          </w:p>
        </w:tc>
        <w:tc>
          <w:tcPr>
            <w:tcW w:w="935" w:type="pct"/>
            <w:shd w:val="clear" w:color="auto" w:fill="D9D9D9" w:themeFill="background1" w:themeFillShade="D9"/>
            <w:vAlign w:val="bottom"/>
          </w:tcPr>
          <w:p w14:paraId="07567C12" w14:textId="77777777" w:rsidR="00C22682" w:rsidRPr="00ED4BAB" w:rsidRDefault="00C22682" w:rsidP="00E56B62">
            <w:pPr>
              <w:pStyle w:val="Tabletext1"/>
              <w:rPr>
                <w:b/>
                <w:snapToGrid w:val="0"/>
              </w:rPr>
            </w:pPr>
            <w:r w:rsidRPr="00ED4BAB">
              <w:rPr>
                <w:b/>
                <w:snapToGrid w:val="0"/>
              </w:rPr>
              <w:t xml:space="preserve">Grade 5 </w:t>
            </w:r>
          </w:p>
          <w:p w14:paraId="1BE27D08" w14:textId="77777777" w:rsidR="00C22682" w:rsidRPr="00ED4BAB" w:rsidRDefault="00C22682" w:rsidP="00E56B62">
            <w:pPr>
              <w:pStyle w:val="Tabletext1"/>
              <w:rPr>
                <w:b/>
                <w:snapToGrid w:val="0"/>
              </w:rPr>
            </w:pPr>
            <w:r w:rsidRPr="00ED4BAB">
              <w:rPr>
                <w:b/>
                <w:snapToGrid w:val="0"/>
              </w:rPr>
              <w:t>Events / patients (%)</w:t>
            </w:r>
          </w:p>
        </w:tc>
      </w:tr>
      <w:tr w:rsidR="00C22682" w:rsidRPr="00046EA7" w14:paraId="44B5EF4D" w14:textId="77777777" w:rsidTr="00591171">
        <w:tc>
          <w:tcPr>
            <w:tcW w:w="1260" w:type="pct"/>
            <w:shd w:val="clear" w:color="auto" w:fill="auto"/>
            <w:vAlign w:val="bottom"/>
          </w:tcPr>
          <w:p w14:paraId="6037D3F1" w14:textId="77777777" w:rsidR="00C22682" w:rsidRPr="00046EA7" w:rsidRDefault="00C22682" w:rsidP="00E56B62">
            <w:pPr>
              <w:pStyle w:val="Tabletext1"/>
            </w:pPr>
            <w:r w:rsidRPr="00046EA7">
              <w:t>Agolli et al (2015)</w:t>
            </w:r>
          </w:p>
        </w:tc>
        <w:tc>
          <w:tcPr>
            <w:tcW w:w="935" w:type="pct"/>
            <w:shd w:val="clear" w:color="auto" w:fill="auto"/>
          </w:tcPr>
          <w:p w14:paraId="58CAA37C" w14:textId="77777777" w:rsidR="00C22682" w:rsidRPr="005F2661" w:rsidRDefault="00434BBC" w:rsidP="00E56B62">
            <w:pPr>
              <w:pStyle w:val="Tabletext1"/>
            </w:pPr>
            <w:r>
              <w:t>15/111 (72.7</w:t>
            </w:r>
            <w:r w:rsidR="00C22682" w:rsidRPr="005F2661">
              <w:t>)</w:t>
            </w:r>
          </w:p>
        </w:tc>
        <w:tc>
          <w:tcPr>
            <w:tcW w:w="935" w:type="pct"/>
            <w:shd w:val="clear" w:color="auto" w:fill="auto"/>
          </w:tcPr>
          <w:p w14:paraId="70EEAB34" w14:textId="77777777" w:rsidR="00C22682" w:rsidRPr="005F2661" w:rsidRDefault="00434BBC" w:rsidP="00E56B62">
            <w:pPr>
              <w:pStyle w:val="Tabletext1"/>
            </w:pPr>
            <w:r>
              <w:t>0/111 (0.0</w:t>
            </w:r>
            <w:r w:rsidR="00C22682" w:rsidRPr="005F2661">
              <w:t>)</w:t>
            </w:r>
          </w:p>
        </w:tc>
        <w:tc>
          <w:tcPr>
            <w:tcW w:w="935" w:type="pct"/>
          </w:tcPr>
          <w:p w14:paraId="0F2ADDF5" w14:textId="77777777" w:rsidR="00C22682" w:rsidRPr="00F2078A" w:rsidRDefault="00434BBC" w:rsidP="00E56B62">
            <w:pPr>
              <w:pStyle w:val="Tabletext1"/>
            </w:pPr>
            <w:r>
              <w:t>0/111 (0.0</w:t>
            </w:r>
            <w:r w:rsidR="00C22682" w:rsidRPr="00F2078A">
              <w:t>)</w:t>
            </w:r>
          </w:p>
        </w:tc>
        <w:tc>
          <w:tcPr>
            <w:tcW w:w="935" w:type="pct"/>
          </w:tcPr>
          <w:p w14:paraId="7A91C16A" w14:textId="77777777" w:rsidR="00C22682" w:rsidRPr="00642604" w:rsidRDefault="00434BBC" w:rsidP="00E56B62">
            <w:pPr>
              <w:pStyle w:val="Tabletext1"/>
            </w:pPr>
            <w:r>
              <w:t>0/111 (0.0</w:t>
            </w:r>
            <w:r w:rsidR="00C22682" w:rsidRPr="00642604">
              <w:t>)</w:t>
            </w:r>
          </w:p>
        </w:tc>
      </w:tr>
      <w:tr w:rsidR="00C22682" w:rsidRPr="00046EA7" w14:paraId="582A7F31" w14:textId="77777777" w:rsidTr="00591171">
        <w:tc>
          <w:tcPr>
            <w:tcW w:w="1260" w:type="pct"/>
            <w:shd w:val="clear" w:color="auto" w:fill="auto"/>
            <w:vAlign w:val="bottom"/>
          </w:tcPr>
          <w:p w14:paraId="12AA371D" w14:textId="77777777" w:rsidR="00C22682" w:rsidRPr="00046EA7" w:rsidRDefault="00C22682" w:rsidP="00E56B62">
            <w:pPr>
              <w:pStyle w:val="Tabletext1"/>
            </w:pPr>
            <w:r w:rsidRPr="00046EA7">
              <w:t>Baschnagel et al (2013)</w:t>
            </w:r>
          </w:p>
        </w:tc>
        <w:tc>
          <w:tcPr>
            <w:tcW w:w="935" w:type="pct"/>
            <w:shd w:val="clear" w:color="auto" w:fill="auto"/>
          </w:tcPr>
          <w:p w14:paraId="27111AB8" w14:textId="77777777" w:rsidR="00C22682" w:rsidRPr="005F2661" w:rsidRDefault="00434BBC" w:rsidP="00E56B62">
            <w:pPr>
              <w:pStyle w:val="Tabletext1"/>
            </w:pPr>
            <w:r>
              <w:t>2/32 (6.3</w:t>
            </w:r>
            <w:r w:rsidR="00C22682" w:rsidRPr="005F2661">
              <w:t>)</w:t>
            </w:r>
          </w:p>
        </w:tc>
        <w:tc>
          <w:tcPr>
            <w:tcW w:w="935" w:type="pct"/>
            <w:shd w:val="clear" w:color="auto" w:fill="auto"/>
          </w:tcPr>
          <w:p w14:paraId="563ACDBF" w14:textId="77777777" w:rsidR="00C22682" w:rsidRPr="005F2661" w:rsidRDefault="00C22682" w:rsidP="00E56B62">
            <w:pPr>
              <w:pStyle w:val="Tabletext1"/>
            </w:pPr>
            <w:r w:rsidRPr="005F2661">
              <w:t>5/32 (15.6)</w:t>
            </w:r>
          </w:p>
        </w:tc>
        <w:tc>
          <w:tcPr>
            <w:tcW w:w="935" w:type="pct"/>
          </w:tcPr>
          <w:p w14:paraId="28F40E7A" w14:textId="77777777" w:rsidR="00C22682" w:rsidRPr="00F2078A" w:rsidRDefault="00434BBC" w:rsidP="00E56B62">
            <w:pPr>
              <w:pStyle w:val="Tabletext1"/>
            </w:pPr>
            <w:r>
              <w:t>0/32 (0.0</w:t>
            </w:r>
            <w:r w:rsidR="00C22682" w:rsidRPr="00F2078A">
              <w:t>)</w:t>
            </w:r>
          </w:p>
        </w:tc>
        <w:tc>
          <w:tcPr>
            <w:tcW w:w="935" w:type="pct"/>
          </w:tcPr>
          <w:p w14:paraId="35DC1BFD" w14:textId="77777777" w:rsidR="00C22682" w:rsidRPr="001C2967" w:rsidRDefault="00C22682" w:rsidP="00E56B62">
            <w:pPr>
              <w:pStyle w:val="Tabletext1"/>
            </w:pPr>
            <w:r w:rsidRPr="00642604">
              <w:t>0/32 (0.</w:t>
            </w:r>
            <w:r w:rsidR="00434BBC">
              <w:t>0</w:t>
            </w:r>
            <w:r w:rsidRPr="001C2967">
              <w:t>)</w:t>
            </w:r>
          </w:p>
        </w:tc>
      </w:tr>
      <w:tr w:rsidR="00C22682" w:rsidRPr="00046EA7" w14:paraId="20CF74AF" w14:textId="77777777" w:rsidTr="00591171">
        <w:tc>
          <w:tcPr>
            <w:tcW w:w="1260" w:type="pct"/>
            <w:shd w:val="clear" w:color="auto" w:fill="auto"/>
            <w:vAlign w:val="bottom"/>
          </w:tcPr>
          <w:p w14:paraId="715E632C" w14:textId="77777777" w:rsidR="00C22682" w:rsidRPr="00046EA7" w:rsidRDefault="00C22682" w:rsidP="00E56B62">
            <w:pPr>
              <w:pStyle w:val="Tabletext1"/>
            </w:pPr>
            <w:r w:rsidRPr="00046EA7">
              <w:t>Garcia-Cabezas et al (2015)</w:t>
            </w:r>
          </w:p>
        </w:tc>
        <w:tc>
          <w:tcPr>
            <w:tcW w:w="935" w:type="pct"/>
            <w:shd w:val="clear" w:color="auto" w:fill="auto"/>
          </w:tcPr>
          <w:p w14:paraId="4D0F9029" w14:textId="77777777" w:rsidR="00C22682" w:rsidRPr="005F2661" w:rsidRDefault="00434BBC" w:rsidP="00E56B62">
            <w:pPr>
              <w:pStyle w:val="Tabletext1"/>
            </w:pPr>
            <w:r>
              <w:t>4/44 (9.1</w:t>
            </w:r>
            <w:r w:rsidR="00C22682" w:rsidRPr="005F2661">
              <w:t>)</w:t>
            </w:r>
          </w:p>
        </w:tc>
        <w:tc>
          <w:tcPr>
            <w:tcW w:w="935" w:type="pct"/>
            <w:shd w:val="clear" w:color="auto" w:fill="auto"/>
          </w:tcPr>
          <w:p w14:paraId="691A546D" w14:textId="77777777" w:rsidR="00C22682" w:rsidRPr="005F2661" w:rsidRDefault="00434BBC" w:rsidP="00E56B62">
            <w:pPr>
              <w:pStyle w:val="Tabletext1"/>
            </w:pPr>
            <w:r>
              <w:t>0/44 (0.0</w:t>
            </w:r>
            <w:r w:rsidR="00C22682" w:rsidRPr="005F2661">
              <w:t>)</w:t>
            </w:r>
          </w:p>
        </w:tc>
        <w:tc>
          <w:tcPr>
            <w:tcW w:w="935" w:type="pct"/>
          </w:tcPr>
          <w:p w14:paraId="3225CA24" w14:textId="77777777" w:rsidR="00C22682" w:rsidRPr="00F2078A" w:rsidRDefault="00434BBC" w:rsidP="00E56B62">
            <w:pPr>
              <w:pStyle w:val="Tabletext1"/>
            </w:pPr>
            <w:r>
              <w:t>0/44 (0.0</w:t>
            </w:r>
            <w:r w:rsidR="00C22682" w:rsidRPr="00F2078A">
              <w:t>)</w:t>
            </w:r>
          </w:p>
        </w:tc>
        <w:tc>
          <w:tcPr>
            <w:tcW w:w="935" w:type="pct"/>
          </w:tcPr>
          <w:p w14:paraId="6EC89A2C" w14:textId="77777777" w:rsidR="00C22682" w:rsidRPr="00642604" w:rsidRDefault="00434BBC" w:rsidP="00E56B62">
            <w:pPr>
              <w:pStyle w:val="Tabletext1"/>
            </w:pPr>
            <w:r>
              <w:t>0/44 (0.0</w:t>
            </w:r>
            <w:r w:rsidR="00C22682" w:rsidRPr="00642604">
              <w:t>)</w:t>
            </w:r>
          </w:p>
        </w:tc>
      </w:tr>
      <w:tr w:rsidR="00C22682" w:rsidRPr="00046EA7" w14:paraId="0F0B1A9B" w14:textId="77777777" w:rsidTr="00591171">
        <w:tc>
          <w:tcPr>
            <w:tcW w:w="1260" w:type="pct"/>
            <w:shd w:val="clear" w:color="auto" w:fill="auto"/>
            <w:vAlign w:val="bottom"/>
          </w:tcPr>
          <w:p w14:paraId="51BC2A3A" w14:textId="77777777" w:rsidR="00C22682" w:rsidRPr="00046EA7" w:rsidRDefault="00C22682" w:rsidP="00E56B62">
            <w:pPr>
              <w:pStyle w:val="Tabletext1"/>
            </w:pPr>
            <w:r w:rsidRPr="00046EA7">
              <w:t>Filippi et al (2015)</w:t>
            </w:r>
          </w:p>
        </w:tc>
        <w:tc>
          <w:tcPr>
            <w:tcW w:w="935" w:type="pct"/>
            <w:shd w:val="clear" w:color="auto" w:fill="auto"/>
          </w:tcPr>
          <w:p w14:paraId="3AACC5F1" w14:textId="77777777" w:rsidR="00C22682" w:rsidRPr="005F2661" w:rsidRDefault="00434BBC" w:rsidP="00E56B62">
            <w:pPr>
              <w:pStyle w:val="Tabletext1"/>
            </w:pPr>
            <w:r>
              <w:t>10/40 (25.0</w:t>
            </w:r>
            <w:r w:rsidR="00C22682" w:rsidRPr="005F2661">
              <w:t>)</w:t>
            </w:r>
          </w:p>
        </w:tc>
        <w:tc>
          <w:tcPr>
            <w:tcW w:w="935" w:type="pct"/>
            <w:shd w:val="clear" w:color="auto" w:fill="auto"/>
          </w:tcPr>
          <w:p w14:paraId="11328459" w14:textId="77777777" w:rsidR="00C22682" w:rsidRPr="005F2661" w:rsidRDefault="00434BBC" w:rsidP="00E56B62">
            <w:pPr>
              <w:pStyle w:val="Tabletext1"/>
            </w:pPr>
            <w:r>
              <w:t>0/40 (0.0</w:t>
            </w:r>
            <w:r w:rsidR="00C22682" w:rsidRPr="005F2661">
              <w:t>)</w:t>
            </w:r>
          </w:p>
        </w:tc>
        <w:tc>
          <w:tcPr>
            <w:tcW w:w="935" w:type="pct"/>
          </w:tcPr>
          <w:p w14:paraId="5A0BFCFB" w14:textId="77777777" w:rsidR="00C22682" w:rsidRPr="00F2078A" w:rsidRDefault="00434BBC" w:rsidP="00E56B62">
            <w:pPr>
              <w:pStyle w:val="Tabletext1"/>
            </w:pPr>
            <w:r>
              <w:t>0/40 (0.0</w:t>
            </w:r>
            <w:r w:rsidR="00C22682" w:rsidRPr="00F2078A">
              <w:t>)</w:t>
            </w:r>
          </w:p>
        </w:tc>
        <w:tc>
          <w:tcPr>
            <w:tcW w:w="935" w:type="pct"/>
          </w:tcPr>
          <w:p w14:paraId="18F5214C" w14:textId="77777777" w:rsidR="00C22682" w:rsidRPr="00642604" w:rsidRDefault="00434BBC" w:rsidP="00E56B62">
            <w:pPr>
              <w:pStyle w:val="Tabletext1"/>
            </w:pPr>
            <w:r>
              <w:t>0/40 (0.0</w:t>
            </w:r>
            <w:r w:rsidR="00C22682" w:rsidRPr="00642604">
              <w:t>)</w:t>
            </w:r>
          </w:p>
        </w:tc>
      </w:tr>
      <w:tr w:rsidR="00C22682" w:rsidRPr="00046EA7" w14:paraId="6FBAEB92" w14:textId="77777777" w:rsidTr="00591171">
        <w:tc>
          <w:tcPr>
            <w:tcW w:w="1260" w:type="pct"/>
            <w:shd w:val="clear" w:color="auto" w:fill="auto"/>
            <w:vAlign w:val="bottom"/>
          </w:tcPr>
          <w:p w14:paraId="3808766A" w14:textId="77777777" w:rsidR="00C22682" w:rsidRPr="00046EA7" w:rsidRDefault="00C22682" w:rsidP="00E56B62">
            <w:pPr>
              <w:pStyle w:val="Tabletext1"/>
            </w:pPr>
            <w:r w:rsidRPr="00046EA7">
              <w:t>Gamsiz et al (2014)</w:t>
            </w:r>
          </w:p>
        </w:tc>
        <w:tc>
          <w:tcPr>
            <w:tcW w:w="935" w:type="pct"/>
            <w:shd w:val="clear" w:color="auto" w:fill="auto"/>
          </w:tcPr>
          <w:p w14:paraId="37B38CA3" w14:textId="3E7BD06B" w:rsidR="00C22682" w:rsidRPr="005F2661" w:rsidRDefault="00434BBC" w:rsidP="007D2EAB">
            <w:pPr>
              <w:pStyle w:val="Tabletext1"/>
            </w:pPr>
            <w:r>
              <w:t>24/20 (120.0</w:t>
            </w:r>
            <w:r w:rsidR="00C22682" w:rsidRPr="005F2661">
              <w:t>)</w:t>
            </w:r>
            <w:r w:rsidR="007D2EAB" w:rsidRPr="007D2EAB">
              <w:rPr>
                <w:vertAlign w:val="superscript"/>
              </w:rPr>
              <w:t>a</w:t>
            </w:r>
          </w:p>
        </w:tc>
        <w:tc>
          <w:tcPr>
            <w:tcW w:w="935" w:type="pct"/>
            <w:shd w:val="clear" w:color="auto" w:fill="auto"/>
          </w:tcPr>
          <w:p w14:paraId="7E2711AB" w14:textId="77777777" w:rsidR="00C22682" w:rsidRPr="005F2661" w:rsidRDefault="00434BBC" w:rsidP="00E56B62">
            <w:pPr>
              <w:pStyle w:val="Tabletext1"/>
            </w:pPr>
            <w:r>
              <w:t>2/20 (10.0</w:t>
            </w:r>
            <w:r w:rsidR="00C22682" w:rsidRPr="005F2661">
              <w:t>)</w:t>
            </w:r>
          </w:p>
        </w:tc>
        <w:tc>
          <w:tcPr>
            <w:tcW w:w="935" w:type="pct"/>
          </w:tcPr>
          <w:p w14:paraId="3BDDBFC3" w14:textId="77777777" w:rsidR="00C22682" w:rsidRPr="00F2078A" w:rsidRDefault="00434BBC" w:rsidP="00E56B62">
            <w:pPr>
              <w:pStyle w:val="Tabletext1"/>
            </w:pPr>
            <w:r>
              <w:t>0/20 (0.0</w:t>
            </w:r>
            <w:r w:rsidR="00C22682" w:rsidRPr="00F2078A">
              <w:t>)</w:t>
            </w:r>
          </w:p>
        </w:tc>
        <w:tc>
          <w:tcPr>
            <w:tcW w:w="935" w:type="pct"/>
          </w:tcPr>
          <w:p w14:paraId="45127262" w14:textId="77777777" w:rsidR="00C22682" w:rsidRPr="00642604" w:rsidRDefault="00434BBC" w:rsidP="00E56B62">
            <w:pPr>
              <w:pStyle w:val="Tabletext1"/>
            </w:pPr>
            <w:r>
              <w:t>0/20 (0.0</w:t>
            </w:r>
            <w:r w:rsidR="00C22682" w:rsidRPr="00642604">
              <w:t>)</w:t>
            </w:r>
          </w:p>
        </w:tc>
      </w:tr>
      <w:tr w:rsidR="00C22682" w:rsidRPr="00046EA7" w14:paraId="0EFFF5A3" w14:textId="77777777" w:rsidTr="00591171">
        <w:tc>
          <w:tcPr>
            <w:tcW w:w="1260" w:type="pct"/>
            <w:shd w:val="clear" w:color="auto" w:fill="auto"/>
            <w:vAlign w:val="bottom"/>
          </w:tcPr>
          <w:p w14:paraId="70EC354D" w14:textId="77777777" w:rsidR="00C22682" w:rsidRPr="00046EA7" w:rsidRDefault="00C22682" w:rsidP="00E56B62">
            <w:pPr>
              <w:pStyle w:val="Tabletext1"/>
            </w:pPr>
            <w:r w:rsidRPr="00046EA7">
              <w:t>Kim et al (2009)</w:t>
            </w:r>
          </w:p>
        </w:tc>
        <w:tc>
          <w:tcPr>
            <w:tcW w:w="935" w:type="pct"/>
            <w:shd w:val="clear" w:color="auto" w:fill="auto"/>
          </w:tcPr>
          <w:p w14:paraId="30C5AF27" w14:textId="77777777" w:rsidR="00C22682" w:rsidRPr="005F2661" w:rsidRDefault="00434BBC" w:rsidP="00E56B62">
            <w:pPr>
              <w:pStyle w:val="Tabletext1"/>
            </w:pPr>
            <w:r>
              <w:t>18/31 (58.1</w:t>
            </w:r>
            <w:r w:rsidR="00C22682" w:rsidRPr="005F2661">
              <w:t>)</w:t>
            </w:r>
          </w:p>
        </w:tc>
        <w:tc>
          <w:tcPr>
            <w:tcW w:w="935" w:type="pct"/>
            <w:shd w:val="clear" w:color="auto" w:fill="auto"/>
          </w:tcPr>
          <w:p w14:paraId="2ADD3F77" w14:textId="77777777" w:rsidR="00C22682" w:rsidRPr="00F2078A" w:rsidRDefault="00434BBC" w:rsidP="00E56B62">
            <w:pPr>
              <w:pStyle w:val="Tabletext1"/>
            </w:pPr>
            <w:r>
              <w:t>0/31 (0.0</w:t>
            </w:r>
            <w:r w:rsidR="00C22682" w:rsidRPr="00F2078A">
              <w:t>)</w:t>
            </w:r>
          </w:p>
        </w:tc>
        <w:tc>
          <w:tcPr>
            <w:tcW w:w="935" w:type="pct"/>
          </w:tcPr>
          <w:p w14:paraId="04D878F9" w14:textId="77777777" w:rsidR="00C22682" w:rsidRPr="00642604" w:rsidRDefault="00434BBC" w:rsidP="00E56B62">
            <w:pPr>
              <w:pStyle w:val="Tabletext1"/>
            </w:pPr>
            <w:r>
              <w:t>0/31 (0.0</w:t>
            </w:r>
            <w:r w:rsidR="00C22682" w:rsidRPr="00642604">
              <w:t>)</w:t>
            </w:r>
          </w:p>
        </w:tc>
        <w:tc>
          <w:tcPr>
            <w:tcW w:w="935" w:type="pct"/>
          </w:tcPr>
          <w:p w14:paraId="7FA59988" w14:textId="77777777" w:rsidR="00C22682" w:rsidRPr="001C2967" w:rsidRDefault="00434BBC" w:rsidP="00E56B62">
            <w:pPr>
              <w:pStyle w:val="Tabletext1"/>
            </w:pPr>
            <w:r>
              <w:t>0/31 (0.0</w:t>
            </w:r>
            <w:r w:rsidR="00C22682" w:rsidRPr="001C2967">
              <w:t>)</w:t>
            </w:r>
          </w:p>
        </w:tc>
      </w:tr>
      <w:tr w:rsidR="00C22682" w:rsidRPr="00046EA7" w14:paraId="5AFBA149" w14:textId="77777777" w:rsidTr="00591171">
        <w:tc>
          <w:tcPr>
            <w:tcW w:w="1260" w:type="pct"/>
            <w:shd w:val="clear" w:color="auto" w:fill="auto"/>
            <w:vAlign w:val="bottom"/>
          </w:tcPr>
          <w:p w14:paraId="0C7F322E" w14:textId="77777777" w:rsidR="00C22682" w:rsidRPr="00046EA7" w:rsidRDefault="00C22682" w:rsidP="00E56B62">
            <w:pPr>
              <w:pStyle w:val="Tabletext1"/>
            </w:pPr>
            <w:r w:rsidRPr="00046EA7">
              <w:t>Navarria et al (2014)</w:t>
            </w:r>
          </w:p>
        </w:tc>
        <w:tc>
          <w:tcPr>
            <w:tcW w:w="935" w:type="pct"/>
            <w:shd w:val="clear" w:color="auto" w:fill="auto"/>
          </w:tcPr>
          <w:p w14:paraId="06B4B886" w14:textId="77777777" w:rsidR="00C22682" w:rsidRPr="005F2661" w:rsidRDefault="00434BBC" w:rsidP="00E56B62">
            <w:pPr>
              <w:pStyle w:val="Tabletext1"/>
            </w:pPr>
            <w:r>
              <w:t>61/67 (80.3</w:t>
            </w:r>
            <w:r w:rsidR="00C22682" w:rsidRPr="005F2661">
              <w:t>)</w:t>
            </w:r>
          </w:p>
        </w:tc>
        <w:tc>
          <w:tcPr>
            <w:tcW w:w="935" w:type="pct"/>
            <w:shd w:val="clear" w:color="auto" w:fill="auto"/>
          </w:tcPr>
          <w:p w14:paraId="5E17ADCA" w14:textId="77777777" w:rsidR="00C22682" w:rsidRPr="005F2661" w:rsidRDefault="00434BBC" w:rsidP="00E56B62">
            <w:pPr>
              <w:pStyle w:val="Tabletext1"/>
            </w:pPr>
            <w:r>
              <w:t>0/76 (0.0</w:t>
            </w:r>
            <w:r w:rsidR="00C22682" w:rsidRPr="005F2661">
              <w:t>)</w:t>
            </w:r>
          </w:p>
        </w:tc>
        <w:tc>
          <w:tcPr>
            <w:tcW w:w="935" w:type="pct"/>
          </w:tcPr>
          <w:p w14:paraId="4D7318AA" w14:textId="77777777" w:rsidR="00C22682" w:rsidRPr="00F2078A" w:rsidRDefault="00434BBC" w:rsidP="00E56B62">
            <w:pPr>
              <w:pStyle w:val="Tabletext1"/>
            </w:pPr>
            <w:r>
              <w:t>0/76 (0.0</w:t>
            </w:r>
            <w:r w:rsidR="00C22682" w:rsidRPr="00F2078A">
              <w:t>)</w:t>
            </w:r>
          </w:p>
        </w:tc>
        <w:tc>
          <w:tcPr>
            <w:tcW w:w="935" w:type="pct"/>
          </w:tcPr>
          <w:p w14:paraId="53861C61" w14:textId="77777777" w:rsidR="00C22682" w:rsidRPr="00642604" w:rsidRDefault="00434BBC" w:rsidP="00E56B62">
            <w:pPr>
              <w:pStyle w:val="Tabletext1"/>
            </w:pPr>
            <w:r>
              <w:t>0/76 (0.0</w:t>
            </w:r>
            <w:r w:rsidR="00C22682" w:rsidRPr="00642604">
              <w:t>)</w:t>
            </w:r>
          </w:p>
        </w:tc>
      </w:tr>
      <w:tr w:rsidR="00C22682" w:rsidRPr="00046EA7" w14:paraId="4B2BA32A" w14:textId="77777777" w:rsidTr="00591171">
        <w:tc>
          <w:tcPr>
            <w:tcW w:w="1260" w:type="pct"/>
            <w:shd w:val="clear" w:color="auto" w:fill="auto"/>
            <w:vAlign w:val="bottom"/>
          </w:tcPr>
          <w:p w14:paraId="02674484" w14:textId="77777777" w:rsidR="00C22682" w:rsidRPr="00046EA7" w:rsidRDefault="00C22682" w:rsidP="00E56B62">
            <w:pPr>
              <w:pStyle w:val="Tabletext1"/>
            </w:pPr>
            <w:r w:rsidRPr="00046EA7">
              <w:t>Navarria et al (2015)</w:t>
            </w:r>
          </w:p>
        </w:tc>
        <w:tc>
          <w:tcPr>
            <w:tcW w:w="935" w:type="pct"/>
            <w:shd w:val="clear" w:color="auto" w:fill="auto"/>
          </w:tcPr>
          <w:p w14:paraId="4EBC2B02" w14:textId="77777777" w:rsidR="00C22682" w:rsidRPr="005F2661" w:rsidRDefault="00434BBC" w:rsidP="00E56B62">
            <w:pPr>
              <w:pStyle w:val="Tabletext1"/>
            </w:pPr>
            <w:r>
              <w:t>18/28 (64.3</w:t>
            </w:r>
            <w:r w:rsidR="00C22682" w:rsidRPr="005F2661">
              <w:t>)</w:t>
            </w:r>
          </w:p>
        </w:tc>
        <w:tc>
          <w:tcPr>
            <w:tcW w:w="935" w:type="pct"/>
            <w:shd w:val="clear" w:color="auto" w:fill="auto"/>
          </w:tcPr>
          <w:p w14:paraId="23CAC844" w14:textId="77777777" w:rsidR="00C22682" w:rsidRPr="005F2661" w:rsidRDefault="00434BBC" w:rsidP="00E56B62">
            <w:pPr>
              <w:pStyle w:val="Tabletext1"/>
            </w:pPr>
            <w:r>
              <w:t>0/28 (0.0</w:t>
            </w:r>
            <w:r w:rsidR="00C22682" w:rsidRPr="005F2661">
              <w:t>)</w:t>
            </w:r>
          </w:p>
        </w:tc>
        <w:tc>
          <w:tcPr>
            <w:tcW w:w="935" w:type="pct"/>
          </w:tcPr>
          <w:p w14:paraId="3571AFB2" w14:textId="77777777" w:rsidR="00C22682" w:rsidRPr="00F2078A" w:rsidRDefault="00434BBC" w:rsidP="00E56B62">
            <w:pPr>
              <w:pStyle w:val="Tabletext1"/>
            </w:pPr>
            <w:r>
              <w:t>0/28 (0.0</w:t>
            </w:r>
            <w:r w:rsidR="00C22682" w:rsidRPr="00F2078A">
              <w:t>)</w:t>
            </w:r>
          </w:p>
        </w:tc>
        <w:tc>
          <w:tcPr>
            <w:tcW w:w="935" w:type="pct"/>
          </w:tcPr>
          <w:p w14:paraId="656E1515" w14:textId="77777777" w:rsidR="00C22682" w:rsidRPr="00642604" w:rsidRDefault="00434BBC" w:rsidP="00E56B62">
            <w:pPr>
              <w:pStyle w:val="Tabletext1"/>
            </w:pPr>
            <w:r>
              <w:t>0/28 (0.0</w:t>
            </w:r>
            <w:r w:rsidR="00C22682" w:rsidRPr="00642604">
              <w:t>)</w:t>
            </w:r>
          </w:p>
        </w:tc>
      </w:tr>
      <w:tr w:rsidR="00C22682" w:rsidRPr="00046EA7" w14:paraId="42BA3986" w14:textId="77777777" w:rsidTr="00591171">
        <w:trPr>
          <w:trHeight w:val="70"/>
        </w:trPr>
        <w:tc>
          <w:tcPr>
            <w:tcW w:w="1260" w:type="pct"/>
            <w:shd w:val="clear" w:color="auto" w:fill="auto"/>
            <w:vAlign w:val="bottom"/>
          </w:tcPr>
          <w:p w14:paraId="641F689C" w14:textId="77777777" w:rsidR="00C22682" w:rsidRPr="00046EA7" w:rsidRDefault="00C22682" w:rsidP="00E56B62">
            <w:pPr>
              <w:pStyle w:val="Tabletext1"/>
            </w:pPr>
            <w:r w:rsidRPr="00046EA7">
              <w:t>Norihisa et al (2008)</w:t>
            </w:r>
          </w:p>
        </w:tc>
        <w:tc>
          <w:tcPr>
            <w:tcW w:w="935" w:type="pct"/>
            <w:shd w:val="clear" w:color="auto" w:fill="auto"/>
          </w:tcPr>
          <w:p w14:paraId="23FD0729" w14:textId="77777777" w:rsidR="00C22682" w:rsidRPr="005F2661" w:rsidRDefault="00434BBC" w:rsidP="00E56B62">
            <w:pPr>
              <w:pStyle w:val="Tabletext1"/>
            </w:pPr>
            <w:r>
              <w:t>27/34 (79.4</w:t>
            </w:r>
            <w:r w:rsidR="00C22682" w:rsidRPr="005F2661">
              <w:t>)</w:t>
            </w:r>
          </w:p>
        </w:tc>
        <w:tc>
          <w:tcPr>
            <w:tcW w:w="935" w:type="pct"/>
            <w:shd w:val="clear" w:color="auto" w:fill="auto"/>
          </w:tcPr>
          <w:p w14:paraId="3D08653E" w14:textId="77777777" w:rsidR="00C22682" w:rsidRPr="005F2661" w:rsidRDefault="00434BBC" w:rsidP="00E56B62">
            <w:pPr>
              <w:pStyle w:val="Tabletext1"/>
            </w:pPr>
            <w:r>
              <w:t>1/34 (2.9</w:t>
            </w:r>
            <w:r w:rsidR="00C22682" w:rsidRPr="005F2661">
              <w:t>)</w:t>
            </w:r>
          </w:p>
        </w:tc>
        <w:tc>
          <w:tcPr>
            <w:tcW w:w="935" w:type="pct"/>
          </w:tcPr>
          <w:p w14:paraId="0620E1F4" w14:textId="77777777" w:rsidR="00C22682" w:rsidRPr="00F2078A" w:rsidRDefault="00434BBC" w:rsidP="00E56B62">
            <w:pPr>
              <w:pStyle w:val="Tabletext1"/>
            </w:pPr>
            <w:r>
              <w:t>0/34 (0.0</w:t>
            </w:r>
            <w:r w:rsidR="00C22682" w:rsidRPr="00F2078A">
              <w:t>)</w:t>
            </w:r>
          </w:p>
        </w:tc>
        <w:tc>
          <w:tcPr>
            <w:tcW w:w="935" w:type="pct"/>
          </w:tcPr>
          <w:p w14:paraId="36890CBB" w14:textId="77777777" w:rsidR="00C22682" w:rsidRPr="001C2967" w:rsidRDefault="00C22682" w:rsidP="00E56B62">
            <w:pPr>
              <w:pStyle w:val="Tabletext1"/>
            </w:pPr>
            <w:r w:rsidRPr="00642604">
              <w:t>0/34 (0.0</w:t>
            </w:r>
            <w:r w:rsidRPr="001C2967">
              <w:t>)</w:t>
            </w:r>
          </w:p>
        </w:tc>
      </w:tr>
      <w:tr w:rsidR="00C22682" w:rsidRPr="00046EA7" w14:paraId="6D4F8A26" w14:textId="77777777" w:rsidTr="00591171">
        <w:tc>
          <w:tcPr>
            <w:tcW w:w="1260" w:type="pct"/>
            <w:shd w:val="clear" w:color="auto" w:fill="auto"/>
            <w:vAlign w:val="bottom"/>
          </w:tcPr>
          <w:p w14:paraId="7D3DB07A" w14:textId="77777777" w:rsidR="00C22682" w:rsidRPr="00046EA7" w:rsidRDefault="00C22682" w:rsidP="00E56B62">
            <w:pPr>
              <w:pStyle w:val="Tabletext1"/>
            </w:pPr>
            <w:r w:rsidRPr="00046EA7">
              <w:t>Nuyttens et al (2015)</w:t>
            </w:r>
          </w:p>
        </w:tc>
        <w:tc>
          <w:tcPr>
            <w:tcW w:w="935" w:type="pct"/>
            <w:shd w:val="clear" w:color="auto" w:fill="auto"/>
          </w:tcPr>
          <w:p w14:paraId="42A8409D" w14:textId="77777777" w:rsidR="00C22682" w:rsidRPr="005F2661" w:rsidRDefault="00434BBC" w:rsidP="00E56B62">
            <w:pPr>
              <w:pStyle w:val="Tabletext1"/>
            </w:pPr>
            <w:r>
              <w:t>10/30 (33.3</w:t>
            </w:r>
            <w:r w:rsidR="00C22682" w:rsidRPr="005F2661">
              <w:t>)</w:t>
            </w:r>
          </w:p>
        </w:tc>
        <w:tc>
          <w:tcPr>
            <w:tcW w:w="935" w:type="pct"/>
            <w:shd w:val="clear" w:color="auto" w:fill="auto"/>
          </w:tcPr>
          <w:p w14:paraId="4BC3B075" w14:textId="77777777" w:rsidR="00C22682" w:rsidRPr="00642604" w:rsidRDefault="00C22682" w:rsidP="00E56B62">
            <w:pPr>
              <w:pStyle w:val="Tabletext1"/>
            </w:pPr>
            <w:r w:rsidRPr="005F2661">
              <w:t>0/30 (0.0</w:t>
            </w:r>
            <w:r w:rsidRPr="00642604">
              <w:t>)</w:t>
            </w:r>
          </w:p>
        </w:tc>
        <w:tc>
          <w:tcPr>
            <w:tcW w:w="935" w:type="pct"/>
          </w:tcPr>
          <w:p w14:paraId="2D556826" w14:textId="77777777" w:rsidR="00C22682" w:rsidRPr="001C2967" w:rsidRDefault="00C22682" w:rsidP="00E56B62">
            <w:pPr>
              <w:pStyle w:val="Tabletext1"/>
            </w:pPr>
            <w:r w:rsidRPr="001C2967">
              <w:t>0/30 (0.0)</w:t>
            </w:r>
          </w:p>
        </w:tc>
        <w:tc>
          <w:tcPr>
            <w:tcW w:w="935" w:type="pct"/>
          </w:tcPr>
          <w:p w14:paraId="40894602" w14:textId="77777777" w:rsidR="00C22682" w:rsidRPr="0000124A" w:rsidRDefault="00C22682" w:rsidP="00E56B62">
            <w:pPr>
              <w:pStyle w:val="Tabletext1"/>
            </w:pPr>
            <w:r w:rsidRPr="00EB5A53">
              <w:t>0/30 (0.0</w:t>
            </w:r>
            <w:r w:rsidRPr="0000124A">
              <w:t>)</w:t>
            </w:r>
          </w:p>
        </w:tc>
      </w:tr>
      <w:tr w:rsidR="00C22682" w:rsidRPr="00046EA7" w14:paraId="6EFFDC4D" w14:textId="77777777" w:rsidTr="00591171">
        <w:tc>
          <w:tcPr>
            <w:tcW w:w="1260" w:type="pct"/>
            <w:shd w:val="clear" w:color="auto" w:fill="auto"/>
            <w:vAlign w:val="bottom"/>
          </w:tcPr>
          <w:p w14:paraId="1F73C254" w14:textId="77777777" w:rsidR="00C22682" w:rsidRPr="00046EA7" w:rsidRDefault="00C22682" w:rsidP="00E56B62">
            <w:pPr>
              <w:pStyle w:val="Tabletext1"/>
            </w:pPr>
            <w:r w:rsidRPr="00046EA7">
              <w:t>Oh et al (2012)</w:t>
            </w:r>
          </w:p>
        </w:tc>
        <w:tc>
          <w:tcPr>
            <w:tcW w:w="935" w:type="pct"/>
            <w:shd w:val="clear" w:color="auto" w:fill="auto"/>
          </w:tcPr>
          <w:p w14:paraId="36F2C0FF" w14:textId="77777777" w:rsidR="00C22682" w:rsidRPr="005F2661" w:rsidRDefault="00434BBC" w:rsidP="00E56B62">
            <w:pPr>
              <w:pStyle w:val="Tabletext1"/>
            </w:pPr>
            <w:r>
              <w:t>4/57 (7.0</w:t>
            </w:r>
            <w:r w:rsidR="00C22682" w:rsidRPr="005F2661">
              <w:t>)</w:t>
            </w:r>
          </w:p>
        </w:tc>
        <w:tc>
          <w:tcPr>
            <w:tcW w:w="935" w:type="pct"/>
            <w:shd w:val="clear" w:color="auto" w:fill="auto"/>
          </w:tcPr>
          <w:p w14:paraId="19E2BE1F" w14:textId="77777777" w:rsidR="00C22682" w:rsidRPr="005F2661" w:rsidRDefault="00434BBC" w:rsidP="00E56B62">
            <w:pPr>
              <w:pStyle w:val="Tabletext1"/>
            </w:pPr>
            <w:r>
              <w:t>0/57 (0.0</w:t>
            </w:r>
            <w:r w:rsidR="00C22682" w:rsidRPr="005F2661">
              <w:t>)</w:t>
            </w:r>
          </w:p>
        </w:tc>
        <w:tc>
          <w:tcPr>
            <w:tcW w:w="935" w:type="pct"/>
          </w:tcPr>
          <w:p w14:paraId="2AA469AE" w14:textId="77777777" w:rsidR="00C22682" w:rsidRPr="00F2078A" w:rsidRDefault="00434BBC" w:rsidP="00E56B62">
            <w:pPr>
              <w:pStyle w:val="Tabletext1"/>
            </w:pPr>
            <w:r>
              <w:t>0/57 (0.0</w:t>
            </w:r>
            <w:r w:rsidR="00C22682" w:rsidRPr="00F2078A">
              <w:t>)</w:t>
            </w:r>
          </w:p>
        </w:tc>
        <w:tc>
          <w:tcPr>
            <w:tcW w:w="935" w:type="pct"/>
          </w:tcPr>
          <w:p w14:paraId="0076F774" w14:textId="77777777" w:rsidR="00C22682" w:rsidRPr="00642604" w:rsidRDefault="00434BBC" w:rsidP="00E56B62">
            <w:pPr>
              <w:pStyle w:val="Tabletext1"/>
            </w:pPr>
            <w:r>
              <w:t>1/57 (1.8</w:t>
            </w:r>
            <w:r w:rsidR="00C22682" w:rsidRPr="00642604">
              <w:t>)</w:t>
            </w:r>
          </w:p>
        </w:tc>
      </w:tr>
      <w:tr w:rsidR="00C22682" w:rsidRPr="00046EA7" w14:paraId="23CB6E99" w14:textId="77777777" w:rsidTr="00591171">
        <w:tc>
          <w:tcPr>
            <w:tcW w:w="1260" w:type="pct"/>
            <w:shd w:val="clear" w:color="auto" w:fill="auto"/>
            <w:vAlign w:val="bottom"/>
          </w:tcPr>
          <w:p w14:paraId="68B37AE5" w14:textId="77777777" w:rsidR="00C22682" w:rsidRPr="00046EA7" w:rsidRDefault="00C22682" w:rsidP="00E56B62">
            <w:pPr>
              <w:pStyle w:val="Tabletext1"/>
            </w:pPr>
            <w:r w:rsidRPr="00046EA7">
              <w:t>Osti et al (2013)</w:t>
            </w:r>
          </w:p>
        </w:tc>
        <w:tc>
          <w:tcPr>
            <w:tcW w:w="935" w:type="pct"/>
            <w:shd w:val="clear" w:color="auto" w:fill="auto"/>
          </w:tcPr>
          <w:p w14:paraId="487E9169" w14:textId="77777777" w:rsidR="00C22682" w:rsidRPr="005F2661" w:rsidRDefault="00434BBC" w:rsidP="00E56B62">
            <w:pPr>
              <w:pStyle w:val="Tabletext1"/>
            </w:pPr>
            <w:r>
              <w:t>4/66 (6.1</w:t>
            </w:r>
            <w:r w:rsidR="00C22682" w:rsidRPr="005F2661">
              <w:t>)</w:t>
            </w:r>
          </w:p>
        </w:tc>
        <w:tc>
          <w:tcPr>
            <w:tcW w:w="935" w:type="pct"/>
            <w:shd w:val="clear" w:color="auto" w:fill="auto"/>
          </w:tcPr>
          <w:p w14:paraId="3A9D4A67" w14:textId="77777777" w:rsidR="00C22682" w:rsidRPr="005F2661" w:rsidRDefault="00434BBC" w:rsidP="00E56B62">
            <w:pPr>
              <w:pStyle w:val="Tabletext1"/>
            </w:pPr>
            <w:r>
              <w:t>2/66 (3.0</w:t>
            </w:r>
            <w:r w:rsidR="00C22682" w:rsidRPr="005F2661">
              <w:t>)</w:t>
            </w:r>
          </w:p>
        </w:tc>
        <w:tc>
          <w:tcPr>
            <w:tcW w:w="935" w:type="pct"/>
          </w:tcPr>
          <w:p w14:paraId="3F3C226A" w14:textId="77777777" w:rsidR="00C22682" w:rsidRPr="00F2078A" w:rsidRDefault="00434BBC" w:rsidP="00E56B62">
            <w:pPr>
              <w:pStyle w:val="Tabletext1"/>
            </w:pPr>
            <w:r>
              <w:t>0/66 (0.0)</w:t>
            </w:r>
          </w:p>
        </w:tc>
        <w:tc>
          <w:tcPr>
            <w:tcW w:w="935" w:type="pct"/>
          </w:tcPr>
          <w:p w14:paraId="010123EA" w14:textId="77777777" w:rsidR="00C22682" w:rsidRPr="00642604" w:rsidRDefault="00C22682" w:rsidP="00E56B62">
            <w:pPr>
              <w:pStyle w:val="Tabletext1"/>
            </w:pPr>
            <w:r w:rsidRPr="00642604">
              <w:t>0/66 (0.0)</w:t>
            </w:r>
          </w:p>
        </w:tc>
      </w:tr>
      <w:tr w:rsidR="00C22682" w:rsidRPr="00046EA7" w14:paraId="7F990807" w14:textId="77777777" w:rsidTr="00591171">
        <w:tc>
          <w:tcPr>
            <w:tcW w:w="1260" w:type="pct"/>
            <w:shd w:val="clear" w:color="auto" w:fill="auto"/>
            <w:vAlign w:val="bottom"/>
          </w:tcPr>
          <w:p w14:paraId="4E5EABF7" w14:textId="77777777" w:rsidR="00C22682" w:rsidRPr="00046EA7" w:rsidRDefault="00C22682" w:rsidP="00E56B62">
            <w:pPr>
              <w:pStyle w:val="Tabletext1"/>
            </w:pPr>
            <w:r w:rsidRPr="00046EA7">
              <w:t>Ricardi et al (2011)</w:t>
            </w:r>
          </w:p>
        </w:tc>
        <w:tc>
          <w:tcPr>
            <w:tcW w:w="935" w:type="pct"/>
            <w:shd w:val="clear" w:color="auto" w:fill="auto"/>
          </w:tcPr>
          <w:p w14:paraId="20F7F38B" w14:textId="77777777" w:rsidR="00C22682" w:rsidRPr="005F2661" w:rsidRDefault="00C22682" w:rsidP="00E56B62">
            <w:pPr>
              <w:pStyle w:val="Tabletext1"/>
            </w:pPr>
            <w:r w:rsidRPr="005F2661">
              <w:t>2/6</w:t>
            </w:r>
            <w:r w:rsidR="00434BBC">
              <w:t>1 (3.3</w:t>
            </w:r>
            <w:r w:rsidRPr="005F2661">
              <w:t>)</w:t>
            </w:r>
          </w:p>
        </w:tc>
        <w:tc>
          <w:tcPr>
            <w:tcW w:w="935" w:type="pct"/>
            <w:shd w:val="clear" w:color="auto" w:fill="auto"/>
          </w:tcPr>
          <w:p w14:paraId="6346DE55" w14:textId="77777777" w:rsidR="00C22682" w:rsidRPr="005F2661" w:rsidRDefault="00434BBC" w:rsidP="00E56B62">
            <w:pPr>
              <w:pStyle w:val="Tabletext1"/>
            </w:pPr>
            <w:r>
              <w:t>1/61 (1.6</w:t>
            </w:r>
            <w:r w:rsidR="00C22682" w:rsidRPr="005F2661">
              <w:t>)</w:t>
            </w:r>
          </w:p>
        </w:tc>
        <w:tc>
          <w:tcPr>
            <w:tcW w:w="935" w:type="pct"/>
          </w:tcPr>
          <w:p w14:paraId="30CC3D9E" w14:textId="77777777" w:rsidR="00C22682" w:rsidRPr="00642604" w:rsidRDefault="00C22682" w:rsidP="00E56B62">
            <w:pPr>
              <w:pStyle w:val="Tabletext1"/>
            </w:pPr>
            <w:r w:rsidRPr="00F2078A">
              <w:t>0/</w:t>
            </w:r>
            <w:r w:rsidR="00434BBC">
              <w:t>61 (0.0</w:t>
            </w:r>
            <w:r w:rsidRPr="00642604">
              <w:t>)</w:t>
            </w:r>
          </w:p>
        </w:tc>
        <w:tc>
          <w:tcPr>
            <w:tcW w:w="935" w:type="pct"/>
          </w:tcPr>
          <w:p w14:paraId="2664AEF7" w14:textId="77777777" w:rsidR="00C22682" w:rsidRPr="001C2967" w:rsidRDefault="00434BBC" w:rsidP="00E56B62">
            <w:pPr>
              <w:pStyle w:val="Tabletext1"/>
            </w:pPr>
            <w:r>
              <w:t>0/61 (0.0</w:t>
            </w:r>
            <w:r w:rsidR="00C22682" w:rsidRPr="001C2967">
              <w:t>)</w:t>
            </w:r>
          </w:p>
        </w:tc>
      </w:tr>
      <w:tr w:rsidR="00C22682" w:rsidRPr="00046EA7" w14:paraId="7A0AF9B7" w14:textId="77777777" w:rsidTr="00591171">
        <w:tc>
          <w:tcPr>
            <w:tcW w:w="1260" w:type="pct"/>
            <w:shd w:val="clear" w:color="auto" w:fill="auto"/>
            <w:vAlign w:val="bottom"/>
          </w:tcPr>
          <w:p w14:paraId="2CD5EDA1" w14:textId="77777777" w:rsidR="00C22682" w:rsidRPr="00046EA7" w:rsidRDefault="00C22682" w:rsidP="00E56B62">
            <w:pPr>
              <w:pStyle w:val="Tabletext1"/>
            </w:pPr>
            <w:r w:rsidRPr="00046EA7">
              <w:t>Takahashi et al (2014)</w:t>
            </w:r>
          </w:p>
        </w:tc>
        <w:tc>
          <w:tcPr>
            <w:tcW w:w="935" w:type="pct"/>
            <w:shd w:val="clear" w:color="auto" w:fill="auto"/>
          </w:tcPr>
          <w:p w14:paraId="260A0159" w14:textId="77777777" w:rsidR="00C22682" w:rsidRPr="005F2661" w:rsidRDefault="00434BBC" w:rsidP="00E56B62">
            <w:pPr>
              <w:pStyle w:val="Tabletext1"/>
            </w:pPr>
            <w:r>
              <w:t>33/34 (97.1</w:t>
            </w:r>
            <w:r w:rsidR="00C22682" w:rsidRPr="005F2661">
              <w:t>)</w:t>
            </w:r>
          </w:p>
        </w:tc>
        <w:tc>
          <w:tcPr>
            <w:tcW w:w="935" w:type="pct"/>
            <w:shd w:val="clear" w:color="auto" w:fill="auto"/>
          </w:tcPr>
          <w:p w14:paraId="68E26E39" w14:textId="77777777" w:rsidR="00C22682" w:rsidRPr="005F2661" w:rsidRDefault="00434BBC" w:rsidP="00E56B62">
            <w:pPr>
              <w:pStyle w:val="Tabletext1"/>
            </w:pPr>
            <w:r>
              <w:t>0/34 (0.0</w:t>
            </w:r>
            <w:r w:rsidR="00C22682" w:rsidRPr="005F2661">
              <w:t>)</w:t>
            </w:r>
          </w:p>
        </w:tc>
        <w:tc>
          <w:tcPr>
            <w:tcW w:w="935" w:type="pct"/>
          </w:tcPr>
          <w:p w14:paraId="51AB7811" w14:textId="77777777" w:rsidR="00C22682" w:rsidRPr="00F2078A" w:rsidRDefault="00434BBC" w:rsidP="00E56B62">
            <w:pPr>
              <w:pStyle w:val="Tabletext1"/>
            </w:pPr>
            <w:r>
              <w:t>0/34 (0.0</w:t>
            </w:r>
            <w:r w:rsidR="00C22682" w:rsidRPr="00F2078A">
              <w:t>)</w:t>
            </w:r>
          </w:p>
        </w:tc>
        <w:tc>
          <w:tcPr>
            <w:tcW w:w="935" w:type="pct"/>
          </w:tcPr>
          <w:p w14:paraId="3A2A0B94" w14:textId="77777777" w:rsidR="00C22682" w:rsidRPr="00642604" w:rsidRDefault="00434BBC" w:rsidP="00E56B62">
            <w:pPr>
              <w:pStyle w:val="Tabletext1"/>
            </w:pPr>
            <w:r>
              <w:t>0/34 (0.0</w:t>
            </w:r>
            <w:r w:rsidR="00C22682" w:rsidRPr="00642604">
              <w:t>)</w:t>
            </w:r>
          </w:p>
        </w:tc>
      </w:tr>
      <w:tr w:rsidR="00C22682" w:rsidRPr="00046EA7" w14:paraId="5A1C318D" w14:textId="77777777" w:rsidTr="00591171">
        <w:tc>
          <w:tcPr>
            <w:tcW w:w="1260" w:type="pct"/>
            <w:shd w:val="clear" w:color="auto" w:fill="auto"/>
            <w:vAlign w:val="bottom"/>
          </w:tcPr>
          <w:p w14:paraId="121AD03A" w14:textId="77777777" w:rsidR="00C22682" w:rsidRPr="00046EA7" w:rsidRDefault="00C22682" w:rsidP="00E56B62">
            <w:pPr>
              <w:pStyle w:val="Tabletext1"/>
            </w:pPr>
            <w:r w:rsidRPr="00046EA7">
              <w:lastRenderedPageBreak/>
              <w:t>Yu et al (2014)</w:t>
            </w:r>
          </w:p>
        </w:tc>
        <w:tc>
          <w:tcPr>
            <w:tcW w:w="935" w:type="pct"/>
            <w:shd w:val="clear" w:color="auto" w:fill="auto"/>
          </w:tcPr>
          <w:p w14:paraId="29B30688" w14:textId="77777777" w:rsidR="00C22682" w:rsidRPr="005F2661" w:rsidRDefault="00434BBC" w:rsidP="00E56B62">
            <w:pPr>
              <w:pStyle w:val="Tabletext1"/>
            </w:pPr>
            <w:r>
              <w:t>9/27 (33.3</w:t>
            </w:r>
            <w:r w:rsidR="00C22682" w:rsidRPr="005F2661">
              <w:t xml:space="preserve">) </w:t>
            </w:r>
          </w:p>
        </w:tc>
        <w:tc>
          <w:tcPr>
            <w:tcW w:w="935" w:type="pct"/>
            <w:shd w:val="clear" w:color="auto" w:fill="auto"/>
          </w:tcPr>
          <w:p w14:paraId="540E517E" w14:textId="77777777" w:rsidR="00C22682" w:rsidRPr="005F2661" w:rsidRDefault="00434BBC" w:rsidP="00E56B62">
            <w:pPr>
              <w:pStyle w:val="Tabletext1"/>
            </w:pPr>
            <w:r>
              <w:t>0/27 (0.0</w:t>
            </w:r>
            <w:r w:rsidR="00C22682" w:rsidRPr="005F2661">
              <w:t>)</w:t>
            </w:r>
          </w:p>
        </w:tc>
        <w:tc>
          <w:tcPr>
            <w:tcW w:w="935" w:type="pct"/>
          </w:tcPr>
          <w:p w14:paraId="4459308E" w14:textId="77777777" w:rsidR="00C22682" w:rsidRPr="00F2078A" w:rsidRDefault="00434BBC" w:rsidP="00E56B62">
            <w:pPr>
              <w:pStyle w:val="Tabletext1"/>
            </w:pPr>
            <w:r>
              <w:t>0/27 (0.0</w:t>
            </w:r>
            <w:r w:rsidR="00C22682" w:rsidRPr="00F2078A">
              <w:t>)</w:t>
            </w:r>
          </w:p>
        </w:tc>
        <w:tc>
          <w:tcPr>
            <w:tcW w:w="935" w:type="pct"/>
          </w:tcPr>
          <w:p w14:paraId="2CA89300" w14:textId="77777777" w:rsidR="00C22682" w:rsidRPr="00642604" w:rsidRDefault="00434BBC" w:rsidP="00E56B62">
            <w:pPr>
              <w:pStyle w:val="Tabletext1"/>
            </w:pPr>
            <w:r>
              <w:t>0/27 (0.0</w:t>
            </w:r>
            <w:r w:rsidR="00C22682" w:rsidRPr="00642604">
              <w:t>)</w:t>
            </w:r>
          </w:p>
        </w:tc>
      </w:tr>
      <w:tr w:rsidR="00C22682" w:rsidRPr="00046EA7" w14:paraId="5C6DEDE1" w14:textId="77777777" w:rsidTr="00591171">
        <w:tc>
          <w:tcPr>
            <w:tcW w:w="1260" w:type="pct"/>
            <w:shd w:val="clear" w:color="auto" w:fill="auto"/>
            <w:vAlign w:val="bottom"/>
          </w:tcPr>
          <w:p w14:paraId="06A5E42A" w14:textId="77777777" w:rsidR="00C22682" w:rsidRPr="00046EA7" w:rsidRDefault="00C22682" w:rsidP="00E56B62">
            <w:pPr>
              <w:pStyle w:val="Tabletext1"/>
            </w:pPr>
            <w:r w:rsidRPr="00046EA7">
              <w:t>Videtic et al (2015)</w:t>
            </w:r>
          </w:p>
        </w:tc>
        <w:tc>
          <w:tcPr>
            <w:tcW w:w="935" w:type="pct"/>
            <w:shd w:val="clear" w:color="auto" w:fill="auto"/>
          </w:tcPr>
          <w:p w14:paraId="252ECEFD" w14:textId="77777777" w:rsidR="00C22682" w:rsidRPr="005F2661" w:rsidRDefault="00434BBC" w:rsidP="00E56B62">
            <w:pPr>
              <w:pStyle w:val="Tabletext1"/>
              <w:rPr>
                <w:snapToGrid w:val="0"/>
              </w:rPr>
            </w:pPr>
            <w:r>
              <w:rPr>
                <w:snapToGrid w:val="0"/>
              </w:rPr>
              <w:t>58/84 (69.0</w:t>
            </w:r>
            <w:r w:rsidR="00C22682" w:rsidRPr="005F2661">
              <w:rPr>
                <w:snapToGrid w:val="0"/>
              </w:rPr>
              <w:t>)</w:t>
            </w:r>
          </w:p>
        </w:tc>
        <w:tc>
          <w:tcPr>
            <w:tcW w:w="935" w:type="pct"/>
            <w:shd w:val="clear" w:color="auto" w:fill="auto"/>
          </w:tcPr>
          <w:p w14:paraId="0FC78E70" w14:textId="77777777" w:rsidR="00C22682" w:rsidRPr="005F2661" w:rsidRDefault="00434BBC" w:rsidP="00E56B62">
            <w:pPr>
              <w:pStyle w:val="Tabletext1"/>
            </w:pPr>
            <w:r>
              <w:t>9/84 (10.7</w:t>
            </w:r>
            <w:r w:rsidR="00C22682" w:rsidRPr="005F2661">
              <w:t>)</w:t>
            </w:r>
          </w:p>
        </w:tc>
        <w:tc>
          <w:tcPr>
            <w:tcW w:w="935" w:type="pct"/>
          </w:tcPr>
          <w:p w14:paraId="75B01FF2" w14:textId="77777777" w:rsidR="00C22682" w:rsidRPr="00F2078A" w:rsidRDefault="00434BBC" w:rsidP="00E56B62">
            <w:pPr>
              <w:pStyle w:val="Tabletext1"/>
              <w:rPr>
                <w:snapToGrid w:val="0"/>
              </w:rPr>
            </w:pPr>
            <w:r>
              <w:rPr>
                <w:snapToGrid w:val="0"/>
              </w:rPr>
              <w:t>0/84 (0.0</w:t>
            </w:r>
            <w:r w:rsidR="00C22682" w:rsidRPr="00F2078A">
              <w:rPr>
                <w:snapToGrid w:val="0"/>
              </w:rPr>
              <w:t>)</w:t>
            </w:r>
          </w:p>
        </w:tc>
        <w:tc>
          <w:tcPr>
            <w:tcW w:w="935" w:type="pct"/>
          </w:tcPr>
          <w:p w14:paraId="00C68F23" w14:textId="77777777" w:rsidR="00C22682" w:rsidRPr="00642604" w:rsidRDefault="00C22682" w:rsidP="00E56B62">
            <w:pPr>
              <w:pStyle w:val="Tabletext1"/>
              <w:rPr>
                <w:snapToGrid w:val="0"/>
              </w:rPr>
            </w:pPr>
            <w:r w:rsidRPr="00642604">
              <w:rPr>
                <w:snapToGrid w:val="0"/>
              </w:rPr>
              <w:t>1/84 (1.2)</w:t>
            </w:r>
          </w:p>
        </w:tc>
      </w:tr>
      <w:tr w:rsidR="00C22682" w:rsidRPr="00046EA7" w14:paraId="79D8D84D" w14:textId="77777777" w:rsidTr="00591171">
        <w:tc>
          <w:tcPr>
            <w:tcW w:w="1260" w:type="pct"/>
            <w:shd w:val="clear" w:color="auto" w:fill="auto"/>
            <w:vAlign w:val="bottom"/>
          </w:tcPr>
          <w:p w14:paraId="004BCB7A" w14:textId="77777777" w:rsidR="00C22682" w:rsidRPr="00046EA7" w:rsidRDefault="00C22682" w:rsidP="00E56B62">
            <w:pPr>
              <w:pStyle w:val="Tabletext1"/>
            </w:pPr>
            <w:r w:rsidRPr="00046EA7">
              <w:t>Lucas et al (2014)</w:t>
            </w:r>
          </w:p>
        </w:tc>
        <w:tc>
          <w:tcPr>
            <w:tcW w:w="935" w:type="pct"/>
            <w:shd w:val="clear" w:color="auto" w:fill="auto"/>
          </w:tcPr>
          <w:p w14:paraId="76C9B420" w14:textId="77777777" w:rsidR="00C22682" w:rsidRPr="005F2661" w:rsidRDefault="00434BBC" w:rsidP="00E56B62">
            <w:pPr>
              <w:pStyle w:val="Tabletext1"/>
              <w:rPr>
                <w:snapToGrid w:val="0"/>
              </w:rPr>
            </w:pPr>
            <w:r>
              <w:rPr>
                <w:snapToGrid w:val="0"/>
              </w:rPr>
              <w:t>25/160 (15.6</w:t>
            </w:r>
            <w:r w:rsidR="00C22682" w:rsidRPr="005F2661">
              <w:rPr>
                <w:snapToGrid w:val="0"/>
              </w:rPr>
              <w:t>)</w:t>
            </w:r>
          </w:p>
        </w:tc>
        <w:tc>
          <w:tcPr>
            <w:tcW w:w="935" w:type="pct"/>
            <w:shd w:val="clear" w:color="auto" w:fill="auto"/>
          </w:tcPr>
          <w:p w14:paraId="3310214B" w14:textId="77777777" w:rsidR="00C22682" w:rsidRPr="005F2661" w:rsidRDefault="00434BBC" w:rsidP="00E56B62">
            <w:pPr>
              <w:pStyle w:val="Tabletext1"/>
            </w:pPr>
            <w:r>
              <w:t>4/160 (2.5</w:t>
            </w:r>
            <w:r w:rsidR="00C22682" w:rsidRPr="005F2661">
              <w:t>)</w:t>
            </w:r>
          </w:p>
        </w:tc>
        <w:tc>
          <w:tcPr>
            <w:tcW w:w="935" w:type="pct"/>
          </w:tcPr>
          <w:p w14:paraId="0CDA113E" w14:textId="77777777" w:rsidR="00C22682" w:rsidRPr="00F2078A" w:rsidRDefault="00434BBC" w:rsidP="00E56B62">
            <w:pPr>
              <w:pStyle w:val="Tabletext1"/>
              <w:rPr>
                <w:snapToGrid w:val="0"/>
              </w:rPr>
            </w:pPr>
            <w:r>
              <w:rPr>
                <w:snapToGrid w:val="0"/>
              </w:rPr>
              <w:t>0/160 (0.0</w:t>
            </w:r>
            <w:r w:rsidR="00C22682" w:rsidRPr="00F2078A">
              <w:rPr>
                <w:snapToGrid w:val="0"/>
              </w:rPr>
              <w:t>)</w:t>
            </w:r>
          </w:p>
        </w:tc>
        <w:tc>
          <w:tcPr>
            <w:tcW w:w="935" w:type="pct"/>
          </w:tcPr>
          <w:p w14:paraId="24D42695" w14:textId="77777777" w:rsidR="00C22682" w:rsidRPr="00642604" w:rsidRDefault="00434BBC" w:rsidP="00E56B62">
            <w:pPr>
              <w:pStyle w:val="Tabletext1"/>
              <w:rPr>
                <w:snapToGrid w:val="0"/>
              </w:rPr>
            </w:pPr>
            <w:r>
              <w:rPr>
                <w:snapToGrid w:val="0"/>
              </w:rPr>
              <w:t>0/160 (0.0</w:t>
            </w:r>
            <w:r w:rsidR="00C22682" w:rsidRPr="00642604">
              <w:rPr>
                <w:snapToGrid w:val="0"/>
              </w:rPr>
              <w:t>)</w:t>
            </w:r>
          </w:p>
        </w:tc>
      </w:tr>
      <w:tr w:rsidR="00C22682" w:rsidRPr="00046EA7" w14:paraId="5B1DA5B7" w14:textId="77777777" w:rsidTr="00591171">
        <w:trPr>
          <w:trHeight w:val="794"/>
        </w:trPr>
        <w:tc>
          <w:tcPr>
            <w:tcW w:w="1260" w:type="pct"/>
            <w:shd w:val="clear" w:color="auto" w:fill="auto"/>
            <w:vAlign w:val="center"/>
          </w:tcPr>
          <w:p w14:paraId="0EEEE854" w14:textId="77777777" w:rsidR="00C22682" w:rsidRPr="004D4421" w:rsidRDefault="00C22682" w:rsidP="00E56B62">
            <w:pPr>
              <w:pStyle w:val="Tabletext1"/>
              <w:rPr>
                <w:b/>
                <w:snapToGrid w:val="0"/>
              </w:rPr>
            </w:pPr>
            <w:r w:rsidRPr="004D4421">
              <w:rPr>
                <w:b/>
                <w:snapToGrid w:val="0"/>
              </w:rPr>
              <w:t>Pooled, n/N (%)</w:t>
            </w:r>
          </w:p>
          <w:p w14:paraId="7E5396C9" w14:textId="77777777" w:rsidR="00C22682" w:rsidRPr="004D4421" w:rsidRDefault="00C22682" w:rsidP="00E56B62">
            <w:pPr>
              <w:pStyle w:val="Tabletext1"/>
              <w:rPr>
                <w:b/>
                <w:snapToGrid w:val="0"/>
              </w:rPr>
            </w:pPr>
            <w:r w:rsidRPr="004D4421">
              <w:rPr>
                <w:b/>
                <w:snapToGrid w:val="0"/>
              </w:rPr>
              <w:t>Median % (range)</w:t>
            </w:r>
          </w:p>
        </w:tc>
        <w:tc>
          <w:tcPr>
            <w:tcW w:w="935" w:type="pct"/>
            <w:shd w:val="clear" w:color="auto" w:fill="auto"/>
            <w:vAlign w:val="center"/>
          </w:tcPr>
          <w:p w14:paraId="67CC86AB" w14:textId="77777777" w:rsidR="00C22682" w:rsidRPr="004D4421" w:rsidRDefault="00434BBC" w:rsidP="00E56B62">
            <w:pPr>
              <w:pStyle w:val="Tabletext1"/>
              <w:rPr>
                <w:b/>
                <w:snapToGrid w:val="0"/>
              </w:rPr>
            </w:pPr>
            <w:r w:rsidRPr="004D4421">
              <w:rPr>
                <w:b/>
                <w:snapToGrid w:val="0"/>
              </w:rPr>
              <w:t>346/877 (34</w:t>
            </w:r>
            <w:r w:rsidR="00C22682" w:rsidRPr="004D4421">
              <w:rPr>
                <w:b/>
                <w:snapToGrid w:val="0"/>
              </w:rPr>
              <w:t>)</w:t>
            </w:r>
          </w:p>
          <w:p w14:paraId="2C572C75" w14:textId="4EE8D749" w:rsidR="00C22682" w:rsidRPr="004D4421" w:rsidRDefault="00434BBC" w:rsidP="00E56B62">
            <w:pPr>
              <w:pStyle w:val="Tabletext1"/>
              <w:rPr>
                <w:b/>
                <w:snapToGrid w:val="0"/>
              </w:rPr>
            </w:pPr>
            <w:r w:rsidRPr="004D4421">
              <w:rPr>
                <w:b/>
                <w:snapToGrid w:val="0"/>
              </w:rPr>
              <w:t>42.5 (3.3</w:t>
            </w:r>
            <w:r w:rsidR="00D35E9C">
              <w:rPr>
                <w:b/>
                <w:snapToGrid w:val="0"/>
              </w:rPr>
              <w:t>–</w:t>
            </w:r>
            <w:r w:rsidRPr="004D4421">
              <w:rPr>
                <w:b/>
                <w:snapToGrid w:val="0"/>
              </w:rPr>
              <w:t>120</w:t>
            </w:r>
            <w:r w:rsidR="00C22682" w:rsidRPr="004D4421">
              <w:rPr>
                <w:b/>
                <w:snapToGrid w:val="0"/>
              </w:rPr>
              <w:t>)</w:t>
            </w:r>
          </w:p>
        </w:tc>
        <w:tc>
          <w:tcPr>
            <w:tcW w:w="935" w:type="pct"/>
            <w:shd w:val="clear" w:color="auto" w:fill="auto"/>
            <w:vAlign w:val="center"/>
          </w:tcPr>
          <w:p w14:paraId="27515248" w14:textId="77777777" w:rsidR="00C22682" w:rsidRPr="004D4421" w:rsidRDefault="00434BBC" w:rsidP="00E56B62">
            <w:pPr>
              <w:pStyle w:val="Tabletext1"/>
              <w:rPr>
                <w:b/>
                <w:snapToGrid w:val="0"/>
              </w:rPr>
            </w:pPr>
            <w:r w:rsidRPr="004D4421">
              <w:rPr>
                <w:b/>
                <w:snapToGrid w:val="0"/>
              </w:rPr>
              <w:t>34/887 (3.3</w:t>
            </w:r>
            <w:r w:rsidR="00C22682" w:rsidRPr="004D4421">
              <w:rPr>
                <w:b/>
                <w:snapToGrid w:val="0"/>
              </w:rPr>
              <w:t>)</w:t>
            </w:r>
          </w:p>
          <w:p w14:paraId="75CE5C76" w14:textId="4015C2C8" w:rsidR="00C22682" w:rsidRPr="004D4421" w:rsidRDefault="00434BBC" w:rsidP="00E56B62">
            <w:pPr>
              <w:pStyle w:val="Tabletext1"/>
              <w:rPr>
                <w:b/>
                <w:snapToGrid w:val="0"/>
              </w:rPr>
            </w:pPr>
            <w:r w:rsidRPr="004D4421">
              <w:rPr>
                <w:b/>
                <w:snapToGrid w:val="0"/>
              </w:rPr>
              <w:t>0.0 (0.0</w:t>
            </w:r>
            <w:r w:rsidR="00D35E9C">
              <w:rPr>
                <w:b/>
                <w:snapToGrid w:val="0"/>
              </w:rPr>
              <w:t>–</w:t>
            </w:r>
            <w:r w:rsidRPr="004D4421">
              <w:rPr>
                <w:b/>
                <w:snapToGrid w:val="0"/>
              </w:rPr>
              <w:t>33.3</w:t>
            </w:r>
            <w:r w:rsidR="00C22682" w:rsidRPr="004D4421">
              <w:rPr>
                <w:b/>
                <w:snapToGrid w:val="0"/>
              </w:rPr>
              <w:t>)</w:t>
            </w:r>
          </w:p>
        </w:tc>
        <w:tc>
          <w:tcPr>
            <w:tcW w:w="935" w:type="pct"/>
            <w:vAlign w:val="center"/>
          </w:tcPr>
          <w:p w14:paraId="08BDFF93" w14:textId="77777777" w:rsidR="00C22682" w:rsidRPr="004D4421" w:rsidRDefault="00434BBC" w:rsidP="00E56B62">
            <w:pPr>
              <w:pStyle w:val="Tabletext1"/>
              <w:rPr>
                <w:b/>
                <w:snapToGrid w:val="0"/>
              </w:rPr>
            </w:pPr>
            <w:r w:rsidRPr="004D4421">
              <w:rPr>
                <w:b/>
                <w:snapToGrid w:val="0"/>
              </w:rPr>
              <w:t>0/887 (0.0</w:t>
            </w:r>
            <w:r w:rsidR="00C22682" w:rsidRPr="004D4421">
              <w:rPr>
                <w:b/>
                <w:snapToGrid w:val="0"/>
              </w:rPr>
              <w:t>)</w:t>
            </w:r>
          </w:p>
          <w:p w14:paraId="7C0262AC" w14:textId="77777777" w:rsidR="00C22682" w:rsidRPr="004D4421" w:rsidRDefault="00C22682" w:rsidP="00E56B62">
            <w:pPr>
              <w:pStyle w:val="Tabletext1"/>
              <w:rPr>
                <w:b/>
                <w:snapToGrid w:val="0"/>
              </w:rPr>
            </w:pPr>
            <w:r w:rsidRPr="004D4421">
              <w:rPr>
                <w:b/>
                <w:snapToGrid w:val="0"/>
              </w:rPr>
              <w:t>NA</w:t>
            </w:r>
          </w:p>
        </w:tc>
        <w:tc>
          <w:tcPr>
            <w:tcW w:w="935" w:type="pct"/>
            <w:vAlign w:val="center"/>
          </w:tcPr>
          <w:p w14:paraId="02904A23" w14:textId="77777777" w:rsidR="00C22682" w:rsidRPr="004D4421" w:rsidRDefault="00434BBC" w:rsidP="00E56B62">
            <w:pPr>
              <w:pStyle w:val="Tabletext1"/>
              <w:rPr>
                <w:b/>
                <w:snapToGrid w:val="0"/>
              </w:rPr>
            </w:pPr>
            <w:r w:rsidRPr="004D4421">
              <w:rPr>
                <w:b/>
                <w:snapToGrid w:val="0"/>
              </w:rPr>
              <w:t>2/887 (0.2</w:t>
            </w:r>
            <w:r w:rsidR="00C22682" w:rsidRPr="004D4421">
              <w:rPr>
                <w:b/>
                <w:snapToGrid w:val="0"/>
              </w:rPr>
              <w:t>)</w:t>
            </w:r>
          </w:p>
          <w:p w14:paraId="7478D8AF" w14:textId="759F24FE" w:rsidR="00C22682" w:rsidRPr="004D4421" w:rsidRDefault="00434BBC" w:rsidP="00E56B62">
            <w:pPr>
              <w:pStyle w:val="Tabletext1"/>
              <w:rPr>
                <w:b/>
                <w:snapToGrid w:val="0"/>
              </w:rPr>
            </w:pPr>
            <w:r w:rsidRPr="004D4421">
              <w:rPr>
                <w:b/>
                <w:snapToGrid w:val="0"/>
              </w:rPr>
              <w:t>0.0 (0.0</w:t>
            </w:r>
            <w:r w:rsidR="00D35E9C">
              <w:rPr>
                <w:b/>
                <w:snapToGrid w:val="0"/>
              </w:rPr>
              <w:t>–</w:t>
            </w:r>
            <w:r w:rsidRPr="004D4421">
              <w:rPr>
                <w:b/>
                <w:snapToGrid w:val="0"/>
              </w:rPr>
              <w:t>1.8</w:t>
            </w:r>
            <w:r w:rsidR="00C22682" w:rsidRPr="004D4421">
              <w:rPr>
                <w:b/>
                <w:snapToGrid w:val="0"/>
              </w:rPr>
              <w:t>)</w:t>
            </w:r>
          </w:p>
        </w:tc>
      </w:tr>
    </w:tbl>
    <w:p w14:paraId="0F5B92F4" w14:textId="77777777" w:rsidR="007D2EAB" w:rsidRDefault="007D2EAB" w:rsidP="00041F9C">
      <w:pPr>
        <w:pStyle w:val="Tablenotes0"/>
      </w:pPr>
      <w:r>
        <w:t>&lt;n/N (%) = number with event/ total (percentage); NA = not applicable&gt;</w:t>
      </w:r>
    </w:p>
    <w:p w14:paraId="7C0ACCE3" w14:textId="1A295862" w:rsidR="00C22682" w:rsidRPr="00A3324E" w:rsidRDefault="007D2EAB" w:rsidP="00041F9C">
      <w:pPr>
        <w:pStyle w:val="Tablenotes0"/>
      </w:pPr>
      <w:proofErr w:type="gramStart"/>
      <w:r>
        <w:t>a</w:t>
      </w:r>
      <w:proofErr w:type="gramEnd"/>
      <w:r>
        <w:t xml:space="preserve"> </w:t>
      </w:r>
      <w:r w:rsidR="00C22682">
        <w:t>Patients had multiple events.</w:t>
      </w:r>
    </w:p>
    <w:p w14:paraId="4563222A" w14:textId="77777777" w:rsidR="00C22682" w:rsidRPr="00210A5D" w:rsidRDefault="00C22682" w:rsidP="003F6C66">
      <w:pPr>
        <w:pStyle w:val="Heading3"/>
      </w:pPr>
      <w:bookmarkStart w:id="305" w:name="_Toc460396055"/>
      <w:r w:rsidRPr="00210A5D">
        <w:t>Procedure-related mortality</w:t>
      </w:r>
      <w:bookmarkEnd w:id="305"/>
      <w:r w:rsidRPr="00210A5D">
        <w:t xml:space="preserve"> </w:t>
      </w:r>
    </w:p>
    <w:p w14:paraId="07228F49" w14:textId="77777777" w:rsidR="001D20AD" w:rsidRDefault="00C22682" w:rsidP="001D20AD">
      <w:r w:rsidRPr="00210A5D">
        <w:t>A total of 15 included studies reported no procedure-related mortality, or mortality from any cause within 30 days</w:t>
      </w:r>
      <w:r w:rsidR="00B90343">
        <w:t xml:space="preserve"> (n</w:t>
      </w:r>
      <w:r w:rsidR="001104D0">
        <w:t xml:space="preserve"> </w:t>
      </w:r>
      <w:r w:rsidR="00B90343">
        <w:t>=</w:t>
      </w:r>
      <w:r w:rsidR="001104D0">
        <w:t xml:space="preserve"> </w:t>
      </w:r>
      <w:r w:rsidR="00B90343">
        <w:t>778)</w:t>
      </w:r>
      <w:r w:rsidRPr="00210A5D">
        <w:t>. There</w:t>
      </w:r>
      <w:r w:rsidRPr="00877D85">
        <w:t xml:space="preserve"> </w:t>
      </w:r>
      <w:r>
        <w:t>were</w:t>
      </w:r>
      <w:r w:rsidRPr="00877D85">
        <w:t xml:space="preserve"> </w:t>
      </w:r>
      <w:r>
        <w:t>two</w:t>
      </w:r>
      <w:r w:rsidRPr="00877D85">
        <w:t xml:space="preserve"> case</w:t>
      </w:r>
      <w:r>
        <w:t>s</w:t>
      </w:r>
      <w:r w:rsidRPr="00877D85">
        <w:t xml:space="preserve"> of procedure-related mortality across all included studies.</w:t>
      </w:r>
      <w:r>
        <w:t xml:space="preserve"> </w:t>
      </w:r>
      <w:r w:rsidRPr="00AE3D28">
        <w:t>Videtic et al (2015) reported</w:t>
      </w:r>
      <w:r>
        <w:t xml:space="preserve"> the death of one patient who received 48 Gy </w:t>
      </w:r>
      <w:proofErr w:type="gramStart"/>
      <w:r>
        <w:t>radiation</w:t>
      </w:r>
      <w:proofErr w:type="gramEnd"/>
      <w:r>
        <w:t xml:space="preserve"> in 4 fractions. The patient died 319 days after the procedure due to respiratory failure. The cause of respiratory failure was judged directly related to SBRT. The other death was reported by </w:t>
      </w:r>
      <w:r w:rsidRPr="00AE3D28">
        <w:t>Oh et al (2012)</w:t>
      </w:r>
      <w:r>
        <w:t xml:space="preserve">, in whom a patient with a long history </w:t>
      </w:r>
      <w:r w:rsidRPr="00041F9C">
        <w:t xml:space="preserve">of </w:t>
      </w:r>
      <w:r w:rsidR="00477B7A">
        <w:t>chronic obstructive pulmonary disease (</w:t>
      </w:r>
      <w:r w:rsidRPr="00041F9C">
        <w:t>COPD</w:t>
      </w:r>
      <w:r w:rsidR="00477B7A">
        <w:t>)</w:t>
      </w:r>
      <w:r w:rsidRPr="00041F9C">
        <w:t>, and</w:t>
      </w:r>
      <w:r>
        <w:t xml:space="preserve"> who had received left </w:t>
      </w:r>
      <w:r w:rsidR="00296B98">
        <w:t>pneumonectomy</w:t>
      </w:r>
      <w:r>
        <w:t xml:space="preserve"> and postoperative RT for NSCLC prior to SBRT. The patients died from respiratory failure </w:t>
      </w:r>
      <w:r w:rsidR="00335519">
        <w:t xml:space="preserve">5 </w:t>
      </w:r>
      <w:r>
        <w:t xml:space="preserve">months after receiving SBRT. The respiratory failure was related to grade </w:t>
      </w:r>
      <w:proofErr w:type="gramStart"/>
      <w:r>
        <w:t>5 pneumonitis</w:t>
      </w:r>
      <w:proofErr w:type="gramEnd"/>
      <w:r>
        <w:t xml:space="preserve"> brought on after SBRT treatment. </w:t>
      </w:r>
      <w:r w:rsidR="001D20AD">
        <w:t xml:space="preserve">Takahashi et al </w:t>
      </w:r>
      <w:r w:rsidR="00335519">
        <w:t>(</w:t>
      </w:r>
      <w:r w:rsidR="001D20AD">
        <w:t>2014</w:t>
      </w:r>
      <w:r w:rsidR="00335519">
        <w:t>)</w:t>
      </w:r>
      <w:r w:rsidR="001D20AD">
        <w:t xml:space="preserve"> report one case of bacterial pneumonitis resulting in death but </w:t>
      </w:r>
      <w:r w:rsidR="00296B98">
        <w:t>it is unclear whether it was procedure</w:t>
      </w:r>
      <w:r w:rsidR="00EC1D6F">
        <w:t>-</w:t>
      </w:r>
      <w:r w:rsidR="00296B98">
        <w:t>related</w:t>
      </w:r>
      <w:r w:rsidR="001D20AD">
        <w:t xml:space="preserve">. </w:t>
      </w:r>
    </w:p>
    <w:p w14:paraId="53DF97D2" w14:textId="77777777" w:rsidR="00C22682" w:rsidRDefault="00C22682" w:rsidP="003F6C66">
      <w:pPr>
        <w:pStyle w:val="Heading3"/>
      </w:pPr>
      <w:bookmarkStart w:id="306" w:name="_Toc460396056"/>
      <w:r>
        <w:t>Specific adverse events</w:t>
      </w:r>
      <w:bookmarkEnd w:id="306"/>
    </w:p>
    <w:p w14:paraId="43D024E3" w14:textId="44B5AC84" w:rsidR="00C22682" w:rsidRPr="003F5416" w:rsidRDefault="00C22682" w:rsidP="00C22682">
      <w:r>
        <w:t xml:space="preserve">A summary of the specific adverse events that occurred in patients receiving radiotherapy for primary NSCLC or oligometastases is reported in </w:t>
      </w:r>
      <w:r>
        <w:fldChar w:fldCharType="begin"/>
      </w:r>
      <w:r>
        <w:instrText xml:space="preserve"> REF _Ref457302549 \h </w:instrText>
      </w:r>
      <w:r>
        <w:fldChar w:fldCharType="separate"/>
      </w:r>
      <w:r w:rsidR="00D170A5" w:rsidRPr="00041F9C">
        <w:t xml:space="preserve">Table </w:t>
      </w:r>
      <w:r w:rsidR="00D170A5">
        <w:rPr>
          <w:noProof/>
        </w:rPr>
        <w:t>48</w:t>
      </w:r>
      <w:r>
        <w:fldChar w:fldCharType="end"/>
      </w:r>
      <w:r>
        <w:t>. All but two studies reported the total number of events that were grade 3 or higher. In contrast, minor adverse events</w:t>
      </w:r>
      <w:r w:rsidRPr="003F5416">
        <w:t xml:space="preserve"> </w:t>
      </w:r>
      <w:r>
        <w:t>were</w:t>
      </w:r>
      <w:r w:rsidRPr="003F5416">
        <w:t xml:space="preserve"> </w:t>
      </w:r>
      <w:r>
        <w:t xml:space="preserve">reported inconsistently, as represented by </w:t>
      </w:r>
      <w:r w:rsidR="00335519">
        <w:t xml:space="preserve">a </w:t>
      </w:r>
      <w:r>
        <w:t>high degree of variation in the median ranges of grade 1</w:t>
      </w:r>
      <w:r w:rsidR="00D35E9C">
        <w:t>–</w:t>
      </w:r>
      <w:r>
        <w:t xml:space="preserve">2 adverse events across included studies. Due to the retrospective nature of most studies, and apparent selective reporting, it was often unclear whether an adverse event did not occur, or was not reported. This made it difficult to determine </w:t>
      </w:r>
      <w:r w:rsidRPr="003F5416">
        <w:t>the</w:t>
      </w:r>
      <w:r>
        <w:t xml:space="preserve"> total rate of </w:t>
      </w:r>
      <w:r w:rsidRPr="003F5416">
        <w:t>minor adverse events</w:t>
      </w:r>
      <w:r>
        <w:t xml:space="preserve">. Therefore, only studies that specifically reported an adverse event having occurred or not occurred are reported in </w:t>
      </w:r>
      <w:r>
        <w:fldChar w:fldCharType="begin"/>
      </w:r>
      <w:r>
        <w:instrText xml:space="preserve"> REF _Ref457302549 \h </w:instrText>
      </w:r>
      <w:r>
        <w:fldChar w:fldCharType="separate"/>
      </w:r>
      <w:r w:rsidR="00D170A5" w:rsidRPr="00041F9C">
        <w:t xml:space="preserve">Table </w:t>
      </w:r>
      <w:r w:rsidR="00D170A5">
        <w:rPr>
          <w:noProof/>
        </w:rPr>
        <w:t>48</w:t>
      </w:r>
      <w:r>
        <w:fldChar w:fldCharType="end"/>
      </w:r>
      <w:r>
        <w:t xml:space="preserve">. Pneumonitis was the most common adverse event, followed by rash and </w:t>
      </w:r>
      <w:r w:rsidR="00CA6DFD">
        <w:t>dyspnoea</w:t>
      </w:r>
      <w:r>
        <w:t xml:space="preserve">. </w:t>
      </w:r>
      <w:proofErr w:type="gramStart"/>
      <w:r>
        <w:t xml:space="preserve">Adverse events that </w:t>
      </w:r>
      <w:r w:rsidR="00EE1A2B">
        <w:t xml:space="preserve">of </w:t>
      </w:r>
      <w:r>
        <w:t>grade 3 or higher were rarely reported.</w:t>
      </w:r>
      <w:proofErr w:type="gramEnd"/>
      <w:r>
        <w:t xml:space="preserve"> </w:t>
      </w:r>
    </w:p>
    <w:p w14:paraId="2323EAE3" w14:textId="77777777" w:rsidR="00C22682" w:rsidRDefault="00C22682" w:rsidP="00C22682">
      <w:pPr>
        <w:pStyle w:val="Caption"/>
        <w:keepNext/>
        <w:rPr>
          <w:rFonts w:cs="Arial"/>
          <w:snapToGrid w:val="0"/>
          <w:szCs w:val="16"/>
          <w:lang w:eastAsia="en-US"/>
        </w:rPr>
      </w:pPr>
      <w:bookmarkStart w:id="307" w:name="_Ref457302549"/>
      <w:bookmarkStart w:id="308" w:name="_Toc460514706"/>
      <w:r w:rsidRPr="00041F9C">
        <w:t xml:space="preserve">Table </w:t>
      </w:r>
      <w:fldSimple w:instr=" SEQ Table \* ARABIC ">
        <w:r w:rsidR="00D170A5">
          <w:rPr>
            <w:noProof/>
          </w:rPr>
          <w:t>48</w:t>
        </w:r>
      </w:fldSimple>
      <w:bookmarkEnd w:id="307"/>
      <w:r w:rsidRPr="00041F9C">
        <w:tab/>
        <w:t>Adverse events</w:t>
      </w:r>
      <w:r w:rsidRPr="00183E4D">
        <w:rPr>
          <w:rFonts w:cs="Arial"/>
          <w:snapToGrid w:val="0"/>
          <w:szCs w:val="16"/>
          <w:lang w:eastAsia="en-US"/>
        </w:rPr>
        <w:t xml:space="preserve"> </w:t>
      </w:r>
      <w:r>
        <w:rPr>
          <w:rFonts w:cs="Arial"/>
          <w:snapToGrid w:val="0"/>
          <w:szCs w:val="16"/>
          <w:lang w:eastAsia="en-US"/>
        </w:rPr>
        <w:t>reported in</w:t>
      </w:r>
      <w:r w:rsidRPr="00183E4D">
        <w:rPr>
          <w:rFonts w:cs="Arial"/>
          <w:snapToGrid w:val="0"/>
          <w:szCs w:val="16"/>
          <w:lang w:eastAsia="en-US"/>
        </w:rPr>
        <w:t xml:space="preserve"> </w:t>
      </w:r>
      <w:r>
        <w:rPr>
          <w:rFonts w:cs="Arial"/>
          <w:snapToGrid w:val="0"/>
          <w:szCs w:val="16"/>
          <w:lang w:eastAsia="en-US"/>
        </w:rPr>
        <w:t>at least two</w:t>
      </w:r>
      <w:r w:rsidRPr="00183E4D">
        <w:rPr>
          <w:rFonts w:cs="Arial"/>
          <w:snapToGrid w:val="0"/>
          <w:szCs w:val="16"/>
          <w:lang w:eastAsia="en-US"/>
        </w:rPr>
        <w:t xml:space="preserve"> </w:t>
      </w:r>
      <w:r w:rsidRPr="006D34D7">
        <w:rPr>
          <w:rFonts w:cs="Arial"/>
          <w:snapToGrid w:val="0"/>
          <w:szCs w:val="16"/>
          <w:lang w:eastAsia="en-US"/>
        </w:rPr>
        <w:t xml:space="preserve">studies of </w:t>
      </w:r>
      <w:r>
        <w:rPr>
          <w:rFonts w:cs="Arial"/>
          <w:snapToGrid w:val="0"/>
          <w:szCs w:val="16"/>
          <w:lang w:eastAsia="en-US"/>
        </w:rPr>
        <w:t>radiotherapy</w:t>
      </w:r>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2"/>
        <w:tblDescription w:val="Less common adverse events radiotherapy"/>
      </w:tblPr>
      <w:tblGrid>
        <w:gridCol w:w="1382"/>
        <w:gridCol w:w="1023"/>
        <w:gridCol w:w="2443"/>
        <w:gridCol w:w="992"/>
        <w:gridCol w:w="2123"/>
        <w:gridCol w:w="1119"/>
      </w:tblGrid>
      <w:tr w:rsidR="00C22682" w:rsidRPr="00C83213" w14:paraId="719C2049" w14:textId="77777777" w:rsidTr="00DA1365">
        <w:tc>
          <w:tcPr>
            <w:tcW w:w="761" w:type="pct"/>
            <w:tcBorders>
              <w:bottom w:val="nil"/>
            </w:tcBorders>
            <w:shd w:val="clear" w:color="auto" w:fill="D9D9D9" w:themeFill="background1" w:themeFillShade="D9"/>
          </w:tcPr>
          <w:p w14:paraId="33F6D8D0" w14:textId="77777777" w:rsidR="00C22682" w:rsidRDefault="00C22682" w:rsidP="00667BA7">
            <w:pPr>
              <w:pStyle w:val="Tabletext1"/>
              <w:rPr>
                <w:snapToGrid w:val="0"/>
              </w:rPr>
            </w:pPr>
          </w:p>
        </w:tc>
        <w:tc>
          <w:tcPr>
            <w:tcW w:w="563" w:type="pct"/>
            <w:tcBorders>
              <w:bottom w:val="single" w:sz="4" w:space="0" w:color="auto"/>
              <w:right w:val="nil"/>
            </w:tcBorders>
            <w:shd w:val="clear" w:color="auto" w:fill="D9D9D9" w:themeFill="background1" w:themeFillShade="D9"/>
          </w:tcPr>
          <w:p w14:paraId="1FE86EF1" w14:textId="77777777" w:rsidR="00C22682" w:rsidRPr="006D53E7" w:rsidRDefault="00C22682" w:rsidP="00667BA7">
            <w:pPr>
              <w:pStyle w:val="Tabletext1"/>
              <w:rPr>
                <w:b/>
                <w:snapToGrid w:val="0"/>
              </w:rPr>
            </w:pPr>
          </w:p>
        </w:tc>
        <w:tc>
          <w:tcPr>
            <w:tcW w:w="1345" w:type="pct"/>
            <w:tcBorders>
              <w:left w:val="nil"/>
              <w:bottom w:val="single" w:sz="4" w:space="0" w:color="auto"/>
            </w:tcBorders>
            <w:shd w:val="clear" w:color="auto" w:fill="D9D9D9" w:themeFill="background1" w:themeFillShade="D9"/>
          </w:tcPr>
          <w:p w14:paraId="32F4E30D" w14:textId="33DF4E2E" w:rsidR="00C22682" w:rsidRPr="006D53E7" w:rsidRDefault="00C22682" w:rsidP="00667BA7">
            <w:pPr>
              <w:pStyle w:val="Tabletext1"/>
              <w:rPr>
                <w:b/>
                <w:snapToGrid w:val="0"/>
              </w:rPr>
            </w:pPr>
            <w:r w:rsidRPr="006D53E7">
              <w:rPr>
                <w:b/>
                <w:snapToGrid w:val="0"/>
              </w:rPr>
              <w:t>Grade 1</w:t>
            </w:r>
            <w:r w:rsidR="00D35E9C">
              <w:rPr>
                <w:b/>
                <w:snapToGrid w:val="0"/>
              </w:rPr>
              <w:t>–</w:t>
            </w:r>
            <w:r w:rsidRPr="006D53E7">
              <w:rPr>
                <w:b/>
                <w:snapToGrid w:val="0"/>
              </w:rPr>
              <w:t>2 events</w:t>
            </w:r>
          </w:p>
        </w:tc>
        <w:tc>
          <w:tcPr>
            <w:tcW w:w="546" w:type="pct"/>
            <w:tcBorders>
              <w:right w:val="nil"/>
            </w:tcBorders>
            <w:shd w:val="clear" w:color="auto" w:fill="D9D9D9" w:themeFill="background1" w:themeFillShade="D9"/>
          </w:tcPr>
          <w:p w14:paraId="77B738D8" w14:textId="77777777" w:rsidR="00C22682" w:rsidRPr="006D53E7" w:rsidRDefault="00C22682" w:rsidP="00667BA7">
            <w:pPr>
              <w:pStyle w:val="Tabletext1"/>
              <w:rPr>
                <w:b/>
                <w:snapToGrid w:val="0"/>
              </w:rPr>
            </w:pPr>
          </w:p>
        </w:tc>
        <w:tc>
          <w:tcPr>
            <w:tcW w:w="1169" w:type="pct"/>
            <w:tcBorders>
              <w:top w:val="single" w:sz="4" w:space="0" w:color="auto"/>
              <w:left w:val="nil"/>
            </w:tcBorders>
            <w:shd w:val="clear" w:color="auto" w:fill="D9D9D9" w:themeFill="background1" w:themeFillShade="D9"/>
          </w:tcPr>
          <w:p w14:paraId="4B0CAF7A" w14:textId="77777777" w:rsidR="00C22682" w:rsidRPr="006D53E7" w:rsidRDefault="00C22682" w:rsidP="00667BA7">
            <w:pPr>
              <w:pStyle w:val="Tabletext1"/>
              <w:rPr>
                <w:b/>
                <w:snapToGrid w:val="0"/>
              </w:rPr>
            </w:pPr>
            <w:r w:rsidRPr="006D53E7">
              <w:rPr>
                <w:b/>
                <w:snapToGrid w:val="0"/>
              </w:rPr>
              <w:t>Grade 3 events</w:t>
            </w:r>
          </w:p>
        </w:tc>
        <w:tc>
          <w:tcPr>
            <w:tcW w:w="616" w:type="pct"/>
            <w:tcBorders>
              <w:bottom w:val="nil"/>
            </w:tcBorders>
            <w:shd w:val="clear" w:color="auto" w:fill="D9D9D9" w:themeFill="background1" w:themeFillShade="D9"/>
            <w:vAlign w:val="center"/>
          </w:tcPr>
          <w:p w14:paraId="40B4C2A6" w14:textId="77777777" w:rsidR="00C22682" w:rsidRPr="006D53E7" w:rsidRDefault="00C22682" w:rsidP="00667BA7">
            <w:pPr>
              <w:pStyle w:val="Tabletext1"/>
              <w:rPr>
                <w:b/>
                <w:snapToGrid w:val="0"/>
              </w:rPr>
            </w:pPr>
          </w:p>
        </w:tc>
      </w:tr>
      <w:tr w:rsidR="00C22682" w:rsidRPr="00C83213" w14:paraId="2939C5C2" w14:textId="77777777" w:rsidTr="00DA1365">
        <w:tc>
          <w:tcPr>
            <w:tcW w:w="761" w:type="pct"/>
            <w:tcBorders>
              <w:top w:val="nil"/>
            </w:tcBorders>
            <w:shd w:val="clear" w:color="auto" w:fill="D9D9D9" w:themeFill="background1" w:themeFillShade="D9"/>
            <w:vAlign w:val="bottom"/>
          </w:tcPr>
          <w:p w14:paraId="0D8F8363" w14:textId="77777777" w:rsidR="00C22682" w:rsidRPr="006D53E7" w:rsidRDefault="00C22682" w:rsidP="00667BA7">
            <w:pPr>
              <w:pStyle w:val="Tabletext1"/>
              <w:rPr>
                <w:b/>
                <w:snapToGrid w:val="0"/>
              </w:rPr>
            </w:pPr>
            <w:r w:rsidRPr="006D53E7">
              <w:rPr>
                <w:b/>
                <w:snapToGrid w:val="0"/>
              </w:rPr>
              <w:t>Adverse event</w:t>
            </w:r>
          </w:p>
        </w:tc>
        <w:tc>
          <w:tcPr>
            <w:tcW w:w="563" w:type="pct"/>
            <w:tcBorders>
              <w:top w:val="single" w:sz="4" w:space="0" w:color="auto"/>
              <w:right w:val="single" w:sz="4" w:space="0" w:color="auto"/>
            </w:tcBorders>
            <w:shd w:val="clear" w:color="auto" w:fill="D9D9D9" w:themeFill="background1" w:themeFillShade="D9"/>
            <w:vAlign w:val="bottom"/>
          </w:tcPr>
          <w:p w14:paraId="55B031F9" w14:textId="77777777" w:rsidR="00C22682" w:rsidRPr="006D53E7" w:rsidRDefault="00C22682" w:rsidP="00667BA7">
            <w:pPr>
              <w:pStyle w:val="Tabletext1"/>
              <w:rPr>
                <w:b/>
                <w:snapToGrid w:val="0"/>
              </w:rPr>
            </w:pPr>
            <w:r w:rsidRPr="006D53E7">
              <w:rPr>
                <w:b/>
                <w:snapToGrid w:val="0"/>
              </w:rPr>
              <w:t>Number of studies</w:t>
            </w:r>
          </w:p>
        </w:tc>
        <w:tc>
          <w:tcPr>
            <w:tcW w:w="1345" w:type="pct"/>
            <w:tcBorders>
              <w:top w:val="single" w:sz="4" w:space="0" w:color="auto"/>
              <w:left w:val="single" w:sz="4" w:space="0" w:color="auto"/>
            </w:tcBorders>
            <w:shd w:val="clear" w:color="auto" w:fill="D9D9D9" w:themeFill="background1" w:themeFillShade="D9"/>
            <w:vAlign w:val="bottom"/>
          </w:tcPr>
          <w:p w14:paraId="637A0275" w14:textId="77777777" w:rsidR="00C22682" w:rsidRPr="006D53E7" w:rsidRDefault="00C22682" w:rsidP="00667BA7">
            <w:pPr>
              <w:pStyle w:val="Tabletext1"/>
              <w:rPr>
                <w:b/>
                <w:snapToGrid w:val="0"/>
              </w:rPr>
            </w:pPr>
            <w:r w:rsidRPr="006D53E7">
              <w:rPr>
                <w:b/>
                <w:snapToGrid w:val="0"/>
              </w:rPr>
              <w:t>Pooled, n/N (%)</w:t>
            </w:r>
          </w:p>
          <w:p w14:paraId="5ABD3D03" w14:textId="77777777" w:rsidR="00C22682" w:rsidRPr="006D53E7" w:rsidRDefault="00C22682" w:rsidP="00667BA7">
            <w:pPr>
              <w:pStyle w:val="Tabletext1"/>
              <w:rPr>
                <w:b/>
                <w:snapToGrid w:val="0"/>
              </w:rPr>
            </w:pPr>
            <w:r w:rsidRPr="006D53E7">
              <w:rPr>
                <w:b/>
                <w:snapToGrid w:val="0"/>
              </w:rPr>
              <w:t>Median % (range)</w:t>
            </w:r>
          </w:p>
        </w:tc>
        <w:tc>
          <w:tcPr>
            <w:tcW w:w="546" w:type="pct"/>
            <w:shd w:val="clear" w:color="auto" w:fill="D9D9D9" w:themeFill="background1" w:themeFillShade="D9"/>
            <w:vAlign w:val="bottom"/>
          </w:tcPr>
          <w:p w14:paraId="28DA7542" w14:textId="77777777" w:rsidR="00C22682" w:rsidRPr="006D53E7" w:rsidRDefault="00C22682" w:rsidP="00667BA7">
            <w:pPr>
              <w:pStyle w:val="Tabletext1"/>
              <w:rPr>
                <w:b/>
                <w:snapToGrid w:val="0"/>
              </w:rPr>
            </w:pPr>
            <w:r w:rsidRPr="006D53E7">
              <w:rPr>
                <w:b/>
                <w:snapToGrid w:val="0"/>
              </w:rPr>
              <w:t>Number of studies</w:t>
            </w:r>
          </w:p>
        </w:tc>
        <w:tc>
          <w:tcPr>
            <w:tcW w:w="1169" w:type="pct"/>
            <w:shd w:val="clear" w:color="auto" w:fill="D9D9D9" w:themeFill="background1" w:themeFillShade="D9"/>
            <w:vAlign w:val="bottom"/>
          </w:tcPr>
          <w:p w14:paraId="5FD11E4C" w14:textId="77777777" w:rsidR="00C22682" w:rsidRPr="006D53E7" w:rsidRDefault="00C22682" w:rsidP="00667BA7">
            <w:pPr>
              <w:pStyle w:val="Tabletext1"/>
              <w:rPr>
                <w:b/>
                <w:snapToGrid w:val="0"/>
              </w:rPr>
            </w:pPr>
            <w:r w:rsidRPr="006D53E7">
              <w:rPr>
                <w:b/>
                <w:snapToGrid w:val="0"/>
              </w:rPr>
              <w:t>Pooled, n/N (%)</w:t>
            </w:r>
          </w:p>
          <w:p w14:paraId="748421B9" w14:textId="77777777" w:rsidR="00C22682" w:rsidRPr="006D53E7" w:rsidRDefault="00C22682" w:rsidP="00667BA7">
            <w:pPr>
              <w:pStyle w:val="Tabletext1"/>
              <w:rPr>
                <w:b/>
                <w:snapToGrid w:val="0"/>
              </w:rPr>
            </w:pPr>
            <w:r w:rsidRPr="006D53E7">
              <w:rPr>
                <w:b/>
                <w:snapToGrid w:val="0"/>
              </w:rPr>
              <w:t>Median % (range)</w:t>
            </w:r>
          </w:p>
        </w:tc>
        <w:tc>
          <w:tcPr>
            <w:tcW w:w="616" w:type="pct"/>
            <w:tcBorders>
              <w:top w:val="nil"/>
            </w:tcBorders>
            <w:shd w:val="clear" w:color="auto" w:fill="D9D9D9" w:themeFill="background1" w:themeFillShade="D9"/>
            <w:vAlign w:val="bottom"/>
          </w:tcPr>
          <w:p w14:paraId="0C0EA76D" w14:textId="77777777" w:rsidR="00C22682" w:rsidRPr="006D53E7" w:rsidRDefault="00C22682" w:rsidP="00667BA7">
            <w:pPr>
              <w:pStyle w:val="Tabletext1"/>
              <w:rPr>
                <w:b/>
                <w:snapToGrid w:val="0"/>
              </w:rPr>
            </w:pPr>
            <w:r w:rsidRPr="006D53E7">
              <w:rPr>
                <w:b/>
                <w:snapToGrid w:val="0"/>
              </w:rPr>
              <w:t>Quality of estimates</w:t>
            </w:r>
          </w:p>
        </w:tc>
      </w:tr>
      <w:tr w:rsidR="00C22682" w:rsidRPr="004565C0" w14:paraId="2D80AA8F" w14:textId="77777777" w:rsidTr="00591171">
        <w:tc>
          <w:tcPr>
            <w:tcW w:w="761" w:type="pct"/>
            <w:shd w:val="clear" w:color="auto" w:fill="auto"/>
          </w:tcPr>
          <w:p w14:paraId="2864700E" w14:textId="77777777" w:rsidR="00C22682" w:rsidRPr="00C83213" w:rsidRDefault="00C22682" w:rsidP="00667BA7">
            <w:pPr>
              <w:pStyle w:val="Tabletext1"/>
              <w:rPr>
                <w:snapToGrid w:val="0"/>
              </w:rPr>
            </w:pPr>
            <w:r>
              <w:rPr>
                <w:snapToGrid w:val="0"/>
              </w:rPr>
              <w:t>Pneumonitis</w:t>
            </w:r>
          </w:p>
        </w:tc>
        <w:tc>
          <w:tcPr>
            <w:tcW w:w="563" w:type="pct"/>
            <w:shd w:val="clear" w:color="auto" w:fill="auto"/>
          </w:tcPr>
          <w:p w14:paraId="302B94FD" w14:textId="77777777" w:rsidR="00C22682" w:rsidRPr="0069748F" w:rsidRDefault="00C22682" w:rsidP="00667BA7">
            <w:pPr>
              <w:pStyle w:val="Tabletext1"/>
              <w:rPr>
                <w:snapToGrid w:val="0"/>
              </w:rPr>
            </w:pPr>
            <w:r>
              <w:rPr>
                <w:snapToGrid w:val="0"/>
              </w:rPr>
              <w:t>9 studies</w:t>
            </w:r>
          </w:p>
        </w:tc>
        <w:tc>
          <w:tcPr>
            <w:tcW w:w="1345" w:type="pct"/>
            <w:shd w:val="clear" w:color="auto" w:fill="auto"/>
          </w:tcPr>
          <w:p w14:paraId="12FF87D4" w14:textId="77777777" w:rsidR="00C22682" w:rsidRPr="00A2568C" w:rsidRDefault="00434BBC" w:rsidP="00667BA7">
            <w:pPr>
              <w:pStyle w:val="Tabletext1"/>
              <w:rPr>
                <w:snapToGrid w:val="0"/>
              </w:rPr>
            </w:pPr>
            <w:r>
              <w:rPr>
                <w:snapToGrid w:val="0"/>
              </w:rPr>
              <w:t>Total 57/532 (10.7</w:t>
            </w:r>
            <w:r w:rsidR="00C22682" w:rsidRPr="00A2568C">
              <w:rPr>
                <w:snapToGrid w:val="0"/>
              </w:rPr>
              <w:t>)</w:t>
            </w:r>
          </w:p>
          <w:p w14:paraId="700A824A" w14:textId="252A9C67" w:rsidR="00C22682" w:rsidRPr="00C608C5" w:rsidRDefault="00434BBC" w:rsidP="00667BA7">
            <w:pPr>
              <w:pStyle w:val="Tabletext1"/>
              <w:rPr>
                <w:snapToGrid w:val="0"/>
                <w:highlight w:val="yellow"/>
              </w:rPr>
            </w:pPr>
            <w:r>
              <w:rPr>
                <w:snapToGrid w:val="0"/>
              </w:rPr>
              <w:lastRenderedPageBreak/>
              <w:t>Median 7.2% (0.0</w:t>
            </w:r>
            <w:r w:rsidR="00D35E9C">
              <w:rPr>
                <w:snapToGrid w:val="0"/>
              </w:rPr>
              <w:t>–</w:t>
            </w:r>
            <w:r>
              <w:rPr>
                <w:snapToGrid w:val="0"/>
              </w:rPr>
              <w:t>48.4</w:t>
            </w:r>
            <w:r w:rsidR="00C22682" w:rsidRPr="00513C06">
              <w:rPr>
                <w:snapToGrid w:val="0"/>
              </w:rPr>
              <w:t>)</w:t>
            </w:r>
          </w:p>
        </w:tc>
        <w:tc>
          <w:tcPr>
            <w:tcW w:w="546" w:type="pct"/>
          </w:tcPr>
          <w:p w14:paraId="5E354C83" w14:textId="77777777" w:rsidR="00C22682" w:rsidRPr="00F47224" w:rsidRDefault="00C22682" w:rsidP="00667BA7">
            <w:pPr>
              <w:pStyle w:val="Tabletext1"/>
              <w:rPr>
                <w:snapToGrid w:val="0"/>
              </w:rPr>
            </w:pPr>
            <w:r w:rsidRPr="00F47224">
              <w:rPr>
                <w:snapToGrid w:val="0"/>
              </w:rPr>
              <w:lastRenderedPageBreak/>
              <w:t>18</w:t>
            </w:r>
            <w:r>
              <w:rPr>
                <w:snapToGrid w:val="0"/>
              </w:rPr>
              <w:t xml:space="preserve"> studies</w:t>
            </w:r>
          </w:p>
        </w:tc>
        <w:tc>
          <w:tcPr>
            <w:tcW w:w="1169" w:type="pct"/>
          </w:tcPr>
          <w:p w14:paraId="3DC532B4" w14:textId="77777777" w:rsidR="00C22682" w:rsidRDefault="00434BBC" w:rsidP="00667BA7">
            <w:pPr>
              <w:pStyle w:val="Tabletext1"/>
              <w:rPr>
                <w:snapToGrid w:val="0"/>
              </w:rPr>
            </w:pPr>
            <w:r>
              <w:rPr>
                <w:snapToGrid w:val="0"/>
              </w:rPr>
              <w:t>Total 7/887 (0.8</w:t>
            </w:r>
            <w:r w:rsidR="00C22682">
              <w:rPr>
                <w:snapToGrid w:val="0"/>
              </w:rPr>
              <w:t>)</w:t>
            </w:r>
          </w:p>
          <w:p w14:paraId="5136F98F" w14:textId="29E2EF8E" w:rsidR="00C22682" w:rsidRPr="004565C0" w:rsidRDefault="00434BBC" w:rsidP="00667BA7">
            <w:pPr>
              <w:pStyle w:val="Tabletext1"/>
              <w:rPr>
                <w:snapToGrid w:val="0"/>
              </w:rPr>
            </w:pPr>
            <w:r>
              <w:rPr>
                <w:snapToGrid w:val="0"/>
              </w:rPr>
              <w:lastRenderedPageBreak/>
              <w:t>Median 0.0 (0.0</w:t>
            </w:r>
            <w:r w:rsidR="00D35E9C">
              <w:rPr>
                <w:snapToGrid w:val="0"/>
              </w:rPr>
              <w:t>–</w:t>
            </w:r>
            <w:r>
              <w:rPr>
                <w:snapToGrid w:val="0"/>
              </w:rPr>
              <w:t>3.3</w:t>
            </w:r>
            <w:r w:rsidR="00C22682">
              <w:rPr>
                <w:snapToGrid w:val="0"/>
              </w:rPr>
              <w:t>)</w:t>
            </w:r>
          </w:p>
        </w:tc>
        <w:tc>
          <w:tcPr>
            <w:tcW w:w="616" w:type="pct"/>
          </w:tcPr>
          <w:p w14:paraId="4510B871" w14:textId="77777777" w:rsidR="00C22682" w:rsidRPr="002A1D60" w:rsidRDefault="00041F9C" w:rsidP="00667BA7">
            <w:pPr>
              <w:pStyle w:val="Tabletext1"/>
              <w:rPr>
                <w:rStyle w:val="quality-sign"/>
                <w:rFonts w:ascii="MS Mincho" w:eastAsia="MS Mincho" w:hAnsi="MS Mincho" w:cs="MS Mincho"/>
                <w:b/>
                <w:sz w:val="21"/>
                <w:szCs w:val="21"/>
              </w:rPr>
            </w:pPr>
            <w:r>
              <w:rPr>
                <w:rFonts w:ascii="Cambria Math" w:hAnsi="Cambria Math"/>
                <w:color w:val="00B050"/>
              </w:rPr>
              <w:lastRenderedPageBreak/>
              <w:t>⨁⨁</w:t>
            </w:r>
            <w:r w:rsidRPr="00D4733A">
              <w:rPr>
                <w:rFonts w:ascii="Cambria Math" w:hAnsi="Cambria Math" w:cs="Cambria Math"/>
                <w:color w:val="C00000"/>
              </w:rPr>
              <w:t>⨀⨀</w:t>
            </w:r>
            <w:r w:rsidR="00BD06D5">
              <w:rPr>
                <w:rStyle w:val="quality-sign"/>
                <w:rFonts w:eastAsia="MS Mincho" w:cs="MS Mincho"/>
                <w:sz w:val="21"/>
                <w:szCs w:val="21"/>
              </w:rPr>
              <w:t xml:space="preserve"> </w:t>
            </w:r>
            <w:r w:rsidR="00BD06D5" w:rsidRPr="007C6F8D">
              <w:rPr>
                <w:rStyle w:val="quality-sign"/>
                <w:rFonts w:eastAsia="MS Mincho" w:cs="MS Mincho"/>
                <w:sz w:val="21"/>
                <w:szCs w:val="21"/>
              </w:rPr>
              <w:lastRenderedPageBreak/>
              <w:t>LOW</w:t>
            </w:r>
          </w:p>
        </w:tc>
      </w:tr>
      <w:tr w:rsidR="00C22682" w:rsidRPr="004565C0" w14:paraId="30052D34" w14:textId="77777777" w:rsidTr="00591171">
        <w:tc>
          <w:tcPr>
            <w:tcW w:w="761" w:type="pct"/>
            <w:shd w:val="clear" w:color="auto" w:fill="auto"/>
          </w:tcPr>
          <w:p w14:paraId="3C1BEBD1" w14:textId="73D4DAD4" w:rsidR="00C22682" w:rsidRPr="00C83213" w:rsidRDefault="00CA6DFD" w:rsidP="00667BA7">
            <w:pPr>
              <w:pStyle w:val="Tabletext1"/>
              <w:rPr>
                <w:snapToGrid w:val="0"/>
              </w:rPr>
            </w:pPr>
            <w:r>
              <w:rPr>
                <w:snapToGrid w:val="0"/>
              </w:rPr>
              <w:lastRenderedPageBreak/>
              <w:t>Dyspnoea</w:t>
            </w:r>
            <w:r w:rsidR="002C0986">
              <w:rPr>
                <w:snapToGrid w:val="0"/>
              </w:rPr>
              <w:t xml:space="preserve"> </w:t>
            </w:r>
            <w:r w:rsidR="007D2EAB" w:rsidRPr="007D2EAB">
              <w:rPr>
                <w:snapToGrid w:val="0"/>
                <w:vertAlign w:val="superscript"/>
              </w:rPr>
              <w:t>a</w:t>
            </w:r>
          </w:p>
        </w:tc>
        <w:tc>
          <w:tcPr>
            <w:tcW w:w="563" w:type="pct"/>
            <w:shd w:val="clear" w:color="auto" w:fill="auto"/>
          </w:tcPr>
          <w:p w14:paraId="16328FCA" w14:textId="77777777" w:rsidR="00C22682" w:rsidRPr="0069748F" w:rsidRDefault="00C22682" w:rsidP="00667BA7">
            <w:pPr>
              <w:pStyle w:val="Tabletext1"/>
              <w:rPr>
                <w:snapToGrid w:val="0"/>
              </w:rPr>
            </w:pPr>
            <w:r>
              <w:rPr>
                <w:snapToGrid w:val="0"/>
              </w:rPr>
              <w:t>2 studies</w:t>
            </w:r>
          </w:p>
        </w:tc>
        <w:tc>
          <w:tcPr>
            <w:tcW w:w="1345" w:type="pct"/>
            <w:shd w:val="clear" w:color="auto" w:fill="auto"/>
          </w:tcPr>
          <w:p w14:paraId="2CC2EA36" w14:textId="77777777" w:rsidR="00C22682" w:rsidRPr="00CD039E" w:rsidRDefault="00C22682" w:rsidP="00667BA7">
            <w:pPr>
              <w:pStyle w:val="Tabletext1"/>
              <w:rPr>
                <w:snapToGrid w:val="0"/>
              </w:rPr>
            </w:pPr>
            <w:r w:rsidRPr="00D60A3B">
              <w:rPr>
                <w:snapToGrid w:val="0"/>
              </w:rPr>
              <w:t>Total 9/</w:t>
            </w:r>
            <w:r w:rsidR="00434BBC">
              <w:rPr>
                <w:snapToGrid w:val="0"/>
              </w:rPr>
              <w:t>62 (14.5</w:t>
            </w:r>
            <w:r w:rsidRPr="00CD039E">
              <w:rPr>
                <w:snapToGrid w:val="0"/>
              </w:rPr>
              <w:t>)</w:t>
            </w:r>
          </w:p>
          <w:p w14:paraId="4C9FEB70" w14:textId="41BFBCAC" w:rsidR="00C22682" w:rsidRPr="00C608C5" w:rsidRDefault="00C22682" w:rsidP="00667BA7">
            <w:pPr>
              <w:pStyle w:val="Tabletext1"/>
              <w:rPr>
                <w:snapToGrid w:val="0"/>
                <w:highlight w:val="yellow"/>
              </w:rPr>
            </w:pPr>
            <w:r>
              <w:rPr>
                <w:snapToGrid w:val="0"/>
              </w:rPr>
              <w:t>Median 14</w:t>
            </w:r>
            <w:r w:rsidRPr="00CD039E">
              <w:rPr>
                <w:snapToGrid w:val="0"/>
              </w:rPr>
              <w:t>.</w:t>
            </w:r>
            <w:r>
              <w:rPr>
                <w:snapToGrid w:val="0"/>
              </w:rPr>
              <w:t>2</w:t>
            </w:r>
            <w:r w:rsidRPr="00CD039E">
              <w:rPr>
                <w:snapToGrid w:val="0"/>
              </w:rPr>
              <w:t xml:space="preserve"> (</w:t>
            </w:r>
            <w:r>
              <w:rPr>
                <w:snapToGrid w:val="0"/>
              </w:rPr>
              <w:t>3.3</w:t>
            </w:r>
            <w:r w:rsidR="00D35E9C">
              <w:rPr>
                <w:snapToGrid w:val="0"/>
              </w:rPr>
              <w:t>–</w:t>
            </w:r>
            <w:r w:rsidRPr="00CD039E">
              <w:rPr>
                <w:snapToGrid w:val="0"/>
              </w:rPr>
              <w:t>2</w:t>
            </w:r>
            <w:r>
              <w:rPr>
                <w:snapToGrid w:val="0"/>
              </w:rPr>
              <w:t>5</w:t>
            </w:r>
            <w:r w:rsidRPr="00CD039E">
              <w:rPr>
                <w:snapToGrid w:val="0"/>
              </w:rPr>
              <w:t>.</w:t>
            </w:r>
            <w:r>
              <w:rPr>
                <w:snapToGrid w:val="0"/>
              </w:rPr>
              <w:t>0</w:t>
            </w:r>
            <w:r w:rsidRPr="00CD039E">
              <w:rPr>
                <w:snapToGrid w:val="0"/>
              </w:rPr>
              <w:t>)</w:t>
            </w:r>
          </w:p>
        </w:tc>
        <w:tc>
          <w:tcPr>
            <w:tcW w:w="546" w:type="pct"/>
          </w:tcPr>
          <w:p w14:paraId="2E180F04" w14:textId="77777777" w:rsidR="00C22682" w:rsidRDefault="00C22682" w:rsidP="00667BA7">
            <w:pPr>
              <w:pStyle w:val="Tabletext1"/>
            </w:pPr>
            <w:r w:rsidRPr="00151759">
              <w:rPr>
                <w:snapToGrid w:val="0"/>
              </w:rPr>
              <w:t>18 studies</w:t>
            </w:r>
          </w:p>
        </w:tc>
        <w:tc>
          <w:tcPr>
            <w:tcW w:w="1169" w:type="pct"/>
          </w:tcPr>
          <w:p w14:paraId="6C04D26F" w14:textId="77777777" w:rsidR="00C22682" w:rsidRDefault="00434BBC" w:rsidP="00667BA7">
            <w:pPr>
              <w:pStyle w:val="Tabletext1"/>
              <w:rPr>
                <w:snapToGrid w:val="0"/>
              </w:rPr>
            </w:pPr>
            <w:r>
              <w:rPr>
                <w:snapToGrid w:val="0"/>
              </w:rPr>
              <w:t>Total 5/887 (0.6</w:t>
            </w:r>
            <w:r w:rsidR="00C22682">
              <w:rPr>
                <w:snapToGrid w:val="0"/>
              </w:rPr>
              <w:t>)</w:t>
            </w:r>
          </w:p>
          <w:p w14:paraId="1009DF31" w14:textId="255A9347" w:rsidR="00C22682" w:rsidRPr="004565C0" w:rsidRDefault="00434BBC" w:rsidP="00667BA7">
            <w:pPr>
              <w:pStyle w:val="Tabletext1"/>
              <w:rPr>
                <w:snapToGrid w:val="0"/>
              </w:rPr>
            </w:pPr>
            <w:r>
              <w:rPr>
                <w:snapToGrid w:val="0"/>
              </w:rPr>
              <w:t>Median 0.0 (0.0</w:t>
            </w:r>
            <w:r w:rsidR="00D35E9C">
              <w:rPr>
                <w:snapToGrid w:val="0"/>
              </w:rPr>
              <w:t>–</w:t>
            </w:r>
            <w:r>
              <w:rPr>
                <w:snapToGrid w:val="0"/>
              </w:rPr>
              <w:t>13.3</w:t>
            </w:r>
            <w:r w:rsidR="00C22682">
              <w:rPr>
                <w:snapToGrid w:val="0"/>
              </w:rPr>
              <w:t>)</w:t>
            </w:r>
          </w:p>
        </w:tc>
        <w:tc>
          <w:tcPr>
            <w:tcW w:w="616" w:type="pct"/>
          </w:tcPr>
          <w:p w14:paraId="65C41FCF" w14:textId="77777777" w:rsidR="00C22682" w:rsidRDefault="00041F9C" w:rsidP="00667BA7">
            <w:pPr>
              <w:pStyle w:val="Tabletext1"/>
            </w:pPr>
            <w:r>
              <w:rPr>
                <w:rFonts w:ascii="Cambria Math" w:hAnsi="Cambria Math"/>
                <w:color w:val="00B050"/>
              </w:rPr>
              <w:t>⨁</w:t>
            </w:r>
            <w:r w:rsidRPr="00D4733A">
              <w:rPr>
                <w:rFonts w:ascii="Cambria Math" w:hAnsi="Cambria Math" w:cs="Cambria Math"/>
                <w:color w:val="C00000"/>
              </w:rPr>
              <w:t>⨀⨀⨀</w:t>
            </w:r>
            <w:r w:rsidR="00BD06D5">
              <w:rPr>
                <w:rStyle w:val="quality-sign"/>
                <w:rFonts w:eastAsia="MS Mincho" w:cs="MS Mincho"/>
                <w:sz w:val="21"/>
                <w:szCs w:val="21"/>
              </w:rPr>
              <w:t xml:space="preserve"> VERY </w:t>
            </w:r>
            <w:r w:rsidR="00BD06D5" w:rsidRPr="007C6F8D">
              <w:rPr>
                <w:rStyle w:val="quality-sign"/>
                <w:rFonts w:eastAsia="MS Mincho" w:cs="MS Mincho"/>
                <w:sz w:val="21"/>
                <w:szCs w:val="21"/>
              </w:rPr>
              <w:t>LOW</w:t>
            </w:r>
          </w:p>
        </w:tc>
      </w:tr>
      <w:tr w:rsidR="00C22682" w:rsidRPr="004565C0" w14:paraId="21816439" w14:textId="77777777" w:rsidTr="00591171">
        <w:trPr>
          <w:trHeight w:val="64"/>
        </w:trPr>
        <w:tc>
          <w:tcPr>
            <w:tcW w:w="761" w:type="pct"/>
            <w:shd w:val="clear" w:color="auto" w:fill="auto"/>
          </w:tcPr>
          <w:p w14:paraId="51A3F809" w14:textId="5BEA39A0" w:rsidR="00C22682" w:rsidRPr="00C83213" w:rsidRDefault="00C22682" w:rsidP="007D2EAB">
            <w:pPr>
              <w:pStyle w:val="Tabletext1"/>
              <w:rPr>
                <w:snapToGrid w:val="0"/>
              </w:rPr>
            </w:pPr>
            <w:r>
              <w:rPr>
                <w:snapToGrid w:val="0"/>
              </w:rPr>
              <w:t>Oesophagitis</w:t>
            </w:r>
            <w:r w:rsidR="002C0986">
              <w:rPr>
                <w:snapToGrid w:val="0"/>
              </w:rPr>
              <w:t xml:space="preserve"> </w:t>
            </w:r>
            <w:r w:rsidR="007D2EAB" w:rsidRPr="007D2EAB">
              <w:rPr>
                <w:snapToGrid w:val="0"/>
                <w:vertAlign w:val="superscript"/>
              </w:rPr>
              <w:t>b</w:t>
            </w:r>
          </w:p>
        </w:tc>
        <w:tc>
          <w:tcPr>
            <w:tcW w:w="563" w:type="pct"/>
            <w:shd w:val="clear" w:color="auto" w:fill="auto"/>
          </w:tcPr>
          <w:p w14:paraId="1A6F4A70" w14:textId="77777777" w:rsidR="00C22682" w:rsidRPr="0069748F" w:rsidRDefault="00C22682" w:rsidP="00667BA7">
            <w:pPr>
              <w:pStyle w:val="Tabletext1"/>
              <w:rPr>
                <w:snapToGrid w:val="0"/>
              </w:rPr>
            </w:pPr>
            <w:r>
              <w:rPr>
                <w:snapToGrid w:val="0"/>
              </w:rPr>
              <w:t>5 studies</w:t>
            </w:r>
          </w:p>
        </w:tc>
        <w:tc>
          <w:tcPr>
            <w:tcW w:w="1345" w:type="pct"/>
            <w:shd w:val="clear" w:color="auto" w:fill="auto"/>
          </w:tcPr>
          <w:p w14:paraId="3A876402" w14:textId="77777777" w:rsidR="00C22682" w:rsidRPr="002779A7" w:rsidRDefault="00434BBC" w:rsidP="00667BA7">
            <w:pPr>
              <w:pStyle w:val="Tabletext1"/>
              <w:rPr>
                <w:snapToGrid w:val="0"/>
              </w:rPr>
            </w:pPr>
            <w:r>
              <w:rPr>
                <w:snapToGrid w:val="0"/>
              </w:rPr>
              <w:t>Total 10/230 (4.3</w:t>
            </w:r>
            <w:r w:rsidR="00C22682" w:rsidRPr="002779A7">
              <w:rPr>
                <w:snapToGrid w:val="0"/>
              </w:rPr>
              <w:t>)</w:t>
            </w:r>
          </w:p>
          <w:p w14:paraId="771478D7" w14:textId="4BCC4FF5" w:rsidR="00C22682" w:rsidRPr="00C608C5" w:rsidRDefault="00434BBC" w:rsidP="00667BA7">
            <w:pPr>
              <w:pStyle w:val="Tabletext1"/>
              <w:rPr>
                <w:snapToGrid w:val="0"/>
                <w:highlight w:val="yellow"/>
              </w:rPr>
            </w:pPr>
            <w:r>
              <w:rPr>
                <w:snapToGrid w:val="0"/>
              </w:rPr>
              <w:t>Median 4.5</w:t>
            </w:r>
            <w:r w:rsidR="00C22682" w:rsidRPr="002779A7">
              <w:rPr>
                <w:snapToGrid w:val="0"/>
              </w:rPr>
              <w:t xml:space="preserve"> (0.0</w:t>
            </w:r>
            <w:r w:rsidR="00D35E9C">
              <w:rPr>
                <w:snapToGrid w:val="0"/>
              </w:rPr>
              <w:t>–</w:t>
            </w:r>
            <w:r w:rsidR="00C22682">
              <w:rPr>
                <w:snapToGrid w:val="0"/>
              </w:rPr>
              <w:t>6</w:t>
            </w:r>
            <w:r w:rsidR="00C22682" w:rsidRPr="002779A7">
              <w:rPr>
                <w:snapToGrid w:val="0"/>
              </w:rPr>
              <w:t>.</w:t>
            </w:r>
            <w:r w:rsidR="00C22682">
              <w:rPr>
                <w:snapToGrid w:val="0"/>
              </w:rPr>
              <w:t>3</w:t>
            </w:r>
            <w:r w:rsidR="00C22682" w:rsidRPr="002779A7">
              <w:rPr>
                <w:snapToGrid w:val="0"/>
              </w:rPr>
              <w:t>)</w:t>
            </w:r>
          </w:p>
        </w:tc>
        <w:tc>
          <w:tcPr>
            <w:tcW w:w="546" w:type="pct"/>
          </w:tcPr>
          <w:p w14:paraId="676CC152" w14:textId="77777777" w:rsidR="00C22682" w:rsidRDefault="00C22682" w:rsidP="00667BA7">
            <w:pPr>
              <w:pStyle w:val="Tabletext1"/>
            </w:pPr>
            <w:r w:rsidRPr="00151759">
              <w:rPr>
                <w:snapToGrid w:val="0"/>
              </w:rPr>
              <w:t>18 studies</w:t>
            </w:r>
          </w:p>
        </w:tc>
        <w:tc>
          <w:tcPr>
            <w:tcW w:w="1169" w:type="pct"/>
          </w:tcPr>
          <w:p w14:paraId="5241524F" w14:textId="77777777" w:rsidR="00C22682" w:rsidRDefault="00434BBC" w:rsidP="00667BA7">
            <w:pPr>
              <w:pStyle w:val="Tabletext1"/>
              <w:rPr>
                <w:snapToGrid w:val="0"/>
              </w:rPr>
            </w:pPr>
            <w:r>
              <w:rPr>
                <w:snapToGrid w:val="0"/>
              </w:rPr>
              <w:t>Total 3/887 (0.3</w:t>
            </w:r>
            <w:r w:rsidR="00C22682">
              <w:rPr>
                <w:snapToGrid w:val="0"/>
              </w:rPr>
              <w:t>)</w:t>
            </w:r>
          </w:p>
          <w:p w14:paraId="2EFF93A4" w14:textId="24B86B35" w:rsidR="00C22682" w:rsidRPr="004565C0" w:rsidRDefault="00434BBC" w:rsidP="00667BA7">
            <w:pPr>
              <w:pStyle w:val="Tabletext1"/>
              <w:rPr>
                <w:snapToGrid w:val="0"/>
              </w:rPr>
            </w:pPr>
            <w:r>
              <w:rPr>
                <w:snapToGrid w:val="0"/>
              </w:rPr>
              <w:t>Median 0.0 (0.0</w:t>
            </w:r>
            <w:r w:rsidR="00D35E9C">
              <w:rPr>
                <w:snapToGrid w:val="0"/>
              </w:rPr>
              <w:t>–</w:t>
            </w:r>
            <w:r>
              <w:rPr>
                <w:snapToGrid w:val="0"/>
              </w:rPr>
              <w:t>2.7</w:t>
            </w:r>
            <w:r w:rsidR="00C22682">
              <w:rPr>
                <w:snapToGrid w:val="0"/>
              </w:rPr>
              <w:t>)</w:t>
            </w:r>
          </w:p>
        </w:tc>
        <w:tc>
          <w:tcPr>
            <w:tcW w:w="616" w:type="pct"/>
          </w:tcPr>
          <w:p w14:paraId="1DCFC67C" w14:textId="77777777" w:rsidR="00BD06D5" w:rsidRDefault="00041F9C" w:rsidP="00667BA7">
            <w:pPr>
              <w:pStyle w:val="Tabletext1"/>
              <w:rPr>
                <w:rStyle w:val="quality-sign"/>
                <w:rFonts w:ascii="MS Mincho" w:eastAsia="MS Mincho" w:hAnsi="MS Mincho" w:cs="MS Mincho"/>
                <w:sz w:val="21"/>
                <w:szCs w:val="21"/>
              </w:rPr>
            </w:pPr>
            <w:r>
              <w:rPr>
                <w:rFonts w:ascii="Cambria Math" w:hAnsi="Cambria Math"/>
                <w:color w:val="00B050"/>
              </w:rPr>
              <w:t>⨁</w:t>
            </w:r>
            <w:r w:rsidRPr="00D4733A">
              <w:rPr>
                <w:rFonts w:ascii="Cambria Math" w:hAnsi="Cambria Math" w:cs="Cambria Math"/>
                <w:color w:val="C00000"/>
              </w:rPr>
              <w:t>⨀⨀⨀</w:t>
            </w:r>
          </w:p>
          <w:p w14:paraId="46FE3699" w14:textId="77777777" w:rsidR="00C22682" w:rsidRDefault="00BD06D5" w:rsidP="00667BA7">
            <w:pPr>
              <w:pStyle w:val="Tabletext1"/>
            </w:pPr>
            <w:r>
              <w:rPr>
                <w:rStyle w:val="quality-sign"/>
                <w:rFonts w:eastAsia="MS Mincho" w:cs="MS Mincho"/>
                <w:sz w:val="21"/>
                <w:szCs w:val="21"/>
              </w:rPr>
              <w:t xml:space="preserve"> VERY </w:t>
            </w:r>
            <w:r w:rsidRPr="007C6F8D">
              <w:rPr>
                <w:rStyle w:val="quality-sign"/>
                <w:rFonts w:eastAsia="MS Mincho" w:cs="MS Mincho"/>
                <w:sz w:val="21"/>
                <w:szCs w:val="21"/>
              </w:rPr>
              <w:t>LOW</w:t>
            </w:r>
          </w:p>
        </w:tc>
      </w:tr>
      <w:tr w:rsidR="00C22682" w:rsidRPr="004565C0" w14:paraId="1480F2F6" w14:textId="77777777" w:rsidTr="00591171">
        <w:tc>
          <w:tcPr>
            <w:tcW w:w="761" w:type="pct"/>
            <w:shd w:val="clear" w:color="auto" w:fill="auto"/>
          </w:tcPr>
          <w:p w14:paraId="7BEEB3F9" w14:textId="77777777" w:rsidR="00C22682" w:rsidRPr="00C83213" w:rsidRDefault="00C22682" w:rsidP="00667BA7">
            <w:pPr>
              <w:pStyle w:val="Tabletext1"/>
              <w:rPr>
                <w:snapToGrid w:val="0"/>
              </w:rPr>
            </w:pPr>
            <w:r>
              <w:rPr>
                <w:snapToGrid w:val="0"/>
              </w:rPr>
              <w:t>Pericardial effusion</w:t>
            </w:r>
          </w:p>
        </w:tc>
        <w:tc>
          <w:tcPr>
            <w:tcW w:w="563" w:type="pct"/>
            <w:shd w:val="clear" w:color="auto" w:fill="auto"/>
          </w:tcPr>
          <w:p w14:paraId="0F7B4C6C" w14:textId="77777777" w:rsidR="00C22682" w:rsidRPr="0069748F" w:rsidRDefault="00C22682" w:rsidP="00667BA7">
            <w:pPr>
              <w:pStyle w:val="Tabletext1"/>
              <w:rPr>
                <w:snapToGrid w:val="0"/>
              </w:rPr>
            </w:pPr>
            <w:r>
              <w:rPr>
                <w:snapToGrid w:val="0"/>
              </w:rPr>
              <w:t>3 studies</w:t>
            </w:r>
          </w:p>
        </w:tc>
        <w:tc>
          <w:tcPr>
            <w:tcW w:w="1345" w:type="pct"/>
            <w:shd w:val="clear" w:color="auto" w:fill="auto"/>
          </w:tcPr>
          <w:p w14:paraId="082F938B" w14:textId="77777777" w:rsidR="00C22682" w:rsidRPr="00013E16" w:rsidRDefault="00434BBC" w:rsidP="00667BA7">
            <w:pPr>
              <w:pStyle w:val="Tabletext1"/>
              <w:rPr>
                <w:snapToGrid w:val="0"/>
              </w:rPr>
            </w:pPr>
            <w:r>
              <w:rPr>
                <w:snapToGrid w:val="0"/>
              </w:rPr>
              <w:t>Total 3/92 (3.3</w:t>
            </w:r>
            <w:r w:rsidR="00C22682" w:rsidRPr="00013E16">
              <w:rPr>
                <w:snapToGrid w:val="0"/>
              </w:rPr>
              <w:t>)</w:t>
            </w:r>
          </w:p>
          <w:p w14:paraId="243BF9D7" w14:textId="574EFA9E" w:rsidR="00C22682" w:rsidRPr="00C608C5" w:rsidRDefault="00434BBC" w:rsidP="00667BA7">
            <w:pPr>
              <w:pStyle w:val="Tabletext1"/>
              <w:rPr>
                <w:snapToGrid w:val="0"/>
                <w:highlight w:val="yellow"/>
              </w:rPr>
            </w:pPr>
            <w:r>
              <w:rPr>
                <w:snapToGrid w:val="0"/>
              </w:rPr>
              <w:t>Median 3.2 (0.0</w:t>
            </w:r>
            <w:r w:rsidR="00D35E9C">
              <w:rPr>
                <w:snapToGrid w:val="0"/>
              </w:rPr>
              <w:t>–</w:t>
            </w:r>
            <w:r>
              <w:rPr>
                <w:snapToGrid w:val="0"/>
              </w:rPr>
              <w:t>5.9</w:t>
            </w:r>
            <w:r w:rsidR="00C22682" w:rsidRPr="00013E16">
              <w:rPr>
                <w:snapToGrid w:val="0"/>
              </w:rPr>
              <w:t>)</w:t>
            </w:r>
          </w:p>
        </w:tc>
        <w:tc>
          <w:tcPr>
            <w:tcW w:w="546" w:type="pct"/>
          </w:tcPr>
          <w:p w14:paraId="2BEC6561" w14:textId="77777777" w:rsidR="00C22682" w:rsidRDefault="00C22682" w:rsidP="00667BA7">
            <w:pPr>
              <w:pStyle w:val="Tabletext1"/>
            </w:pPr>
            <w:r w:rsidRPr="00151759">
              <w:rPr>
                <w:snapToGrid w:val="0"/>
              </w:rPr>
              <w:t>18 studies</w:t>
            </w:r>
          </w:p>
        </w:tc>
        <w:tc>
          <w:tcPr>
            <w:tcW w:w="1169" w:type="pct"/>
          </w:tcPr>
          <w:p w14:paraId="26F9FD87" w14:textId="77777777" w:rsidR="00C22682" w:rsidRDefault="00434BBC" w:rsidP="00667BA7">
            <w:pPr>
              <w:pStyle w:val="Tabletext1"/>
              <w:rPr>
                <w:snapToGrid w:val="0"/>
              </w:rPr>
            </w:pPr>
            <w:r>
              <w:rPr>
                <w:snapToGrid w:val="0"/>
              </w:rPr>
              <w:t>Total 0/887 (0.0</w:t>
            </w:r>
            <w:r w:rsidR="00C22682">
              <w:rPr>
                <w:snapToGrid w:val="0"/>
              </w:rPr>
              <w:t>)</w:t>
            </w:r>
          </w:p>
          <w:p w14:paraId="5F7FDBDD" w14:textId="77777777" w:rsidR="00C22682" w:rsidRPr="004565C0" w:rsidRDefault="00C22682" w:rsidP="00667BA7">
            <w:pPr>
              <w:pStyle w:val="Tabletext1"/>
              <w:rPr>
                <w:snapToGrid w:val="0"/>
              </w:rPr>
            </w:pPr>
            <w:r>
              <w:rPr>
                <w:snapToGrid w:val="0"/>
              </w:rPr>
              <w:t>Median NA</w:t>
            </w:r>
          </w:p>
        </w:tc>
        <w:tc>
          <w:tcPr>
            <w:tcW w:w="616" w:type="pct"/>
          </w:tcPr>
          <w:p w14:paraId="4722937D" w14:textId="77777777" w:rsidR="00C22682" w:rsidRPr="002A1D60" w:rsidRDefault="00041F9C" w:rsidP="00667BA7">
            <w:pPr>
              <w:pStyle w:val="Tabletext1"/>
              <w:rPr>
                <w:rStyle w:val="quality-sign"/>
                <w:rFonts w:ascii="MS Mincho" w:eastAsia="MS Mincho" w:hAnsi="MS Mincho" w:cs="MS Mincho"/>
                <w:b/>
                <w:sz w:val="21"/>
                <w:szCs w:val="21"/>
              </w:rPr>
            </w:pPr>
            <w:r>
              <w:rPr>
                <w:rFonts w:ascii="Cambria Math" w:hAnsi="Cambria Math"/>
                <w:color w:val="00B050"/>
              </w:rPr>
              <w:t>⨁</w:t>
            </w:r>
            <w:r w:rsidRPr="00D4733A">
              <w:rPr>
                <w:rFonts w:ascii="Cambria Math" w:hAnsi="Cambria Math" w:cs="Cambria Math"/>
                <w:color w:val="C00000"/>
              </w:rPr>
              <w:t>⨀⨀⨀</w:t>
            </w:r>
            <w:r w:rsidR="00BD06D5">
              <w:rPr>
                <w:rStyle w:val="quality-sign"/>
                <w:rFonts w:eastAsia="MS Mincho" w:cs="MS Mincho"/>
                <w:sz w:val="21"/>
                <w:szCs w:val="21"/>
              </w:rPr>
              <w:t xml:space="preserve"> VERY </w:t>
            </w:r>
            <w:r w:rsidR="00BD06D5" w:rsidRPr="007C6F8D">
              <w:rPr>
                <w:rStyle w:val="quality-sign"/>
                <w:rFonts w:eastAsia="MS Mincho" w:cs="MS Mincho"/>
                <w:sz w:val="21"/>
                <w:szCs w:val="21"/>
              </w:rPr>
              <w:t>LOW</w:t>
            </w:r>
          </w:p>
        </w:tc>
      </w:tr>
      <w:tr w:rsidR="00C22682" w:rsidRPr="004565C0" w14:paraId="2F2874FA" w14:textId="77777777" w:rsidTr="00591171">
        <w:trPr>
          <w:trHeight w:val="64"/>
        </w:trPr>
        <w:tc>
          <w:tcPr>
            <w:tcW w:w="761" w:type="pct"/>
            <w:shd w:val="clear" w:color="auto" w:fill="auto"/>
          </w:tcPr>
          <w:p w14:paraId="31F584F6" w14:textId="0E5E8C35" w:rsidR="00C22682" w:rsidRDefault="00C22682" w:rsidP="007D2EAB">
            <w:pPr>
              <w:pStyle w:val="Tabletext1"/>
              <w:rPr>
                <w:snapToGrid w:val="0"/>
              </w:rPr>
            </w:pPr>
            <w:r>
              <w:rPr>
                <w:snapToGrid w:val="0"/>
              </w:rPr>
              <w:t>Pain</w:t>
            </w:r>
            <w:r w:rsidR="002C0986">
              <w:rPr>
                <w:snapToGrid w:val="0"/>
              </w:rPr>
              <w:t xml:space="preserve"> </w:t>
            </w:r>
            <w:r w:rsidR="007D2EAB" w:rsidRPr="007D2EAB">
              <w:rPr>
                <w:snapToGrid w:val="0"/>
                <w:vertAlign w:val="superscript"/>
              </w:rPr>
              <w:t>c</w:t>
            </w:r>
          </w:p>
        </w:tc>
        <w:tc>
          <w:tcPr>
            <w:tcW w:w="563" w:type="pct"/>
            <w:shd w:val="clear" w:color="auto" w:fill="auto"/>
          </w:tcPr>
          <w:p w14:paraId="32FA90AF" w14:textId="77777777" w:rsidR="00C22682" w:rsidRPr="0069748F" w:rsidRDefault="00C22682" w:rsidP="00667BA7">
            <w:pPr>
              <w:pStyle w:val="Tabletext1"/>
              <w:rPr>
                <w:snapToGrid w:val="0"/>
              </w:rPr>
            </w:pPr>
            <w:r>
              <w:rPr>
                <w:snapToGrid w:val="0"/>
              </w:rPr>
              <w:t>4 studies</w:t>
            </w:r>
          </w:p>
        </w:tc>
        <w:tc>
          <w:tcPr>
            <w:tcW w:w="1345" w:type="pct"/>
            <w:shd w:val="clear" w:color="auto" w:fill="auto"/>
          </w:tcPr>
          <w:p w14:paraId="518D4FB5" w14:textId="77777777" w:rsidR="00C22682" w:rsidRPr="00D03D19" w:rsidRDefault="00434BBC" w:rsidP="00667BA7">
            <w:pPr>
              <w:pStyle w:val="Tabletext1"/>
              <w:rPr>
                <w:snapToGrid w:val="0"/>
              </w:rPr>
            </w:pPr>
            <w:r>
              <w:rPr>
                <w:snapToGrid w:val="0"/>
              </w:rPr>
              <w:t>Total 12/118 (10.2</w:t>
            </w:r>
            <w:r w:rsidR="00C22682" w:rsidRPr="00D03D19">
              <w:rPr>
                <w:snapToGrid w:val="0"/>
              </w:rPr>
              <w:t>)</w:t>
            </w:r>
          </w:p>
          <w:p w14:paraId="3537AD31" w14:textId="43D9D7C4" w:rsidR="00C22682" w:rsidRPr="00C608C5" w:rsidRDefault="00434BBC" w:rsidP="00667BA7">
            <w:pPr>
              <w:pStyle w:val="Tabletext1"/>
              <w:rPr>
                <w:snapToGrid w:val="0"/>
                <w:highlight w:val="yellow"/>
              </w:rPr>
            </w:pPr>
            <w:r>
              <w:rPr>
                <w:snapToGrid w:val="0"/>
              </w:rPr>
              <w:t>Median 9.2 (3.3</w:t>
            </w:r>
            <w:r w:rsidR="00D35E9C">
              <w:rPr>
                <w:snapToGrid w:val="0"/>
              </w:rPr>
              <w:t>–</w:t>
            </w:r>
            <w:r>
              <w:rPr>
                <w:snapToGrid w:val="0"/>
              </w:rPr>
              <w:t>17.6</w:t>
            </w:r>
            <w:r w:rsidR="00C22682" w:rsidRPr="00D03D19">
              <w:rPr>
                <w:snapToGrid w:val="0"/>
              </w:rPr>
              <w:t>)</w:t>
            </w:r>
          </w:p>
        </w:tc>
        <w:tc>
          <w:tcPr>
            <w:tcW w:w="546" w:type="pct"/>
          </w:tcPr>
          <w:p w14:paraId="33FC13DB" w14:textId="77777777" w:rsidR="00C22682" w:rsidRDefault="00C22682" w:rsidP="00667BA7">
            <w:pPr>
              <w:pStyle w:val="Tabletext1"/>
            </w:pPr>
            <w:r w:rsidRPr="00151759">
              <w:rPr>
                <w:snapToGrid w:val="0"/>
              </w:rPr>
              <w:t>18 studies</w:t>
            </w:r>
          </w:p>
        </w:tc>
        <w:tc>
          <w:tcPr>
            <w:tcW w:w="1169" w:type="pct"/>
          </w:tcPr>
          <w:p w14:paraId="68929757" w14:textId="77777777" w:rsidR="00C22682" w:rsidRDefault="00434BBC" w:rsidP="00667BA7">
            <w:pPr>
              <w:pStyle w:val="Tabletext1"/>
              <w:rPr>
                <w:snapToGrid w:val="0"/>
              </w:rPr>
            </w:pPr>
            <w:r>
              <w:rPr>
                <w:snapToGrid w:val="0"/>
              </w:rPr>
              <w:t>Total 2/887 (0.2</w:t>
            </w:r>
            <w:r w:rsidR="00C22682">
              <w:rPr>
                <w:snapToGrid w:val="0"/>
              </w:rPr>
              <w:t>)</w:t>
            </w:r>
          </w:p>
          <w:p w14:paraId="5AC4DC31" w14:textId="3F134D84" w:rsidR="00C22682" w:rsidRPr="004565C0" w:rsidRDefault="00434BBC" w:rsidP="00667BA7">
            <w:pPr>
              <w:pStyle w:val="Tabletext1"/>
              <w:rPr>
                <w:snapToGrid w:val="0"/>
              </w:rPr>
            </w:pPr>
            <w:r>
              <w:rPr>
                <w:snapToGrid w:val="0"/>
              </w:rPr>
              <w:t>Median 0.0 (0.0</w:t>
            </w:r>
            <w:r w:rsidR="00D35E9C">
              <w:rPr>
                <w:snapToGrid w:val="0"/>
              </w:rPr>
              <w:t>–</w:t>
            </w:r>
            <w:r>
              <w:rPr>
                <w:snapToGrid w:val="0"/>
              </w:rPr>
              <w:t>6.7</w:t>
            </w:r>
            <w:r w:rsidR="00C22682">
              <w:rPr>
                <w:snapToGrid w:val="0"/>
              </w:rPr>
              <w:t>)</w:t>
            </w:r>
          </w:p>
        </w:tc>
        <w:tc>
          <w:tcPr>
            <w:tcW w:w="616" w:type="pct"/>
          </w:tcPr>
          <w:p w14:paraId="4D4019BE" w14:textId="77777777" w:rsidR="00C22682" w:rsidRDefault="00041F9C" w:rsidP="00667BA7">
            <w:pPr>
              <w:pStyle w:val="Tabletext1"/>
            </w:pPr>
            <w:r>
              <w:rPr>
                <w:rFonts w:ascii="Cambria Math" w:hAnsi="Cambria Math"/>
                <w:color w:val="00B050"/>
              </w:rPr>
              <w:t>⨁</w:t>
            </w:r>
            <w:r w:rsidRPr="00D4733A">
              <w:rPr>
                <w:rFonts w:ascii="Cambria Math" w:hAnsi="Cambria Math" w:cs="Cambria Math"/>
                <w:color w:val="C00000"/>
              </w:rPr>
              <w:t>⨀⨀⨀</w:t>
            </w:r>
            <w:r w:rsidR="00BD06D5">
              <w:rPr>
                <w:rStyle w:val="quality-sign"/>
                <w:rFonts w:eastAsia="MS Mincho" w:cs="MS Mincho"/>
                <w:sz w:val="21"/>
                <w:szCs w:val="21"/>
              </w:rPr>
              <w:t xml:space="preserve"> VERY </w:t>
            </w:r>
            <w:r w:rsidR="00BD06D5" w:rsidRPr="007C6F8D">
              <w:rPr>
                <w:rStyle w:val="quality-sign"/>
                <w:rFonts w:eastAsia="MS Mincho" w:cs="MS Mincho"/>
                <w:sz w:val="21"/>
                <w:szCs w:val="21"/>
              </w:rPr>
              <w:t>LOW</w:t>
            </w:r>
          </w:p>
        </w:tc>
      </w:tr>
      <w:tr w:rsidR="00C22682" w:rsidRPr="004565C0" w14:paraId="47040AC8" w14:textId="77777777" w:rsidTr="00591171">
        <w:tc>
          <w:tcPr>
            <w:tcW w:w="761" w:type="pct"/>
            <w:shd w:val="clear" w:color="auto" w:fill="auto"/>
          </w:tcPr>
          <w:p w14:paraId="3E1C6453" w14:textId="09E08B65" w:rsidR="00C22682" w:rsidRDefault="00C22682" w:rsidP="007D2EAB">
            <w:pPr>
              <w:pStyle w:val="Tabletext1"/>
              <w:rPr>
                <w:snapToGrid w:val="0"/>
              </w:rPr>
            </w:pPr>
            <w:r>
              <w:rPr>
                <w:snapToGrid w:val="0"/>
              </w:rPr>
              <w:t>Rib facture</w:t>
            </w:r>
            <w:r w:rsidR="002C0986">
              <w:rPr>
                <w:snapToGrid w:val="0"/>
              </w:rPr>
              <w:t xml:space="preserve"> </w:t>
            </w:r>
            <w:r w:rsidR="007D2EAB" w:rsidRPr="007D2EAB">
              <w:rPr>
                <w:snapToGrid w:val="0"/>
                <w:vertAlign w:val="superscript"/>
              </w:rPr>
              <w:t>d</w:t>
            </w:r>
          </w:p>
        </w:tc>
        <w:tc>
          <w:tcPr>
            <w:tcW w:w="563" w:type="pct"/>
            <w:shd w:val="clear" w:color="auto" w:fill="auto"/>
          </w:tcPr>
          <w:p w14:paraId="6241A542" w14:textId="77777777" w:rsidR="00C22682" w:rsidRPr="009571EF" w:rsidRDefault="00C22682" w:rsidP="00667BA7">
            <w:pPr>
              <w:pStyle w:val="Tabletext1"/>
              <w:rPr>
                <w:snapToGrid w:val="0"/>
              </w:rPr>
            </w:pPr>
            <w:r w:rsidRPr="009571EF">
              <w:rPr>
                <w:snapToGrid w:val="0"/>
              </w:rPr>
              <w:t>5 studies</w:t>
            </w:r>
          </w:p>
        </w:tc>
        <w:tc>
          <w:tcPr>
            <w:tcW w:w="1345" w:type="pct"/>
            <w:shd w:val="clear" w:color="auto" w:fill="auto"/>
          </w:tcPr>
          <w:p w14:paraId="0B6DBE67" w14:textId="77777777" w:rsidR="00C22682" w:rsidRPr="009571EF" w:rsidRDefault="00C22682" w:rsidP="00667BA7">
            <w:pPr>
              <w:pStyle w:val="Tabletext1"/>
              <w:rPr>
                <w:snapToGrid w:val="0"/>
              </w:rPr>
            </w:pPr>
            <w:r>
              <w:rPr>
                <w:snapToGrid w:val="0"/>
              </w:rPr>
              <w:t>Total 14</w:t>
            </w:r>
            <w:r w:rsidRPr="009571EF">
              <w:rPr>
                <w:snapToGrid w:val="0"/>
              </w:rPr>
              <w:t>/225 (6</w:t>
            </w:r>
            <w:r>
              <w:rPr>
                <w:snapToGrid w:val="0"/>
              </w:rPr>
              <w:t>.2</w:t>
            </w:r>
            <w:r w:rsidRPr="009571EF">
              <w:rPr>
                <w:snapToGrid w:val="0"/>
              </w:rPr>
              <w:t>)</w:t>
            </w:r>
          </w:p>
          <w:p w14:paraId="0C2E3EB4" w14:textId="05D83BD6" w:rsidR="00C22682" w:rsidRPr="009571EF" w:rsidRDefault="00434BBC" w:rsidP="00667BA7">
            <w:pPr>
              <w:pStyle w:val="Tabletext1"/>
              <w:rPr>
                <w:snapToGrid w:val="0"/>
              </w:rPr>
            </w:pPr>
            <w:r>
              <w:rPr>
                <w:snapToGrid w:val="0"/>
              </w:rPr>
              <w:t>Median 2.9 (0.0</w:t>
            </w:r>
            <w:r w:rsidR="00D35E9C">
              <w:rPr>
                <w:snapToGrid w:val="0"/>
              </w:rPr>
              <w:t>–</w:t>
            </w:r>
            <w:r>
              <w:rPr>
                <w:snapToGrid w:val="0"/>
              </w:rPr>
              <w:t>12.5</w:t>
            </w:r>
            <w:r w:rsidR="00C22682" w:rsidRPr="009571EF">
              <w:rPr>
                <w:snapToGrid w:val="0"/>
              </w:rPr>
              <w:t>)</w:t>
            </w:r>
          </w:p>
        </w:tc>
        <w:tc>
          <w:tcPr>
            <w:tcW w:w="546" w:type="pct"/>
          </w:tcPr>
          <w:p w14:paraId="6528253A" w14:textId="77777777" w:rsidR="00C22682" w:rsidRDefault="00C22682" w:rsidP="00667BA7">
            <w:pPr>
              <w:pStyle w:val="Tabletext1"/>
            </w:pPr>
            <w:r w:rsidRPr="00151759">
              <w:rPr>
                <w:snapToGrid w:val="0"/>
              </w:rPr>
              <w:t>18 studies</w:t>
            </w:r>
          </w:p>
        </w:tc>
        <w:tc>
          <w:tcPr>
            <w:tcW w:w="1169" w:type="pct"/>
          </w:tcPr>
          <w:p w14:paraId="502917DB" w14:textId="77777777" w:rsidR="00C22682" w:rsidRDefault="00434BBC" w:rsidP="00667BA7">
            <w:pPr>
              <w:pStyle w:val="Tabletext1"/>
              <w:rPr>
                <w:snapToGrid w:val="0"/>
              </w:rPr>
            </w:pPr>
            <w:r>
              <w:rPr>
                <w:snapToGrid w:val="0"/>
              </w:rPr>
              <w:t>Total 1/887 (0.1</w:t>
            </w:r>
            <w:r w:rsidR="00C22682">
              <w:rPr>
                <w:snapToGrid w:val="0"/>
              </w:rPr>
              <w:t>)</w:t>
            </w:r>
          </w:p>
          <w:p w14:paraId="53851B14" w14:textId="77777777" w:rsidR="00C22682" w:rsidRPr="004565C0" w:rsidRDefault="00C22682" w:rsidP="00667BA7">
            <w:pPr>
              <w:pStyle w:val="Tabletext1"/>
              <w:rPr>
                <w:snapToGrid w:val="0"/>
              </w:rPr>
            </w:pPr>
            <w:r>
              <w:rPr>
                <w:snapToGrid w:val="0"/>
              </w:rPr>
              <w:t>Median NA</w:t>
            </w:r>
          </w:p>
        </w:tc>
        <w:tc>
          <w:tcPr>
            <w:tcW w:w="616" w:type="pct"/>
          </w:tcPr>
          <w:p w14:paraId="346CA509" w14:textId="77777777" w:rsidR="00C22682" w:rsidRDefault="00041F9C" w:rsidP="00667BA7">
            <w:pPr>
              <w:pStyle w:val="Tabletext1"/>
            </w:pPr>
            <w:r>
              <w:rPr>
                <w:rFonts w:ascii="Cambria Math" w:hAnsi="Cambria Math"/>
                <w:color w:val="00B050"/>
              </w:rPr>
              <w:t>⨁</w:t>
            </w:r>
            <w:r w:rsidRPr="00D4733A">
              <w:rPr>
                <w:rFonts w:ascii="Cambria Math" w:hAnsi="Cambria Math" w:cs="Cambria Math"/>
                <w:color w:val="C00000"/>
              </w:rPr>
              <w:t>⨀⨀⨀</w:t>
            </w:r>
            <w:r w:rsidR="00BD06D5">
              <w:rPr>
                <w:rStyle w:val="quality-sign"/>
                <w:rFonts w:eastAsia="MS Mincho" w:cs="MS Mincho"/>
                <w:sz w:val="21"/>
                <w:szCs w:val="21"/>
              </w:rPr>
              <w:t xml:space="preserve"> VERY </w:t>
            </w:r>
            <w:r w:rsidR="00BD06D5" w:rsidRPr="007C6F8D">
              <w:rPr>
                <w:rStyle w:val="quality-sign"/>
                <w:rFonts w:eastAsia="MS Mincho" w:cs="MS Mincho"/>
                <w:sz w:val="21"/>
                <w:szCs w:val="21"/>
              </w:rPr>
              <w:t>LOW</w:t>
            </w:r>
          </w:p>
        </w:tc>
      </w:tr>
      <w:tr w:rsidR="00C22682" w:rsidRPr="004565C0" w14:paraId="7E3F93B1" w14:textId="77777777" w:rsidTr="00591171">
        <w:tc>
          <w:tcPr>
            <w:tcW w:w="761" w:type="pct"/>
            <w:shd w:val="clear" w:color="auto" w:fill="auto"/>
          </w:tcPr>
          <w:p w14:paraId="011E838F" w14:textId="554FE83A" w:rsidR="00C22682" w:rsidRDefault="00C22682" w:rsidP="00667BA7">
            <w:pPr>
              <w:pStyle w:val="Tabletext1"/>
              <w:rPr>
                <w:snapToGrid w:val="0"/>
              </w:rPr>
            </w:pPr>
            <w:r>
              <w:rPr>
                <w:snapToGrid w:val="0"/>
              </w:rPr>
              <w:t>Rash</w:t>
            </w:r>
            <w:r w:rsidR="002C0986">
              <w:rPr>
                <w:snapToGrid w:val="0"/>
              </w:rPr>
              <w:t xml:space="preserve"> </w:t>
            </w:r>
            <w:r w:rsidR="007D2EAB" w:rsidRPr="007D2EAB">
              <w:rPr>
                <w:snapToGrid w:val="0"/>
                <w:vertAlign w:val="superscript"/>
              </w:rPr>
              <w:t>e</w:t>
            </w:r>
          </w:p>
        </w:tc>
        <w:tc>
          <w:tcPr>
            <w:tcW w:w="563" w:type="pct"/>
            <w:shd w:val="clear" w:color="auto" w:fill="auto"/>
          </w:tcPr>
          <w:p w14:paraId="0AA9C3D1" w14:textId="77777777" w:rsidR="00C22682" w:rsidRPr="0069748F" w:rsidRDefault="00C22682" w:rsidP="00667BA7">
            <w:pPr>
              <w:pStyle w:val="Tabletext1"/>
              <w:rPr>
                <w:snapToGrid w:val="0"/>
              </w:rPr>
            </w:pPr>
            <w:r>
              <w:rPr>
                <w:snapToGrid w:val="0"/>
              </w:rPr>
              <w:t>5 studies</w:t>
            </w:r>
          </w:p>
        </w:tc>
        <w:tc>
          <w:tcPr>
            <w:tcW w:w="1345" w:type="pct"/>
            <w:shd w:val="clear" w:color="auto" w:fill="auto"/>
          </w:tcPr>
          <w:p w14:paraId="2DC9EB9D" w14:textId="77777777" w:rsidR="00C22682" w:rsidRPr="00743F51" w:rsidRDefault="00434BBC" w:rsidP="00667BA7">
            <w:pPr>
              <w:pStyle w:val="Tabletext1"/>
              <w:rPr>
                <w:snapToGrid w:val="0"/>
              </w:rPr>
            </w:pPr>
            <w:r>
              <w:rPr>
                <w:snapToGrid w:val="0"/>
              </w:rPr>
              <w:t>Total 23/157 (14.6</w:t>
            </w:r>
            <w:r w:rsidR="00C22682" w:rsidRPr="00743F51">
              <w:rPr>
                <w:snapToGrid w:val="0"/>
              </w:rPr>
              <w:t>)</w:t>
            </w:r>
          </w:p>
          <w:p w14:paraId="3660BE57" w14:textId="60A6C619" w:rsidR="00C22682" w:rsidRPr="00C608C5" w:rsidRDefault="00434BBC" w:rsidP="00667BA7">
            <w:pPr>
              <w:pStyle w:val="Tabletext1"/>
              <w:rPr>
                <w:snapToGrid w:val="0"/>
                <w:highlight w:val="yellow"/>
              </w:rPr>
            </w:pPr>
            <w:r>
              <w:rPr>
                <w:snapToGrid w:val="0"/>
              </w:rPr>
              <w:t>Median 20.6 (0.0</w:t>
            </w:r>
            <w:r w:rsidR="00D35E9C">
              <w:rPr>
                <w:snapToGrid w:val="0"/>
              </w:rPr>
              <w:t>–</w:t>
            </w:r>
            <w:r>
              <w:rPr>
                <w:snapToGrid w:val="0"/>
              </w:rPr>
              <w:t>30.0</w:t>
            </w:r>
            <w:r w:rsidR="00C22682" w:rsidRPr="00743F51">
              <w:rPr>
                <w:snapToGrid w:val="0"/>
              </w:rPr>
              <w:t>)</w:t>
            </w:r>
          </w:p>
        </w:tc>
        <w:tc>
          <w:tcPr>
            <w:tcW w:w="546" w:type="pct"/>
          </w:tcPr>
          <w:p w14:paraId="3872D8B3" w14:textId="77777777" w:rsidR="00C22682" w:rsidRDefault="00C22682" w:rsidP="00667BA7">
            <w:pPr>
              <w:pStyle w:val="Tabletext1"/>
            </w:pPr>
            <w:r w:rsidRPr="00151759">
              <w:rPr>
                <w:snapToGrid w:val="0"/>
              </w:rPr>
              <w:t>18 studies</w:t>
            </w:r>
          </w:p>
        </w:tc>
        <w:tc>
          <w:tcPr>
            <w:tcW w:w="1169" w:type="pct"/>
          </w:tcPr>
          <w:p w14:paraId="28F018F4" w14:textId="77777777" w:rsidR="00C22682" w:rsidRPr="00FC5070" w:rsidRDefault="00434BBC" w:rsidP="00667BA7">
            <w:pPr>
              <w:pStyle w:val="Tabletext1"/>
              <w:rPr>
                <w:snapToGrid w:val="0"/>
              </w:rPr>
            </w:pPr>
            <w:r>
              <w:rPr>
                <w:snapToGrid w:val="0"/>
              </w:rPr>
              <w:t>Total 0/887 (0.0</w:t>
            </w:r>
            <w:r w:rsidR="00C22682" w:rsidRPr="00FC5070">
              <w:rPr>
                <w:snapToGrid w:val="0"/>
              </w:rPr>
              <w:t>)</w:t>
            </w:r>
          </w:p>
          <w:p w14:paraId="1DFA1EE3" w14:textId="77777777" w:rsidR="00C22682" w:rsidRPr="00FC5070" w:rsidRDefault="00C22682" w:rsidP="00667BA7">
            <w:pPr>
              <w:pStyle w:val="Tabletext1"/>
              <w:rPr>
                <w:snapToGrid w:val="0"/>
              </w:rPr>
            </w:pPr>
            <w:r w:rsidRPr="00FC5070">
              <w:rPr>
                <w:snapToGrid w:val="0"/>
              </w:rPr>
              <w:t>Median NA</w:t>
            </w:r>
          </w:p>
        </w:tc>
        <w:tc>
          <w:tcPr>
            <w:tcW w:w="616" w:type="pct"/>
          </w:tcPr>
          <w:p w14:paraId="1F7FA091" w14:textId="77777777" w:rsidR="00C22682" w:rsidRPr="0069748F" w:rsidRDefault="00041F9C" w:rsidP="00667BA7">
            <w:pPr>
              <w:pStyle w:val="Tabletext1"/>
              <w:rPr>
                <w:snapToGrid w:val="0"/>
              </w:rPr>
            </w:pPr>
            <w:r>
              <w:rPr>
                <w:rFonts w:ascii="Cambria Math" w:hAnsi="Cambria Math"/>
                <w:color w:val="00B050"/>
              </w:rPr>
              <w:t>⨁</w:t>
            </w:r>
            <w:r w:rsidRPr="00D4733A">
              <w:rPr>
                <w:rFonts w:ascii="Cambria Math" w:hAnsi="Cambria Math" w:cs="Cambria Math"/>
                <w:color w:val="C00000"/>
              </w:rPr>
              <w:t>⨀⨀⨀</w:t>
            </w:r>
            <w:r w:rsidR="00BD06D5">
              <w:rPr>
                <w:rStyle w:val="quality-sign"/>
                <w:rFonts w:eastAsia="MS Mincho" w:cs="MS Mincho"/>
                <w:sz w:val="21"/>
                <w:szCs w:val="21"/>
              </w:rPr>
              <w:t xml:space="preserve"> VERY </w:t>
            </w:r>
            <w:r w:rsidR="00BD06D5" w:rsidRPr="007C6F8D">
              <w:rPr>
                <w:rStyle w:val="quality-sign"/>
                <w:rFonts w:eastAsia="MS Mincho" w:cs="MS Mincho"/>
                <w:sz w:val="21"/>
                <w:szCs w:val="21"/>
              </w:rPr>
              <w:t>LOW</w:t>
            </w:r>
          </w:p>
        </w:tc>
      </w:tr>
      <w:tr w:rsidR="00C22682" w:rsidRPr="004565C0" w14:paraId="550400E6" w14:textId="77777777" w:rsidTr="00591171">
        <w:tc>
          <w:tcPr>
            <w:tcW w:w="761" w:type="pct"/>
            <w:shd w:val="clear" w:color="auto" w:fill="auto"/>
          </w:tcPr>
          <w:p w14:paraId="6811F644" w14:textId="77777777" w:rsidR="00C22682" w:rsidRDefault="00C22682" w:rsidP="00667BA7">
            <w:pPr>
              <w:pStyle w:val="Tabletext1"/>
              <w:rPr>
                <w:snapToGrid w:val="0"/>
              </w:rPr>
            </w:pPr>
            <w:r>
              <w:rPr>
                <w:snapToGrid w:val="0"/>
              </w:rPr>
              <w:t>Fatigue</w:t>
            </w:r>
          </w:p>
        </w:tc>
        <w:tc>
          <w:tcPr>
            <w:tcW w:w="563" w:type="pct"/>
            <w:shd w:val="clear" w:color="auto" w:fill="auto"/>
          </w:tcPr>
          <w:p w14:paraId="14219068" w14:textId="77777777" w:rsidR="00C22682" w:rsidRDefault="00C22682" w:rsidP="00667BA7">
            <w:pPr>
              <w:pStyle w:val="Tabletext1"/>
              <w:rPr>
                <w:snapToGrid w:val="0"/>
              </w:rPr>
            </w:pPr>
            <w:r>
              <w:rPr>
                <w:snapToGrid w:val="0"/>
              </w:rPr>
              <w:t>3 studies</w:t>
            </w:r>
          </w:p>
        </w:tc>
        <w:tc>
          <w:tcPr>
            <w:tcW w:w="1345" w:type="pct"/>
            <w:shd w:val="clear" w:color="auto" w:fill="auto"/>
          </w:tcPr>
          <w:p w14:paraId="66ADA95D" w14:textId="77777777" w:rsidR="00C22682" w:rsidRPr="00167F25" w:rsidRDefault="00434BBC" w:rsidP="00667BA7">
            <w:pPr>
              <w:pStyle w:val="Tabletext1"/>
              <w:rPr>
                <w:snapToGrid w:val="0"/>
              </w:rPr>
            </w:pPr>
            <w:r>
              <w:rPr>
                <w:snapToGrid w:val="0"/>
              </w:rPr>
              <w:t>Total 18/146 (12.3</w:t>
            </w:r>
            <w:r w:rsidR="00C22682" w:rsidRPr="00167F25">
              <w:rPr>
                <w:snapToGrid w:val="0"/>
              </w:rPr>
              <w:t>)</w:t>
            </w:r>
          </w:p>
          <w:p w14:paraId="2F474ED8" w14:textId="26763FEC" w:rsidR="00C22682" w:rsidRPr="00C608C5" w:rsidRDefault="00434BBC" w:rsidP="00667BA7">
            <w:pPr>
              <w:pStyle w:val="Tabletext1"/>
              <w:rPr>
                <w:snapToGrid w:val="0"/>
                <w:highlight w:val="yellow"/>
              </w:rPr>
            </w:pPr>
            <w:r>
              <w:rPr>
                <w:snapToGrid w:val="0"/>
              </w:rPr>
              <w:t>Median 13.1 (9.4</w:t>
            </w:r>
            <w:r w:rsidR="00D35E9C">
              <w:rPr>
                <w:snapToGrid w:val="0"/>
              </w:rPr>
              <w:t>–</w:t>
            </w:r>
            <w:r>
              <w:rPr>
                <w:snapToGrid w:val="0"/>
              </w:rPr>
              <w:t>26.7</w:t>
            </w:r>
            <w:r w:rsidR="00C22682" w:rsidRPr="00167F25">
              <w:rPr>
                <w:snapToGrid w:val="0"/>
              </w:rPr>
              <w:t>)</w:t>
            </w:r>
          </w:p>
        </w:tc>
        <w:tc>
          <w:tcPr>
            <w:tcW w:w="546" w:type="pct"/>
          </w:tcPr>
          <w:p w14:paraId="5DA88A2F" w14:textId="77777777" w:rsidR="00C22682" w:rsidRDefault="00C22682" w:rsidP="00667BA7">
            <w:pPr>
              <w:pStyle w:val="Tabletext1"/>
            </w:pPr>
            <w:r w:rsidRPr="00151759">
              <w:rPr>
                <w:snapToGrid w:val="0"/>
              </w:rPr>
              <w:t>18 studies</w:t>
            </w:r>
          </w:p>
        </w:tc>
        <w:tc>
          <w:tcPr>
            <w:tcW w:w="1169" w:type="pct"/>
          </w:tcPr>
          <w:p w14:paraId="25CA257C" w14:textId="77777777" w:rsidR="00C22682" w:rsidRPr="00FC5070" w:rsidRDefault="00434BBC" w:rsidP="00667BA7">
            <w:pPr>
              <w:pStyle w:val="Tabletext1"/>
              <w:rPr>
                <w:snapToGrid w:val="0"/>
              </w:rPr>
            </w:pPr>
            <w:r>
              <w:rPr>
                <w:snapToGrid w:val="0"/>
              </w:rPr>
              <w:t>3/887 (0.6</w:t>
            </w:r>
            <w:r w:rsidR="00C22682" w:rsidRPr="00FC5070">
              <w:rPr>
                <w:snapToGrid w:val="0"/>
              </w:rPr>
              <w:t>)</w:t>
            </w:r>
          </w:p>
          <w:p w14:paraId="570CDBEA" w14:textId="2145AC71" w:rsidR="00C22682" w:rsidRPr="00FC5070" w:rsidRDefault="00434BBC" w:rsidP="00667BA7">
            <w:pPr>
              <w:pStyle w:val="Tabletext1"/>
              <w:rPr>
                <w:snapToGrid w:val="0"/>
              </w:rPr>
            </w:pPr>
            <w:r>
              <w:rPr>
                <w:snapToGrid w:val="0"/>
              </w:rPr>
              <w:t>Median 0.0 (0.0</w:t>
            </w:r>
            <w:r w:rsidR="00D35E9C">
              <w:rPr>
                <w:snapToGrid w:val="0"/>
              </w:rPr>
              <w:t>–</w:t>
            </w:r>
            <w:r>
              <w:rPr>
                <w:snapToGrid w:val="0"/>
              </w:rPr>
              <w:t>10.0</w:t>
            </w:r>
            <w:r w:rsidR="00C22682" w:rsidRPr="00FC5070">
              <w:rPr>
                <w:snapToGrid w:val="0"/>
              </w:rPr>
              <w:t>)</w:t>
            </w:r>
          </w:p>
        </w:tc>
        <w:tc>
          <w:tcPr>
            <w:tcW w:w="616" w:type="pct"/>
          </w:tcPr>
          <w:p w14:paraId="235D7FFE" w14:textId="77777777" w:rsidR="00C22682" w:rsidRPr="00705068" w:rsidRDefault="00041F9C" w:rsidP="00667BA7">
            <w:pPr>
              <w:pStyle w:val="Tabletext1"/>
              <w:rPr>
                <w:snapToGrid w:val="0"/>
              </w:rPr>
            </w:pPr>
            <w:r>
              <w:rPr>
                <w:rFonts w:ascii="Cambria Math" w:hAnsi="Cambria Math"/>
                <w:color w:val="00B050"/>
              </w:rPr>
              <w:t>⨁</w:t>
            </w:r>
            <w:r w:rsidRPr="00D4733A">
              <w:rPr>
                <w:rFonts w:ascii="Cambria Math" w:hAnsi="Cambria Math" w:cs="Cambria Math"/>
                <w:color w:val="C00000"/>
              </w:rPr>
              <w:t>⨀⨀⨀</w:t>
            </w:r>
            <w:r w:rsidR="00BD06D5">
              <w:rPr>
                <w:rStyle w:val="quality-sign"/>
                <w:rFonts w:eastAsia="MS Mincho" w:cs="MS Mincho"/>
                <w:sz w:val="21"/>
                <w:szCs w:val="21"/>
              </w:rPr>
              <w:t xml:space="preserve"> VERY </w:t>
            </w:r>
            <w:r w:rsidR="00BD06D5" w:rsidRPr="007C6F8D">
              <w:rPr>
                <w:rStyle w:val="quality-sign"/>
                <w:rFonts w:eastAsia="MS Mincho" w:cs="MS Mincho"/>
                <w:sz w:val="21"/>
                <w:szCs w:val="21"/>
              </w:rPr>
              <w:t>LOW</w:t>
            </w:r>
          </w:p>
        </w:tc>
      </w:tr>
      <w:tr w:rsidR="00C22682" w:rsidRPr="004565C0" w14:paraId="224586BB" w14:textId="77777777" w:rsidTr="00591171">
        <w:tc>
          <w:tcPr>
            <w:tcW w:w="761" w:type="pct"/>
            <w:shd w:val="clear" w:color="auto" w:fill="auto"/>
          </w:tcPr>
          <w:p w14:paraId="15A3584A" w14:textId="77777777" w:rsidR="00C22682" w:rsidRDefault="00C22682" w:rsidP="00667BA7">
            <w:pPr>
              <w:pStyle w:val="Tabletext1"/>
              <w:rPr>
                <w:snapToGrid w:val="0"/>
              </w:rPr>
            </w:pPr>
            <w:r>
              <w:rPr>
                <w:snapToGrid w:val="0"/>
              </w:rPr>
              <w:t>Cough</w:t>
            </w:r>
          </w:p>
        </w:tc>
        <w:tc>
          <w:tcPr>
            <w:tcW w:w="563" w:type="pct"/>
            <w:shd w:val="clear" w:color="auto" w:fill="auto"/>
          </w:tcPr>
          <w:p w14:paraId="367ED577" w14:textId="77777777" w:rsidR="00C22682" w:rsidRDefault="00C22682" w:rsidP="00667BA7">
            <w:pPr>
              <w:pStyle w:val="Tabletext1"/>
              <w:rPr>
                <w:snapToGrid w:val="0"/>
              </w:rPr>
            </w:pPr>
            <w:r>
              <w:rPr>
                <w:snapToGrid w:val="0"/>
              </w:rPr>
              <w:t>2 studies</w:t>
            </w:r>
          </w:p>
        </w:tc>
        <w:tc>
          <w:tcPr>
            <w:tcW w:w="1345" w:type="pct"/>
            <w:shd w:val="clear" w:color="auto" w:fill="auto"/>
          </w:tcPr>
          <w:p w14:paraId="3AD0141E" w14:textId="77777777" w:rsidR="00C22682" w:rsidRPr="000D224C" w:rsidRDefault="00C22682" w:rsidP="00667BA7">
            <w:pPr>
              <w:pStyle w:val="Tabletext1"/>
              <w:rPr>
                <w:snapToGrid w:val="0"/>
              </w:rPr>
            </w:pPr>
            <w:r w:rsidRPr="000D224C">
              <w:rPr>
                <w:snapToGrid w:val="0"/>
              </w:rPr>
              <w:t xml:space="preserve">Total </w:t>
            </w:r>
            <w:r>
              <w:rPr>
                <w:snapToGrid w:val="0"/>
              </w:rPr>
              <w:t>10</w:t>
            </w:r>
            <w:r w:rsidRPr="000D224C">
              <w:rPr>
                <w:snapToGrid w:val="0"/>
              </w:rPr>
              <w:t>/62 (1</w:t>
            </w:r>
            <w:r>
              <w:rPr>
                <w:snapToGrid w:val="0"/>
              </w:rPr>
              <w:t>6</w:t>
            </w:r>
            <w:r w:rsidRPr="000D224C">
              <w:rPr>
                <w:snapToGrid w:val="0"/>
              </w:rPr>
              <w:t>.</w:t>
            </w:r>
            <w:r>
              <w:rPr>
                <w:snapToGrid w:val="0"/>
              </w:rPr>
              <w:t>0</w:t>
            </w:r>
            <w:r w:rsidRPr="000D224C">
              <w:rPr>
                <w:snapToGrid w:val="0"/>
              </w:rPr>
              <w:t>)</w:t>
            </w:r>
          </w:p>
          <w:p w14:paraId="5BA08D3A" w14:textId="42ABC428" w:rsidR="00C22682" w:rsidRPr="00C608C5" w:rsidRDefault="00434BBC" w:rsidP="00667BA7">
            <w:pPr>
              <w:pStyle w:val="Tabletext1"/>
              <w:rPr>
                <w:snapToGrid w:val="0"/>
                <w:highlight w:val="yellow"/>
              </w:rPr>
            </w:pPr>
            <w:r>
              <w:rPr>
                <w:snapToGrid w:val="0"/>
              </w:rPr>
              <w:t>Median 16.0 (13.3</w:t>
            </w:r>
            <w:r w:rsidR="00D35E9C">
              <w:rPr>
                <w:snapToGrid w:val="0"/>
              </w:rPr>
              <w:t>–</w:t>
            </w:r>
            <w:r>
              <w:rPr>
                <w:snapToGrid w:val="0"/>
              </w:rPr>
              <w:t>18.8</w:t>
            </w:r>
            <w:r w:rsidR="00C22682" w:rsidRPr="000D224C">
              <w:rPr>
                <w:snapToGrid w:val="0"/>
              </w:rPr>
              <w:t>)</w:t>
            </w:r>
          </w:p>
        </w:tc>
        <w:tc>
          <w:tcPr>
            <w:tcW w:w="546" w:type="pct"/>
          </w:tcPr>
          <w:p w14:paraId="3956CB1A" w14:textId="77777777" w:rsidR="00C22682" w:rsidRDefault="00C22682" w:rsidP="00667BA7">
            <w:pPr>
              <w:pStyle w:val="Tabletext1"/>
            </w:pPr>
            <w:r w:rsidRPr="00151759">
              <w:rPr>
                <w:snapToGrid w:val="0"/>
              </w:rPr>
              <w:t>18 studies</w:t>
            </w:r>
          </w:p>
        </w:tc>
        <w:tc>
          <w:tcPr>
            <w:tcW w:w="1169" w:type="pct"/>
          </w:tcPr>
          <w:p w14:paraId="51BA86E6" w14:textId="77777777" w:rsidR="00C22682" w:rsidRPr="00FC5070" w:rsidRDefault="00434BBC" w:rsidP="00667BA7">
            <w:pPr>
              <w:pStyle w:val="Tabletext1"/>
              <w:rPr>
                <w:snapToGrid w:val="0"/>
              </w:rPr>
            </w:pPr>
            <w:r>
              <w:rPr>
                <w:snapToGrid w:val="0"/>
              </w:rPr>
              <w:t>Total 1/887 (0.1</w:t>
            </w:r>
            <w:r w:rsidR="00C22682" w:rsidRPr="00FC5070">
              <w:rPr>
                <w:snapToGrid w:val="0"/>
              </w:rPr>
              <w:t>)</w:t>
            </w:r>
          </w:p>
          <w:p w14:paraId="7BD61951" w14:textId="77777777" w:rsidR="00C22682" w:rsidRPr="00FC5070" w:rsidRDefault="00C22682" w:rsidP="00667BA7">
            <w:pPr>
              <w:pStyle w:val="Tabletext1"/>
              <w:rPr>
                <w:snapToGrid w:val="0"/>
              </w:rPr>
            </w:pPr>
            <w:r w:rsidRPr="00FC5070">
              <w:rPr>
                <w:snapToGrid w:val="0"/>
              </w:rPr>
              <w:t>Median N/A</w:t>
            </w:r>
          </w:p>
        </w:tc>
        <w:tc>
          <w:tcPr>
            <w:tcW w:w="616" w:type="pct"/>
          </w:tcPr>
          <w:p w14:paraId="5F962A9D" w14:textId="77777777" w:rsidR="00BD06D5" w:rsidRDefault="00041F9C" w:rsidP="00667BA7">
            <w:pPr>
              <w:pStyle w:val="Tabletext1"/>
              <w:rPr>
                <w:rStyle w:val="quality-sign"/>
                <w:rFonts w:ascii="MS Mincho" w:eastAsia="MS Mincho" w:hAnsi="MS Mincho" w:cs="MS Mincho"/>
                <w:sz w:val="21"/>
                <w:szCs w:val="21"/>
              </w:rPr>
            </w:pPr>
            <w:r>
              <w:rPr>
                <w:rFonts w:ascii="Cambria Math" w:hAnsi="Cambria Math"/>
                <w:color w:val="00B050"/>
              </w:rPr>
              <w:t>⨁</w:t>
            </w:r>
            <w:r w:rsidRPr="00D4733A">
              <w:rPr>
                <w:rFonts w:ascii="Cambria Math" w:hAnsi="Cambria Math" w:cs="Cambria Math"/>
                <w:color w:val="C00000"/>
              </w:rPr>
              <w:t>⨀⨀⨀</w:t>
            </w:r>
          </w:p>
          <w:p w14:paraId="1EEDC259" w14:textId="77777777" w:rsidR="00C22682" w:rsidRPr="00705068" w:rsidRDefault="00BD06D5" w:rsidP="00667BA7">
            <w:pPr>
              <w:pStyle w:val="Tabletext1"/>
              <w:rPr>
                <w:snapToGrid w:val="0"/>
              </w:rPr>
            </w:pPr>
            <w:r>
              <w:rPr>
                <w:rStyle w:val="quality-sign"/>
                <w:rFonts w:eastAsia="MS Mincho" w:cs="MS Mincho"/>
                <w:sz w:val="21"/>
                <w:szCs w:val="21"/>
              </w:rPr>
              <w:t xml:space="preserve"> VERY </w:t>
            </w:r>
            <w:r w:rsidRPr="007C6F8D">
              <w:rPr>
                <w:rStyle w:val="quality-sign"/>
                <w:rFonts w:eastAsia="MS Mincho" w:cs="MS Mincho"/>
                <w:sz w:val="21"/>
                <w:szCs w:val="21"/>
              </w:rPr>
              <w:t>LOW</w:t>
            </w:r>
          </w:p>
        </w:tc>
      </w:tr>
    </w:tbl>
    <w:p w14:paraId="4B8A534B" w14:textId="77777777" w:rsidR="007D2EAB" w:rsidRDefault="007D2EAB" w:rsidP="007D2EAB">
      <w:pPr>
        <w:pStyle w:val="Tablenotes0"/>
      </w:pPr>
      <w:r>
        <w:t>&lt;n/N (%) = number with event/ total (percentage); NA = not applicable&gt;</w:t>
      </w:r>
    </w:p>
    <w:p w14:paraId="604E88D3" w14:textId="790A8ECE" w:rsidR="00041F9C" w:rsidRDefault="00041F9C" w:rsidP="00DA1365">
      <w:pPr>
        <w:pStyle w:val="Tablenotes0"/>
      </w:pPr>
      <w:r w:rsidRPr="00434BBC">
        <w:rPr>
          <w:rStyle w:val="TablenotesChar0"/>
        </w:rPr>
        <w:t>GRADE Working Group grades of evidence (Guyatt et al., 2013</w:t>
      </w:r>
      <w:r w:rsidR="00CA6DFD" w:rsidRPr="00434BBC">
        <w:rPr>
          <w:rStyle w:val="TablenotesChar0"/>
        </w:rPr>
        <w:t>)</w:t>
      </w:r>
      <w:r w:rsidR="003E4064" w:rsidRPr="00434BBC">
        <w:rPr>
          <w:rStyle w:val="TablenotesChar0"/>
        </w:rPr>
        <w: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3FE3FF23" w14:textId="601B7BCA" w:rsidR="00C22682" w:rsidRPr="00836C23" w:rsidRDefault="007D2EAB" w:rsidP="00DA1365">
      <w:pPr>
        <w:pStyle w:val="Tablenotes0"/>
      </w:pPr>
      <w:proofErr w:type="gramStart"/>
      <w:r>
        <w:t>a</w:t>
      </w:r>
      <w:proofErr w:type="gramEnd"/>
      <w:r>
        <w:t xml:space="preserve"> </w:t>
      </w:r>
      <w:r w:rsidR="00C22682">
        <w:t>N</w:t>
      </w:r>
      <w:r w:rsidR="00C22682" w:rsidRPr="00836C23">
        <w:t>ote</w:t>
      </w:r>
      <w:r w:rsidR="00C22682">
        <w:t>:</w:t>
      </w:r>
      <w:r w:rsidR="00C22682" w:rsidRPr="00836C23">
        <w:t xml:space="preserve"> </w:t>
      </w:r>
      <w:r w:rsidR="00C22682">
        <w:t>one</w:t>
      </w:r>
      <w:r w:rsidR="00C22682" w:rsidRPr="00836C23">
        <w:t xml:space="preserve"> additional study reported </w:t>
      </w:r>
      <w:r w:rsidR="00C22682">
        <w:t>three</w:t>
      </w:r>
      <w:r w:rsidR="00C22682" w:rsidRPr="00836C23">
        <w:t xml:space="preserve"> cases of “serious” </w:t>
      </w:r>
      <w:r w:rsidR="00CA6DFD" w:rsidRPr="00836C23">
        <w:t>dyspnoea</w:t>
      </w:r>
      <w:r w:rsidR="00C22682" w:rsidRPr="00836C23">
        <w:t xml:space="preserve">. </w:t>
      </w:r>
      <w:r w:rsidR="00C22682">
        <w:t>Due to incomplete reporting, this study was not included in the pooled estimates.</w:t>
      </w:r>
    </w:p>
    <w:p w14:paraId="28BFBE8E" w14:textId="758CECE8" w:rsidR="00C22682" w:rsidRDefault="007D2EAB" w:rsidP="00DA1365">
      <w:pPr>
        <w:pStyle w:val="Tablenotes0"/>
      </w:pPr>
      <w:proofErr w:type="gramStart"/>
      <w:r>
        <w:t>b</w:t>
      </w:r>
      <w:proofErr w:type="gramEnd"/>
      <w:r>
        <w:t xml:space="preserve"> </w:t>
      </w:r>
      <w:r w:rsidR="00C22682">
        <w:t>Note: one</w:t>
      </w:r>
      <w:r w:rsidR="00C22682" w:rsidRPr="00836C23">
        <w:t xml:space="preserve"> additional</w:t>
      </w:r>
      <w:r w:rsidR="00C22682">
        <w:t xml:space="preserve"> study reported one</w:t>
      </w:r>
      <w:r w:rsidR="00C22682" w:rsidRPr="00836C23">
        <w:t xml:space="preserve"> case of “severe” esophagitis that required treatment. </w:t>
      </w:r>
      <w:r w:rsidR="00C22682">
        <w:t>Due to incomplete reporting, this study was not included in the pooled estimates.</w:t>
      </w:r>
    </w:p>
    <w:p w14:paraId="5EFE0315" w14:textId="7B2F158F" w:rsidR="00C22682" w:rsidRDefault="007D2EAB" w:rsidP="00DA1365">
      <w:pPr>
        <w:pStyle w:val="Tablenotes0"/>
      </w:pPr>
      <w:proofErr w:type="gramStart"/>
      <w:r>
        <w:t>c</w:t>
      </w:r>
      <w:proofErr w:type="gramEnd"/>
      <w:r>
        <w:t xml:space="preserve"> </w:t>
      </w:r>
      <w:r w:rsidR="00C22682">
        <w:t>N</w:t>
      </w:r>
      <w:r w:rsidR="00C22682" w:rsidRPr="00836C23">
        <w:t>ote</w:t>
      </w:r>
      <w:r w:rsidR="00C22682">
        <w:t>:</w:t>
      </w:r>
      <w:r w:rsidR="00C22682" w:rsidRPr="00836C23">
        <w:t xml:space="preserve"> </w:t>
      </w:r>
      <w:r w:rsidR="00C22682">
        <w:t>two additional studies</w:t>
      </w:r>
      <w:r w:rsidR="00C22682" w:rsidRPr="00836C23">
        <w:t xml:space="preserve"> reported </w:t>
      </w:r>
      <w:r w:rsidR="00C22682">
        <w:t>two</w:t>
      </w:r>
      <w:r w:rsidR="00C22682" w:rsidRPr="00836C23">
        <w:t xml:space="preserve"> cases of </w:t>
      </w:r>
      <w:r w:rsidR="00C22682">
        <w:t>non-descript pain each</w:t>
      </w:r>
      <w:r w:rsidR="00C22682" w:rsidRPr="00836C23">
        <w:t xml:space="preserve">. </w:t>
      </w:r>
      <w:r w:rsidR="00C22682">
        <w:t>Due to incomplete reporting, these studies were not included in the pooled estimates. Another study reported generic musculoskeletal adverse events (including pain), and is described in the “other events” section.</w:t>
      </w:r>
    </w:p>
    <w:p w14:paraId="51C930FE" w14:textId="5E13D9E0" w:rsidR="00C22682" w:rsidRDefault="007D2EAB" w:rsidP="00DA1365">
      <w:pPr>
        <w:pStyle w:val="Tablenotes0"/>
      </w:pPr>
      <w:proofErr w:type="gramStart"/>
      <w:r>
        <w:t>d</w:t>
      </w:r>
      <w:proofErr w:type="gramEnd"/>
      <w:r w:rsidR="00C22682">
        <w:t xml:space="preserve"> Note: four additional studies reported additional rib fractures, including: four cases of non-descript rib facture, one case of “serious” rib fracture, and 9/67 lesions that had a rib fracture adjacent to the SBRT volume.</w:t>
      </w:r>
    </w:p>
    <w:p w14:paraId="2E695D7C" w14:textId="4E80E2E8" w:rsidR="00C22682" w:rsidRDefault="007D2EAB" w:rsidP="00DA1365">
      <w:pPr>
        <w:pStyle w:val="Tablenotes0"/>
      </w:pPr>
      <w:proofErr w:type="gramStart"/>
      <w:r>
        <w:t>e</w:t>
      </w:r>
      <w:proofErr w:type="gramEnd"/>
      <w:r w:rsidR="00C22682">
        <w:t xml:space="preserve"> Note: one additional study reported one case of “serious” rash. Due to incomplete reporting, this study was not included in the pooled estimates.</w:t>
      </w:r>
    </w:p>
    <w:p w14:paraId="3D1753B9" w14:textId="77777777" w:rsidR="00C22682" w:rsidRPr="00092906" w:rsidRDefault="00C22682" w:rsidP="003F6C66">
      <w:pPr>
        <w:pStyle w:val="Heading3"/>
      </w:pPr>
      <w:bookmarkStart w:id="309" w:name="_Toc460396057"/>
      <w:r w:rsidRPr="00092906">
        <w:t>Other events</w:t>
      </w:r>
      <w:bookmarkEnd w:id="309"/>
    </w:p>
    <w:p w14:paraId="09C170A5" w14:textId="3B99F1DE" w:rsidR="00C22682" w:rsidRDefault="00296B98" w:rsidP="00C22682">
      <w:r>
        <w:t>Across the included studies, minor adverse events that were only reported by a single study included one case of grade 2 pneumomediastinum</w:t>
      </w:r>
      <w:r w:rsidRPr="003711B3">
        <w:t xml:space="preserve"> </w:t>
      </w:r>
      <w:r>
        <w:fldChar w:fldCharType="begin">
          <w:fldData xml:space="preserve">PEVuZE5vdGU+PENpdGU+PEF1dGhvcj5LaW08L0F1dGhvcj48WWVhcj4yMDA5PC9ZZWFyPjxSZWNO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</w:fldData>
        </w:fldChar>
      </w:r>
      <w:r w:rsidR="00194054">
        <w:instrText xml:space="preserve"> ADDIN EN.CITE </w:instrText>
      </w:r>
      <w:r w:rsidR="00194054">
        <w:fldChar w:fldCharType="begin">
          <w:fldData xml:space="preserve">PEVuZE5vdGU+PENpdGU+PEF1dGhvcj5LaW08L0F1dGhvcj48WWVhcj4yMDA5PC9ZZWFyPjxSZWNO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</w:fldData>
        </w:fldChar>
      </w:r>
      <w:r w:rsidR="00194054">
        <w:instrText xml:space="preserve"> ADDIN EN.CITE.DATA </w:instrText>
      </w:r>
      <w:r w:rsidR="00194054">
        <w:fldChar w:fldCharType="end"/>
      </w:r>
      <w:r>
        <w:fldChar w:fldCharType="separate"/>
      </w:r>
      <w:r>
        <w:rPr>
          <w:noProof/>
        </w:rPr>
        <w:t>(</w:t>
      </w:r>
      <w:hyperlink w:anchor="_ENREF_79" w:tooltip="Kim, 2009 #146" w:history="1">
        <w:r w:rsidR="00320458">
          <w:rPr>
            <w:noProof/>
          </w:rPr>
          <w:t>Kim et al 2009</w:t>
        </w:r>
      </w:hyperlink>
      <w:r>
        <w:rPr>
          <w:noProof/>
        </w:rPr>
        <w:t>)</w:t>
      </w:r>
      <w:r>
        <w:fldChar w:fldCharType="end"/>
      </w:r>
      <w:r>
        <w:t xml:space="preserve">, one case of grade 2 myositis </w:t>
      </w:r>
      <w:r>
        <w:fldChar w:fldCharType="begin">
          <w:fldData xml:space="preserve">PEVuZE5vdGU+PENpdGU+PEF1dGhvcj5CYXNjaG5hZ2VsPC9BdXRob3I+PFllYXI+MjAxMzwvWWVh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</w:fldData>
        </w:fldChar>
      </w:r>
      <w:r w:rsidR="00194054">
        <w:instrText xml:space="preserve"> ADDIN EN.CITE </w:instrText>
      </w:r>
      <w:r w:rsidR="00194054">
        <w:fldChar w:fldCharType="begin">
          <w:fldData xml:space="preserve">PEVuZE5vdGU+PENpdGU+PEF1dGhvcj5CYXNjaG5hZ2VsPC9BdXRob3I+PFllYXI+MjAxMzwvWWVh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</w:fldData>
        </w:fldChar>
      </w:r>
      <w:r w:rsidR="00194054">
        <w:instrText xml:space="preserve"> ADDIN EN.CITE.DATA </w:instrText>
      </w:r>
      <w:r w:rsidR="00194054">
        <w:fldChar w:fldCharType="end"/>
      </w:r>
      <w:r>
        <w:fldChar w:fldCharType="separate"/>
      </w:r>
      <w:r>
        <w:rPr>
          <w:noProof/>
        </w:rPr>
        <w:t>(</w:t>
      </w:r>
      <w:hyperlink w:anchor="_ENREF_18" w:tooltip="Baschnagel, 2013 #142" w:history="1">
        <w:r w:rsidR="00320458">
          <w:rPr>
            <w:noProof/>
          </w:rPr>
          <w:t>Baschnagel et al 2013</w:t>
        </w:r>
      </w:hyperlink>
      <w:r>
        <w:rPr>
          <w:noProof/>
        </w:rPr>
        <w:t>)</w:t>
      </w:r>
      <w:r>
        <w:fldChar w:fldCharType="end"/>
      </w:r>
      <w:r>
        <w:t xml:space="preserve">, one case of </w:t>
      </w:r>
      <w:r w:rsidRPr="00001832">
        <w:t xml:space="preserve">grade 1 </w:t>
      </w:r>
      <w:r>
        <w:t xml:space="preserve">temporal liver dysfunction </w:t>
      </w:r>
      <w:r>
        <w:fldChar w:fldCharType="begin">
          <w:fldData xml:space="preserve">PEVuZE5vdGU+PENpdGU+PEF1dGhvcj5Ob3JpaGlzYTwvQXV0aG9yPjxZZWFyPjIwMDg8L1llYXI+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</w:fldData>
        </w:fldChar>
      </w:r>
      <w:r w:rsidR="00194054">
        <w:instrText xml:space="preserve"> ADDIN EN.CITE </w:instrText>
      </w:r>
      <w:r w:rsidR="00194054">
        <w:fldChar w:fldCharType="begin">
          <w:fldData xml:space="preserve">PEVuZE5vdGU+PENpdGU+PEF1dGhvcj5Ob3JpaGlzYTwvQXV0aG9yPjxZZWFyPjIwMDg8L1llYXI+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</w:fldData>
        </w:fldChar>
      </w:r>
      <w:r w:rsidR="00194054">
        <w:instrText xml:space="preserve"> ADDIN EN.CITE.DATA </w:instrText>
      </w:r>
      <w:r w:rsidR="00194054">
        <w:fldChar w:fldCharType="end"/>
      </w:r>
      <w:r>
        <w:fldChar w:fldCharType="separate"/>
      </w:r>
      <w:r>
        <w:rPr>
          <w:noProof/>
        </w:rPr>
        <w:t>(</w:t>
      </w:r>
      <w:hyperlink w:anchor="_ENREF_113" w:tooltip="Norihisa, 2008 #149" w:history="1">
        <w:r w:rsidR="00320458">
          <w:rPr>
            <w:noProof/>
          </w:rPr>
          <w:t>Norihisa et al 2008</w:t>
        </w:r>
      </w:hyperlink>
      <w:r>
        <w:rPr>
          <w:noProof/>
        </w:rPr>
        <w:t>)</w:t>
      </w:r>
      <w:r>
        <w:fldChar w:fldCharType="end"/>
      </w:r>
      <w:r>
        <w:t xml:space="preserve">, eleven cases of grade 1/2 unspecified </w:t>
      </w:r>
      <w:r w:rsidRPr="003711B3">
        <w:t xml:space="preserve">musculoskeletal disorders </w:t>
      </w:r>
      <w:r>
        <w:fldChar w:fldCharType="begin">
          <w:fldData xml:space="preserve">PEVuZE5vdGU+PENpdGU+PEF1dGhvcj5WaWRldGljPC9BdXRob3I+PFllYXI+MjAxNTwvWWVhcj48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LCBiaW9sb2d5LCBwaHlzaWNzPC9hYmJyLTE+PC9hbHQtcGVyaW9kaWNhbD48cGFnZXM+NzU3LTY0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</w:fldData>
        </w:fldChar>
      </w:r>
      <w:r w:rsidR="00194054">
        <w:instrText xml:space="preserve"> ADDIN EN.CITE </w:instrText>
      </w:r>
      <w:r w:rsidR="00194054">
        <w:fldChar w:fldCharType="begin">
          <w:fldData xml:space="preserve">PEVuZE5vdGU+PENpdGU+PEF1dGhvcj5WaWRldGljPC9BdXRob3I+PFllYXI+MjAxNTwvWWVhcj48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LCBiaW9sb2d5LCBwaHlzaWNzPC9hYmJyLTE+PC9hbHQtcGVyaW9kaWNhbD48cGFnZXM+NzU3LTY0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</w:fldData>
        </w:fldChar>
      </w:r>
      <w:r w:rsidR="00194054">
        <w:instrText xml:space="preserve"> ADDIN EN.CITE.DATA </w:instrText>
      </w:r>
      <w:r w:rsidR="00194054">
        <w:fldChar w:fldCharType="end"/>
      </w:r>
      <w:r>
        <w:fldChar w:fldCharType="separate"/>
      </w:r>
      <w:r>
        <w:rPr>
          <w:noProof/>
        </w:rPr>
        <w:t>(</w:t>
      </w:r>
      <w:hyperlink w:anchor="_ENREF_163" w:tooltip="Videtic, 2015 #140" w:history="1">
        <w:r w:rsidR="00320458">
          <w:rPr>
            <w:noProof/>
          </w:rPr>
          <w:t>Videtic et al 2015</w:t>
        </w:r>
      </w:hyperlink>
      <w:r>
        <w:rPr>
          <w:noProof/>
        </w:rPr>
        <w:t>)</w:t>
      </w:r>
      <w:r>
        <w:fldChar w:fldCharType="end"/>
      </w:r>
      <w:r w:rsidRPr="003711B3">
        <w:t xml:space="preserve">. </w:t>
      </w:r>
      <w:r w:rsidR="0011027A">
        <w:t xml:space="preserve">Price et al </w:t>
      </w:r>
      <w:r w:rsidR="0011027A">
        <w:fldChar w:fldCharType="begin">
          <w:fldData xml:space="preserve">PEVuZE5vdGU+PENpdGUgRXhjbHVkZUF1dGg9IjEiPjxBdXRob3I+UHJpY2U8L0F1dGhvcj48WWVh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</w:fldData>
        </w:fldChar>
      </w:r>
      <w:r w:rsidR="00194054">
        <w:instrText xml:space="preserve"> ADDIN EN.CITE </w:instrText>
      </w:r>
      <w:r w:rsidR="00194054">
        <w:fldChar w:fldCharType="begin">
          <w:fldData xml:space="preserve">PEVuZE5vdGU+PENpdGUgRXhjbHVkZUF1dGg9IjEiPjxBdXRob3I+UHJpY2U8L0F1dGhvcj48WWVh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</w:fldData>
        </w:fldChar>
      </w:r>
      <w:r w:rsidR="00194054">
        <w:instrText xml:space="preserve"> ADDIN EN.CITE.DATA </w:instrText>
      </w:r>
      <w:r w:rsidR="00194054">
        <w:fldChar w:fldCharType="end"/>
      </w:r>
      <w:r w:rsidR="0011027A">
        <w:fldChar w:fldCharType="separate"/>
      </w:r>
      <w:r w:rsidR="0011027A">
        <w:rPr>
          <w:noProof/>
        </w:rPr>
        <w:t>(</w:t>
      </w:r>
      <w:hyperlink w:anchor="_ENREF_120" w:tooltip="Price, 2012 #139" w:history="1">
        <w:r w:rsidR="00320458">
          <w:rPr>
            <w:noProof/>
          </w:rPr>
          <w:t>2012</w:t>
        </w:r>
      </w:hyperlink>
      <w:r w:rsidR="0011027A">
        <w:rPr>
          <w:noProof/>
        </w:rPr>
        <w:t>)</w:t>
      </w:r>
      <w:r w:rsidR="0011027A">
        <w:fldChar w:fldCharType="end"/>
      </w:r>
      <w:r w:rsidR="00C22682" w:rsidRPr="003711B3">
        <w:t xml:space="preserve"> reported a number of “serious” adverse events (not graded according to NCI-CTCAE) that were not</w:t>
      </w:r>
      <w:r w:rsidR="00C22682">
        <w:t xml:space="preserve"> reported in other studies, including: 1/56 (2%) myocardial infarction, 1/56 (2%) perforated </w:t>
      </w:r>
      <w:r w:rsidR="00C22682" w:rsidRPr="006231DE">
        <w:t xml:space="preserve">viscus, 1/55 (2%) </w:t>
      </w:r>
      <w:r w:rsidR="00C22682" w:rsidRPr="006231DE">
        <w:lastRenderedPageBreak/>
        <w:t xml:space="preserve">hypotension, 1/55 (2%) </w:t>
      </w:r>
      <w:proofErr w:type="gramStart"/>
      <w:r w:rsidR="00C22682" w:rsidRPr="006231DE">
        <w:t>COPD exacerbation, 1/55 (2%) pneumothorax, 1/55 (2%) subcutaneous reaction, and 1/55 (2%) transient ischaemic attack.</w:t>
      </w:r>
      <w:proofErr w:type="gramEnd"/>
      <w:r w:rsidR="00C22682" w:rsidRPr="006231DE">
        <w:t xml:space="preserve"> Lucas et al (2014) reported</w:t>
      </w:r>
      <w:r w:rsidR="00C22682">
        <w:t xml:space="preserve"> </w:t>
      </w:r>
      <w:r w:rsidR="00C22682" w:rsidRPr="00561F1E">
        <w:t xml:space="preserve">1/79 (1.3%) </w:t>
      </w:r>
      <w:r w:rsidR="00C22682">
        <w:t xml:space="preserve">case of “serious” </w:t>
      </w:r>
      <w:r w:rsidR="00C22682" w:rsidRPr="00561F1E">
        <w:t>bleeding (grade NR)</w:t>
      </w:r>
      <w:r w:rsidR="00C22682">
        <w:t>.</w:t>
      </w:r>
      <w:r w:rsidR="00393EEF">
        <w:t xml:space="preserve"> </w:t>
      </w:r>
      <w:r w:rsidR="00C22682">
        <w:t xml:space="preserve">Lung fibrosis was reported in two studies </w:t>
      </w:r>
      <w:r w:rsidR="006231DE">
        <w:fldChar w:fldCharType="begin">
          <w:fldData xml:space="preserve">PEVuZE5vdGU+PENpdGU+PEF1dGhvcj5QcmljZTwvQXV0aG9yPjxZZWFyPjIwMTI8L1llYXI+PFJl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</w:fldData>
        </w:fldChar>
      </w:r>
      <w:r w:rsidR="00194054">
        <w:instrText xml:space="preserve"> ADDIN EN.CITE </w:instrText>
      </w:r>
      <w:r w:rsidR="00194054">
        <w:fldChar w:fldCharType="begin">
          <w:fldData xml:space="preserve">PEVuZE5vdGU+PENpdGU+PEF1dGhvcj5QcmljZTwvQXV0aG9yPjxZZWFyPjIwMTI8L1llYXI+PFJl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</w:fldData>
        </w:fldChar>
      </w:r>
      <w:r w:rsidR="00194054">
        <w:instrText xml:space="preserve"> ADDIN EN.CITE.DATA </w:instrText>
      </w:r>
      <w:r w:rsidR="00194054">
        <w:fldChar w:fldCharType="end"/>
      </w:r>
      <w:r w:rsidR="006231DE">
        <w:fldChar w:fldCharType="separate"/>
      </w:r>
      <w:r w:rsidR="006231DE">
        <w:rPr>
          <w:noProof/>
        </w:rPr>
        <w:t>(</w:t>
      </w:r>
      <w:hyperlink w:anchor="_ENREF_1" w:tooltip="Agolli, 2015 #141" w:history="1">
        <w:r w:rsidR="00320458">
          <w:rPr>
            <w:noProof/>
          </w:rPr>
          <w:t>Agolli et al 2015</w:t>
        </w:r>
      </w:hyperlink>
      <w:r w:rsidR="006231DE">
        <w:rPr>
          <w:noProof/>
        </w:rPr>
        <w:t xml:space="preserve">; </w:t>
      </w:r>
      <w:hyperlink w:anchor="_ENREF_120" w:tooltip="Price, 2012 #139" w:history="1">
        <w:r w:rsidR="00320458">
          <w:rPr>
            <w:noProof/>
          </w:rPr>
          <w:t>Price et al 2012</w:t>
        </w:r>
      </w:hyperlink>
      <w:r w:rsidR="006231DE">
        <w:rPr>
          <w:noProof/>
        </w:rPr>
        <w:t>)</w:t>
      </w:r>
      <w:r w:rsidR="006231DE">
        <w:fldChar w:fldCharType="end"/>
      </w:r>
      <w:r w:rsidR="00C22682" w:rsidRPr="00B87758">
        <w:t>,</w:t>
      </w:r>
      <w:r w:rsidR="00C22682">
        <w:t xml:space="preserve"> but due to poor quality reporting, it was not appropriate to report event numbers across </w:t>
      </w:r>
      <w:r w:rsidR="0011027A">
        <w:t xml:space="preserve">studies. Price et al </w:t>
      </w:r>
      <w:r w:rsidR="0011027A">
        <w:fldChar w:fldCharType="begin">
          <w:fldData xml:space="preserve">PEVuZE5vdGU+PENpdGUgRXhjbHVkZUF1dGg9IjEiPjxBdXRob3I+UHJpY2U8L0F1dGhvcj48WWVh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</w:fldData>
        </w:fldChar>
      </w:r>
      <w:r w:rsidR="00194054">
        <w:instrText xml:space="preserve"> ADDIN EN.CITE </w:instrText>
      </w:r>
      <w:r w:rsidR="00194054">
        <w:fldChar w:fldCharType="begin">
          <w:fldData xml:space="preserve">PEVuZE5vdGU+PENpdGUgRXhjbHVkZUF1dGg9IjEiPjxBdXRob3I+UHJpY2U8L0F1dGhvcj48WWVh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</w:fldData>
        </w:fldChar>
      </w:r>
      <w:r w:rsidR="00194054">
        <w:instrText xml:space="preserve"> ADDIN EN.CITE.DATA </w:instrText>
      </w:r>
      <w:r w:rsidR="00194054">
        <w:fldChar w:fldCharType="end"/>
      </w:r>
      <w:r w:rsidR="0011027A">
        <w:fldChar w:fldCharType="separate"/>
      </w:r>
      <w:r w:rsidR="0011027A">
        <w:rPr>
          <w:noProof/>
        </w:rPr>
        <w:t>(</w:t>
      </w:r>
      <w:hyperlink w:anchor="_ENREF_120" w:tooltip="Price, 2012 #139" w:history="1">
        <w:r w:rsidR="00320458">
          <w:rPr>
            <w:noProof/>
          </w:rPr>
          <w:t>2012</w:t>
        </w:r>
      </w:hyperlink>
      <w:r w:rsidR="0011027A">
        <w:rPr>
          <w:noProof/>
        </w:rPr>
        <w:t>)</w:t>
      </w:r>
      <w:r w:rsidR="0011027A">
        <w:fldChar w:fldCharType="end"/>
      </w:r>
      <w:r w:rsidR="00C22682" w:rsidRPr="006231DE">
        <w:t xml:space="preserve"> detected two cases of “serious” lung fibrosis in the radiotherapy + chemo group, and Agolli et al </w:t>
      </w:r>
      <w:r w:rsidR="0011027A">
        <w:fldChar w:fldCharType="begin">
          <w:fldData xml:space="preserve">PEVuZE5vdGU+PENpdGUgRXhjbHVkZUF1dGg9IjEiPjxBdXRob3I+QWdvbGxpPC9BdXRob3I+PFll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</w:fldData>
        </w:fldChar>
      </w:r>
      <w:r w:rsidR="00194054">
        <w:instrText xml:space="preserve"> ADDIN EN.CITE </w:instrText>
      </w:r>
      <w:r w:rsidR="00194054">
        <w:fldChar w:fldCharType="begin">
          <w:fldData xml:space="preserve">PEVuZE5vdGU+PENpdGUgRXhjbHVkZUF1dGg9IjEiPjxBdXRob3I+QWdvbGxpPC9BdXRob3I+PFll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</w:fldData>
        </w:fldChar>
      </w:r>
      <w:r w:rsidR="00194054">
        <w:instrText xml:space="preserve"> ADDIN EN.CITE.DATA </w:instrText>
      </w:r>
      <w:r w:rsidR="00194054">
        <w:fldChar w:fldCharType="end"/>
      </w:r>
      <w:r w:rsidR="0011027A">
        <w:fldChar w:fldCharType="separate"/>
      </w:r>
      <w:r w:rsidR="0011027A">
        <w:rPr>
          <w:noProof/>
        </w:rPr>
        <w:t>(</w:t>
      </w:r>
      <w:hyperlink w:anchor="_ENREF_1" w:tooltip="Agolli, 2015 #141" w:history="1">
        <w:r w:rsidR="00320458">
          <w:rPr>
            <w:noProof/>
          </w:rPr>
          <w:t>2015</w:t>
        </w:r>
      </w:hyperlink>
      <w:r w:rsidR="0011027A">
        <w:rPr>
          <w:noProof/>
        </w:rPr>
        <w:t>)</w:t>
      </w:r>
      <w:r w:rsidR="0011027A">
        <w:fldChar w:fldCharType="end"/>
      </w:r>
      <w:r w:rsidR="0011027A">
        <w:t xml:space="preserve"> </w:t>
      </w:r>
      <w:r w:rsidR="00C22682" w:rsidRPr="006231DE">
        <w:t>reported 10/22 (45%) patients had minor grade 1</w:t>
      </w:r>
      <w:r w:rsidR="00D35E9C">
        <w:t>–</w:t>
      </w:r>
      <w:r w:rsidR="00C22682" w:rsidRPr="006231DE">
        <w:t>2 lung fibrosis.</w:t>
      </w:r>
    </w:p>
    <w:p w14:paraId="10A4EA54" w14:textId="77777777" w:rsidR="006D2221" w:rsidRDefault="006D2221" w:rsidP="003F6C66">
      <w:pPr>
        <w:pStyle w:val="Heading3"/>
      </w:pPr>
      <w:bookmarkStart w:id="310" w:name="_Toc460396058"/>
      <w:r>
        <w:t xml:space="preserve">Safety of </w:t>
      </w:r>
      <w:r w:rsidR="007F6970">
        <w:t xml:space="preserve">palliative </w:t>
      </w:r>
      <w:r>
        <w:t>radiotherapy</w:t>
      </w:r>
      <w:bookmarkEnd w:id="310"/>
    </w:p>
    <w:p w14:paraId="21BE4D91" w14:textId="53ECAAE4" w:rsidR="006D2221" w:rsidRDefault="002D7A6B" w:rsidP="00C22682">
      <w:r>
        <w:t xml:space="preserve">The safety of palliative radiotherapy regimens was comprehensively </w:t>
      </w:r>
      <w:r w:rsidR="0012116A">
        <w:t>evaluated</w:t>
      </w:r>
      <w:r>
        <w:t xml:space="preserve"> in a 2015 Cochrane review </w:t>
      </w:r>
      <w:r>
        <w:fldChar w:fldCharType="begin"/>
      </w:r>
      <w:r w:rsidR="00194054">
        <w:instrText xml:space="preserve"> ADDIN EN.CITE &lt;EndNote&gt;&lt;Cite&gt;&lt;Author&gt;Stevens&lt;/Author&gt;&lt;Year&gt;2015&lt;/Year&gt;&lt;RecNum&gt;159&lt;/RecNum&gt;&lt;DisplayText&gt;(Stevens et al 2015)&lt;/DisplayText&gt;&lt;record&gt;&lt;rec-number&gt;159&lt;/rec-number&gt;&lt;foreign-keys&gt;&lt;key app="EN" db-id="05ssdaw2cf0zvye5xvo5z9ww0xdpfstrdtew" timestamp="1469142663"&gt;159&lt;/key&gt;&lt;/foreign-keys&gt;&lt;ref-type name="Journal Article"&gt;17&lt;/ref-type&gt;&lt;contributors&gt;&lt;authors&gt;&lt;author&gt;Stevens, R.&lt;/author&gt;&lt;author&gt;Macbeth, F.&lt;/author&gt;&lt;author&gt;Toy, E.&lt;/author&gt;&lt;author&gt;Coles, B.&lt;/author&gt;&lt;author&gt;Lester, J. F.&lt;/author&gt;&lt;/authors&gt;&lt;/contributors&gt;&lt;auth-address&gt;Beatson West of Scotland Cancer Centre, Glasgow, UK.&lt;/auth-address&gt;&lt;titles&gt;&lt;title&gt;Palliative radiotherapy regimens for patients with thoracic symptoms from non-small cell lung cancer&lt;/title&gt;&lt;secondary-title&gt;Cochrane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002143&lt;/pages&gt;&lt;volume&gt;1&lt;/volume&gt;&lt;edition&gt;2015/01/15&lt;/edition&gt;&lt;dates&gt;&lt;year&gt;2015&lt;/year&gt;&lt;/dates&gt;&lt;isbn&gt;1361-6137&lt;/isbn&gt;&lt;accession-num&gt;25586198&lt;/accession-num&gt;&lt;urls&gt;&lt;/urls&gt;&lt;electronic-resource-num&gt;10.1002/14651858.CD002143.pub4&lt;/electronic-resource-num&gt;&lt;remote-database-provider&gt;NLM&lt;/remote-database-provider&gt;&lt;language&gt;eng&lt;/language&gt;&lt;/record&gt;&lt;/Cite&gt;&lt;/EndNote&gt;</w:instrText>
      </w:r>
      <w:r>
        <w:fldChar w:fldCharType="separate"/>
      </w:r>
      <w:r>
        <w:rPr>
          <w:noProof/>
        </w:rPr>
        <w:t>(</w:t>
      </w:r>
      <w:hyperlink w:anchor="_ENREF_148" w:tooltip="Stevens, 2015 #159" w:history="1">
        <w:r w:rsidR="00320458">
          <w:rPr>
            <w:noProof/>
          </w:rPr>
          <w:t>Stevens et al 2015</w:t>
        </w:r>
      </w:hyperlink>
      <w:r>
        <w:rPr>
          <w:noProof/>
        </w:rPr>
        <w:t>)</w:t>
      </w:r>
      <w:r>
        <w:fldChar w:fldCharType="end"/>
      </w:r>
      <w:r>
        <w:t>.</w:t>
      </w:r>
      <w:r w:rsidR="008F5B79">
        <w:t xml:space="preserve"> T</w:t>
      </w:r>
      <w:r w:rsidR="0002533E">
        <w:t>he review sought to assess the impact</w:t>
      </w:r>
      <w:r w:rsidR="008F5B79">
        <w:t xml:space="preserve"> of different radiotherapy regimens on symptom relief and overall survival </w:t>
      </w:r>
      <w:r w:rsidR="0087588E">
        <w:t>in</w:t>
      </w:r>
      <w:r w:rsidR="008F5B79">
        <w:t xml:space="preserve"> patients with NSCLC who were not suitable for radical </w:t>
      </w:r>
      <w:r w:rsidR="00E55F4A">
        <w:t>radiotherapy</w:t>
      </w:r>
      <w:r w:rsidR="008F5B79">
        <w:t xml:space="preserve"> </w:t>
      </w:r>
      <w:r w:rsidR="00C6561C">
        <w:t>delivered</w:t>
      </w:r>
      <w:r w:rsidR="00AB537C">
        <w:t xml:space="preserve"> </w:t>
      </w:r>
      <w:r w:rsidR="008F5B79">
        <w:t xml:space="preserve">with curative intent. </w:t>
      </w:r>
      <w:r w:rsidR="00B51986">
        <w:t xml:space="preserve">The main safety outcomes identified in the review, and corresponding quality of evidence (GRADE), are reported in </w:t>
      </w:r>
      <w:r w:rsidR="00B51986">
        <w:fldChar w:fldCharType="begin"/>
      </w:r>
      <w:r w:rsidR="00B51986">
        <w:instrText xml:space="preserve"> REF _Ref458418973 \h </w:instrText>
      </w:r>
      <w:r w:rsidR="00B51986">
        <w:fldChar w:fldCharType="separate"/>
      </w:r>
      <w:r w:rsidR="00D170A5">
        <w:t xml:space="preserve">Table </w:t>
      </w:r>
      <w:r w:rsidR="00D170A5">
        <w:rPr>
          <w:noProof/>
        </w:rPr>
        <w:t>49</w:t>
      </w:r>
      <w:r w:rsidR="00B51986">
        <w:fldChar w:fldCharType="end"/>
      </w:r>
      <w:r w:rsidR="00B51986">
        <w:t>.</w:t>
      </w:r>
      <w:r w:rsidR="0068346D">
        <w:t xml:space="preserve"> </w:t>
      </w:r>
    </w:p>
    <w:p w14:paraId="1CB27E3B" w14:textId="59E0ABBC" w:rsidR="00113675" w:rsidRDefault="00113675" w:rsidP="00113675">
      <w:pPr>
        <w:pStyle w:val="Caption"/>
        <w:keepNext/>
      </w:pPr>
      <w:bookmarkStart w:id="311" w:name="_Ref458418973"/>
      <w:bookmarkStart w:id="312" w:name="_Toc460514707"/>
      <w:r>
        <w:t xml:space="preserve">Table </w:t>
      </w:r>
      <w:fldSimple w:instr=" SEQ Table \* ARABIC ">
        <w:r w:rsidR="00D170A5">
          <w:rPr>
            <w:noProof/>
          </w:rPr>
          <w:t>49</w:t>
        </w:r>
      </w:fldSimple>
      <w:bookmarkEnd w:id="311"/>
      <w:r>
        <w:tab/>
        <w:t xml:space="preserve">Safety </w:t>
      </w:r>
      <w:r w:rsidR="001B5519">
        <w:t xml:space="preserve">results </w:t>
      </w:r>
      <w:r>
        <w:t>and quality of evidence for palliative radiotherapy regimens</w:t>
      </w:r>
      <w:r w:rsidR="00E94AE1">
        <w:t xml:space="preserve"> </w:t>
      </w:r>
      <w:r w:rsidR="00E94AE1">
        <w:fldChar w:fldCharType="begin"/>
      </w:r>
      <w:r w:rsidR="00194054">
        <w:instrText xml:space="preserve"> ADDIN EN.CITE &lt;EndNote&gt;&lt;Cite&gt;&lt;Author&gt;Stevens&lt;/Author&gt;&lt;Year&gt;2015&lt;/Year&gt;&lt;RecNum&gt;159&lt;/RecNum&gt;&lt;DisplayText&gt;(Stevens et al 2015)&lt;/DisplayText&gt;&lt;record&gt;&lt;rec-number&gt;159&lt;/rec-number&gt;&lt;foreign-keys&gt;&lt;key app="EN" db-id="05ssdaw2cf0zvye5xvo5z9ww0xdpfstrdtew" timestamp="1469142663"&gt;159&lt;/key&gt;&lt;/foreign-keys&gt;&lt;ref-type name="Journal Article"&gt;17&lt;/ref-type&gt;&lt;contributors&gt;&lt;authors&gt;&lt;author&gt;Stevens, R.&lt;/author&gt;&lt;author&gt;Macbeth, F.&lt;/author&gt;&lt;author&gt;Toy, E.&lt;/author&gt;&lt;author&gt;Coles, B.&lt;/author&gt;&lt;author&gt;Lester, J. F.&lt;/author&gt;&lt;/authors&gt;&lt;/contributors&gt;&lt;auth-address&gt;Beatson West of Scotland Cancer Centre, Glasgow, UK.&lt;/auth-address&gt;&lt;titles&gt;&lt;title&gt;Palliative radiotherapy regimens for patients with thoracic symptoms from non-small cell lung cancer&lt;/title&gt;&lt;secondary-title&gt;Cochrane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002143&lt;/pages&gt;&lt;volume&gt;1&lt;/volume&gt;&lt;edition&gt;2015/01/15&lt;/edition&gt;&lt;dates&gt;&lt;year&gt;2015&lt;/year&gt;&lt;/dates&gt;&lt;isbn&gt;1361-6137&lt;/isbn&gt;&lt;accession-num&gt;25586198&lt;/accession-num&gt;&lt;urls&gt;&lt;/urls&gt;&lt;electronic-resource-num&gt;10.1002/14651858.CD002143.pub4&lt;/electronic-resource-num&gt;&lt;remote-database-provider&gt;NLM&lt;/remote-database-provider&gt;&lt;language&gt;eng&lt;/language&gt;&lt;/record&gt;&lt;/Cite&gt;&lt;/EndNote&gt;</w:instrText>
      </w:r>
      <w:r w:rsidR="00E94AE1">
        <w:fldChar w:fldCharType="separate"/>
      </w:r>
      <w:r w:rsidR="00E94AE1">
        <w:rPr>
          <w:noProof/>
        </w:rPr>
        <w:t>(</w:t>
      </w:r>
      <w:hyperlink w:anchor="_ENREF_148" w:tooltip="Stevens, 2015 #159" w:history="1">
        <w:r w:rsidR="00320458">
          <w:rPr>
            <w:noProof/>
          </w:rPr>
          <w:t>Stevens et al 2015</w:t>
        </w:r>
      </w:hyperlink>
      <w:r w:rsidR="00E94AE1">
        <w:rPr>
          <w:noProof/>
        </w:rPr>
        <w:t>)</w:t>
      </w:r>
      <w:bookmarkEnd w:id="312"/>
      <w:r w:rsidR="00E94AE1">
        <w:fldChar w:fldCharType="end"/>
      </w:r>
    </w:p>
    <w:tbl>
      <w:tblPr>
        <w:tblStyle w:val="TableGrid"/>
        <w:tblW w:w="9319" w:type="dxa"/>
        <w:tblLook w:val="04A0" w:firstRow="1" w:lastRow="0" w:firstColumn="1" w:lastColumn="0" w:noHBand="0" w:noVBand="1"/>
        <w:tblCaption w:val="Safety results and quality of evidence for palliative radiotherapy regimens (Stevens et al 2015)"/>
      </w:tblPr>
      <w:tblGrid>
        <w:gridCol w:w="1384"/>
        <w:gridCol w:w="1202"/>
        <w:gridCol w:w="1232"/>
        <w:gridCol w:w="1204"/>
        <w:gridCol w:w="1147"/>
        <w:gridCol w:w="1218"/>
        <w:gridCol w:w="1932"/>
      </w:tblGrid>
      <w:tr w:rsidR="00393EEF" w14:paraId="4326D977" w14:textId="77777777" w:rsidTr="009B664D">
        <w:trPr>
          <w:tblHeader/>
        </w:trPr>
        <w:tc>
          <w:tcPr>
            <w:tcW w:w="1384" w:type="dxa"/>
            <w:tcBorders>
              <w:bottom w:val="nil"/>
            </w:tcBorders>
            <w:shd w:val="clear" w:color="auto" w:fill="D9D9D9" w:themeFill="background1" w:themeFillShade="D9"/>
          </w:tcPr>
          <w:p w14:paraId="06A16D03" w14:textId="77777777" w:rsidR="00C50C22" w:rsidRPr="009B664D" w:rsidRDefault="00C50C22" w:rsidP="009B664D">
            <w:pPr>
              <w:pStyle w:val="Tabletext1"/>
              <w:rPr>
                <w:b/>
              </w:rPr>
            </w:pPr>
          </w:p>
        </w:tc>
        <w:tc>
          <w:tcPr>
            <w:tcW w:w="1202" w:type="dxa"/>
            <w:tcBorders>
              <w:right w:val="nil"/>
            </w:tcBorders>
            <w:shd w:val="clear" w:color="auto" w:fill="D9D9D9" w:themeFill="background1" w:themeFillShade="D9"/>
          </w:tcPr>
          <w:p w14:paraId="79DFBBD1" w14:textId="77777777" w:rsidR="00C50C22" w:rsidRPr="009B664D" w:rsidRDefault="00307632" w:rsidP="009B664D">
            <w:pPr>
              <w:pStyle w:val="Tabletext1"/>
              <w:ind w:left="0"/>
              <w:rPr>
                <w:b/>
              </w:rPr>
            </w:pPr>
            <w:r w:rsidRPr="009B664D">
              <w:rPr>
                <w:b/>
              </w:rPr>
              <w:t xml:space="preserve">Illustrative risks* </w:t>
            </w:r>
          </w:p>
        </w:tc>
        <w:tc>
          <w:tcPr>
            <w:tcW w:w="1232" w:type="dxa"/>
            <w:tcBorders>
              <w:left w:val="nil"/>
            </w:tcBorders>
            <w:shd w:val="clear" w:color="auto" w:fill="D9D9D9" w:themeFill="background1" w:themeFillShade="D9"/>
          </w:tcPr>
          <w:p w14:paraId="173535D1" w14:textId="5AFD00F6" w:rsidR="00E80482" w:rsidRPr="009B664D" w:rsidRDefault="005B5932" w:rsidP="009B664D">
            <w:pPr>
              <w:pStyle w:val="Tabletext1"/>
              <w:ind w:left="0"/>
              <w:rPr>
                <w:b/>
              </w:rPr>
            </w:pPr>
            <w:r>
              <w:rPr>
                <w:b/>
              </w:rPr>
              <w:t>C</w:t>
            </w:r>
            <w:r w:rsidR="00E80482" w:rsidRPr="009B664D">
              <w:rPr>
                <w:b/>
              </w:rPr>
              <w:t>omparative (95% CI)</w:t>
            </w:r>
          </w:p>
        </w:tc>
        <w:tc>
          <w:tcPr>
            <w:tcW w:w="1204" w:type="dxa"/>
            <w:tcBorders>
              <w:bottom w:val="nil"/>
            </w:tcBorders>
            <w:shd w:val="clear" w:color="auto" w:fill="D9D9D9" w:themeFill="background1" w:themeFillShade="D9"/>
          </w:tcPr>
          <w:p w14:paraId="6F5E5430" w14:textId="77777777" w:rsidR="004560FF" w:rsidRPr="009B664D" w:rsidRDefault="00A35C0A" w:rsidP="009B664D">
            <w:pPr>
              <w:pStyle w:val="Tabletext1"/>
              <w:ind w:left="0"/>
              <w:rPr>
                <w:b/>
              </w:rPr>
            </w:pPr>
            <w:r w:rsidRPr="009B664D">
              <w:rPr>
                <w:b/>
              </w:rPr>
              <w:t>Relative effect</w:t>
            </w:r>
          </w:p>
        </w:tc>
        <w:tc>
          <w:tcPr>
            <w:tcW w:w="1147" w:type="dxa"/>
            <w:tcBorders>
              <w:bottom w:val="nil"/>
            </w:tcBorders>
            <w:shd w:val="clear" w:color="auto" w:fill="D9D9D9" w:themeFill="background1" w:themeFillShade="D9"/>
          </w:tcPr>
          <w:p w14:paraId="10D0974C" w14:textId="77777777" w:rsidR="00C50C22" w:rsidRPr="009B664D" w:rsidRDefault="00A35C0A" w:rsidP="009B664D">
            <w:pPr>
              <w:pStyle w:val="Tabletext1"/>
              <w:ind w:left="0"/>
              <w:rPr>
                <w:b/>
              </w:rPr>
            </w:pPr>
            <w:r w:rsidRPr="009B664D">
              <w:rPr>
                <w:b/>
              </w:rPr>
              <w:t xml:space="preserve">No of </w:t>
            </w:r>
            <w:r w:rsidR="003A53A3" w:rsidRPr="009B664D">
              <w:rPr>
                <w:b/>
              </w:rPr>
              <w:t>patients</w:t>
            </w:r>
          </w:p>
        </w:tc>
        <w:tc>
          <w:tcPr>
            <w:tcW w:w="1218" w:type="dxa"/>
            <w:tcBorders>
              <w:bottom w:val="nil"/>
            </w:tcBorders>
            <w:shd w:val="clear" w:color="auto" w:fill="D9D9D9" w:themeFill="background1" w:themeFillShade="D9"/>
          </w:tcPr>
          <w:p w14:paraId="2D48FAC7" w14:textId="77777777" w:rsidR="00C50C22" w:rsidRPr="009B664D" w:rsidRDefault="00A35C0A" w:rsidP="009B664D">
            <w:pPr>
              <w:pStyle w:val="Tabletext1"/>
              <w:ind w:left="0"/>
              <w:rPr>
                <w:b/>
              </w:rPr>
            </w:pPr>
            <w:r w:rsidRPr="009B664D">
              <w:rPr>
                <w:b/>
              </w:rPr>
              <w:t>Quality of the evidence</w:t>
            </w:r>
          </w:p>
        </w:tc>
        <w:tc>
          <w:tcPr>
            <w:tcW w:w="1932" w:type="dxa"/>
            <w:tcBorders>
              <w:bottom w:val="nil"/>
            </w:tcBorders>
            <w:shd w:val="clear" w:color="auto" w:fill="D9D9D9" w:themeFill="background1" w:themeFillShade="D9"/>
          </w:tcPr>
          <w:p w14:paraId="63C978A9" w14:textId="77777777" w:rsidR="00C50C22" w:rsidRPr="009B664D" w:rsidRDefault="00C50C22" w:rsidP="009B664D">
            <w:pPr>
              <w:pStyle w:val="Tabletext1"/>
              <w:rPr>
                <w:b/>
              </w:rPr>
            </w:pPr>
          </w:p>
        </w:tc>
      </w:tr>
      <w:tr w:rsidR="00393EEF" w14:paraId="67ADCC92" w14:textId="77777777" w:rsidTr="009B664D">
        <w:tc>
          <w:tcPr>
            <w:tcW w:w="1384" w:type="dxa"/>
            <w:tcBorders>
              <w:top w:val="nil"/>
            </w:tcBorders>
            <w:shd w:val="clear" w:color="auto" w:fill="D9D9D9" w:themeFill="background1" w:themeFillShade="D9"/>
          </w:tcPr>
          <w:p w14:paraId="44717D8D" w14:textId="77777777" w:rsidR="00A35C0A" w:rsidRPr="009B664D" w:rsidRDefault="00A35C0A" w:rsidP="009B664D">
            <w:pPr>
              <w:pStyle w:val="Tabletext1"/>
              <w:ind w:left="0"/>
              <w:rPr>
                <w:b/>
              </w:rPr>
            </w:pPr>
            <w:r w:rsidRPr="009B664D">
              <w:rPr>
                <w:b/>
              </w:rPr>
              <w:t>Outcomes</w:t>
            </w:r>
          </w:p>
        </w:tc>
        <w:tc>
          <w:tcPr>
            <w:tcW w:w="1202" w:type="dxa"/>
            <w:shd w:val="clear" w:color="auto" w:fill="D9D9D9" w:themeFill="background1" w:themeFillShade="D9"/>
            <w:vAlign w:val="bottom"/>
          </w:tcPr>
          <w:p w14:paraId="50EA6376" w14:textId="77777777" w:rsidR="00A35C0A" w:rsidRPr="009B664D" w:rsidRDefault="00A35C0A" w:rsidP="009B664D">
            <w:pPr>
              <w:pStyle w:val="Tabletext1"/>
              <w:ind w:left="0"/>
              <w:rPr>
                <w:b/>
              </w:rPr>
            </w:pPr>
            <w:r w:rsidRPr="009B664D">
              <w:rPr>
                <w:b/>
              </w:rPr>
              <w:t>Less fractions</w:t>
            </w:r>
          </w:p>
        </w:tc>
        <w:tc>
          <w:tcPr>
            <w:tcW w:w="1232" w:type="dxa"/>
            <w:shd w:val="clear" w:color="auto" w:fill="D9D9D9" w:themeFill="background1" w:themeFillShade="D9"/>
            <w:vAlign w:val="bottom"/>
          </w:tcPr>
          <w:p w14:paraId="4AF68C85" w14:textId="77777777" w:rsidR="00A35C0A" w:rsidRPr="009B664D" w:rsidRDefault="00A35C0A" w:rsidP="009B664D">
            <w:pPr>
              <w:pStyle w:val="Tabletext1"/>
              <w:ind w:left="0"/>
              <w:rPr>
                <w:b/>
              </w:rPr>
            </w:pPr>
            <w:r w:rsidRPr="009B664D">
              <w:rPr>
                <w:b/>
              </w:rPr>
              <w:t>More fractions</w:t>
            </w:r>
          </w:p>
        </w:tc>
        <w:tc>
          <w:tcPr>
            <w:tcW w:w="1204" w:type="dxa"/>
            <w:tcBorders>
              <w:top w:val="nil"/>
            </w:tcBorders>
            <w:shd w:val="clear" w:color="auto" w:fill="D9D9D9" w:themeFill="background1" w:themeFillShade="D9"/>
          </w:tcPr>
          <w:p w14:paraId="6F799E4F" w14:textId="77777777" w:rsidR="00A35C0A" w:rsidRPr="009B664D" w:rsidRDefault="00A35C0A" w:rsidP="009B664D">
            <w:pPr>
              <w:pStyle w:val="Tabletext1"/>
              <w:ind w:left="0"/>
              <w:rPr>
                <w:b/>
              </w:rPr>
            </w:pPr>
            <w:r w:rsidRPr="009B664D">
              <w:rPr>
                <w:b/>
              </w:rPr>
              <w:t>(95% CI)</w:t>
            </w:r>
          </w:p>
        </w:tc>
        <w:tc>
          <w:tcPr>
            <w:tcW w:w="1147" w:type="dxa"/>
            <w:tcBorders>
              <w:top w:val="nil"/>
            </w:tcBorders>
            <w:shd w:val="clear" w:color="auto" w:fill="D9D9D9" w:themeFill="background1" w:themeFillShade="D9"/>
          </w:tcPr>
          <w:p w14:paraId="27BB2E4B" w14:textId="77777777" w:rsidR="00A35C0A" w:rsidRPr="009B664D" w:rsidRDefault="00A35C0A" w:rsidP="009B664D">
            <w:pPr>
              <w:pStyle w:val="Tabletext1"/>
              <w:ind w:left="0"/>
              <w:rPr>
                <w:b/>
              </w:rPr>
            </w:pPr>
            <w:r w:rsidRPr="009B664D">
              <w:rPr>
                <w:b/>
              </w:rPr>
              <w:t>(studies)</w:t>
            </w:r>
          </w:p>
        </w:tc>
        <w:tc>
          <w:tcPr>
            <w:tcW w:w="1218" w:type="dxa"/>
            <w:tcBorders>
              <w:top w:val="nil"/>
            </w:tcBorders>
            <w:shd w:val="clear" w:color="auto" w:fill="D9D9D9" w:themeFill="background1" w:themeFillShade="D9"/>
          </w:tcPr>
          <w:p w14:paraId="52EBB4CF" w14:textId="77777777" w:rsidR="00A35C0A" w:rsidRPr="009B664D" w:rsidRDefault="00A35C0A" w:rsidP="009B664D">
            <w:pPr>
              <w:pStyle w:val="Tabletext1"/>
              <w:ind w:left="0"/>
              <w:rPr>
                <w:b/>
              </w:rPr>
            </w:pPr>
            <w:r w:rsidRPr="009B664D">
              <w:rPr>
                <w:b/>
              </w:rPr>
              <w:t>(GRADE)</w:t>
            </w:r>
          </w:p>
        </w:tc>
        <w:tc>
          <w:tcPr>
            <w:tcW w:w="1932" w:type="dxa"/>
            <w:tcBorders>
              <w:top w:val="nil"/>
            </w:tcBorders>
            <w:shd w:val="clear" w:color="auto" w:fill="D9D9D9" w:themeFill="background1" w:themeFillShade="D9"/>
          </w:tcPr>
          <w:p w14:paraId="37844091" w14:textId="77777777" w:rsidR="00A35C0A" w:rsidRPr="009B664D" w:rsidRDefault="00A35C0A" w:rsidP="009B664D">
            <w:pPr>
              <w:pStyle w:val="Tabletext1"/>
              <w:ind w:left="0"/>
              <w:rPr>
                <w:b/>
              </w:rPr>
            </w:pPr>
            <w:r w:rsidRPr="009B664D">
              <w:rPr>
                <w:b/>
              </w:rPr>
              <w:t>Comments</w:t>
            </w:r>
          </w:p>
        </w:tc>
      </w:tr>
      <w:tr w:rsidR="00E80482" w14:paraId="36123688" w14:textId="77777777" w:rsidTr="00CF1E43">
        <w:tc>
          <w:tcPr>
            <w:tcW w:w="1384" w:type="dxa"/>
          </w:tcPr>
          <w:p w14:paraId="118DEB56" w14:textId="77777777" w:rsidR="00C50C22" w:rsidRPr="00C50C22" w:rsidRDefault="0088353D" w:rsidP="009B664D">
            <w:pPr>
              <w:pStyle w:val="Tabletext1"/>
              <w:ind w:left="0"/>
            </w:pPr>
            <w:r>
              <w:t>Oesophagitis (grade 3 to 4)</w:t>
            </w:r>
          </w:p>
        </w:tc>
        <w:tc>
          <w:tcPr>
            <w:tcW w:w="1202" w:type="dxa"/>
          </w:tcPr>
          <w:p w14:paraId="0C8A041C" w14:textId="2FC255F4" w:rsidR="00C50C22" w:rsidRPr="00C50C22" w:rsidRDefault="00065AF9" w:rsidP="009B664D">
            <w:pPr>
              <w:pStyle w:val="Tabletext1"/>
              <w:ind w:left="0"/>
            </w:pPr>
            <w:r>
              <w:t>Mean 22.3% (0</w:t>
            </w:r>
            <w:r w:rsidR="007E3D66">
              <w:t>–</w:t>
            </w:r>
            <w:r>
              <w:t>50%)</w:t>
            </w:r>
          </w:p>
        </w:tc>
        <w:tc>
          <w:tcPr>
            <w:tcW w:w="1232" w:type="dxa"/>
          </w:tcPr>
          <w:p w14:paraId="25CC4CB0" w14:textId="31058ED2" w:rsidR="00C50C22" w:rsidRPr="00C50C22" w:rsidRDefault="00065AF9" w:rsidP="009B664D">
            <w:pPr>
              <w:pStyle w:val="Tabletext1"/>
              <w:ind w:left="0"/>
            </w:pPr>
            <w:r>
              <w:t>Mean 25.7% (0</w:t>
            </w:r>
            <w:r w:rsidR="007E3D66">
              <w:t>–</w:t>
            </w:r>
            <w:r>
              <w:t>56%)</w:t>
            </w:r>
          </w:p>
        </w:tc>
        <w:tc>
          <w:tcPr>
            <w:tcW w:w="1204" w:type="dxa"/>
          </w:tcPr>
          <w:p w14:paraId="29A6BD5A" w14:textId="77777777" w:rsidR="00763570" w:rsidRDefault="00763570" w:rsidP="009B664D">
            <w:pPr>
              <w:pStyle w:val="Tabletext1"/>
              <w:ind w:left="0"/>
            </w:pPr>
            <w:r>
              <w:t xml:space="preserve">RR 1.23 </w:t>
            </w:r>
          </w:p>
          <w:p w14:paraId="7CBAEF1F" w14:textId="1428D297" w:rsidR="00C50C22" w:rsidRPr="00C50C22" w:rsidRDefault="00763570" w:rsidP="009B664D">
            <w:pPr>
              <w:pStyle w:val="Tabletext1"/>
              <w:ind w:left="0"/>
            </w:pPr>
            <w:r>
              <w:t>(0.81</w:t>
            </w:r>
            <w:r w:rsidR="007E3D66">
              <w:t>–</w:t>
            </w:r>
            <w:r>
              <w:t>1.87)</w:t>
            </w:r>
          </w:p>
        </w:tc>
        <w:tc>
          <w:tcPr>
            <w:tcW w:w="1147" w:type="dxa"/>
          </w:tcPr>
          <w:p w14:paraId="2A7478C4" w14:textId="77777777" w:rsidR="00763570" w:rsidRDefault="00763570" w:rsidP="009B664D">
            <w:pPr>
              <w:pStyle w:val="Tabletext1"/>
              <w:ind w:left="0"/>
            </w:pPr>
            <w:r>
              <w:t xml:space="preserve">1302 </w:t>
            </w:r>
          </w:p>
          <w:p w14:paraId="5149BE76" w14:textId="77777777" w:rsidR="00C50C22" w:rsidRPr="00C50C22" w:rsidRDefault="00763570" w:rsidP="00393EEF">
            <w:pPr>
              <w:pStyle w:val="Tabletext1"/>
              <w:ind w:left="0"/>
            </w:pPr>
            <w:r>
              <w:t>(8 studies)</w:t>
            </w:r>
          </w:p>
        </w:tc>
        <w:tc>
          <w:tcPr>
            <w:tcW w:w="1218" w:type="dxa"/>
          </w:tcPr>
          <w:p w14:paraId="2CE17770" w14:textId="77777777" w:rsidR="009B664D" w:rsidRDefault="00827831" w:rsidP="009B664D">
            <w:pPr>
              <w:pStyle w:val="Tabletext1"/>
              <w:ind w:left="0"/>
              <w:rPr>
                <w:rStyle w:val="quality-sign"/>
                <w:rFonts w:eastAsia="MS Mincho" w:cs="MS Mincho"/>
                <w:sz w:val="21"/>
                <w:szCs w:val="21"/>
              </w:rPr>
            </w:pPr>
            <w:r>
              <w:rPr>
                <w:rFonts w:ascii="Cambria Math" w:hAnsi="Cambria Math"/>
                <w:color w:val="00B050"/>
              </w:rPr>
              <w:t>⨁⨁</w:t>
            </w:r>
            <w:r w:rsidRPr="00D4733A">
              <w:rPr>
                <w:rFonts w:ascii="Cambria Math" w:hAnsi="Cambria Math" w:cs="Cambria Math"/>
                <w:color w:val="C00000"/>
              </w:rPr>
              <w:t>⨀⨀</w:t>
            </w:r>
            <w:r>
              <w:rPr>
                <w:rStyle w:val="quality-sign"/>
                <w:rFonts w:eastAsia="MS Mincho" w:cs="MS Mincho"/>
                <w:sz w:val="21"/>
                <w:szCs w:val="21"/>
              </w:rPr>
              <w:t xml:space="preserve"> </w:t>
            </w:r>
          </w:p>
          <w:p w14:paraId="151C84BE" w14:textId="60AFCC4B" w:rsidR="00C50C22" w:rsidRPr="00C50C22" w:rsidRDefault="00827831" w:rsidP="009B664D">
            <w:pPr>
              <w:pStyle w:val="Tabletext1"/>
              <w:ind w:left="0"/>
            </w:pPr>
            <w:r w:rsidRPr="007C6F8D">
              <w:rPr>
                <w:rStyle w:val="quality-sign"/>
                <w:rFonts w:eastAsia="MS Mincho" w:cs="MS Mincho"/>
                <w:sz w:val="21"/>
                <w:szCs w:val="21"/>
              </w:rPr>
              <w:t>LOW</w:t>
            </w:r>
          </w:p>
        </w:tc>
        <w:tc>
          <w:tcPr>
            <w:tcW w:w="1932" w:type="dxa"/>
          </w:tcPr>
          <w:p w14:paraId="021D38A1" w14:textId="77777777" w:rsidR="00C50C22" w:rsidRPr="00C50C22" w:rsidRDefault="00FB2D3A" w:rsidP="009B664D">
            <w:pPr>
              <w:pStyle w:val="Tabletext1"/>
              <w:ind w:left="0"/>
            </w:pPr>
            <w:r>
              <w:t>NR in all trials, mixed patient- and physician-reported toxicity</w:t>
            </w:r>
          </w:p>
        </w:tc>
      </w:tr>
      <w:tr w:rsidR="00E80482" w14:paraId="0F3A0EDF" w14:textId="77777777" w:rsidTr="00CF1E43">
        <w:tc>
          <w:tcPr>
            <w:tcW w:w="1384" w:type="dxa"/>
          </w:tcPr>
          <w:p w14:paraId="73C2C22B" w14:textId="77777777" w:rsidR="00C50C22" w:rsidRPr="00C50C22" w:rsidRDefault="0088353D" w:rsidP="009B664D">
            <w:pPr>
              <w:pStyle w:val="Tabletext1"/>
              <w:ind w:left="0"/>
            </w:pPr>
            <w:r>
              <w:t>Radiation myelopathy (any grade)</w:t>
            </w:r>
          </w:p>
        </w:tc>
        <w:tc>
          <w:tcPr>
            <w:tcW w:w="1202" w:type="dxa"/>
          </w:tcPr>
          <w:p w14:paraId="119FD666" w14:textId="5C583F36" w:rsidR="00C50C22" w:rsidRPr="00C50C22" w:rsidRDefault="005338A1" w:rsidP="009B664D">
            <w:pPr>
              <w:pStyle w:val="Tabletext1"/>
              <w:ind w:left="0"/>
            </w:pPr>
            <w:r>
              <w:t>Mean 0.30% (0</w:t>
            </w:r>
            <w:r w:rsidR="007E3D66">
              <w:t>–</w:t>
            </w:r>
            <w:r>
              <w:t>1.4%)</w:t>
            </w:r>
          </w:p>
        </w:tc>
        <w:tc>
          <w:tcPr>
            <w:tcW w:w="1232" w:type="dxa"/>
          </w:tcPr>
          <w:p w14:paraId="3BF0B463" w14:textId="37D34C97" w:rsidR="00C50C22" w:rsidRPr="00C50C22" w:rsidRDefault="005338A1" w:rsidP="009B664D">
            <w:pPr>
              <w:pStyle w:val="Tabletext1"/>
              <w:ind w:left="0"/>
            </w:pPr>
            <w:r>
              <w:t>Mean 0.38% (0</w:t>
            </w:r>
            <w:r w:rsidR="007E3D66">
              <w:t>–</w:t>
            </w:r>
            <w:r>
              <w:t>1.6%)</w:t>
            </w:r>
          </w:p>
        </w:tc>
        <w:tc>
          <w:tcPr>
            <w:tcW w:w="1204" w:type="dxa"/>
          </w:tcPr>
          <w:p w14:paraId="1C450FAF" w14:textId="77777777" w:rsidR="00C50C22" w:rsidRDefault="007071D3" w:rsidP="009B664D">
            <w:pPr>
              <w:pStyle w:val="Tabletext1"/>
              <w:ind w:left="0"/>
            </w:pPr>
            <w:r>
              <w:t>RR 1.29</w:t>
            </w:r>
          </w:p>
          <w:p w14:paraId="20777E9F" w14:textId="3F976576" w:rsidR="007071D3" w:rsidRPr="00C50C22" w:rsidRDefault="007071D3" w:rsidP="009B664D">
            <w:pPr>
              <w:pStyle w:val="Tabletext1"/>
              <w:ind w:left="0"/>
            </w:pPr>
            <w:r>
              <w:t>(0.37</w:t>
            </w:r>
            <w:r w:rsidR="007E3D66">
              <w:t>–</w:t>
            </w:r>
            <w:r>
              <w:t>4.51)</w:t>
            </w:r>
          </w:p>
        </w:tc>
        <w:tc>
          <w:tcPr>
            <w:tcW w:w="1147" w:type="dxa"/>
          </w:tcPr>
          <w:p w14:paraId="23416FA2" w14:textId="77777777" w:rsidR="00C50C22" w:rsidRDefault="007071D3" w:rsidP="009B664D">
            <w:pPr>
              <w:pStyle w:val="Tabletext1"/>
              <w:ind w:left="0"/>
            </w:pPr>
            <w:r>
              <w:t>2663</w:t>
            </w:r>
          </w:p>
          <w:p w14:paraId="20645379" w14:textId="77777777" w:rsidR="007071D3" w:rsidRPr="00C50C22" w:rsidRDefault="007071D3" w:rsidP="009B664D">
            <w:pPr>
              <w:pStyle w:val="Tabletext1"/>
              <w:ind w:left="0"/>
            </w:pPr>
            <w:r>
              <w:t>(11 studies)</w:t>
            </w:r>
          </w:p>
        </w:tc>
        <w:tc>
          <w:tcPr>
            <w:tcW w:w="1218" w:type="dxa"/>
          </w:tcPr>
          <w:p w14:paraId="533D3375" w14:textId="77777777" w:rsidR="009B664D" w:rsidRDefault="00827831" w:rsidP="009B664D">
            <w:pPr>
              <w:pStyle w:val="Tabletext1"/>
              <w:ind w:left="0"/>
              <w:rPr>
                <w:rStyle w:val="quality-sign"/>
                <w:rFonts w:eastAsia="MS Mincho" w:cs="MS Mincho"/>
                <w:sz w:val="21"/>
                <w:szCs w:val="21"/>
              </w:rPr>
            </w:pPr>
            <w:r>
              <w:rPr>
                <w:rFonts w:ascii="Cambria Math" w:hAnsi="Cambria Math"/>
                <w:color w:val="00B050"/>
              </w:rPr>
              <w:t>⨁⨁⨁</w:t>
            </w:r>
            <w:r w:rsidRPr="00D4733A">
              <w:rPr>
                <w:rFonts w:ascii="Cambria Math" w:hAnsi="Cambria Math" w:cs="Cambria Math"/>
                <w:color w:val="C00000"/>
              </w:rPr>
              <w:t>⨀</w:t>
            </w:r>
            <w:r>
              <w:rPr>
                <w:rStyle w:val="quality-sign"/>
                <w:rFonts w:eastAsia="MS Mincho" w:cs="MS Mincho"/>
                <w:sz w:val="21"/>
                <w:szCs w:val="21"/>
              </w:rPr>
              <w:t xml:space="preserve"> </w:t>
            </w:r>
          </w:p>
          <w:p w14:paraId="43E31695" w14:textId="6DEC0404" w:rsidR="00C50C22" w:rsidRPr="00C50C22" w:rsidRDefault="00827831" w:rsidP="009B664D">
            <w:pPr>
              <w:pStyle w:val="Tabletext1"/>
              <w:ind w:left="0"/>
            </w:pPr>
            <w:r>
              <w:rPr>
                <w:rStyle w:val="quality-sign"/>
                <w:rFonts w:eastAsia="MS Mincho" w:cs="MS Mincho"/>
                <w:sz w:val="21"/>
                <w:szCs w:val="21"/>
              </w:rPr>
              <w:t>MODERATE</w:t>
            </w:r>
          </w:p>
        </w:tc>
        <w:tc>
          <w:tcPr>
            <w:tcW w:w="1932" w:type="dxa"/>
          </w:tcPr>
          <w:p w14:paraId="79E632DC" w14:textId="77777777" w:rsidR="00C50C22" w:rsidRPr="00C50C22" w:rsidRDefault="006900EA" w:rsidP="009B664D">
            <w:pPr>
              <w:pStyle w:val="Tabletext1"/>
              <w:ind w:left="0"/>
            </w:pPr>
            <w:r>
              <w:t>Reported in most studies but not all. Not graded and</w:t>
            </w:r>
            <w:r w:rsidR="0016150D">
              <w:t xml:space="preserve"> most not confirmed post-mortem</w:t>
            </w:r>
          </w:p>
        </w:tc>
      </w:tr>
      <w:tr w:rsidR="00E80482" w14:paraId="08A52B15" w14:textId="77777777" w:rsidTr="00CF1E43">
        <w:tc>
          <w:tcPr>
            <w:tcW w:w="1384" w:type="dxa"/>
          </w:tcPr>
          <w:p w14:paraId="415938AF" w14:textId="77777777" w:rsidR="00C50C22" w:rsidRPr="00C50C22" w:rsidRDefault="0088353D" w:rsidP="009B664D">
            <w:pPr>
              <w:pStyle w:val="Tabletext1"/>
              <w:ind w:left="0"/>
            </w:pPr>
            <w:r>
              <w:t>Radiation pneumonitis (any grade)</w:t>
            </w:r>
          </w:p>
        </w:tc>
        <w:tc>
          <w:tcPr>
            <w:tcW w:w="1202" w:type="dxa"/>
          </w:tcPr>
          <w:p w14:paraId="16E069D8" w14:textId="77777777" w:rsidR="00C50C22" w:rsidRDefault="00E45410" w:rsidP="009B664D">
            <w:pPr>
              <w:pStyle w:val="Tabletext1"/>
              <w:ind w:left="0"/>
            </w:pPr>
            <w:r>
              <w:t xml:space="preserve">Mean 3.9% </w:t>
            </w:r>
          </w:p>
          <w:p w14:paraId="3A4935E5" w14:textId="0CB91C9A" w:rsidR="00E45410" w:rsidRPr="00C50C22" w:rsidRDefault="00E45410" w:rsidP="009B664D">
            <w:pPr>
              <w:pStyle w:val="Tabletext1"/>
              <w:ind w:left="0"/>
            </w:pPr>
            <w:r>
              <w:t>(2.8</w:t>
            </w:r>
            <w:r w:rsidR="007E3D66">
              <w:t>–</w:t>
            </w:r>
            <w:r>
              <w:t>6.0%)</w:t>
            </w:r>
          </w:p>
        </w:tc>
        <w:tc>
          <w:tcPr>
            <w:tcW w:w="1232" w:type="dxa"/>
          </w:tcPr>
          <w:p w14:paraId="25A57566" w14:textId="77777777" w:rsidR="00C50C22" w:rsidRDefault="00D86169" w:rsidP="009B664D">
            <w:pPr>
              <w:pStyle w:val="Tabletext1"/>
              <w:ind w:left="0"/>
            </w:pPr>
            <w:r>
              <w:t>Mean 2.4%</w:t>
            </w:r>
          </w:p>
          <w:p w14:paraId="57959069" w14:textId="50A6938B" w:rsidR="00D86169" w:rsidRPr="00C50C22" w:rsidRDefault="00D86169" w:rsidP="009B664D">
            <w:pPr>
              <w:pStyle w:val="Tabletext1"/>
              <w:ind w:left="0"/>
            </w:pPr>
            <w:r>
              <w:t>(1.6</w:t>
            </w:r>
            <w:r w:rsidR="007E3D66">
              <w:t>–</w:t>
            </w:r>
            <w:r>
              <w:t>4.0%</w:t>
            </w:r>
            <w:r w:rsidR="00EA68A4">
              <w:t>)</w:t>
            </w:r>
          </w:p>
        </w:tc>
        <w:tc>
          <w:tcPr>
            <w:tcW w:w="1204" w:type="dxa"/>
          </w:tcPr>
          <w:p w14:paraId="1FD1FB7E" w14:textId="77777777" w:rsidR="00C50C22" w:rsidRDefault="00390AE3" w:rsidP="009B664D">
            <w:pPr>
              <w:pStyle w:val="Tabletext1"/>
              <w:ind w:left="0"/>
            </w:pPr>
            <w:r>
              <w:t xml:space="preserve">RR 0.62 </w:t>
            </w:r>
          </w:p>
          <w:p w14:paraId="55A9C11A" w14:textId="74402A75" w:rsidR="00390AE3" w:rsidRPr="00C50C22" w:rsidRDefault="00390AE3" w:rsidP="009B664D">
            <w:pPr>
              <w:pStyle w:val="Tabletext1"/>
              <w:ind w:left="0"/>
            </w:pPr>
            <w:r>
              <w:t>(0.23</w:t>
            </w:r>
            <w:r w:rsidR="007E3D66">
              <w:t>–</w:t>
            </w:r>
            <w:r>
              <w:t>1.66)</w:t>
            </w:r>
          </w:p>
        </w:tc>
        <w:tc>
          <w:tcPr>
            <w:tcW w:w="1147" w:type="dxa"/>
          </w:tcPr>
          <w:p w14:paraId="6C61E25A" w14:textId="77777777" w:rsidR="00C50C22" w:rsidRDefault="00EF5C2C" w:rsidP="009B664D">
            <w:pPr>
              <w:pStyle w:val="Tabletext1"/>
              <w:ind w:left="0"/>
            </w:pPr>
            <w:r>
              <w:t>533</w:t>
            </w:r>
          </w:p>
          <w:p w14:paraId="023583B8" w14:textId="77777777" w:rsidR="00EF5C2C" w:rsidRPr="00C50C22" w:rsidRDefault="00EF5C2C" w:rsidP="009B664D">
            <w:pPr>
              <w:pStyle w:val="Tabletext1"/>
              <w:ind w:left="0"/>
            </w:pPr>
            <w:r>
              <w:t>(3 studies)</w:t>
            </w:r>
          </w:p>
        </w:tc>
        <w:tc>
          <w:tcPr>
            <w:tcW w:w="1218" w:type="dxa"/>
          </w:tcPr>
          <w:p w14:paraId="5A0AE868" w14:textId="77777777" w:rsidR="00C50C22" w:rsidRPr="00C50C22" w:rsidRDefault="00827831" w:rsidP="009B664D">
            <w:pPr>
              <w:pStyle w:val="Tabletext1"/>
              <w:ind w:left="0"/>
            </w:pPr>
            <w:r>
              <w:rPr>
                <w:rFonts w:ascii="Cambria Math" w:hAnsi="Cambria Math"/>
                <w:color w:val="00B050"/>
              </w:rPr>
              <w:t>⨁⨁</w:t>
            </w:r>
            <w:r w:rsidRPr="00D4733A">
              <w:rPr>
                <w:rFonts w:ascii="Cambria Math" w:hAnsi="Cambria Math" w:cs="Cambria Math"/>
                <w:color w:val="C00000"/>
              </w:rPr>
              <w:t>⨀⨀</w:t>
            </w:r>
            <w:r>
              <w:rPr>
                <w:rStyle w:val="quality-sign"/>
                <w:rFonts w:eastAsia="MS Mincho" w:cs="MS Mincho"/>
                <w:sz w:val="21"/>
                <w:szCs w:val="21"/>
              </w:rPr>
              <w:t xml:space="preserve"> </w:t>
            </w:r>
            <w:r w:rsidRPr="007C6F8D">
              <w:rPr>
                <w:rStyle w:val="quality-sign"/>
                <w:rFonts w:eastAsia="MS Mincho" w:cs="MS Mincho"/>
                <w:sz w:val="21"/>
                <w:szCs w:val="21"/>
              </w:rPr>
              <w:t>LOW</w:t>
            </w:r>
          </w:p>
        </w:tc>
        <w:tc>
          <w:tcPr>
            <w:tcW w:w="1932" w:type="dxa"/>
          </w:tcPr>
          <w:p w14:paraId="6F82D152" w14:textId="77777777" w:rsidR="00C50C22" w:rsidRPr="00C50C22" w:rsidRDefault="005E5CA8" w:rsidP="009B664D">
            <w:pPr>
              <w:pStyle w:val="Tabletext1"/>
              <w:ind w:left="0"/>
            </w:pPr>
            <w:r>
              <w:t>Not reported in majority of studies, not graded</w:t>
            </w:r>
          </w:p>
        </w:tc>
      </w:tr>
    </w:tbl>
    <w:p w14:paraId="43727482" w14:textId="7B64B2F2" w:rsidR="00C50C22" w:rsidRDefault="007D2EAB" w:rsidP="00FB2D3A">
      <w:pPr>
        <w:pStyle w:val="Tablenotes0"/>
      </w:pPr>
      <w:r>
        <w:t>&lt;</w:t>
      </w:r>
      <w:r w:rsidR="00A202B0">
        <w:t xml:space="preserve">CI = confidence interval; </w:t>
      </w:r>
      <w:r w:rsidR="00FB2D3A">
        <w:t xml:space="preserve">NR = not reported; </w:t>
      </w:r>
      <w:r w:rsidR="00A202B0">
        <w:t>RR = relative risk.</w:t>
      </w:r>
      <w:r>
        <w:t>&gt;</w:t>
      </w:r>
    </w:p>
    <w:p w14:paraId="4351EE52" w14:textId="77777777" w:rsidR="007D3A56" w:rsidRDefault="0093598C" w:rsidP="00C22682">
      <w:pPr>
        <w:pStyle w:val="Heading2"/>
      </w:pPr>
      <w:bookmarkStart w:id="313" w:name="_Toc460396059"/>
      <w:r>
        <w:t>Is</w:t>
      </w:r>
      <w:r w:rsidR="007D3A56">
        <w:t xml:space="preserve"> surgical resection</w:t>
      </w:r>
      <w:r>
        <w:t xml:space="preserve"> of lung metastases safe?</w:t>
      </w:r>
      <w:bookmarkEnd w:id="313"/>
    </w:p>
    <w:p w14:paraId="3930A265" w14:textId="5944CBE2" w:rsidR="007D3A56" w:rsidRDefault="007D3A56" w:rsidP="007D3A56">
      <w:r>
        <w:t xml:space="preserve">Only one of the two systematic reviews reported on any safety data. Pfannschmidt et al </w:t>
      </w:r>
      <w:r w:rsidR="009C38E6">
        <w:fldChar w:fldCharType="begin">
          <w:fldData xml:space="preserve">PEVuZE5vdGU+PENpdGU+PEF1dGhvcj5QZmFubnNjaG1pZHQ8L0F1dGhvcj48WWVhcj4yMDA3PC9Z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</w:fldData>
        </w:fldChar>
      </w:r>
      <w:r w:rsidR="003522AA">
        <w:instrText xml:space="preserve"> ADDIN EN.CITE </w:instrText>
      </w:r>
      <w:r w:rsidR="003522AA">
        <w:fldChar w:fldCharType="begin">
          <w:fldData xml:space="preserve">PEVuZE5vdGU+PENpdGU+PEF1dGhvcj5QZmFubnNjaG1pZHQ8L0F1dGhvcj48WWVhcj4yMDA3PC9Z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</w:fldData>
        </w:fldChar>
      </w:r>
      <w:r w:rsidR="003522AA">
        <w:instrText xml:space="preserve"> ADDIN EN.CITE.DATA </w:instrText>
      </w:r>
      <w:r w:rsidR="003522AA">
        <w:fldChar w:fldCharType="end"/>
      </w:r>
      <w:r w:rsidR="009C38E6">
        <w:fldChar w:fldCharType="separate"/>
      </w:r>
      <w:r w:rsidR="009C38E6">
        <w:rPr>
          <w:noProof/>
        </w:rPr>
        <w:t>(</w:t>
      </w:r>
      <w:hyperlink w:anchor="_ENREF_118" w:tooltip="Pfannschmidt, 2007 #2681" w:history="1">
        <w:r w:rsidR="00320458">
          <w:rPr>
            <w:noProof/>
          </w:rPr>
          <w:t>Pfannschmidt et al 2007</w:t>
        </w:r>
      </w:hyperlink>
      <w:r w:rsidR="009C38E6">
        <w:rPr>
          <w:noProof/>
        </w:rPr>
        <w:t>)</w:t>
      </w:r>
      <w:r w:rsidR="009C38E6">
        <w:fldChar w:fldCharType="end"/>
      </w:r>
      <w:r w:rsidR="00120B5A">
        <w:t xml:space="preserve"> </w:t>
      </w:r>
      <w:r>
        <w:t>reported postoperative mortality</w:t>
      </w:r>
      <w:r w:rsidR="00120B5A">
        <w:t>; and found that</w:t>
      </w:r>
      <w:r>
        <w:t xml:space="preserve"> within the 20 included studies </w:t>
      </w:r>
      <w:r w:rsidR="00120B5A">
        <w:t xml:space="preserve">it </w:t>
      </w:r>
      <w:r>
        <w:t xml:space="preserve">was only reported by four studies </w:t>
      </w:r>
      <w:r w:rsidR="00120B5A">
        <w:t>and ranged</w:t>
      </w:r>
      <w:r>
        <w:t xml:space="preserve"> from </w:t>
      </w:r>
      <w:r w:rsidR="00EE1A2B">
        <w:t xml:space="preserve">nil </w:t>
      </w:r>
      <w:r>
        <w:t>to 2.5 per cent of patients. Nine studies reported perioperative mortality within an undefined time period in which the cause (n</w:t>
      </w:r>
      <w:r w:rsidR="001104D0">
        <w:t xml:space="preserve"> </w:t>
      </w:r>
      <w:r>
        <w:t>=</w:t>
      </w:r>
      <w:r w:rsidR="001104D0">
        <w:t xml:space="preserve"> </w:t>
      </w:r>
      <w:r>
        <w:t xml:space="preserve">8) </w:t>
      </w:r>
      <w:r>
        <w:lastRenderedPageBreak/>
        <w:t>was reported by five studies to be pulmonary embolism (n</w:t>
      </w:r>
      <w:r w:rsidR="001104D0">
        <w:t xml:space="preserve"> </w:t>
      </w:r>
      <w:r>
        <w:t>=</w:t>
      </w:r>
      <w:r w:rsidR="001104D0">
        <w:t xml:space="preserve"> </w:t>
      </w:r>
      <w:r>
        <w:t xml:space="preserve">3), </w:t>
      </w:r>
      <w:r w:rsidRPr="007D3A56">
        <w:t>pneumonia</w:t>
      </w:r>
      <w:r>
        <w:t xml:space="preserve"> (n</w:t>
      </w:r>
      <w:r w:rsidR="001104D0">
        <w:t xml:space="preserve"> </w:t>
      </w:r>
      <w:r>
        <w:t>=</w:t>
      </w:r>
      <w:r w:rsidR="001104D0">
        <w:t xml:space="preserve"> </w:t>
      </w:r>
      <w:r>
        <w:t>3), respiratory failure (n</w:t>
      </w:r>
      <w:r w:rsidR="001104D0">
        <w:t xml:space="preserve"> </w:t>
      </w:r>
      <w:r>
        <w:t>=</w:t>
      </w:r>
      <w:r w:rsidR="001104D0">
        <w:t xml:space="preserve"> </w:t>
      </w:r>
      <w:r>
        <w:t>1) and cardiac failure (n</w:t>
      </w:r>
      <w:r w:rsidR="001104D0">
        <w:t xml:space="preserve"> </w:t>
      </w:r>
      <w:r>
        <w:t>=</w:t>
      </w:r>
      <w:r w:rsidR="001104D0">
        <w:t xml:space="preserve"> </w:t>
      </w:r>
      <w:r>
        <w:t xml:space="preserve">1). No other safety outcomes were reported. </w:t>
      </w:r>
    </w:p>
    <w:p w14:paraId="19D2D808" w14:textId="1DC72B18" w:rsidR="00120B5A" w:rsidRDefault="00120B5A" w:rsidP="007D3A56">
      <w:r>
        <w:t xml:space="preserve">Within the included case series studies immediate </w:t>
      </w:r>
      <w:r w:rsidR="00EC1D6F">
        <w:t>procedure-</w:t>
      </w:r>
      <w:r>
        <w:t>related mortality was reported in two studies</w:t>
      </w:r>
      <w:r w:rsidR="006728A6">
        <w:t xml:space="preserve"> </w:t>
      </w:r>
      <w:r w:rsidR="009C38E6">
        <w:fldChar w:fldCharType="begin">
          <w:fldData xml:space="preserve">PEVuZE5vdGU+PENpdGU+PEF1dGhvcj5LaXRhbm88L0F1dGhvcj48WWVhcj4yMDEyPC9ZZWFyPjxS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</w:fldData>
        </w:fldChar>
      </w:r>
      <w:r w:rsidR="00194054">
        <w:instrText xml:space="preserve"> ADDIN EN.CITE </w:instrText>
      </w:r>
      <w:r w:rsidR="00194054">
        <w:fldChar w:fldCharType="begin">
          <w:fldData xml:space="preserve">PEVuZE5vdGU+PENpdGU+PEF1dGhvcj5LaXRhbm88L0F1dGhvcj48WWVhcj4yMDEyPC9ZZWFyPjxS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</w:fldData>
        </w:fldChar>
      </w:r>
      <w:r w:rsidR="00194054">
        <w:instrText xml:space="preserve"> ADDIN EN.CITE.DATA </w:instrText>
      </w:r>
      <w:r w:rsidR="00194054">
        <w:fldChar w:fldCharType="end"/>
      </w:r>
      <w:r w:rsidR="009C38E6">
        <w:fldChar w:fldCharType="separate"/>
      </w:r>
      <w:r w:rsidR="009C38E6">
        <w:rPr>
          <w:noProof/>
        </w:rPr>
        <w:t>(</w:t>
      </w:r>
      <w:hyperlink w:anchor="_ENREF_80" w:tooltip="Kitano, 2012 #188" w:history="1">
        <w:r w:rsidR="00320458">
          <w:rPr>
            <w:noProof/>
          </w:rPr>
          <w:t>Kitano et al 2012</w:t>
        </w:r>
      </w:hyperlink>
      <w:r w:rsidR="009C38E6">
        <w:rPr>
          <w:noProof/>
        </w:rPr>
        <w:t xml:space="preserve">; </w:t>
      </w:r>
      <w:hyperlink w:anchor="_ENREF_124" w:tooltip="Renaud, 2014 #184" w:history="1">
        <w:r w:rsidR="00320458">
          <w:rPr>
            <w:noProof/>
          </w:rPr>
          <w:t>Renaud et al 2014</w:t>
        </w:r>
      </w:hyperlink>
      <w:r w:rsidR="009C38E6">
        <w:rPr>
          <w:noProof/>
        </w:rPr>
        <w:t>)</w:t>
      </w:r>
      <w:r w:rsidR="009C38E6">
        <w:fldChar w:fldCharType="end"/>
      </w:r>
      <w:r w:rsidR="006728A6">
        <w:t>,</w:t>
      </w:r>
      <w:r>
        <w:t xml:space="preserve"> and occurred in no patients (0/365, 0%). Thirty day mortality was reported in four of the five studies</w:t>
      </w:r>
      <w:r w:rsidR="006728A6">
        <w:t xml:space="preserve"> </w:t>
      </w:r>
      <w:r w:rsidR="009C38E6">
        <w:fldChar w:fldCharType="begin">
          <w:fldData xml:space="preserve">PEVuZE5vdGU+PENpdGU+PEF1dGhvcj5SZW5hdWQ8L0F1dGhvcj48WWVhcj4yMDE0PC9ZZWFyPjxS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</w:fldData>
        </w:fldChar>
      </w:r>
      <w:r w:rsidR="00194054">
        <w:instrText xml:space="preserve"> ADDIN EN.CITE </w:instrText>
      </w:r>
      <w:r w:rsidR="00194054">
        <w:fldChar w:fldCharType="begin">
          <w:fldData xml:space="preserve">PEVuZE5vdGU+PENpdGU+PEF1dGhvcj5SZW5hdWQ8L0F1dGhvcj48WWVhcj4yMDE0PC9ZZWFyPjxS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</w:fldData>
        </w:fldChar>
      </w:r>
      <w:r w:rsidR="00194054">
        <w:instrText xml:space="preserve"> ADDIN EN.CITE.DATA </w:instrText>
      </w:r>
      <w:r w:rsidR="00194054">
        <w:fldChar w:fldCharType="end"/>
      </w:r>
      <w:r w:rsidR="009C38E6">
        <w:fldChar w:fldCharType="separate"/>
      </w:r>
      <w:r w:rsidR="009C38E6">
        <w:rPr>
          <w:noProof/>
        </w:rPr>
        <w:t>(</w:t>
      </w:r>
      <w:hyperlink w:anchor="_ENREF_124" w:tooltip="Renaud, 2014 #184" w:history="1">
        <w:r w:rsidR="00320458">
          <w:rPr>
            <w:noProof/>
          </w:rPr>
          <w:t>Renaud et al 2014</w:t>
        </w:r>
      </w:hyperlink>
      <w:r w:rsidR="009C38E6">
        <w:rPr>
          <w:noProof/>
        </w:rPr>
        <w:t xml:space="preserve">; </w:t>
      </w:r>
      <w:hyperlink w:anchor="_ENREF_125" w:tooltip="Reza, 2014 #567" w:history="1">
        <w:r w:rsidR="00320458">
          <w:rPr>
            <w:noProof/>
          </w:rPr>
          <w:t>Reza et al 2014</w:t>
        </w:r>
      </w:hyperlink>
      <w:r w:rsidR="009C38E6">
        <w:rPr>
          <w:noProof/>
        </w:rPr>
        <w:t xml:space="preserve">; </w:t>
      </w:r>
      <w:hyperlink w:anchor="_ENREF_127" w:tooltip="Rodriguez-Fuster, 2014 #186" w:history="1">
        <w:r w:rsidR="00320458">
          <w:rPr>
            <w:noProof/>
          </w:rPr>
          <w:t>Rodriguez-Fuster et al 2014</w:t>
        </w:r>
      </w:hyperlink>
      <w:r w:rsidR="009C38E6">
        <w:rPr>
          <w:noProof/>
        </w:rPr>
        <w:t xml:space="preserve">; </w:t>
      </w:r>
      <w:hyperlink w:anchor="_ENREF_178" w:tooltip="Younes, 2009 #187" w:history="1">
        <w:r w:rsidR="00320458">
          <w:rPr>
            <w:noProof/>
          </w:rPr>
          <w:t>Younes et al 2009</w:t>
        </w:r>
      </w:hyperlink>
      <w:r w:rsidR="009C38E6">
        <w:rPr>
          <w:noProof/>
        </w:rPr>
        <w:t>)</w:t>
      </w:r>
      <w:r w:rsidR="009C38E6">
        <w:fldChar w:fldCharType="end"/>
      </w:r>
      <w:r w:rsidR="006728A6">
        <w:t>,</w:t>
      </w:r>
      <w:r>
        <w:t xml:space="preserve"> and occurred in 10 of 1,499 patients (0.67%); only one study reported the causes of death </w:t>
      </w:r>
      <w:r w:rsidR="006728A6">
        <w:t>[</w:t>
      </w:r>
      <w:r w:rsidRPr="00120B5A">
        <w:t>sepsis in</w:t>
      </w:r>
      <w:r w:rsidR="006728A6">
        <w:t xml:space="preserve"> </w:t>
      </w:r>
      <w:r w:rsidR="00EE1A2B">
        <w:t>one, and</w:t>
      </w:r>
      <w:r>
        <w:t xml:space="preserve"> </w:t>
      </w:r>
      <w:r w:rsidRPr="00120B5A">
        <w:t>ventricular fibrillation in</w:t>
      </w:r>
      <w:r w:rsidR="006728A6">
        <w:t xml:space="preserve"> </w:t>
      </w:r>
      <w:r w:rsidR="00EE1A2B">
        <w:t xml:space="preserve">one </w:t>
      </w:r>
      <w:r w:rsidR="009C38E6">
        <w:fldChar w:fldCharType="begin">
          <w:fldData xml:space="preserve">PEVuZE5vdGU+PENpdGU+PEF1dGhvcj5Sb2RyaWd1ZXotRnVzdGVyPC9BdXRob3I+PFllYXI+MjAx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</w:fldData>
        </w:fldChar>
      </w:r>
      <w:r w:rsidR="00194054">
        <w:instrText xml:space="preserve"> ADDIN EN.CITE </w:instrText>
      </w:r>
      <w:r w:rsidR="00194054">
        <w:fldChar w:fldCharType="begin">
          <w:fldData xml:space="preserve">PEVuZE5vdGU+PENpdGU+PEF1dGhvcj5Sb2RyaWd1ZXotRnVzdGVyPC9BdXRob3I+PFllYXI+MjAx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</w:fldData>
        </w:fldChar>
      </w:r>
      <w:r w:rsidR="00194054">
        <w:instrText xml:space="preserve"> ADDIN EN.CITE.DATA </w:instrText>
      </w:r>
      <w:r w:rsidR="00194054">
        <w:fldChar w:fldCharType="end"/>
      </w:r>
      <w:r w:rsidR="009C38E6">
        <w:fldChar w:fldCharType="separate"/>
      </w:r>
      <w:r w:rsidR="009C38E6">
        <w:rPr>
          <w:noProof/>
        </w:rPr>
        <w:t>(</w:t>
      </w:r>
      <w:hyperlink w:anchor="_ENREF_127" w:tooltip="Rodriguez-Fuster, 2014 #186" w:history="1">
        <w:r w:rsidR="00320458">
          <w:rPr>
            <w:noProof/>
          </w:rPr>
          <w:t>Rodriguez-Fuster et al 2014</w:t>
        </w:r>
      </w:hyperlink>
      <w:r w:rsidR="009C38E6">
        <w:rPr>
          <w:noProof/>
        </w:rPr>
        <w:t>)</w:t>
      </w:r>
      <w:r w:rsidR="009C38E6">
        <w:fldChar w:fldCharType="end"/>
      </w:r>
      <w:r w:rsidR="006728A6">
        <w:t>]</w:t>
      </w:r>
      <w:r>
        <w:t>.</w:t>
      </w:r>
    </w:p>
    <w:p w14:paraId="19B9AB79" w14:textId="3C37E8DD" w:rsidR="007D3A56" w:rsidRPr="00041F9C" w:rsidRDefault="00EE1A20" w:rsidP="00C03857">
      <w:r>
        <w:t xml:space="preserve">Overall rates of adverse events were reported by two studies </w:t>
      </w:r>
      <w:r w:rsidR="009C38E6">
        <w:fldChar w:fldCharType="begin">
          <w:fldData xml:space="preserve">PEVuZE5vdGU+PENpdGU+PEF1dGhvcj5Sb2RyaWd1ZXotRnVzdGVyPC9BdXRob3I+PFllYXI+MjAx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</w:fldData>
        </w:fldChar>
      </w:r>
      <w:r w:rsidR="00194054">
        <w:instrText xml:space="preserve"> ADDIN EN.CITE </w:instrText>
      </w:r>
      <w:r w:rsidR="00194054">
        <w:fldChar w:fldCharType="begin">
          <w:fldData xml:space="preserve">PEVuZE5vdGU+PENpdGU+PEF1dGhvcj5Sb2RyaWd1ZXotRnVzdGVyPC9BdXRob3I+PFllYXI+MjAx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</w:fldData>
        </w:fldChar>
      </w:r>
      <w:r w:rsidR="00194054">
        <w:instrText xml:space="preserve"> ADDIN EN.CITE.DATA </w:instrText>
      </w:r>
      <w:r w:rsidR="00194054">
        <w:fldChar w:fldCharType="end"/>
      </w:r>
      <w:r w:rsidR="009C38E6">
        <w:fldChar w:fldCharType="separate"/>
      </w:r>
      <w:r w:rsidR="009C38E6">
        <w:rPr>
          <w:noProof/>
        </w:rPr>
        <w:t>(</w:t>
      </w:r>
      <w:hyperlink w:anchor="_ENREF_127" w:tooltip="Rodriguez-Fuster, 2014 #186" w:history="1">
        <w:r w:rsidR="00320458">
          <w:rPr>
            <w:noProof/>
          </w:rPr>
          <w:t>Rodriguez-Fuster et al 2014</w:t>
        </w:r>
      </w:hyperlink>
      <w:r w:rsidR="009C38E6">
        <w:rPr>
          <w:noProof/>
        </w:rPr>
        <w:t xml:space="preserve">; </w:t>
      </w:r>
      <w:hyperlink w:anchor="_ENREF_178" w:tooltip="Younes, 2009 #187" w:history="1">
        <w:r w:rsidR="00320458">
          <w:rPr>
            <w:noProof/>
          </w:rPr>
          <w:t>Younes et al 2009</w:t>
        </w:r>
      </w:hyperlink>
      <w:r w:rsidR="009C38E6">
        <w:rPr>
          <w:noProof/>
        </w:rPr>
        <w:t>)</w:t>
      </w:r>
      <w:r w:rsidR="009C38E6">
        <w:fldChar w:fldCharType="end"/>
      </w:r>
      <w:r>
        <w:t xml:space="preserve"> and was 99 complications in 776 thoracotomies (13%) in the study by Younes et al (2009) and was 83 complications in 532 patients (15.6%) in the stu</w:t>
      </w:r>
      <w:r w:rsidR="002050FB">
        <w:t xml:space="preserve">dy by Rodriguez-Fuster (2014). </w:t>
      </w:r>
      <w:r>
        <w:t>Other adver</w:t>
      </w:r>
      <w:r w:rsidR="00C03857">
        <w:t xml:space="preserve">se events that were reported are shown in </w:t>
      </w:r>
      <w:r w:rsidR="003E67C3">
        <w:fldChar w:fldCharType="begin"/>
      </w:r>
      <w:r w:rsidR="003E67C3">
        <w:instrText xml:space="preserve"> REF _Ref457389465 \h </w:instrText>
      </w:r>
      <w:r w:rsidR="003E67C3">
        <w:fldChar w:fldCharType="separate"/>
      </w:r>
      <w:r w:rsidR="00D170A5" w:rsidRPr="00041F9C">
        <w:t xml:space="preserve">Table </w:t>
      </w:r>
      <w:r w:rsidR="00D170A5">
        <w:rPr>
          <w:noProof/>
        </w:rPr>
        <w:t>50</w:t>
      </w:r>
      <w:r w:rsidR="003E67C3">
        <w:fldChar w:fldCharType="end"/>
      </w:r>
      <w:r w:rsidR="00C03857">
        <w:t xml:space="preserve">. No pooling was possible due to </w:t>
      </w:r>
      <w:r w:rsidR="00C03857" w:rsidRPr="00041F9C">
        <w:t xml:space="preserve">uncertainty </w:t>
      </w:r>
      <w:r w:rsidR="002D087F" w:rsidRPr="00041F9C">
        <w:t>across studies</w:t>
      </w:r>
      <w:r w:rsidR="002D087F">
        <w:t xml:space="preserve"> around</w:t>
      </w:r>
      <w:r w:rsidR="00C03857" w:rsidRPr="00041F9C">
        <w:t xml:space="preserve"> whether an adverse event did not occur or was not reported. </w:t>
      </w:r>
    </w:p>
    <w:p w14:paraId="02F3F051" w14:textId="77777777" w:rsidR="00C03857" w:rsidRDefault="00C03857" w:rsidP="00C03857">
      <w:pPr>
        <w:pStyle w:val="Caption"/>
        <w:keepNext/>
      </w:pPr>
      <w:bookmarkStart w:id="314" w:name="_Ref457389465"/>
      <w:bookmarkStart w:id="315" w:name="_Toc460514708"/>
      <w:r w:rsidRPr="00041F9C">
        <w:t xml:space="preserve">Table </w:t>
      </w:r>
      <w:fldSimple w:instr=" SEQ Table \* ARABIC ">
        <w:r w:rsidR="00D170A5">
          <w:rPr>
            <w:noProof/>
          </w:rPr>
          <w:t>50</w:t>
        </w:r>
      </w:fldSimple>
      <w:bookmarkEnd w:id="314"/>
      <w:r w:rsidRPr="00041F9C">
        <w:tab/>
        <w:t xml:space="preserve">Adverse events reported in the </w:t>
      </w:r>
      <w:r w:rsidR="00CE470F">
        <w:t>L</w:t>
      </w:r>
      <w:r w:rsidRPr="00041F9C">
        <w:t>evel IV studies on surgical resection</w:t>
      </w:r>
      <w:bookmarkEnd w:id="315"/>
    </w:p>
    <w:tbl>
      <w:tblPr>
        <w:tblStyle w:val="TableGrid"/>
        <w:tblW w:w="0" w:type="auto"/>
        <w:tblLook w:val="04A0" w:firstRow="1" w:lastRow="0" w:firstColumn="1" w:lastColumn="0" w:noHBand="0" w:noVBand="1"/>
        <w:tblCaption w:val="Table 53"/>
        <w:tblDescription w:val="Adverse events surgery"/>
      </w:tblPr>
      <w:tblGrid>
        <w:gridCol w:w="1809"/>
        <w:gridCol w:w="2410"/>
        <w:gridCol w:w="5023"/>
      </w:tblGrid>
      <w:tr w:rsidR="00EE1A20" w:rsidRPr="00EE1A20" w14:paraId="43A1606C" w14:textId="77777777" w:rsidTr="00765893">
        <w:trPr>
          <w:tblHeader/>
        </w:trPr>
        <w:tc>
          <w:tcPr>
            <w:tcW w:w="1809" w:type="dxa"/>
            <w:shd w:val="clear" w:color="auto" w:fill="D9D9D9" w:themeFill="background1" w:themeFillShade="D9"/>
            <w:vAlign w:val="bottom"/>
          </w:tcPr>
          <w:p w14:paraId="6356FF1B" w14:textId="77777777" w:rsidR="00EE1A20" w:rsidRPr="00765893" w:rsidRDefault="00C03857" w:rsidP="00765893">
            <w:pPr>
              <w:pStyle w:val="Tabletext1"/>
              <w:ind w:left="0"/>
              <w:rPr>
                <w:b/>
              </w:rPr>
            </w:pPr>
            <w:r w:rsidRPr="00765893">
              <w:rPr>
                <w:b/>
              </w:rPr>
              <w:t>Study ID</w:t>
            </w:r>
          </w:p>
        </w:tc>
        <w:tc>
          <w:tcPr>
            <w:tcW w:w="2410" w:type="dxa"/>
            <w:shd w:val="clear" w:color="auto" w:fill="D9D9D9" w:themeFill="background1" w:themeFillShade="D9"/>
            <w:vAlign w:val="bottom"/>
          </w:tcPr>
          <w:p w14:paraId="1B85AB0B" w14:textId="77777777" w:rsidR="00EE1A20" w:rsidRPr="00765893" w:rsidRDefault="00EE1A20" w:rsidP="00765893">
            <w:pPr>
              <w:pStyle w:val="Tabletext1"/>
              <w:ind w:left="0"/>
              <w:rPr>
                <w:b/>
              </w:rPr>
            </w:pPr>
            <w:r w:rsidRPr="00765893">
              <w:rPr>
                <w:b/>
              </w:rPr>
              <w:t>Mortality, n/N (%)</w:t>
            </w:r>
          </w:p>
        </w:tc>
        <w:tc>
          <w:tcPr>
            <w:tcW w:w="5023" w:type="dxa"/>
            <w:shd w:val="clear" w:color="auto" w:fill="D9D9D9" w:themeFill="background1" w:themeFillShade="D9"/>
            <w:vAlign w:val="bottom"/>
          </w:tcPr>
          <w:p w14:paraId="71FF959E" w14:textId="77777777" w:rsidR="00EE1A20" w:rsidRPr="00765893" w:rsidRDefault="00EE1A20" w:rsidP="00765893">
            <w:pPr>
              <w:pStyle w:val="Tabletext1"/>
              <w:ind w:left="0"/>
              <w:rPr>
                <w:b/>
              </w:rPr>
            </w:pPr>
            <w:r w:rsidRPr="00765893">
              <w:rPr>
                <w:b/>
              </w:rPr>
              <w:t>Adverse events, n/N (%)</w:t>
            </w:r>
          </w:p>
          <w:p w14:paraId="751BB951" w14:textId="77777777" w:rsidR="00C03857" w:rsidRPr="00765893" w:rsidRDefault="00C03857" w:rsidP="00765893">
            <w:pPr>
              <w:pStyle w:val="Tabletext1"/>
              <w:ind w:left="0"/>
              <w:rPr>
                <w:b/>
              </w:rPr>
            </w:pPr>
            <w:r w:rsidRPr="00765893">
              <w:rPr>
                <w:b/>
              </w:rPr>
              <w:t>Reported out of thoracotomies unless otherwise state</w:t>
            </w:r>
          </w:p>
        </w:tc>
      </w:tr>
      <w:tr w:rsidR="00EE1A20" w:rsidRPr="00EE1A20" w14:paraId="056B43B3" w14:textId="77777777" w:rsidTr="00C03857">
        <w:tc>
          <w:tcPr>
            <w:tcW w:w="1809" w:type="dxa"/>
          </w:tcPr>
          <w:p w14:paraId="20FCDCCA" w14:textId="77777777" w:rsidR="00EE1A20" w:rsidRPr="00EE1A20" w:rsidRDefault="00EE1A20" w:rsidP="007117A3">
            <w:pPr>
              <w:pStyle w:val="Tabletext1"/>
              <w:ind w:left="0"/>
            </w:pPr>
            <w:r w:rsidRPr="00EE1A20">
              <w:t>Renaud et al (2014)</w:t>
            </w:r>
          </w:p>
        </w:tc>
        <w:tc>
          <w:tcPr>
            <w:tcW w:w="2410" w:type="dxa"/>
          </w:tcPr>
          <w:p w14:paraId="1FAEE4C9" w14:textId="77777777" w:rsidR="00EE1A20" w:rsidRPr="00EE1A20" w:rsidRDefault="00EE1A20" w:rsidP="007117A3">
            <w:pPr>
              <w:pStyle w:val="Tabletext1"/>
              <w:ind w:left="0"/>
            </w:pPr>
            <w:r w:rsidRPr="00EE1A20">
              <w:t>Procedure related: 0/320 (0)</w:t>
            </w:r>
          </w:p>
          <w:p w14:paraId="138BBDBA" w14:textId="77777777" w:rsidR="00EE1A20" w:rsidRPr="00EE1A20" w:rsidRDefault="00EE1A20" w:rsidP="007117A3">
            <w:pPr>
              <w:pStyle w:val="Tabletext1"/>
              <w:ind w:left="0"/>
            </w:pPr>
            <w:r w:rsidRPr="00EE1A20">
              <w:t>30-day: 5/320 (</w:t>
            </w:r>
            <w:r w:rsidR="00AC65E9">
              <w:t>1.7</w:t>
            </w:r>
            <w:r w:rsidRPr="00EE1A20">
              <w:t>)</w:t>
            </w:r>
          </w:p>
        </w:tc>
        <w:tc>
          <w:tcPr>
            <w:tcW w:w="5023" w:type="dxa"/>
          </w:tcPr>
          <w:p w14:paraId="72FA3FB7" w14:textId="77777777" w:rsidR="00EE1A20" w:rsidRPr="00EE1A20" w:rsidRDefault="00EE1A20" w:rsidP="007117A3">
            <w:pPr>
              <w:pStyle w:val="Tabletext1"/>
              <w:ind w:left="0"/>
            </w:pPr>
            <w:r w:rsidRPr="00EE1A20">
              <w:t xml:space="preserve">Laryngeal </w:t>
            </w:r>
            <w:r>
              <w:t>nerve palsy: 16/320 patients (5</w:t>
            </w:r>
            <w:r w:rsidRPr="00EE1A20">
              <w:t>)</w:t>
            </w:r>
          </w:p>
        </w:tc>
      </w:tr>
      <w:tr w:rsidR="00EE1A20" w:rsidRPr="00EE1A20" w14:paraId="56BFBF2A" w14:textId="77777777" w:rsidTr="00C03857">
        <w:tc>
          <w:tcPr>
            <w:tcW w:w="1809" w:type="dxa"/>
          </w:tcPr>
          <w:p w14:paraId="7F10D302" w14:textId="77777777" w:rsidR="00EE1A20" w:rsidRPr="00EE1A20" w:rsidRDefault="00EE1A20" w:rsidP="007117A3">
            <w:pPr>
              <w:pStyle w:val="Tabletext1"/>
              <w:ind w:left="0"/>
            </w:pPr>
            <w:r w:rsidRPr="00EE1A20">
              <w:t>Younes et al (2009)</w:t>
            </w:r>
          </w:p>
        </w:tc>
        <w:tc>
          <w:tcPr>
            <w:tcW w:w="2410" w:type="dxa"/>
          </w:tcPr>
          <w:p w14:paraId="437C01A4" w14:textId="77777777" w:rsidR="00C03857" w:rsidRPr="00EE1A20" w:rsidRDefault="00C03857" w:rsidP="007117A3">
            <w:pPr>
              <w:pStyle w:val="Tabletext1"/>
              <w:ind w:left="0"/>
            </w:pPr>
            <w:r w:rsidRPr="00EE1A20">
              <w:t xml:space="preserve">Procedure related: </w:t>
            </w:r>
            <w:r>
              <w:t>NR</w:t>
            </w:r>
          </w:p>
          <w:p w14:paraId="0757CB9F" w14:textId="77777777" w:rsidR="00EE1A20" w:rsidRPr="00EE1A20" w:rsidRDefault="00C03857" w:rsidP="007117A3">
            <w:pPr>
              <w:pStyle w:val="Tabletext1"/>
              <w:ind w:left="0"/>
            </w:pPr>
            <w:r w:rsidRPr="00EE1A20">
              <w:t xml:space="preserve">30-day: </w:t>
            </w:r>
            <w:r>
              <w:t>2/529 (0.4)</w:t>
            </w:r>
            <w:r w:rsidRPr="00EE1A20">
              <w:t>)</w:t>
            </w:r>
          </w:p>
        </w:tc>
        <w:tc>
          <w:tcPr>
            <w:tcW w:w="5023" w:type="dxa"/>
          </w:tcPr>
          <w:p w14:paraId="4E2B3A79" w14:textId="77777777" w:rsidR="00C03857" w:rsidRDefault="00876765" w:rsidP="007117A3">
            <w:pPr>
              <w:pStyle w:val="Tabletext1"/>
              <w:ind w:left="0"/>
            </w:pPr>
            <w:r>
              <w:t>I</w:t>
            </w:r>
            <w:r w:rsidR="00EE1A20" w:rsidRPr="00EE1A20">
              <w:t>nfection: 19/776</w:t>
            </w:r>
            <w:r w:rsidR="00C03857">
              <w:t xml:space="preserve"> (2.4)</w:t>
            </w:r>
          </w:p>
          <w:p w14:paraId="6B6F1822" w14:textId="77777777" w:rsidR="00C03857" w:rsidRDefault="00876765" w:rsidP="007117A3">
            <w:pPr>
              <w:pStyle w:val="Tabletext1"/>
              <w:ind w:left="0"/>
            </w:pPr>
            <w:r>
              <w:t>A</w:t>
            </w:r>
            <w:r w:rsidR="00EE1A20" w:rsidRPr="00EE1A20">
              <w:t xml:space="preserve">telectasis: 29/776 </w:t>
            </w:r>
            <w:r w:rsidR="00C03857">
              <w:t>(3.7)</w:t>
            </w:r>
          </w:p>
          <w:p w14:paraId="1FFDCAF0" w14:textId="77777777" w:rsidR="00C03857" w:rsidRDefault="00876765" w:rsidP="007117A3">
            <w:pPr>
              <w:pStyle w:val="Tabletext1"/>
              <w:ind w:left="0"/>
            </w:pPr>
            <w:r>
              <w:t>C</w:t>
            </w:r>
            <w:r w:rsidR="00EE1A20" w:rsidRPr="00EE1A20">
              <w:t xml:space="preserve">ardiac arrhythmia: 18/776 </w:t>
            </w:r>
            <w:r w:rsidR="00C03857">
              <w:t>(2.3)</w:t>
            </w:r>
          </w:p>
          <w:p w14:paraId="665F12F5" w14:textId="77777777" w:rsidR="00C03857" w:rsidRDefault="00876765" w:rsidP="007117A3">
            <w:pPr>
              <w:pStyle w:val="Tabletext1"/>
              <w:ind w:left="0"/>
            </w:pPr>
            <w:r>
              <w:t>St</w:t>
            </w:r>
            <w:r w:rsidR="00C03857">
              <w:t>roke: 2/776 (0.3)</w:t>
            </w:r>
          </w:p>
          <w:p w14:paraId="68671C90" w14:textId="77777777" w:rsidR="00EE1A20" w:rsidRPr="00EE1A20" w:rsidRDefault="00876765" w:rsidP="007117A3">
            <w:pPr>
              <w:pStyle w:val="Tabletext1"/>
              <w:ind w:left="0"/>
            </w:pPr>
            <w:r>
              <w:t>P</w:t>
            </w:r>
            <w:r w:rsidR="00CA6DFD">
              <w:t>rolonged</w:t>
            </w:r>
            <w:r w:rsidR="00C03857">
              <w:t xml:space="preserve"> air leak: 28/776</w:t>
            </w:r>
            <w:r w:rsidR="00EE1A20" w:rsidRPr="00EE1A20">
              <w:t xml:space="preserve"> (3.6)</w:t>
            </w:r>
          </w:p>
        </w:tc>
      </w:tr>
      <w:tr w:rsidR="00EE1A20" w:rsidRPr="00EE1A20" w14:paraId="44CF2AB5" w14:textId="77777777" w:rsidTr="00C03857">
        <w:tc>
          <w:tcPr>
            <w:tcW w:w="1809" w:type="dxa"/>
          </w:tcPr>
          <w:p w14:paraId="15159BF5" w14:textId="77777777" w:rsidR="00EE1A20" w:rsidRPr="00EE1A20" w:rsidRDefault="00EE1A20" w:rsidP="007117A3">
            <w:pPr>
              <w:pStyle w:val="Tabletext1"/>
              <w:ind w:left="0"/>
            </w:pPr>
            <w:r w:rsidRPr="00EE1A20">
              <w:t xml:space="preserve">Reza et al </w:t>
            </w:r>
            <w:r w:rsidR="00EE1A2B">
              <w:t>(</w:t>
            </w:r>
            <w:r w:rsidRPr="00EE1A20">
              <w:t>2014</w:t>
            </w:r>
            <w:r w:rsidR="00EE1A2B">
              <w:t>)</w:t>
            </w:r>
          </w:p>
        </w:tc>
        <w:tc>
          <w:tcPr>
            <w:tcW w:w="2410" w:type="dxa"/>
          </w:tcPr>
          <w:p w14:paraId="790CB67B" w14:textId="77777777" w:rsidR="00C03857" w:rsidRPr="00EE1A20" w:rsidRDefault="00C03857" w:rsidP="007117A3">
            <w:pPr>
              <w:pStyle w:val="Tabletext1"/>
              <w:ind w:left="0"/>
            </w:pPr>
            <w:r w:rsidRPr="00EE1A20">
              <w:t xml:space="preserve">Procedure related: </w:t>
            </w:r>
            <w:r>
              <w:t>NR</w:t>
            </w:r>
          </w:p>
          <w:p w14:paraId="77C17A87" w14:textId="77777777" w:rsidR="00EE1A20" w:rsidRPr="00EE1A20" w:rsidRDefault="00C03857" w:rsidP="007117A3">
            <w:pPr>
              <w:pStyle w:val="Tabletext1"/>
              <w:ind w:left="0"/>
            </w:pPr>
            <w:r w:rsidRPr="00EE1A20">
              <w:t xml:space="preserve">30-day: </w:t>
            </w:r>
            <w:r w:rsidRPr="00C03857">
              <w:t xml:space="preserve">1/118 </w:t>
            </w:r>
            <w:r>
              <w:t>(0.8</w:t>
            </w:r>
            <w:r w:rsidRPr="00C03857">
              <w:t>)</w:t>
            </w:r>
          </w:p>
        </w:tc>
        <w:tc>
          <w:tcPr>
            <w:tcW w:w="5023" w:type="dxa"/>
          </w:tcPr>
          <w:p w14:paraId="548671F8" w14:textId="77777777" w:rsidR="00EE1A20" w:rsidRPr="00EE1A20" w:rsidRDefault="00C03857" w:rsidP="007117A3">
            <w:pPr>
              <w:pStyle w:val="Tabletext1"/>
              <w:ind w:left="0"/>
            </w:pPr>
            <w:r>
              <w:t>NR</w:t>
            </w:r>
          </w:p>
        </w:tc>
      </w:tr>
      <w:tr w:rsidR="00EE1A20" w:rsidRPr="00EE1A20" w14:paraId="3B3F187D" w14:textId="77777777" w:rsidTr="00C03857">
        <w:tc>
          <w:tcPr>
            <w:tcW w:w="1809" w:type="dxa"/>
          </w:tcPr>
          <w:p w14:paraId="5AA64602" w14:textId="77777777" w:rsidR="00EE1A20" w:rsidRPr="00EE1A20" w:rsidRDefault="00EE1A20" w:rsidP="007117A3">
            <w:pPr>
              <w:pStyle w:val="Tabletext1"/>
              <w:ind w:left="0"/>
            </w:pPr>
            <w:r w:rsidRPr="00EE1A20">
              <w:t xml:space="preserve">Rodriguez-Fuster et al </w:t>
            </w:r>
            <w:r w:rsidR="00EE1A2B">
              <w:t>(</w:t>
            </w:r>
            <w:r w:rsidRPr="00EE1A20">
              <w:t>2014</w:t>
            </w:r>
            <w:r w:rsidR="00EE1A2B">
              <w:t>)</w:t>
            </w:r>
          </w:p>
        </w:tc>
        <w:tc>
          <w:tcPr>
            <w:tcW w:w="2410" w:type="dxa"/>
          </w:tcPr>
          <w:p w14:paraId="37D895EA" w14:textId="77777777" w:rsidR="00C03857" w:rsidRPr="00EE1A20" w:rsidRDefault="00C03857" w:rsidP="007117A3">
            <w:pPr>
              <w:pStyle w:val="Tabletext1"/>
              <w:ind w:left="0"/>
            </w:pPr>
            <w:r w:rsidRPr="00EE1A20">
              <w:t xml:space="preserve">Procedure related: </w:t>
            </w:r>
            <w:r>
              <w:t>NR</w:t>
            </w:r>
          </w:p>
          <w:p w14:paraId="0AFC0E06" w14:textId="77777777" w:rsidR="00EE1A20" w:rsidRPr="00EE1A20" w:rsidRDefault="00C03857" w:rsidP="007117A3">
            <w:pPr>
              <w:pStyle w:val="Tabletext1"/>
              <w:ind w:left="0"/>
            </w:pPr>
            <w:r w:rsidRPr="00EE1A20">
              <w:t xml:space="preserve">30-day: </w:t>
            </w:r>
            <w:r w:rsidRPr="00C03857">
              <w:t>2/532 (0.4)</w:t>
            </w:r>
          </w:p>
        </w:tc>
        <w:tc>
          <w:tcPr>
            <w:tcW w:w="5023" w:type="dxa"/>
          </w:tcPr>
          <w:p w14:paraId="02B2B1C2" w14:textId="77777777" w:rsidR="00C03857" w:rsidRDefault="00C03857" w:rsidP="007117A3">
            <w:pPr>
              <w:pStyle w:val="Tabletext1"/>
              <w:ind w:left="0"/>
            </w:pPr>
            <w:r w:rsidRPr="00C03857">
              <w:t>Air leaks</w:t>
            </w:r>
            <w:r>
              <w:t xml:space="preserve"> &gt; 7 days: 18/532 patients (3.4</w:t>
            </w:r>
            <w:r w:rsidRPr="00C03857">
              <w:t>)</w:t>
            </w:r>
          </w:p>
          <w:p w14:paraId="1C5A0E16" w14:textId="77777777" w:rsidR="00C03857" w:rsidRDefault="00876765" w:rsidP="007117A3">
            <w:pPr>
              <w:pStyle w:val="Tabletext1"/>
              <w:ind w:left="0"/>
            </w:pPr>
            <w:r>
              <w:t>A</w:t>
            </w:r>
            <w:r w:rsidR="00C03857" w:rsidRPr="00C03857">
              <w:t xml:space="preserve">telectasis: 12/532 </w:t>
            </w:r>
            <w:r w:rsidR="00C03857">
              <w:t>(2.3)</w:t>
            </w:r>
          </w:p>
          <w:p w14:paraId="45DB14B9" w14:textId="77777777" w:rsidR="00C03857" w:rsidRDefault="00876765" w:rsidP="007117A3">
            <w:pPr>
              <w:pStyle w:val="Tabletext1"/>
              <w:ind w:left="0"/>
            </w:pPr>
            <w:r>
              <w:t>P</w:t>
            </w:r>
            <w:r w:rsidR="00C03857" w:rsidRPr="00C03857">
              <w:t xml:space="preserve">neumonia: 13/532 </w:t>
            </w:r>
            <w:r w:rsidR="00C03857">
              <w:t>(2.3)</w:t>
            </w:r>
          </w:p>
          <w:p w14:paraId="00B6C691" w14:textId="77777777" w:rsidR="00C03857" w:rsidRDefault="00876765" w:rsidP="007117A3">
            <w:pPr>
              <w:pStyle w:val="Tabletext1"/>
              <w:ind w:left="0"/>
            </w:pPr>
            <w:r>
              <w:t>P</w:t>
            </w:r>
            <w:r w:rsidR="00C03857" w:rsidRPr="00C03857">
              <w:t>aralytic ileum 12/532 (2.3</w:t>
            </w:r>
            <w:r w:rsidR="00C03857">
              <w:t>)</w:t>
            </w:r>
          </w:p>
          <w:p w14:paraId="7EEC557B" w14:textId="77777777" w:rsidR="00C03857" w:rsidRDefault="00876765" w:rsidP="007117A3">
            <w:pPr>
              <w:pStyle w:val="Tabletext1"/>
              <w:ind w:left="0"/>
            </w:pPr>
            <w:r>
              <w:t>A</w:t>
            </w:r>
            <w:r w:rsidR="00C03857" w:rsidRPr="00C03857">
              <w:t>rrhythmias: 9/532 (</w:t>
            </w:r>
            <w:r w:rsidR="00C03857">
              <w:t>1.7)</w:t>
            </w:r>
          </w:p>
          <w:p w14:paraId="4B98415A" w14:textId="77777777" w:rsidR="00C03857" w:rsidRDefault="00876765" w:rsidP="007117A3">
            <w:pPr>
              <w:pStyle w:val="Tabletext1"/>
              <w:ind w:left="0"/>
            </w:pPr>
            <w:r>
              <w:t>A</w:t>
            </w:r>
            <w:r w:rsidR="00C03857" w:rsidRPr="00C03857">
              <w:t xml:space="preserve">cute respiratory distress syndrome: 4/532 </w:t>
            </w:r>
            <w:r w:rsidR="00C03857">
              <w:t>(0.8)</w:t>
            </w:r>
          </w:p>
          <w:p w14:paraId="2B0FEDD7" w14:textId="77777777" w:rsidR="00C03857" w:rsidRDefault="00876765" w:rsidP="007117A3">
            <w:pPr>
              <w:pStyle w:val="Tabletext1"/>
              <w:ind w:left="0"/>
            </w:pPr>
            <w:r>
              <w:t>P</w:t>
            </w:r>
            <w:r w:rsidR="00C03857">
              <w:t>leural cameras: 16/532 (3.0)</w:t>
            </w:r>
          </w:p>
          <w:p w14:paraId="1D242A46" w14:textId="77777777" w:rsidR="00C03857" w:rsidRDefault="00876765" w:rsidP="007117A3">
            <w:pPr>
              <w:pStyle w:val="Tabletext1"/>
              <w:ind w:left="0"/>
            </w:pPr>
            <w:r>
              <w:t>U</w:t>
            </w:r>
            <w:r w:rsidR="00C03857" w:rsidRPr="00C03857">
              <w:t>rinary infection:</w:t>
            </w:r>
            <w:r w:rsidR="00C03857">
              <w:t xml:space="preserve"> 5/532 (0.9)</w:t>
            </w:r>
          </w:p>
          <w:p w14:paraId="0F7678C1" w14:textId="77777777" w:rsidR="00C03857" w:rsidRDefault="00876765" w:rsidP="007117A3">
            <w:pPr>
              <w:pStyle w:val="Tabletext1"/>
              <w:ind w:left="0"/>
            </w:pPr>
            <w:r>
              <w:t>R</w:t>
            </w:r>
            <w:r w:rsidR="00C03857" w:rsidRPr="00C03857">
              <w:t>en</w:t>
            </w:r>
            <w:r w:rsidR="00C03857">
              <w:t>al insufficiency: 3/532 (0.6)</w:t>
            </w:r>
          </w:p>
          <w:p w14:paraId="4F0335DD" w14:textId="77777777" w:rsidR="00876765" w:rsidRDefault="00876765" w:rsidP="007117A3">
            <w:pPr>
              <w:pStyle w:val="Tabletext1"/>
              <w:ind w:left="0"/>
            </w:pPr>
            <w:r>
              <w:t>P</w:t>
            </w:r>
            <w:r w:rsidR="00C03857">
              <w:t>hrenic paralysis: 2/532 (0.4</w:t>
            </w:r>
            <w:r w:rsidR="00C03857" w:rsidRPr="00C03857">
              <w:t xml:space="preserve">) </w:t>
            </w:r>
          </w:p>
          <w:p w14:paraId="49365080" w14:textId="77777777" w:rsidR="00876765" w:rsidRDefault="00876765" w:rsidP="007117A3">
            <w:pPr>
              <w:pStyle w:val="Tabletext1"/>
              <w:ind w:left="0"/>
            </w:pPr>
            <w:r>
              <w:lastRenderedPageBreak/>
              <w:t>C</w:t>
            </w:r>
            <w:r w:rsidR="00C03857" w:rsidRPr="00C03857">
              <w:t>ongest</w:t>
            </w:r>
            <w:r>
              <w:t>ive heart failure: 2/532 (0.4)</w:t>
            </w:r>
          </w:p>
          <w:p w14:paraId="43BB29F3" w14:textId="77777777" w:rsidR="00C03857" w:rsidRDefault="00876765" w:rsidP="007117A3">
            <w:pPr>
              <w:pStyle w:val="Tabletext1"/>
              <w:ind w:left="0"/>
            </w:pPr>
            <w:r>
              <w:t>O</w:t>
            </w:r>
            <w:r w:rsidR="00C03857" w:rsidRPr="00C03857">
              <w:t>edema</w:t>
            </w:r>
            <w:r w:rsidR="00C03857">
              <w:t xml:space="preserve"> post-pneumonectomy: 1/532 (0.2)</w:t>
            </w:r>
          </w:p>
          <w:p w14:paraId="7E4514E2" w14:textId="77777777" w:rsidR="00EE1A20" w:rsidRPr="00EE1A20" w:rsidRDefault="00876765" w:rsidP="007117A3">
            <w:pPr>
              <w:pStyle w:val="Tabletext1"/>
              <w:ind w:left="0"/>
            </w:pPr>
            <w:r>
              <w:t>B</w:t>
            </w:r>
            <w:r w:rsidR="00C03857" w:rsidRPr="00C03857">
              <w:t>ro</w:t>
            </w:r>
            <w:r w:rsidR="00C03857">
              <w:t>ncho</w:t>
            </w:r>
            <w:r w:rsidR="00FB5F4A">
              <w:t>-</w:t>
            </w:r>
            <w:r w:rsidR="00C03857">
              <w:t xml:space="preserve">pleural </w:t>
            </w:r>
            <w:r w:rsidR="00CA6DFD">
              <w:t>fistula</w:t>
            </w:r>
            <w:r w:rsidR="00C03857">
              <w:t>: 1/532 (0.2</w:t>
            </w:r>
            <w:r w:rsidR="00C03857" w:rsidRPr="00C03857">
              <w:t>)</w:t>
            </w:r>
          </w:p>
        </w:tc>
      </w:tr>
      <w:tr w:rsidR="00EE1A20" w:rsidRPr="00EE1A20" w14:paraId="033C9642" w14:textId="77777777" w:rsidTr="00C03857">
        <w:tc>
          <w:tcPr>
            <w:tcW w:w="1809" w:type="dxa"/>
          </w:tcPr>
          <w:p w14:paraId="7E9B4CF2" w14:textId="77777777" w:rsidR="00EE1A20" w:rsidRPr="00EE1A20" w:rsidRDefault="00EE1A20" w:rsidP="007117A3">
            <w:pPr>
              <w:pStyle w:val="Tabletext1"/>
              <w:ind w:left="0"/>
            </w:pPr>
            <w:r w:rsidRPr="00EE1A20">
              <w:lastRenderedPageBreak/>
              <w:t xml:space="preserve">Kitano et al </w:t>
            </w:r>
            <w:r w:rsidR="00EE1A2B">
              <w:t>(</w:t>
            </w:r>
            <w:r w:rsidRPr="00EE1A20">
              <w:t>2012</w:t>
            </w:r>
            <w:r w:rsidR="00EE1A2B">
              <w:t>)</w:t>
            </w:r>
          </w:p>
        </w:tc>
        <w:tc>
          <w:tcPr>
            <w:tcW w:w="2410" w:type="dxa"/>
          </w:tcPr>
          <w:p w14:paraId="26E3E271" w14:textId="77777777" w:rsidR="00C03857" w:rsidRPr="00C03857" w:rsidRDefault="00C03857" w:rsidP="007117A3">
            <w:pPr>
              <w:pStyle w:val="Tabletext1"/>
              <w:ind w:left="0"/>
            </w:pPr>
            <w:r w:rsidRPr="00C03857">
              <w:t>Procedure rel</w:t>
            </w:r>
            <w:r>
              <w:t>ated: 0/45 (0)</w:t>
            </w:r>
          </w:p>
          <w:p w14:paraId="0F72CCB7" w14:textId="77777777" w:rsidR="00EE1A20" w:rsidRPr="00EE1A20" w:rsidRDefault="00C03857" w:rsidP="007117A3">
            <w:pPr>
              <w:pStyle w:val="Tabletext1"/>
              <w:ind w:left="0"/>
            </w:pPr>
            <w:r w:rsidRPr="00C03857">
              <w:t xml:space="preserve">30-day: </w:t>
            </w:r>
            <w:r>
              <w:t>NR</w:t>
            </w:r>
          </w:p>
        </w:tc>
        <w:tc>
          <w:tcPr>
            <w:tcW w:w="5023" w:type="dxa"/>
          </w:tcPr>
          <w:p w14:paraId="42243CC8" w14:textId="2E840DD9" w:rsidR="00EE1A20" w:rsidRPr="00EE1A20" w:rsidRDefault="007117A3" w:rsidP="007117A3">
            <w:pPr>
              <w:pStyle w:val="Tabletext1"/>
              <w:ind w:left="0"/>
            </w:pPr>
            <w:r>
              <w:t>E</w:t>
            </w:r>
            <w:r w:rsidR="00C03857" w:rsidRPr="00C03857">
              <w:t>mpyema due to prolonged air leakage</w:t>
            </w:r>
            <w:r w:rsidR="00C03857">
              <w:t>: 1/45 patients (2)</w:t>
            </w:r>
          </w:p>
        </w:tc>
      </w:tr>
    </w:tbl>
    <w:p w14:paraId="465D0E09" w14:textId="4771F584" w:rsidR="00EE1A20" w:rsidRPr="007117A3" w:rsidRDefault="007117A3" w:rsidP="007117A3">
      <w:pPr>
        <w:pStyle w:val="Tablenotes0"/>
      </w:pPr>
      <w:r>
        <w:t xml:space="preserve">&lt; </w:t>
      </w:r>
      <w:proofErr w:type="gramStart"/>
      <w:r w:rsidR="00FB16B5" w:rsidRPr="00FB16B5">
        <w:t>n/N</w:t>
      </w:r>
      <w:proofErr w:type="gramEnd"/>
      <w:r w:rsidR="00FB16B5" w:rsidRPr="00FB16B5">
        <w:t xml:space="preserve"> (%)</w:t>
      </w:r>
      <w:r w:rsidR="003E4064">
        <w:t xml:space="preserve"> </w:t>
      </w:r>
      <w:r w:rsidR="00FB16B5" w:rsidRPr="00FB16B5">
        <w:t>= number with event/ total (percentage); NR</w:t>
      </w:r>
      <w:r w:rsidR="003E4064">
        <w:t xml:space="preserve"> </w:t>
      </w:r>
      <w:r>
        <w:t xml:space="preserve">= </w:t>
      </w:r>
      <w:r w:rsidRPr="007117A3">
        <w:t>not</w:t>
      </w:r>
      <w:r>
        <w:t xml:space="preserve"> reported &gt;</w:t>
      </w:r>
    </w:p>
    <w:p w14:paraId="7AF0419D" w14:textId="77777777" w:rsidR="00EE1A20" w:rsidRDefault="00EE1A20" w:rsidP="00EE1A20"/>
    <w:p w14:paraId="6E122CC7" w14:textId="77777777" w:rsidR="00EE1A20" w:rsidRDefault="00EE1A20" w:rsidP="00EE1A20"/>
    <w:p w14:paraId="4A4CBB2A" w14:textId="77777777" w:rsidR="007D3A56" w:rsidRPr="00183E4D" w:rsidRDefault="007D3A56" w:rsidP="00DF343F">
      <w:pPr>
        <w:sectPr w:rsidR="007D3A56" w:rsidRPr="00183E4D" w:rsidSect="0024526E">
          <w:pgSz w:w="11906" w:h="16838"/>
          <w:pgMar w:top="1440" w:right="1440" w:bottom="1440" w:left="1440" w:header="720" w:footer="720" w:gutter="0"/>
          <w:paperSrc w:first="2" w:other="2"/>
          <w:cols w:space="720"/>
        </w:sectPr>
      </w:pPr>
    </w:p>
    <w:p w14:paraId="7CB5113F" w14:textId="77777777" w:rsidR="008F59A8" w:rsidRDefault="00575E7C" w:rsidP="00DF343F">
      <w:pPr>
        <w:pStyle w:val="Heading2"/>
      </w:pPr>
      <w:bookmarkStart w:id="316" w:name="_Toc379118084"/>
      <w:bookmarkStart w:id="317" w:name="_Toc381796469"/>
      <w:bookmarkStart w:id="318" w:name="_Toc460396060"/>
      <w:r w:rsidRPr="00183E4D">
        <w:lastRenderedPageBreak/>
        <w:t>IS MTA</w:t>
      </w:r>
      <w:r w:rsidR="00C83213">
        <w:t xml:space="preserve"> </w:t>
      </w:r>
      <w:r w:rsidR="008F59A8" w:rsidRPr="00183E4D">
        <w:t>effective</w:t>
      </w:r>
      <w:r w:rsidR="00C83213">
        <w:t xml:space="preserve"> in patients with early stage NSCL</w:t>
      </w:r>
      <w:r w:rsidR="00614E15">
        <w:t>C</w:t>
      </w:r>
      <w:r w:rsidR="00C83213">
        <w:t xml:space="preserve"> and who are not eligible for surgical resection</w:t>
      </w:r>
      <w:r w:rsidR="008F59A8" w:rsidRPr="00183E4D">
        <w:t>?</w:t>
      </w:r>
      <w:bookmarkEnd w:id="316"/>
      <w:bookmarkEnd w:id="317"/>
      <w:bookmarkEnd w:id="318"/>
      <w:r w:rsidR="008F59A8" w:rsidRPr="00183E4D">
        <w:t xml:space="preserve"> </w:t>
      </w:r>
    </w:p>
    <w:p w14:paraId="496399AB" w14:textId="77777777" w:rsidR="00A56D77" w:rsidRPr="00EE1A2B" w:rsidRDefault="00A56D77" w:rsidP="00434BBC">
      <w:pPr>
        <w:pStyle w:val="Summaryboxheading"/>
        <w:pBdr>
          <w:top w:val="single" w:sz="4" w:space="2" w:color="auto"/>
          <w:left w:val="single" w:sz="4" w:space="4" w:color="auto"/>
          <w:bottom w:val="single" w:sz="4" w:space="0" w:color="auto"/>
          <w:right w:val="single" w:sz="4" w:space="4" w:color="auto"/>
        </w:pBdr>
        <w:spacing w:beforeLines="60" w:before="144" w:afterLines="60" w:after="144" w:afterAutospacing="0"/>
      </w:pPr>
      <w:r w:rsidRPr="00EE1A2B">
        <w:t xml:space="preserve">Summary – </w:t>
      </w:r>
      <w:r w:rsidR="00477A44" w:rsidRPr="00EE1A2B">
        <w:t xml:space="preserve">What is the effectiveness of microwave </w:t>
      </w:r>
      <w:r w:rsidR="0066456D" w:rsidRPr="00EE1A2B">
        <w:t>tissue</w:t>
      </w:r>
      <w:r w:rsidR="00477A44" w:rsidRPr="00EE1A2B">
        <w:t xml:space="preserve"> ablation in patients with early stage inoperable NSCLC as compared to radiofrequency ablation or current best practice radiotherapy with or without chemotherapy?</w:t>
      </w:r>
    </w:p>
    <w:p w14:paraId="0D0B11A9" w14:textId="77777777" w:rsidR="00A56D77" w:rsidRPr="00477A44" w:rsidRDefault="00477A44" w:rsidP="00434BBC">
      <w:pPr>
        <w:pStyle w:val="Summaryboxheading"/>
        <w:pBdr>
          <w:top w:val="single" w:sz="4" w:space="2" w:color="auto"/>
          <w:left w:val="single" w:sz="4" w:space="4" w:color="auto"/>
          <w:bottom w:val="single" w:sz="4" w:space="0" w:color="auto"/>
          <w:right w:val="single" w:sz="4" w:space="4" w:color="auto"/>
        </w:pBdr>
        <w:spacing w:beforeLines="60" w:before="144" w:afterLines="60" w:after="144" w:afterAutospacing="0"/>
        <w:rPr>
          <w:b w:val="0"/>
        </w:rPr>
      </w:pPr>
      <w:r w:rsidRPr="00EE1A2B">
        <w:rPr>
          <w:b w:val="0"/>
        </w:rPr>
        <w:t>The evidence for both the intervention and its comparators is by and large characterised by Level IV evidence with variable outcome measures and incomplete reporting. The mechanism of action of thermal ablative technologies in terms of tumour destruction is intuitively appealing; however, the comparative benefit of this form of tumour destruction over existing treatment options is unknown. It is important to note that in the context of a reimbursement decision the claim of non-inferiority for the comparative effectiveness of MTA as compared to current best practice radiotherapy, surgery or RFA remains untested by published studies.</w:t>
      </w:r>
    </w:p>
    <w:p w14:paraId="7CB14061" w14:textId="77777777" w:rsidR="00477A44" w:rsidRDefault="00477A44" w:rsidP="00477A44">
      <w:r>
        <w:t>Patients with early stage NSCLC are likely to present with localised, technically resectable disease; however, a substantial proportion of these patients will not be candidates for surgical resection due to significant comorbidities or age. Consequently, these patients are traditionally offered definitive radiotherapy. The effectiveness of treatments for early stage NSCLC in patients</w:t>
      </w:r>
      <w:r w:rsidR="00D05571">
        <w:t xml:space="preserve"> that are</w:t>
      </w:r>
      <w:r>
        <w:t xml:space="preserve"> not eligible for surgical resection is evaluated by survival outcomes and measures of local control.</w:t>
      </w:r>
    </w:p>
    <w:p w14:paraId="36FFCE16" w14:textId="3607BD2D" w:rsidR="00477A44" w:rsidRDefault="00477A44" w:rsidP="00477A44">
      <w:r>
        <w:t xml:space="preserve">Head to head trials comparing newer radiotherapy options (SBRT) to surgery in operable patients have been terminated early due to slow accrual </w:t>
      </w:r>
      <w:r>
        <w:fldChar w:fldCharType="begin"/>
      </w:r>
      <w:r w:rsidR="00194054">
        <w:instrText xml:space="preserve"> ADDIN EN.CITE &lt;EndNote&gt;&lt;Cite&gt;&lt;Author&gt;Chang&lt;/Author&gt;&lt;Year&gt;2015&lt;/Year&gt;&lt;RecNum&gt;119&lt;/RecNum&gt;&lt;DisplayText&gt;(Chang et al 2015)&lt;/DisplayText&gt;&lt;record&gt;&lt;rec-number&gt;119&lt;/rec-number&gt;&lt;foreign-keys&gt;&lt;key app="EN" db-id="05ssdaw2cf0zvye5xvo5z9ww0xdpfstrdtew" timestamp="1468462070"&gt;119&lt;/key&gt;&lt;/foreign-keys&gt;&lt;ref-type name="Journal Article"&gt;17&lt;/ref-type&gt;&lt;contributors&gt;&lt;authors&gt;&lt;author&gt;Chang, Joe Y.&lt;/author&gt;&lt;author&gt;Senan, Suresh&lt;/author&gt;&lt;author&gt;Paul, Marinus A.&lt;/author&gt;&lt;author&gt;Mehran, Reza J.&lt;/author&gt;&lt;author&gt;Louie, Alexander V.&lt;/author&gt;&lt;author&gt;Balter, Peter&lt;/author&gt;&lt;author&gt;Groen, Harry J. M.&lt;/author&gt;&lt;author&gt;McRae, Stephen E.&lt;/author&gt;&lt;author&gt;Widder, Joachim&lt;/author&gt;&lt;author&gt;Feng, Lei&lt;/author&gt;&lt;author&gt;van den Borne, Ben E. E. M.&lt;/author&gt;&lt;author&gt;Munsell, Mark F.&lt;/author&gt;&lt;author&gt;Hurkmans, Coen&lt;/author&gt;&lt;author&gt;Berry, Donald A.&lt;/author&gt;&lt;author&gt;van Werkhoven, Erik&lt;/author&gt;&lt;author&gt;Kresl, John J.&lt;/author&gt;&lt;author&gt;Dingemans, Anne-Marie&lt;/author&gt;&lt;author&gt;Dawood, Omar&lt;/author&gt;&lt;author&gt;Haasbeek, Cornelis J. A.&lt;/author&gt;&lt;author&gt;Carpenter, Larry S.&lt;/author&gt;&lt;author&gt;De Jaeger, Katrien&lt;/author&gt;&lt;author&gt;Komaki, Ritsuko&lt;/author&gt;&lt;author&gt;Slotman, Ben J.&lt;/author&gt;&lt;author&gt;Smit, Egbert F.&lt;/author&gt;&lt;author&gt;Roth, Jack A.&lt;/author&gt;&lt;/authors&gt;&lt;/contributors&gt;&lt;titles&gt;&lt;title&gt;Stereotactic ablative radiotherapy versus lobectomy for operable stage I non-small-cell lung cancer: a pooled analysis of two randomised trials&lt;/title&gt;&lt;secondary-title&gt;The Lancet. Oncology&lt;/secondary-title&gt;&lt;/titles&gt;&lt;periodical&gt;&lt;full-title&gt;The Lancet. Oncology&lt;/full-title&gt;&lt;/periodical&gt;&lt;pages&gt;630-637&lt;/pages&gt;&lt;volume&gt;16&lt;/volume&gt;&lt;number&gt;6&lt;/number&gt;&lt;dates&gt;&lt;year&gt;2015&lt;/year&gt;&lt;pub-dates&gt;&lt;date&gt;05/13&lt;/date&gt;&lt;/pub-dates&gt;&lt;/dates&gt;&lt;isbn&gt;1470-2045&amp;#xD;1474-5488&lt;/isbn&gt;&lt;accession-num&gt;PMC4489408&lt;/accession-num&gt;&lt;urls&gt;&lt;related-urls&gt;&lt;url&gt;http://www.ncbi.nlm.nih.gov/pmc/articles/PMC4489408/&lt;/url&gt;&lt;/related-urls&gt;&lt;/urls&gt;&lt;electronic-resource-num&gt;10.1016/S1470-2045(15)70168-3&lt;/electronic-resource-num&gt;&lt;remote-database-name&gt;PMC&lt;/remote-database-name&gt;&lt;/record&gt;&lt;/Cite&gt;&lt;/EndNote&gt;</w:instrText>
      </w:r>
      <w:r>
        <w:fldChar w:fldCharType="separate"/>
      </w:r>
      <w:r>
        <w:rPr>
          <w:noProof/>
        </w:rPr>
        <w:t>(</w:t>
      </w:r>
      <w:hyperlink w:anchor="_ENREF_30" w:tooltip="Chang, 2015 #119" w:history="1">
        <w:r w:rsidR="00320458">
          <w:rPr>
            <w:noProof/>
          </w:rPr>
          <w:t>Chang et al 2015</w:t>
        </w:r>
      </w:hyperlink>
      <w:r>
        <w:rPr>
          <w:noProof/>
        </w:rPr>
        <w:t>)</w:t>
      </w:r>
      <w:r>
        <w:fldChar w:fldCharType="end"/>
      </w:r>
      <w:r>
        <w:t xml:space="preserve">. However, retrospective data indicates that </w:t>
      </w:r>
      <w:r w:rsidR="007E7E3C">
        <w:t>SBRT</w:t>
      </w:r>
      <w:r>
        <w:t xml:space="preserve"> may have comparable local control and survival outcomes </w:t>
      </w:r>
      <w:r w:rsidR="007E7E3C">
        <w:t xml:space="preserve">to surgery </w:t>
      </w:r>
      <w:r>
        <w:t xml:space="preserve">when analyses are adjusted for comorbidities and age </w:t>
      </w:r>
      <w:r>
        <w:fldChar w:fldCharType="begin">
          <w:fldData xml:space="preserve">PEVuZE5vdGU+PENpdGU+PEF1dGhvcj5TaGlydmFuaTwvQXV0aG9yPjxZZWFyPjIwMTI8L1llYXI+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=
</w:fldData>
        </w:fldChar>
      </w:r>
      <w:r w:rsidR="00194054">
        <w:instrText xml:space="preserve"> ADDIN EN.CITE </w:instrText>
      </w:r>
      <w:r w:rsidR="00194054">
        <w:fldChar w:fldCharType="begin">
          <w:fldData xml:space="preserve">PEVuZE5vdGU+PENpdGU+PEF1dGhvcj5TaGlydmFuaTwvQXV0aG9yPjxZZWFyPjIwMTI8L1llYXI+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=
</w:fldData>
        </w:fldChar>
      </w:r>
      <w:r w:rsidR="00194054">
        <w:instrText xml:space="preserve"> ADDIN EN.CITE.DATA </w:instrText>
      </w:r>
      <w:r w:rsidR="00194054">
        <w:fldChar w:fldCharType="end"/>
      </w:r>
      <w:r>
        <w:fldChar w:fldCharType="separate"/>
      </w:r>
      <w:r>
        <w:rPr>
          <w:noProof/>
        </w:rPr>
        <w:t>(</w:t>
      </w:r>
      <w:hyperlink w:anchor="_ENREF_30" w:tooltip="Chang, 2015 #119" w:history="1">
        <w:r w:rsidR="00320458">
          <w:rPr>
            <w:noProof/>
          </w:rPr>
          <w:t>Chang et al 2015</w:t>
        </w:r>
      </w:hyperlink>
      <w:r>
        <w:rPr>
          <w:noProof/>
        </w:rPr>
        <w:t xml:space="preserve">; </w:t>
      </w:r>
      <w:hyperlink w:anchor="_ENREF_33" w:tooltip="Crabtree, 2010 #121" w:history="1">
        <w:r w:rsidR="00320458">
          <w:rPr>
            <w:noProof/>
          </w:rPr>
          <w:t>Crabtree et al 2010</w:t>
        </w:r>
      </w:hyperlink>
      <w:r>
        <w:rPr>
          <w:noProof/>
        </w:rPr>
        <w:t xml:space="preserve">; </w:t>
      </w:r>
      <w:hyperlink w:anchor="_ENREF_111" w:tooltip="Nanda, 2015 #118" w:history="1">
        <w:r w:rsidR="00320458">
          <w:rPr>
            <w:noProof/>
          </w:rPr>
          <w:t>Nanda et al 2015</w:t>
        </w:r>
      </w:hyperlink>
      <w:r>
        <w:rPr>
          <w:noProof/>
        </w:rPr>
        <w:t xml:space="preserve">; </w:t>
      </w:r>
      <w:hyperlink w:anchor="_ENREF_139" w:tooltip="Shirvani, 2012 #120" w:history="1">
        <w:r w:rsidR="00320458">
          <w:rPr>
            <w:noProof/>
          </w:rPr>
          <w:t>Shirvani et al 2012</w:t>
        </w:r>
      </w:hyperlink>
      <w:r>
        <w:rPr>
          <w:noProof/>
        </w:rPr>
        <w:t>)</w:t>
      </w:r>
      <w:r>
        <w:fldChar w:fldCharType="end"/>
      </w:r>
      <w:r>
        <w:t xml:space="preserve">. </w:t>
      </w:r>
      <w:r w:rsidR="00590652">
        <w:t xml:space="preserve">These studies did not meet the formal inclusion criteria for this review as they report on comparisons that are not appropriate for the research questions for this review. However, they provide general context for SBRT as a therapy in early stage NSCLC. </w:t>
      </w:r>
      <w:r>
        <w:t>Additionally, a large retrospective study examining the effect of SBRT versus observation identified a survival benefit in patient</w:t>
      </w:r>
      <w:r w:rsidR="00D66EB0">
        <w:t>s</w:t>
      </w:r>
      <w:r>
        <w:t xml:space="preserve"> treated with SBRT (the median overall survival was 29 months with SBRT versus 10 months with observation alone, P&lt;.001). No such comparative trials of MTA ar</w:t>
      </w:r>
      <w:r w:rsidR="00D66EB0">
        <w:t>e available for this population;</w:t>
      </w:r>
      <w:r>
        <w:t xml:space="preserve"> </w:t>
      </w:r>
      <w:r w:rsidR="00D66EB0">
        <w:t>h</w:t>
      </w:r>
      <w:r>
        <w:t xml:space="preserve">owever, results from Level IV studies </w:t>
      </w:r>
      <w:r w:rsidR="00D66EB0">
        <w:t>are presented,</w:t>
      </w:r>
      <w:r>
        <w:t xml:space="preserve"> and some crude comparisons are discussed</w:t>
      </w:r>
      <w:r w:rsidR="00D66EB0">
        <w:t>,</w:t>
      </w:r>
      <w:r>
        <w:t xml:space="preserve"> herein.  The MSAC should consider that it is not possible to statistically test for differences in prognostic factors across studies or for differences in effects. Outcomes reported from case series studies a</w:t>
      </w:r>
      <w:r w:rsidR="004A3724">
        <w:t xml:space="preserve">re subject to </w:t>
      </w:r>
      <w:r w:rsidR="009E10AA">
        <w:t xml:space="preserve">a </w:t>
      </w:r>
      <w:r w:rsidR="004A3724">
        <w:t xml:space="preserve">high risk of bias, </w:t>
      </w:r>
      <w:r>
        <w:t>and it is not possible to quantify the impact</w:t>
      </w:r>
      <w:r w:rsidR="004A3724">
        <w:t xml:space="preserve"> of bias or confounding factors.</w:t>
      </w:r>
    </w:p>
    <w:p w14:paraId="0E91FDC8" w14:textId="77777777" w:rsidR="004C5A84" w:rsidRPr="009C64DE" w:rsidRDefault="009C64DE" w:rsidP="003F6C66">
      <w:pPr>
        <w:pStyle w:val="Heading3"/>
      </w:pPr>
      <w:bookmarkStart w:id="319" w:name="_Toc395200782"/>
      <w:bookmarkStart w:id="320" w:name="_Toc460396061"/>
      <w:r w:rsidRPr="009C64DE">
        <w:t xml:space="preserve">Overall </w:t>
      </w:r>
      <w:bookmarkEnd w:id="319"/>
      <w:r w:rsidR="00DC6FF5">
        <w:t>and cancer-specific survival</w:t>
      </w:r>
      <w:r w:rsidR="00330A30">
        <w:t xml:space="preserve"> time</w:t>
      </w:r>
      <w:bookmarkEnd w:id="320"/>
    </w:p>
    <w:p w14:paraId="11C1A8B1" w14:textId="69D94BAC" w:rsidR="003C1105" w:rsidRDefault="00CB7CCA" w:rsidP="009B5B78">
      <w:r>
        <w:t xml:space="preserve">No studies were identified that directly </w:t>
      </w:r>
      <w:r w:rsidR="00CE7E41">
        <w:t xml:space="preserve">or indirectly </w:t>
      </w:r>
      <w:r>
        <w:t xml:space="preserve">compared overall survival </w:t>
      </w:r>
      <w:r w:rsidR="00330A30">
        <w:t xml:space="preserve">time </w:t>
      </w:r>
      <w:r w:rsidR="00CE7E41">
        <w:t xml:space="preserve">for MTA to the </w:t>
      </w:r>
      <w:r>
        <w:t>relevant comparator</w:t>
      </w:r>
      <w:r w:rsidR="00CE7E41">
        <w:t>s</w:t>
      </w:r>
      <w:r>
        <w:t xml:space="preserve">. </w:t>
      </w:r>
      <w:r w:rsidR="009C64DE">
        <w:t xml:space="preserve">Three </w:t>
      </w:r>
      <w:r w:rsidR="00525ABE">
        <w:t xml:space="preserve">case series </w:t>
      </w:r>
      <w:r w:rsidR="009C64DE">
        <w:t xml:space="preserve">studies </w:t>
      </w:r>
      <w:r w:rsidR="001A3972">
        <w:t xml:space="preserve">of MTA </w:t>
      </w:r>
      <w:r w:rsidR="009C64DE">
        <w:t xml:space="preserve">were identified for patients with early stage </w:t>
      </w:r>
      <w:r w:rsidR="009C64DE">
        <w:lastRenderedPageBreak/>
        <w:t xml:space="preserve">NSCLC who are not eligible for surgical resection. Only two of those reported overall survival outcomes </w:t>
      </w:r>
      <w:r w:rsidR="00057272">
        <w:fldChar w:fldCharType="begin">
          <w:fldData xml:space="preserve">PEVuZE5vdGU+PENpdGU+PEF1dGhvcj5IYW48L0F1dGhvcj48WWVhcj4yMDE1PC9ZZWFyPjxSZWNO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</w:fldData>
        </w:fldChar>
      </w:r>
      <w:r w:rsidR="00194054">
        <w:instrText xml:space="preserve"> ADDIN EN.CITE </w:instrText>
      </w:r>
      <w:r w:rsidR="00194054">
        <w:fldChar w:fldCharType="begin">
          <w:fldData xml:space="preserve">PEVuZE5vdGU+PENpdGU+PEF1dGhvcj5IYW48L0F1dGhvcj48WWVhcj4yMDE1PC9ZZWFyPjxSZWNO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</w:fldData>
        </w:fldChar>
      </w:r>
      <w:r w:rsidR="00194054">
        <w:instrText xml:space="preserve"> ADDIN EN.CITE.DATA </w:instrText>
      </w:r>
      <w:r w:rsidR="00194054">
        <w:fldChar w:fldCharType="end"/>
      </w:r>
      <w:r w:rsidR="00057272">
        <w:fldChar w:fldCharType="separate"/>
      </w:r>
      <w:r w:rsidR="00057272">
        <w:rPr>
          <w:noProof/>
        </w:rPr>
        <w:t>(</w:t>
      </w:r>
      <w:hyperlink w:anchor="_ENREF_63" w:tooltip="Han, 2015 #93" w:history="1">
        <w:r w:rsidR="00320458">
          <w:rPr>
            <w:noProof/>
          </w:rPr>
          <w:t>Han et al 2015</w:t>
        </w:r>
      </w:hyperlink>
      <w:r w:rsidR="00057272">
        <w:rPr>
          <w:noProof/>
        </w:rPr>
        <w:t xml:space="preserve">; </w:t>
      </w:r>
      <w:hyperlink w:anchor="_ENREF_174" w:tooltip="Yang, 2014 #101" w:history="1">
        <w:r w:rsidR="00320458">
          <w:rPr>
            <w:noProof/>
          </w:rPr>
          <w:t>Yang et al 2014</w:t>
        </w:r>
      </w:hyperlink>
      <w:r w:rsidR="00057272">
        <w:rPr>
          <w:noProof/>
        </w:rPr>
        <w:t>)</w:t>
      </w:r>
      <w:r w:rsidR="00057272">
        <w:fldChar w:fldCharType="end"/>
      </w:r>
      <w:r w:rsidR="00057272">
        <w:t xml:space="preserve">. </w:t>
      </w:r>
      <w:r w:rsidR="00D57ADE" w:rsidRPr="00041F9C">
        <w:t>In both</w:t>
      </w:r>
      <w:r w:rsidR="00D57ADE">
        <w:t xml:space="preserve"> </w:t>
      </w:r>
      <w:r w:rsidR="001951A6">
        <w:t>studies</w:t>
      </w:r>
      <w:r w:rsidR="00D57ADE">
        <w:t xml:space="preserve"> the median overall </w:t>
      </w:r>
      <w:r w:rsidR="00E00830">
        <w:t>survival</w:t>
      </w:r>
      <w:r w:rsidR="00D57ADE">
        <w:t xml:space="preserve"> and</w:t>
      </w:r>
      <w:r w:rsidR="00E00830">
        <w:t xml:space="preserve"> the</w:t>
      </w:r>
      <w:r w:rsidR="00D57ADE">
        <w:t xml:space="preserve"> lower bound of the confidence interval w</w:t>
      </w:r>
      <w:r w:rsidR="00E00830">
        <w:t>as greater than 20 months</w:t>
      </w:r>
      <w:r w:rsidR="004C3A22">
        <w:t xml:space="preserve"> (</w:t>
      </w:r>
      <w:r w:rsidR="004C3A22">
        <w:fldChar w:fldCharType="begin"/>
      </w:r>
      <w:r w:rsidR="004C3A22">
        <w:instrText xml:space="preserve"> REF _Ref457389540 \h </w:instrText>
      </w:r>
      <w:r w:rsidR="004C3A22">
        <w:fldChar w:fldCharType="separate"/>
      </w:r>
      <w:r w:rsidR="00D170A5" w:rsidRPr="00041F9C">
        <w:t xml:space="preserve">Table </w:t>
      </w:r>
      <w:r w:rsidR="00D170A5">
        <w:rPr>
          <w:noProof/>
        </w:rPr>
        <w:t>51</w:t>
      </w:r>
      <w:r w:rsidR="004C3A22">
        <w:fldChar w:fldCharType="end"/>
      </w:r>
      <w:r w:rsidR="004C3A22">
        <w:t>)</w:t>
      </w:r>
      <w:r w:rsidR="00057272">
        <w:t xml:space="preserve">. </w:t>
      </w:r>
      <w:r w:rsidR="00633347" w:rsidRPr="00C5412E">
        <w:t xml:space="preserve">The studies of MTA include a very small number of patients and although </w:t>
      </w:r>
      <w:r w:rsidR="00633347">
        <w:t>crude comparisons can be drawn to estimates presented in studies of a similar population</w:t>
      </w:r>
      <w:r w:rsidR="00633347" w:rsidRPr="00C5412E">
        <w:t xml:space="preserve">, it is not possible </w:t>
      </w:r>
      <w:r w:rsidR="003844BB">
        <w:t xml:space="preserve">to </w:t>
      </w:r>
      <w:r w:rsidR="00633347">
        <w:t>provide an estimate of comparative effectiveness.</w:t>
      </w:r>
    </w:p>
    <w:p w14:paraId="4D714945" w14:textId="3CC3B830" w:rsidR="003C1105" w:rsidRDefault="00CE7E41" w:rsidP="003C1105">
      <w:r>
        <w:t xml:space="preserve">In terms of prognostic factors affecting survival, </w:t>
      </w:r>
      <w:r w:rsidR="003C1105">
        <w:t xml:space="preserve">Yang et al </w:t>
      </w:r>
      <w:r w:rsidR="003C1105">
        <w:fldChar w:fldCharType="begin">
          <w:fldData xml:space="preserve">PEVuZE5vdGU+PENpdGUgRXhjbHVkZUF1dGg9IjEiPjxBdXRob3I+WWFuZzwvQXV0aG9yPjxZZWFy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</w:fldData>
        </w:fldChar>
      </w:r>
      <w:r w:rsidR="00194054">
        <w:instrText xml:space="preserve"> ADDIN EN.CITE </w:instrText>
      </w:r>
      <w:r w:rsidR="00194054">
        <w:fldChar w:fldCharType="begin">
          <w:fldData xml:space="preserve">PEVuZE5vdGU+PENpdGUgRXhjbHVkZUF1dGg9IjEiPjxBdXRob3I+WWFuZzwvQXV0aG9yPjxZZWFy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</w:fldData>
        </w:fldChar>
      </w:r>
      <w:r w:rsidR="00194054">
        <w:instrText xml:space="preserve"> ADDIN EN.CITE.DATA </w:instrText>
      </w:r>
      <w:r w:rsidR="00194054">
        <w:fldChar w:fldCharType="end"/>
      </w:r>
      <w:r w:rsidR="003C1105">
        <w:fldChar w:fldCharType="separate"/>
      </w:r>
      <w:r w:rsidR="003C1105">
        <w:rPr>
          <w:noProof/>
        </w:rPr>
        <w:t>(</w:t>
      </w:r>
      <w:hyperlink w:anchor="_ENREF_174" w:tooltip="Yang, 2014 #101" w:history="1">
        <w:r w:rsidR="00320458">
          <w:rPr>
            <w:noProof/>
          </w:rPr>
          <w:t>2014</w:t>
        </w:r>
      </w:hyperlink>
      <w:r w:rsidR="003C1105">
        <w:rPr>
          <w:noProof/>
        </w:rPr>
        <w:t>)</w:t>
      </w:r>
      <w:r w:rsidR="003C1105">
        <w:fldChar w:fldCharType="end"/>
      </w:r>
      <w:r w:rsidR="003C1105">
        <w:t xml:space="preserve"> </w:t>
      </w:r>
      <w:r w:rsidR="003C1105" w:rsidRPr="00DC6FF5">
        <w:t xml:space="preserve">found that tumours ≤ 35 </w:t>
      </w:r>
      <w:r w:rsidR="00364DA3">
        <w:t>m</w:t>
      </w:r>
      <w:r w:rsidR="003C1105" w:rsidRPr="00DC6FF5">
        <w:t xml:space="preserve">m </w:t>
      </w:r>
      <w:r w:rsidR="00E94EB8">
        <w:t xml:space="preserve">in diameter </w:t>
      </w:r>
      <w:r w:rsidR="003C1105" w:rsidRPr="00DC6FF5">
        <w:t>were associated with better survival than tumours &gt;35</w:t>
      </w:r>
      <w:r w:rsidR="00364DA3">
        <w:t xml:space="preserve"> m</w:t>
      </w:r>
      <w:r w:rsidR="003C1105" w:rsidRPr="00DC6FF5">
        <w:t>m (p</w:t>
      </w:r>
      <w:r w:rsidR="001104D0">
        <w:t xml:space="preserve"> </w:t>
      </w:r>
      <w:r w:rsidR="003C1105" w:rsidRPr="00DC6FF5">
        <w:t>=</w:t>
      </w:r>
      <w:r w:rsidR="001104D0">
        <w:t xml:space="preserve"> </w:t>
      </w:r>
      <w:r w:rsidR="003C1105" w:rsidRPr="00DC6FF5">
        <w:t xml:space="preserve">0.016). The distribution </w:t>
      </w:r>
      <w:r w:rsidR="00A43EBF">
        <w:t>of</w:t>
      </w:r>
      <w:r w:rsidR="003C1105" w:rsidRPr="00DC6FF5">
        <w:t xml:space="preserve"> patient</w:t>
      </w:r>
      <w:r w:rsidR="00AA40A6">
        <w:t>s</w:t>
      </w:r>
      <w:r w:rsidR="00A43EBF">
        <w:t xml:space="preserve"> </w:t>
      </w:r>
      <w:r w:rsidR="003C1105" w:rsidRPr="00DC6FF5">
        <w:t xml:space="preserve">with tumours &gt;35 </w:t>
      </w:r>
      <w:r w:rsidR="00E94EB8">
        <w:t>m</w:t>
      </w:r>
      <w:r w:rsidR="003C1105" w:rsidRPr="00DC6FF5">
        <w:t>m across the two studies will affect the consistency of outcomes</w:t>
      </w:r>
      <w:r w:rsidR="003C1105">
        <w:t xml:space="preserve"> if tumour size is indeed a prognostic factor</w:t>
      </w:r>
      <w:r w:rsidR="003C1105" w:rsidRPr="00DC6FF5">
        <w:t>.</w:t>
      </w:r>
      <w:r w:rsidR="003C1105">
        <w:t xml:space="preserve"> In the study by Han et al </w:t>
      </w:r>
      <w:r w:rsidR="003C1105">
        <w:fldChar w:fldCharType="begin">
          <w:fldData xml:space="preserve">PEVuZE5vdGU+PENpdGUgRXhjbHVkZUF1dGg9IjEiPjxBdXRob3I+SGFuPC9BdXRob3I+PFllYXI+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</w:fldData>
        </w:fldChar>
      </w:r>
      <w:r w:rsidR="00194054">
        <w:instrText xml:space="preserve"> ADDIN EN.CITE </w:instrText>
      </w:r>
      <w:r w:rsidR="00194054">
        <w:fldChar w:fldCharType="begin">
          <w:fldData xml:space="preserve">PEVuZE5vdGU+PENpdGUgRXhjbHVkZUF1dGg9IjEiPjxBdXRob3I+SGFuPC9BdXRob3I+PFllYXI+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</w:fldData>
        </w:fldChar>
      </w:r>
      <w:r w:rsidR="00194054">
        <w:instrText xml:space="preserve"> ADDIN EN.CITE.DATA </w:instrText>
      </w:r>
      <w:r w:rsidR="00194054">
        <w:fldChar w:fldCharType="end"/>
      </w:r>
      <w:r w:rsidR="003C1105">
        <w:fldChar w:fldCharType="separate"/>
      </w:r>
      <w:r w:rsidR="003C1105">
        <w:rPr>
          <w:noProof/>
        </w:rPr>
        <w:t>(</w:t>
      </w:r>
      <w:hyperlink w:anchor="_ENREF_63" w:tooltip="Han, 2015 #93" w:history="1">
        <w:r w:rsidR="00320458">
          <w:rPr>
            <w:noProof/>
          </w:rPr>
          <w:t>2015</w:t>
        </w:r>
      </w:hyperlink>
      <w:r w:rsidR="003C1105">
        <w:rPr>
          <w:noProof/>
        </w:rPr>
        <w:t>)</w:t>
      </w:r>
      <w:r w:rsidR="003C1105">
        <w:fldChar w:fldCharType="end"/>
      </w:r>
      <w:r w:rsidR="003C1105">
        <w:t xml:space="preserve"> seven patients (25%) had tumours greater than 35 mm in diameter (subgroup analyses were not reported) whereas in Yang et al </w:t>
      </w:r>
      <w:r w:rsidR="000412E4">
        <w:fldChar w:fldCharType="begin">
          <w:fldData xml:space="preserve">PEVuZE5vdGU+PENpdGUgRXhjbHVkZUF1dGg9IjEiPjxBdXRob3I+WWFuZzwvQXV0aG9yPjxZZWFy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</w:fldData>
        </w:fldChar>
      </w:r>
      <w:r w:rsidR="00194054">
        <w:instrText xml:space="preserve"> ADDIN EN.CITE </w:instrText>
      </w:r>
      <w:r w:rsidR="00194054">
        <w:fldChar w:fldCharType="begin">
          <w:fldData xml:space="preserve">PEVuZE5vdGU+PENpdGUgRXhjbHVkZUF1dGg9IjEiPjxBdXRob3I+WWFuZzwvQXV0aG9yPjxZZWFy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</w:fldData>
        </w:fldChar>
      </w:r>
      <w:r w:rsidR="00194054">
        <w:instrText xml:space="preserve"> ADDIN EN.CITE.DATA </w:instrText>
      </w:r>
      <w:r w:rsidR="00194054">
        <w:fldChar w:fldCharType="end"/>
      </w:r>
      <w:r w:rsidR="000412E4">
        <w:fldChar w:fldCharType="separate"/>
      </w:r>
      <w:r w:rsidR="000412E4">
        <w:rPr>
          <w:noProof/>
        </w:rPr>
        <w:t>(</w:t>
      </w:r>
      <w:hyperlink w:anchor="_ENREF_174" w:tooltip="Yang, 2014 #101" w:history="1">
        <w:r w:rsidR="00320458">
          <w:rPr>
            <w:noProof/>
          </w:rPr>
          <w:t>2014</w:t>
        </w:r>
      </w:hyperlink>
      <w:r w:rsidR="000412E4">
        <w:rPr>
          <w:noProof/>
        </w:rPr>
        <w:t>)</w:t>
      </w:r>
      <w:r w:rsidR="000412E4">
        <w:fldChar w:fldCharType="end"/>
      </w:r>
      <w:r w:rsidR="000412E4">
        <w:t xml:space="preserve"> </w:t>
      </w:r>
      <w:r w:rsidR="003C1105">
        <w:t xml:space="preserve">51 per cent of patients had tumours greater than </w:t>
      </w:r>
      <w:r w:rsidR="003C1105" w:rsidRPr="00DC6FF5">
        <w:t>35 mm in diameter</w:t>
      </w:r>
      <w:r w:rsidR="003C1105">
        <w:t xml:space="preserve">. It is not clear whether the distribution of tumours larger than 35 mm in the study by Yang or Han might be more reflective of the general spectrum of patients that might be expected to receive MTA. </w:t>
      </w:r>
    </w:p>
    <w:p w14:paraId="0E14B409" w14:textId="77777777" w:rsidR="00E464C8" w:rsidRDefault="00E464C8" w:rsidP="00E464C8">
      <w:r>
        <w:t xml:space="preserve">Five included case series studies of RFA reported </w:t>
      </w:r>
      <w:r w:rsidR="00522F81">
        <w:t>a</w:t>
      </w:r>
      <w:r>
        <w:t xml:space="preserve"> </w:t>
      </w:r>
      <w:r w:rsidR="00522F81">
        <w:t xml:space="preserve">median </w:t>
      </w:r>
      <w:r>
        <w:t>overall survival time, and two reported cancer-specific survival time, in patients treated for inoperable early stage NSCLC. A summary of the median overall and cancer-specific survival times are reported in</w:t>
      </w:r>
      <w:r w:rsidR="004C3A22">
        <w:t xml:space="preserve"> </w:t>
      </w:r>
      <w:r w:rsidR="004C3A22">
        <w:fldChar w:fldCharType="begin"/>
      </w:r>
      <w:r w:rsidR="004C3A22">
        <w:instrText xml:space="preserve"> REF _Ref457389540 \h </w:instrText>
      </w:r>
      <w:r w:rsidR="004C3A22">
        <w:fldChar w:fldCharType="separate"/>
      </w:r>
      <w:r w:rsidR="00D170A5" w:rsidRPr="00041F9C">
        <w:t xml:space="preserve">Table </w:t>
      </w:r>
      <w:r w:rsidR="00D170A5">
        <w:rPr>
          <w:noProof/>
        </w:rPr>
        <w:t>51</w:t>
      </w:r>
      <w:r w:rsidR="004C3A22">
        <w:fldChar w:fldCharType="end"/>
      </w:r>
      <w:r>
        <w:t xml:space="preserve">. </w:t>
      </w:r>
      <w:r w:rsidRPr="00C5412E">
        <w:t xml:space="preserve">The studies of </w:t>
      </w:r>
      <w:r>
        <w:t xml:space="preserve">RFA included </w:t>
      </w:r>
      <w:r w:rsidRPr="00C5412E">
        <w:t>small number</w:t>
      </w:r>
      <w:r>
        <w:t>s</w:t>
      </w:r>
      <w:r w:rsidRPr="00C5412E">
        <w:t xml:space="preserve"> of patients</w:t>
      </w:r>
      <w:r>
        <w:t>, were not adjusted for confounding factors, and did not have a relevant comparator arm. Therefore, the existing evidence cannot provide a reliable estimate for the comparative effectiveness across studies, only an indicative estimate of the observed survival in patients that were treated with RFA.</w:t>
      </w:r>
    </w:p>
    <w:p w14:paraId="4B4B7A30" w14:textId="77777777" w:rsidR="00E464C8" w:rsidRDefault="008218D8" w:rsidP="009B5B78">
      <w:r>
        <w:t>Overall survival was not reported in the included radiotherapy studies</w:t>
      </w:r>
      <w:r w:rsidR="00812D8B">
        <w:t xml:space="preserve"> for population one</w:t>
      </w:r>
      <w:r w:rsidR="001D442D">
        <w:t>.</w:t>
      </w:r>
      <w:r w:rsidR="001D442D" w:rsidRPr="004E42B1">
        <w:t xml:space="preserve"> </w:t>
      </w:r>
    </w:p>
    <w:p w14:paraId="299B50C4" w14:textId="77777777" w:rsidR="003724F6" w:rsidRDefault="003724F6" w:rsidP="003A4342">
      <w:pPr>
        <w:pStyle w:val="Caption"/>
        <w:keepNext/>
        <w:ind w:left="1134" w:hanging="1134"/>
      </w:pPr>
      <w:bookmarkStart w:id="321" w:name="_Ref457389540"/>
      <w:bookmarkStart w:id="322" w:name="_Toc460514709"/>
      <w:r w:rsidRPr="00041F9C">
        <w:lastRenderedPageBreak/>
        <w:t xml:space="preserve">Table </w:t>
      </w:r>
      <w:fldSimple w:instr=" SEQ Table \* ARABIC ">
        <w:r w:rsidR="00D170A5">
          <w:rPr>
            <w:noProof/>
          </w:rPr>
          <w:t>51</w:t>
        </w:r>
      </w:fldSimple>
      <w:bookmarkEnd w:id="321"/>
      <w:r>
        <w:tab/>
        <w:t>Overal</w:t>
      </w:r>
      <w:r w:rsidR="00757C05">
        <w:t xml:space="preserve">l and cancer-specific survival </w:t>
      </w:r>
      <w:r w:rsidR="00330A30">
        <w:t xml:space="preserve">time </w:t>
      </w:r>
      <w:r w:rsidR="00757C05">
        <w:t>in</w:t>
      </w:r>
      <w:r w:rsidR="003A4342" w:rsidRPr="003A4342">
        <w:t xml:space="preserve"> patients with inoperable early stage NSCLC</w:t>
      </w:r>
      <w:bookmarkEnd w:id="3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870"/>
        <w:gridCol w:w="1419"/>
        <w:gridCol w:w="3226"/>
        <w:gridCol w:w="2567"/>
      </w:tblGrid>
      <w:tr w:rsidR="003724F6" w:rsidRPr="00183E4D" w14:paraId="37227A63" w14:textId="77777777" w:rsidTr="008C5226">
        <w:tc>
          <w:tcPr>
            <w:tcW w:w="1030" w:type="pct"/>
            <w:shd w:val="clear" w:color="auto" w:fill="D9D9D9" w:themeFill="background1" w:themeFillShade="D9"/>
            <w:vAlign w:val="bottom"/>
          </w:tcPr>
          <w:p w14:paraId="46763410" w14:textId="77777777" w:rsidR="003724F6" w:rsidRPr="00183E4D" w:rsidRDefault="003724F6" w:rsidP="008C5226">
            <w:pPr>
              <w:pStyle w:val="TableHeading"/>
              <w:spacing w:before="60" w:after="60"/>
              <w:jc w:val="left"/>
              <w:rPr>
                <w:snapToGrid w:val="0"/>
                <w:lang w:eastAsia="en-US"/>
              </w:rPr>
            </w:pPr>
            <w:r w:rsidRPr="00183E4D">
              <w:rPr>
                <w:snapToGrid w:val="0"/>
                <w:lang w:eastAsia="en-US"/>
              </w:rPr>
              <w:t>Trial/Study</w:t>
            </w:r>
          </w:p>
        </w:tc>
        <w:tc>
          <w:tcPr>
            <w:tcW w:w="781" w:type="pct"/>
            <w:tcBorders>
              <w:bottom w:val="single" w:sz="4" w:space="0" w:color="auto"/>
            </w:tcBorders>
            <w:shd w:val="clear" w:color="auto" w:fill="D9D9D9" w:themeFill="background1" w:themeFillShade="D9"/>
            <w:vAlign w:val="bottom"/>
          </w:tcPr>
          <w:p w14:paraId="3FB820E1" w14:textId="77777777" w:rsidR="003724F6" w:rsidRPr="00183E4D" w:rsidRDefault="003724F6" w:rsidP="008C5226">
            <w:pPr>
              <w:pStyle w:val="TableHeading"/>
              <w:spacing w:before="60" w:after="60"/>
              <w:jc w:val="center"/>
              <w:rPr>
                <w:snapToGrid w:val="0"/>
                <w:lang w:eastAsia="en-US"/>
              </w:rPr>
            </w:pPr>
            <w:r w:rsidRPr="00183E4D">
              <w:rPr>
                <w:snapToGrid w:val="0"/>
                <w:lang w:eastAsia="en-US"/>
              </w:rPr>
              <w:t>N</w:t>
            </w:r>
            <w:r>
              <w:rPr>
                <w:snapToGrid w:val="0"/>
                <w:lang w:eastAsia="en-US"/>
              </w:rPr>
              <w:t xml:space="preserve"> (lesions)</w:t>
            </w:r>
          </w:p>
        </w:tc>
        <w:tc>
          <w:tcPr>
            <w:tcW w:w="1776" w:type="pct"/>
            <w:tcBorders>
              <w:bottom w:val="single" w:sz="4" w:space="0" w:color="auto"/>
            </w:tcBorders>
            <w:shd w:val="clear" w:color="auto" w:fill="D9D9D9" w:themeFill="background1" w:themeFillShade="D9"/>
            <w:vAlign w:val="bottom"/>
          </w:tcPr>
          <w:p w14:paraId="15D23421" w14:textId="77777777" w:rsidR="003724F6" w:rsidRDefault="004E74E7" w:rsidP="008C5226">
            <w:pPr>
              <w:pStyle w:val="TableHeading"/>
              <w:spacing w:before="60" w:after="60"/>
              <w:jc w:val="center"/>
              <w:rPr>
                <w:snapToGrid w:val="0"/>
                <w:lang w:eastAsia="en-US"/>
              </w:rPr>
            </w:pPr>
            <w:r>
              <w:rPr>
                <w:snapToGrid w:val="0"/>
                <w:lang w:eastAsia="en-US"/>
              </w:rPr>
              <w:t xml:space="preserve">Median overall survival </w:t>
            </w:r>
            <w:r w:rsidR="00AE0BDA">
              <w:rPr>
                <w:snapToGrid w:val="0"/>
                <w:lang w:eastAsia="en-US"/>
              </w:rPr>
              <w:t xml:space="preserve">time </w:t>
            </w:r>
            <w:r w:rsidR="003724F6">
              <w:rPr>
                <w:snapToGrid w:val="0"/>
                <w:lang w:eastAsia="en-US"/>
              </w:rPr>
              <w:t>(95%CI)</w:t>
            </w:r>
          </w:p>
          <w:p w14:paraId="3C26880A" w14:textId="77777777" w:rsidR="003724F6" w:rsidRPr="009C64DE" w:rsidRDefault="003724F6" w:rsidP="008C5226">
            <w:pPr>
              <w:pStyle w:val="TableHeading"/>
              <w:spacing w:before="60" w:after="60"/>
              <w:jc w:val="center"/>
              <w:rPr>
                <w:i/>
                <w:snapToGrid w:val="0"/>
                <w:lang w:eastAsia="en-US"/>
              </w:rPr>
            </w:pPr>
            <w:r>
              <w:rPr>
                <w:i/>
                <w:snapToGrid w:val="0"/>
                <w:lang w:eastAsia="en-US"/>
              </w:rPr>
              <w:t>Cancer specific</w:t>
            </w:r>
            <w:r w:rsidR="00A10966">
              <w:rPr>
                <w:i/>
                <w:snapToGrid w:val="0"/>
                <w:lang w:eastAsia="en-US"/>
              </w:rPr>
              <w:t xml:space="preserve"> survival time (95% CI)</w:t>
            </w:r>
          </w:p>
        </w:tc>
        <w:tc>
          <w:tcPr>
            <w:tcW w:w="1413" w:type="pct"/>
            <w:tcBorders>
              <w:bottom w:val="single" w:sz="4" w:space="0" w:color="auto"/>
            </w:tcBorders>
            <w:shd w:val="clear" w:color="auto" w:fill="D9D9D9" w:themeFill="background1" w:themeFillShade="D9"/>
            <w:vAlign w:val="bottom"/>
          </w:tcPr>
          <w:p w14:paraId="2D3DCE5C" w14:textId="77777777" w:rsidR="003724F6" w:rsidRPr="00183E4D" w:rsidRDefault="003724F6" w:rsidP="008C5226">
            <w:pPr>
              <w:pStyle w:val="TableHeading"/>
              <w:spacing w:before="60" w:after="60"/>
              <w:jc w:val="center"/>
              <w:rPr>
                <w:snapToGrid w:val="0"/>
                <w:lang w:eastAsia="en-US"/>
              </w:rPr>
            </w:pPr>
            <w:r>
              <w:rPr>
                <w:snapToGrid w:val="0"/>
                <w:lang w:eastAsia="en-US"/>
              </w:rPr>
              <w:t>Subgroup analyses</w:t>
            </w:r>
          </w:p>
        </w:tc>
      </w:tr>
      <w:tr w:rsidR="00757C05" w:rsidRPr="00183E4D" w14:paraId="65DB57A0" w14:textId="77777777" w:rsidTr="00452FE1">
        <w:tc>
          <w:tcPr>
            <w:tcW w:w="1030" w:type="pct"/>
            <w:tcBorders>
              <w:right w:val="nil"/>
            </w:tcBorders>
            <w:shd w:val="clear" w:color="auto" w:fill="D9D9D9" w:themeFill="background1" w:themeFillShade="D9"/>
          </w:tcPr>
          <w:p w14:paraId="40BDEF12" w14:textId="77777777" w:rsidR="00757C05" w:rsidRPr="00757C05" w:rsidRDefault="00757C05" w:rsidP="00046EA7">
            <w:pPr>
              <w:pStyle w:val="TableText0"/>
              <w:spacing w:before="60" w:after="60"/>
              <w:rPr>
                <w:b/>
                <w:snapToGrid w:val="0"/>
              </w:rPr>
            </w:pPr>
            <w:r w:rsidRPr="00757C05">
              <w:rPr>
                <w:b/>
                <w:snapToGrid w:val="0"/>
              </w:rPr>
              <w:t>MTA</w:t>
            </w:r>
          </w:p>
        </w:tc>
        <w:tc>
          <w:tcPr>
            <w:tcW w:w="781" w:type="pct"/>
            <w:tcBorders>
              <w:left w:val="nil"/>
              <w:right w:val="nil"/>
            </w:tcBorders>
            <w:shd w:val="clear" w:color="auto" w:fill="D9D9D9" w:themeFill="background1" w:themeFillShade="D9"/>
            <w:vAlign w:val="center"/>
          </w:tcPr>
          <w:p w14:paraId="51896DD7" w14:textId="77777777" w:rsidR="00757C05" w:rsidRPr="00757C05" w:rsidRDefault="00757C05" w:rsidP="005F2661">
            <w:pPr>
              <w:pStyle w:val="TableText0"/>
              <w:spacing w:before="60" w:after="60"/>
              <w:jc w:val="center"/>
              <w:rPr>
                <w:b/>
                <w:snapToGrid w:val="0"/>
              </w:rPr>
            </w:pPr>
          </w:p>
        </w:tc>
        <w:tc>
          <w:tcPr>
            <w:tcW w:w="1776" w:type="pct"/>
            <w:tcBorders>
              <w:left w:val="nil"/>
              <w:right w:val="nil"/>
            </w:tcBorders>
            <w:shd w:val="clear" w:color="auto" w:fill="D9D9D9" w:themeFill="background1" w:themeFillShade="D9"/>
            <w:vAlign w:val="center"/>
          </w:tcPr>
          <w:p w14:paraId="2047A4F4" w14:textId="77777777" w:rsidR="00757C05" w:rsidRPr="00757C05" w:rsidRDefault="00757C05" w:rsidP="005F2661">
            <w:pPr>
              <w:pStyle w:val="TableText0"/>
              <w:spacing w:before="60" w:after="60"/>
              <w:jc w:val="center"/>
              <w:rPr>
                <w:b/>
              </w:rPr>
            </w:pPr>
          </w:p>
        </w:tc>
        <w:tc>
          <w:tcPr>
            <w:tcW w:w="1413" w:type="pct"/>
            <w:tcBorders>
              <w:left w:val="nil"/>
            </w:tcBorders>
            <w:shd w:val="clear" w:color="auto" w:fill="D9D9D9" w:themeFill="background1" w:themeFillShade="D9"/>
            <w:vAlign w:val="center"/>
          </w:tcPr>
          <w:p w14:paraId="778FE1EE" w14:textId="77777777" w:rsidR="00757C05" w:rsidRPr="00757C05" w:rsidRDefault="00757C05" w:rsidP="00F2078A">
            <w:pPr>
              <w:pStyle w:val="TableText0"/>
              <w:spacing w:before="60" w:after="60"/>
              <w:jc w:val="center"/>
              <w:rPr>
                <w:b/>
                <w:snapToGrid w:val="0"/>
              </w:rPr>
            </w:pPr>
          </w:p>
        </w:tc>
      </w:tr>
      <w:tr w:rsidR="003724F6" w:rsidRPr="00183E4D" w14:paraId="1AD9E9B4" w14:textId="77777777" w:rsidTr="00452FE1">
        <w:tc>
          <w:tcPr>
            <w:tcW w:w="1030" w:type="pct"/>
            <w:shd w:val="clear" w:color="auto" w:fill="auto"/>
          </w:tcPr>
          <w:p w14:paraId="2ABD922F" w14:textId="77777777" w:rsidR="003724F6" w:rsidRPr="008A6F37" w:rsidRDefault="003724F6" w:rsidP="00046EA7">
            <w:pPr>
              <w:pStyle w:val="TableText0"/>
              <w:spacing w:before="60" w:after="60"/>
              <w:rPr>
                <w:snapToGrid w:val="0"/>
              </w:rPr>
            </w:pPr>
            <w:r>
              <w:rPr>
                <w:snapToGrid w:val="0"/>
              </w:rPr>
              <w:t>Han et al (2015)</w:t>
            </w:r>
          </w:p>
        </w:tc>
        <w:tc>
          <w:tcPr>
            <w:tcW w:w="781" w:type="pct"/>
            <w:shd w:val="clear" w:color="auto" w:fill="auto"/>
          </w:tcPr>
          <w:p w14:paraId="459DCE9E" w14:textId="77777777" w:rsidR="003724F6" w:rsidRPr="008A6F37" w:rsidRDefault="003724F6" w:rsidP="005F2661">
            <w:pPr>
              <w:pStyle w:val="TableText0"/>
              <w:spacing w:before="60" w:after="60"/>
              <w:jc w:val="center"/>
              <w:rPr>
                <w:snapToGrid w:val="0"/>
              </w:rPr>
            </w:pPr>
            <w:r>
              <w:rPr>
                <w:snapToGrid w:val="0"/>
              </w:rPr>
              <w:t>28 (28)</w:t>
            </w:r>
          </w:p>
        </w:tc>
        <w:tc>
          <w:tcPr>
            <w:tcW w:w="1776" w:type="pct"/>
            <w:shd w:val="clear" w:color="auto" w:fill="auto"/>
          </w:tcPr>
          <w:p w14:paraId="520C706B" w14:textId="40480046" w:rsidR="003724F6" w:rsidRDefault="003724F6" w:rsidP="005F2661">
            <w:pPr>
              <w:pStyle w:val="TableText0"/>
              <w:spacing w:before="60" w:after="60"/>
              <w:jc w:val="center"/>
            </w:pPr>
            <w:r>
              <w:t>35.0 months (</w:t>
            </w:r>
            <w:r w:rsidRPr="009C64DE">
              <w:t>22.3</w:t>
            </w:r>
            <w:r w:rsidR="00D35E9C">
              <w:t>–</w:t>
            </w:r>
            <w:r w:rsidRPr="009C64DE">
              <w:t>47.7)</w:t>
            </w:r>
          </w:p>
          <w:p w14:paraId="42419DBA" w14:textId="08CD51B6" w:rsidR="003724F6" w:rsidRPr="00723C9B" w:rsidRDefault="003724F6" w:rsidP="00F2078A">
            <w:pPr>
              <w:pStyle w:val="TableText0"/>
              <w:spacing w:before="60" w:after="60"/>
              <w:jc w:val="center"/>
            </w:pPr>
            <w:r w:rsidRPr="009C64DE">
              <w:rPr>
                <w:i/>
              </w:rPr>
              <w:t>41.9 months (38.8</w:t>
            </w:r>
            <w:r w:rsidR="00D35E9C">
              <w:rPr>
                <w:i/>
              </w:rPr>
              <w:t>–</w:t>
            </w:r>
            <w:r w:rsidRPr="009C64DE">
              <w:rPr>
                <w:i/>
              </w:rPr>
              <w:t>49.9</w:t>
            </w:r>
            <w:r w:rsidRPr="009C64DE">
              <w:t>)</w:t>
            </w:r>
          </w:p>
        </w:tc>
        <w:tc>
          <w:tcPr>
            <w:tcW w:w="1413" w:type="pct"/>
            <w:shd w:val="clear" w:color="auto" w:fill="auto"/>
          </w:tcPr>
          <w:p w14:paraId="6A4CAEC7" w14:textId="77777777" w:rsidR="003724F6" w:rsidRPr="008A6F37" w:rsidRDefault="003724F6" w:rsidP="00642604">
            <w:pPr>
              <w:pStyle w:val="TableText0"/>
              <w:spacing w:before="60" w:after="60"/>
              <w:jc w:val="center"/>
              <w:rPr>
                <w:snapToGrid w:val="0"/>
              </w:rPr>
            </w:pPr>
            <w:r>
              <w:rPr>
                <w:snapToGrid w:val="0"/>
              </w:rPr>
              <w:t>NA</w:t>
            </w:r>
          </w:p>
        </w:tc>
      </w:tr>
      <w:tr w:rsidR="003724F6" w:rsidRPr="00183E4D" w14:paraId="2097AC09" w14:textId="77777777" w:rsidTr="00452FE1">
        <w:tc>
          <w:tcPr>
            <w:tcW w:w="1030" w:type="pct"/>
            <w:shd w:val="clear" w:color="auto" w:fill="auto"/>
          </w:tcPr>
          <w:p w14:paraId="34E756F6" w14:textId="77777777" w:rsidR="003724F6" w:rsidRPr="008A6F37" w:rsidRDefault="003724F6" w:rsidP="00046EA7">
            <w:pPr>
              <w:pStyle w:val="TableText0"/>
              <w:spacing w:before="60" w:after="60"/>
              <w:rPr>
                <w:snapToGrid w:val="0"/>
              </w:rPr>
            </w:pPr>
            <w:r>
              <w:rPr>
                <w:snapToGrid w:val="0"/>
              </w:rPr>
              <w:t>Liu &amp; Steinke (2015)</w:t>
            </w:r>
          </w:p>
        </w:tc>
        <w:tc>
          <w:tcPr>
            <w:tcW w:w="781" w:type="pct"/>
            <w:shd w:val="clear" w:color="auto" w:fill="auto"/>
          </w:tcPr>
          <w:p w14:paraId="29FFFA87" w14:textId="77777777" w:rsidR="003724F6" w:rsidRPr="008A6F37" w:rsidRDefault="003724F6" w:rsidP="005F2661">
            <w:pPr>
              <w:pStyle w:val="TableText0"/>
              <w:spacing w:before="60" w:after="60"/>
              <w:jc w:val="center"/>
              <w:rPr>
                <w:snapToGrid w:val="0"/>
              </w:rPr>
            </w:pPr>
            <w:r>
              <w:rPr>
                <w:snapToGrid w:val="0"/>
              </w:rPr>
              <w:t>15 (16)</w:t>
            </w:r>
          </w:p>
        </w:tc>
        <w:tc>
          <w:tcPr>
            <w:tcW w:w="1776" w:type="pct"/>
            <w:shd w:val="clear" w:color="auto" w:fill="auto"/>
          </w:tcPr>
          <w:p w14:paraId="5C3ADABE" w14:textId="77777777" w:rsidR="003724F6" w:rsidRPr="00723C9B" w:rsidRDefault="003724F6" w:rsidP="005F2661">
            <w:pPr>
              <w:pStyle w:val="TableText0"/>
              <w:spacing w:before="60" w:after="60"/>
              <w:jc w:val="center"/>
            </w:pPr>
            <w:r>
              <w:t>NR</w:t>
            </w:r>
          </w:p>
        </w:tc>
        <w:tc>
          <w:tcPr>
            <w:tcW w:w="1413" w:type="pct"/>
            <w:shd w:val="clear" w:color="auto" w:fill="auto"/>
          </w:tcPr>
          <w:p w14:paraId="58E692B9" w14:textId="77777777" w:rsidR="003724F6" w:rsidRPr="008A6F37" w:rsidRDefault="003724F6" w:rsidP="00F2078A">
            <w:pPr>
              <w:pStyle w:val="TableText0"/>
              <w:spacing w:before="60" w:after="60"/>
              <w:jc w:val="center"/>
              <w:rPr>
                <w:snapToGrid w:val="0"/>
              </w:rPr>
            </w:pPr>
            <w:r>
              <w:rPr>
                <w:snapToGrid w:val="0"/>
              </w:rPr>
              <w:t>NR</w:t>
            </w:r>
          </w:p>
        </w:tc>
      </w:tr>
      <w:tr w:rsidR="003724F6" w:rsidRPr="00183E4D" w14:paraId="4B4005CA" w14:textId="77777777" w:rsidTr="00452FE1">
        <w:tc>
          <w:tcPr>
            <w:tcW w:w="1030" w:type="pct"/>
            <w:shd w:val="clear" w:color="auto" w:fill="auto"/>
          </w:tcPr>
          <w:p w14:paraId="75AF8D2A" w14:textId="77777777" w:rsidR="003724F6" w:rsidRPr="008A6F37" w:rsidRDefault="003724F6" w:rsidP="00046EA7">
            <w:pPr>
              <w:pStyle w:val="TableText0"/>
              <w:spacing w:before="60" w:after="60"/>
              <w:rPr>
                <w:snapToGrid w:val="0"/>
              </w:rPr>
            </w:pPr>
            <w:r>
              <w:rPr>
                <w:snapToGrid w:val="0"/>
              </w:rPr>
              <w:t>Yang et al (2014)</w:t>
            </w:r>
          </w:p>
        </w:tc>
        <w:tc>
          <w:tcPr>
            <w:tcW w:w="781" w:type="pct"/>
            <w:shd w:val="clear" w:color="auto" w:fill="auto"/>
          </w:tcPr>
          <w:p w14:paraId="6AC7716D" w14:textId="77777777" w:rsidR="003724F6" w:rsidRPr="008A6F37" w:rsidRDefault="003724F6" w:rsidP="005F2661">
            <w:pPr>
              <w:pStyle w:val="TableText0"/>
              <w:spacing w:before="60" w:after="60"/>
              <w:jc w:val="center"/>
              <w:rPr>
                <w:snapToGrid w:val="0"/>
              </w:rPr>
            </w:pPr>
            <w:r>
              <w:rPr>
                <w:snapToGrid w:val="0"/>
              </w:rPr>
              <w:t>47 (47)</w:t>
            </w:r>
          </w:p>
        </w:tc>
        <w:tc>
          <w:tcPr>
            <w:tcW w:w="1776" w:type="pct"/>
            <w:shd w:val="clear" w:color="auto" w:fill="auto"/>
          </w:tcPr>
          <w:p w14:paraId="00575578" w14:textId="5245020C" w:rsidR="003724F6" w:rsidRDefault="003724F6" w:rsidP="005F2661">
            <w:pPr>
              <w:pStyle w:val="TableText0"/>
              <w:spacing w:before="60" w:after="60"/>
              <w:jc w:val="center"/>
            </w:pPr>
            <w:r w:rsidRPr="009C64DE">
              <w:t>33.8 months (31.9</w:t>
            </w:r>
            <w:r w:rsidR="00D35E9C">
              <w:t>–</w:t>
            </w:r>
            <w:r w:rsidRPr="009C64DE">
              <w:t>35.7)</w:t>
            </w:r>
          </w:p>
          <w:p w14:paraId="31767B3E" w14:textId="27D831FD" w:rsidR="003724F6" w:rsidRPr="009C64DE" w:rsidRDefault="003724F6" w:rsidP="00F2078A">
            <w:pPr>
              <w:pStyle w:val="TableText0"/>
              <w:spacing w:before="60" w:after="60"/>
              <w:jc w:val="center"/>
              <w:rPr>
                <w:i/>
              </w:rPr>
            </w:pPr>
            <w:r w:rsidRPr="009C64DE">
              <w:rPr>
                <w:i/>
              </w:rPr>
              <w:t>47.4 months (25.7</w:t>
            </w:r>
            <w:r w:rsidR="00D35E9C">
              <w:rPr>
                <w:i/>
              </w:rPr>
              <w:t>–</w:t>
            </w:r>
            <w:r w:rsidRPr="009C64DE">
              <w:rPr>
                <w:i/>
              </w:rPr>
              <w:t>69.1)</w:t>
            </w:r>
          </w:p>
        </w:tc>
        <w:tc>
          <w:tcPr>
            <w:tcW w:w="1413" w:type="pct"/>
            <w:shd w:val="clear" w:color="auto" w:fill="auto"/>
          </w:tcPr>
          <w:p w14:paraId="2962B82B" w14:textId="77777777" w:rsidR="003724F6" w:rsidRPr="008A6F37" w:rsidRDefault="00364DA3" w:rsidP="00642604">
            <w:pPr>
              <w:pStyle w:val="TableText0"/>
              <w:spacing w:before="60" w:after="60"/>
              <w:jc w:val="center"/>
              <w:rPr>
                <w:snapToGrid w:val="0"/>
              </w:rPr>
            </w:pPr>
            <w:r>
              <w:rPr>
                <w:snapToGrid w:val="0"/>
              </w:rPr>
              <w:t>Tumours ≤  3</w:t>
            </w:r>
            <w:r w:rsidR="003724F6" w:rsidRPr="009C64DE">
              <w:rPr>
                <w:snapToGrid w:val="0"/>
              </w:rPr>
              <w:t xml:space="preserve">5 </w:t>
            </w:r>
            <w:r>
              <w:rPr>
                <w:snapToGrid w:val="0"/>
              </w:rPr>
              <w:t>m</w:t>
            </w:r>
            <w:r w:rsidR="003724F6" w:rsidRPr="009C64DE">
              <w:rPr>
                <w:snapToGrid w:val="0"/>
              </w:rPr>
              <w:t>m associated with better surv</w:t>
            </w:r>
            <w:r w:rsidR="003724F6">
              <w:rPr>
                <w:snapToGrid w:val="0"/>
              </w:rPr>
              <w:t>ival (p</w:t>
            </w:r>
            <w:r w:rsidR="000F072E">
              <w:rPr>
                <w:snapToGrid w:val="0"/>
              </w:rPr>
              <w:t xml:space="preserve"> </w:t>
            </w:r>
            <w:r w:rsidR="003724F6" w:rsidRPr="009C64DE">
              <w:rPr>
                <w:snapToGrid w:val="0"/>
              </w:rPr>
              <w:t>=</w:t>
            </w:r>
            <w:r w:rsidR="000F072E">
              <w:rPr>
                <w:snapToGrid w:val="0"/>
              </w:rPr>
              <w:t xml:space="preserve"> </w:t>
            </w:r>
            <w:r w:rsidR="003724F6" w:rsidRPr="009C64DE">
              <w:rPr>
                <w:snapToGrid w:val="0"/>
              </w:rPr>
              <w:t>0.016)</w:t>
            </w:r>
          </w:p>
        </w:tc>
      </w:tr>
      <w:tr w:rsidR="003724F6" w:rsidRPr="00183E4D" w14:paraId="1CA643F9" w14:textId="77777777" w:rsidTr="00452FE1">
        <w:tc>
          <w:tcPr>
            <w:tcW w:w="1030" w:type="pct"/>
            <w:shd w:val="clear" w:color="auto" w:fill="auto"/>
          </w:tcPr>
          <w:p w14:paraId="722AEAC0" w14:textId="77777777" w:rsidR="003724F6" w:rsidRPr="00183E4D" w:rsidRDefault="003724F6" w:rsidP="00046EA7">
            <w:pPr>
              <w:pStyle w:val="TableText0"/>
              <w:spacing w:before="60" w:after="60"/>
              <w:rPr>
                <w:snapToGrid w:val="0"/>
              </w:rPr>
            </w:pPr>
            <w:r>
              <w:rPr>
                <w:snapToGrid w:val="0"/>
              </w:rPr>
              <w:t>Pooled analysis</w:t>
            </w:r>
          </w:p>
        </w:tc>
        <w:tc>
          <w:tcPr>
            <w:tcW w:w="781" w:type="pct"/>
            <w:tcBorders>
              <w:bottom w:val="single" w:sz="4" w:space="0" w:color="auto"/>
            </w:tcBorders>
            <w:shd w:val="clear" w:color="auto" w:fill="auto"/>
          </w:tcPr>
          <w:p w14:paraId="737CB5D1" w14:textId="77777777" w:rsidR="003724F6" w:rsidRPr="00D57ADE" w:rsidRDefault="003724F6" w:rsidP="005F2661">
            <w:pPr>
              <w:pStyle w:val="TableText0"/>
              <w:spacing w:before="60" w:after="60"/>
              <w:jc w:val="center"/>
              <w:rPr>
                <w:snapToGrid w:val="0"/>
              </w:rPr>
            </w:pPr>
            <w:r w:rsidRPr="00D57ADE">
              <w:rPr>
                <w:snapToGrid w:val="0"/>
              </w:rPr>
              <w:t>75</w:t>
            </w:r>
          </w:p>
          <w:p w14:paraId="12580CB0" w14:textId="77777777" w:rsidR="003724F6" w:rsidRPr="00183E4D" w:rsidRDefault="003724F6" w:rsidP="005F2661">
            <w:pPr>
              <w:pStyle w:val="TableText0"/>
              <w:spacing w:before="60" w:after="60"/>
              <w:jc w:val="center"/>
              <w:rPr>
                <w:snapToGrid w:val="0"/>
                <w:highlight w:val="cyan"/>
              </w:rPr>
            </w:pPr>
            <w:r w:rsidRPr="00D57ADE">
              <w:rPr>
                <w:snapToGrid w:val="0"/>
              </w:rPr>
              <w:t>(75)</w:t>
            </w:r>
          </w:p>
        </w:tc>
        <w:tc>
          <w:tcPr>
            <w:tcW w:w="1776" w:type="pct"/>
            <w:tcBorders>
              <w:left w:val="nil"/>
              <w:bottom w:val="single" w:sz="4" w:space="0" w:color="auto"/>
            </w:tcBorders>
            <w:shd w:val="clear" w:color="auto" w:fill="auto"/>
          </w:tcPr>
          <w:p w14:paraId="56EB75DB" w14:textId="77777777" w:rsidR="003724F6" w:rsidRDefault="00935B31" w:rsidP="00F2078A">
            <w:pPr>
              <w:pStyle w:val="TableText0"/>
              <w:spacing w:before="60" w:after="60"/>
              <w:jc w:val="center"/>
              <w:rPr>
                <w:snapToGrid w:val="0"/>
              </w:rPr>
            </w:pPr>
            <w:r>
              <w:rPr>
                <w:snapToGrid w:val="0"/>
              </w:rPr>
              <w:t>P</w:t>
            </w:r>
            <w:r w:rsidR="003724F6">
              <w:rPr>
                <w:snapToGrid w:val="0"/>
              </w:rPr>
              <w:t xml:space="preserve">ooling </w:t>
            </w:r>
            <w:r>
              <w:rPr>
                <w:snapToGrid w:val="0"/>
              </w:rPr>
              <w:t>not</w:t>
            </w:r>
            <w:r w:rsidR="003724F6">
              <w:rPr>
                <w:snapToGrid w:val="0"/>
              </w:rPr>
              <w:t xml:space="preserve"> possible</w:t>
            </w:r>
          </w:p>
          <w:p w14:paraId="22153C0F" w14:textId="77777777" w:rsidR="003724F6" w:rsidRDefault="0046151F" w:rsidP="00642604">
            <w:pPr>
              <w:pStyle w:val="TableText0"/>
              <w:spacing w:before="60" w:after="60"/>
              <w:jc w:val="center"/>
              <w:rPr>
                <w:snapToGrid w:val="0"/>
              </w:rPr>
            </w:pPr>
            <w:r>
              <w:rPr>
                <w:snapToGrid w:val="0"/>
              </w:rPr>
              <w:t>Quality</w:t>
            </w:r>
            <w:r w:rsidR="003724F6">
              <w:rPr>
                <w:snapToGrid w:val="0"/>
              </w:rPr>
              <w:t xml:space="preserve"> of the evidence (GRADE)</w:t>
            </w:r>
          </w:p>
          <w:p w14:paraId="23ADDBB3" w14:textId="77777777" w:rsidR="003724F6" w:rsidRPr="00A134C1" w:rsidRDefault="003724F6" w:rsidP="001C2967">
            <w:pPr>
              <w:pStyle w:val="TableText0"/>
              <w:spacing w:before="60" w:after="60"/>
              <w:ind w:left="16" w:right="117"/>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sidR="00A134C1">
              <w:rPr>
                <w:rFonts w:ascii="Cambria Math" w:hAnsi="Cambria Math" w:cs="Cambria Math"/>
                <w:color w:val="C00000"/>
              </w:rPr>
              <w:t xml:space="preserve"> </w:t>
            </w: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1413" w:type="pct"/>
            <w:tcBorders>
              <w:bottom w:val="single" w:sz="4" w:space="0" w:color="auto"/>
            </w:tcBorders>
            <w:shd w:val="clear" w:color="auto" w:fill="auto"/>
          </w:tcPr>
          <w:p w14:paraId="5FD22A1B" w14:textId="77777777" w:rsidR="003724F6" w:rsidRPr="00183E4D" w:rsidRDefault="003724F6" w:rsidP="00EB5A53">
            <w:pPr>
              <w:pStyle w:val="TableText0"/>
              <w:spacing w:before="60" w:after="60"/>
              <w:jc w:val="center"/>
              <w:rPr>
                <w:snapToGrid w:val="0"/>
                <w:highlight w:val="cyan"/>
              </w:rPr>
            </w:pPr>
            <w:r w:rsidRPr="00D57ADE">
              <w:rPr>
                <w:snapToGrid w:val="0"/>
              </w:rPr>
              <w:t>NA</w:t>
            </w:r>
          </w:p>
        </w:tc>
      </w:tr>
      <w:tr w:rsidR="00757C05" w:rsidRPr="00183E4D" w14:paraId="681F5C51" w14:textId="77777777" w:rsidTr="00452FE1">
        <w:tc>
          <w:tcPr>
            <w:tcW w:w="1030" w:type="pct"/>
            <w:tcBorders>
              <w:right w:val="nil"/>
            </w:tcBorders>
            <w:shd w:val="clear" w:color="auto" w:fill="D9D9D9" w:themeFill="background1" w:themeFillShade="D9"/>
          </w:tcPr>
          <w:p w14:paraId="318A6C18" w14:textId="77777777" w:rsidR="00757C05" w:rsidRPr="00757C05" w:rsidRDefault="00757C05" w:rsidP="00046EA7">
            <w:pPr>
              <w:pStyle w:val="TableText0"/>
              <w:spacing w:before="60" w:after="60"/>
              <w:rPr>
                <w:b/>
                <w:snapToGrid w:val="0"/>
              </w:rPr>
            </w:pPr>
            <w:r w:rsidRPr="00757C05">
              <w:rPr>
                <w:b/>
                <w:snapToGrid w:val="0"/>
              </w:rPr>
              <w:t>RFA</w:t>
            </w:r>
          </w:p>
        </w:tc>
        <w:tc>
          <w:tcPr>
            <w:tcW w:w="781" w:type="pct"/>
            <w:tcBorders>
              <w:left w:val="nil"/>
              <w:right w:val="nil"/>
            </w:tcBorders>
            <w:shd w:val="clear" w:color="auto" w:fill="D9D9D9" w:themeFill="background1" w:themeFillShade="D9"/>
          </w:tcPr>
          <w:p w14:paraId="266196E2" w14:textId="77777777" w:rsidR="00757C05" w:rsidRDefault="00757C05" w:rsidP="005F2661">
            <w:pPr>
              <w:pStyle w:val="TableText0"/>
              <w:spacing w:before="60" w:after="60"/>
              <w:jc w:val="center"/>
              <w:rPr>
                <w:snapToGrid w:val="0"/>
              </w:rPr>
            </w:pPr>
          </w:p>
        </w:tc>
        <w:tc>
          <w:tcPr>
            <w:tcW w:w="1776" w:type="pct"/>
            <w:tcBorders>
              <w:left w:val="nil"/>
              <w:right w:val="nil"/>
            </w:tcBorders>
            <w:shd w:val="clear" w:color="auto" w:fill="D9D9D9" w:themeFill="background1" w:themeFillShade="D9"/>
          </w:tcPr>
          <w:p w14:paraId="08E61E7E" w14:textId="77777777" w:rsidR="00757C05" w:rsidRPr="00614E15" w:rsidRDefault="00757C05" w:rsidP="005F2661">
            <w:pPr>
              <w:pStyle w:val="TableText0"/>
              <w:spacing w:before="60" w:after="60"/>
              <w:jc w:val="center"/>
              <w:rPr>
                <w:i/>
              </w:rPr>
            </w:pPr>
          </w:p>
        </w:tc>
        <w:tc>
          <w:tcPr>
            <w:tcW w:w="1413" w:type="pct"/>
            <w:tcBorders>
              <w:left w:val="nil"/>
            </w:tcBorders>
            <w:shd w:val="clear" w:color="auto" w:fill="D9D9D9" w:themeFill="background1" w:themeFillShade="D9"/>
          </w:tcPr>
          <w:p w14:paraId="7F2C78B3" w14:textId="77777777" w:rsidR="00757C05" w:rsidRDefault="00757C05" w:rsidP="00F2078A">
            <w:pPr>
              <w:pStyle w:val="TableText0"/>
              <w:spacing w:before="60" w:after="60"/>
              <w:jc w:val="center"/>
              <w:rPr>
                <w:snapToGrid w:val="0"/>
              </w:rPr>
            </w:pPr>
          </w:p>
        </w:tc>
      </w:tr>
      <w:tr w:rsidR="002A44B5" w:rsidRPr="00183E4D" w14:paraId="6A8A1245" w14:textId="77777777" w:rsidTr="00452FE1">
        <w:tc>
          <w:tcPr>
            <w:tcW w:w="1030" w:type="pct"/>
            <w:shd w:val="clear" w:color="auto" w:fill="auto"/>
          </w:tcPr>
          <w:p w14:paraId="162581D8" w14:textId="77777777" w:rsidR="002A44B5" w:rsidRDefault="002A44B5" w:rsidP="00046EA7">
            <w:pPr>
              <w:pStyle w:val="TableText0"/>
              <w:spacing w:before="60" w:after="60"/>
              <w:rPr>
                <w:snapToGrid w:val="0"/>
              </w:rPr>
            </w:pPr>
            <w:r>
              <w:rPr>
                <w:snapToGrid w:val="0"/>
              </w:rPr>
              <w:t>Ambrogi et al (2011)</w:t>
            </w:r>
          </w:p>
        </w:tc>
        <w:tc>
          <w:tcPr>
            <w:tcW w:w="781" w:type="pct"/>
            <w:shd w:val="clear" w:color="auto" w:fill="auto"/>
          </w:tcPr>
          <w:p w14:paraId="37F2FCF5" w14:textId="77777777" w:rsidR="002A44B5" w:rsidRDefault="002A44B5" w:rsidP="005F2661">
            <w:pPr>
              <w:pStyle w:val="TableText0"/>
              <w:spacing w:before="60" w:after="60"/>
              <w:jc w:val="center"/>
              <w:rPr>
                <w:snapToGrid w:val="0"/>
              </w:rPr>
            </w:pPr>
            <w:r>
              <w:rPr>
                <w:snapToGrid w:val="0"/>
              </w:rPr>
              <w:t>57 (59)</w:t>
            </w:r>
          </w:p>
        </w:tc>
        <w:tc>
          <w:tcPr>
            <w:tcW w:w="1776" w:type="pct"/>
            <w:tcBorders>
              <w:left w:val="nil"/>
            </w:tcBorders>
            <w:shd w:val="clear" w:color="auto" w:fill="auto"/>
          </w:tcPr>
          <w:p w14:paraId="7FDF1366" w14:textId="77777777" w:rsidR="002A44B5" w:rsidRDefault="002A44B5" w:rsidP="005F2661">
            <w:pPr>
              <w:pStyle w:val="TableText0"/>
              <w:spacing w:before="60" w:after="60"/>
              <w:jc w:val="center"/>
            </w:pPr>
            <w:r>
              <w:t>33.4 months</w:t>
            </w:r>
          </w:p>
          <w:p w14:paraId="2BF82C70" w14:textId="77777777" w:rsidR="002A44B5" w:rsidRPr="00614E15" w:rsidRDefault="002A44B5" w:rsidP="00F2078A">
            <w:pPr>
              <w:pStyle w:val="TableText0"/>
              <w:spacing w:before="60" w:after="60"/>
              <w:jc w:val="center"/>
              <w:rPr>
                <w:i/>
              </w:rPr>
            </w:pPr>
            <w:r>
              <w:rPr>
                <w:i/>
              </w:rPr>
              <w:t>41.4 months</w:t>
            </w:r>
          </w:p>
        </w:tc>
        <w:tc>
          <w:tcPr>
            <w:tcW w:w="1413" w:type="pct"/>
            <w:shd w:val="clear" w:color="auto" w:fill="auto"/>
          </w:tcPr>
          <w:p w14:paraId="6ACD8C3E" w14:textId="77777777" w:rsidR="002A44B5" w:rsidRDefault="002A44B5" w:rsidP="00642604">
            <w:pPr>
              <w:pStyle w:val="TableText0"/>
              <w:spacing w:before="60" w:after="60"/>
              <w:jc w:val="center"/>
              <w:rPr>
                <w:snapToGrid w:val="0"/>
              </w:rPr>
            </w:pPr>
            <w:r>
              <w:rPr>
                <w:snapToGrid w:val="0"/>
              </w:rPr>
              <w:t>NA</w:t>
            </w:r>
          </w:p>
        </w:tc>
      </w:tr>
      <w:tr w:rsidR="002A44B5" w:rsidRPr="00183E4D" w14:paraId="5852BC7A" w14:textId="77777777" w:rsidTr="00452FE1">
        <w:tc>
          <w:tcPr>
            <w:tcW w:w="1030" w:type="pct"/>
            <w:shd w:val="clear" w:color="auto" w:fill="auto"/>
          </w:tcPr>
          <w:p w14:paraId="4DEBC2B3" w14:textId="77777777" w:rsidR="002A44B5" w:rsidRPr="008A6F37" w:rsidRDefault="002A44B5" w:rsidP="00046EA7">
            <w:pPr>
              <w:pStyle w:val="TableText0"/>
              <w:spacing w:before="60" w:after="60"/>
              <w:rPr>
                <w:snapToGrid w:val="0"/>
              </w:rPr>
            </w:pPr>
            <w:r>
              <w:rPr>
                <w:snapToGrid w:val="0"/>
              </w:rPr>
              <w:t>Hiraki et al (2011)</w:t>
            </w:r>
          </w:p>
        </w:tc>
        <w:tc>
          <w:tcPr>
            <w:tcW w:w="781" w:type="pct"/>
            <w:shd w:val="clear" w:color="auto" w:fill="auto"/>
          </w:tcPr>
          <w:p w14:paraId="68991A80" w14:textId="77777777" w:rsidR="002A44B5" w:rsidRPr="008A6F37" w:rsidRDefault="002A44B5" w:rsidP="005F2661">
            <w:pPr>
              <w:pStyle w:val="TableText0"/>
              <w:spacing w:before="60" w:after="60"/>
              <w:jc w:val="center"/>
              <w:rPr>
                <w:snapToGrid w:val="0"/>
              </w:rPr>
            </w:pPr>
            <w:r>
              <w:rPr>
                <w:snapToGrid w:val="0"/>
              </w:rPr>
              <w:t>50 (52)</w:t>
            </w:r>
          </w:p>
        </w:tc>
        <w:tc>
          <w:tcPr>
            <w:tcW w:w="1776" w:type="pct"/>
            <w:tcBorders>
              <w:left w:val="nil"/>
            </w:tcBorders>
            <w:shd w:val="clear" w:color="auto" w:fill="auto"/>
          </w:tcPr>
          <w:p w14:paraId="549A99A8" w14:textId="77777777" w:rsidR="002A44B5" w:rsidRPr="00723C9B" w:rsidRDefault="002A44B5" w:rsidP="005F2661">
            <w:pPr>
              <w:pStyle w:val="TableText0"/>
              <w:spacing w:before="60" w:after="60"/>
              <w:jc w:val="center"/>
            </w:pPr>
            <w:r>
              <w:t>67 months (</w:t>
            </w:r>
            <w:r w:rsidRPr="007D4F3D">
              <w:t>mean: 59 months</w:t>
            </w:r>
            <w:r>
              <w:t>)</w:t>
            </w:r>
          </w:p>
        </w:tc>
        <w:tc>
          <w:tcPr>
            <w:tcW w:w="1413" w:type="pct"/>
            <w:shd w:val="clear" w:color="auto" w:fill="auto"/>
          </w:tcPr>
          <w:p w14:paraId="4A05B738" w14:textId="77777777" w:rsidR="002A44B5" w:rsidRPr="008A6F37" w:rsidRDefault="002A44B5" w:rsidP="00F2078A">
            <w:pPr>
              <w:pStyle w:val="TableText0"/>
              <w:spacing w:before="60" w:after="60"/>
              <w:jc w:val="center"/>
              <w:rPr>
                <w:snapToGrid w:val="0"/>
              </w:rPr>
            </w:pPr>
            <w:r>
              <w:rPr>
                <w:snapToGrid w:val="0"/>
              </w:rPr>
              <w:t>NA</w:t>
            </w:r>
          </w:p>
        </w:tc>
      </w:tr>
      <w:tr w:rsidR="002A44B5" w:rsidRPr="00183E4D" w14:paraId="0EBBD34B" w14:textId="77777777" w:rsidTr="00452FE1">
        <w:tc>
          <w:tcPr>
            <w:tcW w:w="1030" w:type="pct"/>
            <w:shd w:val="clear" w:color="auto" w:fill="auto"/>
          </w:tcPr>
          <w:p w14:paraId="79158C0D" w14:textId="77777777" w:rsidR="002A44B5" w:rsidRPr="008A6F37" w:rsidRDefault="002A44B5" w:rsidP="00046EA7">
            <w:pPr>
              <w:pStyle w:val="TableText0"/>
              <w:spacing w:before="60" w:after="60"/>
              <w:rPr>
                <w:snapToGrid w:val="0"/>
              </w:rPr>
            </w:pPr>
            <w:r>
              <w:rPr>
                <w:snapToGrid w:val="0"/>
              </w:rPr>
              <w:t>Lanuti et al (2012)</w:t>
            </w:r>
          </w:p>
        </w:tc>
        <w:tc>
          <w:tcPr>
            <w:tcW w:w="781" w:type="pct"/>
            <w:shd w:val="clear" w:color="auto" w:fill="auto"/>
          </w:tcPr>
          <w:p w14:paraId="4AAAD8F7" w14:textId="77777777" w:rsidR="002A44B5" w:rsidRPr="008A6F37" w:rsidRDefault="002A44B5" w:rsidP="005F2661">
            <w:pPr>
              <w:pStyle w:val="TableText0"/>
              <w:spacing w:before="60" w:after="60"/>
              <w:jc w:val="center"/>
              <w:rPr>
                <w:snapToGrid w:val="0"/>
              </w:rPr>
            </w:pPr>
            <w:r>
              <w:rPr>
                <w:snapToGrid w:val="0"/>
              </w:rPr>
              <w:t>45 (55)</w:t>
            </w:r>
          </w:p>
        </w:tc>
        <w:tc>
          <w:tcPr>
            <w:tcW w:w="1776" w:type="pct"/>
            <w:tcBorders>
              <w:left w:val="nil"/>
            </w:tcBorders>
            <w:shd w:val="clear" w:color="auto" w:fill="auto"/>
          </w:tcPr>
          <w:p w14:paraId="17525A84" w14:textId="77777777" w:rsidR="002A44B5" w:rsidRPr="00723C9B" w:rsidRDefault="002A44B5" w:rsidP="005F2661">
            <w:pPr>
              <w:pStyle w:val="TableText0"/>
              <w:spacing w:before="60" w:after="60"/>
              <w:jc w:val="center"/>
            </w:pPr>
            <w:r w:rsidRPr="007D4F3D">
              <w:t>44.3 months</w:t>
            </w:r>
          </w:p>
        </w:tc>
        <w:tc>
          <w:tcPr>
            <w:tcW w:w="1413" w:type="pct"/>
            <w:shd w:val="clear" w:color="auto" w:fill="auto"/>
          </w:tcPr>
          <w:p w14:paraId="4D674B2D" w14:textId="77777777" w:rsidR="002A44B5" w:rsidRPr="008A6F37" w:rsidRDefault="002A44B5" w:rsidP="00F2078A">
            <w:pPr>
              <w:pStyle w:val="TableText0"/>
              <w:spacing w:before="60" w:after="60"/>
              <w:jc w:val="center"/>
              <w:rPr>
                <w:snapToGrid w:val="0"/>
              </w:rPr>
            </w:pPr>
            <w:r>
              <w:rPr>
                <w:snapToGrid w:val="0"/>
              </w:rPr>
              <w:t>NA</w:t>
            </w:r>
          </w:p>
        </w:tc>
      </w:tr>
      <w:tr w:rsidR="002A44B5" w:rsidRPr="00183E4D" w14:paraId="0F918458" w14:textId="77777777" w:rsidTr="00452FE1">
        <w:tc>
          <w:tcPr>
            <w:tcW w:w="1030" w:type="pct"/>
            <w:shd w:val="clear" w:color="auto" w:fill="auto"/>
          </w:tcPr>
          <w:p w14:paraId="56A5A4D5" w14:textId="77777777" w:rsidR="002A44B5" w:rsidRPr="008A6F37" w:rsidRDefault="002A44B5" w:rsidP="00046EA7">
            <w:pPr>
              <w:pStyle w:val="TableText0"/>
              <w:spacing w:before="60" w:after="60"/>
              <w:rPr>
                <w:snapToGrid w:val="0"/>
              </w:rPr>
            </w:pPr>
            <w:r>
              <w:rPr>
                <w:snapToGrid w:val="0"/>
              </w:rPr>
              <w:t>Liu et al (2015)</w:t>
            </w:r>
          </w:p>
        </w:tc>
        <w:tc>
          <w:tcPr>
            <w:tcW w:w="781" w:type="pct"/>
            <w:shd w:val="clear" w:color="auto" w:fill="auto"/>
          </w:tcPr>
          <w:p w14:paraId="2BB16F40" w14:textId="77777777" w:rsidR="002A44B5" w:rsidRPr="008A6F37" w:rsidRDefault="002A44B5" w:rsidP="005F2661">
            <w:pPr>
              <w:pStyle w:val="TableText0"/>
              <w:spacing w:before="60" w:after="60"/>
              <w:jc w:val="center"/>
              <w:rPr>
                <w:snapToGrid w:val="0"/>
              </w:rPr>
            </w:pPr>
            <w:r>
              <w:rPr>
                <w:snapToGrid w:val="0"/>
              </w:rPr>
              <w:t>29 (29)</w:t>
            </w:r>
          </w:p>
        </w:tc>
        <w:tc>
          <w:tcPr>
            <w:tcW w:w="1776" w:type="pct"/>
            <w:tcBorders>
              <w:left w:val="nil"/>
            </w:tcBorders>
            <w:shd w:val="clear" w:color="auto" w:fill="auto"/>
          </w:tcPr>
          <w:p w14:paraId="5105A4FE" w14:textId="78F3AD5E" w:rsidR="002A44B5" w:rsidRDefault="002A44B5" w:rsidP="005F2661">
            <w:pPr>
              <w:pStyle w:val="TableText0"/>
              <w:spacing w:before="60" w:after="60"/>
              <w:jc w:val="center"/>
              <w:rPr>
                <w:i/>
              </w:rPr>
            </w:pPr>
            <w:r w:rsidRPr="007D4F3D">
              <w:t xml:space="preserve">57 </w:t>
            </w:r>
            <w:r>
              <w:t>(</w:t>
            </w:r>
            <w:r w:rsidRPr="007D4F3D">
              <w:t>95% CI,</w:t>
            </w:r>
            <w:r>
              <w:t xml:space="preserve"> 44</w:t>
            </w:r>
            <w:r w:rsidR="00D35E9C">
              <w:t>–</w:t>
            </w:r>
            <w:r>
              <w:t>70) months</w:t>
            </w:r>
          </w:p>
          <w:p w14:paraId="60978DB2" w14:textId="69D9A618" w:rsidR="002A44B5" w:rsidRPr="009C64DE" w:rsidRDefault="002A44B5" w:rsidP="00F2078A">
            <w:pPr>
              <w:pStyle w:val="TableText0"/>
              <w:spacing w:before="60" w:after="60"/>
              <w:jc w:val="center"/>
              <w:rPr>
                <w:i/>
              </w:rPr>
            </w:pPr>
            <w:r>
              <w:rPr>
                <w:i/>
              </w:rPr>
              <w:t>63 (95%CI, 50</w:t>
            </w:r>
            <w:r w:rsidR="00D35E9C">
              <w:rPr>
                <w:i/>
              </w:rPr>
              <w:t>–</w:t>
            </w:r>
            <w:r>
              <w:rPr>
                <w:i/>
              </w:rPr>
              <w:t>75)</w:t>
            </w:r>
            <w:r w:rsidRPr="007D4F3D">
              <w:rPr>
                <w:i/>
              </w:rPr>
              <w:t xml:space="preserve"> months</w:t>
            </w:r>
          </w:p>
        </w:tc>
        <w:tc>
          <w:tcPr>
            <w:tcW w:w="1413" w:type="pct"/>
            <w:shd w:val="clear" w:color="auto" w:fill="auto"/>
          </w:tcPr>
          <w:p w14:paraId="3123D54F" w14:textId="0C6F5AF4" w:rsidR="002A44B5" w:rsidRDefault="002A44B5" w:rsidP="00642604">
            <w:pPr>
              <w:pStyle w:val="TableText0"/>
              <w:spacing w:before="60" w:after="60"/>
              <w:jc w:val="center"/>
              <w:rPr>
                <w:snapToGrid w:val="0"/>
              </w:rPr>
            </w:pPr>
            <w:r>
              <w:rPr>
                <w:snapToGrid w:val="0"/>
              </w:rPr>
              <w:t>Stage IA: 65 (</w:t>
            </w:r>
            <w:r w:rsidRPr="007D4F3D">
              <w:rPr>
                <w:snapToGrid w:val="0"/>
              </w:rPr>
              <w:t>51</w:t>
            </w:r>
            <w:r w:rsidR="00D35E9C">
              <w:rPr>
                <w:snapToGrid w:val="0"/>
              </w:rPr>
              <w:t>–</w:t>
            </w:r>
            <w:r w:rsidRPr="007D4F3D">
              <w:rPr>
                <w:snapToGrid w:val="0"/>
              </w:rPr>
              <w:t>79</w:t>
            </w:r>
            <w:r>
              <w:rPr>
                <w:snapToGrid w:val="0"/>
              </w:rPr>
              <w:t>)</w:t>
            </w:r>
            <w:r w:rsidRPr="007D4F3D">
              <w:rPr>
                <w:snapToGrid w:val="0"/>
              </w:rPr>
              <w:t xml:space="preserve"> months</w:t>
            </w:r>
          </w:p>
          <w:p w14:paraId="46BB03E7" w14:textId="6AA1120F" w:rsidR="002A44B5" w:rsidRPr="008A6F37" w:rsidRDefault="002A44B5" w:rsidP="001C2967">
            <w:pPr>
              <w:pStyle w:val="TableText0"/>
              <w:spacing w:before="60" w:after="60"/>
              <w:jc w:val="center"/>
              <w:rPr>
                <w:snapToGrid w:val="0"/>
              </w:rPr>
            </w:pPr>
            <w:r>
              <w:rPr>
                <w:snapToGrid w:val="0"/>
              </w:rPr>
              <w:t>Stage IB 65 (51</w:t>
            </w:r>
            <w:r w:rsidR="00D35E9C">
              <w:rPr>
                <w:snapToGrid w:val="0"/>
              </w:rPr>
              <w:t>–</w:t>
            </w:r>
            <w:r>
              <w:rPr>
                <w:snapToGrid w:val="0"/>
              </w:rPr>
              <w:t>79)</w:t>
            </w:r>
            <w:r w:rsidRPr="00312D0F">
              <w:rPr>
                <w:snapToGrid w:val="0"/>
              </w:rPr>
              <w:t xml:space="preserve"> months</w:t>
            </w:r>
          </w:p>
        </w:tc>
      </w:tr>
      <w:tr w:rsidR="002A44B5" w:rsidRPr="00183E4D" w14:paraId="264C227C" w14:textId="77777777" w:rsidTr="00452FE1">
        <w:tc>
          <w:tcPr>
            <w:tcW w:w="1030" w:type="pct"/>
            <w:shd w:val="clear" w:color="auto" w:fill="auto"/>
          </w:tcPr>
          <w:p w14:paraId="5C8EEC20" w14:textId="77777777" w:rsidR="002A44B5" w:rsidRPr="008A6F37" w:rsidRDefault="002A44B5" w:rsidP="00046EA7">
            <w:pPr>
              <w:pStyle w:val="TableText0"/>
              <w:spacing w:before="60" w:after="60"/>
              <w:rPr>
                <w:snapToGrid w:val="0"/>
              </w:rPr>
            </w:pPr>
            <w:r>
              <w:rPr>
                <w:snapToGrid w:val="0"/>
              </w:rPr>
              <w:t>Viti et al (2014)</w:t>
            </w:r>
          </w:p>
        </w:tc>
        <w:tc>
          <w:tcPr>
            <w:tcW w:w="781" w:type="pct"/>
            <w:shd w:val="clear" w:color="auto" w:fill="auto"/>
          </w:tcPr>
          <w:p w14:paraId="72055E64" w14:textId="77777777" w:rsidR="002A44B5" w:rsidRPr="008A6F37" w:rsidRDefault="002A44B5" w:rsidP="005F2661">
            <w:pPr>
              <w:pStyle w:val="TableText0"/>
              <w:spacing w:before="60" w:after="60"/>
              <w:jc w:val="center"/>
              <w:rPr>
                <w:snapToGrid w:val="0"/>
              </w:rPr>
            </w:pPr>
            <w:r>
              <w:rPr>
                <w:snapToGrid w:val="0"/>
              </w:rPr>
              <w:t>22 (24)</w:t>
            </w:r>
          </w:p>
        </w:tc>
        <w:tc>
          <w:tcPr>
            <w:tcW w:w="1776" w:type="pct"/>
            <w:tcBorders>
              <w:left w:val="nil"/>
            </w:tcBorders>
            <w:shd w:val="clear" w:color="auto" w:fill="auto"/>
          </w:tcPr>
          <w:p w14:paraId="53030934" w14:textId="77777777" w:rsidR="002A44B5" w:rsidRPr="00E55722" w:rsidRDefault="002A44B5" w:rsidP="005F2661">
            <w:pPr>
              <w:pStyle w:val="TableText0"/>
              <w:spacing w:before="60" w:after="60"/>
              <w:jc w:val="center"/>
            </w:pPr>
            <w:r w:rsidRPr="00E55722">
              <w:t>36.5 months</w:t>
            </w:r>
          </w:p>
        </w:tc>
        <w:tc>
          <w:tcPr>
            <w:tcW w:w="1413" w:type="pct"/>
            <w:shd w:val="clear" w:color="auto" w:fill="auto"/>
          </w:tcPr>
          <w:p w14:paraId="3684F8DE" w14:textId="77777777" w:rsidR="002A44B5" w:rsidRPr="008A6F37" w:rsidRDefault="002A44B5" w:rsidP="00F2078A">
            <w:pPr>
              <w:pStyle w:val="TableText0"/>
              <w:spacing w:before="60" w:after="60"/>
              <w:jc w:val="center"/>
              <w:rPr>
                <w:snapToGrid w:val="0"/>
              </w:rPr>
            </w:pPr>
            <w:r>
              <w:rPr>
                <w:snapToGrid w:val="0"/>
              </w:rPr>
              <w:t>NA</w:t>
            </w:r>
          </w:p>
        </w:tc>
      </w:tr>
      <w:tr w:rsidR="002A44B5" w:rsidRPr="00183E4D" w14:paraId="0D3C6AB6" w14:textId="77777777" w:rsidTr="00452FE1">
        <w:tc>
          <w:tcPr>
            <w:tcW w:w="1030" w:type="pct"/>
            <w:shd w:val="clear" w:color="auto" w:fill="auto"/>
          </w:tcPr>
          <w:p w14:paraId="51D3AD9C" w14:textId="77777777" w:rsidR="002A44B5" w:rsidRPr="008A6F37" w:rsidRDefault="002A44B5" w:rsidP="00046EA7">
            <w:pPr>
              <w:pStyle w:val="TableText0"/>
              <w:spacing w:before="60" w:after="60"/>
              <w:rPr>
                <w:snapToGrid w:val="0"/>
              </w:rPr>
            </w:pPr>
            <w:r>
              <w:rPr>
                <w:snapToGrid w:val="0"/>
              </w:rPr>
              <w:t>Ridge et al (2014)</w:t>
            </w:r>
          </w:p>
        </w:tc>
        <w:tc>
          <w:tcPr>
            <w:tcW w:w="781" w:type="pct"/>
            <w:shd w:val="clear" w:color="auto" w:fill="auto"/>
          </w:tcPr>
          <w:p w14:paraId="40B82D36" w14:textId="77777777" w:rsidR="002A44B5" w:rsidRPr="008A6F37" w:rsidRDefault="002A44B5" w:rsidP="005F2661">
            <w:pPr>
              <w:pStyle w:val="TableText0"/>
              <w:spacing w:before="60" w:after="60"/>
              <w:jc w:val="center"/>
              <w:rPr>
                <w:snapToGrid w:val="0"/>
              </w:rPr>
            </w:pPr>
            <w:r>
              <w:rPr>
                <w:snapToGrid w:val="0"/>
              </w:rPr>
              <w:t>29 (29)</w:t>
            </w:r>
          </w:p>
        </w:tc>
        <w:tc>
          <w:tcPr>
            <w:tcW w:w="1776" w:type="pct"/>
            <w:tcBorders>
              <w:left w:val="nil"/>
            </w:tcBorders>
            <w:shd w:val="clear" w:color="auto" w:fill="auto"/>
          </w:tcPr>
          <w:p w14:paraId="74AB4DE6" w14:textId="77777777" w:rsidR="002A44B5" w:rsidRPr="00E55722" w:rsidRDefault="002A44B5" w:rsidP="005F2661">
            <w:pPr>
              <w:pStyle w:val="TableText0"/>
              <w:spacing w:before="60" w:after="60"/>
              <w:jc w:val="center"/>
            </w:pPr>
            <w:r w:rsidRPr="00E55722">
              <w:t>41.3 months</w:t>
            </w:r>
          </w:p>
        </w:tc>
        <w:tc>
          <w:tcPr>
            <w:tcW w:w="1413" w:type="pct"/>
            <w:shd w:val="clear" w:color="auto" w:fill="auto"/>
          </w:tcPr>
          <w:p w14:paraId="6AD87639" w14:textId="77777777" w:rsidR="002A44B5" w:rsidRPr="008A6F37" w:rsidRDefault="00001D02" w:rsidP="00F2078A">
            <w:pPr>
              <w:pStyle w:val="TableText0"/>
              <w:spacing w:before="60" w:after="60"/>
              <w:jc w:val="center"/>
              <w:rPr>
                <w:snapToGrid w:val="0"/>
              </w:rPr>
            </w:pPr>
            <w:r>
              <w:rPr>
                <w:snapToGrid w:val="0"/>
              </w:rPr>
              <w:t>T1a and T1b n</w:t>
            </w:r>
            <w:r w:rsidR="002A44B5">
              <w:rPr>
                <w:snapToGrid w:val="0"/>
              </w:rPr>
              <w:t>ot significantly di</w:t>
            </w:r>
            <w:r>
              <w:rPr>
                <w:snapToGrid w:val="0"/>
              </w:rPr>
              <w:t xml:space="preserve">fferent, </w:t>
            </w:r>
            <w:r w:rsidR="002A44B5">
              <w:rPr>
                <w:snapToGrid w:val="0"/>
              </w:rPr>
              <w:t xml:space="preserve">nor </w:t>
            </w:r>
            <w:r>
              <w:rPr>
                <w:snapToGrid w:val="0"/>
              </w:rPr>
              <w:t xml:space="preserve">first </w:t>
            </w:r>
            <w:r w:rsidR="002A44B5">
              <w:rPr>
                <w:snapToGrid w:val="0"/>
              </w:rPr>
              <w:t>primary and synchronous tumours</w:t>
            </w:r>
          </w:p>
        </w:tc>
      </w:tr>
      <w:tr w:rsidR="002A44B5" w:rsidRPr="00183E4D" w14:paraId="4FE45FEC" w14:textId="77777777" w:rsidTr="00452FE1">
        <w:tc>
          <w:tcPr>
            <w:tcW w:w="1030" w:type="pct"/>
            <w:shd w:val="clear" w:color="auto" w:fill="auto"/>
          </w:tcPr>
          <w:p w14:paraId="61D68149" w14:textId="77777777" w:rsidR="002A44B5" w:rsidRPr="00183E4D" w:rsidRDefault="002A44B5" w:rsidP="00046EA7">
            <w:pPr>
              <w:pStyle w:val="TableText0"/>
              <w:spacing w:before="60" w:after="60"/>
              <w:rPr>
                <w:snapToGrid w:val="0"/>
              </w:rPr>
            </w:pPr>
            <w:r>
              <w:rPr>
                <w:snapToGrid w:val="0"/>
              </w:rPr>
              <w:t>Pooled analysis</w:t>
            </w:r>
          </w:p>
        </w:tc>
        <w:tc>
          <w:tcPr>
            <w:tcW w:w="781" w:type="pct"/>
            <w:shd w:val="clear" w:color="auto" w:fill="auto"/>
          </w:tcPr>
          <w:p w14:paraId="7D2ABE0F" w14:textId="77777777" w:rsidR="002A44B5" w:rsidRPr="00183E4D" w:rsidRDefault="002A44B5" w:rsidP="005F2661">
            <w:pPr>
              <w:pStyle w:val="TableText0"/>
              <w:spacing w:before="60" w:after="60"/>
              <w:jc w:val="center"/>
              <w:rPr>
                <w:snapToGrid w:val="0"/>
                <w:highlight w:val="cyan"/>
              </w:rPr>
            </w:pPr>
            <w:r w:rsidRPr="00E55722">
              <w:rPr>
                <w:snapToGrid w:val="0"/>
              </w:rPr>
              <w:t>175 (189)</w:t>
            </w:r>
          </w:p>
        </w:tc>
        <w:tc>
          <w:tcPr>
            <w:tcW w:w="1776" w:type="pct"/>
            <w:tcBorders>
              <w:left w:val="nil"/>
            </w:tcBorders>
            <w:shd w:val="clear" w:color="auto" w:fill="auto"/>
          </w:tcPr>
          <w:p w14:paraId="6BCA3EE8" w14:textId="432704B6" w:rsidR="002A44B5" w:rsidRDefault="002A44B5" w:rsidP="005F2661">
            <w:pPr>
              <w:pStyle w:val="TableText0"/>
              <w:spacing w:before="60" w:after="60"/>
              <w:jc w:val="center"/>
              <w:rPr>
                <w:snapToGrid w:val="0"/>
              </w:rPr>
            </w:pPr>
            <w:r>
              <w:rPr>
                <w:snapToGrid w:val="0"/>
              </w:rPr>
              <w:t>Median overall survival: 42.8 months (range: 33.4</w:t>
            </w:r>
            <w:r w:rsidR="00D35E9C">
              <w:rPr>
                <w:snapToGrid w:val="0"/>
              </w:rPr>
              <w:t>–</w:t>
            </w:r>
            <w:r>
              <w:rPr>
                <w:snapToGrid w:val="0"/>
              </w:rPr>
              <w:t>67)</w:t>
            </w:r>
          </w:p>
          <w:p w14:paraId="48DC350E" w14:textId="77777777" w:rsidR="002A44B5" w:rsidRDefault="0046151F" w:rsidP="00F2078A">
            <w:pPr>
              <w:pStyle w:val="TableText0"/>
              <w:spacing w:before="60" w:after="60"/>
              <w:jc w:val="center"/>
              <w:rPr>
                <w:snapToGrid w:val="0"/>
              </w:rPr>
            </w:pPr>
            <w:r>
              <w:rPr>
                <w:snapToGrid w:val="0"/>
              </w:rPr>
              <w:t xml:space="preserve">Quality </w:t>
            </w:r>
            <w:r w:rsidR="002A44B5">
              <w:rPr>
                <w:snapToGrid w:val="0"/>
              </w:rPr>
              <w:t>of the evidence (GRADE)</w:t>
            </w:r>
          </w:p>
          <w:p w14:paraId="42EC2DC8" w14:textId="77777777" w:rsidR="002A44B5" w:rsidRPr="00C62F37" w:rsidRDefault="002A44B5" w:rsidP="00642604">
            <w:pPr>
              <w:pStyle w:val="TableText0"/>
              <w:spacing w:before="60" w:after="60"/>
              <w:ind w:left="16" w:right="117"/>
              <w:jc w:val="center"/>
              <w:rPr>
                <w:rFonts w:ascii="MS Mincho" w:eastAsia="MS Mincho" w:hAnsi="MS Mincho" w:cs="MS Mincho"/>
                <w:b/>
                <w:sz w:val="21"/>
                <w:szCs w:val="21"/>
              </w:rPr>
            </w:pPr>
            <w:r>
              <w:rPr>
                <w:rFonts w:ascii="Cambria Math" w:hAnsi="Cambria Math"/>
                <w:color w:val="00B050"/>
              </w:rPr>
              <w:t>⨁</w:t>
            </w:r>
            <w:r w:rsidRPr="00D4733A">
              <w:rPr>
                <w:rFonts w:ascii="Cambria Math" w:hAnsi="Cambria Math" w:cs="Cambria Math"/>
                <w:color w:val="C00000"/>
              </w:rPr>
              <w:t>⨀⨀⨀</w:t>
            </w:r>
            <w:r w:rsidR="00A134C1">
              <w:rPr>
                <w:rStyle w:val="quality-sign"/>
                <w:rFonts w:ascii="MS Mincho" w:eastAsia="MS Mincho" w:hAnsi="MS Mincho" w:cs="MS Mincho"/>
                <w:b/>
                <w:sz w:val="21"/>
                <w:szCs w:val="21"/>
              </w:rPr>
              <w:t xml:space="preserve"> </w:t>
            </w: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1413" w:type="pct"/>
            <w:shd w:val="clear" w:color="auto" w:fill="auto"/>
          </w:tcPr>
          <w:p w14:paraId="79A5275F" w14:textId="77777777" w:rsidR="002A44B5" w:rsidRPr="00183E4D" w:rsidRDefault="002A44B5" w:rsidP="001C2967">
            <w:pPr>
              <w:pStyle w:val="TableText0"/>
              <w:spacing w:before="60" w:after="60"/>
              <w:jc w:val="center"/>
              <w:rPr>
                <w:snapToGrid w:val="0"/>
                <w:highlight w:val="cyan"/>
              </w:rPr>
            </w:pPr>
            <w:r w:rsidRPr="00D57ADE">
              <w:rPr>
                <w:snapToGrid w:val="0"/>
              </w:rPr>
              <w:t>NA</w:t>
            </w:r>
          </w:p>
        </w:tc>
      </w:tr>
    </w:tbl>
    <w:p w14:paraId="0740B6AE" w14:textId="335D7F62" w:rsidR="003724F6" w:rsidRDefault="004201F6" w:rsidP="007C7D1A">
      <w:pPr>
        <w:pStyle w:val="Tablenotes0"/>
      </w:pPr>
      <w:r>
        <w:t xml:space="preserve">&lt; </w:t>
      </w:r>
      <w:r w:rsidR="003724F6">
        <w:t>CI</w:t>
      </w:r>
      <w:r w:rsidR="003720B3">
        <w:t xml:space="preserve"> </w:t>
      </w:r>
      <w:r w:rsidR="003724F6">
        <w:t>= confidence interval</w:t>
      </w:r>
      <w:r w:rsidR="00330A30">
        <w:t>;</w:t>
      </w:r>
      <w:r w:rsidR="001F23AA">
        <w:t xml:space="preserve"> </w:t>
      </w:r>
      <w:r w:rsidR="00351588">
        <w:t>M</w:t>
      </w:r>
      <w:r w:rsidR="00AD2A99">
        <w:t>TA = microwave thermal ablation</w:t>
      </w:r>
      <w:r w:rsidR="00351588">
        <w:t xml:space="preserve">; </w:t>
      </w:r>
      <w:r w:rsidR="001F23AA">
        <w:t>NA = not applicable</w:t>
      </w:r>
      <w:r w:rsidR="00330A30">
        <w:t>;</w:t>
      </w:r>
      <w:r w:rsidR="001F23AA">
        <w:t xml:space="preserve"> NR = not reported</w:t>
      </w:r>
      <w:r w:rsidR="00351588">
        <w:t>; RFA = radiofrequency ablation</w:t>
      </w:r>
      <w:r>
        <w:t xml:space="preserve"> &gt;</w:t>
      </w:r>
    </w:p>
    <w:p w14:paraId="58ACF1CC" w14:textId="6131F861" w:rsidR="003724F6" w:rsidRDefault="003724F6" w:rsidP="007C7D1A">
      <w:pPr>
        <w:pStyle w:val="Tablenotes0"/>
        <w:rPr>
          <w:szCs w:val="18"/>
        </w:rPr>
      </w:pPr>
      <w:r w:rsidRPr="007C7D1A">
        <w:rPr>
          <w:rStyle w:val="TablenotesChar0"/>
        </w:rPr>
        <w:t>GRADE Working Group grades of evidence (Guyatt et al., 2013)</w:t>
      </w:r>
      <w:r w:rsidR="00351588" w:rsidRPr="007C7D1A">
        <w:rPr>
          <w:rStyle w:val="TablenotesChar0"/>
        </w:rPr>
        <w:t>.</w:t>
      </w:r>
      <w:r w:rsidRPr="007C7D1A">
        <w:rPr>
          <w:rStyle w:val="TablenotesChar0"/>
        </w:rPr>
        <w:t xml:space="preserve">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p>
    <w:p w14:paraId="23744D51" w14:textId="77777777" w:rsidR="001B3B9A" w:rsidRDefault="001B3B9A" w:rsidP="003F6C66">
      <w:pPr>
        <w:pStyle w:val="Heading3"/>
      </w:pPr>
      <w:bookmarkStart w:id="323" w:name="_Toc460396062"/>
      <w:bookmarkStart w:id="324" w:name="_Toc395200783"/>
      <w:r>
        <w:br w:type="page"/>
      </w:r>
    </w:p>
    <w:p w14:paraId="0BDC6DEE" w14:textId="210A4E8D" w:rsidR="00520095" w:rsidRDefault="00E00830" w:rsidP="003F6C66">
      <w:pPr>
        <w:pStyle w:val="Heading3"/>
      </w:pPr>
      <w:r w:rsidRPr="00E00830">
        <w:lastRenderedPageBreak/>
        <w:t>1-, 2-, 3-, 4- or 5- year survival</w:t>
      </w:r>
      <w:bookmarkEnd w:id="323"/>
      <w:r w:rsidRPr="00E00830">
        <w:t xml:space="preserve"> </w:t>
      </w:r>
      <w:bookmarkEnd w:id="324"/>
    </w:p>
    <w:p w14:paraId="22720686" w14:textId="77777777" w:rsidR="009F3DC3" w:rsidRDefault="002043C4" w:rsidP="00E00830">
      <w:r>
        <w:t>O</w:t>
      </w:r>
      <w:r w:rsidR="009E280F">
        <w:t>nly Han et al (2015) and Yang et al (2014) reported survival rates associated with MTA in population one. Yang et al (2014) rep</w:t>
      </w:r>
      <w:r w:rsidR="00FF4B25">
        <w:t>ort</w:t>
      </w:r>
      <w:r w:rsidR="00EA225D">
        <w:t>ed</w:t>
      </w:r>
      <w:r w:rsidR="00FF4B25">
        <w:t xml:space="preserve"> slightly lower one and two-</w:t>
      </w:r>
      <w:r w:rsidR="009E280F">
        <w:t>year survival</w:t>
      </w:r>
      <w:r w:rsidR="00AF314E">
        <w:t>. T</w:t>
      </w:r>
      <w:r w:rsidR="006C24B5">
        <w:t>hree-</w:t>
      </w:r>
      <w:r w:rsidR="009E280F">
        <w:t xml:space="preserve">year survival </w:t>
      </w:r>
      <w:r w:rsidR="00AF314E">
        <w:t>was reported more</w:t>
      </w:r>
      <w:r w:rsidR="009E280F">
        <w:t xml:space="preserve"> consistent</w:t>
      </w:r>
      <w:r w:rsidR="00AF314E">
        <w:t>ly</w:t>
      </w:r>
      <w:r w:rsidR="009F3DC3">
        <w:t xml:space="preserve"> </w:t>
      </w:r>
      <w:r w:rsidR="00AF314E">
        <w:t>cross</w:t>
      </w:r>
      <w:r w:rsidR="009F3DC3">
        <w:t xml:space="preserve"> studies</w:t>
      </w:r>
      <w:r w:rsidR="009E280F">
        <w:t xml:space="preserve">. Han et al (2015) </w:t>
      </w:r>
      <w:r w:rsidR="006C24B5">
        <w:t>did</w:t>
      </w:r>
      <w:r w:rsidR="009E280F">
        <w:t xml:space="preserve"> not report survival beyond </w:t>
      </w:r>
      <w:r w:rsidR="003844BB">
        <w:t xml:space="preserve">4 </w:t>
      </w:r>
      <w:r w:rsidR="009E280F">
        <w:t>years although in the study by Yang et al (2014) survival drops s</w:t>
      </w:r>
      <w:r w:rsidR="009F3DC3">
        <w:t>ubstantially</w:t>
      </w:r>
      <w:r w:rsidR="009E280F">
        <w:t xml:space="preserve"> to 16 per cent at </w:t>
      </w:r>
      <w:r w:rsidR="003844BB">
        <w:t xml:space="preserve">5 </w:t>
      </w:r>
      <w:r w:rsidR="009E280F">
        <w:t>years.</w:t>
      </w:r>
      <w:r w:rsidR="00F608FC">
        <w:t xml:space="preserve"> I</w:t>
      </w:r>
      <w:r w:rsidR="009E280F">
        <w:t>t is important to note that the maximum follow-up of any patient in either study did not e</w:t>
      </w:r>
      <w:r w:rsidR="009F3DC3">
        <w:t xml:space="preserve">xceed </w:t>
      </w:r>
      <w:r w:rsidR="00B35C8C">
        <w:t>six years</w:t>
      </w:r>
      <w:r w:rsidR="009F3DC3">
        <w:t xml:space="preserve"> and therefore predicting survival beyond this</w:t>
      </w:r>
      <w:r w:rsidR="003844BB">
        <w:t xml:space="preserve"> point</w:t>
      </w:r>
      <w:r w:rsidR="009F3DC3">
        <w:t xml:space="preserve"> is challenging. Given that follow-up in such studies is determined both by the time point at which historical records are accessed </w:t>
      </w:r>
      <w:r w:rsidR="009F3DC3">
        <w:rPr>
          <w:i/>
        </w:rPr>
        <w:t>and</w:t>
      </w:r>
      <w:r w:rsidR="009F3DC3">
        <w:t xml:space="preserve"> the times at which patients died it is often unclear which the follow-up represents. </w:t>
      </w:r>
    </w:p>
    <w:p w14:paraId="0B710BF7" w14:textId="6214620E" w:rsidR="000542C3" w:rsidRPr="00AC413E" w:rsidRDefault="000542C3" w:rsidP="000542C3">
      <w:r w:rsidRPr="001766F8">
        <w:t xml:space="preserve">Eight </w:t>
      </w:r>
      <w:r w:rsidRPr="004F60F8">
        <w:t>included</w:t>
      </w:r>
      <w:r w:rsidR="00C75411">
        <w:t xml:space="preserve"> RFA</w:t>
      </w:r>
      <w:r w:rsidRPr="004F60F8">
        <w:t xml:space="preserve"> studies </w:t>
      </w:r>
      <w:r w:rsidRPr="00AC413E">
        <w:t>reported the overall 1-, 2-</w:t>
      </w:r>
      <w:r w:rsidR="001B583F">
        <w:t>,</w:t>
      </w:r>
      <w:r w:rsidRPr="00AC413E">
        <w:t xml:space="preserve"> 3- or 5-year survival rates in early stage inoperable NSCLC</w:t>
      </w:r>
      <w:r w:rsidR="00C75411">
        <w:t xml:space="preserve"> patients</w:t>
      </w:r>
      <w:r w:rsidRPr="00AC413E">
        <w:t xml:space="preserve">. Survival rates in NSCLC patients treated with RFA are presented in </w:t>
      </w:r>
      <w:r w:rsidR="00AC413E" w:rsidRPr="00AC413E">
        <w:fldChar w:fldCharType="begin"/>
      </w:r>
      <w:r w:rsidR="00AC413E" w:rsidRPr="00AC413E">
        <w:instrText xml:space="preserve"> REF _Ref458512401 \h </w:instrText>
      </w:r>
      <w:r w:rsidR="00AC413E">
        <w:instrText xml:space="preserve"> \* MERGEFORMAT </w:instrText>
      </w:r>
      <w:r w:rsidR="00AC413E" w:rsidRPr="00AC413E">
        <w:fldChar w:fldCharType="separate"/>
      </w:r>
      <w:r w:rsidR="00D170A5">
        <w:t xml:space="preserve">Table </w:t>
      </w:r>
      <w:r w:rsidR="00D170A5">
        <w:rPr>
          <w:noProof/>
        </w:rPr>
        <w:t>100</w:t>
      </w:r>
      <w:r w:rsidR="00AC413E" w:rsidRPr="00AC413E">
        <w:fldChar w:fldCharType="end"/>
      </w:r>
      <w:r w:rsidR="00AC413E" w:rsidRPr="00AC413E">
        <w:t xml:space="preserve"> </w:t>
      </w:r>
      <w:r w:rsidRPr="00AC413E">
        <w:t>(Appendix E). The overall survival rates, particularly</w:t>
      </w:r>
      <w:r w:rsidR="003844BB">
        <w:t xml:space="preserve"> those</w:t>
      </w:r>
      <w:r w:rsidRPr="00AC413E">
        <w:t xml:space="preserve"> reported by Ridge et al </w:t>
      </w:r>
      <w:r w:rsidRPr="00AC413E">
        <w:fldChar w:fldCharType="begin">
          <w:fldData xml:space="preserve">PEVuZE5vdGU+PENpdGUgRXhjbHVkZUF1dGg9IjEiPjxBdXRob3I+UmlkZ2U8L0F1dGhvcj48WWVh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</w:fldData>
        </w:fldChar>
      </w:r>
      <w:r w:rsidR="00194054">
        <w:instrText xml:space="preserve"> ADDIN EN.CITE </w:instrText>
      </w:r>
      <w:r w:rsidR="00194054">
        <w:fldChar w:fldCharType="begin">
          <w:fldData xml:space="preserve">PEVuZE5vdGU+PENpdGUgRXhjbHVkZUF1dGg9IjEiPjxBdXRob3I+UmlkZ2U8L0F1dGhvcj48WWVh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</w:fldData>
        </w:fldChar>
      </w:r>
      <w:r w:rsidR="00194054">
        <w:instrText xml:space="preserve"> ADDIN EN.CITE.DATA </w:instrText>
      </w:r>
      <w:r w:rsidR="00194054">
        <w:fldChar w:fldCharType="end"/>
      </w:r>
      <w:r w:rsidRPr="00AC413E">
        <w:fldChar w:fldCharType="separate"/>
      </w:r>
      <w:r w:rsidRPr="00AC413E">
        <w:rPr>
          <w:noProof/>
        </w:rPr>
        <w:t>(</w:t>
      </w:r>
      <w:hyperlink w:anchor="_ENREF_126" w:tooltip="Ridge, 2014 #165" w:history="1">
        <w:r w:rsidR="00320458" w:rsidRPr="00AC413E">
          <w:rPr>
            <w:noProof/>
          </w:rPr>
          <w:t>2014</w:t>
        </w:r>
      </w:hyperlink>
      <w:r w:rsidRPr="00AC413E">
        <w:rPr>
          <w:noProof/>
        </w:rPr>
        <w:t>)</w:t>
      </w:r>
      <w:r w:rsidRPr="00AC413E">
        <w:fldChar w:fldCharType="end"/>
      </w:r>
      <w:r w:rsidRPr="00AC413E">
        <w:t xml:space="preserve">, Liu et al </w:t>
      </w:r>
      <w:r w:rsidRPr="00AC413E">
        <w:fldChar w:fldCharType="begin">
          <w:fldData xml:space="preserve">PEVuZE5vdGU+PENpdGUgRXhjbHVkZUF1dGg9IjEiPjxBdXRob3I+TGl1PC9BdXRob3I+PFllYXI+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</w:fldData>
        </w:fldChar>
      </w:r>
      <w:r w:rsidR="00194054">
        <w:instrText xml:space="preserve"> ADDIN EN.CITE </w:instrText>
      </w:r>
      <w:r w:rsidR="00194054">
        <w:fldChar w:fldCharType="begin">
          <w:fldData xml:space="preserve">PEVuZE5vdGU+PENpdGUgRXhjbHVkZUF1dGg9IjEiPjxBdXRob3I+TGl1PC9BdXRob3I+PFllYXI+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</w:fldData>
        </w:fldChar>
      </w:r>
      <w:r w:rsidR="00194054">
        <w:instrText xml:space="preserve"> ADDIN EN.CITE.DATA </w:instrText>
      </w:r>
      <w:r w:rsidR="00194054">
        <w:fldChar w:fldCharType="end"/>
      </w:r>
      <w:r w:rsidRPr="00AC413E">
        <w:fldChar w:fldCharType="separate"/>
      </w:r>
      <w:r w:rsidRPr="00AC413E">
        <w:rPr>
          <w:noProof/>
        </w:rPr>
        <w:t>(</w:t>
      </w:r>
      <w:hyperlink w:anchor="_ENREF_93" w:tooltip="Liu, 2015 #164" w:history="1">
        <w:r w:rsidR="00320458" w:rsidRPr="00AC413E">
          <w:rPr>
            <w:noProof/>
          </w:rPr>
          <w:t>2015</w:t>
        </w:r>
      </w:hyperlink>
      <w:r w:rsidRPr="00AC413E">
        <w:rPr>
          <w:noProof/>
        </w:rPr>
        <w:t>)</w:t>
      </w:r>
      <w:r w:rsidRPr="00AC413E">
        <w:fldChar w:fldCharType="end"/>
      </w:r>
      <w:r w:rsidRPr="00AC413E">
        <w:t xml:space="preserve"> and Hiraki et al </w:t>
      </w:r>
      <w:r w:rsidRPr="00AC413E">
        <w:fldChar w:fldCharType="begin">
          <w:fldData xml:space="preserve">PEVuZE5vdGU+PENpdGUgRXhjbHVkZUF1dGg9IjEiPjxBdXRob3I+SGlyYWtpPC9BdXRob3I+PFll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194054">
        <w:instrText xml:space="preserve"> ADDIN EN.CITE </w:instrText>
      </w:r>
      <w:r w:rsidR="00194054">
        <w:fldChar w:fldCharType="begin">
          <w:fldData xml:space="preserve">PEVuZE5vdGU+PENpdGUgRXhjbHVkZUF1dGg9IjEiPjxBdXRob3I+SGlyYWtpPC9BdXRob3I+PFll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194054">
        <w:instrText xml:space="preserve"> ADDIN EN.CITE.DATA </w:instrText>
      </w:r>
      <w:r w:rsidR="00194054">
        <w:fldChar w:fldCharType="end"/>
      </w:r>
      <w:r w:rsidRPr="00AC413E">
        <w:fldChar w:fldCharType="separate"/>
      </w:r>
      <w:r w:rsidRPr="00AC413E">
        <w:rPr>
          <w:noProof/>
        </w:rPr>
        <w:t>(</w:t>
      </w:r>
      <w:hyperlink w:anchor="_ENREF_69" w:tooltip="Hiraki, 2011 #162" w:history="1">
        <w:r w:rsidR="00320458" w:rsidRPr="00AC413E">
          <w:rPr>
            <w:noProof/>
          </w:rPr>
          <w:t>2011a</w:t>
        </w:r>
      </w:hyperlink>
      <w:r w:rsidRPr="00AC413E">
        <w:rPr>
          <w:noProof/>
        </w:rPr>
        <w:t>)</w:t>
      </w:r>
      <w:r w:rsidRPr="00AC413E">
        <w:fldChar w:fldCharType="end"/>
      </w:r>
      <w:r w:rsidR="00781749">
        <w:t xml:space="preserve">, are </w:t>
      </w:r>
      <w:r w:rsidR="003844BB">
        <w:t xml:space="preserve">especially </w:t>
      </w:r>
      <w:r w:rsidR="00781749">
        <w:t xml:space="preserve">favourable, but it is </w:t>
      </w:r>
      <w:r w:rsidR="003844BB">
        <w:t xml:space="preserve">not clear </w:t>
      </w:r>
      <w:r w:rsidR="00781749">
        <w:t xml:space="preserve">why </w:t>
      </w:r>
      <w:r w:rsidR="003844BB">
        <w:t>as these studies are lacking in</w:t>
      </w:r>
      <w:r w:rsidR="00781749">
        <w:t xml:space="preserve"> adjustment for confounders or a relevant comparator arm.</w:t>
      </w:r>
      <w:r w:rsidRPr="00AC413E">
        <w:t xml:space="preserve"> With the exception of Safi et al </w:t>
      </w:r>
      <w:r w:rsidRPr="00AC413E">
        <w:fldChar w:fldCharType="begin">
          <w:fldData xml:space="preserve">PEVuZE5vdGU+PENpdGUgRXhjbHVkZUF1dGg9IjEiPjxBdXRob3I+U2FmaTwvQXV0aG9yPjxZZWFy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</w:fldData>
        </w:fldChar>
      </w:r>
      <w:r w:rsidR="00194054">
        <w:instrText xml:space="preserve"> ADDIN EN.CITE </w:instrText>
      </w:r>
      <w:r w:rsidR="00194054">
        <w:fldChar w:fldCharType="begin">
          <w:fldData xml:space="preserve">PEVuZE5vdGU+PENpdGUgRXhjbHVkZUF1dGg9IjEiPjxBdXRob3I+U2FmaTwvQXV0aG9yPjxZZWFy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</w:fldData>
        </w:fldChar>
      </w:r>
      <w:r w:rsidR="00194054">
        <w:instrText xml:space="preserve"> ADDIN EN.CITE.DATA </w:instrText>
      </w:r>
      <w:r w:rsidR="00194054">
        <w:fldChar w:fldCharType="end"/>
      </w:r>
      <w:r w:rsidRPr="00AC413E">
        <w:fldChar w:fldCharType="separate"/>
      </w:r>
      <w:r w:rsidRPr="00AC413E">
        <w:rPr>
          <w:noProof/>
        </w:rPr>
        <w:t>(</w:t>
      </w:r>
      <w:hyperlink w:anchor="_ENREF_130" w:tooltip="Safi, 2015 #167" w:history="1">
        <w:r w:rsidR="00320458" w:rsidRPr="00AC413E">
          <w:rPr>
            <w:noProof/>
          </w:rPr>
          <w:t>2015</w:t>
        </w:r>
      </w:hyperlink>
      <w:r w:rsidRPr="00AC413E">
        <w:rPr>
          <w:noProof/>
        </w:rPr>
        <w:t>)</w:t>
      </w:r>
      <w:r w:rsidRPr="00AC413E">
        <w:fldChar w:fldCharType="end"/>
      </w:r>
      <w:r w:rsidRPr="00AC413E">
        <w:t>, the RFA studies included small numbers of patients, were not adjusted for confounding factors, and did not have a relevant comparator arm.</w:t>
      </w:r>
      <w:r w:rsidR="006B1A7F">
        <w:t xml:space="preserve"> </w:t>
      </w:r>
    </w:p>
    <w:p w14:paraId="0AE4A893" w14:textId="2072BAA5" w:rsidR="000542C3" w:rsidRDefault="00C75411" w:rsidP="000542C3">
      <w:r>
        <w:t xml:space="preserve">Three comparative trials reported the overall survival of radiotherapy in population one. </w:t>
      </w:r>
      <w:r w:rsidR="000542C3" w:rsidRPr="00AC413E">
        <w:t xml:space="preserve">Koshy et al (2015) compared conventional radiotherapy, SBRT and no treatment in a study of 13,036 patients. This study only provided </w:t>
      </w:r>
      <w:r w:rsidR="006B1A7F">
        <w:t>3</w:t>
      </w:r>
      <w:r w:rsidR="000542C3" w:rsidRPr="00AC413E">
        <w:t xml:space="preserve">-year survival rates and analysed raw treatment data and a propensity-matched cohort in order to compare SBRT to conventional radiotherapy. In patients who did not receive any treatment the </w:t>
      </w:r>
      <w:r w:rsidR="006B1A7F">
        <w:t>3-</w:t>
      </w:r>
      <w:r w:rsidR="000542C3" w:rsidRPr="00AC413E">
        <w:t>year survival rate was 28 per cent; with treatment this was in the range of 36 (conventional radiotherapy) to 48 (SBRT) per cent. The propensity-matched cohort of SBRT and conventional radiotherapy gave a 3</w:t>
      </w:r>
      <w:r w:rsidR="001144E4">
        <w:t>-</w:t>
      </w:r>
      <w:r w:rsidR="000542C3" w:rsidRPr="00AC413E">
        <w:t>year overall survival with SBRT of 48 per cent and with conventional radiotherapy of 40 per cent (p</w:t>
      </w:r>
      <w:r w:rsidR="003C4C95">
        <w:t xml:space="preserve"> </w:t>
      </w:r>
      <w:r w:rsidR="000542C3" w:rsidRPr="00AC413E">
        <w:t>=</w:t>
      </w:r>
      <w:r w:rsidR="003C4C95">
        <w:t xml:space="preserve"> </w:t>
      </w:r>
      <w:r w:rsidR="000542C3" w:rsidRPr="00AC413E">
        <w:t xml:space="preserve">0.001). This result and those from other randomised controlled trials of different radiotherapy regimes are summarised in </w:t>
      </w:r>
      <w:r w:rsidR="00AC453B" w:rsidRPr="00AC413E">
        <w:fldChar w:fldCharType="begin"/>
      </w:r>
      <w:r w:rsidR="00AC453B" w:rsidRPr="00AC413E">
        <w:instrText xml:space="preserve"> REF _Ref458512332 \h </w:instrText>
      </w:r>
      <w:r w:rsidR="00AC413E">
        <w:instrText xml:space="preserve"> \* MERGEFORMAT </w:instrText>
      </w:r>
      <w:r w:rsidR="00AC453B" w:rsidRPr="00AC413E">
        <w:fldChar w:fldCharType="separate"/>
      </w:r>
      <w:r w:rsidR="00D170A5">
        <w:t xml:space="preserve">Table </w:t>
      </w:r>
      <w:r w:rsidR="00D170A5">
        <w:rPr>
          <w:noProof/>
        </w:rPr>
        <w:t>101</w:t>
      </w:r>
      <w:r w:rsidR="00AC453B" w:rsidRPr="00AC413E">
        <w:fldChar w:fldCharType="end"/>
      </w:r>
      <w:r w:rsidR="000542C3" w:rsidRPr="00AC413E">
        <w:t xml:space="preserve"> (Appendix E). The studies of</w:t>
      </w:r>
      <w:r w:rsidR="000542C3">
        <w:t xml:space="preserve"> MTA include a very small number of patients and did not report any </w:t>
      </w:r>
      <w:r w:rsidR="000542C3" w:rsidRPr="00555EB1">
        <w:t>estimates of random variability</w:t>
      </w:r>
      <w:r w:rsidR="000542C3">
        <w:t xml:space="preserve"> around survival rates. Therefore, alt</w:t>
      </w:r>
      <w:r w:rsidR="007D2DDF">
        <w:t xml:space="preserve">hough similar to reported </w:t>
      </w:r>
      <w:r w:rsidR="003844BB">
        <w:t>3</w:t>
      </w:r>
      <w:r w:rsidR="007D2DDF">
        <w:t>-</w:t>
      </w:r>
      <w:r w:rsidR="000542C3">
        <w:t xml:space="preserve">year survival rates from a large study, it is not possible to infer that the results are comparable. </w:t>
      </w:r>
    </w:p>
    <w:p w14:paraId="0123B878" w14:textId="77777777" w:rsidR="000542C3" w:rsidRDefault="000F023D" w:rsidP="00E00830">
      <w:r>
        <w:t>As no direct or indirect comparative data was identified,</w:t>
      </w:r>
      <w:r w:rsidR="00094D4D">
        <w:t xml:space="preserve"> it is difficult to draw meaningful</w:t>
      </w:r>
      <w:r>
        <w:t xml:space="preserve"> comparisons across interventions</w:t>
      </w:r>
      <w:r w:rsidR="00094D4D">
        <w:t>. With this limitation in mind, t</w:t>
      </w:r>
      <w:r>
        <w:t>he 1-, 2-, 3-, and 5-year</w:t>
      </w:r>
      <w:r w:rsidR="00094D4D">
        <w:t xml:space="preserve"> overall survival rates are presented </w:t>
      </w:r>
      <w:r w:rsidR="00094D4D" w:rsidRPr="008B3358">
        <w:t xml:space="preserve">in </w:t>
      </w:r>
      <w:r w:rsidR="00094D4D" w:rsidRPr="008B3358">
        <w:fldChar w:fldCharType="begin"/>
      </w:r>
      <w:r w:rsidR="00094D4D" w:rsidRPr="008B3358">
        <w:instrText xml:space="preserve"> REF _Ref458512743 \h </w:instrText>
      </w:r>
      <w:r w:rsidR="008B3358" w:rsidRPr="008B3358">
        <w:instrText xml:space="preserve"> \* MERGEFORMAT </w:instrText>
      </w:r>
      <w:r w:rsidR="00094D4D" w:rsidRPr="008B3358">
        <w:fldChar w:fldCharType="separate"/>
      </w:r>
      <w:r w:rsidR="00D170A5" w:rsidRPr="00D170A5">
        <w:t xml:space="preserve">Figure </w:t>
      </w:r>
      <w:r w:rsidR="00D170A5">
        <w:t>11</w:t>
      </w:r>
      <w:r w:rsidR="00094D4D" w:rsidRPr="008B3358">
        <w:fldChar w:fldCharType="end"/>
      </w:r>
      <w:r w:rsidR="00094D4D" w:rsidRPr="008B3358">
        <w:t>. This</w:t>
      </w:r>
      <w:r w:rsidR="00094D4D">
        <w:t xml:space="preserve"> figure</w:t>
      </w:r>
      <w:r w:rsidR="00BA594E">
        <w:t xml:space="preserve"> visually</w:t>
      </w:r>
      <w:r w:rsidR="00094D4D">
        <w:t xml:space="preserve"> represents the variability in reported survival rates </w:t>
      </w:r>
      <w:r w:rsidR="00BA594E">
        <w:t>within</w:t>
      </w:r>
      <w:r w:rsidR="00094D4D">
        <w:t xml:space="preserve"> the </w:t>
      </w:r>
      <w:r w:rsidR="0037446A">
        <w:t>evidence base</w:t>
      </w:r>
      <w:r w:rsidR="00094D4D">
        <w:t xml:space="preserve"> for each intervention, and is not intended to </w:t>
      </w:r>
      <w:r w:rsidR="00BA594E">
        <w:t xml:space="preserve">be used to draw comparisons across </w:t>
      </w:r>
      <w:r w:rsidR="001823EC">
        <w:t>interventions</w:t>
      </w:r>
      <w:r w:rsidR="00BA594E">
        <w:t>.</w:t>
      </w:r>
    </w:p>
    <w:p w14:paraId="52687563" w14:textId="77777777" w:rsidR="00FB33C7" w:rsidRDefault="00F178D0" w:rsidP="00744483">
      <w:pPr>
        <w:pStyle w:val="Caption"/>
      </w:pPr>
      <w:r>
        <w:rPr>
          <w:noProof/>
        </w:rPr>
        <w:lastRenderedPageBreak/>
        <w:drawing>
          <wp:inline distT="0" distB="0" distL="0" distR="0" wp14:anchorId="1219ECE6" wp14:editId="07A1DC9F">
            <wp:extent cx="5581291" cy="5279366"/>
            <wp:effectExtent l="0" t="0" r="635" b="0"/>
            <wp:docPr id="9" name="Picture 9" title="Overall survival rates of MTA, RFA and radiotherapy in patients with inoperable early stage NSCLC. Both interventions in the comparative radiotherapy studies are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1a.tif"/>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580645" cy="5278755"/>
                    </a:xfrm>
                    <a:prstGeom prst="rect">
                      <a:avLst/>
                    </a:prstGeom>
                    <a:ln>
                      <a:noFill/>
                    </a:ln>
                    <a:extLst>
                      <a:ext uri="{53640926-AAD7-44D8-BBD7-CCE9431645EC}">
                        <a14:shadowObscured xmlns:a14="http://schemas.microsoft.com/office/drawing/2010/main"/>
                      </a:ext>
                    </a:extLst>
                  </pic:spPr>
                </pic:pic>
              </a:graphicData>
            </a:graphic>
          </wp:inline>
        </w:drawing>
      </w:r>
    </w:p>
    <w:p w14:paraId="0C6C2DBD" w14:textId="77777777" w:rsidR="00517A4F" w:rsidRPr="00D170A5" w:rsidRDefault="00744483" w:rsidP="00D170A5">
      <w:pPr>
        <w:pStyle w:val="Caption"/>
        <w:spacing w:before="100"/>
        <w:ind w:left="1134" w:hanging="1134"/>
      </w:pPr>
      <w:bookmarkStart w:id="325" w:name="_Ref458512743"/>
      <w:bookmarkStart w:id="326" w:name="_Toc460515067"/>
      <w:r w:rsidRPr="00D170A5">
        <w:t xml:space="preserve">Figure </w:t>
      </w:r>
      <w:fldSimple w:instr=" SEQ Figure \* ARABIC ">
        <w:r w:rsidR="00D170A5">
          <w:rPr>
            <w:noProof/>
          </w:rPr>
          <w:t>11</w:t>
        </w:r>
      </w:fldSimple>
      <w:bookmarkEnd w:id="325"/>
      <w:r w:rsidRPr="00D170A5">
        <w:tab/>
        <w:t>Overall survival rates of MTA, RFA and radiotherapy in</w:t>
      </w:r>
      <w:r w:rsidR="003A4342" w:rsidRPr="00D170A5">
        <w:t xml:space="preserve"> patients with inoperable early stage NSCLC</w:t>
      </w:r>
      <w:r w:rsidR="00517A4F" w:rsidRPr="00D170A5">
        <w:t>. Both interventions in the comparative radiotherapy studies are presented.</w:t>
      </w:r>
      <w:bookmarkEnd w:id="326"/>
    </w:p>
    <w:p w14:paraId="2D235147" w14:textId="1416CCDA" w:rsidR="006014F2" w:rsidRPr="006014F2" w:rsidRDefault="00241E56" w:rsidP="007C7D1A">
      <w:pPr>
        <w:pStyle w:val="Tablenotes0"/>
      </w:pPr>
      <w:r>
        <w:t xml:space="preserve">&lt; </w:t>
      </w:r>
      <w:r w:rsidR="0095111D" w:rsidRPr="006014F2">
        <w:t>C = chemotherapy</w:t>
      </w:r>
      <w:r w:rsidR="00F829C6">
        <w:t>;</w:t>
      </w:r>
      <w:r w:rsidR="00F829C6" w:rsidRPr="0095111D">
        <w:t xml:space="preserve"> </w:t>
      </w:r>
      <w:r w:rsidR="0095111D" w:rsidRPr="006014F2">
        <w:t>NT = no therapy</w:t>
      </w:r>
      <w:r w:rsidR="00F829C6">
        <w:t>;</w:t>
      </w:r>
      <w:r w:rsidR="00F829C6" w:rsidRPr="006014F2">
        <w:t xml:space="preserve"> </w:t>
      </w:r>
      <w:r w:rsidR="00D93AF7" w:rsidRPr="006014F2">
        <w:t>RT = conventional radiotherapy</w:t>
      </w:r>
      <w:r w:rsidR="00F829C6">
        <w:t>;</w:t>
      </w:r>
      <w:r w:rsidR="00F829C6" w:rsidRPr="006014F2">
        <w:t xml:space="preserve"> </w:t>
      </w:r>
      <w:r w:rsidR="0095111D">
        <w:t>SBRT = stereotactic body radiotherapy.</w:t>
      </w:r>
      <w:r w:rsidR="00124B67">
        <w:t xml:space="preserve"> </w:t>
      </w:r>
      <w:r w:rsidR="006014F2" w:rsidRPr="006014F2">
        <w:t xml:space="preserve">* </w:t>
      </w:r>
      <w:r w:rsidR="00DC2D86">
        <w:t xml:space="preserve">= </w:t>
      </w:r>
      <w:r w:rsidR="006014F2" w:rsidRPr="006014F2">
        <w:t>SBRT</w:t>
      </w:r>
      <w:r>
        <w:t xml:space="preserve"> &gt;</w:t>
      </w:r>
    </w:p>
    <w:p w14:paraId="5D119095" w14:textId="69444F89" w:rsidR="00E00830" w:rsidRDefault="00555EB1" w:rsidP="003F6C66">
      <w:pPr>
        <w:pStyle w:val="Heading3"/>
      </w:pPr>
      <w:bookmarkStart w:id="327" w:name="_Toc460396063"/>
      <w:r w:rsidRPr="00555EB1">
        <w:t>M</w:t>
      </w:r>
      <w:r w:rsidR="009270B7">
        <w:t>edian time to local progression</w:t>
      </w:r>
      <w:bookmarkEnd w:id="327"/>
    </w:p>
    <w:p w14:paraId="05E479C7" w14:textId="77777777" w:rsidR="00204E27" w:rsidRPr="006B24F8" w:rsidRDefault="00064CFB" w:rsidP="007A7F5D">
      <w:r>
        <w:t>Of the included MTA studies, o</w:t>
      </w:r>
      <w:r w:rsidRPr="009270B7">
        <w:t xml:space="preserve">nly Han et al (2015) and Yang et al (2014) reported </w:t>
      </w:r>
      <w:r>
        <w:t>median time to local progression</w:t>
      </w:r>
      <w:r w:rsidR="0041197B">
        <w:t xml:space="preserve"> (</w:t>
      </w:r>
      <w:r w:rsidR="0041197B">
        <w:fldChar w:fldCharType="begin"/>
      </w:r>
      <w:r w:rsidR="0041197B">
        <w:instrText xml:space="preserve"> REF _Ref458424425 \h </w:instrText>
      </w:r>
      <w:r w:rsidR="0041197B">
        <w:fldChar w:fldCharType="separate"/>
      </w:r>
      <w:r w:rsidR="00D170A5">
        <w:t xml:space="preserve">Table </w:t>
      </w:r>
      <w:r w:rsidR="00D170A5">
        <w:rPr>
          <w:noProof/>
        </w:rPr>
        <w:t>52</w:t>
      </w:r>
      <w:r w:rsidR="0041197B">
        <w:fldChar w:fldCharType="end"/>
      </w:r>
      <w:r w:rsidR="0041197B">
        <w:t>)</w:t>
      </w:r>
      <w:r>
        <w:t xml:space="preserve">. However, it should be noted that </w:t>
      </w:r>
      <w:r w:rsidR="00615A79">
        <w:t>the</w:t>
      </w:r>
      <w:r>
        <w:t xml:space="preserve"> </w:t>
      </w:r>
      <w:r w:rsidR="00FF4DCF">
        <w:t xml:space="preserve">studies defined </w:t>
      </w:r>
      <w:r w:rsidR="00C807BA">
        <w:t>local progression</w:t>
      </w:r>
      <w:r w:rsidR="00FF4DCF">
        <w:t xml:space="preserve"> differently</w:t>
      </w:r>
      <w:r>
        <w:t>. Yang et al (2014)</w:t>
      </w:r>
      <w:r w:rsidR="009B25A7">
        <w:t xml:space="preserve"> did not include</w:t>
      </w:r>
      <w:r>
        <w:t xml:space="preserve"> deaths in the median time to local progression</w:t>
      </w:r>
      <w:r w:rsidR="009B25A7">
        <w:t xml:space="preserve">, </w:t>
      </w:r>
      <w:r w:rsidR="00C7401B">
        <w:t xml:space="preserve">as </w:t>
      </w:r>
      <w:r w:rsidR="009B25A7">
        <w:t xml:space="preserve">the </w:t>
      </w:r>
      <w:r w:rsidR="00C7401B">
        <w:t xml:space="preserve">median </w:t>
      </w:r>
      <w:r w:rsidR="009B25A7">
        <w:t>overall survival time was shorter than the median time to local progression.</w:t>
      </w:r>
      <w:r>
        <w:t xml:space="preserve"> Han et al (2015) </w:t>
      </w:r>
      <w:r w:rsidRPr="006B24F8">
        <w:t>include</w:t>
      </w:r>
      <w:r w:rsidR="009B25A7" w:rsidRPr="006B24F8">
        <w:t>d</w:t>
      </w:r>
      <w:r w:rsidRPr="006B24F8">
        <w:t xml:space="preserve"> death or progression in this measure</w:t>
      </w:r>
      <w:r w:rsidR="00615A79" w:rsidRPr="006B24F8">
        <w:t xml:space="preserve">, and as </w:t>
      </w:r>
      <w:r w:rsidR="00EF57AD" w:rsidRPr="006B24F8">
        <w:t>such,</w:t>
      </w:r>
      <w:r w:rsidRPr="006B24F8">
        <w:t xml:space="preserve"> </w:t>
      </w:r>
      <w:r w:rsidR="007B45CD" w:rsidRPr="006B24F8">
        <w:t>the outcomes are not comparable</w:t>
      </w:r>
      <w:r w:rsidR="003E65F7" w:rsidRPr="006B24F8">
        <w:t>.</w:t>
      </w:r>
    </w:p>
    <w:p w14:paraId="29206C02" w14:textId="77777777" w:rsidR="007A7F5D" w:rsidRPr="006B24F8" w:rsidRDefault="00204E27" w:rsidP="007A7F5D">
      <w:r w:rsidRPr="006B24F8">
        <w:t>T</w:t>
      </w:r>
      <w:r w:rsidR="007A7F5D" w:rsidRPr="006B24F8">
        <w:t>ime to local progression was reported in four of the included RFA studies in population one (</w:t>
      </w:r>
      <w:r w:rsidR="00DE7C40" w:rsidRPr="006B24F8">
        <w:fldChar w:fldCharType="begin"/>
      </w:r>
      <w:r w:rsidR="00DE7C40" w:rsidRPr="006B24F8">
        <w:instrText xml:space="preserve"> REF _Ref458424425 \h </w:instrText>
      </w:r>
      <w:r w:rsidR="006F13D3" w:rsidRPr="006B24F8">
        <w:instrText xml:space="preserve"> \* MERGEFORMAT </w:instrText>
      </w:r>
      <w:r w:rsidR="00DE7C40" w:rsidRPr="006B24F8">
        <w:fldChar w:fldCharType="separate"/>
      </w:r>
      <w:r w:rsidR="00D170A5">
        <w:t xml:space="preserve">Table </w:t>
      </w:r>
      <w:r w:rsidR="00D170A5">
        <w:rPr>
          <w:noProof/>
        </w:rPr>
        <w:t>52</w:t>
      </w:r>
      <w:r w:rsidR="00DE7C40" w:rsidRPr="006B24F8">
        <w:fldChar w:fldCharType="end"/>
      </w:r>
      <w:r w:rsidR="00DE7C40" w:rsidRPr="006B24F8">
        <w:t xml:space="preserve">). </w:t>
      </w:r>
      <w:r w:rsidR="007A7F5D" w:rsidRPr="006B24F8">
        <w:t xml:space="preserve">Time to progression was defined and reported variably, and as </w:t>
      </w:r>
      <w:r w:rsidR="00BB5E00" w:rsidRPr="006B24F8">
        <w:t>such,</w:t>
      </w:r>
      <w:r w:rsidR="007A7F5D" w:rsidRPr="006B24F8">
        <w:t xml:space="preserve"> it was not appropriate to provide po</w:t>
      </w:r>
      <w:r w:rsidR="0082691A" w:rsidRPr="006B24F8">
        <w:t>oled estimates across studies.</w:t>
      </w:r>
      <w:r w:rsidR="00431126">
        <w:t xml:space="preserve"> In the only comparative trial, patients treated with RFA </w:t>
      </w:r>
      <w:r w:rsidR="00312063">
        <w:t>had a longer time to local progression compared to radiotherapy, but the significance was not tested.</w:t>
      </w:r>
    </w:p>
    <w:p w14:paraId="5BDC62B7" w14:textId="69E16FBB" w:rsidR="009F3DCD" w:rsidRDefault="00A565CF" w:rsidP="007A7F5D">
      <w:r w:rsidRPr="00A565CF">
        <w:lastRenderedPageBreak/>
        <w:t>T</w:t>
      </w:r>
      <w:r w:rsidR="009F3DCD" w:rsidRPr="00A565CF">
        <w:t>he included radiotherapy studies for population one</w:t>
      </w:r>
      <w:r w:rsidRPr="00A565CF">
        <w:t xml:space="preserve"> did not report time to local progression </w:t>
      </w:r>
      <w:r w:rsidR="00204E27" w:rsidRPr="00A565CF">
        <w:fldChar w:fldCharType="begin">
          <w:fldData xml:space="preserve">PEVuZE5vdGU+PENpdGU+PEF1dGhvcj5Lb3NoeTwvQXV0aG9yPjxZZWFyPjIwMTU8L1llYXI+PFJl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</w:fldData>
        </w:fldChar>
      </w:r>
      <w:r w:rsidR="00194054">
        <w:instrText xml:space="preserve"> ADDIN EN.CITE </w:instrText>
      </w:r>
      <w:r w:rsidR="00194054">
        <w:fldChar w:fldCharType="begin">
          <w:fldData xml:space="preserve">PEVuZE5vdGU+PENpdGU+PEF1dGhvcj5Lb3NoeTwvQXV0aG9yPjxZZWFyPjIwMTU8L1llYXI+PFJl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</w:fldData>
        </w:fldChar>
      </w:r>
      <w:r w:rsidR="00194054">
        <w:instrText xml:space="preserve"> ADDIN EN.CITE.DATA </w:instrText>
      </w:r>
      <w:r w:rsidR="00194054">
        <w:fldChar w:fldCharType="end"/>
      </w:r>
      <w:r w:rsidR="00204E27" w:rsidRPr="00A565CF">
        <w:fldChar w:fldCharType="separate"/>
      </w:r>
      <w:r w:rsidR="00204E27" w:rsidRPr="00A565CF">
        <w:rPr>
          <w:noProof/>
        </w:rPr>
        <w:t>(</w:t>
      </w:r>
      <w:hyperlink w:anchor="_ENREF_82" w:tooltip="Koshy, 2015 #137" w:history="1">
        <w:r w:rsidR="00320458" w:rsidRPr="00A565CF">
          <w:rPr>
            <w:noProof/>
          </w:rPr>
          <w:t>Koshy et al 2015</w:t>
        </w:r>
      </w:hyperlink>
      <w:r w:rsidR="00204E27" w:rsidRPr="00A565CF">
        <w:rPr>
          <w:noProof/>
        </w:rPr>
        <w:t xml:space="preserve">; </w:t>
      </w:r>
      <w:hyperlink w:anchor="_ENREF_120" w:tooltip="Price, 2012 #139" w:history="1">
        <w:r w:rsidR="00320458" w:rsidRPr="00A565CF">
          <w:rPr>
            <w:noProof/>
          </w:rPr>
          <w:t>Price et al 2012</w:t>
        </w:r>
      </w:hyperlink>
      <w:r w:rsidR="00204E27" w:rsidRPr="00A565CF">
        <w:rPr>
          <w:noProof/>
        </w:rPr>
        <w:t xml:space="preserve">; </w:t>
      </w:r>
      <w:hyperlink w:anchor="_ENREF_163" w:tooltip="Videtic, 2015 #140" w:history="1">
        <w:r w:rsidR="00320458" w:rsidRPr="00A565CF">
          <w:rPr>
            <w:noProof/>
          </w:rPr>
          <w:t>Videtic et al 2015</w:t>
        </w:r>
      </w:hyperlink>
      <w:r w:rsidR="00204E27" w:rsidRPr="00A565CF">
        <w:rPr>
          <w:noProof/>
        </w:rPr>
        <w:t>)</w:t>
      </w:r>
      <w:r w:rsidR="00204E27" w:rsidRPr="00A565CF">
        <w:fldChar w:fldCharType="end"/>
      </w:r>
      <w:r w:rsidR="00204E27" w:rsidRPr="00A565CF">
        <w:t>.</w:t>
      </w:r>
    </w:p>
    <w:p w14:paraId="30C3E617" w14:textId="77777777" w:rsidR="00555EB1" w:rsidRDefault="00555EB1" w:rsidP="00555EB1">
      <w:pPr>
        <w:pStyle w:val="Caption"/>
        <w:keepNext/>
      </w:pPr>
      <w:bookmarkStart w:id="328" w:name="_Ref458424425"/>
      <w:bookmarkStart w:id="329" w:name="_Toc460514710"/>
      <w:r>
        <w:t xml:space="preserve">Table </w:t>
      </w:r>
      <w:fldSimple w:instr=" SEQ Table \* ARABIC ">
        <w:r w:rsidR="00D170A5">
          <w:rPr>
            <w:noProof/>
          </w:rPr>
          <w:t>52</w:t>
        </w:r>
      </w:fldSimple>
      <w:bookmarkEnd w:id="328"/>
      <w:r>
        <w:tab/>
        <w:t xml:space="preserve">Median time to local progression </w:t>
      </w:r>
      <w:r w:rsidR="003A4342">
        <w:t>in patients with inoperable early stage NSCLC</w:t>
      </w:r>
      <w:bookmarkEnd w:id="3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871"/>
        <w:gridCol w:w="1275"/>
        <w:gridCol w:w="1844"/>
        <w:gridCol w:w="4092"/>
      </w:tblGrid>
      <w:tr w:rsidR="005B3FB2" w:rsidRPr="00183E4D" w14:paraId="6BECF8B6" w14:textId="77777777" w:rsidTr="001C066B">
        <w:tc>
          <w:tcPr>
            <w:tcW w:w="1030" w:type="pct"/>
            <w:shd w:val="clear" w:color="auto" w:fill="D9D9D9" w:themeFill="background1" w:themeFillShade="D9"/>
          </w:tcPr>
          <w:p w14:paraId="665ED180" w14:textId="77777777" w:rsidR="005B3FB2" w:rsidRPr="00C8721D" w:rsidRDefault="00F22767" w:rsidP="001C066B">
            <w:pPr>
              <w:pStyle w:val="Tabletext1"/>
              <w:rPr>
                <w:b/>
                <w:snapToGrid w:val="0"/>
                <w:lang w:eastAsia="en-US"/>
              </w:rPr>
            </w:pPr>
            <w:r w:rsidRPr="00C8721D">
              <w:rPr>
                <w:b/>
                <w:snapToGrid w:val="0"/>
                <w:lang w:eastAsia="en-US"/>
              </w:rPr>
              <w:t>Trial/Study</w:t>
            </w:r>
          </w:p>
        </w:tc>
        <w:tc>
          <w:tcPr>
            <w:tcW w:w="702" w:type="pct"/>
            <w:tcBorders>
              <w:bottom w:val="single" w:sz="4" w:space="0" w:color="auto"/>
            </w:tcBorders>
            <w:shd w:val="clear" w:color="auto" w:fill="D9D9D9" w:themeFill="background1" w:themeFillShade="D9"/>
          </w:tcPr>
          <w:p w14:paraId="5E9810D6" w14:textId="77777777" w:rsidR="005B3FB2" w:rsidRPr="00C8721D" w:rsidRDefault="005B3FB2" w:rsidP="001C066B">
            <w:pPr>
              <w:pStyle w:val="Tabletext1"/>
              <w:rPr>
                <w:b/>
                <w:snapToGrid w:val="0"/>
                <w:lang w:eastAsia="en-US"/>
              </w:rPr>
            </w:pPr>
            <w:r w:rsidRPr="00C8721D">
              <w:rPr>
                <w:b/>
                <w:snapToGrid w:val="0"/>
                <w:lang w:eastAsia="en-US"/>
              </w:rPr>
              <w:t>Intervention</w:t>
            </w:r>
          </w:p>
        </w:tc>
        <w:tc>
          <w:tcPr>
            <w:tcW w:w="1015" w:type="pct"/>
            <w:tcBorders>
              <w:bottom w:val="single" w:sz="4" w:space="0" w:color="auto"/>
            </w:tcBorders>
            <w:shd w:val="clear" w:color="auto" w:fill="D9D9D9" w:themeFill="background1" w:themeFillShade="D9"/>
          </w:tcPr>
          <w:p w14:paraId="0ACACCD1" w14:textId="77777777" w:rsidR="005B3FB2" w:rsidRPr="00C8721D" w:rsidRDefault="005B3FB2" w:rsidP="001C066B">
            <w:pPr>
              <w:pStyle w:val="Tabletext1"/>
              <w:rPr>
                <w:b/>
                <w:snapToGrid w:val="0"/>
                <w:lang w:eastAsia="en-US"/>
              </w:rPr>
            </w:pPr>
            <w:r w:rsidRPr="00C8721D">
              <w:rPr>
                <w:b/>
                <w:snapToGrid w:val="0"/>
                <w:lang w:eastAsia="en-US"/>
              </w:rPr>
              <w:t>N (lesions)</w:t>
            </w:r>
          </w:p>
        </w:tc>
        <w:tc>
          <w:tcPr>
            <w:tcW w:w="2253" w:type="pct"/>
            <w:tcBorders>
              <w:bottom w:val="single" w:sz="4" w:space="0" w:color="auto"/>
            </w:tcBorders>
            <w:shd w:val="clear" w:color="auto" w:fill="D9D9D9" w:themeFill="background1" w:themeFillShade="D9"/>
          </w:tcPr>
          <w:p w14:paraId="2120370F" w14:textId="77777777" w:rsidR="005B3FB2" w:rsidRPr="00C8721D" w:rsidRDefault="005B3FB2" w:rsidP="001C066B">
            <w:pPr>
              <w:pStyle w:val="Tabletext1"/>
              <w:rPr>
                <w:b/>
                <w:snapToGrid w:val="0"/>
                <w:lang w:eastAsia="en-US"/>
              </w:rPr>
            </w:pPr>
            <w:r w:rsidRPr="00C8721D">
              <w:rPr>
                <w:b/>
                <w:snapToGrid w:val="0"/>
                <w:lang w:eastAsia="en-US"/>
              </w:rPr>
              <w:t>Median time to local progression</w:t>
            </w:r>
            <w:r w:rsidR="00F22767" w:rsidRPr="00C8721D">
              <w:rPr>
                <w:b/>
                <w:snapToGrid w:val="0"/>
                <w:lang w:eastAsia="en-US"/>
              </w:rPr>
              <w:t xml:space="preserve"> </w:t>
            </w:r>
            <w:r w:rsidRPr="00C8721D">
              <w:rPr>
                <w:b/>
                <w:snapToGrid w:val="0"/>
                <w:lang w:eastAsia="en-US"/>
              </w:rPr>
              <w:t>(95%CI)</w:t>
            </w:r>
          </w:p>
        </w:tc>
      </w:tr>
      <w:tr w:rsidR="005B3FB2" w:rsidRPr="00183E4D" w14:paraId="58E8F23D" w14:textId="77777777" w:rsidTr="001C066B">
        <w:tc>
          <w:tcPr>
            <w:tcW w:w="1030" w:type="pct"/>
            <w:tcBorders>
              <w:right w:val="nil"/>
            </w:tcBorders>
            <w:shd w:val="clear" w:color="auto" w:fill="D9D9D9" w:themeFill="background1" w:themeFillShade="D9"/>
          </w:tcPr>
          <w:p w14:paraId="7D0E5C25" w14:textId="77777777" w:rsidR="005B3FB2" w:rsidRPr="004A3D5D" w:rsidRDefault="005B3FB2" w:rsidP="001C066B">
            <w:pPr>
              <w:pStyle w:val="Tabletext1"/>
              <w:rPr>
                <w:b/>
                <w:snapToGrid w:val="0"/>
              </w:rPr>
            </w:pPr>
            <w:r w:rsidRPr="004A3D5D">
              <w:rPr>
                <w:b/>
                <w:snapToGrid w:val="0"/>
              </w:rPr>
              <w:t>MTA</w:t>
            </w:r>
          </w:p>
        </w:tc>
        <w:tc>
          <w:tcPr>
            <w:tcW w:w="702" w:type="pct"/>
            <w:tcBorders>
              <w:left w:val="nil"/>
              <w:right w:val="nil"/>
            </w:tcBorders>
            <w:shd w:val="clear" w:color="auto" w:fill="D9D9D9" w:themeFill="background1" w:themeFillShade="D9"/>
          </w:tcPr>
          <w:p w14:paraId="2AF1E55D" w14:textId="77777777" w:rsidR="005B3FB2" w:rsidRDefault="005B3FB2" w:rsidP="001C066B">
            <w:pPr>
              <w:pStyle w:val="Tabletext1"/>
              <w:rPr>
                <w:snapToGrid w:val="0"/>
              </w:rPr>
            </w:pPr>
          </w:p>
        </w:tc>
        <w:tc>
          <w:tcPr>
            <w:tcW w:w="1015" w:type="pct"/>
            <w:tcBorders>
              <w:left w:val="nil"/>
              <w:right w:val="nil"/>
            </w:tcBorders>
            <w:shd w:val="clear" w:color="auto" w:fill="D9D9D9" w:themeFill="background1" w:themeFillShade="D9"/>
          </w:tcPr>
          <w:p w14:paraId="1CF8E63F" w14:textId="77777777" w:rsidR="005B3FB2" w:rsidRDefault="005B3FB2" w:rsidP="001C066B">
            <w:pPr>
              <w:pStyle w:val="Tabletext1"/>
              <w:rPr>
                <w:snapToGrid w:val="0"/>
              </w:rPr>
            </w:pPr>
          </w:p>
        </w:tc>
        <w:tc>
          <w:tcPr>
            <w:tcW w:w="2253" w:type="pct"/>
            <w:tcBorders>
              <w:left w:val="nil"/>
            </w:tcBorders>
            <w:shd w:val="clear" w:color="auto" w:fill="D9D9D9" w:themeFill="background1" w:themeFillShade="D9"/>
          </w:tcPr>
          <w:p w14:paraId="13A5C0FA" w14:textId="77777777" w:rsidR="005B3FB2" w:rsidRDefault="005B3FB2" w:rsidP="001C066B">
            <w:pPr>
              <w:pStyle w:val="Tabletext1"/>
            </w:pPr>
          </w:p>
        </w:tc>
      </w:tr>
      <w:tr w:rsidR="005B3FB2" w:rsidRPr="00183E4D" w14:paraId="2D52CB57" w14:textId="77777777" w:rsidTr="001C066B">
        <w:tc>
          <w:tcPr>
            <w:tcW w:w="1030" w:type="pct"/>
            <w:shd w:val="clear" w:color="auto" w:fill="auto"/>
          </w:tcPr>
          <w:p w14:paraId="7BA1E992" w14:textId="77777777" w:rsidR="005B3FB2" w:rsidRPr="008A6F37" w:rsidRDefault="005B3FB2" w:rsidP="001C066B">
            <w:pPr>
              <w:pStyle w:val="Tabletext1"/>
              <w:rPr>
                <w:snapToGrid w:val="0"/>
              </w:rPr>
            </w:pPr>
            <w:r>
              <w:rPr>
                <w:snapToGrid w:val="0"/>
              </w:rPr>
              <w:t>Han et al (2015)</w:t>
            </w:r>
          </w:p>
        </w:tc>
        <w:tc>
          <w:tcPr>
            <w:tcW w:w="702" w:type="pct"/>
            <w:tcBorders>
              <w:bottom w:val="single" w:sz="4" w:space="0" w:color="auto"/>
            </w:tcBorders>
          </w:tcPr>
          <w:p w14:paraId="0D8A76F6" w14:textId="77777777" w:rsidR="005B3FB2" w:rsidRPr="00DF2CC2" w:rsidRDefault="005B3FB2" w:rsidP="001C066B">
            <w:pPr>
              <w:pStyle w:val="Tabletext1"/>
              <w:jc w:val="center"/>
            </w:pPr>
            <w:r w:rsidRPr="00DF2CC2">
              <w:t>RFA</w:t>
            </w:r>
          </w:p>
        </w:tc>
        <w:tc>
          <w:tcPr>
            <w:tcW w:w="1015" w:type="pct"/>
            <w:shd w:val="clear" w:color="auto" w:fill="auto"/>
          </w:tcPr>
          <w:p w14:paraId="140264A8" w14:textId="77777777" w:rsidR="005B3FB2" w:rsidRPr="00DF2CC2" w:rsidRDefault="005B3FB2" w:rsidP="001C066B">
            <w:pPr>
              <w:pStyle w:val="Tabletext1"/>
              <w:jc w:val="center"/>
              <w:rPr>
                <w:snapToGrid w:val="0"/>
              </w:rPr>
            </w:pPr>
            <w:r w:rsidRPr="00DF2CC2">
              <w:rPr>
                <w:snapToGrid w:val="0"/>
              </w:rPr>
              <w:t>28 (28)</w:t>
            </w:r>
          </w:p>
        </w:tc>
        <w:tc>
          <w:tcPr>
            <w:tcW w:w="2253" w:type="pct"/>
            <w:shd w:val="clear" w:color="auto" w:fill="auto"/>
          </w:tcPr>
          <w:p w14:paraId="3ADC37BB" w14:textId="39CF1F1D" w:rsidR="005B3FB2" w:rsidRPr="009E280F" w:rsidRDefault="005B3FB2" w:rsidP="001C066B">
            <w:pPr>
              <w:pStyle w:val="Tabletext1"/>
              <w:jc w:val="center"/>
              <w:rPr>
                <w:i/>
              </w:rPr>
            </w:pPr>
            <w:r>
              <w:t>28.0 months (</w:t>
            </w:r>
            <w:r w:rsidRPr="00555EB1">
              <w:t>17.7</w:t>
            </w:r>
            <w:r w:rsidR="00D35E9C">
              <w:t>–</w:t>
            </w:r>
            <w:r w:rsidRPr="00555EB1">
              <w:t>38.3)</w:t>
            </w:r>
          </w:p>
        </w:tc>
      </w:tr>
      <w:tr w:rsidR="005B3FB2" w:rsidRPr="00183E4D" w14:paraId="6209CF52" w14:textId="77777777" w:rsidTr="001C066B">
        <w:trPr>
          <w:trHeight w:val="321"/>
        </w:trPr>
        <w:tc>
          <w:tcPr>
            <w:tcW w:w="1030" w:type="pct"/>
            <w:shd w:val="clear" w:color="auto" w:fill="auto"/>
          </w:tcPr>
          <w:p w14:paraId="5C4F8A3E" w14:textId="77777777" w:rsidR="005B3FB2" w:rsidRPr="008A6F37" w:rsidRDefault="005B3FB2" w:rsidP="001C066B">
            <w:pPr>
              <w:pStyle w:val="Tabletext1"/>
              <w:rPr>
                <w:snapToGrid w:val="0"/>
              </w:rPr>
            </w:pPr>
            <w:r>
              <w:rPr>
                <w:snapToGrid w:val="0"/>
              </w:rPr>
              <w:t>Liu &amp; Steinke (2015)</w:t>
            </w:r>
          </w:p>
        </w:tc>
        <w:tc>
          <w:tcPr>
            <w:tcW w:w="702" w:type="pct"/>
          </w:tcPr>
          <w:p w14:paraId="72774ADB" w14:textId="77777777" w:rsidR="005B3FB2" w:rsidRPr="00DF2CC2" w:rsidRDefault="005B3FB2" w:rsidP="001C066B">
            <w:pPr>
              <w:pStyle w:val="Tabletext1"/>
              <w:jc w:val="center"/>
            </w:pPr>
            <w:r w:rsidRPr="00DF2CC2">
              <w:t>RFA</w:t>
            </w:r>
          </w:p>
        </w:tc>
        <w:tc>
          <w:tcPr>
            <w:tcW w:w="1015" w:type="pct"/>
            <w:shd w:val="clear" w:color="auto" w:fill="auto"/>
          </w:tcPr>
          <w:p w14:paraId="657FA7B2" w14:textId="77777777" w:rsidR="005B3FB2" w:rsidRPr="00DF2CC2" w:rsidRDefault="005B3FB2" w:rsidP="001C066B">
            <w:pPr>
              <w:pStyle w:val="Tabletext1"/>
              <w:jc w:val="center"/>
              <w:rPr>
                <w:snapToGrid w:val="0"/>
              </w:rPr>
            </w:pPr>
            <w:r w:rsidRPr="00DF2CC2">
              <w:rPr>
                <w:snapToGrid w:val="0"/>
              </w:rPr>
              <w:t>15 (16)</w:t>
            </w:r>
          </w:p>
        </w:tc>
        <w:tc>
          <w:tcPr>
            <w:tcW w:w="2253" w:type="pct"/>
            <w:shd w:val="clear" w:color="auto" w:fill="auto"/>
          </w:tcPr>
          <w:p w14:paraId="6D51467B" w14:textId="77777777" w:rsidR="005B3FB2" w:rsidRPr="00723C9B" w:rsidRDefault="005B3FB2" w:rsidP="001C066B">
            <w:pPr>
              <w:pStyle w:val="Tabletext1"/>
              <w:jc w:val="center"/>
            </w:pPr>
            <w:r>
              <w:t>NR</w:t>
            </w:r>
          </w:p>
        </w:tc>
      </w:tr>
      <w:tr w:rsidR="005B3FB2" w:rsidRPr="00183E4D" w14:paraId="00F287D5" w14:textId="77777777" w:rsidTr="001C066B">
        <w:tc>
          <w:tcPr>
            <w:tcW w:w="1030" w:type="pct"/>
            <w:shd w:val="clear" w:color="auto" w:fill="auto"/>
          </w:tcPr>
          <w:p w14:paraId="2D6379B2" w14:textId="77777777" w:rsidR="005B3FB2" w:rsidRPr="008A6F37" w:rsidRDefault="005B3FB2" w:rsidP="001C066B">
            <w:pPr>
              <w:pStyle w:val="Tabletext1"/>
              <w:rPr>
                <w:snapToGrid w:val="0"/>
              </w:rPr>
            </w:pPr>
            <w:r>
              <w:rPr>
                <w:snapToGrid w:val="0"/>
              </w:rPr>
              <w:t>Yang et al (2014)</w:t>
            </w:r>
          </w:p>
        </w:tc>
        <w:tc>
          <w:tcPr>
            <w:tcW w:w="702" w:type="pct"/>
          </w:tcPr>
          <w:p w14:paraId="5C4073A2" w14:textId="77777777" w:rsidR="005B3FB2" w:rsidRPr="00DF2CC2" w:rsidRDefault="005B3FB2" w:rsidP="001C066B">
            <w:pPr>
              <w:pStyle w:val="Tabletext1"/>
              <w:jc w:val="center"/>
            </w:pPr>
            <w:r w:rsidRPr="00DF2CC2">
              <w:t>RFA</w:t>
            </w:r>
          </w:p>
        </w:tc>
        <w:tc>
          <w:tcPr>
            <w:tcW w:w="1015" w:type="pct"/>
            <w:shd w:val="clear" w:color="auto" w:fill="auto"/>
          </w:tcPr>
          <w:p w14:paraId="2FA1031E" w14:textId="77777777" w:rsidR="005B3FB2" w:rsidRPr="00DF2CC2" w:rsidRDefault="005B3FB2" w:rsidP="001C066B">
            <w:pPr>
              <w:pStyle w:val="Tabletext1"/>
              <w:jc w:val="center"/>
              <w:rPr>
                <w:snapToGrid w:val="0"/>
              </w:rPr>
            </w:pPr>
            <w:r w:rsidRPr="00DF2CC2">
              <w:rPr>
                <w:snapToGrid w:val="0"/>
              </w:rPr>
              <w:t>47 (47)</w:t>
            </w:r>
          </w:p>
        </w:tc>
        <w:tc>
          <w:tcPr>
            <w:tcW w:w="2253" w:type="pct"/>
            <w:shd w:val="clear" w:color="auto" w:fill="auto"/>
          </w:tcPr>
          <w:p w14:paraId="4F0153A4" w14:textId="693518FB" w:rsidR="005B3FB2" w:rsidRPr="009E280F" w:rsidRDefault="005B3FB2" w:rsidP="001C066B">
            <w:pPr>
              <w:pStyle w:val="Tabletext1"/>
              <w:jc w:val="center"/>
              <w:rPr>
                <w:i/>
              </w:rPr>
            </w:pPr>
            <w:r w:rsidRPr="00555EB1">
              <w:t>45.5 months (28.8</w:t>
            </w:r>
            <w:r w:rsidR="00D35E9C">
              <w:t>–</w:t>
            </w:r>
            <w:r w:rsidRPr="00555EB1">
              <w:t>61.8)</w:t>
            </w:r>
          </w:p>
        </w:tc>
      </w:tr>
      <w:tr w:rsidR="005B3FB2" w:rsidRPr="00183E4D" w14:paraId="09418213" w14:textId="77777777" w:rsidTr="001C066B">
        <w:tc>
          <w:tcPr>
            <w:tcW w:w="1030" w:type="pct"/>
            <w:shd w:val="clear" w:color="auto" w:fill="auto"/>
          </w:tcPr>
          <w:p w14:paraId="7351B444" w14:textId="77777777" w:rsidR="005B3FB2" w:rsidRPr="00183E4D" w:rsidRDefault="005B3FB2" w:rsidP="001C066B">
            <w:pPr>
              <w:pStyle w:val="Tabletext1"/>
              <w:rPr>
                <w:snapToGrid w:val="0"/>
              </w:rPr>
            </w:pPr>
            <w:r>
              <w:rPr>
                <w:snapToGrid w:val="0"/>
              </w:rPr>
              <w:t>Pooled analysis</w:t>
            </w:r>
          </w:p>
        </w:tc>
        <w:tc>
          <w:tcPr>
            <w:tcW w:w="702" w:type="pct"/>
            <w:tcBorders>
              <w:bottom w:val="single" w:sz="4" w:space="0" w:color="auto"/>
            </w:tcBorders>
          </w:tcPr>
          <w:p w14:paraId="207D9642" w14:textId="77777777" w:rsidR="005B3FB2" w:rsidRPr="00DF2CC2" w:rsidRDefault="005B3FB2" w:rsidP="001C066B">
            <w:pPr>
              <w:pStyle w:val="Tabletext1"/>
              <w:jc w:val="center"/>
            </w:pPr>
            <w:r w:rsidRPr="00DF2CC2">
              <w:t>NA</w:t>
            </w:r>
          </w:p>
        </w:tc>
        <w:tc>
          <w:tcPr>
            <w:tcW w:w="1015" w:type="pct"/>
            <w:tcBorders>
              <w:bottom w:val="single" w:sz="4" w:space="0" w:color="auto"/>
            </w:tcBorders>
            <w:shd w:val="clear" w:color="auto" w:fill="auto"/>
          </w:tcPr>
          <w:p w14:paraId="7326BD04" w14:textId="6CB2B1B4" w:rsidR="005B3FB2" w:rsidRPr="00824F32" w:rsidRDefault="00824F32" w:rsidP="00824F32">
            <w:pPr>
              <w:pStyle w:val="Tabletext1"/>
              <w:jc w:val="center"/>
              <w:rPr>
                <w:snapToGrid w:val="0"/>
              </w:rPr>
            </w:pPr>
            <w:r>
              <w:rPr>
                <w:snapToGrid w:val="0"/>
              </w:rPr>
              <w:t xml:space="preserve">75 </w:t>
            </w:r>
            <w:r w:rsidR="005B3FB2" w:rsidRPr="00DF2CC2">
              <w:rPr>
                <w:snapToGrid w:val="0"/>
              </w:rPr>
              <w:t>(75)</w:t>
            </w:r>
          </w:p>
        </w:tc>
        <w:tc>
          <w:tcPr>
            <w:tcW w:w="2253" w:type="pct"/>
            <w:tcBorders>
              <w:left w:val="nil"/>
              <w:bottom w:val="single" w:sz="4" w:space="0" w:color="auto"/>
            </w:tcBorders>
            <w:shd w:val="clear" w:color="auto" w:fill="auto"/>
          </w:tcPr>
          <w:p w14:paraId="302E24D6" w14:textId="77777777" w:rsidR="005B3FB2" w:rsidRDefault="00637678" w:rsidP="001C066B">
            <w:pPr>
              <w:pStyle w:val="Tabletext1"/>
              <w:jc w:val="center"/>
              <w:rPr>
                <w:snapToGrid w:val="0"/>
              </w:rPr>
            </w:pPr>
            <w:r>
              <w:rPr>
                <w:snapToGrid w:val="0"/>
              </w:rPr>
              <w:t>Pooling not possible</w:t>
            </w:r>
          </w:p>
          <w:p w14:paraId="7547EC3F" w14:textId="77777777" w:rsidR="005B3FB2" w:rsidRDefault="008108C0" w:rsidP="001C066B">
            <w:pPr>
              <w:pStyle w:val="Tabletext1"/>
              <w:jc w:val="center"/>
              <w:rPr>
                <w:snapToGrid w:val="0"/>
              </w:rPr>
            </w:pPr>
            <w:r>
              <w:rPr>
                <w:snapToGrid w:val="0"/>
              </w:rPr>
              <w:t xml:space="preserve">Quality </w:t>
            </w:r>
            <w:r w:rsidR="00F81CEC">
              <w:rPr>
                <w:snapToGrid w:val="0"/>
              </w:rPr>
              <w:t>of the evidence</w:t>
            </w:r>
          </w:p>
          <w:p w14:paraId="633F2A2A" w14:textId="77777777" w:rsidR="005B3FB2" w:rsidRPr="00F81CEC" w:rsidRDefault="005B3FB2" w:rsidP="001C066B">
            <w:pPr>
              <w:pStyle w:val="Tabletext1"/>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sidR="00F81CEC">
              <w:rPr>
                <w:rFonts w:ascii="Cambria Math" w:hAnsi="Cambria Math" w:cs="Cambria Math"/>
                <w:color w:val="C00000"/>
              </w:rPr>
              <w:t xml:space="preserve"> </w:t>
            </w: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r>
      <w:tr w:rsidR="005B3FB2" w:rsidRPr="00183E4D" w14:paraId="326AD978" w14:textId="77777777" w:rsidTr="001C066B">
        <w:tc>
          <w:tcPr>
            <w:tcW w:w="1030" w:type="pct"/>
            <w:tcBorders>
              <w:right w:val="nil"/>
            </w:tcBorders>
            <w:shd w:val="clear" w:color="auto" w:fill="D9D9D9" w:themeFill="background1" w:themeFillShade="D9"/>
          </w:tcPr>
          <w:p w14:paraId="3127CD33" w14:textId="77777777" w:rsidR="005B3FB2" w:rsidRPr="004A3D5D" w:rsidRDefault="005B3FB2" w:rsidP="001C066B">
            <w:pPr>
              <w:pStyle w:val="Tabletext1"/>
              <w:rPr>
                <w:snapToGrid w:val="0"/>
              </w:rPr>
            </w:pPr>
            <w:r w:rsidRPr="004A3D5D">
              <w:rPr>
                <w:snapToGrid w:val="0"/>
              </w:rPr>
              <w:t>RFA</w:t>
            </w:r>
          </w:p>
        </w:tc>
        <w:tc>
          <w:tcPr>
            <w:tcW w:w="702" w:type="pct"/>
            <w:tcBorders>
              <w:left w:val="nil"/>
              <w:right w:val="nil"/>
            </w:tcBorders>
            <w:shd w:val="clear" w:color="auto" w:fill="D9D9D9" w:themeFill="background1" w:themeFillShade="D9"/>
          </w:tcPr>
          <w:p w14:paraId="5EF7DD24" w14:textId="77777777" w:rsidR="005B3FB2" w:rsidRPr="00DF2CC2" w:rsidRDefault="005B3FB2" w:rsidP="001C066B">
            <w:pPr>
              <w:pStyle w:val="Tabletext1"/>
              <w:jc w:val="center"/>
            </w:pPr>
          </w:p>
        </w:tc>
        <w:tc>
          <w:tcPr>
            <w:tcW w:w="1015" w:type="pct"/>
            <w:tcBorders>
              <w:left w:val="nil"/>
              <w:right w:val="nil"/>
            </w:tcBorders>
            <w:shd w:val="clear" w:color="auto" w:fill="D9D9D9" w:themeFill="background1" w:themeFillShade="D9"/>
          </w:tcPr>
          <w:p w14:paraId="65EB9015" w14:textId="77777777" w:rsidR="005B3FB2" w:rsidRPr="00DF2CC2" w:rsidRDefault="005B3FB2" w:rsidP="001C066B">
            <w:pPr>
              <w:pStyle w:val="Tabletext1"/>
              <w:jc w:val="center"/>
              <w:rPr>
                <w:snapToGrid w:val="0"/>
              </w:rPr>
            </w:pPr>
          </w:p>
        </w:tc>
        <w:tc>
          <w:tcPr>
            <w:tcW w:w="2253" w:type="pct"/>
            <w:tcBorders>
              <w:left w:val="nil"/>
            </w:tcBorders>
            <w:shd w:val="clear" w:color="auto" w:fill="D9D9D9" w:themeFill="background1" w:themeFillShade="D9"/>
          </w:tcPr>
          <w:p w14:paraId="190365F3" w14:textId="77777777" w:rsidR="005B3FB2" w:rsidRDefault="005B3FB2" w:rsidP="001C066B">
            <w:pPr>
              <w:pStyle w:val="Tabletext1"/>
              <w:jc w:val="center"/>
              <w:rPr>
                <w:snapToGrid w:val="0"/>
              </w:rPr>
            </w:pPr>
          </w:p>
        </w:tc>
      </w:tr>
      <w:tr w:rsidR="005B3FB2" w:rsidRPr="00183E4D" w14:paraId="7360794C" w14:textId="77777777" w:rsidTr="001C066B">
        <w:tc>
          <w:tcPr>
            <w:tcW w:w="1030" w:type="pct"/>
            <w:shd w:val="clear" w:color="auto" w:fill="auto"/>
          </w:tcPr>
          <w:p w14:paraId="4825A14B" w14:textId="77777777" w:rsidR="005B3FB2" w:rsidRPr="008A6F37" w:rsidRDefault="005B3FB2" w:rsidP="001C066B">
            <w:pPr>
              <w:pStyle w:val="Tabletext1"/>
              <w:rPr>
                <w:snapToGrid w:val="0"/>
              </w:rPr>
            </w:pPr>
            <w:r>
              <w:rPr>
                <w:snapToGrid w:val="0"/>
              </w:rPr>
              <w:t>Ambrogi et al (2011)</w:t>
            </w:r>
          </w:p>
        </w:tc>
        <w:tc>
          <w:tcPr>
            <w:tcW w:w="702" w:type="pct"/>
          </w:tcPr>
          <w:p w14:paraId="66A985C6" w14:textId="77777777" w:rsidR="005B3FB2" w:rsidRPr="00DF2CC2" w:rsidRDefault="003E7164" w:rsidP="001C066B">
            <w:pPr>
              <w:pStyle w:val="Tabletext1"/>
              <w:jc w:val="center"/>
            </w:pPr>
            <w:r w:rsidRPr="00DF2CC2">
              <w:t>RFA</w:t>
            </w:r>
          </w:p>
        </w:tc>
        <w:tc>
          <w:tcPr>
            <w:tcW w:w="1015" w:type="pct"/>
            <w:shd w:val="clear" w:color="auto" w:fill="auto"/>
          </w:tcPr>
          <w:p w14:paraId="107DDA5E" w14:textId="77777777" w:rsidR="005B3FB2" w:rsidRPr="00DF2CC2" w:rsidRDefault="005B3FB2" w:rsidP="001C066B">
            <w:pPr>
              <w:pStyle w:val="Tabletext1"/>
              <w:jc w:val="center"/>
              <w:rPr>
                <w:snapToGrid w:val="0"/>
              </w:rPr>
            </w:pPr>
            <w:r w:rsidRPr="00DF2CC2">
              <w:rPr>
                <w:snapToGrid w:val="0"/>
              </w:rPr>
              <w:t>57 (59)</w:t>
            </w:r>
          </w:p>
        </w:tc>
        <w:tc>
          <w:tcPr>
            <w:tcW w:w="2253" w:type="pct"/>
            <w:tcBorders>
              <w:left w:val="nil"/>
            </w:tcBorders>
            <w:shd w:val="clear" w:color="auto" w:fill="auto"/>
          </w:tcPr>
          <w:p w14:paraId="472F0F08" w14:textId="77777777" w:rsidR="005B3FB2" w:rsidRPr="00882F25" w:rsidRDefault="005B3FB2" w:rsidP="001C066B">
            <w:pPr>
              <w:pStyle w:val="Tabletext1"/>
              <w:jc w:val="center"/>
            </w:pPr>
            <w:r>
              <w:t xml:space="preserve">Median </w:t>
            </w:r>
            <w:r w:rsidRPr="00882F25">
              <w:t>39 months</w:t>
            </w:r>
          </w:p>
        </w:tc>
      </w:tr>
      <w:tr w:rsidR="005B3FB2" w:rsidRPr="00183E4D" w14:paraId="0BFA02E1" w14:textId="77777777" w:rsidTr="001C066B">
        <w:tc>
          <w:tcPr>
            <w:tcW w:w="1030" w:type="pct"/>
            <w:shd w:val="clear" w:color="auto" w:fill="auto"/>
          </w:tcPr>
          <w:p w14:paraId="571A5F2E" w14:textId="77777777" w:rsidR="005B3FB2" w:rsidRPr="008A6F37" w:rsidRDefault="005B3FB2" w:rsidP="001C066B">
            <w:pPr>
              <w:pStyle w:val="Tabletext1"/>
              <w:rPr>
                <w:snapToGrid w:val="0"/>
              </w:rPr>
            </w:pPr>
            <w:r>
              <w:rPr>
                <w:snapToGrid w:val="0"/>
              </w:rPr>
              <w:t>Lanuti et al (2012)</w:t>
            </w:r>
          </w:p>
        </w:tc>
        <w:tc>
          <w:tcPr>
            <w:tcW w:w="702" w:type="pct"/>
          </w:tcPr>
          <w:p w14:paraId="29C24A3E" w14:textId="77777777" w:rsidR="005B3FB2" w:rsidRPr="00DF2CC2" w:rsidRDefault="003E7164" w:rsidP="001C066B">
            <w:pPr>
              <w:pStyle w:val="Tabletext1"/>
              <w:jc w:val="center"/>
            </w:pPr>
            <w:r w:rsidRPr="00DF2CC2">
              <w:t>RFA</w:t>
            </w:r>
          </w:p>
        </w:tc>
        <w:tc>
          <w:tcPr>
            <w:tcW w:w="1015" w:type="pct"/>
            <w:shd w:val="clear" w:color="auto" w:fill="auto"/>
          </w:tcPr>
          <w:p w14:paraId="1DA700E5" w14:textId="77777777" w:rsidR="005B3FB2" w:rsidRPr="00DF2CC2" w:rsidRDefault="005B3FB2" w:rsidP="001C066B">
            <w:pPr>
              <w:pStyle w:val="Tabletext1"/>
              <w:jc w:val="center"/>
              <w:rPr>
                <w:snapToGrid w:val="0"/>
              </w:rPr>
            </w:pPr>
            <w:r w:rsidRPr="00DF2CC2">
              <w:rPr>
                <w:snapToGrid w:val="0"/>
              </w:rPr>
              <w:t>45 (55)</w:t>
            </w:r>
          </w:p>
        </w:tc>
        <w:tc>
          <w:tcPr>
            <w:tcW w:w="2253" w:type="pct"/>
            <w:tcBorders>
              <w:left w:val="nil"/>
            </w:tcBorders>
            <w:shd w:val="clear" w:color="auto" w:fill="auto"/>
          </w:tcPr>
          <w:p w14:paraId="2ADA18E6" w14:textId="31E1AEEB" w:rsidR="005B3FB2" w:rsidRPr="00882F25" w:rsidRDefault="005B3FB2" w:rsidP="001C066B">
            <w:pPr>
              <w:pStyle w:val="Tabletext1"/>
              <w:jc w:val="center"/>
            </w:pPr>
            <w:r>
              <w:t>mean (SD</w:t>
            </w:r>
            <w:r w:rsidRPr="00882F25">
              <w:t xml:space="preserve">): 12 </w:t>
            </w:r>
            <w:r>
              <w:t>(</w:t>
            </w:r>
            <w:r w:rsidRPr="00882F25">
              <w:t>10</w:t>
            </w:r>
            <w:r>
              <w:t>) range:1</w:t>
            </w:r>
            <w:r w:rsidR="00D35E9C">
              <w:t>–</w:t>
            </w:r>
            <w:r>
              <w:t>44</w:t>
            </w:r>
            <w:r w:rsidRPr="00882F25">
              <w:t xml:space="preserve"> months</w:t>
            </w:r>
          </w:p>
        </w:tc>
      </w:tr>
      <w:tr w:rsidR="005B3FB2" w:rsidRPr="00183E4D" w14:paraId="7FA216A5" w14:textId="77777777" w:rsidTr="001C066B">
        <w:tc>
          <w:tcPr>
            <w:tcW w:w="1030" w:type="pct"/>
            <w:shd w:val="clear" w:color="auto" w:fill="auto"/>
          </w:tcPr>
          <w:p w14:paraId="114D249E" w14:textId="77777777" w:rsidR="005B3FB2" w:rsidRPr="008A6F37" w:rsidRDefault="005B3FB2" w:rsidP="001C066B">
            <w:pPr>
              <w:pStyle w:val="Tabletext1"/>
              <w:rPr>
                <w:snapToGrid w:val="0"/>
              </w:rPr>
            </w:pPr>
            <w:r>
              <w:rPr>
                <w:snapToGrid w:val="0"/>
              </w:rPr>
              <w:t>Liu et al (2012)</w:t>
            </w:r>
          </w:p>
        </w:tc>
        <w:tc>
          <w:tcPr>
            <w:tcW w:w="702" w:type="pct"/>
          </w:tcPr>
          <w:p w14:paraId="578281B0" w14:textId="77777777" w:rsidR="005B3FB2" w:rsidRPr="00DF2CC2" w:rsidRDefault="003E7164" w:rsidP="001C066B">
            <w:pPr>
              <w:pStyle w:val="Tabletext1"/>
              <w:jc w:val="center"/>
            </w:pPr>
            <w:r w:rsidRPr="00DF2CC2">
              <w:t>RFA</w:t>
            </w:r>
          </w:p>
        </w:tc>
        <w:tc>
          <w:tcPr>
            <w:tcW w:w="1015" w:type="pct"/>
            <w:shd w:val="clear" w:color="auto" w:fill="auto"/>
          </w:tcPr>
          <w:p w14:paraId="44B610EF" w14:textId="77777777" w:rsidR="005B3FB2" w:rsidRPr="00DF2CC2" w:rsidRDefault="005B3FB2" w:rsidP="001C066B">
            <w:pPr>
              <w:pStyle w:val="Tabletext1"/>
              <w:jc w:val="center"/>
              <w:rPr>
                <w:snapToGrid w:val="0"/>
              </w:rPr>
            </w:pPr>
            <w:r w:rsidRPr="00DF2CC2">
              <w:rPr>
                <w:snapToGrid w:val="0"/>
              </w:rPr>
              <w:t>29 (29)</w:t>
            </w:r>
          </w:p>
        </w:tc>
        <w:tc>
          <w:tcPr>
            <w:tcW w:w="2253" w:type="pct"/>
            <w:tcBorders>
              <w:left w:val="nil"/>
            </w:tcBorders>
            <w:shd w:val="clear" w:color="auto" w:fill="auto"/>
          </w:tcPr>
          <w:p w14:paraId="17B46C0E" w14:textId="367C8284" w:rsidR="005B3FB2" w:rsidRPr="00882F25" w:rsidRDefault="005B3FB2" w:rsidP="001C066B">
            <w:pPr>
              <w:pStyle w:val="Tabletext1"/>
              <w:jc w:val="center"/>
            </w:pPr>
            <w:r>
              <w:t>mean (SD</w:t>
            </w:r>
            <w:r w:rsidRPr="00882F25">
              <w:t>): 25 (11) range: 4</w:t>
            </w:r>
            <w:r w:rsidR="00D35E9C">
              <w:t>–</w:t>
            </w:r>
            <w:r w:rsidRPr="00882F25">
              <w:t>35 months</w:t>
            </w:r>
          </w:p>
        </w:tc>
      </w:tr>
      <w:tr w:rsidR="005B3FB2" w:rsidRPr="00183E4D" w14:paraId="18396523" w14:textId="77777777" w:rsidTr="001C066B">
        <w:tc>
          <w:tcPr>
            <w:tcW w:w="1030" w:type="pct"/>
            <w:shd w:val="clear" w:color="auto" w:fill="auto"/>
          </w:tcPr>
          <w:p w14:paraId="084BB5AD" w14:textId="77777777" w:rsidR="005B3FB2" w:rsidRPr="008A6F37" w:rsidRDefault="005B3FB2" w:rsidP="001C066B">
            <w:pPr>
              <w:pStyle w:val="Tabletext1"/>
              <w:rPr>
                <w:snapToGrid w:val="0"/>
              </w:rPr>
            </w:pPr>
            <w:r>
              <w:rPr>
                <w:snapToGrid w:val="0"/>
              </w:rPr>
              <w:t>Safi et al (2015)</w:t>
            </w:r>
          </w:p>
        </w:tc>
        <w:tc>
          <w:tcPr>
            <w:tcW w:w="702" w:type="pct"/>
          </w:tcPr>
          <w:p w14:paraId="5B855988" w14:textId="77777777" w:rsidR="005B3FB2" w:rsidRPr="00DF2CC2" w:rsidRDefault="005B3FB2" w:rsidP="001C066B">
            <w:pPr>
              <w:pStyle w:val="Tabletext1"/>
              <w:jc w:val="center"/>
            </w:pPr>
            <w:r w:rsidRPr="00DF2CC2">
              <w:t>RFA</w:t>
            </w:r>
          </w:p>
        </w:tc>
        <w:tc>
          <w:tcPr>
            <w:tcW w:w="1015" w:type="pct"/>
            <w:shd w:val="clear" w:color="auto" w:fill="auto"/>
          </w:tcPr>
          <w:p w14:paraId="25C88C47" w14:textId="77777777" w:rsidR="005B3FB2" w:rsidRPr="00DF2CC2" w:rsidRDefault="005B3FB2" w:rsidP="001C066B">
            <w:pPr>
              <w:pStyle w:val="Tabletext1"/>
              <w:jc w:val="center"/>
              <w:rPr>
                <w:snapToGrid w:val="0"/>
              </w:rPr>
            </w:pPr>
            <w:r w:rsidRPr="00DF2CC2">
              <w:rPr>
                <w:snapToGrid w:val="0"/>
              </w:rPr>
              <w:t>25 (25)</w:t>
            </w:r>
          </w:p>
        </w:tc>
        <w:tc>
          <w:tcPr>
            <w:tcW w:w="2253" w:type="pct"/>
            <w:tcBorders>
              <w:left w:val="nil"/>
            </w:tcBorders>
            <w:shd w:val="clear" w:color="auto" w:fill="auto"/>
          </w:tcPr>
          <w:p w14:paraId="19BA396A" w14:textId="7E885959" w:rsidR="005B3FB2" w:rsidRPr="00E1575A" w:rsidRDefault="005B3FB2" w:rsidP="001C066B">
            <w:pPr>
              <w:pStyle w:val="Tabletext1"/>
              <w:jc w:val="center"/>
            </w:pPr>
            <w:r w:rsidRPr="00803B30">
              <w:t>11.9 ± 8.1 (1</w:t>
            </w:r>
            <w:r w:rsidR="00D35E9C">
              <w:t>–</w:t>
            </w:r>
            <w:r w:rsidRPr="00803B30">
              <w:t>24)</w:t>
            </w:r>
            <w:r w:rsidR="00AC278E">
              <w:rPr>
                <w:vertAlign w:val="superscript"/>
              </w:rPr>
              <w:t xml:space="preserve"> </w:t>
            </w:r>
            <w:r w:rsidR="00F829C6">
              <w:rPr>
                <w:vertAlign w:val="superscript"/>
              </w:rPr>
              <w:t>a</w:t>
            </w:r>
          </w:p>
        </w:tc>
      </w:tr>
      <w:tr w:rsidR="005B3FB2" w:rsidRPr="00183E4D" w14:paraId="60B57A6E" w14:textId="77777777" w:rsidTr="001C066B">
        <w:tc>
          <w:tcPr>
            <w:tcW w:w="1030" w:type="pct"/>
            <w:shd w:val="clear" w:color="auto" w:fill="auto"/>
          </w:tcPr>
          <w:p w14:paraId="6CE9AA15" w14:textId="77777777" w:rsidR="005B3FB2" w:rsidRDefault="005B3FB2" w:rsidP="001C066B">
            <w:pPr>
              <w:pStyle w:val="Tabletext1"/>
              <w:rPr>
                <w:snapToGrid w:val="0"/>
              </w:rPr>
            </w:pPr>
          </w:p>
        </w:tc>
        <w:tc>
          <w:tcPr>
            <w:tcW w:w="702" w:type="pct"/>
          </w:tcPr>
          <w:p w14:paraId="5B2ED493" w14:textId="77777777" w:rsidR="005B3FB2" w:rsidRPr="00DF2CC2" w:rsidRDefault="005B3FB2" w:rsidP="001C066B">
            <w:pPr>
              <w:pStyle w:val="Tabletext1"/>
              <w:jc w:val="center"/>
            </w:pPr>
            <w:r w:rsidRPr="00DF2CC2">
              <w:t>RT</w:t>
            </w:r>
          </w:p>
        </w:tc>
        <w:tc>
          <w:tcPr>
            <w:tcW w:w="1015" w:type="pct"/>
            <w:shd w:val="clear" w:color="auto" w:fill="auto"/>
          </w:tcPr>
          <w:p w14:paraId="2E9DE970" w14:textId="77777777" w:rsidR="005B3FB2" w:rsidRPr="00DF2CC2" w:rsidRDefault="005B3FB2" w:rsidP="001C066B">
            <w:pPr>
              <w:pStyle w:val="Tabletext1"/>
              <w:jc w:val="center"/>
              <w:rPr>
                <w:snapToGrid w:val="0"/>
              </w:rPr>
            </w:pPr>
            <w:r w:rsidRPr="00DF2CC2">
              <w:rPr>
                <w:snapToGrid w:val="0"/>
              </w:rPr>
              <w:t>49 (49)</w:t>
            </w:r>
          </w:p>
        </w:tc>
        <w:tc>
          <w:tcPr>
            <w:tcW w:w="2253" w:type="pct"/>
            <w:tcBorders>
              <w:left w:val="nil"/>
            </w:tcBorders>
            <w:shd w:val="clear" w:color="auto" w:fill="auto"/>
          </w:tcPr>
          <w:p w14:paraId="7B1145F3" w14:textId="44ACCA5D" w:rsidR="005B3FB2" w:rsidRPr="004C5C01" w:rsidRDefault="005B3FB2" w:rsidP="001C066B">
            <w:pPr>
              <w:pStyle w:val="Tabletext1"/>
              <w:jc w:val="center"/>
              <w:rPr>
                <w:vertAlign w:val="superscript"/>
              </w:rPr>
            </w:pPr>
            <w:r w:rsidRPr="00803B30">
              <w:t>6.0 ± 3.0 (1</w:t>
            </w:r>
            <w:r w:rsidR="00D35E9C">
              <w:t>–</w:t>
            </w:r>
            <w:r w:rsidRPr="00803B30">
              <w:t>46)</w:t>
            </w:r>
            <w:r w:rsidR="00AC278E">
              <w:rPr>
                <w:vertAlign w:val="superscript"/>
              </w:rPr>
              <w:t xml:space="preserve"> </w:t>
            </w:r>
            <w:r w:rsidR="00F829C6">
              <w:rPr>
                <w:vertAlign w:val="superscript"/>
              </w:rPr>
              <w:t>b</w:t>
            </w:r>
          </w:p>
        </w:tc>
      </w:tr>
      <w:tr w:rsidR="005B3FB2" w:rsidRPr="00183E4D" w14:paraId="1AAA6E9A" w14:textId="77777777" w:rsidTr="001C066B">
        <w:tc>
          <w:tcPr>
            <w:tcW w:w="1030" w:type="pct"/>
            <w:shd w:val="clear" w:color="auto" w:fill="auto"/>
          </w:tcPr>
          <w:p w14:paraId="2D26B13E" w14:textId="77777777" w:rsidR="005B3FB2" w:rsidRPr="00183E4D" w:rsidRDefault="005B3FB2" w:rsidP="001C066B">
            <w:pPr>
              <w:pStyle w:val="Tabletext1"/>
              <w:rPr>
                <w:snapToGrid w:val="0"/>
              </w:rPr>
            </w:pPr>
            <w:r>
              <w:rPr>
                <w:snapToGrid w:val="0"/>
              </w:rPr>
              <w:t>Pooled analysis</w:t>
            </w:r>
          </w:p>
        </w:tc>
        <w:tc>
          <w:tcPr>
            <w:tcW w:w="702" w:type="pct"/>
          </w:tcPr>
          <w:p w14:paraId="406A64DA" w14:textId="77777777" w:rsidR="005B3FB2" w:rsidRPr="00DF2CC2" w:rsidRDefault="005B3FB2" w:rsidP="001C066B">
            <w:pPr>
              <w:pStyle w:val="Tabletext1"/>
              <w:jc w:val="center"/>
            </w:pPr>
            <w:r w:rsidRPr="00DF2CC2">
              <w:t>NA</w:t>
            </w:r>
          </w:p>
        </w:tc>
        <w:tc>
          <w:tcPr>
            <w:tcW w:w="1015" w:type="pct"/>
            <w:shd w:val="clear" w:color="auto" w:fill="auto"/>
          </w:tcPr>
          <w:p w14:paraId="4CABC40E" w14:textId="77777777" w:rsidR="005B3FB2" w:rsidRPr="00DF2CC2" w:rsidRDefault="005B3FB2" w:rsidP="001C066B">
            <w:pPr>
              <w:pStyle w:val="Tabletext1"/>
              <w:jc w:val="center"/>
              <w:rPr>
                <w:snapToGrid w:val="0"/>
                <w:highlight w:val="cyan"/>
              </w:rPr>
            </w:pPr>
            <w:r w:rsidRPr="00DF2CC2">
              <w:rPr>
                <w:snapToGrid w:val="0"/>
              </w:rPr>
              <w:t>205 (324)</w:t>
            </w:r>
          </w:p>
        </w:tc>
        <w:tc>
          <w:tcPr>
            <w:tcW w:w="2253" w:type="pct"/>
            <w:tcBorders>
              <w:left w:val="nil"/>
            </w:tcBorders>
            <w:shd w:val="clear" w:color="auto" w:fill="auto"/>
          </w:tcPr>
          <w:p w14:paraId="748D2426" w14:textId="77777777" w:rsidR="005B3FB2" w:rsidRDefault="00637678" w:rsidP="001C066B">
            <w:pPr>
              <w:pStyle w:val="Tabletext1"/>
              <w:jc w:val="center"/>
              <w:rPr>
                <w:snapToGrid w:val="0"/>
              </w:rPr>
            </w:pPr>
            <w:r>
              <w:rPr>
                <w:snapToGrid w:val="0"/>
              </w:rPr>
              <w:t>Pooling not possible</w:t>
            </w:r>
          </w:p>
          <w:p w14:paraId="65B0C88D" w14:textId="0AB55FF2" w:rsidR="00637678" w:rsidRDefault="008108C0" w:rsidP="001C066B">
            <w:pPr>
              <w:pStyle w:val="Tabletext1"/>
              <w:jc w:val="center"/>
              <w:rPr>
                <w:snapToGrid w:val="0"/>
              </w:rPr>
            </w:pPr>
            <w:r>
              <w:rPr>
                <w:snapToGrid w:val="0"/>
              </w:rPr>
              <w:t>Quality</w:t>
            </w:r>
            <w:r w:rsidR="00637678">
              <w:rPr>
                <w:snapToGrid w:val="0"/>
              </w:rPr>
              <w:t xml:space="preserve"> of the evidence</w:t>
            </w:r>
          </w:p>
          <w:p w14:paraId="4A0AC813" w14:textId="77777777" w:rsidR="00637678" w:rsidRPr="00F81CEC" w:rsidRDefault="00637678" w:rsidP="001C066B">
            <w:pPr>
              <w:pStyle w:val="Tabletext1"/>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sidR="00F81CEC">
              <w:rPr>
                <w:rFonts w:ascii="Cambria Math" w:hAnsi="Cambria Math" w:cs="Cambria Math"/>
                <w:color w:val="C00000"/>
              </w:rPr>
              <w:t xml:space="preserve"> </w:t>
            </w:r>
            <w:r w:rsidRPr="001144E4">
              <w:rPr>
                <w:rStyle w:val="quality-sign"/>
                <w:rFonts w:eastAsia="MS Mincho" w:cs="MS Mincho"/>
                <w:b/>
                <w:sz w:val="21"/>
                <w:szCs w:val="21"/>
              </w:rPr>
              <w:t>VERY LOW</w:t>
            </w:r>
          </w:p>
        </w:tc>
      </w:tr>
    </w:tbl>
    <w:p w14:paraId="1761BA6D" w14:textId="43E78255" w:rsidR="007A7F5D" w:rsidRDefault="00B23046" w:rsidP="00B23046">
      <w:pPr>
        <w:pStyle w:val="Tablenotes0"/>
      </w:pPr>
      <w:r>
        <w:rPr>
          <w:szCs w:val="18"/>
        </w:rPr>
        <w:t xml:space="preserve">&lt; </w:t>
      </w:r>
      <w:r w:rsidR="00F829C6">
        <w:rPr>
          <w:szCs w:val="18"/>
        </w:rPr>
        <w:t xml:space="preserve">MTA = microwave thermal ablation; NA = not applicable; </w:t>
      </w:r>
      <w:r w:rsidR="00214EBE" w:rsidRPr="00214EBE">
        <w:rPr>
          <w:szCs w:val="18"/>
        </w:rPr>
        <w:t>NR</w:t>
      </w:r>
      <w:r w:rsidR="00F829C6">
        <w:rPr>
          <w:szCs w:val="18"/>
        </w:rPr>
        <w:t xml:space="preserve"> </w:t>
      </w:r>
      <w:r w:rsidR="00214EBE" w:rsidRPr="00214EBE">
        <w:rPr>
          <w:szCs w:val="18"/>
        </w:rPr>
        <w:t>= not reported</w:t>
      </w:r>
      <w:r w:rsidR="007A7F5D">
        <w:rPr>
          <w:szCs w:val="18"/>
        </w:rPr>
        <w:t>;</w:t>
      </w:r>
      <w:r w:rsidR="007A7F5D" w:rsidRPr="007A7F5D">
        <w:t xml:space="preserve"> </w:t>
      </w:r>
      <w:r w:rsidR="007A7F5D">
        <w:t>RFA</w:t>
      </w:r>
      <w:r w:rsidR="00F829C6">
        <w:t xml:space="preserve"> </w:t>
      </w:r>
      <w:r w:rsidR="007A7F5D">
        <w:t>= radiofrequency ablation; RT</w:t>
      </w:r>
      <w:r w:rsidR="00F829C6">
        <w:t xml:space="preserve"> </w:t>
      </w:r>
      <w:r w:rsidR="007A7F5D">
        <w:t>=</w:t>
      </w:r>
      <w:r w:rsidR="00F829C6">
        <w:t xml:space="preserve"> </w:t>
      </w:r>
      <w:r w:rsidR="007A7F5D">
        <w:t xml:space="preserve">radiotherapy; </w:t>
      </w:r>
      <w:r w:rsidR="007A7F5D" w:rsidRPr="00214EBE">
        <w:t>SD</w:t>
      </w:r>
      <w:r w:rsidR="00F829C6">
        <w:t xml:space="preserve"> </w:t>
      </w:r>
      <w:r w:rsidR="007A7F5D" w:rsidRPr="00214EBE">
        <w:t>= standard deviation</w:t>
      </w:r>
      <w:r w:rsidR="001144E4">
        <w:t xml:space="preserve">; </w:t>
      </w:r>
      <w:r w:rsidR="001144E4" w:rsidRPr="00803B30">
        <w:t>±</w:t>
      </w:r>
      <w:r w:rsidR="001144E4">
        <w:t xml:space="preserve"> = SD</w:t>
      </w:r>
      <w:r>
        <w:t xml:space="preserve"> &gt;</w:t>
      </w:r>
    </w:p>
    <w:p w14:paraId="0EFE770C" w14:textId="58EB5C27" w:rsidR="008E5DEC" w:rsidRDefault="007A7F5D" w:rsidP="00B23046">
      <w:pPr>
        <w:pStyle w:val="Tablenotes0"/>
        <w:rPr>
          <w:szCs w:val="18"/>
        </w:rPr>
      </w:pPr>
      <w:r w:rsidRPr="00E10B76">
        <w:rPr>
          <w:szCs w:val="18"/>
        </w:rPr>
        <w:t>GRADE Working Group grades of evidence</w:t>
      </w:r>
      <w:r w:rsidR="001144E4">
        <w:rPr>
          <w:szCs w:val="18"/>
        </w:rPr>
        <w:t xml:space="preserve"> (Guyatt et al., 2013) </w:t>
      </w:r>
      <w:r w:rsidR="00041F9C" w:rsidRPr="00E10B76">
        <w:rPr>
          <w:szCs w:val="18"/>
        </w:rPr>
        <w:br/>
      </w:r>
      <w:r w:rsidR="00041F9C">
        <w:rPr>
          <w:rFonts w:ascii="Cambria Math" w:hAnsi="Cambria Math"/>
          <w:color w:val="00B050"/>
        </w:rPr>
        <w:t>⨁</w:t>
      </w:r>
      <w:r w:rsidR="00041F9C" w:rsidRPr="00D4733A">
        <w:rPr>
          <w:rFonts w:ascii="Cambria Math" w:hAnsi="Cambria Math" w:cs="Cambria Math"/>
          <w:color w:val="C00000"/>
        </w:rPr>
        <w:t>⨀⨀⨀</w:t>
      </w:r>
      <w:r w:rsidR="00041F9C">
        <w:rPr>
          <w:rFonts w:ascii="Cambria Math" w:hAnsi="Cambria Math" w:cs="Cambria Math"/>
          <w:color w:val="C00000"/>
        </w:rPr>
        <w:t xml:space="preserve"> </w:t>
      </w:r>
      <w:r w:rsidR="00041F9C" w:rsidRPr="00E10B76">
        <w:rPr>
          <w:b/>
          <w:bCs/>
          <w:szCs w:val="18"/>
        </w:rPr>
        <w:t>Very low quality:</w:t>
      </w:r>
      <w:r w:rsidR="00041F9C" w:rsidRPr="00E10B76">
        <w:rPr>
          <w:szCs w:val="18"/>
        </w:rPr>
        <w:t xml:space="preserve"> </w:t>
      </w:r>
      <w:r w:rsidR="00041F9C">
        <w:rPr>
          <w:szCs w:val="18"/>
        </w:rPr>
        <w:t>We have very little confidence in the effect estimate: The true effect is likely to be substantially different from the estimate of effect.</w:t>
      </w:r>
    </w:p>
    <w:p w14:paraId="5329C699" w14:textId="7DC9EF47" w:rsidR="008E5DEC" w:rsidRDefault="008E5DEC" w:rsidP="00B23046">
      <w:pPr>
        <w:pStyle w:val="Tablenotes0"/>
      </w:pPr>
      <w:proofErr w:type="gramStart"/>
      <w:r>
        <w:rPr>
          <w:vertAlign w:val="superscript"/>
        </w:rPr>
        <w:t>a</w:t>
      </w:r>
      <w:proofErr w:type="gramEnd"/>
      <w:r w:rsidRPr="00803B30">
        <w:t xml:space="preserve"> </w:t>
      </w:r>
      <w:r>
        <w:t>P</w:t>
      </w:r>
      <w:r w:rsidRPr="00803B30">
        <w:t xml:space="preserve">rimary tumour </w:t>
      </w:r>
      <w:r>
        <w:t>recurrence: 8.8 ± 7.5 (1</w:t>
      </w:r>
      <w:r w:rsidR="00D35E9C">
        <w:t>–</w:t>
      </w:r>
      <w:r>
        <w:t>27),</w:t>
      </w:r>
      <w:r w:rsidRPr="00803B30">
        <w:t xml:space="preserve"> locoregional recurrence: 10.1 ± 8.1 (1</w:t>
      </w:r>
      <w:r w:rsidR="00D35E9C">
        <w:t>–</w:t>
      </w:r>
      <w:r w:rsidRPr="00803B30">
        <w:t xml:space="preserve">47), distance </w:t>
      </w:r>
      <w:r>
        <w:t>recurrence: 11.4 ± 7.3 (3</w:t>
      </w:r>
      <w:r w:rsidR="00D35E9C">
        <w:t>–</w:t>
      </w:r>
      <w:r>
        <w:t>21)</w:t>
      </w:r>
    </w:p>
    <w:p w14:paraId="04B4C11D" w14:textId="6327D1D0" w:rsidR="008E5DEC" w:rsidRDefault="008E5DEC" w:rsidP="00B23046">
      <w:pPr>
        <w:pStyle w:val="Tablenotes0"/>
      </w:pPr>
      <w:proofErr w:type="gramStart"/>
      <w:r>
        <w:rPr>
          <w:vertAlign w:val="superscript"/>
        </w:rPr>
        <w:t>b</w:t>
      </w:r>
      <w:proofErr w:type="gramEnd"/>
      <w:r w:rsidRPr="00803B30">
        <w:t xml:space="preserve"> </w:t>
      </w:r>
      <w:r>
        <w:t>P</w:t>
      </w:r>
      <w:r w:rsidRPr="00803B30">
        <w:t>rimary tumour recurrence: 6.8  ±  3.3 (1</w:t>
      </w:r>
      <w:r w:rsidR="00D35E9C">
        <w:t>–</w:t>
      </w:r>
      <w:r w:rsidRPr="00803B30">
        <w:t>46), locoregional recurrence: 8.7 ± 7.0 (1</w:t>
      </w:r>
      <w:r w:rsidR="00D35E9C">
        <w:t>–</w:t>
      </w:r>
      <w:r w:rsidRPr="00803B30">
        <w:t>46),  distance recurrence: 6.7 ± 6.7 (1</w:t>
      </w:r>
      <w:r w:rsidR="00D35E9C">
        <w:t>–</w:t>
      </w:r>
      <w:r w:rsidRPr="00803B30">
        <w:t>22)</w:t>
      </w:r>
      <w:r>
        <w:t>, p</w:t>
      </w:r>
      <w:r w:rsidR="001104D0">
        <w:t xml:space="preserve"> </w:t>
      </w:r>
      <w:r>
        <w:t>=</w:t>
      </w:r>
      <w:r w:rsidR="001104D0">
        <w:t xml:space="preserve"> </w:t>
      </w:r>
      <w:r>
        <w:t>0.36.</w:t>
      </w:r>
    </w:p>
    <w:p w14:paraId="520FA6C6" w14:textId="77777777" w:rsidR="001B3B9A" w:rsidRDefault="001B3B9A" w:rsidP="003F6C66">
      <w:pPr>
        <w:pStyle w:val="Heading3"/>
      </w:pPr>
      <w:bookmarkStart w:id="330" w:name="_Toc460396064"/>
      <w:r>
        <w:br w:type="page"/>
      </w:r>
    </w:p>
    <w:p w14:paraId="1C24419E" w14:textId="4D3053E7" w:rsidR="00A72650" w:rsidRDefault="00A72650" w:rsidP="003F6C66">
      <w:pPr>
        <w:pStyle w:val="Heading3"/>
      </w:pPr>
      <w:r>
        <w:lastRenderedPageBreak/>
        <w:t xml:space="preserve">Local </w:t>
      </w:r>
      <w:r w:rsidR="00AE5276">
        <w:t>control</w:t>
      </w:r>
      <w:r w:rsidR="007C7D1A">
        <w:t xml:space="preserve"> and L</w:t>
      </w:r>
      <w:r w:rsidR="003B4853">
        <w:t xml:space="preserve">ocal </w:t>
      </w:r>
      <w:r w:rsidR="00455E50">
        <w:t>progression</w:t>
      </w:r>
      <w:bookmarkEnd w:id="330"/>
    </w:p>
    <w:p w14:paraId="35F60658" w14:textId="3BF01D80" w:rsidR="00C445EC" w:rsidRDefault="00AE5276" w:rsidP="00AE5276">
      <w:r>
        <w:t xml:space="preserve">Local control rates were reported </w:t>
      </w:r>
      <w:r w:rsidR="00C445EC">
        <w:t>in</w:t>
      </w:r>
      <w:r>
        <w:t xml:space="preserve"> </w:t>
      </w:r>
      <w:r w:rsidR="00C445EC">
        <w:t xml:space="preserve">two included MTA studies </w:t>
      </w:r>
      <w:r w:rsidR="008A6321">
        <w:fldChar w:fldCharType="begin">
          <w:fldData xml:space="preserve">PEVuZE5vdGU+PENpdGU+PEF1dGhvcj5IYW48L0F1dGhvcj48WWVhcj4yMDE1PC9ZZWFyPjxSZWNO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</w:fldData>
        </w:fldChar>
      </w:r>
      <w:r w:rsidR="00194054">
        <w:instrText xml:space="preserve"> ADDIN EN.CITE </w:instrText>
      </w:r>
      <w:r w:rsidR="00194054">
        <w:fldChar w:fldCharType="begin">
          <w:fldData xml:space="preserve">PEVuZE5vdGU+PENpdGU+PEF1dGhvcj5IYW48L0F1dGhvcj48WWVhcj4yMDE1PC9ZZWFyPjxSZWNO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</w:fldData>
        </w:fldChar>
      </w:r>
      <w:r w:rsidR="00194054">
        <w:instrText xml:space="preserve"> ADDIN EN.CITE.DATA </w:instrText>
      </w:r>
      <w:r w:rsidR="00194054">
        <w:fldChar w:fldCharType="end"/>
      </w:r>
      <w:r w:rsidR="008A6321">
        <w:fldChar w:fldCharType="separate"/>
      </w:r>
      <w:r w:rsidR="008A6321">
        <w:rPr>
          <w:noProof/>
        </w:rPr>
        <w:t>(</w:t>
      </w:r>
      <w:hyperlink w:anchor="_ENREF_63" w:tooltip="Han, 2015 #93" w:history="1">
        <w:r w:rsidR="00320458">
          <w:rPr>
            <w:noProof/>
          </w:rPr>
          <w:t>Han et al 2015</w:t>
        </w:r>
      </w:hyperlink>
      <w:r w:rsidR="008A6321">
        <w:rPr>
          <w:noProof/>
        </w:rPr>
        <w:t xml:space="preserve">; </w:t>
      </w:r>
      <w:hyperlink w:anchor="_ENREF_174" w:tooltip="Yang, 2014 #101" w:history="1">
        <w:r w:rsidR="00320458">
          <w:rPr>
            <w:noProof/>
          </w:rPr>
          <w:t>Yang et al 2014</w:t>
        </w:r>
      </w:hyperlink>
      <w:r w:rsidR="008A6321">
        <w:rPr>
          <w:noProof/>
        </w:rPr>
        <w:t>)</w:t>
      </w:r>
      <w:r w:rsidR="008A6321">
        <w:fldChar w:fldCharType="end"/>
      </w:r>
      <w:r w:rsidR="00C445EC">
        <w:t xml:space="preserve">, two RFA studies </w:t>
      </w:r>
      <w:r w:rsidR="008A6321">
        <w:fldChar w:fldCharType="begin">
          <w:fldData xml:space="preserve">PEVuZE5vdGU+PENpdGU+PEF1dGhvcj5EdXB1eTwvQXV0aG9yPjxZZWFyPjIwMTU8L1llYXI+PFJl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194054">
        <w:instrText xml:space="preserve"> ADDIN EN.CITE </w:instrText>
      </w:r>
      <w:r w:rsidR="00194054">
        <w:fldChar w:fldCharType="begin">
          <w:fldData xml:space="preserve">PEVuZE5vdGU+PENpdGU+PEF1dGhvcj5EdXB1eTwvQXV0aG9yPjxZZWFyPjIwMTU8L1llYXI+PFJl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194054">
        <w:instrText xml:space="preserve"> ADDIN EN.CITE.DATA </w:instrText>
      </w:r>
      <w:r w:rsidR="00194054">
        <w:fldChar w:fldCharType="end"/>
      </w:r>
      <w:r w:rsidR="008A6321">
        <w:fldChar w:fldCharType="separate"/>
      </w:r>
      <w:r w:rsidR="008A6321">
        <w:rPr>
          <w:noProof/>
        </w:rPr>
        <w:t>(</w:t>
      </w:r>
      <w:hyperlink w:anchor="_ENREF_46" w:tooltip="Dupuy, 2015 #161" w:history="1">
        <w:r w:rsidR="00320458">
          <w:rPr>
            <w:noProof/>
          </w:rPr>
          <w:t>Dupuy et al 2015</w:t>
        </w:r>
      </w:hyperlink>
      <w:r w:rsidR="008A6321">
        <w:rPr>
          <w:noProof/>
        </w:rPr>
        <w:t xml:space="preserve">; </w:t>
      </w:r>
      <w:hyperlink w:anchor="_ENREF_69" w:tooltip="Hiraki, 2011 #162" w:history="1">
        <w:r w:rsidR="00320458">
          <w:rPr>
            <w:noProof/>
          </w:rPr>
          <w:t>Hiraki et al 2011a</w:t>
        </w:r>
      </w:hyperlink>
      <w:r w:rsidR="008A6321">
        <w:rPr>
          <w:noProof/>
        </w:rPr>
        <w:t>)</w:t>
      </w:r>
      <w:r w:rsidR="008A6321">
        <w:fldChar w:fldCharType="end"/>
      </w:r>
      <w:r w:rsidR="00C445EC">
        <w:t xml:space="preserve">, and one radiotherapy study </w:t>
      </w:r>
      <w:r w:rsidR="008A6321">
        <w:fldChar w:fldCharType="begin">
          <w:fldData xml:space="preserve">PEVuZE5vdGU+PENpdGU+PEF1dGhvcj5WaWRldGljPC9BdXRob3I+PFllYXI+MjAxNTwvWWVhcj48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LCBiaW9sb2d5LCBwaHlzaWNzPC9hYmJyLTE+PC9hbHQtcGVyaW9kaWNhbD48cGFnZXM+NzU3LTY0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</w:fldData>
        </w:fldChar>
      </w:r>
      <w:r w:rsidR="00194054">
        <w:instrText xml:space="preserve"> ADDIN EN.CITE </w:instrText>
      </w:r>
      <w:r w:rsidR="00194054">
        <w:fldChar w:fldCharType="begin">
          <w:fldData xml:space="preserve">PEVuZE5vdGU+PENpdGU+PEF1dGhvcj5WaWRldGljPC9BdXRob3I+PFllYXI+MjAxNTwvWWVhcj48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LCBiaW9sb2d5LCBwaHlzaWNzPC9hYmJyLTE+PC9hbHQtcGVyaW9kaWNhbD48cGFnZXM+NzU3LTY0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</w:fldData>
        </w:fldChar>
      </w:r>
      <w:r w:rsidR="00194054">
        <w:instrText xml:space="preserve"> ADDIN EN.CITE.DATA </w:instrText>
      </w:r>
      <w:r w:rsidR="00194054">
        <w:fldChar w:fldCharType="end"/>
      </w:r>
      <w:r w:rsidR="008A6321">
        <w:fldChar w:fldCharType="separate"/>
      </w:r>
      <w:r w:rsidR="008A6321">
        <w:rPr>
          <w:noProof/>
        </w:rPr>
        <w:t>(</w:t>
      </w:r>
      <w:hyperlink w:anchor="_ENREF_163" w:tooltip="Videtic, 2015 #140" w:history="1">
        <w:r w:rsidR="00320458">
          <w:rPr>
            <w:noProof/>
          </w:rPr>
          <w:t>Videtic et al 2015</w:t>
        </w:r>
      </w:hyperlink>
      <w:r w:rsidR="008A6321">
        <w:rPr>
          <w:noProof/>
        </w:rPr>
        <w:t>)</w:t>
      </w:r>
      <w:r w:rsidR="008A6321">
        <w:fldChar w:fldCharType="end"/>
      </w:r>
      <w:r w:rsidR="00C445EC">
        <w:t>.</w:t>
      </w:r>
      <w:r w:rsidR="00A53280">
        <w:t xml:space="preserve"> </w:t>
      </w:r>
      <w:r w:rsidR="00C445EC">
        <w:t xml:space="preserve">Local </w:t>
      </w:r>
      <w:r w:rsidR="00A53280">
        <w:t xml:space="preserve">progression </w:t>
      </w:r>
      <w:r w:rsidR="00C445EC">
        <w:t xml:space="preserve">was reported in three MTA studies </w:t>
      </w:r>
      <w:r w:rsidR="008A6321">
        <w:fldChar w:fldCharType="begin">
          <w:fldData xml:space="preserve">PEVuZE5vdGU+PENpdGU+PEF1dGhvcj5IYW48L0F1dGhvcj48WWVhcj4yMDE1PC9ZZWFyPjxSZWNO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</w:fldData>
        </w:fldChar>
      </w:r>
      <w:r w:rsidR="00AB722F">
        <w:instrText xml:space="preserve"> ADDIN EN.CITE </w:instrText>
      </w:r>
      <w:r w:rsidR="00AB722F">
        <w:fldChar w:fldCharType="begin">
          <w:fldData xml:space="preserve">PEVuZE5vdGU+PENpdGU+PEF1dGhvcj5IYW48L0F1dGhvcj48WWVhcj4yMDE1PC9ZZWFyPjxSZWNO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</w:fldData>
        </w:fldChar>
      </w:r>
      <w:r w:rsidR="00AB722F">
        <w:instrText xml:space="preserve"> ADDIN EN.CITE.DATA </w:instrText>
      </w:r>
      <w:r w:rsidR="00AB722F">
        <w:fldChar w:fldCharType="end"/>
      </w:r>
      <w:r w:rsidR="008A6321">
        <w:fldChar w:fldCharType="separate"/>
      </w:r>
      <w:r w:rsidR="00AB722F">
        <w:rPr>
          <w:noProof/>
        </w:rPr>
        <w:t>(</w:t>
      </w:r>
      <w:hyperlink w:anchor="_ENREF_63" w:tooltip="Han, 2015 #93" w:history="1">
        <w:r w:rsidR="00320458">
          <w:rPr>
            <w:noProof/>
          </w:rPr>
          <w:t>Han et al 2015</w:t>
        </w:r>
      </w:hyperlink>
      <w:r w:rsidR="00AB722F">
        <w:rPr>
          <w:noProof/>
        </w:rPr>
        <w:t xml:space="preserve">; </w:t>
      </w:r>
      <w:hyperlink w:anchor="_ENREF_95" w:tooltip="Liu, 2013 #94" w:history="1">
        <w:r w:rsidR="00320458">
          <w:rPr>
            <w:noProof/>
          </w:rPr>
          <w:t>Liu and Steinke 2013b</w:t>
        </w:r>
      </w:hyperlink>
      <w:r w:rsidR="00AB722F">
        <w:rPr>
          <w:noProof/>
        </w:rPr>
        <w:t xml:space="preserve">; </w:t>
      </w:r>
      <w:hyperlink w:anchor="_ENREF_174" w:tooltip="Yang, 2014 #101" w:history="1">
        <w:r w:rsidR="00320458">
          <w:rPr>
            <w:noProof/>
          </w:rPr>
          <w:t>Yang et al 2014</w:t>
        </w:r>
      </w:hyperlink>
      <w:r w:rsidR="00AB722F">
        <w:rPr>
          <w:noProof/>
        </w:rPr>
        <w:t>)</w:t>
      </w:r>
      <w:r w:rsidR="008A6321">
        <w:fldChar w:fldCharType="end"/>
      </w:r>
      <w:r w:rsidR="00C445EC">
        <w:t xml:space="preserve">, seven RFA studies </w:t>
      </w:r>
      <w:r w:rsidR="008A6321">
        <w:fldChar w:fldCharType="begin">
          <w:fldData xml:space="preserve">PEVuZE5vdGU+PENpdGU+PEF1dGhvcj5BbWJyb2dpPC9BdXRob3I+PFllYXI+MjAxMTwvWWVhcj48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194054">
        <w:instrText xml:space="preserve"> ADDIN EN.CITE </w:instrText>
      </w:r>
      <w:r w:rsidR="00194054">
        <w:fldChar w:fldCharType="begin">
          <w:fldData xml:space="preserve">PEVuZE5vdGU+PENpdGU+PEF1dGhvcj5BbWJyb2dpPC9BdXRob3I+PFllYXI+MjAxMTwvWWVhcj48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194054">
        <w:instrText xml:space="preserve"> ADDIN EN.CITE.DATA </w:instrText>
      </w:r>
      <w:r w:rsidR="00194054">
        <w:fldChar w:fldCharType="end"/>
      </w:r>
      <w:r w:rsidR="008A6321">
        <w:fldChar w:fldCharType="separate"/>
      </w:r>
      <w:r w:rsidR="008A6321">
        <w:rPr>
          <w:noProof/>
        </w:rPr>
        <w:t>(</w:t>
      </w:r>
      <w:hyperlink w:anchor="_ENREF_6" w:tooltip="Ambrogi, 2011 #160" w:history="1">
        <w:r w:rsidR="00320458">
          <w:rPr>
            <w:noProof/>
          </w:rPr>
          <w:t>Ambrogi et al 2011</w:t>
        </w:r>
      </w:hyperlink>
      <w:r w:rsidR="008A6321">
        <w:rPr>
          <w:noProof/>
        </w:rPr>
        <w:t xml:space="preserve">; </w:t>
      </w:r>
      <w:hyperlink w:anchor="_ENREF_46" w:tooltip="Dupuy, 2015 #161" w:history="1">
        <w:r w:rsidR="00320458">
          <w:rPr>
            <w:noProof/>
          </w:rPr>
          <w:t>Dupuy et al 2015</w:t>
        </w:r>
      </w:hyperlink>
      <w:r w:rsidR="008A6321">
        <w:rPr>
          <w:noProof/>
        </w:rPr>
        <w:t xml:space="preserve">; </w:t>
      </w:r>
      <w:hyperlink w:anchor="_ENREF_69" w:tooltip="Hiraki, 2011 #162" w:history="1">
        <w:r w:rsidR="00320458">
          <w:rPr>
            <w:noProof/>
          </w:rPr>
          <w:t>Hiraki et al 2011a</w:t>
        </w:r>
      </w:hyperlink>
      <w:r w:rsidR="008A6321">
        <w:rPr>
          <w:noProof/>
        </w:rPr>
        <w:t xml:space="preserve">; </w:t>
      </w:r>
      <w:hyperlink w:anchor="_ENREF_86" w:tooltip="Lanuti, 2012 #163" w:history="1">
        <w:r w:rsidR="00320458">
          <w:rPr>
            <w:noProof/>
          </w:rPr>
          <w:t>Lanuti et al 2012</w:t>
        </w:r>
      </w:hyperlink>
      <w:r w:rsidR="008A6321">
        <w:rPr>
          <w:noProof/>
        </w:rPr>
        <w:t xml:space="preserve">; </w:t>
      </w:r>
      <w:hyperlink w:anchor="_ENREF_93" w:tooltip="Liu, 2015 #164" w:history="1">
        <w:r w:rsidR="00320458">
          <w:rPr>
            <w:noProof/>
          </w:rPr>
          <w:t>Liu et al 2015</w:t>
        </w:r>
      </w:hyperlink>
      <w:r w:rsidR="008A6321">
        <w:rPr>
          <w:noProof/>
        </w:rPr>
        <w:t xml:space="preserve">; </w:t>
      </w:r>
      <w:hyperlink w:anchor="_ENREF_126" w:tooltip="Ridge, 2014 #165" w:history="1">
        <w:r w:rsidR="00320458">
          <w:rPr>
            <w:noProof/>
          </w:rPr>
          <w:t>Ridge et al 2014</w:t>
        </w:r>
      </w:hyperlink>
      <w:r w:rsidR="008A6321">
        <w:rPr>
          <w:noProof/>
        </w:rPr>
        <w:t xml:space="preserve">; </w:t>
      </w:r>
      <w:hyperlink w:anchor="_ENREF_166" w:tooltip="Viti, 2014 #166" w:history="1">
        <w:r w:rsidR="00320458">
          <w:rPr>
            <w:noProof/>
          </w:rPr>
          <w:t>Viti et al 2014</w:t>
        </w:r>
      </w:hyperlink>
      <w:r w:rsidR="008A6321">
        <w:rPr>
          <w:noProof/>
        </w:rPr>
        <w:t>)</w:t>
      </w:r>
      <w:r w:rsidR="008A6321">
        <w:fldChar w:fldCharType="end"/>
      </w:r>
      <w:r w:rsidR="00C445EC">
        <w:t xml:space="preserve">, </w:t>
      </w:r>
      <w:r w:rsidR="008A6321">
        <w:t xml:space="preserve">and two radiotherapy studies </w:t>
      </w:r>
      <w:r w:rsidR="008A6321">
        <w:fldChar w:fldCharType="begin">
          <w:fldData xml:space="preserve">PEVuZE5vdGU+PENpdGU+PEF1dGhvcj5QcmljZTwvQXV0aG9yPjxZZWFyPjIwMTI8L1llYXI+PFJl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</w:fldData>
        </w:fldChar>
      </w:r>
      <w:r w:rsidR="00194054">
        <w:instrText xml:space="preserve"> ADDIN EN.CITE </w:instrText>
      </w:r>
      <w:r w:rsidR="00194054">
        <w:fldChar w:fldCharType="begin">
          <w:fldData xml:space="preserve">PEVuZE5vdGU+PENpdGU+PEF1dGhvcj5QcmljZTwvQXV0aG9yPjxZZWFyPjIwMTI8L1llYXI+PFJl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</w:fldData>
        </w:fldChar>
      </w:r>
      <w:r w:rsidR="00194054">
        <w:instrText xml:space="preserve"> ADDIN EN.CITE.DATA </w:instrText>
      </w:r>
      <w:r w:rsidR="00194054">
        <w:fldChar w:fldCharType="end"/>
      </w:r>
      <w:r w:rsidR="008A6321">
        <w:fldChar w:fldCharType="separate"/>
      </w:r>
      <w:r w:rsidR="008A6321">
        <w:rPr>
          <w:noProof/>
        </w:rPr>
        <w:t>(</w:t>
      </w:r>
      <w:hyperlink w:anchor="_ENREF_120" w:tooltip="Price, 2012 #139" w:history="1">
        <w:r w:rsidR="00320458">
          <w:rPr>
            <w:noProof/>
          </w:rPr>
          <w:t>Price et al 2012</w:t>
        </w:r>
      </w:hyperlink>
      <w:r w:rsidR="008A6321">
        <w:rPr>
          <w:noProof/>
        </w:rPr>
        <w:t xml:space="preserve">; </w:t>
      </w:r>
      <w:hyperlink w:anchor="_ENREF_163" w:tooltip="Videtic, 2015 #140" w:history="1">
        <w:r w:rsidR="00320458">
          <w:rPr>
            <w:noProof/>
          </w:rPr>
          <w:t>Videtic et al 2015</w:t>
        </w:r>
      </w:hyperlink>
      <w:r w:rsidR="008A6321">
        <w:rPr>
          <w:noProof/>
        </w:rPr>
        <w:t>)</w:t>
      </w:r>
      <w:r w:rsidR="008A6321">
        <w:fldChar w:fldCharType="end"/>
      </w:r>
      <w:r w:rsidR="00A53280">
        <w:t xml:space="preserve">. </w:t>
      </w:r>
      <w:r w:rsidR="001B13FB">
        <w:t>R</w:t>
      </w:r>
      <w:r w:rsidR="004B50DD">
        <w:t>eported rates of local control and local progression</w:t>
      </w:r>
      <w:r w:rsidR="00A53280">
        <w:t xml:space="preserve"> are </w:t>
      </w:r>
      <w:r w:rsidR="004B50DD">
        <w:t>presented</w:t>
      </w:r>
      <w:r w:rsidR="00A53280">
        <w:t xml:space="preserve"> in </w:t>
      </w:r>
      <w:r w:rsidR="0058454B">
        <w:fldChar w:fldCharType="begin"/>
      </w:r>
      <w:r w:rsidR="0058454B">
        <w:instrText xml:space="preserve"> REF _Ref459364682 \h </w:instrText>
      </w:r>
      <w:r w:rsidR="0058454B">
        <w:fldChar w:fldCharType="separate"/>
      </w:r>
      <w:r w:rsidR="00D170A5">
        <w:t xml:space="preserve">Table </w:t>
      </w:r>
      <w:r w:rsidR="00D170A5">
        <w:rPr>
          <w:noProof/>
        </w:rPr>
        <w:t>53</w:t>
      </w:r>
      <w:r w:rsidR="0058454B">
        <w:fldChar w:fldCharType="end"/>
      </w:r>
      <w:r w:rsidR="00C445EC" w:rsidRPr="00590652">
        <w:t>.</w:t>
      </w:r>
    </w:p>
    <w:p w14:paraId="3A5E1D6F" w14:textId="52B69589" w:rsidR="00060866" w:rsidRDefault="00060866" w:rsidP="00060866">
      <w:r>
        <w:t xml:space="preserve">Local control was defined as no focal or diffuse enlargement of the ablated lesion </w:t>
      </w:r>
      <w:r w:rsidR="00843BB6">
        <w:fldChar w:fldCharType="begin">
          <w:fldData xml:space="preserve">PEVuZE5vdGU+PENpdGU+PEF1dGhvcj5MYW51dGk8L0F1dGhvcj48WWVhcj4yMDEyPC9ZZWFyPjxS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</w:fldData>
        </w:fldChar>
      </w:r>
      <w:r w:rsidR="00194054">
        <w:instrText xml:space="preserve"> ADDIN EN.CITE </w:instrText>
      </w:r>
      <w:r w:rsidR="00194054">
        <w:fldChar w:fldCharType="begin">
          <w:fldData xml:space="preserve">PEVuZE5vdGU+PENpdGU+PEF1dGhvcj5MYW51dGk8L0F1dGhvcj48WWVhcj4yMDEyPC9ZZWFyPjxS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</w:fldData>
        </w:fldChar>
      </w:r>
      <w:r w:rsidR="00194054">
        <w:instrText xml:space="preserve"> ADDIN EN.CITE.DATA </w:instrText>
      </w:r>
      <w:r w:rsidR="00194054">
        <w:fldChar w:fldCharType="end"/>
      </w:r>
      <w:r w:rsidR="00843BB6">
        <w:fldChar w:fldCharType="separate"/>
      </w:r>
      <w:r w:rsidR="00843BB6">
        <w:rPr>
          <w:noProof/>
        </w:rPr>
        <w:t>(</w:t>
      </w:r>
      <w:hyperlink w:anchor="_ENREF_86" w:tooltip="Lanuti, 2012 #163" w:history="1">
        <w:r w:rsidR="00320458">
          <w:rPr>
            <w:noProof/>
          </w:rPr>
          <w:t>Lanuti et al 2012</w:t>
        </w:r>
      </w:hyperlink>
      <w:r w:rsidR="00843BB6">
        <w:rPr>
          <w:noProof/>
        </w:rPr>
        <w:t>)</w:t>
      </w:r>
      <w:r w:rsidR="00843BB6">
        <w:fldChar w:fldCharType="end"/>
      </w:r>
      <w:r>
        <w:t xml:space="preserve">, </w:t>
      </w:r>
      <w:r w:rsidR="00B5630E">
        <w:t xml:space="preserve">a </w:t>
      </w:r>
      <w:r>
        <w:t>decrease in the longest tumo</w:t>
      </w:r>
      <w:r w:rsidR="00E60BAB">
        <w:t>u</w:t>
      </w:r>
      <w:r>
        <w:t>r diameter of at least 30 per cent with no evidence of peripheral tumo</w:t>
      </w:r>
      <w:r w:rsidR="00DB1BDB">
        <w:t>u</w:t>
      </w:r>
      <w:r>
        <w:t xml:space="preserve">r growth </w:t>
      </w:r>
      <w:r w:rsidR="00843BB6">
        <w:fldChar w:fldCharType="begin">
          <w:fldData xml:space="preserve">PEVuZE5vdGU+PENpdGU+PEF1dGhvcj5SaWRnZTwvQXV0aG9yPjxZZWFyPjIwMTQ8L1llYXI+PFJl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194054">
        <w:instrText xml:space="preserve"> ADDIN EN.CITE </w:instrText>
      </w:r>
      <w:r w:rsidR="00194054">
        <w:fldChar w:fldCharType="begin">
          <w:fldData xml:space="preserve">PEVuZE5vdGU+PENpdGU+PEF1dGhvcj5SaWRnZTwvQXV0aG9yPjxZZWFyPjIwMTQ8L1llYXI+PFJl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194054">
        <w:instrText xml:space="preserve"> ADDIN EN.CITE.DATA </w:instrText>
      </w:r>
      <w:r w:rsidR="00194054">
        <w:fldChar w:fldCharType="end"/>
      </w:r>
      <w:r w:rsidR="00843BB6">
        <w:fldChar w:fldCharType="separate"/>
      </w:r>
      <w:r w:rsidR="00843BB6">
        <w:rPr>
          <w:noProof/>
        </w:rPr>
        <w:t>(</w:t>
      </w:r>
      <w:hyperlink w:anchor="_ENREF_126" w:tooltip="Ridge, 2014 #165" w:history="1">
        <w:r w:rsidR="00320458">
          <w:rPr>
            <w:noProof/>
          </w:rPr>
          <w:t>Ridge et al 2014</w:t>
        </w:r>
      </w:hyperlink>
      <w:r w:rsidR="00843BB6">
        <w:rPr>
          <w:noProof/>
        </w:rPr>
        <w:t>)</w:t>
      </w:r>
      <w:r w:rsidR="00843BB6">
        <w:fldChar w:fldCharType="end"/>
      </w:r>
      <w:r>
        <w:t>,</w:t>
      </w:r>
      <w:r w:rsidR="0038593D">
        <w:t xml:space="preserve"> </w:t>
      </w:r>
      <w:r w:rsidR="004549FE">
        <w:t xml:space="preserve">or the absence of local failure </w:t>
      </w:r>
      <w:r w:rsidR="00DB1BDB">
        <w:fldChar w:fldCharType="begin">
          <w:fldData xml:space="preserve">PEVuZE5vdGU+PENpdGU+PEF1dGhvcj5WaWRldGljPC9BdXRob3I+PFllYXI+MjAxNTwvWWVhcj48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LCBiaW9sb2d5LCBwaHlzaWNzPC9hYmJyLTE+PC9hbHQtcGVyaW9kaWNhbD48cGFnZXM+NzU3LTY0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</w:fldData>
        </w:fldChar>
      </w:r>
      <w:r w:rsidR="00194054">
        <w:instrText xml:space="preserve"> ADDIN EN.CITE </w:instrText>
      </w:r>
      <w:r w:rsidR="00194054">
        <w:fldChar w:fldCharType="begin">
          <w:fldData xml:space="preserve">PEVuZE5vdGU+PENpdGU+PEF1dGhvcj5WaWRldGljPC9BdXRob3I+PFllYXI+MjAxNTwvWWVhcj48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LCBiaW9sb2d5LCBwaHlzaWNzPC9hYmJyLTE+PC9hbHQtcGVyaW9kaWNhbD48cGFnZXM+NzU3LTY0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</w:fldData>
        </w:fldChar>
      </w:r>
      <w:r w:rsidR="00194054">
        <w:instrText xml:space="preserve"> ADDIN EN.CITE.DATA </w:instrText>
      </w:r>
      <w:r w:rsidR="00194054">
        <w:fldChar w:fldCharType="end"/>
      </w:r>
      <w:r w:rsidR="00DB1BDB">
        <w:fldChar w:fldCharType="separate"/>
      </w:r>
      <w:r w:rsidR="00DB1BDB">
        <w:rPr>
          <w:noProof/>
        </w:rPr>
        <w:t>(</w:t>
      </w:r>
      <w:hyperlink w:anchor="_ENREF_163" w:tooltip="Videtic, 2015 #140" w:history="1">
        <w:r w:rsidR="00320458">
          <w:rPr>
            <w:noProof/>
          </w:rPr>
          <w:t>Videtic et al 2015</w:t>
        </w:r>
      </w:hyperlink>
      <w:r w:rsidR="00DB1BDB">
        <w:rPr>
          <w:noProof/>
        </w:rPr>
        <w:t>)</w:t>
      </w:r>
      <w:r w:rsidR="00DB1BDB">
        <w:fldChar w:fldCharType="end"/>
      </w:r>
      <w:r w:rsidR="00E60BAB">
        <w:t xml:space="preserve">. Other studies did not </w:t>
      </w:r>
      <w:r w:rsidR="004549FE">
        <w:t xml:space="preserve">report, or did not </w:t>
      </w:r>
      <w:r w:rsidR="00E60BAB">
        <w:t>define</w:t>
      </w:r>
      <w:r w:rsidR="00064FAB">
        <w:t>,</w:t>
      </w:r>
      <w:r w:rsidR="00E60BAB">
        <w:t xml:space="preserve"> local control</w:t>
      </w:r>
      <w:r w:rsidR="003A7543">
        <w:t>, making it difficult to draw comparison</w:t>
      </w:r>
      <w:r w:rsidR="00D146AB">
        <w:t>s</w:t>
      </w:r>
      <w:r w:rsidR="00F2532D">
        <w:t xml:space="preserve"> across studies</w:t>
      </w:r>
      <w:r w:rsidR="003A7543">
        <w:t>.</w:t>
      </w:r>
    </w:p>
    <w:p w14:paraId="46A197E3" w14:textId="1D619417" w:rsidR="0058454B" w:rsidRDefault="00060866" w:rsidP="0058454B">
      <w:r>
        <w:t>Local progression or recurrence was defined as</w:t>
      </w:r>
      <w:r w:rsidR="0029211C">
        <w:t xml:space="preserve"> </w:t>
      </w:r>
      <w:r w:rsidR="0029211C" w:rsidRPr="00587E29">
        <w:t>contrast-</w:t>
      </w:r>
      <w:r w:rsidR="00AA674A" w:rsidRPr="00587E29">
        <w:t>enhancement</w:t>
      </w:r>
      <w:r w:rsidR="0029211C" w:rsidRPr="00587E29">
        <w:t xml:space="preserve"> on CT at the site of ablation </w:t>
      </w:r>
      <w:r w:rsidR="006D054C" w:rsidRPr="00587E29">
        <w:fldChar w:fldCharType="begin">
          <w:fldData xml:space="preserve">PEVuZE5vdGU+PENpdGU+PEF1dGhvcj5ZYW5nPC9BdXRob3I+PFllYXI+MjAxNDwvWWVhcj48UmVj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194054" w:rsidRPr="00587E29">
        <w:instrText xml:space="preserve"> ADDIN EN.CITE </w:instrText>
      </w:r>
      <w:r w:rsidR="00194054" w:rsidRPr="00587E29">
        <w:fldChar w:fldCharType="begin">
          <w:fldData xml:space="preserve">PEVuZE5vdGU+PENpdGU+PEF1dGhvcj5ZYW5nPC9BdXRob3I+PFllYXI+MjAxNDwvWWVhcj48UmVj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</w:fldData>
        </w:fldChar>
      </w:r>
      <w:r w:rsidR="00194054" w:rsidRPr="00587E29">
        <w:instrText xml:space="preserve"> ADDIN EN.CITE.DATA </w:instrText>
      </w:r>
      <w:r w:rsidR="00194054" w:rsidRPr="00587E29">
        <w:fldChar w:fldCharType="end"/>
      </w:r>
      <w:r w:rsidR="006D054C" w:rsidRPr="00587E29">
        <w:fldChar w:fldCharType="separate"/>
      </w:r>
      <w:r w:rsidR="006D054C" w:rsidRPr="00587E29">
        <w:rPr>
          <w:noProof/>
        </w:rPr>
        <w:t>(</w:t>
      </w:r>
      <w:hyperlink w:anchor="_ENREF_93" w:tooltip="Liu, 2015 #164" w:history="1">
        <w:r w:rsidR="00320458" w:rsidRPr="00587E29">
          <w:rPr>
            <w:noProof/>
          </w:rPr>
          <w:t>Liu et al 2015</w:t>
        </w:r>
      </w:hyperlink>
      <w:r w:rsidR="006D054C" w:rsidRPr="00587E29">
        <w:rPr>
          <w:noProof/>
        </w:rPr>
        <w:t xml:space="preserve">; </w:t>
      </w:r>
      <w:hyperlink w:anchor="_ENREF_174" w:tooltip="Yang, 2014 #101" w:history="1">
        <w:r w:rsidR="00320458" w:rsidRPr="00587E29">
          <w:rPr>
            <w:noProof/>
          </w:rPr>
          <w:t>Yang et al 2014</w:t>
        </w:r>
      </w:hyperlink>
      <w:r w:rsidR="006D054C" w:rsidRPr="00587E29">
        <w:rPr>
          <w:noProof/>
        </w:rPr>
        <w:t>)</w:t>
      </w:r>
      <w:r w:rsidR="006D054C" w:rsidRPr="00587E29">
        <w:fldChar w:fldCharType="end"/>
      </w:r>
      <w:r w:rsidR="0029211C" w:rsidRPr="00587E29">
        <w:t xml:space="preserve">, </w:t>
      </w:r>
      <w:r w:rsidRPr="00587E29">
        <w:t xml:space="preserve"> </w:t>
      </w:r>
      <w:r w:rsidR="00B21C0B" w:rsidRPr="00587E29">
        <w:t>focal enhancement at the ablation site or enlargement of the ablated tumour after a series of shrinkage</w:t>
      </w:r>
      <w:r w:rsidR="00553EB4" w:rsidRPr="00587E29">
        <w:t xml:space="preserve"> </w:t>
      </w:r>
      <w:r w:rsidR="006D054C" w:rsidRPr="00587E29">
        <w:fldChar w:fldCharType="begin">
          <w:fldData xml:space="preserve">PEVuZE5vdGU+PENpdGU+PEF1dGhvcj5IYW48L0F1dGhvcj48WWVhcj4yMDE1PC9ZZWFyPjxSZWNO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</w:fldData>
        </w:fldChar>
      </w:r>
      <w:r w:rsidR="00194054" w:rsidRPr="00587E29">
        <w:instrText xml:space="preserve"> ADDIN EN.CITE </w:instrText>
      </w:r>
      <w:r w:rsidR="00194054" w:rsidRPr="00587E29">
        <w:fldChar w:fldCharType="begin">
          <w:fldData xml:space="preserve">PEVuZE5vdGU+PENpdGU+PEF1dGhvcj5IYW48L0F1dGhvcj48WWVhcj4yMDE1PC9ZZWFyPjxSZWNO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</w:fldData>
        </w:fldChar>
      </w:r>
      <w:r w:rsidR="00194054" w:rsidRPr="00587E29">
        <w:instrText xml:space="preserve"> ADDIN EN.CITE.DATA </w:instrText>
      </w:r>
      <w:r w:rsidR="00194054" w:rsidRPr="00587E29">
        <w:fldChar w:fldCharType="end"/>
      </w:r>
      <w:r w:rsidR="006D054C" w:rsidRPr="00587E29">
        <w:fldChar w:fldCharType="separate"/>
      </w:r>
      <w:r w:rsidR="006D054C" w:rsidRPr="00587E29">
        <w:rPr>
          <w:noProof/>
        </w:rPr>
        <w:t>(</w:t>
      </w:r>
      <w:hyperlink w:anchor="_ENREF_63" w:tooltip="Han, 2015 #93" w:history="1">
        <w:r w:rsidR="00320458" w:rsidRPr="00587E29">
          <w:rPr>
            <w:noProof/>
          </w:rPr>
          <w:t>Han et al 2015</w:t>
        </w:r>
      </w:hyperlink>
      <w:r w:rsidR="006D054C" w:rsidRPr="00587E29">
        <w:rPr>
          <w:noProof/>
        </w:rPr>
        <w:t>)</w:t>
      </w:r>
      <w:r w:rsidR="006D054C" w:rsidRPr="00587E29">
        <w:fldChar w:fldCharType="end"/>
      </w:r>
      <w:r w:rsidR="00B21C0B" w:rsidRPr="00587E29">
        <w:t xml:space="preserve">, </w:t>
      </w:r>
      <w:r w:rsidRPr="00587E29">
        <w:t xml:space="preserve">recurrence in the same lobe or hilum </w:t>
      </w:r>
      <w:r w:rsidR="00843BB6" w:rsidRPr="00587E29">
        <w:fldChar w:fldCharType="begin">
          <w:fldData xml:space="preserve">PEVuZE5vdGU+PENpdGU+PEF1dGhvcj5EdXB1eTwvQXV0aG9yPjxZZWFyPjIwMTU8L1llYXI+PFJl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194054" w:rsidRPr="00587E29">
        <w:instrText xml:space="preserve"> ADDIN EN.CITE </w:instrText>
      </w:r>
      <w:r w:rsidR="00194054" w:rsidRPr="00587E29">
        <w:fldChar w:fldCharType="begin">
          <w:fldData xml:space="preserve">PEVuZE5vdGU+PENpdGU+PEF1dGhvcj5EdXB1eTwvQXV0aG9yPjxZZWFyPjIwMTU8L1llYXI+PFJl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194054" w:rsidRPr="00587E29">
        <w:instrText xml:space="preserve"> ADDIN EN.CITE.DATA </w:instrText>
      </w:r>
      <w:r w:rsidR="00194054" w:rsidRPr="00587E29">
        <w:fldChar w:fldCharType="end"/>
      </w:r>
      <w:r w:rsidR="00843BB6" w:rsidRPr="00587E29">
        <w:fldChar w:fldCharType="separate"/>
      </w:r>
      <w:r w:rsidR="00843BB6" w:rsidRPr="00587E29">
        <w:rPr>
          <w:noProof/>
        </w:rPr>
        <w:t>(</w:t>
      </w:r>
      <w:hyperlink w:anchor="_ENREF_46" w:tooltip="Dupuy, 2015 #161" w:history="1">
        <w:r w:rsidR="00320458" w:rsidRPr="00587E29">
          <w:rPr>
            <w:noProof/>
          </w:rPr>
          <w:t>Dupuy et al 2015</w:t>
        </w:r>
      </w:hyperlink>
      <w:r w:rsidR="00843BB6" w:rsidRPr="00587E29">
        <w:rPr>
          <w:noProof/>
        </w:rPr>
        <w:t>)</w:t>
      </w:r>
      <w:r w:rsidR="00843BB6" w:rsidRPr="00587E29">
        <w:fldChar w:fldCharType="end"/>
      </w:r>
      <w:r w:rsidRPr="00587E29">
        <w:t xml:space="preserve">, recurrence in the same lobe but away from the ablation zone </w:t>
      </w:r>
      <w:r w:rsidR="00843BB6" w:rsidRPr="00587E29">
        <w:fldChar w:fldCharType="begin">
          <w:fldData xml:space="preserve">PEVuZE5vdGU+PENpdGU+PEF1dGhvcj5IaXJha2k8L0F1dGhvcj48WWVhcj4yMDExPC9ZZWFyPjxS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194054" w:rsidRPr="00587E29">
        <w:instrText xml:space="preserve"> ADDIN EN.CITE </w:instrText>
      </w:r>
      <w:r w:rsidR="00194054" w:rsidRPr="00587E29">
        <w:fldChar w:fldCharType="begin">
          <w:fldData xml:space="preserve">PEVuZE5vdGU+PENpdGU+PEF1dGhvcj5IaXJha2k8L0F1dGhvcj48WWVhcj4yMDExPC9ZZWFyPjxS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194054" w:rsidRPr="00587E29">
        <w:instrText xml:space="preserve"> ADDIN EN.CITE.DATA </w:instrText>
      </w:r>
      <w:r w:rsidR="00194054" w:rsidRPr="00587E29">
        <w:fldChar w:fldCharType="end"/>
      </w:r>
      <w:r w:rsidR="00843BB6" w:rsidRPr="00587E29">
        <w:fldChar w:fldCharType="separate"/>
      </w:r>
      <w:r w:rsidR="00843BB6" w:rsidRPr="00587E29">
        <w:rPr>
          <w:noProof/>
        </w:rPr>
        <w:t>(</w:t>
      </w:r>
      <w:hyperlink w:anchor="_ENREF_69" w:tooltip="Hiraki, 2011 #162" w:history="1">
        <w:r w:rsidR="00320458" w:rsidRPr="00587E29">
          <w:rPr>
            <w:noProof/>
          </w:rPr>
          <w:t>Hiraki et al 2011a</w:t>
        </w:r>
      </w:hyperlink>
      <w:r w:rsidR="00843BB6" w:rsidRPr="00587E29">
        <w:rPr>
          <w:noProof/>
        </w:rPr>
        <w:t>)</w:t>
      </w:r>
      <w:r w:rsidR="00843BB6" w:rsidRPr="00587E29">
        <w:fldChar w:fldCharType="end"/>
      </w:r>
      <w:r w:rsidR="006D054C" w:rsidRPr="00587E29">
        <w:t>,</w:t>
      </w:r>
      <w:r w:rsidRPr="00587E29">
        <w:t xml:space="preserve"> interval increase in size or </w:t>
      </w:r>
      <w:r w:rsidR="001E4A1A" w:rsidRPr="00587E29">
        <w:t>Fludeoxyglucose  (</w:t>
      </w:r>
      <w:r w:rsidRPr="00587E29">
        <w:t>FDG</w:t>
      </w:r>
      <w:r w:rsidR="001E4A1A" w:rsidRPr="00587E29">
        <w:t>)</w:t>
      </w:r>
      <w:r w:rsidRPr="00587E29">
        <w:t xml:space="preserve"> uptake </w:t>
      </w:r>
      <w:r w:rsidR="00843BB6" w:rsidRPr="00587E29">
        <w:fldChar w:fldCharType="begin">
          <w:fldData xml:space="preserve">PEVuZE5vdGU+PENpdGU+PEF1dGhvcj5SaWRnZTwvQXV0aG9yPjxZZWFyPjIwMTQ8L1llYXI+PFJl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194054" w:rsidRPr="00587E29">
        <w:instrText xml:space="preserve"> ADDIN EN.CITE </w:instrText>
      </w:r>
      <w:r w:rsidR="00194054" w:rsidRPr="00587E29">
        <w:fldChar w:fldCharType="begin">
          <w:fldData xml:space="preserve">PEVuZE5vdGU+PENpdGU+PEF1dGhvcj5SaWRnZTwvQXV0aG9yPjxZZWFyPjIwMTQ8L1llYXI+PFJl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00194054" w:rsidRPr="00587E29">
        <w:instrText xml:space="preserve"> ADDIN EN.CITE.DATA </w:instrText>
      </w:r>
      <w:r w:rsidR="00194054" w:rsidRPr="00587E29">
        <w:fldChar w:fldCharType="end"/>
      </w:r>
      <w:r w:rsidR="00843BB6" w:rsidRPr="00587E29">
        <w:fldChar w:fldCharType="separate"/>
      </w:r>
      <w:r w:rsidR="00843BB6" w:rsidRPr="00587E29">
        <w:rPr>
          <w:noProof/>
        </w:rPr>
        <w:t>(</w:t>
      </w:r>
      <w:hyperlink w:anchor="_ENREF_126" w:tooltip="Ridge, 2014 #165" w:history="1">
        <w:r w:rsidR="00320458" w:rsidRPr="00587E29">
          <w:rPr>
            <w:noProof/>
          </w:rPr>
          <w:t>Ridge et al 2014</w:t>
        </w:r>
      </w:hyperlink>
      <w:r w:rsidR="00843BB6" w:rsidRPr="00587E29">
        <w:rPr>
          <w:noProof/>
        </w:rPr>
        <w:t>)</w:t>
      </w:r>
      <w:r w:rsidR="00843BB6" w:rsidRPr="00587E29">
        <w:fldChar w:fldCharType="end"/>
      </w:r>
      <w:r w:rsidRPr="00587E29">
        <w:t xml:space="preserve">, </w:t>
      </w:r>
      <w:r w:rsidR="00284741" w:rsidRPr="00587E29">
        <w:t xml:space="preserve">and </w:t>
      </w:r>
      <w:r w:rsidR="00553EB4" w:rsidRPr="00587E29">
        <w:t xml:space="preserve">tumour recurrence in the former resection line or at the ablation site </w:t>
      </w:r>
      <w:r w:rsidR="006D054C" w:rsidRPr="00587E29">
        <w:fldChar w:fldCharType="begin">
          <w:fldData xml:space="preserve">PEVuZE5vdGU+PENpdGU+PEF1dGhvcj5TYWZpPC9BdXRob3I+PFllYXI+MjAxNTwvWWVhcj48UmVj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</w:fldData>
        </w:fldChar>
      </w:r>
      <w:r w:rsidR="00194054" w:rsidRPr="00587E29">
        <w:instrText xml:space="preserve"> ADDIN EN.CITE </w:instrText>
      </w:r>
      <w:r w:rsidR="00194054" w:rsidRPr="00587E29">
        <w:fldChar w:fldCharType="begin">
          <w:fldData xml:space="preserve">PEVuZE5vdGU+PENpdGU+PEF1dGhvcj5TYWZpPC9BdXRob3I+PFllYXI+MjAxNTwvWWVhcj48UmVj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</w:fldData>
        </w:fldChar>
      </w:r>
      <w:r w:rsidR="00194054" w:rsidRPr="00587E29">
        <w:instrText xml:space="preserve"> ADDIN EN.CITE.DATA </w:instrText>
      </w:r>
      <w:r w:rsidR="00194054" w:rsidRPr="00587E29">
        <w:fldChar w:fldCharType="end"/>
      </w:r>
      <w:r w:rsidR="006D054C" w:rsidRPr="00587E29">
        <w:fldChar w:fldCharType="separate"/>
      </w:r>
      <w:r w:rsidR="006D054C" w:rsidRPr="00587E29">
        <w:rPr>
          <w:noProof/>
        </w:rPr>
        <w:t>(</w:t>
      </w:r>
      <w:hyperlink w:anchor="_ENREF_130" w:tooltip="Safi, 2015 #167" w:history="1">
        <w:r w:rsidR="00320458" w:rsidRPr="00587E29">
          <w:rPr>
            <w:noProof/>
          </w:rPr>
          <w:t>Safi et al 2015</w:t>
        </w:r>
      </w:hyperlink>
      <w:r w:rsidR="006D054C" w:rsidRPr="00587E29">
        <w:rPr>
          <w:noProof/>
        </w:rPr>
        <w:t>)</w:t>
      </w:r>
      <w:r w:rsidR="006D054C" w:rsidRPr="00587E29">
        <w:fldChar w:fldCharType="end"/>
      </w:r>
      <w:r w:rsidR="00284741">
        <w:t>.</w:t>
      </w:r>
      <w:r w:rsidR="008805BB">
        <w:t xml:space="preserve"> Local tumour response, including progression, was defined according to the RECIST criteria in a minority of studies </w:t>
      </w:r>
      <w:r w:rsidR="008805BB">
        <w:fldChar w:fldCharType="begin">
          <w:fldData xml:space="preserve">PEVuZE5vdGU+PENpdGU+PEF1dGhvcj5MaXU8L0F1dGhvcj48WWVhcj4yMDEzPC9ZZWFyPjxSZWNO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</w:fldData>
        </w:fldChar>
      </w:r>
      <w:r w:rsidR="00AB722F">
        <w:instrText xml:space="preserve"> ADDIN EN.CITE </w:instrText>
      </w:r>
      <w:r w:rsidR="00AB722F">
        <w:fldChar w:fldCharType="begin">
          <w:fldData xml:space="preserve">PEVuZE5vdGU+PENpdGU+PEF1dGhvcj5MaXU8L0F1dGhvcj48WWVhcj4yMDEzPC9ZZWFyPjxSZWNO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</w:fldData>
        </w:fldChar>
      </w:r>
      <w:r w:rsidR="00AB722F">
        <w:instrText xml:space="preserve"> ADDIN EN.CITE.DATA </w:instrText>
      </w:r>
      <w:r w:rsidR="00AB722F">
        <w:fldChar w:fldCharType="end"/>
      </w:r>
      <w:r w:rsidR="008805BB">
        <w:fldChar w:fldCharType="separate"/>
      </w:r>
      <w:r w:rsidR="00AB722F">
        <w:rPr>
          <w:noProof/>
        </w:rPr>
        <w:t>(</w:t>
      </w:r>
      <w:hyperlink w:anchor="_ENREF_95" w:tooltip="Liu, 2013 #94" w:history="1">
        <w:r w:rsidR="00320458">
          <w:rPr>
            <w:noProof/>
          </w:rPr>
          <w:t>Liu and Steinke 2013b</w:t>
        </w:r>
      </w:hyperlink>
      <w:r w:rsidR="00AB722F">
        <w:rPr>
          <w:noProof/>
        </w:rPr>
        <w:t xml:space="preserve">; </w:t>
      </w:r>
      <w:hyperlink w:anchor="_ENREF_163" w:tooltip="Videtic, 2015 #140" w:history="1">
        <w:r w:rsidR="00320458">
          <w:rPr>
            <w:noProof/>
          </w:rPr>
          <w:t>Videtic et al 2015</w:t>
        </w:r>
      </w:hyperlink>
      <w:r w:rsidR="00AB722F">
        <w:rPr>
          <w:noProof/>
        </w:rPr>
        <w:t xml:space="preserve">; </w:t>
      </w:r>
      <w:hyperlink w:anchor="_ENREF_174" w:tooltip="Yang, 2014 #101" w:history="1">
        <w:r w:rsidR="00320458">
          <w:rPr>
            <w:noProof/>
          </w:rPr>
          <w:t>Yang et al 2014</w:t>
        </w:r>
      </w:hyperlink>
      <w:r w:rsidR="00AB722F">
        <w:rPr>
          <w:noProof/>
        </w:rPr>
        <w:t>)</w:t>
      </w:r>
      <w:r w:rsidR="008805BB">
        <w:fldChar w:fldCharType="end"/>
      </w:r>
      <w:r w:rsidR="008805BB">
        <w:t>.</w:t>
      </w:r>
      <w:r w:rsidR="0058454B" w:rsidRPr="0058454B">
        <w:t xml:space="preserve"> </w:t>
      </w:r>
      <w:r w:rsidR="0058454B">
        <w:t xml:space="preserve">Outcomes for local control and local progression are difficult to compare across studies, because the definition of control and progression, and the time points at which they were reported, varied across studies. </w:t>
      </w:r>
    </w:p>
    <w:p w14:paraId="5BEC05CE" w14:textId="77777777" w:rsidR="00AE5276" w:rsidRDefault="00AE5276" w:rsidP="00AE5276">
      <w:pPr>
        <w:pStyle w:val="Caption"/>
        <w:keepNext/>
      </w:pPr>
      <w:bookmarkStart w:id="331" w:name="_Ref459364682"/>
      <w:bookmarkStart w:id="332" w:name="_Toc460514711"/>
      <w:r>
        <w:t xml:space="preserve">Table </w:t>
      </w:r>
      <w:fldSimple w:instr=" SEQ Table \* ARABIC ">
        <w:r w:rsidR="00D170A5">
          <w:rPr>
            <w:noProof/>
          </w:rPr>
          <w:t>53</w:t>
        </w:r>
      </w:fldSimple>
      <w:bookmarkEnd w:id="331"/>
      <w:r w:rsidR="00661581">
        <w:tab/>
        <w:t xml:space="preserve">Local control </w:t>
      </w:r>
      <w:r w:rsidR="002C2FEB">
        <w:t>of MTA, RFA and radiotherapy in pa</w:t>
      </w:r>
      <w:r w:rsidR="00FF37F0">
        <w:t>tients with inoperable early stage NSCLC</w:t>
      </w:r>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673"/>
        <w:gridCol w:w="1533"/>
        <w:gridCol w:w="1533"/>
        <w:gridCol w:w="2172"/>
        <w:gridCol w:w="2171"/>
      </w:tblGrid>
      <w:tr w:rsidR="002B6CFB" w:rsidRPr="00183E4D" w14:paraId="718F4993" w14:textId="77777777" w:rsidTr="00D25265">
        <w:trPr>
          <w:cantSplit/>
          <w:tblHeader/>
        </w:trPr>
        <w:tc>
          <w:tcPr>
            <w:tcW w:w="921" w:type="pct"/>
            <w:shd w:val="clear" w:color="auto" w:fill="D9D9D9" w:themeFill="background1" w:themeFillShade="D9"/>
          </w:tcPr>
          <w:p w14:paraId="08A7A494" w14:textId="77777777" w:rsidR="002B6CFB" w:rsidRPr="00183E4D" w:rsidRDefault="002B6CFB" w:rsidP="0000074B">
            <w:pPr>
              <w:pStyle w:val="TableHeading"/>
              <w:jc w:val="left"/>
              <w:rPr>
                <w:snapToGrid w:val="0"/>
                <w:lang w:eastAsia="en-US"/>
              </w:rPr>
            </w:pPr>
            <w:r w:rsidRPr="00183E4D">
              <w:rPr>
                <w:snapToGrid w:val="0"/>
                <w:lang w:eastAsia="en-US"/>
              </w:rPr>
              <w:t>Trial/Study</w:t>
            </w:r>
          </w:p>
        </w:tc>
        <w:tc>
          <w:tcPr>
            <w:tcW w:w="844" w:type="pct"/>
            <w:tcBorders>
              <w:bottom w:val="single" w:sz="4" w:space="0" w:color="auto"/>
            </w:tcBorders>
            <w:shd w:val="clear" w:color="auto" w:fill="D9D9D9" w:themeFill="background1" w:themeFillShade="D9"/>
          </w:tcPr>
          <w:p w14:paraId="22617518" w14:textId="77777777" w:rsidR="002B6CFB" w:rsidRPr="00183E4D" w:rsidRDefault="002B6CFB" w:rsidP="0000074B">
            <w:pPr>
              <w:pStyle w:val="TableHeading"/>
              <w:jc w:val="center"/>
              <w:rPr>
                <w:snapToGrid w:val="0"/>
                <w:lang w:eastAsia="en-US"/>
              </w:rPr>
            </w:pPr>
            <w:r>
              <w:rPr>
                <w:snapToGrid w:val="0"/>
                <w:lang w:eastAsia="en-US"/>
              </w:rPr>
              <w:t>Intervention</w:t>
            </w:r>
          </w:p>
        </w:tc>
        <w:tc>
          <w:tcPr>
            <w:tcW w:w="844" w:type="pct"/>
            <w:tcBorders>
              <w:bottom w:val="single" w:sz="4" w:space="0" w:color="auto"/>
            </w:tcBorders>
            <w:shd w:val="clear" w:color="auto" w:fill="D9D9D9" w:themeFill="background1" w:themeFillShade="D9"/>
            <w:vAlign w:val="center"/>
          </w:tcPr>
          <w:p w14:paraId="0FD5DD75" w14:textId="77777777" w:rsidR="002B6CFB" w:rsidRPr="00183E4D" w:rsidRDefault="002B6CFB" w:rsidP="0000074B">
            <w:pPr>
              <w:pStyle w:val="TableHeading"/>
              <w:jc w:val="center"/>
              <w:rPr>
                <w:snapToGrid w:val="0"/>
                <w:lang w:eastAsia="en-US"/>
              </w:rPr>
            </w:pPr>
            <w:r w:rsidRPr="00183E4D">
              <w:rPr>
                <w:snapToGrid w:val="0"/>
                <w:lang w:eastAsia="en-US"/>
              </w:rPr>
              <w:t>N</w:t>
            </w:r>
            <w:r>
              <w:rPr>
                <w:snapToGrid w:val="0"/>
                <w:lang w:eastAsia="en-US"/>
              </w:rPr>
              <w:t xml:space="preserve"> (lesions)</w:t>
            </w:r>
          </w:p>
        </w:tc>
        <w:tc>
          <w:tcPr>
            <w:tcW w:w="1196" w:type="pct"/>
            <w:tcBorders>
              <w:bottom w:val="single" w:sz="4" w:space="0" w:color="auto"/>
            </w:tcBorders>
            <w:shd w:val="clear" w:color="auto" w:fill="D9D9D9" w:themeFill="background1" w:themeFillShade="D9"/>
            <w:vAlign w:val="center"/>
          </w:tcPr>
          <w:p w14:paraId="1A9D8CC6" w14:textId="77777777" w:rsidR="002B6CFB" w:rsidRPr="009270B7" w:rsidRDefault="002B6CFB" w:rsidP="0000074B">
            <w:pPr>
              <w:pStyle w:val="TableHeading"/>
              <w:jc w:val="center"/>
              <w:rPr>
                <w:snapToGrid w:val="0"/>
                <w:lang w:eastAsia="en-US"/>
              </w:rPr>
            </w:pPr>
            <w:r>
              <w:rPr>
                <w:snapToGrid w:val="0"/>
                <w:lang w:eastAsia="en-US"/>
              </w:rPr>
              <w:t xml:space="preserve">Local control </w:t>
            </w:r>
            <w:r w:rsidRPr="00A53280">
              <w:rPr>
                <w:snapToGrid w:val="0"/>
                <w:lang w:eastAsia="en-US"/>
              </w:rPr>
              <w:t xml:space="preserve">rate </w:t>
            </w:r>
            <w:r w:rsidR="005129E0">
              <w:rPr>
                <w:snapToGrid w:val="0"/>
                <w:lang w:eastAsia="en-US"/>
              </w:rPr>
              <w:t>n/N (%)</w:t>
            </w:r>
            <w:r w:rsidRPr="00A53280">
              <w:rPr>
                <w:snapToGrid w:val="0"/>
                <w:lang w:eastAsia="en-US"/>
              </w:rPr>
              <w:t xml:space="preserve"> </w:t>
            </w:r>
          </w:p>
        </w:tc>
        <w:tc>
          <w:tcPr>
            <w:tcW w:w="1195" w:type="pct"/>
            <w:tcBorders>
              <w:bottom w:val="single" w:sz="4" w:space="0" w:color="auto"/>
            </w:tcBorders>
            <w:shd w:val="clear" w:color="auto" w:fill="D9D9D9" w:themeFill="background1" w:themeFillShade="D9"/>
            <w:vAlign w:val="center"/>
          </w:tcPr>
          <w:p w14:paraId="292E5568" w14:textId="77777777" w:rsidR="002B6CFB" w:rsidRPr="00183E4D" w:rsidRDefault="002B6CFB" w:rsidP="0000074B">
            <w:pPr>
              <w:pStyle w:val="TableHeading"/>
              <w:jc w:val="center"/>
              <w:rPr>
                <w:snapToGrid w:val="0"/>
                <w:lang w:eastAsia="en-US"/>
              </w:rPr>
            </w:pPr>
            <w:r>
              <w:rPr>
                <w:snapToGrid w:val="0"/>
                <w:lang w:eastAsia="en-US"/>
              </w:rPr>
              <w:t>Local progression n/N (%)</w:t>
            </w:r>
          </w:p>
        </w:tc>
      </w:tr>
      <w:tr w:rsidR="002B6CFB" w:rsidRPr="00183E4D" w14:paraId="194F8942" w14:textId="77777777" w:rsidTr="00D25265">
        <w:trPr>
          <w:cantSplit/>
        </w:trPr>
        <w:tc>
          <w:tcPr>
            <w:tcW w:w="921" w:type="pct"/>
            <w:tcBorders>
              <w:right w:val="nil"/>
            </w:tcBorders>
            <w:shd w:val="clear" w:color="auto" w:fill="D9D9D9" w:themeFill="background1" w:themeFillShade="D9"/>
          </w:tcPr>
          <w:p w14:paraId="21068198" w14:textId="77777777" w:rsidR="002B6CFB" w:rsidRPr="00C23A94" w:rsidRDefault="002B6CFB" w:rsidP="0000074B">
            <w:pPr>
              <w:pStyle w:val="TableText0"/>
              <w:jc w:val="left"/>
              <w:rPr>
                <w:b/>
                <w:snapToGrid w:val="0"/>
              </w:rPr>
            </w:pPr>
            <w:r w:rsidRPr="00C23A94">
              <w:rPr>
                <w:b/>
                <w:snapToGrid w:val="0"/>
              </w:rPr>
              <w:t>MTA</w:t>
            </w:r>
          </w:p>
        </w:tc>
        <w:tc>
          <w:tcPr>
            <w:tcW w:w="844" w:type="pct"/>
            <w:tcBorders>
              <w:left w:val="nil"/>
              <w:right w:val="nil"/>
            </w:tcBorders>
            <w:shd w:val="clear" w:color="auto" w:fill="D9D9D9" w:themeFill="background1" w:themeFillShade="D9"/>
          </w:tcPr>
          <w:p w14:paraId="11A65AFF" w14:textId="77777777" w:rsidR="002B6CFB" w:rsidRPr="00C23A94" w:rsidRDefault="002B6CFB" w:rsidP="0000074B">
            <w:pPr>
              <w:pStyle w:val="TableText0"/>
              <w:jc w:val="center"/>
              <w:rPr>
                <w:b/>
                <w:snapToGrid w:val="0"/>
              </w:rPr>
            </w:pPr>
          </w:p>
        </w:tc>
        <w:tc>
          <w:tcPr>
            <w:tcW w:w="844" w:type="pct"/>
            <w:tcBorders>
              <w:left w:val="nil"/>
              <w:right w:val="nil"/>
            </w:tcBorders>
            <w:shd w:val="clear" w:color="auto" w:fill="D9D9D9" w:themeFill="background1" w:themeFillShade="D9"/>
            <w:vAlign w:val="center"/>
          </w:tcPr>
          <w:p w14:paraId="35FD93A6" w14:textId="77777777" w:rsidR="002B6CFB" w:rsidRPr="00C23A94" w:rsidRDefault="002B6CFB" w:rsidP="0000074B">
            <w:pPr>
              <w:pStyle w:val="TableText0"/>
              <w:jc w:val="center"/>
              <w:rPr>
                <w:b/>
                <w:snapToGrid w:val="0"/>
              </w:rPr>
            </w:pPr>
          </w:p>
        </w:tc>
        <w:tc>
          <w:tcPr>
            <w:tcW w:w="1196" w:type="pct"/>
            <w:tcBorders>
              <w:left w:val="nil"/>
              <w:right w:val="nil"/>
            </w:tcBorders>
            <w:shd w:val="clear" w:color="auto" w:fill="D9D9D9" w:themeFill="background1" w:themeFillShade="D9"/>
          </w:tcPr>
          <w:p w14:paraId="5C1604D2" w14:textId="77777777" w:rsidR="002B6CFB" w:rsidRPr="00C23A94" w:rsidRDefault="002B6CFB" w:rsidP="0000074B">
            <w:pPr>
              <w:pStyle w:val="TableText0"/>
              <w:jc w:val="center"/>
              <w:rPr>
                <w:b/>
              </w:rPr>
            </w:pPr>
          </w:p>
        </w:tc>
        <w:tc>
          <w:tcPr>
            <w:tcW w:w="1195" w:type="pct"/>
            <w:tcBorders>
              <w:left w:val="nil"/>
            </w:tcBorders>
            <w:shd w:val="clear" w:color="auto" w:fill="D9D9D9" w:themeFill="background1" w:themeFillShade="D9"/>
            <w:vAlign w:val="center"/>
          </w:tcPr>
          <w:p w14:paraId="53C3CAFF" w14:textId="77777777" w:rsidR="002B6CFB" w:rsidRPr="00C23A94" w:rsidRDefault="002B6CFB" w:rsidP="0000074B">
            <w:pPr>
              <w:pStyle w:val="TableText0"/>
              <w:jc w:val="center"/>
              <w:rPr>
                <w:b/>
                <w:snapToGrid w:val="0"/>
              </w:rPr>
            </w:pPr>
          </w:p>
        </w:tc>
      </w:tr>
      <w:tr w:rsidR="002B6CFB" w:rsidRPr="00183E4D" w14:paraId="3BA27AC6" w14:textId="77777777" w:rsidTr="00D25265">
        <w:trPr>
          <w:cantSplit/>
        </w:trPr>
        <w:tc>
          <w:tcPr>
            <w:tcW w:w="921" w:type="pct"/>
            <w:shd w:val="clear" w:color="auto" w:fill="auto"/>
          </w:tcPr>
          <w:p w14:paraId="1B515CAE" w14:textId="77777777" w:rsidR="002B6CFB" w:rsidRPr="008A6F37" w:rsidRDefault="002B6CFB" w:rsidP="0000074B">
            <w:pPr>
              <w:pStyle w:val="Tabletext1"/>
              <w:spacing w:before="40" w:after="40"/>
              <w:rPr>
                <w:snapToGrid w:val="0"/>
              </w:rPr>
            </w:pPr>
            <w:r>
              <w:rPr>
                <w:snapToGrid w:val="0"/>
              </w:rPr>
              <w:t>Han et al (2015)</w:t>
            </w:r>
            <w:r w:rsidR="00F829C6">
              <w:rPr>
                <w:vertAlign w:val="superscript"/>
              </w:rPr>
              <w:t>a</w:t>
            </w:r>
          </w:p>
        </w:tc>
        <w:tc>
          <w:tcPr>
            <w:tcW w:w="844" w:type="pct"/>
          </w:tcPr>
          <w:p w14:paraId="1B5D3F6D" w14:textId="77777777" w:rsidR="002B6CFB" w:rsidRDefault="002B6CFB" w:rsidP="0000074B">
            <w:pPr>
              <w:pStyle w:val="Tabletext1"/>
              <w:spacing w:before="40" w:after="40"/>
              <w:jc w:val="center"/>
              <w:rPr>
                <w:snapToGrid w:val="0"/>
              </w:rPr>
            </w:pPr>
            <w:r>
              <w:rPr>
                <w:snapToGrid w:val="0"/>
              </w:rPr>
              <w:t>MTA</w:t>
            </w:r>
          </w:p>
        </w:tc>
        <w:tc>
          <w:tcPr>
            <w:tcW w:w="844" w:type="pct"/>
            <w:shd w:val="clear" w:color="auto" w:fill="auto"/>
          </w:tcPr>
          <w:p w14:paraId="6357059F" w14:textId="77777777" w:rsidR="002B6CFB" w:rsidRPr="008A6F37" w:rsidRDefault="002B6CFB" w:rsidP="0000074B">
            <w:pPr>
              <w:pStyle w:val="Tabletext1"/>
              <w:spacing w:before="40" w:after="40"/>
              <w:jc w:val="center"/>
              <w:rPr>
                <w:snapToGrid w:val="0"/>
              </w:rPr>
            </w:pPr>
            <w:r>
              <w:rPr>
                <w:snapToGrid w:val="0"/>
              </w:rPr>
              <w:t>28 (28)</w:t>
            </w:r>
          </w:p>
        </w:tc>
        <w:tc>
          <w:tcPr>
            <w:tcW w:w="1196" w:type="pct"/>
            <w:shd w:val="clear" w:color="auto" w:fill="auto"/>
          </w:tcPr>
          <w:p w14:paraId="1C7F9A7A" w14:textId="77777777" w:rsidR="002B6CFB" w:rsidRPr="00F608FC" w:rsidRDefault="002B6CFB" w:rsidP="0000074B">
            <w:pPr>
              <w:pStyle w:val="Tabletext1"/>
              <w:spacing w:before="40" w:after="40"/>
              <w:jc w:val="center"/>
              <w:rPr>
                <w:i/>
                <w:vertAlign w:val="superscript"/>
              </w:rPr>
            </w:pPr>
            <w:r>
              <w:t>1-</w:t>
            </w:r>
            <w:r w:rsidR="005C7121">
              <w:t>year</w:t>
            </w:r>
            <w:r w:rsidR="00D53958">
              <w:rPr>
                <w:snapToGrid w:val="0"/>
              </w:rPr>
              <w:t xml:space="preserve"> NR</w:t>
            </w:r>
            <w:r w:rsidR="005C7121">
              <w:t xml:space="preserve"> </w:t>
            </w:r>
            <w:r w:rsidR="005129E0">
              <w:t>(</w:t>
            </w:r>
            <w:r w:rsidR="005C7121">
              <w:t>81</w:t>
            </w:r>
            <w:r w:rsidR="005129E0">
              <w:t>)</w:t>
            </w:r>
          </w:p>
          <w:p w14:paraId="6655FB82" w14:textId="77777777" w:rsidR="002B6CFB" w:rsidRPr="00F608FC" w:rsidRDefault="005C7121" w:rsidP="0000074B">
            <w:pPr>
              <w:pStyle w:val="Tabletext1"/>
              <w:spacing w:before="40" w:after="40"/>
              <w:jc w:val="center"/>
              <w:rPr>
                <w:vertAlign w:val="superscript"/>
              </w:rPr>
            </w:pPr>
            <w:r>
              <w:t xml:space="preserve">2-year </w:t>
            </w:r>
            <w:r w:rsidR="00D53958">
              <w:rPr>
                <w:snapToGrid w:val="0"/>
              </w:rPr>
              <w:t xml:space="preserve">NR </w:t>
            </w:r>
            <w:r w:rsidR="005129E0">
              <w:t>(</w:t>
            </w:r>
            <w:r>
              <w:t>74</w:t>
            </w:r>
            <w:r w:rsidR="005129E0">
              <w:t>)</w:t>
            </w:r>
          </w:p>
          <w:p w14:paraId="0B9E851E" w14:textId="77777777" w:rsidR="002B6CFB" w:rsidRPr="00F608FC" w:rsidRDefault="005C7121" w:rsidP="0000074B">
            <w:pPr>
              <w:pStyle w:val="Tabletext1"/>
              <w:spacing w:before="40" w:after="40"/>
              <w:jc w:val="center"/>
              <w:rPr>
                <w:i/>
                <w:vertAlign w:val="superscript"/>
              </w:rPr>
            </w:pPr>
            <w:r>
              <w:t>3-year</w:t>
            </w:r>
            <w:r w:rsidR="00D53958">
              <w:rPr>
                <w:snapToGrid w:val="0"/>
              </w:rPr>
              <w:t xml:space="preserve"> NR</w:t>
            </w:r>
            <w:r>
              <w:t xml:space="preserve"> </w:t>
            </w:r>
            <w:r w:rsidR="005129E0">
              <w:t>(</w:t>
            </w:r>
            <w:r>
              <w:t>22</w:t>
            </w:r>
            <w:r w:rsidR="005129E0">
              <w:t>)</w:t>
            </w:r>
          </w:p>
          <w:p w14:paraId="5B659009" w14:textId="77777777" w:rsidR="002B6CFB" w:rsidRPr="00D2770D" w:rsidRDefault="005C7121" w:rsidP="0000074B">
            <w:pPr>
              <w:pStyle w:val="Tabletext1"/>
              <w:spacing w:before="40" w:after="40"/>
              <w:jc w:val="center"/>
              <w:rPr>
                <w:i/>
                <w:vertAlign w:val="superscript"/>
              </w:rPr>
            </w:pPr>
            <w:r>
              <w:t xml:space="preserve">4-year </w:t>
            </w:r>
            <w:r w:rsidR="00D53958">
              <w:rPr>
                <w:snapToGrid w:val="0"/>
              </w:rPr>
              <w:t xml:space="preserve">NR </w:t>
            </w:r>
            <w:r w:rsidR="005129E0">
              <w:t>(</w:t>
            </w:r>
            <w:r>
              <w:t>22</w:t>
            </w:r>
            <w:r w:rsidR="005129E0">
              <w:t>)</w:t>
            </w:r>
          </w:p>
        </w:tc>
        <w:tc>
          <w:tcPr>
            <w:tcW w:w="1195" w:type="pct"/>
            <w:shd w:val="clear" w:color="auto" w:fill="auto"/>
          </w:tcPr>
          <w:p w14:paraId="625395B0" w14:textId="77777777" w:rsidR="002B6CFB" w:rsidRPr="00F608FC" w:rsidRDefault="002B6CFB" w:rsidP="0000074B">
            <w:pPr>
              <w:pStyle w:val="Tabletext1"/>
              <w:spacing w:before="40" w:after="40"/>
              <w:jc w:val="center"/>
              <w:rPr>
                <w:snapToGrid w:val="0"/>
                <w:vertAlign w:val="superscript"/>
              </w:rPr>
            </w:pPr>
            <w:r>
              <w:rPr>
                <w:snapToGrid w:val="0"/>
              </w:rPr>
              <w:t>9/28 (32)</w:t>
            </w:r>
          </w:p>
        </w:tc>
      </w:tr>
      <w:tr w:rsidR="002B6CFB" w:rsidRPr="00183E4D" w14:paraId="7174D75F" w14:textId="77777777" w:rsidTr="00D25265">
        <w:trPr>
          <w:cantSplit/>
        </w:trPr>
        <w:tc>
          <w:tcPr>
            <w:tcW w:w="921" w:type="pct"/>
            <w:shd w:val="clear" w:color="auto" w:fill="auto"/>
          </w:tcPr>
          <w:p w14:paraId="634CBEBE" w14:textId="77777777" w:rsidR="002B6CFB" w:rsidRPr="008A6F37" w:rsidRDefault="002B6CFB" w:rsidP="0000074B">
            <w:pPr>
              <w:pStyle w:val="Tabletext1"/>
              <w:spacing w:before="40" w:after="40"/>
              <w:rPr>
                <w:snapToGrid w:val="0"/>
              </w:rPr>
            </w:pPr>
            <w:r>
              <w:rPr>
                <w:snapToGrid w:val="0"/>
              </w:rPr>
              <w:t>Liu &amp; Steinke (2015)</w:t>
            </w:r>
            <w:r w:rsidR="00F829C6">
              <w:rPr>
                <w:snapToGrid w:val="0"/>
                <w:vertAlign w:val="superscript"/>
              </w:rPr>
              <w:t>b</w:t>
            </w:r>
          </w:p>
        </w:tc>
        <w:tc>
          <w:tcPr>
            <w:tcW w:w="844" w:type="pct"/>
          </w:tcPr>
          <w:p w14:paraId="123E5D70" w14:textId="77777777" w:rsidR="002B6CFB" w:rsidRDefault="002B6CFB" w:rsidP="0000074B">
            <w:pPr>
              <w:pStyle w:val="Tabletext1"/>
              <w:spacing w:before="40" w:after="40"/>
              <w:jc w:val="center"/>
              <w:rPr>
                <w:snapToGrid w:val="0"/>
              </w:rPr>
            </w:pPr>
            <w:r>
              <w:rPr>
                <w:snapToGrid w:val="0"/>
              </w:rPr>
              <w:t>MTA</w:t>
            </w:r>
          </w:p>
        </w:tc>
        <w:tc>
          <w:tcPr>
            <w:tcW w:w="844" w:type="pct"/>
            <w:shd w:val="clear" w:color="auto" w:fill="auto"/>
          </w:tcPr>
          <w:p w14:paraId="7D934011" w14:textId="77777777" w:rsidR="002B6CFB" w:rsidRPr="008A6F37" w:rsidRDefault="002B6CFB" w:rsidP="0000074B">
            <w:pPr>
              <w:pStyle w:val="Tabletext1"/>
              <w:spacing w:before="40" w:after="40"/>
              <w:jc w:val="center"/>
              <w:rPr>
                <w:snapToGrid w:val="0"/>
              </w:rPr>
            </w:pPr>
            <w:r>
              <w:rPr>
                <w:snapToGrid w:val="0"/>
              </w:rPr>
              <w:t>15 (16)</w:t>
            </w:r>
          </w:p>
        </w:tc>
        <w:tc>
          <w:tcPr>
            <w:tcW w:w="1196" w:type="pct"/>
            <w:shd w:val="clear" w:color="auto" w:fill="auto"/>
          </w:tcPr>
          <w:p w14:paraId="150DB6BA" w14:textId="77777777" w:rsidR="002B6CFB" w:rsidRPr="00723C9B" w:rsidRDefault="002B6CFB" w:rsidP="0000074B">
            <w:pPr>
              <w:pStyle w:val="Tabletext1"/>
              <w:spacing w:before="40" w:after="40"/>
              <w:jc w:val="center"/>
            </w:pPr>
            <w:r>
              <w:t>NR</w:t>
            </w:r>
          </w:p>
        </w:tc>
        <w:tc>
          <w:tcPr>
            <w:tcW w:w="1195" w:type="pct"/>
            <w:shd w:val="clear" w:color="auto" w:fill="auto"/>
          </w:tcPr>
          <w:p w14:paraId="4A27BC6F" w14:textId="77777777" w:rsidR="002B6CFB" w:rsidRPr="00F608FC" w:rsidRDefault="002B6CFB" w:rsidP="0000074B">
            <w:pPr>
              <w:pStyle w:val="Tabletext1"/>
              <w:spacing w:before="40" w:after="40"/>
              <w:jc w:val="center"/>
              <w:rPr>
                <w:snapToGrid w:val="0"/>
              </w:rPr>
            </w:pPr>
            <w:r>
              <w:rPr>
                <w:snapToGrid w:val="0"/>
              </w:rPr>
              <w:t>5/16 (31</w:t>
            </w:r>
            <w:r w:rsidRPr="00D6073F">
              <w:rPr>
                <w:snapToGrid w:val="0"/>
              </w:rPr>
              <w:t>)</w:t>
            </w:r>
          </w:p>
        </w:tc>
      </w:tr>
      <w:tr w:rsidR="002B6CFB" w:rsidRPr="00183E4D" w14:paraId="2745E3BC" w14:textId="77777777" w:rsidTr="00D25265">
        <w:trPr>
          <w:cantSplit/>
        </w:trPr>
        <w:tc>
          <w:tcPr>
            <w:tcW w:w="921" w:type="pct"/>
            <w:tcBorders>
              <w:bottom w:val="single" w:sz="4" w:space="0" w:color="auto"/>
            </w:tcBorders>
            <w:shd w:val="clear" w:color="auto" w:fill="auto"/>
          </w:tcPr>
          <w:p w14:paraId="2A774AAE" w14:textId="77777777" w:rsidR="002B6CFB" w:rsidRPr="008A6F37" w:rsidRDefault="002B6CFB" w:rsidP="0000074B">
            <w:pPr>
              <w:pStyle w:val="Tabletext1"/>
              <w:spacing w:before="40" w:after="40"/>
              <w:rPr>
                <w:snapToGrid w:val="0"/>
              </w:rPr>
            </w:pPr>
            <w:r>
              <w:rPr>
                <w:snapToGrid w:val="0"/>
              </w:rPr>
              <w:t>Yang et al (2014)</w:t>
            </w:r>
            <w:r w:rsidR="00F829C6">
              <w:rPr>
                <w:snapToGrid w:val="0"/>
                <w:vertAlign w:val="superscript"/>
              </w:rPr>
              <w:t>c</w:t>
            </w:r>
          </w:p>
        </w:tc>
        <w:tc>
          <w:tcPr>
            <w:tcW w:w="844" w:type="pct"/>
            <w:tcBorders>
              <w:bottom w:val="single" w:sz="4" w:space="0" w:color="auto"/>
            </w:tcBorders>
          </w:tcPr>
          <w:p w14:paraId="3D78AFBB" w14:textId="77777777" w:rsidR="002B6CFB" w:rsidRDefault="002B6CFB" w:rsidP="0000074B">
            <w:pPr>
              <w:pStyle w:val="Tabletext1"/>
              <w:spacing w:before="40" w:after="40"/>
              <w:jc w:val="center"/>
              <w:rPr>
                <w:snapToGrid w:val="0"/>
              </w:rPr>
            </w:pPr>
            <w:r>
              <w:rPr>
                <w:snapToGrid w:val="0"/>
              </w:rPr>
              <w:t>MTA</w:t>
            </w:r>
          </w:p>
        </w:tc>
        <w:tc>
          <w:tcPr>
            <w:tcW w:w="844" w:type="pct"/>
            <w:tcBorders>
              <w:bottom w:val="single" w:sz="4" w:space="0" w:color="auto"/>
            </w:tcBorders>
            <w:shd w:val="clear" w:color="auto" w:fill="auto"/>
          </w:tcPr>
          <w:p w14:paraId="59FA6D74" w14:textId="77777777" w:rsidR="002B6CFB" w:rsidRPr="008A6F37" w:rsidRDefault="002B6CFB" w:rsidP="0000074B">
            <w:pPr>
              <w:pStyle w:val="Tabletext1"/>
              <w:spacing w:before="40" w:after="40"/>
              <w:jc w:val="center"/>
              <w:rPr>
                <w:snapToGrid w:val="0"/>
              </w:rPr>
            </w:pPr>
            <w:r>
              <w:rPr>
                <w:snapToGrid w:val="0"/>
              </w:rPr>
              <w:t>47 (47)</w:t>
            </w:r>
          </w:p>
        </w:tc>
        <w:tc>
          <w:tcPr>
            <w:tcW w:w="1196" w:type="pct"/>
            <w:tcBorders>
              <w:bottom w:val="single" w:sz="4" w:space="0" w:color="auto"/>
            </w:tcBorders>
            <w:shd w:val="clear" w:color="auto" w:fill="auto"/>
          </w:tcPr>
          <w:p w14:paraId="7745D0C8" w14:textId="77777777" w:rsidR="002B6CFB" w:rsidRPr="00F608FC" w:rsidRDefault="002B6CFB" w:rsidP="0000074B">
            <w:pPr>
              <w:pStyle w:val="Tabletext1"/>
              <w:spacing w:before="40" w:after="40"/>
              <w:jc w:val="center"/>
              <w:rPr>
                <w:i/>
                <w:vertAlign w:val="superscript"/>
              </w:rPr>
            </w:pPr>
            <w:r>
              <w:t>1-year</w:t>
            </w:r>
            <w:r w:rsidR="00D53958">
              <w:rPr>
                <w:snapToGrid w:val="0"/>
              </w:rPr>
              <w:t xml:space="preserve"> NR</w:t>
            </w:r>
            <w:r>
              <w:t xml:space="preserve"> </w:t>
            </w:r>
            <w:r w:rsidR="005129E0">
              <w:t>(</w:t>
            </w:r>
            <w:r>
              <w:t>96</w:t>
            </w:r>
            <w:r w:rsidR="005129E0">
              <w:t>)</w:t>
            </w:r>
          </w:p>
          <w:p w14:paraId="4C677A19" w14:textId="77777777" w:rsidR="002B6CFB" w:rsidRPr="00C35D2E" w:rsidRDefault="002B6CFB" w:rsidP="0000074B">
            <w:pPr>
              <w:pStyle w:val="Tabletext1"/>
              <w:spacing w:before="40" w:after="40"/>
              <w:jc w:val="center"/>
              <w:rPr>
                <w:vertAlign w:val="superscript"/>
              </w:rPr>
            </w:pPr>
            <w:r>
              <w:t>3-year</w:t>
            </w:r>
            <w:r w:rsidR="00D53958">
              <w:rPr>
                <w:snapToGrid w:val="0"/>
              </w:rPr>
              <w:t xml:space="preserve"> NR</w:t>
            </w:r>
            <w:r>
              <w:t xml:space="preserve"> </w:t>
            </w:r>
            <w:r w:rsidR="005129E0">
              <w:t>(</w:t>
            </w:r>
            <w:r w:rsidRPr="00C35D2E">
              <w:t>64</w:t>
            </w:r>
            <w:r w:rsidR="005129E0">
              <w:t>)</w:t>
            </w:r>
          </w:p>
          <w:p w14:paraId="38C3EB39" w14:textId="77777777" w:rsidR="002B6CFB" w:rsidRPr="00F608FC" w:rsidRDefault="002B6CFB" w:rsidP="0000074B">
            <w:pPr>
              <w:pStyle w:val="Tabletext1"/>
              <w:spacing w:before="40" w:after="40"/>
              <w:jc w:val="center"/>
              <w:rPr>
                <w:i/>
                <w:vertAlign w:val="superscript"/>
              </w:rPr>
            </w:pPr>
            <w:r w:rsidRPr="00C35D2E">
              <w:t xml:space="preserve">5-year </w:t>
            </w:r>
            <w:r w:rsidR="00D53958">
              <w:rPr>
                <w:snapToGrid w:val="0"/>
              </w:rPr>
              <w:t xml:space="preserve">NR </w:t>
            </w:r>
            <w:r w:rsidR="005129E0">
              <w:t>(</w:t>
            </w:r>
            <w:r w:rsidRPr="00C35D2E">
              <w:t>48</w:t>
            </w:r>
            <w:r w:rsidR="005129E0">
              <w:t>)</w:t>
            </w:r>
          </w:p>
        </w:tc>
        <w:tc>
          <w:tcPr>
            <w:tcW w:w="1195" w:type="pct"/>
            <w:tcBorders>
              <w:bottom w:val="single" w:sz="4" w:space="0" w:color="auto"/>
            </w:tcBorders>
            <w:shd w:val="clear" w:color="auto" w:fill="auto"/>
          </w:tcPr>
          <w:p w14:paraId="4F23B0E3" w14:textId="77777777" w:rsidR="002B6CFB" w:rsidRPr="00F608FC" w:rsidRDefault="002B6CFB" w:rsidP="0000074B">
            <w:pPr>
              <w:pStyle w:val="Tabletext1"/>
              <w:spacing w:before="40" w:after="40"/>
              <w:jc w:val="center"/>
              <w:rPr>
                <w:snapToGrid w:val="0"/>
                <w:vertAlign w:val="superscript"/>
              </w:rPr>
            </w:pPr>
            <w:r>
              <w:rPr>
                <w:snapToGrid w:val="0"/>
              </w:rPr>
              <w:t>13/47 (2</w:t>
            </w:r>
            <w:r w:rsidR="007C798A">
              <w:rPr>
                <w:snapToGrid w:val="0"/>
              </w:rPr>
              <w:t>8</w:t>
            </w:r>
            <w:r w:rsidRPr="00D6073F">
              <w:rPr>
                <w:snapToGrid w:val="0"/>
              </w:rPr>
              <w:t>)</w:t>
            </w:r>
          </w:p>
        </w:tc>
      </w:tr>
      <w:tr w:rsidR="002B6CFB" w:rsidRPr="00183E4D" w14:paraId="5A78B094" w14:textId="77777777" w:rsidTr="00D25265">
        <w:trPr>
          <w:cantSplit/>
        </w:trPr>
        <w:tc>
          <w:tcPr>
            <w:tcW w:w="921" w:type="pct"/>
            <w:tcBorders>
              <w:right w:val="single" w:sz="4" w:space="0" w:color="auto"/>
            </w:tcBorders>
            <w:shd w:val="clear" w:color="auto" w:fill="auto"/>
          </w:tcPr>
          <w:p w14:paraId="3F3E7305" w14:textId="77777777" w:rsidR="002B6CFB" w:rsidRPr="00183E4D" w:rsidRDefault="002B6CFB" w:rsidP="0000074B">
            <w:pPr>
              <w:pStyle w:val="Tabletext1"/>
              <w:spacing w:before="40" w:after="40"/>
              <w:rPr>
                <w:snapToGrid w:val="0"/>
              </w:rPr>
            </w:pPr>
            <w:r>
              <w:rPr>
                <w:snapToGrid w:val="0"/>
              </w:rPr>
              <w:t>Pooled analysis</w:t>
            </w:r>
          </w:p>
        </w:tc>
        <w:tc>
          <w:tcPr>
            <w:tcW w:w="844" w:type="pct"/>
            <w:tcBorders>
              <w:left w:val="single" w:sz="4" w:space="0" w:color="auto"/>
              <w:bottom w:val="single" w:sz="4" w:space="0" w:color="auto"/>
              <w:right w:val="single" w:sz="4" w:space="0" w:color="auto"/>
            </w:tcBorders>
          </w:tcPr>
          <w:p w14:paraId="59CF6AD8" w14:textId="77777777" w:rsidR="002B6CFB" w:rsidRDefault="00360E9F" w:rsidP="0000074B">
            <w:pPr>
              <w:pStyle w:val="Tabletext1"/>
              <w:spacing w:before="40" w:after="40"/>
              <w:jc w:val="center"/>
              <w:rPr>
                <w:snapToGrid w:val="0"/>
              </w:rPr>
            </w:pPr>
            <w:r>
              <w:rPr>
                <w:snapToGrid w:val="0"/>
              </w:rPr>
              <w:t>NA</w:t>
            </w:r>
          </w:p>
        </w:tc>
        <w:tc>
          <w:tcPr>
            <w:tcW w:w="844" w:type="pct"/>
            <w:tcBorders>
              <w:left w:val="single" w:sz="4" w:space="0" w:color="auto"/>
              <w:bottom w:val="single" w:sz="4" w:space="0" w:color="auto"/>
              <w:right w:val="single" w:sz="4" w:space="0" w:color="auto"/>
            </w:tcBorders>
            <w:shd w:val="clear" w:color="auto" w:fill="auto"/>
          </w:tcPr>
          <w:p w14:paraId="0542CD1E" w14:textId="77777777" w:rsidR="002B6CFB" w:rsidRPr="007C2B19" w:rsidRDefault="002B6CFB" w:rsidP="0000074B">
            <w:pPr>
              <w:pStyle w:val="Tabletext1"/>
              <w:spacing w:before="40" w:after="40"/>
              <w:jc w:val="center"/>
              <w:rPr>
                <w:snapToGrid w:val="0"/>
              </w:rPr>
            </w:pPr>
            <w:r>
              <w:rPr>
                <w:snapToGrid w:val="0"/>
              </w:rPr>
              <w:t>90</w:t>
            </w:r>
            <w:r w:rsidR="007C2B19">
              <w:rPr>
                <w:snapToGrid w:val="0"/>
              </w:rPr>
              <w:t xml:space="preserve"> </w:t>
            </w:r>
            <w:r>
              <w:rPr>
                <w:snapToGrid w:val="0"/>
              </w:rPr>
              <w:t>(91</w:t>
            </w:r>
            <w:r w:rsidRPr="00D57ADE">
              <w:rPr>
                <w:snapToGrid w:val="0"/>
              </w:rPr>
              <w:t>)</w:t>
            </w:r>
          </w:p>
        </w:tc>
        <w:tc>
          <w:tcPr>
            <w:tcW w:w="1196" w:type="pct"/>
            <w:tcBorders>
              <w:left w:val="single" w:sz="4" w:space="0" w:color="auto"/>
              <w:bottom w:val="single" w:sz="4" w:space="0" w:color="auto"/>
              <w:right w:val="single" w:sz="4" w:space="0" w:color="auto"/>
            </w:tcBorders>
            <w:shd w:val="clear" w:color="auto" w:fill="auto"/>
          </w:tcPr>
          <w:p w14:paraId="6EC3B9E8" w14:textId="77777777" w:rsidR="002B6CFB" w:rsidRDefault="002B6CFB" w:rsidP="0000074B">
            <w:pPr>
              <w:pStyle w:val="Tabletext1"/>
              <w:spacing w:before="40" w:after="40"/>
              <w:jc w:val="center"/>
              <w:rPr>
                <w:snapToGrid w:val="0"/>
              </w:rPr>
            </w:pPr>
            <w:r>
              <w:rPr>
                <w:snapToGrid w:val="0"/>
              </w:rPr>
              <w:t>Pooling not possible</w:t>
            </w:r>
          </w:p>
          <w:p w14:paraId="65BFFA75" w14:textId="7D990EF1" w:rsidR="002B6CFB" w:rsidRDefault="001A107F" w:rsidP="0000074B">
            <w:pPr>
              <w:pStyle w:val="Tabletext1"/>
              <w:spacing w:before="40" w:after="40"/>
              <w:jc w:val="center"/>
              <w:rPr>
                <w:snapToGrid w:val="0"/>
              </w:rPr>
            </w:pPr>
            <w:r>
              <w:rPr>
                <w:snapToGrid w:val="0"/>
              </w:rPr>
              <w:t>Quality</w:t>
            </w:r>
            <w:r w:rsidR="002B6CFB">
              <w:rPr>
                <w:snapToGrid w:val="0"/>
              </w:rPr>
              <w:t xml:space="preserve"> of the evidence</w:t>
            </w:r>
          </w:p>
          <w:p w14:paraId="1DD75BD0" w14:textId="65822037" w:rsidR="002B6CFB" w:rsidRPr="005A3150" w:rsidRDefault="002B6CFB" w:rsidP="0000074B">
            <w:pPr>
              <w:pStyle w:val="Tabletext1"/>
              <w:spacing w:before="40" w:after="40"/>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sidR="005A3150">
              <w:rPr>
                <w:rFonts w:ascii="Cambria Math" w:hAnsi="Cambria Math" w:cs="Cambria Math"/>
                <w:color w:val="C00000"/>
              </w:rPr>
              <w:t xml:space="preserve"> </w:t>
            </w: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1195" w:type="pct"/>
            <w:tcBorders>
              <w:left w:val="single" w:sz="4" w:space="0" w:color="auto"/>
              <w:bottom w:val="single" w:sz="4" w:space="0" w:color="auto"/>
            </w:tcBorders>
            <w:shd w:val="clear" w:color="auto" w:fill="auto"/>
          </w:tcPr>
          <w:p w14:paraId="69EA0DA8" w14:textId="77777777" w:rsidR="002B6CFB" w:rsidRDefault="007C798A" w:rsidP="0000074B">
            <w:pPr>
              <w:pStyle w:val="Tabletext1"/>
              <w:spacing w:before="40" w:after="40"/>
              <w:jc w:val="center"/>
              <w:rPr>
                <w:snapToGrid w:val="0"/>
              </w:rPr>
            </w:pPr>
            <w:r>
              <w:rPr>
                <w:snapToGrid w:val="0"/>
              </w:rPr>
              <w:t>Median 31% (28-32)</w:t>
            </w:r>
          </w:p>
          <w:p w14:paraId="531AD0BA" w14:textId="73DF213E" w:rsidR="002B6CFB" w:rsidRDefault="001A107F" w:rsidP="0000074B">
            <w:pPr>
              <w:pStyle w:val="Tabletext1"/>
              <w:spacing w:before="40" w:after="40"/>
              <w:jc w:val="center"/>
              <w:rPr>
                <w:snapToGrid w:val="0"/>
              </w:rPr>
            </w:pPr>
            <w:r>
              <w:rPr>
                <w:snapToGrid w:val="0"/>
              </w:rPr>
              <w:t xml:space="preserve">Quality </w:t>
            </w:r>
            <w:r w:rsidR="002B6CFB">
              <w:rPr>
                <w:snapToGrid w:val="0"/>
              </w:rPr>
              <w:t>of the evidence</w:t>
            </w:r>
          </w:p>
          <w:p w14:paraId="43C0E75D" w14:textId="38BCFCF2" w:rsidR="002B6CFB" w:rsidRPr="00C62F37" w:rsidRDefault="002B6CFB" w:rsidP="0000074B">
            <w:pPr>
              <w:pStyle w:val="Tabletext1"/>
              <w:spacing w:before="40" w:after="40"/>
              <w:jc w:val="center"/>
              <w:rPr>
                <w:rFonts w:ascii="MS Mincho" w:eastAsia="MS Mincho" w:hAnsi="MS Mincho" w:cs="MS Mincho"/>
                <w:b/>
                <w:sz w:val="21"/>
                <w:szCs w:val="21"/>
              </w:rPr>
            </w:pPr>
            <w:r>
              <w:rPr>
                <w:rFonts w:ascii="Cambria Math" w:hAnsi="Cambria Math"/>
                <w:color w:val="00B050"/>
              </w:rPr>
              <w:t>⨁</w:t>
            </w:r>
            <w:r w:rsidRPr="00D4733A">
              <w:rPr>
                <w:rFonts w:ascii="Cambria Math" w:hAnsi="Cambria Math" w:cs="Cambria Math"/>
                <w:color w:val="C00000"/>
              </w:rPr>
              <w:t>⨀⨀⨀</w:t>
            </w:r>
            <w:r w:rsidR="005A3150">
              <w:rPr>
                <w:rStyle w:val="quality-sign"/>
                <w:rFonts w:ascii="MS Mincho" w:eastAsia="MS Mincho" w:hAnsi="MS Mincho" w:cs="MS Mincho"/>
                <w:b/>
                <w:sz w:val="21"/>
                <w:szCs w:val="21"/>
              </w:rPr>
              <w:t xml:space="preserve"> </w:t>
            </w: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r>
      <w:tr w:rsidR="002B6CFB" w:rsidRPr="00183E4D" w14:paraId="751E2387" w14:textId="77777777" w:rsidTr="00D25265">
        <w:trPr>
          <w:cantSplit/>
        </w:trPr>
        <w:tc>
          <w:tcPr>
            <w:tcW w:w="921" w:type="pct"/>
            <w:tcBorders>
              <w:right w:val="nil"/>
            </w:tcBorders>
            <w:shd w:val="clear" w:color="auto" w:fill="D9D9D9" w:themeFill="background1" w:themeFillShade="D9"/>
          </w:tcPr>
          <w:p w14:paraId="631AF6C7" w14:textId="77777777" w:rsidR="002B6CFB" w:rsidRPr="00C23A94" w:rsidRDefault="002B6CFB" w:rsidP="0000074B">
            <w:pPr>
              <w:pStyle w:val="Tabletext1"/>
              <w:spacing w:before="40" w:after="40"/>
              <w:rPr>
                <w:b/>
                <w:snapToGrid w:val="0"/>
              </w:rPr>
            </w:pPr>
            <w:r w:rsidRPr="00C23A94">
              <w:rPr>
                <w:b/>
                <w:snapToGrid w:val="0"/>
              </w:rPr>
              <w:lastRenderedPageBreak/>
              <w:t>RFA</w:t>
            </w:r>
          </w:p>
        </w:tc>
        <w:tc>
          <w:tcPr>
            <w:tcW w:w="844" w:type="pct"/>
            <w:tcBorders>
              <w:left w:val="nil"/>
              <w:right w:val="nil"/>
            </w:tcBorders>
            <w:shd w:val="clear" w:color="auto" w:fill="D9D9D9" w:themeFill="background1" w:themeFillShade="D9"/>
          </w:tcPr>
          <w:p w14:paraId="1C7A2868" w14:textId="77777777" w:rsidR="002B6CFB" w:rsidRPr="00C23A94" w:rsidRDefault="002B6CFB" w:rsidP="0000074B">
            <w:pPr>
              <w:pStyle w:val="Tabletext1"/>
              <w:spacing w:before="40" w:after="40"/>
              <w:jc w:val="center"/>
              <w:rPr>
                <w:b/>
                <w:snapToGrid w:val="0"/>
              </w:rPr>
            </w:pPr>
          </w:p>
        </w:tc>
        <w:tc>
          <w:tcPr>
            <w:tcW w:w="844" w:type="pct"/>
            <w:tcBorders>
              <w:left w:val="nil"/>
              <w:right w:val="nil"/>
            </w:tcBorders>
            <w:shd w:val="clear" w:color="auto" w:fill="D9D9D9" w:themeFill="background1" w:themeFillShade="D9"/>
          </w:tcPr>
          <w:p w14:paraId="156CD7C7" w14:textId="77777777" w:rsidR="002B6CFB" w:rsidRPr="00C23A94" w:rsidRDefault="002B6CFB" w:rsidP="0000074B">
            <w:pPr>
              <w:pStyle w:val="Tabletext1"/>
              <w:spacing w:before="40" w:after="40"/>
              <w:jc w:val="center"/>
              <w:rPr>
                <w:b/>
                <w:snapToGrid w:val="0"/>
              </w:rPr>
            </w:pPr>
          </w:p>
        </w:tc>
        <w:tc>
          <w:tcPr>
            <w:tcW w:w="1196" w:type="pct"/>
            <w:tcBorders>
              <w:left w:val="nil"/>
              <w:right w:val="nil"/>
            </w:tcBorders>
            <w:shd w:val="clear" w:color="auto" w:fill="D9D9D9" w:themeFill="background1" w:themeFillShade="D9"/>
          </w:tcPr>
          <w:p w14:paraId="0B9EB767" w14:textId="77777777" w:rsidR="002B6CFB" w:rsidRPr="00C23A94" w:rsidRDefault="002B6CFB" w:rsidP="0000074B">
            <w:pPr>
              <w:pStyle w:val="Tabletext1"/>
              <w:spacing w:before="40" w:after="40"/>
              <w:jc w:val="center"/>
              <w:rPr>
                <w:b/>
                <w:snapToGrid w:val="0"/>
              </w:rPr>
            </w:pPr>
          </w:p>
        </w:tc>
        <w:tc>
          <w:tcPr>
            <w:tcW w:w="1195" w:type="pct"/>
            <w:tcBorders>
              <w:left w:val="nil"/>
            </w:tcBorders>
            <w:shd w:val="clear" w:color="auto" w:fill="D9D9D9" w:themeFill="background1" w:themeFillShade="D9"/>
          </w:tcPr>
          <w:p w14:paraId="62EE902E" w14:textId="77777777" w:rsidR="002B6CFB" w:rsidRPr="00C23A94" w:rsidRDefault="002B6CFB" w:rsidP="0000074B">
            <w:pPr>
              <w:pStyle w:val="Tabletext1"/>
              <w:spacing w:before="40" w:after="40"/>
              <w:jc w:val="center"/>
              <w:rPr>
                <w:b/>
                <w:snapToGrid w:val="0"/>
              </w:rPr>
            </w:pPr>
          </w:p>
        </w:tc>
      </w:tr>
      <w:tr w:rsidR="00D8731F" w:rsidRPr="00183E4D" w14:paraId="1EC9DE01" w14:textId="77777777" w:rsidTr="00D25265">
        <w:trPr>
          <w:cantSplit/>
        </w:trPr>
        <w:tc>
          <w:tcPr>
            <w:tcW w:w="921" w:type="pct"/>
            <w:shd w:val="clear" w:color="auto" w:fill="auto"/>
          </w:tcPr>
          <w:p w14:paraId="2045E4AF" w14:textId="77777777" w:rsidR="00D8731F" w:rsidRPr="008A6F37" w:rsidRDefault="00D8731F" w:rsidP="0000074B">
            <w:pPr>
              <w:pStyle w:val="Tabletext1"/>
              <w:spacing w:before="40" w:after="40"/>
              <w:rPr>
                <w:snapToGrid w:val="0"/>
              </w:rPr>
            </w:pPr>
            <w:r>
              <w:rPr>
                <w:snapToGrid w:val="0"/>
              </w:rPr>
              <w:t>Ambrogi et al (2011)</w:t>
            </w:r>
          </w:p>
        </w:tc>
        <w:tc>
          <w:tcPr>
            <w:tcW w:w="844" w:type="pct"/>
          </w:tcPr>
          <w:p w14:paraId="3462E41E" w14:textId="77777777" w:rsidR="00D8731F" w:rsidRDefault="00D8731F" w:rsidP="0000074B">
            <w:pPr>
              <w:pStyle w:val="Tabletext1"/>
              <w:spacing w:before="40" w:after="40"/>
              <w:jc w:val="center"/>
              <w:rPr>
                <w:snapToGrid w:val="0"/>
              </w:rPr>
            </w:pPr>
            <w:r>
              <w:rPr>
                <w:snapToGrid w:val="0"/>
              </w:rPr>
              <w:t>RFA</w:t>
            </w:r>
          </w:p>
        </w:tc>
        <w:tc>
          <w:tcPr>
            <w:tcW w:w="844" w:type="pct"/>
            <w:shd w:val="clear" w:color="auto" w:fill="auto"/>
          </w:tcPr>
          <w:p w14:paraId="50D624DF" w14:textId="77777777" w:rsidR="00D8731F" w:rsidRPr="008A6F37" w:rsidRDefault="00D8731F" w:rsidP="0000074B">
            <w:pPr>
              <w:pStyle w:val="Tabletext1"/>
              <w:spacing w:before="40" w:after="40"/>
              <w:jc w:val="center"/>
              <w:rPr>
                <w:snapToGrid w:val="0"/>
              </w:rPr>
            </w:pPr>
            <w:r>
              <w:rPr>
                <w:snapToGrid w:val="0"/>
              </w:rPr>
              <w:t>57</w:t>
            </w:r>
            <w:r w:rsidR="007C2B19">
              <w:rPr>
                <w:snapToGrid w:val="0"/>
              </w:rPr>
              <w:t xml:space="preserve"> </w:t>
            </w:r>
            <w:r>
              <w:rPr>
                <w:snapToGrid w:val="0"/>
              </w:rPr>
              <w:t>(59)</w:t>
            </w:r>
          </w:p>
        </w:tc>
        <w:tc>
          <w:tcPr>
            <w:tcW w:w="1196" w:type="pct"/>
            <w:tcBorders>
              <w:left w:val="nil"/>
            </w:tcBorders>
            <w:shd w:val="clear" w:color="auto" w:fill="auto"/>
          </w:tcPr>
          <w:p w14:paraId="42514DE9" w14:textId="77777777" w:rsidR="00D8731F" w:rsidRDefault="000B7361" w:rsidP="0000074B">
            <w:pPr>
              <w:pStyle w:val="Tabletext1"/>
              <w:spacing w:before="40" w:after="40"/>
              <w:jc w:val="center"/>
              <w:rPr>
                <w:snapToGrid w:val="0"/>
              </w:rPr>
            </w:pPr>
            <w:r>
              <w:rPr>
                <w:snapToGrid w:val="0"/>
              </w:rPr>
              <w:t>NR</w:t>
            </w:r>
          </w:p>
        </w:tc>
        <w:tc>
          <w:tcPr>
            <w:tcW w:w="1195" w:type="pct"/>
            <w:shd w:val="clear" w:color="auto" w:fill="auto"/>
          </w:tcPr>
          <w:p w14:paraId="4426C7C0" w14:textId="77777777" w:rsidR="00D8731F" w:rsidRPr="00882F25" w:rsidRDefault="007C798A" w:rsidP="0000074B">
            <w:pPr>
              <w:pStyle w:val="Tabletext1"/>
              <w:spacing w:before="40" w:after="40"/>
              <w:jc w:val="center"/>
            </w:pPr>
            <w:r>
              <w:t>13</w:t>
            </w:r>
            <w:r w:rsidR="00D8731F">
              <w:t>/59</w:t>
            </w:r>
            <w:r>
              <w:t xml:space="preserve"> (22</w:t>
            </w:r>
            <w:r w:rsidR="00D8731F" w:rsidRPr="00D73D53">
              <w:t>)</w:t>
            </w:r>
          </w:p>
        </w:tc>
      </w:tr>
      <w:tr w:rsidR="00D8731F" w:rsidRPr="00183E4D" w14:paraId="5664D38C" w14:textId="77777777" w:rsidTr="00D25265">
        <w:trPr>
          <w:cantSplit/>
        </w:trPr>
        <w:tc>
          <w:tcPr>
            <w:tcW w:w="921" w:type="pct"/>
            <w:shd w:val="clear" w:color="auto" w:fill="auto"/>
          </w:tcPr>
          <w:p w14:paraId="41568A41" w14:textId="77777777" w:rsidR="00D8731F" w:rsidRPr="008A6F37" w:rsidRDefault="00D8731F" w:rsidP="0000074B">
            <w:pPr>
              <w:pStyle w:val="Tabletext1"/>
              <w:spacing w:before="40" w:after="40"/>
              <w:rPr>
                <w:snapToGrid w:val="0"/>
              </w:rPr>
            </w:pPr>
            <w:r>
              <w:rPr>
                <w:snapToGrid w:val="0"/>
              </w:rPr>
              <w:t>Dupuy et al (2015)</w:t>
            </w:r>
          </w:p>
        </w:tc>
        <w:tc>
          <w:tcPr>
            <w:tcW w:w="844" w:type="pct"/>
          </w:tcPr>
          <w:p w14:paraId="3002BACD" w14:textId="77777777" w:rsidR="00D8731F" w:rsidRPr="00D8731F" w:rsidRDefault="00D8731F" w:rsidP="0000074B">
            <w:pPr>
              <w:pStyle w:val="Tabletext1"/>
              <w:spacing w:before="40" w:after="40"/>
              <w:jc w:val="center"/>
              <w:rPr>
                <w:snapToGrid w:val="0"/>
              </w:rPr>
            </w:pPr>
            <w:r w:rsidRPr="00153FF6">
              <w:rPr>
                <w:snapToGrid w:val="0"/>
              </w:rPr>
              <w:t>RFA</w:t>
            </w:r>
          </w:p>
        </w:tc>
        <w:tc>
          <w:tcPr>
            <w:tcW w:w="844" w:type="pct"/>
            <w:shd w:val="clear" w:color="auto" w:fill="auto"/>
          </w:tcPr>
          <w:p w14:paraId="73C5267B" w14:textId="77777777" w:rsidR="00D8731F" w:rsidRPr="008A6F37" w:rsidRDefault="00D8731F" w:rsidP="0000074B">
            <w:pPr>
              <w:pStyle w:val="Tabletext1"/>
              <w:spacing w:before="40" w:after="40"/>
              <w:jc w:val="center"/>
              <w:rPr>
                <w:snapToGrid w:val="0"/>
              </w:rPr>
            </w:pPr>
            <w:r>
              <w:rPr>
                <w:snapToGrid w:val="0"/>
              </w:rPr>
              <w:t>51</w:t>
            </w:r>
            <w:r w:rsidR="007C2B19">
              <w:rPr>
                <w:snapToGrid w:val="0"/>
              </w:rPr>
              <w:t xml:space="preserve"> </w:t>
            </w:r>
            <w:r>
              <w:rPr>
                <w:snapToGrid w:val="0"/>
              </w:rPr>
              <w:t>(51)</w:t>
            </w:r>
          </w:p>
        </w:tc>
        <w:tc>
          <w:tcPr>
            <w:tcW w:w="1196" w:type="pct"/>
            <w:tcBorders>
              <w:left w:val="nil"/>
            </w:tcBorders>
            <w:shd w:val="clear" w:color="auto" w:fill="auto"/>
          </w:tcPr>
          <w:p w14:paraId="6D623EFB" w14:textId="77777777" w:rsidR="00D8731F" w:rsidRDefault="000B7361" w:rsidP="0000074B">
            <w:pPr>
              <w:pStyle w:val="Tabletext1"/>
              <w:spacing w:before="40" w:after="40"/>
              <w:jc w:val="center"/>
              <w:rPr>
                <w:snapToGrid w:val="0"/>
              </w:rPr>
            </w:pPr>
            <w:r>
              <w:rPr>
                <w:snapToGrid w:val="0"/>
              </w:rPr>
              <w:t xml:space="preserve">1-year </w:t>
            </w:r>
            <w:r w:rsidR="00210FEE">
              <w:rPr>
                <w:snapToGrid w:val="0"/>
              </w:rPr>
              <w:t xml:space="preserve">NR </w:t>
            </w:r>
            <w:r w:rsidR="005129E0">
              <w:rPr>
                <w:snapToGrid w:val="0"/>
              </w:rPr>
              <w:t>(</w:t>
            </w:r>
            <w:r>
              <w:rPr>
                <w:snapToGrid w:val="0"/>
              </w:rPr>
              <w:t>69</w:t>
            </w:r>
            <w:r w:rsidR="005129E0">
              <w:rPr>
                <w:snapToGrid w:val="0"/>
              </w:rPr>
              <w:t>)</w:t>
            </w:r>
          </w:p>
          <w:p w14:paraId="6D171E97" w14:textId="77777777" w:rsidR="000B7361" w:rsidRDefault="000B7361" w:rsidP="0000074B">
            <w:pPr>
              <w:pStyle w:val="Tabletext1"/>
              <w:spacing w:before="40" w:after="40"/>
              <w:jc w:val="center"/>
              <w:rPr>
                <w:snapToGrid w:val="0"/>
              </w:rPr>
            </w:pPr>
            <w:r>
              <w:rPr>
                <w:snapToGrid w:val="0"/>
              </w:rPr>
              <w:t xml:space="preserve">2-year </w:t>
            </w:r>
            <w:r w:rsidR="00210FEE">
              <w:rPr>
                <w:snapToGrid w:val="0"/>
              </w:rPr>
              <w:t xml:space="preserve">NR </w:t>
            </w:r>
            <w:r w:rsidR="005129E0">
              <w:rPr>
                <w:snapToGrid w:val="0"/>
              </w:rPr>
              <w:t>(</w:t>
            </w:r>
            <w:r>
              <w:rPr>
                <w:snapToGrid w:val="0"/>
              </w:rPr>
              <w:t>60</w:t>
            </w:r>
            <w:r w:rsidR="005129E0">
              <w:rPr>
                <w:snapToGrid w:val="0"/>
              </w:rPr>
              <w:t>)</w:t>
            </w:r>
          </w:p>
        </w:tc>
        <w:tc>
          <w:tcPr>
            <w:tcW w:w="1195" w:type="pct"/>
            <w:shd w:val="clear" w:color="auto" w:fill="auto"/>
          </w:tcPr>
          <w:p w14:paraId="2AFD66FD" w14:textId="77777777" w:rsidR="00D8731F" w:rsidRPr="00723C9B" w:rsidRDefault="00D8731F" w:rsidP="0000074B">
            <w:pPr>
              <w:pStyle w:val="Tabletext1"/>
              <w:spacing w:before="40" w:after="40"/>
              <w:jc w:val="center"/>
            </w:pPr>
            <w:r>
              <w:t>19/51 (37</w:t>
            </w:r>
            <w:r w:rsidRPr="00D73D53">
              <w:t>)</w:t>
            </w:r>
          </w:p>
        </w:tc>
      </w:tr>
      <w:tr w:rsidR="00D8731F" w:rsidRPr="00183E4D" w14:paraId="0C15D7FC" w14:textId="77777777" w:rsidTr="00D25265">
        <w:trPr>
          <w:cantSplit/>
        </w:trPr>
        <w:tc>
          <w:tcPr>
            <w:tcW w:w="921" w:type="pct"/>
            <w:shd w:val="clear" w:color="auto" w:fill="auto"/>
          </w:tcPr>
          <w:p w14:paraId="75148151" w14:textId="77777777" w:rsidR="00D8731F" w:rsidRPr="008A6F37" w:rsidRDefault="00D8731F" w:rsidP="0000074B">
            <w:pPr>
              <w:pStyle w:val="Tabletext1"/>
              <w:spacing w:before="40" w:after="40"/>
              <w:rPr>
                <w:snapToGrid w:val="0"/>
              </w:rPr>
            </w:pPr>
            <w:r>
              <w:rPr>
                <w:snapToGrid w:val="0"/>
              </w:rPr>
              <w:t>Hiraki et al (2011)</w:t>
            </w:r>
          </w:p>
        </w:tc>
        <w:tc>
          <w:tcPr>
            <w:tcW w:w="844" w:type="pct"/>
          </w:tcPr>
          <w:p w14:paraId="2EB1EA00" w14:textId="77777777" w:rsidR="00D8731F" w:rsidRPr="00D8731F" w:rsidRDefault="00D8731F" w:rsidP="0000074B">
            <w:pPr>
              <w:pStyle w:val="Tabletext1"/>
              <w:spacing w:before="40" w:after="40"/>
              <w:jc w:val="center"/>
              <w:rPr>
                <w:snapToGrid w:val="0"/>
              </w:rPr>
            </w:pPr>
            <w:r w:rsidRPr="00153FF6">
              <w:rPr>
                <w:snapToGrid w:val="0"/>
              </w:rPr>
              <w:t>RFA</w:t>
            </w:r>
          </w:p>
        </w:tc>
        <w:tc>
          <w:tcPr>
            <w:tcW w:w="844" w:type="pct"/>
            <w:shd w:val="clear" w:color="auto" w:fill="auto"/>
          </w:tcPr>
          <w:p w14:paraId="7A6AD94A" w14:textId="77777777" w:rsidR="00D8731F" w:rsidRPr="008A6F37" w:rsidRDefault="00D8731F" w:rsidP="0000074B">
            <w:pPr>
              <w:pStyle w:val="Tabletext1"/>
              <w:spacing w:before="40" w:after="40"/>
              <w:jc w:val="center"/>
              <w:rPr>
                <w:snapToGrid w:val="0"/>
              </w:rPr>
            </w:pPr>
            <w:r>
              <w:rPr>
                <w:snapToGrid w:val="0"/>
              </w:rPr>
              <w:t>50</w:t>
            </w:r>
            <w:r w:rsidR="007C2B19">
              <w:rPr>
                <w:snapToGrid w:val="0"/>
              </w:rPr>
              <w:t xml:space="preserve"> </w:t>
            </w:r>
            <w:r>
              <w:rPr>
                <w:snapToGrid w:val="0"/>
              </w:rPr>
              <w:t>(52)</w:t>
            </w:r>
          </w:p>
        </w:tc>
        <w:tc>
          <w:tcPr>
            <w:tcW w:w="1196" w:type="pct"/>
            <w:tcBorders>
              <w:left w:val="nil"/>
            </w:tcBorders>
            <w:shd w:val="clear" w:color="auto" w:fill="auto"/>
          </w:tcPr>
          <w:p w14:paraId="701EDD2C" w14:textId="520B44BA" w:rsidR="00D8731F" w:rsidRDefault="00B751D1" w:rsidP="0000074B">
            <w:pPr>
              <w:pStyle w:val="Tabletext1"/>
              <w:spacing w:before="40" w:after="40"/>
              <w:jc w:val="center"/>
              <w:rPr>
                <w:snapToGrid w:val="0"/>
              </w:rPr>
            </w:pPr>
            <w:r>
              <w:rPr>
                <w:snapToGrid w:val="0"/>
              </w:rPr>
              <w:t>40/52</w:t>
            </w:r>
            <w:r w:rsidR="005129E0">
              <w:rPr>
                <w:snapToGrid w:val="0"/>
              </w:rPr>
              <w:t xml:space="preserve"> (77</w:t>
            </w:r>
            <w:r>
              <w:rPr>
                <w:snapToGrid w:val="0"/>
              </w:rPr>
              <w:t>)</w:t>
            </w:r>
            <w:r w:rsidR="00680F09">
              <w:rPr>
                <w:snapToGrid w:val="0"/>
              </w:rPr>
              <w:t xml:space="preserve"> at last follow-up</w:t>
            </w:r>
          </w:p>
        </w:tc>
        <w:tc>
          <w:tcPr>
            <w:tcW w:w="1195" w:type="pct"/>
            <w:shd w:val="clear" w:color="auto" w:fill="auto"/>
          </w:tcPr>
          <w:p w14:paraId="6B17D366" w14:textId="77777777" w:rsidR="00D8731F" w:rsidRPr="006A33FC" w:rsidRDefault="00D53958" w:rsidP="0000074B">
            <w:pPr>
              <w:pStyle w:val="Tabletext1"/>
              <w:spacing w:before="40" w:after="40"/>
              <w:jc w:val="center"/>
            </w:pPr>
            <w:r>
              <w:t>16/52</w:t>
            </w:r>
            <w:r w:rsidR="00D8731F" w:rsidRPr="00D73D53">
              <w:t xml:space="preserve"> </w:t>
            </w:r>
            <w:r w:rsidR="00D8731F">
              <w:t>(</w:t>
            </w:r>
            <w:r>
              <w:t>3</w:t>
            </w:r>
            <w:r w:rsidR="009A034F">
              <w:t>1</w:t>
            </w:r>
            <w:r w:rsidR="00D8731F" w:rsidRPr="00D73D53">
              <w:t>)</w:t>
            </w:r>
            <w:r w:rsidR="00F451D4">
              <w:t xml:space="preserve"> at</w:t>
            </w:r>
            <w:r w:rsidR="00692BF7">
              <w:t xml:space="preserve"> median 15 months after RFA</w:t>
            </w:r>
          </w:p>
        </w:tc>
      </w:tr>
      <w:tr w:rsidR="00D8731F" w:rsidRPr="00183E4D" w14:paraId="07E09973" w14:textId="77777777" w:rsidTr="00D25265">
        <w:trPr>
          <w:cantSplit/>
        </w:trPr>
        <w:tc>
          <w:tcPr>
            <w:tcW w:w="921" w:type="pct"/>
            <w:shd w:val="clear" w:color="auto" w:fill="auto"/>
          </w:tcPr>
          <w:p w14:paraId="3D0B8FA0" w14:textId="77777777" w:rsidR="00D8731F" w:rsidRPr="008A6F37" w:rsidRDefault="00D8731F" w:rsidP="0000074B">
            <w:pPr>
              <w:pStyle w:val="Tabletext1"/>
              <w:spacing w:before="40" w:after="40"/>
              <w:rPr>
                <w:snapToGrid w:val="0"/>
              </w:rPr>
            </w:pPr>
            <w:r>
              <w:rPr>
                <w:snapToGrid w:val="0"/>
              </w:rPr>
              <w:t>Lanuti et al (2012)</w:t>
            </w:r>
          </w:p>
        </w:tc>
        <w:tc>
          <w:tcPr>
            <w:tcW w:w="844" w:type="pct"/>
            <w:tcBorders>
              <w:bottom w:val="single" w:sz="4" w:space="0" w:color="auto"/>
            </w:tcBorders>
          </w:tcPr>
          <w:p w14:paraId="7F91C5FD" w14:textId="77777777" w:rsidR="00D8731F" w:rsidRPr="00D8731F" w:rsidRDefault="00D8731F" w:rsidP="0000074B">
            <w:pPr>
              <w:pStyle w:val="Tabletext1"/>
              <w:spacing w:before="40" w:after="40"/>
              <w:jc w:val="center"/>
              <w:rPr>
                <w:snapToGrid w:val="0"/>
              </w:rPr>
            </w:pPr>
            <w:r w:rsidRPr="00153FF6">
              <w:rPr>
                <w:snapToGrid w:val="0"/>
              </w:rPr>
              <w:t>RFA</w:t>
            </w:r>
          </w:p>
        </w:tc>
        <w:tc>
          <w:tcPr>
            <w:tcW w:w="844" w:type="pct"/>
            <w:tcBorders>
              <w:bottom w:val="single" w:sz="4" w:space="0" w:color="auto"/>
            </w:tcBorders>
            <w:shd w:val="clear" w:color="auto" w:fill="auto"/>
          </w:tcPr>
          <w:p w14:paraId="16656516" w14:textId="77777777" w:rsidR="00D8731F" w:rsidRPr="008A6F37" w:rsidRDefault="00D8731F" w:rsidP="0000074B">
            <w:pPr>
              <w:pStyle w:val="Tabletext1"/>
              <w:spacing w:before="40" w:after="40"/>
              <w:jc w:val="center"/>
              <w:rPr>
                <w:snapToGrid w:val="0"/>
              </w:rPr>
            </w:pPr>
            <w:r>
              <w:rPr>
                <w:snapToGrid w:val="0"/>
              </w:rPr>
              <w:t>45</w:t>
            </w:r>
            <w:r w:rsidR="007C2B19">
              <w:rPr>
                <w:snapToGrid w:val="0"/>
              </w:rPr>
              <w:t xml:space="preserve"> </w:t>
            </w:r>
            <w:r>
              <w:rPr>
                <w:snapToGrid w:val="0"/>
              </w:rPr>
              <w:t>(55)</w:t>
            </w:r>
          </w:p>
        </w:tc>
        <w:tc>
          <w:tcPr>
            <w:tcW w:w="1196" w:type="pct"/>
            <w:tcBorders>
              <w:left w:val="nil"/>
              <w:bottom w:val="single" w:sz="4" w:space="0" w:color="auto"/>
            </w:tcBorders>
            <w:shd w:val="clear" w:color="auto" w:fill="auto"/>
          </w:tcPr>
          <w:p w14:paraId="4AE3BF4E" w14:textId="77777777" w:rsidR="00D8731F" w:rsidRDefault="001F1D7E" w:rsidP="0000074B">
            <w:pPr>
              <w:pStyle w:val="Tabletext1"/>
              <w:spacing w:before="40" w:after="40"/>
              <w:jc w:val="center"/>
              <w:rPr>
                <w:snapToGrid w:val="0"/>
              </w:rPr>
            </w:pPr>
            <w:r>
              <w:rPr>
                <w:snapToGrid w:val="0"/>
              </w:rPr>
              <w:t>NR</w:t>
            </w:r>
          </w:p>
        </w:tc>
        <w:tc>
          <w:tcPr>
            <w:tcW w:w="1195" w:type="pct"/>
            <w:tcBorders>
              <w:bottom w:val="single" w:sz="4" w:space="0" w:color="auto"/>
            </w:tcBorders>
            <w:shd w:val="clear" w:color="auto" w:fill="auto"/>
          </w:tcPr>
          <w:p w14:paraId="1E2EE3A9" w14:textId="77777777" w:rsidR="00D8731F" w:rsidRPr="00882F25" w:rsidRDefault="00D8731F" w:rsidP="0000074B">
            <w:pPr>
              <w:pStyle w:val="Tabletext1"/>
              <w:spacing w:before="40" w:after="40"/>
              <w:jc w:val="center"/>
            </w:pPr>
            <w:r w:rsidRPr="00D73D53">
              <w:t xml:space="preserve">15/45 </w:t>
            </w:r>
            <w:r>
              <w:t>(33</w:t>
            </w:r>
            <w:r w:rsidRPr="00D73D53">
              <w:t>)</w:t>
            </w:r>
          </w:p>
        </w:tc>
      </w:tr>
      <w:tr w:rsidR="00D8731F" w:rsidRPr="00183E4D" w14:paraId="5DB3BC03" w14:textId="77777777" w:rsidTr="00D25265">
        <w:trPr>
          <w:cantSplit/>
        </w:trPr>
        <w:tc>
          <w:tcPr>
            <w:tcW w:w="921" w:type="pct"/>
            <w:shd w:val="clear" w:color="auto" w:fill="auto"/>
          </w:tcPr>
          <w:p w14:paraId="4E6B7617" w14:textId="77777777" w:rsidR="00D8731F" w:rsidRPr="008A6F37" w:rsidRDefault="00D8731F" w:rsidP="0000074B">
            <w:pPr>
              <w:pStyle w:val="Tabletext1"/>
              <w:spacing w:before="40" w:after="40"/>
              <w:rPr>
                <w:snapToGrid w:val="0"/>
              </w:rPr>
            </w:pPr>
            <w:r>
              <w:rPr>
                <w:snapToGrid w:val="0"/>
              </w:rPr>
              <w:t>Liu et al (2012)</w:t>
            </w:r>
          </w:p>
        </w:tc>
        <w:tc>
          <w:tcPr>
            <w:tcW w:w="844" w:type="pct"/>
            <w:tcBorders>
              <w:bottom w:val="single" w:sz="4" w:space="0" w:color="auto"/>
            </w:tcBorders>
          </w:tcPr>
          <w:p w14:paraId="0B9E3BBB" w14:textId="77777777" w:rsidR="00D8731F" w:rsidRPr="00D8731F" w:rsidRDefault="00D8731F" w:rsidP="0000074B">
            <w:pPr>
              <w:pStyle w:val="Tabletext1"/>
              <w:spacing w:before="40" w:after="40"/>
              <w:jc w:val="center"/>
              <w:rPr>
                <w:snapToGrid w:val="0"/>
              </w:rPr>
            </w:pPr>
            <w:r w:rsidRPr="00153FF6">
              <w:rPr>
                <w:snapToGrid w:val="0"/>
              </w:rPr>
              <w:t>RFA</w:t>
            </w:r>
          </w:p>
        </w:tc>
        <w:tc>
          <w:tcPr>
            <w:tcW w:w="844" w:type="pct"/>
            <w:tcBorders>
              <w:bottom w:val="single" w:sz="4" w:space="0" w:color="auto"/>
            </w:tcBorders>
            <w:shd w:val="clear" w:color="auto" w:fill="auto"/>
          </w:tcPr>
          <w:p w14:paraId="50663393" w14:textId="77777777" w:rsidR="00D8731F" w:rsidRPr="008A6F37" w:rsidRDefault="00D8731F" w:rsidP="0000074B">
            <w:pPr>
              <w:pStyle w:val="Tabletext1"/>
              <w:spacing w:before="40" w:after="40"/>
              <w:jc w:val="center"/>
              <w:rPr>
                <w:snapToGrid w:val="0"/>
              </w:rPr>
            </w:pPr>
            <w:r>
              <w:rPr>
                <w:snapToGrid w:val="0"/>
              </w:rPr>
              <w:t>29</w:t>
            </w:r>
            <w:r w:rsidR="007C2B19">
              <w:rPr>
                <w:snapToGrid w:val="0"/>
              </w:rPr>
              <w:t xml:space="preserve"> </w:t>
            </w:r>
            <w:r>
              <w:rPr>
                <w:snapToGrid w:val="0"/>
              </w:rPr>
              <w:t>(29)</w:t>
            </w:r>
          </w:p>
        </w:tc>
        <w:tc>
          <w:tcPr>
            <w:tcW w:w="1196" w:type="pct"/>
            <w:tcBorders>
              <w:left w:val="nil"/>
              <w:bottom w:val="single" w:sz="4" w:space="0" w:color="auto"/>
            </w:tcBorders>
            <w:shd w:val="clear" w:color="auto" w:fill="auto"/>
          </w:tcPr>
          <w:p w14:paraId="7BD5628B" w14:textId="77777777" w:rsidR="00D8731F" w:rsidRDefault="00A92FCF" w:rsidP="0000074B">
            <w:pPr>
              <w:pStyle w:val="Tabletext1"/>
              <w:spacing w:before="40" w:after="40"/>
              <w:jc w:val="center"/>
              <w:rPr>
                <w:snapToGrid w:val="0"/>
              </w:rPr>
            </w:pPr>
            <w:r>
              <w:rPr>
                <w:snapToGrid w:val="0"/>
              </w:rPr>
              <w:t>NR</w:t>
            </w:r>
          </w:p>
        </w:tc>
        <w:tc>
          <w:tcPr>
            <w:tcW w:w="1195" w:type="pct"/>
            <w:tcBorders>
              <w:bottom w:val="single" w:sz="4" w:space="0" w:color="auto"/>
            </w:tcBorders>
            <w:shd w:val="clear" w:color="auto" w:fill="auto"/>
          </w:tcPr>
          <w:p w14:paraId="44326E06" w14:textId="77777777" w:rsidR="00D8731F" w:rsidRPr="00882F25" w:rsidRDefault="00545B2B" w:rsidP="0000074B">
            <w:pPr>
              <w:pStyle w:val="Tabletext1"/>
              <w:spacing w:before="40" w:after="40"/>
              <w:jc w:val="center"/>
            </w:pPr>
            <w:r>
              <w:t>7</w:t>
            </w:r>
            <w:r w:rsidR="00D8731F">
              <w:t>/33 (</w:t>
            </w:r>
            <w:r>
              <w:t>21</w:t>
            </w:r>
            <w:r w:rsidR="00D8731F" w:rsidRPr="00D73D53">
              <w:t>)</w:t>
            </w:r>
            <w:r w:rsidR="00D8731F">
              <w:t xml:space="preserve"> </w:t>
            </w:r>
            <w:r w:rsidR="00F451D4">
              <w:t xml:space="preserve">at </w:t>
            </w:r>
            <w:r w:rsidR="007F385C" w:rsidRPr="007F385C">
              <w:t xml:space="preserve">median 25 </w:t>
            </w:r>
            <w:r w:rsidR="009E52C0">
              <w:t xml:space="preserve">  </w:t>
            </w:r>
            <w:r w:rsidR="007F385C" w:rsidRPr="007F385C">
              <w:t>months</w:t>
            </w:r>
            <w:r w:rsidR="007F385C">
              <w:t xml:space="preserve"> </w:t>
            </w:r>
            <w:r w:rsidR="005E3682">
              <w:t xml:space="preserve">after RFA </w:t>
            </w:r>
            <w:r w:rsidR="00F829C6">
              <w:rPr>
                <w:vertAlign w:val="superscript"/>
              </w:rPr>
              <w:t>d</w:t>
            </w:r>
          </w:p>
        </w:tc>
      </w:tr>
      <w:tr w:rsidR="00D8731F" w:rsidRPr="00183E4D" w14:paraId="5958EB17" w14:textId="77777777" w:rsidTr="00D25265">
        <w:trPr>
          <w:cantSplit/>
        </w:trPr>
        <w:tc>
          <w:tcPr>
            <w:tcW w:w="921" w:type="pct"/>
            <w:shd w:val="clear" w:color="auto" w:fill="auto"/>
          </w:tcPr>
          <w:p w14:paraId="5340A524" w14:textId="77777777" w:rsidR="00D8731F" w:rsidRPr="008A6F37" w:rsidRDefault="00D8731F" w:rsidP="0000074B">
            <w:pPr>
              <w:pStyle w:val="Tabletext1"/>
              <w:spacing w:before="40" w:after="40"/>
              <w:rPr>
                <w:snapToGrid w:val="0"/>
              </w:rPr>
            </w:pPr>
            <w:r>
              <w:rPr>
                <w:snapToGrid w:val="0"/>
              </w:rPr>
              <w:t>Ridge et al (2014)</w:t>
            </w:r>
          </w:p>
        </w:tc>
        <w:tc>
          <w:tcPr>
            <w:tcW w:w="844" w:type="pct"/>
            <w:tcBorders>
              <w:bottom w:val="single" w:sz="4" w:space="0" w:color="auto"/>
            </w:tcBorders>
          </w:tcPr>
          <w:p w14:paraId="720C3F0D" w14:textId="77777777" w:rsidR="00D8731F" w:rsidRPr="00D8731F" w:rsidRDefault="00D8731F" w:rsidP="0000074B">
            <w:pPr>
              <w:pStyle w:val="Tabletext1"/>
              <w:spacing w:before="40" w:after="40"/>
              <w:jc w:val="center"/>
              <w:rPr>
                <w:snapToGrid w:val="0"/>
              </w:rPr>
            </w:pPr>
            <w:r w:rsidRPr="00153FF6">
              <w:rPr>
                <w:snapToGrid w:val="0"/>
              </w:rPr>
              <w:t>RFA</w:t>
            </w:r>
          </w:p>
        </w:tc>
        <w:tc>
          <w:tcPr>
            <w:tcW w:w="844" w:type="pct"/>
            <w:tcBorders>
              <w:bottom w:val="single" w:sz="4" w:space="0" w:color="auto"/>
            </w:tcBorders>
            <w:shd w:val="clear" w:color="auto" w:fill="auto"/>
          </w:tcPr>
          <w:p w14:paraId="5ADBC1EB" w14:textId="77777777" w:rsidR="00D8731F" w:rsidRPr="008A6F37" w:rsidRDefault="00D8731F" w:rsidP="0000074B">
            <w:pPr>
              <w:pStyle w:val="Tabletext1"/>
              <w:spacing w:before="40" w:after="40"/>
              <w:jc w:val="center"/>
              <w:rPr>
                <w:snapToGrid w:val="0"/>
              </w:rPr>
            </w:pPr>
            <w:r>
              <w:rPr>
                <w:snapToGrid w:val="0"/>
              </w:rPr>
              <w:t>29</w:t>
            </w:r>
            <w:r w:rsidR="007C2B19">
              <w:rPr>
                <w:snapToGrid w:val="0"/>
              </w:rPr>
              <w:t xml:space="preserve"> </w:t>
            </w:r>
            <w:r>
              <w:rPr>
                <w:snapToGrid w:val="0"/>
              </w:rPr>
              <w:t>(29)</w:t>
            </w:r>
          </w:p>
        </w:tc>
        <w:tc>
          <w:tcPr>
            <w:tcW w:w="1196" w:type="pct"/>
            <w:tcBorders>
              <w:left w:val="nil"/>
              <w:bottom w:val="single" w:sz="4" w:space="0" w:color="auto"/>
            </w:tcBorders>
            <w:shd w:val="clear" w:color="auto" w:fill="auto"/>
          </w:tcPr>
          <w:p w14:paraId="3BAB394D" w14:textId="77777777" w:rsidR="00D8731F" w:rsidRDefault="000B3470" w:rsidP="0000074B">
            <w:pPr>
              <w:pStyle w:val="Tabletext1"/>
              <w:spacing w:before="40" w:after="40"/>
              <w:jc w:val="center"/>
              <w:rPr>
                <w:snapToGrid w:val="0"/>
              </w:rPr>
            </w:pPr>
            <w:r>
              <w:rPr>
                <w:snapToGrid w:val="0"/>
              </w:rPr>
              <w:t>NR</w:t>
            </w:r>
          </w:p>
        </w:tc>
        <w:tc>
          <w:tcPr>
            <w:tcW w:w="1195" w:type="pct"/>
            <w:tcBorders>
              <w:bottom w:val="single" w:sz="4" w:space="0" w:color="auto"/>
            </w:tcBorders>
            <w:shd w:val="clear" w:color="auto" w:fill="auto"/>
          </w:tcPr>
          <w:p w14:paraId="32C20C26" w14:textId="77777777" w:rsidR="00D8731F" w:rsidRPr="00E95DE0" w:rsidRDefault="00D8731F" w:rsidP="0000074B">
            <w:pPr>
              <w:pStyle w:val="Tabletext1"/>
              <w:spacing w:before="40" w:after="40"/>
              <w:jc w:val="center"/>
            </w:pPr>
            <w:r>
              <w:t>7/29 (24</w:t>
            </w:r>
            <w:r w:rsidRPr="0009022A">
              <w:t>)</w:t>
            </w:r>
            <w:r w:rsidR="000B3470">
              <w:t xml:space="preserve"> at median 9 months after RFA</w:t>
            </w:r>
          </w:p>
        </w:tc>
      </w:tr>
      <w:tr w:rsidR="00AD2E67" w:rsidRPr="00183E4D" w14:paraId="70B8123E" w14:textId="77777777" w:rsidTr="00D25265">
        <w:trPr>
          <w:cantSplit/>
        </w:trPr>
        <w:tc>
          <w:tcPr>
            <w:tcW w:w="921" w:type="pct"/>
            <w:shd w:val="clear" w:color="auto" w:fill="auto"/>
          </w:tcPr>
          <w:p w14:paraId="433FB0AA" w14:textId="77777777" w:rsidR="00AD2E67" w:rsidRPr="008A6F37" w:rsidRDefault="00AD2E67" w:rsidP="0000074B">
            <w:pPr>
              <w:pStyle w:val="Tabletext1"/>
              <w:spacing w:before="40" w:after="40"/>
              <w:rPr>
                <w:snapToGrid w:val="0"/>
              </w:rPr>
            </w:pPr>
            <w:r>
              <w:rPr>
                <w:snapToGrid w:val="0"/>
              </w:rPr>
              <w:t>Viti et al (2014)</w:t>
            </w:r>
          </w:p>
        </w:tc>
        <w:tc>
          <w:tcPr>
            <w:tcW w:w="844" w:type="pct"/>
            <w:tcBorders>
              <w:bottom w:val="single" w:sz="4" w:space="0" w:color="auto"/>
            </w:tcBorders>
          </w:tcPr>
          <w:p w14:paraId="7D694564" w14:textId="77777777" w:rsidR="00AD2E67" w:rsidRPr="00D8731F" w:rsidRDefault="00AD2E67" w:rsidP="0000074B">
            <w:pPr>
              <w:pStyle w:val="Tabletext1"/>
              <w:spacing w:before="40" w:after="40"/>
              <w:jc w:val="center"/>
              <w:rPr>
                <w:snapToGrid w:val="0"/>
              </w:rPr>
            </w:pPr>
            <w:r w:rsidRPr="00153FF6">
              <w:rPr>
                <w:snapToGrid w:val="0"/>
              </w:rPr>
              <w:t>RFA</w:t>
            </w:r>
          </w:p>
        </w:tc>
        <w:tc>
          <w:tcPr>
            <w:tcW w:w="844" w:type="pct"/>
            <w:tcBorders>
              <w:bottom w:val="single" w:sz="4" w:space="0" w:color="auto"/>
            </w:tcBorders>
            <w:shd w:val="clear" w:color="auto" w:fill="auto"/>
          </w:tcPr>
          <w:p w14:paraId="4A981326" w14:textId="77777777" w:rsidR="00AD2E67" w:rsidRPr="008A6F37" w:rsidRDefault="00AD2E67" w:rsidP="0000074B">
            <w:pPr>
              <w:pStyle w:val="Tabletext1"/>
              <w:spacing w:before="40" w:after="40"/>
              <w:jc w:val="center"/>
              <w:rPr>
                <w:snapToGrid w:val="0"/>
              </w:rPr>
            </w:pPr>
            <w:r>
              <w:rPr>
                <w:snapToGrid w:val="0"/>
              </w:rPr>
              <w:t>22 (24)</w:t>
            </w:r>
          </w:p>
        </w:tc>
        <w:tc>
          <w:tcPr>
            <w:tcW w:w="1196" w:type="pct"/>
            <w:tcBorders>
              <w:left w:val="nil"/>
              <w:bottom w:val="single" w:sz="4" w:space="0" w:color="auto"/>
            </w:tcBorders>
            <w:shd w:val="clear" w:color="auto" w:fill="auto"/>
          </w:tcPr>
          <w:p w14:paraId="47238287" w14:textId="77777777" w:rsidR="00AD2E67" w:rsidRDefault="00DA4CFB" w:rsidP="0000074B">
            <w:pPr>
              <w:pStyle w:val="Tabletext1"/>
              <w:spacing w:before="40" w:after="40"/>
              <w:jc w:val="center"/>
              <w:rPr>
                <w:snapToGrid w:val="0"/>
              </w:rPr>
            </w:pPr>
            <w:r>
              <w:rPr>
                <w:snapToGrid w:val="0"/>
              </w:rPr>
              <w:t>NR</w:t>
            </w:r>
          </w:p>
        </w:tc>
        <w:tc>
          <w:tcPr>
            <w:tcW w:w="1195" w:type="pct"/>
            <w:tcBorders>
              <w:bottom w:val="single" w:sz="4" w:space="0" w:color="auto"/>
            </w:tcBorders>
            <w:shd w:val="clear" w:color="auto" w:fill="auto"/>
          </w:tcPr>
          <w:p w14:paraId="38535A32" w14:textId="77777777" w:rsidR="00AD2E67" w:rsidRPr="00882F25" w:rsidRDefault="00AD2E67" w:rsidP="0000074B">
            <w:pPr>
              <w:pStyle w:val="Tabletext1"/>
              <w:spacing w:before="40" w:after="40"/>
              <w:jc w:val="center"/>
            </w:pPr>
            <w:r w:rsidRPr="00D73D53">
              <w:t xml:space="preserve">6/24 </w:t>
            </w:r>
            <w:r>
              <w:t>(25)</w:t>
            </w:r>
          </w:p>
        </w:tc>
      </w:tr>
      <w:tr w:rsidR="00D8731F" w:rsidRPr="00183E4D" w14:paraId="338D337B" w14:textId="77777777" w:rsidTr="00D25265">
        <w:trPr>
          <w:cantSplit/>
        </w:trPr>
        <w:tc>
          <w:tcPr>
            <w:tcW w:w="921" w:type="pct"/>
            <w:shd w:val="clear" w:color="auto" w:fill="auto"/>
          </w:tcPr>
          <w:p w14:paraId="60A0CBCF" w14:textId="77777777" w:rsidR="00D8731F" w:rsidRPr="00183E4D" w:rsidRDefault="00D8731F" w:rsidP="0000074B">
            <w:pPr>
              <w:pStyle w:val="Tabletext1"/>
              <w:spacing w:before="40" w:after="40"/>
              <w:rPr>
                <w:snapToGrid w:val="0"/>
              </w:rPr>
            </w:pPr>
            <w:r>
              <w:rPr>
                <w:snapToGrid w:val="0"/>
              </w:rPr>
              <w:t>Pooled analysis</w:t>
            </w:r>
          </w:p>
        </w:tc>
        <w:tc>
          <w:tcPr>
            <w:tcW w:w="844" w:type="pct"/>
            <w:tcBorders>
              <w:bottom w:val="single" w:sz="4" w:space="0" w:color="auto"/>
              <w:right w:val="single" w:sz="4" w:space="0" w:color="auto"/>
            </w:tcBorders>
          </w:tcPr>
          <w:p w14:paraId="13B7A4A3" w14:textId="77777777" w:rsidR="00D8731F" w:rsidRDefault="00360E9F" w:rsidP="0000074B">
            <w:pPr>
              <w:pStyle w:val="Tabletext1"/>
              <w:spacing w:before="40" w:after="40"/>
              <w:jc w:val="center"/>
              <w:rPr>
                <w:snapToGrid w:val="0"/>
              </w:rPr>
            </w:pPr>
            <w:r>
              <w:rPr>
                <w:snapToGrid w:val="0"/>
              </w:rPr>
              <w:t>NA</w:t>
            </w:r>
          </w:p>
        </w:tc>
        <w:tc>
          <w:tcPr>
            <w:tcW w:w="844" w:type="pct"/>
            <w:tcBorders>
              <w:left w:val="single" w:sz="4" w:space="0" w:color="auto"/>
              <w:bottom w:val="single" w:sz="4" w:space="0" w:color="auto"/>
              <w:right w:val="single" w:sz="4" w:space="0" w:color="auto"/>
            </w:tcBorders>
            <w:shd w:val="clear" w:color="auto" w:fill="auto"/>
          </w:tcPr>
          <w:p w14:paraId="0733ABEE" w14:textId="77777777" w:rsidR="00D8731F" w:rsidRPr="00183E4D" w:rsidRDefault="00D8731F" w:rsidP="0000074B">
            <w:pPr>
              <w:pStyle w:val="Tabletext1"/>
              <w:spacing w:before="40" w:after="40"/>
              <w:jc w:val="center"/>
              <w:rPr>
                <w:snapToGrid w:val="0"/>
                <w:highlight w:val="cyan"/>
              </w:rPr>
            </w:pPr>
            <w:r w:rsidRPr="00F72E2C">
              <w:rPr>
                <w:snapToGrid w:val="0"/>
              </w:rPr>
              <w:t>283 (299)</w:t>
            </w:r>
          </w:p>
        </w:tc>
        <w:tc>
          <w:tcPr>
            <w:tcW w:w="1196" w:type="pct"/>
            <w:tcBorders>
              <w:left w:val="single" w:sz="4" w:space="0" w:color="auto"/>
              <w:bottom w:val="single" w:sz="4" w:space="0" w:color="auto"/>
              <w:right w:val="single" w:sz="4" w:space="0" w:color="auto"/>
            </w:tcBorders>
            <w:shd w:val="clear" w:color="auto" w:fill="auto"/>
          </w:tcPr>
          <w:p w14:paraId="64576B1A" w14:textId="77777777" w:rsidR="00DA4CFB" w:rsidRDefault="00DA4CFB" w:rsidP="0000074B">
            <w:pPr>
              <w:pStyle w:val="Tabletext1"/>
              <w:spacing w:before="40" w:after="40"/>
              <w:jc w:val="center"/>
              <w:rPr>
                <w:snapToGrid w:val="0"/>
              </w:rPr>
            </w:pPr>
            <w:r>
              <w:rPr>
                <w:snapToGrid w:val="0"/>
              </w:rPr>
              <w:t>Pooling not possible</w:t>
            </w:r>
          </w:p>
          <w:p w14:paraId="08B4B3A5" w14:textId="1558817E" w:rsidR="00DA4CFB" w:rsidRDefault="00DA4CFB" w:rsidP="0000074B">
            <w:pPr>
              <w:pStyle w:val="Tabletext1"/>
              <w:spacing w:before="40" w:after="40"/>
              <w:jc w:val="center"/>
              <w:rPr>
                <w:snapToGrid w:val="0"/>
              </w:rPr>
            </w:pPr>
            <w:r>
              <w:rPr>
                <w:snapToGrid w:val="0"/>
              </w:rPr>
              <w:t>Quality of the evidence</w:t>
            </w:r>
          </w:p>
          <w:p w14:paraId="4E5B9C07" w14:textId="7A1491DC" w:rsidR="00D8731F" w:rsidRPr="005A3150" w:rsidRDefault="00DA4CFB" w:rsidP="0000074B">
            <w:pPr>
              <w:pStyle w:val="Tabletext1"/>
              <w:spacing w:before="40" w:after="40"/>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sidR="005A3150">
              <w:rPr>
                <w:rFonts w:ascii="Cambria Math" w:hAnsi="Cambria Math" w:cs="Cambria Math"/>
                <w:color w:val="C00000"/>
              </w:rPr>
              <w:t xml:space="preserve"> </w:t>
            </w: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1195" w:type="pct"/>
            <w:tcBorders>
              <w:left w:val="single" w:sz="4" w:space="0" w:color="auto"/>
              <w:bottom w:val="single" w:sz="4" w:space="0" w:color="auto"/>
            </w:tcBorders>
            <w:shd w:val="clear" w:color="auto" w:fill="auto"/>
          </w:tcPr>
          <w:p w14:paraId="2B7DA4D1" w14:textId="3686F01E" w:rsidR="00D8731F" w:rsidRPr="00F03A59" w:rsidRDefault="00D8731F" w:rsidP="0000074B">
            <w:pPr>
              <w:pStyle w:val="Tabletext1"/>
              <w:spacing w:before="40" w:after="40"/>
              <w:jc w:val="center"/>
              <w:rPr>
                <w:snapToGrid w:val="0"/>
              </w:rPr>
            </w:pPr>
            <w:r w:rsidRPr="00F03A59">
              <w:rPr>
                <w:snapToGrid w:val="0"/>
              </w:rPr>
              <w:t>Median 2</w:t>
            </w:r>
            <w:r w:rsidR="007C798A" w:rsidRPr="00F03A59">
              <w:rPr>
                <w:snapToGrid w:val="0"/>
              </w:rPr>
              <w:t>5</w:t>
            </w:r>
            <w:r w:rsidRPr="00F03A59">
              <w:rPr>
                <w:snapToGrid w:val="0"/>
              </w:rPr>
              <w:t>%</w:t>
            </w:r>
            <w:r w:rsidR="00844834" w:rsidRPr="00F03A59">
              <w:rPr>
                <w:snapToGrid w:val="0"/>
              </w:rPr>
              <w:t xml:space="preserve"> </w:t>
            </w:r>
            <w:r w:rsidRPr="00F03A59">
              <w:rPr>
                <w:snapToGrid w:val="0"/>
              </w:rPr>
              <w:t xml:space="preserve">(range </w:t>
            </w:r>
            <w:r w:rsidR="00F03A59" w:rsidRPr="00F03A59">
              <w:rPr>
                <w:snapToGrid w:val="0"/>
              </w:rPr>
              <w:t>21</w:t>
            </w:r>
            <w:r w:rsidR="00D35E9C">
              <w:rPr>
                <w:snapToGrid w:val="0"/>
              </w:rPr>
              <w:t>–</w:t>
            </w:r>
            <w:r w:rsidR="007C798A" w:rsidRPr="00F03A59">
              <w:rPr>
                <w:snapToGrid w:val="0"/>
              </w:rPr>
              <w:t>3</w:t>
            </w:r>
            <w:r w:rsidR="00F03A59" w:rsidRPr="00F03A59">
              <w:rPr>
                <w:snapToGrid w:val="0"/>
              </w:rPr>
              <w:t>3)</w:t>
            </w:r>
          </w:p>
          <w:p w14:paraId="0E28AB76" w14:textId="7F6C8427" w:rsidR="00D8731F" w:rsidRDefault="004C0A3F" w:rsidP="0000074B">
            <w:pPr>
              <w:pStyle w:val="Tabletext1"/>
              <w:spacing w:before="40" w:after="40"/>
              <w:jc w:val="center"/>
              <w:rPr>
                <w:snapToGrid w:val="0"/>
              </w:rPr>
            </w:pPr>
            <w:r w:rsidRPr="00F03A59">
              <w:rPr>
                <w:snapToGrid w:val="0"/>
              </w:rPr>
              <w:t>Quality</w:t>
            </w:r>
            <w:r w:rsidR="00D8731F" w:rsidRPr="00F03A59">
              <w:rPr>
                <w:snapToGrid w:val="0"/>
              </w:rPr>
              <w:t xml:space="preserve"> of the evidence</w:t>
            </w:r>
          </w:p>
          <w:p w14:paraId="3418B965" w14:textId="04911C58" w:rsidR="00D8731F" w:rsidRPr="005A3150" w:rsidRDefault="00D8731F" w:rsidP="0000074B">
            <w:pPr>
              <w:pStyle w:val="Tabletext1"/>
              <w:spacing w:before="40" w:after="40"/>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sidR="005A3150">
              <w:rPr>
                <w:rFonts w:ascii="Cambria Math" w:hAnsi="Cambria Math" w:cs="Cambria Math"/>
                <w:color w:val="C00000"/>
              </w:rPr>
              <w:t xml:space="preserve"> </w:t>
            </w: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r>
      <w:tr w:rsidR="002B6CFB" w:rsidRPr="00183E4D" w14:paraId="089EE28C" w14:textId="77777777" w:rsidTr="00D25265">
        <w:trPr>
          <w:cantSplit/>
        </w:trPr>
        <w:tc>
          <w:tcPr>
            <w:tcW w:w="921" w:type="pct"/>
            <w:tcBorders>
              <w:right w:val="nil"/>
            </w:tcBorders>
            <w:shd w:val="clear" w:color="auto" w:fill="D9D9D9" w:themeFill="background1" w:themeFillShade="D9"/>
          </w:tcPr>
          <w:p w14:paraId="4AFCBCB7" w14:textId="77777777" w:rsidR="002B6CFB" w:rsidRPr="00C23A94" w:rsidRDefault="002B6CFB" w:rsidP="0000074B">
            <w:pPr>
              <w:pStyle w:val="Tabletext1"/>
              <w:spacing w:before="40" w:after="40"/>
              <w:rPr>
                <w:b/>
                <w:snapToGrid w:val="0"/>
              </w:rPr>
            </w:pPr>
            <w:r w:rsidRPr="00C23A94">
              <w:rPr>
                <w:b/>
                <w:snapToGrid w:val="0"/>
              </w:rPr>
              <w:t>Radiotherapy</w:t>
            </w:r>
          </w:p>
        </w:tc>
        <w:tc>
          <w:tcPr>
            <w:tcW w:w="844" w:type="pct"/>
            <w:tcBorders>
              <w:left w:val="nil"/>
              <w:right w:val="nil"/>
            </w:tcBorders>
            <w:shd w:val="clear" w:color="auto" w:fill="D9D9D9" w:themeFill="background1" w:themeFillShade="D9"/>
          </w:tcPr>
          <w:p w14:paraId="5CE099D0" w14:textId="77777777" w:rsidR="002B6CFB" w:rsidRDefault="002B6CFB" w:rsidP="0000074B">
            <w:pPr>
              <w:pStyle w:val="Tabletext1"/>
              <w:spacing w:before="40" w:after="40"/>
              <w:jc w:val="center"/>
              <w:rPr>
                <w:snapToGrid w:val="0"/>
              </w:rPr>
            </w:pPr>
          </w:p>
        </w:tc>
        <w:tc>
          <w:tcPr>
            <w:tcW w:w="844" w:type="pct"/>
            <w:tcBorders>
              <w:left w:val="nil"/>
              <w:right w:val="nil"/>
            </w:tcBorders>
            <w:shd w:val="clear" w:color="auto" w:fill="D9D9D9" w:themeFill="background1" w:themeFillShade="D9"/>
          </w:tcPr>
          <w:p w14:paraId="2F799888" w14:textId="77777777" w:rsidR="002B6CFB" w:rsidRDefault="002B6CFB" w:rsidP="0000074B">
            <w:pPr>
              <w:pStyle w:val="Tabletext1"/>
              <w:spacing w:before="40" w:after="40"/>
              <w:jc w:val="center"/>
              <w:rPr>
                <w:snapToGrid w:val="0"/>
              </w:rPr>
            </w:pPr>
          </w:p>
        </w:tc>
        <w:tc>
          <w:tcPr>
            <w:tcW w:w="1196" w:type="pct"/>
            <w:tcBorders>
              <w:left w:val="nil"/>
              <w:right w:val="nil"/>
            </w:tcBorders>
            <w:shd w:val="clear" w:color="auto" w:fill="D9D9D9" w:themeFill="background1" w:themeFillShade="D9"/>
          </w:tcPr>
          <w:p w14:paraId="66DD5652" w14:textId="77777777" w:rsidR="002B6CFB" w:rsidRDefault="002B6CFB" w:rsidP="0000074B">
            <w:pPr>
              <w:pStyle w:val="Tabletext1"/>
              <w:spacing w:before="40" w:after="40"/>
              <w:jc w:val="center"/>
              <w:rPr>
                <w:snapToGrid w:val="0"/>
              </w:rPr>
            </w:pPr>
          </w:p>
        </w:tc>
        <w:tc>
          <w:tcPr>
            <w:tcW w:w="1195" w:type="pct"/>
            <w:tcBorders>
              <w:left w:val="nil"/>
            </w:tcBorders>
            <w:shd w:val="clear" w:color="auto" w:fill="D9D9D9" w:themeFill="background1" w:themeFillShade="D9"/>
          </w:tcPr>
          <w:p w14:paraId="54457B7A" w14:textId="77777777" w:rsidR="002B6CFB" w:rsidRDefault="002B6CFB" w:rsidP="0000074B">
            <w:pPr>
              <w:pStyle w:val="Tabletext1"/>
              <w:spacing w:before="40" w:after="40"/>
              <w:jc w:val="center"/>
              <w:rPr>
                <w:snapToGrid w:val="0"/>
              </w:rPr>
            </w:pPr>
          </w:p>
        </w:tc>
      </w:tr>
      <w:tr w:rsidR="000F7D44" w:rsidRPr="00183E4D" w14:paraId="6E61E915" w14:textId="77777777" w:rsidTr="00D25265">
        <w:trPr>
          <w:cantSplit/>
        </w:trPr>
        <w:tc>
          <w:tcPr>
            <w:tcW w:w="921" w:type="pct"/>
            <w:shd w:val="clear" w:color="auto" w:fill="auto"/>
          </w:tcPr>
          <w:p w14:paraId="5265C590" w14:textId="77777777" w:rsidR="000F7D44" w:rsidRPr="008A6F37" w:rsidRDefault="000F7D44" w:rsidP="0000074B">
            <w:pPr>
              <w:pStyle w:val="Tabletext1"/>
              <w:spacing w:before="40" w:after="40"/>
              <w:rPr>
                <w:snapToGrid w:val="0"/>
              </w:rPr>
            </w:pPr>
            <w:r>
              <w:rPr>
                <w:snapToGrid w:val="0"/>
              </w:rPr>
              <w:t>Price et al (2012)</w:t>
            </w:r>
          </w:p>
        </w:tc>
        <w:tc>
          <w:tcPr>
            <w:tcW w:w="844" w:type="pct"/>
          </w:tcPr>
          <w:p w14:paraId="255901B3" w14:textId="77777777" w:rsidR="000F7D44" w:rsidRDefault="000F7D44" w:rsidP="0000074B">
            <w:pPr>
              <w:pStyle w:val="Tabletext1"/>
              <w:spacing w:before="40" w:after="40"/>
              <w:jc w:val="center"/>
              <w:rPr>
                <w:snapToGrid w:val="0"/>
              </w:rPr>
            </w:pPr>
            <w:r>
              <w:rPr>
                <w:snapToGrid w:val="0"/>
              </w:rPr>
              <w:t>XRT</w:t>
            </w:r>
          </w:p>
        </w:tc>
        <w:tc>
          <w:tcPr>
            <w:tcW w:w="844" w:type="pct"/>
            <w:shd w:val="clear" w:color="auto" w:fill="auto"/>
          </w:tcPr>
          <w:p w14:paraId="62A30871" w14:textId="77777777" w:rsidR="000F7D44" w:rsidRPr="008A6F37" w:rsidRDefault="000F7D44" w:rsidP="0000074B">
            <w:pPr>
              <w:pStyle w:val="Tabletext1"/>
              <w:spacing w:before="40" w:after="40"/>
              <w:jc w:val="center"/>
              <w:rPr>
                <w:snapToGrid w:val="0"/>
              </w:rPr>
            </w:pPr>
            <w:r>
              <w:rPr>
                <w:snapToGrid w:val="0"/>
              </w:rPr>
              <w:t>56</w:t>
            </w:r>
            <w:r w:rsidR="007C2B19">
              <w:rPr>
                <w:snapToGrid w:val="0"/>
              </w:rPr>
              <w:t xml:space="preserve"> </w:t>
            </w:r>
            <w:r>
              <w:rPr>
                <w:snapToGrid w:val="0"/>
              </w:rPr>
              <w:t>(NR)</w:t>
            </w:r>
          </w:p>
        </w:tc>
        <w:tc>
          <w:tcPr>
            <w:tcW w:w="1196" w:type="pct"/>
            <w:tcBorders>
              <w:left w:val="nil"/>
            </w:tcBorders>
            <w:shd w:val="clear" w:color="auto" w:fill="auto"/>
          </w:tcPr>
          <w:p w14:paraId="2387BDC8" w14:textId="77777777" w:rsidR="000F7D44" w:rsidRPr="00723C9B" w:rsidRDefault="000F7D44" w:rsidP="0000074B">
            <w:pPr>
              <w:pStyle w:val="Tabletext1"/>
              <w:spacing w:before="40" w:after="40"/>
              <w:jc w:val="center"/>
            </w:pPr>
            <w:r>
              <w:t>NR</w:t>
            </w:r>
          </w:p>
        </w:tc>
        <w:tc>
          <w:tcPr>
            <w:tcW w:w="1195" w:type="pct"/>
            <w:shd w:val="clear" w:color="auto" w:fill="auto"/>
          </w:tcPr>
          <w:p w14:paraId="29885642" w14:textId="77777777" w:rsidR="000F7D44" w:rsidRPr="00D6073F" w:rsidRDefault="000F7D44" w:rsidP="0000074B">
            <w:pPr>
              <w:pStyle w:val="Tabletext1"/>
              <w:spacing w:before="40" w:after="40"/>
              <w:jc w:val="center"/>
              <w:rPr>
                <w:snapToGrid w:val="0"/>
              </w:rPr>
            </w:pPr>
            <w:r w:rsidRPr="00D46504">
              <w:rPr>
                <w:snapToGrid w:val="0"/>
              </w:rPr>
              <w:t>14/55 (25)</w:t>
            </w:r>
          </w:p>
        </w:tc>
      </w:tr>
      <w:tr w:rsidR="000F7D44" w:rsidRPr="00183E4D" w14:paraId="3D4FC90B" w14:textId="77777777" w:rsidTr="00D25265">
        <w:trPr>
          <w:cantSplit/>
        </w:trPr>
        <w:tc>
          <w:tcPr>
            <w:tcW w:w="921" w:type="pct"/>
            <w:shd w:val="clear" w:color="auto" w:fill="auto"/>
          </w:tcPr>
          <w:p w14:paraId="3D37B2EE" w14:textId="77777777" w:rsidR="000F7D44" w:rsidRDefault="000F7D44" w:rsidP="0000074B">
            <w:pPr>
              <w:pStyle w:val="Tabletext1"/>
              <w:spacing w:before="40" w:after="40"/>
              <w:rPr>
                <w:snapToGrid w:val="0"/>
              </w:rPr>
            </w:pPr>
          </w:p>
        </w:tc>
        <w:tc>
          <w:tcPr>
            <w:tcW w:w="844" w:type="pct"/>
          </w:tcPr>
          <w:p w14:paraId="1CD8284F" w14:textId="77777777" w:rsidR="000F7D44" w:rsidRDefault="000F7D44" w:rsidP="0000074B">
            <w:pPr>
              <w:pStyle w:val="Tabletext1"/>
              <w:spacing w:before="40" w:after="40"/>
              <w:jc w:val="center"/>
              <w:rPr>
                <w:snapToGrid w:val="0"/>
              </w:rPr>
            </w:pPr>
            <w:r>
              <w:rPr>
                <w:snapToGrid w:val="0"/>
              </w:rPr>
              <w:t>XRT</w:t>
            </w:r>
            <w:r w:rsidR="00D146AB">
              <w:rPr>
                <w:snapToGrid w:val="0"/>
              </w:rPr>
              <w:t xml:space="preserve"> </w:t>
            </w:r>
            <w:r>
              <w:rPr>
                <w:snapToGrid w:val="0"/>
              </w:rPr>
              <w:t>+</w:t>
            </w:r>
            <w:r w:rsidR="00632596">
              <w:rPr>
                <w:snapToGrid w:val="0"/>
              </w:rPr>
              <w:t xml:space="preserve"> </w:t>
            </w:r>
            <w:r>
              <w:rPr>
                <w:snapToGrid w:val="0"/>
              </w:rPr>
              <w:t>gemcitabine</w:t>
            </w:r>
          </w:p>
        </w:tc>
        <w:tc>
          <w:tcPr>
            <w:tcW w:w="844" w:type="pct"/>
            <w:shd w:val="clear" w:color="auto" w:fill="auto"/>
          </w:tcPr>
          <w:p w14:paraId="2B8F1BFE" w14:textId="77777777" w:rsidR="000F7D44" w:rsidRDefault="000F7D44" w:rsidP="0000074B">
            <w:pPr>
              <w:pStyle w:val="Tabletext1"/>
              <w:spacing w:before="40" w:after="40"/>
              <w:jc w:val="center"/>
              <w:rPr>
                <w:snapToGrid w:val="0"/>
              </w:rPr>
            </w:pPr>
            <w:r>
              <w:rPr>
                <w:snapToGrid w:val="0"/>
              </w:rPr>
              <w:t>55</w:t>
            </w:r>
            <w:r w:rsidR="007C2B19">
              <w:rPr>
                <w:snapToGrid w:val="0"/>
              </w:rPr>
              <w:t xml:space="preserve"> </w:t>
            </w:r>
            <w:r>
              <w:rPr>
                <w:snapToGrid w:val="0"/>
              </w:rPr>
              <w:t>(NR)</w:t>
            </w:r>
          </w:p>
        </w:tc>
        <w:tc>
          <w:tcPr>
            <w:tcW w:w="1196" w:type="pct"/>
            <w:tcBorders>
              <w:left w:val="nil"/>
            </w:tcBorders>
            <w:shd w:val="clear" w:color="auto" w:fill="auto"/>
          </w:tcPr>
          <w:p w14:paraId="2C31A914" w14:textId="77777777" w:rsidR="000F7D44" w:rsidRDefault="000F7D44" w:rsidP="0000074B">
            <w:pPr>
              <w:pStyle w:val="Tabletext1"/>
              <w:spacing w:before="40" w:after="40"/>
              <w:jc w:val="center"/>
            </w:pPr>
            <w:r>
              <w:t>NR</w:t>
            </w:r>
          </w:p>
        </w:tc>
        <w:tc>
          <w:tcPr>
            <w:tcW w:w="1195" w:type="pct"/>
            <w:shd w:val="clear" w:color="auto" w:fill="auto"/>
          </w:tcPr>
          <w:p w14:paraId="08303AE3" w14:textId="77777777" w:rsidR="000F7D44" w:rsidRPr="00D46504" w:rsidRDefault="000F7D44" w:rsidP="0000074B">
            <w:pPr>
              <w:pStyle w:val="Tabletext1"/>
              <w:spacing w:before="40" w:after="40"/>
              <w:jc w:val="center"/>
              <w:rPr>
                <w:snapToGrid w:val="0"/>
              </w:rPr>
            </w:pPr>
            <w:r w:rsidRPr="00D46504">
              <w:rPr>
                <w:snapToGrid w:val="0"/>
              </w:rPr>
              <w:t>9/50 (18)</w:t>
            </w:r>
          </w:p>
        </w:tc>
      </w:tr>
      <w:tr w:rsidR="000F7D44" w:rsidRPr="00183E4D" w14:paraId="2DF06ECD" w14:textId="77777777" w:rsidTr="00D25265">
        <w:trPr>
          <w:cantSplit/>
        </w:trPr>
        <w:tc>
          <w:tcPr>
            <w:tcW w:w="921" w:type="pct"/>
            <w:shd w:val="clear" w:color="auto" w:fill="auto"/>
          </w:tcPr>
          <w:p w14:paraId="38E075C6" w14:textId="77777777" w:rsidR="000F7D44" w:rsidRPr="008A6F37" w:rsidRDefault="000F7D44" w:rsidP="0000074B">
            <w:pPr>
              <w:pStyle w:val="Tabletext1"/>
              <w:spacing w:before="40" w:after="40"/>
              <w:rPr>
                <w:snapToGrid w:val="0"/>
              </w:rPr>
            </w:pPr>
            <w:r>
              <w:rPr>
                <w:snapToGrid w:val="0"/>
              </w:rPr>
              <w:t>Videtic et al (2015)</w:t>
            </w:r>
          </w:p>
        </w:tc>
        <w:tc>
          <w:tcPr>
            <w:tcW w:w="844" w:type="pct"/>
          </w:tcPr>
          <w:p w14:paraId="16131169" w14:textId="77777777" w:rsidR="000F7D44" w:rsidRDefault="000F7D44" w:rsidP="0000074B">
            <w:pPr>
              <w:pStyle w:val="Tabletext1"/>
              <w:spacing w:before="40" w:after="40"/>
              <w:jc w:val="center"/>
              <w:rPr>
                <w:snapToGrid w:val="0"/>
              </w:rPr>
            </w:pPr>
            <w:r>
              <w:rPr>
                <w:snapToGrid w:val="0"/>
              </w:rPr>
              <w:t>34/1 GY SBRT</w:t>
            </w:r>
          </w:p>
        </w:tc>
        <w:tc>
          <w:tcPr>
            <w:tcW w:w="844" w:type="pct"/>
            <w:shd w:val="clear" w:color="auto" w:fill="auto"/>
          </w:tcPr>
          <w:p w14:paraId="748FB2DF" w14:textId="77777777" w:rsidR="000F7D44" w:rsidRPr="008A6F37" w:rsidRDefault="000F7D44" w:rsidP="0000074B">
            <w:pPr>
              <w:pStyle w:val="Tabletext1"/>
              <w:spacing w:before="40" w:after="40"/>
              <w:jc w:val="center"/>
              <w:rPr>
                <w:snapToGrid w:val="0"/>
              </w:rPr>
            </w:pPr>
            <w:r>
              <w:rPr>
                <w:snapToGrid w:val="0"/>
              </w:rPr>
              <w:t>39</w:t>
            </w:r>
            <w:r w:rsidR="007C2B19">
              <w:rPr>
                <w:snapToGrid w:val="0"/>
              </w:rPr>
              <w:t xml:space="preserve"> </w:t>
            </w:r>
            <w:r>
              <w:rPr>
                <w:snapToGrid w:val="0"/>
              </w:rPr>
              <w:t>(NR)</w:t>
            </w:r>
          </w:p>
        </w:tc>
        <w:tc>
          <w:tcPr>
            <w:tcW w:w="1196" w:type="pct"/>
            <w:tcBorders>
              <w:left w:val="nil"/>
            </w:tcBorders>
            <w:shd w:val="clear" w:color="auto" w:fill="auto"/>
          </w:tcPr>
          <w:p w14:paraId="47CE0B06" w14:textId="77777777" w:rsidR="000F7D44" w:rsidRPr="004E5FC7" w:rsidRDefault="00741A91" w:rsidP="0000074B">
            <w:pPr>
              <w:pStyle w:val="Tabletext1"/>
              <w:spacing w:before="40" w:after="40"/>
              <w:jc w:val="center"/>
            </w:pPr>
            <w:r>
              <w:t xml:space="preserve">1-year </w:t>
            </w:r>
            <w:r w:rsidR="00B751D1" w:rsidRPr="004E5FC7">
              <w:t>33/34</w:t>
            </w:r>
            <w:r w:rsidR="005129E0">
              <w:t xml:space="preserve"> (97</w:t>
            </w:r>
            <w:r w:rsidR="000F7D44" w:rsidRPr="004E5FC7">
              <w:t>)</w:t>
            </w:r>
          </w:p>
        </w:tc>
        <w:tc>
          <w:tcPr>
            <w:tcW w:w="1195" w:type="pct"/>
            <w:shd w:val="clear" w:color="auto" w:fill="auto"/>
          </w:tcPr>
          <w:p w14:paraId="4689C251" w14:textId="77777777" w:rsidR="000F7D44" w:rsidRPr="008A6F37" w:rsidRDefault="00266A7A" w:rsidP="0000074B">
            <w:pPr>
              <w:pStyle w:val="Tabletext1"/>
              <w:spacing w:before="40" w:after="40"/>
              <w:jc w:val="center"/>
              <w:rPr>
                <w:snapToGrid w:val="0"/>
              </w:rPr>
            </w:pPr>
            <w:r>
              <w:rPr>
                <w:snapToGrid w:val="0"/>
              </w:rPr>
              <w:t>2-year</w:t>
            </w:r>
            <w:r w:rsidR="00210FEE">
              <w:rPr>
                <w:snapToGrid w:val="0"/>
              </w:rPr>
              <w:t xml:space="preserve"> NR</w:t>
            </w:r>
            <w:r w:rsidR="000F7D44">
              <w:rPr>
                <w:snapToGrid w:val="0"/>
              </w:rPr>
              <w:t xml:space="preserve"> </w:t>
            </w:r>
            <w:r w:rsidR="00A11782">
              <w:rPr>
                <w:snapToGrid w:val="0"/>
              </w:rPr>
              <w:t>(2.6</w:t>
            </w:r>
            <w:r w:rsidR="001D3EA3">
              <w:rPr>
                <w:snapToGrid w:val="0"/>
              </w:rPr>
              <w:t>)</w:t>
            </w:r>
          </w:p>
        </w:tc>
      </w:tr>
      <w:tr w:rsidR="000F7D44" w:rsidRPr="00183E4D" w14:paraId="5B611C6E" w14:textId="77777777" w:rsidTr="00D25265">
        <w:trPr>
          <w:cantSplit/>
        </w:trPr>
        <w:tc>
          <w:tcPr>
            <w:tcW w:w="921" w:type="pct"/>
            <w:shd w:val="clear" w:color="auto" w:fill="auto"/>
          </w:tcPr>
          <w:p w14:paraId="7BD76BFC" w14:textId="77777777" w:rsidR="000F7D44" w:rsidRDefault="000F7D44" w:rsidP="0000074B">
            <w:pPr>
              <w:pStyle w:val="Tabletext1"/>
              <w:spacing w:before="40" w:after="40"/>
              <w:rPr>
                <w:snapToGrid w:val="0"/>
              </w:rPr>
            </w:pPr>
          </w:p>
        </w:tc>
        <w:tc>
          <w:tcPr>
            <w:tcW w:w="844" w:type="pct"/>
            <w:tcBorders>
              <w:bottom w:val="single" w:sz="4" w:space="0" w:color="auto"/>
            </w:tcBorders>
          </w:tcPr>
          <w:p w14:paraId="1256A79F" w14:textId="77777777" w:rsidR="000F7D44" w:rsidRDefault="000F7D44" w:rsidP="0000074B">
            <w:pPr>
              <w:pStyle w:val="Tabletext1"/>
              <w:spacing w:before="40" w:after="40"/>
              <w:jc w:val="center"/>
              <w:rPr>
                <w:snapToGrid w:val="0"/>
              </w:rPr>
            </w:pPr>
            <w:r>
              <w:rPr>
                <w:snapToGrid w:val="0"/>
              </w:rPr>
              <w:t>48/4 GY SBRT</w:t>
            </w:r>
          </w:p>
        </w:tc>
        <w:tc>
          <w:tcPr>
            <w:tcW w:w="844" w:type="pct"/>
            <w:tcBorders>
              <w:bottom w:val="single" w:sz="4" w:space="0" w:color="auto"/>
            </w:tcBorders>
            <w:shd w:val="clear" w:color="auto" w:fill="auto"/>
          </w:tcPr>
          <w:p w14:paraId="21694905" w14:textId="77777777" w:rsidR="000F7D44" w:rsidRDefault="000F7D44" w:rsidP="0000074B">
            <w:pPr>
              <w:pStyle w:val="Tabletext1"/>
              <w:spacing w:before="40" w:after="40"/>
              <w:jc w:val="center"/>
              <w:rPr>
                <w:snapToGrid w:val="0"/>
              </w:rPr>
            </w:pPr>
            <w:r>
              <w:rPr>
                <w:snapToGrid w:val="0"/>
              </w:rPr>
              <w:t>45</w:t>
            </w:r>
            <w:r w:rsidR="007C2B19">
              <w:rPr>
                <w:snapToGrid w:val="0"/>
              </w:rPr>
              <w:t xml:space="preserve"> </w:t>
            </w:r>
            <w:r>
              <w:rPr>
                <w:snapToGrid w:val="0"/>
              </w:rPr>
              <w:t>(NR)</w:t>
            </w:r>
          </w:p>
        </w:tc>
        <w:tc>
          <w:tcPr>
            <w:tcW w:w="1196" w:type="pct"/>
            <w:tcBorders>
              <w:left w:val="nil"/>
              <w:bottom w:val="single" w:sz="4" w:space="0" w:color="auto"/>
            </w:tcBorders>
            <w:shd w:val="clear" w:color="auto" w:fill="auto"/>
          </w:tcPr>
          <w:p w14:paraId="5F22F884" w14:textId="77777777" w:rsidR="000F7D44" w:rsidRPr="004E5FC7" w:rsidRDefault="00741A91" w:rsidP="0000074B">
            <w:pPr>
              <w:pStyle w:val="Tabletext1"/>
              <w:spacing w:before="40" w:after="40"/>
              <w:jc w:val="center"/>
            </w:pPr>
            <w:r>
              <w:t xml:space="preserve">1-year </w:t>
            </w:r>
            <w:r w:rsidR="00B751D1" w:rsidRPr="004E5FC7">
              <w:t>41/44</w:t>
            </w:r>
            <w:r w:rsidR="005129E0">
              <w:t xml:space="preserve"> (</w:t>
            </w:r>
            <w:r w:rsidR="005129E0" w:rsidRPr="004E5FC7">
              <w:t>9</w:t>
            </w:r>
            <w:r w:rsidR="005129E0">
              <w:t>3</w:t>
            </w:r>
            <w:r w:rsidR="000F7D44" w:rsidRPr="004E5FC7">
              <w:t>)</w:t>
            </w:r>
          </w:p>
        </w:tc>
        <w:tc>
          <w:tcPr>
            <w:tcW w:w="1195" w:type="pct"/>
            <w:tcBorders>
              <w:bottom w:val="single" w:sz="4" w:space="0" w:color="auto"/>
            </w:tcBorders>
            <w:shd w:val="clear" w:color="auto" w:fill="auto"/>
          </w:tcPr>
          <w:p w14:paraId="5BA4C687" w14:textId="77777777" w:rsidR="000F7D44" w:rsidRDefault="00266A7A" w:rsidP="0000074B">
            <w:pPr>
              <w:pStyle w:val="Tabletext1"/>
              <w:spacing w:before="40" w:after="40"/>
              <w:jc w:val="center"/>
              <w:rPr>
                <w:snapToGrid w:val="0"/>
              </w:rPr>
            </w:pPr>
            <w:r>
              <w:rPr>
                <w:snapToGrid w:val="0"/>
              </w:rPr>
              <w:t>2-year</w:t>
            </w:r>
            <w:r w:rsidR="000F7D44">
              <w:rPr>
                <w:snapToGrid w:val="0"/>
              </w:rPr>
              <w:t xml:space="preserve"> </w:t>
            </w:r>
            <w:r w:rsidR="00210FEE">
              <w:rPr>
                <w:snapToGrid w:val="0"/>
              </w:rPr>
              <w:t xml:space="preserve">NR </w:t>
            </w:r>
            <w:r w:rsidR="001D3EA3">
              <w:rPr>
                <w:snapToGrid w:val="0"/>
              </w:rPr>
              <w:t>(</w:t>
            </w:r>
            <w:r w:rsidR="000F7D44">
              <w:rPr>
                <w:snapToGrid w:val="0"/>
              </w:rPr>
              <w:t>2.2</w:t>
            </w:r>
            <w:r w:rsidR="001D3EA3">
              <w:rPr>
                <w:snapToGrid w:val="0"/>
              </w:rPr>
              <w:t>)</w:t>
            </w:r>
          </w:p>
        </w:tc>
      </w:tr>
      <w:tr w:rsidR="000F7D44" w:rsidRPr="00183E4D" w14:paraId="243D8430" w14:textId="77777777" w:rsidTr="00D25265">
        <w:trPr>
          <w:cantSplit/>
        </w:trPr>
        <w:tc>
          <w:tcPr>
            <w:tcW w:w="921" w:type="pct"/>
            <w:shd w:val="clear" w:color="auto" w:fill="auto"/>
          </w:tcPr>
          <w:p w14:paraId="378C9DAD" w14:textId="77777777" w:rsidR="000F7D44" w:rsidRPr="00F72E2C" w:rsidRDefault="000F7D44" w:rsidP="0000074B">
            <w:pPr>
              <w:pStyle w:val="Tabletext1"/>
              <w:spacing w:before="40" w:after="40"/>
              <w:rPr>
                <w:snapToGrid w:val="0"/>
              </w:rPr>
            </w:pPr>
            <w:r w:rsidRPr="00F72E2C">
              <w:rPr>
                <w:snapToGrid w:val="0"/>
              </w:rPr>
              <w:t>Pooled analysis</w:t>
            </w:r>
          </w:p>
        </w:tc>
        <w:tc>
          <w:tcPr>
            <w:tcW w:w="844" w:type="pct"/>
            <w:tcBorders>
              <w:right w:val="single" w:sz="4" w:space="0" w:color="auto"/>
            </w:tcBorders>
          </w:tcPr>
          <w:p w14:paraId="2889B709" w14:textId="77777777" w:rsidR="000F7D44" w:rsidRDefault="00360E9F" w:rsidP="0000074B">
            <w:pPr>
              <w:pStyle w:val="Tabletext1"/>
              <w:spacing w:before="40" w:after="40"/>
              <w:jc w:val="center"/>
              <w:rPr>
                <w:snapToGrid w:val="0"/>
              </w:rPr>
            </w:pPr>
            <w:r>
              <w:rPr>
                <w:snapToGrid w:val="0"/>
              </w:rPr>
              <w:t>NA</w:t>
            </w:r>
          </w:p>
        </w:tc>
        <w:tc>
          <w:tcPr>
            <w:tcW w:w="844" w:type="pct"/>
            <w:tcBorders>
              <w:left w:val="single" w:sz="4" w:space="0" w:color="auto"/>
              <w:right w:val="single" w:sz="4" w:space="0" w:color="auto"/>
            </w:tcBorders>
            <w:shd w:val="clear" w:color="auto" w:fill="auto"/>
          </w:tcPr>
          <w:p w14:paraId="463FAF28" w14:textId="77777777" w:rsidR="000F7D44" w:rsidRPr="00F72E2C" w:rsidRDefault="000F7D44" w:rsidP="0000074B">
            <w:pPr>
              <w:pStyle w:val="Tabletext1"/>
              <w:spacing w:before="40" w:after="40"/>
              <w:jc w:val="center"/>
              <w:rPr>
                <w:snapToGrid w:val="0"/>
              </w:rPr>
            </w:pPr>
            <w:r w:rsidRPr="00F72E2C">
              <w:rPr>
                <w:snapToGrid w:val="0"/>
              </w:rPr>
              <w:t>NA</w:t>
            </w:r>
          </w:p>
        </w:tc>
        <w:tc>
          <w:tcPr>
            <w:tcW w:w="1196" w:type="pct"/>
            <w:tcBorders>
              <w:left w:val="single" w:sz="4" w:space="0" w:color="auto"/>
              <w:right w:val="single" w:sz="4" w:space="0" w:color="auto"/>
            </w:tcBorders>
            <w:shd w:val="clear" w:color="auto" w:fill="auto"/>
          </w:tcPr>
          <w:p w14:paraId="142F7809" w14:textId="77777777" w:rsidR="000F7D44" w:rsidRDefault="001A107F" w:rsidP="0000074B">
            <w:pPr>
              <w:pStyle w:val="Tabletext1"/>
              <w:spacing w:before="40" w:after="40"/>
              <w:jc w:val="center"/>
              <w:rPr>
                <w:snapToGrid w:val="0"/>
              </w:rPr>
            </w:pPr>
            <w:r>
              <w:rPr>
                <w:snapToGrid w:val="0"/>
              </w:rPr>
              <w:t>Pooling not possible</w:t>
            </w:r>
          </w:p>
          <w:p w14:paraId="7C1CB753" w14:textId="0116D404" w:rsidR="001A107F" w:rsidRDefault="004C0A3F" w:rsidP="0000074B">
            <w:pPr>
              <w:pStyle w:val="Tabletext1"/>
              <w:spacing w:before="40" w:after="40"/>
              <w:jc w:val="center"/>
              <w:rPr>
                <w:snapToGrid w:val="0"/>
              </w:rPr>
            </w:pPr>
            <w:r>
              <w:rPr>
                <w:snapToGrid w:val="0"/>
              </w:rPr>
              <w:t xml:space="preserve">Quality </w:t>
            </w:r>
            <w:r w:rsidR="001A107F">
              <w:rPr>
                <w:snapToGrid w:val="0"/>
              </w:rPr>
              <w:t>of the evidence</w:t>
            </w:r>
          </w:p>
          <w:p w14:paraId="67AA7EDF" w14:textId="193224C0" w:rsidR="001A107F" w:rsidRPr="005A3150" w:rsidRDefault="001A107F" w:rsidP="0000074B">
            <w:pPr>
              <w:pStyle w:val="Tabletext1"/>
              <w:spacing w:before="40" w:after="40"/>
              <w:jc w:val="center"/>
              <w:rPr>
                <w:rFonts w:ascii="Cambria Math" w:hAnsi="Cambria Math" w:cs="Cambria Math"/>
                <w:color w:val="C00000"/>
              </w:rPr>
            </w:pPr>
            <w:r>
              <w:rPr>
                <w:rFonts w:ascii="Cambria Math" w:hAnsi="Cambria Math"/>
                <w:color w:val="00B050"/>
              </w:rPr>
              <w:t>⨁</w:t>
            </w:r>
            <w:r w:rsidR="00013456">
              <w:rPr>
                <w:rFonts w:ascii="Cambria Math" w:hAnsi="Cambria Math"/>
                <w:color w:val="00B050"/>
              </w:rPr>
              <w:t>⨁</w:t>
            </w:r>
            <w:r w:rsidRPr="00D4733A">
              <w:rPr>
                <w:rFonts w:ascii="Cambria Math" w:hAnsi="Cambria Math" w:cs="Cambria Math"/>
                <w:color w:val="C00000"/>
              </w:rPr>
              <w:t>⨀⨀</w:t>
            </w:r>
            <w:r w:rsidR="005A3150">
              <w:rPr>
                <w:rFonts w:ascii="Cambria Math" w:hAnsi="Cambria Math" w:cs="Cambria Math"/>
                <w:color w:val="C00000"/>
              </w:rPr>
              <w:t xml:space="preserve"> </w:t>
            </w:r>
            <w:r w:rsidRPr="007C6F8D">
              <w:rPr>
                <w:rStyle w:val="quality-sign"/>
                <w:rFonts w:eastAsia="MS Mincho" w:cs="MS Mincho"/>
                <w:sz w:val="21"/>
                <w:szCs w:val="21"/>
              </w:rPr>
              <w:t>LOW</w:t>
            </w:r>
          </w:p>
        </w:tc>
        <w:tc>
          <w:tcPr>
            <w:tcW w:w="1195" w:type="pct"/>
            <w:tcBorders>
              <w:left w:val="single" w:sz="4" w:space="0" w:color="auto"/>
            </w:tcBorders>
            <w:shd w:val="clear" w:color="auto" w:fill="auto"/>
          </w:tcPr>
          <w:p w14:paraId="12D21D70" w14:textId="77777777" w:rsidR="001A107F" w:rsidRDefault="001A107F" w:rsidP="0000074B">
            <w:pPr>
              <w:pStyle w:val="Tabletext1"/>
              <w:spacing w:before="40" w:after="40"/>
              <w:jc w:val="center"/>
              <w:rPr>
                <w:snapToGrid w:val="0"/>
              </w:rPr>
            </w:pPr>
            <w:r>
              <w:rPr>
                <w:snapToGrid w:val="0"/>
              </w:rPr>
              <w:t>Pooling not possible</w:t>
            </w:r>
          </w:p>
          <w:p w14:paraId="21BFFECC" w14:textId="63D05D11" w:rsidR="001A107F" w:rsidRDefault="004C0A3F" w:rsidP="0000074B">
            <w:pPr>
              <w:pStyle w:val="Tabletext1"/>
              <w:spacing w:before="40" w:after="40"/>
              <w:jc w:val="center"/>
              <w:rPr>
                <w:snapToGrid w:val="0"/>
              </w:rPr>
            </w:pPr>
            <w:r>
              <w:rPr>
                <w:snapToGrid w:val="0"/>
              </w:rPr>
              <w:t xml:space="preserve">Quality </w:t>
            </w:r>
            <w:r w:rsidR="001A107F">
              <w:rPr>
                <w:snapToGrid w:val="0"/>
              </w:rPr>
              <w:t>of the evidence</w:t>
            </w:r>
          </w:p>
          <w:p w14:paraId="285D7425" w14:textId="4DD4904A" w:rsidR="000F7D44" w:rsidRPr="005A3150" w:rsidRDefault="001A107F" w:rsidP="0000074B">
            <w:pPr>
              <w:pStyle w:val="Tabletext1"/>
              <w:spacing w:before="40" w:after="40"/>
              <w:jc w:val="center"/>
              <w:rPr>
                <w:rFonts w:ascii="Cambria Math" w:hAnsi="Cambria Math" w:cs="Cambria Math"/>
                <w:color w:val="C00000"/>
              </w:rPr>
            </w:pPr>
            <w:r>
              <w:rPr>
                <w:rFonts w:ascii="Cambria Math" w:hAnsi="Cambria Math"/>
                <w:color w:val="00B050"/>
              </w:rPr>
              <w:t>⨁</w:t>
            </w:r>
            <w:r w:rsidR="00013456">
              <w:rPr>
                <w:rFonts w:ascii="Cambria Math" w:hAnsi="Cambria Math"/>
                <w:color w:val="00B050"/>
              </w:rPr>
              <w:t>⨁</w:t>
            </w:r>
            <w:r w:rsidRPr="00D4733A">
              <w:rPr>
                <w:rFonts w:ascii="Cambria Math" w:hAnsi="Cambria Math" w:cs="Cambria Math"/>
                <w:color w:val="C00000"/>
              </w:rPr>
              <w:t>⨀⨀</w:t>
            </w:r>
            <w:r w:rsidR="005A3150">
              <w:rPr>
                <w:rFonts w:ascii="Cambria Math" w:hAnsi="Cambria Math" w:cs="Cambria Math"/>
                <w:color w:val="C00000"/>
              </w:rPr>
              <w:t xml:space="preserve"> </w:t>
            </w:r>
            <w:r w:rsidRPr="007C6F8D">
              <w:rPr>
                <w:rStyle w:val="quality-sign"/>
                <w:rFonts w:eastAsia="MS Mincho" w:cs="MS Mincho"/>
                <w:sz w:val="21"/>
                <w:szCs w:val="21"/>
              </w:rPr>
              <w:t>LOW</w:t>
            </w:r>
          </w:p>
        </w:tc>
      </w:tr>
    </w:tbl>
    <w:p w14:paraId="6704E99F" w14:textId="3801EE1F" w:rsidR="00214EBE" w:rsidRPr="00214EBE" w:rsidRDefault="009546C3" w:rsidP="009546C3">
      <w:pPr>
        <w:pStyle w:val="Tablenotes0"/>
      </w:pPr>
      <w:r>
        <w:t xml:space="preserve">&lt; </w:t>
      </w:r>
      <w:r w:rsidR="00214EBE" w:rsidRPr="00214EBE">
        <w:t>CI = confidence interval</w:t>
      </w:r>
      <w:r w:rsidR="00214EBE">
        <w:t xml:space="preserve">; </w:t>
      </w:r>
      <w:r w:rsidR="00F829C6">
        <w:t>MTA = microwave thermal ablation; NA = not applicable;</w:t>
      </w:r>
      <w:r w:rsidR="002F591C">
        <w:t xml:space="preserve"> </w:t>
      </w:r>
      <w:r w:rsidR="006D0EB2" w:rsidRPr="006D0EB2">
        <w:t>NR</w:t>
      </w:r>
      <w:r w:rsidR="00F829C6">
        <w:t xml:space="preserve"> </w:t>
      </w:r>
      <w:r w:rsidR="006D0EB2" w:rsidRPr="006D0EB2">
        <w:t>= not reported</w:t>
      </w:r>
      <w:proofErr w:type="gramStart"/>
      <w:r w:rsidR="006D0EB2">
        <w:t>;</w:t>
      </w:r>
      <w:r w:rsidR="00CB3BFC">
        <w:t>NSCLC</w:t>
      </w:r>
      <w:proofErr w:type="gramEnd"/>
      <w:r w:rsidR="00CB3BFC">
        <w:t xml:space="preserve"> = non-small cell lung cancer;</w:t>
      </w:r>
      <w:r w:rsidR="006D0EB2">
        <w:t xml:space="preserve"> </w:t>
      </w:r>
      <w:r w:rsidR="006D0EB2" w:rsidRPr="006D0EB2">
        <w:t>n/N (%)</w:t>
      </w:r>
      <w:r w:rsidR="00F829C6">
        <w:t xml:space="preserve"> </w:t>
      </w:r>
      <w:r w:rsidR="006D0EB2" w:rsidRPr="006D0EB2">
        <w:t>= number with event/ total (percentage)</w:t>
      </w:r>
      <w:r w:rsidR="00F829C6">
        <w:t>; RFA = radiofrequency ablation;</w:t>
      </w:r>
      <w:r w:rsidR="00CB3BFC">
        <w:t xml:space="preserve"> SBRT = stereotactic body radiotherapy;</w:t>
      </w:r>
      <w:r w:rsidR="00F829C6">
        <w:t xml:space="preserve"> XRT = </w:t>
      </w:r>
      <w:r w:rsidR="00F829C6" w:rsidRPr="00F829C6">
        <w:t>radical radiotherapy</w:t>
      </w:r>
      <w:r>
        <w:t xml:space="preserve"> &gt;</w:t>
      </w:r>
    </w:p>
    <w:p w14:paraId="42835DD7" w14:textId="137120B7" w:rsidR="00041F9C" w:rsidRDefault="00041F9C" w:rsidP="009546C3">
      <w:pPr>
        <w:pStyle w:val="Tablenotes0"/>
        <w:rPr>
          <w:szCs w:val="18"/>
        </w:rPr>
      </w:pPr>
      <w:r w:rsidRPr="00E10B76">
        <w:rPr>
          <w:szCs w:val="18"/>
        </w:rPr>
        <w:t>GRADE Working Group grades of evidence</w:t>
      </w:r>
      <w:r>
        <w:rPr>
          <w:szCs w:val="18"/>
        </w:rPr>
        <w:t xml:space="preserve"> (Guyatt et al., 2013)</w:t>
      </w:r>
      <w:r w:rsidR="00F829C6">
        <w:rPr>
          <w:szCs w:val="18"/>
        </w:rPr>
        <w: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Low quality:</w:t>
      </w:r>
      <w:r w:rsidRPr="00E10B76">
        <w:rPr>
          <w:szCs w:val="18"/>
        </w:rPr>
        <w:t xml:space="preserve"> </w:t>
      </w:r>
      <w:r>
        <w:rPr>
          <w:szCs w:val="18"/>
        </w:rPr>
        <w:t>Our confidence in the effect estimate is limited: The true effect may be substantially different from the estimate of the effect.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p>
    <w:p w14:paraId="44B3DC38" w14:textId="77777777" w:rsidR="00730ADD" w:rsidRPr="00F608FC" w:rsidRDefault="00730ADD" w:rsidP="009546C3">
      <w:pPr>
        <w:pStyle w:val="Tablenotes0"/>
      </w:pPr>
      <w:proofErr w:type="gramStart"/>
      <w:r>
        <w:rPr>
          <w:vertAlign w:val="superscript"/>
        </w:rPr>
        <w:t>a</w:t>
      </w:r>
      <w:proofErr w:type="gramEnd"/>
      <w:r>
        <w:t xml:space="preserve"> No definition of local control was provided. </w:t>
      </w:r>
      <w:r w:rsidRPr="00F608FC">
        <w:t>A focal enhancement at the ablation site or enlargement of the ablated tumour after a series of shrinkage was considered local recurrence</w:t>
      </w:r>
      <w:r>
        <w:t xml:space="preserve"> (progression)</w:t>
      </w:r>
      <w:r w:rsidRPr="00F608FC">
        <w:t xml:space="preserve"> if technical success had been confirmed</w:t>
      </w:r>
      <w:r>
        <w:t>.</w:t>
      </w:r>
    </w:p>
    <w:p w14:paraId="43142563" w14:textId="77777777" w:rsidR="00730ADD" w:rsidRDefault="00730ADD" w:rsidP="009546C3">
      <w:pPr>
        <w:pStyle w:val="Tablenotes0"/>
      </w:pPr>
      <w:proofErr w:type="gramStart"/>
      <w:r>
        <w:rPr>
          <w:vertAlign w:val="superscript"/>
        </w:rPr>
        <w:t>b</w:t>
      </w:r>
      <w:proofErr w:type="gramEnd"/>
      <w:r>
        <w:t xml:space="preserve"> RECIST criteria=</w:t>
      </w:r>
      <w:r w:rsidRPr="00D6073F">
        <w:t>CR: 9/16 (56.3%), PR: 2/16 (12.5%), PD: 5/16 (31.3%)</w:t>
      </w:r>
      <w:r>
        <w:t>.</w:t>
      </w:r>
    </w:p>
    <w:p w14:paraId="76EB2705" w14:textId="77777777" w:rsidR="00730ADD" w:rsidRDefault="00730ADD" w:rsidP="009546C3">
      <w:pPr>
        <w:pStyle w:val="Tablenotes0"/>
      </w:pPr>
      <w:proofErr w:type="gramStart"/>
      <w:r>
        <w:rPr>
          <w:vertAlign w:val="superscript"/>
        </w:rPr>
        <w:t>c</w:t>
      </w:r>
      <w:proofErr w:type="gramEnd"/>
      <w:r>
        <w:t xml:space="preserve"> No definition of local control was provided. Local progression was referred to as the contrast</w:t>
      </w:r>
      <w:r>
        <w:rPr>
          <w:rFonts w:ascii="Cambria Math" w:hAnsi="Cambria Math" w:cs="Cambria Math"/>
        </w:rPr>
        <w:t>‐</w:t>
      </w:r>
      <w:r>
        <w:t>enhancement by CT scans in the site of ablation. Patients were requested to have serial repeat contrast</w:t>
      </w:r>
      <w:r>
        <w:rPr>
          <w:rFonts w:ascii="Cambria Math" w:hAnsi="Cambria Math" w:cs="Cambria Math"/>
        </w:rPr>
        <w:t>‐</w:t>
      </w:r>
      <w:r>
        <w:t>enhanced CT (CECT) scans at 3</w:t>
      </w:r>
      <w:r>
        <w:rPr>
          <w:rFonts w:ascii="Cambria Math" w:hAnsi="Cambria Math" w:cs="Cambria Math"/>
        </w:rPr>
        <w:t>‐</w:t>
      </w:r>
      <w:r>
        <w:t>, 6</w:t>
      </w:r>
      <w:r>
        <w:rPr>
          <w:rFonts w:ascii="Cambria Math" w:hAnsi="Cambria Math" w:cs="Cambria Math"/>
        </w:rPr>
        <w:t>‐</w:t>
      </w:r>
      <w:r>
        <w:t>, 9</w:t>
      </w:r>
      <w:r>
        <w:rPr>
          <w:rFonts w:ascii="Cambria Math" w:hAnsi="Cambria Math" w:cs="Cambria Math"/>
        </w:rPr>
        <w:t>‐</w:t>
      </w:r>
      <w:r>
        <w:t>, and 12</w:t>
      </w:r>
      <w:r>
        <w:rPr>
          <w:rFonts w:ascii="Cambria Math" w:hAnsi="Cambria Math" w:cs="Cambria Math"/>
        </w:rPr>
        <w:t>‐</w:t>
      </w:r>
      <w:r>
        <w:t>month intervals.</w:t>
      </w:r>
    </w:p>
    <w:p w14:paraId="3644E5C6" w14:textId="77777777" w:rsidR="00730ADD" w:rsidRDefault="00730ADD" w:rsidP="009546C3">
      <w:pPr>
        <w:pStyle w:val="Tablenotes0"/>
      </w:pPr>
      <w:proofErr w:type="gramStart"/>
      <w:r>
        <w:rPr>
          <w:vertAlign w:val="superscript"/>
        </w:rPr>
        <w:t>d</w:t>
      </w:r>
      <w:proofErr w:type="gramEnd"/>
      <w:r>
        <w:t xml:space="preserve"> denominator = number of </w:t>
      </w:r>
      <w:r w:rsidRPr="00D73D53">
        <w:t>treatments</w:t>
      </w:r>
      <w:r>
        <w:t>.</w:t>
      </w:r>
    </w:p>
    <w:p w14:paraId="26E9244A" w14:textId="77777777" w:rsidR="006326E1" w:rsidRDefault="006326E1" w:rsidP="00C5412E">
      <w:pPr>
        <w:pStyle w:val="Heading2"/>
      </w:pPr>
      <w:bookmarkStart w:id="333" w:name="_Toc460396065"/>
      <w:r>
        <w:br w:type="page"/>
      </w:r>
    </w:p>
    <w:p w14:paraId="1DF0B054" w14:textId="42B14D24" w:rsidR="00C5412E" w:rsidRDefault="00C5412E" w:rsidP="00C5412E">
      <w:pPr>
        <w:pStyle w:val="Heading2"/>
      </w:pPr>
      <w:r w:rsidRPr="00183E4D">
        <w:lastRenderedPageBreak/>
        <w:t>IS MTA</w:t>
      </w:r>
      <w:r>
        <w:t xml:space="preserve"> </w:t>
      </w:r>
      <w:r w:rsidRPr="00183E4D">
        <w:t>effective</w:t>
      </w:r>
      <w:r>
        <w:t xml:space="preserve"> in patients with</w:t>
      </w:r>
      <w:r w:rsidRPr="00C5412E">
        <w:t xml:space="preserve"> lung metastases in whom the primary tumour is under control, and who are receiving treatment with curative intent</w:t>
      </w:r>
      <w:r>
        <w:t xml:space="preserve"> (oligometastatic disease)</w:t>
      </w:r>
      <w:r w:rsidRPr="00183E4D">
        <w:t>?</w:t>
      </w:r>
      <w:bookmarkEnd w:id="333"/>
      <w:r w:rsidRPr="00183E4D">
        <w:t xml:space="preserve"> </w:t>
      </w:r>
    </w:p>
    <w:p w14:paraId="35A93665" w14:textId="77777777" w:rsidR="00477A44" w:rsidRDefault="00477A44" w:rsidP="007C7D1A">
      <w:pPr>
        <w:pStyle w:val="Summaryboxheading"/>
        <w:pBdr>
          <w:top w:val="single" w:sz="4" w:space="2" w:color="auto"/>
          <w:left w:val="single" w:sz="4" w:space="4" w:color="auto"/>
          <w:bottom w:val="single" w:sz="4" w:space="1" w:color="auto"/>
          <w:right w:val="single" w:sz="4" w:space="4" w:color="auto"/>
        </w:pBdr>
        <w:spacing w:before="60" w:after="60" w:afterAutospacing="0"/>
      </w:pPr>
      <w:r w:rsidRPr="00183E4D">
        <w:t xml:space="preserve">Summary – </w:t>
      </w:r>
      <w:r w:rsidRPr="00477A44">
        <w:t xml:space="preserve">What is the effectiveness of microwave </w:t>
      </w:r>
      <w:r w:rsidR="0066456D">
        <w:t>tissue</w:t>
      </w:r>
      <w:r w:rsidRPr="00477A44">
        <w:t xml:space="preserve"> ablation in patients with lung metastases in whom the primary tumour is under contro</w:t>
      </w:r>
      <w:r>
        <w:t>l, treated with curative intent</w:t>
      </w:r>
      <w:r w:rsidRPr="00477A44">
        <w:t xml:space="preserve"> compared to radiofrequency ablation or current best practice radiotherapy with or without chemotherapy</w:t>
      </w:r>
      <w:r>
        <w:t xml:space="preserve"> or surgical resection</w:t>
      </w:r>
      <w:r w:rsidRPr="00477A44">
        <w:t>?</w:t>
      </w:r>
    </w:p>
    <w:p w14:paraId="37989D27" w14:textId="77777777" w:rsidR="00477A44" w:rsidRPr="00477A44" w:rsidRDefault="00477A44" w:rsidP="007C7D1A">
      <w:pPr>
        <w:pStyle w:val="Summaryboxheading"/>
        <w:pBdr>
          <w:top w:val="single" w:sz="4" w:space="2" w:color="auto"/>
          <w:left w:val="single" w:sz="4" w:space="4" w:color="auto"/>
          <w:bottom w:val="single" w:sz="4" w:space="1" w:color="auto"/>
          <w:right w:val="single" w:sz="4" w:space="4" w:color="auto"/>
        </w:pBdr>
        <w:spacing w:before="60" w:after="60" w:afterAutospacing="0"/>
        <w:rPr>
          <w:b w:val="0"/>
        </w:rPr>
      </w:pPr>
      <w:r w:rsidRPr="00477A44">
        <w:rPr>
          <w:b w:val="0"/>
        </w:rPr>
        <w:t>The evidence for both the intervention and its comparators is by and large characterised by Level IV evidence with variable outcome measures and incomplete reporting.</w:t>
      </w:r>
      <w:r>
        <w:rPr>
          <w:b w:val="0"/>
        </w:rPr>
        <w:t xml:space="preserve"> T</w:t>
      </w:r>
      <w:r w:rsidRPr="00477A44">
        <w:rPr>
          <w:b w:val="0"/>
        </w:rPr>
        <w:t xml:space="preserve">he comparative benefit of this form of tumour destruction over existing treatment options is unknown. </w:t>
      </w:r>
      <w:r>
        <w:rPr>
          <w:b w:val="0"/>
        </w:rPr>
        <w:t>T</w:t>
      </w:r>
      <w:r w:rsidRPr="00477A44">
        <w:rPr>
          <w:b w:val="0"/>
        </w:rPr>
        <w:t xml:space="preserve">he claim of non-inferiority for the comparative effectiveness of MTA as compared to </w:t>
      </w:r>
      <w:r>
        <w:rPr>
          <w:b w:val="0"/>
        </w:rPr>
        <w:t>other interventions</w:t>
      </w:r>
      <w:r w:rsidRPr="00477A44">
        <w:rPr>
          <w:b w:val="0"/>
        </w:rPr>
        <w:t xml:space="preserve"> remains untested by any published studies.</w:t>
      </w:r>
    </w:p>
    <w:p w14:paraId="74D1C08C" w14:textId="3E80B441" w:rsidR="00EB0EBE" w:rsidRDefault="00C5412E" w:rsidP="00C5412E">
      <w:r>
        <w:t>Patients with oligometastatic disease in the lung are a heterogeneous group</w:t>
      </w:r>
      <w:r w:rsidR="008D74CB">
        <w:t>.</w:t>
      </w:r>
      <w:r>
        <w:t xml:space="preserve"> </w:t>
      </w:r>
      <w:r w:rsidR="008D74CB">
        <w:t>Only two studies that investigated the use of</w:t>
      </w:r>
      <w:r>
        <w:t xml:space="preserve"> MTA </w:t>
      </w:r>
      <w:r w:rsidR="008D74CB">
        <w:t>in</w:t>
      </w:r>
      <w:r>
        <w:t xml:space="preserve"> oligometastatic </w:t>
      </w:r>
      <w:r w:rsidR="008D74CB">
        <w:t xml:space="preserve">pulmonary </w:t>
      </w:r>
      <w:r>
        <w:t>disease were identified</w:t>
      </w:r>
      <w:r w:rsidR="00A97D85">
        <w:t xml:space="preserve"> </w:t>
      </w:r>
      <w:r w:rsidR="00A97D85">
        <w:fldChar w:fldCharType="begin">
          <w:fldData xml:space="preserve">PEVuZE5vdGU+PENpdGU+PEF1dGhvcj5RaTwvQXV0aG9yPjxZZWFyPjIwMTU8L1llYXI+PFJlY051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bD48cGFnZXM+NjQzLTUxPC9wYWdlcz48dm9sdW1lPjI2MTwvdm9sdW1lPjxudW1iZXI+MjwvbnVt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</w:fldData>
        </w:fldChar>
      </w:r>
      <w:r w:rsidR="00194054">
        <w:instrText xml:space="preserve"> ADDIN EN.CITE </w:instrText>
      </w:r>
      <w:r w:rsidR="00194054">
        <w:fldChar w:fldCharType="begin">
          <w:fldData xml:space="preserve">PEVuZE5vdGU+PENpdGU+PEF1dGhvcj5RaTwvQXV0aG9yPjxZZWFyPjIwMTU8L1llYXI+PFJlY051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bD48cGFnZXM+NjQzLTUxPC9wYWdlcz48dm9sdW1lPjI2MTwvdm9sdW1lPjxudW1iZXI+MjwvbnVt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</w:fldData>
        </w:fldChar>
      </w:r>
      <w:r w:rsidR="00194054">
        <w:instrText xml:space="preserve"> ADDIN EN.CITE.DATA </w:instrText>
      </w:r>
      <w:r w:rsidR="00194054">
        <w:fldChar w:fldCharType="end"/>
      </w:r>
      <w:r w:rsidR="00A97D85">
        <w:fldChar w:fldCharType="separate"/>
      </w:r>
      <w:r w:rsidR="00A97D85">
        <w:rPr>
          <w:noProof/>
        </w:rPr>
        <w:t>(</w:t>
      </w:r>
      <w:hyperlink w:anchor="_ENREF_123" w:tooltip="Qi, 2015 #96" w:history="1">
        <w:r w:rsidR="00320458">
          <w:rPr>
            <w:noProof/>
          </w:rPr>
          <w:t>Qi et al 2015</w:t>
        </w:r>
      </w:hyperlink>
      <w:r w:rsidR="00A97D85">
        <w:rPr>
          <w:noProof/>
        </w:rPr>
        <w:t xml:space="preserve">; </w:t>
      </w:r>
      <w:hyperlink w:anchor="_ENREF_167" w:tooltip="Vogl, 2011 #98" w:history="1">
        <w:r w:rsidR="00320458">
          <w:rPr>
            <w:noProof/>
          </w:rPr>
          <w:t>Vogl et al 2011</w:t>
        </w:r>
      </w:hyperlink>
      <w:r w:rsidR="00A97D85">
        <w:rPr>
          <w:noProof/>
        </w:rPr>
        <w:t>)</w:t>
      </w:r>
      <w:r w:rsidR="00A97D85">
        <w:fldChar w:fldCharType="end"/>
      </w:r>
      <w:r>
        <w:t xml:space="preserve">. These studies included oligometastases from </w:t>
      </w:r>
      <w:r w:rsidR="009C5031">
        <w:t>nasopharyngeal carcinoma (n</w:t>
      </w:r>
      <w:r w:rsidR="00C10752">
        <w:t xml:space="preserve"> </w:t>
      </w:r>
      <w:r w:rsidR="009C5031">
        <w:t>=</w:t>
      </w:r>
      <w:r w:rsidR="00C10752">
        <w:t xml:space="preserve"> </w:t>
      </w:r>
      <w:r w:rsidR="009C5031">
        <w:t>17)</w:t>
      </w:r>
      <w:r w:rsidR="009C5031" w:rsidRPr="009C5031">
        <w:t xml:space="preserve"> colorectal carcinoma (</w:t>
      </w:r>
      <w:r w:rsidR="009C5031">
        <w:t>n</w:t>
      </w:r>
      <w:r w:rsidR="00A51360">
        <w:t xml:space="preserve"> </w:t>
      </w:r>
      <w:r w:rsidR="009C5031">
        <w:t>=</w:t>
      </w:r>
      <w:r w:rsidR="00A51360">
        <w:t xml:space="preserve"> </w:t>
      </w:r>
      <w:r w:rsidR="009C5031">
        <w:t>40</w:t>
      </w:r>
      <w:r w:rsidR="009C5031" w:rsidRPr="009C5031">
        <w:t>), breast carcinoma (</w:t>
      </w:r>
      <w:r w:rsidR="009C5031">
        <w:t>n</w:t>
      </w:r>
      <w:r w:rsidR="00C10752">
        <w:t xml:space="preserve"> </w:t>
      </w:r>
      <w:r w:rsidR="009C5031">
        <w:t>=</w:t>
      </w:r>
      <w:r w:rsidR="00C10752">
        <w:t xml:space="preserve"> </w:t>
      </w:r>
      <w:r w:rsidR="009C5031">
        <w:t>20</w:t>
      </w:r>
      <w:r w:rsidR="009C5031" w:rsidRPr="009C5031">
        <w:t>)</w:t>
      </w:r>
      <w:r w:rsidR="009C5031">
        <w:t>, hepatocellular carcinoma (n</w:t>
      </w:r>
      <w:r w:rsidR="00C10752">
        <w:t xml:space="preserve"> </w:t>
      </w:r>
      <w:r w:rsidR="009C5031">
        <w:t>=</w:t>
      </w:r>
      <w:r w:rsidR="00C10752">
        <w:t xml:space="preserve"> </w:t>
      </w:r>
      <w:r w:rsidR="009C5031">
        <w:t>10</w:t>
      </w:r>
      <w:r w:rsidR="009C5031" w:rsidRPr="009C5031">
        <w:t>), renal cell carcinoma (</w:t>
      </w:r>
      <w:r w:rsidR="009C5031">
        <w:t>n</w:t>
      </w:r>
      <w:r w:rsidR="00A51360">
        <w:t xml:space="preserve"> </w:t>
      </w:r>
      <w:r w:rsidR="009C5031">
        <w:t>=</w:t>
      </w:r>
      <w:r w:rsidR="00A51360">
        <w:t xml:space="preserve"> </w:t>
      </w:r>
      <w:r w:rsidR="009C5031">
        <w:t>5</w:t>
      </w:r>
      <w:r w:rsidR="009C5031" w:rsidRPr="009C5031">
        <w:t>), bronchogenic carcinoma (</w:t>
      </w:r>
      <w:r w:rsidR="009C5031">
        <w:t>n</w:t>
      </w:r>
      <w:r w:rsidR="00A51360">
        <w:t xml:space="preserve"> </w:t>
      </w:r>
      <w:r w:rsidR="009C5031">
        <w:t>=</w:t>
      </w:r>
      <w:r w:rsidR="00A51360">
        <w:t xml:space="preserve"> </w:t>
      </w:r>
      <w:r w:rsidR="009C5031">
        <w:t>5</w:t>
      </w:r>
      <w:r w:rsidR="009C5031" w:rsidRPr="009C5031">
        <w:t>)</w:t>
      </w:r>
      <w:r w:rsidR="009C5031">
        <w:t>. Patients with oligometastatic disease are defined pr</w:t>
      </w:r>
      <w:r w:rsidR="00013F84">
        <w:t>imaril</w:t>
      </w:r>
      <w:r w:rsidR="009C5031">
        <w:t>y by the curative intent of therapy</w:t>
      </w:r>
      <w:r w:rsidR="00C52628">
        <w:t>,</w:t>
      </w:r>
      <w:r w:rsidR="009C5031">
        <w:t xml:space="preserve"> and outcomes of interest in this population include both survival and progression. The comparators to MTA include RFA, current best practice radiotherapy and surgery. However</w:t>
      </w:r>
      <w:r w:rsidR="00013F84">
        <w:t xml:space="preserve">, no comparative trials are available to inform an assessment of comparative effectiveness. Very few relevant outcomes were reported by </w:t>
      </w:r>
      <w:r w:rsidR="00A97D85">
        <w:t>the included</w:t>
      </w:r>
      <w:r w:rsidR="00013F84">
        <w:t xml:space="preserve"> MTA</w:t>
      </w:r>
      <w:r w:rsidR="00A97D85">
        <w:t xml:space="preserve"> studies</w:t>
      </w:r>
      <w:r w:rsidR="00013F84">
        <w:t>.</w:t>
      </w:r>
    </w:p>
    <w:p w14:paraId="2DD4C3D4" w14:textId="7D8BC154" w:rsidR="00C5412E" w:rsidRDefault="009C4002" w:rsidP="00C5412E">
      <w:r>
        <w:t>Assessing</w:t>
      </w:r>
      <w:r w:rsidR="00EB0EBE">
        <w:t xml:space="preserve"> the effectiveness of MTA is further complicated by uncertainty regarding </w:t>
      </w:r>
      <w:r w:rsidR="008E6DA7">
        <w:t>the benefit of treatments for patients with</w:t>
      </w:r>
      <w:r w:rsidR="00AB7220">
        <w:t xml:space="preserve"> </w:t>
      </w:r>
      <w:r w:rsidR="008E6DA7">
        <w:t xml:space="preserve">oligometastatic pulmonary </w:t>
      </w:r>
      <w:r w:rsidR="00AB7220">
        <w:t xml:space="preserve">metastases </w:t>
      </w:r>
      <w:r w:rsidR="00DF5EB1">
        <w:fldChar w:fldCharType="begin"/>
      </w:r>
      <w:r w:rsidR="00194054">
        <w:instrText xml:space="preserve"> ADDIN EN.CITE &lt;EndNote&gt;&lt;Cite&gt;&lt;Author&gt;Treasure&lt;/Author&gt;&lt;Year&gt;2012&lt;/Year&gt;&lt;RecNum&gt;133&lt;/RecNum&gt;&lt;DisplayText&gt;(Treasure et al 2012)&lt;/DisplayText&gt;&lt;record&gt;&lt;rec-number&gt;133&lt;/rec-number&gt;&lt;foreign-keys&gt;&lt;key app="EN" db-id="05ssdaw2cf0zvye5xvo5z9ww0xdpfstrdtew" timestamp="1468558275"&gt;133&lt;/key&gt;&lt;/foreign-keys&gt;&lt;ref-type name="Journal Article"&gt;17&lt;/ref-type&gt;&lt;contributors&gt;&lt;authors&gt;&lt;author&gt;Treasure, T.&lt;/author&gt;&lt;author&gt;Fiorentino, F.&lt;/author&gt;&lt;author&gt;Scarci, M.&lt;/author&gt;&lt;author&gt;Moller, H.&lt;/author&gt;&lt;author&gt;Utley, M.&lt;/author&gt;&lt;/authors&gt;&lt;/contributors&gt;&lt;auth-address&gt;Clinical Operational Research Unit, Department of Mathematics, UCL (), London, UK.&lt;/auth-address&gt;&lt;titles&gt;&lt;title&gt;Pulmonary metastasectomy for sarcoma: a systematic review of reported outcomes in the context of Thames Cancer Registry data&lt;/title&gt;&lt;secondary-title&gt;BMJ Open&lt;/secondary-title&gt;&lt;alt-title&gt;BMJ open&lt;/alt-title&gt;&lt;/titles&gt;&lt;periodical&gt;&lt;full-title&gt;BMJ Open&lt;/full-title&gt;&lt;abbr-1&gt;BMJ open&lt;/abbr-1&gt;&lt;/periodical&gt;&lt;alt-periodical&gt;&lt;full-title&gt;BMJ Open&lt;/full-title&gt;&lt;abbr-1&gt;BMJ open&lt;/abbr-1&gt;&lt;/alt-periodical&gt;&lt;volume&gt;2&lt;/volume&gt;&lt;number&gt;5&lt;/number&gt;&lt;dates&gt;&lt;year&gt;2012&lt;/year&gt;&lt;/dates&gt;&lt;isbn&gt;2044-6055 (Electronic)&amp;#xD;2044-6055 (Linking)&lt;/isbn&gt;&lt;accession-num&gt;23048062&lt;/accession-num&gt;&lt;urls&gt;&lt;related-urls&gt;&lt;url&gt;http://www.ncbi.nlm.nih.gov/pubmed/23048062&lt;/url&gt;&lt;/related-urls&gt;&lt;/urls&gt;&lt;custom2&gt;3488730&lt;/custom2&gt;&lt;electronic-resource-num&gt;10.1136/bmjopen-2012-001736&lt;/electronic-resource-num&gt;&lt;/record&gt;&lt;/Cite&gt;&lt;/EndNote&gt;</w:instrText>
      </w:r>
      <w:r w:rsidR="00DF5EB1">
        <w:fldChar w:fldCharType="separate"/>
      </w:r>
      <w:r w:rsidR="00DF5EB1">
        <w:rPr>
          <w:noProof/>
        </w:rPr>
        <w:t>(</w:t>
      </w:r>
      <w:hyperlink w:anchor="_ENREF_160" w:tooltip="Treasure, 2012 #133" w:history="1">
        <w:r w:rsidR="00320458">
          <w:rPr>
            <w:noProof/>
          </w:rPr>
          <w:t>Treasure et al 2012</w:t>
        </w:r>
      </w:hyperlink>
      <w:r w:rsidR="00DF5EB1">
        <w:rPr>
          <w:noProof/>
        </w:rPr>
        <w:t>)</w:t>
      </w:r>
      <w:r w:rsidR="00DF5EB1">
        <w:fldChar w:fldCharType="end"/>
      </w:r>
      <w:r w:rsidR="00EB0EBE">
        <w:t xml:space="preserve">. </w:t>
      </w:r>
      <w:r w:rsidR="00C52628">
        <w:t>T</w:t>
      </w:r>
      <w:r w:rsidR="008E6DA7">
        <w:t>here is currently no reliable</w:t>
      </w:r>
      <w:r>
        <w:t xml:space="preserve"> estimate of</w:t>
      </w:r>
      <w:r w:rsidR="008E6DA7">
        <w:t xml:space="preserve"> </w:t>
      </w:r>
      <w:r w:rsidR="00EB0EBE">
        <w:t xml:space="preserve">baseline survival in patients </w:t>
      </w:r>
      <w:r w:rsidR="008E6DA7">
        <w:t xml:space="preserve">with oligometastatic </w:t>
      </w:r>
      <w:r>
        <w:t xml:space="preserve">lung </w:t>
      </w:r>
      <w:r w:rsidR="008E6DA7">
        <w:t>disease</w:t>
      </w:r>
      <w:r>
        <w:t xml:space="preserve"> </w:t>
      </w:r>
      <w:r w:rsidR="008E6DA7">
        <w:fldChar w:fldCharType="begin">
          <w:fldData xml:space="preserve">PEVuZE5vdGU+PENpdGU+PEF1dGhvcj5Bc2h3b3J0aDwvQXV0aG9yPjxZZWFyPjIwMTM8L1llYXI+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</w:fldData>
        </w:fldChar>
      </w:r>
      <w:r w:rsidR="003522AA">
        <w:instrText xml:space="preserve"> ADDIN EN.CITE </w:instrText>
      </w:r>
      <w:r w:rsidR="003522AA">
        <w:fldChar w:fldCharType="begin">
          <w:fldData xml:space="preserve">PEVuZE5vdGU+PENpdGU+PEF1dGhvcj5Bc2h3b3J0aDwvQXV0aG9yPjxZZWFyPjIwMTM8L1llYXI+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</w:fldData>
        </w:fldChar>
      </w:r>
      <w:r w:rsidR="003522AA">
        <w:instrText xml:space="preserve"> ADDIN EN.CITE.DATA </w:instrText>
      </w:r>
      <w:r w:rsidR="003522AA">
        <w:fldChar w:fldCharType="end"/>
      </w:r>
      <w:r w:rsidR="008E6DA7">
        <w:fldChar w:fldCharType="separate"/>
      </w:r>
      <w:r w:rsidR="008E6DA7">
        <w:rPr>
          <w:noProof/>
        </w:rPr>
        <w:t>(</w:t>
      </w:r>
      <w:hyperlink w:anchor="_ENREF_8" w:tooltip="Ashworth, 2013 #788" w:history="1">
        <w:r w:rsidR="00320458">
          <w:rPr>
            <w:noProof/>
          </w:rPr>
          <w:t>Ashworth et al 2013</w:t>
        </w:r>
      </w:hyperlink>
      <w:r w:rsidR="008E6DA7">
        <w:rPr>
          <w:noProof/>
        </w:rPr>
        <w:t>)</w:t>
      </w:r>
      <w:r w:rsidR="008E6DA7">
        <w:fldChar w:fldCharType="end"/>
      </w:r>
      <w:r w:rsidR="00C52628">
        <w:t>,</w:t>
      </w:r>
      <w:r w:rsidR="00EB0EBE">
        <w:t xml:space="preserve"> </w:t>
      </w:r>
      <w:r>
        <w:t xml:space="preserve">and therefore, in the absence of direct comparative data </w:t>
      </w:r>
      <w:r w:rsidR="00C52628">
        <w:t xml:space="preserve">it is difficult to quantify </w:t>
      </w:r>
      <w:r w:rsidR="00EB0EBE">
        <w:t xml:space="preserve">the benefits associated with </w:t>
      </w:r>
      <w:r w:rsidR="00C52628">
        <w:t>treatments for oligometastatic lung disease</w:t>
      </w:r>
      <w:r w:rsidR="00EB0EBE">
        <w:t xml:space="preserve">. Authors of large case series studies examining interventions for pulmonary metastases almost uniformly conclude that intervention prolongs survival without undertaking any analysis to support such a claim. This issue is further confounded by debate around appropriate criteria for selecting patients for intervention and whether different </w:t>
      </w:r>
      <w:r w:rsidR="00CC7B4A">
        <w:t>primary cancers</w:t>
      </w:r>
      <w:r w:rsidR="00EB0EBE">
        <w:t xml:space="preserve"> are associated with better or worse survival profiles. </w:t>
      </w:r>
      <w:r w:rsidR="00396DF3" w:rsidRPr="00396DF3">
        <w:t>The MSAC should consider that it is not possible to statistically test for differences in prognostic factors across studies or for differences in effects. Outcomes reported from case series studies are subject to high risk of bias for a number of reasons and it is not possible to quantify the impact of bias or confounding effects within the included evidence.</w:t>
      </w:r>
    </w:p>
    <w:p w14:paraId="5669775A" w14:textId="77777777" w:rsidR="00013F84" w:rsidRDefault="00013F84" w:rsidP="003F6C66">
      <w:pPr>
        <w:pStyle w:val="Heading3"/>
      </w:pPr>
      <w:bookmarkStart w:id="334" w:name="_Toc460396066"/>
      <w:r>
        <w:t>Overall survival</w:t>
      </w:r>
      <w:bookmarkEnd w:id="334"/>
      <w:r>
        <w:t xml:space="preserve"> </w:t>
      </w:r>
    </w:p>
    <w:p w14:paraId="2714A1A5" w14:textId="25909CCE" w:rsidR="00C5412E" w:rsidRDefault="00013F84" w:rsidP="00C5412E">
      <w:r>
        <w:lastRenderedPageBreak/>
        <w:t xml:space="preserve">Overall survival was reported by one </w:t>
      </w:r>
      <w:r w:rsidR="00356CDB">
        <w:t>study of MTA</w:t>
      </w:r>
      <w:r>
        <w:t xml:space="preserve"> </w:t>
      </w:r>
      <w:r w:rsidR="006C1B55">
        <w:fldChar w:fldCharType="begin">
          <w:fldData xml:space="preserve">PEVuZE5vdGU+PENpdGU+PEF1dGhvcj5Wb2dsPC9BdXRob3I+PFllYXI+MjAxMTwvWWVhcj48UmVj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</w:fldData>
        </w:fldChar>
      </w:r>
      <w:r w:rsidR="00194054">
        <w:instrText xml:space="preserve"> ADDIN EN.CITE </w:instrText>
      </w:r>
      <w:r w:rsidR="00194054">
        <w:fldChar w:fldCharType="begin">
          <w:fldData xml:space="preserve">PEVuZE5vdGU+PENpdGU+PEF1dGhvcj5Wb2dsPC9BdXRob3I+PFllYXI+MjAxMTwvWWVhcj48UmVj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</w:fldData>
        </w:fldChar>
      </w:r>
      <w:r w:rsidR="00194054">
        <w:instrText xml:space="preserve"> ADDIN EN.CITE.DATA </w:instrText>
      </w:r>
      <w:r w:rsidR="00194054">
        <w:fldChar w:fldCharType="end"/>
      </w:r>
      <w:r w:rsidR="006C1B55">
        <w:fldChar w:fldCharType="separate"/>
      </w:r>
      <w:r w:rsidR="006C1B55">
        <w:rPr>
          <w:noProof/>
        </w:rPr>
        <w:t>(</w:t>
      </w:r>
      <w:hyperlink w:anchor="_ENREF_167" w:tooltip="Vogl, 2011 #98" w:history="1">
        <w:r w:rsidR="00320458">
          <w:rPr>
            <w:noProof/>
          </w:rPr>
          <w:t>Vogl et al 2011</w:t>
        </w:r>
      </w:hyperlink>
      <w:r w:rsidR="006C1B55">
        <w:rPr>
          <w:noProof/>
        </w:rPr>
        <w:t>)</w:t>
      </w:r>
      <w:r w:rsidR="006C1B55">
        <w:fldChar w:fldCharType="end"/>
      </w:r>
      <w:r>
        <w:t>. The authors report</w:t>
      </w:r>
      <w:r w:rsidR="006F2A53">
        <w:t>ed</w:t>
      </w:r>
      <w:r>
        <w:t xml:space="preserve"> on a series of 80 patients with lung metastases from a range of </w:t>
      </w:r>
      <w:r w:rsidR="00CC7B4A">
        <w:t>primary cancers</w:t>
      </w:r>
      <w:r>
        <w:t>. At 12 months the survival rate was 91 per cent (73/80 patients alive) and at 24 months it was 75 per cent (60/80 patients alive). Survival greater than 24 months was not reported. The authors categorised ablations as complete</w:t>
      </w:r>
      <w:r w:rsidR="00ED11EF">
        <w:t xml:space="preserve"> successful ablation</w:t>
      </w:r>
      <w:r>
        <w:t xml:space="preserve"> or failed</w:t>
      </w:r>
      <w:r w:rsidR="00ED11EF">
        <w:t xml:space="preserve"> ablation</w:t>
      </w:r>
      <w:r>
        <w:t xml:space="preserve">; where failure was defined by tumour residue or recurrence at follow-up (occurred in 35/130, </w:t>
      </w:r>
      <w:r w:rsidR="00356CDB">
        <w:t>27</w:t>
      </w:r>
      <w:r>
        <w:t xml:space="preserve">%). </w:t>
      </w:r>
      <w:r w:rsidR="00ED11EF">
        <w:t>The authors report a statistically significant difference in survival after complete versus failed ablations (p</w:t>
      </w:r>
      <w:r w:rsidR="001104D0">
        <w:t xml:space="preserve"> </w:t>
      </w:r>
      <w:r w:rsidR="00ED11EF">
        <w:t>=</w:t>
      </w:r>
      <w:r w:rsidR="001104D0">
        <w:t xml:space="preserve"> </w:t>
      </w:r>
      <w:r w:rsidR="00ED11EF">
        <w:t>0.001) with complete ablation conferring a survival advantage.</w:t>
      </w:r>
      <w:r w:rsidR="00381A2D">
        <w:t xml:space="preserve"> Qi et al </w:t>
      </w:r>
      <w:r w:rsidR="00356CDB">
        <w:t xml:space="preserve">(2015) </w:t>
      </w:r>
      <w:r w:rsidR="00381A2D">
        <w:t>do</w:t>
      </w:r>
      <w:r w:rsidR="00FD7DF2">
        <w:t>es</w:t>
      </w:r>
      <w:r w:rsidR="00381A2D">
        <w:t xml:space="preserve"> not report survival outcomes; however, report</w:t>
      </w:r>
      <w:r w:rsidR="00FD7DF2">
        <w:t>s</w:t>
      </w:r>
      <w:r w:rsidR="00381A2D">
        <w:t xml:space="preserve"> that 11/17 (64%) of patients were disease free at the time of writing.</w:t>
      </w:r>
    </w:p>
    <w:p w14:paraId="5D8A0AA3" w14:textId="77777777" w:rsidR="001B5A36" w:rsidRDefault="00AF3B5D" w:rsidP="0046756D">
      <w:r>
        <w:t>Overall survival outco</w:t>
      </w:r>
      <w:r w:rsidR="000D1BCB">
        <w:t xml:space="preserve">mes reported by studies of </w:t>
      </w:r>
      <w:r w:rsidR="001B5A36">
        <w:t xml:space="preserve">MTA, </w:t>
      </w:r>
      <w:r w:rsidR="000D1BCB">
        <w:t xml:space="preserve">RFA and </w:t>
      </w:r>
      <w:r>
        <w:t>radiothera</w:t>
      </w:r>
      <w:r w:rsidR="00D35CE8">
        <w:t xml:space="preserve">py are </w:t>
      </w:r>
      <w:r w:rsidR="001B5A36">
        <w:t xml:space="preserve">presented in </w:t>
      </w:r>
      <w:r w:rsidR="001B5A36">
        <w:fldChar w:fldCharType="begin"/>
      </w:r>
      <w:r w:rsidR="001B5A36">
        <w:instrText xml:space="preserve"> REF _Ref458512879 \h </w:instrText>
      </w:r>
      <w:r w:rsidR="001B5A36">
        <w:fldChar w:fldCharType="separate"/>
      </w:r>
      <w:r w:rsidR="00D170A5">
        <w:t xml:space="preserve">Figure </w:t>
      </w:r>
      <w:r w:rsidR="00D170A5">
        <w:rPr>
          <w:noProof/>
        </w:rPr>
        <w:t>12</w:t>
      </w:r>
      <w:r w:rsidR="001B5A36">
        <w:fldChar w:fldCharType="end"/>
      </w:r>
      <w:r w:rsidR="00C96A3B">
        <w:t xml:space="preserve">, and ranges of overall survival are presented in </w:t>
      </w:r>
      <w:r w:rsidR="00C96A3B">
        <w:fldChar w:fldCharType="begin"/>
      </w:r>
      <w:r w:rsidR="00C96A3B">
        <w:instrText xml:space="preserve"> REF _Ref459026899 \h </w:instrText>
      </w:r>
      <w:r w:rsidR="00C96A3B">
        <w:fldChar w:fldCharType="separate"/>
      </w:r>
      <w:r w:rsidR="00D170A5">
        <w:t xml:space="preserve">Table </w:t>
      </w:r>
      <w:r w:rsidR="00D170A5">
        <w:rPr>
          <w:noProof/>
        </w:rPr>
        <w:t>54</w:t>
      </w:r>
      <w:r w:rsidR="00C96A3B">
        <w:fldChar w:fldCharType="end"/>
      </w:r>
      <w:r w:rsidR="001B5A36">
        <w:t xml:space="preserve">. </w:t>
      </w:r>
      <w:r w:rsidR="0046756D">
        <w:t xml:space="preserve">As no direct or indirect comparative data was identified, it is difficult to draw meaningful comparisons across interventions. With this limitation in mind, the 1-, 2-, 3-, and 5-year overall survival rates are presented </w:t>
      </w:r>
      <w:r w:rsidR="00D0548D">
        <w:t xml:space="preserve">in order </w:t>
      </w:r>
      <w:r w:rsidR="001B5A36">
        <w:t xml:space="preserve">to </w:t>
      </w:r>
      <w:r w:rsidR="000F60C6">
        <w:t>demonstrate</w:t>
      </w:r>
      <w:r w:rsidR="0046756D">
        <w:t xml:space="preserve"> the </w:t>
      </w:r>
      <w:r w:rsidR="000F60C6">
        <w:t xml:space="preserve">large degree of </w:t>
      </w:r>
      <w:r w:rsidR="0046756D">
        <w:t xml:space="preserve">variability in reported survival rates </w:t>
      </w:r>
      <w:r w:rsidR="00D0548D">
        <w:t>for each</w:t>
      </w:r>
      <w:r w:rsidR="000F60C6">
        <w:t xml:space="preserve"> intervention, and </w:t>
      </w:r>
      <w:r w:rsidR="00D0548D">
        <w:t>should not be used</w:t>
      </w:r>
      <w:r w:rsidR="0046756D">
        <w:t xml:space="preserve"> to draw comparisons across interventions.</w:t>
      </w:r>
      <w:r w:rsidR="002B1FBF">
        <w:t xml:space="preserve"> </w:t>
      </w:r>
      <w:r w:rsidR="001B5A36">
        <w:t xml:space="preserve">The raw data on overall survival outcomes are presented in </w:t>
      </w:r>
      <w:r w:rsidR="001B5A36">
        <w:fldChar w:fldCharType="begin"/>
      </w:r>
      <w:r w:rsidR="001B5A36">
        <w:instrText xml:space="preserve"> REF _Ref458431736 \h </w:instrText>
      </w:r>
      <w:r w:rsidR="001B5A36">
        <w:fldChar w:fldCharType="separate"/>
      </w:r>
      <w:r w:rsidR="00D170A5">
        <w:t xml:space="preserve">Table </w:t>
      </w:r>
      <w:r w:rsidR="00D170A5">
        <w:rPr>
          <w:noProof/>
        </w:rPr>
        <w:t>102</w:t>
      </w:r>
      <w:r w:rsidR="001B5A36">
        <w:fldChar w:fldCharType="end"/>
      </w:r>
      <w:r w:rsidR="001B5A36">
        <w:t xml:space="preserve"> and </w:t>
      </w:r>
      <w:r w:rsidR="001B5A36">
        <w:fldChar w:fldCharType="begin"/>
      </w:r>
      <w:r w:rsidR="001B5A36">
        <w:instrText xml:space="preserve"> REF _Ref457486320 \h </w:instrText>
      </w:r>
      <w:r w:rsidR="001B5A36">
        <w:fldChar w:fldCharType="separate"/>
      </w:r>
      <w:r w:rsidR="00D170A5">
        <w:t xml:space="preserve">Table </w:t>
      </w:r>
      <w:r w:rsidR="00D170A5">
        <w:rPr>
          <w:noProof/>
        </w:rPr>
        <w:t>103</w:t>
      </w:r>
      <w:r w:rsidR="001B5A36">
        <w:fldChar w:fldCharType="end"/>
      </w:r>
      <w:r w:rsidR="001B5A36">
        <w:t xml:space="preserve"> (</w:t>
      </w:r>
      <w:r w:rsidR="001B5A36" w:rsidRPr="00B821A7">
        <w:t>Appendix E).</w:t>
      </w:r>
    </w:p>
    <w:p w14:paraId="13C6E4F0" w14:textId="77777777" w:rsidR="00F52837" w:rsidRDefault="00F52837" w:rsidP="00F52837">
      <w:pPr>
        <w:pStyle w:val="Caption"/>
        <w:keepNext/>
      </w:pPr>
      <w:bookmarkStart w:id="335" w:name="_Ref459026899"/>
      <w:bookmarkStart w:id="336" w:name="_Toc460514712"/>
      <w:r>
        <w:t xml:space="preserve">Table </w:t>
      </w:r>
      <w:fldSimple w:instr=" SEQ Table \* ARABIC ">
        <w:r w:rsidR="00D170A5">
          <w:rPr>
            <w:noProof/>
          </w:rPr>
          <w:t>54</w:t>
        </w:r>
      </w:fldSimple>
      <w:bookmarkEnd w:id="335"/>
      <w:r>
        <w:tab/>
      </w:r>
      <w:r w:rsidR="00A772E2">
        <w:t>O</w:t>
      </w:r>
      <w:r>
        <w:t xml:space="preserve">verall survival </w:t>
      </w:r>
      <w:r w:rsidR="00A772E2">
        <w:t>reported in</w:t>
      </w:r>
      <w:r>
        <w:t xml:space="preserve"> studies of RFA and radiotherapy in population two</w:t>
      </w:r>
      <w:bookmarkEnd w:id="336"/>
    </w:p>
    <w:tbl>
      <w:tblPr>
        <w:tblStyle w:val="TableGrid"/>
        <w:tblW w:w="0" w:type="auto"/>
        <w:tblLook w:val="04A0" w:firstRow="1" w:lastRow="0" w:firstColumn="1" w:lastColumn="0" w:noHBand="0" w:noVBand="1"/>
        <w:tblCaption w:val="Overall survival reported in studies of RFA and radiotherapy in population two"/>
      </w:tblPr>
      <w:tblGrid>
        <w:gridCol w:w="1848"/>
        <w:gridCol w:w="1848"/>
        <w:gridCol w:w="1848"/>
        <w:gridCol w:w="1849"/>
        <w:gridCol w:w="1849"/>
      </w:tblGrid>
      <w:tr w:rsidR="006A3201" w14:paraId="422E6469" w14:textId="77777777" w:rsidTr="00DF208C">
        <w:trPr>
          <w:tblHeader/>
        </w:trPr>
        <w:tc>
          <w:tcPr>
            <w:tcW w:w="1848" w:type="dxa"/>
            <w:shd w:val="clear" w:color="auto" w:fill="D9D9D9" w:themeFill="background1" w:themeFillShade="D9"/>
          </w:tcPr>
          <w:p w14:paraId="504976DF" w14:textId="77777777" w:rsidR="006A3201" w:rsidRPr="00DF208C" w:rsidRDefault="006A3201" w:rsidP="00DF208C">
            <w:pPr>
              <w:pStyle w:val="Tabletext1"/>
              <w:ind w:left="0"/>
              <w:rPr>
                <w:b/>
              </w:rPr>
            </w:pPr>
            <w:r w:rsidRPr="00DF208C">
              <w:rPr>
                <w:b/>
              </w:rPr>
              <w:t>Intervention</w:t>
            </w:r>
          </w:p>
        </w:tc>
        <w:tc>
          <w:tcPr>
            <w:tcW w:w="1848" w:type="dxa"/>
            <w:shd w:val="clear" w:color="auto" w:fill="D9D9D9" w:themeFill="background1" w:themeFillShade="D9"/>
          </w:tcPr>
          <w:p w14:paraId="2D621EE2" w14:textId="77777777" w:rsidR="00364050" w:rsidRPr="00DF208C" w:rsidRDefault="006A3201" w:rsidP="00DF208C">
            <w:pPr>
              <w:pStyle w:val="Tabletext1"/>
              <w:ind w:left="0"/>
              <w:rPr>
                <w:b/>
              </w:rPr>
            </w:pPr>
            <w:r w:rsidRPr="00DF208C">
              <w:rPr>
                <w:b/>
              </w:rPr>
              <w:t xml:space="preserve">1-year OS </w:t>
            </w:r>
          </w:p>
          <w:p w14:paraId="28477DB9" w14:textId="77777777" w:rsidR="006A3201" w:rsidRPr="00DF208C" w:rsidRDefault="006A3201" w:rsidP="00DF208C">
            <w:pPr>
              <w:pStyle w:val="Tabletext1"/>
              <w:ind w:left="0"/>
              <w:rPr>
                <w:b/>
              </w:rPr>
            </w:pPr>
            <w:r w:rsidRPr="00DF208C">
              <w:rPr>
                <w:b/>
              </w:rPr>
              <w:t>(</w:t>
            </w:r>
            <w:r w:rsidR="00356CDB" w:rsidRPr="00DF208C">
              <w:rPr>
                <w:rFonts w:cs="Times New Roman"/>
                <w:b/>
                <w:bCs/>
              </w:rPr>
              <w:t>№</w:t>
            </w:r>
            <w:r w:rsidR="00364050" w:rsidRPr="00DF208C">
              <w:rPr>
                <w:b/>
              </w:rPr>
              <w:t xml:space="preserve"> </w:t>
            </w:r>
            <w:r w:rsidRPr="00DF208C">
              <w:rPr>
                <w:b/>
              </w:rPr>
              <w:t>studies)</w:t>
            </w:r>
          </w:p>
        </w:tc>
        <w:tc>
          <w:tcPr>
            <w:tcW w:w="1848" w:type="dxa"/>
            <w:shd w:val="clear" w:color="auto" w:fill="D9D9D9" w:themeFill="background1" w:themeFillShade="D9"/>
          </w:tcPr>
          <w:p w14:paraId="59AEEFD5" w14:textId="77777777" w:rsidR="00364050" w:rsidRPr="00DF208C" w:rsidRDefault="006A3201" w:rsidP="00DF208C">
            <w:pPr>
              <w:pStyle w:val="Tabletext1"/>
              <w:ind w:left="0"/>
              <w:rPr>
                <w:b/>
              </w:rPr>
            </w:pPr>
            <w:r w:rsidRPr="00DF208C">
              <w:rPr>
                <w:b/>
              </w:rPr>
              <w:t xml:space="preserve">2-year OS </w:t>
            </w:r>
          </w:p>
          <w:p w14:paraId="27339F1D" w14:textId="77777777" w:rsidR="006A3201" w:rsidRPr="00DF208C" w:rsidRDefault="006A3201" w:rsidP="00DF208C">
            <w:pPr>
              <w:pStyle w:val="Tabletext1"/>
              <w:ind w:left="0"/>
              <w:rPr>
                <w:b/>
              </w:rPr>
            </w:pPr>
            <w:r w:rsidRPr="00DF208C">
              <w:rPr>
                <w:b/>
              </w:rPr>
              <w:t>(</w:t>
            </w:r>
            <w:r w:rsidR="00356CDB" w:rsidRPr="00DF208C">
              <w:rPr>
                <w:rFonts w:cs="Times New Roman"/>
                <w:b/>
                <w:bCs/>
              </w:rPr>
              <w:t>№</w:t>
            </w:r>
            <w:r w:rsidR="00364050" w:rsidRPr="00DF208C">
              <w:rPr>
                <w:b/>
              </w:rPr>
              <w:t xml:space="preserve"> </w:t>
            </w:r>
            <w:r w:rsidRPr="00DF208C">
              <w:rPr>
                <w:b/>
              </w:rPr>
              <w:t>studies)</w:t>
            </w:r>
          </w:p>
        </w:tc>
        <w:tc>
          <w:tcPr>
            <w:tcW w:w="1849" w:type="dxa"/>
            <w:shd w:val="clear" w:color="auto" w:fill="D9D9D9" w:themeFill="background1" w:themeFillShade="D9"/>
          </w:tcPr>
          <w:p w14:paraId="026BE21F" w14:textId="77777777" w:rsidR="00364050" w:rsidRPr="00DF208C" w:rsidRDefault="006A3201" w:rsidP="00DF208C">
            <w:pPr>
              <w:pStyle w:val="Tabletext1"/>
              <w:ind w:left="0"/>
              <w:rPr>
                <w:b/>
              </w:rPr>
            </w:pPr>
            <w:r w:rsidRPr="00DF208C">
              <w:rPr>
                <w:b/>
              </w:rPr>
              <w:t xml:space="preserve">3-year OS </w:t>
            </w:r>
          </w:p>
          <w:p w14:paraId="7FCE76C8" w14:textId="77777777" w:rsidR="006A3201" w:rsidRPr="00DF208C" w:rsidRDefault="006A3201" w:rsidP="00DF208C">
            <w:pPr>
              <w:pStyle w:val="Tabletext1"/>
              <w:ind w:left="0"/>
              <w:rPr>
                <w:b/>
              </w:rPr>
            </w:pPr>
            <w:r w:rsidRPr="00DF208C">
              <w:rPr>
                <w:b/>
              </w:rPr>
              <w:t>(</w:t>
            </w:r>
            <w:r w:rsidR="00356CDB" w:rsidRPr="00DF208C">
              <w:rPr>
                <w:rFonts w:cs="Times New Roman"/>
                <w:b/>
                <w:bCs/>
              </w:rPr>
              <w:t>№</w:t>
            </w:r>
            <w:r w:rsidR="00364050" w:rsidRPr="00DF208C">
              <w:rPr>
                <w:b/>
              </w:rPr>
              <w:t xml:space="preserve"> </w:t>
            </w:r>
            <w:r w:rsidRPr="00DF208C">
              <w:rPr>
                <w:b/>
              </w:rPr>
              <w:t>studies)</w:t>
            </w:r>
          </w:p>
        </w:tc>
        <w:tc>
          <w:tcPr>
            <w:tcW w:w="1849" w:type="dxa"/>
            <w:shd w:val="clear" w:color="auto" w:fill="D9D9D9" w:themeFill="background1" w:themeFillShade="D9"/>
          </w:tcPr>
          <w:p w14:paraId="2EAFC75A" w14:textId="77777777" w:rsidR="00364050" w:rsidRPr="00DF208C" w:rsidRDefault="006A3201" w:rsidP="00DF208C">
            <w:pPr>
              <w:pStyle w:val="Tabletext1"/>
              <w:ind w:left="0"/>
              <w:rPr>
                <w:b/>
              </w:rPr>
            </w:pPr>
            <w:r w:rsidRPr="00DF208C">
              <w:rPr>
                <w:b/>
              </w:rPr>
              <w:t xml:space="preserve">5-year OS </w:t>
            </w:r>
          </w:p>
          <w:p w14:paraId="287F9972" w14:textId="77777777" w:rsidR="006A3201" w:rsidRPr="00DF208C" w:rsidRDefault="006A3201" w:rsidP="00DF208C">
            <w:pPr>
              <w:pStyle w:val="Tabletext1"/>
              <w:ind w:left="0"/>
              <w:rPr>
                <w:b/>
              </w:rPr>
            </w:pPr>
            <w:r w:rsidRPr="00DF208C">
              <w:rPr>
                <w:b/>
              </w:rPr>
              <w:t>(</w:t>
            </w:r>
            <w:r w:rsidR="00356CDB" w:rsidRPr="00DF208C">
              <w:rPr>
                <w:rFonts w:cs="Times New Roman"/>
                <w:b/>
                <w:bCs/>
              </w:rPr>
              <w:t>№</w:t>
            </w:r>
            <w:r w:rsidR="00364050" w:rsidRPr="00DF208C">
              <w:rPr>
                <w:b/>
              </w:rPr>
              <w:t xml:space="preserve"> </w:t>
            </w:r>
            <w:r w:rsidRPr="00DF208C">
              <w:rPr>
                <w:b/>
              </w:rPr>
              <w:t>studies)</w:t>
            </w:r>
          </w:p>
        </w:tc>
      </w:tr>
      <w:tr w:rsidR="006A3201" w14:paraId="5F96A436" w14:textId="77777777" w:rsidTr="006A3201">
        <w:tc>
          <w:tcPr>
            <w:tcW w:w="1848" w:type="dxa"/>
          </w:tcPr>
          <w:p w14:paraId="08CEDA41" w14:textId="77777777" w:rsidR="006A3201" w:rsidRDefault="006A3201" w:rsidP="00DF208C">
            <w:pPr>
              <w:pStyle w:val="Tabletext1"/>
              <w:ind w:left="0"/>
            </w:pPr>
            <w:r>
              <w:t>RFA</w:t>
            </w:r>
          </w:p>
        </w:tc>
        <w:tc>
          <w:tcPr>
            <w:tcW w:w="1848" w:type="dxa"/>
          </w:tcPr>
          <w:p w14:paraId="02979562" w14:textId="77777777" w:rsidR="00DE4B83" w:rsidRDefault="00DE4B83" w:rsidP="00DF208C">
            <w:pPr>
              <w:pStyle w:val="Tabletext1"/>
              <w:ind w:left="0"/>
            </w:pPr>
            <w:r>
              <w:t>Median 88%</w:t>
            </w:r>
          </w:p>
          <w:p w14:paraId="0C4A72B3" w14:textId="02AE4C14" w:rsidR="006A3201" w:rsidRDefault="00DE4B83" w:rsidP="00DF208C">
            <w:pPr>
              <w:pStyle w:val="Tabletext1"/>
              <w:ind w:left="0"/>
            </w:pPr>
            <w:r>
              <w:t xml:space="preserve">Range </w:t>
            </w:r>
            <w:r w:rsidR="00C56E9D">
              <w:t>73</w:t>
            </w:r>
            <w:r w:rsidR="00D35E9C">
              <w:t>–</w:t>
            </w:r>
            <w:r w:rsidR="00C56E9D">
              <w:t>100%</w:t>
            </w:r>
          </w:p>
          <w:p w14:paraId="1F1EE2F2" w14:textId="77777777" w:rsidR="00364050" w:rsidRDefault="00364050" w:rsidP="00DF208C">
            <w:pPr>
              <w:pStyle w:val="Tabletext1"/>
              <w:ind w:left="0"/>
            </w:pPr>
            <w:r>
              <w:t>(</w:t>
            </w:r>
            <w:r w:rsidR="0010160F">
              <w:t>10 studies</w:t>
            </w:r>
            <w:r>
              <w:t>)</w:t>
            </w:r>
          </w:p>
        </w:tc>
        <w:tc>
          <w:tcPr>
            <w:tcW w:w="1848" w:type="dxa"/>
          </w:tcPr>
          <w:p w14:paraId="7EF524EF" w14:textId="77777777" w:rsidR="00DE4B83" w:rsidRDefault="00DE4B83" w:rsidP="00DF208C">
            <w:pPr>
              <w:pStyle w:val="Tabletext1"/>
              <w:ind w:left="0"/>
            </w:pPr>
            <w:r>
              <w:t>Median 59%</w:t>
            </w:r>
          </w:p>
          <w:p w14:paraId="1D96DD46" w14:textId="3FF12FB3" w:rsidR="006A3201" w:rsidRDefault="00DE4B83" w:rsidP="00DF208C">
            <w:pPr>
              <w:pStyle w:val="Tabletext1"/>
              <w:ind w:left="0"/>
            </w:pPr>
            <w:r>
              <w:t xml:space="preserve">Range </w:t>
            </w:r>
            <w:r w:rsidR="004303F1">
              <w:t>41</w:t>
            </w:r>
            <w:r w:rsidR="00D35E9C">
              <w:t>–</w:t>
            </w:r>
            <w:r w:rsidR="004303F1">
              <w:t>94</w:t>
            </w:r>
            <w:r w:rsidR="00C56E9D">
              <w:t>%</w:t>
            </w:r>
          </w:p>
          <w:p w14:paraId="3FB38CA3" w14:textId="77777777" w:rsidR="00364050" w:rsidRDefault="00364050" w:rsidP="00DF208C">
            <w:pPr>
              <w:pStyle w:val="Tabletext1"/>
              <w:ind w:left="0"/>
            </w:pPr>
            <w:r>
              <w:t>(</w:t>
            </w:r>
            <w:r w:rsidR="0010160F">
              <w:t>7 studies</w:t>
            </w:r>
            <w:r>
              <w:t>)</w:t>
            </w:r>
          </w:p>
        </w:tc>
        <w:tc>
          <w:tcPr>
            <w:tcW w:w="1849" w:type="dxa"/>
          </w:tcPr>
          <w:p w14:paraId="66272A9F" w14:textId="77777777" w:rsidR="00DE4B83" w:rsidRDefault="00DE4B83" w:rsidP="00DF208C">
            <w:pPr>
              <w:pStyle w:val="Tabletext1"/>
              <w:ind w:left="0"/>
            </w:pPr>
            <w:r>
              <w:t>Median 52%</w:t>
            </w:r>
          </w:p>
          <w:p w14:paraId="079AF4B3" w14:textId="31757638" w:rsidR="006A3201" w:rsidRDefault="00DE4B83" w:rsidP="00DF208C">
            <w:pPr>
              <w:pStyle w:val="Tabletext1"/>
              <w:ind w:left="0"/>
            </w:pPr>
            <w:r>
              <w:t xml:space="preserve">Range </w:t>
            </w:r>
            <w:r w:rsidR="004303F1">
              <w:t>14</w:t>
            </w:r>
            <w:r w:rsidR="00D35E9C">
              <w:t>–</w:t>
            </w:r>
            <w:r w:rsidR="004303F1">
              <w:t>85</w:t>
            </w:r>
            <w:r w:rsidR="00C56E9D">
              <w:t>%</w:t>
            </w:r>
          </w:p>
          <w:p w14:paraId="5EAA2FD2" w14:textId="77777777" w:rsidR="00364050" w:rsidRDefault="00364050" w:rsidP="00DF208C">
            <w:pPr>
              <w:pStyle w:val="Tabletext1"/>
              <w:ind w:left="0"/>
            </w:pPr>
            <w:r>
              <w:t>(</w:t>
            </w:r>
            <w:r w:rsidR="0010160F">
              <w:t>10 studies</w:t>
            </w:r>
            <w:r>
              <w:t>)</w:t>
            </w:r>
          </w:p>
        </w:tc>
        <w:tc>
          <w:tcPr>
            <w:tcW w:w="1849" w:type="dxa"/>
          </w:tcPr>
          <w:p w14:paraId="41F97F5A" w14:textId="77777777" w:rsidR="00DE4B83" w:rsidRDefault="00DE4B83" w:rsidP="00DF208C">
            <w:pPr>
              <w:pStyle w:val="Tabletext1"/>
              <w:ind w:left="0"/>
            </w:pPr>
            <w:r>
              <w:t>Median NR</w:t>
            </w:r>
          </w:p>
          <w:p w14:paraId="1B978766" w14:textId="2CF2EFCE" w:rsidR="006A3201" w:rsidRDefault="00DE4B83" w:rsidP="00DF208C">
            <w:pPr>
              <w:pStyle w:val="Tabletext1"/>
              <w:ind w:left="0"/>
            </w:pPr>
            <w:r>
              <w:t xml:space="preserve">Range </w:t>
            </w:r>
            <w:r w:rsidR="00EC408F">
              <w:t>45</w:t>
            </w:r>
            <w:r w:rsidR="00D35E9C">
              <w:t>–</w:t>
            </w:r>
            <w:r w:rsidR="00364050">
              <w:t>52</w:t>
            </w:r>
            <w:r w:rsidR="00C56E9D">
              <w:t>%</w:t>
            </w:r>
          </w:p>
          <w:p w14:paraId="1F321685" w14:textId="77777777" w:rsidR="00364050" w:rsidRDefault="00364050" w:rsidP="00DF208C">
            <w:pPr>
              <w:pStyle w:val="Tabletext1"/>
              <w:ind w:left="0"/>
            </w:pPr>
            <w:r>
              <w:t>(</w:t>
            </w:r>
            <w:r w:rsidR="000715A2">
              <w:t>3</w:t>
            </w:r>
            <w:r>
              <w:t xml:space="preserve"> studies)</w:t>
            </w:r>
          </w:p>
        </w:tc>
      </w:tr>
      <w:tr w:rsidR="006A3201" w14:paraId="2FA69EF5" w14:textId="77777777" w:rsidTr="006A3201">
        <w:tc>
          <w:tcPr>
            <w:tcW w:w="1848" w:type="dxa"/>
          </w:tcPr>
          <w:p w14:paraId="312698CA" w14:textId="77777777" w:rsidR="006A3201" w:rsidRDefault="006A3201" w:rsidP="00DF208C">
            <w:pPr>
              <w:pStyle w:val="Tabletext1"/>
              <w:ind w:left="0"/>
            </w:pPr>
            <w:r>
              <w:t>Radiotherapy</w:t>
            </w:r>
          </w:p>
        </w:tc>
        <w:tc>
          <w:tcPr>
            <w:tcW w:w="1848" w:type="dxa"/>
          </w:tcPr>
          <w:p w14:paraId="30C049D0" w14:textId="77777777" w:rsidR="00DE4B83" w:rsidRDefault="00DE4B83" w:rsidP="00DF208C">
            <w:pPr>
              <w:pStyle w:val="Tabletext1"/>
              <w:ind w:left="0"/>
            </w:pPr>
            <w:r>
              <w:t>Median</w:t>
            </w:r>
            <w:r w:rsidR="00636C4E">
              <w:t xml:space="preserve"> 86%</w:t>
            </w:r>
          </w:p>
          <w:p w14:paraId="5BDC6E87" w14:textId="6A41FA49" w:rsidR="00C56E9D" w:rsidRDefault="00DE4B83" w:rsidP="00DF208C">
            <w:pPr>
              <w:pStyle w:val="Tabletext1"/>
              <w:ind w:left="0"/>
            </w:pPr>
            <w:r>
              <w:t xml:space="preserve">Range </w:t>
            </w:r>
            <w:r w:rsidR="00D26A11">
              <w:t>61</w:t>
            </w:r>
            <w:r w:rsidR="00D35E9C">
              <w:t>–</w:t>
            </w:r>
            <w:r w:rsidR="00D26A11">
              <w:t>98</w:t>
            </w:r>
            <w:r w:rsidR="00C56E9D">
              <w:t>%</w:t>
            </w:r>
          </w:p>
          <w:p w14:paraId="32891333" w14:textId="77777777" w:rsidR="006A3201" w:rsidRDefault="00C56E9D" w:rsidP="00DF208C">
            <w:pPr>
              <w:pStyle w:val="Tabletext1"/>
              <w:ind w:left="0"/>
            </w:pPr>
            <w:r>
              <w:t>(10 studies</w:t>
            </w:r>
            <w:r w:rsidR="00364050">
              <w:t>)</w:t>
            </w:r>
          </w:p>
        </w:tc>
        <w:tc>
          <w:tcPr>
            <w:tcW w:w="1848" w:type="dxa"/>
          </w:tcPr>
          <w:p w14:paraId="4FB2636B" w14:textId="77777777" w:rsidR="00DE4B83" w:rsidRDefault="00DE4B83" w:rsidP="00DF208C">
            <w:pPr>
              <w:pStyle w:val="Tabletext1"/>
              <w:ind w:left="0"/>
            </w:pPr>
            <w:r>
              <w:t xml:space="preserve">Median </w:t>
            </w:r>
            <w:r w:rsidR="00636C4E">
              <w:t>65%</w:t>
            </w:r>
          </w:p>
          <w:p w14:paraId="099CDC30" w14:textId="24CC7F14" w:rsidR="00C56E9D" w:rsidRDefault="00DE4B83" w:rsidP="00DF208C">
            <w:pPr>
              <w:pStyle w:val="Tabletext1"/>
              <w:ind w:left="0"/>
            </w:pPr>
            <w:r>
              <w:t xml:space="preserve">Range </w:t>
            </w:r>
            <w:r w:rsidR="00D26A11">
              <w:t>31</w:t>
            </w:r>
            <w:r w:rsidR="00D35E9C">
              <w:t>–</w:t>
            </w:r>
            <w:r w:rsidR="00D26A11">
              <w:t>86</w:t>
            </w:r>
            <w:r w:rsidR="00C56E9D">
              <w:t xml:space="preserve">% </w:t>
            </w:r>
          </w:p>
          <w:p w14:paraId="61B7C885" w14:textId="77777777" w:rsidR="006A3201" w:rsidRDefault="00C56E9D" w:rsidP="00DF208C">
            <w:pPr>
              <w:pStyle w:val="Tabletext1"/>
              <w:ind w:left="0"/>
            </w:pPr>
            <w:r>
              <w:t>(15 studies</w:t>
            </w:r>
            <w:r w:rsidR="00364050">
              <w:t>)</w:t>
            </w:r>
          </w:p>
        </w:tc>
        <w:tc>
          <w:tcPr>
            <w:tcW w:w="1849" w:type="dxa"/>
          </w:tcPr>
          <w:p w14:paraId="6294812A" w14:textId="77777777" w:rsidR="00DE4B83" w:rsidRDefault="00DE4B83" w:rsidP="00DF208C">
            <w:pPr>
              <w:pStyle w:val="Tabletext1"/>
              <w:ind w:left="0"/>
            </w:pPr>
            <w:r>
              <w:t xml:space="preserve">Median </w:t>
            </w:r>
            <w:r w:rsidR="00636C4E">
              <w:t>62%</w:t>
            </w:r>
          </w:p>
          <w:p w14:paraId="762C02D8" w14:textId="657EA45A" w:rsidR="00C56E9D" w:rsidRDefault="00DE4B83" w:rsidP="00DF208C">
            <w:pPr>
              <w:pStyle w:val="Tabletext1"/>
              <w:ind w:left="0"/>
            </w:pPr>
            <w:r>
              <w:t xml:space="preserve">Range </w:t>
            </w:r>
            <w:r w:rsidR="003564BD">
              <w:t>50</w:t>
            </w:r>
            <w:r w:rsidR="00D35E9C">
              <w:t>–</w:t>
            </w:r>
            <w:r w:rsidR="003564BD">
              <w:t>73</w:t>
            </w:r>
            <w:r w:rsidR="00C56E9D">
              <w:t xml:space="preserve">% </w:t>
            </w:r>
          </w:p>
          <w:p w14:paraId="11760977" w14:textId="77777777" w:rsidR="006A3201" w:rsidRDefault="00C56E9D" w:rsidP="00DF208C">
            <w:pPr>
              <w:pStyle w:val="Tabletext1"/>
              <w:ind w:left="0"/>
            </w:pPr>
            <w:r>
              <w:t>(4 studies</w:t>
            </w:r>
            <w:r w:rsidR="00364050">
              <w:t>)</w:t>
            </w:r>
          </w:p>
        </w:tc>
        <w:tc>
          <w:tcPr>
            <w:tcW w:w="1849" w:type="dxa"/>
          </w:tcPr>
          <w:p w14:paraId="7855CA68" w14:textId="77777777" w:rsidR="00DE4B83" w:rsidRDefault="00DE4B83" w:rsidP="00DF208C">
            <w:pPr>
              <w:pStyle w:val="Tabletext1"/>
              <w:ind w:left="0"/>
            </w:pPr>
            <w:r>
              <w:t>Median</w:t>
            </w:r>
            <w:r w:rsidR="00636C4E">
              <w:t xml:space="preserve"> 46%</w:t>
            </w:r>
          </w:p>
          <w:p w14:paraId="0E42F01F" w14:textId="6CAAE561" w:rsidR="00C56E9D" w:rsidRDefault="00DE4B83" w:rsidP="00DF208C">
            <w:pPr>
              <w:pStyle w:val="Tabletext1"/>
              <w:ind w:left="0"/>
            </w:pPr>
            <w:r>
              <w:t xml:space="preserve">Range </w:t>
            </w:r>
            <w:r w:rsidR="003564BD">
              <w:t>39</w:t>
            </w:r>
            <w:r w:rsidR="00D35E9C">
              <w:t>–</w:t>
            </w:r>
            <w:r w:rsidR="003564BD">
              <w:t>56</w:t>
            </w:r>
            <w:r w:rsidR="00C56E9D">
              <w:t xml:space="preserve">% </w:t>
            </w:r>
          </w:p>
          <w:p w14:paraId="39027DF3" w14:textId="77777777" w:rsidR="006A3201" w:rsidRDefault="00C56E9D" w:rsidP="00DF208C">
            <w:pPr>
              <w:pStyle w:val="Tabletext1"/>
              <w:ind w:left="0"/>
            </w:pPr>
            <w:r>
              <w:t>(5 studies)</w:t>
            </w:r>
          </w:p>
        </w:tc>
      </w:tr>
    </w:tbl>
    <w:p w14:paraId="262CE204" w14:textId="3BE2F2F8" w:rsidR="0046756D" w:rsidRDefault="003B7ADD" w:rsidP="007C7D1A">
      <w:pPr>
        <w:pStyle w:val="Tablenotes0"/>
      </w:pPr>
      <w:r>
        <w:t xml:space="preserve">&lt; </w:t>
      </w:r>
      <w:r w:rsidR="00F829C6">
        <w:t xml:space="preserve">NR = not reported; </w:t>
      </w:r>
      <w:r w:rsidR="007132CC">
        <w:t>OS = overall survival</w:t>
      </w:r>
      <w:r>
        <w:t>; RFA = radiofrequency ablation &gt;</w:t>
      </w:r>
    </w:p>
    <w:p w14:paraId="22E77218" w14:textId="77777777" w:rsidR="00E064F4" w:rsidRDefault="00DA08FE" w:rsidP="00E064F4">
      <w:pPr>
        <w:keepNext/>
      </w:pPr>
      <w:r>
        <w:rPr>
          <w:noProof/>
        </w:rPr>
        <w:lastRenderedPageBreak/>
        <w:drawing>
          <wp:inline distT="0" distB="0" distL="0" distR="0" wp14:anchorId="6799618D" wp14:editId="02405B5B">
            <wp:extent cx="5731510" cy="6345555"/>
            <wp:effectExtent l="0" t="0" r="2540" b="0"/>
            <wp:docPr id="10" name="Picture 10" title="Overall survival rates reported in studies of MTA, RFA and radiotherapy for populatio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2a.tif"/>
                    <pic:cNvPicPr/>
                  </pic:nvPicPr>
                  <pic:blipFill>
                    <a:blip r:embed="rId48">
                      <a:extLst>
                        <a:ext uri="{28A0092B-C50C-407E-A947-70E740481C1C}">
                          <a14:useLocalDpi xmlns:a14="http://schemas.microsoft.com/office/drawing/2010/main" val="0"/>
                        </a:ext>
                      </a:extLst>
                    </a:blip>
                    <a:stretch>
                      <a:fillRect/>
                    </a:stretch>
                  </pic:blipFill>
                  <pic:spPr>
                    <a:xfrm>
                      <a:off x="0" y="0"/>
                      <a:ext cx="5731510" cy="6345555"/>
                    </a:xfrm>
                    <a:prstGeom prst="rect">
                      <a:avLst/>
                    </a:prstGeom>
                  </pic:spPr>
                </pic:pic>
              </a:graphicData>
            </a:graphic>
          </wp:inline>
        </w:drawing>
      </w:r>
    </w:p>
    <w:p w14:paraId="2410D6DE" w14:textId="77777777" w:rsidR="00AF2A5B" w:rsidRDefault="00E064F4" w:rsidP="00E064F4">
      <w:pPr>
        <w:pStyle w:val="Caption"/>
      </w:pPr>
      <w:bookmarkStart w:id="337" w:name="_Ref458512879"/>
      <w:bookmarkStart w:id="338" w:name="_Toc460515068"/>
      <w:r>
        <w:t xml:space="preserve">Figure </w:t>
      </w:r>
      <w:fldSimple w:instr=" SEQ Figure \* ARABIC ">
        <w:r w:rsidR="00D170A5">
          <w:rPr>
            <w:noProof/>
          </w:rPr>
          <w:t>12</w:t>
        </w:r>
      </w:fldSimple>
      <w:bookmarkEnd w:id="337"/>
      <w:r>
        <w:tab/>
        <w:t>Overall survival rates reported in studies of MTA, RFA and radiotherapy for population two</w:t>
      </w:r>
      <w:bookmarkEnd w:id="338"/>
    </w:p>
    <w:p w14:paraId="36B0DC76" w14:textId="77777777" w:rsidR="00AB7220" w:rsidRPr="007F2601" w:rsidRDefault="00AB7220" w:rsidP="003B7ADD">
      <w:pPr>
        <w:spacing w:before="500"/>
        <w:rPr>
          <w:b/>
        </w:rPr>
      </w:pPr>
      <w:r w:rsidRPr="007F2601">
        <w:rPr>
          <w:b/>
          <w:i/>
        </w:rPr>
        <w:t>Overall survival and survival rates reported in studies of surgical resection</w:t>
      </w:r>
    </w:p>
    <w:p w14:paraId="3A0672FC" w14:textId="77777777" w:rsidR="0046681C" w:rsidRDefault="00AB7220" w:rsidP="00C5412E">
      <w:r>
        <w:t xml:space="preserve">There is </w:t>
      </w:r>
      <w:r w:rsidR="007717BB">
        <w:t xml:space="preserve">a </w:t>
      </w:r>
      <w:r w:rsidR="006E6694">
        <w:t xml:space="preserve">large volume of Level IV case series evidence published on surgical resection in the setting of oligometastatic disease. Therefore, inclusion was limited to systematic reviews and supplemented by the addition of several case series that were recent, had large sample size or represented a population with primary tumour histology included in studies of MTA and RFA. </w:t>
      </w:r>
      <w:r w:rsidR="00DD7E25">
        <w:t xml:space="preserve">Overall results are varied. </w:t>
      </w:r>
    </w:p>
    <w:p w14:paraId="2475F867" w14:textId="77777777" w:rsidR="00AB7220" w:rsidRDefault="006E6694" w:rsidP="00C5412E">
      <w:r>
        <w:lastRenderedPageBreak/>
        <w:t>Overall survival time was infrequently reported and in one study was only reported according to a number of variables. Reza et al (2014) reported on a series of patients with sarcoma (N</w:t>
      </w:r>
      <w:r w:rsidR="005C6FE5">
        <w:t xml:space="preserve"> </w:t>
      </w:r>
      <w:r>
        <w:t>=</w:t>
      </w:r>
      <w:r w:rsidR="005C6FE5">
        <w:t xml:space="preserve"> </w:t>
      </w:r>
      <w:r>
        <w:t xml:space="preserve">118) and found median overall survival was 35 months. This was associated with a wide confidence interval ranging from 23 to 61 months. In the study by Kitano et al (2012) the median overall survival of 45 patients with </w:t>
      </w:r>
      <w:r w:rsidR="001E4A1A">
        <w:rPr>
          <w:rFonts w:asciiTheme="minorHAnsi" w:hAnsiTheme="minorHAnsi" w:cstheme="minorBidi"/>
        </w:rPr>
        <w:t>H</w:t>
      </w:r>
      <w:r w:rsidR="001E4A1A" w:rsidRPr="003B04F1">
        <w:rPr>
          <w:rFonts w:asciiTheme="minorHAnsi" w:hAnsiTheme="minorHAnsi" w:cstheme="minorBidi"/>
        </w:rPr>
        <w:t>epatocellular carcinoma</w:t>
      </w:r>
      <w:r w:rsidR="001E4A1A">
        <w:t xml:space="preserve"> (</w:t>
      </w:r>
      <w:r>
        <w:t>HCC</w:t>
      </w:r>
      <w:r w:rsidR="001E4A1A">
        <w:t>)</w:t>
      </w:r>
      <w:r>
        <w:t xml:space="preserve"> was 26.5 months with a range of 0.7 to 165 months. </w:t>
      </w:r>
      <w:r w:rsidR="0046681C">
        <w:t>Renaud et</w:t>
      </w:r>
      <w:r w:rsidR="00944151">
        <w:t xml:space="preserve"> al (2014) studied</w:t>
      </w:r>
      <w:r w:rsidR="0046681C">
        <w:t xml:space="preserve"> 320 patients with lung metastases from colorectal cancer and found a statistically significant difference in overall survival in patients with no lymph node involvement (versus positive lymph node involvement); solitary pulmonary metastases (versus multiple); and no hepatic involvement (versus hepatic metastases). </w:t>
      </w:r>
    </w:p>
    <w:p w14:paraId="5CC74C80" w14:textId="6331CD1B" w:rsidR="001440B3" w:rsidRDefault="0046681C" w:rsidP="00C5412E">
      <w:r>
        <w:t xml:space="preserve">Survival rates were </w:t>
      </w:r>
      <w:r w:rsidR="00D37F68">
        <w:t>rarely</w:t>
      </w:r>
      <w:r>
        <w:t xml:space="preserve"> reported at less than five years</w:t>
      </w:r>
      <w:r w:rsidR="00DD7E25">
        <w:t xml:space="preserve"> and are show</w:t>
      </w:r>
      <w:r w:rsidR="00A37F6B">
        <w:t>n</w:t>
      </w:r>
      <w:r w:rsidR="00DD7E25">
        <w:t xml:space="preserve"> in </w:t>
      </w:r>
      <w:r w:rsidR="00DD7E25">
        <w:fldChar w:fldCharType="begin"/>
      </w:r>
      <w:r w:rsidR="00DD7E25">
        <w:instrText xml:space="preserve"> REF _Ref457486321 \h </w:instrText>
      </w:r>
      <w:r w:rsidR="00DD7E25">
        <w:fldChar w:fldCharType="separate"/>
      </w:r>
      <w:r w:rsidR="00D170A5">
        <w:t xml:space="preserve">Table </w:t>
      </w:r>
      <w:r w:rsidR="00D170A5">
        <w:rPr>
          <w:noProof/>
        </w:rPr>
        <w:t>104</w:t>
      </w:r>
      <w:r w:rsidR="00DD7E25">
        <w:fldChar w:fldCharType="end"/>
      </w:r>
      <w:r w:rsidR="007A47B5">
        <w:t xml:space="preserve"> (Appendix </w:t>
      </w:r>
      <w:r w:rsidR="00944151">
        <w:t>E</w:t>
      </w:r>
      <w:r w:rsidR="007A47B5">
        <w:t>)</w:t>
      </w:r>
      <w:r w:rsidR="00DD7E25">
        <w:t>.</w:t>
      </w:r>
      <w:r>
        <w:t xml:space="preserve"> Young et al (2015) report</w:t>
      </w:r>
      <w:r w:rsidR="00500BC4">
        <w:t>ed</w:t>
      </w:r>
      <w:r>
        <w:t xml:space="preserve"> the results of a meta-analysis of 387 patients with head and neck cancers. This review report</w:t>
      </w:r>
      <w:r w:rsidR="00303139">
        <w:t>ed</w:t>
      </w:r>
      <w:r>
        <w:t xml:space="preserve"> a </w:t>
      </w:r>
      <w:r w:rsidR="00DD2D86">
        <w:t>5</w:t>
      </w:r>
      <w:r>
        <w:t>-year survival rate of 29.1 per cent (95%CI 24.1</w:t>
      </w:r>
      <w:r w:rsidR="00D35E9C">
        <w:t>–</w:t>
      </w:r>
      <w:r>
        <w:t xml:space="preserve">35.3%). </w:t>
      </w:r>
      <w:r w:rsidR="001440B3">
        <w:t xml:space="preserve">Young et al (2015) also </w:t>
      </w:r>
      <w:r w:rsidR="00DD7E25">
        <w:t>report</w:t>
      </w:r>
      <w:r w:rsidR="00303139">
        <w:t>ed</w:t>
      </w:r>
      <w:r w:rsidR="00DD7E25">
        <w:t xml:space="preserve"> </w:t>
      </w:r>
      <w:r w:rsidR="001440B3">
        <w:t xml:space="preserve">prognostic factors </w:t>
      </w:r>
      <w:r w:rsidR="00303139">
        <w:t>from primary studies</w:t>
      </w:r>
      <w:r w:rsidR="001440B3">
        <w:t>:</w:t>
      </w:r>
    </w:p>
    <w:p w14:paraId="64CEB678" w14:textId="77777777" w:rsidR="001440B3" w:rsidRDefault="001440B3" w:rsidP="009970F5">
      <w:pPr>
        <w:pStyle w:val="ListParagraph"/>
        <w:numPr>
          <w:ilvl w:val="0"/>
          <w:numId w:val="66"/>
        </w:numPr>
      </w:pPr>
      <w:r>
        <w:t xml:space="preserve">Two papers reported </w:t>
      </w:r>
      <w:r w:rsidRPr="001440B3">
        <w:t>significantly worse 5-year survival rates in patients with oral head and neck squamous cell carcinoma compared with other sites</w:t>
      </w:r>
      <w:r>
        <w:t>.</w:t>
      </w:r>
    </w:p>
    <w:p w14:paraId="693B0FFA" w14:textId="77777777" w:rsidR="001440B3" w:rsidRDefault="001440B3" w:rsidP="009970F5">
      <w:pPr>
        <w:pStyle w:val="ListParagraph"/>
        <w:numPr>
          <w:ilvl w:val="0"/>
          <w:numId w:val="66"/>
        </w:numPr>
      </w:pPr>
      <w:r w:rsidRPr="001440B3">
        <w:t>Two papers reported that the presence of cervical lymph node metastases at diagnosis of the primary tumour significantly worsened 5-year survival rates following pulmonary metastasectomy</w:t>
      </w:r>
      <w:r>
        <w:t>.</w:t>
      </w:r>
    </w:p>
    <w:p w14:paraId="19E0E9BA" w14:textId="77777777" w:rsidR="001440B3" w:rsidRDefault="001440B3" w:rsidP="009970F5">
      <w:pPr>
        <w:pStyle w:val="ListParagraph"/>
        <w:numPr>
          <w:ilvl w:val="0"/>
          <w:numId w:val="66"/>
        </w:numPr>
      </w:pPr>
      <w:r w:rsidRPr="001440B3">
        <w:t>Other poor prognostic factors for survival included incomplete pulmonary r</w:t>
      </w:r>
      <w:r w:rsidR="00DD7E25">
        <w:t>esection (reported by one study</w:t>
      </w:r>
      <w:r w:rsidRPr="001440B3">
        <w:t>) and the presence of multiple pulmonary nodules (also reported by one study)</w:t>
      </w:r>
      <w:r w:rsidR="00DD7E25">
        <w:t>.</w:t>
      </w:r>
    </w:p>
    <w:p w14:paraId="64733A5E" w14:textId="78371A7B" w:rsidR="0046681C" w:rsidRDefault="00DD7E25" w:rsidP="00C5412E">
      <w:r>
        <w:t>T</w:t>
      </w:r>
      <w:r w:rsidR="0046681C">
        <w:t xml:space="preserve">he systematic review by Pfannschmidt et al </w:t>
      </w:r>
      <w:r w:rsidR="005C7FAB">
        <w:t xml:space="preserve">(2007), </w:t>
      </w:r>
      <w:r w:rsidR="0046681C">
        <w:t>which included 20 studies (2,320 patients) of patients with lung metastase</w:t>
      </w:r>
      <w:r w:rsidR="00606673">
        <w:t>s from colorectal cancer reported</w:t>
      </w:r>
      <w:r w:rsidR="0046681C">
        <w:t xml:space="preserve"> a median 5-year survival rate of 48 p</w:t>
      </w:r>
      <w:r w:rsidR="00906A3C">
        <w:t>er cent (range: 41</w:t>
      </w:r>
      <w:r w:rsidR="00D35E9C">
        <w:t>–</w:t>
      </w:r>
      <w:r w:rsidR="0046681C">
        <w:t>56%). The authors did not conduct any meta-</w:t>
      </w:r>
      <w:r w:rsidR="00D37F68">
        <w:t>analysis</w:t>
      </w:r>
      <w:r w:rsidR="0046681C">
        <w:t xml:space="preserve"> or undertake any formal analysis of prognostic factors. However</w:t>
      </w:r>
      <w:r w:rsidR="004D7566">
        <w:t>,</w:t>
      </w:r>
      <w:r w:rsidR="0046681C">
        <w:t xml:space="preserve"> studies reporting </w:t>
      </w:r>
      <w:r w:rsidR="007C7D1A">
        <w:t xml:space="preserve">complete (called R0) </w:t>
      </w:r>
      <w:r w:rsidR="0046681C">
        <w:t xml:space="preserve">resections </w:t>
      </w:r>
      <w:r w:rsidR="0046681C" w:rsidRPr="0046681C">
        <w:t>either for the whole study populatio</w:t>
      </w:r>
      <w:r w:rsidR="0046681C">
        <w:t>n or for subgroups of patients had median 5-year survival ra</w:t>
      </w:r>
      <w:r w:rsidR="00906A3C">
        <w:t>te of 39.6 per cent (range: 24</w:t>
      </w:r>
      <w:r w:rsidR="00D35E9C">
        <w:t>–</w:t>
      </w:r>
      <w:r w:rsidR="00906A3C">
        <w:t>6</w:t>
      </w:r>
      <w:r w:rsidR="0046681C" w:rsidRPr="0046681C">
        <w:t>%</w:t>
      </w:r>
      <w:r w:rsidR="0046681C">
        <w:t>)</w:t>
      </w:r>
      <w:r w:rsidR="0046681C" w:rsidRPr="0046681C">
        <w:t>. Three studies</w:t>
      </w:r>
      <w:r w:rsidR="00D37F68">
        <w:t xml:space="preserve"> reporting </w:t>
      </w:r>
      <w:r w:rsidR="0046681C" w:rsidRPr="0046681C">
        <w:t>5-year survival for non</w:t>
      </w:r>
      <w:r w:rsidR="00D37F68">
        <w:t>-</w:t>
      </w:r>
      <w:r w:rsidR="0046681C" w:rsidRPr="0046681C">
        <w:t>radical resection</w:t>
      </w:r>
      <w:r w:rsidR="00D37F68">
        <w:t xml:space="preserve"> had a </w:t>
      </w:r>
      <w:r w:rsidR="00D37F68" w:rsidRPr="00D37F68">
        <w:t>median 5-year survival rate of</w:t>
      </w:r>
      <w:r w:rsidR="00D37F68">
        <w:t xml:space="preserve"> 0% (range: 0</w:t>
      </w:r>
      <w:r w:rsidR="00D35E9C">
        <w:t>–</w:t>
      </w:r>
      <w:r w:rsidR="0046681C" w:rsidRPr="0046681C">
        <w:t>21%</w:t>
      </w:r>
      <w:r w:rsidR="00D37F68">
        <w:t>)</w:t>
      </w:r>
      <w:r w:rsidR="0046681C" w:rsidRPr="0046681C">
        <w:t>.</w:t>
      </w:r>
      <w:r w:rsidR="00BC60D8">
        <w:t xml:space="preserve"> T</w:t>
      </w:r>
      <w:r w:rsidR="0046681C" w:rsidRPr="0046681C">
        <w:t xml:space="preserve">hree studies reported 5-year survival exclusively for patients who had pulmonary and hepatic </w:t>
      </w:r>
      <w:r w:rsidR="00D37F68" w:rsidRPr="0046681C">
        <w:t>resection,</w:t>
      </w:r>
      <w:r w:rsidR="00D37F68">
        <w:t xml:space="preserve"> those studies had a median 5-year survival rate of</w:t>
      </w:r>
      <w:r w:rsidR="00D37F68" w:rsidRPr="0046681C">
        <w:t xml:space="preserve"> </w:t>
      </w:r>
      <w:r w:rsidR="00D37F68">
        <w:t>31 per cent (range: 30</w:t>
      </w:r>
      <w:r w:rsidR="007E3D66">
        <w:t>–</w:t>
      </w:r>
      <w:r w:rsidR="00D37F68">
        <w:t>3</w:t>
      </w:r>
      <w:r w:rsidR="0046681C" w:rsidRPr="0046681C">
        <w:t>8%</w:t>
      </w:r>
      <w:r w:rsidR="00D37F68">
        <w:t xml:space="preserve">). </w:t>
      </w:r>
    </w:p>
    <w:p w14:paraId="33931206" w14:textId="77777777" w:rsidR="00C5412E" w:rsidRDefault="00ED11EF" w:rsidP="003F6C66">
      <w:pPr>
        <w:pStyle w:val="Heading3"/>
      </w:pPr>
      <w:bookmarkStart w:id="339" w:name="_Toc460396067"/>
      <w:r>
        <w:t>Time to progression and local progression</w:t>
      </w:r>
      <w:bookmarkEnd w:id="339"/>
    </w:p>
    <w:p w14:paraId="2C273CE8" w14:textId="77777777" w:rsidR="009D5E1A" w:rsidRDefault="00ED11EF" w:rsidP="00ED11EF">
      <w:r>
        <w:t xml:space="preserve">Time to </w:t>
      </w:r>
      <w:r w:rsidR="00FC76BB">
        <w:t xml:space="preserve">local </w:t>
      </w:r>
      <w:r>
        <w:t xml:space="preserve">progression </w:t>
      </w:r>
      <w:r w:rsidR="00407832">
        <w:t xml:space="preserve">in patients treated with MTA </w:t>
      </w:r>
      <w:r>
        <w:t>was reported by both Qi et al</w:t>
      </w:r>
      <w:r w:rsidR="00FC76BB">
        <w:t xml:space="preserve"> (2015)</w:t>
      </w:r>
      <w:r>
        <w:t xml:space="preserve"> and Vogl et al </w:t>
      </w:r>
      <w:r w:rsidR="00407832">
        <w:t>(2015). T</w:t>
      </w:r>
      <w:r w:rsidR="00FC76BB">
        <w:t>he average time to local progression was similar in both studies</w:t>
      </w:r>
      <w:r w:rsidR="00FD0E4D">
        <w:t xml:space="preserve"> (7 and 6 months)</w:t>
      </w:r>
      <w:r w:rsidR="00FC76BB">
        <w:t>, as was the rate of local progression</w:t>
      </w:r>
      <w:r w:rsidR="00FD0E4D">
        <w:t xml:space="preserve"> (29% and 2</w:t>
      </w:r>
      <w:r w:rsidR="00F62B6F">
        <w:t>7</w:t>
      </w:r>
      <w:r w:rsidR="00FD0E4D">
        <w:t>%)</w:t>
      </w:r>
      <w:r w:rsidR="00FC76BB">
        <w:t xml:space="preserve">. </w:t>
      </w:r>
    </w:p>
    <w:p w14:paraId="78586A1E" w14:textId="4B1A1D96" w:rsidR="00ED2A12" w:rsidRDefault="009C231C" w:rsidP="00ED11EF">
      <w:r>
        <w:lastRenderedPageBreak/>
        <w:t>The medi</w:t>
      </w:r>
      <w:r w:rsidR="00997E36">
        <w:t xml:space="preserve">an time to local progression reported in the included </w:t>
      </w:r>
      <w:r>
        <w:t xml:space="preserve">RFA studies was </w:t>
      </w:r>
      <w:r w:rsidR="00C80EEB">
        <w:t xml:space="preserve">12 months (range </w:t>
      </w:r>
      <w:r w:rsidR="00033C31">
        <w:t>4</w:t>
      </w:r>
      <w:r w:rsidR="00D35E9C">
        <w:t>–</w:t>
      </w:r>
      <w:r w:rsidR="00C80EEB">
        <w:t>15 months)</w:t>
      </w:r>
      <w:r w:rsidR="00E55B83">
        <w:t>, and the median rate of local progression was 15% (range 12</w:t>
      </w:r>
      <w:r w:rsidR="00D35E9C">
        <w:t>–</w:t>
      </w:r>
      <w:r w:rsidR="00E55B83">
        <w:t>28%).</w:t>
      </w:r>
      <w:r w:rsidR="002B2A6A">
        <w:t xml:space="preserve"> </w:t>
      </w:r>
      <w:r w:rsidR="00F54B35">
        <w:t>In the included</w:t>
      </w:r>
      <w:r w:rsidR="006C65B7">
        <w:t xml:space="preserve"> radiotherapy </w:t>
      </w:r>
      <w:r w:rsidR="00F54B35">
        <w:t xml:space="preserve">studies, </w:t>
      </w:r>
      <w:r w:rsidR="006C65B7">
        <w:t>the median</w:t>
      </w:r>
      <w:r w:rsidR="00FD0E4D">
        <w:t xml:space="preserve"> time to local progression was 1</w:t>
      </w:r>
      <w:r w:rsidR="008D00A5">
        <w:t>1 months (</w:t>
      </w:r>
      <w:r w:rsidR="000C7A51">
        <w:t xml:space="preserve">range </w:t>
      </w:r>
      <w:r w:rsidR="008D00A5">
        <w:t>5</w:t>
      </w:r>
      <w:r w:rsidR="00D35E9C">
        <w:t>–</w:t>
      </w:r>
      <w:r w:rsidR="00FD0E4D">
        <w:t>1</w:t>
      </w:r>
      <w:r w:rsidR="008D00A5">
        <w:t>8</w:t>
      </w:r>
      <w:r w:rsidR="000C7A51">
        <w:t xml:space="preserve"> months</w:t>
      </w:r>
      <w:r w:rsidR="00506EBF">
        <w:t>), and the median rate of local progression was 10% (4</w:t>
      </w:r>
      <w:r w:rsidR="00D35E9C">
        <w:t>–</w:t>
      </w:r>
      <w:r w:rsidR="00506EBF">
        <w:t>23%).</w:t>
      </w:r>
      <w:r w:rsidR="00A73AC0">
        <w:t xml:space="preserve"> </w:t>
      </w:r>
      <w:r w:rsidR="00A20D0D">
        <w:t>O</w:t>
      </w:r>
      <w:r w:rsidR="00FD0E4D">
        <w:t>ne study compared surgery to SBRT</w:t>
      </w:r>
      <w:r w:rsidR="00710F1E">
        <w:t>,</w:t>
      </w:r>
      <w:r w:rsidR="00FD0E4D">
        <w:t xml:space="preserve"> </w:t>
      </w:r>
      <w:r w:rsidR="00A20D0D">
        <w:t xml:space="preserve">in which </w:t>
      </w:r>
      <w:r w:rsidR="00FD0E4D">
        <w:t xml:space="preserve">the median time to progression </w:t>
      </w:r>
      <w:r w:rsidR="00536727">
        <w:t xml:space="preserve">was </w:t>
      </w:r>
      <w:r w:rsidR="00BD4DBB">
        <w:t>eight and five months</w:t>
      </w:r>
      <w:r w:rsidR="00536727">
        <w:t>,</w:t>
      </w:r>
      <w:r w:rsidR="00BD4DBB">
        <w:t xml:space="preserve"> respectively (</w:t>
      </w:r>
      <w:r w:rsidR="00710F1E">
        <w:t>Yu et al 2014)</w:t>
      </w:r>
      <w:r w:rsidR="00011BF0">
        <w:t>. No</w:t>
      </w:r>
      <w:r w:rsidR="00FD0E4D">
        <w:t xml:space="preserve"> </w:t>
      </w:r>
      <w:r w:rsidR="00011BF0">
        <w:t>other</w:t>
      </w:r>
      <w:r w:rsidR="00FD0E4D">
        <w:t xml:space="preserve"> </w:t>
      </w:r>
      <w:r w:rsidR="00011BF0">
        <w:t>studies reported time to local progression for surgery</w:t>
      </w:r>
      <w:r w:rsidR="00FD0E4D">
        <w:t xml:space="preserve">. However, one study </w:t>
      </w:r>
      <w:r w:rsidR="0008150F">
        <w:t>that described</w:t>
      </w:r>
      <w:r w:rsidR="00FD0E4D">
        <w:t xml:space="preserve"> a series of surgically treated lung metastases from colorectal cancer reported that </w:t>
      </w:r>
      <w:r w:rsidR="00FD0E4D" w:rsidRPr="00FD0E4D">
        <w:t>110/320 patients (34%) underwent at least two thoracic procedures for pulmonary recurrence</w:t>
      </w:r>
      <w:r w:rsidR="00C60A8D">
        <w:t xml:space="preserve"> (Renaud et al 2014)</w:t>
      </w:r>
      <w:r w:rsidR="00FD0E4D">
        <w:t>.</w:t>
      </w:r>
    </w:p>
    <w:p w14:paraId="72EBF8EE" w14:textId="77777777" w:rsidR="00ED11EF" w:rsidRPr="00FD0E4D" w:rsidRDefault="00795801" w:rsidP="00ED11EF">
      <w:r>
        <w:t>B</w:t>
      </w:r>
      <w:r w:rsidR="00FD0E4D">
        <w:t xml:space="preserve">oth </w:t>
      </w:r>
      <w:r w:rsidR="00FB7A71">
        <w:t>time to local progression and the local progression rate</w:t>
      </w:r>
      <w:r w:rsidR="00FD0E4D">
        <w:t xml:space="preserve"> </w:t>
      </w:r>
      <w:r w:rsidR="00E82F71">
        <w:t>are</w:t>
      </w:r>
      <w:r w:rsidR="00FD0E4D">
        <w:t xml:space="preserve"> </w:t>
      </w:r>
      <w:r w:rsidR="00E82F71">
        <w:t xml:space="preserve">likely to be </w:t>
      </w:r>
      <w:r w:rsidR="008C4765">
        <w:t>influenced</w:t>
      </w:r>
      <w:r w:rsidR="00FD0E4D">
        <w:t xml:space="preserve"> by differen</w:t>
      </w:r>
      <w:r w:rsidR="001C5C16">
        <w:t xml:space="preserve">ces in reporting across studies. </w:t>
      </w:r>
      <w:r w:rsidR="002B0D45">
        <w:t>As in population one, t</w:t>
      </w:r>
      <w:r w:rsidR="005930A4">
        <w:t>he definition</w:t>
      </w:r>
      <w:r w:rsidR="00150EDC">
        <w:t xml:space="preserve"> of local progression </w:t>
      </w:r>
      <w:r w:rsidR="005930A4">
        <w:t>v</w:t>
      </w:r>
      <w:r w:rsidR="007863DC">
        <w:t>aried</w:t>
      </w:r>
      <w:r w:rsidR="00150EDC">
        <w:t xml:space="preserve"> across studies, and the time at which the rate was calculated was rarely reported. </w:t>
      </w:r>
      <w:r w:rsidR="00FD0E4D">
        <w:t>Hence</w:t>
      </w:r>
      <w:r w:rsidR="00581486">
        <w:t>,</w:t>
      </w:r>
      <w:r w:rsidR="00FD0E4D">
        <w:t xml:space="preserve"> differences</w:t>
      </w:r>
      <w:r w:rsidR="002B0D45">
        <w:t xml:space="preserve"> in reported outcomes</w:t>
      </w:r>
      <w:r w:rsidR="00FD0E4D">
        <w:t xml:space="preserve"> across studies may be due to differences in </w:t>
      </w:r>
      <w:r w:rsidR="0059710C">
        <w:t>unadjusted confounding</w:t>
      </w:r>
      <w:r w:rsidR="00FD0E4D">
        <w:t xml:space="preserve"> factors </w:t>
      </w:r>
      <w:r w:rsidR="00B4058F">
        <w:t xml:space="preserve">in </w:t>
      </w:r>
      <w:r w:rsidR="0059710C">
        <w:t>the</w:t>
      </w:r>
      <w:r w:rsidR="00FD0E4D">
        <w:t xml:space="preserve"> study populations</w:t>
      </w:r>
      <w:r w:rsidR="00712FE6">
        <w:t xml:space="preserve"> (due to </w:t>
      </w:r>
      <w:r w:rsidR="00CE470F">
        <w:t>L</w:t>
      </w:r>
      <w:r w:rsidR="00712FE6">
        <w:t>evel IV evidence)</w:t>
      </w:r>
      <w:r w:rsidR="00FD0E4D">
        <w:t>, differences in the effectiveness of the intervention</w:t>
      </w:r>
      <w:r w:rsidR="00712FE6">
        <w:t>s,</w:t>
      </w:r>
      <w:r w:rsidR="00FD0E4D">
        <w:t xml:space="preserve"> or differences in outcome measures and analysis. </w:t>
      </w:r>
    </w:p>
    <w:p w14:paraId="61B9C25D" w14:textId="77777777" w:rsidR="00BE5F78" w:rsidRDefault="00BE5F78" w:rsidP="009C0634">
      <w:pPr>
        <w:pStyle w:val="Caption"/>
      </w:pPr>
      <w:bookmarkStart w:id="340" w:name="_Toc460514713"/>
      <w:r>
        <w:t xml:space="preserve">Table </w:t>
      </w:r>
      <w:fldSimple w:instr=" SEQ Table \* ARABIC ">
        <w:r w:rsidR="00D170A5">
          <w:rPr>
            <w:noProof/>
          </w:rPr>
          <w:t>55</w:t>
        </w:r>
      </w:fldSimple>
      <w:r>
        <w:tab/>
        <w:t>Median time to local progression and local progression rate (population 2)</w:t>
      </w:r>
      <w:bookmarkEnd w:id="340"/>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2163"/>
        <w:gridCol w:w="1410"/>
        <w:gridCol w:w="2663"/>
        <w:gridCol w:w="2663"/>
      </w:tblGrid>
      <w:tr w:rsidR="00BE5F78" w:rsidRPr="00183E4D" w14:paraId="1FDDD022" w14:textId="77777777" w:rsidTr="00932472">
        <w:trPr>
          <w:tblHeader/>
        </w:trPr>
        <w:tc>
          <w:tcPr>
            <w:tcW w:w="1215" w:type="pct"/>
            <w:shd w:val="clear" w:color="auto" w:fill="D9D9D9" w:themeFill="background1" w:themeFillShade="D9"/>
            <w:vAlign w:val="bottom"/>
          </w:tcPr>
          <w:p w14:paraId="2E624606" w14:textId="77777777" w:rsidR="00BE5F78" w:rsidRPr="00183E4D" w:rsidRDefault="00BE5F78" w:rsidP="00932472">
            <w:pPr>
              <w:pStyle w:val="TableHeading"/>
              <w:keepNext w:val="0"/>
              <w:spacing w:before="60" w:after="60"/>
              <w:jc w:val="left"/>
              <w:rPr>
                <w:snapToGrid w:val="0"/>
                <w:lang w:eastAsia="en-US"/>
              </w:rPr>
            </w:pPr>
            <w:r w:rsidRPr="00183E4D">
              <w:rPr>
                <w:snapToGrid w:val="0"/>
                <w:lang w:eastAsia="en-US"/>
              </w:rPr>
              <w:t>Trial/Study</w:t>
            </w:r>
          </w:p>
        </w:tc>
        <w:tc>
          <w:tcPr>
            <w:tcW w:w="792" w:type="pct"/>
            <w:tcBorders>
              <w:bottom w:val="single" w:sz="4" w:space="0" w:color="auto"/>
            </w:tcBorders>
            <w:shd w:val="clear" w:color="auto" w:fill="D9D9D9" w:themeFill="background1" w:themeFillShade="D9"/>
            <w:vAlign w:val="bottom"/>
          </w:tcPr>
          <w:p w14:paraId="0B251EA9" w14:textId="77777777" w:rsidR="00BE5F78" w:rsidRPr="00183E4D" w:rsidRDefault="00BE5F78" w:rsidP="007C6179">
            <w:pPr>
              <w:pStyle w:val="TableHeading"/>
              <w:keepNext w:val="0"/>
              <w:spacing w:before="60" w:after="60"/>
              <w:jc w:val="left"/>
              <w:rPr>
                <w:snapToGrid w:val="0"/>
                <w:lang w:eastAsia="en-US"/>
              </w:rPr>
            </w:pPr>
            <w:r w:rsidRPr="00183E4D">
              <w:rPr>
                <w:snapToGrid w:val="0"/>
                <w:lang w:eastAsia="en-US"/>
              </w:rPr>
              <w:t>N</w:t>
            </w:r>
            <w:r>
              <w:rPr>
                <w:snapToGrid w:val="0"/>
                <w:lang w:eastAsia="en-US"/>
              </w:rPr>
              <w:t xml:space="preserve"> (lesions)</w:t>
            </w:r>
          </w:p>
        </w:tc>
        <w:tc>
          <w:tcPr>
            <w:tcW w:w="1496" w:type="pct"/>
            <w:tcBorders>
              <w:bottom w:val="single" w:sz="4" w:space="0" w:color="auto"/>
            </w:tcBorders>
            <w:shd w:val="clear" w:color="auto" w:fill="D9D9D9" w:themeFill="background1" w:themeFillShade="D9"/>
            <w:vAlign w:val="bottom"/>
          </w:tcPr>
          <w:p w14:paraId="2A160200" w14:textId="77777777" w:rsidR="00BE5F78" w:rsidRPr="009270B7" w:rsidRDefault="00BE5F78" w:rsidP="007C6179">
            <w:pPr>
              <w:pStyle w:val="TableHeading"/>
              <w:keepNext w:val="0"/>
              <w:spacing w:before="60" w:after="60"/>
              <w:jc w:val="left"/>
              <w:rPr>
                <w:snapToGrid w:val="0"/>
                <w:lang w:eastAsia="en-US"/>
              </w:rPr>
            </w:pPr>
            <w:r w:rsidRPr="009270B7">
              <w:rPr>
                <w:snapToGrid w:val="0"/>
                <w:lang w:eastAsia="en-US"/>
              </w:rPr>
              <w:t>Median time to local progression</w:t>
            </w:r>
            <w:r>
              <w:rPr>
                <w:snapToGrid w:val="0"/>
                <w:lang w:eastAsia="en-US"/>
              </w:rPr>
              <w:t xml:space="preserve"> (range)</w:t>
            </w:r>
          </w:p>
        </w:tc>
        <w:tc>
          <w:tcPr>
            <w:tcW w:w="1496" w:type="pct"/>
            <w:tcBorders>
              <w:bottom w:val="single" w:sz="4" w:space="0" w:color="auto"/>
            </w:tcBorders>
            <w:shd w:val="clear" w:color="auto" w:fill="D9D9D9" w:themeFill="background1" w:themeFillShade="D9"/>
            <w:vAlign w:val="bottom"/>
          </w:tcPr>
          <w:p w14:paraId="29579437" w14:textId="77777777" w:rsidR="00BE5F78" w:rsidRPr="00183E4D" w:rsidRDefault="00BE5F78" w:rsidP="007C6179">
            <w:pPr>
              <w:pStyle w:val="TableHeading"/>
              <w:keepNext w:val="0"/>
              <w:spacing w:before="60" w:after="60"/>
              <w:jc w:val="left"/>
              <w:rPr>
                <w:snapToGrid w:val="0"/>
                <w:lang w:eastAsia="en-US"/>
              </w:rPr>
            </w:pPr>
            <w:r>
              <w:rPr>
                <w:snapToGrid w:val="0"/>
                <w:lang w:eastAsia="en-US"/>
              </w:rPr>
              <w:t>Local progression rate, n/N (%)</w:t>
            </w:r>
          </w:p>
        </w:tc>
      </w:tr>
      <w:tr w:rsidR="0096107C" w:rsidRPr="00183E4D" w14:paraId="6799E903" w14:textId="77777777" w:rsidTr="0096107C">
        <w:tc>
          <w:tcPr>
            <w:tcW w:w="1215" w:type="pct"/>
            <w:tcBorders>
              <w:right w:val="nil"/>
            </w:tcBorders>
            <w:shd w:val="clear" w:color="auto" w:fill="D9D9D9" w:themeFill="background1" w:themeFillShade="D9"/>
            <w:vAlign w:val="bottom"/>
          </w:tcPr>
          <w:p w14:paraId="1B866D23" w14:textId="77777777" w:rsidR="00BE5F78" w:rsidRPr="00F24C53" w:rsidRDefault="00BE5F78" w:rsidP="00046EA7">
            <w:pPr>
              <w:pStyle w:val="TableText0"/>
              <w:keepNext w:val="0"/>
              <w:spacing w:before="60" w:after="60"/>
              <w:rPr>
                <w:b/>
                <w:snapToGrid w:val="0"/>
              </w:rPr>
            </w:pPr>
            <w:r w:rsidRPr="00F24C53">
              <w:rPr>
                <w:b/>
                <w:snapToGrid w:val="0"/>
              </w:rPr>
              <w:t>MTA</w:t>
            </w:r>
          </w:p>
        </w:tc>
        <w:tc>
          <w:tcPr>
            <w:tcW w:w="792" w:type="pct"/>
            <w:tcBorders>
              <w:left w:val="nil"/>
              <w:right w:val="nil"/>
            </w:tcBorders>
            <w:shd w:val="clear" w:color="auto" w:fill="D9D9D9" w:themeFill="background1" w:themeFillShade="D9"/>
            <w:vAlign w:val="center"/>
          </w:tcPr>
          <w:p w14:paraId="0F15A7D1" w14:textId="77777777" w:rsidR="00BE5F78" w:rsidRDefault="00BE5F78" w:rsidP="007C6179">
            <w:pPr>
              <w:pStyle w:val="TableText0"/>
              <w:keepNext w:val="0"/>
              <w:spacing w:before="60" w:after="60"/>
              <w:jc w:val="left"/>
              <w:rPr>
                <w:snapToGrid w:val="0"/>
              </w:rPr>
            </w:pPr>
          </w:p>
        </w:tc>
        <w:tc>
          <w:tcPr>
            <w:tcW w:w="1496" w:type="pct"/>
            <w:tcBorders>
              <w:left w:val="nil"/>
              <w:right w:val="nil"/>
            </w:tcBorders>
            <w:shd w:val="clear" w:color="auto" w:fill="D9D9D9" w:themeFill="background1" w:themeFillShade="D9"/>
          </w:tcPr>
          <w:p w14:paraId="4CD3B712" w14:textId="77777777" w:rsidR="00BE5F78" w:rsidRPr="00ED11EF" w:rsidRDefault="00BE5F78" w:rsidP="007C6179">
            <w:pPr>
              <w:pStyle w:val="TableText0"/>
              <w:keepNext w:val="0"/>
              <w:spacing w:before="60" w:after="60"/>
              <w:jc w:val="left"/>
            </w:pPr>
          </w:p>
        </w:tc>
        <w:tc>
          <w:tcPr>
            <w:tcW w:w="1496" w:type="pct"/>
            <w:tcBorders>
              <w:left w:val="nil"/>
            </w:tcBorders>
            <w:shd w:val="clear" w:color="auto" w:fill="D9D9D9" w:themeFill="background1" w:themeFillShade="D9"/>
            <w:vAlign w:val="center"/>
          </w:tcPr>
          <w:p w14:paraId="71230594" w14:textId="77777777" w:rsidR="00BE5F78" w:rsidRDefault="00BE5F78" w:rsidP="007C6179">
            <w:pPr>
              <w:pStyle w:val="TableText0"/>
              <w:keepNext w:val="0"/>
              <w:spacing w:before="60" w:after="60"/>
              <w:jc w:val="left"/>
              <w:rPr>
                <w:snapToGrid w:val="0"/>
              </w:rPr>
            </w:pPr>
          </w:p>
        </w:tc>
      </w:tr>
      <w:tr w:rsidR="00BE5F78" w:rsidRPr="00183E4D" w14:paraId="52F23BC0" w14:textId="77777777" w:rsidTr="0096107C">
        <w:tc>
          <w:tcPr>
            <w:tcW w:w="1215" w:type="pct"/>
            <w:shd w:val="clear" w:color="auto" w:fill="auto"/>
            <w:vAlign w:val="bottom"/>
          </w:tcPr>
          <w:p w14:paraId="168D07D0" w14:textId="77777777" w:rsidR="00BE5F78" w:rsidRPr="00ED11EF" w:rsidRDefault="00BE5F78" w:rsidP="00046EA7">
            <w:pPr>
              <w:pStyle w:val="TableText0"/>
              <w:keepNext w:val="0"/>
              <w:spacing w:before="60" w:after="60"/>
              <w:rPr>
                <w:snapToGrid w:val="0"/>
              </w:rPr>
            </w:pPr>
            <w:r w:rsidRPr="00ED11EF">
              <w:rPr>
                <w:snapToGrid w:val="0"/>
              </w:rPr>
              <w:t>Qi et al (2015)</w:t>
            </w:r>
          </w:p>
        </w:tc>
        <w:tc>
          <w:tcPr>
            <w:tcW w:w="792" w:type="pct"/>
            <w:shd w:val="clear" w:color="auto" w:fill="auto"/>
            <w:vAlign w:val="center"/>
          </w:tcPr>
          <w:p w14:paraId="3B71635F" w14:textId="77777777" w:rsidR="00BE5F78" w:rsidRPr="008A6F37" w:rsidRDefault="00BE5F78" w:rsidP="007C6179">
            <w:pPr>
              <w:pStyle w:val="TableText0"/>
              <w:keepNext w:val="0"/>
              <w:spacing w:before="60" w:after="60"/>
              <w:jc w:val="left"/>
              <w:rPr>
                <w:snapToGrid w:val="0"/>
              </w:rPr>
            </w:pPr>
            <w:r>
              <w:rPr>
                <w:snapToGrid w:val="0"/>
              </w:rPr>
              <w:t>17</w:t>
            </w:r>
            <w:r w:rsidR="00847B62">
              <w:rPr>
                <w:snapToGrid w:val="0"/>
              </w:rPr>
              <w:t xml:space="preserve"> </w:t>
            </w:r>
            <w:r>
              <w:rPr>
                <w:snapToGrid w:val="0"/>
              </w:rPr>
              <w:t>(29)</w:t>
            </w:r>
          </w:p>
        </w:tc>
        <w:tc>
          <w:tcPr>
            <w:tcW w:w="1496" w:type="pct"/>
            <w:shd w:val="clear" w:color="auto" w:fill="auto"/>
            <w:vAlign w:val="center"/>
          </w:tcPr>
          <w:p w14:paraId="07FDFED2" w14:textId="189E488D" w:rsidR="00BE5F78" w:rsidRPr="009E280F" w:rsidRDefault="00BE5F78" w:rsidP="007C6179">
            <w:pPr>
              <w:pStyle w:val="TableText0"/>
              <w:keepNext w:val="0"/>
              <w:spacing w:before="60" w:after="60"/>
              <w:jc w:val="left"/>
              <w:rPr>
                <w:i/>
              </w:rPr>
            </w:pPr>
            <w:r w:rsidRPr="00ED11EF">
              <w:t>7 (4</w:t>
            </w:r>
            <w:r w:rsidR="00D35E9C">
              <w:t>–</w:t>
            </w:r>
            <w:r w:rsidRPr="00ED11EF">
              <w:t>20) months</w:t>
            </w:r>
          </w:p>
        </w:tc>
        <w:tc>
          <w:tcPr>
            <w:tcW w:w="1496" w:type="pct"/>
            <w:shd w:val="clear" w:color="auto" w:fill="auto"/>
            <w:vAlign w:val="center"/>
          </w:tcPr>
          <w:p w14:paraId="36256075" w14:textId="77777777" w:rsidR="00BE5F78" w:rsidRPr="008A6F37" w:rsidRDefault="00BE5F78" w:rsidP="007C6179">
            <w:pPr>
              <w:pStyle w:val="TableText0"/>
              <w:keepNext w:val="0"/>
              <w:spacing w:before="60" w:after="60"/>
              <w:jc w:val="left"/>
              <w:rPr>
                <w:snapToGrid w:val="0"/>
              </w:rPr>
            </w:pPr>
            <w:r>
              <w:rPr>
                <w:snapToGrid w:val="0"/>
              </w:rPr>
              <w:t>5/17 (29)</w:t>
            </w:r>
            <w:r w:rsidR="00F829C6">
              <w:rPr>
                <w:snapToGrid w:val="0"/>
                <w:vertAlign w:val="superscript"/>
              </w:rPr>
              <w:t>a</w:t>
            </w:r>
          </w:p>
        </w:tc>
      </w:tr>
      <w:tr w:rsidR="00BE5F78" w:rsidRPr="00183E4D" w14:paraId="1D0500B6" w14:textId="77777777" w:rsidTr="0096107C">
        <w:tc>
          <w:tcPr>
            <w:tcW w:w="1215" w:type="pct"/>
            <w:shd w:val="clear" w:color="auto" w:fill="auto"/>
          </w:tcPr>
          <w:p w14:paraId="31EB0706" w14:textId="77777777" w:rsidR="00BE5F78" w:rsidRPr="00ED11EF" w:rsidRDefault="00BE5F78" w:rsidP="00046EA7">
            <w:pPr>
              <w:pStyle w:val="TableText0"/>
              <w:keepNext w:val="0"/>
              <w:spacing w:before="60" w:after="60"/>
              <w:rPr>
                <w:snapToGrid w:val="0"/>
              </w:rPr>
            </w:pPr>
            <w:r w:rsidRPr="00ED11EF">
              <w:rPr>
                <w:snapToGrid w:val="0"/>
              </w:rPr>
              <w:t>Vogl et al (2015)</w:t>
            </w:r>
          </w:p>
        </w:tc>
        <w:tc>
          <w:tcPr>
            <w:tcW w:w="792" w:type="pct"/>
            <w:shd w:val="clear" w:color="auto" w:fill="auto"/>
            <w:vAlign w:val="center"/>
          </w:tcPr>
          <w:p w14:paraId="20793597" w14:textId="77777777" w:rsidR="00BE5F78" w:rsidRPr="008A6F37" w:rsidRDefault="00BE5F78" w:rsidP="007C6179">
            <w:pPr>
              <w:pStyle w:val="TableText0"/>
              <w:keepNext w:val="0"/>
              <w:spacing w:before="60" w:after="60"/>
              <w:jc w:val="left"/>
              <w:rPr>
                <w:snapToGrid w:val="0"/>
              </w:rPr>
            </w:pPr>
            <w:r>
              <w:rPr>
                <w:snapToGrid w:val="0"/>
              </w:rPr>
              <w:t>80</w:t>
            </w:r>
            <w:r w:rsidR="00847B62">
              <w:rPr>
                <w:snapToGrid w:val="0"/>
              </w:rPr>
              <w:t xml:space="preserve"> </w:t>
            </w:r>
            <w:r>
              <w:rPr>
                <w:snapToGrid w:val="0"/>
              </w:rPr>
              <w:t>(130)</w:t>
            </w:r>
          </w:p>
        </w:tc>
        <w:tc>
          <w:tcPr>
            <w:tcW w:w="1496" w:type="pct"/>
            <w:shd w:val="clear" w:color="auto" w:fill="auto"/>
            <w:vAlign w:val="center"/>
          </w:tcPr>
          <w:p w14:paraId="6509B579" w14:textId="66604DC7" w:rsidR="00BE5F78" w:rsidRPr="00723C9B" w:rsidRDefault="00BE5F78" w:rsidP="007C6179">
            <w:pPr>
              <w:pStyle w:val="TableText0"/>
              <w:keepNext w:val="0"/>
              <w:spacing w:before="60" w:after="60"/>
              <w:jc w:val="left"/>
            </w:pPr>
            <w:r>
              <w:t>6 (1</w:t>
            </w:r>
            <w:r w:rsidR="00D35E9C">
              <w:t>–</w:t>
            </w:r>
            <w:r>
              <w:t>18) months</w:t>
            </w:r>
          </w:p>
        </w:tc>
        <w:tc>
          <w:tcPr>
            <w:tcW w:w="1496" w:type="pct"/>
            <w:shd w:val="clear" w:color="auto" w:fill="auto"/>
            <w:vAlign w:val="center"/>
          </w:tcPr>
          <w:p w14:paraId="4083D812" w14:textId="77777777" w:rsidR="00BE5F78" w:rsidRPr="008A6F37" w:rsidRDefault="00BE5F78" w:rsidP="007C6179">
            <w:pPr>
              <w:pStyle w:val="TableText0"/>
              <w:keepNext w:val="0"/>
              <w:spacing w:before="60" w:after="60"/>
              <w:jc w:val="left"/>
              <w:rPr>
                <w:snapToGrid w:val="0"/>
              </w:rPr>
            </w:pPr>
            <w:r>
              <w:rPr>
                <w:snapToGrid w:val="0"/>
              </w:rPr>
              <w:t>35/130 (2</w:t>
            </w:r>
            <w:r w:rsidR="00BB14FD">
              <w:rPr>
                <w:snapToGrid w:val="0"/>
              </w:rPr>
              <w:t>7</w:t>
            </w:r>
            <w:r>
              <w:rPr>
                <w:snapToGrid w:val="0"/>
              </w:rPr>
              <w:t>)</w:t>
            </w:r>
          </w:p>
        </w:tc>
      </w:tr>
      <w:tr w:rsidR="00BE5F78" w:rsidRPr="00183E4D" w14:paraId="2B4AC7D3" w14:textId="77777777" w:rsidTr="0096107C">
        <w:tc>
          <w:tcPr>
            <w:tcW w:w="1215" w:type="pct"/>
            <w:shd w:val="clear" w:color="auto" w:fill="auto"/>
            <w:vAlign w:val="center"/>
          </w:tcPr>
          <w:p w14:paraId="63F8F53F" w14:textId="77777777" w:rsidR="00BE5F78" w:rsidRPr="00183E4D" w:rsidRDefault="00BE5F78" w:rsidP="00046EA7">
            <w:pPr>
              <w:pStyle w:val="TableText0"/>
              <w:keepNext w:val="0"/>
              <w:spacing w:before="60" w:after="60"/>
              <w:rPr>
                <w:snapToGrid w:val="0"/>
              </w:rPr>
            </w:pPr>
            <w:r>
              <w:rPr>
                <w:snapToGrid w:val="0"/>
              </w:rPr>
              <w:t>Pooled analysis</w:t>
            </w:r>
          </w:p>
        </w:tc>
        <w:tc>
          <w:tcPr>
            <w:tcW w:w="792" w:type="pct"/>
            <w:tcBorders>
              <w:bottom w:val="single" w:sz="4" w:space="0" w:color="auto"/>
            </w:tcBorders>
            <w:shd w:val="clear" w:color="auto" w:fill="auto"/>
            <w:vAlign w:val="center"/>
          </w:tcPr>
          <w:p w14:paraId="60E55564" w14:textId="77777777" w:rsidR="00BE5F78" w:rsidRPr="00183E4D" w:rsidRDefault="00BE5F78" w:rsidP="007C6179">
            <w:pPr>
              <w:pStyle w:val="TableText0"/>
              <w:keepNext w:val="0"/>
              <w:spacing w:before="60" w:after="60"/>
              <w:jc w:val="left"/>
              <w:rPr>
                <w:snapToGrid w:val="0"/>
                <w:highlight w:val="cyan"/>
              </w:rPr>
            </w:pPr>
            <w:r w:rsidRPr="00FC76BB">
              <w:rPr>
                <w:snapToGrid w:val="0"/>
              </w:rPr>
              <w:t>97 (159)</w:t>
            </w:r>
          </w:p>
        </w:tc>
        <w:tc>
          <w:tcPr>
            <w:tcW w:w="1496" w:type="pct"/>
            <w:tcBorders>
              <w:left w:val="nil"/>
              <w:bottom w:val="single" w:sz="4" w:space="0" w:color="auto"/>
            </w:tcBorders>
            <w:shd w:val="clear" w:color="auto" w:fill="auto"/>
            <w:vAlign w:val="center"/>
          </w:tcPr>
          <w:p w14:paraId="5909BF8F" w14:textId="77777777" w:rsidR="00BE5F78" w:rsidRDefault="00BE5F78" w:rsidP="007C6179">
            <w:pPr>
              <w:pStyle w:val="TableText0"/>
              <w:keepNext w:val="0"/>
              <w:spacing w:before="60" w:after="60"/>
              <w:jc w:val="left"/>
              <w:rPr>
                <w:snapToGrid w:val="0"/>
              </w:rPr>
            </w:pPr>
            <w:r>
              <w:rPr>
                <w:snapToGrid w:val="0"/>
              </w:rPr>
              <w:t>Pooling not possible</w:t>
            </w:r>
          </w:p>
          <w:p w14:paraId="6606AFCE" w14:textId="77777777" w:rsidR="00BE5F78" w:rsidRDefault="00BE5F78" w:rsidP="007C6179">
            <w:pPr>
              <w:pStyle w:val="TableText0"/>
              <w:keepNext w:val="0"/>
              <w:spacing w:before="60" w:after="60"/>
              <w:jc w:val="left"/>
              <w:rPr>
                <w:snapToGrid w:val="0"/>
              </w:rPr>
            </w:pPr>
            <w:r>
              <w:rPr>
                <w:snapToGrid w:val="0"/>
              </w:rPr>
              <w:t>Quality of the evidence</w:t>
            </w:r>
          </w:p>
          <w:p w14:paraId="29937064" w14:textId="77777777" w:rsidR="00BE5F78" w:rsidRDefault="00BE5F78" w:rsidP="007C6179">
            <w:pPr>
              <w:pStyle w:val="TableText0"/>
              <w:keepNext w:val="0"/>
              <w:spacing w:before="60" w:after="60"/>
              <w:ind w:left="16" w:right="117"/>
              <w:jc w:val="left"/>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184B7E27" w14:textId="77777777" w:rsidR="00BE5F78" w:rsidRPr="00C62F37" w:rsidRDefault="00BE5F78" w:rsidP="007C6179">
            <w:pPr>
              <w:pStyle w:val="TableText0"/>
              <w:keepNext w:val="0"/>
              <w:spacing w:before="60" w:after="60"/>
              <w:ind w:left="16" w:right="117"/>
              <w:jc w:val="left"/>
              <w:rPr>
                <w:rFonts w:ascii="MS Mincho" w:eastAsia="MS Mincho" w:hAnsi="MS Mincho" w:cs="MS Mincho"/>
                <w:b/>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1496" w:type="pct"/>
            <w:tcBorders>
              <w:bottom w:val="single" w:sz="4" w:space="0" w:color="auto"/>
            </w:tcBorders>
            <w:shd w:val="clear" w:color="auto" w:fill="auto"/>
            <w:vAlign w:val="center"/>
          </w:tcPr>
          <w:p w14:paraId="23335F22" w14:textId="77777777" w:rsidR="00BE5F78" w:rsidRDefault="00BE5F78" w:rsidP="007C6179">
            <w:pPr>
              <w:pStyle w:val="TableText0"/>
              <w:keepNext w:val="0"/>
              <w:spacing w:before="60" w:after="60"/>
              <w:jc w:val="left"/>
              <w:rPr>
                <w:snapToGrid w:val="0"/>
              </w:rPr>
            </w:pPr>
            <w:r>
              <w:rPr>
                <w:snapToGrid w:val="0"/>
              </w:rPr>
              <w:t>Pooling not possible</w:t>
            </w:r>
          </w:p>
          <w:p w14:paraId="04D56157" w14:textId="77777777" w:rsidR="00BE5F78" w:rsidRDefault="00BE5F78" w:rsidP="007C6179">
            <w:pPr>
              <w:pStyle w:val="TableText0"/>
              <w:keepNext w:val="0"/>
              <w:spacing w:before="60" w:after="60"/>
              <w:jc w:val="left"/>
              <w:rPr>
                <w:snapToGrid w:val="0"/>
              </w:rPr>
            </w:pPr>
            <w:r>
              <w:rPr>
                <w:snapToGrid w:val="0"/>
              </w:rPr>
              <w:t>Quality of the evidence</w:t>
            </w:r>
          </w:p>
          <w:p w14:paraId="0903ECBF" w14:textId="77777777" w:rsidR="00BE5F78" w:rsidRDefault="00BE5F78" w:rsidP="007C6179">
            <w:pPr>
              <w:pStyle w:val="TableText0"/>
              <w:keepNext w:val="0"/>
              <w:spacing w:before="60" w:after="60"/>
              <w:ind w:left="16" w:right="117"/>
              <w:jc w:val="left"/>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769E2051" w14:textId="77777777" w:rsidR="00BE5F78" w:rsidRPr="00C62F37" w:rsidRDefault="00BE5F78" w:rsidP="007C6179">
            <w:pPr>
              <w:pStyle w:val="TableText0"/>
              <w:keepNext w:val="0"/>
              <w:spacing w:before="60" w:after="60"/>
              <w:ind w:left="16" w:right="117"/>
              <w:jc w:val="left"/>
              <w:rPr>
                <w:rFonts w:ascii="MS Mincho" w:eastAsia="MS Mincho" w:hAnsi="MS Mincho" w:cs="MS Mincho"/>
                <w:b/>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r>
      <w:tr w:rsidR="0096107C" w:rsidRPr="00183E4D" w14:paraId="6B379AF7" w14:textId="77777777" w:rsidTr="0096107C">
        <w:tc>
          <w:tcPr>
            <w:tcW w:w="1215" w:type="pct"/>
            <w:tcBorders>
              <w:right w:val="nil"/>
            </w:tcBorders>
            <w:shd w:val="clear" w:color="auto" w:fill="D9D9D9" w:themeFill="background1" w:themeFillShade="D9"/>
            <w:vAlign w:val="center"/>
          </w:tcPr>
          <w:p w14:paraId="6EE0C1FE" w14:textId="77777777" w:rsidR="00BE5F78" w:rsidRPr="00183E4D" w:rsidRDefault="00BE5F78" w:rsidP="00046EA7">
            <w:pPr>
              <w:pStyle w:val="TableHeading"/>
              <w:keepNext w:val="0"/>
              <w:spacing w:before="60" w:after="60"/>
              <w:rPr>
                <w:snapToGrid w:val="0"/>
                <w:lang w:eastAsia="en-US"/>
              </w:rPr>
            </w:pPr>
            <w:r>
              <w:rPr>
                <w:snapToGrid w:val="0"/>
                <w:lang w:eastAsia="en-US"/>
              </w:rPr>
              <w:t>RFA</w:t>
            </w:r>
          </w:p>
        </w:tc>
        <w:tc>
          <w:tcPr>
            <w:tcW w:w="792" w:type="pct"/>
            <w:tcBorders>
              <w:left w:val="nil"/>
              <w:right w:val="nil"/>
            </w:tcBorders>
            <w:shd w:val="clear" w:color="auto" w:fill="D9D9D9" w:themeFill="background1" w:themeFillShade="D9"/>
            <w:vAlign w:val="center"/>
          </w:tcPr>
          <w:p w14:paraId="3F7F0D08" w14:textId="77777777" w:rsidR="00BE5F78" w:rsidRPr="00183E4D" w:rsidRDefault="00BE5F78" w:rsidP="007C6179">
            <w:pPr>
              <w:pStyle w:val="TableHeading"/>
              <w:keepNext w:val="0"/>
              <w:spacing w:before="60" w:after="60"/>
              <w:jc w:val="left"/>
              <w:rPr>
                <w:snapToGrid w:val="0"/>
                <w:lang w:eastAsia="en-US"/>
              </w:rPr>
            </w:pPr>
          </w:p>
        </w:tc>
        <w:tc>
          <w:tcPr>
            <w:tcW w:w="1496" w:type="pct"/>
            <w:tcBorders>
              <w:left w:val="nil"/>
              <w:right w:val="nil"/>
            </w:tcBorders>
            <w:shd w:val="clear" w:color="auto" w:fill="D9D9D9" w:themeFill="background1" w:themeFillShade="D9"/>
            <w:vAlign w:val="center"/>
          </w:tcPr>
          <w:p w14:paraId="0823CB25" w14:textId="77777777" w:rsidR="00BE5F78" w:rsidRPr="009270B7" w:rsidRDefault="00BE5F78" w:rsidP="007C6179">
            <w:pPr>
              <w:pStyle w:val="TableHeading"/>
              <w:keepNext w:val="0"/>
              <w:spacing w:before="60" w:after="60"/>
              <w:jc w:val="left"/>
              <w:rPr>
                <w:snapToGrid w:val="0"/>
                <w:lang w:eastAsia="en-US"/>
              </w:rPr>
            </w:pPr>
          </w:p>
        </w:tc>
        <w:tc>
          <w:tcPr>
            <w:tcW w:w="1496" w:type="pct"/>
            <w:tcBorders>
              <w:left w:val="nil"/>
            </w:tcBorders>
            <w:shd w:val="clear" w:color="auto" w:fill="D9D9D9" w:themeFill="background1" w:themeFillShade="D9"/>
            <w:vAlign w:val="center"/>
          </w:tcPr>
          <w:p w14:paraId="6034F8BF" w14:textId="77777777" w:rsidR="00BE5F78" w:rsidRPr="00183E4D" w:rsidRDefault="00BE5F78" w:rsidP="007C6179">
            <w:pPr>
              <w:pStyle w:val="TableHeading"/>
              <w:keepNext w:val="0"/>
              <w:spacing w:before="60" w:after="60"/>
              <w:jc w:val="left"/>
              <w:rPr>
                <w:snapToGrid w:val="0"/>
                <w:lang w:eastAsia="en-US"/>
              </w:rPr>
            </w:pPr>
          </w:p>
        </w:tc>
      </w:tr>
      <w:tr w:rsidR="00BE5F78" w:rsidRPr="00183E4D" w14:paraId="21CDF99D" w14:textId="77777777" w:rsidTr="0096107C">
        <w:tc>
          <w:tcPr>
            <w:tcW w:w="1215" w:type="pct"/>
            <w:shd w:val="clear" w:color="auto" w:fill="auto"/>
            <w:vAlign w:val="bottom"/>
          </w:tcPr>
          <w:p w14:paraId="4F40DEEE" w14:textId="77777777" w:rsidR="00BE5F78" w:rsidRPr="00ED11EF" w:rsidRDefault="00BE5F78" w:rsidP="00046EA7">
            <w:pPr>
              <w:pStyle w:val="TableText0"/>
              <w:keepNext w:val="0"/>
              <w:spacing w:before="60" w:after="60"/>
              <w:rPr>
                <w:snapToGrid w:val="0"/>
              </w:rPr>
            </w:pPr>
            <w:r>
              <w:rPr>
                <w:snapToGrid w:val="0"/>
              </w:rPr>
              <w:t>De Baere et al (2015)</w:t>
            </w:r>
          </w:p>
        </w:tc>
        <w:tc>
          <w:tcPr>
            <w:tcW w:w="792" w:type="pct"/>
            <w:shd w:val="clear" w:color="auto" w:fill="auto"/>
            <w:vAlign w:val="center"/>
          </w:tcPr>
          <w:p w14:paraId="06B52B34" w14:textId="77777777" w:rsidR="00BE5F78" w:rsidRDefault="00BE5F78" w:rsidP="007C6179">
            <w:pPr>
              <w:pStyle w:val="TableText0"/>
              <w:keepNext w:val="0"/>
              <w:spacing w:before="60" w:after="60"/>
              <w:jc w:val="left"/>
              <w:rPr>
                <w:snapToGrid w:val="0"/>
              </w:rPr>
            </w:pPr>
            <w:r>
              <w:rPr>
                <w:snapToGrid w:val="0"/>
              </w:rPr>
              <w:t>566 (1037)</w:t>
            </w:r>
          </w:p>
        </w:tc>
        <w:tc>
          <w:tcPr>
            <w:tcW w:w="1496" w:type="pct"/>
            <w:shd w:val="clear" w:color="auto" w:fill="auto"/>
            <w:vAlign w:val="center"/>
          </w:tcPr>
          <w:p w14:paraId="6F471C17" w14:textId="77777777" w:rsidR="00BE5F78" w:rsidRPr="00ED11EF" w:rsidRDefault="00BE5F78" w:rsidP="007C6179">
            <w:pPr>
              <w:pStyle w:val="TableText0"/>
              <w:keepNext w:val="0"/>
              <w:spacing w:before="60" w:after="60"/>
              <w:jc w:val="left"/>
            </w:pPr>
            <w:r>
              <w:t>NR</w:t>
            </w:r>
          </w:p>
        </w:tc>
        <w:tc>
          <w:tcPr>
            <w:tcW w:w="1496" w:type="pct"/>
            <w:shd w:val="clear" w:color="auto" w:fill="auto"/>
            <w:vAlign w:val="center"/>
          </w:tcPr>
          <w:p w14:paraId="160D9306" w14:textId="77777777" w:rsidR="00BE5F78" w:rsidRDefault="00BE5F78" w:rsidP="007C6179">
            <w:pPr>
              <w:pStyle w:val="TableText0"/>
              <w:keepNext w:val="0"/>
              <w:spacing w:before="60" w:after="60"/>
              <w:jc w:val="left"/>
              <w:rPr>
                <w:snapToGrid w:val="0"/>
              </w:rPr>
            </w:pPr>
            <w:r w:rsidRPr="00B41204">
              <w:rPr>
                <w:snapToGrid w:val="0"/>
              </w:rPr>
              <w:t>82/566</w:t>
            </w:r>
            <w:r>
              <w:rPr>
                <w:snapToGrid w:val="0"/>
              </w:rPr>
              <w:t xml:space="preserve"> (15)</w:t>
            </w:r>
          </w:p>
        </w:tc>
      </w:tr>
      <w:tr w:rsidR="00BE5F78" w:rsidRPr="00183E4D" w14:paraId="6477C938" w14:textId="77777777" w:rsidTr="0096107C">
        <w:tc>
          <w:tcPr>
            <w:tcW w:w="1215" w:type="pct"/>
            <w:shd w:val="clear" w:color="auto" w:fill="auto"/>
            <w:vAlign w:val="bottom"/>
          </w:tcPr>
          <w:p w14:paraId="75EDCADB" w14:textId="77777777" w:rsidR="00BE5F78" w:rsidRDefault="00BE5F78" w:rsidP="00046EA7">
            <w:pPr>
              <w:pStyle w:val="TableText0"/>
              <w:keepNext w:val="0"/>
              <w:spacing w:before="60" w:after="60"/>
              <w:rPr>
                <w:snapToGrid w:val="0"/>
              </w:rPr>
            </w:pPr>
            <w:r>
              <w:rPr>
                <w:snapToGrid w:val="0"/>
              </w:rPr>
              <w:t>Fanucchi et al (2015)</w:t>
            </w:r>
          </w:p>
        </w:tc>
        <w:tc>
          <w:tcPr>
            <w:tcW w:w="792" w:type="pct"/>
            <w:shd w:val="clear" w:color="auto" w:fill="auto"/>
            <w:vAlign w:val="center"/>
          </w:tcPr>
          <w:p w14:paraId="3E8C370F" w14:textId="77777777" w:rsidR="00BE5F78" w:rsidRDefault="00BE5F78" w:rsidP="007C6179">
            <w:pPr>
              <w:pStyle w:val="TableText0"/>
              <w:keepNext w:val="0"/>
              <w:spacing w:before="60" w:after="60"/>
              <w:jc w:val="left"/>
              <w:rPr>
                <w:snapToGrid w:val="0"/>
              </w:rPr>
            </w:pPr>
            <w:r>
              <w:rPr>
                <w:snapToGrid w:val="0"/>
              </w:rPr>
              <w:t>61 (86)</w:t>
            </w:r>
          </w:p>
        </w:tc>
        <w:tc>
          <w:tcPr>
            <w:tcW w:w="1496" w:type="pct"/>
            <w:shd w:val="clear" w:color="auto" w:fill="auto"/>
            <w:vAlign w:val="center"/>
          </w:tcPr>
          <w:p w14:paraId="24290BE6" w14:textId="77777777" w:rsidR="00BE5F78" w:rsidRDefault="00BE5F78" w:rsidP="007C6179">
            <w:pPr>
              <w:pStyle w:val="TableText0"/>
              <w:keepNext w:val="0"/>
              <w:spacing w:before="60" w:after="60"/>
              <w:jc w:val="left"/>
            </w:pPr>
            <w:r>
              <w:t>NR</w:t>
            </w:r>
          </w:p>
        </w:tc>
        <w:tc>
          <w:tcPr>
            <w:tcW w:w="1496" w:type="pct"/>
            <w:shd w:val="clear" w:color="auto" w:fill="auto"/>
            <w:vAlign w:val="center"/>
          </w:tcPr>
          <w:p w14:paraId="55BA3B0A" w14:textId="77777777" w:rsidR="00BE5F78" w:rsidRDefault="00BE5F78" w:rsidP="007C6179">
            <w:pPr>
              <w:pStyle w:val="TableText0"/>
              <w:keepNext w:val="0"/>
              <w:spacing w:before="60" w:after="60"/>
              <w:jc w:val="left"/>
              <w:rPr>
                <w:snapToGrid w:val="0"/>
              </w:rPr>
            </w:pPr>
            <w:r>
              <w:rPr>
                <w:snapToGrid w:val="0"/>
              </w:rPr>
              <w:t>7/61 (1</w:t>
            </w:r>
            <w:r w:rsidR="00AC0083">
              <w:rPr>
                <w:snapToGrid w:val="0"/>
              </w:rPr>
              <w:t>2</w:t>
            </w:r>
            <w:r w:rsidRPr="00B41204">
              <w:rPr>
                <w:snapToGrid w:val="0"/>
              </w:rPr>
              <w:t>)</w:t>
            </w:r>
          </w:p>
        </w:tc>
      </w:tr>
      <w:tr w:rsidR="00BE5F78" w:rsidRPr="00183E4D" w14:paraId="26B60617" w14:textId="77777777" w:rsidTr="0096107C">
        <w:tc>
          <w:tcPr>
            <w:tcW w:w="1215" w:type="pct"/>
            <w:shd w:val="clear" w:color="auto" w:fill="auto"/>
            <w:vAlign w:val="bottom"/>
          </w:tcPr>
          <w:p w14:paraId="626F5A55" w14:textId="77777777" w:rsidR="00BE5F78" w:rsidRPr="00ED11EF" w:rsidRDefault="00BE5F78" w:rsidP="00046EA7">
            <w:pPr>
              <w:pStyle w:val="TableText0"/>
              <w:keepNext w:val="0"/>
              <w:spacing w:before="60" w:after="60"/>
              <w:rPr>
                <w:snapToGrid w:val="0"/>
              </w:rPr>
            </w:pPr>
            <w:r>
              <w:rPr>
                <w:snapToGrid w:val="0"/>
              </w:rPr>
              <w:t>Hiraki et al (2011)</w:t>
            </w:r>
          </w:p>
        </w:tc>
        <w:tc>
          <w:tcPr>
            <w:tcW w:w="792" w:type="pct"/>
            <w:shd w:val="clear" w:color="auto" w:fill="auto"/>
            <w:vAlign w:val="center"/>
          </w:tcPr>
          <w:p w14:paraId="64E96BC8" w14:textId="77777777" w:rsidR="00BE5F78" w:rsidRDefault="00BE5F78" w:rsidP="007C6179">
            <w:pPr>
              <w:pStyle w:val="TableText0"/>
              <w:keepNext w:val="0"/>
              <w:spacing w:before="60" w:after="60"/>
              <w:jc w:val="left"/>
              <w:rPr>
                <w:snapToGrid w:val="0"/>
              </w:rPr>
            </w:pPr>
            <w:r>
              <w:rPr>
                <w:snapToGrid w:val="0"/>
              </w:rPr>
              <w:t>32 (83)</w:t>
            </w:r>
          </w:p>
        </w:tc>
        <w:tc>
          <w:tcPr>
            <w:tcW w:w="1496" w:type="pct"/>
            <w:shd w:val="clear" w:color="auto" w:fill="auto"/>
            <w:vAlign w:val="center"/>
          </w:tcPr>
          <w:p w14:paraId="69D8CFFD" w14:textId="77777777" w:rsidR="00BE5F78" w:rsidRDefault="00BE5F78" w:rsidP="007C6179">
            <w:pPr>
              <w:pStyle w:val="TableText0"/>
              <w:keepNext w:val="0"/>
              <w:spacing w:before="60" w:after="60"/>
              <w:jc w:val="left"/>
            </w:pPr>
            <w:r>
              <w:t>NR</w:t>
            </w:r>
          </w:p>
        </w:tc>
        <w:tc>
          <w:tcPr>
            <w:tcW w:w="1496" w:type="pct"/>
            <w:shd w:val="clear" w:color="auto" w:fill="auto"/>
            <w:vAlign w:val="center"/>
          </w:tcPr>
          <w:p w14:paraId="3DB0122C" w14:textId="77777777" w:rsidR="00BE5F78" w:rsidRDefault="00BE5F78" w:rsidP="007C6179">
            <w:pPr>
              <w:pStyle w:val="TableText0"/>
              <w:keepNext w:val="0"/>
              <w:spacing w:before="60" w:after="60"/>
              <w:jc w:val="left"/>
              <w:rPr>
                <w:snapToGrid w:val="0"/>
              </w:rPr>
            </w:pPr>
            <w:r w:rsidRPr="00B41355">
              <w:rPr>
                <w:snapToGrid w:val="0"/>
              </w:rPr>
              <w:t>NR</w:t>
            </w:r>
          </w:p>
        </w:tc>
      </w:tr>
      <w:tr w:rsidR="00BE5F78" w:rsidRPr="00183E4D" w14:paraId="53E8D987" w14:textId="77777777" w:rsidTr="0096107C">
        <w:tc>
          <w:tcPr>
            <w:tcW w:w="1215" w:type="pct"/>
            <w:shd w:val="clear" w:color="auto" w:fill="auto"/>
            <w:vAlign w:val="bottom"/>
          </w:tcPr>
          <w:p w14:paraId="30146D9C" w14:textId="77777777" w:rsidR="00BE5F78" w:rsidRPr="00ED11EF" w:rsidRDefault="00BE5F78" w:rsidP="00046EA7">
            <w:pPr>
              <w:pStyle w:val="TableText0"/>
              <w:keepNext w:val="0"/>
              <w:spacing w:before="60" w:after="60"/>
              <w:rPr>
                <w:snapToGrid w:val="0"/>
              </w:rPr>
            </w:pPr>
            <w:r>
              <w:rPr>
                <w:snapToGrid w:val="0"/>
              </w:rPr>
              <w:t>Koelbinger et al (2014)</w:t>
            </w:r>
          </w:p>
        </w:tc>
        <w:tc>
          <w:tcPr>
            <w:tcW w:w="792" w:type="pct"/>
            <w:shd w:val="clear" w:color="auto" w:fill="auto"/>
            <w:vAlign w:val="center"/>
          </w:tcPr>
          <w:p w14:paraId="1ABDB791" w14:textId="77777777" w:rsidR="00BE5F78" w:rsidRDefault="00BE5F78" w:rsidP="007C6179">
            <w:pPr>
              <w:pStyle w:val="TableText0"/>
              <w:keepNext w:val="0"/>
              <w:spacing w:before="60" w:after="60"/>
              <w:jc w:val="left"/>
              <w:rPr>
                <w:snapToGrid w:val="0"/>
              </w:rPr>
            </w:pPr>
            <w:r>
              <w:rPr>
                <w:snapToGrid w:val="0"/>
              </w:rPr>
              <w:t>22 (55)</w:t>
            </w:r>
          </w:p>
        </w:tc>
        <w:tc>
          <w:tcPr>
            <w:tcW w:w="1496" w:type="pct"/>
            <w:shd w:val="clear" w:color="auto" w:fill="auto"/>
            <w:vAlign w:val="center"/>
          </w:tcPr>
          <w:p w14:paraId="7B37EA7F" w14:textId="77777777" w:rsidR="00BE5F78" w:rsidRPr="00ED11EF" w:rsidRDefault="00BE5F78" w:rsidP="007C6179">
            <w:pPr>
              <w:pStyle w:val="TableText0"/>
              <w:keepNext w:val="0"/>
              <w:spacing w:before="60" w:after="60"/>
              <w:jc w:val="left"/>
            </w:pPr>
            <w:r w:rsidRPr="00B41204">
              <w:t>12</w:t>
            </w:r>
            <w:r>
              <w:t xml:space="preserve"> </w:t>
            </w:r>
            <w:r w:rsidRPr="00B41204">
              <w:t>months</w:t>
            </w:r>
            <w:r w:rsidR="00F829C6">
              <w:rPr>
                <w:vertAlign w:val="superscript"/>
              </w:rPr>
              <w:t>b</w:t>
            </w:r>
          </w:p>
        </w:tc>
        <w:tc>
          <w:tcPr>
            <w:tcW w:w="1496" w:type="pct"/>
            <w:shd w:val="clear" w:color="auto" w:fill="auto"/>
            <w:vAlign w:val="center"/>
          </w:tcPr>
          <w:p w14:paraId="2B2C0C83" w14:textId="77777777" w:rsidR="00BE5F78" w:rsidRPr="00B41204" w:rsidRDefault="00BE5F78" w:rsidP="007C6179">
            <w:pPr>
              <w:pStyle w:val="TableText0"/>
              <w:keepNext w:val="0"/>
              <w:spacing w:before="60" w:after="60"/>
              <w:jc w:val="left"/>
              <w:rPr>
                <w:snapToGrid w:val="0"/>
              </w:rPr>
            </w:pPr>
            <w:r>
              <w:rPr>
                <w:snapToGrid w:val="0"/>
              </w:rPr>
              <w:t>NR</w:t>
            </w:r>
          </w:p>
        </w:tc>
      </w:tr>
      <w:tr w:rsidR="00BE5F78" w:rsidRPr="00183E4D" w14:paraId="50137F4C" w14:textId="77777777" w:rsidTr="0096107C">
        <w:tc>
          <w:tcPr>
            <w:tcW w:w="1215" w:type="pct"/>
            <w:shd w:val="clear" w:color="auto" w:fill="auto"/>
            <w:vAlign w:val="bottom"/>
          </w:tcPr>
          <w:p w14:paraId="26EDE503" w14:textId="77777777" w:rsidR="00BE5F78" w:rsidRDefault="00BE5F78" w:rsidP="00046EA7">
            <w:pPr>
              <w:pStyle w:val="TableText0"/>
              <w:keepNext w:val="0"/>
              <w:spacing w:before="60" w:after="60"/>
              <w:rPr>
                <w:snapToGrid w:val="0"/>
              </w:rPr>
            </w:pPr>
            <w:r>
              <w:rPr>
                <w:snapToGrid w:val="0"/>
              </w:rPr>
              <w:t>Li et al (2012)</w:t>
            </w:r>
          </w:p>
        </w:tc>
        <w:tc>
          <w:tcPr>
            <w:tcW w:w="792" w:type="pct"/>
            <w:shd w:val="clear" w:color="auto" w:fill="auto"/>
            <w:vAlign w:val="center"/>
          </w:tcPr>
          <w:p w14:paraId="0F777D2F" w14:textId="77777777" w:rsidR="00BE5F78" w:rsidRDefault="00BE5F78" w:rsidP="007C6179">
            <w:pPr>
              <w:pStyle w:val="TableText0"/>
              <w:keepNext w:val="0"/>
              <w:spacing w:before="60" w:after="60"/>
              <w:jc w:val="left"/>
              <w:rPr>
                <w:snapToGrid w:val="0"/>
              </w:rPr>
            </w:pPr>
            <w:r>
              <w:rPr>
                <w:snapToGrid w:val="0"/>
              </w:rPr>
              <w:t>29 (68)</w:t>
            </w:r>
          </w:p>
        </w:tc>
        <w:tc>
          <w:tcPr>
            <w:tcW w:w="1496" w:type="pct"/>
            <w:shd w:val="clear" w:color="auto" w:fill="auto"/>
            <w:vAlign w:val="center"/>
          </w:tcPr>
          <w:p w14:paraId="760A266C" w14:textId="423899D8" w:rsidR="00BE5F78" w:rsidRDefault="00BE5F78" w:rsidP="007C6179">
            <w:pPr>
              <w:pStyle w:val="TableText0"/>
              <w:keepNext w:val="0"/>
              <w:spacing w:before="60" w:after="60"/>
              <w:jc w:val="left"/>
            </w:pPr>
            <w:r>
              <w:t>14 months (</w:t>
            </w:r>
            <w:r w:rsidRPr="00B41204">
              <w:t>2</w:t>
            </w:r>
            <w:r w:rsidR="00D35E9C">
              <w:t>–</w:t>
            </w:r>
            <w:r w:rsidRPr="00B41204">
              <w:t>56)</w:t>
            </w:r>
          </w:p>
        </w:tc>
        <w:tc>
          <w:tcPr>
            <w:tcW w:w="1496" w:type="pct"/>
            <w:shd w:val="clear" w:color="auto" w:fill="auto"/>
            <w:vAlign w:val="center"/>
          </w:tcPr>
          <w:p w14:paraId="7E70FFD5" w14:textId="77777777" w:rsidR="00BE5F78" w:rsidRDefault="00BE5F78" w:rsidP="007C6179">
            <w:pPr>
              <w:pStyle w:val="TableText0"/>
              <w:keepNext w:val="0"/>
              <w:spacing w:before="60" w:after="60"/>
              <w:jc w:val="left"/>
              <w:rPr>
                <w:snapToGrid w:val="0"/>
              </w:rPr>
            </w:pPr>
            <w:r w:rsidRPr="00B41204">
              <w:rPr>
                <w:snapToGrid w:val="0"/>
              </w:rPr>
              <w:t>4/29</w:t>
            </w:r>
            <w:r>
              <w:rPr>
                <w:snapToGrid w:val="0"/>
              </w:rPr>
              <w:t xml:space="preserve"> (1</w:t>
            </w:r>
            <w:r w:rsidR="00E73152">
              <w:rPr>
                <w:snapToGrid w:val="0"/>
              </w:rPr>
              <w:t>4</w:t>
            </w:r>
            <w:r>
              <w:rPr>
                <w:snapToGrid w:val="0"/>
              </w:rPr>
              <w:t>)</w:t>
            </w:r>
          </w:p>
        </w:tc>
      </w:tr>
      <w:tr w:rsidR="00BE5F78" w:rsidRPr="00183E4D" w14:paraId="6F95E766" w14:textId="77777777" w:rsidTr="0096107C">
        <w:tc>
          <w:tcPr>
            <w:tcW w:w="1215" w:type="pct"/>
            <w:shd w:val="clear" w:color="auto" w:fill="auto"/>
            <w:vAlign w:val="bottom"/>
          </w:tcPr>
          <w:p w14:paraId="17075643" w14:textId="77777777" w:rsidR="00BE5F78" w:rsidRPr="00ED11EF" w:rsidRDefault="00BE5F78" w:rsidP="00046EA7">
            <w:pPr>
              <w:pStyle w:val="TableText0"/>
              <w:keepNext w:val="0"/>
              <w:spacing w:before="60" w:after="60"/>
              <w:rPr>
                <w:snapToGrid w:val="0"/>
              </w:rPr>
            </w:pPr>
            <w:r>
              <w:rPr>
                <w:snapToGrid w:val="0"/>
              </w:rPr>
              <w:t>Lu et al (2015)</w:t>
            </w:r>
          </w:p>
        </w:tc>
        <w:tc>
          <w:tcPr>
            <w:tcW w:w="792" w:type="pct"/>
            <w:shd w:val="clear" w:color="auto" w:fill="auto"/>
            <w:vAlign w:val="center"/>
          </w:tcPr>
          <w:p w14:paraId="0F84FF0A" w14:textId="77777777" w:rsidR="00BE5F78" w:rsidRDefault="00BE5F78" w:rsidP="007C6179">
            <w:pPr>
              <w:pStyle w:val="TableText0"/>
              <w:keepNext w:val="0"/>
              <w:spacing w:before="60" w:after="60"/>
              <w:jc w:val="left"/>
              <w:rPr>
                <w:snapToGrid w:val="0"/>
              </w:rPr>
            </w:pPr>
            <w:r>
              <w:rPr>
                <w:snapToGrid w:val="0"/>
              </w:rPr>
              <w:t>67 (115)</w:t>
            </w:r>
          </w:p>
        </w:tc>
        <w:tc>
          <w:tcPr>
            <w:tcW w:w="1496" w:type="pct"/>
            <w:shd w:val="clear" w:color="auto" w:fill="auto"/>
            <w:vAlign w:val="center"/>
          </w:tcPr>
          <w:p w14:paraId="7C38ED09" w14:textId="77777777" w:rsidR="00BE5F78" w:rsidRPr="00ED11EF" w:rsidRDefault="00BE5F78" w:rsidP="007C6179">
            <w:pPr>
              <w:pStyle w:val="TableText0"/>
              <w:keepNext w:val="0"/>
              <w:spacing w:before="60" w:after="60"/>
              <w:jc w:val="left"/>
            </w:pPr>
            <w:r>
              <w:t>NR</w:t>
            </w:r>
          </w:p>
        </w:tc>
        <w:tc>
          <w:tcPr>
            <w:tcW w:w="1496" w:type="pct"/>
            <w:shd w:val="clear" w:color="auto" w:fill="auto"/>
            <w:vAlign w:val="center"/>
          </w:tcPr>
          <w:p w14:paraId="2EEA5A45" w14:textId="77777777" w:rsidR="00BE5F78" w:rsidRDefault="00BE5F78" w:rsidP="007C6179">
            <w:pPr>
              <w:pStyle w:val="TableText0"/>
              <w:keepNext w:val="0"/>
              <w:spacing w:before="60" w:after="60"/>
              <w:jc w:val="left"/>
              <w:rPr>
                <w:snapToGrid w:val="0"/>
              </w:rPr>
            </w:pPr>
            <w:r>
              <w:rPr>
                <w:snapToGrid w:val="0"/>
              </w:rPr>
              <w:t>NR</w:t>
            </w:r>
          </w:p>
        </w:tc>
      </w:tr>
      <w:tr w:rsidR="00BE5F78" w:rsidRPr="00183E4D" w14:paraId="5E01B494" w14:textId="77777777" w:rsidTr="0096107C">
        <w:tc>
          <w:tcPr>
            <w:tcW w:w="1215" w:type="pct"/>
            <w:shd w:val="clear" w:color="auto" w:fill="auto"/>
            <w:vAlign w:val="bottom"/>
          </w:tcPr>
          <w:p w14:paraId="64DB2831" w14:textId="77777777" w:rsidR="00BE5F78" w:rsidRDefault="00BE5F78" w:rsidP="00046EA7">
            <w:pPr>
              <w:pStyle w:val="TableText0"/>
              <w:keepNext w:val="0"/>
              <w:spacing w:before="60" w:after="60"/>
              <w:rPr>
                <w:snapToGrid w:val="0"/>
              </w:rPr>
            </w:pPr>
            <w:r>
              <w:rPr>
                <w:snapToGrid w:val="0"/>
              </w:rPr>
              <w:t>Lu et al (2015b)</w:t>
            </w:r>
          </w:p>
        </w:tc>
        <w:tc>
          <w:tcPr>
            <w:tcW w:w="792" w:type="pct"/>
            <w:shd w:val="clear" w:color="auto" w:fill="auto"/>
            <w:vAlign w:val="center"/>
          </w:tcPr>
          <w:p w14:paraId="46A1CE9F" w14:textId="77777777" w:rsidR="00BE5F78" w:rsidRDefault="00BE5F78" w:rsidP="007C6179">
            <w:pPr>
              <w:pStyle w:val="TableText0"/>
              <w:keepNext w:val="0"/>
              <w:spacing w:before="60" w:after="60"/>
              <w:jc w:val="left"/>
              <w:rPr>
                <w:snapToGrid w:val="0"/>
              </w:rPr>
            </w:pPr>
            <w:r>
              <w:rPr>
                <w:snapToGrid w:val="0"/>
              </w:rPr>
              <w:t>35 (67)</w:t>
            </w:r>
          </w:p>
        </w:tc>
        <w:tc>
          <w:tcPr>
            <w:tcW w:w="1496" w:type="pct"/>
            <w:shd w:val="clear" w:color="auto" w:fill="auto"/>
            <w:vAlign w:val="center"/>
          </w:tcPr>
          <w:p w14:paraId="4880760A" w14:textId="77777777" w:rsidR="00BE5F78" w:rsidRDefault="00BE5F78" w:rsidP="007C6179">
            <w:pPr>
              <w:pStyle w:val="TableText0"/>
              <w:keepNext w:val="0"/>
              <w:spacing w:before="60" w:after="60"/>
              <w:jc w:val="left"/>
            </w:pPr>
            <w:r>
              <w:t>NR</w:t>
            </w:r>
          </w:p>
        </w:tc>
        <w:tc>
          <w:tcPr>
            <w:tcW w:w="1496" w:type="pct"/>
            <w:shd w:val="clear" w:color="auto" w:fill="auto"/>
            <w:vAlign w:val="center"/>
          </w:tcPr>
          <w:p w14:paraId="033D3407" w14:textId="77777777" w:rsidR="00BE5F78" w:rsidRPr="00650257" w:rsidRDefault="00BE5F78" w:rsidP="007C6179">
            <w:pPr>
              <w:pStyle w:val="TableText0"/>
              <w:keepNext w:val="0"/>
              <w:spacing w:before="60" w:after="60"/>
              <w:jc w:val="left"/>
              <w:rPr>
                <w:snapToGrid w:val="0"/>
              </w:rPr>
            </w:pPr>
            <w:r>
              <w:rPr>
                <w:snapToGrid w:val="0"/>
              </w:rPr>
              <w:t>NR</w:t>
            </w:r>
          </w:p>
        </w:tc>
      </w:tr>
      <w:tr w:rsidR="00BE5F78" w:rsidRPr="00183E4D" w14:paraId="51F8867E" w14:textId="77777777" w:rsidTr="0096107C">
        <w:tc>
          <w:tcPr>
            <w:tcW w:w="1215" w:type="pct"/>
            <w:shd w:val="clear" w:color="auto" w:fill="auto"/>
            <w:vAlign w:val="bottom"/>
          </w:tcPr>
          <w:p w14:paraId="027968EA" w14:textId="77777777" w:rsidR="00BE5F78" w:rsidRDefault="00BE5F78" w:rsidP="00046EA7">
            <w:pPr>
              <w:pStyle w:val="TableText0"/>
              <w:keepNext w:val="0"/>
              <w:spacing w:before="60" w:after="60"/>
              <w:rPr>
                <w:snapToGrid w:val="0"/>
              </w:rPr>
            </w:pPr>
            <w:r>
              <w:rPr>
                <w:snapToGrid w:val="0"/>
              </w:rPr>
              <w:t>Matsui et al (2015)</w:t>
            </w:r>
          </w:p>
        </w:tc>
        <w:tc>
          <w:tcPr>
            <w:tcW w:w="792" w:type="pct"/>
            <w:shd w:val="clear" w:color="auto" w:fill="auto"/>
            <w:vAlign w:val="center"/>
          </w:tcPr>
          <w:p w14:paraId="06BA86A5" w14:textId="77777777" w:rsidR="00BE5F78" w:rsidRDefault="00BE5F78" w:rsidP="007C6179">
            <w:pPr>
              <w:pStyle w:val="TableText0"/>
              <w:keepNext w:val="0"/>
              <w:spacing w:before="60" w:after="60"/>
              <w:jc w:val="left"/>
              <w:rPr>
                <w:snapToGrid w:val="0"/>
              </w:rPr>
            </w:pPr>
            <w:r>
              <w:rPr>
                <w:snapToGrid w:val="0"/>
              </w:rPr>
              <w:t>84 (172)</w:t>
            </w:r>
          </w:p>
        </w:tc>
        <w:tc>
          <w:tcPr>
            <w:tcW w:w="1496" w:type="pct"/>
            <w:shd w:val="clear" w:color="auto" w:fill="auto"/>
            <w:vAlign w:val="center"/>
          </w:tcPr>
          <w:p w14:paraId="3CCC0CCF" w14:textId="1E5AEB76" w:rsidR="00BE5F78" w:rsidRDefault="00BE5F78" w:rsidP="007C6179">
            <w:pPr>
              <w:pStyle w:val="TableText0"/>
              <w:keepNext w:val="0"/>
              <w:spacing w:before="60" w:after="60"/>
              <w:jc w:val="left"/>
            </w:pPr>
            <w:r>
              <w:t>8 ± 8 months (</w:t>
            </w:r>
            <w:r w:rsidR="006C65B7">
              <w:t>3</w:t>
            </w:r>
            <w:r w:rsidR="00D35E9C">
              <w:t>–</w:t>
            </w:r>
            <w:r w:rsidRPr="00B41204">
              <w:t>4</w:t>
            </w:r>
            <w:r w:rsidR="006C65B7">
              <w:t>4</w:t>
            </w:r>
            <w:r w:rsidRPr="00B41204">
              <w:t>)</w:t>
            </w:r>
          </w:p>
        </w:tc>
        <w:tc>
          <w:tcPr>
            <w:tcW w:w="1496" w:type="pct"/>
            <w:shd w:val="clear" w:color="auto" w:fill="auto"/>
            <w:vAlign w:val="center"/>
          </w:tcPr>
          <w:p w14:paraId="7B1439C0" w14:textId="77777777" w:rsidR="00BE5F78" w:rsidRDefault="00BE5F78" w:rsidP="007C6179">
            <w:pPr>
              <w:pStyle w:val="TableText0"/>
              <w:keepNext w:val="0"/>
              <w:spacing w:before="60" w:after="60"/>
              <w:jc w:val="left"/>
              <w:rPr>
                <w:snapToGrid w:val="0"/>
              </w:rPr>
            </w:pPr>
            <w:r>
              <w:rPr>
                <w:snapToGrid w:val="0"/>
              </w:rPr>
              <w:t>18/84 (21)</w:t>
            </w:r>
          </w:p>
        </w:tc>
      </w:tr>
      <w:tr w:rsidR="00BE5F78" w:rsidRPr="00183E4D" w14:paraId="54B0EFBA" w14:textId="77777777" w:rsidTr="0096107C">
        <w:tc>
          <w:tcPr>
            <w:tcW w:w="1215" w:type="pct"/>
            <w:shd w:val="clear" w:color="auto" w:fill="auto"/>
            <w:vAlign w:val="bottom"/>
          </w:tcPr>
          <w:p w14:paraId="464C6079" w14:textId="77777777" w:rsidR="00BE5F78" w:rsidRDefault="00BE5F78" w:rsidP="00046EA7">
            <w:pPr>
              <w:pStyle w:val="TableText0"/>
              <w:keepNext w:val="0"/>
              <w:spacing w:before="60" w:after="60"/>
              <w:rPr>
                <w:snapToGrid w:val="0"/>
              </w:rPr>
            </w:pPr>
            <w:r>
              <w:rPr>
                <w:snapToGrid w:val="0"/>
              </w:rPr>
              <w:lastRenderedPageBreak/>
              <w:t>Von Meyenfeldt et al (2011)</w:t>
            </w:r>
          </w:p>
        </w:tc>
        <w:tc>
          <w:tcPr>
            <w:tcW w:w="792" w:type="pct"/>
            <w:shd w:val="clear" w:color="auto" w:fill="auto"/>
            <w:vAlign w:val="center"/>
          </w:tcPr>
          <w:p w14:paraId="7B1DCD7B" w14:textId="77777777" w:rsidR="00BE5F78" w:rsidRDefault="00BE5F78" w:rsidP="007C6179">
            <w:pPr>
              <w:pStyle w:val="TableText0"/>
              <w:keepNext w:val="0"/>
              <w:spacing w:before="60" w:after="60"/>
              <w:jc w:val="left"/>
              <w:rPr>
                <w:snapToGrid w:val="0"/>
              </w:rPr>
            </w:pPr>
            <w:r>
              <w:rPr>
                <w:snapToGrid w:val="0"/>
              </w:rPr>
              <w:t>46 (90)</w:t>
            </w:r>
          </w:p>
        </w:tc>
        <w:tc>
          <w:tcPr>
            <w:tcW w:w="1496" w:type="pct"/>
            <w:shd w:val="clear" w:color="auto" w:fill="auto"/>
            <w:vAlign w:val="center"/>
          </w:tcPr>
          <w:p w14:paraId="4160EB7C" w14:textId="43AD8654" w:rsidR="00BE5F78" w:rsidRDefault="00BE5F78" w:rsidP="007C6179">
            <w:pPr>
              <w:pStyle w:val="TableText0"/>
              <w:keepNext w:val="0"/>
              <w:spacing w:before="60" w:after="60"/>
              <w:jc w:val="left"/>
            </w:pPr>
            <w:r w:rsidRPr="00B41204">
              <w:t>4 months (95% CI 2.7</w:t>
            </w:r>
            <w:r w:rsidR="00D35E9C">
              <w:t>–</w:t>
            </w:r>
            <w:r w:rsidRPr="00B41204">
              <w:t>5.3)</w:t>
            </w:r>
            <w:r w:rsidR="00F829C6">
              <w:rPr>
                <w:vertAlign w:val="superscript"/>
              </w:rPr>
              <w:t>b</w:t>
            </w:r>
          </w:p>
        </w:tc>
        <w:tc>
          <w:tcPr>
            <w:tcW w:w="1496" w:type="pct"/>
            <w:shd w:val="clear" w:color="auto" w:fill="auto"/>
            <w:vAlign w:val="center"/>
          </w:tcPr>
          <w:p w14:paraId="3E36BB01" w14:textId="77777777" w:rsidR="00BE5F78" w:rsidRDefault="00BE5F78" w:rsidP="007C6179">
            <w:pPr>
              <w:pStyle w:val="TableText0"/>
              <w:keepNext w:val="0"/>
              <w:spacing w:before="60" w:after="60"/>
              <w:jc w:val="left"/>
              <w:rPr>
                <w:snapToGrid w:val="0"/>
              </w:rPr>
            </w:pPr>
            <w:r>
              <w:rPr>
                <w:snapToGrid w:val="0"/>
              </w:rPr>
              <w:t>25/90 (28)</w:t>
            </w:r>
          </w:p>
        </w:tc>
      </w:tr>
      <w:tr w:rsidR="00BE5F78" w:rsidRPr="00183E4D" w14:paraId="78FA4C5C" w14:textId="77777777" w:rsidTr="0096107C">
        <w:tc>
          <w:tcPr>
            <w:tcW w:w="1215" w:type="pct"/>
            <w:shd w:val="clear" w:color="auto" w:fill="auto"/>
            <w:vAlign w:val="bottom"/>
          </w:tcPr>
          <w:p w14:paraId="22E98EA9" w14:textId="77777777" w:rsidR="00BE5F78" w:rsidRDefault="00BE5F78" w:rsidP="00046EA7">
            <w:pPr>
              <w:pStyle w:val="TableText0"/>
              <w:keepNext w:val="0"/>
              <w:spacing w:before="60" w:after="60"/>
              <w:rPr>
                <w:snapToGrid w:val="0"/>
              </w:rPr>
            </w:pPr>
            <w:r>
              <w:rPr>
                <w:snapToGrid w:val="0"/>
              </w:rPr>
              <w:t>Yan et al (2006)</w:t>
            </w:r>
          </w:p>
        </w:tc>
        <w:tc>
          <w:tcPr>
            <w:tcW w:w="792" w:type="pct"/>
            <w:shd w:val="clear" w:color="auto" w:fill="auto"/>
            <w:vAlign w:val="center"/>
          </w:tcPr>
          <w:p w14:paraId="7512A5EF" w14:textId="77777777" w:rsidR="00BE5F78" w:rsidRDefault="00BE5F78" w:rsidP="007C6179">
            <w:pPr>
              <w:pStyle w:val="TableText0"/>
              <w:keepNext w:val="0"/>
              <w:spacing w:before="60" w:after="60"/>
              <w:jc w:val="left"/>
              <w:rPr>
                <w:snapToGrid w:val="0"/>
              </w:rPr>
            </w:pPr>
            <w:r>
              <w:rPr>
                <w:snapToGrid w:val="0"/>
              </w:rPr>
              <w:t>55 (NR)</w:t>
            </w:r>
          </w:p>
        </w:tc>
        <w:tc>
          <w:tcPr>
            <w:tcW w:w="1496" w:type="pct"/>
            <w:shd w:val="clear" w:color="auto" w:fill="auto"/>
            <w:vAlign w:val="center"/>
          </w:tcPr>
          <w:p w14:paraId="6774B908" w14:textId="71F3A870" w:rsidR="00BE5F78" w:rsidRPr="00B41204" w:rsidRDefault="00BE5F78" w:rsidP="007C6179">
            <w:pPr>
              <w:pStyle w:val="TableText0"/>
              <w:keepNext w:val="0"/>
              <w:spacing w:before="60" w:after="60"/>
              <w:jc w:val="left"/>
            </w:pPr>
            <w:r>
              <w:t>15 (3</w:t>
            </w:r>
            <w:r w:rsidR="00D35E9C">
              <w:t>–</w:t>
            </w:r>
            <w:r>
              <w:t>40) months</w:t>
            </w:r>
            <w:r w:rsidR="00F829C6">
              <w:rPr>
                <w:vertAlign w:val="superscript"/>
              </w:rPr>
              <w:t>b</w:t>
            </w:r>
          </w:p>
        </w:tc>
        <w:tc>
          <w:tcPr>
            <w:tcW w:w="1496" w:type="pct"/>
            <w:shd w:val="clear" w:color="auto" w:fill="auto"/>
            <w:vAlign w:val="center"/>
          </w:tcPr>
          <w:p w14:paraId="03EB67D0" w14:textId="77777777" w:rsidR="00BE5F78" w:rsidRDefault="00BE5F78" w:rsidP="007C6179">
            <w:pPr>
              <w:pStyle w:val="TableText0"/>
              <w:keepNext w:val="0"/>
              <w:spacing w:before="60" w:after="60"/>
              <w:jc w:val="left"/>
              <w:rPr>
                <w:snapToGrid w:val="0"/>
              </w:rPr>
            </w:pPr>
            <w:r>
              <w:rPr>
                <w:snapToGrid w:val="0"/>
              </w:rPr>
              <w:t>NR</w:t>
            </w:r>
          </w:p>
        </w:tc>
      </w:tr>
      <w:tr w:rsidR="00BE5F78" w:rsidRPr="005650EE" w14:paraId="45E3465E" w14:textId="77777777" w:rsidTr="0096107C">
        <w:tc>
          <w:tcPr>
            <w:tcW w:w="1215" w:type="pct"/>
            <w:shd w:val="clear" w:color="auto" w:fill="auto"/>
            <w:vAlign w:val="center"/>
          </w:tcPr>
          <w:p w14:paraId="35504F4C" w14:textId="77777777" w:rsidR="00BE5F78" w:rsidRPr="00183E4D" w:rsidRDefault="00BE5F78" w:rsidP="00046EA7">
            <w:pPr>
              <w:pStyle w:val="TableText0"/>
              <w:keepNext w:val="0"/>
              <w:spacing w:before="60" w:after="60"/>
              <w:rPr>
                <w:snapToGrid w:val="0"/>
              </w:rPr>
            </w:pPr>
            <w:r>
              <w:rPr>
                <w:snapToGrid w:val="0"/>
              </w:rPr>
              <w:t>Pooled analysis</w:t>
            </w:r>
          </w:p>
        </w:tc>
        <w:tc>
          <w:tcPr>
            <w:tcW w:w="792" w:type="pct"/>
            <w:tcBorders>
              <w:bottom w:val="single" w:sz="4" w:space="0" w:color="auto"/>
            </w:tcBorders>
            <w:shd w:val="clear" w:color="auto" w:fill="auto"/>
            <w:vAlign w:val="center"/>
          </w:tcPr>
          <w:p w14:paraId="64FEE369" w14:textId="77777777" w:rsidR="00BE5F78" w:rsidRPr="00183E4D" w:rsidRDefault="00BE5F78" w:rsidP="007C6179">
            <w:pPr>
              <w:pStyle w:val="TableText0"/>
              <w:keepNext w:val="0"/>
              <w:spacing w:before="60" w:after="60"/>
              <w:jc w:val="left"/>
              <w:rPr>
                <w:snapToGrid w:val="0"/>
                <w:highlight w:val="cyan"/>
              </w:rPr>
            </w:pPr>
            <w:r w:rsidRPr="00DB48B4">
              <w:rPr>
                <w:snapToGrid w:val="0"/>
              </w:rPr>
              <w:t>997 (1828)</w:t>
            </w:r>
          </w:p>
        </w:tc>
        <w:tc>
          <w:tcPr>
            <w:tcW w:w="1496" w:type="pct"/>
            <w:tcBorders>
              <w:left w:val="nil"/>
              <w:bottom w:val="single" w:sz="4" w:space="0" w:color="auto"/>
            </w:tcBorders>
            <w:shd w:val="clear" w:color="auto" w:fill="auto"/>
            <w:vAlign w:val="center"/>
          </w:tcPr>
          <w:p w14:paraId="216713F4" w14:textId="106FB5F6" w:rsidR="00BE5F78" w:rsidRDefault="00BE5F78" w:rsidP="007C6179">
            <w:pPr>
              <w:pStyle w:val="TableText0"/>
              <w:keepNext w:val="0"/>
              <w:spacing w:before="60" w:after="60"/>
              <w:jc w:val="left"/>
              <w:rPr>
                <w:snapToGrid w:val="0"/>
              </w:rPr>
            </w:pPr>
            <w:r w:rsidRPr="004B405C">
              <w:rPr>
                <w:snapToGrid w:val="0"/>
              </w:rPr>
              <w:t>Median 12 (</w:t>
            </w:r>
            <w:r w:rsidR="00033C31">
              <w:rPr>
                <w:snapToGrid w:val="0"/>
              </w:rPr>
              <w:t>4</w:t>
            </w:r>
            <w:r w:rsidR="00D35E9C">
              <w:rPr>
                <w:snapToGrid w:val="0"/>
              </w:rPr>
              <w:t>–</w:t>
            </w:r>
            <w:r w:rsidRPr="004B405C">
              <w:rPr>
                <w:snapToGrid w:val="0"/>
              </w:rPr>
              <w:t>15)</w:t>
            </w:r>
            <w:r>
              <w:rPr>
                <w:snapToGrid w:val="0"/>
              </w:rPr>
              <w:t xml:space="preserve"> </w:t>
            </w:r>
            <w:r w:rsidRPr="004B405C">
              <w:rPr>
                <w:snapToGrid w:val="0"/>
              </w:rPr>
              <w:t>months</w:t>
            </w:r>
          </w:p>
          <w:p w14:paraId="0A754532" w14:textId="77777777" w:rsidR="00BE5F78" w:rsidRDefault="00BE5F78" w:rsidP="007C6179">
            <w:pPr>
              <w:pStyle w:val="TableText0"/>
              <w:keepNext w:val="0"/>
              <w:spacing w:before="60" w:after="60"/>
              <w:jc w:val="left"/>
              <w:rPr>
                <w:snapToGrid w:val="0"/>
              </w:rPr>
            </w:pPr>
            <w:r>
              <w:rPr>
                <w:snapToGrid w:val="0"/>
              </w:rPr>
              <w:t>Quality of the evidence</w:t>
            </w:r>
          </w:p>
          <w:p w14:paraId="4FEC4290" w14:textId="77777777" w:rsidR="00BE5F78" w:rsidRDefault="00BE5F78" w:rsidP="007C6179">
            <w:pPr>
              <w:pStyle w:val="TableText0"/>
              <w:keepNext w:val="0"/>
              <w:spacing w:before="60" w:after="60"/>
              <w:ind w:left="16" w:right="117"/>
              <w:jc w:val="left"/>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35C27F61" w14:textId="77777777" w:rsidR="00BE5F78" w:rsidRPr="00C62F37" w:rsidRDefault="00BE5F78" w:rsidP="007C6179">
            <w:pPr>
              <w:pStyle w:val="TableText0"/>
              <w:keepNext w:val="0"/>
              <w:spacing w:before="60" w:after="60"/>
              <w:ind w:left="16" w:right="117"/>
              <w:jc w:val="left"/>
              <w:rPr>
                <w:rFonts w:ascii="MS Mincho" w:eastAsia="MS Mincho" w:hAnsi="MS Mincho" w:cs="MS Mincho"/>
                <w:b/>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1496" w:type="pct"/>
            <w:tcBorders>
              <w:bottom w:val="single" w:sz="4" w:space="0" w:color="auto"/>
            </w:tcBorders>
            <w:shd w:val="clear" w:color="auto" w:fill="auto"/>
            <w:vAlign w:val="center"/>
          </w:tcPr>
          <w:p w14:paraId="019D89C1" w14:textId="4606990F" w:rsidR="00BE5F78" w:rsidRDefault="00BE5F78" w:rsidP="007C6179">
            <w:pPr>
              <w:pStyle w:val="TableText0"/>
              <w:keepNext w:val="0"/>
              <w:spacing w:before="60" w:after="60"/>
              <w:jc w:val="left"/>
              <w:rPr>
                <w:snapToGrid w:val="0"/>
              </w:rPr>
            </w:pPr>
            <w:r>
              <w:rPr>
                <w:snapToGrid w:val="0"/>
              </w:rPr>
              <w:t>Median 15%</w:t>
            </w:r>
            <w:r w:rsidR="00E73152">
              <w:rPr>
                <w:snapToGrid w:val="0"/>
              </w:rPr>
              <w:t xml:space="preserve"> (12</w:t>
            </w:r>
            <w:r w:rsidR="00D35E9C">
              <w:rPr>
                <w:snapToGrid w:val="0"/>
              </w:rPr>
              <w:t>–</w:t>
            </w:r>
            <w:r>
              <w:rPr>
                <w:snapToGrid w:val="0"/>
              </w:rPr>
              <w:t>28)</w:t>
            </w:r>
          </w:p>
          <w:p w14:paraId="13BA589B" w14:textId="77777777" w:rsidR="00BE5F78" w:rsidRDefault="00BE5F78" w:rsidP="007C6179">
            <w:pPr>
              <w:pStyle w:val="TableText0"/>
              <w:keepNext w:val="0"/>
              <w:spacing w:before="60" w:after="60"/>
              <w:jc w:val="left"/>
              <w:rPr>
                <w:snapToGrid w:val="0"/>
              </w:rPr>
            </w:pPr>
            <w:r>
              <w:rPr>
                <w:snapToGrid w:val="0"/>
              </w:rPr>
              <w:t>Quality of the evidence</w:t>
            </w:r>
          </w:p>
          <w:p w14:paraId="6EE5DB38" w14:textId="77777777" w:rsidR="00BE5F78" w:rsidRDefault="00BE5F78" w:rsidP="007C6179">
            <w:pPr>
              <w:pStyle w:val="TableText0"/>
              <w:keepNext w:val="0"/>
              <w:spacing w:before="60" w:after="60"/>
              <w:ind w:left="16" w:right="117"/>
              <w:jc w:val="left"/>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0317DF6F" w14:textId="77777777" w:rsidR="00BE5F78" w:rsidRPr="00C62F37" w:rsidRDefault="00BE5F78" w:rsidP="007C6179">
            <w:pPr>
              <w:pStyle w:val="TableText0"/>
              <w:keepNext w:val="0"/>
              <w:spacing w:before="60" w:after="60"/>
              <w:ind w:left="16" w:right="117"/>
              <w:jc w:val="left"/>
              <w:rPr>
                <w:rFonts w:ascii="MS Mincho" w:eastAsia="MS Mincho" w:hAnsi="MS Mincho" w:cs="MS Mincho"/>
                <w:b/>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r>
      <w:tr w:rsidR="0096107C" w:rsidRPr="00183E4D" w14:paraId="50A19A0E" w14:textId="77777777" w:rsidTr="0096107C">
        <w:tc>
          <w:tcPr>
            <w:tcW w:w="1215" w:type="pct"/>
            <w:tcBorders>
              <w:right w:val="nil"/>
            </w:tcBorders>
            <w:shd w:val="clear" w:color="auto" w:fill="D9D9D9" w:themeFill="background1" w:themeFillShade="D9"/>
            <w:vAlign w:val="center"/>
          </w:tcPr>
          <w:p w14:paraId="3B0F61F6" w14:textId="77777777" w:rsidR="00BE5F78" w:rsidRPr="00183E4D" w:rsidRDefault="00BE5F78" w:rsidP="00046EA7">
            <w:pPr>
              <w:pStyle w:val="TableHeading"/>
              <w:keepNext w:val="0"/>
              <w:spacing w:before="60" w:after="60"/>
              <w:rPr>
                <w:snapToGrid w:val="0"/>
                <w:lang w:eastAsia="en-US"/>
              </w:rPr>
            </w:pPr>
            <w:r>
              <w:rPr>
                <w:snapToGrid w:val="0"/>
                <w:lang w:eastAsia="en-US"/>
              </w:rPr>
              <w:t>Radiotherapy</w:t>
            </w:r>
          </w:p>
        </w:tc>
        <w:tc>
          <w:tcPr>
            <w:tcW w:w="792" w:type="pct"/>
            <w:tcBorders>
              <w:left w:val="nil"/>
              <w:right w:val="nil"/>
            </w:tcBorders>
            <w:shd w:val="clear" w:color="auto" w:fill="D9D9D9" w:themeFill="background1" w:themeFillShade="D9"/>
            <w:vAlign w:val="center"/>
          </w:tcPr>
          <w:p w14:paraId="582DF4BB" w14:textId="77777777" w:rsidR="00BE5F78" w:rsidRPr="00183E4D" w:rsidRDefault="00BE5F78" w:rsidP="007C6179">
            <w:pPr>
              <w:pStyle w:val="TableHeading"/>
              <w:keepNext w:val="0"/>
              <w:spacing w:before="60" w:after="60"/>
              <w:jc w:val="left"/>
              <w:rPr>
                <w:snapToGrid w:val="0"/>
                <w:lang w:eastAsia="en-US"/>
              </w:rPr>
            </w:pPr>
          </w:p>
        </w:tc>
        <w:tc>
          <w:tcPr>
            <w:tcW w:w="1496" w:type="pct"/>
            <w:tcBorders>
              <w:left w:val="nil"/>
              <w:right w:val="nil"/>
            </w:tcBorders>
            <w:shd w:val="clear" w:color="auto" w:fill="D9D9D9" w:themeFill="background1" w:themeFillShade="D9"/>
            <w:vAlign w:val="center"/>
          </w:tcPr>
          <w:p w14:paraId="76128604" w14:textId="77777777" w:rsidR="00BE5F78" w:rsidRPr="009270B7" w:rsidRDefault="00BE5F78" w:rsidP="007C6179">
            <w:pPr>
              <w:pStyle w:val="TableHeading"/>
              <w:keepNext w:val="0"/>
              <w:spacing w:before="60" w:after="60"/>
              <w:jc w:val="left"/>
              <w:rPr>
                <w:snapToGrid w:val="0"/>
                <w:lang w:eastAsia="en-US"/>
              </w:rPr>
            </w:pPr>
          </w:p>
        </w:tc>
        <w:tc>
          <w:tcPr>
            <w:tcW w:w="1496" w:type="pct"/>
            <w:tcBorders>
              <w:left w:val="nil"/>
            </w:tcBorders>
            <w:shd w:val="clear" w:color="auto" w:fill="D9D9D9" w:themeFill="background1" w:themeFillShade="D9"/>
            <w:vAlign w:val="center"/>
          </w:tcPr>
          <w:p w14:paraId="3FAC50B9" w14:textId="77777777" w:rsidR="00BE5F78" w:rsidRPr="00183E4D" w:rsidRDefault="00BE5F78" w:rsidP="007C6179">
            <w:pPr>
              <w:pStyle w:val="TableHeading"/>
              <w:keepNext w:val="0"/>
              <w:spacing w:before="60" w:after="60"/>
              <w:jc w:val="left"/>
              <w:rPr>
                <w:snapToGrid w:val="0"/>
                <w:lang w:eastAsia="en-US"/>
              </w:rPr>
            </w:pPr>
          </w:p>
        </w:tc>
      </w:tr>
      <w:tr w:rsidR="00BE5F78" w:rsidRPr="00183E4D" w14:paraId="24F55A58" w14:textId="77777777" w:rsidTr="0096107C">
        <w:tc>
          <w:tcPr>
            <w:tcW w:w="1215" w:type="pct"/>
            <w:shd w:val="clear" w:color="auto" w:fill="auto"/>
            <w:vAlign w:val="bottom"/>
          </w:tcPr>
          <w:p w14:paraId="629FE48C" w14:textId="77777777" w:rsidR="00BE5F78" w:rsidRPr="00ED11EF" w:rsidRDefault="00BE5F78" w:rsidP="00046EA7">
            <w:pPr>
              <w:pStyle w:val="TableText0"/>
              <w:keepNext w:val="0"/>
              <w:spacing w:before="60" w:after="60"/>
              <w:rPr>
                <w:snapToGrid w:val="0"/>
              </w:rPr>
            </w:pPr>
            <w:r>
              <w:rPr>
                <w:snapToGrid w:val="0"/>
              </w:rPr>
              <w:t>Agolli et al (2015)</w:t>
            </w:r>
          </w:p>
        </w:tc>
        <w:tc>
          <w:tcPr>
            <w:tcW w:w="792" w:type="pct"/>
            <w:shd w:val="clear" w:color="auto" w:fill="auto"/>
            <w:vAlign w:val="center"/>
          </w:tcPr>
          <w:p w14:paraId="2B0FCA6B" w14:textId="77777777" w:rsidR="00BE5F78" w:rsidRDefault="00BE5F78" w:rsidP="007C6179">
            <w:pPr>
              <w:pStyle w:val="TableText0"/>
              <w:keepNext w:val="0"/>
              <w:spacing w:before="60" w:after="60"/>
              <w:jc w:val="left"/>
              <w:rPr>
                <w:snapToGrid w:val="0"/>
              </w:rPr>
            </w:pPr>
            <w:r>
              <w:rPr>
                <w:snapToGrid w:val="0"/>
              </w:rPr>
              <w:t>22 (29)</w:t>
            </w:r>
          </w:p>
        </w:tc>
        <w:tc>
          <w:tcPr>
            <w:tcW w:w="1496" w:type="pct"/>
            <w:shd w:val="clear" w:color="auto" w:fill="auto"/>
            <w:vAlign w:val="center"/>
          </w:tcPr>
          <w:p w14:paraId="17D53281" w14:textId="77777777" w:rsidR="00BE5F78" w:rsidRPr="00ED11EF" w:rsidRDefault="00BE5F78" w:rsidP="007C6179">
            <w:pPr>
              <w:pStyle w:val="TableText0"/>
              <w:keepNext w:val="0"/>
              <w:spacing w:before="60" w:after="60"/>
              <w:jc w:val="left"/>
            </w:pPr>
            <w:r>
              <w:t>18 (NR) months</w:t>
            </w:r>
          </w:p>
        </w:tc>
        <w:tc>
          <w:tcPr>
            <w:tcW w:w="1496" w:type="pct"/>
            <w:shd w:val="clear" w:color="auto" w:fill="auto"/>
            <w:vAlign w:val="center"/>
          </w:tcPr>
          <w:p w14:paraId="68FF4B37" w14:textId="77777777" w:rsidR="00BE5F78" w:rsidRDefault="00BE5F78" w:rsidP="007C6179">
            <w:pPr>
              <w:pStyle w:val="TableText0"/>
              <w:keepNext w:val="0"/>
              <w:spacing w:before="60" w:after="60"/>
              <w:jc w:val="left"/>
              <w:rPr>
                <w:snapToGrid w:val="0"/>
              </w:rPr>
            </w:pPr>
            <w:r>
              <w:rPr>
                <w:snapToGrid w:val="0"/>
              </w:rPr>
              <w:t>4/22 (18</w:t>
            </w:r>
            <w:r w:rsidRPr="00650257">
              <w:rPr>
                <w:snapToGrid w:val="0"/>
              </w:rPr>
              <w:t>)</w:t>
            </w:r>
          </w:p>
        </w:tc>
      </w:tr>
      <w:tr w:rsidR="00BE5F78" w:rsidRPr="00183E4D" w14:paraId="5FC1D605" w14:textId="77777777" w:rsidTr="0096107C">
        <w:tc>
          <w:tcPr>
            <w:tcW w:w="1215" w:type="pct"/>
            <w:shd w:val="clear" w:color="auto" w:fill="auto"/>
            <w:vAlign w:val="bottom"/>
          </w:tcPr>
          <w:p w14:paraId="7397A1E1" w14:textId="77777777" w:rsidR="00BE5F78" w:rsidRPr="00ED11EF" w:rsidRDefault="00BE5F78" w:rsidP="00046EA7">
            <w:pPr>
              <w:pStyle w:val="TableText0"/>
              <w:keepNext w:val="0"/>
              <w:spacing w:before="60" w:after="60"/>
              <w:rPr>
                <w:snapToGrid w:val="0"/>
              </w:rPr>
            </w:pPr>
            <w:r>
              <w:rPr>
                <w:snapToGrid w:val="0"/>
              </w:rPr>
              <w:t>Fillipi et al (2015)</w:t>
            </w:r>
          </w:p>
        </w:tc>
        <w:tc>
          <w:tcPr>
            <w:tcW w:w="792" w:type="pct"/>
            <w:shd w:val="clear" w:color="auto" w:fill="auto"/>
            <w:vAlign w:val="center"/>
          </w:tcPr>
          <w:p w14:paraId="1B2A329F" w14:textId="77777777" w:rsidR="00BE5F78" w:rsidRDefault="00BE5F78" w:rsidP="007C6179">
            <w:pPr>
              <w:pStyle w:val="TableText0"/>
              <w:keepNext w:val="0"/>
              <w:spacing w:before="60" w:after="60"/>
              <w:jc w:val="left"/>
              <w:rPr>
                <w:snapToGrid w:val="0"/>
              </w:rPr>
            </w:pPr>
            <w:r>
              <w:rPr>
                <w:snapToGrid w:val="0"/>
              </w:rPr>
              <w:t>40 (59)</w:t>
            </w:r>
          </w:p>
        </w:tc>
        <w:tc>
          <w:tcPr>
            <w:tcW w:w="1496" w:type="pct"/>
            <w:shd w:val="clear" w:color="auto" w:fill="auto"/>
            <w:vAlign w:val="center"/>
          </w:tcPr>
          <w:p w14:paraId="3CE4B73B" w14:textId="77777777" w:rsidR="00BE5F78" w:rsidRPr="00ED11EF" w:rsidRDefault="00BE5F78" w:rsidP="007C6179">
            <w:pPr>
              <w:pStyle w:val="TableText0"/>
              <w:keepNext w:val="0"/>
              <w:spacing w:before="60" w:after="60"/>
              <w:jc w:val="left"/>
            </w:pPr>
            <w:r>
              <w:t>8 (NR) months</w:t>
            </w:r>
          </w:p>
        </w:tc>
        <w:tc>
          <w:tcPr>
            <w:tcW w:w="1496" w:type="pct"/>
            <w:shd w:val="clear" w:color="auto" w:fill="auto"/>
            <w:vAlign w:val="center"/>
          </w:tcPr>
          <w:p w14:paraId="2D56387D" w14:textId="77777777" w:rsidR="00BE5F78" w:rsidRPr="00A401AF" w:rsidRDefault="00BE5F78" w:rsidP="007C6179">
            <w:pPr>
              <w:pStyle w:val="TableText0"/>
              <w:keepNext w:val="0"/>
              <w:spacing w:before="60" w:after="60"/>
              <w:jc w:val="left"/>
              <w:rPr>
                <w:snapToGrid w:val="0"/>
                <w:vertAlign w:val="superscript"/>
              </w:rPr>
            </w:pPr>
            <w:r>
              <w:rPr>
                <w:snapToGrid w:val="0"/>
              </w:rPr>
              <w:t>3/40 (</w:t>
            </w:r>
            <w:r w:rsidR="007F76CB">
              <w:rPr>
                <w:snapToGrid w:val="0"/>
              </w:rPr>
              <w:t>8</w:t>
            </w:r>
            <w:r>
              <w:rPr>
                <w:snapToGrid w:val="0"/>
              </w:rPr>
              <w:t>)</w:t>
            </w:r>
            <w:r w:rsidR="00F829C6">
              <w:rPr>
                <w:snapToGrid w:val="0"/>
                <w:vertAlign w:val="superscript"/>
              </w:rPr>
              <w:t>c</w:t>
            </w:r>
          </w:p>
        </w:tc>
      </w:tr>
      <w:tr w:rsidR="00BE5F78" w:rsidRPr="00183E4D" w14:paraId="43CA9442" w14:textId="77777777" w:rsidTr="0096107C">
        <w:tc>
          <w:tcPr>
            <w:tcW w:w="1215" w:type="pct"/>
            <w:shd w:val="clear" w:color="auto" w:fill="auto"/>
            <w:vAlign w:val="bottom"/>
          </w:tcPr>
          <w:p w14:paraId="2A3C6A04" w14:textId="77777777" w:rsidR="00BE5F78" w:rsidRPr="00ED11EF" w:rsidRDefault="00BE5F78" w:rsidP="00046EA7">
            <w:pPr>
              <w:pStyle w:val="TableText0"/>
              <w:keepNext w:val="0"/>
              <w:spacing w:before="60" w:after="60"/>
              <w:rPr>
                <w:snapToGrid w:val="0"/>
              </w:rPr>
            </w:pPr>
            <w:r>
              <w:rPr>
                <w:snapToGrid w:val="0"/>
              </w:rPr>
              <w:t>Kim et al (2009)</w:t>
            </w:r>
          </w:p>
        </w:tc>
        <w:tc>
          <w:tcPr>
            <w:tcW w:w="792" w:type="pct"/>
            <w:shd w:val="clear" w:color="auto" w:fill="auto"/>
            <w:vAlign w:val="center"/>
          </w:tcPr>
          <w:p w14:paraId="6ABBDA04" w14:textId="77777777" w:rsidR="00BE5F78" w:rsidRDefault="00BE5F78" w:rsidP="007C6179">
            <w:pPr>
              <w:pStyle w:val="TableText0"/>
              <w:keepNext w:val="0"/>
              <w:spacing w:before="60" w:after="60"/>
              <w:jc w:val="left"/>
              <w:rPr>
                <w:snapToGrid w:val="0"/>
              </w:rPr>
            </w:pPr>
            <w:r>
              <w:rPr>
                <w:snapToGrid w:val="0"/>
              </w:rPr>
              <w:t>31 (134)</w:t>
            </w:r>
          </w:p>
        </w:tc>
        <w:tc>
          <w:tcPr>
            <w:tcW w:w="1496" w:type="pct"/>
            <w:shd w:val="clear" w:color="auto" w:fill="auto"/>
            <w:vAlign w:val="center"/>
          </w:tcPr>
          <w:p w14:paraId="43A7BEFE" w14:textId="77777777" w:rsidR="00BE5F78" w:rsidRPr="00ED11EF" w:rsidRDefault="00BE5F78" w:rsidP="007C6179">
            <w:pPr>
              <w:pStyle w:val="TableText0"/>
              <w:keepNext w:val="0"/>
              <w:spacing w:before="60" w:after="60"/>
              <w:jc w:val="left"/>
            </w:pPr>
            <w:r>
              <w:t>11 (SD 1.25) months</w:t>
            </w:r>
          </w:p>
        </w:tc>
        <w:tc>
          <w:tcPr>
            <w:tcW w:w="1496" w:type="pct"/>
            <w:shd w:val="clear" w:color="auto" w:fill="auto"/>
            <w:vAlign w:val="center"/>
          </w:tcPr>
          <w:p w14:paraId="1556F390" w14:textId="77777777" w:rsidR="00BE5F78" w:rsidRDefault="00BE5F78" w:rsidP="007C6179">
            <w:pPr>
              <w:pStyle w:val="TableText0"/>
              <w:keepNext w:val="0"/>
              <w:spacing w:before="60" w:after="60"/>
              <w:jc w:val="left"/>
              <w:rPr>
                <w:snapToGrid w:val="0"/>
              </w:rPr>
            </w:pPr>
            <w:r>
              <w:rPr>
                <w:snapToGrid w:val="0"/>
              </w:rPr>
              <w:t>3/31 (</w:t>
            </w:r>
            <w:r w:rsidR="007F76CB">
              <w:rPr>
                <w:snapToGrid w:val="0"/>
              </w:rPr>
              <w:t>10</w:t>
            </w:r>
            <w:r w:rsidRPr="00650257">
              <w:rPr>
                <w:snapToGrid w:val="0"/>
              </w:rPr>
              <w:t>)</w:t>
            </w:r>
          </w:p>
        </w:tc>
      </w:tr>
      <w:tr w:rsidR="00BE5F78" w:rsidRPr="00183E4D" w14:paraId="5D33922F" w14:textId="77777777" w:rsidTr="0096107C">
        <w:tc>
          <w:tcPr>
            <w:tcW w:w="1215" w:type="pct"/>
            <w:shd w:val="clear" w:color="auto" w:fill="auto"/>
            <w:vAlign w:val="bottom"/>
          </w:tcPr>
          <w:p w14:paraId="4DA6839D" w14:textId="77777777" w:rsidR="00BE5F78" w:rsidRDefault="00BE5F78" w:rsidP="00046EA7">
            <w:pPr>
              <w:pStyle w:val="TableText0"/>
              <w:keepNext w:val="0"/>
              <w:spacing w:before="60" w:after="60"/>
              <w:rPr>
                <w:snapToGrid w:val="0"/>
              </w:rPr>
            </w:pPr>
            <w:r>
              <w:rPr>
                <w:snapToGrid w:val="0"/>
              </w:rPr>
              <w:t>Navirra et al (2014)</w:t>
            </w:r>
          </w:p>
        </w:tc>
        <w:tc>
          <w:tcPr>
            <w:tcW w:w="792" w:type="pct"/>
            <w:shd w:val="clear" w:color="auto" w:fill="auto"/>
            <w:vAlign w:val="center"/>
          </w:tcPr>
          <w:p w14:paraId="0813FD7F" w14:textId="77777777" w:rsidR="00BE5F78" w:rsidRDefault="00BE5F78" w:rsidP="007C6179">
            <w:pPr>
              <w:pStyle w:val="TableText0"/>
              <w:keepNext w:val="0"/>
              <w:spacing w:before="60" w:after="60"/>
              <w:jc w:val="left"/>
              <w:rPr>
                <w:snapToGrid w:val="0"/>
              </w:rPr>
            </w:pPr>
            <w:r>
              <w:rPr>
                <w:snapToGrid w:val="0"/>
              </w:rPr>
              <w:t>76 (118)</w:t>
            </w:r>
          </w:p>
        </w:tc>
        <w:tc>
          <w:tcPr>
            <w:tcW w:w="1496" w:type="pct"/>
            <w:shd w:val="clear" w:color="auto" w:fill="auto"/>
            <w:vAlign w:val="center"/>
          </w:tcPr>
          <w:p w14:paraId="01F0B45A" w14:textId="2E86FD64" w:rsidR="00BE5F78" w:rsidRDefault="008F49FC" w:rsidP="007C6179">
            <w:pPr>
              <w:pStyle w:val="TableText0"/>
              <w:keepNext w:val="0"/>
              <w:spacing w:before="60" w:after="60"/>
              <w:jc w:val="left"/>
            </w:pPr>
            <w:r w:rsidRPr="008F49FC">
              <w:t>10 (range: 3</w:t>
            </w:r>
            <w:r w:rsidR="00D35E9C">
              <w:t>–</w:t>
            </w:r>
            <w:r w:rsidRPr="008F49FC">
              <w:t>19) months</w:t>
            </w:r>
          </w:p>
        </w:tc>
        <w:tc>
          <w:tcPr>
            <w:tcW w:w="1496" w:type="pct"/>
            <w:shd w:val="clear" w:color="auto" w:fill="auto"/>
            <w:vAlign w:val="center"/>
          </w:tcPr>
          <w:p w14:paraId="0A43918D" w14:textId="77777777" w:rsidR="00BE5F78" w:rsidRDefault="00BE5F78" w:rsidP="007C6179">
            <w:pPr>
              <w:pStyle w:val="TableText0"/>
              <w:keepNext w:val="0"/>
              <w:spacing w:before="60" w:after="60"/>
              <w:jc w:val="left"/>
              <w:rPr>
                <w:snapToGrid w:val="0"/>
              </w:rPr>
            </w:pPr>
            <w:r w:rsidRPr="00650257">
              <w:rPr>
                <w:snapToGrid w:val="0"/>
              </w:rPr>
              <w:t>3/76 (</w:t>
            </w:r>
            <w:r w:rsidR="007F76CB">
              <w:rPr>
                <w:snapToGrid w:val="0"/>
              </w:rPr>
              <w:t>4</w:t>
            </w:r>
            <w:r w:rsidRPr="00650257">
              <w:rPr>
                <w:snapToGrid w:val="0"/>
              </w:rPr>
              <w:t>)</w:t>
            </w:r>
          </w:p>
        </w:tc>
      </w:tr>
      <w:tr w:rsidR="00BE5F78" w:rsidRPr="00183E4D" w14:paraId="6CA7886B" w14:textId="77777777" w:rsidTr="0096107C">
        <w:tc>
          <w:tcPr>
            <w:tcW w:w="1215" w:type="pct"/>
            <w:shd w:val="clear" w:color="auto" w:fill="auto"/>
            <w:vAlign w:val="bottom"/>
          </w:tcPr>
          <w:p w14:paraId="1E7BFC3E" w14:textId="77777777" w:rsidR="00BE5F78" w:rsidRDefault="00BE5F78" w:rsidP="00046EA7">
            <w:pPr>
              <w:pStyle w:val="TableText0"/>
              <w:keepNext w:val="0"/>
              <w:spacing w:before="60" w:after="60"/>
              <w:rPr>
                <w:snapToGrid w:val="0"/>
              </w:rPr>
            </w:pPr>
            <w:r>
              <w:rPr>
                <w:snapToGrid w:val="0"/>
              </w:rPr>
              <w:t>Norihisa et al (2008)</w:t>
            </w:r>
          </w:p>
        </w:tc>
        <w:tc>
          <w:tcPr>
            <w:tcW w:w="792" w:type="pct"/>
            <w:shd w:val="clear" w:color="auto" w:fill="auto"/>
            <w:vAlign w:val="center"/>
          </w:tcPr>
          <w:p w14:paraId="1588A5A7" w14:textId="77777777" w:rsidR="00BE5F78" w:rsidRDefault="00BE5F78" w:rsidP="007C6179">
            <w:pPr>
              <w:pStyle w:val="TableText0"/>
              <w:keepNext w:val="0"/>
              <w:spacing w:before="60" w:after="60"/>
              <w:jc w:val="left"/>
              <w:rPr>
                <w:snapToGrid w:val="0"/>
              </w:rPr>
            </w:pPr>
            <w:r>
              <w:rPr>
                <w:snapToGrid w:val="0"/>
              </w:rPr>
              <w:t>34 (43)</w:t>
            </w:r>
          </w:p>
        </w:tc>
        <w:tc>
          <w:tcPr>
            <w:tcW w:w="1496" w:type="pct"/>
            <w:shd w:val="clear" w:color="auto" w:fill="auto"/>
            <w:vAlign w:val="center"/>
          </w:tcPr>
          <w:p w14:paraId="3647A3F4" w14:textId="77777777" w:rsidR="00BE5F78" w:rsidRDefault="00BE5F78" w:rsidP="007C6179">
            <w:pPr>
              <w:pStyle w:val="TableText0"/>
              <w:keepNext w:val="0"/>
              <w:spacing w:before="60" w:after="60"/>
              <w:jc w:val="left"/>
            </w:pPr>
            <w:r>
              <w:t>NR</w:t>
            </w:r>
          </w:p>
        </w:tc>
        <w:tc>
          <w:tcPr>
            <w:tcW w:w="1496" w:type="pct"/>
            <w:shd w:val="clear" w:color="auto" w:fill="auto"/>
            <w:vAlign w:val="center"/>
          </w:tcPr>
          <w:p w14:paraId="75698887" w14:textId="77777777" w:rsidR="00BE5F78" w:rsidRDefault="00BE5F78" w:rsidP="007C6179">
            <w:pPr>
              <w:pStyle w:val="TableText0"/>
              <w:keepNext w:val="0"/>
              <w:spacing w:before="60" w:after="60"/>
              <w:jc w:val="left"/>
              <w:rPr>
                <w:snapToGrid w:val="0"/>
              </w:rPr>
            </w:pPr>
            <w:r>
              <w:rPr>
                <w:snapToGrid w:val="0"/>
              </w:rPr>
              <w:t>3/34 (</w:t>
            </w:r>
            <w:r w:rsidR="007F76CB">
              <w:rPr>
                <w:snapToGrid w:val="0"/>
              </w:rPr>
              <w:t>9</w:t>
            </w:r>
            <w:r w:rsidRPr="00650257">
              <w:rPr>
                <w:snapToGrid w:val="0"/>
              </w:rPr>
              <w:t>)</w:t>
            </w:r>
          </w:p>
        </w:tc>
      </w:tr>
      <w:tr w:rsidR="00BE5F78" w:rsidRPr="00183E4D" w14:paraId="3D745B49" w14:textId="77777777" w:rsidTr="0096107C">
        <w:tc>
          <w:tcPr>
            <w:tcW w:w="1215" w:type="pct"/>
            <w:shd w:val="clear" w:color="auto" w:fill="auto"/>
            <w:vAlign w:val="bottom"/>
          </w:tcPr>
          <w:p w14:paraId="722967EE" w14:textId="77777777" w:rsidR="00BE5F78" w:rsidRDefault="00BE5F78" w:rsidP="00046EA7">
            <w:pPr>
              <w:pStyle w:val="TableText0"/>
              <w:keepNext w:val="0"/>
              <w:spacing w:before="60" w:after="60"/>
              <w:rPr>
                <w:snapToGrid w:val="0"/>
              </w:rPr>
            </w:pPr>
            <w:r>
              <w:rPr>
                <w:snapToGrid w:val="0"/>
              </w:rPr>
              <w:t>Nuytens et al (2015)</w:t>
            </w:r>
          </w:p>
        </w:tc>
        <w:tc>
          <w:tcPr>
            <w:tcW w:w="792" w:type="pct"/>
            <w:shd w:val="clear" w:color="auto" w:fill="auto"/>
            <w:vAlign w:val="center"/>
          </w:tcPr>
          <w:p w14:paraId="3985076D" w14:textId="77777777" w:rsidR="00BE5F78" w:rsidRDefault="00BE5F78" w:rsidP="007C6179">
            <w:pPr>
              <w:pStyle w:val="TableText0"/>
              <w:keepNext w:val="0"/>
              <w:spacing w:before="60" w:after="60"/>
              <w:jc w:val="left"/>
              <w:rPr>
                <w:snapToGrid w:val="0"/>
              </w:rPr>
            </w:pPr>
            <w:r>
              <w:rPr>
                <w:snapToGrid w:val="0"/>
              </w:rPr>
              <w:t>30 (57)</w:t>
            </w:r>
          </w:p>
        </w:tc>
        <w:tc>
          <w:tcPr>
            <w:tcW w:w="1496" w:type="pct"/>
            <w:shd w:val="clear" w:color="auto" w:fill="auto"/>
            <w:vAlign w:val="center"/>
          </w:tcPr>
          <w:p w14:paraId="3F7AC514" w14:textId="77777777" w:rsidR="00BE5F78" w:rsidRDefault="00BE5F78" w:rsidP="007C6179">
            <w:pPr>
              <w:pStyle w:val="TableText0"/>
              <w:keepNext w:val="0"/>
              <w:spacing w:before="60" w:after="60"/>
              <w:jc w:val="left"/>
            </w:pPr>
            <w:r>
              <w:t>NR</w:t>
            </w:r>
          </w:p>
        </w:tc>
        <w:tc>
          <w:tcPr>
            <w:tcW w:w="1496" w:type="pct"/>
            <w:shd w:val="clear" w:color="auto" w:fill="auto"/>
            <w:vAlign w:val="center"/>
          </w:tcPr>
          <w:p w14:paraId="63E759FE" w14:textId="77777777" w:rsidR="00BE5F78" w:rsidRDefault="00BE5F78" w:rsidP="007C6179">
            <w:pPr>
              <w:pStyle w:val="TableText0"/>
              <w:keepNext w:val="0"/>
              <w:spacing w:before="60" w:after="60"/>
              <w:jc w:val="left"/>
              <w:rPr>
                <w:snapToGrid w:val="0"/>
              </w:rPr>
            </w:pPr>
            <w:r>
              <w:rPr>
                <w:snapToGrid w:val="0"/>
              </w:rPr>
              <w:t>7/30 (23</w:t>
            </w:r>
            <w:r w:rsidRPr="00650257">
              <w:rPr>
                <w:snapToGrid w:val="0"/>
              </w:rPr>
              <w:t>)</w:t>
            </w:r>
          </w:p>
        </w:tc>
      </w:tr>
      <w:tr w:rsidR="00BE5F78" w:rsidRPr="00183E4D" w14:paraId="393BF3AD" w14:textId="77777777" w:rsidTr="0096107C">
        <w:tc>
          <w:tcPr>
            <w:tcW w:w="1215" w:type="pct"/>
            <w:shd w:val="clear" w:color="auto" w:fill="auto"/>
            <w:vAlign w:val="bottom"/>
          </w:tcPr>
          <w:p w14:paraId="33DEDC95" w14:textId="77777777" w:rsidR="00BE5F78" w:rsidRPr="00ED11EF" w:rsidRDefault="00BE5F78" w:rsidP="00046EA7">
            <w:pPr>
              <w:pStyle w:val="TableText0"/>
              <w:keepNext w:val="0"/>
              <w:spacing w:before="60" w:after="60"/>
              <w:rPr>
                <w:snapToGrid w:val="0"/>
              </w:rPr>
            </w:pPr>
            <w:r>
              <w:rPr>
                <w:snapToGrid w:val="0"/>
              </w:rPr>
              <w:t>Osti et al (2013)</w:t>
            </w:r>
          </w:p>
        </w:tc>
        <w:tc>
          <w:tcPr>
            <w:tcW w:w="792" w:type="pct"/>
            <w:shd w:val="clear" w:color="auto" w:fill="auto"/>
            <w:vAlign w:val="center"/>
          </w:tcPr>
          <w:p w14:paraId="07C10A89" w14:textId="77777777" w:rsidR="00BE5F78" w:rsidRDefault="00BE5F78" w:rsidP="007C6179">
            <w:pPr>
              <w:pStyle w:val="TableText0"/>
              <w:keepNext w:val="0"/>
              <w:spacing w:before="60" w:after="60"/>
              <w:jc w:val="left"/>
              <w:rPr>
                <w:snapToGrid w:val="0"/>
              </w:rPr>
            </w:pPr>
            <w:r>
              <w:rPr>
                <w:snapToGrid w:val="0"/>
              </w:rPr>
              <w:t>66 (103)</w:t>
            </w:r>
          </w:p>
        </w:tc>
        <w:tc>
          <w:tcPr>
            <w:tcW w:w="1496" w:type="pct"/>
            <w:shd w:val="clear" w:color="auto" w:fill="auto"/>
            <w:vAlign w:val="center"/>
          </w:tcPr>
          <w:p w14:paraId="13BDEB69" w14:textId="77777777" w:rsidR="00BE5F78" w:rsidRPr="00ED11EF" w:rsidRDefault="00BE5F78" w:rsidP="007C6179">
            <w:pPr>
              <w:pStyle w:val="TableText0"/>
              <w:keepNext w:val="0"/>
              <w:spacing w:before="60" w:after="60"/>
              <w:jc w:val="left"/>
            </w:pPr>
            <w:r>
              <w:t>10 (NR) months</w:t>
            </w:r>
          </w:p>
        </w:tc>
        <w:tc>
          <w:tcPr>
            <w:tcW w:w="1496" w:type="pct"/>
            <w:shd w:val="clear" w:color="auto" w:fill="auto"/>
            <w:vAlign w:val="center"/>
          </w:tcPr>
          <w:p w14:paraId="77FCD31D" w14:textId="77777777" w:rsidR="00BE5F78" w:rsidRDefault="00BE5F78" w:rsidP="007C6179">
            <w:pPr>
              <w:pStyle w:val="TableText0"/>
              <w:keepNext w:val="0"/>
              <w:spacing w:before="60" w:after="60"/>
              <w:jc w:val="left"/>
              <w:rPr>
                <w:snapToGrid w:val="0"/>
              </w:rPr>
            </w:pPr>
            <w:r w:rsidRPr="00650257">
              <w:rPr>
                <w:snapToGrid w:val="0"/>
              </w:rPr>
              <w:t>10/103 (</w:t>
            </w:r>
            <w:r w:rsidR="007F76CB">
              <w:rPr>
                <w:snapToGrid w:val="0"/>
              </w:rPr>
              <w:t>10</w:t>
            </w:r>
            <w:r w:rsidRPr="00650257">
              <w:rPr>
                <w:snapToGrid w:val="0"/>
              </w:rPr>
              <w:t>) lesions</w:t>
            </w:r>
          </w:p>
        </w:tc>
      </w:tr>
      <w:tr w:rsidR="00BE5F78" w:rsidRPr="00183E4D" w14:paraId="3E1E1DC7" w14:textId="77777777" w:rsidTr="0096107C">
        <w:tc>
          <w:tcPr>
            <w:tcW w:w="1215" w:type="pct"/>
            <w:shd w:val="clear" w:color="auto" w:fill="auto"/>
            <w:vAlign w:val="bottom"/>
          </w:tcPr>
          <w:p w14:paraId="4BFFFC4E" w14:textId="77777777" w:rsidR="00BE5F78" w:rsidRPr="00ED11EF" w:rsidRDefault="00BE5F78" w:rsidP="00046EA7">
            <w:pPr>
              <w:pStyle w:val="TableText0"/>
              <w:keepNext w:val="0"/>
              <w:spacing w:before="60" w:after="60"/>
              <w:rPr>
                <w:snapToGrid w:val="0"/>
              </w:rPr>
            </w:pPr>
            <w:r>
              <w:rPr>
                <w:snapToGrid w:val="0"/>
              </w:rPr>
              <w:t>Ricardi et al (2011)</w:t>
            </w:r>
          </w:p>
        </w:tc>
        <w:tc>
          <w:tcPr>
            <w:tcW w:w="792" w:type="pct"/>
            <w:shd w:val="clear" w:color="auto" w:fill="auto"/>
            <w:vAlign w:val="center"/>
          </w:tcPr>
          <w:p w14:paraId="367F089D" w14:textId="77777777" w:rsidR="00BE5F78" w:rsidRDefault="00BE5F78" w:rsidP="007C6179">
            <w:pPr>
              <w:pStyle w:val="TableText0"/>
              <w:keepNext w:val="0"/>
              <w:spacing w:before="60" w:after="60"/>
              <w:jc w:val="left"/>
              <w:rPr>
                <w:snapToGrid w:val="0"/>
              </w:rPr>
            </w:pPr>
            <w:r>
              <w:rPr>
                <w:snapToGrid w:val="0"/>
              </w:rPr>
              <w:t>61 (77)</w:t>
            </w:r>
          </w:p>
        </w:tc>
        <w:tc>
          <w:tcPr>
            <w:tcW w:w="1496" w:type="pct"/>
            <w:shd w:val="clear" w:color="auto" w:fill="auto"/>
            <w:vAlign w:val="center"/>
          </w:tcPr>
          <w:p w14:paraId="427A456D" w14:textId="77777777" w:rsidR="00BE5F78" w:rsidRPr="00ED11EF" w:rsidRDefault="00BE5F78" w:rsidP="007C6179">
            <w:pPr>
              <w:pStyle w:val="TableText0"/>
              <w:keepNext w:val="0"/>
              <w:spacing w:before="60" w:after="60"/>
              <w:jc w:val="left"/>
            </w:pPr>
            <w:r>
              <w:t>12 (NR) months</w:t>
            </w:r>
          </w:p>
        </w:tc>
        <w:tc>
          <w:tcPr>
            <w:tcW w:w="1496" w:type="pct"/>
            <w:shd w:val="clear" w:color="auto" w:fill="auto"/>
            <w:vAlign w:val="center"/>
          </w:tcPr>
          <w:p w14:paraId="67C650FE" w14:textId="77777777" w:rsidR="00BE5F78" w:rsidRDefault="00BE5F78" w:rsidP="007C6179">
            <w:pPr>
              <w:pStyle w:val="TableText0"/>
              <w:keepNext w:val="0"/>
              <w:spacing w:before="60" w:after="60"/>
              <w:jc w:val="left"/>
              <w:rPr>
                <w:snapToGrid w:val="0"/>
              </w:rPr>
            </w:pPr>
            <w:r>
              <w:rPr>
                <w:snapToGrid w:val="0"/>
              </w:rPr>
              <w:t>9/61 (15</w:t>
            </w:r>
            <w:r w:rsidRPr="00650257">
              <w:rPr>
                <w:snapToGrid w:val="0"/>
              </w:rPr>
              <w:t>)</w:t>
            </w:r>
          </w:p>
        </w:tc>
      </w:tr>
      <w:tr w:rsidR="00BE5F78" w:rsidRPr="00183E4D" w14:paraId="5DA43551" w14:textId="77777777" w:rsidTr="0096107C">
        <w:tc>
          <w:tcPr>
            <w:tcW w:w="1215" w:type="pct"/>
            <w:shd w:val="clear" w:color="auto" w:fill="auto"/>
            <w:vAlign w:val="bottom"/>
          </w:tcPr>
          <w:p w14:paraId="24693EA6" w14:textId="77777777" w:rsidR="00BE5F78" w:rsidRDefault="00BE5F78" w:rsidP="00046EA7">
            <w:pPr>
              <w:pStyle w:val="TableText0"/>
              <w:keepNext w:val="0"/>
              <w:spacing w:before="60" w:after="60"/>
              <w:rPr>
                <w:snapToGrid w:val="0"/>
              </w:rPr>
            </w:pPr>
            <w:r>
              <w:rPr>
                <w:snapToGrid w:val="0"/>
              </w:rPr>
              <w:t>Takeshi et al (2014)</w:t>
            </w:r>
          </w:p>
        </w:tc>
        <w:tc>
          <w:tcPr>
            <w:tcW w:w="792" w:type="pct"/>
            <w:shd w:val="clear" w:color="auto" w:fill="auto"/>
            <w:vAlign w:val="center"/>
          </w:tcPr>
          <w:p w14:paraId="74953A99" w14:textId="77777777" w:rsidR="00BE5F78" w:rsidRDefault="00BE5F78" w:rsidP="007C6179">
            <w:pPr>
              <w:pStyle w:val="TableText0"/>
              <w:keepNext w:val="0"/>
              <w:spacing w:before="60" w:after="60"/>
              <w:jc w:val="left"/>
              <w:rPr>
                <w:snapToGrid w:val="0"/>
              </w:rPr>
            </w:pPr>
            <w:r>
              <w:rPr>
                <w:snapToGrid w:val="0"/>
              </w:rPr>
              <w:t>34 (44)</w:t>
            </w:r>
          </w:p>
        </w:tc>
        <w:tc>
          <w:tcPr>
            <w:tcW w:w="1496" w:type="pct"/>
            <w:shd w:val="clear" w:color="auto" w:fill="auto"/>
            <w:vAlign w:val="center"/>
          </w:tcPr>
          <w:p w14:paraId="1BF5E6B0" w14:textId="77777777" w:rsidR="00BE5F78" w:rsidRDefault="00BE5F78" w:rsidP="007C6179">
            <w:pPr>
              <w:pStyle w:val="TableText0"/>
              <w:keepNext w:val="0"/>
              <w:spacing w:before="60" w:after="60"/>
              <w:jc w:val="left"/>
            </w:pPr>
            <w:r>
              <w:t>11 (NR) months</w:t>
            </w:r>
          </w:p>
        </w:tc>
        <w:tc>
          <w:tcPr>
            <w:tcW w:w="1496" w:type="pct"/>
            <w:shd w:val="clear" w:color="auto" w:fill="auto"/>
            <w:vAlign w:val="center"/>
          </w:tcPr>
          <w:p w14:paraId="439F9F04" w14:textId="77777777" w:rsidR="00BE5F78" w:rsidRDefault="00BE5F78" w:rsidP="007C6179">
            <w:pPr>
              <w:pStyle w:val="TableText0"/>
              <w:keepNext w:val="0"/>
              <w:spacing w:before="60" w:after="60"/>
              <w:jc w:val="left"/>
              <w:rPr>
                <w:snapToGrid w:val="0"/>
              </w:rPr>
            </w:pPr>
            <w:r>
              <w:rPr>
                <w:snapToGrid w:val="0"/>
              </w:rPr>
              <w:t>NR</w:t>
            </w:r>
          </w:p>
        </w:tc>
      </w:tr>
      <w:tr w:rsidR="00BE5F78" w:rsidRPr="00183E4D" w14:paraId="6B0CC686" w14:textId="77777777" w:rsidTr="0096107C">
        <w:tc>
          <w:tcPr>
            <w:tcW w:w="1215" w:type="pct"/>
            <w:shd w:val="clear" w:color="auto" w:fill="auto"/>
            <w:vAlign w:val="bottom"/>
          </w:tcPr>
          <w:p w14:paraId="7F9E4E98" w14:textId="77777777" w:rsidR="00BE5F78" w:rsidRPr="00ED11EF" w:rsidRDefault="00BE5F78" w:rsidP="00046EA7">
            <w:pPr>
              <w:pStyle w:val="TableText0"/>
              <w:keepNext w:val="0"/>
              <w:spacing w:before="60" w:after="60"/>
              <w:rPr>
                <w:snapToGrid w:val="0"/>
              </w:rPr>
            </w:pPr>
            <w:r>
              <w:rPr>
                <w:snapToGrid w:val="0"/>
              </w:rPr>
              <w:t>Yu et al (2014)</w:t>
            </w:r>
          </w:p>
        </w:tc>
        <w:tc>
          <w:tcPr>
            <w:tcW w:w="792" w:type="pct"/>
            <w:shd w:val="clear" w:color="auto" w:fill="auto"/>
            <w:vAlign w:val="center"/>
          </w:tcPr>
          <w:p w14:paraId="773A2C2E" w14:textId="77777777" w:rsidR="00BE5F78" w:rsidRPr="00650257" w:rsidRDefault="00BE5F78" w:rsidP="007C6179">
            <w:pPr>
              <w:pStyle w:val="TableText0"/>
              <w:keepNext w:val="0"/>
              <w:spacing w:before="60" w:after="60"/>
              <w:jc w:val="left"/>
              <w:rPr>
                <w:snapToGrid w:val="0"/>
              </w:rPr>
            </w:pPr>
            <w:r>
              <w:rPr>
                <w:snapToGrid w:val="0"/>
              </w:rPr>
              <w:t>27 (NR)</w:t>
            </w:r>
          </w:p>
        </w:tc>
        <w:tc>
          <w:tcPr>
            <w:tcW w:w="1496" w:type="pct"/>
            <w:shd w:val="clear" w:color="auto" w:fill="auto"/>
            <w:vAlign w:val="center"/>
          </w:tcPr>
          <w:p w14:paraId="0DBDD06F" w14:textId="77777777" w:rsidR="00BE5F78" w:rsidRPr="00FF6ED5" w:rsidRDefault="00BE5F78" w:rsidP="007C6179">
            <w:pPr>
              <w:pStyle w:val="TableText0"/>
              <w:keepNext w:val="0"/>
              <w:spacing w:before="60" w:after="60"/>
              <w:jc w:val="left"/>
            </w:pPr>
            <w:r>
              <w:t>5 (NR) months</w:t>
            </w:r>
          </w:p>
        </w:tc>
        <w:tc>
          <w:tcPr>
            <w:tcW w:w="1496" w:type="pct"/>
            <w:shd w:val="clear" w:color="auto" w:fill="auto"/>
            <w:vAlign w:val="center"/>
          </w:tcPr>
          <w:p w14:paraId="45F1DF35" w14:textId="77777777" w:rsidR="00BE5F78" w:rsidRDefault="00BE5F78" w:rsidP="007C6179">
            <w:pPr>
              <w:pStyle w:val="TableText0"/>
              <w:keepNext w:val="0"/>
              <w:spacing w:before="60" w:after="60"/>
              <w:jc w:val="left"/>
              <w:rPr>
                <w:snapToGrid w:val="0"/>
              </w:rPr>
            </w:pPr>
            <w:r>
              <w:rPr>
                <w:snapToGrid w:val="0"/>
              </w:rPr>
              <w:t>NR</w:t>
            </w:r>
          </w:p>
        </w:tc>
      </w:tr>
      <w:tr w:rsidR="00BE5F78" w:rsidRPr="00183E4D" w14:paraId="0284137F" w14:textId="77777777" w:rsidTr="0096107C">
        <w:tc>
          <w:tcPr>
            <w:tcW w:w="1215" w:type="pct"/>
            <w:shd w:val="clear" w:color="auto" w:fill="auto"/>
            <w:vAlign w:val="center"/>
          </w:tcPr>
          <w:p w14:paraId="6428ED73" w14:textId="77777777" w:rsidR="00BE5F78" w:rsidRPr="00183E4D" w:rsidRDefault="00BE5F78" w:rsidP="00046EA7">
            <w:pPr>
              <w:pStyle w:val="TableText0"/>
              <w:keepNext w:val="0"/>
              <w:spacing w:before="60" w:after="60"/>
              <w:rPr>
                <w:snapToGrid w:val="0"/>
              </w:rPr>
            </w:pPr>
            <w:r>
              <w:rPr>
                <w:snapToGrid w:val="0"/>
              </w:rPr>
              <w:t>Pooled analysis</w:t>
            </w:r>
          </w:p>
        </w:tc>
        <w:tc>
          <w:tcPr>
            <w:tcW w:w="792" w:type="pct"/>
            <w:shd w:val="clear" w:color="auto" w:fill="auto"/>
            <w:vAlign w:val="center"/>
          </w:tcPr>
          <w:p w14:paraId="112A4ED7" w14:textId="77777777" w:rsidR="00BE5F78" w:rsidRPr="00183E4D" w:rsidRDefault="00BE5F78" w:rsidP="007C6179">
            <w:pPr>
              <w:pStyle w:val="TableText0"/>
              <w:keepNext w:val="0"/>
              <w:spacing w:before="60" w:after="60"/>
              <w:jc w:val="left"/>
              <w:rPr>
                <w:snapToGrid w:val="0"/>
                <w:highlight w:val="cyan"/>
              </w:rPr>
            </w:pPr>
            <w:r w:rsidRPr="00C55312">
              <w:rPr>
                <w:snapToGrid w:val="0"/>
              </w:rPr>
              <w:t>421 (691)</w:t>
            </w:r>
          </w:p>
        </w:tc>
        <w:tc>
          <w:tcPr>
            <w:tcW w:w="1496" w:type="pct"/>
            <w:tcBorders>
              <w:left w:val="nil"/>
            </w:tcBorders>
            <w:shd w:val="clear" w:color="auto" w:fill="auto"/>
            <w:vAlign w:val="center"/>
          </w:tcPr>
          <w:p w14:paraId="1F1F3D76" w14:textId="09D944E0" w:rsidR="00BE5F78" w:rsidRDefault="00BE5F78" w:rsidP="007C6179">
            <w:pPr>
              <w:pStyle w:val="TableText0"/>
              <w:keepNext w:val="0"/>
              <w:spacing w:before="60" w:after="60"/>
              <w:jc w:val="left"/>
              <w:rPr>
                <w:snapToGrid w:val="0"/>
              </w:rPr>
            </w:pPr>
            <w:r>
              <w:rPr>
                <w:snapToGrid w:val="0"/>
              </w:rPr>
              <w:t>Median 1</w:t>
            </w:r>
            <w:r w:rsidR="0058454B">
              <w:rPr>
                <w:snapToGrid w:val="0"/>
              </w:rPr>
              <w:t>0.5</w:t>
            </w:r>
            <w:r>
              <w:rPr>
                <w:snapToGrid w:val="0"/>
              </w:rPr>
              <w:t xml:space="preserve"> (5</w:t>
            </w:r>
            <w:r w:rsidR="00D35E9C">
              <w:rPr>
                <w:snapToGrid w:val="0"/>
              </w:rPr>
              <w:t>–</w:t>
            </w:r>
            <w:r>
              <w:rPr>
                <w:snapToGrid w:val="0"/>
              </w:rPr>
              <w:t>18) months</w:t>
            </w:r>
          </w:p>
          <w:p w14:paraId="0C85A9EB" w14:textId="77777777" w:rsidR="00BE5F78" w:rsidRDefault="00BE5F78" w:rsidP="007C6179">
            <w:pPr>
              <w:pStyle w:val="TableText0"/>
              <w:keepNext w:val="0"/>
              <w:spacing w:before="60" w:after="60"/>
              <w:jc w:val="left"/>
              <w:rPr>
                <w:snapToGrid w:val="0"/>
              </w:rPr>
            </w:pPr>
            <w:r>
              <w:rPr>
                <w:snapToGrid w:val="0"/>
              </w:rPr>
              <w:t>Quality of the evidence</w:t>
            </w:r>
          </w:p>
          <w:p w14:paraId="7ED44BDF" w14:textId="77777777" w:rsidR="00BE5F78" w:rsidRDefault="00BE5F78" w:rsidP="007C6179">
            <w:pPr>
              <w:pStyle w:val="TableText0"/>
              <w:keepNext w:val="0"/>
              <w:spacing w:before="60" w:after="60"/>
              <w:ind w:left="16" w:right="117"/>
              <w:jc w:val="left"/>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316FB05C" w14:textId="77777777" w:rsidR="00BE5F78" w:rsidRPr="00D57ADE" w:rsidRDefault="00BE5F78" w:rsidP="007C6179">
            <w:pPr>
              <w:pStyle w:val="TableText0"/>
              <w:keepNext w:val="0"/>
              <w:spacing w:before="60" w:after="60"/>
              <w:jc w:val="left"/>
              <w:rPr>
                <w:snapToGrid w:val="0"/>
                <w:highlight w:val="cyan"/>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1496" w:type="pct"/>
            <w:shd w:val="clear" w:color="auto" w:fill="auto"/>
            <w:vAlign w:val="center"/>
          </w:tcPr>
          <w:p w14:paraId="24CD8720" w14:textId="36C201AC" w:rsidR="00BE5F78" w:rsidRDefault="00BE5F78" w:rsidP="007C6179">
            <w:pPr>
              <w:pStyle w:val="TableText0"/>
              <w:keepNext w:val="0"/>
              <w:spacing w:before="60" w:after="60"/>
              <w:jc w:val="left"/>
              <w:rPr>
                <w:snapToGrid w:val="0"/>
              </w:rPr>
            </w:pPr>
            <w:r>
              <w:rPr>
                <w:snapToGrid w:val="0"/>
              </w:rPr>
              <w:t xml:space="preserve">Median </w:t>
            </w:r>
            <w:r w:rsidR="007F76CB">
              <w:rPr>
                <w:snapToGrid w:val="0"/>
              </w:rPr>
              <w:t>10</w:t>
            </w:r>
            <w:r>
              <w:rPr>
                <w:snapToGrid w:val="0"/>
              </w:rPr>
              <w:t>% (</w:t>
            </w:r>
            <w:r w:rsidR="007F76CB">
              <w:rPr>
                <w:snapToGrid w:val="0"/>
              </w:rPr>
              <w:t>4</w:t>
            </w:r>
            <w:r w:rsidR="00D35E9C">
              <w:rPr>
                <w:snapToGrid w:val="0"/>
              </w:rPr>
              <w:t>–</w:t>
            </w:r>
            <w:r>
              <w:rPr>
                <w:snapToGrid w:val="0"/>
              </w:rPr>
              <w:t>23)</w:t>
            </w:r>
          </w:p>
          <w:p w14:paraId="7BC597F6" w14:textId="77777777" w:rsidR="00BE5F78" w:rsidRDefault="00BE5F78" w:rsidP="007C6179">
            <w:pPr>
              <w:pStyle w:val="TableText0"/>
              <w:keepNext w:val="0"/>
              <w:spacing w:before="60" w:after="60"/>
              <w:jc w:val="left"/>
              <w:rPr>
                <w:snapToGrid w:val="0"/>
              </w:rPr>
            </w:pPr>
            <w:r>
              <w:rPr>
                <w:snapToGrid w:val="0"/>
              </w:rPr>
              <w:t>Quality of the evidence</w:t>
            </w:r>
          </w:p>
          <w:p w14:paraId="6663A131" w14:textId="77777777" w:rsidR="00BE5F78" w:rsidRDefault="00BE5F78" w:rsidP="007C6179">
            <w:pPr>
              <w:pStyle w:val="TableText0"/>
              <w:keepNext w:val="0"/>
              <w:spacing w:before="60" w:after="60"/>
              <w:ind w:left="16" w:right="117"/>
              <w:jc w:val="left"/>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172BB323" w14:textId="77777777" w:rsidR="00BE5F78" w:rsidRPr="00A04BF3" w:rsidRDefault="00BE5F78" w:rsidP="007C6179">
            <w:pPr>
              <w:pStyle w:val="TableText0"/>
              <w:keepNext w:val="0"/>
              <w:spacing w:before="60" w:after="60"/>
              <w:jc w:val="left"/>
              <w:rPr>
                <w:snapToGrid w:val="0"/>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r>
    </w:tbl>
    <w:p w14:paraId="1FEC9115" w14:textId="1D261AC2" w:rsidR="00BE5F78" w:rsidRDefault="00885FEF" w:rsidP="007C7D1A">
      <w:pPr>
        <w:pStyle w:val="Tablenotes0"/>
      </w:pPr>
      <w:r>
        <w:t xml:space="preserve">&lt; </w:t>
      </w:r>
      <w:r w:rsidR="00F829C6">
        <w:t xml:space="preserve">MTA = microwave thermal ablation; N = number; </w:t>
      </w:r>
      <w:r w:rsidR="00BE5F78" w:rsidRPr="00767DB3">
        <w:t>n/N (</w:t>
      </w:r>
      <w:proofErr w:type="gramStart"/>
      <w:r w:rsidR="00BE5F78" w:rsidRPr="00767DB3">
        <w:t>%</w:t>
      </w:r>
      <w:r w:rsidR="001104D0">
        <w:t xml:space="preserve"> </w:t>
      </w:r>
      <w:r w:rsidR="00BE5F78" w:rsidRPr="00767DB3">
        <w:t>)=</w:t>
      </w:r>
      <w:proofErr w:type="gramEnd"/>
      <w:r w:rsidR="00BE5F78" w:rsidRPr="00767DB3">
        <w:t xml:space="preserve"> number with event/ total (percentage)</w:t>
      </w:r>
      <w:r w:rsidR="00BE5F78">
        <w:t>; NR</w:t>
      </w:r>
      <w:r w:rsidR="001104D0">
        <w:t xml:space="preserve"> =  </w:t>
      </w:r>
      <w:r w:rsidR="00BE5F78">
        <w:t>not reported</w:t>
      </w:r>
      <w:r w:rsidR="00F829C6">
        <w:t>; RFA = radiofrequency ablation</w:t>
      </w:r>
      <w:r>
        <w:t xml:space="preserve"> &gt;</w:t>
      </w:r>
    </w:p>
    <w:p w14:paraId="32746FBB" w14:textId="18D2767F" w:rsidR="00BE5F78" w:rsidRDefault="00BE5F78" w:rsidP="007C7D1A">
      <w:pPr>
        <w:pStyle w:val="Tablenotes0"/>
      </w:pPr>
      <w:r w:rsidRPr="00E10B76">
        <w:t>GRADE Working Group grades of evidence</w:t>
      </w:r>
      <w:r>
        <w:t xml:space="preserve"> (Guyatt et al., 2013)</w:t>
      </w:r>
      <w:r w:rsidR="00F829C6">
        <w: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37EF3984" w14:textId="77777777" w:rsidR="008E5DEC" w:rsidRDefault="008E5DEC" w:rsidP="008E5DEC">
      <w:pPr>
        <w:pStyle w:val="Tablenotes0"/>
      </w:pPr>
      <w:proofErr w:type="gramStart"/>
      <w:r>
        <w:rPr>
          <w:vertAlign w:val="superscript"/>
        </w:rPr>
        <w:t>a</w:t>
      </w:r>
      <w:proofErr w:type="gramEnd"/>
      <w:r w:rsidRPr="00A14C95">
        <w:rPr>
          <w:vertAlign w:val="superscript"/>
        </w:rPr>
        <w:t xml:space="preserve"> </w:t>
      </w:r>
      <w:r w:rsidRPr="00A14C95">
        <w:t>F</w:t>
      </w:r>
      <w:r>
        <w:t>ive patients had new metastases inside the lung and the other patient had thoracic vertebral metastases 1 year postoperatively.</w:t>
      </w:r>
    </w:p>
    <w:p w14:paraId="6F7E5BF6" w14:textId="77777777" w:rsidR="008E5DEC" w:rsidRDefault="008E5DEC" w:rsidP="008E5DEC">
      <w:pPr>
        <w:pStyle w:val="Tablenotes0"/>
      </w:pPr>
      <w:proofErr w:type="gramStart"/>
      <w:r>
        <w:rPr>
          <w:vertAlign w:val="superscript"/>
        </w:rPr>
        <w:t>b</w:t>
      </w:r>
      <w:proofErr w:type="gramEnd"/>
      <w:r>
        <w:t xml:space="preserve"> Reported as disease-free survival period.</w:t>
      </w:r>
    </w:p>
    <w:p w14:paraId="2859036E" w14:textId="5D18AD64" w:rsidR="00DC010A" w:rsidRDefault="008E5DEC" w:rsidP="005D063E">
      <w:pPr>
        <w:pStyle w:val="Tablenotes0"/>
      </w:pPr>
      <w:proofErr w:type="gramStart"/>
      <w:r>
        <w:rPr>
          <w:vertAlign w:val="superscript"/>
        </w:rPr>
        <w:t>c</w:t>
      </w:r>
      <w:proofErr w:type="gramEnd"/>
      <w:r w:rsidRPr="00C02360">
        <w:t xml:space="preserve"> failure at SBRT site, SBRT</w:t>
      </w:r>
      <w:r w:rsidR="001104D0">
        <w:t xml:space="preserve"> </w:t>
      </w:r>
      <w:r w:rsidRPr="00C02360">
        <w:t>=</w:t>
      </w:r>
      <w:r w:rsidR="001104D0">
        <w:t xml:space="preserve"> </w:t>
      </w:r>
      <w:r w:rsidRPr="00C02360">
        <w:t>stereotactic body radiotherapy</w:t>
      </w:r>
      <w:r>
        <w:t>.</w:t>
      </w:r>
      <w:r w:rsidR="00DC010A">
        <w:br w:type="page"/>
      </w:r>
    </w:p>
    <w:p w14:paraId="79E54DC7" w14:textId="77777777" w:rsidR="00780409" w:rsidRPr="0089269D" w:rsidRDefault="00780409" w:rsidP="0089269D">
      <w:pPr>
        <w:pStyle w:val="Heading2"/>
      </w:pPr>
      <w:bookmarkStart w:id="341" w:name="_Toc460396068"/>
      <w:bookmarkStart w:id="342" w:name="_GoBack"/>
      <w:r w:rsidRPr="00780409">
        <w:lastRenderedPageBreak/>
        <w:t>Is MTA effective in patients with lung metastases or primary lung cancer who are being treated with palliative intent?</w:t>
      </w:r>
      <w:bookmarkEnd w:id="341"/>
    </w:p>
    <w:bookmarkEnd w:id="342"/>
    <w:p w14:paraId="6CE5BBAF" w14:textId="77777777" w:rsidR="00477A44" w:rsidRDefault="00477A44" w:rsidP="007C7D1A">
      <w:pPr>
        <w:pStyle w:val="Summaryboxheading"/>
        <w:pBdr>
          <w:top w:val="single" w:sz="4" w:space="2" w:color="auto"/>
          <w:left w:val="single" w:sz="4" w:space="4" w:color="auto"/>
          <w:bottom w:val="single" w:sz="4" w:space="1" w:color="auto"/>
          <w:right w:val="single" w:sz="4" w:space="4" w:color="auto"/>
        </w:pBdr>
        <w:spacing w:before="60" w:after="60" w:afterAutospacing="0"/>
      </w:pPr>
      <w:r w:rsidRPr="00183E4D">
        <w:t xml:space="preserve">Summary – </w:t>
      </w:r>
      <w:r w:rsidRPr="00477A44">
        <w:t xml:space="preserve">What is the effectiveness of microwave </w:t>
      </w:r>
      <w:r w:rsidR="0066456D">
        <w:t>tissue</w:t>
      </w:r>
      <w:r w:rsidRPr="00477A44">
        <w:t xml:space="preserve"> ablation in patients with NSCLC or lung metastases being treated with palliative intent?</w:t>
      </w:r>
    </w:p>
    <w:p w14:paraId="445E1419" w14:textId="77777777" w:rsidR="00477A44" w:rsidRPr="00477A44" w:rsidRDefault="00477A44" w:rsidP="007C7D1A">
      <w:pPr>
        <w:pStyle w:val="Summaryboxheading"/>
        <w:pBdr>
          <w:top w:val="single" w:sz="4" w:space="2" w:color="auto"/>
          <w:left w:val="single" w:sz="4" w:space="4" w:color="auto"/>
          <w:bottom w:val="single" w:sz="4" w:space="1" w:color="auto"/>
          <w:right w:val="single" w:sz="4" w:space="4" w:color="auto"/>
        </w:pBdr>
        <w:spacing w:before="60" w:after="60" w:afterAutospacing="0"/>
        <w:rPr>
          <w:b w:val="0"/>
        </w:rPr>
      </w:pPr>
      <w:r w:rsidRPr="00477A44">
        <w:rPr>
          <w:b w:val="0"/>
        </w:rPr>
        <w:t>For patients treated with palliative intent the main outcomes of interest relate to symptom control and quality of life; however, no data on these outcomes was reported by the literature on ablation. Three studies of MTA in this population were identified of which two were non-randomised comparative trials. These studies found a benefit in terms of survival for patients who received MTA in combination with chemotherapy over those receiving either therapy alone. However, the magnitude of this benefit (in terms of months gained) could not be calculated</w:t>
      </w:r>
      <w:r w:rsidR="00CA6DFD" w:rsidRPr="00477A44">
        <w:rPr>
          <w:b w:val="0"/>
        </w:rPr>
        <w:t>.</w:t>
      </w:r>
    </w:p>
    <w:p w14:paraId="6835CFBB" w14:textId="77777777" w:rsidR="00780409" w:rsidRDefault="00780409" w:rsidP="00780409">
      <w:r>
        <w:t xml:space="preserve">Three studies of MTA in patients being treated with palliative intent were identified; however, none reported primary effectiveness outcomes related to quality of life or symptom control. Only secondary effectiveness outcomes were assessed. </w:t>
      </w:r>
      <w:r w:rsidR="004451C9">
        <w:t>T</w:t>
      </w:r>
      <w:r>
        <w:t>wo non-randomised comparative trials compared treatment strategies involving MTA and chemotherapy regimes in a palliative population. Sun et al (2015) included patients with advanced NSCLC and compared the therapeutic strategies of MTA alone (n</w:t>
      </w:r>
      <w:r w:rsidR="001104D0">
        <w:t xml:space="preserve"> </w:t>
      </w:r>
      <w:r>
        <w:t>=</w:t>
      </w:r>
      <w:r w:rsidR="001104D0">
        <w:t xml:space="preserve"> </w:t>
      </w:r>
      <w:r>
        <w:t>22) or MTA in combinations with chemotherapy (n</w:t>
      </w:r>
      <w:r w:rsidR="001104D0">
        <w:t xml:space="preserve"> </w:t>
      </w:r>
      <w:r>
        <w:t>=</w:t>
      </w:r>
      <w:r w:rsidR="001104D0">
        <w:t xml:space="preserve"> </w:t>
      </w:r>
      <w:r>
        <w:t>18). Wei et al (2015) included patients with advanced NSCLC and compared MTA in combination with chemotherapy (n</w:t>
      </w:r>
      <w:r w:rsidR="001104D0">
        <w:t xml:space="preserve"> </w:t>
      </w:r>
      <w:r>
        <w:t>=</w:t>
      </w:r>
      <w:r w:rsidR="001104D0">
        <w:t xml:space="preserve"> </w:t>
      </w:r>
      <w:r>
        <w:t>46) to chemotherapy alone (n</w:t>
      </w:r>
      <w:r w:rsidR="001104D0">
        <w:t xml:space="preserve"> </w:t>
      </w:r>
      <w:r>
        <w:t>=</w:t>
      </w:r>
      <w:r w:rsidR="001104D0">
        <w:t xml:space="preserve"> </w:t>
      </w:r>
      <w:r>
        <w:t xml:space="preserve">28).  A third study by Ni et al (2015) </w:t>
      </w:r>
      <w:r w:rsidR="00B932DF">
        <w:t>is a retrospective case series study of p</w:t>
      </w:r>
      <w:r w:rsidR="00B932DF" w:rsidRPr="00B932DF">
        <w:t xml:space="preserve">atients with stage IIIB-IV NSCLC </w:t>
      </w:r>
      <w:r w:rsidR="00B932DF">
        <w:t>(n</w:t>
      </w:r>
      <w:r w:rsidR="001104D0">
        <w:t xml:space="preserve"> </w:t>
      </w:r>
      <w:r w:rsidR="00B932DF">
        <w:t>=</w:t>
      </w:r>
      <w:r w:rsidR="001104D0">
        <w:t xml:space="preserve"> </w:t>
      </w:r>
      <w:r w:rsidR="00B932DF">
        <w:t xml:space="preserve">35) </w:t>
      </w:r>
      <w:r w:rsidR="00B932DF" w:rsidRPr="00B932DF">
        <w:t xml:space="preserve">who had </w:t>
      </w:r>
      <w:r w:rsidR="00EA65A0">
        <w:t>received</w:t>
      </w:r>
      <w:r w:rsidR="00EA65A0" w:rsidRPr="00B932DF">
        <w:t xml:space="preserve"> </w:t>
      </w:r>
      <w:r w:rsidR="00B932DF" w:rsidRPr="00B932DF">
        <w:t xml:space="preserve">prior treatment </w:t>
      </w:r>
      <w:r w:rsidR="00B932DF">
        <w:t>(</w:t>
      </w:r>
      <w:r w:rsidR="00B932DF" w:rsidRPr="00B932DF">
        <w:t>including chemotherapy, targeted therapy, concurrent chemo-radiation followed by chemotherapy</w:t>
      </w:r>
      <w:r w:rsidR="00B932DF">
        <w:t>)</w:t>
      </w:r>
      <w:r w:rsidR="00B932DF" w:rsidRPr="00B932DF">
        <w:t>, and, who had partial response or stable disease</w:t>
      </w:r>
      <w:r w:rsidR="00B932DF">
        <w:t xml:space="preserve">. </w:t>
      </w:r>
      <w:r w:rsidR="00710853">
        <w:t xml:space="preserve">In both comparative studies combination therapy as opposed to single therapy (MTA alone or chemotherapy alone) confers a statistically significant advantage in terms of survival outcomes. However, as previously mentioned no outcomes relevant to symptom relief or quality of life were reported. </w:t>
      </w:r>
    </w:p>
    <w:p w14:paraId="736F322A" w14:textId="77777777" w:rsidR="00B932DF" w:rsidRPr="00A34197" w:rsidRDefault="00B932DF" w:rsidP="00780409">
      <w:pPr>
        <w:rPr>
          <w:b/>
        </w:rPr>
      </w:pPr>
      <w:r w:rsidRPr="00A34197">
        <w:rPr>
          <w:b/>
          <w:i/>
        </w:rPr>
        <w:t>Sun et al (2015)</w:t>
      </w:r>
      <w:r w:rsidR="00343ED3" w:rsidRPr="00A34197">
        <w:rPr>
          <w:b/>
          <w:i/>
        </w:rPr>
        <w:t>: MTA versus MTA and chemotherapy</w:t>
      </w:r>
    </w:p>
    <w:p w14:paraId="0BE4716B" w14:textId="77777777" w:rsidR="00343ED3" w:rsidRDefault="00B932DF" w:rsidP="00780409">
      <w:r>
        <w:t xml:space="preserve">Sun et al (2015) reported the </w:t>
      </w:r>
      <w:r w:rsidR="003911E0">
        <w:t xml:space="preserve">1- </w:t>
      </w:r>
      <w:r>
        <w:t xml:space="preserve">and </w:t>
      </w:r>
      <w:r w:rsidR="003911E0">
        <w:t>2-</w:t>
      </w:r>
      <w:r w:rsidR="00343ED3">
        <w:t>year survival and the disease control rate. The authors report one year survival in patients treated with MTA alone as 50 per cent, which dropped to 2</w:t>
      </w:r>
      <w:r w:rsidR="003911E0">
        <w:t>8</w:t>
      </w:r>
      <w:r w:rsidR="00343ED3">
        <w:t xml:space="preserve"> per cent at two years. In the group treated with MTA and chemotherapy </w:t>
      </w:r>
      <w:r w:rsidR="00DD2D86">
        <w:t>1</w:t>
      </w:r>
      <w:r w:rsidR="00343ED3">
        <w:t xml:space="preserve">-year survival was 77 per cent dropping to 59 per cent at two years. A statistically significant difference was reported by the authors in </w:t>
      </w:r>
      <w:r w:rsidR="003911E0">
        <w:t>2-</w:t>
      </w:r>
      <w:r w:rsidR="00343ED3">
        <w:t xml:space="preserve">year overall survival but not </w:t>
      </w:r>
      <w:r w:rsidR="003911E0">
        <w:t>1-</w:t>
      </w:r>
      <w:r w:rsidR="00343ED3">
        <w:t>year overall survival. The disease control rate was measured using the RECIST criteria and was defined as the number of patients with complete response, partial response and stable disease. In the MTA alone group this was 44 per cent (8/18 patients) and in the MTA and chemotherapy group this was 77 per cent (17/22 patients); this result was statistically significant (p&lt;0.05).</w:t>
      </w:r>
      <w:r w:rsidR="0011139D">
        <w:t xml:space="preserve"> No other relevant effectiveness outcomes were reported. </w:t>
      </w:r>
    </w:p>
    <w:p w14:paraId="00095174" w14:textId="77777777" w:rsidR="00A34197" w:rsidRDefault="00A34197" w:rsidP="00780409">
      <w:pPr>
        <w:rPr>
          <w:b/>
          <w:i/>
        </w:rPr>
      </w:pPr>
    </w:p>
    <w:p w14:paraId="55DFC899" w14:textId="77777777" w:rsidR="0011139D" w:rsidRPr="00A34197" w:rsidRDefault="0011139D" w:rsidP="00780409">
      <w:pPr>
        <w:rPr>
          <w:b/>
          <w:i/>
        </w:rPr>
      </w:pPr>
      <w:r w:rsidRPr="00A34197">
        <w:rPr>
          <w:b/>
          <w:i/>
        </w:rPr>
        <w:lastRenderedPageBreak/>
        <w:t>Wei et al (2015): MTA and chemotherapy versus chemotherapy alone</w:t>
      </w:r>
    </w:p>
    <w:p w14:paraId="051F6E4D" w14:textId="10744ADF" w:rsidR="0011139D" w:rsidRDefault="0011139D" w:rsidP="00780409">
      <w:r>
        <w:t>Wei et al (2015) reported median overall survival time, progression free survival time and the rate of local progression and distant metastases. In the patients treated by combination therapy the median overall survival (95% CI) was 23.9 months (15.2</w:t>
      </w:r>
      <w:r w:rsidR="00D35E9C">
        <w:t>–</w:t>
      </w:r>
      <w:r>
        <w:t>32.6) in comparison with 17.3 months (15.2</w:t>
      </w:r>
      <w:r w:rsidR="00D35E9C">
        <w:t>–</w:t>
      </w:r>
      <w:r>
        <w:t>19.3) in the patients treated with chemotherapy alone. The difference was not statistically significant. The difference in median progression free survival between groups is reported to be statistically significant with patients treated with combination therapy having a longer progression free interval (10.9 months, 95%CI 5.1</w:t>
      </w:r>
      <w:r w:rsidR="00D35E9C">
        <w:t>–</w:t>
      </w:r>
      <w:r>
        <w:t>17.7 versus 4.8 months, 95%CI 3.9</w:t>
      </w:r>
      <w:r w:rsidR="00D35E9C">
        <w:t>–</w:t>
      </w:r>
      <w:r>
        <w:t>5.8; p</w:t>
      </w:r>
      <w:r w:rsidR="001104D0">
        <w:t xml:space="preserve"> </w:t>
      </w:r>
      <w:r>
        <w:t>=</w:t>
      </w:r>
      <w:r w:rsidR="001104D0">
        <w:t xml:space="preserve"> </w:t>
      </w:r>
      <w:r>
        <w:t xml:space="preserve">0.001). All patients in the chemotherapy alone group experienced local progression as compared to 9 (19.6%) in the combined group. Similarly, all patients in the chemotherapy </w:t>
      </w:r>
      <w:r w:rsidR="003911E0">
        <w:t xml:space="preserve">group </w:t>
      </w:r>
      <w:r>
        <w:t>had distant metastases develop in contrast to 30 (65.2%) of patients in the combination group.</w:t>
      </w:r>
      <w:r w:rsidRPr="0011139D">
        <w:t xml:space="preserve"> No other relevant effectiveness outcomes were reported.</w:t>
      </w:r>
    </w:p>
    <w:p w14:paraId="21D735D9" w14:textId="77777777" w:rsidR="0011139D" w:rsidRPr="00641EE6" w:rsidRDefault="0011139D" w:rsidP="00780409">
      <w:pPr>
        <w:rPr>
          <w:b/>
          <w:i/>
        </w:rPr>
      </w:pPr>
      <w:r w:rsidRPr="00641EE6">
        <w:rPr>
          <w:b/>
          <w:i/>
        </w:rPr>
        <w:t>Ni et al (2015): MTA</w:t>
      </w:r>
    </w:p>
    <w:p w14:paraId="5839904F" w14:textId="27F8CF41" w:rsidR="0011139D" w:rsidRPr="0011139D" w:rsidRDefault="0011139D" w:rsidP="00780409">
      <w:r>
        <w:t xml:space="preserve">Ni et al (2015) report median overall survival following MTA as well as local progression rate, incidence of distant metastases and median time to progression. </w:t>
      </w:r>
      <w:r w:rsidR="00710853">
        <w:t>Overall the median overall survival time for the 35 included patients was 17.7 months (range of 5</w:t>
      </w:r>
      <w:r w:rsidR="00D35E9C">
        <w:t>–</w:t>
      </w:r>
      <w:r w:rsidR="00710853">
        <w:t>45) and from the time of MTA until death it was 10.6 months (range: 3.1</w:t>
      </w:r>
      <w:r w:rsidR="00D35E9C">
        <w:t>–</w:t>
      </w:r>
      <w:r w:rsidR="00710853">
        <w:t>36.2). The median time to progression was 11.8 months (3.2</w:t>
      </w:r>
      <w:r w:rsidR="00D35E9C">
        <w:t>–</w:t>
      </w:r>
      <w:r w:rsidR="00710853">
        <w:t>44.7) and from the time of MTA it was 5.4 months (range: 0.7</w:t>
      </w:r>
      <w:r w:rsidR="00D35E9C">
        <w:t>–</w:t>
      </w:r>
      <w:r w:rsidR="00710853">
        <w:t>35.3); five (14.3%) of patients had local progression and 20 (57%) developed distant metastases. At the end of the follow-up nine patients (25%) were living without progression and 14 patients had died due to intrapulmonary progression (n</w:t>
      </w:r>
      <w:r w:rsidR="001104D0">
        <w:t xml:space="preserve"> </w:t>
      </w:r>
      <w:r w:rsidR="00710853">
        <w:t>=</w:t>
      </w:r>
      <w:r w:rsidR="001104D0">
        <w:t xml:space="preserve"> </w:t>
      </w:r>
      <w:r w:rsidR="00710853">
        <w:t>5), distant metastases (n</w:t>
      </w:r>
      <w:r w:rsidR="001104D0">
        <w:t xml:space="preserve"> </w:t>
      </w:r>
      <w:r w:rsidR="00710853">
        <w:t>=</w:t>
      </w:r>
      <w:r w:rsidR="001104D0">
        <w:t xml:space="preserve"> </w:t>
      </w:r>
      <w:r w:rsidR="00710853">
        <w:t>8) or respiratory causes (n</w:t>
      </w:r>
      <w:r w:rsidR="001104D0">
        <w:t xml:space="preserve"> </w:t>
      </w:r>
      <w:r w:rsidR="00710853">
        <w:t>=</w:t>
      </w:r>
      <w:r w:rsidR="001104D0">
        <w:t xml:space="preserve"> </w:t>
      </w:r>
      <w:r w:rsidR="00710853">
        <w:t xml:space="preserve">1). No other effectiveness outcomes were reported. </w:t>
      </w:r>
    </w:p>
    <w:p w14:paraId="336215AB" w14:textId="77777777" w:rsidR="006A0ED5" w:rsidRDefault="00D93080" w:rsidP="003F6C66">
      <w:pPr>
        <w:pStyle w:val="Heading3"/>
      </w:pPr>
      <w:bookmarkStart w:id="343" w:name="_Toc460396069"/>
      <w:r w:rsidRPr="00FF10E1">
        <w:t>Effectiveness of RFA for palliation of advanced-stage lung cancer</w:t>
      </w:r>
      <w:bookmarkEnd w:id="343"/>
    </w:p>
    <w:p w14:paraId="1AB38065" w14:textId="323CD0DF" w:rsidR="00295595" w:rsidRDefault="00953048" w:rsidP="00780409">
      <w:r>
        <w:t xml:space="preserve">One primary study was identified that investigated the impact of RFA in </w:t>
      </w:r>
      <w:r w:rsidR="00295595">
        <w:t>population three</w:t>
      </w:r>
      <w:r>
        <w:t>.</w:t>
      </w:r>
      <w:r w:rsidR="00D97291">
        <w:t xml:space="preserve"> Simon et al </w:t>
      </w:r>
      <w:r w:rsidR="00D97291">
        <w:fldChar w:fldCharType="begin">
          <w:fldData xml:space="preserve">PEVuZE5vdGU+PENpdGUgRXhjbHVkZUF1dGg9IjEiPjxBdXRob3I+U2ltb248L0F1dGhvcj48WWVh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00194054">
        <w:instrText xml:space="preserve"> ADDIN EN.CITE </w:instrText>
      </w:r>
      <w:r w:rsidR="00194054">
        <w:fldChar w:fldCharType="begin">
          <w:fldData xml:space="preserve">PEVuZE5vdGU+PENpdGUgRXhjbHVkZUF1dGg9IjEiPjxBdXRob3I+U2ltb248L0F1dGhvcj48WWVh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00194054">
        <w:instrText xml:space="preserve"> ADDIN EN.CITE.DATA </w:instrText>
      </w:r>
      <w:r w:rsidR="00194054">
        <w:fldChar w:fldCharType="end"/>
      </w:r>
      <w:r w:rsidR="00D97291">
        <w:fldChar w:fldCharType="separate"/>
      </w:r>
      <w:r w:rsidR="00D97291">
        <w:rPr>
          <w:noProof/>
        </w:rPr>
        <w:t>(</w:t>
      </w:r>
      <w:hyperlink w:anchor="_ENREF_142" w:tooltip="Simon, 2007 #179" w:history="1">
        <w:r w:rsidR="00320458">
          <w:rPr>
            <w:noProof/>
          </w:rPr>
          <w:t>2007</w:t>
        </w:r>
      </w:hyperlink>
      <w:r w:rsidR="00D97291">
        <w:rPr>
          <w:noProof/>
        </w:rPr>
        <w:t>)</w:t>
      </w:r>
      <w:r w:rsidR="00D97291">
        <w:fldChar w:fldCharType="end"/>
      </w:r>
      <w:r w:rsidR="00636692">
        <w:t xml:space="preserve"> conducted a retrospective study of </w:t>
      </w:r>
      <w:r w:rsidR="007C4DF5">
        <w:t xml:space="preserve">RFA for symptom palliation </w:t>
      </w:r>
      <w:r w:rsidR="00994FD7">
        <w:t>involving</w:t>
      </w:r>
      <w:r w:rsidR="007C4DF5">
        <w:t xml:space="preserve"> </w:t>
      </w:r>
      <w:r w:rsidR="004B5328">
        <w:t xml:space="preserve">21 patients with </w:t>
      </w:r>
      <w:r w:rsidR="00DC5C75">
        <w:t>stage IV metastatic lung cancer</w:t>
      </w:r>
      <w:r w:rsidR="007C4DF5">
        <w:t xml:space="preserve">. </w:t>
      </w:r>
      <w:r w:rsidR="00295595">
        <w:t xml:space="preserve">The results </w:t>
      </w:r>
      <w:r w:rsidR="00B856D1">
        <w:t xml:space="preserve">of this small, single-arm case series are presented in </w:t>
      </w:r>
      <w:r w:rsidR="00B856D1">
        <w:fldChar w:fldCharType="begin"/>
      </w:r>
      <w:r w:rsidR="00B856D1">
        <w:instrText xml:space="preserve"> REF _Ref459040030 \h </w:instrText>
      </w:r>
      <w:r w:rsidR="00B856D1">
        <w:fldChar w:fldCharType="separate"/>
      </w:r>
      <w:r w:rsidR="00D170A5">
        <w:t xml:space="preserve">Table </w:t>
      </w:r>
      <w:r w:rsidR="00D170A5">
        <w:rPr>
          <w:noProof/>
        </w:rPr>
        <w:t>56</w:t>
      </w:r>
      <w:r w:rsidR="00B856D1">
        <w:fldChar w:fldCharType="end"/>
      </w:r>
      <w:r w:rsidR="00B856D1">
        <w:t>.</w:t>
      </w:r>
      <w:r w:rsidR="00295595">
        <w:t xml:space="preserve"> </w:t>
      </w:r>
      <w:r w:rsidR="002E389E">
        <w:t>The majority of symptoms improved following RFA (26/27</w:t>
      </w:r>
      <w:r w:rsidR="00FF319F">
        <w:t xml:space="preserve"> lesions</w:t>
      </w:r>
      <w:r w:rsidR="002E389E">
        <w:t>)</w:t>
      </w:r>
      <w:r w:rsidR="002E343C">
        <w:t>;</w:t>
      </w:r>
      <w:r w:rsidR="00D2695F">
        <w:t xml:space="preserve"> however, 37 per cent </w:t>
      </w:r>
      <w:r w:rsidR="002E343C">
        <w:t>(10/27</w:t>
      </w:r>
      <w:r w:rsidR="00FF319F">
        <w:t xml:space="preserve"> lesions</w:t>
      </w:r>
      <w:r w:rsidR="002E343C">
        <w:t xml:space="preserve">) </w:t>
      </w:r>
      <w:r w:rsidR="00D2695F">
        <w:t xml:space="preserve">experienced </w:t>
      </w:r>
      <w:r w:rsidR="002E343C">
        <w:t>a recurrence</w:t>
      </w:r>
      <w:r w:rsidR="00351C0F">
        <w:t xml:space="preserve"> in symptoms</w:t>
      </w:r>
      <w:r w:rsidR="002E343C">
        <w:t>.</w:t>
      </w:r>
      <w:r w:rsidR="006E51E9">
        <w:t xml:space="preserve"> </w:t>
      </w:r>
      <w:r w:rsidR="00983A27">
        <w:t xml:space="preserve">As </w:t>
      </w:r>
      <w:r w:rsidR="00EA164A">
        <w:t>lesions were the base</w:t>
      </w:r>
      <w:r w:rsidR="00983A27">
        <w:t xml:space="preserve"> unit of measurement for symptom relief</w:t>
      </w:r>
      <w:r w:rsidR="00562E30">
        <w:t xml:space="preserve">, it is unclear how many patients </w:t>
      </w:r>
      <w:r w:rsidR="00D359D1">
        <w:t>benefited from symptom improvement</w:t>
      </w:r>
      <w:r w:rsidR="00FF319F">
        <w:t>, or experienced a subsequent recurrence</w:t>
      </w:r>
      <w:r w:rsidR="00562E30">
        <w:t xml:space="preserve">. For example, </w:t>
      </w:r>
      <w:r w:rsidR="00936FD7">
        <w:t>one of the patients treated for cough may</w:t>
      </w:r>
      <w:r w:rsidR="00367EAE">
        <w:t xml:space="preserve"> have had three lesions ablated</w:t>
      </w:r>
      <w:r w:rsidR="00BC50FE">
        <w:t xml:space="preserve"> without recurrence</w:t>
      </w:r>
      <w:r w:rsidR="00367EAE">
        <w:t xml:space="preserve">, </w:t>
      </w:r>
      <w:r w:rsidR="00936FD7">
        <w:t>which would have biased the 25 per cent recurrence rate</w:t>
      </w:r>
      <w:r w:rsidR="00D359D1">
        <w:t>.</w:t>
      </w:r>
      <w:r w:rsidR="00997AAC">
        <w:t xml:space="preserve"> </w:t>
      </w:r>
      <w:r w:rsidR="00295595">
        <w:t xml:space="preserve">In addition to symptom control, </w:t>
      </w:r>
      <w:r w:rsidR="00032124">
        <w:t>authors reported a</w:t>
      </w:r>
      <w:r w:rsidR="00295595">
        <w:t xml:space="preserve"> median estimated survival </w:t>
      </w:r>
      <w:r w:rsidR="00032124">
        <w:t>time of 6 months (95% CI 2</w:t>
      </w:r>
      <w:r w:rsidR="00D35E9C">
        <w:t>–</w:t>
      </w:r>
      <w:r w:rsidR="00032124">
        <w:t xml:space="preserve">10 months), which was associated with </w:t>
      </w:r>
      <w:r w:rsidR="00295595">
        <w:t xml:space="preserve">1-year survival </w:t>
      </w:r>
      <w:r w:rsidR="00032124">
        <w:t>of</w:t>
      </w:r>
      <w:r w:rsidR="00253215">
        <w:t xml:space="preserve"> 28 per cent</w:t>
      </w:r>
      <w:r w:rsidR="00295595">
        <w:t xml:space="preserve">, and 2-year </w:t>
      </w:r>
      <w:r w:rsidR="00032124">
        <w:t xml:space="preserve">of </w:t>
      </w:r>
      <w:r w:rsidR="00253215">
        <w:t>six per cent</w:t>
      </w:r>
      <w:r w:rsidR="00295595">
        <w:t>.</w:t>
      </w:r>
    </w:p>
    <w:p w14:paraId="73516779" w14:textId="1798A963" w:rsidR="001B1AFB" w:rsidRDefault="001B1AFB" w:rsidP="001B1AFB">
      <w:pPr>
        <w:pStyle w:val="Caption"/>
        <w:keepNext/>
      </w:pPr>
      <w:bookmarkStart w:id="344" w:name="_Ref459040030"/>
      <w:bookmarkStart w:id="345" w:name="_Toc460514714"/>
      <w:r>
        <w:lastRenderedPageBreak/>
        <w:t xml:space="preserve">Table </w:t>
      </w:r>
      <w:fldSimple w:instr=" SEQ Table \* ARABIC ">
        <w:r w:rsidR="00D170A5">
          <w:rPr>
            <w:noProof/>
          </w:rPr>
          <w:t>56</w:t>
        </w:r>
      </w:fldSimple>
      <w:bookmarkEnd w:id="344"/>
      <w:r>
        <w:tab/>
        <w:t xml:space="preserve">Symptom improvement in lung cancer patients treated </w:t>
      </w:r>
      <w:r w:rsidR="001E093D">
        <w:t>palliatively</w:t>
      </w:r>
      <w:r>
        <w:t xml:space="preserve"> with RFA </w:t>
      </w:r>
      <w:r>
        <w:fldChar w:fldCharType="begin">
          <w:fldData xml:space="preserve">PEVuZE5vdGU+PENpdGU+PEF1dGhvcj5TaW1vbjwvQXV0aG9yPjxZZWFyPjIwMDc8L1llYXI+PFJl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194054">
        <w:instrText xml:space="preserve"> ADDIN EN.CITE </w:instrText>
      </w:r>
      <w:r w:rsidR="00194054">
        <w:fldChar w:fldCharType="begin">
          <w:fldData xml:space="preserve">PEVuZE5vdGU+PENpdGU+PEF1dGhvcj5TaW1vbjwvQXV0aG9yPjxZZWFyPjIwMDc8L1llYXI+PFJl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194054">
        <w:instrText xml:space="preserve"> ADDIN EN.CITE.DATA </w:instrText>
      </w:r>
      <w:r w:rsidR="00194054">
        <w:fldChar w:fldCharType="end"/>
      </w:r>
      <w:r>
        <w:fldChar w:fldCharType="separate"/>
      </w:r>
      <w:r>
        <w:rPr>
          <w:noProof/>
        </w:rPr>
        <w:t>(</w:t>
      </w:r>
      <w:hyperlink w:anchor="_ENREF_142" w:tooltip="Simon, 2007 #179" w:history="1">
        <w:r w:rsidR="00320458">
          <w:rPr>
            <w:noProof/>
          </w:rPr>
          <w:t>Simon et al 2007</w:t>
        </w:r>
      </w:hyperlink>
      <w:r>
        <w:rPr>
          <w:noProof/>
        </w:rPr>
        <w:t>)</w:t>
      </w:r>
      <w:bookmarkEnd w:id="345"/>
      <w:r>
        <w:fldChar w:fldCharType="end"/>
      </w:r>
    </w:p>
    <w:tbl>
      <w:tblPr>
        <w:tblStyle w:val="TableGrid"/>
        <w:tblW w:w="0" w:type="auto"/>
        <w:tblLook w:val="04A0" w:firstRow="1" w:lastRow="0" w:firstColumn="1" w:lastColumn="0" w:noHBand="0" w:noVBand="1"/>
        <w:tblCaption w:val="Symptom improvement in lung cancer patients treated palliatively with RFA (Simon et al 2007)"/>
      </w:tblPr>
      <w:tblGrid>
        <w:gridCol w:w="2310"/>
        <w:gridCol w:w="2310"/>
        <w:gridCol w:w="2311"/>
        <w:gridCol w:w="2311"/>
      </w:tblGrid>
      <w:tr w:rsidR="00FC0FAD" w:rsidRPr="00410139" w14:paraId="2EBCFE68" w14:textId="77777777" w:rsidTr="008038A2">
        <w:trPr>
          <w:tblHeader/>
        </w:trPr>
        <w:tc>
          <w:tcPr>
            <w:tcW w:w="2310" w:type="dxa"/>
            <w:shd w:val="clear" w:color="auto" w:fill="D9D9D9" w:themeFill="background1" w:themeFillShade="D9"/>
            <w:vAlign w:val="bottom"/>
          </w:tcPr>
          <w:p w14:paraId="14FB836C" w14:textId="77777777" w:rsidR="00FC0FAD" w:rsidRPr="00BD5CA6" w:rsidRDefault="00FC0FAD" w:rsidP="007C6179">
            <w:pPr>
              <w:pStyle w:val="Tabletext1"/>
              <w:ind w:left="0"/>
              <w:rPr>
                <w:b/>
              </w:rPr>
            </w:pPr>
            <w:r w:rsidRPr="00BD5CA6">
              <w:rPr>
                <w:b/>
              </w:rPr>
              <w:t>Symptom</w:t>
            </w:r>
          </w:p>
        </w:tc>
        <w:tc>
          <w:tcPr>
            <w:tcW w:w="2310" w:type="dxa"/>
            <w:shd w:val="clear" w:color="auto" w:fill="D9D9D9" w:themeFill="background1" w:themeFillShade="D9"/>
            <w:vAlign w:val="bottom"/>
          </w:tcPr>
          <w:p w14:paraId="0FED8075" w14:textId="77777777" w:rsidR="00FC0FAD" w:rsidRPr="00BD5CA6" w:rsidRDefault="00410139" w:rsidP="007C6179">
            <w:pPr>
              <w:pStyle w:val="Tabletext1"/>
              <w:ind w:left="0"/>
              <w:rPr>
                <w:b/>
              </w:rPr>
            </w:pPr>
            <w:r w:rsidRPr="00BD5CA6">
              <w:rPr>
                <w:rFonts w:cs="Times New Roman"/>
                <w:b/>
                <w:bCs/>
              </w:rPr>
              <w:t>№</w:t>
            </w:r>
            <w:r w:rsidR="00FC0FAD" w:rsidRPr="00BD5CA6">
              <w:rPr>
                <w:b/>
              </w:rPr>
              <w:t xml:space="preserve"> of lesions treated</w:t>
            </w:r>
          </w:p>
        </w:tc>
        <w:tc>
          <w:tcPr>
            <w:tcW w:w="2311" w:type="dxa"/>
            <w:shd w:val="clear" w:color="auto" w:fill="D9D9D9" w:themeFill="background1" w:themeFillShade="D9"/>
            <w:vAlign w:val="bottom"/>
          </w:tcPr>
          <w:p w14:paraId="2565C127" w14:textId="77777777" w:rsidR="00FC0FAD" w:rsidRPr="00BD5CA6" w:rsidRDefault="00410139" w:rsidP="007C6179">
            <w:pPr>
              <w:pStyle w:val="Tabletext1"/>
              <w:ind w:left="0"/>
              <w:rPr>
                <w:b/>
              </w:rPr>
            </w:pPr>
            <w:r w:rsidRPr="00BD5CA6">
              <w:rPr>
                <w:rFonts w:cs="Times New Roman"/>
                <w:b/>
                <w:bCs/>
              </w:rPr>
              <w:t>№</w:t>
            </w:r>
            <w:r w:rsidR="00FC0FAD" w:rsidRPr="00BD5CA6">
              <w:rPr>
                <w:b/>
              </w:rPr>
              <w:t xml:space="preserve"> of lesions with symptom improvement</w:t>
            </w:r>
          </w:p>
        </w:tc>
        <w:tc>
          <w:tcPr>
            <w:tcW w:w="2311" w:type="dxa"/>
            <w:shd w:val="clear" w:color="auto" w:fill="D9D9D9" w:themeFill="background1" w:themeFillShade="D9"/>
            <w:vAlign w:val="bottom"/>
          </w:tcPr>
          <w:p w14:paraId="4BAFB4EE" w14:textId="77777777" w:rsidR="00FC0FAD" w:rsidRPr="00BD5CA6" w:rsidRDefault="00410139" w:rsidP="007C6179">
            <w:pPr>
              <w:pStyle w:val="Tabletext1"/>
              <w:ind w:left="0"/>
              <w:rPr>
                <w:b/>
              </w:rPr>
            </w:pPr>
            <w:r w:rsidRPr="00BD5CA6">
              <w:rPr>
                <w:rFonts w:cs="Times New Roman"/>
                <w:b/>
                <w:bCs/>
              </w:rPr>
              <w:t>№</w:t>
            </w:r>
            <w:r w:rsidR="00FC0FAD" w:rsidRPr="00BD5CA6">
              <w:rPr>
                <w:b/>
              </w:rPr>
              <w:t xml:space="preserve"> </w:t>
            </w:r>
            <w:proofErr w:type="gramStart"/>
            <w:r w:rsidR="00FC0FAD" w:rsidRPr="00BD5CA6">
              <w:rPr>
                <w:b/>
              </w:rPr>
              <w:t>of</w:t>
            </w:r>
            <w:proofErr w:type="gramEnd"/>
            <w:r w:rsidR="00FC0FAD" w:rsidRPr="00BD5CA6">
              <w:rPr>
                <w:b/>
              </w:rPr>
              <w:t xml:space="preserve"> </w:t>
            </w:r>
            <w:r w:rsidR="003650F7" w:rsidRPr="00BD5CA6">
              <w:rPr>
                <w:b/>
              </w:rPr>
              <w:t>lesions with symptom recurrence (%)</w:t>
            </w:r>
          </w:p>
        </w:tc>
      </w:tr>
      <w:tr w:rsidR="00FC0FAD" w:rsidRPr="00410139" w14:paraId="3C04A9B1" w14:textId="77777777" w:rsidTr="00FC0FAD">
        <w:tc>
          <w:tcPr>
            <w:tcW w:w="2310" w:type="dxa"/>
          </w:tcPr>
          <w:p w14:paraId="23789D7F" w14:textId="77777777" w:rsidR="00FC0FAD" w:rsidRPr="007C7D1A" w:rsidRDefault="003650F7" w:rsidP="007C6179">
            <w:pPr>
              <w:pStyle w:val="Tabletext1"/>
              <w:ind w:left="0"/>
            </w:pPr>
            <w:r w:rsidRPr="007C7D1A">
              <w:t>Pain</w:t>
            </w:r>
          </w:p>
        </w:tc>
        <w:tc>
          <w:tcPr>
            <w:tcW w:w="2310" w:type="dxa"/>
          </w:tcPr>
          <w:p w14:paraId="653ED013" w14:textId="77777777" w:rsidR="00FC0FAD" w:rsidRPr="007C7D1A" w:rsidRDefault="003650F7" w:rsidP="007C6179">
            <w:pPr>
              <w:pStyle w:val="Tabletext1"/>
              <w:ind w:left="0"/>
            </w:pPr>
            <w:r w:rsidRPr="007C7D1A">
              <w:t>20</w:t>
            </w:r>
          </w:p>
        </w:tc>
        <w:tc>
          <w:tcPr>
            <w:tcW w:w="2311" w:type="dxa"/>
          </w:tcPr>
          <w:p w14:paraId="35C158EC" w14:textId="77777777" w:rsidR="00FC0FAD" w:rsidRPr="007C7D1A" w:rsidRDefault="003650F7" w:rsidP="007C6179">
            <w:pPr>
              <w:pStyle w:val="Tabletext1"/>
              <w:ind w:left="0"/>
            </w:pPr>
            <w:r w:rsidRPr="007C7D1A">
              <w:t>19</w:t>
            </w:r>
          </w:p>
        </w:tc>
        <w:tc>
          <w:tcPr>
            <w:tcW w:w="2311" w:type="dxa"/>
          </w:tcPr>
          <w:p w14:paraId="557D1E6A" w14:textId="77777777" w:rsidR="00FC0FAD" w:rsidRPr="007C7D1A" w:rsidRDefault="003650F7" w:rsidP="007C6179">
            <w:pPr>
              <w:pStyle w:val="Tabletext1"/>
              <w:ind w:left="0"/>
            </w:pPr>
            <w:r w:rsidRPr="007C7D1A">
              <w:t>7 (37)</w:t>
            </w:r>
          </w:p>
        </w:tc>
      </w:tr>
      <w:tr w:rsidR="00FC0FAD" w:rsidRPr="00410139" w14:paraId="7D88F9F8" w14:textId="77777777" w:rsidTr="00FC0FAD">
        <w:tc>
          <w:tcPr>
            <w:tcW w:w="2310" w:type="dxa"/>
          </w:tcPr>
          <w:p w14:paraId="19EEB555" w14:textId="77777777" w:rsidR="00FC0FAD" w:rsidRPr="007C7D1A" w:rsidRDefault="003650F7" w:rsidP="007C6179">
            <w:pPr>
              <w:pStyle w:val="Tabletext1"/>
              <w:ind w:left="0"/>
            </w:pPr>
            <w:r w:rsidRPr="007C7D1A">
              <w:t>Haemoptysis</w:t>
            </w:r>
          </w:p>
        </w:tc>
        <w:tc>
          <w:tcPr>
            <w:tcW w:w="2310" w:type="dxa"/>
          </w:tcPr>
          <w:p w14:paraId="75AF4309" w14:textId="77777777" w:rsidR="00FC0FAD" w:rsidRPr="007C7D1A" w:rsidRDefault="003650F7" w:rsidP="007C6179">
            <w:pPr>
              <w:pStyle w:val="Tabletext1"/>
              <w:ind w:left="0"/>
            </w:pPr>
            <w:r w:rsidRPr="007C7D1A">
              <w:t>3</w:t>
            </w:r>
          </w:p>
        </w:tc>
        <w:tc>
          <w:tcPr>
            <w:tcW w:w="2311" w:type="dxa"/>
          </w:tcPr>
          <w:p w14:paraId="5FABA335" w14:textId="77777777" w:rsidR="00FC0FAD" w:rsidRPr="007C7D1A" w:rsidRDefault="003650F7" w:rsidP="007C6179">
            <w:pPr>
              <w:pStyle w:val="Tabletext1"/>
              <w:ind w:left="0"/>
            </w:pPr>
            <w:r w:rsidRPr="007C7D1A">
              <w:t>3</w:t>
            </w:r>
          </w:p>
        </w:tc>
        <w:tc>
          <w:tcPr>
            <w:tcW w:w="2311" w:type="dxa"/>
          </w:tcPr>
          <w:p w14:paraId="56A11AAB" w14:textId="77777777" w:rsidR="00FC0FAD" w:rsidRPr="007C7D1A" w:rsidRDefault="003650F7" w:rsidP="007C6179">
            <w:pPr>
              <w:pStyle w:val="Tabletext1"/>
              <w:ind w:left="0"/>
            </w:pPr>
            <w:r w:rsidRPr="007C7D1A">
              <w:t>2 (67)</w:t>
            </w:r>
          </w:p>
        </w:tc>
      </w:tr>
      <w:tr w:rsidR="00FC0FAD" w:rsidRPr="00410139" w14:paraId="5F9A3F74" w14:textId="77777777" w:rsidTr="00FC0FAD">
        <w:tc>
          <w:tcPr>
            <w:tcW w:w="2310" w:type="dxa"/>
          </w:tcPr>
          <w:p w14:paraId="0AEA95DC" w14:textId="77777777" w:rsidR="00FC0FAD" w:rsidRPr="007C7D1A" w:rsidRDefault="003650F7" w:rsidP="007C6179">
            <w:pPr>
              <w:pStyle w:val="Tabletext1"/>
              <w:ind w:left="0"/>
            </w:pPr>
            <w:r w:rsidRPr="007C7D1A">
              <w:t>Cough</w:t>
            </w:r>
          </w:p>
        </w:tc>
        <w:tc>
          <w:tcPr>
            <w:tcW w:w="2310" w:type="dxa"/>
          </w:tcPr>
          <w:p w14:paraId="6483C8A6" w14:textId="77777777" w:rsidR="00FC0FAD" w:rsidRPr="007C7D1A" w:rsidRDefault="003650F7" w:rsidP="007C6179">
            <w:pPr>
              <w:pStyle w:val="Tabletext1"/>
              <w:ind w:left="0"/>
            </w:pPr>
            <w:r w:rsidRPr="007C7D1A">
              <w:t>4</w:t>
            </w:r>
          </w:p>
        </w:tc>
        <w:tc>
          <w:tcPr>
            <w:tcW w:w="2311" w:type="dxa"/>
          </w:tcPr>
          <w:p w14:paraId="2EB57D32" w14:textId="77777777" w:rsidR="00FC0FAD" w:rsidRPr="007C7D1A" w:rsidRDefault="003650F7" w:rsidP="007C6179">
            <w:pPr>
              <w:pStyle w:val="Tabletext1"/>
              <w:ind w:left="0"/>
            </w:pPr>
            <w:r w:rsidRPr="007C7D1A">
              <w:t>4</w:t>
            </w:r>
          </w:p>
        </w:tc>
        <w:tc>
          <w:tcPr>
            <w:tcW w:w="2311" w:type="dxa"/>
          </w:tcPr>
          <w:p w14:paraId="0390A86E" w14:textId="77777777" w:rsidR="00FC0FAD" w:rsidRPr="007C7D1A" w:rsidRDefault="003650F7" w:rsidP="007C6179">
            <w:pPr>
              <w:pStyle w:val="Tabletext1"/>
              <w:ind w:left="0"/>
            </w:pPr>
            <w:r w:rsidRPr="007C7D1A">
              <w:t>1 (25)</w:t>
            </w:r>
          </w:p>
        </w:tc>
      </w:tr>
    </w:tbl>
    <w:p w14:paraId="64D6061C" w14:textId="77777777" w:rsidR="00D93080" w:rsidRDefault="00D93080" w:rsidP="003F6C66">
      <w:pPr>
        <w:pStyle w:val="Heading3"/>
      </w:pPr>
      <w:bookmarkStart w:id="346" w:name="_Toc460396070"/>
      <w:r w:rsidRPr="003A53A3">
        <w:t xml:space="preserve">Effectiveness of </w:t>
      </w:r>
      <w:r w:rsidR="00953048" w:rsidRPr="003A53A3">
        <w:t>radiotherapy</w:t>
      </w:r>
      <w:r w:rsidRPr="003A53A3">
        <w:t xml:space="preserve"> for palliation of advanced-stage lung cancer</w:t>
      </w:r>
      <w:bookmarkEnd w:id="346"/>
    </w:p>
    <w:p w14:paraId="01B5567D" w14:textId="0C7EBFE3" w:rsidR="00197B43" w:rsidRDefault="00DB3649" w:rsidP="00780409">
      <w:r>
        <w:t xml:space="preserve">The effectiveness of radiotherapy for palliative treatment of advanced stage lung cancer was recently reported </w:t>
      </w:r>
      <w:r w:rsidR="0084719A">
        <w:t>in</w:t>
      </w:r>
      <w:r>
        <w:t xml:space="preserve"> a Cochrane rev</w:t>
      </w:r>
      <w:r w:rsidR="0084719A">
        <w:t xml:space="preserve">iew by </w:t>
      </w:r>
      <w:r w:rsidR="00D97291">
        <w:t xml:space="preserve">Stevens et al </w:t>
      </w:r>
      <w:r w:rsidR="00D97291">
        <w:fldChar w:fldCharType="begin"/>
      </w:r>
      <w:r w:rsidR="00194054">
        <w:instrText xml:space="preserve"> ADDIN EN.CITE &lt;EndNote&gt;&lt;Cite ExcludeAuth="1"&gt;&lt;Author&gt;Stevens&lt;/Author&gt;&lt;Year&gt;2015&lt;/Year&gt;&lt;RecNum&gt;159&lt;/RecNum&gt;&lt;DisplayText&gt;(2015)&lt;/DisplayText&gt;&lt;record&gt;&lt;rec-number&gt;159&lt;/rec-number&gt;&lt;foreign-keys&gt;&lt;key app="EN" db-id="05ssdaw2cf0zvye5xvo5z9ww0xdpfstrdtew" timestamp="1469142663"&gt;159&lt;/key&gt;&lt;/foreign-keys&gt;&lt;ref-type name="Journal Article"&gt;17&lt;/ref-type&gt;&lt;contributors&gt;&lt;authors&gt;&lt;author&gt;Stevens, R.&lt;/author&gt;&lt;author&gt;Macbeth, F.&lt;/author&gt;&lt;author&gt;Toy, E.&lt;/author&gt;&lt;author&gt;Coles, B.&lt;/author&gt;&lt;author&gt;Lester, J. F.&lt;/author&gt;&lt;/authors&gt;&lt;/contributors&gt;&lt;auth-address&gt;Beatson West of Scotland Cancer Centre, Glasgow, UK.&lt;/auth-address&gt;&lt;titles&gt;&lt;title&gt;Palliative radiotherapy regimens for patients with thoracic symptoms from non-small cell lung cancer&lt;/title&gt;&lt;secondary-title&gt;Cochrane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002143&lt;/pages&gt;&lt;volume&gt;1&lt;/volume&gt;&lt;edition&gt;2015/01/15&lt;/edition&gt;&lt;dates&gt;&lt;year&gt;2015&lt;/year&gt;&lt;/dates&gt;&lt;isbn&gt;1361-6137&lt;/isbn&gt;&lt;accession-num&gt;25586198&lt;/accession-num&gt;&lt;urls&gt;&lt;/urls&gt;&lt;electronic-resource-num&gt;10.1002/14651858.CD002143.pub4&lt;/electronic-resource-num&gt;&lt;remote-database-provider&gt;NLM&lt;/remote-database-provider&gt;&lt;language&gt;eng&lt;/language&gt;&lt;/record&gt;&lt;/Cite&gt;&lt;/EndNote&gt;</w:instrText>
      </w:r>
      <w:r w:rsidR="00D97291">
        <w:fldChar w:fldCharType="separate"/>
      </w:r>
      <w:r w:rsidR="00D97291">
        <w:rPr>
          <w:noProof/>
        </w:rPr>
        <w:t>(</w:t>
      </w:r>
      <w:hyperlink w:anchor="_ENREF_148" w:tooltip="Stevens, 2015 #159" w:history="1">
        <w:r w:rsidR="00320458">
          <w:rPr>
            <w:noProof/>
          </w:rPr>
          <w:t>2015</w:t>
        </w:r>
      </w:hyperlink>
      <w:r w:rsidR="00D97291">
        <w:rPr>
          <w:noProof/>
        </w:rPr>
        <w:t>)</w:t>
      </w:r>
      <w:r w:rsidR="00D97291">
        <w:fldChar w:fldCharType="end"/>
      </w:r>
      <w:r w:rsidR="0084719A">
        <w:t xml:space="preserve">. The review included </w:t>
      </w:r>
      <w:r w:rsidR="00752386">
        <w:t>13 RCTs</w:t>
      </w:r>
      <w:r w:rsidR="000656B5">
        <w:t xml:space="preserve"> that </w:t>
      </w:r>
      <w:r w:rsidR="00752386">
        <w:t xml:space="preserve">compared </w:t>
      </w:r>
      <w:r w:rsidR="008936D4">
        <w:t>the effects of radiotherapy</w:t>
      </w:r>
      <w:r w:rsidR="006C48D7">
        <w:t xml:space="preserve"> fractionation schedules</w:t>
      </w:r>
      <w:r w:rsidR="008936D4">
        <w:t xml:space="preserve"> on symptom improvement and overall survival</w:t>
      </w:r>
      <w:r w:rsidR="006C48D7">
        <w:t>.</w:t>
      </w:r>
      <w:r w:rsidR="00320DF7">
        <w:t xml:space="preserve"> </w:t>
      </w:r>
      <w:r w:rsidR="0056203D">
        <w:t xml:space="preserve">The authors noted that all of the included studies reported a benefit of radiotherapy on symptom improvement, but concluded that no strong evidence for higher doses were associated with better or longer lasting palliation. </w:t>
      </w:r>
    </w:p>
    <w:p w14:paraId="24C3A59F" w14:textId="77777777" w:rsidR="00270A54" w:rsidRPr="00F34E83" w:rsidRDefault="00270A54" w:rsidP="00780409">
      <w:pPr>
        <w:rPr>
          <w:b/>
          <w:i/>
        </w:rPr>
      </w:pPr>
      <w:r w:rsidRPr="00F34E83">
        <w:rPr>
          <w:b/>
          <w:i/>
        </w:rPr>
        <w:t>Quality of life</w:t>
      </w:r>
    </w:p>
    <w:p w14:paraId="00B57EB0" w14:textId="77777777" w:rsidR="00DA2150" w:rsidRPr="00C679F2" w:rsidRDefault="00DA2150" w:rsidP="00DA2150">
      <w:r>
        <w:t xml:space="preserve">The overall </w:t>
      </w:r>
      <w:proofErr w:type="gramStart"/>
      <w:r>
        <w:t>survival</w:t>
      </w:r>
      <w:proofErr w:type="gramEnd"/>
      <w:r>
        <w:t xml:space="preserve"> in patients </w:t>
      </w:r>
      <w:r w:rsidR="00296B98">
        <w:t xml:space="preserve">who have </w:t>
      </w:r>
      <w:r>
        <w:t xml:space="preserve">good or poor performance status, with quality of evidence ratings for the reported relative effect, are presented in </w:t>
      </w:r>
      <w:r>
        <w:fldChar w:fldCharType="begin"/>
      </w:r>
      <w:r>
        <w:instrText xml:space="preserve"> REF _Ref459041096 \h </w:instrText>
      </w:r>
      <w:r>
        <w:fldChar w:fldCharType="separate"/>
      </w:r>
      <w:r w:rsidR="00D170A5">
        <w:t xml:space="preserve">Table </w:t>
      </w:r>
      <w:r w:rsidR="00D170A5">
        <w:rPr>
          <w:noProof/>
        </w:rPr>
        <w:t>57</w:t>
      </w:r>
      <w:r>
        <w:fldChar w:fldCharType="end"/>
      </w:r>
      <w:r>
        <w:t xml:space="preserve">. </w:t>
      </w:r>
    </w:p>
    <w:p w14:paraId="4DC9D9B6" w14:textId="77D7502F" w:rsidR="00F46EFF" w:rsidRDefault="00F46EFF" w:rsidP="00F46EFF">
      <w:pPr>
        <w:pStyle w:val="Caption"/>
        <w:keepNext/>
      </w:pPr>
      <w:bookmarkStart w:id="347" w:name="_Ref459041096"/>
      <w:bookmarkStart w:id="348" w:name="_Toc460514715"/>
      <w:r>
        <w:t xml:space="preserve">Table </w:t>
      </w:r>
      <w:fldSimple w:instr=" SEQ Table \* ARABIC ">
        <w:r w:rsidR="00D170A5">
          <w:rPr>
            <w:noProof/>
          </w:rPr>
          <w:t>57</w:t>
        </w:r>
      </w:fldSimple>
      <w:bookmarkEnd w:id="347"/>
      <w:r>
        <w:tab/>
        <w:t>Effectiveness and quality of evidence for palliative radiotherapy regimens</w:t>
      </w:r>
      <w:r w:rsidR="00E94AE1">
        <w:t xml:space="preserve"> </w:t>
      </w:r>
      <w:r w:rsidR="00E94AE1">
        <w:fldChar w:fldCharType="begin"/>
      </w:r>
      <w:r w:rsidR="00194054">
        <w:instrText xml:space="preserve"> ADDIN EN.CITE &lt;EndNote&gt;&lt;Cite&gt;&lt;Author&gt;Stevens&lt;/Author&gt;&lt;Year&gt;2015&lt;/Year&gt;&lt;RecNum&gt;159&lt;/RecNum&gt;&lt;DisplayText&gt;(Stevens et al 2015)&lt;/DisplayText&gt;&lt;record&gt;&lt;rec-number&gt;159&lt;/rec-number&gt;&lt;foreign-keys&gt;&lt;key app="EN" db-id="05ssdaw2cf0zvye5xvo5z9ww0xdpfstrdtew" timestamp="1469142663"&gt;159&lt;/key&gt;&lt;/foreign-keys&gt;&lt;ref-type name="Journal Article"&gt;17&lt;/ref-type&gt;&lt;contributors&gt;&lt;authors&gt;&lt;author&gt;Stevens, R.&lt;/author&gt;&lt;author&gt;Macbeth, F.&lt;/author&gt;&lt;author&gt;Toy, E.&lt;/author&gt;&lt;author&gt;Coles, B.&lt;/author&gt;&lt;author&gt;Lester, J. F.&lt;/author&gt;&lt;/authors&gt;&lt;/contributors&gt;&lt;auth-address&gt;Beatson West of Scotland Cancer Centre, Glasgow, UK.&lt;/auth-address&gt;&lt;titles&gt;&lt;title&gt;Palliative radiotherapy regimens for patients with thoracic symptoms from non-small cell lung cancer&lt;/title&gt;&lt;secondary-title&gt;Cochrane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002143&lt;/pages&gt;&lt;volume&gt;1&lt;/volume&gt;&lt;edition&gt;2015/01/15&lt;/edition&gt;&lt;dates&gt;&lt;year&gt;2015&lt;/year&gt;&lt;/dates&gt;&lt;isbn&gt;1361-6137&lt;/isbn&gt;&lt;accession-num&gt;25586198&lt;/accession-num&gt;&lt;urls&gt;&lt;/urls&gt;&lt;electronic-resource-num&gt;10.1002/14651858.CD002143.pub4&lt;/electronic-resource-num&gt;&lt;remote-database-provider&gt;NLM&lt;/remote-database-provider&gt;&lt;language&gt;eng&lt;/language&gt;&lt;/record&gt;&lt;/Cite&gt;&lt;/EndNote&gt;</w:instrText>
      </w:r>
      <w:r w:rsidR="00E94AE1">
        <w:fldChar w:fldCharType="separate"/>
      </w:r>
      <w:r w:rsidR="00E94AE1">
        <w:rPr>
          <w:noProof/>
        </w:rPr>
        <w:t>(</w:t>
      </w:r>
      <w:hyperlink w:anchor="_ENREF_148" w:tooltip="Stevens, 2015 #159" w:history="1">
        <w:r w:rsidR="00320458">
          <w:rPr>
            <w:noProof/>
          </w:rPr>
          <w:t>Stevens et al 2015</w:t>
        </w:r>
      </w:hyperlink>
      <w:r w:rsidR="00E94AE1">
        <w:rPr>
          <w:noProof/>
        </w:rPr>
        <w:t>)</w:t>
      </w:r>
      <w:bookmarkEnd w:id="348"/>
      <w:r w:rsidR="00E94AE1">
        <w:fldChar w:fldCharType="end"/>
      </w:r>
    </w:p>
    <w:tbl>
      <w:tblPr>
        <w:tblStyle w:val="TableGrid"/>
        <w:tblW w:w="9319" w:type="dxa"/>
        <w:tblLook w:val="04A0" w:firstRow="1" w:lastRow="0" w:firstColumn="1" w:lastColumn="0" w:noHBand="0" w:noVBand="1"/>
        <w:tblCaption w:val="Effectiveness and quality of evidence for palliative radiotherapy regimens (Stevens et al 2015)"/>
      </w:tblPr>
      <w:tblGrid>
        <w:gridCol w:w="1384"/>
        <w:gridCol w:w="1202"/>
        <w:gridCol w:w="1232"/>
        <w:gridCol w:w="1204"/>
        <w:gridCol w:w="1147"/>
        <w:gridCol w:w="1218"/>
        <w:gridCol w:w="1932"/>
      </w:tblGrid>
      <w:tr w:rsidR="00F46EFF" w:rsidRPr="00410139" w14:paraId="0CC33649" w14:textId="77777777" w:rsidTr="00F34E83">
        <w:trPr>
          <w:tblHeader/>
        </w:trPr>
        <w:tc>
          <w:tcPr>
            <w:tcW w:w="1384" w:type="dxa"/>
            <w:tcBorders>
              <w:bottom w:val="nil"/>
            </w:tcBorders>
            <w:shd w:val="clear" w:color="auto" w:fill="D9D9D9" w:themeFill="background1" w:themeFillShade="D9"/>
          </w:tcPr>
          <w:p w14:paraId="53B208AA" w14:textId="77777777" w:rsidR="00F46EFF" w:rsidRPr="00410139" w:rsidRDefault="00F46EFF" w:rsidP="007C6179">
            <w:pPr>
              <w:spacing w:after="60"/>
              <w:ind w:left="0"/>
              <w:jc w:val="left"/>
              <w:rPr>
                <w:rFonts w:ascii="Arial Narrow" w:hAnsi="Arial Narrow"/>
                <w:b/>
                <w:sz w:val="20"/>
                <w:szCs w:val="20"/>
              </w:rPr>
            </w:pPr>
          </w:p>
        </w:tc>
        <w:tc>
          <w:tcPr>
            <w:tcW w:w="1202" w:type="dxa"/>
            <w:tcBorders>
              <w:right w:val="nil"/>
            </w:tcBorders>
            <w:shd w:val="clear" w:color="auto" w:fill="D9D9D9" w:themeFill="background1" w:themeFillShade="D9"/>
          </w:tcPr>
          <w:p w14:paraId="70033620" w14:textId="465B98E8"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 xml:space="preserve">Illustrative risks </w:t>
            </w:r>
          </w:p>
        </w:tc>
        <w:tc>
          <w:tcPr>
            <w:tcW w:w="1232" w:type="dxa"/>
            <w:tcBorders>
              <w:left w:val="nil"/>
            </w:tcBorders>
            <w:shd w:val="clear" w:color="auto" w:fill="D9D9D9" w:themeFill="background1" w:themeFillShade="D9"/>
          </w:tcPr>
          <w:p w14:paraId="464057B2" w14:textId="77777777" w:rsidR="00F46EFF" w:rsidRPr="00410139" w:rsidRDefault="00F46EFF" w:rsidP="007C6179">
            <w:pPr>
              <w:spacing w:after="60"/>
              <w:ind w:left="-88"/>
              <w:jc w:val="left"/>
              <w:rPr>
                <w:rFonts w:ascii="Arial Narrow" w:hAnsi="Arial Narrow"/>
                <w:b/>
                <w:sz w:val="20"/>
                <w:szCs w:val="20"/>
              </w:rPr>
            </w:pPr>
            <w:r w:rsidRPr="00410139">
              <w:rPr>
                <w:rFonts w:ascii="Arial Narrow" w:hAnsi="Arial Narrow"/>
                <w:b/>
                <w:sz w:val="20"/>
                <w:szCs w:val="20"/>
              </w:rPr>
              <w:t>comparative (95% CI)</w:t>
            </w:r>
          </w:p>
        </w:tc>
        <w:tc>
          <w:tcPr>
            <w:tcW w:w="1204" w:type="dxa"/>
            <w:tcBorders>
              <w:bottom w:val="nil"/>
            </w:tcBorders>
            <w:shd w:val="clear" w:color="auto" w:fill="D9D9D9" w:themeFill="background1" w:themeFillShade="D9"/>
          </w:tcPr>
          <w:p w14:paraId="2D711B10" w14:textId="77777777"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Relative effect</w:t>
            </w:r>
          </w:p>
        </w:tc>
        <w:tc>
          <w:tcPr>
            <w:tcW w:w="1147" w:type="dxa"/>
            <w:tcBorders>
              <w:bottom w:val="nil"/>
            </w:tcBorders>
            <w:shd w:val="clear" w:color="auto" w:fill="D9D9D9" w:themeFill="background1" w:themeFillShade="D9"/>
          </w:tcPr>
          <w:p w14:paraId="6727EEA8" w14:textId="77777777"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 xml:space="preserve">No of </w:t>
            </w:r>
            <w:r w:rsidR="003A53A3" w:rsidRPr="00410139">
              <w:rPr>
                <w:rFonts w:ascii="Arial Narrow" w:hAnsi="Arial Narrow"/>
                <w:b/>
                <w:sz w:val="20"/>
                <w:szCs w:val="20"/>
              </w:rPr>
              <w:t>patients</w:t>
            </w:r>
          </w:p>
        </w:tc>
        <w:tc>
          <w:tcPr>
            <w:tcW w:w="1218" w:type="dxa"/>
            <w:tcBorders>
              <w:bottom w:val="nil"/>
            </w:tcBorders>
            <w:shd w:val="clear" w:color="auto" w:fill="D9D9D9" w:themeFill="background1" w:themeFillShade="D9"/>
          </w:tcPr>
          <w:p w14:paraId="01FB8591" w14:textId="77777777"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Quality of the evidence</w:t>
            </w:r>
          </w:p>
        </w:tc>
        <w:tc>
          <w:tcPr>
            <w:tcW w:w="1932" w:type="dxa"/>
            <w:tcBorders>
              <w:bottom w:val="nil"/>
            </w:tcBorders>
            <w:shd w:val="clear" w:color="auto" w:fill="D9D9D9" w:themeFill="background1" w:themeFillShade="D9"/>
          </w:tcPr>
          <w:p w14:paraId="293FB9AF" w14:textId="77777777" w:rsidR="00F46EFF" w:rsidRPr="00410139" w:rsidRDefault="00F46EFF" w:rsidP="007C6179">
            <w:pPr>
              <w:spacing w:after="60"/>
              <w:ind w:left="0"/>
              <w:jc w:val="left"/>
              <w:rPr>
                <w:rFonts w:ascii="Arial Narrow" w:hAnsi="Arial Narrow"/>
                <w:b/>
                <w:sz w:val="20"/>
                <w:szCs w:val="20"/>
              </w:rPr>
            </w:pPr>
          </w:p>
        </w:tc>
      </w:tr>
      <w:tr w:rsidR="00F46EFF" w:rsidRPr="00410139" w14:paraId="3A81AF9F" w14:textId="77777777" w:rsidTr="00F34E83">
        <w:tc>
          <w:tcPr>
            <w:tcW w:w="1384" w:type="dxa"/>
            <w:tcBorders>
              <w:top w:val="nil"/>
            </w:tcBorders>
            <w:shd w:val="clear" w:color="auto" w:fill="D9D9D9" w:themeFill="background1" w:themeFillShade="D9"/>
          </w:tcPr>
          <w:p w14:paraId="3806527B" w14:textId="77777777"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Outcomes</w:t>
            </w:r>
          </w:p>
        </w:tc>
        <w:tc>
          <w:tcPr>
            <w:tcW w:w="1202" w:type="dxa"/>
            <w:shd w:val="clear" w:color="auto" w:fill="D9D9D9" w:themeFill="background1" w:themeFillShade="D9"/>
            <w:vAlign w:val="bottom"/>
          </w:tcPr>
          <w:p w14:paraId="659708DB" w14:textId="77777777"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Less fractions</w:t>
            </w:r>
          </w:p>
        </w:tc>
        <w:tc>
          <w:tcPr>
            <w:tcW w:w="1232" w:type="dxa"/>
            <w:shd w:val="clear" w:color="auto" w:fill="D9D9D9" w:themeFill="background1" w:themeFillShade="D9"/>
            <w:vAlign w:val="bottom"/>
          </w:tcPr>
          <w:p w14:paraId="6E3BA108" w14:textId="77777777"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More fractions</w:t>
            </w:r>
          </w:p>
        </w:tc>
        <w:tc>
          <w:tcPr>
            <w:tcW w:w="1204" w:type="dxa"/>
            <w:tcBorders>
              <w:top w:val="nil"/>
            </w:tcBorders>
            <w:shd w:val="clear" w:color="auto" w:fill="D9D9D9" w:themeFill="background1" w:themeFillShade="D9"/>
          </w:tcPr>
          <w:p w14:paraId="009DAA32" w14:textId="77777777"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(95% CI)</w:t>
            </w:r>
          </w:p>
        </w:tc>
        <w:tc>
          <w:tcPr>
            <w:tcW w:w="1147" w:type="dxa"/>
            <w:tcBorders>
              <w:top w:val="nil"/>
            </w:tcBorders>
            <w:shd w:val="clear" w:color="auto" w:fill="D9D9D9" w:themeFill="background1" w:themeFillShade="D9"/>
          </w:tcPr>
          <w:p w14:paraId="3B96DE10" w14:textId="77777777"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(studies)</w:t>
            </w:r>
          </w:p>
        </w:tc>
        <w:tc>
          <w:tcPr>
            <w:tcW w:w="1218" w:type="dxa"/>
            <w:tcBorders>
              <w:top w:val="nil"/>
            </w:tcBorders>
            <w:shd w:val="clear" w:color="auto" w:fill="D9D9D9" w:themeFill="background1" w:themeFillShade="D9"/>
          </w:tcPr>
          <w:p w14:paraId="25D1D180" w14:textId="77777777"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(GRADE)</w:t>
            </w:r>
          </w:p>
        </w:tc>
        <w:tc>
          <w:tcPr>
            <w:tcW w:w="1932" w:type="dxa"/>
            <w:tcBorders>
              <w:top w:val="nil"/>
            </w:tcBorders>
            <w:shd w:val="clear" w:color="auto" w:fill="D9D9D9" w:themeFill="background1" w:themeFillShade="D9"/>
          </w:tcPr>
          <w:p w14:paraId="7D5ED797" w14:textId="77777777" w:rsidR="00F46EFF" w:rsidRPr="00410139" w:rsidRDefault="00F46EFF" w:rsidP="007C6179">
            <w:pPr>
              <w:spacing w:after="60"/>
              <w:ind w:left="0"/>
              <w:jc w:val="left"/>
              <w:rPr>
                <w:rFonts w:ascii="Arial Narrow" w:hAnsi="Arial Narrow"/>
                <w:b/>
                <w:sz w:val="20"/>
                <w:szCs w:val="20"/>
              </w:rPr>
            </w:pPr>
            <w:r w:rsidRPr="00410139">
              <w:rPr>
                <w:rFonts w:ascii="Arial Narrow" w:hAnsi="Arial Narrow"/>
                <w:b/>
                <w:sz w:val="20"/>
                <w:szCs w:val="20"/>
              </w:rPr>
              <w:t>Comments</w:t>
            </w:r>
          </w:p>
        </w:tc>
      </w:tr>
      <w:tr w:rsidR="00F46EFF" w:rsidRPr="00410139" w14:paraId="082EE500" w14:textId="77777777" w:rsidTr="00A66AD3">
        <w:tc>
          <w:tcPr>
            <w:tcW w:w="1384" w:type="dxa"/>
          </w:tcPr>
          <w:p w14:paraId="1C3B32AB" w14:textId="77777777" w:rsidR="00F46EFF" w:rsidRPr="00410139" w:rsidRDefault="00761133" w:rsidP="007C6179">
            <w:pPr>
              <w:pStyle w:val="Tabletext1"/>
              <w:ind w:left="0"/>
            </w:pPr>
            <w:r w:rsidRPr="00410139">
              <w:t>1-year overall survival</w:t>
            </w:r>
            <w:r w:rsidR="001F4062" w:rsidRPr="00410139">
              <w:t xml:space="preserve"> in patients of good performance status</w:t>
            </w:r>
          </w:p>
        </w:tc>
        <w:tc>
          <w:tcPr>
            <w:tcW w:w="1202" w:type="dxa"/>
          </w:tcPr>
          <w:p w14:paraId="26137DAC" w14:textId="77777777" w:rsidR="00F46EFF" w:rsidRPr="00410139" w:rsidRDefault="00750371" w:rsidP="007C6179">
            <w:pPr>
              <w:pStyle w:val="Tabletext1"/>
              <w:ind w:left="0"/>
            </w:pPr>
            <w:r w:rsidRPr="00410139">
              <w:t xml:space="preserve">Mean 25.6% </w:t>
            </w:r>
          </w:p>
          <w:p w14:paraId="54C90820" w14:textId="0D15930F" w:rsidR="00750371" w:rsidRPr="00410139" w:rsidRDefault="00750371" w:rsidP="007C6179">
            <w:pPr>
              <w:pStyle w:val="Tabletext1"/>
              <w:ind w:left="0"/>
            </w:pPr>
            <w:r w:rsidRPr="00410139">
              <w:t>(9.4</w:t>
            </w:r>
            <w:r w:rsidR="00D35E9C">
              <w:t>–</w:t>
            </w:r>
            <w:r w:rsidRPr="00410139">
              <w:t>45.7%)</w:t>
            </w:r>
          </w:p>
        </w:tc>
        <w:tc>
          <w:tcPr>
            <w:tcW w:w="1232" w:type="dxa"/>
          </w:tcPr>
          <w:p w14:paraId="3F4988E5" w14:textId="77777777" w:rsidR="00F46EFF" w:rsidRPr="00410139" w:rsidRDefault="00750371" w:rsidP="007C6179">
            <w:pPr>
              <w:pStyle w:val="Tabletext1"/>
              <w:ind w:left="0"/>
            </w:pPr>
            <w:r w:rsidRPr="00410139">
              <w:t>Mean 33.3%</w:t>
            </w:r>
          </w:p>
          <w:p w14:paraId="031587CC" w14:textId="078BD013" w:rsidR="00750371" w:rsidRPr="00410139" w:rsidRDefault="00750371" w:rsidP="007C6179">
            <w:pPr>
              <w:pStyle w:val="Tabletext1"/>
              <w:ind w:left="0"/>
            </w:pPr>
            <w:r w:rsidRPr="00410139">
              <w:t>(11.4</w:t>
            </w:r>
            <w:r w:rsidR="00D35E9C">
              <w:t>–</w:t>
            </w:r>
            <w:r w:rsidRPr="00410139">
              <w:t>46.2%)</w:t>
            </w:r>
          </w:p>
        </w:tc>
        <w:tc>
          <w:tcPr>
            <w:tcW w:w="1204" w:type="dxa"/>
          </w:tcPr>
          <w:p w14:paraId="6C073EF9" w14:textId="77777777" w:rsidR="00F46EFF" w:rsidRPr="00410139" w:rsidRDefault="00F46EFF" w:rsidP="007C6179">
            <w:pPr>
              <w:pStyle w:val="Tabletext1"/>
            </w:pPr>
          </w:p>
        </w:tc>
        <w:tc>
          <w:tcPr>
            <w:tcW w:w="1147" w:type="dxa"/>
          </w:tcPr>
          <w:p w14:paraId="6D07DA8E" w14:textId="77777777" w:rsidR="00F46EFF" w:rsidRPr="00410139" w:rsidRDefault="00F46EFF" w:rsidP="007C6179">
            <w:pPr>
              <w:pStyle w:val="Tabletext1"/>
              <w:ind w:left="0"/>
            </w:pPr>
            <w:r w:rsidRPr="00410139">
              <w:t>1</w:t>
            </w:r>
            <w:r w:rsidR="00F829C6" w:rsidRPr="00410139">
              <w:t>,</w:t>
            </w:r>
            <w:r w:rsidR="00750371" w:rsidRPr="00410139">
              <w:t>081</w:t>
            </w:r>
            <w:r w:rsidRPr="00410139">
              <w:t xml:space="preserve"> </w:t>
            </w:r>
          </w:p>
          <w:p w14:paraId="61587358" w14:textId="77777777" w:rsidR="00F46EFF" w:rsidRPr="00410139" w:rsidRDefault="00F46EFF" w:rsidP="007C6179">
            <w:pPr>
              <w:pStyle w:val="Tabletext1"/>
              <w:ind w:left="0"/>
            </w:pPr>
            <w:r w:rsidRPr="00410139">
              <w:t>(8 studies)</w:t>
            </w:r>
          </w:p>
        </w:tc>
        <w:tc>
          <w:tcPr>
            <w:tcW w:w="1218" w:type="dxa"/>
          </w:tcPr>
          <w:p w14:paraId="194DD741" w14:textId="77777777" w:rsidR="00F46EFF" w:rsidRPr="00410139" w:rsidRDefault="00F46EFF" w:rsidP="007C6179">
            <w:pPr>
              <w:pStyle w:val="Tabletext1"/>
              <w:ind w:left="0"/>
            </w:pPr>
            <w:r w:rsidRPr="007C7D1A">
              <w:rPr>
                <w:rFonts w:ascii="Cambria Math" w:hAnsi="Cambria Math" w:cs="Cambria Math"/>
                <w:color w:val="00B050"/>
              </w:rPr>
              <w:t>⨁⨁</w:t>
            </w:r>
            <w:r w:rsidRPr="007C7D1A">
              <w:rPr>
                <w:rFonts w:ascii="Cambria Math" w:hAnsi="Cambria Math" w:cs="Cambria Math"/>
                <w:color w:val="C00000"/>
              </w:rPr>
              <w:t>⨀⨀</w:t>
            </w:r>
            <w:r w:rsidRPr="007C7D1A">
              <w:rPr>
                <w:rStyle w:val="quality-sign"/>
                <w:rFonts w:eastAsia="MS Mincho" w:cs="MS Mincho"/>
              </w:rPr>
              <w:t xml:space="preserve"> LOW</w:t>
            </w:r>
          </w:p>
        </w:tc>
        <w:tc>
          <w:tcPr>
            <w:tcW w:w="1932" w:type="dxa"/>
          </w:tcPr>
          <w:p w14:paraId="5A479BBF" w14:textId="77777777" w:rsidR="00F46EFF" w:rsidRPr="00410139" w:rsidRDefault="007D7BAD" w:rsidP="007C6179">
            <w:pPr>
              <w:pStyle w:val="Tabletext1"/>
              <w:ind w:left="0"/>
            </w:pPr>
            <w:r w:rsidRPr="00410139">
              <w:t>NO summary statistic due to heterogeneity, incomplete data – unable to source missing data from authors</w:t>
            </w:r>
          </w:p>
        </w:tc>
      </w:tr>
      <w:tr w:rsidR="00F46EFF" w:rsidRPr="00410139" w14:paraId="6E31712D" w14:textId="77777777" w:rsidTr="00A66AD3">
        <w:tc>
          <w:tcPr>
            <w:tcW w:w="1384" w:type="dxa"/>
          </w:tcPr>
          <w:p w14:paraId="0A13F916" w14:textId="77777777" w:rsidR="00F46EFF" w:rsidRPr="00410139" w:rsidRDefault="001F4062" w:rsidP="007C6179">
            <w:pPr>
              <w:pStyle w:val="Tabletext1"/>
              <w:ind w:left="0"/>
            </w:pPr>
            <w:r w:rsidRPr="00410139">
              <w:t>1-year overall survival in patients of poor performance status</w:t>
            </w:r>
          </w:p>
        </w:tc>
        <w:tc>
          <w:tcPr>
            <w:tcW w:w="1202" w:type="dxa"/>
          </w:tcPr>
          <w:p w14:paraId="3B476A6E" w14:textId="77777777" w:rsidR="00F46EFF" w:rsidRPr="00410139" w:rsidRDefault="00F9300D" w:rsidP="007C6179">
            <w:pPr>
              <w:pStyle w:val="Tabletext1"/>
              <w:ind w:left="0"/>
            </w:pPr>
            <w:r w:rsidRPr="00410139">
              <w:t>Mean 14.6%</w:t>
            </w:r>
          </w:p>
          <w:p w14:paraId="3DCAC299" w14:textId="16214CEB" w:rsidR="00F9300D" w:rsidRPr="00410139" w:rsidRDefault="00F9300D" w:rsidP="007C6179">
            <w:pPr>
              <w:pStyle w:val="Tabletext1"/>
              <w:ind w:left="0"/>
            </w:pPr>
            <w:r w:rsidRPr="00410139">
              <w:t>(1.3</w:t>
            </w:r>
            <w:r w:rsidR="00D35E9C">
              <w:t>–</w:t>
            </w:r>
            <w:r w:rsidRPr="00410139">
              <w:t>29.5%)</w:t>
            </w:r>
          </w:p>
        </w:tc>
        <w:tc>
          <w:tcPr>
            <w:tcW w:w="1232" w:type="dxa"/>
          </w:tcPr>
          <w:p w14:paraId="269829BF" w14:textId="77777777" w:rsidR="00F46EFF" w:rsidRPr="00410139" w:rsidRDefault="00F9300D" w:rsidP="007C6179">
            <w:pPr>
              <w:pStyle w:val="Tabletext1"/>
              <w:ind w:left="0"/>
            </w:pPr>
            <w:r w:rsidRPr="00410139">
              <w:t>Mean 17.5%</w:t>
            </w:r>
          </w:p>
          <w:p w14:paraId="368646C6" w14:textId="43D98A40" w:rsidR="00F9300D" w:rsidRPr="00410139" w:rsidRDefault="00F9300D" w:rsidP="007C6179">
            <w:pPr>
              <w:pStyle w:val="Tabletext1"/>
              <w:ind w:left="0"/>
            </w:pPr>
            <w:r w:rsidRPr="00410139">
              <w:t>(9.1</w:t>
            </w:r>
            <w:r w:rsidR="00D35E9C">
              <w:t>–</w:t>
            </w:r>
            <w:r w:rsidRPr="00410139">
              <w:t>28.6%)</w:t>
            </w:r>
          </w:p>
        </w:tc>
        <w:tc>
          <w:tcPr>
            <w:tcW w:w="1204" w:type="dxa"/>
          </w:tcPr>
          <w:p w14:paraId="5855F138" w14:textId="77777777" w:rsidR="00750371" w:rsidRPr="00410139" w:rsidRDefault="00750371" w:rsidP="007C6179">
            <w:pPr>
              <w:pStyle w:val="Tabletext1"/>
              <w:ind w:left="0"/>
            </w:pPr>
            <w:r w:rsidRPr="00410139">
              <w:t xml:space="preserve">RR 0.96 </w:t>
            </w:r>
          </w:p>
          <w:p w14:paraId="7413E2A2" w14:textId="77777777" w:rsidR="00F46EFF" w:rsidRPr="00410139" w:rsidRDefault="00750371" w:rsidP="007C6179">
            <w:pPr>
              <w:pStyle w:val="Tabletext1"/>
              <w:ind w:left="0"/>
            </w:pPr>
            <w:r w:rsidRPr="00410139">
              <w:t>(0.91 to 1.02)</w:t>
            </w:r>
          </w:p>
        </w:tc>
        <w:tc>
          <w:tcPr>
            <w:tcW w:w="1147" w:type="dxa"/>
          </w:tcPr>
          <w:p w14:paraId="39EA5345" w14:textId="77777777" w:rsidR="00750371" w:rsidRPr="00410139" w:rsidRDefault="00750371" w:rsidP="007C6179">
            <w:pPr>
              <w:pStyle w:val="Tabletext1"/>
              <w:ind w:left="0"/>
            </w:pPr>
            <w:r w:rsidRPr="00410139">
              <w:t xml:space="preserve">911 </w:t>
            </w:r>
          </w:p>
          <w:p w14:paraId="6D893FA0" w14:textId="77777777" w:rsidR="00F46EFF" w:rsidRPr="00410139" w:rsidRDefault="00750371" w:rsidP="007C6179">
            <w:pPr>
              <w:pStyle w:val="Tabletext1"/>
              <w:ind w:left="0"/>
            </w:pPr>
            <w:r w:rsidRPr="00410139">
              <w:t>(7 studies)</w:t>
            </w:r>
          </w:p>
        </w:tc>
        <w:tc>
          <w:tcPr>
            <w:tcW w:w="1218" w:type="dxa"/>
          </w:tcPr>
          <w:p w14:paraId="455ADADB" w14:textId="77777777" w:rsidR="00F46EFF" w:rsidRPr="00410139" w:rsidRDefault="00F46EFF" w:rsidP="007C6179">
            <w:pPr>
              <w:pStyle w:val="Tabletext1"/>
              <w:ind w:left="0"/>
            </w:pPr>
            <w:r w:rsidRPr="007C7D1A">
              <w:rPr>
                <w:rFonts w:ascii="Cambria Math" w:hAnsi="Cambria Math" w:cs="Cambria Math"/>
                <w:color w:val="00B050"/>
              </w:rPr>
              <w:t>⨁⨁⨁</w:t>
            </w:r>
            <w:r w:rsidRPr="007C7D1A">
              <w:rPr>
                <w:rFonts w:ascii="Cambria Math" w:hAnsi="Cambria Math" w:cs="Cambria Math"/>
                <w:color w:val="C00000"/>
              </w:rPr>
              <w:t>⨀</w:t>
            </w:r>
            <w:r w:rsidRPr="007C7D1A">
              <w:rPr>
                <w:rStyle w:val="quality-sign"/>
                <w:rFonts w:eastAsia="MS Mincho" w:cs="MS Mincho"/>
              </w:rPr>
              <w:t xml:space="preserve"> MODERATE</w:t>
            </w:r>
          </w:p>
        </w:tc>
        <w:tc>
          <w:tcPr>
            <w:tcW w:w="1932" w:type="dxa"/>
          </w:tcPr>
          <w:p w14:paraId="498AD59B" w14:textId="77777777" w:rsidR="00F46EFF" w:rsidRPr="00410139" w:rsidRDefault="0085334A" w:rsidP="007C6179">
            <w:pPr>
              <w:pStyle w:val="Tabletext1"/>
              <w:ind w:left="0"/>
            </w:pPr>
            <w:r w:rsidRPr="00410139">
              <w:t>Inc</w:t>
            </w:r>
            <w:r w:rsidR="00750371" w:rsidRPr="00410139">
              <w:t xml:space="preserve">omplete data </w:t>
            </w:r>
            <w:r w:rsidRPr="00410139">
              <w:t xml:space="preserve">- </w:t>
            </w:r>
            <w:r w:rsidR="00750371" w:rsidRPr="00410139">
              <w:t xml:space="preserve">unable to </w:t>
            </w:r>
            <w:r w:rsidRPr="00410139">
              <w:t>source</w:t>
            </w:r>
            <w:r w:rsidR="00750371" w:rsidRPr="00410139">
              <w:t xml:space="preserve"> </w:t>
            </w:r>
            <w:r w:rsidR="00EB7712" w:rsidRPr="00410139">
              <w:t>missing</w:t>
            </w:r>
            <w:r w:rsidR="00750371" w:rsidRPr="00410139">
              <w:t xml:space="preserve"> data from authors</w:t>
            </w:r>
          </w:p>
        </w:tc>
      </w:tr>
    </w:tbl>
    <w:p w14:paraId="4A6ED11C" w14:textId="77777777" w:rsidR="00CB3BFC" w:rsidRDefault="00306FD5" w:rsidP="00F34E83">
      <w:pPr>
        <w:pStyle w:val="Tabletext1"/>
      </w:pPr>
      <w:r>
        <w:t xml:space="preserve">&lt; </w:t>
      </w:r>
      <w:r w:rsidR="00F46EFF">
        <w:t>CI = confidence interval; NR = n</w:t>
      </w:r>
      <w:r>
        <w:t>ot reported; RR = relative risk &gt;</w:t>
      </w:r>
      <w:r w:rsidR="00CB3BFC" w:rsidRPr="00CB3BFC">
        <w:t xml:space="preserve"> </w:t>
      </w:r>
    </w:p>
    <w:p w14:paraId="2616D3A1" w14:textId="095F8D5A" w:rsidR="00CB3BFC" w:rsidRDefault="00CB3BFC" w:rsidP="00F34E83">
      <w:pPr>
        <w:pStyle w:val="Tabletext1"/>
      </w:pPr>
      <w:r w:rsidRPr="0014017A">
        <w:t>GRADE Working Group grades of evidence (Guyatt et al., 2013</w:t>
      </w:r>
      <w:r>
        <w:t xml:space="preserve">) </w:t>
      </w:r>
    </w:p>
    <w:p w14:paraId="3D10E84B" w14:textId="77777777" w:rsidR="00CB3BFC" w:rsidRDefault="00CB3BFC" w:rsidP="00F34E83">
      <w:pPr>
        <w:pStyle w:val="Tabletext1"/>
        <w:rPr>
          <w:rFonts w:eastAsiaTheme="minorEastAsia"/>
          <w:szCs w:val="18"/>
        </w:rPr>
      </w:pPr>
      <w:r w:rsidRPr="00FC5A38">
        <w:rPr>
          <w:rFonts w:ascii="Cambria Math" w:eastAsiaTheme="minorEastAsia" w:hAnsi="Cambria Math" w:cstheme="minorBidi"/>
          <w:color w:val="00B050"/>
        </w:rPr>
        <w:lastRenderedPageBreak/>
        <w:t>⨁⨁⨁</w:t>
      </w:r>
      <w:r w:rsidRPr="00FC5A38">
        <w:rPr>
          <w:rFonts w:ascii="Cambria Math" w:eastAsiaTheme="minorEastAsia" w:hAnsi="Cambria Math" w:cs="Cambria Math"/>
          <w:color w:val="C00000"/>
        </w:rPr>
        <w:t xml:space="preserve">⨀ </w:t>
      </w:r>
      <w:r w:rsidRPr="00CB3BFC">
        <w:rPr>
          <w:rFonts w:eastAsiaTheme="minorEastAsia"/>
          <w:b/>
          <w:bCs/>
          <w:szCs w:val="18"/>
        </w:rPr>
        <w:t>Moderate quality</w:t>
      </w:r>
      <w:r w:rsidRPr="00FC5A38">
        <w:rPr>
          <w:rFonts w:eastAsiaTheme="minorEastAsia"/>
          <w:bCs/>
          <w:szCs w:val="18"/>
        </w:rPr>
        <w:t>:</w:t>
      </w:r>
      <w:r w:rsidRPr="00FC5A38">
        <w:rPr>
          <w:rFonts w:eastAsiaTheme="minorEastAsia"/>
          <w:szCs w:val="18"/>
        </w:rPr>
        <w:t xml:space="preserve"> We are moderately confident in the effect estimate: The true effect is likely to be close to the estimate of the effect, but there is a possibility that it is substantially different</w:t>
      </w:r>
      <w:r>
        <w:rPr>
          <w:rFonts w:eastAsiaTheme="minorEastAsia"/>
          <w:szCs w:val="18"/>
        </w:rPr>
        <w:t xml:space="preserve">. </w:t>
      </w:r>
    </w:p>
    <w:p w14:paraId="79CFAB54" w14:textId="4CAC58DE" w:rsidR="00F46EFF" w:rsidRDefault="00CB3BFC" w:rsidP="00F34E83">
      <w:pPr>
        <w:pStyle w:val="Tabletext1"/>
      </w:pPr>
      <w:r w:rsidRPr="00FC5A38">
        <w:rPr>
          <w:rFonts w:ascii="Cambria Math" w:eastAsiaTheme="minorEastAsia" w:hAnsi="Cambria Math" w:cstheme="minorBidi"/>
          <w:color w:val="00B050"/>
        </w:rPr>
        <w:t>⨁⨁</w:t>
      </w:r>
      <w:r w:rsidRPr="00FC5A38">
        <w:rPr>
          <w:rFonts w:ascii="Cambria Math" w:eastAsiaTheme="minorEastAsia" w:hAnsi="Cambria Math" w:cs="Cambria Math"/>
          <w:color w:val="C00000"/>
        </w:rPr>
        <w:t xml:space="preserve">⨀⨀ </w:t>
      </w:r>
      <w:r w:rsidRPr="00CB3BFC">
        <w:rPr>
          <w:rFonts w:eastAsiaTheme="minorEastAsia"/>
          <w:b/>
          <w:bCs/>
          <w:szCs w:val="18"/>
        </w:rPr>
        <w:t>Low quality</w:t>
      </w:r>
      <w:r w:rsidRPr="00FC5A38">
        <w:rPr>
          <w:rFonts w:eastAsiaTheme="minorEastAsia"/>
          <w:bCs/>
          <w:szCs w:val="18"/>
        </w:rPr>
        <w:t>:</w:t>
      </w:r>
      <w:r w:rsidRPr="00FC5A38">
        <w:rPr>
          <w:rFonts w:eastAsiaTheme="minorEastAsia"/>
          <w:szCs w:val="18"/>
        </w:rPr>
        <w:t xml:space="preserve"> Our confidence in the effect estimate is limited: The true effect may be substantially different from the estimate of the effect</w:t>
      </w:r>
    </w:p>
    <w:p w14:paraId="48327A8B" w14:textId="77777777" w:rsidR="00DB3295" w:rsidRPr="00183E4D" w:rsidRDefault="00DB3295" w:rsidP="00647EB9">
      <w:pPr>
        <w:pStyle w:val="Heading2"/>
        <w:numPr>
          <w:ilvl w:val="1"/>
          <w:numId w:val="8"/>
        </w:numPr>
      </w:pPr>
      <w:bookmarkStart w:id="349" w:name="_Toc460396071"/>
      <w:r w:rsidRPr="00183E4D">
        <w:t>Extended Assessment of Harms</w:t>
      </w:r>
      <w:bookmarkEnd w:id="349"/>
    </w:p>
    <w:p w14:paraId="5393EFED" w14:textId="77777777" w:rsidR="00DB3295" w:rsidRPr="00183E4D" w:rsidRDefault="001033C4" w:rsidP="001033C4">
      <w:r>
        <w:t xml:space="preserve">All of the relevant information of safety for the intervention is contained within </w:t>
      </w:r>
      <w:r w:rsidR="006526D6">
        <w:t>S</w:t>
      </w:r>
      <w:r>
        <w:t xml:space="preserve">ection B.6. </w:t>
      </w:r>
    </w:p>
    <w:p w14:paraId="6D68313C" w14:textId="77777777" w:rsidR="00DB3295" w:rsidRDefault="00DB3295" w:rsidP="00647EB9">
      <w:pPr>
        <w:pStyle w:val="Heading2"/>
        <w:numPr>
          <w:ilvl w:val="1"/>
          <w:numId w:val="8"/>
        </w:numPr>
      </w:pPr>
      <w:bookmarkStart w:id="350" w:name="_Ref421189603"/>
      <w:bookmarkStart w:id="351" w:name="_Ref421189625"/>
      <w:bookmarkStart w:id="352" w:name="_Toc460396072"/>
      <w:r w:rsidRPr="00183E4D">
        <w:t>Interpretation of the Clinical Evidence</w:t>
      </w:r>
      <w:bookmarkEnd w:id="350"/>
      <w:bookmarkEnd w:id="351"/>
      <w:bookmarkEnd w:id="352"/>
    </w:p>
    <w:p w14:paraId="5135B857" w14:textId="77777777" w:rsidR="00AC55B0" w:rsidRDefault="006550CC" w:rsidP="00AC55B0">
      <w:r>
        <w:t xml:space="preserve">Overall, the clinical evidence for MTA </w:t>
      </w:r>
      <w:r w:rsidR="00AC55B0">
        <w:t>in all of the proposed populations for reimbursement is limited in quantity and quality. This issue also pervades the clinical literature for the main comparators</w:t>
      </w:r>
      <w:r w:rsidR="00FD1049">
        <w:t>, and is likely to impact the availability of high quality comparative evidence for therapy in these populations for some time</w:t>
      </w:r>
      <w:r w:rsidR="00AC55B0">
        <w:t xml:space="preserve">. The evidence for both the intervention and its comparators is </w:t>
      </w:r>
      <w:r w:rsidR="00410139">
        <w:t>largely</w:t>
      </w:r>
      <w:r w:rsidR="00AC55B0">
        <w:t xml:space="preserve"> characterised by Level IV evidence with variable outcome measures and incomplete reporting. </w:t>
      </w:r>
      <w:r w:rsidR="001033C4" w:rsidRPr="001033C4">
        <w:t>The mechanism of action of thermal ablative technologies in terms of tumour destruction is intuitive</w:t>
      </w:r>
      <w:r w:rsidR="001033C4">
        <w:t>ly appealing</w:t>
      </w:r>
      <w:r w:rsidR="001033C4" w:rsidRPr="001033C4">
        <w:t>; however, the comparative benefit of this form of tumour destruction over existing treatment options is unknown.</w:t>
      </w:r>
      <w:r w:rsidR="001033C4">
        <w:t xml:space="preserve"> </w:t>
      </w:r>
      <w:r w:rsidR="006276E8">
        <w:t xml:space="preserve">It is important to note that </w:t>
      </w:r>
      <w:r w:rsidR="00F503D6">
        <w:t xml:space="preserve">in the context of a reimbursement decision </w:t>
      </w:r>
      <w:r w:rsidR="006276E8">
        <w:t xml:space="preserve">the claim of non-inferiority </w:t>
      </w:r>
      <w:r w:rsidR="00F503D6">
        <w:t>for the</w:t>
      </w:r>
      <w:r w:rsidR="006276E8">
        <w:t xml:space="preserve"> comparative effectiveness </w:t>
      </w:r>
      <w:r w:rsidR="00F503D6">
        <w:t>of</w:t>
      </w:r>
      <w:r w:rsidR="006276E8">
        <w:t xml:space="preserve"> MTA as compared to current best practice radiotherapy, surgery or RFA remains untested by any published studies. </w:t>
      </w:r>
      <w:r w:rsidR="00F503D6">
        <w:t xml:space="preserve">The main safety concern associated with MTA is pneumothorax; however, the majority of pneumothorax that occurs appears to be mild and does not require further intervention. Thermal ablation in the literature is frequently performed under local anaesthesia but this may not be representative of Australian clinical practice. Physicians undertaking MTA in Australia have indicated that the procedure is done almost exclusively under general anaesthesia. Hence, risks associated with anaesthesia may not have been captured by the published literature although these are not likely to add substantially to the risk profile of MTA. </w:t>
      </w:r>
    </w:p>
    <w:p w14:paraId="14EDD107" w14:textId="77777777" w:rsidR="00386ED8" w:rsidRPr="0074436F" w:rsidRDefault="00386ED8" w:rsidP="00AC55B0">
      <w:pPr>
        <w:rPr>
          <w:i/>
        </w:rPr>
      </w:pPr>
      <w:r w:rsidRPr="0074436F">
        <w:rPr>
          <w:i/>
        </w:rPr>
        <w:t xml:space="preserve">NOTE on summary of findings tables: only selected outcomes that were reported across multiple comparators are summarised in the tables that follow. More complete reporting of outcomes is provided in the main body of the report (B.6). </w:t>
      </w:r>
    </w:p>
    <w:p w14:paraId="57D67DF1" w14:textId="77777777" w:rsidR="003F5DB1" w:rsidRDefault="003F5DB1" w:rsidP="00306FD5">
      <w:pPr>
        <w:spacing w:before="500"/>
        <w:rPr>
          <w:b/>
          <w:i/>
        </w:rPr>
      </w:pPr>
      <w:r>
        <w:rPr>
          <w:b/>
          <w:i/>
        </w:rPr>
        <w:br w:type="page"/>
      </w:r>
    </w:p>
    <w:p w14:paraId="0278B0D8" w14:textId="51FC51AF" w:rsidR="00AC55B0" w:rsidRPr="00306FD5" w:rsidRDefault="00AC55B0" w:rsidP="00306FD5">
      <w:pPr>
        <w:spacing w:before="500"/>
        <w:rPr>
          <w:b/>
          <w:i/>
        </w:rPr>
      </w:pPr>
      <w:r w:rsidRPr="00306FD5">
        <w:rPr>
          <w:b/>
          <w:i/>
        </w:rPr>
        <w:lastRenderedPageBreak/>
        <w:t>Population one</w:t>
      </w:r>
    </w:p>
    <w:p w14:paraId="6B2503E4" w14:textId="043836FC" w:rsidR="00AC55B0" w:rsidRDefault="003F5DB1" w:rsidP="00AC55B0">
      <w:r>
        <w:t>Based on</w:t>
      </w:r>
      <w:r w:rsidR="001033C4" w:rsidRPr="001033C4">
        <w:t xml:space="preserve"> the evidence profile (summarised in </w:t>
      </w:r>
      <w:r w:rsidR="00647EB9">
        <w:fldChar w:fldCharType="begin"/>
      </w:r>
      <w:r w:rsidR="00647EB9">
        <w:instrText xml:space="preserve"> REF _Ref399239890 \h </w:instrText>
      </w:r>
      <w:r w:rsidR="00647EB9">
        <w:fldChar w:fldCharType="separate"/>
      </w:r>
      <w:r w:rsidR="00D170A5">
        <w:t>T</w:t>
      </w:r>
      <w:r w:rsidR="00D170A5" w:rsidRPr="00FC1326">
        <w:t xml:space="preserve">able </w:t>
      </w:r>
      <w:r w:rsidR="00D170A5">
        <w:rPr>
          <w:noProof/>
        </w:rPr>
        <w:t>58</w:t>
      </w:r>
      <w:r w:rsidR="00647EB9">
        <w:fldChar w:fldCharType="end"/>
      </w:r>
      <w:r w:rsidR="00FF6A6F">
        <w:t xml:space="preserve"> and </w:t>
      </w:r>
      <w:r w:rsidR="00FF6A6F">
        <w:fldChar w:fldCharType="begin"/>
      </w:r>
      <w:r w:rsidR="00FF6A6F">
        <w:instrText xml:space="preserve"> REF _Ref460406337 \h </w:instrText>
      </w:r>
      <w:r w:rsidR="00FF6A6F">
        <w:fldChar w:fldCharType="separate"/>
      </w:r>
      <w:r w:rsidR="00D170A5">
        <w:t xml:space="preserve">Table </w:t>
      </w:r>
      <w:r w:rsidR="00D170A5">
        <w:rPr>
          <w:noProof/>
        </w:rPr>
        <w:t>61</w:t>
      </w:r>
      <w:r w:rsidR="00FF6A6F">
        <w:fldChar w:fldCharType="end"/>
      </w:r>
      <w:r w:rsidR="001033C4" w:rsidRPr="001033C4">
        <w:t>), it is suggested that, relative to current best practice radiotherapy, the intervention has uncertain safety and uncertain effectiveness.</w:t>
      </w:r>
      <w:r w:rsidR="001033C4">
        <w:t xml:space="preserve"> </w:t>
      </w:r>
      <w:r w:rsidR="00AC55B0">
        <w:t>For patients with early stage NSCLC who are not elig</w:t>
      </w:r>
      <w:r w:rsidR="001865F7">
        <w:t xml:space="preserve">ible for surgery radiotherapy, </w:t>
      </w:r>
      <w:r w:rsidR="00AC55B0">
        <w:t xml:space="preserve">SBRT has become the treatment option of choice. Attempts to </w:t>
      </w:r>
      <w:r w:rsidR="001865F7">
        <w:t>conduct</w:t>
      </w:r>
      <w:r w:rsidR="00AC55B0">
        <w:t xml:space="preserve"> </w:t>
      </w:r>
      <w:r w:rsidR="00327455">
        <w:t>head-to-head</w:t>
      </w:r>
      <w:r w:rsidR="00AC55B0">
        <w:t xml:space="preserve"> trials of SBRT versus surgery have failed due to slow accrual and hence the best available evidence </w:t>
      </w:r>
      <w:r w:rsidR="001865F7">
        <w:t xml:space="preserve">for radiotherapy comes from retrospective, </w:t>
      </w:r>
      <w:r w:rsidR="00AC55B0">
        <w:t xml:space="preserve">database analysis. Studies in this area have found a survival benefit of radiotherapy over observation; and, of SBRT over conventional radiotherapy. However, the question of how ablative therapies compare to either conventional radiotherapy or SBRT has not been addressed by any retrospective or prospective studies. </w:t>
      </w:r>
      <w:r w:rsidR="001865F7">
        <w:t xml:space="preserve">Furthermore, it was not feasible to undertake any statistical tests of non-inferiority between thermal ablation and radiotherapy. </w:t>
      </w:r>
      <w:r w:rsidR="00AC55B0">
        <w:t>Although authors of papers on ablative technologies continue to assert the benefit</w:t>
      </w:r>
      <w:r w:rsidR="001865F7">
        <w:t xml:space="preserve"> of such technologies and suggest that they provide a viable treatment alternative to radiotherapy</w:t>
      </w:r>
      <w:r w:rsidR="00557BF1">
        <w:t>,</w:t>
      </w:r>
      <w:r w:rsidR="001865F7">
        <w:t xml:space="preserve"> the claim of non-inferiority remains untested. </w:t>
      </w:r>
      <w:r w:rsidR="00557BF1">
        <w:t>Notably</w:t>
      </w:r>
      <w:r w:rsidR="001865F7">
        <w:t>, although an apparently safe technology</w:t>
      </w:r>
      <w:r w:rsidR="00557BF1">
        <w:t>,</w:t>
      </w:r>
      <w:r w:rsidR="001865F7">
        <w:t xml:space="preserve"> thermal ablation does appear on face value to be associated with a greater frequency of adverse events than SBRT.  However, there are instances in which SBRT may be inappropriate due to the location of the tumour and clinical advice suggests that MTA may be a complimentary technology for patients who cannot have SBRT. </w:t>
      </w:r>
    </w:p>
    <w:p w14:paraId="1D16636B" w14:textId="77777777" w:rsidR="00537B24" w:rsidRDefault="00537B24" w:rsidP="00537B24">
      <w:pPr>
        <w:pStyle w:val="Caption"/>
        <w:ind w:left="1134" w:hanging="1134"/>
        <w:rPr>
          <w:rFonts w:cs="Arial"/>
          <w:snapToGrid w:val="0"/>
          <w:szCs w:val="16"/>
          <w:lang w:eastAsia="en-US"/>
        </w:rPr>
      </w:pPr>
      <w:bookmarkStart w:id="353" w:name="_Ref399239890"/>
      <w:bookmarkStart w:id="354" w:name="_Toc460514716"/>
      <w:r>
        <w:t>T</w:t>
      </w:r>
      <w:r w:rsidRPr="00FC1326">
        <w:t xml:space="preserve">able </w:t>
      </w:r>
      <w:fldSimple w:instr=" SEQ Table \* ARABIC ">
        <w:r w:rsidR="00D170A5">
          <w:rPr>
            <w:noProof/>
          </w:rPr>
          <w:t>58</w:t>
        </w:r>
      </w:fldSimple>
      <w:bookmarkEnd w:id="353"/>
      <w:r w:rsidRPr="00FC1326">
        <w:tab/>
      </w:r>
      <w:r w:rsidRPr="00FC1326">
        <w:rPr>
          <w:rFonts w:cs="Arial"/>
          <w:snapToGrid w:val="0"/>
          <w:szCs w:val="16"/>
          <w:lang w:eastAsia="en-US"/>
        </w:rPr>
        <w:t>Balance of clinical</w:t>
      </w:r>
      <w:r>
        <w:rPr>
          <w:rFonts w:cs="Arial"/>
          <w:snapToGrid w:val="0"/>
          <w:szCs w:val="16"/>
          <w:lang w:eastAsia="en-US"/>
        </w:rPr>
        <w:t xml:space="preserve"> benefits of MTA, relative to its comparators, and as measured by the patient-relevant outcomes in the key studies for population one</w:t>
      </w:r>
      <w:bookmarkEnd w:id="354"/>
    </w:p>
    <w:tbl>
      <w:tblPr>
        <w:tblStyle w:val="TableGrid8"/>
        <w:tblW w:w="5000" w:type="pct"/>
        <w:tblLook w:val="04A0" w:firstRow="1" w:lastRow="0" w:firstColumn="1" w:lastColumn="0" w:noHBand="0" w:noVBand="1"/>
        <w:tblCaption w:val="Table 10"/>
        <w:tblDescription w:val="Effectiveness outcomes"/>
      </w:tblPr>
      <w:tblGrid>
        <w:gridCol w:w="2189"/>
        <w:gridCol w:w="1322"/>
        <w:gridCol w:w="1275"/>
        <w:gridCol w:w="4456"/>
      </w:tblGrid>
      <w:tr w:rsidR="00537B24" w:rsidRPr="00402D62" w14:paraId="5ADA2E29" w14:textId="77777777" w:rsidTr="00D92344">
        <w:trPr>
          <w:tblHeader/>
        </w:trPr>
        <w:tc>
          <w:tcPr>
            <w:tcW w:w="1184" w:type="pct"/>
            <w:tcBorders>
              <w:bottom w:val="single" w:sz="4" w:space="0" w:color="auto"/>
            </w:tcBorders>
            <w:shd w:val="clear" w:color="auto" w:fill="D9D9D9" w:themeFill="background1" w:themeFillShade="D9"/>
            <w:vAlign w:val="bottom"/>
          </w:tcPr>
          <w:p w14:paraId="7EF0D164" w14:textId="77777777" w:rsidR="00537B24" w:rsidRPr="007B2F57" w:rsidRDefault="00537B24" w:rsidP="00025297">
            <w:pPr>
              <w:pStyle w:val="Tabletext1"/>
              <w:rPr>
                <w:b/>
              </w:rPr>
            </w:pPr>
            <w:r w:rsidRPr="007B2F57">
              <w:rPr>
                <w:b/>
              </w:rPr>
              <w:t>Outcome and intervention/comparator</w:t>
            </w:r>
          </w:p>
        </w:tc>
        <w:tc>
          <w:tcPr>
            <w:tcW w:w="715" w:type="pct"/>
            <w:tcBorders>
              <w:bottom w:val="single" w:sz="4" w:space="0" w:color="auto"/>
            </w:tcBorders>
            <w:shd w:val="clear" w:color="auto" w:fill="D9D9D9" w:themeFill="background1" w:themeFillShade="D9"/>
            <w:vAlign w:val="bottom"/>
          </w:tcPr>
          <w:p w14:paraId="779DDB24" w14:textId="77777777" w:rsidR="00537B24" w:rsidRPr="007B2F57" w:rsidRDefault="00537B24" w:rsidP="00025297">
            <w:pPr>
              <w:pStyle w:val="Tabletext1"/>
              <w:rPr>
                <w:b/>
              </w:rPr>
            </w:pPr>
            <w:r w:rsidRPr="007B2F57">
              <w:rPr>
                <w:b/>
              </w:rPr>
              <w:t xml:space="preserve">№ of </w:t>
            </w:r>
            <w:r>
              <w:rPr>
                <w:b/>
              </w:rPr>
              <w:t xml:space="preserve">studies, </w:t>
            </w:r>
            <w:r w:rsidRPr="007B2F57">
              <w:rPr>
                <w:b/>
              </w:rPr>
              <w:t>level of evidence</w:t>
            </w:r>
          </w:p>
        </w:tc>
        <w:tc>
          <w:tcPr>
            <w:tcW w:w="690" w:type="pct"/>
            <w:tcBorders>
              <w:bottom w:val="single" w:sz="4" w:space="0" w:color="auto"/>
            </w:tcBorders>
            <w:shd w:val="clear" w:color="auto" w:fill="D9D9D9" w:themeFill="background1" w:themeFillShade="D9"/>
            <w:vAlign w:val="bottom"/>
          </w:tcPr>
          <w:p w14:paraId="7DECF0FB" w14:textId="77777777" w:rsidR="00537B24" w:rsidRPr="007B2F57" w:rsidRDefault="00537B24" w:rsidP="00025297">
            <w:pPr>
              <w:pStyle w:val="Tabletext1"/>
              <w:rPr>
                <w:b/>
              </w:rPr>
            </w:pPr>
            <w:r w:rsidRPr="007B2F57">
              <w:rPr>
                <w:b/>
              </w:rPr>
              <w:t>Quality of the evidence</w:t>
            </w:r>
            <w:r w:rsidRPr="007B2F57">
              <w:rPr>
                <w:b/>
              </w:rPr>
              <w:br/>
              <w:t>(GRADE)</w:t>
            </w:r>
          </w:p>
        </w:tc>
        <w:tc>
          <w:tcPr>
            <w:tcW w:w="2411" w:type="pct"/>
            <w:tcBorders>
              <w:bottom w:val="single" w:sz="4" w:space="0" w:color="auto"/>
            </w:tcBorders>
            <w:shd w:val="clear" w:color="auto" w:fill="D9D9D9" w:themeFill="background1" w:themeFillShade="D9"/>
            <w:vAlign w:val="bottom"/>
          </w:tcPr>
          <w:p w14:paraId="05E5C599" w14:textId="77777777" w:rsidR="00537B24" w:rsidRPr="007B2F57" w:rsidRDefault="00537B24" w:rsidP="00025297">
            <w:pPr>
              <w:pStyle w:val="Tabletext1"/>
              <w:rPr>
                <w:rFonts w:cstheme="minorBidi"/>
                <w:b/>
              </w:rPr>
            </w:pPr>
            <w:r w:rsidRPr="007B2F57">
              <w:rPr>
                <w:rFonts w:cstheme="minorBidi"/>
                <w:b/>
              </w:rPr>
              <w:t>Summary</w:t>
            </w:r>
          </w:p>
        </w:tc>
      </w:tr>
      <w:tr w:rsidR="00D92344" w:rsidRPr="00402D62" w14:paraId="7FFE6B55" w14:textId="77777777" w:rsidTr="00D92344">
        <w:tc>
          <w:tcPr>
            <w:tcW w:w="1184" w:type="pct"/>
            <w:tcBorders>
              <w:right w:val="nil"/>
            </w:tcBorders>
            <w:shd w:val="clear" w:color="auto" w:fill="D9D9D9" w:themeFill="background1" w:themeFillShade="D9"/>
          </w:tcPr>
          <w:p w14:paraId="6B481C8E" w14:textId="77777777" w:rsidR="00D92344" w:rsidRPr="004F1647" w:rsidRDefault="00D92344" w:rsidP="00025297">
            <w:pPr>
              <w:pStyle w:val="Tabletext1"/>
              <w:rPr>
                <w:rFonts w:cstheme="minorBidi"/>
                <w:b/>
              </w:rPr>
            </w:pPr>
            <w:r w:rsidRPr="004F1647">
              <w:rPr>
                <w:rFonts w:cstheme="minorBidi"/>
                <w:b/>
              </w:rPr>
              <w:t>Survival rates at 1-,2-,3- and 4 or 5-years</w:t>
            </w:r>
          </w:p>
        </w:tc>
        <w:tc>
          <w:tcPr>
            <w:tcW w:w="715" w:type="pct"/>
            <w:tcBorders>
              <w:left w:val="nil"/>
              <w:right w:val="nil"/>
            </w:tcBorders>
            <w:shd w:val="clear" w:color="auto" w:fill="D9D9D9" w:themeFill="background1" w:themeFillShade="D9"/>
          </w:tcPr>
          <w:p w14:paraId="487C742A" w14:textId="77777777" w:rsidR="00D92344" w:rsidRPr="004F1647" w:rsidRDefault="00D92344" w:rsidP="00025297">
            <w:pPr>
              <w:pStyle w:val="Tabletext1"/>
              <w:rPr>
                <w:rFonts w:cstheme="minorBidi"/>
                <w:b/>
              </w:rPr>
            </w:pPr>
          </w:p>
        </w:tc>
        <w:tc>
          <w:tcPr>
            <w:tcW w:w="690" w:type="pct"/>
            <w:tcBorders>
              <w:left w:val="nil"/>
              <w:right w:val="nil"/>
            </w:tcBorders>
            <w:shd w:val="clear" w:color="auto" w:fill="D9D9D9" w:themeFill="background1" w:themeFillShade="D9"/>
          </w:tcPr>
          <w:p w14:paraId="69813D68" w14:textId="77777777" w:rsidR="00D92344" w:rsidRPr="004F1647" w:rsidRDefault="00D92344" w:rsidP="00025297">
            <w:pPr>
              <w:pStyle w:val="Tabletext1"/>
              <w:rPr>
                <w:rFonts w:cstheme="minorBidi"/>
                <w:b/>
              </w:rPr>
            </w:pPr>
          </w:p>
        </w:tc>
        <w:tc>
          <w:tcPr>
            <w:tcW w:w="2411" w:type="pct"/>
            <w:tcBorders>
              <w:left w:val="nil"/>
            </w:tcBorders>
            <w:shd w:val="clear" w:color="auto" w:fill="D9D9D9" w:themeFill="background1" w:themeFillShade="D9"/>
          </w:tcPr>
          <w:p w14:paraId="7F29C1D8" w14:textId="65B4FC83" w:rsidR="00D92344" w:rsidRPr="004F1647" w:rsidRDefault="00D92344" w:rsidP="00025297">
            <w:pPr>
              <w:pStyle w:val="Tabletext1"/>
              <w:rPr>
                <w:rFonts w:cstheme="minorBidi"/>
                <w:b/>
              </w:rPr>
            </w:pPr>
          </w:p>
        </w:tc>
      </w:tr>
      <w:tr w:rsidR="00537B24" w:rsidRPr="00402D62" w14:paraId="7E734ABD" w14:textId="77777777" w:rsidTr="00025297">
        <w:tc>
          <w:tcPr>
            <w:tcW w:w="1184" w:type="pct"/>
          </w:tcPr>
          <w:p w14:paraId="5E68A36C" w14:textId="77777777" w:rsidR="00537B24" w:rsidRPr="004F1647" w:rsidRDefault="00537B24" w:rsidP="00025297">
            <w:pPr>
              <w:pStyle w:val="Tabletext1"/>
              <w:rPr>
                <w:b/>
                <w:u w:val="single"/>
              </w:rPr>
            </w:pPr>
            <w:r w:rsidRPr="004F1647">
              <w:rPr>
                <w:b/>
                <w:u w:val="single"/>
              </w:rPr>
              <w:t>MTA</w:t>
            </w:r>
          </w:p>
          <w:p w14:paraId="6F5256B3" w14:textId="732DCF10" w:rsidR="00537B24" w:rsidRPr="00402D62" w:rsidRDefault="00537B24" w:rsidP="00025297">
            <w:pPr>
              <w:pStyle w:val="Tabletext1"/>
            </w:pPr>
            <w:r w:rsidRPr="00402D62">
              <w:t xml:space="preserve">Assessed with: Kaplan-Meier (95% CI </w:t>
            </w:r>
            <w:r w:rsidR="003F5DB1">
              <w:t>NR</w:t>
            </w:r>
            <w:r w:rsidRPr="00402D62">
              <w:t>)</w:t>
            </w:r>
          </w:p>
          <w:p w14:paraId="44D50385" w14:textId="79AD1A9D" w:rsidR="00537B24" w:rsidRPr="00402D62" w:rsidRDefault="00CB3BFC" w:rsidP="00025297">
            <w:pPr>
              <w:pStyle w:val="Tabletext1"/>
            </w:pPr>
            <w:r w:rsidRPr="008B4E16">
              <w:t>F/</w:t>
            </w:r>
            <w:r>
              <w:t>U</w:t>
            </w:r>
            <w:r w:rsidRPr="008B4E16">
              <w:t xml:space="preserve">: </w:t>
            </w:r>
            <w:r w:rsidR="00537B24" w:rsidRPr="00402D62">
              <w:t>range 22.5 months to 30 months</w:t>
            </w:r>
          </w:p>
        </w:tc>
        <w:tc>
          <w:tcPr>
            <w:tcW w:w="715" w:type="pct"/>
          </w:tcPr>
          <w:p w14:paraId="3AF4CDC6" w14:textId="77777777" w:rsidR="00537B24" w:rsidRPr="00402D62" w:rsidRDefault="00537B24" w:rsidP="00025297">
            <w:pPr>
              <w:pStyle w:val="Tabletext1"/>
            </w:pPr>
            <w:r w:rsidRPr="00402D62">
              <w:t xml:space="preserve">2 </w:t>
            </w:r>
            <w:r>
              <w:t xml:space="preserve">Level IV studies </w:t>
            </w:r>
          </w:p>
        </w:tc>
        <w:tc>
          <w:tcPr>
            <w:tcW w:w="690" w:type="pct"/>
          </w:tcPr>
          <w:p w14:paraId="5C86F135" w14:textId="77777777" w:rsidR="00537B24" w:rsidRPr="00402D62" w:rsidRDefault="00537B24" w:rsidP="00025297">
            <w:pPr>
              <w:pStyle w:val="Tabletext1"/>
            </w:pPr>
            <w:r>
              <w:rPr>
                <w:rFonts w:ascii="Cambria Math" w:hAnsi="Cambria Math"/>
                <w:color w:val="00B050"/>
              </w:rPr>
              <w:t>⨁</w:t>
            </w:r>
            <w:r w:rsidRPr="00D4733A">
              <w:rPr>
                <w:rFonts w:ascii="Cambria Math" w:hAnsi="Cambria Math" w:cs="Cambria Math"/>
                <w:color w:val="C00000"/>
              </w:rPr>
              <w:t>⨀⨀⨀</w:t>
            </w:r>
            <w:r w:rsidRPr="00402D62">
              <w:rPr>
                <w:sz w:val="13"/>
                <w:szCs w:val="13"/>
              </w:rPr>
              <w:br/>
            </w:r>
            <w:r w:rsidRPr="004F1647">
              <w:rPr>
                <w:rStyle w:val="quality-sign"/>
                <w:rFonts w:eastAsia="MS Mincho" w:cs="MS Mincho"/>
                <w:lang w:eastAsia="en-AU"/>
              </w:rPr>
              <w:t>VERY LOW</w:t>
            </w:r>
            <w:r w:rsidRPr="004F1647">
              <w:rPr>
                <w:rStyle w:val="quality-sign"/>
                <w:rFonts w:eastAsia="MS Mincho" w:cs="MS Mincho"/>
                <w:vertAlign w:val="superscript"/>
                <w:lang w:eastAsia="en-AU"/>
              </w:rPr>
              <w:t>1,2</w:t>
            </w:r>
          </w:p>
        </w:tc>
        <w:tc>
          <w:tcPr>
            <w:tcW w:w="2411" w:type="pct"/>
          </w:tcPr>
          <w:p w14:paraId="3FE054A6" w14:textId="77777777" w:rsidR="00537B24" w:rsidRPr="00402D62" w:rsidRDefault="00537B24" w:rsidP="00025297">
            <w:pPr>
              <w:pStyle w:val="Tabletext1"/>
            </w:pPr>
            <w:r w:rsidRPr="00402D62">
              <w:t xml:space="preserve">Han et al (2015): 1-year: 91.7%, 2-year: 76.5%, 3-year: 47.9% and 4-year: 47.9% </w:t>
            </w:r>
          </w:p>
          <w:p w14:paraId="1C1C2858" w14:textId="77777777" w:rsidR="00537B24" w:rsidRPr="00402D62" w:rsidRDefault="00537B24" w:rsidP="00025297">
            <w:pPr>
              <w:pStyle w:val="Tabletext1"/>
            </w:pPr>
            <w:r w:rsidRPr="00402D62">
              <w:t>Han et al (2015) cancer-specific: cancer-specific survival rate was 1-year: 94.7%, 2-year: 73.9%, 3-year: 64.7% and 4-year: 64.7%</w:t>
            </w:r>
          </w:p>
          <w:p w14:paraId="7F4468BE" w14:textId="77777777" w:rsidR="00537B24" w:rsidRPr="00402D62" w:rsidRDefault="00537B24" w:rsidP="00025297">
            <w:pPr>
              <w:pStyle w:val="Tabletext1"/>
            </w:pPr>
            <w:r w:rsidRPr="00402D62">
              <w:t xml:space="preserve">Yang et al (2015): 1-year: 89%, 2-year 63%, 3-year 43%, and 5-year: 16% </w:t>
            </w:r>
            <w:r w:rsidRPr="00402D62">
              <w:rPr>
                <w:vertAlign w:val="superscript"/>
              </w:rPr>
              <w:t>3</w:t>
            </w:r>
          </w:p>
        </w:tc>
      </w:tr>
      <w:tr w:rsidR="00537B24" w:rsidRPr="00402D62" w14:paraId="08F939A8" w14:textId="77777777" w:rsidTr="00025297">
        <w:tc>
          <w:tcPr>
            <w:tcW w:w="1184" w:type="pct"/>
          </w:tcPr>
          <w:p w14:paraId="28072F52" w14:textId="77777777" w:rsidR="00537B24" w:rsidRPr="004F1647" w:rsidRDefault="00537B24" w:rsidP="00025297">
            <w:pPr>
              <w:pStyle w:val="Tabletext1"/>
              <w:rPr>
                <w:b/>
                <w:u w:val="single"/>
              </w:rPr>
            </w:pPr>
            <w:r w:rsidRPr="004F1647">
              <w:rPr>
                <w:b/>
                <w:u w:val="single"/>
              </w:rPr>
              <w:t>RFA</w:t>
            </w:r>
          </w:p>
          <w:p w14:paraId="36AF1D9A" w14:textId="7E1A8253" w:rsidR="00537B24" w:rsidRPr="00402D62" w:rsidRDefault="00537B24" w:rsidP="00025297">
            <w:pPr>
              <w:pStyle w:val="Tabletext1"/>
            </w:pPr>
            <w:r w:rsidRPr="00402D62">
              <w:t xml:space="preserve">Assessed with: Kaplan-Meier </w:t>
            </w:r>
            <w:r w:rsidR="003F5DB1">
              <w:t>(95%CI NR</w:t>
            </w:r>
            <w:r w:rsidRPr="00402D62">
              <w:t>)</w:t>
            </w:r>
          </w:p>
          <w:p w14:paraId="770F7B5A" w14:textId="0D0AF75B" w:rsidR="00537B24" w:rsidRPr="00402D62" w:rsidRDefault="00CB3BFC" w:rsidP="00025297">
            <w:pPr>
              <w:pStyle w:val="Tabletext1"/>
            </w:pPr>
            <w:r w:rsidRPr="008B4E16">
              <w:t>F/</w:t>
            </w:r>
            <w:r>
              <w:t>U</w:t>
            </w:r>
            <w:r w:rsidRPr="008B4E16">
              <w:t xml:space="preserve">: </w:t>
            </w:r>
            <w:r w:rsidR="00537B24" w:rsidRPr="00402D62">
              <w:t>range 19 months to 46 months</w:t>
            </w:r>
          </w:p>
        </w:tc>
        <w:tc>
          <w:tcPr>
            <w:tcW w:w="715" w:type="pct"/>
          </w:tcPr>
          <w:p w14:paraId="27FC26CE" w14:textId="77777777" w:rsidR="00537B24" w:rsidRDefault="00537B24" w:rsidP="00025297">
            <w:pPr>
              <w:pStyle w:val="Tabletext1"/>
            </w:pPr>
            <w:r>
              <w:t xml:space="preserve">1 Level III-3 study </w:t>
            </w:r>
          </w:p>
          <w:p w14:paraId="0F697119" w14:textId="77777777" w:rsidR="00537B24" w:rsidRDefault="00537B24" w:rsidP="00025297">
            <w:pPr>
              <w:pStyle w:val="Tabletext1"/>
            </w:pPr>
            <w:r>
              <w:t>7 Level IV studies</w:t>
            </w:r>
          </w:p>
          <w:p w14:paraId="5B2491C4" w14:textId="77777777" w:rsidR="00537B24" w:rsidRPr="00402D62" w:rsidRDefault="00537B24" w:rsidP="00025297">
            <w:pPr>
              <w:pStyle w:val="Tabletext1"/>
            </w:pPr>
          </w:p>
        </w:tc>
        <w:tc>
          <w:tcPr>
            <w:tcW w:w="690" w:type="pct"/>
          </w:tcPr>
          <w:p w14:paraId="24F8E332" w14:textId="77777777" w:rsidR="00537B24" w:rsidRPr="00402D62" w:rsidRDefault="00537B24" w:rsidP="00025297">
            <w:pPr>
              <w:pStyle w:val="Tabletext1"/>
            </w:pPr>
            <w:r>
              <w:rPr>
                <w:rFonts w:ascii="Cambria Math" w:hAnsi="Cambria Math"/>
                <w:color w:val="00B050"/>
              </w:rPr>
              <w:t>⨁</w:t>
            </w:r>
            <w:r w:rsidRPr="00D4733A">
              <w:rPr>
                <w:rFonts w:ascii="Cambria Math" w:hAnsi="Cambria Math" w:cs="Cambria Math"/>
                <w:color w:val="C00000"/>
              </w:rPr>
              <w:t>⨀⨀⨀</w:t>
            </w:r>
            <w:r w:rsidRPr="00402D62">
              <w:rPr>
                <w:sz w:val="13"/>
                <w:szCs w:val="13"/>
              </w:rPr>
              <w:br/>
            </w:r>
            <w:r w:rsidRPr="004F1647">
              <w:rPr>
                <w:rStyle w:val="quality-sign"/>
                <w:rFonts w:eastAsia="MS Mincho" w:cs="MS Mincho"/>
                <w:lang w:eastAsia="en-AU"/>
              </w:rPr>
              <w:t>VERY LOW</w:t>
            </w:r>
            <w:r w:rsidRPr="004F1647">
              <w:rPr>
                <w:rStyle w:val="quality-sign"/>
                <w:rFonts w:eastAsia="MS Mincho" w:cs="MS Mincho"/>
                <w:vertAlign w:val="superscript"/>
                <w:lang w:eastAsia="en-AU"/>
              </w:rPr>
              <w:t>1,4</w:t>
            </w:r>
          </w:p>
        </w:tc>
        <w:tc>
          <w:tcPr>
            <w:tcW w:w="2411" w:type="pct"/>
          </w:tcPr>
          <w:p w14:paraId="7B30CA94" w14:textId="77777777" w:rsidR="00537B24" w:rsidRPr="00402D62" w:rsidRDefault="00537B24" w:rsidP="00025297">
            <w:pPr>
              <w:pStyle w:val="Tabletext1"/>
            </w:pPr>
            <w:r w:rsidRPr="00402D62">
              <w:t>Median survival rate, pooled</w:t>
            </w:r>
          </w:p>
          <w:p w14:paraId="19D892AB" w14:textId="1EB7FF01" w:rsidR="00537B24" w:rsidRPr="00402D62" w:rsidRDefault="00537B24" w:rsidP="00025297">
            <w:pPr>
              <w:pStyle w:val="Tabletext1"/>
            </w:pPr>
            <w:r w:rsidRPr="00402D62">
              <w:t>1-year: 86.3% (range 83</w:t>
            </w:r>
            <w:r w:rsidR="00D35E9C">
              <w:t>–</w:t>
            </w:r>
            <w:r w:rsidRPr="00402D62">
              <w:t>100%)</w:t>
            </w:r>
          </w:p>
          <w:p w14:paraId="247F6A30" w14:textId="0DC535E9" w:rsidR="00537B24" w:rsidRPr="00402D62" w:rsidRDefault="00537B24" w:rsidP="00025297">
            <w:pPr>
              <w:pStyle w:val="Tabletext1"/>
            </w:pPr>
            <w:r w:rsidRPr="00402D62">
              <w:t>2-year: 74% (69.8</w:t>
            </w:r>
            <w:r w:rsidR="00D35E9C">
              <w:t>–</w:t>
            </w:r>
            <w:r w:rsidRPr="00402D62">
              <w:t>86%)</w:t>
            </w:r>
          </w:p>
          <w:p w14:paraId="47197287" w14:textId="0056539A" w:rsidR="00537B24" w:rsidRPr="00402D62" w:rsidRDefault="00537B24" w:rsidP="00025297">
            <w:pPr>
              <w:pStyle w:val="Tabletext1"/>
            </w:pPr>
            <w:r w:rsidRPr="00402D62">
              <w:t>3-year: 62.75% (40</w:t>
            </w:r>
            <w:r w:rsidR="00D35E9C">
              <w:t>–</w:t>
            </w:r>
            <w:r w:rsidRPr="00402D62">
              <w:t>74%)</w:t>
            </w:r>
          </w:p>
          <w:p w14:paraId="364B7CA3" w14:textId="311F2925" w:rsidR="00537B24" w:rsidRPr="00402D62" w:rsidRDefault="00537B24" w:rsidP="00025297">
            <w:pPr>
              <w:pStyle w:val="Tabletext1"/>
            </w:pPr>
            <w:r w:rsidRPr="00402D62">
              <w:t>5-year: 28% (14</w:t>
            </w:r>
            <w:r w:rsidR="00D35E9C">
              <w:t>–</w:t>
            </w:r>
            <w:r w:rsidRPr="00402D62">
              <w:t>61%)</w:t>
            </w:r>
          </w:p>
        </w:tc>
      </w:tr>
      <w:tr w:rsidR="00537B24" w:rsidRPr="00402D62" w14:paraId="0C543264" w14:textId="77777777" w:rsidTr="00025297">
        <w:tc>
          <w:tcPr>
            <w:tcW w:w="1184" w:type="pct"/>
            <w:tcBorders>
              <w:bottom w:val="single" w:sz="4" w:space="0" w:color="auto"/>
            </w:tcBorders>
          </w:tcPr>
          <w:p w14:paraId="5C259D99" w14:textId="77777777" w:rsidR="00537B24" w:rsidRPr="004F1647" w:rsidRDefault="00537B24" w:rsidP="00025297">
            <w:pPr>
              <w:pStyle w:val="Tabletext1"/>
              <w:rPr>
                <w:b/>
                <w:u w:val="single"/>
              </w:rPr>
            </w:pPr>
            <w:r w:rsidRPr="004F1647">
              <w:rPr>
                <w:b/>
                <w:u w:val="single"/>
              </w:rPr>
              <w:lastRenderedPageBreak/>
              <w:t>Radiotherapy</w:t>
            </w:r>
          </w:p>
          <w:p w14:paraId="2A1BDFEF" w14:textId="77777777" w:rsidR="00537B24" w:rsidRPr="00402D62" w:rsidRDefault="00537B24" w:rsidP="00025297">
            <w:pPr>
              <w:pStyle w:val="Tabletext1"/>
            </w:pPr>
            <w:r w:rsidRPr="00402D62">
              <w:t>Assessed with: varied instruments</w:t>
            </w:r>
          </w:p>
          <w:p w14:paraId="0A6A9624" w14:textId="50E13E33" w:rsidR="00537B24" w:rsidRPr="00402D62" w:rsidRDefault="00CB3BFC" w:rsidP="00025297">
            <w:pPr>
              <w:pStyle w:val="Tabletext1"/>
            </w:pPr>
            <w:r w:rsidRPr="008B4E16">
              <w:t>F/</w:t>
            </w:r>
            <w:r>
              <w:t>U</w:t>
            </w:r>
            <w:r w:rsidRPr="008B4E16">
              <w:t xml:space="preserve">: </w:t>
            </w:r>
            <w:r w:rsidR="00537B24" w:rsidRPr="00402D62">
              <w:t>range 21 months to 30.2 months</w:t>
            </w:r>
          </w:p>
        </w:tc>
        <w:tc>
          <w:tcPr>
            <w:tcW w:w="715" w:type="pct"/>
            <w:tcBorders>
              <w:bottom w:val="single" w:sz="4" w:space="0" w:color="auto"/>
            </w:tcBorders>
          </w:tcPr>
          <w:p w14:paraId="360E8D0A" w14:textId="77777777" w:rsidR="00537B24" w:rsidRDefault="00537B24" w:rsidP="00025297">
            <w:pPr>
              <w:pStyle w:val="Tabletext1"/>
            </w:pPr>
            <w:r>
              <w:t>1 Level II study</w:t>
            </w:r>
          </w:p>
          <w:p w14:paraId="674587AE" w14:textId="77777777" w:rsidR="00537B24" w:rsidRPr="00402D62" w:rsidRDefault="00537B24" w:rsidP="00025297">
            <w:pPr>
              <w:pStyle w:val="Tabletext1"/>
            </w:pPr>
            <w:r>
              <w:t>1 Level III-1 study</w:t>
            </w:r>
            <w:r w:rsidRPr="00402D62">
              <w:rPr>
                <w:vertAlign w:val="superscript"/>
              </w:rPr>
              <w:t>5</w:t>
            </w:r>
          </w:p>
        </w:tc>
        <w:tc>
          <w:tcPr>
            <w:tcW w:w="690" w:type="pct"/>
            <w:tcBorders>
              <w:bottom w:val="single" w:sz="4" w:space="0" w:color="auto"/>
            </w:tcBorders>
          </w:tcPr>
          <w:p w14:paraId="71731040" w14:textId="77777777" w:rsidR="00537B24" w:rsidRDefault="00537B24" w:rsidP="00025297">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6643529F" w14:textId="77777777" w:rsidR="00537B24" w:rsidRPr="00402D62" w:rsidRDefault="00537B24" w:rsidP="00025297">
            <w:pPr>
              <w:pStyle w:val="Tabletext1"/>
              <w:rPr>
                <w:sz w:val="13"/>
                <w:szCs w:val="13"/>
              </w:rPr>
            </w:pPr>
            <w:r w:rsidRPr="004F1647">
              <w:rPr>
                <w:rStyle w:val="quality-sign"/>
                <w:rFonts w:eastAsia="MS Mincho" w:cs="MS Mincho"/>
                <w:lang w:eastAsia="en-AU"/>
              </w:rPr>
              <w:t>LOW</w:t>
            </w:r>
          </w:p>
        </w:tc>
        <w:tc>
          <w:tcPr>
            <w:tcW w:w="2411" w:type="pct"/>
            <w:tcBorders>
              <w:bottom w:val="single" w:sz="4" w:space="0" w:color="auto"/>
            </w:tcBorders>
          </w:tcPr>
          <w:p w14:paraId="3FC582D7" w14:textId="30462447" w:rsidR="00537B24" w:rsidRPr="00402D62" w:rsidRDefault="00537B24" w:rsidP="00025297">
            <w:pPr>
              <w:pStyle w:val="Tabletext1"/>
            </w:pPr>
            <w:r w:rsidRPr="00402D62">
              <w:t xml:space="preserve">Koshy et al (2015) compared conventional radiotherapy, SBRT and no treatment in a study of 13,036 patients. </w:t>
            </w:r>
            <w:r w:rsidR="00E547C3">
              <w:t>No treatment</w:t>
            </w:r>
            <w:r w:rsidRPr="00402D62">
              <w:t xml:space="preserve"> </w:t>
            </w:r>
            <w:r w:rsidR="0024130F">
              <w:t>3-yr</w:t>
            </w:r>
            <w:r>
              <w:t xml:space="preserve"> survival </w:t>
            </w:r>
            <w:r w:rsidR="00AF0D44">
              <w:t>was</w:t>
            </w:r>
            <w:r>
              <w:t xml:space="preserve"> 28%</w:t>
            </w:r>
            <w:r w:rsidRPr="00402D62">
              <w:t>;</w:t>
            </w:r>
            <w:r w:rsidR="00AF0D44">
              <w:t xml:space="preserve"> SBRT was 48%; conventional radiotherapy was 36%. A</w:t>
            </w:r>
            <w:r w:rsidRPr="00402D62">
              <w:t xml:space="preserve"> propensity-matched cohort of SBRT and con</w:t>
            </w:r>
            <w:r w:rsidR="0024130F">
              <w:t>ventional radiotherapy gave a 3-yr o</w:t>
            </w:r>
            <w:r w:rsidRPr="00402D62">
              <w:t xml:space="preserve">verall survival </w:t>
            </w:r>
            <w:r w:rsidR="00E547C3">
              <w:t>with SBRT of 48</w:t>
            </w:r>
            <w:r>
              <w:t>%</w:t>
            </w:r>
            <w:r w:rsidRPr="00402D62">
              <w:t xml:space="preserve"> and with conventional radiotherapy of 40 </w:t>
            </w:r>
            <w:r>
              <w:t>%</w:t>
            </w:r>
            <w:r w:rsidRPr="00402D62">
              <w:t xml:space="preserve"> (p</w:t>
            </w:r>
            <w:r>
              <w:t xml:space="preserve"> </w:t>
            </w:r>
            <w:r w:rsidRPr="00402D62">
              <w:t>=</w:t>
            </w:r>
            <w:r>
              <w:t xml:space="preserve"> </w:t>
            </w:r>
            <w:r w:rsidRPr="00402D62">
              <w:t>0.001).</w:t>
            </w:r>
          </w:p>
          <w:p w14:paraId="17394D39" w14:textId="1CD6FFC7" w:rsidR="00537B24" w:rsidRPr="00402D62" w:rsidRDefault="00537B24" w:rsidP="00025297">
            <w:pPr>
              <w:pStyle w:val="Tabletext1"/>
            </w:pPr>
            <w:r w:rsidRPr="00402D62">
              <w:t xml:space="preserve"> Videtic et al (2015) reported 1-year survival with 34/1 GY SBRT and 48/4 GY SBRT as </w:t>
            </w:r>
            <w:r>
              <w:t>48.6</w:t>
            </w:r>
            <w:r w:rsidRPr="00402D62">
              <w:t>% (09% CI 6</w:t>
            </w:r>
            <w:r>
              <w:t>8.9</w:t>
            </w:r>
            <w:r w:rsidR="00D35E9C">
              <w:t>–</w:t>
            </w:r>
            <w:r>
              <w:t>92.8</w:t>
            </w:r>
            <w:r w:rsidRPr="00402D62">
              <w:t>%) and 91.1 (</w:t>
            </w:r>
            <w:r>
              <w:t>78.0</w:t>
            </w:r>
            <w:r w:rsidR="00D35E9C">
              <w:t>–</w:t>
            </w:r>
            <w:r>
              <w:t>96.6</w:t>
            </w:r>
            <w:r w:rsidRPr="00402D62">
              <w:t>%) respectively. For 2-year survival it was: 61.3% (44.2</w:t>
            </w:r>
            <w:r w:rsidR="00D35E9C">
              <w:t>–</w:t>
            </w:r>
            <w:r w:rsidRPr="00402D62">
              <w:t>74.6%) versus 77.7% (62.5</w:t>
            </w:r>
            <w:r w:rsidR="00D35E9C">
              <w:t>–</w:t>
            </w:r>
            <w:r w:rsidRPr="00402D62">
              <w:t>87.3).</w:t>
            </w:r>
          </w:p>
        </w:tc>
      </w:tr>
      <w:tr w:rsidR="00537B24" w:rsidRPr="00402D62" w14:paraId="773AD580" w14:textId="77777777" w:rsidTr="00025297">
        <w:tc>
          <w:tcPr>
            <w:tcW w:w="1184" w:type="pct"/>
            <w:tcBorders>
              <w:right w:val="nil"/>
            </w:tcBorders>
            <w:shd w:val="clear" w:color="auto" w:fill="D9D9D9" w:themeFill="background1" w:themeFillShade="D9"/>
          </w:tcPr>
          <w:p w14:paraId="151DE007" w14:textId="77777777" w:rsidR="00537B24" w:rsidRPr="00402D62" w:rsidRDefault="00537B24" w:rsidP="00025297">
            <w:pPr>
              <w:pStyle w:val="Tabletext1"/>
            </w:pPr>
            <w:r w:rsidRPr="00402D62">
              <w:t xml:space="preserve">Median overall survival </w:t>
            </w:r>
          </w:p>
        </w:tc>
        <w:tc>
          <w:tcPr>
            <w:tcW w:w="715" w:type="pct"/>
            <w:tcBorders>
              <w:left w:val="nil"/>
              <w:right w:val="nil"/>
            </w:tcBorders>
            <w:shd w:val="clear" w:color="auto" w:fill="D9D9D9" w:themeFill="background1" w:themeFillShade="D9"/>
          </w:tcPr>
          <w:p w14:paraId="36281AC6" w14:textId="77777777" w:rsidR="00537B24" w:rsidRPr="00402D62" w:rsidRDefault="00537B24" w:rsidP="00025297">
            <w:pPr>
              <w:pStyle w:val="Tabletext1"/>
            </w:pPr>
          </w:p>
        </w:tc>
        <w:tc>
          <w:tcPr>
            <w:tcW w:w="690" w:type="pct"/>
            <w:tcBorders>
              <w:left w:val="nil"/>
              <w:right w:val="nil"/>
            </w:tcBorders>
            <w:shd w:val="clear" w:color="auto" w:fill="D9D9D9" w:themeFill="background1" w:themeFillShade="D9"/>
          </w:tcPr>
          <w:p w14:paraId="3B97FA8B" w14:textId="77777777" w:rsidR="00537B24" w:rsidRPr="00402D62" w:rsidRDefault="00537B24" w:rsidP="00025297">
            <w:pPr>
              <w:pStyle w:val="Tabletext1"/>
            </w:pPr>
          </w:p>
        </w:tc>
        <w:tc>
          <w:tcPr>
            <w:tcW w:w="2411" w:type="pct"/>
            <w:tcBorders>
              <w:left w:val="nil"/>
            </w:tcBorders>
            <w:shd w:val="clear" w:color="auto" w:fill="D9D9D9" w:themeFill="background1" w:themeFillShade="D9"/>
          </w:tcPr>
          <w:p w14:paraId="50736D74" w14:textId="77777777" w:rsidR="00537B24" w:rsidRPr="00402D62" w:rsidRDefault="00537B24" w:rsidP="00025297">
            <w:pPr>
              <w:pStyle w:val="Tabletext1"/>
            </w:pPr>
          </w:p>
        </w:tc>
      </w:tr>
      <w:tr w:rsidR="00537B24" w:rsidRPr="00402D62" w14:paraId="388C29B2" w14:textId="77777777" w:rsidTr="00025297">
        <w:tc>
          <w:tcPr>
            <w:tcW w:w="1184" w:type="pct"/>
          </w:tcPr>
          <w:p w14:paraId="271D91F4" w14:textId="77777777" w:rsidR="00537B24" w:rsidRPr="00C37FC2" w:rsidRDefault="00537B24" w:rsidP="00025297">
            <w:pPr>
              <w:pStyle w:val="Tabletext1"/>
              <w:rPr>
                <w:b/>
                <w:u w:val="single"/>
              </w:rPr>
            </w:pPr>
            <w:r w:rsidRPr="00C37FC2">
              <w:rPr>
                <w:b/>
                <w:u w:val="single"/>
              </w:rPr>
              <w:t>MTA</w:t>
            </w:r>
          </w:p>
          <w:p w14:paraId="3474FA42" w14:textId="77777777" w:rsidR="00537B24" w:rsidRPr="00402D62" w:rsidRDefault="00537B24" w:rsidP="00025297">
            <w:pPr>
              <w:pStyle w:val="Tabletext1"/>
            </w:pPr>
            <w:r w:rsidRPr="00402D62">
              <w:t>Assessed with: Kaplan-Meier estimate (95%CI)</w:t>
            </w:r>
          </w:p>
          <w:p w14:paraId="06B18DCC" w14:textId="05D6CF11" w:rsidR="00537B24" w:rsidRPr="00402D62" w:rsidRDefault="00CB3BFC" w:rsidP="00025297">
            <w:pPr>
              <w:pStyle w:val="Tabletext1"/>
            </w:pPr>
            <w:r w:rsidRPr="008B4E16">
              <w:t>F/</w:t>
            </w:r>
            <w:r>
              <w:t>U</w:t>
            </w:r>
            <w:r w:rsidRPr="008B4E16">
              <w:t xml:space="preserve">: </w:t>
            </w:r>
            <w:r w:rsidR="00537B24" w:rsidRPr="00402D62">
              <w:t>range 22.5 months to 30 months</w:t>
            </w:r>
          </w:p>
        </w:tc>
        <w:tc>
          <w:tcPr>
            <w:tcW w:w="715" w:type="pct"/>
          </w:tcPr>
          <w:p w14:paraId="64997A16" w14:textId="77777777" w:rsidR="00537B24" w:rsidRPr="00402D62" w:rsidRDefault="00537B24" w:rsidP="00025297">
            <w:pPr>
              <w:pStyle w:val="Tabletext1"/>
            </w:pPr>
            <w:r w:rsidRPr="00402D62">
              <w:t xml:space="preserve">2 </w:t>
            </w:r>
            <w:r>
              <w:t xml:space="preserve">Level IV studies </w:t>
            </w:r>
          </w:p>
        </w:tc>
        <w:tc>
          <w:tcPr>
            <w:tcW w:w="690" w:type="pct"/>
          </w:tcPr>
          <w:p w14:paraId="6EED99EC" w14:textId="77777777" w:rsidR="00537B24" w:rsidRPr="00402D62" w:rsidRDefault="00537B24" w:rsidP="00025297">
            <w:pPr>
              <w:pStyle w:val="Tabletext1"/>
            </w:pPr>
            <w:r>
              <w:rPr>
                <w:rFonts w:ascii="Cambria Math" w:hAnsi="Cambria Math"/>
                <w:color w:val="00B050"/>
              </w:rPr>
              <w:t>⨁</w:t>
            </w:r>
            <w:r w:rsidRPr="00D4733A">
              <w:rPr>
                <w:rFonts w:ascii="Cambria Math" w:hAnsi="Cambria Math" w:cs="Cambria Math"/>
                <w:color w:val="C00000"/>
              </w:rPr>
              <w:t>⨀⨀⨀</w:t>
            </w:r>
            <w:r w:rsidRPr="00402D62">
              <w:rPr>
                <w:sz w:val="13"/>
                <w:szCs w:val="13"/>
              </w:rPr>
              <w:br/>
            </w:r>
            <w:r w:rsidRPr="00F208D8">
              <w:t>VERY LOW</w:t>
            </w:r>
            <w:r w:rsidRPr="00F208D8">
              <w:rPr>
                <w:vertAlign w:val="superscript"/>
              </w:rPr>
              <w:t>1,6</w:t>
            </w:r>
          </w:p>
        </w:tc>
        <w:tc>
          <w:tcPr>
            <w:tcW w:w="2411" w:type="pct"/>
          </w:tcPr>
          <w:p w14:paraId="2C36DD36" w14:textId="6DE6CBA2" w:rsidR="00537B24" w:rsidRPr="00402D62" w:rsidRDefault="00537B24" w:rsidP="00025297">
            <w:pPr>
              <w:pStyle w:val="Tabletext1"/>
            </w:pPr>
            <w:r w:rsidRPr="00402D62">
              <w:t>Han et al (2015): 35.0 months (95%CI 22.3</w:t>
            </w:r>
            <w:r w:rsidR="00D35E9C">
              <w:t>–</w:t>
            </w:r>
            <w:r w:rsidRPr="00402D62">
              <w:t>47.7)</w:t>
            </w:r>
          </w:p>
          <w:p w14:paraId="4FD11870" w14:textId="23F5D04D" w:rsidR="00537B24" w:rsidRPr="00402D62" w:rsidRDefault="00537B24" w:rsidP="00025297">
            <w:pPr>
              <w:pStyle w:val="Tabletext1"/>
              <w:rPr>
                <w:vertAlign w:val="superscript"/>
              </w:rPr>
            </w:pPr>
            <w:r w:rsidRPr="00402D62">
              <w:t>Yang et al (2014): 33.8 months (95%CI 31.9</w:t>
            </w:r>
            <w:r w:rsidR="00D35E9C">
              <w:t>–</w:t>
            </w:r>
            <w:r w:rsidRPr="00402D62">
              <w:t>35.7)</w:t>
            </w:r>
            <w:r w:rsidRPr="00402D62">
              <w:rPr>
                <w:vertAlign w:val="superscript"/>
              </w:rPr>
              <w:t>3</w:t>
            </w:r>
          </w:p>
          <w:p w14:paraId="23A366E4" w14:textId="77777777" w:rsidR="00537B24" w:rsidRPr="00402D62" w:rsidRDefault="00537B24" w:rsidP="00025297">
            <w:pPr>
              <w:pStyle w:val="Tabletext1"/>
              <w:rPr>
                <w:vertAlign w:val="superscript"/>
              </w:rPr>
            </w:pPr>
          </w:p>
          <w:p w14:paraId="4EAF0960" w14:textId="73006125" w:rsidR="00537B24" w:rsidRPr="00402D62" w:rsidRDefault="00537B24" w:rsidP="00025297">
            <w:pPr>
              <w:pStyle w:val="Tabletext1"/>
            </w:pPr>
            <w:r w:rsidRPr="00402D62">
              <w:t>Han et al (2015): cancer specific 41.9 months (95% CI 38.8</w:t>
            </w:r>
            <w:r w:rsidR="00D35E9C">
              <w:t>–</w:t>
            </w:r>
            <w:r w:rsidRPr="00402D62">
              <w:t>49.9)</w:t>
            </w:r>
          </w:p>
          <w:p w14:paraId="2C078BD5" w14:textId="2108EF29" w:rsidR="00537B24" w:rsidRPr="00402D62" w:rsidRDefault="00537B24" w:rsidP="00025297">
            <w:pPr>
              <w:pStyle w:val="Tabletext1"/>
            </w:pPr>
            <w:r w:rsidRPr="00402D62">
              <w:t>Yang et al (2014): cancer specific 47.4 months (25.7</w:t>
            </w:r>
            <w:r w:rsidR="00D35E9C">
              <w:t>–</w:t>
            </w:r>
            <w:r w:rsidRPr="00402D62">
              <w:t>69.1)</w:t>
            </w:r>
          </w:p>
        </w:tc>
      </w:tr>
      <w:tr w:rsidR="00537B24" w:rsidRPr="00402D62" w14:paraId="1575A677" w14:textId="77777777" w:rsidTr="00025297">
        <w:tc>
          <w:tcPr>
            <w:tcW w:w="1184" w:type="pct"/>
          </w:tcPr>
          <w:p w14:paraId="742857CB" w14:textId="77777777" w:rsidR="00537B24" w:rsidRPr="00C37FC2" w:rsidRDefault="00537B24" w:rsidP="00025297">
            <w:pPr>
              <w:pStyle w:val="Tabletext1"/>
              <w:rPr>
                <w:b/>
                <w:u w:val="single"/>
              </w:rPr>
            </w:pPr>
            <w:r w:rsidRPr="00C37FC2">
              <w:rPr>
                <w:b/>
                <w:u w:val="single"/>
              </w:rPr>
              <w:t>RFA</w:t>
            </w:r>
          </w:p>
          <w:p w14:paraId="4ABD078C" w14:textId="77777777" w:rsidR="00537B24" w:rsidRPr="00402D62" w:rsidRDefault="00537B24" w:rsidP="00025297">
            <w:pPr>
              <w:pStyle w:val="Tabletext1"/>
            </w:pPr>
            <w:r w:rsidRPr="00402D62">
              <w:t>Assessed with: Kaplan-Meier estimate (95%CI)</w:t>
            </w:r>
          </w:p>
          <w:p w14:paraId="50D768FD" w14:textId="1FADDE0F" w:rsidR="00537B24" w:rsidRPr="00402D62" w:rsidRDefault="00CB3BFC" w:rsidP="00025297">
            <w:pPr>
              <w:pStyle w:val="Tabletext1"/>
            </w:pPr>
            <w:r w:rsidRPr="008B4E16">
              <w:t>F/</w:t>
            </w:r>
            <w:r>
              <w:t>U</w:t>
            </w:r>
            <w:r w:rsidRPr="008B4E16">
              <w:t xml:space="preserve">: </w:t>
            </w:r>
            <w:r w:rsidR="00537B24" w:rsidRPr="00402D62">
              <w:t xml:space="preserve"> range 19 months to 37 months</w:t>
            </w:r>
          </w:p>
        </w:tc>
        <w:tc>
          <w:tcPr>
            <w:tcW w:w="715" w:type="pct"/>
          </w:tcPr>
          <w:p w14:paraId="72E397A9" w14:textId="77777777" w:rsidR="00537B24" w:rsidRPr="00402D62" w:rsidRDefault="00537B24" w:rsidP="00025297">
            <w:pPr>
              <w:pStyle w:val="Tabletext1"/>
            </w:pPr>
            <w:r>
              <w:t>6 Level IV studies</w:t>
            </w:r>
          </w:p>
        </w:tc>
        <w:tc>
          <w:tcPr>
            <w:tcW w:w="690" w:type="pct"/>
          </w:tcPr>
          <w:p w14:paraId="203E21DC" w14:textId="77777777" w:rsidR="00537B24" w:rsidRPr="00402D62" w:rsidRDefault="00537B24" w:rsidP="00025297">
            <w:pPr>
              <w:pStyle w:val="Tabletext1"/>
            </w:pPr>
            <w:r>
              <w:rPr>
                <w:rFonts w:ascii="Cambria Math" w:hAnsi="Cambria Math"/>
                <w:color w:val="00B050"/>
              </w:rPr>
              <w:t>⨁</w:t>
            </w:r>
            <w:r w:rsidRPr="00D4733A">
              <w:rPr>
                <w:rFonts w:ascii="Cambria Math" w:hAnsi="Cambria Math" w:cs="Cambria Math"/>
                <w:color w:val="C00000"/>
              </w:rPr>
              <w:t>⨀⨀⨀</w:t>
            </w:r>
            <w:r w:rsidRPr="00402D62">
              <w:rPr>
                <w:rFonts w:ascii="Times New Roman" w:hAnsi="Times New Roman"/>
                <w:sz w:val="24"/>
              </w:rPr>
              <w:br/>
            </w:r>
            <w:r w:rsidRPr="00F208D8">
              <w:t xml:space="preserve">VERY LOW </w:t>
            </w:r>
            <w:r w:rsidRPr="00F208D8">
              <w:rPr>
                <w:vertAlign w:val="superscript"/>
              </w:rPr>
              <w:t>1,4</w:t>
            </w:r>
          </w:p>
        </w:tc>
        <w:tc>
          <w:tcPr>
            <w:tcW w:w="2411" w:type="pct"/>
          </w:tcPr>
          <w:p w14:paraId="0AA5CB51" w14:textId="1B7C3382" w:rsidR="00537B24" w:rsidRPr="00402D62" w:rsidRDefault="00537B24" w:rsidP="00025297">
            <w:pPr>
              <w:pStyle w:val="Tabletext1"/>
            </w:pPr>
            <w:r w:rsidRPr="00402D62">
              <w:t xml:space="preserve">Median overall survival: </w:t>
            </w:r>
            <w:r w:rsidRPr="00590652">
              <w:t>42.8 months (range: 33.4</w:t>
            </w:r>
            <w:r w:rsidR="00D35E9C">
              <w:t>–</w:t>
            </w:r>
            <w:r w:rsidRPr="00590652">
              <w:t>67)</w:t>
            </w:r>
          </w:p>
        </w:tc>
      </w:tr>
      <w:tr w:rsidR="00537B24" w:rsidRPr="00402D62" w14:paraId="04073DF1" w14:textId="77777777" w:rsidTr="00C80786">
        <w:tc>
          <w:tcPr>
            <w:tcW w:w="1184" w:type="pct"/>
            <w:tcBorders>
              <w:bottom w:val="single" w:sz="4" w:space="0" w:color="auto"/>
            </w:tcBorders>
          </w:tcPr>
          <w:p w14:paraId="5D7FD402" w14:textId="77777777" w:rsidR="00537B24" w:rsidRPr="00C37FC2" w:rsidRDefault="00537B24" w:rsidP="00025297">
            <w:pPr>
              <w:pStyle w:val="Tabletext1"/>
              <w:rPr>
                <w:b/>
                <w:u w:val="single"/>
              </w:rPr>
            </w:pPr>
            <w:r w:rsidRPr="00C37FC2">
              <w:rPr>
                <w:b/>
                <w:u w:val="single"/>
              </w:rPr>
              <w:t>Radiotherapy</w:t>
            </w:r>
          </w:p>
          <w:p w14:paraId="0BF53416" w14:textId="77777777" w:rsidR="00537B24" w:rsidRPr="00402D62" w:rsidRDefault="00537B24" w:rsidP="00025297">
            <w:pPr>
              <w:pStyle w:val="Tabletext1"/>
            </w:pPr>
            <w:r w:rsidRPr="00402D62">
              <w:t>Not reported</w:t>
            </w:r>
          </w:p>
        </w:tc>
        <w:tc>
          <w:tcPr>
            <w:tcW w:w="715" w:type="pct"/>
            <w:tcBorders>
              <w:bottom w:val="single" w:sz="4" w:space="0" w:color="auto"/>
            </w:tcBorders>
          </w:tcPr>
          <w:p w14:paraId="58DBDDEC" w14:textId="77777777" w:rsidR="00537B24" w:rsidRPr="00402D62" w:rsidRDefault="00537B24" w:rsidP="00025297">
            <w:pPr>
              <w:pStyle w:val="Tabletext1"/>
            </w:pPr>
            <w:r w:rsidRPr="00402D62">
              <w:t>0 studies</w:t>
            </w:r>
          </w:p>
        </w:tc>
        <w:tc>
          <w:tcPr>
            <w:tcW w:w="690" w:type="pct"/>
            <w:tcBorders>
              <w:bottom w:val="single" w:sz="4" w:space="0" w:color="auto"/>
            </w:tcBorders>
          </w:tcPr>
          <w:p w14:paraId="05DD8DD7" w14:textId="77777777" w:rsidR="00537B24" w:rsidRPr="00402D62" w:rsidRDefault="00537B24" w:rsidP="00025297">
            <w:pPr>
              <w:pStyle w:val="Tabletext1"/>
            </w:pPr>
            <w:r w:rsidRPr="00402D62">
              <w:t>NA</w:t>
            </w:r>
          </w:p>
        </w:tc>
        <w:tc>
          <w:tcPr>
            <w:tcW w:w="2411" w:type="pct"/>
            <w:tcBorders>
              <w:bottom w:val="single" w:sz="4" w:space="0" w:color="auto"/>
            </w:tcBorders>
          </w:tcPr>
          <w:p w14:paraId="1F972230" w14:textId="77777777" w:rsidR="00537B24" w:rsidRPr="00402D62" w:rsidRDefault="00537B24" w:rsidP="00025297">
            <w:pPr>
              <w:pStyle w:val="Tabletext1"/>
            </w:pPr>
            <w:r w:rsidRPr="00402D62">
              <w:t>NA</w:t>
            </w:r>
          </w:p>
        </w:tc>
      </w:tr>
      <w:tr w:rsidR="00C80786" w:rsidRPr="00402D62" w14:paraId="41FA5406" w14:textId="77777777" w:rsidTr="00C80786">
        <w:tc>
          <w:tcPr>
            <w:tcW w:w="1184" w:type="pct"/>
            <w:tcBorders>
              <w:right w:val="nil"/>
            </w:tcBorders>
            <w:shd w:val="clear" w:color="auto" w:fill="D9D9D9" w:themeFill="background1" w:themeFillShade="D9"/>
          </w:tcPr>
          <w:p w14:paraId="19B9985C" w14:textId="77777777" w:rsidR="00C80786" w:rsidRPr="00C37FC2" w:rsidRDefault="00C80786" w:rsidP="00025297">
            <w:pPr>
              <w:pStyle w:val="Tabletext1"/>
              <w:rPr>
                <w:b/>
              </w:rPr>
            </w:pPr>
            <w:r w:rsidRPr="00C37FC2">
              <w:rPr>
                <w:b/>
              </w:rPr>
              <w:t>Median time to local progression</w:t>
            </w:r>
          </w:p>
        </w:tc>
        <w:tc>
          <w:tcPr>
            <w:tcW w:w="715" w:type="pct"/>
            <w:tcBorders>
              <w:left w:val="nil"/>
              <w:right w:val="nil"/>
            </w:tcBorders>
            <w:shd w:val="clear" w:color="auto" w:fill="D9D9D9" w:themeFill="background1" w:themeFillShade="D9"/>
          </w:tcPr>
          <w:p w14:paraId="0016C084" w14:textId="77777777" w:rsidR="00C80786" w:rsidRPr="00C37FC2" w:rsidRDefault="00C80786" w:rsidP="00025297">
            <w:pPr>
              <w:pStyle w:val="Tabletext1"/>
              <w:rPr>
                <w:b/>
              </w:rPr>
            </w:pPr>
          </w:p>
        </w:tc>
        <w:tc>
          <w:tcPr>
            <w:tcW w:w="690" w:type="pct"/>
            <w:tcBorders>
              <w:left w:val="nil"/>
              <w:right w:val="nil"/>
            </w:tcBorders>
            <w:shd w:val="clear" w:color="auto" w:fill="D9D9D9" w:themeFill="background1" w:themeFillShade="D9"/>
          </w:tcPr>
          <w:p w14:paraId="03E4392F" w14:textId="77777777" w:rsidR="00C80786" w:rsidRPr="00C37FC2" w:rsidRDefault="00C80786" w:rsidP="00025297">
            <w:pPr>
              <w:pStyle w:val="Tabletext1"/>
              <w:rPr>
                <w:b/>
              </w:rPr>
            </w:pPr>
          </w:p>
        </w:tc>
        <w:tc>
          <w:tcPr>
            <w:tcW w:w="2411" w:type="pct"/>
            <w:tcBorders>
              <w:left w:val="nil"/>
            </w:tcBorders>
            <w:shd w:val="clear" w:color="auto" w:fill="D9D9D9" w:themeFill="background1" w:themeFillShade="D9"/>
          </w:tcPr>
          <w:p w14:paraId="24E00A5D" w14:textId="5D0EBEC6" w:rsidR="00C80786" w:rsidRPr="00C37FC2" w:rsidRDefault="00C80786" w:rsidP="00025297">
            <w:pPr>
              <w:pStyle w:val="Tabletext1"/>
              <w:rPr>
                <w:b/>
              </w:rPr>
            </w:pPr>
          </w:p>
        </w:tc>
      </w:tr>
      <w:tr w:rsidR="00537B24" w:rsidRPr="00402D62" w14:paraId="07A8B1BD" w14:textId="77777777" w:rsidTr="00025297">
        <w:tc>
          <w:tcPr>
            <w:tcW w:w="1184" w:type="pct"/>
          </w:tcPr>
          <w:p w14:paraId="3B763389" w14:textId="77777777" w:rsidR="00537B24" w:rsidRPr="00C37FC2" w:rsidRDefault="00537B24" w:rsidP="00025297">
            <w:pPr>
              <w:pStyle w:val="Tabletext1"/>
              <w:rPr>
                <w:b/>
                <w:u w:val="single"/>
              </w:rPr>
            </w:pPr>
            <w:r w:rsidRPr="00C37FC2">
              <w:rPr>
                <w:b/>
                <w:u w:val="single"/>
              </w:rPr>
              <w:t>MTA</w:t>
            </w:r>
          </w:p>
          <w:p w14:paraId="40A3E1F1" w14:textId="77777777" w:rsidR="00537B24" w:rsidRPr="00402D62" w:rsidRDefault="00537B24" w:rsidP="00025297">
            <w:pPr>
              <w:pStyle w:val="Tabletext1"/>
            </w:pPr>
            <w:r w:rsidRPr="00402D62">
              <w:t>Assessed with: Kaplan-Meier estimate (95%CI)</w:t>
            </w:r>
          </w:p>
          <w:p w14:paraId="6A1FA5DA" w14:textId="0F9CE6B7" w:rsidR="00537B24" w:rsidRPr="00402D62" w:rsidRDefault="00CB3BFC" w:rsidP="00025297">
            <w:pPr>
              <w:pStyle w:val="Tabletext1"/>
            </w:pPr>
            <w:r w:rsidRPr="008B4E16">
              <w:t>F/</w:t>
            </w:r>
            <w:r>
              <w:t>U</w:t>
            </w:r>
            <w:r w:rsidRPr="008B4E16">
              <w:t xml:space="preserve">: </w:t>
            </w:r>
            <w:r w:rsidR="00537B24" w:rsidRPr="00402D62">
              <w:t>range 22.5 months to 30 months</w:t>
            </w:r>
          </w:p>
        </w:tc>
        <w:tc>
          <w:tcPr>
            <w:tcW w:w="715" w:type="pct"/>
          </w:tcPr>
          <w:p w14:paraId="5B2A8B16" w14:textId="77777777" w:rsidR="00537B24" w:rsidRPr="00402D62" w:rsidRDefault="00537B24" w:rsidP="00025297">
            <w:pPr>
              <w:pStyle w:val="Tabletext1"/>
            </w:pPr>
            <w:r w:rsidRPr="00402D62">
              <w:t xml:space="preserve">2 </w:t>
            </w:r>
            <w:r>
              <w:t>Level IV studies</w:t>
            </w:r>
          </w:p>
        </w:tc>
        <w:tc>
          <w:tcPr>
            <w:tcW w:w="690" w:type="pct"/>
          </w:tcPr>
          <w:p w14:paraId="0A26C49B" w14:textId="77777777" w:rsidR="00537B24" w:rsidRPr="00402D62" w:rsidRDefault="00537B24" w:rsidP="00025297">
            <w:pPr>
              <w:pStyle w:val="Tabletext1"/>
            </w:pPr>
            <w:r>
              <w:rPr>
                <w:rFonts w:ascii="Cambria Math" w:hAnsi="Cambria Math"/>
                <w:color w:val="00B050"/>
              </w:rPr>
              <w:t>⨁</w:t>
            </w:r>
            <w:r w:rsidRPr="00D4733A">
              <w:rPr>
                <w:rFonts w:ascii="Cambria Math" w:hAnsi="Cambria Math" w:cs="Cambria Math"/>
                <w:color w:val="C00000"/>
              </w:rPr>
              <w:t>⨀⨀⨀</w:t>
            </w:r>
            <w:r w:rsidRPr="00402D62">
              <w:rPr>
                <w:sz w:val="13"/>
                <w:szCs w:val="13"/>
              </w:rPr>
              <w:br/>
            </w:r>
            <w:r w:rsidRPr="00F208D8">
              <w:t>VERY LOW</w:t>
            </w:r>
            <w:r w:rsidRPr="00F208D8">
              <w:rPr>
                <w:vertAlign w:val="superscript"/>
              </w:rPr>
              <w:t>1,7,8</w:t>
            </w:r>
          </w:p>
        </w:tc>
        <w:tc>
          <w:tcPr>
            <w:tcW w:w="2411" w:type="pct"/>
          </w:tcPr>
          <w:p w14:paraId="0C511A38" w14:textId="104A86E5" w:rsidR="00537B24" w:rsidRPr="00402D62" w:rsidRDefault="00537B24" w:rsidP="00025297">
            <w:pPr>
              <w:pStyle w:val="Tabletext1"/>
            </w:pPr>
            <w:r w:rsidRPr="00402D62">
              <w:t>Han et al (2015) time to local progression: 28.0 months (95%CI 17.7</w:t>
            </w:r>
            <w:r w:rsidR="00D35E9C">
              <w:t>–</w:t>
            </w:r>
            <w:r w:rsidRPr="00402D62">
              <w:t>38.3)</w:t>
            </w:r>
          </w:p>
          <w:p w14:paraId="1E679AC1" w14:textId="3D7DF03A" w:rsidR="00537B24" w:rsidRPr="00402D62" w:rsidRDefault="00537B24" w:rsidP="00025297">
            <w:pPr>
              <w:pStyle w:val="Tabletext1"/>
            </w:pPr>
            <w:r w:rsidRPr="00402D62">
              <w:t>Yang et al (2015) time to first recurrence: 45.5 months (95%CI: 28.8</w:t>
            </w:r>
            <w:r w:rsidR="00D35E9C">
              <w:t>–</w:t>
            </w:r>
            <w:r w:rsidRPr="00402D62">
              <w:t>61.8)</w:t>
            </w:r>
          </w:p>
        </w:tc>
      </w:tr>
      <w:tr w:rsidR="00537B24" w:rsidRPr="00402D62" w14:paraId="0C45FD9D" w14:textId="77777777" w:rsidTr="00025297">
        <w:tc>
          <w:tcPr>
            <w:tcW w:w="1184" w:type="pct"/>
          </w:tcPr>
          <w:p w14:paraId="6DB7480B" w14:textId="77777777" w:rsidR="00537B24" w:rsidRPr="00C37FC2" w:rsidRDefault="00537B24" w:rsidP="00025297">
            <w:pPr>
              <w:pStyle w:val="Tabletext1"/>
              <w:rPr>
                <w:b/>
                <w:u w:val="single"/>
              </w:rPr>
            </w:pPr>
            <w:r w:rsidRPr="00C37FC2">
              <w:rPr>
                <w:b/>
                <w:u w:val="single"/>
              </w:rPr>
              <w:t>RFA</w:t>
            </w:r>
          </w:p>
          <w:p w14:paraId="2B53CA87" w14:textId="77777777" w:rsidR="00537B24" w:rsidRPr="00402D62" w:rsidRDefault="00537B24" w:rsidP="00025297">
            <w:pPr>
              <w:pStyle w:val="Tabletext1"/>
            </w:pPr>
            <w:r w:rsidRPr="00402D62">
              <w:t>Assessed with: Kaplan-Meier estimate (95%CI)</w:t>
            </w:r>
          </w:p>
          <w:p w14:paraId="488D7289" w14:textId="1F3816F1" w:rsidR="00537B24" w:rsidRPr="00402D62" w:rsidRDefault="00CB3BFC" w:rsidP="00025297">
            <w:pPr>
              <w:pStyle w:val="Tabletext1"/>
            </w:pPr>
            <w:r w:rsidRPr="008B4E16">
              <w:lastRenderedPageBreak/>
              <w:t>F/</w:t>
            </w:r>
            <w:r>
              <w:t>U</w:t>
            </w:r>
            <w:r w:rsidRPr="008B4E16">
              <w:t xml:space="preserve">: </w:t>
            </w:r>
            <w:r w:rsidR="00537B24" w:rsidRPr="00402D62">
              <w:t>range 19 months to 46 months</w:t>
            </w:r>
          </w:p>
        </w:tc>
        <w:tc>
          <w:tcPr>
            <w:tcW w:w="715" w:type="pct"/>
          </w:tcPr>
          <w:p w14:paraId="756FD545" w14:textId="77777777" w:rsidR="00537B24" w:rsidRDefault="00537B24" w:rsidP="00025297">
            <w:pPr>
              <w:pStyle w:val="Tabletext1"/>
              <w:rPr>
                <w:vertAlign w:val="superscript"/>
              </w:rPr>
            </w:pPr>
            <w:r>
              <w:lastRenderedPageBreak/>
              <w:t>1 Level III-3 study</w:t>
            </w:r>
            <w:r w:rsidRPr="00402D62">
              <w:rPr>
                <w:vertAlign w:val="superscript"/>
              </w:rPr>
              <w:t>9</w:t>
            </w:r>
          </w:p>
          <w:p w14:paraId="5E55C0A9" w14:textId="77777777" w:rsidR="00537B24" w:rsidRDefault="00537B24" w:rsidP="00025297">
            <w:pPr>
              <w:pStyle w:val="Tabletext1"/>
            </w:pPr>
            <w:r>
              <w:t xml:space="preserve">3 Level IV </w:t>
            </w:r>
            <w:r>
              <w:lastRenderedPageBreak/>
              <w:t>studies</w:t>
            </w:r>
          </w:p>
          <w:p w14:paraId="1ACCF255" w14:textId="77777777" w:rsidR="00537B24" w:rsidRPr="00402D62" w:rsidRDefault="00537B24" w:rsidP="00025297">
            <w:pPr>
              <w:pStyle w:val="Tabletext1"/>
              <w:rPr>
                <w:vertAlign w:val="superscript"/>
              </w:rPr>
            </w:pPr>
          </w:p>
        </w:tc>
        <w:tc>
          <w:tcPr>
            <w:tcW w:w="690" w:type="pct"/>
          </w:tcPr>
          <w:p w14:paraId="43795FAD" w14:textId="77777777" w:rsidR="00537B24" w:rsidRPr="00402D62" w:rsidRDefault="00537B24" w:rsidP="00025297">
            <w:pPr>
              <w:pStyle w:val="Tabletext1"/>
            </w:pPr>
            <w:r>
              <w:rPr>
                <w:rFonts w:ascii="Cambria Math" w:hAnsi="Cambria Math"/>
                <w:color w:val="00B050"/>
              </w:rPr>
              <w:lastRenderedPageBreak/>
              <w:t>⨁</w:t>
            </w:r>
            <w:r w:rsidRPr="00D4733A">
              <w:rPr>
                <w:rFonts w:ascii="Cambria Math" w:hAnsi="Cambria Math" w:cs="Cambria Math"/>
                <w:color w:val="C00000"/>
              </w:rPr>
              <w:t>⨀⨀⨀</w:t>
            </w:r>
            <w:r w:rsidRPr="00402D62">
              <w:br/>
            </w:r>
            <w:r w:rsidRPr="00F208D8">
              <w:t xml:space="preserve">VERY LOW </w:t>
            </w:r>
            <w:r w:rsidRPr="00F208D8">
              <w:rPr>
                <w:vertAlign w:val="superscript"/>
              </w:rPr>
              <w:t>1,10</w:t>
            </w:r>
          </w:p>
        </w:tc>
        <w:tc>
          <w:tcPr>
            <w:tcW w:w="2411" w:type="pct"/>
          </w:tcPr>
          <w:p w14:paraId="22583D8D" w14:textId="77777777" w:rsidR="00537B24" w:rsidRPr="00402D62" w:rsidRDefault="00537B24" w:rsidP="00025297">
            <w:pPr>
              <w:pStyle w:val="Tabletext1"/>
            </w:pPr>
            <w:r w:rsidRPr="00402D62">
              <w:t>Ambrogi et al (2011): Median of 39 months (range NR)</w:t>
            </w:r>
          </w:p>
          <w:p w14:paraId="2E3E0B90" w14:textId="7656D0E6" w:rsidR="00537B24" w:rsidRPr="00402D62" w:rsidRDefault="00537B24" w:rsidP="00025297">
            <w:pPr>
              <w:pStyle w:val="Tabletext1"/>
            </w:pPr>
            <w:r w:rsidRPr="00402D62">
              <w:t>Lanuti et al (2012): mean (SD) of 12 (10) months, range 1</w:t>
            </w:r>
            <w:r w:rsidR="00D35E9C">
              <w:t>–</w:t>
            </w:r>
            <w:r w:rsidRPr="00402D62">
              <w:t>44</w:t>
            </w:r>
          </w:p>
          <w:p w14:paraId="1D4E55C7" w14:textId="3994A62C" w:rsidR="00537B24" w:rsidRPr="00402D62" w:rsidRDefault="00537B24" w:rsidP="00025297">
            <w:pPr>
              <w:pStyle w:val="Tabletext1"/>
            </w:pPr>
            <w:r w:rsidRPr="00402D62">
              <w:lastRenderedPageBreak/>
              <w:t>Liu et al (2012): mean (SD): 25 (11) months, range 4</w:t>
            </w:r>
            <w:r w:rsidR="00D35E9C">
              <w:t>–</w:t>
            </w:r>
            <w:r w:rsidRPr="00402D62">
              <w:t>35</w:t>
            </w:r>
          </w:p>
          <w:p w14:paraId="613D6B30" w14:textId="097A0EA2" w:rsidR="00537B24" w:rsidRPr="00402D62" w:rsidRDefault="00537B24" w:rsidP="00025297">
            <w:pPr>
              <w:pStyle w:val="Tabletext1"/>
            </w:pPr>
            <w:r w:rsidRPr="00402D62">
              <w:t>Safi et al (2015): 11.9 ± 8.1 (1</w:t>
            </w:r>
            <w:r w:rsidR="00D35E9C">
              <w:t>–</w:t>
            </w:r>
            <w:r w:rsidRPr="00402D62">
              <w:t>24) months with RFA and 6.0 ± 3.0 (1</w:t>
            </w:r>
            <w:r w:rsidR="00D35E9C">
              <w:t>–</w:t>
            </w:r>
            <w:r w:rsidRPr="00402D62">
              <w:t>46) months with radiotherapy, p</w:t>
            </w:r>
            <w:r>
              <w:t xml:space="preserve"> </w:t>
            </w:r>
            <w:r w:rsidRPr="00402D62">
              <w:t>=</w:t>
            </w:r>
            <w:r>
              <w:t xml:space="preserve"> </w:t>
            </w:r>
            <w:r w:rsidRPr="00402D62">
              <w:t>0.36 for test of significance</w:t>
            </w:r>
          </w:p>
        </w:tc>
      </w:tr>
      <w:tr w:rsidR="00537B24" w:rsidRPr="00402D62" w14:paraId="0619913C" w14:textId="77777777" w:rsidTr="00025297">
        <w:tc>
          <w:tcPr>
            <w:tcW w:w="1184" w:type="pct"/>
          </w:tcPr>
          <w:p w14:paraId="741F1619" w14:textId="77777777" w:rsidR="00537B24" w:rsidRPr="00C37FC2" w:rsidRDefault="00537B24" w:rsidP="00025297">
            <w:pPr>
              <w:pStyle w:val="Tabletext1"/>
              <w:rPr>
                <w:b/>
                <w:u w:val="single"/>
              </w:rPr>
            </w:pPr>
            <w:r w:rsidRPr="00C37FC2">
              <w:rPr>
                <w:b/>
                <w:u w:val="single"/>
              </w:rPr>
              <w:lastRenderedPageBreak/>
              <w:t>Radiotherapy</w:t>
            </w:r>
          </w:p>
          <w:p w14:paraId="679FA169" w14:textId="77777777" w:rsidR="00537B24" w:rsidRPr="00402D62" w:rsidRDefault="00537B24" w:rsidP="00025297">
            <w:pPr>
              <w:pStyle w:val="Tabletext1"/>
            </w:pPr>
            <w:r w:rsidRPr="00402D62">
              <w:t>Not reported</w:t>
            </w:r>
          </w:p>
        </w:tc>
        <w:tc>
          <w:tcPr>
            <w:tcW w:w="715" w:type="pct"/>
          </w:tcPr>
          <w:p w14:paraId="72001B5F" w14:textId="77777777" w:rsidR="00537B24" w:rsidRPr="00402D62" w:rsidRDefault="00537B24" w:rsidP="00025297">
            <w:pPr>
              <w:pStyle w:val="Tabletext1"/>
            </w:pPr>
            <w:r w:rsidRPr="00402D62">
              <w:t>0 studies</w:t>
            </w:r>
          </w:p>
        </w:tc>
        <w:tc>
          <w:tcPr>
            <w:tcW w:w="690" w:type="pct"/>
          </w:tcPr>
          <w:p w14:paraId="092710BD" w14:textId="77777777" w:rsidR="00537B24" w:rsidRPr="00402D62" w:rsidRDefault="00537B24" w:rsidP="00025297">
            <w:pPr>
              <w:pStyle w:val="Tabletext1"/>
            </w:pPr>
            <w:r w:rsidRPr="00402D62">
              <w:t>NA</w:t>
            </w:r>
          </w:p>
        </w:tc>
        <w:tc>
          <w:tcPr>
            <w:tcW w:w="2411" w:type="pct"/>
          </w:tcPr>
          <w:p w14:paraId="3AB9D47D" w14:textId="77777777" w:rsidR="00537B24" w:rsidRPr="00402D62" w:rsidRDefault="00537B24" w:rsidP="00025297">
            <w:pPr>
              <w:pStyle w:val="Tabletext1"/>
            </w:pPr>
            <w:r w:rsidRPr="00402D62">
              <w:t>NA</w:t>
            </w:r>
          </w:p>
        </w:tc>
      </w:tr>
    </w:tbl>
    <w:p w14:paraId="1DE56BC3" w14:textId="6D0ADF11" w:rsidR="00537B24" w:rsidRPr="0075736F" w:rsidRDefault="00537B24" w:rsidP="00537B24">
      <w:pPr>
        <w:pStyle w:val="Tablenotes0"/>
      </w:pPr>
      <w:r>
        <w:rPr>
          <w:szCs w:val="16"/>
        </w:rPr>
        <w:t xml:space="preserve">&lt; </w:t>
      </w:r>
      <w:r w:rsidR="00CB3BFC" w:rsidRPr="007C744D">
        <w:t>F/</w:t>
      </w:r>
      <w:r w:rsidR="00CB3BFC">
        <w:t>U =</w:t>
      </w:r>
      <w:r w:rsidR="00CB3BFC" w:rsidRPr="007C744D">
        <w:t xml:space="preserve"> follow-up</w:t>
      </w:r>
      <w:r w:rsidR="00CB3BFC">
        <w:t>;</w:t>
      </w:r>
      <w:r w:rsidR="00CB3BFC" w:rsidRPr="008B4E16">
        <w:t xml:space="preserve"> </w:t>
      </w:r>
      <w:r w:rsidRPr="008B4E16">
        <w:t>MTA</w:t>
      </w:r>
      <w:r>
        <w:t xml:space="preserve"> </w:t>
      </w:r>
      <w:r w:rsidRPr="008B4E16">
        <w:t>= microwave tissue ablation; NA</w:t>
      </w:r>
      <w:r>
        <w:t xml:space="preserve"> </w:t>
      </w:r>
      <w:r w:rsidRPr="008B4E16">
        <w:t>= not applicable; RFA</w:t>
      </w:r>
      <w:r>
        <w:t xml:space="preserve"> </w:t>
      </w:r>
      <w:r w:rsidRPr="008B4E16">
        <w:t>= radiofrequency ablation; SD</w:t>
      </w:r>
      <w:r>
        <w:t xml:space="preserve"> </w:t>
      </w:r>
      <w:r w:rsidRPr="008B4E16">
        <w:t>= standard deviation; ± = SD; SBRT= stereotactic body radiotherapy</w:t>
      </w:r>
      <w:r>
        <w:t xml:space="preserve"> &gt;</w:t>
      </w:r>
    </w:p>
    <w:p w14:paraId="0563DDD4" w14:textId="6628811E" w:rsidR="00537B24" w:rsidRDefault="00537B24" w:rsidP="00537B24">
      <w:pPr>
        <w:pStyle w:val="Tablenotes0"/>
      </w:pPr>
      <w:r w:rsidRPr="00E10B76">
        <w:t>GRADE Working Group grades of evidence</w:t>
      </w:r>
      <w:r>
        <w:t xml:space="preserve"> (Guyatt et al., 2013).</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6341B427" w14:textId="77777777" w:rsidR="00537B24" w:rsidRPr="00537B24" w:rsidRDefault="00537B24" w:rsidP="009970F5">
      <w:pPr>
        <w:pStyle w:val="Tablenotes0"/>
        <w:numPr>
          <w:ilvl w:val="0"/>
          <w:numId w:val="81"/>
        </w:numPr>
        <w:ind w:left="284" w:hanging="284"/>
        <w:rPr>
          <w:rFonts w:eastAsiaTheme="minorHAnsi"/>
        </w:rPr>
      </w:pPr>
      <w:r w:rsidRPr="00537B24">
        <w:rPr>
          <w:rFonts w:eastAsiaTheme="minorHAnsi"/>
        </w:rPr>
        <w:t>Due to inherent limitations in study design and from quality concerns with the included studies.</w:t>
      </w:r>
    </w:p>
    <w:p w14:paraId="6AA92777" w14:textId="77777777" w:rsidR="00537B24" w:rsidRPr="00537B24" w:rsidRDefault="00537B24" w:rsidP="009970F5">
      <w:pPr>
        <w:pStyle w:val="Tablenotes0"/>
        <w:numPr>
          <w:ilvl w:val="0"/>
          <w:numId w:val="81"/>
        </w:numPr>
        <w:ind w:left="284" w:hanging="284"/>
        <w:rPr>
          <w:rFonts w:eastAsiaTheme="minorHAnsi"/>
        </w:rPr>
      </w:pPr>
      <w:proofErr w:type="gramStart"/>
      <w:r w:rsidRPr="00537B24">
        <w:rPr>
          <w:rFonts w:eastAsiaTheme="minorHAnsi"/>
        </w:rPr>
        <w:t>Neither Han</w:t>
      </w:r>
      <w:proofErr w:type="gramEnd"/>
      <w:r w:rsidRPr="00537B24">
        <w:rPr>
          <w:rFonts w:eastAsiaTheme="minorHAnsi"/>
        </w:rPr>
        <w:t xml:space="preserve"> et al (2015) nor Yang et al (2015) provide confidence intervals associated with the point estimates, and therefore it isn't clear how precise estimates are. Similarly only Yang et al (2015) report maximum follow-up of &gt;60 months (5 years).</w:t>
      </w:r>
    </w:p>
    <w:p w14:paraId="765BDE43" w14:textId="77777777" w:rsidR="00537B24" w:rsidRPr="00537B24" w:rsidRDefault="00537B24" w:rsidP="009970F5">
      <w:pPr>
        <w:pStyle w:val="Tablenotes0"/>
        <w:numPr>
          <w:ilvl w:val="0"/>
          <w:numId w:val="81"/>
        </w:numPr>
        <w:ind w:left="284" w:hanging="284"/>
        <w:rPr>
          <w:rFonts w:eastAsiaTheme="minorHAnsi"/>
        </w:rPr>
      </w:pPr>
      <w:r w:rsidRPr="00537B24">
        <w:rPr>
          <w:rFonts w:eastAsiaTheme="minorHAnsi"/>
        </w:rPr>
        <w:t xml:space="preserve">Note that: Yang et al (2015) examined a subgroup of patients with tumours &gt; 3.5 cm versus ≤ 3.5 cm and found that tumours ≤ 3.5 cm were associated with better survival than were tumours &gt;3.5 cm (p = 0.016). The distribution in number of patients with tumours &gt;3.5 cm across the two studies will affect the consistency of outcomes. </w:t>
      </w:r>
    </w:p>
    <w:p w14:paraId="3D6AAEF8" w14:textId="77777777" w:rsidR="00537B24" w:rsidRPr="00537B24" w:rsidRDefault="00537B24" w:rsidP="009970F5">
      <w:pPr>
        <w:pStyle w:val="Tablenotes0"/>
        <w:numPr>
          <w:ilvl w:val="0"/>
          <w:numId w:val="81"/>
        </w:numPr>
        <w:ind w:left="284" w:hanging="284"/>
        <w:rPr>
          <w:rFonts w:eastAsiaTheme="minorHAnsi"/>
        </w:rPr>
      </w:pPr>
      <w:r w:rsidRPr="00537B24">
        <w:rPr>
          <w:rFonts w:eastAsiaTheme="minorHAnsi"/>
        </w:rPr>
        <w:t>There is a wide range of survival rates reported with reporting becoming more and more limited over time. This should be a relatively homogenous group in terms of cancer stage and extent of disease. There is substantial concern that outcomes have been measured very differently across studies. For example Hiraki et al (2011) has a 5-year survival of 61% whilst Ridge et al (2014) reports only 14%.</w:t>
      </w:r>
    </w:p>
    <w:p w14:paraId="40C738E2" w14:textId="77777777" w:rsidR="00537B24" w:rsidRPr="00537B24" w:rsidRDefault="00537B24" w:rsidP="009970F5">
      <w:pPr>
        <w:pStyle w:val="Tablenotes0"/>
        <w:numPr>
          <w:ilvl w:val="0"/>
          <w:numId w:val="81"/>
        </w:numPr>
        <w:ind w:left="284" w:hanging="284"/>
        <w:rPr>
          <w:rFonts w:eastAsiaTheme="minorHAnsi"/>
        </w:rPr>
      </w:pPr>
      <w:r w:rsidRPr="00537B24">
        <w:rPr>
          <w:rFonts w:eastAsiaTheme="minorHAnsi"/>
        </w:rPr>
        <w:t>Koshy et al (2015) is a Level III-1 retrospective propensity-matched cohort, Videtic et al (2015) is Level II study.</w:t>
      </w:r>
    </w:p>
    <w:p w14:paraId="35DE194F" w14:textId="77777777" w:rsidR="00537B24" w:rsidRPr="00537B24" w:rsidRDefault="00537B24" w:rsidP="009970F5">
      <w:pPr>
        <w:pStyle w:val="Tablenotes0"/>
        <w:numPr>
          <w:ilvl w:val="0"/>
          <w:numId w:val="81"/>
        </w:numPr>
        <w:ind w:left="284" w:hanging="284"/>
        <w:rPr>
          <w:rFonts w:eastAsiaTheme="minorHAnsi"/>
        </w:rPr>
      </w:pPr>
      <w:r w:rsidRPr="00537B24">
        <w:rPr>
          <w:rFonts w:eastAsiaTheme="minorHAnsi"/>
        </w:rPr>
        <w:t>Studies include relatively few patients (total N = 75), with the study by Yang et al (2014) having a substantially narrower 95%CI than Han et al (2015), around the estimate of the effect. In this case, with only two studies reporting this outcome there is substantial uncertainty regarding precision.</w:t>
      </w:r>
    </w:p>
    <w:p w14:paraId="247DB20F" w14:textId="77777777" w:rsidR="00537B24" w:rsidRPr="00537B24" w:rsidRDefault="00537B24" w:rsidP="009970F5">
      <w:pPr>
        <w:pStyle w:val="Tablenotes0"/>
        <w:numPr>
          <w:ilvl w:val="0"/>
          <w:numId w:val="81"/>
        </w:numPr>
        <w:ind w:left="284" w:hanging="284"/>
        <w:rPr>
          <w:rFonts w:eastAsiaTheme="minorHAnsi"/>
        </w:rPr>
      </w:pPr>
      <w:r w:rsidRPr="00537B24">
        <w:rPr>
          <w:rFonts w:eastAsiaTheme="minorHAnsi"/>
        </w:rPr>
        <w:t>It has been observed that authors appear to use the term recurrence/progression interchangeably. Han et al (2015): A focal enhancement at the ablation site or enlargement of the ablated tumour after a series of shrinkage was considered local recurrence if technical success had been confirmed. Yang et al (2015): Local progression was referred to as the contrast</w:t>
      </w:r>
      <w:r w:rsidRPr="00537B24">
        <w:rPr>
          <w:rFonts w:ascii="Cambria Math" w:eastAsiaTheme="minorHAnsi" w:hAnsi="Cambria Math" w:cs="Cambria Math"/>
        </w:rPr>
        <w:t>‐</w:t>
      </w:r>
      <w:r w:rsidRPr="00537B24">
        <w:rPr>
          <w:rFonts w:eastAsiaTheme="minorHAnsi"/>
        </w:rPr>
        <w:t>enhancement by CT scans in the site of ablation.</w:t>
      </w:r>
    </w:p>
    <w:p w14:paraId="0524B26F" w14:textId="77777777" w:rsidR="00537B24" w:rsidRPr="00537B24" w:rsidRDefault="00537B24" w:rsidP="009970F5">
      <w:pPr>
        <w:pStyle w:val="Tablenotes0"/>
        <w:numPr>
          <w:ilvl w:val="0"/>
          <w:numId w:val="81"/>
        </w:numPr>
        <w:ind w:left="284" w:hanging="284"/>
        <w:rPr>
          <w:rFonts w:eastAsiaTheme="minorHAnsi"/>
        </w:rPr>
      </w:pPr>
      <w:r w:rsidRPr="00537B24">
        <w:rPr>
          <w:rFonts w:eastAsiaTheme="minorHAnsi"/>
        </w:rPr>
        <w:t>Studies include relatively few patients (total N = 75), with the study by Yang et al (2014) having a substantially narrower 95%CI than Han et al (2015), around the estimate of the effect. In this case, with only two studies reporting this outcome there is substantial uncertainty regarding precision.</w:t>
      </w:r>
    </w:p>
    <w:p w14:paraId="6BDDFCA7" w14:textId="77777777" w:rsidR="00537B24" w:rsidRPr="00537B24" w:rsidRDefault="00537B24" w:rsidP="009970F5">
      <w:pPr>
        <w:pStyle w:val="Tablenotes0"/>
        <w:numPr>
          <w:ilvl w:val="0"/>
          <w:numId w:val="81"/>
        </w:numPr>
        <w:ind w:left="284" w:hanging="284"/>
        <w:rPr>
          <w:rFonts w:eastAsiaTheme="minorHAnsi"/>
        </w:rPr>
      </w:pPr>
      <w:r w:rsidRPr="00537B24">
        <w:rPr>
          <w:rFonts w:eastAsiaTheme="minorHAnsi"/>
        </w:rPr>
        <w:t>Safi et al (2015) is a Level III-3 retrospective cohort study that compared RFA and radiotherapy.</w:t>
      </w:r>
    </w:p>
    <w:p w14:paraId="3E327294" w14:textId="77777777" w:rsidR="00537B24" w:rsidRPr="00537B24" w:rsidRDefault="00537B24" w:rsidP="009970F5">
      <w:pPr>
        <w:pStyle w:val="Tablenotes0"/>
        <w:numPr>
          <w:ilvl w:val="0"/>
          <w:numId w:val="81"/>
        </w:numPr>
        <w:ind w:left="284" w:hanging="284"/>
        <w:rPr>
          <w:rFonts w:eastAsiaTheme="minorHAnsi"/>
        </w:rPr>
      </w:pPr>
      <w:r w:rsidRPr="00537B24">
        <w:rPr>
          <w:rFonts w:eastAsiaTheme="minorHAnsi"/>
        </w:rPr>
        <w:t xml:space="preserve">Estimates across different studies are markedly </w:t>
      </w:r>
      <w:proofErr w:type="gramStart"/>
      <w:r w:rsidRPr="00537B24">
        <w:rPr>
          <w:rFonts w:eastAsiaTheme="minorHAnsi"/>
        </w:rPr>
        <w:t>different,</w:t>
      </w:r>
      <w:proofErr w:type="gramEnd"/>
      <w:r w:rsidRPr="00537B24">
        <w:rPr>
          <w:rFonts w:eastAsiaTheme="minorHAnsi"/>
        </w:rPr>
        <w:t xml:space="preserve"> it may be due to differences in measurement, reporting or outcome.</w:t>
      </w:r>
    </w:p>
    <w:p w14:paraId="06132F3B" w14:textId="77777777" w:rsidR="00AC55B0" w:rsidRPr="00306FD5" w:rsidRDefault="00E259FD" w:rsidP="00306FD5">
      <w:pPr>
        <w:spacing w:before="500"/>
        <w:rPr>
          <w:b/>
          <w:i/>
        </w:rPr>
      </w:pPr>
      <w:r w:rsidRPr="00306FD5">
        <w:rPr>
          <w:b/>
          <w:i/>
        </w:rPr>
        <w:t>Population two</w:t>
      </w:r>
    </w:p>
    <w:p w14:paraId="2907961E" w14:textId="3FBFAB9B" w:rsidR="001033C4" w:rsidRDefault="00327455" w:rsidP="001033C4">
      <w:r w:rsidRPr="001033C4">
        <w:t>Based on</w:t>
      </w:r>
      <w:r w:rsidR="001033C4" w:rsidRPr="001033C4">
        <w:t xml:space="preserve"> the evidence profile (summarised in </w:t>
      </w:r>
      <w:r w:rsidR="00647EB9">
        <w:rPr>
          <w:highlight w:val="cyan"/>
        </w:rPr>
        <w:fldChar w:fldCharType="begin"/>
      </w:r>
      <w:r w:rsidR="00647EB9">
        <w:instrText xml:space="preserve"> REF _Ref457409906 \h </w:instrText>
      </w:r>
      <w:r w:rsidR="00647EB9">
        <w:rPr>
          <w:highlight w:val="cyan"/>
        </w:rPr>
      </w:r>
      <w:r w:rsidR="00647EB9">
        <w:rPr>
          <w:highlight w:val="cyan"/>
        </w:rPr>
        <w:fldChar w:fldCharType="separate"/>
      </w:r>
      <w:r w:rsidR="00D170A5">
        <w:t xml:space="preserve">Table </w:t>
      </w:r>
      <w:r w:rsidR="00D170A5">
        <w:rPr>
          <w:noProof/>
        </w:rPr>
        <w:t>59</w:t>
      </w:r>
      <w:r w:rsidR="00647EB9">
        <w:rPr>
          <w:highlight w:val="cyan"/>
        </w:rPr>
        <w:fldChar w:fldCharType="end"/>
      </w:r>
      <w:r w:rsidR="00FF6A6F">
        <w:t xml:space="preserve"> and </w:t>
      </w:r>
      <w:r w:rsidR="00FF6A6F">
        <w:rPr>
          <w:highlight w:val="cyan"/>
        </w:rPr>
        <w:fldChar w:fldCharType="begin"/>
      </w:r>
      <w:r w:rsidR="00FF6A6F">
        <w:instrText xml:space="preserve"> REF _Ref460406337 \h </w:instrText>
      </w:r>
      <w:r w:rsidR="00FF6A6F">
        <w:rPr>
          <w:highlight w:val="cyan"/>
        </w:rPr>
      </w:r>
      <w:r w:rsidR="00FF6A6F">
        <w:rPr>
          <w:highlight w:val="cyan"/>
        </w:rPr>
        <w:fldChar w:fldCharType="separate"/>
      </w:r>
      <w:r w:rsidR="00D170A5">
        <w:t xml:space="preserve">Table </w:t>
      </w:r>
      <w:r w:rsidR="00D170A5">
        <w:rPr>
          <w:noProof/>
        </w:rPr>
        <w:t>61</w:t>
      </w:r>
      <w:r w:rsidR="00FF6A6F">
        <w:rPr>
          <w:highlight w:val="cyan"/>
        </w:rPr>
        <w:fldChar w:fldCharType="end"/>
      </w:r>
      <w:r>
        <w:t>)</w:t>
      </w:r>
      <w:r w:rsidR="001033C4" w:rsidRPr="001033C4">
        <w:t xml:space="preserve"> it is suggested that, relative to current best practice radiotherapy, the intervention has uncertain safety and uncertain effectiveness</w:t>
      </w:r>
      <w:r>
        <w:t>. R</w:t>
      </w:r>
      <w:r w:rsidR="001033C4">
        <w:t xml:space="preserve">elative to surgical resection, the intervention has superior safety and uncertain effectiveness. </w:t>
      </w:r>
    </w:p>
    <w:p w14:paraId="2316D2C5" w14:textId="6E0046B4" w:rsidR="00FE20D1" w:rsidRDefault="00E259FD" w:rsidP="00AC55B0">
      <w:r>
        <w:t>For this heterogeneous population, predominantly defined by the curative intent of treatment</w:t>
      </w:r>
      <w:r w:rsidR="00F4284B">
        <w:t>,</w:t>
      </w:r>
      <w:r>
        <w:t xml:space="preserve"> there is no available evidence comparing treatment with different interventi</w:t>
      </w:r>
      <w:r w:rsidR="00FE20D1">
        <w:t xml:space="preserve">ons. This review identified one </w:t>
      </w:r>
      <w:r w:rsidR="00FE20D1">
        <w:lastRenderedPageBreak/>
        <w:t>currently recruiting clinical trial,</w:t>
      </w:r>
      <w:r>
        <w:t xml:space="preserve"> </w:t>
      </w:r>
      <w:r w:rsidR="00386ED8" w:rsidRPr="00386ED8">
        <w:t>the PULMICC trial (NCT01106261)</w:t>
      </w:r>
      <w:r w:rsidR="00FE20D1" w:rsidRPr="00FE20D1">
        <w:t>, which is a randomized multicentre controlled trial on resection versus conservative therapy for colonic lung metastases</w:t>
      </w:r>
      <w:r w:rsidR="00FE20D1">
        <w:t xml:space="preserve">. This trial aims to address the issue of </w:t>
      </w:r>
      <w:r w:rsidR="00FE20D1" w:rsidRPr="00FE20D1">
        <w:t>whether or not surgery is beneficial in</w:t>
      </w:r>
      <w:r w:rsidR="00F4284B">
        <w:t xml:space="preserve"> patients who have been deemed suitable for</w:t>
      </w:r>
      <w:r w:rsidR="00FE20D1" w:rsidRPr="00FE20D1">
        <w:t xml:space="preserve"> resect</w:t>
      </w:r>
      <w:r w:rsidR="00F4284B">
        <w:t>ion</w:t>
      </w:r>
      <w:r w:rsidR="00FE20D1" w:rsidRPr="00FE20D1">
        <w:t xml:space="preserve"> </w:t>
      </w:r>
      <w:r w:rsidR="00FE20D1">
        <w:t>which illustrates the current, relatively uncertain, state of evidence for</w:t>
      </w:r>
      <w:r w:rsidR="00F4284B">
        <w:t xml:space="preserve"> all</w:t>
      </w:r>
      <w:r w:rsidR="00FE20D1">
        <w:t xml:space="preserve"> therapies in this population. Patients with oligometastatic disease in the lung may be offered resection, SBRT or thermal ablation.</w:t>
      </w:r>
      <w:r w:rsidR="003437E4">
        <w:t xml:space="preserve"> There is, at present, no data amenable to comparison across treatment strategies. Thermal ablation is purported to have benefit in this population; however, only two </w:t>
      </w:r>
      <w:r w:rsidR="006276E8">
        <w:t xml:space="preserve">studies of MTA were identified and the limited outcomes reported are not sufficient to compare across interventions in terms of effectiveness. As compared to surgical resection, however, MTA is associated with a shorter recovery time and </w:t>
      </w:r>
      <w:r w:rsidR="00EC1D6F">
        <w:t>procedure-</w:t>
      </w:r>
      <w:r w:rsidR="006276E8">
        <w:t>related mortality is expected to be a rare outcome of MTA. Clinical advice is that the decision of how to treat patients with oligometastatic disease would be considered by a multidisciplinary team</w:t>
      </w:r>
      <w:r w:rsidR="00A04CC7">
        <w:t>. T</w:t>
      </w:r>
      <w:r w:rsidR="006276E8">
        <w:t>he potential benefits and harms of each option would differ according to the patients</w:t>
      </w:r>
      <w:r w:rsidR="00A04CC7">
        <w:t>’</w:t>
      </w:r>
      <w:r w:rsidR="006276E8">
        <w:t xml:space="preserve"> individual situation</w:t>
      </w:r>
      <w:r w:rsidR="00A04CC7">
        <w:t xml:space="preserve">. </w:t>
      </w:r>
      <w:r w:rsidR="006276E8">
        <w:t xml:space="preserve">MTA has been described as having potential advantages over surgery or radiotherapy in terms of its repeatability and minimal impact on surrounding lung tissue. This might make </w:t>
      </w:r>
      <w:r w:rsidR="00A04CC7">
        <w:t>MTA</w:t>
      </w:r>
      <w:r w:rsidR="006276E8">
        <w:t xml:space="preserve"> an attractive option for patients who cannot tolerate the loss of any further lung volume or who cannot receive further </w:t>
      </w:r>
      <w:r w:rsidR="00F4284B">
        <w:t xml:space="preserve">doses of </w:t>
      </w:r>
      <w:r w:rsidR="006276E8">
        <w:t xml:space="preserve">radiation. </w:t>
      </w:r>
      <w:r w:rsidR="00A04CC7">
        <w:t xml:space="preserve">Where there is </w:t>
      </w:r>
      <w:r w:rsidR="00F503D6">
        <w:t xml:space="preserve">uncertainty regarding the benefit of surgery for </w:t>
      </w:r>
      <w:r w:rsidR="00A04CC7">
        <w:t>certain patients,</w:t>
      </w:r>
      <w:r w:rsidR="00F503D6">
        <w:t xml:space="preserve"> some physicians may have a preference for less invasive therapies such as SBRT or thermal ablation over resection. </w:t>
      </w:r>
    </w:p>
    <w:p w14:paraId="49BAD3D5" w14:textId="77777777" w:rsidR="003D4A21" w:rsidRDefault="003D4A21" w:rsidP="007B7A71">
      <w:pPr>
        <w:pStyle w:val="Caption"/>
        <w:keepNext/>
        <w:ind w:left="1134" w:hanging="1134"/>
      </w:pPr>
      <w:bookmarkStart w:id="355" w:name="_Ref457409906"/>
      <w:bookmarkStart w:id="356" w:name="_Toc460514717"/>
      <w:r>
        <w:t xml:space="preserve">Table </w:t>
      </w:r>
      <w:fldSimple w:instr=" SEQ Table \* ARABIC ">
        <w:r w:rsidR="00D170A5">
          <w:rPr>
            <w:noProof/>
          </w:rPr>
          <w:t>59</w:t>
        </w:r>
      </w:fldSimple>
      <w:bookmarkEnd w:id="355"/>
      <w:r>
        <w:tab/>
      </w:r>
      <w:r w:rsidRPr="005B0896">
        <w:t xml:space="preserve">Balance of clinical benefits of MTA, relative to its comparators, and as measured by the patient-relevant outcomes in the key studies for population </w:t>
      </w:r>
      <w:r>
        <w:t>two</w:t>
      </w:r>
      <w:bookmarkEnd w:id="356"/>
    </w:p>
    <w:tbl>
      <w:tblPr>
        <w:tblStyle w:val="TableGrid9"/>
        <w:tblW w:w="5000" w:type="pct"/>
        <w:tblLook w:val="04A0" w:firstRow="1" w:lastRow="0" w:firstColumn="1" w:lastColumn="0" w:noHBand="0" w:noVBand="1"/>
        <w:tblCaption w:val="Table 11"/>
        <w:tblDescription w:val="Effectiveness outcomes"/>
      </w:tblPr>
      <w:tblGrid>
        <w:gridCol w:w="2228"/>
        <w:gridCol w:w="1194"/>
        <w:gridCol w:w="1364"/>
        <w:gridCol w:w="4456"/>
      </w:tblGrid>
      <w:tr w:rsidR="003D4A21" w:rsidRPr="005B0896" w14:paraId="00FF0C46" w14:textId="77777777" w:rsidTr="003F6C66">
        <w:trPr>
          <w:tblHeader/>
        </w:trPr>
        <w:tc>
          <w:tcPr>
            <w:tcW w:w="1205" w:type="pct"/>
            <w:tcBorders>
              <w:bottom w:val="single" w:sz="4" w:space="0" w:color="auto"/>
            </w:tcBorders>
            <w:shd w:val="clear" w:color="auto" w:fill="D9D9D9" w:themeFill="background1" w:themeFillShade="D9"/>
          </w:tcPr>
          <w:p w14:paraId="1F5D7450" w14:textId="77777777" w:rsidR="003D4A21" w:rsidRPr="009970F5" w:rsidRDefault="003D4A21" w:rsidP="009970F5">
            <w:pPr>
              <w:pStyle w:val="Tabletext1"/>
              <w:rPr>
                <w:b/>
              </w:rPr>
            </w:pPr>
            <w:r w:rsidRPr="009970F5">
              <w:rPr>
                <w:b/>
              </w:rPr>
              <w:t>Outcome and intervention/comparator</w:t>
            </w:r>
          </w:p>
        </w:tc>
        <w:tc>
          <w:tcPr>
            <w:tcW w:w="646" w:type="pct"/>
            <w:tcBorders>
              <w:bottom w:val="single" w:sz="4" w:space="0" w:color="auto"/>
            </w:tcBorders>
            <w:shd w:val="clear" w:color="auto" w:fill="D9D9D9" w:themeFill="background1" w:themeFillShade="D9"/>
          </w:tcPr>
          <w:p w14:paraId="5F43E40C" w14:textId="77777777" w:rsidR="003D4A21" w:rsidRPr="009970F5" w:rsidRDefault="003D4A21" w:rsidP="009970F5">
            <w:pPr>
              <w:pStyle w:val="Tabletext1"/>
              <w:rPr>
                <w:b/>
              </w:rPr>
            </w:pPr>
            <w:r w:rsidRPr="009970F5">
              <w:rPr>
                <w:b/>
              </w:rPr>
              <w:t>№ of Studies and level of evidence</w:t>
            </w:r>
          </w:p>
        </w:tc>
        <w:tc>
          <w:tcPr>
            <w:tcW w:w="738" w:type="pct"/>
            <w:tcBorders>
              <w:bottom w:val="single" w:sz="4" w:space="0" w:color="auto"/>
            </w:tcBorders>
            <w:shd w:val="clear" w:color="auto" w:fill="D9D9D9" w:themeFill="background1" w:themeFillShade="D9"/>
          </w:tcPr>
          <w:p w14:paraId="4A908909" w14:textId="77777777" w:rsidR="003D4A21" w:rsidRPr="009970F5" w:rsidRDefault="003D4A21" w:rsidP="009970F5">
            <w:pPr>
              <w:pStyle w:val="Tabletext1"/>
              <w:rPr>
                <w:b/>
              </w:rPr>
            </w:pPr>
            <w:r w:rsidRPr="009970F5">
              <w:rPr>
                <w:b/>
              </w:rPr>
              <w:t>Quality of the evidence</w:t>
            </w:r>
            <w:r w:rsidRPr="009970F5">
              <w:rPr>
                <w:b/>
              </w:rPr>
              <w:br/>
              <w:t>(GRADE)</w:t>
            </w:r>
          </w:p>
        </w:tc>
        <w:tc>
          <w:tcPr>
            <w:tcW w:w="2411" w:type="pct"/>
            <w:tcBorders>
              <w:bottom w:val="single" w:sz="4" w:space="0" w:color="auto"/>
            </w:tcBorders>
            <w:shd w:val="clear" w:color="auto" w:fill="D9D9D9" w:themeFill="background1" w:themeFillShade="D9"/>
          </w:tcPr>
          <w:p w14:paraId="25E5EE98" w14:textId="77777777" w:rsidR="003D4A21" w:rsidRPr="009970F5" w:rsidRDefault="003D4A21" w:rsidP="009970F5">
            <w:pPr>
              <w:pStyle w:val="Tabletext1"/>
              <w:rPr>
                <w:rFonts w:cstheme="minorBidi"/>
                <w:b/>
              </w:rPr>
            </w:pPr>
            <w:r w:rsidRPr="009970F5">
              <w:rPr>
                <w:rFonts w:cstheme="minorBidi"/>
                <w:b/>
              </w:rPr>
              <w:t>Summary</w:t>
            </w:r>
          </w:p>
        </w:tc>
      </w:tr>
      <w:tr w:rsidR="001A6A16" w:rsidRPr="005B0896" w14:paraId="69B92A65" w14:textId="77777777" w:rsidTr="003F6C66">
        <w:tc>
          <w:tcPr>
            <w:tcW w:w="1205" w:type="pct"/>
            <w:tcBorders>
              <w:right w:val="nil"/>
            </w:tcBorders>
            <w:shd w:val="clear" w:color="auto" w:fill="D9D9D9" w:themeFill="background1" w:themeFillShade="D9"/>
          </w:tcPr>
          <w:p w14:paraId="7DF704D6" w14:textId="77777777" w:rsidR="001A6A16" w:rsidRPr="009970F5" w:rsidRDefault="001A6A16" w:rsidP="009970F5">
            <w:pPr>
              <w:pStyle w:val="Tabletext1"/>
              <w:rPr>
                <w:rFonts w:cstheme="minorBidi"/>
                <w:b/>
                <w:u w:val="single"/>
              </w:rPr>
            </w:pPr>
            <w:r w:rsidRPr="009970F5">
              <w:rPr>
                <w:rFonts w:cstheme="minorBidi"/>
                <w:b/>
              </w:rPr>
              <w:t>Survival rates at 1-,2-,3- and 4 or 5-years</w:t>
            </w:r>
          </w:p>
        </w:tc>
        <w:tc>
          <w:tcPr>
            <w:tcW w:w="646" w:type="pct"/>
            <w:tcBorders>
              <w:left w:val="nil"/>
              <w:right w:val="nil"/>
            </w:tcBorders>
            <w:shd w:val="clear" w:color="auto" w:fill="D9D9D9" w:themeFill="background1" w:themeFillShade="D9"/>
          </w:tcPr>
          <w:p w14:paraId="0881789C" w14:textId="77777777" w:rsidR="001A6A16" w:rsidRPr="009970F5" w:rsidRDefault="001A6A16" w:rsidP="009970F5">
            <w:pPr>
              <w:pStyle w:val="Tabletext1"/>
              <w:rPr>
                <w:rFonts w:cstheme="minorBidi"/>
                <w:b/>
                <w:u w:val="single"/>
              </w:rPr>
            </w:pPr>
          </w:p>
        </w:tc>
        <w:tc>
          <w:tcPr>
            <w:tcW w:w="738" w:type="pct"/>
            <w:tcBorders>
              <w:left w:val="nil"/>
              <w:right w:val="nil"/>
            </w:tcBorders>
            <w:shd w:val="clear" w:color="auto" w:fill="D9D9D9" w:themeFill="background1" w:themeFillShade="D9"/>
          </w:tcPr>
          <w:p w14:paraId="69FCBDAE" w14:textId="77777777" w:rsidR="001A6A16" w:rsidRPr="009970F5" w:rsidRDefault="001A6A16" w:rsidP="009970F5">
            <w:pPr>
              <w:pStyle w:val="Tabletext1"/>
              <w:rPr>
                <w:rFonts w:cstheme="minorBidi"/>
                <w:b/>
                <w:u w:val="single"/>
              </w:rPr>
            </w:pPr>
          </w:p>
        </w:tc>
        <w:tc>
          <w:tcPr>
            <w:tcW w:w="2411" w:type="pct"/>
            <w:tcBorders>
              <w:left w:val="nil"/>
            </w:tcBorders>
            <w:shd w:val="clear" w:color="auto" w:fill="D9D9D9" w:themeFill="background1" w:themeFillShade="D9"/>
          </w:tcPr>
          <w:p w14:paraId="53867EBE" w14:textId="21EC3697" w:rsidR="001A6A16" w:rsidRPr="009970F5" w:rsidRDefault="001A6A16" w:rsidP="009970F5">
            <w:pPr>
              <w:pStyle w:val="Tabletext1"/>
              <w:rPr>
                <w:rFonts w:cstheme="minorBidi"/>
                <w:b/>
                <w:u w:val="single"/>
              </w:rPr>
            </w:pPr>
          </w:p>
        </w:tc>
      </w:tr>
      <w:tr w:rsidR="003D4A21" w:rsidRPr="005B0896" w14:paraId="2406522D" w14:textId="77777777" w:rsidTr="003F6C66">
        <w:tc>
          <w:tcPr>
            <w:tcW w:w="1205" w:type="pct"/>
          </w:tcPr>
          <w:p w14:paraId="7F9C5528" w14:textId="77777777" w:rsidR="003D4A21" w:rsidRPr="009970F5" w:rsidRDefault="003D4A21" w:rsidP="009970F5">
            <w:pPr>
              <w:pStyle w:val="Tabletext1"/>
              <w:rPr>
                <w:rFonts w:cstheme="minorBidi"/>
                <w:b/>
                <w:u w:val="single"/>
              </w:rPr>
            </w:pPr>
            <w:r w:rsidRPr="009970F5">
              <w:rPr>
                <w:rFonts w:cstheme="minorBidi"/>
                <w:b/>
                <w:u w:val="single"/>
              </w:rPr>
              <w:t>MTA</w:t>
            </w:r>
          </w:p>
          <w:p w14:paraId="2B7BD206" w14:textId="77777777" w:rsidR="003D4A21" w:rsidRPr="005B0896" w:rsidRDefault="003D4A21" w:rsidP="009970F5">
            <w:pPr>
              <w:pStyle w:val="Tabletext1"/>
              <w:rPr>
                <w:rFonts w:cstheme="minorBidi"/>
              </w:rPr>
            </w:pPr>
            <w:r w:rsidRPr="005B0896">
              <w:rPr>
                <w:rFonts w:cstheme="minorBidi"/>
              </w:rPr>
              <w:t>Assessed with: n/N (%) at 1 and 2 years</w:t>
            </w:r>
          </w:p>
          <w:p w14:paraId="4834F8A3" w14:textId="010159A1" w:rsidR="003D4A21" w:rsidRPr="005B0896" w:rsidRDefault="00CB3BFC" w:rsidP="00CB3BFC">
            <w:pPr>
              <w:pStyle w:val="Tabletext1"/>
              <w:rPr>
                <w:rFonts w:cstheme="minorBidi"/>
              </w:rPr>
            </w:pPr>
            <w:r w:rsidRPr="008B4E16">
              <w:t>F/</w:t>
            </w:r>
            <w:r>
              <w:t>U</w:t>
            </w:r>
            <w:r w:rsidRPr="008B4E16">
              <w:t>:</w:t>
            </w:r>
            <w:r w:rsidR="003D4A21" w:rsidRPr="005B0896">
              <w:rPr>
                <w:rFonts w:cstheme="minorBidi"/>
              </w:rPr>
              <w:t xml:space="preserve"> median 9 </w:t>
            </w:r>
            <w:r w:rsidR="00EF61EC">
              <w:rPr>
                <w:rFonts w:cstheme="minorBidi"/>
              </w:rPr>
              <w:t>mths</w:t>
            </w:r>
          </w:p>
        </w:tc>
        <w:tc>
          <w:tcPr>
            <w:tcW w:w="646" w:type="pct"/>
          </w:tcPr>
          <w:p w14:paraId="3333517E" w14:textId="77777777" w:rsidR="003D4A21" w:rsidRPr="005B0896" w:rsidRDefault="003D4A21" w:rsidP="009970F5">
            <w:pPr>
              <w:pStyle w:val="Tabletext1"/>
              <w:rPr>
                <w:rFonts w:cstheme="minorBidi"/>
              </w:rPr>
            </w:pPr>
            <w:r w:rsidRPr="005B0896">
              <w:rPr>
                <w:rFonts w:cstheme="minorBidi"/>
              </w:rPr>
              <w:t xml:space="preserve">1 </w:t>
            </w:r>
            <w:r>
              <w:rPr>
                <w:rFonts w:cstheme="minorBidi"/>
              </w:rPr>
              <w:t>Level IV study</w:t>
            </w:r>
          </w:p>
        </w:tc>
        <w:tc>
          <w:tcPr>
            <w:tcW w:w="738" w:type="pct"/>
          </w:tcPr>
          <w:p w14:paraId="52CA252A" w14:textId="100E62FA" w:rsidR="003D4A21" w:rsidRPr="005B0896" w:rsidRDefault="003D4A21" w:rsidP="009970F5">
            <w:pPr>
              <w:pStyle w:val="Tabletext1"/>
              <w:rPr>
                <w:rFonts w:cstheme="minorBidi"/>
              </w:rPr>
            </w:pPr>
            <w:r>
              <w:rPr>
                <w:rFonts w:ascii="Cambria Math" w:hAnsi="Cambria Math"/>
                <w:color w:val="00B050"/>
              </w:rPr>
              <w:t>⨁</w:t>
            </w:r>
            <w:r w:rsidRPr="00D4733A">
              <w:rPr>
                <w:rFonts w:ascii="Cambria Math" w:hAnsi="Cambria Math" w:cs="Cambria Math"/>
                <w:color w:val="C00000"/>
              </w:rPr>
              <w:t>⨀⨀⨀</w:t>
            </w:r>
            <w:r w:rsidRPr="005B0896">
              <w:rPr>
                <w:rFonts w:cstheme="minorBidi"/>
                <w:sz w:val="13"/>
                <w:szCs w:val="13"/>
              </w:rPr>
              <w:br/>
            </w:r>
            <w:r w:rsidRPr="009970F5">
              <w:rPr>
                <w:rFonts w:cstheme="minorBidi"/>
              </w:rPr>
              <w:t>VERY LOW</w:t>
            </w:r>
            <w:r w:rsidR="009970F5">
              <w:rPr>
                <w:rFonts w:cstheme="minorBidi"/>
              </w:rPr>
              <w:t xml:space="preserve"> </w:t>
            </w:r>
            <w:r w:rsidRPr="009970F5">
              <w:rPr>
                <w:rFonts w:cstheme="minorBidi"/>
                <w:vertAlign w:val="superscript"/>
              </w:rPr>
              <w:t>1</w:t>
            </w:r>
          </w:p>
        </w:tc>
        <w:tc>
          <w:tcPr>
            <w:tcW w:w="2411" w:type="pct"/>
          </w:tcPr>
          <w:p w14:paraId="3000A6A8" w14:textId="77777777" w:rsidR="003D4A21" w:rsidRPr="005B0896" w:rsidRDefault="003D4A21" w:rsidP="009970F5">
            <w:pPr>
              <w:pStyle w:val="Tabletext1"/>
              <w:rPr>
                <w:rFonts w:cstheme="minorBidi"/>
              </w:rPr>
            </w:pPr>
            <w:r w:rsidRPr="005B0896">
              <w:rPr>
                <w:rFonts w:cstheme="minorBidi"/>
                <w:u w:val="single"/>
              </w:rPr>
              <w:t>Vogl et al (2015)</w:t>
            </w:r>
            <w:r w:rsidRPr="005B0896">
              <w:rPr>
                <w:rFonts w:cstheme="minorBidi"/>
              </w:rPr>
              <w:t xml:space="preserve"> At 12 months the survival rate was 91.3 per cent (73/80 patients alive) and at 24 months it was 75 per cent (60/80 patients alive). Survival greater than 24 months was not reported.</w:t>
            </w:r>
          </w:p>
        </w:tc>
      </w:tr>
      <w:tr w:rsidR="003D4A21" w:rsidRPr="005B0896" w14:paraId="105E0551" w14:textId="77777777" w:rsidTr="003F6C66">
        <w:tc>
          <w:tcPr>
            <w:tcW w:w="1205" w:type="pct"/>
          </w:tcPr>
          <w:p w14:paraId="218B4557" w14:textId="77777777" w:rsidR="003D4A21" w:rsidRPr="009970F5" w:rsidRDefault="003D4A21" w:rsidP="009970F5">
            <w:pPr>
              <w:pStyle w:val="Tabletext1"/>
              <w:rPr>
                <w:rFonts w:cstheme="minorBidi"/>
                <w:b/>
                <w:u w:val="single"/>
              </w:rPr>
            </w:pPr>
            <w:r w:rsidRPr="009970F5">
              <w:rPr>
                <w:rFonts w:cstheme="minorBidi"/>
                <w:b/>
                <w:u w:val="single"/>
              </w:rPr>
              <w:t>RFA</w:t>
            </w:r>
          </w:p>
          <w:p w14:paraId="76EFEEE6" w14:textId="77777777" w:rsidR="003D4A21" w:rsidRPr="005B0896" w:rsidRDefault="003D4A21" w:rsidP="009970F5">
            <w:pPr>
              <w:pStyle w:val="Tabletext1"/>
              <w:rPr>
                <w:rFonts w:cstheme="minorBidi"/>
              </w:rPr>
            </w:pPr>
            <w:r w:rsidRPr="005B0896">
              <w:rPr>
                <w:rFonts w:cstheme="minorBidi"/>
              </w:rPr>
              <w:t>Assessed with: Kaplan-Meier estimates (95%CI)</w:t>
            </w:r>
          </w:p>
          <w:p w14:paraId="6DACD4A7" w14:textId="0DC1354A" w:rsidR="003D4A21" w:rsidRPr="005B0896" w:rsidRDefault="00CB3BFC" w:rsidP="009970F5">
            <w:pPr>
              <w:pStyle w:val="Tabletext1"/>
              <w:rPr>
                <w:rFonts w:cstheme="minorBidi"/>
              </w:rPr>
            </w:pPr>
            <w:r w:rsidRPr="008B4E16">
              <w:t>F/</w:t>
            </w:r>
            <w:r>
              <w:t>U</w:t>
            </w:r>
            <w:r w:rsidRPr="008B4E16">
              <w:t xml:space="preserve">: </w:t>
            </w:r>
            <w:r w:rsidR="003D4A21" w:rsidRPr="005B0896">
              <w:rPr>
                <w:rFonts w:cstheme="minorBidi"/>
              </w:rPr>
              <w:t>range 12 months to 38 months</w:t>
            </w:r>
          </w:p>
        </w:tc>
        <w:tc>
          <w:tcPr>
            <w:tcW w:w="646" w:type="pct"/>
          </w:tcPr>
          <w:p w14:paraId="1A67087A" w14:textId="77777777" w:rsidR="003D4A21" w:rsidRPr="005B0896" w:rsidRDefault="003D4A21" w:rsidP="009970F5">
            <w:pPr>
              <w:pStyle w:val="Tabletext1"/>
              <w:rPr>
                <w:rFonts w:cstheme="minorBidi"/>
              </w:rPr>
            </w:pPr>
            <w:r w:rsidRPr="005B0896">
              <w:rPr>
                <w:rFonts w:cstheme="minorBidi"/>
              </w:rPr>
              <w:t xml:space="preserve">10 </w:t>
            </w:r>
            <w:r>
              <w:rPr>
                <w:rFonts w:cstheme="minorBidi"/>
              </w:rPr>
              <w:t>Level IV studies</w:t>
            </w:r>
          </w:p>
        </w:tc>
        <w:tc>
          <w:tcPr>
            <w:tcW w:w="738" w:type="pct"/>
          </w:tcPr>
          <w:p w14:paraId="7DBCE2E5" w14:textId="7B01D326" w:rsidR="003D4A21" w:rsidRPr="005B0896" w:rsidRDefault="003D4A21" w:rsidP="009970F5">
            <w:pPr>
              <w:pStyle w:val="Tabletext1"/>
              <w:rPr>
                <w:rFonts w:cstheme="minorBidi"/>
              </w:rPr>
            </w:pPr>
            <w:r>
              <w:rPr>
                <w:rFonts w:ascii="Cambria Math" w:hAnsi="Cambria Math"/>
                <w:color w:val="00B050"/>
              </w:rPr>
              <w:t>⨁</w:t>
            </w:r>
            <w:r w:rsidRPr="00D4733A">
              <w:rPr>
                <w:rFonts w:ascii="Cambria Math" w:hAnsi="Cambria Math" w:cs="Cambria Math"/>
                <w:color w:val="C00000"/>
              </w:rPr>
              <w:t>⨀⨀⨀</w:t>
            </w:r>
            <w:r w:rsidRPr="005B0896">
              <w:rPr>
                <w:rFonts w:cstheme="minorBidi"/>
                <w:sz w:val="13"/>
                <w:szCs w:val="13"/>
              </w:rPr>
              <w:br/>
            </w:r>
            <w:r w:rsidRPr="009970F5">
              <w:rPr>
                <w:rFonts w:cstheme="minorBidi"/>
              </w:rPr>
              <w:t>VERY LOW</w:t>
            </w:r>
            <w:r w:rsidR="009970F5">
              <w:rPr>
                <w:rFonts w:cstheme="minorBidi"/>
              </w:rPr>
              <w:t xml:space="preserve"> </w:t>
            </w:r>
            <w:r w:rsidRPr="009970F5">
              <w:rPr>
                <w:rFonts w:cstheme="minorBidi"/>
                <w:vertAlign w:val="superscript"/>
              </w:rPr>
              <w:t>1</w:t>
            </w:r>
          </w:p>
        </w:tc>
        <w:tc>
          <w:tcPr>
            <w:tcW w:w="2411" w:type="pct"/>
          </w:tcPr>
          <w:p w14:paraId="52595C55" w14:textId="77777777" w:rsidR="003D4A21" w:rsidRPr="005B0896" w:rsidRDefault="003D4A21" w:rsidP="009970F5">
            <w:pPr>
              <w:pStyle w:val="Tabletext1"/>
              <w:rPr>
                <w:rFonts w:cstheme="minorBidi"/>
                <w:u w:val="single"/>
              </w:rPr>
            </w:pPr>
            <w:r w:rsidRPr="005B0896">
              <w:rPr>
                <w:rFonts w:cstheme="minorBidi"/>
                <w:u w:val="single"/>
              </w:rPr>
              <w:t>Median survival rate, pooled</w:t>
            </w:r>
          </w:p>
          <w:p w14:paraId="49380D5C" w14:textId="73A6F9FF" w:rsidR="003D4A21" w:rsidRPr="005B0896" w:rsidRDefault="003D4A21" w:rsidP="009970F5">
            <w:pPr>
              <w:pStyle w:val="Tabletext1"/>
              <w:rPr>
                <w:rFonts w:cstheme="minorBidi"/>
              </w:rPr>
            </w:pPr>
            <w:r w:rsidRPr="005B0896">
              <w:rPr>
                <w:rFonts w:cstheme="minorBidi"/>
              </w:rPr>
              <w:t>1-year: 87.8% (range 73.4</w:t>
            </w:r>
            <w:r w:rsidR="00D35E9C">
              <w:rPr>
                <w:rFonts w:cstheme="minorBidi"/>
              </w:rPr>
              <w:t>–</w:t>
            </w:r>
            <w:r w:rsidRPr="005B0896">
              <w:rPr>
                <w:rFonts w:cstheme="minorBidi"/>
              </w:rPr>
              <w:t>100%)</w:t>
            </w:r>
          </w:p>
          <w:p w14:paraId="06654C28" w14:textId="6ECECA79" w:rsidR="003D4A21" w:rsidRPr="005B0896" w:rsidRDefault="003D4A21" w:rsidP="009970F5">
            <w:pPr>
              <w:pStyle w:val="Tabletext1"/>
              <w:rPr>
                <w:rFonts w:cstheme="minorBidi"/>
              </w:rPr>
            </w:pPr>
            <w:r w:rsidRPr="005B0896">
              <w:rPr>
                <w:rFonts w:cstheme="minorBidi"/>
              </w:rPr>
              <w:t>2-year: 59.3% (range 41.1</w:t>
            </w:r>
            <w:r w:rsidR="00D35E9C">
              <w:rPr>
                <w:rFonts w:cstheme="minorBidi"/>
              </w:rPr>
              <w:t>–</w:t>
            </w:r>
            <w:r w:rsidRPr="005B0896">
              <w:rPr>
                <w:rFonts w:cstheme="minorBidi"/>
              </w:rPr>
              <w:t>94%)</w:t>
            </w:r>
          </w:p>
          <w:p w14:paraId="772743D0" w14:textId="767F83F8" w:rsidR="003D4A21" w:rsidRPr="005B0896" w:rsidRDefault="003D4A21" w:rsidP="009970F5">
            <w:pPr>
              <w:pStyle w:val="Tabletext1"/>
              <w:rPr>
                <w:rFonts w:cstheme="minorBidi"/>
              </w:rPr>
            </w:pPr>
            <w:r w:rsidRPr="005B0896">
              <w:rPr>
                <w:rFonts w:cstheme="minorBidi"/>
              </w:rPr>
              <w:t>3-year: 53 % (range: 30</w:t>
            </w:r>
            <w:r w:rsidR="00D35E9C">
              <w:rPr>
                <w:rFonts w:cstheme="minorBidi"/>
              </w:rPr>
              <w:t>–</w:t>
            </w:r>
            <w:r w:rsidRPr="005B0896">
              <w:rPr>
                <w:rFonts w:cstheme="minorBidi"/>
              </w:rPr>
              <w:t>85%)</w:t>
            </w:r>
          </w:p>
          <w:p w14:paraId="386185FD" w14:textId="77777777" w:rsidR="003D4A21" w:rsidRPr="005B0896" w:rsidRDefault="003D4A21" w:rsidP="009970F5">
            <w:pPr>
              <w:pStyle w:val="Tabletext1"/>
              <w:rPr>
                <w:rFonts w:cstheme="minorBidi"/>
              </w:rPr>
            </w:pPr>
            <w:r w:rsidRPr="005B0896">
              <w:rPr>
                <w:rFonts w:cstheme="minorBidi"/>
              </w:rPr>
              <w:t>5-year: Not estimable</w:t>
            </w:r>
          </w:p>
        </w:tc>
      </w:tr>
      <w:tr w:rsidR="003D4A21" w:rsidRPr="005B0896" w14:paraId="4FEF69CA" w14:textId="77777777" w:rsidTr="003F6C66">
        <w:tc>
          <w:tcPr>
            <w:tcW w:w="1205" w:type="pct"/>
            <w:tcBorders>
              <w:bottom w:val="single" w:sz="4" w:space="0" w:color="auto"/>
            </w:tcBorders>
          </w:tcPr>
          <w:p w14:paraId="01FEB611" w14:textId="77777777" w:rsidR="003D4A21" w:rsidRPr="009970F5" w:rsidRDefault="003D4A21" w:rsidP="009970F5">
            <w:pPr>
              <w:pStyle w:val="Tabletext1"/>
              <w:rPr>
                <w:rFonts w:cstheme="minorBidi"/>
                <w:b/>
                <w:u w:val="single"/>
              </w:rPr>
            </w:pPr>
            <w:r w:rsidRPr="009970F5">
              <w:rPr>
                <w:rFonts w:cstheme="minorBidi"/>
                <w:b/>
                <w:u w:val="single"/>
              </w:rPr>
              <w:t>Radiotherapy</w:t>
            </w:r>
          </w:p>
          <w:p w14:paraId="239B6226" w14:textId="77777777" w:rsidR="003D4A21" w:rsidRPr="005B0896" w:rsidRDefault="003D4A21" w:rsidP="009970F5">
            <w:pPr>
              <w:pStyle w:val="Tabletext1"/>
              <w:rPr>
                <w:rFonts w:cstheme="minorBidi"/>
              </w:rPr>
            </w:pPr>
            <w:r w:rsidRPr="005B0896">
              <w:rPr>
                <w:rFonts w:cstheme="minorBidi"/>
              </w:rPr>
              <w:t>Assessed with: Kaplan-</w:t>
            </w:r>
            <w:r w:rsidRPr="005B0896">
              <w:rPr>
                <w:rFonts w:cstheme="minorBidi"/>
              </w:rPr>
              <w:lastRenderedPageBreak/>
              <w:t>Meier estimate (95%CI)</w:t>
            </w:r>
          </w:p>
          <w:p w14:paraId="1B111996" w14:textId="7FFEB426" w:rsidR="003D4A21" w:rsidRPr="005B0896" w:rsidRDefault="00CB3BFC" w:rsidP="00CB3BFC">
            <w:pPr>
              <w:pStyle w:val="Tabletext1"/>
              <w:rPr>
                <w:rFonts w:cstheme="minorBidi"/>
              </w:rPr>
            </w:pPr>
            <w:r w:rsidRPr="008B4E16">
              <w:t>F/</w:t>
            </w:r>
            <w:r>
              <w:t>U</w:t>
            </w:r>
            <w:r w:rsidRPr="008B4E16">
              <w:t>:</w:t>
            </w:r>
            <w:r w:rsidR="003D4A21" w:rsidRPr="005B0896">
              <w:rPr>
                <w:rFonts w:cstheme="minorBidi"/>
              </w:rPr>
              <w:t xml:space="preserve"> range 13 months to 55 months</w:t>
            </w:r>
          </w:p>
        </w:tc>
        <w:tc>
          <w:tcPr>
            <w:tcW w:w="646" w:type="pct"/>
            <w:tcBorders>
              <w:bottom w:val="single" w:sz="4" w:space="0" w:color="auto"/>
            </w:tcBorders>
          </w:tcPr>
          <w:p w14:paraId="7A0F486F" w14:textId="77777777" w:rsidR="003D4A21" w:rsidRDefault="003D4A21" w:rsidP="009970F5">
            <w:pPr>
              <w:pStyle w:val="Tabletext1"/>
              <w:rPr>
                <w:rFonts w:cstheme="minorBidi"/>
              </w:rPr>
            </w:pPr>
            <w:r>
              <w:rPr>
                <w:rFonts w:cstheme="minorBidi"/>
              </w:rPr>
              <w:lastRenderedPageBreak/>
              <w:t>3 Level III-2 studies</w:t>
            </w:r>
          </w:p>
          <w:p w14:paraId="375ACC53" w14:textId="77777777" w:rsidR="003D4A21" w:rsidRPr="005B0896" w:rsidRDefault="003D4A21" w:rsidP="009970F5">
            <w:pPr>
              <w:pStyle w:val="Tabletext1"/>
              <w:rPr>
                <w:rFonts w:cstheme="minorBidi"/>
              </w:rPr>
            </w:pPr>
            <w:r>
              <w:rPr>
                <w:rFonts w:cstheme="minorBidi"/>
              </w:rPr>
              <w:lastRenderedPageBreak/>
              <w:t>14 Level IV studies</w:t>
            </w:r>
            <w:r>
              <w:rPr>
                <w:rFonts w:cstheme="minorBidi"/>
                <w:vertAlign w:val="superscript"/>
              </w:rPr>
              <w:t>2</w:t>
            </w:r>
          </w:p>
        </w:tc>
        <w:tc>
          <w:tcPr>
            <w:tcW w:w="738" w:type="pct"/>
            <w:tcBorders>
              <w:bottom w:val="single" w:sz="4" w:space="0" w:color="auto"/>
            </w:tcBorders>
          </w:tcPr>
          <w:p w14:paraId="315D6BB0" w14:textId="0D2DFCC0" w:rsidR="003D4A21" w:rsidRPr="005B0896" w:rsidRDefault="003D4A21" w:rsidP="009970F5">
            <w:pPr>
              <w:pStyle w:val="Tabletext1"/>
              <w:rPr>
                <w:rFonts w:cstheme="minorBidi"/>
                <w:sz w:val="13"/>
                <w:szCs w:val="13"/>
              </w:rPr>
            </w:pPr>
            <w:r>
              <w:rPr>
                <w:rFonts w:ascii="Cambria Math" w:hAnsi="Cambria Math"/>
                <w:color w:val="00B050"/>
              </w:rPr>
              <w:lastRenderedPageBreak/>
              <w:t>⨁</w:t>
            </w:r>
            <w:r w:rsidRPr="00D4733A">
              <w:rPr>
                <w:rFonts w:ascii="Cambria Math" w:hAnsi="Cambria Math" w:cs="Cambria Math"/>
                <w:color w:val="C00000"/>
              </w:rPr>
              <w:t>⨀⨀⨀</w:t>
            </w:r>
            <w:r w:rsidRPr="005B0896">
              <w:rPr>
                <w:rFonts w:cstheme="minorBidi"/>
                <w:sz w:val="13"/>
                <w:szCs w:val="13"/>
              </w:rPr>
              <w:br/>
            </w:r>
            <w:r w:rsidRPr="009970F5">
              <w:rPr>
                <w:rFonts w:cstheme="minorBidi"/>
              </w:rPr>
              <w:t>VERY LOW</w:t>
            </w:r>
            <w:r w:rsidR="009970F5">
              <w:rPr>
                <w:rFonts w:cstheme="minorBidi"/>
              </w:rPr>
              <w:t xml:space="preserve"> </w:t>
            </w:r>
            <w:r w:rsidRPr="009970F5">
              <w:rPr>
                <w:rFonts w:cstheme="minorBidi"/>
                <w:vertAlign w:val="superscript"/>
              </w:rPr>
              <w:t>1,3</w:t>
            </w:r>
          </w:p>
        </w:tc>
        <w:tc>
          <w:tcPr>
            <w:tcW w:w="2411" w:type="pct"/>
            <w:tcBorders>
              <w:bottom w:val="single" w:sz="4" w:space="0" w:color="auto"/>
            </w:tcBorders>
          </w:tcPr>
          <w:p w14:paraId="67F9091D" w14:textId="77777777" w:rsidR="003D4A21" w:rsidRPr="005B0896" w:rsidRDefault="003D4A21" w:rsidP="009970F5">
            <w:pPr>
              <w:pStyle w:val="Tabletext1"/>
              <w:rPr>
                <w:rFonts w:cstheme="minorBidi"/>
                <w:u w:val="single"/>
              </w:rPr>
            </w:pPr>
            <w:r w:rsidRPr="005B0896">
              <w:rPr>
                <w:rFonts w:cstheme="minorBidi"/>
                <w:u w:val="single"/>
              </w:rPr>
              <w:t>Median survival rate, pooled</w:t>
            </w:r>
          </w:p>
          <w:p w14:paraId="57DF96FE" w14:textId="5690D2BE" w:rsidR="003D4A21" w:rsidRPr="005B0896" w:rsidRDefault="003D4A21" w:rsidP="009970F5">
            <w:pPr>
              <w:pStyle w:val="Tabletext1"/>
              <w:rPr>
                <w:rFonts w:cstheme="minorBidi"/>
              </w:rPr>
            </w:pPr>
            <w:r w:rsidRPr="005B0896">
              <w:rPr>
                <w:rFonts w:cstheme="minorBidi"/>
              </w:rPr>
              <w:t>1-year: 86 % (60.5</w:t>
            </w:r>
            <w:r w:rsidR="00D35E9C">
              <w:rPr>
                <w:rFonts w:cstheme="minorBidi"/>
              </w:rPr>
              <w:t>–</w:t>
            </w:r>
            <w:r w:rsidRPr="005B0896">
              <w:rPr>
                <w:rFonts w:cstheme="minorBidi"/>
              </w:rPr>
              <w:t>98%)</w:t>
            </w:r>
          </w:p>
          <w:p w14:paraId="37B078F9" w14:textId="2BD3BF31" w:rsidR="003D4A21" w:rsidRPr="005B0896" w:rsidRDefault="003D4A21" w:rsidP="009970F5">
            <w:pPr>
              <w:pStyle w:val="Tabletext1"/>
              <w:rPr>
                <w:rFonts w:cstheme="minorBidi"/>
              </w:rPr>
            </w:pPr>
            <w:r w:rsidRPr="005B0896">
              <w:rPr>
                <w:rFonts w:cstheme="minorBidi"/>
              </w:rPr>
              <w:lastRenderedPageBreak/>
              <w:t>2-year: 65.1% (31.2</w:t>
            </w:r>
            <w:r w:rsidR="00D35E9C">
              <w:rPr>
                <w:rFonts w:cstheme="minorBidi"/>
              </w:rPr>
              <w:t>–</w:t>
            </w:r>
            <w:r w:rsidRPr="005B0896">
              <w:rPr>
                <w:rFonts w:cstheme="minorBidi"/>
              </w:rPr>
              <w:t>86%)</w:t>
            </w:r>
          </w:p>
          <w:p w14:paraId="081DB51D" w14:textId="2D251ED9" w:rsidR="003D4A21" w:rsidRPr="005B0896" w:rsidRDefault="003D4A21" w:rsidP="009970F5">
            <w:pPr>
              <w:pStyle w:val="Tabletext1"/>
              <w:rPr>
                <w:rFonts w:cstheme="minorBidi"/>
              </w:rPr>
            </w:pPr>
            <w:r w:rsidRPr="005B0896">
              <w:rPr>
                <w:rFonts w:cstheme="minorBidi"/>
              </w:rPr>
              <w:t>3-year: 61.5% (50.1</w:t>
            </w:r>
            <w:r w:rsidR="00D35E9C">
              <w:rPr>
                <w:rFonts w:cstheme="minorBidi"/>
              </w:rPr>
              <w:t>–</w:t>
            </w:r>
            <w:r w:rsidRPr="005B0896">
              <w:rPr>
                <w:rFonts w:cstheme="minorBidi"/>
              </w:rPr>
              <w:t>73%)</w:t>
            </w:r>
          </w:p>
          <w:p w14:paraId="76B9C60A" w14:textId="7178D0CF" w:rsidR="003D4A21" w:rsidRPr="005B0896" w:rsidRDefault="003D4A21" w:rsidP="009970F5">
            <w:pPr>
              <w:pStyle w:val="Tabletext1"/>
              <w:rPr>
                <w:rFonts w:cstheme="minorBidi"/>
              </w:rPr>
            </w:pPr>
            <w:r w:rsidRPr="005B0896">
              <w:rPr>
                <w:rFonts w:cstheme="minorBidi"/>
              </w:rPr>
              <w:t>5-year: 46.2 %( 39</w:t>
            </w:r>
            <w:r w:rsidR="00D35E9C">
              <w:rPr>
                <w:rFonts w:cstheme="minorBidi"/>
              </w:rPr>
              <w:t>–</w:t>
            </w:r>
            <w:r w:rsidRPr="005B0896">
              <w:rPr>
                <w:rFonts w:cstheme="minorBidi"/>
              </w:rPr>
              <w:t>56.2%)</w:t>
            </w:r>
          </w:p>
        </w:tc>
      </w:tr>
      <w:tr w:rsidR="003D4A21" w:rsidRPr="005B0896" w14:paraId="3796D0D8" w14:textId="77777777" w:rsidTr="003F6C66">
        <w:tc>
          <w:tcPr>
            <w:tcW w:w="1205" w:type="pct"/>
            <w:tcBorders>
              <w:bottom w:val="single" w:sz="4" w:space="0" w:color="auto"/>
            </w:tcBorders>
          </w:tcPr>
          <w:p w14:paraId="2EBA4379" w14:textId="77777777" w:rsidR="003D4A21" w:rsidRPr="009970F5" w:rsidRDefault="003D4A21" w:rsidP="009970F5">
            <w:pPr>
              <w:pStyle w:val="Tabletext1"/>
              <w:rPr>
                <w:rFonts w:cstheme="minorBidi"/>
                <w:b/>
                <w:u w:val="single"/>
              </w:rPr>
            </w:pPr>
            <w:r w:rsidRPr="009970F5">
              <w:rPr>
                <w:rFonts w:cstheme="minorBidi"/>
                <w:b/>
                <w:u w:val="single"/>
              </w:rPr>
              <w:lastRenderedPageBreak/>
              <w:t>Surgery</w:t>
            </w:r>
          </w:p>
          <w:p w14:paraId="3ABB51AC" w14:textId="45E1ECE7" w:rsidR="003D4A21" w:rsidRDefault="009970F5" w:rsidP="009970F5">
            <w:pPr>
              <w:pStyle w:val="Tabletext1"/>
              <w:rPr>
                <w:rFonts w:cstheme="minorBidi"/>
              </w:rPr>
            </w:pPr>
            <w:r>
              <w:rPr>
                <w:rFonts w:cstheme="minorBidi"/>
              </w:rPr>
              <w:t>A</w:t>
            </w:r>
            <w:r w:rsidR="003D4A21">
              <w:rPr>
                <w:rFonts w:cstheme="minorBidi"/>
              </w:rPr>
              <w:t>ssessed with: v</w:t>
            </w:r>
            <w:r w:rsidR="003D4A21" w:rsidRPr="000D1982">
              <w:rPr>
                <w:rFonts w:cstheme="minorBidi"/>
              </w:rPr>
              <w:t>aried measures</w:t>
            </w:r>
          </w:p>
          <w:p w14:paraId="3F390FB9" w14:textId="2DDFB3D0" w:rsidR="003D4A21" w:rsidRPr="005B0896" w:rsidRDefault="00CB3BFC" w:rsidP="00CB3BFC">
            <w:pPr>
              <w:pStyle w:val="Tabletext1"/>
              <w:rPr>
                <w:rFonts w:cstheme="minorBidi"/>
              </w:rPr>
            </w:pPr>
            <w:r w:rsidRPr="008B4E16">
              <w:t>F/</w:t>
            </w:r>
            <w:r>
              <w:t>U</w:t>
            </w:r>
            <w:r w:rsidRPr="008B4E16">
              <w:t>:</w:t>
            </w:r>
            <w:r w:rsidR="003D4A21">
              <w:rPr>
                <w:rFonts w:cstheme="minorBidi"/>
              </w:rPr>
              <w:t xml:space="preserve"> minimum follow-up was 30 days</w:t>
            </w:r>
            <w:r w:rsidR="003D4A21" w:rsidRPr="000D1982">
              <w:rPr>
                <w:rFonts w:cstheme="minorBidi"/>
              </w:rPr>
              <w:t xml:space="preserve"> months</w:t>
            </w:r>
          </w:p>
        </w:tc>
        <w:tc>
          <w:tcPr>
            <w:tcW w:w="646" w:type="pct"/>
            <w:tcBorders>
              <w:bottom w:val="single" w:sz="4" w:space="0" w:color="auto"/>
            </w:tcBorders>
          </w:tcPr>
          <w:p w14:paraId="0B1CF6B0" w14:textId="77777777" w:rsidR="003D4A21" w:rsidRDefault="003D4A21" w:rsidP="009970F5">
            <w:pPr>
              <w:pStyle w:val="Tabletext1"/>
              <w:rPr>
                <w:rFonts w:cstheme="minorBidi"/>
              </w:rPr>
            </w:pPr>
            <w:r>
              <w:rPr>
                <w:rFonts w:cstheme="minorBidi"/>
              </w:rPr>
              <w:t>2 Level I studies (of Level IV evidence)</w:t>
            </w:r>
          </w:p>
          <w:p w14:paraId="7130868A" w14:textId="77777777" w:rsidR="003D4A21" w:rsidRPr="005B0896" w:rsidRDefault="003D4A21" w:rsidP="009970F5">
            <w:pPr>
              <w:pStyle w:val="Tabletext1"/>
              <w:rPr>
                <w:rFonts w:cstheme="minorBidi"/>
              </w:rPr>
            </w:pPr>
            <w:r>
              <w:rPr>
                <w:rFonts w:cstheme="minorBidi"/>
              </w:rPr>
              <w:t>2 Level IV studies</w:t>
            </w:r>
            <w:r w:rsidRPr="005B0896">
              <w:rPr>
                <w:rFonts w:cstheme="minorBidi"/>
              </w:rPr>
              <w:t xml:space="preserve"> </w:t>
            </w:r>
          </w:p>
        </w:tc>
        <w:tc>
          <w:tcPr>
            <w:tcW w:w="738" w:type="pct"/>
            <w:tcBorders>
              <w:bottom w:val="single" w:sz="4" w:space="0" w:color="auto"/>
            </w:tcBorders>
          </w:tcPr>
          <w:p w14:paraId="6DA65CB5" w14:textId="77777777" w:rsidR="003D4A21" w:rsidRDefault="003D4A21" w:rsidP="009970F5">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223F8045" w14:textId="1DA26B79" w:rsidR="003D4A21" w:rsidRPr="009970F5" w:rsidRDefault="003D4A21" w:rsidP="009970F5">
            <w:pPr>
              <w:pStyle w:val="Tabletext1"/>
              <w:rPr>
                <w:rFonts w:cstheme="minorBidi"/>
              </w:rPr>
            </w:pPr>
            <w:r w:rsidRPr="009970F5">
              <w:rPr>
                <w:rFonts w:cstheme="minorBidi"/>
              </w:rPr>
              <w:t>VERY LOW</w:t>
            </w:r>
            <w:r w:rsidR="009970F5">
              <w:rPr>
                <w:rFonts w:cstheme="minorBidi"/>
              </w:rPr>
              <w:t xml:space="preserve"> </w:t>
            </w:r>
            <w:r w:rsidRPr="009970F5">
              <w:rPr>
                <w:rFonts w:cstheme="minorBidi"/>
                <w:vertAlign w:val="superscript"/>
              </w:rPr>
              <w:t>1</w:t>
            </w:r>
            <w:r w:rsidR="009970F5">
              <w:rPr>
                <w:rFonts w:cstheme="minorBidi"/>
                <w:vertAlign w:val="superscript"/>
              </w:rPr>
              <w:t>,</w:t>
            </w:r>
            <w:r w:rsidRPr="009970F5">
              <w:rPr>
                <w:rFonts w:cstheme="minorBidi"/>
                <w:vertAlign w:val="superscript"/>
              </w:rPr>
              <w:t>3</w:t>
            </w:r>
          </w:p>
        </w:tc>
        <w:tc>
          <w:tcPr>
            <w:tcW w:w="2411" w:type="pct"/>
            <w:tcBorders>
              <w:bottom w:val="single" w:sz="4" w:space="0" w:color="auto"/>
            </w:tcBorders>
          </w:tcPr>
          <w:p w14:paraId="25F2AA2B" w14:textId="7B6EABBB" w:rsidR="003D4A21" w:rsidRDefault="003D4A21" w:rsidP="009970F5">
            <w:pPr>
              <w:pStyle w:val="Tabletext1"/>
              <w:rPr>
                <w:rFonts w:cstheme="minorBidi"/>
              </w:rPr>
            </w:pPr>
            <w:r w:rsidRPr="000D1982">
              <w:rPr>
                <w:rFonts w:cstheme="minorBidi"/>
                <w:u w:val="single"/>
              </w:rPr>
              <w:t>Young et al (2015):</w:t>
            </w:r>
            <w:r w:rsidRPr="000D1982">
              <w:rPr>
                <w:rFonts w:cstheme="minorBidi"/>
              </w:rPr>
              <w:t xml:space="preserve"> </w:t>
            </w:r>
            <w:r w:rsidR="00D21765">
              <w:rPr>
                <w:rFonts w:cstheme="minorBidi"/>
              </w:rPr>
              <w:t xml:space="preserve"> </w:t>
            </w:r>
            <w:r w:rsidRPr="000D1982">
              <w:rPr>
                <w:rFonts w:cstheme="minorBidi"/>
              </w:rPr>
              <w:t xml:space="preserve">Meta-analysis of 5 year overall survival from 11 studies (387 patients) </w:t>
            </w:r>
            <w:r>
              <w:rPr>
                <w:rFonts w:cstheme="minorBidi"/>
              </w:rPr>
              <w:t xml:space="preserve">: </w:t>
            </w:r>
            <w:r w:rsidRPr="000D1982">
              <w:rPr>
                <w:rFonts w:cstheme="minorBidi"/>
              </w:rPr>
              <w:t>29.1% (95%CI; 24.1</w:t>
            </w:r>
            <w:r w:rsidR="00D35E9C">
              <w:rPr>
                <w:rFonts w:cstheme="minorBidi"/>
              </w:rPr>
              <w:t>–</w:t>
            </w:r>
            <w:r w:rsidRPr="000D1982">
              <w:rPr>
                <w:rFonts w:cstheme="minorBidi"/>
              </w:rPr>
              <w:t>35.3); I2 =</w:t>
            </w:r>
            <w:r>
              <w:rPr>
                <w:rFonts w:cstheme="minorBidi"/>
              </w:rPr>
              <w:t xml:space="preserve"> </w:t>
            </w:r>
            <w:r w:rsidRPr="000D1982">
              <w:rPr>
                <w:rFonts w:cstheme="minorBidi"/>
              </w:rPr>
              <w:t>0%, p</w:t>
            </w:r>
            <w:r>
              <w:rPr>
                <w:rFonts w:cstheme="minorBidi"/>
              </w:rPr>
              <w:t xml:space="preserve"> </w:t>
            </w:r>
            <w:r w:rsidRPr="000D1982">
              <w:rPr>
                <w:rFonts w:cstheme="minorBidi"/>
              </w:rPr>
              <w:t>=</w:t>
            </w:r>
            <w:r>
              <w:rPr>
                <w:rFonts w:cstheme="minorBidi"/>
              </w:rPr>
              <w:t xml:space="preserve"> </w:t>
            </w:r>
            <w:r w:rsidRPr="000D1982">
              <w:rPr>
                <w:rFonts w:cstheme="minorBidi"/>
              </w:rPr>
              <w:t>0.462, d.f.=</w:t>
            </w:r>
            <w:r>
              <w:rPr>
                <w:rFonts w:cstheme="minorBidi"/>
              </w:rPr>
              <w:t xml:space="preserve"> </w:t>
            </w:r>
            <w:r w:rsidRPr="000D1982">
              <w:rPr>
                <w:rFonts w:cstheme="minorBidi"/>
              </w:rPr>
              <w:t xml:space="preserve">10 </w:t>
            </w:r>
          </w:p>
          <w:p w14:paraId="14135821" w14:textId="77777777" w:rsidR="00D21765" w:rsidRDefault="003D4A21" w:rsidP="009970F5">
            <w:pPr>
              <w:pStyle w:val="Tabletext1"/>
              <w:rPr>
                <w:rFonts w:cstheme="minorBidi"/>
              </w:rPr>
            </w:pPr>
            <w:r w:rsidRPr="000D1982">
              <w:rPr>
                <w:rFonts w:cstheme="minorBidi"/>
                <w:u w:val="single"/>
              </w:rPr>
              <w:t>Pfannschmidt et al (2007):</w:t>
            </w:r>
            <w:r w:rsidRPr="000D1982">
              <w:rPr>
                <w:rFonts w:cstheme="minorBidi"/>
              </w:rPr>
              <w:t xml:space="preserve"> All studies reported overall survival of 5 years for all patients undergoing resection of pulmonary metastases (median: 48%, range: 41.1% to 56%). </w:t>
            </w:r>
          </w:p>
          <w:p w14:paraId="5FC8EDFB" w14:textId="4528A269" w:rsidR="003D4A21" w:rsidRDefault="003D4A21" w:rsidP="009970F5">
            <w:pPr>
              <w:pStyle w:val="Tabletext1"/>
              <w:rPr>
                <w:rFonts w:cstheme="minorBidi"/>
              </w:rPr>
            </w:pPr>
            <w:r w:rsidRPr="000D1982">
              <w:rPr>
                <w:rFonts w:cstheme="minorBidi"/>
                <w:u w:val="single"/>
              </w:rPr>
              <w:t>Reza et al (2014):</w:t>
            </w:r>
            <w:r w:rsidRPr="000D1982">
              <w:rPr>
                <w:rFonts w:cstheme="minorBidi"/>
              </w:rPr>
              <w:t xml:space="preserve"> </w:t>
            </w:r>
            <w:r w:rsidR="00D21765">
              <w:rPr>
                <w:rFonts w:cstheme="minorBidi"/>
              </w:rPr>
              <w:t xml:space="preserve"> </w:t>
            </w:r>
            <w:r w:rsidRPr="000D1982">
              <w:rPr>
                <w:rFonts w:cstheme="minorBidi"/>
              </w:rPr>
              <w:t xml:space="preserve">3-year: 48%, 5-year: 42%, 10-year: 31%. </w:t>
            </w:r>
          </w:p>
          <w:p w14:paraId="68F26EF0" w14:textId="5BE95717" w:rsidR="003D4A21" w:rsidRPr="005B0896" w:rsidRDefault="003D4A21" w:rsidP="00EC20F2">
            <w:pPr>
              <w:pStyle w:val="Tabletext1"/>
              <w:rPr>
                <w:rFonts w:cstheme="minorBidi"/>
              </w:rPr>
            </w:pPr>
            <w:r w:rsidRPr="000D1982">
              <w:rPr>
                <w:rFonts w:cstheme="minorBidi"/>
                <w:u w:val="single"/>
              </w:rPr>
              <w:t>Kitano et al (2012):</w:t>
            </w:r>
            <w:r w:rsidRPr="000D1982">
              <w:rPr>
                <w:rFonts w:cstheme="minorBidi"/>
              </w:rPr>
              <w:t xml:space="preserve"> </w:t>
            </w:r>
            <w:r w:rsidR="00D21765">
              <w:rPr>
                <w:rFonts w:cstheme="minorBidi"/>
              </w:rPr>
              <w:t xml:space="preserve"> </w:t>
            </w:r>
            <w:r>
              <w:rPr>
                <w:rFonts w:cstheme="minorBidi"/>
              </w:rPr>
              <w:t>2-year</w:t>
            </w:r>
            <w:r w:rsidRPr="000D1982">
              <w:rPr>
                <w:rFonts w:cstheme="minorBidi"/>
              </w:rPr>
              <w:t xml:space="preserve">: 53.9%, </w:t>
            </w:r>
            <w:r>
              <w:rPr>
                <w:rFonts w:cstheme="minorBidi"/>
              </w:rPr>
              <w:t>5-year</w:t>
            </w:r>
            <w:r w:rsidRPr="000D1982">
              <w:rPr>
                <w:rFonts w:cstheme="minorBidi"/>
              </w:rPr>
              <w:t>: 40.9%</w:t>
            </w:r>
          </w:p>
        </w:tc>
      </w:tr>
      <w:tr w:rsidR="003D4A21" w:rsidRPr="005B0896" w14:paraId="2831973B" w14:textId="77777777" w:rsidTr="003F6C66">
        <w:tc>
          <w:tcPr>
            <w:tcW w:w="1205" w:type="pct"/>
            <w:tcBorders>
              <w:right w:val="nil"/>
            </w:tcBorders>
            <w:shd w:val="clear" w:color="auto" w:fill="D9D9D9" w:themeFill="background1" w:themeFillShade="D9"/>
          </w:tcPr>
          <w:p w14:paraId="2FD6B846" w14:textId="77777777" w:rsidR="003D4A21" w:rsidRPr="00CC4F6E" w:rsidRDefault="003D4A21" w:rsidP="009970F5">
            <w:pPr>
              <w:pStyle w:val="Tabletext1"/>
              <w:rPr>
                <w:rFonts w:cstheme="minorBidi"/>
                <w:b/>
              </w:rPr>
            </w:pPr>
            <w:r w:rsidRPr="00CC4F6E">
              <w:rPr>
                <w:rFonts w:cstheme="minorBidi"/>
                <w:b/>
              </w:rPr>
              <w:t xml:space="preserve">Median overall survival </w:t>
            </w:r>
          </w:p>
        </w:tc>
        <w:tc>
          <w:tcPr>
            <w:tcW w:w="646" w:type="pct"/>
            <w:tcBorders>
              <w:left w:val="nil"/>
              <w:right w:val="nil"/>
            </w:tcBorders>
            <w:shd w:val="clear" w:color="auto" w:fill="D9D9D9" w:themeFill="background1" w:themeFillShade="D9"/>
          </w:tcPr>
          <w:p w14:paraId="5B682C0C" w14:textId="77777777" w:rsidR="003D4A21" w:rsidRPr="005B0896" w:rsidRDefault="003D4A21" w:rsidP="009970F5">
            <w:pPr>
              <w:pStyle w:val="Tabletext1"/>
              <w:rPr>
                <w:rFonts w:cstheme="minorBidi"/>
              </w:rPr>
            </w:pPr>
          </w:p>
        </w:tc>
        <w:tc>
          <w:tcPr>
            <w:tcW w:w="738" w:type="pct"/>
            <w:tcBorders>
              <w:left w:val="nil"/>
              <w:right w:val="nil"/>
            </w:tcBorders>
            <w:shd w:val="clear" w:color="auto" w:fill="D9D9D9" w:themeFill="background1" w:themeFillShade="D9"/>
          </w:tcPr>
          <w:p w14:paraId="466EA14D" w14:textId="77777777" w:rsidR="003D4A21" w:rsidRPr="005B0896" w:rsidRDefault="003D4A21" w:rsidP="009970F5">
            <w:pPr>
              <w:pStyle w:val="Tabletext1"/>
              <w:rPr>
                <w:rFonts w:cstheme="minorBidi"/>
              </w:rPr>
            </w:pPr>
          </w:p>
        </w:tc>
        <w:tc>
          <w:tcPr>
            <w:tcW w:w="2411" w:type="pct"/>
            <w:tcBorders>
              <w:left w:val="nil"/>
            </w:tcBorders>
            <w:shd w:val="clear" w:color="auto" w:fill="D9D9D9" w:themeFill="background1" w:themeFillShade="D9"/>
          </w:tcPr>
          <w:p w14:paraId="1D2ED1C1" w14:textId="77777777" w:rsidR="003D4A21" w:rsidRPr="005B0896" w:rsidRDefault="003D4A21" w:rsidP="009970F5">
            <w:pPr>
              <w:pStyle w:val="Tabletext1"/>
              <w:rPr>
                <w:rFonts w:cstheme="minorBidi"/>
              </w:rPr>
            </w:pPr>
          </w:p>
        </w:tc>
      </w:tr>
      <w:tr w:rsidR="003D4A21" w:rsidRPr="005B0896" w14:paraId="7EDA08EC" w14:textId="77777777" w:rsidTr="003F6C66">
        <w:tc>
          <w:tcPr>
            <w:tcW w:w="1205" w:type="pct"/>
          </w:tcPr>
          <w:p w14:paraId="11837C2B" w14:textId="77777777" w:rsidR="003D4A21" w:rsidRPr="00CC4F6E" w:rsidRDefault="003D4A21" w:rsidP="009970F5">
            <w:pPr>
              <w:pStyle w:val="Tabletext1"/>
              <w:rPr>
                <w:rFonts w:cstheme="minorBidi"/>
                <w:b/>
                <w:u w:val="single"/>
              </w:rPr>
            </w:pPr>
            <w:r w:rsidRPr="00CC4F6E">
              <w:rPr>
                <w:rFonts w:cstheme="minorBidi"/>
                <w:b/>
                <w:u w:val="single"/>
              </w:rPr>
              <w:t>MTA</w:t>
            </w:r>
          </w:p>
          <w:p w14:paraId="7C3F26E7" w14:textId="77777777" w:rsidR="003D4A21" w:rsidRPr="005B0896" w:rsidRDefault="003D4A21" w:rsidP="009970F5">
            <w:pPr>
              <w:pStyle w:val="Tabletext1"/>
              <w:rPr>
                <w:rFonts w:cstheme="minorBidi"/>
              </w:rPr>
            </w:pPr>
            <w:r w:rsidRPr="005B0896">
              <w:rPr>
                <w:rFonts w:cstheme="minorBidi"/>
              </w:rPr>
              <w:t>Not reported</w:t>
            </w:r>
          </w:p>
        </w:tc>
        <w:tc>
          <w:tcPr>
            <w:tcW w:w="646" w:type="pct"/>
          </w:tcPr>
          <w:p w14:paraId="1DC46F58" w14:textId="77777777" w:rsidR="003D4A21" w:rsidRPr="005B0896" w:rsidRDefault="003D4A21" w:rsidP="009970F5">
            <w:pPr>
              <w:pStyle w:val="Tabletext1"/>
              <w:rPr>
                <w:rFonts w:cstheme="minorBidi"/>
              </w:rPr>
            </w:pPr>
            <w:r w:rsidRPr="005B0896">
              <w:rPr>
                <w:rFonts w:cstheme="minorBidi"/>
              </w:rPr>
              <w:t>0 studies</w:t>
            </w:r>
          </w:p>
        </w:tc>
        <w:tc>
          <w:tcPr>
            <w:tcW w:w="738" w:type="pct"/>
          </w:tcPr>
          <w:p w14:paraId="13F04D60" w14:textId="77777777" w:rsidR="003D4A21" w:rsidRPr="005B0896" w:rsidRDefault="003D4A21" w:rsidP="009970F5">
            <w:pPr>
              <w:pStyle w:val="Tabletext1"/>
              <w:rPr>
                <w:rFonts w:cstheme="minorBidi"/>
              </w:rPr>
            </w:pPr>
            <w:r w:rsidRPr="005B0896">
              <w:rPr>
                <w:rFonts w:cstheme="minorBidi"/>
              </w:rPr>
              <w:t>NA</w:t>
            </w:r>
          </w:p>
        </w:tc>
        <w:tc>
          <w:tcPr>
            <w:tcW w:w="2411" w:type="pct"/>
          </w:tcPr>
          <w:p w14:paraId="04D51D84" w14:textId="77777777" w:rsidR="003D4A21" w:rsidRPr="005B0896" w:rsidRDefault="003D4A21" w:rsidP="009970F5">
            <w:pPr>
              <w:pStyle w:val="Tabletext1"/>
              <w:rPr>
                <w:rFonts w:cstheme="minorBidi"/>
              </w:rPr>
            </w:pPr>
            <w:r w:rsidRPr="005B0896">
              <w:rPr>
                <w:rFonts w:cstheme="minorBidi"/>
              </w:rPr>
              <w:t>NA</w:t>
            </w:r>
          </w:p>
        </w:tc>
      </w:tr>
      <w:tr w:rsidR="003D4A21" w:rsidRPr="005B0896" w14:paraId="75DD03D0" w14:textId="77777777" w:rsidTr="003F6C66">
        <w:tc>
          <w:tcPr>
            <w:tcW w:w="1205" w:type="pct"/>
          </w:tcPr>
          <w:p w14:paraId="0D9539E0" w14:textId="77777777" w:rsidR="003D4A21" w:rsidRPr="00CC4F6E" w:rsidRDefault="003D4A21" w:rsidP="009970F5">
            <w:pPr>
              <w:pStyle w:val="Tabletext1"/>
              <w:rPr>
                <w:rFonts w:cstheme="minorBidi"/>
                <w:b/>
                <w:u w:val="single"/>
              </w:rPr>
            </w:pPr>
            <w:r w:rsidRPr="00CC4F6E">
              <w:rPr>
                <w:rFonts w:cstheme="minorBidi"/>
                <w:b/>
                <w:u w:val="single"/>
              </w:rPr>
              <w:t>RFA</w:t>
            </w:r>
          </w:p>
          <w:p w14:paraId="30DA0EAF" w14:textId="77777777" w:rsidR="003D4A21" w:rsidRPr="005B0896" w:rsidRDefault="003D4A21" w:rsidP="009970F5">
            <w:pPr>
              <w:pStyle w:val="Tabletext1"/>
              <w:rPr>
                <w:rFonts w:cstheme="minorBidi"/>
              </w:rPr>
            </w:pPr>
            <w:r w:rsidRPr="005B0896">
              <w:rPr>
                <w:rFonts w:cstheme="minorBidi"/>
              </w:rPr>
              <w:t>Assessed with: Kaplan-Meier estimates (95%CI)</w:t>
            </w:r>
          </w:p>
          <w:p w14:paraId="38720DEA" w14:textId="5949784D" w:rsidR="003D4A21" w:rsidRPr="005B0896" w:rsidRDefault="00CB3BFC" w:rsidP="009970F5">
            <w:pPr>
              <w:pStyle w:val="Tabletext1"/>
              <w:rPr>
                <w:rFonts w:cstheme="minorBidi"/>
              </w:rPr>
            </w:pPr>
            <w:r w:rsidRPr="008B4E16">
              <w:t>F/</w:t>
            </w:r>
            <w:r>
              <w:t>U</w:t>
            </w:r>
            <w:r w:rsidRPr="008B4E16">
              <w:t xml:space="preserve">: </w:t>
            </w:r>
            <w:r w:rsidR="003D4A21" w:rsidRPr="005B0896">
              <w:rPr>
                <w:rFonts w:cstheme="minorBidi"/>
              </w:rPr>
              <w:t>range 12 months to 38 months</w:t>
            </w:r>
          </w:p>
        </w:tc>
        <w:tc>
          <w:tcPr>
            <w:tcW w:w="646" w:type="pct"/>
          </w:tcPr>
          <w:p w14:paraId="0A8CA8A5" w14:textId="77777777" w:rsidR="003D4A21" w:rsidRPr="005B0896" w:rsidRDefault="003D4A21" w:rsidP="009970F5">
            <w:pPr>
              <w:pStyle w:val="Tabletext1"/>
              <w:rPr>
                <w:rFonts w:cstheme="minorBidi"/>
              </w:rPr>
            </w:pPr>
            <w:r w:rsidRPr="005B0896">
              <w:rPr>
                <w:rFonts w:cstheme="minorBidi"/>
              </w:rPr>
              <w:t xml:space="preserve">10 </w:t>
            </w:r>
            <w:r>
              <w:rPr>
                <w:rFonts w:cstheme="minorBidi"/>
              </w:rPr>
              <w:t>Level IV studies</w:t>
            </w:r>
          </w:p>
        </w:tc>
        <w:tc>
          <w:tcPr>
            <w:tcW w:w="738" w:type="pct"/>
          </w:tcPr>
          <w:p w14:paraId="512E853A" w14:textId="77777777" w:rsidR="003D4A21" w:rsidRPr="00B204BF" w:rsidRDefault="003D4A21" w:rsidP="009970F5">
            <w:pPr>
              <w:pStyle w:val="Tabletext1"/>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r w:rsidRPr="005B0896">
              <w:rPr>
                <w:rFonts w:ascii="Times New Roman" w:hAnsi="Times New Roman" w:cstheme="minorBidi"/>
                <w:sz w:val="24"/>
              </w:rPr>
              <w:br/>
            </w:r>
            <w:r w:rsidRPr="00CC4F6E">
              <w:rPr>
                <w:rFonts w:cstheme="minorBidi"/>
              </w:rPr>
              <w:t xml:space="preserve">VERY LOW </w:t>
            </w:r>
            <w:r w:rsidRPr="00CC4F6E">
              <w:rPr>
                <w:rFonts w:cstheme="minorBidi"/>
                <w:vertAlign w:val="superscript"/>
              </w:rPr>
              <w:t>1,4</w:t>
            </w:r>
          </w:p>
        </w:tc>
        <w:tc>
          <w:tcPr>
            <w:tcW w:w="2411" w:type="pct"/>
          </w:tcPr>
          <w:p w14:paraId="00B9E042" w14:textId="43AFD97F" w:rsidR="003D4A21" w:rsidRPr="005B0896" w:rsidRDefault="003D4A21" w:rsidP="009970F5">
            <w:pPr>
              <w:pStyle w:val="Tabletext1"/>
              <w:rPr>
                <w:rFonts w:cstheme="minorBidi"/>
              </w:rPr>
            </w:pPr>
            <w:r w:rsidRPr="005B0896">
              <w:rPr>
                <w:rFonts w:cstheme="minorBidi"/>
                <w:u w:val="single"/>
              </w:rPr>
              <w:t>Median overall survival:</w:t>
            </w:r>
            <w:r w:rsidRPr="005B0896">
              <w:rPr>
                <w:rFonts w:cstheme="minorBidi"/>
              </w:rPr>
              <w:t xml:space="preserve"> 44 months (range: 21</w:t>
            </w:r>
            <w:r w:rsidR="00D35E9C">
              <w:rPr>
                <w:rFonts w:cstheme="minorBidi"/>
              </w:rPr>
              <w:t>–</w:t>
            </w:r>
            <w:r w:rsidRPr="005B0896">
              <w:rPr>
                <w:rFonts w:cstheme="minorBidi"/>
              </w:rPr>
              <w:t>67)</w:t>
            </w:r>
          </w:p>
        </w:tc>
      </w:tr>
      <w:tr w:rsidR="003D4A21" w:rsidRPr="005B0896" w14:paraId="556738A7" w14:textId="77777777" w:rsidTr="003F6C66">
        <w:tc>
          <w:tcPr>
            <w:tcW w:w="1205" w:type="pct"/>
            <w:tcBorders>
              <w:bottom w:val="single" w:sz="4" w:space="0" w:color="auto"/>
            </w:tcBorders>
          </w:tcPr>
          <w:p w14:paraId="3AE8397A" w14:textId="77777777" w:rsidR="003D4A21" w:rsidRPr="00CC4F6E" w:rsidRDefault="003D4A21" w:rsidP="009970F5">
            <w:pPr>
              <w:pStyle w:val="Tabletext1"/>
              <w:rPr>
                <w:rFonts w:cstheme="minorBidi"/>
                <w:b/>
                <w:u w:val="single"/>
              </w:rPr>
            </w:pPr>
            <w:r w:rsidRPr="00CC4F6E">
              <w:rPr>
                <w:rFonts w:cstheme="minorBidi"/>
                <w:b/>
                <w:u w:val="single"/>
              </w:rPr>
              <w:t>Radiotherapy</w:t>
            </w:r>
          </w:p>
          <w:p w14:paraId="79F1C65F" w14:textId="77777777" w:rsidR="003D4A21" w:rsidRPr="005B0896" w:rsidRDefault="003D4A21" w:rsidP="009970F5">
            <w:pPr>
              <w:pStyle w:val="Tabletext1"/>
              <w:rPr>
                <w:rFonts w:cstheme="minorBidi"/>
              </w:rPr>
            </w:pPr>
            <w:r w:rsidRPr="005B0896">
              <w:rPr>
                <w:rFonts w:cstheme="minorBidi"/>
              </w:rPr>
              <w:t>Assessed with: Kaplan-Meier estimates (95%CI)</w:t>
            </w:r>
          </w:p>
          <w:p w14:paraId="4B542E89" w14:textId="0B7960EB" w:rsidR="003D4A21" w:rsidRPr="005B0896" w:rsidRDefault="00CB3BFC" w:rsidP="009970F5">
            <w:pPr>
              <w:pStyle w:val="Tabletext1"/>
              <w:rPr>
                <w:rFonts w:cstheme="minorBidi"/>
              </w:rPr>
            </w:pPr>
            <w:r w:rsidRPr="008B4E16">
              <w:t>F/</w:t>
            </w:r>
            <w:r>
              <w:t>U</w:t>
            </w:r>
            <w:r w:rsidRPr="008B4E16">
              <w:t xml:space="preserve">: </w:t>
            </w:r>
            <w:r w:rsidR="003D4A21" w:rsidRPr="005B0896">
              <w:rPr>
                <w:rFonts w:cstheme="minorBidi"/>
              </w:rPr>
              <w:t>range 13 months to 55 months</w:t>
            </w:r>
          </w:p>
        </w:tc>
        <w:tc>
          <w:tcPr>
            <w:tcW w:w="646" w:type="pct"/>
            <w:tcBorders>
              <w:bottom w:val="single" w:sz="4" w:space="0" w:color="auto"/>
            </w:tcBorders>
          </w:tcPr>
          <w:p w14:paraId="778A198E" w14:textId="77777777" w:rsidR="003D4A21" w:rsidRDefault="003D4A21" w:rsidP="009970F5">
            <w:pPr>
              <w:pStyle w:val="Tabletext1"/>
              <w:rPr>
                <w:rFonts w:cstheme="minorBidi"/>
              </w:rPr>
            </w:pPr>
            <w:r>
              <w:rPr>
                <w:rFonts w:cstheme="minorBidi"/>
              </w:rPr>
              <w:t>1Level III-2 study</w:t>
            </w:r>
          </w:p>
          <w:p w14:paraId="080349FC" w14:textId="77777777" w:rsidR="003D4A21" w:rsidRPr="005B0896" w:rsidRDefault="003D4A21" w:rsidP="009970F5">
            <w:pPr>
              <w:pStyle w:val="Tabletext1"/>
              <w:rPr>
                <w:rFonts w:cstheme="minorBidi"/>
              </w:rPr>
            </w:pPr>
            <w:r>
              <w:rPr>
                <w:rFonts w:cstheme="minorBidi"/>
              </w:rPr>
              <w:t xml:space="preserve">10 Level IV studies </w:t>
            </w:r>
            <w:r w:rsidRPr="005B0896">
              <w:rPr>
                <w:rFonts w:cstheme="minorBidi"/>
                <w:vertAlign w:val="superscript"/>
              </w:rPr>
              <w:t>6</w:t>
            </w:r>
          </w:p>
        </w:tc>
        <w:tc>
          <w:tcPr>
            <w:tcW w:w="738" w:type="pct"/>
            <w:tcBorders>
              <w:bottom w:val="single" w:sz="4" w:space="0" w:color="auto"/>
            </w:tcBorders>
          </w:tcPr>
          <w:p w14:paraId="013A0385" w14:textId="77777777" w:rsidR="003D4A21" w:rsidRPr="005B0896" w:rsidRDefault="003D4A21" w:rsidP="009970F5">
            <w:pPr>
              <w:pStyle w:val="Tabletext1"/>
              <w:rPr>
                <w:rFonts w:cstheme="minorBidi"/>
              </w:rPr>
            </w:pPr>
            <w:r>
              <w:rPr>
                <w:rFonts w:ascii="Cambria Math" w:hAnsi="Cambria Math"/>
                <w:color w:val="00B050"/>
              </w:rPr>
              <w:t>⨁</w:t>
            </w:r>
            <w:r w:rsidRPr="00D4733A">
              <w:rPr>
                <w:rFonts w:ascii="Cambria Math" w:hAnsi="Cambria Math" w:cs="Cambria Math"/>
                <w:color w:val="C00000"/>
              </w:rPr>
              <w:t>⨀⨀⨀</w:t>
            </w:r>
            <w:r w:rsidRPr="005B0896">
              <w:rPr>
                <w:rFonts w:ascii="Times New Roman" w:hAnsi="Times New Roman" w:cstheme="minorBidi"/>
                <w:sz w:val="24"/>
              </w:rPr>
              <w:br/>
            </w:r>
            <w:r w:rsidRPr="00CC4F6E">
              <w:rPr>
                <w:rFonts w:cstheme="minorBidi"/>
              </w:rPr>
              <w:t xml:space="preserve">VERY LOW </w:t>
            </w:r>
            <w:r w:rsidRPr="00CC4F6E">
              <w:rPr>
                <w:rFonts w:cstheme="minorBidi"/>
                <w:vertAlign w:val="superscript"/>
              </w:rPr>
              <w:t>1,4</w:t>
            </w:r>
          </w:p>
        </w:tc>
        <w:tc>
          <w:tcPr>
            <w:tcW w:w="2411" w:type="pct"/>
            <w:tcBorders>
              <w:bottom w:val="single" w:sz="4" w:space="0" w:color="auto"/>
            </w:tcBorders>
          </w:tcPr>
          <w:p w14:paraId="29A5B6EC" w14:textId="12F469A8" w:rsidR="003D4A21" w:rsidRPr="005B0896" w:rsidRDefault="003D4A21" w:rsidP="009970F5">
            <w:pPr>
              <w:pStyle w:val="Tabletext1"/>
              <w:rPr>
                <w:rFonts w:cstheme="minorBidi"/>
              </w:rPr>
            </w:pPr>
            <w:r w:rsidRPr="005B0896">
              <w:rPr>
                <w:rFonts w:cstheme="minorBidi"/>
                <w:u w:val="single"/>
              </w:rPr>
              <w:t>Median overall survival:</w:t>
            </w:r>
            <w:r w:rsidRPr="005B0896">
              <w:rPr>
                <w:rFonts w:cstheme="minorBidi"/>
              </w:rPr>
              <w:t xml:space="preserve"> 27.8 months (range: 12</w:t>
            </w:r>
            <w:r w:rsidR="00D35E9C">
              <w:rPr>
                <w:rFonts w:cstheme="minorBidi"/>
              </w:rPr>
              <w:t>–</w:t>
            </w:r>
            <w:r w:rsidRPr="005B0896">
              <w:rPr>
                <w:rFonts w:cstheme="minorBidi"/>
              </w:rPr>
              <w:t>42.8)</w:t>
            </w:r>
          </w:p>
        </w:tc>
      </w:tr>
      <w:tr w:rsidR="003D4A21" w:rsidRPr="005B0896" w14:paraId="3DDC5666" w14:textId="77777777" w:rsidTr="003F6C66">
        <w:tc>
          <w:tcPr>
            <w:tcW w:w="1205" w:type="pct"/>
            <w:tcBorders>
              <w:bottom w:val="single" w:sz="4" w:space="0" w:color="auto"/>
            </w:tcBorders>
          </w:tcPr>
          <w:p w14:paraId="73F5377E" w14:textId="77777777" w:rsidR="003D4A21" w:rsidRPr="00CC4F6E" w:rsidRDefault="003D4A21" w:rsidP="009970F5">
            <w:pPr>
              <w:pStyle w:val="Tabletext1"/>
              <w:rPr>
                <w:rFonts w:cstheme="minorBidi"/>
                <w:b/>
                <w:u w:val="single"/>
              </w:rPr>
            </w:pPr>
            <w:r w:rsidRPr="00CC4F6E">
              <w:rPr>
                <w:rFonts w:cstheme="minorBidi"/>
                <w:b/>
                <w:u w:val="single"/>
              </w:rPr>
              <w:t>Surgery</w:t>
            </w:r>
          </w:p>
          <w:p w14:paraId="215ED6AF" w14:textId="46CB95E8" w:rsidR="003D4A21" w:rsidRPr="005B0896" w:rsidRDefault="00CC4F6E" w:rsidP="009970F5">
            <w:pPr>
              <w:pStyle w:val="Tabletext1"/>
              <w:rPr>
                <w:rFonts w:cstheme="minorBidi"/>
              </w:rPr>
            </w:pPr>
            <w:r>
              <w:rPr>
                <w:rFonts w:cstheme="minorBidi"/>
              </w:rPr>
              <w:t>A</w:t>
            </w:r>
            <w:r w:rsidR="003D4A21" w:rsidRPr="005B0896">
              <w:rPr>
                <w:rFonts w:cstheme="minorBidi"/>
              </w:rPr>
              <w:t>ssessed with: Kaplan-Meier estimate (95 % CI)</w:t>
            </w:r>
          </w:p>
          <w:p w14:paraId="4E5EBF6E" w14:textId="1A80AF52" w:rsidR="003D4A21" w:rsidRPr="005B0896" w:rsidRDefault="00CB3BFC" w:rsidP="009970F5">
            <w:pPr>
              <w:pStyle w:val="Tabletext1"/>
              <w:rPr>
                <w:rFonts w:cstheme="minorBidi"/>
              </w:rPr>
            </w:pPr>
            <w:r w:rsidRPr="008B4E16">
              <w:t>F/</w:t>
            </w:r>
            <w:r>
              <w:t>U</w:t>
            </w:r>
            <w:r w:rsidRPr="008B4E16">
              <w:t xml:space="preserve">: </w:t>
            </w:r>
            <w:r w:rsidR="003D4A21" w:rsidRPr="005B0896">
              <w:rPr>
                <w:rFonts w:cstheme="minorBidi"/>
              </w:rPr>
              <w:t>median Not reported months</w:t>
            </w:r>
          </w:p>
        </w:tc>
        <w:tc>
          <w:tcPr>
            <w:tcW w:w="646" w:type="pct"/>
            <w:tcBorders>
              <w:bottom w:val="single" w:sz="4" w:space="0" w:color="auto"/>
            </w:tcBorders>
          </w:tcPr>
          <w:p w14:paraId="23E2C038" w14:textId="77777777" w:rsidR="003D4A21" w:rsidRPr="005B0896" w:rsidRDefault="003D4A21" w:rsidP="009970F5">
            <w:pPr>
              <w:pStyle w:val="Tabletext1"/>
              <w:rPr>
                <w:rFonts w:cstheme="minorBidi"/>
              </w:rPr>
            </w:pPr>
            <w:r w:rsidRPr="005B0896">
              <w:rPr>
                <w:rFonts w:cstheme="minorBidi"/>
              </w:rPr>
              <w:t xml:space="preserve">3 </w:t>
            </w:r>
            <w:r>
              <w:rPr>
                <w:rFonts w:cstheme="minorBidi"/>
              </w:rPr>
              <w:t>Level IV studies</w:t>
            </w:r>
          </w:p>
        </w:tc>
        <w:tc>
          <w:tcPr>
            <w:tcW w:w="738" w:type="pct"/>
            <w:tcBorders>
              <w:bottom w:val="single" w:sz="4" w:space="0" w:color="auto"/>
            </w:tcBorders>
          </w:tcPr>
          <w:p w14:paraId="4CF4F557" w14:textId="77777777" w:rsidR="003D4A21" w:rsidRPr="005B0896" w:rsidRDefault="003D4A21" w:rsidP="009970F5">
            <w:pPr>
              <w:pStyle w:val="Tabletext1"/>
              <w:rPr>
                <w:rFonts w:ascii="Cambria Math" w:hAnsi="Cambria Math" w:cs="Cambria Math"/>
                <w:sz w:val="21"/>
                <w:szCs w:val="21"/>
              </w:rPr>
            </w:pPr>
            <w:r>
              <w:rPr>
                <w:rFonts w:ascii="Cambria Math" w:hAnsi="Cambria Math"/>
                <w:color w:val="00B050"/>
              </w:rPr>
              <w:t>⨁</w:t>
            </w:r>
            <w:r w:rsidRPr="00D4733A">
              <w:rPr>
                <w:rFonts w:ascii="Cambria Math" w:hAnsi="Cambria Math" w:cs="Cambria Math"/>
                <w:color w:val="C00000"/>
              </w:rPr>
              <w:t>⨀⨀⨀</w:t>
            </w:r>
            <w:r w:rsidRPr="005B0896">
              <w:rPr>
                <w:rFonts w:ascii="Times New Roman" w:hAnsi="Times New Roman" w:cstheme="minorBidi"/>
                <w:sz w:val="24"/>
              </w:rPr>
              <w:br/>
            </w:r>
            <w:r w:rsidRPr="00CC4F6E">
              <w:rPr>
                <w:rFonts w:cstheme="minorBidi"/>
              </w:rPr>
              <w:t xml:space="preserve">VERY LOW </w:t>
            </w:r>
            <w:r w:rsidRPr="00CC4F6E">
              <w:rPr>
                <w:rFonts w:cstheme="minorBidi"/>
                <w:vertAlign w:val="superscript"/>
              </w:rPr>
              <w:t>1,5</w:t>
            </w:r>
          </w:p>
        </w:tc>
        <w:tc>
          <w:tcPr>
            <w:tcW w:w="2411" w:type="pct"/>
            <w:tcBorders>
              <w:bottom w:val="single" w:sz="4" w:space="0" w:color="auto"/>
            </w:tcBorders>
          </w:tcPr>
          <w:p w14:paraId="6C74F201" w14:textId="57D750BC" w:rsidR="003D4A21" w:rsidRPr="005B0896" w:rsidRDefault="003D4A21" w:rsidP="009970F5">
            <w:pPr>
              <w:pStyle w:val="Tabletext1"/>
              <w:rPr>
                <w:rFonts w:cstheme="minorBidi"/>
                <w:u w:val="single"/>
              </w:rPr>
            </w:pPr>
            <w:r w:rsidRPr="005B0896">
              <w:rPr>
                <w:rFonts w:cstheme="minorBidi"/>
                <w:u w:val="single"/>
              </w:rPr>
              <w:t xml:space="preserve">Renaud et al (2014): </w:t>
            </w:r>
            <w:r w:rsidRPr="005B0896">
              <w:rPr>
                <w:rFonts w:cstheme="minorBidi"/>
              </w:rPr>
              <w:t>No lymph node involvement: 94 months (95%CI, 76.27</w:t>
            </w:r>
            <w:r w:rsidR="00D35E9C">
              <w:rPr>
                <w:rFonts w:cstheme="minorBidi"/>
              </w:rPr>
              <w:t>–</w:t>
            </w:r>
            <w:r w:rsidRPr="005B0896">
              <w:rPr>
                <w:rFonts w:cstheme="minorBidi"/>
              </w:rPr>
              <w:t>111.72) positive lymph node involvement: 42 months (95%CI, 30.06</w:t>
            </w:r>
            <w:r w:rsidR="00D35E9C">
              <w:rPr>
                <w:rFonts w:cstheme="minorBidi"/>
              </w:rPr>
              <w:t>–</w:t>
            </w:r>
            <w:r w:rsidRPr="005B0896">
              <w:rPr>
                <w:rFonts w:cstheme="minorBidi"/>
              </w:rPr>
              <w:t>53.93; p&lt;0.0001) Hilar location of lymph node involvement: 47 months (95%CI, 29.89</w:t>
            </w:r>
            <w:r w:rsidR="00D35E9C">
              <w:rPr>
                <w:rFonts w:cstheme="minorBidi"/>
              </w:rPr>
              <w:t>–</w:t>
            </w:r>
            <w:r w:rsidRPr="005B0896">
              <w:rPr>
                <w:rFonts w:cstheme="minorBidi"/>
              </w:rPr>
              <w:t>64.10) Mediastinal location of lymph node involvement: 37 months (95%CI, 13.98</w:t>
            </w:r>
            <w:r w:rsidR="00D35E9C">
              <w:rPr>
                <w:rFonts w:cstheme="minorBidi"/>
              </w:rPr>
              <w:t>–</w:t>
            </w:r>
            <w:r w:rsidRPr="005B0896">
              <w:rPr>
                <w:rFonts w:cstheme="minorBidi"/>
              </w:rPr>
              <w:t>60.01; p&gt;0.05) Solitary pulmonary metastasis: 81 months (95%CI, 60.8</w:t>
            </w:r>
            <w:r w:rsidR="00D35E9C">
              <w:rPr>
                <w:rFonts w:cstheme="minorBidi"/>
              </w:rPr>
              <w:t>–</w:t>
            </w:r>
            <w:r w:rsidRPr="005B0896">
              <w:rPr>
                <w:rFonts w:cstheme="minorBidi"/>
              </w:rPr>
              <w:t>101.19) Multiple metastases: 55 months (95%CI, 35.14</w:t>
            </w:r>
            <w:r w:rsidR="00D35E9C">
              <w:rPr>
                <w:rFonts w:cstheme="minorBidi"/>
              </w:rPr>
              <w:t>–</w:t>
            </w:r>
            <w:r w:rsidRPr="005B0896">
              <w:rPr>
                <w:rFonts w:cstheme="minorBidi"/>
              </w:rPr>
              <w:t>74.86; p&lt;0.01) Hepatic metastases: 47 months (95%CI, 21.6</w:t>
            </w:r>
            <w:r w:rsidR="00D35E9C">
              <w:rPr>
                <w:rFonts w:cstheme="minorBidi"/>
              </w:rPr>
              <w:t>–</w:t>
            </w:r>
            <w:r w:rsidRPr="005B0896">
              <w:rPr>
                <w:rFonts w:cstheme="minorBidi"/>
              </w:rPr>
              <w:t xml:space="preserve">72.39) No hepatic metastases: 74 months (95%CI, </w:t>
            </w:r>
            <w:r w:rsidRPr="005B0896">
              <w:rPr>
                <w:rFonts w:cstheme="minorBidi"/>
              </w:rPr>
              <w:lastRenderedPageBreak/>
              <w:t>60.74</w:t>
            </w:r>
            <w:r w:rsidR="00D35E9C">
              <w:rPr>
                <w:rFonts w:cstheme="minorBidi"/>
              </w:rPr>
              <w:t>–</w:t>
            </w:r>
            <w:r w:rsidRPr="005B0896">
              <w:rPr>
                <w:rFonts w:cstheme="minorBidi"/>
              </w:rPr>
              <w:t>87.26;. p&lt;0.01)</w:t>
            </w:r>
            <w:r w:rsidRPr="005B0896">
              <w:rPr>
                <w:rFonts w:cstheme="minorBidi"/>
                <w:u w:val="single"/>
              </w:rPr>
              <w:t xml:space="preserve"> </w:t>
            </w:r>
          </w:p>
          <w:p w14:paraId="5D7503AD" w14:textId="2D6B54DB" w:rsidR="003D4A21" w:rsidRPr="005B0896" w:rsidRDefault="003D4A21" w:rsidP="009970F5">
            <w:pPr>
              <w:pStyle w:val="Tabletext1"/>
              <w:rPr>
                <w:rFonts w:cstheme="minorBidi"/>
                <w:u w:val="single"/>
              </w:rPr>
            </w:pPr>
            <w:r w:rsidRPr="005B0896">
              <w:rPr>
                <w:rFonts w:cstheme="minorBidi"/>
                <w:u w:val="single"/>
              </w:rPr>
              <w:t xml:space="preserve">Reza et al (2014): </w:t>
            </w:r>
            <w:r w:rsidRPr="005B0896">
              <w:rPr>
                <w:rFonts w:cstheme="minorBidi"/>
              </w:rPr>
              <w:t>35 months (95%CI 23</w:t>
            </w:r>
            <w:r w:rsidR="00D35E9C">
              <w:rPr>
                <w:rFonts w:cstheme="minorBidi"/>
              </w:rPr>
              <w:t>–</w:t>
            </w:r>
            <w:r w:rsidRPr="005B0896">
              <w:rPr>
                <w:rFonts w:cstheme="minorBidi"/>
              </w:rPr>
              <w:t>61</w:t>
            </w:r>
            <w:r w:rsidRPr="005B0896">
              <w:rPr>
                <w:rFonts w:cstheme="minorBidi"/>
                <w:u w:val="single"/>
              </w:rPr>
              <w:t xml:space="preserve">) </w:t>
            </w:r>
          </w:p>
          <w:p w14:paraId="6D1AF2AA" w14:textId="50AF5825" w:rsidR="003D4A21" w:rsidRPr="005B0896" w:rsidRDefault="003D4A21" w:rsidP="009970F5">
            <w:pPr>
              <w:pStyle w:val="Tabletext1"/>
              <w:rPr>
                <w:rFonts w:cstheme="minorBidi"/>
                <w:u w:val="single"/>
              </w:rPr>
            </w:pPr>
            <w:r w:rsidRPr="005B0896">
              <w:rPr>
                <w:rFonts w:cstheme="minorBidi"/>
                <w:u w:val="single"/>
              </w:rPr>
              <w:t xml:space="preserve">Kitano et al (2012): </w:t>
            </w:r>
            <w:r w:rsidRPr="005B0896">
              <w:rPr>
                <w:rFonts w:cstheme="minorBidi"/>
              </w:rPr>
              <w:t>26.5 months (range: 0.7</w:t>
            </w:r>
            <w:r w:rsidR="00D35E9C">
              <w:rPr>
                <w:rFonts w:cstheme="minorBidi"/>
              </w:rPr>
              <w:t>–</w:t>
            </w:r>
            <w:r w:rsidRPr="005B0896">
              <w:rPr>
                <w:rFonts w:cstheme="minorBidi"/>
              </w:rPr>
              <w:t>165)</w:t>
            </w:r>
          </w:p>
        </w:tc>
      </w:tr>
      <w:tr w:rsidR="003F6C66" w:rsidRPr="005B0896" w14:paraId="30B7F98B" w14:textId="77777777" w:rsidTr="003F6C66">
        <w:tc>
          <w:tcPr>
            <w:tcW w:w="1205" w:type="pct"/>
            <w:tcBorders>
              <w:top w:val="single" w:sz="4" w:space="0" w:color="auto"/>
              <w:left w:val="single" w:sz="4" w:space="0" w:color="auto"/>
              <w:bottom w:val="single" w:sz="4" w:space="0" w:color="auto"/>
              <w:right w:val="nil"/>
            </w:tcBorders>
            <w:shd w:val="clear" w:color="auto" w:fill="D9D9D9" w:themeFill="background1" w:themeFillShade="D9"/>
          </w:tcPr>
          <w:p w14:paraId="34821DF9" w14:textId="4CD9954C" w:rsidR="003F6C66" w:rsidRPr="00F208D8" w:rsidRDefault="003F6C66" w:rsidP="009970F5">
            <w:pPr>
              <w:pStyle w:val="Tabletext1"/>
              <w:rPr>
                <w:rFonts w:cstheme="minorBidi"/>
                <w:b/>
                <w:u w:val="single"/>
              </w:rPr>
            </w:pPr>
            <w:r w:rsidRPr="00CA79E5">
              <w:rPr>
                <w:rFonts w:cstheme="minorBidi"/>
                <w:b/>
              </w:rPr>
              <w:lastRenderedPageBreak/>
              <w:t>Median time to local progression</w:t>
            </w:r>
          </w:p>
        </w:tc>
        <w:tc>
          <w:tcPr>
            <w:tcW w:w="646" w:type="pct"/>
            <w:tcBorders>
              <w:top w:val="single" w:sz="4" w:space="0" w:color="auto"/>
              <w:left w:val="nil"/>
              <w:bottom w:val="single" w:sz="4" w:space="0" w:color="auto"/>
              <w:right w:val="nil"/>
            </w:tcBorders>
            <w:shd w:val="clear" w:color="auto" w:fill="D9D9D9" w:themeFill="background1" w:themeFillShade="D9"/>
          </w:tcPr>
          <w:p w14:paraId="7EC4B850" w14:textId="77777777" w:rsidR="003F6C66" w:rsidRPr="005B0896" w:rsidRDefault="003F6C66" w:rsidP="009970F5">
            <w:pPr>
              <w:pStyle w:val="Tabletext1"/>
              <w:rPr>
                <w:rFonts w:cstheme="minorBidi"/>
              </w:rPr>
            </w:pPr>
          </w:p>
        </w:tc>
        <w:tc>
          <w:tcPr>
            <w:tcW w:w="738" w:type="pct"/>
            <w:tcBorders>
              <w:top w:val="single" w:sz="4" w:space="0" w:color="auto"/>
              <w:left w:val="nil"/>
              <w:bottom w:val="single" w:sz="4" w:space="0" w:color="auto"/>
              <w:right w:val="nil"/>
            </w:tcBorders>
            <w:shd w:val="clear" w:color="auto" w:fill="D9D9D9" w:themeFill="background1" w:themeFillShade="D9"/>
          </w:tcPr>
          <w:p w14:paraId="5BDFD39D" w14:textId="77777777" w:rsidR="003F6C66" w:rsidRDefault="003F6C66" w:rsidP="009970F5">
            <w:pPr>
              <w:pStyle w:val="Tabletext1"/>
              <w:rPr>
                <w:rFonts w:ascii="Cambria Math" w:hAnsi="Cambria Math"/>
                <w:color w:val="00B050"/>
              </w:rPr>
            </w:pPr>
          </w:p>
        </w:tc>
        <w:tc>
          <w:tcPr>
            <w:tcW w:w="2411" w:type="pct"/>
            <w:tcBorders>
              <w:top w:val="single" w:sz="4" w:space="0" w:color="auto"/>
              <w:left w:val="nil"/>
              <w:bottom w:val="single" w:sz="4" w:space="0" w:color="auto"/>
              <w:right w:val="single" w:sz="4" w:space="0" w:color="auto"/>
            </w:tcBorders>
            <w:shd w:val="clear" w:color="auto" w:fill="D9D9D9" w:themeFill="background1" w:themeFillShade="D9"/>
          </w:tcPr>
          <w:p w14:paraId="34C6264C" w14:textId="77777777" w:rsidR="003F6C66" w:rsidRPr="005B0896" w:rsidRDefault="003F6C66" w:rsidP="009970F5">
            <w:pPr>
              <w:pStyle w:val="Tabletext1"/>
              <w:rPr>
                <w:rFonts w:cstheme="minorBidi"/>
                <w:u w:val="single"/>
              </w:rPr>
            </w:pPr>
          </w:p>
        </w:tc>
      </w:tr>
      <w:tr w:rsidR="003D4A21" w:rsidRPr="005B0896" w14:paraId="6BACDE9F" w14:textId="77777777" w:rsidTr="003F6C66">
        <w:tc>
          <w:tcPr>
            <w:tcW w:w="1205" w:type="pct"/>
            <w:tcBorders>
              <w:top w:val="single" w:sz="4" w:space="0" w:color="auto"/>
            </w:tcBorders>
          </w:tcPr>
          <w:p w14:paraId="5060AAB4" w14:textId="77777777" w:rsidR="003D4A21" w:rsidRPr="00F208D8" w:rsidRDefault="003D4A21" w:rsidP="009970F5">
            <w:pPr>
              <w:pStyle w:val="Tabletext1"/>
              <w:rPr>
                <w:rFonts w:cstheme="minorBidi"/>
                <w:b/>
                <w:u w:val="single"/>
              </w:rPr>
            </w:pPr>
            <w:r w:rsidRPr="00F208D8">
              <w:rPr>
                <w:rFonts w:cstheme="minorBidi"/>
                <w:b/>
                <w:u w:val="single"/>
              </w:rPr>
              <w:t>MTA</w:t>
            </w:r>
          </w:p>
          <w:p w14:paraId="27819EBF" w14:textId="77777777" w:rsidR="003D4A21" w:rsidRPr="005B0896" w:rsidRDefault="003D4A21" w:rsidP="009970F5">
            <w:pPr>
              <w:pStyle w:val="Tabletext1"/>
              <w:rPr>
                <w:rFonts w:cstheme="minorBidi"/>
              </w:rPr>
            </w:pPr>
            <w:r w:rsidRPr="005B0896">
              <w:rPr>
                <w:rFonts w:cstheme="minorBidi"/>
              </w:rPr>
              <w:t>Assessed with: Mean time in months (range)</w:t>
            </w:r>
          </w:p>
          <w:p w14:paraId="32B3D9AF" w14:textId="1C5CB35A" w:rsidR="003D4A21" w:rsidRPr="005B0896" w:rsidRDefault="00CB3BFC" w:rsidP="00CB3BFC">
            <w:pPr>
              <w:pStyle w:val="Tabletext1"/>
              <w:rPr>
                <w:rFonts w:cstheme="minorBidi"/>
              </w:rPr>
            </w:pPr>
            <w:r w:rsidRPr="008B4E16">
              <w:t>F/</w:t>
            </w:r>
            <w:r>
              <w:t>U</w:t>
            </w:r>
            <w:r w:rsidRPr="008B4E16">
              <w:t>:</w:t>
            </w:r>
            <w:r w:rsidR="003D4A21" w:rsidRPr="005B0896">
              <w:rPr>
                <w:rFonts w:cstheme="minorBidi"/>
              </w:rPr>
              <w:t xml:space="preserve"> range 9 months to 14 months</w:t>
            </w:r>
          </w:p>
        </w:tc>
        <w:tc>
          <w:tcPr>
            <w:tcW w:w="646" w:type="pct"/>
            <w:tcBorders>
              <w:top w:val="single" w:sz="4" w:space="0" w:color="auto"/>
            </w:tcBorders>
          </w:tcPr>
          <w:p w14:paraId="38B2CF50" w14:textId="77777777" w:rsidR="003D4A21" w:rsidRPr="005B0896" w:rsidRDefault="003D4A21" w:rsidP="009970F5">
            <w:pPr>
              <w:pStyle w:val="Tabletext1"/>
              <w:rPr>
                <w:rFonts w:cstheme="minorBidi"/>
              </w:rPr>
            </w:pPr>
            <w:r w:rsidRPr="005B0896">
              <w:rPr>
                <w:rFonts w:cstheme="minorBidi"/>
              </w:rPr>
              <w:t xml:space="preserve">2 </w:t>
            </w:r>
            <w:r>
              <w:rPr>
                <w:rFonts w:cstheme="minorBidi"/>
              </w:rPr>
              <w:t>Level IV studies</w:t>
            </w:r>
          </w:p>
        </w:tc>
        <w:tc>
          <w:tcPr>
            <w:tcW w:w="738" w:type="pct"/>
            <w:tcBorders>
              <w:top w:val="single" w:sz="4" w:space="0" w:color="auto"/>
            </w:tcBorders>
          </w:tcPr>
          <w:p w14:paraId="3EC80781" w14:textId="77777777" w:rsidR="003D4A21" w:rsidRPr="005B0896" w:rsidRDefault="003D4A21" w:rsidP="009970F5">
            <w:pPr>
              <w:pStyle w:val="Tabletext1"/>
              <w:rPr>
                <w:rFonts w:cstheme="minorBidi"/>
              </w:rPr>
            </w:pPr>
            <w:r>
              <w:rPr>
                <w:rFonts w:ascii="Cambria Math" w:hAnsi="Cambria Math"/>
                <w:color w:val="00B050"/>
              </w:rPr>
              <w:t>⨁</w:t>
            </w:r>
            <w:r w:rsidRPr="00D4733A">
              <w:rPr>
                <w:rFonts w:ascii="Cambria Math" w:hAnsi="Cambria Math" w:cs="Cambria Math"/>
                <w:color w:val="C00000"/>
              </w:rPr>
              <w:t>⨀⨀⨀</w:t>
            </w:r>
            <w:r w:rsidRPr="005B0896">
              <w:rPr>
                <w:rFonts w:cstheme="minorBidi"/>
                <w:sz w:val="13"/>
                <w:szCs w:val="13"/>
              </w:rPr>
              <w:br/>
            </w:r>
            <w:r w:rsidRPr="00F208D8">
              <w:rPr>
                <w:rFonts w:cstheme="minorBidi"/>
              </w:rPr>
              <w:t>VERY LOW</w:t>
            </w:r>
            <w:r w:rsidRPr="00F208D8">
              <w:rPr>
                <w:rFonts w:cstheme="minorBidi"/>
                <w:vertAlign w:val="superscript"/>
              </w:rPr>
              <w:t>1</w:t>
            </w:r>
          </w:p>
        </w:tc>
        <w:tc>
          <w:tcPr>
            <w:tcW w:w="2411" w:type="pct"/>
            <w:tcBorders>
              <w:top w:val="single" w:sz="4" w:space="0" w:color="auto"/>
            </w:tcBorders>
          </w:tcPr>
          <w:p w14:paraId="1AD4B8BB" w14:textId="22B01616" w:rsidR="003D4A21" w:rsidRPr="005B0896" w:rsidRDefault="003D4A21" w:rsidP="009970F5">
            <w:pPr>
              <w:pStyle w:val="Tabletext1"/>
              <w:rPr>
                <w:rFonts w:cstheme="minorBidi"/>
              </w:rPr>
            </w:pPr>
            <w:r w:rsidRPr="005B0896">
              <w:rPr>
                <w:rFonts w:cstheme="minorBidi"/>
                <w:u w:val="single"/>
              </w:rPr>
              <w:t xml:space="preserve">Qi et al (2015): </w:t>
            </w:r>
            <w:r w:rsidRPr="005B0896">
              <w:rPr>
                <w:rFonts w:cstheme="minorBidi"/>
              </w:rPr>
              <w:t>7.2 months (range 4</w:t>
            </w:r>
            <w:r w:rsidR="00D35E9C">
              <w:rPr>
                <w:rFonts w:cstheme="minorBidi"/>
              </w:rPr>
              <w:t>–</w:t>
            </w:r>
            <w:r w:rsidRPr="005B0896">
              <w:rPr>
                <w:rFonts w:cstheme="minorBidi"/>
              </w:rPr>
              <w:t>20)</w:t>
            </w:r>
          </w:p>
          <w:p w14:paraId="6DBFA1BE" w14:textId="7A8C051E" w:rsidR="003D4A21" w:rsidRPr="005B0896" w:rsidRDefault="003D4A21" w:rsidP="009970F5">
            <w:pPr>
              <w:pStyle w:val="Tabletext1"/>
              <w:rPr>
                <w:rFonts w:cstheme="minorBidi"/>
              </w:rPr>
            </w:pPr>
            <w:r w:rsidRPr="005B0896">
              <w:rPr>
                <w:rFonts w:cstheme="minorBidi"/>
                <w:u w:val="single"/>
              </w:rPr>
              <w:t xml:space="preserve"> Vogl et al (2015): </w:t>
            </w:r>
            <w:r w:rsidRPr="005B0896">
              <w:rPr>
                <w:rFonts w:cstheme="minorBidi"/>
              </w:rPr>
              <w:t>6 months (range: 1</w:t>
            </w:r>
            <w:r w:rsidR="00D35E9C">
              <w:rPr>
                <w:rFonts w:cstheme="minorBidi"/>
              </w:rPr>
              <w:t>–</w:t>
            </w:r>
            <w:r w:rsidRPr="005B0896">
              <w:rPr>
                <w:rFonts w:cstheme="minorBidi"/>
              </w:rPr>
              <w:t>18)</w:t>
            </w:r>
            <w:r w:rsidRPr="005B0896">
              <w:rPr>
                <w:rFonts w:cstheme="minorBidi"/>
                <w:u w:val="single"/>
              </w:rPr>
              <w:t xml:space="preserve"> </w:t>
            </w:r>
          </w:p>
        </w:tc>
      </w:tr>
      <w:tr w:rsidR="003D4A21" w:rsidRPr="005B0896" w14:paraId="6238C24A" w14:textId="77777777" w:rsidTr="003F6C66">
        <w:tc>
          <w:tcPr>
            <w:tcW w:w="1205" w:type="pct"/>
          </w:tcPr>
          <w:p w14:paraId="61E5697A" w14:textId="77777777" w:rsidR="003D4A21" w:rsidRPr="00F208D8" w:rsidRDefault="003D4A21" w:rsidP="009970F5">
            <w:pPr>
              <w:pStyle w:val="Tabletext1"/>
              <w:rPr>
                <w:rFonts w:cstheme="minorBidi"/>
                <w:b/>
                <w:u w:val="single"/>
              </w:rPr>
            </w:pPr>
            <w:r w:rsidRPr="00F208D8">
              <w:rPr>
                <w:rFonts w:cstheme="minorBidi"/>
                <w:b/>
                <w:u w:val="single"/>
              </w:rPr>
              <w:t>RFA</w:t>
            </w:r>
          </w:p>
          <w:p w14:paraId="390C66EE" w14:textId="77777777" w:rsidR="003D4A21" w:rsidRPr="005B0896" w:rsidRDefault="003D4A21" w:rsidP="009970F5">
            <w:pPr>
              <w:pStyle w:val="Tabletext1"/>
              <w:rPr>
                <w:rFonts w:cstheme="minorBidi"/>
              </w:rPr>
            </w:pPr>
            <w:r w:rsidRPr="005B0896">
              <w:rPr>
                <w:rFonts w:cstheme="minorBidi"/>
              </w:rPr>
              <w:t>Assessed with: mean (range) months/Kaplan-Meier estimate (95%CI)</w:t>
            </w:r>
          </w:p>
          <w:p w14:paraId="2BD58ABC" w14:textId="3C8B7822" w:rsidR="003D4A21" w:rsidRPr="005B0896" w:rsidRDefault="00CB3BFC" w:rsidP="00CB3BFC">
            <w:pPr>
              <w:pStyle w:val="Tabletext1"/>
              <w:rPr>
                <w:rFonts w:cstheme="minorBidi"/>
              </w:rPr>
            </w:pPr>
            <w:r w:rsidRPr="008B4E16">
              <w:t>F/</w:t>
            </w:r>
            <w:r>
              <w:t>U</w:t>
            </w:r>
            <w:r w:rsidRPr="008B4E16">
              <w:t>:</w:t>
            </w:r>
            <w:r w:rsidR="003D4A21" w:rsidRPr="005B0896">
              <w:rPr>
                <w:rFonts w:cstheme="minorBidi"/>
              </w:rPr>
              <w:t xml:space="preserve"> range 12 months to 38 months</w:t>
            </w:r>
          </w:p>
        </w:tc>
        <w:tc>
          <w:tcPr>
            <w:tcW w:w="646" w:type="pct"/>
          </w:tcPr>
          <w:p w14:paraId="3A3812B5" w14:textId="77777777" w:rsidR="003D4A21" w:rsidRPr="005B0896" w:rsidRDefault="003D4A21" w:rsidP="009970F5">
            <w:pPr>
              <w:pStyle w:val="Tabletext1"/>
              <w:rPr>
                <w:rFonts w:cstheme="minorBidi"/>
                <w:vertAlign w:val="superscript"/>
              </w:rPr>
            </w:pPr>
            <w:r w:rsidRPr="005B0896">
              <w:rPr>
                <w:rFonts w:cstheme="minorBidi"/>
              </w:rPr>
              <w:t xml:space="preserve">5 </w:t>
            </w:r>
            <w:r>
              <w:rPr>
                <w:rFonts w:cstheme="minorBidi"/>
              </w:rPr>
              <w:t>Level IV studies</w:t>
            </w:r>
          </w:p>
        </w:tc>
        <w:tc>
          <w:tcPr>
            <w:tcW w:w="738" w:type="pct"/>
          </w:tcPr>
          <w:p w14:paraId="14327D60" w14:textId="77777777" w:rsidR="003D4A21" w:rsidRPr="005B0896" w:rsidRDefault="003D4A21" w:rsidP="009970F5">
            <w:pPr>
              <w:pStyle w:val="Tabletext1"/>
              <w:rPr>
                <w:rFonts w:cstheme="minorBidi"/>
              </w:rPr>
            </w:pPr>
            <w:r>
              <w:rPr>
                <w:rFonts w:ascii="Cambria Math" w:hAnsi="Cambria Math"/>
                <w:color w:val="00B050"/>
              </w:rPr>
              <w:t>⨁</w:t>
            </w:r>
            <w:r w:rsidRPr="00D4733A">
              <w:rPr>
                <w:rFonts w:ascii="Cambria Math" w:hAnsi="Cambria Math" w:cs="Cambria Math"/>
                <w:color w:val="C00000"/>
              </w:rPr>
              <w:t>⨀⨀⨀</w:t>
            </w:r>
            <w:r w:rsidRPr="005B0896">
              <w:rPr>
                <w:rFonts w:cstheme="minorBidi"/>
              </w:rPr>
              <w:br/>
            </w:r>
            <w:r w:rsidRPr="00862683">
              <w:rPr>
                <w:rFonts w:cstheme="minorBidi"/>
              </w:rPr>
              <w:t xml:space="preserve">VERY LOW </w:t>
            </w:r>
            <w:r w:rsidRPr="00862683">
              <w:rPr>
                <w:rFonts w:cstheme="minorBidi"/>
                <w:vertAlign w:val="superscript"/>
              </w:rPr>
              <w:t>1,6</w:t>
            </w:r>
          </w:p>
        </w:tc>
        <w:tc>
          <w:tcPr>
            <w:tcW w:w="2411" w:type="pct"/>
          </w:tcPr>
          <w:p w14:paraId="70009A9F" w14:textId="5CDDFC12" w:rsidR="003D4A21" w:rsidRPr="005B0896" w:rsidRDefault="003D4A21" w:rsidP="009970F5">
            <w:pPr>
              <w:pStyle w:val="Tabletext1"/>
              <w:rPr>
                <w:rFonts w:cstheme="minorBidi"/>
              </w:rPr>
            </w:pPr>
            <w:r w:rsidRPr="005B0896">
              <w:rPr>
                <w:rFonts w:cstheme="minorBidi"/>
                <w:u w:val="single"/>
              </w:rPr>
              <w:t xml:space="preserve">Median time to local progression: </w:t>
            </w:r>
            <w:r w:rsidRPr="005B0896">
              <w:rPr>
                <w:rFonts w:cstheme="minorBidi"/>
              </w:rPr>
              <w:t>12 months (range: 8.2</w:t>
            </w:r>
            <w:r w:rsidR="00D35E9C">
              <w:rPr>
                <w:rFonts w:cstheme="minorBidi"/>
              </w:rPr>
              <w:t>–</w:t>
            </w:r>
            <w:r w:rsidRPr="005B0896">
              <w:rPr>
                <w:rFonts w:cstheme="minorBidi"/>
              </w:rPr>
              <w:t>15 months)</w:t>
            </w:r>
          </w:p>
        </w:tc>
      </w:tr>
      <w:tr w:rsidR="003D4A21" w:rsidRPr="005B0896" w14:paraId="2CDEB0AD" w14:textId="77777777" w:rsidTr="003F6C66">
        <w:tc>
          <w:tcPr>
            <w:tcW w:w="1205" w:type="pct"/>
          </w:tcPr>
          <w:p w14:paraId="36828CBD" w14:textId="77777777" w:rsidR="003D4A21" w:rsidRPr="00F208D8" w:rsidRDefault="003D4A21" w:rsidP="009970F5">
            <w:pPr>
              <w:pStyle w:val="Tabletext1"/>
              <w:rPr>
                <w:rFonts w:cstheme="minorBidi"/>
                <w:b/>
                <w:u w:val="single"/>
              </w:rPr>
            </w:pPr>
            <w:r w:rsidRPr="00F208D8">
              <w:rPr>
                <w:rFonts w:cstheme="minorBidi"/>
                <w:b/>
                <w:u w:val="single"/>
              </w:rPr>
              <w:t>Radiotherapy</w:t>
            </w:r>
          </w:p>
          <w:p w14:paraId="495E122A" w14:textId="77777777" w:rsidR="003D4A21" w:rsidRPr="005B0896" w:rsidRDefault="003D4A21" w:rsidP="009970F5">
            <w:pPr>
              <w:pStyle w:val="Tabletext1"/>
              <w:rPr>
                <w:rFonts w:cstheme="minorBidi"/>
              </w:rPr>
            </w:pPr>
            <w:r w:rsidRPr="005B0896">
              <w:rPr>
                <w:rFonts w:cstheme="minorBidi"/>
              </w:rPr>
              <w:t>Assessed with: median months until progression</w:t>
            </w:r>
          </w:p>
          <w:p w14:paraId="38EBB77D" w14:textId="000A44D4" w:rsidR="003D4A21" w:rsidRPr="005B0896" w:rsidRDefault="00CB3BFC" w:rsidP="009970F5">
            <w:pPr>
              <w:pStyle w:val="Tabletext1"/>
              <w:rPr>
                <w:rFonts w:cstheme="minorBidi"/>
              </w:rPr>
            </w:pPr>
            <w:r w:rsidRPr="008B4E16">
              <w:t>F/</w:t>
            </w:r>
            <w:r>
              <w:t>U</w:t>
            </w:r>
            <w:r w:rsidRPr="008B4E16">
              <w:t xml:space="preserve">: </w:t>
            </w:r>
            <w:r w:rsidR="003D4A21" w:rsidRPr="005B0896">
              <w:rPr>
                <w:rFonts w:cstheme="minorBidi"/>
              </w:rPr>
              <w:t>range 15 months to 24 months</w:t>
            </w:r>
          </w:p>
        </w:tc>
        <w:tc>
          <w:tcPr>
            <w:tcW w:w="646" w:type="pct"/>
          </w:tcPr>
          <w:p w14:paraId="45EB1545" w14:textId="77777777" w:rsidR="003D4A21" w:rsidRDefault="003D4A21" w:rsidP="009970F5">
            <w:pPr>
              <w:pStyle w:val="Tabletext1"/>
              <w:rPr>
                <w:rFonts w:cstheme="minorBidi"/>
              </w:rPr>
            </w:pPr>
            <w:r>
              <w:rPr>
                <w:rFonts w:cstheme="minorBidi"/>
              </w:rPr>
              <w:t>1 Level III-2 study</w:t>
            </w:r>
          </w:p>
          <w:p w14:paraId="669BD041" w14:textId="77777777" w:rsidR="003D4A21" w:rsidRPr="005B0896" w:rsidRDefault="003D4A21" w:rsidP="009970F5">
            <w:pPr>
              <w:pStyle w:val="Tabletext1"/>
              <w:rPr>
                <w:rFonts w:cstheme="minorBidi"/>
              </w:rPr>
            </w:pPr>
            <w:r>
              <w:rPr>
                <w:rFonts w:cstheme="minorBidi"/>
              </w:rPr>
              <w:t>6 Level IV studies</w:t>
            </w:r>
            <w:r w:rsidRPr="005B0896">
              <w:rPr>
                <w:rFonts w:cstheme="minorBidi"/>
                <w:vertAlign w:val="superscript"/>
              </w:rPr>
              <w:t>8</w:t>
            </w:r>
          </w:p>
        </w:tc>
        <w:tc>
          <w:tcPr>
            <w:tcW w:w="738" w:type="pct"/>
          </w:tcPr>
          <w:p w14:paraId="029145CD" w14:textId="77777777" w:rsidR="003D4A21" w:rsidRPr="005B0896" w:rsidRDefault="003D4A21" w:rsidP="009970F5">
            <w:pPr>
              <w:pStyle w:val="Tabletext1"/>
              <w:rPr>
                <w:rFonts w:ascii="Cambria Math" w:hAnsi="Cambria Math" w:cs="Cambria Math"/>
              </w:rPr>
            </w:pPr>
            <w:r>
              <w:rPr>
                <w:rFonts w:ascii="Cambria Math" w:hAnsi="Cambria Math"/>
                <w:color w:val="00B050"/>
              </w:rPr>
              <w:t>⨁</w:t>
            </w:r>
            <w:r w:rsidRPr="00D4733A">
              <w:rPr>
                <w:rFonts w:ascii="Cambria Math" w:hAnsi="Cambria Math" w:cs="Cambria Math"/>
                <w:color w:val="C00000"/>
              </w:rPr>
              <w:t>⨀⨀⨀</w:t>
            </w:r>
            <w:r w:rsidRPr="005B0896">
              <w:rPr>
                <w:rFonts w:cstheme="minorBidi"/>
              </w:rPr>
              <w:br/>
            </w:r>
            <w:r w:rsidRPr="00F208D8">
              <w:rPr>
                <w:rFonts w:cstheme="minorBidi"/>
              </w:rPr>
              <w:t xml:space="preserve">VERY LOW </w:t>
            </w:r>
            <w:r w:rsidRPr="00F208D8">
              <w:rPr>
                <w:rFonts w:cstheme="minorBidi"/>
                <w:vertAlign w:val="superscript"/>
              </w:rPr>
              <w:t>1,6</w:t>
            </w:r>
          </w:p>
        </w:tc>
        <w:tc>
          <w:tcPr>
            <w:tcW w:w="2411" w:type="pct"/>
          </w:tcPr>
          <w:p w14:paraId="1A2F8A70" w14:textId="0F7B7771" w:rsidR="003D4A21" w:rsidRPr="005B0896" w:rsidRDefault="003D4A21" w:rsidP="009970F5">
            <w:pPr>
              <w:pStyle w:val="Tabletext1"/>
              <w:rPr>
                <w:rFonts w:cstheme="minorBidi"/>
                <w:u w:val="single"/>
              </w:rPr>
            </w:pPr>
            <w:r w:rsidRPr="005B0896">
              <w:rPr>
                <w:rFonts w:cstheme="minorBidi"/>
                <w:u w:val="single"/>
              </w:rPr>
              <w:t xml:space="preserve">Median time to local progression: </w:t>
            </w:r>
            <w:r w:rsidRPr="005B0896">
              <w:rPr>
                <w:rFonts w:cstheme="minorBidi"/>
              </w:rPr>
              <w:t>10.8 months (range: 5</w:t>
            </w:r>
            <w:r w:rsidR="00D35E9C">
              <w:rPr>
                <w:rFonts w:cstheme="minorBidi"/>
              </w:rPr>
              <w:t>–</w:t>
            </w:r>
            <w:r w:rsidRPr="005B0896">
              <w:rPr>
                <w:rFonts w:cstheme="minorBidi"/>
              </w:rPr>
              <w:t>18)</w:t>
            </w:r>
          </w:p>
        </w:tc>
      </w:tr>
      <w:tr w:rsidR="003D4A21" w:rsidRPr="005B0896" w14:paraId="28D88D0E" w14:textId="77777777" w:rsidTr="003F6C66">
        <w:tc>
          <w:tcPr>
            <w:tcW w:w="1205" w:type="pct"/>
          </w:tcPr>
          <w:p w14:paraId="762C99FC" w14:textId="77777777" w:rsidR="003D4A21" w:rsidRPr="00F208D8" w:rsidRDefault="003D4A21" w:rsidP="009970F5">
            <w:pPr>
              <w:pStyle w:val="Tabletext1"/>
              <w:rPr>
                <w:rFonts w:cstheme="minorBidi"/>
                <w:b/>
                <w:u w:val="single"/>
              </w:rPr>
            </w:pPr>
            <w:r w:rsidRPr="00F208D8">
              <w:rPr>
                <w:rFonts w:cstheme="minorBidi"/>
                <w:b/>
                <w:u w:val="single"/>
              </w:rPr>
              <w:t>Surgery</w:t>
            </w:r>
          </w:p>
          <w:p w14:paraId="281C6125" w14:textId="77777777" w:rsidR="003D4A21" w:rsidRPr="005B0896" w:rsidRDefault="003D4A21" w:rsidP="009970F5">
            <w:pPr>
              <w:pStyle w:val="Tabletext1"/>
              <w:rPr>
                <w:rFonts w:cstheme="minorBidi"/>
              </w:rPr>
            </w:pPr>
            <w:r w:rsidRPr="005B0896">
              <w:rPr>
                <w:rFonts w:cstheme="minorBidi"/>
              </w:rPr>
              <w:t>Not reported</w:t>
            </w:r>
          </w:p>
        </w:tc>
        <w:tc>
          <w:tcPr>
            <w:tcW w:w="646" w:type="pct"/>
          </w:tcPr>
          <w:p w14:paraId="63C78103" w14:textId="77777777" w:rsidR="003D4A21" w:rsidRPr="005B0896" w:rsidRDefault="003D4A21" w:rsidP="009970F5">
            <w:pPr>
              <w:pStyle w:val="Tabletext1"/>
              <w:rPr>
                <w:rFonts w:cstheme="minorBidi"/>
              </w:rPr>
            </w:pPr>
            <w:r w:rsidRPr="005B0896">
              <w:rPr>
                <w:rFonts w:cstheme="minorBidi"/>
              </w:rPr>
              <w:t>0 studies</w:t>
            </w:r>
          </w:p>
        </w:tc>
        <w:tc>
          <w:tcPr>
            <w:tcW w:w="738" w:type="pct"/>
          </w:tcPr>
          <w:p w14:paraId="77AD2F3F" w14:textId="77777777" w:rsidR="003D4A21" w:rsidRPr="005B0896" w:rsidRDefault="003D4A21" w:rsidP="009970F5">
            <w:pPr>
              <w:pStyle w:val="Tabletext1"/>
              <w:rPr>
                <w:rFonts w:cstheme="minorBidi"/>
              </w:rPr>
            </w:pPr>
            <w:r w:rsidRPr="005B0896">
              <w:rPr>
                <w:rFonts w:cstheme="minorBidi"/>
              </w:rPr>
              <w:t>NA</w:t>
            </w:r>
          </w:p>
        </w:tc>
        <w:tc>
          <w:tcPr>
            <w:tcW w:w="2411" w:type="pct"/>
          </w:tcPr>
          <w:p w14:paraId="49FA77F3" w14:textId="77777777" w:rsidR="003D4A21" w:rsidRPr="005B0896" w:rsidRDefault="003D4A21" w:rsidP="009970F5">
            <w:pPr>
              <w:pStyle w:val="Tabletext1"/>
              <w:rPr>
                <w:rFonts w:cstheme="minorBidi"/>
              </w:rPr>
            </w:pPr>
            <w:r w:rsidRPr="005B0896">
              <w:rPr>
                <w:rFonts w:cstheme="minorBidi"/>
              </w:rPr>
              <w:t>NA</w:t>
            </w:r>
          </w:p>
        </w:tc>
      </w:tr>
    </w:tbl>
    <w:p w14:paraId="16A81B85" w14:textId="732EADCD" w:rsidR="003D4A21" w:rsidRPr="00730ADD" w:rsidRDefault="009970F5" w:rsidP="003D4A21">
      <w:pPr>
        <w:pStyle w:val="Tablenotes0"/>
      </w:pPr>
      <w:r>
        <w:t xml:space="preserve">&lt; </w:t>
      </w:r>
      <w:r w:rsidR="003D4A21" w:rsidRPr="00730ADD">
        <w:t xml:space="preserve">CI = confidence interval; </w:t>
      </w:r>
      <w:r w:rsidR="00CB3BFC" w:rsidRPr="007C744D">
        <w:t>F/</w:t>
      </w:r>
      <w:r w:rsidR="00CB3BFC">
        <w:t>U =</w:t>
      </w:r>
      <w:r w:rsidR="00CB3BFC" w:rsidRPr="007C744D">
        <w:t xml:space="preserve"> follow-up</w:t>
      </w:r>
      <w:r w:rsidR="00CB3BFC">
        <w:t>;</w:t>
      </w:r>
      <w:r w:rsidR="00CB3BFC" w:rsidRPr="00730ADD">
        <w:t xml:space="preserve"> </w:t>
      </w:r>
      <w:r w:rsidR="003D4A21" w:rsidRPr="00730ADD">
        <w:t>MTA = microwave tissue ablation; n/N (%) = number with event/ total (percentage); NA = not applicable; RFA = radiofrequency ablation</w:t>
      </w:r>
      <w:r>
        <w:t xml:space="preserve"> &gt;</w:t>
      </w:r>
    </w:p>
    <w:p w14:paraId="4A347117" w14:textId="1BA3D73E" w:rsidR="003D4A21" w:rsidRPr="009970F5" w:rsidRDefault="003D4A21" w:rsidP="003D4A21">
      <w:pPr>
        <w:pStyle w:val="Tablenotes0"/>
        <w:rPr>
          <w:szCs w:val="16"/>
        </w:rPr>
      </w:pPr>
      <w:r w:rsidRPr="00730ADD">
        <w:t>GRADE Working Group grades of evidence (Guyatt et al., 2013).</w:t>
      </w:r>
      <w:r w:rsidRPr="00FC1326">
        <w:rPr>
          <w:b/>
          <w:szCs w:val="18"/>
        </w:rPr>
        <w:br/>
      </w:r>
      <w:r w:rsidRPr="009970F5">
        <w:rPr>
          <w:rFonts w:ascii="Cambria Math" w:hAnsi="Cambria Math"/>
          <w:color w:val="00B050"/>
        </w:rPr>
        <w:t>⨁</w:t>
      </w:r>
      <w:r w:rsidRPr="009970F5">
        <w:rPr>
          <w:rFonts w:ascii="Cambria Math" w:hAnsi="Cambria Math" w:cs="Cambria Math"/>
          <w:color w:val="C00000"/>
        </w:rPr>
        <w:t xml:space="preserve">⨀⨀⨀ </w:t>
      </w:r>
      <w:r w:rsidRPr="009970F5">
        <w:rPr>
          <w:bCs/>
          <w:szCs w:val="18"/>
        </w:rPr>
        <w:t>Very low quality:</w:t>
      </w:r>
      <w:r w:rsidRPr="009970F5">
        <w:rPr>
          <w:szCs w:val="18"/>
        </w:rPr>
        <w:t xml:space="preserve"> We have very little confidence in the effect estimate: The true effect is likely to be substantially different from the estimate of effect</w:t>
      </w:r>
    </w:p>
    <w:p w14:paraId="58E36CE6" w14:textId="77777777" w:rsidR="003D4A21" w:rsidRPr="009970F5" w:rsidRDefault="003D4A21" w:rsidP="009970F5">
      <w:pPr>
        <w:pStyle w:val="Tablenotes0"/>
        <w:numPr>
          <w:ilvl w:val="0"/>
          <w:numId w:val="82"/>
        </w:numPr>
        <w:ind w:left="284" w:hanging="284"/>
      </w:pPr>
      <w:r w:rsidRPr="009970F5">
        <w:t>Due to inherent limitations in study design as well as quality issues.</w:t>
      </w:r>
    </w:p>
    <w:p w14:paraId="27D5A2D3" w14:textId="77777777" w:rsidR="003D4A21" w:rsidRPr="009970F5" w:rsidRDefault="003D4A21" w:rsidP="009970F5">
      <w:pPr>
        <w:pStyle w:val="Tablenotes0"/>
        <w:numPr>
          <w:ilvl w:val="0"/>
          <w:numId w:val="82"/>
        </w:numPr>
        <w:ind w:left="284" w:hanging="284"/>
      </w:pPr>
      <w:r w:rsidRPr="009970F5">
        <w:t>There were the following other study designs: Siva et al (2015) Level III-2 retrospective cohort study, Yu et al (2014) Level III-2 retrospective cohort study, Widder et al (2013) Level III-2 retrospective cohort study.</w:t>
      </w:r>
    </w:p>
    <w:p w14:paraId="49D44860" w14:textId="77777777" w:rsidR="003D4A21" w:rsidRPr="009970F5" w:rsidRDefault="003D4A21" w:rsidP="009970F5">
      <w:pPr>
        <w:pStyle w:val="Tablenotes0"/>
        <w:numPr>
          <w:ilvl w:val="0"/>
          <w:numId w:val="82"/>
        </w:numPr>
        <w:ind w:left="284" w:hanging="284"/>
      </w:pPr>
      <w:r w:rsidRPr="009970F5">
        <w:t xml:space="preserve">Studies report a large range of survival rates with many studies not providing any indication of the variance associated with point estimates. At later time points less results are available. </w:t>
      </w:r>
    </w:p>
    <w:p w14:paraId="6FE96EE7" w14:textId="77777777" w:rsidR="003D4A21" w:rsidRPr="009970F5" w:rsidRDefault="003D4A21" w:rsidP="009970F5">
      <w:pPr>
        <w:pStyle w:val="Tablenotes0"/>
        <w:numPr>
          <w:ilvl w:val="0"/>
          <w:numId w:val="82"/>
        </w:numPr>
        <w:ind w:left="284" w:hanging="284"/>
      </w:pPr>
      <w:r w:rsidRPr="009970F5">
        <w:t>There were the following other study designs: Siva et al (2015) Level III-2 retrospective cohort study, Yu et al (2014) Level III-2 retrospective cohort study.</w:t>
      </w:r>
    </w:p>
    <w:p w14:paraId="69508090" w14:textId="77777777" w:rsidR="003D4A21" w:rsidRPr="009970F5" w:rsidRDefault="003D4A21" w:rsidP="009970F5">
      <w:pPr>
        <w:pStyle w:val="Tablenotes0"/>
        <w:numPr>
          <w:ilvl w:val="0"/>
          <w:numId w:val="82"/>
        </w:numPr>
        <w:ind w:left="284" w:hanging="284"/>
      </w:pPr>
      <w:r w:rsidRPr="009970F5">
        <w:t>Studies included investigated a range of prognostic factors and different studies reported on patients with different primary cancers. This is likely to have affected the overall survival time of included patients.</w:t>
      </w:r>
    </w:p>
    <w:p w14:paraId="5060FCB0" w14:textId="77777777" w:rsidR="003D4A21" w:rsidRPr="009970F5" w:rsidRDefault="003D4A21" w:rsidP="009970F5">
      <w:pPr>
        <w:pStyle w:val="Tablenotes0"/>
        <w:numPr>
          <w:ilvl w:val="0"/>
          <w:numId w:val="82"/>
        </w:numPr>
        <w:ind w:left="284" w:hanging="284"/>
      </w:pPr>
      <w:r w:rsidRPr="009970F5">
        <w:t>Studies report a range of time to progression estimates and it is not clear whether they were measured in a consistent manner.</w:t>
      </w:r>
    </w:p>
    <w:p w14:paraId="3F6D81DD" w14:textId="77777777" w:rsidR="003F5DB1" w:rsidRDefault="003F5DB1" w:rsidP="00306FD5">
      <w:pPr>
        <w:spacing w:before="500"/>
        <w:rPr>
          <w:b/>
          <w:i/>
        </w:rPr>
      </w:pPr>
    </w:p>
    <w:p w14:paraId="3DA08930" w14:textId="77777777" w:rsidR="00E259FD" w:rsidRPr="00306FD5" w:rsidRDefault="00F503D6" w:rsidP="00306FD5">
      <w:pPr>
        <w:spacing w:before="500"/>
        <w:rPr>
          <w:b/>
          <w:i/>
        </w:rPr>
      </w:pPr>
      <w:r w:rsidRPr="00306FD5">
        <w:rPr>
          <w:b/>
          <w:i/>
        </w:rPr>
        <w:t>Population three</w:t>
      </w:r>
    </w:p>
    <w:p w14:paraId="52BBC410" w14:textId="14F99F14" w:rsidR="00F503D6" w:rsidRDefault="007B2F57" w:rsidP="00AC55B0">
      <w:r w:rsidRPr="001033C4">
        <w:t>Based on</w:t>
      </w:r>
      <w:r w:rsidR="001033C4" w:rsidRPr="001033C4">
        <w:t xml:space="preserve"> the evidence profile (</w:t>
      </w:r>
      <w:r w:rsidR="00590652">
        <w:rPr>
          <w:highlight w:val="cyan"/>
        </w:rPr>
        <w:fldChar w:fldCharType="begin"/>
      </w:r>
      <w:r w:rsidR="00590652">
        <w:instrText xml:space="preserve"> REF _Ref457488041 \h </w:instrText>
      </w:r>
      <w:r w:rsidR="00590652">
        <w:rPr>
          <w:highlight w:val="cyan"/>
        </w:rPr>
      </w:r>
      <w:r w:rsidR="00590652">
        <w:rPr>
          <w:highlight w:val="cyan"/>
        </w:rPr>
        <w:fldChar w:fldCharType="separate"/>
      </w:r>
      <w:r w:rsidR="00D170A5">
        <w:t xml:space="preserve">Table </w:t>
      </w:r>
      <w:r w:rsidR="00D170A5">
        <w:rPr>
          <w:noProof/>
        </w:rPr>
        <w:t>60</w:t>
      </w:r>
      <w:r w:rsidR="00590652">
        <w:rPr>
          <w:highlight w:val="cyan"/>
        </w:rPr>
        <w:fldChar w:fldCharType="end"/>
      </w:r>
      <w:r w:rsidR="00FF6A6F">
        <w:t xml:space="preserve"> and</w:t>
      </w:r>
      <w:r w:rsidR="00352D62">
        <w:t xml:space="preserve"> </w:t>
      </w:r>
      <w:r w:rsidR="00352D62">
        <w:fldChar w:fldCharType="begin"/>
      </w:r>
      <w:r w:rsidR="00352D62">
        <w:instrText xml:space="preserve"> REF _Ref460406337 \h </w:instrText>
      </w:r>
      <w:r w:rsidR="00352D62">
        <w:fldChar w:fldCharType="separate"/>
      </w:r>
      <w:r w:rsidR="00D170A5">
        <w:t xml:space="preserve">Table </w:t>
      </w:r>
      <w:r w:rsidR="00D170A5">
        <w:rPr>
          <w:noProof/>
        </w:rPr>
        <w:t>61</w:t>
      </w:r>
      <w:r w:rsidR="00352D62">
        <w:fldChar w:fldCharType="end"/>
      </w:r>
      <w:r w:rsidR="001033C4" w:rsidRPr="001033C4">
        <w:t>), it is sugg</w:t>
      </w:r>
      <w:r w:rsidR="001033C4">
        <w:t>ested that</w:t>
      </w:r>
      <w:r w:rsidR="00E76D3B">
        <w:t xml:space="preserve"> </w:t>
      </w:r>
      <w:r w:rsidR="001033C4" w:rsidRPr="001033C4">
        <w:t>the intervention has uncertain safety and uncertain effectiveness</w:t>
      </w:r>
      <w:r w:rsidR="001033C4">
        <w:t xml:space="preserve">. </w:t>
      </w:r>
      <w:r w:rsidR="00F503D6">
        <w:t>For patients treated with palliative intent the main outcomes of interest relate to symptom control and quality of life</w:t>
      </w:r>
      <w:r w:rsidR="00E76D3B">
        <w:t>. N</w:t>
      </w:r>
      <w:r w:rsidR="00F503D6">
        <w:t>o data on these outcomes was reported by the literature on ablation. Three studies of MTA in this population were identified</w:t>
      </w:r>
      <w:r w:rsidR="00E76D3B">
        <w:t>,</w:t>
      </w:r>
      <w:r w:rsidR="00F503D6">
        <w:t xml:space="preserve"> of which two were non-randomised comparative trials. These studies found a benefit in terms of survival for patients who received MTA in combination with chemotherapy over those receiving either therapy alone. </w:t>
      </w:r>
      <w:r w:rsidR="00F4284B">
        <w:t>However</w:t>
      </w:r>
      <w:r w:rsidR="00F503D6">
        <w:t xml:space="preserve">, the magnitude of this benefit (in terms of months gained) could not be calculated. These studies indicate that MTA could be an additional option for patients who are being treated with a palliative intent; however, the impact of MTA on symptoms and quality of life in this population is uncertain. </w:t>
      </w:r>
      <w:r w:rsidR="001033C4">
        <w:t>Clinical advice has indicated that patients are not currently treated with MTA for this indication</w:t>
      </w:r>
      <w:r w:rsidR="00F4284B">
        <w:t xml:space="preserve"> in Australia</w:t>
      </w:r>
      <w:r w:rsidR="006A18A8">
        <w:t>,</w:t>
      </w:r>
      <w:r w:rsidR="001033C4">
        <w:t xml:space="preserve"> as they would more often receive systemic therapies. </w:t>
      </w:r>
    </w:p>
    <w:p w14:paraId="2B74ACFB" w14:textId="77777777" w:rsidR="005A4A11" w:rsidRDefault="005A4A11" w:rsidP="007B7A71">
      <w:pPr>
        <w:pStyle w:val="Caption"/>
        <w:keepNext/>
        <w:ind w:left="1134" w:hanging="1134"/>
      </w:pPr>
      <w:bookmarkStart w:id="357" w:name="_Ref457488041"/>
      <w:bookmarkStart w:id="358" w:name="_Toc460514718"/>
      <w:r>
        <w:t xml:space="preserve">Table </w:t>
      </w:r>
      <w:fldSimple w:instr=" SEQ Table \* ARABIC ">
        <w:r w:rsidR="00D170A5">
          <w:rPr>
            <w:noProof/>
          </w:rPr>
          <w:t>60</w:t>
        </w:r>
      </w:fldSimple>
      <w:bookmarkEnd w:id="357"/>
      <w:r>
        <w:tab/>
      </w:r>
      <w:r w:rsidRPr="005A4A11">
        <w:t xml:space="preserve">Balance of clinical benefits of MTA, relative to its comparators, and as measured by the patient-relevant outcomes in the key studies for population </w:t>
      </w:r>
      <w:r>
        <w:t>three</w:t>
      </w:r>
      <w:bookmarkEnd w:id="358"/>
    </w:p>
    <w:tbl>
      <w:tblPr>
        <w:tblStyle w:val="TableGrid"/>
        <w:tblW w:w="0" w:type="auto"/>
        <w:tblLook w:val="04A0" w:firstRow="1" w:lastRow="0" w:firstColumn="1" w:lastColumn="0" w:noHBand="0" w:noVBand="1"/>
        <w:tblCaption w:val="Balance of clinical benefits of MTA, relative to its comparators, and as measured by the patient-relevant outcomes in the key studies for population three"/>
      </w:tblPr>
      <w:tblGrid>
        <w:gridCol w:w="2634"/>
        <w:gridCol w:w="2057"/>
        <w:gridCol w:w="2088"/>
        <w:gridCol w:w="2463"/>
      </w:tblGrid>
      <w:tr w:rsidR="003C7D06" w14:paraId="00AF1BDF" w14:textId="77777777" w:rsidTr="00CA79E5">
        <w:trPr>
          <w:tblHeader/>
        </w:trPr>
        <w:tc>
          <w:tcPr>
            <w:tcW w:w="2634" w:type="dxa"/>
            <w:tcBorders>
              <w:bottom w:val="single" w:sz="4" w:space="0" w:color="auto"/>
            </w:tcBorders>
            <w:shd w:val="clear" w:color="auto" w:fill="D9D9D9" w:themeFill="background1" w:themeFillShade="D9"/>
          </w:tcPr>
          <w:p w14:paraId="361CE649" w14:textId="77777777" w:rsidR="003C7D06" w:rsidRPr="008271DD" w:rsidRDefault="003C7D06" w:rsidP="005D2B1A">
            <w:pPr>
              <w:pStyle w:val="Tabletext1"/>
              <w:ind w:left="0"/>
              <w:rPr>
                <w:b/>
              </w:rPr>
            </w:pPr>
            <w:r w:rsidRPr="008271DD">
              <w:rPr>
                <w:b/>
              </w:rPr>
              <w:t>Outcome and intervention/comparator</w:t>
            </w:r>
          </w:p>
        </w:tc>
        <w:tc>
          <w:tcPr>
            <w:tcW w:w="2057" w:type="dxa"/>
            <w:tcBorders>
              <w:bottom w:val="single" w:sz="4" w:space="0" w:color="auto"/>
            </w:tcBorders>
            <w:shd w:val="clear" w:color="auto" w:fill="D9D9D9" w:themeFill="background1" w:themeFillShade="D9"/>
          </w:tcPr>
          <w:p w14:paraId="0DBB54D7" w14:textId="77777777" w:rsidR="003C7D06" w:rsidRPr="008271DD" w:rsidRDefault="003C7D06" w:rsidP="005D2B1A">
            <w:pPr>
              <w:pStyle w:val="Tabletext1"/>
              <w:ind w:left="0"/>
              <w:rPr>
                <w:b/>
              </w:rPr>
            </w:pPr>
            <w:r w:rsidRPr="008271DD">
              <w:rPr>
                <w:rFonts w:eastAsiaTheme="minorEastAsia"/>
                <w:b/>
              </w:rPr>
              <w:t>№ of Studies and level of evidence</w:t>
            </w:r>
          </w:p>
        </w:tc>
        <w:tc>
          <w:tcPr>
            <w:tcW w:w="2088" w:type="dxa"/>
            <w:tcBorders>
              <w:bottom w:val="single" w:sz="4" w:space="0" w:color="auto"/>
            </w:tcBorders>
            <w:shd w:val="clear" w:color="auto" w:fill="D9D9D9" w:themeFill="background1" w:themeFillShade="D9"/>
          </w:tcPr>
          <w:p w14:paraId="66B2792C" w14:textId="77777777" w:rsidR="003C7D06" w:rsidRPr="008271DD" w:rsidRDefault="003C7D06" w:rsidP="005D2B1A">
            <w:pPr>
              <w:pStyle w:val="Tabletext1"/>
              <w:ind w:left="0"/>
              <w:rPr>
                <w:b/>
              </w:rPr>
            </w:pPr>
            <w:r w:rsidRPr="008271DD">
              <w:rPr>
                <w:b/>
              </w:rPr>
              <w:t>Quality of the evidence</w:t>
            </w:r>
            <w:r w:rsidRPr="008271DD">
              <w:rPr>
                <w:b/>
              </w:rPr>
              <w:br/>
              <w:t>(GRADE)</w:t>
            </w:r>
          </w:p>
        </w:tc>
        <w:tc>
          <w:tcPr>
            <w:tcW w:w="2463" w:type="dxa"/>
            <w:tcBorders>
              <w:bottom w:val="single" w:sz="4" w:space="0" w:color="auto"/>
            </w:tcBorders>
            <w:shd w:val="clear" w:color="auto" w:fill="D9D9D9" w:themeFill="background1" w:themeFillShade="D9"/>
          </w:tcPr>
          <w:p w14:paraId="67DF683F" w14:textId="77777777" w:rsidR="003C7D06" w:rsidRPr="008271DD" w:rsidRDefault="003C7D06" w:rsidP="005D2B1A">
            <w:pPr>
              <w:pStyle w:val="Tabletext1"/>
              <w:ind w:left="0"/>
              <w:rPr>
                <w:rFonts w:cstheme="minorBidi"/>
                <w:b/>
              </w:rPr>
            </w:pPr>
            <w:r w:rsidRPr="008271DD">
              <w:rPr>
                <w:rFonts w:cstheme="minorBidi"/>
                <w:b/>
              </w:rPr>
              <w:t>Summary</w:t>
            </w:r>
          </w:p>
        </w:tc>
      </w:tr>
      <w:tr w:rsidR="00CA79E5" w14:paraId="3DFC59CD" w14:textId="77777777" w:rsidTr="00CA79E5">
        <w:tc>
          <w:tcPr>
            <w:tcW w:w="2634" w:type="dxa"/>
            <w:tcBorders>
              <w:top w:val="single" w:sz="4" w:space="0" w:color="auto"/>
              <w:bottom w:val="single" w:sz="4" w:space="0" w:color="auto"/>
              <w:right w:val="nil"/>
            </w:tcBorders>
            <w:shd w:val="clear" w:color="auto" w:fill="D9D9D9" w:themeFill="background1" w:themeFillShade="D9"/>
          </w:tcPr>
          <w:p w14:paraId="648CDB0D" w14:textId="22A2F15D" w:rsidR="00CA79E5" w:rsidRPr="005D2B1A" w:rsidRDefault="00CA79E5" w:rsidP="00CA79E5">
            <w:pPr>
              <w:pStyle w:val="Tabletext1"/>
              <w:ind w:left="0"/>
              <w:rPr>
                <w:rFonts w:cstheme="minorBidi"/>
                <w:b/>
                <w:u w:val="single"/>
              </w:rPr>
            </w:pPr>
            <w:r w:rsidRPr="008271DD">
              <w:rPr>
                <w:rFonts w:eastAsiaTheme="minorHAnsi" w:cstheme="minorBidi"/>
                <w:b/>
                <w:lang w:eastAsia="en-US"/>
              </w:rPr>
              <w:t>1 year survival (Sun et al 2015)</w:t>
            </w:r>
          </w:p>
        </w:tc>
        <w:tc>
          <w:tcPr>
            <w:tcW w:w="2057" w:type="dxa"/>
            <w:tcBorders>
              <w:top w:val="single" w:sz="4" w:space="0" w:color="auto"/>
              <w:left w:val="nil"/>
              <w:bottom w:val="single" w:sz="4" w:space="0" w:color="auto"/>
              <w:right w:val="nil"/>
            </w:tcBorders>
            <w:shd w:val="clear" w:color="auto" w:fill="D9D9D9" w:themeFill="background1" w:themeFillShade="D9"/>
          </w:tcPr>
          <w:p w14:paraId="0ABC6EE6" w14:textId="77777777" w:rsidR="00CA79E5" w:rsidRPr="005A4A11" w:rsidRDefault="00CA79E5" w:rsidP="005D2B1A">
            <w:pPr>
              <w:pStyle w:val="Tabletext1"/>
              <w:rPr>
                <w:rFonts w:cstheme="minorBidi"/>
              </w:rPr>
            </w:pPr>
          </w:p>
        </w:tc>
        <w:tc>
          <w:tcPr>
            <w:tcW w:w="2088" w:type="dxa"/>
            <w:tcBorders>
              <w:top w:val="single" w:sz="4" w:space="0" w:color="auto"/>
              <w:left w:val="nil"/>
              <w:bottom w:val="single" w:sz="4" w:space="0" w:color="auto"/>
              <w:right w:val="nil"/>
            </w:tcBorders>
            <w:shd w:val="clear" w:color="auto" w:fill="D9D9D9" w:themeFill="background1" w:themeFillShade="D9"/>
          </w:tcPr>
          <w:p w14:paraId="79F7139D" w14:textId="77777777" w:rsidR="00CA79E5" w:rsidRPr="008271DD" w:rsidRDefault="00CA79E5" w:rsidP="005D2B1A">
            <w:pPr>
              <w:pStyle w:val="Tabletext1"/>
              <w:rPr>
                <w:rFonts w:ascii="Cambria Math" w:hAnsi="Cambria Math"/>
                <w:color w:val="00B050"/>
              </w:rPr>
            </w:pPr>
          </w:p>
        </w:tc>
        <w:tc>
          <w:tcPr>
            <w:tcW w:w="2463" w:type="dxa"/>
            <w:tcBorders>
              <w:top w:val="single" w:sz="4" w:space="0" w:color="auto"/>
              <w:left w:val="nil"/>
              <w:bottom w:val="single" w:sz="4" w:space="0" w:color="auto"/>
            </w:tcBorders>
            <w:shd w:val="clear" w:color="auto" w:fill="D9D9D9" w:themeFill="background1" w:themeFillShade="D9"/>
          </w:tcPr>
          <w:p w14:paraId="16B878BB" w14:textId="77777777" w:rsidR="00CA79E5" w:rsidRPr="005A4A11" w:rsidRDefault="00CA79E5" w:rsidP="005D2B1A">
            <w:pPr>
              <w:pStyle w:val="Tabletext1"/>
              <w:rPr>
                <w:rFonts w:cstheme="minorBidi"/>
                <w:u w:val="single"/>
              </w:rPr>
            </w:pPr>
          </w:p>
        </w:tc>
      </w:tr>
      <w:tr w:rsidR="003C7D06" w14:paraId="51EFED39" w14:textId="77777777" w:rsidTr="00CA79E5">
        <w:tc>
          <w:tcPr>
            <w:tcW w:w="2634" w:type="dxa"/>
            <w:tcBorders>
              <w:top w:val="single" w:sz="4" w:space="0" w:color="auto"/>
              <w:bottom w:val="single" w:sz="4" w:space="0" w:color="auto"/>
            </w:tcBorders>
          </w:tcPr>
          <w:p w14:paraId="0ECC044F" w14:textId="77777777" w:rsidR="005D2B1A" w:rsidRPr="005D2B1A" w:rsidRDefault="003C7D06" w:rsidP="005D2B1A">
            <w:pPr>
              <w:pStyle w:val="Tabletext1"/>
              <w:ind w:left="0"/>
              <w:rPr>
                <w:rFonts w:cstheme="minorBidi"/>
                <w:b/>
                <w:u w:val="single"/>
              </w:rPr>
            </w:pPr>
            <w:r w:rsidRPr="005D2B1A">
              <w:rPr>
                <w:rFonts w:cstheme="minorBidi"/>
                <w:b/>
                <w:u w:val="single"/>
              </w:rPr>
              <w:t xml:space="preserve">MTA alone versus MTA + chemotherapy </w:t>
            </w:r>
          </w:p>
          <w:p w14:paraId="59E62D6F" w14:textId="43CE024C" w:rsidR="003C7D06" w:rsidRPr="005A4A11" w:rsidRDefault="003C7D06" w:rsidP="005D2B1A">
            <w:pPr>
              <w:pStyle w:val="Tabletext1"/>
              <w:ind w:left="0"/>
              <w:rPr>
                <w:rFonts w:cstheme="minorBidi"/>
              </w:rPr>
            </w:pPr>
            <w:r w:rsidRPr="005A4A11">
              <w:rPr>
                <w:rFonts w:cstheme="minorBidi"/>
              </w:rPr>
              <w:t>Assessed with: n/N (%) at 1 and 2 years</w:t>
            </w:r>
          </w:p>
          <w:p w14:paraId="6E69DDC7" w14:textId="275DF91B" w:rsidR="003C7D06" w:rsidRPr="005A4A11" w:rsidRDefault="00CB3BFC" w:rsidP="005D2B1A">
            <w:pPr>
              <w:pStyle w:val="Tabletext1"/>
              <w:ind w:left="0"/>
              <w:rPr>
                <w:rFonts w:cstheme="minorBidi"/>
              </w:rPr>
            </w:pPr>
            <w:r w:rsidRPr="008B4E16">
              <w:t>F/</w:t>
            </w:r>
            <w:r>
              <w:t>U</w:t>
            </w:r>
            <w:r w:rsidRPr="008B4E16">
              <w:t xml:space="preserve">: </w:t>
            </w:r>
            <w:r w:rsidR="003C7D06" w:rsidRPr="005A4A11">
              <w:rPr>
                <w:rFonts w:cstheme="minorBidi"/>
              </w:rPr>
              <w:t>range 6 months to 35 months</w:t>
            </w:r>
          </w:p>
        </w:tc>
        <w:tc>
          <w:tcPr>
            <w:tcW w:w="2057" w:type="dxa"/>
            <w:tcBorders>
              <w:top w:val="single" w:sz="4" w:space="0" w:color="auto"/>
              <w:bottom w:val="single" w:sz="4" w:space="0" w:color="auto"/>
            </w:tcBorders>
          </w:tcPr>
          <w:p w14:paraId="6E6E0F0E" w14:textId="77777777" w:rsidR="003C7D06" w:rsidRPr="005A4A11" w:rsidRDefault="003C7D06" w:rsidP="005D2B1A">
            <w:pPr>
              <w:pStyle w:val="Tabletext1"/>
              <w:ind w:left="0"/>
              <w:rPr>
                <w:rFonts w:cstheme="minorBidi"/>
              </w:rPr>
            </w:pPr>
            <w:r w:rsidRPr="005A4A11">
              <w:rPr>
                <w:rFonts w:cstheme="minorBidi"/>
              </w:rPr>
              <w:t xml:space="preserve">1 </w:t>
            </w:r>
            <w:r>
              <w:rPr>
                <w:rFonts w:cstheme="minorBidi"/>
              </w:rPr>
              <w:t xml:space="preserve">Level III-2 study </w:t>
            </w:r>
          </w:p>
        </w:tc>
        <w:tc>
          <w:tcPr>
            <w:tcW w:w="2088" w:type="dxa"/>
            <w:tcBorders>
              <w:top w:val="single" w:sz="4" w:space="0" w:color="auto"/>
              <w:bottom w:val="single" w:sz="4" w:space="0" w:color="auto"/>
            </w:tcBorders>
          </w:tcPr>
          <w:p w14:paraId="0F447E5B" w14:textId="622AD80C" w:rsidR="003C7D06" w:rsidRPr="008271DD" w:rsidRDefault="003C7D06" w:rsidP="005D2B1A">
            <w:pPr>
              <w:pStyle w:val="Tabletext1"/>
              <w:ind w:left="0"/>
              <w:rPr>
                <w:rFonts w:cstheme="minorBidi"/>
              </w:rPr>
            </w:pPr>
            <w:r w:rsidRPr="008271DD">
              <w:rPr>
                <w:rFonts w:ascii="Cambria Math" w:hAnsi="Cambria Math"/>
                <w:color w:val="00B050"/>
              </w:rPr>
              <w:t>⨁</w:t>
            </w:r>
            <w:r w:rsidRPr="008271DD">
              <w:rPr>
                <w:rFonts w:ascii="Cambria Math" w:hAnsi="Cambria Math" w:cs="Cambria Math"/>
                <w:color w:val="C00000"/>
              </w:rPr>
              <w:t>⨀⨀⨀</w:t>
            </w:r>
            <w:r w:rsidRPr="008271DD">
              <w:rPr>
                <w:rFonts w:cstheme="minorBidi"/>
              </w:rPr>
              <w:br/>
              <w:t>VERY LOW</w:t>
            </w:r>
            <w:r w:rsidR="00953585">
              <w:rPr>
                <w:rFonts w:cstheme="minorBidi"/>
              </w:rPr>
              <w:t xml:space="preserve"> </w:t>
            </w:r>
            <w:r w:rsidRPr="008271DD">
              <w:rPr>
                <w:rFonts w:cstheme="minorBidi"/>
                <w:vertAlign w:val="superscript"/>
              </w:rPr>
              <w:t>1,2</w:t>
            </w:r>
          </w:p>
        </w:tc>
        <w:tc>
          <w:tcPr>
            <w:tcW w:w="2463" w:type="dxa"/>
            <w:tcBorders>
              <w:top w:val="single" w:sz="4" w:space="0" w:color="auto"/>
              <w:bottom w:val="single" w:sz="4" w:space="0" w:color="auto"/>
            </w:tcBorders>
          </w:tcPr>
          <w:p w14:paraId="51B01CAF" w14:textId="77777777" w:rsidR="003C7D06" w:rsidRPr="005A4A11" w:rsidRDefault="003C7D06" w:rsidP="005D2B1A">
            <w:pPr>
              <w:pStyle w:val="Tabletext1"/>
              <w:ind w:left="0"/>
              <w:rPr>
                <w:rFonts w:cstheme="minorBidi"/>
              </w:rPr>
            </w:pPr>
            <w:r w:rsidRPr="005A4A11">
              <w:rPr>
                <w:rFonts w:cstheme="minorBidi"/>
                <w:u w:val="single"/>
              </w:rPr>
              <w:t xml:space="preserve">MTA alone: </w:t>
            </w:r>
            <w:r w:rsidRPr="005A4A11">
              <w:rPr>
                <w:rFonts w:cstheme="minorBidi"/>
              </w:rPr>
              <w:t>9/18 (50%)</w:t>
            </w:r>
          </w:p>
          <w:p w14:paraId="6C49452E" w14:textId="77777777" w:rsidR="003C7D06" w:rsidRPr="005A4A11" w:rsidRDefault="003C7D06" w:rsidP="005D2B1A">
            <w:pPr>
              <w:pStyle w:val="Tabletext1"/>
              <w:ind w:left="0"/>
              <w:rPr>
                <w:rFonts w:cstheme="minorBidi"/>
              </w:rPr>
            </w:pPr>
            <w:r w:rsidRPr="005A4A11">
              <w:rPr>
                <w:rFonts w:cstheme="minorBidi"/>
                <w:u w:val="single"/>
              </w:rPr>
              <w:t>MTA and chemotherapy</w:t>
            </w:r>
            <w:r w:rsidRPr="005A4A11">
              <w:rPr>
                <w:rFonts w:cstheme="minorBidi"/>
              </w:rPr>
              <w:t>: 17/22 (77.3%)</w:t>
            </w:r>
          </w:p>
        </w:tc>
      </w:tr>
      <w:tr w:rsidR="00CA79E5" w14:paraId="37D03A2C" w14:textId="77777777" w:rsidTr="00CA79E5">
        <w:tc>
          <w:tcPr>
            <w:tcW w:w="2634" w:type="dxa"/>
            <w:tcBorders>
              <w:top w:val="single" w:sz="4" w:space="0" w:color="auto"/>
              <w:bottom w:val="single" w:sz="4" w:space="0" w:color="auto"/>
              <w:right w:val="nil"/>
            </w:tcBorders>
            <w:shd w:val="clear" w:color="auto" w:fill="D9D9D9" w:themeFill="background1" w:themeFillShade="D9"/>
          </w:tcPr>
          <w:p w14:paraId="7B9018D0" w14:textId="13532D09" w:rsidR="00CA79E5" w:rsidRPr="005D2B1A" w:rsidRDefault="00CA79E5" w:rsidP="00CA79E5">
            <w:pPr>
              <w:pStyle w:val="Tabletext1"/>
              <w:ind w:left="0"/>
              <w:rPr>
                <w:rFonts w:cstheme="minorBidi"/>
                <w:b/>
                <w:u w:val="single"/>
              </w:rPr>
            </w:pPr>
            <w:r w:rsidRPr="008271DD">
              <w:rPr>
                <w:rFonts w:cstheme="minorBidi"/>
                <w:b/>
              </w:rPr>
              <w:t>2-year survival (Sun et al 2015)</w:t>
            </w:r>
          </w:p>
        </w:tc>
        <w:tc>
          <w:tcPr>
            <w:tcW w:w="2057" w:type="dxa"/>
            <w:tcBorders>
              <w:top w:val="single" w:sz="4" w:space="0" w:color="auto"/>
              <w:left w:val="nil"/>
              <w:bottom w:val="single" w:sz="4" w:space="0" w:color="auto"/>
              <w:right w:val="nil"/>
            </w:tcBorders>
            <w:shd w:val="clear" w:color="auto" w:fill="D9D9D9" w:themeFill="background1" w:themeFillShade="D9"/>
          </w:tcPr>
          <w:p w14:paraId="6214E231" w14:textId="77777777" w:rsidR="00CA79E5" w:rsidRPr="005A4A11" w:rsidRDefault="00CA79E5" w:rsidP="008271DD">
            <w:pPr>
              <w:pStyle w:val="Tabletext1"/>
              <w:rPr>
                <w:rFonts w:cstheme="minorBidi"/>
              </w:rPr>
            </w:pPr>
          </w:p>
        </w:tc>
        <w:tc>
          <w:tcPr>
            <w:tcW w:w="2088" w:type="dxa"/>
            <w:tcBorders>
              <w:top w:val="single" w:sz="4" w:space="0" w:color="auto"/>
              <w:left w:val="nil"/>
              <w:bottom w:val="single" w:sz="4" w:space="0" w:color="auto"/>
              <w:right w:val="nil"/>
            </w:tcBorders>
            <w:shd w:val="clear" w:color="auto" w:fill="D9D9D9" w:themeFill="background1" w:themeFillShade="D9"/>
          </w:tcPr>
          <w:p w14:paraId="56364A97" w14:textId="77777777" w:rsidR="00CA79E5" w:rsidRPr="008271DD" w:rsidRDefault="00CA79E5" w:rsidP="008271DD">
            <w:pPr>
              <w:pStyle w:val="Tabletext1"/>
              <w:rPr>
                <w:rFonts w:ascii="Cambria Math" w:hAnsi="Cambria Math"/>
                <w:color w:val="00B050"/>
              </w:rPr>
            </w:pPr>
          </w:p>
        </w:tc>
        <w:tc>
          <w:tcPr>
            <w:tcW w:w="2463" w:type="dxa"/>
            <w:tcBorders>
              <w:top w:val="single" w:sz="4" w:space="0" w:color="auto"/>
              <w:left w:val="nil"/>
              <w:bottom w:val="single" w:sz="4" w:space="0" w:color="auto"/>
            </w:tcBorders>
            <w:shd w:val="clear" w:color="auto" w:fill="D9D9D9" w:themeFill="background1" w:themeFillShade="D9"/>
          </w:tcPr>
          <w:p w14:paraId="7BD8660F" w14:textId="77777777" w:rsidR="00CA79E5" w:rsidRPr="005A4A11" w:rsidRDefault="00CA79E5" w:rsidP="008F78FC">
            <w:pPr>
              <w:pStyle w:val="Tabletext1"/>
              <w:rPr>
                <w:rFonts w:cstheme="minorBidi"/>
                <w:u w:val="single"/>
              </w:rPr>
            </w:pPr>
          </w:p>
        </w:tc>
      </w:tr>
      <w:tr w:rsidR="003C7D06" w14:paraId="2109C5A2" w14:textId="77777777" w:rsidTr="003F6C66">
        <w:tc>
          <w:tcPr>
            <w:tcW w:w="2634" w:type="dxa"/>
            <w:tcBorders>
              <w:top w:val="single" w:sz="4" w:space="0" w:color="auto"/>
              <w:bottom w:val="single" w:sz="4" w:space="0" w:color="auto"/>
            </w:tcBorders>
          </w:tcPr>
          <w:p w14:paraId="513AEEE8" w14:textId="77777777" w:rsidR="005D2B1A" w:rsidRPr="005D2B1A" w:rsidRDefault="003C7D06" w:rsidP="005D2B1A">
            <w:pPr>
              <w:pStyle w:val="Tabletext1"/>
              <w:ind w:left="0"/>
              <w:rPr>
                <w:rFonts w:cstheme="minorBidi"/>
                <w:b/>
                <w:u w:val="single"/>
              </w:rPr>
            </w:pPr>
            <w:r w:rsidRPr="005D2B1A">
              <w:rPr>
                <w:rFonts w:cstheme="minorBidi"/>
                <w:b/>
                <w:u w:val="single"/>
              </w:rPr>
              <w:t>MTA alone versus MTA + chemotherapy</w:t>
            </w:r>
          </w:p>
          <w:p w14:paraId="7F8BEBB0" w14:textId="684295A1" w:rsidR="003C7D06" w:rsidRPr="005A4A11" w:rsidRDefault="003C7D06" w:rsidP="005D2B1A">
            <w:pPr>
              <w:pStyle w:val="Tabletext1"/>
              <w:ind w:left="0"/>
              <w:rPr>
                <w:rFonts w:cstheme="minorBidi"/>
              </w:rPr>
            </w:pPr>
            <w:r w:rsidRPr="005A4A11">
              <w:rPr>
                <w:rFonts w:cstheme="minorBidi"/>
              </w:rPr>
              <w:t>Assessed with: n/N (%) at 1 and 2 years</w:t>
            </w:r>
          </w:p>
          <w:p w14:paraId="35DDB1E1" w14:textId="2638D72A" w:rsidR="003C7D06" w:rsidRPr="005A4A11" w:rsidRDefault="00CB3BFC" w:rsidP="005D2B1A">
            <w:pPr>
              <w:pStyle w:val="Tabletext1"/>
              <w:ind w:left="0"/>
              <w:rPr>
                <w:rFonts w:cstheme="minorBidi"/>
              </w:rPr>
            </w:pPr>
            <w:r w:rsidRPr="008B4E16">
              <w:t>F/</w:t>
            </w:r>
            <w:r>
              <w:t>U</w:t>
            </w:r>
            <w:r w:rsidRPr="008B4E16">
              <w:t xml:space="preserve">: </w:t>
            </w:r>
            <w:r w:rsidR="003C7D06" w:rsidRPr="005A4A11">
              <w:rPr>
                <w:rFonts w:cstheme="minorBidi"/>
              </w:rPr>
              <w:t>range 6 months to 35 months</w:t>
            </w:r>
          </w:p>
        </w:tc>
        <w:tc>
          <w:tcPr>
            <w:tcW w:w="2057" w:type="dxa"/>
            <w:tcBorders>
              <w:top w:val="single" w:sz="4" w:space="0" w:color="auto"/>
              <w:bottom w:val="single" w:sz="4" w:space="0" w:color="auto"/>
            </w:tcBorders>
          </w:tcPr>
          <w:p w14:paraId="14FDD0CB" w14:textId="77777777" w:rsidR="003C7D06" w:rsidRPr="005A4A11" w:rsidRDefault="003C7D06" w:rsidP="008271DD">
            <w:pPr>
              <w:pStyle w:val="Tabletext1"/>
              <w:ind w:left="0"/>
              <w:rPr>
                <w:rFonts w:cstheme="minorBidi"/>
              </w:rPr>
            </w:pPr>
            <w:r w:rsidRPr="005A4A11">
              <w:rPr>
                <w:rFonts w:cstheme="minorBidi"/>
              </w:rPr>
              <w:t xml:space="preserve">1 </w:t>
            </w:r>
            <w:r>
              <w:rPr>
                <w:rFonts w:cstheme="minorBidi"/>
              </w:rPr>
              <w:t>Level III-2 study</w:t>
            </w:r>
          </w:p>
        </w:tc>
        <w:tc>
          <w:tcPr>
            <w:tcW w:w="2088" w:type="dxa"/>
            <w:tcBorders>
              <w:top w:val="single" w:sz="4" w:space="0" w:color="auto"/>
              <w:bottom w:val="single" w:sz="4" w:space="0" w:color="auto"/>
            </w:tcBorders>
          </w:tcPr>
          <w:p w14:paraId="683FBD3B" w14:textId="20AF2492" w:rsidR="003C7D06" w:rsidRPr="008271DD" w:rsidRDefault="003C7D06" w:rsidP="008271DD">
            <w:pPr>
              <w:pStyle w:val="Tabletext1"/>
              <w:ind w:left="0"/>
              <w:rPr>
                <w:rFonts w:cstheme="minorBidi"/>
              </w:rPr>
            </w:pPr>
            <w:r w:rsidRPr="008271DD">
              <w:rPr>
                <w:rFonts w:ascii="Cambria Math" w:hAnsi="Cambria Math"/>
                <w:color w:val="00B050"/>
              </w:rPr>
              <w:t>⨁</w:t>
            </w:r>
            <w:r w:rsidRPr="008271DD">
              <w:rPr>
                <w:rFonts w:ascii="Cambria Math" w:hAnsi="Cambria Math" w:cs="Cambria Math"/>
                <w:color w:val="C00000"/>
              </w:rPr>
              <w:t>⨀⨀⨀</w:t>
            </w:r>
            <w:r w:rsidRPr="008271DD">
              <w:rPr>
                <w:rFonts w:cstheme="minorBidi"/>
              </w:rPr>
              <w:br/>
              <w:t>VERY LOW</w:t>
            </w:r>
            <w:r w:rsidR="00953585">
              <w:rPr>
                <w:rFonts w:cstheme="minorBidi"/>
              </w:rPr>
              <w:t xml:space="preserve"> </w:t>
            </w:r>
            <w:r w:rsidRPr="008271DD">
              <w:rPr>
                <w:rFonts w:cstheme="minorBidi"/>
                <w:vertAlign w:val="superscript"/>
              </w:rPr>
              <w:t>1,2</w:t>
            </w:r>
          </w:p>
        </w:tc>
        <w:tc>
          <w:tcPr>
            <w:tcW w:w="2463" w:type="dxa"/>
            <w:tcBorders>
              <w:top w:val="single" w:sz="4" w:space="0" w:color="auto"/>
              <w:bottom w:val="single" w:sz="4" w:space="0" w:color="auto"/>
            </w:tcBorders>
          </w:tcPr>
          <w:p w14:paraId="704B7731" w14:textId="77777777" w:rsidR="003C7D06" w:rsidRPr="005A4A11" w:rsidRDefault="003C7D06" w:rsidP="008F78FC">
            <w:pPr>
              <w:pStyle w:val="Tabletext1"/>
              <w:ind w:left="0"/>
              <w:rPr>
                <w:rFonts w:cstheme="minorBidi"/>
              </w:rPr>
            </w:pPr>
            <w:r w:rsidRPr="005A4A11">
              <w:rPr>
                <w:rFonts w:cstheme="minorBidi"/>
                <w:u w:val="single"/>
              </w:rPr>
              <w:t xml:space="preserve">MTA alone: </w:t>
            </w:r>
            <w:r w:rsidRPr="005A4A11">
              <w:rPr>
                <w:rFonts w:cstheme="minorBidi"/>
              </w:rPr>
              <w:t>5/18 (27.7%)</w:t>
            </w:r>
          </w:p>
          <w:p w14:paraId="1A288F2F" w14:textId="77777777" w:rsidR="003C7D06" w:rsidRPr="005A4A11" w:rsidRDefault="003C7D06" w:rsidP="008F78FC">
            <w:pPr>
              <w:pStyle w:val="Tabletext1"/>
              <w:ind w:left="0"/>
              <w:rPr>
                <w:rFonts w:cstheme="minorBidi"/>
              </w:rPr>
            </w:pPr>
            <w:r w:rsidRPr="005A4A11">
              <w:rPr>
                <w:rFonts w:cstheme="minorBidi"/>
                <w:u w:val="single"/>
              </w:rPr>
              <w:t>MTA and chemotherapy</w:t>
            </w:r>
            <w:r w:rsidRPr="005A4A11">
              <w:rPr>
                <w:rFonts w:cstheme="minorBidi"/>
              </w:rPr>
              <w:t>: 13/22 (79.1%)</w:t>
            </w:r>
          </w:p>
        </w:tc>
      </w:tr>
      <w:tr w:rsidR="003F6C66" w14:paraId="74CB6BE8" w14:textId="77777777" w:rsidTr="003F6C66">
        <w:tc>
          <w:tcPr>
            <w:tcW w:w="2634" w:type="dxa"/>
            <w:tcBorders>
              <w:top w:val="single" w:sz="4" w:space="0" w:color="auto"/>
              <w:left w:val="single" w:sz="4" w:space="0" w:color="auto"/>
              <w:bottom w:val="single" w:sz="4" w:space="0" w:color="auto"/>
              <w:right w:val="nil"/>
            </w:tcBorders>
            <w:shd w:val="clear" w:color="auto" w:fill="D9D9D9" w:themeFill="background1" w:themeFillShade="D9"/>
          </w:tcPr>
          <w:p w14:paraId="44B5EECF" w14:textId="6724E7B3" w:rsidR="003F6C66" w:rsidRPr="005D2B1A" w:rsidRDefault="003F6C66" w:rsidP="003F6C66">
            <w:pPr>
              <w:pStyle w:val="Tabletext1"/>
              <w:ind w:left="0"/>
              <w:rPr>
                <w:rFonts w:cstheme="minorBidi"/>
                <w:b/>
                <w:u w:val="single"/>
              </w:rPr>
            </w:pPr>
            <w:r w:rsidRPr="008271DD">
              <w:rPr>
                <w:rFonts w:cstheme="minorBidi"/>
                <w:b/>
              </w:rPr>
              <w:t>Median overall survival (Wei et al 2015)</w:t>
            </w:r>
          </w:p>
        </w:tc>
        <w:tc>
          <w:tcPr>
            <w:tcW w:w="2057" w:type="dxa"/>
            <w:tcBorders>
              <w:top w:val="single" w:sz="4" w:space="0" w:color="auto"/>
              <w:left w:val="nil"/>
              <w:bottom w:val="single" w:sz="4" w:space="0" w:color="auto"/>
              <w:right w:val="nil"/>
            </w:tcBorders>
            <w:shd w:val="clear" w:color="auto" w:fill="D9D9D9" w:themeFill="background1" w:themeFillShade="D9"/>
          </w:tcPr>
          <w:p w14:paraId="12975D95" w14:textId="77777777" w:rsidR="003F6C66" w:rsidRPr="005A4A11" w:rsidRDefault="003F6C66" w:rsidP="008271DD">
            <w:pPr>
              <w:pStyle w:val="Tabletext1"/>
              <w:rPr>
                <w:rFonts w:cstheme="minorBidi"/>
              </w:rPr>
            </w:pPr>
          </w:p>
        </w:tc>
        <w:tc>
          <w:tcPr>
            <w:tcW w:w="2088" w:type="dxa"/>
            <w:tcBorders>
              <w:top w:val="single" w:sz="4" w:space="0" w:color="auto"/>
              <w:left w:val="nil"/>
              <w:bottom w:val="single" w:sz="4" w:space="0" w:color="auto"/>
              <w:right w:val="nil"/>
            </w:tcBorders>
            <w:shd w:val="clear" w:color="auto" w:fill="D9D9D9" w:themeFill="background1" w:themeFillShade="D9"/>
          </w:tcPr>
          <w:p w14:paraId="53EDE390" w14:textId="77777777" w:rsidR="003F6C66" w:rsidRPr="008271DD" w:rsidRDefault="003F6C66" w:rsidP="008271DD">
            <w:pPr>
              <w:pStyle w:val="Tabletext1"/>
              <w:rPr>
                <w:rFonts w:ascii="Cambria Math" w:hAnsi="Cambria Math"/>
                <w:color w:val="00B050"/>
              </w:rPr>
            </w:pPr>
          </w:p>
        </w:tc>
        <w:tc>
          <w:tcPr>
            <w:tcW w:w="2463" w:type="dxa"/>
            <w:tcBorders>
              <w:top w:val="single" w:sz="4" w:space="0" w:color="auto"/>
              <w:left w:val="nil"/>
              <w:bottom w:val="single" w:sz="4" w:space="0" w:color="auto"/>
              <w:right w:val="single" w:sz="4" w:space="0" w:color="auto"/>
            </w:tcBorders>
            <w:shd w:val="clear" w:color="auto" w:fill="D9D9D9" w:themeFill="background1" w:themeFillShade="D9"/>
          </w:tcPr>
          <w:p w14:paraId="683FDB42" w14:textId="77777777" w:rsidR="003F6C66" w:rsidRPr="005A4A11" w:rsidRDefault="003F6C66" w:rsidP="008F78FC">
            <w:pPr>
              <w:pStyle w:val="Tabletext1"/>
              <w:rPr>
                <w:rFonts w:cstheme="minorBidi"/>
                <w:u w:val="single"/>
              </w:rPr>
            </w:pPr>
          </w:p>
        </w:tc>
      </w:tr>
      <w:tr w:rsidR="003C7D06" w14:paraId="26056539" w14:textId="77777777" w:rsidTr="003F6C66">
        <w:tc>
          <w:tcPr>
            <w:tcW w:w="2634" w:type="dxa"/>
            <w:tcBorders>
              <w:top w:val="single" w:sz="4" w:space="0" w:color="auto"/>
            </w:tcBorders>
          </w:tcPr>
          <w:p w14:paraId="752ED1B1" w14:textId="77777777" w:rsidR="003C7D06" w:rsidRPr="005D2B1A" w:rsidRDefault="003C7D06" w:rsidP="005D2B1A">
            <w:pPr>
              <w:pStyle w:val="Tabletext1"/>
              <w:ind w:left="0"/>
              <w:rPr>
                <w:rFonts w:cstheme="minorBidi"/>
                <w:b/>
                <w:u w:val="single"/>
              </w:rPr>
            </w:pPr>
            <w:r w:rsidRPr="005D2B1A">
              <w:rPr>
                <w:rFonts w:cstheme="minorBidi"/>
                <w:b/>
                <w:u w:val="single"/>
              </w:rPr>
              <w:t xml:space="preserve">MTA+ chemotherapy versus chemotherapy alone </w:t>
            </w:r>
          </w:p>
          <w:p w14:paraId="202F74B4" w14:textId="53222F2D" w:rsidR="003C7D06" w:rsidRPr="005A4A11" w:rsidRDefault="005D2B1A" w:rsidP="005D2B1A">
            <w:pPr>
              <w:pStyle w:val="Tabletext1"/>
              <w:ind w:left="0"/>
              <w:rPr>
                <w:rFonts w:cstheme="minorBidi"/>
              </w:rPr>
            </w:pPr>
            <w:r>
              <w:rPr>
                <w:rFonts w:cstheme="minorBidi"/>
              </w:rPr>
              <w:lastRenderedPageBreak/>
              <w:t>A</w:t>
            </w:r>
            <w:r w:rsidR="003C7D06" w:rsidRPr="005A4A11">
              <w:rPr>
                <w:rFonts w:cstheme="minorBidi"/>
              </w:rPr>
              <w:t>ssessed with: Kaplan-Meier estimate</w:t>
            </w:r>
          </w:p>
          <w:p w14:paraId="579CEB8A" w14:textId="10599378" w:rsidR="003C7D06" w:rsidRPr="005A4A11" w:rsidRDefault="00CB3BFC" w:rsidP="005D2B1A">
            <w:pPr>
              <w:pStyle w:val="Tabletext1"/>
              <w:ind w:left="0"/>
              <w:rPr>
                <w:rFonts w:cstheme="minorBidi"/>
              </w:rPr>
            </w:pPr>
            <w:r w:rsidRPr="008B4E16">
              <w:t>F/</w:t>
            </w:r>
            <w:r>
              <w:t>U</w:t>
            </w:r>
            <w:r w:rsidRPr="008B4E16">
              <w:t xml:space="preserve">: </w:t>
            </w:r>
            <w:r w:rsidR="003C7D06" w:rsidRPr="005A4A11">
              <w:rPr>
                <w:rFonts w:cstheme="minorBidi"/>
              </w:rPr>
              <w:t>median 21 months</w:t>
            </w:r>
          </w:p>
        </w:tc>
        <w:tc>
          <w:tcPr>
            <w:tcW w:w="2057" w:type="dxa"/>
            <w:tcBorders>
              <w:top w:val="single" w:sz="4" w:space="0" w:color="auto"/>
            </w:tcBorders>
          </w:tcPr>
          <w:p w14:paraId="3A04F848" w14:textId="77777777" w:rsidR="003C7D06" w:rsidRPr="005A4A11" w:rsidRDefault="003C7D06" w:rsidP="008271DD">
            <w:pPr>
              <w:pStyle w:val="Tabletext1"/>
              <w:ind w:left="0"/>
              <w:rPr>
                <w:rFonts w:cstheme="minorBidi"/>
              </w:rPr>
            </w:pPr>
            <w:r w:rsidRPr="005A4A11">
              <w:rPr>
                <w:rFonts w:cstheme="minorBidi"/>
              </w:rPr>
              <w:lastRenderedPageBreak/>
              <w:t xml:space="preserve">1 </w:t>
            </w:r>
            <w:r>
              <w:rPr>
                <w:rFonts w:cstheme="minorBidi"/>
              </w:rPr>
              <w:t>Level III-2 study</w:t>
            </w:r>
          </w:p>
        </w:tc>
        <w:tc>
          <w:tcPr>
            <w:tcW w:w="2088" w:type="dxa"/>
            <w:tcBorders>
              <w:top w:val="single" w:sz="4" w:space="0" w:color="auto"/>
            </w:tcBorders>
          </w:tcPr>
          <w:p w14:paraId="6BB5B241" w14:textId="7A1AB134" w:rsidR="003C7D06" w:rsidRPr="008271DD" w:rsidRDefault="003C7D06" w:rsidP="008271DD">
            <w:pPr>
              <w:pStyle w:val="Tabletext1"/>
              <w:ind w:left="0"/>
              <w:rPr>
                <w:rFonts w:cstheme="minorBidi"/>
              </w:rPr>
            </w:pPr>
            <w:r w:rsidRPr="008271DD">
              <w:rPr>
                <w:rFonts w:ascii="Cambria Math" w:hAnsi="Cambria Math"/>
                <w:color w:val="00B050"/>
              </w:rPr>
              <w:t>⨁</w:t>
            </w:r>
            <w:r w:rsidRPr="008271DD">
              <w:rPr>
                <w:rFonts w:ascii="Cambria Math" w:hAnsi="Cambria Math" w:cs="Cambria Math"/>
                <w:color w:val="C00000"/>
              </w:rPr>
              <w:t>⨀⨀⨀</w:t>
            </w:r>
            <w:r w:rsidRPr="008271DD">
              <w:rPr>
                <w:rFonts w:cstheme="minorBidi"/>
              </w:rPr>
              <w:br/>
              <w:t>VERY LOW</w:t>
            </w:r>
            <w:r w:rsidR="00953585">
              <w:rPr>
                <w:rFonts w:cstheme="minorBidi"/>
              </w:rPr>
              <w:t xml:space="preserve"> </w:t>
            </w:r>
            <w:r w:rsidRPr="008271DD">
              <w:rPr>
                <w:rFonts w:cstheme="minorBidi"/>
                <w:vertAlign w:val="superscript"/>
              </w:rPr>
              <w:t>1,3,4</w:t>
            </w:r>
          </w:p>
        </w:tc>
        <w:tc>
          <w:tcPr>
            <w:tcW w:w="2463" w:type="dxa"/>
            <w:tcBorders>
              <w:top w:val="single" w:sz="4" w:space="0" w:color="auto"/>
            </w:tcBorders>
          </w:tcPr>
          <w:p w14:paraId="3484481F" w14:textId="71498665" w:rsidR="003C7D06" w:rsidRPr="005A4A11" w:rsidRDefault="003C7D06" w:rsidP="008F78FC">
            <w:pPr>
              <w:pStyle w:val="Tabletext1"/>
              <w:ind w:left="0"/>
              <w:rPr>
                <w:rFonts w:cstheme="minorBidi"/>
                <w:u w:val="single"/>
              </w:rPr>
            </w:pPr>
            <w:r w:rsidRPr="005A4A11">
              <w:rPr>
                <w:rFonts w:cstheme="minorBidi"/>
                <w:u w:val="single"/>
              </w:rPr>
              <w:t xml:space="preserve">MTA+chemotherapy: </w:t>
            </w:r>
            <w:r w:rsidRPr="005A4A11">
              <w:rPr>
                <w:rFonts w:cstheme="minorBidi"/>
              </w:rPr>
              <w:t>23.9 (</w:t>
            </w:r>
            <w:r>
              <w:rPr>
                <w:rFonts w:cstheme="minorBidi"/>
              </w:rPr>
              <w:t>95%CI</w:t>
            </w:r>
            <w:r w:rsidRPr="005A4A11">
              <w:rPr>
                <w:rFonts w:cstheme="minorBidi"/>
              </w:rPr>
              <w:t>15.2</w:t>
            </w:r>
            <w:r w:rsidR="00D35E9C">
              <w:rPr>
                <w:rFonts w:cstheme="minorBidi"/>
              </w:rPr>
              <w:t>–</w:t>
            </w:r>
            <w:r w:rsidRPr="005A4A11">
              <w:rPr>
                <w:rFonts w:cstheme="minorBidi"/>
              </w:rPr>
              <w:t>32.6) months</w:t>
            </w:r>
          </w:p>
          <w:p w14:paraId="51CFA54D" w14:textId="55389D14" w:rsidR="003C7D06" w:rsidRPr="005A4A11" w:rsidRDefault="003C7D06" w:rsidP="008F78FC">
            <w:pPr>
              <w:pStyle w:val="Tabletext1"/>
              <w:ind w:left="0"/>
              <w:rPr>
                <w:rFonts w:cstheme="minorBidi"/>
              </w:rPr>
            </w:pPr>
            <w:r w:rsidRPr="005A4A11">
              <w:rPr>
                <w:rFonts w:cstheme="minorBidi"/>
                <w:u w:val="single"/>
              </w:rPr>
              <w:lastRenderedPageBreak/>
              <w:t xml:space="preserve">Chemotherapy: </w:t>
            </w:r>
            <w:r w:rsidRPr="005A4A11">
              <w:rPr>
                <w:rFonts w:cstheme="minorBidi"/>
              </w:rPr>
              <w:t>17.3 (</w:t>
            </w:r>
            <w:r>
              <w:rPr>
                <w:rFonts w:cstheme="minorBidi"/>
              </w:rPr>
              <w:t xml:space="preserve">95%CI </w:t>
            </w:r>
            <w:r w:rsidRPr="005A4A11">
              <w:rPr>
                <w:rFonts w:cstheme="minorBidi"/>
              </w:rPr>
              <w:t>15.2</w:t>
            </w:r>
            <w:r w:rsidR="00D35E9C">
              <w:rPr>
                <w:rFonts w:cstheme="minorBidi"/>
              </w:rPr>
              <w:t>–</w:t>
            </w:r>
            <w:r w:rsidRPr="005A4A11">
              <w:rPr>
                <w:rFonts w:cstheme="minorBidi"/>
              </w:rPr>
              <w:t>19.3) months, difference p</w:t>
            </w:r>
            <w:r w:rsidR="00C10752">
              <w:rPr>
                <w:rFonts w:cstheme="minorBidi"/>
              </w:rPr>
              <w:t xml:space="preserve"> </w:t>
            </w:r>
            <w:r w:rsidRPr="005A4A11">
              <w:rPr>
                <w:rFonts w:cstheme="minorBidi"/>
              </w:rPr>
              <w:t>=</w:t>
            </w:r>
            <w:r w:rsidR="00C10752">
              <w:rPr>
                <w:rFonts w:cstheme="minorBidi"/>
              </w:rPr>
              <w:t xml:space="preserve"> </w:t>
            </w:r>
            <w:r w:rsidRPr="005A4A11">
              <w:rPr>
                <w:rFonts w:cstheme="minorBidi"/>
              </w:rPr>
              <w:t>0.140</w:t>
            </w:r>
          </w:p>
        </w:tc>
      </w:tr>
      <w:tr w:rsidR="003C7D06" w14:paraId="0BF82081" w14:textId="77777777" w:rsidTr="00E34F6D">
        <w:tc>
          <w:tcPr>
            <w:tcW w:w="2634" w:type="dxa"/>
          </w:tcPr>
          <w:p w14:paraId="380904EA" w14:textId="77777777" w:rsidR="003C7D06" w:rsidRPr="005D2B1A" w:rsidRDefault="003C7D06" w:rsidP="005D2B1A">
            <w:pPr>
              <w:pStyle w:val="Tabletext1"/>
              <w:ind w:left="0"/>
              <w:rPr>
                <w:rFonts w:cstheme="minorBidi"/>
                <w:b/>
                <w:u w:val="single"/>
              </w:rPr>
            </w:pPr>
            <w:r w:rsidRPr="005D2B1A">
              <w:rPr>
                <w:rFonts w:cstheme="minorBidi"/>
                <w:b/>
                <w:u w:val="single"/>
              </w:rPr>
              <w:lastRenderedPageBreak/>
              <w:t>MTA alone</w:t>
            </w:r>
          </w:p>
          <w:p w14:paraId="4D0E4A3E" w14:textId="6C2CAF0A" w:rsidR="003C7D06" w:rsidRPr="005A4A11" w:rsidRDefault="005D2B1A" w:rsidP="005D2B1A">
            <w:pPr>
              <w:pStyle w:val="Tabletext1"/>
              <w:ind w:left="0"/>
              <w:rPr>
                <w:rFonts w:cstheme="minorBidi"/>
              </w:rPr>
            </w:pPr>
            <w:r>
              <w:rPr>
                <w:rFonts w:cstheme="minorBidi"/>
              </w:rPr>
              <w:t>A</w:t>
            </w:r>
            <w:r w:rsidR="003C7D06" w:rsidRPr="005A4A11">
              <w:rPr>
                <w:rFonts w:cstheme="minorBidi"/>
              </w:rPr>
              <w:t>ssessed with: Median and range</w:t>
            </w:r>
          </w:p>
          <w:p w14:paraId="38430012" w14:textId="2C907324" w:rsidR="003C7D06" w:rsidRPr="005A4A11" w:rsidRDefault="00CB3BFC" w:rsidP="005D2B1A">
            <w:pPr>
              <w:pStyle w:val="Tabletext1"/>
              <w:ind w:left="0"/>
              <w:rPr>
                <w:rFonts w:cstheme="minorBidi"/>
              </w:rPr>
            </w:pPr>
            <w:r w:rsidRPr="008B4E16">
              <w:t>F/</w:t>
            </w:r>
            <w:r>
              <w:t>U</w:t>
            </w:r>
            <w:r w:rsidR="003C7D06" w:rsidRPr="005A4A11">
              <w:rPr>
                <w:rFonts w:cstheme="minorBidi"/>
              </w:rPr>
              <w:t>: median 17.7 months</w:t>
            </w:r>
          </w:p>
        </w:tc>
        <w:tc>
          <w:tcPr>
            <w:tcW w:w="2057" w:type="dxa"/>
          </w:tcPr>
          <w:p w14:paraId="7D667A51" w14:textId="77777777" w:rsidR="003C7D06" w:rsidRPr="005A4A11" w:rsidRDefault="003C7D06" w:rsidP="008271DD">
            <w:pPr>
              <w:pStyle w:val="Tabletext1"/>
              <w:ind w:left="0"/>
              <w:rPr>
                <w:rFonts w:cstheme="minorBidi"/>
              </w:rPr>
            </w:pPr>
            <w:r w:rsidRPr="005A4A11">
              <w:rPr>
                <w:rFonts w:cstheme="minorBidi"/>
              </w:rPr>
              <w:t xml:space="preserve">1 </w:t>
            </w:r>
            <w:r>
              <w:rPr>
                <w:rFonts w:cstheme="minorBidi"/>
              </w:rPr>
              <w:t>Level III-2 study</w:t>
            </w:r>
          </w:p>
        </w:tc>
        <w:tc>
          <w:tcPr>
            <w:tcW w:w="2088" w:type="dxa"/>
          </w:tcPr>
          <w:p w14:paraId="5F6F7613" w14:textId="6D0D129F" w:rsidR="003C7D06" w:rsidRPr="008271DD" w:rsidRDefault="003C7D06" w:rsidP="008271DD">
            <w:pPr>
              <w:pStyle w:val="Tabletext1"/>
              <w:ind w:left="0"/>
              <w:rPr>
                <w:rFonts w:cstheme="minorBidi"/>
              </w:rPr>
            </w:pPr>
            <w:r w:rsidRPr="008271DD">
              <w:rPr>
                <w:rFonts w:ascii="Cambria Math" w:hAnsi="Cambria Math"/>
                <w:color w:val="00B050"/>
              </w:rPr>
              <w:t>⨁</w:t>
            </w:r>
            <w:r w:rsidRPr="008271DD">
              <w:rPr>
                <w:rFonts w:ascii="Cambria Math" w:hAnsi="Cambria Math" w:cs="Cambria Math"/>
                <w:color w:val="C00000"/>
              </w:rPr>
              <w:t>⨀⨀⨀</w:t>
            </w:r>
            <w:r w:rsidRPr="008271DD">
              <w:rPr>
                <w:rFonts w:cstheme="minorBidi"/>
              </w:rPr>
              <w:br/>
              <w:t>VERY LOW</w:t>
            </w:r>
            <w:r w:rsidR="00953585">
              <w:rPr>
                <w:rFonts w:cstheme="minorBidi"/>
              </w:rPr>
              <w:t xml:space="preserve"> </w:t>
            </w:r>
            <w:r w:rsidRPr="008271DD">
              <w:rPr>
                <w:rFonts w:cstheme="minorBidi"/>
                <w:vertAlign w:val="superscript"/>
              </w:rPr>
              <w:t>1,5</w:t>
            </w:r>
          </w:p>
        </w:tc>
        <w:tc>
          <w:tcPr>
            <w:tcW w:w="2463" w:type="dxa"/>
          </w:tcPr>
          <w:p w14:paraId="5211B275" w14:textId="1030BF46" w:rsidR="003C7D06" w:rsidRPr="005A4A11" w:rsidRDefault="003C7D06" w:rsidP="008F78FC">
            <w:pPr>
              <w:pStyle w:val="Tabletext1"/>
              <w:ind w:left="0"/>
              <w:rPr>
                <w:rFonts w:cstheme="minorBidi"/>
              </w:rPr>
            </w:pPr>
            <w:r w:rsidRPr="005A4A11">
              <w:rPr>
                <w:rFonts w:cstheme="minorBidi"/>
                <w:u w:val="single"/>
              </w:rPr>
              <w:t>Median OS:</w:t>
            </w:r>
            <w:r w:rsidRPr="005A4A11">
              <w:rPr>
                <w:rFonts w:cstheme="minorBidi"/>
              </w:rPr>
              <w:t xml:space="preserve"> 17.7 months (range of 5</w:t>
            </w:r>
            <w:r w:rsidR="00D35E9C">
              <w:rPr>
                <w:rFonts w:cstheme="minorBidi"/>
              </w:rPr>
              <w:t>–</w:t>
            </w:r>
            <w:r w:rsidRPr="005A4A11">
              <w:rPr>
                <w:rFonts w:cstheme="minorBidi"/>
              </w:rPr>
              <w:t>45) and from the time of MTA until death it was 10.6 months (range: 3.1</w:t>
            </w:r>
            <w:r w:rsidR="00D35E9C">
              <w:rPr>
                <w:rFonts w:cstheme="minorBidi"/>
              </w:rPr>
              <w:t>–</w:t>
            </w:r>
            <w:r w:rsidRPr="005A4A11">
              <w:rPr>
                <w:rFonts w:cstheme="minorBidi"/>
              </w:rPr>
              <w:t>36.2).</w:t>
            </w:r>
          </w:p>
        </w:tc>
      </w:tr>
    </w:tbl>
    <w:p w14:paraId="2A587A8F" w14:textId="516182EB" w:rsidR="007712FE" w:rsidRPr="007712FE" w:rsidRDefault="008F78FC" w:rsidP="007C7D1A">
      <w:pPr>
        <w:pStyle w:val="Tablenotes0"/>
      </w:pPr>
      <w:r>
        <w:t>&lt;</w:t>
      </w:r>
      <w:r w:rsidR="007712FE" w:rsidRPr="007712FE">
        <w:t>CI = confidence interval;</w:t>
      </w:r>
      <w:r w:rsidR="00CB3BFC" w:rsidRPr="00CB3BFC">
        <w:t xml:space="preserve"> </w:t>
      </w:r>
      <w:r w:rsidR="00CB3BFC" w:rsidRPr="007C744D">
        <w:t>F/</w:t>
      </w:r>
      <w:r w:rsidR="00CB3BFC">
        <w:t>U =</w:t>
      </w:r>
      <w:r w:rsidR="00CB3BFC" w:rsidRPr="007C744D">
        <w:t xml:space="preserve"> follow-up</w:t>
      </w:r>
      <w:r w:rsidR="00CB3BFC">
        <w:t>;</w:t>
      </w:r>
      <w:r w:rsidR="007712FE" w:rsidRPr="007712FE">
        <w:t xml:space="preserve"> MTA</w:t>
      </w:r>
      <w:r w:rsidR="001025FB">
        <w:t xml:space="preserve"> </w:t>
      </w:r>
      <w:r w:rsidR="007712FE" w:rsidRPr="007712FE">
        <w:t>= microwave tissue ablation; n/N (%)</w:t>
      </w:r>
      <w:r w:rsidR="001025FB">
        <w:t xml:space="preserve"> </w:t>
      </w:r>
      <w:r w:rsidR="007712FE" w:rsidRPr="007712FE">
        <w:t>= number</w:t>
      </w:r>
      <w:r>
        <w:t xml:space="preserve"> with event/ total (percentage) &gt;</w:t>
      </w:r>
    </w:p>
    <w:p w14:paraId="1F627FDE" w14:textId="2B4B5056" w:rsidR="005A4A11" w:rsidRPr="00FC1326" w:rsidRDefault="005A4A11" w:rsidP="007C7D1A">
      <w:pPr>
        <w:pStyle w:val="Tablenotes0"/>
        <w:rPr>
          <w:szCs w:val="16"/>
        </w:rPr>
      </w:pPr>
      <w:r w:rsidRPr="00FC1326">
        <w:rPr>
          <w:szCs w:val="18"/>
        </w:rPr>
        <w:t>GRADE Working Group grades of evidence (Guyatt et al., 2013</w:t>
      </w:r>
      <w:r w:rsidR="00CA6DFD" w:rsidRPr="00FC1326">
        <w:rPr>
          <w:szCs w:val="18"/>
        </w:rPr>
        <w:t>)</w:t>
      </w:r>
      <w:r w:rsidR="001025FB">
        <w:rPr>
          <w:szCs w:val="18"/>
        </w:rPr>
        <w:t>.</w:t>
      </w:r>
      <w:r w:rsidRPr="00FC1326">
        <w:rPr>
          <w:szCs w:val="18"/>
        </w:rPr>
        <w:br/>
      </w:r>
      <w:r w:rsidRPr="00FC1326">
        <w:rPr>
          <w:rFonts w:ascii="Cambria Math" w:hAnsi="Cambria Math"/>
          <w:color w:val="00B050"/>
        </w:rPr>
        <w:t>⨁</w:t>
      </w:r>
      <w:r w:rsidRPr="00FC1326">
        <w:rPr>
          <w:rFonts w:ascii="Cambria Math" w:hAnsi="Cambria Math" w:cs="Cambria Math"/>
          <w:color w:val="C00000"/>
        </w:rPr>
        <w:t xml:space="preserve">⨀⨀⨀ </w:t>
      </w:r>
      <w:r w:rsidRPr="00FC1326">
        <w:rPr>
          <w:bCs/>
          <w:szCs w:val="18"/>
        </w:rPr>
        <w:t>Very low quality:</w:t>
      </w:r>
      <w:r w:rsidRPr="00FC1326">
        <w:rPr>
          <w:szCs w:val="18"/>
        </w:rPr>
        <w:t xml:space="preserve"> We have very little confidence in the effect estimate: The true effect is likely to be substantially different from the estimate of effect</w:t>
      </w:r>
    </w:p>
    <w:p w14:paraId="20D018CE" w14:textId="77777777" w:rsidR="005A4A11" w:rsidRPr="007C7D1A" w:rsidRDefault="005A4A11" w:rsidP="008F78FC">
      <w:pPr>
        <w:pStyle w:val="Tablenotes0"/>
        <w:numPr>
          <w:ilvl w:val="0"/>
          <w:numId w:val="83"/>
        </w:numPr>
        <w:ind w:left="284" w:hanging="284"/>
      </w:pPr>
      <w:r w:rsidRPr="007C7D1A">
        <w:t xml:space="preserve">This is based on the results of one study with 22patients in one arm and 18 in the other, study reporting quality was low. </w:t>
      </w:r>
    </w:p>
    <w:p w14:paraId="6A54504E" w14:textId="77777777" w:rsidR="005A4A11" w:rsidRPr="007C7D1A" w:rsidRDefault="005A4A11" w:rsidP="008F78FC">
      <w:pPr>
        <w:pStyle w:val="Tablenotes0"/>
        <w:numPr>
          <w:ilvl w:val="0"/>
          <w:numId w:val="83"/>
        </w:numPr>
        <w:ind w:left="284" w:hanging="284"/>
      </w:pPr>
      <w:r w:rsidRPr="007C7D1A">
        <w:t>Measures of variance are not available. The small sample size reduces the reliability of the outcomes</w:t>
      </w:r>
    </w:p>
    <w:p w14:paraId="3F99A663" w14:textId="77777777" w:rsidR="005A4A11" w:rsidRPr="007C7D1A" w:rsidRDefault="005A4A11" w:rsidP="008F78FC">
      <w:pPr>
        <w:pStyle w:val="Tablenotes0"/>
        <w:numPr>
          <w:ilvl w:val="0"/>
          <w:numId w:val="83"/>
        </w:numPr>
        <w:ind w:left="284" w:hanging="284"/>
      </w:pPr>
      <w:r w:rsidRPr="007C7D1A">
        <w:t>Wei et al (2015) reports on small sample sizes and inherent drawbacks in study design are problematic</w:t>
      </w:r>
    </w:p>
    <w:p w14:paraId="04910CF1" w14:textId="77777777" w:rsidR="005A4A11" w:rsidRPr="007C7D1A" w:rsidRDefault="005A4A11" w:rsidP="008F78FC">
      <w:pPr>
        <w:pStyle w:val="Tablenotes0"/>
        <w:numPr>
          <w:ilvl w:val="0"/>
          <w:numId w:val="83"/>
        </w:numPr>
        <w:ind w:left="284" w:hanging="284"/>
      </w:pPr>
      <w:r w:rsidRPr="007C7D1A">
        <w:t>Measures of variance show wide confidence intervals associated with OS. The small sample size reduces the reliability of the outcomes.</w:t>
      </w:r>
    </w:p>
    <w:p w14:paraId="4BAA3F62" w14:textId="77777777" w:rsidR="005A4A11" w:rsidRPr="007C7D1A" w:rsidRDefault="005A4A11" w:rsidP="008F78FC">
      <w:pPr>
        <w:pStyle w:val="Tablenotes0"/>
        <w:numPr>
          <w:ilvl w:val="0"/>
          <w:numId w:val="83"/>
        </w:numPr>
        <w:ind w:left="284" w:hanging="284"/>
      </w:pPr>
      <w:r w:rsidRPr="007C7D1A">
        <w:t>Due to inherent limitations in case series evidence</w:t>
      </w:r>
    </w:p>
    <w:p w14:paraId="264C6996" w14:textId="77777777" w:rsidR="007C744D" w:rsidRDefault="007C744D" w:rsidP="00A12318">
      <w:pPr>
        <w:pStyle w:val="Caption"/>
        <w:keepNext/>
        <w:ind w:left="1134" w:hanging="1134"/>
      </w:pPr>
      <w:bookmarkStart w:id="359" w:name="_Ref460406337"/>
      <w:bookmarkStart w:id="360" w:name="_Toc460514719"/>
      <w:r>
        <w:t xml:space="preserve">Table </w:t>
      </w:r>
      <w:fldSimple w:instr=" SEQ Table \* ARABIC ">
        <w:r w:rsidR="00D170A5">
          <w:rPr>
            <w:noProof/>
          </w:rPr>
          <w:t>61</w:t>
        </w:r>
      </w:fldSimple>
      <w:bookmarkEnd w:id="359"/>
      <w:r>
        <w:tab/>
        <w:t xml:space="preserve">Balance of clinical harms associated with MTA relative to </w:t>
      </w:r>
      <w:r w:rsidRPr="007C744D">
        <w:t>its comparators, and as measured by the patient-relevant outcomes in the key studies</w:t>
      </w:r>
      <w:bookmarkEnd w:id="360"/>
    </w:p>
    <w:tbl>
      <w:tblPr>
        <w:tblStyle w:val="TableGrid82"/>
        <w:tblW w:w="5000" w:type="pct"/>
        <w:tblLayout w:type="fixed"/>
        <w:tblLook w:val="04A0" w:firstRow="1" w:lastRow="0" w:firstColumn="1" w:lastColumn="0" w:noHBand="0" w:noVBand="1"/>
        <w:tblCaption w:val="Table 70"/>
        <w:tblDescription w:val="Clinical benefits of MTA and comparators for Population one"/>
      </w:tblPr>
      <w:tblGrid>
        <w:gridCol w:w="2517"/>
        <w:gridCol w:w="1701"/>
        <w:gridCol w:w="3261"/>
        <w:gridCol w:w="1763"/>
      </w:tblGrid>
      <w:tr w:rsidR="008B4E16" w:rsidRPr="008B4E16" w14:paraId="0B4B9D26" w14:textId="77777777" w:rsidTr="00A12318">
        <w:trPr>
          <w:tblHeader/>
        </w:trPr>
        <w:tc>
          <w:tcPr>
            <w:tcW w:w="1362" w:type="pct"/>
            <w:tcBorders>
              <w:bottom w:val="single" w:sz="4" w:space="0" w:color="auto"/>
            </w:tcBorders>
            <w:shd w:val="clear" w:color="auto" w:fill="D9D9D9" w:themeFill="background1" w:themeFillShade="D9"/>
          </w:tcPr>
          <w:p w14:paraId="5C7B566A" w14:textId="77777777" w:rsidR="008B4E16" w:rsidRPr="00A12318" w:rsidRDefault="008B4E16" w:rsidP="00A12318">
            <w:pPr>
              <w:pStyle w:val="Tabletext1"/>
              <w:rPr>
                <w:b/>
              </w:rPr>
            </w:pPr>
            <w:r w:rsidRPr="00A12318">
              <w:rPr>
                <w:b/>
              </w:rPr>
              <w:t>Outcome and intervention/comparator</w:t>
            </w:r>
          </w:p>
        </w:tc>
        <w:tc>
          <w:tcPr>
            <w:tcW w:w="920" w:type="pct"/>
            <w:tcBorders>
              <w:bottom w:val="single" w:sz="4" w:space="0" w:color="auto"/>
            </w:tcBorders>
            <w:shd w:val="clear" w:color="auto" w:fill="D9D9D9" w:themeFill="background1" w:themeFillShade="D9"/>
          </w:tcPr>
          <w:p w14:paraId="02AEFFD2" w14:textId="77777777" w:rsidR="008B4E16" w:rsidRPr="00A12318" w:rsidRDefault="008B4E16" w:rsidP="00A12318">
            <w:pPr>
              <w:pStyle w:val="Tabletext1"/>
              <w:rPr>
                <w:b/>
              </w:rPr>
            </w:pPr>
            <w:r w:rsidRPr="00A12318">
              <w:rPr>
                <w:b/>
              </w:rPr>
              <w:t xml:space="preserve">№ of </w:t>
            </w:r>
            <w:r w:rsidR="003A53A3" w:rsidRPr="00A12318">
              <w:rPr>
                <w:b/>
              </w:rPr>
              <w:t>patients</w:t>
            </w:r>
            <w:r w:rsidRPr="00A12318">
              <w:rPr>
                <w:b/>
              </w:rPr>
              <w:br/>
              <w:t>(studies)</w:t>
            </w:r>
          </w:p>
        </w:tc>
        <w:tc>
          <w:tcPr>
            <w:tcW w:w="1764" w:type="pct"/>
            <w:tcBorders>
              <w:bottom w:val="single" w:sz="4" w:space="0" w:color="auto"/>
            </w:tcBorders>
            <w:shd w:val="clear" w:color="auto" w:fill="D9D9D9" w:themeFill="background1" w:themeFillShade="D9"/>
          </w:tcPr>
          <w:p w14:paraId="0E98D091" w14:textId="77777777" w:rsidR="008B4E16" w:rsidRPr="00A12318" w:rsidRDefault="008B4E16" w:rsidP="00A12318">
            <w:pPr>
              <w:pStyle w:val="Tabletext1"/>
              <w:rPr>
                <w:rFonts w:cstheme="minorBidi"/>
                <w:b/>
              </w:rPr>
            </w:pPr>
            <w:r w:rsidRPr="00A12318">
              <w:rPr>
                <w:rFonts w:cstheme="minorBidi"/>
                <w:b/>
              </w:rPr>
              <w:t>Summary</w:t>
            </w:r>
          </w:p>
        </w:tc>
        <w:tc>
          <w:tcPr>
            <w:tcW w:w="954" w:type="pct"/>
            <w:tcBorders>
              <w:bottom w:val="single" w:sz="4" w:space="0" w:color="auto"/>
            </w:tcBorders>
            <w:shd w:val="clear" w:color="auto" w:fill="D9D9D9" w:themeFill="background1" w:themeFillShade="D9"/>
          </w:tcPr>
          <w:p w14:paraId="178603C7" w14:textId="77777777" w:rsidR="008B4E16" w:rsidRPr="00A12318" w:rsidRDefault="008B4E16" w:rsidP="00A12318">
            <w:pPr>
              <w:pStyle w:val="Tabletext1"/>
              <w:rPr>
                <w:b/>
              </w:rPr>
            </w:pPr>
            <w:r w:rsidRPr="00A12318">
              <w:rPr>
                <w:b/>
              </w:rPr>
              <w:t>Quality of the evidence (GRADE)</w:t>
            </w:r>
          </w:p>
        </w:tc>
      </w:tr>
      <w:tr w:rsidR="008B4E16" w:rsidRPr="008B4E16" w14:paraId="32F1C592" w14:textId="77777777" w:rsidTr="008B4E16">
        <w:tc>
          <w:tcPr>
            <w:tcW w:w="1362" w:type="pct"/>
            <w:tcBorders>
              <w:right w:val="nil"/>
            </w:tcBorders>
            <w:shd w:val="clear" w:color="auto" w:fill="D9D9D9" w:themeFill="background1" w:themeFillShade="D9"/>
          </w:tcPr>
          <w:p w14:paraId="6ED86297" w14:textId="77777777" w:rsidR="008B4E16" w:rsidRPr="00A12318" w:rsidRDefault="008B4E16" w:rsidP="00A12318">
            <w:pPr>
              <w:pStyle w:val="Tabletext1"/>
              <w:rPr>
                <w:rFonts w:cstheme="minorBidi"/>
                <w:b/>
              </w:rPr>
            </w:pPr>
            <w:r w:rsidRPr="00A12318">
              <w:rPr>
                <w:rFonts w:cstheme="minorBidi"/>
                <w:b/>
              </w:rPr>
              <w:t>Procedure-related mortality</w:t>
            </w:r>
          </w:p>
        </w:tc>
        <w:tc>
          <w:tcPr>
            <w:tcW w:w="920" w:type="pct"/>
            <w:tcBorders>
              <w:left w:val="nil"/>
              <w:right w:val="nil"/>
            </w:tcBorders>
            <w:shd w:val="clear" w:color="auto" w:fill="D9D9D9" w:themeFill="background1" w:themeFillShade="D9"/>
          </w:tcPr>
          <w:p w14:paraId="7E4B2600" w14:textId="77777777" w:rsidR="008B4E16" w:rsidRPr="008B4E16" w:rsidRDefault="008B4E16" w:rsidP="00A12318">
            <w:pPr>
              <w:pStyle w:val="Tabletext1"/>
              <w:rPr>
                <w:rFonts w:cstheme="minorBidi"/>
              </w:rPr>
            </w:pPr>
          </w:p>
        </w:tc>
        <w:tc>
          <w:tcPr>
            <w:tcW w:w="1764" w:type="pct"/>
            <w:tcBorders>
              <w:left w:val="nil"/>
              <w:right w:val="nil"/>
            </w:tcBorders>
            <w:shd w:val="clear" w:color="auto" w:fill="D9D9D9" w:themeFill="background1" w:themeFillShade="D9"/>
          </w:tcPr>
          <w:p w14:paraId="23FDC49D" w14:textId="77777777" w:rsidR="008B4E16" w:rsidRPr="008B4E16" w:rsidRDefault="008B4E16" w:rsidP="00A12318">
            <w:pPr>
              <w:pStyle w:val="Tabletext1"/>
              <w:rPr>
                <w:rFonts w:cstheme="minorBidi"/>
              </w:rPr>
            </w:pPr>
          </w:p>
        </w:tc>
        <w:tc>
          <w:tcPr>
            <w:tcW w:w="954" w:type="pct"/>
            <w:tcBorders>
              <w:left w:val="nil"/>
              <w:right w:val="single" w:sz="4" w:space="0" w:color="auto"/>
            </w:tcBorders>
            <w:shd w:val="clear" w:color="auto" w:fill="D9D9D9" w:themeFill="background1" w:themeFillShade="D9"/>
          </w:tcPr>
          <w:p w14:paraId="596C8331" w14:textId="77777777" w:rsidR="008B4E16" w:rsidRPr="008B4E16" w:rsidRDefault="008B4E16" w:rsidP="00A12318">
            <w:pPr>
              <w:pStyle w:val="Tabletext1"/>
              <w:rPr>
                <w:rFonts w:cstheme="minorBidi"/>
              </w:rPr>
            </w:pPr>
          </w:p>
        </w:tc>
      </w:tr>
      <w:tr w:rsidR="008B4E16" w:rsidRPr="008B4E16" w14:paraId="0753EAEA" w14:textId="77777777" w:rsidTr="008B4E16">
        <w:tc>
          <w:tcPr>
            <w:tcW w:w="1362" w:type="pct"/>
          </w:tcPr>
          <w:p w14:paraId="0035328E" w14:textId="1946EE79" w:rsidR="008B4E16" w:rsidRPr="008B4E16" w:rsidRDefault="008B4E16" w:rsidP="00A12318">
            <w:pPr>
              <w:pStyle w:val="Tabletext1"/>
            </w:pPr>
            <w:r w:rsidRPr="00A12318">
              <w:rPr>
                <w:b/>
                <w:u w:val="single"/>
              </w:rPr>
              <w:t>MTA</w:t>
            </w:r>
            <w:r w:rsidR="00492BD0">
              <w:br/>
              <w:t>F/U</w:t>
            </w:r>
            <w:r w:rsidRPr="008B4E16">
              <w:t>: range 6</w:t>
            </w:r>
            <w:r w:rsidR="00D35E9C">
              <w:t>–</w:t>
            </w:r>
            <w:r w:rsidRPr="008B4E16">
              <w:t>30 months</w:t>
            </w:r>
          </w:p>
        </w:tc>
        <w:tc>
          <w:tcPr>
            <w:tcW w:w="920" w:type="pct"/>
          </w:tcPr>
          <w:p w14:paraId="13E13420" w14:textId="77777777" w:rsidR="008B4E16" w:rsidRPr="008B4E16" w:rsidRDefault="008B4E16" w:rsidP="00A12318">
            <w:pPr>
              <w:pStyle w:val="Tabletext1"/>
              <w:rPr>
                <w:rFonts w:cstheme="minorBidi"/>
              </w:rPr>
            </w:pPr>
            <w:r w:rsidRPr="008B4E16">
              <w:rPr>
                <w:rFonts w:cstheme="minorBidi"/>
              </w:rPr>
              <w:t>N</w:t>
            </w:r>
            <w:r w:rsidR="001104D0">
              <w:rPr>
                <w:rFonts w:cstheme="minorBidi"/>
              </w:rPr>
              <w:t xml:space="preserve"> </w:t>
            </w:r>
            <w:r w:rsidRPr="008B4E16">
              <w:rPr>
                <w:rFonts w:cstheme="minorBidi"/>
              </w:rPr>
              <w:t>=</w:t>
            </w:r>
            <w:r w:rsidR="001104D0">
              <w:rPr>
                <w:rFonts w:cstheme="minorBidi"/>
              </w:rPr>
              <w:t xml:space="preserve"> </w:t>
            </w:r>
            <w:r w:rsidRPr="008B4E16">
              <w:rPr>
                <w:rFonts w:cstheme="minorBidi"/>
              </w:rPr>
              <w:t>916</w:t>
            </w:r>
          </w:p>
          <w:p w14:paraId="41996E7E" w14:textId="77777777" w:rsidR="008B4E16" w:rsidRPr="008B4E16" w:rsidRDefault="008B4E16" w:rsidP="00A12318">
            <w:pPr>
              <w:pStyle w:val="Tabletext1"/>
              <w:rPr>
                <w:rFonts w:cstheme="minorBidi"/>
              </w:rPr>
            </w:pPr>
            <w:r w:rsidRPr="008B4E16">
              <w:rPr>
                <w:rFonts w:cstheme="minorBidi"/>
              </w:rPr>
              <w:t>1 Level III-2 studies</w:t>
            </w:r>
          </w:p>
          <w:p w14:paraId="03C99CE5" w14:textId="6978AEB2" w:rsidR="008B4E16" w:rsidRPr="008B4E16" w:rsidRDefault="008B4E16" w:rsidP="004B1012">
            <w:pPr>
              <w:pStyle w:val="Tabletext1"/>
              <w:rPr>
                <w:rFonts w:cstheme="minorBidi"/>
              </w:rPr>
            </w:pPr>
            <w:r w:rsidRPr="008B4E16">
              <w:rPr>
                <w:rFonts w:cstheme="minorBidi"/>
              </w:rPr>
              <w:t>19 Level IV studies</w:t>
            </w:r>
          </w:p>
        </w:tc>
        <w:tc>
          <w:tcPr>
            <w:tcW w:w="1764" w:type="pct"/>
          </w:tcPr>
          <w:p w14:paraId="6894A26E" w14:textId="77777777" w:rsidR="008B4E16" w:rsidRPr="008B4E16" w:rsidRDefault="008B4E16" w:rsidP="00A12318">
            <w:pPr>
              <w:pStyle w:val="Tabletext1"/>
              <w:rPr>
                <w:rFonts w:cstheme="minorBidi"/>
              </w:rPr>
            </w:pPr>
            <w:r w:rsidRPr="008B4E16">
              <w:rPr>
                <w:rFonts w:cstheme="minorBidi"/>
              </w:rPr>
              <w:t>2/916 (0.22%)</w:t>
            </w:r>
            <w:r w:rsidRPr="008B4E16">
              <w:rPr>
                <w:rFonts w:cstheme="minorBidi"/>
                <w:vertAlign w:val="superscript"/>
              </w:rPr>
              <w:t>1</w:t>
            </w:r>
          </w:p>
        </w:tc>
        <w:tc>
          <w:tcPr>
            <w:tcW w:w="954" w:type="pct"/>
          </w:tcPr>
          <w:p w14:paraId="29283A5E"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r w:rsidR="008B4E16" w:rsidRPr="008B4E16" w14:paraId="677E82C8" w14:textId="77777777" w:rsidTr="008B4E16">
        <w:trPr>
          <w:trHeight w:val="280"/>
        </w:trPr>
        <w:tc>
          <w:tcPr>
            <w:tcW w:w="1362" w:type="pct"/>
          </w:tcPr>
          <w:p w14:paraId="3967C06A" w14:textId="77777777" w:rsidR="008B4E16" w:rsidRPr="00A12318" w:rsidRDefault="008B4E16" w:rsidP="00A12318">
            <w:pPr>
              <w:pStyle w:val="Tabletext1"/>
              <w:rPr>
                <w:b/>
                <w:u w:val="single"/>
              </w:rPr>
            </w:pPr>
            <w:r w:rsidRPr="00A12318">
              <w:rPr>
                <w:b/>
                <w:u w:val="single"/>
              </w:rPr>
              <w:t>RFA</w:t>
            </w:r>
          </w:p>
          <w:p w14:paraId="5C4D7F31" w14:textId="511675D7" w:rsidR="008B4E16" w:rsidRPr="008B4E16" w:rsidRDefault="008B4E16" w:rsidP="00492BD0">
            <w:pPr>
              <w:pStyle w:val="Tabletext1"/>
            </w:pPr>
            <w:r w:rsidRPr="008B4E16">
              <w:t>F</w:t>
            </w:r>
            <w:r w:rsidR="00492BD0">
              <w:t>/U</w:t>
            </w:r>
            <w:r w:rsidRPr="008B4E16">
              <w:t>: range 10</w:t>
            </w:r>
            <w:r w:rsidR="00D35E9C">
              <w:t>–</w:t>
            </w:r>
            <w:r w:rsidRPr="008B4E16">
              <w:t>46 months</w:t>
            </w:r>
          </w:p>
        </w:tc>
        <w:tc>
          <w:tcPr>
            <w:tcW w:w="920" w:type="pct"/>
          </w:tcPr>
          <w:p w14:paraId="24156F17" w14:textId="77777777" w:rsidR="008B4E16" w:rsidRPr="008B4E16" w:rsidRDefault="008B4E16" w:rsidP="00A12318">
            <w:pPr>
              <w:pStyle w:val="Tabletext1"/>
              <w:rPr>
                <w:rFonts w:cstheme="minorBidi"/>
              </w:rPr>
            </w:pPr>
            <w:r w:rsidRPr="008B4E16">
              <w:rPr>
                <w:rFonts w:cstheme="minorBidi"/>
              </w:rPr>
              <w:t>N</w:t>
            </w:r>
            <w:r w:rsidR="001104D0">
              <w:rPr>
                <w:rFonts w:cstheme="minorBidi"/>
              </w:rPr>
              <w:t xml:space="preserve"> </w:t>
            </w:r>
            <w:r w:rsidRPr="008B4E16">
              <w:rPr>
                <w:rFonts w:cstheme="minorBidi"/>
              </w:rPr>
              <w:t>=</w:t>
            </w:r>
            <w:r w:rsidR="001104D0">
              <w:rPr>
                <w:rFonts w:cstheme="minorBidi"/>
              </w:rPr>
              <w:t xml:space="preserve"> </w:t>
            </w:r>
            <w:r w:rsidRPr="008B4E16">
              <w:rPr>
                <w:rFonts w:cstheme="minorBidi"/>
              </w:rPr>
              <w:t>1259</w:t>
            </w:r>
          </w:p>
          <w:p w14:paraId="65539B99" w14:textId="77777777" w:rsidR="008B4E16" w:rsidRPr="008B4E16" w:rsidRDefault="008B4E16" w:rsidP="00A12318">
            <w:pPr>
              <w:pStyle w:val="Tabletext1"/>
              <w:rPr>
                <w:rFonts w:cstheme="minorBidi"/>
              </w:rPr>
            </w:pPr>
            <w:r w:rsidRPr="008B4E16">
              <w:rPr>
                <w:rFonts w:cstheme="minorBidi"/>
              </w:rPr>
              <w:t>1 Level III-3 study</w:t>
            </w:r>
          </w:p>
          <w:p w14:paraId="341E9A62" w14:textId="5D9648EE" w:rsidR="008B4E16" w:rsidRPr="008B4E16" w:rsidRDefault="008B4E16" w:rsidP="004B1012">
            <w:pPr>
              <w:pStyle w:val="Tabletext1"/>
              <w:rPr>
                <w:rFonts w:cstheme="minorBidi"/>
              </w:rPr>
            </w:pPr>
            <w:r w:rsidRPr="008B4E16">
              <w:rPr>
                <w:rFonts w:cstheme="minorBidi"/>
              </w:rPr>
              <w:t>16 Level IV studies</w:t>
            </w:r>
          </w:p>
        </w:tc>
        <w:tc>
          <w:tcPr>
            <w:tcW w:w="1764" w:type="pct"/>
          </w:tcPr>
          <w:p w14:paraId="15155DD9" w14:textId="77777777" w:rsidR="008B4E16" w:rsidRPr="008B4E16" w:rsidRDefault="008B4E16" w:rsidP="00A12318">
            <w:pPr>
              <w:pStyle w:val="Tabletext1"/>
              <w:rPr>
                <w:rFonts w:cstheme="minorBidi"/>
              </w:rPr>
            </w:pPr>
            <w:r w:rsidRPr="008B4E16">
              <w:rPr>
                <w:rFonts w:cstheme="minorBidi"/>
              </w:rPr>
              <w:t>1/1259 (&lt;0.1%)</w:t>
            </w:r>
          </w:p>
        </w:tc>
        <w:tc>
          <w:tcPr>
            <w:tcW w:w="954" w:type="pct"/>
          </w:tcPr>
          <w:p w14:paraId="6FBE02CE"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r w:rsidR="008B4E16" w:rsidRPr="008B4E16" w14:paraId="547814AD" w14:textId="77777777" w:rsidTr="008B4E16">
        <w:tc>
          <w:tcPr>
            <w:tcW w:w="1362" w:type="pct"/>
            <w:tcBorders>
              <w:bottom w:val="single" w:sz="4" w:space="0" w:color="auto"/>
            </w:tcBorders>
          </w:tcPr>
          <w:p w14:paraId="7B6C2CDC" w14:textId="77777777" w:rsidR="008B4E16" w:rsidRPr="00A12318" w:rsidRDefault="008B4E16" w:rsidP="00A12318">
            <w:pPr>
              <w:pStyle w:val="Tabletext1"/>
              <w:rPr>
                <w:b/>
                <w:u w:val="single"/>
              </w:rPr>
            </w:pPr>
            <w:r w:rsidRPr="00A12318">
              <w:rPr>
                <w:b/>
                <w:u w:val="single"/>
              </w:rPr>
              <w:t>Radiotherapy</w:t>
            </w:r>
          </w:p>
          <w:p w14:paraId="0001FDF2" w14:textId="371E884F" w:rsidR="008B4E16" w:rsidRPr="008B4E16" w:rsidRDefault="008B4E16" w:rsidP="00492BD0">
            <w:pPr>
              <w:pStyle w:val="Tabletext1"/>
            </w:pPr>
            <w:r w:rsidRPr="008B4E16">
              <w:t>F/</w:t>
            </w:r>
            <w:r w:rsidR="00492BD0">
              <w:t>U</w:t>
            </w:r>
            <w:r w:rsidRPr="008B4E16">
              <w:t>: range 13</w:t>
            </w:r>
            <w:r w:rsidR="00D35E9C">
              <w:t>–</w:t>
            </w:r>
            <w:r w:rsidRPr="008B4E16">
              <w:t>82 months</w:t>
            </w:r>
          </w:p>
        </w:tc>
        <w:tc>
          <w:tcPr>
            <w:tcW w:w="920" w:type="pct"/>
            <w:tcBorders>
              <w:bottom w:val="single" w:sz="4" w:space="0" w:color="auto"/>
            </w:tcBorders>
          </w:tcPr>
          <w:p w14:paraId="6777D081" w14:textId="77777777" w:rsidR="008B4E16" w:rsidRPr="008B4E16" w:rsidRDefault="008B4E16" w:rsidP="00A12318">
            <w:pPr>
              <w:pStyle w:val="Tabletext1"/>
            </w:pPr>
            <w:r w:rsidRPr="008B4E16">
              <w:t>N</w:t>
            </w:r>
            <w:r w:rsidR="001104D0">
              <w:t xml:space="preserve"> </w:t>
            </w:r>
            <w:r w:rsidRPr="008B4E16">
              <w:t>=</w:t>
            </w:r>
            <w:r w:rsidR="001104D0">
              <w:t xml:space="preserve"> </w:t>
            </w:r>
            <w:r w:rsidRPr="008B4E16">
              <w:t>NA</w:t>
            </w:r>
          </w:p>
          <w:p w14:paraId="7A86C96A" w14:textId="77777777" w:rsidR="008B4E16" w:rsidRPr="008B4E16" w:rsidRDefault="008B4E16" w:rsidP="00A12318">
            <w:pPr>
              <w:pStyle w:val="Tabletext1"/>
            </w:pPr>
            <w:r w:rsidRPr="008B4E16">
              <w:t>2 Level II studies</w:t>
            </w:r>
          </w:p>
          <w:p w14:paraId="1FE9EC6F" w14:textId="77777777" w:rsidR="008B4E16" w:rsidRPr="008B4E16" w:rsidRDefault="008B4E16" w:rsidP="00A12318">
            <w:pPr>
              <w:pStyle w:val="Tabletext1"/>
            </w:pPr>
            <w:r w:rsidRPr="008B4E16">
              <w:t>2 Level III-2 studies</w:t>
            </w:r>
          </w:p>
          <w:p w14:paraId="6C201ACA" w14:textId="77777777" w:rsidR="008B4E16" w:rsidRPr="008B4E16" w:rsidRDefault="008B4E16" w:rsidP="00A12318">
            <w:pPr>
              <w:pStyle w:val="Tabletext1"/>
            </w:pPr>
            <w:r w:rsidRPr="008B4E16">
              <w:t>13 Level IV studies</w:t>
            </w:r>
          </w:p>
        </w:tc>
        <w:tc>
          <w:tcPr>
            <w:tcW w:w="1764" w:type="pct"/>
            <w:tcBorders>
              <w:bottom w:val="single" w:sz="4" w:space="0" w:color="auto"/>
            </w:tcBorders>
          </w:tcPr>
          <w:p w14:paraId="26B0A7A1" w14:textId="77777777" w:rsidR="008B4E16" w:rsidRPr="008B4E16" w:rsidRDefault="008B4E16" w:rsidP="00A12318">
            <w:pPr>
              <w:pStyle w:val="Tabletext1"/>
              <w:rPr>
                <w:rFonts w:cstheme="minorBidi"/>
              </w:rPr>
            </w:pPr>
            <w:r w:rsidRPr="008B4E16">
              <w:rPr>
                <w:rFonts w:cstheme="minorBidi"/>
              </w:rPr>
              <w:t>2 cases of procedure-related mortality across all included 17 studies.</w:t>
            </w:r>
            <w:r w:rsidRPr="008B4E16">
              <w:rPr>
                <w:rFonts w:cstheme="minorBidi"/>
                <w:vertAlign w:val="superscript"/>
              </w:rPr>
              <w:t>2</w:t>
            </w:r>
          </w:p>
        </w:tc>
        <w:tc>
          <w:tcPr>
            <w:tcW w:w="954" w:type="pct"/>
            <w:tcBorders>
              <w:bottom w:val="single" w:sz="4" w:space="0" w:color="auto"/>
            </w:tcBorders>
          </w:tcPr>
          <w:p w14:paraId="621B82DC"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r w:rsidRPr="008B4E16">
              <w:rPr>
                <w:rFonts w:cstheme="minorBidi"/>
                <w:vertAlign w:val="superscript"/>
              </w:rPr>
              <w:t>3</w:t>
            </w:r>
          </w:p>
        </w:tc>
      </w:tr>
      <w:tr w:rsidR="008B4E16" w:rsidRPr="008B4E16" w14:paraId="1D84E778" w14:textId="77777777" w:rsidTr="008B4E16">
        <w:tc>
          <w:tcPr>
            <w:tcW w:w="1362" w:type="pct"/>
            <w:tcBorders>
              <w:bottom w:val="single" w:sz="4" w:space="0" w:color="auto"/>
            </w:tcBorders>
          </w:tcPr>
          <w:p w14:paraId="1DBE1A20" w14:textId="77777777" w:rsidR="008B4E16" w:rsidRPr="00A12318" w:rsidRDefault="008B4E16" w:rsidP="00A12318">
            <w:pPr>
              <w:pStyle w:val="Tabletext1"/>
              <w:rPr>
                <w:b/>
                <w:u w:val="single"/>
              </w:rPr>
            </w:pPr>
            <w:r w:rsidRPr="00A12318">
              <w:rPr>
                <w:b/>
                <w:u w:val="single"/>
              </w:rPr>
              <w:t>Surgery</w:t>
            </w:r>
          </w:p>
          <w:p w14:paraId="20FCF8F8" w14:textId="2A834F51" w:rsidR="008B4E16" w:rsidRPr="008B4E16" w:rsidRDefault="008B4E16" w:rsidP="00492BD0">
            <w:pPr>
              <w:pStyle w:val="Tabletext1"/>
            </w:pPr>
            <w:r w:rsidRPr="008B4E16">
              <w:t>F/</w:t>
            </w:r>
            <w:r w:rsidR="00492BD0">
              <w:t>U</w:t>
            </w:r>
            <w:r w:rsidRPr="008B4E16">
              <w:t>: NA</w:t>
            </w:r>
          </w:p>
        </w:tc>
        <w:tc>
          <w:tcPr>
            <w:tcW w:w="920" w:type="pct"/>
            <w:tcBorders>
              <w:bottom w:val="single" w:sz="4" w:space="0" w:color="auto"/>
            </w:tcBorders>
          </w:tcPr>
          <w:p w14:paraId="23E8168A" w14:textId="77777777" w:rsidR="008B4E16" w:rsidRPr="008B4E16" w:rsidRDefault="008B4E16" w:rsidP="00A12318">
            <w:pPr>
              <w:pStyle w:val="Tabletext1"/>
            </w:pPr>
            <w:r w:rsidRPr="008B4E16">
              <w:t>N</w:t>
            </w:r>
            <w:r w:rsidR="001104D0">
              <w:t xml:space="preserve"> </w:t>
            </w:r>
            <w:r w:rsidRPr="008B4E16">
              <w:t>= NA</w:t>
            </w:r>
          </w:p>
          <w:p w14:paraId="19B57ACF" w14:textId="77777777" w:rsidR="008B4E16" w:rsidRPr="008B4E16" w:rsidRDefault="008B4E16" w:rsidP="00A12318">
            <w:pPr>
              <w:pStyle w:val="Tabletext1"/>
            </w:pPr>
            <w:r w:rsidRPr="008B4E16">
              <w:t>1 Level I study</w:t>
            </w:r>
          </w:p>
          <w:p w14:paraId="62352666" w14:textId="77777777" w:rsidR="008B4E16" w:rsidRPr="008B4E16" w:rsidRDefault="008B4E16" w:rsidP="00A12318">
            <w:pPr>
              <w:pStyle w:val="Tabletext1"/>
            </w:pPr>
            <w:r w:rsidRPr="008B4E16">
              <w:t>2 Level IV studies</w:t>
            </w:r>
          </w:p>
        </w:tc>
        <w:tc>
          <w:tcPr>
            <w:tcW w:w="1764" w:type="pct"/>
            <w:tcBorders>
              <w:bottom w:val="single" w:sz="4" w:space="0" w:color="auto"/>
            </w:tcBorders>
          </w:tcPr>
          <w:p w14:paraId="2C0EF0AC" w14:textId="649A8ED3" w:rsidR="008B4E16" w:rsidRPr="008B4E16" w:rsidRDefault="008B4E16" w:rsidP="00A12318">
            <w:pPr>
              <w:pStyle w:val="Tabletext1"/>
              <w:rPr>
                <w:rFonts w:cstheme="minorBidi"/>
              </w:rPr>
            </w:pPr>
            <w:r w:rsidRPr="008B4E16">
              <w:rPr>
                <w:rFonts w:cstheme="minorBidi"/>
                <w:u w:val="single"/>
              </w:rPr>
              <w:t>Pfannschmidt et al (2007):</w:t>
            </w:r>
            <w:r w:rsidRPr="008B4E16">
              <w:rPr>
                <w:rFonts w:cstheme="minorBidi"/>
              </w:rPr>
              <w:t xml:space="preserve">  4/20 studies reported mortality, range 0</w:t>
            </w:r>
            <w:r w:rsidR="00D35E9C">
              <w:rPr>
                <w:rFonts w:cstheme="minorBidi"/>
              </w:rPr>
              <w:t>–</w:t>
            </w:r>
            <w:r w:rsidRPr="008B4E16">
              <w:rPr>
                <w:rFonts w:cstheme="minorBidi"/>
              </w:rPr>
              <w:t>3% of patients</w:t>
            </w:r>
          </w:p>
          <w:p w14:paraId="5433B340" w14:textId="77777777" w:rsidR="008B4E16" w:rsidRPr="008B4E16" w:rsidRDefault="008B4E16" w:rsidP="00A12318">
            <w:pPr>
              <w:pStyle w:val="Tabletext1"/>
              <w:rPr>
                <w:rFonts w:cstheme="minorBidi"/>
              </w:rPr>
            </w:pPr>
            <w:r w:rsidRPr="008B4E16">
              <w:rPr>
                <w:rFonts w:cstheme="minorBidi"/>
                <w:u w:val="single"/>
              </w:rPr>
              <w:t>Renaud et al (2014) and Kitano et al (2012):</w:t>
            </w:r>
            <w:r w:rsidRPr="008B4E16">
              <w:rPr>
                <w:rFonts w:cstheme="minorBidi"/>
              </w:rPr>
              <w:t xml:space="preserve"> 0/365 (0%)</w:t>
            </w:r>
          </w:p>
        </w:tc>
        <w:tc>
          <w:tcPr>
            <w:tcW w:w="954" w:type="pct"/>
            <w:tcBorders>
              <w:bottom w:val="single" w:sz="4" w:space="0" w:color="auto"/>
            </w:tcBorders>
          </w:tcPr>
          <w:p w14:paraId="5E708400"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bl>
    <w:p w14:paraId="110634B0" w14:textId="38F89BE9" w:rsidR="00972268" w:rsidRDefault="00972268"/>
    <w:tbl>
      <w:tblPr>
        <w:tblStyle w:val="TableGrid82"/>
        <w:tblW w:w="5000" w:type="pct"/>
        <w:tblLayout w:type="fixed"/>
        <w:tblLook w:val="04A0" w:firstRow="1" w:lastRow="0" w:firstColumn="1" w:lastColumn="0" w:noHBand="0" w:noVBand="1"/>
        <w:tblCaption w:val="Table 70"/>
        <w:tblDescription w:val="Clinical benefits of MTA and comparators for Population one"/>
      </w:tblPr>
      <w:tblGrid>
        <w:gridCol w:w="2517"/>
        <w:gridCol w:w="1701"/>
        <w:gridCol w:w="3261"/>
        <w:gridCol w:w="1763"/>
      </w:tblGrid>
      <w:tr w:rsidR="00090D99" w:rsidRPr="008B4E16" w14:paraId="246C06A4" w14:textId="77777777" w:rsidTr="00090D99">
        <w:trPr>
          <w:tblHeader/>
        </w:trPr>
        <w:tc>
          <w:tcPr>
            <w:tcW w:w="1362" w:type="pct"/>
            <w:tcBorders>
              <w:bottom w:val="single" w:sz="4" w:space="0" w:color="auto"/>
              <w:right w:val="single" w:sz="4" w:space="0" w:color="auto"/>
            </w:tcBorders>
            <w:shd w:val="clear" w:color="auto" w:fill="D9D9D9" w:themeFill="background1" w:themeFillShade="D9"/>
          </w:tcPr>
          <w:p w14:paraId="72513F88" w14:textId="0393454C" w:rsidR="00090D99" w:rsidRPr="00A12318" w:rsidRDefault="00090D99" w:rsidP="00A12318">
            <w:pPr>
              <w:pStyle w:val="Tabletext1"/>
              <w:rPr>
                <w:rFonts w:cstheme="minorBidi"/>
                <w:b/>
              </w:rPr>
            </w:pPr>
            <w:r w:rsidRPr="00A12318">
              <w:rPr>
                <w:b/>
              </w:rPr>
              <w:t>Outcome and intervention/comparator</w:t>
            </w:r>
          </w:p>
        </w:tc>
        <w:tc>
          <w:tcPr>
            <w:tcW w:w="920" w:type="pct"/>
            <w:tcBorders>
              <w:left w:val="single" w:sz="4" w:space="0" w:color="auto"/>
              <w:bottom w:val="single" w:sz="4" w:space="0" w:color="auto"/>
              <w:right w:val="single" w:sz="4" w:space="0" w:color="auto"/>
            </w:tcBorders>
            <w:shd w:val="clear" w:color="auto" w:fill="D9D9D9" w:themeFill="background1" w:themeFillShade="D9"/>
          </w:tcPr>
          <w:p w14:paraId="31FF3C84" w14:textId="43D6174D" w:rsidR="00090D99" w:rsidRPr="008B4E16" w:rsidRDefault="00090D99" w:rsidP="00A12318">
            <w:pPr>
              <w:pStyle w:val="Tabletext1"/>
              <w:rPr>
                <w:rFonts w:cstheme="minorBidi"/>
              </w:rPr>
            </w:pPr>
            <w:r w:rsidRPr="00A12318">
              <w:rPr>
                <w:b/>
              </w:rPr>
              <w:t>№ of patients</w:t>
            </w:r>
            <w:r w:rsidRPr="00A12318">
              <w:rPr>
                <w:b/>
              </w:rPr>
              <w:br/>
              <w:t>(studies)</w:t>
            </w:r>
          </w:p>
        </w:tc>
        <w:tc>
          <w:tcPr>
            <w:tcW w:w="1764" w:type="pct"/>
            <w:tcBorders>
              <w:left w:val="single" w:sz="4" w:space="0" w:color="auto"/>
              <w:bottom w:val="single" w:sz="4" w:space="0" w:color="auto"/>
              <w:right w:val="single" w:sz="4" w:space="0" w:color="auto"/>
            </w:tcBorders>
            <w:shd w:val="clear" w:color="auto" w:fill="D9D9D9" w:themeFill="background1" w:themeFillShade="D9"/>
          </w:tcPr>
          <w:p w14:paraId="27C17463" w14:textId="0748C2A3" w:rsidR="00090D99" w:rsidRPr="008B4E16" w:rsidRDefault="00090D99" w:rsidP="00A12318">
            <w:pPr>
              <w:pStyle w:val="Tabletext1"/>
              <w:rPr>
                <w:rFonts w:cstheme="minorBidi"/>
              </w:rPr>
            </w:pPr>
            <w:r w:rsidRPr="00A12318">
              <w:rPr>
                <w:rFonts w:cstheme="minorBidi"/>
                <w:b/>
              </w:rPr>
              <w:t>Summary</w:t>
            </w:r>
          </w:p>
        </w:tc>
        <w:tc>
          <w:tcPr>
            <w:tcW w:w="954" w:type="pct"/>
            <w:tcBorders>
              <w:left w:val="single" w:sz="4" w:space="0" w:color="auto"/>
              <w:bottom w:val="single" w:sz="4" w:space="0" w:color="auto"/>
              <w:right w:val="single" w:sz="4" w:space="0" w:color="auto"/>
            </w:tcBorders>
            <w:shd w:val="clear" w:color="auto" w:fill="D9D9D9" w:themeFill="background1" w:themeFillShade="D9"/>
          </w:tcPr>
          <w:p w14:paraId="439ACB0A" w14:textId="0D5F9CA4" w:rsidR="00090D99" w:rsidRPr="008B4E16" w:rsidRDefault="00090D99" w:rsidP="00A12318">
            <w:pPr>
              <w:pStyle w:val="Tabletext1"/>
              <w:rPr>
                <w:rFonts w:cstheme="minorBidi"/>
              </w:rPr>
            </w:pPr>
            <w:r w:rsidRPr="00A12318">
              <w:rPr>
                <w:b/>
              </w:rPr>
              <w:t>Quality of the evidence (GRADE)</w:t>
            </w:r>
          </w:p>
        </w:tc>
      </w:tr>
      <w:tr w:rsidR="00090D99" w:rsidRPr="008B4E16" w14:paraId="4305E4DF" w14:textId="77777777" w:rsidTr="00090D99">
        <w:trPr>
          <w:tblHeader/>
        </w:trPr>
        <w:tc>
          <w:tcPr>
            <w:tcW w:w="1362" w:type="pct"/>
            <w:tcBorders>
              <w:top w:val="single" w:sz="4" w:space="0" w:color="auto"/>
              <w:left w:val="single" w:sz="4" w:space="0" w:color="auto"/>
              <w:bottom w:val="single" w:sz="4" w:space="0" w:color="auto"/>
              <w:right w:val="nil"/>
            </w:tcBorders>
            <w:shd w:val="clear" w:color="auto" w:fill="D9D9D9" w:themeFill="background1" w:themeFillShade="D9"/>
          </w:tcPr>
          <w:p w14:paraId="11EC577F" w14:textId="7CEAE493" w:rsidR="00090D99" w:rsidRPr="00A12318" w:rsidRDefault="00090D99" w:rsidP="00A12318">
            <w:pPr>
              <w:pStyle w:val="Tabletext1"/>
              <w:rPr>
                <w:b/>
              </w:rPr>
            </w:pPr>
            <w:r>
              <w:rPr>
                <w:b/>
              </w:rPr>
              <w:t>30 day mortality</w:t>
            </w:r>
          </w:p>
        </w:tc>
        <w:tc>
          <w:tcPr>
            <w:tcW w:w="920" w:type="pct"/>
            <w:tcBorders>
              <w:top w:val="single" w:sz="4" w:space="0" w:color="auto"/>
              <w:left w:val="nil"/>
              <w:bottom w:val="single" w:sz="4" w:space="0" w:color="auto"/>
              <w:right w:val="nil"/>
            </w:tcBorders>
            <w:shd w:val="clear" w:color="auto" w:fill="D9D9D9" w:themeFill="background1" w:themeFillShade="D9"/>
          </w:tcPr>
          <w:p w14:paraId="32E556B0" w14:textId="77777777" w:rsidR="00090D99" w:rsidRPr="00A12318" w:rsidRDefault="00090D99" w:rsidP="00A12318">
            <w:pPr>
              <w:pStyle w:val="Tabletext1"/>
              <w:rPr>
                <w:b/>
              </w:rPr>
            </w:pPr>
          </w:p>
        </w:tc>
        <w:tc>
          <w:tcPr>
            <w:tcW w:w="1764" w:type="pct"/>
            <w:tcBorders>
              <w:top w:val="single" w:sz="4" w:space="0" w:color="auto"/>
              <w:left w:val="nil"/>
              <w:bottom w:val="single" w:sz="4" w:space="0" w:color="auto"/>
              <w:right w:val="nil"/>
            </w:tcBorders>
            <w:shd w:val="clear" w:color="auto" w:fill="D9D9D9" w:themeFill="background1" w:themeFillShade="D9"/>
          </w:tcPr>
          <w:p w14:paraId="233B7694" w14:textId="77777777" w:rsidR="00090D99" w:rsidRPr="00A12318" w:rsidRDefault="00090D99" w:rsidP="00A12318">
            <w:pPr>
              <w:pStyle w:val="Tabletext1"/>
              <w:rPr>
                <w:rFonts w:cstheme="minorBidi"/>
                <w:b/>
              </w:rPr>
            </w:pPr>
          </w:p>
        </w:tc>
        <w:tc>
          <w:tcPr>
            <w:tcW w:w="954" w:type="pct"/>
            <w:tcBorders>
              <w:top w:val="single" w:sz="4" w:space="0" w:color="auto"/>
              <w:left w:val="nil"/>
              <w:bottom w:val="single" w:sz="4" w:space="0" w:color="auto"/>
              <w:right w:val="single" w:sz="4" w:space="0" w:color="auto"/>
            </w:tcBorders>
            <w:shd w:val="clear" w:color="auto" w:fill="D9D9D9" w:themeFill="background1" w:themeFillShade="D9"/>
          </w:tcPr>
          <w:p w14:paraId="3B40E109" w14:textId="77777777" w:rsidR="00090D99" w:rsidRPr="00A12318" w:rsidRDefault="00090D99" w:rsidP="00A12318">
            <w:pPr>
              <w:pStyle w:val="Tabletext1"/>
              <w:rPr>
                <w:b/>
              </w:rPr>
            </w:pPr>
          </w:p>
        </w:tc>
      </w:tr>
      <w:tr w:rsidR="008B4E16" w:rsidRPr="008B4E16" w14:paraId="3235124D" w14:textId="77777777" w:rsidTr="00090D99">
        <w:tc>
          <w:tcPr>
            <w:tcW w:w="1362" w:type="pct"/>
            <w:tcBorders>
              <w:top w:val="single" w:sz="4" w:space="0" w:color="auto"/>
            </w:tcBorders>
          </w:tcPr>
          <w:p w14:paraId="27758711" w14:textId="1EE7C235" w:rsidR="008B4E16" w:rsidRPr="008B4E16" w:rsidRDefault="008B4E16" w:rsidP="00A12318">
            <w:pPr>
              <w:pStyle w:val="Tabletext1"/>
            </w:pPr>
            <w:r w:rsidRPr="00A12318">
              <w:rPr>
                <w:b/>
                <w:u w:val="single"/>
              </w:rPr>
              <w:t>MTA</w:t>
            </w:r>
            <w:r w:rsidR="00492BD0">
              <w:br/>
              <w:t>F/U</w:t>
            </w:r>
            <w:r w:rsidRPr="008B4E16">
              <w:t>: range 6</w:t>
            </w:r>
            <w:r w:rsidR="00D35E9C">
              <w:t>–</w:t>
            </w:r>
            <w:r w:rsidRPr="008B4E16">
              <w:t>30 months</w:t>
            </w:r>
          </w:p>
        </w:tc>
        <w:tc>
          <w:tcPr>
            <w:tcW w:w="920" w:type="pct"/>
            <w:tcBorders>
              <w:top w:val="single" w:sz="4" w:space="0" w:color="auto"/>
            </w:tcBorders>
          </w:tcPr>
          <w:p w14:paraId="62CB6CD1" w14:textId="77777777" w:rsidR="008B4E16" w:rsidRPr="008B4E16" w:rsidRDefault="008B4E16" w:rsidP="00A12318">
            <w:pPr>
              <w:pStyle w:val="Tabletext1"/>
              <w:rPr>
                <w:rFonts w:cstheme="minorBidi"/>
              </w:rPr>
            </w:pPr>
            <w:r w:rsidRPr="008B4E16">
              <w:rPr>
                <w:rFonts w:cstheme="minorBidi"/>
              </w:rPr>
              <w:t>N</w:t>
            </w:r>
            <w:r w:rsidR="001104D0">
              <w:rPr>
                <w:rFonts w:cstheme="minorBidi"/>
              </w:rPr>
              <w:t xml:space="preserve"> </w:t>
            </w:r>
            <w:r w:rsidRPr="008B4E16">
              <w:rPr>
                <w:rFonts w:cstheme="minorBidi"/>
              </w:rPr>
              <w:t>=</w:t>
            </w:r>
            <w:r w:rsidR="001104D0">
              <w:rPr>
                <w:rFonts w:cstheme="minorBidi"/>
              </w:rPr>
              <w:t xml:space="preserve"> </w:t>
            </w:r>
            <w:r w:rsidRPr="008B4E16">
              <w:rPr>
                <w:rFonts w:cstheme="minorBidi"/>
              </w:rPr>
              <w:t>739</w:t>
            </w:r>
          </w:p>
          <w:p w14:paraId="311A7F5E" w14:textId="77777777" w:rsidR="008B4E16" w:rsidRPr="008B4E16" w:rsidRDefault="008B4E16" w:rsidP="00A12318">
            <w:pPr>
              <w:pStyle w:val="Tabletext1"/>
            </w:pPr>
            <w:r w:rsidRPr="008B4E16">
              <w:rPr>
                <w:rFonts w:cstheme="minorBidi"/>
              </w:rPr>
              <w:t>16 Level IV studies</w:t>
            </w:r>
          </w:p>
        </w:tc>
        <w:tc>
          <w:tcPr>
            <w:tcW w:w="1764" w:type="pct"/>
            <w:tcBorders>
              <w:top w:val="single" w:sz="4" w:space="0" w:color="auto"/>
            </w:tcBorders>
          </w:tcPr>
          <w:p w14:paraId="60951323" w14:textId="77777777" w:rsidR="008B4E16" w:rsidRPr="008B4E16" w:rsidRDefault="008B4E16" w:rsidP="00A12318">
            <w:pPr>
              <w:pStyle w:val="Tabletext1"/>
              <w:rPr>
                <w:rFonts w:cstheme="minorBidi"/>
              </w:rPr>
            </w:pPr>
            <w:r w:rsidRPr="008B4E16">
              <w:rPr>
                <w:rFonts w:cstheme="minorBidi"/>
              </w:rPr>
              <w:t>1/739 (0.14%)</w:t>
            </w:r>
          </w:p>
        </w:tc>
        <w:tc>
          <w:tcPr>
            <w:tcW w:w="954" w:type="pct"/>
            <w:tcBorders>
              <w:top w:val="single" w:sz="4" w:space="0" w:color="auto"/>
            </w:tcBorders>
          </w:tcPr>
          <w:p w14:paraId="520C0553"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r w:rsidR="008B4E16" w:rsidRPr="008B4E16" w14:paraId="73CBD50D" w14:textId="77777777" w:rsidTr="008B4E16">
        <w:tc>
          <w:tcPr>
            <w:tcW w:w="1362" w:type="pct"/>
          </w:tcPr>
          <w:p w14:paraId="390BE2F3" w14:textId="77777777" w:rsidR="008B4E16" w:rsidRPr="00A12318" w:rsidRDefault="008B4E16" w:rsidP="00A12318">
            <w:pPr>
              <w:pStyle w:val="Tabletext1"/>
              <w:rPr>
                <w:b/>
                <w:u w:val="single"/>
              </w:rPr>
            </w:pPr>
            <w:r w:rsidRPr="00A12318">
              <w:rPr>
                <w:b/>
                <w:u w:val="single"/>
              </w:rPr>
              <w:t>RFA</w:t>
            </w:r>
          </w:p>
          <w:p w14:paraId="180E48FD" w14:textId="1E097F6B" w:rsidR="008B4E16" w:rsidRPr="008B4E16" w:rsidRDefault="00492BD0" w:rsidP="00A12318">
            <w:pPr>
              <w:pStyle w:val="Tabletext1"/>
            </w:pPr>
            <w:r>
              <w:t>F/U:</w:t>
            </w:r>
            <w:r w:rsidR="008B4E16" w:rsidRPr="008B4E16">
              <w:t xml:space="preserve"> range 10</w:t>
            </w:r>
            <w:r w:rsidR="00D35E9C">
              <w:t>–</w:t>
            </w:r>
            <w:r w:rsidR="008B4E16" w:rsidRPr="008B4E16">
              <w:t>36 months</w:t>
            </w:r>
          </w:p>
        </w:tc>
        <w:tc>
          <w:tcPr>
            <w:tcW w:w="920" w:type="pct"/>
          </w:tcPr>
          <w:p w14:paraId="7712DB0A" w14:textId="77777777" w:rsidR="008B4E16" w:rsidRPr="008B4E16" w:rsidRDefault="008B4E16" w:rsidP="00A12318">
            <w:pPr>
              <w:pStyle w:val="Tabletext1"/>
              <w:rPr>
                <w:rFonts w:cstheme="minorBidi"/>
              </w:rPr>
            </w:pPr>
            <w:r w:rsidRPr="008B4E16">
              <w:rPr>
                <w:rFonts w:cstheme="minorBidi"/>
              </w:rPr>
              <w:t>N</w:t>
            </w:r>
            <w:r w:rsidR="001104D0">
              <w:rPr>
                <w:rFonts w:cstheme="minorBidi"/>
              </w:rPr>
              <w:t xml:space="preserve"> </w:t>
            </w:r>
            <w:r w:rsidRPr="008B4E16">
              <w:rPr>
                <w:rFonts w:cstheme="minorBidi"/>
              </w:rPr>
              <w:t>=</w:t>
            </w:r>
            <w:r w:rsidR="001104D0">
              <w:rPr>
                <w:rFonts w:cstheme="minorBidi"/>
              </w:rPr>
              <w:t xml:space="preserve"> </w:t>
            </w:r>
            <w:r w:rsidRPr="008B4E16">
              <w:rPr>
                <w:rFonts w:cstheme="minorBidi"/>
              </w:rPr>
              <w:t>810</w:t>
            </w:r>
          </w:p>
          <w:p w14:paraId="2969F343" w14:textId="77777777" w:rsidR="008B4E16" w:rsidRPr="008B4E16" w:rsidRDefault="008B4E16" w:rsidP="00A12318">
            <w:pPr>
              <w:pStyle w:val="Tabletext1"/>
              <w:rPr>
                <w:rFonts w:cstheme="minorBidi"/>
              </w:rPr>
            </w:pPr>
            <w:r w:rsidRPr="008B4E16">
              <w:rPr>
                <w:rFonts w:cstheme="minorBidi"/>
              </w:rPr>
              <w:t>1 Level III-3 study 7 Level IV studies</w:t>
            </w:r>
          </w:p>
        </w:tc>
        <w:tc>
          <w:tcPr>
            <w:tcW w:w="1764" w:type="pct"/>
          </w:tcPr>
          <w:p w14:paraId="60A62914" w14:textId="77777777" w:rsidR="008B4E16" w:rsidRPr="008B4E16" w:rsidRDefault="008B4E16" w:rsidP="00A12318">
            <w:pPr>
              <w:pStyle w:val="Tabletext1"/>
              <w:rPr>
                <w:rFonts w:cstheme="minorBidi"/>
              </w:rPr>
            </w:pPr>
            <w:r w:rsidRPr="008B4E16">
              <w:rPr>
                <w:rFonts w:cstheme="minorBidi"/>
              </w:rPr>
              <w:t>2/810 (&lt;0.1%)</w:t>
            </w:r>
          </w:p>
        </w:tc>
        <w:tc>
          <w:tcPr>
            <w:tcW w:w="954" w:type="pct"/>
          </w:tcPr>
          <w:p w14:paraId="6182D901"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r w:rsidR="008B4E16" w:rsidRPr="008B4E16" w14:paraId="65DC908B" w14:textId="77777777" w:rsidTr="008B4E16">
        <w:tc>
          <w:tcPr>
            <w:tcW w:w="1362" w:type="pct"/>
          </w:tcPr>
          <w:p w14:paraId="6DB93DD2" w14:textId="77777777" w:rsidR="008B4E16" w:rsidRPr="00A12318" w:rsidRDefault="008B4E16" w:rsidP="00A12318">
            <w:pPr>
              <w:pStyle w:val="Tabletext1"/>
              <w:rPr>
                <w:b/>
                <w:u w:val="single"/>
              </w:rPr>
            </w:pPr>
            <w:r w:rsidRPr="00A12318">
              <w:rPr>
                <w:b/>
                <w:u w:val="single"/>
              </w:rPr>
              <w:t>Radiotherapy</w:t>
            </w:r>
          </w:p>
          <w:p w14:paraId="768582EB" w14:textId="147E8A6B" w:rsidR="008B4E16" w:rsidRPr="008B4E16" w:rsidRDefault="008B4E16" w:rsidP="00492BD0">
            <w:pPr>
              <w:pStyle w:val="Tabletext1"/>
            </w:pPr>
            <w:r w:rsidRPr="008B4E16">
              <w:t>F/</w:t>
            </w:r>
            <w:r w:rsidR="00492BD0">
              <w:t>U</w:t>
            </w:r>
            <w:r w:rsidRPr="008B4E16">
              <w:t>: range 13</w:t>
            </w:r>
            <w:r w:rsidR="00D35E9C">
              <w:t>–</w:t>
            </w:r>
            <w:r w:rsidRPr="008B4E16">
              <w:t>82 months</w:t>
            </w:r>
          </w:p>
        </w:tc>
        <w:tc>
          <w:tcPr>
            <w:tcW w:w="920" w:type="pct"/>
          </w:tcPr>
          <w:p w14:paraId="7AFC6548" w14:textId="77777777" w:rsidR="008B4E16" w:rsidRPr="008B4E16" w:rsidRDefault="008B4E16" w:rsidP="00A12318">
            <w:pPr>
              <w:pStyle w:val="Tabletext1"/>
            </w:pPr>
            <w:r w:rsidRPr="008B4E16">
              <w:t>N</w:t>
            </w:r>
            <w:r w:rsidR="001104D0">
              <w:t xml:space="preserve"> </w:t>
            </w:r>
            <w:r w:rsidRPr="008B4E16">
              <w:t>= NA</w:t>
            </w:r>
          </w:p>
          <w:p w14:paraId="3FC67B5C" w14:textId="77777777" w:rsidR="008B4E16" w:rsidRPr="008B4E16" w:rsidRDefault="008B4E16" w:rsidP="00A12318">
            <w:pPr>
              <w:pStyle w:val="Tabletext1"/>
            </w:pPr>
            <w:r w:rsidRPr="008B4E16">
              <w:t>2 Level II studies</w:t>
            </w:r>
          </w:p>
          <w:p w14:paraId="3C774A2B" w14:textId="77777777" w:rsidR="008B4E16" w:rsidRPr="008B4E16" w:rsidRDefault="008B4E16" w:rsidP="00A12318">
            <w:pPr>
              <w:pStyle w:val="Tabletext1"/>
            </w:pPr>
            <w:r w:rsidRPr="008B4E16">
              <w:t>2 Level III-2 studies</w:t>
            </w:r>
          </w:p>
          <w:p w14:paraId="476533FB" w14:textId="77777777" w:rsidR="008B4E16" w:rsidRPr="008B4E16" w:rsidRDefault="008B4E16" w:rsidP="00A12318">
            <w:pPr>
              <w:pStyle w:val="Tabletext1"/>
            </w:pPr>
            <w:r w:rsidRPr="008B4E16">
              <w:t>13 Level IV studies</w:t>
            </w:r>
          </w:p>
        </w:tc>
        <w:tc>
          <w:tcPr>
            <w:tcW w:w="1764" w:type="pct"/>
          </w:tcPr>
          <w:p w14:paraId="1087EE4A" w14:textId="77777777" w:rsidR="008B4E16" w:rsidRPr="008B4E16" w:rsidRDefault="008B4E16" w:rsidP="00A12318">
            <w:pPr>
              <w:pStyle w:val="Tabletext1"/>
              <w:rPr>
                <w:rFonts w:cstheme="minorBidi"/>
              </w:rPr>
            </w:pPr>
            <w:r w:rsidRPr="008B4E16">
              <w:rPr>
                <w:rFonts w:cstheme="minorBidi"/>
              </w:rPr>
              <w:t>No deaths within 30 days were reported by any study.</w:t>
            </w:r>
          </w:p>
        </w:tc>
        <w:tc>
          <w:tcPr>
            <w:tcW w:w="954" w:type="pct"/>
          </w:tcPr>
          <w:p w14:paraId="49CD5902"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r w:rsidR="008B4E16" w:rsidRPr="008B4E16" w14:paraId="59CD31C5" w14:textId="77777777" w:rsidTr="008B4E16">
        <w:tc>
          <w:tcPr>
            <w:tcW w:w="1362" w:type="pct"/>
            <w:tcBorders>
              <w:bottom w:val="single" w:sz="4" w:space="0" w:color="auto"/>
            </w:tcBorders>
          </w:tcPr>
          <w:p w14:paraId="59A21723" w14:textId="77777777" w:rsidR="008B4E16" w:rsidRPr="00A12318" w:rsidRDefault="008B4E16" w:rsidP="00A12318">
            <w:pPr>
              <w:pStyle w:val="Tabletext1"/>
              <w:rPr>
                <w:b/>
                <w:u w:val="single"/>
              </w:rPr>
            </w:pPr>
            <w:r w:rsidRPr="00A12318">
              <w:rPr>
                <w:b/>
                <w:u w:val="single"/>
              </w:rPr>
              <w:t>Surgery</w:t>
            </w:r>
          </w:p>
          <w:p w14:paraId="3A5E701C" w14:textId="6A36889E" w:rsidR="008B4E16" w:rsidRPr="008B4E16" w:rsidRDefault="008B4E16" w:rsidP="00492BD0">
            <w:pPr>
              <w:pStyle w:val="Tabletext1"/>
            </w:pPr>
            <w:r w:rsidRPr="008B4E16">
              <w:t>F/</w:t>
            </w:r>
            <w:r w:rsidR="00492BD0">
              <w:t>U</w:t>
            </w:r>
            <w:r w:rsidRPr="008B4E16">
              <w:t>: NA</w:t>
            </w:r>
          </w:p>
        </w:tc>
        <w:tc>
          <w:tcPr>
            <w:tcW w:w="920" w:type="pct"/>
            <w:tcBorders>
              <w:bottom w:val="single" w:sz="4" w:space="0" w:color="auto"/>
            </w:tcBorders>
          </w:tcPr>
          <w:p w14:paraId="53FFA635" w14:textId="77777777" w:rsidR="008B4E16" w:rsidRPr="008B4E16" w:rsidRDefault="008B4E16" w:rsidP="00A12318">
            <w:pPr>
              <w:pStyle w:val="Tabletext1"/>
            </w:pPr>
            <w:r w:rsidRPr="008B4E16">
              <w:t>N</w:t>
            </w:r>
            <w:r w:rsidR="001104D0">
              <w:t xml:space="preserve"> </w:t>
            </w:r>
            <w:r w:rsidRPr="008B4E16">
              <w:t>=</w:t>
            </w:r>
            <w:r w:rsidR="001104D0">
              <w:t xml:space="preserve"> </w:t>
            </w:r>
            <w:r w:rsidRPr="008B4E16">
              <w:t>1,499</w:t>
            </w:r>
          </w:p>
          <w:p w14:paraId="11981666" w14:textId="77777777" w:rsidR="008B4E16" w:rsidRPr="008B4E16" w:rsidRDefault="008B4E16" w:rsidP="00A12318">
            <w:pPr>
              <w:pStyle w:val="Tabletext1"/>
            </w:pPr>
            <w:r w:rsidRPr="008B4E16">
              <w:t>4 Level IV studies</w:t>
            </w:r>
          </w:p>
        </w:tc>
        <w:tc>
          <w:tcPr>
            <w:tcW w:w="1764" w:type="pct"/>
            <w:tcBorders>
              <w:bottom w:val="single" w:sz="4" w:space="0" w:color="auto"/>
            </w:tcBorders>
          </w:tcPr>
          <w:p w14:paraId="12A0040D" w14:textId="77777777" w:rsidR="008B4E16" w:rsidRPr="008B4E16" w:rsidRDefault="008B4E16" w:rsidP="00A12318">
            <w:pPr>
              <w:pStyle w:val="Tabletext1"/>
              <w:rPr>
                <w:rFonts w:cstheme="minorBidi"/>
              </w:rPr>
            </w:pPr>
            <w:r w:rsidRPr="008B4E16">
              <w:rPr>
                <w:rFonts w:cstheme="minorBidi"/>
              </w:rPr>
              <w:t>10/1,499 (0.67%)</w:t>
            </w:r>
          </w:p>
        </w:tc>
        <w:tc>
          <w:tcPr>
            <w:tcW w:w="954" w:type="pct"/>
            <w:tcBorders>
              <w:bottom w:val="single" w:sz="4" w:space="0" w:color="auto"/>
            </w:tcBorders>
          </w:tcPr>
          <w:p w14:paraId="1FC814A8"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r w:rsidR="008B4E16" w:rsidRPr="008B4E16" w14:paraId="08267BCD" w14:textId="77777777" w:rsidTr="008B4E16">
        <w:tc>
          <w:tcPr>
            <w:tcW w:w="1362" w:type="pct"/>
            <w:tcBorders>
              <w:right w:val="nil"/>
            </w:tcBorders>
            <w:shd w:val="clear" w:color="auto" w:fill="D9D9D9" w:themeFill="background1" w:themeFillShade="D9"/>
          </w:tcPr>
          <w:p w14:paraId="2FFB2A02" w14:textId="77777777" w:rsidR="008B4E16" w:rsidRPr="00A12318" w:rsidRDefault="008B4E16" w:rsidP="00A12318">
            <w:pPr>
              <w:pStyle w:val="Tabletext1"/>
              <w:rPr>
                <w:rFonts w:cstheme="minorBidi"/>
                <w:b/>
              </w:rPr>
            </w:pPr>
            <w:r w:rsidRPr="00A12318">
              <w:rPr>
                <w:rFonts w:cstheme="minorBidi"/>
                <w:b/>
              </w:rPr>
              <w:t>Pneumothorax</w:t>
            </w:r>
          </w:p>
        </w:tc>
        <w:tc>
          <w:tcPr>
            <w:tcW w:w="920" w:type="pct"/>
            <w:tcBorders>
              <w:left w:val="nil"/>
              <w:right w:val="nil"/>
            </w:tcBorders>
            <w:shd w:val="clear" w:color="auto" w:fill="D9D9D9" w:themeFill="background1" w:themeFillShade="D9"/>
          </w:tcPr>
          <w:p w14:paraId="51876797" w14:textId="77777777" w:rsidR="008B4E16" w:rsidRPr="008B4E16" w:rsidRDefault="008B4E16" w:rsidP="00A12318">
            <w:pPr>
              <w:pStyle w:val="Tabletext1"/>
              <w:rPr>
                <w:rFonts w:cstheme="minorBidi"/>
              </w:rPr>
            </w:pPr>
          </w:p>
        </w:tc>
        <w:tc>
          <w:tcPr>
            <w:tcW w:w="1764" w:type="pct"/>
            <w:tcBorders>
              <w:left w:val="nil"/>
              <w:right w:val="nil"/>
            </w:tcBorders>
            <w:shd w:val="clear" w:color="auto" w:fill="D9D9D9" w:themeFill="background1" w:themeFillShade="D9"/>
          </w:tcPr>
          <w:p w14:paraId="529DF607" w14:textId="77777777" w:rsidR="008B4E16" w:rsidRPr="008B4E16" w:rsidRDefault="008B4E16" w:rsidP="00A12318">
            <w:pPr>
              <w:pStyle w:val="Tabletext1"/>
              <w:rPr>
                <w:rFonts w:cstheme="minorBidi"/>
              </w:rPr>
            </w:pPr>
          </w:p>
        </w:tc>
        <w:tc>
          <w:tcPr>
            <w:tcW w:w="954" w:type="pct"/>
            <w:tcBorders>
              <w:left w:val="nil"/>
              <w:right w:val="single" w:sz="4" w:space="0" w:color="auto"/>
            </w:tcBorders>
            <w:shd w:val="clear" w:color="auto" w:fill="D9D9D9" w:themeFill="background1" w:themeFillShade="D9"/>
          </w:tcPr>
          <w:p w14:paraId="10F45325" w14:textId="77777777" w:rsidR="008B4E16" w:rsidRPr="008B4E16" w:rsidRDefault="008B4E16" w:rsidP="00A12318">
            <w:pPr>
              <w:pStyle w:val="Tabletext1"/>
              <w:rPr>
                <w:rFonts w:cstheme="minorBidi"/>
              </w:rPr>
            </w:pPr>
          </w:p>
        </w:tc>
      </w:tr>
      <w:tr w:rsidR="008B4E16" w:rsidRPr="008B4E16" w14:paraId="006FDB3F" w14:textId="77777777" w:rsidTr="008B4E16">
        <w:tc>
          <w:tcPr>
            <w:tcW w:w="1362" w:type="pct"/>
          </w:tcPr>
          <w:p w14:paraId="47681448" w14:textId="31361370" w:rsidR="008B4E16" w:rsidRPr="008B4E16" w:rsidRDefault="008B4E16" w:rsidP="00A12318">
            <w:pPr>
              <w:pStyle w:val="Tabletext1"/>
            </w:pPr>
            <w:r w:rsidRPr="00A12318">
              <w:rPr>
                <w:b/>
                <w:u w:val="single"/>
              </w:rPr>
              <w:t>MTA</w:t>
            </w:r>
            <w:r w:rsidR="00492BD0">
              <w:br/>
              <w:t>F/U</w:t>
            </w:r>
            <w:r w:rsidRPr="008B4E16">
              <w:t>: range 6</w:t>
            </w:r>
            <w:r w:rsidR="00D35E9C">
              <w:t>–</w:t>
            </w:r>
            <w:r w:rsidRPr="008B4E16">
              <w:t>30 months</w:t>
            </w:r>
          </w:p>
        </w:tc>
        <w:tc>
          <w:tcPr>
            <w:tcW w:w="920" w:type="pct"/>
          </w:tcPr>
          <w:p w14:paraId="7EDED975" w14:textId="77777777" w:rsidR="008B4E16" w:rsidRPr="008B4E16" w:rsidRDefault="008B4E16" w:rsidP="00A12318">
            <w:pPr>
              <w:pStyle w:val="Tabletext1"/>
              <w:rPr>
                <w:rFonts w:cstheme="minorBidi"/>
              </w:rPr>
            </w:pPr>
            <w:r w:rsidRPr="008B4E16">
              <w:rPr>
                <w:rFonts w:cstheme="minorBidi"/>
              </w:rPr>
              <w:t>N</w:t>
            </w:r>
            <w:r w:rsidR="001104D0">
              <w:rPr>
                <w:rFonts w:cstheme="minorBidi"/>
              </w:rPr>
              <w:t xml:space="preserve"> </w:t>
            </w:r>
            <w:r w:rsidRPr="008B4E16">
              <w:rPr>
                <w:rFonts w:cstheme="minorBidi"/>
              </w:rPr>
              <w:t>=</w:t>
            </w:r>
            <w:r w:rsidR="001104D0">
              <w:rPr>
                <w:rFonts w:cstheme="minorBidi"/>
              </w:rPr>
              <w:t xml:space="preserve"> </w:t>
            </w:r>
            <w:r w:rsidRPr="008B4E16">
              <w:rPr>
                <w:rFonts w:cstheme="minorBidi"/>
              </w:rPr>
              <w:t>1025 (sessions)</w:t>
            </w:r>
          </w:p>
          <w:p w14:paraId="46494C66" w14:textId="77777777" w:rsidR="008B4E16" w:rsidRPr="008B4E16" w:rsidRDefault="008B4E16" w:rsidP="00A12318">
            <w:pPr>
              <w:pStyle w:val="Tabletext1"/>
              <w:rPr>
                <w:rFonts w:cstheme="minorBidi"/>
              </w:rPr>
            </w:pPr>
            <w:r w:rsidRPr="008B4E16">
              <w:rPr>
                <w:rFonts w:cstheme="minorBidi"/>
              </w:rPr>
              <w:t>2 Level III-2 studies</w:t>
            </w:r>
          </w:p>
          <w:p w14:paraId="211F343F" w14:textId="48BEDFA3" w:rsidR="008B4E16" w:rsidRPr="008B4E16" w:rsidRDefault="008B4E16" w:rsidP="004B1012">
            <w:pPr>
              <w:pStyle w:val="Tabletext1"/>
            </w:pPr>
            <w:r w:rsidRPr="008B4E16">
              <w:rPr>
                <w:rFonts w:cstheme="minorBidi"/>
              </w:rPr>
              <w:t xml:space="preserve">20 </w:t>
            </w:r>
            <w:r w:rsidR="00CE470F">
              <w:rPr>
                <w:rFonts w:cstheme="minorBidi"/>
              </w:rPr>
              <w:t>L</w:t>
            </w:r>
            <w:r w:rsidRPr="008B4E16">
              <w:rPr>
                <w:rFonts w:cstheme="minorBidi"/>
              </w:rPr>
              <w:t>evel IV studies</w:t>
            </w:r>
          </w:p>
        </w:tc>
        <w:tc>
          <w:tcPr>
            <w:tcW w:w="1764" w:type="pct"/>
          </w:tcPr>
          <w:p w14:paraId="4524194C" w14:textId="77777777" w:rsidR="008B4E16" w:rsidRPr="008B4E16" w:rsidRDefault="008B4E16" w:rsidP="00A12318">
            <w:pPr>
              <w:pStyle w:val="Tabletext1"/>
              <w:rPr>
                <w:rFonts w:cstheme="minorBidi"/>
              </w:rPr>
            </w:pPr>
            <w:r w:rsidRPr="008B4E16">
              <w:rPr>
                <w:rFonts w:cstheme="minorBidi"/>
              </w:rPr>
              <w:t>280/1025 (27.3)</w:t>
            </w:r>
          </w:p>
          <w:p w14:paraId="14EB4C3B" w14:textId="17381814" w:rsidR="008B4E16" w:rsidRPr="008B4E16" w:rsidRDefault="008B4E16" w:rsidP="00A12318">
            <w:pPr>
              <w:pStyle w:val="Tabletext1"/>
              <w:rPr>
                <w:rFonts w:cstheme="minorBidi"/>
              </w:rPr>
            </w:pPr>
            <w:r w:rsidRPr="008B4E16">
              <w:rPr>
                <w:rFonts w:cstheme="minorBidi"/>
              </w:rPr>
              <w:t>Median: 30.2 (8.3</w:t>
            </w:r>
            <w:r w:rsidR="007E3D66">
              <w:rPr>
                <w:rFonts w:cstheme="minorBidi"/>
              </w:rPr>
              <w:t>–</w:t>
            </w:r>
            <w:r w:rsidRPr="008B4E16">
              <w:rPr>
                <w:rFonts w:cstheme="minorBidi"/>
              </w:rPr>
              <w:t>63.8)</w:t>
            </w:r>
          </w:p>
        </w:tc>
        <w:tc>
          <w:tcPr>
            <w:tcW w:w="954" w:type="pct"/>
          </w:tcPr>
          <w:p w14:paraId="21D8422F"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r w:rsidR="008B4E16" w:rsidRPr="008B4E16" w14:paraId="705AEFA3" w14:textId="77777777" w:rsidTr="008B4E16">
        <w:tc>
          <w:tcPr>
            <w:tcW w:w="1362" w:type="pct"/>
            <w:tcBorders>
              <w:bottom w:val="single" w:sz="4" w:space="0" w:color="auto"/>
            </w:tcBorders>
          </w:tcPr>
          <w:p w14:paraId="5E3AAF04" w14:textId="77777777" w:rsidR="008B4E16" w:rsidRPr="00A12318" w:rsidRDefault="008B4E16" w:rsidP="00A12318">
            <w:pPr>
              <w:pStyle w:val="Tabletext1"/>
              <w:rPr>
                <w:b/>
                <w:u w:val="single"/>
              </w:rPr>
            </w:pPr>
            <w:r w:rsidRPr="00A12318">
              <w:rPr>
                <w:b/>
                <w:u w:val="single"/>
              </w:rPr>
              <w:t>RFA</w:t>
            </w:r>
          </w:p>
          <w:p w14:paraId="0C590FF6" w14:textId="148CF2D3" w:rsidR="008B4E16" w:rsidRPr="008B4E16" w:rsidRDefault="008B4E16" w:rsidP="00492BD0">
            <w:pPr>
              <w:pStyle w:val="Tabletext1"/>
            </w:pPr>
            <w:r w:rsidRPr="008B4E16">
              <w:t>F/</w:t>
            </w:r>
            <w:r w:rsidR="00492BD0">
              <w:t>U</w:t>
            </w:r>
            <w:r w:rsidRPr="008B4E16">
              <w:t>: range 12</w:t>
            </w:r>
            <w:r w:rsidR="00D35E9C">
              <w:t>–</w:t>
            </w:r>
            <w:r w:rsidRPr="008B4E16">
              <w:t>46 months</w:t>
            </w:r>
          </w:p>
        </w:tc>
        <w:tc>
          <w:tcPr>
            <w:tcW w:w="920" w:type="pct"/>
            <w:tcBorders>
              <w:bottom w:val="single" w:sz="4" w:space="0" w:color="auto"/>
            </w:tcBorders>
          </w:tcPr>
          <w:p w14:paraId="4FC617B3" w14:textId="77777777" w:rsidR="008B4E16" w:rsidRPr="008B4E16" w:rsidRDefault="008B4E16" w:rsidP="00A12318">
            <w:pPr>
              <w:pStyle w:val="Tabletext1"/>
              <w:rPr>
                <w:rFonts w:cstheme="minorBidi"/>
              </w:rPr>
            </w:pPr>
            <w:r w:rsidRPr="008B4E16">
              <w:rPr>
                <w:rFonts w:cstheme="minorBidi"/>
              </w:rPr>
              <w:t>N</w:t>
            </w:r>
            <w:r w:rsidR="001104D0">
              <w:rPr>
                <w:rFonts w:cstheme="minorBidi"/>
              </w:rPr>
              <w:t xml:space="preserve"> </w:t>
            </w:r>
            <w:r w:rsidRPr="008B4E16">
              <w:rPr>
                <w:rFonts w:cstheme="minorBidi"/>
              </w:rPr>
              <w:t>=</w:t>
            </w:r>
            <w:r w:rsidR="001104D0">
              <w:rPr>
                <w:rFonts w:cstheme="minorBidi"/>
              </w:rPr>
              <w:t xml:space="preserve"> </w:t>
            </w:r>
            <w:r w:rsidRPr="008B4E16">
              <w:rPr>
                <w:rFonts w:cstheme="minorBidi"/>
              </w:rPr>
              <w:t>1497 (sessions)</w:t>
            </w:r>
          </w:p>
          <w:p w14:paraId="7D8804DE" w14:textId="77777777" w:rsidR="008B4E16" w:rsidRPr="008B4E16" w:rsidRDefault="008B4E16" w:rsidP="00A12318">
            <w:pPr>
              <w:pStyle w:val="Tabletext1"/>
              <w:rPr>
                <w:rFonts w:cstheme="minorBidi"/>
              </w:rPr>
            </w:pPr>
            <w:r w:rsidRPr="008B4E16">
              <w:rPr>
                <w:rFonts w:cstheme="minorBidi"/>
              </w:rPr>
              <w:t>1 Level III-3 study</w:t>
            </w:r>
          </w:p>
          <w:p w14:paraId="662FA67E" w14:textId="77777777" w:rsidR="008B4E16" w:rsidRPr="008B4E16" w:rsidRDefault="008B4E16" w:rsidP="00A12318">
            <w:pPr>
              <w:pStyle w:val="Tabletext1"/>
              <w:rPr>
                <w:rFonts w:cstheme="minorBidi"/>
              </w:rPr>
            </w:pPr>
            <w:r w:rsidRPr="008B4E16">
              <w:rPr>
                <w:rFonts w:cstheme="minorBidi"/>
              </w:rPr>
              <w:t>18 Level IV studies</w:t>
            </w:r>
          </w:p>
          <w:p w14:paraId="4D1314B4" w14:textId="77777777" w:rsidR="008B4E16" w:rsidRPr="008B4E16" w:rsidRDefault="008B4E16" w:rsidP="00A12318">
            <w:pPr>
              <w:pStyle w:val="Tabletext1"/>
              <w:rPr>
                <w:rFonts w:cstheme="minorBidi"/>
              </w:rPr>
            </w:pPr>
            <w:r w:rsidRPr="008B4E16">
              <w:rPr>
                <w:rFonts w:cstheme="minorBidi"/>
              </w:rPr>
              <w:t xml:space="preserve"> </w:t>
            </w:r>
          </w:p>
        </w:tc>
        <w:tc>
          <w:tcPr>
            <w:tcW w:w="1764" w:type="pct"/>
            <w:tcBorders>
              <w:bottom w:val="single" w:sz="4" w:space="0" w:color="auto"/>
            </w:tcBorders>
          </w:tcPr>
          <w:p w14:paraId="700E0A90" w14:textId="77777777" w:rsidR="008B4E16" w:rsidRPr="008B4E16" w:rsidRDefault="008B4E16" w:rsidP="00A12318">
            <w:pPr>
              <w:pStyle w:val="Tabletext1"/>
              <w:rPr>
                <w:rFonts w:cstheme="minorBidi"/>
                <w:u w:val="single"/>
              </w:rPr>
            </w:pPr>
            <w:r w:rsidRPr="008B4E16">
              <w:rPr>
                <w:rFonts w:cstheme="minorBidi"/>
                <w:u w:val="single"/>
              </w:rPr>
              <w:t xml:space="preserve">Per ablation: </w:t>
            </w:r>
          </w:p>
          <w:p w14:paraId="65B839F6" w14:textId="507A4655" w:rsidR="008B4E16" w:rsidRPr="008B4E16" w:rsidRDefault="008B4E16" w:rsidP="00A12318">
            <w:pPr>
              <w:pStyle w:val="Tabletext1"/>
              <w:rPr>
                <w:rFonts w:cstheme="minorBidi"/>
              </w:rPr>
            </w:pPr>
            <w:r w:rsidRPr="008B4E16">
              <w:rPr>
                <w:rFonts w:cstheme="minorBidi"/>
              </w:rPr>
              <w:t>674/1497 (45%), median 24% (9</w:t>
            </w:r>
            <w:r w:rsidR="00D35E9C">
              <w:rPr>
                <w:rFonts w:cstheme="minorBidi"/>
              </w:rPr>
              <w:t>–</w:t>
            </w:r>
            <w:r w:rsidRPr="008B4E16">
              <w:rPr>
                <w:rFonts w:cstheme="minorBidi"/>
              </w:rPr>
              <w:t>67%)</w:t>
            </w:r>
          </w:p>
          <w:p w14:paraId="679471C0" w14:textId="77777777" w:rsidR="008B4E16" w:rsidRPr="008B4E16" w:rsidRDefault="008B4E16" w:rsidP="00A12318">
            <w:pPr>
              <w:pStyle w:val="Tabletext1"/>
              <w:rPr>
                <w:rFonts w:cstheme="minorBidi"/>
                <w:u w:val="single"/>
              </w:rPr>
            </w:pPr>
            <w:r w:rsidRPr="008B4E16">
              <w:rPr>
                <w:rFonts w:cstheme="minorBidi"/>
                <w:u w:val="single"/>
              </w:rPr>
              <w:t>Per patient:</w:t>
            </w:r>
          </w:p>
          <w:p w14:paraId="44DCB55B" w14:textId="6ED15F3D" w:rsidR="008B4E16" w:rsidRPr="008B4E16" w:rsidRDefault="008B4E16" w:rsidP="00A12318">
            <w:pPr>
              <w:pStyle w:val="Tabletext1"/>
              <w:rPr>
                <w:rFonts w:cstheme="minorBidi"/>
              </w:rPr>
            </w:pPr>
            <w:r w:rsidRPr="008B4E16">
              <w:rPr>
                <w:rFonts w:cstheme="minorBidi"/>
              </w:rPr>
              <w:t>46/262 (18%), median 17.5% (5</w:t>
            </w:r>
            <w:r w:rsidR="00D35E9C">
              <w:rPr>
                <w:rFonts w:cstheme="minorBidi"/>
              </w:rPr>
              <w:t>–</w:t>
            </w:r>
            <w:r w:rsidRPr="008B4E16">
              <w:rPr>
                <w:rFonts w:cstheme="minorBidi"/>
              </w:rPr>
              <w:t>36%)</w:t>
            </w:r>
          </w:p>
        </w:tc>
        <w:tc>
          <w:tcPr>
            <w:tcW w:w="954" w:type="pct"/>
            <w:tcBorders>
              <w:bottom w:val="single" w:sz="4" w:space="0" w:color="auto"/>
            </w:tcBorders>
          </w:tcPr>
          <w:p w14:paraId="62263F65"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r w:rsidR="008B4E16" w:rsidRPr="008B4E16" w14:paraId="5389B0E3" w14:textId="77777777" w:rsidTr="008B4E16">
        <w:tc>
          <w:tcPr>
            <w:tcW w:w="1362" w:type="pct"/>
            <w:tcBorders>
              <w:right w:val="nil"/>
            </w:tcBorders>
            <w:shd w:val="clear" w:color="auto" w:fill="D9D9D9" w:themeFill="background1" w:themeFillShade="D9"/>
          </w:tcPr>
          <w:p w14:paraId="6BA83A45" w14:textId="77777777" w:rsidR="008B4E16" w:rsidRPr="00A12318" w:rsidRDefault="008B4E16" w:rsidP="00A12318">
            <w:pPr>
              <w:pStyle w:val="Tabletext1"/>
              <w:rPr>
                <w:rFonts w:cstheme="minorBidi"/>
                <w:b/>
              </w:rPr>
            </w:pPr>
            <w:r w:rsidRPr="00A12318">
              <w:rPr>
                <w:rFonts w:cstheme="minorBidi"/>
                <w:b/>
              </w:rPr>
              <w:t>Pneumothorax with intervention</w:t>
            </w:r>
          </w:p>
        </w:tc>
        <w:tc>
          <w:tcPr>
            <w:tcW w:w="920" w:type="pct"/>
            <w:tcBorders>
              <w:left w:val="nil"/>
              <w:right w:val="nil"/>
            </w:tcBorders>
            <w:shd w:val="clear" w:color="auto" w:fill="D9D9D9" w:themeFill="background1" w:themeFillShade="D9"/>
          </w:tcPr>
          <w:p w14:paraId="2FD06539" w14:textId="77777777" w:rsidR="008B4E16" w:rsidRPr="00A12318" w:rsidRDefault="008B4E16" w:rsidP="00A12318">
            <w:pPr>
              <w:pStyle w:val="Tabletext1"/>
              <w:rPr>
                <w:rFonts w:cstheme="minorBidi"/>
                <w:b/>
              </w:rPr>
            </w:pPr>
          </w:p>
        </w:tc>
        <w:tc>
          <w:tcPr>
            <w:tcW w:w="1764" w:type="pct"/>
            <w:tcBorders>
              <w:left w:val="nil"/>
              <w:right w:val="nil"/>
            </w:tcBorders>
            <w:shd w:val="clear" w:color="auto" w:fill="D9D9D9" w:themeFill="background1" w:themeFillShade="D9"/>
          </w:tcPr>
          <w:p w14:paraId="68C814CB" w14:textId="77777777" w:rsidR="008B4E16" w:rsidRPr="008B4E16" w:rsidRDefault="008B4E16" w:rsidP="00A12318">
            <w:pPr>
              <w:pStyle w:val="Tabletext1"/>
              <w:rPr>
                <w:rFonts w:cstheme="minorBidi"/>
              </w:rPr>
            </w:pPr>
          </w:p>
        </w:tc>
        <w:tc>
          <w:tcPr>
            <w:tcW w:w="954" w:type="pct"/>
            <w:tcBorders>
              <w:left w:val="nil"/>
              <w:right w:val="single" w:sz="4" w:space="0" w:color="auto"/>
            </w:tcBorders>
            <w:shd w:val="clear" w:color="auto" w:fill="D9D9D9" w:themeFill="background1" w:themeFillShade="D9"/>
          </w:tcPr>
          <w:p w14:paraId="5ED2AED3" w14:textId="77777777" w:rsidR="008B4E16" w:rsidRPr="008B4E16" w:rsidRDefault="008B4E16" w:rsidP="00A12318">
            <w:pPr>
              <w:pStyle w:val="Tabletext1"/>
              <w:rPr>
                <w:rFonts w:cstheme="minorBidi"/>
              </w:rPr>
            </w:pPr>
          </w:p>
        </w:tc>
      </w:tr>
      <w:tr w:rsidR="008B4E16" w:rsidRPr="008B4E16" w14:paraId="0BAEB724" w14:textId="77777777" w:rsidTr="008B4E16">
        <w:tc>
          <w:tcPr>
            <w:tcW w:w="1362" w:type="pct"/>
          </w:tcPr>
          <w:p w14:paraId="6453E54E" w14:textId="2F91C8BA" w:rsidR="008B4E16" w:rsidRPr="008B4E16" w:rsidRDefault="008B4E16" w:rsidP="00492BD0">
            <w:pPr>
              <w:pStyle w:val="Tabletext1"/>
            </w:pPr>
            <w:r w:rsidRPr="00A12318">
              <w:rPr>
                <w:b/>
                <w:u w:val="single"/>
              </w:rPr>
              <w:t>MTA</w:t>
            </w:r>
            <w:r w:rsidRPr="008B4E16">
              <w:br/>
              <w:t>F/</w:t>
            </w:r>
            <w:r w:rsidR="00492BD0">
              <w:t>U</w:t>
            </w:r>
            <w:r w:rsidRPr="008B4E16">
              <w:t>: range 6</w:t>
            </w:r>
            <w:r w:rsidR="00D35E9C">
              <w:t>–</w:t>
            </w:r>
            <w:r w:rsidRPr="008B4E16">
              <w:t>30 months</w:t>
            </w:r>
          </w:p>
        </w:tc>
        <w:tc>
          <w:tcPr>
            <w:tcW w:w="920" w:type="pct"/>
          </w:tcPr>
          <w:p w14:paraId="0190D04F" w14:textId="77777777" w:rsidR="008B4E16" w:rsidRPr="008B4E16" w:rsidRDefault="008B4E16" w:rsidP="00A12318">
            <w:pPr>
              <w:pStyle w:val="Tabletext1"/>
              <w:rPr>
                <w:rFonts w:cstheme="minorBidi"/>
              </w:rPr>
            </w:pPr>
            <w:r w:rsidRPr="008B4E16">
              <w:rPr>
                <w:rFonts w:cstheme="minorBidi"/>
              </w:rPr>
              <w:t>N</w:t>
            </w:r>
            <w:r w:rsidR="001104D0">
              <w:rPr>
                <w:rFonts w:cstheme="minorBidi"/>
              </w:rPr>
              <w:t xml:space="preserve"> </w:t>
            </w:r>
            <w:r w:rsidRPr="008B4E16">
              <w:rPr>
                <w:rFonts w:cstheme="minorBidi"/>
              </w:rPr>
              <w:t>= 985 (sessions)</w:t>
            </w:r>
          </w:p>
          <w:p w14:paraId="2B941A8D" w14:textId="77777777" w:rsidR="008B4E16" w:rsidRPr="008B4E16" w:rsidRDefault="008B4E16" w:rsidP="00A12318">
            <w:pPr>
              <w:pStyle w:val="Tabletext1"/>
              <w:rPr>
                <w:rFonts w:cstheme="minorBidi"/>
              </w:rPr>
            </w:pPr>
            <w:r w:rsidRPr="008B4E16">
              <w:rPr>
                <w:rFonts w:cstheme="minorBidi"/>
              </w:rPr>
              <w:t>2 Level III-2 studies</w:t>
            </w:r>
          </w:p>
          <w:p w14:paraId="74637028" w14:textId="55D2D381" w:rsidR="008B4E16" w:rsidRPr="008B4E16" w:rsidRDefault="008B4E16" w:rsidP="004B1012">
            <w:pPr>
              <w:pStyle w:val="Tabletext1"/>
            </w:pPr>
            <w:r w:rsidRPr="008B4E16">
              <w:rPr>
                <w:rFonts w:cstheme="minorBidi"/>
              </w:rPr>
              <w:t>18 Level IV studies</w:t>
            </w:r>
          </w:p>
        </w:tc>
        <w:tc>
          <w:tcPr>
            <w:tcW w:w="1764" w:type="pct"/>
          </w:tcPr>
          <w:p w14:paraId="25D2B3AE" w14:textId="342025FA" w:rsidR="008B4E16" w:rsidRPr="008B4E16" w:rsidRDefault="008B4E16" w:rsidP="00A12318">
            <w:pPr>
              <w:pStyle w:val="Tabletext1"/>
              <w:rPr>
                <w:rFonts w:cstheme="minorBidi"/>
              </w:rPr>
            </w:pPr>
            <w:r w:rsidRPr="008B4E16">
              <w:rPr>
                <w:rFonts w:cstheme="minorBidi"/>
              </w:rPr>
              <w:t>122/985 (12.4), median 10.3 (0</w:t>
            </w:r>
            <w:r w:rsidR="00D35E9C">
              <w:rPr>
                <w:rFonts w:cstheme="minorBidi"/>
              </w:rPr>
              <w:t>–</w:t>
            </w:r>
            <w:r w:rsidRPr="008B4E16">
              <w:rPr>
                <w:rFonts w:cstheme="minorBidi"/>
              </w:rPr>
              <w:t>28.6%)</w:t>
            </w:r>
          </w:p>
        </w:tc>
        <w:tc>
          <w:tcPr>
            <w:tcW w:w="954" w:type="pct"/>
          </w:tcPr>
          <w:p w14:paraId="1F43EB83" w14:textId="77777777" w:rsidR="008B4E16" w:rsidRPr="008B4E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r w:rsidR="008B4E16" w:rsidRPr="00D83B16" w14:paraId="53ECAEB0" w14:textId="77777777" w:rsidTr="008B4E16">
        <w:tc>
          <w:tcPr>
            <w:tcW w:w="1362" w:type="pct"/>
          </w:tcPr>
          <w:p w14:paraId="48B49C8C" w14:textId="77777777" w:rsidR="008B4E16" w:rsidRPr="00A12318" w:rsidRDefault="008B4E16" w:rsidP="00A12318">
            <w:pPr>
              <w:pStyle w:val="Tabletext1"/>
              <w:rPr>
                <w:b/>
                <w:u w:val="single"/>
              </w:rPr>
            </w:pPr>
            <w:r w:rsidRPr="00A12318">
              <w:rPr>
                <w:b/>
                <w:u w:val="single"/>
              </w:rPr>
              <w:t>RFA</w:t>
            </w:r>
          </w:p>
          <w:p w14:paraId="53E670BD" w14:textId="35406012" w:rsidR="008B4E16" w:rsidRPr="008B4E16" w:rsidRDefault="00492BD0" w:rsidP="00A12318">
            <w:pPr>
              <w:pStyle w:val="Tabletext1"/>
            </w:pPr>
            <w:r>
              <w:t>F/U</w:t>
            </w:r>
            <w:r w:rsidR="008B4E16" w:rsidRPr="008B4E16">
              <w:t>: range 12</w:t>
            </w:r>
            <w:r w:rsidR="00D35E9C">
              <w:t>–</w:t>
            </w:r>
            <w:r w:rsidR="008B4E16" w:rsidRPr="008B4E16">
              <w:t>46 months</w:t>
            </w:r>
          </w:p>
        </w:tc>
        <w:tc>
          <w:tcPr>
            <w:tcW w:w="920" w:type="pct"/>
          </w:tcPr>
          <w:p w14:paraId="4A7FE03F" w14:textId="77777777" w:rsidR="008B4E16" w:rsidRPr="008B4E16" w:rsidRDefault="008B4E16" w:rsidP="00A12318">
            <w:pPr>
              <w:pStyle w:val="Tabletext1"/>
              <w:rPr>
                <w:rFonts w:cstheme="minorBidi"/>
              </w:rPr>
            </w:pPr>
            <w:r w:rsidRPr="008B4E16">
              <w:rPr>
                <w:rFonts w:cstheme="minorBidi"/>
              </w:rPr>
              <w:t>N</w:t>
            </w:r>
            <w:r w:rsidR="001104D0">
              <w:rPr>
                <w:rFonts w:cstheme="minorBidi"/>
              </w:rPr>
              <w:t xml:space="preserve"> </w:t>
            </w:r>
            <w:r w:rsidRPr="008B4E16">
              <w:rPr>
                <w:rFonts w:cstheme="minorBidi"/>
              </w:rPr>
              <w:t>=1497 (sessions)</w:t>
            </w:r>
          </w:p>
          <w:p w14:paraId="26CAA5B5" w14:textId="77777777" w:rsidR="008B4E16" w:rsidRPr="008B4E16" w:rsidRDefault="008B4E16" w:rsidP="00A12318">
            <w:pPr>
              <w:pStyle w:val="Tabletext1"/>
              <w:rPr>
                <w:rFonts w:cstheme="minorBidi"/>
              </w:rPr>
            </w:pPr>
            <w:r w:rsidRPr="008B4E16">
              <w:rPr>
                <w:rFonts w:cstheme="minorBidi"/>
              </w:rPr>
              <w:t xml:space="preserve">1 Level III-3 study  </w:t>
            </w:r>
          </w:p>
          <w:p w14:paraId="4743DBE8" w14:textId="77777777" w:rsidR="008B4E16" w:rsidRPr="008B4E16" w:rsidRDefault="008B4E16" w:rsidP="00A12318">
            <w:pPr>
              <w:pStyle w:val="Tabletext1"/>
              <w:rPr>
                <w:rFonts w:cstheme="minorBidi"/>
              </w:rPr>
            </w:pPr>
            <w:r w:rsidRPr="008B4E16">
              <w:rPr>
                <w:rFonts w:cstheme="minorBidi"/>
              </w:rPr>
              <w:t>18 Level IV studies</w:t>
            </w:r>
          </w:p>
          <w:p w14:paraId="1158343E" w14:textId="77777777" w:rsidR="008B4E16" w:rsidRPr="008B4E16" w:rsidRDefault="008B4E16" w:rsidP="00A12318">
            <w:pPr>
              <w:pStyle w:val="Tabletext1"/>
              <w:rPr>
                <w:rFonts w:cstheme="minorBidi"/>
              </w:rPr>
            </w:pPr>
          </w:p>
        </w:tc>
        <w:tc>
          <w:tcPr>
            <w:tcW w:w="1764" w:type="pct"/>
          </w:tcPr>
          <w:p w14:paraId="7FD8E3A5" w14:textId="77777777" w:rsidR="008B4E16" w:rsidRPr="008B4E16" w:rsidRDefault="008B4E16" w:rsidP="00A12318">
            <w:pPr>
              <w:pStyle w:val="Tabletext1"/>
              <w:rPr>
                <w:rFonts w:cstheme="minorBidi"/>
                <w:u w:val="single"/>
              </w:rPr>
            </w:pPr>
            <w:r w:rsidRPr="008B4E16">
              <w:rPr>
                <w:rFonts w:cstheme="minorBidi"/>
                <w:u w:val="single"/>
              </w:rPr>
              <w:t xml:space="preserve">Per ablation: </w:t>
            </w:r>
          </w:p>
          <w:p w14:paraId="3EA228D4" w14:textId="34705CDC" w:rsidR="008B4E16" w:rsidRPr="008B4E16" w:rsidRDefault="008B4E16" w:rsidP="00A12318">
            <w:pPr>
              <w:pStyle w:val="Tabletext1"/>
              <w:rPr>
                <w:rFonts w:cstheme="minorBidi"/>
              </w:rPr>
            </w:pPr>
            <w:r w:rsidRPr="008B4E16">
              <w:rPr>
                <w:rFonts w:cstheme="minorBidi"/>
              </w:rPr>
              <w:t xml:space="preserve">335/1497 (22%), median </w:t>
            </w:r>
            <w:r w:rsidRPr="008B4E16">
              <w:rPr>
                <w:snapToGrid w:val="0"/>
                <w:color w:val="000000"/>
              </w:rPr>
              <w:t>9% (2</w:t>
            </w:r>
            <w:r w:rsidR="00D35E9C">
              <w:rPr>
                <w:snapToGrid w:val="0"/>
                <w:color w:val="000000"/>
              </w:rPr>
              <w:t>–</w:t>
            </w:r>
            <w:r w:rsidRPr="008B4E16">
              <w:rPr>
                <w:snapToGrid w:val="0"/>
                <w:color w:val="000000"/>
              </w:rPr>
              <w:t>39%)</w:t>
            </w:r>
          </w:p>
          <w:p w14:paraId="6E051877" w14:textId="77777777" w:rsidR="008B4E16" w:rsidRPr="008B4E16" w:rsidRDefault="008B4E16" w:rsidP="00A12318">
            <w:pPr>
              <w:pStyle w:val="Tabletext1"/>
              <w:rPr>
                <w:rFonts w:cstheme="minorBidi"/>
                <w:u w:val="single"/>
              </w:rPr>
            </w:pPr>
            <w:r w:rsidRPr="008B4E16">
              <w:rPr>
                <w:rFonts w:cstheme="minorBidi"/>
                <w:u w:val="single"/>
              </w:rPr>
              <w:t>Per patient:</w:t>
            </w:r>
          </w:p>
          <w:p w14:paraId="54888A0F" w14:textId="0B91CF2D" w:rsidR="008B4E16" w:rsidRPr="008B4E16" w:rsidRDefault="008B4E16" w:rsidP="00A12318">
            <w:pPr>
              <w:pStyle w:val="Tabletext1"/>
              <w:rPr>
                <w:rFonts w:cstheme="minorBidi"/>
              </w:rPr>
            </w:pPr>
            <w:r w:rsidRPr="008B4E16">
              <w:rPr>
                <w:rFonts w:cstheme="minorBidi"/>
              </w:rPr>
              <w:t>29/262 (11%), median 10% (3</w:t>
            </w:r>
            <w:r w:rsidR="00D35E9C">
              <w:rPr>
                <w:rFonts w:cstheme="minorBidi"/>
              </w:rPr>
              <w:t>–</w:t>
            </w:r>
            <w:r w:rsidRPr="008B4E16">
              <w:rPr>
                <w:rFonts w:cstheme="minorBidi"/>
              </w:rPr>
              <w:t>24%)</w:t>
            </w:r>
          </w:p>
        </w:tc>
        <w:tc>
          <w:tcPr>
            <w:tcW w:w="954" w:type="pct"/>
          </w:tcPr>
          <w:p w14:paraId="152552F8" w14:textId="77777777" w:rsidR="008B4E16" w:rsidRPr="00D83B16" w:rsidRDefault="008B4E16" w:rsidP="00A12318">
            <w:pPr>
              <w:pStyle w:val="Tabletext1"/>
              <w:rPr>
                <w:rFonts w:cstheme="minorBidi"/>
                <w:color w:val="00B050"/>
                <w:vertAlign w:val="superscript"/>
              </w:rPr>
            </w:pPr>
            <w:r w:rsidRPr="008B4E16">
              <w:rPr>
                <w:rFonts w:ascii="Cambria Math" w:hAnsi="Cambria Math" w:cs="Cambria Math"/>
                <w:color w:val="00B050"/>
              </w:rPr>
              <w:t>⨁</w:t>
            </w:r>
            <w:r w:rsidRPr="008B4E16">
              <w:rPr>
                <w:rFonts w:ascii="Cambria Math" w:hAnsi="Cambria Math" w:cs="Cambria Math"/>
                <w:color w:val="C00000"/>
              </w:rPr>
              <w:t>⨀⨀⨀</w:t>
            </w:r>
            <w:r w:rsidRPr="008B4E16">
              <w:rPr>
                <w:rFonts w:cstheme="minorBidi"/>
              </w:rPr>
              <w:br/>
              <w:t>VERY LOW</w:t>
            </w:r>
          </w:p>
        </w:tc>
      </w:tr>
    </w:tbl>
    <w:p w14:paraId="39F6716D" w14:textId="7081781B" w:rsidR="007C744D" w:rsidRPr="007C744D" w:rsidRDefault="00492BD0" w:rsidP="007C7D1A">
      <w:pPr>
        <w:pStyle w:val="Tablenotes0"/>
      </w:pPr>
      <w:r>
        <w:t xml:space="preserve">&lt; </w:t>
      </w:r>
      <w:r w:rsidR="007C744D" w:rsidRPr="007C744D">
        <w:t>F/</w:t>
      </w:r>
      <w:r>
        <w:t>U</w:t>
      </w:r>
      <w:r w:rsidR="001025FB">
        <w:t xml:space="preserve"> =</w:t>
      </w:r>
      <w:r w:rsidR="007C744D" w:rsidRPr="007C744D">
        <w:t xml:space="preserve"> follow-up, </w:t>
      </w:r>
      <w:r w:rsidR="001025FB">
        <w:t xml:space="preserve">MTA = microwave thermal ablation; </w:t>
      </w:r>
      <w:r w:rsidR="007C744D" w:rsidRPr="007C744D">
        <w:t>NA</w:t>
      </w:r>
      <w:r w:rsidR="001025FB">
        <w:t xml:space="preserve"> </w:t>
      </w:r>
      <w:r w:rsidR="007C744D" w:rsidRPr="007C744D">
        <w:t>=</w:t>
      </w:r>
      <w:r w:rsidR="001025FB">
        <w:t xml:space="preserve"> </w:t>
      </w:r>
      <w:r w:rsidR="007C744D" w:rsidRPr="007C744D">
        <w:t>not applicable</w:t>
      </w:r>
      <w:r w:rsidR="001025FB">
        <w:t>;</w:t>
      </w:r>
      <w:r w:rsidR="007C744D" w:rsidRPr="007C744D">
        <w:t xml:space="preserve"> N</w:t>
      </w:r>
      <w:r w:rsidR="001025FB">
        <w:t xml:space="preserve"> </w:t>
      </w:r>
      <w:r w:rsidR="007C744D" w:rsidRPr="007C744D">
        <w:t>= number</w:t>
      </w:r>
      <w:r w:rsidR="001025FB">
        <w:t>;</w:t>
      </w:r>
      <w:r w:rsidR="007C744D" w:rsidRPr="007C744D">
        <w:t xml:space="preserve"> n/N (%)</w:t>
      </w:r>
      <w:r w:rsidR="001025FB">
        <w:t xml:space="preserve"> </w:t>
      </w:r>
      <w:r w:rsidR="007C744D" w:rsidRPr="007C744D">
        <w:t>= number with event/ total (percentage)</w:t>
      </w:r>
      <w:r w:rsidR="001025FB">
        <w:t xml:space="preserve">; RFA = </w:t>
      </w:r>
      <w:r w:rsidR="001025FB" w:rsidRPr="001025FB">
        <w:t>radiofrequency ablation</w:t>
      </w:r>
      <w:r>
        <w:t xml:space="preserve"> &gt;</w:t>
      </w:r>
    </w:p>
    <w:p w14:paraId="3E6A341F" w14:textId="5A6622C0" w:rsidR="007C744D" w:rsidRPr="007C744D" w:rsidRDefault="007C744D" w:rsidP="007C7D1A">
      <w:pPr>
        <w:pStyle w:val="Tablenotes0"/>
        <w:rPr>
          <w:rFonts w:cstheme="minorBidi"/>
          <w:color w:val="000000"/>
          <w:sz w:val="14"/>
          <w:szCs w:val="14"/>
        </w:rPr>
      </w:pPr>
      <w:r w:rsidRPr="007C744D">
        <w:rPr>
          <w:rFonts w:eastAsiaTheme="minorEastAsia"/>
          <w:szCs w:val="18"/>
        </w:rPr>
        <w:t>GRADE Working Group grades of evidence (Guyatt et al., 2013)</w:t>
      </w:r>
      <w:r w:rsidR="00B86920">
        <w:rPr>
          <w:rFonts w:eastAsiaTheme="minorEastAsia"/>
          <w:szCs w:val="18"/>
        </w:rPr>
        <w:t>.</w:t>
      </w:r>
      <w:r w:rsidRPr="007C744D">
        <w:rPr>
          <w:rFonts w:eastAsiaTheme="minorEastAsia"/>
          <w:szCs w:val="18"/>
        </w:rPr>
        <w:t xml:space="preserve"> </w:t>
      </w:r>
      <w:r w:rsidRPr="007C744D">
        <w:rPr>
          <w:rFonts w:eastAsiaTheme="minorEastAsia"/>
          <w:szCs w:val="18"/>
        </w:rPr>
        <w:br/>
      </w:r>
      <w:r w:rsidRPr="007C744D">
        <w:rPr>
          <w:rFonts w:ascii="Cambria Math" w:eastAsiaTheme="minorEastAsia" w:hAnsi="Cambria Math" w:cstheme="minorBidi"/>
          <w:color w:val="00B050"/>
        </w:rPr>
        <w:t>⨁</w:t>
      </w:r>
      <w:r w:rsidRPr="007C744D">
        <w:rPr>
          <w:rFonts w:ascii="Cambria Math" w:eastAsiaTheme="minorEastAsia" w:hAnsi="Cambria Math" w:cs="Cambria Math"/>
          <w:color w:val="C00000"/>
        </w:rPr>
        <w:t xml:space="preserve">⨀⨀⨀ </w:t>
      </w:r>
      <w:r w:rsidRPr="007C744D">
        <w:rPr>
          <w:rFonts w:eastAsiaTheme="minorEastAsia"/>
          <w:b/>
          <w:bCs/>
          <w:szCs w:val="18"/>
        </w:rPr>
        <w:t>Very low quality:</w:t>
      </w:r>
      <w:r w:rsidRPr="007C744D">
        <w:rPr>
          <w:rFonts w:eastAsiaTheme="minorEastAsia"/>
          <w:szCs w:val="18"/>
        </w:rPr>
        <w:t xml:space="preserve"> We have very little confidence in the effect estimate: The true effect is likely to be substantially different from the estimate of effect</w:t>
      </w:r>
      <w:r w:rsidR="00B86920">
        <w:rPr>
          <w:rFonts w:eastAsiaTheme="minorEastAsia"/>
          <w:szCs w:val="18"/>
        </w:rPr>
        <w:t>.</w:t>
      </w:r>
    </w:p>
    <w:p w14:paraId="0B5E54B8" w14:textId="77777777" w:rsidR="008B4E16" w:rsidRDefault="007C744D" w:rsidP="000045FA">
      <w:pPr>
        <w:pStyle w:val="Tablenotes0"/>
        <w:numPr>
          <w:ilvl w:val="0"/>
          <w:numId w:val="84"/>
        </w:numPr>
        <w:ind w:left="284" w:hanging="284"/>
      </w:pPr>
      <w:r w:rsidRPr="008B4E16">
        <w:lastRenderedPageBreak/>
        <w:t>One death was delayed (occurring eight months after the procedure)</w:t>
      </w:r>
      <w:r w:rsidR="00B86920">
        <w:t>.</w:t>
      </w:r>
    </w:p>
    <w:p w14:paraId="3CE4C6F3" w14:textId="77777777" w:rsidR="008B4E16" w:rsidRPr="008B4E16" w:rsidRDefault="008B4E16" w:rsidP="000045FA">
      <w:pPr>
        <w:pStyle w:val="Tablenotes0"/>
        <w:numPr>
          <w:ilvl w:val="0"/>
          <w:numId w:val="84"/>
        </w:numPr>
        <w:ind w:left="284" w:hanging="284"/>
      </w:pPr>
      <w:r w:rsidRPr="008B4E16">
        <w:t>Videtic et al (2015) reported one death 319 days after the procedure due to respiratory failure.  Oh et al (2012) reported one death from respiratory failure five months after receiving SBRT.</w:t>
      </w:r>
    </w:p>
    <w:p w14:paraId="2FB12348" w14:textId="77777777" w:rsidR="0083271D" w:rsidRDefault="0083271D" w:rsidP="005B0896">
      <w:pPr>
        <w:rPr>
          <w:lang w:eastAsia="en-US"/>
        </w:rPr>
      </w:pPr>
    </w:p>
    <w:p w14:paraId="39A3542D" w14:textId="77777777" w:rsidR="00306F6C" w:rsidRPr="00183E4D" w:rsidRDefault="00306F6C" w:rsidP="00306F6C">
      <w:pPr>
        <w:pStyle w:val="Heading1"/>
      </w:pPr>
      <w:bookmarkStart w:id="361" w:name="_Toc460396073"/>
      <w:r w:rsidRPr="00183E4D">
        <w:lastRenderedPageBreak/>
        <w:t>Section C</w:t>
      </w:r>
      <w:r w:rsidRPr="00183E4D">
        <w:tab/>
        <w:t>Translation Issues</w:t>
      </w:r>
      <w:bookmarkEnd w:id="361"/>
    </w:p>
    <w:p w14:paraId="5D7E9E09" w14:textId="3E41F724" w:rsidR="000F0EF1" w:rsidRPr="005C7403" w:rsidRDefault="004820B3" w:rsidP="000F0EF1">
      <w:r w:rsidRPr="004820B3">
        <w:t xml:space="preserve">Because the claim of non-inferiority for the comparative effectiveness of MTA as compared to current best practice radiotherapy, surgery or RFA remains untested by any published studies it was not necessary or appropriate to undertake any translation of the evidence presented in Section B for the purposes of an economic evaluation. </w:t>
      </w:r>
    </w:p>
    <w:p w14:paraId="5D81B821" w14:textId="77777777" w:rsidR="00AB68D3" w:rsidRPr="00BC4A30" w:rsidRDefault="0077418B" w:rsidP="00DF343F">
      <w:pPr>
        <w:pStyle w:val="Heading1"/>
      </w:pPr>
      <w:bookmarkStart w:id="362" w:name="_Toc379118086"/>
      <w:bookmarkStart w:id="363" w:name="_Toc381796473"/>
      <w:bookmarkStart w:id="364" w:name="_Toc460396074"/>
      <w:r w:rsidRPr="00BC4A30">
        <w:lastRenderedPageBreak/>
        <w:t>Section D</w:t>
      </w:r>
      <w:r w:rsidRPr="00BC4A30">
        <w:tab/>
        <w:t>Ec</w:t>
      </w:r>
      <w:r w:rsidR="00AB68D3" w:rsidRPr="00BC4A30">
        <w:t xml:space="preserve">onomic </w:t>
      </w:r>
      <w:r w:rsidRPr="00BC4A30">
        <w:t>Evaluation</w:t>
      </w:r>
      <w:bookmarkEnd w:id="362"/>
      <w:bookmarkEnd w:id="363"/>
      <w:bookmarkEnd w:id="364"/>
    </w:p>
    <w:p w14:paraId="5481A34D" w14:textId="77777777" w:rsidR="005A5EC8" w:rsidRPr="00BC4A30" w:rsidRDefault="005A5EC8" w:rsidP="00535599">
      <w:pPr>
        <w:pStyle w:val="Heading2"/>
        <w:numPr>
          <w:ilvl w:val="3"/>
          <w:numId w:val="9"/>
        </w:numPr>
        <w:spacing w:before="400" w:after="200"/>
      </w:pPr>
      <w:bookmarkStart w:id="365" w:name="_Toc381796475"/>
      <w:bookmarkStart w:id="366" w:name="_Toc460396075"/>
      <w:r w:rsidRPr="00BC4A30">
        <w:t>Overview</w:t>
      </w:r>
      <w:bookmarkEnd w:id="365"/>
      <w:bookmarkEnd w:id="366"/>
    </w:p>
    <w:p w14:paraId="40D0CD18" w14:textId="076B829D" w:rsidR="00E56FF7" w:rsidRPr="00BC4A30" w:rsidRDefault="00E56FF7" w:rsidP="00535599">
      <w:pPr>
        <w:spacing w:before="200"/>
      </w:pPr>
      <w:r w:rsidRPr="00BC4A30">
        <w:t>The key res</w:t>
      </w:r>
      <w:r w:rsidR="00A941E9" w:rsidRPr="00BC4A30">
        <w:t>earch question outlined in the p</w:t>
      </w:r>
      <w:r w:rsidRPr="00BC4A30">
        <w:t>rotocol is what is the safety, effectiveness and cost effectiveness of single treatment percutaneous MTA compared to RFA and current best practice radiotherapy with or without chemotherapy in</w:t>
      </w:r>
      <w:r w:rsidR="00BC4A30">
        <w:t xml:space="preserve"> (i)</w:t>
      </w:r>
      <w:r w:rsidRPr="00BC4A30">
        <w:t xml:space="preserve"> patients with early stage NSCLC who are not eligible for surgical resection and who are receiving treatment with curative intent (population one), </w:t>
      </w:r>
      <w:r w:rsidR="00BC4A30">
        <w:t xml:space="preserve">(ii) </w:t>
      </w:r>
      <w:r w:rsidRPr="00BC4A30">
        <w:t>among patients with pulmonary metastases for the above comparators and surgery (population two) and in</w:t>
      </w:r>
      <w:r w:rsidR="00BC4A30">
        <w:t xml:space="preserve"> (iii)</w:t>
      </w:r>
      <w:r w:rsidRPr="00BC4A30">
        <w:t xml:space="preserve"> palliative care (population three) for best current palliative treatment.</w:t>
      </w:r>
    </w:p>
    <w:p w14:paraId="2558DD53" w14:textId="6DF357DC" w:rsidR="00E56FF7" w:rsidRPr="00BC4A30" w:rsidRDefault="00A941E9" w:rsidP="00E56FF7">
      <w:r w:rsidRPr="00BC4A30">
        <w:t>The p</w:t>
      </w:r>
      <w:r w:rsidR="00E56FF7" w:rsidRPr="00BC4A30">
        <w:t>rotocol suggests the economic evaluation for the proposed service be informed by clinical claims: of superior safety and effectiveness compared to RFA in population one and two, non-inferior effectiveness and superior safety compared to surgery (population two) and current best practice radiotherapy with or without chemoth</w:t>
      </w:r>
      <w:r w:rsidR="009B6179">
        <w:t>erapy (population one and two).</w:t>
      </w:r>
    </w:p>
    <w:p w14:paraId="5D2F7731" w14:textId="77777777" w:rsidR="00E56FF7" w:rsidRPr="00BC4A30" w:rsidRDefault="00E56FF7" w:rsidP="00E56FF7">
      <w:r w:rsidRPr="00BC4A30">
        <w:t>This section provides an economic evaluation of these claims starting with an overview of the evaluation method chosen, and review of the economic literature relating to MTA and associated procedures, then presentation of the evaluation and results. The section concludes with sensitivity analyses which investigate the robustness of results in line with the major assumptions.</w:t>
      </w:r>
    </w:p>
    <w:p w14:paraId="00FC7BEE" w14:textId="77777777" w:rsidR="00CC1D82" w:rsidRPr="00BC4A30" w:rsidRDefault="00E56FF7" w:rsidP="003F6C66">
      <w:pPr>
        <w:pStyle w:val="Heading3"/>
      </w:pPr>
      <w:bookmarkStart w:id="367" w:name="_Toc460396076"/>
      <w:r w:rsidRPr="00BC4A30">
        <w:t>Type of economic evaluation</w:t>
      </w:r>
      <w:bookmarkEnd w:id="367"/>
      <w:r w:rsidRPr="00BC4A30">
        <w:t xml:space="preserve"> </w:t>
      </w:r>
    </w:p>
    <w:p w14:paraId="712B06DD" w14:textId="2DF0A382" w:rsidR="00E56FF7" w:rsidRPr="00BC4A30" w:rsidRDefault="00DF5EB1" w:rsidP="00E56FF7">
      <w:pPr>
        <w:rPr>
          <w:rFonts w:asciiTheme="minorHAnsi" w:hAnsiTheme="minorHAnsi"/>
        </w:rPr>
      </w:pPr>
      <w:r w:rsidRPr="00BC4A30">
        <w:rPr>
          <w:rFonts w:asciiTheme="minorHAnsi" w:hAnsiTheme="minorHAnsi"/>
        </w:rPr>
        <w:t xml:space="preserve">MSAC </w:t>
      </w:r>
      <w:r w:rsidRPr="00BC4A30">
        <w:rPr>
          <w:rFonts w:asciiTheme="minorHAnsi" w:hAnsiTheme="minorHAnsi"/>
        </w:rPr>
        <w:fldChar w:fldCharType="begin"/>
      </w:r>
      <w:r w:rsidR="00320458">
        <w:rPr>
          <w:rFonts w:asciiTheme="minorHAnsi" w:hAnsiTheme="minorHAnsi"/>
        </w:rPr>
        <w:instrText xml:space="preserve"> ADDIN EN.CITE &lt;EndNote&gt;&lt;Cite ExcludeAuth="1"&gt;&lt;Author&gt;Medical Services Advisory Committee&lt;/Author&gt;&lt;Year&gt;2016&lt;/Year&gt;&lt;RecNum&gt;227&lt;/RecNum&gt;&lt;DisplayText&gt;(2016)&lt;/DisplayText&gt;&lt;record&gt;&lt;rec-number&gt;227&lt;/rec-number&gt;&lt;foreign-keys&gt;&lt;key app="EN" db-id="05ssdaw2cf0zvye5xvo5z9ww0xdpfstrdtew" timestamp="1469615464"&gt;227&lt;/key&gt;&lt;/foreign-keys&gt;&lt;ref-type name="Web Page"&gt;12&lt;/ref-type&gt;&lt;contributors&gt;&lt;authors&gt;&lt;author&gt;Medical Services Advisory Committee,&lt;/author&gt;&lt;/authors&gt;&lt;/contributors&gt;&lt;titles&gt;&lt;title&gt;Technical Guidelines for preparing assessment reports for the Medical Services Advisory Committee – Medical Service Type: Therapeutic (Version 2.0)&lt;/title&gt;&lt;/titles&gt;&lt;volume&gt;2016&lt;/volume&gt;&lt;number&gt;30 August&lt;/number&gt;&lt;dates&gt;&lt;year&gt;2016&lt;/year&gt;&lt;pub-dates&gt;&lt;date&gt;2016&lt;/date&gt;&lt;/pub-dates&gt;&lt;/dates&gt;&lt;publisher&gt;Medical Services Advisory Committee&lt;/publisher&gt;&lt;urls&gt;&lt;related-urls&gt;&lt;url&gt;http://www.msac.gov.au/internet/msac/publishing.nsf/Content/67FB8467CA66BBBECA257F73000863F3/$File/TherapeuticTechnicalGuidelines-Final-March2016-Version2.0-accessible.pdf&lt;/url&gt;&lt;/related-urls&gt;&lt;/urls&gt;&lt;custom1&gt;Medical Services Advisory Committee&lt;/custom1&gt;&lt;/record&gt;&lt;/Cite&gt;&lt;/EndNote&gt;</w:instrText>
      </w:r>
      <w:r w:rsidRPr="00BC4A30">
        <w:rPr>
          <w:rFonts w:asciiTheme="minorHAnsi" w:hAnsiTheme="minorHAnsi"/>
        </w:rPr>
        <w:fldChar w:fldCharType="separate"/>
      </w:r>
      <w:r w:rsidR="00650769">
        <w:rPr>
          <w:rFonts w:asciiTheme="minorHAnsi" w:hAnsiTheme="minorHAnsi"/>
          <w:noProof/>
        </w:rPr>
        <w:t>(</w:t>
      </w:r>
      <w:hyperlink w:anchor="_ENREF_103" w:tooltip="Medical Services Advisory Committee, 2016 #227" w:history="1">
        <w:r w:rsidR="00320458">
          <w:rPr>
            <w:rFonts w:asciiTheme="minorHAnsi" w:hAnsiTheme="minorHAnsi"/>
            <w:noProof/>
          </w:rPr>
          <w:t>2016</w:t>
        </w:r>
      </w:hyperlink>
      <w:r w:rsidR="00650769">
        <w:rPr>
          <w:rFonts w:asciiTheme="minorHAnsi" w:hAnsiTheme="minorHAnsi"/>
          <w:noProof/>
        </w:rPr>
        <w:t>)</w:t>
      </w:r>
      <w:r w:rsidRPr="00BC4A30">
        <w:rPr>
          <w:rFonts w:asciiTheme="minorHAnsi" w:hAnsiTheme="minorHAnsi"/>
        </w:rPr>
        <w:fldChar w:fldCharType="end"/>
      </w:r>
      <w:r w:rsidR="00BC4A30">
        <w:rPr>
          <w:rFonts w:asciiTheme="minorHAnsi" w:hAnsiTheme="minorHAnsi"/>
        </w:rPr>
        <w:t xml:space="preserve"> </w:t>
      </w:r>
      <w:r w:rsidR="00E56FF7" w:rsidRPr="00BC4A30">
        <w:rPr>
          <w:rFonts w:asciiTheme="minorHAnsi" w:hAnsiTheme="minorHAnsi"/>
        </w:rPr>
        <w:t xml:space="preserve">encourage that the base case for an economic evaluation be a cost-utility analysis where there is a clear efficacy benefit. It is noted that </w:t>
      </w:r>
      <w:r w:rsidR="00E56FF7" w:rsidRPr="00BC4A30">
        <w:t>MSAC has a strong preference for evidence derived from direct randomised trials, although all levels of evidence will be considered. Where an intervention is proven to be no worse than its main comparators in terms of both effectiveness and safety (</w:t>
      </w:r>
      <w:r w:rsidR="00CA6DFD" w:rsidRPr="00BC4A30">
        <w:t>i.e.</w:t>
      </w:r>
      <w:r w:rsidR="00E56FF7" w:rsidRPr="00BC4A30">
        <w:t xml:space="preserve"> there is no </w:t>
      </w:r>
      <w:r w:rsidR="00E56FF7" w:rsidRPr="00BC4A30">
        <w:rPr>
          <w:rFonts w:asciiTheme="minorHAnsi" w:hAnsiTheme="minorHAnsi"/>
        </w:rPr>
        <w:t xml:space="preserve">clear efficacy benefit) a cost minimisation approach should be employed. </w:t>
      </w:r>
    </w:p>
    <w:p w14:paraId="1AB34F57" w14:textId="0D1E18BB" w:rsidR="00E56FF7" w:rsidRPr="00BC4A30" w:rsidRDefault="00E56FF7" w:rsidP="00E56FF7">
      <w:r w:rsidRPr="00BC4A30">
        <w:t xml:space="preserve">The MSAC guidelines matrix for preferred economic approach based on comparative effectiveness and safety is presented in </w:t>
      </w:r>
      <w:r w:rsidRPr="00BC4A30">
        <w:fldChar w:fldCharType="begin"/>
      </w:r>
      <w:r w:rsidRPr="00BC4A30">
        <w:instrText xml:space="preserve"> REF _Ref457410981 \h </w:instrText>
      </w:r>
      <w:r w:rsidR="00796EF0" w:rsidRPr="00BC4A30">
        <w:instrText xml:space="preserve"> \* MERGEFORMAT </w:instrText>
      </w:r>
      <w:r w:rsidRPr="00BC4A30">
        <w:fldChar w:fldCharType="separate"/>
      </w:r>
      <w:r w:rsidR="00D170A5" w:rsidRPr="00BC4A30">
        <w:t xml:space="preserve">Table </w:t>
      </w:r>
      <w:r w:rsidR="00D170A5">
        <w:rPr>
          <w:noProof/>
        </w:rPr>
        <w:t>62</w:t>
      </w:r>
      <w:r w:rsidRPr="00BC4A30">
        <w:fldChar w:fldCharType="end"/>
      </w:r>
      <w:r w:rsidRPr="00BC4A30">
        <w:t xml:space="preserve">. An overview of evidence of effectiveness and safety for each of the three assessment populations is summarised in </w:t>
      </w:r>
      <w:r w:rsidRPr="00BC4A30">
        <w:fldChar w:fldCharType="begin"/>
      </w:r>
      <w:r w:rsidRPr="00BC4A30">
        <w:instrText xml:space="preserve"> REF _Ref457410988 \h </w:instrText>
      </w:r>
      <w:r w:rsidR="00796EF0" w:rsidRPr="00BC4A30">
        <w:instrText xml:space="preserve"> \* MERGEFORMAT </w:instrText>
      </w:r>
      <w:r w:rsidRPr="00BC4A30">
        <w:fldChar w:fldCharType="separate"/>
      </w:r>
      <w:r w:rsidR="00D170A5" w:rsidRPr="00BC4A30">
        <w:t xml:space="preserve">Table </w:t>
      </w:r>
      <w:r w:rsidR="00D170A5">
        <w:rPr>
          <w:noProof/>
        </w:rPr>
        <w:t>63</w:t>
      </w:r>
      <w:r w:rsidRPr="00BC4A30">
        <w:fldChar w:fldCharType="end"/>
      </w:r>
      <w:r w:rsidR="00396EEB">
        <w:t>,</w:t>
      </w:r>
      <w:r w:rsidRPr="00BC4A30">
        <w:t xml:space="preserve"> based on findings in Section B. MSAC (2016) also highlight that where there is uncertainty around conclusions an assessment should be made about the impact of this information gap on key modelling assumptions and parameters in the economic evaluation. As noted, the section is concluded with sensitivity analyses of the intervention against key comparators in relevant populations</w:t>
      </w:r>
      <w:r w:rsidR="00396EEB">
        <w:t>.</w:t>
      </w:r>
      <w:r w:rsidRPr="00BC4A30">
        <w:t xml:space="preserve"> </w:t>
      </w:r>
    </w:p>
    <w:p w14:paraId="6BF76FC7" w14:textId="77777777" w:rsidR="00E56FF7" w:rsidRPr="00BC4A30" w:rsidRDefault="00E56FF7" w:rsidP="009B6179">
      <w:pPr>
        <w:pStyle w:val="Caption"/>
        <w:keepNext/>
        <w:ind w:left="1134" w:hanging="1134"/>
      </w:pPr>
      <w:bookmarkStart w:id="368" w:name="_Ref457410981"/>
      <w:bookmarkStart w:id="369" w:name="_Toc460514720"/>
      <w:r w:rsidRPr="00BC4A30">
        <w:lastRenderedPageBreak/>
        <w:t xml:space="preserve">Table </w:t>
      </w:r>
      <w:fldSimple w:instr=" SEQ Table \* ARABIC ">
        <w:r w:rsidR="00D170A5">
          <w:rPr>
            <w:noProof/>
          </w:rPr>
          <w:t>62</w:t>
        </w:r>
      </w:fldSimple>
      <w:bookmarkEnd w:id="368"/>
      <w:r w:rsidRPr="00BC4A30">
        <w:tab/>
      </w:r>
      <w:r w:rsidRPr="00BC4A30">
        <w:rPr>
          <w:szCs w:val="20"/>
        </w:rPr>
        <w:t>Classification of the comparative effectiveness and safety of the proposed therapeutic medical service compared with its main comparator and guide to the suitable type of economic evaluation</w:t>
      </w:r>
      <w:bookmarkEnd w:id="369"/>
    </w:p>
    <w:tbl>
      <w:tblPr>
        <w:tblW w:w="4872" w:type="pct"/>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1946"/>
        <w:gridCol w:w="1842"/>
        <w:gridCol w:w="2154"/>
        <w:gridCol w:w="1690"/>
        <w:gridCol w:w="1387"/>
      </w:tblGrid>
      <w:tr w:rsidR="00E56FF7" w:rsidRPr="00BC4A30" w14:paraId="59E5B86A" w14:textId="77777777" w:rsidTr="00192EDA">
        <w:trPr>
          <w:cantSplit/>
        </w:trPr>
        <w:tc>
          <w:tcPr>
            <w:tcW w:w="1946" w:type="dxa"/>
            <w:tcBorders>
              <w:top w:val="single" w:sz="4" w:space="0" w:color="auto"/>
              <w:left w:val="single" w:sz="4" w:space="0" w:color="auto"/>
              <w:right w:val="single" w:sz="4" w:space="0" w:color="auto"/>
            </w:tcBorders>
            <w:shd w:val="clear" w:color="auto" w:fill="D9D9D9" w:themeFill="background1" w:themeFillShade="D9"/>
          </w:tcPr>
          <w:p w14:paraId="0E8827D2" w14:textId="77777777" w:rsidR="00E56FF7" w:rsidRPr="00960600" w:rsidRDefault="00E56FF7" w:rsidP="00960600">
            <w:pPr>
              <w:pStyle w:val="Tabletext1"/>
              <w:rPr>
                <w:b/>
              </w:rPr>
            </w:pPr>
            <w:r w:rsidRPr="00960600">
              <w:rPr>
                <w:b/>
              </w:rPr>
              <w:t>Comparative safety</w:t>
            </w:r>
          </w:p>
        </w:tc>
        <w:tc>
          <w:tcPr>
            <w:tcW w:w="1842" w:type="dxa"/>
            <w:tcBorders>
              <w:top w:val="single" w:sz="4" w:space="0" w:color="auto"/>
              <w:left w:val="single" w:sz="4" w:space="0" w:color="auto"/>
              <w:bottom w:val="single" w:sz="4" w:space="0" w:color="auto"/>
              <w:right w:val="nil"/>
            </w:tcBorders>
            <w:shd w:val="clear" w:color="auto" w:fill="D9D9D9" w:themeFill="background1" w:themeFillShade="D9"/>
          </w:tcPr>
          <w:p w14:paraId="186C66F4" w14:textId="77777777" w:rsidR="00E56FF7" w:rsidRPr="00960600" w:rsidRDefault="00E56FF7" w:rsidP="00960600">
            <w:pPr>
              <w:pStyle w:val="Tabletext1"/>
              <w:rPr>
                <w:b/>
              </w:rPr>
            </w:pPr>
          </w:p>
        </w:tc>
        <w:tc>
          <w:tcPr>
            <w:tcW w:w="2154" w:type="dxa"/>
            <w:tcBorders>
              <w:top w:val="single" w:sz="4" w:space="0" w:color="auto"/>
              <w:left w:val="nil"/>
              <w:bottom w:val="single" w:sz="4" w:space="0" w:color="auto"/>
            </w:tcBorders>
            <w:shd w:val="clear" w:color="auto" w:fill="D9D9D9" w:themeFill="background1" w:themeFillShade="D9"/>
          </w:tcPr>
          <w:p w14:paraId="11B652F2" w14:textId="77777777" w:rsidR="00E56FF7" w:rsidRPr="00960600" w:rsidRDefault="00E56FF7" w:rsidP="00960600">
            <w:pPr>
              <w:pStyle w:val="Tabletext1"/>
              <w:rPr>
                <w:b/>
              </w:rPr>
            </w:pPr>
            <w:r w:rsidRPr="00960600">
              <w:rPr>
                <w:b/>
              </w:rPr>
              <w:t>Comparative effectiveness</w:t>
            </w:r>
          </w:p>
        </w:tc>
        <w:tc>
          <w:tcPr>
            <w:tcW w:w="1690" w:type="dxa"/>
            <w:tcBorders>
              <w:top w:val="single" w:sz="4" w:space="0" w:color="auto"/>
              <w:left w:val="nil"/>
              <w:bottom w:val="single" w:sz="4" w:space="0" w:color="auto"/>
            </w:tcBorders>
            <w:shd w:val="clear" w:color="auto" w:fill="D9D9D9" w:themeFill="background1" w:themeFillShade="D9"/>
          </w:tcPr>
          <w:p w14:paraId="1A98B926" w14:textId="77777777" w:rsidR="00E56FF7" w:rsidRPr="00960600" w:rsidRDefault="00E56FF7" w:rsidP="00960600">
            <w:pPr>
              <w:pStyle w:val="Tabletext1"/>
              <w:rPr>
                <w:b/>
              </w:rPr>
            </w:pPr>
          </w:p>
        </w:tc>
        <w:tc>
          <w:tcPr>
            <w:tcW w:w="1387" w:type="dxa"/>
            <w:tcBorders>
              <w:top w:val="single" w:sz="4" w:space="0" w:color="auto"/>
              <w:left w:val="nil"/>
              <w:bottom w:val="single" w:sz="4" w:space="0" w:color="auto"/>
              <w:right w:val="single" w:sz="4" w:space="0" w:color="auto"/>
            </w:tcBorders>
            <w:shd w:val="clear" w:color="auto" w:fill="D9D9D9" w:themeFill="background1" w:themeFillShade="D9"/>
          </w:tcPr>
          <w:p w14:paraId="7003B939" w14:textId="77777777" w:rsidR="00E56FF7" w:rsidRPr="00960600" w:rsidRDefault="00E56FF7" w:rsidP="00960600">
            <w:pPr>
              <w:pStyle w:val="Tabletext1"/>
              <w:rPr>
                <w:b/>
              </w:rPr>
            </w:pPr>
          </w:p>
        </w:tc>
      </w:tr>
      <w:tr w:rsidR="00E56FF7" w:rsidRPr="00BC4A30" w14:paraId="33884976" w14:textId="77777777" w:rsidTr="00192EDA">
        <w:trPr>
          <w:cantSplit/>
        </w:trPr>
        <w:tc>
          <w:tcPr>
            <w:tcW w:w="1946" w:type="dxa"/>
            <w:tcBorders>
              <w:left w:val="single" w:sz="4" w:space="0" w:color="auto"/>
              <w:bottom w:val="single" w:sz="4" w:space="0" w:color="auto"/>
              <w:right w:val="single" w:sz="4" w:space="0" w:color="auto"/>
            </w:tcBorders>
            <w:shd w:val="clear" w:color="auto" w:fill="D9D9D9" w:themeFill="background1" w:themeFillShade="D9"/>
          </w:tcPr>
          <w:p w14:paraId="5CE0AC53" w14:textId="77777777" w:rsidR="00E56FF7" w:rsidRPr="00BC4A30" w:rsidRDefault="00E56FF7" w:rsidP="00960600">
            <w:pPr>
              <w:pStyle w:val="Tabletext1"/>
            </w:pPr>
            <w:r w:rsidRPr="00BC4A30">
              <w:rPr>
                <w:color w:val="FFFFFF" w:themeColor="background1"/>
              </w:rPr>
              <w:t>-</w:t>
            </w:r>
          </w:p>
        </w:tc>
        <w:tc>
          <w:tcPr>
            <w:tcW w:w="1842" w:type="dxa"/>
            <w:tcBorders>
              <w:left w:val="single" w:sz="4" w:space="0" w:color="auto"/>
              <w:bottom w:val="single" w:sz="4" w:space="0" w:color="auto"/>
              <w:right w:val="single" w:sz="4" w:space="0" w:color="auto"/>
            </w:tcBorders>
            <w:shd w:val="clear" w:color="auto" w:fill="D9D9D9" w:themeFill="background1" w:themeFillShade="D9"/>
          </w:tcPr>
          <w:p w14:paraId="323FC29F" w14:textId="77777777" w:rsidR="00E56FF7" w:rsidRPr="00960600" w:rsidRDefault="00E56FF7" w:rsidP="00960600">
            <w:pPr>
              <w:pStyle w:val="Tabletext1"/>
              <w:rPr>
                <w:b/>
              </w:rPr>
            </w:pPr>
            <w:r w:rsidRPr="00960600">
              <w:rPr>
                <w:b/>
              </w:rPr>
              <w:t>Inferior</w:t>
            </w:r>
          </w:p>
        </w:tc>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A18C4" w14:textId="77777777" w:rsidR="00E56FF7" w:rsidRPr="00960600" w:rsidRDefault="00E56FF7" w:rsidP="00960600">
            <w:pPr>
              <w:pStyle w:val="Tabletext1"/>
              <w:rPr>
                <w:b/>
              </w:rPr>
            </w:pPr>
            <w:r w:rsidRPr="00960600">
              <w:rPr>
                <w:b/>
              </w:rPr>
              <w:t>Uncertain</w:t>
            </w:r>
          </w:p>
        </w:tc>
        <w:tc>
          <w:tcPr>
            <w:tcW w:w="1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34EA3A" w14:textId="77777777" w:rsidR="00E56FF7" w:rsidRPr="00960600" w:rsidRDefault="00E56FF7" w:rsidP="00960600">
            <w:pPr>
              <w:pStyle w:val="Tabletext1"/>
              <w:rPr>
                <w:b/>
              </w:rPr>
            </w:pPr>
            <w:r w:rsidRPr="00960600">
              <w:rPr>
                <w:b/>
              </w:rPr>
              <w:t>Non-inferior</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0A7070" w14:textId="77777777" w:rsidR="00E56FF7" w:rsidRPr="00960600" w:rsidRDefault="00E56FF7" w:rsidP="00960600">
            <w:pPr>
              <w:pStyle w:val="Tabletext1"/>
              <w:rPr>
                <w:b/>
              </w:rPr>
            </w:pPr>
            <w:r w:rsidRPr="00960600">
              <w:rPr>
                <w:b/>
              </w:rPr>
              <w:t>Superior</w:t>
            </w:r>
          </w:p>
        </w:tc>
      </w:tr>
      <w:tr w:rsidR="00E56FF7" w:rsidRPr="00BC4A30" w14:paraId="3E84F4BE" w14:textId="77777777" w:rsidTr="00192EDA">
        <w:tc>
          <w:tcPr>
            <w:tcW w:w="1946" w:type="dxa"/>
            <w:tcBorders>
              <w:top w:val="single" w:sz="4" w:space="0" w:color="auto"/>
              <w:left w:val="single" w:sz="4" w:space="0" w:color="auto"/>
              <w:bottom w:val="single" w:sz="4" w:space="0" w:color="auto"/>
              <w:right w:val="single" w:sz="4" w:space="0" w:color="auto"/>
            </w:tcBorders>
            <w:vAlign w:val="center"/>
          </w:tcPr>
          <w:p w14:paraId="0E77065E" w14:textId="77777777" w:rsidR="00E56FF7" w:rsidRPr="00BC4A30" w:rsidRDefault="00E56FF7" w:rsidP="00960600">
            <w:pPr>
              <w:pStyle w:val="Tabletext1"/>
            </w:pPr>
            <w:r w:rsidRPr="00BC4A30">
              <w:t>Inferior</w:t>
            </w:r>
          </w:p>
        </w:tc>
        <w:tc>
          <w:tcPr>
            <w:tcW w:w="1842" w:type="dxa"/>
            <w:tcBorders>
              <w:top w:val="single" w:sz="4" w:space="0" w:color="auto"/>
              <w:left w:val="single" w:sz="4" w:space="0" w:color="auto"/>
              <w:bottom w:val="single" w:sz="4" w:space="0" w:color="auto"/>
              <w:right w:val="single" w:sz="4" w:space="0" w:color="auto"/>
            </w:tcBorders>
            <w:vAlign w:val="center"/>
          </w:tcPr>
          <w:p w14:paraId="073BF71A" w14:textId="77777777" w:rsidR="00E56FF7" w:rsidRPr="00BC4A30" w:rsidRDefault="00E56FF7" w:rsidP="00960600">
            <w:pPr>
              <w:pStyle w:val="Tabletext1"/>
            </w:pPr>
            <w:r w:rsidRPr="00BC4A30">
              <w:t>Health forgone: need other supportive factors</w:t>
            </w:r>
          </w:p>
        </w:tc>
        <w:tc>
          <w:tcPr>
            <w:tcW w:w="2154" w:type="dxa"/>
            <w:tcBorders>
              <w:top w:val="single" w:sz="4" w:space="0" w:color="auto"/>
              <w:left w:val="single" w:sz="4" w:space="0" w:color="auto"/>
              <w:bottom w:val="single" w:sz="4" w:space="0" w:color="auto"/>
              <w:right w:val="single" w:sz="4" w:space="0" w:color="auto"/>
            </w:tcBorders>
            <w:vAlign w:val="center"/>
          </w:tcPr>
          <w:p w14:paraId="228367B4" w14:textId="77777777" w:rsidR="00E56FF7" w:rsidRPr="00BC4A30" w:rsidRDefault="00E56FF7" w:rsidP="00960600">
            <w:pPr>
              <w:pStyle w:val="Tabletext1"/>
            </w:pPr>
            <w:r w:rsidRPr="00BC4A30">
              <w:t>Health forgone possible: need other supportive factors</w:t>
            </w:r>
          </w:p>
        </w:tc>
        <w:tc>
          <w:tcPr>
            <w:tcW w:w="1690" w:type="dxa"/>
            <w:tcBorders>
              <w:top w:val="single" w:sz="4" w:space="0" w:color="auto"/>
              <w:left w:val="single" w:sz="4" w:space="0" w:color="auto"/>
              <w:bottom w:val="single" w:sz="4" w:space="0" w:color="auto"/>
              <w:right w:val="single" w:sz="4" w:space="0" w:color="auto"/>
            </w:tcBorders>
            <w:vAlign w:val="center"/>
          </w:tcPr>
          <w:p w14:paraId="262E3444" w14:textId="77777777" w:rsidR="00E56FF7" w:rsidRPr="00BC4A30" w:rsidRDefault="00E56FF7" w:rsidP="00960600">
            <w:pPr>
              <w:pStyle w:val="Tabletext1"/>
            </w:pPr>
            <w:r w:rsidRPr="00BC4A30">
              <w:t>Health forgone: need other supportive factors</w:t>
            </w:r>
          </w:p>
        </w:tc>
        <w:tc>
          <w:tcPr>
            <w:tcW w:w="1387" w:type="dxa"/>
            <w:tcBorders>
              <w:top w:val="single" w:sz="4" w:space="0" w:color="auto"/>
              <w:left w:val="single" w:sz="4" w:space="0" w:color="auto"/>
              <w:bottom w:val="single" w:sz="4" w:space="0" w:color="auto"/>
              <w:right w:val="single" w:sz="4" w:space="0" w:color="auto"/>
            </w:tcBorders>
            <w:vAlign w:val="center"/>
          </w:tcPr>
          <w:p w14:paraId="5597E04E" w14:textId="77777777" w:rsidR="00E56FF7" w:rsidRPr="00BC4A30" w:rsidRDefault="00E56FF7" w:rsidP="00960600">
            <w:pPr>
              <w:pStyle w:val="Tabletext1"/>
            </w:pPr>
            <w:r w:rsidRPr="00BC4A30">
              <w:t>? Likely CUA</w:t>
            </w:r>
          </w:p>
        </w:tc>
      </w:tr>
      <w:tr w:rsidR="00E56FF7" w:rsidRPr="00BC4A30" w14:paraId="14E14C6C" w14:textId="77777777" w:rsidTr="00192EDA">
        <w:tc>
          <w:tcPr>
            <w:tcW w:w="1946" w:type="dxa"/>
            <w:tcBorders>
              <w:top w:val="single" w:sz="4" w:space="0" w:color="auto"/>
              <w:left w:val="single" w:sz="4" w:space="0" w:color="auto"/>
              <w:bottom w:val="single" w:sz="4" w:space="0" w:color="auto"/>
              <w:right w:val="single" w:sz="4" w:space="0" w:color="auto"/>
            </w:tcBorders>
            <w:vAlign w:val="center"/>
          </w:tcPr>
          <w:p w14:paraId="0DADDFCA" w14:textId="77777777" w:rsidR="00E56FF7" w:rsidRPr="00BC4A30" w:rsidRDefault="00E56FF7" w:rsidP="00960600">
            <w:pPr>
              <w:pStyle w:val="Tabletext1"/>
            </w:pPr>
            <w:r w:rsidRPr="00BC4A30">
              <w:t>Uncertain</w:t>
            </w:r>
          </w:p>
        </w:tc>
        <w:tc>
          <w:tcPr>
            <w:tcW w:w="1842" w:type="dxa"/>
            <w:tcBorders>
              <w:top w:val="single" w:sz="4" w:space="0" w:color="auto"/>
              <w:left w:val="single" w:sz="4" w:space="0" w:color="auto"/>
              <w:bottom w:val="single" w:sz="4" w:space="0" w:color="auto"/>
              <w:right w:val="single" w:sz="4" w:space="0" w:color="auto"/>
            </w:tcBorders>
            <w:vAlign w:val="center"/>
          </w:tcPr>
          <w:p w14:paraId="626EF5CA" w14:textId="77777777" w:rsidR="00E56FF7" w:rsidRPr="00BC4A30" w:rsidRDefault="00E56FF7" w:rsidP="00960600">
            <w:pPr>
              <w:pStyle w:val="Tabletext1"/>
            </w:pPr>
            <w:r w:rsidRPr="00BC4A30">
              <w:t>Health forgone possible: need other supportive factors</w:t>
            </w:r>
          </w:p>
        </w:tc>
        <w:tc>
          <w:tcPr>
            <w:tcW w:w="2154" w:type="dxa"/>
            <w:tcBorders>
              <w:top w:val="single" w:sz="4" w:space="0" w:color="auto"/>
              <w:left w:val="single" w:sz="4" w:space="0" w:color="auto"/>
              <w:bottom w:val="single" w:sz="4" w:space="0" w:color="auto"/>
              <w:right w:val="single" w:sz="4" w:space="0" w:color="auto"/>
            </w:tcBorders>
            <w:vAlign w:val="center"/>
          </w:tcPr>
          <w:p w14:paraId="55D82311" w14:textId="77777777" w:rsidR="00E56FF7" w:rsidRPr="00BC4A30" w:rsidRDefault="00E56FF7" w:rsidP="00960600">
            <w:pPr>
              <w:pStyle w:val="Tabletext1"/>
            </w:pPr>
            <w:r w:rsidRPr="00BC4A30">
              <w:t>?</w:t>
            </w:r>
          </w:p>
        </w:tc>
        <w:tc>
          <w:tcPr>
            <w:tcW w:w="1690" w:type="dxa"/>
            <w:tcBorders>
              <w:top w:val="single" w:sz="4" w:space="0" w:color="auto"/>
              <w:left w:val="single" w:sz="4" w:space="0" w:color="auto"/>
              <w:bottom w:val="single" w:sz="4" w:space="0" w:color="auto"/>
              <w:right w:val="single" w:sz="4" w:space="0" w:color="auto"/>
            </w:tcBorders>
            <w:vAlign w:val="center"/>
          </w:tcPr>
          <w:p w14:paraId="5FC63776" w14:textId="77777777" w:rsidR="00E56FF7" w:rsidRPr="00BC4A30" w:rsidRDefault="00E56FF7" w:rsidP="00960600">
            <w:pPr>
              <w:pStyle w:val="Tabletext1"/>
            </w:pPr>
            <w:r w:rsidRPr="00BC4A30">
              <w:t>?</w:t>
            </w:r>
          </w:p>
        </w:tc>
        <w:tc>
          <w:tcPr>
            <w:tcW w:w="1387" w:type="dxa"/>
            <w:tcBorders>
              <w:top w:val="single" w:sz="4" w:space="0" w:color="auto"/>
              <w:left w:val="single" w:sz="4" w:space="0" w:color="auto"/>
              <w:bottom w:val="single" w:sz="4" w:space="0" w:color="auto"/>
              <w:right w:val="single" w:sz="4" w:space="0" w:color="auto"/>
            </w:tcBorders>
            <w:vAlign w:val="center"/>
          </w:tcPr>
          <w:p w14:paraId="524AA679" w14:textId="77777777" w:rsidR="00E56FF7" w:rsidRPr="00BC4A30" w:rsidRDefault="00E56FF7" w:rsidP="00960600">
            <w:pPr>
              <w:pStyle w:val="Tabletext1"/>
            </w:pPr>
            <w:r w:rsidRPr="00BC4A30">
              <w:t>? Likely CEA/CUA</w:t>
            </w:r>
          </w:p>
        </w:tc>
      </w:tr>
      <w:tr w:rsidR="00E56FF7" w:rsidRPr="00BC4A30" w14:paraId="7C9B42A5" w14:textId="77777777" w:rsidTr="00192EDA">
        <w:tc>
          <w:tcPr>
            <w:tcW w:w="1946" w:type="dxa"/>
            <w:tcBorders>
              <w:top w:val="single" w:sz="4" w:space="0" w:color="auto"/>
              <w:left w:val="single" w:sz="4" w:space="0" w:color="auto"/>
              <w:bottom w:val="single" w:sz="4" w:space="0" w:color="auto"/>
              <w:right w:val="single" w:sz="4" w:space="0" w:color="auto"/>
            </w:tcBorders>
            <w:vAlign w:val="center"/>
          </w:tcPr>
          <w:p w14:paraId="223D8442" w14:textId="77777777" w:rsidR="00E56FF7" w:rsidRPr="00BC4A30" w:rsidRDefault="00E56FF7" w:rsidP="00960600">
            <w:pPr>
              <w:pStyle w:val="Tabletext1"/>
            </w:pPr>
            <w:r w:rsidRPr="00BC4A30">
              <w:t>Non-inferior</w:t>
            </w:r>
          </w:p>
        </w:tc>
        <w:tc>
          <w:tcPr>
            <w:tcW w:w="1842" w:type="dxa"/>
            <w:tcBorders>
              <w:top w:val="single" w:sz="4" w:space="0" w:color="auto"/>
              <w:left w:val="single" w:sz="4" w:space="0" w:color="auto"/>
              <w:bottom w:val="single" w:sz="4" w:space="0" w:color="auto"/>
              <w:right w:val="single" w:sz="4" w:space="0" w:color="auto"/>
            </w:tcBorders>
            <w:vAlign w:val="center"/>
          </w:tcPr>
          <w:p w14:paraId="2D079438" w14:textId="77777777" w:rsidR="00E56FF7" w:rsidRPr="00BC4A30" w:rsidRDefault="00E56FF7" w:rsidP="00960600">
            <w:pPr>
              <w:pStyle w:val="Tabletext1"/>
            </w:pPr>
            <w:r w:rsidRPr="00BC4A30">
              <w:t>Health forgone: need other supportive factors</w:t>
            </w:r>
          </w:p>
        </w:tc>
        <w:tc>
          <w:tcPr>
            <w:tcW w:w="21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CE03AF" w14:textId="77777777" w:rsidR="00E56FF7" w:rsidRPr="00BC4A30" w:rsidRDefault="00E56FF7" w:rsidP="00960600">
            <w:pPr>
              <w:pStyle w:val="Tabletext1"/>
            </w:pPr>
            <w:r w:rsidRPr="00BC4A30">
              <w:t>?</w:t>
            </w:r>
          </w:p>
        </w:tc>
        <w:tc>
          <w:tcPr>
            <w:tcW w:w="1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701428" w14:textId="77777777" w:rsidR="00E56FF7" w:rsidRPr="00BC4A30" w:rsidRDefault="00E56FF7" w:rsidP="00960600">
            <w:pPr>
              <w:pStyle w:val="Tabletext1"/>
            </w:pPr>
            <w:r w:rsidRPr="00BC4A30">
              <w:t>CMA</w:t>
            </w:r>
          </w:p>
        </w:tc>
        <w:tc>
          <w:tcPr>
            <w:tcW w:w="1387" w:type="dxa"/>
            <w:tcBorders>
              <w:top w:val="single" w:sz="4" w:space="0" w:color="auto"/>
              <w:left w:val="single" w:sz="4" w:space="0" w:color="auto"/>
              <w:bottom w:val="single" w:sz="4" w:space="0" w:color="auto"/>
              <w:right w:val="single" w:sz="4" w:space="0" w:color="auto"/>
            </w:tcBorders>
            <w:vAlign w:val="center"/>
          </w:tcPr>
          <w:p w14:paraId="7EC23C96" w14:textId="77777777" w:rsidR="00E56FF7" w:rsidRPr="00BC4A30" w:rsidRDefault="00E56FF7" w:rsidP="00960600">
            <w:pPr>
              <w:pStyle w:val="Tabletext1"/>
            </w:pPr>
            <w:r w:rsidRPr="00BC4A30">
              <w:t>CEA/CUA</w:t>
            </w:r>
          </w:p>
        </w:tc>
      </w:tr>
      <w:tr w:rsidR="00E56FF7" w:rsidRPr="00BC4A30" w14:paraId="6EDA71C3" w14:textId="77777777" w:rsidTr="00192EDA">
        <w:tc>
          <w:tcPr>
            <w:tcW w:w="1946" w:type="dxa"/>
            <w:tcBorders>
              <w:top w:val="single" w:sz="4" w:space="0" w:color="auto"/>
              <w:left w:val="single" w:sz="4" w:space="0" w:color="auto"/>
              <w:bottom w:val="single" w:sz="4" w:space="0" w:color="auto"/>
              <w:right w:val="single" w:sz="4" w:space="0" w:color="auto"/>
            </w:tcBorders>
            <w:vAlign w:val="center"/>
          </w:tcPr>
          <w:p w14:paraId="6B58B364" w14:textId="77777777" w:rsidR="00E56FF7" w:rsidRPr="00BC4A30" w:rsidRDefault="00E56FF7" w:rsidP="00960600">
            <w:pPr>
              <w:pStyle w:val="Tabletext1"/>
            </w:pPr>
            <w:r w:rsidRPr="00BC4A30">
              <w:t>Superior</w:t>
            </w:r>
          </w:p>
        </w:tc>
        <w:tc>
          <w:tcPr>
            <w:tcW w:w="1842" w:type="dxa"/>
            <w:tcBorders>
              <w:top w:val="single" w:sz="4" w:space="0" w:color="auto"/>
              <w:left w:val="single" w:sz="4" w:space="0" w:color="auto"/>
              <w:bottom w:val="single" w:sz="4" w:space="0" w:color="auto"/>
              <w:right w:val="single" w:sz="4" w:space="0" w:color="auto"/>
            </w:tcBorders>
            <w:vAlign w:val="center"/>
          </w:tcPr>
          <w:p w14:paraId="44E7027B" w14:textId="77777777" w:rsidR="00E56FF7" w:rsidRPr="00BC4A30" w:rsidRDefault="00E56FF7" w:rsidP="00960600">
            <w:pPr>
              <w:pStyle w:val="Tabletext1"/>
            </w:pPr>
            <w:r w:rsidRPr="00BC4A30">
              <w:t>? Likely CUA</w:t>
            </w:r>
          </w:p>
        </w:tc>
        <w:tc>
          <w:tcPr>
            <w:tcW w:w="2154" w:type="dxa"/>
            <w:tcBorders>
              <w:top w:val="single" w:sz="4" w:space="0" w:color="auto"/>
              <w:left w:val="single" w:sz="4" w:space="0" w:color="auto"/>
              <w:bottom w:val="single" w:sz="4" w:space="0" w:color="auto"/>
              <w:right w:val="single" w:sz="4" w:space="0" w:color="auto"/>
            </w:tcBorders>
            <w:vAlign w:val="center"/>
          </w:tcPr>
          <w:p w14:paraId="6D570BF6" w14:textId="77777777" w:rsidR="00E56FF7" w:rsidRPr="00BC4A30" w:rsidRDefault="00E56FF7" w:rsidP="00960600">
            <w:pPr>
              <w:pStyle w:val="Tabletext1"/>
            </w:pPr>
            <w:r w:rsidRPr="00BC4A30">
              <w:t>? Likely CEA/CUA</w:t>
            </w:r>
          </w:p>
        </w:tc>
        <w:tc>
          <w:tcPr>
            <w:tcW w:w="1690" w:type="dxa"/>
            <w:tcBorders>
              <w:top w:val="single" w:sz="4" w:space="0" w:color="auto"/>
              <w:left w:val="single" w:sz="4" w:space="0" w:color="auto"/>
              <w:bottom w:val="single" w:sz="4" w:space="0" w:color="auto"/>
              <w:right w:val="single" w:sz="4" w:space="0" w:color="auto"/>
            </w:tcBorders>
            <w:vAlign w:val="center"/>
          </w:tcPr>
          <w:p w14:paraId="3F72D00F" w14:textId="77777777" w:rsidR="00E56FF7" w:rsidRPr="00BC4A30" w:rsidRDefault="00E56FF7" w:rsidP="00960600">
            <w:pPr>
              <w:pStyle w:val="Tabletext1"/>
            </w:pPr>
            <w:r w:rsidRPr="00BC4A30">
              <w:t>CEA/CUA</w:t>
            </w:r>
          </w:p>
        </w:tc>
        <w:tc>
          <w:tcPr>
            <w:tcW w:w="1387" w:type="dxa"/>
            <w:tcBorders>
              <w:top w:val="single" w:sz="4" w:space="0" w:color="auto"/>
              <w:left w:val="single" w:sz="4" w:space="0" w:color="auto"/>
              <w:bottom w:val="single" w:sz="4" w:space="0" w:color="auto"/>
              <w:right w:val="single" w:sz="4" w:space="0" w:color="auto"/>
            </w:tcBorders>
            <w:vAlign w:val="center"/>
          </w:tcPr>
          <w:p w14:paraId="32A4944F" w14:textId="77777777" w:rsidR="00E56FF7" w:rsidRPr="00BC4A30" w:rsidRDefault="00E56FF7" w:rsidP="00960600">
            <w:pPr>
              <w:pStyle w:val="Tabletext1"/>
            </w:pPr>
            <w:r w:rsidRPr="00BC4A30">
              <w:t>CEA/CUA</w:t>
            </w:r>
          </w:p>
        </w:tc>
      </w:tr>
    </w:tbl>
    <w:p w14:paraId="4D4B4897" w14:textId="136FE340" w:rsidR="00E56FF7" w:rsidRPr="00BC4A30" w:rsidRDefault="00A15C2B" w:rsidP="00E56FF7">
      <w:pPr>
        <w:pStyle w:val="Tablenotes0"/>
        <w:rPr>
          <w:sz w:val="20"/>
          <w:szCs w:val="18"/>
        </w:rPr>
      </w:pPr>
      <w:r>
        <w:rPr>
          <w:szCs w:val="18"/>
        </w:rPr>
        <w:t>&lt;</w:t>
      </w:r>
      <w:r w:rsidR="00E56FF7" w:rsidRPr="00BC4A30">
        <w:rPr>
          <w:szCs w:val="18"/>
        </w:rPr>
        <w:t xml:space="preserve"> </w:t>
      </w:r>
      <w:r w:rsidR="00E56FF7" w:rsidRPr="00BC4A30">
        <w:rPr>
          <w:sz w:val="20"/>
          <w:szCs w:val="18"/>
        </w:rPr>
        <w:t>CEA=cost-effectiveness analysis; CMA=cost-minimisation anal</w:t>
      </w:r>
      <w:r>
        <w:rPr>
          <w:sz w:val="20"/>
          <w:szCs w:val="18"/>
        </w:rPr>
        <w:t xml:space="preserve">ysis; CUA=cost-utility analysis </w:t>
      </w:r>
      <w:r w:rsidR="009B6179">
        <w:rPr>
          <w:sz w:val="20"/>
          <w:szCs w:val="18"/>
        </w:rPr>
        <w:t xml:space="preserve">&gt; </w:t>
      </w:r>
    </w:p>
    <w:p w14:paraId="37369AAA" w14:textId="77777777" w:rsidR="00E56FF7" w:rsidRPr="00BC4A30" w:rsidRDefault="00E56FF7" w:rsidP="003F6C66">
      <w:pPr>
        <w:pStyle w:val="Heading4"/>
      </w:pPr>
      <w:r w:rsidRPr="00BC4A30">
        <w:t>Population one</w:t>
      </w:r>
    </w:p>
    <w:p w14:paraId="44D8429A" w14:textId="0F1086D5" w:rsidR="00E56FF7" w:rsidRPr="00BC4A30" w:rsidRDefault="000E7080" w:rsidP="00F16532">
      <w:r>
        <w:t xml:space="preserve">The applicant suggests </w:t>
      </w:r>
      <w:r w:rsidR="00E56FF7" w:rsidRPr="00BC4A30">
        <w:t xml:space="preserve">MTA is indicated </w:t>
      </w:r>
      <w:r>
        <w:t>for</w:t>
      </w:r>
      <w:r w:rsidR="00E56FF7" w:rsidRPr="00BC4A30">
        <w:t xml:space="preserve"> the treatment of early stage NSCLC with curative intent – which includes NSCLC T1a-T2b, N0, </w:t>
      </w:r>
      <w:proofErr w:type="gramStart"/>
      <w:r w:rsidR="00E56FF7" w:rsidRPr="00BC4A30">
        <w:t>M0</w:t>
      </w:r>
      <w:proofErr w:type="gramEnd"/>
      <w:r w:rsidR="00E56FF7" w:rsidRPr="00BC4A30">
        <w:t xml:space="preserve"> (up to and including stage IIa). For patients with unresectable NSCLC, treatment options are dependent upon the stage of cancer and patient characteristics. Treatments can be stand alone or multimodal and generally comprise radiotherapy alone or in combination with chemotherapy. The evidence-base for effectiveness and safety is limited.</w:t>
      </w:r>
    </w:p>
    <w:p w14:paraId="377FD56E" w14:textId="2CDE699E" w:rsidR="00E56FF7" w:rsidRPr="00BC4A30" w:rsidRDefault="00E56FF7" w:rsidP="00E56FF7">
      <w:r w:rsidRPr="00BC4A30">
        <w:t xml:space="preserve">Head to head trials comparing newer radiotherapy options (SBRT) to surgery in operable patients have been terminated early due to slow accrual </w:t>
      </w:r>
      <w:r w:rsidR="00DF5EB1" w:rsidRPr="00BC4A30">
        <w:fldChar w:fldCharType="begin"/>
      </w:r>
      <w:r w:rsidR="00194054">
        <w:instrText xml:space="preserve"> ADDIN EN.CITE &lt;EndNote&gt;&lt;Cite&gt;&lt;Author&gt;Chang&lt;/Author&gt;&lt;Year&gt;2015&lt;/Year&gt;&lt;RecNum&gt;119&lt;/RecNum&gt;&lt;DisplayText&gt;(Chang et al 2015)&lt;/DisplayText&gt;&lt;record&gt;&lt;rec-number&gt;119&lt;/rec-number&gt;&lt;foreign-keys&gt;&lt;key app="EN" db-id="05ssdaw2cf0zvye5xvo5z9ww0xdpfstrdtew" timestamp="1468462070"&gt;119&lt;/key&gt;&lt;/foreign-keys&gt;&lt;ref-type name="Journal Article"&gt;17&lt;/ref-type&gt;&lt;contributors&gt;&lt;authors&gt;&lt;author&gt;Chang, Joe Y.&lt;/author&gt;&lt;author&gt;Senan, Suresh&lt;/author&gt;&lt;author&gt;Paul, Marinus A.&lt;/author&gt;&lt;author&gt;Mehran, Reza J.&lt;/author&gt;&lt;author&gt;Louie, Alexander V.&lt;/author&gt;&lt;author&gt;Balter, Peter&lt;/author&gt;&lt;author&gt;Groen, Harry J. M.&lt;/author&gt;&lt;author&gt;McRae, Stephen E.&lt;/author&gt;&lt;author&gt;Widder, Joachim&lt;/author&gt;&lt;author&gt;Feng, Lei&lt;/author&gt;&lt;author&gt;van den Borne, Ben E. E. M.&lt;/author&gt;&lt;author&gt;Munsell, Mark F.&lt;/author&gt;&lt;author&gt;Hurkmans, Coen&lt;/author&gt;&lt;author&gt;Berry, Donald A.&lt;/author&gt;&lt;author&gt;van Werkhoven, Erik&lt;/author&gt;&lt;author&gt;Kresl, John J.&lt;/author&gt;&lt;author&gt;Dingemans, Anne-Marie&lt;/author&gt;&lt;author&gt;Dawood, Omar&lt;/author&gt;&lt;author&gt;Haasbeek, Cornelis J. A.&lt;/author&gt;&lt;author&gt;Carpenter, Larry S.&lt;/author&gt;&lt;author&gt;De Jaeger, Katrien&lt;/author&gt;&lt;author&gt;Komaki, Ritsuko&lt;/author&gt;&lt;author&gt;Slotman, Ben J.&lt;/author&gt;&lt;author&gt;Smit, Egbert F.&lt;/author&gt;&lt;author&gt;Roth, Jack A.&lt;/author&gt;&lt;/authors&gt;&lt;/contributors&gt;&lt;titles&gt;&lt;title&gt;Stereotactic ablative radiotherapy versus lobectomy for operable stage I non-small-cell lung cancer: a pooled analysis of two randomised trials&lt;/title&gt;&lt;secondary-title&gt;The Lancet. Oncology&lt;/secondary-title&gt;&lt;/titles&gt;&lt;periodical&gt;&lt;full-title&gt;The Lancet. Oncology&lt;/full-title&gt;&lt;/periodical&gt;&lt;pages&gt;630-637&lt;/pages&gt;&lt;volume&gt;16&lt;/volume&gt;&lt;number&gt;6&lt;/number&gt;&lt;dates&gt;&lt;year&gt;2015&lt;/year&gt;&lt;pub-dates&gt;&lt;date&gt;05/13&lt;/date&gt;&lt;/pub-dates&gt;&lt;/dates&gt;&lt;isbn&gt;1470-2045&amp;#xD;1474-5488&lt;/isbn&gt;&lt;accession-num&gt;PMC4489408&lt;/accession-num&gt;&lt;urls&gt;&lt;related-urls&gt;&lt;url&gt;http://www.ncbi.nlm.nih.gov/pmc/articles/PMC4489408/&lt;/url&gt;&lt;/related-urls&gt;&lt;/urls&gt;&lt;electronic-resource-num&gt;10.1016/S1470-2045(15)70168-3&lt;/electronic-resource-num&gt;&lt;remote-database-name&gt;PMC&lt;/remote-database-name&gt;&lt;/record&gt;&lt;/Cite&gt;&lt;/EndNote&gt;</w:instrText>
      </w:r>
      <w:r w:rsidR="00DF5EB1" w:rsidRPr="00BC4A30">
        <w:fldChar w:fldCharType="separate"/>
      </w:r>
      <w:r w:rsidR="00DF5EB1" w:rsidRPr="00BC4A30">
        <w:rPr>
          <w:noProof/>
        </w:rPr>
        <w:t>(</w:t>
      </w:r>
      <w:hyperlink w:anchor="_ENREF_30" w:tooltip="Chang, 2015 #119" w:history="1">
        <w:r w:rsidR="00320458" w:rsidRPr="00BC4A30">
          <w:rPr>
            <w:noProof/>
          </w:rPr>
          <w:t>Chang et al 2015</w:t>
        </w:r>
      </w:hyperlink>
      <w:r w:rsidR="00DF5EB1" w:rsidRPr="00BC4A30">
        <w:rPr>
          <w:noProof/>
        </w:rPr>
        <w:t>)</w:t>
      </w:r>
      <w:r w:rsidR="00DF5EB1" w:rsidRPr="00BC4A30">
        <w:fldChar w:fldCharType="end"/>
      </w:r>
      <w:r w:rsidRPr="00BC4A30">
        <w:t xml:space="preserve">. However, retrospective data indicates that they may have comparable local control and survival outcomes when analyses are adjusted for comorbidities and age </w:t>
      </w:r>
      <w:r w:rsidR="00DF5EB1" w:rsidRPr="00BC4A30">
        <w:fldChar w:fldCharType="begin">
          <w:fldData xml:space="preserve">PEVuZE5vdGU+PENpdGU+PEF1dGhvcj5DaGFuZzwvQXV0aG9yPjxZZWFyPjIwMTU8L1llYXI+PFJl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LTE+PC9hbHQtcGVyaW9kaWNhbD48cGFnZXM+NDIyMi0zMDwvcGFnZXM+PHZvbHVtZT4xMjE8L3Zv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=
</w:fldData>
        </w:fldChar>
      </w:r>
      <w:r w:rsidR="00194054">
        <w:instrText xml:space="preserve"> ADDIN EN.CITE </w:instrText>
      </w:r>
      <w:r w:rsidR="00194054">
        <w:fldChar w:fldCharType="begin">
          <w:fldData xml:space="preserve">PEVuZE5vdGU+PENpdGU+PEF1dGhvcj5DaGFuZzwvQXV0aG9yPjxZZWFyPjIwMTU8L1llYXI+PFJl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LTE+PC9hbHQtcGVyaW9kaWNhbD48cGFnZXM+NDIyMi0zMDwvcGFnZXM+PHZvbHVtZT4xMjE8L3Zv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=
</w:fldData>
        </w:fldChar>
      </w:r>
      <w:r w:rsidR="00194054">
        <w:instrText xml:space="preserve"> ADDIN EN.CITE.DATA </w:instrText>
      </w:r>
      <w:r w:rsidR="00194054">
        <w:fldChar w:fldCharType="end"/>
      </w:r>
      <w:r w:rsidR="00DF5EB1" w:rsidRPr="00BC4A30">
        <w:fldChar w:fldCharType="separate"/>
      </w:r>
      <w:r w:rsidR="00DF5EB1" w:rsidRPr="00BC4A30">
        <w:rPr>
          <w:noProof/>
        </w:rPr>
        <w:t>(</w:t>
      </w:r>
      <w:hyperlink w:anchor="_ENREF_30" w:tooltip="Chang, 2015 #119" w:history="1">
        <w:r w:rsidR="00320458" w:rsidRPr="00BC4A30">
          <w:rPr>
            <w:noProof/>
          </w:rPr>
          <w:t>Chang et al 2015</w:t>
        </w:r>
      </w:hyperlink>
      <w:r w:rsidR="00DF5EB1" w:rsidRPr="00BC4A30">
        <w:rPr>
          <w:noProof/>
        </w:rPr>
        <w:t xml:space="preserve">; </w:t>
      </w:r>
      <w:hyperlink w:anchor="_ENREF_33" w:tooltip="Crabtree, 2010 #121" w:history="1">
        <w:r w:rsidR="00320458" w:rsidRPr="00BC4A30">
          <w:rPr>
            <w:noProof/>
          </w:rPr>
          <w:t>Crabtree et al 2010</w:t>
        </w:r>
      </w:hyperlink>
      <w:r w:rsidR="00DF5EB1" w:rsidRPr="00BC4A30">
        <w:rPr>
          <w:noProof/>
        </w:rPr>
        <w:t xml:space="preserve">; </w:t>
      </w:r>
      <w:hyperlink w:anchor="_ENREF_111" w:tooltip="Nanda, 2015 #118" w:history="1">
        <w:r w:rsidR="00320458" w:rsidRPr="00BC4A30">
          <w:rPr>
            <w:noProof/>
          </w:rPr>
          <w:t>Nanda et al 2015</w:t>
        </w:r>
      </w:hyperlink>
      <w:r w:rsidR="00DF5EB1" w:rsidRPr="00BC4A30">
        <w:rPr>
          <w:noProof/>
        </w:rPr>
        <w:t xml:space="preserve">; </w:t>
      </w:r>
      <w:hyperlink w:anchor="_ENREF_139" w:tooltip="Shirvani, 2012 #120" w:history="1">
        <w:r w:rsidR="00320458" w:rsidRPr="00BC4A30">
          <w:rPr>
            <w:noProof/>
          </w:rPr>
          <w:t>Shirvani et al 2012</w:t>
        </w:r>
      </w:hyperlink>
      <w:r w:rsidR="00DF5EB1" w:rsidRPr="00BC4A30">
        <w:rPr>
          <w:noProof/>
        </w:rPr>
        <w:t>)</w:t>
      </w:r>
      <w:r w:rsidR="00DF5EB1" w:rsidRPr="00BC4A30">
        <w:fldChar w:fldCharType="end"/>
      </w:r>
      <w:r w:rsidRPr="00BC4A30">
        <w:t xml:space="preserve">. Additionally, a large retrospective study examining the effect of SBRT versus observation identified a survival benefit in patients treated with SBRT (the median overall survival was 29 months with SBRT versus 10.1 months with observation alone, </w:t>
      </w:r>
      <w:r w:rsidR="008E569A">
        <w:t>p</w:t>
      </w:r>
      <w:r w:rsidRPr="00BC4A30">
        <w:t>&lt;</w:t>
      </w:r>
      <w:r w:rsidR="008E569A">
        <w:t>0</w:t>
      </w:r>
      <w:r w:rsidRPr="00BC4A30">
        <w:t>.001</w:t>
      </w:r>
      <w:r w:rsidR="00E36C91">
        <w:t xml:space="preserve"> </w:t>
      </w:r>
      <w:r w:rsidR="00DF5EB1" w:rsidRPr="00BC4A30">
        <w:fldChar w:fldCharType="begin">
          <w:fldData xml:space="preserve">PEVuZE5vdGU+PENpdGU+PEF1dGhvcj5OYW5kYTwvQXV0aG9yPjxZZWFyPjIwMTU8L1llYXI+PFJl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</w:fldData>
        </w:fldChar>
      </w:r>
      <w:r w:rsidR="00194054">
        <w:instrText xml:space="preserve"> ADDIN EN.CITE </w:instrText>
      </w:r>
      <w:r w:rsidR="00194054">
        <w:fldChar w:fldCharType="begin">
          <w:fldData xml:space="preserve">PEVuZE5vdGU+PENpdGU+PEF1dGhvcj5OYW5kYTwvQXV0aG9yPjxZZWFyPjIwMTU8L1llYXI+PFJl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</w:fldData>
        </w:fldChar>
      </w:r>
      <w:r w:rsidR="00194054">
        <w:instrText xml:space="preserve"> ADDIN EN.CITE.DATA </w:instrText>
      </w:r>
      <w:r w:rsidR="00194054">
        <w:fldChar w:fldCharType="end"/>
      </w:r>
      <w:r w:rsidR="00DF5EB1" w:rsidRPr="00BC4A30">
        <w:fldChar w:fldCharType="separate"/>
      </w:r>
      <w:r w:rsidR="00DF5EB1" w:rsidRPr="00BC4A30">
        <w:rPr>
          <w:noProof/>
        </w:rPr>
        <w:t>(</w:t>
      </w:r>
      <w:hyperlink w:anchor="_ENREF_111" w:tooltip="Nanda, 2015 #118" w:history="1">
        <w:r w:rsidR="00320458" w:rsidRPr="00BC4A30">
          <w:rPr>
            <w:noProof/>
          </w:rPr>
          <w:t>Nanda et al 2015</w:t>
        </w:r>
      </w:hyperlink>
      <w:r w:rsidR="00DF5EB1" w:rsidRPr="00BC4A30">
        <w:rPr>
          <w:noProof/>
        </w:rPr>
        <w:t>)</w:t>
      </w:r>
      <w:r w:rsidR="00DF5EB1" w:rsidRPr="00BC4A30">
        <w:fldChar w:fldCharType="end"/>
      </w:r>
      <w:r w:rsidR="009B6179">
        <w:t>.</w:t>
      </w:r>
    </w:p>
    <w:p w14:paraId="3E2B9B60" w14:textId="27DBEE1C" w:rsidR="00E56FF7" w:rsidRPr="00BC4A30" w:rsidRDefault="00E56FF7" w:rsidP="00E56FF7">
      <w:r w:rsidRPr="00BC4A30">
        <w:t>No comparative trials of MTA have been identified for this population. However, results from Level IV observational studies are reported in Section B. Only three studies of MTA in population one were identified and only two reported overall survival outcomes for a total of 75 patients: Han et al (2015) reported median overall survival of 35.0 months (95%CI 22.3</w:t>
      </w:r>
      <w:r w:rsidR="008E569A">
        <w:t>–</w:t>
      </w:r>
      <w:r w:rsidRPr="00BC4A30">
        <w:t>47.7) and Yang et al (2014) reported overall survival of 33.8 months (95%CI 31.9</w:t>
      </w:r>
      <w:r w:rsidR="008E569A">
        <w:t>–</w:t>
      </w:r>
      <w:r w:rsidRPr="00BC4A30">
        <w:t>35.7). For the five Level IV studies reporting overall survival in patients who had RFA the median was 44.3 months (range: 36.5</w:t>
      </w:r>
      <w:r w:rsidR="008E569A">
        <w:t>–</w:t>
      </w:r>
      <w:r w:rsidRPr="00BC4A30">
        <w:t>67</w:t>
      </w:r>
      <w:r w:rsidR="008E569A">
        <w:t>.0</w:t>
      </w:r>
      <w:r w:rsidRPr="00BC4A30">
        <w:t xml:space="preserve">). Overall survival in other comparative trials comparing radiotherapy regimes was not reported. Similarly, for other </w:t>
      </w:r>
      <w:r w:rsidRPr="00BC4A30">
        <w:lastRenderedPageBreak/>
        <w:t>outcomes such as 1-</w:t>
      </w:r>
      <w:r w:rsidR="00CA6DFD" w:rsidRPr="00BC4A30">
        <w:t>, 2</w:t>
      </w:r>
      <w:r w:rsidRPr="00BC4A30">
        <w:t>-</w:t>
      </w:r>
      <w:r w:rsidR="00CA6DFD" w:rsidRPr="00BC4A30">
        <w:t>, 3</w:t>
      </w:r>
      <w:r w:rsidRPr="00BC4A30">
        <w:t>- and 5- year survival rates, progression free survival and local progression reporting was variable and sparse. In the context of a reimbursement decision the claim of non-inferiority for the comparative effectiveness of MTA as compared to current best practice radiotherapy or RFA remains untested by any published studies. Because of the paucity of literature and its low quality it was not feasible to undertake any statistical tests of non-inferiority between thermal ablation and radiotherapy for population one. On the basis of the evidence, a cost-minimisation analysis is appropriate for comparing MTA with other treatment options within population one: patients with early stage NSCLC who are not eligible for surgical resection, and who are receiving treatment with curative intent.</w:t>
      </w:r>
    </w:p>
    <w:p w14:paraId="29F4977B" w14:textId="77777777" w:rsidR="00E56FF7" w:rsidRPr="00BC4A30" w:rsidRDefault="00CA6DFD" w:rsidP="00E56FF7">
      <w:pPr>
        <w:pStyle w:val="Caption"/>
        <w:keepNext/>
      </w:pPr>
      <w:bookmarkStart w:id="370" w:name="_Ref457410988"/>
      <w:bookmarkStart w:id="371" w:name="_Toc460514721"/>
      <w:r w:rsidRPr="00BC4A30">
        <w:t xml:space="preserve">Table </w:t>
      </w:r>
      <w:fldSimple w:instr=" SEQ Table \* ARABIC ">
        <w:r w:rsidR="00D170A5">
          <w:rPr>
            <w:noProof/>
          </w:rPr>
          <w:t>63</w:t>
        </w:r>
      </w:fldSimple>
      <w:bookmarkEnd w:id="370"/>
      <w:r w:rsidRPr="00BC4A30">
        <w:tab/>
        <w:t xml:space="preserve"> </w:t>
      </w:r>
      <w:r w:rsidR="00E56FF7" w:rsidRPr="00BC4A30">
        <w:t>Summary of evidence for MTA versus comparator(s)</w:t>
      </w:r>
      <w:bookmarkEnd w:id="3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3260"/>
        <w:gridCol w:w="3619"/>
        <w:gridCol w:w="2377"/>
      </w:tblGrid>
      <w:tr w:rsidR="00FF6A6F" w:rsidRPr="00A15C2B" w14:paraId="768B91D7" w14:textId="77777777" w:rsidTr="00FF6A6F">
        <w:tc>
          <w:tcPr>
            <w:tcW w:w="1761" w:type="pct"/>
            <w:shd w:val="clear" w:color="auto" w:fill="D9D9D9" w:themeFill="background1" w:themeFillShade="D9"/>
            <w:vAlign w:val="center"/>
          </w:tcPr>
          <w:p w14:paraId="41ABCB1D" w14:textId="2C052C74" w:rsidR="00FF6A6F" w:rsidRPr="00A15C2B" w:rsidRDefault="00FF6A6F" w:rsidP="00A15C2B">
            <w:pPr>
              <w:pStyle w:val="Tabletext1"/>
              <w:rPr>
                <w:b/>
              </w:rPr>
            </w:pPr>
            <w:r w:rsidRPr="00A15C2B">
              <w:rPr>
                <w:b/>
              </w:rPr>
              <w:t>Population</w:t>
            </w:r>
          </w:p>
        </w:tc>
        <w:tc>
          <w:tcPr>
            <w:tcW w:w="1955" w:type="pct"/>
            <w:shd w:val="clear" w:color="auto" w:fill="D9D9D9" w:themeFill="background1" w:themeFillShade="D9"/>
            <w:vAlign w:val="center"/>
          </w:tcPr>
          <w:p w14:paraId="769BEE39" w14:textId="5D873B20" w:rsidR="00FF6A6F" w:rsidRPr="00A15C2B" w:rsidRDefault="00FF6A6F" w:rsidP="00A15C2B">
            <w:pPr>
              <w:pStyle w:val="Tabletext1"/>
              <w:rPr>
                <w:b/>
              </w:rPr>
            </w:pPr>
            <w:r w:rsidRPr="00A15C2B">
              <w:rPr>
                <w:b/>
              </w:rPr>
              <w:t>Comparative effectiveness</w:t>
            </w:r>
          </w:p>
        </w:tc>
        <w:tc>
          <w:tcPr>
            <w:tcW w:w="1284" w:type="pct"/>
            <w:shd w:val="clear" w:color="auto" w:fill="D9D9D9" w:themeFill="background1" w:themeFillShade="D9"/>
            <w:vAlign w:val="center"/>
          </w:tcPr>
          <w:p w14:paraId="570F06FA" w14:textId="27F4246D" w:rsidR="00FF6A6F" w:rsidRPr="00A15C2B" w:rsidRDefault="00FF6A6F" w:rsidP="00A15C2B">
            <w:pPr>
              <w:pStyle w:val="Tabletext1"/>
              <w:rPr>
                <w:b/>
              </w:rPr>
            </w:pPr>
            <w:r w:rsidRPr="00A15C2B">
              <w:rPr>
                <w:b/>
              </w:rPr>
              <w:t>Comparative safety</w:t>
            </w:r>
          </w:p>
        </w:tc>
      </w:tr>
      <w:tr w:rsidR="00FF6A6F" w:rsidRPr="00A15C2B" w14:paraId="64649BAB" w14:textId="77777777" w:rsidTr="00FF6A6F">
        <w:tc>
          <w:tcPr>
            <w:tcW w:w="1761" w:type="pct"/>
            <w:vAlign w:val="center"/>
          </w:tcPr>
          <w:p w14:paraId="5C06355D" w14:textId="77777777" w:rsidR="00FF6A6F" w:rsidRPr="00A15C2B" w:rsidRDefault="00FF6A6F" w:rsidP="00A15C2B">
            <w:pPr>
              <w:pStyle w:val="Tabletext1"/>
            </w:pPr>
            <w:r w:rsidRPr="00A15C2B">
              <w:t>Patients with early stage NSCLC who are not eligible for surgical resection, and who are receiving treatment with curative intent.</w:t>
            </w:r>
          </w:p>
        </w:tc>
        <w:tc>
          <w:tcPr>
            <w:tcW w:w="1955" w:type="pct"/>
            <w:shd w:val="clear" w:color="auto" w:fill="auto"/>
            <w:vAlign w:val="center"/>
          </w:tcPr>
          <w:p w14:paraId="753A2958" w14:textId="77777777" w:rsidR="00FF6A6F" w:rsidRPr="00A15C2B" w:rsidRDefault="00FF6A6F" w:rsidP="00A15C2B">
            <w:pPr>
              <w:pStyle w:val="Tabletext1"/>
            </w:pPr>
            <w:r w:rsidRPr="00A15C2B">
              <w:t>Limited evidence of superior effectiveness compared to RFA and non-inferior effectiveness compared to current best practice radiotherapy with or without chemotherapy</w:t>
            </w:r>
          </w:p>
        </w:tc>
        <w:tc>
          <w:tcPr>
            <w:tcW w:w="1284" w:type="pct"/>
            <w:shd w:val="clear" w:color="auto" w:fill="auto"/>
            <w:vAlign w:val="center"/>
          </w:tcPr>
          <w:p w14:paraId="5350F8C6" w14:textId="77777777" w:rsidR="00FF6A6F" w:rsidRPr="00A15C2B" w:rsidRDefault="00FF6A6F" w:rsidP="00A15C2B">
            <w:pPr>
              <w:pStyle w:val="Tabletext1"/>
            </w:pPr>
            <w:r w:rsidRPr="00A15C2B">
              <w:t xml:space="preserve">Limited evidence of superior safety of RFA and current best practice radiotherapy with or without chemotherapy </w:t>
            </w:r>
          </w:p>
        </w:tc>
      </w:tr>
      <w:tr w:rsidR="00FF6A6F" w:rsidRPr="00A15C2B" w14:paraId="0B8AB72D" w14:textId="77777777" w:rsidTr="00FF6A6F">
        <w:tc>
          <w:tcPr>
            <w:tcW w:w="1761" w:type="pct"/>
            <w:vAlign w:val="center"/>
          </w:tcPr>
          <w:p w14:paraId="7096489C" w14:textId="77777777" w:rsidR="00FF6A6F" w:rsidRPr="00A15C2B" w:rsidRDefault="00FF6A6F" w:rsidP="00A15C2B">
            <w:pPr>
              <w:pStyle w:val="Tabletext1"/>
            </w:pPr>
            <w:r w:rsidRPr="00A15C2B">
              <w:t>Patients with pulmonary metastases, in whom the primary tumour is under control, and who are receiving treatment with curative intent (oligometastatic disease)</w:t>
            </w:r>
          </w:p>
        </w:tc>
        <w:tc>
          <w:tcPr>
            <w:tcW w:w="1955" w:type="pct"/>
            <w:shd w:val="clear" w:color="auto" w:fill="auto"/>
            <w:vAlign w:val="center"/>
          </w:tcPr>
          <w:p w14:paraId="506C72C6" w14:textId="77777777" w:rsidR="00FF6A6F" w:rsidRPr="00A15C2B" w:rsidRDefault="00FF6A6F" w:rsidP="00A15C2B">
            <w:pPr>
              <w:pStyle w:val="Tabletext1"/>
            </w:pPr>
            <w:r w:rsidRPr="00A15C2B">
              <w:t>No evidence of superior effectiveness compared to RFA and non-inferior effectiveness compared to surgery and current best practice radiotherapy with or without chemotherapy</w:t>
            </w:r>
          </w:p>
        </w:tc>
        <w:tc>
          <w:tcPr>
            <w:tcW w:w="1284" w:type="pct"/>
            <w:shd w:val="clear" w:color="auto" w:fill="auto"/>
            <w:vAlign w:val="center"/>
          </w:tcPr>
          <w:p w14:paraId="6B7BE846" w14:textId="77777777" w:rsidR="00FF6A6F" w:rsidRPr="00A15C2B" w:rsidRDefault="00FF6A6F" w:rsidP="00A15C2B">
            <w:pPr>
              <w:pStyle w:val="Tabletext1"/>
            </w:pPr>
            <w:r w:rsidRPr="00A15C2B">
              <w:t>Limited evidence of superior safety of RFA, surgery and current best practice radiotherapy with or without chemotherapy</w:t>
            </w:r>
          </w:p>
        </w:tc>
      </w:tr>
      <w:tr w:rsidR="00FF6A6F" w:rsidRPr="00A15C2B" w14:paraId="643D21C6" w14:textId="77777777" w:rsidTr="00FF6A6F">
        <w:tc>
          <w:tcPr>
            <w:tcW w:w="1761" w:type="pct"/>
            <w:vAlign w:val="center"/>
          </w:tcPr>
          <w:p w14:paraId="54803DE9" w14:textId="77777777" w:rsidR="00FF6A6F" w:rsidRPr="00A15C2B" w:rsidRDefault="00FF6A6F" w:rsidP="00A15C2B">
            <w:pPr>
              <w:pStyle w:val="Tabletext1"/>
            </w:pPr>
            <w:r w:rsidRPr="00A15C2B">
              <w:t>Patients with NSCLC or pulmonary metastases, who are receiving palliative treatment</w:t>
            </w:r>
          </w:p>
        </w:tc>
        <w:tc>
          <w:tcPr>
            <w:tcW w:w="1955" w:type="pct"/>
            <w:shd w:val="clear" w:color="auto" w:fill="auto"/>
            <w:vAlign w:val="center"/>
          </w:tcPr>
          <w:p w14:paraId="56D40469" w14:textId="77777777" w:rsidR="00FF6A6F" w:rsidRPr="00A15C2B" w:rsidRDefault="00FF6A6F" w:rsidP="00A15C2B">
            <w:pPr>
              <w:pStyle w:val="Tabletext1"/>
            </w:pPr>
            <w:r w:rsidRPr="00A15C2B">
              <w:t>Limited evidence of superior effectiveness compared to conventional palliative therapy without MTA (as an adjunct to radiotherapy and/or chemotherapy)</w:t>
            </w:r>
          </w:p>
        </w:tc>
        <w:tc>
          <w:tcPr>
            <w:tcW w:w="1284" w:type="pct"/>
            <w:shd w:val="clear" w:color="auto" w:fill="auto"/>
            <w:vAlign w:val="center"/>
          </w:tcPr>
          <w:p w14:paraId="1EBA1826" w14:textId="77777777" w:rsidR="00FF6A6F" w:rsidRPr="00A15C2B" w:rsidRDefault="00FF6A6F" w:rsidP="00A15C2B">
            <w:pPr>
              <w:pStyle w:val="Tabletext1"/>
            </w:pPr>
            <w:r w:rsidRPr="00A15C2B">
              <w:t>Limited evidence of superior safety compared to conventional palliative therapy without MTA</w:t>
            </w:r>
          </w:p>
        </w:tc>
      </w:tr>
    </w:tbl>
    <w:p w14:paraId="18459D12" w14:textId="3E8D6D2C" w:rsidR="00E56FF7" w:rsidRPr="00BC4A30" w:rsidRDefault="00FF6A6F" w:rsidP="00E56FF7">
      <w:pPr>
        <w:pStyle w:val="Tablenotes0"/>
        <w:rPr>
          <w:szCs w:val="18"/>
        </w:rPr>
      </w:pPr>
      <w:r>
        <w:rPr>
          <w:szCs w:val="18"/>
        </w:rPr>
        <w:t>&lt;</w:t>
      </w:r>
      <w:r w:rsidR="00A15C2B">
        <w:rPr>
          <w:szCs w:val="18"/>
        </w:rPr>
        <w:t xml:space="preserve"> </w:t>
      </w:r>
      <w:r>
        <w:rPr>
          <w:szCs w:val="18"/>
        </w:rPr>
        <w:t>MTA=</w:t>
      </w:r>
      <w:r w:rsidR="00E56FF7" w:rsidRPr="00BC4A30">
        <w:rPr>
          <w:szCs w:val="18"/>
        </w:rPr>
        <w:t xml:space="preserve"> Microwave tissue ablation. NSCLC</w:t>
      </w:r>
      <w:r>
        <w:rPr>
          <w:szCs w:val="18"/>
        </w:rPr>
        <w:t>=</w:t>
      </w:r>
      <w:r w:rsidR="00E56FF7" w:rsidRPr="00BC4A30">
        <w:rPr>
          <w:szCs w:val="18"/>
        </w:rPr>
        <w:t xml:space="preserve"> Non-small cell lung cancer. RFA</w:t>
      </w:r>
      <w:r>
        <w:rPr>
          <w:szCs w:val="18"/>
        </w:rPr>
        <w:t>=</w:t>
      </w:r>
      <w:r w:rsidR="00650769">
        <w:rPr>
          <w:szCs w:val="18"/>
        </w:rPr>
        <w:t xml:space="preserve"> Radiofrequency ablation</w:t>
      </w:r>
      <w:r w:rsidR="00A15C2B">
        <w:rPr>
          <w:szCs w:val="18"/>
        </w:rPr>
        <w:t xml:space="preserve"> </w:t>
      </w:r>
      <w:r>
        <w:rPr>
          <w:szCs w:val="18"/>
        </w:rPr>
        <w:t>&gt;</w:t>
      </w:r>
    </w:p>
    <w:p w14:paraId="5279DA2C" w14:textId="77777777" w:rsidR="00E56FF7" w:rsidRPr="00BC4A30" w:rsidRDefault="00E56FF7" w:rsidP="003F6C66">
      <w:pPr>
        <w:pStyle w:val="Heading4"/>
      </w:pPr>
      <w:r w:rsidRPr="00BC4A30">
        <w:t>Population two</w:t>
      </w:r>
    </w:p>
    <w:p w14:paraId="27B3A89F" w14:textId="77777777" w:rsidR="00E56FF7" w:rsidRPr="00BC4A30" w:rsidRDefault="00E56FF7" w:rsidP="00E56FF7">
      <w:r w:rsidRPr="00BC4A30">
        <w:t xml:space="preserve">Population two includes patients with pulmonary metastases, in whom the primary tumour is under control, and who are receiving treatment with curative intent (oligometastatic disease). PASC feedback was that population two should be stratified into two groups at the assessment phase with respect to their primary tumours: those with sarcoma (bone and soft tissue) and those with non-sarcoma primaries. The applicant has indicated that MTA has a role in the definitive treatment of patients with lung metastases in whom the primary tumour is under control. In this patient group comparators include RFA, surgical resection and current best practice radiotherapy with or without chemotherapy. </w:t>
      </w:r>
    </w:p>
    <w:p w14:paraId="32589F0C" w14:textId="7B170F66" w:rsidR="00E56FF7" w:rsidRPr="00BC4A30" w:rsidRDefault="00E56FF7" w:rsidP="00E56FF7">
      <w:r w:rsidRPr="00BC4A30">
        <w:t xml:space="preserve">For this heterogeneous </w:t>
      </w:r>
      <w:proofErr w:type="gramStart"/>
      <w:r w:rsidRPr="00BC4A30">
        <w:t>population, that is predominantly defined by the curative intent of treatment,</w:t>
      </w:r>
      <w:proofErr w:type="gramEnd"/>
      <w:r w:rsidRPr="00BC4A30">
        <w:t xml:space="preserve"> there is no available evidence comparing different interventions. Patients may be offered </w:t>
      </w:r>
      <w:r w:rsidRPr="00BC4A30">
        <w:lastRenderedPageBreak/>
        <w:t>resection, SBRT or thermal ablation. There is, at present, no data amenable to comparison across treatment strategies. Thermal ablation is purported to have benefit in this population; however, only two studies of MTA were identified and the limited outcomes reported are not sufficient to compare across interventions in terms of effectiveness. Overall survival time was not reported, and rates of survival were reported by only one study and were limited to 24 months. With RFA, median overall survival was 44.45 months (range 21</w:t>
      </w:r>
      <w:r w:rsidR="00AB0914" w:rsidRPr="00AB0914">
        <w:t>–</w:t>
      </w:r>
      <w:r w:rsidRPr="00BC4A30">
        <w:t>67). As compared to surgical resection, however, MTA is associated with a shorter recovery time and procedure related mortality is expected to be a rare outcome of MTA. There is insufficient clinical evidence to suggest that MTA has superior effectiveness to RFA. The safety appears equivalent between MTA and RFA. There were insufficient comparative studies with surgery to make a claim regarding patient benefits. Because of the paucity of literature, and its low quality it was not feasible to undertake any statistical tests of non-inferiority between thermal ablation and RFA, radiotherapy and surgery for population two. On the basis of the evidence, a cost-minimisation analysis is appropriate for assessing MTA for population two.</w:t>
      </w:r>
    </w:p>
    <w:p w14:paraId="0CDA6D8C" w14:textId="77777777" w:rsidR="00E56FF7" w:rsidRPr="00BC4A30" w:rsidRDefault="00E56FF7" w:rsidP="003F6C66">
      <w:pPr>
        <w:pStyle w:val="Heading4"/>
        <w:rPr>
          <w:rFonts w:asciiTheme="minorHAnsi" w:hAnsiTheme="minorHAnsi"/>
        </w:rPr>
      </w:pPr>
      <w:r w:rsidRPr="00BC4A30">
        <w:t>Population three</w:t>
      </w:r>
    </w:p>
    <w:p w14:paraId="24FCCA94" w14:textId="4AC39992" w:rsidR="00E56FF7" w:rsidRPr="009F4AF5" w:rsidRDefault="00E56FF7" w:rsidP="00E56FF7">
      <w:r w:rsidRPr="00BC4A30">
        <w:rPr>
          <w:rFonts w:asciiTheme="minorHAnsi" w:hAnsiTheme="minorHAnsi"/>
        </w:rPr>
        <w:t xml:space="preserve">Population three </w:t>
      </w:r>
      <w:r w:rsidR="00AB0914">
        <w:rPr>
          <w:rFonts w:asciiTheme="minorHAnsi" w:hAnsiTheme="minorHAnsi"/>
        </w:rPr>
        <w:t>consists of</w:t>
      </w:r>
      <w:r w:rsidRPr="00BC4A30">
        <w:rPr>
          <w:rFonts w:asciiTheme="minorHAnsi" w:hAnsiTheme="minorHAnsi"/>
        </w:rPr>
        <w:t xml:space="preserve"> patients with NSCLC who are not eligible for surgical resection and patients with pulmonary metastases who are receiving treatment with palliative intent. MTA may have a role in treating patients with NSCLC with palliative intent. In this group, MTA may assist with symptom control and decrease tumour burden in metastatic disease. For these patients the key comparator to MTA is conventional palliative therapy. MTA may be offered as an adjunct to de-bulk prominent tumours for symptom relief. Limited </w:t>
      </w:r>
      <w:r w:rsidRPr="00BC4A30">
        <w:t>evidence of effectiveness and safety was found for MTA in palliative populations. Three studies of MTA in patients being treated with palliative intent were identified; however, none reported primary effectiveness outcomes related to quality of life or symptom control. Only secondary effectiveness outcomes were assessed. There were two non-randomised comparative trials that compared treatment strategies involving MTA and chemotherapy regimes in a palliative population. In both comparative studies combination therapy as opposed to</w:t>
      </w:r>
      <w:r w:rsidR="00AB0914">
        <w:t xml:space="preserve"> a</w:t>
      </w:r>
      <w:r w:rsidRPr="00BC4A30">
        <w:t xml:space="preserve"> single therapy (MTA alone or chemotherapy alone) confers a statistically significant advantage in terms of survival outcomes. Although the magnitude of this benefit (in terms of months gained) could not be calculated clinical advice has indicated that patients are not currently treated with MTA for this indication as they would more often receive systemic therapies.</w:t>
      </w:r>
      <w:r w:rsidR="009F4AF5">
        <w:t xml:space="preserve"> </w:t>
      </w:r>
      <w:r w:rsidRPr="00BC4A30">
        <w:t xml:space="preserve">Therefore, for the purposes of the evaluation, costs are estimated for populations one and two. </w:t>
      </w:r>
    </w:p>
    <w:p w14:paraId="10F44D5C" w14:textId="77777777" w:rsidR="00E56FF7" w:rsidRPr="00BC4A30" w:rsidRDefault="00E56FF7" w:rsidP="00E56FF7">
      <w:pPr>
        <w:rPr>
          <w:rFonts w:asciiTheme="minorHAnsi" w:hAnsiTheme="minorHAnsi"/>
        </w:rPr>
      </w:pPr>
      <w:r w:rsidRPr="00BC4A30">
        <w:t xml:space="preserve">The drawback of the evidence base being largely comprised of Level IV evidence is that it prohibits inference regarding the effect of the intervention because there is no data available for comparison with other strategies. Furthermore, the lack of concurrent or historical comparison groups within studies then raises concerns in comparing across level IV studies of different interventions because the study populations may differ in the distribution of prognostic factors that could affect outcomes. Based on low grade evidence, the clinical claims associated with the proposed medical service remain untested. For the purposes of an economic evaluation an assumption has been made that </w:t>
      </w:r>
      <w:r w:rsidRPr="00BC4A30">
        <w:lastRenderedPageBreak/>
        <w:t xml:space="preserve">the proposed medical service is non-inferior (equivalent) to the main comparator </w:t>
      </w:r>
      <w:r w:rsidR="00BC4A30">
        <w:t xml:space="preserve">across populations one and two. </w:t>
      </w:r>
      <w:r w:rsidRPr="00BC4A30">
        <w:t>As such, MSAC (2016) recommend that cost-minimisation analysis is the appropriate economic evaluation approach</w:t>
      </w:r>
      <w:r w:rsidR="00BC4A30">
        <w:t xml:space="preserve"> and should be presented in </w:t>
      </w:r>
      <w:r w:rsidRPr="00BC4A30">
        <w:rPr>
          <w:rFonts w:asciiTheme="minorHAnsi" w:hAnsiTheme="minorHAnsi"/>
        </w:rPr>
        <w:t xml:space="preserve">an abbreviated Section D. </w:t>
      </w:r>
    </w:p>
    <w:p w14:paraId="074881BD" w14:textId="1CDC16C9" w:rsidR="00E56FF7" w:rsidRPr="00BC4A30" w:rsidRDefault="00E56FF7" w:rsidP="00E56FF7">
      <w:r w:rsidRPr="00BC4A30">
        <w:rPr>
          <w:rFonts w:asciiTheme="minorHAnsi" w:hAnsiTheme="minorHAnsi"/>
        </w:rPr>
        <w:t xml:space="preserve">The remainder of this section </w:t>
      </w:r>
      <w:r w:rsidR="00CA6DFD" w:rsidRPr="00BC4A30">
        <w:rPr>
          <w:rFonts w:asciiTheme="minorHAnsi" w:hAnsiTheme="minorHAnsi"/>
        </w:rPr>
        <w:t>focuses</w:t>
      </w:r>
      <w:r w:rsidRPr="00BC4A30">
        <w:rPr>
          <w:rFonts w:asciiTheme="minorHAnsi" w:hAnsiTheme="minorHAnsi"/>
        </w:rPr>
        <w:t xml:space="preserve"> on the costs of delivery of MTA, </w:t>
      </w:r>
      <w:r w:rsidR="00760AC9" w:rsidRPr="00BC4A30">
        <w:rPr>
          <w:rFonts w:asciiTheme="minorHAnsi" w:hAnsiTheme="minorHAnsi"/>
        </w:rPr>
        <w:t>SBRT</w:t>
      </w:r>
      <w:r w:rsidRPr="00BC4A30">
        <w:rPr>
          <w:rFonts w:asciiTheme="minorHAnsi" w:hAnsiTheme="minorHAnsi"/>
        </w:rPr>
        <w:t xml:space="preserve"> and surgery in populations one and two. This approach has been taken for radiotherapy technology assessment in the past</w:t>
      </w:r>
      <w:r w:rsidR="00201D09">
        <w:rPr>
          <w:rFonts w:asciiTheme="minorHAnsi" w:hAnsiTheme="minorHAnsi"/>
        </w:rPr>
        <w:t>,</w:t>
      </w:r>
      <w:r w:rsidRPr="00BC4A30">
        <w:rPr>
          <w:rFonts w:asciiTheme="minorHAnsi" w:hAnsiTheme="minorHAnsi"/>
        </w:rPr>
        <w:t xml:space="preserve"> where the evidence base was limited. For example, in the case of image-guided radiation therapy (IGRT), </w:t>
      </w:r>
      <w:r w:rsidRPr="00E14908">
        <w:rPr>
          <w:rFonts w:asciiTheme="minorHAnsi" w:hAnsiTheme="minorHAnsi"/>
        </w:rPr>
        <w:t xml:space="preserve">MSAC </w:t>
      </w:r>
      <w:r w:rsidR="00E14908" w:rsidRPr="00E14908">
        <w:rPr>
          <w:rFonts w:asciiTheme="minorHAnsi" w:hAnsiTheme="minorHAnsi"/>
        </w:rPr>
        <w:fldChar w:fldCharType="begin"/>
      </w:r>
      <w:r w:rsidR="005B16C7">
        <w:rPr>
          <w:rFonts w:asciiTheme="minorHAnsi" w:hAnsiTheme="minorHAnsi"/>
        </w:rPr>
        <w:instrText xml:space="preserve"> ADDIN EN.CITE &lt;EndNote&gt;&lt;Cite ExcludeAuth="1"&gt;&lt;Author&gt;MSAC&lt;/Author&gt;&lt;Year&gt;2015&lt;/Year&gt;&lt;RecNum&gt;226&lt;/RecNum&gt;&lt;DisplayText&gt;(2015)&lt;/DisplayText&gt;&lt;record&gt;&lt;rec-number&gt;226&lt;/rec-number&gt;&lt;foreign-keys&gt;&lt;key app="EN" db-id="05ssdaw2cf0zvye5xvo5z9ww0xdpfstrdtew" timestamp="1469615464"&gt;226&lt;/key&gt;&lt;/foreign-keys&gt;&lt;ref-type name="Report"&gt;27&lt;/ref-type&gt;&lt;contributors&gt;&lt;authors&gt;&lt;author&gt;Medical Services Advisory Committee (MSAC),&lt;/author&gt;&lt;/authors&gt;&lt;/contributors&gt;&lt;titles&gt;&lt;title&gt;Public Summary Document, Application 1319 - Image-guided radiation therapy for cancer treatment deliver, 63rd MSAC meeting, 1-2 April 2015&lt;/title&gt;&lt;/titles&gt;&lt;dates&gt;&lt;year&gt;2015&lt;/year&gt;&lt;/dates&gt;&lt;publisher&gt;MSAC&lt;/publisher&gt;&lt;urls&gt;&lt;/urls&gt;&lt;/record&gt;&lt;/Cite&gt;&lt;/EndNote&gt;</w:instrText>
      </w:r>
      <w:r w:rsidR="00E14908" w:rsidRPr="00E14908">
        <w:rPr>
          <w:rFonts w:asciiTheme="minorHAnsi" w:hAnsiTheme="minorHAnsi"/>
        </w:rPr>
        <w:fldChar w:fldCharType="separate"/>
      </w:r>
      <w:r w:rsidR="00E14908">
        <w:rPr>
          <w:rFonts w:asciiTheme="minorHAnsi" w:hAnsiTheme="minorHAnsi"/>
          <w:noProof/>
        </w:rPr>
        <w:t>(</w:t>
      </w:r>
      <w:hyperlink w:anchor="_ENREF_104" w:tooltip="Medical Services Advisory Committee (MSAC), 2015 #226" w:history="1">
        <w:r w:rsidR="00320458">
          <w:rPr>
            <w:rFonts w:asciiTheme="minorHAnsi" w:hAnsiTheme="minorHAnsi"/>
            <w:noProof/>
          </w:rPr>
          <w:t>2015</w:t>
        </w:r>
      </w:hyperlink>
      <w:r w:rsidR="00E14908">
        <w:rPr>
          <w:rFonts w:asciiTheme="minorHAnsi" w:hAnsiTheme="minorHAnsi"/>
          <w:noProof/>
        </w:rPr>
        <w:t>)</w:t>
      </w:r>
      <w:r w:rsidR="00E14908" w:rsidRPr="00E14908">
        <w:rPr>
          <w:rFonts w:asciiTheme="minorHAnsi" w:hAnsiTheme="minorHAnsi"/>
        </w:rPr>
        <w:fldChar w:fldCharType="end"/>
      </w:r>
      <w:r w:rsidRPr="00BC4A30">
        <w:rPr>
          <w:rFonts w:asciiTheme="minorHAnsi" w:hAnsiTheme="minorHAnsi"/>
        </w:rPr>
        <w:t xml:space="preserve"> concluded that due to the lack of evidence (the quality of the available studies was deemed to be poor with inconsistent evidence of safety and clinical effectiveness) for any significant benefit in clinical outcomes between IGRT and non-IGRT, a cost minimisation analysis was appropriate. MSAC considered the frequency of verification scans </w:t>
      </w:r>
      <w:r w:rsidR="00AB0914">
        <w:rPr>
          <w:rFonts w:asciiTheme="minorHAnsi" w:hAnsiTheme="minorHAnsi"/>
        </w:rPr>
        <w:t>is</w:t>
      </w:r>
      <w:r w:rsidRPr="00BC4A30">
        <w:rPr>
          <w:rFonts w:asciiTheme="minorHAnsi" w:hAnsiTheme="minorHAnsi"/>
        </w:rPr>
        <w:t xml:space="preserve"> uncertain and the budgetary impact of publicly funding IGRT, even on a cost minimisation basis, </w:t>
      </w:r>
      <w:r w:rsidR="00AB0914">
        <w:rPr>
          <w:rFonts w:asciiTheme="minorHAnsi" w:hAnsiTheme="minorHAnsi"/>
        </w:rPr>
        <w:t>i</w:t>
      </w:r>
      <w:r w:rsidRPr="00BC4A30">
        <w:rPr>
          <w:rFonts w:asciiTheme="minorHAnsi" w:hAnsiTheme="minorHAnsi"/>
        </w:rPr>
        <w:t>s</w:t>
      </w:r>
      <w:r w:rsidR="00AB0914">
        <w:rPr>
          <w:rFonts w:asciiTheme="minorHAnsi" w:hAnsiTheme="minorHAnsi"/>
        </w:rPr>
        <w:t xml:space="preserve"> also</w:t>
      </w:r>
      <w:r w:rsidRPr="00BC4A30">
        <w:rPr>
          <w:rFonts w:asciiTheme="minorHAnsi" w:hAnsiTheme="minorHAnsi"/>
        </w:rPr>
        <w:t xml:space="preserve"> uncertain.</w:t>
      </w:r>
    </w:p>
    <w:p w14:paraId="03A5F5CC" w14:textId="07ADFEBE" w:rsidR="005A5EC8" w:rsidRPr="00BC4A30" w:rsidRDefault="005A5EC8" w:rsidP="00647EB9">
      <w:pPr>
        <w:pStyle w:val="Heading2"/>
        <w:numPr>
          <w:ilvl w:val="3"/>
          <w:numId w:val="9"/>
        </w:numPr>
      </w:pPr>
      <w:bookmarkStart w:id="372" w:name="_Toc381796477"/>
      <w:bookmarkStart w:id="373" w:name="_Toc460396077"/>
      <w:r w:rsidRPr="00BC4A30">
        <w:t xml:space="preserve">Populations and </w:t>
      </w:r>
      <w:r w:rsidR="00AB0914">
        <w:t>S</w:t>
      </w:r>
      <w:r w:rsidRPr="00BC4A30">
        <w:t>ettings</w:t>
      </w:r>
      <w:bookmarkEnd w:id="372"/>
      <w:bookmarkEnd w:id="373"/>
    </w:p>
    <w:p w14:paraId="10D34730" w14:textId="76C9CAF7" w:rsidR="00E56FF7" w:rsidRPr="00BC4A30" w:rsidRDefault="00E56FF7" w:rsidP="00E56FF7">
      <w:r w:rsidRPr="00BC4A30">
        <w:t xml:space="preserve">There were 11,580 cases new cases of lung cancer diagnosed across Australia in 2014, equivalent to an incidence rate of 54.8 cases per 100,000 men and 33.2 cases per 100,000 women (AIHW 2014). </w:t>
      </w:r>
      <w:r w:rsidR="00AB0914">
        <w:t>SCLC</w:t>
      </w:r>
      <w:r w:rsidRPr="00BC4A30">
        <w:t xml:space="preserve"> accounted for around 12.3 per cent of lung cancer incidence in 2007 and </w:t>
      </w:r>
      <w:r w:rsidR="00DF5EB1" w:rsidRPr="00BC4A30">
        <w:t>NSCLC 62.6 per cent</w:t>
      </w:r>
      <w:r w:rsidR="00AB0914">
        <w:t xml:space="preserve"> </w:t>
      </w:r>
      <w:r w:rsidR="00DF5EB1" w:rsidRPr="00BC4A30">
        <w:fldChar w:fldCharType="begin"/>
      </w:r>
      <w:r w:rsidR="00320458">
        <w:instrText xml:space="preserve"> ADDIN EN.CITE &lt;EndNote&gt;&lt;Cite&gt;&lt;Author&gt;AIHW&lt;/Author&gt;&lt;Year&gt;2011&lt;/Year&gt;&lt;RecNum&gt;191&lt;/RecNum&gt;&lt;DisplayText&gt;(Australian Institute of Health and Welfare (AIHW) 2011b)&lt;/DisplayText&gt;&lt;record&gt;&lt;rec-number&gt;191&lt;/rec-number&gt;&lt;foreign-keys&gt;&lt;key app="EN" db-id="05ssdaw2cf0zvye5xvo5z9ww0xdpfstrdtew" timestamp="1469615464"&gt;191&lt;/key&gt;&lt;/foreign-keys&gt;&lt;ref-type name="Web Page"&gt;12&lt;/ref-type&gt;&lt;contributors&gt;&lt;authors&gt;&lt;author&gt;Australian Institute of Health and Welfare (AIHW),&lt;/author&gt;&lt;/authors&gt;&lt;/contributors&gt;&lt;titles&gt;&lt;title&gt;Lung cancer in Australia: an overview, Canberra, Australia&lt;/title&gt;&lt;/titles&gt;&lt;pages&gt;Cancer series no. 64. Cat. no. CAN 58. &lt;/pages&gt;&lt;volume&gt;2016&lt;/volume&gt;&lt;number&gt;30 August 2016&lt;/number&gt;&lt;dates&gt;&lt;year&gt;2011&lt;/year&gt;&lt;/dates&gt;&lt;urls&gt;&lt;related-urls&gt;&lt;url&gt;http://www.aihw.gov.au/publication-detail/?id=10737420419&lt;/url&gt;&lt;/related-urls&gt;&lt;/urls&gt;&lt;/record&gt;&lt;/Cite&gt;&lt;/EndNote&gt;</w:instrText>
      </w:r>
      <w:r w:rsidR="00DF5EB1" w:rsidRPr="00BC4A30">
        <w:fldChar w:fldCharType="separate"/>
      </w:r>
      <w:r w:rsidR="006A4E2A">
        <w:rPr>
          <w:noProof/>
        </w:rPr>
        <w:t>(</w:t>
      </w:r>
      <w:hyperlink w:anchor="_ENREF_12" w:tooltip="Australian Institute of Health and Welfare (AIHW), 2011 #191" w:history="1">
        <w:r w:rsidR="00320458">
          <w:rPr>
            <w:noProof/>
          </w:rPr>
          <w:t>Australian Institute of Health and Welfare (AIHW) 2011b</w:t>
        </w:r>
      </w:hyperlink>
      <w:r w:rsidR="006A4E2A">
        <w:rPr>
          <w:noProof/>
        </w:rPr>
        <w:t>)</w:t>
      </w:r>
      <w:r w:rsidR="00DF5EB1" w:rsidRPr="00BC4A30">
        <w:fldChar w:fldCharType="end"/>
      </w:r>
      <w:r w:rsidRPr="00BC4A30">
        <w:t xml:space="preserve">. AIHW </w:t>
      </w:r>
      <w:r w:rsidR="00DF5EB1" w:rsidRPr="00BC4A30">
        <w:fldChar w:fldCharType="begin"/>
      </w:r>
      <w:r w:rsidR="00320458">
        <w:instrText xml:space="preserve"> ADDIN EN.CITE &lt;EndNote&gt;&lt;Cite ExcludeAuth="1"&gt;&lt;Author&gt;AIHW&lt;/Author&gt;&lt;Year&gt;2014&lt;/Year&gt;&lt;RecNum&gt;192&lt;/RecNum&gt;&lt;DisplayText&gt;(2014b)&lt;/DisplayText&gt;&lt;record&gt;&lt;rec-number&gt;192&lt;/rec-number&gt;&lt;foreign-keys&gt;&lt;key app="EN" db-id="05ssdaw2cf0zvye5xvo5z9ww0xdpfstrdtew" timestamp="1469615464"&gt;192&lt;/key&gt;&lt;/foreign-keys&gt;&lt;ref-type name="Web Page"&gt;12&lt;/ref-type&gt;&lt;contributors&gt;&lt;authors&gt;&lt;author&gt;Australian Institute of Health and Welfare (AIHW),&lt;/author&gt;&lt;/authors&gt;&lt;/contributors&gt;&lt;titles&gt;&lt;title&gt;Cancer in Australia: an overview 2014, Canberra, Australia&lt;/title&gt;&lt;/titles&gt;&lt;pages&gt;Cancer series no. 90. Cat. no. CAN 88&lt;/pages&gt;&lt;volume&gt;2016&lt;/volume&gt;&lt;number&gt;30 August&lt;/number&gt;&lt;dates&gt;&lt;year&gt;2014&lt;/year&gt;&lt;pub-dates&gt;&lt;date&gt;unknown&lt;/date&gt;&lt;/pub-dates&gt;&lt;/dates&gt;&lt;urls&gt;&lt;related-urls&gt;&lt;url&gt;http://www.aihw.gov.au/publication-detail/?id=60129550047&lt;/url&gt;&lt;/related-urls&gt;&lt;/urls&gt;&lt;/record&gt;&lt;/Cite&gt;&lt;/EndNote&gt;</w:instrText>
      </w:r>
      <w:r w:rsidR="00DF5EB1" w:rsidRPr="00BC4A30">
        <w:fldChar w:fldCharType="separate"/>
      </w:r>
      <w:r w:rsidR="00F00D1D">
        <w:rPr>
          <w:noProof/>
        </w:rPr>
        <w:t>(</w:t>
      </w:r>
      <w:hyperlink w:anchor="_ENREF_14" w:tooltip="Australian Institute of Health and Welfare (AIHW), 2014 #192" w:history="1">
        <w:r w:rsidR="00320458">
          <w:rPr>
            <w:noProof/>
          </w:rPr>
          <w:t>2014b</w:t>
        </w:r>
      </w:hyperlink>
      <w:r w:rsidR="00F00D1D">
        <w:rPr>
          <w:noProof/>
        </w:rPr>
        <w:t>)</w:t>
      </w:r>
      <w:r w:rsidR="00DF5EB1" w:rsidRPr="00BC4A30">
        <w:fldChar w:fldCharType="end"/>
      </w:r>
      <w:r w:rsidR="00DF5EB1" w:rsidRPr="00BC4A30">
        <w:t xml:space="preserve"> </w:t>
      </w:r>
      <w:r w:rsidRPr="00BC4A30">
        <w:t xml:space="preserve">projected 12,203 new lung cancer cases in 2016 based on an age-standardised incidence rate of 43 cases per 100,000 persons (54 for males and 34 for females). The proportion of lung cancers specified as small cell carcinoma was 11 per cent for males and 13 per cent for females in 2007, with other carcinoma and unspecified malignant neoplasm accounting for 25 per cent of lung cancers in males and 26 per cent in females </w:t>
      </w:r>
      <w:r w:rsidR="00DF5EB1" w:rsidRPr="00BC4A30">
        <w:fldChar w:fldCharType="begin"/>
      </w:r>
      <w:r w:rsidR="00320458">
        <w:instrText xml:space="preserve"> ADDIN EN.CITE &lt;EndNote&gt;&lt;Cite&gt;&lt;Author&gt;AIHW&lt;/Author&gt;&lt;Year&gt;2011&lt;/Year&gt;&lt;RecNum&gt;191&lt;/RecNum&gt;&lt;DisplayText&gt;(Australian Institute of Health and Welfare (AIHW) 2011b)&lt;/DisplayText&gt;&lt;record&gt;&lt;rec-number&gt;191&lt;/rec-number&gt;&lt;foreign-keys&gt;&lt;key app="EN" db-id="05ssdaw2cf0zvye5xvo5z9ww0xdpfstrdtew" timestamp="1469615464"&gt;191&lt;/key&gt;&lt;/foreign-keys&gt;&lt;ref-type name="Web Page"&gt;12&lt;/ref-type&gt;&lt;contributors&gt;&lt;authors&gt;&lt;author&gt;Australian Institute of Health and Welfare (AIHW),&lt;/author&gt;&lt;/authors&gt;&lt;/contributors&gt;&lt;titles&gt;&lt;title&gt;Lung cancer in Australia: an overview, Canberra, Australia&lt;/title&gt;&lt;/titles&gt;&lt;pages&gt;Cancer series no. 64. Cat. no. CAN 58. &lt;/pages&gt;&lt;volume&gt;2016&lt;/volume&gt;&lt;number&gt;30 August 2016&lt;/number&gt;&lt;dates&gt;&lt;year&gt;2011&lt;/year&gt;&lt;/dates&gt;&lt;urls&gt;&lt;related-urls&gt;&lt;url&gt;http://www.aihw.gov.au/publication-detail/?id=10737420419&lt;/url&gt;&lt;/related-urls&gt;&lt;/urls&gt;&lt;/record&gt;&lt;/Cite&gt;&lt;/EndNote&gt;</w:instrText>
      </w:r>
      <w:r w:rsidR="00DF5EB1" w:rsidRPr="00BC4A30">
        <w:fldChar w:fldCharType="separate"/>
      </w:r>
      <w:r w:rsidR="006A4E2A">
        <w:rPr>
          <w:noProof/>
        </w:rPr>
        <w:t>(</w:t>
      </w:r>
      <w:hyperlink w:anchor="_ENREF_12" w:tooltip="Australian Institute of Health and Welfare (AIHW), 2011 #191" w:history="1">
        <w:r w:rsidR="00320458">
          <w:rPr>
            <w:noProof/>
          </w:rPr>
          <w:t>Australian Institute of Health and Welfare (AIHW) 2011b</w:t>
        </w:r>
      </w:hyperlink>
      <w:r w:rsidR="006A4E2A">
        <w:rPr>
          <w:noProof/>
        </w:rPr>
        <w:t>)</w:t>
      </w:r>
      <w:r w:rsidR="00DF5EB1" w:rsidRPr="00BC4A30">
        <w:fldChar w:fldCharType="end"/>
      </w:r>
      <w:r w:rsidRPr="00BC4A30">
        <w:t>.</w:t>
      </w:r>
      <w:r w:rsidR="00BC4A30">
        <w:t xml:space="preserve"> New cases of primary lung carcinoma at the Liverpool and </w:t>
      </w:r>
      <w:r w:rsidR="00BC4A30" w:rsidRPr="00BC4A30">
        <w:t xml:space="preserve">Macarthur Cancer Therapy Centre (CTC) in NSW between 1 December 2005 and 21 December 2006 were reviewed by Kang et al </w:t>
      </w:r>
      <w:r w:rsidR="00BC4A30" w:rsidRPr="00BC4A30">
        <w:fldChar w:fldCharType="begin">
          <w:fldData xml:space="preserve">PEVuZE5vdGU+PENpdGU+PEF1dGhvcj5LYW5nPC9BdXRob3I+PFllYXI+MjAxMjwvWWVhcj48UmVj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</w:fldData>
        </w:fldChar>
      </w:r>
      <w:r w:rsidR="00194054">
        <w:instrText xml:space="preserve"> ADDIN EN.CITE </w:instrText>
      </w:r>
      <w:r w:rsidR="00194054">
        <w:fldChar w:fldCharType="begin">
          <w:fldData xml:space="preserve">PEVuZE5vdGU+PENpdGU+PEF1dGhvcj5LYW5nPC9BdXRob3I+PFllYXI+MjAxMjwvWWVhcj48UmVj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</w:fldData>
        </w:fldChar>
      </w:r>
      <w:r w:rsidR="00194054">
        <w:instrText xml:space="preserve"> ADDIN EN.CITE.DATA </w:instrText>
      </w:r>
      <w:r w:rsidR="00194054">
        <w:fldChar w:fldCharType="end"/>
      </w:r>
      <w:r w:rsidR="00BC4A30" w:rsidRPr="00BC4A30">
        <w:fldChar w:fldCharType="separate"/>
      </w:r>
      <w:r w:rsidR="00BC4A30" w:rsidRPr="00BC4A30">
        <w:rPr>
          <w:noProof/>
        </w:rPr>
        <w:t>(</w:t>
      </w:r>
      <w:hyperlink w:anchor="_ENREF_77" w:tooltip="Kang, 2012 #217" w:history="1">
        <w:r w:rsidR="00320458" w:rsidRPr="00BC4A30">
          <w:rPr>
            <w:noProof/>
          </w:rPr>
          <w:t>Kang et al 2012</w:t>
        </w:r>
      </w:hyperlink>
      <w:r w:rsidR="00BC4A30" w:rsidRPr="00BC4A30">
        <w:rPr>
          <w:noProof/>
        </w:rPr>
        <w:t>)</w:t>
      </w:r>
      <w:r w:rsidR="00BC4A30" w:rsidRPr="00BC4A30">
        <w:fldChar w:fldCharType="end"/>
      </w:r>
      <w:r w:rsidR="00BC4A30" w:rsidRPr="00BC4A30">
        <w:t>.</w:t>
      </w:r>
      <w:r w:rsidR="00BC4A30">
        <w:t xml:space="preserve"> Around 13.8 per cent of cases where SCLC, which broadly reflect </w:t>
      </w:r>
      <w:proofErr w:type="gramStart"/>
      <w:r w:rsidR="00BC4A30">
        <w:t>AIHW</w:t>
      </w:r>
      <w:proofErr w:type="gramEnd"/>
      <w:r w:rsidR="00BC4A30">
        <w:t xml:space="preserve"> estimates. </w:t>
      </w:r>
    </w:p>
    <w:p w14:paraId="145EB922" w14:textId="514980FC" w:rsidR="00A45197" w:rsidRDefault="00E56FF7" w:rsidP="00E56FF7">
      <w:r w:rsidRPr="00BC4A30">
        <w:t xml:space="preserve">Data from New South </w:t>
      </w:r>
      <w:r w:rsidRPr="00FF6A6F">
        <w:t xml:space="preserve">Wales </w:t>
      </w:r>
      <w:r w:rsidR="00FF6A6F" w:rsidRPr="00FF6A6F">
        <w:fldChar w:fldCharType="begin"/>
      </w:r>
      <w:r w:rsidR="00FF6A6F" w:rsidRPr="00FF6A6F">
        <w:instrText xml:space="preserve"> ADDIN EN.CITE &lt;EndNote&gt;&lt;Cite&gt;&lt;Author&gt;Vinod&lt;/Author&gt;&lt;Year&gt;2004&lt;/Year&gt;&lt;RecNum&gt;281&lt;/RecNum&gt;&lt;DisplayText&gt;(Vinod et al 2004)&lt;/DisplayText&gt;&lt;record&gt;&lt;rec-number&gt;281&lt;/rec-number&gt;&lt;foreign-keys&gt;&lt;key app="EN" db-id="05ssdaw2cf0zvye5xvo5z9ww0xdpfstrdtew" timestamp="1472540024"&gt;281&lt;/key&gt;&lt;/foreign-keys&gt;&lt;ref-type name="Journal Article"&gt;17&lt;/ref-type&gt;&lt;contributors&gt;&lt;authors&gt;&lt;author&gt;Vinod, S. K.&lt;/author&gt;&lt;author&gt;Hui, A. C.&lt;/author&gt;&lt;author&gt;Esmaili, N.&lt;/author&gt;&lt;author&gt;Hensley, M. J.&lt;/author&gt;&lt;author&gt;Barton, M. B.&lt;/author&gt;&lt;/authors&gt;&lt;/contributors&gt;&lt;auth-address&gt;Cancer Therapy Centre, Liverpool Health Service, Liverpool BC, New South Wales 1871, Australia. Shalini.Vinod@swsahs.nsw.gov.au&lt;/auth-address&gt;&lt;titles&gt;&lt;title&gt;Comparison of patterns of care in lung cancer in three area health services in New South Wales, Australia&lt;/title&gt;&lt;secondary-title&gt;Intern Med J&lt;/secondary-title&gt;&lt;alt-title&gt;Internal medicine journal&lt;/alt-title&gt;&lt;/titles&gt;&lt;periodical&gt;&lt;full-title&gt;Intern Med J&lt;/full-title&gt;&lt;abbr-1&gt;Internal medicine journal&lt;/abbr-1&gt;&lt;/periodical&gt;&lt;alt-periodical&gt;&lt;full-title&gt;Intern Med J&lt;/full-title&gt;&lt;abbr-1&gt;Internal medicine journal&lt;/abbr-1&gt;&lt;/alt-periodical&gt;&lt;pages&gt;677-83&lt;/pages&gt;&lt;volume&gt;34&lt;/volume&gt;&lt;number&gt;12&lt;/number&gt;&lt;keywords&gt;&lt;keyword&gt;Aged&lt;/keyword&gt;&lt;keyword&gt;Delivery of Health Care/*methods&lt;/keyword&gt;&lt;keyword&gt;Female&lt;/keyword&gt;&lt;keyword&gt;Humans&lt;/keyword&gt;&lt;keyword&gt;Lung Neoplasms/mortality/*therapy&lt;/keyword&gt;&lt;keyword&gt;Male&lt;/keyword&gt;&lt;keyword&gt;Middle Aged&lt;/keyword&gt;&lt;keyword&gt;New South Wales/epidemiology&lt;/keyword&gt;&lt;keyword&gt;Registries&lt;/keyword&gt;&lt;keyword&gt;Survival Analysis&lt;/keyword&gt;&lt;/keywords&gt;&lt;dates&gt;&lt;year&gt;2004&lt;/year&gt;&lt;pub-dates&gt;&lt;date&gt;Dec&lt;/date&gt;&lt;/pub-dates&gt;&lt;/dates&gt;&lt;isbn&gt;1444-0903 (Print)&amp;#xD;1444-0903 (Linking)&lt;/isbn&gt;&lt;accession-num&gt;15610212&lt;/accession-num&gt;&lt;urls&gt;&lt;related-urls&gt;&lt;url&gt;http://www.ncbi.nlm.nih.gov/pubmed/15610212&lt;/url&gt;&lt;/related-urls&gt;&lt;/urls&gt;&lt;electronic-resource-num&gt;10.1111/j.1445-5994.2004.00645.x&lt;/electronic-resource-num&gt;&lt;/record&gt;&lt;/Cite&gt;&lt;/EndNote&gt;</w:instrText>
      </w:r>
      <w:r w:rsidR="00FF6A6F" w:rsidRPr="00FF6A6F">
        <w:fldChar w:fldCharType="separate"/>
      </w:r>
      <w:r w:rsidR="00FF6A6F" w:rsidRPr="00FF6A6F">
        <w:rPr>
          <w:noProof/>
        </w:rPr>
        <w:t>(</w:t>
      </w:r>
      <w:hyperlink w:anchor="_ENREF_165" w:tooltip="Vinod, 2004 #281" w:history="1">
        <w:r w:rsidR="00320458" w:rsidRPr="00FF6A6F">
          <w:rPr>
            <w:noProof/>
          </w:rPr>
          <w:t>Vinod et al 2004</w:t>
        </w:r>
      </w:hyperlink>
      <w:r w:rsidR="00FF6A6F" w:rsidRPr="00FF6A6F">
        <w:rPr>
          <w:noProof/>
        </w:rPr>
        <w:t>)</w:t>
      </w:r>
      <w:r w:rsidR="00FF6A6F" w:rsidRPr="00FF6A6F">
        <w:fldChar w:fldCharType="end"/>
      </w:r>
      <w:r w:rsidR="00201D09">
        <w:t>,</w:t>
      </w:r>
      <w:r w:rsidRPr="00FF6A6F">
        <w:t xml:space="preserve"> collected</w:t>
      </w:r>
      <w:r w:rsidRPr="00BC4A30">
        <w:t xml:space="preserve"> between 1995 and 2004, suggests that 29.6 per cent of staged lung cancers are localised. A retrospective survey of lung cancer reported in the Victorian Cancer Registry from 1 January to 30 June 2003, and followed up for 5 years, recorded that 35.4 per cent of NSCLC were stage I, IA and </w:t>
      </w:r>
      <w:r w:rsidR="00A208C0">
        <w:t xml:space="preserve">IB cases </w:t>
      </w:r>
      <w:r w:rsidR="00A208C0">
        <w:fldChar w:fldCharType="begin">
          <w:fldData xml:space="preserve">PEVuZE5vdGU+PENpdGU+PEF1dGhvcj5NaXRjaGVsbDwvQXV0aG9yPjxZZWFyPjIwMTM8L1llYXI+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</w:fldData>
        </w:fldChar>
      </w:r>
      <w:r w:rsidR="00A208C0">
        <w:instrText xml:space="preserve"> ADDIN EN.CITE </w:instrText>
      </w:r>
      <w:r w:rsidR="00A208C0">
        <w:fldChar w:fldCharType="begin">
          <w:fldData xml:space="preserve">PEVuZE5vdGU+PENpdGU+PEF1dGhvcj5NaXRjaGVsbDwvQXV0aG9yPjxZZWFyPjIwMTM8L1llYXI+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</w:fldData>
        </w:fldChar>
      </w:r>
      <w:r w:rsidR="00A208C0">
        <w:instrText xml:space="preserve"> ADDIN EN.CITE.DATA </w:instrText>
      </w:r>
      <w:r w:rsidR="00A208C0">
        <w:fldChar w:fldCharType="end"/>
      </w:r>
      <w:r w:rsidR="00A208C0">
        <w:fldChar w:fldCharType="separate"/>
      </w:r>
      <w:r w:rsidR="00A208C0">
        <w:rPr>
          <w:noProof/>
        </w:rPr>
        <w:t>(</w:t>
      </w:r>
      <w:hyperlink w:anchor="_ENREF_108" w:tooltip="Mitchell, 2013 #285" w:history="1">
        <w:r w:rsidR="00320458">
          <w:rPr>
            <w:noProof/>
          </w:rPr>
          <w:t>Mitchell et al 2013</w:t>
        </w:r>
      </w:hyperlink>
      <w:r w:rsidR="00A208C0">
        <w:rPr>
          <w:noProof/>
        </w:rPr>
        <w:t>)</w:t>
      </w:r>
      <w:r w:rsidR="00A208C0">
        <w:fldChar w:fldCharType="end"/>
      </w:r>
      <w:r w:rsidRPr="00FF6A6F">
        <w:t>. This is</w:t>
      </w:r>
      <w:r w:rsidRPr="00BC4A30">
        <w:t xml:space="preserve"> higher than the proportions in the USA, where less than 20 per cent of NSCLC cases in males and females were localised at the time of diagnosis </w:t>
      </w:r>
      <w:r w:rsidR="00DF5EB1" w:rsidRPr="00BC4A30">
        <w:fldChar w:fldCharType="begin"/>
      </w:r>
      <w:r w:rsidR="00320458">
        <w:instrText xml:space="preserve"> ADDIN EN.CITE &lt;EndNote&gt;&lt;Cite&gt;&lt;Author&gt;AIHW&lt;/Author&gt;&lt;Year&gt;2011&lt;/Year&gt;&lt;RecNum&gt;56&lt;/RecNum&gt;&lt;DisplayText&gt;(Australian Institute of Health and Welfare (AIHW) 2011a)&lt;/DisplayText&gt;&lt;record&gt;&lt;rec-number&gt;56&lt;/rec-number&gt;&lt;foreign-keys&gt;&lt;key app="EN" db-id="05ssdaw2cf0zvye5xvo5z9ww0xdpfstrdtew" timestamp="1465864271"&gt;56&lt;/key&gt;&lt;/foreign-keys&gt;&lt;ref-type name="Web Page"&gt;12&lt;/ref-type&gt;&lt;contributors&gt;&lt;authors&gt;&lt;author&gt;Australian Institute of Health and Welfare (AIHW),&lt;/author&gt;&lt;/authors&gt;&lt;/contributors&gt;&lt;titles&gt;&lt;title&gt;Lung cancer in Australia: an overview&lt;/title&gt;&lt;secondary-title&gt;Cancer series no. 64&lt;/secondary-title&gt;&lt;/titles&gt;&lt;volume&gt;Cat. no. CAN 58&lt;/volume&gt;&lt;number&gt;30 August 2016&lt;/number&gt;&lt;dates&gt;&lt;year&gt;2011&lt;/year&gt;&lt;pub-dates&gt;&lt;date&gt;2011&lt;/date&gt;&lt;/pub-dates&gt;&lt;/dates&gt;&lt;pub-location&gt;Canberra, Australia&lt;/pub-location&gt;&lt;publisher&gt;Australian Institute of Health and Welfare&lt;/publisher&gt;&lt;urls&gt;&lt;related-urls&gt;&lt;url&gt;http://www.aihw.gov.au/publication-detail/?id=10737420419&lt;/url&gt;&lt;/related-urls&gt;&lt;/urls&gt;&lt;/record&gt;&lt;/Cite&gt;&lt;/EndNote&gt;</w:instrText>
      </w:r>
      <w:r w:rsidR="00DF5EB1" w:rsidRPr="00BC4A30">
        <w:fldChar w:fldCharType="separate"/>
      </w:r>
      <w:r w:rsidR="006A4E2A">
        <w:rPr>
          <w:noProof/>
        </w:rPr>
        <w:t>(</w:t>
      </w:r>
      <w:hyperlink w:anchor="_ENREF_11" w:tooltip="Australian Institute of Health and Welfare (AIHW), 2011 #56" w:history="1">
        <w:r w:rsidR="00320458">
          <w:rPr>
            <w:noProof/>
          </w:rPr>
          <w:t>Australian Institute of Health and Welfare (AIHW) 2011a</w:t>
        </w:r>
      </w:hyperlink>
      <w:r w:rsidR="006A4E2A">
        <w:rPr>
          <w:noProof/>
        </w:rPr>
        <w:t>)</w:t>
      </w:r>
      <w:r w:rsidR="00DF5EB1" w:rsidRPr="00BC4A30">
        <w:fldChar w:fldCharType="end"/>
      </w:r>
      <w:r w:rsidRPr="00BC4A30">
        <w:t xml:space="preserve">. </w:t>
      </w:r>
    </w:p>
    <w:p w14:paraId="10F105C7" w14:textId="10A118AC" w:rsidR="00E56FF7" w:rsidRPr="00BC4A30" w:rsidRDefault="00E56FF7" w:rsidP="00E56FF7">
      <w:r w:rsidRPr="00BC4A30">
        <w:t xml:space="preserve">Barton et al (2013) assumed that around 31 per cent of staged lung cancers are </w:t>
      </w:r>
      <w:r w:rsidR="00A45197">
        <w:t xml:space="preserve">stage I-II </w:t>
      </w:r>
      <w:r w:rsidRPr="00BC4A30">
        <w:t xml:space="preserve">when determining radiotherapy demand. This assumption is included in the financial assessment as it is within the range of the Vinod et al (2004), USA and Kang et al </w:t>
      </w:r>
      <w:r w:rsidR="00DF5EB1" w:rsidRPr="00BC4A30">
        <w:fldChar w:fldCharType="begin">
          <w:fldData xml:space="preserve">PEVuZE5vdGU+PENpdGU+PEF1dGhvcj5LYW5nPC9BdXRob3I+PFllYXI+MjAxMjwvWWVhcj48UmVj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</w:fldData>
        </w:fldChar>
      </w:r>
      <w:r w:rsidR="00194054">
        <w:instrText xml:space="preserve"> ADDIN EN.CITE </w:instrText>
      </w:r>
      <w:r w:rsidR="00194054">
        <w:fldChar w:fldCharType="begin">
          <w:fldData xml:space="preserve">PEVuZE5vdGU+PENpdGU+PEF1dGhvcj5LYW5nPC9BdXRob3I+PFllYXI+MjAxMjwvWWVhcj48UmVj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</w:fldData>
        </w:fldChar>
      </w:r>
      <w:r w:rsidR="00194054">
        <w:instrText xml:space="preserve"> ADDIN EN.CITE.DATA </w:instrText>
      </w:r>
      <w:r w:rsidR="00194054">
        <w:fldChar w:fldCharType="end"/>
      </w:r>
      <w:r w:rsidR="00DF5EB1" w:rsidRPr="00BC4A30">
        <w:fldChar w:fldCharType="separate"/>
      </w:r>
      <w:r w:rsidR="00DF5EB1" w:rsidRPr="00BC4A30">
        <w:rPr>
          <w:noProof/>
        </w:rPr>
        <w:t>(</w:t>
      </w:r>
      <w:hyperlink w:anchor="_ENREF_77" w:tooltip="Kang, 2012 #217" w:history="1">
        <w:r w:rsidR="00320458" w:rsidRPr="00BC4A30">
          <w:rPr>
            <w:noProof/>
          </w:rPr>
          <w:t>Kang et al 2012</w:t>
        </w:r>
      </w:hyperlink>
      <w:r w:rsidR="00DF5EB1" w:rsidRPr="00BC4A30">
        <w:rPr>
          <w:noProof/>
        </w:rPr>
        <w:t>)</w:t>
      </w:r>
      <w:r w:rsidR="00DF5EB1" w:rsidRPr="00BC4A30">
        <w:fldChar w:fldCharType="end"/>
      </w:r>
      <w:r w:rsidRPr="00BC4A30">
        <w:t xml:space="preserve">studies. Barton et </w:t>
      </w:r>
      <w:r w:rsidR="00A45197">
        <w:t>al (2013) assumed that around 43</w:t>
      </w:r>
      <w:r w:rsidRPr="00BC4A30">
        <w:t xml:space="preserve"> per cent of early stage NSCLC would be subject to resection when </w:t>
      </w:r>
      <w:r w:rsidRPr="00BC4A30">
        <w:lastRenderedPageBreak/>
        <w:t xml:space="preserve">determining radiotherapy demand in Australia. Pearson </w:t>
      </w:r>
      <w:r w:rsidR="00DF5EB1" w:rsidRPr="00BC4A30">
        <w:fldChar w:fldCharType="begin"/>
      </w:r>
      <w:r w:rsidR="00194054">
        <w:instrText xml:space="preserve"> ADDIN EN.CITE &lt;EndNote&gt;&lt;Cite&gt;&lt;Author&gt;Pearson&lt;/Author&gt;&lt;Year&gt;1994&lt;/Year&gt;&lt;RecNum&gt;233&lt;/RecNum&gt;&lt;DisplayText&gt;(Pearson 1994)&lt;/DisplayText&gt;&lt;record&gt;&lt;rec-number&gt;233&lt;/rec-number&gt;&lt;foreign-keys&gt;&lt;key app="EN" db-id="05ssdaw2cf0zvye5xvo5z9ww0xdpfstrdtew" timestamp="1469615464"&gt;233&lt;/key&gt;&lt;/foreign-keys&gt;&lt;ref-type name="Journal Article"&gt;17&lt;/ref-type&gt;&lt;contributors&gt;&lt;authors&gt;&lt;author&gt;Pearson, F. G.&lt;/author&gt;&lt;/authors&gt;&lt;/contributors&gt;&lt;auth-address&gt;Toronto General Hospital, Ontario, Canada.&lt;/auth-address&gt;&lt;titles&gt;&lt;title&gt;Current status of surgical resection for lung cancer&lt;/title&gt;&lt;secondary-title&gt;Chest&lt;/secondary-title&gt;&lt;alt-title&gt;Chest&lt;/alt-title&gt;&lt;/titles&gt;&lt;periodical&gt;&lt;full-title&gt;Chest&lt;/full-title&gt;&lt;abbr-1&gt;Chest&lt;/abbr-1&gt;&lt;/periodical&gt;&lt;alt-periodical&gt;&lt;full-title&gt;Chest&lt;/full-title&gt;&lt;abbr-1&gt;Chest&lt;/abbr-1&gt;&lt;/alt-periodical&gt;&lt;pages&gt;337s-339s&lt;/pages&gt;&lt;volume&gt;106&lt;/volume&gt;&lt;number&gt;6 Suppl&lt;/number&gt;&lt;edition&gt;1994/12/01&lt;/edition&gt;&lt;keywords&gt;&lt;keyword&gt;Carcinoma, Non-Small-Cell Lung/pathology/surgery&lt;/keyword&gt;&lt;keyword&gt;Carcinoma, Small Cell/pathology/surgery&lt;/keyword&gt;&lt;keyword&gt;Humans&lt;/keyword&gt;&lt;keyword&gt;Lung Neoplasms/pathology/*surgery&lt;/keyword&gt;&lt;keyword&gt;Lymphatic Metastasis&lt;/keyword&gt;&lt;keyword&gt;Mediastinum&lt;/keyword&gt;&lt;keyword&gt;Neoplasm Staging&lt;/keyword&gt;&lt;keyword&gt;Pneumonectomy&lt;/keyword&gt;&lt;keyword&gt;Prognosis&lt;/keyword&gt;&lt;/keywords&gt;&lt;dates&gt;&lt;year&gt;1994&lt;/year&gt;&lt;pub-dates&gt;&lt;date&gt;Dec&lt;/date&gt;&lt;/pub-dates&gt;&lt;/dates&gt;&lt;isbn&gt;0012-3692 (Print)&amp;#xD;0012-3692&lt;/isbn&gt;&lt;accession-num&gt;7988259&lt;/accession-num&gt;&lt;urls&gt;&lt;/urls&gt;&lt;remote-database-provider&gt;NLM&lt;/remote-database-provider&gt;&lt;language&gt;eng&lt;/language&gt;&lt;/record&gt;&lt;/Cite&gt;&lt;/EndNote&gt;</w:instrText>
      </w:r>
      <w:r w:rsidR="00DF5EB1" w:rsidRPr="00BC4A30">
        <w:fldChar w:fldCharType="separate"/>
      </w:r>
      <w:r w:rsidR="00DF5EB1" w:rsidRPr="00BC4A30">
        <w:rPr>
          <w:noProof/>
        </w:rPr>
        <w:t>(</w:t>
      </w:r>
      <w:hyperlink w:anchor="_ENREF_117" w:tooltip="Pearson, 1994 #233" w:history="1">
        <w:r w:rsidR="00320458" w:rsidRPr="00BC4A30">
          <w:rPr>
            <w:noProof/>
          </w:rPr>
          <w:t>Pearson 1994</w:t>
        </w:r>
      </w:hyperlink>
      <w:r w:rsidR="00DF5EB1" w:rsidRPr="00BC4A30">
        <w:rPr>
          <w:noProof/>
        </w:rPr>
        <w:t>)</w:t>
      </w:r>
      <w:r w:rsidR="00DF5EB1" w:rsidRPr="00BC4A30">
        <w:fldChar w:fldCharType="end"/>
      </w:r>
      <w:r w:rsidRPr="00BC4A30">
        <w:t xml:space="preserve"> concludes patients in whom a complete resection is anticipated should be selected for surgery. These cases include TI to T4 stages, NO and Ni tumours, and selected N2 cases. </w:t>
      </w:r>
    </w:p>
    <w:p w14:paraId="09774E28" w14:textId="790BCEBB" w:rsidR="00E56FF7" w:rsidRPr="00BC4A30" w:rsidRDefault="00E56FF7" w:rsidP="00E56FF7">
      <w:r w:rsidRPr="00BC4A30">
        <w:t>Zhu et</w:t>
      </w:r>
      <w:r w:rsidR="00A848FA">
        <w:t xml:space="preserve"> al</w:t>
      </w:r>
      <w:r w:rsidRPr="00BC4A30">
        <w:t xml:space="preserve"> </w:t>
      </w:r>
      <w:r w:rsidR="00DF5EB1" w:rsidRPr="00BC4A30">
        <w:fldChar w:fldCharType="begin"/>
      </w:r>
      <w:r w:rsidR="00320458">
        <w:instrText xml:space="preserve"> ADDIN EN.CITE &lt;EndNote&gt;&lt;Cite ExcludeAuth="1"&gt;&lt;Author&gt;Zhu&lt;/Author&gt;&lt;Year&gt;2008&lt;/Year&gt;&lt;RecNum&gt;244&lt;/RecNum&gt;&lt;DisplayText&gt;(2008b)&lt;/DisplayText&gt;&lt;record&gt;&lt;rec-number&gt;244&lt;/rec-number&gt;&lt;foreign-keys&gt;&lt;key app="EN" db-id="05ssdaw2cf0zvye5xvo5z9ww0xdpfstrdtew" timestamp="1469615464"&gt;244&lt;/key&gt;&lt;/foreign-keys&gt;&lt;ref-type name="Journal Article"&gt;17&lt;/ref-type&gt;&lt;contributors&gt;&lt;authors&gt;&lt;author&gt;Zhu, J. C.&lt;/author&gt;&lt;author&gt;Yan, T. D.&lt;/author&gt;&lt;author&gt;Morris, D. L.&lt;/author&gt;&lt;/authors&gt;&lt;/contributors&gt;&lt;auth-address&gt;Department of Surgery, St George Hospital, University of New South Wales, Sydney, NSW 2217, Australia.&lt;/auth-address&gt;&lt;titles&gt;&lt;title&gt;A systematic review of radiofrequency ablation for lung tumors&lt;/title&gt;&lt;secondary-title&gt;Ann Surg Oncol&lt;/secondary-title&gt;&lt;alt-title&gt;Annals of surgical oncology&lt;/alt-title&gt;&lt;/titles&gt;&lt;periodical&gt;&lt;full-title&gt;Ann Surg Oncol&lt;/full-title&gt;&lt;abbr-1&gt;Annals of surgical oncology&lt;/abbr-1&gt;&lt;/periodical&gt;&lt;alt-periodical&gt;&lt;full-title&gt;Ann Surg Oncol&lt;/full-title&gt;&lt;abbr-1&gt;Annals of surgical oncology&lt;/abbr-1&gt;&lt;/alt-periodical&gt;&lt;pages&gt;1765-74&lt;/pages&gt;&lt;volume&gt;15&lt;/volume&gt;&lt;number&gt;6&lt;/number&gt;&lt;edition&gt;2008/03/28&lt;/edition&gt;&lt;keywords&gt;&lt;keyword&gt;*Catheter Ablation&lt;/keyword&gt;&lt;keyword&gt;Humans&lt;/keyword&gt;&lt;keyword&gt;Lung Neoplasms/pathology/secondary/*therapy&lt;/keyword&gt;&lt;keyword&gt;Survival Analysis&lt;/keyword&gt;&lt;keyword&gt;Treatment Outcome&lt;/keyword&gt;&lt;/keywords&gt;&lt;dates&gt;&lt;year&gt;2008&lt;/year&gt;&lt;pub-dates&gt;&lt;date&gt;Jun&lt;/date&gt;&lt;/pub-dates&gt;&lt;/dates&gt;&lt;isbn&gt;1068-9265&lt;/isbn&gt;&lt;accession-num&gt;18368456&lt;/accession-num&gt;&lt;urls&gt;&lt;/urls&gt;&lt;electronic-resource-num&gt;10.1245/s10434-008-9848-7&lt;/electronic-resource-num&gt;&lt;remote-database-provider&gt;NLM&lt;/remote-database-provider&gt;&lt;language&gt;eng&lt;/language&gt;&lt;/record&gt;&lt;/Cite&gt;&lt;/EndNote&gt;</w:instrText>
      </w:r>
      <w:r w:rsidR="00DF5EB1" w:rsidRPr="00BC4A30">
        <w:fldChar w:fldCharType="separate"/>
      </w:r>
      <w:r w:rsidR="00320458">
        <w:rPr>
          <w:noProof/>
        </w:rPr>
        <w:t>(</w:t>
      </w:r>
      <w:hyperlink w:anchor="_ENREF_183" w:tooltip="Zhu, 2008 #244" w:history="1">
        <w:r w:rsidR="00320458">
          <w:rPr>
            <w:noProof/>
          </w:rPr>
          <w:t>2008b</w:t>
        </w:r>
      </w:hyperlink>
      <w:r w:rsidR="00320458">
        <w:rPr>
          <w:noProof/>
        </w:rPr>
        <w:t>)</w:t>
      </w:r>
      <w:r w:rsidR="00DF5EB1" w:rsidRPr="00BC4A30">
        <w:fldChar w:fldCharType="end"/>
      </w:r>
      <w:r w:rsidRPr="00BC4A30">
        <w:t xml:space="preserve">noted that many patients presenting with lung cancer have advanced disease at the time of diagnosis and, therefore, are not eligible for surgical </w:t>
      </w:r>
      <w:r w:rsidRPr="00804DAF">
        <w:t xml:space="preserve">resection </w:t>
      </w:r>
      <w:r w:rsidR="00E14908" w:rsidRPr="00804DAF">
        <w:fldChar w:fldCharType="begin">
          <w:fldData xml:space="preserve">PEVuZE5vdGU+PENpdGU+PEF1dGhvcj5EaWVuZW1hbm48L0F1dGhvcj48WWVhcj4yMDAxPC9ZZWFy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LXBlcmlvZGljYWw+PHBhZ2VzPjQ3OS04NTwvcGFnZXM+PHZvbHVtZT4zNTU8L3ZvbHVtZT48bnVt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</w:fldData>
        </w:fldChar>
      </w:r>
      <w:r w:rsidR="00194054">
        <w:instrText xml:space="preserve"> ADDIN EN.CITE </w:instrText>
      </w:r>
      <w:r w:rsidR="00194054">
        <w:fldChar w:fldCharType="begin">
          <w:fldData xml:space="preserve">PEVuZE5vdGU+PENpdGU+PEF1dGhvcj5EaWVuZW1hbm48L0F1dGhvcj48WWVhcj4yMDAxPC9ZZWFy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LXBlcmlvZGljYWw+PHBhZ2VzPjQ3OS04NTwvcGFnZXM+PHZvbHVtZT4zNTU8L3ZvbHVtZT48bnVt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</w:fldData>
        </w:fldChar>
      </w:r>
      <w:r w:rsidR="00194054">
        <w:instrText xml:space="preserve"> ADDIN EN.CITE.DATA </w:instrText>
      </w:r>
      <w:r w:rsidR="00194054">
        <w:fldChar w:fldCharType="end"/>
      </w:r>
      <w:r w:rsidR="00E14908" w:rsidRPr="00804DAF">
        <w:fldChar w:fldCharType="separate"/>
      </w:r>
      <w:r w:rsidR="00E14908" w:rsidRPr="00804DAF">
        <w:rPr>
          <w:noProof/>
        </w:rPr>
        <w:t>(</w:t>
      </w:r>
      <w:hyperlink w:anchor="_ENREF_39" w:tooltip="Dienemann, 2001 #201" w:history="1">
        <w:r w:rsidR="00320458" w:rsidRPr="00804DAF">
          <w:rPr>
            <w:noProof/>
          </w:rPr>
          <w:t>Dienemann 2001</w:t>
        </w:r>
      </w:hyperlink>
      <w:r w:rsidR="00E14908" w:rsidRPr="00804DAF">
        <w:rPr>
          <w:noProof/>
        </w:rPr>
        <w:t xml:space="preserve">; </w:t>
      </w:r>
      <w:hyperlink w:anchor="_ENREF_73" w:tooltip="Hoffman, 2000 #216" w:history="1">
        <w:r w:rsidR="00320458" w:rsidRPr="00804DAF">
          <w:rPr>
            <w:noProof/>
          </w:rPr>
          <w:t>Hoffman et al 2000</w:t>
        </w:r>
      </w:hyperlink>
      <w:r w:rsidR="00E14908" w:rsidRPr="00804DAF">
        <w:rPr>
          <w:noProof/>
        </w:rPr>
        <w:t>)</w:t>
      </w:r>
      <w:r w:rsidR="00E14908" w:rsidRPr="00804DAF">
        <w:fldChar w:fldCharType="end"/>
      </w:r>
      <w:r w:rsidRPr="00804DAF">
        <w:t>.</w:t>
      </w:r>
      <w:r w:rsidRPr="00BC4A30">
        <w:t xml:space="preserve"> </w:t>
      </w:r>
      <w:r w:rsidR="00A45197">
        <w:t>Many present with comorbiditie</w:t>
      </w:r>
      <w:r w:rsidR="00035B47">
        <w:t xml:space="preserve">s </w:t>
      </w:r>
      <w:r w:rsidR="00A45197">
        <w:t xml:space="preserve">which limits the feasibility of surgery </w:t>
      </w:r>
      <w:r w:rsidR="00E14908" w:rsidRPr="00804DAF">
        <w:fldChar w:fldCharType="begin"/>
      </w:r>
      <w:r w:rsidR="00194054">
        <w:instrText xml:space="preserve"> ADDIN EN.CITE &lt;EndNote&gt;&lt;Cite&gt;&lt;Author&gt;Pearson&lt;/Author&gt;&lt;Year&gt;1994&lt;/Year&gt;&lt;RecNum&gt;233&lt;/RecNum&gt;&lt;DisplayText&gt;(Pearson 1994)&lt;/DisplayText&gt;&lt;record&gt;&lt;rec-number&gt;233&lt;/rec-number&gt;&lt;foreign-keys&gt;&lt;key app="EN" db-id="05ssdaw2cf0zvye5xvo5z9ww0xdpfstrdtew" timestamp="1469615464"&gt;233&lt;/key&gt;&lt;/foreign-keys&gt;&lt;ref-type name="Journal Article"&gt;17&lt;/ref-type&gt;&lt;contributors&gt;&lt;authors&gt;&lt;author&gt;Pearson, F. G.&lt;/author&gt;&lt;/authors&gt;&lt;/contributors&gt;&lt;auth-address&gt;Toronto General Hospital, Ontario, Canada.&lt;/auth-address&gt;&lt;titles&gt;&lt;title&gt;Current status of surgical resection for lung cancer&lt;/title&gt;&lt;secondary-title&gt;Chest&lt;/secondary-title&gt;&lt;alt-title&gt;Chest&lt;/alt-title&gt;&lt;/titles&gt;&lt;periodical&gt;&lt;full-title&gt;Chest&lt;/full-title&gt;&lt;abbr-1&gt;Chest&lt;/abbr-1&gt;&lt;/periodical&gt;&lt;alt-periodical&gt;&lt;full-title&gt;Chest&lt;/full-title&gt;&lt;abbr-1&gt;Chest&lt;/abbr-1&gt;&lt;/alt-periodical&gt;&lt;pages&gt;337s-339s&lt;/pages&gt;&lt;volume&gt;106&lt;/volume&gt;&lt;number&gt;6 Suppl&lt;/number&gt;&lt;edition&gt;1994/12/01&lt;/edition&gt;&lt;keywords&gt;&lt;keyword&gt;Carcinoma, Non-Small-Cell Lung/pathology/surgery&lt;/keyword&gt;&lt;keyword&gt;Carcinoma, Small Cell/pathology/surgery&lt;/keyword&gt;&lt;keyword&gt;Humans&lt;/keyword&gt;&lt;keyword&gt;Lung Neoplasms/pathology/*surgery&lt;/keyword&gt;&lt;keyword&gt;Lymphatic Metastasis&lt;/keyword&gt;&lt;keyword&gt;Mediastinum&lt;/keyword&gt;&lt;keyword&gt;Neoplasm Staging&lt;/keyword&gt;&lt;keyword&gt;Pneumonectomy&lt;/keyword&gt;&lt;keyword&gt;Prognosis&lt;/keyword&gt;&lt;/keywords&gt;&lt;dates&gt;&lt;year&gt;1994&lt;/year&gt;&lt;pub-dates&gt;&lt;date&gt;Dec&lt;/date&gt;&lt;/pub-dates&gt;&lt;/dates&gt;&lt;isbn&gt;0012-3692 (Print)&amp;#xD;0012-3692&lt;/isbn&gt;&lt;accession-num&gt;7988259&lt;/accession-num&gt;&lt;urls&gt;&lt;/urls&gt;&lt;remote-database-provider&gt;NLM&lt;/remote-database-provider&gt;&lt;language&gt;eng&lt;/language&gt;&lt;/record&gt;&lt;/Cite&gt;&lt;/EndNote&gt;</w:instrText>
      </w:r>
      <w:r w:rsidR="00E14908" w:rsidRPr="00804DAF">
        <w:fldChar w:fldCharType="separate"/>
      </w:r>
      <w:r w:rsidR="00E14908" w:rsidRPr="00804DAF">
        <w:rPr>
          <w:noProof/>
        </w:rPr>
        <w:t>(</w:t>
      </w:r>
      <w:hyperlink w:anchor="_ENREF_117" w:tooltip="Pearson, 1994 #233" w:history="1">
        <w:r w:rsidR="00320458" w:rsidRPr="00804DAF">
          <w:rPr>
            <w:noProof/>
          </w:rPr>
          <w:t>Pearson 1994</w:t>
        </w:r>
      </w:hyperlink>
      <w:r w:rsidR="00E14908" w:rsidRPr="00804DAF">
        <w:rPr>
          <w:noProof/>
        </w:rPr>
        <w:t>)</w:t>
      </w:r>
      <w:r w:rsidR="00E14908" w:rsidRPr="00804DAF">
        <w:fldChar w:fldCharType="end"/>
      </w:r>
      <w:r w:rsidR="00A45197" w:rsidRPr="00804DAF">
        <w:t>.</w:t>
      </w:r>
      <w:r w:rsidRPr="00BC4A30">
        <w:t xml:space="preserve"> </w:t>
      </w:r>
      <w:r w:rsidRPr="00FF6A6F">
        <w:t xml:space="preserve">Barton </w:t>
      </w:r>
      <w:r w:rsidR="00A54FA1" w:rsidRPr="00FF6A6F">
        <w:fldChar w:fldCharType="begin"/>
      </w:r>
      <w:r w:rsidR="006A4E2A">
        <w:instrText xml:space="preserve"> ADDIN EN.CITE &lt;EndNote&gt;&lt;Cite ExcludeAuth="1"&gt;&lt;Author&gt;Barton&lt;/Author&gt;&lt;Year&gt;2013&lt;/Year&gt;&lt;RecNum&gt;267&lt;/RecNum&gt;&lt;DisplayText&gt;(2013)&lt;/DisplayText&gt;&lt;record&gt;&lt;rec-number&gt;267&lt;/rec-number&gt;&lt;foreign-keys&gt;&lt;key app="EN" db-id="05ssdaw2cf0zvye5xvo5z9ww0xdpfstrdtew" timestamp="1472537894"&gt;267&lt;/key&gt;&lt;/foreign-keys&gt;&lt;ref-type name="Web Page"&gt;12&lt;/ref-type&gt;&lt;contributors&gt;&lt;authors&gt;&lt;author&gt;Barton, M., Jacob S., Shafig J., Wong K., Thompson S., Hanna T., Delaney G.,&lt;/author&gt;&lt;/authors&gt;&lt;/contributors&gt;&lt;titles&gt;&lt;title&gt;National &amp;amp; International Benchmarks set following study of delivery of Radiotherapy Services: ‘Review of Radiotherapy Optimal Utilisation Rates’. Collaboration for Cancer Outcomes Research and Evaluation (CCORE)&lt;/title&gt;&lt;/titles&gt;&lt;volume&gt;2016&lt;/volume&gt;&lt;number&gt;30 August&lt;/number&gt;&lt;dates&gt;&lt;year&gt;2013&lt;/year&gt;&lt;pub-dates&gt;&lt;date&gt;unknown&lt;/date&gt;&lt;/pub-dates&gt;&lt;/dates&gt;&lt;publisher&gt;Liverpool Hospital&lt;/publisher&gt;&lt;urls&gt;&lt;related-urls&gt;&lt;url&gt;www.inghaminstitute.org.au/sites/default/files/RTU%20Review%20Final%20Dec%202012%20v2%2019032013.pdf&lt;/url&gt;&lt;/related-urls&gt;&lt;/urls&gt;&lt;/record&gt;&lt;/Cite&gt;&lt;/EndNote&gt;</w:instrText>
      </w:r>
      <w:r w:rsidR="00A54FA1" w:rsidRPr="00FF6A6F">
        <w:fldChar w:fldCharType="separate"/>
      </w:r>
      <w:r w:rsidR="00650769">
        <w:rPr>
          <w:noProof/>
        </w:rPr>
        <w:t>(</w:t>
      </w:r>
      <w:hyperlink w:anchor="_ENREF_17" w:tooltip="Barton, 2013 #267" w:history="1">
        <w:r w:rsidR="00320458">
          <w:rPr>
            <w:noProof/>
          </w:rPr>
          <w:t>2013</w:t>
        </w:r>
      </w:hyperlink>
      <w:r w:rsidR="00650769">
        <w:rPr>
          <w:noProof/>
        </w:rPr>
        <w:t>)</w:t>
      </w:r>
      <w:r w:rsidR="00A54FA1" w:rsidRPr="00FF6A6F">
        <w:fldChar w:fldCharType="end"/>
      </w:r>
      <w:r w:rsidRPr="00FF6A6F">
        <w:t xml:space="preserve"> specified that the</w:t>
      </w:r>
      <w:r w:rsidRPr="00BC4A30">
        <w:t xml:space="preserve"> patient population not electing or suitable for surgery includes those with NSC Stage I-II showing good performance that do not undergo surgery (10% </w:t>
      </w:r>
      <w:r w:rsidR="00F00D1D">
        <w:t xml:space="preserve">of </w:t>
      </w:r>
      <w:r w:rsidRPr="00BC4A30">
        <w:t xml:space="preserve">all lung cancer cases) and NSC Stage I-II cases with poor performance (5% </w:t>
      </w:r>
      <w:r w:rsidR="00F00D1D">
        <w:t xml:space="preserve">of </w:t>
      </w:r>
      <w:r w:rsidRPr="00BC4A30">
        <w:t>all lung cancer cases). A proportion of these patient groups would be suitable for MTA where tumour size or other factors hinder surgical resectability</w:t>
      </w:r>
      <w:r w:rsidR="00504CF3">
        <w:t>.</w:t>
      </w:r>
    </w:p>
    <w:p w14:paraId="40FE041C" w14:textId="1EB13DFD" w:rsidR="00E56FF7" w:rsidRPr="00BC4A30" w:rsidRDefault="00A941E9" w:rsidP="00E56FF7">
      <w:r w:rsidRPr="00BC4A30">
        <w:t xml:space="preserve">Clinical input </w:t>
      </w:r>
      <w:r w:rsidR="00E56FF7" w:rsidRPr="00BC4A30">
        <w:t xml:space="preserve">suggests that MTA of lung tumours is ideally suited to </w:t>
      </w:r>
      <w:r w:rsidR="005B16C7">
        <w:t xml:space="preserve">primary </w:t>
      </w:r>
      <w:r w:rsidR="00E56FF7" w:rsidRPr="00BC4A30">
        <w:t xml:space="preserve">tumours that do not exceed 4.5 to 5.0 cm, with 5 lesions per hemithorax </w:t>
      </w:r>
      <w:r w:rsidR="00DF5EB1" w:rsidRPr="00BC4A30">
        <w:fldChar w:fldCharType="begin">
          <w:fldData xml:space="preserve">PEVuZE5vdGU+PENpdGU+PEF1dGhvcj5HaWxsYW1zPC9BdXRob3I+PFllYXI+MjAxMzwvWWVhcj48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</w:fldData>
        </w:fldChar>
      </w:r>
      <w:r w:rsidR="00194054">
        <w:instrText xml:space="preserve"> ADDIN EN.CITE </w:instrText>
      </w:r>
      <w:r w:rsidR="00194054">
        <w:fldChar w:fldCharType="begin">
          <w:fldData xml:space="preserve">PEVuZE5vdGU+PENpdGU+PEF1dGhvcj5HaWxsYW1zPC9BdXRob3I+PFllYXI+MjAxMzwvWWVhcj48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</w:fldData>
        </w:fldChar>
      </w:r>
      <w:r w:rsidR="00194054">
        <w:instrText xml:space="preserve"> ADDIN EN.CITE.DATA </w:instrText>
      </w:r>
      <w:r w:rsidR="00194054">
        <w:fldChar w:fldCharType="end"/>
      </w:r>
      <w:r w:rsidR="00DF5EB1" w:rsidRPr="00BC4A30">
        <w:fldChar w:fldCharType="separate"/>
      </w:r>
      <w:r w:rsidR="00DF5EB1" w:rsidRPr="00BC4A30">
        <w:rPr>
          <w:noProof/>
        </w:rPr>
        <w:t>(</w:t>
      </w:r>
      <w:hyperlink w:anchor="_ENREF_56" w:tooltip="Gillams, 2013 #46" w:history="1">
        <w:r w:rsidR="00320458" w:rsidRPr="00BC4A30">
          <w:rPr>
            <w:noProof/>
          </w:rPr>
          <w:t>Gillams et al 2013</w:t>
        </w:r>
      </w:hyperlink>
      <w:r w:rsidR="00DF5EB1" w:rsidRPr="00BC4A30">
        <w:rPr>
          <w:noProof/>
        </w:rPr>
        <w:t xml:space="preserve">; </w:t>
      </w:r>
      <w:hyperlink w:anchor="_ENREF_146" w:tooltip="Smith, 2015 #54" w:history="1">
        <w:r w:rsidR="00320458" w:rsidRPr="00BC4A30">
          <w:rPr>
            <w:noProof/>
          </w:rPr>
          <w:t>Smith and Jennings 2015</w:t>
        </w:r>
      </w:hyperlink>
      <w:r w:rsidR="00DF5EB1" w:rsidRPr="00BC4A30">
        <w:rPr>
          <w:noProof/>
        </w:rPr>
        <w:t>)</w:t>
      </w:r>
      <w:r w:rsidR="00DF5EB1" w:rsidRPr="00BC4A30">
        <w:fldChar w:fldCharType="end"/>
      </w:r>
      <w:r w:rsidR="00E56FF7" w:rsidRPr="00BC4A30">
        <w:t>. This patient grouping, denoted population one in the assessment, includes tumour staging NSCLC T1a-T2b, N0, M0 (up to and including stage IIa). Comparators to MTA in this group include RFA and current best practice radiotherapy with or without chemotherapy. MTA would be delivered on an inpatient basis and radiotherapy in an outpatient setting. The population group is further stratified by lesion number as a graduating fee scale based on lesion groupings of &lt;3 lesions, 3</w:t>
      </w:r>
      <w:r w:rsidR="00691955" w:rsidRPr="00691955">
        <w:t>–</w:t>
      </w:r>
      <w:r w:rsidR="00E56FF7" w:rsidRPr="00BC4A30">
        <w:t>5 and more than 5 has been proposed. The comparators remain co</w:t>
      </w:r>
      <w:r w:rsidR="00691955">
        <w:t>nstant</w:t>
      </w:r>
      <w:r w:rsidR="00E56FF7" w:rsidRPr="00BC4A30">
        <w:t xml:space="preserve"> across these lesion groupings as per </w:t>
      </w:r>
      <w:r w:rsidR="00E56FF7" w:rsidRPr="00BC4A30">
        <w:fldChar w:fldCharType="begin"/>
      </w:r>
      <w:r w:rsidR="00E56FF7" w:rsidRPr="00BC4A30">
        <w:instrText xml:space="preserve"> REF _Ref457411091 \h </w:instrText>
      </w:r>
      <w:r w:rsidR="00796EF0" w:rsidRPr="00BC4A30">
        <w:instrText xml:space="preserve"> \* MERGEFORMAT </w:instrText>
      </w:r>
      <w:r w:rsidR="00E56FF7" w:rsidRPr="00BC4A30">
        <w:fldChar w:fldCharType="separate"/>
      </w:r>
      <w:r w:rsidR="00D170A5" w:rsidRPr="00BC4A30">
        <w:t xml:space="preserve">Table </w:t>
      </w:r>
      <w:r w:rsidR="00D170A5">
        <w:rPr>
          <w:noProof/>
        </w:rPr>
        <w:t>64</w:t>
      </w:r>
      <w:r w:rsidR="00E56FF7" w:rsidRPr="00BC4A30">
        <w:fldChar w:fldCharType="end"/>
      </w:r>
      <w:r w:rsidR="00E56FF7" w:rsidRPr="00BC4A30">
        <w:t>.</w:t>
      </w:r>
    </w:p>
    <w:p w14:paraId="6BF08D1F" w14:textId="77777777" w:rsidR="00E56FF7" w:rsidRPr="00BC4A30" w:rsidRDefault="00E56FF7" w:rsidP="00E56FF7">
      <w:pPr>
        <w:pStyle w:val="Caption"/>
        <w:keepNext/>
      </w:pPr>
      <w:bookmarkStart w:id="374" w:name="_Ref457411091"/>
      <w:bookmarkStart w:id="375" w:name="_Toc460514722"/>
      <w:r w:rsidRPr="00BC4A30">
        <w:t xml:space="preserve">Table </w:t>
      </w:r>
      <w:fldSimple w:instr=" SEQ Table \* ARABIC ">
        <w:r w:rsidR="00D170A5">
          <w:rPr>
            <w:noProof/>
          </w:rPr>
          <w:t>64</w:t>
        </w:r>
      </w:fldSimple>
      <w:bookmarkEnd w:id="374"/>
      <w:r w:rsidRPr="00BC4A30">
        <w:tab/>
        <w:t>Populations and comparators</w:t>
      </w:r>
      <w:bookmarkEnd w:id="375"/>
    </w:p>
    <w:tbl>
      <w:tblPr>
        <w:tblStyle w:val="TableGrid"/>
        <w:tblW w:w="0" w:type="auto"/>
        <w:tblLayout w:type="fixed"/>
        <w:tblLook w:val="04A0" w:firstRow="1" w:lastRow="0" w:firstColumn="1" w:lastColumn="0" w:noHBand="0" w:noVBand="1"/>
        <w:tblCaption w:val="Table D.2.1"/>
        <w:tblDescription w:val="Population and comparators"/>
      </w:tblPr>
      <w:tblGrid>
        <w:gridCol w:w="2376"/>
        <w:gridCol w:w="5387"/>
        <w:gridCol w:w="1253"/>
      </w:tblGrid>
      <w:tr w:rsidR="00E56FF7" w:rsidRPr="00BC4A30" w14:paraId="4347A99D" w14:textId="77777777" w:rsidTr="009F4AF5">
        <w:trPr>
          <w:cantSplit/>
          <w:tblHeader/>
        </w:trPr>
        <w:tc>
          <w:tcPr>
            <w:tcW w:w="2376" w:type="dxa"/>
            <w:shd w:val="clear" w:color="auto" w:fill="D9D9D9" w:themeFill="background1" w:themeFillShade="D9"/>
            <w:vAlign w:val="bottom"/>
          </w:tcPr>
          <w:p w14:paraId="0662CE22" w14:textId="77777777" w:rsidR="00E56FF7" w:rsidRPr="009A2975" w:rsidRDefault="00E56FF7" w:rsidP="00AD0538">
            <w:pPr>
              <w:pStyle w:val="Tabletext1"/>
              <w:spacing w:before="50" w:after="50"/>
              <w:ind w:left="0"/>
              <w:rPr>
                <w:b/>
              </w:rPr>
            </w:pPr>
            <w:r w:rsidRPr="009A2975">
              <w:rPr>
                <w:b/>
              </w:rPr>
              <w:t>Population</w:t>
            </w:r>
          </w:p>
        </w:tc>
        <w:tc>
          <w:tcPr>
            <w:tcW w:w="5387" w:type="dxa"/>
            <w:shd w:val="clear" w:color="auto" w:fill="D9D9D9" w:themeFill="background1" w:themeFillShade="D9"/>
            <w:vAlign w:val="bottom"/>
          </w:tcPr>
          <w:p w14:paraId="178AA92C" w14:textId="77777777" w:rsidR="00E56FF7" w:rsidRPr="009A2975" w:rsidRDefault="00E56FF7" w:rsidP="00AD0538">
            <w:pPr>
              <w:pStyle w:val="Tabletext1"/>
              <w:spacing w:before="50" w:after="50"/>
              <w:ind w:left="0"/>
              <w:rPr>
                <w:b/>
              </w:rPr>
            </w:pPr>
            <w:r w:rsidRPr="009A2975">
              <w:rPr>
                <w:b/>
              </w:rPr>
              <w:t>Stratification by Number of Lesions and Tumour Size</w:t>
            </w:r>
          </w:p>
        </w:tc>
        <w:tc>
          <w:tcPr>
            <w:tcW w:w="1253" w:type="dxa"/>
            <w:shd w:val="clear" w:color="auto" w:fill="D9D9D9" w:themeFill="background1" w:themeFillShade="D9"/>
            <w:vAlign w:val="bottom"/>
          </w:tcPr>
          <w:p w14:paraId="3D88C704" w14:textId="77777777" w:rsidR="00E56FF7" w:rsidRPr="009A2975" w:rsidRDefault="00E56FF7" w:rsidP="00AD0538">
            <w:pPr>
              <w:pStyle w:val="Tabletext1"/>
              <w:spacing w:before="50" w:after="50"/>
              <w:ind w:left="0"/>
              <w:rPr>
                <w:b/>
              </w:rPr>
            </w:pPr>
            <w:r w:rsidRPr="009A2975">
              <w:rPr>
                <w:b/>
              </w:rPr>
              <w:t>Comparator</w:t>
            </w:r>
          </w:p>
        </w:tc>
      </w:tr>
      <w:tr w:rsidR="00192EDA" w:rsidRPr="00BC4A30" w14:paraId="66B7B2BA" w14:textId="77777777" w:rsidTr="009F4AF5">
        <w:trPr>
          <w:cantSplit/>
        </w:trPr>
        <w:tc>
          <w:tcPr>
            <w:tcW w:w="2376" w:type="dxa"/>
          </w:tcPr>
          <w:p w14:paraId="03B57504" w14:textId="07AFC233" w:rsidR="00192EDA" w:rsidRPr="00192EDA" w:rsidRDefault="00192EDA" w:rsidP="00AD0538">
            <w:pPr>
              <w:pStyle w:val="Tabletext1"/>
              <w:spacing w:before="50" w:after="50"/>
              <w:ind w:left="0"/>
            </w:pPr>
            <w:r w:rsidRPr="00192EDA">
              <w:t>Patients with early stage NSCLC who are not eligible for surgical resection, and who are receiving treatment with curative intent.</w:t>
            </w:r>
          </w:p>
        </w:tc>
        <w:tc>
          <w:tcPr>
            <w:tcW w:w="5387" w:type="dxa"/>
          </w:tcPr>
          <w:p w14:paraId="4754C7C5" w14:textId="77777777" w:rsidR="00192EDA" w:rsidRDefault="00192EDA" w:rsidP="00AD0538">
            <w:pPr>
              <w:pStyle w:val="Tabletext1"/>
              <w:spacing w:before="50" w:after="50"/>
              <w:ind w:left="0"/>
            </w:pPr>
            <w:r w:rsidRPr="00192EDA">
              <w:t>&lt;3 lesions. Clinical input suggests that MTA of lung tumours is ideally suited to tumours that do not exceed 4.5 to 5.0 cm, which accounts for a 0.5 cm circumferential safety margin</w:t>
            </w:r>
          </w:p>
          <w:p w14:paraId="7E264335" w14:textId="7E207D8A" w:rsidR="00192EDA" w:rsidRDefault="00192EDA" w:rsidP="00AD0538">
            <w:pPr>
              <w:pStyle w:val="Tabletext1"/>
              <w:spacing w:before="50" w:after="50"/>
              <w:ind w:left="0"/>
            </w:pPr>
            <w:r w:rsidRPr="00192EDA">
              <w:t>3</w:t>
            </w:r>
            <w:r w:rsidR="00D35E9C">
              <w:t>–</w:t>
            </w:r>
            <w:r w:rsidRPr="00192EDA">
              <w:t>5 lesions.</w:t>
            </w:r>
          </w:p>
          <w:p w14:paraId="6356D20C" w14:textId="3366C01B" w:rsidR="00192EDA" w:rsidRPr="00192EDA" w:rsidRDefault="00192EDA" w:rsidP="00AD0538">
            <w:pPr>
              <w:pStyle w:val="Tabletext1"/>
              <w:spacing w:before="50" w:after="50"/>
              <w:ind w:left="0"/>
            </w:pPr>
            <w:r w:rsidRPr="00192EDA">
              <w:t xml:space="preserve">5&gt; lesions. Maximally 5 lesions per hemithorax has been widely adopted;(Gillams et al 2013; Smith </w:t>
            </w:r>
            <w:r w:rsidR="0033512D">
              <w:t>&amp;</w:t>
            </w:r>
            <w:r w:rsidRPr="00192EDA">
              <w:t xml:space="preserve"> Jennings 2015)</w:t>
            </w:r>
          </w:p>
        </w:tc>
        <w:tc>
          <w:tcPr>
            <w:tcW w:w="1253" w:type="dxa"/>
          </w:tcPr>
          <w:p w14:paraId="14C50E06" w14:textId="30C7C792" w:rsidR="00192EDA" w:rsidRPr="00BC4A30" w:rsidRDefault="00192EDA" w:rsidP="00AD0538">
            <w:pPr>
              <w:pStyle w:val="Tabletext1"/>
              <w:spacing w:before="50" w:after="50"/>
              <w:ind w:left="0"/>
            </w:pPr>
            <w:r w:rsidRPr="00192EDA">
              <w:t>Radiotherapy or RFA</w:t>
            </w:r>
          </w:p>
        </w:tc>
      </w:tr>
      <w:tr w:rsidR="00192EDA" w:rsidRPr="00BC4A30" w14:paraId="536197F2" w14:textId="77777777" w:rsidTr="009F4AF5">
        <w:trPr>
          <w:cantSplit/>
        </w:trPr>
        <w:tc>
          <w:tcPr>
            <w:tcW w:w="2376" w:type="dxa"/>
          </w:tcPr>
          <w:p w14:paraId="3D200140" w14:textId="24A7A20E" w:rsidR="00192EDA" w:rsidRPr="00192EDA" w:rsidRDefault="00192EDA" w:rsidP="00AD0538">
            <w:pPr>
              <w:pStyle w:val="Tabletext1"/>
              <w:spacing w:before="50" w:after="50"/>
              <w:ind w:left="0"/>
            </w:pPr>
            <w:r w:rsidRPr="00192EDA">
              <w:t>Patients with pulmonary metastases, in whom the primary tumour is under control, and who are receiving treatment with curative intent (oligometastatic disease)</w:t>
            </w:r>
          </w:p>
        </w:tc>
        <w:tc>
          <w:tcPr>
            <w:tcW w:w="5387" w:type="dxa"/>
          </w:tcPr>
          <w:p w14:paraId="736417B4" w14:textId="77777777" w:rsidR="00192EDA" w:rsidRDefault="00192EDA" w:rsidP="00AD0538">
            <w:pPr>
              <w:pStyle w:val="Tabletext1"/>
              <w:spacing w:before="50" w:after="50"/>
              <w:ind w:left="0"/>
            </w:pPr>
            <w:r w:rsidRPr="00192EDA">
              <w:t>Clinical input suggests that MTA of lung tumours is ideally suited to tumours that do not exceed 4.5 to 5.0 cm, which accounts for a 0.5 cm circumferential safety margin</w:t>
            </w:r>
          </w:p>
          <w:p w14:paraId="04B11AF5" w14:textId="3C991421" w:rsidR="00192EDA" w:rsidRDefault="00192EDA" w:rsidP="00AD0538">
            <w:pPr>
              <w:pStyle w:val="Tabletext1"/>
              <w:spacing w:before="50" w:after="50"/>
              <w:ind w:left="0"/>
            </w:pPr>
            <w:r w:rsidRPr="00192EDA">
              <w:t>3</w:t>
            </w:r>
            <w:r w:rsidR="00D35E9C">
              <w:t>–</w:t>
            </w:r>
            <w:r>
              <w:t>5 lesions</w:t>
            </w:r>
          </w:p>
          <w:p w14:paraId="0FDCC9F9" w14:textId="5114AD61" w:rsidR="00192EDA" w:rsidRPr="00192EDA" w:rsidRDefault="00C740C5" w:rsidP="00AD0538">
            <w:pPr>
              <w:pStyle w:val="Tabletext1"/>
              <w:spacing w:before="50" w:after="50"/>
              <w:ind w:left="0"/>
            </w:pPr>
            <w:r>
              <w:t>A</w:t>
            </w:r>
            <w:r w:rsidR="00192EDA" w:rsidRPr="00192EDA">
              <w:t xml:space="preserve"> soft rule of </w:t>
            </w:r>
            <w:r>
              <w:t xml:space="preserve">max </w:t>
            </w:r>
            <w:r w:rsidR="00192EDA" w:rsidRPr="00192EDA">
              <w:t>5 lesions per hem</w:t>
            </w:r>
            <w:r w:rsidR="000769E1">
              <w:t>ithorax</w:t>
            </w:r>
            <w:r>
              <w:t>,</w:t>
            </w:r>
            <w:r w:rsidR="000769E1">
              <w:t xml:space="preserve"> </w:t>
            </w:r>
            <w:r>
              <w:t xml:space="preserve">per MTA procedure, </w:t>
            </w:r>
            <w:r w:rsidR="000769E1">
              <w:t xml:space="preserve">has been widely adopted </w:t>
            </w:r>
            <w:r w:rsidR="00192EDA" w:rsidRPr="00192EDA">
              <w:t xml:space="preserve">(Gillams et al 2013; Smith </w:t>
            </w:r>
            <w:r w:rsidR="0033512D">
              <w:t>&amp;</w:t>
            </w:r>
            <w:r w:rsidR="00192EDA" w:rsidRPr="00192EDA">
              <w:t xml:space="preserve"> Jennings 2015)</w:t>
            </w:r>
          </w:p>
        </w:tc>
        <w:tc>
          <w:tcPr>
            <w:tcW w:w="1253" w:type="dxa"/>
          </w:tcPr>
          <w:p w14:paraId="243D0124" w14:textId="4A1633EA" w:rsidR="00192EDA" w:rsidRPr="00192EDA" w:rsidRDefault="00192EDA" w:rsidP="00AD0538">
            <w:pPr>
              <w:pStyle w:val="Tabletext1"/>
              <w:spacing w:before="50" w:after="50"/>
              <w:ind w:left="0"/>
            </w:pPr>
            <w:r w:rsidRPr="00192EDA">
              <w:t>Radiotherapy, surgery or RFA</w:t>
            </w:r>
          </w:p>
        </w:tc>
      </w:tr>
      <w:tr w:rsidR="00192EDA" w:rsidRPr="00BC4A30" w14:paraId="39291EF0" w14:textId="77777777" w:rsidTr="009F4AF5">
        <w:trPr>
          <w:cantSplit/>
        </w:trPr>
        <w:tc>
          <w:tcPr>
            <w:tcW w:w="2376" w:type="dxa"/>
          </w:tcPr>
          <w:p w14:paraId="37672B04" w14:textId="78E05490" w:rsidR="00192EDA" w:rsidRPr="00192EDA" w:rsidRDefault="00192EDA" w:rsidP="00AD0538">
            <w:pPr>
              <w:pStyle w:val="Tabletext1"/>
              <w:spacing w:before="50" w:after="50"/>
              <w:ind w:left="0"/>
            </w:pPr>
            <w:r w:rsidRPr="00192EDA">
              <w:lastRenderedPageBreak/>
              <w:t>Patients with NSCLC or pulmonary metastases, who are receiving palliative treatment</w:t>
            </w:r>
          </w:p>
        </w:tc>
        <w:tc>
          <w:tcPr>
            <w:tcW w:w="5387" w:type="dxa"/>
          </w:tcPr>
          <w:p w14:paraId="0BE9FD9E" w14:textId="73F93D51" w:rsidR="00192EDA" w:rsidRPr="00192EDA" w:rsidRDefault="00192EDA" w:rsidP="00AD0538">
            <w:pPr>
              <w:pStyle w:val="Tabletext1"/>
              <w:spacing w:before="50" w:after="50"/>
              <w:ind w:left="0"/>
            </w:pPr>
            <w:r w:rsidRPr="00192EDA">
              <w:t>Not included in economic evaluation</w:t>
            </w:r>
          </w:p>
        </w:tc>
        <w:tc>
          <w:tcPr>
            <w:tcW w:w="1253" w:type="dxa"/>
          </w:tcPr>
          <w:p w14:paraId="2AB33C9D" w14:textId="77777777" w:rsidR="00192EDA" w:rsidRPr="00192EDA" w:rsidRDefault="00192EDA" w:rsidP="00AD0538">
            <w:pPr>
              <w:pStyle w:val="Tabletext1"/>
              <w:spacing w:before="50" w:after="50"/>
            </w:pPr>
          </w:p>
        </w:tc>
      </w:tr>
    </w:tbl>
    <w:p w14:paraId="570A6452" w14:textId="0B2EA10A" w:rsidR="00E56FF7" w:rsidRDefault="001D5452" w:rsidP="00E56FF7">
      <w:pPr>
        <w:pStyle w:val="Tablenotes0"/>
        <w:rPr>
          <w:sz w:val="20"/>
          <w:szCs w:val="18"/>
        </w:rPr>
      </w:pPr>
      <w:r>
        <w:rPr>
          <w:sz w:val="20"/>
          <w:szCs w:val="18"/>
        </w:rPr>
        <w:t>&lt;</w:t>
      </w:r>
      <w:r w:rsidR="009B6179">
        <w:rPr>
          <w:sz w:val="20"/>
          <w:szCs w:val="18"/>
        </w:rPr>
        <w:t xml:space="preserve"> </w:t>
      </w:r>
      <w:r>
        <w:rPr>
          <w:sz w:val="20"/>
          <w:szCs w:val="18"/>
        </w:rPr>
        <w:t>MTA=</w:t>
      </w:r>
      <w:r w:rsidR="00E56FF7" w:rsidRPr="00BC4A30">
        <w:rPr>
          <w:sz w:val="20"/>
          <w:szCs w:val="18"/>
        </w:rPr>
        <w:t xml:space="preserve"> Microwave tissue ablation</w:t>
      </w:r>
      <w:r>
        <w:rPr>
          <w:sz w:val="20"/>
          <w:szCs w:val="18"/>
        </w:rPr>
        <w:t xml:space="preserve">; </w:t>
      </w:r>
      <w:r w:rsidR="00CA6DFD" w:rsidRPr="00BC4A30">
        <w:rPr>
          <w:sz w:val="20"/>
          <w:szCs w:val="18"/>
        </w:rPr>
        <w:t>NSCLC</w:t>
      </w:r>
      <w:r>
        <w:rPr>
          <w:sz w:val="20"/>
          <w:szCs w:val="18"/>
        </w:rPr>
        <w:t>=</w:t>
      </w:r>
      <w:r w:rsidR="00CA6DFD" w:rsidRPr="00BC4A30">
        <w:rPr>
          <w:sz w:val="20"/>
          <w:szCs w:val="18"/>
        </w:rPr>
        <w:t xml:space="preserve"> Non-small cell lung cancer</w:t>
      </w:r>
      <w:r>
        <w:rPr>
          <w:sz w:val="20"/>
          <w:szCs w:val="18"/>
        </w:rPr>
        <w:t>;</w:t>
      </w:r>
      <w:r w:rsidR="00CA6DFD" w:rsidRPr="00BC4A30">
        <w:rPr>
          <w:sz w:val="20"/>
          <w:szCs w:val="18"/>
        </w:rPr>
        <w:t xml:space="preserve"> RFA</w:t>
      </w:r>
      <w:r>
        <w:rPr>
          <w:sz w:val="20"/>
          <w:szCs w:val="18"/>
        </w:rPr>
        <w:t>=</w:t>
      </w:r>
      <w:r w:rsidR="00CA6DFD" w:rsidRPr="00BC4A30">
        <w:rPr>
          <w:sz w:val="20"/>
          <w:szCs w:val="18"/>
        </w:rPr>
        <w:t xml:space="preserve"> Radiofrequency ablation</w:t>
      </w:r>
      <w:r>
        <w:rPr>
          <w:sz w:val="20"/>
          <w:szCs w:val="18"/>
        </w:rPr>
        <w:t>;</w:t>
      </w:r>
      <w:r w:rsidR="00CA6DFD" w:rsidRPr="00BC4A30">
        <w:rPr>
          <w:sz w:val="20"/>
          <w:szCs w:val="18"/>
        </w:rPr>
        <w:t xml:space="preserve"> SBRT</w:t>
      </w:r>
      <w:r>
        <w:rPr>
          <w:sz w:val="20"/>
          <w:szCs w:val="18"/>
        </w:rPr>
        <w:t>=</w:t>
      </w:r>
      <w:r w:rsidR="00CA6DFD" w:rsidRPr="00BC4A30">
        <w:rPr>
          <w:sz w:val="20"/>
          <w:szCs w:val="18"/>
        </w:rPr>
        <w:t xml:space="preserve"> Ster</w:t>
      </w:r>
      <w:r>
        <w:rPr>
          <w:sz w:val="20"/>
          <w:szCs w:val="18"/>
        </w:rPr>
        <w:t>eotactic body radiation therapy</w:t>
      </w:r>
      <w:r w:rsidR="009B6179">
        <w:rPr>
          <w:sz w:val="20"/>
          <w:szCs w:val="18"/>
        </w:rPr>
        <w:t xml:space="preserve"> </w:t>
      </w:r>
      <w:r>
        <w:rPr>
          <w:sz w:val="20"/>
          <w:szCs w:val="18"/>
        </w:rPr>
        <w:t>&gt;</w:t>
      </w:r>
    </w:p>
    <w:p w14:paraId="4DD6E8C3" w14:textId="4A37E9E6" w:rsidR="00E56FF7" w:rsidRPr="00BC4A30" w:rsidRDefault="00E56FF7" w:rsidP="0070333C">
      <w:pPr>
        <w:spacing w:before="500"/>
      </w:pPr>
      <w:r w:rsidRPr="00BC4A30">
        <w:t xml:space="preserve">In addition to primary cancers, the lung parenchyma is the second most frequent site for metastases. Secondary lung cancers are metastases from primary malignancies elsewhere in the body. The applicant has suggested that </w:t>
      </w:r>
      <w:r w:rsidR="006D0335">
        <w:t xml:space="preserve">sarcomas, thyroid, renal, </w:t>
      </w:r>
      <w:r w:rsidR="005B16C7">
        <w:t xml:space="preserve">and </w:t>
      </w:r>
      <w:r w:rsidR="006D0335">
        <w:t>head and</w:t>
      </w:r>
      <w:r w:rsidRPr="00BC4A30">
        <w:t xml:space="preserve"> neck cancers tend to metastasise predominantly or exclusively to the lung. In the setting of metastases confined to the lung with the primary tumour under control, the patient may be eligible for curative therapy.</w:t>
      </w:r>
    </w:p>
    <w:p w14:paraId="48AC6791" w14:textId="77777777" w:rsidR="00E56FF7" w:rsidRPr="00BC4A30" w:rsidRDefault="00E56FF7" w:rsidP="00E56FF7">
      <w:r w:rsidRPr="00BC4A30">
        <w:t>As outlined in Section B.6, patients with oligometastatic disease in the lung are a heterogeneous group and only two studies reporting MTA of oligometastatic disease were identified. These studies included oligometastases from nasopharyngeal carcinoma (</w:t>
      </w:r>
      <w:r w:rsidR="00C10752" w:rsidRPr="00BC4A30">
        <w:t xml:space="preserve">n = </w:t>
      </w:r>
      <w:r w:rsidRPr="00BC4A30">
        <w:t>17) colorectal carcinoma (</w:t>
      </w:r>
      <w:r w:rsidR="00C10752" w:rsidRPr="00BC4A30">
        <w:t xml:space="preserve">n = </w:t>
      </w:r>
      <w:r w:rsidRPr="00BC4A30">
        <w:t>40), breast carcinoma (</w:t>
      </w:r>
      <w:r w:rsidR="00C10752" w:rsidRPr="00BC4A30">
        <w:t xml:space="preserve">n = </w:t>
      </w:r>
      <w:r w:rsidRPr="00BC4A30">
        <w:t>20), hepatocellular carcinoma (</w:t>
      </w:r>
      <w:r w:rsidR="00C10752" w:rsidRPr="00BC4A30">
        <w:t xml:space="preserve">n = </w:t>
      </w:r>
      <w:r w:rsidRPr="00BC4A30">
        <w:t>10), renal cell carcinoma (</w:t>
      </w:r>
      <w:r w:rsidR="00C10752" w:rsidRPr="00BC4A30">
        <w:t xml:space="preserve">n = </w:t>
      </w:r>
      <w:r w:rsidRPr="00BC4A30">
        <w:t>5), bronchogenic carcinoma (</w:t>
      </w:r>
      <w:r w:rsidR="00C10752" w:rsidRPr="00BC4A30">
        <w:t xml:space="preserve">n = </w:t>
      </w:r>
      <w:r w:rsidRPr="00BC4A30">
        <w:t xml:space="preserve">5). The comparators to MTA include RFA, current best practice radiotherapy and surgery. However, no comparative trials are available to inform an assessment of comparative effectiveness. Very few relevant outcomes were reported by both studies of MTA. Authors of large case series examining interventions for pulmonary metastases almost uniformly conclude that intervention prolongs survival without undertaking any analysis to support such a claim. </w:t>
      </w:r>
    </w:p>
    <w:p w14:paraId="190E00A4" w14:textId="7A46E28C" w:rsidR="00E56FF7" w:rsidRPr="00BC4A30" w:rsidRDefault="00E56FF7" w:rsidP="00E56FF7">
      <w:r w:rsidRPr="00BC4A30">
        <w:t xml:space="preserve">Engstrom et al </w:t>
      </w:r>
      <w:r w:rsidR="00DF5EB1" w:rsidRPr="00BC4A30">
        <w:fldChar w:fldCharType="begin"/>
      </w:r>
      <w:r w:rsidR="00691955">
        <w:instrText xml:space="preserve"> ADDIN EN.CITE &lt;EndNote&gt;&lt;Cite ExcludeAuth="1"&gt;&lt;Author&gt;Engstrom&lt;/Author&gt;&lt;Year&gt;2003&lt;/Year&gt;&lt;RecNum&gt;208&lt;/RecNum&gt;&lt;DisplayText&gt;(2003)&lt;/DisplayText&gt;&lt;record&gt;&lt;rec-number&gt;208&lt;/rec-number&gt;&lt;foreign-keys&gt;&lt;key app="EN" db-id="05ssdaw2cf0zvye5xvo5z9ww0xdpfstrdtew" timestamp="1469615464"&gt;208&lt;/key&gt;&lt;/foreign-keys&gt;&lt;ref-type name="Journal Article"&gt;17&lt;/ref-type&gt;&lt;contributors&gt;&lt;authors&gt;&lt;author&gt;Engstrom, P. F.&lt;/author&gt;&lt;author&gt;Benson, A. B., 3rd&lt;/author&gt;&lt;author&gt;Saltz, L.&lt;/author&gt;&lt;/authors&gt;&lt;/contributors&gt;&lt;auth-address&gt;Fox Chase Cancer Center, USA.&lt;/auth-address&gt;&lt;titles&gt;&lt;title&gt;Colon cancer. Clinical practice guidelines in oncology&lt;/title&gt;&lt;secondary-title&gt;J Natl Compr Canc Netw&lt;/secondary-title&gt;&lt;alt-title&gt;Journal of the National Comprehensive Cancer Network : JNCCN&lt;/alt-title&gt;&lt;/titles&gt;&lt;periodical&gt;&lt;full-title&gt;J Natl Compr Canc Netw&lt;/full-title&gt;&lt;abbr-1&gt;Journal of the National Comprehensive Cancer Network : JNCCN&lt;/abbr-1&gt;&lt;/periodical&gt;&lt;alt-periodical&gt;&lt;full-title&gt;J Natl Compr Canc Netw&lt;/full-title&gt;&lt;abbr-1&gt;Journal of the National Comprehensive Cancer Network : JNCCN&lt;/abbr-1&gt;&lt;/alt-periodical&gt;&lt;pages&gt;40-53&lt;/pages&gt;&lt;volume&gt;1&lt;/volume&gt;&lt;number&gt;1&lt;/number&gt;&lt;edition&gt;2003/01/01&lt;/edition&gt;&lt;keywords&gt;&lt;keyword&gt;*Colonic Neoplasms/diagnosis/therapy&lt;/keyword&gt;&lt;keyword&gt;Humans&lt;/keyword&gt;&lt;keyword&gt;Medical Oncology&lt;/keyword&gt;&lt;/keywords&gt;&lt;dates&gt;&lt;year&gt;2003&lt;/year&gt;&lt;pub-dates&gt;&lt;date&gt;Jan&lt;/date&gt;&lt;/pub-dates&gt;&lt;/dates&gt;&lt;isbn&gt;1540-1405 (Print)&amp;#xD;1540-1405&lt;/isbn&gt;&lt;accession-num&gt;19764149&lt;/accession-num&gt;&lt;urls&gt;&lt;/urls&gt;&lt;remote-database-provider&gt;NLM&lt;/remote-database-provider&gt;&lt;language&gt;eng&lt;/language&gt;&lt;/record&gt;&lt;/Cite&gt;&lt;/EndNote&gt;</w:instrText>
      </w:r>
      <w:r w:rsidR="00DF5EB1" w:rsidRPr="00BC4A30">
        <w:fldChar w:fldCharType="separate"/>
      </w:r>
      <w:r w:rsidR="00691955">
        <w:rPr>
          <w:noProof/>
        </w:rPr>
        <w:t>(</w:t>
      </w:r>
      <w:hyperlink w:anchor="_ENREF_49" w:tooltip="Engstrom, 2003 #208" w:history="1">
        <w:r w:rsidR="00320458">
          <w:rPr>
            <w:noProof/>
          </w:rPr>
          <w:t>2003</w:t>
        </w:r>
      </w:hyperlink>
      <w:r w:rsidR="00691955">
        <w:rPr>
          <w:noProof/>
        </w:rPr>
        <w:t>)</w:t>
      </w:r>
      <w:r w:rsidR="00DF5EB1" w:rsidRPr="00BC4A30">
        <w:fldChar w:fldCharType="end"/>
      </w:r>
      <w:r w:rsidRPr="00BC4A30">
        <w:t xml:space="preserve"> note all metastatic patients should be carefully evaluated with adequate imaging before surgery, and meet the criteria of resection being technically feasible</w:t>
      </w:r>
      <w:r w:rsidR="00691955">
        <w:t>;</w:t>
      </w:r>
      <w:r w:rsidRPr="00BC4A30">
        <w:t xml:space="preserve"> the patient being able to tolerate surgery; control of the primary tumour is warranted</w:t>
      </w:r>
      <w:r w:rsidR="00691955">
        <w:t>;</w:t>
      </w:r>
      <w:r w:rsidRPr="00BC4A30">
        <w:t xml:space="preserve"> and no </w:t>
      </w:r>
      <w:r w:rsidR="00CA6DFD" w:rsidRPr="00BC4A30">
        <w:t>extra thoracic</w:t>
      </w:r>
      <w:r w:rsidRPr="00BC4A30">
        <w:t xml:space="preserve"> lesion is detectable. Only 2</w:t>
      </w:r>
      <w:r w:rsidR="00650769" w:rsidRPr="00BC4A30">
        <w:t>–</w:t>
      </w:r>
      <w:r w:rsidRPr="00BC4A30">
        <w:t xml:space="preserve">3 per cent of patients with pulmonary metastases, that is, 1 in 30–50 patients, elected metastasectomy in an examination of case series in Spain </w:t>
      </w:r>
      <w:r w:rsidR="00DF5EB1" w:rsidRPr="00BC4A30">
        <w:fldChar w:fldCharType="begin"/>
      </w:r>
      <w:r w:rsidR="006A4E2A">
        <w:instrText xml:space="preserve"> ADDIN EN.CITE &lt;EndNote&gt;&lt;Cite&gt;&lt;Author&gt;Embun&lt;/Author&gt;&lt;Year&gt;2013&lt;/Year&gt;&lt;RecNum&gt;207&lt;/RecNum&gt;&lt;DisplayText&gt;(Embun et al 2013)&lt;/DisplayText&gt;&lt;record&gt;&lt;rec-number&gt;207&lt;/rec-number&gt;&lt;foreign-keys&gt;&lt;key app="EN" db-id="05ssdaw2cf0zvye5xvo5z9ww0xdpfstrdtew" timestamp="1469615464"&gt;207&lt;/key&gt;&lt;/foreign-keys&gt;&lt;ref-type name="Journal Article"&gt;17&lt;/ref-type&gt;&lt;contributors&gt;&lt;authors&gt;&lt;author&gt;Embun, R.&lt;/author&gt;&lt;author&gt;Fiorentino, F.&lt;/author&gt;&lt;author&gt;Treasure, T.&lt;/author&gt;&lt;author&gt;Rivas, J. J.&lt;/author&gt;&lt;author&gt;Molins, L.&lt;/author&gt;&lt;/authors&gt;&lt;/contributors&gt;&lt;auth-address&gt;Department of General Thoracic Surgery, Miguel Servet University Hospital, Zaragoza, Spain.&lt;/auth-address&gt;&lt;titles&gt;&lt;title&gt;Pulmonary metastasectomy in colorectal cancer: a prospective study of demography and clinical characteristics of 543 patients in the Spanish colorectal metastasectomy registry (GECMP-CCR)&lt;/title&gt;&lt;secondary-title&gt;BMJ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open&lt;/abbr-1&gt;&lt;/alt-periodical&gt;&lt;pages&gt;3:e002787&lt;/pages&gt;&lt;volume&gt;3&lt;/volume&gt;&lt;number&gt;5&lt;/number&gt;&lt;edition&gt;2013/06/26&lt;/edition&gt;&lt;keywords&gt;&lt;keyword&gt;Colorectal cancer&lt;/keyword&gt;&lt;keyword&gt;Metastasis&lt;/keyword&gt;&lt;/keywords&gt;&lt;dates&gt;&lt;year&gt;2013&lt;/year&gt;&lt;/dates&gt;&lt;isbn&gt;2044-6055&lt;/isbn&gt;&lt;accession-num&gt;23793698&lt;/accession-num&gt;&lt;urls&gt;&lt;/urls&gt;&lt;custom2&gt;Pmc3664355&lt;/custom2&gt;&lt;electronic-resource-num&gt;10.1136/bmjopen-2013-002787&lt;/electronic-resource-num&gt;&lt;remote-database-provider&gt;NLM&lt;/remote-database-provider&gt;&lt;language&gt;eng&lt;/language&gt;&lt;/record&gt;&lt;/Cite&gt;&lt;/EndNote&gt;</w:instrText>
      </w:r>
      <w:r w:rsidR="00DF5EB1" w:rsidRPr="00BC4A30">
        <w:fldChar w:fldCharType="separate"/>
      </w:r>
      <w:r w:rsidR="00DF5EB1" w:rsidRPr="00BC4A30">
        <w:rPr>
          <w:noProof/>
        </w:rPr>
        <w:t>(</w:t>
      </w:r>
      <w:hyperlink w:anchor="_ENREF_48" w:tooltip="Embun, 2013 #207" w:history="1">
        <w:r w:rsidR="00320458" w:rsidRPr="00BC4A30">
          <w:rPr>
            <w:noProof/>
          </w:rPr>
          <w:t>Embun et al 2013</w:t>
        </w:r>
      </w:hyperlink>
      <w:r w:rsidR="00DF5EB1" w:rsidRPr="00BC4A30">
        <w:rPr>
          <w:noProof/>
        </w:rPr>
        <w:t>)</w:t>
      </w:r>
      <w:r w:rsidR="00DF5EB1" w:rsidRPr="00BC4A30">
        <w:fldChar w:fldCharType="end"/>
      </w:r>
      <w:r w:rsidRPr="00BC4A30">
        <w:t xml:space="preserve">.  </w:t>
      </w:r>
    </w:p>
    <w:p w14:paraId="493B5AAF" w14:textId="7557033C" w:rsidR="00E56FF7" w:rsidRPr="00BC4A30" w:rsidRDefault="00E56FF7" w:rsidP="00E56FF7">
      <w:r w:rsidRPr="00BC4A30">
        <w:t xml:space="preserve">The numbers electing surgery as a proportion of oligometastatic cases across Australia are unclear, although selected studies indicate a similar proportion. For example, a retrospective cohort study of patients with mCRC </w:t>
      </w:r>
      <w:r w:rsidR="00691955">
        <w:t xml:space="preserve">(metastatic colorectal cancer) </w:t>
      </w:r>
      <w:r w:rsidRPr="00BC4A30">
        <w:t>submitted to the South Australian mCRC registry found 2.9 per cent (66) of 2289 patients with metastases from colorectal</w:t>
      </w:r>
      <w:r w:rsidR="00DF5EB1" w:rsidRPr="00BC4A30">
        <w:t xml:space="preserve"> cancer had surgical resection </w:t>
      </w:r>
      <w:r w:rsidR="00DF5EB1" w:rsidRPr="00BC4A30">
        <w:fldChar w:fldCharType="begin">
          <w:fldData xml:space="preserve">PEVuZE5vdGU+PENpdGU+PEF1dGhvcj5Ib2NraW5nPC9BdXRob3I+PFllYXI+MjAxNDwvWWVhcj48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</w:fldData>
        </w:fldChar>
      </w:r>
      <w:r w:rsidR="00194054">
        <w:instrText xml:space="preserve"> ADDIN EN.CITE </w:instrText>
      </w:r>
      <w:r w:rsidR="00194054">
        <w:fldChar w:fldCharType="begin">
          <w:fldData xml:space="preserve">PEVuZE5vdGU+PENpdGU+PEF1dGhvcj5Ib2NraW5nPC9BdXRob3I+PFllYXI+MjAxNDwvWWVhcj48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</w:fldData>
        </w:fldChar>
      </w:r>
      <w:r w:rsidR="00194054">
        <w:instrText xml:space="preserve"> ADDIN EN.CITE.DATA </w:instrText>
      </w:r>
      <w:r w:rsidR="00194054">
        <w:fldChar w:fldCharType="end"/>
      </w:r>
      <w:r w:rsidR="00DF5EB1" w:rsidRPr="00BC4A30">
        <w:fldChar w:fldCharType="separate"/>
      </w:r>
      <w:r w:rsidR="00DF5EB1" w:rsidRPr="00BC4A30">
        <w:rPr>
          <w:noProof/>
        </w:rPr>
        <w:t>(</w:t>
      </w:r>
      <w:hyperlink w:anchor="_ENREF_72" w:tooltip="Hocking, 2014 #215" w:history="1">
        <w:r w:rsidR="00320458" w:rsidRPr="00BC4A30">
          <w:rPr>
            <w:noProof/>
          </w:rPr>
          <w:t>Hocking et al 2014</w:t>
        </w:r>
      </w:hyperlink>
      <w:r w:rsidR="00DF5EB1" w:rsidRPr="00BC4A30">
        <w:rPr>
          <w:noProof/>
        </w:rPr>
        <w:t>)</w:t>
      </w:r>
      <w:r w:rsidR="00DF5EB1" w:rsidRPr="00BC4A30">
        <w:fldChar w:fldCharType="end"/>
      </w:r>
      <w:r w:rsidRPr="00BC4A30">
        <w:t>, which is si</w:t>
      </w:r>
      <w:r w:rsidR="00691955">
        <w:t>milar to Spain. This</w:t>
      </w:r>
      <w:r w:rsidRPr="00BC4A30">
        <w:t xml:space="preserve"> provides an indication that </w:t>
      </w:r>
      <w:r w:rsidR="00691955">
        <w:t xml:space="preserve">the </w:t>
      </w:r>
      <w:r w:rsidRPr="00BC4A30">
        <w:t xml:space="preserve">patient group for population two is limited. </w:t>
      </w:r>
    </w:p>
    <w:p w14:paraId="0512D3E1" w14:textId="512F2DD3" w:rsidR="00E56FF7" w:rsidRPr="00BC4A30" w:rsidRDefault="00E56FF7" w:rsidP="00E56FF7">
      <w:r w:rsidRPr="00BC4A30">
        <w:t xml:space="preserve">The RFA review of 17 centres by Zhu et al </w:t>
      </w:r>
      <w:r w:rsidR="00DF5EB1" w:rsidRPr="00BC4A30">
        <w:fldChar w:fldCharType="begin"/>
      </w:r>
      <w:r w:rsidR="00320458">
        <w:instrText xml:space="preserve"> ADDIN EN.CITE &lt;EndNote&gt;&lt;Cite ExcludeAuth="1"&gt;&lt;Author&gt;Zhu&lt;/Author&gt;&lt;Year&gt;2008&lt;/Year&gt;&lt;RecNum&gt;37&lt;/RecNum&gt;&lt;DisplayText&gt;(2008b)&lt;/DisplayText&gt;&lt;record&gt;&lt;rec-number&gt;37&lt;/rec-number&gt;&lt;foreign-keys&gt;&lt;key app="EN" db-id="05ssdaw2cf0zvye5xvo5z9ww0xdpfstrdtew" timestamp="1465864237"&gt;37&lt;/key&gt;&lt;/foreign-keys&gt;&lt;ref-type name="Journal Article"&gt;17&lt;/ref-type&gt;&lt;contributors&gt;&lt;authors&gt;&lt;author&gt;Zhu, J. C.&lt;/author&gt;&lt;author&gt;Yan, T. D.&lt;/author&gt;&lt;author&gt;Morris, D. L.&lt;/author&gt;&lt;/authors&gt;&lt;/contributors&gt;&lt;auth-address&gt;Department of Surgery, St George Hospital, University of New South Wales, Sydney, NSW 2217, Australia.&lt;/auth-address&gt;&lt;titles&gt;&lt;title&gt;A systematic review of radiofrequency ablation for lung tumors&lt;/title&gt;&lt;secondary-title&gt;Ann Surg Oncol&lt;/secondary-title&gt;&lt;alt-title&gt;Annals of surgical oncology&lt;/alt-title&gt;&lt;/titles&gt;&lt;periodical&gt;&lt;full-title&gt;Ann Surg Oncol&lt;/full-title&gt;&lt;abbr-1&gt;Annals of surgical oncology&lt;/abbr-1&gt;&lt;/periodical&gt;&lt;alt-periodical&gt;&lt;full-title&gt;Ann Surg Oncol&lt;/full-title&gt;&lt;abbr-1&gt;Annals of surgical oncology&lt;/abbr-1&gt;&lt;/alt-periodical&gt;&lt;pages&gt;1765-74&lt;/pages&gt;&lt;volume&gt;15&lt;/volume&gt;&lt;number&gt;6&lt;/number&gt;&lt;edition&gt;2008/03/28&lt;/edition&gt;&lt;keywords&gt;&lt;keyword&gt;*Catheter Ablation&lt;/keyword&gt;&lt;keyword&gt;Humans&lt;/keyword&gt;&lt;keyword&gt;Lung Neoplasms/pathology/secondary/*therapy&lt;/keyword&gt;&lt;keyword&gt;Survival Analysis&lt;/keyword&gt;&lt;keyword&gt;Treatment Outcome&lt;/keyword&gt;&lt;/keywords&gt;&lt;dates&gt;&lt;year&gt;2008&lt;/year&gt;&lt;pub-dates&gt;&lt;date&gt;Jun&lt;/date&gt;&lt;/pub-dates&gt;&lt;/dates&gt;&lt;isbn&gt;1068-9265&lt;/isbn&gt;&lt;accession-num&gt;18368456&lt;/accession-num&gt;&lt;urls&gt;&lt;/urls&gt;&lt;electronic-resource-num&gt;10.1245/s10434-008-9848-7&lt;/electronic-resource-num&gt;&lt;remote-database-provider&gt;NLM&lt;/remote-database-provider&gt;&lt;language&gt;eng&lt;/language&gt;&lt;/record&gt;&lt;/Cite&gt;&lt;/EndNote&gt;</w:instrText>
      </w:r>
      <w:r w:rsidR="00DF5EB1" w:rsidRPr="00BC4A30">
        <w:fldChar w:fldCharType="separate"/>
      </w:r>
      <w:r w:rsidR="00320458">
        <w:rPr>
          <w:noProof/>
        </w:rPr>
        <w:t>(</w:t>
      </w:r>
      <w:hyperlink w:anchor="_ENREF_183" w:tooltip="Zhu, 2008 #244" w:history="1">
        <w:r w:rsidR="00320458">
          <w:rPr>
            <w:noProof/>
          </w:rPr>
          <w:t>2008b</w:t>
        </w:r>
      </w:hyperlink>
      <w:r w:rsidR="00320458">
        <w:rPr>
          <w:noProof/>
        </w:rPr>
        <w:t>)</w:t>
      </w:r>
      <w:r w:rsidR="00DF5EB1" w:rsidRPr="00BC4A30">
        <w:fldChar w:fldCharType="end"/>
      </w:r>
      <w:r w:rsidRPr="00BC4A30">
        <w:t xml:space="preserve"> found all except three facilities included both primary and secondary lung tumour treatment. The median number of patients was 33 across the 17 </w:t>
      </w:r>
      <w:r w:rsidRPr="00BC4A30">
        <w:lastRenderedPageBreak/>
        <w:t>centres, with a median of 12 patients having primary (population one) and 19 (population two) secondary tumours. The ratio of patient</w:t>
      </w:r>
      <w:r w:rsidR="00691955">
        <w:t>s</w:t>
      </w:r>
      <w:r w:rsidRPr="00BC4A30">
        <w:t xml:space="preserve"> between these populations does not appear to be as balanced in Australia. Most clinicians indicated that primary cancer patients account for the largest share of MTA and </w:t>
      </w:r>
      <w:r w:rsidR="00760AC9" w:rsidRPr="00BC4A30">
        <w:t>SBRT</w:t>
      </w:r>
      <w:r w:rsidRPr="00BC4A30">
        <w:t xml:space="preserve"> procedures. </w:t>
      </w:r>
    </w:p>
    <w:p w14:paraId="3E570C38" w14:textId="2935C970" w:rsidR="00941F81" w:rsidRPr="00BC4A30" w:rsidRDefault="00E56FF7" w:rsidP="00E56FF7">
      <w:r w:rsidRPr="00BC4A30">
        <w:t>MTA may also have a role in treating patients with NSCLC with palliative intent. In this group, MTA may assist with symptom control and decrease tumour burden in metastatic disease. Discussions with clinicians indicate this population group is very small in number, as systemic treatments are generally favoured. Estimated population sizes and uptake are presented in Section E. In summary, MTA is primarily intended to be used in patients with early stage NSCLC who are not cand</w:t>
      </w:r>
      <w:r w:rsidR="009B5A20" w:rsidRPr="00BC4A30">
        <w:t xml:space="preserve">idates for surgical resection. </w:t>
      </w:r>
    </w:p>
    <w:p w14:paraId="2C7CA400" w14:textId="3549DF9B" w:rsidR="005A5EC8" w:rsidRPr="00BC4A30" w:rsidRDefault="005A5EC8" w:rsidP="00647EB9">
      <w:pPr>
        <w:pStyle w:val="Heading2"/>
        <w:numPr>
          <w:ilvl w:val="3"/>
          <w:numId w:val="9"/>
        </w:numPr>
      </w:pPr>
      <w:bookmarkStart w:id="376" w:name="_Toc381796478"/>
      <w:bookmarkStart w:id="377" w:name="_Toc460396078"/>
      <w:r w:rsidRPr="00BC4A30">
        <w:t xml:space="preserve">Structure and </w:t>
      </w:r>
      <w:r w:rsidR="00691955">
        <w:t>R</w:t>
      </w:r>
      <w:r w:rsidRPr="00BC4A30">
        <w:t xml:space="preserve">ationale of the </w:t>
      </w:r>
      <w:r w:rsidR="00691955">
        <w:t>E</w:t>
      </w:r>
      <w:r w:rsidRPr="00BC4A30">
        <w:t xml:space="preserve">conomic </w:t>
      </w:r>
      <w:r w:rsidR="00691955">
        <w:t>E</w:t>
      </w:r>
      <w:r w:rsidRPr="00BC4A30">
        <w:t>valuation</w:t>
      </w:r>
      <w:bookmarkEnd w:id="376"/>
      <w:bookmarkEnd w:id="377"/>
    </w:p>
    <w:p w14:paraId="44AC5DCE" w14:textId="77777777" w:rsidR="00E56FF7" w:rsidRPr="00BC4A30" w:rsidRDefault="00E56FF7" w:rsidP="00E56FF7">
      <w:bookmarkStart w:id="378" w:name="_Ref395196756"/>
      <w:r w:rsidRPr="00BC4A30">
        <w:t>A summary of the key characteristics of the economic evaluation is given in Table D.3.1.</w:t>
      </w:r>
    </w:p>
    <w:p w14:paraId="23977E75" w14:textId="77777777" w:rsidR="00E56FF7" w:rsidRPr="00BC4A30" w:rsidRDefault="00E56FF7" w:rsidP="00E56FF7">
      <w:pPr>
        <w:pStyle w:val="Caption"/>
        <w:keepNext/>
      </w:pPr>
      <w:bookmarkStart w:id="379" w:name="_Toc460514723"/>
      <w:r w:rsidRPr="00BC4A30">
        <w:t xml:space="preserve">Table </w:t>
      </w:r>
      <w:fldSimple w:instr=" SEQ Table \* ARABIC ">
        <w:r w:rsidR="00D170A5">
          <w:rPr>
            <w:noProof/>
          </w:rPr>
          <w:t>65</w:t>
        </w:r>
      </w:fldSimple>
      <w:r w:rsidRPr="00BC4A30">
        <w:tab/>
        <w:t>Summary of the economic evaluation</w:t>
      </w:r>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3190"/>
        <w:gridCol w:w="6052"/>
      </w:tblGrid>
      <w:tr w:rsidR="001D5452" w:rsidRPr="00BC4A30" w14:paraId="2213EAA5" w14:textId="77777777" w:rsidTr="001D5452">
        <w:trPr>
          <w:trHeight w:val="20"/>
        </w:trPr>
        <w:tc>
          <w:tcPr>
            <w:tcW w:w="1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FE7B8" w14:textId="1DC3C333" w:rsidR="001D5452" w:rsidRPr="00BC4A30" w:rsidRDefault="001D5452" w:rsidP="00192EDA">
            <w:pPr>
              <w:pStyle w:val="Tabletext1"/>
              <w:rPr>
                <w:b/>
              </w:rPr>
            </w:pPr>
            <w:r>
              <w:rPr>
                <w:b/>
              </w:rPr>
              <w:t>Characteristics</w:t>
            </w:r>
          </w:p>
        </w:tc>
        <w:tc>
          <w:tcPr>
            <w:tcW w:w="3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095523" w14:textId="546CF0C6" w:rsidR="001D5452" w:rsidRPr="001D5452" w:rsidRDefault="001D5452" w:rsidP="00192EDA">
            <w:pPr>
              <w:pStyle w:val="Tabletext1"/>
              <w:rPr>
                <w:b/>
              </w:rPr>
            </w:pPr>
            <w:r>
              <w:rPr>
                <w:b/>
              </w:rPr>
              <w:t>D</w:t>
            </w:r>
            <w:r w:rsidRPr="001D5452">
              <w:rPr>
                <w:b/>
              </w:rPr>
              <w:t>etails</w:t>
            </w:r>
          </w:p>
        </w:tc>
      </w:tr>
      <w:bookmarkEnd w:id="378"/>
      <w:tr w:rsidR="00E56FF7" w:rsidRPr="00BC4A30" w14:paraId="55377342" w14:textId="77777777" w:rsidTr="001D5452">
        <w:trPr>
          <w:trHeight w:val="20"/>
        </w:trPr>
        <w:tc>
          <w:tcPr>
            <w:tcW w:w="1726" w:type="pct"/>
            <w:tcBorders>
              <w:top w:val="single" w:sz="4" w:space="0" w:color="auto"/>
              <w:left w:val="single" w:sz="4" w:space="0" w:color="auto"/>
              <w:bottom w:val="single" w:sz="4" w:space="0" w:color="auto"/>
              <w:right w:val="single" w:sz="4" w:space="0" w:color="auto"/>
            </w:tcBorders>
            <w:shd w:val="clear" w:color="auto" w:fill="auto"/>
          </w:tcPr>
          <w:p w14:paraId="05DB0116" w14:textId="77777777" w:rsidR="00E56FF7" w:rsidRPr="004A1E01" w:rsidRDefault="00E56FF7" w:rsidP="00192EDA">
            <w:pPr>
              <w:pStyle w:val="Tabletext1"/>
            </w:pPr>
            <w:r w:rsidRPr="004A1E01">
              <w:t>Perspective</w:t>
            </w:r>
          </w:p>
        </w:tc>
        <w:tc>
          <w:tcPr>
            <w:tcW w:w="3274" w:type="pct"/>
            <w:tcBorders>
              <w:top w:val="single" w:sz="4" w:space="0" w:color="auto"/>
              <w:left w:val="single" w:sz="4" w:space="0" w:color="auto"/>
              <w:bottom w:val="single" w:sz="4" w:space="0" w:color="auto"/>
              <w:right w:val="single" w:sz="4" w:space="0" w:color="auto"/>
            </w:tcBorders>
            <w:shd w:val="clear" w:color="auto" w:fill="auto"/>
          </w:tcPr>
          <w:p w14:paraId="3DC54D68" w14:textId="77777777" w:rsidR="00E56FF7" w:rsidRPr="00BC4A30" w:rsidRDefault="00E56FF7" w:rsidP="00192EDA">
            <w:pPr>
              <w:pStyle w:val="Tabletext1"/>
            </w:pPr>
            <w:r w:rsidRPr="00BC4A30">
              <w:t>Australian health system</w:t>
            </w:r>
          </w:p>
        </w:tc>
      </w:tr>
      <w:tr w:rsidR="00E56FF7" w:rsidRPr="00BC4A30" w14:paraId="4D5FFB7F" w14:textId="77777777" w:rsidTr="00E56FF7">
        <w:trPr>
          <w:trHeight w:val="20"/>
        </w:trPr>
        <w:tc>
          <w:tcPr>
            <w:tcW w:w="1726" w:type="pct"/>
            <w:tcBorders>
              <w:top w:val="single" w:sz="4" w:space="0" w:color="auto"/>
              <w:left w:val="single" w:sz="4" w:space="0" w:color="auto"/>
              <w:bottom w:val="single" w:sz="4" w:space="0" w:color="auto"/>
              <w:right w:val="single" w:sz="4" w:space="0" w:color="auto"/>
            </w:tcBorders>
          </w:tcPr>
          <w:p w14:paraId="4B4D9B12" w14:textId="77777777" w:rsidR="00E56FF7" w:rsidRPr="004A1E01" w:rsidRDefault="00E56FF7" w:rsidP="00192EDA">
            <w:pPr>
              <w:pStyle w:val="Tabletext1"/>
            </w:pPr>
            <w:r w:rsidRPr="004A1E01">
              <w:t>Comparator</w:t>
            </w:r>
          </w:p>
        </w:tc>
        <w:tc>
          <w:tcPr>
            <w:tcW w:w="3274" w:type="pct"/>
            <w:tcBorders>
              <w:top w:val="single" w:sz="4" w:space="0" w:color="auto"/>
              <w:left w:val="single" w:sz="4" w:space="0" w:color="auto"/>
              <w:bottom w:val="single" w:sz="4" w:space="0" w:color="auto"/>
              <w:right w:val="single" w:sz="4" w:space="0" w:color="auto"/>
            </w:tcBorders>
          </w:tcPr>
          <w:p w14:paraId="7B42D12F" w14:textId="77777777" w:rsidR="00E56FF7" w:rsidRPr="00BC4A30" w:rsidRDefault="00760AC9" w:rsidP="00192EDA">
            <w:pPr>
              <w:pStyle w:val="Tabletext1"/>
            </w:pPr>
            <w:r w:rsidRPr="00BC4A30">
              <w:t>SBRT</w:t>
            </w:r>
            <w:r w:rsidR="00E56FF7" w:rsidRPr="00BC4A30">
              <w:t xml:space="preserve"> (population one and two), surgery (population two)</w:t>
            </w:r>
          </w:p>
        </w:tc>
      </w:tr>
      <w:tr w:rsidR="00E56FF7" w:rsidRPr="00BC4A30" w14:paraId="33E7D9A3" w14:textId="77777777" w:rsidTr="00E56FF7">
        <w:trPr>
          <w:trHeight w:val="20"/>
        </w:trPr>
        <w:tc>
          <w:tcPr>
            <w:tcW w:w="1726" w:type="pct"/>
            <w:tcBorders>
              <w:top w:val="single" w:sz="4" w:space="0" w:color="auto"/>
              <w:left w:val="single" w:sz="4" w:space="0" w:color="auto"/>
              <w:bottom w:val="single" w:sz="4" w:space="0" w:color="auto"/>
              <w:right w:val="single" w:sz="4" w:space="0" w:color="auto"/>
            </w:tcBorders>
          </w:tcPr>
          <w:p w14:paraId="7640280D" w14:textId="77777777" w:rsidR="00E56FF7" w:rsidRPr="004A1E01" w:rsidRDefault="00E56FF7" w:rsidP="00192EDA">
            <w:pPr>
              <w:pStyle w:val="Tabletext1"/>
            </w:pPr>
            <w:r w:rsidRPr="004A1E01">
              <w:t>Type of economic evaluation</w:t>
            </w:r>
          </w:p>
        </w:tc>
        <w:tc>
          <w:tcPr>
            <w:tcW w:w="3274" w:type="pct"/>
            <w:tcBorders>
              <w:top w:val="single" w:sz="4" w:space="0" w:color="auto"/>
              <w:left w:val="single" w:sz="4" w:space="0" w:color="auto"/>
              <w:bottom w:val="single" w:sz="4" w:space="0" w:color="auto"/>
              <w:right w:val="single" w:sz="4" w:space="0" w:color="auto"/>
            </w:tcBorders>
          </w:tcPr>
          <w:p w14:paraId="164D70AA" w14:textId="77777777" w:rsidR="00E56FF7" w:rsidRPr="00BC4A30" w:rsidRDefault="00E56FF7" w:rsidP="00192EDA">
            <w:pPr>
              <w:pStyle w:val="Tabletext1"/>
            </w:pPr>
            <w:r w:rsidRPr="00BC4A30">
              <w:t>Cost-minimisation</w:t>
            </w:r>
          </w:p>
        </w:tc>
      </w:tr>
      <w:tr w:rsidR="00E56FF7" w:rsidRPr="00BC4A30" w14:paraId="08B0640B" w14:textId="77777777" w:rsidTr="00E56FF7">
        <w:trPr>
          <w:trHeight w:val="20"/>
        </w:trPr>
        <w:tc>
          <w:tcPr>
            <w:tcW w:w="1726" w:type="pct"/>
            <w:tcBorders>
              <w:top w:val="single" w:sz="4" w:space="0" w:color="auto"/>
              <w:left w:val="single" w:sz="4" w:space="0" w:color="auto"/>
              <w:bottom w:val="single" w:sz="4" w:space="0" w:color="auto"/>
              <w:right w:val="single" w:sz="4" w:space="0" w:color="auto"/>
            </w:tcBorders>
          </w:tcPr>
          <w:p w14:paraId="60951EAD" w14:textId="77777777" w:rsidR="00E56FF7" w:rsidRPr="004A1E01" w:rsidRDefault="00E56FF7" w:rsidP="00192EDA">
            <w:pPr>
              <w:pStyle w:val="Tabletext1"/>
            </w:pPr>
            <w:r w:rsidRPr="004A1E01">
              <w:t>Sources of evidence</w:t>
            </w:r>
          </w:p>
        </w:tc>
        <w:tc>
          <w:tcPr>
            <w:tcW w:w="3274" w:type="pct"/>
            <w:tcBorders>
              <w:top w:val="single" w:sz="4" w:space="0" w:color="auto"/>
              <w:left w:val="single" w:sz="4" w:space="0" w:color="auto"/>
              <w:bottom w:val="single" w:sz="4" w:space="0" w:color="auto"/>
              <w:right w:val="single" w:sz="4" w:space="0" w:color="auto"/>
            </w:tcBorders>
          </w:tcPr>
          <w:p w14:paraId="53C6B23B" w14:textId="77777777" w:rsidR="00E56FF7" w:rsidRPr="00BC4A30" w:rsidRDefault="00E56FF7" w:rsidP="00192EDA">
            <w:pPr>
              <w:pStyle w:val="Tabletext1"/>
            </w:pPr>
            <w:r w:rsidRPr="00BC4A30">
              <w:t>Case series</w:t>
            </w:r>
          </w:p>
        </w:tc>
      </w:tr>
      <w:tr w:rsidR="00E56FF7" w:rsidRPr="00BC4A30" w14:paraId="4D805BD7" w14:textId="77777777" w:rsidTr="00E56FF7">
        <w:trPr>
          <w:trHeight w:val="20"/>
        </w:trPr>
        <w:tc>
          <w:tcPr>
            <w:tcW w:w="1726" w:type="pct"/>
            <w:tcBorders>
              <w:top w:val="single" w:sz="4" w:space="0" w:color="auto"/>
              <w:left w:val="single" w:sz="4" w:space="0" w:color="auto"/>
              <w:bottom w:val="single" w:sz="4" w:space="0" w:color="auto"/>
              <w:right w:val="single" w:sz="4" w:space="0" w:color="auto"/>
            </w:tcBorders>
            <w:hideMark/>
          </w:tcPr>
          <w:p w14:paraId="71FAAEF8" w14:textId="77777777" w:rsidR="00E56FF7" w:rsidRPr="004A1E01" w:rsidRDefault="00E56FF7" w:rsidP="00192EDA">
            <w:pPr>
              <w:pStyle w:val="Tabletext1"/>
            </w:pPr>
            <w:r w:rsidRPr="004A1E01">
              <w:t>Time horizon</w:t>
            </w:r>
          </w:p>
        </w:tc>
        <w:tc>
          <w:tcPr>
            <w:tcW w:w="3274" w:type="pct"/>
            <w:tcBorders>
              <w:top w:val="single" w:sz="4" w:space="0" w:color="auto"/>
              <w:left w:val="single" w:sz="4" w:space="0" w:color="auto"/>
              <w:bottom w:val="single" w:sz="4" w:space="0" w:color="auto"/>
              <w:right w:val="single" w:sz="4" w:space="0" w:color="auto"/>
            </w:tcBorders>
            <w:hideMark/>
          </w:tcPr>
          <w:p w14:paraId="39174A0B" w14:textId="77777777" w:rsidR="00E56FF7" w:rsidRPr="00BC4A30" w:rsidRDefault="00E56FF7" w:rsidP="00192EDA">
            <w:pPr>
              <w:pStyle w:val="Tabletext1"/>
            </w:pPr>
            <w:r w:rsidRPr="00BC4A30">
              <w:t>3 months</w:t>
            </w:r>
          </w:p>
        </w:tc>
      </w:tr>
      <w:tr w:rsidR="00E56FF7" w:rsidRPr="00BC4A30" w14:paraId="49A7448F" w14:textId="77777777" w:rsidTr="00E56FF7">
        <w:trPr>
          <w:trHeight w:val="20"/>
        </w:trPr>
        <w:tc>
          <w:tcPr>
            <w:tcW w:w="1726" w:type="pct"/>
            <w:tcBorders>
              <w:top w:val="single" w:sz="4" w:space="0" w:color="auto"/>
              <w:left w:val="single" w:sz="4" w:space="0" w:color="auto"/>
              <w:bottom w:val="single" w:sz="4" w:space="0" w:color="auto"/>
              <w:right w:val="single" w:sz="4" w:space="0" w:color="auto"/>
            </w:tcBorders>
            <w:hideMark/>
          </w:tcPr>
          <w:p w14:paraId="50502AC2" w14:textId="77777777" w:rsidR="00E56FF7" w:rsidRPr="004A1E01" w:rsidRDefault="00E56FF7" w:rsidP="00192EDA">
            <w:pPr>
              <w:pStyle w:val="Tabletext1"/>
            </w:pPr>
            <w:r w:rsidRPr="004A1E01">
              <w:t>Outcomes</w:t>
            </w:r>
          </w:p>
        </w:tc>
        <w:tc>
          <w:tcPr>
            <w:tcW w:w="3274" w:type="pct"/>
            <w:tcBorders>
              <w:top w:val="single" w:sz="4" w:space="0" w:color="auto"/>
              <w:left w:val="single" w:sz="4" w:space="0" w:color="auto"/>
              <w:bottom w:val="single" w:sz="4" w:space="0" w:color="auto"/>
              <w:right w:val="single" w:sz="4" w:space="0" w:color="auto"/>
            </w:tcBorders>
          </w:tcPr>
          <w:p w14:paraId="2E8544A5" w14:textId="77777777" w:rsidR="00E56FF7" w:rsidRPr="00BC4A30" w:rsidRDefault="00E56FF7" w:rsidP="00192EDA">
            <w:pPr>
              <w:pStyle w:val="Tabletext1"/>
            </w:pPr>
            <w:r w:rsidRPr="00BC4A30">
              <w:t>Not applicable</w:t>
            </w:r>
          </w:p>
        </w:tc>
      </w:tr>
      <w:tr w:rsidR="00E56FF7" w:rsidRPr="00BC4A30" w14:paraId="728C69C9" w14:textId="77777777" w:rsidTr="00E56FF7">
        <w:trPr>
          <w:trHeight w:val="20"/>
        </w:trPr>
        <w:tc>
          <w:tcPr>
            <w:tcW w:w="1726" w:type="pct"/>
            <w:tcBorders>
              <w:top w:val="single" w:sz="4" w:space="0" w:color="auto"/>
              <w:left w:val="single" w:sz="4" w:space="0" w:color="auto"/>
              <w:bottom w:val="single" w:sz="4" w:space="0" w:color="auto"/>
              <w:right w:val="single" w:sz="4" w:space="0" w:color="auto"/>
            </w:tcBorders>
            <w:hideMark/>
          </w:tcPr>
          <w:p w14:paraId="30FDFAE4" w14:textId="77777777" w:rsidR="00E56FF7" w:rsidRPr="004A1E01" w:rsidRDefault="00E56FF7" w:rsidP="00192EDA">
            <w:pPr>
              <w:pStyle w:val="Tabletext1"/>
            </w:pPr>
            <w:r w:rsidRPr="004A1E01">
              <w:t>Software packages used</w:t>
            </w:r>
          </w:p>
        </w:tc>
        <w:tc>
          <w:tcPr>
            <w:tcW w:w="3274" w:type="pct"/>
            <w:tcBorders>
              <w:top w:val="single" w:sz="4" w:space="0" w:color="auto"/>
              <w:left w:val="single" w:sz="4" w:space="0" w:color="auto"/>
              <w:bottom w:val="single" w:sz="4" w:space="0" w:color="auto"/>
              <w:right w:val="single" w:sz="4" w:space="0" w:color="auto"/>
            </w:tcBorders>
          </w:tcPr>
          <w:p w14:paraId="1A8EC79C" w14:textId="77777777" w:rsidR="00E56FF7" w:rsidRPr="00BC4A30" w:rsidRDefault="00E56FF7" w:rsidP="00192EDA">
            <w:pPr>
              <w:pStyle w:val="Tabletext1"/>
            </w:pPr>
            <w:r w:rsidRPr="00BC4A30">
              <w:t>Excel</w:t>
            </w:r>
          </w:p>
        </w:tc>
      </w:tr>
    </w:tbl>
    <w:p w14:paraId="0FC3341E" w14:textId="73A80586" w:rsidR="00013791" w:rsidRPr="00BC4A30" w:rsidRDefault="001D5452" w:rsidP="009B5A20">
      <w:pPr>
        <w:pStyle w:val="Tablenotes0"/>
        <w:rPr>
          <w:sz w:val="20"/>
          <w:szCs w:val="18"/>
        </w:rPr>
      </w:pPr>
      <w:r>
        <w:rPr>
          <w:sz w:val="20"/>
          <w:szCs w:val="18"/>
        </w:rPr>
        <w:t>&lt; SBRT=</w:t>
      </w:r>
      <w:r w:rsidR="00E56FF7" w:rsidRPr="00BC4A30">
        <w:rPr>
          <w:sz w:val="20"/>
          <w:szCs w:val="18"/>
        </w:rPr>
        <w:t>Stereotactic body radiation therapy</w:t>
      </w:r>
      <w:r>
        <w:rPr>
          <w:sz w:val="20"/>
          <w:szCs w:val="18"/>
        </w:rPr>
        <w:t>&gt;</w:t>
      </w:r>
    </w:p>
    <w:p w14:paraId="4EB30C2F" w14:textId="77777777" w:rsidR="00013791" w:rsidRPr="00BC4A30" w:rsidRDefault="00013791" w:rsidP="003F6C66">
      <w:pPr>
        <w:pStyle w:val="Heading3"/>
      </w:pPr>
      <w:bookmarkStart w:id="380" w:name="_Toc395200799"/>
      <w:bookmarkStart w:id="381" w:name="_Toc460396079"/>
      <w:r w:rsidRPr="00BC4A30">
        <w:t>Literature review</w:t>
      </w:r>
      <w:bookmarkEnd w:id="380"/>
      <w:bookmarkEnd w:id="381"/>
    </w:p>
    <w:p w14:paraId="45E74423" w14:textId="6C51AC38" w:rsidR="00013791" w:rsidRPr="00BC4A30" w:rsidRDefault="00E56FF7" w:rsidP="00E56FF7">
      <w:r w:rsidRPr="00BC4A30">
        <w:t>A search of PubMed, EMBASE, Global Health</w:t>
      </w:r>
      <w:r w:rsidR="00691955">
        <w:t>,</w:t>
      </w:r>
      <w:r w:rsidRPr="00BC4A30">
        <w:t xml:space="preserve"> and the Cochrane Library, was conducted with no limit on publication date for economic studies related to MTA, RFA, radiotherapy and surgery. The aim of this review was to identify economic models that could inform the economic evaluation of MTA in the proposed MBS populations. </w:t>
      </w:r>
      <w:r w:rsidR="00A45197">
        <w:t>D</w:t>
      </w:r>
      <w:r w:rsidRPr="00BC4A30">
        <w:t xml:space="preserve">etails of the search </w:t>
      </w:r>
      <w:r w:rsidR="00A45197">
        <w:t xml:space="preserve">is provided </w:t>
      </w:r>
      <w:r w:rsidR="00650769">
        <w:t>in Appendix B</w:t>
      </w:r>
      <w:r w:rsidRPr="00BC4A30">
        <w:t>. Based on the results of the search, the economics of treating primary and secondary lung tumours with the above approaches appears to have an emerging evidence base. No studies were identified that investigated the application of MTA to patients with primary lung cancer that are ineligible for surgery.</w:t>
      </w:r>
    </w:p>
    <w:p w14:paraId="542DBD1E" w14:textId="415AE211" w:rsidR="00E56FF7" w:rsidRPr="00BC4A30" w:rsidRDefault="00A45197" w:rsidP="00E56FF7">
      <w:pPr>
        <w:spacing w:line="276" w:lineRule="auto"/>
        <w:rPr>
          <w:rFonts w:asciiTheme="minorHAnsi" w:hAnsiTheme="minorHAnsi"/>
          <w:b/>
        </w:rPr>
      </w:pPr>
      <w:r>
        <w:rPr>
          <w:rFonts w:asciiTheme="minorHAnsi" w:hAnsiTheme="minorHAnsi"/>
        </w:rPr>
        <w:lastRenderedPageBreak/>
        <w:t xml:space="preserve">A total of 11 studies were </w:t>
      </w:r>
      <w:r w:rsidR="00E56FF7" w:rsidRPr="00BC4A30">
        <w:rPr>
          <w:rFonts w:asciiTheme="minorHAnsi" w:hAnsiTheme="minorHAnsi"/>
        </w:rPr>
        <w:t xml:space="preserve">identified that </w:t>
      </w:r>
      <w:r>
        <w:rPr>
          <w:rFonts w:asciiTheme="minorHAnsi" w:hAnsiTheme="minorHAnsi"/>
        </w:rPr>
        <w:t xml:space="preserve">economically </w:t>
      </w:r>
      <w:r w:rsidR="00E56FF7" w:rsidRPr="00BC4A30">
        <w:rPr>
          <w:rFonts w:asciiTheme="minorHAnsi" w:hAnsiTheme="minorHAnsi"/>
        </w:rPr>
        <w:t xml:space="preserve">evaluated RFA, </w:t>
      </w:r>
      <w:r w:rsidR="00760AC9" w:rsidRPr="00BC4A30">
        <w:rPr>
          <w:rFonts w:asciiTheme="minorHAnsi" w:hAnsiTheme="minorHAnsi"/>
        </w:rPr>
        <w:t>SBRT</w:t>
      </w:r>
      <w:r w:rsidR="00E56FF7" w:rsidRPr="00BC4A30">
        <w:rPr>
          <w:rFonts w:asciiTheme="minorHAnsi" w:hAnsiTheme="minorHAnsi"/>
        </w:rPr>
        <w:t xml:space="preserve"> and</w:t>
      </w:r>
      <w:r>
        <w:rPr>
          <w:rFonts w:asciiTheme="minorHAnsi" w:hAnsiTheme="minorHAnsi"/>
        </w:rPr>
        <w:t xml:space="preserve">/or </w:t>
      </w:r>
      <w:r w:rsidR="00E56FF7" w:rsidRPr="00BC4A30">
        <w:rPr>
          <w:rFonts w:asciiTheme="minorHAnsi" w:hAnsiTheme="minorHAnsi"/>
        </w:rPr>
        <w:t>surgery</w:t>
      </w:r>
      <w:r>
        <w:rPr>
          <w:rFonts w:asciiTheme="minorHAnsi" w:hAnsiTheme="minorHAnsi"/>
        </w:rPr>
        <w:t xml:space="preserve">, and are summarised in </w:t>
      </w:r>
      <w:r w:rsidR="00FB08E5">
        <w:rPr>
          <w:rFonts w:asciiTheme="minorHAnsi" w:hAnsiTheme="minorHAnsi"/>
        </w:rPr>
        <w:fldChar w:fldCharType="begin"/>
      </w:r>
      <w:r w:rsidR="00FB08E5">
        <w:rPr>
          <w:rFonts w:asciiTheme="minorHAnsi" w:hAnsiTheme="minorHAnsi"/>
        </w:rPr>
        <w:instrText xml:space="preserve"> REF _Ref460248325 \h </w:instrText>
      </w:r>
      <w:r w:rsidR="00FB08E5">
        <w:rPr>
          <w:rFonts w:asciiTheme="minorHAnsi" w:hAnsiTheme="minorHAnsi"/>
        </w:rPr>
      </w:r>
      <w:r w:rsidR="00FB08E5">
        <w:rPr>
          <w:rFonts w:asciiTheme="minorHAnsi" w:hAnsiTheme="minorHAnsi"/>
        </w:rPr>
        <w:fldChar w:fldCharType="separate"/>
      </w:r>
      <w:r w:rsidR="00D170A5" w:rsidRPr="00BC4A30">
        <w:t xml:space="preserve">Table </w:t>
      </w:r>
      <w:r w:rsidR="00D170A5">
        <w:rPr>
          <w:noProof/>
        </w:rPr>
        <w:t>66</w:t>
      </w:r>
      <w:r w:rsidR="00FB08E5">
        <w:rPr>
          <w:rFonts w:asciiTheme="minorHAnsi" w:hAnsiTheme="minorHAnsi"/>
        </w:rPr>
        <w:fldChar w:fldCharType="end"/>
      </w:r>
      <w:r w:rsidR="00E56FF7" w:rsidRPr="00BC4A30">
        <w:rPr>
          <w:rFonts w:asciiTheme="minorHAnsi" w:hAnsiTheme="minorHAnsi"/>
        </w:rPr>
        <w:t xml:space="preserve">. A discussion of the methods is provided, although the methodologies used are not deemed appropriate for this analysis. </w:t>
      </w:r>
      <w:r w:rsidR="00E56FF7" w:rsidRPr="00BC4A30">
        <w:t>The limited comparative evidence outlined in Section B is the key factor constraining the economic evaluation in this assessment to cost minimisation, as opposed to cost-effectiveness analysis using Markov modelling which is used to evaluat</w:t>
      </w:r>
      <w:r w:rsidR="00051817">
        <w:t>e</w:t>
      </w:r>
      <w:r w:rsidR="00E56FF7" w:rsidRPr="00BC4A30">
        <w:t xml:space="preserve"> other potential treatment options within the identified economic evaluations. </w:t>
      </w:r>
      <w:r w:rsidR="00E56FF7" w:rsidRPr="00BC4A30">
        <w:rPr>
          <w:rFonts w:asciiTheme="minorHAnsi" w:hAnsiTheme="minorHAnsi"/>
        </w:rPr>
        <w:t xml:space="preserve">The characteristics and results of these studies are summarised in </w:t>
      </w:r>
      <w:r w:rsidR="00FB08E5">
        <w:rPr>
          <w:rFonts w:asciiTheme="minorHAnsi" w:hAnsiTheme="minorHAnsi"/>
        </w:rPr>
        <w:fldChar w:fldCharType="begin"/>
      </w:r>
      <w:r w:rsidR="00FB08E5">
        <w:rPr>
          <w:rFonts w:asciiTheme="minorHAnsi" w:hAnsiTheme="minorHAnsi"/>
        </w:rPr>
        <w:instrText xml:space="preserve"> REF _Ref460248325 \h </w:instrText>
      </w:r>
      <w:r w:rsidR="00FB08E5">
        <w:rPr>
          <w:rFonts w:asciiTheme="minorHAnsi" w:hAnsiTheme="minorHAnsi"/>
        </w:rPr>
      </w:r>
      <w:r w:rsidR="00FB08E5">
        <w:rPr>
          <w:rFonts w:asciiTheme="minorHAnsi" w:hAnsiTheme="minorHAnsi"/>
        </w:rPr>
        <w:fldChar w:fldCharType="separate"/>
      </w:r>
      <w:r w:rsidR="00D170A5" w:rsidRPr="00BC4A30">
        <w:t xml:space="preserve">Table </w:t>
      </w:r>
      <w:r w:rsidR="00D170A5">
        <w:rPr>
          <w:noProof/>
        </w:rPr>
        <w:t>66</w:t>
      </w:r>
      <w:r w:rsidR="00FB08E5">
        <w:rPr>
          <w:rFonts w:asciiTheme="minorHAnsi" w:hAnsiTheme="minorHAnsi"/>
        </w:rPr>
        <w:fldChar w:fldCharType="end"/>
      </w:r>
      <w:r w:rsidR="00FB08E5">
        <w:rPr>
          <w:rFonts w:asciiTheme="minorHAnsi" w:hAnsiTheme="minorHAnsi"/>
        </w:rPr>
        <w:t xml:space="preserve"> </w:t>
      </w:r>
      <w:r w:rsidR="00E56FF7" w:rsidRPr="00BC4A30">
        <w:rPr>
          <w:rFonts w:asciiTheme="minorHAnsi" w:hAnsiTheme="minorHAnsi"/>
        </w:rPr>
        <w:t>and discussed in the accompanying text</w:t>
      </w:r>
      <w:r w:rsidR="00E56FF7" w:rsidRPr="00BC4A30">
        <w:rPr>
          <w:rFonts w:asciiTheme="minorHAnsi" w:hAnsiTheme="minorHAnsi"/>
          <w:b/>
        </w:rPr>
        <w:t xml:space="preserve">.  </w:t>
      </w:r>
    </w:p>
    <w:p w14:paraId="79BD0FE5" w14:textId="77777777" w:rsidR="00E56FF7" w:rsidRPr="000B2A2D" w:rsidRDefault="00E56FF7" w:rsidP="00E56FF7">
      <w:pPr>
        <w:rPr>
          <w:b/>
          <w:i/>
        </w:rPr>
      </w:pPr>
      <w:r w:rsidRPr="000B2A2D">
        <w:rPr>
          <w:b/>
          <w:i/>
        </w:rPr>
        <w:t>Radiofrequency ablation</w:t>
      </w:r>
    </w:p>
    <w:p w14:paraId="6517C8E3" w14:textId="2007F920" w:rsidR="00E56FF7" w:rsidRPr="00BC4A30" w:rsidRDefault="00E56FF7" w:rsidP="00E56FF7">
      <w:r w:rsidRPr="00BC4A30">
        <w:t xml:space="preserve">A selected number of RFA economic studies were identified in the literature. Alexander et al </w:t>
      </w:r>
      <w:r w:rsidR="00DF5EB1" w:rsidRPr="00BC4A30">
        <w:fldChar w:fldCharType="begin">
          <w:fldData xml:space="preserve">PEVuZE5vdGU+PENpdGU+PEF1dGhvcj5BSUhXPC9BdXRob3I+PFllYXI+MjAxNDwvWWVhcj48UmVj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==
</w:fldData>
        </w:fldChar>
      </w:r>
      <w:r w:rsidR="00320458">
        <w:instrText xml:space="preserve"> ADDIN EN.CITE </w:instrText>
      </w:r>
      <w:r w:rsidR="00320458">
        <w:fldChar w:fldCharType="begin">
          <w:fldData xml:space="preserve">PEVuZE5vdGU+PENpdGU+PEF1dGhvcj5BSUhXPC9BdXRob3I+PFllYXI+MjAxNDwvWWVhcj48UmVj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==
</w:fldData>
        </w:fldChar>
      </w:r>
      <w:r w:rsidR="00320458">
        <w:instrText xml:space="preserve"> ADDIN EN.CITE.DATA </w:instrText>
      </w:r>
      <w:r w:rsidR="00320458">
        <w:fldChar w:fldCharType="end"/>
      </w:r>
      <w:r w:rsidR="00DF5EB1" w:rsidRPr="00BC4A30">
        <w:fldChar w:fldCharType="separate"/>
      </w:r>
      <w:r w:rsidR="003C443E">
        <w:rPr>
          <w:noProof/>
        </w:rPr>
        <w:t>(</w:t>
      </w:r>
      <w:hyperlink w:anchor="_ENREF_4" w:tooltip="Alexander, 2013 #193" w:history="1">
        <w:r w:rsidR="00320458">
          <w:rPr>
            <w:noProof/>
          </w:rPr>
          <w:t>Alexander et al 2013b</w:t>
        </w:r>
      </w:hyperlink>
      <w:r w:rsidR="003C443E">
        <w:rPr>
          <w:noProof/>
        </w:rPr>
        <w:t xml:space="preserve">; </w:t>
      </w:r>
      <w:hyperlink w:anchor="_ENREF_14" w:tooltip="Australian Institute of Health and Welfare (AIHW), 2014 #192" w:history="1">
        <w:r w:rsidR="00320458">
          <w:rPr>
            <w:noProof/>
          </w:rPr>
          <w:t>Australian Institute of Health and Welfare (AIHW) 2014b</w:t>
        </w:r>
      </w:hyperlink>
      <w:r w:rsidR="003C443E">
        <w:rPr>
          <w:noProof/>
        </w:rPr>
        <w:t>)</w:t>
      </w:r>
      <w:r w:rsidR="00DF5EB1" w:rsidRPr="00BC4A30">
        <w:fldChar w:fldCharType="end"/>
      </w:r>
      <w:r w:rsidRPr="00BC4A30">
        <w:t xml:space="preserve"> </w:t>
      </w:r>
      <w:r w:rsidR="00051817">
        <w:t>undertook a costing study of RFA</w:t>
      </w:r>
      <w:r w:rsidRPr="00BC4A30">
        <w:t xml:space="preserve"> in the USA. They noted that the treatment is better tolerated than surgery and can be performed in an outpatient setting under conscious sedation. The medical records of 84 patients older than 65 years of age with stage IA or IB NSCLC undergoing RF</w:t>
      </w:r>
      <w:r w:rsidR="00051817">
        <w:t>A</w:t>
      </w:r>
      <w:r w:rsidRPr="00BC4A30">
        <w:t xml:space="preserve"> or sur</w:t>
      </w:r>
      <w:r w:rsidR="00051817">
        <w:t>gical resection were reviewed</w:t>
      </w:r>
      <w:r w:rsidR="00051817" w:rsidRPr="00051817">
        <w:t>–</w:t>
      </w:r>
      <w:r w:rsidRPr="00BC4A30">
        <w:t>with costs estimated from the perspective of the payer, Medicare.</w:t>
      </w:r>
    </w:p>
    <w:p w14:paraId="5C82A0AD" w14:textId="37387838" w:rsidR="00E56FF7" w:rsidRPr="00BC4A30" w:rsidRDefault="00E56FF7" w:rsidP="00E56FF7">
      <w:r w:rsidRPr="00BC4A30">
        <w:t>Lower medical costs and shorter hospital stays were identified in the series of RF</w:t>
      </w:r>
      <w:r w:rsidR="00051817">
        <w:t>A</w:t>
      </w:r>
      <w:r w:rsidRPr="00BC4A30">
        <w:t xml:space="preserve"> cases compared to </w:t>
      </w:r>
      <w:r w:rsidR="00A45197">
        <w:t>surgery</w:t>
      </w:r>
      <w:r w:rsidRPr="00BC4A30">
        <w:t>. The median cost per month lived was USD$620.74 for a patient treated with RF</w:t>
      </w:r>
      <w:r w:rsidR="00051817">
        <w:t>A</w:t>
      </w:r>
      <w:r w:rsidRPr="00BC4A30">
        <w:t>, compared with USD$1,195.92 for a patient treated surgically. The patient population is not directly comparable with populations being investigated in the assessment, as stage IA or IB NSCLC patients are eligible for resection. Resection is an option for population two of the assessment; and is found to be considerably more expensive for the above mentioned rationale.</w:t>
      </w:r>
    </w:p>
    <w:p w14:paraId="1A5B027D" w14:textId="79DB551B" w:rsidR="00E56FF7" w:rsidRPr="00BC4A30" w:rsidRDefault="00E56FF7" w:rsidP="00E56FF7">
      <w:r w:rsidRPr="00BC4A30">
        <w:t xml:space="preserve">Sher et al </w:t>
      </w:r>
      <w:r w:rsidR="00DF5EB1" w:rsidRPr="00BC4A30">
        <w:fldChar w:fldCharType="begin">
          <w:fldData xml:space="preserve">PEVuZE5vdGU+PENpdGUgRXhjbHVkZUF1dGg9IjEiPjxBdXRob3I+U2hlcjwvQXV0aG9yPjxZZWFy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</w:fldData>
        </w:fldChar>
      </w:r>
      <w:r w:rsidR="00051817">
        <w:instrText xml:space="preserve"> ADDIN EN.CITE </w:instrText>
      </w:r>
      <w:r w:rsidR="00051817">
        <w:fldChar w:fldCharType="begin">
          <w:fldData xml:space="preserve">PEVuZE5vdGU+PENpdGUgRXhjbHVkZUF1dGg9IjEiPjxBdXRob3I+U2hlcjwvQXV0aG9yPjxZZWFy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</w:fldData>
        </w:fldChar>
      </w:r>
      <w:r w:rsidR="00051817">
        <w:instrText xml:space="preserve"> ADDIN EN.CITE.DATA </w:instrText>
      </w:r>
      <w:r w:rsidR="00051817">
        <w:fldChar w:fldCharType="end"/>
      </w:r>
      <w:r w:rsidR="00DF5EB1" w:rsidRPr="00BC4A30">
        <w:fldChar w:fldCharType="separate"/>
      </w:r>
      <w:r w:rsidR="00051817">
        <w:rPr>
          <w:noProof/>
        </w:rPr>
        <w:t>(</w:t>
      </w:r>
      <w:hyperlink w:anchor="_ENREF_138" w:tooltip="Sher, 2011 #236" w:history="1">
        <w:r w:rsidR="00320458">
          <w:rPr>
            <w:noProof/>
          </w:rPr>
          <w:t>2011</w:t>
        </w:r>
      </w:hyperlink>
      <w:r w:rsidR="00051817">
        <w:rPr>
          <w:noProof/>
        </w:rPr>
        <w:t>)</w:t>
      </w:r>
      <w:r w:rsidR="00DF5EB1" w:rsidRPr="00BC4A30">
        <w:fldChar w:fldCharType="end"/>
      </w:r>
      <w:r w:rsidR="00A45197">
        <w:t xml:space="preserve"> </w:t>
      </w:r>
      <w:r w:rsidRPr="00BC4A30">
        <w:t>developed a Markov model to compare SBRT, 3DCRT, and radio</w:t>
      </w:r>
      <w:r w:rsidR="00051817">
        <w:t xml:space="preserve">frequency ablation (RFA) for 65 year </w:t>
      </w:r>
      <w:r w:rsidRPr="00BC4A30">
        <w:t>old men with medically inoperable NSCLC. Data sources for the decision model were extracted from the published literature. Costs accruing to each health state were largely derived from publicly available 2009 USA Medicare payment schedules. Average costs of RFA for eradiation of pulmonary tumour and guidance were USD$5,879, while a SBRT cost of USD$14,741 included simulation, planning and treatment.</w:t>
      </w:r>
    </w:p>
    <w:p w14:paraId="307B2FA1" w14:textId="479B6C26" w:rsidR="00E56FF7" w:rsidRPr="00BC4A30" w:rsidRDefault="00E56FF7" w:rsidP="00E56FF7">
      <w:r w:rsidRPr="00BC4A30">
        <w:t xml:space="preserve">The model includes utility measures. The authors noted there were no data explicitly evaluating patient utility values after treatment with SBRT, 3D-CRT, or RFA. However, a study published by Doyle et al </w:t>
      </w:r>
      <w:r w:rsidR="00DF5EB1" w:rsidRPr="00BC4A30">
        <w:fldChar w:fldCharType="begin">
          <w:fldData xml:space="preserve">PEVuZE5vdGU+PENpdGU+PEF1dGhvcj5Eb3lsZTwvQXV0aG9yPjxZZWFyPjIwMDg8L1llYXI+PFJl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</w:fldData>
        </w:fldChar>
      </w:r>
      <w:r w:rsidR="00194054">
        <w:instrText xml:space="preserve"> ADDIN EN.CITE </w:instrText>
      </w:r>
      <w:r w:rsidR="00194054">
        <w:fldChar w:fldCharType="begin">
          <w:fldData xml:space="preserve">PEVuZE5vdGU+PENpdGU+PEF1dGhvcj5Eb3lsZTwvQXV0aG9yPjxZZWFyPjIwMDg8L1llYXI+PFJl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</w:fldData>
        </w:fldChar>
      </w:r>
      <w:r w:rsidR="00194054">
        <w:instrText xml:space="preserve"> ADDIN EN.CITE.DATA </w:instrText>
      </w:r>
      <w:r w:rsidR="00194054">
        <w:fldChar w:fldCharType="end"/>
      </w:r>
      <w:r w:rsidR="00DF5EB1" w:rsidRPr="00BC4A30">
        <w:fldChar w:fldCharType="separate"/>
      </w:r>
      <w:r w:rsidR="00DF5EB1" w:rsidRPr="00BC4A30">
        <w:rPr>
          <w:noProof/>
        </w:rPr>
        <w:t>(</w:t>
      </w:r>
      <w:hyperlink w:anchor="_ENREF_42" w:tooltip="Doyle, 2008 #203" w:history="1">
        <w:r w:rsidR="00320458" w:rsidRPr="00BC4A30">
          <w:rPr>
            <w:noProof/>
          </w:rPr>
          <w:t>Doyle et al 2008</w:t>
        </w:r>
      </w:hyperlink>
      <w:r w:rsidR="00DF5EB1" w:rsidRPr="00BC4A30">
        <w:rPr>
          <w:noProof/>
        </w:rPr>
        <w:t>)</w:t>
      </w:r>
      <w:r w:rsidR="00DF5EB1" w:rsidRPr="00BC4A30">
        <w:fldChar w:fldCharType="end"/>
      </w:r>
      <w:r w:rsidRPr="00BC4A30">
        <w:t xml:space="preserve"> that elicited patient utility values for several health care states associated with NSCLC was used in the analysis. Utility weights included no disease 0.712, pneumonitis 0.576, chest wall pain 0.557 and local, nodal, and distant recurrence 0.461. The incremental cost-effectiveness ratio (ICER) for SBRT over 3DCRT was USD$6,000/QALY and USD$14,100/QALY for SBRT over RFA.</w:t>
      </w:r>
    </w:p>
    <w:p w14:paraId="00DF1280" w14:textId="77777777" w:rsidR="00A45197" w:rsidRDefault="00A45197" w:rsidP="00A45197">
      <w:r>
        <w:t xml:space="preserve">The major variable driving outcome was the local recurrence risk of RFA and tumour size governed failure rates. </w:t>
      </w:r>
    </w:p>
    <w:p w14:paraId="2F6A0F9F" w14:textId="22F93333" w:rsidR="005B16C7" w:rsidRDefault="00804DAF" w:rsidP="00A45197">
      <w:r>
        <w:lastRenderedPageBreak/>
        <w:t xml:space="preserve">Kwan et al </w:t>
      </w:r>
      <w:r w:rsidR="00E14908" w:rsidRPr="00804DAF">
        <w:fldChar w:fldCharType="begin">
          <w:fldData xml:space="preserve">PEVuZE5vdGU+PENpdGUgRXhjbHVkZUF1dGg9IjEiPjxBdXRob3I+S3dhbjwvQXV0aG9yPjxZZWFy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</w:fldData>
        </w:fldChar>
      </w:r>
      <w:r w:rsidR="00194054">
        <w:instrText xml:space="preserve"> ADDIN EN.CITE </w:instrText>
      </w:r>
      <w:r w:rsidR="00194054">
        <w:fldChar w:fldCharType="begin">
          <w:fldData xml:space="preserve">PEVuZE5vdGU+PENpdGUgRXhjbHVkZUF1dGg9IjEiPjxBdXRob3I+S3dhbjwvQXV0aG9yPjxZZWFy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</w:fldData>
        </w:fldChar>
      </w:r>
      <w:r w:rsidR="00194054">
        <w:instrText xml:space="preserve"> ADDIN EN.CITE.DATA </w:instrText>
      </w:r>
      <w:r w:rsidR="00194054">
        <w:fldChar w:fldCharType="end"/>
      </w:r>
      <w:r w:rsidR="00E14908" w:rsidRPr="00804DAF">
        <w:fldChar w:fldCharType="separate"/>
      </w:r>
      <w:r>
        <w:rPr>
          <w:noProof/>
        </w:rPr>
        <w:t>(</w:t>
      </w:r>
      <w:hyperlink w:anchor="_ENREF_84" w:tooltip="Kwan, 2014 #219" w:history="1">
        <w:r w:rsidR="00320458">
          <w:rPr>
            <w:noProof/>
          </w:rPr>
          <w:t>2014</w:t>
        </w:r>
      </w:hyperlink>
      <w:r>
        <w:rPr>
          <w:noProof/>
        </w:rPr>
        <w:t>)</w:t>
      </w:r>
      <w:r w:rsidR="00E14908" w:rsidRPr="00804DAF">
        <w:fldChar w:fldCharType="end"/>
      </w:r>
      <w:r w:rsidR="00A45197">
        <w:t xml:space="preserve"> compared ablation and surgery medical costs for a matched-pair cohort of Medicare patients. The cohort included 128 patients of at least 65 years of age with stage IA/IB NSCLC in the USA. Ablation had a mean cost of $50,682 over 24 months, while surgery had a mean cost of $57,994 over a similar period. The applicant has suggested that RFA is the appropriate comparator; however, this technology is not widely diffused in the Australian healthcare system and is not currently associated with an MBS item. Therefore, SBRT and surg</w:t>
      </w:r>
      <w:r w:rsidR="005B16C7">
        <w:t>ical</w:t>
      </w:r>
      <w:r w:rsidR="00A45197">
        <w:t xml:space="preserve"> treatments for patients with primary and secondary lung cancer are considered comparators to MTA</w:t>
      </w:r>
      <w:r w:rsidR="005B16C7">
        <w:t xml:space="preserve"> for the purposes of this economic evaluation.</w:t>
      </w:r>
    </w:p>
    <w:p w14:paraId="08D57845" w14:textId="12E61211" w:rsidR="00E56FF7" w:rsidRPr="00BC4A30" w:rsidRDefault="005B16C7" w:rsidP="00A45197">
      <w:pPr>
        <w:sectPr w:rsidR="00E56FF7" w:rsidRPr="00BC4A30" w:rsidSect="0024526E">
          <w:headerReference w:type="default" r:id="rId49"/>
          <w:pgSz w:w="11906" w:h="16838"/>
          <w:pgMar w:top="1440" w:right="1440" w:bottom="1440" w:left="1440" w:header="720" w:footer="720" w:gutter="0"/>
          <w:paperSrc w:first="7" w:other="7"/>
          <w:cols w:space="720"/>
        </w:sectPr>
      </w:pPr>
      <w:r>
        <w:t xml:space="preserve"> </w:t>
      </w:r>
      <w:r w:rsidR="00A45197">
        <w:t>.</w:t>
      </w:r>
    </w:p>
    <w:p w14:paraId="0073924A" w14:textId="77777777" w:rsidR="00E56FF7" w:rsidRPr="00BC4A30" w:rsidRDefault="00E56FF7" w:rsidP="00E56FF7">
      <w:pPr>
        <w:pStyle w:val="Caption"/>
        <w:keepNext/>
      </w:pPr>
      <w:bookmarkStart w:id="382" w:name="_Ref460248325"/>
      <w:bookmarkStart w:id="383" w:name="_Toc460514724"/>
      <w:r w:rsidRPr="00BC4A30">
        <w:lastRenderedPageBreak/>
        <w:t xml:space="preserve">Table </w:t>
      </w:r>
      <w:fldSimple w:instr=" SEQ Table \* ARABIC ">
        <w:r w:rsidR="00D170A5">
          <w:rPr>
            <w:noProof/>
          </w:rPr>
          <w:t>66</w:t>
        </w:r>
      </w:fldSimple>
      <w:bookmarkEnd w:id="382"/>
      <w:r w:rsidRPr="00BC4A30">
        <w:tab/>
        <w:t>Summary of published economic evaluation of MTA, RFA, surgery and RT to treat lung cancer</w:t>
      </w:r>
      <w:bookmarkEnd w:id="3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D.3.2"/>
        <w:tblDescription w:val="Summary of published economic evaluations"/>
      </w:tblPr>
      <w:tblGrid>
        <w:gridCol w:w="1075"/>
        <w:gridCol w:w="938"/>
        <w:gridCol w:w="2016"/>
        <w:gridCol w:w="1440"/>
        <w:gridCol w:w="1587"/>
        <w:gridCol w:w="1820"/>
        <w:gridCol w:w="1199"/>
        <w:gridCol w:w="4099"/>
      </w:tblGrid>
      <w:tr w:rsidR="00A07D80" w:rsidRPr="00A45197" w14:paraId="71FB57F3" w14:textId="77777777" w:rsidTr="000B2A2D">
        <w:trPr>
          <w:cantSplit/>
          <w:trHeight w:val="20"/>
          <w:tblHeader/>
        </w:trPr>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CBFC7BB" w14:textId="77777777" w:rsidR="00A45197" w:rsidRPr="000B2A2D" w:rsidRDefault="00A45197" w:rsidP="009E14FD">
            <w:pPr>
              <w:pStyle w:val="Tabletext1"/>
              <w:spacing w:before="50" w:after="50" w:line="276" w:lineRule="auto"/>
              <w:rPr>
                <w:rFonts w:eastAsia="Calibri"/>
                <w:b/>
                <w:lang w:val="en-NZ" w:eastAsia="en-US"/>
              </w:rPr>
            </w:pPr>
            <w:r w:rsidRPr="000B2A2D">
              <w:rPr>
                <w:rFonts w:eastAsia="Calibri"/>
                <w:b/>
                <w:lang w:val="en-NZ" w:eastAsia="en-US"/>
              </w:rPr>
              <w:t>Reference</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45E44E4" w14:textId="77777777" w:rsidR="00A45197" w:rsidRPr="000B2A2D" w:rsidRDefault="00A45197" w:rsidP="009E14FD">
            <w:pPr>
              <w:pStyle w:val="Tabletext1"/>
              <w:spacing w:before="50" w:after="50" w:line="276" w:lineRule="auto"/>
              <w:rPr>
                <w:rFonts w:eastAsia="Calibri"/>
                <w:b/>
                <w:lang w:val="en-NZ" w:eastAsia="en-US"/>
              </w:rPr>
            </w:pPr>
            <w:r w:rsidRPr="000B2A2D">
              <w:rPr>
                <w:rFonts w:eastAsia="Calibri"/>
                <w:b/>
                <w:lang w:val="en-NZ" w:eastAsia="en-US"/>
              </w:rPr>
              <w:t>Time Horizon</w:t>
            </w: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F858E1B" w14:textId="77777777" w:rsidR="00A45197" w:rsidRPr="000B2A2D" w:rsidRDefault="00A45197" w:rsidP="009E14FD">
            <w:pPr>
              <w:pStyle w:val="Tabletext1"/>
              <w:spacing w:before="50" w:after="50" w:line="276" w:lineRule="auto"/>
              <w:rPr>
                <w:rFonts w:eastAsia="Calibri"/>
                <w:b/>
                <w:lang w:val="en-NZ" w:eastAsia="en-US"/>
              </w:rPr>
            </w:pPr>
            <w:r w:rsidRPr="000B2A2D">
              <w:rPr>
                <w:rFonts w:eastAsia="Calibri"/>
                <w:b/>
                <w:lang w:val="en-NZ" w:eastAsia="en-US"/>
              </w:rPr>
              <w:t>Country and Population</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1A99340" w14:textId="77777777" w:rsidR="00A45197" w:rsidRPr="000B2A2D" w:rsidRDefault="00A45197" w:rsidP="009E14FD">
            <w:pPr>
              <w:pStyle w:val="Tabletext1"/>
              <w:spacing w:before="50" w:after="50" w:line="276" w:lineRule="auto"/>
              <w:rPr>
                <w:rFonts w:eastAsia="Calibri"/>
                <w:b/>
                <w:lang w:val="en-NZ" w:eastAsia="en-US"/>
              </w:rPr>
            </w:pPr>
            <w:r w:rsidRPr="000B2A2D">
              <w:rPr>
                <w:rFonts w:eastAsia="Calibri"/>
                <w:b/>
                <w:lang w:val="en-NZ" w:eastAsia="en-US"/>
              </w:rPr>
              <w:t>Intervention Cost</w:t>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82D864" w14:textId="77777777" w:rsidR="00A45197" w:rsidRPr="000B2A2D" w:rsidRDefault="00A45197" w:rsidP="009E14FD">
            <w:pPr>
              <w:pStyle w:val="Tabletext1"/>
              <w:spacing w:before="50" w:after="50" w:line="276" w:lineRule="auto"/>
              <w:rPr>
                <w:rFonts w:eastAsia="Calibri"/>
                <w:b/>
                <w:lang w:val="en-NZ" w:eastAsia="en-US"/>
              </w:rPr>
            </w:pPr>
            <w:r w:rsidRPr="000B2A2D">
              <w:rPr>
                <w:rFonts w:eastAsia="Calibri"/>
                <w:b/>
                <w:lang w:val="en-NZ" w:eastAsia="en-US"/>
              </w:rPr>
              <w:t>Comparator Costs</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3B43B83" w14:textId="77777777" w:rsidR="00A45197" w:rsidRPr="000B2A2D" w:rsidRDefault="00A45197" w:rsidP="009E14FD">
            <w:pPr>
              <w:pStyle w:val="Tabletext1"/>
              <w:spacing w:before="50" w:after="50" w:line="276" w:lineRule="auto"/>
              <w:rPr>
                <w:rFonts w:eastAsia="Calibri"/>
                <w:b/>
                <w:lang w:val="en-NZ" w:eastAsia="en-US"/>
              </w:rPr>
            </w:pPr>
            <w:r w:rsidRPr="000B2A2D">
              <w:rPr>
                <w:rFonts w:eastAsia="Calibri"/>
                <w:b/>
                <w:lang w:val="en-NZ" w:eastAsia="en-US"/>
              </w:rPr>
              <w:t>Type of analysis</w:t>
            </w:r>
          </w:p>
        </w:tc>
        <w:tc>
          <w:tcPr>
            <w:tcW w:w="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45BD97F" w14:textId="77777777" w:rsidR="00A45197" w:rsidRPr="000B2A2D" w:rsidRDefault="00A45197" w:rsidP="009E14FD">
            <w:pPr>
              <w:pStyle w:val="Tabletext1"/>
              <w:spacing w:before="50" w:after="50" w:line="276" w:lineRule="auto"/>
              <w:rPr>
                <w:rFonts w:eastAsia="Calibri"/>
                <w:b/>
                <w:lang w:val="en-NZ" w:eastAsia="en-US"/>
              </w:rPr>
            </w:pPr>
            <w:r w:rsidRPr="000B2A2D">
              <w:rPr>
                <w:rFonts w:eastAsia="Calibri"/>
                <w:b/>
                <w:lang w:val="en-NZ" w:eastAsia="en-US"/>
              </w:rPr>
              <w:t>Perspective</w:t>
            </w:r>
          </w:p>
        </w:tc>
        <w:tc>
          <w:tcPr>
            <w:tcW w:w="1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2B3ACDC" w14:textId="77777777" w:rsidR="00A45197" w:rsidRPr="000B2A2D" w:rsidRDefault="00A45197" w:rsidP="009E14FD">
            <w:pPr>
              <w:pStyle w:val="Tabletext1"/>
              <w:spacing w:before="50" w:after="50" w:line="276" w:lineRule="auto"/>
              <w:rPr>
                <w:rFonts w:eastAsia="Calibri" w:cs="Calibri"/>
                <w:b/>
                <w:lang w:val="en-US" w:eastAsia="zh-CN"/>
              </w:rPr>
            </w:pPr>
            <w:r w:rsidRPr="000B2A2D">
              <w:rPr>
                <w:rFonts w:eastAsia="Calibri"/>
                <w:b/>
                <w:lang w:val="en-NZ" w:eastAsia="en-US"/>
              </w:rPr>
              <w:t>Results</w:t>
            </w:r>
          </w:p>
        </w:tc>
      </w:tr>
      <w:tr w:rsidR="00A07D80" w:rsidRPr="00A45197" w14:paraId="10D70803" w14:textId="77777777" w:rsidTr="009E14FD">
        <w:trPr>
          <w:cantSplit/>
          <w:trHeight w:val="20"/>
        </w:trPr>
        <w:tc>
          <w:tcPr>
            <w:tcW w:w="379" w:type="pct"/>
            <w:tcBorders>
              <w:top w:val="single" w:sz="4" w:space="0" w:color="auto"/>
              <w:left w:val="single" w:sz="4" w:space="0" w:color="auto"/>
              <w:bottom w:val="single" w:sz="4" w:space="0" w:color="auto"/>
              <w:right w:val="single" w:sz="4" w:space="0" w:color="auto"/>
            </w:tcBorders>
          </w:tcPr>
          <w:p w14:paraId="5269F1FF" w14:textId="0D4567B1" w:rsidR="00A45197" w:rsidRPr="00A45197" w:rsidRDefault="00A45197" w:rsidP="00320458">
            <w:pPr>
              <w:pStyle w:val="Tabletext1"/>
              <w:spacing w:before="50" w:after="50" w:line="276" w:lineRule="auto"/>
              <w:rPr>
                <w:lang w:val="en-US"/>
              </w:rPr>
            </w:pPr>
            <w:r w:rsidRPr="00A45197">
              <w:rPr>
                <w:lang w:val="en-US"/>
              </w:rPr>
              <w:t>Sher et</w:t>
            </w:r>
            <w:r w:rsidR="00192EDA">
              <w:rPr>
                <w:lang w:val="en-US"/>
              </w:rPr>
              <w:t xml:space="preserve"> al. </w:t>
            </w:r>
            <w:r w:rsidR="00804DAF">
              <w:rPr>
                <w:lang w:val="en-US"/>
              </w:rPr>
              <w:fldChar w:fldCharType="begin">
                <w:fldData xml:space="preserve">PEVuZE5vdGU+PENpdGUgRXhjbHVkZUF1dGg9IjEiPjxBdXRob3I+U2hlcjwvQXV0aG9yPjxZZWFy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</w:fldData>
              </w:fldChar>
            </w:r>
            <w:r w:rsidR="001D5452">
              <w:rPr>
                <w:lang w:val="en-US"/>
              </w:rPr>
              <w:instrText xml:space="preserve"> ADDIN EN.CITE </w:instrText>
            </w:r>
            <w:r w:rsidR="001D5452">
              <w:rPr>
                <w:lang w:val="en-US"/>
              </w:rPr>
              <w:fldChar w:fldCharType="begin">
                <w:fldData xml:space="preserve">PEVuZE5vdGU+PENpdGUgRXhjbHVkZUF1dGg9IjEiPjxBdXRob3I+U2hlcjwvQXV0aG9yPjxZZWFy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</w:fldData>
              </w:fldChar>
            </w:r>
            <w:r w:rsidR="001D5452">
              <w:rPr>
                <w:lang w:val="en-US"/>
              </w:rPr>
              <w:instrText xml:space="preserve"> ADDIN EN.CITE.DATA </w:instrText>
            </w:r>
            <w:r w:rsidR="001D5452">
              <w:rPr>
                <w:lang w:val="en-US"/>
              </w:rPr>
            </w:r>
            <w:r w:rsidR="001D5452">
              <w:rPr>
                <w:lang w:val="en-US"/>
              </w:rPr>
              <w:fldChar w:fldCharType="end"/>
            </w:r>
            <w:r w:rsidR="00804DAF">
              <w:rPr>
                <w:lang w:val="en-US"/>
              </w:rPr>
            </w:r>
            <w:r w:rsidR="00804DAF">
              <w:rPr>
                <w:lang w:val="en-US"/>
              </w:rPr>
              <w:fldChar w:fldCharType="separate"/>
            </w:r>
            <w:r w:rsidR="001D5452">
              <w:rPr>
                <w:noProof/>
                <w:lang w:val="en-US"/>
              </w:rPr>
              <w:t>(</w:t>
            </w:r>
            <w:hyperlink w:anchor="_ENREF_138" w:tooltip="Sher, 2011 #236" w:history="1">
              <w:r w:rsidR="00320458">
                <w:rPr>
                  <w:noProof/>
                  <w:lang w:val="en-US"/>
                </w:rPr>
                <w:t>2011</w:t>
              </w:r>
            </w:hyperlink>
            <w:r w:rsidR="001D5452">
              <w:rPr>
                <w:noProof/>
                <w:lang w:val="en-US"/>
              </w:rPr>
              <w:t>)</w:t>
            </w:r>
            <w:r w:rsidR="00804DAF">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4575B30E" w14:textId="77777777" w:rsidR="00A45197" w:rsidRPr="00A45197" w:rsidRDefault="00A45197" w:rsidP="009E14FD">
            <w:pPr>
              <w:pStyle w:val="Tabletext1"/>
              <w:spacing w:before="50" w:after="50" w:line="276" w:lineRule="auto"/>
              <w:rPr>
                <w:lang w:val="en-US"/>
              </w:rPr>
            </w:pPr>
            <w:r w:rsidRPr="00A45197">
              <w:rPr>
                <w:lang w:val="en-US"/>
              </w:rPr>
              <w:t>A lifetime horizon</w:t>
            </w:r>
          </w:p>
        </w:tc>
        <w:tc>
          <w:tcPr>
            <w:tcW w:w="711" w:type="pct"/>
            <w:tcBorders>
              <w:top w:val="single" w:sz="4" w:space="0" w:color="auto"/>
              <w:left w:val="single" w:sz="4" w:space="0" w:color="auto"/>
              <w:bottom w:val="single" w:sz="4" w:space="0" w:color="auto"/>
              <w:right w:val="single" w:sz="4" w:space="0" w:color="auto"/>
            </w:tcBorders>
          </w:tcPr>
          <w:p w14:paraId="4F62FDBF" w14:textId="77777777" w:rsidR="00A45197" w:rsidRPr="00A45197" w:rsidRDefault="00A45197" w:rsidP="009E14FD">
            <w:pPr>
              <w:pStyle w:val="Tabletext1"/>
              <w:spacing w:before="50" w:after="50" w:line="276" w:lineRule="auto"/>
              <w:rPr>
                <w:lang w:val="en-US"/>
              </w:rPr>
            </w:pPr>
            <w:r w:rsidRPr="00A45197">
              <w:rPr>
                <w:lang w:val="en-US"/>
              </w:rPr>
              <w:t>65-year-old men with medically inoperable NSCLC in USA</w:t>
            </w:r>
          </w:p>
        </w:tc>
        <w:tc>
          <w:tcPr>
            <w:tcW w:w="508" w:type="pct"/>
            <w:tcBorders>
              <w:top w:val="single" w:sz="4" w:space="0" w:color="auto"/>
              <w:left w:val="single" w:sz="4" w:space="0" w:color="auto"/>
              <w:bottom w:val="single" w:sz="4" w:space="0" w:color="auto"/>
              <w:right w:val="single" w:sz="4" w:space="0" w:color="auto"/>
            </w:tcBorders>
          </w:tcPr>
          <w:p w14:paraId="23AD642D" w14:textId="77777777" w:rsidR="00A45197" w:rsidRPr="00A45197" w:rsidRDefault="00A45197" w:rsidP="009E14FD">
            <w:pPr>
              <w:pStyle w:val="Tabletext1"/>
              <w:spacing w:before="50" w:after="50" w:line="276" w:lineRule="auto"/>
              <w:rPr>
                <w:lang w:val="en-US"/>
              </w:rPr>
            </w:pPr>
            <w:r w:rsidRPr="00A45197">
              <w:rPr>
                <w:lang w:val="en-US"/>
              </w:rPr>
              <w:t>RFA treatment for eradiation of pulmonary tumour and guidance cost of $5,879.62</w:t>
            </w:r>
          </w:p>
        </w:tc>
        <w:tc>
          <w:tcPr>
            <w:tcW w:w="560" w:type="pct"/>
            <w:tcBorders>
              <w:top w:val="single" w:sz="4" w:space="0" w:color="auto"/>
              <w:left w:val="single" w:sz="4" w:space="0" w:color="auto"/>
              <w:bottom w:val="single" w:sz="4" w:space="0" w:color="auto"/>
              <w:right w:val="single" w:sz="4" w:space="0" w:color="auto"/>
            </w:tcBorders>
          </w:tcPr>
          <w:p w14:paraId="4DE8D961" w14:textId="77777777" w:rsidR="00A45197" w:rsidRPr="00A45197" w:rsidRDefault="00A45197" w:rsidP="009E14FD">
            <w:pPr>
              <w:pStyle w:val="Tabletext1"/>
              <w:spacing w:before="50" w:after="50" w:line="276" w:lineRule="auto"/>
              <w:rPr>
                <w:lang w:val="en-US"/>
              </w:rPr>
            </w:pPr>
            <w:r w:rsidRPr="00A45197">
              <w:rPr>
                <w:lang w:val="en-US"/>
              </w:rPr>
              <w:t>SBRT cost of $14,741.13 includes simulation, planning and treatment</w:t>
            </w:r>
          </w:p>
        </w:tc>
        <w:tc>
          <w:tcPr>
            <w:tcW w:w="642" w:type="pct"/>
            <w:tcBorders>
              <w:top w:val="single" w:sz="4" w:space="0" w:color="auto"/>
              <w:left w:val="single" w:sz="4" w:space="0" w:color="auto"/>
              <w:bottom w:val="single" w:sz="4" w:space="0" w:color="auto"/>
              <w:right w:val="single" w:sz="4" w:space="0" w:color="auto"/>
            </w:tcBorders>
          </w:tcPr>
          <w:p w14:paraId="78E83F91" w14:textId="77777777" w:rsidR="00A45197" w:rsidRPr="00A45197" w:rsidRDefault="00A45197" w:rsidP="009E14FD">
            <w:pPr>
              <w:pStyle w:val="Tabletext1"/>
              <w:spacing w:before="50" w:after="50" w:line="276" w:lineRule="auto"/>
              <w:rPr>
                <w:lang w:val="en-US"/>
              </w:rPr>
            </w:pPr>
            <w:r w:rsidRPr="00A45197">
              <w:rPr>
                <w:lang w:val="en-US"/>
              </w:rPr>
              <w:t>Markov model comparing RFA, SBRT and 3DCRT</w:t>
            </w:r>
          </w:p>
        </w:tc>
        <w:tc>
          <w:tcPr>
            <w:tcW w:w="423" w:type="pct"/>
            <w:tcBorders>
              <w:top w:val="single" w:sz="4" w:space="0" w:color="auto"/>
              <w:left w:val="single" w:sz="4" w:space="0" w:color="auto"/>
              <w:bottom w:val="single" w:sz="4" w:space="0" w:color="auto"/>
              <w:right w:val="single" w:sz="4" w:space="0" w:color="auto"/>
            </w:tcBorders>
          </w:tcPr>
          <w:p w14:paraId="00DB9C02" w14:textId="77777777" w:rsidR="00A45197" w:rsidRPr="00A45197" w:rsidRDefault="00A45197" w:rsidP="009E14FD">
            <w:pPr>
              <w:pStyle w:val="Tabletext1"/>
              <w:spacing w:before="50" w:after="50" w:line="276" w:lineRule="auto"/>
            </w:pPr>
            <w:r w:rsidRPr="00A45197">
              <w:t>Payer</w:t>
            </w:r>
          </w:p>
        </w:tc>
        <w:tc>
          <w:tcPr>
            <w:tcW w:w="1446" w:type="pct"/>
            <w:tcBorders>
              <w:top w:val="single" w:sz="4" w:space="0" w:color="auto"/>
              <w:left w:val="single" w:sz="4" w:space="0" w:color="auto"/>
              <w:bottom w:val="single" w:sz="4" w:space="0" w:color="auto"/>
              <w:right w:val="single" w:sz="4" w:space="0" w:color="auto"/>
            </w:tcBorders>
          </w:tcPr>
          <w:p w14:paraId="03FCB5CC" w14:textId="16C17FC9" w:rsidR="00A45197" w:rsidRPr="00A45197" w:rsidRDefault="00A45197" w:rsidP="009E14FD">
            <w:pPr>
              <w:pStyle w:val="Tabletext1"/>
              <w:spacing w:before="50" w:after="50" w:line="276" w:lineRule="auto"/>
              <w:rPr>
                <w:lang w:val="en-US"/>
              </w:rPr>
            </w:pPr>
            <w:r w:rsidRPr="00A45197">
              <w:rPr>
                <w:lang w:val="en-US"/>
              </w:rPr>
              <w:t>SBRT had an I</w:t>
            </w:r>
            <w:r w:rsidR="00035B47">
              <w:rPr>
                <w:lang w:val="en-US"/>
              </w:rPr>
              <w:t xml:space="preserve">CER of $6,000/QALY compared to </w:t>
            </w:r>
            <w:r w:rsidRPr="00A45197">
              <w:rPr>
                <w:lang w:val="en-US"/>
              </w:rPr>
              <w:t>3DCRT and $14,100/QALY for SBRT relative to RFA.</w:t>
            </w:r>
          </w:p>
        </w:tc>
      </w:tr>
      <w:tr w:rsidR="00A07D80" w:rsidRPr="00A45197" w14:paraId="078CDDC7" w14:textId="77777777" w:rsidTr="009E14FD">
        <w:trPr>
          <w:cantSplit/>
          <w:trHeight w:val="20"/>
        </w:trPr>
        <w:tc>
          <w:tcPr>
            <w:tcW w:w="379" w:type="pct"/>
            <w:tcBorders>
              <w:top w:val="single" w:sz="4" w:space="0" w:color="auto"/>
              <w:left w:val="single" w:sz="4" w:space="0" w:color="auto"/>
              <w:bottom w:val="single" w:sz="4" w:space="0" w:color="auto"/>
              <w:right w:val="single" w:sz="4" w:space="0" w:color="auto"/>
            </w:tcBorders>
          </w:tcPr>
          <w:p w14:paraId="245B2335" w14:textId="69A62D82" w:rsidR="00A45197" w:rsidRPr="00A45197" w:rsidRDefault="00A45197" w:rsidP="00320458">
            <w:pPr>
              <w:pStyle w:val="Tabletext1"/>
              <w:spacing w:before="50" w:after="50" w:line="276" w:lineRule="auto"/>
              <w:rPr>
                <w:lang w:val="en-US"/>
              </w:rPr>
            </w:pPr>
            <w:r w:rsidRPr="00A45197">
              <w:rPr>
                <w:lang w:val="en-US"/>
              </w:rPr>
              <w:t>Alexander et al</w:t>
            </w:r>
            <w:r w:rsidR="00192EDA">
              <w:rPr>
                <w:lang w:val="en-US"/>
              </w:rPr>
              <w:t xml:space="preserve"> </w:t>
            </w:r>
            <w:r w:rsidR="00804DAF">
              <w:rPr>
                <w:lang w:val="en-US"/>
              </w:rPr>
              <w:fldChar w:fldCharType="begin">
                <w:fldData xml:space="preserve">PEVuZE5vdGU+PENpdGUgRXhjbHVkZUF1dGg9IjEiPjxBdXRob3I+QWxleGFuZGVyPC9BdXRob3I+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</w:fldData>
              </w:fldChar>
            </w:r>
            <w:r w:rsidR="00192EDA">
              <w:rPr>
                <w:lang w:val="en-US"/>
              </w:rPr>
              <w:instrText xml:space="preserve"> ADDIN EN.CITE </w:instrText>
            </w:r>
            <w:r w:rsidR="00192EDA">
              <w:rPr>
                <w:lang w:val="en-US"/>
              </w:rPr>
              <w:fldChar w:fldCharType="begin">
                <w:fldData xml:space="preserve">PEVuZE5vdGU+PENpdGUgRXhjbHVkZUF1dGg9IjEiPjxBdXRob3I+QWxleGFuZGVyPC9BdXRob3I+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</w:fldData>
              </w:fldChar>
            </w:r>
            <w:r w:rsidR="00192EDA">
              <w:rPr>
                <w:lang w:val="en-US"/>
              </w:rPr>
              <w:instrText xml:space="preserve"> ADDIN EN.CITE.DATA </w:instrText>
            </w:r>
            <w:r w:rsidR="00192EDA">
              <w:rPr>
                <w:lang w:val="en-US"/>
              </w:rPr>
            </w:r>
            <w:r w:rsidR="00192EDA">
              <w:rPr>
                <w:lang w:val="en-US"/>
              </w:rPr>
              <w:fldChar w:fldCharType="end"/>
            </w:r>
            <w:r w:rsidR="00804DAF">
              <w:rPr>
                <w:lang w:val="en-US"/>
              </w:rPr>
            </w:r>
            <w:r w:rsidR="00804DAF">
              <w:rPr>
                <w:lang w:val="en-US"/>
              </w:rPr>
              <w:fldChar w:fldCharType="separate"/>
            </w:r>
            <w:r w:rsidR="00192EDA">
              <w:rPr>
                <w:noProof/>
                <w:lang w:val="en-US"/>
              </w:rPr>
              <w:t>(</w:t>
            </w:r>
            <w:hyperlink w:anchor="_ENREF_4" w:tooltip="Alexander, 2013 #193" w:history="1">
              <w:r w:rsidR="00320458">
                <w:rPr>
                  <w:noProof/>
                  <w:lang w:val="en-US"/>
                </w:rPr>
                <w:t>2013b</w:t>
              </w:r>
            </w:hyperlink>
            <w:r w:rsidR="00192EDA">
              <w:rPr>
                <w:noProof/>
                <w:lang w:val="en-US"/>
              </w:rPr>
              <w:t>)</w:t>
            </w:r>
            <w:r w:rsidR="00804DAF">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576260BB" w14:textId="77777777" w:rsidR="00A45197" w:rsidRPr="00A45197" w:rsidRDefault="00A45197" w:rsidP="009E14FD">
            <w:pPr>
              <w:pStyle w:val="Tabletext1"/>
              <w:spacing w:before="50" w:after="50" w:line="276" w:lineRule="auto"/>
              <w:rPr>
                <w:lang w:val="en-US"/>
              </w:rPr>
            </w:pPr>
            <w:r w:rsidRPr="00A45197">
              <w:rPr>
                <w:lang w:val="en-US"/>
              </w:rPr>
              <w:t xml:space="preserve">9 years </w:t>
            </w:r>
          </w:p>
        </w:tc>
        <w:tc>
          <w:tcPr>
            <w:tcW w:w="711" w:type="pct"/>
            <w:tcBorders>
              <w:top w:val="single" w:sz="4" w:space="0" w:color="auto"/>
              <w:left w:val="single" w:sz="4" w:space="0" w:color="auto"/>
              <w:bottom w:val="single" w:sz="4" w:space="0" w:color="auto"/>
              <w:right w:val="single" w:sz="4" w:space="0" w:color="auto"/>
            </w:tcBorders>
          </w:tcPr>
          <w:p w14:paraId="7425C5FD" w14:textId="77777777" w:rsidR="00A45197" w:rsidRPr="00A45197" w:rsidRDefault="00A45197" w:rsidP="009E14FD">
            <w:pPr>
              <w:pStyle w:val="Tabletext1"/>
              <w:spacing w:before="50" w:after="50" w:line="276" w:lineRule="auto"/>
              <w:rPr>
                <w:lang w:val="en-US"/>
              </w:rPr>
            </w:pPr>
            <w:r w:rsidRPr="00A45197">
              <w:rPr>
                <w:lang w:val="en-US"/>
              </w:rPr>
              <w:t>84 patients older than 65 years of age with stage IA or IB non–small-cell lung cancer in the USA</w:t>
            </w:r>
          </w:p>
        </w:tc>
        <w:tc>
          <w:tcPr>
            <w:tcW w:w="508" w:type="pct"/>
            <w:tcBorders>
              <w:top w:val="single" w:sz="4" w:space="0" w:color="auto"/>
              <w:left w:val="single" w:sz="4" w:space="0" w:color="auto"/>
              <w:bottom w:val="single" w:sz="4" w:space="0" w:color="auto"/>
              <w:right w:val="single" w:sz="4" w:space="0" w:color="auto"/>
            </w:tcBorders>
          </w:tcPr>
          <w:p w14:paraId="682975DE" w14:textId="4C749E3B" w:rsidR="00A45197" w:rsidRPr="00A45197" w:rsidRDefault="00A45197" w:rsidP="009E14FD">
            <w:pPr>
              <w:pStyle w:val="Tabletext1"/>
              <w:spacing w:before="50" w:after="50" w:line="276" w:lineRule="auto"/>
              <w:rPr>
                <w:lang w:val="en-US"/>
              </w:rPr>
            </w:pPr>
            <w:r w:rsidRPr="00A45197">
              <w:rPr>
                <w:lang w:val="en-US"/>
              </w:rPr>
              <w:t xml:space="preserve">Median cost per month lived was $620.74 for </w:t>
            </w:r>
            <w:r w:rsidR="0037293B">
              <w:rPr>
                <w:lang w:val="en-US"/>
              </w:rPr>
              <w:t>RFA</w:t>
            </w:r>
          </w:p>
        </w:tc>
        <w:tc>
          <w:tcPr>
            <w:tcW w:w="560" w:type="pct"/>
            <w:tcBorders>
              <w:top w:val="single" w:sz="4" w:space="0" w:color="auto"/>
              <w:left w:val="single" w:sz="4" w:space="0" w:color="auto"/>
              <w:bottom w:val="single" w:sz="4" w:space="0" w:color="auto"/>
              <w:right w:val="single" w:sz="4" w:space="0" w:color="auto"/>
            </w:tcBorders>
          </w:tcPr>
          <w:p w14:paraId="199BA256" w14:textId="77777777" w:rsidR="00A45197" w:rsidRPr="00A45197" w:rsidRDefault="00A45197" w:rsidP="009E14FD">
            <w:pPr>
              <w:pStyle w:val="Tabletext1"/>
              <w:spacing w:before="50" w:after="50" w:line="276" w:lineRule="auto"/>
              <w:rPr>
                <w:lang w:val="en-US"/>
              </w:rPr>
            </w:pPr>
            <w:r w:rsidRPr="00A45197">
              <w:rPr>
                <w:lang w:val="en-US"/>
              </w:rPr>
              <w:t>Median cost of $1,195.92 per month for a patient treated surgically</w:t>
            </w:r>
          </w:p>
        </w:tc>
        <w:tc>
          <w:tcPr>
            <w:tcW w:w="642" w:type="pct"/>
            <w:tcBorders>
              <w:top w:val="single" w:sz="4" w:space="0" w:color="auto"/>
              <w:left w:val="single" w:sz="4" w:space="0" w:color="auto"/>
              <w:bottom w:val="single" w:sz="4" w:space="0" w:color="auto"/>
              <w:right w:val="single" w:sz="4" w:space="0" w:color="auto"/>
            </w:tcBorders>
          </w:tcPr>
          <w:p w14:paraId="02AF8B2C" w14:textId="77777777" w:rsidR="00A45197" w:rsidRPr="00A45197" w:rsidRDefault="00A45197" w:rsidP="009E14FD">
            <w:pPr>
              <w:pStyle w:val="Tabletext1"/>
              <w:spacing w:before="50" w:after="50" w:line="276" w:lineRule="auto"/>
              <w:rPr>
                <w:lang w:val="en-US"/>
              </w:rPr>
            </w:pPr>
            <w:r w:rsidRPr="00A45197">
              <w:rPr>
                <w:lang w:val="en-US"/>
              </w:rPr>
              <w:t>Patient health histories and billing charges converted to 2009 Medicare reimbursement fees.</w:t>
            </w:r>
          </w:p>
        </w:tc>
        <w:tc>
          <w:tcPr>
            <w:tcW w:w="423" w:type="pct"/>
            <w:tcBorders>
              <w:top w:val="single" w:sz="4" w:space="0" w:color="auto"/>
              <w:left w:val="single" w:sz="4" w:space="0" w:color="auto"/>
              <w:bottom w:val="single" w:sz="4" w:space="0" w:color="auto"/>
              <w:right w:val="single" w:sz="4" w:space="0" w:color="auto"/>
            </w:tcBorders>
          </w:tcPr>
          <w:p w14:paraId="237AC6DE" w14:textId="77777777" w:rsidR="00A45197" w:rsidRPr="00A45197" w:rsidRDefault="00A45197" w:rsidP="009E14FD">
            <w:pPr>
              <w:pStyle w:val="Tabletext1"/>
              <w:spacing w:before="50" w:after="50" w:line="276" w:lineRule="auto"/>
            </w:pPr>
            <w:r w:rsidRPr="00A45197">
              <w:t>Payer</w:t>
            </w:r>
          </w:p>
        </w:tc>
        <w:tc>
          <w:tcPr>
            <w:tcW w:w="1446" w:type="pct"/>
            <w:tcBorders>
              <w:top w:val="single" w:sz="4" w:space="0" w:color="auto"/>
              <w:left w:val="single" w:sz="4" w:space="0" w:color="auto"/>
              <w:bottom w:val="single" w:sz="4" w:space="0" w:color="auto"/>
              <w:right w:val="single" w:sz="4" w:space="0" w:color="auto"/>
            </w:tcBorders>
          </w:tcPr>
          <w:p w14:paraId="382BE8C0" w14:textId="6E26A5A8" w:rsidR="00A45197" w:rsidRPr="00A45197" w:rsidRDefault="00A45197" w:rsidP="009E14FD">
            <w:pPr>
              <w:pStyle w:val="Tabletext1"/>
              <w:spacing w:before="50" w:after="50" w:line="276" w:lineRule="auto"/>
              <w:rPr>
                <w:lang w:val="en-US"/>
              </w:rPr>
            </w:pPr>
            <w:r w:rsidRPr="00A45197">
              <w:rPr>
                <w:lang w:val="en-US"/>
              </w:rPr>
              <w:t>RF</w:t>
            </w:r>
            <w:r w:rsidR="0037293B">
              <w:rPr>
                <w:lang w:val="en-US"/>
              </w:rPr>
              <w:t>A</w:t>
            </w:r>
            <w:r w:rsidRPr="00A45197">
              <w:rPr>
                <w:lang w:val="en-US"/>
              </w:rPr>
              <w:t xml:space="preserve"> patients were calculated to have a cost per month of life of $620.74, compared to $1,195.92 for surgery </w:t>
            </w:r>
          </w:p>
        </w:tc>
      </w:tr>
      <w:tr w:rsidR="00A07D80" w:rsidRPr="00A45197" w14:paraId="74FCBF54" w14:textId="77777777" w:rsidTr="009E14FD">
        <w:trPr>
          <w:cantSplit/>
          <w:trHeight w:val="1671"/>
        </w:trPr>
        <w:tc>
          <w:tcPr>
            <w:tcW w:w="379" w:type="pct"/>
            <w:tcBorders>
              <w:top w:val="single" w:sz="4" w:space="0" w:color="auto"/>
              <w:left w:val="single" w:sz="4" w:space="0" w:color="auto"/>
              <w:bottom w:val="single" w:sz="4" w:space="0" w:color="auto"/>
              <w:right w:val="single" w:sz="4" w:space="0" w:color="auto"/>
            </w:tcBorders>
          </w:tcPr>
          <w:p w14:paraId="4224CE78" w14:textId="38DF989A" w:rsidR="00A45197" w:rsidRPr="00A45197" w:rsidRDefault="00192EDA" w:rsidP="00320458">
            <w:pPr>
              <w:pStyle w:val="Tabletext1"/>
              <w:spacing w:before="50" w:after="50" w:line="276" w:lineRule="auto"/>
              <w:rPr>
                <w:lang w:val="en-US"/>
              </w:rPr>
            </w:pPr>
            <w:r>
              <w:rPr>
                <w:lang w:val="en-US"/>
              </w:rPr>
              <w:t xml:space="preserve">Kwan et al </w:t>
            </w:r>
            <w:r w:rsidR="00804DAF">
              <w:rPr>
                <w:lang w:val="en-US"/>
              </w:rPr>
              <w:fldChar w:fldCharType="begin">
                <w:fldData xml:space="preserve">PEVuZE5vdGU+PENpdGUgRXhjbHVkZUF1dGg9IjEiPjxBdXRob3I+S3dhbjwvQXV0aG9yPjxZZWFy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</w:fldData>
              </w:fldChar>
            </w:r>
            <w:r>
              <w:rPr>
                <w:lang w:val="en-US"/>
              </w:rPr>
              <w:instrText xml:space="preserve"> ADDIN EN.CITE </w:instrText>
            </w:r>
            <w:r>
              <w:rPr>
                <w:lang w:val="en-US"/>
              </w:rPr>
              <w:fldChar w:fldCharType="begin">
                <w:fldData xml:space="preserve">PEVuZE5vdGU+PENpdGUgRXhjbHVkZUF1dGg9IjEiPjxBdXRob3I+S3dhbjwvQXV0aG9yPjxZZWFy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</w:fldData>
              </w:fldChar>
            </w:r>
            <w:r>
              <w:rPr>
                <w:lang w:val="en-US"/>
              </w:rPr>
              <w:instrText xml:space="preserve"> ADDIN EN.CITE.DATA </w:instrText>
            </w:r>
            <w:r>
              <w:rPr>
                <w:lang w:val="en-US"/>
              </w:rPr>
            </w:r>
            <w:r>
              <w:rPr>
                <w:lang w:val="en-US"/>
              </w:rPr>
              <w:fldChar w:fldCharType="end"/>
            </w:r>
            <w:r w:rsidR="00804DAF">
              <w:rPr>
                <w:lang w:val="en-US"/>
              </w:rPr>
            </w:r>
            <w:r w:rsidR="00804DAF">
              <w:rPr>
                <w:lang w:val="en-US"/>
              </w:rPr>
              <w:fldChar w:fldCharType="separate"/>
            </w:r>
            <w:r>
              <w:rPr>
                <w:noProof/>
                <w:lang w:val="en-US"/>
              </w:rPr>
              <w:t>(</w:t>
            </w:r>
            <w:hyperlink w:anchor="_ENREF_84" w:tooltip="Kwan, 2014 #219" w:history="1">
              <w:r w:rsidR="00320458">
                <w:rPr>
                  <w:noProof/>
                  <w:lang w:val="en-US"/>
                </w:rPr>
                <w:t>2014</w:t>
              </w:r>
            </w:hyperlink>
            <w:r>
              <w:rPr>
                <w:noProof/>
                <w:lang w:val="en-US"/>
              </w:rPr>
              <w:t>)</w:t>
            </w:r>
            <w:r w:rsidR="00804DAF">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1911ADC2" w14:textId="77777777" w:rsidR="00A45197" w:rsidRPr="00A45197" w:rsidRDefault="00A45197" w:rsidP="009E14FD">
            <w:pPr>
              <w:pStyle w:val="Tabletext1"/>
              <w:spacing w:before="50" w:after="50" w:line="276" w:lineRule="auto"/>
              <w:rPr>
                <w:lang w:val="en-US"/>
              </w:rPr>
            </w:pPr>
            <w:r w:rsidRPr="00A45197">
              <w:rPr>
                <w:lang w:val="en-US"/>
              </w:rPr>
              <w:t>2 years</w:t>
            </w:r>
          </w:p>
        </w:tc>
        <w:tc>
          <w:tcPr>
            <w:tcW w:w="711" w:type="pct"/>
            <w:tcBorders>
              <w:top w:val="single" w:sz="4" w:space="0" w:color="auto"/>
              <w:left w:val="single" w:sz="4" w:space="0" w:color="auto"/>
              <w:bottom w:val="single" w:sz="4" w:space="0" w:color="auto"/>
              <w:right w:val="single" w:sz="4" w:space="0" w:color="auto"/>
            </w:tcBorders>
          </w:tcPr>
          <w:p w14:paraId="5643AEFC" w14:textId="77777777" w:rsidR="00A45197" w:rsidRPr="00A45197" w:rsidRDefault="00A45197" w:rsidP="009E14FD">
            <w:pPr>
              <w:pStyle w:val="Tabletext1"/>
              <w:spacing w:before="50" w:after="50" w:line="276" w:lineRule="auto"/>
              <w:rPr>
                <w:lang w:val="en-US"/>
              </w:rPr>
            </w:pPr>
            <w:r w:rsidRPr="00A45197">
              <w:rPr>
                <w:lang w:val="en-US"/>
              </w:rPr>
              <w:t>Matched cohort of 128 patients of at least 65 years of age with stage IA/IB NSCLC in USA</w:t>
            </w:r>
          </w:p>
        </w:tc>
        <w:tc>
          <w:tcPr>
            <w:tcW w:w="508" w:type="pct"/>
            <w:tcBorders>
              <w:top w:val="single" w:sz="4" w:space="0" w:color="auto"/>
              <w:left w:val="single" w:sz="4" w:space="0" w:color="auto"/>
              <w:bottom w:val="single" w:sz="4" w:space="0" w:color="auto"/>
              <w:right w:val="single" w:sz="4" w:space="0" w:color="auto"/>
            </w:tcBorders>
          </w:tcPr>
          <w:p w14:paraId="7D9CECA2" w14:textId="77777777" w:rsidR="00A45197" w:rsidRPr="00A45197" w:rsidRDefault="00A45197" w:rsidP="009E14FD">
            <w:pPr>
              <w:pStyle w:val="Tabletext1"/>
              <w:spacing w:before="50" w:after="50" w:line="276" w:lineRule="auto"/>
              <w:rPr>
                <w:lang w:val="en-US"/>
              </w:rPr>
            </w:pPr>
            <w:r w:rsidRPr="00A45197">
              <w:rPr>
                <w:lang w:val="en-US"/>
              </w:rPr>
              <w:t>Ablation had a mean cost of $50,682 over 24 months</w:t>
            </w:r>
          </w:p>
        </w:tc>
        <w:tc>
          <w:tcPr>
            <w:tcW w:w="560" w:type="pct"/>
            <w:tcBorders>
              <w:top w:val="single" w:sz="4" w:space="0" w:color="auto"/>
              <w:left w:val="single" w:sz="4" w:space="0" w:color="auto"/>
              <w:bottom w:val="single" w:sz="4" w:space="0" w:color="auto"/>
              <w:right w:val="single" w:sz="4" w:space="0" w:color="auto"/>
            </w:tcBorders>
          </w:tcPr>
          <w:p w14:paraId="082F030F" w14:textId="77777777" w:rsidR="00A45197" w:rsidRPr="00A45197" w:rsidRDefault="00A45197" w:rsidP="009E14FD">
            <w:pPr>
              <w:pStyle w:val="Tabletext1"/>
              <w:spacing w:before="50" w:after="50" w:line="276" w:lineRule="auto"/>
              <w:rPr>
                <w:lang w:val="en-US"/>
              </w:rPr>
            </w:pPr>
            <w:r w:rsidRPr="00A45197">
              <w:rPr>
                <w:lang w:val="en-US"/>
              </w:rPr>
              <w:t>Surgery had a mean cost of $57,994 over 24 months</w:t>
            </w:r>
          </w:p>
        </w:tc>
        <w:tc>
          <w:tcPr>
            <w:tcW w:w="642" w:type="pct"/>
            <w:tcBorders>
              <w:top w:val="single" w:sz="4" w:space="0" w:color="auto"/>
              <w:left w:val="single" w:sz="4" w:space="0" w:color="auto"/>
              <w:bottom w:val="single" w:sz="4" w:space="0" w:color="auto"/>
              <w:right w:val="single" w:sz="4" w:space="0" w:color="auto"/>
            </w:tcBorders>
          </w:tcPr>
          <w:p w14:paraId="0E9501D6" w14:textId="77777777" w:rsidR="00A45197" w:rsidRPr="00A45197" w:rsidRDefault="00A45197" w:rsidP="009E14FD">
            <w:pPr>
              <w:pStyle w:val="Tabletext1"/>
              <w:spacing w:before="50" w:after="50" w:line="276" w:lineRule="auto"/>
              <w:rPr>
                <w:lang w:val="en-US"/>
              </w:rPr>
            </w:pPr>
            <w:r w:rsidRPr="00A45197">
              <w:rPr>
                <w:lang w:val="en-US"/>
              </w:rPr>
              <w:t>Compared medical costs for a matched-pair cohort of Medicare patients.</w:t>
            </w:r>
          </w:p>
        </w:tc>
        <w:tc>
          <w:tcPr>
            <w:tcW w:w="423" w:type="pct"/>
            <w:tcBorders>
              <w:top w:val="single" w:sz="4" w:space="0" w:color="auto"/>
              <w:left w:val="single" w:sz="4" w:space="0" w:color="auto"/>
              <w:bottom w:val="single" w:sz="4" w:space="0" w:color="auto"/>
              <w:right w:val="single" w:sz="4" w:space="0" w:color="auto"/>
            </w:tcBorders>
          </w:tcPr>
          <w:p w14:paraId="057428BE" w14:textId="77777777" w:rsidR="00A45197" w:rsidRPr="00A45197" w:rsidRDefault="00A45197" w:rsidP="009E14FD">
            <w:pPr>
              <w:pStyle w:val="Tabletext1"/>
              <w:spacing w:before="50" w:after="50" w:line="276" w:lineRule="auto"/>
            </w:pPr>
            <w:r w:rsidRPr="00A45197">
              <w:t>Payer</w:t>
            </w:r>
          </w:p>
        </w:tc>
        <w:tc>
          <w:tcPr>
            <w:tcW w:w="1446" w:type="pct"/>
            <w:tcBorders>
              <w:top w:val="single" w:sz="4" w:space="0" w:color="auto"/>
              <w:left w:val="single" w:sz="4" w:space="0" w:color="auto"/>
              <w:bottom w:val="single" w:sz="4" w:space="0" w:color="auto"/>
              <w:right w:val="single" w:sz="4" w:space="0" w:color="auto"/>
            </w:tcBorders>
          </w:tcPr>
          <w:p w14:paraId="544BA4C3" w14:textId="77777777" w:rsidR="00A45197" w:rsidRPr="00A45197" w:rsidRDefault="00A45197" w:rsidP="009E14FD">
            <w:pPr>
              <w:pStyle w:val="Tabletext1"/>
              <w:spacing w:before="50" w:after="50" w:line="276" w:lineRule="auto"/>
              <w:rPr>
                <w:lang w:val="en-US"/>
              </w:rPr>
            </w:pPr>
            <w:r w:rsidRPr="00A45197">
              <w:rPr>
                <w:lang w:val="en-US"/>
              </w:rPr>
              <w:t>Thermal ablation had lower treatment and medical  costs at 1 month, 3 months, and 12 months relative to sub-lobar resection</w:t>
            </w:r>
          </w:p>
        </w:tc>
      </w:tr>
      <w:tr w:rsidR="00A07D80" w:rsidRPr="00A45197" w14:paraId="7D251B05" w14:textId="77777777" w:rsidTr="009E14FD">
        <w:trPr>
          <w:cantSplit/>
          <w:trHeight w:val="20"/>
        </w:trPr>
        <w:tc>
          <w:tcPr>
            <w:tcW w:w="379" w:type="pct"/>
            <w:tcBorders>
              <w:top w:val="single" w:sz="4" w:space="0" w:color="auto"/>
              <w:left w:val="single" w:sz="4" w:space="0" w:color="auto"/>
              <w:bottom w:val="single" w:sz="4" w:space="0" w:color="auto"/>
              <w:right w:val="single" w:sz="4" w:space="0" w:color="auto"/>
            </w:tcBorders>
          </w:tcPr>
          <w:p w14:paraId="1F44E856" w14:textId="5DCDF110" w:rsidR="00A45197" w:rsidRPr="00A45197" w:rsidRDefault="00192EDA" w:rsidP="00320458">
            <w:pPr>
              <w:pStyle w:val="Tabletext1"/>
              <w:spacing w:before="50" w:after="50" w:line="276" w:lineRule="auto"/>
              <w:rPr>
                <w:lang w:val="en-US"/>
              </w:rPr>
            </w:pPr>
            <w:r>
              <w:rPr>
                <w:lang w:val="en-US"/>
              </w:rPr>
              <w:t xml:space="preserve">Grutters et al </w:t>
            </w:r>
            <w:r w:rsidR="00804DAF">
              <w:rPr>
                <w:lang w:val="en-US"/>
              </w:rPr>
              <w:fldChar w:fldCharType="begin">
                <w:fldData xml:space="preserve">PEVuZE5vdGU+PENpdGUgRXhjbHVkZUF1dGg9IjEiPjxBdXRob3I+R3J1dHRlcnM8L0F1dGhvcj48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=
</w:fldData>
              </w:fldChar>
            </w:r>
            <w:r>
              <w:rPr>
                <w:lang w:val="en-US"/>
              </w:rPr>
              <w:instrText xml:space="preserve"> ADDIN EN.CITE </w:instrText>
            </w:r>
            <w:r>
              <w:rPr>
                <w:lang w:val="en-US"/>
              </w:rPr>
              <w:fldChar w:fldCharType="begin">
                <w:fldData xml:space="preserve">PEVuZE5vdGU+PENpdGUgRXhjbHVkZUF1dGg9IjEiPjxBdXRob3I+R3J1dHRlcnM8L0F1dGhvcj48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=
</w:fldData>
              </w:fldChar>
            </w:r>
            <w:r>
              <w:rPr>
                <w:lang w:val="en-US"/>
              </w:rPr>
              <w:instrText xml:space="preserve"> ADDIN EN.CITE.DATA </w:instrText>
            </w:r>
            <w:r>
              <w:rPr>
                <w:lang w:val="en-US"/>
              </w:rPr>
            </w:r>
            <w:r>
              <w:rPr>
                <w:lang w:val="en-US"/>
              </w:rPr>
              <w:fldChar w:fldCharType="end"/>
            </w:r>
            <w:r w:rsidR="00804DAF">
              <w:rPr>
                <w:lang w:val="en-US"/>
              </w:rPr>
            </w:r>
            <w:r w:rsidR="00804DAF">
              <w:rPr>
                <w:lang w:val="en-US"/>
              </w:rPr>
              <w:fldChar w:fldCharType="separate"/>
            </w:r>
            <w:r>
              <w:rPr>
                <w:noProof/>
                <w:lang w:val="en-US"/>
              </w:rPr>
              <w:t>(</w:t>
            </w:r>
            <w:hyperlink w:anchor="_ENREF_60" w:tooltip="Grutters, 2010 #213" w:history="1">
              <w:r w:rsidR="00320458">
                <w:rPr>
                  <w:noProof/>
                  <w:lang w:val="en-US"/>
                </w:rPr>
                <w:t>2010</w:t>
              </w:r>
            </w:hyperlink>
            <w:r>
              <w:rPr>
                <w:noProof/>
                <w:lang w:val="en-US"/>
              </w:rPr>
              <w:t>)</w:t>
            </w:r>
            <w:r w:rsidR="00804DAF">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3191F798" w14:textId="77777777" w:rsidR="00A45197" w:rsidRPr="00A45197" w:rsidRDefault="00A45197" w:rsidP="009E14FD">
            <w:pPr>
              <w:pStyle w:val="Tabletext1"/>
              <w:spacing w:before="50" w:after="50" w:line="276" w:lineRule="auto"/>
              <w:rPr>
                <w:lang w:val="en-US"/>
              </w:rPr>
            </w:pPr>
            <w:r w:rsidRPr="00A45197">
              <w:rPr>
                <w:lang w:val="en-US"/>
              </w:rPr>
              <w:t>5-year</w:t>
            </w:r>
          </w:p>
        </w:tc>
        <w:tc>
          <w:tcPr>
            <w:tcW w:w="711" w:type="pct"/>
            <w:tcBorders>
              <w:top w:val="single" w:sz="4" w:space="0" w:color="auto"/>
              <w:left w:val="single" w:sz="4" w:space="0" w:color="auto"/>
              <w:bottom w:val="single" w:sz="4" w:space="0" w:color="auto"/>
              <w:right w:val="single" w:sz="4" w:space="0" w:color="auto"/>
            </w:tcBorders>
          </w:tcPr>
          <w:p w14:paraId="47D45F94" w14:textId="77777777" w:rsidR="00A45197" w:rsidRPr="00A45197" w:rsidRDefault="00A45197" w:rsidP="009E14FD">
            <w:pPr>
              <w:pStyle w:val="Tabletext1"/>
              <w:spacing w:before="50" w:after="50" w:line="276" w:lineRule="auto"/>
              <w:rPr>
                <w:lang w:val="en-US"/>
              </w:rPr>
            </w:pPr>
            <w:r w:rsidRPr="00A45197">
              <w:rPr>
                <w:lang w:val="en-US"/>
              </w:rPr>
              <w:t>Inoperable and operable stage I NSCLC. Model based on clinical data from Japan for operable and Dutch meta-analysis for inoperable patients.</w:t>
            </w:r>
          </w:p>
        </w:tc>
        <w:tc>
          <w:tcPr>
            <w:tcW w:w="508" w:type="pct"/>
            <w:tcBorders>
              <w:top w:val="single" w:sz="4" w:space="0" w:color="auto"/>
              <w:left w:val="single" w:sz="4" w:space="0" w:color="auto"/>
              <w:bottom w:val="single" w:sz="4" w:space="0" w:color="auto"/>
              <w:right w:val="single" w:sz="4" w:space="0" w:color="auto"/>
            </w:tcBorders>
          </w:tcPr>
          <w:p w14:paraId="3963970B" w14:textId="77777777" w:rsidR="00A45197" w:rsidRPr="00A45197" w:rsidRDefault="00A45197" w:rsidP="009E14FD">
            <w:pPr>
              <w:pStyle w:val="Tabletext1"/>
              <w:spacing w:before="50" w:after="50" w:line="276" w:lineRule="auto"/>
              <w:rPr>
                <w:lang w:val="en-US"/>
              </w:rPr>
            </w:pPr>
            <w:r w:rsidRPr="00A45197">
              <w:rPr>
                <w:lang w:val="en-US"/>
              </w:rPr>
              <w:t>Carbon-ion and proton therapy</w:t>
            </w:r>
          </w:p>
        </w:tc>
        <w:tc>
          <w:tcPr>
            <w:tcW w:w="560" w:type="pct"/>
            <w:tcBorders>
              <w:top w:val="single" w:sz="4" w:space="0" w:color="auto"/>
              <w:left w:val="single" w:sz="4" w:space="0" w:color="auto"/>
              <w:bottom w:val="single" w:sz="4" w:space="0" w:color="auto"/>
              <w:right w:val="single" w:sz="4" w:space="0" w:color="auto"/>
            </w:tcBorders>
          </w:tcPr>
          <w:p w14:paraId="3CA65883" w14:textId="5E911788" w:rsidR="00A45197" w:rsidRPr="00A45197" w:rsidRDefault="0037293B" w:rsidP="009E14FD">
            <w:pPr>
              <w:pStyle w:val="Tabletext1"/>
              <w:spacing w:before="50" w:after="50" w:line="276" w:lineRule="auto"/>
              <w:rPr>
                <w:lang w:val="en-US"/>
              </w:rPr>
            </w:pPr>
            <w:r>
              <w:rPr>
                <w:lang w:val="en-US"/>
              </w:rPr>
              <w:t>CRT</w:t>
            </w:r>
            <w:r w:rsidR="00A45197" w:rsidRPr="00A45197">
              <w:rPr>
                <w:lang w:val="en-US"/>
              </w:rPr>
              <w:t xml:space="preserve"> and </w:t>
            </w:r>
            <w:r>
              <w:rPr>
                <w:lang w:val="en-US"/>
              </w:rPr>
              <w:t>SBRT</w:t>
            </w:r>
          </w:p>
        </w:tc>
        <w:tc>
          <w:tcPr>
            <w:tcW w:w="642" w:type="pct"/>
            <w:tcBorders>
              <w:top w:val="single" w:sz="4" w:space="0" w:color="auto"/>
              <w:left w:val="single" w:sz="4" w:space="0" w:color="auto"/>
              <w:bottom w:val="single" w:sz="4" w:space="0" w:color="auto"/>
              <w:right w:val="single" w:sz="4" w:space="0" w:color="auto"/>
            </w:tcBorders>
          </w:tcPr>
          <w:p w14:paraId="549E796C" w14:textId="77777777" w:rsidR="00A45197" w:rsidRPr="00A45197" w:rsidRDefault="00A45197" w:rsidP="009E14FD">
            <w:pPr>
              <w:pStyle w:val="Tabletext1"/>
              <w:spacing w:before="50" w:after="50" w:line="276" w:lineRule="auto"/>
              <w:rPr>
                <w:lang w:val="en-US"/>
              </w:rPr>
            </w:pPr>
            <w:r w:rsidRPr="00A45197">
              <w:rPr>
                <w:lang w:val="en-US"/>
              </w:rPr>
              <w:t xml:space="preserve">Decision-analytic Markov model </w:t>
            </w:r>
          </w:p>
          <w:p w14:paraId="5EA50A49" w14:textId="77777777" w:rsidR="00A45197" w:rsidRPr="00A45197" w:rsidRDefault="00A45197" w:rsidP="009E14FD">
            <w:pPr>
              <w:pStyle w:val="Tabletext1"/>
              <w:spacing w:before="50" w:after="50" w:line="276" w:lineRule="auto"/>
              <w:rPr>
                <w:lang w:val="en-US"/>
              </w:rPr>
            </w:pPr>
          </w:p>
        </w:tc>
        <w:tc>
          <w:tcPr>
            <w:tcW w:w="423" w:type="pct"/>
            <w:tcBorders>
              <w:top w:val="single" w:sz="4" w:space="0" w:color="auto"/>
              <w:left w:val="single" w:sz="4" w:space="0" w:color="auto"/>
              <w:bottom w:val="single" w:sz="4" w:space="0" w:color="auto"/>
              <w:right w:val="single" w:sz="4" w:space="0" w:color="auto"/>
            </w:tcBorders>
          </w:tcPr>
          <w:p w14:paraId="7C887B7E" w14:textId="77777777" w:rsidR="00A45197" w:rsidRPr="00A45197" w:rsidRDefault="00A45197" w:rsidP="009E14FD">
            <w:pPr>
              <w:pStyle w:val="Tabletext1"/>
              <w:spacing w:before="50" w:after="50" w:line="276" w:lineRule="auto"/>
            </w:pPr>
            <w:r w:rsidRPr="00A45197">
              <w:t xml:space="preserve">Health system </w:t>
            </w:r>
          </w:p>
        </w:tc>
        <w:tc>
          <w:tcPr>
            <w:tcW w:w="1446" w:type="pct"/>
            <w:tcBorders>
              <w:top w:val="single" w:sz="4" w:space="0" w:color="auto"/>
              <w:left w:val="single" w:sz="4" w:space="0" w:color="auto"/>
              <w:bottom w:val="single" w:sz="4" w:space="0" w:color="auto"/>
              <w:right w:val="single" w:sz="4" w:space="0" w:color="auto"/>
            </w:tcBorders>
          </w:tcPr>
          <w:p w14:paraId="1AF67CF9" w14:textId="5A1854BA" w:rsidR="00A45197" w:rsidRPr="00A45197" w:rsidRDefault="00A45197" w:rsidP="009E14FD">
            <w:pPr>
              <w:pStyle w:val="Tabletext1"/>
              <w:spacing w:before="50" w:after="50" w:line="276" w:lineRule="auto"/>
              <w:rPr>
                <w:lang w:val="en-US"/>
              </w:rPr>
            </w:pPr>
            <w:r w:rsidRPr="00A45197">
              <w:rPr>
                <w:lang w:val="en-US"/>
              </w:rPr>
              <w:t>Carbon-ion therapy costed €67.257 per quality-adjusted-life-ye</w:t>
            </w:r>
            <w:r w:rsidR="0037293B">
              <w:rPr>
                <w:lang w:val="en-US"/>
              </w:rPr>
              <w:t>ar gained compared to SBRT for</w:t>
            </w:r>
            <w:r w:rsidRPr="00A45197">
              <w:rPr>
                <w:lang w:val="en-US"/>
              </w:rPr>
              <w:t xml:space="preserve"> inoperable stage I NSCLC. </w:t>
            </w:r>
          </w:p>
        </w:tc>
      </w:tr>
      <w:tr w:rsidR="00A07D80" w:rsidRPr="00A45197" w14:paraId="7C074BD1" w14:textId="77777777" w:rsidTr="009E14FD">
        <w:trPr>
          <w:cantSplit/>
          <w:trHeight w:val="20"/>
        </w:trPr>
        <w:tc>
          <w:tcPr>
            <w:tcW w:w="379" w:type="pct"/>
            <w:tcBorders>
              <w:top w:val="single" w:sz="4" w:space="0" w:color="auto"/>
              <w:left w:val="single" w:sz="4" w:space="0" w:color="auto"/>
              <w:bottom w:val="single" w:sz="4" w:space="0" w:color="auto"/>
              <w:right w:val="single" w:sz="4" w:space="0" w:color="auto"/>
            </w:tcBorders>
          </w:tcPr>
          <w:p w14:paraId="138A825C" w14:textId="51CCA3F3" w:rsidR="00A45197" w:rsidRPr="00A45197" w:rsidRDefault="00A45197" w:rsidP="00320458">
            <w:pPr>
              <w:pStyle w:val="Tabletext1"/>
              <w:spacing w:before="50" w:after="50" w:line="276" w:lineRule="auto"/>
              <w:rPr>
                <w:lang w:val="en-US"/>
              </w:rPr>
            </w:pPr>
            <w:r w:rsidRPr="001D5452">
              <w:rPr>
                <w:lang w:val="en-US"/>
              </w:rPr>
              <w:lastRenderedPageBreak/>
              <w:t xml:space="preserve">Shah et al </w:t>
            </w:r>
            <w:r w:rsidR="00A54FA1" w:rsidRPr="001D5452">
              <w:rPr>
                <w:lang w:val="en-US"/>
              </w:rPr>
              <w:fldChar w:fldCharType="begin">
                <w:fldData xml:space="preserve">PEVuZE5vdGU+PENpdGUgRXhjbHVkZUF1dGg9IjEiPjxBdXRob3I+U2hhaDwvQXV0aG9yPjxZZWFy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</w:fldData>
              </w:fldChar>
            </w:r>
            <w:r w:rsidR="00192EDA">
              <w:rPr>
                <w:lang w:val="en-US"/>
              </w:rPr>
              <w:instrText xml:space="preserve"> ADDIN EN.CITE </w:instrText>
            </w:r>
            <w:r w:rsidR="00192EDA">
              <w:rPr>
                <w:lang w:val="en-US"/>
              </w:rPr>
              <w:fldChar w:fldCharType="begin">
                <w:fldData xml:space="preserve">PEVuZE5vdGU+PENpdGUgRXhjbHVkZUF1dGg9IjEiPjxBdXRob3I+U2hhaDwvQXV0aG9yPjxZZWFy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</w:fldData>
              </w:fldChar>
            </w:r>
            <w:r w:rsidR="00192EDA">
              <w:rPr>
                <w:lang w:val="en-US"/>
              </w:rPr>
              <w:instrText xml:space="preserve"> ADDIN EN.CITE.DATA </w:instrText>
            </w:r>
            <w:r w:rsidR="00192EDA">
              <w:rPr>
                <w:lang w:val="en-US"/>
              </w:rPr>
            </w:r>
            <w:r w:rsidR="00192EDA">
              <w:rPr>
                <w:lang w:val="en-US"/>
              </w:rPr>
              <w:fldChar w:fldCharType="end"/>
            </w:r>
            <w:r w:rsidR="00A54FA1" w:rsidRPr="001D5452">
              <w:rPr>
                <w:lang w:val="en-US"/>
              </w:rPr>
            </w:r>
            <w:r w:rsidR="00A54FA1" w:rsidRPr="001D5452">
              <w:rPr>
                <w:lang w:val="en-US"/>
              </w:rPr>
              <w:fldChar w:fldCharType="separate"/>
            </w:r>
            <w:r w:rsidR="00192EDA">
              <w:rPr>
                <w:noProof/>
                <w:lang w:val="en-US"/>
              </w:rPr>
              <w:t>(</w:t>
            </w:r>
            <w:hyperlink w:anchor="_ENREF_136" w:tooltip="Shah, 2013 #260" w:history="1">
              <w:r w:rsidR="00320458">
                <w:rPr>
                  <w:noProof/>
                  <w:lang w:val="en-US"/>
                </w:rPr>
                <w:t>2013</w:t>
              </w:r>
            </w:hyperlink>
            <w:r w:rsidR="00192EDA">
              <w:rPr>
                <w:noProof/>
                <w:lang w:val="en-US"/>
              </w:rPr>
              <w:t>)</w:t>
            </w:r>
            <w:r w:rsidR="00A54FA1" w:rsidRPr="001D5452">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43B7BA7F" w14:textId="77777777" w:rsidR="00A45197" w:rsidRPr="00A45197" w:rsidRDefault="00A45197" w:rsidP="009E14FD">
            <w:pPr>
              <w:pStyle w:val="Tabletext1"/>
              <w:spacing w:before="50" w:after="50" w:line="276" w:lineRule="auto"/>
              <w:rPr>
                <w:lang w:val="en-US"/>
              </w:rPr>
            </w:pPr>
            <w:r w:rsidRPr="00A45197">
              <w:rPr>
                <w:lang w:val="en-US"/>
              </w:rPr>
              <w:t>Lifetime</w:t>
            </w:r>
          </w:p>
        </w:tc>
        <w:tc>
          <w:tcPr>
            <w:tcW w:w="711" w:type="pct"/>
            <w:tcBorders>
              <w:top w:val="single" w:sz="4" w:space="0" w:color="auto"/>
              <w:left w:val="single" w:sz="4" w:space="0" w:color="auto"/>
              <w:bottom w:val="single" w:sz="4" w:space="0" w:color="auto"/>
              <w:right w:val="single" w:sz="4" w:space="0" w:color="auto"/>
            </w:tcBorders>
          </w:tcPr>
          <w:p w14:paraId="7A7A6104" w14:textId="77777777" w:rsidR="00A45197" w:rsidRPr="00A45197" w:rsidRDefault="00A45197" w:rsidP="009E14FD">
            <w:pPr>
              <w:pStyle w:val="Tabletext1"/>
              <w:spacing w:before="50" w:after="50" w:line="276" w:lineRule="auto"/>
              <w:rPr>
                <w:lang w:val="en-US"/>
              </w:rPr>
            </w:pPr>
            <w:r w:rsidRPr="00A45197">
              <w:rPr>
                <w:lang w:val="en-US"/>
              </w:rPr>
              <w:t>65-year-old patient with medically operable stage I NSCLC in USA. Local recurrence rate for SBRT obtained from a 3-year study of potentially operable patients in the Netherlands</w:t>
            </w:r>
          </w:p>
        </w:tc>
        <w:tc>
          <w:tcPr>
            <w:tcW w:w="508" w:type="pct"/>
            <w:tcBorders>
              <w:top w:val="single" w:sz="4" w:space="0" w:color="auto"/>
              <w:left w:val="single" w:sz="4" w:space="0" w:color="auto"/>
              <w:bottom w:val="single" w:sz="4" w:space="0" w:color="auto"/>
              <w:right w:val="single" w:sz="4" w:space="0" w:color="auto"/>
            </w:tcBorders>
          </w:tcPr>
          <w:p w14:paraId="43E8D036" w14:textId="77777777" w:rsidR="00A45197" w:rsidRPr="00A45197" w:rsidRDefault="00A45197" w:rsidP="009E14FD">
            <w:pPr>
              <w:pStyle w:val="Tabletext1"/>
              <w:spacing w:before="50" w:after="50" w:line="276" w:lineRule="auto"/>
              <w:rPr>
                <w:lang w:val="en-US"/>
              </w:rPr>
            </w:pPr>
            <w:r w:rsidRPr="00A45197">
              <w:rPr>
                <w:lang w:val="en-US"/>
              </w:rPr>
              <w:t>SBRT had mean cost and quality-adjusted life expectancy of $42,094/8.03 - $40,107/8.21</w:t>
            </w:r>
          </w:p>
        </w:tc>
        <w:tc>
          <w:tcPr>
            <w:tcW w:w="560" w:type="pct"/>
            <w:tcBorders>
              <w:top w:val="single" w:sz="4" w:space="0" w:color="auto"/>
              <w:left w:val="single" w:sz="4" w:space="0" w:color="auto"/>
              <w:bottom w:val="single" w:sz="4" w:space="0" w:color="auto"/>
              <w:right w:val="single" w:sz="4" w:space="0" w:color="auto"/>
            </w:tcBorders>
          </w:tcPr>
          <w:p w14:paraId="558887E6" w14:textId="77777777" w:rsidR="00A45197" w:rsidRPr="00A45197" w:rsidRDefault="00A45197" w:rsidP="009E14FD">
            <w:pPr>
              <w:pStyle w:val="Tabletext1"/>
              <w:spacing w:before="50" w:after="50" w:line="276" w:lineRule="auto"/>
              <w:rPr>
                <w:lang w:val="en-US"/>
              </w:rPr>
            </w:pPr>
            <w:r w:rsidRPr="00A45197">
              <w:rPr>
                <w:lang w:val="en-US"/>
              </w:rPr>
              <w:t>Wedge resection, and lobectomy had a mean cost and quality-adjusted life expectancy of $51,487/7.93 and $49,093/8.89.</w:t>
            </w:r>
          </w:p>
        </w:tc>
        <w:tc>
          <w:tcPr>
            <w:tcW w:w="642" w:type="pct"/>
            <w:tcBorders>
              <w:top w:val="single" w:sz="4" w:space="0" w:color="auto"/>
              <w:left w:val="single" w:sz="4" w:space="0" w:color="auto"/>
              <w:bottom w:val="single" w:sz="4" w:space="0" w:color="auto"/>
              <w:right w:val="single" w:sz="4" w:space="0" w:color="auto"/>
            </w:tcBorders>
          </w:tcPr>
          <w:p w14:paraId="71D26C0D" w14:textId="77777777" w:rsidR="00A45197" w:rsidRPr="00A45197" w:rsidRDefault="00A45197" w:rsidP="009E14FD">
            <w:pPr>
              <w:pStyle w:val="Tabletext1"/>
              <w:spacing w:before="50" w:after="50" w:line="276" w:lineRule="auto"/>
              <w:rPr>
                <w:lang w:val="en-US"/>
              </w:rPr>
            </w:pPr>
            <w:r w:rsidRPr="00A45197">
              <w:rPr>
                <w:lang w:val="en-US"/>
              </w:rPr>
              <w:t>Markov model developed to compare the cost-effectiveness of SBRT with wedge resection and lobectomy for clearly and marginally operable patients</w:t>
            </w:r>
          </w:p>
        </w:tc>
        <w:tc>
          <w:tcPr>
            <w:tcW w:w="423" w:type="pct"/>
            <w:tcBorders>
              <w:top w:val="single" w:sz="4" w:space="0" w:color="auto"/>
              <w:left w:val="single" w:sz="4" w:space="0" w:color="auto"/>
              <w:bottom w:val="single" w:sz="4" w:space="0" w:color="auto"/>
              <w:right w:val="single" w:sz="4" w:space="0" w:color="auto"/>
            </w:tcBorders>
          </w:tcPr>
          <w:p w14:paraId="30882556" w14:textId="77777777" w:rsidR="00A45197" w:rsidRPr="00A45197" w:rsidRDefault="00A45197" w:rsidP="009E14FD">
            <w:pPr>
              <w:pStyle w:val="Tabletext1"/>
              <w:spacing w:before="50" w:after="50" w:line="276" w:lineRule="auto"/>
            </w:pPr>
            <w:r w:rsidRPr="00A45197">
              <w:t>Payer</w:t>
            </w:r>
          </w:p>
        </w:tc>
        <w:tc>
          <w:tcPr>
            <w:tcW w:w="1446" w:type="pct"/>
            <w:tcBorders>
              <w:top w:val="single" w:sz="4" w:space="0" w:color="auto"/>
              <w:left w:val="single" w:sz="4" w:space="0" w:color="auto"/>
              <w:bottom w:val="single" w:sz="4" w:space="0" w:color="auto"/>
              <w:right w:val="single" w:sz="4" w:space="0" w:color="auto"/>
            </w:tcBorders>
          </w:tcPr>
          <w:p w14:paraId="720D1C65" w14:textId="77777777" w:rsidR="00A45197" w:rsidRPr="00A45197" w:rsidRDefault="00A45197" w:rsidP="009E14FD">
            <w:pPr>
              <w:pStyle w:val="Tabletext1"/>
              <w:spacing w:before="50" w:after="50" w:line="276" w:lineRule="auto"/>
              <w:rPr>
                <w:lang w:val="en-US"/>
              </w:rPr>
            </w:pPr>
            <w:r w:rsidRPr="00A45197">
              <w:rPr>
                <w:lang w:val="en-US"/>
              </w:rPr>
              <w:t xml:space="preserve">SBRT was the cost-effective strategy for marginally operable patients. Lobectomy was most cost-effective in clearly operable patients, </w:t>
            </w:r>
          </w:p>
        </w:tc>
      </w:tr>
      <w:tr w:rsidR="00A07D80" w:rsidRPr="00A45197" w14:paraId="5EB48B85" w14:textId="77777777" w:rsidTr="009E14FD">
        <w:trPr>
          <w:cantSplit/>
          <w:trHeight w:val="20"/>
        </w:trPr>
        <w:tc>
          <w:tcPr>
            <w:tcW w:w="379" w:type="pct"/>
            <w:tcBorders>
              <w:top w:val="single" w:sz="4" w:space="0" w:color="auto"/>
              <w:left w:val="single" w:sz="4" w:space="0" w:color="auto"/>
              <w:bottom w:val="single" w:sz="4" w:space="0" w:color="auto"/>
              <w:right w:val="single" w:sz="4" w:space="0" w:color="auto"/>
            </w:tcBorders>
          </w:tcPr>
          <w:p w14:paraId="3EF49E51" w14:textId="314B4954" w:rsidR="00A45197" w:rsidRPr="00A45197" w:rsidRDefault="00192EDA" w:rsidP="00320458">
            <w:pPr>
              <w:pStyle w:val="Tabletext1"/>
              <w:spacing w:before="50" w:after="50" w:line="276" w:lineRule="auto"/>
              <w:rPr>
                <w:lang w:val="en-US"/>
              </w:rPr>
            </w:pPr>
            <w:r>
              <w:rPr>
                <w:lang w:val="en-US"/>
              </w:rPr>
              <w:t xml:space="preserve">Lester-Coll et al </w:t>
            </w:r>
            <w:r w:rsidR="00804DAF">
              <w:rPr>
                <w:lang w:val="en-US"/>
              </w:rPr>
              <w:fldChar w:fldCharType="begin"/>
            </w:r>
            <w:r>
              <w:rPr>
                <w:lang w:val="en-US"/>
              </w:rPr>
              <w:instrText xml:space="preserve"> ADDIN EN.CITE &lt;EndNote&gt;&lt;Cite ExcludeAuth="1"&gt;&lt;Author&gt;Lester-Coll&lt;/Author&gt;&lt;Year&gt;2014&lt;/Year&gt;&lt;RecNum&gt;222&lt;/RecNum&gt;&lt;DisplayText&gt;(2014)&lt;/DisplayText&gt;&lt;record&gt;&lt;rec-number&gt;222&lt;/rec-number&gt;&lt;foreign-keys&gt;&lt;key app="EN" db-id="05ssdaw2cf0zvye5xvo5z9ww0xdpfstrdtew" timestamp="1469615464"&gt;222&lt;/key&gt;&lt;/foreign-keys&gt;&lt;ref-type name="Journal Article"&gt;17&lt;/ref-type&gt;&lt;contributors&gt;&lt;authors&gt;&lt;author&gt;Lester-Coll, N. H.&lt;/author&gt;&lt;author&gt;Decker, R. H. &lt;/author&gt;&lt;author&gt;Yu, J. B.&lt;/author&gt;&lt;/authors&gt;&lt;/contributors&gt;&lt;titles&gt;&lt;title&gt;Cost-Effectiveness Analysis of Stereotactic Body Radiation Therapy for Pulmonary Oligometastases. &lt;/title&gt;&lt;secondary-title&gt; Int J Radiat Oncol Biol Phys.&lt;/secondary-title&gt;&lt;/titles&gt;&lt;pages&gt;S585–S586&lt;/pages&gt;&lt;volume&gt;90&lt;/volume&gt;&lt;number&gt;1 (supplement)&lt;/number&gt;&lt;dates&gt;&lt;year&gt;2014&lt;/year&gt;&lt;/dates&gt;&lt;urls&gt;&lt;/urls&gt;&lt;/record&gt;&lt;/Cite&gt;&lt;/EndNote&gt;</w:instrText>
            </w:r>
            <w:r w:rsidR="00804DAF">
              <w:rPr>
                <w:lang w:val="en-US"/>
              </w:rPr>
              <w:fldChar w:fldCharType="separate"/>
            </w:r>
            <w:r>
              <w:rPr>
                <w:noProof/>
                <w:lang w:val="en-US"/>
              </w:rPr>
              <w:t>(</w:t>
            </w:r>
            <w:hyperlink w:anchor="_ENREF_88" w:tooltip="Lester-Coll, 2014 #222" w:history="1">
              <w:r w:rsidR="00320458">
                <w:rPr>
                  <w:noProof/>
                  <w:lang w:val="en-US"/>
                </w:rPr>
                <w:t>2014</w:t>
              </w:r>
            </w:hyperlink>
            <w:r>
              <w:rPr>
                <w:noProof/>
                <w:lang w:val="en-US"/>
              </w:rPr>
              <w:t>)</w:t>
            </w:r>
            <w:r w:rsidR="00804DAF">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496A59F9" w14:textId="77777777" w:rsidR="00A45197" w:rsidRPr="00A45197" w:rsidRDefault="00A45197" w:rsidP="009E14FD">
            <w:pPr>
              <w:pStyle w:val="Tabletext1"/>
              <w:spacing w:before="50" w:after="50" w:line="276" w:lineRule="auto"/>
              <w:rPr>
                <w:lang w:val="en-US"/>
              </w:rPr>
            </w:pPr>
            <w:r w:rsidRPr="00A45197">
              <w:rPr>
                <w:lang w:val="en-US"/>
              </w:rPr>
              <w:t>10 years, using 3% discount rate</w:t>
            </w:r>
          </w:p>
        </w:tc>
        <w:tc>
          <w:tcPr>
            <w:tcW w:w="711" w:type="pct"/>
            <w:tcBorders>
              <w:top w:val="single" w:sz="4" w:space="0" w:color="auto"/>
              <w:left w:val="single" w:sz="4" w:space="0" w:color="auto"/>
              <w:bottom w:val="single" w:sz="4" w:space="0" w:color="auto"/>
              <w:right w:val="single" w:sz="4" w:space="0" w:color="auto"/>
            </w:tcBorders>
          </w:tcPr>
          <w:p w14:paraId="100A896A" w14:textId="5FFC9E22" w:rsidR="00A45197" w:rsidRPr="00A45197" w:rsidRDefault="00A45197" w:rsidP="009E14FD">
            <w:pPr>
              <w:pStyle w:val="Tabletext1"/>
              <w:spacing w:before="50" w:after="50" w:line="276" w:lineRule="auto"/>
              <w:rPr>
                <w:lang w:val="en-US"/>
              </w:rPr>
            </w:pPr>
            <w:r w:rsidRPr="00A45197">
              <w:rPr>
                <w:lang w:val="en-US"/>
              </w:rPr>
              <w:t>Study undertaken at the Department of Therapeutic Radiology, Yale University School of Medicine,</w:t>
            </w:r>
            <w:r w:rsidR="00B64AC5">
              <w:rPr>
                <w:lang w:val="en-US"/>
              </w:rPr>
              <w:t xml:space="preserve"> and</w:t>
            </w:r>
            <w:r w:rsidRPr="00A45197">
              <w:rPr>
                <w:lang w:val="en-US"/>
              </w:rPr>
              <w:t xml:space="preserve"> so USA perspective assumed. Cohort entry age not specified, although tracked for 10 years.</w:t>
            </w:r>
          </w:p>
        </w:tc>
        <w:tc>
          <w:tcPr>
            <w:tcW w:w="508" w:type="pct"/>
            <w:tcBorders>
              <w:top w:val="single" w:sz="4" w:space="0" w:color="auto"/>
              <w:left w:val="single" w:sz="4" w:space="0" w:color="auto"/>
              <w:bottom w:val="single" w:sz="4" w:space="0" w:color="auto"/>
              <w:right w:val="single" w:sz="4" w:space="0" w:color="auto"/>
            </w:tcBorders>
          </w:tcPr>
          <w:p w14:paraId="7F4666D2" w14:textId="77777777" w:rsidR="00A45197" w:rsidRPr="00A45197" w:rsidRDefault="00A45197" w:rsidP="009E14FD">
            <w:pPr>
              <w:pStyle w:val="Tabletext1"/>
              <w:spacing w:before="50" w:after="50" w:line="276" w:lineRule="auto"/>
              <w:rPr>
                <w:lang w:val="en-US"/>
              </w:rPr>
            </w:pPr>
            <w:r w:rsidRPr="00A45197">
              <w:rPr>
                <w:lang w:val="en-US"/>
              </w:rPr>
              <w:t xml:space="preserve">10 year cost of SBRT was $1,286,700 </w:t>
            </w:r>
          </w:p>
        </w:tc>
        <w:tc>
          <w:tcPr>
            <w:tcW w:w="560" w:type="pct"/>
            <w:tcBorders>
              <w:top w:val="single" w:sz="4" w:space="0" w:color="auto"/>
              <w:left w:val="single" w:sz="4" w:space="0" w:color="auto"/>
              <w:bottom w:val="single" w:sz="4" w:space="0" w:color="auto"/>
              <w:right w:val="single" w:sz="4" w:space="0" w:color="auto"/>
            </w:tcBorders>
          </w:tcPr>
          <w:p w14:paraId="4AE372C9" w14:textId="77777777" w:rsidR="00A45197" w:rsidRPr="00A45197" w:rsidRDefault="00A45197" w:rsidP="009E14FD">
            <w:pPr>
              <w:pStyle w:val="Tabletext1"/>
              <w:spacing w:before="50" w:after="50" w:line="276" w:lineRule="auto"/>
              <w:rPr>
                <w:lang w:val="en-US"/>
              </w:rPr>
            </w:pPr>
            <w:r w:rsidRPr="00A45197">
              <w:rPr>
                <w:lang w:val="en-US"/>
              </w:rPr>
              <w:t>Patients underwent SBRT or systemic therapy (FOLFIRI or Ipilimumab). FOLFIRI and had a 10-year cost of $1,733,293</w:t>
            </w:r>
          </w:p>
        </w:tc>
        <w:tc>
          <w:tcPr>
            <w:tcW w:w="642" w:type="pct"/>
            <w:tcBorders>
              <w:top w:val="single" w:sz="4" w:space="0" w:color="auto"/>
              <w:left w:val="single" w:sz="4" w:space="0" w:color="auto"/>
              <w:bottom w:val="single" w:sz="4" w:space="0" w:color="auto"/>
              <w:right w:val="single" w:sz="4" w:space="0" w:color="auto"/>
            </w:tcBorders>
          </w:tcPr>
          <w:p w14:paraId="12B76376" w14:textId="167843AF" w:rsidR="00A45197" w:rsidRPr="00A45197" w:rsidRDefault="00A45197" w:rsidP="009E14FD">
            <w:pPr>
              <w:pStyle w:val="Tabletext1"/>
              <w:spacing w:before="50" w:after="50" w:line="276" w:lineRule="auto"/>
              <w:rPr>
                <w:lang w:val="en-US"/>
              </w:rPr>
            </w:pPr>
            <w:r w:rsidRPr="00A45197">
              <w:rPr>
                <w:lang w:val="en-US"/>
              </w:rPr>
              <w:t>Markov model to study a hypothetical cohort of patients with oligometastatic colon cancer or melanoma with 1</w:t>
            </w:r>
            <w:r w:rsidR="00D35E9C">
              <w:t>–</w:t>
            </w:r>
            <w:r w:rsidRPr="00A45197">
              <w:rPr>
                <w:lang w:val="en-US"/>
              </w:rPr>
              <w:t xml:space="preserve">3 pulmonary metastases. </w:t>
            </w:r>
          </w:p>
        </w:tc>
        <w:tc>
          <w:tcPr>
            <w:tcW w:w="423" w:type="pct"/>
            <w:tcBorders>
              <w:top w:val="single" w:sz="4" w:space="0" w:color="auto"/>
              <w:left w:val="single" w:sz="4" w:space="0" w:color="auto"/>
              <w:bottom w:val="single" w:sz="4" w:space="0" w:color="auto"/>
              <w:right w:val="single" w:sz="4" w:space="0" w:color="auto"/>
            </w:tcBorders>
          </w:tcPr>
          <w:p w14:paraId="206F6290" w14:textId="77777777" w:rsidR="00A45197" w:rsidRPr="00A45197" w:rsidRDefault="00A45197" w:rsidP="009E14FD">
            <w:pPr>
              <w:pStyle w:val="Tabletext1"/>
              <w:spacing w:before="50" w:after="50" w:line="276" w:lineRule="auto"/>
            </w:pPr>
            <w:r w:rsidRPr="00A45197">
              <w:t>Payer</w:t>
            </w:r>
          </w:p>
        </w:tc>
        <w:tc>
          <w:tcPr>
            <w:tcW w:w="1446" w:type="pct"/>
            <w:tcBorders>
              <w:top w:val="single" w:sz="4" w:space="0" w:color="auto"/>
              <w:left w:val="single" w:sz="4" w:space="0" w:color="auto"/>
              <w:bottom w:val="single" w:sz="4" w:space="0" w:color="auto"/>
              <w:right w:val="single" w:sz="4" w:space="0" w:color="auto"/>
            </w:tcBorders>
          </w:tcPr>
          <w:p w14:paraId="6C24E6BB" w14:textId="35F6340F" w:rsidR="00A45197" w:rsidRPr="00A45197" w:rsidRDefault="00035B47" w:rsidP="009E14FD">
            <w:pPr>
              <w:pStyle w:val="Tabletext1"/>
              <w:spacing w:before="50" w:after="50" w:line="276" w:lineRule="auto"/>
              <w:rPr>
                <w:lang w:val="en-US"/>
              </w:rPr>
            </w:pPr>
            <w:r w:rsidRPr="00035B47">
              <w:rPr>
                <w:lang w:val="en-US"/>
              </w:rPr>
              <w:t>The ICER for SBRT over systemic therapy was $95,879/quality adjusted life month (QALM) for colon cancer</w:t>
            </w:r>
          </w:p>
        </w:tc>
      </w:tr>
      <w:tr w:rsidR="00A07D80" w:rsidRPr="00A45197" w14:paraId="01A921DC" w14:textId="77777777" w:rsidTr="009E14FD">
        <w:trPr>
          <w:cantSplit/>
          <w:trHeight w:val="20"/>
        </w:trPr>
        <w:tc>
          <w:tcPr>
            <w:tcW w:w="379" w:type="pct"/>
            <w:tcBorders>
              <w:top w:val="single" w:sz="4" w:space="0" w:color="auto"/>
              <w:left w:val="single" w:sz="4" w:space="0" w:color="auto"/>
              <w:bottom w:val="single" w:sz="4" w:space="0" w:color="auto"/>
              <w:right w:val="single" w:sz="4" w:space="0" w:color="auto"/>
            </w:tcBorders>
          </w:tcPr>
          <w:p w14:paraId="4F594342" w14:textId="3FBB2CD6" w:rsidR="00A45197" w:rsidRPr="00A45197" w:rsidRDefault="00192EDA" w:rsidP="00320458">
            <w:pPr>
              <w:pStyle w:val="Tabletext1"/>
              <w:spacing w:before="50" w:after="50" w:line="276" w:lineRule="auto"/>
              <w:rPr>
                <w:lang w:val="en-US"/>
              </w:rPr>
            </w:pPr>
            <w:r>
              <w:rPr>
                <w:lang w:val="en-US"/>
              </w:rPr>
              <w:t xml:space="preserve">Lanni et al </w:t>
            </w:r>
            <w:r w:rsidR="00804DAF">
              <w:rPr>
                <w:lang w:val="en-US"/>
              </w:rPr>
              <w:fldChar w:fldCharType="begin">
                <w:fldData xml:space="preserve">PEVuZE5vdGU+PENpdGUgRXhjbHVkZUF1dGg9IjEiPjxBdXRob3I+TGFubmk8L0F1dGhvcj48WWVh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</w:fldData>
              </w:fldChar>
            </w:r>
            <w:r>
              <w:rPr>
                <w:lang w:val="en-US"/>
              </w:rPr>
              <w:instrText xml:space="preserve"> ADDIN EN.CITE </w:instrText>
            </w:r>
            <w:r>
              <w:rPr>
                <w:lang w:val="en-US"/>
              </w:rPr>
              <w:fldChar w:fldCharType="begin">
                <w:fldData xml:space="preserve">PEVuZE5vdGU+PENpdGUgRXhjbHVkZUF1dGg9IjEiPjxBdXRob3I+TGFubmk8L0F1dGhvcj48WWVh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</w:fldData>
              </w:fldChar>
            </w:r>
            <w:r>
              <w:rPr>
                <w:lang w:val="en-US"/>
              </w:rPr>
              <w:instrText xml:space="preserve"> ADDIN EN.CITE.DATA </w:instrText>
            </w:r>
            <w:r>
              <w:rPr>
                <w:lang w:val="en-US"/>
              </w:rPr>
            </w:r>
            <w:r>
              <w:rPr>
                <w:lang w:val="en-US"/>
              </w:rPr>
              <w:fldChar w:fldCharType="end"/>
            </w:r>
            <w:r w:rsidR="00804DAF">
              <w:rPr>
                <w:lang w:val="en-US"/>
              </w:rPr>
            </w:r>
            <w:r w:rsidR="00804DAF">
              <w:rPr>
                <w:lang w:val="en-US"/>
              </w:rPr>
              <w:fldChar w:fldCharType="separate"/>
            </w:r>
            <w:r>
              <w:rPr>
                <w:noProof/>
                <w:lang w:val="en-US"/>
              </w:rPr>
              <w:t>(</w:t>
            </w:r>
            <w:hyperlink w:anchor="_ENREF_85" w:tooltip="Lanni, 2011 #221" w:history="1">
              <w:r w:rsidR="00320458">
                <w:rPr>
                  <w:noProof/>
                  <w:lang w:val="en-US"/>
                </w:rPr>
                <w:t>2011</w:t>
              </w:r>
            </w:hyperlink>
            <w:r>
              <w:rPr>
                <w:noProof/>
                <w:lang w:val="en-US"/>
              </w:rPr>
              <w:t>)</w:t>
            </w:r>
            <w:r w:rsidR="00804DAF">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2E7621EE" w14:textId="77777777" w:rsidR="00A45197" w:rsidRPr="00A45197" w:rsidRDefault="00A45197" w:rsidP="009E14FD">
            <w:pPr>
              <w:pStyle w:val="Tabletext1"/>
              <w:spacing w:before="50" w:after="50" w:line="276" w:lineRule="auto"/>
              <w:rPr>
                <w:lang w:val="en-US"/>
              </w:rPr>
            </w:pPr>
            <w:r w:rsidRPr="00A45197">
              <w:rPr>
                <w:lang w:val="en-US"/>
              </w:rPr>
              <w:t>6 years</w:t>
            </w:r>
          </w:p>
        </w:tc>
        <w:tc>
          <w:tcPr>
            <w:tcW w:w="711" w:type="pct"/>
            <w:tcBorders>
              <w:top w:val="single" w:sz="4" w:space="0" w:color="auto"/>
              <w:left w:val="single" w:sz="4" w:space="0" w:color="auto"/>
              <w:bottom w:val="single" w:sz="4" w:space="0" w:color="auto"/>
              <w:right w:val="single" w:sz="4" w:space="0" w:color="auto"/>
            </w:tcBorders>
          </w:tcPr>
          <w:p w14:paraId="050070F8" w14:textId="77777777" w:rsidR="00A45197" w:rsidRPr="00A45197" w:rsidRDefault="00A45197" w:rsidP="009E14FD">
            <w:pPr>
              <w:pStyle w:val="Tabletext1"/>
              <w:spacing w:before="50" w:after="50" w:line="276" w:lineRule="auto"/>
              <w:rPr>
                <w:lang w:val="en-US"/>
              </w:rPr>
            </w:pPr>
            <w:r w:rsidRPr="00A45197">
              <w:rPr>
                <w:lang w:val="en-US"/>
              </w:rPr>
              <w:t>86 patients with Stage I (Tl-2 N0) NSCLC in the USA</w:t>
            </w:r>
          </w:p>
        </w:tc>
        <w:tc>
          <w:tcPr>
            <w:tcW w:w="508" w:type="pct"/>
            <w:tcBorders>
              <w:top w:val="single" w:sz="4" w:space="0" w:color="auto"/>
              <w:left w:val="single" w:sz="4" w:space="0" w:color="auto"/>
              <w:bottom w:val="single" w:sz="4" w:space="0" w:color="auto"/>
              <w:right w:val="single" w:sz="4" w:space="0" w:color="auto"/>
            </w:tcBorders>
          </w:tcPr>
          <w:p w14:paraId="7CFA94D6" w14:textId="77777777" w:rsidR="00A45197" w:rsidRPr="00A45197" w:rsidRDefault="00A45197" w:rsidP="009E14FD">
            <w:pPr>
              <w:pStyle w:val="Tabletext1"/>
              <w:spacing w:before="50" w:after="50" w:line="276" w:lineRule="auto"/>
              <w:rPr>
                <w:lang w:val="en-US"/>
              </w:rPr>
            </w:pPr>
            <w:r w:rsidRPr="00A45197">
              <w:rPr>
                <w:lang w:val="en-US"/>
              </w:rPr>
              <w:t>$13,639 for EBRT</w:t>
            </w:r>
          </w:p>
        </w:tc>
        <w:tc>
          <w:tcPr>
            <w:tcW w:w="560" w:type="pct"/>
            <w:tcBorders>
              <w:top w:val="single" w:sz="4" w:space="0" w:color="auto"/>
              <w:left w:val="single" w:sz="4" w:space="0" w:color="auto"/>
              <w:bottom w:val="single" w:sz="4" w:space="0" w:color="auto"/>
              <w:right w:val="single" w:sz="4" w:space="0" w:color="auto"/>
            </w:tcBorders>
          </w:tcPr>
          <w:p w14:paraId="342CBF2B" w14:textId="77777777" w:rsidR="00A45197" w:rsidRPr="00A45197" w:rsidRDefault="00A45197" w:rsidP="009E14FD">
            <w:pPr>
              <w:pStyle w:val="Tabletext1"/>
              <w:spacing w:before="50" w:after="50" w:line="276" w:lineRule="auto"/>
              <w:rPr>
                <w:lang w:val="en-US"/>
              </w:rPr>
            </w:pPr>
            <w:r w:rsidRPr="00A45197">
              <w:rPr>
                <w:lang w:val="en-US"/>
              </w:rPr>
              <w:t xml:space="preserve">$10,616 </w:t>
            </w:r>
          </w:p>
          <w:p w14:paraId="33AE9DFA" w14:textId="77777777" w:rsidR="00A45197" w:rsidRPr="00A45197" w:rsidRDefault="00A45197" w:rsidP="009E14FD">
            <w:pPr>
              <w:pStyle w:val="Tabletext1"/>
              <w:spacing w:before="50" w:after="50" w:line="276" w:lineRule="auto"/>
              <w:rPr>
                <w:lang w:val="en-US"/>
              </w:rPr>
            </w:pPr>
            <w:r w:rsidRPr="00A45197">
              <w:rPr>
                <w:lang w:val="en-US"/>
              </w:rPr>
              <w:t>for SBRT</w:t>
            </w:r>
          </w:p>
        </w:tc>
        <w:tc>
          <w:tcPr>
            <w:tcW w:w="642" w:type="pct"/>
            <w:tcBorders>
              <w:top w:val="single" w:sz="4" w:space="0" w:color="auto"/>
              <w:left w:val="single" w:sz="4" w:space="0" w:color="auto"/>
              <w:bottom w:val="single" w:sz="4" w:space="0" w:color="auto"/>
              <w:right w:val="single" w:sz="4" w:space="0" w:color="auto"/>
            </w:tcBorders>
          </w:tcPr>
          <w:p w14:paraId="4CEF52FE" w14:textId="4137FEE6" w:rsidR="00A45197" w:rsidRPr="00A45197" w:rsidRDefault="00A45197" w:rsidP="00035B47">
            <w:pPr>
              <w:pStyle w:val="Tabletext1"/>
              <w:spacing w:before="50" w:after="50" w:line="276" w:lineRule="auto"/>
              <w:rPr>
                <w:lang w:val="en-US"/>
              </w:rPr>
            </w:pPr>
            <w:r w:rsidRPr="00A45197">
              <w:rPr>
                <w:lang w:val="en-US"/>
              </w:rPr>
              <w:t>Cost calculated using 2010 Medicare hospital-based ambulatory payment and hospital-based physician fee screen reimbursement rates.</w:t>
            </w:r>
          </w:p>
        </w:tc>
        <w:tc>
          <w:tcPr>
            <w:tcW w:w="423" w:type="pct"/>
            <w:tcBorders>
              <w:top w:val="single" w:sz="4" w:space="0" w:color="auto"/>
              <w:left w:val="single" w:sz="4" w:space="0" w:color="auto"/>
              <w:bottom w:val="single" w:sz="4" w:space="0" w:color="auto"/>
              <w:right w:val="single" w:sz="4" w:space="0" w:color="auto"/>
            </w:tcBorders>
          </w:tcPr>
          <w:p w14:paraId="144FA594" w14:textId="77777777" w:rsidR="00A45197" w:rsidRPr="00A45197" w:rsidRDefault="00A45197" w:rsidP="009E14FD">
            <w:pPr>
              <w:pStyle w:val="Tabletext1"/>
              <w:spacing w:before="50" w:after="50" w:line="276" w:lineRule="auto"/>
            </w:pPr>
            <w:r w:rsidRPr="00A45197">
              <w:t>Payer</w:t>
            </w:r>
          </w:p>
        </w:tc>
        <w:tc>
          <w:tcPr>
            <w:tcW w:w="1446" w:type="pct"/>
            <w:tcBorders>
              <w:top w:val="single" w:sz="4" w:space="0" w:color="auto"/>
              <w:left w:val="single" w:sz="4" w:space="0" w:color="auto"/>
              <w:bottom w:val="single" w:sz="4" w:space="0" w:color="auto"/>
              <w:right w:val="single" w:sz="4" w:space="0" w:color="auto"/>
            </w:tcBorders>
          </w:tcPr>
          <w:p w14:paraId="4E8FE74C" w14:textId="77777777" w:rsidR="00A45197" w:rsidRPr="00A45197" w:rsidRDefault="00A45197" w:rsidP="009E14FD">
            <w:pPr>
              <w:pStyle w:val="Tabletext1"/>
              <w:spacing w:before="50" w:after="50" w:line="276" w:lineRule="auto"/>
              <w:rPr>
                <w:lang w:val="en-US"/>
              </w:rPr>
            </w:pPr>
            <w:r w:rsidRPr="00A45197">
              <w:rPr>
                <w:lang w:val="en-US"/>
              </w:rPr>
              <w:t>SBRT was less costly when compared to standard fractionated EBRT, It was also found to have superior local control and overall survival</w:t>
            </w:r>
          </w:p>
        </w:tc>
      </w:tr>
      <w:tr w:rsidR="00A07D80" w:rsidRPr="00A45197" w14:paraId="57C4EA9F" w14:textId="77777777" w:rsidTr="009E14FD">
        <w:trPr>
          <w:cantSplit/>
          <w:trHeight w:val="20"/>
        </w:trPr>
        <w:tc>
          <w:tcPr>
            <w:tcW w:w="379" w:type="pct"/>
            <w:tcBorders>
              <w:top w:val="single" w:sz="4" w:space="0" w:color="auto"/>
              <w:left w:val="single" w:sz="4" w:space="0" w:color="auto"/>
              <w:bottom w:val="single" w:sz="4" w:space="0" w:color="auto"/>
              <w:right w:val="single" w:sz="4" w:space="0" w:color="auto"/>
            </w:tcBorders>
          </w:tcPr>
          <w:p w14:paraId="5084A0D4" w14:textId="0D759748" w:rsidR="00A45197" w:rsidRPr="00A45197" w:rsidRDefault="00192EDA" w:rsidP="00320458">
            <w:pPr>
              <w:pStyle w:val="Tabletext1"/>
              <w:spacing w:before="50" w:after="50" w:line="276" w:lineRule="auto"/>
              <w:rPr>
                <w:lang w:val="en-US"/>
              </w:rPr>
            </w:pPr>
            <w:r>
              <w:rPr>
                <w:lang w:val="en-US"/>
              </w:rPr>
              <w:lastRenderedPageBreak/>
              <w:t xml:space="preserve">Porter et al </w:t>
            </w:r>
            <w:r w:rsidR="001D5452" w:rsidRPr="001D5452">
              <w:rPr>
                <w:lang w:val="en-US"/>
              </w:rPr>
              <w:fldChar w:fldCharType="begin">
                <w:fldData xml:space="preserve">PEVuZE5vdGU+PENpdGUgRXhjbHVkZUF1dGg9IjEiPjxBdXRob3I+UG9ydGVyPC9BdXRob3I+PFll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</w:fldData>
              </w:fldChar>
            </w:r>
            <w:r>
              <w:rPr>
                <w:lang w:val="en-US"/>
              </w:rPr>
              <w:instrText xml:space="preserve"> ADDIN EN.CITE </w:instrText>
            </w:r>
            <w:r>
              <w:rPr>
                <w:lang w:val="en-US"/>
              </w:rPr>
              <w:fldChar w:fldCharType="begin">
                <w:fldData xml:space="preserve">PEVuZE5vdGU+PENpdGUgRXhjbHVkZUF1dGg9IjEiPjxBdXRob3I+UG9ydGVyPC9BdXRob3I+PFll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</w:fldData>
              </w:fldChar>
            </w:r>
            <w:r>
              <w:rPr>
                <w:lang w:val="en-US"/>
              </w:rPr>
              <w:instrText xml:space="preserve"> ADDIN EN.CITE.DATA </w:instrText>
            </w:r>
            <w:r>
              <w:rPr>
                <w:lang w:val="en-US"/>
              </w:rPr>
            </w:r>
            <w:r>
              <w:rPr>
                <w:lang w:val="en-US"/>
              </w:rPr>
              <w:fldChar w:fldCharType="end"/>
            </w:r>
            <w:r w:rsidR="001D5452" w:rsidRPr="001D5452">
              <w:rPr>
                <w:lang w:val="en-US"/>
              </w:rPr>
            </w:r>
            <w:r w:rsidR="001D5452" w:rsidRPr="001D5452">
              <w:rPr>
                <w:lang w:val="en-US"/>
              </w:rPr>
              <w:fldChar w:fldCharType="separate"/>
            </w:r>
            <w:r>
              <w:rPr>
                <w:noProof/>
                <w:lang w:val="en-US"/>
              </w:rPr>
              <w:t>(</w:t>
            </w:r>
            <w:hyperlink w:anchor="_ENREF_119" w:tooltip="Porter, 2004 #261" w:history="1">
              <w:r w:rsidR="00320458">
                <w:rPr>
                  <w:noProof/>
                  <w:lang w:val="en-US"/>
                </w:rPr>
                <w:t>2004</w:t>
              </w:r>
            </w:hyperlink>
            <w:r>
              <w:rPr>
                <w:noProof/>
                <w:lang w:val="en-US"/>
              </w:rPr>
              <w:t>)</w:t>
            </w:r>
            <w:r w:rsidR="001D5452" w:rsidRPr="001D5452">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0B1ACFCB" w14:textId="77777777" w:rsidR="00A45197" w:rsidRPr="00A45197" w:rsidRDefault="00A45197" w:rsidP="009E14FD">
            <w:pPr>
              <w:pStyle w:val="Tabletext1"/>
              <w:spacing w:before="50" w:after="50" w:line="276" w:lineRule="auto"/>
              <w:rPr>
                <w:lang w:val="en-US"/>
              </w:rPr>
            </w:pPr>
            <w:r w:rsidRPr="00A45197">
              <w:rPr>
                <w:lang w:val="en-US"/>
              </w:rPr>
              <w:t>12 months</w:t>
            </w:r>
          </w:p>
        </w:tc>
        <w:tc>
          <w:tcPr>
            <w:tcW w:w="711" w:type="pct"/>
            <w:tcBorders>
              <w:top w:val="single" w:sz="4" w:space="0" w:color="auto"/>
              <w:left w:val="single" w:sz="4" w:space="0" w:color="auto"/>
              <w:bottom w:val="single" w:sz="4" w:space="0" w:color="auto"/>
              <w:right w:val="single" w:sz="4" w:space="0" w:color="auto"/>
            </w:tcBorders>
          </w:tcPr>
          <w:p w14:paraId="1EA25778" w14:textId="77777777" w:rsidR="00A45197" w:rsidRPr="00A45197" w:rsidRDefault="00A45197" w:rsidP="009E14FD">
            <w:pPr>
              <w:pStyle w:val="Tabletext1"/>
              <w:spacing w:before="50" w:after="50" w:line="276" w:lineRule="auto"/>
              <w:rPr>
                <w:lang w:val="en-US"/>
              </w:rPr>
            </w:pPr>
            <w:r w:rsidRPr="00A45197">
              <w:rPr>
                <w:lang w:val="en-US"/>
              </w:rPr>
              <w:t>Data from 1124 Canadian patients with pulmonary metastases from soft tissue sarcoma</w:t>
            </w:r>
          </w:p>
        </w:tc>
        <w:tc>
          <w:tcPr>
            <w:tcW w:w="508" w:type="pct"/>
            <w:tcBorders>
              <w:top w:val="single" w:sz="4" w:space="0" w:color="auto"/>
              <w:left w:val="single" w:sz="4" w:space="0" w:color="auto"/>
              <w:bottom w:val="single" w:sz="4" w:space="0" w:color="auto"/>
              <w:right w:val="single" w:sz="4" w:space="0" w:color="auto"/>
            </w:tcBorders>
          </w:tcPr>
          <w:p w14:paraId="55025D53" w14:textId="32D3CE50" w:rsidR="00A45197" w:rsidRPr="00A45197" w:rsidRDefault="00A45197" w:rsidP="00A37D77">
            <w:pPr>
              <w:pStyle w:val="Tabletext1"/>
              <w:spacing w:before="50" w:after="50" w:line="276" w:lineRule="auto"/>
              <w:rPr>
                <w:lang w:val="en-US"/>
              </w:rPr>
            </w:pPr>
            <w:r w:rsidRPr="00A45197">
              <w:rPr>
                <w:lang w:val="en-US"/>
              </w:rPr>
              <w:t>Mean cost of resection $C 20,339 dollars per patient</w:t>
            </w:r>
          </w:p>
        </w:tc>
        <w:tc>
          <w:tcPr>
            <w:tcW w:w="560" w:type="pct"/>
            <w:tcBorders>
              <w:top w:val="single" w:sz="4" w:space="0" w:color="auto"/>
              <w:left w:val="single" w:sz="4" w:space="0" w:color="auto"/>
              <w:bottom w:val="single" w:sz="4" w:space="0" w:color="auto"/>
              <w:right w:val="single" w:sz="4" w:space="0" w:color="auto"/>
            </w:tcBorders>
          </w:tcPr>
          <w:p w14:paraId="56C324F9" w14:textId="1D04A69F" w:rsidR="00A45197" w:rsidRPr="00A45197" w:rsidRDefault="00A45197" w:rsidP="00A37D77">
            <w:pPr>
              <w:pStyle w:val="Tabletext1"/>
              <w:spacing w:before="50" w:after="50" w:line="276" w:lineRule="auto"/>
              <w:rPr>
                <w:lang w:val="en-US"/>
              </w:rPr>
            </w:pPr>
            <w:r w:rsidRPr="00A45197">
              <w:rPr>
                <w:lang w:val="en-US"/>
              </w:rPr>
              <w:t xml:space="preserve">Mean </w:t>
            </w:r>
            <w:r w:rsidR="00552E31">
              <w:rPr>
                <w:lang w:val="en-US"/>
              </w:rPr>
              <w:t>cost of 6 cycles of chemo</w:t>
            </w:r>
            <w:r w:rsidRPr="00A45197">
              <w:rPr>
                <w:lang w:val="en-US"/>
              </w:rPr>
              <w:t xml:space="preserve"> was C$ 99,033 </w:t>
            </w:r>
            <w:r w:rsidR="00552E31">
              <w:rPr>
                <w:lang w:val="en-US"/>
              </w:rPr>
              <w:t>dollars per patient</w:t>
            </w:r>
          </w:p>
        </w:tc>
        <w:tc>
          <w:tcPr>
            <w:tcW w:w="642" w:type="pct"/>
            <w:tcBorders>
              <w:top w:val="single" w:sz="4" w:space="0" w:color="auto"/>
              <w:left w:val="single" w:sz="4" w:space="0" w:color="auto"/>
              <w:bottom w:val="single" w:sz="4" w:space="0" w:color="auto"/>
              <w:right w:val="single" w:sz="4" w:space="0" w:color="auto"/>
            </w:tcBorders>
          </w:tcPr>
          <w:p w14:paraId="176E4CE9" w14:textId="77777777" w:rsidR="00A45197" w:rsidRPr="00A45197" w:rsidRDefault="00A45197" w:rsidP="009E14FD">
            <w:pPr>
              <w:pStyle w:val="Tabletext1"/>
              <w:spacing w:before="50" w:after="50" w:line="276" w:lineRule="auto"/>
              <w:rPr>
                <w:lang w:val="en-US"/>
              </w:rPr>
            </w:pPr>
            <w:r w:rsidRPr="00A45197">
              <w:rPr>
                <w:lang w:val="en-US"/>
              </w:rPr>
              <w:t>Decision tree to model the outcomes of treatment</w:t>
            </w:r>
          </w:p>
        </w:tc>
        <w:tc>
          <w:tcPr>
            <w:tcW w:w="423" w:type="pct"/>
            <w:tcBorders>
              <w:top w:val="single" w:sz="4" w:space="0" w:color="auto"/>
              <w:left w:val="single" w:sz="4" w:space="0" w:color="auto"/>
              <w:bottom w:val="single" w:sz="4" w:space="0" w:color="auto"/>
              <w:right w:val="single" w:sz="4" w:space="0" w:color="auto"/>
            </w:tcBorders>
          </w:tcPr>
          <w:p w14:paraId="7D89420F" w14:textId="77777777" w:rsidR="00A45197" w:rsidRPr="00A45197" w:rsidRDefault="00A45197" w:rsidP="009E14FD">
            <w:pPr>
              <w:pStyle w:val="Tabletext1"/>
              <w:spacing w:before="50" w:after="50" w:line="276" w:lineRule="auto"/>
            </w:pPr>
            <w:r w:rsidRPr="00A45197">
              <w:t>Payer</w:t>
            </w:r>
          </w:p>
        </w:tc>
        <w:tc>
          <w:tcPr>
            <w:tcW w:w="1446" w:type="pct"/>
            <w:tcBorders>
              <w:top w:val="single" w:sz="4" w:space="0" w:color="auto"/>
              <w:left w:val="single" w:sz="4" w:space="0" w:color="auto"/>
              <w:bottom w:val="single" w:sz="4" w:space="0" w:color="auto"/>
              <w:right w:val="single" w:sz="4" w:space="0" w:color="auto"/>
            </w:tcBorders>
          </w:tcPr>
          <w:p w14:paraId="15B83B3A" w14:textId="77777777" w:rsidR="00A45197" w:rsidRPr="00A45197" w:rsidRDefault="00A45197" w:rsidP="009E14FD">
            <w:pPr>
              <w:pStyle w:val="Tabletext1"/>
              <w:spacing w:before="50" w:after="50" w:line="276" w:lineRule="auto"/>
              <w:rPr>
                <w:lang w:val="en-US"/>
              </w:rPr>
            </w:pPr>
            <w:r w:rsidRPr="00A45197">
              <w:rPr>
                <w:lang w:val="en-US"/>
              </w:rPr>
              <w:t>ICERS of $14,357 per life-year for pulmonary resection, $104,210 for systemic chemotherapy, and $51,159 for pulmonary resection and systemic chemotherapy were calculated.</w:t>
            </w:r>
          </w:p>
        </w:tc>
      </w:tr>
      <w:tr w:rsidR="00A07D80" w:rsidRPr="00A45197" w14:paraId="774AC275" w14:textId="77777777" w:rsidTr="009E14FD">
        <w:trPr>
          <w:cantSplit/>
          <w:trHeight w:val="20"/>
        </w:trPr>
        <w:tc>
          <w:tcPr>
            <w:tcW w:w="379" w:type="pct"/>
            <w:tcBorders>
              <w:top w:val="single" w:sz="4" w:space="0" w:color="auto"/>
              <w:left w:val="single" w:sz="4" w:space="0" w:color="auto"/>
              <w:bottom w:val="single" w:sz="4" w:space="0" w:color="auto"/>
              <w:right w:val="single" w:sz="4" w:space="0" w:color="auto"/>
            </w:tcBorders>
            <w:shd w:val="clear" w:color="auto" w:fill="auto"/>
          </w:tcPr>
          <w:p w14:paraId="3869CBB3" w14:textId="3E5DE3CF" w:rsidR="00A45197" w:rsidRPr="00A45197" w:rsidRDefault="00192EDA" w:rsidP="00320458">
            <w:pPr>
              <w:pStyle w:val="Tabletext1"/>
              <w:spacing w:before="50" w:after="50" w:line="276" w:lineRule="auto"/>
              <w:rPr>
                <w:lang w:val="en-US"/>
              </w:rPr>
            </w:pPr>
            <w:r>
              <w:rPr>
                <w:lang w:val="en-US"/>
              </w:rPr>
              <w:t xml:space="preserve">Puri et al </w:t>
            </w:r>
            <w:r w:rsidR="00804DAF">
              <w:rPr>
                <w:lang w:val="en-US"/>
              </w:rPr>
              <w:fldChar w:fldCharType="begin">
                <w:fldData xml:space="preserve">PEVuZE5vdGU+PENpdGUgRXhjbHVkZUF1dGg9IjEiPjxBdXRob3I+UHVyaTwvQXV0aG9yPjxZZWFy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</w:fldData>
              </w:fldChar>
            </w:r>
            <w:r>
              <w:rPr>
                <w:lang w:val="en-US"/>
              </w:rPr>
              <w:instrText xml:space="preserve"> ADDIN EN.CITE </w:instrText>
            </w:r>
            <w:r>
              <w:rPr>
                <w:lang w:val="en-US"/>
              </w:rPr>
              <w:fldChar w:fldCharType="begin">
                <w:fldData xml:space="preserve">PEVuZE5vdGU+PENpdGUgRXhjbHVkZUF1dGg9IjEiPjxBdXRob3I+UHVyaTwvQXV0aG9yPjxZZWFy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</w:fldData>
              </w:fldChar>
            </w:r>
            <w:r>
              <w:rPr>
                <w:lang w:val="en-US"/>
              </w:rPr>
              <w:instrText xml:space="preserve"> ADDIN EN.CITE.DATA </w:instrText>
            </w:r>
            <w:r>
              <w:rPr>
                <w:lang w:val="en-US"/>
              </w:rPr>
            </w:r>
            <w:r>
              <w:rPr>
                <w:lang w:val="en-US"/>
              </w:rPr>
              <w:fldChar w:fldCharType="end"/>
            </w:r>
            <w:r w:rsidR="00804DAF">
              <w:rPr>
                <w:lang w:val="en-US"/>
              </w:rPr>
            </w:r>
            <w:r w:rsidR="00804DAF">
              <w:rPr>
                <w:lang w:val="en-US"/>
              </w:rPr>
              <w:fldChar w:fldCharType="separate"/>
            </w:r>
            <w:r>
              <w:rPr>
                <w:noProof/>
                <w:lang w:val="en-US"/>
              </w:rPr>
              <w:t>(</w:t>
            </w:r>
            <w:hyperlink w:anchor="_ENREF_122" w:tooltip="Puri, 2012 #259" w:history="1">
              <w:r w:rsidR="00320458">
                <w:rPr>
                  <w:noProof/>
                  <w:lang w:val="en-US"/>
                </w:rPr>
                <w:t>2012</w:t>
              </w:r>
            </w:hyperlink>
            <w:r>
              <w:rPr>
                <w:noProof/>
                <w:lang w:val="en-US"/>
              </w:rPr>
              <w:t>)</w:t>
            </w:r>
            <w:r w:rsidR="00804DAF">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4DB8681F" w14:textId="77777777" w:rsidR="00A45197" w:rsidRPr="00A45197" w:rsidRDefault="00A45197" w:rsidP="009E14FD">
            <w:pPr>
              <w:pStyle w:val="Tabletext1"/>
              <w:spacing w:before="50" w:after="50" w:line="276" w:lineRule="auto"/>
              <w:rPr>
                <w:lang w:val="en-US"/>
              </w:rPr>
            </w:pPr>
            <w:r w:rsidRPr="00A45197">
              <w:rPr>
                <w:lang w:val="en-US"/>
              </w:rPr>
              <w:t>5 years</w:t>
            </w:r>
          </w:p>
        </w:tc>
        <w:tc>
          <w:tcPr>
            <w:tcW w:w="711" w:type="pct"/>
            <w:tcBorders>
              <w:top w:val="single" w:sz="4" w:space="0" w:color="auto"/>
              <w:left w:val="single" w:sz="4" w:space="0" w:color="auto"/>
              <w:bottom w:val="single" w:sz="4" w:space="0" w:color="auto"/>
              <w:right w:val="single" w:sz="4" w:space="0" w:color="auto"/>
            </w:tcBorders>
          </w:tcPr>
          <w:p w14:paraId="367F3BCA" w14:textId="20490CFE" w:rsidR="00A45197" w:rsidRPr="00A45197" w:rsidRDefault="00A45197" w:rsidP="00550BC6">
            <w:pPr>
              <w:pStyle w:val="Tabletext1"/>
              <w:spacing w:before="50" w:after="50" w:line="276" w:lineRule="auto"/>
              <w:rPr>
                <w:lang w:val="en-US"/>
              </w:rPr>
            </w:pPr>
            <w:r w:rsidRPr="00A45197">
              <w:rPr>
                <w:lang w:val="en-US"/>
              </w:rPr>
              <w:t>Medical records of 114 patients (57 each for SBRT and surgery) with stage I NSCLC at Washingto</w:t>
            </w:r>
            <w:r w:rsidR="00CF559A">
              <w:rPr>
                <w:lang w:val="en-US"/>
              </w:rPr>
              <w:t>n University from 2000</w:t>
            </w:r>
            <w:r w:rsidR="00550BC6">
              <w:rPr>
                <w:lang w:val="en-US"/>
              </w:rPr>
              <w:t xml:space="preserve"> to end 20</w:t>
            </w:r>
            <w:r w:rsidR="00CF559A">
              <w:rPr>
                <w:lang w:val="en-US"/>
              </w:rPr>
              <w:t>0</w:t>
            </w:r>
            <w:r w:rsidRPr="00A45197">
              <w:rPr>
                <w:lang w:val="en-US"/>
              </w:rPr>
              <w:t>6</w:t>
            </w:r>
          </w:p>
        </w:tc>
        <w:tc>
          <w:tcPr>
            <w:tcW w:w="508" w:type="pct"/>
            <w:tcBorders>
              <w:top w:val="single" w:sz="4" w:space="0" w:color="auto"/>
              <w:left w:val="single" w:sz="4" w:space="0" w:color="auto"/>
              <w:bottom w:val="single" w:sz="4" w:space="0" w:color="auto"/>
              <w:right w:val="single" w:sz="4" w:space="0" w:color="auto"/>
            </w:tcBorders>
          </w:tcPr>
          <w:p w14:paraId="4A2575A5" w14:textId="77777777" w:rsidR="00A45197" w:rsidRPr="00A45197" w:rsidRDefault="00A45197" w:rsidP="009E14FD">
            <w:pPr>
              <w:pStyle w:val="Tabletext1"/>
              <w:spacing w:before="50" w:after="50" w:line="276" w:lineRule="auto"/>
              <w:rPr>
                <w:lang w:val="en-US"/>
              </w:rPr>
            </w:pPr>
            <w:r w:rsidRPr="00A45197">
              <w:rPr>
                <w:lang w:val="en-US"/>
              </w:rPr>
              <w:t>SBRT $14,153</w:t>
            </w:r>
          </w:p>
        </w:tc>
        <w:tc>
          <w:tcPr>
            <w:tcW w:w="560" w:type="pct"/>
            <w:tcBorders>
              <w:top w:val="single" w:sz="4" w:space="0" w:color="auto"/>
              <w:left w:val="single" w:sz="4" w:space="0" w:color="auto"/>
              <w:bottom w:val="single" w:sz="4" w:space="0" w:color="auto"/>
              <w:right w:val="single" w:sz="4" w:space="0" w:color="auto"/>
            </w:tcBorders>
          </w:tcPr>
          <w:p w14:paraId="1A1F1CCD" w14:textId="77777777" w:rsidR="00A45197" w:rsidRPr="00A45197" w:rsidRDefault="00A45197" w:rsidP="009E14FD">
            <w:pPr>
              <w:pStyle w:val="Tabletext1"/>
              <w:spacing w:before="50" w:after="50" w:line="276" w:lineRule="auto"/>
              <w:rPr>
                <w:lang w:val="en-US"/>
              </w:rPr>
            </w:pPr>
            <w:r w:rsidRPr="00A45197">
              <w:rPr>
                <w:lang w:val="en-US"/>
              </w:rPr>
              <w:t>Surgery $17,629</w:t>
            </w:r>
          </w:p>
        </w:tc>
        <w:tc>
          <w:tcPr>
            <w:tcW w:w="642" w:type="pct"/>
            <w:tcBorders>
              <w:top w:val="single" w:sz="4" w:space="0" w:color="auto"/>
              <w:left w:val="single" w:sz="4" w:space="0" w:color="auto"/>
              <w:bottom w:val="single" w:sz="4" w:space="0" w:color="auto"/>
              <w:right w:val="single" w:sz="4" w:space="0" w:color="auto"/>
            </w:tcBorders>
          </w:tcPr>
          <w:p w14:paraId="36A0A07E" w14:textId="77777777" w:rsidR="00A45197" w:rsidRPr="00A45197" w:rsidRDefault="00A45197" w:rsidP="009E14FD">
            <w:pPr>
              <w:pStyle w:val="Tabletext1"/>
              <w:spacing w:before="50" w:after="50" w:line="276" w:lineRule="auto"/>
              <w:rPr>
                <w:lang w:val="en-US"/>
              </w:rPr>
            </w:pPr>
            <w:r w:rsidRPr="00A45197">
              <w:rPr>
                <w:lang w:val="en-US"/>
              </w:rPr>
              <w:t xml:space="preserve">Markov decision model with propensity matching </w:t>
            </w:r>
          </w:p>
        </w:tc>
        <w:tc>
          <w:tcPr>
            <w:tcW w:w="423" w:type="pct"/>
            <w:tcBorders>
              <w:top w:val="single" w:sz="4" w:space="0" w:color="auto"/>
              <w:left w:val="single" w:sz="4" w:space="0" w:color="auto"/>
              <w:bottom w:val="single" w:sz="4" w:space="0" w:color="auto"/>
              <w:right w:val="single" w:sz="4" w:space="0" w:color="auto"/>
            </w:tcBorders>
          </w:tcPr>
          <w:p w14:paraId="4B39C835" w14:textId="77777777" w:rsidR="00A45197" w:rsidRPr="00A45197" w:rsidRDefault="00A45197" w:rsidP="009E14FD">
            <w:pPr>
              <w:pStyle w:val="Tabletext1"/>
              <w:spacing w:before="50" w:after="50" w:line="276" w:lineRule="auto"/>
            </w:pPr>
            <w:r w:rsidRPr="00A45197">
              <w:t>Payer</w:t>
            </w:r>
          </w:p>
        </w:tc>
        <w:tc>
          <w:tcPr>
            <w:tcW w:w="1446" w:type="pct"/>
            <w:tcBorders>
              <w:top w:val="single" w:sz="4" w:space="0" w:color="auto"/>
              <w:left w:val="single" w:sz="4" w:space="0" w:color="auto"/>
              <w:bottom w:val="single" w:sz="4" w:space="0" w:color="auto"/>
              <w:right w:val="single" w:sz="4" w:space="0" w:color="auto"/>
            </w:tcBorders>
          </w:tcPr>
          <w:p w14:paraId="02C26935" w14:textId="77777777" w:rsidR="00A45197" w:rsidRPr="00A45197" w:rsidRDefault="00A45197" w:rsidP="009E14FD">
            <w:pPr>
              <w:pStyle w:val="Tabletext1"/>
              <w:spacing w:before="50" w:after="50" w:line="276" w:lineRule="auto"/>
              <w:rPr>
                <w:lang w:val="en-US"/>
              </w:rPr>
            </w:pPr>
            <w:r w:rsidRPr="00A45197">
              <w:rPr>
                <w:lang w:val="en-US"/>
              </w:rPr>
              <w:t>SBRT was less expensive than surgery, surgery was more cost-effectiveness due to greater survival time</w:t>
            </w:r>
          </w:p>
        </w:tc>
      </w:tr>
      <w:tr w:rsidR="00A07D80" w:rsidRPr="00A45197" w14:paraId="5D36C243" w14:textId="77777777" w:rsidTr="009E14FD">
        <w:trPr>
          <w:cantSplit/>
          <w:trHeight w:val="20"/>
        </w:trPr>
        <w:tc>
          <w:tcPr>
            <w:tcW w:w="379" w:type="pct"/>
            <w:tcBorders>
              <w:top w:val="single" w:sz="4" w:space="0" w:color="auto"/>
              <w:left w:val="single" w:sz="4" w:space="0" w:color="auto"/>
              <w:bottom w:val="single" w:sz="4" w:space="0" w:color="auto"/>
              <w:right w:val="single" w:sz="4" w:space="0" w:color="auto"/>
            </w:tcBorders>
          </w:tcPr>
          <w:p w14:paraId="0A130928" w14:textId="6C9F1E39" w:rsidR="00A45197" w:rsidRPr="00A45197" w:rsidRDefault="00192EDA" w:rsidP="00320458">
            <w:pPr>
              <w:pStyle w:val="Tabletext1"/>
              <w:spacing w:before="50" w:after="50" w:line="276" w:lineRule="auto"/>
              <w:rPr>
                <w:lang w:val="en-US"/>
              </w:rPr>
            </w:pPr>
            <w:r>
              <w:rPr>
                <w:lang w:val="en-US"/>
              </w:rPr>
              <w:t xml:space="preserve">Smith et al </w:t>
            </w:r>
            <w:r w:rsidR="00804DAF">
              <w:rPr>
                <w:lang w:val="en-US"/>
              </w:rPr>
              <w:fldChar w:fldCharType="begin"/>
            </w:r>
            <w:r>
              <w:rPr>
                <w:lang w:val="en-US"/>
              </w:rPr>
              <w:instrText xml:space="preserve"> ADDIN EN.CITE &lt;EndNote&gt;&lt;Cite ExcludeAuth="1"&gt;&lt;Author&gt;Smith&lt;/Author&gt;&lt;Year&gt;2015&lt;/Year&gt;&lt;RecNum&gt;54&lt;/RecNum&gt;&lt;DisplayText&gt;(2015)&lt;/DisplayText&gt;&lt;record&gt;&lt;rec-number&gt;54&lt;/rec-number&gt;&lt;foreign-keys&gt;&lt;key app="EN" db-id="05ssdaw2cf0zvye5xvo5z9ww0xdpfstrdtew" timestamp="1465864259"&gt;54&lt;/key&gt;&lt;/foreign-keys&gt;&lt;ref-type name="Journal Article"&gt;17&lt;/ref-type&gt;&lt;contributors&gt;&lt;authors&gt;&lt;author&gt;Smith, S. L.&lt;/author&gt;&lt;author&gt;Jennings, P. E.&lt;/author&gt;&lt;/authors&gt;&lt;/contributors&gt;&lt;auth-address&gt;Department of Radiology, Ipswich Hospital NHS Trust, Ipswich, Suffolk, UK.&lt;/auth-address&gt;&lt;titles&gt;&lt;title&gt;Lung radiofrequency and microwave ablation: a review of indications, techniques and post-procedural imaging appearances&lt;/title&gt;&lt;secondary-title&gt;Br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radiology&lt;/abbr-1&gt;&lt;/alt-periodical&gt;&lt;pages&gt;20140598&lt;/pages&gt;&lt;volume&gt;88&lt;/volume&gt;&lt;number&gt;1046&lt;/number&gt;&lt;edition&gt;2014/12/04&lt;/edition&gt;&lt;keywords&gt;&lt;keyword&gt;Catheter Ablation/*methods&lt;/keyword&gt;&lt;keyword&gt;Diathermy/*methods&lt;/keyword&gt;&lt;keyword&gt;Humans&lt;/keyword&gt;&lt;keyword&gt;Lung/*radiography&lt;/keyword&gt;&lt;keyword&gt;Lung Neoplasms/radiography/*therapy&lt;/keyword&gt;&lt;keyword&gt;Microwaves/*therapeutic use&lt;/keyword&gt;&lt;keyword&gt;*Tomography, X-Ray Computed&lt;/keyword&gt;&lt;/keywords&gt;&lt;dates&gt;&lt;year&gt;2015&lt;/year&gt;&lt;pub-dates&gt;&lt;date&gt;Feb&lt;/date&gt;&lt;/pub-dates&gt;&lt;/dates&gt;&lt;isbn&gt;0007-1285&lt;/isbn&gt;&lt;accession-num&gt;25465192&lt;/accession-num&gt;&lt;urls&gt;&lt;/urls&gt;&lt;electronic-resource-num&gt;10.1259/bjr.20140598&lt;/electronic-resource-num&gt;&lt;remote-database-provider&gt;NLM&lt;/remote-database-provider&gt;&lt;language&gt;eng&lt;/language&gt;&lt;/record&gt;&lt;/Cite&gt;&lt;/EndNote&gt;</w:instrText>
            </w:r>
            <w:r w:rsidR="00804DAF">
              <w:rPr>
                <w:lang w:val="en-US"/>
              </w:rPr>
              <w:fldChar w:fldCharType="separate"/>
            </w:r>
            <w:r>
              <w:rPr>
                <w:noProof/>
                <w:lang w:val="en-US"/>
              </w:rPr>
              <w:t>(</w:t>
            </w:r>
            <w:hyperlink w:anchor="_ENREF_146" w:tooltip="Smith, 2015 #54" w:history="1">
              <w:r w:rsidR="00320458">
                <w:rPr>
                  <w:noProof/>
                  <w:lang w:val="en-US"/>
                </w:rPr>
                <w:t>2015</w:t>
              </w:r>
            </w:hyperlink>
            <w:r>
              <w:rPr>
                <w:noProof/>
                <w:lang w:val="en-US"/>
              </w:rPr>
              <w:t>)</w:t>
            </w:r>
            <w:r w:rsidR="00804DAF">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1752F74F" w14:textId="77777777" w:rsidR="00A45197" w:rsidRPr="00A45197" w:rsidRDefault="00A45197" w:rsidP="009E14FD">
            <w:pPr>
              <w:pStyle w:val="Tabletext1"/>
              <w:spacing w:before="50" w:after="50" w:line="276" w:lineRule="auto"/>
              <w:rPr>
                <w:lang w:val="en-US"/>
              </w:rPr>
            </w:pPr>
            <w:r w:rsidRPr="00A45197">
              <w:rPr>
                <w:lang w:val="en-US"/>
              </w:rPr>
              <w:t>5 years</w:t>
            </w:r>
          </w:p>
        </w:tc>
        <w:tc>
          <w:tcPr>
            <w:tcW w:w="711" w:type="pct"/>
            <w:tcBorders>
              <w:top w:val="single" w:sz="4" w:space="0" w:color="auto"/>
              <w:left w:val="single" w:sz="4" w:space="0" w:color="auto"/>
              <w:bottom w:val="single" w:sz="4" w:space="0" w:color="auto"/>
              <w:right w:val="single" w:sz="4" w:space="0" w:color="auto"/>
            </w:tcBorders>
          </w:tcPr>
          <w:p w14:paraId="64E658E1" w14:textId="2D9A31FC" w:rsidR="00A45197" w:rsidRPr="00A45197" w:rsidRDefault="009E14FD" w:rsidP="009E14FD">
            <w:pPr>
              <w:pStyle w:val="Tabletext1"/>
              <w:spacing w:before="50" w:after="50" w:line="276" w:lineRule="auto"/>
              <w:rPr>
                <w:lang w:val="en-US"/>
              </w:rPr>
            </w:pPr>
            <w:r>
              <w:rPr>
                <w:lang w:val="en-US"/>
              </w:rPr>
              <w:t>L</w:t>
            </w:r>
            <w:r w:rsidR="00A45197" w:rsidRPr="00A45197">
              <w:rPr>
                <w:lang w:val="en-US"/>
              </w:rPr>
              <w:t xml:space="preserve">ocal NSCLC identified in the USA Surveillance, Epidemiology, and End Results Medicare population-based database </w:t>
            </w:r>
            <w:proofErr w:type="gramStart"/>
            <w:r w:rsidR="00A45197" w:rsidRPr="00A45197">
              <w:rPr>
                <w:lang w:val="en-US"/>
              </w:rPr>
              <w:t>between 2003</w:t>
            </w:r>
            <w:r w:rsidR="00D35E9C">
              <w:t>–</w:t>
            </w:r>
            <w:r w:rsidR="00A45197" w:rsidRPr="00A45197">
              <w:rPr>
                <w:lang w:val="en-US"/>
              </w:rPr>
              <w:t>2009,</w:t>
            </w:r>
            <w:proofErr w:type="gramEnd"/>
            <w:r w:rsidR="00A45197" w:rsidRPr="00A45197">
              <w:rPr>
                <w:lang w:val="en-US"/>
              </w:rPr>
              <w:t xml:space="preserve"> USA.</w:t>
            </w:r>
          </w:p>
        </w:tc>
        <w:tc>
          <w:tcPr>
            <w:tcW w:w="508" w:type="pct"/>
            <w:tcBorders>
              <w:top w:val="single" w:sz="4" w:space="0" w:color="auto"/>
              <w:left w:val="single" w:sz="4" w:space="0" w:color="auto"/>
              <w:bottom w:val="single" w:sz="4" w:space="0" w:color="auto"/>
              <w:right w:val="single" w:sz="4" w:space="0" w:color="auto"/>
            </w:tcBorders>
          </w:tcPr>
          <w:p w14:paraId="73EC9F01" w14:textId="4BF743DA" w:rsidR="00A45197" w:rsidRPr="00A45197" w:rsidRDefault="00A45197" w:rsidP="009E14FD">
            <w:pPr>
              <w:pStyle w:val="Tabletext1"/>
              <w:spacing w:before="50" w:after="50" w:line="276" w:lineRule="auto"/>
              <w:rPr>
                <w:lang w:val="en-US"/>
              </w:rPr>
            </w:pPr>
            <w:r w:rsidRPr="00A45197">
              <w:rPr>
                <w:lang w:val="en-US"/>
              </w:rPr>
              <w:t xml:space="preserve">$55,120 for </w:t>
            </w:r>
            <w:r w:rsidR="00A208C0">
              <w:rPr>
                <w:lang w:val="en-US"/>
              </w:rPr>
              <w:t>SBRT</w:t>
            </w:r>
            <w:r w:rsidRPr="00A45197">
              <w:rPr>
                <w:lang w:val="en-US"/>
              </w:rPr>
              <w:t xml:space="preserve"> treatment</w:t>
            </w:r>
          </w:p>
        </w:tc>
        <w:tc>
          <w:tcPr>
            <w:tcW w:w="560" w:type="pct"/>
            <w:tcBorders>
              <w:top w:val="single" w:sz="4" w:space="0" w:color="auto"/>
              <w:left w:val="single" w:sz="4" w:space="0" w:color="auto"/>
              <w:bottom w:val="single" w:sz="4" w:space="0" w:color="auto"/>
              <w:right w:val="single" w:sz="4" w:space="0" w:color="auto"/>
            </w:tcBorders>
          </w:tcPr>
          <w:p w14:paraId="579CDF73" w14:textId="77777777" w:rsidR="00A45197" w:rsidRPr="00A45197" w:rsidRDefault="00A45197" w:rsidP="009E14FD">
            <w:pPr>
              <w:pStyle w:val="Tabletext1"/>
              <w:spacing w:before="50" w:after="50" w:line="276" w:lineRule="auto"/>
              <w:rPr>
                <w:lang w:val="en-US"/>
              </w:rPr>
            </w:pPr>
            <w:r w:rsidRPr="00A45197">
              <w:rPr>
                <w:lang w:val="en-US"/>
              </w:rPr>
              <w:t>$77,964 with sub lobar resection</w:t>
            </w:r>
          </w:p>
        </w:tc>
        <w:tc>
          <w:tcPr>
            <w:tcW w:w="642" w:type="pct"/>
            <w:tcBorders>
              <w:top w:val="single" w:sz="4" w:space="0" w:color="auto"/>
              <w:left w:val="single" w:sz="4" w:space="0" w:color="auto"/>
              <w:bottom w:val="single" w:sz="4" w:space="0" w:color="auto"/>
              <w:right w:val="single" w:sz="4" w:space="0" w:color="auto"/>
            </w:tcBorders>
          </w:tcPr>
          <w:p w14:paraId="383522CF" w14:textId="6DC47659" w:rsidR="00A45197" w:rsidRPr="00A45197" w:rsidRDefault="00A45197" w:rsidP="009E14FD">
            <w:pPr>
              <w:pStyle w:val="Tabletext1"/>
              <w:spacing w:before="50" w:after="50" w:line="276" w:lineRule="auto"/>
              <w:rPr>
                <w:lang w:val="en-US"/>
              </w:rPr>
            </w:pPr>
            <w:r w:rsidRPr="00A45197">
              <w:rPr>
                <w:lang w:val="en-US"/>
              </w:rPr>
              <w:t xml:space="preserve">Costs of </w:t>
            </w:r>
            <w:r w:rsidR="00A208C0">
              <w:rPr>
                <w:lang w:val="en-US"/>
              </w:rPr>
              <w:t>SBRT</w:t>
            </w:r>
            <w:r w:rsidRPr="00A45197">
              <w:rPr>
                <w:lang w:val="en-US"/>
              </w:rPr>
              <w:t xml:space="preserve"> and surgery compared over 5 years using Wilcoxon rank-sum test</w:t>
            </w:r>
          </w:p>
        </w:tc>
        <w:tc>
          <w:tcPr>
            <w:tcW w:w="423" w:type="pct"/>
            <w:tcBorders>
              <w:top w:val="single" w:sz="4" w:space="0" w:color="auto"/>
              <w:left w:val="single" w:sz="4" w:space="0" w:color="auto"/>
              <w:bottom w:val="single" w:sz="4" w:space="0" w:color="auto"/>
              <w:right w:val="single" w:sz="4" w:space="0" w:color="auto"/>
            </w:tcBorders>
          </w:tcPr>
          <w:p w14:paraId="6985257B" w14:textId="77777777" w:rsidR="00A45197" w:rsidRPr="00A45197" w:rsidRDefault="00A45197" w:rsidP="009E14FD">
            <w:pPr>
              <w:pStyle w:val="Tabletext1"/>
              <w:spacing w:before="50" w:after="50" w:line="276" w:lineRule="auto"/>
            </w:pPr>
            <w:r w:rsidRPr="00A45197">
              <w:t>Payer</w:t>
            </w:r>
          </w:p>
        </w:tc>
        <w:tc>
          <w:tcPr>
            <w:tcW w:w="1446" w:type="pct"/>
            <w:tcBorders>
              <w:top w:val="single" w:sz="4" w:space="0" w:color="auto"/>
              <w:left w:val="single" w:sz="4" w:space="0" w:color="auto"/>
              <w:bottom w:val="single" w:sz="4" w:space="0" w:color="auto"/>
              <w:right w:val="single" w:sz="4" w:space="0" w:color="auto"/>
            </w:tcBorders>
          </w:tcPr>
          <w:p w14:paraId="33FBC80F" w14:textId="205C82F3" w:rsidR="00A45197" w:rsidRPr="00A45197" w:rsidRDefault="00A45197" w:rsidP="009E14FD">
            <w:pPr>
              <w:pStyle w:val="Tabletext1"/>
              <w:spacing w:before="50" w:after="50" w:line="276" w:lineRule="auto"/>
              <w:rPr>
                <w:lang w:val="en-US"/>
              </w:rPr>
            </w:pPr>
            <w:r w:rsidRPr="00A45197">
              <w:rPr>
                <w:lang w:val="en-US"/>
              </w:rPr>
              <w:t xml:space="preserve">Lobectomy was more cost-effective compared to </w:t>
            </w:r>
            <w:r w:rsidR="00A208C0">
              <w:rPr>
                <w:lang w:val="en-US"/>
              </w:rPr>
              <w:t>SBRT</w:t>
            </w:r>
            <w:r w:rsidRPr="00A45197">
              <w:rPr>
                <w:lang w:val="en-US"/>
              </w:rPr>
              <w:t xml:space="preserve"> </w:t>
            </w:r>
          </w:p>
        </w:tc>
      </w:tr>
      <w:tr w:rsidR="00A07D80" w:rsidRPr="00A45197" w14:paraId="467607FD" w14:textId="77777777" w:rsidTr="009E14FD">
        <w:trPr>
          <w:cantSplit/>
          <w:trHeight w:val="20"/>
        </w:trPr>
        <w:tc>
          <w:tcPr>
            <w:tcW w:w="379" w:type="pct"/>
            <w:tcBorders>
              <w:top w:val="single" w:sz="4" w:space="0" w:color="auto"/>
              <w:left w:val="single" w:sz="4" w:space="0" w:color="auto"/>
              <w:bottom w:val="single" w:sz="4" w:space="0" w:color="auto"/>
              <w:right w:val="single" w:sz="4" w:space="0" w:color="auto"/>
            </w:tcBorders>
          </w:tcPr>
          <w:p w14:paraId="18C763E0" w14:textId="76317337" w:rsidR="00A45197" w:rsidRPr="00A45197" w:rsidRDefault="00A07D80" w:rsidP="00320458">
            <w:pPr>
              <w:pStyle w:val="Tabletext1"/>
              <w:spacing w:before="50" w:after="50" w:line="276" w:lineRule="auto"/>
              <w:rPr>
                <w:lang w:val="en-US"/>
              </w:rPr>
            </w:pPr>
            <w:r>
              <w:rPr>
                <w:lang w:val="en-US"/>
              </w:rPr>
              <w:t xml:space="preserve">Lester-Coll et al </w:t>
            </w:r>
            <w:r>
              <w:rPr>
                <w:lang w:val="en-US"/>
              </w:rPr>
              <w:fldChar w:fldCharType="begin"/>
            </w:r>
            <w:r>
              <w:rPr>
                <w:lang w:val="en-US"/>
              </w:rPr>
              <w:instrText xml:space="preserve"> ADDIN EN.CITE &lt;EndNote&gt;&lt;Cite ExcludeAuth="1"&gt;&lt;Author&gt;Lester-Coll&lt;/Author&gt;&lt;Year&gt;2016&lt;/Year&gt;&lt;RecNum&gt;291&lt;/RecNum&gt;&lt;DisplayText&gt;(2016)&lt;/DisplayText&gt;&lt;record&gt;&lt;rec-number&gt;291&lt;/rec-number&gt;&lt;foreign-keys&gt;&lt;key app="EN" db-id="05ssdaw2cf0zvye5xvo5z9ww0xdpfstrdtew" timestamp="1472714248"&gt;291&lt;/key&gt;&lt;/foreign-keys&gt;&lt;ref-type name="Journal Article"&gt;17&lt;/ref-type&gt;&lt;contributors&gt;&lt;authors&gt;&lt;author&gt;Lester-Coll, N. H.&lt;/author&gt;&lt;author&gt;Rutter, C. E.&lt;/author&gt;&lt;author&gt;Bledsoe, T. J.&lt;/author&gt;&lt;author&gt;Goldberg, S. B.&lt;/author&gt;&lt;author&gt;Decker, R. H.&lt;/author&gt;&lt;author&gt;Yu, J. B.&lt;/author&gt;&lt;/authors&gt;&lt;/contributors&gt;&lt;auth-address&gt;Department of Therapeutic Radiology, Yale University School of Medicine, New Haven, Connecticut. Electronic address: nataniel.lester-coll@yale.edu.&amp;#xD;Department of Therapeutic Radiology, Yale University School of Medicine, New Haven, Connecticut.&amp;#xD;Department of Medicine (Medical Oncology), Yale University School of Medicine, New Haven, Connecticut.&lt;/auth-address&gt;&lt;titles&gt;&lt;title&gt;Cost-Effectiveness of Surgery, Stereotactic Body Radiation Therapy, and Systemic Therapy for Pulmonary Oligometastases&lt;/title&gt;&lt;secondary-title&gt;Int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physics&lt;/abbr-1&gt;&lt;/alt-periodical&gt;&lt;pages&gt;663-72&lt;/pages&gt;&lt;volume&gt;95&lt;/volume&gt;&lt;number&gt;2&lt;/number&gt;&lt;edition&gt;2016/04/09&lt;/edition&gt;&lt;dates&gt;&lt;year&gt;2016&lt;/year&gt;&lt;pub-dates&gt;&lt;date&gt;Jun 1&lt;/date&gt;&lt;/pub-dates&gt;&lt;/dates&gt;&lt;isbn&gt;0360-3016&lt;/isbn&gt;&lt;accession-num&gt;27055395&lt;/accession-num&gt;&lt;urls&gt;&lt;/urls&gt;&lt;electronic-resource-num&gt;10.1016/j.ijrobp.2016.01.020&lt;/electronic-resource-num&gt;&lt;remote-database-provider&gt;NLM&lt;/remote-database-provider&gt;&lt;language&gt;eng&lt;/language&gt;&lt;/record&gt;&lt;/Cite&gt;&lt;/EndNote&gt;</w:instrText>
            </w:r>
            <w:r>
              <w:rPr>
                <w:lang w:val="en-US"/>
              </w:rPr>
              <w:fldChar w:fldCharType="separate"/>
            </w:r>
            <w:r>
              <w:rPr>
                <w:noProof/>
                <w:lang w:val="en-US"/>
              </w:rPr>
              <w:t>(</w:t>
            </w:r>
            <w:hyperlink w:anchor="_ENREF_89" w:tooltip="Lester-Coll, 2016 #291" w:history="1">
              <w:r w:rsidR="00320458">
                <w:rPr>
                  <w:noProof/>
                  <w:lang w:val="en-US"/>
                </w:rPr>
                <w:t>2016</w:t>
              </w:r>
            </w:hyperlink>
            <w:r>
              <w:rPr>
                <w:noProof/>
                <w:lang w:val="en-US"/>
              </w:rPr>
              <w:t>)</w:t>
            </w:r>
            <w:r>
              <w:rPr>
                <w:lang w:val="en-US"/>
              </w:rPr>
              <w:fldChar w:fldCharType="end"/>
            </w:r>
          </w:p>
        </w:tc>
        <w:tc>
          <w:tcPr>
            <w:tcW w:w="331" w:type="pct"/>
            <w:tcBorders>
              <w:top w:val="single" w:sz="4" w:space="0" w:color="auto"/>
              <w:left w:val="single" w:sz="4" w:space="0" w:color="auto"/>
              <w:bottom w:val="single" w:sz="4" w:space="0" w:color="auto"/>
              <w:right w:val="single" w:sz="4" w:space="0" w:color="auto"/>
            </w:tcBorders>
          </w:tcPr>
          <w:p w14:paraId="344F528E" w14:textId="77777777" w:rsidR="00A45197" w:rsidRPr="00A45197" w:rsidRDefault="00A45197" w:rsidP="009E14FD">
            <w:pPr>
              <w:pStyle w:val="Tabletext1"/>
              <w:spacing w:before="50" w:after="50" w:line="276" w:lineRule="auto"/>
              <w:rPr>
                <w:lang w:val="en-US"/>
              </w:rPr>
            </w:pPr>
            <w:r w:rsidRPr="00A45197">
              <w:rPr>
                <w:lang w:val="en-US"/>
              </w:rPr>
              <w:t>10 years, using 3% discount rate</w:t>
            </w:r>
          </w:p>
        </w:tc>
        <w:tc>
          <w:tcPr>
            <w:tcW w:w="711" w:type="pct"/>
            <w:tcBorders>
              <w:top w:val="single" w:sz="4" w:space="0" w:color="auto"/>
              <w:left w:val="single" w:sz="4" w:space="0" w:color="auto"/>
              <w:bottom w:val="single" w:sz="4" w:space="0" w:color="auto"/>
              <w:right w:val="single" w:sz="4" w:space="0" w:color="auto"/>
            </w:tcBorders>
          </w:tcPr>
          <w:p w14:paraId="621EE4AE" w14:textId="7A39BFCF" w:rsidR="00A45197" w:rsidRPr="00A45197" w:rsidRDefault="00A37D77" w:rsidP="00580204">
            <w:pPr>
              <w:pStyle w:val="Tabletext1"/>
              <w:spacing w:before="50" w:after="50" w:line="276" w:lineRule="auto"/>
              <w:rPr>
                <w:lang w:val="en-US"/>
              </w:rPr>
            </w:pPr>
            <w:r>
              <w:rPr>
                <w:lang w:val="en-US"/>
              </w:rPr>
              <w:t>M</w:t>
            </w:r>
            <w:r w:rsidR="00A45197" w:rsidRPr="00A45197">
              <w:rPr>
                <w:lang w:val="en-US"/>
              </w:rPr>
              <w:t xml:space="preserve">elanoma; </w:t>
            </w:r>
            <w:r w:rsidR="00580204">
              <w:rPr>
                <w:lang w:val="en-US"/>
              </w:rPr>
              <w:t>NSCLC</w:t>
            </w:r>
            <w:r w:rsidR="00A45197" w:rsidRPr="00A45197">
              <w:rPr>
                <w:lang w:val="en-US"/>
              </w:rPr>
              <w:t xml:space="preserve"> adenocarcinoma without an EGFR mutation (NSCLC AC); NSCLC with an EGFR mutation (NSCLC EGFRm AC); NSCLC squamous cell carcinoma (NSCLC SCC); and colon cancer.</w:t>
            </w:r>
          </w:p>
        </w:tc>
        <w:tc>
          <w:tcPr>
            <w:tcW w:w="508" w:type="pct"/>
            <w:tcBorders>
              <w:top w:val="single" w:sz="4" w:space="0" w:color="auto"/>
              <w:left w:val="single" w:sz="4" w:space="0" w:color="auto"/>
              <w:bottom w:val="single" w:sz="4" w:space="0" w:color="auto"/>
              <w:right w:val="single" w:sz="4" w:space="0" w:color="auto"/>
            </w:tcBorders>
          </w:tcPr>
          <w:p w14:paraId="5637D1E8" w14:textId="7F708175" w:rsidR="00A45197" w:rsidRPr="00A45197" w:rsidRDefault="00A45197" w:rsidP="009E14FD">
            <w:pPr>
              <w:pStyle w:val="Tabletext1"/>
              <w:spacing w:before="50" w:after="50" w:line="276" w:lineRule="auto"/>
              <w:rPr>
                <w:lang w:val="en-US"/>
              </w:rPr>
            </w:pPr>
            <w:r w:rsidRPr="00A45197">
              <w:rPr>
                <w:lang w:val="en-US"/>
              </w:rPr>
              <w:t>-</w:t>
            </w:r>
          </w:p>
        </w:tc>
        <w:tc>
          <w:tcPr>
            <w:tcW w:w="560" w:type="pct"/>
            <w:tcBorders>
              <w:top w:val="single" w:sz="4" w:space="0" w:color="auto"/>
              <w:left w:val="single" w:sz="4" w:space="0" w:color="auto"/>
              <w:bottom w:val="single" w:sz="4" w:space="0" w:color="auto"/>
              <w:right w:val="single" w:sz="4" w:space="0" w:color="auto"/>
            </w:tcBorders>
          </w:tcPr>
          <w:p w14:paraId="367CA44C" w14:textId="77777777" w:rsidR="00A45197" w:rsidRPr="00A45197" w:rsidRDefault="00A45197" w:rsidP="009E14FD">
            <w:pPr>
              <w:pStyle w:val="Tabletext1"/>
              <w:spacing w:before="50" w:after="50" w:line="276" w:lineRule="auto"/>
              <w:rPr>
                <w:lang w:val="en-US"/>
              </w:rPr>
            </w:pPr>
            <w:r w:rsidRPr="00A45197">
              <w:rPr>
                <w:lang w:val="en-US"/>
              </w:rPr>
              <w:t>-</w:t>
            </w:r>
          </w:p>
        </w:tc>
        <w:tc>
          <w:tcPr>
            <w:tcW w:w="642" w:type="pct"/>
            <w:tcBorders>
              <w:top w:val="single" w:sz="4" w:space="0" w:color="auto"/>
              <w:left w:val="single" w:sz="4" w:space="0" w:color="auto"/>
              <w:bottom w:val="single" w:sz="4" w:space="0" w:color="auto"/>
              <w:right w:val="single" w:sz="4" w:space="0" w:color="auto"/>
            </w:tcBorders>
          </w:tcPr>
          <w:p w14:paraId="66B7CA7A" w14:textId="77777777" w:rsidR="00A45197" w:rsidRPr="00A45197" w:rsidRDefault="00A45197" w:rsidP="009E14FD">
            <w:pPr>
              <w:pStyle w:val="Tabletext1"/>
              <w:spacing w:before="50" w:after="50" w:line="276" w:lineRule="auto"/>
              <w:rPr>
                <w:lang w:val="en-US"/>
              </w:rPr>
            </w:pPr>
            <w:r w:rsidRPr="00A45197">
              <w:rPr>
                <w:lang w:val="en-US"/>
              </w:rPr>
              <w:t>Markov modeling approach was used to compare average cumulative costs, quality adjusted life years (QALYs), and incremental cost-effectiveness ratios (ICERs)</w:t>
            </w:r>
          </w:p>
        </w:tc>
        <w:tc>
          <w:tcPr>
            <w:tcW w:w="423" w:type="pct"/>
            <w:tcBorders>
              <w:top w:val="single" w:sz="4" w:space="0" w:color="auto"/>
              <w:left w:val="single" w:sz="4" w:space="0" w:color="auto"/>
              <w:bottom w:val="single" w:sz="4" w:space="0" w:color="auto"/>
              <w:right w:val="single" w:sz="4" w:space="0" w:color="auto"/>
            </w:tcBorders>
          </w:tcPr>
          <w:p w14:paraId="33DFA67A" w14:textId="77777777" w:rsidR="00A45197" w:rsidRPr="00A45197" w:rsidRDefault="00A45197" w:rsidP="009E14FD">
            <w:pPr>
              <w:pStyle w:val="Tabletext1"/>
              <w:spacing w:before="50" w:after="50" w:line="276" w:lineRule="auto"/>
            </w:pPr>
            <w:r w:rsidRPr="00A45197">
              <w:t>Payer</w:t>
            </w:r>
          </w:p>
        </w:tc>
        <w:tc>
          <w:tcPr>
            <w:tcW w:w="1446" w:type="pct"/>
            <w:tcBorders>
              <w:top w:val="single" w:sz="4" w:space="0" w:color="auto"/>
              <w:left w:val="single" w:sz="4" w:space="0" w:color="auto"/>
              <w:bottom w:val="single" w:sz="4" w:space="0" w:color="auto"/>
              <w:right w:val="single" w:sz="4" w:space="0" w:color="auto"/>
            </w:tcBorders>
          </w:tcPr>
          <w:p w14:paraId="26026F56" w14:textId="77777777" w:rsidR="00A45197" w:rsidRPr="00A45197" w:rsidRDefault="00A45197" w:rsidP="009E14FD">
            <w:pPr>
              <w:pStyle w:val="Tabletext1"/>
              <w:spacing w:before="50" w:after="50" w:line="276" w:lineRule="auto"/>
              <w:rPr>
                <w:lang w:val="en-US"/>
              </w:rPr>
            </w:pPr>
            <w:r w:rsidRPr="00A45197">
              <w:rPr>
                <w:lang w:val="en-US"/>
              </w:rPr>
              <w:t xml:space="preserve">The most cost-effective strategies were SBRT for patients with NSCLC AC ($156,725/0.80), paclitaxel/carboplatin for patients with NSCLC, SCC ($123,799/0.48), and erlotinib for NSCLC, EGFRm AC ($147,091/1.90). </w:t>
            </w:r>
          </w:p>
        </w:tc>
      </w:tr>
    </w:tbl>
    <w:p w14:paraId="355D022C" w14:textId="14805BE4" w:rsidR="00E56FF7" w:rsidRPr="00BC4A30" w:rsidRDefault="001D5452" w:rsidP="00580204">
      <w:pPr>
        <w:pStyle w:val="Tablenotes0"/>
      </w:pPr>
      <w:r>
        <w:t>&lt;</w:t>
      </w:r>
      <w:r w:rsidR="004A5E6A">
        <w:t xml:space="preserve">CRT= conventional radiotherapy; ICER = incremental cost effectiveness ratio; </w:t>
      </w:r>
      <w:r w:rsidR="00E56FF7" w:rsidRPr="00BC4A30">
        <w:t>MTA</w:t>
      </w:r>
      <w:r>
        <w:t>=</w:t>
      </w:r>
      <w:r w:rsidR="00E56FF7" w:rsidRPr="00BC4A30">
        <w:t xml:space="preserve"> Microwave tissue ablation</w:t>
      </w:r>
      <w:r>
        <w:t>;</w:t>
      </w:r>
      <w:r w:rsidR="00E56FF7" w:rsidRPr="00BC4A30">
        <w:t xml:space="preserve"> </w:t>
      </w:r>
      <w:r>
        <w:t>NSCLC=</w:t>
      </w:r>
      <w:r w:rsidR="00CA6DFD" w:rsidRPr="00BC4A30">
        <w:t xml:space="preserve"> Non-small cell lung cancer</w:t>
      </w:r>
      <w:r>
        <w:t>;</w:t>
      </w:r>
      <w:r w:rsidR="00CA6DFD" w:rsidRPr="00BC4A30">
        <w:t xml:space="preserve"> </w:t>
      </w:r>
      <w:r w:rsidR="004A5E6A">
        <w:t xml:space="preserve">QALY = quality adjusted life year; </w:t>
      </w:r>
      <w:r w:rsidR="00E56FF7" w:rsidRPr="00BC4A30">
        <w:t>RFA</w:t>
      </w:r>
      <w:r>
        <w:t>=</w:t>
      </w:r>
      <w:r w:rsidR="00E56FF7" w:rsidRPr="00BC4A30">
        <w:t xml:space="preserve"> Radiofrequency ablation</w:t>
      </w:r>
      <w:r>
        <w:t>;</w:t>
      </w:r>
      <w:r w:rsidR="004A5E6A">
        <w:t xml:space="preserve"> </w:t>
      </w:r>
      <w:r w:rsidR="00E56FF7" w:rsidRPr="00BC4A30">
        <w:t>SBRT</w:t>
      </w:r>
      <w:r>
        <w:t>=</w:t>
      </w:r>
      <w:r w:rsidR="00E56FF7" w:rsidRPr="00BC4A30">
        <w:t xml:space="preserve"> Stereotactic body radiation therapy</w:t>
      </w:r>
      <w:r>
        <w:t>&gt;</w:t>
      </w:r>
    </w:p>
    <w:p w14:paraId="4C291E1C" w14:textId="77777777" w:rsidR="00E56FF7" w:rsidRPr="00BC4A30" w:rsidRDefault="00E56FF7" w:rsidP="00E56FF7">
      <w:pPr>
        <w:sectPr w:rsidR="00E56FF7" w:rsidRPr="00BC4A30" w:rsidSect="0024526E">
          <w:pgSz w:w="16838" w:h="11906" w:orient="landscape"/>
          <w:pgMar w:top="1440" w:right="1440" w:bottom="1440" w:left="1440" w:header="720" w:footer="720" w:gutter="0"/>
          <w:paperSrc w:first="7" w:other="7"/>
          <w:cols w:space="720"/>
          <w:docGrid w:linePitch="299"/>
        </w:sectPr>
      </w:pPr>
    </w:p>
    <w:p w14:paraId="049A0A8E" w14:textId="77777777" w:rsidR="00E56FF7" w:rsidRPr="00580204" w:rsidRDefault="00E56FF7" w:rsidP="00E56FF7">
      <w:pPr>
        <w:rPr>
          <w:b/>
          <w:i/>
        </w:rPr>
      </w:pPr>
      <w:r w:rsidRPr="00580204">
        <w:rPr>
          <w:b/>
          <w:i/>
        </w:rPr>
        <w:lastRenderedPageBreak/>
        <w:t>Stereotactic radiotherapy</w:t>
      </w:r>
    </w:p>
    <w:p w14:paraId="2493999E" w14:textId="14234BDA" w:rsidR="00E56FF7" w:rsidRPr="00BC4A30" w:rsidRDefault="00E56FF7" w:rsidP="00E56FF7">
      <w:r w:rsidRPr="00BC4A30">
        <w:t>No Australian studies were identified in the literature search</w:t>
      </w:r>
      <w:r w:rsidR="00A45197">
        <w:t xml:space="preserve"> that examined the economics of SBRT</w:t>
      </w:r>
      <w:r w:rsidRPr="00BC4A30">
        <w:t xml:space="preserve">. A trial to assess the safety and efficacy profiles of single and multi-fraction </w:t>
      </w:r>
      <w:r w:rsidR="00A208C0">
        <w:t>SBRT</w:t>
      </w:r>
      <w:r w:rsidRPr="00BC4A30">
        <w:t xml:space="preserve"> for pulmonary oligometastases is currently </w:t>
      </w:r>
      <w:r w:rsidRPr="001D5452">
        <w:t xml:space="preserve">underway. </w:t>
      </w:r>
      <w:r w:rsidR="00E42D7D" w:rsidRPr="001D5452">
        <w:t xml:space="preserve">Siva et al </w:t>
      </w:r>
      <w:r w:rsidR="00E14908" w:rsidRPr="001D5452">
        <w:fldChar w:fldCharType="begin">
          <w:fldData xml:space="preserve">PEVuZE5vdGU+PENpdGUgRXhjbHVkZUF1dGg9IjEiPjxBdXRob3I+U2l2YTwvQXV0aG9yPjxZZWFy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</w:fldData>
        </w:fldChar>
      </w:r>
      <w:r w:rsidR="001B1611">
        <w:instrText xml:space="preserve"> ADDIN EN.CITE </w:instrText>
      </w:r>
      <w:r w:rsidR="001B1611">
        <w:fldChar w:fldCharType="begin">
          <w:fldData xml:space="preserve">PEVuZE5vdGU+PENpdGUgRXhjbHVkZUF1dGg9IjEiPjxBdXRob3I+U2l2YTwvQXV0aG9yPjxZZWFy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</w:fldData>
        </w:fldChar>
      </w:r>
      <w:r w:rsidR="001B1611">
        <w:instrText xml:space="preserve"> ADDIN EN.CITE.DATA </w:instrText>
      </w:r>
      <w:r w:rsidR="001B1611">
        <w:fldChar w:fldCharType="end"/>
      </w:r>
      <w:r w:rsidR="00E14908" w:rsidRPr="001D5452">
        <w:fldChar w:fldCharType="separate"/>
      </w:r>
      <w:r w:rsidR="001B1611">
        <w:rPr>
          <w:noProof/>
        </w:rPr>
        <w:t>(</w:t>
      </w:r>
      <w:hyperlink w:anchor="_ENREF_145" w:tooltip="Siva, 2016 #237" w:history="1">
        <w:r w:rsidR="00320458">
          <w:rPr>
            <w:noProof/>
          </w:rPr>
          <w:t>2016</w:t>
        </w:r>
      </w:hyperlink>
      <w:r w:rsidR="001B1611">
        <w:rPr>
          <w:noProof/>
        </w:rPr>
        <w:t>)</w:t>
      </w:r>
      <w:r w:rsidR="00E14908" w:rsidRPr="001D5452">
        <w:fldChar w:fldCharType="end"/>
      </w:r>
      <w:r w:rsidRPr="001D5452">
        <w:t xml:space="preserve"> described</w:t>
      </w:r>
      <w:r w:rsidRPr="00BC4A30">
        <w:t xml:space="preserve"> the study which includes fractionation schedules in the SAFRON phase II study. The primary endpoint is safety of </w:t>
      </w:r>
      <w:r w:rsidR="00A208C0">
        <w:t>SBRT</w:t>
      </w:r>
      <w:r w:rsidRPr="00BC4A30">
        <w:t xml:space="preserve"> as measured by the incidence of toxicities. Secondary endpoints include quality of life using EQ-5D and MDASI-LC, local efficacy, resource use</w:t>
      </w:r>
      <w:r w:rsidR="001B1611">
        <w:t>,</w:t>
      </w:r>
      <w:r w:rsidRPr="00BC4A30">
        <w:t xml:space="preserve"> and costs associated with treatment (Siva et al 2016).</w:t>
      </w:r>
    </w:p>
    <w:p w14:paraId="4D79066F" w14:textId="7397664C" w:rsidR="00E56FF7" w:rsidRPr="00BC4A30" w:rsidRDefault="00E42D7D" w:rsidP="00E56FF7">
      <w:r w:rsidRPr="001D5452">
        <w:t xml:space="preserve">Grutters et al </w:t>
      </w:r>
      <w:r w:rsidR="00E14908" w:rsidRPr="001D5452">
        <w:fldChar w:fldCharType="begin">
          <w:fldData xml:space="preserve">PEVuZE5vdGU+PENpdGUgRXhjbHVkZUF1dGg9IjEiPjxBdXRob3I+R3J1dHRlcnM8L0F1dGhvcj48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=
</w:fldData>
        </w:fldChar>
      </w:r>
      <w:r w:rsidR="00194054" w:rsidRPr="001D5452">
        <w:instrText xml:space="preserve"> ADDIN EN.CITE </w:instrText>
      </w:r>
      <w:r w:rsidR="00194054" w:rsidRPr="001D5452">
        <w:fldChar w:fldCharType="begin">
          <w:fldData xml:space="preserve">PEVuZE5vdGU+PENpdGUgRXhjbHVkZUF1dGg9IjEiPjxBdXRob3I+R3J1dHRlcnM8L0F1dGhvcj48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=
</w:fldData>
        </w:fldChar>
      </w:r>
      <w:r w:rsidR="00194054" w:rsidRPr="001D5452">
        <w:instrText xml:space="preserve"> ADDIN EN.CITE.DATA </w:instrText>
      </w:r>
      <w:r w:rsidR="00194054" w:rsidRPr="001D5452">
        <w:fldChar w:fldCharType="end"/>
      </w:r>
      <w:r w:rsidR="00E14908" w:rsidRPr="001D5452">
        <w:fldChar w:fldCharType="separate"/>
      </w:r>
      <w:r w:rsidRPr="001D5452">
        <w:rPr>
          <w:noProof/>
        </w:rPr>
        <w:t>(</w:t>
      </w:r>
      <w:hyperlink w:anchor="_ENREF_60" w:tooltip="Grutters, 2010 #213" w:history="1">
        <w:r w:rsidR="00320458" w:rsidRPr="001D5452">
          <w:rPr>
            <w:noProof/>
          </w:rPr>
          <w:t>2010</w:t>
        </w:r>
      </w:hyperlink>
      <w:r w:rsidRPr="001D5452">
        <w:rPr>
          <w:noProof/>
        </w:rPr>
        <w:t>)</w:t>
      </w:r>
      <w:r w:rsidR="00E14908" w:rsidRPr="001D5452">
        <w:fldChar w:fldCharType="end"/>
      </w:r>
      <w:r w:rsidR="00E56FF7" w:rsidRPr="001D5452">
        <w:t xml:space="preserve"> developed</w:t>
      </w:r>
      <w:r w:rsidR="00E56FF7" w:rsidRPr="00BC4A30">
        <w:t xml:space="preserve"> a decision-analytic Markov model with a 5-year time frame to examine Carbon-ion and proton therapy against conventional radiotherapy (CRT) and </w:t>
      </w:r>
      <w:r w:rsidR="001B1611">
        <w:t>SBRT</w:t>
      </w:r>
      <w:r w:rsidR="00E56FF7" w:rsidRPr="00BC4A30">
        <w:t xml:space="preserve"> in Europe. The model was based on clinical data from Japan for operable patients and a Dutch meta-analysis for inoperable stage I NSCLC patients. This population is in line with population one in this asses</w:t>
      </w:r>
      <w:r w:rsidR="005E6F5A">
        <w:t>sment. Carbon-ion therapy cost</w:t>
      </w:r>
      <w:r w:rsidR="00E56FF7" w:rsidRPr="00BC4A30">
        <w:t xml:space="preserve"> €67.257 per quality-adjusted-life-year gained compared to SBRT. The authors concluded that limited data is available on the effectiveness of particle therapy. SBRT was, however, identified as the most cost-effective strategy under base economic modelling assumptions.</w:t>
      </w:r>
    </w:p>
    <w:p w14:paraId="36F8A777" w14:textId="343235BF" w:rsidR="00FA2A38" w:rsidRPr="00BC4A30" w:rsidRDefault="005E6F5A" w:rsidP="00E56FF7">
      <w:r>
        <w:t>Lanni et al</w:t>
      </w:r>
      <w:r w:rsidR="00E42D7D" w:rsidRPr="001D5452">
        <w:t xml:space="preserve"> </w:t>
      </w:r>
      <w:r w:rsidR="00E14908" w:rsidRPr="001D5452">
        <w:fldChar w:fldCharType="begin">
          <w:fldData xml:space="preserve">PEVuZE5vdGU+PENpdGUgRXhjbHVkZUF1dGg9IjEiPjxBdXRob3I+TGFubmk8L0F1dGhvcj48WWVh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PEVuZE5vdGU+PENpdGUgRXhjbHVkZUF1dGg9IjEiPjxBdXRob3I+TGFubmk8L0F1dGhvcj48WWVh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rsidR="00E14908" w:rsidRPr="001D5452">
        <w:fldChar w:fldCharType="separate"/>
      </w:r>
      <w:r>
        <w:rPr>
          <w:noProof/>
        </w:rPr>
        <w:t>(</w:t>
      </w:r>
      <w:hyperlink w:anchor="_ENREF_85" w:tooltip="Lanni, 2011 #221" w:history="1">
        <w:r w:rsidR="00320458">
          <w:rPr>
            <w:noProof/>
          </w:rPr>
          <w:t>2011</w:t>
        </w:r>
      </w:hyperlink>
      <w:r>
        <w:rPr>
          <w:noProof/>
        </w:rPr>
        <w:t>)</w:t>
      </w:r>
      <w:r w:rsidR="00E14908" w:rsidRPr="001D5452">
        <w:fldChar w:fldCharType="end"/>
      </w:r>
      <w:r w:rsidR="00E56FF7" w:rsidRPr="001D5452">
        <w:t xml:space="preserve"> compared</w:t>
      </w:r>
      <w:r w:rsidR="00E56FF7" w:rsidRPr="00BC4A30">
        <w:t xml:space="preserve"> the clinical and cost outcomes of SBRT, 3-dimensional conformal radiotherapy (3DCRT), and intensity modulated radiation therapy (IMRT) for the treatment of medically inoperable NSCLC. The treatment cost included technical and professional components. The estimated costs were USD$55,705 for 35 fractions of IMRT, and USD$52,471 for 4 fractions of SBRT. </w:t>
      </w:r>
      <w:r w:rsidR="00FA2A38" w:rsidRPr="00FA2A38">
        <w:t xml:space="preserve">Shah et al (2013) compared SBRT and wedge resection for patients who were marginally operable (MO) and suitable for surgery (SO). The efficacy of SBRT was assumed to be the same in both comparisons; however, the risk of toxicity was substantially greater in the marginally operable population. Model parameters were based on studies in </w:t>
      </w:r>
      <w:r>
        <w:t>T</w:t>
      </w:r>
      <w:r w:rsidR="00FA2A38" w:rsidRPr="00FA2A38">
        <w:t>he Netherlands (Lagerwaard et al 2012). In patients who are marginally operable SBRT was the dominant strategy and most cost-effective. For patients who are suitable for surgery, lobectomy was the most cost-effective treatment intervention (ICER $13,200/QALY</w:t>
      </w:r>
      <w:r w:rsidR="00FA2A38">
        <w:t>).</w:t>
      </w:r>
    </w:p>
    <w:p w14:paraId="7C3D6395" w14:textId="1F0629BE" w:rsidR="00E56FF7" w:rsidRPr="00BC4A30" w:rsidRDefault="00E56FF7" w:rsidP="00E56FF7">
      <w:r w:rsidRPr="001D5452">
        <w:t xml:space="preserve">Lester-Coll et al </w:t>
      </w:r>
      <w:r w:rsidR="00E14908" w:rsidRPr="001D5452">
        <w:fldChar w:fldCharType="begin"/>
      </w:r>
      <w:r w:rsidR="005E6F5A">
        <w:instrText xml:space="preserve"> ADDIN EN.CITE &lt;EndNote&gt;&lt;Cite ExcludeAuth="1"&gt;&lt;Author&gt;Lester-Coll&lt;/Author&gt;&lt;Year&gt;2014&lt;/Year&gt;&lt;RecNum&gt;222&lt;/RecNum&gt;&lt;DisplayText&gt;(2014)&lt;/DisplayText&gt;&lt;record&gt;&lt;rec-number&gt;222&lt;/rec-number&gt;&lt;foreign-keys&gt;&lt;key app="EN" db-id="05ssdaw2cf0zvye5xvo5z9ww0xdpfstrdtew" timestamp="1469615464"&gt;222&lt;/key&gt;&lt;/foreign-keys&gt;&lt;ref-type name="Journal Article"&gt;17&lt;/ref-type&gt;&lt;contributors&gt;&lt;authors&gt;&lt;author&gt;Lester-Coll, N. H.&lt;/author&gt;&lt;author&gt;Decker, R. H. &lt;/author&gt;&lt;author&gt;Yu, J. B.&lt;/author&gt;&lt;/authors&gt;&lt;/contributors&gt;&lt;titles&gt;&lt;title&gt;Cost-Effectiveness Analysis of Stereotactic Body Radiation Therapy for Pulmonary Oligometastases. &lt;/title&gt;&lt;secondary-title&gt; Int J Radiat Oncol Biol Phys.&lt;/secondary-title&gt;&lt;/titles&gt;&lt;pages&gt;S585–S586&lt;/pages&gt;&lt;volume&gt;90&lt;/volume&gt;&lt;number&gt;1 (supplement)&lt;/number&gt;&lt;dates&gt;&lt;year&gt;2014&lt;/year&gt;&lt;/dates&gt;&lt;urls&gt;&lt;/urls&gt;&lt;/record&gt;&lt;/Cite&gt;&lt;/EndNote&gt;</w:instrText>
      </w:r>
      <w:r w:rsidR="00E14908" w:rsidRPr="001D5452">
        <w:fldChar w:fldCharType="separate"/>
      </w:r>
      <w:r w:rsidR="005E6F5A">
        <w:rPr>
          <w:noProof/>
        </w:rPr>
        <w:t>(</w:t>
      </w:r>
      <w:hyperlink w:anchor="_ENREF_88" w:tooltip="Lester-Coll, 2014 #222" w:history="1">
        <w:r w:rsidR="00320458">
          <w:rPr>
            <w:noProof/>
          </w:rPr>
          <w:t>2014</w:t>
        </w:r>
      </w:hyperlink>
      <w:r w:rsidR="005E6F5A">
        <w:rPr>
          <w:noProof/>
        </w:rPr>
        <w:t>)</w:t>
      </w:r>
      <w:r w:rsidR="00E14908" w:rsidRPr="001D5452">
        <w:fldChar w:fldCharType="end"/>
      </w:r>
      <w:r w:rsidRPr="001D5452">
        <w:t xml:space="preserve"> developed</w:t>
      </w:r>
      <w:r w:rsidRPr="00BC4A30">
        <w:t xml:space="preserve"> a Markov model to study the cost-effectiveness of SBRT compared to systemic therapy (FOLFIRI or Ipilimumab) in a hypothetical cohort of patients with oligometastatic colon cancer or melanoma with 1</w:t>
      </w:r>
      <w:r w:rsidR="005E6F5A">
        <w:t>–</w:t>
      </w:r>
      <w:r w:rsidRPr="00BC4A30">
        <w:t xml:space="preserve">3 pulmonary metastases. Event rates, costs and utilities were derived from the published literature. </w:t>
      </w:r>
    </w:p>
    <w:p w14:paraId="5A2245C9" w14:textId="22B88D4D" w:rsidR="00E56FF7" w:rsidRPr="00BC4A30" w:rsidRDefault="00E56FF7" w:rsidP="00E56FF7">
      <w:r w:rsidRPr="00BC4A30">
        <w:t>The incremental cost effectiveness ratio for SBRT over systemic therapy was $95,879/quality adjusted life month (QALM) for colon cancer and $528,433/QALM for melanoma</w:t>
      </w:r>
      <w:r w:rsidR="00035B47">
        <w:t>.</w:t>
      </w:r>
      <w:r w:rsidRPr="00BC4A30">
        <w:t xml:space="preserve"> In summary, </w:t>
      </w:r>
      <w:r w:rsidR="00760AC9" w:rsidRPr="00BC4A30">
        <w:t>SBRT</w:t>
      </w:r>
      <w:r w:rsidRPr="00BC4A30">
        <w:t xml:space="preserve"> appeared to be a cost-effective strategy across a range of comparators, unfortunately none of which were MTA. </w:t>
      </w:r>
    </w:p>
    <w:p w14:paraId="6FDC1731" w14:textId="77777777" w:rsidR="00E56FF7" w:rsidRPr="001A5DC6" w:rsidRDefault="00E56FF7" w:rsidP="00E56FF7">
      <w:pPr>
        <w:rPr>
          <w:b/>
          <w:i/>
        </w:rPr>
      </w:pPr>
      <w:r w:rsidRPr="001A5DC6">
        <w:rPr>
          <w:b/>
          <w:i/>
        </w:rPr>
        <w:t>Surgery for population two</w:t>
      </w:r>
    </w:p>
    <w:p w14:paraId="70F95725" w14:textId="4103C9C4" w:rsidR="00E56FF7" w:rsidRPr="00BC4A30" w:rsidRDefault="00FA2A38" w:rsidP="00E56FF7">
      <w:r>
        <w:lastRenderedPageBreak/>
        <w:t xml:space="preserve">Patients </w:t>
      </w:r>
      <w:r w:rsidR="00E56FF7" w:rsidRPr="00BC4A30">
        <w:t>with stage I NSCLC</w:t>
      </w:r>
      <w:r>
        <w:t xml:space="preserve"> are typically treated using</w:t>
      </w:r>
      <w:r w:rsidR="00E56FF7" w:rsidRPr="00BC4A30">
        <w:t xml:space="preserve"> </w:t>
      </w:r>
      <w:proofErr w:type="gramStart"/>
      <w:r w:rsidR="00E56FF7" w:rsidRPr="00BC4A30">
        <w:t>is</w:t>
      </w:r>
      <w:proofErr w:type="gramEnd"/>
      <w:r w:rsidR="00E56FF7" w:rsidRPr="00BC4A30">
        <w:t xml:space="preserve"> </w:t>
      </w:r>
      <w:r w:rsidR="00E56FF7" w:rsidRPr="001D5452">
        <w:t xml:space="preserve">lobectomy </w:t>
      </w:r>
      <w:r w:rsidR="001D5452">
        <w:fldChar w:fldCharType="begin">
          <w:fldData xml:space="preserve">PEVuZE5vdGU+PENpdGU+PEF1dGhvcj5TaGFoPC9BdXRob3I+PFllYXI+MjAxMzwvWWVhcj48UmVj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</w:fldData>
        </w:fldChar>
      </w:r>
      <w:r w:rsidR="001D5452">
        <w:instrText xml:space="preserve"> ADDIN EN.CITE </w:instrText>
      </w:r>
      <w:r w:rsidR="001D5452">
        <w:fldChar w:fldCharType="begin">
          <w:fldData xml:space="preserve">PEVuZE5vdGU+PENpdGU+PEF1dGhvcj5TaGFoPC9BdXRob3I+PFllYXI+MjAxMzwvWWVhcj48UmVj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</w:fldData>
        </w:fldChar>
      </w:r>
      <w:r w:rsidR="001D5452">
        <w:instrText xml:space="preserve"> ADDIN EN.CITE.DATA </w:instrText>
      </w:r>
      <w:r w:rsidR="001D5452">
        <w:fldChar w:fldCharType="end"/>
      </w:r>
      <w:r w:rsidR="001D5452">
        <w:fldChar w:fldCharType="separate"/>
      </w:r>
      <w:r w:rsidR="001D5452">
        <w:rPr>
          <w:noProof/>
        </w:rPr>
        <w:t>(</w:t>
      </w:r>
      <w:hyperlink w:anchor="_ENREF_136" w:tooltip="Shah, 2013 #260" w:history="1">
        <w:r w:rsidR="00320458">
          <w:rPr>
            <w:noProof/>
          </w:rPr>
          <w:t>Shah et al 2013</w:t>
        </w:r>
      </w:hyperlink>
      <w:r w:rsidR="001D5452">
        <w:rPr>
          <w:noProof/>
        </w:rPr>
        <w:t>)</w:t>
      </w:r>
      <w:r w:rsidR="001D5452">
        <w:fldChar w:fldCharType="end"/>
      </w:r>
      <w:r w:rsidR="00E56FF7" w:rsidRPr="001D5452">
        <w:t>.</w:t>
      </w:r>
      <w:r w:rsidR="00E56FF7" w:rsidRPr="00BC4A30">
        <w:t xml:space="preserve"> Both lobectomy and wedge resection are</w:t>
      </w:r>
      <w:r>
        <w:t xml:space="preserve"> generally</w:t>
      </w:r>
      <w:r w:rsidR="00E56FF7" w:rsidRPr="00BC4A30">
        <w:t xml:space="preserve"> costlier than SBRT. Lester-Coll et al </w:t>
      </w:r>
      <w:r w:rsidR="001D5452">
        <w:fldChar w:fldCharType="begin"/>
      </w:r>
      <w:r w:rsidR="001D5452">
        <w:instrText xml:space="preserve"> ADDIN EN.CITE &lt;EndNote&gt;&lt;Cite&gt;&lt;Author&gt;Lester-Coll&lt;/Author&gt;&lt;Year&gt;2014&lt;/Year&gt;&lt;RecNum&gt;222&lt;/RecNum&gt;&lt;DisplayText&gt;(Lester-Coll et al 2014)&lt;/DisplayText&gt;&lt;record&gt;&lt;rec-number&gt;222&lt;/rec-number&gt;&lt;foreign-keys&gt;&lt;key app="EN" db-id="05ssdaw2cf0zvye5xvo5z9ww0xdpfstrdtew" timestamp="1469615464"&gt;222&lt;/key&gt;&lt;/foreign-keys&gt;&lt;ref-type name="Journal Article"&gt;17&lt;/ref-type&gt;&lt;contributors&gt;&lt;authors&gt;&lt;author&gt;Lester-Coll, N. H.&lt;/author&gt;&lt;author&gt;Decker, R. H. &lt;/author&gt;&lt;author&gt;Yu, J. B.&lt;/author&gt;&lt;/authors&gt;&lt;/contributors&gt;&lt;titles&gt;&lt;title&gt;Cost-Effectiveness Analysis of Stereotactic Body Radiation Therapy for Pulmonary Oligometastases. &lt;/title&gt;&lt;secondary-title&gt; Int J Radiat Oncol Biol Phys.&lt;/secondary-title&gt;&lt;/titles&gt;&lt;pages&gt;S585–S586&lt;/pages&gt;&lt;volume&gt;90&lt;/volume&gt;&lt;number&gt;1 (supplement)&lt;/number&gt;&lt;dates&gt;&lt;year&gt;2014&lt;/year&gt;&lt;/dates&gt;&lt;urls&gt;&lt;/urls&gt;&lt;/record&gt;&lt;/Cite&gt;&lt;/EndNote&gt;</w:instrText>
      </w:r>
      <w:r w:rsidR="001D5452">
        <w:fldChar w:fldCharType="separate"/>
      </w:r>
      <w:r w:rsidR="001D5452">
        <w:rPr>
          <w:noProof/>
        </w:rPr>
        <w:t>(</w:t>
      </w:r>
      <w:hyperlink w:anchor="_ENREF_88" w:tooltip="Lester-Coll, 2014 #222" w:history="1">
        <w:r w:rsidR="00320458">
          <w:rPr>
            <w:noProof/>
          </w:rPr>
          <w:t>Lester-Coll et al 2014</w:t>
        </w:r>
      </w:hyperlink>
      <w:r w:rsidR="001D5452">
        <w:rPr>
          <w:noProof/>
        </w:rPr>
        <w:t>)</w:t>
      </w:r>
      <w:r w:rsidR="001D5452">
        <w:fldChar w:fldCharType="end"/>
      </w:r>
      <w:r w:rsidR="00E56FF7" w:rsidRPr="00BC4A30">
        <w:t xml:space="preserve"> undertook a cost</w:t>
      </w:r>
      <w:r>
        <w:t xml:space="preserve">-effectiveness analysis using </w:t>
      </w:r>
      <w:r w:rsidR="00E56FF7" w:rsidRPr="00BC4A30">
        <w:t>Markov model</w:t>
      </w:r>
      <w:r w:rsidR="00CA6DFD" w:rsidRPr="00BC4A30">
        <w:t>l</w:t>
      </w:r>
      <w:r w:rsidR="00E56FF7" w:rsidRPr="00BC4A30">
        <w:t>ing approach to compare wedge resection,</w:t>
      </w:r>
      <w:r w:rsidR="005E6F5A">
        <w:t xml:space="preserve"> SBRT</w:t>
      </w:r>
      <w:r w:rsidR="00E56FF7" w:rsidRPr="00BC4A30">
        <w:t xml:space="preserve">, and systemic therapy among melanoma, non-small cell lung cancer adenocarcinoma without an EGFR mutation (NSCLC AC), NSCLC with an EGFR mutation (NSCLC EGFRm AC); NSCLC squamous cell carcinoma (NSCLC SCC); and colon cancer patients. </w:t>
      </w:r>
      <w:r>
        <w:t xml:space="preserve">The most cost-effective strategy depended on patient characteristics, such as having EGFR mutation or not. </w:t>
      </w:r>
    </w:p>
    <w:p w14:paraId="289110FE" w14:textId="643CA1C6" w:rsidR="00E56FF7" w:rsidRPr="00BC4A30" w:rsidRDefault="005E6F5A" w:rsidP="00E56FF7">
      <w:r>
        <w:t>Puri et al</w:t>
      </w:r>
      <w:r w:rsidR="001D5452">
        <w:t xml:space="preserve"> </w:t>
      </w:r>
      <w:r w:rsidR="001D5452">
        <w:fldChar w:fldCharType="begin">
          <w:fldData xml:space="preserve">PEVuZE5vdGU+PENpdGUgRXhjbHVkZUF1dGg9IjEiPjxBdXRob3I+UHVyaTwvQXV0aG9yPjxZZWFy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</w:fldData>
        </w:fldChar>
      </w:r>
      <w:r>
        <w:instrText xml:space="preserve"> ADDIN EN.CITE </w:instrText>
      </w:r>
      <w:r>
        <w:fldChar w:fldCharType="begin">
          <w:fldData xml:space="preserve">PEVuZE5vdGU+PENpdGUgRXhjbHVkZUF1dGg9IjEiPjxBdXRob3I+UHVyaTwvQXV0aG9yPjxZZWFy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</w:fldData>
        </w:fldChar>
      </w:r>
      <w:r>
        <w:instrText xml:space="preserve"> ADDIN EN.CITE.DATA </w:instrText>
      </w:r>
      <w:r>
        <w:fldChar w:fldCharType="end"/>
      </w:r>
      <w:r w:rsidR="001D5452">
        <w:fldChar w:fldCharType="separate"/>
      </w:r>
      <w:r>
        <w:rPr>
          <w:noProof/>
        </w:rPr>
        <w:t>(</w:t>
      </w:r>
      <w:hyperlink w:anchor="_ENREF_122" w:tooltip="Puri, 2012 #259" w:history="1">
        <w:r w:rsidR="00320458">
          <w:rPr>
            <w:noProof/>
          </w:rPr>
          <w:t>2012</w:t>
        </w:r>
      </w:hyperlink>
      <w:r>
        <w:rPr>
          <w:noProof/>
        </w:rPr>
        <w:t>)</w:t>
      </w:r>
      <w:r w:rsidR="001D5452">
        <w:fldChar w:fldCharType="end"/>
      </w:r>
      <w:r w:rsidR="00E56FF7" w:rsidRPr="00BC4A30">
        <w:t xml:space="preserve"> compared the cost-effectiveness of surgical intervention and SBRT in high-risk patients with stage I NSCLC. A Markov decision model was developed from a payer’s perspective and data for the efficacy of surgical intervention and SBRT were obtained through a review of medical records in Washington, USA.</w:t>
      </w:r>
      <w:r w:rsidR="00035B47" w:rsidRPr="00035B47">
        <w:t xml:space="preserve"> SBRT was less expensive, however, surgery was deemed to be cost-effectiveness due to longer expected overall survival</w:t>
      </w:r>
      <w:r w:rsidR="00FA2A38">
        <w:t xml:space="preserve">. </w:t>
      </w:r>
    </w:p>
    <w:p w14:paraId="60459F23" w14:textId="6178A639" w:rsidR="00E56FF7" w:rsidRPr="00BC4A30" w:rsidRDefault="00E56FF7" w:rsidP="00E56FF7">
      <w:r w:rsidRPr="00BC4A30">
        <w:t xml:space="preserve">Smith et al (2015) examined the cost-effectiveness of </w:t>
      </w:r>
      <w:r w:rsidR="00A208C0">
        <w:t>SBRT</w:t>
      </w:r>
      <w:r w:rsidRPr="00BC4A30">
        <w:t xml:space="preserve"> as an alternative to lobectomy or sublobar resection for early lung cancer. </w:t>
      </w:r>
      <w:r w:rsidR="00FA2A38">
        <w:t xml:space="preserve">Lobectomy was found to be more cost-effective compared to </w:t>
      </w:r>
      <w:proofErr w:type="gramStart"/>
      <w:r w:rsidR="00A208C0">
        <w:t>SBRT</w:t>
      </w:r>
      <w:r w:rsidR="00FA2A38">
        <w:t>,</w:t>
      </w:r>
      <w:proofErr w:type="gramEnd"/>
      <w:r w:rsidR="00FA2A38">
        <w:t xml:space="preserve"> however, sublobar resection is not dominant due to different health outcomes and costs. </w:t>
      </w:r>
      <w:r w:rsidRPr="00BC4A30">
        <w:t xml:space="preserve">Although not focussing on population two for this assessment, these results indicate that costlier surgery may be more economically attractive when health outcomes are included in the evaluation framework </w:t>
      </w:r>
      <w:r w:rsidR="005E6F5A" w:rsidRPr="005E6F5A">
        <w:t xml:space="preserve">–due </w:t>
      </w:r>
      <w:r w:rsidRPr="00BC4A30">
        <w:t>to factors such as longer survival time. In summary, SBRT provides a cost-effective and clinically effective option for patients with NSCLC compared to conventional treatment</w:t>
      </w:r>
      <w:r w:rsidR="00FB08E5">
        <w:t>s</w:t>
      </w:r>
      <w:r w:rsidR="005E6F5A">
        <w:t>,</w:t>
      </w:r>
      <w:r w:rsidR="00FB08E5">
        <w:t xml:space="preserve"> where surgery is </w:t>
      </w:r>
      <w:r w:rsidR="00FB08E5" w:rsidRPr="001D5452">
        <w:t>not feasible</w:t>
      </w:r>
      <w:r w:rsidRPr="001D5452">
        <w:t xml:space="preserve"> </w:t>
      </w:r>
      <w:r w:rsidR="00E14908" w:rsidRPr="001D5452">
        <w:fldChar w:fldCharType="begin"/>
      </w:r>
      <w:r w:rsidR="00194054" w:rsidRPr="001D5452">
        <w:instrText xml:space="preserve"> ADDIN EN.CITE &lt;EndNote&gt;&lt;Cite&gt;&lt;Author&gt;Bijlani&lt;/Author&gt;&lt;Year&gt;2013&lt;/Year&gt;&lt;RecNum&gt;199&lt;/RecNum&gt;&lt;DisplayText&gt;(Bijlani et al 2013)&lt;/DisplayText&gt;&lt;record&gt;&lt;rec-number&gt;199&lt;/rec-number&gt;&lt;foreign-keys&gt;&lt;key app="EN" db-id="05ssdaw2cf0zvye5xvo5z9ww0xdpfstrdtew" timestamp="1469615464"&gt;199&lt;/key&gt;&lt;/foreign-keys&gt;&lt;ref-type name="Journal Article"&gt;17&lt;/ref-type&gt;&lt;contributors&gt;&lt;authors&gt;&lt;author&gt;Bijlani, A.&lt;/author&gt;&lt;author&gt;Aguzzi, G.&lt;/author&gt;&lt;author&gt;Schaal, D. W.&lt;/author&gt;&lt;author&gt;Romanelli, P.&lt;/author&gt;&lt;/authors&gt;&lt;/contributors&gt;&lt;auth-address&gt;Accuray Incorporated Sunnyvale, CA, USA.&lt;/auth-address&gt;&lt;titles&gt;&lt;title&gt;Stereotactic radiosurgery and stereotactic body radiation therapy cost-effectiveness results&lt;/title&gt;&lt;secondary-title&gt;Front Oncol&lt;/secondary-title&gt;&lt;alt-title&gt;Frontiers in oncology&lt;/alt-title&gt;&lt;/titles&gt;&lt;periodical&gt;&lt;full-title&gt;Front Oncol&lt;/full-title&gt;&lt;abbr-1&gt;Frontiers in oncology&lt;/abbr-1&gt;&lt;/periodical&gt;&lt;alt-periodical&gt;&lt;full-title&gt;Front Oncol&lt;/full-title&gt;&lt;abbr-1&gt;Frontiers in oncology&lt;/abbr-1&gt;&lt;/alt-periodical&gt;&lt;pages&gt;77&lt;/pages&gt;&lt;volume&gt;3&lt;/volume&gt;&lt;edition&gt;2013/04/13&lt;/edition&gt;&lt;keywords&gt;&lt;keyword&gt;cancer&lt;/keyword&gt;&lt;keyword&gt;cost-effectiveness&lt;/keyword&gt;&lt;keyword&gt;health economics&lt;/keyword&gt;&lt;keyword&gt;stereotactic body radiation therapy&lt;/keyword&gt;&lt;keyword&gt;stereotactic body radiotherapy&lt;/keyword&gt;&lt;keyword&gt;stereotactic radiosurgery&lt;/keyword&gt;&lt;/keywords&gt;&lt;dates&gt;&lt;year&gt;2013&lt;/year&gt;&lt;/dates&gt;&lt;isbn&gt;2234-943x&lt;/isbn&gt;&lt;accession-num&gt;23580234&lt;/accession-num&gt;&lt;urls&gt;&lt;/urls&gt;&lt;custom2&gt;Pmc3619246&lt;/custom2&gt;&lt;electronic-resource-num&gt;10.3389/fonc.2013.00077&lt;/electronic-resource-num&gt;&lt;remote-database-provider&gt;NLM&lt;/remote-database-provider&gt;&lt;language&gt;eng&lt;/language&gt;&lt;/record&gt;&lt;/Cite&gt;&lt;/EndNote&gt;</w:instrText>
      </w:r>
      <w:r w:rsidR="00E14908" w:rsidRPr="001D5452">
        <w:fldChar w:fldCharType="separate"/>
      </w:r>
      <w:r w:rsidR="00E14908" w:rsidRPr="001D5452">
        <w:rPr>
          <w:noProof/>
        </w:rPr>
        <w:t>(</w:t>
      </w:r>
      <w:hyperlink w:anchor="_ENREF_21" w:tooltip="Bijlani, 2013 #199" w:history="1">
        <w:r w:rsidR="00320458" w:rsidRPr="001D5452">
          <w:rPr>
            <w:noProof/>
          </w:rPr>
          <w:t>Bijlani et al 2013</w:t>
        </w:r>
      </w:hyperlink>
      <w:r w:rsidR="00E14908" w:rsidRPr="001D5452">
        <w:rPr>
          <w:noProof/>
        </w:rPr>
        <w:t>)</w:t>
      </w:r>
      <w:r w:rsidR="00E14908" w:rsidRPr="001D5452">
        <w:fldChar w:fldCharType="end"/>
      </w:r>
      <w:r w:rsidRPr="001D5452">
        <w:t>.</w:t>
      </w:r>
      <w:r w:rsidRPr="00BC4A30">
        <w:t xml:space="preserve"> When survival is considered in a cost-effective framework </w:t>
      </w:r>
      <w:r w:rsidR="00A208C0">
        <w:t>SBRT</w:t>
      </w:r>
      <w:r w:rsidRPr="00BC4A30">
        <w:t xml:space="preserve"> may be</w:t>
      </w:r>
      <w:r w:rsidR="00FA2A38">
        <w:t xml:space="preserve"> dominated by surgical options.</w:t>
      </w:r>
    </w:p>
    <w:p w14:paraId="69F6EAC3" w14:textId="77777777" w:rsidR="00013791" w:rsidRPr="00BC4A30" w:rsidRDefault="00013791" w:rsidP="003F6C66">
      <w:pPr>
        <w:pStyle w:val="Heading3"/>
      </w:pPr>
      <w:bookmarkStart w:id="384" w:name="_Toc395200800"/>
      <w:bookmarkStart w:id="385" w:name="_Toc460396080"/>
      <w:r w:rsidRPr="00BC4A30">
        <w:t>Structure of the economic evaluation</w:t>
      </w:r>
      <w:bookmarkEnd w:id="384"/>
      <w:bookmarkEnd w:id="385"/>
    </w:p>
    <w:p w14:paraId="74BFF07B" w14:textId="77777777" w:rsidR="00BB2FE5" w:rsidRDefault="00AB12D2" w:rsidP="00BB2FE5">
      <w:r w:rsidRPr="00BC4A30">
        <w:t xml:space="preserve">The economic evaluation was conducted using Excel 2010. A description of key structural parameters, assumptions and sources of data is provided in </w:t>
      </w:r>
      <w:r w:rsidR="00FF6A6F">
        <w:rPr>
          <w:b/>
        </w:rPr>
        <w:fldChar w:fldCharType="begin"/>
      </w:r>
      <w:r w:rsidR="00FF6A6F">
        <w:instrText xml:space="preserve"> REF _Ref460248514 \h </w:instrText>
      </w:r>
      <w:r w:rsidR="00FF6A6F">
        <w:rPr>
          <w:b/>
        </w:rPr>
      </w:r>
      <w:r w:rsidR="00FF6A6F">
        <w:rPr>
          <w:b/>
        </w:rPr>
        <w:fldChar w:fldCharType="separate"/>
      </w:r>
      <w:r w:rsidR="00D170A5" w:rsidRPr="00BC4A30">
        <w:t xml:space="preserve">Table </w:t>
      </w:r>
      <w:r w:rsidR="00D170A5">
        <w:rPr>
          <w:noProof/>
        </w:rPr>
        <w:t>67</w:t>
      </w:r>
      <w:r w:rsidR="00FF6A6F">
        <w:rPr>
          <w:b/>
        </w:rPr>
        <w:fldChar w:fldCharType="end"/>
      </w:r>
      <w:r w:rsidRPr="00BC4A30">
        <w:t xml:space="preserve">. Further details are provided in the following sections. </w:t>
      </w:r>
      <w:r w:rsidR="00BB2FE5" w:rsidRPr="001D5452">
        <w:t xml:space="preserve">The economic model employs 3-month cycle length. </w:t>
      </w:r>
    </w:p>
    <w:p w14:paraId="5AA16BAC" w14:textId="0279A6AF" w:rsidR="00BB2FE5" w:rsidRPr="00BC4A30" w:rsidRDefault="00BB2FE5" w:rsidP="00BB2FE5">
      <w:r w:rsidRPr="001D5452">
        <w:t>The economic analysis takes the perspective of</w:t>
      </w:r>
      <w:r w:rsidRPr="00BC4A30">
        <w:t xml:space="preserve"> the Australian health system. For clinical events directly associated with MTA, AR-DRG</w:t>
      </w:r>
      <w:r>
        <w:t xml:space="preserve"> (</w:t>
      </w:r>
      <w:r w:rsidRPr="005E6F5A">
        <w:t>Australian Refined Diagnosis Related Groups</w:t>
      </w:r>
      <w:r>
        <w:t>)</w:t>
      </w:r>
      <w:r w:rsidRPr="00BC4A30">
        <w:t xml:space="preserve"> costs are from public hospitals. </w:t>
      </w:r>
    </w:p>
    <w:p w14:paraId="0EB12C35" w14:textId="77777777" w:rsidR="008F1A2D" w:rsidRDefault="008F1A2D" w:rsidP="00AB12D2">
      <w:pPr>
        <w:pStyle w:val="Caption"/>
        <w:keepNext/>
      </w:pPr>
      <w:bookmarkStart w:id="386" w:name="_Ref460248514"/>
      <w:bookmarkStart w:id="387" w:name="_Toc460514725"/>
      <w:r>
        <w:br w:type="page"/>
      </w:r>
    </w:p>
    <w:p w14:paraId="4F86BD2C" w14:textId="5F7B0D11" w:rsidR="00AB12D2" w:rsidRPr="00BC4A30" w:rsidRDefault="00AB12D2" w:rsidP="00AB12D2">
      <w:pPr>
        <w:pStyle w:val="Caption"/>
        <w:keepNext/>
      </w:pPr>
      <w:r w:rsidRPr="00BC4A30">
        <w:lastRenderedPageBreak/>
        <w:t xml:space="preserve">Table </w:t>
      </w:r>
      <w:fldSimple w:instr=" SEQ Table \* ARABIC ">
        <w:r w:rsidR="00D170A5">
          <w:rPr>
            <w:noProof/>
          </w:rPr>
          <w:t>67</w:t>
        </w:r>
      </w:fldSimple>
      <w:bookmarkEnd w:id="386"/>
      <w:r w:rsidRPr="00BC4A30">
        <w:tab/>
        <w:t>Summary of key structural parameters and assumptions used</w:t>
      </w:r>
      <w:bookmarkEnd w:id="387"/>
    </w:p>
    <w:tbl>
      <w:tblPr>
        <w:tblStyle w:val="TableGrid"/>
        <w:tblW w:w="0" w:type="auto"/>
        <w:jc w:val="center"/>
        <w:tblLook w:val="04A0" w:firstRow="1" w:lastRow="0" w:firstColumn="1" w:lastColumn="0" w:noHBand="0" w:noVBand="1"/>
        <w:tblCaption w:val="Table D.3.3"/>
        <w:tblDescription w:val="Summary of the key assumptions and parameters"/>
      </w:tblPr>
      <w:tblGrid>
        <w:gridCol w:w="3207"/>
        <w:gridCol w:w="3263"/>
        <w:gridCol w:w="2546"/>
      </w:tblGrid>
      <w:tr w:rsidR="00AB12D2" w:rsidRPr="00BC4A30" w14:paraId="6991F835" w14:textId="77777777" w:rsidTr="001D5452">
        <w:trPr>
          <w:tblHeader/>
          <w:jc w:val="center"/>
        </w:trPr>
        <w:tc>
          <w:tcPr>
            <w:tcW w:w="3207" w:type="dxa"/>
            <w:shd w:val="clear" w:color="auto" w:fill="D9D9D9" w:themeFill="background1" w:themeFillShade="D9"/>
          </w:tcPr>
          <w:p w14:paraId="7F140E88" w14:textId="77777777" w:rsidR="00AB12D2" w:rsidRPr="001D5452" w:rsidRDefault="00AB12D2" w:rsidP="00192EDA">
            <w:pPr>
              <w:pStyle w:val="Tabletext1"/>
              <w:ind w:left="0"/>
              <w:rPr>
                <w:b/>
              </w:rPr>
            </w:pPr>
            <w:r w:rsidRPr="001D5452">
              <w:rPr>
                <w:b/>
              </w:rPr>
              <w:t>Parameter</w:t>
            </w:r>
          </w:p>
        </w:tc>
        <w:tc>
          <w:tcPr>
            <w:tcW w:w="3263" w:type="dxa"/>
            <w:shd w:val="clear" w:color="auto" w:fill="D9D9D9" w:themeFill="background1" w:themeFillShade="D9"/>
          </w:tcPr>
          <w:p w14:paraId="3F7E7789" w14:textId="77777777" w:rsidR="00AB12D2" w:rsidRPr="001D5452" w:rsidRDefault="00AB12D2" w:rsidP="00192EDA">
            <w:pPr>
              <w:pStyle w:val="Tabletext1"/>
              <w:ind w:left="0"/>
              <w:rPr>
                <w:b/>
              </w:rPr>
            </w:pPr>
            <w:r w:rsidRPr="001D5452">
              <w:rPr>
                <w:b/>
              </w:rPr>
              <w:t>Value</w:t>
            </w:r>
          </w:p>
        </w:tc>
        <w:tc>
          <w:tcPr>
            <w:tcW w:w="2546" w:type="dxa"/>
            <w:shd w:val="clear" w:color="auto" w:fill="D9D9D9" w:themeFill="background1" w:themeFillShade="D9"/>
          </w:tcPr>
          <w:p w14:paraId="71BC8D9F" w14:textId="77777777" w:rsidR="00AB12D2" w:rsidRPr="001D5452" w:rsidRDefault="00AB12D2" w:rsidP="00192EDA">
            <w:pPr>
              <w:pStyle w:val="Tabletext1"/>
              <w:ind w:left="0"/>
              <w:rPr>
                <w:b/>
              </w:rPr>
            </w:pPr>
            <w:r w:rsidRPr="001D5452">
              <w:rPr>
                <w:b/>
              </w:rPr>
              <w:t>Source</w:t>
            </w:r>
          </w:p>
        </w:tc>
      </w:tr>
      <w:tr w:rsidR="00AB12D2" w:rsidRPr="00BC4A30" w14:paraId="30B7DC8C" w14:textId="77777777" w:rsidTr="00AB12D2">
        <w:trPr>
          <w:jc w:val="center"/>
        </w:trPr>
        <w:tc>
          <w:tcPr>
            <w:tcW w:w="3207" w:type="dxa"/>
          </w:tcPr>
          <w:p w14:paraId="1FEBF561" w14:textId="77777777" w:rsidR="00AB12D2" w:rsidRPr="00BC4A30" w:rsidRDefault="00AB12D2" w:rsidP="00192EDA">
            <w:pPr>
              <w:pStyle w:val="Tabletext1"/>
              <w:ind w:left="0"/>
            </w:pPr>
            <w:r w:rsidRPr="00BC4A30">
              <w:t>Intervention of interest</w:t>
            </w:r>
          </w:p>
        </w:tc>
        <w:tc>
          <w:tcPr>
            <w:tcW w:w="3263" w:type="dxa"/>
            <w:vAlign w:val="center"/>
          </w:tcPr>
          <w:p w14:paraId="3A3141D6" w14:textId="77777777" w:rsidR="00AB12D2" w:rsidRPr="00BC4A30" w:rsidRDefault="00AB12D2" w:rsidP="00192EDA">
            <w:pPr>
              <w:pStyle w:val="Tabletext1"/>
              <w:ind w:left="0"/>
            </w:pPr>
            <w:r w:rsidRPr="00BC4A30">
              <w:t>Microwave tissue ablation</w:t>
            </w:r>
          </w:p>
        </w:tc>
        <w:tc>
          <w:tcPr>
            <w:tcW w:w="2546" w:type="dxa"/>
            <w:shd w:val="clear" w:color="auto" w:fill="auto"/>
          </w:tcPr>
          <w:p w14:paraId="0EB7800B" w14:textId="77777777" w:rsidR="00AB12D2" w:rsidRPr="00BC4A30" w:rsidRDefault="00AB12D2" w:rsidP="00192EDA">
            <w:pPr>
              <w:pStyle w:val="Tabletext1"/>
              <w:ind w:left="0"/>
            </w:pPr>
            <w:r w:rsidRPr="00BC4A30">
              <w:t>-</w:t>
            </w:r>
          </w:p>
        </w:tc>
      </w:tr>
      <w:tr w:rsidR="00AB12D2" w:rsidRPr="00BC4A30" w14:paraId="324F079D" w14:textId="77777777" w:rsidTr="00AB12D2">
        <w:trPr>
          <w:jc w:val="center"/>
        </w:trPr>
        <w:tc>
          <w:tcPr>
            <w:tcW w:w="3207" w:type="dxa"/>
          </w:tcPr>
          <w:p w14:paraId="1894A354" w14:textId="77777777" w:rsidR="00AB12D2" w:rsidRPr="00BC4A30" w:rsidRDefault="00AB12D2" w:rsidP="00192EDA">
            <w:pPr>
              <w:pStyle w:val="Tabletext1"/>
              <w:ind w:left="0"/>
            </w:pPr>
            <w:r w:rsidRPr="00BC4A30">
              <w:t>Comparators</w:t>
            </w:r>
          </w:p>
        </w:tc>
        <w:tc>
          <w:tcPr>
            <w:tcW w:w="3263" w:type="dxa"/>
            <w:vAlign w:val="center"/>
          </w:tcPr>
          <w:p w14:paraId="194A9766" w14:textId="77777777" w:rsidR="00AB12D2" w:rsidRPr="00BC4A30" w:rsidRDefault="00760AC9" w:rsidP="00192EDA">
            <w:pPr>
              <w:pStyle w:val="Tabletext1"/>
              <w:ind w:left="0"/>
            </w:pPr>
            <w:r w:rsidRPr="00BC4A30">
              <w:t>SBRT</w:t>
            </w:r>
          </w:p>
        </w:tc>
        <w:tc>
          <w:tcPr>
            <w:tcW w:w="2546" w:type="dxa"/>
            <w:shd w:val="clear" w:color="auto" w:fill="auto"/>
          </w:tcPr>
          <w:p w14:paraId="5D9EDB46" w14:textId="77777777" w:rsidR="00AB12D2" w:rsidRPr="00BC4A30" w:rsidRDefault="00AB12D2" w:rsidP="00192EDA">
            <w:pPr>
              <w:pStyle w:val="Tabletext1"/>
              <w:ind w:left="0"/>
            </w:pPr>
            <w:r w:rsidRPr="00BC4A30">
              <w:t>Section B</w:t>
            </w:r>
          </w:p>
        </w:tc>
      </w:tr>
      <w:tr w:rsidR="00AB12D2" w:rsidRPr="00BC4A30" w14:paraId="5A1A6F4E" w14:textId="77777777" w:rsidTr="00AB12D2">
        <w:trPr>
          <w:jc w:val="center"/>
        </w:trPr>
        <w:tc>
          <w:tcPr>
            <w:tcW w:w="3207" w:type="dxa"/>
          </w:tcPr>
          <w:p w14:paraId="1CE3DD31" w14:textId="77777777" w:rsidR="00AB12D2" w:rsidRPr="00BC4A30" w:rsidRDefault="00AB12D2" w:rsidP="00192EDA">
            <w:pPr>
              <w:pStyle w:val="Tabletext1"/>
              <w:ind w:left="0"/>
            </w:pPr>
            <w:r w:rsidRPr="00BC4A30">
              <w:t>Perspectives</w:t>
            </w:r>
          </w:p>
        </w:tc>
        <w:tc>
          <w:tcPr>
            <w:tcW w:w="3263" w:type="dxa"/>
            <w:vAlign w:val="center"/>
          </w:tcPr>
          <w:p w14:paraId="6CA95B64" w14:textId="77777777" w:rsidR="00AB12D2" w:rsidRPr="00BC4A30" w:rsidRDefault="00AB12D2" w:rsidP="00192EDA">
            <w:pPr>
              <w:pStyle w:val="Tabletext1"/>
              <w:ind w:left="0"/>
            </w:pPr>
            <w:r w:rsidRPr="00BC4A30">
              <w:t>Australian health system</w:t>
            </w:r>
          </w:p>
        </w:tc>
        <w:tc>
          <w:tcPr>
            <w:tcW w:w="2546" w:type="dxa"/>
            <w:shd w:val="clear" w:color="auto" w:fill="auto"/>
          </w:tcPr>
          <w:p w14:paraId="38240D2E" w14:textId="77777777" w:rsidR="00AB12D2" w:rsidRPr="00BC4A30" w:rsidRDefault="00AB12D2" w:rsidP="00192EDA">
            <w:pPr>
              <w:pStyle w:val="Tabletext1"/>
              <w:ind w:left="0"/>
            </w:pPr>
            <w:r w:rsidRPr="00BC4A30">
              <w:t xml:space="preserve">MSAC guidelines (2016) </w:t>
            </w:r>
          </w:p>
        </w:tc>
      </w:tr>
      <w:tr w:rsidR="00AB12D2" w:rsidRPr="00BC4A30" w14:paraId="6D0D1938" w14:textId="77777777" w:rsidTr="00AB12D2">
        <w:trPr>
          <w:jc w:val="center"/>
        </w:trPr>
        <w:tc>
          <w:tcPr>
            <w:tcW w:w="3207" w:type="dxa"/>
          </w:tcPr>
          <w:p w14:paraId="432CFC1F" w14:textId="77777777" w:rsidR="00AB12D2" w:rsidRPr="00BC4A30" w:rsidRDefault="00AB12D2" w:rsidP="00192EDA">
            <w:pPr>
              <w:pStyle w:val="Tabletext1"/>
              <w:ind w:left="0"/>
            </w:pPr>
            <w:r w:rsidRPr="00BC4A30">
              <w:t>Time horizon</w:t>
            </w:r>
          </w:p>
        </w:tc>
        <w:tc>
          <w:tcPr>
            <w:tcW w:w="3263" w:type="dxa"/>
            <w:vAlign w:val="center"/>
          </w:tcPr>
          <w:p w14:paraId="2FD1039C" w14:textId="77777777" w:rsidR="00AB12D2" w:rsidRPr="00BC4A30" w:rsidRDefault="00AB12D2" w:rsidP="00192EDA">
            <w:pPr>
              <w:pStyle w:val="Tabletext1"/>
              <w:ind w:left="0"/>
            </w:pPr>
            <w:r w:rsidRPr="00BC4A30">
              <w:t>3 months</w:t>
            </w:r>
          </w:p>
        </w:tc>
        <w:tc>
          <w:tcPr>
            <w:tcW w:w="2546" w:type="dxa"/>
            <w:shd w:val="clear" w:color="auto" w:fill="auto"/>
          </w:tcPr>
          <w:p w14:paraId="0084430E" w14:textId="77777777" w:rsidR="00AB12D2" w:rsidRPr="00BC4A30" w:rsidRDefault="00AB12D2" w:rsidP="00192EDA">
            <w:pPr>
              <w:pStyle w:val="Tabletext1"/>
              <w:ind w:left="0"/>
            </w:pPr>
            <w:r w:rsidRPr="00BC4A30">
              <w:t>-</w:t>
            </w:r>
          </w:p>
        </w:tc>
      </w:tr>
    </w:tbl>
    <w:p w14:paraId="2A8D6ED6" w14:textId="68137DA1" w:rsidR="00AB12D2" w:rsidRPr="00BC4A30" w:rsidRDefault="001D5452" w:rsidP="001D5452">
      <w:pPr>
        <w:pStyle w:val="Tablenotes0"/>
      </w:pPr>
      <w:r>
        <w:t>&lt;</w:t>
      </w:r>
      <w:r w:rsidR="00BB2FE5">
        <w:t xml:space="preserve"> </w:t>
      </w:r>
      <w:r>
        <w:t>MTA=</w:t>
      </w:r>
      <w:r w:rsidR="00AB12D2" w:rsidRPr="00BC4A30">
        <w:t xml:space="preserve"> Microwave tissue ablation</w:t>
      </w:r>
      <w:r>
        <w:t>;</w:t>
      </w:r>
      <w:r w:rsidR="00AB12D2" w:rsidRPr="00BC4A30">
        <w:t xml:space="preserve"> SBRT</w:t>
      </w:r>
      <w:r>
        <w:t>=</w:t>
      </w:r>
      <w:r w:rsidR="00AB12D2" w:rsidRPr="00BC4A30">
        <w:t xml:space="preserve"> Stereotactic body radiation therapy</w:t>
      </w:r>
      <w:r w:rsidR="00BB2FE5">
        <w:t xml:space="preserve"> </w:t>
      </w:r>
      <w:r>
        <w:t>&gt;</w:t>
      </w:r>
    </w:p>
    <w:p w14:paraId="294BCF75" w14:textId="1D508537" w:rsidR="003E7F7D" w:rsidRPr="00BC4A30" w:rsidRDefault="003E7F7D" w:rsidP="006750DB">
      <w:pPr>
        <w:pStyle w:val="Heading2"/>
        <w:numPr>
          <w:ilvl w:val="3"/>
          <w:numId w:val="9"/>
        </w:numPr>
      </w:pPr>
      <w:bookmarkStart w:id="388" w:name="_Toc381796479"/>
      <w:bookmarkStart w:id="389" w:name="_Toc460396081"/>
      <w:r w:rsidRPr="00BC4A30">
        <w:t xml:space="preserve">Inputs to the </w:t>
      </w:r>
      <w:r w:rsidR="005E6F5A">
        <w:t>E</w:t>
      </w:r>
      <w:r w:rsidRPr="00BC4A30">
        <w:t xml:space="preserve">conomic </w:t>
      </w:r>
      <w:r w:rsidR="005E6F5A">
        <w:t>E</w:t>
      </w:r>
      <w:r w:rsidRPr="00BC4A30">
        <w:t>valuation</w:t>
      </w:r>
      <w:bookmarkEnd w:id="388"/>
      <w:bookmarkEnd w:id="389"/>
    </w:p>
    <w:p w14:paraId="5C627AF7" w14:textId="10D1114A" w:rsidR="002B0BD1" w:rsidRPr="00BC4A30" w:rsidRDefault="00AB722F" w:rsidP="00AB12D2">
      <w:r>
        <w:t xml:space="preserve">The costs of MTA, </w:t>
      </w:r>
      <w:r w:rsidR="00760AC9" w:rsidRPr="00BC4A30">
        <w:t>SBRT</w:t>
      </w:r>
      <w:r w:rsidR="00AB12D2" w:rsidRPr="00BC4A30">
        <w:t xml:space="preserve"> and surgery are outlined in this section. They are specified for up to 3 lesions and for 3</w:t>
      </w:r>
      <w:r w:rsidR="005E6F5A">
        <w:t>–</w:t>
      </w:r>
      <w:r w:rsidR="00AB12D2" w:rsidRPr="00BC4A30">
        <w:t xml:space="preserve">5 lesions, as the applicant </w:t>
      </w:r>
      <w:proofErr w:type="gramStart"/>
      <w:r w:rsidR="00AB12D2" w:rsidRPr="00BC4A30">
        <w:t>has</w:t>
      </w:r>
      <w:proofErr w:type="gramEnd"/>
      <w:r w:rsidR="00AB12D2" w:rsidRPr="00BC4A30">
        <w:t xml:space="preserve"> proposed fees </w:t>
      </w:r>
      <w:r>
        <w:t xml:space="preserve">by </w:t>
      </w:r>
      <w:r w:rsidR="00AB12D2" w:rsidRPr="00BC4A30">
        <w:t>lesion number. Costs for each procedure are outlined for screening prior to the procedure, the procedure itself and at 3-month follow-up.</w:t>
      </w:r>
    </w:p>
    <w:p w14:paraId="4914502A" w14:textId="77777777" w:rsidR="00AB12D2" w:rsidRPr="00BC4A30" w:rsidRDefault="00AB12D2" w:rsidP="003F6C66">
      <w:pPr>
        <w:pStyle w:val="Heading3"/>
      </w:pPr>
      <w:bookmarkStart w:id="390" w:name="_Toc460396082"/>
      <w:r w:rsidRPr="00BC4A30">
        <w:t>Costs of MTA</w:t>
      </w:r>
      <w:bookmarkEnd w:id="390"/>
      <w:r w:rsidRPr="00BC4A30">
        <w:t xml:space="preserve"> </w:t>
      </w:r>
    </w:p>
    <w:p w14:paraId="2B542D75" w14:textId="77777777" w:rsidR="00AB12D2" w:rsidRPr="00671DD2" w:rsidRDefault="00AB12D2" w:rsidP="00AB12D2">
      <w:pPr>
        <w:rPr>
          <w:b/>
          <w:i/>
        </w:rPr>
      </w:pPr>
      <w:r w:rsidRPr="00671DD2">
        <w:rPr>
          <w:b/>
          <w:i/>
        </w:rPr>
        <w:t>Screening Prior to the Intervention</w:t>
      </w:r>
    </w:p>
    <w:p w14:paraId="57609EF2" w14:textId="137A1DA6" w:rsidR="00AB12D2" w:rsidRPr="00BC4A30" w:rsidRDefault="00A941E9" w:rsidP="00AB12D2">
      <w:r w:rsidRPr="00BC4A30">
        <w:t>The p</w:t>
      </w:r>
      <w:r w:rsidR="00AB12D2" w:rsidRPr="00BC4A30">
        <w:t>rotocol notes that pre-procedure patient preparation is similar to that for a CT-guided lung biopsy. Costs included within pre-procedure</w:t>
      </w:r>
      <w:r w:rsidR="005E6F5A">
        <w:t xml:space="preserve"> preparation</w:t>
      </w:r>
      <w:r w:rsidR="00AB12D2" w:rsidRPr="00BC4A30">
        <w:t xml:space="preserve"> include the visit with a medical oncologist and </w:t>
      </w:r>
      <w:r w:rsidR="00FA2A38">
        <w:t>diagnostics</w:t>
      </w:r>
      <w:r w:rsidR="00AB12D2" w:rsidRPr="00BC4A30">
        <w:t>. The Ca</w:t>
      </w:r>
      <w:r w:rsidR="0009259D">
        <w:t xml:space="preserve">ncer Council of </w:t>
      </w:r>
      <w:r w:rsidR="00035B47">
        <w:t>Victoria</w:t>
      </w:r>
      <w:r w:rsidR="0009259D">
        <w:t xml:space="preserve"> </w:t>
      </w:r>
      <w:r w:rsidR="003C443E">
        <w:fldChar w:fldCharType="begin"/>
      </w:r>
      <w:r w:rsidR="00F9303B">
        <w:instrText xml:space="preserve"> ADDIN EN.CITE &lt;EndNote&gt;&lt;Cite ExcludeAuth="1"&gt;&lt;Author&gt;Victoria&lt;/Author&gt;&lt;Year&gt;2014&lt;/Year&gt;&lt;RecNum&gt;288&lt;/RecNum&gt;&lt;DisplayText&gt;(2014)&lt;/DisplayText&gt;&lt;record&gt;&lt;rec-number&gt;288&lt;/rec-number&gt;&lt;foreign-keys&gt;&lt;key app="EN" db-id="05ssdaw2cf0zvye5xvo5z9ww0xdpfstrdtew" timestamp="1472688189"&gt;288&lt;/key&gt;&lt;/foreign-keys&gt;&lt;ref-type name="Web Page"&gt;12&lt;/ref-type&gt;&lt;contributors&gt;&lt;authors&gt;&lt;author&gt;Cancer Council Victoria,&lt;/author&gt;&lt;/authors&gt;&lt;/contributors&gt;&lt;titles&gt;&lt;title&gt;Diagnosing lung cancer &lt;/title&gt;&lt;/titles&gt;&lt;number&gt;19 July 2016&lt;/number&gt;&lt;dates&gt;&lt;year&gt;2014&lt;/year&gt;&lt;/dates&gt;&lt;urls&gt;&lt;related-urls&gt;&lt;url&gt;http://www.cancervic.org.au/about-cancer/cancer_types/lung_cancer/diagnosing_lung_cancer.html&lt;/url&gt;&lt;/related-urls&gt;&lt;/urls&gt;&lt;/record&gt;&lt;/Cite&gt;&lt;/EndNote&gt;</w:instrText>
      </w:r>
      <w:r w:rsidR="003C443E">
        <w:fldChar w:fldCharType="separate"/>
      </w:r>
      <w:r w:rsidR="003C443E">
        <w:rPr>
          <w:noProof/>
        </w:rPr>
        <w:t>(</w:t>
      </w:r>
      <w:hyperlink w:anchor="_ENREF_25" w:tooltip="Cancer Council Victoria, 2014 #288" w:history="1">
        <w:r w:rsidR="00320458">
          <w:rPr>
            <w:noProof/>
          </w:rPr>
          <w:t>2014</w:t>
        </w:r>
      </w:hyperlink>
      <w:r w:rsidR="003C443E">
        <w:rPr>
          <w:noProof/>
        </w:rPr>
        <w:t>)</w:t>
      </w:r>
      <w:r w:rsidR="003C443E">
        <w:fldChar w:fldCharType="end"/>
      </w:r>
      <w:r w:rsidR="00AB12D2" w:rsidRPr="00BC4A30">
        <w:t xml:space="preserve"> indicate</w:t>
      </w:r>
      <w:r w:rsidR="00A6421D">
        <w:t>s</w:t>
      </w:r>
      <w:r w:rsidR="00AB12D2" w:rsidRPr="00BC4A30">
        <w:t xml:space="preserve"> that a</w:t>
      </w:r>
      <w:r w:rsidR="00203244">
        <w:t xml:space="preserve"> CT</w:t>
      </w:r>
      <w:r w:rsidR="00AB12D2" w:rsidRPr="00BC4A30">
        <w:t xml:space="preserve"> scan of lungs and centre of the chest is generally used as part of staging. The cost of this procedure is included using MBS Item 5634. A PET scan could also be undertaken to add additional information about distant spread including to bones, along with a </w:t>
      </w:r>
      <w:r w:rsidR="00E50ADC">
        <w:t>test of a respirator</w:t>
      </w:r>
      <w:r w:rsidR="00AB12D2" w:rsidRPr="00BC4A30">
        <w:t>y</w:t>
      </w:r>
      <w:r w:rsidR="00E50ADC">
        <w:t xml:space="preserve"> function</w:t>
      </w:r>
      <w:r w:rsidR="00AB12D2" w:rsidRPr="00BC4A30">
        <w:t>.</w:t>
      </w:r>
    </w:p>
    <w:p w14:paraId="11A97E3B" w14:textId="77EBD41E" w:rsidR="007C6179" w:rsidRPr="00671DD2" w:rsidRDefault="00AB12D2" w:rsidP="00AB12D2">
      <w:pPr>
        <w:rPr>
          <w:b/>
          <w:i/>
        </w:rPr>
      </w:pPr>
      <w:r w:rsidRPr="00671DD2">
        <w:rPr>
          <w:b/>
          <w:i/>
        </w:rPr>
        <w:t>MTA Equipment</w:t>
      </w:r>
    </w:p>
    <w:p w14:paraId="1780D869" w14:textId="2E5C5DB9" w:rsidR="00AB12D2" w:rsidRPr="00BC4A30" w:rsidRDefault="00AB12D2" w:rsidP="00AB12D2">
      <w:r w:rsidRPr="00BC4A30">
        <w:t>The system is comprised of a microwave control unit, which generates energy, and an applicator that delivers the energy to the tissue. The generator emits electromagnetic waves at 915 MHz or 2.45 GHz through the non-insulated portion of the antenna to the surrounding tissue. The single-use, sterile, disposable applicator is supplied in a sterile pack that contains the applicator. In the case of the Sulis system, the pack includes two temperature probes, an integrated 2.5 metr</w:t>
      </w:r>
      <w:r w:rsidR="008C53CF">
        <w:t>e</w:t>
      </w:r>
      <w:r w:rsidRPr="00BC4A30">
        <w:t xml:space="preserve"> microwave cable, and the connector to the control unit. Each applicator may be used to coagulate up to 10 separate areas of target tissue for each patient, and is available in two sizes. </w:t>
      </w:r>
    </w:p>
    <w:p w14:paraId="44FAE778" w14:textId="0194BDB7" w:rsidR="00AB12D2" w:rsidRPr="00BC4A30" w:rsidRDefault="00AB12D2" w:rsidP="00AB12D2">
      <w:r w:rsidRPr="00BC4A30">
        <w:t>Optional temperature probes are single-use, sterile, disposable instruments used to monitor the temperature of adjacent tissues, vital structures, ducts, vessels, or nerves. They may be used to monitor the temperature of key vessels near the area to be coagulated, or to confirm when the heating zone has reached the volume required</w:t>
      </w:r>
      <w:r w:rsidR="00F9303B">
        <w:t xml:space="preserve"> </w:t>
      </w:r>
      <w:r w:rsidR="00AB722F">
        <w:fldChar w:fldCharType="begin"/>
      </w:r>
      <w:r w:rsidR="00AB722F">
        <w:instrText xml:space="preserve"> ADDIN EN.CITE &lt;EndNote&gt;&lt;Cite&gt;&lt;Author&gt;HospiMedica International&lt;/Author&gt;&lt;Year&gt;2009&lt;/Year&gt;&lt;RecNum&gt;289&lt;/RecNum&gt;&lt;DisplayText&gt;(HospiMedica International 2009)&lt;/DisplayText&gt;&lt;record&gt;&lt;rec-number&gt;289&lt;/rec-number&gt;&lt;foreign-keys&gt;&lt;key app="EN" db-id="05ssdaw2cf0zvye5xvo5z9ww0xdpfstrdtew" timestamp="1472688364"&gt;289&lt;/key&gt;&lt;/foreign-keys&gt;&lt;ref-type name="Web Page"&gt;12&lt;/ref-type&gt;&lt;contributors&gt;&lt;authors&gt;&lt;author&gt;HospiMedica International,&lt;/author&gt;&lt;/authors&gt;&lt;/contributors&gt;&lt;titles&gt;&lt;title&gt;HMI October 2009 - Microwave Technology Helps Treat Cancer &lt;/title&gt;&lt;/titles&gt;&lt;number&gt;19 July 2016&lt;/number&gt;&lt;dates&gt;&lt;year&gt;2009&lt;/year&gt;&lt;/dates&gt;&lt;urls&gt;&lt;related-urls&gt;&lt;url&gt;http://www.mydigitalpublication.com/display_article.php?id=254110./&lt;/url&gt;&lt;/related-urls&gt;&lt;/urls&gt;&lt;/record&gt;&lt;/Cite&gt;&lt;/EndNote&gt;</w:instrText>
      </w:r>
      <w:r w:rsidR="00AB722F">
        <w:fldChar w:fldCharType="separate"/>
      </w:r>
      <w:r w:rsidR="00AB722F">
        <w:rPr>
          <w:noProof/>
        </w:rPr>
        <w:t>(</w:t>
      </w:r>
      <w:hyperlink w:anchor="_ENREF_74" w:tooltip="HospiMedica International, 2009 #289" w:history="1">
        <w:r w:rsidR="00320458">
          <w:rPr>
            <w:noProof/>
          </w:rPr>
          <w:t>HospiMedica International 2009</w:t>
        </w:r>
      </w:hyperlink>
      <w:r w:rsidR="00AB722F">
        <w:rPr>
          <w:noProof/>
        </w:rPr>
        <w:t>)</w:t>
      </w:r>
      <w:r w:rsidR="00AB722F">
        <w:fldChar w:fldCharType="end"/>
      </w:r>
      <w:r w:rsidRPr="00BC4A30">
        <w:t>.</w:t>
      </w:r>
      <w:r w:rsidR="00A941E9" w:rsidRPr="00BC4A30">
        <w:t xml:space="preserve"> The p</w:t>
      </w:r>
      <w:r w:rsidRPr="00BC4A30">
        <w:t xml:space="preserve">rotocol </w:t>
      </w:r>
      <w:r w:rsidRPr="00BC4A30">
        <w:lastRenderedPageBreak/>
        <w:t>outlines an average cost of the control unit to be $50,000 and a disposable applicator $2,960. The optimal temperature probe is estimated to cost $960 and is not included in base economic costs. The applicant estimates that around 20</w:t>
      </w:r>
      <w:r w:rsidR="008C53CF">
        <w:t>–</w:t>
      </w:r>
      <w:r w:rsidRPr="00BC4A30">
        <w:t xml:space="preserve">35 procedures would be undertaken per machine per year. Over a 10-year life it is assumed that the capital cost per procedure is $250 (using straight line amortisation and no discount rate) using the lower end estimate of </w:t>
      </w:r>
      <w:proofErr w:type="gramStart"/>
      <w:r w:rsidRPr="00BC4A30">
        <w:t>utilisation.</w:t>
      </w:r>
      <w:proofErr w:type="gramEnd"/>
    </w:p>
    <w:p w14:paraId="097C594E" w14:textId="77777777" w:rsidR="00AB12D2" w:rsidRPr="00BC4A30" w:rsidRDefault="00AB12D2" w:rsidP="00AB12D2">
      <w:pPr>
        <w:pStyle w:val="Caption"/>
        <w:keepNext/>
      </w:pPr>
      <w:bookmarkStart w:id="391" w:name="_Toc460514726"/>
      <w:r w:rsidRPr="00BC4A30">
        <w:t xml:space="preserve">Table </w:t>
      </w:r>
      <w:fldSimple w:instr=" SEQ Table \* ARABIC ">
        <w:r w:rsidR="00D170A5">
          <w:rPr>
            <w:noProof/>
          </w:rPr>
          <w:t>68</w:t>
        </w:r>
      </w:fldSimple>
      <w:r w:rsidRPr="00BC4A30">
        <w:tab/>
        <w:t>Resources associated with MTA</w:t>
      </w:r>
      <w:bookmarkEnd w:id="391"/>
    </w:p>
    <w:tbl>
      <w:tblPr>
        <w:tblW w:w="5000" w:type="pct"/>
        <w:tblLook w:val="04A0" w:firstRow="1" w:lastRow="0" w:firstColumn="1" w:lastColumn="0" w:noHBand="0" w:noVBand="1"/>
        <w:tblCaption w:val="Table D.4.1"/>
        <w:tblDescription w:val="Resources associated with MTA"/>
      </w:tblPr>
      <w:tblGrid>
        <w:gridCol w:w="4241"/>
        <w:gridCol w:w="1587"/>
        <w:gridCol w:w="1037"/>
        <w:gridCol w:w="904"/>
        <w:gridCol w:w="1473"/>
      </w:tblGrid>
      <w:tr w:rsidR="00FA2A38" w:rsidRPr="00FA2A38" w14:paraId="5EF638CB" w14:textId="77777777" w:rsidTr="005B16C7">
        <w:trPr>
          <w:trHeight w:val="570"/>
          <w:tblHeader/>
        </w:trPr>
        <w:tc>
          <w:tcPr>
            <w:tcW w:w="2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27AB1C6" w14:textId="77777777" w:rsidR="00FA2A38" w:rsidRPr="00DD3D42" w:rsidRDefault="00FA2A38" w:rsidP="00CC4DE4">
            <w:pPr>
              <w:pStyle w:val="Tabletext1"/>
              <w:rPr>
                <w:b/>
              </w:rPr>
            </w:pPr>
            <w:r w:rsidRPr="00DD3D42">
              <w:rPr>
                <w:b/>
              </w:rPr>
              <w:t>Resource</w:t>
            </w:r>
          </w:p>
        </w:tc>
        <w:tc>
          <w:tcPr>
            <w:tcW w:w="858"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802A164" w14:textId="77777777" w:rsidR="00FA2A38" w:rsidRPr="00DD3D42" w:rsidRDefault="00FA2A38" w:rsidP="00CC4DE4">
            <w:pPr>
              <w:pStyle w:val="Tabletext1"/>
              <w:rPr>
                <w:b/>
              </w:rPr>
            </w:pPr>
            <w:r w:rsidRPr="00DD3D42">
              <w:rPr>
                <w:b/>
              </w:rPr>
              <w:t>Setting for delivery</w:t>
            </w:r>
          </w:p>
        </w:tc>
        <w:tc>
          <w:tcPr>
            <w:tcW w:w="561"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7F65677" w14:textId="77777777" w:rsidR="00FA2A38" w:rsidRPr="00DD3D42" w:rsidRDefault="00FA2A38" w:rsidP="00CC4DE4">
            <w:pPr>
              <w:pStyle w:val="Tabletext1"/>
              <w:rPr>
                <w:b/>
              </w:rPr>
            </w:pPr>
            <w:r w:rsidRPr="00DD3D42">
              <w:rPr>
                <w:b/>
              </w:rPr>
              <w:t>Cost per unit of resource</w:t>
            </w:r>
          </w:p>
        </w:tc>
        <w:tc>
          <w:tcPr>
            <w:tcW w:w="48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05FFB9C" w14:textId="77777777" w:rsidR="00FA2A38" w:rsidRPr="00DD3D42" w:rsidRDefault="00FA2A38" w:rsidP="00CC4DE4">
            <w:pPr>
              <w:pStyle w:val="Tabletext1"/>
              <w:rPr>
                <w:b/>
              </w:rPr>
            </w:pPr>
            <w:r w:rsidRPr="00DD3D42">
              <w:rPr>
                <w:b/>
              </w:rPr>
              <w:t>Quantity</w:t>
            </w:r>
          </w:p>
        </w:tc>
        <w:tc>
          <w:tcPr>
            <w:tcW w:w="797"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D444420" w14:textId="77777777" w:rsidR="00FA2A38" w:rsidRPr="00DD3D42" w:rsidRDefault="00FA2A38" w:rsidP="00CC4DE4">
            <w:pPr>
              <w:pStyle w:val="Tabletext1"/>
              <w:rPr>
                <w:b/>
              </w:rPr>
            </w:pPr>
            <w:r w:rsidRPr="00DD3D42">
              <w:rPr>
                <w:b/>
              </w:rPr>
              <w:t>Source</w:t>
            </w:r>
          </w:p>
        </w:tc>
      </w:tr>
      <w:tr w:rsidR="00FA2A38" w:rsidRPr="00FA2A38" w14:paraId="4A0E3186" w14:textId="77777777" w:rsidTr="005B16C7">
        <w:trPr>
          <w:trHeight w:val="285"/>
        </w:trPr>
        <w:tc>
          <w:tcPr>
            <w:tcW w:w="2294" w:type="pct"/>
            <w:tcBorders>
              <w:top w:val="nil"/>
              <w:left w:val="single" w:sz="4" w:space="0" w:color="auto"/>
              <w:bottom w:val="single" w:sz="4" w:space="0" w:color="auto"/>
            </w:tcBorders>
            <w:shd w:val="clear" w:color="000000" w:fill="D9D9D9"/>
            <w:vAlign w:val="center"/>
            <w:hideMark/>
          </w:tcPr>
          <w:p w14:paraId="26EDB44A" w14:textId="77777777" w:rsidR="00FA2A38" w:rsidRPr="00DD3D42" w:rsidRDefault="00FA2A38" w:rsidP="009F3F1D">
            <w:pPr>
              <w:pStyle w:val="Tabletext1"/>
              <w:rPr>
                <w:b/>
              </w:rPr>
            </w:pPr>
            <w:r w:rsidRPr="00DD3D42">
              <w:rPr>
                <w:b/>
              </w:rPr>
              <w:t>Medical services – screening prior to intervention</w:t>
            </w:r>
          </w:p>
        </w:tc>
        <w:tc>
          <w:tcPr>
            <w:tcW w:w="858" w:type="pct"/>
            <w:tcBorders>
              <w:top w:val="single" w:sz="4" w:space="0" w:color="auto"/>
              <w:bottom w:val="single" w:sz="4" w:space="0" w:color="auto"/>
            </w:tcBorders>
            <w:shd w:val="clear" w:color="000000" w:fill="D9D9D9"/>
            <w:vAlign w:val="center"/>
            <w:hideMark/>
          </w:tcPr>
          <w:p w14:paraId="082A4DFB" w14:textId="77777777" w:rsidR="00FA2A38" w:rsidRPr="00DD3D42" w:rsidRDefault="00FA2A38" w:rsidP="009F3F1D">
            <w:pPr>
              <w:pStyle w:val="Tabletext1"/>
              <w:rPr>
                <w:b/>
              </w:rPr>
            </w:pPr>
            <w:r w:rsidRPr="00DD3D42">
              <w:rPr>
                <w:b/>
              </w:rPr>
              <w:t> </w:t>
            </w:r>
          </w:p>
        </w:tc>
        <w:tc>
          <w:tcPr>
            <w:tcW w:w="561" w:type="pct"/>
            <w:tcBorders>
              <w:top w:val="single" w:sz="4" w:space="0" w:color="auto"/>
              <w:bottom w:val="single" w:sz="4" w:space="0" w:color="auto"/>
            </w:tcBorders>
            <w:shd w:val="clear" w:color="000000" w:fill="D9D9D9"/>
            <w:vAlign w:val="center"/>
            <w:hideMark/>
          </w:tcPr>
          <w:p w14:paraId="59FE5A84" w14:textId="77777777" w:rsidR="00FA2A38" w:rsidRPr="00DD3D42" w:rsidRDefault="00FA2A38" w:rsidP="009F3F1D">
            <w:pPr>
              <w:pStyle w:val="Tabletext1"/>
              <w:rPr>
                <w:b/>
              </w:rPr>
            </w:pPr>
            <w:r w:rsidRPr="00DD3D42">
              <w:rPr>
                <w:b/>
              </w:rPr>
              <w:t> </w:t>
            </w:r>
          </w:p>
        </w:tc>
        <w:tc>
          <w:tcPr>
            <w:tcW w:w="489" w:type="pct"/>
            <w:tcBorders>
              <w:top w:val="single" w:sz="4" w:space="0" w:color="auto"/>
              <w:bottom w:val="single" w:sz="4" w:space="0" w:color="auto"/>
            </w:tcBorders>
            <w:shd w:val="clear" w:color="000000" w:fill="D9D9D9"/>
            <w:vAlign w:val="center"/>
            <w:hideMark/>
          </w:tcPr>
          <w:p w14:paraId="0DE36CF9" w14:textId="77777777" w:rsidR="00FA2A38" w:rsidRPr="00DD3D42" w:rsidRDefault="00FA2A38" w:rsidP="009F3F1D">
            <w:pPr>
              <w:pStyle w:val="Tabletext1"/>
              <w:rPr>
                <w:b/>
              </w:rPr>
            </w:pPr>
            <w:r w:rsidRPr="00DD3D42">
              <w:rPr>
                <w:b/>
              </w:rPr>
              <w:t> </w:t>
            </w:r>
          </w:p>
        </w:tc>
        <w:tc>
          <w:tcPr>
            <w:tcW w:w="797" w:type="pct"/>
            <w:tcBorders>
              <w:top w:val="single" w:sz="4" w:space="0" w:color="auto"/>
              <w:bottom w:val="single" w:sz="4" w:space="0" w:color="auto"/>
              <w:right w:val="single" w:sz="4" w:space="0" w:color="auto"/>
            </w:tcBorders>
            <w:shd w:val="clear" w:color="000000" w:fill="D9D9D9"/>
            <w:vAlign w:val="center"/>
            <w:hideMark/>
          </w:tcPr>
          <w:p w14:paraId="68D838F6" w14:textId="77777777" w:rsidR="00FA2A38" w:rsidRPr="00DD3D42" w:rsidRDefault="00FA2A38" w:rsidP="009F3F1D">
            <w:pPr>
              <w:pStyle w:val="Tabletext1"/>
              <w:rPr>
                <w:b/>
              </w:rPr>
            </w:pPr>
            <w:r w:rsidRPr="00DD3D42">
              <w:rPr>
                <w:b/>
              </w:rPr>
              <w:t> </w:t>
            </w:r>
          </w:p>
        </w:tc>
      </w:tr>
      <w:tr w:rsidR="00FA2A38" w:rsidRPr="00FA2A38" w14:paraId="29365B2A" w14:textId="77777777" w:rsidTr="005B16C7">
        <w:trPr>
          <w:trHeight w:val="93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1D8EBAB2" w14:textId="77777777" w:rsidR="00FA2A38" w:rsidRPr="00FA2A38" w:rsidRDefault="00FA2A38" w:rsidP="009F3F1D">
            <w:pPr>
              <w:pStyle w:val="Tabletext1"/>
            </w:pPr>
            <w:r w:rsidRPr="00FA2A38">
              <w:t>COMPUTED TOMOGRAPHY - scan of chest, including lungs, mediastinum, chest wall and pleura, with or without scans of the upper abdomen, with intravenous contrast medium</w:t>
            </w:r>
          </w:p>
        </w:tc>
        <w:tc>
          <w:tcPr>
            <w:tcW w:w="858" w:type="pct"/>
            <w:tcBorders>
              <w:top w:val="nil"/>
              <w:left w:val="nil"/>
              <w:bottom w:val="single" w:sz="4" w:space="0" w:color="auto"/>
              <w:right w:val="single" w:sz="4" w:space="0" w:color="auto"/>
            </w:tcBorders>
            <w:shd w:val="clear" w:color="auto" w:fill="auto"/>
            <w:vAlign w:val="center"/>
            <w:hideMark/>
          </w:tcPr>
          <w:p w14:paraId="079D106A" w14:textId="77777777" w:rsidR="00FA2A38" w:rsidRPr="00FA2A38" w:rsidRDefault="00FA2A38" w:rsidP="009F3F1D">
            <w:pPr>
              <w:pStyle w:val="Tabletext1"/>
            </w:pPr>
            <w:r w:rsidRPr="00FA2A38">
              <w:t>As outpatient</w:t>
            </w:r>
          </w:p>
        </w:tc>
        <w:tc>
          <w:tcPr>
            <w:tcW w:w="561" w:type="pct"/>
            <w:tcBorders>
              <w:top w:val="nil"/>
              <w:left w:val="nil"/>
              <w:bottom w:val="single" w:sz="4" w:space="0" w:color="auto"/>
              <w:right w:val="single" w:sz="4" w:space="0" w:color="auto"/>
            </w:tcBorders>
            <w:shd w:val="clear" w:color="auto" w:fill="auto"/>
            <w:vAlign w:val="center"/>
            <w:hideMark/>
          </w:tcPr>
          <w:p w14:paraId="2F8B6C81" w14:textId="77777777" w:rsidR="00FA2A38" w:rsidRPr="00FA2A38" w:rsidRDefault="00FA2A38" w:rsidP="009F3F1D">
            <w:pPr>
              <w:pStyle w:val="Tabletext1"/>
            </w:pPr>
            <w:r w:rsidRPr="00FA2A38">
              <w:t>202.00</w:t>
            </w:r>
          </w:p>
        </w:tc>
        <w:tc>
          <w:tcPr>
            <w:tcW w:w="489" w:type="pct"/>
            <w:tcBorders>
              <w:top w:val="nil"/>
              <w:left w:val="nil"/>
              <w:bottom w:val="single" w:sz="4" w:space="0" w:color="auto"/>
              <w:right w:val="single" w:sz="4" w:space="0" w:color="auto"/>
            </w:tcBorders>
            <w:shd w:val="clear" w:color="auto" w:fill="auto"/>
            <w:vAlign w:val="center"/>
            <w:hideMark/>
          </w:tcPr>
          <w:p w14:paraId="12CE5AF8"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noWrap/>
            <w:vAlign w:val="center"/>
            <w:hideMark/>
          </w:tcPr>
          <w:p w14:paraId="1184A839" w14:textId="77777777" w:rsidR="00FA2A38" w:rsidRPr="00FA2A38" w:rsidRDefault="00FA2A38" w:rsidP="009F3F1D">
            <w:pPr>
              <w:pStyle w:val="Tabletext1"/>
            </w:pPr>
            <w:r w:rsidRPr="00FA2A38">
              <w:t>MBS Item 56347</w:t>
            </w:r>
          </w:p>
        </w:tc>
      </w:tr>
      <w:tr w:rsidR="00FA2A38" w:rsidRPr="00FA2A38" w14:paraId="54433E15" w14:textId="77777777" w:rsidTr="005B16C7">
        <w:trPr>
          <w:trHeight w:val="990"/>
        </w:trPr>
        <w:tc>
          <w:tcPr>
            <w:tcW w:w="2294" w:type="pct"/>
            <w:tcBorders>
              <w:top w:val="nil"/>
              <w:left w:val="single" w:sz="4" w:space="0" w:color="auto"/>
              <w:bottom w:val="single" w:sz="4" w:space="0" w:color="auto"/>
              <w:right w:val="single" w:sz="4" w:space="0" w:color="auto"/>
            </w:tcBorders>
            <w:shd w:val="clear" w:color="auto" w:fill="auto"/>
            <w:vAlign w:val="center"/>
          </w:tcPr>
          <w:p w14:paraId="25542689" w14:textId="77777777" w:rsidR="00FA2A38" w:rsidRPr="00FA2A38" w:rsidRDefault="00FA2A38" w:rsidP="009F3F1D">
            <w:pPr>
              <w:pStyle w:val="Tabletext1"/>
            </w:pPr>
            <w:r w:rsidRPr="00FA2A38">
              <w:t>Whole body FDG PET study, performed for evaluation of a solitary pulmonary nodule where the lesion is considered unsuitable for transthoracic fine needle aspiration biopsy, or for which an attempt at pathological characterisation has failed</w:t>
            </w:r>
          </w:p>
        </w:tc>
        <w:tc>
          <w:tcPr>
            <w:tcW w:w="858" w:type="pct"/>
            <w:tcBorders>
              <w:top w:val="nil"/>
              <w:left w:val="nil"/>
              <w:bottom w:val="single" w:sz="4" w:space="0" w:color="auto"/>
              <w:right w:val="single" w:sz="4" w:space="0" w:color="auto"/>
            </w:tcBorders>
            <w:shd w:val="clear" w:color="auto" w:fill="auto"/>
            <w:vAlign w:val="center"/>
          </w:tcPr>
          <w:p w14:paraId="28572C2A" w14:textId="77777777" w:rsidR="00FA2A38" w:rsidRPr="00FA2A38" w:rsidRDefault="00FA2A38" w:rsidP="009F3F1D">
            <w:pPr>
              <w:pStyle w:val="Tabletext1"/>
            </w:pPr>
            <w:r w:rsidRPr="00FA2A38">
              <w:t>As outpatient</w:t>
            </w:r>
          </w:p>
        </w:tc>
        <w:tc>
          <w:tcPr>
            <w:tcW w:w="561" w:type="pct"/>
            <w:tcBorders>
              <w:top w:val="nil"/>
              <w:left w:val="nil"/>
              <w:bottom w:val="single" w:sz="4" w:space="0" w:color="auto"/>
              <w:right w:val="single" w:sz="4" w:space="0" w:color="auto"/>
            </w:tcBorders>
            <w:shd w:val="clear" w:color="auto" w:fill="auto"/>
            <w:vAlign w:val="center"/>
          </w:tcPr>
          <w:p w14:paraId="33460B4B" w14:textId="77777777" w:rsidR="00FA2A38" w:rsidRPr="00FA2A38" w:rsidRDefault="00FA2A38" w:rsidP="009F3F1D">
            <w:pPr>
              <w:pStyle w:val="Tabletext1"/>
            </w:pPr>
            <w:r w:rsidRPr="00FA2A38">
              <w:t>953.00</w:t>
            </w:r>
          </w:p>
        </w:tc>
        <w:tc>
          <w:tcPr>
            <w:tcW w:w="489" w:type="pct"/>
            <w:tcBorders>
              <w:top w:val="nil"/>
              <w:left w:val="nil"/>
              <w:bottom w:val="single" w:sz="4" w:space="0" w:color="auto"/>
              <w:right w:val="single" w:sz="4" w:space="0" w:color="auto"/>
            </w:tcBorders>
            <w:shd w:val="clear" w:color="auto" w:fill="auto"/>
            <w:vAlign w:val="center"/>
          </w:tcPr>
          <w:p w14:paraId="212C1364" w14:textId="77777777" w:rsidR="00FA2A38" w:rsidRPr="00FA2A38" w:rsidRDefault="00FA2A38" w:rsidP="009F3F1D">
            <w:pPr>
              <w:pStyle w:val="Tabletext1"/>
            </w:pPr>
            <w:r w:rsidRPr="00FA2A38">
              <w:t>1</w:t>
            </w:r>
          </w:p>
        </w:tc>
        <w:tc>
          <w:tcPr>
            <w:tcW w:w="797" w:type="pct"/>
            <w:tcBorders>
              <w:top w:val="single" w:sz="4" w:space="0" w:color="auto"/>
              <w:left w:val="nil"/>
              <w:bottom w:val="nil"/>
              <w:right w:val="single" w:sz="4" w:space="0" w:color="auto"/>
            </w:tcBorders>
            <w:shd w:val="clear" w:color="auto" w:fill="auto"/>
            <w:vAlign w:val="center"/>
          </w:tcPr>
          <w:p w14:paraId="32F0A052" w14:textId="77777777" w:rsidR="00FA2A38" w:rsidRPr="00FA2A38" w:rsidRDefault="00FA2A38" w:rsidP="009F3F1D">
            <w:pPr>
              <w:pStyle w:val="Tabletext1"/>
            </w:pPr>
            <w:r w:rsidRPr="00FA2A38">
              <w:t>MBS Item 61523</w:t>
            </w:r>
          </w:p>
        </w:tc>
      </w:tr>
      <w:tr w:rsidR="00FA2A38" w:rsidRPr="00FA2A38" w14:paraId="67FCE789" w14:textId="77777777" w:rsidTr="005B16C7">
        <w:trPr>
          <w:trHeight w:val="60"/>
        </w:trPr>
        <w:tc>
          <w:tcPr>
            <w:tcW w:w="2294" w:type="pct"/>
            <w:tcBorders>
              <w:top w:val="nil"/>
              <w:left w:val="single" w:sz="4" w:space="0" w:color="auto"/>
              <w:bottom w:val="single" w:sz="4" w:space="0" w:color="auto"/>
              <w:right w:val="single" w:sz="4" w:space="0" w:color="auto"/>
            </w:tcBorders>
            <w:shd w:val="clear" w:color="auto" w:fill="auto"/>
            <w:vAlign w:val="center"/>
          </w:tcPr>
          <w:p w14:paraId="32B192BB" w14:textId="77777777" w:rsidR="00FA2A38" w:rsidRPr="00FA2A38" w:rsidRDefault="00FA2A38" w:rsidP="009F3F1D">
            <w:pPr>
              <w:pStyle w:val="Tabletext1"/>
            </w:pPr>
            <w:r w:rsidRPr="00FA2A38">
              <w:t>Respiratory function test</w:t>
            </w:r>
          </w:p>
        </w:tc>
        <w:tc>
          <w:tcPr>
            <w:tcW w:w="858" w:type="pct"/>
            <w:tcBorders>
              <w:top w:val="nil"/>
              <w:left w:val="nil"/>
              <w:bottom w:val="single" w:sz="4" w:space="0" w:color="auto"/>
              <w:right w:val="single" w:sz="4" w:space="0" w:color="auto"/>
            </w:tcBorders>
            <w:shd w:val="clear" w:color="auto" w:fill="auto"/>
            <w:vAlign w:val="center"/>
          </w:tcPr>
          <w:p w14:paraId="6156E760" w14:textId="77777777" w:rsidR="00FA2A38" w:rsidRPr="00FA2A38" w:rsidRDefault="00FA2A38" w:rsidP="009F3F1D">
            <w:pPr>
              <w:pStyle w:val="Tabletext1"/>
            </w:pPr>
            <w:r w:rsidRPr="00FA2A38">
              <w:t>As outpatient</w:t>
            </w:r>
          </w:p>
        </w:tc>
        <w:tc>
          <w:tcPr>
            <w:tcW w:w="561" w:type="pct"/>
            <w:tcBorders>
              <w:top w:val="nil"/>
              <w:left w:val="nil"/>
              <w:bottom w:val="single" w:sz="4" w:space="0" w:color="auto"/>
              <w:right w:val="single" w:sz="4" w:space="0" w:color="auto"/>
            </w:tcBorders>
            <w:shd w:val="clear" w:color="auto" w:fill="auto"/>
            <w:vAlign w:val="center"/>
          </w:tcPr>
          <w:p w14:paraId="5DF726BD" w14:textId="77777777" w:rsidR="00FA2A38" w:rsidRPr="00FA2A38" w:rsidRDefault="00FA2A38" w:rsidP="009F3F1D">
            <w:pPr>
              <w:pStyle w:val="Tabletext1"/>
            </w:pPr>
            <w:r w:rsidRPr="00FA2A38">
              <w:t>138.65</w:t>
            </w:r>
          </w:p>
        </w:tc>
        <w:tc>
          <w:tcPr>
            <w:tcW w:w="489" w:type="pct"/>
            <w:tcBorders>
              <w:top w:val="nil"/>
              <w:left w:val="nil"/>
              <w:bottom w:val="single" w:sz="4" w:space="0" w:color="auto"/>
              <w:right w:val="single" w:sz="4" w:space="0" w:color="auto"/>
            </w:tcBorders>
            <w:shd w:val="clear" w:color="auto" w:fill="auto"/>
            <w:vAlign w:val="center"/>
          </w:tcPr>
          <w:p w14:paraId="6D960AD5" w14:textId="77777777" w:rsidR="00FA2A38" w:rsidRPr="00FA2A38" w:rsidRDefault="00FA2A38" w:rsidP="009F3F1D">
            <w:pPr>
              <w:pStyle w:val="Tabletext1"/>
            </w:pPr>
            <w:r w:rsidRPr="00FA2A38">
              <w:t>1</w:t>
            </w:r>
          </w:p>
        </w:tc>
        <w:tc>
          <w:tcPr>
            <w:tcW w:w="797" w:type="pct"/>
            <w:tcBorders>
              <w:top w:val="single" w:sz="4" w:space="0" w:color="auto"/>
              <w:left w:val="nil"/>
              <w:bottom w:val="nil"/>
              <w:right w:val="single" w:sz="4" w:space="0" w:color="auto"/>
            </w:tcBorders>
            <w:shd w:val="clear" w:color="auto" w:fill="auto"/>
            <w:vAlign w:val="center"/>
          </w:tcPr>
          <w:p w14:paraId="302A75FB" w14:textId="77777777" w:rsidR="00FA2A38" w:rsidRPr="00FA2A38" w:rsidRDefault="00FA2A38" w:rsidP="009F3F1D">
            <w:pPr>
              <w:pStyle w:val="Tabletext1"/>
            </w:pPr>
            <w:r w:rsidRPr="00FA2A38">
              <w:t>MBS Item 11503</w:t>
            </w:r>
          </w:p>
        </w:tc>
      </w:tr>
      <w:tr w:rsidR="00FA2A38" w:rsidRPr="00FA2A38" w14:paraId="3DA14F0E" w14:textId="77777777" w:rsidTr="005B16C7">
        <w:trPr>
          <w:trHeight w:val="6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6C4B6C4D" w14:textId="77777777" w:rsidR="00FA2A38" w:rsidRPr="00FA2A38" w:rsidRDefault="00FA2A38" w:rsidP="009F3F1D">
            <w:pPr>
              <w:pStyle w:val="Tabletext1"/>
            </w:pPr>
            <w:r w:rsidRPr="00FA2A38">
              <w:t>Medical oncologist consultation</w:t>
            </w:r>
          </w:p>
        </w:tc>
        <w:tc>
          <w:tcPr>
            <w:tcW w:w="858" w:type="pct"/>
            <w:tcBorders>
              <w:top w:val="nil"/>
              <w:left w:val="nil"/>
              <w:bottom w:val="single" w:sz="4" w:space="0" w:color="auto"/>
              <w:right w:val="single" w:sz="4" w:space="0" w:color="auto"/>
            </w:tcBorders>
            <w:shd w:val="clear" w:color="auto" w:fill="auto"/>
            <w:vAlign w:val="center"/>
            <w:hideMark/>
          </w:tcPr>
          <w:p w14:paraId="2486B7A4" w14:textId="77777777" w:rsidR="00FA2A38" w:rsidRPr="00FA2A38" w:rsidRDefault="00FA2A38" w:rsidP="009F3F1D">
            <w:pPr>
              <w:pStyle w:val="Tabletext1"/>
            </w:pPr>
            <w:r w:rsidRPr="00FA2A38">
              <w:t>As outpatient</w:t>
            </w:r>
          </w:p>
        </w:tc>
        <w:tc>
          <w:tcPr>
            <w:tcW w:w="561" w:type="pct"/>
            <w:tcBorders>
              <w:top w:val="nil"/>
              <w:left w:val="nil"/>
              <w:bottom w:val="single" w:sz="4" w:space="0" w:color="auto"/>
              <w:right w:val="single" w:sz="4" w:space="0" w:color="auto"/>
            </w:tcBorders>
            <w:shd w:val="clear" w:color="auto" w:fill="auto"/>
            <w:vAlign w:val="center"/>
            <w:hideMark/>
          </w:tcPr>
          <w:p w14:paraId="5F3FD72F" w14:textId="77777777" w:rsidR="00FA2A38" w:rsidRPr="00FA2A38" w:rsidRDefault="00FA2A38" w:rsidP="009F3F1D">
            <w:pPr>
              <w:pStyle w:val="Tabletext1"/>
            </w:pPr>
            <w:r w:rsidRPr="00FA2A38">
              <w:t>263.90</w:t>
            </w:r>
          </w:p>
        </w:tc>
        <w:tc>
          <w:tcPr>
            <w:tcW w:w="489" w:type="pct"/>
            <w:tcBorders>
              <w:top w:val="nil"/>
              <w:left w:val="nil"/>
              <w:bottom w:val="single" w:sz="4" w:space="0" w:color="auto"/>
              <w:right w:val="single" w:sz="4" w:space="0" w:color="auto"/>
            </w:tcBorders>
            <w:shd w:val="clear" w:color="auto" w:fill="auto"/>
            <w:vAlign w:val="center"/>
            <w:hideMark/>
          </w:tcPr>
          <w:p w14:paraId="2F2F004A" w14:textId="77777777" w:rsidR="00FA2A38" w:rsidRPr="00FA2A38" w:rsidRDefault="00FA2A38" w:rsidP="009F3F1D">
            <w:pPr>
              <w:pStyle w:val="Tabletext1"/>
            </w:pPr>
            <w:r w:rsidRPr="00FA2A38">
              <w:t>1</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392AE509" w14:textId="77777777" w:rsidR="00FA2A38" w:rsidRPr="00FA2A38" w:rsidRDefault="00FA2A38" w:rsidP="009F3F1D">
            <w:pPr>
              <w:pStyle w:val="Tabletext1"/>
            </w:pPr>
            <w:r w:rsidRPr="00FA2A38">
              <w:t>MBS Item 132</w:t>
            </w:r>
          </w:p>
        </w:tc>
      </w:tr>
      <w:tr w:rsidR="00FA2A38" w:rsidRPr="00FA2A38" w14:paraId="0AB1A395" w14:textId="77777777" w:rsidTr="005B16C7">
        <w:trPr>
          <w:trHeight w:val="60"/>
        </w:trPr>
        <w:tc>
          <w:tcPr>
            <w:tcW w:w="2294" w:type="pct"/>
            <w:tcBorders>
              <w:top w:val="nil"/>
              <w:left w:val="single" w:sz="4" w:space="0" w:color="auto"/>
              <w:bottom w:val="single" w:sz="4" w:space="0" w:color="auto"/>
            </w:tcBorders>
            <w:shd w:val="clear" w:color="000000" w:fill="D9D9D9"/>
            <w:vAlign w:val="center"/>
            <w:hideMark/>
          </w:tcPr>
          <w:p w14:paraId="70629C2F" w14:textId="77777777" w:rsidR="00FA2A38" w:rsidRPr="009F3F1D" w:rsidRDefault="00FA2A38" w:rsidP="009F3F1D">
            <w:pPr>
              <w:pStyle w:val="Tabletext1"/>
              <w:rPr>
                <w:b/>
              </w:rPr>
            </w:pPr>
            <w:r w:rsidRPr="009F3F1D">
              <w:rPr>
                <w:b/>
              </w:rPr>
              <w:t>Medical services – intervention</w:t>
            </w:r>
          </w:p>
        </w:tc>
        <w:tc>
          <w:tcPr>
            <w:tcW w:w="858" w:type="pct"/>
            <w:tcBorders>
              <w:top w:val="single" w:sz="4" w:space="0" w:color="auto"/>
              <w:bottom w:val="single" w:sz="4" w:space="0" w:color="auto"/>
            </w:tcBorders>
            <w:shd w:val="clear" w:color="000000" w:fill="D9D9D9"/>
            <w:vAlign w:val="center"/>
            <w:hideMark/>
          </w:tcPr>
          <w:p w14:paraId="120E9796" w14:textId="77777777" w:rsidR="00FA2A38" w:rsidRPr="00FA2A38" w:rsidRDefault="00FA2A38" w:rsidP="009F3F1D">
            <w:pPr>
              <w:pStyle w:val="Tabletext1"/>
            </w:pPr>
            <w:r w:rsidRPr="00FA2A38">
              <w:t> </w:t>
            </w:r>
          </w:p>
        </w:tc>
        <w:tc>
          <w:tcPr>
            <w:tcW w:w="561" w:type="pct"/>
            <w:tcBorders>
              <w:top w:val="single" w:sz="4" w:space="0" w:color="auto"/>
              <w:bottom w:val="single" w:sz="4" w:space="0" w:color="auto"/>
            </w:tcBorders>
            <w:shd w:val="clear" w:color="000000" w:fill="D9D9D9"/>
            <w:vAlign w:val="center"/>
            <w:hideMark/>
          </w:tcPr>
          <w:p w14:paraId="54DA072B" w14:textId="77777777" w:rsidR="00FA2A38" w:rsidRPr="00FA2A38" w:rsidRDefault="00FA2A38" w:rsidP="009F3F1D">
            <w:pPr>
              <w:pStyle w:val="Tabletext1"/>
            </w:pPr>
            <w:r w:rsidRPr="00FA2A38">
              <w:t> </w:t>
            </w:r>
          </w:p>
        </w:tc>
        <w:tc>
          <w:tcPr>
            <w:tcW w:w="489" w:type="pct"/>
            <w:tcBorders>
              <w:top w:val="single" w:sz="4" w:space="0" w:color="auto"/>
              <w:bottom w:val="single" w:sz="4" w:space="0" w:color="auto"/>
            </w:tcBorders>
            <w:shd w:val="clear" w:color="000000" w:fill="D9D9D9"/>
            <w:vAlign w:val="center"/>
            <w:hideMark/>
          </w:tcPr>
          <w:p w14:paraId="4B51E6DE" w14:textId="77777777" w:rsidR="00FA2A38" w:rsidRPr="00FA2A38" w:rsidRDefault="00FA2A38" w:rsidP="009F3F1D">
            <w:pPr>
              <w:pStyle w:val="Tabletext1"/>
            </w:pPr>
            <w:r w:rsidRPr="00FA2A38">
              <w:t> </w:t>
            </w:r>
          </w:p>
        </w:tc>
        <w:tc>
          <w:tcPr>
            <w:tcW w:w="797" w:type="pct"/>
            <w:tcBorders>
              <w:top w:val="single" w:sz="4" w:space="0" w:color="auto"/>
              <w:bottom w:val="single" w:sz="4" w:space="0" w:color="auto"/>
              <w:right w:val="single" w:sz="4" w:space="0" w:color="auto"/>
            </w:tcBorders>
            <w:shd w:val="clear" w:color="000000" w:fill="D9D9D9"/>
            <w:vAlign w:val="center"/>
            <w:hideMark/>
          </w:tcPr>
          <w:p w14:paraId="2012C238" w14:textId="77777777" w:rsidR="00FA2A38" w:rsidRPr="00FA2A38" w:rsidRDefault="00FA2A38" w:rsidP="009F3F1D">
            <w:pPr>
              <w:pStyle w:val="Tabletext1"/>
            </w:pPr>
            <w:r w:rsidRPr="00FA2A38">
              <w:t> </w:t>
            </w:r>
          </w:p>
        </w:tc>
      </w:tr>
      <w:tr w:rsidR="00FA2A38" w:rsidRPr="00FA2A38" w14:paraId="09F4CA5D" w14:textId="77777777" w:rsidTr="005B16C7">
        <w:trPr>
          <w:trHeight w:val="6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5BDD384F" w14:textId="3E6826FE" w:rsidR="00FA2A38" w:rsidRPr="00FA2A38" w:rsidRDefault="00FA2A38" w:rsidP="00650769">
            <w:pPr>
              <w:pStyle w:val="Tabletext1"/>
            </w:pPr>
            <w:r w:rsidRPr="00FA2A38">
              <w:t xml:space="preserve">NONRESECTABLE PRIMARY LUNG CANCER OR PULMONARY METASTATIC DISEASE, destruction of </w:t>
            </w:r>
            <w:r w:rsidR="006D0335">
              <w:t>1–3</w:t>
            </w:r>
            <w:r w:rsidR="00650769">
              <w:t>by MTA</w:t>
            </w:r>
            <w:r w:rsidRPr="00FA2A38">
              <w:t xml:space="preserve"> with curative or palliative intent, including any associated imaging services</w:t>
            </w:r>
          </w:p>
        </w:tc>
        <w:tc>
          <w:tcPr>
            <w:tcW w:w="858" w:type="pct"/>
            <w:tcBorders>
              <w:top w:val="nil"/>
              <w:left w:val="nil"/>
              <w:bottom w:val="single" w:sz="4" w:space="0" w:color="auto"/>
              <w:right w:val="single" w:sz="4" w:space="0" w:color="auto"/>
            </w:tcBorders>
            <w:shd w:val="clear" w:color="auto" w:fill="auto"/>
            <w:vAlign w:val="center"/>
            <w:hideMark/>
          </w:tcPr>
          <w:p w14:paraId="50C61CD8" w14:textId="77777777" w:rsidR="00FA2A38" w:rsidRPr="00FA2A38" w:rsidRDefault="00FA2A38" w:rsidP="009F3F1D">
            <w:pPr>
              <w:pStyle w:val="Tabletext1"/>
            </w:pPr>
            <w:r w:rsidRPr="00FA2A38">
              <w:t>Radiologist, delivered to inpatient</w:t>
            </w:r>
          </w:p>
        </w:tc>
        <w:tc>
          <w:tcPr>
            <w:tcW w:w="561" w:type="pct"/>
            <w:tcBorders>
              <w:top w:val="nil"/>
              <w:left w:val="nil"/>
              <w:bottom w:val="single" w:sz="4" w:space="0" w:color="auto"/>
              <w:right w:val="single" w:sz="4" w:space="0" w:color="auto"/>
            </w:tcBorders>
            <w:shd w:val="clear" w:color="auto" w:fill="auto"/>
            <w:vAlign w:val="center"/>
            <w:hideMark/>
          </w:tcPr>
          <w:p w14:paraId="5B4D64C2" w14:textId="77777777" w:rsidR="00FA2A38" w:rsidRPr="00FA2A38" w:rsidRDefault="00FA2A38" w:rsidP="009F3F1D">
            <w:pPr>
              <w:pStyle w:val="Tabletext1"/>
            </w:pPr>
            <w:r w:rsidRPr="00FA2A38">
              <w:t>1,300.00</w:t>
            </w:r>
          </w:p>
        </w:tc>
        <w:tc>
          <w:tcPr>
            <w:tcW w:w="489" w:type="pct"/>
            <w:tcBorders>
              <w:top w:val="nil"/>
              <w:left w:val="nil"/>
              <w:bottom w:val="single" w:sz="4" w:space="0" w:color="auto"/>
              <w:right w:val="single" w:sz="4" w:space="0" w:color="auto"/>
            </w:tcBorders>
            <w:shd w:val="clear" w:color="auto" w:fill="auto"/>
            <w:vAlign w:val="center"/>
            <w:hideMark/>
          </w:tcPr>
          <w:p w14:paraId="431F3B98"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203E1D3F" w14:textId="77777777" w:rsidR="00FA2A38" w:rsidRPr="00FA2A38" w:rsidRDefault="00FA2A38" w:rsidP="009F3F1D">
            <w:pPr>
              <w:pStyle w:val="Tabletext1"/>
            </w:pPr>
            <w:r w:rsidRPr="00FA2A38">
              <w:t xml:space="preserve">Applicant. </w:t>
            </w:r>
          </w:p>
        </w:tc>
      </w:tr>
      <w:tr w:rsidR="00FA2A38" w:rsidRPr="00FA2A38" w14:paraId="2F48C1D8" w14:textId="77777777" w:rsidTr="005B16C7">
        <w:trPr>
          <w:trHeight w:val="102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0F040869" w14:textId="07D984BE" w:rsidR="00FA2A38" w:rsidRPr="00FA2A38" w:rsidRDefault="00FA2A38" w:rsidP="00016AF9">
            <w:pPr>
              <w:pStyle w:val="Tabletext1"/>
            </w:pPr>
            <w:r w:rsidRPr="00FA2A38">
              <w:t xml:space="preserve">NONRESECTABLE PRIMARY LUNG CANCER OR PULMONARY METASTATIC DISEASE, destruction of four or five lesions, by </w:t>
            </w:r>
            <w:r w:rsidR="00016AF9">
              <w:t>MTA</w:t>
            </w:r>
            <w:r w:rsidRPr="00FA2A38">
              <w:t xml:space="preserve"> with curative or palliative intent, including any associated imaging services</w:t>
            </w:r>
          </w:p>
        </w:tc>
        <w:tc>
          <w:tcPr>
            <w:tcW w:w="858" w:type="pct"/>
            <w:tcBorders>
              <w:top w:val="nil"/>
              <w:left w:val="nil"/>
              <w:bottom w:val="single" w:sz="4" w:space="0" w:color="auto"/>
              <w:right w:val="single" w:sz="4" w:space="0" w:color="auto"/>
            </w:tcBorders>
            <w:shd w:val="clear" w:color="auto" w:fill="auto"/>
            <w:vAlign w:val="center"/>
            <w:hideMark/>
          </w:tcPr>
          <w:p w14:paraId="28C36795" w14:textId="77777777" w:rsidR="00FA2A38" w:rsidRPr="00FA2A38" w:rsidRDefault="00FA2A38" w:rsidP="009F3F1D">
            <w:pPr>
              <w:pStyle w:val="Tabletext1"/>
            </w:pPr>
            <w:r w:rsidRPr="00FA2A38">
              <w:t>Radiologist, delivered to inpatient</w:t>
            </w:r>
          </w:p>
        </w:tc>
        <w:tc>
          <w:tcPr>
            <w:tcW w:w="561" w:type="pct"/>
            <w:tcBorders>
              <w:top w:val="nil"/>
              <w:left w:val="nil"/>
              <w:bottom w:val="single" w:sz="4" w:space="0" w:color="auto"/>
              <w:right w:val="single" w:sz="4" w:space="0" w:color="auto"/>
            </w:tcBorders>
            <w:shd w:val="clear" w:color="auto" w:fill="auto"/>
            <w:vAlign w:val="center"/>
            <w:hideMark/>
          </w:tcPr>
          <w:p w14:paraId="6B6984E3" w14:textId="77777777" w:rsidR="00FA2A38" w:rsidRPr="00FA2A38" w:rsidRDefault="00FA2A38" w:rsidP="009F3F1D">
            <w:pPr>
              <w:pStyle w:val="Tabletext1"/>
            </w:pPr>
            <w:r w:rsidRPr="00FA2A38">
              <w:t>1,600.00</w:t>
            </w:r>
          </w:p>
        </w:tc>
        <w:tc>
          <w:tcPr>
            <w:tcW w:w="489" w:type="pct"/>
            <w:tcBorders>
              <w:top w:val="nil"/>
              <w:left w:val="nil"/>
              <w:bottom w:val="single" w:sz="4" w:space="0" w:color="auto"/>
              <w:right w:val="single" w:sz="4" w:space="0" w:color="auto"/>
            </w:tcBorders>
            <w:shd w:val="clear" w:color="auto" w:fill="auto"/>
            <w:vAlign w:val="center"/>
            <w:hideMark/>
          </w:tcPr>
          <w:p w14:paraId="4A1BD66D"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28FDE50C" w14:textId="77777777" w:rsidR="00FA2A38" w:rsidRPr="00FA2A38" w:rsidRDefault="00FA2A38" w:rsidP="009F3F1D">
            <w:pPr>
              <w:pStyle w:val="Tabletext1"/>
            </w:pPr>
            <w:r w:rsidRPr="00FA2A38">
              <w:t>Applicant</w:t>
            </w:r>
          </w:p>
        </w:tc>
      </w:tr>
      <w:tr w:rsidR="00FA2A38" w:rsidRPr="00FA2A38" w14:paraId="642E9047" w14:textId="77777777" w:rsidTr="005B16C7">
        <w:trPr>
          <w:trHeight w:val="6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1541560F" w14:textId="063C8050" w:rsidR="00FA2A38" w:rsidRPr="00FA2A38" w:rsidRDefault="00FA2A38" w:rsidP="00016AF9">
            <w:pPr>
              <w:pStyle w:val="Tabletext1"/>
            </w:pPr>
            <w:r w:rsidRPr="00FA2A38">
              <w:t xml:space="preserve">NONRESECTABLE PRIMARY LUNG CANCER OR PULMONARY METASTATIC DISEASE, destruction of </w:t>
            </w:r>
            <w:r w:rsidR="006D0335">
              <w:t>&gt;5</w:t>
            </w:r>
            <w:r w:rsidRPr="00FA2A38">
              <w:t xml:space="preserve"> lesions, by </w:t>
            </w:r>
            <w:r w:rsidR="00016AF9">
              <w:t xml:space="preserve">MTA </w:t>
            </w:r>
            <w:r w:rsidRPr="00FA2A38">
              <w:t>with curative or palliative intent, including any associated imaging services</w:t>
            </w:r>
          </w:p>
        </w:tc>
        <w:tc>
          <w:tcPr>
            <w:tcW w:w="858" w:type="pct"/>
            <w:tcBorders>
              <w:top w:val="nil"/>
              <w:left w:val="nil"/>
              <w:bottom w:val="single" w:sz="4" w:space="0" w:color="auto"/>
              <w:right w:val="single" w:sz="4" w:space="0" w:color="auto"/>
            </w:tcBorders>
            <w:shd w:val="clear" w:color="auto" w:fill="auto"/>
            <w:vAlign w:val="center"/>
            <w:hideMark/>
          </w:tcPr>
          <w:p w14:paraId="068F4815" w14:textId="77777777" w:rsidR="00FA2A38" w:rsidRPr="00FA2A38" w:rsidRDefault="00FA2A38" w:rsidP="009F3F1D">
            <w:pPr>
              <w:pStyle w:val="Tabletext1"/>
            </w:pPr>
            <w:r w:rsidRPr="00FA2A38">
              <w:t>Radiologist, delivered to inpatient</w:t>
            </w:r>
          </w:p>
        </w:tc>
        <w:tc>
          <w:tcPr>
            <w:tcW w:w="561" w:type="pct"/>
            <w:tcBorders>
              <w:top w:val="nil"/>
              <w:left w:val="nil"/>
              <w:bottom w:val="single" w:sz="4" w:space="0" w:color="auto"/>
              <w:right w:val="single" w:sz="4" w:space="0" w:color="auto"/>
            </w:tcBorders>
            <w:shd w:val="clear" w:color="auto" w:fill="auto"/>
            <w:vAlign w:val="center"/>
            <w:hideMark/>
          </w:tcPr>
          <w:p w14:paraId="41CCFDCF" w14:textId="77777777" w:rsidR="00FA2A38" w:rsidRPr="00FA2A38" w:rsidRDefault="00FA2A38" w:rsidP="009F3F1D">
            <w:pPr>
              <w:pStyle w:val="Tabletext1"/>
            </w:pPr>
            <w:r w:rsidRPr="00FA2A38">
              <w:t>2,000.00</w:t>
            </w:r>
          </w:p>
        </w:tc>
        <w:tc>
          <w:tcPr>
            <w:tcW w:w="489" w:type="pct"/>
            <w:tcBorders>
              <w:top w:val="nil"/>
              <w:left w:val="nil"/>
              <w:bottom w:val="single" w:sz="4" w:space="0" w:color="auto"/>
              <w:right w:val="single" w:sz="4" w:space="0" w:color="auto"/>
            </w:tcBorders>
            <w:shd w:val="clear" w:color="auto" w:fill="auto"/>
            <w:vAlign w:val="center"/>
            <w:hideMark/>
          </w:tcPr>
          <w:p w14:paraId="7031C02B"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3FA626E2" w14:textId="77777777" w:rsidR="00FA2A38" w:rsidRPr="00FA2A38" w:rsidRDefault="00FA2A38" w:rsidP="009F3F1D">
            <w:pPr>
              <w:pStyle w:val="Tabletext1"/>
            </w:pPr>
            <w:r w:rsidRPr="00FA2A38">
              <w:t>Applicant</w:t>
            </w:r>
          </w:p>
        </w:tc>
      </w:tr>
      <w:tr w:rsidR="00FA2A38" w:rsidRPr="00FA2A38" w14:paraId="192355E1" w14:textId="77777777" w:rsidTr="005B16C7">
        <w:trPr>
          <w:trHeight w:val="418"/>
        </w:trPr>
        <w:tc>
          <w:tcPr>
            <w:tcW w:w="2294" w:type="pct"/>
            <w:tcBorders>
              <w:top w:val="nil"/>
              <w:left w:val="single" w:sz="4" w:space="0" w:color="auto"/>
              <w:bottom w:val="single" w:sz="4" w:space="0" w:color="auto"/>
              <w:right w:val="single" w:sz="4" w:space="0" w:color="auto"/>
            </w:tcBorders>
            <w:shd w:val="clear" w:color="auto" w:fill="auto"/>
            <w:vAlign w:val="center"/>
          </w:tcPr>
          <w:p w14:paraId="6961EE60" w14:textId="77777777" w:rsidR="00FA2A38" w:rsidRPr="00FA2A38" w:rsidRDefault="00FA2A38" w:rsidP="009F3F1D">
            <w:pPr>
              <w:pStyle w:val="Tabletext1"/>
            </w:pPr>
            <w:r w:rsidRPr="00FA2A38">
              <w:t>Pre-anaesthesia consultation. Consultations comprise 4 time-based items utilising 15 minute increments up to and exceeding 45 minutes</w:t>
            </w:r>
          </w:p>
        </w:tc>
        <w:tc>
          <w:tcPr>
            <w:tcW w:w="858" w:type="pct"/>
            <w:tcBorders>
              <w:top w:val="nil"/>
              <w:left w:val="nil"/>
              <w:bottom w:val="single" w:sz="4" w:space="0" w:color="auto"/>
              <w:right w:val="single" w:sz="4" w:space="0" w:color="auto"/>
            </w:tcBorders>
            <w:shd w:val="clear" w:color="auto" w:fill="auto"/>
            <w:vAlign w:val="center"/>
          </w:tcPr>
          <w:p w14:paraId="6D02B901" w14:textId="77777777" w:rsidR="00FA2A38" w:rsidRPr="00FA2A38" w:rsidRDefault="00FA2A38" w:rsidP="009F3F1D">
            <w:pPr>
              <w:pStyle w:val="Tabletext1"/>
            </w:pPr>
            <w:r w:rsidRPr="00FA2A38">
              <w:t>Anaesthesiologist, delivered to inpatient</w:t>
            </w:r>
          </w:p>
        </w:tc>
        <w:tc>
          <w:tcPr>
            <w:tcW w:w="561" w:type="pct"/>
            <w:tcBorders>
              <w:top w:val="nil"/>
              <w:left w:val="nil"/>
              <w:bottom w:val="single" w:sz="4" w:space="0" w:color="auto"/>
              <w:right w:val="single" w:sz="4" w:space="0" w:color="auto"/>
            </w:tcBorders>
            <w:shd w:val="clear" w:color="auto" w:fill="auto"/>
            <w:vAlign w:val="center"/>
          </w:tcPr>
          <w:p w14:paraId="1C805D4B" w14:textId="77777777" w:rsidR="00FA2A38" w:rsidRPr="00FA2A38" w:rsidRDefault="00FA2A38" w:rsidP="009F3F1D">
            <w:pPr>
              <w:pStyle w:val="Tabletext1"/>
            </w:pPr>
            <w:r w:rsidRPr="00FA2A38">
              <w:t>99.48</w:t>
            </w:r>
          </w:p>
        </w:tc>
        <w:tc>
          <w:tcPr>
            <w:tcW w:w="489" w:type="pct"/>
            <w:tcBorders>
              <w:top w:val="nil"/>
              <w:left w:val="nil"/>
              <w:bottom w:val="single" w:sz="4" w:space="0" w:color="auto"/>
              <w:right w:val="single" w:sz="4" w:space="0" w:color="auto"/>
            </w:tcBorders>
            <w:shd w:val="clear" w:color="auto" w:fill="auto"/>
            <w:vAlign w:val="center"/>
          </w:tcPr>
          <w:p w14:paraId="0387B887"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tcPr>
          <w:p w14:paraId="08BEC1F4" w14:textId="77777777" w:rsidR="00FA2A38" w:rsidRPr="00FA2A38" w:rsidRDefault="00FA2A38" w:rsidP="009F3F1D">
            <w:pPr>
              <w:pStyle w:val="Tabletext1"/>
            </w:pPr>
            <w:r w:rsidRPr="00FA2A38">
              <w:t>Mean for MBS items 17610, 17615, 17620, 17625</w:t>
            </w:r>
          </w:p>
        </w:tc>
      </w:tr>
      <w:tr w:rsidR="00FA2A38" w:rsidRPr="00FA2A38" w14:paraId="20EF5CF5" w14:textId="77777777" w:rsidTr="005B16C7">
        <w:trPr>
          <w:trHeight w:val="510"/>
        </w:trPr>
        <w:tc>
          <w:tcPr>
            <w:tcW w:w="2294" w:type="pct"/>
            <w:tcBorders>
              <w:top w:val="nil"/>
              <w:left w:val="single" w:sz="4" w:space="0" w:color="auto"/>
              <w:bottom w:val="single" w:sz="4" w:space="0" w:color="auto"/>
              <w:right w:val="single" w:sz="4" w:space="0" w:color="auto"/>
            </w:tcBorders>
            <w:shd w:val="clear" w:color="auto" w:fill="auto"/>
            <w:vAlign w:val="center"/>
          </w:tcPr>
          <w:p w14:paraId="7BA260F7" w14:textId="77777777" w:rsidR="00FA2A38" w:rsidRPr="00FA2A38" w:rsidRDefault="00FA2A38" w:rsidP="009F3F1D">
            <w:pPr>
              <w:pStyle w:val="Tabletext1"/>
            </w:pPr>
            <w:r w:rsidRPr="00FA2A38">
              <w:lastRenderedPageBreak/>
              <w:t>Referred consultation. Consultations comprise 4 time-based items utilising 15 minute increments up to and exceeding 45 minutes</w:t>
            </w:r>
          </w:p>
        </w:tc>
        <w:tc>
          <w:tcPr>
            <w:tcW w:w="858" w:type="pct"/>
            <w:tcBorders>
              <w:top w:val="nil"/>
              <w:left w:val="nil"/>
              <w:bottom w:val="single" w:sz="4" w:space="0" w:color="auto"/>
              <w:right w:val="single" w:sz="4" w:space="0" w:color="auto"/>
            </w:tcBorders>
            <w:shd w:val="clear" w:color="auto" w:fill="auto"/>
            <w:vAlign w:val="center"/>
          </w:tcPr>
          <w:p w14:paraId="1F6EE7D5" w14:textId="77777777" w:rsidR="00FA2A38" w:rsidRPr="00FA2A38" w:rsidRDefault="00FA2A38" w:rsidP="009F3F1D">
            <w:pPr>
              <w:pStyle w:val="Tabletext1"/>
            </w:pPr>
            <w:r w:rsidRPr="00FA2A38">
              <w:t>Anaesthesiologist, delivered to inpatient</w:t>
            </w:r>
          </w:p>
        </w:tc>
        <w:tc>
          <w:tcPr>
            <w:tcW w:w="561" w:type="pct"/>
            <w:tcBorders>
              <w:top w:val="nil"/>
              <w:left w:val="nil"/>
              <w:bottom w:val="single" w:sz="4" w:space="0" w:color="auto"/>
              <w:right w:val="single" w:sz="4" w:space="0" w:color="auto"/>
            </w:tcBorders>
            <w:shd w:val="clear" w:color="auto" w:fill="auto"/>
            <w:vAlign w:val="center"/>
          </w:tcPr>
          <w:p w14:paraId="7CC092D8" w14:textId="77777777" w:rsidR="00FA2A38" w:rsidRPr="00FA2A38" w:rsidRDefault="00FA2A38" w:rsidP="009F3F1D">
            <w:pPr>
              <w:pStyle w:val="Tabletext1"/>
            </w:pPr>
            <w:r w:rsidRPr="00FA2A38">
              <w:t>99.48</w:t>
            </w:r>
          </w:p>
        </w:tc>
        <w:tc>
          <w:tcPr>
            <w:tcW w:w="489" w:type="pct"/>
            <w:tcBorders>
              <w:top w:val="nil"/>
              <w:left w:val="nil"/>
              <w:bottom w:val="single" w:sz="4" w:space="0" w:color="auto"/>
              <w:right w:val="single" w:sz="4" w:space="0" w:color="auto"/>
            </w:tcBorders>
            <w:shd w:val="clear" w:color="auto" w:fill="auto"/>
            <w:vAlign w:val="center"/>
          </w:tcPr>
          <w:p w14:paraId="02CE58B7"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tcPr>
          <w:p w14:paraId="412E1BDA" w14:textId="77777777" w:rsidR="00FA2A38" w:rsidRPr="00FA2A38" w:rsidRDefault="00FA2A38" w:rsidP="009F3F1D">
            <w:pPr>
              <w:pStyle w:val="Tabletext1"/>
            </w:pPr>
            <w:r w:rsidRPr="00FA2A38">
              <w:t>Mean of MBS items 17640, 17645, 17650, 17655</w:t>
            </w:r>
          </w:p>
        </w:tc>
      </w:tr>
      <w:tr w:rsidR="00FA2A38" w:rsidRPr="00FA2A38" w14:paraId="3570FBA7" w14:textId="77777777" w:rsidTr="005B16C7">
        <w:trPr>
          <w:trHeight w:val="510"/>
        </w:trPr>
        <w:tc>
          <w:tcPr>
            <w:tcW w:w="2294" w:type="pct"/>
            <w:tcBorders>
              <w:top w:val="nil"/>
              <w:left w:val="single" w:sz="4" w:space="0" w:color="auto"/>
              <w:bottom w:val="single" w:sz="4" w:space="0" w:color="auto"/>
              <w:right w:val="single" w:sz="4" w:space="0" w:color="auto"/>
            </w:tcBorders>
            <w:shd w:val="clear" w:color="auto" w:fill="auto"/>
            <w:vAlign w:val="center"/>
          </w:tcPr>
          <w:p w14:paraId="19CDD68F" w14:textId="77777777" w:rsidR="00FA2A38" w:rsidRPr="00FA2A38" w:rsidRDefault="00FA2A38" w:rsidP="009F3F1D">
            <w:pPr>
              <w:pStyle w:val="Tabletext1"/>
            </w:pPr>
            <w:r w:rsidRPr="00FA2A38">
              <w:t>Initiation of management of anaesthesia, for computerised axial tomography scanning, magnetic resonance scanning, digital subtraction angiography scanning</w:t>
            </w:r>
          </w:p>
        </w:tc>
        <w:tc>
          <w:tcPr>
            <w:tcW w:w="858" w:type="pct"/>
            <w:tcBorders>
              <w:top w:val="nil"/>
              <w:left w:val="nil"/>
              <w:bottom w:val="single" w:sz="4" w:space="0" w:color="auto"/>
              <w:right w:val="single" w:sz="4" w:space="0" w:color="auto"/>
            </w:tcBorders>
            <w:shd w:val="clear" w:color="auto" w:fill="auto"/>
            <w:vAlign w:val="center"/>
          </w:tcPr>
          <w:p w14:paraId="08ACDE3B" w14:textId="77777777" w:rsidR="00FA2A38" w:rsidRPr="00FA2A38" w:rsidRDefault="00FA2A38" w:rsidP="009F3F1D">
            <w:pPr>
              <w:pStyle w:val="Tabletext1"/>
            </w:pPr>
            <w:r w:rsidRPr="00FA2A38">
              <w:t>Anaesthesiologist, delivered to inpatient</w:t>
            </w:r>
          </w:p>
        </w:tc>
        <w:tc>
          <w:tcPr>
            <w:tcW w:w="561" w:type="pct"/>
            <w:tcBorders>
              <w:top w:val="nil"/>
              <w:left w:val="nil"/>
              <w:bottom w:val="single" w:sz="4" w:space="0" w:color="auto"/>
              <w:right w:val="single" w:sz="4" w:space="0" w:color="auto"/>
            </w:tcBorders>
            <w:shd w:val="clear" w:color="auto" w:fill="auto"/>
            <w:vAlign w:val="center"/>
          </w:tcPr>
          <w:p w14:paraId="6AD62C56" w14:textId="77777777" w:rsidR="00FA2A38" w:rsidRPr="00FA2A38" w:rsidRDefault="00FA2A38" w:rsidP="009F3F1D">
            <w:pPr>
              <w:pStyle w:val="Tabletext1"/>
            </w:pPr>
            <w:r w:rsidRPr="00FA2A38">
              <w:t>138.60</w:t>
            </w:r>
          </w:p>
        </w:tc>
        <w:tc>
          <w:tcPr>
            <w:tcW w:w="489" w:type="pct"/>
            <w:tcBorders>
              <w:top w:val="nil"/>
              <w:left w:val="nil"/>
              <w:bottom w:val="single" w:sz="4" w:space="0" w:color="auto"/>
              <w:right w:val="single" w:sz="4" w:space="0" w:color="auto"/>
            </w:tcBorders>
            <w:shd w:val="clear" w:color="auto" w:fill="auto"/>
            <w:vAlign w:val="center"/>
          </w:tcPr>
          <w:p w14:paraId="356FD435"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tcPr>
          <w:p w14:paraId="1E2CBD90" w14:textId="77777777" w:rsidR="00FA2A38" w:rsidRPr="00FA2A38" w:rsidRDefault="00FA2A38" w:rsidP="009F3F1D">
            <w:pPr>
              <w:pStyle w:val="Tabletext1"/>
            </w:pPr>
            <w:r w:rsidRPr="00FA2A38">
              <w:t>MBS item 21922</w:t>
            </w:r>
          </w:p>
        </w:tc>
      </w:tr>
      <w:tr w:rsidR="00FA2A38" w:rsidRPr="00FA2A38" w14:paraId="6F31825E" w14:textId="77777777" w:rsidTr="005B16C7">
        <w:trPr>
          <w:trHeight w:val="51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4A73144D" w14:textId="77777777" w:rsidR="00FA2A38" w:rsidRPr="00FA2A38" w:rsidRDefault="00FA2A38" w:rsidP="009F3F1D">
            <w:pPr>
              <w:pStyle w:val="Tabletext1"/>
            </w:pPr>
            <w:bookmarkStart w:id="392" w:name="RANGE!C19"/>
            <w:r w:rsidRPr="00FA2A38">
              <w:t xml:space="preserve">Administration of anaesthesia, 56 MINUTES TO 1:00 HOUR </w:t>
            </w:r>
            <w:bookmarkEnd w:id="392"/>
          </w:p>
        </w:tc>
        <w:tc>
          <w:tcPr>
            <w:tcW w:w="858" w:type="pct"/>
            <w:tcBorders>
              <w:top w:val="nil"/>
              <w:left w:val="nil"/>
              <w:bottom w:val="single" w:sz="4" w:space="0" w:color="auto"/>
              <w:right w:val="single" w:sz="4" w:space="0" w:color="auto"/>
            </w:tcBorders>
            <w:shd w:val="clear" w:color="auto" w:fill="auto"/>
            <w:vAlign w:val="center"/>
            <w:hideMark/>
          </w:tcPr>
          <w:p w14:paraId="3BDEB79F" w14:textId="77777777" w:rsidR="00FA2A38" w:rsidRPr="00FA2A38" w:rsidRDefault="00FA2A38" w:rsidP="009F3F1D">
            <w:pPr>
              <w:pStyle w:val="Tabletext1"/>
            </w:pPr>
            <w:r w:rsidRPr="00FA2A38">
              <w:t>Anaesthesiologist, delivered to inpatient</w:t>
            </w:r>
          </w:p>
        </w:tc>
        <w:tc>
          <w:tcPr>
            <w:tcW w:w="561" w:type="pct"/>
            <w:tcBorders>
              <w:top w:val="nil"/>
              <w:left w:val="nil"/>
              <w:bottom w:val="single" w:sz="4" w:space="0" w:color="auto"/>
              <w:right w:val="single" w:sz="4" w:space="0" w:color="auto"/>
            </w:tcBorders>
            <w:shd w:val="clear" w:color="auto" w:fill="auto"/>
            <w:vAlign w:val="center"/>
            <w:hideMark/>
          </w:tcPr>
          <w:p w14:paraId="6A372CF2" w14:textId="77777777" w:rsidR="00FA2A38" w:rsidRPr="00FA2A38" w:rsidRDefault="00FA2A38" w:rsidP="009F3F1D">
            <w:pPr>
              <w:pStyle w:val="Tabletext1"/>
            </w:pPr>
            <w:r w:rsidRPr="00FA2A38">
              <w:t>79.20</w:t>
            </w:r>
          </w:p>
        </w:tc>
        <w:tc>
          <w:tcPr>
            <w:tcW w:w="489" w:type="pct"/>
            <w:tcBorders>
              <w:top w:val="nil"/>
              <w:left w:val="nil"/>
              <w:bottom w:val="single" w:sz="4" w:space="0" w:color="auto"/>
              <w:right w:val="single" w:sz="4" w:space="0" w:color="auto"/>
            </w:tcBorders>
            <w:shd w:val="clear" w:color="auto" w:fill="auto"/>
            <w:vAlign w:val="center"/>
            <w:hideMark/>
          </w:tcPr>
          <w:p w14:paraId="61C4261D"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3CF71D72" w14:textId="77777777" w:rsidR="00FA2A38" w:rsidRPr="00FA2A38" w:rsidRDefault="00FA2A38" w:rsidP="009F3F1D">
            <w:pPr>
              <w:pStyle w:val="Tabletext1"/>
            </w:pPr>
            <w:r w:rsidRPr="00FA2A38">
              <w:t>MBS Item 22025</w:t>
            </w:r>
          </w:p>
        </w:tc>
      </w:tr>
      <w:tr w:rsidR="00FA2A38" w:rsidRPr="00FA2A38" w14:paraId="6DB3C2F6" w14:textId="77777777" w:rsidTr="005B16C7">
        <w:trPr>
          <w:trHeight w:val="51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596335D3" w14:textId="77777777" w:rsidR="00FA2A38" w:rsidRPr="00FA2A38" w:rsidRDefault="00FA2A38" w:rsidP="009F3F1D">
            <w:pPr>
              <w:pStyle w:val="Tabletext1"/>
            </w:pPr>
            <w:r w:rsidRPr="00FA2A38">
              <w:t>Anaesthesia modifier for patients over 70</w:t>
            </w:r>
          </w:p>
        </w:tc>
        <w:tc>
          <w:tcPr>
            <w:tcW w:w="858" w:type="pct"/>
            <w:tcBorders>
              <w:top w:val="nil"/>
              <w:left w:val="nil"/>
              <w:bottom w:val="single" w:sz="4" w:space="0" w:color="auto"/>
              <w:right w:val="single" w:sz="4" w:space="0" w:color="auto"/>
            </w:tcBorders>
            <w:shd w:val="clear" w:color="auto" w:fill="auto"/>
            <w:vAlign w:val="center"/>
            <w:hideMark/>
          </w:tcPr>
          <w:p w14:paraId="4E14CC39" w14:textId="77777777" w:rsidR="00FA2A38" w:rsidRPr="00FA2A38" w:rsidRDefault="00FA2A38" w:rsidP="009F3F1D">
            <w:pPr>
              <w:pStyle w:val="Tabletext1"/>
            </w:pPr>
            <w:r w:rsidRPr="00FA2A38">
              <w:t>Anaesthesiologist, delivered to inpatient</w:t>
            </w:r>
          </w:p>
        </w:tc>
        <w:tc>
          <w:tcPr>
            <w:tcW w:w="561" w:type="pct"/>
            <w:tcBorders>
              <w:top w:val="nil"/>
              <w:left w:val="nil"/>
              <w:bottom w:val="single" w:sz="4" w:space="0" w:color="auto"/>
              <w:right w:val="single" w:sz="4" w:space="0" w:color="auto"/>
            </w:tcBorders>
            <w:shd w:val="clear" w:color="auto" w:fill="auto"/>
            <w:vAlign w:val="center"/>
            <w:hideMark/>
          </w:tcPr>
          <w:p w14:paraId="0EEB881E" w14:textId="77777777" w:rsidR="00FA2A38" w:rsidRPr="00FA2A38" w:rsidRDefault="00FA2A38" w:rsidP="009F3F1D">
            <w:pPr>
              <w:pStyle w:val="Tabletext1"/>
            </w:pPr>
            <w:r w:rsidRPr="00FA2A38">
              <w:t>19.80</w:t>
            </w:r>
          </w:p>
        </w:tc>
        <w:tc>
          <w:tcPr>
            <w:tcW w:w="489" w:type="pct"/>
            <w:tcBorders>
              <w:top w:val="nil"/>
              <w:left w:val="nil"/>
              <w:bottom w:val="single" w:sz="4" w:space="0" w:color="auto"/>
              <w:right w:val="single" w:sz="4" w:space="0" w:color="auto"/>
            </w:tcBorders>
            <w:shd w:val="clear" w:color="auto" w:fill="auto"/>
            <w:vAlign w:val="center"/>
            <w:hideMark/>
          </w:tcPr>
          <w:p w14:paraId="7CD19F77"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10DF9DC2" w14:textId="77777777" w:rsidR="00FA2A38" w:rsidRPr="00FA2A38" w:rsidRDefault="00FA2A38" w:rsidP="009F3F1D">
            <w:pPr>
              <w:pStyle w:val="Tabletext1"/>
            </w:pPr>
            <w:r w:rsidRPr="00FA2A38">
              <w:t>MBS Item 25015</w:t>
            </w:r>
          </w:p>
        </w:tc>
      </w:tr>
      <w:tr w:rsidR="00FA2A38" w:rsidRPr="00FA2A38" w14:paraId="6C22E807" w14:textId="77777777" w:rsidTr="005B16C7">
        <w:trPr>
          <w:trHeight w:val="51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244B4D02" w14:textId="77777777" w:rsidR="00FA2A38" w:rsidRPr="00FA2A38" w:rsidRDefault="00FA2A38" w:rsidP="009F3F1D">
            <w:pPr>
              <w:pStyle w:val="Tabletext1"/>
            </w:pPr>
            <w:r w:rsidRPr="00FA2A38">
              <w:t>Blood pressure monitoring</w:t>
            </w:r>
          </w:p>
        </w:tc>
        <w:tc>
          <w:tcPr>
            <w:tcW w:w="858" w:type="pct"/>
            <w:tcBorders>
              <w:top w:val="nil"/>
              <w:left w:val="nil"/>
              <w:bottom w:val="single" w:sz="4" w:space="0" w:color="auto"/>
              <w:right w:val="single" w:sz="4" w:space="0" w:color="auto"/>
            </w:tcBorders>
            <w:shd w:val="clear" w:color="auto" w:fill="auto"/>
            <w:vAlign w:val="center"/>
            <w:hideMark/>
          </w:tcPr>
          <w:p w14:paraId="77D60018" w14:textId="77777777" w:rsidR="00FA2A38" w:rsidRPr="00FA2A38" w:rsidRDefault="00FA2A38" w:rsidP="009F3F1D">
            <w:pPr>
              <w:pStyle w:val="Tabletext1"/>
            </w:pPr>
            <w:r w:rsidRPr="00FA2A38">
              <w:t>Anaesthesiologist, delivered to inpatient</w:t>
            </w:r>
          </w:p>
        </w:tc>
        <w:tc>
          <w:tcPr>
            <w:tcW w:w="561" w:type="pct"/>
            <w:tcBorders>
              <w:top w:val="nil"/>
              <w:left w:val="nil"/>
              <w:bottom w:val="single" w:sz="4" w:space="0" w:color="auto"/>
              <w:right w:val="single" w:sz="4" w:space="0" w:color="auto"/>
            </w:tcBorders>
            <w:shd w:val="clear" w:color="auto" w:fill="auto"/>
            <w:vAlign w:val="center"/>
            <w:hideMark/>
          </w:tcPr>
          <w:p w14:paraId="67CE85AA" w14:textId="77777777" w:rsidR="00FA2A38" w:rsidRPr="00FA2A38" w:rsidRDefault="00FA2A38" w:rsidP="009F3F1D">
            <w:pPr>
              <w:pStyle w:val="Tabletext1"/>
            </w:pPr>
            <w:r w:rsidRPr="00FA2A38">
              <w:t>59.40</w:t>
            </w:r>
          </w:p>
        </w:tc>
        <w:tc>
          <w:tcPr>
            <w:tcW w:w="489" w:type="pct"/>
            <w:tcBorders>
              <w:top w:val="nil"/>
              <w:left w:val="nil"/>
              <w:bottom w:val="single" w:sz="4" w:space="0" w:color="auto"/>
              <w:right w:val="single" w:sz="4" w:space="0" w:color="auto"/>
            </w:tcBorders>
            <w:shd w:val="clear" w:color="auto" w:fill="auto"/>
            <w:vAlign w:val="center"/>
            <w:hideMark/>
          </w:tcPr>
          <w:p w14:paraId="78EAA8CA"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5D5A4C03" w14:textId="77777777" w:rsidR="00FA2A38" w:rsidRPr="00FA2A38" w:rsidRDefault="00FA2A38" w:rsidP="009F3F1D">
            <w:pPr>
              <w:pStyle w:val="Tabletext1"/>
            </w:pPr>
            <w:r w:rsidRPr="00FA2A38">
              <w:t>MBS Item 22012</w:t>
            </w:r>
          </w:p>
        </w:tc>
      </w:tr>
      <w:tr w:rsidR="00FA2A38" w:rsidRPr="00FA2A38" w14:paraId="0C6BD460" w14:textId="77777777" w:rsidTr="005B16C7">
        <w:trPr>
          <w:trHeight w:val="51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122C45B0" w14:textId="77777777" w:rsidR="00FA2A38" w:rsidRPr="00FA2A38" w:rsidRDefault="00FA2A38" w:rsidP="009F3F1D">
            <w:pPr>
              <w:pStyle w:val="Tabletext1"/>
            </w:pPr>
            <w:r w:rsidRPr="00FA2A38">
              <w:t xml:space="preserve">CHEST (lung fields) by direct radiography (NR) </w:t>
            </w:r>
          </w:p>
        </w:tc>
        <w:tc>
          <w:tcPr>
            <w:tcW w:w="858" w:type="pct"/>
            <w:tcBorders>
              <w:top w:val="nil"/>
              <w:left w:val="nil"/>
              <w:bottom w:val="single" w:sz="4" w:space="0" w:color="auto"/>
              <w:right w:val="single" w:sz="4" w:space="0" w:color="auto"/>
            </w:tcBorders>
            <w:shd w:val="clear" w:color="auto" w:fill="auto"/>
            <w:vAlign w:val="center"/>
            <w:hideMark/>
          </w:tcPr>
          <w:p w14:paraId="477A2F34" w14:textId="77777777" w:rsidR="00FA2A38" w:rsidRPr="00FA2A38" w:rsidRDefault="00FA2A38" w:rsidP="009F3F1D">
            <w:pPr>
              <w:pStyle w:val="Tabletext1"/>
            </w:pPr>
            <w:r w:rsidRPr="00FA2A38">
              <w:t>Radiologist, delivered to inpatient</w:t>
            </w:r>
          </w:p>
        </w:tc>
        <w:tc>
          <w:tcPr>
            <w:tcW w:w="561" w:type="pct"/>
            <w:tcBorders>
              <w:top w:val="nil"/>
              <w:left w:val="nil"/>
              <w:bottom w:val="single" w:sz="4" w:space="0" w:color="auto"/>
              <w:right w:val="single" w:sz="4" w:space="0" w:color="auto"/>
            </w:tcBorders>
            <w:shd w:val="clear" w:color="auto" w:fill="auto"/>
            <w:vAlign w:val="center"/>
            <w:hideMark/>
          </w:tcPr>
          <w:p w14:paraId="3571B58F" w14:textId="77777777" w:rsidR="00FA2A38" w:rsidRPr="00FA2A38" w:rsidRDefault="00FA2A38" w:rsidP="009F3F1D">
            <w:pPr>
              <w:pStyle w:val="Tabletext1"/>
            </w:pPr>
            <w:r w:rsidRPr="00FA2A38">
              <w:t>35.35</w:t>
            </w:r>
          </w:p>
        </w:tc>
        <w:tc>
          <w:tcPr>
            <w:tcW w:w="489" w:type="pct"/>
            <w:tcBorders>
              <w:top w:val="nil"/>
              <w:left w:val="nil"/>
              <w:bottom w:val="single" w:sz="4" w:space="0" w:color="auto"/>
              <w:right w:val="single" w:sz="4" w:space="0" w:color="auto"/>
            </w:tcBorders>
            <w:shd w:val="clear" w:color="auto" w:fill="auto"/>
            <w:vAlign w:val="center"/>
            <w:hideMark/>
          </w:tcPr>
          <w:p w14:paraId="664EF65B" w14:textId="77777777" w:rsidR="00FA2A38" w:rsidRPr="00FA2A38" w:rsidRDefault="00FA2A38" w:rsidP="009F3F1D">
            <w:pPr>
              <w:pStyle w:val="Tabletext1"/>
            </w:pPr>
            <w:r w:rsidRPr="00FA2A38">
              <w:t>2</w:t>
            </w:r>
          </w:p>
        </w:tc>
        <w:tc>
          <w:tcPr>
            <w:tcW w:w="797" w:type="pct"/>
            <w:tcBorders>
              <w:top w:val="nil"/>
              <w:left w:val="nil"/>
              <w:bottom w:val="single" w:sz="4" w:space="0" w:color="auto"/>
              <w:right w:val="single" w:sz="4" w:space="0" w:color="auto"/>
            </w:tcBorders>
            <w:shd w:val="clear" w:color="auto" w:fill="auto"/>
            <w:vAlign w:val="center"/>
            <w:hideMark/>
          </w:tcPr>
          <w:p w14:paraId="7E4DDEDE" w14:textId="77777777" w:rsidR="00FA2A38" w:rsidRPr="00FA2A38" w:rsidRDefault="00FA2A38" w:rsidP="009F3F1D">
            <w:pPr>
              <w:pStyle w:val="Tabletext1"/>
            </w:pPr>
            <w:r w:rsidRPr="00FA2A38">
              <w:t>MBS Item 58500</w:t>
            </w:r>
          </w:p>
        </w:tc>
      </w:tr>
      <w:tr w:rsidR="00FA2A38" w:rsidRPr="00FA2A38" w14:paraId="5BF7A466" w14:textId="77777777" w:rsidTr="005B16C7">
        <w:trPr>
          <w:trHeight w:val="270"/>
        </w:trPr>
        <w:tc>
          <w:tcPr>
            <w:tcW w:w="2294" w:type="pct"/>
            <w:tcBorders>
              <w:top w:val="nil"/>
              <w:left w:val="single" w:sz="4" w:space="0" w:color="auto"/>
              <w:bottom w:val="single" w:sz="4" w:space="0" w:color="auto"/>
            </w:tcBorders>
            <w:shd w:val="clear" w:color="000000" w:fill="D9D9D9"/>
            <w:vAlign w:val="center"/>
            <w:hideMark/>
          </w:tcPr>
          <w:p w14:paraId="1FBF25BE" w14:textId="77777777" w:rsidR="00FA2A38" w:rsidRPr="009F3F1D" w:rsidRDefault="00FA2A38" w:rsidP="009F3F1D">
            <w:pPr>
              <w:pStyle w:val="Tabletext1"/>
              <w:rPr>
                <w:b/>
              </w:rPr>
            </w:pPr>
            <w:r w:rsidRPr="009F3F1D">
              <w:rPr>
                <w:b/>
              </w:rPr>
              <w:t>Medical services – post intervention follow-up</w:t>
            </w:r>
          </w:p>
        </w:tc>
        <w:tc>
          <w:tcPr>
            <w:tcW w:w="858" w:type="pct"/>
            <w:tcBorders>
              <w:top w:val="single" w:sz="4" w:space="0" w:color="auto"/>
              <w:bottom w:val="single" w:sz="4" w:space="0" w:color="auto"/>
            </w:tcBorders>
            <w:shd w:val="clear" w:color="000000" w:fill="D9D9D9"/>
            <w:vAlign w:val="center"/>
            <w:hideMark/>
          </w:tcPr>
          <w:p w14:paraId="0317ACB7" w14:textId="31B675DA" w:rsidR="00FA2A38" w:rsidRPr="00FA2A38" w:rsidRDefault="00FA2A38" w:rsidP="009F3F1D">
            <w:pPr>
              <w:pStyle w:val="Tabletext1"/>
            </w:pPr>
          </w:p>
        </w:tc>
        <w:tc>
          <w:tcPr>
            <w:tcW w:w="561" w:type="pct"/>
            <w:tcBorders>
              <w:top w:val="single" w:sz="4" w:space="0" w:color="auto"/>
              <w:bottom w:val="single" w:sz="4" w:space="0" w:color="auto"/>
            </w:tcBorders>
            <w:shd w:val="clear" w:color="000000" w:fill="D9D9D9"/>
            <w:vAlign w:val="center"/>
            <w:hideMark/>
          </w:tcPr>
          <w:p w14:paraId="3E498EEB" w14:textId="62382160" w:rsidR="00FA2A38" w:rsidRPr="00FA2A38" w:rsidRDefault="00FA2A38" w:rsidP="009F3F1D">
            <w:pPr>
              <w:pStyle w:val="Tabletext1"/>
            </w:pPr>
          </w:p>
        </w:tc>
        <w:tc>
          <w:tcPr>
            <w:tcW w:w="489" w:type="pct"/>
            <w:tcBorders>
              <w:top w:val="single" w:sz="4" w:space="0" w:color="auto"/>
              <w:bottom w:val="single" w:sz="4" w:space="0" w:color="auto"/>
            </w:tcBorders>
            <w:shd w:val="clear" w:color="000000" w:fill="D9D9D9"/>
            <w:vAlign w:val="center"/>
            <w:hideMark/>
          </w:tcPr>
          <w:p w14:paraId="26FCAE2F" w14:textId="58196B59" w:rsidR="00FA2A38" w:rsidRPr="00FA2A38" w:rsidRDefault="00FA2A38" w:rsidP="009F3F1D">
            <w:pPr>
              <w:pStyle w:val="Tabletext1"/>
            </w:pPr>
          </w:p>
        </w:tc>
        <w:tc>
          <w:tcPr>
            <w:tcW w:w="797" w:type="pct"/>
            <w:tcBorders>
              <w:top w:val="single" w:sz="4" w:space="0" w:color="auto"/>
              <w:bottom w:val="single" w:sz="4" w:space="0" w:color="auto"/>
              <w:right w:val="single" w:sz="4" w:space="0" w:color="auto"/>
            </w:tcBorders>
            <w:shd w:val="clear" w:color="000000" w:fill="D9D9D9"/>
            <w:vAlign w:val="center"/>
            <w:hideMark/>
          </w:tcPr>
          <w:p w14:paraId="46B2FF44" w14:textId="1E655D3B" w:rsidR="00FA2A38" w:rsidRPr="00FA2A38" w:rsidRDefault="00FA2A38" w:rsidP="009F3F1D">
            <w:pPr>
              <w:pStyle w:val="Tabletext1"/>
            </w:pPr>
          </w:p>
        </w:tc>
      </w:tr>
      <w:tr w:rsidR="00FA2A38" w:rsidRPr="00FA2A38" w14:paraId="295757FA" w14:textId="77777777" w:rsidTr="005B16C7">
        <w:trPr>
          <w:trHeight w:val="6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466ACEF2" w14:textId="77777777" w:rsidR="00FA2A38" w:rsidRPr="00FA2A38" w:rsidRDefault="00FA2A38" w:rsidP="009F3F1D">
            <w:pPr>
              <w:pStyle w:val="Tabletext1"/>
            </w:pPr>
            <w:r w:rsidRPr="00FA2A38">
              <w:t>Medical oncologist consultation</w:t>
            </w:r>
          </w:p>
        </w:tc>
        <w:tc>
          <w:tcPr>
            <w:tcW w:w="858" w:type="pct"/>
            <w:tcBorders>
              <w:top w:val="nil"/>
              <w:left w:val="nil"/>
              <w:bottom w:val="single" w:sz="4" w:space="0" w:color="auto"/>
              <w:right w:val="single" w:sz="4" w:space="0" w:color="auto"/>
            </w:tcBorders>
            <w:shd w:val="clear" w:color="auto" w:fill="auto"/>
            <w:vAlign w:val="center"/>
            <w:hideMark/>
          </w:tcPr>
          <w:p w14:paraId="0A91F75A" w14:textId="77777777" w:rsidR="00FA2A38" w:rsidRPr="00FA2A38" w:rsidRDefault="00FA2A38" w:rsidP="009F3F1D">
            <w:pPr>
              <w:pStyle w:val="Tabletext1"/>
            </w:pPr>
            <w:r w:rsidRPr="00FA2A38">
              <w:t>Outpatient</w:t>
            </w:r>
          </w:p>
        </w:tc>
        <w:tc>
          <w:tcPr>
            <w:tcW w:w="561" w:type="pct"/>
            <w:tcBorders>
              <w:top w:val="nil"/>
              <w:left w:val="nil"/>
              <w:bottom w:val="single" w:sz="4" w:space="0" w:color="auto"/>
              <w:right w:val="single" w:sz="4" w:space="0" w:color="auto"/>
            </w:tcBorders>
            <w:shd w:val="clear" w:color="auto" w:fill="auto"/>
            <w:vAlign w:val="center"/>
            <w:hideMark/>
          </w:tcPr>
          <w:p w14:paraId="1CCAFE94" w14:textId="77777777" w:rsidR="00FA2A38" w:rsidRPr="00FA2A38" w:rsidRDefault="00FA2A38" w:rsidP="009F3F1D">
            <w:pPr>
              <w:pStyle w:val="Tabletext1"/>
            </w:pPr>
            <w:r w:rsidRPr="00FA2A38">
              <w:t>75.50</w:t>
            </w:r>
          </w:p>
        </w:tc>
        <w:tc>
          <w:tcPr>
            <w:tcW w:w="489" w:type="pct"/>
            <w:tcBorders>
              <w:top w:val="nil"/>
              <w:left w:val="nil"/>
              <w:bottom w:val="single" w:sz="4" w:space="0" w:color="auto"/>
              <w:right w:val="single" w:sz="4" w:space="0" w:color="auto"/>
            </w:tcBorders>
            <w:shd w:val="clear" w:color="auto" w:fill="auto"/>
            <w:vAlign w:val="center"/>
            <w:hideMark/>
          </w:tcPr>
          <w:p w14:paraId="32954729"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23D7D01B" w14:textId="77777777" w:rsidR="00FA2A38" w:rsidRPr="00FA2A38" w:rsidRDefault="00FA2A38" w:rsidP="009F3F1D">
            <w:pPr>
              <w:pStyle w:val="Tabletext1"/>
            </w:pPr>
            <w:r w:rsidRPr="00FA2A38">
              <w:t>MBS Item 116</w:t>
            </w:r>
          </w:p>
        </w:tc>
      </w:tr>
      <w:tr w:rsidR="00FA2A38" w:rsidRPr="00FA2A38" w14:paraId="4819284B" w14:textId="77777777" w:rsidTr="005B16C7">
        <w:trPr>
          <w:trHeight w:val="6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16D6E631" w14:textId="77777777" w:rsidR="00FA2A38" w:rsidRPr="00FA2A38" w:rsidRDefault="00FA2A38" w:rsidP="009F3F1D">
            <w:pPr>
              <w:pStyle w:val="Tabletext1"/>
            </w:pPr>
            <w:r w:rsidRPr="00FA2A38">
              <w:t>COMPUTED TOMOGRAPHY - scan of chest, including lungs, mediastinum, chest wall and pleura, with or without scans of the upper abdomen, with intravenous contrast medium</w:t>
            </w:r>
          </w:p>
        </w:tc>
        <w:tc>
          <w:tcPr>
            <w:tcW w:w="858" w:type="pct"/>
            <w:tcBorders>
              <w:top w:val="nil"/>
              <w:left w:val="nil"/>
              <w:bottom w:val="single" w:sz="4" w:space="0" w:color="auto"/>
              <w:right w:val="single" w:sz="4" w:space="0" w:color="auto"/>
            </w:tcBorders>
            <w:shd w:val="clear" w:color="auto" w:fill="auto"/>
            <w:vAlign w:val="center"/>
            <w:hideMark/>
          </w:tcPr>
          <w:p w14:paraId="4D49AD82" w14:textId="77777777" w:rsidR="00FA2A38" w:rsidRPr="00FA2A38" w:rsidRDefault="00FA2A38" w:rsidP="009F3F1D">
            <w:pPr>
              <w:pStyle w:val="Tabletext1"/>
            </w:pPr>
            <w:r w:rsidRPr="00FA2A38">
              <w:t>Radiologist, as outpatient</w:t>
            </w:r>
          </w:p>
        </w:tc>
        <w:tc>
          <w:tcPr>
            <w:tcW w:w="561" w:type="pct"/>
            <w:tcBorders>
              <w:top w:val="nil"/>
              <w:left w:val="nil"/>
              <w:bottom w:val="single" w:sz="4" w:space="0" w:color="auto"/>
              <w:right w:val="single" w:sz="4" w:space="0" w:color="auto"/>
            </w:tcBorders>
            <w:shd w:val="clear" w:color="auto" w:fill="auto"/>
            <w:vAlign w:val="center"/>
            <w:hideMark/>
          </w:tcPr>
          <w:p w14:paraId="1E92278D" w14:textId="77777777" w:rsidR="00FA2A38" w:rsidRPr="00FA2A38" w:rsidRDefault="00FA2A38" w:rsidP="009F3F1D">
            <w:pPr>
              <w:pStyle w:val="Tabletext1"/>
            </w:pPr>
            <w:r w:rsidRPr="00FA2A38">
              <w:t>202.00</w:t>
            </w:r>
          </w:p>
        </w:tc>
        <w:tc>
          <w:tcPr>
            <w:tcW w:w="489" w:type="pct"/>
            <w:tcBorders>
              <w:top w:val="nil"/>
              <w:left w:val="nil"/>
              <w:bottom w:val="single" w:sz="4" w:space="0" w:color="auto"/>
              <w:right w:val="single" w:sz="4" w:space="0" w:color="auto"/>
            </w:tcBorders>
            <w:shd w:val="clear" w:color="auto" w:fill="auto"/>
            <w:vAlign w:val="center"/>
            <w:hideMark/>
          </w:tcPr>
          <w:p w14:paraId="6803FF19"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7C5E48BB" w14:textId="77777777" w:rsidR="00FA2A38" w:rsidRPr="00FA2A38" w:rsidRDefault="00FA2A38" w:rsidP="009F3F1D">
            <w:pPr>
              <w:pStyle w:val="Tabletext1"/>
            </w:pPr>
            <w:r w:rsidRPr="00FA2A38">
              <w:t>MBS Item 56347</w:t>
            </w:r>
          </w:p>
        </w:tc>
      </w:tr>
      <w:tr w:rsidR="00FA2A38" w:rsidRPr="00FA2A38" w14:paraId="5007C786" w14:textId="77777777" w:rsidTr="005B16C7">
        <w:trPr>
          <w:trHeight w:val="255"/>
        </w:trPr>
        <w:tc>
          <w:tcPr>
            <w:tcW w:w="2294" w:type="pct"/>
            <w:tcBorders>
              <w:top w:val="nil"/>
              <w:left w:val="single" w:sz="4" w:space="0" w:color="auto"/>
              <w:bottom w:val="single" w:sz="4" w:space="0" w:color="auto"/>
            </w:tcBorders>
            <w:shd w:val="clear" w:color="000000" w:fill="D9D9D9"/>
            <w:vAlign w:val="center"/>
            <w:hideMark/>
          </w:tcPr>
          <w:p w14:paraId="082B908E" w14:textId="77777777" w:rsidR="00FA2A38" w:rsidRPr="008B711E" w:rsidRDefault="00FA2A38" w:rsidP="009F3F1D">
            <w:pPr>
              <w:pStyle w:val="Tabletext1"/>
              <w:rPr>
                <w:b/>
              </w:rPr>
            </w:pPr>
            <w:r w:rsidRPr="008B711E">
              <w:rPr>
                <w:b/>
              </w:rPr>
              <w:t>Hospital services</w:t>
            </w:r>
          </w:p>
        </w:tc>
        <w:tc>
          <w:tcPr>
            <w:tcW w:w="858" w:type="pct"/>
            <w:tcBorders>
              <w:top w:val="single" w:sz="4" w:space="0" w:color="auto"/>
              <w:bottom w:val="single" w:sz="4" w:space="0" w:color="auto"/>
            </w:tcBorders>
            <w:shd w:val="clear" w:color="000000" w:fill="D9D9D9"/>
            <w:vAlign w:val="center"/>
            <w:hideMark/>
          </w:tcPr>
          <w:p w14:paraId="0A5539C2" w14:textId="77777777" w:rsidR="00FA2A38" w:rsidRPr="00FA2A38" w:rsidRDefault="00FA2A38" w:rsidP="009F3F1D">
            <w:pPr>
              <w:pStyle w:val="Tabletext1"/>
            </w:pPr>
            <w:r w:rsidRPr="00FA2A38">
              <w:t> </w:t>
            </w:r>
          </w:p>
        </w:tc>
        <w:tc>
          <w:tcPr>
            <w:tcW w:w="561" w:type="pct"/>
            <w:tcBorders>
              <w:top w:val="single" w:sz="4" w:space="0" w:color="auto"/>
              <w:bottom w:val="single" w:sz="4" w:space="0" w:color="auto"/>
            </w:tcBorders>
            <w:shd w:val="clear" w:color="000000" w:fill="D9D9D9"/>
            <w:vAlign w:val="center"/>
            <w:hideMark/>
          </w:tcPr>
          <w:p w14:paraId="0295745D" w14:textId="77777777" w:rsidR="00FA2A38" w:rsidRPr="00FA2A38" w:rsidRDefault="00FA2A38" w:rsidP="009F3F1D">
            <w:pPr>
              <w:pStyle w:val="Tabletext1"/>
            </w:pPr>
            <w:r w:rsidRPr="00FA2A38">
              <w:t> </w:t>
            </w:r>
          </w:p>
        </w:tc>
        <w:tc>
          <w:tcPr>
            <w:tcW w:w="489" w:type="pct"/>
            <w:tcBorders>
              <w:top w:val="single" w:sz="4" w:space="0" w:color="auto"/>
              <w:bottom w:val="single" w:sz="4" w:space="0" w:color="auto"/>
            </w:tcBorders>
            <w:shd w:val="clear" w:color="000000" w:fill="D9D9D9"/>
            <w:vAlign w:val="center"/>
            <w:hideMark/>
          </w:tcPr>
          <w:p w14:paraId="3A9DBFB2" w14:textId="77777777" w:rsidR="00FA2A38" w:rsidRPr="00FA2A38" w:rsidRDefault="00FA2A38" w:rsidP="009F3F1D">
            <w:pPr>
              <w:pStyle w:val="Tabletext1"/>
            </w:pPr>
            <w:r w:rsidRPr="00FA2A38">
              <w:t> </w:t>
            </w:r>
          </w:p>
        </w:tc>
        <w:tc>
          <w:tcPr>
            <w:tcW w:w="797" w:type="pct"/>
            <w:tcBorders>
              <w:top w:val="single" w:sz="4" w:space="0" w:color="auto"/>
              <w:bottom w:val="single" w:sz="4" w:space="0" w:color="auto"/>
              <w:right w:val="single" w:sz="4" w:space="0" w:color="auto"/>
            </w:tcBorders>
            <w:shd w:val="clear" w:color="000000" w:fill="D9D9D9"/>
            <w:vAlign w:val="center"/>
            <w:hideMark/>
          </w:tcPr>
          <w:p w14:paraId="50CFD413" w14:textId="77777777" w:rsidR="00FA2A38" w:rsidRPr="00FA2A38" w:rsidRDefault="00FA2A38" w:rsidP="009F3F1D">
            <w:pPr>
              <w:pStyle w:val="Tabletext1"/>
            </w:pPr>
            <w:r w:rsidRPr="00FA2A38">
              <w:t> </w:t>
            </w:r>
          </w:p>
        </w:tc>
      </w:tr>
      <w:tr w:rsidR="00FA2A38" w:rsidRPr="00FA2A38" w14:paraId="4BEC6366" w14:textId="77777777" w:rsidTr="005B16C7">
        <w:trPr>
          <w:trHeight w:val="102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557E4BBA" w14:textId="77777777" w:rsidR="00FA2A38" w:rsidRPr="00FA2A38" w:rsidRDefault="00FA2A38" w:rsidP="009F3F1D">
            <w:pPr>
              <w:pStyle w:val="Tabletext1"/>
            </w:pPr>
            <w:r w:rsidRPr="00FA2A38">
              <w:t>Nurse assistant – Year 2, $847.00 per week (July 2016). Hourly rate of $22.30 based on ordinary hours of work for each full time employee being 228 hours balanced over a six-week period. Cost: $22.3 based on average 1-hour input</w:t>
            </w:r>
          </w:p>
        </w:tc>
        <w:tc>
          <w:tcPr>
            <w:tcW w:w="858" w:type="pct"/>
            <w:tcBorders>
              <w:top w:val="nil"/>
              <w:left w:val="nil"/>
              <w:bottom w:val="single" w:sz="4" w:space="0" w:color="auto"/>
              <w:right w:val="single" w:sz="4" w:space="0" w:color="auto"/>
            </w:tcBorders>
            <w:shd w:val="clear" w:color="auto" w:fill="auto"/>
            <w:vAlign w:val="center"/>
            <w:hideMark/>
          </w:tcPr>
          <w:p w14:paraId="692BF58F" w14:textId="77777777" w:rsidR="00FA2A38" w:rsidRPr="00FA2A38" w:rsidRDefault="00FA2A38" w:rsidP="009F3F1D">
            <w:pPr>
              <w:pStyle w:val="Tabletext1"/>
            </w:pPr>
            <w:r w:rsidRPr="00FA2A38">
              <w:t>Assist with theatre, analgesia</w:t>
            </w:r>
          </w:p>
        </w:tc>
        <w:tc>
          <w:tcPr>
            <w:tcW w:w="561" w:type="pct"/>
            <w:tcBorders>
              <w:top w:val="nil"/>
              <w:left w:val="nil"/>
              <w:bottom w:val="single" w:sz="4" w:space="0" w:color="auto"/>
              <w:right w:val="single" w:sz="4" w:space="0" w:color="auto"/>
            </w:tcBorders>
            <w:shd w:val="clear" w:color="auto" w:fill="auto"/>
            <w:vAlign w:val="center"/>
            <w:hideMark/>
          </w:tcPr>
          <w:p w14:paraId="56786ABB" w14:textId="77777777" w:rsidR="00FA2A38" w:rsidRPr="00FA2A38" w:rsidRDefault="00FA2A38" w:rsidP="009F3F1D">
            <w:pPr>
              <w:pStyle w:val="Tabletext1"/>
            </w:pPr>
            <w:r w:rsidRPr="00FA2A38">
              <w:t>22.30</w:t>
            </w:r>
          </w:p>
        </w:tc>
        <w:tc>
          <w:tcPr>
            <w:tcW w:w="489" w:type="pct"/>
            <w:tcBorders>
              <w:top w:val="nil"/>
              <w:left w:val="nil"/>
              <w:bottom w:val="single" w:sz="4" w:space="0" w:color="auto"/>
              <w:right w:val="single" w:sz="4" w:space="0" w:color="auto"/>
            </w:tcBorders>
            <w:shd w:val="clear" w:color="auto" w:fill="auto"/>
            <w:vAlign w:val="center"/>
            <w:hideMark/>
          </w:tcPr>
          <w:p w14:paraId="64A36478"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6B5235F2" w14:textId="77777777" w:rsidR="00FA2A38" w:rsidRPr="00FA2A38" w:rsidRDefault="00FA2A38" w:rsidP="009F3F1D">
            <w:pPr>
              <w:pStyle w:val="Tabletext1"/>
            </w:pPr>
            <w:r w:rsidRPr="00FA2A38">
              <w:t>NSW Public Health System Awards and Determinations, July 2016</w:t>
            </w:r>
          </w:p>
        </w:tc>
      </w:tr>
      <w:tr w:rsidR="00FA2A38" w:rsidRPr="00FA2A38" w14:paraId="4096E594" w14:textId="77777777" w:rsidTr="005B16C7">
        <w:trPr>
          <w:trHeight w:val="102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46AE1BD7" w14:textId="77777777" w:rsidR="00FA2A38" w:rsidRPr="00FA2A38" w:rsidRDefault="00FA2A38" w:rsidP="009F3F1D">
            <w:pPr>
              <w:pStyle w:val="Tabletext1"/>
            </w:pPr>
            <w:r w:rsidRPr="00FA2A38">
              <w:t xml:space="preserve">Registered nurse (RN) – Year 5, $1,399.30 per week $36.80 based on ordinary hours of work for each full time employee being 228 hours balanced over a six-week period. Cost: $36.8 based on average 1-hour </w:t>
            </w:r>
            <w:r w:rsidRPr="00FA2A38">
              <w:lastRenderedPageBreak/>
              <w:t>input</w:t>
            </w:r>
          </w:p>
        </w:tc>
        <w:tc>
          <w:tcPr>
            <w:tcW w:w="858" w:type="pct"/>
            <w:tcBorders>
              <w:top w:val="nil"/>
              <w:left w:val="nil"/>
              <w:bottom w:val="single" w:sz="4" w:space="0" w:color="auto"/>
              <w:right w:val="single" w:sz="4" w:space="0" w:color="auto"/>
            </w:tcBorders>
            <w:shd w:val="clear" w:color="auto" w:fill="auto"/>
            <w:vAlign w:val="center"/>
            <w:hideMark/>
          </w:tcPr>
          <w:p w14:paraId="206EF481" w14:textId="77777777" w:rsidR="00FA2A38" w:rsidRPr="00FA2A38" w:rsidRDefault="00FA2A38" w:rsidP="009F3F1D">
            <w:pPr>
              <w:pStyle w:val="Tabletext1"/>
            </w:pPr>
            <w:r w:rsidRPr="00FA2A38">
              <w:lastRenderedPageBreak/>
              <w:t>Assist with theatre, analgesia</w:t>
            </w:r>
          </w:p>
        </w:tc>
        <w:tc>
          <w:tcPr>
            <w:tcW w:w="561" w:type="pct"/>
            <w:tcBorders>
              <w:top w:val="nil"/>
              <w:left w:val="nil"/>
              <w:bottom w:val="single" w:sz="4" w:space="0" w:color="auto"/>
              <w:right w:val="single" w:sz="4" w:space="0" w:color="auto"/>
            </w:tcBorders>
            <w:shd w:val="clear" w:color="auto" w:fill="auto"/>
            <w:vAlign w:val="center"/>
            <w:hideMark/>
          </w:tcPr>
          <w:p w14:paraId="5BA6B3D5" w14:textId="77777777" w:rsidR="00FA2A38" w:rsidRPr="00FA2A38" w:rsidRDefault="00FA2A38" w:rsidP="009F3F1D">
            <w:pPr>
              <w:pStyle w:val="Tabletext1"/>
            </w:pPr>
            <w:r w:rsidRPr="00FA2A38">
              <w:t>36.80</w:t>
            </w:r>
          </w:p>
        </w:tc>
        <w:tc>
          <w:tcPr>
            <w:tcW w:w="489" w:type="pct"/>
            <w:tcBorders>
              <w:top w:val="nil"/>
              <w:left w:val="nil"/>
              <w:bottom w:val="single" w:sz="4" w:space="0" w:color="auto"/>
              <w:right w:val="single" w:sz="4" w:space="0" w:color="auto"/>
            </w:tcBorders>
            <w:shd w:val="clear" w:color="auto" w:fill="auto"/>
            <w:vAlign w:val="center"/>
            <w:hideMark/>
          </w:tcPr>
          <w:p w14:paraId="254DCA59"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34587540" w14:textId="77777777" w:rsidR="00FA2A38" w:rsidRPr="00FA2A38" w:rsidRDefault="00FA2A38" w:rsidP="009F3F1D">
            <w:pPr>
              <w:pStyle w:val="Tabletext1"/>
            </w:pPr>
            <w:r w:rsidRPr="00FA2A38">
              <w:t xml:space="preserve">NSW Public Health System Awards and Determinations, </w:t>
            </w:r>
            <w:r w:rsidRPr="00FA2A38">
              <w:lastRenderedPageBreak/>
              <w:t>July 2016</w:t>
            </w:r>
          </w:p>
        </w:tc>
      </w:tr>
      <w:tr w:rsidR="00FA2A38" w:rsidRPr="00FA2A38" w14:paraId="754B62D7" w14:textId="77777777" w:rsidTr="005B16C7">
        <w:trPr>
          <w:trHeight w:val="795"/>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77F2239F" w14:textId="3385C414" w:rsidR="00FA2A38" w:rsidRPr="00FA2A38" w:rsidRDefault="00FA2A38" w:rsidP="009F3F1D">
            <w:pPr>
              <w:pStyle w:val="Tabletext1"/>
            </w:pPr>
            <w:r w:rsidRPr="00FA2A38">
              <w:lastRenderedPageBreak/>
              <w:t>Hospital accommodation is the average of shared ward and single ward accommodation costs calculated in Victoria for 2015</w:t>
            </w:r>
            <w:r w:rsidR="00D35E9C">
              <w:t>–</w:t>
            </w:r>
            <w:r w:rsidRPr="00FA2A38">
              <w:t>16, surgical or obstetric patient first 14 days</w:t>
            </w:r>
          </w:p>
        </w:tc>
        <w:tc>
          <w:tcPr>
            <w:tcW w:w="858" w:type="pct"/>
            <w:tcBorders>
              <w:top w:val="nil"/>
              <w:left w:val="nil"/>
              <w:bottom w:val="single" w:sz="4" w:space="0" w:color="auto"/>
              <w:right w:val="single" w:sz="4" w:space="0" w:color="auto"/>
            </w:tcBorders>
            <w:shd w:val="clear" w:color="auto" w:fill="auto"/>
            <w:vAlign w:val="center"/>
            <w:hideMark/>
          </w:tcPr>
          <w:p w14:paraId="1F4D8832" w14:textId="77777777" w:rsidR="00FA2A38" w:rsidRPr="00FA2A38" w:rsidRDefault="00FA2A38" w:rsidP="009F3F1D">
            <w:pPr>
              <w:pStyle w:val="Tabletext1"/>
            </w:pPr>
            <w:r w:rsidRPr="00FA2A38">
              <w:t>Hospital</w:t>
            </w:r>
          </w:p>
        </w:tc>
        <w:tc>
          <w:tcPr>
            <w:tcW w:w="561" w:type="pct"/>
            <w:tcBorders>
              <w:top w:val="nil"/>
              <w:left w:val="nil"/>
              <w:bottom w:val="single" w:sz="4" w:space="0" w:color="auto"/>
              <w:right w:val="single" w:sz="4" w:space="0" w:color="auto"/>
            </w:tcBorders>
            <w:shd w:val="clear" w:color="auto" w:fill="auto"/>
            <w:vAlign w:val="center"/>
            <w:hideMark/>
          </w:tcPr>
          <w:p w14:paraId="7C6E9C55" w14:textId="77777777" w:rsidR="00FA2A38" w:rsidRPr="00FA2A38" w:rsidRDefault="00FA2A38" w:rsidP="009F3F1D">
            <w:pPr>
              <w:pStyle w:val="Tabletext1"/>
            </w:pPr>
            <w:r w:rsidRPr="00FA2A38">
              <w:t>873.00</w:t>
            </w:r>
          </w:p>
        </w:tc>
        <w:tc>
          <w:tcPr>
            <w:tcW w:w="489" w:type="pct"/>
            <w:tcBorders>
              <w:top w:val="nil"/>
              <w:left w:val="nil"/>
              <w:bottom w:val="single" w:sz="4" w:space="0" w:color="auto"/>
              <w:right w:val="single" w:sz="4" w:space="0" w:color="auto"/>
            </w:tcBorders>
            <w:shd w:val="clear" w:color="auto" w:fill="auto"/>
            <w:vAlign w:val="center"/>
            <w:hideMark/>
          </w:tcPr>
          <w:p w14:paraId="3A707598"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075C26DB" w14:textId="38232041" w:rsidR="00FA2A38" w:rsidRPr="00FA2A38" w:rsidRDefault="00FA2A38" w:rsidP="009F3F1D">
            <w:pPr>
              <w:pStyle w:val="Tabletext1"/>
            </w:pPr>
            <w:r w:rsidRPr="00FA2A38">
              <w:t>Average actual cost per bed day 2015</w:t>
            </w:r>
            <w:r w:rsidR="00D35E9C">
              <w:t>–</w:t>
            </w:r>
            <w:r w:rsidRPr="00FA2A38">
              <w:t>16.</w:t>
            </w:r>
          </w:p>
        </w:tc>
      </w:tr>
      <w:tr w:rsidR="00FA2A38" w:rsidRPr="00FA2A38" w14:paraId="1C0DAC16" w14:textId="77777777" w:rsidTr="005B16C7">
        <w:trPr>
          <w:trHeight w:val="255"/>
        </w:trPr>
        <w:tc>
          <w:tcPr>
            <w:tcW w:w="2294" w:type="pct"/>
            <w:tcBorders>
              <w:top w:val="nil"/>
              <w:left w:val="single" w:sz="4" w:space="0" w:color="auto"/>
              <w:bottom w:val="single" w:sz="4" w:space="0" w:color="auto"/>
            </w:tcBorders>
            <w:shd w:val="clear" w:color="000000" w:fill="D9D9D9"/>
            <w:vAlign w:val="center"/>
            <w:hideMark/>
          </w:tcPr>
          <w:p w14:paraId="681BD6A7" w14:textId="77777777" w:rsidR="00FA2A38" w:rsidRPr="008B711E" w:rsidRDefault="00FA2A38" w:rsidP="009F3F1D">
            <w:pPr>
              <w:pStyle w:val="Tabletext1"/>
              <w:rPr>
                <w:b/>
              </w:rPr>
            </w:pPr>
            <w:r w:rsidRPr="008B711E">
              <w:rPr>
                <w:b/>
              </w:rPr>
              <w:t>Prostheses costs</w:t>
            </w:r>
          </w:p>
        </w:tc>
        <w:tc>
          <w:tcPr>
            <w:tcW w:w="858" w:type="pct"/>
            <w:tcBorders>
              <w:top w:val="single" w:sz="4" w:space="0" w:color="auto"/>
              <w:bottom w:val="single" w:sz="4" w:space="0" w:color="auto"/>
            </w:tcBorders>
            <w:shd w:val="clear" w:color="000000" w:fill="D9D9D9"/>
            <w:vAlign w:val="center"/>
            <w:hideMark/>
          </w:tcPr>
          <w:p w14:paraId="0F06AAF3" w14:textId="77777777" w:rsidR="00FA2A38" w:rsidRPr="00FA2A38" w:rsidRDefault="00FA2A38" w:rsidP="009F3F1D">
            <w:pPr>
              <w:pStyle w:val="Tabletext1"/>
            </w:pPr>
            <w:r w:rsidRPr="00FA2A38">
              <w:t> </w:t>
            </w:r>
          </w:p>
        </w:tc>
        <w:tc>
          <w:tcPr>
            <w:tcW w:w="561" w:type="pct"/>
            <w:tcBorders>
              <w:top w:val="single" w:sz="4" w:space="0" w:color="auto"/>
              <w:bottom w:val="single" w:sz="4" w:space="0" w:color="auto"/>
            </w:tcBorders>
            <w:shd w:val="clear" w:color="000000" w:fill="D9D9D9"/>
            <w:vAlign w:val="center"/>
            <w:hideMark/>
          </w:tcPr>
          <w:p w14:paraId="0DD8DD6F" w14:textId="77777777" w:rsidR="00FA2A38" w:rsidRPr="00FA2A38" w:rsidRDefault="00FA2A38" w:rsidP="009F3F1D">
            <w:pPr>
              <w:pStyle w:val="Tabletext1"/>
            </w:pPr>
            <w:r w:rsidRPr="00FA2A38">
              <w:t> </w:t>
            </w:r>
          </w:p>
        </w:tc>
        <w:tc>
          <w:tcPr>
            <w:tcW w:w="489" w:type="pct"/>
            <w:tcBorders>
              <w:top w:val="single" w:sz="4" w:space="0" w:color="auto"/>
              <w:bottom w:val="single" w:sz="4" w:space="0" w:color="auto"/>
            </w:tcBorders>
            <w:shd w:val="clear" w:color="000000" w:fill="D9D9D9"/>
            <w:vAlign w:val="center"/>
            <w:hideMark/>
          </w:tcPr>
          <w:p w14:paraId="53B3A4CB" w14:textId="77777777" w:rsidR="00FA2A38" w:rsidRPr="00FA2A38" w:rsidRDefault="00FA2A38" w:rsidP="009F3F1D">
            <w:pPr>
              <w:pStyle w:val="Tabletext1"/>
            </w:pPr>
            <w:r w:rsidRPr="00FA2A38">
              <w:t> </w:t>
            </w:r>
          </w:p>
        </w:tc>
        <w:tc>
          <w:tcPr>
            <w:tcW w:w="797" w:type="pct"/>
            <w:tcBorders>
              <w:top w:val="single" w:sz="4" w:space="0" w:color="auto"/>
              <w:bottom w:val="single" w:sz="4" w:space="0" w:color="auto"/>
              <w:right w:val="single" w:sz="4" w:space="0" w:color="auto"/>
            </w:tcBorders>
            <w:shd w:val="clear" w:color="000000" w:fill="D9D9D9"/>
            <w:vAlign w:val="center"/>
            <w:hideMark/>
          </w:tcPr>
          <w:p w14:paraId="2DC5E5CD" w14:textId="77777777" w:rsidR="00FA2A38" w:rsidRPr="00FA2A38" w:rsidRDefault="00FA2A38" w:rsidP="009F3F1D">
            <w:pPr>
              <w:pStyle w:val="Tabletext1"/>
            </w:pPr>
            <w:r w:rsidRPr="00FA2A38">
              <w:t> </w:t>
            </w:r>
          </w:p>
        </w:tc>
      </w:tr>
      <w:tr w:rsidR="00FA2A38" w:rsidRPr="00FA2A38" w14:paraId="454B6B2D" w14:textId="77777777" w:rsidTr="005B16C7">
        <w:trPr>
          <w:trHeight w:val="1020"/>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538F8DD3" w14:textId="77777777" w:rsidR="00FA2A38" w:rsidRPr="00FA2A38" w:rsidRDefault="00FA2A38" w:rsidP="009F3F1D">
            <w:pPr>
              <w:pStyle w:val="Tabletext1"/>
            </w:pPr>
            <w:r w:rsidRPr="00FA2A38">
              <w:t>MTA machine</w:t>
            </w:r>
          </w:p>
        </w:tc>
        <w:tc>
          <w:tcPr>
            <w:tcW w:w="858" w:type="pct"/>
            <w:tcBorders>
              <w:top w:val="nil"/>
              <w:left w:val="nil"/>
              <w:bottom w:val="single" w:sz="4" w:space="0" w:color="auto"/>
              <w:right w:val="single" w:sz="4" w:space="0" w:color="auto"/>
            </w:tcBorders>
            <w:shd w:val="clear" w:color="auto" w:fill="auto"/>
            <w:vAlign w:val="center"/>
            <w:hideMark/>
          </w:tcPr>
          <w:p w14:paraId="4540BC95" w14:textId="77777777" w:rsidR="00FA2A38" w:rsidRPr="00FA2A38" w:rsidRDefault="00FA2A38" w:rsidP="009F3F1D">
            <w:pPr>
              <w:pStyle w:val="Tabletext1"/>
            </w:pPr>
            <w:r w:rsidRPr="00FA2A38">
              <w:t>Prostheses</w:t>
            </w:r>
          </w:p>
        </w:tc>
        <w:tc>
          <w:tcPr>
            <w:tcW w:w="561" w:type="pct"/>
            <w:tcBorders>
              <w:top w:val="nil"/>
              <w:left w:val="nil"/>
              <w:bottom w:val="single" w:sz="4" w:space="0" w:color="auto"/>
              <w:right w:val="single" w:sz="4" w:space="0" w:color="auto"/>
            </w:tcBorders>
            <w:shd w:val="clear" w:color="auto" w:fill="auto"/>
            <w:vAlign w:val="center"/>
            <w:hideMark/>
          </w:tcPr>
          <w:p w14:paraId="5F8F6D4E" w14:textId="77777777" w:rsidR="00FA2A38" w:rsidRPr="00FA2A38" w:rsidRDefault="00FA2A38" w:rsidP="009F3F1D">
            <w:pPr>
              <w:pStyle w:val="Tabletext1"/>
            </w:pPr>
            <w:r w:rsidRPr="00FA2A38">
              <w:t>50,000.00</w:t>
            </w:r>
          </w:p>
        </w:tc>
        <w:tc>
          <w:tcPr>
            <w:tcW w:w="489" w:type="pct"/>
            <w:tcBorders>
              <w:top w:val="nil"/>
              <w:left w:val="nil"/>
              <w:bottom w:val="single" w:sz="4" w:space="0" w:color="auto"/>
              <w:right w:val="single" w:sz="4" w:space="0" w:color="auto"/>
            </w:tcBorders>
            <w:shd w:val="clear" w:color="auto" w:fill="auto"/>
            <w:vAlign w:val="center"/>
            <w:hideMark/>
          </w:tcPr>
          <w:p w14:paraId="1C6126A0" w14:textId="77777777" w:rsidR="00FA2A38" w:rsidRPr="00FA2A38" w:rsidRDefault="00FA2A38" w:rsidP="009F3F1D">
            <w:pPr>
              <w:pStyle w:val="Tabletext1"/>
            </w:pPr>
            <w:r w:rsidRPr="00FA2A38">
              <w:t>0.005</w:t>
            </w:r>
          </w:p>
        </w:tc>
        <w:tc>
          <w:tcPr>
            <w:tcW w:w="797" w:type="pct"/>
            <w:tcBorders>
              <w:top w:val="nil"/>
              <w:left w:val="nil"/>
              <w:bottom w:val="single" w:sz="4" w:space="0" w:color="auto"/>
              <w:right w:val="single" w:sz="4" w:space="0" w:color="auto"/>
            </w:tcBorders>
            <w:shd w:val="clear" w:color="auto" w:fill="auto"/>
            <w:vAlign w:val="center"/>
            <w:hideMark/>
          </w:tcPr>
          <w:p w14:paraId="56138112" w14:textId="2D2263A3" w:rsidR="00FA2A38" w:rsidRPr="00FA2A38" w:rsidRDefault="00FA2A38" w:rsidP="009F3F1D">
            <w:pPr>
              <w:pStyle w:val="Tabletext1"/>
            </w:pPr>
            <w:r w:rsidRPr="00FA2A38">
              <w:t>Applicant. Assumes 10</w:t>
            </w:r>
            <w:r w:rsidR="00D35E9C">
              <w:t>–</w:t>
            </w:r>
            <w:r w:rsidRPr="00FA2A38">
              <w:t>year life and 20 procedures per year</w:t>
            </w:r>
          </w:p>
        </w:tc>
      </w:tr>
      <w:tr w:rsidR="00FA2A38" w:rsidRPr="00FA2A38" w14:paraId="4E7276A1" w14:textId="77777777" w:rsidTr="005B16C7">
        <w:trPr>
          <w:trHeight w:val="495"/>
        </w:trPr>
        <w:tc>
          <w:tcPr>
            <w:tcW w:w="2294" w:type="pct"/>
            <w:tcBorders>
              <w:top w:val="nil"/>
              <w:left w:val="single" w:sz="4" w:space="0" w:color="auto"/>
              <w:bottom w:val="single" w:sz="4" w:space="0" w:color="auto"/>
              <w:right w:val="single" w:sz="4" w:space="0" w:color="auto"/>
            </w:tcBorders>
            <w:shd w:val="clear" w:color="auto" w:fill="auto"/>
            <w:vAlign w:val="center"/>
            <w:hideMark/>
          </w:tcPr>
          <w:p w14:paraId="795B7CCE" w14:textId="77777777" w:rsidR="00FA2A38" w:rsidRPr="00FA2A38" w:rsidRDefault="00FA2A38" w:rsidP="009F3F1D">
            <w:pPr>
              <w:pStyle w:val="Tabletext1"/>
            </w:pPr>
            <w:r w:rsidRPr="00FA2A38">
              <w:t>Probe</w:t>
            </w:r>
          </w:p>
        </w:tc>
        <w:tc>
          <w:tcPr>
            <w:tcW w:w="858" w:type="pct"/>
            <w:tcBorders>
              <w:top w:val="nil"/>
              <w:left w:val="nil"/>
              <w:bottom w:val="single" w:sz="4" w:space="0" w:color="auto"/>
              <w:right w:val="single" w:sz="4" w:space="0" w:color="auto"/>
            </w:tcBorders>
            <w:shd w:val="clear" w:color="auto" w:fill="auto"/>
            <w:vAlign w:val="center"/>
            <w:hideMark/>
          </w:tcPr>
          <w:p w14:paraId="45CFD469" w14:textId="77777777" w:rsidR="00FA2A38" w:rsidRPr="00FA2A38" w:rsidRDefault="00FA2A38" w:rsidP="009F3F1D">
            <w:pPr>
              <w:pStyle w:val="Tabletext1"/>
            </w:pPr>
            <w:r w:rsidRPr="00FA2A38">
              <w:t>Prostheses</w:t>
            </w:r>
          </w:p>
        </w:tc>
        <w:tc>
          <w:tcPr>
            <w:tcW w:w="561" w:type="pct"/>
            <w:tcBorders>
              <w:top w:val="nil"/>
              <w:left w:val="nil"/>
              <w:bottom w:val="single" w:sz="4" w:space="0" w:color="auto"/>
              <w:right w:val="single" w:sz="4" w:space="0" w:color="auto"/>
            </w:tcBorders>
            <w:shd w:val="clear" w:color="auto" w:fill="auto"/>
            <w:vAlign w:val="center"/>
            <w:hideMark/>
          </w:tcPr>
          <w:p w14:paraId="5114976F" w14:textId="77777777" w:rsidR="00FA2A38" w:rsidRPr="00FA2A38" w:rsidRDefault="00FA2A38" w:rsidP="009F3F1D">
            <w:pPr>
              <w:pStyle w:val="Tabletext1"/>
            </w:pPr>
            <w:r w:rsidRPr="00FA2A38">
              <w:t>2,960.00</w:t>
            </w:r>
          </w:p>
        </w:tc>
        <w:tc>
          <w:tcPr>
            <w:tcW w:w="489" w:type="pct"/>
            <w:tcBorders>
              <w:top w:val="nil"/>
              <w:left w:val="nil"/>
              <w:bottom w:val="single" w:sz="4" w:space="0" w:color="auto"/>
              <w:right w:val="single" w:sz="4" w:space="0" w:color="auto"/>
            </w:tcBorders>
            <w:shd w:val="clear" w:color="auto" w:fill="auto"/>
            <w:vAlign w:val="center"/>
            <w:hideMark/>
          </w:tcPr>
          <w:p w14:paraId="1E026E9E" w14:textId="77777777" w:rsidR="00FA2A38" w:rsidRPr="00FA2A38" w:rsidRDefault="00FA2A38" w:rsidP="009F3F1D">
            <w:pPr>
              <w:pStyle w:val="Tabletext1"/>
            </w:pPr>
            <w:r w:rsidRPr="00FA2A38">
              <w:t>1</w:t>
            </w:r>
          </w:p>
        </w:tc>
        <w:tc>
          <w:tcPr>
            <w:tcW w:w="797" w:type="pct"/>
            <w:tcBorders>
              <w:top w:val="nil"/>
              <w:left w:val="nil"/>
              <w:bottom w:val="single" w:sz="4" w:space="0" w:color="auto"/>
              <w:right w:val="single" w:sz="4" w:space="0" w:color="auto"/>
            </w:tcBorders>
            <w:shd w:val="clear" w:color="auto" w:fill="auto"/>
            <w:vAlign w:val="center"/>
            <w:hideMark/>
          </w:tcPr>
          <w:p w14:paraId="5E5A6F73" w14:textId="77777777" w:rsidR="00FA2A38" w:rsidRPr="00FA2A38" w:rsidRDefault="00FA2A38" w:rsidP="009F3F1D">
            <w:pPr>
              <w:pStyle w:val="Tabletext1"/>
            </w:pPr>
            <w:r w:rsidRPr="00FA2A38">
              <w:t>Applicant</w:t>
            </w:r>
          </w:p>
        </w:tc>
      </w:tr>
      <w:tr w:rsidR="00FA2A38" w:rsidRPr="00FA2A38" w14:paraId="743DFC8E" w14:textId="77777777" w:rsidTr="005B16C7">
        <w:trPr>
          <w:trHeight w:val="255"/>
        </w:trPr>
        <w:tc>
          <w:tcPr>
            <w:tcW w:w="2294" w:type="pct"/>
            <w:tcBorders>
              <w:top w:val="single" w:sz="4" w:space="0" w:color="auto"/>
              <w:left w:val="single" w:sz="4" w:space="0" w:color="auto"/>
              <w:bottom w:val="single" w:sz="4" w:space="0" w:color="auto"/>
            </w:tcBorders>
            <w:shd w:val="clear" w:color="000000" w:fill="D9D9D9"/>
            <w:vAlign w:val="center"/>
            <w:hideMark/>
          </w:tcPr>
          <w:p w14:paraId="183DCEE4" w14:textId="77777777" w:rsidR="00FA2A38" w:rsidRPr="00EF7922" w:rsidRDefault="00FA2A38" w:rsidP="009F3F1D">
            <w:pPr>
              <w:pStyle w:val="Tabletext1"/>
              <w:rPr>
                <w:b/>
              </w:rPr>
            </w:pPr>
            <w:r w:rsidRPr="00EF7922">
              <w:rPr>
                <w:b/>
              </w:rPr>
              <w:t>Adverse events</w:t>
            </w:r>
          </w:p>
        </w:tc>
        <w:tc>
          <w:tcPr>
            <w:tcW w:w="858" w:type="pct"/>
            <w:tcBorders>
              <w:top w:val="single" w:sz="4" w:space="0" w:color="auto"/>
              <w:bottom w:val="single" w:sz="4" w:space="0" w:color="auto"/>
            </w:tcBorders>
            <w:shd w:val="clear" w:color="000000" w:fill="D9D9D9"/>
            <w:vAlign w:val="center"/>
            <w:hideMark/>
          </w:tcPr>
          <w:p w14:paraId="1636B07C" w14:textId="77777777" w:rsidR="00FA2A38" w:rsidRPr="00FA2A38" w:rsidRDefault="00FA2A38" w:rsidP="009F3F1D">
            <w:pPr>
              <w:pStyle w:val="Tabletext1"/>
            </w:pPr>
            <w:r w:rsidRPr="00FA2A38">
              <w:t> </w:t>
            </w:r>
          </w:p>
        </w:tc>
        <w:tc>
          <w:tcPr>
            <w:tcW w:w="561" w:type="pct"/>
            <w:tcBorders>
              <w:top w:val="single" w:sz="4" w:space="0" w:color="auto"/>
              <w:bottom w:val="single" w:sz="4" w:space="0" w:color="auto"/>
            </w:tcBorders>
            <w:shd w:val="clear" w:color="000000" w:fill="D9D9D9"/>
            <w:vAlign w:val="center"/>
            <w:hideMark/>
          </w:tcPr>
          <w:p w14:paraId="4B1D4C9A" w14:textId="77777777" w:rsidR="00FA2A38" w:rsidRPr="00FA2A38" w:rsidRDefault="00FA2A38" w:rsidP="009F3F1D">
            <w:pPr>
              <w:pStyle w:val="Tabletext1"/>
            </w:pPr>
            <w:r w:rsidRPr="00FA2A38">
              <w:t> </w:t>
            </w:r>
          </w:p>
        </w:tc>
        <w:tc>
          <w:tcPr>
            <w:tcW w:w="489" w:type="pct"/>
            <w:tcBorders>
              <w:top w:val="single" w:sz="4" w:space="0" w:color="auto"/>
              <w:bottom w:val="single" w:sz="4" w:space="0" w:color="auto"/>
            </w:tcBorders>
            <w:shd w:val="clear" w:color="000000" w:fill="D9D9D9"/>
            <w:vAlign w:val="center"/>
            <w:hideMark/>
          </w:tcPr>
          <w:p w14:paraId="3E109BB1" w14:textId="77777777" w:rsidR="00FA2A38" w:rsidRPr="00FA2A38" w:rsidRDefault="00FA2A38" w:rsidP="009F3F1D">
            <w:pPr>
              <w:pStyle w:val="Tabletext1"/>
            </w:pPr>
            <w:r w:rsidRPr="00FA2A38">
              <w:t> </w:t>
            </w:r>
          </w:p>
        </w:tc>
        <w:tc>
          <w:tcPr>
            <w:tcW w:w="797" w:type="pct"/>
            <w:tcBorders>
              <w:top w:val="single" w:sz="4" w:space="0" w:color="auto"/>
              <w:bottom w:val="single" w:sz="4" w:space="0" w:color="auto"/>
              <w:right w:val="single" w:sz="4" w:space="0" w:color="auto"/>
            </w:tcBorders>
            <w:shd w:val="clear" w:color="000000" w:fill="D9D9D9"/>
            <w:vAlign w:val="center"/>
            <w:hideMark/>
          </w:tcPr>
          <w:p w14:paraId="1E31B6C9" w14:textId="77777777" w:rsidR="00FA2A38" w:rsidRPr="00FA2A38" w:rsidRDefault="00FA2A38" w:rsidP="009F3F1D">
            <w:pPr>
              <w:pStyle w:val="Tabletext1"/>
            </w:pPr>
            <w:r w:rsidRPr="00FA2A38">
              <w:t> </w:t>
            </w:r>
          </w:p>
        </w:tc>
      </w:tr>
      <w:tr w:rsidR="00FA2A38" w:rsidRPr="00FA2A38" w14:paraId="1692720E" w14:textId="77777777" w:rsidTr="005B16C7">
        <w:trPr>
          <w:trHeight w:val="1425"/>
        </w:trPr>
        <w:tc>
          <w:tcPr>
            <w:tcW w:w="2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ED4FE" w14:textId="77777777" w:rsidR="00FA2A38" w:rsidRPr="00FA2A38" w:rsidRDefault="00FA2A38" w:rsidP="009F3F1D">
            <w:pPr>
              <w:pStyle w:val="Tabletext1"/>
            </w:pPr>
            <w:r w:rsidRPr="00FA2A38">
              <w:t>Averaged DRG-E68A. Pneumothorax W Catastrophic or Severe CC and DRG-E68B. Pneumothorax W/O Catastrophic or Severe CC</w:t>
            </w:r>
          </w:p>
          <w:p w14:paraId="190DBC10" w14:textId="77777777" w:rsidR="00FA2A38" w:rsidRPr="00FA2A38" w:rsidRDefault="00FA2A38" w:rsidP="009F3F1D">
            <w:pPr>
              <w:pStyle w:val="Tabletext1"/>
            </w:pP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3EF47699" w14:textId="77777777" w:rsidR="00FA2A38" w:rsidRPr="00FA2A38" w:rsidRDefault="00FA2A38" w:rsidP="009F3F1D">
            <w:pPr>
              <w:pStyle w:val="Tabletext1"/>
            </w:pPr>
            <w:r w:rsidRPr="00FA2A38">
              <w:t>Hospital, some MBS</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43769BAE" w14:textId="77777777" w:rsidR="00FA2A38" w:rsidRPr="00FA2A38" w:rsidRDefault="00FA2A38" w:rsidP="009F3F1D">
            <w:pPr>
              <w:pStyle w:val="Tabletext1"/>
            </w:pPr>
            <w:r w:rsidRPr="00FA2A38">
              <w:t>7,793.50</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383F42B8" w14:textId="77777777" w:rsidR="00FA2A38" w:rsidRPr="00FA2A38" w:rsidRDefault="00FA2A38" w:rsidP="009F3F1D">
            <w:pPr>
              <w:pStyle w:val="Tabletext1"/>
            </w:pPr>
            <w:r w:rsidRPr="00FA2A38">
              <w:t>0%</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13FE1C5A" w14:textId="2C1B8039" w:rsidR="00FA2A38" w:rsidRPr="00FA2A38" w:rsidRDefault="00FA2A38" w:rsidP="00C11336">
            <w:pPr>
              <w:pStyle w:val="Tabletext1"/>
            </w:pPr>
            <w:r w:rsidRPr="00FA2A38">
              <w:t>AR-DRG VERSION 7.0, Round 18 (2013</w:t>
            </w:r>
            <w:r w:rsidR="00D35E9C">
              <w:t>–</w:t>
            </w:r>
            <w:r w:rsidRPr="00FA2A38">
              <w:t>14)</w:t>
            </w:r>
            <w:r w:rsidR="00C11336">
              <w:t xml:space="preserve"> inflated to 2016 using ABS CPI</w:t>
            </w:r>
            <w:r w:rsidRPr="00FA2A38">
              <w:t> </w:t>
            </w:r>
          </w:p>
        </w:tc>
      </w:tr>
      <w:tr w:rsidR="00FA2A38" w:rsidRPr="00FA2A38" w14:paraId="2188F5A5" w14:textId="77777777" w:rsidTr="005B16C7">
        <w:trPr>
          <w:trHeight w:val="255"/>
        </w:trPr>
        <w:tc>
          <w:tcPr>
            <w:tcW w:w="2294" w:type="pct"/>
            <w:tcBorders>
              <w:top w:val="single" w:sz="4" w:space="0" w:color="auto"/>
              <w:left w:val="single" w:sz="4" w:space="0" w:color="auto"/>
              <w:bottom w:val="single" w:sz="4" w:space="0" w:color="auto"/>
            </w:tcBorders>
            <w:shd w:val="clear" w:color="auto" w:fill="auto"/>
            <w:vAlign w:val="center"/>
            <w:hideMark/>
          </w:tcPr>
          <w:p w14:paraId="0B2E2FE6" w14:textId="5A7DC05D" w:rsidR="00FA2A38" w:rsidRPr="00EF7922" w:rsidRDefault="00FA2A38" w:rsidP="00016AF9">
            <w:pPr>
              <w:pStyle w:val="Tabletext1"/>
              <w:rPr>
                <w:b/>
              </w:rPr>
            </w:pPr>
            <w:r w:rsidRPr="00EF7922">
              <w:rPr>
                <w:b/>
              </w:rPr>
              <w:t xml:space="preserve">Total </w:t>
            </w:r>
            <w:r w:rsidR="00016AF9">
              <w:rPr>
                <w:b/>
              </w:rPr>
              <w:t>: 1–3</w:t>
            </w:r>
            <w:r w:rsidRPr="00EF7922">
              <w:rPr>
                <w:b/>
              </w:rPr>
              <w:t xml:space="preserve"> lesions total cost per patient</w:t>
            </w:r>
          </w:p>
        </w:tc>
        <w:tc>
          <w:tcPr>
            <w:tcW w:w="858" w:type="pct"/>
            <w:tcBorders>
              <w:top w:val="single" w:sz="4" w:space="0" w:color="auto"/>
              <w:bottom w:val="single" w:sz="4" w:space="0" w:color="auto"/>
            </w:tcBorders>
            <w:shd w:val="clear" w:color="auto" w:fill="auto"/>
            <w:vAlign w:val="center"/>
            <w:hideMark/>
          </w:tcPr>
          <w:p w14:paraId="05F02F80" w14:textId="77777777" w:rsidR="00FA2A38" w:rsidRPr="00FA2A38" w:rsidRDefault="00FA2A38" w:rsidP="009F3F1D">
            <w:pPr>
              <w:pStyle w:val="Tabletext1"/>
            </w:pPr>
            <w:r w:rsidRPr="00FA2A38">
              <w:t> </w:t>
            </w:r>
          </w:p>
        </w:tc>
        <w:tc>
          <w:tcPr>
            <w:tcW w:w="561" w:type="pct"/>
            <w:tcBorders>
              <w:top w:val="single" w:sz="4" w:space="0" w:color="auto"/>
              <w:bottom w:val="single" w:sz="4" w:space="0" w:color="auto"/>
            </w:tcBorders>
            <w:shd w:val="clear" w:color="auto" w:fill="auto"/>
            <w:vAlign w:val="center"/>
            <w:hideMark/>
          </w:tcPr>
          <w:p w14:paraId="6A5AE3AA" w14:textId="77777777" w:rsidR="00FA2A38" w:rsidRPr="00FA2A38" w:rsidRDefault="00FA2A38" w:rsidP="009F3F1D">
            <w:pPr>
              <w:pStyle w:val="Tabletext1"/>
            </w:pPr>
            <w:r w:rsidRPr="00FA2A38">
              <w:t> </w:t>
            </w:r>
          </w:p>
        </w:tc>
        <w:tc>
          <w:tcPr>
            <w:tcW w:w="489" w:type="pct"/>
            <w:tcBorders>
              <w:top w:val="single" w:sz="4" w:space="0" w:color="auto"/>
              <w:bottom w:val="single" w:sz="4" w:space="0" w:color="auto"/>
            </w:tcBorders>
            <w:shd w:val="clear" w:color="auto" w:fill="auto"/>
            <w:vAlign w:val="center"/>
            <w:hideMark/>
          </w:tcPr>
          <w:p w14:paraId="3BDCEA5E" w14:textId="77777777" w:rsidR="00FA2A38" w:rsidRPr="00FA2A38" w:rsidRDefault="00FA2A38" w:rsidP="009F3F1D">
            <w:pPr>
              <w:pStyle w:val="Tabletext1"/>
            </w:pPr>
            <w:r w:rsidRPr="00FA2A38">
              <w:t> </w:t>
            </w:r>
          </w:p>
        </w:tc>
        <w:tc>
          <w:tcPr>
            <w:tcW w:w="797" w:type="pct"/>
            <w:tcBorders>
              <w:top w:val="single" w:sz="4" w:space="0" w:color="auto"/>
              <w:bottom w:val="single" w:sz="4" w:space="0" w:color="auto"/>
              <w:right w:val="single" w:sz="4" w:space="0" w:color="auto"/>
            </w:tcBorders>
            <w:shd w:val="clear" w:color="auto" w:fill="auto"/>
            <w:vAlign w:val="center"/>
            <w:hideMark/>
          </w:tcPr>
          <w:p w14:paraId="2517EA6C" w14:textId="77777777" w:rsidR="00FA2A38" w:rsidRPr="00EF7922" w:rsidRDefault="00FA2A38" w:rsidP="009F3F1D">
            <w:pPr>
              <w:pStyle w:val="Tabletext1"/>
              <w:rPr>
                <w:b/>
              </w:rPr>
            </w:pPr>
            <w:r w:rsidRPr="00EF7922">
              <w:rPr>
                <w:b/>
              </w:rPr>
              <w:t>7,843.83</w:t>
            </w:r>
          </w:p>
        </w:tc>
      </w:tr>
      <w:tr w:rsidR="00FA2A38" w:rsidRPr="00FA2A38" w14:paraId="2EE4E0ED" w14:textId="77777777" w:rsidTr="005B16C7">
        <w:trPr>
          <w:trHeight w:val="301"/>
        </w:trPr>
        <w:tc>
          <w:tcPr>
            <w:tcW w:w="2294" w:type="pct"/>
            <w:tcBorders>
              <w:top w:val="single" w:sz="4" w:space="0" w:color="auto"/>
              <w:left w:val="single" w:sz="4" w:space="0" w:color="auto"/>
              <w:bottom w:val="single" w:sz="4" w:space="0" w:color="auto"/>
            </w:tcBorders>
            <w:shd w:val="clear" w:color="auto" w:fill="auto"/>
            <w:vAlign w:val="center"/>
            <w:hideMark/>
          </w:tcPr>
          <w:p w14:paraId="1E448E90" w14:textId="70C1BB81" w:rsidR="00FA2A38" w:rsidRPr="00EF7922" w:rsidRDefault="00016AF9" w:rsidP="00016AF9">
            <w:pPr>
              <w:pStyle w:val="Tabletext1"/>
              <w:rPr>
                <w:b/>
              </w:rPr>
            </w:pPr>
            <w:r>
              <w:rPr>
                <w:b/>
              </w:rPr>
              <w:t>Total : 3</w:t>
            </w:r>
            <w:r w:rsidR="00D35E9C">
              <w:rPr>
                <w:b/>
              </w:rPr>
              <w:t>–</w:t>
            </w:r>
            <w:r>
              <w:rPr>
                <w:b/>
              </w:rPr>
              <w:t>5</w:t>
            </w:r>
            <w:r w:rsidR="00FA2A38" w:rsidRPr="00EF7922">
              <w:rPr>
                <w:b/>
              </w:rPr>
              <w:t xml:space="preserve"> lesions total cost per patient </w:t>
            </w:r>
          </w:p>
        </w:tc>
        <w:tc>
          <w:tcPr>
            <w:tcW w:w="858" w:type="pct"/>
            <w:tcBorders>
              <w:top w:val="single" w:sz="4" w:space="0" w:color="auto"/>
              <w:bottom w:val="single" w:sz="4" w:space="0" w:color="auto"/>
            </w:tcBorders>
            <w:shd w:val="clear" w:color="auto" w:fill="auto"/>
            <w:vAlign w:val="center"/>
            <w:hideMark/>
          </w:tcPr>
          <w:p w14:paraId="471DF910" w14:textId="77777777" w:rsidR="00FA2A38" w:rsidRPr="00FA2A38" w:rsidRDefault="00FA2A38" w:rsidP="009F3F1D">
            <w:pPr>
              <w:pStyle w:val="Tabletext1"/>
            </w:pPr>
            <w:r w:rsidRPr="00FA2A38">
              <w:t> </w:t>
            </w:r>
          </w:p>
        </w:tc>
        <w:tc>
          <w:tcPr>
            <w:tcW w:w="561" w:type="pct"/>
            <w:tcBorders>
              <w:top w:val="single" w:sz="4" w:space="0" w:color="auto"/>
              <w:bottom w:val="single" w:sz="4" w:space="0" w:color="auto"/>
            </w:tcBorders>
            <w:shd w:val="clear" w:color="auto" w:fill="auto"/>
            <w:vAlign w:val="center"/>
            <w:hideMark/>
          </w:tcPr>
          <w:p w14:paraId="63E8B0FA" w14:textId="77777777" w:rsidR="00FA2A38" w:rsidRPr="00FA2A38" w:rsidRDefault="00FA2A38" w:rsidP="009F3F1D">
            <w:pPr>
              <w:pStyle w:val="Tabletext1"/>
            </w:pPr>
            <w:r w:rsidRPr="00FA2A38">
              <w:t> </w:t>
            </w:r>
          </w:p>
        </w:tc>
        <w:tc>
          <w:tcPr>
            <w:tcW w:w="489" w:type="pct"/>
            <w:tcBorders>
              <w:top w:val="single" w:sz="4" w:space="0" w:color="auto"/>
              <w:bottom w:val="single" w:sz="4" w:space="0" w:color="auto"/>
            </w:tcBorders>
            <w:shd w:val="clear" w:color="auto" w:fill="auto"/>
            <w:vAlign w:val="center"/>
            <w:hideMark/>
          </w:tcPr>
          <w:p w14:paraId="70DA62AD" w14:textId="77777777" w:rsidR="00FA2A38" w:rsidRPr="00FA2A38" w:rsidRDefault="00FA2A38" w:rsidP="009F3F1D">
            <w:pPr>
              <w:pStyle w:val="Tabletext1"/>
            </w:pPr>
            <w:r w:rsidRPr="00FA2A38">
              <w:t> </w:t>
            </w:r>
          </w:p>
        </w:tc>
        <w:tc>
          <w:tcPr>
            <w:tcW w:w="797" w:type="pct"/>
            <w:tcBorders>
              <w:top w:val="single" w:sz="4" w:space="0" w:color="auto"/>
              <w:bottom w:val="single" w:sz="4" w:space="0" w:color="auto"/>
              <w:right w:val="single" w:sz="4" w:space="0" w:color="auto"/>
            </w:tcBorders>
            <w:shd w:val="clear" w:color="auto" w:fill="auto"/>
            <w:vAlign w:val="center"/>
            <w:hideMark/>
          </w:tcPr>
          <w:p w14:paraId="05086A5B" w14:textId="77777777" w:rsidR="00FA2A38" w:rsidRPr="00EF7922" w:rsidRDefault="00FA2A38" w:rsidP="009F3F1D">
            <w:pPr>
              <w:pStyle w:val="Tabletext1"/>
              <w:rPr>
                <w:b/>
              </w:rPr>
            </w:pPr>
            <w:r w:rsidRPr="00EF7922">
              <w:rPr>
                <w:b/>
              </w:rPr>
              <w:t>8,143.83</w:t>
            </w:r>
          </w:p>
        </w:tc>
      </w:tr>
      <w:tr w:rsidR="00FA2A38" w:rsidRPr="00FA2A38" w14:paraId="345C8EED" w14:textId="77777777" w:rsidTr="005B16C7">
        <w:trPr>
          <w:trHeight w:val="255"/>
        </w:trPr>
        <w:tc>
          <w:tcPr>
            <w:tcW w:w="2294" w:type="pct"/>
            <w:tcBorders>
              <w:top w:val="single" w:sz="4" w:space="0" w:color="auto"/>
              <w:left w:val="single" w:sz="4" w:space="0" w:color="auto"/>
              <w:bottom w:val="single" w:sz="4" w:space="0" w:color="auto"/>
            </w:tcBorders>
            <w:shd w:val="clear" w:color="auto" w:fill="auto"/>
            <w:vAlign w:val="center"/>
          </w:tcPr>
          <w:p w14:paraId="1D95C2F6" w14:textId="349055F8" w:rsidR="00FA2A38" w:rsidRPr="00EF7922" w:rsidRDefault="006D0335" w:rsidP="00016AF9">
            <w:pPr>
              <w:pStyle w:val="Tabletext1"/>
              <w:rPr>
                <w:b/>
              </w:rPr>
            </w:pPr>
            <w:r>
              <w:rPr>
                <w:b/>
              </w:rPr>
              <w:t>Total:</w:t>
            </w:r>
            <w:r w:rsidR="00FA2A38" w:rsidRPr="00EF7922">
              <w:rPr>
                <w:b/>
              </w:rPr>
              <w:t xml:space="preserve"> &gt;</w:t>
            </w:r>
            <w:r w:rsidR="00016AF9">
              <w:rPr>
                <w:b/>
              </w:rPr>
              <w:t>5</w:t>
            </w:r>
            <w:r w:rsidR="00FA2A38" w:rsidRPr="00EF7922">
              <w:rPr>
                <w:b/>
              </w:rPr>
              <w:t xml:space="preserve"> lesions total cost per patient</w:t>
            </w:r>
          </w:p>
        </w:tc>
        <w:tc>
          <w:tcPr>
            <w:tcW w:w="858" w:type="pct"/>
            <w:tcBorders>
              <w:top w:val="single" w:sz="4" w:space="0" w:color="auto"/>
              <w:bottom w:val="single" w:sz="4" w:space="0" w:color="auto"/>
            </w:tcBorders>
            <w:shd w:val="clear" w:color="auto" w:fill="auto"/>
            <w:vAlign w:val="center"/>
          </w:tcPr>
          <w:p w14:paraId="15650933" w14:textId="77777777" w:rsidR="00FA2A38" w:rsidRPr="00FA2A38" w:rsidRDefault="00FA2A38" w:rsidP="009F3F1D">
            <w:pPr>
              <w:pStyle w:val="Tabletext1"/>
            </w:pPr>
          </w:p>
        </w:tc>
        <w:tc>
          <w:tcPr>
            <w:tcW w:w="561" w:type="pct"/>
            <w:tcBorders>
              <w:top w:val="single" w:sz="4" w:space="0" w:color="auto"/>
              <w:bottom w:val="single" w:sz="4" w:space="0" w:color="auto"/>
            </w:tcBorders>
            <w:shd w:val="clear" w:color="auto" w:fill="auto"/>
            <w:vAlign w:val="center"/>
          </w:tcPr>
          <w:p w14:paraId="601E94FC" w14:textId="77777777" w:rsidR="00FA2A38" w:rsidRPr="00FA2A38" w:rsidRDefault="00FA2A38" w:rsidP="009F3F1D">
            <w:pPr>
              <w:pStyle w:val="Tabletext1"/>
            </w:pPr>
          </w:p>
        </w:tc>
        <w:tc>
          <w:tcPr>
            <w:tcW w:w="489" w:type="pct"/>
            <w:tcBorders>
              <w:top w:val="single" w:sz="4" w:space="0" w:color="auto"/>
              <w:bottom w:val="single" w:sz="4" w:space="0" w:color="auto"/>
            </w:tcBorders>
            <w:shd w:val="clear" w:color="auto" w:fill="auto"/>
            <w:vAlign w:val="center"/>
          </w:tcPr>
          <w:p w14:paraId="10466EE0" w14:textId="77777777" w:rsidR="00FA2A38" w:rsidRPr="00FA2A38" w:rsidRDefault="00FA2A38" w:rsidP="009F3F1D">
            <w:pPr>
              <w:pStyle w:val="Tabletext1"/>
            </w:pPr>
          </w:p>
        </w:tc>
        <w:tc>
          <w:tcPr>
            <w:tcW w:w="797" w:type="pct"/>
            <w:tcBorders>
              <w:top w:val="single" w:sz="4" w:space="0" w:color="auto"/>
              <w:bottom w:val="single" w:sz="4" w:space="0" w:color="auto"/>
              <w:right w:val="single" w:sz="4" w:space="0" w:color="auto"/>
            </w:tcBorders>
            <w:shd w:val="clear" w:color="auto" w:fill="auto"/>
            <w:vAlign w:val="center"/>
          </w:tcPr>
          <w:p w14:paraId="79184D5B" w14:textId="77777777" w:rsidR="00FA2A38" w:rsidRPr="00EF7922" w:rsidRDefault="00FA2A38" w:rsidP="009F3F1D">
            <w:pPr>
              <w:pStyle w:val="Tabletext1"/>
              <w:rPr>
                <w:b/>
              </w:rPr>
            </w:pPr>
            <w:r w:rsidRPr="00EF7922">
              <w:rPr>
                <w:b/>
              </w:rPr>
              <w:t>8,543.83</w:t>
            </w:r>
          </w:p>
        </w:tc>
      </w:tr>
    </w:tbl>
    <w:p w14:paraId="433576C3" w14:textId="1F5A9D77" w:rsidR="008C53CF" w:rsidRPr="008C53CF" w:rsidRDefault="008C53CF" w:rsidP="008C53CF">
      <w:pPr>
        <w:pStyle w:val="Tablenotes0"/>
      </w:pPr>
      <w:r w:rsidRPr="008C53CF">
        <w:t>&lt;</w:t>
      </w:r>
      <w:r w:rsidR="0047566C">
        <w:t xml:space="preserve"> </w:t>
      </w:r>
      <w:r w:rsidRPr="008C53CF">
        <w:t>ABS= Australian Bureau of Statistics; CPI = consumer price index</w:t>
      </w:r>
      <w:r w:rsidR="00016AF9">
        <w:t xml:space="preserve">; FDG- PET= </w:t>
      </w:r>
      <w:r w:rsidR="00016AF9" w:rsidRPr="00016AF9">
        <w:t>Fludeoxyglucose (18F)</w:t>
      </w:r>
      <w:r w:rsidR="00016AF9">
        <w:t xml:space="preserve"> Positron Emission Tomography; MBS= medicare benefits schedule; MTA = microwave thermal ablation; NSW = New South Wales</w:t>
      </w:r>
      <w:r w:rsidR="0047566C">
        <w:t xml:space="preserve"> </w:t>
      </w:r>
      <w:r w:rsidRPr="008C53CF">
        <w:t>&gt;</w:t>
      </w:r>
    </w:p>
    <w:p w14:paraId="5CCA693E" w14:textId="77777777" w:rsidR="00EC653E" w:rsidRDefault="00EC653E" w:rsidP="00AB12D2">
      <w:pPr>
        <w:rPr>
          <w:i/>
        </w:rPr>
      </w:pPr>
      <w:r>
        <w:rPr>
          <w:i/>
        </w:rPr>
        <w:br w:type="page"/>
      </w:r>
    </w:p>
    <w:p w14:paraId="488046B5" w14:textId="21FC07F8" w:rsidR="00AB12D2" w:rsidRPr="00EC653E" w:rsidRDefault="00AB12D2" w:rsidP="00AB12D2">
      <w:pPr>
        <w:rPr>
          <w:b/>
          <w:i/>
        </w:rPr>
      </w:pPr>
      <w:r w:rsidRPr="00EC653E">
        <w:rPr>
          <w:b/>
          <w:i/>
        </w:rPr>
        <w:lastRenderedPageBreak/>
        <w:t>MTA procedure</w:t>
      </w:r>
    </w:p>
    <w:p w14:paraId="7C2566EA" w14:textId="5048BEDA" w:rsidR="00AB12D2" w:rsidRPr="00BC4A30" w:rsidRDefault="00AB12D2" w:rsidP="00AB12D2">
      <w:r w:rsidRPr="00BC4A30">
        <w:t>MTA is administered percutaneously, under CT image guidance to localise and position a thin microwave antenna into the centre of the target tumour (Simon et al 2005). The size, shape, location and vascular supply of the target lesion have an influence on the power and time required to complete an ablation. Promotional material indicates that a 4.5 x 5.5 cm ablation can be undertaken in 6 minutes</w:t>
      </w:r>
      <w:r w:rsidR="0091207A">
        <w:t xml:space="preserve"> </w:t>
      </w:r>
      <w:r w:rsidR="00276D12">
        <w:fldChar w:fldCharType="begin"/>
      </w:r>
      <w:r w:rsidR="00276D12">
        <w:instrText xml:space="preserve"> ADDIN EN.CITE &lt;EndNote&gt;&lt;Cite&gt;&lt;Author&gt;Angiodynamics&lt;/Author&gt;&lt;Year&gt;2016&lt;/Year&gt;&lt;RecNum&gt;194&lt;/RecNum&gt;&lt;DisplayText&gt;(Angiodynamics 2016)&lt;/DisplayText&gt;&lt;record&gt;&lt;rec-number&gt;194&lt;/rec-number&gt;&lt;foreign-keys&gt;&lt;key app="EN" db-id="05ssdaw2cf0zvye5xvo5z9ww0xdpfstrdtew" timestamp="1469615464"&gt;194&lt;/key&gt;&lt;/foreign-keys&gt;&lt;ref-type name="Web Page"&gt;12&lt;/ref-type&gt;&lt;contributors&gt;&lt;authors&gt;&lt;author&gt;Angiodynamics&lt;/author&gt;&lt;/authors&gt;&lt;/contributors&gt;&lt;titles&gt;&lt;title&gt;Acculis MTA System&lt;/title&gt;&lt;/titles&gt;&lt;volume&gt;2016&lt;/volume&gt;&lt;number&gt;15 July&lt;/number&gt;&lt;dates&gt;&lt;year&gt;2016&lt;/year&gt;&lt;/dates&gt;&lt;publisher&gt;Angiodynamics&lt;/publisher&gt;&lt;urls&gt;&lt;related-urls&gt;&lt;url&gt;http://www.angiodynamics.com/products/Acculis&lt;/url&gt;&lt;/related-urls&gt;&lt;/urls&gt;&lt;/record&gt;&lt;/Cite&gt;&lt;/EndNote&gt;</w:instrText>
      </w:r>
      <w:r w:rsidR="00276D12">
        <w:fldChar w:fldCharType="separate"/>
      </w:r>
      <w:r w:rsidR="00276D12">
        <w:rPr>
          <w:noProof/>
        </w:rPr>
        <w:t>(</w:t>
      </w:r>
      <w:hyperlink w:anchor="_ENREF_7" w:tooltip="Angiodynamics, 2016 #194" w:history="1">
        <w:r w:rsidR="00320458">
          <w:rPr>
            <w:noProof/>
          </w:rPr>
          <w:t>Angiodynamics 2016</w:t>
        </w:r>
      </w:hyperlink>
      <w:r w:rsidR="00276D12">
        <w:rPr>
          <w:noProof/>
        </w:rPr>
        <w:t>)</w:t>
      </w:r>
      <w:r w:rsidR="00276D12">
        <w:fldChar w:fldCharType="end"/>
      </w:r>
      <w:r w:rsidRPr="00BC4A30">
        <w:t>. Discussions with clinicians indicated that a large part of procedural time is associated with preparing anaesthetic and placing the patient. A single ablation is usually performed in less than 8 minutes, while overlapping and additional ablations required in larger target lesions may add up to an ablation time of 15</w:t>
      </w:r>
      <w:r w:rsidR="008C53CF">
        <w:t>–</w:t>
      </w:r>
      <w:r w:rsidRPr="00BC4A30">
        <w:t xml:space="preserve">20 minutes per lesion. The entire procedure </w:t>
      </w:r>
      <w:r w:rsidR="008C53CF">
        <w:t>take</w:t>
      </w:r>
      <w:r w:rsidRPr="00BC4A30">
        <w:t>s from around 1 to 1.5 hours.</w:t>
      </w:r>
    </w:p>
    <w:p w14:paraId="41EA250E" w14:textId="3CD227BA" w:rsidR="00AB12D2" w:rsidRPr="00BC4A30" w:rsidRDefault="00AB12D2" w:rsidP="00AB12D2">
      <w:r w:rsidRPr="00BC4A30">
        <w:t>The MTA procedure is led by an interventional radiologist. Angiodynamics, the manufacturer of the Acculis MTA System, note that it is designed to be used by physicians who are trained in the use and application of image-guided ablation procedures, intraoperative ultrasound and/or CT guided needle placement</w:t>
      </w:r>
      <w:r w:rsidR="00276D12">
        <w:t xml:space="preserve"> </w:t>
      </w:r>
      <w:r w:rsidR="00597766">
        <w:fldChar w:fldCharType="begin"/>
      </w:r>
      <w:r w:rsidR="00597766">
        <w:instrText xml:space="preserve"> ADDIN EN.CITE &lt;EndNote&gt;&lt;Cite&gt;&lt;Author&gt;Angiodynamics&lt;/Author&gt;&lt;Year&gt;2016&lt;/Year&gt;&lt;RecNum&gt;194&lt;/RecNum&gt;&lt;DisplayText&gt;(Angiodynamics 2016)&lt;/DisplayText&gt;&lt;record&gt;&lt;rec-number&gt;194&lt;/rec-number&gt;&lt;foreign-keys&gt;&lt;key app="EN" db-id="05ssdaw2cf0zvye5xvo5z9ww0xdpfstrdtew" timestamp="1469615464"&gt;194&lt;/key&gt;&lt;/foreign-keys&gt;&lt;ref-type name="Web Page"&gt;12&lt;/ref-type&gt;&lt;contributors&gt;&lt;authors&gt;&lt;author&gt;Angiodynamics&lt;/author&gt;&lt;/authors&gt;&lt;/contributors&gt;&lt;titles&gt;&lt;title&gt;Acculis MTA System&lt;/title&gt;&lt;/titles&gt;&lt;volume&gt;2016&lt;/volume&gt;&lt;number&gt;15 July&lt;/number&gt;&lt;dates&gt;&lt;year&gt;2016&lt;/year&gt;&lt;/dates&gt;&lt;publisher&gt;Angiodynamics&lt;/publisher&gt;&lt;urls&gt;&lt;related-urls&gt;&lt;url&gt;http://www.angiodynamics.com/products/Acculis&lt;/url&gt;&lt;/related-urls&gt;&lt;/urls&gt;&lt;/record&gt;&lt;/Cite&gt;&lt;/EndNote&gt;</w:instrText>
      </w:r>
      <w:r w:rsidR="00597766">
        <w:fldChar w:fldCharType="separate"/>
      </w:r>
      <w:r w:rsidR="00597766">
        <w:rPr>
          <w:noProof/>
        </w:rPr>
        <w:t>(</w:t>
      </w:r>
      <w:hyperlink w:anchor="_ENREF_7" w:tooltip="Angiodynamics, 2016 #194" w:history="1">
        <w:r w:rsidR="00320458">
          <w:rPr>
            <w:noProof/>
          </w:rPr>
          <w:t>Angiodynamics 2016</w:t>
        </w:r>
      </w:hyperlink>
      <w:r w:rsidR="00597766">
        <w:rPr>
          <w:noProof/>
        </w:rPr>
        <w:t>)</w:t>
      </w:r>
      <w:r w:rsidR="00597766">
        <w:fldChar w:fldCharType="end"/>
      </w:r>
      <w:r w:rsidRPr="00BC4A30">
        <w:t>. According to the applicant the number of tumours treated alters the complexity of the procedure. The proposed fee has been adopted from MSAC Application 1402 (MTA of liver tumours). A “$1300 fee for ablation of 2</w:t>
      </w:r>
      <w:r w:rsidR="00D35E9C">
        <w:t>–</w:t>
      </w:r>
      <w:r w:rsidRPr="00BC4A30">
        <w:t>3 lesions, a $1600 fee for ablation of 4</w:t>
      </w:r>
      <w:r w:rsidR="00D35E9C">
        <w:t>–</w:t>
      </w:r>
      <w:r w:rsidRPr="00BC4A30">
        <w:t xml:space="preserve">5 lesions and a $2000 fee for ablation of &gt;5 lesions. The higher fee for &gt;5 lesions reflect the increased risk to the patients such as collateral damage as well as more skill, time and expertise required of the physician to ensure better patient outcomes”. Discussions with clinicians indicate that more than 5 lesions are rarely treated and </w:t>
      </w:r>
      <w:r w:rsidR="008C53CF">
        <w:t xml:space="preserve">resultantly </w:t>
      </w:r>
      <w:r w:rsidRPr="00BC4A30">
        <w:t>this cost is not included.</w:t>
      </w:r>
    </w:p>
    <w:p w14:paraId="4E9C6247" w14:textId="7257ACC1" w:rsidR="00AB12D2" w:rsidRPr="00BC4A30" w:rsidRDefault="00AB12D2" w:rsidP="00AB12D2">
      <w:r w:rsidRPr="00BC4A30">
        <w:t>The proposed descriptor reads ‘NON-RESECTABLE PRIMARY LUNG CANCER OR PULMONARY METASTATIC DISEASE, destruction of lesions, by percutaneous MTA with curative or palliative intent, including any associated imaging services’. Imaging is presumed to be associated with MTA guidance, rather than follow-up scans and X-rays. Two follow-up chest X-rays are performed after the procedure, generally followed by a limited CT scan of the ablated area the morning after the procedure. A CT scan aims to assess the final thermal damage at the site of ablation. Discussions with clinicians indicate that CT scans should be performed after the overnight stay when the damage to the tumour is more apparent. MBS fees for CHEST (lung fields) by direct radiography of $35.35</w:t>
      </w:r>
      <w:r w:rsidR="008C53CF">
        <w:t xml:space="preserve"> </w:t>
      </w:r>
      <w:r w:rsidRPr="00BC4A30">
        <w:t>per X-ray (MBS Item 58500) and COMPUTED TOMOGRAPHY (MBS Item 56347) of $202 for scan of the chest, including lungs, mediastinum, chest wall and pleura, with or without scans of the upper abdomen, with intravenous contrast medium are included for imaging are included in the overall cost of the procedure.</w:t>
      </w:r>
    </w:p>
    <w:p w14:paraId="60730F9D" w14:textId="4E1F7FF2" w:rsidR="00AB12D2" w:rsidRPr="00BC4A30" w:rsidRDefault="00AB12D2" w:rsidP="00AB12D2">
      <w:r w:rsidRPr="00BC4A30">
        <w:t>During the procedure</w:t>
      </w:r>
      <w:r w:rsidR="005B2238">
        <w:t>,</w:t>
      </w:r>
      <w:r w:rsidRPr="00BC4A30">
        <w:t xml:space="preserve"> patients may receive conscious sedation or general anaesthesia. In a review of ablation studies prior to November 2006 by Zhu et al (2008), a total of 17 treatment centres were identified. Of these centres, 13 preferred conscious se</w:t>
      </w:r>
      <w:r w:rsidR="00016AF9">
        <w:t>dation with local anaesthesia, three</w:t>
      </w:r>
      <w:r w:rsidRPr="00BC4A30">
        <w:t xml:space="preserve"> used general anaesthesia </w:t>
      </w:r>
      <w:r w:rsidRPr="006750DB">
        <w:t xml:space="preserve">alone </w:t>
      </w:r>
      <w:r w:rsidR="00E14908" w:rsidRPr="006750DB">
        <w:fldChar w:fldCharType="begin">
          <w:fldData xml:space="preserve">PEVuZE5vdGU+PENpdGU+PEF1dGhvcj5GZXJuYW5kbzwvQXV0aG9yPjxZZWFyPjIwMDU8L1llYXI+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</w:fldData>
        </w:fldChar>
      </w:r>
      <w:r w:rsidR="00194054" w:rsidRPr="006750DB">
        <w:instrText xml:space="preserve"> ADDIN EN.CITE </w:instrText>
      </w:r>
      <w:r w:rsidR="00194054" w:rsidRPr="006750DB">
        <w:fldChar w:fldCharType="begin">
          <w:fldData xml:space="preserve">PEVuZE5vdGU+PENpdGU+PEF1dGhvcj5GZXJuYW5kbzwvQXV0aG9yPjxZZWFyPjIwMDU8L1llYXI+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</w:fldData>
        </w:fldChar>
      </w:r>
      <w:r w:rsidR="00194054" w:rsidRPr="006750DB">
        <w:instrText xml:space="preserve"> ADDIN EN.CITE.DATA </w:instrText>
      </w:r>
      <w:r w:rsidR="00194054" w:rsidRPr="006750DB">
        <w:fldChar w:fldCharType="end"/>
      </w:r>
      <w:r w:rsidR="00E14908" w:rsidRPr="006750DB">
        <w:fldChar w:fldCharType="separate"/>
      </w:r>
      <w:r w:rsidR="00E14908" w:rsidRPr="006750DB">
        <w:rPr>
          <w:noProof/>
        </w:rPr>
        <w:t>(</w:t>
      </w:r>
      <w:hyperlink w:anchor="_ENREF_52" w:tooltip="Fernando, 2005 #209" w:history="1">
        <w:r w:rsidR="00320458" w:rsidRPr="006750DB">
          <w:rPr>
            <w:noProof/>
          </w:rPr>
          <w:t>Fernando et al 2005</w:t>
        </w:r>
      </w:hyperlink>
      <w:r w:rsidR="00E14908" w:rsidRPr="006750DB">
        <w:rPr>
          <w:noProof/>
        </w:rPr>
        <w:t xml:space="preserve">; </w:t>
      </w:r>
      <w:hyperlink w:anchor="_ENREF_55" w:tooltip="Gadaleta, 2004 #211" w:history="1">
        <w:r w:rsidR="00320458" w:rsidRPr="006750DB">
          <w:rPr>
            <w:noProof/>
          </w:rPr>
          <w:t>Gadaleta et al 2004</w:t>
        </w:r>
      </w:hyperlink>
      <w:r w:rsidR="00E14908" w:rsidRPr="006750DB">
        <w:rPr>
          <w:noProof/>
        </w:rPr>
        <w:t xml:space="preserve">; </w:t>
      </w:r>
      <w:hyperlink w:anchor="_ENREF_66" w:tooltip="Herrera, 2003 #214" w:history="1">
        <w:r w:rsidR="00320458" w:rsidRPr="006750DB">
          <w:rPr>
            <w:noProof/>
          </w:rPr>
          <w:t>Herrera et al 2003</w:t>
        </w:r>
      </w:hyperlink>
      <w:r w:rsidR="00E14908" w:rsidRPr="006750DB">
        <w:rPr>
          <w:noProof/>
        </w:rPr>
        <w:t xml:space="preserve">; </w:t>
      </w:r>
      <w:hyperlink w:anchor="_ENREF_78" w:tooltip="Kang, 2004 #218" w:history="1">
        <w:r w:rsidR="00320458" w:rsidRPr="006750DB">
          <w:rPr>
            <w:noProof/>
          </w:rPr>
          <w:t xml:space="preserve">Kang et al </w:t>
        </w:r>
        <w:r w:rsidR="00320458" w:rsidRPr="006750DB">
          <w:rPr>
            <w:noProof/>
          </w:rPr>
          <w:lastRenderedPageBreak/>
          <w:t>2004</w:t>
        </w:r>
      </w:hyperlink>
      <w:r w:rsidR="00E14908" w:rsidRPr="006750DB">
        <w:rPr>
          <w:noProof/>
        </w:rPr>
        <w:t>)</w:t>
      </w:r>
      <w:r w:rsidR="00E14908" w:rsidRPr="006750DB">
        <w:fldChar w:fldCharType="end"/>
      </w:r>
      <w:r w:rsidRPr="006750DB">
        <w:t>,</w:t>
      </w:r>
      <w:r w:rsidRPr="00BC4A30">
        <w:t xml:space="preserve"> </w:t>
      </w:r>
      <w:r w:rsidR="008C53CF">
        <w:t>two</w:t>
      </w:r>
      <w:r w:rsidRPr="00BC4A30">
        <w:t xml:space="preserve"> used conscious sedation with local anaesthesia or general </w:t>
      </w:r>
      <w:r w:rsidRPr="006750DB">
        <w:t>anaesthesi</w:t>
      </w:r>
      <w:r w:rsidR="006750DB" w:rsidRPr="006750DB">
        <w:t xml:space="preserve">a </w:t>
      </w:r>
      <w:r w:rsidR="00E14908" w:rsidRPr="006750DB">
        <w:fldChar w:fldCharType="begin">
          <w:fldData xml:space="preserve">PEVuZE5vdGU+PENpdGU+PEF1dGhvcj5kZSBCYWVyZTwvQXV0aG9yPjxZZWFyPjIwMDY8L1llYXI+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PlJhZGlvbG9neTwvYWJici0xPjwvYWx0LXBlcmlvZGljYWw+PHBhZ2VzPjU4Ny05NjwvcGFnZXM+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=
</w:fldData>
        </w:fldChar>
      </w:r>
      <w:r w:rsidR="00194054" w:rsidRPr="006750DB">
        <w:instrText xml:space="preserve"> ADDIN EN.CITE </w:instrText>
      </w:r>
      <w:r w:rsidR="00194054" w:rsidRPr="006750DB">
        <w:fldChar w:fldCharType="begin">
          <w:fldData xml:space="preserve">PEVuZE5vdGU+PENpdGU+PEF1dGhvcj5kZSBCYWVyZTwvQXV0aG9yPjxZZWFyPjIwMDY8L1llYXI+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PlJhZGlvbG9neTwvYWJici0xPjwvYWx0LXBlcmlvZGljYWw+PHBhZ2VzPjU4Ny05NjwvcGFnZXM+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=
</w:fldData>
        </w:fldChar>
      </w:r>
      <w:r w:rsidR="00194054" w:rsidRPr="006750DB">
        <w:instrText xml:space="preserve"> ADDIN EN.CITE.DATA </w:instrText>
      </w:r>
      <w:r w:rsidR="00194054" w:rsidRPr="006750DB">
        <w:fldChar w:fldCharType="end"/>
      </w:r>
      <w:r w:rsidR="00E14908" w:rsidRPr="006750DB">
        <w:fldChar w:fldCharType="separate"/>
      </w:r>
      <w:r w:rsidR="00E14908" w:rsidRPr="006750DB">
        <w:rPr>
          <w:noProof/>
        </w:rPr>
        <w:t>(</w:t>
      </w:r>
      <w:hyperlink w:anchor="_ENREF_37" w:tooltip="de Baere, 2006 #200" w:history="1">
        <w:r w:rsidR="00320458" w:rsidRPr="006750DB">
          <w:rPr>
            <w:noProof/>
          </w:rPr>
          <w:t>de Baere et al 2006</w:t>
        </w:r>
      </w:hyperlink>
      <w:r w:rsidR="00E14908" w:rsidRPr="006750DB">
        <w:rPr>
          <w:noProof/>
        </w:rPr>
        <w:t xml:space="preserve">; </w:t>
      </w:r>
      <w:hyperlink w:anchor="_ENREF_161" w:tooltip="VanSonnenberg, 2005 #241" w:history="1">
        <w:r w:rsidR="00320458" w:rsidRPr="006750DB">
          <w:rPr>
            <w:noProof/>
          </w:rPr>
          <w:t>VanSonnenberg et al 2005</w:t>
        </w:r>
      </w:hyperlink>
      <w:r w:rsidR="00E14908" w:rsidRPr="006750DB">
        <w:rPr>
          <w:noProof/>
        </w:rPr>
        <w:t>)</w:t>
      </w:r>
      <w:r w:rsidR="00E14908" w:rsidRPr="006750DB">
        <w:fldChar w:fldCharType="end"/>
      </w:r>
      <w:r w:rsidR="008C53CF">
        <w:t xml:space="preserve"> and one</w:t>
      </w:r>
      <w:r w:rsidRPr="00BC4A30">
        <w:t xml:space="preserve"> used conscious sedation with local anaesthesia or epidural anaesthesia. Discussions with a MTA clinician indicated that general anaesthesia is preferred in the Australian setting. Patients often exhibit poor performance, have comorbidities and are elderly. </w:t>
      </w:r>
      <w:r w:rsidR="005B2238" w:rsidRPr="00BC4A30">
        <w:t>A range of items is</w:t>
      </w:r>
      <w:r w:rsidRPr="00BC4A30">
        <w:t xml:space="preserve"> included for general anaesthesia within hospital</w:t>
      </w:r>
      <w:r w:rsidR="005B2238">
        <w:t>,</w:t>
      </w:r>
      <w:r w:rsidRPr="00BC4A30">
        <w:t xml:space="preserve"> and are listed in the above table. Mean times across item numbers were used for base costing. A local anaesthesia using lidocaine could also be administered at the site of insertion. This cost is not included in the base costing.</w:t>
      </w:r>
    </w:p>
    <w:p w14:paraId="392AE15D" w14:textId="09B7A317" w:rsidR="00AB12D2" w:rsidRPr="00BC4A30" w:rsidRDefault="00AB12D2" w:rsidP="00AB12D2">
      <w:r w:rsidRPr="00BC4A30">
        <w:t xml:space="preserve">As the procedure occurs in a hospital and involves overnight stay, dedicated nursing staff </w:t>
      </w:r>
      <w:r w:rsidR="00D95CAB">
        <w:t>and</w:t>
      </w:r>
      <w:r w:rsidRPr="00BC4A30">
        <w:t xml:space="preserve"> hospital resources are involved. They are costed using a nurse assistant</w:t>
      </w:r>
      <w:r w:rsidR="008C53CF" w:rsidRPr="008C53CF">
        <w:t>—</w:t>
      </w:r>
      <w:r w:rsidR="008C53CF">
        <w:t>y</w:t>
      </w:r>
      <w:r w:rsidRPr="00BC4A30">
        <w:t xml:space="preserve">ear 2, $847.00 per week (July 2016) and registered nurse (RN) </w:t>
      </w:r>
      <w:r w:rsidR="008C53CF">
        <w:t>—</w:t>
      </w:r>
      <w:r w:rsidRPr="00BC4A30">
        <w:t xml:space="preserve"> </w:t>
      </w:r>
      <w:r w:rsidR="008C53CF">
        <w:t>y</w:t>
      </w:r>
      <w:r w:rsidRPr="00BC4A30">
        <w:t>ear 5, $1,399.30 per week providing an average 1</w:t>
      </w:r>
      <w:r w:rsidR="00D35E9C">
        <w:t>-</w:t>
      </w:r>
      <w:r w:rsidRPr="00BC4A30">
        <w:t xml:space="preserve">hour input across the lesion groupings. </w:t>
      </w:r>
      <w:r w:rsidR="004B4405">
        <w:t xml:space="preserve">Because </w:t>
      </w:r>
      <w:r w:rsidRPr="00BC4A30">
        <w:t>the intervention involves a fixed cost associated with anaesthesia and placing the patient, this cost will not vary substantially with the addition of two lesions. Hospital accommodation is the average of shared ward and single ward accommodation costs c</w:t>
      </w:r>
      <w:r w:rsidR="008C53CF">
        <w:t>alculated in Victoria for 2015</w:t>
      </w:r>
      <w:r w:rsidR="00D35E9C">
        <w:t>–</w:t>
      </w:r>
      <w:r w:rsidR="008C53CF">
        <w:t>2016</w:t>
      </w:r>
      <w:r w:rsidRPr="00BC4A30">
        <w:t>, surgical or obstetric patient first 14 days.</w:t>
      </w:r>
    </w:p>
    <w:p w14:paraId="3D1472C5" w14:textId="77777777" w:rsidR="00AB12D2" w:rsidRPr="00EC653E" w:rsidRDefault="00AB12D2" w:rsidP="005B2238">
      <w:pPr>
        <w:spacing w:before="500"/>
        <w:rPr>
          <w:b/>
          <w:i/>
        </w:rPr>
      </w:pPr>
      <w:r w:rsidRPr="00EC653E">
        <w:rPr>
          <w:b/>
          <w:i/>
        </w:rPr>
        <w:t>Follow-up</w:t>
      </w:r>
    </w:p>
    <w:p w14:paraId="5483BC11" w14:textId="153D6746" w:rsidR="00AB12D2" w:rsidRPr="00BC4A30" w:rsidRDefault="00AB12D2" w:rsidP="00AB12D2">
      <w:r w:rsidRPr="00BC4A30">
        <w:t xml:space="preserve">The </w:t>
      </w:r>
      <w:r w:rsidR="005B16C7">
        <w:t>protocol</w:t>
      </w:r>
      <w:r w:rsidRPr="00BC4A30">
        <w:t xml:space="preserve"> notes that CT imaging follow-up can be performed at </w:t>
      </w:r>
      <w:r w:rsidR="008C53CF">
        <w:t>3, 6</w:t>
      </w:r>
      <w:r w:rsidRPr="00BC4A30">
        <w:t xml:space="preserve"> and 12 months after ablation and yearly thereafter (Liu and Steinke 2013). The cost minimisation </w:t>
      </w:r>
      <w:r w:rsidR="00CA6DFD" w:rsidRPr="00BC4A30">
        <w:t>analysis is undertaken up to 3 months post-intervention and includes</w:t>
      </w:r>
      <w:r w:rsidRPr="00BC4A30">
        <w:t xml:space="preserve"> an additional CT scan and follow-up consultation with a medical oncologist. </w:t>
      </w:r>
    </w:p>
    <w:p w14:paraId="5CD2C379" w14:textId="77777777" w:rsidR="00AB12D2" w:rsidRPr="00EC653E" w:rsidRDefault="00CA6DFD" w:rsidP="005B2238">
      <w:pPr>
        <w:spacing w:before="500"/>
        <w:rPr>
          <w:b/>
          <w:i/>
        </w:rPr>
      </w:pPr>
      <w:r w:rsidRPr="00EC653E">
        <w:rPr>
          <w:b/>
          <w:i/>
        </w:rPr>
        <w:t>Adverse Events</w:t>
      </w:r>
    </w:p>
    <w:p w14:paraId="1CA1D6FF" w14:textId="0291AD74" w:rsidR="00AB12D2" w:rsidRPr="00BC4A30" w:rsidRDefault="00AB12D2" w:rsidP="00AB12D2">
      <w:pPr>
        <w:rPr>
          <w:noProof/>
        </w:rPr>
      </w:pPr>
      <w:r w:rsidRPr="00BC4A30">
        <w:rPr>
          <w:noProof/>
        </w:rPr>
        <w:t>As a proportion of ablation procedures from included studies in Section B a median of 32% of procedures are associated with pneumothorax (range: 8.3</w:t>
      </w:r>
      <w:r w:rsidR="00D35E9C">
        <w:rPr>
          <w:noProof/>
        </w:rPr>
        <w:t>–</w:t>
      </w:r>
      <w:r w:rsidRPr="00BC4A30">
        <w:rPr>
          <w:noProof/>
        </w:rPr>
        <w:t>63.8%), with 30.3 per cent (range 0</w:t>
      </w:r>
      <w:r w:rsidR="00D35E9C">
        <w:rPr>
          <w:noProof/>
        </w:rPr>
        <w:t>–</w:t>
      </w:r>
      <w:r w:rsidRPr="00BC4A30">
        <w:rPr>
          <w:noProof/>
        </w:rPr>
        <w:t>66.7%) being severe (i.e. require chest tube drainage). This translates into 9.6 per cent of all MTA procedures requring chest drainage. Using the mean from included studies, as opposed to the median, the proportions are similar. A total of 31.4 per cent of MTA procedures would have associated pneumothorax (</w:t>
      </w:r>
      <w:r w:rsidR="005B16C7">
        <w:rPr>
          <w:noProof/>
        </w:rPr>
        <w:t>standard deviation [</w:t>
      </w:r>
      <w:r w:rsidR="008C53CF">
        <w:rPr>
          <w:noProof/>
        </w:rPr>
        <w:t>SD</w:t>
      </w:r>
      <w:r w:rsidR="005B16C7">
        <w:rPr>
          <w:noProof/>
        </w:rPr>
        <w:t>]</w:t>
      </w:r>
      <w:r w:rsidRPr="00BC4A30">
        <w:rPr>
          <w:noProof/>
        </w:rPr>
        <w:t xml:space="preserve"> 17.2%) and of those 27.4 per cent would be severe (</w:t>
      </w:r>
      <w:r w:rsidR="00FE016B">
        <w:rPr>
          <w:noProof/>
        </w:rPr>
        <w:t>SD</w:t>
      </w:r>
      <w:r w:rsidRPr="00BC4A30">
        <w:rPr>
          <w:noProof/>
        </w:rPr>
        <w:t xml:space="preserve"> 18.6%). This equates to a total mean proportion of 8.6 per cent of MTA procedures requring a chest drain. </w:t>
      </w:r>
    </w:p>
    <w:p w14:paraId="07C1A68B" w14:textId="322920D8" w:rsidR="00AB12D2" w:rsidRPr="00BC4A30" w:rsidRDefault="00AB12D2" w:rsidP="00AB12D2">
      <w:pPr>
        <w:rPr>
          <w:noProof/>
        </w:rPr>
      </w:pPr>
      <w:r w:rsidRPr="00BC4A30">
        <w:t>The average costs of p</w:t>
      </w:r>
      <w:r w:rsidRPr="00BC4A30">
        <w:rPr>
          <w:noProof/>
        </w:rPr>
        <w:t>neumothorax are collected as part of the Australian publ</w:t>
      </w:r>
      <w:r w:rsidR="00A941E9" w:rsidRPr="00BC4A30">
        <w:rPr>
          <w:noProof/>
        </w:rPr>
        <w:t>ic hospital AR-DRG series. The p</w:t>
      </w:r>
      <w:r w:rsidRPr="00BC4A30">
        <w:rPr>
          <w:noProof/>
        </w:rPr>
        <w:t xml:space="preserve">rotocol notes that </w:t>
      </w:r>
      <w:r w:rsidRPr="00BC4A30">
        <w:t xml:space="preserve">MTA is provided in radiology departments within larger public or private hospitals, with patients either being kept overnight or in a day surgery setting. Given the </w:t>
      </w:r>
      <w:r w:rsidRPr="00BC4A30">
        <w:lastRenderedPageBreak/>
        <w:t xml:space="preserve">absence of an MBS number or the current location of MTA practitioners, most MTA appears </w:t>
      </w:r>
      <w:r w:rsidR="004B74F2">
        <w:t xml:space="preserve">to be </w:t>
      </w:r>
      <w:r w:rsidRPr="00BC4A30">
        <w:t>delivered in public settings.</w:t>
      </w:r>
    </w:p>
    <w:p w14:paraId="2B1ED4ED" w14:textId="20F56F00" w:rsidR="00AB12D2" w:rsidRPr="00BC4A30" w:rsidRDefault="00AB12D2" w:rsidP="00AB12D2">
      <w:pPr>
        <w:rPr>
          <w:noProof/>
        </w:rPr>
      </w:pPr>
      <w:r w:rsidRPr="00BC4A30">
        <w:rPr>
          <w:noProof/>
        </w:rPr>
        <w:t>Public hospital costs for this adverse event includes DRG-E68A, Pneumothorax W Catastrophic or Severe CC, with an average cost per separation of $10,035 Round 18 (2013</w:t>
      </w:r>
      <w:r w:rsidR="00016AF9">
        <w:rPr>
          <w:rFonts w:ascii="Arial" w:hAnsi="Arial" w:cs="Arial"/>
          <w:noProof/>
          <w:lang w:bidi="he-IL"/>
        </w:rPr>
        <w:t>–</w:t>
      </w:r>
      <w:r w:rsidR="00C158D6">
        <w:rPr>
          <w:noProof/>
        </w:rPr>
        <w:t>20</w:t>
      </w:r>
      <w:r w:rsidRPr="00BC4A30">
        <w:rPr>
          <w:noProof/>
        </w:rPr>
        <w:t>14) inflated to 2016 using A</w:t>
      </w:r>
      <w:r w:rsidR="00C158D6">
        <w:rPr>
          <w:noProof/>
        </w:rPr>
        <w:t xml:space="preserve">ustralian </w:t>
      </w:r>
      <w:r w:rsidRPr="00BC4A30">
        <w:rPr>
          <w:noProof/>
        </w:rPr>
        <w:t>B</w:t>
      </w:r>
      <w:r w:rsidR="00C158D6">
        <w:rPr>
          <w:noProof/>
        </w:rPr>
        <w:t xml:space="preserve">eaureau of </w:t>
      </w:r>
      <w:r w:rsidRPr="00BC4A30">
        <w:rPr>
          <w:noProof/>
        </w:rPr>
        <w:t>S</w:t>
      </w:r>
      <w:r w:rsidR="00C158D6">
        <w:rPr>
          <w:noProof/>
        </w:rPr>
        <w:t>tatistics consumer price index</w:t>
      </w:r>
      <w:r w:rsidRPr="00BC4A30">
        <w:rPr>
          <w:noProof/>
        </w:rPr>
        <w:t xml:space="preserve"> </w:t>
      </w:r>
      <w:r w:rsidR="00C158D6">
        <w:rPr>
          <w:noProof/>
        </w:rPr>
        <w:t xml:space="preserve">(ABS </w:t>
      </w:r>
      <w:r w:rsidRPr="00BC4A30">
        <w:rPr>
          <w:noProof/>
        </w:rPr>
        <w:t>CPI</w:t>
      </w:r>
      <w:r w:rsidR="00C158D6">
        <w:rPr>
          <w:noProof/>
        </w:rPr>
        <w:t>)</w:t>
      </w:r>
      <w:r w:rsidRPr="00BC4A30">
        <w:rPr>
          <w:noProof/>
        </w:rPr>
        <w:t xml:space="preserve"> and DRG-E68B. Pneumothorax W/O Catastrophic or Severe CC has an average cost per separtion of $5,098 inflated to 2016 using CPI. Discussions with clincians indicate that this adverse event is rare in their practice, possibly due to the intervention being delivered in an inpatient setting. The cost is not include</w:t>
      </w:r>
      <w:r w:rsidR="00C158D6">
        <w:rPr>
          <w:noProof/>
        </w:rPr>
        <w:t>d</w:t>
      </w:r>
      <w:r w:rsidRPr="00BC4A30">
        <w:rPr>
          <w:noProof/>
        </w:rPr>
        <w:t xml:space="preserve"> in the base cost estimate, but included in a sensitivitity analysis.</w:t>
      </w:r>
    </w:p>
    <w:p w14:paraId="58DB44F0" w14:textId="77777777" w:rsidR="00AB12D2" w:rsidRPr="00BC4A30" w:rsidRDefault="00AB12D2" w:rsidP="00AB12D2">
      <w:pPr>
        <w:pStyle w:val="Caption"/>
        <w:keepNext/>
      </w:pPr>
      <w:bookmarkStart w:id="393" w:name="_Toc460514727"/>
      <w:r w:rsidRPr="00BC4A30">
        <w:t xml:space="preserve">Table </w:t>
      </w:r>
      <w:fldSimple w:instr=" SEQ Table \* ARABIC ">
        <w:r w:rsidR="00D170A5">
          <w:rPr>
            <w:noProof/>
          </w:rPr>
          <w:t>69</w:t>
        </w:r>
      </w:fldSimple>
      <w:r w:rsidRPr="00BC4A30">
        <w:tab/>
        <w:t>Summary of the key assumptions relating to major adverse events</w:t>
      </w:r>
      <w:bookmarkEnd w:id="393"/>
    </w:p>
    <w:tbl>
      <w:tblPr>
        <w:tblStyle w:val="TableGrid"/>
        <w:tblW w:w="0" w:type="auto"/>
        <w:tblInd w:w="-5" w:type="dxa"/>
        <w:tblLook w:val="04A0" w:firstRow="1" w:lastRow="0" w:firstColumn="1" w:lastColumn="0" w:noHBand="0" w:noVBand="1"/>
        <w:tblCaption w:val="Table D.4.2"/>
        <w:tblDescription w:val="Summary of the assumptions relating to major adverse events"/>
      </w:tblPr>
      <w:tblGrid>
        <w:gridCol w:w="3544"/>
        <w:gridCol w:w="2126"/>
        <w:gridCol w:w="3345"/>
      </w:tblGrid>
      <w:tr w:rsidR="00AB12D2" w:rsidRPr="00BC4A30" w14:paraId="20B6FF94" w14:textId="77777777" w:rsidTr="006750DB">
        <w:trPr>
          <w:trHeight w:val="250"/>
          <w:tblHeader/>
        </w:trPr>
        <w:tc>
          <w:tcPr>
            <w:tcW w:w="3544" w:type="dxa"/>
            <w:shd w:val="clear" w:color="auto" w:fill="D9D9D9" w:themeFill="background1" w:themeFillShade="D9"/>
            <w:noWrap/>
            <w:hideMark/>
          </w:tcPr>
          <w:p w14:paraId="6EF097E8" w14:textId="77777777" w:rsidR="00AB12D2" w:rsidRPr="006750DB" w:rsidRDefault="00AB12D2" w:rsidP="006750DB">
            <w:pPr>
              <w:pStyle w:val="Tabletext1"/>
              <w:ind w:left="0"/>
              <w:rPr>
                <w:b/>
                <w:noProof/>
              </w:rPr>
            </w:pPr>
            <w:r w:rsidRPr="006750DB">
              <w:rPr>
                <w:b/>
                <w:noProof/>
              </w:rPr>
              <w:t>Major adverse events</w:t>
            </w:r>
          </w:p>
        </w:tc>
        <w:tc>
          <w:tcPr>
            <w:tcW w:w="2126" w:type="dxa"/>
            <w:shd w:val="clear" w:color="auto" w:fill="D9D9D9" w:themeFill="background1" w:themeFillShade="D9"/>
            <w:noWrap/>
            <w:vAlign w:val="center"/>
            <w:hideMark/>
          </w:tcPr>
          <w:p w14:paraId="1F008EA1" w14:textId="77777777" w:rsidR="00AB12D2" w:rsidRPr="006750DB" w:rsidRDefault="00AB12D2" w:rsidP="006750DB">
            <w:pPr>
              <w:pStyle w:val="Tabletext1"/>
              <w:ind w:left="0"/>
              <w:rPr>
                <w:b/>
                <w:noProof/>
              </w:rPr>
            </w:pPr>
            <w:r w:rsidRPr="006750DB">
              <w:rPr>
                <w:b/>
                <w:noProof/>
              </w:rPr>
              <w:t>Base case</w:t>
            </w:r>
          </w:p>
        </w:tc>
        <w:tc>
          <w:tcPr>
            <w:tcW w:w="3345" w:type="dxa"/>
            <w:shd w:val="clear" w:color="auto" w:fill="D9D9D9" w:themeFill="background1" w:themeFillShade="D9"/>
            <w:noWrap/>
            <w:vAlign w:val="center"/>
            <w:hideMark/>
          </w:tcPr>
          <w:p w14:paraId="736C66F7" w14:textId="77777777" w:rsidR="00AB12D2" w:rsidRPr="006750DB" w:rsidRDefault="00AB12D2" w:rsidP="006750DB">
            <w:pPr>
              <w:pStyle w:val="Tabletext1"/>
              <w:ind w:left="0"/>
              <w:rPr>
                <w:b/>
                <w:noProof/>
              </w:rPr>
            </w:pPr>
            <w:r w:rsidRPr="006750DB">
              <w:rPr>
                <w:b/>
                <w:noProof/>
              </w:rPr>
              <w:t>Reference</w:t>
            </w:r>
          </w:p>
        </w:tc>
      </w:tr>
      <w:tr w:rsidR="00AB12D2" w:rsidRPr="00BC4A30" w14:paraId="4A0B9ED2" w14:textId="77777777" w:rsidTr="00AB12D2">
        <w:trPr>
          <w:trHeight w:val="250"/>
        </w:trPr>
        <w:tc>
          <w:tcPr>
            <w:tcW w:w="3544" w:type="dxa"/>
            <w:noWrap/>
          </w:tcPr>
          <w:p w14:paraId="27778F55" w14:textId="77777777" w:rsidR="00AB12D2" w:rsidRPr="00BC4A30" w:rsidRDefault="00AB12D2" w:rsidP="006750DB">
            <w:pPr>
              <w:pStyle w:val="Tabletext1"/>
              <w:ind w:left="0"/>
              <w:rPr>
                <w:noProof/>
              </w:rPr>
            </w:pPr>
            <w:r w:rsidRPr="00BC4A30">
              <w:rPr>
                <w:noProof/>
              </w:rPr>
              <w:t>Proportion of patients experiencing Pneumothorax</w:t>
            </w:r>
          </w:p>
        </w:tc>
        <w:tc>
          <w:tcPr>
            <w:tcW w:w="2126" w:type="dxa"/>
            <w:noWrap/>
          </w:tcPr>
          <w:p w14:paraId="30C27D0E" w14:textId="77777777" w:rsidR="00AB12D2" w:rsidRPr="00BC4A30" w:rsidRDefault="00AB12D2" w:rsidP="006750DB">
            <w:pPr>
              <w:pStyle w:val="Tabletext1"/>
              <w:ind w:left="0"/>
              <w:rPr>
                <w:noProof/>
              </w:rPr>
            </w:pPr>
            <w:r w:rsidRPr="00BC4A30">
              <w:rPr>
                <w:noProof/>
              </w:rPr>
              <w:t>32%, with 30% being severe enough to warrant chest drainage</w:t>
            </w:r>
          </w:p>
        </w:tc>
        <w:tc>
          <w:tcPr>
            <w:tcW w:w="3345" w:type="dxa"/>
            <w:noWrap/>
          </w:tcPr>
          <w:p w14:paraId="30445F5F" w14:textId="77777777" w:rsidR="00AB12D2" w:rsidRPr="00BC4A30" w:rsidRDefault="00AB12D2" w:rsidP="006750DB">
            <w:pPr>
              <w:pStyle w:val="Tabletext1"/>
              <w:ind w:left="0"/>
              <w:rPr>
                <w:noProof/>
              </w:rPr>
            </w:pPr>
            <w:r w:rsidRPr="00BC4A30">
              <w:rPr>
                <w:noProof/>
              </w:rPr>
              <w:t xml:space="preserve">Han et al (2015), Liu &amp; Steinke and Yang et al (2014) for population one, Qi et al (2015) and Vogl et al (2015) for population two and Sun et al (2015), Wei et al (2015) and Ni et al (2015) for population three. </w:t>
            </w:r>
          </w:p>
        </w:tc>
      </w:tr>
    </w:tbl>
    <w:p w14:paraId="2761988F" w14:textId="67240ED2" w:rsidR="00AB12D2" w:rsidRPr="00BC4A30" w:rsidRDefault="00AB12D2" w:rsidP="008F1A2D">
      <w:pPr>
        <w:spacing w:before="500" w:after="100" w:afterAutospacing="1"/>
      </w:pPr>
      <w:r w:rsidRPr="00BC4A30">
        <w:t xml:space="preserve">A number of other adverse events were observed across included studies; however, they are less comprehensively reported when compared to pneumothorax. For </w:t>
      </w:r>
      <w:r w:rsidR="00CA6DFD" w:rsidRPr="00BC4A30">
        <w:t>haemoptysis</w:t>
      </w:r>
      <w:r w:rsidRPr="00BC4A30">
        <w:t>, the median was 6.2 per cent (0</w:t>
      </w:r>
      <w:r w:rsidR="000C606D" w:rsidRPr="000C606D">
        <w:t>–</w:t>
      </w:r>
      <w:r w:rsidRPr="00BC4A30">
        <w:t>31.9%), reported by nine studies. Skin burns was 2.2 per cent (0</w:t>
      </w:r>
      <w:r w:rsidR="000C606D" w:rsidRPr="000C606D">
        <w:t>–</w:t>
      </w:r>
      <w:r w:rsidRPr="00BC4A30">
        <w:t>8.3%), reported by six studies. Broncho</w:t>
      </w:r>
      <w:r w:rsidR="00FB5F4A" w:rsidRPr="00BC4A30">
        <w:t>-</w:t>
      </w:r>
      <w:r w:rsidRPr="00BC4A30">
        <w:t>pleural fistula was 1.8 per cent (0.5</w:t>
      </w:r>
      <w:r w:rsidR="000C606D" w:rsidRPr="000C606D">
        <w:t>–</w:t>
      </w:r>
      <w:r w:rsidRPr="00BC4A30">
        <w:t>2.6%), reported in four studies. Post ablation syndrome was 6.9 per cent (0</w:t>
      </w:r>
      <w:r w:rsidR="00D35E9C">
        <w:t>–</w:t>
      </w:r>
      <w:r w:rsidRPr="00BC4A30">
        <w:t>35.9%) reported by six studies. Subcutaneous emphysema was 17.4 per cent (3.6</w:t>
      </w:r>
      <w:r w:rsidR="000C606D" w:rsidRPr="000C606D">
        <w:t>–</w:t>
      </w:r>
      <w:r w:rsidRPr="00BC4A30">
        <w:t>29.8%), reported by three studies. Pleural effusion was 11.2 per cent (0</w:t>
      </w:r>
      <w:r w:rsidR="000C606D" w:rsidRPr="000C606D">
        <w:t>–</w:t>
      </w:r>
      <w:r w:rsidRPr="00BC4A30">
        <w:t>34%) reported by ten studies. And, pneumonia was 4 per cent (2.8</w:t>
      </w:r>
      <w:r w:rsidR="000C606D" w:rsidRPr="000C606D">
        <w:t>–</w:t>
      </w:r>
      <w:r w:rsidRPr="00BC4A30">
        <w:t xml:space="preserve">14.9%), reported by four studies. </w:t>
      </w:r>
    </w:p>
    <w:p w14:paraId="6A9D211C" w14:textId="5E0BFABA" w:rsidR="00AB12D2" w:rsidRPr="00BC4A30" w:rsidRDefault="00AB12D2" w:rsidP="00AB12D2">
      <w:r w:rsidRPr="00BC4A30">
        <w:t xml:space="preserve">Two reports of adverse events related to the device itself, one being </w:t>
      </w:r>
      <w:r w:rsidR="000C606D">
        <w:t>the ceramic</w:t>
      </w:r>
      <w:r w:rsidRPr="00BC4A30">
        <w:t xml:space="preserve"> of microwave antennae being lost in the pleural space: 1/16 (6.3%) and the other was needle -tip fracture: 1/23 (4.3%) where the needle tip was left in the lesion which had been ablated. Drawing conclusions about</w:t>
      </w:r>
      <w:r w:rsidR="000C606D">
        <w:t xml:space="preserve"> the prevalence is difficult as, </w:t>
      </w:r>
      <w:r w:rsidRPr="00BC4A30">
        <w:t xml:space="preserve">due to a lack of systematic recording of adverse </w:t>
      </w:r>
      <w:proofErr w:type="gramStart"/>
      <w:r w:rsidRPr="00BC4A30">
        <w:t>events</w:t>
      </w:r>
      <w:r w:rsidR="000C606D">
        <w:t>,</w:t>
      </w:r>
      <w:proofErr w:type="gramEnd"/>
      <w:r w:rsidR="000C606D">
        <w:t xml:space="preserve"> </w:t>
      </w:r>
      <w:r w:rsidR="000C606D" w:rsidRPr="000C606D">
        <w:t>just because studies did not report them occurring may not mean they did not occur</w:t>
      </w:r>
      <w:r w:rsidRPr="00BC4A30">
        <w:t xml:space="preserve">. As the occurrence </w:t>
      </w:r>
      <w:r w:rsidR="000C606D">
        <w:t>of pn</w:t>
      </w:r>
      <w:r w:rsidRPr="00BC4A30">
        <w:t>eumothorax is the most comprehensively reported, this event is included in the financial cost minimisation ana</w:t>
      </w:r>
      <w:r w:rsidR="00140E7C">
        <w:t>lyses sensitivity analysis.</w:t>
      </w:r>
    </w:p>
    <w:p w14:paraId="290C197F" w14:textId="1D9F3334" w:rsidR="00AB12D2" w:rsidRPr="00705727" w:rsidRDefault="00705727" w:rsidP="005B2238">
      <w:pPr>
        <w:spacing w:before="500"/>
        <w:rPr>
          <w:b/>
          <w:i/>
        </w:rPr>
      </w:pPr>
      <w:r>
        <w:rPr>
          <w:b/>
          <w:i/>
        </w:rPr>
        <w:t>Total Costs per MTA Procedure</w:t>
      </w:r>
    </w:p>
    <w:p w14:paraId="503AED4F" w14:textId="26C9EA47" w:rsidR="00AB12D2" w:rsidRPr="00BC4A30" w:rsidRDefault="00AB12D2" w:rsidP="00AB12D2">
      <w:pPr>
        <w:rPr>
          <w:noProof/>
        </w:rPr>
      </w:pPr>
      <w:r w:rsidRPr="00BC4A30">
        <w:rPr>
          <w:noProof/>
        </w:rPr>
        <w:t>The overall total cost for up to three lesions</w:t>
      </w:r>
      <w:r w:rsidR="00E50ADC">
        <w:rPr>
          <w:noProof/>
        </w:rPr>
        <w:t xml:space="preserve"> per patient using MTA is $7,843.83</w:t>
      </w:r>
      <w:r w:rsidRPr="00BC4A30">
        <w:rPr>
          <w:noProof/>
        </w:rPr>
        <w:t xml:space="preserve"> and for </w:t>
      </w:r>
      <w:r w:rsidR="000C606D" w:rsidRPr="000C606D">
        <w:rPr>
          <w:noProof/>
        </w:rPr>
        <w:t xml:space="preserve">3–5 </w:t>
      </w:r>
      <w:r w:rsidRPr="00BC4A30">
        <w:rPr>
          <w:noProof/>
        </w:rPr>
        <w:t xml:space="preserve"> lesions $</w:t>
      </w:r>
      <w:r w:rsidRPr="00BC4A30">
        <w:t xml:space="preserve"> </w:t>
      </w:r>
      <w:r w:rsidRPr="00BC4A30">
        <w:rPr>
          <w:noProof/>
        </w:rPr>
        <w:t>8,183.</w:t>
      </w:r>
      <w:r w:rsidR="00E50ADC">
        <w:rPr>
          <w:noProof/>
        </w:rPr>
        <w:t>83</w:t>
      </w:r>
      <w:r w:rsidRPr="00BC4A30">
        <w:rPr>
          <w:noProof/>
        </w:rPr>
        <w:t xml:space="preserve">. Pre-procedural costs account for around 20 per cent of the total cost and follow-up </w:t>
      </w:r>
      <w:r w:rsidR="000C606D">
        <w:rPr>
          <w:noProof/>
        </w:rPr>
        <w:t xml:space="preserve">costs </w:t>
      </w:r>
      <w:r w:rsidR="000C606D">
        <w:rPr>
          <w:noProof/>
        </w:rPr>
        <w:lastRenderedPageBreak/>
        <w:t>(</w:t>
      </w:r>
      <w:r w:rsidRPr="00BC4A30">
        <w:rPr>
          <w:noProof/>
        </w:rPr>
        <w:t>to 3 months</w:t>
      </w:r>
      <w:r w:rsidR="000C606D">
        <w:rPr>
          <w:noProof/>
        </w:rPr>
        <w:t>) account for 4</w:t>
      </w:r>
      <w:r w:rsidRPr="00BC4A30">
        <w:rPr>
          <w:noProof/>
        </w:rPr>
        <w:t xml:space="preserve"> per cen</w:t>
      </w:r>
      <w:r w:rsidR="00016AF9">
        <w:rPr>
          <w:noProof/>
        </w:rPr>
        <w:t>t</w:t>
      </w:r>
      <w:r w:rsidR="000C606D">
        <w:rPr>
          <w:noProof/>
        </w:rPr>
        <w:t xml:space="preserve"> of the total cost</w:t>
      </w:r>
      <w:r w:rsidRPr="00BC4A30">
        <w:rPr>
          <w:noProof/>
        </w:rPr>
        <w:t>t. MTA procedures associated with MBS (current and proposed) account for around a quarter of the total cost. The largest component cost related to the disposable probe which costs $2,960, excluding the optional thermometer.</w:t>
      </w:r>
      <w:r w:rsidR="0006541A">
        <w:rPr>
          <w:noProof/>
        </w:rPr>
        <w:t xml:space="preserve"> This item accounts for around 38</w:t>
      </w:r>
      <w:r w:rsidRPr="00BC4A30">
        <w:rPr>
          <w:noProof/>
        </w:rPr>
        <w:t xml:space="preserve"> per cent of the overall cost.</w:t>
      </w:r>
    </w:p>
    <w:p w14:paraId="7FAED72C" w14:textId="77777777" w:rsidR="00AB12D2" w:rsidRPr="00BC4A30" w:rsidRDefault="00AB12D2" w:rsidP="003F6C66">
      <w:pPr>
        <w:pStyle w:val="Heading3"/>
      </w:pPr>
      <w:bookmarkStart w:id="394" w:name="_Toc460396083"/>
      <w:r w:rsidRPr="00BC4A30">
        <w:t>Costs of RFA</w:t>
      </w:r>
      <w:bookmarkEnd w:id="394"/>
      <w:r w:rsidRPr="00BC4A30">
        <w:t xml:space="preserve"> </w:t>
      </w:r>
    </w:p>
    <w:p w14:paraId="7181AD44" w14:textId="7D1E4008" w:rsidR="00AB12D2" w:rsidRPr="00BC4A30" w:rsidRDefault="00A941E9" w:rsidP="00AB12D2">
      <w:r w:rsidRPr="00BC4A30">
        <w:t>The p</w:t>
      </w:r>
      <w:r w:rsidR="00AB12D2" w:rsidRPr="00BC4A30">
        <w:t xml:space="preserve">rotocol notes that the pre-procedure patient preparation is the same as for MTA or similar to that for a CT-guided lung biopsy, added by the requirement of booking an overnight bed. The cost of RFA machines and probes differ to that of MTA. </w:t>
      </w:r>
      <w:r w:rsidR="0006541A">
        <w:t xml:space="preserve">Widespread </w:t>
      </w:r>
      <w:r w:rsidR="00AB12D2" w:rsidRPr="00BC4A30">
        <w:t>RF</w:t>
      </w:r>
      <w:r w:rsidR="000C606D">
        <w:t>A</w:t>
      </w:r>
      <w:r w:rsidR="00AB12D2" w:rsidRPr="00BC4A30">
        <w:t xml:space="preserve"> systems </w:t>
      </w:r>
      <w:r w:rsidR="0006541A">
        <w:t>include the</w:t>
      </w:r>
      <w:r w:rsidR="00AB12D2" w:rsidRPr="00BC4A30">
        <w:t xml:space="preserve"> CooltipTM system (Covidien, Mansfield, Massachusetts, USA), RF 3000® (Boston Scientific Corporation, Natick, Massachusetts, USA), and Model 1500X RF generator (AngioDynamic</w:t>
      </w:r>
      <w:r w:rsidRPr="00BC4A30">
        <w:t>s, Latham, New York, USA). The p</w:t>
      </w:r>
      <w:r w:rsidR="00AB12D2" w:rsidRPr="00BC4A30">
        <w:t>rotocol estimated an average machine cost of $52,</w:t>
      </w:r>
      <w:r w:rsidR="00E50ADC">
        <w:t>500 and probe of $2,2</w:t>
      </w:r>
      <w:r w:rsidR="00AB12D2" w:rsidRPr="00BC4A30">
        <w:t xml:space="preserve">00 for RFA compared to $50,000 and $2,960 for MTA. </w:t>
      </w:r>
    </w:p>
    <w:p w14:paraId="16E0F454" w14:textId="0015CA84" w:rsidR="00AB12D2" w:rsidRPr="00BC4A30" w:rsidRDefault="00A941E9" w:rsidP="00AB12D2">
      <w:r w:rsidRPr="00BC4A30">
        <w:t>The p</w:t>
      </w:r>
      <w:r w:rsidR="00AB12D2" w:rsidRPr="00BC4A30">
        <w:t>rotocol, however, notes that MTA has a steeper temperature gradient when compared to RFA, with tissue temperatures reaching &gt; 200 degrees Celsius, and faster conduction than RFA (Simo et al 2013). This allows for larger ablation volumes in faster times of 4</w:t>
      </w:r>
      <w:r w:rsidR="000C606D" w:rsidRPr="000C606D">
        <w:t>–</w:t>
      </w:r>
      <w:r w:rsidR="00AB12D2" w:rsidRPr="00BC4A30">
        <w:t>6 minutes in contrast to 12</w:t>
      </w:r>
      <w:r w:rsidR="000C606D">
        <w:t>–</w:t>
      </w:r>
      <w:r w:rsidR="00AB12D2" w:rsidRPr="00BC4A30">
        <w:t xml:space="preserve">20 minutes for single ablations required for RFA (Swan et al 2013). The key </w:t>
      </w:r>
      <w:r w:rsidR="0006541A">
        <w:t xml:space="preserve">delivery </w:t>
      </w:r>
      <w:r w:rsidR="000C606D">
        <w:t>cost difference between RFA</w:t>
      </w:r>
      <w:r w:rsidR="00AB12D2" w:rsidRPr="00BC4A30">
        <w:t xml:space="preserve"> and MTA is associated wi</w:t>
      </w:r>
      <w:r w:rsidR="000C606D">
        <w:t>th the longer time to deliver the</w:t>
      </w:r>
      <w:r w:rsidR="00AB12D2" w:rsidRPr="00BC4A30">
        <w:t xml:space="preserve"> procedure. The lower probe cost results in a procedure cost of RFA that is around 90 per cent of MTA, if all other intervention costs were the same.</w:t>
      </w:r>
    </w:p>
    <w:p w14:paraId="4F0A0046" w14:textId="0480FFE0" w:rsidR="00AB12D2" w:rsidRPr="00BC4A30" w:rsidRDefault="00AB12D2" w:rsidP="00AB12D2">
      <w:r w:rsidRPr="00BC4A30">
        <w:t>Zhu et al (2008) reviewed the rates of pneumonia, pulmonary abscess, h</w:t>
      </w:r>
      <w:r w:rsidR="000C606D">
        <w:t>a</w:t>
      </w:r>
      <w:r w:rsidRPr="00BC4A30">
        <w:t xml:space="preserve">emothorax, intrapulmonary bleeding, </w:t>
      </w:r>
      <w:r w:rsidR="00CA6DFD" w:rsidRPr="00BC4A30">
        <w:t>haemoptysis</w:t>
      </w:r>
      <w:r w:rsidRPr="00BC4A30">
        <w:t>, pleuritic chest pain,</w:t>
      </w:r>
      <w:r w:rsidR="00016AF9">
        <w:t xml:space="preserve"> cough and fever ranged from 6–</w:t>
      </w:r>
      <w:r w:rsidRPr="00BC4A30">
        <w:t>12 per cent. RFA has a similar adverse events profile to tha</w:t>
      </w:r>
      <w:r w:rsidR="00A941E9" w:rsidRPr="00BC4A30">
        <w:t>t of MTA except for burns. The p</w:t>
      </w:r>
      <w:r w:rsidRPr="00BC4A30">
        <w:t xml:space="preserve">rotocol notes RFA uses electricity or grounding pads which has a risk of pad site burns and potential malfunction of implanted cardiac </w:t>
      </w:r>
      <w:r w:rsidRPr="006750DB">
        <w:t xml:space="preserve">devices </w:t>
      </w:r>
      <w:r w:rsidR="00E14908" w:rsidRPr="006750DB">
        <w:fldChar w:fldCharType="begin">
          <w:fldData xml:space="preserve">PEVuZE5vdGU+PENpdGU+PEF1dGhvcj5MZWU8L0F1dGhvcj48WWVhcj4yMDEzPC9ZZWFyPjxSZWNO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</w:fldData>
        </w:fldChar>
      </w:r>
      <w:r w:rsidR="00194054" w:rsidRPr="006750DB">
        <w:instrText xml:space="preserve"> ADDIN EN.CITE </w:instrText>
      </w:r>
      <w:r w:rsidR="00194054" w:rsidRPr="006750DB">
        <w:fldChar w:fldCharType="begin">
          <w:fldData xml:space="preserve">PEVuZE5vdGU+PENpdGU+PEF1dGhvcj5MZWU8L0F1dGhvcj48WWVhcj4yMDEzPC9ZZWFyPjxSZWNO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</w:fldData>
        </w:fldChar>
      </w:r>
      <w:r w:rsidR="00194054" w:rsidRPr="006750DB">
        <w:instrText xml:space="preserve"> ADDIN EN.CITE.DATA </w:instrText>
      </w:r>
      <w:r w:rsidR="00194054" w:rsidRPr="006750DB">
        <w:fldChar w:fldCharType="end"/>
      </w:r>
      <w:r w:rsidR="00E14908" w:rsidRPr="006750DB">
        <w:fldChar w:fldCharType="separate"/>
      </w:r>
      <w:r w:rsidR="00E14908" w:rsidRPr="006750DB">
        <w:rPr>
          <w:noProof/>
        </w:rPr>
        <w:t>(</w:t>
      </w:r>
      <w:hyperlink w:anchor="_ENREF_87" w:tooltip="Lee, 2013 #14" w:history="1">
        <w:r w:rsidR="00320458" w:rsidRPr="006750DB">
          <w:rPr>
            <w:noProof/>
          </w:rPr>
          <w:t>Lee et al 2013</w:t>
        </w:r>
      </w:hyperlink>
      <w:r w:rsidR="00E14908" w:rsidRPr="006750DB">
        <w:rPr>
          <w:noProof/>
        </w:rPr>
        <w:t xml:space="preserve">; </w:t>
      </w:r>
      <w:hyperlink w:anchor="_ENREF_132" w:tooltip="Schutt, 2009 #23" w:history="1">
        <w:r w:rsidR="00320458" w:rsidRPr="006750DB">
          <w:rPr>
            <w:noProof/>
          </w:rPr>
          <w:t>Schutt et al 2009</w:t>
        </w:r>
      </w:hyperlink>
      <w:r w:rsidR="00E14908" w:rsidRPr="006750DB">
        <w:rPr>
          <w:noProof/>
        </w:rPr>
        <w:t>)</w:t>
      </w:r>
      <w:r w:rsidR="00E14908" w:rsidRPr="006750DB">
        <w:fldChar w:fldCharType="end"/>
      </w:r>
      <w:r w:rsidRPr="00BC4A30">
        <w:t>.</w:t>
      </w:r>
    </w:p>
    <w:p w14:paraId="4DB95B64" w14:textId="77777777" w:rsidR="00AB12D2" w:rsidRPr="00BC4A30" w:rsidRDefault="00AB12D2" w:rsidP="003F6C66">
      <w:pPr>
        <w:pStyle w:val="Heading3"/>
      </w:pPr>
      <w:bookmarkStart w:id="395" w:name="_Toc460396084"/>
      <w:r w:rsidRPr="00BC4A30">
        <w:t xml:space="preserve">Costs of </w:t>
      </w:r>
      <w:r w:rsidR="00760AC9" w:rsidRPr="00BC4A30">
        <w:t>SBRT</w:t>
      </w:r>
      <w:bookmarkEnd w:id="395"/>
      <w:r w:rsidRPr="00BC4A30">
        <w:t xml:space="preserve"> </w:t>
      </w:r>
    </w:p>
    <w:p w14:paraId="5AF3DCA0" w14:textId="4E795D14" w:rsidR="00AB12D2" w:rsidRPr="00BC4A30" w:rsidRDefault="00AB12D2" w:rsidP="00AB12D2">
      <w:r w:rsidRPr="00BC4A30">
        <w:t>SBRT is the delivery of high dose radiation in an extremely hypofractionated treatment (typically up to five fractions) and is also called</w:t>
      </w:r>
      <w:r w:rsidR="00A208C0">
        <w:t xml:space="preserve"> stereotactic ablative radiotherapy; however, within this document it is referred to as</w:t>
      </w:r>
      <w:r w:rsidRPr="00BC4A30">
        <w:t xml:space="preserve"> </w:t>
      </w:r>
      <w:r w:rsidR="00A208C0">
        <w:t>SBRT</w:t>
      </w:r>
      <w:r w:rsidRPr="00BC4A30">
        <w:t xml:space="preserve">. </w:t>
      </w:r>
      <w:r w:rsidR="006750DB">
        <w:t xml:space="preserve">Bertolaccini et al </w:t>
      </w:r>
      <w:r w:rsidR="00E14908" w:rsidRPr="006750DB">
        <w:fldChar w:fldCharType="begin"/>
      </w:r>
      <w:r w:rsidR="00140E7C">
        <w:instrText xml:space="preserve"> ADDIN EN.CITE &lt;EndNote&gt;&lt;Cite ExcludeAuth="1"&gt;&lt;Author&gt;Bertolaccini&lt;/Author&gt;&lt;Year&gt;2015&lt;/Year&gt;&lt;RecNum&gt;198&lt;/RecNum&gt;&lt;DisplayText&gt;(2015)&lt;/DisplayText&gt;&lt;record&gt;&lt;rec-number&gt;198&lt;/rec-number&gt;&lt;foreign-keys&gt;&lt;key app="EN" db-id="05ssdaw2cf0zvye5xvo5z9ww0xdpfstrdtew" timestamp="1469615464"&gt;198&lt;/key&gt;&lt;/foreign-keys&gt;&lt;ref-type name="Journal Article"&gt;17&lt;/ref-type&gt;&lt;contributors&gt;&lt;authors&gt;&lt;author&gt;Bertolaccini, L.&lt;/author&gt;&lt;author&gt;Terzi, A.&lt;/author&gt;&lt;author&gt;Ricchetti, F.&lt;/author&gt;&lt;author&gt;Alongi, F.&lt;/author&gt;&lt;/authors&gt;&lt;/contributors&gt;&lt;auth-address&gt;1 Thoracic Surgery Unit, 2 Radiation Oncology Department, Sacro Cuore-Don Calabria Hospital, 37024 Negrar Verona, Italy.&lt;/auth-address&gt;&lt;titles&gt;&lt;title&gt;Surgery or stereotactic ablative radiation therapy: how will be treated operable patients with early stage not small cell lung cancer in the next future?&lt;/title&gt;&lt;secondary-title&gt;Ann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medicine&lt;/abbr-1&gt;&lt;/alt-periodical&gt;&lt;pages&gt;25&lt;/pages&gt;&lt;volume&gt;3&lt;/volume&gt;&lt;number&gt;2&lt;/number&gt;&lt;edition&gt;2015/03/05&lt;/edition&gt;&lt;keywords&gt;&lt;keyword&gt;Early stage non-small cell lung cancer (NSCLC)&lt;/keyword&gt;&lt;keyword&gt;stereotactic ablative radiation therapy (SABR)&lt;/keyword&gt;&lt;keyword&gt;video-assisted thoracic surgery (VATS)&lt;/keyword&gt;&lt;/keywords&gt;&lt;dates&gt;&lt;year&gt;2015&lt;/year&gt;&lt;pub-dates&gt;&lt;date&gt;Feb&lt;/date&gt;&lt;/pub-dates&gt;&lt;/dates&gt;&lt;isbn&gt;2305-5839 (Print)&amp;#xD;2305-5839&lt;/isbn&gt;&lt;accession-num&gt;25738145&lt;/accession-num&gt;&lt;urls&gt;&lt;/urls&gt;&lt;custom2&gt;Pmc4322166&lt;/custom2&gt;&lt;electronic-resource-num&gt;10.3978/j.issn.2305-5839.2015.01.06&lt;/electronic-resource-num&gt;&lt;remote-database-provider&gt;NLM&lt;/remote-database-provider&gt;&lt;language&gt;eng&lt;/language&gt;&lt;/record&gt;&lt;/Cite&gt;&lt;/EndNote&gt;</w:instrText>
      </w:r>
      <w:r w:rsidR="00E14908" w:rsidRPr="006750DB">
        <w:fldChar w:fldCharType="separate"/>
      </w:r>
      <w:r w:rsidR="00140E7C">
        <w:rPr>
          <w:noProof/>
        </w:rPr>
        <w:t>(</w:t>
      </w:r>
      <w:hyperlink w:anchor="_ENREF_20" w:tooltip="Bertolaccini, 2015 #198" w:history="1">
        <w:r w:rsidR="00320458">
          <w:rPr>
            <w:noProof/>
          </w:rPr>
          <w:t>2015</w:t>
        </w:r>
      </w:hyperlink>
      <w:r w:rsidR="00140E7C">
        <w:rPr>
          <w:noProof/>
        </w:rPr>
        <w:t>)</w:t>
      </w:r>
      <w:r w:rsidR="00E14908" w:rsidRPr="006750DB">
        <w:fldChar w:fldCharType="end"/>
      </w:r>
      <w:r w:rsidRPr="006750DB">
        <w:t xml:space="preserve"> noted the standard of care of early stage NSCLC patients is </w:t>
      </w:r>
      <w:r w:rsidR="0006541A" w:rsidRPr="006750DB">
        <w:t>generally</w:t>
      </w:r>
      <w:r w:rsidR="0006541A">
        <w:t xml:space="preserve"> </w:t>
      </w:r>
      <w:r w:rsidR="00A07D80">
        <w:t>lobectomy</w:t>
      </w:r>
      <w:r w:rsidR="0006541A">
        <w:t xml:space="preserve">, however, a significant proportion </w:t>
      </w:r>
      <w:r w:rsidRPr="00BC4A30">
        <w:t xml:space="preserve">are not suitable for surgery. These patients are the target for </w:t>
      </w:r>
      <w:r w:rsidR="00760AC9" w:rsidRPr="00BC4A30">
        <w:t>SBRT</w:t>
      </w:r>
      <w:r w:rsidRPr="00BC4A30">
        <w:t>.</w:t>
      </w:r>
    </w:p>
    <w:p w14:paraId="48E46F6A" w14:textId="77777777" w:rsidR="00CB4D14" w:rsidRDefault="00CB4D14" w:rsidP="00CB4D14">
      <w:pPr>
        <w:spacing w:before="500"/>
        <w:rPr>
          <w:b/>
          <w:i/>
        </w:rPr>
      </w:pPr>
    </w:p>
    <w:p w14:paraId="5863C309" w14:textId="77777777" w:rsidR="00AB12D2" w:rsidRPr="00391ED3" w:rsidRDefault="00760AC9" w:rsidP="00CB4D14">
      <w:pPr>
        <w:spacing w:before="500"/>
        <w:rPr>
          <w:b/>
          <w:i/>
        </w:rPr>
      </w:pPr>
      <w:r w:rsidRPr="00391ED3">
        <w:rPr>
          <w:b/>
          <w:i/>
        </w:rPr>
        <w:t>SBRT</w:t>
      </w:r>
      <w:r w:rsidR="00AB12D2" w:rsidRPr="00391ED3">
        <w:rPr>
          <w:b/>
          <w:i/>
        </w:rPr>
        <w:t xml:space="preserve"> Equipment</w:t>
      </w:r>
    </w:p>
    <w:p w14:paraId="063E131B" w14:textId="2566573D" w:rsidR="00AB12D2" w:rsidRPr="00BC4A30" w:rsidRDefault="006750DB" w:rsidP="00AB12D2">
      <w:r>
        <w:lastRenderedPageBreak/>
        <w:t xml:space="preserve">Lievens et al </w:t>
      </w:r>
      <w:r w:rsidR="00E14908" w:rsidRPr="006750DB">
        <w:fldChar w:fldCharType="begin">
          <w:fldData xml:space="preserve">PEVuZE5vdGU+PENpdGUgRXhjbHVkZUF1dGg9IjEiPjxBdXRob3I+TGlldmVuczwvQXV0aG9yPjxZ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</w:fldData>
        </w:fldChar>
      </w:r>
      <w:r w:rsidR="00140E7C">
        <w:instrText xml:space="preserve"> ADDIN EN.CITE </w:instrText>
      </w:r>
      <w:r w:rsidR="00140E7C">
        <w:fldChar w:fldCharType="begin">
          <w:fldData xml:space="preserve">PEVuZE5vdGU+PENpdGUgRXhjbHVkZUF1dGg9IjEiPjxBdXRob3I+TGlldmVuczwvQXV0aG9yPjxZ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</w:fldData>
        </w:fldChar>
      </w:r>
      <w:r w:rsidR="00140E7C">
        <w:instrText xml:space="preserve"> ADDIN EN.CITE.DATA </w:instrText>
      </w:r>
      <w:r w:rsidR="00140E7C">
        <w:fldChar w:fldCharType="end"/>
      </w:r>
      <w:r w:rsidR="00E14908" w:rsidRPr="006750DB">
        <w:fldChar w:fldCharType="separate"/>
      </w:r>
      <w:r w:rsidR="00140E7C">
        <w:rPr>
          <w:noProof/>
        </w:rPr>
        <w:t>(</w:t>
      </w:r>
      <w:hyperlink w:anchor="_ENREF_91" w:tooltip="Lievens, 2015 #223" w:history="1">
        <w:r w:rsidR="00320458">
          <w:rPr>
            <w:noProof/>
          </w:rPr>
          <w:t>2015</w:t>
        </w:r>
      </w:hyperlink>
      <w:r w:rsidR="00140E7C">
        <w:rPr>
          <w:noProof/>
        </w:rPr>
        <w:t>)</w:t>
      </w:r>
      <w:r w:rsidR="00E14908" w:rsidRPr="006750DB">
        <w:fldChar w:fldCharType="end"/>
      </w:r>
      <w:r w:rsidR="00FE016B">
        <w:t xml:space="preserve"> </w:t>
      </w:r>
      <w:r w:rsidR="00AB12D2" w:rsidRPr="00BC4A30">
        <w:t xml:space="preserve">estimated the costs of delivering </w:t>
      </w:r>
      <w:r w:rsidR="00760AC9" w:rsidRPr="00BC4A30">
        <w:t>SBRT</w:t>
      </w:r>
      <w:r w:rsidR="0006541A">
        <w:t xml:space="preserve"> using a</w:t>
      </w:r>
      <w:r w:rsidR="00AB12D2" w:rsidRPr="00BC4A30">
        <w:t xml:space="preserve"> range of techniques and for differing equipment in Belgium. Annual equipment costs were obtained by dividing the actual purchase price by the number of useful years which ranged for 5 years for software and 10 for all other equipment </w:t>
      </w:r>
    </w:p>
    <w:p w14:paraId="166F9654" w14:textId="77777777" w:rsidR="00AB12D2" w:rsidRPr="00BC4A30" w:rsidRDefault="00AB12D2" w:rsidP="00AB12D2">
      <w:r w:rsidRPr="00BC4A30">
        <w:t>Purchase costs for equipment were expressed in Euros and ranged from</w:t>
      </w:r>
      <w:r w:rsidR="0006541A">
        <w:t xml:space="preserve"> 1,988,248 </w:t>
      </w:r>
      <w:r w:rsidR="0006541A" w:rsidRPr="00AB12D2">
        <w:t>€</w:t>
      </w:r>
      <w:r w:rsidR="0006541A">
        <w:t xml:space="preserve"> for</w:t>
      </w:r>
      <w:r w:rsidRPr="00BC4A30">
        <w:t xml:space="preserve"> linear accelerators to dedicated SBRT machines of 4,414,950 €. Conventional simulators purchase costs averaged 768,775 €, and CT simulators 680.668 €. Annual external maintenance contracts were also included and estimated for linear accelerators to</w:t>
      </w:r>
      <w:r w:rsidR="0006541A">
        <w:t xml:space="preserve"> be</w:t>
      </w:r>
      <w:r w:rsidRPr="00BC4A30">
        <w:t xml:space="preserve"> 115,510 € per year and conventional simulators 29,737 €. </w:t>
      </w:r>
    </w:p>
    <w:p w14:paraId="51E6CBBD" w14:textId="04CB3567" w:rsidR="00AB12D2" w:rsidRPr="00BC4A30" w:rsidRDefault="0006541A" w:rsidP="00AB12D2">
      <w:r>
        <w:t xml:space="preserve">Radiotherapy is supported in Australia through </w:t>
      </w:r>
      <w:r w:rsidR="00AB12D2" w:rsidRPr="00BC4A30">
        <w:t>Radiation Oncology Health Program Grants</w:t>
      </w:r>
      <w:r w:rsidR="00016AF9">
        <w:t xml:space="preserve"> (ROHPG)</w:t>
      </w:r>
      <w:r w:rsidR="00AB12D2" w:rsidRPr="00BC4A30">
        <w:t>, which reimburses the cost of expensive eligible radiation oncology equipment to facilities.</w:t>
      </w:r>
    </w:p>
    <w:p w14:paraId="1E22E67B" w14:textId="77777777" w:rsidR="00AB12D2" w:rsidRPr="00BC4A30" w:rsidRDefault="00AB12D2" w:rsidP="00AB12D2">
      <w:r w:rsidRPr="00BC4A30">
        <w:t xml:space="preserve">The Australian National Audit Office has undertaken a performance audit of the ROHPG program (Australian National Audit Office, 2016). Reimbursement rates for each equipment category are set out in the Scheme Guidelines. Funding for the Scheme in 2014–15 was $68.5 million and associated radiation oncology MBS payments equalled $343 million. More than 400 items of equipment are currently funded under the Scheme. These are mainly linear accelerators, although planning workstations, simulators, and brachytherapy machines are included. Capital allowance costs for </w:t>
      </w:r>
      <w:r w:rsidR="00760AC9" w:rsidRPr="00BC4A30">
        <w:t>SBRT</w:t>
      </w:r>
      <w:r w:rsidRPr="00BC4A30">
        <w:t xml:space="preserve"> delivery under the ROHPG program</w:t>
      </w:r>
      <w:r w:rsidR="004550D1">
        <w:t xml:space="preserve"> were </w:t>
      </w:r>
      <w:r w:rsidRPr="00BC4A30">
        <w:t xml:space="preserve">derived </w:t>
      </w:r>
      <w:r w:rsidR="004550D1">
        <w:t>following discussions with clinicians</w:t>
      </w:r>
      <w:r w:rsidRPr="00BC4A30">
        <w:t>.</w:t>
      </w:r>
    </w:p>
    <w:p w14:paraId="725ED783" w14:textId="77777777" w:rsidR="00AB12D2" w:rsidRPr="00BC4A30" w:rsidRDefault="00AB12D2" w:rsidP="00AB12D2">
      <w:pPr>
        <w:pStyle w:val="Caption"/>
        <w:keepNext/>
      </w:pPr>
      <w:bookmarkStart w:id="396" w:name="_Ref460424628"/>
      <w:bookmarkStart w:id="397" w:name="_Toc460514728"/>
      <w:r w:rsidRPr="00BC4A30">
        <w:t xml:space="preserve">Table </w:t>
      </w:r>
      <w:fldSimple w:instr=" SEQ Table \* ARABIC ">
        <w:r w:rsidR="00D170A5">
          <w:rPr>
            <w:noProof/>
          </w:rPr>
          <w:t>70</w:t>
        </w:r>
      </w:fldSimple>
      <w:bookmarkEnd w:id="396"/>
      <w:r w:rsidRPr="00BC4A30">
        <w:tab/>
        <w:t>Resources associated with SBRT</w:t>
      </w:r>
      <w:bookmarkEnd w:id="397"/>
    </w:p>
    <w:tbl>
      <w:tblPr>
        <w:tblW w:w="5000" w:type="pct"/>
        <w:tblLook w:val="04A0" w:firstRow="1" w:lastRow="0" w:firstColumn="1" w:lastColumn="0" w:noHBand="0" w:noVBand="1"/>
      </w:tblPr>
      <w:tblGrid>
        <w:gridCol w:w="4412"/>
        <w:gridCol w:w="1386"/>
        <w:gridCol w:w="1065"/>
        <w:gridCol w:w="904"/>
        <w:gridCol w:w="1475"/>
      </w:tblGrid>
      <w:tr w:rsidR="004550D1" w:rsidRPr="004550D1" w14:paraId="7CF8CE52" w14:textId="77777777" w:rsidTr="0065344D">
        <w:trPr>
          <w:trHeight w:val="810"/>
          <w:tblHeader/>
        </w:trPr>
        <w:tc>
          <w:tcPr>
            <w:tcW w:w="2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B7EB47A" w14:textId="77777777" w:rsidR="004550D1" w:rsidRPr="009250AC" w:rsidRDefault="004550D1" w:rsidP="0065344D">
            <w:pPr>
              <w:pStyle w:val="Tabletext1"/>
              <w:rPr>
                <w:b/>
              </w:rPr>
            </w:pPr>
            <w:r w:rsidRPr="009250AC">
              <w:rPr>
                <w:b/>
              </w:rPr>
              <w:t>Resource</w:t>
            </w:r>
          </w:p>
        </w:tc>
        <w:tc>
          <w:tcPr>
            <w:tcW w:w="750"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6DE77C7" w14:textId="77777777" w:rsidR="004550D1" w:rsidRPr="009250AC" w:rsidRDefault="004550D1" w:rsidP="0065344D">
            <w:pPr>
              <w:pStyle w:val="Tabletext1"/>
              <w:rPr>
                <w:b/>
              </w:rPr>
            </w:pPr>
            <w:r w:rsidRPr="009250AC">
              <w:rPr>
                <w:b/>
              </w:rPr>
              <w:t>Provider of resource</w:t>
            </w:r>
          </w:p>
        </w:tc>
        <w:tc>
          <w:tcPr>
            <w:tcW w:w="576"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FA5BD66" w14:textId="77777777" w:rsidR="004550D1" w:rsidRPr="009250AC" w:rsidRDefault="004550D1" w:rsidP="0065344D">
            <w:pPr>
              <w:pStyle w:val="Tabletext1"/>
              <w:rPr>
                <w:b/>
              </w:rPr>
            </w:pPr>
            <w:r w:rsidRPr="009250AC">
              <w:rPr>
                <w:b/>
              </w:rPr>
              <w:t>Fee per unit of resource</w:t>
            </w:r>
          </w:p>
        </w:tc>
        <w:tc>
          <w:tcPr>
            <w:tcW w:w="48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45FBD0F" w14:textId="77777777" w:rsidR="004550D1" w:rsidRPr="009250AC" w:rsidRDefault="004550D1" w:rsidP="0065344D">
            <w:pPr>
              <w:pStyle w:val="Tabletext1"/>
              <w:rPr>
                <w:b/>
              </w:rPr>
            </w:pPr>
            <w:r w:rsidRPr="009250AC">
              <w:rPr>
                <w:b/>
              </w:rPr>
              <w:t>Quantity</w:t>
            </w:r>
          </w:p>
        </w:tc>
        <w:tc>
          <w:tcPr>
            <w:tcW w:w="798"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7E4BB78" w14:textId="77777777" w:rsidR="004550D1" w:rsidRPr="009250AC" w:rsidRDefault="004550D1" w:rsidP="0065344D">
            <w:pPr>
              <w:pStyle w:val="Tabletext1"/>
              <w:rPr>
                <w:b/>
              </w:rPr>
            </w:pPr>
            <w:r w:rsidRPr="009250AC">
              <w:rPr>
                <w:b/>
              </w:rPr>
              <w:t>Source</w:t>
            </w:r>
          </w:p>
        </w:tc>
      </w:tr>
      <w:tr w:rsidR="004550D1" w:rsidRPr="004550D1" w14:paraId="08AA3A29" w14:textId="77777777" w:rsidTr="009250AC">
        <w:trPr>
          <w:trHeight w:val="285"/>
        </w:trPr>
        <w:tc>
          <w:tcPr>
            <w:tcW w:w="2387" w:type="pct"/>
            <w:tcBorders>
              <w:top w:val="nil"/>
              <w:left w:val="single" w:sz="4" w:space="0" w:color="auto"/>
              <w:bottom w:val="single" w:sz="4" w:space="0" w:color="auto"/>
            </w:tcBorders>
            <w:shd w:val="clear" w:color="auto" w:fill="D9D9D9" w:themeFill="background1" w:themeFillShade="D9"/>
            <w:vAlign w:val="center"/>
            <w:hideMark/>
          </w:tcPr>
          <w:p w14:paraId="701016EC" w14:textId="77777777" w:rsidR="004550D1" w:rsidRPr="009250AC" w:rsidRDefault="004550D1" w:rsidP="009250AC">
            <w:pPr>
              <w:pStyle w:val="Tabletext1"/>
              <w:rPr>
                <w:b/>
              </w:rPr>
            </w:pPr>
            <w:r w:rsidRPr="009250AC">
              <w:rPr>
                <w:b/>
              </w:rPr>
              <w:t>Medical services – screening prior to intervention</w:t>
            </w:r>
          </w:p>
        </w:tc>
        <w:tc>
          <w:tcPr>
            <w:tcW w:w="750" w:type="pct"/>
            <w:tcBorders>
              <w:top w:val="single" w:sz="4" w:space="0" w:color="auto"/>
              <w:bottom w:val="single" w:sz="4" w:space="0" w:color="auto"/>
            </w:tcBorders>
            <w:shd w:val="clear" w:color="auto" w:fill="D9D9D9" w:themeFill="background1" w:themeFillShade="D9"/>
            <w:vAlign w:val="center"/>
            <w:hideMark/>
          </w:tcPr>
          <w:p w14:paraId="344C54BF" w14:textId="77777777" w:rsidR="004550D1" w:rsidRPr="009250AC" w:rsidRDefault="004550D1" w:rsidP="009250AC">
            <w:pPr>
              <w:pStyle w:val="Tabletext1"/>
              <w:rPr>
                <w:b/>
              </w:rPr>
            </w:pPr>
            <w:r w:rsidRPr="009250AC">
              <w:rPr>
                <w:b/>
              </w:rPr>
              <w:t> </w:t>
            </w:r>
          </w:p>
        </w:tc>
        <w:tc>
          <w:tcPr>
            <w:tcW w:w="576" w:type="pct"/>
            <w:tcBorders>
              <w:top w:val="single" w:sz="4" w:space="0" w:color="auto"/>
              <w:bottom w:val="single" w:sz="4" w:space="0" w:color="auto"/>
            </w:tcBorders>
            <w:shd w:val="clear" w:color="auto" w:fill="D9D9D9" w:themeFill="background1" w:themeFillShade="D9"/>
            <w:vAlign w:val="center"/>
            <w:hideMark/>
          </w:tcPr>
          <w:p w14:paraId="6F5BE459" w14:textId="77777777" w:rsidR="004550D1" w:rsidRPr="009250AC" w:rsidRDefault="004550D1" w:rsidP="009250AC">
            <w:pPr>
              <w:pStyle w:val="Tabletext1"/>
              <w:rPr>
                <w:b/>
              </w:rPr>
            </w:pPr>
            <w:r w:rsidRPr="009250AC">
              <w:rPr>
                <w:b/>
              </w:rPr>
              <w:t> </w:t>
            </w:r>
          </w:p>
        </w:tc>
        <w:tc>
          <w:tcPr>
            <w:tcW w:w="489" w:type="pct"/>
            <w:tcBorders>
              <w:top w:val="single" w:sz="4" w:space="0" w:color="auto"/>
              <w:bottom w:val="single" w:sz="4" w:space="0" w:color="auto"/>
            </w:tcBorders>
            <w:shd w:val="clear" w:color="auto" w:fill="D9D9D9" w:themeFill="background1" w:themeFillShade="D9"/>
            <w:vAlign w:val="center"/>
            <w:hideMark/>
          </w:tcPr>
          <w:p w14:paraId="335416AE" w14:textId="77777777" w:rsidR="004550D1" w:rsidRPr="009250AC" w:rsidRDefault="004550D1" w:rsidP="009250AC">
            <w:pPr>
              <w:pStyle w:val="Tabletext1"/>
              <w:rPr>
                <w:b/>
              </w:rPr>
            </w:pPr>
            <w:r w:rsidRPr="009250AC">
              <w:rPr>
                <w:b/>
              </w:rPr>
              <w:t> </w:t>
            </w:r>
          </w:p>
        </w:tc>
        <w:tc>
          <w:tcPr>
            <w:tcW w:w="798" w:type="pct"/>
            <w:tcBorders>
              <w:top w:val="single" w:sz="4" w:space="0" w:color="auto"/>
              <w:bottom w:val="single" w:sz="4" w:space="0" w:color="auto"/>
              <w:right w:val="single" w:sz="4" w:space="0" w:color="auto"/>
            </w:tcBorders>
            <w:shd w:val="clear" w:color="auto" w:fill="D9D9D9" w:themeFill="background1" w:themeFillShade="D9"/>
            <w:vAlign w:val="center"/>
            <w:hideMark/>
          </w:tcPr>
          <w:p w14:paraId="3BF6DDDD" w14:textId="77777777" w:rsidR="004550D1" w:rsidRPr="009250AC" w:rsidRDefault="004550D1" w:rsidP="009250AC">
            <w:pPr>
              <w:pStyle w:val="Tabletext1"/>
              <w:rPr>
                <w:b/>
              </w:rPr>
            </w:pPr>
            <w:r w:rsidRPr="009250AC">
              <w:rPr>
                <w:b/>
              </w:rPr>
              <w:t> </w:t>
            </w:r>
          </w:p>
        </w:tc>
      </w:tr>
      <w:tr w:rsidR="004550D1" w:rsidRPr="004550D1" w14:paraId="66BCDFD7" w14:textId="77777777" w:rsidTr="006750DB">
        <w:trPr>
          <w:trHeight w:val="930"/>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0585E654" w14:textId="77777777" w:rsidR="004550D1" w:rsidRPr="004550D1" w:rsidRDefault="004550D1" w:rsidP="009250AC">
            <w:pPr>
              <w:pStyle w:val="Tabletext1"/>
            </w:pPr>
            <w:r w:rsidRPr="004550D1">
              <w:t>COMPUTED TOMOGRAPHY - scan of chest, including lungs, mediastinum, chest wall and pleura, with or without scans of the upper abdomen, with intravenous contrast medium</w:t>
            </w:r>
          </w:p>
        </w:tc>
        <w:tc>
          <w:tcPr>
            <w:tcW w:w="750" w:type="pct"/>
            <w:tcBorders>
              <w:top w:val="nil"/>
              <w:left w:val="nil"/>
              <w:bottom w:val="single" w:sz="4" w:space="0" w:color="auto"/>
              <w:right w:val="single" w:sz="4" w:space="0" w:color="auto"/>
            </w:tcBorders>
            <w:shd w:val="clear" w:color="auto" w:fill="auto"/>
            <w:vAlign w:val="center"/>
            <w:hideMark/>
          </w:tcPr>
          <w:p w14:paraId="7CE1D72A"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7F085E5D" w14:textId="77777777" w:rsidR="004550D1" w:rsidRPr="004550D1" w:rsidRDefault="004550D1" w:rsidP="009250AC">
            <w:pPr>
              <w:pStyle w:val="Tabletext1"/>
            </w:pPr>
            <w:r w:rsidRPr="004550D1">
              <w:t>202.00</w:t>
            </w:r>
          </w:p>
        </w:tc>
        <w:tc>
          <w:tcPr>
            <w:tcW w:w="489" w:type="pct"/>
            <w:tcBorders>
              <w:top w:val="nil"/>
              <w:left w:val="nil"/>
              <w:bottom w:val="single" w:sz="4" w:space="0" w:color="auto"/>
              <w:right w:val="single" w:sz="4" w:space="0" w:color="auto"/>
            </w:tcBorders>
            <w:shd w:val="clear" w:color="auto" w:fill="auto"/>
            <w:vAlign w:val="center"/>
            <w:hideMark/>
          </w:tcPr>
          <w:p w14:paraId="7F191C94" w14:textId="77777777" w:rsidR="004550D1" w:rsidRPr="004550D1" w:rsidRDefault="004550D1" w:rsidP="009250AC">
            <w:pPr>
              <w:pStyle w:val="Tabletext1"/>
            </w:pPr>
            <w:r w:rsidRPr="004550D1">
              <w:t>1</w:t>
            </w:r>
          </w:p>
        </w:tc>
        <w:tc>
          <w:tcPr>
            <w:tcW w:w="798" w:type="pct"/>
            <w:tcBorders>
              <w:top w:val="nil"/>
              <w:left w:val="nil"/>
              <w:bottom w:val="single" w:sz="4" w:space="0" w:color="auto"/>
              <w:right w:val="single" w:sz="4" w:space="0" w:color="auto"/>
            </w:tcBorders>
            <w:shd w:val="clear" w:color="auto" w:fill="auto"/>
            <w:noWrap/>
            <w:vAlign w:val="center"/>
            <w:hideMark/>
          </w:tcPr>
          <w:p w14:paraId="016A5148" w14:textId="77777777" w:rsidR="004550D1" w:rsidRPr="004550D1" w:rsidRDefault="004550D1" w:rsidP="009250AC">
            <w:pPr>
              <w:pStyle w:val="Tabletext1"/>
            </w:pPr>
            <w:r w:rsidRPr="004550D1">
              <w:t>MBS Item 56347</w:t>
            </w:r>
          </w:p>
        </w:tc>
      </w:tr>
      <w:tr w:rsidR="004550D1" w:rsidRPr="004550D1" w14:paraId="7220D3AF" w14:textId="77777777" w:rsidTr="006750DB">
        <w:trPr>
          <w:trHeight w:val="930"/>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76E42D25" w14:textId="77777777" w:rsidR="004550D1" w:rsidRPr="004550D1" w:rsidRDefault="004550D1" w:rsidP="009250AC">
            <w:pPr>
              <w:pStyle w:val="Tabletext1"/>
            </w:pPr>
            <w:r w:rsidRPr="004550D1">
              <w:t>Respiratory function test</w:t>
            </w:r>
          </w:p>
        </w:tc>
        <w:tc>
          <w:tcPr>
            <w:tcW w:w="750" w:type="pct"/>
            <w:tcBorders>
              <w:top w:val="nil"/>
              <w:left w:val="nil"/>
              <w:bottom w:val="single" w:sz="4" w:space="0" w:color="auto"/>
              <w:right w:val="single" w:sz="4" w:space="0" w:color="auto"/>
            </w:tcBorders>
            <w:shd w:val="clear" w:color="auto" w:fill="auto"/>
            <w:vAlign w:val="center"/>
            <w:hideMark/>
          </w:tcPr>
          <w:p w14:paraId="2AA4DB48"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117D0FEF" w14:textId="77777777" w:rsidR="004550D1" w:rsidRPr="004550D1" w:rsidRDefault="004550D1" w:rsidP="009250AC">
            <w:pPr>
              <w:pStyle w:val="Tabletext1"/>
            </w:pPr>
            <w:r w:rsidRPr="004550D1">
              <w:t>138.65</w:t>
            </w:r>
          </w:p>
        </w:tc>
        <w:tc>
          <w:tcPr>
            <w:tcW w:w="489" w:type="pct"/>
            <w:tcBorders>
              <w:top w:val="nil"/>
              <w:left w:val="nil"/>
              <w:bottom w:val="single" w:sz="4" w:space="0" w:color="auto"/>
              <w:right w:val="single" w:sz="4" w:space="0" w:color="auto"/>
            </w:tcBorders>
            <w:shd w:val="clear" w:color="auto" w:fill="auto"/>
            <w:vAlign w:val="center"/>
            <w:hideMark/>
          </w:tcPr>
          <w:p w14:paraId="05D8EED6" w14:textId="77777777" w:rsidR="004550D1" w:rsidRPr="004550D1" w:rsidRDefault="004550D1" w:rsidP="009250AC">
            <w:pPr>
              <w:pStyle w:val="Tabletext1"/>
            </w:pPr>
            <w:r w:rsidRPr="004550D1">
              <w:t>1</w:t>
            </w:r>
          </w:p>
        </w:tc>
        <w:tc>
          <w:tcPr>
            <w:tcW w:w="798" w:type="pct"/>
            <w:tcBorders>
              <w:top w:val="nil"/>
              <w:left w:val="nil"/>
              <w:bottom w:val="nil"/>
              <w:right w:val="single" w:sz="4" w:space="0" w:color="auto"/>
            </w:tcBorders>
            <w:shd w:val="clear" w:color="auto" w:fill="auto"/>
            <w:vAlign w:val="center"/>
            <w:hideMark/>
          </w:tcPr>
          <w:p w14:paraId="6E4F4541" w14:textId="77777777" w:rsidR="004550D1" w:rsidRPr="004550D1" w:rsidRDefault="004550D1" w:rsidP="009250AC">
            <w:pPr>
              <w:pStyle w:val="Tabletext1"/>
            </w:pPr>
            <w:r w:rsidRPr="004550D1">
              <w:t>MBS Item 11503</w:t>
            </w:r>
          </w:p>
        </w:tc>
      </w:tr>
      <w:tr w:rsidR="004550D1" w:rsidRPr="004550D1" w14:paraId="41D7FC58" w14:textId="77777777" w:rsidTr="006750DB">
        <w:trPr>
          <w:trHeight w:val="990"/>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7065D130" w14:textId="77777777" w:rsidR="004550D1" w:rsidRPr="004550D1" w:rsidRDefault="004550D1" w:rsidP="009250AC">
            <w:pPr>
              <w:pStyle w:val="Tabletext1"/>
            </w:pPr>
            <w:r w:rsidRPr="004550D1">
              <w:t>Whole body FDG PET study, performed for evaluation of a solitary pulmonary nodule where the lesion is considered unsuitable for transthoracic fine needle aspiration biopsy, or for which an attempt at pathological characterisation has failed</w:t>
            </w:r>
          </w:p>
        </w:tc>
        <w:tc>
          <w:tcPr>
            <w:tcW w:w="750" w:type="pct"/>
            <w:tcBorders>
              <w:top w:val="nil"/>
              <w:left w:val="nil"/>
              <w:bottom w:val="single" w:sz="4" w:space="0" w:color="auto"/>
              <w:right w:val="single" w:sz="4" w:space="0" w:color="auto"/>
            </w:tcBorders>
            <w:shd w:val="clear" w:color="auto" w:fill="auto"/>
            <w:vAlign w:val="center"/>
            <w:hideMark/>
          </w:tcPr>
          <w:p w14:paraId="0D171EF1"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4B0ACACF" w14:textId="77777777" w:rsidR="004550D1" w:rsidRPr="004550D1" w:rsidRDefault="004550D1" w:rsidP="009250AC">
            <w:pPr>
              <w:pStyle w:val="Tabletext1"/>
            </w:pPr>
            <w:r w:rsidRPr="004550D1">
              <w:t>953.00</w:t>
            </w:r>
          </w:p>
        </w:tc>
        <w:tc>
          <w:tcPr>
            <w:tcW w:w="489" w:type="pct"/>
            <w:tcBorders>
              <w:top w:val="nil"/>
              <w:left w:val="nil"/>
              <w:bottom w:val="single" w:sz="4" w:space="0" w:color="auto"/>
              <w:right w:val="single" w:sz="4" w:space="0" w:color="auto"/>
            </w:tcBorders>
            <w:shd w:val="clear" w:color="auto" w:fill="auto"/>
            <w:vAlign w:val="center"/>
            <w:hideMark/>
          </w:tcPr>
          <w:p w14:paraId="78133712" w14:textId="77777777" w:rsidR="004550D1" w:rsidRPr="004550D1" w:rsidRDefault="004550D1" w:rsidP="009250AC">
            <w:pPr>
              <w:pStyle w:val="Tabletext1"/>
            </w:pPr>
            <w:r w:rsidRPr="004550D1">
              <w:t>1</w:t>
            </w:r>
          </w:p>
        </w:tc>
        <w:tc>
          <w:tcPr>
            <w:tcW w:w="798" w:type="pct"/>
            <w:tcBorders>
              <w:top w:val="single" w:sz="4" w:space="0" w:color="auto"/>
              <w:left w:val="nil"/>
              <w:bottom w:val="nil"/>
              <w:right w:val="single" w:sz="4" w:space="0" w:color="auto"/>
            </w:tcBorders>
            <w:shd w:val="clear" w:color="auto" w:fill="auto"/>
            <w:vAlign w:val="center"/>
            <w:hideMark/>
          </w:tcPr>
          <w:p w14:paraId="14349F82" w14:textId="77777777" w:rsidR="004550D1" w:rsidRPr="004550D1" w:rsidRDefault="004550D1" w:rsidP="009250AC">
            <w:pPr>
              <w:pStyle w:val="Tabletext1"/>
            </w:pPr>
            <w:r w:rsidRPr="004550D1">
              <w:t xml:space="preserve"> MBS Item 61523</w:t>
            </w:r>
          </w:p>
        </w:tc>
      </w:tr>
      <w:tr w:rsidR="004550D1" w:rsidRPr="004550D1" w14:paraId="32DF4C8A" w14:textId="77777777" w:rsidTr="009250AC">
        <w:trPr>
          <w:trHeight w:val="990"/>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15F885B3" w14:textId="77777777" w:rsidR="004550D1" w:rsidRPr="004550D1" w:rsidRDefault="004550D1" w:rsidP="009250AC">
            <w:pPr>
              <w:pStyle w:val="Tabletext1"/>
            </w:pPr>
            <w:r w:rsidRPr="004550D1">
              <w:lastRenderedPageBreak/>
              <w:t>Medical consultation</w:t>
            </w:r>
          </w:p>
        </w:tc>
        <w:tc>
          <w:tcPr>
            <w:tcW w:w="750" w:type="pct"/>
            <w:tcBorders>
              <w:top w:val="nil"/>
              <w:left w:val="nil"/>
              <w:bottom w:val="single" w:sz="4" w:space="0" w:color="auto"/>
              <w:right w:val="single" w:sz="4" w:space="0" w:color="auto"/>
            </w:tcBorders>
            <w:shd w:val="clear" w:color="auto" w:fill="auto"/>
            <w:vAlign w:val="center"/>
            <w:hideMark/>
          </w:tcPr>
          <w:p w14:paraId="7A2DF3AC"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4FEA10E8" w14:textId="77777777" w:rsidR="004550D1" w:rsidRPr="004550D1" w:rsidRDefault="004550D1" w:rsidP="009250AC">
            <w:pPr>
              <w:pStyle w:val="Tabletext1"/>
            </w:pPr>
            <w:r w:rsidRPr="004550D1">
              <w:t>263.90</w:t>
            </w:r>
          </w:p>
        </w:tc>
        <w:tc>
          <w:tcPr>
            <w:tcW w:w="489" w:type="pct"/>
            <w:tcBorders>
              <w:top w:val="nil"/>
              <w:left w:val="nil"/>
              <w:bottom w:val="single" w:sz="4" w:space="0" w:color="auto"/>
              <w:right w:val="single" w:sz="4" w:space="0" w:color="auto"/>
            </w:tcBorders>
            <w:shd w:val="clear" w:color="auto" w:fill="auto"/>
            <w:vAlign w:val="center"/>
            <w:hideMark/>
          </w:tcPr>
          <w:p w14:paraId="61978532" w14:textId="77777777" w:rsidR="004550D1" w:rsidRPr="004550D1" w:rsidRDefault="004550D1" w:rsidP="009250AC">
            <w:pPr>
              <w:pStyle w:val="Tabletext1"/>
            </w:pPr>
            <w:r w:rsidRPr="004550D1">
              <w:t>1</w:t>
            </w:r>
          </w:p>
        </w:tc>
        <w:tc>
          <w:tcPr>
            <w:tcW w:w="798" w:type="pct"/>
            <w:tcBorders>
              <w:top w:val="single" w:sz="4" w:space="0" w:color="auto"/>
              <w:left w:val="nil"/>
              <w:bottom w:val="single" w:sz="4" w:space="0" w:color="auto"/>
              <w:right w:val="single" w:sz="4" w:space="0" w:color="auto"/>
            </w:tcBorders>
            <w:shd w:val="clear" w:color="auto" w:fill="auto"/>
            <w:vAlign w:val="center"/>
            <w:hideMark/>
          </w:tcPr>
          <w:p w14:paraId="0CDDC51B" w14:textId="77777777" w:rsidR="004550D1" w:rsidRPr="004550D1" w:rsidRDefault="004550D1" w:rsidP="009250AC">
            <w:pPr>
              <w:pStyle w:val="Tabletext1"/>
            </w:pPr>
            <w:r w:rsidRPr="004550D1">
              <w:t>MBS Item 132</w:t>
            </w:r>
          </w:p>
        </w:tc>
      </w:tr>
      <w:tr w:rsidR="009250AC" w:rsidRPr="004550D1" w14:paraId="6F26CCA8" w14:textId="77777777" w:rsidTr="009250AC">
        <w:trPr>
          <w:trHeight w:val="285"/>
        </w:trPr>
        <w:tc>
          <w:tcPr>
            <w:tcW w:w="2387" w:type="pct"/>
            <w:tcBorders>
              <w:top w:val="single" w:sz="4" w:space="0" w:color="auto"/>
              <w:left w:val="single" w:sz="4" w:space="0" w:color="auto"/>
              <w:bottom w:val="single" w:sz="4" w:space="0" w:color="auto"/>
            </w:tcBorders>
            <w:shd w:val="clear" w:color="auto" w:fill="D9D9D9" w:themeFill="background1" w:themeFillShade="D9"/>
            <w:vAlign w:val="center"/>
            <w:hideMark/>
          </w:tcPr>
          <w:p w14:paraId="69B5F81C" w14:textId="77777777" w:rsidR="009250AC" w:rsidRPr="009250AC" w:rsidRDefault="009250AC" w:rsidP="009250AC">
            <w:pPr>
              <w:pStyle w:val="Tabletext1"/>
              <w:rPr>
                <w:b/>
              </w:rPr>
            </w:pPr>
            <w:r w:rsidRPr="009250AC">
              <w:rPr>
                <w:b/>
              </w:rPr>
              <w:t>Medical services – intervention (Non IMRT Course, not Department of Veterans Affairs)</w:t>
            </w:r>
          </w:p>
        </w:tc>
        <w:tc>
          <w:tcPr>
            <w:tcW w:w="750" w:type="pct"/>
            <w:tcBorders>
              <w:top w:val="single" w:sz="4" w:space="0" w:color="auto"/>
              <w:bottom w:val="single" w:sz="4" w:space="0" w:color="auto"/>
            </w:tcBorders>
            <w:shd w:val="clear" w:color="auto" w:fill="D9D9D9" w:themeFill="background1" w:themeFillShade="D9"/>
            <w:vAlign w:val="center"/>
          </w:tcPr>
          <w:p w14:paraId="04FC297C" w14:textId="77777777" w:rsidR="009250AC" w:rsidRPr="009250AC" w:rsidRDefault="009250AC" w:rsidP="009250AC">
            <w:pPr>
              <w:pStyle w:val="Tabletext1"/>
              <w:rPr>
                <w:b/>
              </w:rPr>
            </w:pPr>
          </w:p>
        </w:tc>
        <w:tc>
          <w:tcPr>
            <w:tcW w:w="576" w:type="pct"/>
            <w:tcBorders>
              <w:top w:val="single" w:sz="4" w:space="0" w:color="auto"/>
              <w:bottom w:val="single" w:sz="4" w:space="0" w:color="auto"/>
            </w:tcBorders>
            <w:shd w:val="clear" w:color="auto" w:fill="D9D9D9" w:themeFill="background1" w:themeFillShade="D9"/>
            <w:vAlign w:val="center"/>
          </w:tcPr>
          <w:p w14:paraId="58D02F52" w14:textId="77777777" w:rsidR="009250AC" w:rsidRPr="009250AC" w:rsidRDefault="009250AC" w:rsidP="009250AC">
            <w:pPr>
              <w:pStyle w:val="Tabletext1"/>
              <w:rPr>
                <w:b/>
              </w:rPr>
            </w:pPr>
          </w:p>
        </w:tc>
        <w:tc>
          <w:tcPr>
            <w:tcW w:w="489" w:type="pct"/>
            <w:tcBorders>
              <w:top w:val="single" w:sz="4" w:space="0" w:color="auto"/>
              <w:bottom w:val="single" w:sz="4" w:space="0" w:color="auto"/>
            </w:tcBorders>
            <w:shd w:val="clear" w:color="auto" w:fill="D9D9D9" w:themeFill="background1" w:themeFillShade="D9"/>
            <w:vAlign w:val="center"/>
          </w:tcPr>
          <w:p w14:paraId="45B43C3F" w14:textId="77777777" w:rsidR="009250AC" w:rsidRPr="009250AC" w:rsidRDefault="009250AC" w:rsidP="009250AC">
            <w:pPr>
              <w:pStyle w:val="Tabletext1"/>
              <w:rPr>
                <w:b/>
              </w:rPr>
            </w:pPr>
          </w:p>
        </w:tc>
        <w:tc>
          <w:tcPr>
            <w:tcW w:w="798" w:type="pct"/>
            <w:tcBorders>
              <w:top w:val="single" w:sz="4" w:space="0" w:color="auto"/>
              <w:bottom w:val="single" w:sz="4" w:space="0" w:color="auto"/>
              <w:right w:val="single" w:sz="4" w:space="0" w:color="auto"/>
            </w:tcBorders>
            <w:shd w:val="clear" w:color="auto" w:fill="D9D9D9" w:themeFill="background1" w:themeFillShade="D9"/>
            <w:vAlign w:val="center"/>
          </w:tcPr>
          <w:p w14:paraId="3B8818A9" w14:textId="4071D2EF" w:rsidR="009250AC" w:rsidRPr="009250AC" w:rsidRDefault="009250AC" w:rsidP="009250AC">
            <w:pPr>
              <w:pStyle w:val="Tabletext1"/>
              <w:rPr>
                <w:b/>
              </w:rPr>
            </w:pPr>
          </w:p>
        </w:tc>
      </w:tr>
      <w:tr w:rsidR="004550D1" w:rsidRPr="004550D1" w14:paraId="63BA870D" w14:textId="77777777" w:rsidTr="006750DB">
        <w:trPr>
          <w:trHeight w:val="810"/>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3E862AE3" w14:textId="77777777" w:rsidR="004550D1" w:rsidRPr="004550D1" w:rsidRDefault="004550D1" w:rsidP="009250AC">
            <w:pPr>
              <w:pStyle w:val="Tabletext1"/>
            </w:pPr>
            <w:r w:rsidRPr="004550D1">
              <w:t>SPECIALIST, REFERRED CONSULTATION - SURGERY OR HOSPITAL - professional attendance at consulting rooms or hospital by a specialist in the practice of his or her specialty where the patient is referred</w:t>
            </w:r>
          </w:p>
        </w:tc>
        <w:tc>
          <w:tcPr>
            <w:tcW w:w="750" w:type="pct"/>
            <w:tcBorders>
              <w:top w:val="nil"/>
              <w:left w:val="nil"/>
              <w:bottom w:val="single" w:sz="4" w:space="0" w:color="auto"/>
              <w:right w:val="single" w:sz="4" w:space="0" w:color="auto"/>
            </w:tcBorders>
            <w:shd w:val="clear" w:color="auto" w:fill="auto"/>
            <w:vAlign w:val="center"/>
            <w:hideMark/>
          </w:tcPr>
          <w:p w14:paraId="3C2828FF"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6BB99301" w14:textId="77777777" w:rsidR="004550D1" w:rsidRPr="004550D1" w:rsidRDefault="004550D1" w:rsidP="009250AC">
            <w:pPr>
              <w:pStyle w:val="Tabletext1"/>
            </w:pPr>
            <w:r w:rsidRPr="004550D1">
              <w:t>85.55</w:t>
            </w:r>
          </w:p>
        </w:tc>
        <w:tc>
          <w:tcPr>
            <w:tcW w:w="489" w:type="pct"/>
            <w:tcBorders>
              <w:top w:val="nil"/>
              <w:left w:val="nil"/>
              <w:bottom w:val="single" w:sz="4" w:space="0" w:color="auto"/>
              <w:right w:val="single" w:sz="4" w:space="0" w:color="auto"/>
            </w:tcBorders>
            <w:shd w:val="clear" w:color="auto" w:fill="auto"/>
            <w:vAlign w:val="center"/>
            <w:hideMark/>
          </w:tcPr>
          <w:p w14:paraId="49497B6F" w14:textId="77777777" w:rsidR="004550D1" w:rsidRPr="004550D1" w:rsidRDefault="004550D1" w:rsidP="009250AC">
            <w:pPr>
              <w:pStyle w:val="Tabletext1"/>
            </w:pPr>
            <w:r w:rsidRPr="004550D1">
              <w:t>1</w:t>
            </w:r>
          </w:p>
        </w:tc>
        <w:tc>
          <w:tcPr>
            <w:tcW w:w="798" w:type="pct"/>
            <w:tcBorders>
              <w:top w:val="nil"/>
              <w:left w:val="nil"/>
              <w:bottom w:val="nil"/>
              <w:right w:val="single" w:sz="4" w:space="0" w:color="auto"/>
            </w:tcBorders>
            <w:shd w:val="clear" w:color="auto" w:fill="auto"/>
            <w:vAlign w:val="center"/>
            <w:hideMark/>
          </w:tcPr>
          <w:p w14:paraId="231124B9" w14:textId="77777777" w:rsidR="004550D1" w:rsidRPr="004550D1" w:rsidRDefault="004550D1" w:rsidP="009250AC">
            <w:pPr>
              <w:pStyle w:val="Tabletext1"/>
            </w:pPr>
            <w:r w:rsidRPr="004550D1">
              <w:t>MBS Item 104</w:t>
            </w:r>
          </w:p>
        </w:tc>
      </w:tr>
      <w:tr w:rsidR="004550D1" w:rsidRPr="004550D1" w14:paraId="1E669677" w14:textId="77777777" w:rsidTr="006750DB">
        <w:trPr>
          <w:trHeight w:val="675"/>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05DBE042" w14:textId="77777777" w:rsidR="004550D1" w:rsidRPr="004550D1" w:rsidRDefault="004550D1" w:rsidP="009250AC">
            <w:pPr>
              <w:pStyle w:val="Tabletext1"/>
            </w:pPr>
            <w:r w:rsidRPr="004550D1">
              <w:t>SIMULATION FOR THREE-DIMENSIONAL CONFORMAL RADIOTHERAPY</w:t>
            </w:r>
          </w:p>
        </w:tc>
        <w:tc>
          <w:tcPr>
            <w:tcW w:w="750" w:type="pct"/>
            <w:tcBorders>
              <w:top w:val="nil"/>
              <w:left w:val="nil"/>
              <w:bottom w:val="single" w:sz="4" w:space="0" w:color="auto"/>
              <w:right w:val="single" w:sz="4" w:space="0" w:color="auto"/>
            </w:tcBorders>
            <w:shd w:val="clear" w:color="auto" w:fill="auto"/>
            <w:vAlign w:val="center"/>
            <w:hideMark/>
          </w:tcPr>
          <w:p w14:paraId="5F36F1FB"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59EE1841" w14:textId="77777777" w:rsidR="004550D1" w:rsidRPr="004550D1" w:rsidRDefault="004550D1" w:rsidP="009250AC">
            <w:pPr>
              <w:pStyle w:val="Tabletext1"/>
            </w:pPr>
            <w:r w:rsidRPr="004550D1">
              <w:t>658.60</w:t>
            </w:r>
          </w:p>
        </w:tc>
        <w:tc>
          <w:tcPr>
            <w:tcW w:w="489" w:type="pct"/>
            <w:tcBorders>
              <w:top w:val="nil"/>
              <w:left w:val="nil"/>
              <w:bottom w:val="single" w:sz="4" w:space="0" w:color="auto"/>
              <w:right w:val="single" w:sz="4" w:space="0" w:color="auto"/>
            </w:tcBorders>
            <w:shd w:val="clear" w:color="auto" w:fill="auto"/>
            <w:vAlign w:val="center"/>
            <w:hideMark/>
          </w:tcPr>
          <w:p w14:paraId="1E2548F0" w14:textId="77777777" w:rsidR="004550D1" w:rsidRPr="004550D1" w:rsidRDefault="004550D1" w:rsidP="009250AC">
            <w:pPr>
              <w:pStyle w:val="Tabletext1"/>
            </w:pPr>
            <w:r w:rsidRPr="004550D1">
              <w:t>1</w:t>
            </w:r>
          </w:p>
        </w:tc>
        <w:tc>
          <w:tcPr>
            <w:tcW w:w="798" w:type="pct"/>
            <w:tcBorders>
              <w:top w:val="single" w:sz="4" w:space="0" w:color="auto"/>
              <w:left w:val="nil"/>
              <w:bottom w:val="single" w:sz="4" w:space="0" w:color="auto"/>
              <w:right w:val="single" w:sz="4" w:space="0" w:color="auto"/>
            </w:tcBorders>
            <w:shd w:val="clear" w:color="auto" w:fill="auto"/>
            <w:vAlign w:val="center"/>
            <w:hideMark/>
          </w:tcPr>
          <w:p w14:paraId="176BD211" w14:textId="77777777" w:rsidR="004550D1" w:rsidRPr="004550D1" w:rsidRDefault="004550D1" w:rsidP="009250AC">
            <w:pPr>
              <w:pStyle w:val="Tabletext1"/>
            </w:pPr>
            <w:r w:rsidRPr="004550D1">
              <w:t>MBS Item 15550</w:t>
            </w:r>
          </w:p>
        </w:tc>
      </w:tr>
      <w:tr w:rsidR="004550D1" w:rsidRPr="004550D1" w14:paraId="424D83F7" w14:textId="77777777" w:rsidTr="006750DB">
        <w:trPr>
          <w:trHeight w:val="510"/>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60A72739" w14:textId="77777777" w:rsidR="004550D1" w:rsidRPr="004550D1" w:rsidRDefault="004550D1" w:rsidP="009250AC">
            <w:pPr>
              <w:pStyle w:val="Tabletext1"/>
            </w:pPr>
            <w:r w:rsidRPr="004550D1">
              <w:t>DOSIMETRY FOR THREE-DIMENSIONAL CONFORMAL RADIOTHERAPY OF LEVEL 3 COMPLEXITY</w:t>
            </w:r>
          </w:p>
        </w:tc>
        <w:tc>
          <w:tcPr>
            <w:tcW w:w="750" w:type="pct"/>
            <w:tcBorders>
              <w:top w:val="nil"/>
              <w:left w:val="nil"/>
              <w:bottom w:val="single" w:sz="4" w:space="0" w:color="auto"/>
              <w:right w:val="single" w:sz="4" w:space="0" w:color="auto"/>
            </w:tcBorders>
            <w:shd w:val="clear" w:color="auto" w:fill="auto"/>
            <w:vAlign w:val="center"/>
            <w:hideMark/>
          </w:tcPr>
          <w:p w14:paraId="0798A74D"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0656F68A" w14:textId="77777777" w:rsidR="004550D1" w:rsidRPr="004550D1" w:rsidRDefault="004550D1" w:rsidP="009250AC">
            <w:pPr>
              <w:pStyle w:val="Tabletext1"/>
            </w:pPr>
            <w:r w:rsidRPr="004550D1">
              <w:t>1,120.75</w:t>
            </w:r>
          </w:p>
        </w:tc>
        <w:tc>
          <w:tcPr>
            <w:tcW w:w="489" w:type="pct"/>
            <w:tcBorders>
              <w:top w:val="nil"/>
              <w:left w:val="nil"/>
              <w:bottom w:val="single" w:sz="4" w:space="0" w:color="auto"/>
              <w:right w:val="single" w:sz="4" w:space="0" w:color="auto"/>
            </w:tcBorders>
            <w:shd w:val="clear" w:color="auto" w:fill="auto"/>
            <w:vAlign w:val="center"/>
            <w:hideMark/>
          </w:tcPr>
          <w:p w14:paraId="513CBD23" w14:textId="77777777" w:rsidR="004550D1" w:rsidRPr="004550D1" w:rsidRDefault="004550D1" w:rsidP="009250AC">
            <w:pPr>
              <w:pStyle w:val="Tabletext1"/>
            </w:pPr>
            <w:r w:rsidRPr="004550D1">
              <w:t>1</w:t>
            </w:r>
          </w:p>
        </w:tc>
        <w:tc>
          <w:tcPr>
            <w:tcW w:w="798" w:type="pct"/>
            <w:tcBorders>
              <w:top w:val="nil"/>
              <w:left w:val="nil"/>
              <w:bottom w:val="single" w:sz="4" w:space="0" w:color="auto"/>
              <w:right w:val="single" w:sz="4" w:space="0" w:color="auto"/>
            </w:tcBorders>
            <w:shd w:val="clear" w:color="auto" w:fill="auto"/>
            <w:vAlign w:val="center"/>
            <w:hideMark/>
          </w:tcPr>
          <w:p w14:paraId="2230B99D" w14:textId="77777777" w:rsidR="004550D1" w:rsidRPr="004550D1" w:rsidRDefault="004550D1" w:rsidP="009250AC">
            <w:pPr>
              <w:pStyle w:val="Tabletext1"/>
            </w:pPr>
            <w:r w:rsidRPr="004550D1">
              <w:t>MBS Item 15562</w:t>
            </w:r>
          </w:p>
        </w:tc>
      </w:tr>
      <w:tr w:rsidR="004550D1" w:rsidRPr="004550D1" w14:paraId="1273B019" w14:textId="77777777" w:rsidTr="006750DB">
        <w:trPr>
          <w:trHeight w:val="1275"/>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32CC82F5" w14:textId="77777777" w:rsidR="004550D1" w:rsidRPr="004550D1" w:rsidRDefault="004550D1" w:rsidP="009250AC">
            <w:pPr>
              <w:pStyle w:val="Tabletext1"/>
            </w:pPr>
            <w:r w:rsidRPr="004550D1">
              <w:t>RADIATION ONCOLOGY TREATMENT, using a dual photon energy linear accelerator with a minimum higher energy of at least 10MV photons, with electron facilities - each attendance at which treatment is given - 1 field - treatment delivered to primary site for diseases and conditions not covered by items 15245, 15248 or 15251</w:t>
            </w:r>
          </w:p>
        </w:tc>
        <w:tc>
          <w:tcPr>
            <w:tcW w:w="750" w:type="pct"/>
            <w:tcBorders>
              <w:top w:val="nil"/>
              <w:left w:val="nil"/>
              <w:bottom w:val="single" w:sz="4" w:space="0" w:color="auto"/>
              <w:right w:val="single" w:sz="4" w:space="0" w:color="auto"/>
            </w:tcBorders>
            <w:shd w:val="clear" w:color="auto" w:fill="auto"/>
            <w:vAlign w:val="center"/>
            <w:hideMark/>
          </w:tcPr>
          <w:p w14:paraId="6AC8BDE1"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32294884" w14:textId="77777777" w:rsidR="004550D1" w:rsidRPr="004550D1" w:rsidRDefault="004550D1" w:rsidP="009250AC">
            <w:pPr>
              <w:pStyle w:val="Tabletext1"/>
            </w:pPr>
            <w:r w:rsidRPr="004550D1">
              <w:t>59.65</w:t>
            </w:r>
          </w:p>
        </w:tc>
        <w:tc>
          <w:tcPr>
            <w:tcW w:w="489" w:type="pct"/>
            <w:tcBorders>
              <w:top w:val="nil"/>
              <w:left w:val="nil"/>
              <w:bottom w:val="single" w:sz="4" w:space="0" w:color="auto"/>
              <w:right w:val="single" w:sz="4" w:space="0" w:color="auto"/>
            </w:tcBorders>
            <w:shd w:val="clear" w:color="auto" w:fill="auto"/>
            <w:vAlign w:val="center"/>
            <w:hideMark/>
          </w:tcPr>
          <w:p w14:paraId="74CFB974" w14:textId="77777777" w:rsidR="004550D1" w:rsidRPr="004550D1" w:rsidRDefault="004550D1" w:rsidP="009250AC">
            <w:pPr>
              <w:pStyle w:val="Tabletext1"/>
            </w:pPr>
            <w:r w:rsidRPr="004550D1">
              <w:t>4</w:t>
            </w:r>
          </w:p>
        </w:tc>
        <w:tc>
          <w:tcPr>
            <w:tcW w:w="798" w:type="pct"/>
            <w:tcBorders>
              <w:top w:val="nil"/>
              <w:left w:val="nil"/>
              <w:bottom w:val="single" w:sz="4" w:space="0" w:color="auto"/>
              <w:right w:val="single" w:sz="4" w:space="0" w:color="auto"/>
            </w:tcBorders>
            <w:shd w:val="clear" w:color="auto" w:fill="auto"/>
            <w:vAlign w:val="center"/>
            <w:hideMark/>
          </w:tcPr>
          <w:p w14:paraId="600A9E9C" w14:textId="77777777" w:rsidR="004550D1" w:rsidRPr="004550D1" w:rsidRDefault="004550D1" w:rsidP="009250AC">
            <w:pPr>
              <w:pStyle w:val="Tabletext1"/>
            </w:pPr>
            <w:r w:rsidRPr="004550D1">
              <w:t>MBS Item 15254 1F (primary field)</w:t>
            </w:r>
          </w:p>
        </w:tc>
      </w:tr>
      <w:tr w:rsidR="004550D1" w:rsidRPr="004550D1" w14:paraId="37BF955F" w14:textId="77777777" w:rsidTr="006750DB">
        <w:trPr>
          <w:trHeight w:val="1020"/>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7B37785C" w14:textId="77777777" w:rsidR="004550D1" w:rsidRPr="004550D1" w:rsidRDefault="004550D1" w:rsidP="009250AC">
            <w:pPr>
              <w:pStyle w:val="Tabletext1"/>
            </w:pPr>
            <w:r w:rsidRPr="004550D1">
              <w:t>RADIATION ONCOLOGY TREATMENT, using a dual photon energy linear accelerator with a minimum higher energy of at least 10MV photons, with electron facilities - each attendance at which treatment is given -  to a maximum of 5 additional fields treatment delivered to primary site (lung)</w:t>
            </w:r>
          </w:p>
        </w:tc>
        <w:tc>
          <w:tcPr>
            <w:tcW w:w="750" w:type="pct"/>
            <w:tcBorders>
              <w:top w:val="nil"/>
              <w:left w:val="nil"/>
              <w:bottom w:val="single" w:sz="4" w:space="0" w:color="auto"/>
              <w:right w:val="single" w:sz="4" w:space="0" w:color="auto"/>
            </w:tcBorders>
            <w:shd w:val="clear" w:color="auto" w:fill="auto"/>
            <w:vAlign w:val="center"/>
            <w:hideMark/>
          </w:tcPr>
          <w:p w14:paraId="1A1153FD"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25CFE069" w14:textId="77777777" w:rsidR="004550D1" w:rsidRPr="004550D1" w:rsidRDefault="004550D1" w:rsidP="009250AC">
            <w:pPr>
              <w:pStyle w:val="Tabletext1"/>
            </w:pPr>
            <w:r w:rsidRPr="004550D1">
              <w:t>37.95</w:t>
            </w:r>
          </w:p>
        </w:tc>
        <w:tc>
          <w:tcPr>
            <w:tcW w:w="489" w:type="pct"/>
            <w:tcBorders>
              <w:top w:val="nil"/>
              <w:left w:val="nil"/>
              <w:bottom w:val="single" w:sz="4" w:space="0" w:color="auto"/>
              <w:right w:val="single" w:sz="4" w:space="0" w:color="auto"/>
            </w:tcBorders>
            <w:shd w:val="clear" w:color="auto" w:fill="auto"/>
            <w:vAlign w:val="center"/>
            <w:hideMark/>
          </w:tcPr>
          <w:p w14:paraId="32E0EB45" w14:textId="77777777" w:rsidR="004550D1" w:rsidRPr="004550D1" w:rsidRDefault="004550D1" w:rsidP="009250AC">
            <w:pPr>
              <w:pStyle w:val="Tabletext1"/>
            </w:pPr>
            <w:r w:rsidRPr="004550D1">
              <w:t>20</w:t>
            </w:r>
          </w:p>
        </w:tc>
        <w:tc>
          <w:tcPr>
            <w:tcW w:w="798" w:type="pct"/>
            <w:tcBorders>
              <w:top w:val="nil"/>
              <w:left w:val="nil"/>
              <w:bottom w:val="single" w:sz="4" w:space="0" w:color="auto"/>
              <w:right w:val="single" w:sz="4" w:space="0" w:color="auto"/>
            </w:tcBorders>
            <w:shd w:val="clear" w:color="auto" w:fill="auto"/>
            <w:vAlign w:val="center"/>
            <w:hideMark/>
          </w:tcPr>
          <w:p w14:paraId="79AE88B6" w14:textId="77777777" w:rsidR="004550D1" w:rsidRPr="004550D1" w:rsidRDefault="004550D1" w:rsidP="009250AC">
            <w:pPr>
              <w:pStyle w:val="Tabletext1"/>
            </w:pPr>
            <w:r w:rsidRPr="004550D1">
              <w:t>MBS Item 15260 5F (Secondary Field)</w:t>
            </w:r>
          </w:p>
        </w:tc>
      </w:tr>
      <w:tr w:rsidR="004550D1" w:rsidRPr="004550D1" w14:paraId="3A9640A2" w14:textId="77777777" w:rsidTr="006750DB">
        <w:trPr>
          <w:trHeight w:val="1080"/>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4BD21CAD" w14:textId="77777777" w:rsidR="004550D1" w:rsidRPr="004550D1" w:rsidRDefault="004550D1" w:rsidP="009250AC">
            <w:pPr>
              <w:pStyle w:val="Tabletext1"/>
            </w:pPr>
            <w:r w:rsidRPr="004550D1">
              <w:t xml:space="preserve">RADIATION ONCOLOGY TREATMENT VERIFICATION - volumetric acquisition, when prescribed and reviewed by a radiation oncologist and not associated with item 15700 or 15705 - each attendance at which treatment involving three fields or more is verified (ie maximum one per attendance). </w:t>
            </w:r>
          </w:p>
        </w:tc>
        <w:tc>
          <w:tcPr>
            <w:tcW w:w="750" w:type="pct"/>
            <w:tcBorders>
              <w:top w:val="nil"/>
              <w:left w:val="nil"/>
              <w:bottom w:val="single" w:sz="4" w:space="0" w:color="auto"/>
              <w:right w:val="single" w:sz="4" w:space="0" w:color="auto"/>
            </w:tcBorders>
            <w:shd w:val="clear" w:color="auto" w:fill="auto"/>
            <w:vAlign w:val="center"/>
            <w:hideMark/>
          </w:tcPr>
          <w:p w14:paraId="56A2F768"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44FA3376" w14:textId="77777777" w:rsidR="004550D1" w:rsidRPr="004550D1" w:rsidRDefault="004550D1" w:rsidP="009250AC">
            <w:pPr>
              <w:pStyle w:val="Tabletext1"/>
            </w:pPr>
            <w:r w:rsidRPr="004550D1">
              <w:t>76.60</w:t>
            </w:r>
          </w:p>
        </w:tc>
        <w:tc>
          <w:tcPr>
            <w:tcW w:w="489" w:type="pct"/>
            <w:tcBorders>
              <w:top w:val="nil"/>
              <w:left w:val="nil"/>
              <w:bottom w:val="single" w:sz="4" w:space="0" w:color="auto"/>
              <w:right w:val="single" w:sz="4" w:space="0" w:color="auto"/>
            </w:tcBorders>
            <w:shd w:val="clear" w:color="auto" w:fill="auto"/>
            <w:vAlign w:val="center"/>
            <w:hideMark/>
          </w:tcPr>
          <w:p w14:paraId="4D95182C" w14:textId="77777777" w:rsidR="004550D1" w:rsidRPr="004550D1" w:rsidRDefault="004550D1" w:rsidP="009250AC">
            <w:pPr>
              <w:pStyle w:val="Tabletext1"/>
            </w:pPr>
            <w:r w:rsidRPr="004550D1">
              <w:t>4</w:t>
            </w:r>
          </w:p>
        </w:tc>
        <w:tc>
          <w:tcPr>
            <w:tcW w:w="798" w:type="pct"/>
            <w:tcBorders>
              <w:top w:val="nil"/>
              <w:left w:val="nil"/>
              <w:bottom w:val="single" w:sz="4" w:space="0" w:color="auto"/>
              <w:right w:val="single" w:sz="4" w:space="0" w:color="auto"/>
            </w:tcBorders>
            <w:shd w:val="clear" w:color="auto" w:fill="auto"/>
            <w:vAlign w:val="center"/>
            <w:hideMark/>
          </w:tcPr>
          <w:p w14:paraId="6BCD35CF" w14:textId="77777777" w:rsidR="004550D1" w:rsidRPr="004550D1" w:rsidRDefault="004550D1" w:rsidP="009250AC">
            <w:pPr>
              <w:pStyle w:val="Tabletext1"/>
            </w:pPr>
            <w:r w:rsidRPr="004550D1">
              <w:t>MBS Item 15710</w:t>
            </w:r>
          </w:p>
        </w:tc>
      </w:tr>
      <w:tr w:rsidR="004550D1" w:rsidRPr="004550D1" w14:paraId="30C5523A" w14:textId="77777777" w:rsidTr="006750DB">
        <w:trPr>
          <w:trHeight w:val="255"/>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313A5933" w14:textId="77777777" w:rsidR="004550D1" w:rsidRPr="004550D1" w:rsidRDefault="004550D1" w:rsidP="009250AC">
            <w:pPr>
              <w:pStyle w:val="Tabletext1"/>
            </w:pPr>
            <w:r w:rsidRPr="004550D1">
              <w:t>RPG - Linac</w:t>
            </w:r>
          </w:p>
        </w:tc>
        <w:tc>
          <w:tcPr>
            <w:tcW w:w="750" w:type="pct"/>
            <w:tcBorders>
              <w:top w:val="nil"/>
              <w:left w:val="nil"/>
              <w:bottom w:val="single" w:sz="4" w:space="0" w:color="auto"/>
              <w:right w:val="single" w:sz="4" w:space="0" w:color="auto"/>
            </w:tcBorders>
            <w:shd w:val="clear" w:color="auto" w:fill="auto"/>
            <w:vAlign w:val="center"/>
            <w:hideMark/>
          </w:tcPr>
          <w:p w14:paraId="267CC4E8" w14:textId="77777777" w:rsidR="004550D1" w:rsidRPr="004550D1" w:rsidRDefault="004550D1" w:rsidP="009250AC">
            <w:pPr>
              <w:pStyle w:val="Tabletext1"/>
            </w:pPr>
            <w:r w:rsidRPr="004550D1">
              <w:t> </w:t>
            </w:r>
          </w:p>
        </w:tc>
        <w:tc>
          <w:tcPr>
            <w:tcW w:w="576" w:type="pct"/>
            <w:tcBorders>
              <w:top w:val="nil"/>
              <w:left w:val="nil"/>
              <w:bottom w:val="single" w:sz="4" w:space="0" w:color="auto"/>
              <w:right w:val="single" w:sz="4" w:space="0" w:color="auto"/>
            </w:tcBorders>
            <w:shd w:val="clear" w:color="auto" w:fill="auto"/>
            <w:vAlign w:val="center"/>
            <w:hideMark/>
          </w:tcPr>
          <w:p w14:paraId="1B9AC7C8" w14:textId="77777777" w:rsidR="004550D1" w:rsidRPr="004550D1" w:rsidRDefault="004550D1" w:rsidP="009250AC">
            <w:pPr>
              <w:pStyle w:val="Tabletext1"/>
            </w:pPr>
            <w:r w:rsidRPr="004550D1">
              <w:t> </w:t>
            </w:r>
          </w:p>
        </w:tc>
        <w:tc>
          <w:tcPr>
            <w:tcW w:w="489" w:type="pct"/>
            <w:tcBorders>
              <w:top w:val="nil"/>
              <w:left w:val="nil"/>
              <w:bottom w:val="single" w:sz="4" w:space="0" w:color="auto"/>
              <w:right w:val="single" w:sz="4" w:space="0" w:color="auto"/>
            </w:tcBorders>
            <w:shd w:val="clear" w:color="auto" w:fill="auto"/>
            <w:vAlign w:val="center"/>
            <w:hideMark/>
          </w:tcPr>
          <w:p w14:paraId="1BEF12C8" w14:textId="77777777" w:rsidR="004550D1" w:rsidRPr="004550D1" w:rsidRDefault="004550D1" w:rsidP="009250AC">
            <w:pPr>
              <w:pStyle w:val="Tabletext1"/>
            </w:pPr>
            <w:r w:rsidRPr="004550D1">
              <w:t> </w:t>
            </w:r>
          </w:p>
        </w:tc>
        <w:tc>
          <w:tcPr>
            <w:tcW w:w="798" w:type="pct"/>
            <w:tcBorders>
              <w:top w:val="nil"/>
              <w:left w:val="nil"/>
              <w:bottom w:val="single" w:sz="4" w:space="0" w:color="auto"/>
              <w:right w:val="single" w:sz="4" w:space="0" w:color="auto"/>
            </w:tcBorders>
            <w:shd w:val="clear" w:color="auto" w:fill="auto"/>
            <w:vAlign w:val="center"/>
            <w:hideMark/>
          </w:tcPr>
          <w:p w14:paraId="3DB0554D" w14:textId="77777777" w:rsidR="004550D1" w:rsidRPr="004550D1" w:rsidRDefault="004550D1" w:rsidP="009250AC">
            <w:pPr>
              <w:pStyle w:val="Tabletext1"/>
            </w:pPr>
            <w:r w:rsidRPr="004550D1">
              <w:t> </w:t>
            </w:r>
          </w:p>
        </w:tc>
      </w:tr>
      <w:tr w:rsidR="004550D1" w:rsidRPr="004550D1" w14:paraId="46921C48" w14:textId="77777777" w:rsidTr="006750DB">
        <w:trPr>
          <w:trHeight w:val="255"/>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1CF03A16" w14:textId="77777777" w:rsidR="004550D1" w:rsidRPr="004550D1" w:rsidRDefault="004550D1" w:rsidP="009250AC">
            <w:pPr>
              <w:pStyle w:val="Tabletext1"/>
              <w:rPr>
                <w:color w:val="000000"/>
              </w:rPr>
            </w:pPr>
            <w:r w:rsidRPr="004550D1">
              <w:rPr>
                <w:color w:val="000000"/>
              </w:rPr>
              <w:t>15254 Primary treatment field</w:t>
            </w:r>
          </w:p>
        </w:tc>
        <w:tc>
          <w:tcPr>
            <w:tcW w:w="750" w:type="pct"/>
            <w:tcBorders>
              <w:top w:val="nil"/>
              <w:left w:val="nil"/>
              <w:bottom w:val="single" w:sz="4" w:space="0" w:color="auto"/>
              <w:right w:val="single" w:sz="4" w:space="0" w:color="auto"/>
            </w:tcBorders>
            <w:shd w:val="clear" w:color="auto" w:fill="auto"/>
            <w:vAlign w:val="center"/>
            <w:hideMark/>
          </w:tcPr>
          <w:p w14:paraId="46F12E9D"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2D9627F6" w14:textId="77777777" w:rsidR="004550D1" w:rsidRPr="004550D1" w:rsidRDefault="004550D1" w:rsidP="009250AC">
            <w:pPr>
              <w:pStyle w:val="Tabletext1"/>
              <w:rPr>
                <w:color w:val="000000"/>
              </w:rPr>
            </w:pPr>
            <w:r w:rsidRPr="004550D1">
              <w:rPr>
                <w:color w:val="000000"/>
              </w:rPr>
              <w:t>36.12</w:t>
            </w:r>
          </w:p>
        </w:tc>
        <w:tc>
          <w:tcPr>
            <w:tcW w:w="489" w:type="pct"/>
            <w:tcBorders>
              <w:top w:val="nil"/>
              <w:left w:val="nil"/>
              <w:bottom w:val="single" w:sz="4" w:space="0" w:color="auto"/>
              <w:right w:val="single" w:sz="4" w:space="0" w:color="auto"/>
            </w:tcBorders>
            <w:shd w:val="clear" w:color="auto" w:fill="auto"/>
            <w:vAlign w:val="center"/>
            <w:hideMark/>
          </w:tcPr>
          <w:p w14:paraId="7487C38F" w14:textId="77777777" w:rsidR="004550D1" w:rsidRPr="004550D1" w:rsidRDefault="004550D1" w:rsidP="009250AC">
            <w:pPr>
              <w:pStyle w:val="Tabletext1"/>
            </w:pPr>
            <w:r w:rsidRPr="004550D1">
              <w:t>4</w:t>
            </w:r>
          </w:p>
        </w:tc>
        <w:tc>
          <w:tcPr>
            <w:tcW w:w="798" w:type="pct"/>
            <w:tcBorders>
              <w:top w:val="nil"/>
              <w:left w:val="nil"/>
              <w:bottom w:val="single" w:sz="4" w:space="0" w:color="auto"/>
              <w:right w:val="single" w:sz="4" w:space="0" w:color="auto"/>
            </w:tcBorders>
            <w:shd w:val="clear" w:color="auto" w:fill="auto"/>
            <w:vAlign w:val="center"/>
            <w:hideMark/>
          </w:tcPr>
          <w:p w14:paraId="176631D3" w14:textId="77777777" w:rsidR="004550D1" w:rsidRPr="004550D1" w:rsidRDefault="004550D1" w:rsidP="009250AC">
            <w:pPr>
              <w:pStyle w:val="Tabletext1"/>
            </w:pPr>
            <w:r w:rsidRPr="004550D1">
              <w:t>RPG</w:t>
            </w:r>
          </w:p>
        </w:tc>
      </w:tr>
      <w:tr w:rsidR="004550D1" w:rsidRPr="004550D1" w14:paraId="7FBFACCC" w14:textId="77777777" w:rsidTr="006750DB">
        <w:trPr>
          <w:trHeight w:val="255"/>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6E53CB92" w14:textId="77777777" w:rsidR="004550D1" w:rsidRPr="004550D1" w:rsidRDefault="004550D1" w:rsidP="009250AC">
            <w:pPr>
              <w:pStyle w:val="Tabletext1"/>
              <w:rPr>
                <w:color w:val="000000"/>
              </w:rPr>
            </w:pPr>
            <w:r w:rsidRPr="004550D1">
              <w:rPr>
                <w:color w:val="000000"/>
              </w:rPr>
              <w:t>15550 Simulation</w:t>
            </w:r>
          </w:p>
        </w:tc>
        <w:tc>
          <w:tcPr>
            <w:tcW w:w="750" w:type="pct"/>
            <w:tcBorders>
              <w:top w:val="nil"/>
              <w:left w:val="nil"/>
              <w:bottom w:val="single" w:sz="4" w:space="0" w:color="auto"/>
              <w:right w:val="single" w:sz="4" w:space="0" w:color="auto"/>
            </w:tcBorders>
            <w:shd w:val="clear" w:color="auto" w:fill="auto"/>
            <w:vAlign w:val="center"/>
            <w:hideMark/>
          </w:tcPr>
          <w:p w14:paraId="1FB5A2F1"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1638B79E" w14:textId="77777777" w:rsidR="004550D1" w:rsidRPr="004550D1" w:rsidRDefault="004550D1" w:rsidP="009250AC">
            <w:pPr>
              <w:pStyle w:val="Tabletext1"/>
              <w:rPr>
                <w:color w:val="000000"/>
              </w:rPr>
            </w:pPr>
            <w:r w:rsidRPr="004550D1">
              <w:rPr>
                <w:color w:val="000000"/>
              </w:rPr>
              <w:t>65.2</w:t>
            </w:r>
          </w:p>
        </w:tc>
        <w:tc>
          <w:tcPr>
            <w:tcW w:w="489" w:type="pct"/>
            <w:tcBorders>
              <w:top w:val="nil"/>
              <w:left w:val="nil"/>
              <w:bottom w:val="single" w:sz="4" w:space="0" w:color="auto"/>
              <w:right w:val="single" w:sz="4" w:space="0" w:color="auto"/>
            </w:tcBorders>
            <w:shd w:val="clear" w:color="auto" w:fill="auto"/>
            <w:vAlign w:val="center"/>
            <w:hideMark/>
          </w:tcPr>
          <w:p w14:paraId="18E8E77E" w14:textId="77777777" w:rsidR="004550D1" w:rsidRPr="004550D1" w:rsidRDefault="004550D1" w:rsidP="009250AC">
            <w:pPr>
              <w:pStyle w:val="Tabletext1"/>
            </w:pPr>
            <w:r w:rsidRPr="004550D1">
              <w:t>1</w:t>
            </w:r>
          </w:p>
        </w:tc>
        <w:tc>
          <w:tcPr>
            <w:tcW w:w="798" w:type="pct"/>
            <w:tcBorders>
              <w:top w:val="nil"/>
              <w:left w:val="nil"/>
              <w:bottom w:val="single" w:sz="4" w:space="0" w:color="auto"/>
              <w:right w:val="single" w:sz="4" w:space="0" w:color="auto"/>
            </w:tcBorders>
            <w:shd w:val="clear" w:color="auto" w:fill="auto"/>
            <w:vAlign w:val="center"/>
            <w:hideMark/>
          </w:tcPr>
          <w:p w14:paraId="3A057E01" w14:textId="77777777" w:rsidR="004550D1" w:rsidRPr="004550D1" w:rsidRDefault="004550D1" w:rsidP="009250AC">
            <w:pPr>
              <w:pStyle w:val="Tabletext1"/>
            </w:pPr>
            <w:r w:rsidRPr="004550D1">
              <w:t>RPG</w:t>
            </w:r>
          </w:p>
        </w:tc>
      </w:tr>
      <w:tr w:rsidR="004550D1" w:rsidRPr="004550D1" w14:paraId="6D0E569B" w14:textId="77777777" w:rsidTr="009250AC">
        <w:trPr>
          <w:trHeight w:val="255"/>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77551667" w14:textId="77777777" w:rsidR="004550D1" w:rsidRPr="004550D1" w:rsidRDefault="004550D1" w:rsidP="009250AC">
            <w:pPr>
              <w:pStyle w:val="Tabletext1"/>
              <w:rPr>
                <w:color w:val="000000"/>
              </w:rPr>
            </w:pPr>
            <w:r w:rsidRPr="004550D1">
              <w:rPr>
                <w:color w:val="000000"/>
              </w:rPr>
              <w:t>15562-Level 6-Plan</w:t>
            </w:r>
          </w:p>
        </w:tc>
        <w:tc>
          <w:tcPr>
            <w:tcW w:w="750" w:type="pct"/>
            <w:tcBorders>
              <w:top w:val="nil"/>
              <w:left w:val="nil"/>
              <w:bottom w:val="single" w:sz="4" w:space="0" w:color="auto"/>
              <w:right w:val="single" w:sz="4" w:space="0" w:color="auto"/>
            </w:tcBorders>
            <w:shd w:val="clear" w:color="auto" w:fill="auto"/>
            <w:vAlign w:val="center"/>
            <w:hideMark/>
          </w:tcPr>
          <w:p w14:paraId="164956D8"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169565D4" w14:textId="77777777" w:rsidR="004550D1" w:rsidRPr="004550D1" w:rsidRDefault="004550D1" w:rsidP="009250AC">
            <w:pPr>
              <w:pStyle w:val="Tabletext1"/>
              <w:rPr>
                <w:color w:val="000000"/>
              </w:rPr>
            </w:pPr>
            <w:r w:rsidRPr="004550D1">
              <w:rPr>
                <w:color w:val="000000"/>
              </w:rPr>
              <w:t>83.82</w:t>
            </w:r>
          </w:p>
        </w:tc>
        <w:tc>
          <w:tcPr>
            <w:tcW w:w="489" w:type="pct"/>
            <w:tcBorders>
              <w:top w:val="nil"/>
              <w:left w:val="nil"/>
              <w:bottom w:val="single" w:sz="4" w:space="0" w:color="auto"/>
              <w:right w:val="single" w:sz="4" w:space="0" w:color="auto"/>
            </w:tcBorders>
            <w:shd w:val="clear" w:color="auto" w:fill="auto"/>
            <w:vAlign w:val="center"/>
            <w:hideMark/>
          </w:tcPr>
          <w:p w14:paraId="7C7022D2" w14:textId="77777777" w:rsidR="004550D1" w:rsidRPr="004550D1" w:rsidRDefault="004550D1" w:rsidP="009250AC">
            <w:pPr>
              <w:pStyle w:val="Tabletext1"/>
            </w:pPr>
            <w:r w:rsidRPr="004550D1">
              <w:t>1</w:t>
            </w:r>
          </w:p>
        </w:tc>
        <w:tc>
          <w:tcPr>
            <w:tcW w:w="798" w:type="pct"/>
            <w:tcBorders>
              <w:top w:val="nil"/>
              <w:left w:val="nil"/>
              <w:bottom w:val="single" w:sz="4" w:space="0" w:color="auto"/>
              <w:right w:val="single" w:sz="4" w:space="0" w:color="auto"/>
            </w:tcBorders>
            <w:shd w:val="clear" w:color="auto" w:fill="auto"/>
            <w:vAlign w:val="center"/>
            <w:hideMark/>
          </w:tcPr>
          <w:p w14:paraId="74F4C3F4" w14:textId="77777777" w:rsidR="004550D1" w:rsidRPr="004550D1" w:rsidRDefault="004550D1" w:rsidP="009250AC">
            <w:pPr>
              <w:pStyle w:val="Tabletext1"/>
            </w:pPr>
            <w:r w:rsidRPr="004550D1">
              <w:t>RPG</w:t>
            </w:r>
          </w:p>
        </w:tc>
      </w:tr>
      <w:tr w:rsidR="004550D1" w:rsidRPr="004550D1" w14:paraId="54352317" w14:textId="77777777" w:rsidTr="009250AC">
        <w:trPr>
          <w:trHeight w:val="270"/>
        </w:trPr>
        <w:tc>
          <w:tcPr>
            <w:tcW w:w="2387" w:type="pct"/>
            <w:tcBorders>
              <w:top w:val="nil"/>
              <w:left w:val="single" w:sz="4" w:space="0" w:color="auto"/>
              <w:bottom w:val="single" w:sz="4" w:space="0" w:color="auto"/>
            </w:tcBorders>
            <w:shd w:val="clear" w:color="auto" w:fill="D9D9D9" w:themeFill="background1" w:themeFillShade="D9"/>
            <w:vAlign w:val="center"/>
            <w:hideMark/>
          </w:tcPr>
          <w:p w14:paraId="5A1D78F6" w14:textId="77777777" w:rsidR="004550D1" w:rsidRPr="009250AC" w:rsidRDefault="004550D1" w:rsidP="009250AC">
            <w:pPr>
              <w:pStyle w:val="Tabletext1"/>
              <w:rPr>
                <w:b/>
              </w:rPr>
            </w:pPr>
            <w:r w:rsidRPr="009250AC">
              <w:rPr>
                <w:b/>
              </w:rPr>
              <w:lastRenderedPageBreak/>
              <w:t>Medical services – post intervention follow-up</w:t>
            </w:r>
          </w:p>
        </w:tc>
        <w:tc>
          <w:tcPr>
            <w:tcW w:w="750" w:type="pct"/>
            <w:tcBorders>
              <w:top w:val="single" w:sz="4" w:space="0" w:color="auto"/>
              <w:bottom w:val="single" w:sz="4" w:space="0" w:color="auto"/>
            </w:tcBorders>
            <w:shd w:val="clear" w:color="auto" w:fill="D9D9D9" w:themeFill="background1" w:themeFillShade="D9"/>
            <w:vAlign w:val="center"/>
            <w:hideMark/>
          </w:tcPr>
          <w:p w14:paraId="37B64A90" w14:textId="77777777" w:rsidR="004550D1" w:rsidRPr="004550D1" w:rsidRDefault="004550D1" w:rsidP="009250AC">
            <w:pPr>
              <w:pStyle w:val="Tabletext1"/>
            </w:pPr>
            <w:r w:rsidRPr="004550D1">
              <w:t> </w:t>
            </w:r>
          </w:p>
        </w:tc>
        <w:tc>
          <w:tcPr>
            <w:tcW w:w="576" w:type="pct"/>
            <w:tcBorders>
              <w:top w:val="single" w:sz="4" w:space="0" w:color="auto"/>
              <w:bottom w:val="single" w:sz="4" w:space="0" w:color="auto"/>
            </w:tcBorders>
            <w:shd w:val="clear" w:color="auto" w:fill="D9D9D9" w:themeFill="background1" w:themeFillShade="D9"/>
            <w:vAlign w:val="center"/>
            <w:hideMark/>
          </w:tcPr>
          <w:p w14:paraId="67573DF1" w14:textId="77777777" w:rsidR="004550D1" w:rsidRPr="004550D1" w:rsidRDefault="004550D1" w:rsidP="009250AC">
            <w:pPr>
              <w:pStyle w:val="Tabletext1"/>
            </w:pPr>
            <w:r w:rsidRPr="004550D1">
              <w:t> </w:t>
            </w:r>
          </w:p>
        </w:tc>
        <w:tc>
          <w:tcPr>
            <w:tcW w:w="489" w:type="pct"/>
            <w:tcBorders>
              <w:top w:val="single" w:sz="4" w:space="0" w:color="auto"/>
              <w:bottom w:val="single" w:sz="4" w:space="0" w:color="auto"/>
            </w:tcBorders>
            <w:shd w:val="clear" w:color="auto" w:fill="D9D9D9" w:themeFill="background1" w:themeFillShade="D9"/>
            <w:vAlign w:val="center"/>
            <w:hideMark/>
          </w:tcPr>
          <w:p w14:paraId="18F03945" w14:textId="77777777" w:rsidR="004550D1" w:rsidRPr="004550D1" w:rsidRDefault="004550D1" w:rsidP="009250AC">
            <w:pPr>
              <w:pStyle w:val="Tabletext1"/>
            </w:pPr>
            <w:r w:rsidRPr="004550D1">
              <w:t> </w:t>
            </w:r>
          </w:p>
        </w:tc>
        <w:tc>
          <w:tcPr>
            <w:tcW w:w="798" w:type="pct"/>
            <w:tcBorders>
              <w:top w:val="single" w:sz="4" w:space="0" w:color="auto"/>
              <w:bottom w:val="single" w:sz="4" w:space="0" w:color="auto"/>
              <w:right w:val="single" w:sz="4" w:space="0" w:color="auto"/>
            </w:tcBorders>
            <w:shd w:val="clear" w:color="auto" w:fill="D9D9D9" w:themeFill="background1" w:themeFillShade="D9"/>
            <w:vAlign w:val="center"/>
            <w:hideMark/>
          </w:tcPr>
          <w:p w14:paraId="52D1C310" w14:textId="77777777" w:rsidR="004550D1" w:rsidRPr="004550D1" w:rsidRDefault="004550D1" w:rsidP="009250AC">
            <w:pPr>
              <w:pStyle w:val="Tabletext1"/>
            </w:pPr>
            <w:r w:rsidRPr="004550D1">
              <w:t> </w:t>
            </w:r>
          </w:p>
        </w:tc>
      </w:tr>
      <w:tr w:rsidR="004550D1" w:rsidRPr="004550D1" w14:paraId="2FA18832" w14:textId="77777777" w:rsidTr="006750DB">
        <w:trPr>
          <w:trHeight w:val="510"/>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159000E0" w14:textId="77777777" w:rsidR="004550D1" w:rsidRPr="004550D1" w:rsidRDefault="004550D1" w:rsidP="009250AC">
            <w:pPr>
              <w:pStyle w:val="Tabletext1"/>
            </w:pPr>
            <w:r w:rsidRPr="004550D1">
              <w:t>Medical consultation (1-month toxicity, 3 month CT)</w:t>
            </w:r>
          </w:p>
        </w:tc>
        <w:tc>
          <w:tcPr>
            <w:tcW w:w="750" w:type="pct"/>
            <w:tcBorders>
              <w:top w:val="nil"/>
              <w:left w:val="nil"/>
              <w:bottom w:val="single" w:sz="4" w:space="0" w:color="auto"/>
              <w:right w:val="single" w:sz="4" w:space="0" w:color="auto"/>
            </w:tcBorders>
            <w:shd w:val="clear" w:color="auto" w:fill="auto"/>
            <w:vAlign w:val="center"/>
            <w:hideMark/>
          </w:tcPr>
          <w:p w14:paraId="507E4AD8" w14:textId="77777777" w:rsidR="004550D1" w:rsidRPr="004550D1" w:rsidRDefault="004550D1" w:rsidP="009250AC">
            <w:pPr>
              <w:pStyle w:val="Tabletext1"/>
            </w:pPr>
            <w:r w:rsidRPr="004550D1">
              <w:t>As outpatient</w:t>
            </w:r>
          </w:p>
        </w:tc>
        <w:tc>
          <w:tcPr>
            <w:tcW w:w="576" w:type="pct"/>
            <w:tcBorders>
              <w:top w:val="nil"/>
              <w:left w:val="nil"/>
              <w:bottom w:val="single" w:sz="4" w:space="0" w:color="auto"/>
              <w:right w:val="single" w:sz="4" w:space="0" w:color="auto"/>
            </w:tcBorders>
            <w:shd w:val="clear" w:color="auto" w:fill="auto"/>
            <w:vAlign w:val="center"/>
            <w:hideMark/>
          </w:tcPr>
          <w:p w14:paraId="180A2686" w14:textId="77777777" w:rsidR="004550D1" w:rsidRPr="004550D1" w:rsidRDefault="004550D1" w:rsidP="009250AC">
            <w:pPr>
              <w:pStyle w:val="Tabletext1"/>
            </w:pPr>
            <w:r w:rsidRPr="004550D1">
              <w:t>75.50</w:t>
            </w:r>
          </w:p>
        </w:tc>
        <w:tc>
          <w:tcPr>
            <w:tcW w:w="489" w:type="pct"/>
            <w:tcBorders>
              <w:top w:val="nil"/>
              <w:left w:val="nil"/>
              <w:bottom w:val="single" w:sz="4" w:space="0" w:color="auto"/>
              <w:right w:val="single" w:sz="4" w:space="0" w:color="auto"/>
            </w:tcBorders>
            <w:shd w:val="clear" w:color="auto" w:fill="auto"/>
            <w:vAlign w:val="center"/>
            <w:hideMark/>
          </w:tcPr>
          <w:p w14:paraId="5874A54A" w14:textId="77777777" w:rsidR="004550D1" w:rsidRPr="004550D1" w:rsidRDefault="004550D1" w:rsidP="009250AC">
            <w:pPr>
              <w:pStyle w:val="Tabletext1"/>
            </w:pPr>
            <w:r w:rsidRPr="004550D1">
              <w:t>2</w:t>
            </w:r>
          </w:p>
        </w:tc>
        <w:tc>
          <w:tcPr>
            <w:tcW w:w="798" w:type="pct"/>
            <w:tcBorders>
              <w:top w:val="nil"/>
              <w:left w:val="nil"/>
              <w:bottom w:val="single" w:sz="4" w:space="0" w:color="auto"/>
              <w:right w:val="single" w:sz="4" w:space="0" w:color="auto"/>
            </w:tcBorders>
            <w:shd w:val="clear" w:color="auto" w:fill="auto"/>
            <w:vAlign w:val="center"/>
            <w:hideMark/>
          </w:tcPr>
          <w:p w14:paraId="0DF5F415" w14:textId="77777777" w:rsidR="004550D1" w:rsidRPr="004550D1" w:rsidRDefault="004550D1" w:rsidP="009250AC">
            <w:pPr>
              <w:pStyle w:val="Tabletext1"/>
            </w:pPr>
            <w:r w:rsidRPr="004550D1">
              <w:t>MBS Item 116</w:t>
            </w:r>
          </w:p>
        </w:tc>
      </w:tr>
      <w:tr w:rsidR="004550D1" w:rsidRPr="004550D1" w14:paraId="334446BE" w14:textId="77777777" w:rsidTr="006750DB">
        <w:trPr>
          <w:trHeight w:val="765"/>
        </w:trPr>
        <w:tc>
          <w:tcPr>
            <w:tcW w:w="2387" w:type="pct"/>
            <w:tcBorders>
              <w:top w:val="nil"/>
              <w:left w:val="single" w:sz="4" w:space="0" w:color="auto"/>
              <w:bottom w:val="single" w:sz="4" w:space="0" w:color="auto"/>
              <w:right w:val="single" w:sz="4" w:space="0" w:color="auto"/>
            </w:tcBorders>
            <w:shd w:val="clear" w:color="auto" w:fill="auto"/>
            <w:vAlign w:val="center"/>
            <w:hideMark/>
          </w:tcPr>
          <w:p w14:paraId="62F2B357" w14:textId="77777777" w:rsidR="004550D1" w:rsidRPr="004550D1" w:rsidRDefault="004550D1" w:rsidP="009250AC">
            <w:pPr>
              <w:pStyle w:val="Tabletext1"/>
            </w:pPr>
            <w:r w:rsidRPr="004550D1">
              <w:t>COMPUTED TOMOGRAPHY - scan of chest, including lungs, mediastinum, chest wall and pleura, with or without scans of the upper abdomen, with intravenous contrast medium</w:t>
            </w:r>
          </w:p>
        </w:tc>
        <w:tc>
          <w:tcPr>
            <w:tcW w:w="750" w:type="pct"/>
            <w:tcBorders>
              <w:top w:val="nil"/>
              <w:left w:val="nil"/>
              <w:bottom w:val="single" w:sz="4" w:space="0" w:color="auto"/>
              <w:right w:val="single" w:sz="4" w:space="0" w:color="auto"/>
            </w:tcBorders>
            <w:shd w:val="clear" w:color="auto" w:fill="auto"/>
            <w:vAlign w:val="center"/>
            <w:hideMark/>
          </w:tcPr>
          <w:p w14:paraId="13D6EDE5" w14:textId="77777777" w:rsidR="004550D1" w:rsidRPr="004550D1" w:rsidRDefault="004550D1" w:rsidP="009250AC">
            <w:pPr>
              <w:pStyle w:val="Tabletext1"/>
            </w:pPr>
            <w:r w:rsidRPr="004550D1">
              <w:t>Radiologist, as outpatient</w:t>
            </w:r>
          </w:p>
        </w:tc>
        <w:tc>
          <w:tcPr>
            <w:tcW w:w="576" w:type="pct"/>
            <w:tcBorders>
              <w:top w:val="nil"/>
              <w:left w:val="nil"/>
              <w:bottom w:val="single" w:sz="4" w:space="0" w:color="auto"/>
              <w:right w:val="single" w:sz="4" w:space="0" w:color="auto"/>
            </w:tcBorders>
            <w:shd w:val="clear" w:color="auto" w:fill="auto"/>
            <w:vAlign w:val="center"/>
            <w:hideMark/>
          </w:tcPr>
          <w:p w14:paraId="37712323" w14:textId="77777777" w:rsidR="004550D1" w:rsidRPr="004550D1" w:rsidRDefault="004550D1" w:rsidP="009250AC">
            <w:pPr>
              <w:pStyle w:val="Tabletext1"/>
            </w:pPr>
            <w:r w:rsidRPr="004550D1">
              <w:t>202.00</w:t>
            </w:r>
          </w:p>
        </w:tc>
        <w:tc>
          <w:tcPr>
            <w:tcW w:w="489" w:type="pct"/>
            <w:tcBorders>
              <w:top w:val="nil"/>
              <w:left w:val="nil"/>
              <w:bottom w:val="single" w:sz="4" w:space="0" w:color="auto"/>
              <w:right w:val="single" w:sz="4" w:space="0" w:color="auto"/>
            </w:tcBorders>
            <w:shd w:val="clear" w:color="auto" w:fill="auto"/>
            <w:vAlign w:val="center"/>
            <w:hideMark/>
          </w:tcPr>
          <w:p w14:paraId="0A5DD15B" w14:textId="77777777" w:rsidR="004550D1" w:rsidRPr="004550D1" w:rsidRDefault="004550D1" w:rsidP="009250AC">
            <w:pPr>
              <w:pStyle w:val="Tabletext1"/>
            </w:pPr>
            <w:r w:rsidRPr="004550D1">
              <w:t>1</w:t>
            </w:r>
          </w:p>
        </w:tc>
        <w:tc>
          <w:tcPr>
            <w:tcW w:w="798" w:type="pct"/>
            <w:tcBorders>
              <w:top w:val="nil"/>
              <w:left w:val="nil"/>
              <w:bottom w:val="single" w:sz="4" w:space="0" w:color="auto"/>
              <w:right w:val="single" w:sz="4" w:space="0" w:color="auto"/>
            </w:tcBorders>
            <w:shd w:val="clear" w:color="auto" w:fill="auto"/>
            <w:vAlign w:val="center"/>
            <w:hideMark/>
          </w:tcPr>
          <w:p w14:paraId="4C354927" w14:textId="77777777" w:rsidR="004550D1" w:rsidRPr="004550D1" w:rsidRDefault="004550D1" w:rsidP="009250AC">
            <w:pPr>
              <w:pStyle w:val="Tabletext1"/>
            </w:pPr>
            <w:r w:rsidRPr="004550D1">
              <w:t>MBS Item 56347</w:t>
            </w:r>
          </w:p>
        </w:tc>
      </w:tr>
      <w:tr w:rsidR="006750DB" w:rsidRPr="004550D1" w14:paraId="2C2E178C" w14:textId="77777777" w:rsidTr="006750DB">
        <w:trPr>
          <w:trHeight w:val="765"/>
        </w:trPr>
        <w:tc>
          <w:tcPr>
            <w:tcW w:w="2387" w:type="pct"/>
            <w:tcBorders>
              <w:top w:val="nil"/>
              <w:left w:val="single" w:sz="4" w:space="0" w:color="auto"/>
              <w:bottom w:val="single" w:sz="4" w:space="0" w:color="auto"/>
              <w:right w:val="single" w:sz="4" w:space="0" w:color="auto"/>
            </w:tcBorders>
            <w:shd w:val="clear" w:color="auto" w:fill="auto"/>
            <w:vAlign w:val="center"/>
          </w:tcPr>
          <w:p w14:paraId="74D486D0" w14:textId="797E8F02" w:rsidR="006750DB" w:rsidRPr="004550D1" w:rsidRDefault="006D0335" w:rsidP="009250AC">
            <w:pPr>
              <w:pStyle w:val="Tabletext1"/>
            </w:pPr>
            <w:r>
              <w:t>Total:</w:t>
            </w:r>
            <w:r w:rsidR="006750DB" w:rsidRPr="004550D1">
              <w:t xml:space="preserve"> </w:t>
            </w:r>
            <w:r>
              <w:t>1–3</w:t>
            </w:r>
            <w:r w:rsidR="006750DB" w:rsidRPr="004550D1">
              <w:t xml:space="preserve">total cost per patient </w:t>
            </w:r>
          </w:p>
          <w:p w14:paraId="24B77BAA" w14:textId="1844CDA1" w:rsidR="006750DB" w:rsidRPr="004550D1" w:rsidRDefault="006750DB" w:rsidP="009250AC">
            <w:pPr>
              <w:pStyle w:val="Tabletext1"/>
            </w:pPr>
            <w:r w:rsidRPr="004550D1">
              <w:t>(4 fractions)</w:t>
            </w:r>
          </w:p>
        </w:tc>
        <w:tc>
          <w:tcPr>
            <w:tcW w:w="750" w:type="pct"/>
            <w:tcBorders>
              <w:top w:val="nil"/>
              <w:left w:val="nil"/>
              <w:bottom w:val="single" w:sz="4" w:space="0" w:color="auto"/>
              <w:right w:val="single" w:sz="4" w:space="0" w:color="auto"/>
            </w:tcBorders>
            <w:shd w:val="clear" w:color="auto" w:fill="auto"/>
            <w:vAlign w:val="center"/>
          </w:tcPr>
          <w:p w14:paraId="2E0FE5C0" w14:textId="52261183" w:rsidR="006750DB" w:rsidRPr="004550D1" w:rsidRDefault="006750DB" w:rsidP="009250AC">
            <w:pPr>
              <w:pStyle w:val="Tabletext1"/>
            </w:pPr>
            <w:r>
              <w:t>-</w:t>
            </w:r>
          </w:p>
        </w:tc>
        <w:tc>
          <w:tcPr>
            <w:tcW w:w="576" w:type="pct"/>
            <w:tcBorders>
              <w:top w:val="nil"/>
              <w:left w:val="nil"/>
              <w:bottom w:val="single" w:sz="4" w:space="0" w:color="auto"/>
              <w:right w:val="single" w:sz="4" w:space="0" w:color="auto"/>
            </w:tcBorders>
            <w:shd w:val="clear" w:color="auto" w:fill="auto"/>
            <w:vAlign w:val="center"/>
          </w:tcPr>
          <w:p w14:paraId="32EDCB0C" w14:textId="156AC9CB" w:rsidR="006750DB" w:rsidRPr="004550D1" w:rsidRDefault="006750DB" w:rsidP="009250AC">
            <w:pPr>
              <w:pStyle w:val="Tabletext1"/>
            </w:pPr>
            <w:r>
              <w:t>-</w:t>
            </w:r>
          </w:p>
        </w:tc>
        <w:tc>
          <w:tcPr>
            <w:tcW w:w="489" w:type="pct"/>
            <w:tcBorders>
              <w:top w:val="nil"/>
              <w:left w:val="nil"/>
              <w:bottom w:val="single" w:sz="4" w:space="0" w:color="auto"/>
              <w:right w:val="single" w:sz="4" w:space="0" w:color="auto"/>
            </w:tcBorders>
            <w:shd w:val="clear" w:color="auto" w:fill="auto"/>
            <w:vAlign w:val="center"/>
          </w:tcPr>
          <w:p w14:paraId="67934C18" w14:textId="01E0AA7E" w:rsidR="006750DB" w:rsidRPr="004550D1" w:rsidRDefault="006750DB" w:rsidP="009250AC">
            <w:pPr>
              <w:pStyle w:val="Tabletext1"/>
            </w:pPr>
            <w:r>
              <w:t>-</w:t>
            </w:r>
          </w:p>
        </w:tc>
        <w:tc>
          <w:tcPr>
            <w:tcW w:w="798" w:type="pct"/>
            <w:tcBorders>
              <w:top w:val="nil"/>
              <w:left w:val="nil"/>
              <w:bottom w:val="single" w:sz="4" w:space="0" w:color="auto"/>
              <w:right w:val="single" w:sz="4" w:space="0" w:color="auto"/>
            </w:tcBorders>
            <w:shd w:val="clear" w:color="auto" w:fill="auto"/>
            <w:vAlign w:val="center"/>
          </w:tcPr>
          <w:p w14:paraId="18DB3287" w14:textId="17437EE9" w:rsidR="006750DB" w:rsidRPr="004550D1" w:rsidRDefault="006750DB" w:rsidP="009250AC">
            <w:pPr>
              <w:pStyle w:val="Tabletext1"/>
            </w:pPr>
            <w:r w:rsidRPr="004550D1">
              <w:t>5,372.95</w:t>
            </w:r>
          </w:p>
        </w:tc>
      </w:tr>
      <w:tr w:rsidR="006750DB" w:rsidRPr="004550D1" w14:paraId="3FA79AD6" w14:textId="77777777" w:rsidTr="006750DB">
        <w:trPr>
          <w:trHeight w:val="765"/>
        </w:trPr>
        <w:tc>
          <w:tcPr>
            <w:tcW w:w="2387" w:type="pct"/>
            <w:tcBorders>
              <w:top w:val="nil"/>
              <w:left w:val="single" w:sz="4" w:space="0" w:color="auto"/>
              <w:bottom w:val="single" w:sz="4" w:space="0" w:color="auto"/>
              <w:right w:val="single" w:sz="4" w:space="0" w:color="auto"/>
            </w:tcBorders>
            <w:shd w:val="clear" w:color="auto" w:fill="auto"/>
            <w:vAlign w:val="center"/>
          </w:tcPr>
          <w:p w14:paraId="22915AE7" w14:textId="31027DD7" w:rsidR="006750DB" w:rsidRPr="004550D1" w:rsidRDefault="006D0335" w:rsidP="009250AC">
            <w:pPr>
              <w:pStyle w:val="Tabletext1"/>
            </w:pPr>
            <w:r>
              <w:t>Total:</w:t>
            </w:r>
            <w:r w:rsidR="006750DB" w:rsidRPr="004550D1">
              <w:t xml:space="preserve"> </w:t>
            </w:r>
            <w:r>
              <w:t>3–5</w:t>
            </w:r>
            <w:r w:rsidR="006750DB" w:rsidRPr="004550D1">
              <w:t xml:space="preserve"> lesions total cost per patient </w:t>
            </w:r>
          </w:p>
          <w:p w14:paraId="694ABB39" w14:textId="3D591959" w:rsidR="006750DB" w:rsidRPr="004550D1" w:rsidRDefault="006750DB" w:rsidP="009250AC">
            <w:pPr>
              <w:pStyle w:val="Tabletext1"/>
            </w:pPr>
            <w:r w:rsidRPr="004550D1">
              <w:t>(5 fractions)</w:t>
            </w:r>
          </w:p>
        </w:tc>
        <w:tc>
          <w:tcPr>
            <w:tcW w:w="750" w:type="pct"/>
            <w:tcBorders>
              <w:top w:val="nil"/>
              <w:left w:val="nil"/>
              <w:bottom w:val="single" w:sz="4" w:space="0" w:color="auto"/>
              <w:right w:val="single" w:sz="4" w:space="0" w:color="auto"/>
            </w:tcBorders>
            <w:shd w:val="clear" w:color="auto" w:fill="auto"/>
            <w:vAlign w:val="center"/>
          </w:tcPr>
          <w:p w14:paraId="72FD7350" w14:textId="197AC1D5" w:rsidR="006750DB" w:rsidRPr="004550D1" w:rsidRDefault="006750DB" w:rsidP="009250AC">
            <w:pPr>
              <w:pStyle w:val="Tabletext1"/>
            </w:pPr>
            <w:r>
              <w:t>-</w:t>
            </w:r>
          </w:p>
        </w:tc>
        <w:tc>
          <w:tcPr>
            <w:tcW w:w="576" w:type="pct"/>
            <w:tcBorders>
              <w:top w:val="nil"/>
              <w:left w:val="nil"/>
              <w:bottom w:val="single" w:sz="4" w:space="0" w:color="auto"/>
              <w:right w:val="single" w:sz="4" w:space="0" w:color="auto"/>
            </w:tcBorders>
            <w:shd w:val="clear" w:color="auto" w:fill="auto"/>
            <w:vAlign w:val="center"/>
          </w:tcPr>
          <w:p w14:paraId="003DBCB4" w14:textId="3CCC3A2D" w:rsidR="006750DB" w:rsidRPr="004550D1" w:rsidRDefault="006750DB" w:rsidP="009250AC">
            <w:pPr>
              <w:pStyle w:val="Tabletext1"/>
            </w:pPr>
            <w:r>
              <w:t>-</w:t>
            </w:r>
          </w:p>
        </w:tc>
        <w:tc>
          <w:tcPr>
            <w:tcW w:w="489" w:type="pct"/>
            <w:tcBorders>
              <w:top w:val="nil"/>
              <w:left w:val="nil"/>
              <w:bottom w:val="single" w:sz="4" w:space="0" w:color="auto"/>
              <w:right w:val="single" w:sz="4" w:space="0" w:color="auto"/>
            </w:tcBorders>
            <w:shd w:val="clear" w:color="auto" w:fill="auto"/>
            <w:vAlign w:val="center"/>
          </w:tcPr>
          <w:p w14:paraId="5B7CE36F" w14:textId="22F94498" w:rsidR="006750DB" w:rsidRPr="004550D1" w:rsidRDefault="006750DB" w:rsidP="009250AC">
            <w:pPr>
              <w:pStyle w:val="Tabletext1"/>
            </w:pPr>
            <w:r>
              <w:t>-</w:t>
            </w:r>
          </w:p>
        </w:tc>
        <w:tc>
          <w:tcPr>
            <w:tcW w:w="798" w:type="pct"/>
            <w:tcBorders>
              <w:top w:val="nil"/>
              <w:left w:val="nil"/>
              <w:bottom w:val="single" w:sz="4" w:space="0" w:color="auto"/>
              <w:right w:val="single" w:sz="4" w:space="0" w:color="auto"/>
            </w:tcBorders>
            <w:shd w:val="clear" w:color="auto" w:fill="auto"/>
            <w:vAlign w:val="center"/>
          </w:tcPr>
          <w:p w14:paraId="612E134F" w14:textId="136861A7" w:rsidR="006750DB" w:rsidRPr="004550D1" w:rsidRDefault="006750DB" w:rsidP="009250AC">
            <w:pPr>
              <w:pStyle w:val="Tabletext1"/>
            </w:pPr>
            <w:r w:rsidRPr="004550D1">
              <w:t>5,735.07</w:t>
            </w:r>
          </w:p>
        </w:tc>
      </w:tr>
    </w:tbl>
    <w:p w14:paraId="0060C219" w14:textId="09144FF6" w:rsidR="007661FD" w:rsidRDefault="007661FD" w:rsidP="007661FD">
      <w:pPr>
        <w:pStyle w:val="Tablenotes0"/>
      </w:pPr>
      <w:r>
        <w:t>&lt;</w:t>
      </w:r>
      <w:r w:rsidR="001E4A40">
        <w:t xml:space="preserve">CT = computed tomography; FDG-PET = fludeoxyglucose Positron Emission Tomography; IMRT = intensity modulated radiotherapy; </w:t>
      </w:r>
      <w:r>
        <w:t xml:space="preserve">MBS=medicare benefits schedule; </w:t>
      </w:r>
      <w:r w:rsidR="001E4A40">
        <w:t>SBRT = stereotactic body radiotherapy&gt;</w:t>
      </w:r>
    </w:p>
    <w:p w14:paraId="2A1DB818" w14:textId="5F38B931" w:rsidR="00AB12D2" w:rsidRPr="0096072C" w:rsidRDefault="00AB12D2" w:rsidP="0096072C">
      <w:pPr>
        <w:spacing w:before="500"/>
        <w:rPr>
          <w:b/>
          <w:i/>
        </w:rPr>
      </w:pPr>
      <w:r w:rsidRPr="0096072C">
        <w:rPr>
          <w:b/>
          <w:i/>
        </w:rPr>
        <w:t xml:space="preserve">SBRT </w:t>
      </w:r>
      <w:r w:rsidR="00C46896">
        <w:rPr>
          <w:b/>
          <w:i/>
        </w:rPr>
        <w:t>P</w:t>
      </w:r>
      <w:r w:rsidRPr="0096072C">
        <w:rPr>
          <w:b/>
          <w:i/>
        </w:rPr>
        <w:t>rocedure</w:t>
      </w:r>
    </w:p>
    <w:p w14:paraId="512C3BF2" w14:textId="286D8FF9" w:rsidR="00AB12D2" w:rsidRPr="00BC4A30" w:rsidRDefault="006750DB" w:rsidP="00AB12D2">
      <w:r>
        <w:t xml:space="preserve">Cancer Voices </w:t>
      </w:r>
      <w:r w:rsidRPr="006750DB">
        <w:fldChar w:fldCharType="begin"/>
      </w:r>
      <w:r w:rsidR="00C104EB">
        <w:instrText xml:space="preserve"> ADDIN EN.CITE &lt;EndNote&gt;&lt;Cite ExcludeAuth="1"&gt;&lt;Author&gt;Cancer Voices Australia&lt;/Author&gt;&lt;Year&gt;2011&lt;/Year&gt;&lt;RecNum&gt;269&lt;/RecNum&gt;&lt;DisplayText&gt;(2011)&lt;/DisplayText&gt;&lt;record&gt;&lt;rec-number&gt;269&lt;/rec-number&gt;&lt;foreign-keys&gt;&lt;key app="EN" db-id="05ssdaw2cf0zvye5xvo5z9ww0xdpfstrdtew" timestamp="1472538872"&gt;269&lt;/key&gt;&lt;/foreign-keys&gt;&lt;ref-type name="Web Page"&gt;12&lt;/ref-type&gt;&lt;contributors&gt;&lt;authors&gt;&lt;author&gt;Cancer Voices Australia,&lt;/author&gt;&lt;/authors&gt;&lt;/contributors&gt;&lt;titles&gt;&lt;title&gt;Position Statement. Stereotactic radiosurgery (SRS). &lt;/title&gt;&lt;/titles&gt;&lt;volume&gt;2016&lt;/volume&gt;&lt;number&gt;30 August&lt;/number&gt;&lt;dates&gt;&lt;year&gt;2011&lt;/year&gt;&lt;pub-dates&gt;&lt;date&gt;November 2011&lt;/date&gt;&lt;/pub-dates&gt;&lt;/dates&gt;&lt;urls&gt;&lt;related-urls&gt;&lt;url&gt;http://www.cancervoicessa.org.au/assets/documents/Position_Papers/stereoradsurg.pdf&lt;/url&gt;&lt;/related-urls&gt;&lt;/urls&gt;&lt;/record&gt;&lt;/Cite&gt;&lt;/EndNote&gt;</w:instrText>
      </w:r>
      <w:r w:rsidRPr="006750DB">
        <w:fldChar w:fldCharType="separate"/>
      </w:r>
      <w:r w:rsidR="00C104EB">
        <w:rPr>
          <w:noProof/>
        </w:rPr>
        <w:t>(</w:t>
      </w:r>
      <w:hyperlink w:anchor="_ENREF_26" w:tooltip="Cancer Voices Australia, 2011 #269" w:history="1">
        <w:r w:rsidR="00320458">
          <w:rPr>
            <w:noProof/>
          </w:rPr>
          <w:t>2011</w:t>
        </w:r>
      </w:hyperlink>
      <w:r w:rsidR="00C104EB">
        <w:rPr>
          <w:noProof/>
        </w:rPr>
        <w:t>)</w:t>
      </w:r>
      <w:r w:rsidRPr="006750DB">
        <w:fldChar w:fldCharType="end"/>
      </w:r>
      <w:r>
        <w:t xml:space="preserve"> </w:t>
      </w:r>
      <w:r w:rsidR="00AB12D2" w:rsidRPr="00BC4A30">
        <w:t xml:space="preserve">note that most centres use the usual rebates for 3D conformal treatment planning when costing SBRT. The Royal Australian and New Zealand College of Radiologists (2012) suggests Medicare data demonstrates that more than 80 per cent of all radiotherapy services are charged at the MBS fee or less, so co-payment is possibly limited. </w:t>
      </w:r>
    </w:p>
    <w:p w14:paraId="29049AD7" w14:textId="2CCF3EBD" w:rsidR="00AB12D2" w:rsidRPr="00BC4A30" w:rsidRDefault="00AB12D2" w:rsidP="00AB12D2">
      <w:r w:rsidRPr="00BC4A30">
        <w:t>The procedure involves simulation, dosimetry, treatment and verification. Prior to treatment, the patient undergoes imaging procedures to determine the size, shape and location of the tumour using CT scan. This is followed by the generation of a treatment plan and then delivery of the treatment. MBS items are used to cost these various items. It is assumed that &lt;3 lesions would be treated in 4 fractions and 3</w:t>
      </w:r>
      <w:r w:rsidR="00C104EB">
        <w:t>–</w:t>
      </w:r>
      <w:r w:rsidRPr="00BC4A30">
        <w:t xml:space="preserve">5 lesions in 5 fractions. Costs outlined at the bottom of </w:t>
      </w:r>
      <w:r w:rsidR="00C104EB">
        <w:fldChar w:fldCharType="begin"/>
      </w:r>
      <w:r w:rsidR="00C104EB">
        <w:instrText xml:space="preserve"> REF _Ref460424628 \h </w:instrText>
      </w:r>
      <w:r w:rsidR="00C104EB">
        <w:fldChar w:fldCharType="separate"/>
      </w:r>
      <w:r w:rsidR="00D170A5" w:rsidRPr="00BC4A30">
        <w:t xml:space="preserve">Table </w:t>
      </w:r>
      <w:r w:rsidR="00D170A5">
        <w:rPr>
          <w:noProof/>
        </w:rPr>
        <w:t>70</w:t>
      </w:r>
      <w:r w:rsidR="00C104EB">
        <w:fldChar w:fldCharType="end"/>
      </w:r>
      <w:r w:rsidR="00C104EB">
        <w:t xml:space="preserve"> </w:t>
      </w:r>
      <w:r w:rsidRPr="00BC4A30">
        <w:t>reflect this assumption.</w:t>
      </w:r>
    </w:p>
    <w:p w14:paraId="30B50179" w14:textId="77777777" w:rsidR="00AB12D2" w:rsidRPr="00BC4A30" w:rsidRDefault="00AB12D2" w:rsidP="00AB12D2">
      <w:r w:rsidRPr="00BC4A30">
        <w:t xml:space="preserve">The </w:t>
      </w:r>
      <w:r w:rsidR="004550D1">
        <w:t xml:space="preserve">Royal Australian and New Zealand College of Radiologists </w:t>
      </w:r>
      <w:r w:rsidRPr="00BC4A30">
        <w:t xml:space="preserve">notes the current single fraction Medicare rebate for SBRT grossly under-reimburses the cost of providing stereotactic radiosurgery, when considered in terms of cost in capital outlays and time taken for planning and treatment. Discussions with clinicians also supported this view. Lievens et al (2015) estimated SR delivery costs in Belgium. </w:t>
      </w:r>
    </w:p>
    <w:p w14:paraId="2B0650DB" w14:textId="097D0CAB" w:rsidR="00AB12D2" w:rsidRPr="00BC4A30" w:rsidRDefault="00AB12D2" w:rsidP="00AB12D2">
      <w:r w:rsidRPr="00BC4A30">
        <w:t xml:space="preserve">The overall treatment average costs (in 2011 Euro) of lung SBRT were 6221€ (range by centre: 3104€–12,649€), of standard fractionated 3D-CRT: 5919€ (4557€–6564€) and IMRT: 7379€ (5054€–8733€); of hypofractionated 3D-CRT: 3993€ (3674€-4380€) and IMRT: 4730€ (single centre). Based </w:t>
      </w:r>
      <w:r w:rsidRPr="00BC4A30">
        <w:lastRenderedPageBreak/>
        <w:t xml:space="preserve">on a $A to Euro conversion of 1.33 in 2011, the average treatment cost in this year was $8,274. This is substantially more than the estimated cost of SBRT in this assessment. Comparison with MTA is problematic using MBS item numbers if this is the case. Costs are increased within sensitivity analysis to determine the robustness of the cost difference between MTA and SBRT. As noted, the SBRT code 15600 is rarely used (usually for brain) and costs have been developed using conventional item numbers following discussions with SBRT clinicians. </w:t>
      </w:r>
    </w:p>
    <w:p w14:paraId="2C58A97E" w14:textId="77777777" w:rsidR="00AB12D2" w:rsidRPr="00BC4A30" w:rsidRDefault="00AB12D2" w:rsidP="00AB12D2">
      <w:r w:rsidRPr="00BC4A30">
        <w:t xml:space="preserve">Radiation oncology treatment may also involve a number of indirect costs for the patient in addition to the treatment costs. These include </w:t>
      </w:r>
      <w:r w:rsidR="004550D1">
        <w:t xml:space="preserve">travel costs </w:t>
      </w:r>
      <w:r w:rsidRPr="00BC4A30">
        <w:t xml:space="preserve">and time away from work. SBRT is delivered over multiple treatments as opposed to one for MTA. The cost savings associated with less travel and lost productive time are not explored in the cost minimisation analysis. </w:t>
      </w:r>
    </w:p>
    <w:p w14:paraId="606B08A2" w14:textId="77777777" w:rsidR="00AB12D2" w:rsidRPr="00330C02" w:rsidRDefault="00AB12D2" w:rsidP="00CB4D14">
      <w:pPr>
        <w:spacing w:before="500"/>
        <w:rPr>
          <w:b/>
          <w:i/>
        </w:rPr>
      </w:pPr>
      <w:r w:rsidRPr="00330C02">
        <w:rPr>
          <w:b/>
          <w:i/>
        </w:rPr>
        <w:t>Adverse Events</w:t>
      </w:r>
    </w:p>
    <w:p w14:paraId="05372218" w14:textId="1C95E21C" w:rsidR="00AB12D2" w:rsidRPr="00BC4A30" w:rsidRDefault="00AB12D2" w:rsidP="00AB12D2">
      <w:r w:rsidRPr="00BC4A30">
        <w:t>Early and later stage adverse events are associated with treatment. Early stage issues may include skin reactions and difficulty swallowing. Later stage</w:t>
      </w:r>
      <w:r w:rsidR="00C104EB">
        <w:t xml:space="preserve"> issues may</w:t>
      </w:r>
      <w:r w:rsidRPr="00BC4A30">
        <w:t xml:space="preserve"> include chest wall pain</w:t>
      </w:r>
      <w:r w:rsidR="00C104EB">
        <w:t>,</w:t>
      </w:r>
      <w:r w:rsidRPr="00BC4A30">
        <w:t xml:space="preserve"> which is an uncommon side effect of lung </w:t>
      </w:r>
      <w:r w:rsidR="00A208C0">
        <w:t>SBRT</w:t>
      </w:r>
      <w:r w:rsidRPr="00BC4A30">
        <w:t xml:space="preserve">. Larger tumour size </w:t>
      </w:r>
      <w:r w:rsidR="001E4A40">
        <w:t xml:space="preserve">is a </w:t>
      </w:r>
      <w:r w:rsidRPr="00BC4A30">
        <w:t xml:space="preserve">significant predictor of ≥Grade 2 chest wall </w:t>
      </w:r>
      <w:r w:rsidRPr="00804DAF">
        <w:t xml:space="preserve">pain </w:t>
      </w:r>
      <w:r w:rsidR="00E14908" w:rsidRPr="00804DAF">
        <w:fldChar w:fldCharType="begin">
          <w:fldData xml:space="preserve">PEVuZE5vdGU+PENpdGU+PEF1dGhvcj5NdXJyYXk8L0F1dGhvcj48WWVhcj4yMDE2PC9ZZWFyPjxS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</w:fldData>
        </w:fldChar>
      </w:r>
      <w:r w:rsidR="00194054">
        <w:instrText xml:space="preserve"> ADDIN EN.CITE </w:instrText>
      </w:r>
      <w:r w:rsidR="00194054">
        <w:fldChar w:fldCharType="begin">
          <w:fldData xml:space="preserve">PEVuZE5vdGU+PENpdGU+PEF1dGhvcj5NdXJyYXk8L0F1dGhvcj48WWVhcj4yMDE2PC9ZZWFyPjxS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</w:fldData>
        </w:fldChar>
      </w:r>
      <w:r w:rsidR="00194054">
        <w:instrText xml:space="preserve"> ADDIN EN.CITE.DATA </w:instrText>
      </w:r>
      <w:r w:rsidR="00194054">
        <w:fldChar w:fldCharType="end"/>
      </w:r>
      <w:r w:rsidR="00E14908" w:rsidRPr="00804DAF">
        <w:fldChar w:fldCharType="separate"/>
      </w:r>
      <w:r w:rsidR="00E14908" w:rsidRPr="00804DAF">
        <w:rPr>
          <w:noProof/>
        </w:rPr>
        <w:t>(</w:t>
      </w:r>
      <w:hyperlink w:anchor="_ENREF_109" w:tooltip="Murray, 2016 #228" w:history="1">
        <w:r w:rsidR="00320458" w:rsidRPr="00804DAF">
          <w:rPr>
            <w:noProof/>
          </w:rPr>
          <w:t>Murray et al 2016</w:t>
        </w:r>
      </w:hyperlink>
      <w:r w:rsidR="00E14908" w:rsidRPr="00804DAF">
        <w:rPr>
          <w:noProof/>
        </w:rPr>
        <w:t>)</w:t>
      </w:r>
      <w:r w:rsidR="00E14908" w:rsidRPr="00804DAF">
        <w:fldChar w:fldCharType="end"/>
      </w:r>
      <w:r w:rsidRPr="00804DAF">
        <w:t>. Rib</w:t>
      </w:r>
      <w:r w:rsidRPr="00BC4A30">
        <w:t xml:space="preserve"> fracture can also occur, but is very uncommon. The costs of these adverse effect</w:t>
      </w:r>
      <w:r w:rsidR="00CB4594">
        <w:t>s</w:t>
      </w:r>
      <w:r w:rsidRPr="00BC4A30">
        <w:t xml:space="preserve"> are not included in the cost analysis.</w:t>
      </w:r>
    </w:p>
    <w:p w14:paraId="2F23B422" w14:textId="77777777" w:rsidR="00AB12D2" w:rsidRPr="00330C02" w:rsidRDefault="00AB12D2" w:rsidP="00CB4D14">
      <w:pPr>
        <w:spacing w:before="500"/>
        <w:rPr>
          <w:b/>
          <w:i/>
        </w:rPr>
      </w:pPr>
      <w:r w:rsidRPr="00330C02">
        <w:rPr>
          <w:b/>
          <w:i/>
        </w:rPr>
        <w:t>Follow-up</w:t>
      </w:r>
    </w:p>
    <w:p w14:paraId="07C245C9" w14:textId="199E0410" w:rsidR="00AB12D2" w:rsidRPr="00BC4A30" w:rsidRDefault="00AB12D2" w:rsidP="00AB12D2">
      <w:r w:rsidRPr="00BC4A30">
        <w:t xml:space="preserve">Clinical feedback recommends routine CT imaging follow-up be performed at </w:t>
      </w:r>
      <w:r w:rsidR="00C104EB">
        <w:t>three</w:t>
      </w:r>
      <w:r w:rsidRPr="00BC4A30">
        <w:t xml:space="preserve"> months after trea</w:t>
      </w:r>
      <w:r w:rsidR="00C104EB">
        <w:t xml:space="preserve">tment. An additional visit at </w:t>
      </w:r>
      <w:r w:rsidR="00CB4594">
        <w:t>one-</w:t>
      </w:r>
      <w:r w:rsidRPr="00BC4A30">
        <w:t xml:space="preserve">month post intervention is also included to review toxicity. </w:t>
      </w:r>
    </w:p>
    <w:p w14:paraId="42FBE3CC" w14:textId="77777777" w:rsidR="00AB12D2" w:rsidRPr="00BC4A30" w:rsidRDefault="00AB12D2" w:rsidP="003F6C66">
      <w:pPr>
        <w:pStyle w:val="Heading3"/>
      </w:pPr>
      <w:bookmarkStart w:id="398" w:name="_Toc460396085"/>
      <w:r w:rsidRPr="00BC4A30">
        <w:t>Costs of resection in population two</w:t>
      </w:r>
      <w:bookmarkEnd w:id="398"/>
      <w:r w:rsidRPr="00BC4A30">
        <w:t xml:space="preserve"> </w:t>
      </w:r>
    </w:p>
    <w:p w14:paraId="54699627" w14:textId="1E0789C9" w:rsidR="00AB12D2" w:rsidRPr="00BC4A30" w:rsidRDefault="00AB12D2" w:rsidP="00AB12D2">
      <w:r w:rsidRPr="00BC4A30">
        <w:t xml:space="preserve">Pfannschmidt et al (2007) noted that surgery is a key treatment for patients with isolated pulmonary metastases. Potentially curative operations are feasible when the metastases are technically resectable, the primary tumour is controlled, and no </w:t>
      </w:r>
      <w:r w:rsidR="00CA6DFD" w:rsidRPr="00BC4A30">
        <w:t>extra thoracic</w:t>
      </w:r>
      <w:r w:rsidRPr="00BC4A30">
        <w:t xml:space="preserve"> lesions are detected. The authors note that no randomized trials comparing surgical resection versus no surgery have been conducted. In a synthesis of 1,684 patient case series conducted by Pfannschmidt et al (2007) using 17 different studies it was demonstrated that resection of colorectal pulmonary metas</w:t>
      </w:r>
      <w:r w:rsidR="00236195">
        <w:t xml:space="preserve">tases can be performed safely. </w:t>
      </w:r>
      <w:r w:rsidR="004550D1">
        <w:t>W</w:t>
      </w:r>
      <w:r w:rsidRPr="00BC4A30">
        <w:t xml:space="preserve">edge resection </w:t>
      </w:r>
      <w:r w:rsidR="004550D1">
        <w:t xml:space="preserve">was most commonly used for patients with </w:t>
      </w:r>
      <w:r w:rsidRPr="00BC4A30">
        <w:t xml:space="preserve">pulmonary metastectomy </w:t>
      </w:r>
      <w:r w:rsidR="004550D1">
        <w:t xml:space="preserve">(single metastases). </w:t>
      </w:r>
      <w:r w:rsidRPr="00BC4A30">
        <w:t>Wedge resection is included in the cost analysis using MBS Item 38440.</w:t>
      </w:r>
    </w:p>
    <w:p w14:paraId="71B225E4" w14:textId="0A6CDC07" w:rsidR="00AB12D2" w:rsidRDefault="00AB12D2" w:rsidP="00AB12D2">
      <w:r w:rsidRPr="00BC4A30">
        <w:t>The operative approach for wedge resection is costed using MBS Item 38418 (Thoracotomy, exploratory, with or without biopsy). Video-ass</w:t>
      </w:r>
      <w:r w:rsidR="00C104EB">
        <w:t xml:space="preserve">isted thoracoscopic techniques </w:t>
      </w:r>
      <w:r w:rsidRPr="00BC4A30">
        <w:t xml:space="preserve">are utilised for pulmonary resections including regional lymph node </w:t>
      </w:r>
      <w:r w:rsidR="006750DB">
        <w:t xml:space="preserve">assessment </w:t>
      </w:r>
      <w:r w:rsidR="006750DB">
        <w:fldChar w:fldCharType="begin"/>
      </w:r>
      <w:r w:rsidR="006750DB">
        <w:instrText xml:space="preserve"> ADDIN EN.CITE &lt;EndNote&gt;&lt;Cite&gt;&lt;Author&gt;Australian Cancer Network Management of Lung Cancer Guidelines Working Party&lt;/Author&gt;&lt;Year&gt;2004&lt;/Year&gt;&lt;RecNum&gt;262&lt;/RecNum&gt;&lt;DisplayText&gt;(Australian Cancer Network Management of Lung Cancer Guidelines Working Party 2004)&lt;/DisplayText&gt;&lt;record&gt;&lt;rec-number&gt;262&lt;/rec-number&gt;&lt;foreign-keys&gt;&lt;key app="EN" db-id="05ssdaw2cf0zvye5xvo5z9ww0xdpfstrdtew" timestamp="1472537192"&gt;262&lt;/key&gt;&lt;/foreign-keys&gt;&lt;ref-type name="Web Page"&gt;12&lt;/ref-type&gt;&lt;contributors&gt;&lt;authors&gt;&lt;author&gt;Australian Cancer Network Management of Lung Cancer Guidelines Working Party,&lt;/author&gt;&lt;/authors&gt;&lt;/contributors&gt;&lt;titles&gt;&lt;title&gt;Clinical Practice guidelines for the prevention, diagnosis and management of lung cancer&lt;/title&gt;&lt;/titles&gt;&lt;volume&gt;2016&lt;/volume&gt;&lt;number&gt;30 August&lt;/number&gt;&lt;dates&gt;&lt;year&gt;2004&lt;/year&gt;&lt;pub-dates&gt;&lt;date&gt;18 March 2004&lt;/date&gt;&lt;/pub-dates&gt;&lt;/dates&gt;&lt;publisher&gt;The Cancer Council Australia&lt;/publisher&gt;&lt;urls&gt;&lt;related-urls&gt;&lt;url&gt;https://www.nhmrc.gov.au/_files_nhmrc/publications/attachments/cp97_clinical_practise_guidelines_prevention_diagnosis_management__of_lung_cancer_0.pdf&lt;/url&gt;&lt;/related-urls&gt;&lt;/urls&gt;&lt;/record&gt;&lt;/Cite&gt;&lt;/EndNote&gt;</w:instrText>
      </w:r>
      <w:r w:rsidR="006750DB">
        <w:fldChar w:fldCharType="separate"/>
      </w:r>
      <w:r w:rsidR="006750DB">
        <w:rPr>
          <w:noProof/>
        </w:rPr>
        <w:t>(</w:t>
      </w:r>
      <w:hyperlink w:anchor="_ENREF_10" w:tooltip="Australian Cancer Network Management of Lung Cancer Guidelines Working Party, 2004 #262" w:history="1">
        <w:r w:rsidR="00320458">
          <w:rPr>
            <w:noProof/>
          </w:rPr>
          <w:t>Australian Cancer Network Management of Lung Cancer Guidelines Working Party 2004</w:t>
        </w:r>
      </w:hyperlink>
      <w:r w:rsidR="006750DB">
        <w:rPr>
          <w:noProof/>
        </w:rPr>
        <w:t>)</w:t>
      </w:r>
      <w:r w:rsidR="006750DB">
        <w:fldChar w:fldCharType="end"/>
      </w:r>
      <w:r w:rsidRPr="006750DB">
        <w:t>.</w:t>
      </w:r>
      <w:r w:rsidRPr="00BC4A30">
        <w:t xml:space="preserve"> </w:t>
      </w:r>
    </w:p>
    <w:p w14:paraId="5C89E147" w14:textId="77777777" w:rsidR="004550D1" w:rsidRDefault="004550D1" w:rsidP="00CB4D14">
      <w:pPr>
        <w:pStyle w:val="Caption"/>
        <w:keepNext/>
        <w:spacing w:before="500"/>
      </w:pPr>
      <w:bookmarkStart w:id="399" w:name="_Ref460571346"/>
      <w:bookmarkStart w:id="400" w:name="_Toc460514729"/>
      <w:r>
        <w:lastRenderedPageBreak/>
        <w:t xml:space="preserve">Table </w:t>
      </w:r>
      <w:fldSimple w:instr=" SEQ Table \* ARABIC ">
        <w:r w:rsidR="00D170A5">
          <w:rPr>
            <w:noProof/>
          </w:rPr>
          <w:t>71</w:t>
        </w:r>
      </w:fldSimple>
      <w:bookmarkEnd w:id="399"/>
      <w:r>
        <w:tab/>
      </w:r>
      <w:r w:rsidRPr="004550D1">
        <w:t>Costs associated with lung wedge surgery for pulmonary oligometastases</w:t>
      </w:r>
      <w:bookmarkEnd w:id="400"/>
    </w:p>
    <w:tbl>
      <w:tblPr>
        <w:tblW w:w="0" w:type="auto"/>
        <w:tblLook w:val="04A0" w:firstRow="1" w:lastRow="0" w:firstColumn="1" w:lastColumn="0" w:noHBand="0" w:noVBand="1"/>
      </w:tblPr>
      <w:tblGrid>
        <w:gridCol w:w="3448"/>
        <w:gridCol w:w="1732"/>
        <w:gridCol w:w="1094"/>
        <w:gridCol w:w="882"/>
        <w:gridCol w:w="2086"/>
      </w:tblGrid>
      <w:tr w:rsidR="004550D1" w:rsidRPr="004550D1" w14:paraId="58691700" w14:textId="77777777" w:rsidTr="0078501B">
        <w:trPr>
          <w:trHeight w:val="57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0945023" w14:textId="77777777" w:rsidR="004550D1" w:rsidRPr="003651E5" w:rsidRDefault="004550D1" w:rsidP="003651E5">
            <w:pPr>
              <w:pStyle w:val="Tabletext1"/>
              <w:rPr>
                <w:b/>
              </w:rPr>
            </w:pPr>
            <w:bookmarkStart w:id="401" w:name="RANGE!C82:I106"/>
            <w:r w:rsidRPr="003651E5">
              <w:rPr>
                <w:b/>
              </w:rPr>
              <w:t>Resource</w:t>
            </w:r>
            <w:bookmarkEnd w:id="401"/>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4D32568" w14:textId="77777777" w:rsidR="004550D1" w:rsidRPr="003651E5" w:rsidRDefault="004550D1" w:rsidP="003651E5">
            <w:pPr>
              <w:pStyle w:val="Tabletext1"/>
              <w:rPr>
                <w:b/>
              </w:rPr>
            </w:pPr>
            <w:r w:rsidRPr="003651E5">
              <w:rPr>
                <w:b/>
              </w:rPr>
              <w:t>Provider of resource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34EE6B0" w14:textId="77777777" w:rsidR="004550D1" w:rsidRPr="003651E5" w:rsidRDefault="004550D1" w:rsidP="003651E5">
            <w:pPr>
              <w:pStyle w:val="Tabletext1"/>
              <w:rPr>
                <w:b/>
              </w:rPr>
            </w:pPr>
            <w:r w:rsidRPr="003651E5">
              <w:rPr>
                <w:b/>
              </w:rPr>
              <w:t>Price per unit of resource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4F4DAF6" w14:textId="77777777" w:rsidR="004550D1" w:rsidRPr="003651E5" w:rsidRDefault="004550D1" w:rsidP="003651E5">
            <w:pPr>
              <w:pStyle w:val="Tabletext1"/>
              <w:rPr>
                <w:b/>
              </w:rPr>
            </w:pPr>
            <w:r w:rsidRPr="003651E5">
              <w:rPr>
                <w:b/>
              </w:rPr>
              <w:t>Quantity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080CDEF" w14:textId="77777777" w:rsidR="004550D1" w:rsidRPr="003651E5" w:rsidRDefault="004550D1" w:rsidP="003651E5">
            <w:pPr>
              <w:pStyle w:val="Tabletext1"/>
              <w:rPr>
                <w:b/>
              </w:rPr>
            </w:pPr>
            <w:r w:rsidRPr="003651E5">
              <w:rPr>
                <w:b/>
              </w:rPr>
              <w:t>Source</w:t>
            </w:r>
          </w:p>
        </w:tc>
      </w:tr>
      <w:tr w:rsidR="006750DB" w:rsidRPr="004550D1" w14:paraId="6E55CC29" w14:textId="77777777" w:rsidTr="00C77428">
        <w:trPr>
          <w:trHeight w:val="85"/>
        </w:trPr>
        <w:tc>
          <w:tcPr>
            <w:tcW w:w="0" w:type="auto"/>
            <w:tcBorders>
              <w:top w:val="single" w:sz="4" w:space="0" w:color="auto"/>
              <w:left w:val="single" w:sz="4" w:space="0" w:color="auto"/>
              <w:bottom w:val="single" w:sz="4" w:space="0" w:color="auto"/>
            </w:tcBorders>
            <w:shd w:val="clear" w:color="auto" w:fill="D9D9D9" w:themeFill="background1" w:themeFillShade="D9"/>
            <w:vAlign w:val="center"/>
          </w:tcPr>
          <w:p w14:paraId="0A97B909" w14:textId="70E76297" w:rsidR="006750DB" w:rsidRPr="003651E5" w:rsidRDefault="006750DB" w:rsidP="003651E5">
            <w:pPr>
              <w:pStyle w:val="Tabletext1"/>
              <w:rPr>
                <w:b/>
              </w:rPr>
            </w:pPr>
            <w:r w:rsidRPr="003651E5">
              <w:rPr>
                <w:b/>
              </w:rPr>
              <w:t>Medical services – screening prior to intervention </w:t>
            </w:r>
          </w:p>
        </w:tc>
        <w:tc>
          <w:tcPr>
            <w:tcW w:w="0" w:type="auto"/>
            <w:tcBorders>
              <w:top w:val="single" w:sz="4" w:space="0" w:color="auto"/>
              <w:bottom w:val="single" w:sz="4" w:space="0" w:color="auto"/>
            </w:tcBorders>
            <w:shd w:val="clear" w:color="auto" w:fill="D9D9D9" w:themeFill="background1" w:themeFillShade="D9"/>
            <w:vAlign w:val="center"/>
          </w:tcPr>
          <w:p w14:paraId="79A23B26" w14:textId="77777777" w:rsidR="006750DB" w:rsidRPr="006750DB" w:rsidRDefault="006750DB" w:rsidP="003651E5">
            <w:pPr>
              <w:pStyle w:val="Tabletext1"/>
            </w:pPr>
          </w:p>
        </w:tc>
        <w:tc>
          <w:tcPr>
            <w:tcW w:w="0" w:type="auto"/>
            <w:tcBorders>
              <w:top w:val="single" w:sz="4" w:space="0" w:color="auto"/>
              <w:bottom w:val="single" w:sz="4" w:space="0" w:color="auto"/>
            </w:tcBorders>
            <w:shd w:val="clear" w:color="auto" w:fill="D9D9D9" w:themeFill="background1" w:themeFillShade="D9"/>
            <w:vAlign w:val="center"/>
          </w:tcPr>
          <w:p w14:paraId="5FC41970" w14:textId="77777777" w:rsidR="006750DB" w:rsidRPr="006750DB" w:rsidRDefault="006750DB" w:rsidP="003651E5">
            <w:pPr>
              <w:pStyle w:val="Tabletext1"/>
            </w:pPr>
          </w:p>
        </w:tc>
        <w:tc>
          <w:tcPr>
            <w:tcW w:w="0" w:type="auto"/>
            <w:tcBorders>
              <w:top w:val="single" w:sz="4" w:space="0" w:color="auto"/>
              <w:bottom w:val="single" w:sz="4" w:space="0" w:color="auto"/>
            </w:tcBorders>
            <w:shd w:val="clear" w:color="auto" w:fill="D9D9D9" w:themeFill="background1" w:themeFillShade="D9"/>
            <w:vAlign w:val="center"/>
          </w:tcPr>
          <w:p w14:paraId="0110C877" w14:textId="77777777" w:rsidR="006750DB" w:rsidRPr="006750DB" w:rsidRDefault="006750DB" w:rsidP="003651E5">
            <w:pPr>
              <w:pStyle w:val="Tabletext1"/>
            </w:pPr>
          </w:p>
        </w:tc>
        <w:tc>
          <w:tcPr>
            <w:tcW w:w="0" w:type="auto"/>
            <w:tcBorders>
              <w:top w:val="single" w:sz="4" w:space="0" w:color="auto"/>
              <w:bottom w:val="single" w:sz="4" w:space="0" w:color="auto"/>
              <w:right w:val="single" w:sz="4" w:space="0" w:color="auto"/>
            </w:tcBorders>
            <w:shd w:val="clear" w:color="auto" w:fill="D9D9D9" w:themeFill="background1" w:themeFillShade="D9"/>
            <w:noWrap/>
            <w:vAlign w:val="center"/>
          </w:tcPr>
          <w:p w14:paraId="7BE72A7C" w14:textId="77777777" w:rsidR="006750DB" w:rsidRPr="006750DB" w:rsidRDefault="006750DB" w:rsidP="003651E5">
            <w:pPr>
              <w:pStyle w:val="Tabletext1"/>
            </w:pPr>
          </w:p>
        </w:tc>
      </w:tr>
      <w:tr w:rsidR="004550D1" w:rsidRPr="004550D1" w14:paraId="7A30B175" w14:textId="77777777" w:rsidTr="004550D1">
        <w:trPr>
          <w:trHeight w:val="9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D4CBA7" w14:textId="77777777" w:rsidR="004550D1" w:rsidRPr="004550D1" w:rsidRDefault="004550D1" w:rsidP="003651E5">
            <w:pPr>
              <w:pStyle w:val="Tabletext1"/>
            </w:pPr>
            <w:r w:rsidRPr="004550D1">
              <w:t>COMPUTED TOMOGRAPHY - scan of chest, including lungs, mediastinum, chest wall and pleura, with or without scans of the upper abdomen, with intravenous contrast medium</w:t>
            </w:r>
          </w:p>
        </w:tc>
        <w:tc>
          <w:tcPr>
            <w:tcW w:w="0" w:type="auto"/>
            <w:tcBorders>
              <w:top w:val="nil"/>
              <w:left w:val="nil"/>
              <w:bottom w:val="single" w:sz="4" w:space="0" w:color="auto"/>
              <w:right w:val="single" w:sz="4" w:space="0" w:color="auto"/>
            </w:tcBorders>
            <w:shd w:val="clear" w:color="auto" w:fill="auto"/>
            <w:vAlign w:val="center"/>
            <w:hideMark/>
          </w:tcPr>
          <w:p w14:paraId="7595A520" w14:textId="77777777" w:rsidR="004550D1" w:rsidRPr="004550D1" w:rsidRDefault="004550D1" w:rsidP="003651E5">
            <w:pPr>
              <w:pStyle w:val="Tabletext1"/>
            </w:pPr>
            <w:r w:rsidRPr="004550D1">
              <w:t>As outpatient</w:t>
            </w:r>
          </w:p>
        </w:tc>
        <w:tc>
          <w:tcPr>
            <w:tcW w:w="0" w:type="auto"/>
            <w:tcBorders>
              <w:top w:val="nil"/>
              <w:left w:val="nil"/>
              <w:bottom w:val="single" w:sz="4" w:space="0" w:color="auto"/>
              <w:right w:val="single" w:sz="4" w:space="0" w:color="auto"/>
            </w:tcBorders>
            <w:shd w:val="clear" w:color="auto" w:fill="auto"/>
            <w:vAlign w:val="center"/>
            <w:hideMark/>
          </w:tcPr>
          <w:p w14:paraId="08ECB1AB" w14:textId="77777777" w:rsidR="004550D1" w:rsidRPr="004550D1" w:rsidRDefault="004550D1" w:rsidP="003651E5">
            <w:pPr>
              <w:pStyle w:val="Tabletext1"/>
            </w:pPr>
            <w:r w:rsidRPr="004550D1">
              <w:t>202.00</w:t>
            </w:r>
          </w:p>
        </w:tc>
        <w:tc>
          <w:tcPr>
            <w:tcW w:w="0" w:type="auto"/>
            <w:tcBorders>
              <w:top w:val="nil"/>
              <w:left w:val="nil"/>
              <w:bottom w:val="single" w:sz="4" w:space="0" w:color="auto"/>
              <w:right w:val="single" w:sz="4" w:space="0" w:color="auto"/>
            </w:tcBorders>
            <w:shd w:val="clear" w:color="auto" w:fill="auto"/>
            <w:vAlign w:val="center"/>
            <w:hideMark/>
          </w:tcPr>
          <w:p w14:paraId="7B68961B"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noWrap/>
            <w:vAlign w:val="center"/>
            <w:hideMark/>
          </w:tcPr>
          <w:p w14:paraId="7653715B" w14:textId="77777777" w:rsidR="004550D1" w:rsidRPr="004550D1" w:rsidRDefault="004550D1" w:rsidP="003651E5">
            <w:pPr>
              <w:pStyle w:val="Tabletext1"/>
            </w:pPr>
            <w:r w:rsidRPr="004550D1">
              <w:t>MBS Item 56347</w:t>
            </w:r>
          </w:p>
        </w:tc>
      </w:tr>
      <w:tr w:rsidR="004550D1" w:rsidRPr="004550D1" w14:paraId="7D799F50" w14:textId="77777777" w:rsidTr="004550D1">
        <w:trPr>
          <w:trHeight w:val="100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14CA05" w14:textId="77777777" w:rsidR="004550D1" w:rsidRPr="004550D1" w:rsidRDefault="004550D1" w:rsidP="003651E5">
            <w:pPr>
              <w:pStyle w:val="Tabletext1"/>
            </w:pPr>
            <w:r w:rsidRPr="004550D1">
              <w:t>Whole body FDG PET study, performed for evaluation of a solitary pulmonary nodule where the lesion is considered unsuitable for transthoracic fine needle aspiration biopsy, or for which an attempt at pathological characterisation has failed</w:t>
            </w:r>
          </w:p>
        </w:tc>
        <w:tc>
          <w:tcPr>
            <w:tcW w:w="0" w:type="auto"/>
            <w:tcBorders>
              <w:top w:val="nil"/>
              <w:left w:val="nil"/>
              <w:bottom w:val="single" w:sz="4" w:space="0" w:color="auto"/>
              <w:right w:val="single" w:sz="4" w:space="0" w:color="auto"/>
            </w:tcBorders>
            <w:shd w:val="clear" w:color="auto" w:fill="auto"/>
            <w:vAlign w:val="center"/>
            <w:hideMark/>
          </w:tcPr>
          <w:p w14:paraId="6D96E6AC" w14:textId="77777777" w:rsidR="004550D1" w:rsidRPr="004550D1" w:rsidRDefault="004550D1" w:rsidP="003651E5">
            <w:pPr>
              <w:pStyle w:val="Tabletext1"/>
            </w:pPr>
            <w:r w:rsidRPr="004550D1">
              <w:t>As outpatient</w:t>
            </w:r>
          </w:p>
        </w:tc>
        <w:tc>
          <w:tcPr>
            <w:tcW w:w="0" w:type="auto"/>
            <w:tcBorders>
              <w:top w:val="nil"/>
              <w:left w:val="nil"/>
              <w:bottom w:val="single" w:sz="4" w:space="0" w:color="auto"/>
              <w:right w:val="single" w:sz="4" w:space="0" w:color="auto"/>
            </w:tcBorders>
            <w:shd w:val="clear" w:color="auto" w:fill="auto"/>
            <w:vAlign w:val="center"/>
            <w:hideMark/>
          </w:tcPr>
          <w:p w14:paraId="511C51EA" w14:textId="77777777" w:rsidR="004550D1" w:rsidRPr="004550D1" w:rsidRDefault="004550D1" w:rsidP="003651E5">
            <w:pPr>
              <w:pStyle w:val="Tabletext1"/>
            </w:pPr>
            <w:r w:rsidRPr="004550D1">
              <w:t>953.00</w:t>
            </w:r>
          </w:p>
        </w:tc>
        <w:tc>
          <w:tcPr>
            <w:tcW w:w="0" w:type="auto"/>
            <w:tcBorders>
              <w:top w:val="nil"/>
              <w:left w:val="nil"/>
              <w:bottom w:val="single" w:sz="4" w:space="0" w:color="auto"/>
              <w:right w:val="single" w:sz="4" w:space="0" w:color="auto"/>
            </w:tcBorders>
            <w:shd w:val="clear" w:color="auto" w:fill="auto"/>
            <w:vAlign w:val="center"/>
            <w:hideMark/>
          </w:tcPr>
          <w:p w14:paraId="467F5A8B"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noWrap/>
            <w:vAlign w:val="center"/>
            <w:hideMark/>
          </w:tcPr>
          <w:p w14:paraId="1EC16CDA" w14:textId="77777777" w:rsidR="004550D1" w:rsidRPr="004550D1" w:rsidRDefault="004550D1" w:rsidP="003651E5">
            <w:pPr>
              <w:pStyle w:val="Tabletext1"/>
            </w:pPr>
            <w:r w:rsidRPr="004550D1">
              <w:t>MBS Item 61523</w:t>
            </w:r>
          </w:p>
        </w:tc>
      </w:tr>
      <w:tr w:rsidR="004550D1" w:rsidRPr="004550D1" w14:paraId="74C16C9E" w14:textId="77777777" w:rsidTr="004550D1">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E1C223" w14:textId="77777777" w:rsidR="004550D1" w:rsidRPr="004550D1" w:rsidRDefault="004550D1" w:rsidP="003651E5">
            <w:pPr>
              <w:pStyle w:val="Tabletext1"/>
            </w:pPr>
            <w:r w:rsidRPr="004550D1">
              <w:t>Respiratory function test</w:t>
            </w:r>
          </w:p>
        </w:tc>
        <w:tc>
          <w:tcPr>
            <w:tcW w:w="0" w:type="auto"/>
            <w:tcBorders>
              <w:top w:val="nil"/>
              <w:left w:val="nil"/>
              <w:bottom w:val="single" w:sz="4" w:space="0" w:color="auto"/>
              <w:right w:val="single" w:sz="4" w:space="0" w:color="auto"/>
            </w:tcBorders>
            <w:shd w:val="clear" w:color="auto" w:fill="auto"/>
            <w:vAlign w:val="center"/>
            <w:hideMark/>
          </w:tcPr>
          <w:p w14:paraId="18E19F25" w14:textId="77777777" w:rsidR="004550D1" w:rsidRPr="004550D1" w:rsidRDefault="004550D1" w:rsidP="003651E5">
            <w:pPr>
              <w:pStyle w:val="Tabletext1"/>
            </w:pPr>
            <w:r w:rsidRPr="004550D1">
              <w:t>As outpatient</w:t>
            </w:r>
          </w:p>
        </w:tc>
        <w:tc>
          <w:tcPr>
            <w:tcW w:w="0" w:type="auto"/>
            <w:tcBorders>
              <w:top w:val="nil"/>
              <w:left w:val="nil"/>
              <w:bottom w:val="single" w:sz="4" w:space="0" w:color="auto"/>
              <w:right w:val="single" w:sz="4" w:space="0" w:color="auto"/>
            </w:tcBorders>
            <w:shd w:val="clear" w:color="auto" w:fill="auto"/>
            <w:vAlign w:val="center"/>
            <w:hideMark/>
          </w:tcPr>
          <w:p w14:paraId="22A30D88" w14:textId="77777777" w:rsidR="004550D1" w:rsidRPr="004550D1" w:rsidRDefault="004550D1" w:rsidP="003651E5">
            <w:pPr>
              <w:pStyle w:val="Tabletext1"/>
            </w:pPr>
            <w:r w:rsidRPr="004550D1">
              <w:t>138.65</w:t>
            </w:r>
          </w:p>
        </w:tc>
        <w:tc>
          <w:tcPr>
            <w:tcW w:w="0" w:type="auto"/>
            <w:tcBorders>
              <w:top w:val="nil"/>
              <w:left w:val="nil"/>
              <w:bottom w:val="single" w:sz="4" w:space="0" w:color="auto"/>
              <w:right w:val="single" w:sz="4" w:space="0" w:color="auto"/>
            </w:tcBorders>
            <w:shd w:val="clear" w:color="auto" w:fill="auto"/>
            <w:vAlign w:val="center"/>
            <w:hideMark/>
          </w:tcPr>
          <w:p w14:paraId="644AF1FF" w14:textId="77777777" w:rsidR="004550D1" w:rsidRPr="004550D1" w:rsidRDefault="004550D1" w:rsidP="003651E5">
            <w:pPr>
              <w:pStyle w:val="Tabletext1"/>
            </w:pPr>
            <w:r w:rsidRPr="004550D1">
              <w:t>1</w:t>
            </w:r>
          </w:p>
        </w:tc>
        <w:tc>
          <w:tcPr>
            <w:tcW w:w="0" w:type="auto"/>
            <w:tcBorders>
              <w:top w:val="nil"/>
              <w:left w:val="nil"/>
              <w:bottom w:val="nil"/>
              <w:right w:val="single" w:sz="4" w:space="0" w:color="auto"/>
            </w:tcBorders>
            <w:shd w:val="clear" w:color="auto" w:fill="auto"/>
            <w:vAlign w:val="center"/>
            <w:hideMark/>
          </w:tcPr>
          <w:p w14:paraId="2A32AA71" w14:textId="77777777" w:rsidR="004550D1" w:rsidRPr="004550D1" w:rsidRDefault="004550D1" w:rsidP="003651E5">
            <w:pPr>
              <w:pStyle w:val="Tabletext1"/>
            </w:pPr>
            <w:r w:rsidRPr="004550D1">
              <w:t>MBS Item 11503</w:t>
            </w:r>
          </w:p>
        </w:tc>
      </w:tr>
      <w:tr w:rsidR="004550D1" w:rsidRPr="004550D1" w14:paraId="59161CA1" w14:textId="77777777" w:rsidTr="0078501B">
        <w:trPr>
          <w:trHeight w:val="4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70D2C0" w14:textId="77777777" w:rsidR="004550D1" w:rsidRPr="004550D1" w:rsidRDefault="004550D1" w:rsidP="003651E5">
            <w:pPr>
              <w:pStyle w:val="Tabletext1"/>
            </w:pPr>
            <w:r w:rsidRPr="004550D1">
              <w:t>Medical oncologist consultation</w:t>
            </w:r>
          </w:p>
        </w:tc>
        <w:tc>
          <w:tcPr>
            <w:tcW w:w="0" w:type="auto"/>
            <w:tcBorders>
              <w:top w:val="nil"/>
              <w:left w:val="nil"/>
              <w:bottom w:val="single" w:sz="4" w:space="0" w:color="auto"/>
              <w:right w:val="single" w:sz="4" w:space="0" w:color="auto"/>
            </w:tcBorders>
            <w:shd w:val="clear" w:color="auto" w:fill="auto"/>
            <w:vAlign w:val="center"/>
            <w:hideMark/>
          </w:tcPr>
          <w:p w14:paraId="7251D235" w14:textId="77777777" w:rsidR="004550D1" w:rsidRPr="004550D1" w:rsidRDefault="004550D1" w:rsidP="003651E5">
            <w:pPr>
              <w:pStyle w:val="Tabletext1"/>
            </w:pPr>
            <w:r w:rsidRPr="004550D1">
              <w:t>As outpatient</w:t>
            </w:r>
          </w:p>
        </w:tc>
        <w:tc>
          <w:tcPr>
            <w:tcW w:w="0" w:type="auto"/>
            <w:tcBorders>
              <w:top w:val="nil"/>
              <w:left w:val="nil"/>
              <w:bottom w:val="single" w:sz="4" w:space="0" w:color="auto"/>
              <w:right w:val="single" w:sz="4" w:space="0" w:color="auto"/>
            </w:tcBorders>
            <w:shd w:val="clear" w:color="auto" w:fill="auto"/>
            <w:vAlign w:val="center"/>
            <w:hideMark/>
          </w:tcPr>
          <w:p w14:paraId="47FA3FE0" w14:textId="77777777" w:rsidR="004550D1" w:rsidRPr="004550D1" w:rsidRDefault="004550D1" w:rsidP="003651E5">
            <w:pPr>
              <w:pStyle w:val="Tabletext1"/>
            </w:pPr>
            <w:r w:rsidRPr="004550D1">
              <w:t>263.90</w:t>
            </w:r>
          </w:p>
        </w:tc>
        <w:tc>
          <w:tcPr>
            <w:tcW w:w="0" w:type="auto"/>
            <w:tcBorders>
              <w:top w:val="nil"/>
              <w:left w:val="nil"/>
              <w:bottom w:val="single" w:sz="4" w:space="0" w:color="auto"/>
              <w:right w:val="single" w:sz="4" w:space="0" w:color="auto"/>
            </w:tcBorders>
            <w:shd w:val="clear" w:color="auto" w:fill="auto"/>
            <w:vAlign w:val="center"/>
            <w:hideMark/>
          </w:tcPr>
          <w:p w14:paraId="667161B1" w14:textId="77777777" w:rsidR="004550D1" w:rsidRPr="004550D1" w:rsidRDefault="004550D1" w:rsidP="003651E5">
            <w:pPr>
              <w:pStyle w:val="Tabletext1"/>
            </w:pPr>
            <w:r w:rsidRPr="004550D1">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BDC408" w14:textId="77777777" w:rsidR="004550D1" w:rsidRPr="004550D1" w:rsidRDefault="004550D1" w:rsidP="003651E5">
            <w:pPr>
              <w:pStyle w:val="Tabletext1"/>
            </w:pPr>
            <w:r w:rsidRPr="004550D1">
              <w:t>MBS Item 132</w:t>
            </w:r>
          </w:p>
        </w:tc>
      </w:tr>
      <w:tr w:rsidR="004550D1" w:rsidRPr="004550D1" w14:paraId="0DC3C074" w14:textId="77777777" w:rsidTr="0078501B">
        <w:trPr>
          <w:trHeight w:val="285"/>
        </w:trPr>
        <w:tc>
          <w:tcPr>
            <w:tcW w:w="0" w:type="auto"/>
            <w:tcBorders>
              <w:top w:val="nil"/>
              <w:left w:val="single" w:sz="4" w:space="0" w:color="auto"/>
              <w:bottom w:val="single" w:sz="4" w:space="0" w:color="auto"/>
            </w:tcBorders>
            <w:shd w:val="clear" w:color="auto" w:fill="D9D9D9" w:themeFill="background1" w:themeFillShade="D9"/>
            <w:vAlign w:val="center"/>
            <w:hideMark/>
          </w:tcPr>
          <w:p w14:paraId="40552F65" w14:textId="77777777" w:rsidR="004550D1" w:rsidRPr="0078501B" w:rsidRDefault="004550D1" w:rsidP="003651E5">
            <w:pPr>
              <w:pStyle w:val="Tabletext1"/>
              <w:rPr>
                <w:b/>
              </w:rPr>
            </w:pPr>
            <w:r w:rsidRPr="0078501B">
              <w:rPr>
                <w:b/>
              </w:rPr>
              <w:t>Medical services – intervention</w:t>
            </w:r>
          </w:p>
        </w:tc>
        <w:tc>
          <w:tcPr>
            <w:tcW w:w="0" w:type="auto"/>
            <w:tcBorders>
              <w:top w:val="single" w:sz="4" w:space="0" w:color="auto"/>
              <w:bottom w:val="single" w:sz="4" w:space="0" w:color="auto"/>
            </w:tcBorders>
            <w:shd w:val="clear" w:color="auto" w:fill="D9D9D9" w:themeFill="background1" w:themeFillShade="D9"/>
            <w:vAlign w:val="center"/>
            <w:hideMark/>
          </w:tcPr>
          <w:p w14:paraId="1F08068B" w14:textId="77777777" w:rsidR="004550D1" w:rsidRPr="004550D1" w:rsidRDefault="004550D1" w:rsidP="003651E5">
            <w:pPr>
              <w:pStyle w:val="Tabletext1"/>
            </w:pPr>
            <w:r w:rsidRPr="004550D1">
              <w:t> </w:t>
            </w:r>
          </w:p>
        </w:tc>
        <w:tc>
          <w:tcPr>
            <w:tcW w:w="0" w:type="auto"/>
            <w:tcBorders>
              <w:top w:val="single" w:sz="4" w:space="0" w:color="auto"/>
              <w:bottom w:val="single" w:sz="4" w:space="0" w:color="auto"/>
            </w:tcBorders>
            <w:shd w:val="clear" w:color="auto" w:fill="D9D9D9" w:themeFill="background1" w:themeFillShade="D9"/>
            <w:vAlign w:val="center"/>
            <w:hideMark/>
          </w:tcPr>
          <w:p w14:paraId="11EFB59A" w14:textId="77777777" w:rsidR="004550D1" w:rsidRPr="004550D1" w:rsidRDefault="004550D1" w:rsidP="003651E5">
            <w:pPr>
              <w:pStyle w:val="Tabletext1"/>
            </w:pPr>
            <w:r w:rsidRPr="004550D1">
              <w:t> </w:t>
            </w:r>
          </w:p>
        </w:tc>
        <w:tc>
          <w:tcPr>
            <w:tcW w:w="0" w:type="auto"/>
            <w:tcBorders>
              <w:top w:val="single" w:sz="4" w:space="0" w:color="auto"/>
              <w:bottom w:val="single" w:sz="4" w:space="0" w:color="auto"/>
            </w:tcBorders>
            <w:shd w:val="clear" w:color="auto" w:fill="D9D9D9" w:themeFill="background1" w:themeFillShade="D9"/>
            <w:vAlign w:val="center"/>
            <w:hideMark/>
          </w:tcPr>
          <w:p w14:paraId="341683C7" w14:textId="77777777" w:rsidR="004550D1" w:rsidRPr="004550D1" w:rsidRDefault="004550D1" w:rsidP="003651E5">
            <w:pPr>
              <w:pStyle w:val="Tabletext1"/>
            </w:pPr>
            <w:r w:rsidRPr="004550D1">
              <w:t> </w:t>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hideMark/>
          </w:tcPr>
          <w:p w14:paraId="5ECA30EC" w14:textId="77777777" w:rsidR="004550D1" w:rsidRPr="004550D1" w:rsidRDefault="004550D1" w:rsidP="003651E5">
            <w:pPr>
              <w:pStyle w:val="Tabletext1"/>
            </w:pPr>
            <w:r w:rsidRPr="004550D1">
              <w:t> </w:t>
            </w:r>
          </w:p>
        </w:tc>
      </w:tr>
      <w:tr w:rsidR="004550D1" w:rsidRPr="004550D1" w14:paraId="5085F00D" w14:textId="77777777" w:rsidTr="004550D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BAD924" w14:textId="77777777" w:rsidR="004550D1" w:rsidRPr="004550D1" w:rsidRDefault="004550D1" w:rsidP="003651E5">
            <w:pPr>
              <w:pStyle w:val="Tabletext1"/>
            </w:pPr>
            <w:r w:rsidRPr="004550D1">
              <w:t>LUNG, wedge resection of</w:t>
            </w:r>
          </w:p>
        </w:tc>
        <w:tc>
          <w:tcPr>
            <w:tcW w:w="0" w:type="auto"/>
            <w:tcBorders>
              <w:top w:val="nil"/>
              <w:left w:val="nil"/>
              <w:bottom w:val="single" w:sz="4" w:space="0" w:color="auto"/>
              <w:right w:val="single" w:sz="4" w:space="0" w:color="auto"/>
            </w:tcBorders>
            <w:shd w:val="clear" w:color="auto" w:fill="auto"/>
            <w:vAlign w:val="center"/>
            <w:hideMark/>
          </w:tcPr>
          <w:p w14:paraId="0028F9FF" w14:textId="77777777" w:rsidR="004550D1" w:rsidRPr="004550D1" w:rsidRDefault="004550D1" w:rsidP="003651E5">
            <w:pPr>
              <w:pStyle w:val="Tabletext1"/>
            </w:pPr>
            <w:r w:rsidRPr="004550D1">
              <w:t>Surgeon to inpatient</w:t>
            </w:r>
          </w:p>
        </w:tc>
        <w:tc>
          <w:tcPr>
            <w:tcW w:w="0" w:type="auto"/>
            <w:tcBorders>
              <w:top w:val="nil"/>
              <w:left w:val="nil"/>
              <w:bottom w:val="single" w:sz="4" w:space="0" w:color="auto"/>
              <w:right w:val="single" w:sz="4" w:space="0" w:color="auto"/>
            </w:tcBorders>
            <w:shd w:val="clear" w:color="auto" w:fill="auto"/>
            <w:vAlign w:val="center"/>
            <w:hideMark/>
          </w:tcPr>
          <w:p w14:paraId="3F0B5CCA" w14:textId="77777777" w:rsidR="004550D1" w:rsidRPr="004550D1" w:rsidRDefault="004550D1" w:rsidP="003651E5">
            <w:pPr>
              <w:pStyle w:val="Tabletext1"/>
            </w:pPr>
            <w:r w:rsidRPr="004550D1">
              <w:t>1,147.20</w:t>
            </w:r>
          </w:p>
        </w:tc>
        <w:tc>
          <w:tcPr>
            <w:tcW w:w="0" w:type="auto"/>
            <w:tcBorders>
              <w:top w:val="nil"/>
              <w:left w:val="nil"/>
              <w:bottom w:val="single" w:sz="4" w:space="0" w:color="auto"/>
              <w:right w:val="single" w:sz="4" w:space="0" w:color="auto"/>
            </w:tcBorders>
            <w:shd w:val="clear" w:color="auto" w:fill="auto"/>
            <w:vAlign w:val="center"/>
            <w:hideMark/>
          </w:tcPr>
          <w:p w14:paraId="31F39138"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6816DF6B" w14:textId="77777777" w:rsidR="004550D1" w:rsidRPr="004550D1" w:rsidRDefault="004550D1" w:rsidP="003651E5">
            <w:pPr>
              <w:pStyle w:val="Tabletext1"/>
            </w:pPr>
            <w:r w:rsidRPr="004550D1">
              <w:t>MBS Item 38440</w:t>
            </w:r>
          </w:p>
        </w:tc>
      </w:tr>
      <w:tr w:rsidR="004550D1" w:rsidRPr="004550D1" w14:paraId="0C47EC56" w14:textId="77777777" w:rsidTr="004550D1">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56F6F1" w14:textId="77777777" w:rsidR="004550D1" w:rsidRPr="004550D1" w:rsidRDefault="004550D1" w:rsidP="003651E5">
            <w:pPr>
              <w:pStyle w:val="Tabletext1"/>
            </w:pPr>
            <w:r w:rsidRPr="004550D1">
              <w:t>THORACOTOMY, exploratory, with or without biopsy</w:t>
            </w:r>
          </w:p>
        </w:tc>
        <w:tc>
          <w:tcPr>
            <w:tcW w:w="0" w:type="auto"/>
            <w:tcBorders>
              <w:top w:val="nil"/>
              <w:left w:val="nil"/>
              <w:bottom w:val="single" w:sz="4" w:space="0" w:color="auto"/>
              <w:right w:val="single" w:sz="4" w:space="0" w:color="auto"/>
            </w:tcBorders>
            <w:shd w:val="clear" w:color="auto" w:fill="auto"/>
            <w:vAlign w:val="center"/>
            <w:hideMark/>
          </w:tcPr>
          <w:p w14:paraId="4C4C5BAF" w14:textId="77777777" w:rsidR="004550D1" w:rsidRPr="004550D1" w:rsidRDefault="004550D1" w:rsidP="003651E5">
            <w:pPr>
              <w:pStyle w:val="Tabletext1"/>
            </w:pPr>
            <w:r w:rsidRPr="004550D1">
              <w:t>Surgeon to inpatient</w:t>
            </w:r>
          </w:p>
        </w:tc>
        <w:tc>
          <w:tcPr>
            <w:tcW w:w="0" w:type="auto"/>
            <w:tcBorders>
              <w:top w:val="nil"/>
              <w:left w:val="nil"/>
              <w:bottom w:val="single" w:sz="4" w:space="0" w:color="auto"/>
              <w:right w:val="single" w:sz="4" w:space="0" w:color="auto"/>
            </w:tcBorders>
            <w:shd w:val="clear" w:color="auto" w:fill="auto"/>
            <w:vAlign w:val="center"/>
            <w:hideMark/>
          </w:tcPr>
          <w:p w14:paraId="28662423" w14:textId="77777777" w:rsidR="004550D1" w:rsidRPr="004550D1" w:rsidRDefault="004550D1" w:rsidP="003651E5">
            <w:pPr>
              <w:pStyle w:val="Tabletext1"/>
            </w:pPr>
            <w:r w:rsidRPr="004550D1">
              <w:t>958.40</w:t>
            </w:r>
          </w:p>
        </w:tc>
        <w:tc>
          <w:tcPr>
            <w:tcW w:w="0" w:type="auto"/>
            <w:tcBorders>
              <w:top w:val="nil"/>
              <w:left w:val="nil"/>
              <w:bottom w:val="single" w:sz="4" w:space="0" w:color="auto"/>
              <w:right w:val="single" w:sz="4" w:space="0" w:color="auto"/>
            </w:tcBorders>
            <w:shd w:val="clear" w:color="auto" w:fill="auto"/>
            <w:vAlign w:val="center"/>
            <w:hideMark/>
          </w:tcPr>
          <w:p w14:paraId="71852B34"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1CD75797" w14:textId="77777777" w:rsidR="004550D1" w:rsidRPr="004550D1" w:rsidRDefault="004550D1" w:rsidP="003651E5">
            <w:pPr>
              <w:pStyle w:val="Tabletext1"/>
            </w:pPr>
            <w:r w:rsidRPr="004550D1">
              <w:t>MBS Item 38418</w:t>
            </w:r>
          </w:p>
        </w:tc>
      </w:tr>
      <w:tr w:rsidR="004550D1" w:rsidRPr="004550D1" w14:paraId="2939885F" w14:textId="77777777" w:rsidTr="004550D1">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266B9" w14:textId="77777777" w:rsidR="004550D1" w:rsidRPr="004550D1" w:rsidRDefault="004550D1" w:rsidP="003651E5">
            <w:pPr>
              <w:pStyle w:val="Tabletext1"/>
            </w:pPr>
            <w:r w:rsidRPr="004550D1">
              <w:t xml:space="preserve">INTERCOSTAL DRAIN, insertion of, not involving resection of rib </w:t>
            </w:r>
          </w:p>
        </w:tc>
        <w:tc>
          <w:tcPr>
            <w:tcW w:w="0" w:type="auto"/>
            <w:tcBorders>
              <w:top w:val="nil"/>
              <w:left w:val="nil"/>
              <w:bottom w:val="single" w:sz="4" w:space="0" w:color="auto"/>
              <w:right w:val="single" w:sz="4" w:space="0" w:color="auto"/>
            </w:tcBorders>
            <w:shd w:val="clear" w:color="auto" w:fill="auto"/>
            <w:vAlign w:val="center"/>
            <w:hideMark/>
          </w:tcPr>
          <w:p w14:paraId="146BABFD" w14:textId="77777777" w:rsidR="004550D1" w:rsidRPr="004550D1" w:rsidRDefault="004550D1" w:rsidP="003651E5">
            <w:pPr>
              <w:pStyle w:val="Tabletext1"/>
            </w:pPr>
            <w:r w:rsidRPr="004550D1">
              <w:t>Surgeon to inpatient</w:t>
            </w:r>
          </w:p>
        </w:tc>
        <w:tc>
          <w:tcPr>
            <w:tcW w:w="0" w:type="auto"/>
            <w:tcBorders>
              <w:top w:val="nil"/>
              <w:left w:val="nil"/>
              <w:bottom w:val="single" w:sz="4" w:space="0" w:color="auto"/>
              <w:right w:val="single" w:sz="4" w:space="0" w:color="auto"/>
            </w:tcBorders>
            <w:shd w:val="clear" w:color="auto" w:fill="auto"/>
            <w:vAlign w:val="center"/>
            <w:hideMark/>
          </w:tcPr>
          <w:p w14:paraId="01B1C827" w14:textId="77777777" w:rsidR="004550D1" w:rsidRPr="004550D1" w:rsidRDefault="004550D1" w:rsidP="003651E5">
            <w:pPr>
              <w:pStyle w:val="Tabletext1"/>
            </w:pPr>
            <w:r w:rsidRPr="004550D1">
              <w:t>133.55</w:t>
            </w:r>
          </w:p>
        </w:tc>
        <w:tc>
          <w:tcPr>
            <w:tcW w:w="0" w:type="auto"/>
            <w:tcBorders>
              <w:top w:val="nil"/>
              <w:left w:val="nil"/>
              <w:bottom w:val="single" w:sz="4" w:space="0" w:color="auto"/>
              <w:right w:val="single" w:sz="4" w:space="0" w:color="auto"/>
            </w:tcBorders>
            <w:shd w:val="clear" w:color="auto" w:fill="auto"/>
            <w:vAlign w:val="center"/>
            <w:hideMark/>
          </w:tcPr>
          <w:p w14:paraId="1C583F56"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00827E72" w14:textId="57258588" w:rsidR="004550D1" w:rsidRPr="004550D1" w:rsidRDefault="004550D1" w:rsidP="00D35E9C">
            <w:pPr>
              <w:pStyle w:val="Tabletext1"/>
            </w:pPr>
            <w:r w:rsidRPr="004550D1">
              <w:t>MBS Item 388</w:t>
            </w:r>
            <w:r w:rsidR="00D35E9C" w:rsidRPr="00D35E9C">
              <w:rPr>
                <w:rFonts w:ascii="Arial" w:hAnsi="Arial" w:cs="Arial"/>
                <w:lang w:bidi="he-IL"/>
              </w:rPr>
              <w:t>–</w:t>
            </w:r>
            <w:r w:rsidRPr="004550D1">
              <w:t>6</w:t>
            </w:r>
          </w:p>
        </w:tc>
      </w:tr>
      <w:tr w:rsidR="004550D1" w:rsidRPr="004550D1" w14:paraId="3F8C06FA" w14:textId="77777777" w:rsidTr="004550D1">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317DC1" w14:textId="77777777" w:rsidR="004550D1" w:rsidRPr="004550D1" w:rsidRDefault="004550D1" w:rsidP="003651E5">
            <w:pPr>
              <w:pStyle w:val="Tabletext1"/>
            </w:pPr>
            <w:r w:rsidRPr="004550D1">
              <w:t>Intra-arterial cannulation when performed in association with the administration of anaesthesia</w:t>
            </w:r>
          </w:p>
        </w:tc>
        <w:tc>
          <w:tcPr>
            <w:tcW w:w="0" w:type="auto"/>
            <w:tcBorders>
              <w:top w:val="nil"/>
              <w:left w:val="nil"/>
              <w:bottom w:val="single" w:sz="4" w:space="0" w:color="auto"/>
              <w:right w:val="single" w:sz="4" w:space="0" w:color="auto"/>
            </w:tcBorders>
            <w:shd w:val="clear" w:color="auto" w:fill="auto"/>
            <w:vAlign w:val="center"/>
            <w:hideMark/>
          </w:tcPr>
          <w:p w14:paraId="48B220E7" w14:textId="77777777" w:rsidR="004550D1" w:rsidRPr="004550D1" w:rsidRDefault="004550D1" w:rsidP="003651E5">
            <w:pPr>
              <w:pStyle w:val="Tabletext1"/>
            </w:pPr>
            <w:r w:rsidRPr="004550D1">
              <w:t>Anaesthesiologist, delivered to inpatient</w:t>
            </w:r>
          </w:p>
        </w:tc>
        <w:tc>
          <w:tcPr>
            <w:tcW w:w="0" w:type="auto"/>
            <w:tcBorders>
              <w:top w:val="nil"/>
              <w:left w:val="nil"/>
              <w:bottom w:val="single" w:sz="4" w:space="0" w:color="auto"/>
              <w:right w:val="single" w:sz="4" w:space="0" w:color="auto"/>
            </w:tcBorders>
            <w:shd w:val="clear" w:color="auto" w:fill="auto"/>
            <w:vAlign w:val="center"/>
            <w:hideMark/>
          </w:tcPr>
          <w:p w14:paraId="74A5208F" w14:textId="77777777" w:rsidR="004550D1" w:rsidRPr="004550D1" w:rsidRDefault="004550D1" w:rsidP="003651E5">
            <w:pPr>
              <w:pStyle w:val="Tabletext1"/>
            </w:pPr>
            <w:r w:rsidRPr="004550D1">
              <w:t>79.20</w:t>
            </w:r>
          </w:p>
        </w:tc>
        <w:tc>
          <w:tcPr>
            <w:tcW w:w="0" w:type="auto"/>
            <w:tcBorders>
              <w:top w:val="nil"/>
              <w:left w:val="nil"/>
              <w:bottom w:val="single" w:sz="4" w:space="0" w:color="auto"/>
              <w:right w:val="single" w:sz="4" w:space="0" w:color="auto"/>
            </w:tcBorders>
            <w:shd w:val="clear" w:color="auto" w:fill="auto"/>
            <w:vAlign w:val="center"/>
            <w:hideMark/>
          </w:tcPr>
          <w:p w14:paraId="7DDEFFFD"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6F0F786E" w14:textId="77777777" w:rsidR="004550D1" w:rsidRPr="004550D1" w:rsidRDefault="004550D1" w:rsidP="003651E5">
            <w:pPr>
              <w:pStyle w:val="Tabletext1"/>
            </w:pPr>
            <w:r w:rsidRPr="004550D1">
              <w:t>MBS Item 22025</w:t>
            </w:r>
          </w:p>
        </w:tc>
      </w:tr>
      <w:tr w:rsidR="004550D1" w:rsidRPr="004550D1" w14:paraId="536FE879" w14:textId="77777777" w:rsidTr="004550D1">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F477C3" w14:textId="77777777" w:rsidR="004550D1" w:rsidRPr="004550D1" w:rsidRDefault="004550D1" w:rsidP="003651E5">
            <w:pPr>
              <w:pStyle w:val="Tabletext1"/>
            </w:pPr>
            <w:r w:rsidRPr="004550D1">
              <w:t>Pre-anaesthesia consultation. Consultations comprise 4 time-based items utilising 15 minute increments up to and exceeding 45 minutes</w:t>
            </w:r>
          </w:p>
        </w:tc>
        <w:tc>
          <w:tcPr>
            <w:tcW w:w="0" w:type="auto"/>
            <w:tcBorders>
              <w:top w:val="nil"/>
              <w:left w:val="nil"/>
              <w:bottom w:val="single" w:sz="4" w:space="0" w:color="auto"/>
              <w:right w:val="single" w:sz="4" w:space="0" w:color="auto"/>
            </w:tcBorders>
            <w:shd w:val="clear" w:color="auto" w:fill="auto"/>
            <w:vAlign w:val="center"/>
            <w:hideMark/>
          </w:tcPr>
          <w:p w14:paraId="32A376F7" w14:textId="77777777" w:rsidR="004550D1" w:rsidRPr="004550D1" w:rsidRDefault="004550D1" w:rsidP="003651E5">
            <w:pPr>
              <w:pStyle w:val="Tabletext1"/>
            </w:pPr>
            <w:r w:rsidRPr="004550D1">
              <w:t>Anaesthesiologist, delivered to inpatient</w:t>
            </w:r>
          </w:p>
        </w:tc>
        <w:tc>
          <w:tcPr>
            <w:tcW w:w="0" w:type="auto"/>
            <w:tcBorders>
              <w:top w:val="nil"/>
              <w:left w:val="nil"/>
              <w:bottom w:val="single" w:sz="4" w:space="0" w:color="auto"/>
              <w:right w:val="single" w:sz="4" w:space="0" w:color="auto"/>
            </w:tcBorders>
            <w:shd w:val="clear" w:color="auto" w:fill="auto"/>
            <w:vAlign w:val="center"/>
            <w:hideMark/>
          </w:tcPr>
          <w:p w14:paraId="4417B6C6" w14:textId="77777777" w:rsidR="004550D1" w:rsidRPr="004550D1" w:rsidRDefault="004550D1" w:rsidP="003651E5">
            <w:pPr>
              <w:pStyle w:val="Tabletext1"/>
            </w:pPr>
            <w:r w:rsidRPr="004550D1">
              <w:t>99.49</w:t>
            </w:r>
          </w:p>
        </w:tc>
        <w:tc>
          <w:tcPr>
            <w:tcW w:w="0" w:type="auto"/>
            <w:tcBorders>
              <w:top w:val="nil"/>
              <w:left w:val="nil"/>
              <w:bottom w:val="single" w:sz="4" w:space="0" w:color="auto"/>
              <w:right w:val="single" w:sz="4" w:space="0" w:color="auto"/>
            </w:tcBorders>
            <w:shd w:val="clear" w:color="auto" w:fill="auto"/>
            <w:vAlign w:val="center"/>
            <w:hideMark/>
          </w:tcPr>
          <w:p w14:paraId="5CCBA9FC"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0C452382" w14:textId="77777777" w:rsidR="004550D1" w:rsidRPr="004550D1" w:rsidRDefault="004550D1" w:rsidP="003651E5">
            <w:pPr>
              <w:pStyle w:val="Tabletext1"/>
            </w:pPr>
            <w:r w:rsidRPr="004550D1">
              <w:t>Mean for MBS items 17610, 17615, 17620, 17625</w:t>
            </w:r>
          </w:p>
        </w:tc>
      </w:tr>
      <w:tr w:rsidR="004550D1" w:rsidRPr="004550D1" w14:paraId="4CE67C8A" w14:textId="77777777" w:rsidTr="004550D1">
        <w:trPr>
          <w:trHeight w:val="8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365748" w14:textId="77777777" w:rsidR="004550D1" w:rsidRPr="004550D1" w:rsidRDefault="004550D1" w:rsidP="003651E5">
            <w:pPr>
              <w:pStyle w:val="Tabletext1"/>
            </w:pPr>
            <w:r w:rsidRPr="004550D1">
              <w:t>Referred consultation. Consultations comprise 4 time-based items utilising 15 minute increments up to and exceeding 45 minutes</w:t>
            </w:r>
          </w:p>
        </w:tc>
        <w:tc>
          <w:tcPr>
            <w:tcW w:w="0" w:type="auto"/>
            <w:tcBorders>
              <w:top w:val="nil"/>
              <w:left w:val="nil"/>
              <w:bottom w:val="single" w:sz="4" w:space="0" w:color="auto"/>
              <w:right w:val="single" w:sz="4" w:space="0" w:color="auto"/>
            </w:tcBorders>
            <w:shd w:val="clear" w:color="auto" w:fill="auto"/>
            <w:vAlign w:val="center"/>
            <w:hideMark/>
          </w:tcPr>
          <w:p w14:paraId="4ABF1928" w14:textId="77777777" w:rsidR="004550D1" w:rsidRPr="004550D1" w:rsidRDefault="004550D1" w:rsidP="003651E5">
            <w:pPr>
              <w:pStyle w:val="Tabletext1"/>
            </w:pPr>
            <w:r w:rsidRPr="004550D1">
              <w:t>Anaesthesiologist, delivered to inpatient</w:t>
            </w:r>
          </w:p>
        </w:tc>
        <w:tc>
          <w:tcPr>
            <w:tcW w:w="0" w:type="auto"/>
            <w:tcBorders>
              <w:top w:val="nil"/>
              <w:left w:val="nil"/>
              <w:bottom w:val="single" w:sz="4" w:space="0" w:color="auto"/>
              <w:right w:val="single" w:sz="4" w:space="0" w:color="auto"/>
            </w:tcBorders>
            <w:shd w:val="clear" w:color="auto" w:fill="auto"/>
            <w:vAlign w:val="center"/>
            <w:hideMark/>
          </w:tcPr>
          <w:p w14:paraId="2034EF9F" w14:textId="77777777" w:rsidR="004550D1" w:rsidRPr="004550D1" w:rsidRDefault="004550D1" w:rsidP="003651E5">
            <w:pPr>
              <w:pStyle w:val="Tabletext1"/>
            </w:pPr>
            <w:r w:rsidRPr="004550D1">
              <w:t>99.49</w:t>
            </w:r>
          </w:p>
        </w:tc>
        <w:tc>
          <w:tcPr>
            <w:tcW w:w="0" w:type="auto"/>
            <w:tcBorders>
              <w:top w:val="nil"/>
              <w:left w:val="nil"/>
              <w:bottom w:val="single" w:sz="4" w:space="0" w:color="auto"/>
              <w:right w:val="single" w:sz="4" w:space="0" w:color="auto"/>
            </w:tcBorders>
            <w:shd w:val="clear" w:color="auto" w:fill="auto"/>
            <w:vAlign w:val="center"/>
            <w:hideMark/>
          </w:tcPr>
          <w:p w14:paraId="29D9634E"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13C37830" w14:textId="77777777" w:rsidR="004550D1" w:rsidRPr="004550D1" w:rsidRDefault="004550D1" w:rsidP="003651E5">
            <w:pPr>
              <w:pStyle w:val="Tabletext1"/>
            </w:pPr>
            <w:r w:rsidRPr="004550D1">
              <w:t>Mean of MBS items 17640, 17645, 17650, 17655</w:t>
            </w:r>
          </w:p>
        </w:tc>
      </w:tr>
      <w:tr w:rsidR="004550D1" w:rsidRPr="004550D1" w14:paraId="58440437" w14:textId="77777777" w:rsidTr="004550D1">
        <w:trPr>
          <w:trHeight w:val="70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448F54" w14:textId="77777777" w:rsidR="004550D1" w:rsidRPr="004550D1" w:rsidRDefault="004550D1" w:rsidP="003651E5">
            <w:pPr>
              <w:pStyle w:val="Tabletext1"/>
            </w:pPr>
            <w:r w:rsidRPr="004550D1">
              <w:t xml:space="preserve">Initiation of management of anaesthesia, for computerised axial tomography scanning, </w:t>
            </w:r>
            <w:r w:rsidRPr="004550D1">
              <w:lastRenderedPageBreak/>
              <w:t>magnetic resonance scanning, digital subtraction angiography scanning</w:t>
            </w:r>
          </w:p>
        </w:tc>
        <w:tc>
          <w:tcPr>
            <w:tcW w:w="0" w:type="auto"/>
            <w:tcBorders>
              <w:top w:val="nil"/>
              <w:left w:val="nil"/>
              <w:bottom w:val="single" w:sz="4" w:space="0" w:color="auto"/>
              <w:right w:val="single" w:sz="4" w:space="0" w:color="auto"/>
            </w:tcBorders>
            <w:shd w:val="clear" w:color="auto" w:fill="auto"/>
            <w:vAlign w:val="center"/>
            <w:hideMark/>
          </w:tcPr>
          <w:p w14:paraId="7E3B5125" w14:textId="77777777" w:rsidR="004550D1" w:rsidRPr="004550D1" w:rsidRDefault="004550D1" w:rsidP="003651E5">
            <w:pPr>
              <w:pStyle w:val="Tabletext1"/>
            </w:pPr>
            <w:r w:rsidRPr="004550D1">
              <w:lastRenderedPageBreak/>
              <w:t>Anaesthesiologist, delivered to inpatient</w:t>
            </w:r>
          </w:p>
        </w:tc>
        <w:tc>
          <w:tcPr>
            <w:tcW w:w="0" w:type="auto"/>
            <w:tcBorders>
              <w:top w:val="nil"/>
              <w:left w:val="nil"/>
              <w:bottom w:val="single" w:sz="4" w:space="0" w:color="auto"/>
              <w:right w:val="single" w:sz="4" w:space="0" w:color="auto"/>
            </w:tcBorders>
            <w:shd w:val="clear" w:color="auto" w:fill="auto"/>
            <w:vAlign w:val="center"/>
            <w:hideMark/>
          </w:tcPr>
          <w:p w14:paraId="44A4EB28" w14:textId="77777777" w:rsidR="004550D1" w:rsidRPr="004550D1" w:rsidRDefault="004550D1" w:rsidP="003651E5">
            <w:pPr>
              <w:pStyle w:val="Tabletext1"/>
            </w:pPr>
            <w:r w:rsidRPr="004550D1">
              <w:t>138.60</w:t>
            </w:r>
          </w:p>
        </w:tc>
        <w:tc>
          <w:tcPr>
            <w:tcW w:w="0" w:type="auto"/>
            <w:tcBorders>
              <w:top w:val="nil"/>
              <w:left w:val="nil"/>
              <w:bottom w:val="single" w:sz="4" w:space="0" w:color="auto"/>
              <w:right w:val="single" w:sz="4" w:space="0" w:color="auto"/>
            </w:tcBorders>
            <w:shd w:val="clear" w:color="auto" w:fill="auto"/>
            <w:vAlign w:val="center"/>
            <w:hideMark/>
          </w:tcPr>
          <w:p w14:paraId="05DE3AF9"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398902FA" w14:textId="77777777" w:rsidR="004550D1" w:rsidRPr="004550D1" w:rsidRDefault="004550D1" w:rsidP="003651E5">
            <w:pPr>
              <w:pStyle w:val="Tabletext1"/>
            </w:pPr>
            <w:r w:rsidRPr="004550D1">
              <w:t>MBS item 21922</w:t>
            </w:r>
          </w:p>
        </w:tc>
      </w:tr>
      <w:tr w:rsidR="004550D1" w:rsidRPr="004550D1" w14:paraId="6FF5D577" w14:textId="77777777" w:rsidTr="004550D1">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629230" w14:textId="77777777" w:rsidR="004550D1" w:rsidRPr="004550D1" w:rsidRDefault="004550D1" w:rsidP="003651E5">
            <w:pPr>
              <w:pStyle w:val="Tabletext1"/>
            </w:pPr>
            <w:r w:rsidRPr="004550D1">
              <w:lastRenderedPageBreak/>
              <w:t xml:space="preserve">Administration of anaesthesia, 56 MINUTES TO 1:00 HOUR </w:t>
            </w:r>
          </w:p>
        </w:tc>
        <w:tc>
          <w:tcPr>
            <w:tcW w:w="0" w:type="auto"/>
            <w:tcBorders>
              <w:top w:val="nil"/>
              <w:left w:val="nil"/>
              <w:bottom w:val="single" w:sz="4" w:space="0" w:color="auto"/>
              <w:right w:val="single" w:sz="4" w:space="0" w:color="auto"/>
            </w:tcBorders>
            <w:shd w:val="clear" w:color="auto" w:fill="auto"/>
            <w:vAlign w:val="center"/>
            <w:hideMark/>
          </w:tcPr>
          <w:p w14:paraId="148F1DF9" w14:textId="77777777" w:rsidR="004550D1" w:rsidRPr="004550D1" w:rsidRDefault="004550D1" w:rsidP="003651E5">
            <w:pPr>
              <w:pStyle w:val="Tabletext1"/>
            </w:pPr>
            <w:r w:rsidRPr="004550D1">
              <w:t>Anaesthesiologist, delivered to inpatient</w:t>
            </w:r>
          </w:p>
        </w:tc>
        <w:tc>
          <w:tcPr>
            <w:tcW w:w="0" w:type="auto"/>
            <w:tcBorders>
              <w:top w:val="nil"/>
              <w:left w:val="nil"/>
              <w:bottom w:val="single" w:sz="4" w:space="0" w:color="auto"/>
              <w:right w:val="single" w:sz="4" w:space="0" w:color="auto"/>
            </w:tcBorders>
            <w:shd w:val="clear" w:color="auto" w:fill="auto"/>
            <w:vAlign w:val="center"/>
            <w:hideMark/>
          </w:tcPr>
          <w:p w14:paraId="517D8776" w14:textId="77777777" w:rsidR="004550D1" w:rsidRPr="004550D1" w:rsidRDefault="004550D1" w:rsidP="003651E5">
            <w:pPr>
              <w:pStyle w:val="Tabletext1"/>
            </w:pPr>
            <w:r w:rsidRPr="004550D1">
              <w:t>79.20</w:t>
            </w:r>
          </w:p>
        </w:tc>
        <w:tc>
          <w:tcPr>
            <w:tcW w:w="0" w:type="auto"/>
            <w:tcBorders>
              <w:top w:val="nil"/>
              <w:left w:val="nil"/>
              <w:bottom w:val="single" w:sz="4" w:space="0" w:color="auto"/>
              <w:right w:val="single" w:sz="4" w:space="0" w:color="auto"/>
            </w:tcBorders>
            <w:shd w:val="clear" w:color="auto" w:fill="auto"/>
            <w:vAlign w:val="center"/>
            <w:hideMark/>
          </w:tcPr>
          <w:p w14:paraId="57C2A7F0"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61B17582" w14:textId="77777777" w:rsidR="004550D1" w:rsidRPr="004550D1" w:rsidRDefault="004550D1" w:rsidP="003651E5">
            <w:pPr>
              <w:pStyle w:val="Tabletext1"/>
            </w:pPr>
            <w:r w:rsidRPr="004550D1">
              <w:t>MBS Item 23043</w:t>
            </w:r>
          </w:p>
        </w:tc>
      </w:tr>
      <w:tr w:rsidR="004550D1" w:rsidRPr="004550D1" w14:paraId="50336D68" w14:textId="77777777" w:rsidTr="004550D1">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0B1CE2" w14:textId="77777777" w:rsidR="004550D1" w:rsidRPr="004550D1" w:rsidRDefault="004550D1" w:rsidP="003651E5">
            <w:pPr>
              <w:pStyle w:val="Tabletext1"/>
            </w:pPr>
            <w:r w:rsidRPr="004550D1">
              <w:t>Anaesthesia modifier for patients over 70</w:t>
            </w:r>
          </w:p>
        </w:tc>
        <w:tc>
          <w:tcPr>
            <w:tcW w:w="0" w:type="auto"/>
            <w:tcBorders>
              <w:top w:val="nil"/>
              <w:left w:val="nil"/>
              <w:bottom w:val="single" w:sz="4" w:space="0" w:color="auto"/>
              <w:right w:val="single" w:sz="4" w:space="0" w:color="auto"/>
            </w:tcBorders>
            <w:shd w:val="clear" w:color="auto" w:fill="auto"/>
            <w:vAlign w:val="center"/>
            <w:hideMark/>
          </w:tcPr>
          <w:p w14:paraId="565FDE3F" w14:textId="77777777" w:rsidR="004550D1" w:rsidRPr="004550D1" w:rsidRDefault="004550D1" w:rsidP="003651E5">
            <w:pPr>
              <w:pStyle w:val="Tabletext1"/>
            </w:pPr>
            <w:r w:rsidRPr="004550D1">
              <w:t>Anaesthesiologist, delivered to inpatient</w:t>
            </w:r>
          </w:p>
        </w:tc>
        <w:tc>
          <w:tcPr>
            <w:tcW w:w="0" w:type="auto"/>
            <w:tcBorders>
              <w:top w:val="nil"/>
              <w:left w:val="nil"/>
              <w:bottom w:val="single" w:sz="4" w:space="0" w:color="auto"/>
              <w:right w:val="single" w:sz="4" w:space="0" w:color="auto"/>
            </w:tcBorders>
            <w:shd w:val="clear" w:color="auto" w:fill="auto"/>
            <w:vAlign w:val="center"/>
            <w:hideMark/>
          </w:tcPr>
          <w:p w14:paraId="36DDF00D" w14:textId="77777777" w:rsidR="004550D1" w:rsidRPr="004550D1" w:rsidRDefault="004550D1" w:rsidP="003651E5">
            <w:pPr>
              <w:pStyle w:val="Tabletext1"/>
            </w:pPr>
            <w:r w:rsidRPr="004550D1">
              <w:t>19.80</w:t>
            </w:r>
          </w:p>
        </w:tc>
        <w:tc>
          <w:tcPr>
            <w:tcW w:w="0" w:type="auto"/>
            <w:tcBorders>
              <w:top w:val="nil"/>
              <w:left w:val="nil"/>
              <w:bottom w:val="single" w:sz="4" w:space="0" w:color="auto"/>
              <w:right w:val="single" w:sz="4" w:space="0" w:color="auto"/>
            </w:tcBorders>
            <w:shd w:val="clear" w:color="auto" w:fill="auto"/>
            <w:vAlign w:val="center"/>
            <w:hideMark/>
          </w:tcPr>
          <w:p w14:paraId="7B4F0267"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211C27E6" w14:textId="77777777" w:rsidR="004550D1" w:rsidRPr="004550D1" w:rsidRDefault="004550D1" w:rsidP="003651E5">
            <w:pPr>
              <w:pStyle w:val="Tabletext1"/>
            </w:pPr>
            <w:r w:rsidRPr="004550D1">
              <w:t>MBS Item 25015</w:t>
            </w:r>
          </w:p>
        </w:tc>
      </w:tr>
      <w:tr w:rsidR="004550D1" w:rsidRPr="004550D1" w14:paraId="4A2F1F38" w14:textId="77777777" w:rsidTr="00684759">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F91A3A" w14:textId="77777777" w:rsidR="004550D1" w:rsidRPr="004550D1" w:rsidRDefault="004550D1" w:rsidP="003651E5">
            <w:pPr>
              <w:pStyle w:val="Tabletext1"/>
            </w:pPr>
            <w:r w:rsidRPr="004550D1">
              <w:t>Blood pressure monitoring</w:t>
            </w:r>
          </w:p>
        </w:tc>
        <w:tc>
          <w:tcPr>
            <w:tcW w:w="0" w:type="auto"/>
            <w:tcBorders>
              <w:top w:val="nil"/>
              <w:left w:val="nil"/>
              <w:bottom w:val="single" w:sz="4" w:space="0" w:color="auto"/>
              <w:right w:val="single" w:sz="4" w:space="0" w:color="auto"/>
            </w:tcBorders>
            <w:shd w:val="clear" w:color="auto" w:fill="auto"/>
            <w:vAlign w:val="center"/>
            <w:hideMark/>
          </w:tcPr>
          <w:p w14:paraId="72700F0A" w14:textId="77777777" w:rsidR="004550D1" w:rsidRPr="004550D1" w:rsidRDefault="004550D1" w:rsidP="003651E5">
            <w:pPr>
              <w:pStyle w:val="Tabletext1"/>
            </w:pPr>
            <w:r w:rsidRPr="004550D1">
              <w:t>Anaesthesiologist, delivered to inpatient</w:t>
            </w:r>
          </w:p>
        </w:tc>
        <w:tc>
          <w:tcPr>
            <w:tcW w:w="0" w:type="auto"/>
            <w:tcBorders>
              <w:top w:val="nil"/>
              <w:left w:val="nil"/>
              <w:bottom w:val="single" w:sz="4" w:space="0" w:color="auto"/>
              <w:right w:val="single" w:sz="4" w:space="0" w:color="auto"/>
            </w:tcBorders>
            <w:shd w:val="clear" w:color="auto" w:fill="auto"/>
            <w:vAlign w:val="center"/>
            <w:hideMark/>
          </w:tcPr>
          <w:p w14:paraId="4FFDE905" w14:textId="77777777" w:rsidR="004550D1" w:rsidRPr="004550D1" w:rsidRDefault="004550D1" w:rsidP="003651E5">
            <w:pPr>
              <w:pStyle w:val="Tabletext1"/>
            </w:pPr>
            <w:r w:rsidRPr="004550D1">
              <w:t>59.40</w:t>
            </w:r>
          </w:p>
        </w:tc>
        <w:tc>
          <w:tcPr>
            <w:tcW w:w="0" w:type="auto"/>
            <w:tcBorders>
              <w:top w:val="nil"/>
              <w:left w:val="nil"/>
              <w:bottom w:val="single" w:sz="4" w:space="0" w:color="auto"/>
              <w:right w:val="single" w:sz="4" w:space="0" w:color="auto"/>
            </w:tcBorders>
            <w:shd w:val="clear" w:color="auto" w:fill="auto"/>
            <w:vAlign w:val="center"/>
            <w:hideMark/>
          </w:tcPr>
          <w:p w14:paraId="5AE13E5B"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0E220539" w14:textId="77777777" w:rsidR="004550D1" w:rsidRPr="004550D1" w:rsidRDefault="004550D1" w:rsidP="003651E5">
            <w:pPr>
              <w:pStyle w:val="Tabletext1"/>
            </w:pPr>
            <w:r w:rsidRPr="004550D1">
              <w:t>MBS Item 22012</w:t>
            </w:r>
          </w:p>
        </w:tc>
      </w:tr>
      <w:tr w:rsidR="004550D1" w:rsidRPr="004550D1" w14:paraId="618554E3" w14:textId="77777777" w:rsidTr="00684759">
        <w:trPr>
          <w:trHeight w:val="270"/>
        </w:trPr>
        <w:tc>
          <w:tcPr>
            <w:tcW w:w="0" w:type="auto"/>
            <w:tcBorders>
              <w:top w:val="nil"/>
              <w:left w:val="single" w:sz="4" w:space="0" w:color="auto"/>
              <w:bottom w:val="single" w:sz="4" w:space="0" w:color="auto"/>
            </w:tcBorders>
            <w:shd w:val="clear" w:color="auto" w:fill="D9D9D9" w:themeFill="background1" w:themeFillShade="D9"/>
            <w:vAlign w:val="center"/>
            <w:hideMark/>
          </w:tcPr>
          <w:p w14:paraId="0CCD7413" w14:textId="77777777" w:rsidR="004550D1" w:rsidRPr="00684759" w:rsidRDefault="004550D1" w:rsidP="003651E5">
            <w:pPr>
              <w:pStyle w:val="Tabletext1"/>
              <w:rPr>
                <w:b/>
              </w:rPr>
            </w:pPr>
            <w:r w:rsidRPr="00684759">
              <w:rPr>
                <w:b/>
              </w:rPr>
              <w:t>Medical services – post intervention follow-up</w:t>
            </w:r>
          </w:p>
        </w:tc>
        <w:tc>
          <w:tcPr>
            <w:tcW w:w="0" w:type="auto"/>
            <w:tcBorders>
              <w:top w:val="single" w:sz="4" w:space="0" w:color="auto"/>
              <w:bottom w:val="single" w:sz="4" w:space="0" w:color="auto"/>
            </w:tcBorders>
            <w:shd w:val="clear" w:color="auto" w:fill="D9D9D9" w:themeFill="background1" w:themeFillShade="D9"/>
            <w:vAlign w:val="center"/>
            <w:hideMark/>
          </w:tcPr>
          <w:p w14:paraId="40EAB061" w14:textId="77777777" w:rsidR="004550D1" w:rsidRPr="004550D1" w:rsidRDefault="004550D1" w:rsidP="003651E5">
            <w:pPr>
              <w:pStyle w:val="Tabletext1"/>
            </w:pPr>
            <w:r w:rsidRPr="004550D1">
              <w:t> </w:t>
            </w:r>
          </w:p>
        </w:tc>
        <w:tc>
          <w:tcPr>
            <w:tcW w:w="0" w:type="auto"/>
            <w:tcBorders>
              <w:top w:val="single" w:sz="4" w:space="0" w:color="auto"/>
              <w:bottom w:val="single" w:sz="4" w:space="0" w:color="auto"/>
            </w:tcBorders>
            <w:shd w:val="clear" w:color="auto" w:fill="D9D9D9" w:themeFill="background1" w:themeFillShade="D9"/>
            <w:vAlign w:val="center"/>
            <w:hideMark/>
          </w:tcPr>
          <w:p w14:paraId="067D4AEA" w14:textId="77777777" w:rsidR="004550D1" w:rsidRPr="004550D1" w:rsidRDefault="004550D1" w:rsidP="003651E5">
            <w:pPr>
              <w:pStyle w:val="Tabletext1"/>
            </w:pPr>
            <w:r w:rsidRPr="004550D1">
              <w:t> </w:t>
            </w:r>
          </w:p>
        </w:tc>
        <w:tc>
          <w:tcPr>
            <w:tcW w:w="0" w:type="auto"/>
            <w:tcBorders>
              <w:top w:val="single" w:sz="4" w:space="0" w:color="auto"/>
              <w:bottom w:val="single" w:sz="4" w:space="0" w:color="auto"/>
            </w:tcBorders>
            <w:shd w:val="clear" w:color="auto" w:fill="D9D9D9" w:themeFill="background1" w:themeFillShade="D9"/>
            <w:vAlign w:val="center"/>
            <w:hideMark/>
          </w:tcPr>
          <w:p w14:paraId="0FAFA60A" w14:textId="77777777" w:rsidR="004550D1" w:rsidRPr="004550D1" w:rsidRDefault="004550D1" w:rsidP="003651E5">
            <w:pPr>
              <w:pStyle w:val="Tabletext1"/>
            </w:pPr>
            <w:r w:rsidRPr="004550D1">
              <w:t> </w:t>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hideMark/>
          </w:tcPr>
          <w:p w14:paraId="6081757E" w14:textId="77777777" w:rsidR="004550D1" w:rsidRPr="004550D1" w:rsidRDefault="004550D1" w:rsidP="003651E5">
            <w:pPr>
              <w:pStyle w:val="Tabletext1"/>
            </w:pPr>
            <w:r w:rsidRPr="004550D1">
              <w:t> </w:t>
            </w:r>
          </w:p>
        </w:tc>
      </w:tr>
      <w:tr w:rsidR="004550D1" w:rsidRPr="004550D1" w14:paraId="52E9B59F" w14:textId="77777777" w:rsidTr="004550D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67ACE" w14:textId="77777777" w:rsidR="004550D1" w:rsidRPr="004550D1" w:rsidRDefault="004550D1" w:rsidP="003651E5">
            <w:pPr>
              <w:pStyle w:val="Tabletext1"/>
            </w:pPr>
            <w:r w:rsidRPr="004550D1">
              <w:t>Medical oncologist consultation</w:t>
            </w:r>
          </w:p>
        </w:tc>
        <w:tc>
          <w:tcPr>
            <w:tcW w:w="0" w:type="auto"/>
            <w:tcBorders>
              <w:top w:val="nil"/>
              <w:left w:val="nil"/>
              <w:bottom w:val="single" w:sz="4" w:space="0" w:color="auto"/>
              <w:right w:val="single" w:sz="4" w:space="0" w:color="auto"/>
            </w:tcBorders>
            <w:shd w:val="clear" w:color="auto" w:fill="auto"/>
            <w:vAlign w:val="center"/>
            <w:hideMark/>
          </w:tcPr>
          <w:p w14:paraId="207211B8" w14:textId="77777777" w:rsidR="004550D1" w:rsidRPr="004550D1" w:rsidRDefault="004550D1" w:rsidP="003651E5">
            <w:pPr>
              <w:pStyle w:val="Tabletext1"/>
            </w:pPr>
            <w:r w:rsidRPr="004550D1">
              <w:t>Outpatient</w:t>
            </w:r>
          </w:p>
        </w:tc>
        <w:tc>
          <w:tcPr>
            <w:tcW w:w="0" w:type="auto"/>
            <w:tcBorders>
              <w:top w:val="nil"/>
              <w:left w:val="nil"/>
              <w:bottom w:val="single" w:sz="4" w:space="0" w:color="auto"/>
              <w:right w:val="single" w:sz="4" w:space="0" w:color="auto"/>
            </w:tcBorders>
            <w:shd w:val="clear" w:color="auto" w:fill="auto"/>
            <w:vAlign w:val="center"/>
            <w:hideMark/>
          </w:tcPr>
          <w:p w14:paraId="531E945D" w14:textId="77777777" w:rsidR="004550D1" w:rsidRPr="004550D1" w:rsidRDefault="004550D1" w:rsidP="003651E5">
            <w:pPr>
              <w:pStyle w:val="Tabletext1"/>
            </w:pPr>
            <w:r w:rsidRPr="004550D1">
              <w:t>75.50</w:t>
            </w:r>
          </w:p>
        </w:tc>
        <w:tc>
          <w:tcPr>
            <w:tcW w:w="0" w:type="auto"/>
            <w:tcBorders>
              <w:top w:val="nil"/>
              <w:left w:val="nil"/>
              <w:bottom w:val="single" w:sz="4" w:space="0" w:color="auto"/>
              <w:right w:val="single" w:sz="4" w:space="0" w:color="auto"/>
            </w:tcBorders>
            <w:shd w:val="clear" w:color="auto" w:fill="auto"/>
            <w:vAlign w:val="center"/>
            <w:hideMark/>
          </w:tcPr>
          <w:p w14:paraId="572E896D"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2F5B0C0A" w14:textId="77777777" w:rsidR="004550D1" w:rsidRPr="004550D1" w:rsidRDefault="004550D1" w:rsidP="003651E5">
            <w:pPr>
              <w:pStyle w:val="Tabletext1"/>
            </w:pPr>
            <w:r w:rsidRPr="004550D1">
              <w:t>MBS Item 116</w:t>
            </w:r>
          </w:p>
        </w:tc>
      </w:tr>
      <w:tr w:rsidR="004550D1" w:rsidRPr="004550D1" w14:paraId="556AE193" w14:textId="77777777" w:rsidTr="00684759">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E9745E" w14:textId="77777777" w:rsidR="004550D1" w:rsidRPr="004550D1" w:rsidRDefault="004550D1" w:rsidP="003651E5">
            <w:pPr>
              <w:pStyle w:val="Tabletext1"/>
            </w:pPr>
            <w:r w:rsidRPr="004550D1">
              <w:t>COMPUTED TOMOGRAPHY - scan of chest, including lungs, mediastinum, chest wall and pleura, with or without scans of the upper abdomen, with intravenous contrast medium</w:t>
            </w:r>
          </w:p>
        </w:tc>
        <w:tc>
          <w:tcPr>
            <w:tcW w:w="0" w:type="auto"/>
            <w:tcBorders>
              <w:top w:val="nil"/>
              <w:left w:val="nil"/>
              <w:bottom w:val="single" w:sz="4" w:space="0" w:color="auto"/>
              <w:right w:val="single" w:sz="4" w:space="0" w:color="auto"/>
            </w:tcBorders>
            <w:shd w:val="clear" w:color="auto" w:fill="auto"/>
            <w:vAlign w:val="center"/>
            <w:hideMark/>
          </w:tcPr>
          <w:p w14:paraId="192231A9" w14:textId="77777777" w:rsidR="004550D1" w:rsidRPr="004550D1" w:rsidRDefault="004550D1" w:rsidP="003651E5">
            <w:pPr>
              <w:pStyle w:val="Tabletext1"/>
            </w:pPr>
            <w:r w:rsidRPr="004550D1">
              <w:t>Radiologist, as outpatient</w:t>
            </w:r>
          </w:p>
        </w:tc>
        <w:tc>
          <w:tcPr>
            <w:tcW w:w="0" w:type="auto"/>
            <w:tcBorders>
              <w:top w:val="nil"/>
              <w:left w:val="nil"/>
              <w:bottom w:val="single" w:sz="4" w:space="0" w:color="auto"/>
              <w:right w:val="single" w:sz="4" w:space="0" w:color="auto"/>
            </w:tcBorders>
            <w:shd w:val="clear" w:color="auto" w:fill="auto"/>
            <w:vAlign w:val="center"/>
            <w:hideMark/>
          </w:tcPr>
          <w:p w14:paraId="4FD7EF71" w14:textId="77777777" w:rsidR="004550D1" w:rsidRPr="004550D1" w:rsidRDefault="004550D1" w:rsidP="003651E5">
            <w:pPr>
              <w:pStyle w:val="Tabletext1"/>
            </w:pPr>
            <w:r w:rsidRPr="004550D1">
              <w:t>202.00</w:t>
            </w:r>
          </w:p>
        </w:tc>
        <w:tc>
          <w:tcPr>
            <w:tcW w:w="0" w:type="auto"/>
            <w:tcBorders>
              <w:top w:val="nil"/>
              <w:left w:val="nil"/>
              <w:bottom w:val="single" w:sz="4" w:space="0" w:color="auto"/>
              <w:right w:val="single" w:sz="4" w:space="0" w:color="auto"/>
            </w:tcBorders>
            <w:shd w:val="clear" w:color="auto" w:fill="auto"/>
            <w:vAlign w:val="center"/>
            <w:hideMark/>
          </w:tcPr>
          <w:p w14:paraId="2A09B418"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514EC1BA" w14:textId="77777777" w:rsidR="004550D1" w:rsidRPr="004550D1" w:rsidRDefault="004550D1" w:rsidP="003651E5">
            <w:pPr>
              <w:pStyle w:val="Tabletext1"/>
            </w:pPr>
            <w:r w:rsidRPr="004550D1">
              <w:t>MBS Item 56347</w:t>
            </w:r>
          </w:p>
        </w:tc>
      </w:tr>
      <w:tr w:rsidR="004550D1" w:rsidRPr="004550D1" w14:paraId="282DF46A" w14:textId="77777777" w:rsidTr="00684759">
        <w:trPr>
          <w:trHeight w:val="255"/>
        </w:trPr>
        <w:tc>
          <w:tcPr>
            <w:tcW w:w="0" w:type="auto"/>
            <w:tcBorders>
              <w:top w:val="nil"/>
              <w:left w:val="single" w:sz="4" w:space="0" w:color="auto"/>
              <w:bottom w:val="single" w:sz="4" w:space="0" w:color="auto"/>
            </w:tcBorders>
            <w:shd w:val="clear" w:color="auto" w:fill="D9D9D9" w:themeFill="background1" w:themeFillShade="D9"/>
            <w:vAlign w:val="center"/>
            <w:hideMark/>
          </w:tcPr>
          <w:p w14:paraId="005C988D" w14:textId="77777777" w:rsidR="004550D1" w:rsidRPr="00684759" w:rsidRDefault="004550D1" w:rsidP="003651E5">
            <w:pPr>
              <w:pStyle w:val="Tabletext1"/>
              <w:rPr>
                <w:b/>
              </w:rPr>
            </w:pPr>
            <w:r w:rsidRPr="00684759">
              <w:rPr>
                <w:b/>
              </w:rPr>
              <w:t>Hospital services</w:t>
            </w:r>
          </w:p>
        </w:tc>
        <w:tc>
          <w:tcPr>
            <w:tcW w:w="0" w:type="auto"/>
            <w:tcBorders>
              <w:top w:val="single" w:sz="4" w:space="0" w:color="auto"/>
              <w:bottom w:val="single" w:sz="4" w:space="0" w:color="auto"/>
            </w:tcBorders>
            <w:shd w:val="clear" w:color="auto" w:fill="D9D9D9" w:themeFill="background1" w:themeFillShade="D9"/>
            <w:vAlign w:val="center"/>
            <w:hideMark/>
          </w:tcPr>
          <w:p w14:paraId="7B550C05" w14:textId="77777777" w:rsidR="004550D1" w:rsidRPr="004550D1" w:rsidRDefault="004550D1" w:rsidP="003651E5">
            <w:pPr>
              <w:pStyle w:val="Tabletext1"/>
            </w:pPr>
            <w:r w:rsidRPr="004550D1">
              <w:t> </w:t>
            </w:r>
          </w:p>
        </w:tc>
        <w:tc>
          <w:tcPr>
            <w:tcW w:w="0" w:type="auto"/>
            <w:tcBorders>
              <w:top w:val="single" w:sz="4" w:space="0" w:color="auto"/>
              <w:bottom w:val="single" w:sz="4" w:space="0" w:color="auto"/>
            </w:tcBorders>
            <w:shd w:val="clear" w:color="auto" w:fill="D9D9D9" w:themeFill="background1" w:themeFillShade="D9"/>
            <w:vAlign w:val="center"/>
            <w:hideMark/>
          </w:tcPr>
          <w:p w14:paraId="08BB21DE" w14:textId="77777777" w:rsidR="004550D1" w:rsidRPr="004550D1" w:rsidRDefault="004550D1" w:rsidP="003651E5">
            <w:pPr>
              <w:pStyle w:val="Tabletext1"/>
            </w:pPr>
            <w:r w:rsidRPr="004550D1">
              <w:t> </w:t>
            </w:r>
          </w:p>
        </w:tc>
        <w:tc>
          <w:tcPr>
            <w:tcW w:w="0" w:type="auto"/>
            <w:tcBorders>
              <w:top w:val="single" w:sz="4" w:space="0" w:color="auto"/>
              <w:bottom w:val="single" w:sz="4" w:space="0" w:color="auto"/>
            </w:tcBorders>
            <w:shd w:val="clear" w:color="auto" w:fill="D9D9D9" w:themeFill="background1" w:themeFillShade="D9"/>
            <w:vAlign w:val="center"/>
            <w:hideMark/>
          </w:tcPr>
          <w:p w14:paraId="0E0F01DE" w14:textId="77777777" w:rsidR="004550D1" w:rsidRPr="004550D1" w:rsidRDefault="004550D1" w:rsidP="003651E5">
            <w:pPr>
              <w:pStyle w:val="Tabletext1"/>
            </w:pPr>
            <w:r w:rsidRPr="004550D1">
              <w:t> </w:t>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hideMark/>
          </w:tcPr>
          <w:p w14:paraId="70C7484F" w14:textId="77777777" w:rsidR="004550D1" w:rsidRPr="004550D1" w:rsidRDefault="004550D1" w:rsidP="003651E5">
            <w:pPr>
              <w:pStyle w:val="Tabletext1"/>
            </w:pPr>
            <w:r w:rsidRPr="004550D1">
              <w:t> </w:t>
            </w:r>
          </w:p>
        </w:tc>
      </w:tr>
      <w:tr w:rsidR="004550D1" w:rsidRPr="004550D1" w14:paraId="727CCA15" w14:textId="77777777" w:rsidTr="004550D1">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0647C6" w14:textId="77777777" w:rsidR="004550D1" w:rsidRPr="004550D1" w:rsidRDefault="004550D1" w:rsidP="003651E5">
            <w:pPr>
              <w:pStyle w:val="Tabletext1"/>
            </w:pPr>
            <w:r w:rsidRPr="004550D1">
              <w:t>Nurse assistant – Year 2, $847.00 per week (July 2016). Hourly rate of $22.30 based on ordinary hours of work for each full time employee being 228 hours balanced over a six-week period. Cost: $22.3 based on average 1-hour input</w:t>
            </w:r>
          </w:p>
        </w:tc>
        <w:tc>
          <w:tcPr>
            <w:tcW w:w="0" w:type="auto"/>
            <w:tcBorders>
              <w:top w:val="nil"/>
              <w:left w:val="nil"/>
              <w:bottom w:val="single" w:sz="4" w:space="0" w:color="auto"/>
              <w:right w:val="single" w:sz="4" w:space="0" w:color="auto"/>
            </w:tcBorders>
            <w:shd w:val="clear" w:color="auto" w:fill="auto"/>
            <w:vAlign w:val="center"/>
            <w:hideMark/>
          </w:tcPr>
          <w:p w14:paraId="39FC326C" w14:textId="77777777" w:rsidR="004550D1" w:rsidRPr="004550D1" w:rsidRDefault="004550D1" w:rsidP="003651E5">
            <w:pPr>
              <w:pStyle w:val="Tabletext1"/>
            </w:pPr>
            <w:r w:rsidRPr="004550D1">
              <w:t>Assist with theatre, analgesia</w:t>
            </w:r>
          </w:p>
        </w:tc>
        <w:tc>
          <w:tcPr>
            <w:tcW w:w="0" w:type="auto"/>
            <w:tcBorders>
              <w:top w:val="nil"/>
              <w:left w:val="nil"/>
              <w:bottom w:val="single" w:sz="4" w:space="0" w:color="auto"/>
              <w:right w:val="single" w:sz="4" w:space="0" w:color="auto"/>
            </w:tcBorders>
            <w:shd w:val="clear" w:color="auto" w:fill="auto"/>
            <w:vAlign w:val="center"/>
            <w:hideMark/>
          </w:tcPr>
          <w:p w14:paraId="1B273B9E" w14:textId="77777777" w:rsidR="004550D1" w:rsidRPr="004550D1" w:rsidRDefault="004550D1" w:rsidP="003651E5">
            <w:pPr>
              <w:pStyle w:val="Tabletext1"/>
            </w:pPr>
            <w:r w:rsidRPr="004550D1">
              <w:t>22.30</w:t>
            </w:r>
          </w:p>
        </w:tc>
        <w:tc>
          <w:tcPr>
            <w:tcW w:w="0" w:type="auto"/>
            <w:tcBorders>
              <w:top w:val="nil"/>
              <w:left w:val="nil"/>
              <w:bottom w:val="single" w:sz="4" w:space="0" w:color="auto"/>
              <w:right w:val="single" w:sz="4" w:space="0" w:color="auto"/>
            </w:tcBorders>
            <w:shd w:val="clear" w:color="auto" w:fill="auto"/>
            <w:vAlign w:val="center"/>
            <w:hideMark/>
          </w:tcPr>
          <w:p w14:paraId="4B26E2D5"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2DD8D554" w14:textId="77777777" w:rsidR="004550D1" w:rsidRPr="004550D1" w:rsidRDefault="004550D1" w:rsidP="003651E5">
            <w:pPr>
              <w:pStyle w:val="Tabletext1"/>
            </w:pPr>
            <w:r w:rsidRPr="004550D1">
              <w:t>NSW Public Health System Awards and Determinations, July 2016</w:t>
            </w:r>
          </w:p>
        </w:tc>
      </w:tr>
      <w:tr w:rsidR="004550D1" w:rsidRPr="004550D1" w14:paraId="70287284" w14:textId="77777777" w:rsidTr="00601A76">
        <w:trPr>
          <w:trHeight w:val="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18E47" w14:textId="77777777" w:rsidR="004550D1" w:rsidRPr="004550D1" w:rsidRDefault="004550D1" w:rsidP="003651E5">
            <w:pPr>
              <w:pStyle w:val="Tabletext1"/>
            </w:pPr>
            <w:r w:rsidRPr="004550D1">
              <w:t>Registered nurse (RN) – Year 5, $1,399.30 per week $36.80 based on ordinary hours of work for each full time employee being 228 hours balanced over a six-week period. Cost: $36.8 based on average 1-hour input</w:t>
            </w:r>
          </w:p>
        </w:tc>
        <w:tc>
          <w:tcPr>
            <w:tcW w:w="0" w:type="auto"/>
            <w:tcBorders>
              <w:top w:val="nil"/>
              <w:left w:val="nil"/>
              <w:bottom w:val="single" w:sz="4" w:space="0" w:color="auto"/>
              <w:right w:val="single" w:sz="4" w:space="0" w:color="auto"/>
            </w:tcBorders>
            <w:shd w:val="clear" w:color="auto" w:fill="auto"/>
            <w:vAlign w:val="center"/>
            <w:hideMark/>
          </w:tcPr>
          <w:p w14:paraId="119BFD02" w14:textId="77777777" w:rsidR="004550D1" w:rsidRPr="004550D1" w:rsidRDefault="004550D1" w:rsidP="003651E5">
            <w:pPr>
              <w:pStyle w:val="Tabletext1"/>
            </w:pPr>
            <w:r w:rsidRPr="004550D1">
              <w:t>Assist with theatre, analgesia</w:t>
            </w:r>
          </w:p>
        </w:tc>
        <w:tc>
          <w:tcPr>
            <w:tcW w:w="0" w:type="auto"/>
            <w:tcBorders>
              <w:top w:val="nil"/>
              <w:left w:val="nil"/>
              <w:bottom w:val="single" w:sz="4" w:space="0" w:color="auto"/>
              <w:right w:val="single" w:sz="4" w:space="0" w:color="auto"/>
            </w:tcBorders>
            <w:shd w:val="clear" w:color="auto" w:fill="auto"/>
            <w:vAlign w:val="center"/>
            <w:hideMark/>
          </w:tcPr>
          <w:p w14:paraId="2845E695" w14:textId="77777777" w:rsidR="004550D1" w:rsidRPr="004550D1" w:rsidRDefault="004550D1" w:rsidP="003651E5">
            <w:pPr>
              <w:pStyle w:val="Tabletext1"/>
            </w:pPr>
            <w:r w:rsidRPr="004550D1">
              <w:t>36.80</w:t>
            </w:r>
          </w:p>
        </w:tc>
        <w:tc>
          <w:tcPr>
            <w:tcW w:w="0" w:type="auto"/>
            <w:tcBorders>
              <w:top w:val="nil"/>
              <w:left w:val="nil"/>
              <w:bottom w:val="single" w:sz="4" w:space="0" w:color="auto"/>
              <w:right w:val="single" w:sz="4" w:space="0" w:color="auto"/>
            </w:tcBorders>
            <w:shd w:val="clear" w:color="auto" w:fill="auto"/>
            <w:vAlign w:val="center"/>
            <w:hideMark/>
          </w:tcPr>
          <w:p w14:paraId="1CABA617"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000F9088" w14:textId="77777777" w:rsidR="004550D1" w:rsidRPr="004550D1" w:rsidRDefault="004550D1" w:rsidP="003651E5">
            <w:pPr>
              <w:pStyle w:val="Tabletext1"/>
            </w:pPr>
            <w:r w:rsidRPr="004550D1">
              <w:t>NSW Public Health System Awards and Determinations, July 2016</w:t>
            </w:r>
          </w:p>
        </w:tc>
      </w:tr>
      <w:tr w:rsidR="004550D1" w:rsidRPr="004550D1" w14:paraId="3781EA53" w14:textId="77777777" w:rsidTr="000579F3">
        <w:trPr>
          <w:trHeight w:val="12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BE2C3C" w14:textId="77777777" w:rsidR="004550D1" w:rsidRPr="004550D1" w:rsidRDefault="004550D1" w:rsidP="003651E5">
            <w:pPr>
              <w:pStyle w:val="Tabletext1"/>
            </w:pPr>
            <w:r w:rsidRPr="004550D1">
              <w:t>Major Chest Procedures W/O Catastrophic CC, AR-DRG E01B net other medical costs</w:t>
            </w:r>
          </w:p>
        </w:tc>
        <w:tc>
          <w:tcPr>
            <w:tcW w:w="0" w:type="auto"/>
            <w:tcBorders>
              <w:top w:val="nil"/>
              <w:left w:val="nil"/>
              <w:bottom w:val="single" w:sz="4" w:space="0" w:color="auto"/>
              <w:right w:val="single" w:sz="4" w:space="0" w:color="auto"/>
            </w:tcBorders>
            <w:shd w:val="clear" w:color="auto" w:fill="auto"/>
            <w:vAlign w:val="center"/>
            <w:hideMark/>
          </w:tcPr>
          <w:p w14:paraId="4CB3F235" w14:textId="77777777" w:rsidR="004550D1" w:rsidRPr="004550D1" w:rsidRDefault="004550D1" w:rsidP="003651E5">
            <w:pPr>
              <w:pStyle w:val="Tabletext1"/>
            </w:pPr>
            <w:r w:rsidRPr="004550D1">
              <w:t>Hospital</w:t>
            </w:r>
          </w:p>
        </w:tc>
        <w:tc>
          <w:tcPr>
            <w:tcW w:w="0" w:type="auto"/>
            <w:tcBorders>
              <w:top w:val="nil"/>
              <w:left w:val="nil"/>
              <w:bottom w:val="single" w:sz="4" w:space="0" w:color="auto"/>
              <w:right w:val="single" w:sz="4" w:space="0" w:color="auto"/>
            </w:tcBorders>
            <w:shd w:val="clear" w:color="auto" w:fill="auto"/>
            <w:vAlign w:val="center"/>
            <w:hideMark/>
          </w:tcPr>
          <w:p w14:paraId="2E5FB120" w14:textId="77777777" w:rsidR="004550D1" w:rsidRPr="004550D1" w:rsidRDefault="004550D1" w:rsidP="003651E5">
            <w:pPr>
              <w:pStyle w:val="Tabletext1"/>
            </w:pPr>
            <w:r w:rsidRPr="004550D1">
              <w:t>14,763.57</w:t>
            </w:r>
          </w:p>
        </w:tc>
        <w:tc>
          <w:tcPr>
            <w:tcW w:w="0" w:type="auto"/>
            <w:tcBorders>
              <w:top w:val="nil"/>
              <w:left w:val="nil"/>
              <w:bottom w:val="single" w:sz="4" w:space="0" w:color="auto"/>
              <w:right w:val="single" w:sz="4" w:space="0" w:color="auto"/>
            </w:tcBorders>
            <w:shd w:val="clear" w:color="auto" w:fill="auto"/>
            <w:vAlign w:val="center"/>
            <w:hideMark/>
          </w:tcPr>
          <w:p w14:paraId="281AD23F" w14:textId="77777777" w:rsidR="004550D1" w:rsidRPr="004550D1" w:rsidRDefault="004550D1" w:rsidP="003651E5">
            <w:pPr>
              <w:pStyle w:val="Tabletext1"/>
            </w:pPr>
            <w:r w:rsidRPr="004550D1">
              <w:t>1</w:t>
            </w:r>
          </w:p>
        </w:tc>
        <w:tc>
          <w:tcPr>
            <w:tcW w:w="0" w:type="auto"/>
            <w:tcBorders>
              <w:top w:val="nil"/>
              <w:left w:val="nil"/>
              <w:bottom w:val="single" w:sz="4" w:space="0" w:color="auto"/>
              <w:right w:val="single" w:sz="4" w:space="0" w:color="auto"/>
            </w:tcBorders>
            <w:shd w:val="clear" w:color="auto" w:fill="auto"/>
            <w:vAlign w:val="center"/>
            <w:hideMark/>
          </w:tcPr>
          <w:p w14:paraId="28008884" w14:textId="3F4661EC" w:rsidR="004550D1" w:rsidRPr="004550D1" w:rsidRDefault="004550D1" w:rsidP="003651E5">
            <w:pPr>
              <w:pStyle w:val="Tabletext1"/>
            </w:pPr>
            <w:r w:rsidRPr="004550D1">
              <w:t>AR-DRG, round 18 (2013</w:t>
            </w:r>
            <w:r w:rsidR="00D35E9C">
              <w:t>–</w:t>
            </w:r>
            <w:r w:rsidRPr="004550D1">
              <w:t xml:space="preserve">14) inflated to 2016 using ABS CPI. Net of other costed elements. </w:t>
            </w:r>
          </w:p>
        </w:tc>
      </w:tr>
      <w:tr w:rsidR="004550D1" w:rsidRPr="004550D1" w14:paraId="2BE6AC33" w14:textId="77777777" w:rsidTr="000579F3">
        <w:trPr>
          <w:trHeight w:val="255"/>
        </w:trPr>
        <w:tc>
          <w:tcPr>
            <w:tcW w:w="0" w:type="auto"/>
            <w:tcBorders>
              <w:top w:val="nil"/>
              <w:left w:val="single" w:sz="4" w:space="0" w:color="auto"/>
              <w:bottom w:val="single" w:sz="4" w:space="0" w:color="auto"/>
            </w:tcBorders>
            <w:shd w:val="clear" w:color="auto" w:fill="D9D9D9" w:themeFill="background1" w:themeFillShade="D9"/>
            <w:vAlign w:val="center"/>
            <w:hideMark/>
          </w:tcPr>
          <w:p w14:paraId="0E0738BD" w14:textId="77777777" w:rsidR="004550D1" w:rsidRPr="000579F3" w:rsidRDefault="004550D1" w:rsidP="003651E5">
            <w:pPr>
              <w:pStyle w:val="Tabletext1"/>
              <w:rPr>
                <w:b/>
              </w:rPr>
            </w:pPr>
            <w:r w:rsidRPr="000579F3">
              <w:rPr>
                <w:b/>
              </w:rPr>
              <w:t>Total</w:t>
            </w:r>
          </w:p>
        </w:tc>
        <w:tc>
          <w:tcPr>
            <w:tcW w:w="0" w:type="auto"/>
            <w:tcBorders>
              <w:top w:val="single" w:sz="4" w:space="0" w:color="auto"/>
              <w:bottom w:val="single" w:sz="4" w:space="0" w:color="auto"/>
            </w:tcBorders>
            <w:shd w:val="clear" w:color="auto" w:fill="D9D9D9" w:themeFill="background1" w:themeFillShade="D9"/>
            <w:vAlign w:val="center"/>
            <w:hideMark/>
          </w:tcPr>
          <w:p w14:paraId="4618622F" w14:textId="77777777" w:rsidR="004550D1" w:rsidRPr="000579F3" w:rsidRDefault="004550D1" w:rsidP="003651E5">
            <w:pPr>
              <w:pStyle w:val="Tabletext1"/>
              <w:rPr>
                <w:b/>
              </w:rPr>
            </w:pPr>
            <w:r w:rsidRPr="000579F3">
              <w:rPr>
                <w:b/>
              </w:rPr>
              <w:t> </w:t>
            </w:r>
          </w:p>
        </w:tc>
        <w:tc>
          <w:tcPr>
            <w:tcW w:w="0" w:type="auto"/>
            <w:tcBorders>
              <w:top w:val="single" w:sz="4" w:space="0" w:color="auto"/>
              <w:bottom w:val="single" w:sz="4" w:space="0" w:color="auto"/>
            </w:tcBorders>
            <w:shd w:val="clear" w:color="auto" w:fill="D9D9D9" w:themeFill="background1" w:themeFillShade="D9"/>
            <w:vAlign w:val="center"/>
            <w:hideMark/>
          </w:tcPr>
          <w:p w14:paraId="307B6F68" w14:textId="77777777" w:rsidR="004550D1" w:rsidRPr="000579F3" w:rsidRDefault="004550D1" w:rsidP="003651E5">
            <w:pPr>
              <w:pStyle w:val="Tabletext1"/>
              <w:rPr>
                <w:b/>
              </w:rPr>
            </w:pPr>
            <w:r w:rsidRPr="000579F3">
              <w:rPr>
                <w:b/>
              </w:rPr>
              <w:t> </w:t>
            </w:r>
          </w:p>
        </w:tc>
        <w:tc>
          <w:tcPr>
            <w:tcW w:w="0" w:type="auto"/>
            <w:tcBorders>
              <w:top w:val="single" w:sz="4" w:space="0" w:color="auto"/>
              <w:bottom w:val="single" w:sz="4" w:space="0" w:color="auto"/>
            </w:tcBorders>
            <w:shd w:val="clear" w:color="auto" w:fill="D9D9D9" w:themeFill="background1" w:themeFillShade="D9"/>
            <w:vAlign w:val="center"/>
            <w:hideMark/>
          </w:tcPr>
          <w:p w14:paraId="0A6DA374" w14:textId="77777777" w:rsidR="004550D1" w:rsidRPr="000579F3" w:rsidRDefault="004550D1" w:rsidP="003651E5">
            <w:pPr>
              <w:pStyle w:val="Tabletext1"/>
              <w:rPr>
                <w:b/>
              </w:rPr>
            </w:pPr>
            <w:r w:rsidRPr="000579F3">
              <w:rPr>
                <w:b/>
              </w:rPr>
              <w:t> </w:t>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hideMark/>
          </w:tcPr>
          <w:p w14:paraId="2B24553C" w14:textId="77777777" w:rsidR="004550D1" w:rsidRPr="000579F3" w:rsidRDefault="004550D1" w:rsidP="003651E5">
            <w:pPr>
              <w:pStyle w:val="Tabletext1"/>
              <w:rPr>
                <w:b/>
              </w:rPr>
            </w:pPr>
            <w:r w:rsidRPr="000579F3">
              <w:rPr>
                <w:b/>
              </w:rPr>
              <w:t>19,472.05</w:t>
            </w:r>
          </w:p>
        </w:tc>
      </w:tr>
    </w:tbl>
    <w:p w14:paraId="68D0A5F3" w14:textId="67142611" w:rsidR="001E4A40" w:rsidRDefault="001E4A40" w:rsidP="001E4A40">
      <w:pPr>
        <w:pStyle w:val="Tablenotes0"/>
      </w:pPr>
      <w:r>
        <w:t xml:space="preserve">&lt;ABS CPI = Australian bureau of statistics consumer price index; FDG-PET = </w:t>
      </w:r>
      <w:r w:rsidRPr="001E4A40">
        <w:t>Fludeoxyglucose</w:t>
      </w:r>
      <w:r>
        <w:t xml:space="preserve"> positron emission tomography; MBS = Medicare benefits schedule; NSW = New South Wales&gt;</w:t>
      </w:r>
    </w:p>
    <w:p w14:paraId="13403202" w14:textId="46044745" w:rsidR="00AB12D2" w:rsidRPr="00BE1C34" w:rsidRDefault="00C46896" w:rsidP="006750DB">
      <w:pPr>
        <w:spacing w:before="500"/>
        <w:rPr>
          <w:b/>
          <w:i/>
        </w:rPr>
      </w:pPr>
      <w:r>
        <w:rPr>
          <w:b/>
          <w:i/>
        </w:rPr>
        <w:lastRenderedPageBreak/>
        <w:t>Overall C</w:t>
      </w:r>
      <w:r w:rsidR="00AB12D2" w:rsidRPr="00BE1C34">
        <w:rPr>
          <w:b/>
          <w:i/>
        </w:rPr>
        <w:t>ost</w:t>
      </w:r>
    </w:p>
    <w:p w14:paraId="20CB2D20" w14:textId="5C3589EA" w:rsidR="004550D1" w:rsidRPr="004550D1" w:rsidRDefault="004550D1" w:rsidP="004550D1">
      <w:bookmarkStart w:id="402" w:name="_Toc381796480"/>
      <w:r w:rsidRPr="004550D1">
        <w:t xml:space="preserve">Pre-intervention and follow-up costs are assumed to be the same as MTA; </w:t>
      </w:r>
      <w:r w:rsidR="00C104EB">
        <w:t>costing</w:t>
      </w:r>
      <w:r w:rsidRPr="004550D1">
        <w:t xml:space="preserve"> $1,596.95 and $277.50 respectively. The costs of screening, the intervention and follow-up are outlined in </w:t>
      </w:r>
      <w:r w:rsidR="003F7EAD">
        <w:fldChar w:fldCharType="begin"/>
      </w:r>
      <w:r w:rsidR="003F7EAD">
        <w:instrText xml:space="preserve"> REF _Ref460571346 \h </w:instrText>
      </w:r>
      <w:r w:rsidR="003F7EAD">
        <w:fldChar w:fldCharType="separate"/>
      </w:r>
      <w:r w:rsidR="003F7EAD">
        <w:t xml:space="preserve">Table </w:t>
      </w:r>
      <w:r w:rsidR="003F7EAD">
        <w:rPr>
          <w:noProof/>
        </w:rPr>
        <w:t>71</w:t>
      </w:r>
      <w:r w:rsidR="003F7EAD">
        <w:fldChar w:fldCharType="end"/>
      </w:r>
      <w:r w:rsidRPr="004550D1">
        <w:t>. The overall cost of surgery is $</w:t>
      </w:r>
      <w:r w:rsidR="00CE16D5">
        <w:t>19,472.05,</w:t>
      </w:r>
      <w:r w:rsidRPr="004550D1">
        <w:t xml:space="preserve"> </w:t>
      </w:r>
      <w:r w:rsidR="00CE16D5">
        <w:t xml:space="preserve">which is </w:t>
      </w:r>
      <w:r w:rsidRPr="004550D1">
        <w:t xml:space="preserve">higher than MTA and SBRT due to </w:t>
      </w:r>
      <w:r w:rsidR="00353700">
        <w:t>the</w:t>
      </w:r>
      <w:r w:rsidRPr="004550D1">
        <w:t xml:space="preserve"> hospital stay. The AR-DRG E01B for Major Chest Procedures W/O Catastrophic CC had an estimated national average cost per separation of $17,124, which is adjusted by 1.03 to be $17,637 in current prices. </w:t>
      </w:r>
    </w:p>
    <w:p w14:paraId="2D8EF985" w14:textId="21B1713F" w:rsidR="00CB4D14" w:rsidRDefault="004550D1" w:rsidP="004550D1">
      <w:r w:rsidRPr="004550D1">
        <w:t>The average length of stay associated with this AR-DRG is 6.53 days which is likely to be greater than average stay for lung resection when VATs is used. Discussions with a clinician indicated hospital stays of 2</w:t>
      </w:r>
      <w:r w:rsidR="00C104EB">
        <w:t>–</w:t>
      </w:r>
      <w:r w:rsidRPr="004550D1">
        <w:t xml:space="preserve">3 days are most likely associated with this procedure, so hospital costs included in the costing are overstated. The AR-DRG E02B has an average length of stay of 3.47 days, and an average cost of $9,123. Overall costs for lung resection are probably more in line with this overall cost, and $17,637 would be at the higher end of the cost for lung resection. Aggregation of different lung surgery procedures in AR-DRG E01B makes costing for this specific procedure difficult. Despite this issue, the overall </w:t>
      </w:r>
      <w:proofErr w:type="gramStart"/>
      <w:r w:rsidRPr="004550D1">
        <w:t>cost of procedures with average length of stay of 3</w:t>
      </w:r>
      <w:r w:rsidR="00C104EB">
        <w:t>–</w:t>
      </w:r>
      <w:r w:rsidRPr="004550D1">
        <w:t>4 days are</w:t>
      </w:r>
      <w:proofErr w:type="gramEnd"/>
      <w:r w:rsidRPr="004550D1">
        <w:t xml:space="preserve"> more expensive when compared to MTA and SBRT.</w:t>
      </w:r>
      <w:r>
        <w:t xml:space="preserve"> </w:t>
      </w:r>
    </w:p>
    <w:p w14:paraId="61073570" w14:textId="77777777" w:rsidR="0021388F" w:rsidRPr="00BC4A30" w:rsidRDefault="00AF22DE" w:rsidP="00647EB9">
      <w:pPr>
        <w:pStyle w:val="Heading2"/>
        <w:numPr>
          <w:ilvl w:val="3"/>
          <w:numId w:val="9"/>
        </w:numPr>
      </w:pPr>
      <w:bookmarkStart w:id="403" w:name="_Toc460396086"/>
      <w:r w:rsidRPr="00BC4A30">
        <w:t>Results of</w:t>
      </w:r>
      <w:r w:rsidR="0021388F" w:rsidRPr="00BC4A30">
        <w:t xml:space="preserve"> the </w:t>
      </w:r>
      <w:r w:rsidRPr="00BC4A30">
        <w:t>Economic E</w:t>
      </w:r>
      <w:r w:rsidR="0021388F" w:rsidRPr="00BC4A30">
        <w:t>valuation</w:t>
      </w:r>
      <w:bookmarkEnd w:id="402"/>
      <w:bookmarkEnd w:id="403"/>
    </w:p>
    <w:p w14:paraId="6C99E685" w14:textId="4F59F819" w:rsidR="00AB12D2" w:rsidRPr="00BC4A30" w:rsidRDefault="00AB12D2" w:rsidP="00AB12D2">
      <w:r w:rsidRPr="00BC4A30">
        <w:t xml:space="preserve">The total average costs for MTA, </w:t>
      </w:r>
      <w:r w:rsidR="00760AC9" w:rsidRPr="00BC4A30">
        <w:t>SBRT</w:t>
      </w:r>
      <w:r w:rsidRPr="00BC4A30">
        <w:t xml:space="preserve"> and surgery are presented as the cost per patient over the course of </w:t>
      </w:r>
      <w:r w:rsidR="00C104EB">
        <w:t>three</w:t>
      </w:r>
      <w:r w:rsidRPr="00BC4A30">
        <w:t xml:space="preserve"> months of treatment. They are presented in </w:t>
      </w:r>
      <w:r w:rsidR="00C104EB">
        <w:fldChar w:fldCharType="begin"/>
      </w:r>
      <w:r w:rsidR="00C104EB">
        <w:instrText xml:space="preserve"> REF _Ref460425152 \h </w:instrText>
      </w:r>
      <w:r w:rsidR="00C104EB">
        <w:fldChar w:fldCharType="separate"/>
      </w:r>
      <w:r w:rsidR="00D170A5">
        <w:t xml:space="preserve">Table </w:t>
      </w:r>
      <w:r w:rsidR="00D170A5">
        <w:rPr>
          <w:noProof/>
        </w:rPr>
        <w:t>72</w:t>
      </w:r>
      <w:r w:rsidR="00C104EB">
        <w:fldChar w:fldCharType="end"/>
      </w:r>
      <w:r w:rsidR="00C104EB">
        <w:t xml:space="preserve"> in a disaggregated form </w:t>
      </w:r>
      <w:r w:rsidR="00C104EB" w:rsidRPr="00A208C0">
        <w:t>for &lt;</w:t>
      </w:r>
      <w:r w:rsidRPr="00A208C0">
        <w:t>3</w:t>
      </w:r>
      <w:r w:rsidRPr="00BC4A30">
        <w:t xml:space="preserve"> lesions for populations one and two, and for population two in the case of surgery. As t</w:t>
      </w:r>
      <w:r w:rsidR="008D7145">
        <w:t xml:space="preserve">he costing is estimated over a three </w:t>
      </w:r>
      <w:r w:rsidRPr="00BC4A30">
        <w:t xml:space="preserve">month period discounting is not appropriate. </w:t>
      </w:r>
    </w:p>
    <w:p w14:paraId="72FEE16C" w14:textId="72B71F23" w:rsidR="00AB12D2" w:rsidRPr="00BC4A30" w:rsidRDefault="00AB12D2" w:rsidP="00AB12D2">
      <w:r w:rsidRPr="00BC4A30">
        <w:t xml:space="preserve">It is evident that the total average cost of </w:t>
      </w:r>
      <w:r w:rsidR="00760AC9" w:rsidRPr="00BC4A30">
        <w:t>SBRT</w:t>
      </w:r>
      <w:r w:rsidRPr="00BC4A30">
        <w:t xml:space="preserve"> is less than that of MTA for populations one and two across all included lesion groupings. For &lt;3 lesions the average cost of MTA is $2,632 higher than for SBRT. The key items driving increased costs are the costs of the disposable applicator and the cost of the overnight hospital stay. In the case of the applicator this cost is $2,960</w:t>
      </w:r>
      <w:r w:rsidR="004550D1">
        <w:t xml:space="preserve"> (</w:t>
      </w:r>
      <w:r w:rsidR="004550D1" w:rsidRPr="004550D1">
        <w:t xml:space="preserve">the MTA equipment cost of $3,210 in the following table includes a $250 per service capital cost allowance for the generator) </w:t>
      </w:r>
      <w:r w:rsidRPr="00BC4A30">
        <w:t xml:space="preserve">and the hospital stay is $873 per night. In the longer term the MTA procedure may be delivered on an outpatient basis. The potential cost reduction from this change in setting for delivery is explored in the sensitivity analysis. </w:t>
      </w:r>
    </w:p>
    <w:p w14:paraId="575C68A5" w14:textId="77777777" w:rsidR="004550D1" w:rsidRDefault="004550D1" w:rsidP="004550D1">
      <w:pPr>
        <w:pStyle w:val="Caption"/>
        <w:keepNext/>
      </w:pPr>
      <w:bookmarkStart w:id="404" w:name="_Ref460425152"/>
      <w:bookmarkStart w:id="405" w:name="_Toc460514730"/>
      <w:r>
        <w:t xml:space="preserve">Table </w:t>
      </w:r>
      <w:fldSimple w:instr=" SEQ Table \* ARABIC ">
        <w:r w:rsidR="00D170A5">
          <w:rPr>
            <w:noProof/>
          </w:rPr>
          <w:t>72</w:t>
        </w:r>
      </w:fldSimple>
      <w:bookmarkEnd w:id="404"/>
      <w:r>
        <w:tab/>
      </w:r>
      <w:r w:rsidRPr="00BC4A30">
        <w:t>Health care costs per patients (3 months) for base-case analysis</w:t>
      </w:r>
      <w:bookmarkEnd w:id="405"/>
    </w:p>
    <w:tbl>
      <w:tblPr>
        <w:tblW w:w="4956" w:type="pct"/>
        <w:tblLook w:val="04A0" w:firstRow="1" w:lastRow="0" w:firstColumn="1" w:lastColumn="0" w:noHBand="0" w:noVBand="1"/>
      </w:tblPr>
      <w:tblGrid>
        <w:gridCol w:w="2872"/>
        <w:gridCol w:w="497"/>
        <w:gridCol w:w="944"/>
        <w:gridCol w:w="1303"/>
        <w:gridCol w:w="872"/>
        <w:gridCol w:w="141"/>
        <w:gridCol w:w="238"/>
        <w:gridCol w:w="1140"/>
        <w:gridCol w:w="894"/>
        <w:gridCol w:w="260"/>
      </w:tblGrid>
      <w:tr w:rsidR="004550D1" w:rsidRPr="004550D1" w14:paraId="3FDEE288" w14:textId="77777777" w:rsidTr="00BE4C77">
        <w:trPr>
          <w:trHeight w:val="765"/>
        </w:trPr>
        <w:tc>
          <w:tcPr>
            <w:tcW w:w="1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76D18" w14:textId="77777777" w:rsidR="004550D1" w:rsidRPr="001D046E" w:rsidRDefault="004550D1" w:rsidP="00AD40F8">
            <w:pPr>
              <w:pStyle w:val="Tabletext1"/>
              <w:spacing w:before="40" w:after="40"/>
              <w:rPr>
                <w:rFonts w:cs="Arial"/>
                <w:b/>
              </w:rPr>
            </w:pPr>
            <w:r w:rsidRPr="001D046E">
              <w:rPr>
                <w:b/>
                <w:lang w:val="en-NZ"/>
              </w:rPr>
              <w:t>Resource item description</w:t>
            </w:r>
          </w:p>
        </w:tc>
        <w:tc>
          <w:tcPr>
            <w:tcW w:w="786"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90DB73" w14:textId="77777777" w:rsidR="004550D1" w:rsidRPr="001D046E" w:rsidRDefault="004550D1" w:rsidP="00AD40F8">
            <w:pPr>
              <w:pStyle w:val="Tabletext1"/>
              <w:spacing w:before="40" w:after="40"/>
              <w:rPr>
                <w:rFonts w:cs="Arial"/>
                <w:b/>
              </w:rPr>
            </w:pPr>
            <w:r w:rsidRPr="001D046E">
              <w:rPr>
                <w:b/>
                <w:lang w:val="en-NZ"/>
              </w:rPr>
              <w:t>MTA</w:t>
            </w:r>
          </w:p>
        </w:tc>
        <w:tc>
          <w:tcPr>
            <w:tcW w:w="71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3FD1A6" w14:textId="77777777" w:rsidR="004550D1" w:rsidRPr="001D046E" w:rsidRDefault="004550D1" w:rsidP="00AD40F8">
            <w:pPr>
              <w:pStyle w:val="Tabletext1"/>
              <w:spacing w:before="40" w:after="40"/>
              <w:rPr>
                <w:rFonts w:cs="Arial"/>
                <w:b/>
              </w:rPr>
            </w:pPr>
            <w:r w:rsidRPr="001D046E">
              <w:rPr>
                <w:b/>
                <w:lang w:val="en-NZ"/>
              </w:rPr>
              <w:t>SBRT</w:t>
            </w:r>
          </w:p>
        </w:tc>
        <w:tc>
          <w:tcPr>
            <w:tcW w:w="683"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5AA558" w14:textId="77777777" w:rsidR="004550D1" w:rsidRPr="001D046E" w:rsidRDefault="004550D1" w:rsidP="00AD40F8">
            <w:pPr>
              <w:pStyle w:val="Tabletext1"/>
              <w:spacing w:before="40" w:after="40"/>
              <w:rPr>
                <w:rFonts w:cs="Arial"/>
                <w:b/>
              </w:rPr>
            </w:pPr>
            <w:r w:rsidRPr="001D046E">
              <w:rPr>
                <w:b/>
                <w:lang w:val="en-NZ"/>
              </w:rPr>
              <w:t>Incremental cost of MTA over SBRT</w:t>
            </w:r>
          </w:p>
        </w:tc>
        <w:tc>
          <w:tcPr>
            <w:tcW w:w="6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860B37" w14:textId="77777777" w:rsidR="004550D1" w:rsidRPr="001D046E" w:rsidRDefault="004550D1" w:rsidP="00AD40F8">
            <w:pPr>
              <w:pStyle w:val="Tabletext1"/>
              <w:spacing w:before="40" w:after="40"/>
              <w:rPr>
                <w:rFonts w:cs="Arial"/>
                <w:b/>
              </w:rPr>
            </w:pPr>
            <w:r w:rsidRPr="001D046E">
              <w:rPr>
                <w:b/>
                <w:lang w:val="en-NZ"/>
              </w:rPr>
              <w:t>Surgery</w:t>
            </w:r>
          </w:p>
        </w:tc>
        <w:tc>
          <w:tcPr>
            <w:tcW w:w="630"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692C8C" w14:textId="77777777" w:rsidR="004550D1" w:rsidRPr="001D046E" w:rsidRDefault="004550D1" w:rsidP="00AD40F8">
            <w:pPr>
              <w:pStyle w:val="Tabletext1"/>
              <w:spacing w:before="40" w:after="40"/>
              <w:rPr>
                <w:rFonts w:cs="Arial"/>
                <w:b/>
              </w:rPr>
            </w:pPr>
            <w:r w:rsidRPr="001D046E">
              <w:rPr>
                <w:b/>
                <w:lang w:val="en-NZ"/>
              </w:rPr>
              <w:t>Incremental cost of MTA over Surgery</w:t>
            </w:r>
          </w:p>
        </w:tc>
      </w:tr>
      <w:tr w:rsidR="008A7BBB" w:rsidRPr="004550D1" w14:paraId="3935F77D"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5563F662" w14:textId="1FB3B070" w:rsidR="008A7BBB" w:rsidRPr="006B3EFE" w:rsidRDefault="008A7BBB" w:rsidP="00AD40F8">
            <w:pPr>
              <w:pStyle w:val="Tabletext1"/>
              <w:spacing w:before="40" w:after="40"/>
              <w:rPr>
                <w:rFonts w:cs="Arial"/>
                <w:b/>
              </w:rPr>
            </w:pPr>
          </w:p>
        </w:tc>
        <w:tc>
          <w:tcPr>
            <w:tcW w:w="271" w:type="pct"/>
            <w:tcBorders>
              <w:top w:val="single" w:sz="4" w:space="0" w:color="auto"/>
              <w:left w:val="nil"/>
              <w:bottom w:val="single" w:sz="4" w:space="0" w:color="auto"/>
            </w:tcBorders>
            <w:shd w:val="clear" w:color="auto" w:fill="D9D9D9" w:themeFill="background1" w:themeFillShade="D9"/>
            <w:vAlign w:val="center"/>
          </w:tcPr>
          <w:p w14:paraId="76EFE604" w14:textId="255F519E" w:rsidR="008A7BBB" w:rsidRPr="006B3EFE" w:rsidRDefault="008A7BBB" w:rsidP="00AD40F8">
            <w:pPr>
              <w:pStyle w:val="Tabletext1"/>
              <w:spacing w:before="40" w:after="40"/>
              <w:jc w:val="right"/>
              <w:rPr>
                <w:rFonts w:cs="Arial"/>
                <w:b/>
              </w:rPr>
            </w:pPr>
          </w:p>
        </w:tc>
        <w:tc>
          <w:tcPr>
            <w:tcW w:w="1702" w:type="pct"/>
            <w:gridSpan w:val="3"/>
            <w:tcBorders>
              <w:top w:val="single" w:sz="4" w:space="0" w:color="auto"/>
              <w:bottom w:val="single" w:sz="4" w:space="0" w:color="auto"/>
            </w:tcBorders>
            <w:shd w:val="clear" w:color="auto" w:fill="D9D9D9" w:themeFill="background1" w:themeFillShade="D9"/>
            <w:vAlign w:val="center"/>
          </w:tcPr>
          <w:p w14:paraId="6C580E2D" w14:textId="08D7CA6C" w:rsidR="008A7BBB" w:rsidRPr="006B3EFE" w:rsidRDefault="008A7BBB" w:rsidP="00AD40F8">
            <w:pPr>
              <w:pStyle w:val="Tabletext1"/>
              <w:spacing w:before="40" w:after="40"/>
              <w:ind w:left="-60"/>
              <w:rPr>
                <w:rFonts w:cs="Arial"/>
                <w:b/>
              </w:rPr>
            </w:pPr>
            <w:r>
              <w:rPr>
                <w:rFonts w:cs="Arial"/>
                <w:b/>
              </w:rPr>
              <w:t>Populations</w:t>
            </w:r>
            <w:r w:rsidRPr="006B3EFE">
              <w:rPr>
                <w:rFonts w:cs="Arial"/>
                <w:b/>
              </w:rPr>
              <w:t xml:space="preserve"> one and two, &lt;3 lesions</w:t>
            </w:r>
          </w:p>
        </w:tc>
        <w:tc>
          <w:tcPr>
            <w:tcW w:w="207" w:type="pct"/>
            <w:gridSpan w:val="2"/>
            <w:tcBorders>
              <w:top w:val="single" w:sz="4" w:space="0" w:color="auto"/>
              <w:bottom w:val="single" w:sz="4" w:space="0" w:color="auto"/>
              <w:right w:val="single" w:sz="4" w:space="0" w:color="auto"/>
            </w:tcBorders>
            <w:shd w:val="clear" w:color="auto" w:fill="D9D9D9" w:themeFill="background1" w:themeFillShade="D9"/>
            <w:vAlign w:val="center"/>
          </w:tcPr>
          <w:p w14:paraId="0924D5C1" w14:textId="1B1E00A0" w:rsidR="008A7BBB" w:rsidRPr="006B3EFE" w:rsidRDefault="008A7BBB" w:rsidP="00AD40F8">
            <w:pPr>
              <w:pStyle w:val="Tabletext1"/>
              <w:spacing w:before="40" w:after="40"/>
              <w:rPr>
                <w:rFonts w:cs="Arial"/>
                <w:b/>
              </w:rPr>
            </w:pPr>
          </w:p>
        </w:tc>
        <w:tc>
          <w:tcPr>
            <w:tcW w:w="1110"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5D66C3D4" w14:textId="77777777" w:rsidR="008A7BBB" w:rsidRPr="006B3EFE" w:rsidRDefault="008A7BBB" w:rsidP="00AD40F8">
            <w:pPr>
              <w:pStyle w:val="Tabletext1"/>
              <w:spacing w:before="40" w:after="40"/>
              <w:jc w:val="center"/>
              <w:rPr>
                <w:rFonts w:cs="Arial"/>
                <w:b/>
              </w:rPr>
            </w:pPr>
            <w:r w:rsidRPr="006B3EFE">
              <w:rPr>
                <w:rFonts w:cs="Arial"/>
                <w:b/>
              </w:rPr>
              <w:t>Population two, &lt;3 lesions</w:t>
            </w:r>
          </w:p>
        </w:tc>
        <w:tc>
          <w:tcPr>
            <w:tcW w:w="142" w:type="pct"/>
            <w:tcBorders>
              <w:top w:val="single" w:sz="4" w:space="0" w:color="auto"/>
              <w:bottom w:val="single" w:sz="4" w:space="0" w:color="auto"/>
              <w:right w:val="single" w:sz="4" w:space="0" w:color="auto"/>
            </w:tcBorders>
            <w:shd w:val="clear" w:color="auto" w:fill="D9D9D9" w:themeFill="background1" w:themeFillShade="D9"/>
            <w:vAlign w:val="center"/>
          </w:tcPr>
          <w:p w14:paraId="6528F4E6" w14:textId="513445CE" w:rsidR="008A7BBB" w:rsidRPr="006B3EFE" w:rsidRDefault="008A7BBB" w:rsidP="00AD40F8">
            <w:pPr>
              <w:pStyle w:val="Tabletext1"/>
              <w:spacing w:before="40" w:after="40"/>
              <w:rPr>
                <w:rFonts w:cs="Arial"/>
                <w:b/>
              </w:rPr>
            </w:pPr>
          </w:p>
        </w:tc>
      </w:tr>
      <w:tr w:rsidR="004550D1" w:rsidRPr="004550D1" w14:paraId="22328FE1"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3BA2D274" w14:textId="77777777" w:rsidR="004550D1" w:rsidRPr="004550D1" w:rsidRDefault="004550D1" w:rsidP="00AD40F8">
            <w:pPr>
              <w:pStyle w:val="Tabletext1"/>
              <w:spacing w:before="40" w:after="40"/>
              <w:rPr>
                <w:rFonts w:cs="Arial"/>
              </w:rPr>
            </w:pPr>
            <w:r w:rsidRPr="004550D1">
              <w:rPr>
                <w:rFonts w:cs="Arial"/>
              </w:rPr>
              <w:t>Specialist services – screening prior to intervention</w:t>
            </w:r>
          </w:p>
        </w:tc>
        <w:tc>
          <w:tcPr>
            <w:tcW w:w="786" w:type="pct"/>
            <w:gridSpan w:val="2"/>
            <w:tcBorders>
              <w:top w:val="nil"/>
              <w:left w:val="nil"/>
              <w:bottom w:val="single" w:sz="4" w:space="0" w:color="auto"/>
              <w:right w:val="single" w:sz="4" w:space="0" w:color="auto"/>
            </w:tcBorders>
            <w:shd w:val="clear" w:color="auto" w:fill="auto"/>
            <w:vAlign w:val="center"/>
          </w:tcPr>
          <w:p w14:paraId="70707E7C" w14:textId="77777777" w:rsidR="004550D1" w:rsidRPr="004550D1" w:rsidRDefault="004550D1" w:rsidP="00AD40F8">
            <w:pPr>
              <w:pStyle w:val="Tabletext1"/>
              <w:spacing w:before="40" w:after="40"/>
              <w:rPr>
                <w:rFonts w:cs="Arial"/>
              </w:rPr>
            </w:pPr>
            <w:r w:rsidRPr="004550D1">
              <w:rPr>
                <w:rFonts w:cs="Arial"/>
              </w:rPr>
              <w:t>1,557.55</w:t>
            </w:r>
          </w:p>
        </w:tc>
        <w:tc>
          <w:tcPr>
            <w:tcW w:w="711" w:type="pct"/>
            <w:tcBorders>
              <w:top w:val="nil"/>
              <w:left w:val="nil"/>
              <w:bottom w:val="single" w:sz="4" w:space="0" w:color="auto"/>
              <w:right w:val="single" w:sz="4" w:space="0" w:color="auto"/>
            </w:tcBorders>
            <w:shd w:val="clear" w:color="auto" w:fill="auto"/>
            <w:vAlign w:val="center"/>
          </w:tcPr>
          <w:p w14:paraId="26B14CCA" w14:textId="77777777" w:rsidR="004550D1" w:rsidRPr="004550D1" w:rsidRDefault="004550D1" w:rsidP="00AD40F8">
            <w:pPr>
              <w:pStyle w:val="Tabletext1"/>
              <w:spacing w:before="40" w:after="40"/>
              <w:rPr>
                <w:rFonts w:cs="Arial"/>
              </w:rPr>
            </w:pPr>
            <w:r w:rsidRPr="004550D1">
              <w:rPr>
                <w:rFonts w:cs="Arial"/>
              </w:rPr>
              <w:t>1,557.55</w:t>
            </w:r>
          </w:p>
        </w:tc>
        <w:tc>
          <w:tcPr>
            <w:tcW w:w="683" w:type="pct"/>
            <w:gridSpan w:val="3"/>
            <w:tcBorders>
              <w:top w:val="nil"/>
              <w:left w:val="nil"/>
              <w:bottom w:val="single" w:sz="4" w:space="0" w:color="auto"/>
              <w:right w:val="single" w:sz="4" w:space="0" w:color="auto"/>
            </w:tcBorders>
            <w:shd w:val="clear" w:color="auto" w:fill="auto"/>
            <w:vAlign w:val="center"/>
          </w:tcPr>
          <w:p w14:paraId="7ADBB107" w14:textId="77777777" w:rsidR="004550D1" w:rsidRPr="004550D1" w:rsidRDefault="004550D1" w:rsidP="00AD40F8">
            <w:pPr>
              <w:pStyle w:val="Tabletext1"/>
              <w:spacing w:before="40" w:after="40"/>
              <w:rPr>
                <w:rFonts w:cs="Arial"/>
              </w:rPr>
            </w:pPr>
            <w:r w:rsidRPr="004550D1">
              <w:rPr>
                <w:rFonts w:cs="Arial"/>
              </w:rPr>
              <w:t>0.00</w:t>
            </w:r>
          </w:p>
        </w:tc>
        <w:tc>
          <w:tcPr>
            <w:tcW w:w="622" w:type="pct"/>
            <w:tcBorders>
              <w:top w:val="nil"/>
              <w:left w:val="nil"/>
              <w:bottom w:val="single" w:sz="4" w:space="0" w:color="auto"/>
              <w:right w:val="single" w:sz="4" w:space="0" w:color="auto"/>
            </w:tcBorders>
            <w:shd w:val="clear" w:color="auto" w:fill="auto"/>
            <w:vAlign w:val="center"/>
          </w:tcPr>
          <w:p w14:paraId="59235CF7" w14:textId="77777777" w:rsidR="004550D1" w:rsidRPr="004550D1" w:rsidRDefault="004550D1" w:rsidP="00AD40F8">
            <w:pPr>
              <w:pStyle w:val="Tabletext1"/>
              <w:spacing w:before="40" w:after="40"/>
              <w:rPr>
                <w:rFonts w:cs="Arial"/>
              </w:rPr>
            </w:pPr>
            <w:r w:rsidRPr="004550D1">
              <w:rPr>
                <w:rFonts w:cs="Arial"/>
              </w:rPr>
              <w:t>1,557.55</w:t>
            </w:r>
          </w:p>
        </w:tc>
        <w:tc>
          <w:tcPr>
            <w:tcW w:w="630" w:type="pct"/>
            <w:gridSpan w:val="2"/>
            <w:tcBorders>
              <w:top w:val="nil"/>
              <w:left w:val="nil"/>
              <w:bottom w:val="single" w:sz="4" w:space="0" w:color="auto"/>
              <w:right w:val="single" w:sz="4" w:space="0" w:color="auto"/>
            </w:tcBorders>
            <w:shd w:val="clear" w:color="auto" w:fill="auto"/>
            <w:vAlign w:val="center"/>
          </w:tcPr>
          <w:p w14:paraId="3CB260A6" w14:textId="77777777" w:rsidR="004550D1" w:rsidRPr="004550D1" w:rsidRDefault="004550D1" w:rsidP="00AD40F8">
            <w:pPr>
              <w:pStyle w:val="Tabletext1"/>
              <w:spacing w:before="40" w:after="40"/>
              <w:rPr>
                <w:rFonts w:cs="Arial"/>
              </w:rPr>
            </w:pPr>
            <w:r w:rsidRPr="004550D1">
              <w:rPr>
                <w:rFonts w:cs="Arial"/>
              </w:rPr>
              <w:t>0.00</w:t>
            </w:r>
          </w:p>
        </w:tc>
      </w:tr>
      <w:tr w:rsidR="004550D1" w:rsidRPr="004550D1" w14:paraId="19C4B2FA"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08C680D6" w14:textId="4B0EDC76" w:rsidR="004550D1" w:rsidRPr="004550D1" w:rsidRDefault="004550D1" w:rsidP="00AD40F8">
            <w:pPr>
              <w:pStyle w:val="Tabletext1"/>
              <w:spacing w:before="40" w:after="40"/>
              <w:rPr>
                <w:rFonts w:cs="Arial"/>
              </w:rPr>
            </w:pPr>
            <w:r w:rsidRPr="004550D1">
              <w:rPr>
                <w:rFonts w:cs="Arial"/>
              </w:rPr>
              <w:t>Specialist services – intervention (MBS supported)</w:t>
            </w:r>
          </w:p>
        </w:tc>
        <w:tc>
          <w:tcPr>
            <w:tcW w:w="786" w:type="pct"/>
            <w:gridSpan w:val="2"/>
            <w:tcBorders>
              <w:top w:val="nil"/>
              <w:left w:val="nil"/>
              <w:bottom w:val="single" w:sz="4" w:space="0" w:color="auto"/>
              <w:right w:val="single" w:sz="4" w:space="0" w:color="auto"/>
            </w:tcBorders>
            <w:shd w:val="clear" w:color="auto" w:fill="auto"/>
            <w:vAlign w:val="center"/>
          </w:tcPr>
          <w:p w14:paraId="424939E7" w14:textId="77777777" w:rsidR="004550D1" w:rsidRPr="004550D1" w:rsidRDefault="004550D1" w:rsidP="00AD40F8">
            <w:pPr>
              <w:pStyle w:val="Tabletext1"/>
              <w:spacing w:before="40" w:after="40"/>
              <w:rPr>
                <w:rFonts w:cs="Arial"/>
              </w:rPr>
            </w:pPr>
            <w:r w:rsidRPr="004550D1">
              <w:rPr>
                <w:rFonts w:cs="Arial"/>
              </w:rPr>
              <w:t>1,866.68</w:t>
            </w:r>
          </w:p>
        </w:tc>
        <w:tc>
          <w:tcPr>
            <w:tcW w:w="711" w:type="pct"/>
            <w:tcBorders>
              <w:top w:val="nil"/>
              <w:left w:val="nil"/>
              <w:bottom w:val="single" w:sz="4" w:space="0" w:color="auto"/>
              <w:right w:val="single" w:sz="4" w:space="0" w:color="auto"/>
            </w:tcBorders>
            <w:shd w:val="clear" w:color="auto" w:fill="auto"/>
            <w:vAlign w:val="center"/>
          </w:tcPr>
          <w:p w14:paraId="0E3F3A8C" w14:textId="77777777" w:rsidR="004550D1" w:rsidRPr="004550D1" w:rsidRDefault="004550D1" w:rsidP="00AD40F8">
            <w:pPr>
              <w:pStyle w:val="Tabletext1"/>
              <w:spacing w:before="40" w:after="40"/>
              <w:rPr>
                <w:rFonts w:cs="Arial"/>
              </w:rPr>
            </w:pPr>
            <w:r w:rsidRPr="004550D1">
              <w:rPr>
                <w:rFonts w:cs="Arial"/>
              </w:rPr>
              <w:t>3,168.90</w:t>
            </w:r>
          </w:p>
        </w:tc>
        <w:tc>
          <w:tcPr>
            <w:tcW w:w="683" w:type="pct"/>
            <w:gridSpan w:val="3"/>
            <w:tcBorders>
              <w:top w:val="nil"/>
              <w:left w:val="nil"/>
              <w:bottom w:val="single" w:sz="4" w:space="0" w:color="auto"/>
              <w:right w:val="single" w:sz="4" w:space="0" w:color="auto"/>
            </w:tcBorders>
            <w:shd w:val="clear" w:color="auto" w:fill="auto"/>
            <w:vAlign w:val="center"/>
          </w:tcPr>
          <w:p w14:paraId="2AB5C85B" w14:textId="77777777" w:rsidR="004550D1" w:rsidRPr="004550D1" w:rsidRDefault="004550D1" w:rsidP="00AD40F8">
            <w:pPr>
              <w:pStyle w:val="Tabletext1"/>
              <w:spacing w:before="40" w:after="40"/>
              <w:rPr>
                <w:rFonts w:cs="Arial"/>
              </w:rPr>
            </w:pPr>
            <w:r w:rsidRPr="004550D1">
              <w:rPr>
                <w:rFonts w:cs="Arial"/>
              </w:rPr>
              <w:t>-1,302.22</w:t>
            </w:r>
          </w:p>
        </w:tc>
        <w:tc>
          <w:tcPr>
            <w:tcW w:w="622" w:type="pct"/>
            <w:tcBorders>
              <w:top w:val="nil"/>
              <w:left w:val="nil"/>
              <w:bottom w:val="single" w:sz="4" w:space="0" w:color="auto"/>
              <w:right w:val="single" w:sz="4" w:space="0" w:color="auto"/>
            </w:tcBorders>
            <w:shd w:val="clear" w:color="auto" w:fill="auto"/>
            <w:vAlign w:val="center"/>
          </w:tcPr>
          <w:p w14:paraId="1AD40714" w14:textId="77777777" w:rsidR="004550D1" w:rsidRPr="004550D1" w:rsidRDefault="004550D1" w:rsidP="00AD40F8">
            <w:pPr>
              <w:pStyle w:val="Tabletext1"/>
              <w:spacing w:before="40" w:after="40"/>
              <w:rPr>
                <w:rFonts w:cs="Arial"/>
              </w:rPr>
            </w:pPr>
            <w:r w:rsidRPr="004550D1">
              <w:rPr>
                <w:rFonts w:cs="Arial"/>
              </w:rPr>
              <w:t>2,814.33</w:t>
            </w:r>
          </w:p>
        </w:tc>
        <w:tc>
          <w:tcPr>
            <w:tcW w:w="630" w:type="pct"/>
            <w:gridSpan w:val="2"/>
            <w:tcBorders>
              <w:top w:val="nil"/>
              <w:left w:val="nil"/>
              <w:bottom w:val="single" w:sz="4" w:space="0" w:color="auto"/>
              <w:right w:val="single" w:sz="4" w:space="0" w:color="auto"/>
            </w:tcBorders>
            <w:shd w:val="clear" w:color="auto" w:fill="auto"/>
            <w:vAlign w:val="center"/>
          </w:tcPr>
          <w:p w14:paraId="532050B3" w14:textId="77777777" w:rsidR="004550D1" w:rsidRPr="004550D1" w:rsidRDefault="004550D1" w:rsidP="00AD40F8">
            <w:pPr>
              <w:pStyle w:val="Tabletext1"/>
              <w:spacing w:before="40" w:after="40"/>
              <w:rPr>
                <w:rFonts w:cs="Arial"/>
              </w:rPr>
            </w:pPr>
            <w:r w:rsidRPr="004550D1">
              <w:rPr>
                <w:rFonts w:cs="Arial"/>
              </w:rPr>
              <w:t>-947.65</w:t>
            </w:r>
          </w:p>
        </w:tc>
      </w:tr>
      <w:tr w:rsidR="004550D1" w:rsidRPr="004550D1" w14:paraId="764703C4"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2A12F365" w14:textId="42ABCB34" w:rsidR="004550D1" w:rsidRPr="004550D1" w:rsidRDefault="004550D1" w:rsidP="00AD40F8">
            <w:pPr>
              <w:pStyle w:val="Tabletext1"/>
              <w:spacing w:before="40" w:after="40"/>
              <w:rPr>
                <w:rFonts w:cs="Arial"/>
              </w:rPr>
            </w:pPr>
            <w:r w:rsidRPr="004550D1">
              <w:rPr>
                <w:rFonts w:cs="Arial"/>
              </w:rPr>
              <w:t>Specialist services – intervention (Hospital)</w:t>
            </w:r>
            <w:r w:rsidR="001A0D13">
              <w:rPr>
                <w:rFonts w:cs="Arial"/>
              </w:rPr>
              <w:t xml:space="preserve"> </w:t>
            </w:r>
            <w:r w:rsidR="001E4A40" w:rsidRPr="001E4A40">
              <w:rPr>
                <w:rFonts w:cs="Arial"/>
                <w:b/>
                <w:vertAlign w:val="superscript"/>
              </w:rPr>
              <w:t>a</w:t>
            </w:r>
          </w:p>
        </w:tc>
        <w:tc>
          <w:tcPr>
            <w:tcW w:w="786" w:type="pct"/>
            <w:gridSpan w:val="2"/>
            <w:tcBorders>
              <w:top w:val="nil"/>
              <w:left w:val="nil"/>
              <w:bottom w:val="single" w:sz="4" w:space="0" w:color="auto"/>
              <w:right w:val="single" w:sz="4" w:space="0" w:color="auto"/>
            </w:tcBorders>
            <w:shd w:val="clear" w:color="auto" w:fill="auto"/>
            <w:vAlign w:val="center"/>
          </w:tcPr>
          <w:p w14:paraId="3410239D" w14:textId="77777777" w:rsidR="004550D1" w:rsidRPr="004550D1" w:rsidRDefault="004550D1" w:rsidP="00AD40F8">
            <w:pPr>
              <w:pStyle w:val="Tabletext1"/>
              <w:spacing w:before="40" w:after="40"/>
              <w:rPr>
                <w:rFonts w:cs="Arial"/>
              </w:rPr>
            </w:pPr>
            <w:r w:rsidRPr="004550D1">
              <w:rPr>
                <w:rFonts w:cs="Arial"/>
              </w:rPr>
              <w:t>932.10</w:t>
            </w:r>
          </w:p>
        </w:tc>
        <w:tc>
          <w:tcPr>
            <w:tcW w:w="711" w:type="pct"/>
            <w:tcBorders>
              <w:top w:val="nil"/>
              <w:left w:val="nil"/>
              <w:bottom w:val="single" w:sz="4" w:space="0" w:color="auto"/>
              <w:right w:val="single" w:sz="4" w:space="0" w:color="auto"/>
            </w:tcBorders>
            <w:shd w:val="clear" w:color="auto" w:fill="auto"/>
            <w:vAlign w:val="center"/>
          </w:tcPr>
          <w:p w14:paraId="6A33012B" w14:textId="77777777" w:rsidR="004550D1" w:rsidRPr="004550D1" w:rsidRDefault="004550D1" w:rsidP="00AD40F8">
            <w:pPr>
              <w:pStyle w:val="Tabletext1"/>
              <w:spacing w:before="40" w:after="40"/>
              <w:rPr>
                <w:rFonts w:cs="Arial"/>
              </w:rPr>
            </w:pPr>
            <w:r w:rsidRPr="004550D1">
              <w:rPr>
                <w:rFonts w:cs="Arial"/>
              </w:rPr>
              <w:t>0.00</w:t>
            </w:r>
          </w:p>
        </w:tc>
        <w:tc>
          <w:tcPr>
            <w:tcW w:w="683" w:type="pct"/>
            <w:gridSpan w:val="3"/>
            <w:tcBorders>
              <w:top w:val="nil"/>
              <w:left w:val="nil"/>
              <w:bottom w:val="single" w:sz="4" w:space="0" w:color="auto"/>
              <w:right w:val="single" w:sz="4" w:space="0" w:color="auto"/>
            </w:tcBorders>
            <w:shd w:val="clear" w:color="auto" w:fill="auto"/>
            <w:vAlign w:val="center"/>
          </w:tcPr>
          <w:p w14:paraId="41C0C53C" w14:textId="77777777" w:rsidR="004550D1" w:rsidRPr="004550D1" w:rsidRDefault="004550D1" w:rsidP="00AD40F8">
            <w:pPr>
              <w:pStyle w:val="Tabletext1"/>
              <w:spacing w:before="40" w:after="40"/>
              <w:rPr>
                <w:rFonts w:cs="Arial"/>
              </w:rPr>
            </w:pPr>
            <w:r w:rsidRPr="004550D1">
              <w:rPr>
                <w:rFonts w:cs="Arial"/>
              </w:rPr>
              <w:t>932.10</w:t>
            </w:r>
          </w:p>
        </w:tc>
        <w:tc>
          <w:tcPr>
            <w:tcW w:w="622" w:type="pct"/>
            <w:tcBorders>
              <w:top w:val="nil"/>
              <w:left w:val="nil"/>
              <w:bottom w:val="single" w:sz="4" w:space="0" w:color="auto"/>
              <w:right w:val="single" w:sz="4" w:space="0" w:color="auto"/>
            </w:tcBorders>
            <w:shd w:val="clear" w:color="auto" w:fill="auto"/>
            <w:vAlign w:val="center"/>
          </w:tcPr>
          <w:p w14:paraId="1B5B56E1" w14:textId="77777777" w:rsidR="004550D1" w:rsidRPr="004550D1" w:rsidRDefault="004550D1" w:rsidP="00AD40F8">
            <w:pPr>
              <w:pStyle w:val="Tabletext1"/>
              <w:spacing w:before="40" w:after="40"/>
              <w:rPr>
                <w:rFonts w:cs="Arial"/>
              </w:rPr>
            </w:pPr>
            <w:r w:rsidRPr="004550D1">
              <w:rPr>
                <w:rFonts w:cs="Arial"/>
              </w:rPr>
              <w:t>14,822.67</w:t>
            </w:r>
          </w:p>
        </w:tc>
        <w:tc>
          <w:tcPr>
            <w:tcW w:w="630" w:type="pct"/>
            <w:gridSpan w:val="2"/>
            <w:tcBorders>
              <w:top w:val="nil"/>
              <w:left w:val="nil"/>
              <w:bottom w:val="single" w:sz="4" w:space="0" w:color="auto"/>
              <w:right w:val="single" w:sz="4" w:space="0" w:color="auto"/>
            </w:tcBorders>
            <w:shd w:val="clear" w:color="auto" w:fill="auto"/>
            <w:vAlign w:val="center"/>
          </w:tcPr>
          <w:p w14:paraId="1A20C58A" w14:textId="77777777" w:rsidR="004550D1" w:rsidRPr="004550D1" w:rsidRDefault="004550D1" w:rsidP="00AD40F8">
            <w:pPr>
              <w:pStyle w:val="Tabletext1"/>
              <w:spacing w:before="40" w:after="40"/>
              <w:rPr>
                <w:rFonts w:cs="Arial"/>
              </w:rPr>
            </w:pPr>
            <w:r w:rsidRPr="004550D1">
              <w:rPr>
                <w:rFonts w:cs="Arial"/>
              </w:rPr>
              <w:t>-13,890.57</w:t>
            </w:r>
          </w:p>
        </w:tc>
      </w:tr>
      <w:tr w:rsidR="004550D1" w:rsidRPr="004550D1" w14:paraId="2A0C2A80"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1D685EBB" w14:textId="77777777" w:rsidR="004550D1" w:rsidRPr="004550D1" w:rsidRDefault="004550D1" w:rsidP="00AD40F8">
            <w:pPr>
              <w:pStyle w:val="Tabletext1"/>
              <w:spacing w:before="40" w:after="40"/>
              <w:rPr>
                <w:rFonts w:cs="Arial"/>
              </w:rPr>
            </w:pPr>
            <w:r w:rsidRPr="004550D1">
              <w:rPr>
                <w:rFonts w:cs="Arial"/>
              </w:rPr>
              <w:t>Specialist services – post intervention follow-up</w:t>
            </w:r>
          </w:p>
        </w:tc>
        <w:tc>
          <w:tcPr>
            <w:tcW w:w="786" w:type="pct"/>
            <w:gridSpan w:val="2"/>
            <w:tcBorders>
              <w:top w:val="nil"/>
              <w:left w:val="nil"/>
              <w:bottom w:val="single" w:sz="4" w:space="0" w:color="auto"/>
              <w:right w:val="single" w:sz="4" w:space="0" w:color="auto"/>
            </w:tcBorders>
            <w:shd w:val="clear" w:color="auto" w:fill="auto"/>
            <w:vAlign w:val="center"/>
          </w:tcPr>
          <w:p w14:paraId="4806EE65" w14:textId="77777777" w:rsidR="004550D1" w:rsidRPr="004550D1" w:rsidRDefault="004550D1" w:rsidP="00AD40F8">
            <w:pPr>
              <w:pStyle w:val="Tabletext1"/>
              <w:spacing w:before="40" w:after="40"/>
              <w:rPr>
                <w:rFonts w:cs="Arial"/>
              </w:rPr>
            </w:pPr>
            <w:r w:rsidRPr="004550D1">
              <w:rPr>
                <w:rFonts w:cs="Arial"/>
              </w:rPr>
              <w:t>277.50</w:t>
            </w:r>
          </w:p>
        </w:tc>
        <w:tc>
          <w:tcPr>
            <w:tcW w:w="711" w:type="pct"/>
            <w:tcBorders>
              <w:top w:val="nil"/>
              <w:left w:val="nil"/>
              <w:bottom w:val="single" w:sz="4" w:space="0" w:color="auto"/>
              <w:right w:val="single" w:sz="4" w:space="0" w:color="auto"/>
            </w:tcBorders>
            <w:shd w:val="clear" w:color="auto" w:fill="auto"/>
            <w:vAlign w:val="center"/>
          </w:tcPr>
          <w:p w14:paraId="4CF476F3" w14:textId="77777777" w:rsidR="004550D1" w:rsidRPr="004550D1" w:rsidRDefault="004550D1" w:rsidP="00AD40F8">
            <w:pPr>
              <w:pStyle w:val="Tabletext1"/>
              <w:spacing w:before="40" w:after="40"/>
              <w:rPr>
                <w:rFonts w:cs="Arial"/>
              </w:rPr>
            </w:pPr>
            <w:r w:rsidRPr="004550D1">
              <w:rPr>
                <w:rFonts w:cs="Arial"/>
              </w:rPr>
              <w:t>353.00</w:t>
            </w:r>
          </w:p>
        </w:tc>
        <w:tc>
          <w:tcPr>
            <w:tcW w:w="683" w:type="pct"/>
            <w:gridSpan w:val="3"/>
            <w:tcBorders>
              <w:top w:val="nil"/>
              <w:left w:val="nil"/>
              <w:bottom w:val="single" w:sz="4" w:space="0" w:color="auto"/>
              <w:right w:val="single" w:sz="4" w:space="0" w:color="auto"/>
            </w:tcBorders>
            <w:shd w:val="clear" w:color="auto" w:fill="auto"/>
            <w:vAlign w:val="center"/>
          </w:tcPr>
          <w:p w14:paraId="59843572" w14:textId="77777777" w:rsidR="004550D1" w:rsidRPr="004550D1" w:rsidRDefault="004550D1" w:rsidP="00AD40F8">
            <w:pPr>
              <w:pStyle w:val="Tabletext1"/>
              <w:spacing w:before="40" w:after="40"/>
              <w:rPr>
                <w:rFonts w:cs="Arial"/>
              </w:rPr>
            </w:pPr>
            <w:r w:rsidRPr="004550D1">
              <w:rPr>
                <w:rFonts w:cs="Arial"/>
              </w:rPr>
              <w:t>-75.50</w:t>
            </w:r>
          </w:p>
        </w:tc>
        <w:tc>
          <w:tcPr>
            <w:tcW w:w="622" w:type="pct"/>
            <w:tcBorders>
              <w:top w:val="nil"/>
              <w:left w:val="nil"/>
              <w:bottom w:val="single" w:sz="4" w:space="0" w:color="auto"/>
              <w:right w:val="single" w:sz="4" w:space="0" w:color="auto"/>
            </w:tcBorders>
            <w:shd w:val="clear" w:color="auto" w:fill="auto"/>
            <w:vAlign w:val="center"/>
          </w:tcPr>
          <w:p w14:paraId="40034934" w14:textId="77777777" w:rsidR="004550D1" w:rsidRPr="004550D1" w:rsidRDefault="004550D1" w:rsidP="00AD40F8">
            <w:pPr>
              <w:pStyle w:val="Tabletext1"/>
              <w:spacing w:before="40" w:after="40"/>
              <w:rPr>
                <w:rFonts w:cs="Arial"/>
              </w:rPr>
            </w:pPr>
            <w:r w:rsidRPr="004550D1">
              <w:rPr>
                <w:rFonts w:cs="Arial"/>
              </w:rPr>
              <w:t>277.50</w:t>
            </w:r>
          </w:p>
        </w:tc>
        <w:tc>
          <w:tcPr>
            <w:tcW w:w="630" w:type="pct"/>
            <w:gridSpan w:val="2"/>
            <w:tcBorders>
              <w:top w:val="nil"/>
              <w:left w:val="nil"/>
              <w:bottom w:val="single" w:sz="4" w:space="0" w:color="auto"/>
              <w:right w:val="single" w:sz="4" w:space="0" w:color="auto"/>
            </w:tcBorders>
            <w:shd w:val="clear" w:color="auto" w:fill="auto"/>
            <w:vAlign w:val="center"/>
          </w:tcPr>
          <w:p w14:paraId="591C3438" w14:textId="77777777" w:rsidR="004550D1" w:rsidRPr="004550D1" w:rsidRDefault="004550D1" w:rsidP="00AD40F8">
            <w:pPr>
              <w:pStyle w:val="Tabletext1"/>
              <w:spacing w:before="40" w:after="40"/>
              <w:rPr>
                <w:rFonts w:cs="Arial"/>
              </w:rPr>
            </w:pPr>
            <w:r w:rsidRPr="004550D1">
              <w:rPr>
                <w:rFonts w:cs="Arial"/>
              </w:rPr>
              <w:t>0.00</w:t>
            </w:r>
          </w:p>
        </w:tc>
      </w:tr>
      <w:tr w:rsidR="004550D1" w:rsidRPr="004550D1" w14:paraId="12572A62"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2FC74864" w14:textId="77777777" w:rsidR="004550D1" w:rsidRPr="004550D1" w:rsidRDefault="004550D1" w:rsidP="00AD40F8">
            <w:pPr>
              <w:pStyle w:val="Tabletext1"/>
              <w:spacing w:before="40" w:after="40"/>
              <w:rPr>
                <w:rFonts w:cs="Arial"/>
              </w:rPr>
            </w:pPr>
            <w:r w:rsidRPr="004550D1">
              <w:rPr>
                <w:rFonts w:cs="Arial"/>
              </w:rPr>
              <w:t>Prostheses or equipment costs</w:t>
            </w:r>
          </w:p>
        </w:tc>
        <w:tc>
          <w:tcPr>
            <w:tcW w:w="786" w:type="pct"/>
            <w:gridSpan w:val="2"/>
            <w:tcBorders>
              <w:top w:val="nil"/>
              <w:left w:val="nil"/>
              <w:bottom w:val="single" w:sz="4" w:space="0" w:color="auto"/>
              <w:right w:val="single" w:sz="4" w:space="0" w:color="auto"/>
            </w:tcBorders>
            <w:shd w:val="clear" w:color="auto" w:fill="auto"/>
            <w:vAlign w:val="center"/>
          </w:tcPr>
          <w:p w14:paraId="0B3100A5" w14:textId="77777777" w:rsidR="004550D1" w:rsidRPr="004550D1" w:rsidRDefault="004550D1" w:rsidP="00AD40F8">
            <w:pPr>
              <w:pStyle w:val="Tabletext1"/>
              <w:spacing w:before="40" w:after="40"/>
              <w:rPr>
                <w:rFonts w:cs="Arial"/>
              </w:rPr>
            </w:pPr>
            <w:r w:rsidRPr="004550D1">
              <w:rPr>
                <w:rFonts w:cs="Arial"/>
              </w:rPr>
              <w:t>3,210.00</w:t>
            </w:r>
          </w:p>
        </w:tc>
        <w:tc>
          <w:tcPr>
            <w:tcW w:w="711" w:type="pct"/>
            <w:tcBorders>
              <w:top w:val="nil"/>
              <w:left w:val="nil"/>
              <w:bottom w:val="single" w:sz="4" w:space="0" w:color="auto"/>
              <w:right w:val="single" w:sz="4" w:space="0" w:color="auto"/>
            </w:tcBorders>
            <w:shd w:val="clear" w:color="auto" w:fill="auto"/>
            <w:vAlign w:val="center"/>
          </w:tcPr>
          <w:p w14:paraId="71F26506" w14:textId="77777777" w:rsidR="004550D1" w:rsidRPr="004550D1" w:rsidRDefault="004550D1" w:rsidP="00AD40F8">
            <w:pPr>
              <w:pStyle w:val="Tabletext1"/>
              <w:spacing w:before="40" w:after="40"/>
              <w:rPr>
                <w:rFonts w:cs="Arial"/>
              </w:rPr>
            </w:pPr>
            <w:r w:rsidRPr="004550D1">
              <w:rPr>
                <w:rFonts w:cs="Arial"/>
              </w:rPr>
              <w:t>293.50</w:t>
            </w:r>
          </w:p>
        </w:tc>
        <w:tc>
          <w:tcPr>
            <w:tcW w:w="683" w:type="pct"/>
            <w:gridSpan w:val="3"/>
            <w:tcBorders>
              <w:top w:val="nil"/>
              <w:left w:val="nil"/>
              <w:bottom w:val="single" w:sz="4" w:space="0" w:color="auto"/>
              <w:right w:val="single" w:sz="4" w:space="0" w:color="auto"/>
            </w:tcBorders>
            <w:shd w:val="clear" w:color="auto" w:fill="auto"/>
            <w:vAlign w:val="center"/>
          </w:tcPr>
          <w:p w14:paraId="7B1A8206" w14:textId="77777777" w:rsidR="004550D1" w:rsidRPr="004550D1" w:rsidRDefault="004550D1" w:rsidP="00AD40F8">
            <w:pPr>
              <w:pStyle w:val="Tabletext1"/>
              <w:spacing w:before="40" w:after="40"/>
              <w:rPr>
                <w:rFonts w:cs="Arial"/>
              </w:rPr>
            </w:pPr>
            <w:r w:rsidRPr="004550D1">
              <w:rPr>
                <w:rFonts w:cs="Arial"/>
              </w:rPr>
              <w:t>2,916.50</w:t>
            </w:r>
          </w:p>
        </w:tc>
        <w:tc>
          <w:tcPr>
            <w:tcW w:w="622" w:type="pct"/>
            <w:tcBorders>
              <w:top w:val="nil"/>
              <w:left w:val="nil"/>
              <w:bottom w:val="single" w:sz="4" w:space="0" w:color="auto"/>
              <w:right w:val="single" w:sz="4" w:space="0" w:color="auto"/>
            </w:tcBorders>
            <w:shd w:val="clear" w:color="auto" w:fill="auto"/>
            <w:vAlign w:val="center"/>
          </w:tcPr>
          <w:p w14:paraId="42FB2148" w14:textId="77777777" w:rsidR="004550D1" w:rsidRPr="004550D1" w:rsidRDefault="004550D1" w:rsidP="00AD40F8">
            <w:pPr>
              <w:pStyle w:val="Tabletext1"/>
              <w:spacing w:before="40" w:after="40"/>
              <w:rPr>
                <w:rFonts w:cs="Arial"/>
              </w:rPr>
            </w:pPr>
            <w:r w:rsidRPr="004550D1">
              <w:rPr>
                <w:rFonts w:cs="Arial"/>
              </w:rPr>
              <w:t>0.00</w:t>
            </w:r>
          </w:p>
        </w:tc>
        <w:tc>
          <w:tcPr>
            <w:tcW w:w="630" w:type="pct"/>
            <w:gridSpan w:val="2"/>
            <w:tcBorders>
              <w:top w:val="nil"/>
              <w:left w:val="nil"/>
              <w:bottom w:val="single" w:sz="4" w:space="0" w:color="auto"/>
              <w:right w:val="single" w:sz="4" w:space="0" w:color="auto"/>
            </w:tcBorders>
            <w:shd w:val="clear" w:color="auto" w:fill="auto"/>
            <w:vAlign w:val="center"/>
          </w:tcPr>
          <w:p w14:paraId="37389FCC" w14:textId="77777777" w:rsidR="004550D1" w:rsidRPr="004550D1" w:rsidRDefault="004550D1" w:rsidP="00AD40F8">
            <w:pPr>
              <w:pStyle w:val="Tabletext1"/>
              <w:spacing w:before="40" w:after="40"/>
              <w:rPr>
                <w:rFonts w:cs="Arial"/>
              </w:rPr>
            </w:pPr>
            <w:r w:rsidRPr="004550D1">
              <w:rPr>
                <w:rFonts w:cs="Arial"/>
              </w:rPr>
              <w:t>3,210.00</w:t>
            </w:r>
          </w:p>
        </w:tc>
      </w:tr>
      <w:tr w:rsidR="004550D1" w:rsidRPr="004550D1" w14:paraId="4457D008"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350199D7" w14:textId="77777777" w:rsidR="004550D1" w:rsidRPr="004550D1" w:rsidRDefault="004550D1" w:rsidP="00AD40F8">
            <w:pPr>
              <w:pStyle w:val="Tabletext1"/>
              <w:spacing w:before="40" w:after="40"/>
              <w:rPr>
                <w:rFonts w:cs="Arial"/>
              </w:rPr>
            </w:pPr>
            <w:r w:rsidRPr="004550D1">
              <w:rPr>
                <w:rFonts w:cs="Arial"/>
              </w:rPr>
              <w:t>Adverse events</w:t>
            </w:r>
          </w:p>
        </w:tc>
        <w:tc>
          <w:tcPr>
            <w:tcW w:w="786" w:type="pct"/>
            <w:gridSpan w:val="2"/>
            <w:tcBorders>
              <w:top w:val="nil"/>
              <w:left w:val="nil"/>
              <w:bottom w:val="single" w:sz="4" w:space="0" w:color="auto"/>
              <w:right w:val="single" w:sz="4" w:space="0" w:color="auto"/>
            </w:tcBorders>
            <w:shd w:val="clear" w:color="auto" w:fill="auto"/>
            <w:vAlign w:val="center"/>
          </w:tcPr>
          <w:p w14:paraId="19779557" w14:textId="77777777" w:rsidR="004550D1" w:rsidRPr="004550D1" w:rsidRDefault="004550D1" w:rsidP="00AD40F8">
            <w:pPr>
              <w:pStyle w:val="Tabletext1"/>
              <w:spacing w:before="40" w:after="40"/>
              <w:rPr>
                <w:rFonts w:cs="Arial"/>
              </w:rPr>
            </w:pPr>
            <w:r w:rsidRPr="004550D1">
              <w:rPr>
                <w:rFonts w:cs="Arial"/>
              </w:rPr>
              <w:t>0.00</w:t>
            </w:r>
          </w:p>
        </w:tc>
        <w:tc>
          <w:tcPr>
            <w:tcW w:w="711" w:type="pct"/>
            <w:tcBorders>
              <w:top w:val="nil"/>
              <w:left w:val="nil"/>
              <w:bottom w:val="single" w:sz="4" w:space="0" w:color="auto"/>
              <w:right w:val="single" w:sz="4" w:space="0" w:color="auto"/>
            </w:tcBorders>
            <w:shd w:val="clear" w:color="auto" w:fill="auto"/>
            <w:vAlign w:val="center"/>
          </w:tcPr>
          <w:p w14:paraId="1BA8E1FB" w14:textId="77777777" w:rsidR="004550D1" w:rsidRPr="004550D1" w:rsidRDefault="004550D1" w:rsidP="00AD40F8">
            <w:pPr>
              <w:pStyle w:val="Tabletext1"/>
              <w:spacing w:before="40" w:after="40"/>
              <w:rPr>
                <w:rFonts w:cs="Arial"/>
              </w:rPr>
            </w:pPr>
            <w:r w:rsidRPr="004550D1">
              <w:rPr>
                <w:rFonts w:cs="Arial"/>
              </w:rPr>
              <w:t>0.00</w:t>
            </w:r>
          </w:p>
        </w:tc>
        <w:tc>
          <w:tcPr>
            <w:tcW w:w="683" w:type="pct"/>
            <w:gridSpan w:val="3"/>
            <w:tcBorders>
              <w:top w:val="nil"/>
              <w:left w:val="nil"/>
              <w:bottom w:val="single" w:sz="4" w:space="0" w:color="auto"/>
              <w:right w:val="single" w:sz="4" w:space="0" w:color="auto"/>
            </w:tcBorders>
            <w:shd w:val="clear" w:color="auto" w:fill="auto"/>
            <w:vAlign w:val="center"/>
          </w:tcPr>
          <w:p w14:paraId="38F21694" w14:textId="77777777" w:rsidR="004550D1" w:rsidRPr="004550D1" w:rsidRDefault="004550D1" w:rsidP="00AD40F8">
            <w:pPr>
              <w:pStyle w:val="Tabletext1"/>
              <w:spacing w:before="40" w:after="40"/>
              <w:rPr>
                <w:rFonts w:cs="Arial"/>
              </w:rPr>
            </w:pPr>
            <w:r w:rsidRPr="004550D1">
              <w:rPr>
                <w:rFonts w:cs="Arial"/>
              </w:rPr>
              <w:t>0.00</w:t>
            </w:r>
          </w:p>
        </w:tc>
        <w:tc>
          <w:tcPr>
            <w:tcW w:w="622" w:type="pct"/>
            <w:tcBorders>
              <w:top w:val="nil"/>
              <w:left w:val="nil"/>
              <w:bottom w:val="single" w:sz="4" w:space="0" w:color="auto"/>
              <w:right w:val="single" w:sz="4" w:space="0" w:color="auto"/>
            </w:tcBorders>
            <w:shd w:val="clear" w:color="auto" w:fill="auto"/>
            <w:vAlign w:val="center"/>
          </w:tcPr>
          <w:p w14:paraId="3A58EEAD" w14:textId="77777777" w:rsidR="004550D1" w:rsidRPr="004550D1" w:rsidRDefault="004550D1" w:rsidP="00AD40F8">
            <w:pPr>
              <w:pStyle w:val="Tabletext1"/>
              <w:spacing w:before="40" w:after="40"/>
              <w:rPr>
                <w:rFonts w:cs="Arial"/>
              </w:rPr>
            </w:pPr>
            <w:r w:rsidRPr="004550D1">
              <w:rPr>
                <w:rFonts w:cs="Arial"/>
              </w:rPr>
              <w:t>0.00</w:t>
            </w:r>
          </w:p>
        </w:tc>
        <w:tc>
          <w:tcPr>
            <w:tcW w:w="630" w:type="pct"/>
            <w:gridSpan w:val="2"/>
            <w:tcBorders>
              <w:top w:val="nil"/>
              <w:left w:val="nil"/>
              <w:bottom w:val="single" w:sz="4" w:space="0" w:color="auto"/>
              <w:right w:val="single" w:sz="4" w:space="0" w:color="auto"/>
            </w:tcBorders>
            <w:shd w:val="clear" w:color="auto" w:fill="auto"/>
            <w:vAlign w:val="center"/>
          </w:tcPr>
          <w:p w14:paraId="00C9448F" w14:textId="77777777" w:rsidR="004550D1" w:rsidRPr="004550D1" w:rsidRDefault="004550D1" w:rsidP="00AD40F8">
            <w:pPr>
              <w:pStyle w:val="Tabletext1"/>
              <w:spacing w:before="40" w:after="40"/>
              <w:rPr>
                <w:rFonts w:cs="Arial"/>
              </w:rPr>
            </w:pPr>
            <w:r w:rsidRPr="004550D1">
              <w:rPr>
                <w:rFonts w:cs="Arial"/>
              </w:rPr>
              <w:t>0.00</w:t>
            </w:r>
          </w:p>
        </w:tc>
      </w:tr>
      <w:tr w:rsidR="004550D1" w:rsidRPr="004550D1" w14:paraId="71785B4E"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77D49194" w14:textId="77777777" w:rsidR="004550D1" w:rsidRPr="003B2CC0" w:rsidRDefault="004550D1" w:rsidP="00AD40F8">
            <w:pPr>
              <w:pStyle w:val="Tabletext1"/>
              <w:spacing w:before="40" w:after="40"/>
              <w:rPr>
                <w:rFonts w:cs="Arial"/>
                <w:b/>
              </w:rPr>
            </w:pPr>
            <w:r w:rsidRPr="003B2CC0">
              <w:rPr>
                <w:rFonts w:cs="Arial"/>
                <w:b/>
              </w:rPr>
              <w:t>Total</w:t>
            </w:r>
          </w:p>
        </w:tc>
        <w:tc>
          <w:tcPr>
            <w:tcW w:w="786" w:type="pct"/>
            <w:gridSpan w:val="2"/>
            <w:tcBorders>
              <w:top w:val="nil"/>
              <w:left w:val="nil"/>
              <w:bottom w:val="single" w:sz="4" w:space="0" w:color="auto"/>
              <w:right w:val="single" w:sz="4" w:space="0" w:color="auto"/>
            </w:tcBorders>
            <w:shd w:val="clear" w:color="auto" w:fill="auto"/>
            <w:vAlign w:val="center"/>
          </w:tcPr>
          <w:p w14:paraId="30E1DBCB" w14:textId="77777777" w:rsidR="004550D1" w:rsidRPr="003B2CC0" w:rsidRDefault="004550D1" w:rsidP="00AD40F8">
            <w:pPr>
              <w:pStyle w:val="Tabletext1"/>
              <w:spacing w:before="40" w:after="40"/>
              <w:rPr>
                <w:rFonts w:cs="Arial"/>
                <w:b/>
              </w:rPr>
            </w:pPr>
            <w:r w:rsidRPr="003B2CC0">
              <w:rPr>
                <w:rFonts w:cs="Arial"/>
                <w:b/>
              </w:rPr>
              <w:t>7,843.83</w:t>
            </w:r>
          </w:p>
        </w:tc>
        <w:tc>
          <w:tcPr>
            <w:tcW w:w="711" w:type="pct"/>
            <w:tcBorders>
              <w:top w:val="nil"/>
              <w:left w:val="nil"/>
              <w:bottom w:val="single" w:sz="4" w:space="0" w:color="auto"/>
              <w:right w:val="single" w:sz="4" w:space="0" w:color="auto"/>
            </w:tcBorders>
            <w:shd w:val="clear" w:color="auto" w:fill="auto"/>
            <w:vAlign w:val="center"/>
          </w:tcPr>
          <w:p w14:paraId="63B9CC7E" w14:textId="77777777" w:rsidR="004550D1" w:rsidRPr="003B2CC0" w:rsidRDefault="004550D1" w:rsidP="00AD40F8">
            <w:pPr>
              <w:pStyle w:val="Tabletext1"/>
              <w:spacing w:before="40" w:after="40"/>
              <w:rPr>
                <w:rFonts w:cs="Arial"/>
                <w:b/>
              </w:rPr>
            </w:pPr>
            <w:r w:rsidRPr="003B2CC0">
              <w:rPr>
                <w:rFonts w:cs="Arial"/>
                <w:b/>
              </w:rPr>
              <w:t>5,372.95</w:t>
            </w:r>
          </w:p>
        </w:tc>
        <w:tc>
          <w:tcPr>
            <w:tcW w:w="683" w:type="pct"/>
            <w:gridSpan w:val="3"/>
            <w:tcBorders>
              <w:top w:val="nil"/>
              <w:left w:val="nil"/>
              <w:bottom w:val="single" w:sz="4" w:space="0" w:color="auto"/>
              <w:right w:val="single" w:sz="4" w:space="0" w:color="auto"/>
            </w:tcBorders>
            <w:shd w:val="clear" w:color="auto" w:fill="auto"/>
            <w:vAlign w:val="center"/>
          </w:tcPr>
          <w:p w14:paraId="69E6DE21" w14:textId="77777777" w:rsidR="004550D1" w:rsidRPr="003B2CC0" w:rsidRDefault="004550D1" w:rsidP="00AD40F8">
            <w:pPr>
              <w:pStyle w:val="Tabletext1"/>
              <w:spacing w:before="40" w:after="40"/>
              <w:rPr>
                <w:rFonts w:cs="Arial"/>
                <w:b/>
              </w:rPr>
            </w:pPr>
            <w:r w:rsidRPr="003B2CC0">
              <w:rPr>
                <w:rFonts w:cs="Arial"/>
                <w:b/>
              </w:rPr>
              <w:t>2,470.88</w:t>
            </w:r>
          </w:p>
        </w:tc>
        <w:tc>
          <w:tcPr>
            <w:tcW w:w="622" w:type="pct"/>
            <w:tcBorders>
              <w:top w:val="nil"/>
              <w:left w:val="nil"/>
              <w:bottom w:val="single" w:sz="4" w:space="0" w:color="auto"/>
              <w:right w:val="single" w:sz="4" w:space="0" w:color="auto"/>
            </w:tcBorders>
            <w:shd w:val="clear" w:color="auto" w:fill="auto"/>
            <w:vAlign w:val="center"/>
          </w:tcPr>
          <w:p w14:paraId="58E48874" w14:textId="77777777" w:rsidR="004550D1" w:rsidRPr="003B2CC0" w:rsidRDefault="004550D1" w:rsidP="00AD40F8">
            <w:pPr>
              <w:pStyle w:val="Tabletext1"/>
              <w:spacing w:before="40" w:after="40"/>
              <w:rPr>
                <w:rFonts w:cs="Arial"/>
                <w:b/>
              </w:rPr>
            </w:pPr>
            <w:r w:rsidRPr="003B2CC0">
              <w:rPr>
                <w:rFonts w:cs="Arial"/>
                <w:b/>
              </w:rPr>
              <w:t>19,472.05</w:t>
            </w:r>
          </w:p>
        </w:tc>
        <w:tc>
          <w:tcPr>
            <w:tcW w:w="630" w:type="pct"/>
            <w:gridSpan w:val="2"/>
            <w:tcBorders>
              <w:top w:val="nil"/>
              <w:left w:val="nil"/>
              <w:bottom w:val="single" w:sz="4" w:space="0" w:color="auto"/>
              <w:right w:val="single" w:sz="4" w:space="0" w:color="auto"/>
            </w:tcBorders>
            <w:shd w:val="clear" w:color="auto" w:fill="auto"/>
            <w:vAlign w:val="center"/>
          </w:tcPr>
          <w:p w14:paraId="5253BCA1" w14:textId="77777777" w:rsidR="004550D1" w:rsidRPr="003B2CC0" w:rsidRDefault="004550D1" w:rsidP="00AD40F8">
            <w:pPr>
              <w:pStyle w:val="Tabletext1"/>
              <w:spacing w:before="40" w:after="40"/>
              <w:rPr>
                <w:rFonts w:cs="Arial"/>
                <w:b/>
              </w:rPr>
            </w:pPr>
            <w:r w:rsidRPr="003B2CC0">
              <w:rPr>
                <w:rFonts w:cs="Arial"/>
                <w:b/>
              </w:rPr>
              <w:t>-11,628.22</w:t>
            </w:r>
          </w:p>
        </w:tc>
      </w:tr>
      <w:tr w:rsidR="008A7BBB" w:rsidRPr="004550D1" w14:paraId="18C9E887" w14:textId="77777777" w:rsidTr="00AD40F8">
        <w:trPr>
          <w:trHeight w:val="77"/>
        </w:trPr>
        <w:tc>
          <w:tcPr>
            <w:tcW w:w="1568" w:type="pct"/>
            <w:tcBorders>
              <w:top w:val="nil"/>
              <w:left w:val="single" w:sz="4" w:space="0" w:color="auto"/>
              <w:bottom w:val="single" w:sz="4" w:space="0" w:color="auto"/>
              <w:right w:val="single" w:sz="4" w:space="0" w:color="auto"/>
            </w:tcBorders>
            <w:shd w:val="clear" w:color="000000" w:fill="D9D9D9"/>
            <w:vAlign w:val="center"/>
            <w:hideMark/>
          </w:tcPr>
          <w:p w14:paraId="3153B1FA" w14:textId="77777777" w:rsidR="008A7BBB" w:rsidRPr="004550D1" w:rsidRDefault="008A7BBB" w:rsidP="00AD40F8">
            <w:pPr>
              <w:pStyle w:val="Tabletext1"/>
              <w:spacing w:before="40" w:after="40"/>
              <w:rPr>
                <w:rFonts w:cs="Arial"/>
              </w:rPr>
            </w:pPr>
            <w:r w:rsidRPr="004550D1">
              <w:rPr>
                <w:rFonts w:cs="Arial"/>
              </w:rPr>
              <w:t> </w:t>
            </w:r>
          </w:p>
        </w:tc>
        <w:tc>
          <w:tcPr>
            <w:tcW w:w="271" w:type="pct"/>
            <w:tcBorders>
              <w:top w:val="single" w:sz="4" w:space="0" w:color="auto"/>
              <w:left w:val="single" w:sz="4" w:space="0" w:color="auto"/>
              <w:bottom w:val="single" w:sz="4" w:space="0" w:color="auto"/>
            </w:tcBorders>
            <w:shd w:val="clear" w:color="000000" w:fill="D9D9D9"/>
            <w:vAlign w:val="center"/>
          </w:tcPr>
          <w:p w14:paraId="2C5B0648" w14:textId="77777777" w:rsidR="008A7BBB" w:rsidRPr="00C77E02" w:rsidRDefault="008A7BBB" w:rsidP="00AD40F8">
            <w:pPr>
              <w:pStyle w:val="Tabletext1"/>
              <w:spacing w:before="40" w:after="40"/>
              <w:rPr>
                <w:rFonts w:cs="Arial"/>
                <w:b/>
              </w:rPr>
            </w:pPr>
          </w:p>
        </w:tc>
        <w:tc>
          <w:tcPr>
            <w:tcW w:w="1779" w:type="pct"/>
            <w:gridSpan w:val="4"/>
            <w:tcBorders>
              <w:top w:val="single" w:sz="4" w:space="0" w:color="auto"/>
              <w:bottom w:val="single" w:sz="4" w:space="0" w:color="auto"/>
            </w:tcBorders>
            <w:shd w:val="clear" w:color="000000" w:fill="D9D9D9"/>
            <w:vAlign w:val="center"/>
          </w:tcPr>
          <w:p w14:paraId="3B0CB79F" w14:textId="256E0B90" w:rsidR="008A7BBB" w:rsidRPr="00C77E02" w:rsidRDefault="008A7BBB" w:rsidP="00AD40F8">
            <w:pPr>
              <w:pStyle w:val="Tabletext1"/>
              <w:spacing w:before="40" w:after="40"/>
              <w:rPr>
                <w:rFonts w:cs="Arial"/>
                <w:b/>
              </w:rPr>
            </w:pPr>
            <w:r w:rsidRPr="00C77E02">
              <w:rPr>
                <w:rFonts w:cs="Arial"/>
                <w:b/>
              </w:rPr>
              <w:t>Populations one and two, 3</w:t>
            </w:r>
            <w:r w:rsidR="00D35E9C">
              <w:rPr>
                <w:rFonts w:cs="Arial"/>
                <w:b/>
              </w:rPr>
              <w:t>–</w:t>
            </w:r>
            <w:r w:rsidRPr="00C77E02">
              <w:rPr>
                <w:rFonts w:cs="Arial"/>
                <w:b/>
              </w:rPr>
              <w:t>5 lesions</w:t>
            </w:r>
          </w:p>
        </w:tc>
        <w:tc>
          <w:tcPr>
            <w:tcW w:w="130" w:type="pct"/>
            <w:tcBorders>
              <w:top w:val="single" w:sz="4" w:space="0" w:color="auto"/>
              <w:bottom w:val="single" w:sz="4" w:space="0" w:color="auto"/>
              <w:right w:val="single" w:sz="4" w:space="0" w:color="auto"/>
            </w:tcBorders>
            <w:shd w:val="clear" w:color="000000" w:fill="D9D9D9"/>
            <w:vAlign w:val="center"/>
          </w:tcPr>
          <w:p w14:paraId="72DF9A5C" w14:textId="5DAF624D" w:rsidR="008A7BBB" w:rsidRPr="00C77E02" w:rsidRDefault="008A7BBB" w:rsidP="00AD40F8">
            <w:pPr>
              <w:pStyle w:val="Tabletext1"/>
              <w:spacing w:before="40" w:after="40"/>
              <w:rPr>
                <w:rFonts w:cs="Arial"/>
                <w:b/>
              </w:rPr>
            </w:pPr>
          </w:p>
        </w:tc>
        <w:tc>
          <w:tcPr>
            <w:tcW w:w="1110" w:type="pct"/>
            <w:gridSpan w:val="2"/>
            <w:tcBorders>
              <w:top w:val="single" w:sz="4" w:space="0" w:color="auto"/>
              <w:left w:val="single" w:sz="4" w:space="0" w:color="auto"/>
              <w:bottom w:val="single" w:sz="4" w:space="0" w:color="auto"/>
            </w:tcBorders>
            <w:shd w:val="clear" w:color="000000" w:fill="D9D9D9"/>
            <w:vAlign w:val="center"/>
            <w:hideMark/>
          </w:tcPr>
          <w:p w14:paraId="7147BE17" w14:textId="63CB43C2" w:rsidR="008A7BBB" w:rsidRPr="00C77E02" w:rsidRDefault="008A7BBB" w:rsidP="00AD40F8">
            <w:pPr>
              <w:pStyle w:val="Tabletext1"/>
              <w:spacing w:before="40" w:after="40"/>
              <w:jc w:val="center"/>
              <w:rPr>
                <w:rFonts w:cs="Arial"/>
                <w:b/>
              </w:rPr>
            </w:pPr>
            <w:r w:rsidRPr="00C77E02">
              <w:rPr>
                <w:rFonts w:cs="Arial"/>
                <w:b/>
              </w:rPr>
              <w:t>Population two, 3</w:t>
            </w:r>
            <w:r w:rsidR="00D35E9C">
              <w:rPr>
                <w:rFonts w:cs="Arial"/>
                <w:b/>
              </w:rPr>
              <w:t>–</w:t>
            </w:r>
            <w:r w:rsidRPr="00C77E02">
              <w:rPr>
                <w:rFonts w:cs="Arial"/>
                <w:b/>
              </w:rPr>
              <w:t>5 lesions</w:t>
            </w:r>
          </w:p>
        </w:tc>
        <w:tc>
          <w:tcPr>
            <w:tcW w:w="142" w:type="pct"/>
            <w:tcBorders>
              <w:top w:val="single" w:sz="4" w:space="0" w:color="auto"/>
              <w:bottom w:val="single" w:sz="4" w:space="0" w:color="auto"/>
              <w:right w:val="single" w:sz="4" w:space="0" w:color="auto"/>
            </w:tcBorders>
            <w:shd w:val="clear" w:color="000000" w:fill="D9D9D9"/>
            <w:vAlign w:val="center"/>
          </w:tcPr>
          <w:p w14:paraId="0731B3C3" w14:textId="430D5376" w:rsidR="008A7BBB" w:rsidRPr="00C77E02" w:rsidRDefault="008A7BBB" w:rsidP="00AD40F8">
            <w:pPr>
              <w:pStyle w:val="Tabletext1"/>
              <w:spacing w:before="40" w:after="40"/>
              <w:rPr>
                <w:rFonts w:cs="Arial"/>
                <w:b/>
              </w:rPr>
            </w:pPr>
          </w:p>
        </w:tc>
      </w:tr>
      <w:tr w:rsidR="00AB788C" w:rsidRPr="004550D1" w14:paraId="1D45DD20"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14EA4EB9" w14:textId="77777777" w:rsidR="00AB788C" w:rsidRPr="004550D1" w:rsidRDefault="00AB788C" w:rsidP="00AD40F8">
            <w:pPr>
              <w:pStyle w:val="Tabletext1"/>
              <w:spacing w:before="40" w:after="40"/>
              <w:rPr>
                <w:rFonts w:cs="Arial"/>
              </w:rPr>
            </w:pPr>
            <w:r w:rsidRPr="004550D1">
              <w:rPr>
                <w:rFonts w:cs="Arial"/>
              </w:rPr>
              <w:t>Specialist services – screening prior to intervention</w:t>
            </w:r>
          </w:p>
        </w:tc>
        <w:tc>
          <w:tcPr>
            <w:tcW w:w="786" w:type="pct"/>
            <w:gridSpan w:val="2"/>
            <w:tcBorders>
              <w:top w:val="single" w:sz="4" w:space="0" w:color="auto"/>
              <w:left w:val="nil"/>
              <w:bottom w:val="single" w:sz="4" w:space="0" w:color="auto"/>
              <w:right w:val="single" w:sz="4" w:space="0" w:color="auto"/>
            </w:tcBorders>
            <w:shd w:val="clear" w:color="auto" w:fill="auto"/>
            <w:vAlign w:val="center"/>
          </w:tcPr>
          <w:p w14:paraId="7BDAD436" w14:textId="77777777" w:rsidR="00AB788C" w:rsidRPr="004550D1" w:rsidRDefault="00AB788C" w:rsidP="00AD40F8">
            <w:pPr>
              <w:pStyle w:val="Tabletext1"/>
              <w:spacing w:before="40" w:after="40"/>
              <w:rPr>
                <w:rFonts w:cs="Arial"/>
              </w:rPr>
            </w:pPr>
            <w:r w:rsidRPr="004550D1">
              <w:rPr>
                <w:rFonts w:cs="Arial"/>
              </w:rPr>
              <w:t>1,557.55</w:t>
            </w:r>
          </w:p>
        </w:tc>
        <w:tc>
          <w:tcPr>
            <w:tcW w:w="711" w:type="pct"/>
            <w:tcBorders>
              <w:top w:val="single" w:sz="4" w:space="0" w:color="auto"/>
              <w:left w:val="nil"/>
              <w:bottom w:val="single" w:sz="4" w:space="0" w:color="auto"/>
              <w:right w:val="single" w:sz="4" w:space="0" w:color="auto"/>
            </w:tcBorders>
            <w:shd w:val="clear" w:color="auto" w:fill="auto"/>
            <w:vAlign w:val="center"/>
          </w:tcPr>
          <w:p w14:paraId="150C26FD" w14:textId="77777777" w:rsidR="00AB788C" w:rsidRPr="004550D1" w:rsidRDefault="00AB788C" w:rsidP="00AD40F8">
            <w:pPr>
              <w:pStyle w:val="Tabletext1"/>
              <w:spacing w:before="40" w:after="40"/>
              <w:rPr>
                <w:rFonts w:cs="Arial"/>
              </w:rPr>
            </w:pPr>
            <w:r w:rsidRPr="004550D1">
              <w:rPr>
                <w:rFonts w:cs="Arial"/>
              </w:rPr>
              <w:t>1,557.55</w:t>
            </w:r>
          </w:p>
        </w:tc>
        <w:tc>
          <w:tcPr>
            <w:tcW w:w="683" w:type="pct"/>
            <w:gridSpan w:val="3"/>
            <w:tcBorders>
              <w:top w:val="single" w:sz="4" w:space="0" w:color="auto"/>
              <w:left w:val="nil"/>
              <w:bottom w:val="single" w:sz="4" w:space="0" w:color="auto"/>
              <w:right w:val="single" w:sz="4" w:space="0" w:color="auto"/>
            </w:tcBorders>
            <w:shd w:val="clear" w:color="auto" w:fill="auto"/>
            <w:vAlign w:val="center"/>
          </w:tcPr>
          <w:p w14:paraId="0E4065B2" w14:textId="77777777" w:rsidR="00AB788C" w:rsidRPr="004550D1" w:rsidRDefault="00AB788C" w:rsidP="00AD40F8">
            <w:pPr>
              <w:pStyle w:val="Tabletext1"/>
              <w:spacing w:before="40" w:after="40"/>
              <w:rPr>
                <w:rFonts w:cs="Arial"/>
              </w:rPr>
            </w:pPr>
            <w:r w:rsidRPr="004550D1">
              <w:rPr>
                <w:rFonts w:cs="Arial"/>
              </w:rPr>
              <w:t>0.00</w:t>
            </w:r>
          </w:p>
        </w:tc>
        <w:tc>
          <w:tcPr>
            <w:tcW w:w="622" w:type="pct"/>
            <w:tcBorders>
              <w:top w:val="single" w:sz="4" w:space="0" w:color="auto"/>
              <w:left w:val="nil"/>
              <w:bottom w:val="single" w:sz="4" w:space="0" w:color="auto"/>
              <w:right w:val="single" w:sz="4" w:space="0" w:color="auto"/>
            </w:tcBorders>
            <w:shd w:val="clear" w:color="auto" w:fill="auto"/>
            <w:vAlign w:val="center"/>
          </w:tcPr>
          <w:p w14:paraId="578A1077" w14:textId="77777777" w:rsidR="00AB788C" w:rsidRPr="004550D1" w:rsidRDefault="00AB788C" w:rsidP="00AD40F8">
            <w:pPr>
              <w:pStyle w:val="Tabletext1"/>
              <w:spacing w:before="40" w:after="40"/>
              <w:rPr>
                <w:rFonts w:cs="Arial"/>
              </w:rPr>
            </w:pPr>
            <w:r w:rsidRPr="004550D1">
              <w:rPr>
                <w:rFonts w:cs="Arial"/>
              </w:rPr>
              <w:t>1,557.55</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6A684E9" w14:textId="77777777" w:rsidR="00AB788C" w:rsidRPr="004550D1" w:rsidRDefault="00AB788C" w:rsidP="00AD40F8">
            <w:pPr>
              <w:pStyle w:val="Tabletext1"/>
              <w:spacing w:before="40" w:after="40"/>
              <w:rPr>
                <w:rFonts w:cs="Arial"/>
              </w:rPr>
            </w:pPr>
            <w:r w:rsidRPr="004550D1">
              <w:rPr>
                <w:rFonts w:cs="Arial"/>
              </w:rPr>
              <w:t>0.00</w:t>
            </w:r>
          </w:p>
        </w:tc>
      </w:tr>
      <w:tr w:rsidR="00AB788C" w:rsidRPr="004550D1" w14:paraId="42D4332E"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1C40DF7B" w14:textId="77777777" w:rsidR="00AB788C" w:rsidRPr="004550D1" w:rsidRDefault="00AB788C" w:rsidP="00AD40F8">
            <w:pPr>
              <w:pStyle w:val="Tabletext1"/>
              <w:spacing w:before="40" w:after="40"/>
              <w:rPr>
                <w:rFonts w:cs="Arial"/>
              </w:rPr>
            </w:pPr>
            <w:r w:rsidRPr="004550D1">
              <w:rPr>
                <w:rFonts w:cs="Arial"/>
              </w:rPr>
              <w:t>Specialist services – intervention (MBS supported)</w:t>
            </w:r>
          </w:p>
        </w:tc>
        <w:tc>
          <w:tcPr>
            <w:tcW w:w="786" w:type="pct"/>
            <w:gridSpan w:val="2"/>
            <w:tcBorders>
              <w:top w:val="nil"/>
              <w:left w:val="nil"/>
              <w:bottom w:val="single" w:sz="4" w:space="0" w:color="auto"/>
              <w:right w:val="single" w:sz="4" w:space="0" w:color="auto"/>
            </w:tcBorders>
            <w:shd w:val="clear" w:color="auto" w:fill="auto"/>
            <w:vAlign w:val="center"/>
          </w:tcPr>
          <w:p w14:paraId="7FCA36C4" w14:textId="77777777" w:rsidR="00AB788C" w:rsidRPr="004550D1" w:rsidRDefault="00AB788C" w:rsidP="00AD40F8">
            <w:pPr>
              <w:pStyle w:val="Tabletext1"/>
              <w:spacing w:before="40" w:after="40"/>
              <w:rPr>
                <w:rFonts w:cs="Arial"/>
              </w:rPr>
            </w:pPr>
            <w:r w:rsidRPr="004550D1">
              <w:rPr>
                <w:rFonts w:cs="Arial"/>
              </w:rPr>
              <w:t>2,166.68</w:t>
            </w:r>
          </w:p>
        </w:tc>
        <w:tc>
          <w:tcPr>
            <w:tcW w:w="711" w:type="pct"/>
            <w:tcBorders>
              <w:top w:val="nil"/>
              <w:left w:val="nil"/>
              <w:bottom w:val="single" w:sz="4" w:space="0" w:color="auto"/>
              <w:right w:val="single" w:sz="4" w:space="0" w:color="auto"/>
            </w:tcBorders>
            <w:shd w:val="clear" w:color="auto" w:fill="auto"/>
            <w:vAlign w:val="center"/>
          </w:tcPr>
          <w:p w14:paraId="0BA3E92E" w14:textId="77777777" w:rsidR="00AB788C" w:rsidRPr="004550D1" w:rsidRDefault="00AB788C" w:rsidP="00AD40F8">
            <w:pPr>
              <w:pStyle w:val="Tabletext1"/>
              <w:spacing w:before="40" w:after="40"/>
              <w:rPr>
                <w:rFonts w:cs="Arial"/>
              </w:rPr>
            </w:pPr>
            <w:r w:rsidRPr="004550D1">
              <w:rPr>
                <w:rFonts w:cs="Arial"/>
              </w:rPr>
              <w:t>3,494.90</w:t>
            </w:r>
          </w:p>
        </w:tc>
        <w:tc>
          <w:tcPr>
            <w:tcW w:w="683" w:type="pct"/>
            <w:gridSpan w:val="3"/>
            <w:tcBorders>
              <w:top w:val="nil"/>
              <w:left w:val="nil"/>
              <w:bottom w:val="single" w:sz="4" w:space="0" w:color="auto"/>
              <w:right w:val="single" w:sz="4" w:space="0" w:color="auto"/>
            </w:tcBorders>
            <w:shd w:val="clear" w:color="auto" w:fill="auto"/>
            <w:vAlign w:val="center"/>
          </w:tcPr>
          <w:p w14:paraId="2A353373" w14:textId="77777777" w:rsidR="00AB788C" w:rsidRPr="004550D1" w:rsidRDefault="00AB788C" w:rsidP="00AD40F8">
            <w:pPr>
              <w:pStyle w:val="Tabletext1"/>
              <w:spacing w:before="40" w:after="40"/>
              <w:rPr>
                <w:rFonts w:cs="Arial"/>
              </w:rPr>
            </w:pPr>
            <w:r w:rsidRPr="004550D1">
              <w:rPr>
                <w:rFonts w:cs="Arial"/>
              </w:rPr>
              <w:t>-1,328.22</w:t>
            </w:r>
          </w:p>
        </w:tc>
        <w:tc>
          <w:tcPr>
            <w:tcW w:w="622" w:type="pct"/>
            <w:tcBorders>
              <w:top w:val="nil"/>
              <w:left w:val="nil"/>
              <w:bottom w:val="single" w:sz="4" w:space="0" w:color="auto"/>
              <w:right w:val="single" w:sz="4" w:space="0" w:color="auto"/>
            </w:tcBorders>
            <w:shd w:val="clear" w:color="auto" w:fill="auto"/>
            <w:vAlign w:val="center"/>
          </w:tcPr>
          <w:p w14:paraId="56037CEC" w14:textId="77777777" w:rsidR="00AB788C" w:rsidRPr="004550D1" w:rsidRDefault="00AB788C" w:rsidP="00AD40F8">
            <w:pPr>
              <w:pStyle w:val="Tabletext1"/>
              <w:spacing w:before="40" w:after="40"/>
              <w:rPr>
                <w:rFonts w:cs="Arial"/>
              </w:rPr>
            </w:pPr>
            <w:r w:rsidRPr="004550D1">
              <w:rPr>
                <w:rFonts w:cs="Arial"/>
              </w:rPr>
              <w:t>2,814.33</w:t>
            </w:r>
          </w:p>
        </w:tc>
        <w:tc>
          <w:tcPr>
            <w:tcW w:w="630" w:type="pct"/>
            <w:gridSpan w:val="2"/>
            <w:tcBorders>
              <w:top w:val="nil"/>
              <w:left w:val="nil"/>
              <w:bottom w:val="single" w:sz="4" w:space="0" w:color="auto"/>
              <w:right w:val="single" w:sz="4" w:space="0" w:color="auto"/>
            </w:tcBorders>
            <w:shd w:val="clear" w:color="auto" w:fill="auto"/>
            <w:vAlign w:val="center"/>
          </w:tcPr>
          <w:p w14:paraId="5EDC41C6" w14:textId="77777777" w:rsidR="00AB788C" w:rsidRPr="004550D1" w:rsidRDefault="00AB788C" w:rsidP="00AD40F8">
            <w:pPr>
              <w:pStyle w:val="Tabletext1"/>
              <w:spacing w:before="40" w:after="40"/>
              <w:rPr>
                <w:rFonts w:cs="Arial"/>
              </w:rPr>
            </w:pPr>
            <w:r w:rsidRPr="004550D1">
              <w:rPr>
                <w:rFonts w:cs="Arial"/>
              </w:rPr>
              <w:t>-647.65</w:t>
            </w:r>
          </w:p>
        </w:tc>
      </w:tr>
      <w:tr w:rsidR="00AB788C" w:rsidRPr="004550D1" w14:paraId="71FAC0B9"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61BC34EA" w14:textId="77777777" w:rsidR="00AB788C" w:rsidRPr="004550D1" w:rsidRDefault="00AB788C" w:rsidP="00AD40F8">
            <w:pPr>
              <w:pStyle w:val="Tabletext1"/>
              <w:spacing w:before="40" w:after="40"/>
              <w:rPr>
                <w:rFonts w:cs="Arial"/>
              </w:rPr>
            </w:pPr>
            <w:r w:rsidRPr="004550D1">
              <w:rPr>
                <w:rFonts w:cs="Arial"/>
              </w:rPr>
              <w:t>Specialist services – intervention (Hospital)</w:t>
            </w:r>
          </w:p>
        </w:tc>
        <w:tc>
          <w:tcPr>
            <w:tcW w:w="786" w:type="pct"/>
            <w:gridSpan w:val="2"/>
            <w:tcBorders>
              <w:top w:val="nil"/>
              <w:left w:val="nil"/>
              <w:bottom w:val="single" w:sz="4" w:space="0" w:color="auto"/>
              <w:right w:val="single" w:sz="4" w:space="0" w:color="auto"/>
            </w:tcBorders>
            <w:shd w:val="clear" w:color="auto" w:fill="auto"/>
            <w:vAlign w:val="center"/>
          </w:tcPr>
          <w:p w14:paraId="0C46E09C" w14:textId="77777777" w:rsidR="00AB788C" w:rsidRPr="004550D1" w:rsidRDefault="00AB788C" w:rsidP="00AD40F8">
            <w:pPr>
              <w:pStyle w:val="Tabletext1"/>
              <w:spacing w:before="40" w:after="40"/>
              <w:rPr>
                <w:rFonts w:cs="Arial"/>
              </w:rPr>
            </w:pPr>
            <w:r w:rsidRPr="004550D1">
              <w:rPr>
                <w:rFonts w:cs="Arial"/>
              </w:rPr>
              <w:t>932.10</w:t>
            </w:r>
          </w:p>
        </w:tc>
        <w:tc>
          <w:tcPr>
            <w:tcW w:w="711" w:type="pct"/>
            <w:tcBorders>
              <w:top w:val="nil"/>
              <w:left w:val="nil"/>
              <w:bottom w:val="single" w:sz="4" w:space="0" w:color="auto"/>
              <w:right w:val="single" w:sz="4" w:space="0" w:color="auto"/>
            </w:tcBorders>
            <w:shd w:val="clear" w:color="auto" w:fill="auto"/>
            <w:vAlign w:val="center"/>
          </w:tcPr>
          <w:p w14:paraId="16236DDB" w14:textId="77777777" w:rsidR="00AB788C" w:rsidRPr="004550D1" w:rsidRDefault="00AB788C" w:rsidP="00AD40F8">
            <w:pPr>
              <w:pStyle w:val="Tabletext1"/>
              <w:spacing w:before="40" w:after="40"/>
              <w:rPr>
                <w:rFonts w:cs="Arial"/>
              </w:rPr>
            </w:pPr>
            <w:r w:rsidRPr="004550D1">
              <w:rPr>
                <w:rFonts w:cs="Arial"/>
              </w:rPr>
              <w:t>0.00</w:t>
            </w:r>
          </w:p>
        </w:tc>
        <w:tc>
          <w:tcPr>
            <w:tcW w:w="683" w:type="pct"/>
            <w:gridSpan w:val="3"/>
            <w:tcBorders>
              <w:top w:val="nil"/>
              <w:left w:val="nil"/>
              <w:bottom w:val="single" w:sz="4" w:space="0" w:color="auto"/>
              <w:right w:val="single" w:sz="4" w:space="0" w:color="auto"/>
            </w:tcBorders>
            <w:shd w:val="clear" w:color="auto" w:fill="auto"/>
            <w:vAlign w:val="center"/>
          </w:tcPr>
          <w:p w14:paraId="683A3256" w14:textId="77777777" w:rsidR="00AB788C" w:rsidRPr="004550D1" w:rsidRDefault="00AB788C" w:rsidP="00AD40F8">
            <w:pPr>
              <w:pStyle w:val="Tabletext1"/>
              <w:spacing w:before="40" w:after="40"/>
              <w:rPr>
                <w:rFonts w:cs="Arial"/>
              </w:rPr>
            </w:pPr>
            <w:r w:rsidRPr="004550D1">
              <w:rPr>
                <w:rFonts w:cs="Arial"/>
              </w:rPr>
              <w:t>932.10</w:t>
            </w:r>
          </w:p>
        </w:tc>
        <w:tc>
          <w:tcPr>
            <w:tcW w:w="622" w:type="pct"/>
            <w:tcBorders>
              <w:top w:val="nil"/>
              <w:left w:val="nil"/>
              <w:bottom w:val="single" w:sz="4" w:space="0" w:color="auto"/>
              <w:right w:val="single" w:sz="4" w:space="0" w:color="auto"/>
            </w:tcBorders>
            <w:shd w:val="clear" w:color="auto" w:fill="auto"/>
            <w:vAlign w:val="center"/>
          </w:tcPr>
          <w:p w14:paraId="1BAA0DE6" w14:textId="77777777" w:rsidR="00AB788C" w:rsidRPr="004550D1" w:rsidRDefault="00AB788C" w:rsidP="00AD40F8">
            <w:pPr>
              <w:pStyle w:val="Tabletext1"/>
              <w:spacing w:before="40" w:after="40"/>
              <w:rPr>
                <w:rFonts w:cs="Arial"/>
              </w:rPr>
            </w:pPr>
            <w:r w:rsidRPr="004550D1">
              <w:rPr>
                <w:rFonts w:cs="Arial"/>
              </w:rPr>
              <w:t>14,822.67</w:t>
            </w:r>
          </w:p>
        </w:tc>
        <w:tc>
          <w:tcPr>
            <w:tcW w:w="630" w:type="pct"/>
            <w:gridSpan w:val="2"/>
            <w:tcBorders>
              <w:top w:val="nil"/>
              <w:left w:val="nil"/>
              <w:bottom w:val="single" w:sz="4" w:space="0" w:color="auto"/>
              <w:right w:val="single" w:sz="4" w:space="0" w:color="auto"/>
            </w:tcBorders>
            <w:shd w:val="clear" w:color="auto" w:fill="auto"/>
            <w:vAlign w:val="center"/>
          </w:tcPr>
          <w:p w14:paraId="65E3DF4F" w14:textId="77777777" w:rsidR="00AB788C" w:rsidRPr="004550D1" w:rsidRDefault="00AB788C" w:rsidP="00AD40F8">
            <w:pPr>
              <w:pStyle w:val="Tabletext1"/>
              <w:spacing w:before="40" w:after="40"/>
              <w:rPr>
                <w:rFonts w:cs="Arial"/>
              </w:rPr>
            </w:pPr>
            <w:r w:rsidRPr="004550D1">
              <w:rPr>
                <w:rFonts w:cs="Arial"/>
              </w:rPr>
              <w:t>-13,890.57</w:t>
            </w:r>
          </w:p>
        </w:tc>
      </w:tr>
      <w:tr w:rsidR="00AB788C" w:rsidRPr="004550D1" w14:paraId="1B7BE602"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3BC0700B" w14:textId="77777777" w:rsidR="00AB788C" w:rsidRPr="004550D1" w:rsidRDefault="00AB788C" w:rsidP="00AD40F8">
            <w:pPr>
              <w:pStyle w:val="Tabletext1"/>
              <w:spacing w:before="40" w:after="40"/>
              <w:rPr>
                <w:rFonts w:cs="Arial"/>
              </w:rPr>
            </w:pPr>
            <w:r w:rsidRPr="004550D1">
              <w:rPr>
                <w:rFonts w:cs="Arial"/>
              </w:rPr>
              <w:t>Specialist services – post intervention follow-up</w:t>
            </w:r>
          </w:p>
        </w:tc>
        <w:tc>
          <w:tcPr>
            <w:tcW w:w="786" w:type="pct"/>
            <w:gridSpan w:val="2"/>
            <w:tcBorders>
              <w:top w:val="nil"/>
              <w:left w:val="nil"/>
              <w:bottom w:val="single" w:sz="4" w:space="0" w:color="auto"/>
              <w:right w:val="single" w:sz="4" w:space="0" w:color="auto"/>
            </w:tcBorders>
            <w:shd w:val="clear" w:color="auto" w:fill="auto"/>
            <w:vAlign w:val="center"/>
          </w:tcPr>
          <w:p w14:paraId="60973321" w14:textId="77777777" w:rsidR="00AB788C" w:rsidRPr="004550D1" w:rsidRDefault="00AB788C" w:rsidP="00AD40F8">
            <w:pPr>
              <w:pStyle w:val="Tabletext1"/>
              <w:spacing w:before="40" w:after="40"/>
              <w:rPr>
                <w:rFonts w:cs="Arial"/>
              </w:rPr>
            </w:pPr>
            <w:r w:rsidRPr="004550D1">
              <w:rPr>
                <w:rFonts w:cs="Arial"/>
              </w:rPr>
              <w:t>277.50</w:t>
            </w:r>
          </w:p>
        </w:tc>
        <w:tc>
          <w:tcPr>
            <w:tcW w:w="711" w:type="pct"/>
            <w:tcBorders>
              <w:top w:val="nil"/>
              <w:left w:val="nil"/>
              <w:bottom w:val="single" w:sz="4" w:space="0" w:color="auto"/>
              <w:right w:val="single" w:sz="4" w:space="0" w:color="auto"/>
            </w:tcBorders>
            <w:shd w:val="clear" w:color="auto" w:fill="auto"/>
            <w:vAlign w:val="center"/>
          </w:tcPr>
          <w:p w14:paraId="239170BA" w14:textId="77777777" w:rsidR="00AB788C" w:rsidRPr="004550D1" w:rsidRDefault="00AB788C" w:rsidP="00AD40F8">
            <w:pPr>
              <w:pStyle w:val="Tabletext1"/>
              <w:spacing w:before="40" w:after="40"/>
              <w:rPr>
                <w:rFonts w:cs="Arial"/>
              </w:rPr>
            </w:pPr>
            <w:r w:rsidRPr="004550D1">
              <w:rPr>
                <w:rFonts w:cs="Arial"/>
              </w:rPr>
              <w:t>353.00</w:t>
            </w:r>
          </w:p>
        </w:tc>
        <w:tc>
          <w:tcPr>
            <w:tcW w:w="683" w:type="pct"/>
            <w:gridSpan w:val="3"/>
            <w:tcBorders>
              <w:top w:val="nil"/>
              <w:left w:val="nil"/>
              <w:bottom w:val="single" w:sz="4" w:space="0" w:color="auto"/>
              <w:right w:val="single" w:sz="4" w:space="0" w:color="auto"/>
            </w:tcBorders>
            <w:shd w:val="clear" w:color="auto" w:fill="auto"/>
            <w:vAlign w:val="center"/>
          </w:tcPr>
          <w:p w14:paraId="1D9E4D17" w14:textId="77777777" w:rsidR="00AB788C" w:rsidRPr="004550D1" w:rsidRDefault="00AB788C" w:rsidP="00AD40F8">
            <w:pPr>
              <w:pStyle w:val="Tabletext1"/>
              <w:spacing w:before="40" w:after="40"/>
              <w:rPr>
                <w:rFonts w:cs="Arial"/>
              </w:rPr>
            </w:pPr>
            <w:r w:rsidRPr="004550D1">
              <w:rPr>
                <w:rFonts w:cs="Arial"/>
              </w:rPr>
              <w:t>-75.50</w:t>
            </w:r>
          </w:p>
        </w:tc>
        <w:tc>
          <w:tcPr>
            <w:tcW w:w="622" w:type="pct"/>
            <w:tcBorders>
              <w:top w:val="nil"/>
              <w:left w:val="nil"/>
              <w:bottom w:val="single" w:sz="4" w:space="0" w:color="auto"/>
              <w:right w:val="single" w:sz="4" w:space="0" w:color="auto"/>
            </w:tcBorders>
            <w:shd w:val="clear" w:color="auto" w:fill="auto"/>
            <w:vAlign w:val="center"/>
          </w:tcPr>
          <w:p w14:paraId="5D0023B3" w14:textId="77777777" w:rsidR="00AB788C" w:rsidRPr="004550D1" w:rsidRDefault="00AB788C" w:rsidP="00AD40F8">
            <w:pPr>
              <w:pStyle w:val="Tabletext1"/>
              <w:spacing w:before="40" w:after="40"/>
              <w:rPr>
                <w:rFonts w:cs="Arial"/>
              </w:rPr>
            </w:pPr>
            <w:r w:rsidRPr="004550D1">
              <w:rPr>
                <w:rFonts w:cs="Arial"/>
              </w:rPr>
              <w:t>277.50</w:t>
            </w:r>
          </w:p>
        </w:tc>
        <w:tc>
          <w:tcPr>
            <w:tcW w:w="630" w:type="pct"/>
            <w:gridSpan w:val="2"/>
            <w:tcBorders>
              <w:top w:val="nil"/>
              <w:left w:val="nil"/>
              <w:bottom w:val="single" w:sz="4" w:space="0" w:color="auto"/>
              <w:right w:val="single" w:sz="4" w:space="0" w:color="auto"/>
            </w:tcBorders>
            <w:shd w:val="clear" w:color="auto" w:fill="auto"/>
            <w:vAlign w:val="center"/>
          </w:tcPr>
          <w:p w14:paraId="69667AA4" w14:textId="77777777" w:rsidR="00AB788C" w:rsidRPr="004550D1" w:rsidRDefault="00AB788C" w:rsidP="00AD40F8">
            <w:pPr>
              <w:pStyle w:val="Tabletext1"/>
              <w:spacing w:before="40" w:after="40"/>
              <w:rPr>
                <w:rFonts w:cs="Arial"/>
              </w:rPr>
            </w:pPr>
            <w:r w:rsidRPr="004550D1">
              <w:rPr>
                <w:rFonts w:cs="Arial"/>
              </w:rPr>
              <w:t>0.00</w:t>
            </w:r>
          </w:p>
        </w:tc>
      </w:tr>
      <w:tr w:rsidR="00AB788C" w:rsidRPr="004550D1" w14:paraId="00BE995E"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7B339AF0" w14:textId="77777777" w:rsidR="00AB788C" w:rsidRPr="004550D1" w:rsidRDefault="00AB788C" w:rsidP="00AD40F8">
            <w:pPr>
              <w:pStyle w:val="Tabletext1"/>
              <w:spacing w:before="40" w:after="40"/>
              <w:rPr>
                <w:rFonts w:cs="Arial"/>
              </w:rPr>
            </w:pPr>
            <w:r w:rsidRPr="004550D1">
              <w:rPr>
                <w:rFonts w:cs="Arial"/>
              </w:rPr>
              <w:t>Prostheses or equipment costs</w:t>
            </w:r>
          </w:p>
        </w:tc>
        <w:tc>
          <w:tcPr>
            <w:tcW w:w="786" w:type="pct"/>
            <w:gridSpan w:val="2"/>
            <w:tcBorders>
              <w:top w:val="nil"/>
              <w:left w:val="nil"/>
              <w:bottom w:val="single" w:sz="4" w:space="0" w:color="auto"/>
              <w:right w:val="single" w:sz="4" w:space="0" w:color="auto"/>
            </w:tcBorders>
            <w:shd w:val="clear" w:color="auto" w:fill="auto"/>
            <w:vAlign w:val="center"/>
          </w:tcPr>
          <w:p w14:paraId="05CBDC95" w14:textId="77777777" w:rsidR="00AB788C" w:rsidRPr="004550D1" w:rsidRDefault="00AB788C" w:rsidP="00AD40F8">
            <w:pPr>
              <w:pStyle w:val="Tabletext1"/>
              <w:spacing w:before="40" w:after="40"/>
              <w:rPr>
                <w:rFonts w:cs="Arial"/>
              </w:rPr>
            </w:pPr>
            <w:r w:rsidRPr="004550D1">
              <w:rPr>
                <w:rFonts w:cs="Arial"/>
              </w:rPr>
              <w:t>3,210.00</w:t>
            </w:r>
          </w:p>
        </w:tc>
        <w:tc>
          <w:tcPr>
            <w:tcW w:w="711" w:type="pct"/>
            <w:tcBorders>
              <w:top w:val="nil"/>
              <w:left w:val="nil"/>
              <w:bottom w:val="single" w:sz="4" w:space="0" w:color="auto"/>
              <w:right w:val="single" w:sz="4" w:space="0" w:color="auto"/>
            </w:tcBorders>
            <w:shd w:val="clear" w:color="auto" w:fill="auto"/>
            <w:vAlign w:val="center"/>
          </w:tcPr>
          <w:p w14:paraId="78D9E91D" w14:textId="77777777" w:rsidR="00AB788C" w:rsidRPr="004550D1" w:rsidRDefault="00AB788C" w:rsidP="00AD40F8">
            <w:pPr>
              <w:pStyle w:val="Tabletext1"/>
              <w:spacing w:before="40" w:after="40"/>
              <w:rPr>
                <w:rFonts w:cs="Arial"/>
              </w:rPr>
            </w:pPr>
            <w:r w:rsidRPr="004550D1">
              <w:rPr>
                <w:rFonts w:cs="Arial"/>
              </w:rPr>
              <w:t>329.62</w:t>
            </w:r>
          </w:p>
        </w:tc>
        <w:tc>
          <w:tcPr>
            <w:tcW w:w="683" w:type="pct"/>
            <w:gridSpan w:val="3"/>
            <w:tcBorders>
              <w:top w:val="nil"/>
              <w:left w:val="nil"/>
              <w:bottom w:val="single" w:sz="4" w:space="0" w:color="auto"/>
              <w:right w:val="single" w:sz="4" w:space="0" w:color="auto"/>
            </w:tcBorders>
            <w:shd w:val="clear" w:color="auto" w:fill="auto"/>
            <w:vAlign w:val="center"/>
          </w:tcPr>
          <w:p w14:paraId="5AD0E516" w14:textId="77777777" w:rsidR="00AB788C" w:rsidRPr="004550D1" w:rsidRDefault="00AB788C" w:rsidP="00AD40F8">
            <w:pPr>
              <w:pStyle w:val="Tabletext1"/>
              <w:spacing w:before="40" w:after="40"/>
              <w:rPr>
                <w:rFonts w:cs="Arial"/>
              </w:rPr>
            </w:pPr>
            <w:r w:rsidRPr="004550D1">
              <w:rPr>
                <w:rFonts w:cs="Arial"/>
              </w:rPr>
              <w:t>2,880.38</w:t>
            </w:r>
          </w:p>
        </w:tc>
        <w:tc>
          <w:tcPr>
            <w:tcW w:w="622" w:type="pct"/>
            <w:tcBorders>
              <w:top w:val="nil"/>
              <w:left w:val="nil"/>
              <w:bottom w:val="single" w:sz="4" w:space="0" w:color="auto"/>
              <w:right w:val="single" w:sz="4" w:space="0" w:color="auto"/>
            </w:tcBorders>
            <w:shd w:val="clear" w:color="auto" w:fill="auto"/>
            <w:vAlign w:val="center"/>
          </w:tcPr>
          <w:p w14:paraId="1AF15808" w14:textId="77777777" w:rsidR="00AB788C" w:rsidRPr="004550D1" w:rsidRDefault="00AB788C" w:rsidP="00AD40F8">
            <w:pPr>
              <w:pStyle w:val="Tabletext1"/>
              <w:spacing w:before="40" w:after="40"/>
              <w:rPr>
                <w:rFonts w:cs="Arial"/>
              </w:rPr>
            </w:pPr>
            <w:r w:rsidRPr="004550D1">
              <w:rPr>
                <w:rFonts w:cs="Arial"/>
              </w:rPr>
              <w:t>0.00</w:t>
            </w:r>
          </w:p>
        </w:tc>
        <w:tc>
          <w:tcPr>
            <w:tcW w:w="630" w:type="pct"/>
            <w:gridSpan w:val="2"/>
            <w:tcBorders>
              <w:top w:val="nil"/>
              <w:left w:val="nil"/>
              <w:bottom w:val="single" w:sz="4" w:space="0" w:color="auto"/>
              <w:right w:val="single" w:sz="4" w:space="0" w:color="auto"/>
            </w:tcBorders>
            <w:shd w:val="clear" w:color="auto" w:fill="auto"/>
            <w:vAlign w:val="center"/>
          </w:tcPr>
          <w:p w14:paraId="37CAF8FB" w14:textId="77777777" w:rsidR="00AB788C" w:rsidRPr="004550D1" w:rsidRDefault="00AB788C" w:rsidP="00AD40F8">
            <w:pPr>
              <w:pStyle w:val="Tabletext1"/>
              <w:spacing w:before="40" w:after="40"/>
              <w:rPr>
                <w:rFonts w:cs="Arial"/>
              </w:rPr>
            </w:pPr>
            <w:r w:rsidRPr="004550D1">
              <w:rPr>
                <w:rFonts w:cs="Arial"/>
              </w:rPr>
              <w:t>3,210.00</w:t>
            </w:r>
          </w:p>
        </w:tc>
      </w:tr>
      <w:tr w:rsidR="00AB788C" w:rsidRPr="004550D1" w14:paraId="5EF5D532"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2B0E5902" w14:textId="77777777" w:rsidR="00AB788C" w:rsidRPr="004550D1" w:rsidRDefault="00AB788C" w:rsidP="00AD40F8">
            <w:pPr>
              <w:pStyle w:val="Tabletext1"/>
              <w:spacing w:before="40" w:after="40"/>
              <w:rPr>
                <w:rFonts w:cs="Arial"/>
              </w:rPr>
            </w:pPr>
            <w:r w:rsidRPr="004550D1">
              <w:rPr>
                <w:rFonts w:cs="Arial"/>
              </w:rPr>
              <w:t>Adverse events</w:t>
            </w:r>
          </w:p>
        </w:tc>
        <w:tc>
          <w:tcPr>
            <w:tcW w:w="786" w:type="pct"/>
            <w:gridSpan w:val="2"/>
            <w:tcBorders>
              <w:top w:val="nil"/>
              <w:left w:val="nil"/>
              <w:bottom w:val="single" w:sz="4" w:space="0" w:color="auto"/>
              <w:right w:val="single" w:sz="4" w:space="0" w:color="auto"/>
            </w:tcBorders>
            <w:shd w:val="clear" w:color="auto" w:fill="auto"/>
            <w:vAlign w:val="center"/>
          </w:tcPr>
          <w:p w14:paraId="60795B7F" w14:textId="77777777" w:rsidR="00AB788C" w:rsidRPr="004550D1" w:rsidRDefault="00AB788C" w:rsidP="00AD40F8">
            <w:pPr>
              <w:pStyle w:val="Tabletext1"/>
              <w:spacing w:before="40" w:after="40"/>
              <w:rPr>
                <w:rFonts w:cs="Arial"/>
              </w:rPr>
            </w:pPr>
            <w:r w:rsidRPr="004550D1">
              <w:rPr>
                <w:rFonts w:cs="Arial"/>
              </w:rPr>
              <w:t>0.00</w:t>
            </w:r>
          </w:p>
        </w:tc>
        <w:tc>
          <w:tcPr>
            <w:tcW w:w="711" w:type="pct"/>
            <w:tcBorders>
              <w:top w:val="nil"/>
              <w:left w:val="nil"/>
              <w:bottom w:val="single" w:sz="4" w:space="0" w:color="auto"/>
              <w:right w:val="single" w:sz="4" w:space="0" w:color="auto"/>
            </w:tcBorders>
            <w:shd w:val="clear" w:color="auto" w:fill="auto"/>
            <w:vAlign w:val="center"/>
          </w:tcPr>
          <w:p w14:paraId="2AB7FE34" w14:textId="77777777" w:rsidR="00AB788C" w:rsidRPr="004550D1" w:rsidRDefault="00AB788C" w:rsidP="00AD40F8">
            <w:pPr>
              <w:pStyle w:val="Tabletext1"/>
              <w:spacing w:before="40" w:after="40"/>
              <w:rPr>
                <w:rFonts w:cs="Arial"/>
              </w:rPr>
            </w:pPr>
            <w:r w:rsidRPr="004550D1">
              <w:rPr>
                <w:rFonts w:cs="Arial"/>
              </w:rPr>
              <w:t>0.00</w:t>
            </w:r>
          </w:p>
        </w:tc>
        <w:tc>
          <w:tcPr>
            <w:tcW w:w="683" w:type="pct"/>
            <w:gridSpan w:val="3"/>
            <w:tcBorders>
              <w:top w:val="nil"/>
              <w:left w:val="nil"/>
              <w:bottom w:val="single" w:sz="4" w:space="0" w:color="auto"/>
              <w:right w:val="single" w:sz="4" w:space="0" w:color="auto"/>
            </w:tcBorders>
            <w:shd w:val="clear" w:color="auto" w:fill="auto"/>
            <w:vAlign w:val="center"/>
          </w:tcPr>
          <w:p w14:paraId="6F9FD1A0" w14:textId="77777777" w:rsidR="00AB788C" w:rsidRPr="004550D1" w:rsidRDefault="00AB788C" w:rsidP="00AD40F8">
            <w:pPr>
              <w:pStyle w:val="Tabletext1"/>
              <w:spacing w:before="40" w:after="40"/>
              <w:rPr>
                <w:rFonts w:cs="Arial"/>
              </w:rPr>
            </w:pPr>
            <w:r w:rsidRPr="004550D1">
              <w:rPr>
                <w:rFonts w:cs="Arial"/>
              </w:rPr>
              <w:t>0.00</w:t>
            </w:r>
          </w:p>
        </w:tc>
        <w:tc>
          <w:tcPr>
            <w:tcW w:w="622" w:type="pct"/>
            <w:tcBorders>
              <w:top w:val="nil"/>
              <w:left w:val="nil"/>
              <w:bottom w:val="single" w:sz="4" w:space="0" w:color="auto"/>
              <w:right w:val="single" w:sz="4" w:space="0" w:color="auto"/>
            </w:tcBorders>
            <w:shd w:val="clear" w:color="auto" w:fill="auto"/>
            <w:vAlign w:val="center"/>
          </w:tcPr>
          <w:p w14:paraId="6139E4EE" w14:textId="77777777" w:rsidR="00AB788C" w:rsidRPr="004550D1" w:rsidRDefault="00AB788C" w:rsidP="00AD40F8">
            <w:pPr>
              <w:pStyle w:val="Tabletext1"/>
              <w:spacing w:before="40" w:after="40"/>
              <w:rPr>
                <w:rFonts w:cs="Arial"/>
              </w:rPr>
            </w:pPr>
            <w:r w:rsidRPr="004550D1">
              <w:rPr>
                <w:rFonts w:cs="Arial"/>
              </w:rPr>
              <w:t>0.00</w:t>
            </w:r>
          </w:p>
        </w:tc>
        <w:tc>
          <w:tcPr>
            <w:tcW w:w="630" w:type="pct"/>
            <w:gridSpan w:val="2"/>
            <w:tcBorders>
              <w:top w:val="nil"/>
              <w:left w:val="nil"/>
              <w:bottom w:val="single" w:sz="4" w:space="0" w:color="auto"/>
              <w:right w:val="single" w:sz="4" w:space="0" w:color="auto"/>
            </w:tcBorders>
            <w:shd w:val="clear" w:color="auto" w:fill="auto"/>
            <w:vAlign w:val="center"/>
          </w:tcPr>
          <w:p w14:paraId="05105768" w14:textId="77777777" w:rsidR="00AB788C" w:rsidRPr="004550D1" w:rsidRDefault="00AB788C" w:rsidP="00AD40F8">
            <w:pPr>
              <w:pStyle w:val="Tabletext1"/>
              <w:spacing w:before="40" w:after="40"/>
              <w:rPr>
                <w:rFonts w:cs="Arial"/>
              </w:rPr>
            </w:pPr>
            <w:r w:rsidRPr="004550D1">
              <w:rPr>
                <w:rFonts w:cs="Arial"/>
              </w:rPr>
              <w:t>0.00</w:t>
            </w:r>
          </w:p>
        </w:tc>
      </w:tr>
      <w:tr w:rsidR="00AB788C" w:rsidRPr="004550D1" w14:paraId="3AD0395F" w14:textId="77777777" w:rsidTr="00BE4C77">
        <w:trPr>
          <w:trHeight w:val="255"/>
        </w:trPr>
        <w:tc>
          <w:tcPr>
            <w:tcW w:w="1568" w:type="pct"/>
            <w:tcBorders>
              <w:top w:val="nil"/>
              <w:left w:val="single" w:sz="4" w:space="0" w:color="auto"/>
              <w:bottom w:val="single" w:sz="4" w:space="0" w:color="auto"/>
              <w:right w:val="single" w:sz="4" w:space="0" w:color="auto"/>
            </w:tcBorders>
            <w:shd w:val="clear" w:color="auto" w:fill="auto"/>
            <w:vAlign w:val="center"/>
            <w:hideMark/>
          </w:tcPr>
          <w:p w14:paraId="1800C3A5" w14:textId="77777777" w:rsidR="00AB788C" w:rsidRPr="00734C8C" w:rsidRDefault="00AB788C" w:rsidP="00AD40F8">
            <w:pPr>
              <w:pStyle w:val="Tabletext1"/>
              <w:spacing w:before="40" w:after="40"/>
              <w:rPr>
                <w:rFonts w:cs="Arial"/>
                <w:b/>
              </w:rPr>
            </w:pPr>
            <w:r w:rsidRPr="00734C8C">
              <w:rPr>
                <w:rFonts w:cs="Arial"/>
                <w:b/>
              </w:rPr>
              <w:t>Total</w:t>
            </w:r>
          </w:p>
        </w:tc>
        <w:tc>
          <w:tcPr>
            <w:tcW w:w="786" w:type="pct"/>
            <w:gridSpan w:val="2"/>
            <w:tcBorders>
              <w:top w:val="nil"/>
              <w:left w:val="nil"/>
              <w:bottom w:val="single" w:sz="4" w:space="0" w:color="auto"/>
              <w:right w:val="single" w:sz="4" w:space="0" w:color="auto"/>
            </w:tcBorders>
            <w:shd w:val="clear" w:color="auto" w:fill="auto"/>
            <w:vAlign w:val="center"/>
          </w:tcPr>
          <w:p w14:paraId="705E5AAB" w14:textId="77777777" w:rsidR="00AB788C" w:rsidRPr="00734C8C" w:rsidRDefault="00AB788C" w:rsidP="00AD40F8">
            <w:pPr>
              <w:pStyle w:val="Tabletext1"/>
              <w:spacing w:before="40" w:after="40"/>
              <w:rPr>
                <w:rFonts w:cs="Arial"/>
                <w:b/>
              </w:rPr>
            </w:pPr>
            <w:r w:rsidRPr="00734C8C">
              <w:rPr>
                <w:rFonts w:cs="Arial"/>
                <w:b/>
              </w:rPr>
              <w:t>8,143.83</w:t>
            </w:r>
          </w:p>
        </w:tc>
        <w:tc>
          <w:tcPr>
            <w:tcW w:w="711" w:type="pct"/>
            <w:tcBorders>
              <w:top w:val="nil"/>
              <w:left w:val="nil"/>
              <w:bottom w:val="single" w:sz="4" w:space="0" w:color="auto"/>
              <w:right w:val="single" w:sz="4" w:space="0" w:color="auto"/>
            </w:tcBorders>
            <w:shd w:val="clear" w:color="auto" w:fill="auto"/>
            <w:vAlign w:val="center"/>
          </w:tcPr>
          <w:p w14:paraId="6EC94821" w14:textId="77777777" w:rsidR="00AB788C" w:rsidRPr="00734C8C" w:rsidRDefault="00AB788C" w:rsidP="00AD40F8">
            <w:pPr>
              <w:pStyle w:val="Tabletext1"/>
              <w:spacing w:before="40" w:after="40"/>
              <w:rPr>
                <w:rFonts w:cs="Arial"/>
                <w:b/>
              </w:rPr>
            </w:pPr>
            <w:r w:rsidRPr="00734C8C">
              <w:rPr>
                <w:rFonts w:cs="Arial"/>
                <w:b/>
              </w:rPr>
              <w:t>5,735.07</w:t>
            </w:r>
          </w:p>
        </w:tc>
        <w:tc>
          <w:tcPr>
            <w:tcW w:w="683" w:type="pct"/>
            <w:gridSpan w:val="3"/>
            <w:tcBorders>
              <w:top w:val="nil"/>
              <w:left w:val="nil"/>
              <w:bottom w:val="single" w:sz="4" w:space="0" w:color="auto"/>
              <w:right w:val="single" w:sz="4" w:space="0" w:color="auto"/>
            </w:tcBorders>
            <w:shd w:val="clear" w:color="auto" w:fill="auto"/>
            <w:vAlign w:val="center"/>
          </w:tcPr>
          <w:p w14:paraId="3AE11D7D" w14:textId="77777777" w:rsidR="00AB788C" w:rsidRPr="00734C8C" w:rsidRDefault="00AB788C" w:rsidP="00AD40F8">
            <w:pPr>
              <w:pStyle w:val="Tabletext1"/>
              <w:spacing w:before="40" w:after="40"/>
              <w:rPr>
                <w:rFonts w:cs="Arial"/>
                <w:b/>
              </w:rPr>
            </w:pPr>
            <w:r w:rsidRPr="00734C8C">
              <w:rPr>
                <w:rFonts w:cs="Arial"/>
                <w:b/>
              </w:rPr>
              <w:t>2,408.76</w:t>
            </w:r>
          </w:p>
        </w:tc>
        <w:tc>
          <w:tcPr>
            <w:tcW w:w="622" w:type="pct"/>
            <w:tcBorders>
              <w:top w:val="nil"/>
              <w:left w:val="nil"/>
              <w:bottom w:val="single" w:sz="4" w:space="0" w:color="auto"/>
              <w:right w:val="single" w:sz="4" w:space="0" w:color="auto"/>
            </w:tcBorders>
            <w:shd w:val="clear" w:color="auto" w:fill="auto"/>
            <w:vAlign w:val="center"/>
          </w:tcPr>
          <w:p w14:paraId="693515DB" w14:textId="77777777" w:rsidR="00AB788C" w:rsidRPr="00734C8C" w:rsidRDefault="00AB788C" w:rsidP="00AD40F8">
            <w:pPr>
              <w:pStyle w:val="Tabletext1"/>
              <w:spacing w:before="40" w:after="40"/>
              <w:rPr>
                <w:rFonts w:cs="Arial"/>
                <w:b/>
              </w:rPr>
            </w:pPr>
            <w:r w:rsidRPr="00734C8C">
              <w:rPr>
                <w:rFonts w:cs="Arial"/>
                <w:b/>
              </w:rPr>
              <w:t>19,472.05</w:t>
            </w:r>
          </w:p>
        </w:tc>
        <w:tc>
          <w:tcPr>
            <w:tcW w:w="630" w:type="pct"/>
            <w:gridSpan w:val="2"/>
            <w:tcBorders>
              <w:top w:val="nil"/>
              <w:left w:val="nil"/>
              <w:bottom w:val="single" w:sz="4" w:space="0" w:color="auto"/>
              <w:right w:val="single" w:sz="4" w:space="0" w:color="auto"/>
            </w:tcBorders>
            <w:shd w:val="clear" w:color="auto" w:fill="auto"/>
            <w:vAlign w:val="center"/>
          </w:tcPr>
          <w:p w14:paraId="34945D68" w14:textId="77777777" w:rsidR="00AB788C" w:rsidRPr="00734C8C" w:rsidRDefault="00AB788C" w:rsidP="00AD40F8">
            <w:pPr>
              <w:pStyle w:val="Tabletext1"/>
              <w:spacing w:before="40" w:after="40"/>
              <w:rPr>
                <w:rFonts w:cs="Arial"/>
                <w:b/>
              </w:rPr>
            </w:pPr>
            <w:r w:rsidRPr="00734C8C">
              <w:rPr>
                <w:rFonts w:cs="Arial"/>
                <w:b/>
              </w:rPr>
              <w:t>-11,328.22</w:t>
            </w:r>
          </w:p>
        </w:tc>
      </w:tr>
    </w:tbl>
    <w:p w14:paraId="0792715C" w14:textId="77777777" w:rsidR="001E4A40" w:rsidRPr="001E4A40" w:rsidRDefault="001E4A40" w:rsidP="00AB788C">
      <w:pPr>
        <w:pStyle w:val="Tablenotes0"/>
      </w:pPr>
      <w:r w:rsidRPr="001E4A40">
        <w:t xml:space="preserve">&lt; MBS = Medicare benefits schedule; MTA = microwave thermal ablation; SBRT = stereotactic body radiotherapy&gt; </w:t>
      </w:r>
    </w:p>
    <w:p w14:paraId="70B7189B" w14:textId="30AB9B54" w:rsidR="00AB788C" w:rsidRDefault="001E4A40" w:rsidP="00AB788C">
      <w:pPr>
        <w:pStyle w:val="Tablenotes0"/>
      </w:pPr>
      <w:proofErr w:type="gramStart"/>
      <w:r>
        <w:rPr>
          <w:b/>
        </w:rPr>
        <w:t>a</w:t>
      </w:r>
      <w:proofErr w:type="gramEnd"/>
      <w:r>
        <w:rPr>
          <w:b/>
        </w:rPr>
        <w:t xml:space="preserve"> </w:t>
      </w:r>
      <w:r w:rsidR="00AB788C">
        <w:t>Total average cost including MBS fee and gap. MBS reimbursement implications are outlined in Section E.</w:t>
      </w:r>
    </w:p>
    <w:p w14:paraId="657F879E" w14:textId="1324579C" w:rsidR="00AB12D2" w:rsidRPr="00BC4A30" w:rsidRDefault="00AB12D2" w:rsidP="007121B3">
      <w:pPr>
        <w:spacing w:before="500"/>
        <w:rPr>
          <w:rFonts w:asciiTheme="minorHAnsi" w:hAnsiTheme="minorHAnsi"/>
        </w:rPr>
      </w:pPr>
      <w:r w:rsidRPr="00BC4A30">
        <w:rPr>
          <w:rFonts w:asciiTheme="minorHAnsi" w:hAnsiTheme="minorHAnsi"/>
        </w:rPr>
        <w:t xml:space="preserve">There is uncertainty over the cost of adverse events from MTA, as these events are rare and the severity will vary, affecting the cost estimate. Median prevalence of pneumothorax was derived from the case series summarised in Section B and calculated to be </w:t>
      </w:r>
      <w:r w:rsidRPr="00BC4A30">
        <w:rPr>
          <w:noProof/>
        </w:rPr>
        <w:t>31.4 per cent of MTA procedures having pneumothorax (</w:t>
      </w:r>
      <w:r w:rsidR="00FE016B">
        <w:rPr>
          <w:noProof/>
        </w:rPr>
        <w:t>SD</w:t>
      </w:r>
      <w:r w:rsidRPr="00BC4A30">
        <w:rPr>
          <w:noProof/>
        </w:rPr>
        <w:t xml:space="preserve"> 17.2%) and of those 27.4 per cent would be severe (</w:t>
      </w:r>
      <w:r w:rsidR="00FE016B">
        <w:rPr>
          <w:noProof/>
        </w:rPr>
        <w:t>SD</w:t>
      </w:r>
      <w:r w:rsidRPr="00BC4A30">
        <w:rPr>
          <w:noProof/>
        </w:rPr>
        <w:t xml:space="preserve"> 18.6%). This equates to a total median proportion of 9.6 per cent of MTA procedures requring a chest drain. </w:t>
      </w:r>
      <w:r w:rsidRPr="00BC4A30">
        <w:t>The average costs of p</w:t>
      </w:r>
      <w:r w:rsidRPr="00BC4A30">
        <w:rPr>
          <w:noProof/>
        </w:rPr>
        <w:t>neumothorax are collected as part of the Australian public hospital AR-DRG series. This cost is included in the sensitivity analysis, and makes the procedure marginally more costly.</w:t>
      </w:r>
    </w:p>
    <w:p w14:paraId="6882B0BB" w14:textId="1FAB8F93" w:rsidR="00AB12D2" w:rsidRPr="00BC4A30" w:rsidRDefault="00AB12D2" w:rsidP="00AB12D2">
      <w:r w:rsidRPr="00BC4A30">
        <w:t>The inclusion of the proposed graduated fee for 3</w:t>
      </w:r>
      <w:r w:rsidR="00D35E9C">
        <w:t>–</w:t>
      </w:r>
      <w:r w:rsidRPr="00BC4A30">
        <w:t xml:space="preserve">5 lesions of $1,600 increases the relative cost of MTA when compared to SBRT. Surgery is option for pulmonary metastases, as is MTA. The cost of </w:t>
      </w:r>
      <w:r w:rsidRPr="00BC4A30">
        <w:lastRenderedPageBreak/>
        <w:t xml:space="preserve">resection is expensive due to the cost of a number of days in hospital following the surgery. On a cost basis, MTA is a more economic option for population two patients when compared to surgery. </w:t>
      </w:r>
      <w:r w:rsidR="005E7DE8" w:rsidRPr="00BC4A30">
        <w:t>To determine cost-effectiveness a stratified survival analysis is required to determine the degree to which any extension is survival or quality life years offsets the increase in resources associated with this procedure</w:t>
      </w:r>
      <w:r w:rsidRPr="00BC4A30">
        <w:t xml:space="preserve">. </w:t>
      </w:r>
    </w:p>
    <w:p w14:paraId="78C2EB31" w14:textId="77777777" w:rsidR="00AB12D2" w:rsidRPr="00BC4A30" w:rsidRDefault="00AB12D2" w:rsidP="00AB12D2">
      <w:r w:rsidRPr="00BC4A30">
        <w:t xml:space="preserve">The major conclusion of the base-case economic evaluation is that MTA is </w:t>
      </w:r>
      <w:r w:rsidR="004550D1">
        <w:t>costlier</w:t>
      </w:r>
      <w:r w:rsidRPr="00BC4A30">
        <w:t xml:space="preserve"> when compared to SBRT, but less than surgery. There is a degree of uncertainty around the presented incremental costs, due to contention about whether the current MBS </w:t>
      </w:r>
      <w:r w:rsidR="005E7DE8" w:rsidRPr="00BC4A30">
        <w:t>fees</w:t>
      </w:r>
      <w:r w:rsidRPr="00BC4A30">
        <w:t xml:space="preserve"> for </w:t>
      </w:r>
      <w:r w:rsidR="00760AC9" w:rsidRPr="00BC4A30">
        <w:t>SBRT</w:t>
      </w:r>
      <w:r w:rsidRPr="00BC4A30">
        <w:t xml:space="preserve"> reflects true cost and if MTA were to be delivered on an outpatient basis in the future. Even with these considerations, there currently is a significant gap between MTA and </w:t>
      </w:r>
      <w:r w:rsidR="00760AC9" w:rsidRPr="00BC4A30">
        <w:t>SBRT</w:t>
      </w:r>
      <w:r w:rsidRPr="00BC4A30">
        <w:t xml:space="preserve"> delivery costs. The robustness to results to changes in key assumptions are outlined Section D.6.</w:t>
      </w:r>
    </w:p>
    <w:p w14:paraId="05944152" w14:textId="28AE3D78" w:rsidR="00FF27B1" w:rsidRPr="00BC4A30" w:rsidRDefault="00FF27B1" w:rsidP="00647EB9">
      <w:pPr>
        <w:pStyle w:val="Heading2"/>
        <w:numPr>
          <w:ilvl w:val="3"/>
          <w:numId w:val="9"/>
        </w:numPr>
      </w:pPr>
      <w:bookmarkStart w:id="406" w:name="_Toc460396087"/>
      <w:bookmarkStart w:id="407" w:name="_Ref378943976"/>
      <w:r w:rsidRPr="00BC4A30">
        <w:t xml:space="preserve">Sensitivity </w:t>
      </w:r>
      <w:r w:rsidR="008D7145">
        <w:t>A</w:t>
      </w:r>
      <w:r w:rsidRPr="00BC4A30">
        <w:t>nalyses</w:t>
      </w:r>
      <w:bookmarkEnd w:id="406"/>
    </w:p>
    <w:p w14:paraId="239AA4AF" w14:textId="45EE4CB6" w:rsidR="00211623" w:rsidRDefault="00AB12D2" w:rsidP="00AB12D2">
      <w:pPr>
        <w:rPr>
          <w:lang w:eastAsia="en-GB"/>
        </w:rPr>
      </w:pPr>
      <w:bookmarkStart w:id="408" w:name="_Ref378945269"/>
      <w:bookmarkEnd w:id="407"/>
      <w:r w:rsidRPr="00BC4A30">
        <w:t xml:space="preserve">Univariate sensitivity analyses are outlined in this section for cost model variables. </w:t>
      </w:r>
      <w:bookmarkStart w:id="409" w:name="_Ref379457727"/>
      <w:r w:rsidR="00345EA0">
        <w:fldChar w:fldCharType="begin"/>
      </w:r>
      <w:r w:rsidR="00345EA0">
        <w:instrText xml:space="preserve"> REF _Ref460248641 \h </w:instrText>
      </w:r>
      <w:r w:rsidR="00345EA0">
        <w:fldChar w:fldCharType="separate"/>
      </w:r>
      <w:r w:rsidR="00D170A5">
        <w:t xml:space="preserve">Table </w:t>
      </w:r>
      <w:r w:rsidR="00D170A5">
        <w:rPr>
          <w:noProof/>
        </w:rPr>
        <w:t>73</w:t>
      </w:r>
      <w:r w:rsidR="00345EA0">
        <w:fldChar w:fldCharType="end"/>
      </w:r>
      <w:r w:rsidR="00345EA0">
        <w:t xml:space="preserve"> </w:t>
      </w:r>
      <w:r w:rsidRPr="00BC4A30">
        <w:t xml:space="preserve">presents univariate sensitivity analysis of key parameters used in the economic evaluation for the MTA and </w:t>
      </w:r>
      <w:r w:rsidR="00760AC9" w:rsidRPr="00BC4A30">
        <w:t>SBRT</w:t>
      </w:r>
      <w:r w:rsidRPr="00BC4A30">
        <w:t xml:space="preserve"> comparison in population one patients with &lt;3 lesions. It is unsurprising that the model was shown to be most sensitive to hospital</w:t>
      </w:r>
      <w:r w:rsidRPr="00BC4A30">
        <w:rPr>
          <w:lang w:eastAsia="en-GB"/>
        </w:rPr>
        <w:t xml:space="preserve"> costs, inclusion of adverse events for MTA and the cost of the probe. Even with a 10 per cent variation in many of these items MTA is still costlier when compared to </w:t>
      </w:r>
      <w:r w:rsidR="00760AC9" w:rsidRPr="00BC4A30">
        <w:rPr>
          <w:lang w:eastAsia="en-GB"/>
        </w:rPr>
        <w:t>SBRT</w:t>
      </w:r>
      <w:r w:rsidRPr="00BC4A30">
        <w:rPr>
          <w:lang w:eastAsia="en-GB"/>
        </w:rPr>
        <w:t>. The complete removal of the hospital overnight stay still results in MTA being more expensive, albeit at</w:t>
      </w:r>
      <w:r w:rsidR="008D7145">
        <w:rPr>
          <w:lang w:eastAsia="en-GB"/>
        </w:rPr>
        <w:t xml:space="preserve"> a</w:t>
      </w:r>
      <w:r w:rsidRPr="00BC4A30">
        <w:rPr>
          <w:lang w:eastAsia="en-GB"/>
        </w:rPr>
        <w:t xml:space="preserve"> lesser margin.</w:t>
      </w:r>
      <w:r w:rsidR="00211623">
        <w:rPr>
          <w:lang w:eastAsia="en-GB"/>
        </w:rPr>
        <w:br w:type="page"/>
      </w:r>
    </w:p>
    <w:p w14:paraId="3B135F11" w14:textId="77777777" w:rsidR="004550D1" w:rsidRDefault="004550D1" w:rsidP="00FD23A1">
      <w:pPr>
        <w:pStyle w:val="Caption"/>
        <w:keepNext/>
        <w:ind w:left="1134" w:hanging="1134"/>
      </w:pPr>
      <w:bookmarkStart w:id="410" w:name="_Ref460248641"/>
      <w:bookmarkStart w:id="411" w:name="_Toc460514731"/>
      <w:r>
        <w:lastRenderedPageBreak/>
        <w:t xml:space="preserve">Table </w:t>
      </w:r>
      <w:fldSimple w:instr=" SEQ Table \* ARABIC ">
        <w:r w:rsidR="00D170A5">
          <w:rPr>
            <w:noProof/>
          </w:rPr>
          <w:t>73</w:t>
        </w:r>
      </w:fldSimple>
      <w:bookmarkEnd w:id="410"/>
      <w:r>
        <w:tab/>
      </w:r>
      <w:r w:rsidRPr="00BC4A30">
        <w:t>Average costs one-way sensitivity analysis of MTA versus SBRT, populations one and two, &lt;3 lesions</w:t>
      </w:r>
      <w:bookmarkEnd w:id="411"/>
    </w:p>
    <w:tbl>
      <w:tblPr>
        <w:tblW w:w="9185" w:type="dxa"/>
        <w:tblInd w:w="-5" w:type="dxa"/>
        <w:tblLook w:val="04A0" w:firstRow="1" w:lastRow="0" w:firstColumn="1" w:lastColumn="0" w:noHBand="0" w:noVBand="1"/>
        <w:tblCaption w:val="Table D.6.1"/>
        <w:tblDescription w:val="Average costs one-way sensitivity analysis of MTA versus SRBT, populations one and two, &lt;3 lesions"/>
      </w:tblPr>
      <w:tblGrid>
        <w:gridCol w:w="5580"/>
        <w:gridCol w:w="1763"/>
        <w:gridCol w:w="1842"/>
      </w:tblGrid>
      <w:tr w:rsidR="004550D1" w:rsidRPr="004550D1" w14:paraId="6CE16E18" w14:textId="77777777" w:rsidTr="00816208">
        <w:trPr>
          <w:cantSplit/>
          <w:trHeight w:val="765"/>
        </w:trPr>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132EB1C" w14:textId="77777777" w:rsidR="004550D1" w:rsidRPr="00FD23A1" w:rsidRDefault="004550D1" w:rsidP="00FD23A1">
            <w:pPr>
              <w:pStyle w:val="Tabletext1"/>
              <w:rPr>
                <w:rFonts w:cs="Arial"/>
                <w:b/>
              </w:rPr>
            </w:pPr>
            <w:r w:rsidRPr="00FD23A1">
              <w:rPr>
                <w:b/>
                <w:lang w:val="en-NZ"/>
              </w:rPr>
              <w:t>Parameter</w:t>
            </w:r>
          </w:p>
        </w:tc>
        <w:tc>
          <w:tcPr>
            <w:tcW w:w="176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9728C81" w14:textId="77777777" w:rsidR="004550D1" w:rsidRPr="00FD23A1" w:rsidRDefault="004550D1" w:rsidP="00FD23A1">
            <w:pPr>
              <w:pStyle w:val="Tabletext1"/>
              <w:rPr>
                <w:rFonts w:cs="Arial"/>
                <w:b/>
              </w:rPr>
            </w:pPr>
            <w:r w:rsidRPr="00FD23A1">
              <w:rPr>
                <w:b/>
                <w:lang w:val="en-NZ"/>
              </w:rPr>
              <w:t>Analysis</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A850A1A" w14:textId="77777777" w:rsidR="004550D1" w:rsidRPr="00FD23A1" w:rsidRDefault="004550D1" w:rsidP="00FD23A1">
            <w:pPr>
              <w:pStyle w:val="Tabletext1"/>
              <w:rPr>
                <w:rFonts w:cs="Arial"/>
                <w:b/>
              </w:rPr>
            </w:pPr>
            <w:r w:rsidRPr="00FD23A1">
              <w:rPr>
                <w:b/>
                <w:lang w:val="en-NZ"/>
              </w:rPr>
              <w:t>Change in Base Incremental cost</w:t>
            </w:r>
          </w:p>
        </w:tc>
      </w:tr>
      <w:tr w:rsidR="004550D1" w:rsidRPr="004550D1" w14:paraId="33CF6049" w14:textId="77777777" w:rsidTr="00816208">
        <w:trPr>
          <w:cantSplit/>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1F498914" w14:textId="4B3C7756" w:rsidR="004550D1" w:rsidRPr="004550D1" w:rsidRDefault="004550D1" w:rsidP="00B32008">
            <w:pPr>
              <w:pStyle w:val="Tabletext1"/>
              <w:rPr>
                <w:rFonts w:cs="Arial"/>
              </w:rPr>
            </w:pPr>
            <w:r w:rsidRPr="004550D1">
              <w:rPr>
                <w:rFonts w:cs="Arial"/>
                <w:lang w:val="en-US"/>
              </w:rPr>
              <w:t>Des</w:t>
            </w:r>
            <w:r w:rsidR="00B32008">
              <w:rPr>
                <w:rFonts w:cs="Arial"/>
                <w:lang w:val="en-US"/>
              </w:rPr>
              <w:t xml:space="preserve">truction of </w:t>
            </w:r>
            <w:r w:rsidR="006D0335">
              <w:rPr>
                <w:rFonts w:cs="Arial"/>
                <w:lang w:val="en-US"/>
              </w:rPr>
              <w:t>1–3</w:t>
            </w:r>
            <w:r w:rsidR="00B32008">
              <w:rPr>
                <w:rFonts w:cs="Arial"/>
                <w:lang w:val="en-US"/>
              </w:rPr>
              <w:t xml:space="preserve">by MTA </w:t>
            </w:r>
            <w:r w:rsidRPr="004550D1">
              <w:rPr>
                <w:rFonts w:cs="Arial"/>
                <w:lang w:val="en-US"/>
              </w:rPr>
              <w:t xml:space="preserve">– proposed fee </w:t>
            </w:r>
            <w:r w:rsidR="00B32008" w:rsidRPr="004550D1">
              <w:rPr>
                <w:rFonts w:cs="Arial"/>
                <w:lang w:val="en-US"/>
              </w:rPr>
              <w:t>($1,300)</w:t>
            </w:r>
          </w:p>
        </w:tc>
        <w:tc>
          <w:tcPr>
            <w:tcW w:w="1763" w:type="dxa"/>
            <w:tcBorders>
              <w:top w:val="nil"/>
              <w:left w:val="nil"/>
              <w:bottom w:val="single" w:sz="4" w:space="0" w:color="auto"/>
              <w:right w:val="single" w:sz="4" w:space="0" w:color="auto"/>
            </w:tcBorders>
            <w:shd w:val="clear" w:color="auto" w:fill="auto"/>
            <w:vAlign w:val="center"/>
            <w:hideMark/>
          </w:tcPr>
          <w:p w14:paraId="631C8F91"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59BC9C92" w14:textId="77777777" w:rsidR="004550D1" w:rsidRPr="004550D1" w:rsidRDefault="004550D1" w:rsidP="00FD23A1">
            <w:pPr>
              <w:pStyle w:val="Tabletext1"/>
              <w:rPr>
                <w:rFonts w:cs="Arial"/>
              </w:rPr>
            </w:pPr>
            <w:r w:rsidRPr="004550D1">
              <w:rPr>
                <w:rFonts w:cs="Arial"/>
              </w:rPr>
              <w:t>130.00</w:t>
            </w:r>
          </w:p>
        </w:tc>
      </w:tr>
      <w:tr w:rsidR="004550D1" w:rsidRPr="004550D1" w14:paraId="7C61CAEA" w14:textId="77777777" w:rsidTr="00816208">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35ADA2CB" w14:textId="26C4343D" w:rsidR="004550D1" w:rsidRPr="004550D1" w:rsidRDefault="004550D1" w:rsidP="00FD23A1">
            <w:pPr>
              <w:pStyle w:val="Tabletext1"/>
              <w:rPr>
                <w:rFonts w:cs="Arial"/>
              </w:rPr>
            </w:pPr>
          </w:p>
        </w:tc>
        <w:tc>
          <w:tcPr>
            <w:tcW w:w="1763" w:type="dxa"/>
            <w:tcBorders>
              <w:top w:val="nil"/>
              <w:left w:val="nil"/>
              <w:bottom w:val="single" w:sz="4" w:space="0" w:color="auto"/>
              <w:right w:val="single" w:sz="4" w:space="0" w:color="auto"/>
            </w:tcBorders>
            <w:shd w:val="clear" w:color="auto" w:fill="auto"/>
            <w:vAlign w:val="center"/>
            <w:hideMark/>
          </w:tcPr>
          <w:p w14:paraId="614B0A27"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16D17427" w14:textId="77777777" w:rsidR="004550D1" w:rsidRPr="004550D1" w:rsidRDefault="004550D1" w:rsidP="00FD23A1">
            <w:pPr>
              <w:pStyle w:val="Tabletext1"/>
              <w:rPr>
                <w:rFonts w:cs="Arial"/>
              </w:rPr>
            </w:pPr>
            <w:r w:rsidRPr="004550D1">
              <w:rPr>
                <w:rFonts w:cs="Arial"/>
              </w:rPr>
              <w:t>-130.00</w:t>
            </w:r>
          </w:p>
        </w:tc>
      </w:tr>
      <w:tr w:rsidR="004550D1" w:rsidRPr="004550D1" w14:paraId="021F2581" w14:textId="77777777" w:rsidTr="00816208">
        <w:trPr>
          <w:cantSplit/>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4EB26F8A" w14:textId="77777777" w:rsidR="004550D1" w:rsidRPr="004550D1" w:rsidRDefault="004550D1" w:rsidP="00FD23A1">
            <w:pPr>
              <w:pStyle w:val="Tabletext1"/>
              <w:rPr>
                <w:rFonts w:cs="Arial"/>
              </w:rPr>
            </w:pPr>
            <w:r w:rsidRPr="004550D1">
              <w:rPr>
                <w:rFonts w:cs="Arial"/>
                <w:lang w:val="en-US"/>
              </w:rPr>
              <w:t>MTA hospital accommodation, under base ($873 per night)</w:t>
            </w:r>
          </w:p>
        </w:tc>
        <w:tc>
          <w:tcPr>
            <w:tcW w:w="1763" w:type="dxa"/>
            <w:tcBorders>
              <w:top w:val="nil"/>
              <w:left w:val="nil"/>
              <w:bottom w:val="single" w:sz="4" w:space="0" w:color="auto"/>
              <w:right w:val="single" w:sz="4" w:space="0" w:color="auto"/>
            </w:tcBorders>
            <w:shd w:val="clear" w:color="auto" w:fill="auto"/>
            <w:vAlign w:val="center"/>
            <w:hideMark/>
          </w:tcPr>
          <w:p w14:paraId="2E6DD6C7"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46D55B5F" w14:textId="77777777" w:rsidR="004550D1" w:rsidRPr="004550D1" w:rsidRDefault="004550D1" w:rsidP="00FD23A1">
            <w:pPr>
              <w:pStyle w:val="Tabletext1"/>
              <w:rPr>
                <w:rFonts w:cs="Arial"/>
              </w:rPr>
            </w:pPr>
            <w:r w:rsidRPr="004550D1">
              <w:rPr>
                <w:rFonts w:cs="Arial"/>
              </w:rPr>
              <w:t>87.30</w:t>
            </w:r>
          </w:p>
        </w:tc>
      </w:tr>
      <w:tr w:rsidR="004550D1" w:rsidRPr="004550D1" w14:paraId="3CBD2A49" w14:textId="77777777" w:rsidTr="00816208">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7FEE7F1B" w14:textId="77777777" w:rsidR="004550D1" w:rsidRPr="004550D1" w:rsidRDefault="004550D1" w:rsidP="00FD23A1">
            <w:pPr>
              <w:pStyle w:val="Tabletext1"/>
              <w:rPr>
                <w:rFonts w:cs="Arial"/>
              </w:rPr>
            </w:pPr>
          </w:p>
        </w:tc>
        <w:tc>
          <w:tcPr>
            <w:tcW w:w="1763" w:type="dxa"/>
            <w:tcBorders>
              <w:top w:val="nil"/>
              <w:left w:val="nil"/>
              <w:bottom w:val="single" w:sz="4" w:space="0" w:color="auto"/>
              <w:right w:val="single" w:sz="4" w:space="0" w:color="auto"/>
            </w:tcBorders>
            <w:shd w:val="clear" w:color="auto" w:fill="auto"/>
            <w:vAlign w:val="center"/>
            <w:hideMark/>
          </w:tcPr>
          <w:p w14:paraId="7B8F2651"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3DBDFDC4" w14:textId="77777777" w:rsidR="004550D1" w:rsidRPr="004550D1" w:rsidRDefault="004550D1" w:rsidP="00FD23A1">
            <w:pPr>
              <w:pStyle w:val="Tabletext1"/>
              <w:rPr>
                <w:rFonts w:cs="Arial"/>
              </w:rPr>
            </w:pPr>
            <w:r w:rsidRPr="004550D1">
              <w:rPr>
                <w:rFonts w:cs="Arial"/>
              </w:rPr>
              <w:t>-87.30</w:t>
            </w:r>
          </w:p>
        </w:tc>
      </w:tr>
      <w:tr w:rsidR="004550D1" w:rsidRPr="004550D1" w14:paraId="776C1144" w14:textId="77777777" w:rsidTr="00816208">
        <w:trPr>
          <w:cantSplit/>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400C0371" w14:textId="77777777" w:rsidR="004550D1" w:rsidRPr="004550D1" w:rsidRDefault="004550D1" w:rsidP="00FD23A1">
            <w:pPr>
              <w:pStyle w:val="Tabletext1"/>
              <w:rPr>
                <w:rFonts w:cs="Arial"/>
              </w:rPr>
            </w:pPr>
            <w:r w:rsidRPr="004550D1">
              <w:rPr>
                <w:rFonts w:cs="Arial"/>
                <w:lang w:val="en-US"/>
              </w:rPr>
              <w:t>MTA machine ($50,00)</w:t>
            </w:r>
          </w:p>
        </w:tc>
        <w:tc>
          <w:tcPr>
            <w:tcW w:w="1763" w:type="dxa"/>
            <w:tcBorders>
              <w:top w:val="nil"/>
              <w:left w:val="nil"/>
              <w:bottom w:val="single" w:sz="4" w:space="0" w:color="auto"/>
              <w:right w:val="single" w:sz="4" w:space="0" w:color="auto"/>
            </w:tcBorders>
            <w:shd w:val="clear" w:color="auto" w:fill="auto"/>
            <w:vAlign w:val="center"/>
            <w:hideMark/>
          </w:tcPr>
          <w:p w14:paraId="27ECE67C"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4652F41F" w14:textId="77777777" w:rsidR="004550D1" w:rsidRPr="004550D1" w:rsidRDefault="004550D1" w:rsidP="00FD23A1">
            <w:pPr>
              <w:pStyle w:val="Tabletext1"/>
              <w:rPr>
                <w:rFonts w:cs="Arial"/>
              </w:rPr>
            </w:pPr>
            <w:r w:rsidRPr="004550D1">
              <w:rPr>
                <w:rFonts w:cs="Arial"/>
              </w:rPr>
              <w:t>25.00</w:t>
            </w:r>
          </w:p>
        </w:tc>
      </w:tr>
      <w:tr w:rsidR="004550D1" w:rsidRPr="004550D1" w14:paraId="5874331A" w14:textId="77777777" w:rsidTr="00816208">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07DF4CE7" w14:textId="77777777" w:rsidR="004550D1" w:rsidRPr="004550D1" w:rsidRDefault="004550D1" w:rsidP="00FD23A1">
            <w:pPr>
              <w:pStyle w:val="Tabletext1"/>
              <w:rPr>
                <w:rFonts w:cs="Arial"/>
              </w:rPr>
            </w:pPr>
          </w:p>
        </w:tc>
        <w:tc>
          <w:tcPr>
            <w:tcW w:w="1763" w:type="dxa"/>
            <w:tcBorders>
              <w:top w:val="nil"/>
              <w:left w:val="nil"/>
              <w:bottom w:val="single" w:sz="4" w:space="0" w:color="auto"/>
              <w:right w:val="single" w:sz="4" w:space="0" w:color="auto"/>
            </w:tcBorders>
            <w:shd w:val="clear" w:color="auto" w:fill="auto"/>
            <w:vAlign w:val="center"/>
            <w:hideMark/>
          </w:tcPr>
          <w:p w14:paraId="1C95DC50"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3C31AADA" w14:textId="77777777" w:rsidR="004550D1" w:rsidRPr="004550D1" w:rsidRDefault="004550D1" w:rsidP="00FD23A1">
            <w:pPr>
              <w:pStyle w:val="Tabletext1"/>
              <w:rPr>
                <w:rFonts w:cs="Arial"/>
              </w:rPr>
            </w:pPr>
            <w:r w:rsidRPr="004550D1">
              <w:rPr>
                <w:rFonts w:cs="Arial"/>
              </w:rPr>
              <w:t>-25.00</w:t>
            </w:r>
          </w:p>
        </w:tc>
      </w:tr>
      <w:tr w:rsidR="004550D1" w:rsidRPr="004550D1" w14:paraId="7A5A03C3" w14:textId="77777777" w:rsidTr="00816208">
        <w:trPr>
          <w:cantSplit/>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7CD95857" w14:textId="77777777" w:rsidR="004550D1" w:rsidRPr="004550D1" w:rsidRDefault="004550D1" w:rsidP="00FD23A1">
            <w:pPr>
              <w:pStyle w:val="Tabletext1"/>
              <w:rPr>
                <w:rFonts w:cs="Arial"/>
              </w:rPr>
            </w:pPr>
            <w:r w:rsidRPr="004550D1">
              <w:rPr>
                <w:rFonts w:cs="Arial"/>
                <w:lang w:val="en-US"/>
              </w:rPr>
              <w:t>MTA probe ($2,960)</w:t>
            </w:r>
          </w:p>
        </w:tc>
        <w:tc>
          <w:tcPr>
            <w:tcW w:w="1763" w:type="dxa"/>
            <w:tcBorders>
              <w:top w:val="nil"/>
              <w:left w:val="nil"/>
              <w:bottom w:val="single" w:sz="4" w:space="0" w:color="auto"/>
              <w:right w:val="single" w:sz="4" w:space="0" w:color="auto"/>
            </w:tcBorders>
            <w:shd w:val="clear" w:color="auto" w:fill="auto"/>
            <w:vAlign w:val="center"/>
            <w:hideMark/>
          </w:tcPr>
          <w:p w14:paraId="391EF106"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731150EA" w14:textId="77777777" w:rsidR="004550D1" w:rsidRPr="004550D1" w:rsidRDefault="004550D1" w:rsidP="00FD23A1">
            <w:pPr>
              <w:pStyle w:val="Tabletext1"/>
              <w:rPr>
                <w:rFonts w:cs="Arial"/>
              </w:rPr>
            </w:pPr>
            <w:r w:rsidRPr="004550D1">
              <w:rPr>
                <w:rFonts w:cs="Arial"/>
              </w:rPr>
              <w:t>296.00</w:t>
            </w:r>
          </w:p>
        </w:tc>
      </w:tr>
      <w:tr w:rsidR="004550D1" w:rsidRPr="004550D1" w14:paraId="60FA9036" w14:textId="77777777" w:rsidTr="00816208">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6A4F3943" w14:textId="77777777" w:rsidR="004550D1" w:rsidRPr="004550D1" w:rsidRDefault="004550D1" w:rsidP="00FD23A1">
            <w:pPr>
              <w:pStyle w:val="Tabletext1"/>
              <w:rPr>
                <w:rFonts w:cs="Arial"/>
              </w:rPr>
            </w:pPr>
          </w:p>
        </w:tc>
        <w:tc>
          <w:tcPr>
            <w:tcW w:w="1763" w:type="dxa"/>
            <w:tcBorders>
              <w:top w:val="nil"/>
              <w:left w:val="nil"/>
              <w:bottom w:val="single" w:sz="4" w:space="0" w:color="auto"/>
              <w:right w:val="single" w:sz="4" w:space="0" w:color="auto"/>
            </w:tcBorders>
            <w:shd w:val="clear" w:color="auto" w:fill="auto"/>
            <w:vAlign w:val="center"/>
            <w:hideMark/>
          </w:tcPr>
          <w:p w14:paraId="7C54AF0E"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57CCA59E" w14:textId="77777777" w:rsidR="004550D1" w:rsidRPr="004550D1" w:rsidRDefault="004550D1" w:rsidP="00FD23A1">
            <w:pPr>
              <w:pStyle w:val="Tabletext1"/>
              <w:rPr>
                <w:rFonts w:cs="Arial"/>
              </w:rPr>
            </w:pPr>
            <w:r w:rsidRPr="004550D1">
              <w:rPr>
                <w:rFonts w:cs="Arial"/>
              </w:rPr>
              <w:t>-296.00</w:t>
            </w:r>
          </w:p>
        </w:tc>
      </w:tr>
      <w:tr w:rsidR="004550D1" w:rsidRPr="004550D1" w14:paraId="3A5E3994" w14:textId="77777777" w:rsidTr="00816208">
        <w:trPr>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077B6474" w14:textId="77777777" w:rsidR="004550D1" w:rsidRPr="004550D1" w:rsidRDefault="004550D1" w:rsidP="00FD23A1">
            <w:pPr>
              <w:pStyle w:val="Tabletext1"/>
              <w:rPr>
                <w:rFonts w:cs="Arial"/>
              </w:rPr>
            </w:pPr>
            <w:r w:rsidRPr="004550D1">
              <w:rPr>
                <w:rFonts w:cs="Arial"/>
                <w:lang w:val="en-US"/>
              </w:rPr>
              <w:t>SBRT simulation fee ($658)</w:t>
            </w:r>
          </w:p>
        </w:tc>
        <w:tc>
          <w:tcPr>
            <w:tcW w:w="1763" w:type="dxa"/>
            <w:tcBorders>
              <w:top w:val="nil"/>
              <w:left w:val="nil"/>
              <w:bottom w:val="single" w:sz="4" w:space="0" w:color="auto"/>
              <w:right w:val="single" w:sz="4" w:space="0" w:color="auto"/>
            </w:tcBorders>
            <w:shd w:val="clear" w:color="auto" w:fill="auto"/>
            <w:vAlign w:val="center"/>
            <w:hideMark/>
          </w:tcPr>
          <w:p w14:paraId="23C95AC8"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7EAC7DAC" w14:textId="77777777" w:rsidR="004550D1" w:rsidRPr="004550D1" w:rsidRDefault="004550D1" w:rsidP="00FD23A1">
            <w:pPr>
              <w:pStyle w:val="Tabletext1"/>
              <w:rPr>
                <w:rFonts w:cs="Arial"/>
              </w:rPr>
            </w:pPr>
            <w:r w:rsidRPr="004550D1">
              <w:rPr>
                <w:rFonts w:cs="Arial"/>
              </w:rPr>
              <w:t>-65.86</w:t>
            </w:r>
          </w:p>
        </w:tc>
      </w:tr>
      <w:tr w:rsidR="004550D1" w:rsidRPr="004550D1" w14:paraId="68A46A4B" w14:textId="77777777" w:rsidTr="00816208">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4BD3B39D" w14:textId="77777777" w:rsidR="004550D1" w:rsidRPr="004550D1" w:rsidRDefault="004550D1" w:rsidP="00FD23A1">
            <w:pPr>
              <w:pStyle w:val="Tabletext1"/>
              <w:rPr>
                <w:rFonts w:cs="Arial"/>
              </w:rPr>
            </w:pPr>
          </w:p>
        </w:tc>
        <w:tc>
          <w:tcPr>
            <w:tcW w:w="1763" w:type="dxa"/>
            <w:tcBorders>
              <w:top w:val="nil"/>
              <w:left w:val="nil"/>
              <w:bottom w:val="single" w:sz="4" w:space="0" w:color="auto"/>
              <w:right w:val="single" w:sz="4" w:space="0" w:color="auto"/>
            </w:tcBorders>
            <w:shd w:val="clear" w:color="auto" w:fill="auto"/>
            <w:vAlign w:val="center"/>
            <w:hideMark/>
          </w:tcPr>
          <w:p w14:paraId="139E6781"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3EF56EB2" w14:textId="77777777" w:rsidR="004550D1" w:rsidRPr="004550D1" w:rsidRDefault="004550D1" w:rsidP="00FD23A1">
            <w:pPr>
              <w:pStyle w:val="Tabletext1"/>
              <w:rPr>
                <w:rFonts w:cs="Arial"/>
              </w:rPr>
            </w:pPr>
            <w:r w:rsidRPr="004550D1">
              <w:rPr>
                <w:rFonts w:cs="Arial"/>
              </w:rPr>
              <w:t>65.86</w:t>
            </w:r>
          </w:p>
        </w:tc>
      </w:tr>
      <w:tr w:rsidR="004550D1" w:rsidRPr="004550D1" w14:paraId="5AA96C59" w14:textId="77777777" w:rsidTr="00816208">
        <w:trPr>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068EB1F7" w14:textId="77777777" w:rsidR="004550D1" w:rsidRPr="004550D1" w:rsidRDefault="004550D1" w:rsidP="00FD23A1">
            <w:pPr>
              <w:pStyle w:val="Tabletext1"/>
              <w:rPr>
                <w:rFonts w:cs="Arial"/>
              </w:rPr>
            </w:pPr>
            <w:r w:rsidRPr="004550D1">
              <w:rPr>
                <w:rFonts w:cs="Arial"/>
                <w:lang w:val="en-US"/>
              </w:rPr>
              <w:t>SBRT dosimetry fee ($1120.75)</w:t>
            </w:r>
          </w:p>
        </w:tc>
        <w:tc>
          <w:tcPr>
            <w:tcW w:w="1763" w:type="dxa"/>
            <w:tcBorders>
              <w:top w:val="nil"/>
              <w:left w:val="nil"/>
              <w:bottom w:val="single" w:sz="4" w:space="0" w:color="auto"/>
              <w:right w:val="single" w:sz="4" w:space="0" w:color="auto"/>
            </w:tcBorders>
            <w:shd w:val="clear" w:color="auto" w:fill="auto"/>
            <w:vAlign w:val="center"/>
            <w:hideMark/>
          </w:tcPr>
          <w:p w14:paraId="2B4E07BB"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6B8B50D8" w14:textId="77777777" w:rsidR="004550D1" w:rsidRPr="004550D1" w:rsidRDefault="004550D1" w:rsidP="00FD23A1">
            <w:pPr>
              <w:pStyle w:val="Tabletext1"/>
              <w:rPr>
                <w:rFonts w:cs="Arial"/>
              </w:rPr>
            </w:pPr>
            <w:r w:rsidRPr="004550D1">
              <w:rPr>
                <w:rFonts w:cs="Arial"/>
              </w:rPr>
              <w:t>-112.08</w:t>
            </w:r>
          </w:p>
        </w:tc>
      </w:tr>
      <w:tr w:rsidR="004550D1" w:rsidRPr="004550D1" w14:paraId="4E34C8AE" w14:textId="77777777" w:rsidTr="00816208">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30AE722B" w14:textId="77777777" w:rsidR="004550D1" w:rsidRPr="004550D1" w:rsidRDefault="004550D1" w:rsidP="00FD23A1">
            <w:pPr>
              <w:pStyle w:val="Tabletext1"/>
              <w:rPr>
                <w:rFonts w:cs="Arial"/>
              </w:rPr>
            </w:pPr>
          </w:p>
        </w:tc>
        <w:tc>
          <w:tcPr>
            <w:tcW w:w="1763" w:type="dxa"/>
            <w:tcBorders>
              <w:top w:val="nil"/>
              <w:left w:val="nil"/>
              <w:bottom w:val="single" w:sz="4" w:space="0" w:color="auto"/>
              <w:right w:val="single" w:sz="4" w:space="0" w:color="auto"/>
            </w:tcBorders>
            <w:shd w:val="clear" w:color="auto" w:fill="auto"/>
            <w:vAlign w:val="center"/>
            <w:hideMark/>
          </w:tcPr>
          <w:p w14:paraId="2F5E9B50"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5B790EAC" w14:textId="77777777" w:rsidR="004550D1" w:rsidRPr="004550D1" w:rsidRDefault="004550D1" w:rsidP="00FD23A1">
            <w:pPr>
              <w:pStyle w:val="Tabletext1"/>
              <w:rPr>
                <w:rFonts w:cs="Arial"/>
              </w:rPr>
            </w:pPr>
            <w:r w:rsidRPr="004550D1">
              <w:rPr>
                <w:rFonts w:cs="Arial"/>
              </w:rPr>
              <w:t>112.08</w:t>
            </w:r>
          </w:p>
        </w:tc>
      </w:tr>
      <w:tr w:rsidR="004550D1" w:rsidRPr="004550D1" w14:paraId="4286AADD" w14:textId="77777777" w:rsidTr="00816208">
        <w:trPr>
          <w:cantSplit/>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5A03A023" w14:textId="77777777" w:rsidR="004550D1" w:rsidRPr="004550D1" w:rsidRDefault="004550D1" w:rsidP="00FD23A1">
            <w:pPr>
              <w:pStyle w:val="Tabletext1"/>
              <w:rPr>
                <w:rFonts w:cs="Arial"/>
              </w:rPr>
            </w:pPr>
            <w:r w:rsidRPr="004550D1">
              <w:rPr>
                <w:rFonts w:cs="Arial"/>
                <w:lang w:val="en-US"/>
              </w:rPr>
              <w:t>SBRT treatment fee, MBS Item 15260 5F ($37.95)</w:t>
            </w:r>
          </w:p>
        </w:tc>
        <w:tc>
          <w:tcPr>
            <w:tcW w:w="1763" w:type="dxa"/>
            <w:tcBorders>
              <w:top w:val="nil"/>
              <w:left w:val="nil"/>
              <w:bottom w:val="single" w:sz="4" w:space="0" w:color="auto"/>
              <w:right w:val="single" w:sz="4" w:space="0" w:color="auto"/>
            </w:tcBorders>
            <w:shd w:val="clear" w:color="auto" w:fill="auto"/>
            <w:vAlign w:val="center"/>
            <w:hideMark/>
          </w:tcPr>
          <w:p w14:paraId="58235241"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5E1764E6" w14:textId="77777777" w:rsidR="004550D1" w:rsidRPr="004550D1" w:rsidRDefault="004550D1" w:rsidP="00FD23A1">
            <w:pPr>
              <w:pStyle w:val="Tabletext1"/>
              <w:rPr>
                <w:rFonts w:cs="Arial"/>
              </w:rPr>
            </w:pPr>
            <w:r w:rsidRPr="004550D1">
              <w:rPr>
                <w:rFonts w:cs="Arial"/>
              </w:rPr>
              <w:t>-75.90</w:t>
            </w:r>
          </w:p>
        </w:tc>
      </w:tr>
      <w:tr w:rsidR="004550D1" w:rsidRPr="004550D1" w14:paraId="57CA6317" w14:textId="77777777" w:rsidTr="00816208">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4355BBEC" w14:textId="77777777" w:rsidR="004550D1" w:rsidRPr="004550D1" w:rsidRDefault="004550D1" w:rsidP="00FD23A1">
            <w:pPr>
              <w:pStyle w:val="Tabletext1"/>
              <w:rPr>
                <w:rFonts w:cs="Arial"/>
              </w:rPr>
            </w:pPr>
          </w:p>
        </w:tc>
        <w:tc>
          <w:tcPr>
            <w:tcW w:w="1763" w:type="dxa"/>
            <w:tcBorders>
              <w:top w:val="nil"/>
              <w:left w:val="nil"/>
              <w:bottom w:val="single" w:sz="4" w:space="0" w:color="auto"/>
              <w:right w:val="single" w:sz="4" w:space="0" w:color="auto"/>
            </w:tcBorders>
            <w:shd w:val="clear" w:color="auto" w:fill="auto"/>
            <w:vAlign w:val="center"/>
            <w:hideMark/>
          </w:tcPr>
          <w:p w14:paraId="4B172C31" w14:textId="77777777" w:rsidR="004550D1" w:rsidRPr="004550D1" w:rsidRDefault="004550D1" w:rsidP="00FD23A1">
            <w:pPr>
              <w:pStyle w:val="Tabletext1"/>
              <w:rPr>
                <w:rFonts w:cs="Arial"/>
              </w:rPr>
            </w:pPr>
            <w:r w:rsidRPr="004550D1">
              <w:rPr>
                <w:rFonts w:cs="Arial"/>
                <w:lang w:val="en-US"/>
              </w:rPr>
              <w:t>-10%</w:t>
            </w:r>
          </w:p>
        </w:tc>
        <w:tc>
          <w:tcPr>
            <w:tcW w:w="1842" w:type="dxa"/>
            <w:tcBorders>
              <w:top w:val="nil"/>
              <w:left w:val="nil"/>
              <w:bottom w:val="single" w:sz="4" w:space="0" w:color="auto"/>
              <w:right w:val="single" w:sz="4" w:space="0" w:color="auto"/>
            </w:tcBorders>
            <w:shd w:val="clear" w:color="auto" w:fill="auto"/>
            <w:vAlign w:val="center"/>
            <w:hideMark/>
          </w:tcPr>
          <w:p w14:paraId="53073D60" w14:textId="77777777" w:rsidR="004550D1" w:rsidRPr="004550D1" w:rsidRDefault="004550D1" w:rsidP="00FD23A1">
            <w:pPr>
              <w:pStyle w:val="Tabletext1"/>
              <w:rPr>
                <w:rFonts w:cs="Arial"/>
              </w:rPr>
            </w:pPr>
            <w:r w:rsidRPr="004550D1">
              <w:rPr>
                <w:rFonts w:cs="Arial"/>
              </w:rPr>
              <w:t>75.90</w:t>
            </w:r>
          </w:p>
        </w:tc>
      </w:tr>
      <w:tr w:rsidR="004550D1" w:rsidRPr="004550D1" w14:paraId="0DE08830" w14:textId="77777777" w:rsidTr="00816208">
        <w:trPr>
          <w:cantSplit/>
          <w:trHeight w:val="255"/>
        </w:trPr>
        <w:tc>
          <w:tcPr>
            <w:tcW w:w="5580" w:type="dxa"/>
            <w:tcBorders>
              <w:top w:val="nil"/>
              <w:left w:val="single" w:sz="4" w:space="0" w:color="auto"/>
              <w:bottom w:val="single" w:sz="4" w:space="0" w:color="auto"/>
              <w:right w:val="single" w:sz="4" w:space="0" w:color="auto"/>
            </w:tcBorders>
            <w:shd w:val="clear" w:color="auto" w:fill="auto"/>
            <w:vAlign w:val="center"/>
            <w:hideMark/>
          </w:tcPr>
          <w:p w14:paraId="0A4853AF" w14:textId="77777777" w:rsidR="004550D1" w:rsidRPr="004550D1" w:rsidRDefault="004550D1" w:rsidP="00FD23A1">
            <w:pPr>
              <w:pStyle w:val="Tabletext1"/>
              <w:rPr>
                <w:rFonts w:cs="Arial"/>
              </w:rPr>
            </w:pPr>
            <w:r w:rsidRPr="004550D1">
              <w:rPr>
                <w:rFonts w:cs="Arial"/>
                <w:lang w:val="en-US"/>
              </w:rPr>
              <w:t>Inclusion of pneumothorax at rate of 9.6% of MTA procedures</w:t>
            </w:r>
          </w:p>
        </w:tc>
        <w:tc>
          <w:tcPr>
            <w:tcW w:w="1763" w:type="dxa"/>
            <w:tcBorders>
              <w:top w:val="nil"/>
              <w:left w:val="nil"/>
              <w:bottom w:val="single" w:sz="4" w:space="0" w:color="auto"/>
              <w:right w:val="single" w:sz="4" w:space="0" w:color="auto"/>
            </w:tcBorders>
            <w:shd w:val="clear" w:color="auto" w:fill="auto"/>
            <w:vAlign w:val="center"/>
            <w:hideMark/>
          </w:tcPr>
          <w:p w14:paraId="13BF0A63" w14:textId="77777777" w:rsidR="004550D1" w:rsidRPr="004550D1" w:rsidRDefault="004550D1" w:rsidP="00FD23A1">
            <w:pPr>
              <w:pStyle w:val="Tabletext1"/>
              <w:rPr>
                <w:rFonts w:cs="Arial"/>
              </w:rPr>
            </w:pPr>
            <w:r w:rsidRPr="004550D1">
              <w:rPr>
                <w:rFonts w:cs="Arial"/>
                <w:lang w:val="en-US"/>
              </w:rPr>
              <w:t>Included</w:t>
            </w:r>
          </w:p>
        </w:tc>
        <w:tc>
          <w:tcPr>
            <w:tcW w:w="1842" w:type="dxa"/>
            <w:tcBorders>
              <w:top w:val="nil"/>
              <w:left w:val="nil"/>
              <w:bottom w:val="single" w:sz="4" w:space="0" w:color="auto"/>
              <w:right w:val="single" w:sz="4" w:space="0" w:color="auto"/>
            </w:tcBorders>
            <w:shd w:val="clear" w:color="auto" w:fill="auto"/>
            <w:vAlign w:val="center"/>
            <w:hideMark/>
          </w:tcPr>
          <w:p w14:paraId="22FE3914" w14:textId="77777777" w:rsidR="004550D1" w:rsidRPr="004550D1" w:rsidRDefault="004550D1" w:rsidP="00FD23A1">
            <w:pPr>
              <w:pStyle w:val="Tabletext1"/>
              <w:rPr>
                <w:rFonts w:cs="Arial"/>
              </w:rPr>
            </w:pPr>
            <w:r w:rsidRPr="004550D1">
              <w:rPr>
                <w:rFonts w:cs="Arial"/>
              </w:rPr>
              <w:t>748.18</w:t>
            </w:r>
          </w:p>
        </w:tc>
      </w:tr>
    </w:tbl>
    <w:bookmarkEnd w:id="409"/>
    <w:p w14:paraId="3D5DD97E" w14:textId="25CBBAFE" w:rsidR="008D7145" w:rsidRDefault="008D7145" w:rsidP="008D7145">
      <w:pPr>
        <w:pStyle w:val="Tablenotes0"/>
      </w:pPr>
      <w:r>
        <w:t>&lt;</w:t>
      </w:r>
      <w:r w:rsidR="00637264">
        <w:t xml:space="preserve"> </w:t>
      </w:r>
      <w:r>
        <w:t>MBS= Medicare benefits schedule; MTA = microwave thermal ablation; SBRT = stereotactic body radiotherapy</w:t>
      </w:r>
      <w:r w:rsidR="00637264">
        <w:t xml:space="preserve"> </w:t>
      </w:r>
      <w:r>
        <w:t>&gt;</w:t>
      </w:r>
    </w:p>
    <w:p w14:paraId="6A495A42" w14:textId="533D509C" w:rsidR="00AB12D2" w:rsidRPr="00185DD2" w:rsidRDefault="00AB12D2" w:rsidP="009A0310">
      <w:pPr>
        <w:widowControl w:val="0"/>
        <w:spacing w:before="500"/>
      </w:pPr>
      <w:r w:rsidRPr="00BC4A30">
        <w:t xml:space="preserve">Similarly, as for &lt;3 lesions, a significant cost difference exists between MTA and </w:t>
      </w:r>
      <w:r w:rsidR="00760AC9" w:rsidRPr="00BC4A30">
        <w:t>SBRT</w:t>
      </w:r>
      <w:r w:rsidRPr="00BC4A30">
        <w:t xml:space="preserve"> across all parameters that are varied for the comparison of </w:t>
      </w:r>
      <w:r w:rsidR="00760AC9" w:rsidRPr="00BC4A30">
        <w:t>SBRT</w:t>
      </w:r>
      <w:r w:rsidRPr="00BC4A30">
        <w:t xml:space="preserve"> and MTA for 3</w:t>
      </w:r>
      <w:r w:rsidR="008D7145">
        <w:t>–</w:t>
      </w:r>
      <w:r w:rsidRPr="00BC4A30">
        <w:t xml:space="preserve">5 lesions. The larger cost items have the more substantial impact on the increased cost of MTA over SBRT. Key items again include adverse </w:t>
      </w:r>
      <w:r w:rsidR="008D7145">
        <w:t>event inclusion, the probe and</w:t>
      </w:r>
      <w:r w:rsidRPr="00BC4A30">
        <w:t xml:space="preserve"> </w:t>
      </w:r>
      <w:proofErr w:type="gramStart"/>
      <w:r w:rsidRPr="00BC4A30">
        <w:t>hospital stay</w:t>
      </w:r>
      <w:proofErr w:type="gramEnd"/>
      <w:r w:rsidRPr="00BC4A30">
        <w:t>.</w:t>
      </w:r>
      <w:r w:rsidR="00185DD2">
        <w:t xml:space="preserve"> </w:t>
      </w:r>
      <w:r w:rsidRPr="00BC4A30">
        <w:rPr>
          <w:rFonts w:asciiTheme="minorHAnsi" w:hAnsiTheme="minorHAnsi"/>
        </w:rPr>
        <w:t>MSAC (2016) indicate</w:t>
      </w:r>
      <w:r w:rsidR="008D7145">
        <w:rPr>
          <w:rFonts w:asciiTheme="minorHAnsi" w:hAnsiTheme="minorHAnsi"/>
        </w:rPr>
        <w:t>s</w:t>
      </w:r>
      <w:r w:rsidRPr="00BC4A30">
        <w:rPr>
          <w:rFonts w:asciiTheme="minorHAnsi" w:hAnsiTheme="minorHAnsi"/>
        </w:rPr>
        <w:t xml:space="preserve"> that the base-case economic evaluation should </w:t>
      </w:r>
      <w:r w:rsidR="004550D1">
        <w:rPr>
          <w:rFonts w:asciiTheme="minorHAnsi" w:hAnsiTheme="minorHAnsi"/>
        </w:rPr>
        <w:t xml:space="preserve">capture changes in the cost of </w:t>
      </w:r>
      <w:r w:rsidRPr="00BC4A30">
        <w:rPr>
          <w:rFonts w:asciiTheme="minorHAnsi" w:hAnsiTheme="minorHAnsi"/>
        </w:rPr>
        <w:t xml:space="preserve">health care </w:t>
      </w:r>
      <w:r w:rsidR="00CA6DFD" w:rsidRPr="00BC4A30">
        <w:rPr>
          <w:rFonts w:asciiTheme="minorHAnsi" w:hAnsiTheme="minorHAnsi"/>
        </w:rPr>
        <w:t>resources</w:t>
      </w:r>
      <w:r w:rsidR="004550D1">
        <w:rPr>
          <w:rFonts w:asciiTheme="minorHAnsi" w:hAnsiTheme="minorHAnsi"/>
        </w:rPr>
        <w:t xml:space="preserve"> and </w:t>
      </w:r>
      <w:r w:rsidRPr="00BC4A30">
        <w:rPr>
          <w:rFonts w:asciiTheme="minorHAnsi" w:hAnsiTheme="minorHAnsi"/>
        </w:rPr>
        <w:t xml:space="preserve">supplementary analyses used to </w:t>
      </w:r>
      <w:r w:rsidR="004550D1">
        <w:rPr>
          <w:rFonts w:asciiTheme="minorHAnsi" w:hAnsiTheme="minorHAnsi"/>
        </w:rPr>
        <w:t xml:space="preserve">accommodate any impacts on </w:t>
      </w:r>
      <w:r w:rsidRPr="00BC4A30">
        <w:rPr>
          <w:rFonts w:asciiTheme="minorHAnsi" w:hAnsiTheme="minorHAnsi"/>
        </w:rPr>
        <w:t xml:space="preserve">non-health care resources </w:t>
      </w:r>
      <w:r w:rsidR="004550D1">
        <w:rPr>
          <w:rFonts w:asciiTheme="minorHAnsi" w:hAnsiTheme="minorHAnsi"/>
        </w:rPr>
        <w:t xml:space="preserve">and </w:t>
      </w:r>
      <w:r w:rsidRPr="00BC4A30">
        <w:rPr>
          <w:rFonts w:asciiTheme="minorHAnsi" w:hAnsiTheme="minorHAnsi"/>
        </w:rPr>
        <w:t>non-health outcomes.</w:t>
      </w:r>
      <w:r w:rsidRPr="00BC4A30">
        <w:rPr>
          <w:rFonts w:asciiTheme="minorHAnsi" w:hAnsiTheme="minorHAnsi"/>
          <w:vertAlign w:val="superscript"/>
        </w:rPr>
        <w:footnoteReference w:id="1"/>
      </w:r>
      <w:r w:rsidRPr="00BC4A30">
        <w:rPr>
          <w:rFonts w:asciiTheme="minorHAnsi" w:hAnsiTheme="minorHAnsi"/>
        </w:rPr>
        <w:t xml:space="preserve"> </w:t>
      </w:r>
      <w:r w:rsidR="008D7145">
        <w:rPr>
          <w:rFonts w:asciiTheme="minorHAnsi" w:hAnsiTheme="minorHAnsi"/>
        </w:rPr>
        <w:t>It is stated</w:t>
      </w:r>
      <w:r w:rsidR="004550D1">
        <w:rPr>
          <w:rFonts w:asciiTheme="minorHAnsi" w:hAnsiTheme="minorHAnsi"/>
        </w:rPr>
        <w:t xml:space="preserve"> that the costs of social services such as </w:t>
      </w:r>
      <w:r w:rsidRPr="00BC4A30">
        <w:rPr>
          <w:rFonts w:asciiTheme="minorHAnsi" w:hAnsiTheme="minorHAnsi"/>
        </w:rPr>
        <w:t xml:space="preserve">home help, day care, </w:t>
      </w:r>
      <w:r w:rsidR="004550D1">
        <w:rPr>
          <w:rFonts w:asciiTheme="minorHAnsi" w:hAnsiTheme="minorHAnsi"/>
        </w:rPr>
        <w:t>or</w:t>
      </w:r>
      <w:r w:rsidRPr="00BC4A30">
        <w:rPr>
          <w:rFonts w:asciiTheme="minorHAnsi" w:hAnsiTheme="minorHAnsi"/>
        </w:rPr>
        <w:t xml:space="preserve"> private </w:t>
      </w:r>
      <w:r w:rsidRPr="00BC4A30">
        <w:rPr>
          <w:rFonts w:asciiTheme="minorHAnsi" w:hAnsiTheme="minorHAnsi"/>
        </w:rPr>
        <w:lastRenderedPageBreak/>
        <w:t xml:space="preserve">travel may be considered </w:t>
      </w:r>
      <w:r w:rsidR="004550D1">
        <w:rPr>
          <w:rFonts w:asciiTheme="minorHAnsi" w:hAnsiTheme="minorHAnsi"/>
        </w:rPr>
        <w:t>in some circumstances</w:t>
      </w:r>
      <w:r w:rsidRPr="00BC4A30">
        <w:rPr>
          <w:rFonts w:asciiTheme="minorHAnsi" w:hAnsiTheme="minorHAnsi"/>
        </w:rPr>
        <w:t>.</w:t>
      </w:r>
    </w:p>
    <w:p w14:paraId="1B187956" w14:textId="3D5A8420" w:rsidR="00AB12D2" w:rsidRPr="00BC4A30" w:rsidRDefault="00AB12D2" w:rsidP="00AB12D2">
      <w:pPr>
        <w:rPr>
          <w:rFonts w:asciiTheme="minorHAnsi" w:hAnsiTheme="minorHAnsi"/>
        </w:rPr>
      </w:pPr>
      <w:r w:rsidRPr="00BC4A30">
        <w:rPr>
          <w:rFonts w:asciiTheme="minorHAnsi" w:hAnsiTheme="minorHAnsi"/>
        </w:rPr>
        <w:t>MTA treatment involves fewer visits to health facilities when compared to SBRT. These savings are</w:t>
      </w:r>
      <w:r w:rsidR="009D57FD">
        <w:rPr>
          <w:rFonts w:asciiTheme="minorHAnsi" w:hAnsiTheme="minorHAnsi"/>
        </w:rPr>
        <w:t>, however,</w:t>
      </w:r>
      <w:r w:rsidRPr="00BC4A30">
        <w:rPr>
          <w:rFonts w:asciiTheme="minorHAnsi" w:hAnsiTheme="minorHAnsi"/>
        </w:rPr>
        <w:t xml:space="preserve"> not quantified</w:t>
      </w:r>
      <w:r w:rsidR="009D57FD">
        <w:rPr>
          <w:rFonts w:asciiTheme="minorHAnsi" w:hAnsiTheme="minorHAnsi"/>
        </w:rPr>
        <w:t xml:space="preserve"> due to paucity of travel cost data. Travel and other non-health costs are likely to be lower</w:t>
      </w:r>
      <w:r w:rsidRPr="00BC4A30">
        <w:rPr>
          <w:rFonts w:asciiTheme="minorHAnsi" w:hAnsiTheme="minorHAnsi"/>
        </w:rPr>
        <w:t xml:space="preserve">. </w:t>
      </w:r>
      <w:r w:rsidRPr="007121B3">
        <w:rPr>
          <w:rFonts w:asciiTheme="minorHAnsi" w:hAnsiTheme="minorHAnsi"/>
        </w:rPr>
        <w:t xml:space="preserve">Shukla et al </w:t>
      </w:r>
      <w:r w:rsidR="007121B3">
        <w:rPr>
          <w:rFonts w:asciiTheme="minorHAnsi" w:hAnsiTheme="minorHAnsi"/>
        </w:rPr>
        <w:fldChar w:fldCharType="begin"/>
      </w:r>
      <w:r w:rsidR="005D7223">
        <w:rPr>
          <w:rFonts w:asciiTheme="minorHAnsi" w:hAnsiTheme="minorHAnsi"/>
        </w:rPr>
        <w:instrText xml:space="preserve"> ADDIN EN.CITE &lt;EndNote&gt;&lt;Cite ExcludeAuth="1"&gt;&lt;Author&gt;Shukla&lt;/Author&gt;&lt;Year&gt;2015&lt;/Year&gt;&lt;RecNum&gt;263&lt;/RecNum&gt;&lt;DisplayText&gt;(2015)&lt;/DisplayText&gt;&lt;record&gt;&lt;rec-number&gt;263&lt;/rec-number&gt;&lt;foreign-keys&gt;&lt;key app="EN" db-id="05ssdaw2cf0zvye5xvo5z9ww0xdpfstrdtew" timestamp="1472537374"&gt;263&lt;/key&gt;&lt;/foreign-keys&gt;&lt;ref-type name="Journal Article"&gt;17&lt;/ref-type&gt;&lt;contributors&gt;&lt;authors&gt;&lt;author&gt;Shukla, N., Wickramasuriya, R., Miller, A. &amp;amp; Perez, P., &lt;/author&gt;&lt;/authors&gt;&lt;/contributors&gt;&lt;titles&gt;&lt;title&gt;Population accessibility to radiotherapy services in New South Wales Region of Australia: a methodological contribution. &lt;/title&gt;&lt;secondary-title&gt;Journal of Physics&lt;/secondary-title&gt;&lt;/titles&gt;&lt;periodical&gt;&lt;full-title&gt;Journal of Physics&lt;/full-title&gt;&lt;/periodical&gt;&lt;pages&gt;unknown&lt;/pages&gt;&lt;volume&gt;Conference Series&lt;/volume&gt;&lt;number&gt;616 012004-1-012004-9&lt;/number&gt;&lt;dates&gt;&lt;year&gt;2015&lt;/year&gt;&lt;/dates&gt;&lt;urls&gt;&lt;/urls&gt;&lt;/record&gt;&lt;/Cite&gt;&lt;/EndNote&gt;</w:instrText>
      </w:r>
      <w:r w:rsidR="007121B3">
        <w:rPr>
          <w:rFonts w:asciiTheme="minorHAnsi" w:hAnsiTheme="minorHAnsi"/>
        </w:rPr>
        <w:fldChar w:fldCharType="separate"/>
      </w:r>
      <w:r w:rsidR="005D7223">
        <w:rPr>
          <w:rFonts w:asciiTheme="minorHAnsi" w:hAnsiTheme="minorHAnsi"/>
          <w:noProof/>
        </w:rPr>
        <w:t>(</w:t>
      </w:r>
      <w:hyperlink w:anchor="_ENREF_140" w:tooltip="Shukla, 2015 #263" w:history="1">
        <w:r w:rsidR="00320458">
          <w:rPr>
            <w:rFonts w:asciiTheme="minorHAnsi" w:hAnsiTheme="minorHAnsi"/>
            <w:noProof/>
          </w:rPr>
          <w:t>2015</w:t>
        </w:r>
      </w:hyperlink>
      <w:r w:rsidR="005D7223">
        <w:rPr>
          <w:rFonts w:asciiTheme="minorHAnsi" w:hAnsiTheme="minorHAnsi"/>
          <w:noProof/>
        </w:rPr>
        <w:t>)</w:t>
      </w:r>
      <w:r w:rsidR="007121B3">
        <w:rPr>
          <w:rFonts w:asciiTheme="minorHAnsi" w:hAnsiTheme="minorHAnsi"/>
        </w:rPr>
        <w:fldChar w:fldCharType="end"/>
      </w:r>
      <w:r w:rsidRPr="007121B3">
        <w:rPr>
          <w:rFonts w:asciiTheme="minorHAnsi" w:hAnsiTheme="minorHAnsi"/>
        </w:rPr>
        <w:t xml:space="preserve"> cite</w:t>
      </w:r>
      <w:r w:rsidRPr="00BC4A30">
        <w:rPr>
          <w:rFonts w:asciiTheme="minorHAnsi" w:hAnsiTheme="minorHAnsi"/>
        </w:rPr>
        <w:t xml:space="preserve"> a range of overseas studies on the impact of distance and travel on </w:t>
      </w:r>
      <w:r w:rsidR="009D57FD">
        <w:rPr>
          <w:rFonts w:asciiTheme="minorHAnsi" w:hAnsiTheme="minorHAnsi"/>
        </w:rPr>
        <w:t xml:space="preserve">radiotherapy </w:t>
      </w:r>
      <w:r w:rsidRPr="00BC4A30">
        <w:rPr>
          <w:rFonts w:asciiTheme="minorHAnsi" w:hAnsiTheme="minorHAnsi"/>
        </w:rPr>
        <w:t>treatment utilisation. For example</w:t>
      </w:r>
      <w:r w:rsidRPr="00804DAF">
        <w:rPr>
          <w:rFonts w:asciiTheme="minorHAnsi" w:hAnsiTheme="minorHAnsi"/>
        </w:rPr>
        <w:t xml:space="preserve">, Madelaine et </w:t>
      </w:r>
      <w:r w:rsidRPr="007121B3">
        <w:rPr>
          <w:rFonts w:asciiTheme="minorHAnsi" w:hAnsiTheme="minorHAnsi"/>
        </w:rPr>
        <w:t xml:space="preserve">al </w:t>
      </w:r>
      <w:r w:rsidR="00E14908" w:rsidRPr="007121B3">
        <w:rPr>
          <w:rFonts w:asciiTheme="minorHAnsi" w:hAnsiTheme="minorHAnsi"/>
        </w:rPr>
        <w:fldChar w:fldCharType="begin">
          <w:fldData xml:space="preserve">PEVuZE5vdGU+PENpdGUgRXhjbHVkZUF1dGg9IjEiPjxBdXRob3I+TWFkZWxhaW5lPC9BdXRob3I+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</w:fldData>
        </w:fldChar>
      </w:r>
      <w:r w:rsidR="005D7223">
        <w:rPr>
          <w:rFonts w:asciiTheme="minorHAnsi" w:hAnsiTheme="minorHAnsi"/>
        </w:rPr>
        <w:instrText xml:space="preserve"> ADDIN EN.CITE </w:instrText>
      </w:r>
      <w:r w:rsidR="005D7223">
        <w:rPr>
          <w:rFonts w:asciiTheme="minorHAnsi" w:hAnsiTheme="minorHAnsi"/>
        </w:rPr>
        <w:fldChar w:fldCharType="begin">
          <w:fldData xml:space="preserve">PEVuZE5vdGU+PENpdGUgRXhjbHVkZUF1dGg9IjEiPjxBdXRob3I+TWFkZWxhaW5lPC9BdXRob3I+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</w:fldData>
        </w:fldChar>
      </w:r>
      <w:r w:rsidR="005D7223">
        <w:rPr>
          <w:rFonts w:asciiTheme="minorHAnsi" w:hAnsiTheme="minorHAnsi"/>
        </w:rPr>
        <w:instrText xml:space="preserve"> ADDIN EN.CITE.DATA </w:instrText>
      </w:r>
      <w:r w:rsidR="005D7223">
        <w:rPr>
          <w:rFonts w:asciiTheme="minorHAnsi" w:hAnsiTheme="minorHAnsi"/>
        </w:rPr>
      </w:r>
      <w:r w:rsidR="005D7223">
        <w:rPr>
          <w:rFonts w:asciiTheme="minorHAnsi" w:hAnsiTheme="minorHAnsi"/>
        </w:rPr>
        <w:fldChar w:fldCharType="end"/>
      </w:r>
      <w:r w:rsidR="00E14908" w:rsidRPr="007121B3">
        <w:rPr>
          <w:rFonts w:asciiTheme="minorHAnsi" w:hAnsiTheme="minorHAnsi"/>
        </w:rPr>
      </w:r>
      <w:r w:rsidR="00E14908" w:rsidRPr="007121B3">
        <w:rPr>
          <w:rFonts w:asciiTheme="minorHAnsi" w:hAnsiTheme="minorHAnsi"/>
        </w:rPr>
        <w:fldChar w:fldCharType="separate"/>
      </w:r>
      <w:r w:rsidR="005D7223">
        <w:rPr>
          <w:rFonts w:asciiTheme="minorHAnsi" w:hAnsiTheme="minorHAnsi"/>
          <w:noProof/>
        </w:rPr>
        <w:t>(</w:t>
      </w:r>
      <w:hyperlink w:anchor="_ENREF_101" w:tooltip="Madelaine, 2002 #224" w:history="1">
        <w:r w:rsidR="00320458">
          <w:rPr>
            <w:rFonts w:asciiTheme="minorHAnsi" w:hAnsiTheme="minorHAnsi"/>
            <w:noProof/>
          </w:rPr>
          <w:t>2002</w:t>
        </w:r>
      </w:hyperlink>
      <w:r w:rsidR="005D7223">
        <w:rPr>
          <w:rFonts w:asciiTheme="minorHAnsi" w:hAnsiTheme="minorHAnsi"/>
          <w:noProof/>
        </w:rPr>
        <w:t>)</w:t>
      </w:r>
      <w:r w:rsidR="00E14908" w:rsidRPr="007121B3">
        <w:rPr>
          <w:rFonts w:asciiTheme="minorHAnsi" w:hAnsiTheme="minorHAnsi"/>
        </w:rPr>
        <w:fldChar w:fldCharType="end"/>
      </w:r>
      <w:r w:rsidRPr="007121B3">
        <w:rPr>
          <w:rFonts w:asciiTheme="minorHAnsi" w:hAnsiTheme="minorHAnsi"/>
        </w:rPr>
        <w:t>reported</w:t>
      </w:r>
      <w:r w:rsidRPr="00804DAF">
        <w:rPr>
          <w:rFonts w:asciiTheme="minorHAnsi" w:hAnsiTheme="minorHAnsi"/>
        </w:rPr>
        <w:t xml:space="preserve"> lower treatment rates for</w:t>
      </w:r>
      <w:r w:rsidRPr="00BC4A30">
        <w:rPr>
          <w:rFonts w:asciiTheme="minorHAnsi" w:hAnsiTheme="minorHAnsi"/>
        </w:rPr>
        <w:t xml:space="preserve"> rural lung cancer patients in </w:t>
      </w:r>
      <w:r w:rsidR="009D57FD">
        <w:rPr>
          <w:rFonts w:asciiTheme="minorHAnsi" w:hAnsiTheme="minorHAnsi"/>
        </w:rPr>
        <w:t xml:space="preserve">Europe </w:t>
      </w:r>
      <w:r w:rsidR="009D57FD" w:rsidRPr="007121B3">
        <w:rPr>
          <w:rFonts w:asciiTheme="minorHAnsi" w:hAnsiTheme="minorHAnsi"/>
        </w:rPr>
        <w:t xml:space="preserve">and </w:t>
      </w:r>
      <w:r w:rsidR="007121B3">
        <w:rPr>
          <w:rFonts w:asciiTheme="minorHAnsi" w:hAnsiTheme="minorHAnsi"/>
        </w:rPr>
        <w:t xml:space="preserve">Greenberg et al </w:t>
      </w:r>
      <w:r w:rsidR="00E14908" w:rsidRPr="007121B3">
        <w:rPr>
          <w:rFonts w:asciiTheme="minorHAnsi" w:hAnsiTheme="minorHAnsi"/>
        </w:rPr>
        <w:fldChar w:fldCharType="begin">
          <w:fldData xml:space="preserve">PEVuZE5vdGU+PENpdGUgRXhjbHVkZUF1dGg9IjEiPjxBdXRob3I+R3JlZW5iZXJnPC9BdXRob3I+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ZCBqb3VybmFsIG9mIG1lZGljaW5lPC9hYmJyLTE+PC9hbHQtcGVyaW9kaWNhbD48cGFnZXM+NjEy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</w:fldData>
        </w:fldChar>
      </w:r>
      <w:r w:rsidR="005D7223">
        <w:rPr>
          <w:rFonts w:asciiTheme="minorHAnsi" w:hAnsiTheme="minorHAnsi"/>
        </w:rPr>
        <w:instrText xml:space="preserve"> ADDIN EN.CITE </w:instrText>
      </w:r>
      <w:r w:rsidR="005D7223">
        <w:rPr>
          <w:rFonts w:asciiTheme="minorHAnsi" w:hAnsiTheme="minorHAnsi"/>
        </w:rPr>
        <w:fldChar w:fldCharType="begin">
          <w:fldData xml:space="preserve">PEVuZE5vdGU+PENpdGUgRXhjbHVkZUF1dGg9IjEiPjxBdXRob3I+R3JlZW5iZXJnPC9BdXRob3I+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ZCBqb3VybmFsIG9mIG1lZGljaW5lPC9hYmJyLTE+PC9hbHQtcGVyaW9kaWNhbD48cGFnZXM+NjEy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</w:fldData>
        </w:fldChar>
      </w:r>
      <w:r w:rsidR="005D7223">
        <w:rPr>
          <w:rFonts w:asciiTheme="minorHAnsi" w:hAnsiTheme="minorHAnsi"/>
        </w:rPr>
        <w:instrText xml:space="preserve"> ADDIN EN.CITE.DATA </w:instrText>
      </w:r>
      <w:r w:rsidR="005D7223">
        <w:rPr>
          <w:rFonts w:asciiTheme="minorHAnsi" w:hAnsiTheme="minorHAnsi"/>
        </w:rPr>
      </w:r>
      <w:r w:rsidR="005D7223">
        <w:rPr>
          <w:rFonts w:asciiTheme="minorHAnsi" w:hAnsiTheme="minorHAnsi"/>
        </w:rPr>
        <w:fldChar w:fldCharType="end"/>
      </w:r>
      <w:r w:rsidR="00E14908" w:rsidRPr="007121B3">
        <w:rPr>
          <w:rFonts w:asciiTheme="minorHAnsi" w:hAnsiTheme="minorHAnsi"/>
        </w:rPr>
      </w:r>
      <w:r w:rsidR="00E14908" w:rsidRPr="007121B3">
        <w:rPr>
          <w:rFonts w:asciiTheme="minorHAnsi" w:hAnsiTheme="minorHAnsi"/>
        </w:rPr>
        <w:fldChar w:fldCharType="separate"/>
      </w:r>
      <w:r w:rsidR="005D7223">
        <w:rPr>
          <w:rFonts w:asciiTheme="minorHAnsi" w:hAnsiTheme="minorHAnsi"/>
          <w:noProof/>
        </w:rPr>
        <w:t>(</w:t>
      </w:r>
      <w:hyperlink w:anchor="_ENREF_58" w:tooltip="Greenberg, 1988 #212" w:history="1">
        <w:r w:rsidR="00320458">
          <w:rPr>
            <w:rFonts w:asciiTheme="minorHAnsi" w:hAnsiTheme="minorHAnsi"/>
            <w:noProof/>
          </w:rPr>
          <w:t>1988</w:t>
        </w:r>
      </w:hyperlink>
      <w:r w:rsidR="005D7223">
        <w:rPr>
          <w:rFonts w:asciiTheme="minorHAnsi" w:hAnsiTheme="minorHAnsi"/>
          <w:noProof/>
        </w:rPr>
        <w:t>)</w:t>
      </w:r>
      <w:r w:rsidR="00E14908" w:rsidRPr="007121B3">
        <w:rPr>
          <w:rFonts w:asciiTheme="minorHAnsi" w:hAnsiTheme="minorHAnsi"/>
        </w:rPr>
        <w:fldChar w:fldCharType="end"/>
      </w:r>
      <w:r w:rsidRPr="007121B3">
        <w:rPr>
          <w:rFonts w:asciiTheme="minorHAnsi" w:hAnsiTheme="minorHAnsi"/>
        </w:rPr>
        <w:t xml:space="preserve"> asserted that</w:t>
      </w:r>
      <w:r w:rsidR="009D57FD" w:rsidRPr="007121B3">
        <w:rPr>
          <w:rFonts w:asciiTheme="minorHAnsi" w:hAnsiTheme="minorHAnsi"/>
        </w:rPr>
        <w:t xml:space="preserve"> remote </w:t>
      </w:r>
      <w:r w:rsidR="008D7145">
        <w:rPr>
          <w:rFonts w:asciiTheme="minorHAnsi" w:hAnsiTheme="minorHAnsi"/>
        </w:rPr>
        <w:t xml:space="preserve">and </w:t>
      </w:r>
      <w:r w:rsidR="009D57FD" w:rsidRPr="007121B3">
        <w:rPr>
          <w:rFonts w:asciiTheme="minorHAnsi" w:hAnsiTheme="minorHAnsi"/>
        </w:rPr>
        <w:t>rural Am</w:t>
      </w:r>
      <w:r w:rsidR="009D57FD">
        <w:rPr>
          <w:rFonts w:asciiTheme="minorHAnsi" w:hAnsiTheme="minorHAnsi"/>
        </w:rPr>
        <w:t>ericans with</w:t>
      </w:r>
      <w:r w:rsidRPr="00BC4A30">
        <w:rPr>
          <w:rFonts w:asciiTheme="minorHAnsi" w:hAnsiTheme="minorHAnsi"/>
        </w:rPr>
        <w:t xml:space="preserve"> lung cancer</w:t>
      </w:r>
      <w:r w:rsidR="009D57FD">
        <w:rPr>
          <w:rFonts w:asciiTheme="minorHAnsi" w:hAnsiTheme="minorHAnsi"/>
        </w:rPr>
        <w:t xml:space="preserve"> </w:t>
      </w:r>
      <w:r w:rsidRPr="00BC4A30">
        <w:rPr>
          <w:rFonts w:asciiTheme="minorHAnsi" w:hAnsiTheme="minorHAnsi"/>
        </w:rPr>
        <w:t>were more likely to undergo surgery</w:t>
      </w:r>
      <w:r w:rsidR="009D57FD">
        <w:rPr>
          <w:rFonts w:asciiTheme="minorHAnsi" w:hAnsiTheme="minorHAnsi"/>
        </w:rPr>
        <w:t xml:space="preserve"> relative to </w:t>
      </w:r>
      <w:r w:rsidRPr="00BC4A30">
        <w:rPr>
          <w:rFonts w:asciiTheme="minorHAnsi" w:hAnsiTheme="minorHAnsi"/>
        </w:rPr>
        <w:t>radiotherapy or chemotherapy.</w:t>
      </w:r>
    </w:p>
    <w:p w14:paraId="0D217C70" w14:textId="46AD9384" w:rsidR="00AB12D2" w:rsidRPr="00BC4A30" w:rsidRDefault="00AB12D2" w:rsidP="004D5572">
      <w:pPr>
        <w:pStyle w:val="Caption"/>
        <w:keepNext/>
        <w:ind w:left="1134" w:hanging="1134"/>
      </w:pPr>
      <w:bookmarkStart w:id="412" w:name="_Toc460514732"/>
      <w:r w:rsidRPr="00BC4A30">
        <w:t xml:space="preserve">Table </w:t>
      </w:r>
      <w:fldSimple w:instr=" SEQ Table \* ARABIC ">
        <w:r w:rsidR="00D170A5">
          <w:rPr>
            <w:noProof/>
          </w:rPr>
          <w:t>74</w:t>
        </w:r>
      </w:fldSimple>
      <w:r w:rsidRPr="00BC4A30">
        <w:tab/>
        <w:t>Average costs one-way sensitivity analysis of MTA versus SB</w:t>
      </w:r>
      <w:r w:rsidR="005E7DE8" w:rsidRPr="00BC4A30">
        <w:t xml:space="preserve">RT, populations one and two, </w:t>
      </w:r>
      <w:r w:rsidR="00CA6DFD" w:rsidRPr="00BC4A30">
        <w:t>and 3</w:t>
      </w:r>
      <w:r w:rsidR="00D35E9C" w:rsidRPr="00D35E9C">
        <w:t>–</w:t>
      </w:r>
      <w:r w:rsidR="005E7DE8" w:rsidRPr="00BC4A30">
        <w:t>5</w:t>
      </w:r>
      <w:r w:rsidRPr="00BC4A30">
        <w:t xml:space="preserve"> lesions</w:t>
      </w:r>
      <w:bookmarkEnd w:id="412"/>
    </w:p>
    <w:tbl>
      <w:tblPr>
        <w:tblW w:w="9185" w:type="dxa"/>
        <w:tblInd w:w="-5" w:type="dxa"/>
        <w:tblLook w:val="04A0" w:firstRow="1" w:lastRow="0" w:firstColumn="1" w:lastColumn="0" w:noHBand="0" w:noVBand="1"/>
        <w:tblCaption w:val="Table D.6.2"/>
        <w:tblDescription w:val="Average costs one-way sensitivity analysis of MTA versus SBRT, populations one and two, 3-3 lesions"/>
      </w:tblPr>
      <w:tblGrid>
        <w:gridCol w:w="5580"/>
        <w:gridCol w:w="1621"/>
        <w:gridCol w:w="1984"/>
      </w:tblGrid>
      <w:tr w:rsidR="00AB12D2" w:rsidRPr="00BC4A30" w14:paraId="3BB9A1C9" w14:textId="77777777" w:rsidTr="00A90B7F">
        <w:trPr>
          <w:cantSplit/>
          <w:trHeight w:val="765"/>
        </w:trPr>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8AF8730" w14:textId="77777777" w:rsidR="00AB12D2" w:rsidRPr="00960600" w:rsidRDefault="00AB12D2" w:rsidP="00960600">
            <w:pPr>
              <w:pStyle w:val="Tabletext1"/>
              <w:rPr>
                <w:b/>
              </w:rPr>
            </w:pPr>
            <w:r w:rsidRPr="00960600">
              <w:rPr>
                <w:b/>
              </w:rPr>
              <w:t>Parameter</w:t>
            </w:r>
          </w:p>
        </w:tc>
        <w:tc>
          <w:tcPr>
            <w:tcW w:w="162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0E2269C" w14:textId="77777777" w:rsidR="00AB12D2" w:rsidRPr="00960600" w:rsidRDefault="00AB12D2" w:rsidP="00960600">
            <w:pPr>
              <w:pStyle w:val="Tabletext1"/>
              <w:rPr>
                <w:b/>
              </w:rPr>
            </w:pPr>
            <w:r w:rsidRPr="00960600">
              <w:rPr>
                <w:b/>
              </w:rPr>
              <w:t>Analysis</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F01745" w14:textId="0DCA78B4" w:rsidR="00AB12D2" w:rsidRPr="00960600" w:rsidRDefault="00AB12D2" w:rsidP="00960600">
            <w:pPr>
              <w:pStyle w:val="Tabletext1"/>
              <w:rPr>
                <w:b/>
              </w:rPr>
            </w:pPr>
            <w:r w:rsidRPr="00960600">
              <w:rPr>
                <w:b/>
              </w:rPr>
              <w:t xml:space="preserve">Change in </w:t>
            </w:r>
            <w:r w:rsidR="00960600">
              <w:rPr>
                <w:b/>
              </w:rPr>
              <w:t>Base I</w:t>
            </w:r>
            <w:r w:rsidRPr="00960600">
              <w:rPr>
                <w:b/>
              </w:rPr>
              <w:t>ncremental cost</w:t>
            </w:r>
          </w:p>
        </w:tc>
      </w:tr>
      <w:tr w:rsidR="00AB12D2" w:rsidRPr="00BC4A30" w14:paraId="4A8F86DA" w14:textId="77777777" w:rsidTr="00A90B7F">
        <w:trPr>
          <w:cantSplit/>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5B806F30" w14:textId="31DEDF25" w:rsidR="00AB12D2" w:rsidRPr="00BC4A30" w:rsidRDefault="00AB12D2" w:rsidP="00A90B7F">
            <w:pPr>
              <w:pStyle w:val="Tabletext1"/>
              <w:rPr>
                <w:rFonts w:cs="Arial"/>
              </w:rPr>
            </w:pPr>
            <w:r w:rsidRPr="00BC4A30">
              <w:rPr>
                <w:rFonts w:cs="Arial"/>
                <w:lang w:val="en-US"/>
              </w:rPr>
              <w:t xml:space="preserve">Destruction of up to three lesions, by </w:t>
            </w:r>
            <w:r w:rsidR="008D7145">
              <w:rPr>
                <w:rFonts w:cs="Arial"/>
                <w:lang w:val="en-US"/>
              </w:rPr>
              <w:t>MTA</w:t>
            </w:r>
            <w:r w:rsidRPr="00BC4A30">
              <w:rPr>
                <w:rFonts w:cs="Arial"/>
                <w:lang w:val="en-US"/>
              </w:rPr>
              <w:t xml:space="preserve"> – proposed fee ($1,600)</w:t>
            </w:r>
          </w:p>
        </w:tc>
        <w:tc>
          <w:tcPr>
            <w:tcW w:w="1621" w:type="dxa"/>
            <w:tcBorders>
              <w:top w:val="nil"/>
              <w:left w:val="nil"/>
              <w:bottom w:val="single" w:sz="4" w:space="0" w:color="auto"/>
              <w:right w:val="single" w:sz="4" w:space="0" w:color="auto"/>
            </w:tcBorders>
            <w:shd w:val="clear" w:color="auto" w:fill="auto"/>
            <w:vAlign w:val="center"/>
            <w:hideMark/>
          </w:tcPr>
          <w:p w14:paraId="6936761A"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695DB256" w14:textId="77777777" w:rsidR="00AB12D2" w:rsidRPr="00BC4A30" w:rsidRDefault="00AB12D2" w:rsidP="00960600">
            <w:pPr>
              <w:pStyle w:val="Tabletext1"/>
              <w:rPr>
                <w:rFonts w:cs="Arial"/>
              </w:rPr>
            </w:pPr>
            <w:r w:rsidRPr="00BC4A30">
              <w:rPr>
                <w:rFonts w:cs="Arial"/>
              </w:rPr>
              <w:t>160.00</w:t>
            </w:r>
          </w:p>
        </w:tc>
      </w:tr>
      <w:tr w:rsidR="00AB12D2" w:rsidRPr="00BC4A30" w14:paraId="11687E2C" w14:textId="77777777" w:rsidTr="00A90B7F">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7F352B77" w14:textId="77777777" w:rsidR="00AB12D2" w:rsidRPr="00BC4A30" w:rsidRDefault="00AB12D2" w:rsidP="00960600">
            <w:pPr>
              <w:pStyle w:val="Tabletext1"/>
              <w:rPr>
                <w:rFonts w:cs="Arial"/>
              </w:rPr>
            </w:pPr>
          </w:p>
        </w:tc>
        <w:tc>
          <w:tcPr>
            <w:tcW w:w="1621" w:type="dxa"/>
            <w:tcBorders>
              <w:top w:val="nil"/>
              <w:left w:val="nil"/>
              <w:bottom w:val="single" w:sz="4" w:space="0" w:color="auto"/>
              <w:right w:val="single" w:sz="4" w:space="0" w:color="auto"/>
            </w:tcBorders>
            <w:shd w:val="clear" w:color="auto" w:fill="auto"/>
            <w:vAlign w:val="center"/>
            <w:hideMark/>
          </w:tcPr>
          <w:p w14:paraId="35D15F01"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3C367D0F" w14:textId="77777777" w:rsidR="00AB12D2" w:rsidRPr="00BC4A30" w:rsidRDefault="009D57FD" w:rsidP="00960600">
            <w:pPr>
              <w:pStyle w:val="Tabletext1"/>
              <w:rPr>
                <w:rFonts w:cs="Arial"/>
              </w:rPr>
            </w:pPr>
            <w:r>
              <w:rPr>
                <w:rFonts w:cs="Arial"/>
              </w:rPr>
              <w:t>-</w:t>
            </w:r>
            <w:r w:rsidR="00AB12D2" w:rsidRPr="00BC4A30">
              <w:rPr>
                <w:rFonts w:cs="Arial"/>
              </w:rPr>
              <w:t>160.00</w:t>
            </w:r>
          </w:p>
        </w:tc>
      </w:tr>
      <w:tr w:rsidR="00AB12D2" w:rsidRPr="00BC4A30" w14:paraId="54C9ED8F" w14:textId="77777777" w:rsidTr="00A90B7F">
        <w:trPr>
          <w:cantSplit/>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70BD09AA" w14:textId="77777777" w:rsidR="00AB12D2" w:rsidRPr="00BC4A30" w:rsidRDefault="00AB12D2" w:rsidP="00960600">
            <w:pPr>
              <w:pStyle w:val="Tabletext1"/>
              <w:rPr>
                <w:rFonts w:cs="Arial"/>
              </w:rPr>
            </w:pPr>
            <w:r w:rsidRPr="00BC4A30">
              <w:rPr>
                <w:rFonts w:cs="Arial"/>
                <w:lang w:val="en-US"/>
              </w:rPr>
              <w:t>MTA hospital accommodation, under base ($873 per night)</w:t>
            </w:r>
          </w:p>
        </w:tc>
        <w:tc>
          <w:tcPr>
            <w:tcW w:w="1621" w:type="dxa"/>
            <w:tcBorders>
              <w:top w:val="nil"/>
              <w:left w:val="nil"/>
              <w:bottom w:val="single" w:sz="4" w:space="0" w:color="auto"/>
              <w:right w:val="single" w:sz="4" w:space="0" w:color="auto"/>
            </w:tcBorders>
            <w:shd w:val="clear" w:color="auto" w:fill="auto"/>
            <w:vAlign w:val="center"/>
            <w:hideMark/>
          </w:tcPr>
          <w:p w14:paraId="1F28BAFE"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789A5C0A" w14:textId="77777777" w:rsidR="00AB12D2" w:rsidRPr="00BC4A30" w:rsidRDefault="00AB12D2" w:rsidP="00960600">
            <w:pPr>
              <w:pStyle w:val="Tabletext1"/>
              <w:rPr>
                <w:rFonts w:cs="Arial"/>
              </w:rPr>
            </w:pPr>
            <w:r w:rsidRPr="00BC4A30">
              <w:rPr>
                <w:rFonts w:cs="Arial"/>
              </w:rPr>
              <w:t>87.30</w:t>
            </w:r>
          </w:p>
        </w:tc>
      </w:tr>
      <w:tr w:rsidR="00AB12D2" w:rsidRPr="00BC4A30" w14:paraId="2BDCEC4E" w14:textId="77777777" w:rsidTr="00A90B7F">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61AB5F96" w14:textId="77777777" w:rsidR="00AB12D2" w:rsidRPr="00BC4A30" w:rsidRDefault="00AB12D2" w:rsidP="00960600">
            <w:pPr>
              <w:pStyle w:val="Tabletext1"/>
              <w:rPr>
                <w:rFonts w:cs="Arial"/>
              </w:rPr>
            </w:pPr>
          </w:p>
        </w:tc>
        <w:tc>
          <w:tcPr>
            <w:tcW w:w="1621" w:type="dxa"/>
            <w:tcBorders>
              <w:top w:val="nil"/>
              <w:left w:val="nil"/>
              <w:bottom w:val="single" w:sz="4" w:space="0" w:color="auto"/>
              <w:right w:val="single" w:sz="4" w:space="0" w:color="auto"/>
            </w:tcBorders>
            <w:shd w:val="clear" w:color="auto" w:fill="auto"/>
            <w:vAlign w:val="center"/>
            <w:hideMark/>
          </w:tcPr>
          <w:p w14:paraId="067EF921"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50280F39" w14:textId="77777777" w:rsidR="00AB12D2" w:rsidRPr="00BC4A30" w:rsidRDefault="009D57FD" w:rsidP="00960600">
            <w:pPr>
              <w:pStyle w:val="Tabletext1"/>
              <w:rPr>
                <w:rFonts w:cs="Arial"/>
              </w:rPr>
            </w:pPr>
            <w:r>
              <w:rPr>
                <w:rFonts w:cs="Arial"/>
              </w:rPr>
              <w:t>-</w:t>
            </w:r>
            <w:r w:rsidR="00AB12D2" w:rsidRPr="00BC4A30">
              <w:rPr>
                <w:rFonts w:cs="Arial"/>
              </w:rPr>
              <w:t>87.30</w:t>
            </w:r>
          </w:p>
        </w:tc>
      </w:tr>
      <w:tr w:rsidR="00AB12D2" w:rsidRPr="00BC4A30" w14:paraId="4DE2A535" w14:textId="77777777" w:rsidTr="00A90B7F">
        <w:trPr>
          <w:cantSplit/>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556223B5" w14:textId="77777777" w:rsidR="00AB12D2" w:rsidRPr="00BC4A30" w:rsidRDefault="00AB12D2" w:rsidP="00960600">
            <w:pPr>
              <w:pStyle w:val="Tabletext1"/>
              <w:rPr>
                <w:rFonts w:cs="Arial"/>
              </w:rPr>
            </w:pPr>
            <w:r w:rsidRPr="00BC4A30">
              <w:rPr>
                <w:rFonts w:cs="Arial"/>
                <w:lang w:val="en-US"/>
              </w:rPr>
              <w:t>MTA machine ($50,00)</w:t>
            </w:r>
          </w:p>
        </w:tc>
        <w:tc>
          <w:tcPr>
            <w:tcW w:w="1621" w:type="dxa"/>
            <w:tcBorders>
              <w:top w:val="nil"/>
              <w:left w:val="nil"/>
              <w:bottom w:val="single" w:sz="4" w:space="0" w:color="auto"/>
              <w:right w:val="single" w:sz="4" w:space="0" w:color="auto"/>
            </w:tcBorders>
            <w:shd w:val="clear" w:color="auto" w:fill="auto"/>
            <w:vAlign w:val="center"/>
            <w:hideMark/>
          </w:tcPr>
          <w:p w14:paraId="3100B983"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03D99981" w14:textId="77777777" w:rsidR="00AB12D2" w:rsidRPr="00BC4A30" w:rsidRDefault="00AB12D2" w:rsidP="00960600">
            <w:pPr>
              <w:pStyle w:val="Tabletext1"/>
              <w:rPr>
                <w:rFonts w:cs="Arial"/>
              </w:rPr>
            </w:pPr>
            <w:r w:rsidRPr="00BC4A30">
              <w:rPr>
                <w:rFonts w:cs="Arial"/>
              </w:rPr>
              <w:t>25.00</w:t>
            </w:r>
          </w:p>
        </w:tc>
      </w:tr>
      <w:tr w:rsidR="00AB12D2" w:rsidRPr="00BC4A30" w14:paraId="19FD1979" w14:textId="77777777" w:rsidTr="00A90B7F">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0AE8B6B4" w14:textId="77777777" w:rsidR="00AB12D2" w:rsidRPr="00BC4A30" w:rsidRDefault="00AB12D2" w:rsidP="00960600">
            <w:pPr>
              <w:pStyle w:val="Tabletext1"/>
              <w:rPr>
                <w:rFonts w:cs="Arial"/>
              </w:rPr>
            </w:pPr>
          </w:p>
        </w:tc>
        <w:tc>
          <w:tcPr>
            <w:tcW w:w="1621" w:type="dxa"/>
            <w:tcBorders>
              <w:top w:val="nil"/>
              <w:left w:val="nil"/>
              <w:bottom w:val="single" w:sz="4" w:space="0" w:color="auto"/>
              <w:right w:val="single" w:sz="4" w:space="0" w:color="auto"/>
            </w:tcBorders>
            <w:shd w:val="clear" w:color="auto" w:fill="auto"/>
            <w:vAlign w:val="center"/>
            <w:hideMark/>
          </w:tcPr>
          <w:p w14:paraId="1CB5BFB4"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03882B98" w14:textId="77777777" w:rsidR="00AB12D2" w:rsidRPr="00BC4A30" w:rsidRDefault="009D57FD" w:rsidP="00960600">
            <w:pPr>
              <w:pStyle w:val="Tabletext1"/>
              <w:rPr>
                <w:rFonts w:cs="Arial"/>
              </w:rPr>
            </w:pPr>
            <w:r>
              <w:rPr>
                <w:rFonts w:cs="Arial"/>
                <w:lang w:val="en-US"/>
              </w:rPr>
              <w:t>-</w:t>
            </w:r>
            <w:r w:rsidR="00AB12D2" w:rsidRPr="00BC4A30">
              <w:rPr>
                <w:rFonts w:cs="Arial"/>
                <w:lang w:val="en-US"/>
              </w:rPr>
              <w:t>25.00</w:t>
            </w:r>
          </w:p>
        </w:tc>
      </w:tr>
      <w:tr w:rsidR="00AB12D2" w:rsidRPr="00BC4A30" w14:paraId="58AA60FC" w14:textId="77777777" w:rsidTr="00A90B7F">
        <w:trPr>
          <w:cantSplit/>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1DC6F3BA" w14:textId="77777777" w:rsidR="00AB12D2" w:rsidRPr="00BC4A30" w:rsidRDefault="00AB12D2" w:rsidP="00960600">
            <w:pPr>
              <w:pStyle w:val="Tabletext1"/>
              <w:rPr>
                <w:rFonts w:cs="Arial"/>
              </w:rPr>
            </w:pPr>
            <w:r w:rsidRPr="00BC4A30">
              <w:rPr>
                <w:rFonts w:cs="Arial"/>
                <w:lang w:val="en-US"/>
              </w:rPr>
              <w:t>MTA probe ($2,960)</w:t>
            </w:r>
          </w:p>
        </w:tc>
        <w:tc>
          <w:tcPr>
            <w:tcW w:w="1621" w:type="dxa"/>
            <w:tcBorders>
              <w:top w:val="nil"/>
              <w:left w:val="nil"/>
              <w:bottom w:val="single" w:sz="4" w:space="0" w:color="auto"/>
              <w:right w:val="single" w:sz="4" w:space="0" w:color="auto"/>
            </w:tcBorders>
            <w:shd w:val="clear" w:color="auto" w:fill="auto"/>
            <w:vAlign w:val="center"/>
            <w:hideMark/>
          </w:tcPr>
          <w:p w14:paraId="7480E5F5"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1002DB79" w14:textId="77777777" w:rsidR="00AB12D2" w:rsidRPr="00BC4A30" w:rsidRDefault="00AB12D2" w:rsidP="00960600">
            <w:pPr>
              <w:pStyle w:val="Tabletext1"/>
              <w:rPr>
                <w:rFonts w:cs="Arial"/>
              </w:rPr>
            </w:pPr>
            <w:r w:rsidRPr="00BC4A30">
              <w:rPr>
                <w:rFonts w:cs="Arial"/>
              </w:rPr>
              <w:t>296.00</w:t>
            </w:r>
          </w:p>
        </w:tc>
      </w:tr>
      <w:tr w:rsidR="00AB12D2" w:rsidRPr="00BC4A30" w14:paraId="0E524359" w14:textId="77777777" w:rsidTr="00A90B7F">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1B578DF3" w14:textId="77777777" w:rsidR="00AB12D2" w:rsidRPr="00BC4A30" w:rsidRDefault="00AB12D2" w:rsidP="00960600">
            <w:pPr>
              <w:pStyle w:val="Tabletext1"/>
              <w:rPr>
                <w:rFonts w:cs="Arial"/>
              </w:rPr>
            </w:pPr>
          </w:p>
        </w:tc>
        <w:tc>
          <w:tcPr>
            <w:tcW w:w="1621" w:type="dxa"/>
            <w:tcBorders>
              <w:top w:val="nil"/>
              <w:left w:val="nil"/>
              <w:bottom w:val="single" w:sz="4" w:space="0" w:color="auto"/>
              <w:right w:val="single" w:sz="4" w:space="0" w:color="auto"/>
            </w:tcBorders>
            <w:shd w:val="clear" w:color="auto" w:fill="auto"/>
            <w:vAlign w:val="center"/>
            <w:hideMark/>
          </w:tcPr>
          <w:p w14:paraId="08ED540F"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13BE8072" w14:textId="77777777" w:rsidR="00AB12D2" w:rsidRPr="00BC4A30" w:rsidRDefault="009D57FD" w:rsidP="00960600">
            <w:pPr>
              <w:pStyle w:val="Tabletext1"/>
              <w:rPr>
                <w:rFonts w:cs="Arial"/>
              </w:rPr>
            </w:pPr>
            <w:r>
              <w:rPr>
                <w:rFonts w:cs="Arial"/>
              </w:rPr>
              <w:t>-</w:t>
            </w:r>
            <w:r w:rsidR="00AB12D2" w:rsidRPr="00BC4A30">
              <w:rPr>
                <w:rFonts w:cs="Arial"/>
              </w:rPr>
              <w:t>296.00</w:t>
            </w:r>
          </w:p>
        </w:tc>
      </w:tr>
      <w:tr w:rsidR="00AB12D2" w:rsidRPr="00BC4A30" w14:paraId="70D74B88" w14:textId="77777777" w:rsidTr="00A90B7F">
        <w:trPr>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04EE6E13" w14:textId="77777777" w:rsidR="00AB12D2" w:rsidRPr="00BC4A30" w:rsidRDefault="00AB12D2" w:rsidP="00960600">
            <w:pPr>
              <w:pStyle w:val="Tabletext1"/>
              <w:rPr>
                <w:rFonts w:cs="Arial"/>
              </w:rPr>
            </w:pPr>
            <w:r w:rsidRPr="00BC4A30">
              <w:rPr>
                <w:rFonts w:cs="Arial"/>
                <w:lang w:val="en-US"/>
              </w:rPr>
              <w:t>SBRT simulation fee ($658)</w:t>
            </w:r>
          </w:p>
        </w:tc>
        <w:tc>
          <w:tcPr>
            <w:tcW w:w="1621" w:type="dxa"/>
            <w:tcBorders>
              <w:top w:val="nil"/>
              <w:left w:val="nil"/>
              <w:bottom w:val="single" w:sz="4" w:space="0" w:color="auto"/>
              <w:right w:val="single" w:sz="4" w:space="0" w:color="auto"/>
            </w:tcBorders>
            <w:shd w:val="clear" w:color="auto" w:fill="auto"/>
            <w:vAlign w:val="center"/>
            <w:hideMark/>
          </w:tcPr>
          <w:p w14:paraId="4A017FFB"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3697990D" w14:textId="77777777" w:rsidR="00AB12D2" w:rsidRPr="00BC4A30" w:rsidRDefault="009D57FD" w:rsidP="00960600">
            <w:pPr>
              <w:pStyle w:val="Tabletext1"/>
              <w:rPr>
                <w:rFonts w:cs="Arial"/>
              </w:rPr>
            </w:pPr>
            <w:r>
              <w:rPr>
                <w:rFonts w:cs="Arial"/>
              </w:rPr>
              <w:t>-</w:t>
            </w:r>
            <w:r w:rsidR="00AB12D2" w:rsidRPr="00BC4A30">
              <w:rPr>
                <w:rFonts w:cs="Arial"/>
              </w:rPr>
              <w:t>65.86</w:t>
            </w:r>
          </w:p>
        </w:tc>
      </w:tr>
      <w:tr w:rsidR="00AB12D2" w:rsidRPr="00BC4A30" w14:paraId="45B48EC7" w14:textId="77777777" w:rsidTr="00A90B7F">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0E798902" w14:textId="77777777" w:rsidR="00AB12D2" w:rsidRPr="00BC4A30" w:rsidRDefault="00AB12D2" w:rsidP="00960600">
            <w:pPr>
              <w:pStyle w:val="Tabletext1"/>
              <w:rPr>
                <w:rFonts w:cs="Arial"/>
              </w:rPr>
            </w:pPr>
          </w:p>
        </w:tc>
        <w:tc>
          <w:tcPr>
            <w:tcW w:w="1621" w:type="dxa"/>
            <w:tcBorders>
              <w:top w:val="nil"/>
              <w:left w:val="nil"/>
              <w:bottom w:val="single" w:sz="4" w:space="0" w:color="auto"/>
              <w:right w:val="single" w:sz="4" w:space="0" w:color="auto"/>
            </w:tcBorders>
            <w:shd w:val="clear" w:color="auto" w:fill="auto"/>
            <w:vAlign w:val="center"/>
            <w:hideMark/>
          </w:tcPr>
          <w:p w14:paraId="6789DB14"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2EA687CD" w14:textId="77777777" w:rsidR="00AB12D2" w:rsidRPr="00BC4A30" w:rsidRDefault="00AB12D2" w:rsidP="00960600">
            <w:pPr>
              <w:pStyle w:val="Tabletext1"/>
              <w:rPr>
                <w:rFonts w:cs="Arial"/>
              </w:rPr>
            </w:pPr>
            <w:r w:rsidRPr="00BC4A30">
              <w:rPr>
                <w:rFonts w:cs="Arial"/>
              </w:rPr>
              <w:t>65.86</w:t>
            </w:r>
          </w:p>
        </w:tc>
      </w:tr>
      <w:tr w:rsidR="00AB12D2" w:rsidRPr="00BC4A30" w14:paraId="0030B76E" w14:textId="77777777" w:rsidTr="00A90B7F">
        <w:trPr>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3AD630D3" w14:textId="77777777" w:rsidR="00AB12D2" w:rsidRPr="00BC4A30" w:rsidRDefault="00AB12D2" w:rsidP="00960600">
            <w:pPr>
              <w:pStyle w:val="Tabletext1"/>
              <w:rPr>
                <w:rFonts w:cs="Arial"/>
              </w:rPr>
            </w:pPr>
            <w:r w:rsidRPr="00BC4A30">
              <w:rPr>
                <w:rFonts w:cs="Arial"/>
                <w:lang w:val="en-US"/>
              </w:rPr>
              <w:t>SBRT dosimetry Fee ($1120.75)</w:t>
            </w:r>
          </w:p>
        </w:tc>
        <w:tc>
          <w:tcPr>
            <w:tcW w:w="1621" w:type="dxa"/>
            <w:tcBorders>
              <w:top w:val="nil"/>
              <w:left w:val="nil"/>
              <w:bottom w:val="single" w:sz="4" w:space="0" w:color="auto"/>
              <w:right w:val="single" w:sz="4" w:space="0" w:color="auto"/>
            </w:tcBorders>
            <w:shd w:val="clear" w:color="auto" w:fill="auto"/>
            <w:vAlign w:val="center"/>
            <w:hideMark/>
          </w:tcPr>
          <w:p w14:paraId="461BE1E6"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36B606D4" w14:textId="77777777" w:rsidR="00AB12D2" w:rsidRPr="00BC4A30" w:rsidRDefault="009D57FD" w:rsidP="00960600">
            <w:pPr>
              <w:pStyle w:val="Tabletext1"/>
              <w:rPr>
                <w:rFonts w:cs="Arial"/>
              </w:rPr>
            </w:pPr>
            <w:r>
              <w:rPr>
                <w:rFonts w:cs="Arial"/>
              </w:rPr>
              <w:t>-</w:t>
            </w:r>
            <w:r w:rsidR="00AB12D2" w:rsidRPr="00BC4A30">
              <w:rPr>
                <w:rFonts w:cs="Arial"/>
              </w:rPr>
              <w:t>112.08</w:t>
            </w:r>
          </w:p>
        </w:tc>
      </w:tr>
      <w:tr w:rsidR="00AB12D2" w:rsidRPr="00BC4A30" w14:paraId="15EEF648" w14:textId="77777777" w:rsidTr="00A90B7F">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67F9A437" w14:textId="77777777" w:rsidR="00AB12D2" w:rsidRPr="00BC4A30" w:rsidRDefault="00AB12D2" w:rsidP="00960600">
            <w:pPr>
              <w:pStyle w:val="Tabletext1"/>
              <w:rPr>
                <w:rFonts w:cs="Arial"/>
              </w:rPr>
            </w:pPr>
          </w:p>
        </w:tc>
        <w:tc>
          <w:tcPr>
            <w:tcW w:w="1621" w:type="dxa"/>
            <w:tcBorders>
              <w:top w:val="nil"/>
              <w:left w:val="nil"/>
              <w:bottom w:val="single" w:sz="4" w:space="0" w:color="auto"/>
              <w:right w:val="single" w:sz="4" w:space="0" w:color="auto"/>
            </w:tcBorders>
            <w:shd w:val="clear" w:color="auto" w:fill="auto"/>
            <w:vAlign w:val="center"/>
            <w:hideMark/>
          </w:tcPr>
          <w:p w14:paraId="6F1DC718"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center"/>
            <w:hideMark/>
          </w:tcPr>
          <w:p w14:paraId="646BC845" w14:textId="77777777" w:rsidR="00AB12D2" w:rsidRPr="00BC4A30" w:rsidRDefault="00AB12D2" w:rsidP="00960600">
            <w:pPr>
              <w:pStyle w:val="Tabletext1"/>
              <w:rPr>
                <w:rFonts w:cs="Arial"/>
              </w:rPr>
            </w:pPr>
            <w:r w:rsidRPr="00BC4A30">
              <w:rPr>
                <w:rFonts w:cs="Arial"/>
                <w:lang w:val="en-US"/>
              </w:rPr>
              <w:t>112.08</w:t>
            </w:r>
          </w:p>
        </w:tc>
      </w:tr>
      <w:tr w:rsidR="00AB12D2" w:rsidRPr="00BC4A30" w14:paraId="18E284C1" w14:textId="77777777" w:rsidTr="00A90B7F">
        <w:trPr>
          <w:cantSplit/>
          <w:trHeight w:val="255"/>
        </w:trPr>
        <w:tc>
          <w:tcPr>
            <w:tcW w:w="5580" w:type="dxa"/>
            <w:tcBorders>
              <w:top w:val="single" w:sz="4" w:space="0" w:color="auto"/>
              <w:left w:val="single" w:sz="4" w:space="0" w:color="auto"/>
              <w:right w:val="single" w:sz="4" w:space="0" w:color="auto"/>
            </w:tcBorders>
            <w:shd w:val="clear" w:color="auto" w:fill="auto"/>
            <w:vAlign w:val="center"/>
            <w:hideMark/>
          </w:tcPr>
          <w:p w14:paraId="0B6ADB43" w14:textId="77777777" w:rsidR="00AB12D2" w:rsidRPr="00BC4A30" w:rsidRDefault="00AB12D2" w:rsidP="00960600">
            <w:pPr>
              <w:pStyle w:val="Tabletext1"/>
              <w:rPr>
                <w:rFonts w:cs="Arial"/>
              </w:rPr>
            </w:pPr>
            <w:r w:rsidRPr="00BC4A30">
              <w:rPr>
                <w:rFonts w:cs="Arial"/>
                <w:lang w:val="en-US"/>
              </w:rPr>
              <w:t>SBRT treatment fee, MBS Item 15260 5F ($37.95)</w:t>
            </w:r>
          </w:p>
        </w:tc>
        <w:tc>
          <w:tcPr>
            <w:tcW w:w="1621" w:type="dxa"/>
            <w:tcBorders>
              <w:top w:val="nil"/>
              <w:left w:val="nil"/>
              <w:bottom w:val="single" w:sz="4" w:space="0" w:color="auto"/>
              <w:right w:val="single" w:sz="4" w:space="0" w:color="auto"/>
            </w:tcBorders>
            <w:shd w:val="clear" w:color="auto" w:fill="auto"/>
            <w:vAlign w:val="center"/>
            <w:hideMark/>
          </w:tcPr>
          <w:p w14:paraId="1D6A482C"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bottom"/>
            <w:hideMark/>
          </w:tcPr>
          <w:p w14:paraId="115F879E" w14:textId="77777777" w:rsidR="00AB12D2" w:rsidRPr="00BC4A30" w:rsidRDefault="009D57FD" w:rsidP="00960600">
            <w:pPr>
              <w:pStyle w:val="Tabletext1"/>
              <w:rPr>
                <w:rFonts w:cs="Arial"/>
              </w:rPr>
            </w:pPr>
            <w:r>
              <w:rPr>
                <w:rFonts w:cs="Arial"/>
              </w:rPr>
              <w:t>-</w:t>
            </w:r>
            <w:r w:rsidR="00AB12D2" w:rsidRPr="00BC4A30">
              <w:rPr>
                <w:rFonts w:cs="Arial"/>
              </w:rPr>
              <w:t>94.88</w:t>
            </w:r>
          </w:p>
        </w:tc>
      </w:tr>
      <w:tr w:rsidR="00AB12D2" w:rsidRPr="00BC4A30" w14:paraId="0F2CCF15" w14:textId="77777777" w:rsidTr="00A90B7F">
        <w:trPr>
          <w:trHeight w:val="255"/>
        </w:trPr>
        <w:tc>
          <w:tcPr>
            <w:tcW w:w="5580" w:type="dxa"/>
            <w:tcBorders>
              <w:left w:val="single" w:sz="4" w:space="0" w:color="auto"/>
              <w:bottom w:val="single" w:sz="4" w:space="0" w:color="auto"/>
              <w:right w:val="single" w:sz="4" w:space="0" w:color="auto"/>
            </w:tcBorders>
            <w:shd w:val="clear" w:color="auto" w:fill="auto"/>
            <w:vAlign w:val="center"/>
            <w:hideMark/>
          </w:tcPr>
          <w:p w14:paraId="450B971C" w14:textId="77777777" w:rsidR="00AB12D2" w:rsidRPr="00BC4A30" w:rsidRDefault="00AB12D2" w:rsidP="00960600">
            <w:pPr>
              <w:pStyle w:val="Tabletext1"/>
              <w:rPr>
                <w:rFonts w:cs="Arial"/>
              </w:rPr>
            </w:pPr>
          </w:p>
        </w:tc>
        <w:tc>
          <w:tcPr>
            <w:tcW w:w="1621" w:type="dxa"/>
            <w:tcBorders>
              <w:top w:val="nil"/>
              <w:left w:val="nil"/>
              <w:bottom w:val="single" w:sz="4" w:space="0" w:color="auto"/>
              <w:right w:val="single" w:sz="4" w:space="0" w:color="auto"/>
            </w:tcBorders>
            <w:shd w:val="clear" w:color="auto" w:fill="auto"/>
            <w:vAlign w:val="center"/>
            <w:hideMark/>
          </w:tcPr>
          <w:p w14:paraId="68B0F372" w14:textId="77777777" w:rsidR="00AB12D2" w:rsidRPr="00BC4A30" w:rsidRDefault="00AB12D2" w:rsidP="00960600">
            <w:pPr>
              <w:pStyle w:val="Tabletext1"/>
              <w:rPr>
                <w:rFonts w:cs="Arial"/>
              </w:rPr>
            </w:pPr>
            <w:r w:rsidRPr="00BC4A30">
              <w:rPr>
                <w:rFonts w:cs="Arial"/>
                <w:lang w:val="en-US"/>
              </w:rPr>
              <w:t>-10%</w:t>
            </w:r>
          </w:p>
        </w:tc>
        <w:tc>
          <w:tcPr>
            <w:tcW w:w="1984" w:type="dxa"/>
            <w:tcBorders>
              <w:top w:val="nil"/>
              <w:left w:val="nil"/>
              <w:bottom w:val="single" w:sz="4" w:space="0" w:color="auto"/>
              <w:right w:val="single" w:sz="4" w:space="0" w:color="auto"/>
            </w:tcBorders>
            <w:shd w:val="clear" w:color="auto" w:fill="auto"/>
            <w:vAlign w:val="bottom"/>
            <w:hideMark/>
          </w:tcPr>
          <w:p w14:paraId="67785A4B" w14:textId="77777777" w:rsidR="00AB12D2" w:rsidRPr="00BC4A30" w:rsidRDefault="00AB12D2" w:rsidP="00960600">
            <w:pPr>
              <w:pStyle w:val="Tabletext1"/>
              <w:rPr>
                <w:rFonts w:cs="Arial"/>
              </w:rPr>
            </w:pPr>
            <w:r w:rsidRPr="00BC4A30">
              <w:rPr>
                <w:rFonts w:cs="Arial"/>
              </w:rPr>
              <w:t>94.88</w:t>
            </w:r>
          </w:p>
        </w:tc>
      </w:tr>
      <w:tr w:rsidR="00AB12D2" w:rsidRPr="00BC4A30" w14:paraId="58CFA12D" w14:textId="77777777" w:rsidTr="00816208">
        <w:trPr>
          <w:cantSplit/>
          <w:trHeight w:val="255"/>
        </w:trPr>
        <w:tc>
          <w:tcPr>
            <w:tcW w:w="5580" w:type="dxa"/>
            <w:tcBorders>
              <w:top w:val="nil"/>
              <w:left w:val="single" w:sz="4" w:space="0" w:color="auto"/>
              <w:bottom w:val="single" w:sz="4" w:space="0" w:color="auto"/>
              <w:right w:val="single" w:sz="4" w:space="0" w:color="auto"/>
            </w:tcBorders>
            <w:shd w:val="clear" w:color="auto" w:fill="auto"/>
            <w:vAlign w:val="center"/>
            <w:hideMark/>
          </w:tcPr>
          <w:p w14:paraId="45111851" w14:textId="77777777" w:rsidR="00AB12D2" w:rsidRPr="00BC4A30" w:rsidRDefault="00AB12D2" w:rsidP="00960600">
            <w:pPr>
              <w:pStyle w:val="Tabletext1"/>
              <w:rPr>
                <w:rFonts w:cs="Arial"/>
              </w:rPr>
            </w:pPr>
            <w:r w:rsidRPr="00BC4A30">
              <w:rPr>
                <w:rFonts w:cs="Arial"/>
                <w:lang w:val="en-US"/>
              </w:rPr>
              <w:t>Inclusion of pneumothorax at rate of 9.6% of MTA procedures</w:t>
            </w:r>
          </w:p>
        </w:tc>
        <w:tc>
          <w:tcPr>
            <w:tcW w:w="1621" w:type="dxa"/>
            <w:tcBorders>
              <w:top w:val="nil"/>
              <w:left w:val="nil"/>
              <w:bottom w:val="single" w:sz="4" w:space="0" w:color="auto"/>
              <w:right w:val="single" w:sz="4" w:space="0" w:color="auto"/>
            </w:tcBorders>
            <w:shd w:val="clear" w:color="auto" w:fill="auto"/>
            <w:vAlign w:val="center"/>
            <w:hideMark/>
          </w:tcPr>
          <w:p w14:paraId="3BDEC467" w14:textId="77777777" w:rsidR="00AB12D2" w:rsidRPr="00BC4A30" w:rsidRDefault="00AB12D2" w:rsidP="00960600">
            <w:pPr>
              <w:pStyle w:val="Tabletext1"/>
              <w:rPr>
                <w:rFonts w:cs="Arial"/>
              </w:rPr>
            </w:pPr>
            <w:r w:rsidRPr="00BC4A30">
              <w:rPr>
                <w:rFonts w:cs="Arial"/>
                <w:lang w:val="en-US"/>
              </w:rPr>
              <w:t>Included</w:t>
            </w:r>
          </w:p>
        </w:tc>
        <w:tc>
          <w:tcPr>
            <w:tcW w:w="1984" w:type="dxa"/>
            <w:tcBorders>
              <w:top w:val="nil"/>
              <w:left w:val="nil"/>
              <w:bottom w:val="single" w:sz="4" w:space="0" w:color="auto"/>
              <w:right w:val="single" w:sz="4" w:space="0" w:color="auto"/>
            </w:tcBorders>
            <w:shd w:val="clear" w:color="auto" w:fill="auto"/>
            <w:vAlign w:val="bottom"/>
            <w:hideMark/>
          </w:tcPr>
          <w:p w14:paraId="6C216940" w14:textId="77777777" w:rsidR="00AB12D2" w:rsidRPr="00BC4A30" w:rsidRDefault="00AB12D2" w:rsidP="00960600">
            <w:pPr>
              <w:pStyle w:val="Tabletext1"/>
              <w:rPr>
                <w:rFonts w:cs="Arial"/>
              </w:rPr>
            </w:pPr>
            <w:r w:rsidRPr="00BC4A30">
              <w:rPr>
                <w:rFonts w:cs="Arial"/>
              </w:rPr>
              <w:t>748.18</w:t>
            </w:r>
          </w:p>
        </w:tc>
      </w:tr>
    </w:tbl>
    <w:p w14:paraId="5D2F81BA" w14:textId="5A8750FD" w:rsidR="008D7145" w:rsidRDefault="008D7145" w:rsidP="001D4BE7">
      <w:pPr>
        <w:pStyle w:val="Tablenotes0"/>
        <w:rPr>
          <w:rStyle w:val="TablenotesChar0"/>
        </w:rPr>
      </w:pPr>
      <w:r w:rsidRPr="008D7145">
        <w:rPr>
          <w:rStyle w:val="TablenotesChar0"/>
        </w:rPr>
        <w:t>&lt;</w:t>
      </w:r>
      <w:r w:rsidR="00610901">
        <w:rPr>
          <w:rStyle w:val="TablenotesChar0"/>
        </w:rPr>
        <w:t xml:space="preserve"> </w:t>
      </w:r>
      <w:r w:rsidRPr="008D7145">
        <w:rPr>
          <w:rStyle w:val="TablenotesChar0"/>
        </w:rPr>
        <w:t>MBS= Medicare benefits schedule; MTA = microwave thermal ablation; SBRT = stereotactic body radiotherapy</w:t>
      </w:r>
      <w:r w:rsidR="00610901">
        <w:rPr>
          <w:rStyle w:val="TablenotesChar0"/>
        </w:rPr>
        <w:t xml:space="preserve"> </w:t>
      </w:r>
      <w:r w:rsidRPr="008D7145">
        <w:rPr>
          <w:rStyle w:val="TablenotesChar0"/>
        </w:rPr>
        <w:t>&gt;</w:t>
      </w:r>
    </w:p>
    <w:p w14:paraId="018177A0" w14:textId="02909AFC" w:rsidR="00AB12D2" w:rsidRDefault="00AB12D2" w:rsidP="007121B3">
      <w:pPr>
        <w:spacing w:before="500"/>
      </w:pPr>
      <w:r w:rsidRPr="00BC4A30">
        <w:t>Sensitivity analysis of surgery compared to MTA amongst population two (pulmonary metastases) indicates surgery is costlier across all variations included in the analyses. As mentioned, the high cost of the hospital stay makes surgery a costlier intervention when compared to MTA.</w:t>
      </w:r>
    </w:p>
    <w:p w14:paraId="75D9EB4A" w14:textId="77777777" w:rsidR="00AB12D2" w:rsidRPr="00BC4A30" w:rsidRDefault="00AB12D2" w:rsidP="00AB12D2">
      <w:pPr>
        <w:pStyle w:val="Caption"/>
        <w:keepNext/>
      </w:pPr>
      <w:bookmarkStart w:id="413" w:name="_Toc460514733"/>
      <w:r w:rsidRPr="00BC4A30">
        <w:lastRenderedPageBreak/>
        <w:t xml:space="preserve">Table </w:t>
      </w:r>
      <w:fldSimple w:instr=" SEQ Table \* ARABIC ">
        <w:r w:rsidR="00D170A5">
          <w:rPr>
            <w:noProof/>
          </w:rPr>
          <w:t>75</w:t>
        </w:r>
      </w:fldSimple>
      <w:r w:rsidRPr="00BC4A30">
        <w:tab/>
        <w:t>Average costs one-way sensitivity analysis of MTA versus surgery, population two, &lt;3 lesions</w:t>
      </w:r>
      <w:bookmarkEnd w:id="4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D.6.3"/>
        <w:tblDescription w:val="Average costs one-way sensitivity analysis of MTA versus surgery, population two, &lt;3 lesions"/>
      </w:tblPr>
      <w:tblGrid>
        <w:gridCol w:w="5581"/>
        <w:gridCol w:w="1728"/>
        <w:gridCol w:w="1933"/>
      </w:tblGrid>
      <w:tr w:rsidR="009D57FD" w:rsidRPr="009D57FD" w14:paraId="3F9B06EA" w14:textId="77777777" w:rsidTr="009251CA">
        <w:trPr>
          <w:cantSplit/>
          <w:tblHeader/>
        </w:trPr>
        <w:tc>
          <w:tcPr>
            <w:tcW w:w="3019" w:type="pct"/>
            <w:tcBorders>
              <w:bottom w:val="single" w:sz="4" w:space="0" w:color="auto"/>
            </w:tcBorders>
            <w:shd w:val="clear" w:color="auto" w:fill="D9D9D9" w:themeFill="background1" w:themeFillShade="D9"/>
            <w:hideMark/>
          </w:tcPr>
          <w:p w14:paraId="44245D49" w14:textId="77777777" w:rsidR="009D57FD" w:rsidRPr="00960600" w:rsidRDefault="009D57FD" w:rsidP="00960600">
            <w:pPr>
              <w:pStyle w:val="Tabletext1"/>
              <w:rPr>
                <w:b/>
                <w:lang w:val="en-NZ" w:eastAsia="en-US"/>
              </w:rPr>
            </w:pPr>
            <w:r w:rsidRPr="00960600">
              <w:rPr>
                <w:b/>
                <w:lang w:val="en-NZ" w:eastAsia="en-US"/>
              </w:rPr>
              <w:t>Parameter</w:t>
            </w:r>
          </w:p>
        </w:tc>
        <w:tc>
          <w:tcPr>
            <w:tcW w:w="935" w:type="pct"/>
            <w:shd w:val="clear" w:color="auto" w:fill="D9D9D9" w:themeFill="background1" w:themeFillShade="D9"/>
          </w:tcPr>
          <w:p w14:paraId="421B8679" w14:textId="77777777" w:rsidR="009D57FD" w:rsidRPr="00960600" w:rsidRDefault="009D57FD" w:rsidP="00960600">
            <w:pPr>
              <w:pStyle w:val="Tabletext1"/>
              <w:rPr>
                <w:b/>
                <w:lang w:val="en-NZ" w:eastAsia="en-US"/>
              </w:rPr>
            </w:pPr>
            <w:r w:rsidRPr="00960600">
              <w:rPr>
                <w:b/>
                <w:lang w:val="en-NZ" w:eastAsia="en-US"/>
              </w:rPr>
              <w:t>Analysis</w:t>
            </w:r>
          </w:p>
        </w:tc>
        <w:tc>
          <w:tcPr>
            <w:tcW w:w="1046" w:type="pct"/>
            <w:shd w:val="clear" w:color="auto" w:fill="D9D9D9" w:themeFill="background1" w:themeFillShade="D9"/>
            <w:hideMark/>
          </w:tcPr>
          <w:p w14:paraId="35029857" w14:textId="77777777" w:rsidR="009D57FD" w:rsidRPr="00960600" w:rsidRDefault="009D57FD" w:rsidP="00960600">
            <w:pPr>
              <w:pStyle w:val="Tabletext1"/>
              <w:rPr>
                <w:b/>
                <w:lang w:val="en-NZ" w:eastAsia="en-US"/>
              </w:rPr>
            </w:pPr>
            <w:r w:rsidRPr="00960600">
              <w:rPr>
                <w:b/>
                <w:lang w:val="en-NZ" w:eastAsia="en-US"/>
              </w:rPr>
              <w:t>Incremental cost</w:t>
            </w:r>
          </w:p>
        </w:tc>
      </w:tr>
      <w:tr w:rsidR="009D57FD" w:rsidRPr="009D57FD" w14:paraId="351A11D0" w14:textId="77777777" w:rsidTr="009251CA">
        <w:trPr>
          <w:cantSplit/>
        </w:trPr>
        <w:tc>
          <w:tcPr>
            <w:tcW w:w="3019" w:type="pct"/>
            <w:tcBorders>
              <w:bottom w:val="nil"/>
            </w:tcBorders>
            <w:vAlign w:val="center"/>
          </w:tcPr>
          <w:p w14:paraId="39651986" w14:textId="092D046D" w:rsidR="009D57FD" w:rsidRPr="009D57FD" w:rsidRDefault="009D57FD" w:rsidP="009251CA">
            <w:pPr>
              <w:pStyle w:val="Tabletext1"/>
              <w:rPr>
                <w:lang w:val="en-US"/>
              </w:rPr>
            </w:pPr>
            <w:r w:rsidRPr="009D57FD">
              <w:rPr>
                <w:lang w:val="en-US"/>
              </w:rPr>
              <w:t xml:space="preserve">Destruction of up to three lesions, by </w:t>
            </w:r>
            <w:r w:rsidR="008D7145">
              <w:rPr>
                <w:lang w:val="en-US"/>
              </w:rPr>
              <w:t>MTA</w:t>
            </w:r>
            <w:r w:rsidRPr="009D57FD">
              <w:rPr>
                <w:lang w:val="en-US"/>
              </w:rPr>
              <w:t xml:space="preserve"> – proposed fee ($1,300)</w:t>
            </w:r>
          </w:p>
        </w:tc>
        <w:tc>
          <w:tcPr>
            <w:tcW w:w="935" w:type="pct"/>
            <w:vAlign w:val="center"/>
          </w:tcPr>
          <w:p w14:paraId="7690ED56" w14:textId="77777777" w:rsidR="009D57FD" w:rsidRPr="009D57FD" w:rsidRDefault="009D57FD" w:rsidP="00960600">
            <w:pPr>
              <w:pStyle w:val="Tabletext1"/>
              <w:rPr>
                <w:lang w:val="en-US"/>
              </w:rPr>
            </w:pPr>
            <w:r w:rsidRPr="009D57FD">
              <w:rPr>
                <w:lang w:val="en-US"/>
              </w:rPr>
              <w:t>+10%</w:t>
            </w:r>
          </w:p>
        </w:tc>
        <w:tc>
          <w:tcPr>
            <w:tcW w:w="1046" w:type="pct"/>
            <w:vAlign w:val="center"/>
          </w:tcPr>
          <w:p w14:paraId="30EDFD45" w14:textId="77777777" w:rsidR="009D57FD" w:rsidRPr="009D57FD" w:rsidRDefault="009D57FD" w:rsidP="00960600">
            <w:pPr>
              <w:pStyle w:val="Tabletext1"/>
              <w:rPr>
                <w:lang w:val="en-US"/>
              </w:rPr>
            </w:pPr>
            <w:r w:rsidRPr="009D57FD">
              <w:rPr>
                <w:rFonts w:cs="Arial"/>
                <w:color w:val="000000"/>
              </w:rPr>
              <w:t>-130.00</w:t>
            </w:r>
          </w:p>
        </w:tc>
      </w:tr>
      <w:tr w:rsidR="009D57FD" w:rsidRPr="009D57FD" w14:paraId="2034F141" w14:textId="77777777" w:rsidTr="009251CA">
        <w:trPr>
          <w:cantSplit/>
        </w:trPr>
        <w:tc>
          <w:tcPr>
            <w:tcW w:w="3019" w:type="pct"/>
            <w:tcBorders>
              <w:top w:val="nil"/>
              <w:bottom w:val="single" w:sz="4" w:space="0" w:color="auto"/>
            </w:tcBorders>
            <w:vAlign w:val="center"/>
          </w:tcPr>
          <w:p w14:paraId="442A38EC" w14:textId="77777777" w:rsidR="009D57FD" w:rsidRPr="009D57FD" w:rsidRDefault="009D57FD" w:rsidP="00960600">
            <w:pPr>
              <w:pStyle w:val="Tabletext1"/>
              <w:rPr>
                <w:lang w:val="en-US"/>
              </w:rPr>
            </w:pPr>
          </w:p>
        </w:tc>
        <w:tc>
          <w:tcPr>
            <w:tcW w:w="935" w:type="pct"/>
            <w:vAlign w:val="center"/>
          </w:tcPr>
          <w:p w14:paraId="22D67FD7" w14:textId="77777777" w:rsidR="009D57FD" w:rsidRPr="009D57FD" w:rsidRDefault="009D57FD" w:rsidP="00960600">
            <w:pPr>
              <w:pStyle w:val="Tabletext1"/>
              <w:rPr>
                <w:lang w:val="en-US"/>
              </w:rPr>
            </w:pPr>
            <w:r w:rsidRPr="009D57FD">
              <w:rPr>
                <w:lang w:val="en-US"/>
              </w:rPr>
              <w:t>-10%</w:t>
            </w:r>
          </w:p>
        </w:tc>
        <w:tc>
          <w:tcPr>
            <w:tcW w:w="1046" w:type="pct"/>
            <w:vAlign w:val="center"/>
          </w:tcPr>
          <w:p w14:paraId="19F3273C" w14:textId="77777777" w:rsidR="009D57FD" w:rsidRPr="009D57FD" w:rsidRDefault="009D57FD" w:rsidP="00960600">
            <w:pPr>
              <w:pStyle w:val="Tabletext1"/>
              <w:rPr>
                <w:lang w:val="en-US"/>
              </w:rPr>
            </w:pPr>
            <w:r w:rsidRPr="009D57FD">
              <w:rPr>
                <w:rFonts w:cs="Arial"/>
                <w:color w:val="000000"/>
              </w:rPr>
              <w:t>130.00</w:t>
            </w:r>
          </w:p>
        </w:tc>
      </w:tr>
      <w:tr w:rsidR="009D57FD" w:rsidRPr="009D57FD" w14:paraId="2BC7DD2B" w14:textId="77777777" w:rsidTr="009251CA">
        <w:trPr>
          <w:cantSplit/>
        </w:trPr>
        <w:tc>
          <w:tcPr>
            <w:tcW w:w="3019" w:type="pct"/>
            <w:tcBorders>
              <w:bottom w:val="nil"/>
            </w:tcBorders>
            <w:vAlign w:val="center"/>
          </w:tcPr>
          <w:p w14:paraId="2A1816E4" w14:textId="37ACA1F2" w:rsidR="009D57FD" w:rsidRPr="009D57FD" w:rsidRDefault="009D57FD" w:rsidP="00960600">
            <w:pPr>
              <w:pStyle w:val="Tabletext1"/>
              <w:rPr>
                <w:lang w:val="en-US"/>
              </w:rPr>
            </w:pPr>
            <w:r w:rsidRPr="009D57FD">
              <w:rPr>
                <w:lang w:val="en-US"/>
              </w:rPr>
              <w:t>MTA Hospital accommodation, under base ($873 per night)</w:t>
            </w:r>
          </w:p>
        </w:tc>
        <w:tc>
          <w:tcPr>
            <w:tcW w:w="935" w:type="pct"/>
            <w:vAlign w:val="center"/>
          </w:tcPr>
          <w:p w14:paraId="7932FF38" w14:textId="77777777" w:rsidR="009D57FD" w:rsidRPr="009D57FD" w:rsidRDefault="009D57FD" w:rsidP="00960600">
            <w:pPr>
              <w:pStyle w:val="Tabletext1"/>
              <w:rPr>
                <w:lang w:val="en-US"/>
              </w:rPr>
            </w:pPr>
            <w:r w:rsidRPr="009D57FD">
              <w:rPr>
                <w:lang w:val="en-US"/>
              </w:rPr>
              <w:t>+10%</w:t>
            </w:r>
          </w:p>
        </w:tc>
        <w:tc>
          <w:tcPr>
            <w:tcW w:w="1046" w:type="pct"/>
            <w:vAlign w:val="center"/>
          </w:tcPr>
          <w:p w14:paraId="3475F1BE" w14:textId="77777777" w:rsidR="009D57FD" w:rsidRPr="009D57FD" w:rsidRDefault="009D57FD" w:rsidP="00960600">
            <w:pPr>
              <w:pStyle w:val="Tabletext1"/>
              <w:rPr>
                <w:lang w:val="en-US"/>
              </w:rPr>
            </w:pPr>
            <w:r w:rsidRPr="009D57FD">
              <w:rPr>
                <w:rFonts w:cs="Arial"/>
                <w:color w:val="000000"/>
              </w:rPr>
              <w:t>-87.30</w:t>
            </w:r>
          </w:p>
        </w:tc>
      </w:tr>
      <w:tr w:rsidR="009D57FD" w:rsidRPr="009D57FD" w14:paraId="7D15B3D6" w14:textId="77777777" w:rsidTr="009251CA">
        <w:trPr>
          <w:cantSplit/>
        </w:trPr>
        <w:tc>
          <w:tcPr>
            <w:tcW w:w="3019" w:type="pct"/>
            <w:tcBorders>
              <w:top w:val="nil"/>
              <w:bottom w:val="single" w:sz="4" w:space="0" w:color="auto"/>
            </w:tcBorders>
            <w:vAlign w:val="center"/>
          </w:tcPr>
          <w:p w14:paraId="2D7C779D" w14:textId="77777777" w:rsidR="009D57FD" w:rsidRPr="009D57FD" w:rsidRDefault="009D57FD" w:rsidP="00960600">
            <w:pPr>
              <w:pStyle w:val="Tabletext1"/>
              <w:rPr>
                <w:lang w:val="en-US"/>
              </w:rPr>
            </w:pPr>
          </w:p>
        </w:tc>
        <w:tc>
          <w:tcPr>
            <w:tcW w:w="935" w:type="pct"/>
            <w:vAlign w:val="center"/>
          </w:tcPr>
          <w:p w14:paraId="1B059655" w14:textId="77777777" w:rsidR="009D57FD" w:rsidRPr="009D57FD" w:rsidRDefault="009D57FD" w:rsidP="00960600">
            <w:pPr>
              <w:pStyle w:val="Tabletext1"/>
              <w:rPr>
                <w:lang w:val="en-US"/>
              </w:rPr>
            </w:pPr>
            <w:r w:rsidRPr="009D57FD">
              <w:rPr>
                <w:lang w:val="en-US"/>
              </w:rPr>
              <w:t>-10%</w:t>
            </w:r>
          </w:p>
        </w:tc>
        <w:tc>
          <w:tcPr>
            <w:tcW w:w="1046" w:type="pct"/>
            <w:vAlign w:val="center"/>
          </w:tcPr>
          <w:p w14:paraId="4064FB9E" w14:textId="77777777" w:rsidR="009D57FD" w:rsidRPr="009D57FD" w:rsidRDefault="009D57FD" w:rsidP="00960600">
            <w:pPr>
              <w:pStyle w:val="Tabletext1"/>
              <w:rPr>
                <w:lang w:val="en-US"/>
              </w:rPr>
            </w:pPr>
            <w:r w:rsidRPr="009D57FD">
              <w:rPr>
                <w:rFonts w:cs="Arial"/>
                <w:color w:val="000000"/>
              </w:rPr>
              <w:t>87.30</w:t>
            </w:r>
          </w:p>
        </w:tc>
      </w:tr>
      <w:tr w:rsidR="009D57FD" w:rsidRPr="009D57FD" w14:paraId="21F289A0" w14:textId="77777777" w:rsidTr="009251CA">
        <w:trPr>
          <w:cantSplit/>
        </w:trPr>
        <w:tc>
          <w:tcPr>
            <w:tcW w:w="3019" w:type="pct"/>
            <w:tcBorders>
              <w:bottom w:val="nil"/>
            </w:tcBorders>
            <w:vAlign w:val="center"/>
          </w:tcPr>
          <w:p w14:paraId="44A117F8" w14:textId="77777777" w:rsidR="009D57FD" w:rsidRPr="009D57FD" w:rsidRDefault="009D57FD" w:rsidP="00960600">
            <w:pPr>
              <w:pStyle w:val="Tabletext1"/>
              <w:rPr>
                <w:lang w:val="en-US"/>
              </w:rPr>
            </w:pPr>
            <w:r w:rsidRPr="009D57FD">
              <w:rPr>
                <w:lang w:val="en-US"/>
              </w:rPr>
              <w:t>MTA machine ($50,00)</w:t>
            </w:r>
          </w:p>
        </w:tc>
        <w:tc>
          <w:tcPr>
            <w:tcW w:w="935" w:type="pct"/>
            <w:vAlign w:val="center"/>
          </w:tcPr>
          <w:p w14:paraId="73216F6A" w14:textId="77777777" w:rsidR="009D57FD" w:rsidRPr="009D57FD" w:rsidRDefault="009D57FD" w:rsidP="00960600">
            <w:pPr>
              <w:pStyle w:val="Tabletext1"/>
              <w:rPr>
                <w:lang w:val="en-US"/>
              </w:rPr>
            </w:pPr>
            <w:r w:rsidRPr="009D57FD">
              <w:rPr>
                <w:lang w:val="en-US"/>
              </w:rPr>
              <w:t>+10%</w:t>
            </w:r>
          </w:p>
        </w:tc>
        <w:tc>
          <w:tcPr>
            <w:tcW w:w="1046" w:type="pct"/>
            <w:vAlign w:val="center"/>
          </w:tcPr>
          <w:p w14:paraId="64BC2C0B" w14:textId="77777777" w:rsidR="009D57FD" w:rsidRPr="009D57FD" w:rsidRDefault="009D57FD" w:rsidP="00960600">
            <w:pPr>
              <w:pStyle w:val="Tabletext1"/>
              <w:rPr>
                <w:lang w:val="en-US"/>
              </w:rPr>
            </w:pPr>
            <w:r w:rsidRPr="009D57FD">
              <w:rPr>
                <w:rFonts w:cs="Arial"/>
                <w:color w:val="000000"/>
              </w:rPr>
              <w:t>-25.00</w:t>
            </w:r>
          </w:p>
        </w:tc>
      </w:tr>
      <w:tr w:rsidR="009D57FD" w:rsidRPr="009D57FD" w14:paraId="207C2E2D" w14:textId="77777777" w:rsidTr="009251CA">
        <w:trPr>
          <w:cantSplit/>
        </w:trPr>
        <w:tc>
          <w:tcPr>
            <w:tcW w:w="3019" w:type="pct"/>
            <w:tcBorders>
              <w:top w:val="nil"/>
              <w:bottom w:val="single" w:sz="4" w:space="0" w:color="auto"/>
            </w:tcBorders>
            <w:vAlign w:val="center"/>
          </w:tcPr>
          <w:p w14:paraId="70967A9E" w14:textId="77777777" w:rsidR="009D57FD" w:rsidRPr="009D57FD" w:rsidRDefault="009D57FD" w:rsidP="00960600">
            <w:pPr>
              <w:pStyle w:val="Tabletext1"/>
              <w:rPr>
                <w:lang w:val="en-US"/>
              </w:rPr>
            </w:pPr>
          </w:p>
        </w:tc>
        <w:tc>
          <w:tcPr>
            <w:tcW w:w="935" w:type="pct"/>
            <w:vAlign w:val="center"/>
          </w:tcPr>
          <w:p w14:paraId="57EAE1C7" w14:textId="77777777" w:rsidR="009D57FD" w:rsidRPr="009D57FD" w:rsidRDefault="009D57FD" w:rsidP="00960600">
            <w:pPr>
              <w:pStyle w:val="Tabletext1"/>
              <w:rPr>
                <w:lang w:val="en-US"/>
              </w:rPr>
            </w:pPr>
            <w:r w:rsidRPr="009D57FD">
              <w:rPr>
                <w:lang w:val="en-US"/>
              </w:rPr>
              <w:t>-10%</w:t>
            </w:r>
          </w:p>
        </w:tc>
        <w:tc>
          <w:tcPr>
            <w:tcW w:w="1046" w:type="pct"/>
            <w:vAlign w:val="center"/>
          </w:tcPr>
          <w:p w14:paraId="68E47C29" w14:textId="77777777" w:rsidR="009D57FD" w:rsidRPr="009D57FD" w:rsidRDefault="009D57FD" w:rsidP="00960600">
            <w:pPr>
              <w:pStyle w:val="Tabletext1"/>
              <w:rPr>
                <w:lang w:val="en-US"/>
              </w:rPr>
            </w:pPr>
            <w:r w:rsidRPr="009D57FD">
              <w:rPr>
                <w:rFonts w:cs="Arial"/>
                <w:color w:val="000000"/>
                <w:lang w:val="en-US"/>
              </w:rPr>
              <w:t>25.00</w:t>
            </w:r>
          </w:p>
        </w:tc>
      </w:tr>
      <w:tr w:rsidR="009D57FD" w:rsidRPr="009D57FD" w14:paraId="2298A3B8" w14:textId="77777777" w:rsidTr="009251CA">
        <w:trPr>
          <w:cantSplit/>
        </w:trPr>
        <w:tc>
          <w:tcPr>
            <w:tcW w:w="3019" w:type="pct"/>
            <w:tcBorders>
              <w:bottom w:val="nil"/>
            </w:tcBorders>
            <w:vAlign w:val="center"/>
          </w:tcPr>
          <w:p w14:paraId="570442CC" w14:textId="601C35BE" w:rsidR="009D57FD" w:rsidRPr="009D57FD" w:rsidRDefault="009D57FD" w:rsidP="00960600">
            <w:pPr>
              <w:pStyle w:val="Tabletext1"/>
              <w:rPr>
                <w:lang w:val="en-US"/>
              </w:rPr>
            </w:pPr>
            <w:r w:rsidRPr="009D57FD">
              <w:rPr>
                <w:lang w:val="en-US"/>
              </w:rPr>
              <w:t>MTA Probe ($2,960</w:t>
            </w:r>
            <w:r w:rsidR="00422928">
              <w:rPr>
                <w:lang w:val="en-US"/>
              </w:rPr>
              <w:t>.00</w:t>
            </w:r>
            <w:r w:rsidRPr="009D57FD">
              <w:rPr>
                <w:lang w:val="en-US"/>
              </w:rPr>
              <w:t>)</w:t>
            </w:r>
          </w:p>
        </w:tc>
        <w:tc>
          <w:tcPr>
            <w:tcW w:w="935" w:type="pct"/>
            <w:vAlign w:val="center"/>
          </w:tcPr>
          <w:p w14:paraId="59836CC4" w14:textId="77777777" w:rsidR="009D57FD" w:rsidRPr="009D57FD" w:rsidRDefault="009D57FD" w:rsidP="00960600">
            <w:pPr>
              <w:pStyle w:val="Tabletext1"/>
              <w:rPr>
                <w:lang w:val="en-US"/>
              </w:rPr>
            </w:pPr>
            <w:r w:rsidRPr="009D57FD">
              <w:rPr>
                <w:lang w:val="en-US"/>
              </w:rPr>
              <w:t>+10%</w:t>
            </w:r>
          </w:p>
        </w:tc>
        <w:tc>
          <w:tcPr>
            <w:tcW w:w="1046" w:type="pct"/>
            <w:vAlign w:val="center"/>
          </w:tcPr>
          <w:p w14:paraId="21F0812F" w14:textId="77777777" w:rsidR="009D57FD" w:rsidRPr="009D57FD" w:rsidRDefault="009D57FD" w:rsidP="00960600">
            <w:pPr>
              <w:pStyle w:val="Tabletext1"/>
              <w:rPr>
                <w:lang w:val="en-US"/>
              </w:rPr>
            </w:pPr>
            <w:r w:rsidRPr="009D57FD">
              <w:rPr>
                <w:rFonts w:cs="Arial"/>
                <w:color w:val="000000"/>
              </w:rPr>
              <w:t>-296.00</w:t>
            </w:r>
          </w:p>
        </w:tc>
      </w:tr>
      <w:tr w:rsidR="009D57FD" w:rsidRPr="009D57FD" w14:paraId="081CBB1C" w14:textId="77777777" w:rsidTr="009251CA">
        <w:trPr>
          <w:cantSplit/>
        </w:trPr>
        <w:tc>
          <w:tcPr>
            <w:tcW w:w="3019" w:type="pct"/>
            <w:tcBorders>
              <w:top w:val="nil"/>
              <w:bottom w:val="single" w:sz="4" w:space="0" w:color="auto"/>
            </w:tcBorders>
            <w:vAlign w:val="center"/>
          </w:tcPr>
          <w:p w14:paraId="54CD93CC" w14:textId="77777777" w:rsidR="009D57FD" w:rsidRPr="009D57FD" w:rsidRDefault="009D57FD" w:rsidP="00960600">
            <w:pPr>
              <w:pStyle w:val="Tabletext1"/>
              <w:rPr>
                <w:lang w:val="en-US"/>
              </w:rPr>
            </w:pPr>
          </w:p>
        </w:tc>
        <w:tc>
          <w:tcPr>
            <w:tcW w:w="935" w:type="pct"/>
            <w:vAlign w:val="center"/>
          </w:tcPr>
          <w:p w14:paraId="6DABDDA9" w14:textId="77777777" w:rsidR="009D57FD" w:rsidRPr="009D57FD" w:rsidRDefault="009D57FD" w:rsidP="00960600">
            <w:pPr>
              <w:pStyle w:val="Tabletext1"/>
              <w:rPr>
                <w:lang w:val="en-US"/>
              </w:rPr>
            </w:pPr>
            <w:r w:rsidRPr="009D57FD">
              <w:rPr>
                <w:lang w:val="en-US"/>
              </w:rPr>
              <w:t>-10%</w:t>
            </w:r>
          </w:p>
        </w:tc>
        <w:tc>
          <w:tcPr>
            <w:tcW w:w="1046" w:type="pct"/>
            <w:vAlign w:val="center"/>
          </w:tcPr>
          <w:p w14:paraId="75639374" w14:textId="77777777" w:rsidR="009D57FD" w:rsidRPr="009D57FD" w:rsidRDefault="009D57FD" w:rsidP="00960600">
            <w:pPr>
              <w:pStyle w:val="Tabletext1"/>
              <w:rPr>
                <w:lang w:val="en-US"/>
              </w:rPr>
            </w:pPr>
            <w:r w:rsidRPr="009D57FD">
              <w:rPr>
                <w:rFonts w:cs="Arial"/>
                <w:color w:val="000000"/>
              </w:rPr>
              <w:t>296.00</w:t>
            </w:r>
          </w:p>
        </w:tc>
      </w:tr>
      <w:tr w:rsidR="009D57FD" w:rsidRPr="009D57FD" w14:paraId="03C38FA4" w14:textId="77777777" w:rsidTr="009251CA">
        <w:trPr>
          <w:cantSplit/>
        </w:trPr>
        <w:tc>
          <w:tcPr>
            <w:tcW w:w="3019" w:type="pct"/>
            <w:tcBorders>
              <w:bottom w:val="nil"/>
            </w:tcBorders>
            <w:vAlign w:val="center"/>
          </w:tcPr>
          <w:p w14:paraId="5142DF49" w14:textId="32745F03" w:rsidR="009D57FD" w:rsidRPr="009D57FD" w:rsidRDefault="00422928" w:rsidP="00960600">
            <w:pPr>
              <w:pStyle w:val="Tabletext1"/>
              <w:rPr>
                <w:lang w:val="en-US"/>
              </w:rPr>
            </w:pPr>
            <w:r>
              <w:rPr>
                <w:lang w:val="en-US"/>
              </w:rPr>
              <w:t>Lung Wedge Fee ($1147</w:t>
            </w:r>
            <w:r w:rsidR="009D57FD" w:rsidRPr="009D57FD">
              <w:rPr>
                <w:lang w:val="en-US"/>
              </w:rPr>
              <w:t>)</w:t>
            </w:r>
          </w:p>
        </w:tc>
        <w:tc>
          <w:tcPr>
            <w:tcW w:w="935" w:type="pct"/>
            <w:vAlign w:val="center"/>
          </w:tcPr>
          <w:p w14:paraId="0D7CE39E" w14:textId="77777777" w:rsidR="009D57FD" w:rsidRPr="009D57FD" w:rsidRDefault="009D57FD" w:rsidP="00960600">
            <w:pPr>
              <w:pStyle w:val="Tabletext1"/>
              <w:rPr>
                <w:lang w:val="en-US"/>
              </w:rPr>
            </w:pPr>
            <w:r w:rsidRPr="009D57FD">
              <w:rPr>
                <w:lang w:val="en-US"/>
              </w:rPr>
              <w:t>+10%</w:t>
            </w:r>
          </w:p>
        </w:tc>
        <w:tc>
          <w:tcPr>
            <w:tcW w:w="1046" w:type="pct"/>
            <w:vAlign w:val="center"/>
          </w:tcPr>
          <w:p w14:paraId="0B34CDB0" w14:textId="77777777" w:rsidR="009D57FD" w:rsidRPr="009D57FD" w:rsidRDefault="009D57FD" w:rsidP="00960600">
            <w:pPr>
              <w:pStyle w:val="Tabletext1"/>
              <w:rPr>
                <w:lang w:val="en-US"/>
              </w:rPr>
            </w:pPr>
            <w:r w:rsidRPr="009D57FD">
              <w:rPr>
                <w:rFonts w:cs="Arial"/>
                <w:color w:val="000000"/>
              </w:rPr>
              <w:t>114.70</w:t>
            </w:r>
          </w:p>
        </w:tc>
      </w:tr>
      <w:tr w:rsidR="009D57FD" w:rsidRPr="009D57FD" w14:paraId="2FBCCF9A" w14:textId="77777777" w:rsidTr="009251CA">
        <w:trPr>
          <w:cantSplit/>
        </w:trPr>
        <w:tc>
          <w:tcPr>
            <w:tcW w:w="3019" w:type="pct"/>
            <w:tcBorders>
              <w:top w:val="nil"/>
              <w:bottom w:val="single" w:sz="4" w:space="0" w:color="auto"/>
            </w:tcBorders>
            <w:vAlign w:val="center"/>
          </w:tcPr>
          <w:p w14:paraId="006A2A9F" w14:textId="77777777" w:rsidR="009D57FD" w:rsidRPr="009D57FD" w:rsidRDefault="009D57FD" w:rsidP="00960600">
            <w:pPr>
              <w:pStyle w:val="Tabletext1"/>
              <w:rPr>
                <w:lang w:val="en-US"/>
              </w:rPr>
            </w:pPr>
          </w:p>
        </w:tc>
        <w:tc>
          <w:tcPr>
            <w:tcW w:w="935" w:type="pct"/>
            <w:vAlign w:val="center"/>
          </w:tcPr>
          <w:p w14:paraId="03F1D767" w14:textId="77777777" w:rsidR="009D57FD" w:rsidRPr="009D57FD" w:rsidRDefault="009D57FD" w:rsidP="00960600">
            <w:pPr>
              <w:pStyle w:val="Tabletext1"/>
              <w:rPr>
                <w:lang w:val="en-US"/>
              </w:rPr>
            </w:pPr>
            <w:r w:rsidRPr="009D57FD">
              <w:rPr>
                <w:lang w:val="en-US"/>
              </w:rPr>
              <w:t>-10%</w:t>
            </w:r>
          </w:p>
        </w:tc>
        <w:tc>
          <w:tcPr>
            <w:tcW w:w="1046" w:type="pct"/>
            <w:vAlign w:val="center"/>
          </w:tcPr>
          <w:p w14:paraId="6FE14263" w14:textId="77777777" w:rsidR="009D57FD" w:rsidRPr="009D57FD" w:rsidRDefault="009D57FD" w:rsidP="00960600">
            <w:pPr>
              <w:pStyle w:val="Tabletext1"/>
              <w:rPr>
                <w:lang w:val="en-US"/>
              </w:rPr>
            </w:pPr>
            <w:r w:rsidRPr="009D57FD">
              <w:rPr>
                <w:rFonts w:cs="Arial"/>
                <w:color w:val="000000"/>
              </w:rPr>
              <w:t>-114.70</w:t>
            </w:r>
          </w:p>
        </w:tc>
      </w:tr>
      <w:tr w:rsidR="009D57FD" w:rsidRPr="009D57FD" w14:paraId="7B5BFDEA" w14:textId="77777777" w:rsidTr="009251CA">
        <w:trPr>
          <w:cantSplit/>
        </w:trPr>
        <w:tc>
          <w:tcPr>
            <w:tcW w:w="3019" w:type="pct"/>
            <w:tcBorders>
              <w:bottom w:val="nil"/>
            </w:tcBorders>
            <w:vAlign w:val="center"/>
          </w:tcPr>
          <w:p w14:paraId="1BE522CD" w14:textId="75FE24E4" w:rsidR="009D57FD" w:rsidRPr="009D57FD" w:rsidRDefault="009D57FD" w:rsidP="009251CA">
            <w:pPr>
              <w:pStyle w:val="Tabletext1"/>
              <w:rPr>
                <w:lang w:val="en-US"/>
              </w:rPr>
            </w:pPr>
            <w:r w:rsidRPr="009D57FD">
              <w:rPr>
                <w:lang w:val="en-US"/>
              </w:rPr>
              <w:t>Other Hospital Costs ($</w:t>
            </w:r>
            <w:r w:rsidR="0018686F">
              <w:rPr>
                <w:rFonts w:cs="Arial"/>
                <w:color w:val="000000"/>
              </w:rPr>
              <w:t>14,763.57)</w:t>
            </w:r>
          </w:p>
        </w:tc>
        <w:tc>
          <w:tcPr>
            <w:tcW w:w="935" w:type="pct"/>
            <w:vAlign w:val="center"/>
          </w:tcPr>
          <w:p w14:paraId="4074C726" w14:textId="77777777" w:rsidR="009D57FD" w:rsidRPr="009D57FD" w:rsidRDefault="009D57FD" w:rsidP="00960600">
            <w:pPr>
              <w:pStyle w:val="Tabletext1"/>
              <w:rPr>
                <w:lang w:val="en-US"/>
              </w:rPr>
            </w:pPr>
            <w:r w:rsidRPr="009D57FD">
              <w:rPr>
                <w:lang w:val="en-US"/>
              </w:rPr>
              <w:t>+10%</w:t>
            </w:r>
          </w:p>
        </w:tc>
        <w:tc>
          <w:tcPr>
            <w:tcW w:w="1046" w:type="pct"/>
            <w:vAlign w:val="center"/>
          </w:tcPr>
          <w:p w14:paraId="5B08CAE1" w14:textId="77777777" w:rsidR="009D57FD" w:rsidRPr="009D57FD" w:rsidRDefault="009D57FD" w:rsidP="00960600">
            <w:pPr>
              <w:pStyle w:val="Tabletext1"/>
              <w:rPr>
                <w:lang w:val="en-US"/>
              </w:rPr>
            </w:pPr>
            <w:r w:rsidRPr="009D57FD">
              <w:rPr>
                <w:rFonts w:cs="Arial"/>
                <w:color w:val="000000"/>
              </w:rPr>
              <w:t>1476.00</w:t>
            </w:r>
          </w:p>
        </w:tc>
      </w:tr>
      <w:tr w:rsidR="009D57FD" w:rsidRPr="009D57FD" w14:paraId="049ACF74" w14:textId="77777777" w:rsidTr="009251CA">
        <w:trPr>
          <w:cantSplit/>
        </w:trPr>
        <w:tc>
          <w:tcPr>
            <w:tcW w:w="3019" w:type="pct"/>
            <w:tcBorders>
              <w:top w:val="nil"/>
            </w:tcBorders>
            <w:vAlign w:val="center"/>
          </w:tcPr>
          <w:p w14:paraId="1328F498" w14:textId="77777777" w:rsidR="009D57FD" w:rsidRPr="009D57FD" w:rsidRDefault="009D57FD" w:rsidP="00960600">
            <w:pPr>
              <w:pStyle w:val="Tabletext1"/>
              <w:rPr>
                <w:lang w:val="en-US"/>
              </w:rPr>
            </w:pPr>
          </w:p>
        </w:tc>
        <w:tc>
          <w:tcPr>
            <w:tcW w:w="935" w:type="pct"/>
            <w:vAlign w:val="center"/>
          </w:tcPr>
          <w:p w14:paraId="253C24FE" w14:textId="77777777" w:rsidR="009D57FD" w:rsidRPr="009D57FD" w:rsidRDefault="009D57FD" w:rsidP="00960600">
            <w:pPr>
              <w:pStyle w:val="Tabletext1"/>
              <w:rPr>
                <w:lang w:val="en-US"/>
              </w:rPr>
            </w:pPr>
            <w:r w:rsidRPr="009D57FD">
              <w:rPr>
                <w:lang w:val="en-US"/>
              </w:rPr>
              <w:t>-10%</w:t>
            </w:r>
          </w:p>
        </w:tc>
        <w:tc>
          <w:tcPr>
            <w:tcW w:w="1046" w:type="pct"/>
            <w:vAlign w:val="center"/>
          </w:tcPr>
          <w:p w14:paraId="0F63D97A" w14:textId="77777777" w:rsidR="009D57FD" w:rsidRPr="009D57FD" w:rsidRDefault="009D57FD" w:rsidP="00960600">
            <w:pPr>
              <w:pStyle w:val="Tabletext1"/>
              <w:rPr>
                <w:lang w:val="en-US"/>
              </w:rPr>
            </w:pPr>
            <w:r w:rsidRPr="009D57FD">
              <w:rPr>
                <w:rFonts w:cs="Arial"/>
                <w:color w:val="000000"/>
              </w:rPr>
              <w:t>-1476.00</w:t>
            </w:r>
          </w:p>
        </w:tc>
      </w:tr>
      <w:tr w:rsidR="009D57FD" w:rsidRPr="009D57FD" w14:paraId="54EBB49A" w14:textId="77777777" w:rsidTr="009D57FD">
        <w:trPr>
          <w:cantSplit/>
        </w:trPr>
        <w:tc>
          <w:tcPr>
            <w:tcW w:w="3019" w:type="pct"/>
            <w:vAlign w:val="center"/>
          </w:tcPr>
          <w:p w14:paraId="4215361C" w14:textId="77777777" w:rsidR="009D57FD" w:rsidRPr="009D57FD" w:rsidRDefault="009D57FD" w:rsidP="00960600">
            <w:pPr>
              <w:pStyle w:val="Tabletext1"/>
              <w:rPr>
                <w:lang w:val="en-US"/>
              </w:rPr>
            </w:pPr>
            <w:r w:rsidRPr="009D57FD">
              <w:rPr>
                <w:lang w:val="en-US"/>
              </w:rPr>
              <w:t>Inclusion of Pneumothorax at rate of 10% of MTA procedures</w:t>
            </w:r>
          </w:p>
        </w:tc>
        <w:tc>
          <w:tcPr>
            <w:tcW w:w="935" w:type="pct"/>
            <w:vAlign w:val="center"/>
          </w:tcPr>
          <w:p w14:paraId="42C9A704" w14:textId="77777777" w:rsidR="009D57FD" w:rsidRPr="009D57FD" w:rsidRDefault="009D57FD" w:rsidP="00960600">
            <w:pPr>
              <w:pStyle w:val="Tabletext1"/>
              <w:rPr>
                <w:lang w:val="en-US"/>
              </w:rPr>
            </w:pPr>
            <w:r w:rsidRPr="009D57FD">
              <w:rPr>
                <w:lang w:val="en-US"/>
              </w:rPr>
              <w:t>Included</w:t>
            </w:r>
          </w:p>
        </w:tc>
        <w:tc>
          <w:tcPr>
            <w:tcW w:w="1046" w:type="pct"/>
            <w:vAlign w:val="center"/>
          </w:tcPr>
          <w:p w14:paraId="4D190BEF" w14:textId="77777777" w:rsidR="009D57FD" w:rsidRPr="009D57FD" w:rsidRDefault="009D57FD" w:rsidP="00960600">
            <w:pPr>
              <w:pStyle w:val="Tabletext1"/>
              <w:rPr>
                <w:lang w:val="en-US"/>
              </w:rPr>
            </w:pPr>
            <w:r w:rsidRPr="009D57FD">
              <w:rPr>
                <w:rFonts w:cs="Arial"/>
                <w:color w:val="000000"/>
              </w:rPr>
              <w:t>-748.18</w:t>
            </w:r>
          </w:p>
        </w:tc>
      </w:tr>
    </w:tbl>
    <w:p w14:paraId="06A5FB4B" w14:textId="1C9E1D8B" w:rsidR="00422928" w:rsidRDefault="00422928" w:rsidP="001D4BE7">
      <w:pPr>
        <w:pStyle w:val="Tablenotes0"/>
      </w:pPr>
      <w:r w:rsidRPr="00422928">
        <w:t xml:space="preserve">&lt; MTA = </w:t>
      </w:r>
      <w:r w:rsidRPr="001D4BE7">
        <w:t>microwave</w:t>
      </w:r>
      <w:r w:rsidRPr="00422928">
        <w:t xml:space="preserve"> thermal ablation</w:t>
      </w:r>
      <w:r w:rsidR="001D4BE7">
        <w:t xml:space="preserve"> </w:t>
      </w:r>
      <w:r w:rsidRPr="00422928">
        <w:t>&gt;</w:t>
      </w:r>
    </w:p>
    <w:p w14:paraId="717C5D8C" w14:textId="28A60F64" w:rsidR="00AB12D2" w:rsidRPr="00BC4A30" w:rsidRDefault="00AB12D2" w:rsidP="001D4BE7">
      <w:pPr>
        <w:pStyle w:val="Tablenotes0"/>
        <w:rPr>
          <w:b/>
        </w:rPr>
      </w:pPr>
      <w:r w:rsidRPr="001D4BE7">
        <w:t>Note</w:t>
      </w:r>
      <w:r w:rsidRPr="00BC4A30">
        <w:t>: Numbers surrounded by round parentheses are negative value</w:t>
      </w:r>
    </w:p>
    <w:p w14:paraId="4BF81999" w14:textId="10BF8993" w:rsidR="00AB12D2" w:rsidRPr="00BC4A30" w:rsidRDefault="00AB12D2" w:rsidP="007121B3">
      <w:pPr>
        <w:spacing w:before="500"/>
      </w:pPr>
      <w:r w:rsidRPr="00BC4A30">
        <w:t xml:space="preserve">The modelled results were most sensitive to variations in the largest cost items involved in the delivery of the MTA, </w:t>
      </w:r>
      <w:r w:rsidR="00760AC9" w:rsidRPr="00BC4A30">
        <w:t>SBRT</w:t>
      </w:r>
      <w:r w:rsidRPr="00BC4A30">
        <w:t xml:space="preserve"> and surgery. In the case of MTA compared to </w:t>
      </w:r>
      <w:r w:rsidR="00760AC9" w:rsidRPr="00BC4A30">
        <w:t>SBRT</w:t>
      </w:r>
      <w:r w:rsidRPr="00BC4A30">
        <w:t xml:space="preserve">, the </w:t>
      </w:r>
      <w:proofErr w:type="gramStart"/>
      <w:r w:rsidRPr="00BC4A30">
        <w:t>cost of the probe and hospital stay have</w:t>
      </w:r>
      <w:proofErr w:type="gramEnd"/>
      <w:r w:rsidRPr="00BC4A30">
        <w:t xml:space="preserve"> the largest impact. Reductions in the cost for these items would most significantly reduce the cost difference between the interventions. </w:t>
      </w:r>
    </w:p>
    <w:p w14:paraId="07FAEC3C" w14:textId="77777777" w:rsidR="00AB12D2" w:rsidRPr="00BC4A30" w:rsidRDefault="00AB12D2" w:rsidP="00253357">
      <w:pPr>
        <w:pStyle w:val="Caption"/>
        <w:keepNext/>
        <w:spacing w:before="500"/>
      </w:pPr>
      <w:bookmarkStart w:id="414" w:name="_Toc460514734"/>
      <w:r w:rsidRPr="00BC4A30">
        <w:t xml:space="preserve">Table </w:t>
      </w:r>
      <w:fldSimple w:instr=" SEQ Table \* ARABIC ">
        <w:r w:rsidR="00D170A5">
          <w:rPr>
            <w:noProof/>
          </w:rPr>
          <w:t>76</w:t>
        </w:r>
      </w:fldSimple>
      <w:r w:rsidRPr="00BC4A30">
        <w:tab/>
        <w:t>Key drivers of the economic model</w:t>
      </w:r>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4 Key drivers of the economic model"/>
        <w:tblDescription w:val="This table describes what factors and assumptions in the economic model affect the incremental cost-effectiveness to the greatest extent."/>
      </w:tblPr>
      <w:tblGrid>
        <w:gridCol w:w="2396"/>
        <w:gridCol w:w="4103"/>
        <w:gridCol w:w="2583"/>
      </w:tblGrid>
      <w:tr w:rsidR="00AB12D2" w:rsidRPr="00BC4A30" w14:paraId="6CE339BA" w14:textId="77777777" w:rsidTr="007121B3">
        <w:trPr>
          <w:tblHeader/>
        </w:trPr>
        <w:tc>
          <w:tcPr>
            <w:tcW w:w="1319" w:type="pct"/>
            <w:shd w:val="clear" w:color="auto" w:fill="D9D9D9" w:themeFill="background1" w:themeFillShade="D9"/>
            <w:vAlign w:val="center"/>
          </w:tcPr>
          <w:p w14:paraId="4045719E" w14:textId="77777777" w:rsidR="00AB12D2" w:rsidRPr="007121B3" w:rsidRDefault="00AB12D2" w:rsidP="00192EDA">
            <w:pPr>
              <w:pStyle w:val="Tabletext1"/>
              <w:rPr>
                <w:b/>
                <w:snapToGrid w:val="0"/>
                <w:lang w:eastAsia="en-US"/>
              </w:rPr>
            </w:pPr>
            <w:r w:rsidRPr="007121B3">
              <w:rPr>
                <w:b/>
                <w:snapToGrid w:val="0"/>
                <w:lang w:eastAsia="en-US"/>
              </w:rPr>
              <w:t>Description</w:t>
            </w:r>
          </w:p>
        </w:tc>
        <w:tc>
          <w:tcPr>
            <w:tcW w:w="2259" w:type="pct"/>
            <w:shd w:val="clear" w:color="auto" w:fill="D9D9D9" w:themeFill="background1" w:themeFillShade="D9"/>
            <w:vAlign w:val="center"/>
          </w:tcPr>
          <w:p w14:paraId="4324A09A" w14:textId="77777777" w:rsidR="00AB12D2" w:rsidRPr="007121B3" w:rsidRDefault="00AB12D2" w:rsidP="00192EDA">
            <w:pPr>
              <w:pStyle w:val="Tabletext1"/>
              <w:rPr>
                <w:b/>
                <w:snapToGrid w:val="0"/>
                <w:lang w:eastAsia="en-US"/>
              </w:rPr>
            </w:pPr>
            <w:r w:rsidRPr="007121B3">
              <w:rPr>
                <w:b/>
                <w:snapToGrid w:val="0"/>
                <w:lang w:eastAsia="en-US"/>
              </w:rPr>
              <w:t>Method/Value</w:t>
            </w:r>
          </w:p>
        </w:tc>
        <w:tc>
          <w:tcPr>
            <w:tcW w:w="1422" w:type="pct"/>
            <w:shd w:val="clear" w:color="auto" w:fill="D9D9D9" w:themeFill="background1" w:themeFillShade="D9"/>
            <w:vAlign w:val="center"/>
          </w:tcPr>
          <w:p w14:paraId="6F32047E" w14:textId="77777777" w:rsidR="00AB12D2" w:rsidRPr="007121B3" w:rsidRDefault="00AB12D2" w:rsidP="00192EDA">
            <w:pPr>
              <w:pStyle w:val="Tabletext1"/>
              <w:rPr>
                <w:b/>
                <w:snapToGrid w:val="0"/>
                <w:lang w:eastAsia="en-US"/>
              </w:rPr>
            </w:pPr>
            <w:r w:rsidRPr="007121B3">
              <w:rPr>
                <w:b/>
                <w:snapToGrid w:val="0"/>
                <w:lang w:eastAsia="en-US"/>
              </w:rPr>
              <w:t>Impact</w:t>
            </w:r>
          </w:p>
        </w:tc>
      </w:tr>
      <w:tr w:rsidR="00AB12D2" w:rsidRPr="00BC4A30" w14:paraId="5BC6F5FC" w14:textId="77777777" w:rsidTr="00AB12D2">
        <w:tc>
          <w:tcPr>
            <w:tcW w:w="1319" w:type="pct"/>
            <w:shd w:val="clear" w:color="auto" w:fill="auto"/>
            <w:vAlign w:val="center"/>
          </w:tcPr>
          <w:p w14:paraId="642A7A65" w14:textId="77777777" w:rsidR="00AB12D2" w:rsidRPr="00BC4A30" w:rsidRDefault="00AB12D2" w:rsidP="00192EDA">
            <w:pPr>
              <w:pStyle w:val="Tabletext1"/>
              <w:rPr>
                <w:snapToGrid w:val="0"/>
                <w:lang w:eastAsia="en-US"/>
              </w:rPr>
            </w:pPr>
            <w:r w:rsidRPr="00BC4A30">
              <w:rPr>
                <w:snapToGrid w:val="0"/>
                <w:lang w:eastAsia="en-US"/>
              </w:rPr>
              <w:t>Probe cost</w:t>
            </w:r>
          </w:p>
        </w:tc>
        <w:tc>
          <w:tcPr>
            <w:tcW w:w="2259" w:type="pct"/>
            <w:shd w:val="clear" w:color="auto" w:fill="auto"/>
            <w:vAlign w:val="center"/>
          </w:tcPr>
          <w:p w14:paraId="4CA66F33" w14:textId="77777777" w:rsidR="00AB12D2" w:rsidRPr="00BC4A30" w:rsidRDefault="00AB12D2" w:rsidP="00192EDA">
            <w:pPr>
              <w:pStyle w:val="Tabletext1"/>
              <w:rPr>
                <w:snapToGrid w:val="0"/>
                <w:lang w:eastAsia="en-US"/>
              </w:rPr>
            </w:pPr>
            <w:r w:rsidRPr="00BC4A30">
              <w:rPr>
                <w:snapToGrid w:val="0"/>
                <w:lang w:eastAsia="en-US"/>
              </w:rPr>
              <w:t>$2,960, disposable</w:t>
            </w:r>
          </w:p>
        </w:tc>
        <w:tc>
          <w:tcPr>
            <w:tcW w:w="1422" w:type="pct"/>
            <w:shd w:val="clear" w:color="auto" w:fill="auto"/>
            <w:vAlign w:val="center"/>
          </w:tcPr>
          <w:p w14:paraId="2804D0B2" w14:textId="77777777" w:rsidR="00AB12D2" w:rsidRPr="00BC4A30" w:rsidRDefault="00AB12D2" w:rsidP="00192EDA">
            <w:pPr>
              <w:pStyle w:val="Tabletext1"/>
              <w:rPr>
                <w:snapToGrid w:val="0"/>
                <w:lang w:eastAsia="en-US"/>
              </w:rPr>
            </w:pPr>
            <w:r w:rsidRPr="00BC4A30">
              <w:rPr>
                <w:snapToGrid w:val="0"/>
                <w:lang w:eastAsia="en-US"/>
              </w:rPr>
              <w:t>High, does not favours intervention</w:t>
            </w:r>
          </w:p>
        </w:tc>
      </w:tr>
      <w:tr w:rsidR="00AB12D2" w:rsidRPr="00BC4A30" w14:paraId="13E156BE" w14:textId="77777777" w:rsidTr="00AB12D2">
        <w:tc>
          <w:tcPr>
            <w:tcW w:w="1319" w:type="pct"/>
            <w:shd w:val="clear" w:color="auto" w:fill="auto"/>
            <w:vAlign w:val="center"/>
          </w:tcPr>
          <w:p w14:paraId="7AD79CA9" w14:textId="77777777" w:rsidR="00AB12D2" w:rsidRPr="00BC4A30" w:rsidRDefault="00AB12D2" w:rsidP="00192EDA">
            <w:pPr>
              <w:pStyle w:val="Tabletext1"/>
              <w:rPr>
                <w:snapToGrid w:val="0"/>
                <w:lang w:eastAsia="en-US"/>
              </w:rPr>
            </w:pPr>
            <w:r w:rsidRPr="00BC4A30">
              <w:rPr>
                <w:snapToGrid w:val="0"/>
                <w:lang w:eastAsia="en-US"/>
              </w:rPr>
              <w:t>Hospital costs associated with inpatient delivery of MTA</w:t>
            </w:r>
          </w:p>
        </w:tc>
        <w:tc>
          <w:tcPr>
            <w:tcW w:w="2259" w:type="pct"/>
            <w:shd w:val="clear" w:color="auto" w:fill="auto"/>
            <w:vAlign w:val="center"/>
          </w:tcPr>
          <w:p w14:paraId="3CA1F09D" w14:textId="77777777" w:rsidR="00AB12D2" w:rsidRPr="00BC4A30" w:rsidRDefault="00AB12D2" w:rsidP="00192EDA">
            <w:pPr>
              <w:pStyle w:val="Tabletext1"/>
              <w:rPr>
                <w:snapToGrid w:val="0"/>
                <w:lang w:eastAsia="en-US"/>
              </w:rPr>
            </w:pPr>
            <w:r w:rsidRPr="00BC4A30">
              <w:rPr>
                <w:snapToGrid w:val="0"/>
                <w:lang w:eastAsia="en-US"/>
              </w:rPr>
              <w:t>MTA hospital accommodation ($873 per night)</w:t>
            </w:r>
          </w:p>
        </w:tc>
        <w:tc>
          <w:tcPr>
            <w:tcW w:w="1422" w:type="pct"/>
            <w:shd w:val="clear" w:color="auto" w:fill="auto"/>
            <w:vAlign w:val="center"/>
          </w:tcPr>
          <w:p w14:paraId="2B987C32" w14:textId="77777777" w:rsidR="00AB12D2" w:rsidRPr="00BC4A30" w:rsidRDefault="00AB12D2" w:rsidP="00192EDA">
            <w:pPr>
              <w:pStyle w:val="Tabletext1"/>
              <w:rPr>
                <w:snapToGrid w:val="0"/>
                <w:lang w:eastAsia="en-US"/>
              </w:rPr>
            </w:pPr>
            <w:r w:rsidRPr="00BC4A30">
              <w:rPr>
                <w:snapToGrid w:val="0"/>
                <w:lang w:eastAsia="en-US"/>
              </w:rPr>
              <w:t>High, does not favours intervention</w:t>
            </w:r>
          </w:p>
        </w:tc>
      </w:tr>
      <w:tr w:rsidR="00AB12D2" w:rsidRPr="00BC4A30" w14:paraId="0DFE7235" w14:textId="77777777" w:rsidTr="00AB12D2">
        <w:tc>
          <w:tcPr>
            <w:tcW w:w="1319" w:type="pct"/>
            <w:shd w:val="clear" w:color="auto" w:fill="auto"/>
            <w:vAlign w:val="center"/>
          </w:tcPr>
          <w:p w14:paraId="46C982ED" w14:textId="77777777" w:rsidR="00AB12D2" w:rsidRPr="00BC4A30" w:rsidRDefault="00AB12D2" w:rsidP="00192EDA">
            <w:pPr>
              <w:pStyle w:val="Tabletext1"/>
              <w:rPr>
                <w:snapToGrid w:val="0"/>
                <w:lang w:eastAsia="en-US"/>
              </w:rPr>
            </w:pPr>
            <w:r w:rsidRPr="00BC4A30">
              <w:rPr>
                <w:snapToGrid w:val="0"/>
                <w:lang w:eastAsia="en-US"/>
              </w:rPr>
              <w:t xml:space="preserve">Cost of </w:t>
            </w:r>
            <w:r w:rsidR="00760AC9" w:rsidRPr="00BC4A30">
              <w:rPr>
                <w:snapToGrid w:val="0"/>
                <w:lang w:eastAsia="en-US"/>
              </w:rPr>
              <w:t>SBRT</w:t>
            </w:r>
          </w:p>
        </w:tc>
        <w:tc>
          <w:tcPr>
            <w:tcW w:w="2259" w:type="pct"/>
            <w:shd w:val="clear" w:color="auto" w:fill="auto"/>
            <w:vAlign w:val="center"/>
          </w:tcPr>
          <w:p w14:paraId="3BB09803" w14:textId="77777777" w:rsidR="00AB12D2" w:rsidRPr="00BC4A30" w:rsidRDefault="00AB12D2" w:rsidP="00192EDA">
            <w:pPr>
              <w:pStyle w:val="Tabletext1"/>
              <w:rPr>
                <w:snapToGrid w:val="0"/>
                <w:lang w:eastAsia="en-US"/>
              </w:rPr>
            </w:pPr>
            <w:r w:rsidRPr="00BC4A30">
              <w:rPr>
                <w:snapToGrid w:val="0"/>
                <w:lang w:eastAsia="en-US"/>
              </w:rPr>
              <w:t>MBS Item numbers used for non-IMRT course</w:t>
            </w:r>
          </w:p>
        </w:tc>
        <w:tc>
          <w:tcPr>
            <w:tcW w:w="1422" w:type="pct"/>
            <w:shd w:val="clear" w:color="auto" w:fill="auto"/>
            <w:vAlign w:val="center"/>
          </w:tcPr>
          <w:p w14:paraId="00C483BC" w14:textId="77777777" w:rsidR="00AB12D2" w:rsidRPr="00BC4A30" w:rsidRDefault="00AB12D2" w:rsidP="00192EDA">
            <w:pPr>
              <w:pStyle w:val="Tabletext1"/>
              <w:rPr>
                <w:snapToGrid w:val="0"/>
                <w:lang w:eastAsia="en-US"/>
              </w:rPr>
            </w:pPr>
            <w:r w:rsidRPr="00BC4A30">
              <w:rPr>
                <w:snapToGrid w:val="0"/>
                <w:lang w:eastAsia="en-US"/>
              </w:rPr>
              <w:t>High. Current value of MBS fees may be lower than actual delivery costs, which does not favour the intervention.</w:t>
            </w:r>
          </w:p>
        </w:tc>
      </w:tr>
    </w:tbl>
    <w:p w14:paraId="6542CC81" w14:textId="4C581B33" w:rsidR="009F789B" w:rsidRPr="00BC4A30" w:rsidRDefault="00422928" w:rsidP="00253357">
      <w:pPr>
        <w:pStyle w:val="Tablenotes0"/>
      </w:pPr>
      <w:r w:rsidRPr="00422928">
        <w:t>&lt;</w:t>
      </w:r>
      <w:r w:rsidR="00464A61">
        <w:t xml:space="preserve"> </w:t>
      </w:r>
      <w:r>
        <w:t>IMRT= intensity modulated radiotherapy</w:t>
      </w:r>
      <w:r w:rsidRPr="00422928">
        <w:t>; MTA = microwave thermal ablation; SBRT = stereotactic body radiotherapy</w:t>
      </w:r>
      <w:r w:rsidR="00464A61">
        <w:t xml:space="preserve"> </w:t>
      </w:r>
      <w:r w:rsidRPr="00422928">
        <w:t>&gt;</w:t>
      </w:r>
    </w:p>
    <w:p w14:paraId="4EAC5D49" w14:textId="77777777" w:rsidR="00A56EE2" w:rsidRPr="00BC4A30" w:rsidRDefault="00A56EE2" w:rsidP="00A56EE2">
      <w:pPr>
        <w:pStyle w:val="Heading1"/>
      </w:pPr>
      <w:bookmarkStart w:id="415" w:name="_Toc460396088"/>
      <w:bookmarkStart w:id="416" w:name="_Ref379274614"/>
      <w:bookmarkEnd w:id="408"/>
      <w:r w:rsidRPr="00BC4A30">
        <w:lastRenderedPageBreak/>
        <w:t>Section E</w:t>
      </w:r>
      <w:r w:rsidRPr="00BC4A30">
        <w:tab/>
        <w:t>Financial Implications</w:t>
      </w:r>
      <w:bookmarkEnd w:id="415"/>
    </w:p>
    <w:p w14:paraId="45838CFD" w14:textId="77777777" w:rsidR="00A56EE2" w:rsidRPr="00BC4A30" w:rsidRDefault="00A56EE2" w:rsidP="00D4006A">
      <w:pPr>
        <w:pStyle w:val="Heading2"/>
        <w:numPr>
          <w:ilvl w:val="4"/>
          <w:numId w:val="9"/>
        </w:numPr>
        <w:ind w:left="567" w:hanging="567"/>
      </w:pPr>
      <w:bookmarkStart w:id="417" w:name="_Toc214091269"/>
      <w:bookmarkStart w:id="418" w:name="_Toc341796089"/>
      <w:bookmarkStart w:id="419" w:name="_Toc460396089"/>
      <w:r w:rsidRPr="00BC4A30">
        <w:t>Justification of the Selection of Sources of Data</w:t>
      </w:r>
      <w:bookmarkEnd w:id="417"/>
      <w:bookmarkEnd w:id="418"/>
      <w:bookmarkEnd w:id="419"/>
    </w:p>
    <w:p w14:paraId="62C4AD16" w14:textId="5E5E354B" w:rsidR="00AB12D2" w:rsidRPr="00BC4A30" w:rsidRDefault="00AB12D2" w:rsidP="00253357">
      <w:pPr>
        <w:spacing w:after="100" w:afterAutospacing="1"/>
      </w:pPr>
      <w:r w:rsidRPr="00BC4A30">
        <w:t xml:space="preserve">This section of the contracted assessment presents the estimated financial impact of MTA use in patients using an epidemiologic approach. First, the numbers of patients eligible for MTA in each of the three target sub-populations are estimated, and then the financial implications to the MBS and broader health system </w:t>
      </w:r>
      <w:r w:rsidR="00422928">
        <w:t>are</w:t>
      </w:r>
      <w:r w:rsidRPr="00BC4A30">
        <w:t xml:space="preserve"> determined based on the uptake of services in the target population. The estimation methods and the majority of assumptions employed in the following analyses follow from the cost minimisation analysis provided in Section D.  </w:t>
      </w:r>
    </w:p>
    <w:p w14:paraId="2E310367" w14:textId="00FD135D" w:rsidR="00AB12D2" w:rsidRPr="00BC4A30" w:rsidRDefault="00AB12D2" w:rsidP="00AB12D2">
      <w:pPr>
        <w:spacing w:after="100" w:afterAutospacing="1"/>
      </w:pPr>
      <w:r w:rsidRPr="00BC4A30">
        <w:rPr>
          <w:noProof/>
        </w:rPr>
        <w:t xml:space="preserve">The majority of data used to develop the financial estimate of MTA reimbursement are sourced from lung cancer indicence data provided </w:t>
      </w:r>
      <w:r w:rsidRPr="007121B3">
        <w:rPr>
          <w:noProof/>
        </w:rPr>
        <w:t xml:space="preserve">to the AIHW </w:t>
      </w:r>
      <w:r w:rsidR="007121B3">
        <w:rPr>
          <w:noProof/>
        </w:rPr>
        <w:fldChar w:fldCharType="begin">
          <w:fldData xml:space="preserve">PEVuZE5vdGU+PENpdGU+PEF1dGhvcj5BSUhXPC9BdXRob3I+PFllYXI+MjAxMTwvWWVhcj48UmVj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</w:fldData>
        </w:fldChar>
      </w:r>
      <w:r w:rsidR="00320458">
        <w:rPr>
          <w:noProof/>
        </w:rPr>
        <w:instrText xml:space="preserve"> ADDIN EN.CITE </w:instrText>
      </w:r>
      <w:r w:rsidR="00320458">
        <w:rPr>
          <w:noProof/>
        </w:rPr>
        <w:fldChar w:fldCharType="begin">
          <w:fldData xml:space="preserve">PEVuZE5vdGU+PENpdGU+PEF1dGhvcj5BSUhXPC9BdXRob3I+PFllYXI+MjAxMTwvWWVhcj48UmVj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</w:fldData>
        </w:fldChar>
      </w:r>
      <w:r w:rsidR="00320458">
        <w:rPr>
          <w:noProof/>
        </w:rPr>
        <w:instrText xml:space="preserve"> ADDIN EN.CITE.DATA </w:instrText>
      </w:r>
      <w:r w:rsidR="00320458">
        <w:rPr>
          <w:noProof/>
        </w:rPr>
      </w:r>
      <w:r w:rsidR="00320458">
        <w:rPr>
          <w:noProof/>
        </w:rPr>
        <w:fldChar w:fldCharType="end"/>
      </w:r>
      <w:r w:rsidR="007121B3">
        <w:rPr>
          <w:noProof/>
        </w:rPr>
      </w:r>
      <w:r w:rsidR="007121B3">
        <w:rPr>
          <w:noProof/>
        </w:rPr>
        <w:fldChar w:fldCharType="separate"/>
      </w:r>
      <w:r w:rsidR="006A4E2A">
        <w:rPr>
          <w:noProof/>
        </w:rPr>
        <w:t>(</w:t>
      </w:r>
      <w:hyperlink w:anchor="_ENREF_11" w:tooltip="Australian Institute of Health and Welfare (AIHW), 2011 #56" w:history="1">
        <w:r w:rsidR="00320458">
          <w:rPr>
            <w:noProof/>
          </w:rPr>
          <w:t>Australian Institute of Health and Welfare (AIHW) 2011a</w:t>
        </w:r>
      </w:hyperlink>
      <w:r w:rsidR="006A4E2A">
        <w:rPr>
          <w:noProof/>
        </w:rPr>
        <w:t xml:space="preserve">; </w:t>
      </w:r>
      <w:hyperlink w:anchor="_ENREF_13" w:tooltip="Australian Institute of Health and Welfare (AIHW), 2014 #58" w:history="1">
        <w:r w:rsidR="00320458">
          <w:rPr>
            <w:noProof/>
          </w:rPr>
          <w:t>Australian Institute of Health and Welfare (AIHW) 2014a</w:t>
        </w:r>
      </w:hyperlink>
      <w:r w:rsidR="006A4E2A">
        <w:rPr>
          <w:noProof/>
        </w:rPr>
        <w:t xml:space="preserve">; </w:t>
      </w:r>
      <w:hyperlink w:anchor="_ENREF_15" w:tooltip="Australian Institute of Health and Welfare (AIHW), 2016 #266" w:history="1">
        <w:r w:rsidR="00320458">
          <w:rPr>
            <w:noProof/>
          </w:rPr>
          <w:t>Australian Institute of Health and Welfare (AIHW) 2016</w:t>
        </w:r>
      </w:hyperlink>
      <w:r w:rsidR="006A4E2A">
        <w:rPr>
          <w:noProof/>
        </w:rPr>
        <w:t>)</w:t>
      </w:r>
      <w:r w:rsidR="007121B3">
        <w:rPr>
          <w:noProof/>
        </w:rPr>
        <w:fldChar w:fldCharType="end"/>
      </w:r>
      <w:r w:rsidRPr="007121B3">
        <w:rPr>
          <w:noProof/>
        </w:rPr>
        <w:t xml:space="preserve"> This</w:t>
      </w:r>
      <w:r w:rsidRPr="00BC4A30">
        <w:rPr>
          <w:noProof/>
        </w:rPr>
        <w:t xml:space="preserve"> section summarises the current burden of lung cancer in Australia as well as the current practice of treating the condition and the associated adverse events. </w:t>
      </w:r>
      <w:r w:rsidRPr="00BC4A30">
        <w:rPr>
          <w:b/>
          <w:noProof/>
        </w:rPr>
        <w:fldChar w:fldCharType="begin"/>
      </w:r>
      <w:r w:rsidRPr="00BC4A30">
        <w:rPr>
          <w:noProof/>
        </w:rPr>
        <w:instrText xml:space="preserve"> REF _Ref457411979 \h </w:instrText>
      </w:r>
      <w:r w:rsidR="00796EF0" w:rsidRPr="00BC4A30">
        <w:rPr>
          <w:b/>
          <w:noProof/>
        </w:rPr>
        <w:instrText xml:space="preserve"> \* MERGEFORMAT </w:instrText>
      </w:r>
      <w:r w:rsidRPr="00BC4A30">
        <w:rPr>
          <w:b/>
          <w:noProof/>
        </w:rPr>
      </w:r>
      <w:r w:rsidRPr="00BC4A30">
        <w:rPr>
          <w:b/>
          <w:noProof/>
        </w:rPr>
        <w:fldChar w:fldCharType="separate"/>
      </w:r>
      <w:r w:rsidR="00D170A5" w:rsidRPr="00BC4A30">
        <w:t xml:space="preserve">Table </w:t>
      </w:r>
      <w:r w:rsidR="00D170A5">
        <w:rPr>
          <w:noProof/>
        </w:rPr>
        <w:t>77</w:t>
      </w:r>
      <w:r w:rsidRPr="00BC4A30">
        <w:rPr>
          <w:b/>
          <w:noProof/>
        </w:rPr>
        <w:fldChar w:fldCharType="end"/>
      </w:r>
      <w:r w:rsidRPr="00BC4A30">
        <w:rPr>
          <w:b/>
          <w:noProof/>
        </w:rPr>
        <w:t xml:space="preserve"> </w:t>
      </w:r>
      <w:r w:rsidRPr="00BC4A30">
        <w:rPr>
          <w:noProof/>
        </w:rPr>
        <w:t xml:space="preserve">outlines the key assumptions used in the financial impact assessment. Further discussion and justification of these assumptions is provided in the sections that follow. </w:t>
      </w:r>
    </w:p>
    <w:p w14:paraId="295C5B2A" w14:textId="77777777" w:rsidR="00AB12D2" w:rsidRPr="00BC4A30" w:rsidRDefault="00AB12D2" w:rsidP="00AB12D2">
      <w:pPr>
        <w:pStyle w:val="Caption"/>
        <w:keepNext/>
      </w:pPr>
      <w:bookmarkStart w:id="420" w:name="_Ref457411979"/>
      <w:bookmarkStart w:id="421" w:name="_Toc460514735"/>
      <w:r w:rsidRPr="00BC4A30">
        <w:t xml:space="preserve">Table </w:t>
      </w:r>
      <w:fldSimple w:instr=" SEQ Table \* ARABIC ">
        <w:r w:rsidR="00D170A5">
          <w:rPr>
            <w:noProof/>
          </w:rPr>
          <w:t>77</w:t>
        </w:r>
      </w:fldSimple>
      <w:bookmarkEnd w:id="420"/>
      <w:r w:rsidRPr="00BC4A30">
        <w:tab/>
        <w:t>Summary of the key assumptions used in the financial impact assessment</w:t>
      </w:r>
      <w:bookmarkEnd w:id="421"/>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261"/>
        <w:gridCol w:w="1074"/>
        <w:gridCol w:w="3902"/>
      </w:tblGrid>
      <w:tr w:rsidR="00AB12D2" w:rsidRPr="009D57FD" w14:paraId="7243C477" w14:textId="77777777" w:rsidTr="007D192B">
        <w:trPr>
          <w:trHeight w:val="540"/>
          <w:tblHeader/>
        </w:trPr>
        <w:tc>
          <w:tcPr>
            <w:tcW w:w="2689" w:type="dxa"/>
            <w:shd w:val="clear" w:color="auto" w:fill="D9D9D9" w:themeFill="background1" w:themeFillShade="D9"/>
            <w:noWrap/>
            <w:vAlign w:val="bottom"/>
            <w:hideMark/>
          </w:tcPr>
          <w:p w14:paraId="57221E71" w14:textId="77777777" w:rsidR="00AB12D2" w:rsidRPr="008C7CB6" w:rsidRDefault="00AB12D2" w:rsidP="008C7CB6">
            <w:pPr>
              <w:pStyle w:val="Tabletext1"/>
              <w:rPr>
                <w:b/>
              </w:rPr>
            </w:pPr>
            <w:r w:rsidRPr="008C7CB6">
              <w:rPr>
                <w:b/>
              </w:rPr>
              <w:t>Parameter</w:t>
            </w:r>
          </w:p>
        </w:tc>
        <w:tc>
          <w:tcPr>
            <w:tcW w:w="1261" w:type="dxa"/>
            <w:shd w:val="clear" w:color="auto" w:fill="D9D9D9" w:themeFill="background1" w:themeFillShade="D9"/>
            <w:noWrap/>
            <w:vAlign w:val="bottom"/>
            <w:hideMark/>
          </w:tcPr>
          <w:p w14:paraId="52F6BA21" w14:textId="77777777" w:rsidR="00AB12D2" w:rsidRPr="008C7CB6" w:rsidRDefault="00AB12D2" w:rsidP="008C7CB6">
            <w:pPr>
              <w:pStyle w:val="Tabletext1"/>
              <w:rPr>
                <w:b/>
              </w:rPr>
            </w:pPr>
            <w:r w:rsidRPr="008C7CB6">
              <w:rPr>
                <w:b/>
              </w:rPr>
              <w:t>Base case</w:t>
            </w:r>
          </w:p>
        </w:tc>
        <w:tc>
          <w:tcPr>
            <w:tcW w:w="1074" w:type="dxa"/>
            <w:shd w:val="clear" w:color="auto" w:fill="D9D9D9" w:themeFill="background1" w:themeFillShade="D9"/>
            <w:vAlign w:val="bottom"/>
            <w:hideMark/>
          </w:tcPr>
          <w:p w14:paraId="5E4F5F19" w14:textId="77777777" w:rsidR="00AB12D2" w:rsidRPr="008C7CB6" w:rsidRDefault="00AB12D2" w:rsidP="008C7CB6">
            <w:pPr>
              <w:pStyle w:val="Tabletext1"/>
              <w:rPr>
                <w:b/>
              </w:rPr>
            </w:pPr>
            <w:r w:rsidRPr="008C7CB6">
              <w:rPr>
                <w:b/>
              </w:rPr>
              <w:t>Sensitivity analysis</w:t>
            </w:r>
          </w:p>
        </w:tc>
        <w:tc>
          <w:tcPr>
            <w:tcW w:w="3902" w:type="dxa"/>
            <w:shd w:val="clear" w:color="auto" w:fill="D9D9D9" w:themeFill="background1" w:themeFillShade="D9"/>
            <w:noWrap/>
            <w:vAlign w:val="bottom"/>
            <w:hideMark/>
          </w:tcPr>
          <w:p w14:paraId="26003D7E" w14:textId="77777777" w:rsidR="00AB12D2" w:rsidRPr="008C7CB6" w:rsidRDefault="00AB12D2" w:rsidP="008C7CB6">
            <w:pPr>
              <w:pStyle w:val="Tabletext1"/>
              <w:rPr>
                <w:b/>
              </w:rPr>
            </w:pPr>
            <w:r w:rsidRPr="008C7CB6">
              <w:rPr>
                <w:b/>
              </w:rPr>
              <w:t>Reference</w:t>
            </w:r>
          </w:p>
        </w:tc>
      </w:tr>
      <w:tr w:rsidR="009D57FD" w:rsidRPr="009D57FD" w14:paraId="71BE2EB1" w14:textId="77777777" w:rsidTr="00AB12D2">
        <w:trPr>
          <w:trHeight w:val="285"/>
        </w:trPr>
        <w:tc>
          <w:tcPr>
            <w:tcW w:w="2689" w:type="dxa"/>
            <w:shd w:val="clear" w:color="auto" w:fill="auto"/>
            <w:noWrap/>
            <w:vAlign w:val="center"/>
            <w:hideMark/>
          </w:tcPr>
          <w:p w14:paraId="2CD50430" w14:textId="77777777" w:rsidR="009D57FD" w:rsidRPr="009D57FD" w:rsidRDefault="009D57FD" w:rsidP="008C7CB6">
            <w:pPr>
              <w:pStyle w:val="Tabletext1"/>
            </w:pPr>
            <w:r w:rsidRPr="009D57FD">
              <w:t>Incidence of lung cancer cases in Australian males in 2016</w:t>
            </w:r>
          </w:p>
        </w:tc>
        <w:tc>
          <w:tcPr>
            <w:tcW w:w="1261" w:type="dxa"/>
            <w:shd w:val="clear" w:color="auto" w:fill="auto"/>
            <w:vAlign w:val="center"/>
            <w:hideMark/>
          </w:tcPr>
          <w:p w14:paraId="030E8221" w14:textId="77777777" w:rsidR="009D57FD" w:rsidRPr="009D57FD" w:rsidRDefault="009D57FD" w:rsidP="008C7CB6">
            <w:pPr>
              <w:pStyle w:val="Tabletext1"/>
            </w:pPr>
            <w:r w:rsidRPr="009D57FD">
              <w:t>7,130</w:t>
            </w:r>
          </w:p>
        </w:tc>
        <w:tc>
          <w:tcPr>
            <w:tcW w:w="1074" w:type="dxa"/>
            <w:shd w:val="clear" w:color="auto" w:fill="auto"/>
            <w:vAlign w:val="center"/>
            <w:hideMark/>
          </w:tcPr>
          <w:p w14:paraId="5EA2D38D" w14:textId="77777777" w:rsidR="009D57FD" w:rsidRPr="009D57FD" w:rsidRDefault="009D57FD" w:rsidP="008C7CB6">
            <w:pPr>
              <w:pStyle w:val="Tabletext1"/>
            </w:pPr>
            <w:r w:rsidRPr="009D57FD">
              <w:t>-</w:t>
            </w:r>
          </w:p>
        </w:tc>
        <w:tc>
          <w:tcPr>
            <w:tcW w:w="3902" w:type="dxa"/>
            <w:shd w:val="clear" w:color="auto" w:fill="auto"/>
            <w:noWrap/>
            <w:vAlign w:val="center"/>
            <w:hideMark/>
          </w:tcPr>
          <w:p w14:paraId="279A9E78" w14:textId="77777777" w:rsidR="009D57FD" w:rsidRPr="009D57FD" w:rsidRDefault="009D57FD" w:rsidP="008C7CB6">
            <w:pPr>
              <w:pStyle w:val="Tabletext1"/>
            </w:pPr>
            <w:r w:rsidRPr="009D57FD">
              <w:t>AIHW 2016. An age-standardised incidence rate of 43 cases per 100,000 persons (54 for males and 34 for females) was projected for 2016.</w:t>
            </w:r>
          </w:p>
        </w:tc>
      </w:tr>
      <w:tr w:rsidR="009D57FD" w:rsidRPr="009D57FD" w14:paraId="5EA810AB" w14:textId="77777777" w:rsidTr="00AB12D2">
        <w:trPr>
          <w:trHeight w:val="285"/>
        </w:trPr>
        <w:tc>
          <w:tcPr>
            <w:tcW w:w="2689" w:type="dxa"/>
            <w:shd w:val="clear" w:color="auto" w:fill="auto"/>
            <w:noWrap/>
            <w:vAlign w:val="center"/>
            <w:hideMark/>
          </w:tcPr>
          <w:p w14:paraId="281238FC" w14:textId="77777777" w:rsidR="009D57FD" w:rsidRPr="009D57FD" w:rsidRDefault="009D57FD" w:rsidP="008C7CB6">
            <w:pPr>
              <w:pStyle w:val="Tabletext1"/>
            </w:pPr>
            <w:r w:rsidRPr="009D57FD">
              <w:t>Incidence of lung cancer cases in Australia females 2016</w:t>
            </w:r>
          </w:p>
        </w:tc>
        <w:tc>
          <w:tcPr>
            <w:tcW w:w="1261" w:type="dxa"/>
            <w:shd w:val="clear" w:color="auto" w:fill="auto"/>
            <w:vAlign w:val="center"/>
            <w:hideMark/>
          </w:tcPr>
          <w:p w14:paraId="5E20D89D" w14:textId="77777777" w:rsidR="009D57FD" w:rsidRPr="009D57FD" w:rsidRDefault="009D57FD" w:rsidP="008C7CB6">
            <w:pPr>
              <w:pStyle w:val="Tabletext1"/>
            </w:pPr>
            <w:r w:rsidRPr="009D57FD">
              <w:t>5,073</w:t>
            </w:r>
          </w:p>
        </w:tc>
        <w:tc>
          <w:tcPr>
            <w:tcW w:w="1074" w:type="dxa"/>
            <w:shd w:val="clear" w:color="auto" w:fill="auto"/>
            <w:vAlign w:val="center"/>
            <w:hideMark/>
          </w:tcPr>
          <w:p w14:paraId="2D22DA4D" w14:textId="77777777" w:rsidR="009D57FD" w:rsidRPr="009D57FD" w:rsidRDefault="009D57FD" w:rsidP="008C7CB6">
            <w:pPr>
              <w:pStyle w:val="Tabletext1"/>
            </w:pPr>
            <w:r w:rsidRPr="009D57FD">
              <w:t>-</w:t>
            </w:r>
          </w:p>
        </w:tc>
        <w:tc>
          <w:tcPr>
            <w:tcW w:w="3902" w:type="dxa"/>
            <w:shd w:val="clear" w:color="auto" w:fill="auto"/>
            <w:noWrap/>
            <w:vAlign w:val="center"/>
            <w:hideMark/>
          </w:tcPr>
          <w:p w14:paraId="2D1D7897" w14:textId="77777777" w:rsidR="009D57FD" w:rsidRPr="009D57FD" w:rsidRDefault="009D57FD" w:rsidP="008C7CB6">
            <w:pPr>
              <w:pStyle w:val="Tabletext1"/>
            </w:pPr>
            <w:r w:rsidRPr="009D57FD">
              <w:t>AIHW 2016. An age-standardised incidence rate of 43 cases per 100,000 persons (54 for males and 34 for females) was projected for 2016.</w:t>
            </w:r>
          </w:p>
        </w:tc>
      </w:tr>
      <w:tr w:rsidR="009D57FD" w:rsidRPr="009D57FD" w14:paraId="0D6FC11B" w14:textId="77777777" w:rsidTr="00AB12D2">
        <w:trPr>
          <w:trHeight w:val="285"/>
        </w:trPr>
        <w:tc>
          <w:tcPr>
            <w:tcW w:w="2689" w:type="dxa"/>
            <w:shd w:val="clear" w:color="auto" w:fill="auto"/>
            <w:noWrap/>
            <w:vAlign w:val="center"/>
            <w:hideMark/>
          </w:tcPr>
          <w:p w14:paraId="70946BD3" w14:textId="77777777" w:rsidR="009D57FD" w:rsidRPr="009D57FD" w:rsidRDefault="009D57FD" w:rsidP="008C7CB6">
            <w:pPr>
              <w:pStyle w:val="Tabletext1"/>
            </w:pPr>
            <w:r w:rsidRPr="009D57FD">
              <w:t>Annual growth of female lung cancer cases in Australia</w:t>
            </w:r>
          </w:p>
        </w:tc>
        <w:tc>
          <w:tcPr>
            <w:tcW w:w="1261" w:type="dxa"/>
            <w:shd w:val="clear" w:color="auto" w:fill="auto"/>
            <w:vAlign w:val="center"/>
            <w:hideMark/>
          </w:tcPr>
          <w:p w14:paraId="08F97996" w14:textId="77777777" w:rsidR="009D57FD" w:rsidRPr="009D57FD" w:rsidRDefault="009D57FD" w:rsidP="008C7CB6">
            <w:pPr>
              <w:pStyle w:val="Tabletext1"/>
            </w:pPr>
            <w:r w:rsidRPr="009D57FD">
              <w:t>4.26%</w:t>
            </w:r>
          </w:p>
        </w:tc>
        <w:tc>
          <w:tcPr>
            <w:tcW w:w="1074" w:type="dxa"/>
            <w:shd w:val="clear" w:color="auto" w:fill="auto"/>
            <w:vAlign w:val="center"/>
            <w:hideMark/>
          </w:tcPr>
          <w:p w14:paraId="65BA33C0" w14:textId="77777777" w:rsidR="009D57FD" w:rsidRPr="009D57FD" w:rsidRDefault="009D57FD" w:rsidP="008C7CB6">
            <w:pPr>
              <w:pStyle w:val="Tabletext1"/>
            </w:pPr>
            <w:r w:rsidRPr="009D57FD">
              <w:t>- </w:t>
            </w:r>
          </w:p>
        </w:tc>
        <w:tc>
          <w:tcPr>
            <w:tcW w:w="3902" w:type="dxa"/>
            <w:shd w:val="clear" w:color="auto" w:fill="auto"/>
            <w:noWrap/>
            <w:vAlign w:val="center"/>
            <w:hideMark/>
          </w:tcPr>
          <w:p w14:paraId="336038CC" w14:textId="77777777" w:rsidR="009D57FD" w:rsidRPr="009D57FD" w:rsidRDefault="009D57FD" w:rsidP="008C7CB6">
            <w:pPr>
              <w:pStyle w:val="Tabletext1"/>
            </w:pPr>
            <w:r w:rsidRPr="009D57FD">
              <w:t>Projection of annual growth rates in male and female lung cancer incidence estimated by AIHW (2016) between 2000 and 2012</w:t>
            </w:r>
          </w:p>
        </w:tc>
      </w:tr>
      <w:tr w:rsidR="009D57FD" w:rsidRPr="009D57FD" w14:paraId="04BCA245" w14:textId="77777777" w:rsidTr="00AB12D2">
        <w:trPr>
          <w:trHeight w:val="570"/>
        </w:trPr>
        <w:tc>
          <w:tcPr>
            <w:tcW w:w="2689" w:type="dxa"/>
            <w:shd w:val="clear" w:color="auto" w:fill="auto"/>
            <w:noWrap/>
            <w:vAlign w:val="center"/>
            <w:hideMark/>
          </w:tcPr>
          <w:p w14:paraId="134FD7DE" w14:textId="77777777" w:rsidR="009D57FD" w:rsidRPr="009D57FD" w:rsidRDefault="009D57FD" w:rsidP="008C7CB6">
            <w:pPr>
              <w:pStyle w:val="Tabletext1"/>
            </w:pPr>
            <w:r w:rsidRPr="009D57FD">
              <w:t>Annual growth of male lung cancer cases in Australia</w:t>
            </w:r>
          </w:p>
        </w:tc>
        <w:tc>
          <w:tcPr>
            <w:tcW w:w="1261" w:type="dxa"/>
            <w:shd w:val="clear" w:color="auto" w:fill="auto"/>
            <w:vAlign w:val="center"/>
            <w:hideMark/>
          </w:tcPr>
          <w:p w14:paraId="791915D2" w14:textId="77777777" w:rsidR="009D57FD" w:rsidRPr="009D57FD" w:rsidRDefault="009D57FD" w:rsidP="008C7CB6">
            <w:pPr>
              <w:pStyle w:val="Tabletext1"/>
            </w:pPr>
            <w:r w:rsidRPr="009D57FD">
              <w:t>1.37%</w:t>
            </w:r>
          </w:p>
        </w:tc>
        <w:tc>
          <w:tcPr>
            <w:tcW w:w="1074" w:type="dxa"/>
            <w:shd w:val="clear" w:color="auto" w:fill="auto"/>
            <w:vAlign w:val="center"/>
            <w:hideMark/>
          </w:tcPr>
          <w:p w14:paraId="5266FFA4" w14:textId="77777777" w:rsidR="009D57FD" w:rsidRPr="009D57FD" w:rsidRDefault="009D57FD" w:rsidP="008C7CB6">
            <w:pPr>
              <w:pStyle w:val="Tabletext1"/>
            </w:pPr>
            <w:r w:rsidRPr="009D57FD">
              <w:t>–</w:t>
            </w:r>
          </w:p>
        </w:tc>
        <w:tc>
          <w:tcPr>
            <w:tcW w:w="3902" w:type="dxa"/>
            <w:shd w:val="clear" w:color="auto" w:fill="auto"/>
            <w:noWrap/>
            <w:vAlign w:val="center"/>
            <w:hideMark/>
          </w:tcPr>
          <w:p w14:paraId="546A1536" w14:textId="77777777" w:rsidR="009D57FD" w:rsidRPr="009D57FD" w:rsidRDefault="009D57FD" w:rsidP="008C7CB6">
            <w:pPr>
              <w:pStyle w:val="Tabletext1"/>
            </w:pPr>
            <w:r w:rsidRPr="009D57FD">
              <w:t>Projection of annual growth rates in male and female lung cancer incidence estimated by AIHW (2016) between 2000 and 2012</w:t>
            </w:r>
          </w:p>
        </w:tc>
      </w:tr>
      <w:tr w:rsidR="009D57FD" w:rsidRPr="009D57FD" w14:paraId="284C9C95" w14:textId="77777777" w:rsidTr="00AB12D2">
        <w:trPr>
          <w:trHeight w:val="570"/>
        </w:trPr>
        <w:tc>
          <w:tcPr>
            <w:tcW w:w="2689" w:type="dxa"/>
            <w:shd w:val="clear" w:color="auto" w:fill="auto"/>
            <w:noWrap/>
            <w:vAlign w:val="center"/>
            <w:hideMark/>
          </w:tcPr>
          <w:p w14:paraId="53A9E8E3" w14:textId="77777777" w:rsidR="009D57FD" w:rsidRPr="009D57FD" w:rsidRDefault="009D57FD" w:rsidP="008C7CB6">
            <w:pPr>
              <w:pStyle w:val="Tabletext1"/>
            </w:pPr>
            <w:r w:rsidRPr="009D57FD">
              <w:t>NSCLC proportion of lung cancer cases</w:t>
            </w:r>
          </w:p>
        </w:tc>
        <w:tc>
          <w:tcPr>
            <w:tcW w:w="1261" w:type="dxa"/>
            <w:shd w:val="clear" w:color="auto" w:fill="auto"/>
            <w:vAlign w:val="center"/>
            <w:hideMark/>
          </w:tcPr>
          <w:p w14:paraId="385832AB" w14:textId="77777777" w:rsidR="009D57FD" w:rsidRPr="009D57FD" w:rsidRDefault="009D57FD" w:rsidP="008C7CB6">
            <w:pPr>
              <w:pStyle w:val="Tabletext1"/>
            </w:pPr>
            <w:r w:rsidRPr="009D57FD">
              <w:t>85.0%</w:t>
            </w:r>
          </w:p>
        </w:tc>
        <w:tc>
          <w:tcPr>
            <w:tcW w:w="1074" w:type="dxa"/>
            <w:shd w:val="clear" w:color="auto" w:fill="auto"/>
            <w:vAlign w:val="center"/>
            <w:hideMark/>
          </w:tcPr>
          <w:p w14:paraId="2A9C9AAC" w14:textId="77777777" w:rsidR="009D57FD" w:rsidRPr="009D57FD" w:rsidRDefault="009D57FD" w:rsidP="008C7CB6">
            <w:pPr>
              <w:pStyle w:val="Tabletext1"/>
            </w:pPr>
            <w:r w:rsidRPr="009D57FD">
              <w:t>63%</w:t>
            </w:r>
          </w:p>
        </w:tc>
        <w:tc>
          <w:tcPr>
            <w:tcW w:w="3902" w:type="dxa"/>
            <w:shd w:val="clear" w:color="auto" w:fill="auto"/>
            <w:noWrap/>
            <w:vAlign w:val="center"/>
            <w:hideMark/>
          </w:tcPr>
          <w:p w14:paraId="54E67613" w14:textId="77777777" w:rsidR="009D57FD" w:rsidRPr="009D57FD" w:rsidRDefault="009D57FD" w:rsidP="008C7CB6">
            <w:pPr>
              <w:pStyle w:val="Tabletext1"/>
            </w:pPr>
            <w:r w:rsidRPr="009D57FD">
              <w:t>Barton et al (2013), AIHW (2011) proportion of lung cancer cases in 2007</w:t>
            </w:r>
          </w:p>
        </w:tc>
      </w:tr>
      <w:tr w:rsidR="009D57FD" w:rsidRPr="009D57FD" w14:paraId="34CAC81F" w14:textId="77777777" w:rsidTr="00AB12D2">
        <w:trPr>
          <w:trHeight w:val="285"/>
        </w:trPr>
        <w:tc>
          <w:tcPr>
            <w:tcW w:w="2689" w:type="dxa"/>
            <w:shd w:val="clear" w:color="auto" w:fill="auto"/>
            <w:noWrap/>
            <w:vAlign w:val="center"/>
            <w:hideMark/>
          </w:tcPr>
          <w:p w14:paraId="1E1FC644" w14:textId="77777777" w:rsidR="009D57FD" w:rsidRPr="009D57FD" w:rsidRDefault="009D57FD" w:rsidP="008C7CB6">
            <w:pPr>
              <w:pStyle w:val="Tabletext1"/>
            </w:pPr>
            <w:r w:rsidRPr="009D57FD">
              <w:lastRenderedPageBreak/>
              <w:t>Incidence of NSCLC cases in Australia for 2016</w:t>
            </w:r>
          </w:p>
        </w:tc>
        <w:tc>
          <w:tcPr>
            <w:tcW w:w="1261" w:type="dxa"/>
            <w:shd w:val="clear" w:color="auto" w:fill="auto"/>
            <w:vAlign w:val="center"/>
            <w:hideMark/>
          </w:tcPr>
          <w:p w14:paraId="4405D2C7" w14:textId="77777777" w:rsidR="009D57FD" w:rsidRPr="009D57FD" w:rsidRDefault="009D57FD" w:rsidP="008C7CB6">
            <w:pPr>
              <w:pStyle w:val="Tabletext1"/>
            </w:pPr>
            <w:r w:rsidRPr="009D57FD">
              <w:t>10,373</w:t>
            </w:r>
          </w:p>
        </w:tc>
        <w:tc>
          <w:tcPr>
            <w:tcW w:w="1074" w:type="dxa"/>
            <w:shd w:val="clear" w:color="auto" w:fill="auto"/>
            <w:vAlign w:val="center"/>
            <w:hideMark/>
          </w:tcPr>
          <w:p w14:paraId="2E73FF59" w14:textId="7CCDF0AA" w:rsidR="009D57FD" w:rsidRPr="009D57FD" w:rsidRDefault="009D57FD" w:rsidP="008C7CB6">
            <w:pPr>
              <w:pStyle w:val="Tabletext1"/>
            </w:pPr>
            <w:r w:rsidRPr="009D57FD">
              <w:t> </w:t>
            </w:r>
            <w:r w:rsidR="005D7223">
              <w:t>-</w:t>
            </w:r>
          </w:p>
        </w:tc>
        <w:tc>
          <w:tcPr>
            <w:tcW w:w="3902" w:type="dxa"/>
            <w:shd w:val="clear" w:color="auto" w:fill="auto"/>
            <w:noWrap/>
            <w:vAlign w:val="center"/>
            <w:hideMark/>
          </w:tcPr>
          <w:p w14:paraId="3317D81E" w14:textId="6AC2EAE2" w:rsidR="009D57FD" w:rsidRPr="009D57FD" w:rsidRDefault="009D57FD" w:rsidP="008C7CB6">
            <w:pPr>
              <w:pStyle w:val="Tabletext1"/>
            </w:pPr>
            <w:r w:rsidRPr="009D57FD">
              <w:t xml:space="preserve">Based on </w:t>
            </w:r>
            <w:r w:rsidR="00422928">
              <w:t>NSCLC</w:t>
            </w:r>
            <w:r w:rsidRPr="009D57FD">
              <w:t xml:space="preserve"> accounting for 85 per cent (AIHW, 2011) of lung cancer cases in 2007</w:t>
            </w:r>
          </w:p>
        </w:tc>
      </w:tr>
      <w:tr w:rsidR="009D57FD" w:rsidRPr="009D57FD" w14:paraId="05EFF1BE" w14:textId="77777777" w:rsidTr="00AB12D2">
        <w:trPr>
          <w:trHeight w:val="285"/>
        </w:trPr>
        <w:tc>
          <w:tcPr>
            <w:tcW w:w="2689" w:type="dxa"/>
            <w:shd w:val="clear" w:color="auto" w:fill="auto"/>
            <w:noWrap/>
            <w:vAlign w:val="center"/>
            <w:hideMark/>
          </w:tcPr>
          <w:p w14:paraId="626C2334" w14:textId="77777777" w:rsidR="009D57FD" w:rsidRPr="009D57FD" w:rsidRDefault="009D57FD" w:rsidP="008C7CB6">
            <w:pPr>
              <w:pStyle w:val="Tabletext1"/>
            </w:pPr>
            <w:r w:rsidRPr="009D57FD">
              <w:t>Proportion of NSCLC in Stage I-II</w:t>
            </w:r>
          </w:p>
        </w:tc>
        <w:tc>
          <w:tcPr>
            <w:tcW w:w="1261" w:type="dxa"/>
            <w:shd w:val="clear" w:color="auto" w:fill="auto"/>
            <w:vAlign w:val="center"/>
            <w:hideMark/>
          </w:tcPr>
          <w:p w14:paraId="698F68D7" w14:textId="77777777" w:rsidR="009D57FD" w:rsidRPr="009D57FD" w:rsidRDefault="009D57FD" w:rsidP="008C7CB6">
            <w:pPr>
              <w:pStyle w:val="Tabletext1"/>
            </w:pPr>
            <w:r w:rsidRPr="009D57FD">
              <w:t>31%</w:t>
            </w:r>
          </w:p>
        </w:tc>
        <w:tc>
          <w:tcPr>
            <w:tcW w:w="1074" w:type="dxa"/>
            <w:shd w:val="clear" w:color="auto" w:fill="auto"/>
            <w:vAlign w:val="center"/>
            <w:hideMark/>
          </w:tcPr>
          <w:p w14:paraId="3DB5EFF9" w14:textId="0396B282" w:rsidR="009D57FD" w:rsidRPr="009D57FD" w:rsidRDefault="009D57FD" w:rsidP="008C7CB6">
            <w:pPr>
              <w:pStyle w:val="Tabletext1"/>
            </w:pPr>
            <w:r w:rsidRPr="009D57FD">
              <w:t> </w:t>
            </w:r>
            <w:r w:rsidR="005D7223">
              <w:t>-</w:t>
            </w:r>
          </w:p>
        </w:tc>
        <w:tc>
          <w:tcPr>
            <w:tcW w:w="3902" w:type="dxa"/>
            <w:shd w:val="clear" w:color="auto" w:fill="auto"/>
            <w:noWrap/>
            <w:vAlign w:val="center"/>
            <w:hideMark/>
          </w:tcPr>
          <w:p w14:paraId="07C40491" w14:textId="77777777" w:rsidR="009D57FD" w:rsidRPr="009D57FD" w:rsidRDefault="009D57FD" w:rsidP="008C7CB6">
            <w:pPr>
              <w:pStyle w:val="Tabletext1"/>
            </w:pPr>
            <w:r w:rsidRPr="009D57FD">
              <w:t>Barton et al (2013)</w:t>
            </w:r>
          </w:p>
        </w:tc>
      </w:tr>
      <w:tr w:rsidR="009D57FD" w:rsidRPr="009D57FD" w14:paraId="771D53A6" w14:textId="77777777" w:rsidTr="00AB12D2">
        <w:trPr>
          <w:trHeight w:val="285"/>
        </w:trPr>
        <w:tc>
          <w:tcPr>
            <w:tcW w:w="2689" w:type="dxa"/>
            <w:shd w:val="clear" w:color="auto" w:fill="auto"/>
            <w:noWrap/>
            <w:vAlign w:val="center"/>
            <w:hideMark/>
          </w:tcPr>
          <w:p w14:paraId="6119A8F0" w14:textId="77777777" w:rsidR="009D57FD" w:rsidRPr="009D57FD" w:rsidRDefault="009D57FD" w:rsidP="008C7CB6">
            <w:pPr>
              <w:pStyle w:val="Tabletext1"/>
            </w:pPr>
            <w:r w:rsidRPr="009D57FD">
              <w:t>Patients with early stage NSCLC in 2016</w:t>
            </w:r>
          </w:p>
        </w:tc>
        <w:tc>
          <w:tcPr>
            <w:tcW w:w="1261" w:type="dxa"/>
            <w:shd w:val="clear" w:color="auto" w:fill="auto"/>
            <w:vAlign w:val="center"/>
            <w:hideMark/>
          </w:tcPr>
          <w:p w14:paraId="3072F1C1" w14:textId="77777777" w:rsidR="009D57FD" w:rsidRPr="009D57FD" w:rsidRDefault="009D57FD" w:rsidP="008C7CB6">
            <w:pPr>
              <w:pStyle w:val="Tabletext1"/>
            </w:pPr>
            <w:r w:rsidRPr="009D57FD">
              <w:t>3,215</w:t>
            </w:r>
          </w:p>
        </w:tc>
        <w:tc>
          <w:tcPr>
            <w:tcW w:w="1074" w:type="dxa"/>
            <w:shd w:val="clear" w:color="auto" w:fill="auto"/>
            <w:vAlign w:val="center"/>
            <w:hideMark/>
          </w:tcPr>
          <w:p w14:paraId="44B1488A" w14:textId="474AC55F" w:rsidR="009D57FD" w:rsidRPr="009D57FD" w:rsidRDefault="009D57FD" w:rsidP="008C7CB6">
            <w:pPr>
              <w:pStyle w:val="Tabletext1"/>
            </w:pPr>
            <w:r w:rsidRPr="009D57FD">
              <w:t> </w:t>
            </w:r>
            <w:r w:rsidR="005D7223">
              <w:t>-</w:t>
            </w:r>
          </w:p>
        </w:tc>
        <w:tc>
          <w:tcPr>
            <w:tcW w:w="3902" w:type="dxa"/>
            <w:shd w:val="clear" w:color="auto" w:fill="auto"/>
            <w:noWrap/>
            <w:vAlign w:val="center"/>
            <w:hideMark/>
          </w:tcPr>
          <w:p w14:paraId="60389E4A" w14:textId="77777777" w:rsidR="009D57FD" w:rsidRPr="009D57FD" w:rsidRDefault="009D57FD" w:rsidP="008C7CB6">
            <w:pPr>
              <w:pStyle w:val="Tabletext1"/>
            </w:pPr>
            <w:r w:rsidRPr="009D57FD">
              <w:t>Between 1995 and 2004, around 29.6 per cent of staged lung cancers in NSW were localised (AIHW 2011). In the United States, it was estimated that 16.1 per cent of NSCLC in males and 19.6 per cent of NSCLC in females remains localised at the time of diagnosis (AIHW 2011). Estimated 31% of NSCLC incidence</w:t>
            </w:r>
          </w:p>
        </w:tc>
      </w:tr>
      <w:tr w:rsidR="009D57FD" w:rsidRPr="009D57FD" w14:paraId="04DEB351" w14:textId="77777777" w:rsidTr="00AB12D2">
        <w:trPr>
          <w:trHeight w:val="285"/>
        </w:trPr>
        <w:tc>
          <w:tcPr>
            <w:tcW w:w="2689" w:type="dxa"/>
            <w:shd w:val="clear" w:color="auto" w:fill="auto"/>
            <w:noWrap/>
            <w:vAlign w:val="center"/>
            <w:hideMark/>
          </w:tcPr>
          <w:p w14:paraId="3B1EEE2F" w14:textId="77777777" w:rsidR="009D57FD" w:rsidRPr="009D57FD" w:rsidRDefault="009D57FD" w:rsidP="008C7CB6">
            <w:pPr>
              <w:pStyle w:val="Tabletext1"/>
            </w:pPr>
            <w:r w:rsidRPr="009D57FD">
              <w:t>Proportion of NSCLC stage I-II not suited to surgery</w:t>
            </w:r>
          </w:p>
        </w:tc>
        <w:tc>
          <w:tcPr>
            <w:tcW w:w="1261" w:type="dxa"/>
            <w:shd w:val="clear" w:color="auto" w:fill="auto"/>
            <w:vAlign w:val="center"/>
            <w:hideMark/>
          </w:tcPr>
          <w:p w14:paraId="2CA443B0" w14:textId="77777777" w:rsidR="009D57FD" w:rsidRPr="009D57FD" w:rsidRDefault="009D57FD" w:rsidP="008C7CB6">
            <w:pPr>
              <w:pStyle w:val="Tabletext1"/>
            </w:pPr>
            <w:r w:rsidRPr="009D57FD">
              <w:t>57%</w:t>
            </w:r>
          </w:p>
        </w:tc>
        <w:tc>
          <w:tcPr>
            <w:tcW w:w="1074" w:type="dxa"/>
            <w:shd w:val="clear" w:color="auto" w:fill="auto"/>
            <w:vAlign w:val="center"/>
            <w:hideMark/>
          </w:tcPr>
          <w:p w14:paraId="34C57CC6" w14:textId="1A82A46E" w:rsidR="009D57FD" w:rsidRPr="009D57FD" w:rsidRDefault="009D57FD" w:rsidP="008C7CB6">
            <w:pPr>
              <w:pStyle w:val="Tabletext1"/>
            </w:pPr>
            <w:r w:rsidRPr="009D57FD">
              <w:t> </w:t>
            </w:r>
            <w:r w:rsidR="005D7223">
              <w:t>-</w:t>
            </w:r>
          </w:p>
        </w:tc>
        <w:tc>
          <w:tcPr>
            <w:tcW w:w="3902" w:type="dxa"/>
            <w:shd w:val="clear" w:color="auto" w:fill="auto"/>
            <w:noWrap/>
            <w:vAlign w:val="center"/>
            <w:hideMark/>
          </w:tcPr>
          <w:p w14:paraId="1750767F" w14:textId="77777777" w:rsidR="009D57FD" w:rsidRPr="009D57FD" w:rsidRDefault="009D57FD" w:rsidP="008C7CB6">
            <w:pPr>
              <w:pStyle w:val="Tabletext1"/>
            </w:pPr>
            <w:r w:rsidRPr="009D57FD">
              <w:t xml:space="preserve">Barton et al (2013) assumed 60% of NSCLC stage I-II not suited to surgery, or 15% of all lung cancer incident cases. In the future this proportion could increase with the availability of ablative technologies such as MTA </w:t>
            </w:r>
          </w:p>
        </w:tc>
      </w:tr>
      <w:tr w:rsidR="009D57FD" w:rsidRPr="009D57FD" w14:paraId="1EFBFC22" w14:textId="77777777" w:rsidTr="00AB12D2">
        <w:trPr>
          <w:trHeight w:val="285"/>
        </w:trPr>
        <w:tc>
          <w:tcPr>
            <w:tcW w:w="2689" w:type="dxa"/>
            <w:shd w:val="clear" w:color="auto" w:fill="auto"/>
            <w:noWrap/>
            <w:vAlign w:val="center"/>
            <w:hideMark/>
          </w:tcPr>
          <w:p w14:paraId="6E91E159" w14:textId="3B6967B5" w:rsidR="009D57FD" w:rsidRPr="009D57FD" w:rsidRDefault="009D57FD" w:rsidP="008C7CB6">
            <w:pPr>
              <w:pStyle w:val="Tabletext1"/>
            </w:pPr>
            <w:r w:rsidRPr="009D57FD">
              <w:t>Patients with early stage NSCLC who are not su</w:t>
            </w:r>
            <w:r w:rsidR="00422928">
              <w:t>itable for surgical resection (p</w:t>
            </w:r>
            <w:r w:rsidRPr="009D57FD">
              <w:t>opulation 1).</w:t>
            </w:r>
          </w:p>
        </w:tc>
        <w:tc>
          <w:tcPr>
            <w:tcW w:w="1261" w:type="dxa"/>
            <w:shd w:val="clear" w:color="auto" w:fill="auto"/>
            <w:vAlign w:val="center"/>
            <w:hideMark/>
          </w:tcPr>
          <w:p w14:paraId="6D7EF2A3" w14:textId="77777777" w:rsidR="009D57FD" w:rsidRPr="009D57FD" w:rsidRDefault="009D57FD" w:rsidP="008C7CB6">
            <w:pPr>
              <w:pStyle w:val="Tabletext1"/>
            </w:pPr>
            <w:r w:rsidRPr="009D57FD">
              <w:t>1833</w:t>
            </w:r>
          </w:p>
        </w:tc>
        <w:tc>
          <w:tcPr>
            <w:tcW w:w="1074" w:type="dxa"/>
            <w:shd w:val="clear" w:color="auto" w:fill="auto"/>
            <w:vAlign w:val="center"/>
            <w:hideMark/>
          </w:tcPr>
          <w:p w14:paraId="3A2F5937" w14:textId="20EADE6A" w:rsidR="009D57FD" w:rsidRPr="009D57FD" w:rsidRDefault="009D57FD" w:rsidP="008C7CB6">
            <w:pPr>
              <w:pStyle w:val="Tabletext1"/>
            </w:pPr>
            <w:r w:rsidRPr="009D57FD">
              <w:t> </w:t>
            </w:r>
            <w:r w:rsidR="005D7223">
              <w:t>-</w:t>
            </w:r>
          </w:p>
        </w:tc>
        <w:tc>
          <w:tcPr>
            <w:tcW w:w="3902" w:type="dxa"/>
            <w:shd w:val="clear" w:color="auto" w:fill="auto"/>
            <w:noWrap/>
            <w:vAlign w:val="center"/>
            <w:hideMark/>
          </w:tcPr>
          <w:p w14:paraId="457E7284" w14:textId="77777777" w:rsidR="009D57FD" w:rsidRPr="009D57FD" w:rsidRDefault="009D57FD" w:rsidP="008C7CB6">
            <w:pPr>
              <w:pStyle w:val="Tabletext1"/>
            </w:pPr>
            <w:r w:rsidRPr="009D57FD">
              <w:t xml:space="preserve">Proportion of patients with early stage NSCLC estimated by experts to be not suited for surgical resection. </w:t>
            </w:r>
          </w:p>
        </w:tc>
      </w:tr>
      <w:tr w:rsidR="009D57FD" w:rsidRPr="009D57FD" w14:paraId="18DC345E" w14:textId="77777777" w:rsidTr="00AB12D2">
        <w:trPr>
          <w:trHeight w:val="285"/>
        </w:trPr>
        <w:tc>
          <w:tcPr>
            <w:tcW w:w="2689" w:type="dxa"/>
            <w:shd w:val="clear" w:color="auto" w:fill="auto"/>
            <w:noWrap/>
            <w:vAlign w:val="center"/>
            <w:hideMark/>
          </w:tcPr>
          <w:p w14:paraId="44047772" w14:textId="3CD63122" w:rsidR="009D57FD" w:rsidRPr="009D57FD" w:rsidRDefault="009D57FD" w:rsidP="008C7CB6">
            <w:pPr>
              <w:pStyle w:val="Tabletext1"/>
            </w:pPr>
            <w:r w:rsidRPr="009D57FD">
              <w:t>Equivalent proportion of patients with pulmonary metastases, in whom the primary tumour is under control, curative int</w:t>
            </w:r>
            <w:r w:rsidR="00422928">
              <w:t>ent and suitable for MTA (as % p</w:t>
            </w:r>
            <w:r w:rsidRPr="009D57FD">
              <w:t>opulation 1)</w:t>
            </w:r>
          </w:p>
        </w:tc>
        <w:tc>
          <w:tcPr>
            <w:tcW w:w="1261" w:type="dxa"/>
            <w:shd w:val="clear" w:color="auto" w:fill="auto"/>
            <w:vAlign w:val="center"/>
            <w:hideMark/>
          </w:tcPr>
          <w:p w14:paraId="7A673B1C" w14:textId="77777777" w:rsidR="009D57FD" w:rsidRPr="009D57FD" w:rsidRDefault="009D57FD" w:rsidP="008C7CB6">
            <w:pPr>
              <w:pStyle w:val="Tabletext1"/>
            </w:pPr>
            <w:r w:rsidRPr="009D57FD">
              <w:t>10%</w:t>
            </w:r>
          </w:p>
        </w:tc>
        <w:tc>
          <w:tcPr>
            <w:tcW w:w="1074" w:type="dxa"/>
            <w:shd w:val="clear" w:color="auto" w:fill="auto"/>
            <w:vAlign w:val="center"/>
            <w:hideMark/>
          </w:tcPr>
          <w:p w14:paraId="6553942F" w14:textId="77777777" w:rsidR="009D57FD" w:rsidRPr="009D57FD" w:rsidRDefault="009D57FD" w:rsidP="008C7CB6">
            <w:pPr>
              <w:pStyle w:val="Tabletext1"/>
            </w:pPr>
            <w:r w:rsidRPr="009D57FD">
              <w:t>100%</w:t>
            </w:r>
          </w:p>
        </w:tc>
        <w:tc>
          <w:tcPr>
            <w:tcW w:w="3902" w:type="dxa"/>
            <w:shd w:val="clear" w:color="auto" w:fill="auto"/>
            <w:noWrap/>
            <w:vAlign w:val="center"/>
            <w:hideMark/>
          </w:tcPr>
          <w:p w14:paraId="5268C862" w14:textId="77777777" w:rsidR="009D57FD" w:rsidRPr="009D57FD" w:rsidRDefault="009D57FD" w:rsidP="008C7CB6">
            <w:pPr>
              <w:pStyle w:val="Tabletext1"/>
            </w:pPr>
            <w:r w:rsidRPr="009D57FD">
              <w:t>Assumed to be 10% of primary tumour population following discussions with experts. A range of estimates were provided, as high as 100%</w:t>
            </w:r>
          </w:p>
        </w:tc>
      </w:tr>
      <w:tr w:rsidR="009D57FD" w:rsidRPr="009D57FD" w14:paraId="68E6E7F8" w14:textId="77777777" w:rsidTr="00AB12D2">
        <w:trPr>
          <w:trHeight w:val="285"/>
        </w:trPr>
        <w:tc>
          <w:tcPr>
            <w:tcW w:w="2689" w:type="dxa"/>
            <w:shd w:val="clear" w:color="auto" w:fill="auto"/>
            <w:noWrap/>
            <w:vAlign w:val="center"/>
          </w:tcPr>
          <w:p w14:paraId="52D1A8AE" w14:textId="20D97EEA" w:rsidR="009D57FD" w:rsidRPr="009D57FD" w:rsidRDefault="009D57FD" w:rsidP="008C7CB6">
            <w:pPr>
              <w:pStyle w:val="Tabletext1"/>
            </w:pPr>
            <w:r w:rsidRPr="009D57FD">
              <w:t>Patients with pulmonary metastases, in whom the primary tumour is under control, and who are receiving treatment with curativ</w:t>
            </w:r>
            <w:r w:rsidR="00422928">
              <w:t>e intent and suitable for MTA (p</w:t>
            </w:r>
            <w:r w:rsidRPr="009D57FD">
              <w:t>opulation 2)</w:t>
            </w:r>
          </w:p>
        </w:tc>
        <w:tc>
          <w:tcPr>
            <w:tcW w:w="1261" w:type="dxa"/>
            <w:shd w:val="clear" w:color="auto" w:fill="auto"/>
            <w:vAlign w:val="center"/>
          </w:tcPr>
          <w:p w14:paraId="5040ED55" w14:textId="77777777" w:rsidR="009D57FD" w:rsidRPr="009D57FD" w:rsidRDefault="009D57FD" w:rsidP="008C7CB6">
            <w:pPr>
              <w:pStyle w:val="Tabletext1"/>
            </w:pPr>
            <w:r w:rsidRPr="009D57FD">
              <w:t>183</w:t>
            </w:r>
          </w:p>
        </w:tc>
        <w:tc>
          <w:tcPr>
            <w:tcW w:w="1074" w:type="dxa"/>
            <w:shd w:val="clear" w:color="auto" w:fill="auto"/>
            <w:vAlign w:val="center"/>
          </w:tcPr>
          <w:p w14:paraId="65DDB2B7" w14:textId="6D6342CD" w:rsidR="009D57FD" w:rsidRPr="009D57FD" w:rsidRDefault="005D7223" w:rsidP="008C7CB6">
            <w:pPr>
              <w:pStyle w:val="Tabletext1"/>
            </w:pPr>
            <w:r>
              <w:t>-</w:t>
            </w:r>
          </w:p>
        </w:tc>
        <w:tc>
          <w:tcPr>
            <w:tcW w:w="3902" w:type="dxa"/>
            <w:shd w:val="clear" w:color="auto" w:fill="auto"/>
            <w:noWrap/>
            <w:vAlign w:val="center"/>
          </w:tcPr>
          <w:p w14:paraId="051DF259" w14:textId="035F2E7B" w:rsidR="009D57FD" w:rsidRPr="009D57FD" w:rsidRDefault="009D57FD" w:rsidP="008C7CB6">
            <w:pPr>
              <w:pStyle w:val="Tabletext1"/>
            </w:pPr>
            <w:r w:rsidRPr="009D57FD">
              <w:t>At higher end estima</w:t>
            </w:r>
            <w:r w:rsidR="00422928">
              <w:t>te a total of 1833 would be in p</w:t>
            </w:r>
            <w:r w:rsidRPr="009D57FD">
              <w:t>opulation 2.</w:t>
            </w:r>
          </w:p>
        </w:tc>
      </w:tr>
      <w:tr w:rsidR="009D57FD" w:rsidRPr="009D57FD" w14:paraId="1B12CE78" w14:textId="77777777" w:rsidTr="00AB12D2">
        <w:trPr>
          <w:trHeight w:val="285"/>
        </w:trPr>
        <w:tc>
          <w:tcPr>
            <w:tcW w:w="2689" w:type="dxa"/>
            <w:shd w:val="clear" w:color="auto" w:fill="auto"/>
            <w:noWrap/>
            <w:vAlign w:val="center"/>
            <w:hideMark/>
          </w:tcPr>
          <w:p w14:paraId="7D5DF24D" w14:textId="51B5857F" w:rsidR="009D57FD" w:rsidRPr="009D57FD" w:rsidRDefault="009D57FD" w:rsidP="008C7CB6">
            <w:pPr>
              <w:pStyle w:val="Tabletext1"/>
            </w:pPr>
            <w:r w:rsidRPr="009D57FD">
              <w:t>Patients with NSCLC or pulmonary metastases, who are r</w:t>
            </w:r>
            <w:r w:rsidR="00422928">
              <w:t>eceiving palliative treatment (p</w:t>
            </w:r>
            <w:r w:rsidRPr="009D57FD">
              <w:t>opulation 3) and suitable for MTA</w:t>
            </w:r>
          </w:p>
        </w:tc>
        <w:tc>
          <w:tcPr>
            <w:tcW w:w="1261" w:type="dxa"/>
            <w:shd w:val="clear" w:color="auto" w:fill="auto"/>
            <w:vAlign w:val="center"/>
            <w:hideMark/>
          </w:tcPr>
          <w:p w14:paraId="182572AE" w14:textId="77777777" w:rsidR="009D57FD" w:rsidRPr="009D57FD" w:rsidRDefault="009D57FD" w:rsidP="008C7CB6">
            <w:pPr>
              <w:pStyle w:val="Tabletext1"/>
            </w:pPr>
            <w:r w:rsidRPr="009D57FD">
              <w:t>0</w:t>
            </w:r>
          </w:p>
        </w:tc>
        <w:tc>
          <w:tcPr>
            <w:tcW w:w="1074" w:type="dxa"/>
            <w:shd w:val="clear" w:color="auto" w:fill="auto"/>
            <w:vAlign w:val="center"/>
            <w:hideMark/>
          </w:tcPr>
          <w:p w14:paraId="6FAD36AE" w14:textId="14069874" w:rsidR="009D57FD" w:rsidRPr="009D57FD" w:rsidRDefault="009D57FD" w:rsidP="008C7CB6">
            <w:pPr>
              <w:pStyle w:val="Tabletext1"/>
            </w:pPr>
            <w:r w:rsidRPr="009D57FD">
              <w:t> </w:t>
            </w:r>
            <w:r w:rsidR="005D7223">
              <w:t>-</w:t>
            </w:r>
          </w:p>
        </w:tc>
        <w:tc>
          <w:tcPr>
            <w:tcW w:w="3902" w:type="dxa"/>
            <w:shd w:val="clear" w:color="auto" w:fill="auto"/>
            <w:noWrap/>
            <w:vAlign w:val="center"/>
            <w:hideMark/>
          </w:tcPr>
          <w:p w14:paraId="63179743" w14:textId="77777777" w:rsidR="009D57FD" w:rsidRPr="009D57FD" w:rsidRDefault="009D57FD" w:rsidP="008C7CB6">
            <w:pPr>
              <w:pStyle w:val="Tabletext1"/>
            </w:pPr>
            <w:r w:rsidRPr="009D57FD">
              <w:t>Only limited numbers of MTA procedures are being provided to this population. The population is deemed more suitable for systemic therapies</w:t>
            </w:r>
          </w:p>
        </w:tc>
      </w:tr>
    </w:tbl>
    <w:p w14:paraId="3B877F00" w14:textId="4E62E1DA" w:rsidR="00AB12D2" w:rsidRPr="00BC4A30" w:rsidRDefault="007121B3" w:rsidP="007121B3">
      <w:pPr>
        <w:pStyle w:val="Tablenotes0"/>
        <w:rPr>
          <w:noProof/>
        </w:rPr>
      </w:pPr>
      <w:r>
        <w:rPr>
          <w:noProof/>
        </w:rPr>
        <w:t>&lt;</w:t>
      </w:r>
      <w:r w:rsidR="00F53571">
        <w:rPr>
          <w:noProof/>
        </w:rPr>
        <w:t xml:space="preserve"> </w:t>
      </w:r>
      <w:r w:rsidR="00AB12D2" w:rsidRPr="00BC4A30">
        <w:rPr>
          <w:noProof/>
        </w:rPr>
        <w:t>ABS, the Australian Bureau of Statistics. AIHW, Australian Institute of Health and Welfare</w:t>
      </w:r>
      <w:r w:rsidR="00422928">
        <w:rPr>
          <w:noProof/>
        </w:rPr>
        <w:t>; MTA=microwave thermal ablation; NSCLC = non small cell lung cancer</w:t>
      </w:r>
      <w:r w:rsidR="00F53571">
        <w:rPr>
          <w:noProof/>
        </w:rPr>
        <w:t xml:space="preserve"> </w:t>
      </w:r>
      <w:r>
        <w:rPr>
          <w:noProof/>
        </w:rPr>
        <w:t>&gt;</w:t>
      </w:r>
    </w:p>
    <w:p w14:paraId="2540D808" w14:textId="77777777" w:rsidR="00C17697" w:rsidRDefault="00C17697" w:rsidP="00AB12D2">
      <w:pPr>
        <w:rPr>
          <w:noProof/>
        </w:rPr>
      </w:pPr>
      <w:r>
        <w:rPr>
          <w:noProof/>
        </w:rPr>
        <w:br w:type="page"/>
      </w:r>
    </w:p>
    <w:p w14:paraId="581FFFAF" w14:textId="3A4FDF93" w:rsidR="00AB12D2" w:rsidRPr="00BC4A30" w:rsidRDefault="00AB12D2" w:rsidP="00AB12D2">
      <w:pPr>
        <w:rPr>
          <w:noProof/>
        </w:rPr>
      </w:pPr>
      <w:r w:rsidRPr="00BC4A30">
        <w:rPr>
          <w:noProof/>
        </w:rPr>
        <w:lastRenderedPageBreak/>
        <w:t xml:space="preserve">The cost mininisation analysis includes the cost of major adverse events related to the MTA procedure. The assumptions related to the proportion of patients undergoing the MTA procedure likely to experience major adverse events, based on studies outlined in Section B, are provided in </w:t>
      </w:r>
      <w:r w:rsidRPr="00BC4A30">
        <w:rPr>
          <w:b/>
          <w:noProof/>
        </w:rPr>
        <w:fldChar w:fldCharType="begin"/>
      </w:r>
      <w:r w:rsidRPr="00BC4A30">
        <w:rPr>
          <w:noProof/>
        </w:rPr>
        <w:instrText xml:space="preserve"> REF _Ref457412022 \h </w:instrText>
      </w:r>
      <w:r w:rsidRPr="00BC4A30">
        <w:rPr>
          <w:b/>
          <w:noProof/>
        </w:rPr>
        <w:instrText xml:space="preserve"> \* MERGEFORMAT </w:instrText>
      </w:r>
      <w:r w:rsidRPr="00BC4A30">
        <w:rPr>
          <w:b/>
          <w:noProof/>
        </w:rPr>
      </w:r>
      <w:r w:rsidRPr="00BC4A30">
        <w:rPr>
          <w:b/>
          <w:noProof/>
        </w:rPr>
        <w:fldChar w:fldCharType="separate"/>
      </w:r>
      <w:r w:rsidR="00D170A5" w:rsidRPr="00BC4A30">
        <w:t xml:space="preserve">Table </w:t>
      </w:r>
      <w:r w:rsidR="00D170A5">
        <w:rPr>
          <w:noProof/>
        </w:rPr>
        <w:t>78</w:t>
      </w:r>
      <w:r w:rsidRPr="00BC4A30">
        <w:rPr>
          <w:b/>
          <w:noProof/>
        </w:rPr>
        <w:fldChar w:fldCharType="end"/>
      </w:r>
      <w:r w:rsidRPr="00BC4A30">
        <w:rPr>
          <w:b/>
          <w:noProof/>
        </w:rPr>
        <w:t xml:space="preserve">. </w:t>
      </w:r>
      <w:r w:rsidRPr="00BC4A30">
        <w:rPr>
          <w:noProof/>
        </w:rPr>
        <w:t xml:space="preserve">The key adverse event requiring treatment is </w:t>
      </w:r>
      <w:r w:rsidR="008C1626" w:rsidRPr="00BC4A30">
        <w:rPr>
          <w:noProof/>
        </w:rPr>
        <w:t>p</w:t>
      </w:r>
      <w:r w:rsidRPr="00BC4A30">
        <w:rPr>
          <w:noProof/>
        </w:rPr>
        <w:t xml:space="preserve">neumothorax.  </w:t>
      </w:r>
    </w:p>
    <w:p w14:paraId="5EA0D0DD" w14:textId="4645EC2A" w:rsidR="00AB12D2" w:rsidRPr="00BC4A30" w:rsidRDefault="00AB12D2" w:rsidP="00AB12D2">
      <w:pPr>
        <w:rPr>
          <w:noProof/>
        </w:rPr>
      </w:pPr>
      <w:r w:rsidRPr="00BC4A30">
        <w:rPr>
          <w:noProof/>
        </w:rPr>
        <w:t>As a proportion of ablation procedures from included studies in Section B a median of 32</w:t>
      </w:r>
      <w:r w:rsidR="00DB7D52" w:rsidRPr="00BC4A30">
        <w:rPr>
          <w:noProof/>
        </w:rPr>
        <w:t xml:space="preserve"> per cent</w:t>
      </w:r>
      <w:r w:rsidRPr="00BC4A30">
        <w:rPr>
          <w:noProof/>
        </w:rPr>
        <w:t xml:space="preserve"> of procedures are associated with pneumothorax (range: 8.3%</w:t>
      </w:r>
      <w:r w:rsidR="00422928">
        <w:t>–</w:t>
      </w:r>
      <w:r w:rsidRPr="00BC4A30">
        <w:rPr>
          <w:noProof/>
        </w:rPr>
        <w:t>63.8%), with 30.3</w:t>
      </w:r>
      <w:r w:rsidR="00DB7D52" w:rsidRPr="00BC4A30">
        <w:rPr>
          <w:noProof/>
        </w:rPr>
        <w:t xml:space="preserve"> per cent</w:t>
      </w:r>
      <w:r w:rsidRPr="00BC4A30">
        <w:rPr>
          <w:noProof/>
        </w:rPr>
        <w:t xml:space="preserve"> (range 0</w:t>
      </w:r>
      <w:r w:rsidR="00422928" w:rsidRPr="00422928">
        <w:rPr>
          <w:noProof/>
        </w:rPr>
        <w:t>–</w:t>
      </w:r>
      <w:r w:rsidRPr="00BC4A30">
        <w:rPr>
          <w:noProof/>
        </w:rPr>
        <w:t>66.7%) being severe (i.e. require chest tube drainage). This translates into 9.6</w:t>
      </w:r>
      <w:r w:rsidR="00DB7D52" w:rsidRPr="00BC4A30">
        <w:rPr>
          <w:noProof/>
        </w:rPr>
        <w:t xml:space="preserve"> per cent</w:t>
      </w:r>
      <w:r w:rsidRPr="00BC4A30">
        <w:rPr>
          <w:noProof/>
        </w:rPr>
        <w:t xml:space="preserve"> of all MTA prcedures requring chest drainage. Using the mean from included studies, as opposed to the median, the proportions are similar. A total of 31.4</w:t>
      </w:r>
      <w:r w:rsidR="00DB7D52" w:rsidRPr="00BC4A30">
        <w:rPr>
          <w:noProof/>
        </w:rPr>
        <w:t xml:space="preserve"> per cent</w:t>
      </w:r>
      <w:r w:rsidRPr="00BC4A30">
        <w:rPr>
          <w:noProof/>
        </w:rPr>
        <w:t xml:space="preserve"> of MTA procedures would have associated pneumothorax (</w:t>
      </w:r>
      <w:r w:rsidR="00FE016B">
        <w:rPr>
          <w:noProof/>
        </w:rPr>
        <w:t>SD</w:t>
      </w:r>
      <w:r w:rsidRPr="00BC4A30">
        <w:rPr>
          <w:noProof/>
        </w:rPr>
        <w:t xml:space="preserve"> 17.2%) and of those 27.4</w:t>
      </w:r>
      <w:r w:rsidR="00DB7D52" w:rsidRPr="00BC4A30">
        <w:rPr>
          <w:noProof/>
        </w:rPr>
        <w:t xml:space="preserve"> per cent</w:t>
      </w:r>
      <w:r w:rsidRPr="00BC4A30">
        <w:rPr>
          <w:noProof/>
        </w:rPr>
        <w:t xml:space="preserve"> would be severe (</w:t>
      </w:r>
      <w:r w:rsidR="00FE016B">
        <w:rPr>
          <w:noProof/>
        </w:rPr>
        <w:t>SD</w:t>
      </w:r>
      <w:r w:rsidRPr="00BC4A30">
        <w:rPr>
          <w:noProof/>
        </w:rPr>
        <w:t xml:space="preserve"> 18.6%). This equates to a total mean proportion of 8.6</w:t>
      </w:r>
      <w:r w:rsidR="00DB7D52" w:rsidRPr="00BC4A30">
        <w:rPr>
          <w:noProof/>
        </w:rPr>
        <w:t xml:space="preserve"> per cent</w:t>
      </w:r>
      <w:r w:rsidRPr="00BC4A30">
        <w:rPr>
          <w:noProof/>
        </w:rPr>
        <w:t xml:space="preserve"> of MTA procedures requ</w:t>
      </w:r>
      <w:r w:rsidR="00DB7D52" w:rsidRPr="00BC4A30">
        <w:rPr>
          <w:noProof/>
        </w:rPr>
        <w:t>i</w:t>
      </w:r>
      <w:r w:rsidRPr="00BC4A30">
        <w:rPr>
          <w:noProof/>
        </w:rPr>
        <w:t>ring a chest drain</w:t>
      </w:r>
      <w:r w:rsidR="00DB7D52" w:rsidRPr="00BC4A30">
        <w:rPr>
          <w:noProof/>
        </w:rPr>
        <w:t>.</w:t>
      </w:r>
    </w:p>
    <w:p w14:paraId="5A798487" w14:textId="77777777" w:rsidR="00AB12D2" w:rsidRPr="00BC4A30" w:rsidRDefault="00AB12D2" w:rsidP="00AB12D2">
      <w:pPr>
        <w:pStyle w:val="Caption"/>
        <w:keepNext/>
      </w:pPr>
      <w:bookmarkStart w:id="422" w:name="_Ref457412022"/>
      <w:bookmarkStart w:id="423" w:name="_Toc460514736"/>
      <w:r w:rsidRPr="00BC4A30">
        <w:t xml:space="preserve">Table </w:t>
      </w:r>
      <w:fldSimple w:instr=" SEQ Table \* ARABIC ">
        <w:r w:rsidR="00D170A5">
          <w:rPr>
            <w:noProof/>
          </w:rPr>
          <w:t>78</w:t>
        </w:r>
      </w:fldSimple>
      <w:bookmarkEnd w:id="422"/>
      <w:r w:rsidRPr="00BC4A30">
        <w:tab/>
        <w:t>Summary of the key assumptions relating to major adverse events</w:t>
      </w:r>
      <w:bookmarkEnd w:id="423"/>
    </w:p>
    <w:tbl>
      <w:tblPr>
        <w:tblStyle w:val="TableGrid"/>
        <w:tblW w:w="0" w:type="auto"/>
        <w:tblInd w:w="-5" w:type="dxa"/>
        <w:tblLook w:val="04A0" w:firstRow="1" w:lastRow="0" w:firstColumn="1" w:lastColumn="0" w:noHBand="0" w:noVBand="1"/>
        <w:tblCaption w:val="Table 91"/>
        <w:tblDescription w:val="Summary of the key assumptions for adverse events"/>
      </w:tblPr>
      <w:tblGrid>
        <w:gridCol w:w="3544"/>
        <w:gridCol w:w="2126"/>
        <w:gridCol w:w="3345"/>
      </w:tblGrid>
      <w:tr w:rsidR="00AB12D2" w:rsidRPr="00BC4A30" w14:paraId="3929061D" w14:textId="77777777" w:rsidTr="007121B3">
        <w:trPr>
          <w:trHeight w:val="250"/>
          <w:tblHeader/>
        </w:trPr>
        <w:tc>
          <w:tcPr>
            <w:tcW w:w="3544" w:type="dxa"/>
            <w:shd w:val="clear" w:color="auto" w:fill="D9D9D9" w:themeFill="background1" w:themeFillShade="D9"/>
            <w:noWrap/>
            <w:hideMark/>
          </w:tcPr>
          <w:p w14:paraId="02DE0B82" w14:textId="77777777" w:rsidR="00AB12D2" w:rsidRPr="007121B3" w:rsidRDefault="00AB12D2" w:rsidP="007121B3">
            <w:pPr>
              <w:pStyle w:val="Tabletext1"/>
              <w:ind w:left="0"/>
              <w:rPr>
                <w:b/>
                <w:noProof/>
              </w:rPr>
            </w:pPr>
            <w:r w:rsidRPr="007121B3">
              <w:rPr>
                <w:b/>
                <w:noProof/>
              </w:rPr>
              <w:t>Major adverse events</w:t>
            </w:r>
          </w:p>
        </w:tc>
        <w:tc>
          <w:tcPr>
            <w:tcW w:w="2126" w:type="dxa"/>
            <w:shd w:val="clear" w:color="auto" w:fill="D9D9D9" w:themeFill="background1" w:themeFillShade="D9"/>
            <w:noWrap/>
            <w:vAlign w:val="center"/>
            <w:hideMark/>
          </w:tcPr>
          <w:p w14:paraId="1B6C3340" w14:textId="77777777" w:rsidR="00AB12D2" w:rsidRPr="007121B3" w:rsidRDefault="00AB12D2" w:rsidP="007121B3">
            <w:pPr>
              <w:pStyle w:val="Tabletext1"/>
              <w:ind w:left="0"/>
              <w:rPr>
                <w:b/>
                <w:noProof/>
              </w:rPr>
            </w:pPr>
            <w:r w:rsidRPr="007121B3">
              <w:rPr>
                <w:b/>
                <w:noProof/>
              </w:rPr>
              <w:t>Base case</w:t>
            </w:r>
          </w:p>
        </w:tc>
        <w:tc>
          <w:tcPr>
            <w:tcW w:w="3345" w:type="dxa"/>
            <w:shd w:val="clear" w:color="auto" w:fill="D9D9D9" w:themeFill="background1" w:themeFillShade="D9"/>
            <w:noWrap/>
            <w:vAlign w:val="center"/>
            <w:hideMark/>
          </w:tcPr>
          <w:p w14:paraId="20F6DA7F" w14:textId="77777777" w:rsidR="00AB12D2" w:rsidRPr="007121B3" w:rsidRDefault="00AB12D2" w:rsidP="007121B3">
            <w:pPr>
              <w:pStyle w:val="Tabletext1"/>
              <w:ind w:left="0"/>
              <w:rPr>
                <w:b/>
                <w:noProof/>
              </w:rPr>
            </w:pPr>
            <w:r w:rsidRPr="007121B3">
              <w:rPr>
                <w:b/>
                <w:noProof/>
              </w:rPr>
              <w:t>Reference</w:t>
            </w:r>
          </w:p>
        </w:tc>
      </w:tr>
      <w:tr w:rsidR="00AB12D2" w:rsidRPr="00BC4A30" w14:paraId="73EB9088" w14:textId="77777777" w:rsidTr="00AB12D2">
        <w:trPr>
          <w:trHeight w:val="250"/>
        </w:trPr>
        <w:tc>
          <w:tcPr>
            <w:tcW w:w="3544" w:type="dxa"/>
            <w:noWrap/>
          </w:tcPr>
          <w:p w14:paraId="75DC676A" w14:textId="77777777" w:rsidR="00AB12D2" w:rsidRPr="00BC4A30" w:rsidRDefault="00AB12D2" w:rsidP="007121B3">
            <w:pPr>
              <w:pStyle w:val="Tabletext1"/>
              <w:ind w:left="0"/>
              <w:rPr>
                <w:noProof/>
              </w:rPr>
            </w:pPr>
            <w:r w:rsidRPr="00BC4A30">
              <w:rPr>
                <w:noProof/>
              </w:rPr>
              <w:t xml:space="preserve">Proportion of patients experiencing </w:t>
            </w:r>
            <w:r w:rsidR="008C1626" w:rsidRPr="00BC4A30">
              <w:rPr>
                <w:noProof/>
              </w:rPr>
              <w:t>p</w:t>
            </w:r>
            <w:r w:rsidRPr="00BC4A30">
              <w:rPr>
                <w:noProof/>
              </w:rPr>
              <w:t>neumothorax</w:t>
            </w:r>
          </w:p>
        </w:tc>
        <w:tc>
          <w:tcPr>
            <w:tcW w:w="2126" w:type="dxa"/>
            <w:noWrap/>
          </w:tcPr>
          <w:p w14:paraId="23784864" w14:textId="77777777" w:rsidR="00AB12D2" w:rsidRPr="00BC4A30" w:rsidRDefault="00AB12D2" w:rsidP="007121B3">
            <w:pPr>
              <w:pStyle w:val="Tabletext1"/>
              <w:ind w:left="0"/>
              <w:rPr>
                <w:noProof/>
              </w:rPr>
            </w:pPr>
            <w:r w:rsidRPr="00BC4A30">
              <w:rPr>
                <w:noProof/>
              </w:rPr>
              <w:t>32%, with 30% being severe enough to warrant chest drainage</w:t>
            </w:r>
          </w:p>
        </w:tc>
        <w:tc>
          <w:tcPr>
            <w:tcW w:w="3345" w:type="dxa"/>
            <w:noWrap/>
          </w:tcPr>
          <w:p w14:paraId="587DF9F8" w14:textId="32370AB3" w:rsidR="00AB12D2" w:rsidRPr="00BC4A30" w:rsidRDefault="00AB12D2" w:rsidP="00422928">
            <w:pPr>
              <w:pStyle w:val="Tabletext1"/>
              <w:ind w:left="0"/>
              <w:rPr>
                <w:noProof/>
              </w:rPr>
            </w:pPr>
            <w:r w:rsidRPr="00BC4A30">
              <w:rPr>
                <w:noProof/>
              </w:rPr>
              <w:t xml:space="preserve">Han et al (2015), Liu &amp; Steinke and Yang et al (2014) for </w:t>
            </w:r>
            <w:r w:rsidR="00422928">
              <w:rPr>
                <w:noProof/>
              </w:rPr>
              <w:t>p</w:t>
            </w:r>
            <w:r w:rsidRPr="00BC4A30">
              <w:rPr>
                <w:noProof/>
              </w:rPr>
              <w:t>opulation 1, Qi et al (2015) an</w:t>
            </w:r>
            <w:r w:rsidR="00422928">
              <w:rPr>
                <w:noProof/>
              </w:rPr>
              <w:t>d Vogl et al (2015) for p</w:t>
            </w:r>
            <w:r w:rsidRPr="00BC4A30">
              <w:rPr>
                <w:noProof/>
              </w:rPr>
              <w:t xml:space="preserve">opulation 2 and Sun et al (2015), Wei et al (2015) and Ni et al (2015) for </w:t>
            </w:r>
            <w:r w:rsidR="00422928">
              <w:rPr>
                <w:noProof/>
              </w:rPr>
              <w:t>p</w:t>
            </w:r>
            <w:r w:rsidRPr="00BC4A30">
              <w:rPr>
                <w:noProof/>
              </w:rPr>
              <w:t xml:space="preserve">opulation 3. </w:t>
            </w:r>
          </w:p>
        </w:tc>
      </w:tr>
    </w:tbl>
    <w:p w14:paraId="47F43F29" w14:textId="204AB372" w:rsidR="00AB12D2" w:rsidRPr="00BC4A30" w:rsidRDefault="00AB12D2" w:rsidP="007121B3">
      <w:pPr>
        <w:spacing w:before="500" w:after="100" w:afterAutospacing="1"/>
      </w:pPr>
      <w:r w:rsidRPr="00BC4A30">
        <w:t xml:space="preserve">A number of other adverse events were observed across included </w:t>
      </w:r>
      <w:r w:rsidR="00CA6DFD" w:rsidRPr="00BC4A30">
        <w:t>studies;</w:t>
      </w:r>
      <w:r w:rsidRPr="00BC4A30">
        <w:t xml:space="preserve"> however, they are less comprehensively reported when compared to </w:t>
      </w:r>
      <w:r w:rsidR="008C1626" w:rsidRPr="00BC4A30">
        <w:t>p</w:t>
      </w:r>
      <w:r w:rsidRPr="00BC4A30">
        <w:t xml:space="preserve">neumothorax. For </w:t>
      </w:r>
      <w:r w:rsidR="00CA6DFD" w:rsidRPr="00BC4A30">
        <w:t>haemoptysis</w:t>
      </w:r>
      <w:r w:rsidRPr="00BC4A30">
        <w:t xml:space="preserve"> the median was 6.2</w:t>
      </w:r>
      <w:r w:rsidR="00DB7D52" w:rsidRPr="00BC4A30">
        <w:t xml:space="preserve"> per cent</w:t>
      </w:r>
      <w:r w:rsidRPr="00BC4A30">
        <w:t xml:space="preserve"> (0</w:t>
      </w:r>
      <w:r w:rsidR="00422928">
        <w:t>–</w:t>
      </w:r>
      <w:r w:rsidRPr="00BC4A30">
        <w:t>31.9%), reported by nine studies. Skin burns was 2.2</w:t>
      </w:r>
      <w:r w:rsidR="00DB7D52" w:rsidRPr="00BC4A30">
        <w:t xml:space="preserve"> per cent</w:t>
      </w:r>
      <w:r w:rsidRPr="00BC4A30">
        <w:t xml:space="preserve"> (0</w:t>
      </w:r>
      <w:r w:rsidR="00422928">
        <w:t>–</w:t>
      </w:r>
      <w:r w:rsidRPr="00BC4A30">
        <w:t>8.3%), reported by six studies. Broncho</w:t>
      </w:r>
      <w:r w:rsidR="00FB5F4A" w:rsidRPr="00BC4A30">
        <w:t>-</w:t>
      </w:r>
      <w:r w:rsidRPr="00BC4A30">
        <w:t>pleural fistula was 1.8</w:t>
      </w:r>
      <w:r w:rsidR="00DB7D52" w:rsidRPr="00BC4A30">
        <w:t xml:space="preserve"> per cent</w:t>
      </w:r>
      <w:r w:rsidRPr="00BC4A30">
        <w:t xml:space="preserve"> (0.5</w:t>
      </w:r>
      <w:r w:rsidR="00422928">
        <w:t>–</w:t>
      </w:r>
      <w:r w:rsidRPr="00BC4A30">
        <w:t>2.6%), reported in four studies. Post ablation syndrome was 6.9</w:t>
      </w:r>
      <w:r w:rsidR="00DB7D52" w:rsidRPr="00BC4A30">
        <w:t xml:space="preserve"> per cent</w:t>
      </w:r>
      <w:r w:rsidRPr="00BC4A30">
        <w:t xml:space="preserve"> (0</w:t>
      </w:r>
      <w:r w:rsidR="00422928">
        <w:t>–</w:t>
      </w:r>
      <w:r w:rsidRPr="00BC4A30">
        <w:t>35.9%) reported by six studies. Subcutaneous emphysema was 17.4</w:t>
      </w:r>
      <w:r w:rsidR="00DB7D52" w:rsidRPr="00BC4A30">
        <w:t xml:space="preserve"> per cent</w:t>
      </w:r>
      <w:r w:rsidRPr="00BC4A30">
        <w:t xml:space="preserve"> (3.6</w:t>
      </w:r>
      <w:r w:rsidR="00422928">
        <w:t>–</w:t>
      </w:r>
      <w:r w:rsidRPr="00BC4A30">
        <w:t>29.8%), reported by three studies. Pleural effusion was 11.2</w:t>
      </w:r>
      <w:r w:rsidR="00DB7D52" w:rsidRPr="00BC4A30">
        <w:t xml:space="preserve"> per cent</w:t>
      </w:r>
      <w:r w:rsidRPr="00BC4A30">
        <w:t xml:space="preserve"> (0</w:t>
      </w:r>
      <w:r w:rsidR="00422928">
        <w:t>–</w:t>
      </w:r>
      <w:r w:rsidRPr="00BC4A30">
        <w:t>34%) reported by ten studies. And, pneumonia was 4</w:t>
      </w:r>
      <w:r w:rsidR="00DB7D52" w:rsidRPr="00BC4A30">
        <w:t xml:space="preserve"> per cent</w:t>
      </w:r>
      <w:r w:rsidRPr="00BC4A30">
        <w:t xml:space="preserve"> (2.8</w:t>
      </w:r>
      <w:r w:rsidR="00422928">
        <w:t>–</w:t>
      </w:r>
      <w:r w:rsidRPr="00BC4A30">
        <w:t xml:space="preserve">14.9%), reported by four studies. </w:t>
      </w:r>
    </w:p>
    <w:p w14:paraId="0027E004" w14:textId="6CD1A9D8" w:rsidR="00AB12D2" w:rsidRPr="00BC4A30" w:rsidRDefault="00AB12D2" w:rsidP="00AB12D2">
      <w:r w:rsidRPr="00BC4A30">
        <w:t xml:space="preserve">Two reports of adverse events related to the device itself, one being </w:t>
      </w:r>
      <w:r w:rsidR="005D7223">
        <w:t>c</w:t>
      </w:r>
      <w:r w:rsidRPr="00BC4A30">
        <w:t xml:space="preserve">eramic coating of microwave antennae being lost in the pleural space: 1/16 </w:t>
      </w:r>
      <w:r w:rsidR="00422928">
        <w:t>(6.3%) and the other was needle-</w:t>
      </w:r>
      <w:r w:rsidRPr="00BC4A30">
        <w:t xml:space="preserve">tip fracture: 1/23 (4.3%) where the needle tip was left in the lesion which had been ablated. Drawing conclusions about the prevalence of these technical events is difficult as just because studies did not report them occurring may not mean they did not due to a lack of systematic recording of adverse events. As the occurrence of </w:t>
      </w:r>
      <w:r w:rsidR="008C1626" w:rsidRPr="00BC4A30">
        <w:t>p</w:t>
      </w:r>
      <w:r w:rsidRPr="00BC4A30">
        <w:t>neumothorax is the most comprehensively reported, this event is included in the financial assessment and cost minimisation analyses.</w:t>
      </w:r>
    </w:p>
    <w:p w14:paraId="14C99DF2" w14:textId="77777777" w:rsidR="00A56EE2" w:rsidRPr="00BC4A30" w:rsidRDefault="00A56EE2" w:rsidP="00AE5948">
      <w:pPr>
        <w:pStyle w:val="Heading2"/>
        <w:numPr>
          <w:ilvl w:val="4"/>
          <w:numId w:val="9"/>
        </w:numPr>
        <w:ind w:left="567" w:hanging="567"/>
      </w:pPr>
      <w:bookmarkStart w:id="424" w:name="_Toc214091270"/>
      <w:bookmarkStart w:id="425" w:name="_Toc341796094"/>
      <w:bookmarkStart w:id="426" w:name="_Toc460396090"/>
      <w:bookmarkStart w:id="427" w:name="_Toc379118300"/>
      <w:bookmarkStart w:id="428" w:name="_Toc381796483"/>
      <w:bookmarkStart w:id="429" w:name="_Toc379118089"/>
      <w:bookmarkEnd w:id="416"/>
      <w:r w:rsidRPr="00BC4A30">
        <w:lastRenderedPageBreak/>
        <w:t xml:space="preserve">Use and Costs of </w:t>
      </w:r>
      <w:bookmarkEnd w:id="424"/>
      <w:bookmarkEnd w:id="425"/>
      <w:r w:rsidR="0048754D" w:rsidRPr="00BC4A30">
        <w:t>MTA</w:t>
      </w:r>
      <w:bookmarkEnd w:id="426"/>
    </w:p>
    <w:p w14:paraId="15BD1201" w14:textId="732287EF" w:rsidR="00AB12D2" w:rsidRPr="00BC4A30" w:rsidRDefault="00AB12D2" w:rsidP="00AB12D2">
      <w:pPr>
        <w:rPr>
          <w:rFonts w:asciiTheme="minorHAnsi" w:hAnsiTheme="minorHAnsi"/>
        </w:rPr>
      </w:pPr>
      <w:r w:rsidRPr="00BC4A30">
        <w:rPr>
          <w:rFonts w:asciiTheme="minorHAnsi" w:hAnsiTheme="minorHAnsi"/>
        </w:rPr>
        <w:t xml:space="preserve">The current and future population with lung cancer has been estimated using a combination of statistics from the AIHW and the general literature. </w:t>
      </w:r>
      <w:r w:rsidR="0005236D">
        <w:rPr>
          <w:rFonts w:asciiTheme="minorHAnsi" w:hAnsiTheme="minorHAnsi"/>
        </w:rPr>
        <w:fldChar w:fldCharType="begin"/>
      </w:r>
      <w:r w:rsidR="0005236D">
        <w:rPr>
          <w:rFonts w:asciiTheme="minorHAnsi" w:hAnsiTheme="minorHAnsi"/>
        </w:rPr>
        <w:instrText xml:space="preserve"> REF _Ref457412131 \h </w:instrText>
      </w:r>
      <w:r w:rsidR="0005236D">
        <w:rPr>
          <w:rFonts w:asciiTheme="minorHAnsi" w:hAnsiTheme="minorHAnsi"/>
        </w:rPr>
      </w:r>
      <w:r w:rsidR="0005236D">
        <w:rPr>
          <w:rFonts w:asciiTheme="minorHAnsi" w:hAnsiTheme="minorHAnsi"/>
        </w:rPr>
        <w:fldChar w:fldCharType="separate"/>
      </w:r>
      <w:r w:rsidR="00D170A5" w:rsidRPr="00BC4A30">
        <w:t xml:space="preserve">Table </w:t>
      </w:r>
      <w:r w:rsidR="00D170A5">
        <w:rPr>
          <w:noProof/>
        </w:rPr>
        <w:t>79</w:t>
      </w:r>
      <w:r w:rsidR="0005236D">
        <w:rPr>
          <w:rFonts w:asciiTheme="minorHAnsi" w:hAnsiTheme="minorHAnsi"/>
        </w:rPr>
        <w:fldChar w:fldCharType="end"/>
      </w:r>
      <w:r w:rsidR="0005236D">
        <w:rPr>
          <w:rFonts w:asciiTheme="minorHAnsi" w:hAnsiTheme="minorHAnsi"/>
        </w:rPr>
        <w:t xml:space="preserve"> </w:t>
      </w:r>
      <w:r w:rsidRPr="00BC4A30">
        <w:rPr>
          <w:rFonts w:asciiTheme="minorHAnsi" w:hAnsiTheme="minorHAnsi"/>
        </w:rPr>
        <w:t xml:space="preserve">summarises the current and future population estimates. </w:t>
      </w:r>
    </w:p>
    <w:p w14:paraId="11685DFB" w14:textId="616147F9" w:rsidR="00AB12D2" w:rsidRPr="00C17697" w:rsidRDefault="00422928" w:rsidP="003F6C66">
      <w:pPr>
        <w:pStyle w:val="Heading3"/>
        <w:rPr>
          <w:noProof/>
        </w:rPr>
      </w:pPr>
      <w:r w:rsidRPr="00C17697">
        <w:rPr>
          <w:noProof/>
        </w:rPr>
        <w:t>Prevalence of p</w:t>
      </w:r>
      <w:r w:rsidR="00AB12D2" w:rsidRPr="00C17697">
        <w:rPr>
          <w:noProof/>
        </w:rPr>
        <w:t xml:space="preserve">rimary and </w:t>
      </w:r>
      <w:r w:rsidRPr="00C17697">
        <w:rPr>
          <w:noProof/>
        </w:rPr>
        <w:t>secondary lung c</w:t>
      </w:r>
      <w:r w:rsidR="00AB12D2" w:rsidRPr="00C17697">
        <w:rPr>
          <w:noProof/>
        </w:rPr>
        <w:t>ancer</w:t>
      </w:r>
    </w:p>
    <w:p w14:paraId="6BEA12E5" w14:textId="1D0804FC" w:rsidR="00AB12D2" w:rsidRDefault="00DE31F3" w:rsidP="00AB12D2">
      <w:pPr>
        <w:rPr>
          <w:rFonts w:asciiTheme="minorHAnsi" w:hAnsiTheme="minorHAnsi"/>
          <w:noProof/>
        </w:rPr>
      </w:pPr>
      <w:r>
        <w:rPr>
          <w:rFonts w:asciiTheme="minorHAnsi" w:hAnsiTheme="minorHAnsi"/>
          <w:noProof/>
        </w:rPr>
        <w:t xml:space="preserve">The </w:t>
      </w:r>
      <w:r w:rsidR="00AB12D2" w:rsidRPr="00BC4A30">
        <w:rPr>
          <w:rFonts w:asciiTheme="minorHAnsi" w:hAnsiTheme="minorHAnsi"/>
          <w:noProof/>
        </w:rPr>
        <w:t xml:space="preserve">AIHW </w:t>
      </w:r>
      <w:r w:rsidR="008E3569">
        <w:rPr>
          <w:rFonts w:asciiTheme="minorHAnsi" w:hAnsiTheme="minorHAnsi"/>
          <w:noProof/>
        </w:rPr>
        <w:fldChar w:fldCharType="begin"/>
      </w:r>
      <w:r w:rsidR="008E3569">
        <w:rPr>
          <w:rFonts w:asciiTheme="minorHAnsi" w:hAnsiTheme="minorHAnsi"/>
          <w:noProof/>
        </w:rPr>
        <w:instrText xml:space="preserve"> ADDIN EN.CITE &lt;EndNote&gt;&lt;Cite ExcludeAuth="1"&gt;&lt;Author&gt;Australian Institute of Health and Welfare (AIHW)&lt;/Author&gt;&lt;Year&gt;2016&lt;/Year&gt;&lt;RecNum&gt;266&lt;/RecNum&gt;&lt;DisplayText&gt;(2016)&lt;/DisplayText&gt;&lt;record&gt;&lt;rec-number&gt;266&lt;/rec-number&gt;&lt;foreign-keys&gt;&lt;key app="EN" db-id="05ssdaw2cf0zvye5xvo5z9ww0xdpfstrdtew" timestamp="1472537808"&gt;266&lt;/key&gt;&lt;/foreign-keys&gt;&lt;ref-type name="Web Page"&gt;12&lt;/ref-type&gt;&lt;contributors&gt;&lt;authors&gt;&lt;author&gt;Australian Institute of Health and Welfare (AIHW),&lt;/author&gt;&lt;/authors&gt;&lt;/contributors&gt;&lt;titles&gt;&lt;title&gt;Australian Cancer Incidence and Mortality (ACIM) books: Lung cancer.&lt;/title&gt;&lt;/titles&gt;&lt;volume&gt;2016&lt;/volume&gt;&lt;number&gt;30 August&lt;/number&gt;&lt;dates&gt;&lt;year&gt;2016&lt;/year&gt;&lt;pub-dates&gt;&lt;date&gt;29 January 2016&lt;/date&gt;&lt;/pub-dates&gt;&lt;/dates&gt;&lt;urls&gt;&lt;related-urls&gt;&lt;url&gt;http://www.aihw.gov.au/acim-books/&lt;/url&gt;&lt;/related-urls&gt;&lt;/urls&gt;&lt;/record&gt;&lt;/Cite&gt;&lt;/EndNote&gt;</w:instrText>
      </w:r>
      <w:r w:rsidR="008E3569">
        <w:rPr>
          <w:rFonts w:asciiTheme="minorHAnsi" w:hAnsiTheme="minorHAnsi"/>
          <w:noProof/>
        </w:rPr>
        <w:fldChar w:fldCharType="separate"/>
      </w:r>
      <w:r w:rsidR="008E3569">
        <w:rPr>
          <w:rFonts w:asciiTheme="minorHAnsi" w:hAnsiTheme="minorHAnsi"/>
          <w:noProof/>
        </w:rPr>
        <w:t>(</w:t>
      </w:r>
      <w:hyperlink w:anchor="_ENREF_15" w:tooltip="Australian Institute of Health and Welfare (AIHW), 2016 #266" w:history="1">
        <w:r w:rsidR="00320458">
          <w:rPr>
            <w:rFonts w:asciiTheme="minorHAnsi" w:hAnsiTheme="minorHAnsi"/>
            <w:noProof/>
          </w:rPr>
          <w:t>2016</w:t>
        </w:r>
      </w:hyperlink>
      <w:r w:rsidR="008E3569">
        <w:rPr>
          <w:rFonts w:asciiTheme="minorHAnsi" w:hAnsiTheme="minorHAnsi"/>
          <w:noProof/>
        </w:rPr>
        <w:t>)</w:t>
      </w:r>
      <w:r w:rsidR="008E3569">
        <w:rPr>
          <w:rFonts w:asciiTheme="minorHAnsi" w:hAnsiTheme="minorHAnsi"/>
          <w:noProof/>
        </w:rPr>
        <w:fldChar w:fldCharType="end"/>
      </w:r>
      <w:r w:rsidR="008E3569">
        <w:rPr>
          <w:rFonts w:asciiTheme="minorHAnsi" w:hAnsiTheme="minorHAnsi"/>
          <w:noProof/>
        </w:rPr>
        <w:t xml:space="preserve"> </w:t>
      </w:r>
      <w:r w:rsidR="00AB12D2" w:rsidRPr="00BC4A30">
        <w:rPr>
          <w:rFonts w:asciiTheme="minorHAnsi" w:hAnsiTheme="minorHAnsi"/>
          <w:noProof/>
        </w:rPr>
        <w:t>reported that the number of new lung cancers diagnosed each year increased from 4,692 in 1982 to 6,462 males in 2012, however, a greater relative increase was observed in females from 1,261 to 4,464 over the same period</w:t>
      </w:r>
      <w:r w:rsidR="00427ECD">
        <w:rPr>
          <w:rFonts w:asciiTheme="minorHAnsi" w:hAnsiTheme="minorHAnsi"/>
          <w:noProof/>
        </w:rPr>
        <w:t xml:space="preserve"> (</w:t>
      </w:r>
      <w:r w:rsidR="00427ECD">
        <w:rPr>
          <w:rFonts w:asciiTheme="minorHAnsi" w:hAnsiTheme="minorHAnsi"/>
          <w:noProof/>
        </w:rPr>
        <w:fldChar w:fldCharType="begin"/>
      </w:r>
      <w:r w:rsidR="00427ECD">
        <w:rPr>
          <w:rFonts w:asciiTheme="minorHAnsi" w:hAnsiTheme="minorHAnsi"/>
          <w:noProof/>
        </w:rPr>
        <w:instrText xml:space="preserve"> REF _Ref460489373 \h </w:instrText>
      </w:r>
      <w:r w:rsidR="00427ECD">
        <w:rPr>
          <w:rFonts w:asciiTheme="minorHAnsi" w:hAnsiTheme="minorHAnsi"/>
          <w:noProof/>
        </w:rPr>
      </w:r>
      <w:r w:rsidR="00427ECD">
        <w:rPr>
          <w:rFonts w:asciiTheme="minorHAnsi" w:hAnsiTheme="minorHAnsi"/>
          <w:noProof/>
        </w:rPr>
        <w:fldChar w:fldCharType="separate"/>
      </w:r>
      <w:r w:rsidR="00D170A5" w:rsidRPr="006746EF">
        <w:t xml:space="preserve">Figure </w:t>
      </w:r>
      <w:r w:rsidR="00D170A5">
        <w:rPr>
          <w:noProof/>
        </w:rPr>
        <w:t>13</w:t>
      </w:r>
      <w:r w:rsidR="00427ECD">
        <w:rPr>
          <w:rFonts w:asciiTheme="minorHAnsi" w:hAnsiTheme="minorHAnsi"/>
          <w:noProof/>
        </w:rPr>
        <w:fldChar w:fldCharType="end"/>
      </w:r>
      <w:r w:rsidR="00427ECD">
        <w:rPr>
          <w:rFonts w:asciiTheme="minorHAnsi" w:hAnsiTheme="minorHAnsi"/>
          <w:noProof/>
        </w:rPr>
        <w:t>)</w:t>
      </w:r>
      <w:r w:rsidR="00AB12D2" w:rsidRPr="00BC4A30">
        <w:rPr>
          <w:rFonts w:asciiTheme="minorHAnsi" w:hAnsiTheme="minorHAnsi"/>
          <w:noProof/>
        </w:rPr>
        <w:t>. Age-standardised incidence rates have decreased for males by 32</w:t>
      </w:r>
      <w:r w:rsidR="00DB7D52" w:rsidRPr="00BC4A30">
        <w:rPr>
          <w:rFonts w:asciiTheme="minorHAnsi" w:hAnsiTheme="minorHAnsi"/>
          <w:noProof/>
        </w:rPr>
        <w:t xml:space="preserve"> per cent</w:t>
      </w:r>
      <w:r w:rsidR="00AB12D2" w:rsidRPr="00BC4A30">
        <w:rPr>
          <w:rFonts w:asciiTheme="minorHAnsi" w:hAnsiTheme="minorHAnsi"/>
          <w:noProof/>
        </w:rPr>
        <w:t xml:space="preserve"> (from 85 to 58 per 100,000) between 1982 and 2012, but increased in females by 83</w:t>
      </w:r>
      <w:r w:rsidR="00DB7D52" w:rsidRPr="00BC4A30">
        <w:rPr>
          <w:rFonts w:asciiTheme="minorHAnsi" w:hAnsiTheme="minorHAnsi"/>
          <w:noProof/>
        </w:rPr>
        <w:t xml:space="preserve"> per cent</w:t>
      </w:r>
      <w:r w:rsidR="00AB12D2" w:rsidRPr="00BC4A30">
        <w:rPr>
          <w:rFonts w:asciiTheme="minorHAnsi" w:hAnsiTheme="minorHAnsi"/>
          <w:noProof/>
        </w:rPr>
        <w:t xml:space="preserve"> (from 18 to 33 per 100,000). Differences in time series incidence rates between males and females reflects the earlier decline in smoking rates among men.</w:t>
      </w:r>
    </w:p>
    <w:p w14:paraId="628AF1C6" w14:textId="77777777" w:rsidR="00427ECD" w:rsidRDefault="00427ECD" w:rsidP="00427ECD">
      <w:pPr>
        <w:pStyle w:val="Caption"/>
        <w:spacing w:before="0" w:after="0"/>
      </w:pPr>
      <w:bookmarkStart w:id="430" w:name="_Ref460427145"/>
      <w:r w:rsidRPr="00BC4A30">
        <w:rPr>
          <w:noProof/>
        </w:rPr>
        <w:drawing>
          <wp:inline distT="0" distB="0" distL="0" distR="0" wp14:anchorId="10B163F1" wp14:editId="686D36E9">
            <wp:extent cx="5417389" cy="2656936"/>
            <wp:effectExtent l="0" t="0" r="0" b="0"/>
            <wp:docPr id="2" name="Chart 2" descr="Incidence of lung cancer in Australia" title="Figure E.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76A364A" w14:textId="114960E2" w:rsidR="00427ECD" w:rsidRDefault="00427ECD" w:rsidP="00427ECD">
      <w:pPr>
        <w:pStyle w:val="Caption"/>
        <w:spacing w:before="0" w:after="0"/>
      </w:pPr>
      <w:bookmarkStart w:id="431" w:name="_Ref460489373"/>
      <w:bookmarkStart w:id="432" w:name="_Toc460515069"/>
      <w:r w:rsidRPr="006746EF">
        <w:t xml:space="preserve">Figure </w:t>
      </w:r>
      <w:fldSimple w:instr=" SEQ Figure \* ARABIC ">
        <w:r w:rsidR="00D170A5">
          <w:rPr>
            <w:noProof/>
          </w:rPr>
          <w:t>13</w:t>
        </w:r>
      </w:fldSimple>
      <w:bookmarkEnd w:id="430"/>
      <w:bookmarkEnd w:id="431"/>
      <w:r w:rsidRPr="006746EF">
        <w:tab/>
        <w:t>Incidence of Lung Cancer, Australia 1982</w:t>
      </w:r>
      <w:r w:rsidR="00D35E9C" w:rsidRPr="00D35E9C">
        <w:t>–</w:t>
      </w:r>
      <w:r w:rsidRPr="006746EF">
        <w:t>2012</w:t>
      </w:r>
      <w:r>
        <w:t xml:space="preserve"> (AIHW 2016)</w:t>
      </w:r>
      <w:bookmarkEnd w:id="432"/>
    </w:p>
    <w:p w14:paraId="0DE3CDBE" w14:textId="64AFC6C2" w:rsidR="009D57FD" w:rsidRPr="00BC4A30" w:rsidRDefault="00DE31F3" w:rsidP="009D57FD">
      <w:r>
        <w:t xml:space="preserve">The </w:t>
      </w:r>
      <w:r w:rsidR="00AB12D2" w:rsidRPr="00BC4A30">
        <w:t>AIHW (2016) projected 12,203 new lung cancer cases in 2016 based on an age-standardised incidence rate of 43 cases per 100,000 persons (54 for males and 34 for females). This translates into 7,130 and 5,073 male and female incident cases on lung cancer in this year. Average annual rates of increase for males and females between 2000 and 2016 from AIHW (2016) have been used to project for the next five years in the base financial projections.</w:t>
      </w:r>
      <w:r w:rsidR="009D57FD" w:rsidRPr="009D57FD">
        <w:t xml:space="preserve"> </w:t>
      </w:r>
      <w:r w:rsidR="009D57FD" w:rsidRPr="00BC4A30">
        <w:t xml:space="preserve">The proportion of lung cancers specified as small cell carcinoma was 11 per cent for males and 13 per cent for females in 2007, with other carcinoma and unspecified malignant neoplasm accounting for 25 per cent of lung cancers in males and 26 per cent in females (AIHW, 2011). Barton et al (2013) assumed a proportion of 15 per cent of incident lung cancer in Australia as being small cell carcinoma when determining radiotherapy demand. This proportion is included in base financial projections in this assessment. Non-small cell incidence is assumed to be 85 per cent of national incidence, which includes other </w:t>
      </w:r>
      <w:r w:rsidR="009D57FD" w:rsidRPr="00BC4A30">
        <w:lastRenderedPageBreak/>
        <w:t>carcinoma and unspecified malignant neoplasm. A lower bound sensitivity assumption of 63 per cent incident lung cancer which excludes other carcinoma and unspecified malignant neoplasm is provided in the concluding part of this section.</w:t>
      </w:r>
    </w:p>
    <w:p w14:paraId="7CB1AC7E" w14:textId="77777777" w:rsidR="00AB12D2" w:rsidRPr="00BC4A30" w:rsidRDefault="00AB12D2" w:rsidP="003D2FEE">
      <w:r w:rsidRPr="00BC4A30">
        <w:rPr>
          <w:rFonts w:asciiTheme="minorHAnsi" w:hAnsiTheme="minorHAnsi"/>
        </w:rPr>
        <w:t>Data from New South Wales (Vinod et al 2004) collected between 1995 and 2004, suggests that 29.6 per cent of staged lung cancers are localised.  A retrospective survey of lung cancer reported in the Victorian Cancer Registry from 1 January to 30 June 2003, and followed up for 5 years, recorded that 35.4</w:t>
      </w:r>
      <w:r w:rsidR="00DB7D52" w:rsidRPr="00BC4A30">
        <w:rPr>
          <w:rFonts w:asciiTheme="minorHAnsi" w:hAnsiTheme="minorHAnsi"/>
        </w:rPr>
        <w:t xml:space="preserve"> per cent</w:t>
      </w:r>
      <w:r w:rsidRPr="00BC4A30">
        <w:rPr>
          <w:rFonts w:asciiTheme="minorHAnsi" w:hAnsiTheme="minorHAnsi"/>
        </w:rPr>
        <w:t xml:space="preserve"> of NSCLC were </w:t>
      </w:r>
      <w:r w:rsidR="001479DE" w:rsidRPr="00BC4A30">
        <w:rPr>
          <w:rFonts w:asciiTheme="minorHAnsi" w:hAnsiTheme="minorHAnsi"/>
        </w:rPr>
        <w:t>s</w:t>
      </w:r>
      <w:r w:rsidRPr="00BC4A30">
        <w:rPr>
          <w:rFonts w:asciiTheme="minorHAnsi" w:hAnsiTheme="minorHAnsi"/>
        </w:rPr>
        <w:t xml:space="preserve">tage I, IA and IB cases (Mitchell 2013). This is higher than the proportions in the USA, where between </w:t>
      </w:r>
      <w:r w:rsidRPr="00BC4A30">
        <w:t>16.1 per cent of NSCLC in males and 19.6 per cent of NSCLC in females were localised at the time of diagnosis (AIHW 2011).  Barton et al (2013) assumed that around 31</w:t>
      </w:r>
      <w:r w:rsidR="00DB7D52" w:rsidRPr="00BC4A30">
        <w:t xml:space="preserve"> per cent</w:t>
      </w:r>
      <w:r w:rsidRPr="00BC4A30">
        <w:t xml:space="preserve"> of </w:t>
      </w:r>
      <w:r w:rsidRPr="00BC4A30">
        <w:rPr>
          <w:rFonts w:asciiTheme="minorHAnsi" w:hAnsiTheme="minorHAnsi"/>
        </w:rPr>
        <w:t xml:space="preserve">staged lung cancers are </w:t>
      </w:r>
      <w:r w:rsidR="009D57FD">
        <w:rPr>
          <w:rFonts w:asciiTheme="minorHAnsi" w:hAnsiTheme="minorHAnsi"/>
        </w:rPr>
        <w:t>stage I-II</w:t>
      </w:r>
      <w:r w:rsidRPr="00BC4A30">
        <w:rPr>
          <w:rFonts w:asciiTheme="minorHAnsi" w:hAnsiTheme="minorHAnsi"/>
        </w:rPr>
        <w:t xml:space="preserve"> when determining radiotherapy demand. This assumption is included in the financial assessment. </w:t>
      </w:r>
    </w:p>
    <w:p w14:paraId="47334985" w14:textId="7EC1CD25" w:rsidR="00AB12D2" w:rsidRPr="00BC4A30" w:rsidRDefault="00AB12D2" w:rsidP="00AB12D2">
      <w:r w:rsidRPr="00BC4A30">
        <w:t xml:space="preserve">Barton et </w:t>
      </w:r>
      <w:r w:rsidR="009D57FD">
        <w:t>al (2013) assumed that around 43</w:t>
      </w:r>
      <w:r w:rsidR="00DB7D52" w:rsidRPr="00BC4A30">
        <w:t xml:space="preserve"> per cent</w:t>
      </w:r>
      <w:r w:rsidRPr="00BC4A30">
        <w:t xml:space="preserve"> of early stage NSCLC would be subject to </w:t>
      </w:r>
      <w:r w:rsidR="009D57FD">
        <w:t>surgery</w:t>
      </w:r>
      <w:r w:rsidRPr="00BC4A30">
        <w:t xml:space="preserve"> when determining radiotherapy demand in Australia. This corresponds with </w:t>
      </w:r>
      <w:r w:rsidR="009D57FD">
        <w:t>surgery</w:t>
      </w:r>
      <w:r w:rsidRPr="00BC4A30">
        <w:t xml:space="preserve"> rates found by Currow et al (2014) in an extracted data set for 3040 patients from the NSW Central Cancer Registry between January 2003 and December 2007. The </w:t>
      </w:r>
      <w:r w:rsidR="009D57FD">
        <w:t xml:space="preserve">surgery </w:t>
      </w:r>
      <w:r w:rsidRPr="00BC4A30">
        <w:t>rate was estimated to be between 38</w:t>
      </w:r>
      <w:r w:rsidR="00DB7D52" w:rsidRPr="00BC4A30">
        <w:t xml:space="preserve"> per cent</w:t>
      </w:r>
      <w:r w:rsidRPr="00BC4A30">
        <w:t xml:space="preserve"> and 43</w:t>
      </w:r>
      <w:r w:rsidR="00DB7D52" w:rsidRPr="00BC4A30">
        <w:t xml:space="preserve"> per cent</w:t>
      </w:r>
      <w:r w:rsidRPr="00BC4A30">
        <w:t xml:space="preserve">, which is similar to that calculated by Barton et al (2013). </w:t>
      </w:r>
      <w:r w:rsidR="009D57FD">
        <w:t>Surgery</w:t>
      </w:r>
      <w:r w:rsidRPr="00BC4A30">
        <w:t xml:space="preserve"> rates declined with age. Rates by age </w:t>
      </w:r>
      <w:r w:rsidR="006746EF">
        <w:t>group in the NSW study were:  &lt;</w:t>
      </w:r>
      <w:r w:rsidRPr="00BC4A30">
        <w:t>60 years, 490 patients, 52.7</w:t>
      </w:r>
      <w:r w:rsidR="00DB7D52" w:rsidRPr="00BC4A30">
        <w:t xml:space="preserve"> per cent</w:t>
      </w:r>
      <w:r w:rsidRPr="00BC4A30">
        <w:t xml:space="preserve"> of cases resected, 60–69, 832 patients, 48.3</w:t>
      </w:r>
      <w:r w:rsidR="00DB7D52" w:rsidRPr="00BC4A30">
        <w:t xml:space="preserve"> per cent</w:t>
      </w:r>
      <w:r w:rsidRPr="00BC4A30">
        <w:t xml:space="preserve"> of cases resected, 70–79, 1091 patients, 37.2</w:t>
      </w:r>
      <w:r w:rsidR="00DB7D52" w:rsidRPr="00BC4A30">
        <w:t xml:space="preserve"> per cent</w:t>
      </w:r>
      <w:r w:rsidRPr="00BC4A30">
        <w:t xml:space="preserve"> of cases resected and 80 or over, 627 patients, 16.3</w:t>
      </w:r>
      <w:r w:rsidR="00DB7D52" w:rsidRPr="00BC4A30">
        <w:t xml:space="preserve"> per cent</w:t>
      </w:r>
      <w:r w:rsidRPr="00BC4A30">
        <w:t xml:space="preserve"> of cases resected </w:t>
      </w:r>
      <w:r w:rsidR="006D40A7">
        <w:fldChar w:fldCharType="begin">
          <w:fldData xml:space="preserve">PEVuZE5vdGU+PENpdGU+PEF1dGhvcj5DdXJyb3c8L0F1dGhvcj48WWVhcj4yMDE0PC9ZZWFyPjxS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</w:fldData>
        </w:fldChar>
      </w:r>
      <w:r w:rsidR="006D40A7">
        <w:instrText xml:space="preserve"> ADDIN EN.CITE </w:instrText>
      </w:r>
      <w:r w:rsidR="006D40A7">
        <w:fldChar w:fldCharType="begin">
          <w:fldData xml:space="preserve">PEVuZE5vdGU+PENpdGU+PEF1dGhvcj5DdXJyb3c8L0F1dGhvcj48WWVhcj4yMDE0PC9ZZWFyPjxS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</w:fldData>
        </w:fldChar>
      </w:r>
      <w:r w:rsidR="006D40A7">
        <w:instrText xml:space="preserve"> ADDIN EN.CITE.DATA </w:instrText>
      </w:r>
      <w:r w:rsidR="006D40A7">
        <w:fldChar w:fldCharType="end"/>
      </w:r>
      <w:r w:rsidR="006D40A7">
        <w:fldChar w:fldCharType="separate"/>
      </w:r>
      <w:r w:rsidR="006D40A7">
        <w:rPr>
          <w:noProof/>
        </w:rPr>
        <w:t>(</w:t>
      </w:r>
      <w:hyperlink w:anchor="_ENREF_34" w:tooltip="Currow, 2014 #287" w:history="1">
        <w:r w:rsidR="00320458">
          <w:rPr>
            <w:noProof/>
          </w:rPr>
          <w:t>Currow et al 2014</w:t>
        </w:r>
      </w:hyperlink>
      <w:r w:rsidR="006D40A7">
        <w:rPr>
          <w:noProof/>
        </w:rPr>
        <w:t>)</w:t>
      </w:r>
      <w:r w:rsidR="006D40A7">
        <w:fldChar w:fldCharType="end"/>
      </w:r>
      <w:r w:rsidRPr="00BC4A30">
        <w:t>.</w:t>
      </w:r>
    </w:p>
    <w:p w14:paraId="159854F3" w14:textId="2D799009" w:rsidR="00AB12D2" w:rsidRPr="00BC4A30" w:rsidRDefault="00AB12D2" w:rsidP="00AB12D2">
      <w:pPr>
        <w:rPr>
          <w:rFonts w:asciiTheme="minorHAnsi" w:hAnsiTheme="minorHAnsi"/>
        </w:rPr>
      </w:pPr>
      <w:r w:rsidRPr="00BC4A30">
        <w:t>Based on incident calcu</w:t>
      </w:r>
      <w:r w:rsidR="009D57FD">
        <w:t>lation for 2016, a total of 1833</w:t>
      </w:r>
      <w:r w:rsidRPr="00BC4A30">
        <w:t xml:space="preserve"> patients with early stage NSCLC would not be suited </w:t>
      </w:r>
      <w:r w:rsidR="009D57FD">
        <w:t xml:space="preserve">or would not elect </w:t>
      </w:r>
      <w:r w:rsidRPr="00BC4A30">
        <w:t xml:space="preserve">surgical resection. </w:t>
      </w:r>
      <w:r w:rsidRPr="00BC4A30">
        <w:rPr>
          <w:rFonts w:asciiTheme="minorHAnsi" w:hAnsiTheme="minorHAnsi"/>
        </w:rPr>
        <w:t xml:space="preserve">Barton et al (2013) specified that this patient population includes those with NSC </w:t>
      </w:r>
      <w:r w:rsidR="001479DE" w:rsidRPr="00BC4A30">
        <w:rPr>
          <w:rFonts w:asciiTheme="minorHAnsi" w:hAnsiTheme="minorHAnsi"/>
        </w:rPr>
        <w:t>s</w:t>
      </w:r>
      <w:r w:rsidRPr="00BC4A30">
        <w:rPr>
          <w:rFonts w:asciiTheme="minorHAnsi" w:hAnsiTheme="minorHAnsi"/>
        </w:rPr>
        <w:t xml:space="preserve">tage I-II showing good performance that do not undergo surgery (10% all incident lung cancer cases) and NSC </w:t>
      </w:r>
      <w:r w:rsidR="001479DE" w:rsidRPr="00BC4A30">
        <w:rPr>
          <w:rFonts w:asciiTheme="minorHAnsi" w:hAnsiTheme="minorHAnsi"/>
        </w:rPr>
        <w:t>s</w:t>
      </w:r>
      <w:r w:rsidRPr="00BC4A30">
        <w:rPr>
          <w:rFonts w:asciiTheme="minorHAnsi" w:hAnsiTheme="minorHAnsi"/>
        </w:rPr>
        <w:t xml:space="preserve">tage I-II cases with poor performance (5% </w:t>
      </w:r>
      <w:r w:rsidR="006746EF">
        <w:rPr>
          <w:rFonts w:asciiTheme="minorHAnsi" w:hAnsiTheme="minorHAnsi"/>
        </w:rPr>
        <w:t xml:space="preserve">of lung cancer </w:t>
      </w:r>
      <w:r w:rsidRPr="00BC4A30">
        <w:rPr>
          <w:rFonts w:asciiTheme="minorHAnsi" w:hAnsiTheme="minorHAnsi"/>
        </w:rPr>
        <w:t>cases). A</w:t>
      </w:r>
      <w:r w:rsidRPr="00BC4A30">
        <w:t xml:space="preserve"> proportion of these patient groups would be suitable for MTA where </w:t>
      </w:r>
      <w:r w:rsidRPr="00BC4A30">
        <w:rPr>
          <w:rFonts w:asciiTheme="minorHAnsi" w:hAnsiTheme="minorHAnsi"/>
        </w:rPr>
        <w:t xml:space="preserve">tumour size or other factors hinder surgical resectability. </w:t>
      </w:r>
    </w:p>
    <w:p w14:paraId="0FFFBBC2" w14:textId="26C1684E" w:rsidR="00AB12D2" w:rsidRPr="00BC4A30" w:rsidRDefault="00AB12D2" w:rsidP="00AB12D2">
      <w:r w:rsidRPr="00BC4A30">
        <w:t xml:space="preserve">Primary tumours in other parts of the body metastasise to the lungs as secondary malignancies. The lungs account for approximately 20 per cent of metastatic </w:t>
      </w:r>
      <w:r w:rsidRPr="007121B3">
        <w:t xml:space="preserve">disease </w:t>
      </w:r>
      <w:r w:rsidR="00E14908" w:rsidRPr="007121B3">
        <w:fldChar w:fldCharType="begin"/>
      </w:r>
      <w:r w:rsidR="00194054" w:rsidRPr="007121B3">
        <w:instrText xml:space="preserve"> ADDIN EN.CITE &lt;EndNote&gt;&lt;Cite&gt;&lt;Author&gt;Hirakata&lt;/Author&gt;&lt;Year&gt;1993&lt;/Year&gt;&lt;RecNum&gt;48&lt;/RecNum&gt;&lt;DisplayText&gt;(Hirakata et al 1993)&lt;/DisplayText&gt;&lt;record&gt;&lt;rec-number&gt;48&lt;/rec-number&gt;&lt;foreign-keys&gt;&lt;key app="EN" db-id="05ssdaw2cf0zvye5xvo5z9ww0xdpfstrdtew" timestamp="1465864259"&gt;48&lt;/key&gt;&lt;/foreign-keys&gt;&lt;ref-type name="Journal Article"&gt;17&lt;/ref-type&gt;&lt;contributors&gt;&lt;authors&gt;&lt;author&gt;Hirakata, K.&lt;/author&gt;&lt;author&gt;Nakata, H.&lt;/author&gt;&lt;author&gt;Haratake, J.&lt;/author&gt;&lt;/authors&gt;&lt;/contributors&gt;&lt;auth-address&gt;Department of Radiology, University of Occupational and Environmental Health, Kitakyushu-shi, Japan.&lt;/auth-address&gt;&lt;titles&gt;&lt;title&gt;Appearance of pulmonary metastases on high-resolution CT scans: comparison with histopathologic findings from autopsy specimens&lt;/title&gt;&lt;secondary-title&gt;AJR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roentgenology&lt;/abbr-1&gt;&lt;/alt-periodical&gt;&lt;pages&gt;37-43&lt;/pages&gt;&lt;volume&gt;161&lt;/volume&gt;&lt;number&gt;1&lt;/number&gt;&lt;edition&gt;1993/07/01&lt;/edition&gt;&lt;keywords&gt;&lt;keyword&gt;Aged&lt;/keyword&gt;&lt;keyword&gt;Aged, 80 and over&lt;/keyword&gt;&lt;keyword&gt;Female&lt;/keyword&gt;&lt;keyword&gt;Humans&lt;/keyword&gt;&lt;keyword&gt;Lung Neoplasms/pathology/*radiography/*secondary&lt;/keyword&gt;&lt;keyword&gt;Male&lt;/keyword&gt;&lt;keyword&gt;Middle Aged&lt;/keyword&gt;&lt;keyword&gt;*Tomography, X-Ray Computed&lt;/keyword&gt;&lt;/keywords&gt;&lt;dates&gt;&lt;year&gt;1993&lt;/year&gt;&lt;pub-dates&gt;&lt;date&gt;Jul&lt;/date&gt;&lt;/pub-dates&gt;&lt;/dates&gt;&lt;isbn&gt;0361-803X (Print)&amp;#xD;0361-803x&lt;/isbn&gt;&lt;accession-num&gt;8517317&lt;/accession-num&gt;&lt;urls&gt;&lt;/urls&gt;&lt;electronic-resource-num&gt;10.2214/ajr.161.1.8517317&lt;/electronic-resource-num&gt;&lt;remote-database-provider&gt;NLM&lt;/remote-database-provider&gt;&lt;language&gt;eng&lt;/language&gt;&lt;/record&gt;&lt;/Cite&gt;&lt;/EndNote&gt;</w:instrText>
      </w:r>
      <w:r w:rsidR="00E14908" w:rsidRPr="007121B3">
        <w:fldChar w:fldCharType="separate"/>
      </w:r>
      <w:r w:rsidR="00E14908" w:rsidRPr="007121B3">
        <w:rPr>
          <w:noProof/>
        </w:rPr>
        <w:t>(</w:t>
      </w:r>
      <w:hyperlink w:anchor="_ENREF_68" w:tooltip="Hirakata, 1993 #48" w:history="1">
        <w:r w:rsidR="00320458" w:rsidRPr="007121B3">
          <w:rPr>
            <w:noProof/>
          </w:rPr>
          <w:t>Hirakata et al 1993</w:t>
        </w:r>
      </w:hyperlink>
      <w:r w:rsidR="00E14908" w:rsidRPr="007121B3">
        <w:rPr>
          <w:noProof/>
        </w:rPr>
        <w:t>)</w:t>
      </w:r>
      <w:r w:rsidR="00E14908" w:rsidRPr="007121B3">
        <w:fldChar w:fldCharType="end"/>
      </w:r>
      <w:r w:rsidRPr="007121B3">
        <w:t>. In</w:t>
      </w:r>
      <w:r w:rsidRPr="00BC4A30">
        <w:t xml:space="preserve"> cases where the primary tumour is under control, the patient may be eligible for curative therapy. The applicant has suggested that </w:t>
      </w:r>
      <w:r w:rsidR="006D0335">
        <w:t>sarcomas, thyroid, renal, head and</w:t>
      </w:r>
      <w:r w:rsidRPr="00BC4A30">
        <w:t xml:space="preserve"> neck cancers tend to metastasise predominantly or exclusively to the lung. AIHW (2011) noted that there is no national requirement for collection of data on lung cancer stage so no Australia-wide data on staging of lung cancer are available. </w:t>
      </w:r>
    </w:p>
    <w:p w14:paraId="60D2ADE8" w14:textId="77777777" w:rsidR="00AB12D2" w:rsidRPr="00BC4A30" w:rsidRDefault="00AB12D2" w:rsidP="00AB12D2">
      <w:r w:rsidRPr="00BC4A30">
        <w:t xml:space="preserve">Consequently, there is considerable uncertainty about the proportion of NSCLC cases which are secondary malignancies for which the primary tumour is being controlled or those patients with </w:t>
      </w:r>
      <w:r w:rsidRPr="00BC4A30">
        <w:lastRenderedPageBreak/>
        <w:t xml:space="preserve">metastatic disease receiving palliative care. </w:t>
      </w:r>
      <w:r w:rsidR="00CA6DFD" w:rsidRPr="00BC4A30">
        <w:t>Discussions with experts indicate</w:t>
      </w:r>
      <w:r w:rsidRPr="00BC4A30">
        <w:t xml:space="preserve"> the number of eligible patients associated with this population would be less than those with primary tumours, or population </w:t>
      </w:r>
      <w:r w:rsidR="00DB7D52" w:rsidRPr="00BC4A30">
        <w:t>one</w:t>
      </w:r>
      <w:r w:rsidRPr="00BC4A30">
        <w:t xml:space="preserve"> patients in this assessment. An assumption that this population is equivalent to 10</w:t>
      </w:r>
      <w:r w:rsidR="00DB7D52" w:rsidRPr="00BC4A30">
        <w:t xml:space="preserve"> per cent</w:t>
      </w:r>
      <w:r w:rsidRPr="00BC4A30">
        <w:t xml:space="preserve"> of population</w:t>
      </w:r>
      <w:r w:rsidR="00DB7D52" w:rsidRPr="00BC4A30">
        <w:t xml:space="preserve"> one</w:t>
      </w:r>
      <w:r w:rsidRPr="00BC4A30">
        <w:t xml:space="preserve"> patient numbers estimate is included in the base case scenario. A range of assumptions about uptake in these populations are included in the sensitivity analyses to examine the impact on overall MBS costs. </w:t>
      </w:r>
    </w:p>
    <w:p w14:paraId="0D669279" w14:textId="442C63EE" w:rsidR="007121B3" w:rsidRDefault="00AB12D2" w:rsidP="00AB12D2">
      <w:r w:rsidRPr="00BC4A30">
        <w:t xml:space="preserve">For population </w:t>
      </w:r>
      <w:r w:rsidR="00DB7D52" w:rsidRPr="00BC4A30">
        <w:t>three</w:t>
      </w:r>
      <w:r w:rsidRPr="00BC4A30">
        <w:t xml:space="preserve"> patients the use of palliative radiotherapy can relieve pain and ease obstructive symptoms </w:t>
      </w:r>
      <w:r w:rsidR="00A25FBE">
        <w:fldChar w:fldCharType="begin"/>
      </w:r>
      <w:r w:rsidR="00A25FBE">
        <w:instrText xml:space="preserve"> ADDIN EN.CITE &lt;EndNote&gt;&lt;Cite&gt;&lt;Author&gt;Vinod&lt;/Author&gt;&lt;Year&gt;2013&lt;/Year&gt;&lt;RecNum&gt;282&lt;/RecNum&gt;&lt;DisplayText&gt;(Vinod 2013)&lt;/DisplayText&gt;&lt;record&gt;&lt;rec-number&gt;282&lt;/rec-number&gt;&lt;foreign-keys&gt;&lt;key app="EN" db-id="05ssdaw2cf0zvye5xvo5z9ww0xdpfstrdtew" timestamp="1472540142"&gt;282&lt;/key&gt;&lt;/foreign-keys&gt;&lt;ref-type name="Journal Article"&gt;17&lt;/ref-type&gt;&lt;contributors&gt;&lt;authors&gt;&lt;author&gt;Vinod, S., &amp;amp; Ball, D.,&lt;/author&gt;&lt;/authors&gt;&lt;/contributors&gt;&lt;titles&gt;&lt;title&gt;Radiotherapy in lung cancer &lt;/title&gt;&lt;secondary-title&gt;Lung Cancer Management&lt;/secondary-title&gt;&lt;/titles&gt;&lt;periodical&gt;&lt;full-title&gt;Lung Cancer Management&lt;/full-title&gt;&lt;/periodical&gt;&lt;pages&gt;NA&lt;/pages&gt;&lt;volume&gt;37&lt;/volume&gt;&lt;number&gt;2&lt;/number&gt;&lt;dates&gt;&lt;year&gt;2013&lt;/year&gt;&lt;/dates&gt;&lt;urls&gt;&lt;related-urls&gt;&lt;url&gt;http://cancerforum.org.au/wp-content/uploads/2015/06/CF-July-2013-Radiotherapy_in_Lung_Cancer.pdf&lt;/url&gt;&lt;/related-urls&gt;&lt;/urls&gt;&lt;/record&gt;&lt;/Cite&gt;&lt;/EndNote&gt;</w:instrText>
      </w:r>
      <w:r w:rsidR="00A25FBE">
        <w:fldChar w:fldCharType="separate"/>
      </w:r>
      <w:r w:rsidR="00A25FBE">
        <w:rPr>
          <w:noProof/>
        </w:rPr>
        <w:t>(</w:t>
      </w:r>
      <w:hyperlink w:anchor="_ENREF_164" w:tooltip="Vinod, 2013 #282" w:history="1">
        <w:r w:rsidR="00320458">
          <w:rPr>
            <w:noProof/>
          </w:rPr>
          <w:t>Vinod 2013</w:t>
        </w:r>
      </w:hyperlink>
      <w:r w:rsidR="00A25FBE">
        <w:rPr>
          <w:noProof/>
        </w:rPr>
        <w:t>)</w:t>
      </w:r>
      <w:r w:rsidR="00A25FBE">
        <w:fldChar w:fldCharType="end"/>
      </w:r>
      <w:r w:rsidR="00A25FBE">
        <w:t xml:space="preserve">. Barton et al </w:t>
      </w:r>
      <w:r w:rsidR="00A25FBE">
        <w:fldChar w:fldCharType="begin"/>
      </w:r>
      <w:r w:rsidR="006A4E2A">
        <w:instrText xml:space="preserve"> ADDIN EN.CITE &lt;EndNote&gt;&lt;Cite ExcludeAuth="1"&gt;&lt;Author&gt;Barton&lt;/Author&gt;&lt;Year&gt;2013&lt;/Year&gt;&lt;RecNum&gt;267&lt;/RecNum&gt;&lt;DisplayText&gt;(2013)&lt;/DisplayText&gt;&lt;record&gt;&lt;rec-number&gt;267&lt;/rec-number&gt;&lt;foreign-keys&gt;&lt;key app="EN" db-id="05ssdaw2cf0zvye5xvo5z9ww0xdpfstrdtew" timestamp="1472537894"&gt;267&lt;/key&gt;&lt;/foreign-keys&gt;&lt;ref-type name="Web Page"&gt;12&lt;/ref-type&gt;&lt;contributors&gt;&lt;authors&gt;&lt;author&gt;Barton, M., Jacob S., Shafig J., Wong K., Thompson S., Hanna T., Delaney G.,&lt;/author&gt;&lt;/authors&gt;&lt;/contributors&gt;&lt;titles&gt;&lt;title&gt;National &amp;amp; International Benchmarks set following study of delivery of Radiotherapy Services: ‘Review of Radiotherapy Optimal Utilisation Rates’. Collaboration for Cancer Outcomes Research and Evaluation (CCORE)&lt;/title&gt;&lt;/titles&gt;&lt;volume&gt;2016&lt;/volume&gt;&lt;number&gt;30 August&lt;/number&gt;&lt;dates&gt;&lt;year&gt;2013&lt;/year&gt;&lt;pub-dates&gt;&lt;date&gt;unknown&lt;/date&gt;&lt;/pub-dates&gt;&lt;/dates&gt;&lt;publisher&gt;Liverpool Hospital&lt;/publisher&gt;&lt;urls&gt;&lt;related-urls&gt;&lt;url&gt;www.inghaminstitute.org.au/sites/default/files/RTU%20Review%20Final%20Dec%202012%20v2%2019032013.pdf&lt;/url&gt;&lt;/related-urls&gt;&lt;/urls&gt;&lt;/record&gt;&lt;/Cite&gt;&lt;/EndNote&gt;</w:instrText>
      </w:r>
      <w:r w:rsidR="00A25FBE">
        <w:fldChar w:fldCharType="separate"/>
      </w:r>
      <w:r w:rsidR="00A25FBE">
        <w:rPr>
          <w:noProof/>
        </w:rPr>
        <w:t>(</w:t>
      </w:r>
      <w:hyperlink w:anchor="_ENREF_17" w:tooltip="Barton, 2013 #267" w:history="1">
        <w:r w:rsidR="00320458">
          <w:rPr>
            <w:noProof/>
          </w:rPr>
          <w:t>2013</w:t>
        </w:r>
      </w:hyperlink>
      <w:r w:rsidR="00A25FBE">
        <w:rPr>
          <w:noProof/>
        </w:rPr>
        <w:t>)</w:t>
      </w:r>
      <w:r w:rsidR="00A25FBE">
        <w:fldChar w:fldCharType="end"/>
      </w:r>
      <w:r w:rsidRPr="00BC4A30">
        <w:t xml:space="preserve"> estimated that around 83</w:t>
      </w:r>
      <w:r w:rsidR="00DB7D52" w:rsidRPr="00BC4A30">
        <w:t xml:space="preserve"> per cent</w:t>
      </w:r>
      <w:r w:rsidRPr="00BC4A30">
        <w:t xml:space="preserve"> of stage IV NSCLC patients would be eligible for palliative radiotherapy. The feedback from experts is that palliative radiotherapy is done relatively infrequently and not in a large number of centres. Experts indicated that the use of MTA and RFA in these populations would be limited and patients would be more likely to use systemic therapies. No patients are included for palliative treatment in the financial analyses.</w:t>
      </w:r>
    </w:p>
    <w:p w14:paraId="330DE2BB" w14:textId="2394E722" w:rsidR="00AB12D2" w:rsidRPr="00073178" w:rsidRDefault="00AB12D2" w:rsidP="003F6C66">
      <w:pPr>
        <w:pStyle w:val="Heading3"/>
        <w:rPr>
          <w:noProof/>
        </w:rPr>
      </w:pPr>
      <w:r w:rsidRPr="00073178">
        <w:rPr>
          <w:noProof/>
        </w:rPr>
        <w:t xml:space="preserve">Number of MTA of </w:t>
      </w:r>
      <w:r w:rsidR="006746EF" w:rsidRPr="00073178">
        <w:rPr>
          <w:noProof/>
        </w:rPr>
        <w:t>e</w:t>
      </w:r>
      <w:r w:rsidRPr="00073178">
        <w:rPr>
          <w:noProof/>
        </w:rPr>
        <w:t xml:space="preserve">ligible </w:t>
      </w:r>
      <w:r w:rsidR="006746EF" w:rsidRPr="00073178">
        <w:rPr>
          <w:noProof/>
        </w:rPr>
        <w:t>p</w:t>
      </w:r>
      <w:r w:rsidRPr="00073178">
        <w:rPr>
          <w:noProof/>
        </w:rPr>
        <w:t>atients</w:t>
      </w:r>
    </w:p>
    <w:p w14:paraId="37387B21" w14:textId="2362E1A9" w:rsidR="00AB12D2" w:rsidRDefault="00AB12D2" w:rsidP="00AB12D2">
      <w:r w:rsidRPr="00BC4A30">
        <w:t xml:space="preserve">MTA is primarily intended to be used in patients with early stage NSCLC who are not candidates </w:t>
      </w:r>
      <w:r w:rsidR="009D57FD">
        <w:t xml:space="preserve">(or do not elect) surgery </w:t>
      </w:r>
      <w:r w:rsidR="00DB7D52" w:rsidRPr="00BC4A30">
        <w:t xml:space="preserve">or </w:t>
      </w:r>
      <w:r w:rsidR="009D57FD">
        <w:t>those with</w:t>
      </w:r>
      <w:r w:rsidR="00DB7D52" w:rsidRPr="00BC4A30">
        <w:t xml:space="preserve"> oligo</w:t>
      </w:r>
      <w:r w:rsidRPr="00BC4A30">
        <w:t xml:space="preserve">metastatic disease (secondary malignancies in the lung). </w:t>
      </w:r>
      <w:r w:rsidR="00073178">
        <w:fldChar w:fldCharType="begin"/>
      </w:r>
      <w:r w:rsidR="00073178">
        <w:instrText xml:space="preserve"> REF _Ref460489166 \h </w:instrText>
      </w:r>
      <w:r w:rsidR="00073178">
        <w:fldChar w:fldCharType="separate"/>
      </w:r>
      <w:r w:rsidR="00D170A5">
        <w:t xml:space="preserve">Figure </w:t>
      </w:r>
      <w:r w:rsidR="00D170A5">
        <w:rPr>
          <w:noProof/>
        </w:rPr>
        <w:t>14</w:t>
      </w:r>
      <w:r w:rsidR="00073178">
        <w:fldChar w:fldCharType="end"/>
      </w:r>
      <w:r w:rsidR="00073178">
        <w:t xml:space="preserve"> </w:t>
      </w:r>
      <w:r w:rsidRPr="00BC4A30">
        <w:t>illustrates the incidence of lung cancer in Australia by sub-population of interest and follows the discussion in the previous sub-section. Around 15</w:t>
      </w:r>
      <w:r w:rsidR="00DB7D52" w:rsidRPr="00BC4A30">
        <w:t xml:space="preserve"> per cent</w:t>
      </w:r>
      <w:r w:rsidRPr="00BC4A30">
        <w:t xml:space="preserve"> of lung cancer cases, along with those diagnosed from previous years </w:t>
      </w:r>
      <w:r w:rsidR="006746EF">
        <w:t>—</w:t>
      </w:r>
      <w:r w:rsidR="00256629">
        <w:t xml:space="preserve"> that</w:t>
      </w:r>
      <w:r w:rsidRPr="00BC4A30">
        <w:t xml:space="preserve"> have not progressed </w:t>
      </w:r>
      <w:r w:rsidR="006746EF">
        <w:t>—</w:t>
      </w:r>
      <w:r w:rsidR="004A6490">
        <w:t xml:space="preserve"> </w:t>
      </w:r>
      <w:r w:rsidRPr="00BC4A30">
        <w:t xml:space="preserve">would be eligible for MTA as </w:t>
      </w:r>
      <w:r w:rsidR="00DB7D52" w:rsidRPr="00BC4A30">
        <w:t>p</w:t>
      </w:r>
      <w:r w:rsidRPr="00BC4A30">
        <w:t xml:space="preserve">opulation </w:t>
      </w:r>
      <w:r w:rsidR="00DB7D52" w:rsidRPr="00BC4A30">
        <w:t>one</w:t>
      </w:r>
      <w:r w:rsidRPr="00BC4A30">
        <w:t xml:space="preserve"> patients should resection not be an option. The number of non-incident cases contributing to this popul</w:t>
      </w:r>
      <w:r w:rsidR="006746EF">
        <w:t xml:space="preserve">ation is likely to be limited. </w:t>
      </w:r>
      <w:r w:rsidRPr="00BC4A30">
        <w:t xml:space="preserve">AIHW (2011) use ‘limited-duration prevalence’ as a prevalence measure for the number of people alive who were diagnosed with lung cancer when reporting Australian lung cancer prevalence. </w:t>
      </w:r>
    </w:p>
    <w:p w14:paraId="3804A615" w14:textId="77777777" w:rsidR="00284FD9" w:rsidRPr="00BC4A30" w:rsidRDefault="00284FD9" w:rsidP="00284FD9">
      <w:pPr>
        <w:jc w:val="center"/>
      </w:pPr>
      <w:r w:rsidRPr="00BC4A30">
        <w:rPr>
          <w:noProof/>
        </w:rPr>
        <w:drawing>
          <wp:inline distT="0" distB="0" distL="0" distR="0" wp14:anchorId="148C7FCD" wp14:editId="253116A5">
            <wp:extent cx="4934310" cy="2544793"/>
            <wp:effectExtent l="0" t="0" r="0" b="8255"/>
            <wp:docPr id="4" name="Chart 4" descr="Figure E.2.2: Incidence of lung cancer in Australia by sub-population of interest" title="Figure E.2.2: Incidence of lung cancer in Australia by sub-population of inter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645137" w14:textId="77777777" w:rsidR="00284FD9" w:rsidRDefault="00284FD9" w:rsidP="00284FD9">
      <w:pPr>
        <w:pStyle w:val="Caption"/>
      </w:pPr>
      <w:bookmarkStart w:id="433" w:name="_Ref460489166"/>
      <w:bookmarkStart w:id="434" w:name="_Toc460515070"/>
      <w:r>
        <w:t xml:space="preserve">Figure </w:t>
      </w:r>
      <w:fldSimple w:instr=" SEQ Figure \* ARABIC ">
        <w:r w:rsidR="00D170A5">
          <w:rPr>
            <w:noProof/>
          </w:rPr>
          <w:t>14</w:t>
        </w:r>
      </w:fldSimple>
      <w:bookmarkEnd w:id="433"/>
      <w:r>
        <w:tab/>
      </w:r>
      <w:r w:rsidRPr="006746EF">
        <w:t>Incidence of lung cancer in Australia by sub-population of interest</w:t>
      </w:r>
      <w:r>
        <w:t xml:space="preserve"> (</w:t>
      </w:r>
      <w:r w:rsidRPr="006746EF">
        <w:t xml:space="preserve">Barton et </w:t>
      </w:r>
      <w:r>
        <w:t>al 2013)</w:t>
      </w:r>
      <w:bookmarkEnd w:id="434"/>
    </w:p>
    <w:p w14:paraId="0CD87057" w14:textId="77777777" w:rsidR="00AB12D2" w:rsidRPr="00BC4A30" w:rsidRDefault="00AB12D2" w:rsidP="00AB12D2">
      <w:r w:rsidRPr="00BC4A30">
        <w:lastRenderedPageBreak/>
        <w:t>At the end of 2007, some 7,417 males and 5,189 females were alive who had been diagnosed with lung cancer in the previous 5 years. Based on this data, national prevalence is similar to the number of incident cases which were 5,948 in males and 3,755 in females in the same year (AIHW, 2011). This reflects low relative survival, as people diagnosed with lung cancer were 13</w:t>
      </w:r>
      <w:r w:rsidR="00DB7D52" w:rsidRPr="00BC4A30">
        <w:t xml:space="preserve"> per cent</w:t>
      </w:r>
      <w:r w:rsidRPr="00BC4A30">
        <w:t xml:space="preserve"> as likely to live 5 years after diagnosis as their counterparts in the general population, although five-year relative survival was higher in females (15%) than males (11%) </w:t>
      </w:r>
      <w:proofErr w:type="gramStart"/>
      <w:r w:rsidRPr="00BC4A30">
        <w:t>(AIHW, 2011).</w:t>
      </w:r>
      <w:proofErr w:type="gramEnd"/>
    </w:p>
    <w:p w14:paraId="665A7ACB" w14:textId="77777777" w:rsidR="00AB12D2" w:rsidRPr="00BC4A30" w:rsidRDefault="00AB12D2" w:rsidP="00AB12D2">
      <w:r w:rsidRPr="00BC4A30">
        <w:t>For the purposes of this assessment i</w:t>
      </w:r>
      <w:r w:rsidR="009D57FD">
        <w:t xml:space="preserve">t is assumed the </w:t>
      </w:r>
      <w:proofErr w:type="gramStart"/>
      <w:r w:rsidR="009D57FD">
        <w:t>equivalent of 57</w:t>
      </w:r>
      <w:r w:rsidR="00DB7D52" w:rsidRPr="00BC4A30">
        <w:t xml:space="preserve"> per cent</w:t>
      </w:r>
      <w:r w:rsidRPr="00BC4A30">
        <w:t xml:space="preserve"> of incident cases with early stage NSCLC are</w:t>
      </w:r>
      <w:proofErr w:type="gramEnd"/>
      <w:r w:rsidRPr="00BC4A30">
        <w:t xml:space="preserve"> ineligible or not suited for surgical resection. There is uncertainty surrounding this estimate. </w:t>
      </w:r>
      <w:r w:rsidRPr="00BC4A30">
        <w:rPr>
          <w:rFonts w:asciiTheme="minorHAnsi" w:hAnsiTheme="minorHAnsi"/>
          <w:noProof/>
        </w:rPr>
        <w:t xml:space="preserve">Lower and upper patient population estimates were calculated using an assumption of 40 and 70 per cent </w:t>
      </w:r>
      <w:r w:rsidRPr="00BC4A30">
        <w:t xml:space="preserve">of patients with early stage NSCLC estimated by experts to be ineligible for surgical resection. MTA may also be used in patients with pulmonary metastases where the number and site of metastases, or previous lung surgery, precludes them from further surgery. These populations are estimated to be small </w:t>
      </w:r>
      <w:r w:rsidR="00D806CE" w:rsidRPr="00D806CE">
        <w:t xml:space="preserve">as discussions with clinicians indicated </w:t>
      </w:r>
      <w:r w:rsidRPr="00BC4A30">
        <w:t xml:space="preserve">90 per cent of current MTA practice targeting early stage tumours within the assessment’s population </w:t>
      </w:r>
      <w:r w:rsidR="00DB7D52" w:rsidRPr="00BC4A30">
        <w:t>one</w:t>
      </w:r>
      <w:r w:rsidRPr="00BC4A30">
        <w:t>. It is estimated that later stage treatment is equivalent to 10 per cent of early stage NSCLC who are not candidates for surgical resection</w:t>
      </w:r>
      <w:r w:rsidRPr="00BC4A30">
        <w:rPr>
          <w:rFonts w:asciiTheme="minorHAnsi" w:hAnsiTheme="minorHAnsi"/>
          <w:noProof/>
        </w:rPr>
        <w:t xml:space="preserve">. Lower and upper patient population estimates were also calculated </w:t>
      </w:r>
    </w:p>
    <w:p w14:paraId="382598A3" w14:textId="77777777" w:rsidR="00AB12D2" w:rsidRPr="00DE1EBD" w:rsidRDefault="00AB12D2" w:rsidP="003F6C66">
      <w:pPr>
        <w:pStyle w:val="Heading3"/>
        <w:rPr>
          <w:noProof/>
        </w:rPr>
      </w:pPr>
      <w:r w:rsidRPr="00DE1EBD">
        <w:rPr>
          <w:noProof/>
        </w:rPr>
        <w:t>Total population eligible for MTA in Australia</w:t>
      </w:r>
    </w:p>
    <w:p w14:paraId="155D655B" w14:textId="713C3A50" w:rsidR="007C6179" w:rsidRDefault="00AB12D2" w:rsidP="00AB12D2">
      <w:pPr>
        <w:rPr>
          <w:rFonts w:asciiTheme="minorHAnsi" w:hAnsiTheme="minorHAnsi"/>
          <w:noProof/>
        </w:rPr>
      </w:pPr>
      <w:r w:rsidRPr="00BC4A30">
        <w:rPr>
          <w:rFonts w:asciiTheme="minorHAnsi" w:hAnsiTheme="minorHAnsi"/>
          <w:noProof/>
        </w:rPr>
        <w:t>Applying the asssumptions as described above, the total population eligibl</w:t>
      </w:r>
      <w:r w:rsidR="006746EF">
        <w:rPr>
          <w:rFonts w:asciiTheme="minorHAnsi" w:hAnsiTheme="minorHAnsi"/>
          <w:noProof/>
        </w:rPr>
        <w:t>e for MTA in Australia in 2016</w:t>
      </w:r>
      <w:r w:rsidR="006746EF" w:rsidRPr="006746EF">
        <w:rPr>
          <w:rFonts w:asciiTheme="minorHAnsi" w:hAnsiTheme="minorHAnsi"/>
          <w:noProof/>
        </w:rPr>
        <w:t>—</w:t>
      </w:r>
      <w:r w:rsidRPr="00BC4A30">
        <w:rPr>
          <w:rFonts w:asciiTheme="minorHAnsi" w:hAnsiTheme="minorHAnsi"/>
          <w:noProof/>
        </w:rPr>
        <w:t xml:space="preserve">2020 is estimated and presented in </w:t>
      </w:r>
      <w:r w:rsidRPr="00BC4A30">
        <w:rPr>
          <w:rFonts w:asciiTheme="minorHAnsi" w:hAnsiTheme="minorHAnsi"/>
          <w:noProof/>
        </w:rPr>
        <w:fldChar w:fldCharType="begin"/>
      </w:r>
      <w:r w:rsidRPr="00BC4A30">
        <w:rPr>
          <w:rFonts w:asciiTheme="minorHAnsi" w:hAnsiTheme="minorHAnsi"/>
          <w:noProof/>
        </w:rPr>
        <w:instrText xml:space="preserve"> REF _Ref457412131 \h </w:instrText>
      </w:r>
      <w:r w:rsidR="00796EF0" w:rsidRPr="00BC4A30">
        <w:rPr>
          <w:rFonts w:asciiTheme="minorHAnsi" w:hAnsiTheme="minorHAnsi"/>
          <w:noProof/>
        </w:rPr>
        <w:instrText xml:space="preserve"> \* MERGEFORMAT </w:instrText>
      </w:r>
      <w:r w:rsidRPr="00BC4A30">
        <w:rPr>
          <w:rFonts w:asciiTheme="minorHAnsi" w:hAnsiTheme="minorHAnsi"/>
          <w:noProof/>
        </w:rPr>
      </w:r>
      <w:r w:rsidRPr="00BC4A30">
        <w:rPr>
          <w:rFonts w:asciiTheme="minorHAnsi" w:hAnsiTheme="minorHAnsi"/>
          <w:noProof/>
        </w:rPr>
        <w:fldChar w:fldCharType="separate"/>
      </w:r>
      <w:r w:rsidR="00D170A5" w:rsidRPr="00BC4A30">
        <w:t xml:space="preserve">Table </w:t>
      </w:r>
      <w:r w:rsidR="00D170A5">
        <w:rPr>
          <w:noProof/>
        </w:rPr>
        <w:t>79</w:t>
      </w:r>
      <w:r w:rsidRPr="00BC4A30">
        <w:rPr>
          <w:rFonts w:asciiTheme="minorHAnsi" w:hAnsiTheme="minorHAnsi"/>
          <w:noProof/>
        </w:rPr>
        <w:fldChar w:fldCharType="end"/>
      </w:r>
      <w:r w:rsidRPr="00BC4A30">
        <w:rPr>
          <w:rFonts w:asciiTheme="minorHAnsi" w:hAnsiTheme="minorHAnsi"/>
          <w:noProof/>
        </w:rPr>
        <w:t xml:space="preserve">. </w:t>
      </w:r>
    </w:p>
    <w:p w14:paraId="3B061A1E" w14:textId="77777777" w:rsidR="00AB12D2" w:rsidRPr="00BC4A30" w:rsidRDefault="00AB12D2" w:rsidP="00AB12D2">
      <w:pPr>
        <w:pStyle w:val="Caption"/>
        <w:keepNext/>
      </w:pPr>
      <w:bookmarkStart w:id="435" w:name="_Ref457412131"/>
      <w:bookmarkStart w:id="436" w:name="_Toc460514737"/>
      <w:r w:rsidRPr="00BC4A30">
        <w:t xml:space="preserve">Table </w:t>
      </w:r>
      <w:fldSimple w:instr=" SEQ Table \* ARABIC ">
        <w:r w:rsidR="00D170A5">
          <w:rPr>
            <w:noProof/>
          </w:rPr>
          <w:t>79</w:t>
        </w:r>
      </w:fldSimple>
      <w:bookmarkEnd w:id="435"/>
      <w:r w:rsidRPr="00BC4A30">
        <w:tab/>
      </w:r>
      <w:r w:rsidRPr="00BC4A30">
        <w:rPr>
          <w:noProof/>
          <w:szCs w:val="20"/>
        </w:rPr>
        <w:t>Population eligible for MTA in Australia</w:t>
      </w:r>
      <w:bookmarkEnd w:id="436"/>
    </w:p>
    <w:tbl>
      <w:tblPr>
        <w:tblStyle w:val="TableGrid"/>
        <w:tblW w:w="5000" w:type="pct"/>
        <w:tblLook w:val="04A0" w:firstRow="1" w:lastRow="0" w:firstColumn="1" w:lastColumn="0" w:noHBand="0" w:noVBand="1"/>
        <w:tblCaption w:val="Table 92"/>
        <w:tblDescription w:val="Population eligible for MTA"/>
      </w:tblPr>
      <w:tblGrid>
        <w:gridCol w:w="575"/>
        <w:gridCol w:w="1518"/>
        <w:gridCol w:w="1298"/>
        <w:gridCol w:w="1168"/>
        <w:gridCol w:w="1168"/>
        <w:gridCol w:w="1168"/>
        <w:gridCol w:w="1168"/>
        <w:gridCol w:w="1179"/>
      </w:tblGrid>
      <w:tr w:rsidR="00AB12D2" w:rsidRPr="00D806CE" w14:paraId="19BBBCD8" w14:textId="77777777" w:rsidTr="007121B3">
        <w:trPr>
          <w:trHeight w:val="591"/>
          <w:tblHeader/>
        </w:trPr>
        <w:tc>
          <w:tcPr>
            <w:tcW w:w="311" w:type="pct"/>
            <w:shd w:val="clear" w:color="auto" w:fill="D9D9D9" w:themeFill="background1" w:themeFillShade="D9"/>
            <w:vAlign w:val="center"/>
          </w:tcPr>
          <w:p w14:paraId="7424C45E" w14:textId="77777777" w:rsidR="00AB12D2" w:rsidRPr="00D806CE" w:rsidRDefault="00AB12D2" w:rsidP="003A0A94">
            <w:pPr>
              <w:spacing w:before="60" w:after="60"/>
              <w:ind w:left="0"/>
              <w:jc w:val="left"/>
              <w:rPr>
                <w:rFonts w:ascii="Arial Narrow" w:hAnsi="Arial Narrow" w:cs="Arial"/>
                <w:b/>
                <w:bCs/>
                <w:noProof/>
                <w:sz w:val="20"/>
                <w:szCs w:val="20"/>
              </w:rPr>
            </w:pPr>
          </w:p>
        </w:tc>
        <w:tc>
          <w:tcPr>
            <w:tcW w:w="821" w:type="pct"/>
            <w:shd w:val="clear" w:color="auto" w:fill="D9D9D9" w:themeFill="background1" w:themeFillShade="D9"/>
            <w:vAlign w:val="center"/>
          </w:tcPr>
          <w:p w14:paraId="418E3153" w14:textId="77777777" w:rsidR="00AB12D2" w:rsidRPr="00D806CE" w:rsidRDefault="00AB12D2" w:rsidP="003A0A94">
            <w:pPr>
              <w:spacing w:before="60" w:after="60"/>
              <w:ind w:left="0"/>
              <w:jc w:val="left"/>
              <w:rPr>
                <w:rFonts w:ascii="Arial Narrow" w:hAnsi="Arial Narrow" w:cs="Arial"/>
                <w:b/>
                <w:bCs/>
                <w:noProof/>
                <w:sz w:val="20"/>
                <w:szCs w:val="20"/>
              </w:rPr>
            </w:pPr>
            <w:r w:rsidRPr="00D806CE">
              <w:rPr>
                <w:rFonts w:ascii="Arial Narrow" w:hAnsi="Arial Narrow" w:cs="Arial"/>
                <w:b/>
                <w:bCs/>
                <w:noProof/>
                <w:sz w:val="20"/>
                <w:szCs w:val="20"/>
              </w:rPr>
              <w:t>Epidemiology assumption</w:t>
            </w:r>
          </w:p>
        </w:tc>
        <w:tc>
          <w:tcPr>
            <w:tcW w:w="702" w:type="pct"/>
            <w:shd w:val="clear" w:color="auto" w:fill="D9D9D9" w:themeFill="background1" w:themeFillShade="D9"/>
            <w:vAlign w:val="center"/>
          </w:tcPr>
          <w:p w14:paraId="07071BA4" w14:textId="77777777" w:rsidR="00AB12D2" w:rsidRPr="00D806CE" w:rsidRDefault="00AB12D2" w:rsidP="003A0A94">
            <w:pPr>
              <w:spacing w:before="60" w:after="60"/>
              <w:ind w:left="0"/>
              <w:jc w:val="left"/>
              <w:rPr>
                <w:rFonts w:ascii="Arial Narrow" w:hAnsi="Arial Narrow" w:cs="Arial"/>
                <w:b/>
                <w:noProof/>
                <w:sz w:val="20"/>
                <w:szCs w:val="20"/>
              </w:rPr>
            </w:pPr>
            <w:r w:rsidRPr="00D806CE">
              <w:rPr>
                <w:rFonts w:ascii="Arial Narrow" w:hAnsi="Arial Narrow" w:cs="Arial"/>
                <w:b/>
                <w:noProof/>
                <w:sz w:val="20"/>
                <w:szCs w:val="20"/>
              </w:rPr>
              <w:t>Calc.</w:t>
            </w:r>
          </w:p>
        </w:tc>
        <w:tc>
          <w:tcPr>
            <w:tcW w:w="632" w:type="pct"/>
            <w:shd w:val="clear" w:color="auto" w:fill="D9D9D9" w:themeFill="background1" w:themeFillShade="D9"/>
            <w:vAlign w:val="center"/>
          </w:tcPr>
          <w:p w14:paraId="36BC17EE" w14:textId="77777777" w:rsidR="00AB12D2" w:rsidRPr="00D806CE" w:rsidRDefault="00AB12D2" w:rsidP="003A0A94">
            <w:pPr>
              <w:spacing w:before="60" w:after="60"/>
              <w:ind w:left="0"/>
              <w:jc w:val="left"/>
              <w:rPr>
                <w:rFonts w:ascii="Arial Narrow" w:hAnsi="Arial Narrow" w:cs="Arial"/>
                <w:b/>
                <w:bCs/>
                <w:noProof/>
                <w:sz w:val="20"/>
                <w:szCs w:val="20"/>
              </w:rPr>
            </w:pPr>
            <w:r w:rsidRPr="00D806CE">
              <w:rPr>
                <w:rFonts w:ascii="Arial Narrow" w:hAnsi="Arial Narrow" w:cs="Arial"/>
                <w:b/>
                <w:bCs/>
                <w:noProof/>
                <w:sz w:val="20"/>
                <w:szCs w:val="20"/>
              </w:rPr>
              <w:t>Year 1</w:t>
            </w:r>
          </w:p>
          <w:p w14:paraId="68EEC586" w14:textId="77777777" w:rsidR="00AB12D2" w:rsidRPr="00D806CE" w:rsidRDefault="00AB12D2" w:rsidP="003A0A94">
            <w:pPr>
              <w:spacing w:before="60" w:after="60"/>
              <w:ind w:left="0"/>
              <w:jc w:val="left"/>
              <w:rPr>
                <w:rFonts w:ascii="Arial Narrow" w:hAnsi="Arial Narrow" w:cs="Arial"/>
                <w:b/>
                <w:noProof/>
                <w:sz w:val="20"/>
                <w:szCs w:val="20"/>
              </w:rPr>
            </w:pPr>
            <w:r w:rsidRPr="00D806CE">
              <w:rPr>
                <w:rFonts w:ascii="Arial Narrow" w:hAnsi="Arial Narrow" w:cs="Arial"/>
                <w:b/>
                <w:bCs/>
                <w:noProof/>
                <w:sz w:val="20"/>
                <w:szCs w:val="20"/>
              </w:rPr>
              <w:t>(2016)</w:t>
            </w:r>
          </w:p>
        </w:tc>
        <w:tc>
          <w:tcPr>
            <w:tcW w:w="632" w:type="pct"/>
            <w:shd w:val="clear" w:color="auto" w:fill="D9D9D9" w:themeFill="background1" w:themeFillShade="D9"/>
            <w:vAlign w:val="center"/>
          </w:tcPr>
          <w:p w14:paraId="2B1C8B22" w14:textId="77777777" w:rsidR="00AB12D2" w:rsidRPr="00D806CE" w:rsidRDefault="00AB12D2" w:rsidP="003A0A94">
            <w:pPr>
              <w:spacing w:before="60" w:after="60"/>
              <w:ind w:left="0"/>
              <w:jc w:val="left"/>
              <w:rPr>
                <w:rFonts w:ascii="Arial Narrow" w:hAnsi="Arial Narrow" w:cs="Arial"/>
                <w:b/>
                <w:bCs/>
                <w:noProof/>
                <w:sz w:val="20"/>
                <w:szCs w:val="20"/>
              </w:rPr>
            </w:pPr>
            <w:r w:rsidRPr="00D806CE">
              <w:rPr>
                <w:rFonts w:ascii="Arial Narrow" w:hAnsi="Arial Narrow" w:cs="Arial"/>
                <w:b/>
                <w:bCs/>
                <w:noProof/>
                <w:sz w:val="20"/>
                <w:szCs w:val="20"/>
              </w:rPr>
              <w:t>Year 2</w:t>
            </w:r>
          </w:p>
          <w:p w14:paraId="01126EF2" w14:textId="77777777" w:rsidR="00AB12D2" w:rsidRPr="00D806CE" w:rsidRDefault="00AB12D2" w:rsidP="003A0A94">
            <w:pPr>
              <w:spacing w:before="60" w:after="60"/>
              <w:ind w:left="0"/>
              <w:jc w:val="left"/>
              <w:rPr>
                <w:rFonts w:ascii="Arial Narrow" w:hAnsi="Arial Narrow" w:cs="Arial"/>
                <w:b/>
                <w:bCs/>
                <w:noProof/>
                <w:sz w:val="20"/>
                <w:szCs w:val="20"/>
              </w:rPr>
            </w:pPr>
            <w:r w:rsidRPr="00D806CE">
              <w:rPr>
                <w:rFonts w:ascii="Arial Narrow" w:hAnsi="Arial Narrow" w:cs="Arial"/>
                <w:b/>
                <w:bCs/>
                <w:noProof/>
                <w:sz w:val="20"/>
                <w:szCs w:val="20"/>
              </w:rPr>
              <w:t>(2017)</w:t>
            </w:r>
          </w:p>
        </w:tc>
        <w:tc>
          <w:tcPr>
            <w:tcW w:w="632" w:type="pct"/>
            <w:shd w:val="clear" w:color="auto" w:fill="D9D9D9" w:themeFill="background1" w:themeFillShade="D9"/>
            <w:vAlign w:val="center"/>
          </w:tcPr>
          <w:p w14:paraId="3B36FA5A" w14:textId="77777777" w:rsidR="00AB12D2" w:rsidRPr="00D806CE" w:rsidRDefault="00AB12D2" w:rsidP="003A0A94">
            <w:pPr>
              <w:spacing w:before="60" w:after="60"/>
              <w:ind w:left="0"/>
              <w:jc w:val="left"/>
              <w:rPr>
                <w:rFonts w:ascii="Arial Narrow" w:hAnsi="Arial Narrow" w:cs="Arial"/>
                <w:b/>
                <w:bCs/>
                <w:noProof/>
                <w:sz w:val="20"/>
                <w:szCs w:val="20"/>
              </w:rPr>
            </w:pPr>
            <w:r w:rsidRPr="00D806CE">
              <w:rPr>
                <w:rFonts w:ascii="Arial Narrow" w:hAnsi="Arial Narrow" w:cs="Arial"/>
                <w:b/>
                <w:bCs/>
                <w:noProof/>
                <w:sz w:val="20"/>
                <w:szCs w:val="20"/>
              </w:rPr>
              <w:t>Year 3</w:t>
            </w:r>
          </w:p>
          <w:p w14:paraId="472F30A1" w14:textId="77777777" w:rsidR="00AB12D2" w:rsidRPr="00D806CE" w:rsidRDefault="00AB12D2" w:rsidP="003A0A94">
            <w:pPr>
              <w:spacing w:before="60" w:after="60"/>
              <w:ind w:left="0"/>
              <w:jc w:val="left"/>
              <w:rPr>
                <w:rFonts w:ascii="Arial Narrow" w:hAnsi="Arial Narrow" w:cs="Arial"/>
                <w:b/>
                <w:bCs/>
                <w:noProof/>
                <w:sz w:val="20"/>
                <w:szCs w:val="20"/>
              </w:rPr>
            </w:pPr>
            <w:r w:rsidRPr="00D806CE">
              <w:rPr>
                <w:rFonts w:ascii="Arial Narrow" w:hAnsi="Arial Narrow" w:cs="Arial"/>
                <w:b/>
                <w:bCs/>
                <w:noProof/>
                <w:sz w:val="20"/>
                <w:szCs w:val="20"/>
              </w:rPr>
              <w:t>(2018)</w:t>
            </w:r>
          </w:p>
        </w:tc>
        <w:tc>
          <w:tcPr>
            <w:tcW w:w="632" w:type="pct"/>
            <w:shd w:val="clear" w:color="auto" w:fill="D9D9D9" w:themeFill="background1" w:themeFillShade="D9"/>
            <w:vAlign w:val="center"/>
          </w:tcPr>
          <w:p w14:paraId="78695EEF" w14:textId="77777777" w:rsidR="00AB12D2" w:rsidRPr="00D806CE" w:rsidRDefault="00AB12D2" w:rsidP="003A0A94">
            <w:pPr>
              <w:spacing w:before="60" w:after="60"/>
              <w:ind w:left="0"/>
              <w:jc w:val="left"/>
              <w:rPr>
                <w:rFonts w:ascii="Arial Narrow" w:hAnsi="Arial Narrow" w:cs="Arial"/>
                <w:b/>
                <w:bCs/>
                <w:noProof/>
                <w:sz w:val="20"/>
                <w:szCs w:val="20"/>
              </w:rPr>
            </w:pPr>
            <w:r w:rsidRPr="00D806CE">
              <w:rPr>
                <w:rFonts w:ascii="Arial Narrow" w:hAnsi="Arial Narrow" w:cs="Arial"/>
                <w:b/>
                <w:bCs/>
                <w:noProof/>
                <w:sz w:val="20"/>
                <w:szCs w:val="20"/>
              </w:rPr>
              <w:t>Year 4</w:t>
            </w:r>
          </w:p>
          <w:p w14:paraId="7D6BFDD7" w14:textId="77777777" w:rsidR="00AB12D2" w:rsidRPr="00D806CE" w:rsidRDefault="00AB12D2" w:rsidP="003A0A94">
            <w:pPr>
              <w:spacing w:before="60" w:after="60"/>
              <w:ind w:left="0"/>
              <w:jc w:val="left"/>
              <w:rPr>
                <w:rFonts w:ascii="Arial Narrow" w:hAnsi="Arial Narrow" w:cs="Arial"/>
                <w:b/>
                <w:noProof/>
                <w:sz w:val="20"/>
                <w:szCs w:val="20"/>
              </w:rPr>
            </w:pPr>
            <w:r w:rsidRPr="00D806CE">
              <w:rPr>
                <w:rFonts w:ascii="Arial Narrow" w:hAnsi="Arial Narrow" w:cs="Arial"/>
                <w:b/>
                <w:bCs/>
                <w:noProof/>
                <w:sz w:val="20"/>
                <w:szCs w:val="20"/>
              </w:rPr>
              <w:t>(2019)</w:t>
            </w:r>
          </w:p>
        </w:tc>
        <w:tc>
          <w:tcPr>
            <w:tcW w:w="638" w:type="pct"/>
            <w:shd w:val="clear" w:color="auto" w:fill="D9D9D9" w:themeFill="background1" w:themeFillShade="D9"/>
            <w:vAlign w:val="center"/>
          </w:tcPr>
          <w:p w14:paraId="32F62D99" w14:textId="77777777" w:rsidR="00AB12D2" w:rsidRPr="00D806CE" w:rsidRDefault="00AB12D2" w:rsidP="003A0A94">
            <w:pPr>
              <w:spacing w:before="60" w:after="60"/>
              <w:ind w:left="0"/>
              <w:jc w:val="left"/>
              <w:rPr>
                <w:rFonts w:ascii="Arial Narrow" w:hAnsi="Arial Narrow" w:cs="Arial"/>
                <w:b/>
                <w:bCs/>
                <w:noProof/>
                <w:sz w:val="20"/>
                <w:szCs w:val="20"/>
              </w:rPr>
            </w:pPr>
            <w:r w:rsidRPr="00D806CE">
              <w:rPr>
                <w:rFonts w:ascii="Arial Narrow" w:hAnsi="Arial Narrow" w:cs="Arial"/>
                <w:b/>
                <w:bCs/>
                <w:noProof/>
                <w:sz w:val="20"/>
                <w:szCs w:val="20"/>
              </w:rPr>
              <w:t>Year 5</w:t>
            </w:r>
          </w:p>
          <w:p w14:paraId="2940103D" w14:textId="77777777" w:rsidR="00AB12D2" w:rsidRPr="00D806CE" w:rsidRDefault="00AB12D2" w:rsidP="003A0A94">
            <w:pPr>
              <w:spacing w:before="60" w:after="60"/>
              <w:ind w:left="0"/>
              <w:jc w:val="left"/>
              <w:rPr>
                <w:rFonts w:ascii="Arial Narrow" w:hAnsi="Arial Narrow" w:cs="Arial"/>
                <w:b/>
                <w:noProof/>
                <w:sz w:val="20"/>
                <w:szCs w:val="20"/>
              </w:rPr>
            </w:pPr>
            <w:r w:rsidRPr="00D806CE">
              <w:rPr>
                <w:rFonts w:ascii="Arial Narrow" w:hAnsi="Arial Narrow" w:cs="Arial"/>
                <w:b/>
                <w:bCs/>
                <w:noProof/>
                <w:sz w:val="20"/>
                <w:szCs w:val="20"/>
              </w:rPr>
              <w:t>(2020)</w:t>
            </w:r>
          </w:p>
        </w:tc>
      </w:tr>
      <w:tr w:rsidR="00D806CE" w:rsidRPr="00D806CE" w14:paraId="078401D0" w14:textId="77777777" w:rsidTr="00AB12D2">
        <w:trPr>
          <w:trHeight w:val="387"/>
        </w:trPr>
        <w:tc>
          <w:tcPr>
            <w:tcW w:w="311" w:type="pct"/>
            <w:vAlign w:val="center"/>
          </w:tcPr>
          <w:p w14:paraId="52486549" w14:textId="77777777" w:rsidR="00D806CE" w:rsidRPr="00D806CE" w:rsidRDefault="00D806CE" w:rsidP="003A0A94">
            <w:pPr>
              <w:spacing w:before="60" w:after="60"/>
              <w:ind w:left="0"/>
              <w:jc w:val="center"/>
              <w:rPr>
                <w:rFonts w:ascii="Arial Narrow" w:hAnsi="Arial Narrow" w:cs="Arial"/>
                <w:noProof/>
                <w:sz w:val="20"/>
                <w:szCs w:val="20"/>
              </w:rPr>
            </w:pPr>
            <w:r w:rsidRPr="00D806CE">
              <w:rPr>
                <w:rFonts w:ascii="Arial Narrow" w:hAnsi="Arial Narrow" w:cs="Arial"/>
                <w:noProof/>
                <w:sz w:val="20"/>
                <w:szCs w:val="20"/>
              </w:rPr>
              <w:t>A</w:t>
            </w:r>
          </w:p>
        </w:tc>
        <w:tc>
          <w:tcPr>
            <w:tcW w:w="821" w:type="pct"/>
            <w:vAlign w:val="center"/>
          </w:tcPr>
          <w:p w14:paraId="3E6291EA" w14:textId="77777777" w:rsidR="00D806CE" w:rsidRPr="00D806CE" w:rsidRDefault="00D806CE" w:rsidP="003A0A94">
            <w:pPr>
              <w:spacing w:before="60" w:after="60"/>
              <w:ind w:left="0"/>
              <w:jc w:val="left"/>
              <w:rPr>
                <w:rFonts w:ascii="Arial Narrow" w:hAnsi="Arial Narrow" w:cs="Arial"/>
                <w:noProof/>
                <w:sz w:val="20"/>
                <w:szCs w:val="20"/>
              </w:rPr>
            </w:pPr>
            <w:r w:rsidRPr="00D806CE">
              <w:rPr>
                <w:rFonts w:ascii="Arial Narrow" w:hAnsi="Arial Narrow" w:cs="Arial"/>
                <w:noProof/>
                <w:sz w:val="20"/>
                <w:szCs w:val="20"/>
              </w:rPr>
              <w:t>Female Lung Cancer Cases</w:t>
            </w:r>
          </w:p>
        </w:tc>
        <w:tc>
          <w:tcPr>
            <w:tcW w:w="702" w:type="pct"/>
            <w:vAlign w:val="center"/>
          </w:tcPr>
          <w:p w14:paraId="6684832A" w14:textId="77777777" w:rsidR="00D806CE" w:rsidRPr="00D806CE" w:rsidRDefault="00D806CE" w:rsidP="003A0A94">
            <w:pPr>
              <w:spacing w:before="60" w:after="60"/>
              <w:ind w:left="0"/>
              <w:jc w:val="left"/>
              <w:rPr>
                <w:rFonts w:ascii="Arial Narrow" w:hAnsi="Arial Narrow" w:cs="Times New Roman"/>
                <w:color w:val="000000"/>
                <w:sz w:val="20"/>
                <w:szCs w:val="20"/>
              </w:rPr>
            </w:pPr>
            <w:r w:rsidRPr="00D806CE">
              <w:rPr>
                <w:rFonts w:ascii="Arial Narrow" w:hAnsi="Arial Narrow" w:cs="Arial"/>
                <w:color w:val="000000"/>
                <w:sz w:val="20"/>
                <w:szCs w:val="20"/>
              </w:rPr>
              <w:t>Annual growth 4.26% since 2000</w:t>
            </w:r>
          </w:p>
        </w:tc>
        <w:tc>
          <w:tcPr>
            <w:tcW w:w="632" w:type="pct"/>
            <w:vAlign w:val="center"/>
          </w:tcPr>
          <w:p w14:paraId="04A8D534"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5,073</w:t>
            </w:r>
          </w:p>
        </w:tc>
        <w:tc>
          <w:tcPr>
            <w:tcW w:w="632" w:type="pct"/>
            <w:vAlign w:val="center"/>
          </w:tcPr>
          <w:p w14:paraId="5C07D16E"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5,289</w:t>
            </w:r>
          </w:p>
        </w:tc>
        <w:tc>
          <w:tcPr>
            <w:tcW w:w="632" w:type="pct"/>
            <w:vAlign w:val="center"/>
          </w:tcPr>
          <w:p w14:paraId="32FA42E0"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5,514</w:t>
            </w:r>
          </w:p>
        </w:tc>
        <w:tc>
          <w:tcPr>
            <w:tcW w:w="632" w:type="pct"/>
            <w:vAlign w:val="center"/>
          </w:tcPr>
          <w:p w14:paraId="45E46404"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5,749</w:t>
            </w:r>
          </w:p>
        </w:tc>
        <w:tc>
          <w:tcPr>
            <w:tcW w:w="638" w:type="pct"/>
            <w:vAlign w:val="center"/>
          </w:tcPr>
          <w:p w14:paraId="65DDC2B8"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5,994</w:t>
            </w:r>
          </w:p>
        </w:tc>
      </w:tr>
      <w:tr w:rsidR="00D806CE" w:rsidRPr="00D806CE" w14:paraId="3E29A440" w14:textId="77777777" w:rsidTr="00AB12D2">
        <w:trPr>
          <w:trHeight w:val="1257"/>
        </w:trPr>
        <w:tc>
          <w:tcPr>
            <w:tcW w:w="311" w:type="pct"/>
            <w:vAlign w:val="center"/>
          </w:tcPr>
          <w:p w14:paraId="6E462A6D" w14:textId="77777777" w:rsidR="00D806CE" w:rsidRPr="00D806CE" w:rsidRDefault="00D806CE" w:rsidP="003A0A94">
            <w:pPr>
              <w:spacing w:before="60" w:after="60"/>
              <w:ind w:left="0"/>
              <w:jc w:val="center"/>
              <w:rPr>
                <w:rFonts w:ascii="Arial Narrow" w:hAnsi="Arial Narrow" w:cs="Arial"/>
                <w:noProof/>
                <w:sz w:val="20"/>
                <w:szCs w:val="20"/>
              </w:rPr>
            </w:pPr>
            <w:r w:rsidRPr="00D806CE">
              <w:rPr>
                <w:rFonts w:ascii="Arial Narrow" w:hAnsi="Arial Narrow" w:cs="Arial"/>
                <w:noProof/>
                <w:sz w:val="20"/>
                <w:szCs w:val="20"/>
              </w:rPr>
              <w:t>B</w:t>
            </w:r>
          </w:p>
        </w:tc>
        <w:tc>
          <w:tcPr>
            <w:tcW w:w="821" w:type="pct"/>
            <w:vAlign w:val="center"/>
          </w:tcPr>
          <w:p w14:paraId="14D69BB3" w14:textId="77777777" w:rsidR="00D806CE" w:rsidRPr="00D806CE" w:rsidRDefault="00D806CE" w:rsidP="003A0A94">
            <w:pPr>
              <w:spacing w:before="60" w:after="60"/>
              <w:ind w:left="0"/>
              <w:jc w:val="left"/>
              <w:rPr>
                <w:rFonts w:ascii="Arial Narrow" w:hAnsi="Arial Narrow" w:cs="Arial"/>
                <w:noProof/>
                <w:sz w:val="20"/>
                <w:szCs w:val="20"/>
              </w:rPr>
            </w:pPr>
            <w:r w:rsidRPr="00D806CE">
              <w:rPr>
                <w:rFonts w:ascii="Arial Narrow" w:hAnsi="Arial Narrow" w:cs="Arial"/>
                <w:noProof/>
                <w:sz w:val="20"/>
                <w:szCs w:val="20"/>
              </w:rPr>
              <w:t>Male Lung Cancer Cases</w:t>
            </w:r>
          </w:p>
        </w:tc>
        <w:tc>
          <w:tcPr>
            <w:tcW w:w="702" w:type="pct"/>
            <w:vAlign w:val="center"/>
          </w:tcPr>
          <w:p w14:paraId="081FDE80"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Annual growth 1.37% since 2000</w:t>
            </w:r>
          </w:p>
        </w:tc>
        <w:tc>
          <w:tcPr>
            <w:tcW w:w="632" w:type="pct"/>
            <w:vAlign w:val="center"/>
          </w:tcPr>
          <w:p w14:paraId="49A77804"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7,130</w:t>
            </w:r>
          </w:p>
        </w:tc>
        <w:tc>
          <w:tcPr>
            <w:tcW w:w="632" w:type="pct"/>
            <w:vAlign w:val="center"/>
          </w:tcPr>
          <w:p w14:paraId="38B40F0A"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7,228</w:t>
            </w:r>
          </w:p>
        </w:tc>
        <w:tc>
          <w:tcPr>
            <w:tcW w:w="632" w:type="pct"/>
            <w:vAlign w:val="center"/>
          </w:tcPr>
          <w:p w14:paraId="6EB1C773"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7,327</w:t>
            </w:r>
          </w:p>
        </w:tc>
        <w:tc>
          <w:tcPr>
            <w:tcW w:w="632" w:type="pct"/>
            <w:vAlign w:val="center"/>
          </w:tcPr>
          <w:p w14:paraId="353D784B"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7,427</w:t>
            </w:r>
          </w:p>
        </w:tc>
        <w:tc>
          <w:tcPr>
            <w:tcW w:w="638" w:type="pct"/>
            <w:vAlign w:val="center"/>
          </w:tcPr>
          <w:p w14:paraId="123CB648"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7,529</w:t>
            </w:r>
          </w:p>
        </w:tc>
      </w:tr>
      <w:tr w:rsidR="00D806CE" w:rsidRPr="00D806CE" w14:paraId="540A5D73" w14:textId="77777777" w:rsidTr="00AB12D2">
        <w:trPr>
          <w:trHeight w:val="784"/>
        </w:trPr>
        <w:tc>
          <w:tcPr>
            <w:tcW w:w="311" w:type="pct"/>
            <w:vAlign w:val="center"/>
          </w:tcPr>
          <w:p w14:paraId="5E8EF8A6" w14:textId="77777777" w:rsidR="00D806CE" w:rsidRPr="00D806CE" w:rsidRDefault="00D806CE" w:rsidP="003A0A94">
            <w:pPr>
              <w:spacing w:before="60" w:after="60"/>
              <w:ind w:left="0"/>
              <w:jc w:val="center"/>
              <w:rPr>
                <w:rFonts w:ascii="Arial Narrow" w:hAnsi="Arial Narrow" w:cs="Arial"/>
                <w:noProof/>
                <w:sz w:val="20"/>
                <w:szCs w:val="20"/>
              </w:rPr>
            </w:pPr>
            <w:r w:rsidRPr="00D806CE">
              <w:rPr>
                <w:rFonts w:ascii="Arial Narrow" w:hAnsi="Arial Narrow" w:cs="Arial"/>
                <w:noProof/>
                <w:sz w:val="20"/>
                <w:szCs w:val="20"/>
              </w:rPr>
              <w:t>C</w:t>
            </w:r>
          </w:p>
        </w:tc>
        <w:tc>
          <w:tcPr>
            <w:tcW w:w="821" w:type="pct"/>
            <w:vAlign w:val="center"/>
          </w:tcPr>
          <w:p w14:paraId="2DE5EA7F" w14:textId="77777777" w:rsidR="00D806CE" w:rsidRPr="00D806CE" w:rsidRDefault="00D806CE" w:rsidP="003A0A94">
            <w:pPr>
              <w:spacing w:before="60" w:after="60"/>
              <w:ind w:left="0"/>
              <w:jc w:val="left"/>
              <w:rPr>
                <w:rFonts w:ascii="Arial Narrow" w:hAnsi="Arial Narrow" w:cs="Arial"/>
                <w:noProof/>
                <w:sz w:val="20"/>
                <w:szCs w:val="20"/>
              </w:rPr>
            </w:pPr>
            <w:r w:rsidRPr="00D806CE">
              <w:rPr>
                <w:rFonts w:ascii="Arial Narrow" w:hAnsi="Arial Narrow" w:cs="Arial"/>
                <w:noProof/>
                <w:sz w:val="20"/>
                <w:szCs w:val="20"/>
              </w:rPr>
              <w:t>Total Lung Cancer Cases</w:t>
            </w:r>
          </w:p>
        </w:tc>
        <w:tc>
          <w:tcPr>
            <w:tcW w:w="702" w:type="pct"/>
            <w:vAlign w:val="center"/>
          </w:tcPr>
          <w:p w14:paraId="6861DD15"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A +B</w:t>
            </w:r>
          </w:p>
        </w:tc>
        <w:tc>
          <w:tcPr>
            <w:tcW w:w="632" w:type="pct"/>
            <w:vAlign w:val="center"/>
          </w:tcPr>
          <w:p w14:paraId="0D6B4B65"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12,203</w:t>
            </w:r>
          </w:p>
        </w:tc>
        <w:tc>
          <w:tcPr>
            <w:tcW w:w="632" w:type="pct"/>
            <w:vAlign w:val="center"/>
          </w:tcPr>
          <w:p w14:paraId="68381038"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12,517</w:t>
            </w:r>
          </w:p>
        </w:tc>
        <w:tc>
          <w:tcPr>
            <w:tcW w:w="632" w:type="pct"/>
            <w:vAlign w:val="center"/>
          </w:tcPr>
          <w:p w14:paraId="49D32CD4"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12,841</w:t>
            </w:r>
          </w:p>
        </w:tc>
        <w:tc>
          <w:tcPr>
            <w:tcW w:w="632" w:type="pct"/>
            <w:vAlign w:val="center"/>
          </w:tcPr>
          <w:p w14:paraId="456B9DDA" w14:textId="77777777" w:rsidR="00D806CE" w:rsidRPr="00D806CE" w:rsidRDefault="00D806CE" w:rsidP="003A0A94">
            <w:pPr>
              <w:spacing w:before="60" w:after="60"/>
              <w:ind w:left="0"/>
              <w:jc w:val="left"/>
              <w:rPr>
                <w:rFonts w:ascii="Arial Narrow" w:hAnsi="Arial Narrow"/>
                <w:color w:val="000000"/>
                <w:sz w:val="20"/>
                <w:szCs w:val="20"/>
              </w:rPr>
            </w:pPr>
            <w:bookmarkStart w:id="437" w:name="RANGE!I24"/>
            <w:r w:rsidRPr="00D806CE">
              <w:rPr>
                <w:rFonts w:ascii="Arial Narrow" w:hAnsi="Arial Narrow" w:cs="Arial"/>
                <w:color w:val="000000"/>
                <w:sz w:val="20"/>
                <w:szCs w:val="20"/>
              </w:rPr>
              <w:t>13,176</w:t>
            </w:r>
            <w:bookmarkEnd w:id="437"/>
          </w:p>
        </w:tc>
        <w:tc>
          <w:tcPr>
            <w:tcW w:w="638" w:type="pct"/>
            <w:vAlign w:val="center"/>
          </w:tcPr>
          <w:p w14:paraId="4C93900F"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13,523</w:t>
            </w:r>
          </w:p>
        </w:tc>
      </w:tr>
      <w:tr w:rsidR="00D806CE" w:rsidRPr="00D806CE" w14:paraId="3AD06A66" w14:textId="77777777" w:rsidTr="00AB12D2">
        <w:trPr>
          <w:trHeight w:val="784"/>
        </w:trPr>
        <w:tc>
          <w:tcPr>
            <w:tcW w:w="311" w:type="pct"/>
            <w:vAlign w:val="center"/>
          </w:tcPr>
          <w:p w14:paraId="2CAFE1FD" w14:textId="77777777" w:rsidR="00D806CE" w:rsidRPr="00D806CE" w:rsidRDefault="00D806CE" w:rsidP="003A0A94">
            <w:pPr>
              <w:spacing w:before="60" w:after="60"/>
              <w:ind w:left="0"/>
              <w:jc w:val="center"/>
              <w:rPr>
                <w:rFonts w:ascii="Arial Narrow" w:hAnsi="Arial Narrow" w:cs="Arial"/>
                <w:noProof/>
                <w:sz w:val="20"/>
                <w:szCs w:val="20"/>
              </w:rPr>
            </w:pPr>
            <w:r w:rsidRPr="00D806CE">
              <w:rPr>
                <w:rFonts w:ascii="Arial Narrow" w:hAnsi="Arial Narrow" w:cs="Arial"/>
                <w:noProof/>
                <w:sz w:val="20"/>
                <w:szCs w:val="20"/>
              </w:rPr>
              <w:t>D</w:t>
            </w:r>
          </w:p>
        </w:tc>
        <w:tc>
          <w:tcPr>
            <w:tcW w:w="821" w:type="pct"/>
            <w:vAlign w:val="center"/>
          </w:tcPr>
          <w:p w14:paraId="727D7F3F" w14:textId="77777777" w:rsidR="00D806CE" w:rsidRPr="00D806CE" w:rsidRDefault="00D806CE" w:rsidP="003A0A94">
            <w:pPr>
              <w:spacing w:before="60" w:after="60"/>
              <w:ind w:left="0"/>
              <w:jc w:val="left"/>
              <w:rPr>
                <w:rFonts w:ascii="Arial Narrow" w:hAnsi="Arial Narrow" w:cs="Arial"/>
                <w:noProof/>
                <w:sz w:val="20"/>
                <w:szCs w:val="20"/>
              </w:rPr>
            </w:pPr>
            <w:r w:rsidRPr="00D806CE">
              <w:rPr>
                <w:rFonts w:ascii="Arial Narrow" w:hAnsi="Arial Narrow" w:cs="Arial"/>
                <w:noProof/>
                <w:sz w:val="20"/>
                <w:szCs w:val="20"/>
              </w:rPr>
              <w:t>NSCLC Cases</w:t>
            </w:r>
          </w:p>
        </w:tc>
        <w:tc>
          <w:tcPr>
            <w:tcW w:w="702" w:type="pct"/>
            <w:vAlign w:val="center"/>
          </w:tcPr>
          <w:p w14:paraId="53879A02"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C × 85%</w:t>
            </w:r>
          </w:p>
        </w:tc>
        <w:tc>
          <w:tcPr>
            <w:tcW w:w="632" w:type="pct"/>
            <w:vAlign w:val="center"/>
          </w:tcPr>
          <w:p w14:paraId="142C1DF7"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10,373</w:t>
            </w:r>
          </w:p>
        </w:tc>
        <w:tc>
          <w:tcPr>
            <w:tcW w:w="632" w:type="pct"/>
            <w:vAlign w:val="center"/>
          </w:tcPr>
          <w:p w14:paraId="7B863B08"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10,639</w:t>
            </w:r>
          </w:p>
        </w:tc>
        <w:tc>
          <w:tcPr>
            <w:tcW w:w="632" w:type="pct"/>
            <w:vAlign w:val="center"/>
          </w:tcPr>
          <w:p w14:paraId="6793ABD9"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10,915</w:t>
            </w:r>
          </w:p>
        </w:tc>
        <w:tc>
          <w:tcPr>
            <w:tcW w:w="632" w:type="pct"/>
            <w:vAlign w:val="center"/>
          </w:tcPr>
          <w:p w14:paraId="27348D1C"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11,200</w:t>
            </w:r>
          </w:p>
        </w:tc>
        <w:tc>
          <w:tcPr>
            <w:tcW w:w="638" w:type="pct"/>
            <w:vAlign w:val="center"/>
          </w:tcPr>
          <w:p w14:paraId="26162684"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11,495</w:t>
            </w:r>
          </w:p>
        </w:tc>
      </w:tr>
      <w:tr w:rsidR="00D806CE" w:rsidRPr="00D806CE" w14:paraId="6B6CF091" w14:textId="77777777" w:rsidTr="00AB12D2">
        <w:trPr>
          <w:trHeight w:val="784"/>
        </w:trPr>
        <w:tc>
          <w:tcPr>
            <w:tcW w:w="311" w:type="pct"/>
            <w:vAlign w:val="center"/>
          </w:tcPr>
          <w:p w14:paraId="688E99BA" w14:textId="77777777" w:rsidR="00D806CE" w:rsidRPr="00D806CE" w:rsidRDefault="00D806CE" w:rsidP="003A0A94">
            <w:pPr>
              <w:spacing w:before="60" w:after="60"/>
              <w:ind w:left="0"/>
              <w:jc w:val="center"/>
              <w:rPr>
                <w:rFonts w:ascii="Arial Narrow" w:hAnsi="Arial Narrow" w:cs="Arial"/>
                <w:noProof/>
                <w:sz w:val="20"/>
                <w:szCs w:val="20"/>
              </w:rPr>
            </w:pPr>
            <w:r w:rsidRPr="00D806CE">
              <w:rPr>
                <w:rFonts w:ascii="Arial Narrow" w:hAnsi="Arial Narrow" w:cs="Arial"/>
                <w:noProof/>
                <w:sz w:val="20"/>
                <w:szCs w:val="20"/>
              </w:rPr>
              <w:lastRenderedPageBreak/>
              <w:t>E</w:t>
            </w:r>
          </w:p>
        </w:tc>
        <w:tc>
          <w:tcPr>
            <w:tcW w:w="821" w:type="pct"/>
            <w:vAlign w:val="center"/>
          </w:tcPr>
          <w:p w14:paraId="41AC6A22" w14:textId="77777777" w:rsidR="00D806CE" w:rsidRPr="00D806CE" w:rsidRDefault="00D806CE" w:rsidP="003A0A94">
            <w:pPr>
              <w:spacing w:before="60" w:after="60"/>
              <w:ind w:left="0"/>
              <w:jc w:val="left"/>
              <w:rPr>
                <w:rFonts w:ascii="Arial Narrow" w:hAnsi="Arial Narrow" w:cs="Arial"/>
                <w:noProof/>
                <w:sz w:val="20"/>
                <w:szCs w:val="20"/>
              </w:rPr>
            </w:pPr>
            <w:r w:rsidRPr="00D806CE">
              <w:rPr>
                <w:rFonts w:ascii="Arial Narrow" w:hAnsi="Arial Narrow" w:cs="Arial"/>
                <w:noProof/>
                <w:sz w:val="20"/>
                <w:szCs w:val="20"/>
              </w:rPr>
              <w:t>Early Stage NSCLC Cases</w:t>
            </w:r>
          </w:p>
        </w:tc>
        <w:tc>
          <w:tcPr>
            <w:tcW w:w="702" w:type="pct"/>
            <w:vAlign w:val="center"/>
          </w:tcPr>
          <w:p w14:paraId="0E7073F8"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D x 31%</w:t>
            </w:r>
          </w:p>
        </w:tc>
        <w:tc>
          <w:tcPr>
            <w:tcW w:w="632" w:type="pct"/>
            <w:vAlign w:val="center"/>
          </w:tcPr>
          <w:p w14:paraId="0B1DADDD"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3,215</w:t>
            </w:r>
          </w:p>
        </w:tc>
        <w:tc>
          <w:tcPr>
            <w:tcW w:w="632" w:type="pct"/>
            <w:vAlign w:val="center"/>
          </w:tcPr>
          <w:p w14:paraId="0CA3B6AE"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3,298</w:t>
            </w:r>
          </w:p>
        </w:tc>
        <w:tc>
          <w:tcPr>
            <w:tcW w:w="632" w:type="pct"/>
            <w:vAlign w:val="center"/>
          </w:tcPr>
          <w:p w14:paraId="7FA3D7F2"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3,384</w:t>
            </w:r>
          </w:p>
        </w:tc>
        <w:tc>
          <w:tcPr>
            <w:tcW w:w="632" w:type="pct"/>
            <w:vAlign w:val="center"/>
          </w:tcPr>
          <w:p w14:paraId="4BA05B98"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3,472</w:t>
            </w:r>
          </w:p>
        </w:tc>
        <w:tc>
          <w:tcPr>
            <w:tcW w:w="638" w:type="pct"/>
            <w:vAlign w:val="center"/>
          </w:tcPr>
          <w:p w14:paraId="61E6B9A6"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3,563</w:t>
            </w:r>
          </w:p>
        </w:tc>
      </w:tr>
      <w:tr w:rsidR="00D806CE" w:rsidRPr="00D806CE" w14:paraId="2403EBB3" w14:textId="77777777" w:rsidTr="00AB12D2">
        <w:trPr>
          <w:trHeight w:val="784"/>
        </w:trPr>
        <w:tc>
          <w:tcPr>
            <w:tcW w:w="311" w:type="pct"/>
            <w:vAlign w:val="center"/>
          </w:tcPr>
          <w:p w14:paraId="4D55CDA8" w14:textId="77777777" w:rsidR="00D806CE" w:rsidRPr="00D806CE" w:rsidRDefault="00D806CE" w:rsidP="003A0A94">
            <w:pPr>
              <w:spacing w:before="60" w:after="60"/>
              <w:ind w:left="0"/>
              <w:jc w:val="center"/>
              <w:rPr>
                <w:rFonts w:ascii="Arial Narrow" w:hAnsi="Arial Narrow" w:cs="Arial"/>
                <w:noProof/>
                <w:sz w:val="20"/>
                <w:szCs w:val="20"/>
              </w:rPr>
            </w:pPr>
            <w:r w:rsidRPr="00D806CE">
              <w:rPr>
                <w:rFonts w:ascii="Arial Narrow" w:hAnsi="Arial Narrow" w:cs="Arial"/>
                <w:noProof/>
                <w:sz w:val="20"/>
                <w:szCs w:val="20"/>
              </w:rPr>
              <w:t>F</w:t>
            </w:r>
          </w:p>
        </w:tc>
        <w:tc>
          <w:tcPr>
            <w:tcW w:w="821" w:type="pct"/>
            <w:vAlign w:val="center"/>
          </w:tcPr>
          <w:p w14:paraId="6FBF7DEB" w14:textId="77777777" w:rsidR="00D806CE" w:rsidRPr="00D806CE" w:rsidRDefault="00D806CE" w:rsidP="003A0A94">
            <w:pPr>
              <w:spacing w:before="60" w:after="60"/>
              <w:ind w:left="0"/>
              <w:jc w:val="left"/>
              <w:rPr>
                <w:rFonts w:ascii="Arial Narrow" w:hAnsi="Arial Narrow" w:cs="Arial"/>
                <w:noProof/>
                <w:sz w:val="20"/>
                <w:szCs w:val="20"/>
              </w:rPr>
            </w:pPr>
            <w:r w:rsidRPr="00D806CE">
              <w:rPr>
                <w:rFonts w:ascii="Arial Narrow" w:hAnsi="Arial Narrow" w:cs="Arial"/>
                <w:noProof/>
                <w:sz w:val="20"/>
                <w:szCs w:val="20"/>
              </w:rPr>
              <w:t>Early Stage NSCLC Cases Ineligible for Resection</w:t>
            </w:r>
          </w:p>
        </w:tc>
        <w:tc>
          <w:tcPr>
            <w:tcW w:w="702" w:type="pct"/>
            <w:vAlign w:val="center"/>
          </w:tcPr>
          <w:p w14:paraId="204EA30C"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E x 61%</w:t>
            </w:r>
          </w:p>
        </w:tc>
        <w:tc>
          <w:tcPr>
            <w:tcW w:w="632" w:type="pct"/>
            <w:vAlign w:val="center"/>
          </w:tcPr>
          <w:p w14:paraId="03D1D4CF"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1833</w:t>
            </w:r>
          </w:p>
        </w:tc>
        <w:tc>
          <w:tcPr>
            <w:tcW w:w="632" w:type="pct"/>
            <w:vAlign w:val="center"/>
          </w:tcPr>
          <w:p w14:paraId="23DDCDB0"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1880</w:t>
            </w:r>
          </w:p>
        </w:tc>
        <w:tc>
          <w:tcPr>
            <w:tcW w:w="632" w:type="pct"/>
            <w:vAlign w:val="center"/>
          </w:tcPr>
          <w:p w14:paraId="0F288D2A"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1929</w:t>
            </w:r>
          </w:p>
        </w:tc>
        <w:tc>
          <w:tcPr>
            <w:tcW w:w="632" w:type="pct"/>
            <w:vAlign w:val="center"/>
          </w:tcPr>
          <w:p w14:paraId="21BC4EE3"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1979</w:t>
            </w:r>
          </w:p>
        </w:tc>
        <w:tc>
          <w:tcPr>
            <w:tcW w:w="638" w:type="pct"/>
            <w:vAlign w:val="center"/>
          </w:tcPr>
          <w:p w14:paraId="502B3102"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2031</w:t>
            </w:r>
          </w:p>
        </w:tc>
      </w:tr>
      <w:tr w:rsidR="00D806CE" w:rsidRPr="00D806CE" w14:paraId="547E8806" w14:textId="77777777" w:rsidTr="00AB12D2">
        <w:trPr>
          <w:trHeight w:val="602"/>
        </w:trPr>
        <w:tc>
          <w:tcPr>
            <w:tcW w:w="311" w:type="pct"/>
            <w:shd w:val="clear" w:color="auto" w:fill="auto"/>
            <w:vAlign w:val="center"/>
          </w:tcPr>
          <w:p w14:paraId="457600ED" w14:textId="77777777" w:rsidR="00D806CE" w:rsidRPr="00D806CE" w:rsidRDefault="00D806CE" w:rsidP="003A0A94">
            <w:pPr>
              <w:spacing w:before="60" w:after="60"/>
              <w:ind w:left="0"/>
              <w:jc w:val="center"/>
              <w:rPr>
                <w:rFonts w:ascii="Arial Narrow" w:hAnsi="Arial Narrow" w:cs="Arial"/>
                <w:noProof/>
                <w:sz w:val="20"/>
                <w:szCs w:val="20"/>
              </w:rPr>
            </w:pPr>
            <w:r w:rsidRPr="00D806CE">
              <w:rPr>
                <w:rFonts w:ascii="Arial Narrow" w:hAnsi="Arial Narrow" w:cs="Arial"/>
                <w:noProof/>
                <w:sz w:val="20"/>
                <w:szCs w:val="20"/>
              </w:rPr>
              <w:t>G</w:t>
            </w:r>
          </w:p>
        </w:tc>
        <w:tc>
          <w:tcPr>
            <w:tcW w:w="821" w:type="pct"/>
            <w:shd w:val="clear" w:color="auto" w:fill="auto"/>
            <w:vAlign w:val="center"/>
          </w:tcPr>
          <w:p w14:paraId="5B0E6833" w14:textId="77777777" w:rsidR="00D806CE" w:rsidRPr="00D806CE" w:rsidRDefault="00D806CE" w:rsidP="003A0A94">
            <w:pPr>
              <w:spacing w:before="60" w:after="60"/>
              <w:ind w:left="0"/>
              <w:jc w:val="left"/>
              <w:rPr>
                <w:rFonts w:ascii="Arial Narrow" w:hAnsi="Arial Narrow" w:cs="Arial"/>
                <w:noProof/>
                <w:sz w:val="20"/>
                <w:szCs w:val="20"/>
              </w:rPr>
            </w:pPr>
            <w:r w:rsidRPr="00D806CE">
              <w:rPr>
                <w:rFonts w:ascii="Arial Narrow" w:hAnsi="Arial Narrow" w:cs="Arial"/>
                <w:noProof/>
                <w:sz w:val="20"/>
                <w:szCs w:val="20"/>
              </w:rPr>
              <w:t>Later Stage NSCLC Cases Suitable for MTA</w:t>
            </w:r>
          </w:p>
        </w:tc>
        <w:tc>
          <w:tcPr>
            <w:tcW w:w="702" w:type="pct"/>
            <w:shd w:val="clear" w:color="auto" w:fill="auto"/>
            <w:vAlign w:val="center"/>
          </w:tcPr>
          <w:p w14:paraId="52C06024"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F x 10%</w:t>
            </w:r>
          </w:p>
        </w:tc>
        <w:tc>
          <w:tcPr>
            <w:tcW w:w="632" w:type="pct"/>
            <w:shd w:val="clear" w:color="auto" w:fill="auto"/>
            <w:vAlign w:val="center"/>
          </w:tcPr>
          <w:p w14:paraId="39352955"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183</w:t>
            </w:r>
          </w:p>
        </w:tc>
        <w:tc>
          <w:tcPr>
            <w:tcW w:w="632" w:type="pct"/>
            <w:shd w:val="clear" w:color="auto" w:fill="auto"/>
            <w:vAlign w:val="center"/>
          </w:tcPr>
          <w:p w14:paraId="477F7D11"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188</w:t>
            </w:r>
          </w:p>
        </w:tc>
        <w:tc>
          <w:tcPr>
            <w:tcW w:w="632" w:type="pct"/>
            <w:shd w:val="clear" w:color="auto" w:fill="auto"/>
            <w:vAlign w:val="center"/>
          </w:tcPr>
          <w:p w14:paraId="00EDD131"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193</w:t>
            </w:r>
          </w:p>
        </w:tc>
        <w:tc>
          <w:tcPr>
            <w:tcW w:w="632" w:type="pct"/>
            <w:shd w:val="clear" w:color="auto" w:fill="auto"/>
            <w:vAlign w:val="center"/>
          </w:tcPr>
          <w:p w14:paraId="3E7EFA60"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198</w:t>
            </w:r>
          </w:p>
        </w:tc>
        <w:tc>
          <w:tcPr>
            <w:tcW w:w="638" w:type="pct"/>
            <w:shd w:val="clear" w:color="auto" w:fill="auto"/>
            <w:vAlign w:val="center"/>
          </w:tcPr>
          <w:p w14:paraId="285809D9"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203</w:t>
            </w:r>
          </w:p>
        </w:tc>
      </w:tr>
      <w:tr w:rsidR="00D806CE" w:rsidRPr="00D806CE" w14:paraId="0A00FFF1" w14:textId="77777777" w:rsidTr="00AB12D2">
        <w:trPr>
          <w:trHeight w:val="602"/>
        </w:trPr>
        <w:tc>
          <w:tcPr>
            <w:tcW w:w="311" w:type="pct"/>
            <w:shd w:val="clear" w:color="auto" w:fill="auto"/>
            <w:vAlign w:val="center"/>
          </w:tcPr>
          <w:p w14:paraId="15351EE1" w14:textId="77777777" w:rsidR="00D806CE" w:rsidRPr="00D806CE" w:rsidRDefault="00D806CE" w:rsidP="003A0A94">
            <w:pPr>
              <w:spacing w:before="60" w:after="60"/>
              <w:ind w:left="0"/>
              <w:jc w:val="center"/>
              <w:rPr>
                <w:rFonts w:ascii="Arial Narrow" w:hAnsi="Arial Narrow" w:cs="Arial"/>
                <w:noProof/>
                <w:sz w:val="20"/>
                <w:szCs w:val="20"/>
              </w:rPr>
            </w:pPr>
            <w:r w:rsidRPr="00D806CE">
              <w:rPr>
                <w:rFonts w:ascii="Arial Narrow" w:hAnsi="Arial Narrow" w:cs="Arial"/>
                <w:noProof/>
                <w:sz w:val="20"/>
                <w:szCs w:val="20"/>
              </w:rPr>
              <w:t>H</w:t>
            </w:r>
          </w:p>
        </w:tc>
        <w:tc>
          <w:tcPr>
            <w:tcW w:w="821" w:type="pct"/>
            <w:shd w:val="clear" w:color="auto" w:fill="auto"/>
            <w:vAlign w:val="center"/>
          </w:tcPr>
          <w:p w14:paraId="31EE6944" w14:textId="77777777" w:rsidR="00D806CE" w:rsidRPr="00D806CE" w:rsidRDefault="00D806CE" w:rsidP="003A0A94">
            <w:pPr>
              <w:spacing w:before="60" w:after="60"/>
              <w:ind w:left="0"/>
              <w:jc w:val="left"/>
              <w:rPr>
                <w:rFonts w:ascii="Arial Narrow" w:hAnsi="Arial Narrow" w:cs="Arial"/>
                <w:noProof/>
                <w:sz w:val="20"/>
                <w:szCs w:val="20"/>
              </w:rPr>
            </w:pPr>
            <w:r w:rsidRPr="00D806CE">
              <w:rPr>
                <w:rFonts w:ascii="Arial Narrow" w:hAnsi="Arial Narrow" w:cs="Arial"/>
                <w:noProof/>
                <w:sz w:val="20"/>
                <w:szCs w:val="20"/>
              </w:rPr>
              <w:t>All Cases Suitable for MTA</w:t>
            </w:r>
          </w:p>
        </w:tc>
        <w:tc>
          <w:tcPr>
            <w:tcW w:w="702" w:type="pct"/>
            <w:shd w:val="clear" w:color="auto" w:fill="auto"/>
            <w:vAlign w:val="center"/>
          </w:tcPr>
          <w:p w14:paraId="22493324"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G + F</w:t>
            </w:r>
          </w:p>
        </w:tc>
        <w:tc>
          <w:tcPr>
            <w:tcW w:w="632" w:type="pct"/>
            <w:shd w:val="clear" w:color="auto" w:fill="auto"/>
            <w:vAlign w:val="center"/>
          </w:tcPr>
          <w:p w14:paraId="6D3BB2F5"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2016</w:t>
            </w:r>
          </w:p>
        </w:tc>
        <w:tc>
          <w:tcPr>
            <w:tcW w:w="632" w:type="pct"/>
            <w:shd w:val="clear" w:color="auto" w:fill="auto"/>
            <w:vAlign w:val="center"/>
          </w:tcPr>
          <w:p w14:paraId="264D5AC4"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2068</w:t>
            </w:r>
          </w:p>
        </w:tc>
        <w:tc>
          <w:tcPr>
            <w:tcW w:w="632" w:type="pct"/>
            <w:shd w:val="clear" w:color="auto" w:fill="auto"/>
            <w:vAlign w:val="center"/>
          </w:tcPr>
          <w:p w14:paraId="009FCB20"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2122</w:t>
            </w:r>
          </w:p>
        </w:tc>
        <w:tc>
          <w:tcPr>
            <w:tcW w:w="632" w:type="pct"/>
            <w:shd w:val="clear" w:color="auto" w:fill="auto"/>
            <w:vAlign w:val="center"/>
          </w:tcPr>
          <w:p w14:paraId="0D404DC4"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2177</w:t>
            </w:r>
          </w:p>
        </w:tc>
        <w:tc>
          <w:tcPr>
            <w:tcW w:w="638" w:type="pct"/>
            <w:shd w:val="clear" w:color="auto" w:fill="auto"/>
            <w:vAlign w:val="center"/>
          </w:tcPr>
          <w:p w14:paraId="76F40216" w14:textId="77777777" w:rsidR="00D806CE" w:rsidRPr="00D806CE" w:rsidRDefault="00D806CE" w:rsidP="003A0A94">
            <w:pPr>
              <w:spacing w:before="60" w:after="60"/>
              <w:ind w:left="0"/>
              <w:jc w:val="left"/>
              <w:rPr>
                <w:rFonts w:ascii="Arial Narrow" w:hAnsi="Arial Narrow"/>
                <w:color w:val="000000"/>
                <w:sz w:val="20"/>
                <w:szCs w:val="20"/>
              </w:rPr>
            </w:pPr>
            <w:r w:rsidRPr="00D806CE">
              <w:rPr>
                <w:rFonts w:ascii="Arial Narrow" w:hAnsi="Arial Narrow" w:cs="Arial"/>
                <w:color w:val="000000"/>
                <w:sz w:val="20"/>
                <w:szCs w:val="20"/>
              </w:rPr>
              <w:t>2234</w:t>
            </w:r>
          </w:p>
        </w:tc>
      </w:tr>
    </w:tbl>
    <w:p w14:paraId="636778AC" w14:textId="2C06A1E5" w:rsidR="00AB12D2" w:rsidRPr="00BC4A30" w:rsidRDefault="007121B3" w:rsidP="00A405EC">
      <w:pPr>
        <w:pStyle w:val="Tablenotes0"/>
        <w:rPr>
          <w:noProof/>
        </w:rPr>
      </w:pPr>
      <w:r>
        <w:rPr>
          <w:noProof/>
        </w:rPr>
        <w:t>&lt;</w:t>
      </w:r>
      <w:r w:rsidR="00CB0095">
        <w:rPr>
          <w:noProof/>
        </w:rPr>
        <w:t xml:space="preserve"> </w:t>
      </w:r>
      <w:r w:rsidR="00A405EC" w:rsidRPr="00BC4A30">
        <w:rPr>
          <w:noProof/>
        </w:rPr>
        <w:t>MTA= microwave tissue ablation; NSCLC= non-small cell lung cancer</w:t>
      </w:r>
      <w:r w:rsidR="00CB0095">
        <w:rPr>
          <w:noProof/>
        </w:rPr>
        <w:t xml:space="preserve"> </w:t>
      </w:r>
      <w:r>
        <w:rPr>
          <w:noProof/>
        </w:rPr>
        <w:t>&gt;</w:t>
      </w:r>
    </w:p>
    <w:p w14:paraId="138D3A33" w14:textId="77777777" w:rsidR="00AB12D2" w:rsidRPr="00CB0095" w:rsidRDefault="00AB12D2" w:rsidP="003F6C66">
      <w:pPr>
        <w:pStyle w:val="Heading3"/>
        <w:rPr>
          <w:noProof/>
        </w:rPr>
      </w:pPr>
      <w:r w:rsidRPr="00CB0095">
        <w:rPr>
          <w:noProof/>
        </w:rPr>
        <w:t>Uptake of MTA in the potential patient population</w:t>
      </w:r>
    </w:p>
    <w:p w14:paraId="2BFE7698" w14:textId="77777777" w:rsidR="00AB12D2" w:rsidRPr="00BC4A30" w:rsidRDefault="00AB12D2" w:rsidP="00AB12D2">
      <w:pPr>
        <w:rPr>
          <w:rFonts w:asciiTheme="minorHAnsi" w:hAnsiTheme="minorHAnsi"/>
          <w:noProof/>
        </w:rPr>
      </w:pPr>
      <w:r w:rsidRPr="00BC4A30">
        <w:rPr>
          <w:rFonts w:asciiTheme="minorHAnsi" w:hAnsiTheme="minorHAnsi"/>
          <w:noProof/>
        </w:rPr>
        <w:t>In the absence of recurrence or failure, MTA is a one-time procedure. Correspondingly, it is assumed that there is only one intervention per patient. Furthermore, given that the intervention will be delivered in a limited number of tertiary facilities with radiologists who need to be educated in how to undertake the procedure, only a proportion of elig</w:t>
      </w:r>
      <w:r w:rsidR="00760AC9" w:rsidRPr="00BC4A30">
        <w:rPr>
          <w:rFonts w:asciiTheme="minorHAnsi" w:hAnsiTheme="minorHAnsi"/>
          <w:noProof/>
        </w:rPr>
        <w:t>i</w:t>
      </w:r>
      <w:r w:rsidRPr="00BC4A30">
        <w:rPr>
          <w:rFonts w:asciiTheme="minorHAnsi" w:hAnsiTheme="minorHAnsi"/>
          <w:noProof/>
        </w:rPr>
        <w:t xml:space="preserve">ble patients would receive MTA over the next five years. </w:t>
      </w:r>
    </w:p>
    <w:p w14:paraId="5C18644F" w14:textId="77777777" w:rsidR="00AB12D2" w:rsidRPr="00BC4A30" w:rsidRDefault="00AB12D2" w:rsidP="00AB12D2">
      <w:pPr>
        <w:rPr>
          <w:rFonts w:asciiTheme="minorHAnsi" w:hAnsiTheme="minorHAnsi"/>
          <w:noProof/>
        </w:rPr>
      </w:pPr>
      <w:r w:rsidRPr="00BC4A30">
        <w:rPr>
          <w:rFonts w:asciiTheme="minorHAnsi" w:hAnsiTheme="minorHAnsi"/>
          <w:noProof/>
        </w:rPr>
        <w:t xml:space="preserve">It is expected that in year 1, 3,215 patients will </w:t>
      </w:r>
      <w:r w:rsidR="00D806CE">
        <w:rPr>
          <w:rFonts w:asciiTheme="minorHAnsi" w:hAnsiTheme="minorHAnsi"/>
          <w:noProof/>
        </w:rPr>
        <w:t>have early stage NSCLC and 1,833</w:t>
      </w:r>
      <w:r w:rsidRPr="00BC4A30">
        <w:rPr>
          <w:rFonts w:asciiTheme="minorHAnsi" w:hAnsiTheme="minorHAnsi"/>
          <w:noProof/>
        </w:rPr>
        <w:t xml:space="preserve"> of them will be ineligible </w:t>
      </w:r>
      <w:r w:rsidR="00D806CE">
        <w:rPr>
          <w:rFonts w:asciiTheme="minorHAnsi" w:hAnsiTheme="minorHAnsi"/>
          <w:noProof/>
        </w:rPr>
        <w:t>or would not elect surgery</w:t>
      </w:r>
      <w:r w:rsidRPr="00BC4A30">
        <w:rPr>
          <w:rFonts w:asciiTheme="minorHAnsi" w:hAnsiTheme="minorHAnsi"/>
          <w:noProof/>
        </w:rPr>
        <w:t xml:space="preserve">, increasing to 2,174 patients in year five. Additionally, a smaller number of patients with </w:t>
      </w:r>
      <w:r w:rsidRPr="00BC4A30">
        <w:t>pulmonary metastases, in whom the primary tumour is under control, will be eligible for MTA. This is estimated to be equivalent to 10 per cent of the early stage eligible population.</w:t>
      </w:r>
    </w:p>
    <w:p w14:paraId="2ECD024B" w14:textId="6E7FCAE0" w:rsidR="00D806CE" w:rsidRDefault="00A941E9" w:rsidP="00AB12D2">
      <w:pPr>
        <w:rPr>
          <w:rFonts w:asciiTheme="minorHAnsi" w:hAnsiTheme="minorHAnsi"/>
        </w:rPr>
      </w:pPr>
      <w:r w:rsidRPr="00BC4A30">
        <w:rPr>
          <w:rFonts w:asciiTheme="minorHAnsi" w:hAnsiTheme="minorHAnsi"/>
        </w:rPr>
        <w:t>The p</w:t>
      </w:r>
      <w:r w:rsidR="00AB12D2" w:rsidRPr="00BC4A30">
        <w:rPr>
          <w:rFonts w:asciiTheme="minorHAnsi" w:hAnsiTheme="minorHAnsi"/>
        </w:rPr>
        <w:t>rotocol notes it is unclear how often either MTA or RFA are used in current clinical practice as there is no current MBS, AIHW Procedure or AR-DRG item for these procedures of the lung. The closest description of a procedure was found to be item 90181</w:t>
      </w:r>
      <w:r w:rsidR="00D35E9C">
        <w:rPr>
          <w:rFonts w:asciiTheme="minorHAnsi" w:hAnsiTheme="minorHAnsi"/>
        </w:rPr>
        <w:t>–</w:t>
      </w:r>
      <w:r w:rsidR="00AB12D2" w:rsidRPr="00BC4A30">
        <w:rPr>
          <w:rFonts w:asciiTheme="minorHAnsi" w:hAnsiTheme="minorHAnsi"/>
        </w:rPr>
        <w:t>00: destruction procedures on lung.  In total 127 procedures were undertaken in 2011</w:t>
      </w:r>
      <w:r w:rsidR="006D0335">
        <w:t>–</w:t>
      </w:r>
      <w:r w:rsidR="00AB12D2" w:rsidRPr="00BC4A30">
        <w:rPr>
          <w:rFonts w:asciiTheme="minorHAnsi" w:hAnsiTheme="minorHAnsi"/>
        </w:rPr>
        <w:t>1</w:t>
      </w:r>
      <w:r w:rsidR="00513ECE">
        <w:rPr>
          <w:rFonts w:asciiTheme="minorHAnsi" w:hAnsiTheme="minorHAnsi"/>
        </w:rPr>
        <w:t>20</w:t>
      </w:r>
      <w:r w:rsidR="00AB12D2" w:rsidRPr="00BC4A30">
        <w:rPr>
          <w:rFonts w:asciiTheme="minorHAnsi" w:hAnsiTheme="minorHAnsi"/>
        </w:rPr>
        <w:t>2, 135 in 2012</w:t>
      </w:r>
      <w:r w:rsidR="006D0335">
        <w:t>–</w:t>
      </w:r>
      <w:r w:rsidR="00AB12D2" w:rsidRPr="00BC4A30">
        <w:rPr>
          <w:rFonts w:asciiTheme="minorHAnsi" w:hAnsiTheme="minorHAnsi"/>
        </w:rPr>
        <w:t>13, and 148 in 2013</w:t>
      </w:r>
      <w:r w:rsidR="006D0335">
        <w:t>–</w:t>
      </w:r>
      <w:r w:rsidR="00513ECE">
        <w:t>20</w:t>
      </w:r>
      <w:r w:rsidR="00AB12D2" w:rsidRPr="00BC4A30">
        <w:rPr>
          <w:rFonts w:asciiTheme="minorHAnsi" w:hAnsiTheme="minorHAnsi"/>
        </w:rPr>
        <w:t xml:space="preserve">14. </w:t>
      </w:r>
    </w:p>
    <w:p w14:paraId="09DDB7B0" w14:textId="6EC84625" w:rsidR="00AB12D2" w:rsidRPr="00BC4A30" w:rsidRDefault="00AB12D2" w:rsidP="00AB12D2">
      <w:r w:rsidRPr="00BC4A30">
        <w:rPr>
          <w:rFonts w:asciiTheme="minorHAnsi" w:hAnsiTheme="minorHAnsi"/>
        </w:rPr>
        <w:t>Expert clinical advice is that the MTA procedure is likely to substitute for s</w:t>
      </w:r>
      <w:r w:rsidRPr="00BC4A30">
        <w:t>tereotactic radiosurgery</w:t>
      </w:r>
      <w:r w:rsidRPr="00BC4A30">
        <w:rPr>
          <w:rFonts w:asciiTheme="minorHAnsi" w:hAnsiTheme="minorHAnsi"/>
        </w:rPr>
        <w:t xml:space="preserve"> of the lung. </w:t>
      </w:r>
      <w:r w:rsidRPr="00BC4A30">
        <w:t xml:space="preserve">Stereotactic radiosurgery allows non-invasive ablative treatment that is used for tumours and other lesions that would be inaccessible or inappropriate for open </w:t>
      </w:r>
      <w:r w:rsidRPr="007121B3">
        <w:t xml:space="preserve">surgery </w:t>
      </w:r>
      <w:r w:rsidR="007121B3" w:rsidRPr="007121B3">
        <w:fldChar w:fldCharType="begin">
          <w:fldData xml:space="preserve">PEVuZE5vdGU+PENpdGU+PEF1dGhvcj5UaW1tZXJtYW48L0F1dGhvcj48WWVhcj4yMDEwPC9ZZWFy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</w:fldData>
        </w:fldChar>
      </w:r>
      <w:r w:rsidR="007121B3" w:rsidRPr="007121B3">
        <w:instrText xml:space="preserve"> ADDIN EN.CITE </w:instrText>
      </w:r>
      <w:r w:rsidR="007121B3" w:rsidRPr="007121B3">
        <w:fldChar w:fldCharType="begin">
          <w:fldData xml:space="preserve">PEVuZE5vdGU+PENpdGU+PEF1dGhvcj5UaW1tZXJtYW48L0F1dGhvcj48WWVhcj4yMDEwPC9ZZWFy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</w:fldData>
        </w:fldChar>
      </w:r>
      <w:r w:rsidR="007121B3" w:rsidRPr="007121B3">
        <w:instrText xml:space="preserve"> ADDIN EN.CITE.DATA </w:instrText>
      </w:r>
      <w:r w:rsidR="007121B3" w:rsidRPr="007121B3">
        <w:fldChar w:fldCharType="end"/>
      </w:r>
      <w:r w:rsidR="007121B3" w:rsidRPr="007121B3">
        <w:fldChar w:fldCharType="separate"/>
      </w:r>
      <w:r w:rsidR="007121B3" w:rsidRPr="007121B3">
        <w:rPr>
          <w:noProof/>
        </w:rPr>
        <w:t>(</w:t>
      </w:r>
      <w:hyperlink w:anchor="_ENREF_158" w:tooltip="Timmerman, 2010 #279" w:history="1">
        <w:r w:rsidR="00320458" w:rsidRPr="007121B3">
          <w:rPr>
            <w:noProof/>
          </w:rPr>
          <w:t>Timmerman et al 2010</w:t>
        </w:r>
      </w:hyperlink>
      <w:r w:rsidR="007121B3" w:rsidRPr="007121B3">
        <w:rPr>
          <w:noProof/>
        </w:rPr>
        <w:t>)</w:t>
      </w:r>
      <w:r w:rsidR="007121B3" w:rsidRPr="007121B3">
        <w:fldChar w:fldCharType="end"/>
      </w:r>
      <w:r w:rsidRPr="007121B3">
        <w:t>.</w:t>
      </w:r>
    </w:p>
    <w:p w14:paraId="19DC9682" w14:textId="23D2E520" w:rsidR="00AB12D2" w:rsidRPr="00BC4A30" w:rsidRDefault="00AB12D2" w:rsidP="00AB12D2">
      <w:r w:rsidRPr="00BC4A30">
        <w:lastRenderedPageBreak/>
        <w:t xml:space="preserve">Stereotactic radiosurgery is usually referred to as fractionated stereotactic radiation therapy (SRT), when more than two treatments are given and SBRT when treatment is given to areas other than the head. Like MTA, the procedures are alternatives to invasive surgery, including for tumours and abnormalities that are hard to reach and located close to vital organs </w:t>
      </w:r>
      <w:r w:rsidR="00A208C0">
        <w:fldChar w:fldCharType="begin"/>
      </w:r>
      <w:r w:rsidR="00A208C0">
        <w:instrText xml:space="preserve"> ADDIN EN.CITE &lt;EndNote&gt;&lt;Cite&gt;&lt;Author&gt;Royal Australian and New Zealand College of Radiologists (RANZCR) &lt;/Author&gt;&lt;Year&gt;2016&lt;/Year&gt;&lt;RecNum&gt;286&lt;/RecNum&gt;&lt;DisplayText&gt;(Royal Australian and New Zealand College of Radiologists (RANZCR) 2016)&lt;/DisplayText&gt;&lt;record&gt;&lt;rec-number&gt;286&lt;/rec-number&gt;&lt;foreign-keys&gt;&lt;key app="EN" db-id="05ssdaw2cf0zvye5xvo5z9ww0xdpfstrdtew" timestamp="1472632494"&gt;286&lt;/key&gt;&lt;/foreign-keys&gt;&lt;ref-type name="Web Page"&gt;12&lt;/ref-type&gt;&lt;contributors&gt;&lt;authors&gt;&lt;author&gt;Royal Australian and New Zealand College of Radiologists (RANZCR) ,&lt;/author&gt;&lt;/authors&gt;&lt;/contributors&gt;&lt;titles&gt;&lt;title&gt;Response to MBS Consultation Paper. Faculty of Radiation Oncology, November 2015&lt;/title&gt;&lt;/titles&gt;&lt;volume&gt;2016&lt;/volume&gt;&lt;number&gt;31 August&lt;/number&gt;&lt;dates&gt;&lt;year&gt;2016&lt;/year&gt;&lt;pub-dates&gt;&lt;date&gt;unknown&lt;/date&gt;&lt;/pub-dates&gt;&lt;/dates&gt;&lt;urls&gt;&lt;related-urls&gt;&lt;url&gt;http://www.google.com.au/url?sa=t&amp;amp;rct=j&amp;amp;q=&amp;amp;esrc=s&amp;amp;source=web&amp;amp;cd=1&amp;amp;ved=0ahUKEwjs6_e1n-vOAhUHsJQKHYwtABEQFggdMAA&amp;amp;url=http%3A%2F%2Fwww.ranzcr.edu.au%2Fdocuments-download%2Fdocument-library-9%2F3966-20151110-faculty-of-radiation-oncology-mbs-consultation-response&amp;amp;usg=AFQjCNF_L3BMIPifTE7JwvopHOj6oArKLw&amp;amp;sig2=Oz-oIAKlyQZGi_cXMc_QKQ&lt;/url&gt;&lt;/related-urls&gt;&lt;/urls&gt;&lt;/record&gt;&lt;/Cite&gt;&lt;/EndNote&gt;</w:instrText>
      </w:r>
      <w:r w:rsidR="00A208C0">
        <w:fldChar w:fldCharType="separate"/>
      </w:r>
      <w:r w:rsidR="00A208C0">
        <w:rPr>
          <w:noProof/>
        </w:rPr>
        <w:t>(</w:t>
      </w:r>
      <w:hyperlink w:anchor="_ENREF_128" w:tooltip="Royal Australian and New Zealand College of Radiologists (RANZCR) , 2016 #286" w:history="1">
        <w:r w:rsidR="00320458">
          <w:rPr>
            <w:noProof/>
          </w:rPr>
          <w:t>Royal Australian and New Zealand College of Radiologists (RANZCR) 2016</w:t>
        </w:r>
      </w:hyperlink>
      <w:r w:rsidR="00A208C0">
        <w:rPr>
          <w:noProof/>
        </w:rPr>
        <w:t>)</w:t>
      </w:r>
      <w:r w:rsidR="00A208C0">
        <w:fldChar w:fldCharType="end"/>
      </w:r>
      <w:r w:rsidR="00A208C0">
        <w:t>.</w:t>
      </w:r>
      <w:r w:rsidRPr="00BC4A30">
        <w:t xml:space="preserve"> Treatment is generally safe for peripheral smaller tumours </w:t>
      </w:r>
      <w:r w:rsidR="007121B3">
        <w:fldChar w:fldCharType="begin">
          <w:fldData xml:space="preserve">PEVuZE5vdGU+PENpdGU+PEF1dGhvcj5UaW1tZXJtYW48L0F1dGhvcj48WWVhcj4yMDA2PC9ZZWFy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</w:fldData>
        </w:fldChar>
      </w:r>
      <w:r w:rsidR="007121B3">
        <w:instrText xml:space="preserve"> ADDIN EN.CITE </w:instrText>
      </w:r>
      <w:r w:rsidR="007121B3">
        <w:fldChar w:fldCharType="begin">
          <w:fldData xml:space="preserve">PEVuZE5vdGU+PENpdGU+PEF1dGhvcj5UaW1tZXJtYW48L0F1dGhvcj48WWVhcj4yMDA2PC9ZZWFy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</w:fldData>
        </w:fldChar>
      </w:r>
      <w:r w:rsidR="007121B3">
        <w:instrText xml:space="preserve"> ADDIN EN.CITE.DATA </w:instrText>
      </w:r>
      <w:r w:rsidR="007121B3">
        <w:fldChar w:fldCharType="end"/>
      </w:r>
      <w:r w:rsidR="007121B3">
        <w:fldChar w:fldCharType="separate"/>
      </w:r>
      <w:r w:rsidR="007121B3">
        <w:rPr>
          <w:noProof/>
        </w:rPr>
        <w:t>(</w:t>
      </w:r>
      <w:hyperlink w:anchor="_ENREF_157" w:tooltip="Timmerman, 2006 #280" w:history="1">
        <w:r w:rsidR="00320458">
          <w:rPr>
            <w:noProof/>
          </w:rPr>
          <w:t>Timmerman et al 2006</w:t>
        </w:r>
      </w:hyperlink>
      <w:r w:rsidR="007121B3">
        <w:rPr>
          <w:noProof/>
        </w:rPr>
        <w:t>)</w:t>
      </w:r>
      <w:r w:rsidR="007121B3">
        <w:fldChar w:fldCharType="end"/>
      </w:r>
      <w:r w:rsidRPr="00BC4A30">
        <w:t>.</w:t>
      </w:r>
    </w:p>
    <w:p w14:paraId="3E86BC36" w14:textId="51831EA8" w:rsidR="00AB12D2" w:rsidRPr="00BC4A30" w:rsidRDefault="00AB12D2" w:rsidP="00AB12D2">
      <w:pPr>
        <w:rPr>
          <w:rFonts w:asciiTheme="minorHAnsi" w:hAnsiTheme="minorHAnsi"/>
          <w:color w:val="000000"/>
        </w:rPr>
      </w:pPr>
      <w:r w:rsidRPr="00BC4A30">
        <w:t xml:space="preserve">Following discussion with experts it is assumed that MTA would largely replace the current use of SBRT in Stage I inoperable </w:t>
      </w:r>
      <w:r w:rsidR="00513ECE">
        <w:t xml:space="preserve">patients with </w:t>
      </w:r>
      <w:r w:rsidRPr="00BC4A30">
        <w:t>NSCLC and to</w:t>
      </w:r>
      <w:r w:rsidR="00513ECE">
        <w:t xml:space="preserve"> a</w:t>
      </w:r>
      <w:r w:rsidRPr="00BC4A30">
        <w:t xml:space="preserve"> l</w:t>
      </w:r>
      <w:r w:rsidR="00DB7D52" w:rsidRPr="00BC4A30">
        <w:t>esser extent in pulmonary oligo</w:t>
      </w:r>
      <w:r w:rsidRPr="00BC4A30">
        <w:t>metastases.</w:t>
      </w:r>
    </w:p>
    <w:p w14:paraId="51EF4C4B" w14:textId="309EB978" w:rsidR="00AB12D2" w:rsidRPr="00BC4A30" w:rsidRDefault="00AB12D2" w:rsidP="00AB12D2">
      <w:r w:rsidRPr="00BC4A30">
        <w:t xml:space="preserve">The machines used by Radiation Oncologists for </w:t>
      </w:r>
      <w:r w:rsidR="00760AC9" w:rsidRPr="00BC4A30">
        <w:t>SBRT</w:t>
      </w:r>
      <w:r w:rsidRPr="00BC4A30">
        <w:t xml:space="preserve"> provide precision in association with guidance systems that allows treatment to be delivered in 3</w:t>
      </w:r>
      <w:r w:rsidR="006D0335">
        <w:t>–</w:t>
      </w:r>
      <w:r w:rsidRPr="00BC4A30">
        <w:t>5 events using high dosage, as opposed to 20</w:t>
      </w:r>
      <w:r w:rsidR="00D35E9C">
        <w:t>–</w:t>
      </w:r>
      <w:r w:rsidRPr="00BC4A30">
        <w:t>30 treatments with conventional radiotherapy. Cancer Voices Australia (2011) highlighted that no data is available which examine savings in resource utili</w:t>
      </w:r>
      <w:r w:rsidR="00513ECE">
        <w:t>s</w:t>
      </w:r>
      <w:r w:rsidRPr="00BC4A30">
        <w:t xml:space="preserve">ation </w:t>
      </w:r>
      <w:r w:rsidR="00FD19BD" w:rsidRPr="00FD19BD">
        <w:t>—</w:t>
      </w:r>
      <w:r w:rsidRPr="00BC4A30">
        <w:t>such as reductions in travel and delivery cost</w:t>
      </w:r>
      <w:r w:rsidR="00FD19BD" w:rsidRPr="00FD19BD">
        <w:t>—</w:t>
      </w:r>
      <w:r w:rsidRPr="00BC4A30">
        <w:t xml:space="preserve">from treating with a small number of stereotactic treatments compared with more numerous conventional treatments. </w:t>
      </w:r>
    </w:p>
    <w:p w14:paraId="644EA991" w14:textId="2992469C" w:rsidR="00AB12D2" w:rsidRPr="00BC4A30" w:rsidRDefault="00AB12D2" w:rsidP="00CD1D1C">
      <w:r w:rsidRPr="00BC4A30">
        <w:t xml:space="preserve">Currently there is a once-off single item number (15600) covering stereotactic radiosurgery that bundles medical consultation, planning, simulation, dosimetry and treatment. The number of </w:t>
      </w:r>
      <w:r w:rsidR="00760AC9" w:rsidRPr="00BC4A30">
        <w:t>SBRT</w:t>
      </w:r>
      <w:r w:rsidRPr="00BC4A30">
        <w:t xml:space="preserve"> procedures reported using MBS online for this item number between 2000 and 2015 are limited. Most procedures are delivered in NSW, although until recently less than 100 procedures were delivered per year in this state, and the national </w:t>
      </w:r>
      <w:r w:rsidR="001479DE" w:rsidRPr="00BC4A30">
        <w:t>number of services</w:t>
      </w:r>
      <w:r w:rsidRPr="00BC4A30">
        <w:t xml:space="preserve"> is around 500 per year. Discussions with experts and Cancer Voices (2011) indicated that this item number is rarely used for </w:t>
      </w:r>
      <w:r w:rsidR="00760AC9" w:rsidRPr="00BC4A30">
        <w:t>SBRT</w:t>
      </w:r>
      <w:r w:rsidR="00D806CE">
        <w:t>. MBS items for</w:t>
      </w:r>
      <w:r w:rsidR="00CD1D1C">
        <w:t xml:space="preserve"> SBRT treatment of lung cancer </w:t>
      </w:r>
      <w:r w:rsidRPr="00BC4A30">
        <w:t xml:space="preserve">are itemised using </w:t>
      </w:r>
      <w:r w:rsidR="00CD1D1C">
        <w:t xml:space="preserve">MBS item numbers for a non-IMRT course derived following discussions with the billing </w:t>
      </w:r>
      <w:r w:rsidR="00FF6A6F">
        <w:t>clinicians</w:t>
      </w:r>
      <w:r w:rsidRPr="00BC4A30">
        <w:t>. These item numbers are outlined were outlined in Section D and the MBS components calculated later in this section.</w:t>
      </w:r>
    </w:p>
    <w:p w14:paraId="38CC1517" w14:textId="683A977D" w:rsidR="00AB12D2" w:rsidRPr="00BC4A30" w:rsidRDefault="00AB12D2" w:rsidP="00AB12D2">
      <w:pPr>
        <w:pStyle w:val="ListParagraph"/>
        <w:rPr>
          <w:rFonts w:asciiTheme="minorHAnsi" w:hAnsiTheme="minorHAnsi"/>
          <w:color w:val="000000"/>
        </w:rPr>
      </w:pPr>
      <w:r w:rsidRPr="00BC4A30">
        <w:rPr>
          <w:rFonts w:asciiTheme="minorHAnsi" w:hAnsiTheme="minorHAnsi"/>
          <w:color w:val="000000"/>
        </w:rPr>
        <w:t>The applicant estimates that 20</w:t>
      </w:r>
      <w:r w:rsidR="006D0335">
        <w:t>–</w:t>
      </w:r>
      <w:r w:rsidRPr="00BC4A30">
        <w:rPr>
          <w:rFonts w:asciiTheme="minorHAnsi" w:hAnsiTheme="minorHAnsi"/>
          <w:color w:val="000000"/>
        </w:rPr>
        <w:t xml:space="preserve">35 pulmonary ablations would be expected to be performed per site, per year. This estimate is based on data from large tertiary hospitals currently conducting pulmonary RFA, including the Royal Perth Hospital and the Royal Brisbane and Women’s Hospital. It is unclear how many sites would need to be considered in estimates of overall utilisation if the proposed service received MBS funding. </w:t>
      </w:r>
    </w:p>
    <w:p w14:paraId="0851DF09" w14:textId="77777777" w:rsidR="00AB12D2" w:rsidRPr="00BC4A30" w:rsidRDefault="00AB12D2" w:rsidP="00AB12D2">
      <w:pPr>
        <w:pStyle w:val="ListParagraph"/>
        <w:rPr>
          <w:rFonts w:asciiTheme="minorHAnsi" w:hAnsiTheme="minorHAnsi"/>
          <w:noProof/>
        </w:rPr>
      </w:pPr>
      <w:r w:rsidRPr="00BC4A30">
        <w:rPr>
          <w:rFonts w:asciiTheme="minorHAnsi" w:hAnsiTheme="minorHAnsi"/>
          <w:noProof/>
        </w:rPr>
        <w:t>An uptake rate of 10</w:t>
      </w:r>
      <w:r w:rsidR="00DB7D52" w:rsidRPr="00BC4A30">
        <w:rPr>
          <w:rFonts w:asciiTheme="minorHAnsi" w:hAnsiTheme="minorHAnsi"/>
          <w:noProof/>
        </w:rPr>
        <w:t xml:space="preserve"> per cent</w:t>
      </w:r>
      <w:r w:rsidRPr="00BC4A30">
        <w:rPr>
          <w:rFonts w:asciiTheme="minorHAnsi" w:hAnsiTheme="minorHAnsi"/>
          <w:noProof/>
        </w:rPr>
        <w:t xml:space="preserve"> has been assumed for the first 5 years to account for developing treatment capacity and educating radiologists.  The number of interventions increases by nearly 200 procedures per year which reflects an increase in capacity of 10 machines per year. The base case estimates for number of anticipated MTA procedures per year based on these uptake rates are provided in</w:t>
      </w:r>
      <w:r w:rsidRPr="00BC4A30">
        <w:rPr>
          <w:rFonts w:asciiTheme="minorHAnsi" w:hAnsiTheme="minorHAnsi"/>
          <w:b/>
          <w:noProof/>
        </w:rPr>
        <w:t xml:space="preserve"> </w:t>
      </w:r>
      <w:r w:rsidRPr="00BC4A30">
        <w:rPr>
          <w:rFonts w:asciiTheme="minorHAnsi" w:hAnsiTheme="minorHAnsi"/>
          <w:b/>
          <w:noProof/>
        </w:rPr>
        <w:fldChar w:fldCharType="begin"/>
      </w:r>
      <w:r w:rsidRPr="00BC4A30">
        <w:rPr>
          <w:rFonts w:asciiTheme="minorHAnsi" w:hAnsiTheme="minorHAnsi"/>
          <w:b/>
          <w:noProof/>
        </w:rPr>
        <w:instrText xml:space="preserve"> REF _Ref457412161 \h </w:instrText>
      </w:r>
      <w:r w:rsidR="00796EF0" w:rsidRPr="00BC4A30">
        <w:rPr>
          <w:rFonts w:asciiTheme="minorHAnsi" w:hAnsiTheme="minorHAnsi"/>
          <w:b/>
          <w:noProof/>
        </w:rPr>
        <w:instrText xml:space="preserve"> \* MERGEFORMAT </w:instrText>
      </w:r>
      <w:r w:rsidRPr="00BC4A30">
        <w:rPr>
          <w:rFonts w:asciiTheme="minorHAnsi" w:hAnsiTheme="minorHAnsi"/>
          <w:b/>
          <w:noProof/>
        </w:rPr>
      </w:r>
      <w:r w:rsidRPr="00BC4A30">
        <w:rPr>
          <w:rFonts w:asciiTheme="minorHAnsi" w:hAnsiTheme="minorHAnsi"/>
          <w:b/>
          <w:noProof/>
        </w:rPr>
        <w:fldChar w:fldCharType="separate"/>
      </w:r>
      <w:r w:rsidR="00D170A5" w:rsidRPr="00BC4A30">
        <w:t xml:space="preserve">Table </w:t>
      </w:r>
      <w:r w:rsidR="00D170A5">
        <w:rPr>
          <w:noProof/>
        </w:rPr>
        <w:t>80</w:t>
      </w:r>
      <w:r w:rsidRPr="00BC4A30">
        <w:rPr>
          <w:rFonts w:asciiTheme="minorHAnsi" w:hAnsiTheme="minorHAnsi"/>
          <w:b/>
          <w:noProof/>
        </w:rPr>
        <w:fldChar w:fldCharType="end"/>
      </w:r>
      <w:r w:rsidRPr="00BC4A30">
        <w:rPr>
          <w:rFonts w:asciiTheme="minorHAnsi" w:hAnsiTheme="minorHAnsi"/>
          <w:b/>
          <w:noProof/>
        </w:rPr>
        <w:t>.</w:t>
      </w:r>
    </w:p>
    <w:p w14:paraId="47E62147" w14:textId="75E3566D" w:rsidR="00AB12D2" w:rsidRPr="00BC4A30" w:rsidRDefault="00AB12D2" w:rsidP="00AB12D2">
      <w:pPr>
        <w:pStyle w:val="ListParagraph"/>
        <w:rPr>
          <w:rFonts w:asciiTheme="minorHAnsi" w:hAnsiTheme="minorHAnsi"/>
          <w:noProof/>
        </w:rPr>
      </w:pPr>
      <w:r w:rsidRPr="00BC4A30">
        <w:rPr>
          <w:rFonts w:asciiTheme="minorHAnsi" w:hAnsiTheme="minorHAnsi"/>
          <w:noProof/>
        </w:rPr>
        <w:t>A total of 2</w:t>
      </w:r>
      <w:r w:rsidR="00CD1D1C">
        <w:rPr>
          <w:rFonts w:asciiTheme="minorHAnsi" w:hAnsiTheme="minorHAnsi"/>
          <w:noProof/>
        </w:rPr>
        <w:t>02</w:t>
      </w:r>
      <w:r w:rsidRPr="00BC4A30">
        <w:rPr>
          <w:rFonts w:asciiTheme="minorHAnsi" w:hAnsiTheme="minorHAnsi"/>
          <w:noProof/>
        </w:rPr>
        <w:t xml:space="preserve"> procedures are estimated in Year 1 increasing to </w:t>
      </w:r>
      <w:r w:rsidR="00CD1D1C">
        <w:rPr>
          <w:rFonts w:asciiTheme="minorHAnsi" w:hAnsiTheme="minorHAnsi"/>
          <w:noProof/>
        </w:rPr>
        <w:t>1117</w:t>
      </w:r>
      <w:r w:rsidRPr="00BC4A30">
        <w:rPr>
          <w:rFonts w:asciiTheme="minorHAnsi" w:hAnsiTheme="minorHAnsi"/>
          <w:noProof/>
        </w:rPr>
        <w:t xml:space="preserve"> in Year 5. The estimated number of MTA procedures in Year 1 is calculated as 10</w:t>
      </w:r>
      <w:r w:rsidR="00DB7D52" w:rsidRPr="00BC4A30">
        <w:rPr>
          <w:rFonts w:asciiTheme="minorHAnsi" w:hAnsiTheme="minorHAnsi"/>
          <w:noProof/>
        </w:rPr>
        <w:t xml:space="preserve"> per cent</w:t>
      </w:r>
      <w:r w:rsidRPr="00BC4A30">
        <w:rPr>
          <w:rFonts w:asciiTheme="minorHAnsi" w:hAnsiTheme="minorHAnsi"/>
          <w:noProof/>
        </w:rPr>
        <w:t xml:space="preserve"> of 2,</w:t>
      </w:r>
      <w:r w:rsidR="00CD1D1C">
        <w:rPr>
          <w:rFonts w:asciiTheme="minorHAnsi" w:hAnsiTheme="minorHAnsi"/>
          <w:noProof/>
        </w:rPr>
        <w:t>016</w:t>
      </w:r>
      <w:r w:rsidRPr="00BC4A30">
        <w:rPr>
          <w:rFonts w:asciiTheme="minorHAnsi" w:hAnsiTheme="minorHAnsi"/>
          <w:noProof/>
        </w:rPr>
        <w:t xml:space="preserve"> eligible MTA patients from </w:t>
      </w:r>
      <w:r w:rsidR="006D0335">
        <w:rPr>
          <w:rFonts w:asciiTheme="minorHAnsi" w:hAnsiTheme="minorHAnsi"/>
          <w:noProof/>
        </w:rPr>
        <w:lastRenderedPageBreak/>
        <w:fldChar w:fldCharType="begin"/>
      </w:r>
      <w:r w:rsidR="006D0335">
        <w:rPr>
          <w:rFonts w:asciiTheme="minorHAnsi" w:hAnsiTheme="minorHAnsi"/>
          <w:noProof/>
        </w:rPr>
        <w:instrText xml:space="preserve"> REF _Ref457412161 \h </w:instrText>
      </w:r>
      <w:r w:rsidR="006D0335">
        <w:rPr>
          <w:rFonts w:asciiTheme="minorHAnsi" w:hAnsiTheme="minorHAnsi"/>
          <w:noProof/>
        </w:rPr>
      </w:r>
      <w:r w:rsidR="006D0335">
        <w:rPr>
          <w:rFonts w:asciiTheme="minorHAnsi" w:hAnsiTheme="minorHAnsi"/>
          <w:noProof/>
        </w:rPr>
        <w:fldChar w:fldCharType="separate"/>
      </w:r>
      <w:r w:rsidR="00D170A5" w:rsidRPr="00BC4A30">
        <w:t xml:space="preserve">Table </w:t>
      </w:r>
      <w:r w:rsidR="00D170A5">
        <w:rPr>
          <w:noProof/>
        </w:rPr>
        <w:t>80</w:t>
      </w:r>
      <w:r w:rsidR="006D0335">
        <w:rPr>
          <w:rFonts w:asciiTheme="minorHAnsi" w:hAnsiTheme="minorHAnsi"/>
          <w:noProof/>
        </w:rPr>
        <w:fldChar w:fldCharType="end"/>
      </w:r>
      <w:r w:rsidRPr="00BC4A30">
        <w:rPr>
          <w:rFonts w:asciiTheme="minorHAnsi" w:hAnsiTheme="minorHAnsi"/>
          <w:noProof/>
        </w:rPr>
        <w:t>. This uptake linearly increases until 50</w:t>
      </w:r>
      <w:r w:rsidR="00DB7D52" w:rsidRPr="00BC4A30">
        <w:rPr>
          <w:rFonts w:asciiTheme="minorHAnsi" w:hAnsiTheme="minorHAnsi"/>
          <w:noProof/>
        </w:rPr>
        <w:t xml:space="preserve"> per cent</w:t>
      </w:r>
      <w:r w:rsidRPr="00BC4A30">
        <w:rPr>
          <w:rFonts w:asciiTheme="minorHAnsi" w:hAnsiTheme="minorHAnsi"/>
          <w:noProof/>
        </w:rPr>
        <w:t xml:space="preserve"> of the Year 5 number of MTA patients of 2,</w:t>
      </w:r>
      <w:r w:rsidR="00CD1D1C">
        <w:rPr>
          <w:rFonts w:asciiTheme="minorHAnsi" w:hAnsiTheme="minorHAnsi"/>
          <w:noProof/>
        </w:rPr>
        <w:t>234</w:t>
      </w:r>
      <w:r w:rsidRPr="00BC4A30">
        <w:rPr>
          <w:rFonts w:asciiTheme="minorHAnsi" w:hAnsiTheme="minorHAnsi"/>
          <w:noProof/>
        </w:rPr>
        <w:t>, or 1,1</w:t>
      </w:r>
      <w:r w:rsidR="00CD1D1C">
        <w:rPr>
          <w:rFonts w:asciiTheme="minorHAnsi" w:hAnsiTheme="minorHAnsi"/>
          <w:noProof/>
        </w:rPr>
        <w:t>17</w:t>
      </w:r>
      <w:r w:rsidRPr="00BC4A30">
        <w:rPr>
          <w:rFonts w:asciiTheme="minorHAnsi" w:hAnsiTheme="minorHAnsi"/>
          <w:noProof/>
        </w:rPr>
        <w:t xml:space="preserve"> patients are estimated to receive MTA treatment in this year.</w:t>
      </w:r>
    </w:p>
    <w:p w14:paraId="629785CB" w14:textId="271C9C5D" w:rsidR="007C6179" w:rsidRDefault="00AB12D2" w:rsidP="00437530">
      <w:pPr>
        <w:rPr>
          <w:noProof/>
        </w:rPr>
      </w:pPr>
      <w:r w:rsidRPr="00BC4A30">
        <w:rPr>
          <w:noProof/>
        </w:rPr>
        <w:t>The number of MTA procedures is diaggregated by lesion groupings. Discussions with clinicial experts indicated most ablatation would involve less than 3 lesions. Correspondingly, 90</w:t>
      </w:r>
      <w:r w:rsidR="00DB7D52" w:rsidRPr="00BC4A30">
        <w:rPr>
          <w:noProof/>
        </w:rPr>
        <w:t xml:space="preserve"> per cent</w:t>
      </w:r>
      <w:r w:rsidRPr="00BC4A30">
        <w:rPr>
          <w:noProof/>
        </w:rPr>
        <w:t xml:space="preserve"> of the 2</w:t>
      </w:r>
      <w:r w:rsidR="00CD1D1C">
        <w:rPr>
          <w:noProof/>
        </w:rPr>
        <w:t>02</w:t>
      </w:r>
      <w:r w:rsidRPr="00BC4A30">
        <w:rPr>
          <w:noProof/>
        </w:rPr>
        <w:t xml:space="preserve"> MTA procedures forecast for Year 1 will involve the proposed fee associated with less than three lesions. While 1</w:t>
      </w:r>
      <w:r w:rsidR="00CD1D1C">
        <w:rPr>
          <w:noProof/>
        </w:rPr>
        <w:t>81</w:t>
      </w:r>
      <w:r w:rsidRPr="00BC4A30">
        <w:rPr>
          <w:noProof/>
        </w:rPr>
        <w:t xml:space="preserve"> MTA procedures are estimated for &lt;3 lesions, around 10</w:t>
      </w:r>
      <w:r w:rsidR="00DB7D52" w:rsidRPr="00BC4A30">
        <w:rPr>
          <w:noProof/>
        </w:rPr>
        <w:t xml:space="preserve"> per cent</w:t>
      </w:r>
      <w:r w:rsidRPr="00BC4A30">
        <w:rPr>
          <w:noProof/>
        </w:rPr>
        <w:t xml:space="preserve"> of a</w:t>
      </w:r>
      <w:r w:rsidR="00CD1D1C">
        <w:rPr>
          <w:noProof/>
        </w:rPr>
        <w:t>ll MTA procedures, or 20</w:t>
      </w:r>
      <w:r w:rsidRPr="00BC4A30">
        <w:rPr>
          <w:noProof/>
        </w:rPr>
        <w:t>, are estimated for 3</w:t>
      </w:r>
      <w:r w:rsidR="00FD19BD">
        <w:t>–</w:t>
      </w:r>
      <w:r w:rsidRPr="00BC4A30">
        <w:rPr>
          <w:noProof/>
        </w:rPr>
        <w:t>5 lesions. No MTA procedures are estimated for patients with more than 5 lesions.</w:t>
      </w:r>
    </w:p>
    <w:p w14:paraId="69F4B740" w14:textId="77777777" w:rsidR="00AB12D2" w:rsidRPr="00BC4A30" w:rsidRDefault="00AB12D2" w:rsidP="00AB12D2">
      <w:pPr>
        <w:pStyle w:val="Caption"/>
        <w:keepNext/>
      </w:pPr>
      <w:bookmarkStart w:id="438" w:name="_Ref457412161"/>
      <w:bookmarkStart w:id="439" w:name="_Toc460514738"/>
      <w:r w:rsidRPr="00BC4A30">
        <w:t xml:space="preserve">Table </w:t>
      </w:r>
      <w:fldSimple w:instr=" SEQ Table \* ARABIC ">
        <w:r w:rsidR="00D170A5">
          <w:rPr>
            <w:noProof/>
          </w:rPr>
          <w:t>80</w:t>
        </w:r>
      </w:fldSimple>
      <w:bookmarkEnd w:id="438"/>
      <w:r w:rsidRPr="00BC4A30">
        <w:tab/>
        <w:t>Estimated uptake of the MTA procedure</w:t>
      </w:r>
      <w:bookmarkEnd w:id="439"/>
    </w:p>
    <w:tbl>
      <w:tblPr>
        <w:tblW w:w="5000" w:type="pct"/>
        <w:tblLook w:val="04A0" w:firstRow="1" w:lastRow="0" w:firstColumn="1" w:lastColumn="0" w:noHBand="0" w:noVBand="1"/>
      </w:tblPr>
      <w:tblGrid>
        <w:gridCol w:w="2847"/>
        <w:gridCol w:w="1279"/>
        <w:gridCol w:w="1279"/>
        <w:gridCol w:w="1279"/>
        <w:gridCol w:w="1279"/>
        <w:gridCol w:w="1279"/>
      </w:tblGrid>
      <w:tr w:rsidR="00AB12D2" w:rsidRPr="00BC4A30" w14:paraId="33CC3705" w14:textId="77777777" w:rsidTr="007121B3">
        <w:trPr>
          <w:trHeight w:val="285"/>
        </w:trPr>
        <w:tc>
          <w:tcPr>
            <w:tcW w:w="15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2711C7" w14:textId="77777777" w:rsidR="00AB12D2" w:rsidRPr="007121B3" w:rsidRDefault="00AB12D2" w:rsidP="007A2268">
            <w:pPr>
              <w:pStyle w:val="Tabletext1"/>
              <w:rPr>
                <w:b/>
              </w:rPr>
            </w:pPr>
            <w:r w:rsidRPr="007121B3">
              <w:rPr>
                <w:b/>
              </w:rPr>
              <w:t> </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E1DEFA" w14:textId="77777777" w:rsidR="00AB12D2" w:rsidRPr="007121B3" w:rsidRDefault="00AB12D2" w:rsidP="007A2268">
            <w:pPr>
              <w:pStyle w:val="Tabletext1"/>
              <w:rPr>
                <w:b/>
              </w:rPr>
            </w:pPr>
            <w:r w:rsidRPr="007121B3">
              <w:rPr>
                <w:b/>
              </w:rPr>
              <w:t>Year 1</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33F503" w14:textId="77777777" w:rsidR="00AB12D2" w:rsidRPr="007121B3" w:rsidRDefault="00AB12D2" w:rsidP="007A2268">
            <w:pPr>
              <w:pStyle w:val="Tabletext1"/>
              <w:rPr>
                <w:b/>
              </w:rPr>
            </w:pPr>
            <w:r w:rsidRPr="007121B3">
              <w:rPr>
                <w:b/>
              </w:rPr>
              <w:t>Year 2</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4B45EA" w14:textId="77777777" w:rsidR="00AB12D2" w:rsidRPr="007121B3" w:rsidRDefault="00AB12D2" w:rsidP="007A2268">
            <w:pPr>
              <w:pStyle w:val="Tabletext1"/>
              <w:rPr>
                <w:b/>
              </w:rPr>
            </w:pPr>
            <w:r w:rsidRPr="007121B3">
              <w:rPr>
                <w:b/>
              </w:rPr>
              <w:t>Year 3</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C5E2F9" w14:textId="77777777" w:rsidR="00AB12D2" w:rsidRPr="007121B3" w:rsidRDefault="00AB12D2" w:rsidP="007A2268">
            <w:pPr>
              <w:pStyle w:val="Tabletext1"/>
              <w:rPr>
                <w:b/>
              </w:rPr>
            </w:pPr>
            <w:r w:rsidRPr="007121B3">
              <w:rPr>
                <w:b/>
              </w:rPr>
              <w:t>Year 4</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A13071" w14:textId="77777777" w:rsidR="00AB12D2" w:rsidRPr="007121B3" w:rsidRDefault="00AB12D2" w:rsidP="007A2268">
            <w:pPr>
              <w:pStyle w:val="Tabletext1"/>
              <w:rPr>
                <w:b/>
              </w:rPr>
            </w:pPr>
            <w:r w:rsidRPr="007121B3">
              <w:rPr>
                <w:b/>
              </w:rPr>
              <w:t>Year 5</w:t>
            </w:r>
          </w:p>
        </w:tc>
      </w:tr>
      <w:tr w:rsidR="00CD1D1C" w:rsidRPr="00BC4A30" w14:paraId="40B75108" w14:textId="77777777" w:rsidTr="00AB12D2">
        <w:trPr>
          <w:trHeight w:val="255"/>
        </w:trPr>
        <w:tc>
          <w:tcPr>
            <w:tcW w:w="1540" w:type="pct"/>
            <w:tcBorders>
              <w:top w:val="nil"/>
              <w:left w:val="single" w:sz="4" w:space="0" w:color="auto"/>
              <w:bottom w:val="single" w:sz="4" w:space="0" w:color="auto"/>
              <w:right w:val="single" w:sz="4" w:space="0" w:color="auto"/>
            </w:tcBorders>
            <w:shd w:val="clear" w:color="000000" w:fill="D9D9D9"/>
            <w:vAlign w:val="center"/>
          </w:tcPr>
          <w:p w14:paraId="3C6777BC" w14:textId="77777777" w:rsidR="00CD1D1C" w:rsidRPr="007121B3" w:rsidRDefault="00CD1D1C" w:rsidP="007A2268">
            <w:pPr>
              <w:pStyle w:val="Tabletext1"/>
              <w:rPr>
                <w:b/>
              </w:rPr>
            </w:pPr>
            <w:r w:rsidRPr="007121B3">
              <w:rPr>
                <w:b/>
              </w:rPr>
              <w:t>All Cases Suitable for MTA</w:t>
            </w:r>
          </w:p>
        </w:tc>
        <w:tc>
          <w:tcPr>
            <w:tcW w:w="692" w:type="pct"/>
            <w:tcBorders>
              <w:top w:val="nil"/>
              <w:left w:val="nil"/>
              <w:bottom w:val="single" w:sz="4" w:space="0" w:color="auto"/>
              <w:right w:val="single" w:sz="4" w:space="0" w:color="auto"/>
            </w:tcBorders>
            <w:shd w:val="clear" w:color="000000" w:fill="D9D9D9"/>
            <w:vAlign w:val="center"/>
          </w:tcPr>
          <w:p w14:paraId="6869349F" w14:textId="41B4F83C" w:rsidR="00CD1D1C" w:rsidRPr="00CD1D1C" w:rsidRDefault="008A35D3" w:rsidP="008A35D3">
            <w:pPr>
              <w:pStyle w:val="Tabletext1"/>
            </w:pPr>
            <w:r>
              <w:t>2,016</w:t>
            </w:r>
          </w:p>
        </w:tc>
        <w:tc>
          <w:tcPr>
            <w:tcW w:w="692" w:type="pct"/>
            <w:tcBorders>
              <w:top w:val="nil"/>
              <w:left w:val="nil"/>
              <w:bottom w:val="single" w:sz="4" w:space="0" w:color="auto"/>
              <w:right w:val="single" w:sz="4" w:space="0" w:color="auto"/>
            </w:tcBorders>
            <w:shd w:val="clear" w:color="000000" w:fill="D9D9D9"/>
            <w:vAlign w:val="center"/>
          </w:tcPr>
          <w:p w14:paraId="2714A2FC" w14:textId="56A3FF84" w:rsidR="00CD1D1C" w:rsidRPr="00CD1D1C" w:rsidRDefault="00CD1D1C" w:rsidP="007A2268">
            <w:pPr>
              <w:pStyle w:val="Tabletext1"/>
            </w:pPr>
            <w:r w:rsidRPr="00CD1D1C">
              <w:t xml:space="preserve">2,068 </w:t>
            </w:r>
          </w:p>
        </w:tc>
        <w:tc>
          <w:tcPr>
            <w:tcW w:w="692" w:type="pct"/>
            <w:tcBorders>
              <w:top w:val="nil"/>
              <w:left w:val="nil"/>
              <w:bottom w:val="single" w:sz="4" w:space="0" w:color="auto"/>
              <w:right w:val="single" w:sz="4" w:space="0" w:color="auto"/>
            </w:tcBorders>
            <w:shd w:val="clear" w:color="000000" w:fill="D9D9D9"/>
            <w:vAlign w:val="center"/>
          </w:tcPr>
          <w:p w14:paraId="5DBD749D" w14:textId="6C8E4876" w:rsidR="00CD1D1C" w:rsidRPr="00CD1D1C" w:rsidRDefault="00CD1D1C" w:rsidP="007A2268">
            <w:pPr>
              <w:pStyle w:val="Tabletext1"/>
            </w:pPr>
            <w:r w:rsidRPr="00CD1D1C">
              <w:t xml:space="preserve">2,122 </w:t>
            </w:r>
          </w:p>
        </w:tc>
        <w:tc>
          <w:tcPr>
            <w:tcW w:w="692" w:type="pct"/>
            <w:tcBorders>
              <w:top w:val="nil"/>
              <w:left w:val="nil"/>
              <w:bottom w:val="single" w:sz="4" w:space="0" w:color="auto"/>
              <w:right w:val="single" w:sz="4" w:space="0" w:color="auto"/>
            </w:tcBorders>
            <w:shd w:val="clear" w:color="000000" w:fill="D9D9D9"/>
            <w:vAlign w:val="center"/>
          </w:tcPr>
          <w:p w14:paraId="482F876C" w14:textId="297ECB15" w:rsidR="00CD1D1C" w:rsidRPr="00CD1D1C" w:rsidRDefault="00CD1D1C" w:rsidP="007A2268">
            <w:pPr>
              <w:pStyle w:val="Tabletext1"/>
            </w:pPr>
            <w:r w:rsidRPr="00CD1D1C">
              <w:t xml:space="preserve">2,177 </w:t>
            </w:r>
          </w:p>
        </w:tc>
        <w:tc>
          <w:tcPr>
            <w:tcW w:w="692" w:type="pct"/>
            <w:tcBorders>
              <w:top w:val="nil"/>
              <w:left w:val="nil"/>
              <w:bottom w:val="single" w:sz="4" w:space="0" w:color="auto"/>
              <w:right w:val="single" w:sz="4" w:space="0" w:color="auto"/>
            </w:tcBorders>
            <w:shd w:val="clear" w:color="000000" w:fill="D9D9D9"/>
            <w:vAlign w:val="center"/>
          </w:tcPr>
          <w:p w14:paraId="626B12A6" w14:textId="028CD371" w:rsidR="00CD1D1C" w:rsidRPr="00CD1D1C" w:rsidRDefault="00CD1D1C" w:rsidP="008A35D3">
            <w:pPr>
              <w:pStyle w:val="Tabletext1"/>
            </w:pPr>
            <w:r w:rsidRPr="00CD1D1C">
              <w:t xml:space="preserve">2,234 </w:t>
            </w:r>
          </w:p>
        </w:tc>
      </w:tr>
      <w:tr w:rsidR="00CD1D1C" w:rsidRPr="00BC4A30" w14:paraId="25085E37" w14:textId="77777777" w:rsidTr="00AB12D2">
        <w:trPr>
          <w:trHeight w:val="255"/>
        </w:trPr>
        <w:tc>
          <w:tcPr>
            <w:tcW w:w="1540" w:type="pct"/>
            <w:tcBorders>
              <w:top w:val="nil"/>
              <w:left w:val="single" w:sz="4" w:space="0" w:color="auto"/>
              <w:bottom w:val="single" w:sz="4" w:space="0" w:color="auto"/>
              <w:right w:val="single" w:sz="4" w:space="0" w:color="auto"/>
            </w:tcBorders>
            <w:shd w:val="clear" w:color="000000" w:fill="D9D9D9"/>
            <w:vAlign w:val="center"/>
            <w:hideMark/>
          </w:tcPr>
          <w:p w14:paraId="53AC7ADE" w14:textId="77777777" w:rsidR="00CD1D1C" w:rsidRPr="007121B3" w:rsidRDefault="00CD1D1C" w:rsidP="007A2268">
            <w:pPr>
              <w:pStyle w:val="Tabletext1"/>
              <w:rPr>
                <w:b/>
              </w:rPr>
            </w:pPr>
            <w:r w:rsidRPr="007121B3">
              <w:rPr>
                <w:b/>
              </w:rPr>
              <w:t>Uptake estimate</w:t>
            </w:r>
          </w:p>
        </w:tc>
        <w:tc>
          <w:tcPr>
            <w:tcW w:w="692" w:type="pct"/>
            <w:tcBorders>
              <w:top w:val="nil"/>
              <w:left w:val="nil"/>
              <w:bottom w:val="single" w:sz="4" w:space="0" w:color="auto"/>
              <w:right w:val="single" w:sz="4" w:space="0" w:color="auto"/>
            </w:tcBorders>
            <w:shd w:val="clear" w:color="000000" w:fill="D9D9D9"/>
            <w:vAlign w:val="center"/>
            <w:hideMark/>
          </w:tcPr>
          <w:p w14:paraId="1AF2841F" w14:textId="77777777" w:rsidR="00CD1D1C" w:rsidRPr="00CD1D1C" w:rsidRDefault="00CD1D1C" w:rsidP="007A2268">
            <w:pPr>
              <w:pStyle w:val="Tabletext1"/>
            </w:pPr>
            <w:r w:rsidRPr="00CD1D1C">
              <w:t>10%</w:t>
            </w:r>
          </w:p>
        </w:tc>
        <w:tc>
          <w:tcPr>
            <w:tcW w:w="692" w:type="pct"/>
            <w:tcBorders>
              <w:top w:val="nil"/>
              <w:left w:val="nil"/>
              <w:bottom w:val="single" w:sz="4" w:space="0" w:color="auto"/>
              <w:right w:val="single" w:sz="4" w:space="0" w:color="auto"/>
            </w:tcBorders>
            <w:shd w:val="clear" w:color="000000" w:fill="D9D9D9"/>
            <w:vAlign w:val="center"/>
            <w:hideMark/>
          </w:tcPr>
          <w:p w14:paraId="64C35B32" w14:textId="77777777" w:rsidR="00CD1D1C" w:rsidRPr="00CD1D1C" w:rsidRDefault="00CD1D1C" w:rsidP="007A2268">
            <w:pPr>
              <w:pStyle w:val="Tabletext1"/>
            </w:pPr>
            <w:r w:rsidRPr="00CD1D1C">
              <w:t>20%</w:t>
            </w:r>
          </w:p>
        </w:tc>
        <w:tc>
          <w:tcPr>
            <w:tcW w:w="692" w:type="pct"/>
            <w:tcBorders>
              <w:top w:val="nil"/>
              <w:left w:val="nil"/>
              <w:bottom w:val="single" w:sz="4" w:space="0" w:color="auto"/>
              <w:right w:val="single" w:sz="4" w:space="0" w:color="auto"/>
            </w:tcBorders>
            <w:shd w:val="clear" w:color="000000" w:fill="D9D9D9"/>
            <w:vAlign w:val="center"/>
            <w:hideMark/>
          </w:tcPr>
          <w:p w14:paraId="358E8760" w14:textId="77777777" w:rsidR="00CD1D1C" w:rsidRPr="00CD1D1C" w:rsidRDefault="00CD1D1C" w:rsidP="007A2268">
            <w:pPr>
              <w:pStyle w:val="Tabletext1"/>
            </w:pPr>
            <w:r w:rsidRPr="00CD1D1C">
              <w:t>30%</w:t>
            </w:r>
          </w:p>
        </w:tc>
        <w:tc>
          <w:tcPr>
            <w:tcW w:w="692" w:type="pct"/>
            <w:tcBorders>
              <w:top w:val="nil"/>
              <w:left w:val="nil"/>
              <w:bottom w:val="single" w:sz="4" w:space="0" w:color="auto"/>
              <w:right w:val="single" w:sz="4" w:space="0" w:color="auto"/>
            </w:tcBorders>
            <w:shd w:val="clear" w:color="000000" w:fill="D9D9D9"/>
            <w:vAlign w:val="center"/>
            <w:hideMark/>
          </w:tcPr>
          <w:p w14:paraId="37EC2B2B" w14:textId="77777777" w:rsidR="00CD1D1C" w:rsidRPr="00CD1D1C" w:rsidRDefault="00CD1D1C" w:rsidP="007A2268">
            <w:pPr>
              <w:pStyle w:val="Tabletext1"/>
            </w:pPr>
            <w:r w:rsidRPr="00CD1D1C">
              <w:t>40%</w:t>
            </w:r>
          </w:p>
        </w:tc>
        <w:tc>
          <w:tcPr>
            <w:tcW w:w="692" w:type="pct"/>
            <w:tcBorders>
              <w:top w:val="nil"/>
              <w:left w:val="nil"/>
              <w:bottom w:val="single" w:sz="4" w:space="0" w:color="auto"/>
              <w:right w:val="single" w:sz="4" w:space="0" w:color="auto"/>
            </w:tcBorders>
            <w:shd w:val="clear" w:color="000000" w:fill="D9D9D9"/>
            <w:vAlign w:val="center"/>
            <w:hideMark/>
          </w:tcPr>
          <w:p w14:paraId="7A40DA6C" w14:textId="77777777" w:rsidR="00CD1D1C" w:rsidRPr="00CD1D1C" w:rsidRDefault="00CD1D1C" w:rsidP="007A2268">
            <w:pPr>
              <w:pStyle w:val="Tabletext1"/>
            </w:pPr>
            <w:r w:rsidRPr="00CD1D1C">
              <w:t>50%</w:t>
            </w:r>
          </w:p>
        </w:tc>
      </w:tr>
      <w:tr w:rsidR="00CD1D1C" w:rsidRPr="00BC4A30" w14:paraId="095C001B" w14:textId="77777777" w:rsidTr="008A35D3">
        <w:trPr>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4D133CEB" w14:textId="77777777" w:rsidR="00CD1D1C" w:rsidRPr="00CD1D1C" w:rsidRDefault="00CD1D1C" w:rsidP="007A2268">
            <w:pPr>
              <w:pStyle w:val="Tabletext1"/>
            </w:pPr>
            <w:r w:rsidRPr="00CD1D1C">
              <w:t>Anticipated total number of MTA procedures per year</w:t>
            </w:r>
          </w:p>
        </w:tc>
        <w:tc>
          <w:tcPr>
            <w:tcW w:w="692" w:type="pct"/>
            <w:tcBorders>
              <w:top w:val="nil"/>
              <w:left w:val="nil"/>
              <w:bottom w:val="single" w:sz="4" w:space="0" w:color="auto"/>
              <w:right w:val="single" w:sz="4" w:space="0" w:color="auto"/>
            </w:tcBorders>
            <w:shd w:val="clear" w:color="auto" w:fill="auto"/>
            <w:vAlign w:val="center"/>
            <w:hideMark/>
          </w:tcPr>
          <w:p w14:paraId="7614F483" w14:textId="77777777" w:rsidR="00CD1D1C" w:rsidRPr="00CD1D1C" w:rsidRDefault="00CD1D1C" w:rsidP="007A2268">
            <w:pPr>
              <w:pStyle w:val="Tabletext1"/>
            </w:pPr>
            <w:r w:rsidRPr="00CD1D1C">
              <w:t>202</w:t>
            </w:r>
          </w:p>
        </w:tc>
        <w:tc>
          <w:tcPr>
            <w:tcW w:w="692" w:type="pct"/>
            <w:tcBorders>
              <w:top w:val="nil"/>
              <w:left w:val="nil"/>
              <w:bottom w:val="single" w:sz="4" w:space="0" w:color="auto"/>
              <w:right w:val="single" w:sz="4" w:space="0" w:color="auto"/>
            </w:tcBorders>
            <w:shd w:val="clear" w:color="auto" w:fill="auto"/>
            <w:vAlign w:val="center"/>
            <w:hideMark/>
          </w:tcPr>
          <w:p w14:paraId="1CF52A12" w14:textId="77777777" w:rsidR="00CD1D1C" w:rsidRPr="00CD1D1C" w:rsidRDefault="00CD1D1C" w:rsidP="007A2268">
            <w:pPr>
              <w:pStyle w:val="Tabletext1"/>
            </w:pPr>
            <w:r w:rsidRPr="00CD1D1C">
              <w:t>414</w:t>
            </w:r>
          </w:p>
        </w:tc>
        <w:tc>
          <w:tcPr>
            <w:tcW w:w="692" w:type="pct"/>
            <w:tcBorders>
              <w:top w:val="nil"/>
              <w:left w:val="nil"/>
              <w:bottom w:val="single" w:sz="4" w:space="0" w:color="auto"/>
              <w:right w:val="single" w:sz="4" w:space="0" w:color="auto"/>
            </w:tcBorders>
            <w:shd w:val="clear" w:color="auto" w:fill="auto"/>
            <w:vAlign w:val="center"/>
            <w:hideMark/>
          </w:tcPr>
          <w:p w14:paraId="045BBE59" w14:textId="77777777" w:rsidR="00CD1D1C" w:rsidRPr="00CD1D1C" w:rsidRDefault="00CD1D1C" w:rsidP="007A2268">
            <w:pPr>
              <w:pStyle w:val="Tabletext1"/>
            </w:pPr>
            <w:r w:rsidRPr="00CD1D1C">
              <w:t>636</w:t>
            </w:r>
          </w:p>
        </w:tc>
        <w:tc>
          <w:tcPr>
            <w:tcW w:w="692" w:type="pct"/>
            <w:tcBorders>
              <w:top w:val="nil"/>
              <w:left w:val="nil"/>
              <w:bottom w:val="single" w:sz="4" w:space="0" w:color="auto"/>
              <w:right w:val="single" w:sz="4" w:space="0" w:color="auto"/>
            </w:tcBorders>
            <w:shd w:val="clear" w:color="auto" w:fill="auto"/>
            <w:vAlign w:val="center"/>
            <w:hideMark/>
          </w:tcPr>
          <w:p w14:paraId="4EA20C96" w14:textId="77777777" w:rsidR="00CD1D1C" w:rsidRPr="00CD1D1C" w:rsidRDefault="00CD1D1C" w:rsidP="007A2268">
            <w:pPr>
              <w:pStyle w:val="Tabletext1"/>
            </w:pPr>
            <w:r w:rsidRPr="00CD1D1C">
              <w:t>871</w:t>
            </w:r>
          </w:p>
        </w:tc>
        <w:tc>
          <w:tcPr>
            <w:tcW w:w="692" w:type="pct"/>
            <w:tcBorders>
              <w:top w:val="nil"/>
              <w:left w:val="nil"/>
              <w:bottom w:val="single" w:sz="4" w:space="0" w:color="auto"/>
              <w:right w:val="single" w:sz="4" w:space="0" w:color="auto"/>
            </w:tcBorders>
            <w:shd w:val="clear" w:color="auto" w:fill="auto"/>
            <w:vAlign w:val="center"/>
            <w:hideMark/>
          </w:tcPr>
          <w:p w14:paraId="39C9AF6F" w14:textId="77777777" w:rsidR="00CD1D1C" w:rsidRPr="00CD1D1C" w:rsidRDefault="00CD1D1C" w:rsidP="007A2268">
            <w:pPr>
              <w:pStyle w:val="Tabletext1"/>
            </w:pPr>
            <w:r w:rsidRPr="00CD1D1C">
              <w:t>1117</w:t>
            </w:r>
          </w:p>
        </w:tc>
      </w:tr>
      <w:tr w:rsidR="00CD1D1C" w:rsidRPr="00BC4A30" w14:paraId="66DC9C4E" w14:textId="77777777" w:rsidTr="008A35D3">
        <w:trPr>
          <w:trHeight w:val="255"/>
        </w:trPr>
        <w:tc>
          <w:tcPr>
            <w:tcW w:w="1540" w:type="pct"/>
            <w:tcBorders>
              <w:top w:val="nil"/>
              <w:left w:val="single" w:sz="4" w:space="0" w:color="auto"/>
              <w:bottom w:val="single" w:sz="4" w:space="0" w:color="auto"/>
            </w:tcBorders>
            <w:shd w:val="clear" w:color="000000" w:fill="D9D9D9"/>
            <w:vAlign w:val="center"/>
            <w:hideMark/>
          </w:tcPr>
          <w:p w14:paraId="297CC9ED" w14:textId="77777777" w:rsidR="00CD1D1C" w:rsidRPr="007121B3" w:rsidRDefault="00CD1D1C" w:rsidP="007A2268">
            <w:pPr>
              <w:pStyle w:val="Tabletext1"/>
              <w:rPr>
                <w:b/>
              </w:rPr>
            </w:pPr>
            <w:r w:rsidRPr="007121B3">
              <w:rPr>
                <w:b/>
              </w:rPr>
              <w:t>Procedures by Lesion Grouping</w:t>
            </w:r>
          </w:p>
        </w:tc>
        <w:tc>
          <w:tcPr>
            <w:tcW w:w="692" w:type="pct"/>
            <w:tcBorders>
              <w:top w:val="single" w:sz="4" w:space="0" w:color="auto"/>
              <w:bottom w:val="single" w:sz="4" w:space="0" w:color="auto"/>
            </w:tcBorders>
            <w:shd w:val="clear" w:color="000000" w:fill="D9D9D9"/>
            <w:vAlign w:val="center"/>
          </w:tcPr>
          <w:p w14:paraId="335B52D4" w14:textId="77777777" w:rsidR="00CD1D1C" w:rsidRPr="00CD1D1C" w:rsidRDefault="00CD1D1C" w:rsidP="007A2268">
            <w:pPr>
              <w:pStyle w:val="Tabletext1"/>
            </w:pPr>
          </w:p>
        </w:tc>
        <w:tc>
          <w:tcPr>
            <w:tcW w:w="692" w:type="pct"/>
            <w:tcBorders>
              <w:top w:val="single" w:sz="4" w:space="0" w:color="auto"/>
              <w:bottom w:val="single" w:sz="4" w:space="0" w:color="auto"/>
            </w:tcBorders>
            <w:shd w:val="clear" w:color="000000" w:fill="D9D9D9"/>
            <w:vAlign w:val="center"/>
          </w:tcPr>
          <w:p w14:paraId="51855EAA" w14:textId="77777777" w:rsidR="00CD1D1C" w:rsidRPr="00CD1D1C" w:rsidRDefault="00CD1D1C" w:rsidP="007A2268">
            <w:pPr>
              <w:pStyle w:val="Tabletext1"/>
            </w:pPr>
          </w:p>
        </w:tc>
        <w:tc>
          <w:tcPr>
            <w:tcW w:w="692" w:type="pct"/>
            <w:tcBorders>
              <w:top w:val="single" w:sz="4" w:space="0" w:color="auto"/>
              <w:bottom w:val="single" w:sz="4" w:space="0" w:color="auto"/>
            </w:tcBorders>
            <w:shd w:val="clear" w:color="000000" w:fill="D9D9D9"/>
            <w:vAlign w:val="center"/>
          </w:tcPr>
          <w:p w14:paraId="048D7CD3" w14:textId="77777777" w:rsidR="00CD1D1C" w:rsidRPr="00CD1D1C" w:rsidRDefault="00CD1D1C" w:rsidP="007A2268">
            <w:pPr>
              <w:pStyle w:val="Tabletext1"/>
            </w:pPr>
          </w:p>
        </w:tc>
        <w:tc>
          <w:tcPr>
            <w:tcW w:w="692" w:type="pct"/>
            <w:tcBorders>
              <w:top w:val="single" w:sz="4" w:space="0" w:color="auto"/>
              <w:bottom w:val="single" w:sz="4" w:space="0" w:color="auto"/>
            </w:tcBorders>
            <w:shd w:val="clear" w:color="000000" w:fill="D9D9D9"/>
            <w:vAlign w:val="center"/>
          </w:tcPr>
          <w:p w14:paraId="42FA4EB1" w14:textId="77777777" w:rsidR="00CD1D1C" w:rsidRPr="00CD1D1C" w:rsidRDefault="00CD1D1C" w:rsidP="007A2268">
            <w:pPr>
              <w:pStyle w:val="Tabletext1"/>
            </w:pPr>
          </w:p>
        </w:tc>
        <w:tc>
          <w:tcPr>
            <w:tcW w:w="692" w:type="pct"/>
            <w:tcBorders>
              <w:top w:val="single" w:sz="4" w:space="0" w:color="auto"/>
              <w:bottom w:val="single" w:sz="4" w:space="0" w:color="auto"/>
              <w:right w:val="single" w:sz="4" w:space="0" w:color="auto"/>
            </w:tcBorders>
            <w:shd w:val="clear" w:color="000000" w:fill="D9D9D9"/>
            <w:vAlign w:val="center"/>
          </w:tcPr>
          <w:p w14:paraId="17A9C44E" w14:textId="77777777" w:rsidR="00CD1D1C" w:rsidRPr="00CD1D1C" w:rsidRDefault="00CD1D1C" w:rsidP="007A2268">
            <w:pPr>
              <w:pStyle w:val="Tabletext1"/>
            </w:pPr>
          </w:p>
        </w:tc>
      </w:tr>
      <w:tr w:rsidR="00CD1D1C" w:rsidRPr="00BC4A30" w14:paraId="2C8E58DB" w14:textId="77777777" w:rsidTr="00AB12D2">
        <w:trPr>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865507A" w14:textId="2FF1E2C6" w:rsidR="00CD1D1C" w:rsidRPr="00CD1D1C" w:rsidRDefault="006D0335" w:rsidP="007A2268">
            <w:pPr>
              <w:pStyle w:val="Tabletext1"/>
            </w:pPr>
            <w:r>
              <w:t>1–3</w:t>
            </w:r>
            <w:r w:rsidR="00CD1D1C" w:rsidRPr="00CD1D1C">
              <w:t xml:space="preserve"> lesions total per patient (90%)</w:t>
            </w:r>
          </w:p>
        </w:tc>
        <w:tc>
          <w:tcPr>
            <w:tcW w:w="692" w:type="pct"/>
            <w:tcBorders>
              <w:top w:val="nil"/>
              <w:left w:val="nil"/>
              <w:bottom w:val="single" w:sz="4" w:space="0" w:color="auto"/>
              <w:right w:val="single" w:sz="4" w:space="0" w:color="auto"/>
            </w:tcBorders>
            <w:shd w:val="clear" w:color="auto" w:fill="auto"/>
            <w:vAlign w:val="center"/>
            <w:hideMark/>
          </w:tcPr>
          <w:p w14:paraId="21CD20A1" w14:textId="77777777" w:rsidR="00CD1D1C" w:rsidRPr="00CD1D1C" w:rsidRDefault="00CD1D1C" w:rsidP="007A2268">
            <w:pPr>
              <w:pStyle w:val="Tabletext1"/>
            </w:pPr>
            <w:r w:rsidRPr="00CD1D1C">
              <w:t>181</w:t>
            </w:r>
          </w:p>
        </w:tc>
        <w:tc>
          <w:tcPr>
            <w:tcW w:w="692" w:type="pct"/>
            <w:tcBorders>
              <w:top w:val="nil"/>
              <w:left w:val="nil"/>
              <w:bottom w:val="single" w:sz="4" w:space="0" w:color="auto"/>
              <w:right w:val="single" w:sz="4" w:space="0" w:color="auto"/>
            </w:tcBorders>
            <w:shd w:val="clear" w:color="auto" w:fill="auto"/>
            <w:vAlign w:val="center"/>
            <w:hideMark/>
          </w:tcPr>
          <w:p w14:paraId="55697ED4" w14:textId="77777777" w:rsidR="00CD1D1C" w:rsidRPr="00CD1D1C" w:rsidRDefault="00CD1D1C" w:rsidP="007A2268">
            <w:pPr>
              <w:pStyle w:val="Tabletext1"/>
            </w:pPr>
            <w:r w:rsidRPr="00CD1D1C">
              <w:t>372</w:t>
            </w:r>
          </w:p>
        </w:tc>
        <w:tc>
          <w:tcPr>
            <w:tcW w:w="692" w:type="pct"/>
            <w:tcBorders>
              <w:top w:val="nil"/>
              <w:left w:val="nil"/>
              <w:bottom w:val="single" w:sz="4" w:space="0" w:color="auto"/>
              <w:right w:val="single" w:sz="4" w:space="0" w:color="auto"/>
            </w:tcBorders>
            <w:shd w:val="clear" w:color="auto" w:fill="auto"/>
            <w:vAlign w:val="center"/>
            <w:hideMark/>
          </w:tcPr>
          <w:p w14:paraId="4B3369A6" w14:textId="77777777" w:rsidR="00CD1D1C" w:rsidRPr="00CD1D1C" w:rsidRDefault="00CD1D1C" w:rsidP="007A2268">
            <w:pPr>
              <w:pStyle w:val="Tabletext1"/>
            </w:pPr>
            <w:r w:rsidRPr="00CD1D1C">
              <w:t>573</w:t>
            </w:r>
          </w:p>
        </w:tc>
        <w:tc>
          <w:tcPr>
            <w:tcW w:w="692" w:type="pct"/>
            <w:tcBorders>
              <w:top w:val="nil"/>
              <w:left w:val="nil"/>
              <w:bottom w:val="single" w:sz="4" w:space="0" w:color="auto"/>
              <w:right w:val="single" w:sz="4" w:space="0" w:color="auto"/>
            </w:tcBorders>
            <w:shd w:val="clear" w:color="auto" w:fill="auto"/>
            <w:vAlign w:val="center"/>
            <w:hideMark/>
          </w:tcPr>
          <w:p w14:paraId="0E68EEF5" w14:textId="77777777" w:rsidR="00CD1D1C" w:rsidRPr="00CD1D1C" w:rsidRDefault="00CD1D1C" w:rsidP="007A2268">
            <w:pPr>
              <w:pStyle w:val="Tabletext1"/>
            </w:pPr>
            <w:r w:rsidRPr="00CD1D1C">
              <w:t>784</w:t>
            </w:r>
          </w:p>
        </w:tc>
        <w:tc>
          <w:tcPr>
            <w:tcW w:w="692" w:type="pct"/>
            <w:tcBorders>
              <w:top w:val="nil"/>
              <w:left w:val="nil"/>
              <w:bottom w:val="single" w:sz="4" w:space="0" w:color="auto"/>
              <w:right w:val="single" w:sz="4" w:space="0" w:color="auto"/>
            </w:tcBorders>
            <w:shd w:val="clear" w:color="auto" w:fill="auto"/>
            <w:vAlign w:val="center"/>
            <w:hideMark/>
          </w:tcPr>
          <w:p w14:paraId="6AA3E4D3" w14:textId="77777777" w:rsidR="00CD1D1C" w:rsidRPr="00CD1D1C" w:rsidRDefault="00CD1D1C" w:rsidP="007A2268">
            <w:pPr>
              <w:pStyle w:val="Tabletext1"/>
            </w:pPr>
            <w:r w:rsidRPr="00CD1D1C">
              <w:t>1005</w:t>
            </w:r>
          </w:p>
        </w:tc>
      </w:tr>
      <w:tr w:rsidR="00CD1D1C" w:rsidRPr="00BC4A30" w14:paraId="382632E3" w14:textId="77777777" w:rsidTr="00AB12D2">
        <w:trPr>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6BF39A1B" w14:textId="6203A6F0" w:rsidR="00CD1D1C" w:rsidRPr="00CD1D1C" w:rsidRDefault="00FD19BD" w:rsidP="007A2268">
            <w:pPr>
              <w:pStyle w:val="Tabletext1"/>
            </w:pPr>
            <w:r>
              <w:t>3–5</w:t>
            </w:r>
            <w:r w:rsidR="00CD1D1C" w:rsidRPr="00CD1D1C">
              <w:t xml:space="preserve"> lesions total per patient (10%)</w:t>
            </w:r>
          </w:p>
        </w:tc>
        <w:tc>
          <w:tcPr>
            <w:tcW w:w="692" w:type="pct"/>
            <w:tcBorders>
              <w:top w:val="nil"/>
              <w:left w:val="nil"/>
              <w:bottom w:val="single" w:sz="4" w:space="0" w:color="auto"/>
              <w:right w:val="single" w:sz="4" w:space="0" w:color="auto"/>
            </w:tcBorders>
            <w:shd w:val="clear" w:color="auto" w:fill="auto"/>
            <w:vAlign w:val="center"/>
            <w:hideMark/>
          </w:tcPr>
          <w:p w14:paraId="7B6BE1C2" w14:textId="77777777" w:rsidR="00CD1D1C" w:rsidRPr="00CD1D1C" w:rsidRDefault="00CD1D1C" w:rsidP="007A2268">
            <w:pPr>
              <w:pStyle w:val="Tabletext1"/>
            </w:pPr>
            <w:r w:rsidRPr="00CD1D1C">
              <w:t>20</w:t>
            </w:r>
          </w:p>
        </w:tc>
        <w:tc>
          <w:tcPr>
            <w:tcW w:w="692" w:type="pct"/>
            <w:tcBorders>
              <w:top w:val="nil"/>
              <w:left w:val="nil"/>
              <w:bottom w:val="single" w:sz="4" w:space="0" w:color="auto"/>
              <w:right w:val="single" w:sz="4" w:space="0" w:color="auto"/>
            </w:tcBorders>
            <w:shd w:val="clear" w:color="auto" w:fill="auto"/>
            <w:vAlign w:val="center"/>
            <w:hideMark/>
          </w:tcPr>
          <w:p w14:paraId="74C0DBAA" w14:textId="77777777" w:rsidR="00CD1D1C" w:rsidRPr="00CD1D1C" w:rsidRDefault="00CD1D1C" w:rsidP="007A2268">
            <w:pPr>
              <w:pStyle w:val="Tabletext1"/>
            </w:pPr>
            <w:r w:rsidRPr="00CD1D1C">
              <w:t>41</w:t>
            </w:r>
          </w:p>
        </w:tc>
        <w:tc>
          <w:tcPr>
            <w:tcW w:w="692" w:type="pct"/>
            <w:tcBorders>
              <w:top w:val="nil"/>
              <w:left w:val="nil"/>
              <w:bottom w:val="single" w:sz="4" w:space="0" w:color="auto"/>
              <w:right w:val="single" w:sz="4" w:space="0" w:color="auto"/>
            </w:tcBorders>
            <w:shd w:val="clear" w:color="auto" w:fill="auto"/>
            <w:vAlign w:val="center"/>
            <w:hideMark/>
          </w:tcPr>
          <w:p w14:paraId="25B80344" w14:textId="77777777" w:rsidR="00CD1D1C" w:rsidRPr="00CD1D1C" w:rsidRDefault="00CD1D1C" w:rsidP="007A2268">
            <w:pPr>
              <w:pStyle w:val="Tabletext1"/>
            </w:pPr>
            <w:r w:rsidRPr="00CD1D1C">
              <w:t>64</w:t>
            </w:r>
          </w:p>
        </w:tc>
        <w:tc>
          <w:tcPr>
            <w:tcW w:w="692" w:type="pct"/>
            <w:tcBorders>
              <w:top w:val="nil"/>
              <w:left w:val="nil"/>
              <w:bottom w:val="single" w:sz="4" w:space="0" w:color="auto"/>
              <w:right w:val="single" w:sz="4" w:space="0" w:color="auto"/>
            </w:tcBorders>
            <w:shd w:val="clear" w:color="auto" w:fill="auto"/>
            <w:vAlign w:val="center"/>
            <w:hideMark/>
          </w:tcPr>
          <w:p w14:paraId="1F6220F2" w14:textId="77777777" w:rsidR="00CD1D1C" w:rsidRPr="00CD1D1C" w:rsidRDefault="00CD1D1C" w:rsidP="007A2268">
            <w:pPr>
              <w:pStyle w:val="Tabletext1"/>
            </w:pPr>
            <w:r w:rsidRPr="00CD1D1C">
              <w:t>87</w:t>
            </w:r>
          </w:p>
        </w:tc>
        <w:tc>
          <w:tcPr>
            <w:tcW w:w="692" w:type="pct"/>
            <w:tcBorders>
              <w:top w:val="nil"/>
              <w:left w:val="nil"/>
              <w:bottom w:val="single" w:sz="4" w:space="0" w:color="auto"/>
              <w:right w:val="single" w:sz="4" w:space="0" w:color="auto"/>
            </w:tcBorders>
            <w:shd w:val="clear" w:color="auto" w:fill="auto"/>
            <w:vAlign w:val="center"/>
            <w:hideMark/>
          </w:tcPr>
          <w:p w14:paraId="1296A435" w14:textId="77777777" w:rsidR="00CD1D1C" w:rsidRPr="00CD1D1C" w:rsidRDefault="00CD1D1C" w:rsidP="007A2268">
            <w:pPr>
              <w:pStyle w:val="Tabletext1"/>
            </w:pPr>
            <w:r w:rsidRPr="00CD1D1C">
              <w:t>112</w:t>
            </w:r>
          </w:p>
        </w:tc>
      </w:tr>
      <w:tr w:rsidR="00CD1D1C" w:rsidRPr="00BC4A30" w14:paraId="324DD9BF" w14:textId="77777777" w:rsidTr="00AB12D2">
        <w:trPr>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C7AF9B2" w14:textId="68C052AD" w:rsidR="00CD1D1C" w:rsidRPr="00CD1D1C" w:rsidRDefault="006D0335" w:rsidP="006D0335">
            <w:pPr>
              <w:pStyle w:val="Tabletext1"/>
            </w:pPr>
            <w:r>
              <w:t>&gt;5</w:t>
            </w:r>
            <w:r w:rsidR="00CD1D1C" w:rsidRPr="00CD1D1C">
              <w:t xml:space="preserve"> lesions total per patient (0%)</w:t>
            </w:r>
          </w:p>
        </w:tc>
        <w:tc>
          <w:tcPr>
            <w:tcW w:w="692" w:type="pct"/>
            <w:tcBorders>
              <w:top w:val="nil"/>
              <w:left w:val="nil"/>
              <w:bottom w:val="single" w:sz="4" w:space="0" w:color="auto"/>
              <w:right w:val="single" w:sz="4" w:space="0" w:color="auto"/>
            </w:tcBorders>
            <w:shd w:val="clear" w:color="auto" w:fill="auto"/>
            <w:vAlign w:val="center"/>
            <w:hideMark/>
          </w:tcPr>
          <w:p w14:paraId="04C9E33B" w14:textId="77777777" w:rsidR="00CD1D1C" w:rsidRPr="00CD1D1C" w:rsidRDefault="00CD1D1C" w:rsidP="007A2268">
            <w:pPr>
              <w:pStyle w:val="Tabletext1"/>
            </w:pPr>
            <w:r w:rsidRPr="00CD1D1C">
              <w:t>0</w:t>
            </w:r>
          </w:p>
        </w:tc>
        <w:tc>
          <w:tcPr>
            <w:tcW w:w="692" w:type="pct"/>
            <w:tcBorders>
              <w:top w:val="nil"/>
              <w:left w:val="nil"/>
              <w:bottom w:val="single" w:sz="4" w:space="0" w:color="auto"/>
              <w:right w:val="single" w:sz="4" w:space="0" w:color="auto"/>
            </w:tcBorders>
            <w:shd w:val="clear" w:color="auto" w:fill="auto"/>
            <w:vAlign w:val="center"/>
            <w:hideMark/>
          </w:tcPr>
          <w:p w14:paraId="501EFF70" w14:textId="77777777" w:rsidR="00CD1D1C" w:rsidRPr="00CD1D1C" w:rsidRDefault="00CD1D1C" w:rsidP="007A2268">
            <w:pPr>
              <w:pStyle w:val="Tabletext1"/>
            </w:pPr>
            <w:r w:rsidRPr="00CD1D1C">
              <w:t>0</w:t>
            </w:r>
          </w:p>
        </w:tc>
        <w:tc>
          <w:tcPr>
            <w:tcW w:w="692" w:type="pct"/>
            <w:tcBorders>
              <w:top w:val="nil"/>
              <w:left w:val="nil"/>
              <w:bottom w:val="single" w:sz="4" w:space="0" w:color="auto"/>
              <w:right w:val="single" w:sz="4" w:space="0" w:color="auto"/>
            </w:tcBorders>
            <w:shd w:val="clear" w:color="auto" w:fill="auto"/>
            <w:vAlign w:val="center"/>
            <w:hideMark/>
          </w:tcPr>
          <w:p w14:paraId="503A3D95" w14:textId="77777777" w:rsidR="00CD1D1C" w:rsidRPr="00CD1D1C" w:rsidRDefault="00CD1D1C" w:rsidP="007A2268">
            <w:pPr>
              <w:pStyle w:val="Tabletext1"/>
            </w:pPr>
            <w:r w:rsidRPr="00CD1D1C">
              <w:t>0</w:t>
            </w:r>
          </w:p>
        </w:tc>
        <w:tc>
          <w:tcPr>
            <w:tcW w:w="692" w:type="pct"/>
            <w:tcBorders>
              <w:top w:val="nil"/>
              <w:left w:val="nil"/>
              <w:bottom w:val="single" w:sz="4" w:space="0" w:color="auto"/>
              <w:right w:val="single" w:sz="4" w:space="0" w:color="auto"/>
            </w:tcBorders>
            <w:shd w:val="clear" w:color="auto" w:fill="auto"/>
            <w:vAlign w:val="center"/>
            <w:hideMark/>
          </w:tcPr>
          <w:p w14:paraId="65596B6C" w14:textId="77777777" w:rsidR="00CD1D1C" w:rsidRPr="00CD1D1C" w:rsidRDefault="00CD1D1C" w:rsidP="007A2268">
            <w:pPr>
              <w:pStyle w:val="Tabletext1"/>
            </w:pPr>
            <w:r w:rsidRPr="00CD1D1C">
              <w:t>0</w:t>
            </w:r>
          </w:p>
        </w:tc>
        <w:tc>
          <w:tcPr>
            <w:tcW w:w="692" w:type="pct"/>
            <w:tcBorders>
              <w:top w:val="nil"/>
              <w:left w:val="nil"/>
              <w:bottom w:val="single" w:sz="4" w:space="0" w:color="auto"/>
              <w:right w:val="single" w:sz="4" w:space="0" w:color="auto"/>
            </w:tcBorders>
            <w:shd w:val="clear" w:color="auto" w:fill="auto"/>
            <w:vAlign w:val="center"/>
            <w:hideMark/>
          </w:tcPr>
          <w:p w14:paraId="327AF676" w14:textId="77777777" w:rsidR="00CD1D1C" w:rsidRPr="00CD1D1C" w:rsidRDefault="00CD1D1C" w:rsidP="007A2268">
            <w:pPr>
              <w:pStyle w:val="Tabletext1"/>
            </w:pPr>
            <w:r w:rsidRPr="00CD1D1C">
              <w:t>0</w:t>
            </w:r>
          </w:p>
        </w:tc>
      </w:tr>
      <w:tr w:rsidR="00CD1D1C" w:rsidRPr="00BC4A30" w14:paraId="25BA69D6" w14:textId="77777777" w:rsidTr="00AB12D2">
        <w:trPr>
          <w:trHeight w:val="255"/>
        </w:trPr>
        <w:tc>
          <w:tcPr>
            <w:tcW w:w="1540"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A735CC" w14:textId="77777777" w:rsidR="00CD1D1C" w:rsidRPr="007121B3" w:rsidRDefault="00CD1D1C" w:rsidP="007A2268">
            <w:pPr>
              <w:pStyle w:val="Tabletext1"/>
              <w:rPr>
                <w:b/>
              </w:rPr>
            </w:pPr>
            <w:r w:rsidRPr="007121B3">
              <w:rPr>
                <w:b/>
              </w:rPr>
              <w:t>Total</w:t>
            </w:r>
          </w:p>
        </w:tc>
        <w:tc>
          <w:tcPr>
            <w:tcW w:w="692" w:type="pct"/>
            <w:tcBorders>
              <w:top w:val="nil"/>
              <w:left w:val="nil"/>
              <w:bottom w:val="single" w:sz="4" w:space="0" w:color="auto"/>
              <w:right w:val="single" w:sz="4" w:space="0" w:color="auto"/>
            </w:tcBorders>
            <w:shd w:val="clear" w:color="auto" w:fill="D9D9D9" w:themeFill="background1" w:themeFillShade="D9"/>
            <w:vAlign w:val="center"/>
            <w:hideMark/>
          </w:tcPr>
          <w:p w14:paraId="7CC7C2E6" w14:textId="77777777" w:rsidR="00CD1D1C" w:rsidRPr="00CD1D1C" w:rsidRDefault="00CD1D1C" w:rsidP="007A2268">
            <w:pPr>
              <w:pStyle w:val="Tabletext1"/>
            </w:pPr>
            <w:r w:rsidRPr="00CD1D1C">
              <w:t>202</w:t>
            </w:r>
          </w:p>
        </w:tc>
        <w:tc>
          <w:tcPr>
            <w:tcW w:w="692" w:type="pct"/>
            <w:tcBorders>
              <w:top w:val="nil"/>
              <w:left w:val="nil"/>
              <w:bottom w:val="single" w:sz="4" w:space="0" w:color="auto"/>
              <w:right w:val="single" w:sz="4" w:space="0" w:color="auto"/>
            </w:tcBorders>
            <w:shd w:val="clear" w:color="auto" w:fill="D9D9D9" w:themeFill="background1" w:themeFillShade="D9"/>
            <w:vAlign w:val="center"/>
            <w:hideMark/>
          </w:tcPr>
          <w:p w14:paraId="168CF20F" w14:textId="77777777" w:rsidR="00CD1D1C" w:rsidRPr="00CD1D1C" w:rsidRDefault="00CD1D1C" w:rsidP="007A2268">
            <w:pPr>
              <w:pStyle w:val="Tabletext1"/>
            </w:pPr>
            <w:r w:rsidRPr="00CD1D1C">
              <w:t>414</w:t>
            </w:r>
          </w:p>
        </w:tc>
        <w:tc>
          <w:tcPr>
            <w:tcW w:w="692" w:type="pct"/>
            <w:tcBorders>
              <w:top w:val="nil"/>
              <w:left w:val="nil"/>
              <w:bottom w:val="single" w:sz="4" w:space="0" w:color="auto"/>
              <w:right w:val="single" w:sz="4" w:space="0" w:color="auto"/>
            </w:tcBorders>
            <w:shd w:val="clear" w:color="auto" w:fill="D9D9D9" w:themeFill="background1" w:themeFillShade="D9"/>
            <w:vAlign w:val="center"/>
            <w:hideMark/>
          </w:tcPr>
          <w:p w14:paraId="382EF0B5" w14:textId="77777777" w:rsidR="00CD1D1C" w:rsidRPr="00CD1D1C" w:rsidRDefault="00CD1D1C" w:rsidP="007A2268">
            <w:pPr>
              <w:pStyle w:val="Tabletext1"/>
            </w:pPr>
            <w:r w:rsidRPr="00CD1D1C">
              <w:t>636</w:t>
            </w:r>
          </w:p>
        </w:tc>
        <w:tc>
          <w:tcPr>
            <w:tcW w:w="692" w:type="pct"/>
            <w:tcBorders>
              <w:top w:val="nil"/>
              <w:left w:val="nil"/>
              <w:bottom w:val="single" w:sz="4" w:space="0" w:color="auto"/>
              <w:right w:val="single" w:sz="4" w:space="0" w:color="auto"/>
            </w:tcBorders>
            <w:shd w:val="clear" w:color="auto" w:fill="D9D9D9" w:themeFill="background1" w:themeFillShade="D9"/>
            <w:vAlign w:val="center"/>
            <w:hideMark/>
          </w:tcPr>
          <w:p w14:paraId="7BD51FA0" w14:textId="77777777" w:rsidR="00CD1D1C" w:rsidRPr="00CD1D1C" w:rsidRDefault="00CD1D1C" w:rsidP="007A2268">
            <w:pPr>
              <w:pStyle w:val="Tabletext1"/>
            </w:pPr>
            <w:r w:rsidRPr="00CD1D1C">
              <w:t>871</w:t>
            </w:r>
          </w:p>
        </w:tc>
        <w:tc>
          <w:tcPr>
            <w:tcW w:w="692" w:type="pct"/>
            <w:tcBorders>
              <w:top w:val="nil"/>
              <w:left w:val="nil"/>
              <w:bottom w:val="single" w:sz="4" w:space="0" w:color="auto"/>
              <w:right w:val="single" w:sz="4" w:space="0" w:color="auto"/>
            </w:tcBorders>
            <w:shd w:val="clear" w:color="auto" w:fill="D9D9D9" w:themeFill="background1" w:themeFillShade="D9"/>
            <w:vAlign w:val="center"/>
            <w:hideMark/>
          </w:tcPr>
          <w:p w14:paraId="3A2B2F17" w14:textId="77777777" w:rsidR="00CD1D1C" w:rsidRPr="00CD1D1C" w:rsidRDefault="00CD1D1C" w:rsidP="007A2268">
            <w:pPr>
              <w:pStyle w:val="Tabletext1"/>
            </w:pPr>
            <w:r w:rsidRPr="00CD1D1C">
              <w:t>1117</w:t>
            </w:r>
          </w:p>
        </w:tc>
      </w:tr>
    </w:tbl>
    <w:p w14:paraId="7B7B0078" w14:textId="669E0F31" w:rsidR="00AB12D2" w:rsidRPr="00BC4A30" w:rsidRDefault="007121B3" w:rsidP="007121B3">
      <w:pPr>
        <w:pStyle w:val="Tablenotes0"/>
        <w:rPr>
          <w:noProof/>
        </w:rPr>
      </w:pPr>
      <w:r>
        <w:rPr>
          <w:noProof/>
        </w:rPr>
        <w:t>&lt;</w:t>
      </w:r>
      <w:r w:rsidR="003351E0">
        <w:rPr>
          <w:noProof/>
        </w:rPr>
        <w:t xml:space="preserve"> </w:t>
      </w:r>
      <w:r w:rsidR="00AB12D2" w:rsidRPr="00BC4A30">
        <w:rPr>
          <w:noProof/>
        </w:rPr>
        <w:t>MTA</w:t>
      </w:r>
      <w:r w:rsidR="00A405EC" w:rsidRPr="00BC4A30">
        <w:rPr>
          <w:noProof/>
        </w:rPr>
        <w:t>=</w:t>
      </w:r>
      <w:r w:rsidR="00AB12D2" w:rsidRPr="00BC4A30">
        <w:rPr>
          <w:noProof/>
        </w:rPr>
        <w:t xml:space="preserve"> Microwave tissue ablation</w:t>
      </w:r>
      <w:r w:rsidR="003351E0">
        <w:rPr>
          <w:noProof/>
        </w:rPr>
        <w:t xml:space="preserve"> </w:t>
      </w:r>
      <w:r>
        <w:rPr>
          <w:noProof/>
        </w:rPr>
        <w:t>&gt;</w:t>
      </w:r>
    </w:p>
    <w:p w14:paraId="4FBAA472" w14:textId="77777777" w:rsidR="003C431B" w:rsidRPr="00BC4A30" w:rsidRDefault="00991ED7" w:rsidP="005C0FCF">
      <w:pPr>
        <w:pStyle w:val="Heading2"/>
        <w:numPr>
          <w:ilvl w:val="4"/>
          <w:numId w:val="9"/>
        </w:numPr>
        <w:ind w:left="567" w:hanging="567"/>
      </w:pPr>
      <w:bookmarkStart w:id="440" w:name="_Toc379118301"/>
      <w:bookmarkStart w:id="441" w:name="_Toc381796484"/>
      <w:bookmarkStart w:id="442" w:name="_Toc460396091"/>
      <w:bookmarkEnd w:id="427"/>
      <w:bookmarkEnd w:id="428"/>
      <w:r w:rsidRPr="00BC4A30">
        <w:t>Changes in Use and C</w:t>
      </w:r>
      <w:r w:rsidR="003C431B" w:rsidRPr="00BC4A30">
        <w:t>ost of</w:t>
      </w:r>
      <w:bookmarkEnd w:id="440"/>
      <w:bookmarkEnd w:id="441"/>
      <w:r w:rsidRPr="00BC4A30">
        <w:t xml:space="preserve"> Other Medical Services</w:t>
      </w:r>
      <w:bookmarkEnd w:id="442"/>
      <w:r w:rsidRPr="00BC4A30">
        <w:t xml:space="preserve"> </w:t>
      </w:r>
    </w:p>
    <w:p w14:paraId="46437AC9" w14:textId="579D25E5" w:rsidR="007C6179" w:rsidRDefault="00611702" w:rsidP="00437530">
      <w:pPr>
        <w:rPr>
          <w:noProof/>
          <w:szCs w:val="16"/>
        </w:rPr>
      </w:pPr>
      <w:r w:rsidRPr="00BC4A30">
        <w:rPr>
          <w:noProof/>
        </w:rPr>
        <w:t xml:space="preserve">The disaggregateted costs and resources associated with the MTA procedure have been described previously in </w:t>
      </w:r>
      <w:r w:rsidRPr="00FD19BD">
        <w:rPr>
          <w:noProof/>
        </w:rPr>
        <w:t>Section D</w:t>
      </w:r>
      <w:r w:rsidRPr="00BC4A30">
        <w:rPr>
          <w:noProof/>
        </w:rPr>
        <w:t>, however the unit costs are provided again for ease of reference (</w:t>
      </w:r>
      <w:r w:rsidR="00345EA0">
        <w:rPr>
          <w:b/>
          <w:noProof/>
        </w:rPr>
        <w:fldChar w:fldCharType="begin"/>
      </w:r>
      <w:r w:rsidR="00345EA0">
        <w:rPr>
          <w:noProof/>
        </w:rPr>
        <w:instrText xml:space="preserve"> REF _Ref460248752 \h </w:instrText>
      </w:r>
      <w:r w:rsidR="00345EA0">
        <w:rPr>
          <w:b/>
          <w:noProof/>
        </w:rPr>
      </w:r>
      <w:r w:rsidR="00345EA0">
        <w:rPr>
          <w:b/>
          <w:noProof/>
        </w:rPr>
        <w:fldChar w:fldCharType="separate"/>
      </w:r>
      <w:r w:rsidR="00D170A5">
        <w:t xml:space="preserve">Table </w:t>
      </w:r>
      <w:r w:rsidR="00D170A5">
        <w:rPr>
          <w:noProof/>
        </w:rPr>
        <w:t>81</w:t>
      </w:r>
      <w:r w:rsidR="00345EA0">
        <w:rPr>
          <w:b/>
          <w:noProof/>
        </w:rPr>
        <w:fldChar w:fldCharType="end"/>
      </w:r>
      <w:r w:rsidRPr="00345EA0">
        <w:rPr>
          <w:noProof/>
        </w:rPr>
        <w:t xml:space="preserve">). </w:t>
      </w:r>
      <w:r w:rsidRPr="00BC4A30">
        <w:rPr>
          <w:noProof/>
          <w:szCs w:val="16"/>
        </w:rPr>
        <w:t>The costs of the machine and probe and the cost of the hospital admission ar</w:t>
      </w:r>
      <w:r w:rsidR="00FD19BD">
        <w:rPr>
          <w:noProof/>
          <w:szCs w:val="16"/>
        </w:rPr>
        <w:t>e borne by private health funds;</w:t>
      </w:r>
      <w:r w:rsidRPr="00BC4A30">
        <w:rPr>
          <w:noProof/>
          <w:szCs w:val="16"/>
        </w:rPr>
        <w:t xml:space="preserve"> and</w:t>
      </w:r>
      <w:r w:rsidR="00FD19BD">
        <w:rPr>
          <w:noProof/>
          <w:szCs w:val="16"/>
        </w:rPr>
        <w:t>,</w:t>
      </w:r>
      <w:r w:rsidRPr="00BC4A30">
        <w:rPr>
          <w:noProof/>
          <w:szCs w:val="16"/>
        </w:rPr>
        <w:t xml:space="preserve"> as such are excluded from the total additional MBS cost per MTA procedure. The proportion of each cost element that can be claimed under the MBS is listed for each item and combined to generate a total MBS cost for the procedure.</w:t>
      </w:r>
      <w:r w:rsidR="007C6179">
        <w:rPr>
          <w:noProof/>
          <w:szCs w:val="16"/>
        </w:rPr>
        <w:br w:type="page"/>
      </w:r>
    </w:p>
    <w:p w14:paraId="5E27DA43" w14:textId="77777777" w:rsidR="00CD1D1C" w:rsidRDefault="00CD1D1C" w:rsidP="00CD1D1C">
      <w:pPr>
        <w:pStyle w:val="Caption"/>
        <w:keepNext/>
      </w:pPr>
      <w:bookmarkStart w:id="443" w:name="_Ref460248752"/>
      <w:bookmarkStart w:id="444" w:name="_Toc460514739"/>
      <w:r>
        <w:lastRenderedPageBreak/>
        <w:t xml:space="preserve">Table </w:t>
      </w:r>
      <w:fldSimple w:instr=" SEQ Table \* ARABIC ">
        <w:r w:rsidR="00D170A5">
          <w:rPr>
            <w:noProof/>
          </w:rPr>
          <w:t>81</w:t>
        </w:r>
      </w:fldSimple>
      <w:bookmarkEnd w:id="443"/>
      <w:r>
        <w:tab/>
      </w:r>
      <w:r w:rsidRPr="00CD1D1C">
        <w:t>Costs and services associated with MTA procedure</w:t>
      </w:r>
      <w:bookmarkEnd w:id="444"/>
    </w:p>
    <w:tbl>
      <w:tblPr>
        <w:tblW w:w="5000" w:type="pct"/>
        <w:tblLayout w:type="fixed"/>
        <w:tblLook w:val="04A0" w:firstRow="1" w:lastRow="0" w:firstColumn="1" w:lastColumn="0" w:noHBand="0" w:noVBand="1"/>
      </w:tblPr>
      <w:tblGrid>
        <w:gridCol w:w="2660"/>
        <w:gridCol w:w="1357"/>
        <w:gridCol w:w="946"/>
        <w:gridCol w:w="991"/>
        <w:gridCol w:w="965"/>
        <w:gridCol w:w="885"/>
        <w:gridCol w:w="1438"/>
      </w:tblGrid>
      <w:tr w:rsidR="00CD1D1C" w:rsidRPr="00CD1D1C" w14:paraId="5BD889CD" w14:textId="77777777" w:rsidTr="005C5CD0">
        <w:trPr>
          <w:trHeight w:val="810"/>
          <w:tblHeader/>
        </w:trPr>
        <w:tc>
          <w:tcPr>
            <w:tcW w:w="1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9ED2CF5" w14:textId="77777777" w:rsidR="00CD1D1C" w:rsidRPr="00664E49" w:rsidRDefault="00CD1D1C" w:rsidP="004228C9">
            <w:pPr>
              <w:pStyle w:val="Tabletext1"/>
              <w:rPr>
                <w:b/>
              </w:rPr>
            </w:pPr>
            <w:r w:rsidRPr="00664E49">
              <w:rPr>
                <w:b/>
              </w:rPr>
              <w:t>Resource</w:t>
            </w:r>
          </w:p>
        </w:tc>
        <w:tc>
          <w:tcPr>
            <w:tcW w:w="734"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AE28D11" w14:textId="77777777" w:rsidR="00CD1D1C" w:rsidRPr="00664E49" w:rsidRDefault="00CD1D1C" w:rsidP="004228C9">
            <w:pPr>
              <w:pStyle w:val="Tabletext1"/>
              <w:rPr>
                <w:b/>
              </w:rPr>
            </w:pPr>
            <w:r w:rsidRPr="00664E49">
              <w:rPr>
                <w:b/>
              </w:rPr>
              <w:t>Provider of resource</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04AABC1" w14:textId="77777777" w:rsidR="00CD1D1C" w:rsidRPr="00664E49" w:rsidRDefault="00CD1D1C" w:rsidP="004228C9">
            <w:pPr>
              <w:pStyle w:val="Tabletext1"/>
              <w:rPr>
                <w:b/>
              </w:rPr>
            </w:pPr>
            <w:r w:rsidRPr="00664E49">
              <w:rPr>
                <w:b/>
              </w:rPr>
              <w:t>Fee per unit of resource</w:t>
            </w:r>
          </w:p>
        </w:tc>
        <w:tc>
          <w:tcPr>
            <w:tcW w:w="536"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BABD825" w14:textId="77777777" w:rsidR="00CD1D1C" w:rsidRPr="00664E49" w:rsidRDefault="00CD1D1C" w:rsidP="004228C9">
            <w:pPr>
              <w:pStyle w:val="Tabletext1"/>
              <w:rPr>
                <w:b/>
              </w:rPr>
            </w:pPr>
            <w:r w:rsidRPr="00664E49">
              <w:rPr>
                <w:b/>
              </w:rPr>
              <w:t>MBS Fee</w:t>
            </w:r>
          </w:p>
        </w:tc>
        <w:tc>
          <w:tcPr>
            <w:tcW w:w="522"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A8FAC6D" w14:textId="77777777" w:rsidR="00CD1D1C" w:rsidRPr="00664E49" w:rsidRDefault="00CD1D1C" w:rsidP="004228C9">
            <w:pPr>
              <w:pStyle w:val="Tabletext1"/>
              <w:rPr>
                <w:b/>
              </w:rPr>
            </w:pPr>
            <w:r w:rsidRPr="00664E49">
              <w:rPr>
                <w:b/>
              </w:rPr>
              <w:t>% of fee MBS claimable</w:t>
            </w:r>
          </w:p>
        </w:tc>
        <w:tc>
          <w:tcPr>
            <w:tcW w:w="47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4D6B926" w14:textId="77777777" w:rsidR="00CD1D1C" w:rsidRPr="00664E49" w:rsidRDefault="00CD1D1C" w:rsidP="004228C9">
            <w:pPr>
              <w:pStyle w:val="Tabletext1"/>
              <w:rPr>
                <w:b/>
              </w:rPr>
            </w:pPr>
            <w:r w:rsidRPr="00664E49">
              <w:rPr>
                <w:b/>
              </w:rPr>
              <w:t>Quantity</w:t>
            </w:r>
          </w:p>
        </w:tc>
        <w:tc>
          <w:tcPr>
            <w:tcW w:w="778"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C89C1B1" w14:textId="77777777" w:rsidR="00CD1D1C" w:rsidRPr="00664E49" w:rsidRDefault="00CD1D1C" w:rsidP="004228C9">
            <w:pPr>
              <w:pStyle w:val="Tabletext1"/>
              <w:rPr>
                <w:b/>
              </w:rPr>
            </w:pPr>
            <w:r w:rsidRPr="00664E49">
              <w:rPr>
                <w:b/>
              </w:rPr>
              <w:t>Source</w:t>
            </w:r>
          </w:p>
        </w:tc>
      </w:tr>
      <w:tr w:rsidR="00CD1D1C" w:rsidRPr="00CD1D1C" w14:paraId="4D9F8BF9" w14:textId="77777777" w:rsidTr="00E92CAD">
        <w:trPr>
          <w:trHeight w:val="285"/>
        </w:trPr>
        <w:tc>
          <w:tcPr>
            <w:tcW w:w="1439" w:type="pct"/>
            <w:tcBorders>
              <w:top w:val="single" w:sz="4" w:space="0" w:color="auto"/>
              <w:left w:val="single" w:sz="4" w:space="0" w:color="auto"/>
              <w:bottom w:val="single" w:sz="4" w:space="0" w:color="auto"/>
            </w:tcBorders>
            <w:shd w:val="clear" w:color="auto" w:fill="D9D9D9" w:themeFill="background1" w:themeFillShade="D9"/>
            <w:vAlign w:val="center"/>
            <w:hideMark/>
          </w:tcPr>
          <w:p w14:paraId="1D2B69E5" w14:textId="77777777" w:rsidR="00CD1D1C" w:rsidRPr="00664E49" w:rsidRDefault="00CD1D1C" w:rsidP="004228C9">
            <w:pPr>
              <w:pStyle w:val="Tabletext1"/>
              <w:rPr>
                <w:b/>
              </w:rPr>
            </w:pPr>
            <w:r w:rsidRPr="00664E49">
              <w:rPr>
                <w:b/>
              </w:rPr>
              <w:t>Medical services – screening prior to intervention</w:t>
            </w:r>
          </w:p>
        </w:tc>
        <w:tc>
          <w:tcPr>
            <w:tcW w:w="734" w:type="pct"/>
            <w:tcBorders>
              <w:top w:val="single" w:sz="4" w:space="0" w:color="auto"/>
              <w:bottom w:val="single" w:sz="4" w:space="0" w:color="auto"/>
            </w:tcBorders>
            <w:shd w:val="clear" w:color="auto" w:fill="D9D9D9" w:themeFill="background1" w:themeFillShade="D9"/>
            <w:vAlign w:val="center"/>
            <w:hideMark/>
          </w:tcPr>
          <w:p w14:paraId="258A49AA" w14:textId="77777777" w:rsidR="00CD1D1C" w:rsidRPr="00CD1D1C" w:rsidRDefault="00CD1D1C" w:rsidP="004228C9">
            <w:pPr>
              <w:pStyle w:val="Tabletext1"/>
            </w:pPr>
            <w:r w:rsidRPr="00CD1D1C">
              <w:t> </w:t>
            </w:r>
          </w:p>
        </w:tc>
        <w:tc>
          <w:tcPr>
            <w:tcW w:w="512" w:type="pct"/>
            <w:tcBorders>
              <w:top w:val="single" w:sz="4" w:space="0" w:color="auto"/>
              <w:bottom w:val="single" w:sz="4" w:space="0" w:color="auto"/>
            </w:tcBorders>
            <w:shd w:val="clear" w:color="auto" w:fill="D9D9D9" w:themeFill="background1" w:themeFillShade="D9"/>
            <w:vAlign w:val="center"/>
            <w:hideMark/>
          </w:tcPr>
          <w:p w14:paraId="4538BF92" w14:textId="77777777" w:rsidR="00CD1D1C" w:rsidRPr="00CD1D1C" w:rsidRDefault="00CD1D1C" w:rsidP="004228C9">
            <w:pPr>
              <w:pStyle w:val="Tabletext1"/>
            </w:pPr>
            <w:r w:rsidRPr="00CD1D1C">
              <w:t> </w:t>
            </w:r>
          </w:p>
        </w:tc>
        <w:tc>
          <w:tcPr>
            <w:tcW w:w="536" w:type="pct"/>
            <w:tcBorders>
              <w:top w:val="single" w:sz="4" w:space="0" w:color="auto"/>
              <w:bottom w:val="single" w:sz="4" w:space="0" w:color="auto"/>
            </w:tcBorders>
            <w:shd w:val="clear" w:color="auto" w:fill="D9D9D9" w:themeFill="background1" w:themeFillShade="D9"/>
            <w:vAlign w:val="center"/>
            <w:hideMark/>
          </w:tcPr>
          <w:p w14:paraId="2D1A2273" w14:textId="77777777" w:rsidR="00CD1D1C" w:rsidRPr="00CD1D1C" w:rsidRDefault="00CD1D1C" w:rsidP="004228C9">
            <w:pPr>
              <w:pStyle w:val="Tabletext1"/>
            </w:pPr>
            <w:r w:rsidRPr="00CD1D1C">
              <w:t> </w:t>
            </w:r>
          </w:p>
        </w:tc>
        <w:tc>
          <w:tcPr>
            <w:tcW w:w="522" w:type="pct"/>
            <w:tcBorders>
              <w:top w:val="single" w:sz="4" w:space="0" w:color="auto"/>
              <w:bottom w:val="single" w:sz="4" w:space="0" w:color="auto"/>
            </w:tcBorders>
            <w:shd w:val="clear" w:color="auto" w:fill="D9D9D9" w:themeFill="background1" w:themeFillShade="D9"/>
            <w:vAlign w:val="center"/>
            <w:hideMark/>
          </w:tcPr>
          <w:p w14:paraId="5EA86A85" w14:textId="77777777" w:rsidR="00CD1D1C" w:rsidRPr="00CD1D1C" w:rsidRDefault="00CD1D1C" w:rsidP="004228C9">
            <w:pPr>
              <w:pStyle w:val="Tabletext1"/>
            </w:pPr>
            <w:r w:rsidRPr="00CD1D1C">
              <w:t> </w:t>
            </w:r>
          </w:p>
        </w:tc>
        <w:tc>
          <w:tcPr>
            <w:tcW w:w="479" w:type="pct"/>
            <w:tcBorders>
              <w:top w:val="single" w:sz="4" w:space="0" w:color="auto"/>
              <w:bottom w:val="single" w:sz="4" w:space="0" w:color="auto"/>
            </w:tcBorders>
            <w:shd w:val="clear" w:color="auto" w:fill="D9D9D9" w:themeFill="background1" w:themeFillShade="D9"/>
            <w:vAlign w:val="center"/>
            <w:hideMark/>
          </w:tcPr>
          <w:p w14:paraId="7E0B5ADC" w14:textId="77777777" w:rsidR="00CD1D1C" w:rsidRPr="00CD1D1C" w:rsidRDefault="00CD1D1C" w:rsidP="004228C9">
            <w:pPr>
              <w:pStyle w:val="Tabletext1"/>
            </w:pPr>
            <w:r w:rsidRPr="00CD1D1C">
              <w:t> </w:t>
            </w:r>
          </w:p>
        </w:tc>
        <w:tc>
          <w:tcPr>
            <w:tcW w:w="778" w:type="pct"/>
            <w:tcBorders>
              <w:top w:val="single" w:sz="4" w:space="0" w:color="auto"/>
              <w:bottom w:val="single" w:sz="4" w:space="0" w:color="auto"/>
              <w:right w:val="single" w:sz="4" w:space="0" w:color="auto"/>
            </w:tcBorders>
            <w:shd w:val="clear" w:color="auto" w:fill="D9D9D9" w:themeFill="background1" w:themeFillShade="D9"/>
            <w:vAlign w:val="center"/>
            <w:hideMark/>
          </w:tcPr>
          <w:p w14:paraId="14A9B55E" w14:textId="77777777" w:rsidR="00CD1D1C" w:rsidRPr="00CD1D1C" w:rsidRDefault="00CD1D1C" w:rsidP="004228C9">
            <w:pPr>
              <w:pStyle w:val="Tabletext1"/>
            </w:pPr>
            <w:r w:rsidRPr="00CD1D1C">
              <w:t> </w:t>
            </w:r>
          </w:p>
        </w:tc>
      </w:tr>
      <w:tr w:rsidR="00CD1D1C" w:rsidRPr="00CD1D1C" w14:paraId="737EFEB8" w14:textId="77777777" w:rsidTr="00E92CAD">
        <w:trPr>
          <w:trHeight w:val="93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9AB77" w14:textId="77777777" w:rsidR="00CD1D1C" w:rsidRPr="00CD1D1C" w:rsidRDefault="00CD1D1C" w:rsidP="004228C9">
            <w:pPr>
              <w:pStyle w:val="Tabletext1"/>
            </w:pPr>
            <w:r w:rsidRPr="00CD1D1C">
              <w:t>COMPUTED TOMOGRAPHY - scan of chest, including lungs, mediastinum, chest wall and pleura, with or without scans of the upper abdomen, with intravenous contrast medium</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5FC3F687" w14:textId="77777777" w:rsidR="00CD1D1C" w:rsidRPr="00CD1D1C" w:rsidRDefault="00CD1D1C" w:rsidP="004228C9">
            <w:pPr>
              <w:pStyle w:val="Tabletext1"/>
            </w:pPr>
            <w:r w:rsidRPr="00CD1D1C">
              <w:t>As outpatient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7BD59472" w14:textId="77777777" w:rsidR="00CD1D1C" w:rsidRPr="00CD1D1C" w:rsidRDefault="00CD1D1C" w:rsidP="004228C9">
            <w:pPr>
              <w:pStyle w:val="Tabletext1"/>
            </w:pPr>
            <w:r w:rsidRPr="00CD1D1C">
              <w:t>202.00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4BACDFD6" w14:textId="77777777" w:rsidR="00CD1D1C" w:rsidRPr="00CD1D1C" w:rsidRDefault="00CD1D1C" w:rsidP="004228C9">
            <w:pPr>
              <w:pStyle w:val="Tabletext1"/>
            </w:pPr>
            <w:r w:rsidRPr="00CD1D1C">
              <w:t>202.00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4213E97C" w14:textId="77777777" w:rsidR="00CD1D1C" w:rsidRPr="00CD1D1C" w:rsidRDefault="00CD1D1C" w:rsidP="004228C9">
            <w:pPr>
              <w:pStyle w:val="Tabletext1"/>
            </w:pPr>
            <w:r w:rsidRPr="00CD1D1C">
              <w:t>85%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10F12499"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14:paraId="0E15C04D" w14:textId="77777777" w:rsidR="00CD1D1C" w:rsidRPr="00CD1D1C" w:rsidRDefault="00CD1D1C" w:rsidP="004228C9">
            <w:pPr>
              <w:pStyle w:val="Tabletext1"/>
            </w:pPr>
            <w:r w:rsidRPr="00CD1D1C">
              <w:t>MBS Item 56347</w:t>
            </w:r>
          </w:p>
        </w:tc>
      </w:tr>
      <w:tr w:rsidR="00CD1D1C" w:rsidRPr="00CD1D1C" w14:paraId="673DE334" w14:textId="77777777" w:rsidTr="00415CCA">
        <w:trPr>
          <w:trHeight w:val="64"/>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ED440" w14:textId="77777777" w:rsidR="00CD1D1C" w:rsidRPr="00CD1D1C" w:rsidRDefault="00CD1D1C" w:rsidP="004228C9">
            <w:pPr>
              <w:pStyle w:val="Tabletext1"/>
            </w:pPr>
            <w:r w:rsidRPr="00CD1D1C">
              <w:t>Respiratory function test</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70217B61" w14:textId="77777777" w:rsidR="00CD1D1C" w:rsidRPr="00CD1D1C" w:rsidRDefault="00CD1D1C" w:rsidP="004228C9">
            <w:pPr>
              <w:pStyle w:val="Tabletext1"/>
            </w:pPr>
            <w:r w:rsidRPr="00CD1D1C">
              <w:t>As outpatient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4F873A2A" w14:textId="77777777" w:rsidR="00CD1D1C" w:rsidRPr="00CD1D1C" w:rsidRDefault="00CD1D1C" w:rsidP="004228C9">
            <w:pPr>
              <w:pStyle w:val="Tabletext1"/>
            </w:pPr>
            <w:r w:rsidRPr="00CD1D1C">
              <w:t>138.65</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11CF35E7" w14:textId="77777777" w:rsidR="00CD1D1C" w:rsidRPr="00CD1D1C" w:rsidRDefault="00CD1D1C" w:rsidP="004228C9">
            <w:pPr>
              <w:pStyle w:val="Tabletext1"/>
            </w:pPr>
            <w:r w:rsidRPr="00CD1D1C">
              <w:t>138.65</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55538DD2" w14:textId="77777777" w:rsidR="00CD1D1C" w:rsidRPr="00CD1D1C" w:rsidRDefault="00CD1D1C" w:rsidP="004228C9">
            <w:pPr>
              <w:pStyle w:val="Tabletext1"/>
            </w:pPr>
            <w:r w:rsidRPr="00CD1D1C">
              <w:t>85%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0174A642"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731AD3D7" w14:textId="77777777" w:rsidR="00CD1D1C" w:rsidRPr="00CD1D1C" w:rsidRDefault="00CD1D1C" w:rsidP="004228C9">
            <w:pPr>
              <w:pStyle w:val="Tabletext1"/>
            </w:pPr>
            <w:r w:rsidRPr="00CD1D1C">
              <w:t>MBS Item 11503</w:t>
            </w:r>
          </w:p>
        </w:tc>
      </w:tr>
      <w:tr w:rsidR="00CD1D1C" w:rsidRPr="00CD1D1C" w14:paraId="29323DAD" w14:textId="77777777" w:rsidTr="00E92CAD">
        <w:trPr>
          <w:trHeight w:val="99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23042" w14:textId="77777777" w:rsidR="00CD1D1C" w:rsidRPr="00CD1D1C" w:rsidRDefault="00CD1D1C" w:rsidP="004228C9">
            <w:pPr>
              <w:pStyle w:val="Tabletext1"/>
            </w:pPr>
            <w:r w:rsidRPr="00CD1D1C">
              <w:t>Whole body FDG PET study, performed for evaluation of a solitary pulmonary nodule where the lesion is considered unsuitable for transthoracic fine needle aspiration biopsy, or for which an attempt at pathological characterisation has failed</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2242432C" w14:textId="77777777" w:rsidR="00CD1D1C" w:rsidRPr="00CD1D1C" w:rsidRDefault="00CD1D1C" w:rsidP="004228C9">
            <w:pPr>
              <w:pStyle w:val="Tabletext1"/>
            </w:pPr>
            <w:r w:rsidRPr="00CD1D1C">
              <w:t>As outpatient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6317B7BD" w14:textId="77777777" w:rsidR="00CD1D1C" w:rsidRPr="00CD1D1C" w:rsidRDefault="00CD1D1C" w:rsidP="004228C9">
            <w:pPr>
              <w:pStyle w:val="Tabletext1"/>
            </w:pPr>
            <w:r w:rsidRPr="00CD1D1C">
              <w:t>953.00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1FF0B5D0" w14:textId="77777777" w:rsidR="00CD1D1C" w:rsidRPr="00CD1D1C" w:rsidRDefault="00CD1D1C" w:rsidP="004228C9">
            <w:pPr>
              <w:pStyle w:val="Tabletext1"/>
            </w:pPr>
            <w:r w:rsidRPr="00CD1D1C">
              <w:t>953.00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707BB278" w14:textId="632E66C6" w:rsidR="00CD1D1C" w:rsidRPr="00CD1D1C" w:rsidRDefault="00CD1D1C" w:rsidP="00415CCA">
            <w:pPr>
              <w:pStyle w:val="Tabletext1"/>
            </w:pPr>
            <w:r w:rsidRPr="00CD1D1C">
              <w:t>92%</w:t>
            </w:r>
            <w:r w:rsidR="00415CCA">
              <w:rPr>
                <w:vertAlign w:val="superscript"/>
              </w:rPr>
              <w:t xml:space="preserve"> A</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547A917D"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7D2C57D3" w14:textId="00AC9B54" w:rsidR="00CD1D1C" w:rsidRPr="00CD1D1C" w:rsidRDefault="00CD1D1C" w:rsidP="004228C9">
            <w:pPr>
              <w:pStyle w:val="Tabletext1"/>
            </w:pPr>
            <w:r w:rsidRPr="00CD1D1C">
              <w:t>MBS Item 61523</w:t>
            </w:r>
          </w:p>
        </w:tc>
      </w:tr>
      <w:tr w:rsidR="00CD1D1C" w:rsidRPr="00CD1D1C" w14:paraId="4BEDDCE7" w14:textId="77777777" w:rsidTr="00415CCA">
        <w:trPr>
          <w:trHeight w:val="64"/>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4F1CA" w14:textId="77777777" w:rsidR="00CD1D1C" w:rsidRPr="00CD1D1C" w:rsidRDefault="00CD1D1C" w:rsidP="004228C9">
            <w:pPr>
              <w:pStyle w:val="Tabletext1"/>
            </w:pPr>
            <w:r w:rsidRPr="00CD1D1C">
              <w:t>Medical oncologist consultation</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2C6C80FD" w14:textId="77777777" w:rsidR="00CD1D1C" w:rsidRPr="00CD1D1C" w:rsidRDefault="00CD1D1C" w:rsidP="004228C9">
            <w:pPr>
              <w:pStyle w:val="Tabletext1"/>
            </w:pPr>
            <w:r w:rsidRPr="00CD1D1C">
              <w:t>As outpatient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599D4300" w14:textId="77777777" w:rsidR="00CD1D1C" w:rsidRPr="00CD1D1C" w:rsidRDefault="00CD1D1C" w:rsidP="004228C9">
            <w:pPr>
              <w:pStyle w:val="Tabletext1"/>
            </w:pPr>
            <w:r w:rsidRPr="00CD1D1C">
              <w:t>263.90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01202FB8" w14:textId="77777777" w:rsidR="00CD1D1C" w:rsidRPr="00CD1D1C" w:rsidRDefault="00CD1D1C" w:rsidP="004228C9">
            <w:pPr>
              <w:pStyle w:val="Tabletext1"/>
            </w:pPr>
            <w:r w:rsidRPr="00CD1D1C">
              <w:t>263.90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4AD35BB8" w14:textId="77777777" w:rsidR="00CD1D1C" w:rsidRPr="00CD1D1C" w:rsidRDefault="00CD1D1C" w:rsidP="004228C9">
            <w:pPr>
              <w:pStyle w:val="Tabletext1"/>
            </w:pPr>
            <w:r w:rsidRPr="00CD1D1C">
              <w:t>85%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9726C53"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25B28039" w14:textId="77777777" w:rsidR="00CD1D1C" w:rsidRPr="00CD1D1C" w:rsidRDefault="00CD1D1C" w:rsidP="004228C9">
            <w:pPr>
              <w:pStyle w:val="Tabletext1"/>
            </w:pPr>
            <w:r w:rsidRPr="00CD1D1C">
              <w:t>MBS Item 132</w:t>
            </w:r>
          </w:p>
        </w:tc>
      </w:tr>
      <w:tr w:rsidR="00CD1D1C" w:rsidRPr="00CD1D1C" w14:paraId="638C53FF" w14:textId="77777777" w:rsidTr="00E92CAD">
        <w:trPr>
          <w:trHeight w:val="285"/>
        </w:trPr>
        <w:tc>
          <w:tcPr>
            <w:tcW w:w="1439" w:type="pct"/>
            <w:tcBorders>
              <w:top w:val="single" w:sz="4" w:space="0" w:color="auto"/>
              <w:left w:val="single" w:sz="4" w:space="0" w:color="auto"/>
              <w:bottom w:val="single" w:sz="4" w:space="0" w:color="auto"/>
            </w:tcBorders>
            <w:shd w:val="clear" w:color="auto" w:fill="D9D9D9" w:themeFill="background1" w:themeFillShade="D9"/>
            <w:vAlign w:val="center"/>
            <w:hideMark/>
          </w:tcPr>
          <w:p w14:paraId="7F406DB8" w14:textId="77777777" w:rsidR="00CD1D1C" w:rsidRPr="00664E49" w:rsidRDefault="00CD1D1C" w:rsidP="004228C9">
            <w:pPr>
              <w:pStyle w:val="Tabletext1"/>
              <w:rPr>
                <w:b/>
              </w:rPr>
            </w:pPr>
            <w:r w:rsidRPr="00664E49">
              <w:rPr>
                <w:b/>
              </w:rPr>
              <w:t>Medical services – intervention</w:t>
            </w:r>
          </w:p>
        </w:tc>
        <w:tc>
          <w:tcPr>
            <w:tcW w:w="734" w:type="pct"/>
            <w:tcBorders>
              <w:top w:val="single" w:sz="4" w:space="0" w:color="auto"/>
              <w:bottom w:val="single" w:sz="4" w:space="0" w:color="auto"/>
            </w:tcBorders>
            <w:shd w:val="clear" w:color="auto" w:fill="D9D9D9" w:themeFill="background1" w:themeFillShade="D9"/>
            <w:vAlign w:val="center"/>
            <w:hideMark/>
          </w:tcPr>
          <w:p w14:paraId="65BE29F2" w14:textId="77777777" w:rsidR="00CD1D1C" w:rsidRPr="00CD1D1C" w:rsidRDefault="00CD1D1C" w:rsidP="004228C9">
            <w:pPr>
              <w:pStyle w:val="Tabletext1"/>
            </w:pPr>
            <w:r w:rsidRPr="00CD1D1C">
              <w:t> </w:t>
            </w:r>
          </w:p>
        </w:tc>
        <w:tc>
          <w:tcPr>
            <w:tcW w:w="512" w:type="pct"/>
            <w:tcBorders>
              <w:top w:val="single" w:sz="4" w:space="0" w:color="auto"/>
              <w:bottom w:val="single" w:sz="4" w:space="0" w:color="auto"/>
            </w:tcBorders>
            <w:shd w:val="clear" w:color="auto" w:fill="D9D9D9" w:themeFill="background1" w:themeFillShade="D9"/>
            <w:vAlign w:val="center"/>
            <w:hideMark/>
          </w:tcPr>
          <w:p w14:paraId="4B5C1DBA" w14:textId="77777777" w:rsidR="00CD1D1C" w:rsidRPr="00CD1D1C" w:rsidRDefault="00CD1D1C" w:rsidP="004228C9">
            <w:pPr>
              <w:pStyle w:val="Tabletext1"/>
            </w:pPr>
            <w:r w:rsidRPr="00CD1D1C">
              <w:t> </w:t>
            </w:r>
          </w:p>
        </w:tc>
        <w:tc>
          <w:tcPr>
            <w:tcW w:w="536" w:type="pct"/>
            <w:tcBorders>
              <w:top w:val="single" w:sz="4" w:space="0" w:color="auto"/>
              <w:bottom w:val="single" w:sz="4" w:space="0" w:color="auto"/>
            </w:tcBorders>
            <w:shd w:val="clear" w:color="auto" w:fill="D9D9D9" w:themeFill="background1" w:themeFillShade="D9"/>
            <w:vAlign w:val="center"/>
            <w:hideMark/>
          </w:tcPr>
          <w:p w14:paraId="27ED493B" w14:textId="77777777" w:rsidR="00CD1D1C" w:rsidRPr="00CD1D1C" w:rsidRDefault="00CD1D1C" w:rsidP="004228C9">
            <w:pPr>
              <w:pStyle w:val="Tabletext1"/>
            </w:pPr>
            <w:r w:rsidRPr="00CD1D1C">
              <w:t> </w:t>
            </w:r>
          </w:p>
        </w:tc>
        <w:tc>
          <w:tcPr>
            <w:tcW w:w="522" w:type="pct"/>
            <w:tcBorders>
              <w:top w:val="single" w:sz="4" w:space="0" w:color="auto"/>
              <w:bottom w:val="single" w:sz="4" w:space="0" w:color="auto"/>
            </w:tcBorders>
            <w:shd w:val="clear" w:color="auto" w:fill="D9D9D9" w:themeFill="background1" w:themeFillShade="D9"/>
            <w:vAlign w:val="center"/>
            <w:hideMark/>
          </w:tcPr>
          <w:p w14:paraId="551F1C0C" w14:textId="77777777" w:rsidR="00CD1D1C" w:rsidRPr="00CD1D1C" w:rsidRDefault="00CD1D1C" w:rsidP="004228C9">
            <w:pPr>
              <w:pStyle w:val="Tabletext1"/>
            </w:pPr>
            <w:r w:rsidRPr="00CD1D1C">
              <w:t> </w:t>
            </w:r>
          </w:p>
        </w:tc>
        <w:tc>
          <w:tcPr>
            <w:tcW w:w="479" w:type="pct"/>
            <w:tcBorders>
              <w:top w:val="single" w:sz="4" w:space="0" w:color="auto"/>
              <w:bottom w:val="single" w:sz="4" w:space="0" w:color="auto"/>
            </w:tcBorders>
            <w:shd w:val="clear" w:color="auto" w:fill="D9D9D9" w:themeFill="background1" w:themeFillShade="D9"/>
            <w:vAlign w:val="center"/>
            <w:hideMark/>
          </w:tcPr>
          <w:p w14:paraId="2583DA5E" w14:textId="77777777" w:rsidR="00CD1D1C" w:rsidRPr="00CD1D1C" w:rsidRDefault="00CD1D1C" w:rsidP="004228C9">
            <w:pPr>
              <w:pStyle w:val="Tabletext1"/>
            </w:pPr>
            <w:r w:rsidRPr="00CD1D1C">
              <w:t> </w:t>
            </w:r>
          </w:p>
        </w:tc>
        <w:tc>
          <w:tcPr>
            <w:tcW w:w="778" w:type="pct"/>
            <w:tcBorders>
              <w:top w:val="single" w:sz="4" w:space="0" w:color="auto"/>
              <w:bottom w:val="single" w:sz="4" w:space="0" w:color="auto"/>
              <w:right w:val="single" w:sz="4" w:space="0" w:color="auto"/>
            </w:tcBorders>
            <w:shd w:val="clear" w:color="auto" w:fill="D9D9D9" w:themeFill="background1" w:themeFillShade="D9"/>
            <w:vAlign w:val="center"/>
            <w:hideMark/>
          </w:tcPr>
          <w:p w14:paraId="4E5D121A" w14:textId="77777777" w:rsidR="00CD1D1C" w:rsidRPr="00CD1D1C" w:rsidRDefault="00CD1D1C" w:rsidP="004228C9">
            <w:pPr>
              <w:pStyle w:val="Tabletext1"/>
            </w:pPr>
            <w:r w:rsidRPr="00CD1D1C">
              <w:t> </w:t>
            </w:r>
          </w:p>
        </w:tc>
      </w:tr>
      <w:tr w:rsidR="00CD1D1C" w:rsidRPr="00CD1D1C" w14:paraId="545FD06C" w14:textId="77777777" w:rsidTr="00E92CAD">
        <w:trPr>
          <w:trHeight w:val="135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F54B3" w14:textId="3AE0D825" w:rsidR="00CD1D1C" w:rsidRPr="00CD1D1C" w:rsidRDefault="00CD1D1C" w:rsidP="004228C9">
            <w:pPr>
              <w:pStyle w:val="Tabletext1"/>
            </w:pPr>
            <w:r w:rsidRPr="00CD1D1C">
              <w:t xml:space="preserve">NONRESECTABLE PRIMARY LUNG CANCER OR PULMONARY METASTATIC DISEASE, destruction of up to three lesions, by percutaneous </w:t>
            </w:r>
            <w:r w:rsidR="00FD19BD">
              <w:t>MTA</w:t>
            </w:r>
            <w:r w:rsidRPr="00CD1D1C">
              <w:t xml:space="preserve"> with curative or palliative intent, including any associated imaging services</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44E1228E" w14:textId="77777777" w:rsidR="00CD1D1C" w:rsidRPr="00CD1D1C" w:rsidRDefault="00CD1D1C" w:rsidP="004228C9">
            <w:pPr>
              <w:pStyle w:val="Tabletext1"/>
            </w:pPr>
            <w:r w:rsidRPr="00CD1D1C">
              <w:t>Radiologist, delivered to inpatient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0BF77F06" w14:textId="77777777" w:rsidR="00CD1D1C" w:rsidRPr="00CD1D1C" w:rsidRDefault="00CD1D1C" w:rsidP="004228C9">
            <w:pPr>
              <w:pStyle w:val="Tabletext1"/>
            </w:pPr>
            <w:r w:rsidRPr="00CD1D1C">
              <w:t>1,300.00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30D0D010" w14:textId="77777777" w:rsidR="00CD1D1C" w:rsidRPr="00CD1D1C" w:rsidRDefault="00CD1D1C" w:rsidP="004228C9">
            <w:pPr>
              <w:pStyle w:val="Tabletext1"/>
            </w:pPr>
            <w:r w:rsidRPr="00CD1D1C">
              <w:t>1,300.00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55CAC935" w14:textId="77777777" w:rsidR="00CD1D1C" w:rsidRPr="00CD1D1C" w:rsidRDefault="00CD1D1C" w:rsidP="004228C9">
            <w:pPr>
              <w:pStyle w:val="Tabletext1"/>
            </w:pPr>
            <w:r w:rsidRPr="00CD1D1C">
              <w:t>75%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5F95D676"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12514F67" w14:textId="35DBA15D" w:rsidR="00CD1D1C" w:rsidRPr="00CD1D1C" w:rsidRDefault="003944DC" w:rsidP="004228C9">
            <w:pPr>
              <w:pStyle w:val="Tabletext1"/>
            </w:pPr>
            <w:r>
              <w:t>Applicant</w:t>
            </w:r>
          </w:p>
        </w:tc>
      </w:tr>
      <w:tr w:rsidR="00CD1D1C" w:rsidRPr="00CD1D1C" w14:paraId="09D621C7" w14:textId="77777777" w:rsidTr="00E92CAD">
        <w:trPr>
          <w:trHeight w:val="102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BAD4D" w14:textId="197D0E5F" w:rsidR="00CD1D1C" w:rsidRPr="00CD1D1C" w:rsidRDefault="00CD1D1C" w:rsidP="004228C9">
            <w:pPr>
              <w:pStyle w:val="Tabletext1"/>
            </w:pPr>
            <w:r w:rsidRPr="00CD1D1C">
              <w:t xml:space="preserve">NONRESECTABLE PRIMARY LUNG CANCER OR PULMONARY METASTATIC DISEASE, destruction of four or five lesions, by </w:t>
            </w:r>
            <w:r w:rsidR="00D00B2A">
              <w:t>MTA</w:t>
            </w:r>
            <w:r w:rsidRPr="00CD1D1C">
              <w:t xml:space="preserve"> with curative or palliative intent, including any associated imaging services</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72C45CA7" w14:textId="77777777" w:rsidR="00CD1D1C" w:rsidRPr="00CD1D1C" w:rsidRDefault="00CD1D1C" w:rsidP="004228C9">
            <w:pPr>
              <w:pStyle w:val="Tabletext1"/>
            </w:pPr>
            <w:r w:rsidRPr="00CD1D1C">
              <w:t>Radiologist, delivered to inpatient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72237245" w14:textId="77777777" w:rsidR="00CD1D1C" w:rsidRPr="00CD1D1C" w:rsidRDefault="00CD1D1C" w:rsidP="004228C9">
            <w:pPr>
              <w:pStyle w:val="Tabletext1"/>
            </w:pPr>
            <w:r w:rsidRPr="00CD1D1C">
              <w:t>1,600.00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54E3A7CB" w14:textId="77777777" w:rsidR="00CD1D1C" w:rsidRPr="00CD1D1C" w:rsidRDefault="00CD1D1C" w:rsidP="004228C9">
            <w:pPr>
              <w:pStyle w:val="Tabletext1"/>
            </w:pPr>
            <w:r w:rsidRPr="00CD1D1C">
              <w:t>1,600.00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3CA8F1C9" w14:textId="77777777" w:rsidR="00CD1D1C" w:rsidRPr="00CD1D1C" w:rsidRDefault="00CD1D1C" w:rsidP="004228C9">
            <w:pPr>
              <w:pStyle w:val="Tabletext1"/>
            </w:pPr>
            <w:r w:rsidRPr="00CD1D1C">
              <w:t>75%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8507A18"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0268CEE7" w14:textId="77777777" w:rsidR="00CD1D1C" w:rsidRPr="00CD1D1C" w:rsidRDefault="00CD1D1C" w:rsidP="004228C9">
            <w:pPr>
              <w:pStyle w:val="Tabletext1"/>
            </w:pPr>
            <w:r w:rsidRPr="00CD1D1C">
              <w:t>Applicant</w:t>
            </w:r>
          </w:p>
        </w:tc>
      </w:tr>
      <w:tr w:rsidR="00CD1D1C" w:rsidRPr="00CD1D1C" w14:paraId="309C3153" w14:textId="77777777" w:rsidTr="00E92CAD">
        <w:trPr>
          <w:trHeight w:val="102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A8910" w14:textId="2C14BCFF" w:rsidR="00CD1D1C" w:rsidRPr="00CD1D1C" w:rsidRDefault="00CD1D1C" w:rsidP="004228C9">
            <w:pPr>
              <w:pStyle w:val="Tabletext1"/>
            </w:pPr>
            <w:r w:rsidRPr="00CD1D1C">
              <w:lastRenderedPageBreak/>
              <w:t xml:space="preserve">NONRESECTABLE PRIMARY LUNG CANCER OR PULMONARY METASTATIC DISEASE, destruction of </w:t>
            </w:r>
            <w:r w:rsidR="006D0335">
              <w:t>&gt;5</w:t>
            </w:r>
            <w:r w:rsidRPr="00CD1D1C">
              <w:t xml:space="preserve"> lesions, by percutaneous </w:t>
            </w:r>
            <w:r w:rsidR="00D00B2A">
              <w:t xml:space="preserve">MTA </w:t>
            </w:r>
            <w:r w:rsidRPr="00CD1D1C">
              <w:t>with curative or palliative intent, including any associated imaging services</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38C91D5F" w14:textId="77777777" w:rsidR="00CD1D1C" w:rsidRPr="00CD1D1C" w:rsidRDefault="00CD1D1C" w:rsidP="004228C9">
            <w:pPr>
              <w:pStyle w:val="Tabletext1"/>
            </w:pPr>
            <w:r w:rsidRPr="00CD1D1C">
              <w:t>Radiologist, delivered to inpatient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167885BA" w14:textId="77777777" w:rsidR="00CD1D1C" w:rsidRPr="00CD1D1C" w:rsidRDefault="00CD1D1C" w:rsidP="004228C9">
            <w:pPr>
              <w:pStyle w:val="Tabletext1"/>
            </w:pPr>
            <w:r w:rsidRPr="00CD1D1C">
              <w:t>2,000.00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8AEFD99" w14:textId="77777777" w:rsidR="00CD1D1C" w:rsidRPr="00CD1D1C" w:rsidRDefault="00CD1D1C" w:rsidP="004228C9">
            <w:pPr>
              <w:pStyle w:val="Tabletext1"/>
            </w:pPr>
            <w:r w:rsidRPr="00CD1D1C">
              <w:t>2,000.00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5C43A5EE" w14:textId="77777777" w:rsidR="00CD1D1C" w:rsidRPr="00CD1D1C" w:rsidRDefault="00CD1D1C" w:rsidP="004228C9">
            <w:pPr>
              <w:pStyle w:val="Tabletext1"/>
            </w:pPr>
            <w:r w:rsidRPr="00CD1D1C">
              <w:t>75%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A418303"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2E4BE4FB" w14:textId="77777777" w:rsidR="00CD1D1C" w:rsidRPr="00CD1D1C" w:rsidRDefault="00CD1D1C" w:rsidP="004228C9">
            <w:pPr>
              <w:pStyle w:val="Tabletext1"/>
            </w:pPr>
            <w:r w:rsidRPr="00CD1D1C">
              <w:t>Applicant</w:t>
            </w:r>
          </w:p>
        </w:tc>
      </w:tr>
      <w:tr w:rsidR="00CD1D1C" w:rsidRPr="00CD1D1C" w14:paraId="1B0DA45C" w14:textId="77777777" w:rsidTr="00E92CAD">
        <w:trPr>
          <w:trHeight w:val="765"/>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D0335" w14:textId="77777777" w:rsidR="00CD1D1C" w:rsidRPr="00CD1D1C" w:rsidRDefault="00CD1D1C" w:rsidP="004228C9">
            <w:pPr>
              <w:pStyle w:val="Tabletext1"/>
            </w:pPr>
            <w:r w:rsidRPr="00CD1D1C">
              <w:t>Pre-anaesthesia consultation. Consultations comprise 4 time-based items utilising 15 minute increments up to and exceeding 45 minutes</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3B110217" w14:textId="77777777" w:rsidR="00CD1D1C" w:rsidRPr="00CD1D1C" w:rsidRDefault="00CD1D1C" w:rsidP="004228C9">
            <w:pPr>
              <w:pStyle w:val="Tabletext1"/>
            </w:pPr>
            <w:r w:rsidRPr="00CD1D1C">
              <w:t>Anaesthesiologist, delivered to inpatient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1689ED52" w14:textId="77777777" w:rsidR="00CD1D1C" w:rsidRPr="00CD1D1C" w:rsidRDefault="00CD1D1C" w:rsidP="004228C9">
            <w:pPr>
              <w:pStyle w:val="Tabletext1"/>
            </w:pPr>
            <w:r w:rsidRPr="00CD1D1C">
              <w:t>99.49</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446228C6" w14:textId="77777777" w:rsidR="00CD1D1C" w:rsidRPr="00CD1D1C" w:rsidRDefault="00CD1D1C" w:rsidP="004228C9">
            <w:pPr>
              <w:pStyle w:val="Tabletext1"/>
            </w:pPr>
            <w:r w:rsidRPr="00CD1D1C">
              <w:t>99.49</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04C3006F" w14:textId="77777777" w:rsidR="00CD1D1C" w:rsidRPr="00CD1D1C" w:rsidRDefault="00CD1D1C" w:rsidP="004228C9">
            <w:pPr>
              <w:pStyle w:val="Tabletext1"/>
            </w:pPr>
            <w:r w:rsidRPr="00CD1D1C">
              <w:t>75%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7F46742"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062A2D04" w14:textId="77777777" w:rsidR="00CD1D1C" w:rsidRPr="00CD1D1C" w:rsidRDefault="00CD1D1C" w:rsidP="004228C9">
            <w:pPr>
              <w:pStyle w:val="Tabletext1"/>
            </w:pPr>
            <w:r w:rsidRPr="00CD1D1C">
              <w:t>Mean for MBS items 17610, 17615, 17620, 17625</w:t>
            </w:r>
          </w:p>
        </w:tc>
      </w:tr>
      <w:tr w:rsidR="00CD1D1C" w:rsidRPr="00CD1D1C" w14:paraId="77C01559" w14:textId="77777777" w:rsidTr="00E92CAD">
        <w:trPr>
          <w:trHeight w:val="765"/>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70FD8" w14:textId="77777777" w:rsidR="00CD1D1C" w:rsidRPr="00CD1D1C" w:rsidRDefault="00CD1D1C" w:rsidP="004228C9">
            <w:pPr>
              <w:pStyle w:val="Tabletext1"/>
            </w:pPr>
            <w:r w:rsidRPr="00CD1D1C">
              <w:t>Referred consultation. Consultations comprise 4 time-based items utilising 15 minute increments up to and exceeding 45 minutes</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0DD7DB0A" w14:textId="77777777" w:rsidR="00CD1D1C" w:rsidRPr="00CD1D1C" w:rsidRDefault="00CD1D1C" w:rsidP="004228C9">
            <w:pPr>
              <w:pStyle w:val="Tabletext1"/>
            </w:pPr>
            <w:r w:rsidRPr="00CD1D1C">
              <w:t>Anaesthesiologist, delivered to inpatient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2CFAD4FE" w14:textId="77777777" w:rsidR="00CD1D1C" w:rsidRPr="00CD1D1C" w:rsidRDefault="00CD1D1C" w:rsidP="004228C9">
            <w:pPr>
              <w:pStyle w:val="Tabletext1"/>
            </w:pPr>
            <w:r w:rsidRPr="00CD1D1C">
              <w:t>99.49</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DC9DD41" w14:textId="77777777" w:rsidR="00CD1D1C" w:rsidRPr="00CD1D1C" w:rsidRDefault="00CD1D1C" w:rsidP="004228C9">
            <w:pPr>
              <w:pStyle w:val="Tabletext1"/>
            </w:pPr>
            <w:r w:rsidRPr="00CD1D1C">
              <w:t>99.49</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3439DD4E" w14:textId="77777777" w:rsidR="00CD1D1C" w:rsidRPr="00CD1D1C" w:rsidRDefault="00CD1D1C" w:rsidP="004228C9">
            <w:pPr>
              <w:pStyle w:val="Tabletext1"/>
            </w:pPr>
            <w:r w:rsidRPr="00CD1D1C">
              <w:t>75%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AEBD93F"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34FA0C8C" w14:textId="77777777" w:rsidR="00CD1D1C" w:rsidRPr="00CD1D1C" w:rsidRDefault="00CD1D1C" w:rsidP="004228C9">
            <w:pPr>
              <w:pStyle w:val="Tabletext1"/>
            </w:pPr>
            <w:r w:rsidRPr="00CD1D1C">
              <w:t>Mean of MBS items 17640, 17645, 17650, 17655</w:t>
            </w:r>
          </w:p>
        </w:tc>
      </w:tr>
      <w:tr w:rsidR="00CD1D1C" w:rsidRPr="00CD1D1C" w14:paraId="40DC88F2" w14:textId="77777777" w:rsidTr="00E92CAD">
        <w:trPr>
          <w:trHeight w:val="765"/>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FE3E8" w14:textId="77777777" w:rsidR="00CD1D1C" w:rsidRPr="00CD1D1C" w:rsidRDefault="00CD1D1C" w:rsidP="004228C9">
            <w:pPr>
              <w:pStyle w:val="Tabletext1"/>
            </w:pPr>
            <w:r w:rsidRPr="00CD1D1C">
              <w:t>Initiation of management of anaesthesia, for computerised axial tomography scanning, magnetic resonance scanning, digital subtraction angiography scanning</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59D6F666" w14:textId="77777777" w:rsidR="00CD1D1C" w:rsidRPr="00CD1D1C" w:rsidRDefault="00CD1D1C" w:rsidP="004228C9">
            <w:pPr>
              <w:pStyle w:val="Tabletext1"/>
            </w:pPr>
            <w:r w:rsidRPr="00CD1D1C">
              <w:t>Anaesthesiologist, delivered to inpatient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26B78CF6" w14:textId="77777777" w:rsidR="00CD1D1C" w:rsidRPr="00CD1D1C" w:rsidRDefault="00CD1D1C" w:rsidP="004228C9">
            <w:pPr>
              <w:pStyle w:val="Tabletext1"/>
            </w:pPr>
            <w:r w:rsidRPr="00CD1D1C">
              <w:t>138.60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6AA76E0A" w14:textId="77777777" w:rsidR="00CD1D1C" w:rsidRPr="00CD1D1C" w:rsidRDefault="00CD1D1C" w:rsidP="004228C9">
            <w:pPr>
              <w:pStyle w:val="Tabletext1"/>
            </w:pPr>
            <w:r w:rsidRPr="00CD1D1C">
              <w:t>138.60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34356A13" w14:textId="77777777" w:rsidR="00CD1D1C" w:rsidRPr="00CD1D1C" w:rsidRDefault="00CD1D1C" w:rsidP="004228C9">
            <w:pPr>
              <w:pStyle w:val="Tabletext1"/>
            </w:pPr>
            <w:r w:rsidRPr="00CD1D1C">
              <w:t>75%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003318B9"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43481F10" w14:textId="77777777" w:rsidR="00CD1D1C" w:rsidRPr="00CD1D1C" w:rsidRDefault="00CD1D1C" w:rsidP="004228C9">
            <w:pPr>
              <w:pStyle w:val="Tabletext1"/>
            </w:pPr>
            <w:r w:rsidRPr="00CD1D1C">
              <w:t>MBS item 21922</w:t>
            </w:r>
          </w:p>
        </w:tc>
      </w:tr>
      <w:tr w:rsidR="00CD1D1C" w:rsidRPr="00CD1D1C" w14:paraId="3641EFB5" w14:textId="77777777" w:rsidTr="00E92CAD">
        <w:trPr>
          <w:trHeight w:val="51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E95DC" w14:textId="77777777" w:rsidR="00CD1D1C" w:rsidRPr="00CD1D1C" w:rsidRDefault="00CD1D1C" w:rsidP="004228C9">
            <w:pPr>
              <w:pStyle w:val="Tabletext1"/>
            </w:pPr>
            <w:r w:rsidRPr="00CD1D1C">
              <w:t xml:space="preserve">Administration of anaesthesia, 56 MINUTES TO 1:00 HOUR </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7E4812FA" w14:textId="77777777" w:rsidR="00CD1D1C" w:rsidRPr="00CD1D1C" w:rsidRDefault="00CD1D1C" w:rsidP="004228C9">
            <w:pPr>
              <w:pStyle w:val="Tabletext1"/>
            </w:pPr>
            <w:r w:rsidRPr="00CD1D1C">
              <w:t>Anaesthesiologist, delivered to inpatient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2E0CFCE7" w14:textId="77777777" w:rsidR="00CD1D1C" w:rsidRPr="00CD1D1C" w:rsidRDefault="00CD1D1C" w:rsidP="004228C9">
            <w:pPr>
              <w:pStyle w:val="Tabletext1"/>
            </w:pPr>
            <w:r w:rsidRPr="00CD1D1C">
              <w:t>79.20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434EFBF7" w14:textId="77777777" w:rsidR="00CD1D1C" w:rsidRPr="00CD1D1C" w:rsidRDefault="00CD1D1C" w:rsidP="004228C9">
            <w:pPr>
              <w:pStyle w:val="Tabletext1"/>
            </w:pPr>
            <w:r w:rsidRPr="00CD1D1C">
              <w:t>79.20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48250899" w14:textId="77777777" w:rsidR="00CD1D1C" w:rsidRPr="00CD1D1C" w:rsidRDefault="00CD1D1C" w:rsidP="004228C9">
            <w:pPr>
              <w:pStyle w:val="Tabletext1"/>
            </w:pPr>
            <w:r w:rsidRPr="00CD1D1C">
              <w:t>75%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FC7B591"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3B8D494D" w14:textId="77777777" w:rsidR="00CD1D1C" w:rsidRPr="00CD1D1C" w:rsidRDefault="00CD1D1C" w:rsidP="004228C9">
            <w:pPr>
              <w:pStyle w:val="Tabletext1"/>
            </w:pPr>
            <w:r w:rsidRPr="00CD1D1C">
              <w:t>MBS Item 23043</w:t>
            </w:r>
          </w:p>
        </w:tc>
      </w:tr>
      <w:tr w:rsidR="00CD1D1C" w:rsidRPr="00CD1D1C" w14:paraId="0BA044A4" w14:textId="77777777" w:rsidTr="00E92CAD">
        <w:trPr>
          <w:trHeight w:val="51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5B957" w14:textId="77777777" w:rsidR="00CD1D1C" w:rsidRPr="00CD1D1C" w:rsidRDefault="00CD1D1C" w:rsidP="004228C9">
            <w:pPr>
              <w:pStyle w:val="Tabletext1"/>
            </w:pPr>
            <w:r w:rsidRPr="00CD1D1C">
              <w:t>Anaesthesia modifier for patients over 70</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7CF3F620" w14:textId="77777777" w:rsidR="00CD1D1C" w:rsidRPr="00CD1D1C" w:rsidRDefault="00CD1D1C" w:rsidP="004228C9">
            <w:pPr>
              <w:pStyle w:val="Tabletext1"/>
            </w:pPr>
            <w:r w:rsidRPr="00CD1D1C">
              <w:t>Anaesthesiologist, delivered to inpatient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36361A51" w14:textId="77777777" w:rsidR="00CD1D1C" w:rsidRPr="00CD1D1C" w:rsidRDefault="00CD1D1C" w:rsidP="004228C9">
            <w:pPr>
              <w:pStyle w:val="Tabletext1"/>
            </w:pPr>
            <w:r w:rsidRPr="00CD1D1C">
              <w:t>19.80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549C7675" w14:textId="77777777" w:rsidR="00CD1D1C" w:rsidRPr="00CD1D1C" w:rsidRDefault="00CD1D1C" w:rsidP="004228C9">
            <w:pPr>
              <w:pStyle w:val="Tabletext1"/>
            </w:pPr>
            <w:r w:rsidRPr="00CD1D1C">
              <w:t>19.80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117948F6" w14:textId="77777777" w:rsidR="00CD1D1C" w:rsidRPr="00CD1D1C" w:rsidRDefault="00CD1D1C" w:rsidP="004228C9">
            <w:pPr>
              <w:pStyle w:val="Tabletext1"/>
            </w:pPr>
            <w:r w:rsidRPr="00CD1D1C">
              <w:t>75%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74F0D2C4"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55D29B65" w14:textId="77777777" w:rsidR="00CD1D1C" w:rsidRPr="00CD1D1C" w:rsidRDefault="00CD1D1C" w:rsidP="004228C9">
            <w:pPr>
              <w:pStyle w:val="Tabletext1"/>
            </w:pPr>
            <w:r w:rsidRPr="00CD1D1C">
              <w:t>MBS Item 25015</w:t>
            </w:r>
          </w:p>
        </w:tc>
      </w:tr>
      <w:tr w:rsidR="00CD1D1C" w:rsidRPr="00CD1D1C" w14:paraId="767A6F8D" w14:textId="77777777" w:rsidTr="00E92CAD">
        <w:trPr>
          <w:trHeight w:val="51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5FDFA" w14:textId="77777777" w:rsidR="00CD1D1C" w:rsidRPr="00CD1D1C" w:rsidRDefault="00CD1D1C" w:rsidP="004228C9">
            <w:pPr>
              <w:pStyle w:val="Tabletext1"/>
            </w:pPr>
            <w:r w:rsidRPr="00CD1D1C">
              <w:t xml:space="preserve">Blood pressure monitoring, (central venous, pulmonary arterial, systemic arterial or cardiac intracavity), by indwelling catheter </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2F9D34B7" w14:textId="77777777" w:rsidR="00CD1D1C" w:rsidRPr="00CD1D1C" w:rsidRDefault="00CD1D1C" w:rsidP="004228C9">
            <w:pPr>
              <w:pStyle w:val="Tabletext1"/>
            </w:pPr>
            <w:r w:rsidRPr="00CD1D1C">
              <w:t>Anaesthesiologist, delivered to inpatient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3CFC229A" w14:textId="77777777" w:rsidR="00CD1D1C" w:rsidRPr="00CD1D1C" w:rsidRDefault="00CD1D1C" w:rsidP="004228C9">
            <w:pPr>
              <w:pStyle w:val="Tabletext1"/>
            </w:pPr>
            <w:r w:rsidRPr="00CD1D1C">
              <w:t>59.40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FC84AC8" w14:textId="77777777" w:rsidR="00CD1D1C" w:rsidRPr="00CD1D1C" w:rsidRDefault="00CD1D1C" w:rsidP="004228C9">
            <w:pPr>
              <w:pStyle w:val="Tabletext1"/>
            </w:pPr>
            <w:r w:rsidRPr="00CD1D1C">
              <w:t>59.40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31E9B685" w14:textId="77777777" w:rsidR="00CD1D1C" w:rsidRPr="00CD1D1C" w:rsidRDefault="00CD1D1C" w:rsidP="004228C9">
            <w:pPr>
              <w:pStyle w:val="Tabletext1"/>
            </w:pPr>
            <w:r w:rsidRPr="00CD1D1C">
              <w:t>75%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6E0BDA50"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57C332A3" w14:textId="77777777" w:rsidR="00CD1D1C" w:rsidRPr="00CD1D1C" w:rsidRDefault="00CD1D1C" w:rsidP="004228C9">
            <w:pPr>
              <w:pStyle w:val="Tabletext1"/>
            </w:pPr>
            <w:r w:rsidRPr="00CD1D1C">
              <w:t>MBS Item 22012</w:t>
            </w:r>
          </w:p>
        </w:tc>
      </w:tr>
      <w:tr w:rsidR="00CD1D1C" w:rsidRPr="00CD1D1C" w14:paraId="4F353A95" w14:textId="77777777" w:rsidTr="00365879">
        <w:trPr>
          <w:trHeight w:val="51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67A58" w14:textId="77777777" w:rsidR="00CD1D1C" w:rsidRPr="00CD1D1C" w:rsidRDefault="00CD1D1C" w:rsidP="004228C9">
            <w:pPr>
              <w:pStyle w:val="Tabletext1"/>
            </w:pPr>
            <w:r w:rsidRPr="00CD1D1C">
              <w:t xml:space="preserve">CHEST (lung fields) by direct radiography (NR) </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43606134" w14:textId="77777777" w:rsidR="00CD1D1C" w:rsidRPr="00CD1D1C" w:rsidRDefault="00CD1D1C" w:rsidP="004228C9">
            <w:pPr>
              <w:pStyle w:val="Tabletext1"/>
            </w:pPr>
            <w:r w:rsidRPr="00CD1D1C">
              <w:t>Radiologist, delivered to inpatient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637DDC8F" w14:textId="77777777" w:rsidR="00CD1D1C" w:rsidRPr="00CD1D1C" w:rsidRDefault="00CD1D1C" w:rsidP="004228C9">
            <w:pPr>
              <w:pStyle w:val="Tabletext1"/>
            </w:pPr>
            <w:r w:rsidRPr="00CD1D1C">
              <w:t>35.35</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6E833D87" w14:textId="77777777" w:rsidR="00CD1D1C" w:rsidRPr="00CD1D1C" w:rsidRDefault="00CD1D1C" w:rsidP="004228C9">
            <w:pPr>
              <w:pStyle w:val="Tabletext1"/>
            </w:pPr>
            <w:r w:rsidRPr="00CD1D1C">
              <w:t>35.35</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3BDC4D3E" w14:textId="77777777" w:rsidR="00CD1D1C" w:rsidRPr="00CD1D1C" w:rsidRDefault="00CD1D1C" w:rsidP="004228C9">
            <w:pPr>
              <w:pStyle w:val="Tabletext1"/>
            </w:pPr>
            <w:r w:rsidRPr="00CD1D1C">
              <w:t>75%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0D8C1E44" w14:textId="77777777" w:rsidR="00CD1D1C" w:rsidRPr="00CD1D1C" w:rsidRDefault="00CD1D1C" w:rsidP="004228C9">
            <w:pPr>
              <w:pStyle w:val="Tabletext1"/>
            </w:pPr>
            <w:r w:rsidRPr="00CD1D1C">
              <w:t>2</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5371C8E7" w14:textId="77777777" w:rsidR="00CD1D1C" w:rsidRPr="00CD1D1C" w:rsidRDefault="00CD1D1C" w:rsidP="004228C9">
            <w:pPr>
              <w:pStyle w:val="Tabletext1"/>
            </w:pPr>
            <w:r w:rsidRPr="00CD1D1C">
              <w:t>MBS Item 58500</w:t>
            </w:r>
          </w:p>
        </w:tc>
      </w:tr>
      <w:tr w:rsidR="00CD1D1C" w:rsidRPr="00CD1D1C" w14:paraId="15694B94" w14:textId="77777777" w:rsidTr="00365879">
        <w:trPr>
          <w:trHeight w:val="270"/>
        </w:trPr>
        <w:tc>
          <w:tcPr>
            <w:tcW w:w="1439" w:type="pct"/>
            <w:tcBorders>
              <w:top w:val="single" w:sz="4" w:space="0" w:color="auto"/>
              <w:left w:val="single" w:sz="4" w:space="0" w:color="auto"/>
              <w:bottom w:val="single" w:sz="4" w:space="0" w:color="auto"/>
            </w:tcBorders>
            <w:shd w:val="clear" w:color="auto" w:fill="D9D9D9" w:themeFill="background1" w:themeFillShade="D9"/>
            <w:vAlign w:val="center"/>
            <w:hideMark/>
          </w:tcPr>
          <w:p w14:paraId="481538D9" w14:textId="1C80755D" w:rsidR="00CD1D1C" w:rsidRPr="00664E49" w:rsidRDefault="00CD1D1C" w:rsidP="004228C9">
            <w:pPr>
              <w:pStyle w:val="Tabletext1"/>
              <w:rPr>
                <w:b/>
              </w:rPr>
            </w:pPr>
            <w:r w:rsidRPr="00664E49">
              <w:rPr>
                <w:b/>
              </w:rPr>
              <w:lastRenderedPageBreak/>
              <w:t>Medical services – post intervention follow-up</w:t>
            </w:r>
          </w:p>
        </w:tc>
        <w:tc>
          <w:tcPr>
            <w:tcW w:w="734" w:type="pct"/>
            <w:tcBorders>
              <w:top w:val="single" w:sz="4" w:space="0" w:color="auto"/>
              <w:bottom w:val="single" w:sz="4" w:space="0" w:color="auto"/>
            </w:tcBorders>
            <w:shd w:val="clear" w:color="auto" w:fill="D9D9D9" w:themeFill="background1" w:themeFillShade="D9"/>
            <w:vAlign w:val="center"/>
            <w:hideMark/>
          </w:tcPr>
          <w:p w14:paraId="7132CB0D" w14:textId="77777777" w:rsidR="00CD1D1C" w:rsidRPr="00CD1D1C" w:rsidRDefault="00CD1D1C" w:rsidP="004228C9">
            <w:pPr>
              <w:pStyle w:val="Tabletext1"/>
            </w:pPr>
            <w:r w:rsidRPr="00CD1D1C">
              <w:t> </w:t>
            </w:r>
          </w:p>
        </w:tc>
        <w:tc>
          <w:tcPr>
            <w:tcW w:w="512" w:type="pct"/>
            <w:tcBorders>
              <w:top w:val="single" w:sz="4" w:space="0" w:color="auto"/>
              <w:bottom w:val="single" w:sz="4" w:space="0" w:color="auto"/>
            </w:tcBorders>
            <w:shd w:val="clear" w:color="auto" w:fill="D9D9D9" w:themeFill="background1" w:themeFillShade="D9"/>
            <w:vAlign w:val="center"/>
            <w:hideMark/>
          </w:tcPr>
          <w:p w14:paraId="44A492FB" w14:textId="77777777" w:rsidR="00CD1D1C" w:rsidRPr="00CD1D1C" w:rsidRDefault="00CD1D1C" w:rsidP="004228C9">
            <w:pPr>
              <w:pStyle w:val="Tabletext1"/>
            </w:pPr>
            <w:r w:rsidRPr="00CD1D1C">
              <w:t> </w:t>
            </w:r>
          </w:p>
        </w:tc>
        <w:tc>
          <w:tcPr>
            <w:tcW w:w="536" w:type="pct"/>
            <w:tcBorders>
              <w:top w:val="single" w:sz="4" w:space="0" w:color="auto"/>
              <w:bottom w:val="single" w:sz="4" w:space="0" w:color="auto"/>
            </w:tcBorders>
            <w:shd w:val="clear" w:color="auto" w:fill="D9D9D9" w:themeFill="background1" w:themeFillShade="D9"/>
            <w:vAlign w:val="center"/>
            <w:hideMark/>
          </w:tcPr>
          <w:p w14:paraId="78A77854" w14:textId="77777777" w:rsidR="00CD1D1C" w:rsidRPr="00CD1D1C" w:rsidRDefault="00CD1D1C" w:rsidP="004228C9">
            <w:pPr>
              <w:pStyle w:val="Tabletext1"/>
            </w:pPr>
            <w:r w:rsidRPr="00CD1D1C">
              <w:t> </w:t>
            </w:r>
          </w:p>
        </w:tc>
        <w:tc>
          <w:tcPr>
            <w:tcW w:w="522" w:type="pct"/>
            <w:tcBorders>
              <w:top w:val="single" w:sz="4" w:space="0" w:color="auto"/>
              <w:bottom w:val="single" w:sz="4" w:space="0" w:color="auto"/>
            </w:tcBorders>
            <w:shd w:val="clear" w:color="auto" w:fill="D9D9D9" w:themeFill="background1" w:themeFillShade="D9"/>
            <w:vAlign w:val="center"/>
            <w:hideMark/>
          </w:tcPr>
          <w:p w14:paraId="4BC023DA" w14:textId="77777777" w:rsidR="00CD1D1C" w:rsidRPr="00CD1D1C" w:rsidRDefault="00CD1D1C" w:rsidP="004228C9">
            <w:pPr>
              <w:pStyle w:val="Tabletext1"/>
            </w:pPr>
            <w:r w:rsidRPr="00CD1D1C">
              <w:t> </w:t>
            </w:r>
          </w:p>
        </w:tc>
        <w:tc>
          <w:tcPr>
            <w:tcW w:w="479" w:type="pct"/>
            <w:tcBorders>
              <w:top w:val="single" w:sz="4" w:space="0" w:color="auto"/>
              <w:bottom w:val="single" w:sz="4" w:space="0" w:color="auto"/>
            </w:tcBorders>
            <w:shd w:val="clear" w:color="auto" w:fill="D9D9D9" w:themeFill="background1" w:themeFillShade="D9"/>
            <w:vAlign w:val="center"/>
            <w:hideMark/>
          </w:tcPr>
          <w:p w14:paraId="252C4D6B" w14:textId="77777777" w:rsidR="00CD1D1C" w:rsidRPr="00CD1D1C" w:rsidRDefault="00CD1D1C" w:rsidP="004228C9">
            <w:pPr>
              <w:pStyle w:val="Tabletext1"/>
            </w:pPr>
            <w:r w:rsidRPr="00CD1D1C">
              <w:t> </w:t>
            </w:r>
          </w:p>
        </w:tc>
        <w:tc>
          <w:tcPr>
            <w:tcW w:w="778" w:type="pct"/>
            <w:tcBorders>
              <w:top w:val="single" w:sz="4" w:space="0" w:color="auto"/>
              <w:bottom w:val="single" w:sz="4" w:space="0" w:color="auto"/>
              <w:right w:val="single" w:sz="4" w:space="0" w:color="auto"/>
            </w:tcBorders>
            <w:shd w:val="clear" w:color="auto" w:fill="D9D9D9" w:themeFill="background1" w:themeFillShade="D9"/>
            <w:vAlign w:val="center"/>
            <w:hideMark/>
          </w:tcPr>
          <w:p w14:paraId="2FA2D8F0" w14:textId="77777777" w:rsidR="00CD1D1C" w:rsidRPr="00CD1D1C" w:rsidRDefault="00CD1D1C" w:rsidP="004228C9">
            <w:pPr>
              <w:pStyle w:val="Tabletext1"/>
            </w:pPr>
            <w:r w:rsidRPr="00CD1D1C">
              <w:t> </w:t>
            </w:r>
          </w:p>
        </w:tc>
      </w:tr>
      <w:tr w:rsidR="00CD1D1C" w:rsidRPr="00CD1D1C" w14:paraId="36F16F28" w14:textId="77777777" w:rsidTr="00E92CAD">
        <w:trPr>
          <w:trHeight w:val="99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51ED2" w14:textId="77777777" w:rsidR="00CD1D1C" w:rsidRPr="00CD1D1C" w:rsidRDefault="00CD1D1C" w:rsidP="004228C9">
            <w:pPr>
              <w:pStyle w:val="Tabletext1"/>
            </w:pPr>
            <w:r w:rsidRPr="00CD1D1C">
              <w:t>Medical oncologist consultation</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24FC1EA8" w14:textId="77777777" w:rsidR="00CD1D1C" w:rsidRPr="00CD1D1C" w:rsidRDefault="00CD1D1C" w:rsidP="004228C9">
            <w:pPr>
              <w:pStyle w:val="Tabletext1"/>
            </w:pPr>
            <w:r w:rsidRPr="00CD1D1C">
              <w:t>Outpatient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7730C7A1" w14:textId="77777777" w:rsidR="00CD1D1C" w:rsidRPr="00CD1D1C" w:rsidRDefault="00CD1D1C" w:rsidP="004228C9">
            <w:pPr>
              <w:pStyle w:val="Tabletext1"/>
            </w:pPr>
            <w:r w:rsidRPr="00CD1D1C">
              <w:t>75.50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56758F6" w14:textId="77777777" w:rsidR="00CD1D1C" w:rsidRPr="00CD1D1C" w:rsidRDefault="00CD1D1C" w:rsidP="004228C9">
            <w:pPr>
              <w:pStyle w:val="Tabletext1"/>
            </w:pPr>
            <w:r w:rsidRPr="00CD1D1C">
              <w:t>75.50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08CC9762" w14:textId="77777777" w:rsidR="00CD1D1C" w:rsidRPr="00CD1D1C" w:rsidRDefault="00CD1D1C" w:rsidP="004228C9">
            <w:pPr>
              <w:pStyle w:val="Tabletext1"/>
            </w:pPr>
            <w:r w:rsidRPr="00CD1D1C">
              <w:t>85%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BD83F0E"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21F7B542" w14:textId="77777777" w:rsidR="00CD1D1C" w:rsidRPr="00CD1D1C" w:rsidRDefault="00CD1D1C" w:rsidP="004228C9">
            <w:pPr>
              <w:pStyle w:val="Tabletext1"/>
            </w:pPr>
            <w:r w:rsidRPr="00CD1D1C">
              <w:t>MBS Item 116</w:t>
            </w:r>
          </w:p>
        </w:tc>
      </w:tr>
      <w:tr w:rsidR="00CD1D1C" w:rsidRPr="00CD1D1C" w14:paraId="475E197D" w14:textId="77777777" w:rsidTr="00365879">
        <w:trPr>
          <w:trHeight w:val="765"/>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24A0" w14:textId="77777777" w:rsidR="00CD1D1C" w:rsidRPr="00CD1D1C" w:rsidRDefault="00CD1D1C" w:rsidP="004228C9">
            <w:pPr>
              <w:pStyle w:val="Tabletext1"/>
            </w:pPr>
            <w:r w:rsidRPr="00CD1D1C">
              <w:t>COMPUTED TOMOGRAPHY - scan of chest, including lungs, mediastinum, chest wall and pleura, with or without scans of the upper abdomen, with intravenous contrast medium</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6F83F8D2" w14:textId="77777777" w:rsidR="00CD1D1C" w:rsidRPr="00CD1D1C" w:rsidRDefault="00CD1D1C" w:rsidP="004228C9">
            <w:pPr>
              <w:pStyle w:val="Tabletext1"/>
            </w:pPr>
            <w:r w:rsidRPr="00CD1D1C">
              <w:t>Radiologist, as outpatient</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34ED834E" w14:textId="77777777" w:rsidR="00CD1D1C" w:rsidRPr="00CD1D1C" w:rsidRDefault="00CD1D1C" w:rsidP="004228C9">
            <w:pPr>
              <w:pStyle w:val="Tabletext1"/>
            </w:pPr>
            <w:r w:rsidRPr="00CD1D1C">
              <w:t>202.00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16D31A49" w14:textId="77777777" w:rsidR="00CD1D1C" w:rsidRPr="00CD1D1C" w:rsidRDefault="00CD1D1C" w:rsidP="004228C9">
            <w:pPr>
              <w:pStyle w:val="Tabletext1"/>
            </w:pPr>
            <w:r w:rsidRPr="00CD1D1C">
              <w:t>202.00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3BA418EB" w14:textId="77777777" w:rsidR="00CD1D1C" w:rsidRPr="00CD1D1C" w:rsidRDefault="00CD1D1C" w:rsidP="004228C9">
            <w:pPr>
              <w:pStyle w:val="Tabletext1"/>
            </w:pPr>
            <w:r w:rsidRPr="00CD1D1C">
              <w:t>85%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15CC444"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7EE236D2" w14:textId="77777777" w:rsidR="00CD1D1C" w:rsidRPr="00CD1D1C" w:rsidRDefault="00CD1D1C" w:rsidP="004228C9">
            <w:pPr>
              <w:pStyle w:val="Tabletext1"/>
            </w:pPr>
            <w:r w:rsidRPr="00CD1D1C">
              <w:t>MBS Item 56347</w:t>
            </w:r>
          </w:p>
        </w:tc>
      </w:tr>
      <w:tr w:rsidR="00CD1D1C" w:rsidRPr="00CD1D1C" w14:paraId="2ACE71C5" w14:textId="77777777" w:rsidTr="00365879">
        <w:trPr>
          <w:trHeight w:val="255"/>
        </w:trPr>
        <w:tc>
          <w:tcPr>
            <w:tcW w:w="1439" w:type="pct"/>
            <w:tcBorders>
              <w:top w:val="single" w:sz="4" w:space="0" w:color="auto"/>
              <w:left w:val="single" w:sz="4" w:space="0" w:color="auto"/>
              <w:bottom w:val="single" w:sz="4" w:space="0" w:color="auto"/>
            </w:tcBorders>
            <w:shd w:val="clear" w:color="auto" w:fill="D9D9D9" w:themeFill="background1" w:themeFillShade="D9"/>
            <w:vAlign w:val="center"/>
            <w:hideMark/>
          </w:tcPr>
          <w:p w14:paraId="0004AC5A" w14:textId="77777777" w:rsidR="00CD1D1C" w:rsidRPr="00664E49" w:rsidRDefault="00CD1D1C" w:rsidP="004228C9">
            <w:pPr>
              <w:pStyle w:val="Tabletext1"/>
              <w:rPr>
                <w:b/>
              </w:rPr>
            </w:pPr>
            <w:r w:rsidRPr="00664E49">
              <w:rPr>
                <w:b/>
              </w:rPr>
              <w:t>Hospital services</w:t>
            </w:r>
          </w:p>
        </w:tc>
        <w:tc>
          <w:tcPr>
            <w:tcW w:w="734" w:type="pct"/>
            <w:tcBorders>
              <w:top w:val="single" w:sz="4" w:space="0" w:color="auto"/>
              <w:bottom w:val="single" w:sz="4" w:space="0" w:color="auto"/>
            </w:tcBorders>
            <w:shd w:val="clear" w:color="auto" w:fill="D9D9D9" w:themeFill="background1" w:themeFillShade="D9"/>
            <w:vAlign w:val="center"/>
            <w:hideMark/>
          </w:tcPr>
          <w:p w14:paraId="4E54A74D" w14:textId="77777777" w:rsidR="00CD1D1C" w:rsidRPr="00CD1D1C" w:rsidRDefault="00CD1D1C" w:rsidP="004228C9">
            <w:pPr>
              <w:pStyle w:val="Tabletext1"/>
            </w:pPr>
            <w:r w:rsidRPr="00CD1D1C">
              <w:t> </w:t>
            </w:r>
          </w:p>
        </w:tc>
        <w:tc>
          <w:tcPr>
            <w:tcW w:w="512" w:type="pct"/>
            <w:tcBorders>
              <w:top w:val="single" w:sz="4" w:space="0" w:color="auto"/>
              <w:bottom w:val="single" w:sz="4" w:space="0" w:color="auto"/>
            </w:tcBorders>
            <w:shd w:val="clear" w:color="auto" w:fill="D9D9D9" w:themeFill="background1" w:themeFillShade="D9"/>
            <w:vAlign w:val="center"/>
            <w:hideMark/>
          </w:tcPr>
          <w:p w14:paraId="20A30E11" w14:textId="77777777" w:rsidR="00CD1D1C" w:rsidRPr="00CD1D1C" w:rsidRDefault="00CD1D1C" w:rsidP="004228C9">
            <w:pPr>
              <w:pStyle w:val="Tabletext1"/>
            </w:pPr>
            <w:r w:rsidRPr="00CD1D1C">
              <w:t> </w:t>
            </w:r>
          </w:p>
        </w:tc>
        <w:tc>
          <w:tcPr>
            <w:tcW w:w="536" w:type="pct"/>
            <w:tcBorders>
              <w:top w:val="single" w:sz="4" w:space="0" w:color="auto"/>
              <w:bottom w:val="single" w:sz="4" w:space="0" w:color="auto"/>
            </w:tcBorders>
            <w:shd w:val="clear" w:color="auto" w:fill="D9D9D9" w:themeFill="background1" w:themeFillShade="D9"/>
            <w:vAlign w:val="center"/>
            <w:hideMark/>
          </w:tcPr>
          <w:p w14:paraId="2A5F6264" w14:textId="77777777" w:rsidR="00CD1D1C" w:rsidRPr="00CD1D1C" w:rsidRDefault="00CD1D1C" w:rsidP="004228C9">
            <w:pPr>
              <w:pStyle w:val="Tabletext1"/>
            </w:pPr>
            <w:r w:rsidRPr="00CD1D1C">
              <w:t> </w:t>
            </w:r>
          </w:p>
        </w:tc>
        <w:tc>
          <w:tcPr>
            <w:tcW w:w="522" w:type="pct"/>
            <w:tcBorders>
              <w:top w:val="single" w:sz="4" w:space="0" w:color="auto"/>
              <w:bottom w:val="single" w:sz="4" w:space="0" w:color="auto"/>
            </w:tcBorders>
            <w:shd w:val="clear" w:color="auto" w:fill="D9D9D9" w:themeFill="background1" w:themeFillShade="D9"/>
            <w:vAlign w:val="center"/>
            <w:hideMark/>
          </w:tcPr>
          <w:p w14:paraId="284E635B" w14:textId="77777777" w:rsidR="00CD1D1C" w:rsidRPr="00CD1D1C" w:rsidRDefault="00CD1D1C" w:rsidP="004228C9">
            <w:pPr>
              <w:pStyle w:val="Tabletext1"/>
            </w:pPr>
            <w:r w:rsidRPr="00CD1D1C">
              <w:t> </w:t>
            </w:r>
          </w:p>
        </w:tc>
        <w:tc>
          <w:tcPr>
            <w:tcW w:w="479" w:type="pct"/>
            <w:tcBorders>
              <w:top w:val="single" w:sz="4" w:space="0" w:color="auto"/>
              <w:bottom w:val="single" w:sz="4" w:space="0" w:color="auto"/>
            </w:tcBorders>
            <w:shd w:val="clear" w:color="auto" w:fill="D9D9D9" w:themeFill="background1" w:themeFillShade="D9"/>
            <w:vAlign w:val="center"/>
            <w:hideMark/>
          </w:tcPr>
          <w:p w14:paraId="62466968" w14:textId="77777777" w:rsidR="00CD1D1C" w:rsidRPr="00CD1D1C" w:rsidRDefault="00CD1D1C" w:rsidP="004228C9">
            <w:pPr>
              <w:pStyle w:val="Tabletext1"/>
            </w:pPr>
            <w:r w:rsidRPr="00CD1D1C">
              <w:t> </w:t>
            </w:r>
          </w:p>
        </w:tc>
        <w:tc>
          <w:tcPr>
            <w:tcW w:w="778" w:type="pct"/>
            <w:tcBorders>
              <w:top w:val="single" w:sz="4" w:space="0" w:color="auto"/>
              <w:bottom w:val="single" w:sz="4" w:space="0" w:color="auto"/>
              <w:right w:val="single" w:sz="4" w:space="0" w:color="auto"/>
            </w:tcBorders>
            <w:shd w:val="clear" w:color="auto" w:fill="D9D9D9" w:themeFill="background1" w:themeFillShade="D9"/>
            <w:vAlign w:val="center"/>
            <w:hideMark/>
          </w:tcPr>
          <w:p w14:paraId="4246A255" w14:textId="77777777" w:rsidR="00CD1D1C" w:rsidRPr="00CD1D1C" w:rsidRDefault="00CD1D1C" w:rsidP="004228C9">
            <w:pPr>
              <w:pStyle w:val="Tabletext1"/>
            </w:pPr>
            <w:r w:rsidRPr="00CD1D1C">
              <w:t> </w:t>
            </w:r>
          </w:p>
        </w:tc>
      </w:tr>
      <w:tr w:rsidR="00CD1D1C" w:rsidRPr="00CD1D1C" w14:paraId="56077950" w14:textId="77777777" w:rsidTr="00E92CAD">
        <w:trPr>
          <w:trHeight w:val="102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F52B4" w14:textId="77777777" w:rsidR="00CD1D1C" w:rsidRPr="00CD1D1C" w:rsidRDefault="00CD1D1C" w:rsidP="004228C9">
            <w:pPr>
              <w:pStyle w:val="Tabletext1"/>
            </w:pPr>
            <w:r w:rsidRPr="00CD1D1C">
              <w:t>Nurse assistant – Year 2, $847.00 per week (July 2016). Hourly rate of $22.30 based on ordinary hours of work for each full time employee being 228 hours balanced over a six-week period. Cost: $22.3 based on average 1-hour input</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1444AFD1" w14:textId="77777777" w:rsidR="00CD1D1C" w:rsidRPr="00CD1D1C" w:rsidRDefault="00CD1D1C" w:rsidP="004228C9">
            <w:pPr>
              <w:pStyle w:val="Tabletext1"/>
            </w:pPr>
            <w:r w:rsidRPr="00CD1D1C">
              <w:t>Assist with theatre, analgesia</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2A199209" w14:textId="77777777" w:rsidR="00CD1D1C" w:rsidRPr="00CD1D1C" w:rsidRDefault="00CD1D1C" w:rsidP="004228C9">
            <w:pPr>
              <w:pStyle w:val="Tabletext1"/>
            </w:pPr>
            <w:r w:rsidRPr="00CD1D1C">
              <w:t>22.30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32042415" w14:textId="77777777" w:rsidR="00CD1D1C" w:rsidRPr="00CD1D1C" w:rsidRDefault="00CD1D1C" w:rsidP="004228C9">
            <w:pPr>
              <w:pStyle w:val="Tabletext1"/>
            </w:pPr>
            <w:r w:rsidRPr="00CD1D1C">
              <w:t>0.00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63E91809" w14:textId="77777777" w:rsidR="00CD1D1C" w:rsidRPr="00CD1D1C" w:rsidRDefault="00CD1D1C" w:rsidP="004228C9">
            <w:pPr>
              <w:pStyle w:val="Tabletext1"/>
            </w:pPr>
            <w:r w:rsidRPr="00CD1D1C">
              <w:t>0.00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004C0C62"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0083A96D" w14:textId="77777777" w:rsidR="00CD1D1C" w:rsidRPr="00CD1D1C" w:rsidRDefault="00CD1D1C" w:rsidP="004228C9">
            <w:pPr>
              <w:pStyle w:val="Tabletext1"/>
            </w:pPr>
            <w:r w:rsidRPr="00CD1D1C">
              <w:t>NSW Public Health System Awards and Determinations, July 2016.</w:t>
            </w:r>
          </w:p>
        </w:tc>
      </w:tr>
      <w:tr w:rsidR="00CD1D1C" w:rsidRPr="00CD1D1C" w14:paraId="4ECEF10D" w14:textId="77777777" w:rsidTr="00E92CAD">
        <w:trPr>
          <w:trHeight w:val="102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5DB8C" w14:textId="77777777" w:rsidR="00CD1D1C" w:rsidRPr="00CD1D1C" w:rsidRDefault="00CD1D1C" w:rsidP="004228C9">
            <w:pPr>
              <w:pStyle w:val="Tabletext1"/>
            </w:pPr>
            <w:r w:rsidRPr="00CD1D1C">
              <w:t>Registered nurse (RN) – Year 5, $1,399.30 per week $36.80 based on ordinary hours of work for each full time employee being 228 hours balanced over a six-week period. Cost: $36.8 based on average 1-hour input</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7C847514" w14:textId="77777777" w:rsidR="00CD1D1C" w:rsidRPr="00CD1D1C" w:rsidRDefault="00CD1D1C" w:rsidP="004228C9">
            <w:pPr>
              <w:pStyle w:val="Tabletext1"/>
            </w:pPr>
            <w:r w:rsidRPr="00CD1D1C">
              <w:t>Assist with theatre, analgesia</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008C7DC6" w14:textId="77777777" w:rsidR="00CD1D1C" w:rsidRPr="00CD1D1C" w:rsidRDefault="00CD1D1C" w:rsidP="004228C9">
            <w:pPr>
              <w:pStyle w:val="Tabletext1"/>
            </w:pPr>
            <w:r w:rsidRPr="00CD1D1C">
              <w:t>36.80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8C1D1FF" w14:textId="77777777" w:rsidR="00CD1D1C" w:rsidRPr="00CD1D1C" w:rsidRDefault="00CD1D1C" w:rsidP="004228C9">
            <w:pPr>
              <w:pStyle w:val="Tabletext1"/>
            </w:pPr>
            <w:r w:rsidRPr="00CD1D1C">
              <w:t>0.00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2EA1FEE7" w14:textId="77777777" w:rsidR="00CD1D1C" w:rsidRPr="00CD1D1C" w:rsidRDefault="00CD1D1C" w:rsidP="004228C9">
            <w:pPr>
              <w:pStyle w:val="Tabletext1"/>
            </w:pPr>
            <w:r w:rsidRPr="00CD1D1C">
              <w:t>0.00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17BCAC0A"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3C20BBBC" w14:textId="77777777" w:rsidR="00CD1D1C" w:rsidRPr="00CD1D1C" w:rsidRDefault="00CD1D1C" w:rsidP="004228C9">
            <w:pPr>
              <w:pStyle w:val="Tabletext1"/>
            </w:pPr>
            <w:r w:rsidRPr="00CD1D1C">
              <w:t>NSW Public Health System Awards and Determinations, July 2016</w:t>
            </w:r>
          </w:p>
        </w:tc>
      </w:tr>
      <w:tr w:rsidR="00CD1D1C" w:rsidRPr="00CD1D1C" w14:paraId="4FCBA141" w14:textId="77777777" w:rsidTr="00C44885">
        <w:trPr>
          <w:trHeight w:val="795"/>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26878" w14:textId="234C60B4" w:rsidR="00CD1D1C" w:rsidRPr="00CD1D1C" w:rsidRDefault="00CD1D1C" w:rsidP="004228C9">
            <w:pPr>
              <w:pStyle w:val="Tabletext1"/>
            </w:pPr>
            <w:r w:rsidRPr="00CD1D1C">
              <w:t>Hospital accommodation is the average of shared ward and single ward accommodation costs calculated in Victoria for 2015</w:t>
            </w:r>
            <w:r w:rsidR="00D35E9C" w:rsidRPr="00D35E9C">
              <w:t>–</w:t>
            </w:r>
            <w:r w:rsidRPr="00CD1D1C">
              <w:t>16, surgical or obstetric patient first 14 days</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1B6EC140" w14:textId="77777777" w:rsidR="00CD1D1C" w:rsidRPr="00CD1D1C" w:rsidRDefault="00CD1D1C" w:rsidP="004228C9">
            <w:pPr>
              <w:pStyle w:val="Tabletext1"/>
            </w:pPr>
            <w:r w:rsidRPr="00CD1D1C">
              <w:t>Hospital</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02F87F42" w14:textId="77777777" w:rsidR="00CD1D1C" w:rsidRPr="00CD1D1C" w:rsidRDefault="00CD1D1C" w:rsidP="004228C9">
            <w:pPr>
              <w:pStyle w:val="Tabletext1"/>
            </w:pPr>
            <w:r w:rsidRPr="00CD1D1C">
              <w:t>873.00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1236B3A3" w14:textId="77777777" w:rsidR="00CD1D1C" w:rsidRPr="00CD1D1C" w:rsidRDefault="00CD1D1C" w:rsidP="004228C9">
            <w:pPr>
              <w:pStyle w:val="Tabletext1"/>
            </w:pPr>
            <w:r w:rsidRPr="00CD1D1C">
              <w:t>0.00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57963195" w14:textId="77777777" w:rsidR="00CD1D1C" w:rsidRPr="00CD1D1C" w:rsidRDefault="00CD1D1C" w:rsidP="004228C9">
            <w:pPr>
              <w:pStyle w:val="Tabletext1"/>
            </w:pPr>
            <w:r w:rsidRPr="00CD1D1C">
              <w:t>0.00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7F908E8"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67D775B5" w14:textId="187AD55B" w:rsidR="00CD1D1C" w:rsidRPr="00CD1D1C" w:rsidRDefault="00CD1D1C" w:rsidP="004228C9">
            <w:pPr>
              <w:pStyle w:val="Tabletext1"/>
            </w:pPr>
            <w:r w:rsidRPr="00CD1D1C">
              <w:t>Average actual cost per bed day 2015</w:t>
            </w:r>
            <w:r w:rsidR="00D35E9C">
              <w:t>–</w:t>
            </w:r>
            <w:r w:rsidRPr="00CD1D1C">
              <w:t>16.</w:t>
            </w:r>
          </w:p>
        </w:tc>
      </w:tr>
      <w:tr w:rsidR="00CD1D1C" w:rsidRPr="00CD1D1C" w14:paraId="6E8A4DB2" w14:textId="77777777" w:rsidTr="00C44885">
        <w:trPr>
          <w:trHeight w:val="255"/>
        </w:trPr>
        <w:tc>
          <w:tcPr>
            <w:tcW w:w="1439" w:type="pct"/>
            <w:tcBorders>
              <w:top w:val="single" w:sz="4" w:space="0" w:color="auto"/>
              <w:left w:val="single" w:sz="4" w:space="0" w:color="auto"/>
              <w:bottom w:val="single" w:sz="4" w:space="0" w:color="auto"/>
            </w:tcBorders>
            <w:shd w:val="clear" w:color="auto" w:fill="D9D9D9" w:themeFill="background1" w:themeFillShade="D9"/>
            <w:vAlign w:val="center"/>
            <w:hideMark/>
          </w:tcPr>
          <w:p w14:paraId="51F62828" w14:textId="77777777" w:rsidR="00CD1D1C" w:rsidRPr="00C44885" w:rsidRDefault="00CD1D1C" w:rsidP="004228C9">
            <w:pPr>
              <w:pStyle w:val="Tabletext1"/>
              <w:rPr>
                <w:b/>
              </w:rPr>
            </w:pPr>
            <w:r w:rsidRPr="00C44885">
              <w:rPr>
                <w:b/>
              </w:rPr>
              <w:t>Prostheses costs</w:t>
            </w:r>
          </w:p>
        </w:tc>
        <w:tc>
          <w:tcPr>
            <w:tcW w:w="734" w:type="pct"/>
            <w:tcBorders>
              <w:top w:val="single" w:sz="4" w:space="0" w:color="auto"/>
              <w:bottom w:val="single" w:sz="4" w:space="0" w:color="auto"/>
            </w:tcBorders>
            <w:shd w:val="clear" w:color="auto" w:fill="D9D9D9" w:themeFill="background1" w:themeFillShade="D9"/>
            <w:vAlign w:val="center"/>
            <w:hideMark/>
          </w:tcPr>
          <w:p w14:paraId="6B6F75CC" w14:textId="77777777" w:rsidR="00CD1D1C" w:rsidRPr="00CD1D1C" w:rsidRDefault="00CD1D1C" w:rsidP="004228C9">
            <w:pPr>
              <w:pStyle w:val="Tabletext1"/>
            </w:pPr>
            <w:r w:rsidRPr="00CD1D1C">
              <w:t> </w:t>
            </w:r>
          </w:p>
        </w:tc>
        <w:tc>
          <w:tcPr>
            <w:tcW w:w="512" w:type="pct"/>
            <w:tcBorders>
              <w:top w:val="single" w:sz="4" w:space="0" w:color="auto"/>
              <w:bottom w:val="single" w:sz="4" w:space="0" w:color="auto"/>
            </w:tcBorders>
            <w:shd w:val="clear" w:color="auto" w:fill="D9D9D9" w:themeFill="background1" w:themeFillShade="D9"/>
            <w:vAlign w:val="center"/>
            <w:hideMark/>
          </w:tcPr>
          <w:p w14:paraId="2E070933" w14:textId="77777777" w:rsidR="00CD1D1C" w:rsidRPr="00CD1D1C" w:rsidRDefault="00CD1D1C" w:rsidP="004228C9">
            <w:pPr>
              <w:pStyle w:val="Tabletext1"/>
            </w:pPr>
            <w:r w:rsidRPr="00CD1D1C">
              <w:t> </w:t>
            </w:r>
          </w:p>
        </w:tc>
        <w:tc>
          <w:tcPr>
            <w:tcW w:w="536" w:type="pct"/>
            <w:tcBorders>
              <w:top w:val="single" w:sz="4" w:space="0" w:color="auto"/>
              <w:bottom w:val="single" w:sz="4" w:space="0" w:color="auto"/>
            </w:tcBorders>
            <w:shd w:val="clear" w:color="auto" w:fill="D9D9D9" w:themeFill="background1" w:themeFillShade="D9"/>
            <w:vAlign w:val="center"/>
            <w:hideMark/>
          </w:tcPr>
          <w:p w14:paraId="5EF8A731" w14:textId="77777777" w:rsidR="00CD1D1C" w:rsidRPr="00CD1D1C" w:rsidRDefault="00CD1D1C" w:rsidP="004228C9">
            <w:pPr>
              <w:pStyle w:val="Tabletext1"/>
            </w:pPr>
            <w:r w:rsidRPr="00CD1D1C">
              <w:t> </w:t>
            </w:r>
          </w:p>
        </w:tc>
        <w:tc>
          <w:tcPr>
            <w:tcW w:w="522" w:type="pct"/>
            <w:tcBorders>
              <w:top w:val="single" w:sz="4" w:space="0" w:color="auto"/>
              <w:bottom w:val="single" w:sz="4" w:space="0" w:color="auto"/>
            </w:tcBorders>
            <w:shd w:val="clear" w:color="auto" w:fill="D9D9D9" w:themeFill="background1" w:themeFillShade="D9"/>
            <w:vAlign w:val="center"/>
            <w:hideMark/>
          </w:tcPr>
          <w:p w14:paraId="0432EF73" w14:textId="77777777" w:rsidR="00CD1D1C" w:rsidRPr="00CD1D1C" w:rsidRDefault="00CD1D1C" w:rsidP="004228C9">
            <w:pPr>
              <w:pStyle w:val="Tabletext1"/>
            </w:pPr>
            <w:r w:rsidRPr="00CD1D1C">
              <w:t> </w:t>
            </w:r>
          </w:p>
        </w:tc>
        <w:tc>
          <w:tcPr>
            <w:tcW w:w="479" w:type="pct"/>
            <w:tcBorders>
              <w:top w:val="single" w:sz="4" w:space="0" w:color="auto"/>
              <w:bottom w:val="single" w:sz="4" w:space="0" w:color="auto"/>
            </w:tcBorders>
            <w:shd w:val="clear" w:color="auto" w:fill="D9D9D9" w:themeFill="background1" w:themeFillShade="D9"/>
            <w:vAlign w:val="center"/>
            <w:hideMark/>
          </w:tcPr>
          <w:p w14:paraId="3118D0CA" w14:textId="77777777" w:rsidR="00CD1D1C" w:rsidRPr="00CD1D1C" w:rsidRDefault="00CD1D1C" w:rsidP="004228C9">
            <w:pPr>
              <w:pStyle w:val="Tabletext1"/>
            </w:pPr>
            <w:r w:rsidRPr="00CD1D1C">
              <w:t> </w:t>
            </w:r>
          </w:p>
        </w:tc>
        <w:tc>
          <w:tcPr>
            <w:tcW w:w="778" w:type="pct"/>
            <w:tcBorders>
              <w:top w:val="single" w:sz="4" w:space="0" w:color="auto"/>
              <w:bottom w:val="single" w:sz="4" w:space="0" w:color="auto"/>
              <w:right w:val="single" w:sz="4" w:space="0" w:color="auto"/>
            </w:tcBorders>
            <w:shd w:val="clear" w:color="auto" w:fill="D9D9D9" w:themeFill="background1" w:themeFillShade="D9"/>
            <w:vAlign w:val="center"/>
            <w:hideMark/>
          </w:tcPr>
          <w:p w14:paraId="200EB033" w14:textId="77777777" w:rsidR="00CD1D1C" w:rsidRPr="00CD1D1C" w:rsidRDefault="00CD1D1C" w:rsidP="004228C9">
            <w:pPr>
              <w:pStyle w:val="Tabletext1"/>
            </w:pPr>
            <w:r w:rsidRPr="00CD1D1C">
              <w:t> </w:t>
            </w:r>
          </w:p>
        </w:tc>
      </w:tr>
      <w:tr w:rsidR="00CD1D1C" w:rsidRPr="00CD1D1C" w14:paraId="78DC7DDD" w14:textId="77777777" w:rsidTr="00E92CAD">
        <w:trPr>
          <w:trHeight w:val="765"/>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39635" w14:textId="77777777" w:rsidR="00CD1D1C" w:rsidRPr="00CD1D1C" w:rsidRDefault="00CD1D1C" w:rsidP="004228C9">
            <w:pPr>
              <w:pStyle w:val="Tabletext1"/>
            </w:pPr>
            <w:r w:rsidRPr="00CD1D1C">
              <w:t>MTA machine</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32364280" w14:textId="77777777" w:rsidR="00CD1D1C" w:rsidRPr="00CD1D1C" w:rsidRDefault="00CD1D1C" w:rsidP="004228C9">
            <w:pPr>
              <w:pStyle w:val="Tabletext1"/>
            </w:pPr>
            <w:r w:rsidRPr="00CD1D1C">
              <w:t>Prostheses</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66A1FAC5" w14:textId="77777777" w:rsidR="00CD1D1C" w:rsidRPr="00CD1D1C" w:rsidRDefault="00CD1D1C" w:rsidP="004228C9">
            <w:pPr>
              <w:pStyle w:val="Tabletext1"/>
            </w:pPr>
            <w:r w:rsidRPr="00CD1D1C">
              <w:t>50,000.00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6F1E4256" w14:textId="77777777" w:rsidR="00CD1D1C" w:rsidRPr="00CD1D1C" w:rsidRDefault="00CD1D1C" w:rsidP="004228C9">
            <w:pPr>
              <w:pStyle w:val="Tabletext1"/>
            </w:pPr>
            <w:r w:rsidRPr="00CD1D1C">
              <w:t>0.00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76E3D739" w14:textId="77777777" w:rsidR="00CD1D1C" w:rsidRPr="00CD1D1C" w:rsidRDefault="00CD1D1C" w:rsidP="004228C9">
            <w:pPr>
              <w:pStyle w:val="Tabletext1"/>
            </w:pPr>
            <w:r w:rsidRPr="00CD1D1C">
              <w:t>0.00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1DC49AD3" w14:textId="77777777" w:rsidR="00CD1D1C" w:rsidRPr="00CD1D1C" w:rsidRDefault="00CD1D1C" w:rsidP="004228C9">
            <w:pPr>
              <w:pStyle w:val="Tabletext1"/>
            </w:pPr>
            <w:r w:rsidRPr="00CD1D1C">
              <w:t>0.005</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1A744089" w14:textId="77777777" w:rsidR="00CD1D1C" w:rsidRPr="00CD1D1C" w:rsidRDefault="00CD1D1C" w:rsidP="004228C9">
            <w:pPr>
              <w:pStyle w:val="Tabletext1"/>
            </w:pPr>
            <w:r w:rsidRPr="00CD1D1C">
              <w:t>Assumes 10-year life and 20 procedures per year</w:t>
            </w:r>
          </w:p>
        </w:tc>
      </w:tr>
      <w:tr w:rsidR="00CD1D1C" w:rsidRPr="00CD1D1C" w14:paraId="45ACEA54" w14:textId="77777777" w:rsidTr="00C44885">
        <w:trPr>
          <w:trHeight w:val="64"/>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58D08" w14:textId="77777777" w:rsidR="00CD1D1C" w:rsidRPr="00CD1D1C" w:rsidRDefault="00CD1D1C" w:rsidP="004228C9">
            <w:pPr>
              <w:pStyle w:val="Tabletext1"/>
            </w:pPr>
            <w:r w:rsidRPr="00CD1D1C">
              <w:lastRenderedPageBreak/>
              <w:t>Probe</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44904E96" w14:textId="77777777" w:rsidR="00CD1D1C" w:rsidRPr="00CD1D1C" w:rsidRDefault="00CD1D1C" w:rsidP="004228C9">
            <w:pPr>
              <w:pStyle w:val="Tabletext1"/>
            </w:pPr>
            <w:r w:rsidRPr="00CD1D1C">
              <w:t>Prostheses</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6F23B2CC" w14:textId="77777777" w:rsidR="00CD1D1C" w:rsidRPr="00CD1D1C" w:rsidRDefault="00CD1D1C" w:rsidP="004228C9">
            <w:pPr>
              <w:pStyle w:val="Tabletext1"/>
            </w:pPr>
            <w:r w:rsidRPr="00CD1D1C">
              <w:t>2,960.00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478F21F0" w14:textId="77777777" w:rsidR="00CD1D1C" w:rsidRPr="00CD1D1C" w:rsidRDefault="00CD1D1C" w:rsidP="004228C9">
            <w:pPr>
              <w:pStyle w:val="Tabletext1"/>
            </w:pPr>
            <w:r w:rsidRPr="00CD1D1C">
              <w:t>0.00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5915C855" w14:textId="77777777" w:rsidR="00CD1D1C" w:rsidRPr="00CD1D1C" w:rsidRDefault="00CD1D1C" w:rsidP="004228C9">
            <w:pPr>
              <w:pStyle w:val="Tabletext1"/>
            </w:pPr>
            <w:r w:rsidRPr="00CD1D1C">
              <w:t>0.00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3B33E0B" w14:textId="77777777" w:rsidR="00CD1D1C" w:rsidRPr="00CD1D1C" w:rsidRDefault="00CD1D1C" w:rsidP="004228C9">
            <w:pPr>
              <w:pStyle w:val="Tabletext1"/>
            </w:pPr>
            <w:r w:rsidRPr="00CD1D1C">
              <w:t>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7E600BAD" w14:textId="77777777" w:rsidR="00CD1D1C" w:rsidRPr="00CD1D1C" w:rsidRDefault="00CD1D1C" w:rsidP="004228C9">
            <w:pPr>
              <w:pStyle w:val="Tabletext1"/>
            </w:pPr>
            <w:r w:rsidRPr="00CD1D1C">
              <w:t>Applicant</w:t>
            </w:r>
          </w:p>
        </w:tc>
      </w:tr>
      <w:tr w:rsidR="00CD1D1C" w:rsidRPr="00CD1D1C" w14:paraId="1A228B41" w14:textId="77777777" w:rsidTr="00C44885">
        <w:trPr>
          <w:trHeight w:val="255"/>
        </w:trPr>
        <w:tc>
          <w:tcPr>
            <w:tcW w:w="1439" w:type="pct"/>
            <w:tcBorders>
              <w:top w:val="single" w:sz="4" w:space="0" w:color="auto"/>
              <w:left w:val="single" w:sz="4" w:space="0" w:color="auto"/>
              <w:bottom w:val="single" w:sz="4" w:space="0" w:color="auto"/>
            </w:tcBorders>
            <w:shd w:val="clear" w:color="auto" w:fill="D9D9D9" w:themeFill="background1" w:themeFillShade="D9"/>
            <w:vAlign w:val="center"/>
            <w:hideMark/>
          </w:tcPr>
          <w:p w14:paraId="15A6635F" w14:textId="6CD391BF" w:rsidR="00CD1D1C" w:rsidRPr="00C44885" w:rsidRDefault="00CD1D1C" w:rsidP="004228C9">
            <w:pPr>
              <w:pStyle w:val="Tabletext1"/>
              <w:rPr>
                <w:b/>
              </w:rPr>
            </w:pPr>
            <w:r w:rsidRPr="00C44885">
              <w:rPr>
                <w:b/>
              </w:rPr>
              <w:t>Adverse events</w:t>
            </w:r>
          </w:p>
        </w:tc>
        <w:tc>
          <w:tcPr>
            <w:tcW w:w="734" w:type="pct"/>
            <w:tcBorders>
              <w:top w:val="single" w:sz="4" w:space="0" w:color="auto"/>
              <w:bottom w:val="single" w:sz="4" w:space="0" w:color="auto"/>
            </w:tcBorders>
            <w:shd w:val="clear" w:color="auto" w:fill="D9D9D9" w:themeFill="background1" w:themeFillShade="D9"/>
            <w:vAlign w:val="center"/>
            <w:hideMark/>
          </w:tcPr>
          <w:p w14:paraId="2B3EF899" w14:textId="77777777" w:rsidR="00CD1D1C" w:rsidRPr="00CD1D1C" w:rsidRDefault="00CD1D1C" w:rsidP="004228C9">
            <w:pPr>
              <w:pStyle w:val="Tabletext1"/>
            </w:pPr>
            <w:r w:rsidRPr="00CD1D1C">
              <w:t> </w:t>
            </w:r>
          </w:p>
        </w:tc>
        <w:tc>
          <w:tcPr>
            <w:tcW w:w="512" w:type="pct"/>
            <w:tcBorders>
              <w:top w:val="single" w:sz="4" w:space="0" w:color="auto"/>
              <w:bottom w:val="single" w:sz="4" w:space="0" w:color="auto"/>
            </w:tcBorders>
            <w:shd w:val="clear" w:color="auto" w:fill="D9D9D9" w:themeFill="background1" w:themeFillShade="D9"/>
            <w:vAlign w:val="center"/>
            <w:hideMark/>
          </w:tcPr>
          <w:p w14:paraId="29D3CB31" w14:textId="77777777" w:rsidR="00CD1D1C" w:rsidRPr="00CD1D1C" w:rsidRDefault="00CD1D1C" w:rsidP="004228C9">
            <w:pPr>
              <w:pStyle w:val="Tabletext1"/>
            </w:pPr>
            <w:r w:rsidRPr="00CD1D1C">
              <w:t> </w:t>
            </w:r>
          </w:p>
        </w:tc>
        <w:tc>
          <w:tcPr>
            <w:tcW w:w="536" w:type="pct"/>
            <w:tcBorders>
              <w:top w:val="single" w:sz="4" w:space="0" w:color="auto"/>
              <w:bottom w:val="single" w:sz="4" w:space="0" w:color="auto"/>
            </w:tcBorders>
            <w:shd w:val="clear" w:color="auto" w:fill="D9D9D9" w:themeFill="background1" w:themeFillShade="D9"/>
            <w:vAlign w:val="center"/>
            <w:hideMark/>
          </w:tcPr>
          <w:p w14:paraId="3D26E6D3" w14:textId="77777777" w:rsidR="00CD1D1C" w:rsidRPr="00CD1D1C" w:rsidRDefault="00CD1D1C" w:rsidP="004228C9">
            <w:pPr>
              <w:pStyle w:val="Tabletext1"/>
            </w:pPr>
            <w:r w:rsidRPr="00CD1D1C">
              <w:t> </w:t>
            </w:r>
          </w:p>
        </w:tc>
        <w:tc>
          <w:tcPr>
            <w:tcW w:w="522" w:type="pct"/>
            <w:tcBorders>
              <w:top w:val="single" w:sz="4" w:space="0" w:color="auto"/>
              <w:bottom w:val="single" w:sz="4" w:space="0" w:color="auto"/>
            </w:tcBorders>
            <w:shd w:val="clear" w:color="auto" w:fill="D9D9D9" w:themeFill="background1" w:themeFillShade="D9"/>
            <w:vAlign w:val="center"/>
            <w:hideMark/>
          </w:tcPr>
          <w:p w14:paraId="18720632" w14:textId="77777777" w:rsidR="00CD1D1C" w:rsidRPr="00CD1D1C" w:rsidRDefault="00CD1D1C" w:rsidP="004228C9">
            <w:pPr>
              <w:pStyle w:val="Tabletext1"/>
            </w:pPr>
            <w:r w:rsidRPr="00CD1D1C">
              <w:t> </w:t>
            </w:r>
          </w:p>
        </w:tc>
        <w:tc>
          <w:tcPr>
            <w:tcW w:w="479" w:type="pct"/>
            <w:tcBorders>
              <w:top w:val="single" w:sz="4" w:space="0" w:color="auto"/>
              <w:bottom w:val="single" w:sz="4" w:space="0" w:color="auto"/>
            </w:tcBorders>
            <w:shd w:val="clear" w:color="auto" w:fill="D9D9D9" w:themeFill="background1" w:themeFillShade="D9"/>
            <w:vAlign w:val="center"/>
            <w:hideMark/>
          </w:tcPr>
          <w:p w14:paraId="696461F6" w14:textId="77777777" w:rsidR="00CD1D1C" w:rsidRPr="00CD1D1C" w:rsidRDefault="00CD1D1C" w:rsidP="004228C9">
            <w:pPr>
              <w:pStyle w:val="Tabletext1"/>
            </w:pPr>
            <w:r w:rsidRPr="00CD1D1C">
              <w:t> </w:t>
            </w:r>
          </w:p>
        </w:tc>
        <w:tc>
          <w:tcPr>
            <w:tcW w:w="778" w:type="pct"/>
            <w:tcBorders>
              <w:top w:val="single" w:sz="4" w:space="0" w:color="auto"/>
              <w:bottom w:val="single" w:sz="4" w:space="0" w:color="auto"/>
              <w:right w:val="single" w:sz="4" w:space="0" w:color="auto"/>
            </w:tcBorders>
            <w:shd w:val="clear" w:color="auto" w:fill="D9D9D9" w:themeFill="background1" w:themeFillShade="D9"/>
            <w:vAlign w:val="center"/>
            <w:hideMark/>
          </w:tcPr>
          <w:p w14:paraId="4B0F043E" w14:textId="77777777" w:rsidR="00CD1D1C" w:rsidRPr="00CD1D1C" w:rsidRDefault="00CD1D1C" w:rsidP="004228C9">
            <w:pPr>
              <w:pStyle w:val="Tabletext1"/>
            </w:pPr>
            <w:r w:rsidRPr="00CD1D1C">
              <w:t> </w:t>
            </w:r>
          </w:p>
        </w:tc>
      </w:tr>
      <w:tr w:rsidR="00CD1D1C" w:rsidRPr="00CD1D1C" w14:paraId="16B3268B" w14:textId="77777777" w:rsidTr="00E92CAD">
        <w:trPr>
          <w:trHeight w:val="135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4F017" w14:textId="77777777" w:rsidR="00CD1D1C" w:rsidRPr="00CD1D1C" w:rsidRDefault="00CD1D1C" w:rsidP="004228C9">
            <w:pPr>
              <w:pStyle w:val="Tabletext1"/>
            </w:pPr>
            <w:r w:rsidRPr="00CD1D1C">
              <w:t>Averaged DRG-E68A. Pneumothorax W Catastrophic or Severe CC and DRG-E68B. Pneumothorax W/O Catastrophic or Severe CC estimated cost weights</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01BB7408" w14:textId="77777777" w:rsidR="00CD1D1C" w:rsidRPr="00CD1D1C" w:rsidRDefault="00CD1D1C" w:rsidP="004228C9">
            <w:pPr>
              <w:pStyle w:val="Tabletext1"/>
            </w:pPr>
            <w:r w:rsidRPr="00CD1D1C">
              <w:t>Hospital, some MBS</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0F5F09F0" w14:textId="77777777" w:rsidR="00CD1D1C" w:rsidRPr="00CD1D1C" w:rsidRDefault="00CD1D1C" w:rsidP="004228C9">
            <w:pPr>
              <w:pStyle w:val="Tabletext1"/>
            </w:pPr>
            <w:r w:rsidRPr="00CD1D1C">
              <w:t>7,793.50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4C0CE40D" w14:textId="77777777" w:rsidR="00CD1D1C" w:rsidRPr="00CD1D1C" w:rsidRDefault="00CD1D1C" w:rsidP="004228C9">
            <w:pPr>
              <w:pStyle w:val="Tabletext1"/>
            </w:pPr>
            <w:r w:rsidRPr="00CD1D1C">
              <w:t>Not in base calculation</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2595A97B" w14:textId="77777777" w:rsidR="00CD1D1C" w:rsidRPr="00CD1D1C" w:rsidRDefault="00CD1D1C" w:rsidP="004228C9">
            <w:pPr>
              <w:pStyle w:val="Tabletext1"/>
            </w:pPr>
            <w:r w:rsidRPr="00CD1D1C">
              <w:t> </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79939697" w14:textId="77777777" w:rsidR="00CD1D1C" w:rsidRPr="00CD1D1C" w:rsidRDefault="00CD1D1C" w:rsidP="004228C9">
            <w:pPr>
              <w:pStyle w:val="Tabletext1"/>
            </w:pPr>
            <w:r w:rsidRPr="00CD1D1C">
              <w:t>0.0%</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2E0526ED" w14:textId="3ADDF192" w:rsidR="00CD1D1C" w:rsidRPr="00CD1D1C" w:rsidRDefault="00CD1D1C" w:rsidP="004228C9">
            <w:pPr>
              <w:pStyle w:val="Tabletext1"/>
            </w:pPr>
            <w:r w:rsidRPr="00CD1D1C">
              <w:t>AR-DRG VERSION 7.0, Round 18 (2013</w:t>
            </w:r>
            <w:r w:rsidR="00D35E9C" w:rsidRPr="00D35E9C">
              <w:t>–</w:t>
            </w:r>
            <w:r w:rsidRPr="00CD1D1C">
              <w:t>14) inflated to 2016 using ABS CPI.</w:t>
            </w:r>
          </w:p>
        </w:tc>
      </w:tr>
      <w:tr w:rsidR="00664E49" w:rsidRPr="00CD1D1C" w14:paraId="03971ADC" w14:textId="77777777" w:rsidTr="00C44885">
        <w:trPr>
          <w:trHeight w:val="64"/>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80006C5" w14:textId="3CC9320B" w:rsidR="00664E49" w:rsidRPr="000B017A" w:rsidRDefault="00664E49" w:rsidP="006D0335">
            <w:pPr>
              <w:pStyle w:val="Tabletext1"/>
              <w:rPr>
                <w:b/>
              </w:rPr>
            </w:pPr>
            <w:r w:rsidRPr="000B017A">
              <w:rPr>
                <w:b/>
              </w:rPr>
              <w:t xml:space="preserve">Total </w:t>
            </w:r>
            <w:r w:rsidR="006D0335">
              <w:rPr>
                <w:b/>
              </w:rPr>
              <w:t>:</w:t>
            </w:r>
            <w:r w:rsidRPr="000B017A">
              <w:rPr>
                <w:b/>
              </w:rPr>
              <w:t xml:space="preserve"> </w:t>
            </w:r>
            <w:r w:rsidR="006D0335">
              <w:rPr>
                <w:b/>
              </w:rPr>
              <w:t>1–3</w:t>
            </w:r>
            <w:r w:rsidRPr="000B017A">
              <w:rPr>
                <w:b/>
              </w:rPr>
              <w:t xml:space="preserve"> lesions total cost per patient</w:t>
            </w:r>
          </w:p>
        </w:tc>
        <w:tc>
          <w:tcPr>
            <w:tcW w:w="734" w:type="pct"/>
            <w:tcBorders>
              <w:top w:val="single" w:sz="4" w:space="0" w:color="auto"/>
              <w:left w:val="nil"/>
              <w:bottom w:val="single" w:sz="4" w:space="0" w:color="auto"/>
              <w:right w:val="single" w:sz="4" w:space="0" w:color="auto"/>
            </w:tcBorders>
            <w:shd w:val="clear" w:color="auto" w:fill="auto"/>
            <w:vAlign w:val="center"/>
          </w:tcPr>
          <w:p w14:paraId="24107009" w14:textId="3E86CD19" w:rsidR="00664E49" w:rsidRPr="000B017A" w:rsidRDefault="00664E49" w:rsidP="004228C9">
            <w:pPr>
              <w:pStyle w:val="Tabletext1"/>
            </w:pPr>
            <w:r w:rsidRPr="000B017A">
              <w:t>-</w:t>
            </w:r>
          </w:p>
        </w:tc>
        <w:tc>
          <w:tcPr>
            <w:tcW w:w="512" w:type="pct"/>
            <w:tcBorders>
              <w:top w:val="single" w:sz="4" w:space="0" w:color="auto"/>
              <w:left w:val="nil"/>
              <w:bottom w:val="single" w:sz="4" w:space="0" w:color="auto"/>
              <w:right w:val="single" w:sz="4" w:space="0" w:color="auto"/>
            </w:tcBorders>
            <w:shd w:val="clear" w:color="auto" w:fill="auto"/>
            <w:vAlign w:val="center"/>
          </w:tcPr>
          <w:p w14:paraId="25A6D327" w14:textId="54770542" w:rsidR="00664E49" w:rsidRPr="000B017A" w:rsidRDefault="00664E49" w:rsidP="004228C9">
            <w:pPr>
              <w:pStyle w:val="Tabletext1"/>
            </w:pPr>
            <w:r w:rsidRPr="000B017A">
              <w:t>-</w:t>
            </w:r>
          </w:p>
        </w:tc>
        <w:tc>
          <w:tcPr>
            <w:tcW w:w="536" w:type="pct"/>
            <w:tcBorders>
              <w:top w:val="single" w:sz="4" w:space="0" w:color="auto"/>
              <w:left w:val="nil"/>
              <w:bottom w:val="single" w:sz="4" w:space="0" w:color="auto"/>
              <w:right w:val="single" w:sz="4" w:space="0" w:color="auto"/>
            </w:tcBorders>
            <w:shd w:val="clear" w:color="auto" w:fill="auto"/>
            <w:vAlign w:val="center"/>
          </w:tcPr>
          <w:p w14:paraId="0BFF3665" w14:textId="75119242" w:rsidR="00664E49" w:rsidRPr="000B017A" w:rsidRDefault="00664E49" w:rsidP="004228C9">
            <w:pPr>
              <w:pStyle w:val="Tabletext1"/>
            </w:pPr>
            <w:r w:rsidRPr="000B017A">
              <w:t>-</w:t>
            </w:r>
          </w:p>
        </w:tc>
        <w:tc>
          <w:tcPr>
            <w:tcW w:w="522" w:type="pct"/>
            <w:tcBorders>
              <w:top w:val="single" w:sz="4" w:space="0" w:color="auto"/>
              <w:left w:val="nil"/>
              <w:bottom w:val="single" w:sz="4" w:space="0" w:color="auto"/>
              <w:right w:val="single" w:sz="4" w:space="0" w:color="auto"/>
            </w:tcBorders>
            <w:shd w:val="clear" w:color="auto" w:fill="auto"/>
            <w:vAlign w:val="center"/>
          </w:tcPr>
          <w:p w14:paraId="58D66F25" w14:textId="3E24F3A6" w:rsidR="00664E49" w:rsidRPr="000B017A" w:rsidRDefault="00664E49" w:rsidP="004228C9">
            <w:pPr>
              <w:pStyle w:val="Tabletext1"/>
            </w:pPr>
            <w:r w:rsidRPr="000B017A">
              <w:t>-</w:t>
            </w:r>
          </w:p>
        </w:tc>
        <w:tc>
          <w:tcPr>
            <w:tcW w:w="479" w:type="pct"/>
            <w:tcBorders>
              <w:top w:val="single" w:sz="4" w:space="0" w:color="auto"/>
              <w:left w:val="nil"/>
              <w:bottom w:val="single" w:sz="4" w:space="0" w:color="auto"/>
              <w:right w:val="single" w:sz="4" w:space="0" w:color="auto"/>
            </w:tcBorders>
            <w:shd w:val="clear" w:color="auto" w:fill="auto"/>
            <w:vAlign w:val="center"/>
          </w:tcPr>
          <w:p w14:paraId="3572CFF5" w14:textId="2AA402F2" w:rsidR="00664E49" w:rsidRPr="000B017A" w:rsidRDefault="00664E49" w:rsidP="004228C9">
            <w:pPr>
              <w:pStyle w:val="Tabletext1"/>
            </w:pPr>
            <w:r w:rsidRPr="000B017A">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10A0CAF7" w14:textId="5559A382" w:rsidR="00664E49" w:rsidRPr="000B017A" w:rsidRDefault="00664E49" w:rsidP="004228C9">
            <w:pPr>
              <w:pStyle w:val="Tabletext1"/>
              <w:rPr>
                <w:b/>
              </w:rPr>
            </w:pPr>
            <w:r w:rsidRPr="000B017A">
              <w:rPr>
                <w:b/>
              </w:rPr>
              <w:t>7,843.83</w:t>
            </w:r>
          </w:p>
        </w:tc>
      </w:tr>
      <w:tr w:rsidR="00664E49" w:rsidRPr="00CD1D1C" w14:paraId="18DD8E8E" w14:textId="77777777" w:rsidTr="00C44885">
        <w:trPr>
          <w:trHeight w:val="64"/>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70B6682" w14:textId="52308F67" w:rsidR="00664E49" w:rsidRPr="000B017A" w:rsidRDefault="006D0335" w:rsidP="006D0335">
            <w:pPr>
              <w:pStyle w:val="Tabletext1"/>
              <w:rPr>
                <w:b/>
              </w:rPr>
            </w:pPr>
            <w:r>
              <w:rPr>
                <w:b/>
              </w:rPr>
              <w:t>Total :</w:t>
            </w:r>
            <w:r w:rsidR="00664E49" w:rsidRPr="000B017A">
              <w:rPr>
                <w:b/>
              </w:rPr>
              <w:t xml:space="preserve"> </w:t>
            </w:r>
            <w:r>
              <w:rPr>
                <w:b/>
              </w:rPr>
              <w:t>3–5</w:t>
            </w:r>
            <w:r w:rsidR="00664E49" w:rsidRPr="000B017A">
              <w:rPr>
                <w:b/>
              </w:rPr>
              <w:t xml:space="preserve"> lesions total cost per patient </w:t>
            </w:r>
          </w:p>
        </w:tc>
        <w:tc>
          <w:tcPr>
            <w:tcW w:w="734" w:type="pct"/>
            <w:tcBorders>
              <w:top w:val="single" w:sz="4" w:space="0" w:color="auto"/>
              <w:left w:val="nil"/>
              <w:bottom w:val="single" w:sz="4" w:space="0" w:color="auto"/>
              <w:right w:val="single" w:sz="4" w:space="0" w:color="auto"/>
            </w:tcBorders>
            <w:shd w:val="clear" w:color="auto" w:fill="auto"/>
            <w:vAlign w:val="center"/>
          </w:tcPr>
          <w:p w14:paraId="0B688563" w14:textId="7111B702" w:rsidR="00664E49" w:rsidRPr="000B017A" w:rsidRDefault="00664E49" w:rsidP="004228C9">
            <w:pPr>
              <w:pStyle w:val="Tabletext1"/>
            </w:pPr>
            <w:r w:rsidRPr="000B017A">
              <w:t>-</w:t>
            </w:r>
          </w:p>
        </w:tc>
        <w:tc>
          <w:tcPr>
            <w:tcW w:w="512" w:type="pct"/>
            <w:tcBorders>
              <w:top w:val="single" w:sz="4" w:space="0" w:color="auto"/>
              <w:left w:val="nil"/>
              <w:bottom w:val="single" w:sz="4" w:space="0" w:color="auto"/>
              <w:right w:val="single" w:sz="4" w:space="0" w:color="auto"/>
            </w:tcBorders>
            <w:shd w:val="clear" w:color="auto" w:fill="auto"/>
            <w:vAlign w:val="center"/>
          </w:tcPr>
          <w:p w14:paraId="43D1D9B1" w14:textId="4FA6B14D" w:rsidR="00664E49" w:rsidRPr="000B017A" w:rsidRDefault="00664E49" w:rsidP="004228C9">
            <w:pPr>
              <w:pStyle w:val="Tabletext1"/>
            </w:pPr>
            <w:r w:rsidRPr="000B017A">
              <w:t>-</w:t>
            </w:r>
          </w:p>
        </w:tc>
        <w:tc>
          <w:tcPr>
            <w:tcW w:w="536" w:type="pct"/>
            <w:tcBorders>
              <w:top w:val="single" w:sz="4" w:space="0" w:color="auto"/>
              <w:left w:val="nil"/>
              <w:bottom w:val="single" w:sz="4" w:space="0" w:color="auto"/>
              <w:right w:val="single" w:sz="4" w:space="0" w:color="auto"/>
            </w:tcBorders>
            <w:shd w:val="clear" w:color="auto" w:fill="auto"/>
            <w:vAlign w:val="center"/>
          </w:tcPr>
          <w:p w14:paraId="64993404" w14:textId="48ECAE44" w:rsidR="00664E49" w:rsidRPr="000B017A" w:rsidRDefault="00664E49" w:rsidP="004228C9">
            <w:pPr>
              <w:pStyle w:val="Tabletext1"/>
            </w:pPr>
            <w:r w:rsidRPr="000B017A">
              <w:t>-</w:t>
            </w:r>
          </w:p>
        </w:tc>
        <w:tc>
          <w:tcPr>
            <w:tcW w:w="522" w:type="pct"/>
            <w:tcBorders>
              <w:top w:val="single" w:sz="4" w:space="0" w:color="auto"/>
              <w:left w:val="nil"/>
              <w:bottom w:val="single" w:sz="4" w:space="0" w:color="auto"/>
              <w:right w:val="single" w:sz="4" w:space="0" w:color="auto"/>
            </w:tcBorders>
            <w:shd w:val="clear" w:color="auto" w:fill="auto"/>
            <w:vAlign w:val="center"/>
          </w:tcPr>
          <w:p w14:paraId="646D59B0" w14:textId="3AE631A2" w:rsidR="00664E49" w:rsidRPr="000B017A" w:rsidRDefault="00664E49" w:rsidP="004228C9">
            <w:pPr>
              <w:pStyle w:val="Tabletext1"/>
            </w:pPr>
            <w:r w:rsidRPr="000B017A">
              <w:t>-</w:t>
            </w:r>
          </w:p>
        </w:tc>
        <w:tc>
          <w:tcPr>
            <w:tcW w:w="479" w:type="pct"/>
            <w:tcBorders>
              <w:top w:val="single" w:sz="4" w:space="0" w:color="auto"/>
              <w:left w:val="nil"/>
              <w:bottom w:val="single" w:sz="4" w:space="0" w:color="auto"/>
              <w:right w:val="single" w:sz="4" w:space="0" w:color="auto"/>
            </w:tcBorders>
            <w:shd w:val="clear" w:color="auto" w:fill="auto"/>
            <w:vAlign w:val="center"/>
          </w:tcPr>
          <w:p w14:paraId="5216A5C7" w14:textId="2C0ADFE8" w:rsidR="00664E49" w:rsidRPr="000B017A" w:rsidRDefault="00664E49" w:rsidP="004228C9">
            <w:pPr>
              <w:pStyle w:val="Tabletext1"/>
            </w:pPr>
            <w:r w:rsidRPr="000B017A">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49E2B243" w14:textId="6AE2920F" w:rsidR="00664E49" w:rsidRPr="000B017A" w:rsidRDefault="00664E49" w:rsidP="004228C9">
            <w:pPr>
              <w:pStyle w:val="Tabletext1"/>
              <w:rPr>
                <w:b/>
              </w:rPr>
            </w:pPr>
            <w:r w:rsidRPr="000B017A">
              <w:rPr>
                <w:b/>
              </w:rPr>
              <w:t>8,143.83</w:t>
            </w:r>
          </w:p>
        </w:tc>
      </w:tr>
      <w:tr w:rsidR="00664E49" w:rsidRPr="00CD1D1C" w14:paraId="65E48F64" w14:textId="77777777" w:rsidTr="00C44885">
        <w:trPr>
          <w:trHeight w:val="64"/>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B267C57" w14:textId="3AF73865" w:rsidR="00664E49" w:rsidRPr="000B017A" w:rsidRDefault="006D0335" w:rsidP="006D0335">
            <w:pPr>
              <w:pStyle w:val="Tabletext1"/>
              <w:rPr>
                <w:b/>
              </w:rPr>
            </w:pPr>
            <w:r>
              <w:rPr>
                <w:b/>
              </w:rPr>
              <w:t xml:space="preserve">Total : &gt;5 </w:t>
            </w:r>
            <w:r w:rsidR="00664E49" w:rsidRPr="000B017A">
              <w:rPr>
                <w:b/>
              </w:rPr>
              <w:t xml:space="preserve">lesions total cost per patient </w:t>
            </w:r>
          </w:p>
        </w:tc>
        <w:tc>
          <w:tcPr>
            <w:tcW w:w="734" w:type="pct"/>
            <w:tcBorders>
              <w:top w:val="single" w:sz="4" w:space="0" w:color="auto"/>
              <w:left w:val="nil"/>
              <w:bottom w:val="single" w:sz="4" w:space="0" w:color="auto"/>
              <w:right w:val="single" w:sz="4" w:space="0" w:color="auto"/>
            </w:tcBorders>
            <w:shd w:val="clear" w:color="auto" w:fill="auto"/>
            <w:vAlign w:val="center"/>
          </w:tcPr>
          <w:p w14:paraId="0E7D0F84" w14:textId="383C88C5" w:rsidR="00664E49" w:rsidRPr="000B017A" w:rsidRDefault="00664E49" w:rsidP="004228C9">
            <w:pPr>
              <w:pStyle w:val="Tabletext1"/>
            </w:pPr>
            <w:r w:rsidRPr="000B017A">
              <w:t>-</w:t>
            </w:r>
          </w:p>
        </w:tc>
        <w:tc>
          <w:tcPr>
            <w:tcW w:w="512" w:type="pct"/>
            <w:tcBorders>
              <w:top w:val="single" w:sz="4" w:space="0" w:color="auto"/>
              <w:left w:val="nil"/>
              <w:bottom w:val="single" w:sz="4" w:space="0" w:color="auto"/>
              <w:right w:val="single" w:sz="4" w:space="0" w:color="auto"/>
            </w:tcBorders>
            <w:shd w:val="clear" w:color="auto" w:fill="auto"/>
            <w:vAlign w:val="center"/>
          </w:tcPr>
          <w:p w14:paraId="6EC902CF" w14:textId="0557BDF8" w:rsidR="00664E49" w:rsidRPr="000B017A" w:rsidRDefault="00664E49" w:rsidP="004228C9">
            <w:pPr>
              <w:pStyle w:val="Tabletext1"/>
            </w:pPr>
            <w:r w:rsidRPr="000B017A">
              <w:t>-</w:t>
            </w:r>
          </w:p>
        </w:tc>
        <w:tc>
          <w:tcPr>
            <w:tcW w:w="536" w:type="pct"/>
            <w:tcBorders>
              <w:top w:val="single" w:sz="4" w:space="0" w:color="auto"/>
              <w:left w:val="nil"/>
              <w:bottom w:val="single" w:sz="4" w:space="0" w:color="auto"/>
              <w:right w:val="single" w:sz="4" w:space="0" w:color="auto"/>
            </w:tcBorders>
            <w:shd w:val="clear" w:color="auto" w:fill="auto"/>
            <w:vAlign w:val="center"/>
          </w:tcPr>
          <w:p w14:paraId="307DA075" w14:textId="121F82C0" w:rsidR="00664E49" w:rsidRPr="000B017A" w:rsidRDefault="00664E49" w:rsidP="004228C9">
            <w:pPr>
              <w:pStyle w:val="Tabletext1"/>
            </w:pPr>
            <w:r w:rsidRPr="000B017A">
              <w:t>-</w:t>
            </w:r>
          </w:p>
        </w:tc>
        <w:tc>
          <w:tcPr>
            <w:tcW w:w="522" w:type="pct"/>
            <w:tcBorders>
              <w:top w:val="single" w:sz="4" w:space="0" w:color="auto"/>
              <w:left w:val="nil"/>
              <w:bottom w:val="single" w:sz="4" w:space="0" w:color="auto"/>
              <w:right w:val="single" w:sz="4" w:space="0" w:color="auto"/>
            </w:tcBorders>
            <w:shd w:val="clear" w:color="auto" w:fill="auto"/>
            <w:vAlign w:val="center"/>
          </w:tcPr>
          <w:p w14:paraId="5E817980" w14:textId="5DE7C74E" w:rsidR="00664E49" w:rsidRPr="000B017A" w:rsidRDefault="00664E49" w:rsidP="004228C9">
            <w:pPr>
              <w:pStyle w:val="Tabletext1"/>
            </w:pPr>
            <w:r w:rsidRPr="000B017A">
              <w:t>-</w:t>
            </w:r>
          </w:p>
        </w:tc>
        <w:tc>
          <w:tcPr>
            <w:tcW w:w="479" w:type="pct"/>
            <w:tcBorders>
              <w:top w:val="single" w:sz="4" w:space="0" w:color="auto"/>
              <w:left w:val="nil"/>
              <w:bottom w:val="single" w:sz="4" w:space="0" w:color="auto"/>
              <w:right w:val="single" w:sz="4" w:space="0" w:color="auto"/>
            </w:tcBorders>
            <w:shd w:val="clear" w:color="auto" w:fill="auto"/>
            <w:vAlign w:val="center"/>
          </w:tcPr>
          <w:p w14:paraId="281F0AE7" w14:textId="1FD5E716" w:rsidR="00664E49" w:rsidRPr="000B017A" w:rsidRDefault="00664E49" w:rsidP="004228C9">
            <w:pPr>
              <w:pStyle w:val="Tabletext1"/>
            </w:pPr>
            <w:r w:rsidRPr="000B017A">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49F20CDE" w14:textId="110A2F81" w:rsidR="00664E49" w:rsidRPr="000B017A" w:rsidRDefault="00664E49" w:rsidP="004228C9">
            <w:pPr>
              <w:pStyle w:val="Tabletext1"/>
              <w:rPr>
                <w:b/>
              </w:rPr>
            </w:pPr>
            <w:r w:rsidRPr="000B017A">
              <w:rPr>
                <w:b/>
              </w:rPr>
              <w:t>8,543.83</w:t>
            </w:r>
          </w:p>
        </w:tc>
      </w:tr>
    </w:tbl>
    <w:p w14:paraId="45F6A1B5" w14:textId="13AEE1F7" w:rsidR="00611702" w:rsidRDefault="00664E49" w:rsidP="00A405EC">
      <w:pPr>
        <w:pStyle w:val="Tablenotes0"/>
      </w:pPr>
      <w:r>
        <w:t>&lt;</w:t>
      </w:r>
      <w:r w:rsidR="00B11E80">
        <w:t xml:space="preserve"> </w:t>
      </w:r>
      <w:r w:rsidR="000B017A">
        <w:t xml:space="preserve">ABS= Australian bureau of statistics; </w:t>
      </w:r>
      <w:r w:rsidR="006D0335">
        <w:t xml:space="preserve">CPI = consumer price index; MTA = microwave tissue ablation; NSW = New South Wales; </w:t>
      </w:r>
      <w:r w:rsidR="00A405EC" w:rsidRPr="00BC4A30">
        <w:t>PET= Positron emission tomography</w:t>
      </w:r>
      <w:r w:rsidR="00B11E80">
        <w:t xml:space="preserve"> </w:t>
      </w:r>
      <w:r>
        <w:t>&gt;</w:t>
      </w:r>
    </w:p>
    <w:p w14:paraId="362A2FB4" w14:textId="0629AA40" w:rsidR="00415CCA" w:rsidRPr="00BC4A30" w:rsidRDefault="00415CCA" w:rsidP="00415CCA">
      <w:pPr>
        <w:pStyle w:val="Tablenotes0"/>
      </w:pPr>
      <w:r w:rsidRPr="00415CCA">
        <w:rPr>
          <w:vertAlign w:val="superscript"/>
        </w:rPr>
        <w:t>A</w:t>
      </w:r>
      <w:r>
        <w:t xml:space="preserve"> T</w:t>
      </w:r>
      <w:r w:rsidRPr="00CD1D1C">
        <w:t>ypically, 85% of MBS fee is reimbursed in outpatient settings. The online published reimbursement is $873.50, or 92% of fee at the 85% level.</w:t>
      </w:r>
    </w:p>
    <w:p w14:paraId="21A678B1" w14:textId="5CF5D872" w:rsidR="00611702" w:rsidRPr="00BC4A30" w:rsidRDefault="00CD1D1C" w:rsidP="00664E49">
      <w:pPr>
        <w:spacing w:before="500"/>
        <w:rPr>
          <w:noProof/>
        </w:rPr>
      </w:pPr>
      <w:r w:rsidRPr="00CD1D1C">
        <w:rPr>
          <w:noProof/>
        </w:rPr>
        <w:t>The total MBS cost for up to three lesions per patient is $3,027. They are summarised in Table 93 and include follow up up 3 months, but excludes adverse events. The MBS cost increases to $3,252 and $3,551 per patient for three</w:t>
      </w:r>
      <w:r w:rsidR="000B017A">
        <w:t>–</w:t>
      </w:r>
      <w:r w:rsidRPr="00CD1D1C">
        <w:rPr>
          <w:noProof/>
        </w:rPr>
        <w:t>five lesions and greater than five lesions. As previously noted, the number of patients receiving treatment for more than five lesions would be very limited. Most would have up to three lesions.</w:t>
      </w:r>
      <w:r w:rsidR="00611702" w:rsidRPr="00BC4A30">
        <w:rPr>
          <w:noProof/>
        </w:rPr>
        <w:t xml:space="preserve"> </w:t>
      </w:r>
    </w:p>
    <w:p w14:paraId="0A70F346" w14:textId="77777777" w:rsidR="00611702" w:rsidRPr="00BC4A30" w:rsidRDefault="00611702" w:rsidP="00611702">
      <w:pPr>
        <w:pStyle w:val="Caption"/>
        <w:keepNext/>
      </w:pPr>
      <w:bookmarkStart w:id="445" w:name="_Ref457412295"/>
      <w:bookmarkStart w:id="446" w:name="_Toc460514740"/>
      <w:r w:rsidRPr="00BC4A30">
        <w:t xml:space="preserve">Table </w:t>
      </w:r>
      <w:fldSimple w:instr=" SEQ Table \* ARABIC ">
        <w:r w:rsidR="00D170A5">
          <w:rPr>
            <w:noProof/>
          </w:rPr>
          <w:t>82</w:t>
        </w:r>
      </w:fldSimple>
      <w:bookmarkEnd w:id="445"/>
      <w:r w:rsidRPr="00BC4A30">
        <w:tab/>
        <w:t>Summary of Costs by Payer associated with the MTA procedure</w:t>
      </w:r>
      <w:bookmarkEnd w:id="446"/>
    </w:p>
    <w:tbl>
      <w:tblPr>
        <w:tblW w:w="5000" w:type="pct"/>
        <w:tblLook w:val="04A0" w:firstRow="1" w:lastRow="0" w:firstColumn="1" w:lastColumn="0" w:noHBand="0" w:noVBand="1"/>
      </w:tblPr>
      <w:tblGrid>
        <w:gridCol w:w="2389"/>
        <w:gridCol w:w="1715"/>
        <w:gridCol w:w="1715"/>
        <w:gridCol w:w="1715"/>
        <w:gridCol w:w="1708"/>
      </w:tblGrid>
      <w:tr w:rsidR="00CD1D1C" w:rsidRPr="00BC4A30" w14:paraId="58CCBC5B" w14:textId="77777777" w:rsidTr="00CD1D1C">
        <w:trPr>
          <w:trHeight w:val="255"/>
          <w:tblHeader/>
        </w:trPr>
        <w:tc>
          <w:tcPr>
            <w:tcW w:w="1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317728" w14:textId="77777777" w:rsidR="00CD1D1C" w:rsidRPr="00BC4A30" w:rsidRDefault="00CD1D1C" w:rsidP="00192EDA">
            <w:pPr>
              <w:pStyle w:val="Tabletext1"/>
            </w:pPr>
            <w:r w:rsidRPr="00BC4A30">
              <w:t> </w:t>
            </w:r>
          </w:p>
        </w:tc>
        <w:tc>
          <w:tcPr>
            <w:tcW w:w="92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6B5123F" w14:textId="77777777" w:rsidR="00CD1D1C" w:rsidRPr="00BC4A30" w:rsidRDefault="00CD1D1C" w:rsidP="00192EDA">
            <w:pPr>
              <w:pStyle w:val="Tabletext1"/>
              <w:rPr>
                <w:b/>
                <w:bCs/>
              </w:rPr>
            </w:pPr>
            <w:r w:rsidRPr="00BC4A30">
              <w:rPr>
                <w:b/>
                <w:bCs/>
              </w:rPr>
              <w:t>MBS</w:t>
            </w:r>
          </w:p>
        </w:tc>
        <w:tc>
          <w:tcPr>
            <w:tcW w:w="92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B89D720" w14:textId="77777777" w:rsidR="00CD1D1C" w:rsidRPr="00BC4A30" w:rsidRDefault="00CD1D1C" w:rsidP="00192EDA">
            <w:pPr>
              <w:pStyle w:val="Tabletext1"/>
              <w:rPr>
                <w:b/>
                <w:bCs/>
              </w:rPr>
            </w:pPr>
            <w:r w:rsidRPr="00BC4A30">
              <w:rPr>
                <w:b/>
                <w:bCs/>
              </w:rPr>
              <w:t>Hospital</w:t>
            </w:r>
          </w:p>
        </w:tc>
        <w:tc>
          <w:tcPr>
            <w:tcW w:w="92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20EB11A" w14:textId="77777777" w:rsidR="00CD1D1C" w:rsidRPr="00BC4A30" w:rsidRDefault="00CD1D1C" w:rsidP="00192EDA">
            <w:pPr>
              <w:pStyle w:val="Tabletext1"/>
              <w:rPr>
                <w:b/>
                <w:bCs/>
              </w:rPr>
            </w:pPr>
            <w:r w:rsidRPr="00BC4A30">
              <w:rPr>
                <w:b/>
                <w:bCs/>
              </w:rPr>
              <w:t>Patient/</w:t>
            </w:r>
          </w:p>
          <w:p w14:paraId="68AD2169" w14:textId="77777777" w:rsidR="00CD1D1C" w:rsidRPr="00BC4A30" w:rsidRDefault="00CD1D1C" w:rsidP="00192EDA">
            <w:pPr>
              <w:pStyle w:val="Tabletext1"/>
              <w:rPr>
                <w:b/>
                <w:bCs/>
              </w:rPr>
            </w:pPr>
            <w:r w:rsidRPr="00BC4A30">
              <w:rPr>
                <w:b/>
                <w:bCs/>
              </w:rPr>
              <w:t>Insurance</w:t>
            </w:r>
          </w:p>
        </w:tc>
        <w:tc>
          <w:tcPr>
            <w:tcW w:w="92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E7B9B8" w14:textId="77777777" w:rsidR="00CD1D1C" w:rsidRPr="00BC4A30" w:rsidRDefault="00CD1D1C" w:rsidP="00192EDA">
            <w:pPr>
              <w:pStyle w:val="Tabletext1"/>
              <w:rPr>
                <w:b/>
                <w:bCs/>
              </w:rPr>
            </w:pPr>
            <w:r w:rsidRPr="00BC4A30">
              <w:rPr>
                <w:b/>
                <w:bCs/>
              </w:rPr>
              <w:t>Total</w:t>
            </w:r>
          </w:p>
        </w:tc>
      </w:tr>
      <w:tr w:rsidR="00CD1D1C" w:rsidRPr="00BC4A30" w14:paraId="37F61932" w14:textId="77777777" w:rsidTr="00CD1D1C">
        <w:trPr>
          <w:trHeight w:val="255"/>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162DA35" w14:textId="3E48FF48" w:rsidR="00CD1D1C" w:rsidRPr="00CD1D1C" w:rsidRDefault="006D0335" w:rsidP="00192EDA">
            <w:pPr>
              <w:pStyle w:val="Tabletext1"/>
              <w:rPr>
                <w:b/>
                <w:bCs/>
              </w:rPr>
            </w:pPr>
            <w:r>
              <w:rPr>
                <w:b/>
                <w:bCs/>
              </w:rPr>
              <w:t>1–3</w:t>
            </w:r>
            <w:r w:rsidR="00CD1D1C" w:rsidRPr="00CD1D1C">
              <w:rPr>
                <w:b/>
                <w:bCs/>
              </w:rPr>
              <w:t xml:space="preserve"> lesions total cost per patient</w:t>
            </w:r>
          </w:p>
        </w:tc>
        <w:tc>
          <w:tcPr>
            <w:tcW w:w="928" w:type="pct"/>
            <w:tcBorders>
              <w:top w:val="nil"/>
              <w:left w:val="nil"/>
              <w:bottom w:val="single" w:sz="4" w:space="0" w:color="auto"/>
              <w:right w:val="single" w:sz="4" w:space="0" w:color="auto"/>
            </w:tcBorders>
            <w:shd w:val="clear" w:color="auto" w:fill="auto"/>
            <w:noWrap/>
            <w:vAlign w:val="bottom"/>
            <w:hideMark/>
          </w:tcPr>
          <w:p w14:paraId="0859F35B" w14:textId="77777777" w:rsidR="00CD1D1C" w:rsidRPr="00CD1D1C" w:rsidRDefault="00CD1D1C" w:rsidP="00192EDA">
            <w:pPr>
              <w:pStyle w:val="Tabletext1"/>
            </w:pPr>
            <w:r w:rsidRPr="00CD1D1C">
              <w:t>3,026.51</w:t>
            </w:r>
          </w:p>
        </w:tc>
        <w:tc>
          <w:tcPr>
            <w:tcW w:w="928" w:type="pct"/>
            <w:tcBorders>
              <w:top w:val="nil"/>
              <w:left w:val="nil"/>
              <w:bottom w:val="single" w:sz="4" w:space="0" w:color="auto"/>
              <w:right w:val="single" w:sz="4" w:space="0" w:color="auto"/>
            </w:tcBorders>
            <w:shd w:val="clear" w:color="auto" w:fill="auto"/>
            <w:noWrap/>
            <w:vAlign w:val="bottom"/>
            <w:hideMark/>
          </w:tcPr>
          <w:p w14:paraId="7DD9A433" w14:textId="77777777" w:rsidR="00CD1D1C" w:rsidRPr="00CD1D1C" w:rsidRDefault="00CD1D1C" w:rsidP="00192EDA">
            <w:pPr>
              <w:pStyle w:val="Tabletext1"/>
            </w:pPr>
            <w:r w:rsidRPr="00CD1D1C">
              <w:t>932.10</w:t>
            </w:r>
          </w:p>
        </w:tc>
        <w:tc>
          <w:tcPr>
            <w:tcW w:w="928" w:type="pct"/>
            <w:tcBorders>
              <w:top w:val="nil"/>
              <w:left w:val="nil"/>
              <w:bottom w:val="single" w:sz="4" w:space="0" w:color="auto"/>
              <w:right w:val="single" w:sz="4" w:space="0" w:color="auto"/>
            </w:tcBorders>
            <w:shd w:val="clear" w:color="auto" w:fill="auto"/>
            <w:noWrap/>
            <w:vAlign w:val="bottom"/>
            <w:hideMark/>
          </w:tcPr>
          <w:p w14:paraId="217D36EF" w14:textId="77777777" w:rsidR="00CD1D1C" w:rsidRPr="00CD1D1C" w:rsidRDefault="00CD1D1C" w:rsidP="00192EDA">
            <w:pPr>
              <w:pStyle w:val="Tabletext1"/>
            </w:pPr>
            <w:r w:rsidRPr="00CD1D1C">
              <w:t>3,885.22</w:t>
            </w:r>
          </w:p>
        </w:tc>
        <w:tc>
          <w:tcPr>
            <w:tcW w:w="924" w:type="pct"/>
            <w:tcBorders>
              <w:top w:val="nil"/>
              <w:left w:val="nil"/>
              <w:bottom w:val="single" w:sz="4" w:space="0" w:color="auto"/>
              <w:right w:val="single" w:sz="4" w:space="0" w:color="auto"/>
            </w:tcBorders>
            <w:shd w:val="clear" w:color="auto" w:fill="auto"/>
            <w:noWrap/>
            <w:vAlign w:val="bottom"/>
            <w:hideMark/>
          </w:tcPr>
          <w:p w14:paraId="5BB132C8" w14:textId="77777777" w:rsidR="00CD1D1C" w:rsidRPr="00CD1D1C" w:rsidRDefault="00CD1D1C" w:rsidP="00192EDA">
            <w:pPr>
              <w:pStyle w:val="Tabletext1"/>
              <w:rPr>
                <w:b/>
              </w:rPr>
            </w:pPr>
            <w:r w:rsidRPr="00CD1D1C">
              <w:rPr>
                <w:b/>
              </w:rPr>
              <w:t>7,843.83</w:t>
            </w:r>
          </w:p>
        </w:tc>
      </w:tr>
      <w:tr w:rsidR="00CD1D1C" w:rsidRPr="00BC4A30" w14:paraId="06065BCF" w14:textId="77777777" w:rsidTr="00CD1D1C">
        <w:trPr>
          <w:trHeight w:val="255"/>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77315446" w14:textId="4E2EE598" w:rsidR="00CD1D1C" w:rsidRPr="00CD1D1C" w:rsidRDefault="000B017A" w:rsidP="00192EDA">
            <w:pPr>
              <w:pStyle w:val="Tabletext1"/>
              <w:rPr>
                <w:b/>
                <w:bCs/>
              </w:rPr>
            </w:pPr>
            <w:r>
              <w:rPr>
                <w:b/>
                <w:bCs/>
              </w:rPr>
              <w:t>3</w:t>
            </w:r>
            <w:r w:rsidRPr="000B017A">
              <w:rPr>
                <w:b/>
                <w:bCs/>
              </w:rPr>
              <w:t>–</w:t>
            </w:r>
            <w:r>
              <w:rPr>
                <w:b/>
                <w:bCs/>
              </w:rPr>
              <w:t>5</w:t>
            </w:r>
            <w:r w:rsidR="00CD1D1C" w:rsidRPr="00CD1D1C">
              <w:rPr>
                <w:b/>
                <w:bCs/>
              </w:rPr>
              <w:t xml:space="preserve"> lesions total cost per patient </w:t>
            </w:r>
          </w:p>
        </w:tc>
        <w:tc>
          <w:tcPr>
            <w:tcW w:w="928" w:type="pct"/>
            <w:tcBorders>
              <w:top w:val="nil"/>
              <w:left w:val="nil"/>
              <w:bottom w:val="single" w:sz="4" w:space="0" w:color="auto"/>
              <w:right w:val="single" w:sz="4" w:space="0" w:color="auto"/>
            </w:tcBorders>
            <w:shd w:val="clear" w:color="auto" w:fill="auto"/>
            <w:noWrap/>
            <w:vAlign w:val="bottom"/>
            <w:hideMark/>
          </w:tcPr>
          <w:p w14:paraId="3A7AFBB7" w14:textId="77777777" w:rsidR="00CD1D1C" w:rsidRPr="00CD1D1C" w:rsidRDefault="00CD1D1C" w:rsidP="00192EDA">
            <w:pPr>
              <w:pStyle w:val="Tabletext1"/>
            </w:pPr>
            <w:r w:rsidRPr="00CD1D1C">
              <w:t>3,251.51</w:t>
            </w:r>
          </w:p>
        </w:tc>
        <w:tc>
          <w:tcPr>
            <w:tcW w:w="928" w:type="pct"/>
            <w:tcBorders>
              <w:top w:val="nil"/>
              <w:left w:val="nil"/>
              <w:bottom w:val="single" w:sz="4" w:space="0" w:color="auto"/>
              <w:right w:val="single" w:sz="4" w:space="0" w:color="auto"/>
            </w:tcBorders>
            <w:shd w:val="clear" w:color="auto" w:fill="auto"/>
            <w:noWrap/>
            <w:vAlign w:val="bottom"/>
            <w:hideMark/>
          </w:tcPr>
          <w:p w14:paraId="1B175FBE" w14:textId="77777777" w:rsidR="00CD1D1C" w:rsidRPr="00CD1D1C" w:rsidRDefault="00CD1D1C" w:rsidP="00192EDA">
            <w:pPr>
              <w:pStyle w:val="Tabletext1"/>
            </w:pPr>
            <w:r w:rsidRPr="00CD1D1C">
              <w:t>932.10</w:t>
            </w:r>
          </w:p>
        </w:tc>
        <w:tc>
          <w:tcPr>
            <w:tcW w:w="928" w:type="pct"/>
            <w:tcBorders>
              <w:top w:val="nil"/>
              <w:left w:val="nil"/>
              <w:bottom w:val="single" w:sz="4" w:space="0" w:color="auto"/>
              <w:right w:val="single" w:sz="4" w:space="0" w:color="auto"/>
            </w:tcBorders>
            <w:shd w:val="clear" w:color="auto" w:fill="auto"/>
            <w:noWrap/>
            <w:vAlign w:val="bottom"/>
            <w:hideMark/>
          </w:tcPr>
          <w:p w14:paraId="6AC0C1B4" w14:textId="77777777" w:rsidR="00CD1D1C" w:rsidRPr="00CD1D1C" w:rsidRDefault="00CD1D1C" w:rsidP="00192EDA">
            <w:pPr>
              <w:pStyle w:val="Tabletext1"/>
            </w:pPr>
            <w:r w:rsidRPr="00CD1D1C">
              <w:t>3,960.22</w:t>
            </w:r>
          </w:p>
        </w:tc>
        <w:tc>
          <w:tcPr>
            <w:tcW w:w="924" w:type="pct"/>
            <w:tcBorders>
              <w:top w:val="nil"/>
              <w:left w:val="nil"/>
              <w:bottom w:val="single" w:sz="4" w:space="0" w:color="auto"/>
              <w:right w:val="single" w:sz="4" w:space="0" w:color="auto"/>
            </w:tcBorders>
            <w:shd w:val="clear" w:color="auto" w:fill="auto"/>
            <w:noWrap/>
            <w:vAlign w:val="bottom"/>
            <w:hideMark/>
          </w:tcPr>
          <w:p w14:paraId="7FD413BE" w14:textId="77777777" w:rsidR="00CD1D1C" w:rsidRPr="00CD1D1C" w:rsidRDefault="00CD1D1C" w:rsidP="00192EDA">
            <w:pPr>
              <w:pStyle w:val="Tabletext1"/>
              <w:rPr>
                <w:b/>
              </w:rPr>
            </w:pPr>
            <w:r w:rsidRPr="00CD1D1C">
              <w:rPr>
                <w:b/>
              </w:rPr>
              <w:t>8,143.83</w:t>
            </w:r>
          </w:p>
        </w:tc>
      </w:tr>
      <w:tr w:rsidR="00CD1D1C" w:rsidRPr="00BC4A30" w14:paraId="48FB44CC" w14:textId="77777777" w:rsidTr="00CD1D1C">
        <w:trPr>
          <w:trHeight w:val="255"/>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CFCCA5F" w14:textId="72AB9C07" w:rsidR="00CD1D1C" w:rsidRPr="00CD1D1C" w:rsidRDefault="006D0335" w:rsidP="00192EDA">
            <w:pPr>
              <w:pStyle w:val="Tabletext1"/>
              <w:rPr>
                <w:b/>
                <w:bCs/>
              </w:rPr>
            </w:pPr>
            <w:r>
              <w:rPr>
                <w:b/>
                <w:bCs/>
              </w:rPr>
              <w:t>&gt;5</w:t>
            </w:r>
            <w:r w:rsidR="00CD1D1C" w:rsidRPr="00CD1D1C">
              <w:rPr>
                <w:b/>
                <w:bCs/>
              </w:rPr>
              <w:t xml:space="preserve"> lesions total cost per patient </w:t>
            </w:r>
          </w:p>
        </w:tc>
        <w:tc>
          <w:tcPr>
            <w:tcW w:w="928" w:type="pct"/>
            <w:tcBorders>
              <w:top w:val="nil"/>
              <w:left w:val="nil"/>
              <w:bottom w:val="single" w:sz="4" w:space="0" w:color="auto"/>
              <w:right w:val="single" w:sz="4" w:space="0" w:color="auto"/>
            </w:tcBorders>
            <w:shd w:val="clear" w:color="auto" w:fill="auto"/>
            <w:noWrap/>
            <w:vAlign w:val="bottom"/>
            <w:hideMark/>
          </w:tcPr>
          <w:p w14:paraId="48EC84DD" w14:textId="77777777" w:rsidR="00CD1D1C" w:rsidRPr="00CD1D1C" w:rsidRDefault="00CD1D1C" w:rsidP="00192EDA">
            <w:pPr>
              <w:pStyle w:val="Tabletext1"/>
            </w:pPr>
            <w:r w:rsidRPr="00CD1D1C">
              <w:t>3,551.51</w:t>
            </w:r>
          </w:p>
        </w:tc>
        <w:tc>
          <w:tcPr>
            <w:tcW w:w="928" w:type="pct"/>
            <w:tcBorders>
              <w:top w:val="nil"/>
              <w:left w:val="nil"/>
              <w:bottom w:val="single" w:sz="4" w:space="0" w:color="auto"/>
              <w:right w:val="single" w:sz="4" w:space="0" w:color="auto"/>
            </w:tcBorders>
            <w:shd w:val="clear" w:color="auto" w:fill="auto"/>
            <w:noWrap/>
            <w:vAlign w:val="bottom"/>
            <w:hideMark/>
          </w:tcPr>
          <w:p w14:paraId="34B1F0C5" w14:textId="77777777" w:rsidR="00CD1D1C" w:rsidRPr="00CD1D1C" w:rsidRDefault="00CD1D1C" w:rsidP="00192EDA">
            <w:pPr>
              <w:pStyle w:val="Tabletext1"/>
            </w:pPr>
            <w:r w:rsidRPr="00CD1D1C">
              <w:t>932.10</w:t>
            </w:r>
          </w:p>
        </w:tc>
        <w:tc>
          <w:tcPr>
            <w:tcW w:w="928" w:type="pct"/>
            <w:tcBorders>
              <w:top w:val="nil"/>
              <w:left w:val="nil"/>
              <w:bottom w:val="single" w:sz="4" w:space="0" w:color="auto"/>
              <w:right w:val="single" w:sz="4" w:space="0" w:color="auto"/>
            </w:tcBorders>
            <w:shd w:val="clear" w:color="auto" w:fill="auto"/>
            <w:noWrap/>
            <w:vAlign w:val="bottom"/>
            <w:hideMark/>
          </w:tcPr>
          <w:p w14:paraId="296E9148" w14:textId="77777777" w:rsidR="00CD1D1C" w:rsidRPr="00CD1D1C" w:rsidRDefault="00CD1D1C" w:rsidP="00192EDA">
            <w:pPr>
              <w:pStyle w:val="Tabletext1"/>
            </w:pPr>
            <w:r w:rsidRPr="00CD1D1C">
              <w:t>4,060.22</w:t>
            </w:r>
          </w:p>
        </w:tc>
        <w:tc>
          <w:tcPr>
            <w:tcW w:w="924" w:type="pct"/>
            <w:tcBorders>
              <w:top w:val="nil"/>
              <w:left w:val="nil"/>
              <w:bottom w:val="single" w:sz="4" w:space="0" w:color="auto"/>
              <w:right w:val="single" w:sz="4" w:space="0" w:color="auto"/>
            </w:tcBorders>
            <w:shd w:val="clear" w:color="auto" w:fill="auto"/>
            <w:noWrap/>
            <w:vAlign w:val="bottom"/>
            <w:hideMark/>
          </w:tcPr>
          <w:p w14:paraId="11C83739" w14:textId="77777777" w:rsidR="00CD1D1C" w:rsidRPr="00CD1D1C" w:rsidRDefault="00CD1D1C" w:rsidP="00192EDA">
            <w:pPr>
              <w:pStyle w:val="Tabletext1"/>
              <w:rPr>
                <w:b/>
              </w:rPr>
            </w:pPr>
            <w:r w:rsidRPr="00CD1D1C">
              <w:rPr>
                <w:b/>
              </w:rPr>
              <w:t>8,543.83</w:t>
            </w:r>
          </w:p>
        </w:tc>
      </w:tr>
    </w:tbl>
    <w:p w14:paraId="6A8B1DB3" w14:textId="09E6B460" w:rsidR="00611702" w:rsidRPr="00BC4A30" w:rsidRDefault="00664E49" w:rsidP="00664E49">
      <w:pPr>
        <w:pStyle w:val="Tablenotes0"/>
        <w:rPr>
          <w:noProof/>
        </w:rPr>
      </w:pPr>
      <w:r>
        <w:rPr>
          <w:noProof/>
        </w:rPr>
        <w:t>&lt;</w:t>
      </w:r>
      <w:r w:rsidR="00A405EC" w:rsidRPr="00BC4A30">
        <w:rPr>
          <w:noProof/>
        </w:rPr>
        <w:t xml:space="preserve"> MBS=</w:t>
      </w:r>
      <w:r w:rsidR="00611702" w:rsidRPr="00BC4A30">
        <w:rPr>
          <w:noProof/>
        </w:rPr>
        <w:t>Medical Benefits Scheme</w:t>
      </w:r>
      <w:r w:rsidR="006D0335">
        <w:rPr>
          <w:noProof/>
        </w:rPr>
        <w:t>; MTA = microwave tissue ablation</w:t>
      </w:r>
      <w:r w:rsidR="00B11E80">
        <w:rPr>
          <w:noProof/>
        </w:rPr>
        <w:t xml:space="preserve"> </w:t>
      </w:r>
      <w:r>
        <w:rPr>
          <w:noProof/>
        </w:rPr>
        <w:t>&gt;</w:t>
      </w:r>
    </w:p>
    <w:p w14:paraId="75FF42D3" w14:textId="6681FCEF" w:rsidR="00611702" w:rsidRPr="00BC4A30" w:rsidRDefault="00611702" w:rsidP="00437530">
      <w:r w:rsidRPr="00BC4A30">
        <w:lastRenderedPageBreak/>
        <w:t>Patients with private insurance would receive 75</w:t>
      </w:r>
      <w:r w:rsidR="00DB7D52" w:rsidRPr="00BC4A30">
        <w:t xml:space="preserve"> per cent</w:t>
      </w:r>
      <w:r w:rsidRPr="00BC4A30">
        <w:t xml:space="preserve"> of the MBS fee for hospital delivered procedures. A total of 13,409,297 persons held some form of private health insurance in 2015. The proportion of the Australian population with hospital cover was 47.2</w:t>
      </w:r>
      <w:r w:rsidR="00DB7D52" w:rsidRPr="00BC4A30">
        <w:t xml:space="preserve"> per cent</w:t>
      </w:r>
      <w:r w:rsidRPr="00BC4A30">
        <w:t xml:space="preserve"> and 55.8</w:t>
      </w:r>
      <w:r w:rsidR="00DB7D52" w:rsidRPr="00BC4A30">
        <w:t xml:space="preserve"> per cent</w:t>
      </w:r>
      <w:r w:rsidRPr="00BC4A30">
        <w:t xml:space="preserve"> </w:t>
      </w:r>
      <w:proofErr w:type="gramStart"/>
      <w:r w:rsidRPr="00BC4A30">
        <w:t>have</w:t>
      </w:r>
      <w:proofErr w:type="gramEnd"/>
      <w:r w:rsidRPr="00BC4A30">
        <w:t xml:space="preserve"> general treatment cover</w:t>
      </w:r>
      <w:r w:rsidRPr="00664E49">
        <w:t xml:space="preserve">. Private Healthcare Australia </w:t>
      </w:r>
      <w:r w:rsidR="00664E49">
        <w:fldChar w:fldCharType="begin"/>
      </w:r>
      <w:r w:rsidR="00664E49">
        <w:instrText xml:space="preserve"> ADDIN EN.CITE &lt;EndNote&gt;&lt;Cite&gt;&lt;Author&gt;Private Healthcare Australia&lt;/Author&gt;&lt;Year&gt;2016&lt;/Year&gt;&lt;RecNum&gt;275&lt;/RecNum&gt;&lt;DisplayText&gt;(Private Healthcare Australia 2016)&lt;/DisplayText&gt;&lt;record&gt;&lt;rec-number&gt;275&lt;/rec-number&gt;&lt;foreign-keys&gt;&lt;key app="EN" db-id="05ssdaw2cf0zvye5xvo5z9ww0xdpfstrdtew" timestamp="1472539697"&gt;275&lt;/key&gt;&lt;/foreign-keys&gt;&lt;ref-type name="Web Page"&gt;12&lt;/ref-type&gt;&lt;contributors&gt;&lt;authors&gt;&lt;author&gt;Private Healthcare Australia,&lt;/author&gt;&lt;/authors&gt;&lt;/contributors&gt;&lt;titles&gt;&lt;title&gt;Private Health Insurance Membership – June 2015&lt;/title&gt;&lt;/titles&gt;&lt;volume&gt;2016&lt;/volume&gt;&lt;number&gt;30 August&lt;/number&gt;&lt;dates&gt;&lt;year&gt;2016&lt;/year&gt;&lt;pub-dates&gt;&lt;date&gt;18 August 2015&lt;/date&gt;&lt;/pub-dates&gt;&lt;/dates&gt;&lt;urls&gt;&lt;related-urls&gt;&lt;url&gt;https://www.privatehealthcareaustralia.org.au/private-health-insurance-membership-june-2015/&lt;/url&gt;&lt;/related-urls&gt;&lt;/urls&gt;&lt;/record&gt;&lt;/Cite&gt;&lt;/EndNote&gt;</w:instrText>
      </w:r>
      <w:r w:rsidR="00664E49">
        <w:fldChar w:fldCharType="separate"/>
      </w:r>
      <w:r w:rsidR="00664E49">
        <w:rPr>
          <w:noProof/>
        </w:rPr>
        <w:t>(</w:t>
      </w:r>
      <w:hyperlink w:anchor="_ENREF_121" w:tooltip="Private Healthcare Australia, 2016 #275" w:history="1">
        <w:r w:rsidR="00320458">
          <w:rPr>
            <w:noProof/>
          </w:rPr>
          <w:t>Private Healthcare Australia 2016</w:t>
        </w:r>
      </w:hyperlink>
      <w:r w:rsidR="00664E49">
        <w:rPr>
          <w:noProof/>
        </w:rPr>
        <w:t>)</w:t>
      </w:r>
      <w:r w:rsidR="00664E49">
        <w:fldChar w:fldCharType="end"/>
      </w:r>
      <w:r w:rsidRPr="00BC4A30">
        <w:t xml:space="preserve"> estimated about 75</w:t>
      </w:r>
      <w:r w:rsidR="00DB7D52" w:rsidRPr="00BC4A30">
        <w:t xml:space="preserve"> per cent</w:t>
      </w:r>
      <w:r w:rsidRPr="00BC4A30">
        <w:t xml:space="preserve"> of subacute and non-acute separations from public hospitals were for </w:t>
      </w:r>
      <w:r w:rsidR="00067F63" w:rsidRPr="00BC4A30">
        <w:t>p</w:t>
      </w:r>
      <w:r w:rsidRPr="00BC4A30">
        <w:t>ublic patients, and private health insurance funded 82</w:t>
      </w:r>
      <w:r w:rsidR="00DB7D52" w:rsidRPr="00BC4A30">
        <w:t xml:space="preserve"> per cent</w:t>
      </w:r>
      <w:r w:rsidRPr="00BC4A30">
        <w:t xml:space="preserve"> of subacute and non-acute separations from private hospitals. Around 54</w:t>
      </w:r>
      <w:r w:rsidR="00DB7D52" w:rsidRPr="00BC4A30">
        <w:t xml:space="preserve"> per cent</w:t>
      </w:r>
      <w:r w:rsidRPr="00BC4A30">
        <w:t xml:space="preserve"> of all subacute and non-acute separations covered by private insurance. </w:t>
      </w:r>
      <w:r w:rsidR="00664E49">
        <w:fldChar w:fldCharType="begin"/>
      </w:r>
      <w:r w:rsidR="00320458">
        <w:instrText xml:space="preserve"> ADDIN EN.CITE &lt;EndNote&gt;&lt;Cite&gt;&lt;Author&gt;AIHW&lt;/Author&gt;&lt;Year&gt;2014&lt;/Year&gt;&lt;RecNum&gt;58&lt;/RecNum&gt;&lt;DisplayText&gt;(Australian Institute of Health and Welfare (AIHW) 2014a)&lt;/DisplayText&gt;&lt;record&gt;&lt;rec-number&gt;58&lt;/rec-number&gt;&lt;foreign-keys&gt;&lt;key app="EN" db-id="05ssdaw2cf0zvye5xvo5z9ww0xdpfstrdtew" timestamp="1465864271"&gt;58&lt;/key&gt;&lt;/foreign-keys&gt;&lt;ref-type name="Web Page"&gt;12&lt;/ref-type&gt;&lt;contributors&gt;&lt;authors&gt;&lt;author&gt;Australian Institute of Health and Welfare (AIHW),&lt;/author&gt;&lt;/authors&gt;&lt;/contributors&gt;&lt;titles&gt;&lt;title&gt;Cancer in Australia: An overview 2014&lt;/title&gt;&lt;secondary-title&gt;Cancer series no. 90&lt;/secondary-title&gt;&lt;/titles&gt;&lt;volume&gt;Cat. no. CAN 788&lt;/volume&gt;&lt;number&gt;30 August 2016&lt;/number&gt;&lt;dates&gt;&lt;year&gt;2014&lt;/year&gt;&lt;pub-dates&gt;&lt;date&gt;2014&lt;/date&gt;&lt;/pub-dates&gt;&lt;/dates&gt;&lt;pub-location&gt;Canberra, Australia&lt;/pub-location&gt;&lt;publisher&gt;Australian Institute of Health and Welfare&lt;/publisher&gt;&lt;urls&gt;&lt;related-urls&gt;&lt;url&gt;http://www.aihw.gov.au/publication-detail/?id=60129550047&lt;/url&gt;&lt;/related-urls&gt;&lt;/urls&gt;&lt;/record&gt;&lt;/Cite&gt;&lt;/EndNote&gt;</w:instrText>
      </w:r>
      <w:r w:rsidR="00664E49">
        <w:fldChar w:fldCharType="separate"/>
      </w:r>
      <w:r w:rsidR="00E74173">
        <w:rPr>
          <w:noProof/>
        </w:rPr>
        <w:t>(</w:t>
      </w:r>
      <w:hyperlink w:anchor="_ENREF_13" w:tooltip="Australian Institute of Health and Welfare (AIHW), 2014 #58" w:history="1">
        <w:r w:rsidR="00320458">
          <w:rPr>
            <w:noProof/>
          </w:rPr>
          <w:t>Australian Institute of Health and Welfare (AIHW) 2014a</w:t>
        </w:r>
      </w:hyperlink>
      <w:r w:rsidR="00E74173">
        <w:rPr>
          <w:noProof/>
        </w:rPr>
        <w:t>)</w:t>
      </w:r>
      <w:r w:rsidR="00664E49">
        <w:fldChar w:fldCharType="end"/>
      </w:r>
      <w:r w:rsidRPr="00BC4A30">
        <w:t>. Those taking up MTA are assumed to have private cover. MBS rebates calculated in the above table assume 85</w:t>
      </w:r>
      <w:r w:rsidR="006C6208">
        <w:rPr>
          <w:rStyle w:val="FootnoteReference"/>
        </w:rPr>
        <w:footnoteReference w:id="2"/>
      </w:r>
      <w:r w:rsidR="00DB7D52" w:rsidRPr="00BC4A30">
        <w:t xml:space="preserve"> per cent</w:t>
      </w:r>
      <w:r w:rsidRPr="00BC4A30">
        <w:t xml:space="preserve"> of outpatient and 75</w:t>
      </w:r>
      <w:r w:rsidR="00DB7D52" w:rsidRPr="00BC4A30">
        <w:t xml:space="preserve"> per cent</w:t>
      </w:r>
      <w:r w:rsidRPr="00BC4A30">
        <w:t xml:space="preserve"> of inpatient fees are claimable under the MBS.</w:t>
      </w:r>
      <w:r w:rsidR="006C6208" w:rsidRPr="006C6208">
        <w:t xml:space="preserve"> Discussions with the Australian Government Department of Health indicated the convention for MSAC applications is that the scheduled fee is used as an indication of the patient’</w:t>
      </w:r>
      <w:r w:rsidR="006C6208">
        <w:t>s out of pocket costs.</w:t>
      </w:r>
      <w:r w:rsidR="006C6208">
        <w:rPr>
          <w:rStyle w:val="FootnoteReference"/>
        </w:rPr>
        <w:footnoteReference w:id="3"/>
      </w:r>
      <w:r w:rsidR="006C6208" w:rsidRPr="006C6208">
        <w:t xml:space="preserve"> Omission of co-payment data is likely to understate Extended Medicare Safety Net impacts. Correspondingly, these </w:t>
      </w:r>
      <w:r w:rsidR="00291E16">
        <w:t>have not been</w:t>
      </w:r>
      <w:r w:rsidR="006C6208" w:rsidRPr="006C6208">
        <w:t xml:space="preserve"> calculated.</w:t>
      </w:r>
    </w:p>
    <w:p w14:paraId="5CB3A0F2" w14:textId="599C3732" w:rsidR="00611702" w:rsidRPr="00BC4A30" w:rsidRDefault="00611702" w:rsidP="00437530">
      <w:pPr>
        <w:rPr>
          <w:noProof/>
        </w:rPr>
      </w:pPr>
      <w:r w:rsidRPr="00BC4A30">
        <w:rPr>
          <w:noProof/>
        </w:rPr>
        <w:t xml:space="preserve">Discussions with clincians indicated further a range of diagnostic procedures could occur during work up. This includes whole body FDG PET study, performed for the staging of proven </w:t>
      </w:r>
      <w:r w:rsidR="00067F63" w:rsidRPr="00BC4A30">
        <w:rPr>
          <w:noProof/>
        </w:rPr>
        <w:t>NSCLC</w:t>
      </w:r>
      <w:r w:rsidRPr="00BC4A30">
        <w:rPr>
          <w:noProof/>
        </w:rPr>
        <w:t xml:space="preserve">, where curative surgery or radiotherapy is planned. This procedure has an MBS listed fee of $953.00 and benefits of 75% = $714.75 or 85% = $873.50. It should be noted that any patient being considered for any kind </w:t>
      </w:r>
      <w:r w:rsidR="006D0335">
        <w:rPr>
          <w:noProof/>
        </w:rPr>
        <w:t>of therapy (MTA, RFA, resection or</w:t>
      </w:r>
      <w:r w:rsidRPr="00BC4A30">
        <w:rPr>
          <w:noProof/>
        </w:rPr>
        <w:t xml:space="preserve"> SBRT), would all </w:t>
      </w:r>
      <w:r w:rsidR="00FE016B">
        <w:rPr>
          <w:noProof/>
        </w:rPr>
        <w:t>receive</w:t>
      </w:r>
      <w:r w:rsidRPr="00BC4A30">
        <w:rPr>
          <w:noProof/>
        </w:rPr>
        <w:t xml:space="preserve"> imaging under the base assumptions, so no incremental difference accrues to any intervention.</w:t>
      </w:r>
    </w:p>
    <w:p w14:paraId="72324D56" w14:textId="5D7F8A92" w:rsidR="00611702" w:rsidRPr="00BC4A30" w:rsidRDefault="00611702" w:rsidP="00437530">
      <w:pPr>
        <w:rPr>
          <w:noProof/>
        </w:rPr>
      </w:pPr>
      <w:r w:rsidRPr="00BC4A30">
        <w:rPr>
          <w:noProof/>
        </w:rPr>
        <w:t xml:space="preserve">Discussions with clincians delivering MTA within Australian hospitals indicated that adverse events are rare. Overseas, the procedure is undertaken out-of-hospital and adverse events are documented in Section B. From the published evidence, pneumothorax is a key </w:t>
      </w:r>
      <w:r w:rsidR="00291E16">
        <w:rPr>
          <w:noProof/>
        </w:rPr>
        <w:t>advers</w:t>
      </w:r>
      <w:r w:rsidRPr="00BC4A30">
        <w:rPr>
          <w:noProof/>
        </w:rPr>
        <w:t>e event, with 9.6</w:t>
      </w:r>
      <w:r w:rsidR="00DB7D52" w:rsidRPr="00BC4A30">
        <w:rPr>
          <w:noProof/>
        </w:rPr>
        <w:t xml:space="preserve"> per cent</w:t>
      </w:r>
      <w:r w:rsidRPr="00BC4A30">
        <w:rPr>
          <w:noProof/>
        </w:rPr>
        <w:t xml:space="preserve"> of MTA proceures requiring insertion of chest drain and requiring hospital s</w:t>
      </w:r>
      <w:r w:rsidR="00FE016B">
        <w:rPr>
          <w:noProof/>
        </w:rPr>
        <w:t>tay. Average costs for DRG-E68A,</w:t>
      </w:r>
      <w:r w:rsidRPr="00BC4A30">
        <w:rPr>
          <w:noProof/>
        </w:rPr>
        <w:t xml:space="preserve"> Pneumothorax W Catastrophic or Severe CC and DRG-E68B. Pneumothorax W/O Catastrophic or Severe CC were calculated as part of the Round 18 of the Australian national hospital collection. </w:t>
      </w:r>
    </w:p>
    <w:p w14:paraId="0ECDCBE4" w14:textId="5199CAE9" w:rsidR="00611702" w:rsidRPr="00BC4A30" w:rsidRDefault="00611702" w:rsidP="00437530">
      <w:pPr>
        <w:rPr>
          <w:noProof/>
        </w:rPr>
      </w:pPr>
      <w:r w:rsidRPr="00BC4A30">
        <w:rPr>
          <w:noProof/>
        </w:rPr>
        <w:t>These costs are indexed to 2016 prices using CPI. The total health price index (THPI) is the AIHW’s index of annual ratios of estimated total national health expenditure at current prices, which is generally used to index health sector costs. It is not available for 2016 adjustments, however, CPI most closely tracks THPI when compared to other indices. For example over the 2004</w:t>
      </w:r>
      <w:r w:rsidR="00D35E9C">
        <w:rPr>
          <w:noProof/>
        </w:rPr>
        <w:t>–</w:t>
      </w:r>
      <w:r w:rsidRPr="00BC4A30">
        <w:rPr>
          <w:noProof/>
        </w:rPr>
        <w:t xml:space="preserve">2013 period </w:t>
      </w:r>
      <w:r w:rsidRPr="00BC4A30">
        <w:rPr>
          <w:noProof/>
        </w:rPr>
        <w:lastRenderedPageBreak/>
        <w:t xml:space="preserve">average </w:t>
      </w:r>
      <w:r w:rsidRPr="00664E49">
        <w:rPr>
          <w:noProof/>
        </w:rPr>
        <w:t xml:space="preserve">CPI </w:t>
      </w:r>
      <w:r w:rsidR="00664E49" w:rsidRPr="00664E49">
        <w:rPr>
          <w:noProof/>
        </w:rPr>
        <w:fldChar w:fldCharType="begin"/>
      </w:r>
      <w:r w:rsidR="00664E49" w:rsidRPr="00664E49">
        <w:rPr>
          <w:noProof/>
        </w:rPr>
        <w:instrText xml:space="preserve"> ADDIN EN.CITE &lt;EndNote&gt;&lt;Cite&gt;&lt;Author&gt;Australian Bureau of Statistics&lt;/Author&gt;&lt;Year&gt;2016&lt;/Year&gt;&lt;RecNum&gt;264&lt;/RecNum&gt;&lt;DisplayText&gt;(Australian Bureau of Statistics 2016)&lt;/DisplayText&gt;&lt;record&gt;&lt;rec-number&gt;264&lt;/rec-number&gt;&lt;foreign-keys&gt;&lt;key app="EN" db-id="05ssdaw2cf0zvye5xvo5z9ww0xdpfstrdtew" timestamp="1472537508"&gt;264&lt;/key&gt;&lt;/foreign-keys&gt;&lt;ref-type name="Web Page"&gt;12&lt;/ref-type&gt;&lt;contributors&gt;&lt;authors&gt;&lt;author&gt;Australian Bureau of Statistics,&lt;/author&gt;&lt;/authors&gt;&lt;/contributors&gt;&lt;titles&gt;&lt;title&gt;6401.0 - Consumer Price Index&lt;/title&gt;&lt;/titles&gt;&lt;volume&gt;2016&lt;/volume&gt;&lt;number&gt;30 August &lt;/number&gt;&lt;dates&gt;&lt;year&gt;2016&lt;/year&gt;&lt;pub-dates&gt;&lt;date&gt;March 2016&lt;/date&gt;&lt;/pub-dates&gt;&lt;/dates&gt;&lt;publisher&gt;Australian Bureau of Statistics&lt;/publisher&gt;&lt;urls&gt;&lt;related-urls&gt;&lt;url&gt;http://www.abs.gov.au/ausstats/abs@.nsf/mf/6401.0&lt;/url&gt;&lt;/related-urls&gt;&lt;/urls&gt;&lt;/record&gt;&lt;/Cite&gt;&lt;/EndNote&gt;</w:instrText>
      </w:r>
      <w:r w:rsidR="00664E49" w:rsidRPr="00664E49">
        <w:rPr>
          <w:noProof/>
        </w:rPr>
        <w:fldChar w:fldCharType="separate"/>
      </w:r>
      <w:r w:rsidR="00664E49" w:rsidRPr="00664E49">
        <w:rPr>
          <w:noProof/>
        </w:rPr>
        <w:t>(</w:t>
      </w:r>
      <w:hyperlink w:anchor="_ENREF_9" w:tooltip="Australian Bureau of Statistics, 2016 #264" w:history="1">
        <w:r w:rsidR="00320458" w:rsidRPr="00664E49">
          <w:rPr>
            <w:noProof/>
          </w:rPr>
          <w:t>Australian Bureau of Statistics 2016</w:t>
        </w:r>
      </w:hyperlink>
      <w:r w:rsidR="00664E49" w:rsidRPr="00664E49">
        <w:rPr>
          <w:noProof/>
        </w:rPr>
        <w:t>)</w:t>
      </w:r>
      <w:r w:rsidR="00664E49" w:rsidRPr="00664E49">
        <w:rPr>
          <w:noProof/>
        </w:rPr>
        <w:fldChar w:fldCharType="end"/>
      </w:r>
      <w:r w:rsidRPr="00664E49">
        <w:rPr>
          <w:noProof/>
        </w:rPr>
        <w:t xml:space="preserve"> annual</w:t>
      </w:r>
      <w:r w:rsidRPr="00BC4A30">
        <w:rPr>
          <w:noProof/>
        </w:rPr>
        <w:t xml:space="preserve"> change has been 2.7</w:t>
      </w:r>
      <w:r w:rsidR="00DB7D52" w:rsidRPr="00BC4A30">
        <w:rPr>
          <w:noProof/>
        </w:rPr>
        <w:t xml:space="preserve"> per cent</w:t>
      </w:r>
      <w:r w:rsidRPr="00BC4A30">
        <w:rPr>
          <w:noProof/>
        </w:rPr>
        <w:t xml:space="preserve"> per year and the THPI also 2.7</w:t>
      </w:r>
      <w:r w:rsidR="00DB7D52" w:rsidRPr="00BC4A30">
        <w:rPr>
          <w:noProof/>
        </w:rPr>
        <w:t xml:space="preserve"> per cent</w:t>
      </w:r>
      <w:r w:rsidR="00A07D80">
        <w:rPr>
          <w:noProof/>
        </w:rPr>
        <w:t xml:space="preserve"> </w:t>
      </w:r>
      <w:r w:rsidR="00A07D80">
        <w:rPr>
          <w:noProof/>
        </w:rPr>
        <w:fldChar w:fldCharType="begin"/>
      </w:r>
      <w:r w:rsidR="00320458">
        <w:rPr>
          <w:noProof/>
        </w:rPr>
        <w:instrText xml:space="preserve"> ADDIN EN.CITE &lt;EndNote&gt;&lt;Cite&gt;&lt;Author&gt;Australian Institute of Health and Welfare (AIHW)&lt;/Author&gt;&lt;Year&gt;2014&lt;/Year&gt;&lt;RecNum&gt;58&lt;/RecNum&gt;&lt;DisplayText&gt;(Australian Institute of Health and Welfare (AIHW) 2014a)&lt;/DisplayText&gt;&lt;record&gt;&lt;rec-number&gt;58&lt;/rec-number&gt;&lt;foreign-keys&gt;&lt;key app="EN" db-id="05ssdaw2cf0zvye5xvo5z9ww0xdpfstrdtew" timestamp="1465864271"&gt;58&lt;/key&gt;&lt;/foreign-keys&gt;&lt;ref-type name="Web Page"&gt;12&lt;/ref-type&gt;&lt;contributors&gt;&lt;authors&gt;&lt;author&gt;Australian Institute of Health and Welfare (AIHW),&lt;/author&gt;&lt;/authors&gt;&lt;/contributors&gt;&lt;titles&gt;&lt;title&gt;Cancer in Australia: An overview 2014&lt;/title&gt;&lt;secondary-title&gt;Cancer series no. 90&lt;/secondary-title&gt;&lt;/titles&gt;&lt;volume&gt;Cat. no. CAN 788&lt;/volume&gt;&lt;number&gt;30 August 2016&lt;/number&gt;&lt;dates&gt;&lt;year&gt;2014&lt;/year&gt;&lt;pub-dates&gt;&lt;date&gt;2014&lt;/date&gt;&lt;/pub-dates&gt;&lt;/dates&gt;&lt;pub-location&gt;Canberra, Australia&lt;/pub-location&gt;&lt;publisher&gt;Australian Institute of Health and Welfare&lt;/publisher&gt;&lt;urls&gt;&lt;related-urls&gt;&lt;url&gt;http://www.aihw.gov.au/publication-detail/?id=60129550047&lt;/url&gt;&lt;/related-urls&gt;&lt;/urls&gt;&lt;/record&gt;&lt;/Cite&gt;&lt;/EndNote&gt;</w:instrText>
      </w:r>
      <w:r w:rsidR="00A07D80">
        <w:rPr>
          <w:noProof/>
        </w:rPr>
        <w:fldChar w:fldCharType="separate"/>
      </w:r>
      <w:r w:rsidR="00A07D80">
        <w:rPr>
          <w:noProof/>
        </w:rPr>
        <w:t>(</w:t>
      </w:r>
      <w:hyperlink w:anchor="_ENREF_13" w:tooltip="Australian Institute of Health and Welfare (AIHW), 2014 #58" w:history="1">
        <w:r w:rsidR="00320458">
          <w:rPr>
            <w:noProof/>
          </w:rPr>
          <w:t>Australian Institute of Health and Welfare (AIHW) 2014a</w:t>
        </w:r>
      </w:hyperlink>
      <w:r w:rsidR="00A07D80">
        <w:rPr>
          <w:noProof/>
        </w:rPr>
        <w:t>)</w:t>
      </w:r>
      <w:r w:rsidR="00A07D80">
        <w:rPr>
          <w:noProof/>
        </w:rPr>
        <w:fldChar w:fldCharType="end"/>
      </w:r>
      <w:r w:rsidRPr="00BC4A30">
        <w:rPr>
          <w:noProof/>
        </w:rPr>
        <w:t xml:space="preserve">. </w:t>
      </w:r>
    </w:p>
    <w:p w14:paraId="08138FD2" w14:textId="4694DBF7" w:rsidR="00611702" w:rsidRPr="00BC4A30" w:rsidRDefault="00611702" w:rsidP="00437530">
      <w:pPr>
        <w:rPr>
          <w:noProof/>
        </w:rPr>
      </w:pPr>
      <w:r w:rsidRPr="00BC4A30">
        <w:rPr>
          <w:noProof/>
        </w:rPr>
        <w:t>An index numbers 108.2 in March 2016 compared with 105 for 2013</w:t>
      </w:r>
      <w:r w:rsidR="00291E16">
        <w:t>–</w:t>
      </w:r>
      <w:r w:rsidR="00291E16">
        <w:rPr>
          <w:noProof/>
        </w:rPr>
        <w:t>20</w:t>
      </w:r>
      <w:r w:rsidRPr="00BC4A30">
        <w:rPr>
          <w:noProof/>
        </w:rPr>
        <w:t xml:space="preserve">14 is used to adjust Round 18 hospital costs to 2016 levels (AIHW, 2015). It is evident that the costs of treating </w:t>
      </w:r>
      <w:r w:rsidR="005529BD" w:rsidRPr="00BC4A30">
        <w:rPr>
          <w:noProof/>
        </w:rPr>
        <w:t>p</w:t>
      </w:r>
      <w:r w:rsidRPr="00BC4A30">
        <w:rPr>
          <w:noProof/>
        </w:rPr>
        <w:t xml:space="preserve">neumothorax per separation vary from $10,238 to </w:t>
      </w:r>
      <w:r w:rsidR="005529BD" w:rsidRPr="00BC4A30">
        <w:rPr>
          <w:noProof/>
        </w:rPr>
        <w:t>$</w:t>
      </w:r>
      <w:r w:rsidRPr="00BC4A30">
        <w:rPr>
          <w:noProof/>
        </w:rPr>
        <w:t>5,144 in current estimated prices</w:t>
      </w:r>
      <w:r w:rsidR="00291E16">
        <w:t>–</w:t>
      </w:r>
      <w:r w:rsidRPr="00BC4A30">
        <w:rPr>
          <w:noProof/>
        </w:rPr>
        <w:t xml:space="preserve">depending on severity. A proportion of these costs would be borne by the MBS. Ward medical and imaging costs comprise around </w:t>
      </w:r>
      <w:r w:rsidR="005529BD" w:rsidRPr="00BC4A30">
        <w:rPr>
          <w:noProof/>
        </w:rPr>
        <w:t>3</w:t>
      </w:r>
      <w:r w:rsidRPr="00BC4A30">
        <w:rPr>
          <w:noProof/>
        </w:rPr>
        <w:t>0</w:t>
      </w:r>
      <w:r w:rsidR="00DB7D52" w:rsidRPr="00BC4A30">
        <w:rPr>
          <w:noProof/>
        </w:rPr>
        <w:t xml:space="preserve"> per cent</w:t>
      </w:r>
      <w:r w:rsidRPr="00BC4A30">
        <w:rPr>
          <w:noProof/>
        </w:rPr>
        <w:t xml:space="preserve"> of the overall c</w:t>
      </w:r>
      <w:r w:rsidR="005529BD" w:rsidRPr="00BC4A30">
        <w:rPr>
          <w:noProof/>
        </w:rPr>
        <w:t>ost, or $2,338</w:t>
      </w:r>
      <w:r w:rsidRPr="00BC4A30">
        <w:rPr>
          <w:noProof/>
        </w:rPr>
        <w:t xml:space="preserve"> per separation. </w:t>
      </w:r>
      <w:r w:rsidR="005529BD" w:rsidRPr="00BC4A30">
        <w:rPr>
          <w:noProof/>
        </w:rPr>
        <w:t>If 9.6 per cent</w:t>
      </w:r>
      <w:r w:rsidRPr="00BC4A30">
        <w:rPr>
          <w:noProof/>
        </w:rPr>
        <w:t xml:space="preserve"> of MTA results in </w:t>
      </w:r>
      <w:r w:rsidR="005529BD" w:rsidRPr="00BC4A30">
        <w:rPr>
          <w:noProof/>
        </w:rPr>
        <w:t>p</w:t>
      </w:r>
      <w:r w:rsidRPr="00BC4A30">
        <w:rPr>
          <w:noProof/>
        </w:rPr>
        <w:t>neumothorax, then the procedure would</w:t>
      </w:r>
      <w:r w:rsidR="005529BD" w:rsidRPr="00BC4A30">
        <w:rPr>
          <w:noProof/>
        </w:rPr>
        <w:t xml:space="preserve"> cost an average additional $224</w:t>
      </w:r>
      <w:r w:rsidRPr="00BC4A30">
        <w:rPr>
          <w:noProof/>
        </w:rPr>
        <w:t xml:space="preserve"> per intervention. This additional cost is included in the sensitivity analysis.</w:t>
      </w:r>
    </w:p>
    <w:p w14:paraId="71812249" w14:textId="57C76F44" w:rsidR="00611702" w:rsidRPr="00BC4A30" w:rsidRDefault="00611702" w:rsidP="00437530">
      <w:pPr>
        <w:rPr>
          <w:noProof/>
        </w:rPr>
      </w:pPr>
      <w:r w:rsidRPr="00BC4A30">
        <w:rPr>
          <w:noProof/>
        </w:rPr>
        <w:t xml:space="preserve">The results presented in </w:t>
      </w:r>
      <w:r w:rsidRPr="00BC4A30">
        <w:rPr>
          <w:b/>
          <w:noProof/>
        </w:rPr>
        <w:fldChar w:fldCharType="begin"/>
      </w:r>
      <w:r w:rsidRPr="00BC4A30">
        <w:rPr>
          <w:noProof/>
        </w:rPr>
        <w:instrText xml:space="preserve"> REF _Ref457412335 \h </w:instrText>
      </w:r>
      <w:r w:rsidR="00796EF0" w:rsidRPr="00BC4A30">
        <w:rPr>
          <w:b/>
          <w:noProof/>
        </w:rPr>
        <w:instrText xml:space="preserve"> \* MERGEFORMAT </w:instrText>
      </w:r>
      <w:r w:rsidRPr="00BC4A30">
        <w:rPr>
          <w:b/>
          <w:noProof/>
        </w:rPr>
      </w:r>
      <w:r w:rsidRPr="00BC4A30">
        <w:rPr>
          <w:b/>
          <w:noProof/>
        </w:rPr>
        <w:fldChar w:fldCharType="separate"/>
      </w:r>
      <w:r w:rsidR="00D170A5" w:rsidRPr="00BC4A30">
        <w:t xml:space="preserve">Table </w:t>
      </w:r>
      <w:r w:rsidR="00D170A5">
        <w:rPr>
          <w:noProof/>
        </w:rPr>
        <w:t>83</w:t>
      </w:r>
      <w:r w:rsidRPr="00BC4A30">
        <w:rPr>
          <w:b/>
          <w:noProof/>
        </w:rPr>
        <w:fldChar w:fldCharType="end"/>
      </w:r>
      <w:r w:rsidRPr="00BC4A30">
        <w:rPr>
          <w:b/>
          <w:noProof/>
        </w:rPr>
        <w:t xml:space="preserve"> </w:t>
      </w:r>
      <w:r w:rsidRPr="00BC4A30">
        <w:rPr>
          <w:noProof/>
        </w:rPr>
        <w:t>indicate that the cost to the MBS is estimated to be $0.65 million in</w:t>
      </w:r>
      <w:r w:rsidR="006C6208">
        <w:rPr>
          <w:noProof/>
        </w:rPr>
        <w:t xml:space="preserve"> year one, increasing to $3.41</w:t>
      </w:r>
      <w:r w:rsidR="005529BD" w:rsidRPr="00BC4A30">
        <w:rPr>
          <w:noProof/>
        </w:rPr>
        <w:t xml:space="preserve"> </w:t>
      </w:r>
      <w:r w:rsidRPr="00BC4A30">
        <w:rPr>
          <w:noProof/>
        </w:rPr>
        <w:t xml:space="preserve">million in year 5 following base case estimates. Most cost is associated with ablation of up to three lesions </w:t>
      </w:r>
      <w:r w:rsidR="00291E16">
        <w:rPr>
          <w:noProof/>
        </w:rPr>
        <w:t xml:space="preserve">in </w:t>
      </w:r>
      <w:r w:rsidRPr="00BC4A30">
        <w:rPr>
          <w:noProof/>
        </w:rPr>
        <w:t>total per patient.</w:t>
      </w:r>
    </w:p>
    <w:p w14:paraId="020D30CD" w14:textId="77777777" w:rsidR="00611702" w:rsidRPr="00BC4A30" w:rsidRDefault="00611702" w:rsidP="00611702">
      <w:pPr>
        <w:pStyle w:val="Caption"/>
        <w:keepNext/>
      </w:pPr>
      <w:bookmarkStart w:id="447" w:name="_Ref457412335"/>
      <w:bookmarkStart w:id="448" w:name="_Toc460514741"/>
      <w:r w:rsidRPr="00BC4A30">
        <w:t xml:space="preserve">Table </w:t>
      </w:r>
      <w:fldSimple w:instr=" SEQ Table \* ARABIC ">
        <w:r w:rsidR="00D170A5">
          <w:rPr>
            <w:noProof/>
          </w:rPr>
          <w:t>83</w:t>
        </w:r>
      </w:fldSimple>
      <w:bookmarkEnd w:id="447"/>
      <w:r w:rsidRPr="00BC4A30">
        <w:tab/>
        <w:t>Total estimated additional costs to MBS of changes in services</w:t>
      </w:r>
      <w:bookmarkEnd w:id="448"/>
    </w:p>
    <w:tbl>
      <w:tblPr>
        <w:tblW w:w="5000" w:type="pct"/>
        <w:tblLook w:val="04A0" w:firstRow="1" w:lastRow="0" w:firstColumn="1" w:lastColumn="0" w:noHBand="0" w:noVBand="1"/>
      </w:tblPr>
      <w:tblGrid>
        <w:gridCol w:w="2507"/>
        <w:gridCol w:w="836"/>
        <w:gridCol w:w="1179"/>
        <w:gridCol w:w="1181"/>
        <w:gridCol w:w="1179"/>
        <w:gridCol w:w="1181"/>
        <w:gridCol w:w="1179"/>
      </w:tblGrid>
      <w:tr w:rsidR="00611702" w:rsidRPr="00BC4A30" w14:paraId="04337E21" w14:textId="77777777" w:rsidTr="00664E49">
        <w:trPr>
          <w:trHeight w:val="285"/>
        </w:trPr>
        <w:tc>
          <w:tcPr>
            <w:tcW w:w="1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15D9B3" w14:textId="77777777" w:rsidR="00611702" w:rsidRPr="00664E49" w:rsidRDefault="00611702" w:rsidP="000223D7">
            <w:pPr>
              <w:pStyle w:val="Tabletext1"/>
              <w:rPr>
                <w:b/>
              </w:rPr>
            </w:pPr>
            <w:r w:rsidRPr="00664E49">
              <w:rPr>
                <w:b/>
              </w:rPr>
              <w:t> </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44D8ED6" w14:textId="77777777" w:rsidR="00611702" w:rsidRPr="00664E49" w:rsidRDefault="00611702" w:rsidP="000223D7">
            <w:pPr>
              <w:pStyle w:val="Tabletext1"/>
              <w:rPr>
                <w:b/>
              </w:rPr>
            </w:pPr>
            <w:r w:rsidRPr="00664E49">
              <w:rPr>
                <w:b/>
              </w:rPr>
              <w:t>Unit</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6D53F2" w14:textId="77777777" w:rsidR="00611702" w:rsidRPr="00664E49" w:rsidRDefault="00611702" w:rsidP="000223D7">
            <w:pPr>
              <w:pStyle w:val="Tabletext1"/>
              <w:rPr>
                <w:b/>
              </w:rPr>
            </w:pPr>
            <w:r w:rsidRPr="00664E49">
              <w:rPr>
                <w:b/>
              </w:rPr>
              <w:t>Year 1</w:t>
            </w:r>
          </w:p>
        </w:tc>
        <w:tc>
          <w:tcPr>
            <w:tcW w:w="6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3A718F" w14:textId="77777777" w:rsidR="00611702" w:rsidRPr="00664E49" w:rsidRDefault="00611702" w:rsidP="000223D7">
            <w:pPr>
              <w:pStyle w:val="Tabletext1"/>
              <w:rPr>
                <w:b/>
              </w:rPr>
            </w:pPr>
            <w:r w:rsidRPr="00664E49">
              <w:rPr>
                <w:b/>
              </w:rPr>
              <w:t>Year 2</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236486" w14:textId="77777777" w:rsidR="00611702" w:rsidRPr="00664E49" w:rsidRDefault="00611702" w:rsidP="000223D7">
            <w:pPr>
              <w:pStyle w:val="Tabletext1"/>
              <w:rPr>
                <w:b/>
              </w:rPr>
            </w:pPr>
            <w:r w:rsidRPr="00664E49">
              <w:rPr>
                <w:b/>
              </w:rPr>
              <w:t>Year 3</w:t>
            </w:r>
          </w:p>
        </w:tc>
        <w:tc>
          <w:tcPr>
            <w:tcW w:w="6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D43FE5" w14:textId="77777777" w:rsidR="00611702" w:rsidRPr="00664E49" w:rsidRDefault="00611702" w:rsidP="000223D7">
            <w:pPr>
              <w:pStyle w:val="Tabletext1"/>
              <w:rPr>
                <w:b/>
              </w:rPr>
            </w:pPr>
            <w:r w:rsidRPr="00664E49">
              <w:rPr>
                <w:b/>
              </w:rPr>
              <w:t>Year 4</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41E85" w14:textId="77777777" w:rsidR="00611702" w:rsidRPr="00664E49" w:rsidRDefault="00611702" w:rsidP="000223D7">
            <w:pPr>
              <w:pStyle w:val="Tabletext1"/>
              <w:rPr>
                <w:b/>
              </w:rPr>
            </w:pPr>
            <w:r w:rsidRPr="00664E49">
              <w:rPr>
                <w:b/>
              </w:rPr>
              <w:t>Year 5</w:t>
            </w:r>
          </w:p>
        </w:tc>
      </w:tr>
      <w:tr w:rsidR="006C6208" w:rsidRPr="00BC4A30" w14:paraId="17680752" w14:textId="77777777" w:rsidTr="006C6208">
        <w:trPr>
          <w:trHeight w:val="255"/>
        </w:trPr>
        <w:tc>
          <w:tcPr>
            <w:tcW w:w="1356" w:type="pct"/>
            <w:tcBorders>
              <w:top w:val="nil"/>
              <w:left w:val="single" w:sz="4" w:space="0" w:color="auto"/>
              <w:bottom w:val="single" w:sz="4" w:space="0" w:color="auto"/>
              <w:right w:val="single" w:sz="4" w:space="0" w:color="auto"/>
            </w:tcBorders>
            <w:shd w:val="clear" w:color="000000" w:fill="D9D9D9"/>
            <w:vAlign w:val="bottom"/>
            <w:hideMark/>
          </w:tcPr>
          <w:p w14:paraId="467A791A" w14:textId="77777777" w:rsidR="006C6208" w:rsidRPr="00664E49" w:rsidRDefault="006C6208" w:rsidP="000223D7">
            <w:pPr>
              <w:pStyle w:val="Tabletext1"/>
              <w:rPr>
                <w:b/>
              </w:rPr>
            </w:pPr>
            <w:r w:rsidRPr="00664E49">
              <w:rPr>
                <w:b/>
              </w:rPr>
              <w:t>Uptake estimate</w:t>
            </w:r>
          </w:p>
        </w:tc>
        <w:tc>
          <w:tcPr>
            <w:tcW w:w="452" w:type="pct"/>
            <w:tcBorders>
              <w:top w:val="single" w:sz="4" w:space="0" w:color="auto"/>
              <w:left w:val="nil"/>
              <w:bottom w:val="single" w:sz="4" w:space="0" w:color="auto"/>
              <w:right w:val="single" w:sz="4" w:space="0" w:color="auto"/>
            </w:tcBorders>
            <w:shd w:val="clear" w:color="000000" w:fill="D9D9D9"/>
            <w:vAlign w:val="bottom"/>
          </w:tcPr>
          <w:p w14:paraId="6384AE5D" w14:textId="77777777" w:rsidR="006C6208" w:rsidRPr="00664E49" w:rsidRDefault="006C6208" w:rsidP="000223D7">
            <w:pPr>
              <w:pStyle w:val="Tabletext1"/>
              <w:rPr>
                <w:b/>
              </w:rPr>
            </w:pPr>
          </w:p>
        </w:tc>
        <w:tc>
          <w:tcPr>
            <w:tcW w:w="638"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74221068" w14:textId="77777777" w:rsidR="006C6208" w:rsidRPr="00664E49" w:rsidRDefault="006C6208" w:rsidP="000223D7">
            <w:pPr>
              <w:pStyle w:val="Tabletext1"/>
              <w:rPr>
                <w:b/>
              </w:rPr>
            </w:pPr>
            <w:r w:rsidRPr="00664E49">
              <w:rPr>
                <w:b/>
              </w:rPr>
              <w:t>10%</w:t>
            </w:r>
          </w:p>
        </w:tc>
        <w:tc>
          <w:tcPr>
            <w:tcW w:w="639"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59DC51D4" w14:textId="77777777" w:rsidR="006C6208" w:rsidRPr="00664E49" w:rsidRDefault="006C6208" w:rsidP="000223D7">
            <w:pPr>
              <w:pStyle w:val="Tabletext1"/>
              <w:rPr>
                <w:b/>
              </w:rPr>
            </w:pPr>
            <w:r w:rsidRPr="00664E49">
              <w:rPr>
                <w:b/>
              </w:rPr>
              <w:t>20%</w:t>
            </w:r>
          </w:p>
        </w:tc>
        <w:tc>
          <w:tcPr>
            <w:tcW w:w="638"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743C0928" w14:textId="77777777" w:rsidR="006C6208" w:rsidRPr="00664E49" w:rsidRDefault="006C6208" w:rsidP="000223D7">
            <w:pPr>
              <w:pStyle w:val="Tabletext1"/>
              <w:rPr>
                <w:b/>
              </w:rPr>
            </w:pPr>
            <w:r w:rsidRPr="00664E49">
              <w:rPr>
                <w:b/>
              </w:rPr>
              <w:t>30%</w:t>
            </w:r>
          </w:p>
        </w:tc>
        <w:tc>
          <w:tcPr>
            <w:tcW w:w="639"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3E3826E3" w14:textId="77777777" w:rsidR="006C6208" w:rsidRPr="00664E49" w:rsidRDefault="006C6208" w:rsidP="000223D7">
            <w:pPr>
              <w:pStyle w:val="Tabletext1"/>
              <w:rPr>
                <w:b/>
              </w:rPr>
            </w:pPr>
            <w:r w:rsidRPr="00664E49">
              <w:rPr>
                <w:b/>
              </w:rPr>
              <w:t>40%</w:t>
            </w:r>
          </w:p>
        </w:tc>
        <w:tc>
          <w:tcPr>
            <w:tcW w:w="638"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0B38A6EA" w14:textId="77777777" w:rsidR="006C6208" w:rsidRPr="00664E49" w:rsidRDefault="006C6208" w:rsidP="000223D7">
            <w:pPr>
              <w:pStyle w:val="Tabletext1"/>
              <w:rPr>
                <w:b/>
              </w:rPr>
            </w:pPr>
            <w:r w:rsidRPr="00664E49">
              <w:rPr>
                <w:b/>
              </w:rPr>
              <w:t>50%</w:t>
            </w:r>
          </w:p>
        </w:tc>
      </w:tr>
      <w:tr w:rsidR="006C6208" w:rsidRPr="00BC4A30" w14:paraId="2767AE6D" w14:textId="77777777" w:rsidTr="00957F52">
        <w:trPr>
          <w:trHeight w:val="255"/>
        </w:trPr>
        <w:tc>
          <w:tcPr>
            <w:tcW w:w="1356" w:type="pct"/>
            <w:tcBorders>
              <w:top w:val="nil"/>
              <w:left w:val="single" w:sz="4" w:space="0" w:color="auto"/>
              <w:bottom w:val="single" w:sz="4" w:space="0" w:color="auto"/>
              <w:right w:val="single" w:sz="4" w:space="0" w:color="auto"/>
            </w:tcBorders>
            <w:shd w:val="clear" w:color="auto" w:fill="auto"/>
            <w:vAlign w:val="bottom"/>
            <w:hideMark/>
          </w:tcPr>
          <w:p w14:paraId="0CEDA3FE" w14:textId="77777777" w:rsidR="006C6208" w:rsidRPr="006C6208" w:rsidRDefault="006C6208" w:rsidP="000223D7">
            <w:pPr>
              <w:pStyle w:val="Tabletext1"/>
            </w:pPr>
            <w:r w:rsidRPr="006C6208">
              <w:t>Anticipated total number of MTA procedures per year</w:t>
            </w:r>
          </w:p>
        </w:tc>
        <w:tc>
          <w:tcPr>
            <w:tcW w:w="452" w:type="pct"/>
            <w:tcBorders>
              <w:top w:val="single" w:sz="4" w:space="0" w:color="auto"/>
              <w:left w:val="nil"/>
              <w:bottom w:val="single" w:sz="4" w:space="0" w:color="auto"/>
              <w:right w:val="single" w:sz="4" w:space="0" w:color="auto"/>
            </w:tcBorders>
            <w:vAlign w:val="center"/>
          </w:tcPr>
          <w:p w14:paraId="13B8FA87" w14:textId="77777777" w:rsidR="006C6208" w:rsidRPr="006C6208" w:rsidRDefault="006C6208" w:rsidP="00B27255">
            <w:pPr>
              <w:pStyle w:val="Tabletext1"/>
            </w:pPr>
            <w:r w:rsidRPr="006C6208">
              <w:t>No.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FC9CF" w14:textId="77777777" w:rsidR="006C6208" w:rsidRPr="006C6208" w:rsidRDefault="006C6208" w:rsidP="00B27255">
            <w:pPr>
              <w:pStyle w:val="Tabletext1"/>
            </w:pPr>
            <w:r w:rsidRPr="006C6208">
              <w:t>202</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DEFF3" w14:textId="77777777" w:rsidR="006C6208" w:rsidRPr="006C6208" w:rsidRDefault="006C6208" w:rsidP="00B27255">
            <w:pPr>
              <w:pStyle w:val="Tabletext1"/>
            </w:pPr>
            <w:r w:rsidRPr="006C6208">
              <w:t>414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B30BE" w14:textId="77777777" w:rsidR="006C6208" w:rsidRPr="006C6208" w:rsidRDefault="006C6208" w:rsidP="00B27255">
            <w:pPr>
              <w:pStyle w:val="Tabletext1"/>
            </w:pPr>
            <w:r w:rsidRPr="006C6208">
              <w:t>636</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9BF6A" w14:textId="77777777" w:rsidR="006C6208" w:rsidRPr="006C6208" w:rsidRDefault="006C6208" w:rsidP="00B27255">
            <w:pPr>
              <w:pStyle w:val="Tabletext1"/>
            </w:pPr>
            <w:r w:rsidRPr="006C6208">
              <w:t>871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12FE8" w14:textId="77777777" w:rsidR="006C6208" w:rsidRPr="006C6208" w:rsidRDefault="006C6208" w:rsidP="00B27255">
            <w:pPr>
              <w:pStyle w:val="Tabletext1"/>
            </w:pPr>
            <w:r w:rsidRPr="006C6208">
              <w:t>1,117</w:t>
            </w:r>
          </w:p>
        </w:tc>
      </w:tr>
      <w:tr w:rsidR="006C6208" w:rsidRPr="00BC4A30" w14:paraId="1B6A0033" w14:textId="77777777" w:rsidTr="00957F52">
        <w:trPr>
          <w:trHeight w:val="255"/>
        </w:trPr>
        <w:tc>
          <w:tcPr>
            <w:tcW w:w="1356" w:type="pct"/>
            <w:tcBorders>
              <w:top w:val="nil"/>
              <w:left w:val="single" w:sz="4" w:space="0" w:color="auto"/>
              <w:bottom w:val="single" w:sz="4" w:space="0" w:color="auto"/>
            </w:tcBorders>
            <w:shd w:val="clear" w:color="000000" w:fill="D9D9D9"/>
            <w:vAlign w:val="bottom"/>
            <w:hideMark/>
          </w:tcPr>
          <w:p w14:paraId="4F9B4897" w14:textId="77777777" w:rsidR="006C6208" w:rsidRPr="00664E49" w:rsidRDefault="006C6208" w:rsidP="000223D7">
            <w:pPr>
              <w:pStyle w:val="Tabletext1"/>
              <w:rPr>
                <w:b/>
              </w:rPr>
            </w:pPr>
            <w:r w:rsidRPr="00664E49">
              <w:rPr>
                <w:b/>
              </w:rPr>
              <w:t>Procedures by Lesion Grouping</w:t>
            </w:r>
          </w:p>
        </w:tc>
        <w:tc>
          <w:tcPr>
            <w:tcW w:w="452" w:type="pct"/>
            <w:tcBorders>
              <w:top w:val="single" w:sz="4" w:space="0" w:color="auto"/>
              <w:bottom w:val="single" w:sz="4" w:space="0" w:color="auto"/>
            </w:tcBorders>
            <w:shd w:val="clear" w:color="000000" w:fill="D9D9D9"/>
            <w:vAlign w:val="center"/>
          </w:tcPr>
          <w:p w14:paraId="133C9D27" w14:textId="77777777" w:rsidR="006C6208" w:rsidRPr="00664E49" w:rsidRDefault="006C6208" w:rsidP="00B27255">
            <w:pPr>
              <w:pStyle w:val="Tabletext1"/>
              <w:rPr>
                <w:b/>
              </w:rPr>
            </w:pPr>
          </w:p>
        </w:tc>
        <w:tc>
          <w:tcPr>
            <w:tcW w:w="638" w:type="pct"/>
            <w:tcBorders>
              <w:top w:val="single" w:sz="4" w:space="0" w:color="auto"/>
              <w:bottom w:val="single" w:sz="4" w:space="0" w:color="auto"/>
            </w:tcBorders>
            <w:shd w:val="clear" w:color="000000" w:fill="D9D9D9"/>
            <w:vAlign w:val="center"/>
            <w:hideMark/>
          </w:tcPr>
          <w:p w14:paraId="1765A1E9" w14:textId="77777777" w:rsidR="006C6208" w:rsidRPr="00664E49" w:rsidRDefault="006C6208" w:rsidP="00B27255">
            <w:pPr>
              <w:pStyle w:val="Tabletext1"/>
              <w:rPr>
                <w:b/>
              </w:rPr>
            </w:pPr>
          </w:p>
        </w:tc>
        <w:tc>
          <w:tcPr>
            <w:tcW w:w="639" w:type="pct"/>
            <w:tcBorders>
              <w:top w:val="single" w:sz="4" w:space="0" w:color="auto"/>
              <w:bottom w:val="single" w:sz="4" w:space="0" w:color="auto"/>
            </w:tcBorders>
            <w:shd w:val="clear" w:color="000000" w:fill="D9D9D9"/>
            <w:vAlign w:val="center"/>
            <w:hideMark/>
          </w:tcPr>
          <w:p w14:paraId="310118B9" w14:textId="77777777" w:rsidR="006C6208" w:rsidRPr="00664E49" w:rsidRDefault="006C6208" w:rsidP="00B27255">
            <w:pPr>
              <w:pStyle w:val="Tabletext1"/>
              <w:rPr>
                <w:b/>
              </w:rPr>
            </w:pPr>
          </w:p>
        </w:tc>
        <w:tc>
          <w:tcPr>
            <w:tcW w:w="638" w:type="pct"/>
            <w:tcBorders>
              <w:top w:val="single" w:sz="4" w:space="0" w:color="auto"/>
              <w:bottom w:val="single" w:sz="4" w:space="0" w:color="auto"/>
            </w:tcBorders>
            <w:shd w:val="clear" w:color="000000" w:fill="D9D9D9"/>
            <w:vAlign w:val="center"/>
            <w:hideMark/>
          </w:tcPr>
          <w:p w14:paraId="121E4A13" w14:textId="77777777" w:rsidR="006C6208" w:rsidRPr="00664E49" w:rsidRDefault="006C6208" w:rsidP="00B27255">
            <w:pPr>
              <w:pStyle w:val="Tabletext1"/>
              <w:rPr>
                <w:b/>
              </w:rPr>
            </w:pPr>
          </w:p>
        </w:tc>
        <w:tc>
          <w:tcPr>
            <w:tcW w:w="639" w:type="pct"/>
            <w:tcBorders>
              <w:top w:val="single" w:sz="4" w:space="0" w:color="auto"/>
              <w:bottom w:val="single" w:sz="4" w:space="0" w:color="auto"/>
            </w:tcBorders>
            <w:shd w:val="clear" w:color="000000" w:fill="D9D9D9"/>
            <w:vAlign w:val="center"/>
            <w:hideMark/>
          </w:tcPr>
          <w:p w14:paraId="2F0C7EB7" w14:textId="77777777" w:rsidR="006C6208" w:rsidRPr="00664E49" w:rsidRDefault="006C6208" w:rsidP="00B27255">
            <w:pPr>
              <w:pStyle w:val="Tabletext1"/>
              <w:rPr>
                <w:b/>
              </w:rPr>
            </w:pPr>
          </w:p>
        </w:tc>
        <w:tc>
          <w:tcPr>
            <w:tcW w:w="638" w:type="pct"/>
            <w:tcBorders>
              <w:top w:val="single" w:sz="4" w:space="0" w:color="auto"/>
              <w:bottom w:val="single" w:sz="4" w:space="0" w:color="auto"/>
              <w:right w:val="single" w:sz="4" w:space="0" w:color="auto"/>
            </w:tcBorders>
            <w:shd w:val="clear" w:color="000000" w:fill="D9D9D9"/>
            <w:vAlign w:val="center"/>
            <w:hideMark/>
          </w:tcPr>
          <w:p w14:paraId="0D65F4B8" w14:textId="77777777" w:rsidR="006C6208" w:rsidRPr="00664E49" w:rsidRDefault="006C6208" w:rsidP="00B27255">
            <w:pPr>
              <w:pStyle w:val="Tabletext1"/>
              <w:rPr>
                <w:b/>
              </w:rPr>
            </w:pPr>
          </w:p>
        </w:tc>
      </w:tr>
      <w:tr w:rsidR="006C6208" w:rsidRPr="00BC4A30" w14:paraId="37D46EF6" w14:textId="77777777" w:rsidTr="00B27255">
        <w:trPr>
          <w:trHeight w:val="255"/>
        </w:trPr>
        <w:tc>
          <w:tcPr>
            <w:tcW w:w="1356" w:type="pct"/>
            <w:tcBorders>
              <w:top w:val="nil"/>
              <w:left w:val="single" w:sz="4" w:space="0" w:color="auto"/>
              <w:bottom w:val="single" w:sz="4" w:space="0" w:color="auto"/>
              <w:right w:val="single" w:sz="4" w:space="0" w:color="auto"/>
            </w:tcBorders>
            <w:shd w:val="clear" w:color="auto" w:fill="auto"/>
            <w:vAlign w:val="bottom"/>
            <w:hideMark/>
          </w:tcPr>
          <w:p w14:paraId="4C9677B3" w14:textId="33851586" w:rsidR="006C6208" w:rsidRPr="006C6208" w:rsidRDefault="006D0335" w:rsidP="000223D7">
            <w:pPr>
              <w:pStyle w:val="Tabletext1"/>
            </w:pPr>
            <w:r>
              <w:t>1–3</w:t>
            </w:r>
            <w:r w:rsidR="006C6208" w:rsidRPr="006C6208">
              <w:t xml:space="preserve"> total cost per patient (90%)</w:t>
            </w:r>
          </w:p>
        </w:tc>
        <w:tc>
          <w:tcPr>
            <w:tcW w:w="452" w:type="pct"/>
            <w:tcBorders>
              <w:top w:val="single" w:sz="4" w:space="0" w:color="auto"/>
              <w:left w:val="nil"/>
              <w:bottom w:val="single" w:sz="4" w:space="0" w:color="auto"/>
              <w:right w:val="single" w:sz="4" w:space="0" w:color="auto"/>
            </w:tcBorders>
            <w:vAlign w:val="center"/>
          </w:tcPr>
          <w:p w14:paraId="437AD955" w14:textId="77777777" w:rsidR="006C6208" w:rsidRPr="006C6208" w:rsidRDefault="006C6208" w:rsidP="00B27255">
            <w:pPr>
              <w:pStyle w:val="Tabletext1"/>
            </w:pPr>
            <w:r w:rsidRPr="006C6208">
              <w:t>No.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05A68" w14:textId="77777777" w:rsidR="006C6208" w:rsidRPr="006C6208" w:rsidRDefault="006C6208" w:rsidP="00B27255">
            <w:pPr>
              <w:pStyle w:val="Tabletext1"/>
            </w:pPr>
            <w:r w:rsidRPr="006C6208">
              <w:t>181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94164" w14:textId="77777777" w:rsidR="006C6208" w:rsidRPr="006C6208" w:rsidRDefault="006C6208" w:rsidP="00B27255">
            <w:pPr>
              <w:pStyle w:val="Tabletext1"/>
            </w:pPr>
            <w:r w:rsidRPr="006C6208">
              <w:t>372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E6B9A" w14:textId="77777777" w:rsidR="006C6208" w:rsidRPr="006C6208" w:rsidRDefault="006C6208" w:rsidP="00B27255">
            <w:pPr>
              <w:pStyle w:val="Tabletext1"/>
            </w:pPr>
            <w:r w:rsidRPr="006C6208">
              <w:t>573</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2B75A" w14:textId="77777777" w:rsidR="006C6208" w:rsidRPr="006C6208" w:rsidRDefault="006C6208" w:rsidP="00B27255">
            <w:pPr>
              <w:pStyle w:val="Tabletext1"/>
            </w:pPr>
            <w:r w:rsidRPr="006C6208">
              <w:t>784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0F1AE" w14:textId="77777777" w:rsidR="006C6208" w:rsidRPr="006C6208" w:rsidRDefault="006C6208" w:rsidP="00B27255">
            <w:pPr>
              <w:pStyle w:val="Tabletext1"/>
            </w:pPr>
            <w:r w:rsidRPr="006C6208">
              <w:t>1,005</w:t>
            </w:r>
          </w:p>
        </w:tc>
      </w:tr>
      <w:tr w:rsidR="006C6208" w:rsidRPr="00BC4A30" w14:paraId="05E2A72C" w14:textId="77777777" w:rsidTr="00B27255">
        <w:trPr>
          <w:trHeight w:val="255"/>
        </w:trPr>
        <w:tc>
          <w:tcPr>
            <w:tcW w:w="1356" w:type="pct"/>
            <w:tcBorders>
              <w:top w:val="nil"/>
              <w:left w:val="single" w:sz="4" w:space="0" w:color="auto"/>
              <w:bottom w:val="single" w:sz="4" w:space="0" w:color="auto"/>
              <w:right w:val="single" w:sz="4" w:space="0" w:color="auto"/>
            </w:tcBorders>
            <w:shd w:val="clear" w:color="auto" w:fill="auto"/>
            <w:vAlign w:val="bottom"/>
            <w:hideMark/>
          </w:tcPr>
          <w:p w14:paraId="6BB1A988" w14:textId="46B31999" w:rsidR="006C6208" w:rsidRPr="006C6208" w:rsidRDefault="006D0335" w:rsidP="000223D7">
            <w:pPr>
              <w:pStyle w:val="Tabletext1"/>
            </w:pPr>
            <w:r>
              <w:t>3–5</w:t>
            </w:r>
            <w:r w:rsidR="006C6208" w:rsidRPr="006C6208">
              <w:t xml:space="preserve"> lesions total cost per patient (10%)</w:t>
            </w:r>
          </w:p>
        </w:tc>
        <w:tc>
          <w:tcPr>
            <w:tcW w:w="452" w:type="pct"/>
            <w:tcBorders>
              <w:top w:val="single" w:sz="4" w:space="0" w:color="auto"/>
              <w:left w:val="nil"/>
              <w:bottom w:val="single" w:sz="4" w:space="0" w:color="auto"/>
              <w:right w:val="single" w:sz="4" w:space="0" w:color="auto"/>
            </w:tcBorders>
            <w:vAlign w:val="center"/>
          </w:tcPr>
          <w:p w14:paraId="19C1C244" w14:textId="77777777" w:rsidR="006C6208" w:rsidRPr="006C6208" w:rsidRDefault="006C6208" w:rsidP="00B27255">
            <w:pPr>
              <w:pStyle w:val="Tabletext1"/>
            </w:pPr>
            <w:r w:rsidRPr="006C6208">
              <w:t>No.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667EC" w14:textId="77777777" w:rsidR="006C6208" w:rsidRPr="006C6208" w:rsidRDefault="006C6208" w:rsidP="00B27255">
            <w:pPr>
              <w:pStyle w:val="Tabletext1"/>
            </w:pPr>
            <w:r w:rsidRPr="006C6208">
              <w:t>20</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D8B92" w14:textId="77777777" w:rsidR="006C6208" w:rsidRPr="006C6208" w:rsidRDefault="006C6208" w:rsidP="00B27255">
            <w:pPr>
              <w:pStyle w:val="Tabletext1"/>
            </w:pPr>
            <w:r w:rsidRPr="006C6208">
              <w:t>41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03AC6" w14:textId="77777777" w:rsidR="006C6208" w:rsidRPr="006C6208" w:rsidRDefault="006C6208" w:rsidP="00B27255">
            <w:pPr>
              <w:pStyle w:val="Tabletext1"/>
            </w:pPr>
            <w:r w:rsidRPr="006C6208">
              <w:t>64</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BBCDB" w14:textId="77777777" w:rsidR="006C6208" w:rsidRPr="006C6208" w:rsidRDefault="006C6208" w:rsidP="00B27255">
            <w:pPr>
              <w:pStyle w:val="Tabletext1"/>
            </w:pPr>
            <w:r w:rsidRPr="006C6208">
              <w:t>87</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9125F" w14:textId="77777777" w:rsidR="006C6208" w:rsidRPr="006C6208" w:rsidRDefault="006C6208" w:rsidP="00B27255">
            <w:pPr>
              <w:pStyle w:val="Tabletext1"/>
            </w:pPr>
            <w:r w:rsidRPr="006C6208">
              <w:t>112</w:t>
            </w:r>
          </w:p>
        </w:tc>
      </w:tr>
      <w:tr w:rsidR="006C6208" w:rsidRPr="00BC4A30" w14:paraId="272D3CA1" w14:textId="77777777" w:rsidTr="00B27255">
        <w:trPr>
          <w:trHeight w:val="255"/>
        </w:trPr>
        <w:tc>
          <w:tcPr>
            <w:tcW w:w="1356" w:type="pct"/>
            <w:tcBorders>
              <w:top w:val="nil"/>
              <w:left w:val="single" w:sz="4" w:space="0" w:color="auto"/>
              <w:bottom w:val="single" w:sz="4" w:space="0" w:color="auto"/>
              <w:right w:val="single" w:sz="4" w:space="0" w:color="auto"/>
            </w:tcBorders>
            <w:shd w:val="clear" w:color="auto" w:fill="auto"/>
            <w:vAlign w:val="bottom"/>
            <w:hideMark/>
          </w:tcPr>
          <w:p w14:paraId="63340299" w14:textId="3AD8BA32" w:rsidR="006C6208" w:rsidRPr="006C6208" w:rsidRDefault="006D0335" w:rsidP="000223D7">
            <w:pPr>
              <w:pStyle w:val="Tabletext1"/>
            </w:pPr>
            <w:r>
              <w:t>&gt;5</w:t>
            </w:r>
            <w:r w:rsidR="006C6208" w:rsidRPr="006C6208">
              <w:t xml:space="preserve"> lesions total cost per patient (0%)</w:t>
            </w:r>
          </w:p>
        </w:tc>
        <w:tc>
          <w:tcPr>
            <w:tcW w:w="452" w:type="pct"/>
            <w:tcBorders>
              <w:top w:val="single" w:sz="4" w:space="0" w:color="auto"/>
              <w:left w:val="nil"/>
              <w:bottom w:val="single" w:sz="4" w:space="0" w:color="auto"/>
              <w:right w:val="single" w:sz="4" w:space="0" w:color="auto"/>
            </w:tcBorders>
            <w:vAlign w:val="center"/>
          </w:tcPr>
          <w:p w14:paraId="5D548996" w14:textId="77777777" w:rsidR="006C6208" w:rsidRPr="006C6208" w:rsidRDefault="006C6208" w:rsidP="00B27255">
            <w:pPr>
              <w:pStyle w:val="Tabletext1"/>
            </w:pPr>
            <w:r w:rsidRPr="006C6208">
              <w:t>No.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F2FD0" w14:textId="77777777" w:rsidR="006C6208" w:rsidRPr="006C6208" w:rsidRDefault="006C6208" w:rsidP="00B27255">
            <w:pPr>
              <w:pStyle w:val="Tabletext1"/>
            </w:pPr>
            <w:r w:rsidRPr="006C6208">
              <w:t>0</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9FCC1" w14:textId="77777777" w:rsidR="006C6208" w:rsidRPr="006C6208" w:rsidRDefault="006C6208" w:rsidP="00B27255">
            <w:pPr>
              <w:pStyle w:val="Tabletext1"/>
            </w:pPr>
            <w:r w:rsidRPr="006C6208">
              <w:t>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248CF" w14:textId="77777777" w:rsidR="006C6208" w:rsidRPr="006C6208" w:rsidRDefault="006C6208" w:rsidP="00B27255">
            <w:pPr>
              <w:pStyle w:val="Tabletext1"/>
            </w:pPr>
            <w:r w:rsidRPr="006C6208">
              <w:t>0</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01F18" w14:textId="77777777" w:rsidR="006C6208" w:rsidRPr="006C6208" w:rsidRDefault="006C6208" w:rsidP="00B27255">
            <w:pPr>
              <w:pStyle w:val="Tabletext1"/>
            </w:pPr>
            <w:r w:rsidRPr="006C6208">
              <w:t>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592CB" w14:textId="77777777" w:rsidR="006C6208" w:rsidRPr="006C6208" w:rsidRDefault="006C6208" w:rsidP="00B27255">
            <w:pPr>
              <w:pStyle w:val="Tabletext1"/>
            </w:pPr>
            <w:r w:rsidRPr="006C6208">
              <w:t>0</w:t>
            </w:r>
          </w:p>
        </w:tc>
      </w:tr>
      <w:tr w:rsidR="006C6208" w:rsidRPr="00BC4A30" w14:paraId="0E0746EA" w14:textId="77777777" w:rsidTr="00957F52">
        <w:trPr>
          <w:trHeight w:val="255"/>
        </w:trPr>
        <w:tc>
          <w:tcPr>
            <w:tcW w:w="1356" w:type="pct"/>
            <w:tcBorders>
              <w:top w:val="nil"/>
              <w:left w:val="single" w:sz="4" w:space="0" w:color="auto"/>
              <w:bottom w:val="single" w:sz="4" w:space="0" w:color="auto"/>
              <w:right w:val="single" w:sz="4" w:space="0" w:color="auto"/>
            </w:tcBorders>
            <w:shd w:val="clear" w:color="auto" w:fill="auto"/>
            <w:vAlign w:val="bottom"/>
            <w:hideMark/>
          </w:tcPr>
          <w:p w14:paraId="0D7BBFE3" w14:textId="77777777" w:rsidR="006C6208" w:rsidRPr="00B443FC" w:rsidRDefault="006C6208" w:rsidP="000223D7">
            <w:pPr>
              <w:pStyle w:val="Tabletext1"/>
              <w:rPr>
                <w:b/>
              </w:rPr>
            </w:pPr>
            <w:r w:rsidRPr="00B443FC">
              <w:rPr>
                <w:b/>
              </w:rPr>
              <w:t>Total</w:t>
            </w:r>
          </w:p>
        </w:tc>
        <w:tc>
          <w:tcPr>
            <w:tcW w:w="452" w:type="pct"/>
            <w:tcBorders>
              <w:top w:val="single" w:sz="4" w:space="0" w:color="auto"/>
              <w:left w:val="nil"/>
              <w:bottom w:val="single" w:sz="4" w:space="0" w:color="auto"/>
              <w:right w:val="single" w:sz="4" w:space="0" w:color="auto"/>
            </w:tcBorders>
            <w:vAlign w:val="center"/>
          </w:tcPr>
          <w:p w14:paraId="5F7D214F" w14:textId="77777777" w:rsidR="006C6208" w:rsidRPr="00B443FC" w:rsidRDefault="006C6208" w:rsidP="00B27255">
            <w:pPr>
              <w:pStyle w:val="Tabletext1"/>
              <w:rPr>
                <w:b/>
              </w:rPr>
            </w:pPr>
            <w:r w:rsidRPr="00B443FC">
              <w:rPr>
                <w:b/>
              </w:rPr>
              <w:t>No.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3B63A" w14:textId="77777777" w:rsidR="006C6208" w:rsidRPr="00B443FC" w:rsidRDefault="006C6208" w:rsidP="00B27255">
            <w:pPr>
              <w:pStyle w:val="Tabletext1"/>
              <w:rPr>
                <w:b/>
              </w:rPr>
            </w:pPr>
            <w:r w:rsidRPr="00B443FC">
              <w:rPr>
                <w:b/>
              </w:rPr>
              <w:t>202</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2C9CE" w14:textId="77777777" w:rsidR="006C6208" w:rsidRPr="00B443FC" w:rsidRDefault="006C6208" w:rsidP="00B27255">
            <w:pPr>
              <w:pStyle w:val="Tabletext1"/>
              <w:rPr>
                <w:b/>
              </w:rPr>
            </w:pPr>
            <w:r w:rsidRPr="00B443FC">
              <w:rPr>
                <w:b/>
              </w:rPr>
              <w:t>414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4AB8C" w14:textId="77777777" w:rsidR="006C6208" w:rsidRPr="00B443FC" w:rsidRDefault="006C6208" w:rsidP="00B27255">
            <w:pPr>
              <w:pStyle w:val="Tabletext1"/>
              <w:rPr>
                <w:b/>
              </w:rPr>
            </w:pPr>
            <w:r w:rsidRPr="00B443FC">
              <w:rPr>
                <w:b/>
              </w:rPr>
              <w:t>636</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5C6D2" w14:textId="77777777" w:rsidR="006C6208" w:rsidRPr="00B443FC" w:rsidRDefault="006C6208" w:rsidP="00B27255">
            <w:pPr>
              <w:pStyle w:val="Tabletext1"/>
              <w:rPr>
                <w:b/>
              </w:rPr>
            </w:pPr>
            <w:r w:rsidRPr="00B443FC">
              <w:rPr>
                <w:b/>
              </w:rPr>
              <w:t>871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9192B" w14:textId="77777777" w:rsidR="006C6208" w:rsidRPr="00B443FC" w:rsidRDefault="006C6208" w:rsidP="00B27255">
            <w:pPr>
              <w:pStyle w:val="Tabletext1"/>
              <w:rPr>
                <w:b/>
              </w:rPr>
            </w:pPr>
            <w:r w:rsidRPr="00B443FC">
              <w:rPr>
                <w:b/>
              </w:rPr>
              <w:t>1,117</w:t>
            </w:r>
          </w:p>
        </w:tc>
      </w:tr>
      <w:tr w:rsidR="006C6208" w:rsidRPr="00BC4A30" w14:paraId="5959E593" w14:textId="77777777" w:rsidTr="00957F52">
        <w:trPr>
          <w:trHeight w:val="255"/>
        </w:trPr>
        <w:tc>
          <w:tcPr>
            <w:tcW w:w="1356" w:type="pct"/>
            <w:tcBorders>
              <w:top w:val="nil"/>
              <w:left w:val="single" w:sz="4" w:space="0" w:color="auto"/>
              <w:bottom w:val="single" w:sz="4" w:space="0" w:color="auto"/>
            </w:tcBorders>
            <w:shd w:val="clear" w:color="000000" w:fill="D9D9D9"/>
            <w:vAlign w:val="bottom"/>
            <w:hideMark/>
          </w:tcPr>
          <w:p w14:paraId="48382CA4" w14:textId="77777777" w:rsidR="006C6208" w:rsidRPr="00664E49" w:rsidRDefault="006C6208" w:rsidP="000223D7">
            <w:pPr>
              <w:pStyle w:val="Tabletext1"/>
              <w:rPr>
                <w:b/>
              </w:rPr>
            </w:pPr>
            <w:r w:rsidRPr="00664E49">
              <w:rPr>
                <w:b/>
              </w:rPr>
              <w:t>MTA MBS Costs by Lesion Grouping</w:t>
            </w:r>
          </w:p>
        </w:tc>
        <w:tc>
          <w:tcPr>
            <w:tcW w:w="452" w:type="pct"/>
            <w:tcBorders>
              <w:top w:val="single" w:sz="4" w:space="0" w:color="auto"/>
              <w:bottom w:val="single" w:sz="4" w:space="0" w:color="auto"/>
            </w:tcBorders>
            <w:shd w:val="clear" w:color="000000" w:fill="D9D9D9"/>
            <w:vAlign w:val="center"/>
          </w:tcPr>
          <w:p w14:paraId="2E155ACF" w14:textId="77777777" w:rsidR="006C6208" w:rsidRPr="00664E49" w:rsidRDefault="006C6208" w:rsidP="00B27255">
            <w:pPr>
              <w:pStyle w:val="Tabletext1"/>
              <w:rPr>
                <w:b/>
              </w:rPr>
            </w:pPr>
          </w:p>
        </w:tc>
        <w:tc>
          <w:tcPr>
            <w:tcW w:w="638" w:type="pct"/>
            <w:tcBorders>
              <w:top w:val="single" w:sz="4" w:space="0" w:color="auto"/>
              <w:bottom w:val="single" w:sz="4" w:space="0" w:color="auto"/>
            </w:tcBorders>
            <w:shd w:val="clear" w:color="000000" w:fill="D9D9D9"/>
            <w:vAlign w:val="center"/>
            <w:hideMark/>
          </w:tcPr>
          <w:p w14:paraId="044978C4" w14:textId="77777777" w:rsidR="006C6208" w:rsidRPr="00664E49" w:rsidRDefault="006C6208" w:rsidP="00B27255">
            <w:pPr>
              <w:pStyle w:val="Tabletext1"/>
              <w:rPr>
                <w:b/>
              </w:rPr>
            </w:pPr>
          </w:p>
        </w:tc>
        <w:tc>
          <w:tcPr>
            <w:tcW w:w="639" w:type="pct"/>
            <w:tcBorders>
              <w:top w:val="single" w:sz="4" w:space="0" w:color="auto"/>
              <w:bottom w:val="single" w:sz="4" w:space="0" w:color="auto"/>
            </w:tcBorders>
            <w:shd w:val="clear" w:color="000000" w:fill="D9D9D9"/>
            <w:vAlign w:val="center"/>
            <w:hideMark/>
          </w:tcPr>
          <w:p w14:paraId="11AAA836" w14:textId="77777777" w:rsidR="006C6208" w:rsidRPr="00664E49" w:rsidRDefault="006C6208" w:rsidP="00B27255">
            <w:pPr>
              <w:pStyle w:val="Tabletext1"/>
              <w:rPr>
                <w:b/>
              </w:rPr>
            </w:pPr>
          </w:p>
        </w:tc>
        <w:tc>
          <w:tcPr>
            <w:tcW w:w="638" w:type="pct"/>
            <w:tcBorders>
              <w:top w:val="single" w:sz="4" w:space="0" w:color="auto"/>
              <w:bottom w:val="single" w:sz="4" w:space="0" w:color="auto"/>
            </w:tcBorders>
            <w:shd w:val="clear" w:color="000000" w:fill="D9D9D9"/>
            <w:vAlign w:val="center"/>
            <w:hideMark/>
          </w:tcPr>
          <w:p w14:paraId="5B03CB26" w14:textId="77777777" w:rsidR="006C6208" w:rsidRPr="00664E49" w:rsidRDefault="006C6208" w:rsidP="00B27255">
            <w:pPr>
              <w:pStyle w:val="Tabletext1"/>
              <w:rPr>
                <w:b/>
              </w:rPr>
            </w:pPr>
          </w:p>
        </w:tc>
        <w:tc>
          <w:tcPr>
            <w:tcW w:w="639" w:type="pct"/>
            <w:tcBorders>
              <w:top w:val="single" w:sz="4" w:space="0" w:color="auto"/>
              <w:bottom w:val="single" w:sz="4" w:space="0" w:color="auto"/>
            </w:tcBorders>
            <w:shd w:val="clear" w:color="000000" w:fill="D9D9D9"/>
            <w:vAlign w:val="center"/>
            <w:hideMark/>
          </w:tcPr>
          <w:p w14:paraId="3B955F1A" w14:textId="77777777" w:rsidR="006C6208" w:rsidRPr="00664E49" w:rsidRDefault="006C6208" w:rsidP="00B27255">
            <w:pPr>
              <w:pStyle w:val="Tabletext1"/>
              <w:rPr>
                <w:b/>
              </w:rPr>
            </w:pPr>
          </w:p>
        </w:tc>
        <w:tc>
          <w:tcPr>
            <w:tcW w:w="638" w:type="pct"/>
            <w:tcBorders>
              <w:top w:val="single" w:sz="4" w:space="0" w:color="auto"/>
              <w:bottom w:val="single" w:sz="4" w:space="0" w:color="auto"/>
              <w:right w:val="single" w:sz="4" w:space="0" w:color="auto"/>
            </w:tcBorders>
            <w:shd w:val="clear" w:color="000000" w:fill="D9D9D9"/>
            <w:vAlign w:val="center"/>
            <w:hideMark/>
          </w:tcPr>
          <w:p w14:paraId="6C6E2A4E" w14:textId="77777777" w:rsidR="006C6208" w:rsidRPr="00664E49" w:rsidRDefault="006C6208" w:rsidP="00B27255">
            <w:pPr>
              <w:pStyle w:val="Tabletext1"/>
              <w:rPr>
                <w:b/>
              </w:rPr>
            </w:pPr>
          </w:p>
        </w:tc>
      </w:tr>
      <w:tr w:rsidR="006C6208" w:rsidRPr="00BC4A30" w14:paraId="2B92CC09" w14:textId="77777777" w:rsidTr="00B27255">
        <w:trPr>
          <w:trHeight w:val="64"/>
        </w:trPr>
        <w:tc>
          <w:tcPr>
            <w:tcW w:w="1356" w:type="pct"/>
            <w:tcBorders>
              <w:top w:val="nil"/>
              <w:left w:val="single" w:sz="4" w:space="0" w:color="auto"/>
              <w:bottom w:val="single" w:sz="4" w:space="0" w:color="auto"/>
              <w:right w:val="single" w:sz="4" w:space="0" w:color="auto"/>
            </w:tcBorders>
            <w:shd w:val="clear" w:color="auto" w:fill="auto"/>
            <w:vAlign w:val="bottom"/>
            <w:hideMark/>
          </w:tcPr>
          <w:p w14:paraId="68C92053" w14:textId="09373A32" w:rsidR="006C6208" w:rsidRPr="006C6208" w:rsidRDefault="006D0335" w:rsidP="000223D7">
            <w:pPr>
              <w:pStyle w:val="Tabletext1"/>
            </w:pPr>
            <w:r>
              <w:t>1–3</w:t>
            </w:r>
            <w:r w:rsidR="006C6208" w:rsidRPr="006C6208">
              <w:t xml:space="preserve"> lesions total cost per patient (90%)</w:t>
            </w:r>
          </w:p>
        </w:tc>
        <w:tc>
          <w:tcPr>
            <w:tcW w:w="452" w:type="pct"/>
            <w:tcBorders>
              <w:top w:val="single" w:sz="4" w:space="0" w:color="auto"/>
              <w:left w:val="nil"/>
              <w:bottom w:val="single" w:sz="4" w:space="0" w:color="auto"/>
              <w:right w:val="single" w:sz="4" w:space="0" w:color="auto"/>
            </w:tcBorders>
            <w:vAlign w:val="center"/>
          </w:tcPr>
          <w:p w14:paraId="06EA0DE3" w14:textId="77777777" w:rsidR="006C6208" w:rsidRPr="006C6208" w:rsidRDefault="006C6208" w:rsidP="00B27255">
            <w:pPr>
              <w:pStyle w:val="Tabletext1"/>
            </w:pPr>
            <w:r w:rsidRPr="006C6208">
              <w:t>$</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368FF" w14:textId="77777777" w:rsidR="006C6208" w:rsidRPr="006C6208" w:rsidRDefault="006C6208" w:rsidP="00B27255">
            <w:pPr>
              <w:pStyle w:val="Tabletext1"/>
            </w:pPr>
            <w:r w:rsidRPr="006C6208">
              <w:t>549,161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FECEE" w14:textId="77777777" w:rsidR="006C6208" w:rsidRPr="006C6208" w:rsidRDefault="006C6208" w:rsidP="00B27255">
            <w:pPr>
              <w:pStyle w:val="Tabletext1"/>
            </w:pPr>
            <w:r w:rsidRPr="006C6208">
              <w:t>1,126,565</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14EB0" w14:textId="77777777" w:rsidR="006C6208" w:rsidRPr="006C6208" w:rsidRDefault="006C6208" w:rsidP="00B27255">
            <w:pPr>
              <w:pStyle w:val="Tabletext1"/>
            </w:pPr>
            <w:r w:rsidRPr="006C6208">
              <w:t>1,733,634</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482D0" w14:textId="77777777" w:rsidR="006C6208" w:rsidRPr="006C6208" w:rsidRDefault="006C6208" w:rsidP="00B27255">
            <w:pPr>
              <w:pStyle w:val="Tabletext1"/>
            </w:pPr>
            <w:r w:rsidRPr="006C6208">
              <w:t>2,371,868</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B4D57" w14:textId="77777777" w:rsidR="006C6208" w:rsidRPr="006C6208" w:rsidRDefault="006C6208" w:rsidP="00B27255">
            <w:pPr>
              <w:pStyle w:val="Tabletext1"/>
            </w:pPr>
            <w:r w:rsidRPr="006C6208">
              <w:t>3,042,840</w:t>
            </w:r>
          </w:p>
        </w:tc>
      </w:tr>
      <w:tr w:rsidR="006C6208" w:rsidRPr="00BC4A30" w14:paraId="59910265" w14:textId="77777777" w:rsidTr="00B27255">
        <w:trPr>
          <w:trHeight w:val="255"/>
        </w:trPr>
        <w:tc>
          <w:tcPr>
            <w:tcW w:w="1356" w:type="pct"/>
            <w:tcBorders>
              <w:top w:val="nil"/>
              <w:left w:val="single" w:sz="4" w:space="0" w:color="auto"/>
              <w:bottom w:val="single" w:sz="4" w:space="0" w:color="auto"/>
              <w:right w:val="single" w:sz="4" w:space="0" w:color="auto"/>
            </w:tcBorders>
            <w:shd w:val="clear" w:color="auto" w:fill="auto"/>
            <w:vAlign w:val="bottom"/>
            <w:hideMark/>
          </w:tcPr>
          <w:p w14:paraId="39AA4F69" w14:textId="62791521" w:rsidR="006C6208" w:rsidRPr="006C6208" w:rsidRDefault="006D0335" w:rsidP="000223D7">
            <w:pPr>
              <w:pStyle w:val="Tabletext1"/>
            </w:pPr>
            <w:r>
              <w:t>3–5</w:t>
            </w:r>
            <w:r w:rsidR="006C6208" w:rsidRPr="006C6208">
              <w:t xml:space="preserve"> lesions total cost per patient (10%)</w:t>
            </w:r>
          </w:p>
        </w:tc>
        <w:tc>
          <w:tcPr>
            <w:tcW w:w="452" w:type="pct"/>
            <w:tcBorders>
              <w:top w:val="single" w:sz="4" w:space="0" w:color="auto"/>
              <w:left w:val="nil"/>
              <w:bottom w:val="single" w:sz="4" w:space="0" w:color="auto"/>
              <w:right w:val="single" w:sz="4" w:space="0" w:color="auto"/>
            </w:tcBorders>
            <w:vAlign w:val="center"/>
          </w:tcPr>
          <w:p w14:paraId="55B53653" w14:textId="77777777" w:rsidR="006C6208" w:rsidRPr="006C6208" w:rsidRDefault="006C6208" w:rsidP="00B27255">
            <w:pPr>
              <w:pStyle w:val="Tabletext1"/>
            </w:pPr>
            <w:r w:rsidRPr="006C6208">
              <w:t>$</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1FD6C" w14:textId="77777777" w:rsidR="006C6208" w:rsidRPr="006C6208" w:rsidRDefault="006C6208" w:rsidP="00B27255">
            <w:pPr>
              <w:pStyle w:val="Tabletext1"/>
            </w:pPr>
            <w:r w:rsidRPr="006C6208">
              <w:t>65,554</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3E7F6" w14:textId="77777777" w:rsidR="006C6208" w:rsidRPr="006C6208" w:rsidRDefault="006C6208" w:rsidP="00B27255">
            <w:pPr>
              <w:pStyle w:val="Tabletext1"/>
            </w:pPr>
            <w:r w:rsidRPr="006C6208">
              <w:t>134,480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68608" w14:textId="77777777" w:rsidR="006C6208" w:rsidRPr="006C6208" w:rsidRDefault="006C6208" w:rsidP="00B27255">
            <w:pPr>
              <w:pStyle w:val="Tabletext1"/>
            </w:pPr>
            <w:r w:rsidRPr="006C6208">
              <w:t>206,946</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0CD8D" w14:textId="77777777" w:rsidR="006C6208" w:rsidRPr="006C6208" w:rsidRDefault="006C6208" w:rsidP="00B27255">
            <w:pPr>
              <w:pStyle w:val="Tabletext1"/>
            </w:pPr>
            <w:r w:rsidRPr="006C6208">
              <w:t>283,133</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A829A" w14:textId="77777777" w:rsidR="006C6208" w:rsidRPr="006C6208" w:rsidRDefault="006C6208" w:rsidP="00B27255">
            <w:pPr>
              <w:pStyle w:val="Tabletext1"/>
            </w:pPr>
            <w:r w:rsidRPr="006C6208">
              <w:t>363,228</w:t>
            </w:r>
          </w:p>
        </w:tc>
      </w:tr>
      <w:tr w:rsidR="006C6208" w:rsidRPr="00BC4A30" w14:paraId="71544C16" w14:textId="77777777" w:rsidTr="00B27255">
        <w:trPr>
          <w:trHeight w:val="255"/>
        </w:trPr>
        <w:tc>
          <w:tcPr>
            <w:tcW w:w="1356" w:type="pct"/>
            <w:tcBorders>
              <w:top w:val="nil"/>
              <w:left w:val="single" w:sz="4" w:space="0" w:color="auto"/>
              <w:bottom w:val="single" w:sz="4" w:space="0" w:color="auto"/>
              <w:right w:val="single" w:sz="4" w:space="0" w:color="auto"/>
            </w:tcBorders>
            <w:shd w:val="clear" w:color="auto" w:fill="auto"/>
            <w:vAlign w:val="bottom"/>
            <w:hideMark/>
          </w:tcPr>
          <w:p w14:paraId="2B15BC3A" w14:textId="330478CB" w:rsidR="006C6208" w:rsidRPr="006C6208" w:rsidRDefault="006D0335" w:rsidP="000223D7">
            <w:pPr>
              <w:pStyle w:val="Tabletext1"/>
            </w:pPr>
            <w:r>
              <w:t>&gt;5</w:t>
            </w:r>
            <w:r w:rsidR="006C6208" w:rsidRPr="006C6208">
              <w:t xml:space="preserve"> lesions total cost per patient (0%)</w:t>
            </w:r>
          </w:p>
        </w:tc>
        <w:tc>
          <w:tcPr>
            <w:tcW w:w="452" w:type="pct"/>
            <w:tcBorders>
              <w:top w:val="single" w:sz="4" w:space="0" w:color="auto"/>
              <w:left w:val="nil"/>
              <w:bottom w:val="single" w:sz="4" w:space="0" w:color="auto"/>
              <w:right w:val="single" w:sz="4" w:space="0" w:color="auto"/>
            </w:tcBorders>
            <w:vAlign w:val="center"/>
          </w:tcPr>
          <w:p w14:paraId="7BE2C73F" w14:textId="77777777" w:rsidR="006C6208" w:rsidRPr="006C6208" w:rsidRDefault="006C6208" w:rsidP="00B27255">
            <w:pPr>
              <w:pStyle w:val="Tabletext1"/>
            </w:pPr>
            <w:r w:rsidRPr="006C6208">
              <w:t>$</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2B558" w14:textId="77777777" w:rsidR="006C6208" w:rsidRPr="006C6208" w:rsidRDefault="006C6208" w:rsidP="00B27255">
            <w:pPr>
              <w:pStyle w:val="Tabletext1"/>
            </w:pPr>
            <w:r w:rsidRPr="006C6208">
              <w:t>0</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3DBBD" w14:textId="77777777" w:rsidR="006C6208" w:rsidRPr="006C6208" w:rsidRDefault="006C6208" w:rsidP="00B27255">
            <w:pPr>
              <w:pStyle w:val="Tabletext1"/>
            </w:pPr>
            <w:r w:rsidRPr="006C6208">
              <w:t>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1DBA4" w14:textId="77777777" w:rsidR="006C6208" w:rsidRPr="006C6208" w:rsidRDefault="006C6208" w:rsidP="00B27255">
            <w:pPr>
              <w:pStyle w:val="Tabletext1"/>
            </w:pPr>
            <w:r w:rsidRPr="006C6208">
              <w:t>0</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417B1" w14:textId="77777777" w:rsidR="006C6208" w:rsidRPr="006C6208" w:rsidRDefault="006C6208" w:rsidP="00B27255">
            <w:pPr>
              <w:pStyle w:val="Tabletext1"/>
            </w:pPr>
            <w:r w:rsidRPr="006C6208">
              <w:t>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DB778" w14:textId="77777777" w:rsidR="006C6208" w:rsidRPr="006C6208" w:rsidRDefault="006C6208" w:rsidP="00B27255">
            <w:pPr>
              <w:pStyle w:val="Tabletext1"/>
            </w:pPr>
            <w:r w:rsidRPr="006C6208">
              <w:t>0</w:t>
            </w:r>
          </w:p>
        </w:tc>
      </w:tr>
      <w:tr w:rsidR="006C6208" w:rsidRPr="00BC4A30" w14:paraId="3A79F1F6" w14:textId="77777777" w:rsidTr="00B443FC">
        <w:trPr>
          <w:trHeight w:val="255"/>
        </w:trPr>
        <w:tc>
          <w:tcPr>
            <w:tcW w:w="1356" w:type="pct"/>
            <w:tcBorders>
              <w:top w:val="nil"/>
              <w:left w:val="single" w:sz="4" w:space="0" w:color="auto"/>
              <w:bottom w:val="single" w:sz="4" w:space="0" w:color="auto"/>
              <w:right w:val="single" w:sz="4" w:space="0" w:color="auto"/>
            </w:tcBorders>
            <w:shd w:val="clear" w:color="auto" w:fill="auto"/>
            <w:vAlign w:val="bottom"/>
            <w:hideMark/>
          </w:tcPr>
          <w:p w14:paraId="49F7CB7F" w14:textId="77777777" w:rsidR="006C6208" w:rsidRPr="00682CD7" w:rsidRDefault="006C6208" w:rsidP="000223D7">
            <w:pPr>
              <w:pStyle w:val="Tabletext1"/>
              <w:rPr>
                <w:b/>
              </w:rPr>
            </w:pPr>
            <w:r w:rsidRPr="00682CD7">
              <w:rPr>
                <w:b/>
              </w:rPr>
              <w:t>Total</w:t>
            </w:r>
          </w:p>
        </w:tc>
        <w:tc>
          <w:tcPr>
            <w:tcW w:w="452" w:type="pct"/>
            <w:tcBorders>
              <w:top w:val="single" w:sz="4" w:space="0" w:color="auto"/>
              <w:left w:val="nil"/>
              <w:bottom w:val="single" w:sz="4" w:space="0" w:color="auto"/>
              <w:right w:val="single" w:sz="4" w:space="0" w:color="auto"/>
            </w:tcBorders>
            <w:shd w:val="clear" w:color="auto" w:fill="auto"/>
            <w:vAlign w:val="bottom"/>
          </w:tcPr>
          <w:p w14:paraId="4246A95E" w14:textId="77777777" w:rsidR="006C6208" w:rsidRPr="00682CD7" w:rsidRDefault="006C6208" w:rsidP="000223D7">
            <w:pPr>
              <w:pStyle w:val="Tabletext1"/>
              <w:rPr>
                <w:b/>
              </w:rPr>
            </w:pPr>
            <w:r w:rsidRPr="00682CD7">
              <w:rPr>
                <w:b/>
              </w:rPr>
              <w:t>$</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DC5A02" w14:textId="77777777" w:rsidR="006C6208" w:rsidRPr="00682CD7" w:rsidRDefault="006C6208" w:rsidP="000223D7">
            <w:pPr>
              <w:pStyle w:val="Tabletext1"/>
              <w:rPr>
                <w:b/>
              </w:rPr>
            </w:pPr>
            <w:r w:rsidRPr="00682CD7">
              <w:rPr>
                <w:b/>
              </w:rPr>
              <w:t>614,715</w:t>
            </w:r>
          </w:p>
        </w:tc>
        <w:tc>
          <w:tcPr>
            <w:tcW w:w="63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75D6EB" w14:textId="77777777" w:rsidR="006C6208" w:rsidRPr="00682CD7" w:rsidRDefault="006C6208" w:rsidP="000223D7">
            <w:pPr>
              <w:pStyle w:val="Tabletext1"/>
              <w:rPr>
                <w:b/>
              </w:rPr>
            </w:pPr>
            <w:r w:rsidRPr="00682CD7">
              <w:rPr>
                <w:b/>
              </w:rPr>
              <w:t>1,261,044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C2C732" w14:textId="77777777" w:rsidR="006C6208" w:rsidRPr="00682CD7" w:rsidRDefault="006C6208" w:rsidP="000223D7">
            <w:pPr>
              <w:pStyle w:val="Tabletext1"/>
              <w:rPr>
                <w:b/>
              </w:rPr>
            </w:pPr>
            <w:r w:rsidRPr="00682CD7">
              <w:rPr>
                <w:b/>
              </w:rPr>
              <w:t>1,940,581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608A21" w14:textId="77777777" w:rsidR="006C6208" w:rsidRPr="00682CD7" w:rsidRDefault="006C6208" w:rsidP="000223D7">
            <w:pPr>
              <w:pStyle w:val="Tabletext1"/>
              <w:rPr>
                <w:b/>
              </w:rPr>
            </w:pPr>
            <w:r w:rsidRPr="00682CD7">
              <w:rPr>
                <w:b/>
              </w:rPr>
              <w:t>2,655,001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9FD9F9" w14:textId="77777777" w:rsidR="006C6208" w:rsidRPr="00682CD7" w:rsidRDefault="006C6208" w:rsidP="000223D7">
            <w:pPr>
              <w:pStyle w:val="Tabletext1"/>
              <w:rPr>
                <w:b/>
              </w:rPr>
            </w:pPr>
            <w:r w:rsidRPr="00682CD7">
              <w:rPr>
                <w:b/>
              </w:rPr>
              <w:t>3,406,068</w:t>
            </w:r>
          </w:p>
        </w:tc>
      </w:tr>
    </w:tbl>
    <w:p w14:paraId="73442F4C" w14:textId="317F11F8" w:rsidR="00611702" w:rsidRPr="00BC4A30" w:rsidRDefault="00291E16" w:rsidP="00291E16">
      <w:pPr>
        <w:pStyle w:val="Tablenotes0"/>
        <w:rPr>
          <w:noProof/>
        </w:rPr>
      </w:pPr>
      <w:r>
        <w:rPr>
          <w:noProof/>
        </w:rPr>
        <w:t>&lt;</w:t>
      </w:r>
      <w:r w:rsidR="00A405EC" w:rsidRPr="00BC4A30">
        <w:rPr>
          <w:noProof/>
        </w:rPr>
        <w:t>MTA=</w:t>
      </w:r>
      <w:r w:rsidR="00611702" w:rsidRPr="00BC4A30">
        <w:rPr>
          <w:noProof/>
        </w:rPr>
        <w:t xml:space="preserve"> microwave tissue ablation for primary</w:t>
      </w:r>
      <w:r w:rsidR="00A405EC" w:rsidRPr="00BC4A30">
        <w:rPr>
          <w:noProof/>
        </w:rPr>
        <w:t xml:space="preserve"> and secondary lung cancer; MBS=</w:t>
      </w:r>
      <w:r w:rsidR="00611702" w:rsidRPr="00BC4A30">
        <w:rPr>
          <w:noProof/>
        </w:rPr>
        <w:t xml:space="preserve"> Medicare benefits schedule</w:t>
      </w:r>
      <w:r w:rsidR="00682CD7">
        <w:rPr>
          <w:noProof/>
        </w:rPr>
        <w:t xml:space="preserve"> </w:t>
      </w:r>
      <w:r>
        <w:rPr>
          <w:noProof/>
        </w:rPr>
        <w:t>&gt;</w:t>
      </w:r>
    </w:p>
    <w:p w14:paraId="7A96D410" w14:textId="77777777" w:rsidR="003C431B" w:rsidRPr="00BC4A30" w:rsidRDefault="00C550C1" w:rsidP="00664E49">
      <w:pPr>
        <w:pStyle w:val="Heading2"/>
        <w:numPr>
          <w:ilvl w:val="4"/>
          <w:numId w:val="9"/>
        </w:numPr>
        <w:ind w:left="567" w:hanging="567"/>
      </w:pPr>
      <w:bookmarkStart w:id="449" w:name="_Toc379118302"/>
      <w:bookmarkStart w:id="450" w:name="_Toc381796485"/>
      <w:bookmarkStart w:id="451" w:name="_Toc460396092"/>
      <w:r w:rsidRPr="00BC4A30">
        <w:lastRenderedPageBreak/>
        <w:t>Financial I</w:t>
      </w:r>
      <w:r w:rsidR="003C431B" w:rsidRPr="00BC4A30">
        <w:t>mplications</w:t>
      </w:r>
      <w:r w:rsidR="00991ED7" w:rsidRPr="00BC4A30">
        <w:t xml:space="preserve"> for</w:t>
      </w:r>
      <w:r w:rsidR="003C431B" w:rsidRPr="00BC4A30">
        <w:t xml:space="preserve"> the MBS</w:t>
      </w:r>
      <w:bookmarkEnd w:id="449"/>
      <w:bookmarkEnd w:id="450"/>
      <w:bookmarkEnd w:id="451"/>
      <w:r w:rsidR="003C431B" w:rsidRPr="00BC4A30">
        <w:t xml:space="preserve"> </w:t>
      </w:r>
    </w:p>
    <w:p w14:paraId="07526FF0" w14:textId="1B9C486B" w:rsidR="00611702" w:rsidRPr="00BC4A30" w:rsidRDefault="00611702" w:rsidP="00611702">
      <w:r w:rsidRPr="00BC4A30">
        <w:t xml:space="preserve">The applicant has advised that MTA is currently used in both the public and private settings as a substitute for RFA; however, there is no current </w:t>
      </w:r>
      <w:r w:rsidR="00067F63" w:rsidRPr="00BC4A30">
        <w:t>MBS</w:t>
      </w:r>
      <w:r w:rsidRPr="00BC4A30">
        <w:t xml:space="preserve"> service for either MTA or RFA in the proposed populations. Use of both MTA and RFA is therefore limited. If subsidised, MTA is likely to primarily replace </w:t>
      </w:r>
      <w:r w:rsidR="00067F63" w:rsidRPr="00BC4A30">
        <w:t>SBRT</w:t>
      </w:r>
      <w:r w:rsidR="007F4D0C">
        <w:t>,</w:t>
      </w:r>
      <w:r w:rsidRPr="00BC4A30">
        <w:t xml:space="preserve"> which is more commonly used to treat stage I NSCLC patients who are unsuitable for, or who refuse, surgery</w:t>
      </w:r>
      <w:r w:rsidR="00A941E9" w:rsidRPr="00BC4A30">
        <w:t>. The p</w:t>
      </w:r>
      <w:r w:rsidRPr="00BC4A30">
        <w:t>rotocol notes that Guidelines from the Alberta health services define a role for SBRT in stage I NSCLC who cannot undergo surgery. These guidelines recommend SBRT for tu</w:t>
      </w:r>
      <w:r w:rsidR="00664E49">
        <w:t>mours five or less cm in size.</w:t>
      </w:r>
    </w:p>
    <w:p w14:paraId="009D0310" w14:textId="4D9AC0AA" w:rsidR="00611702" w:rsidRPr="00BC4A30" w:rsidRDefault="00611702" w:rsidP="00611702">
      <w:r w:rsidRPr="00BC4A30">
        <w:t xml:space="preserve">Stage I NSCLC patients who </w:t>
      </w:r>
      <w:r w:rsidR="00291E16">
        <w:t xml:space="preserve">are </w:t>
      </w:r>
      <w:r w:rsidRPr="00BC4A30">
        <w:t xml:space="preserve">unsuitable for, or who refuse, surgery are estimated to be the largest population group suitable for the MTA intervention. In 2016, the MTA eligible population is estimated to be </w:t>
      </w:r>
      <w:r w:rsidR="006C6208">
        <w:t>1</w:t>
      </w:r>
      <w:r w:rsidR="006D0335">
        <w:t>,</w:t>
      </w:r>
      <w:r w:rsidR="006C6208">
        <w:t>833</w:t>
      </w:r>
      <w:r w:rsidRPr="00BC4A30">
        <w:t xml:space="preserve"> patients</w:t>
      </w:r>
      <w:r w:rsidR="006C6208">
        <w:t>, followed by 183</w:t>
      </w:r>
      <w:r w:rsidRPr="00BC4A30">
        <w:t xml:space="preserve"> patients with pulmonary metastases, in </w:t>
      </w:r>
      <w:proofErr w:type="gramStart"/>
      <w:r w:rsidRPr="00BC4A30">
        <w:t>whom</w:t>
      </w:r>
      <w:proofErr w:type="gramEnd"/>
      <w:r w:rsidRPr="00BC4A30">
        <w:t xml:space="preserve"> the primary tumour is under control, and who are receiving treatment with curative intent. Patients within the pulmonary </w:t>
      </w:r>
      <w:r w:rsidR="00DB7D52" w:rsidRPr="00BC4A30">
        <w:t>oligo</w:t>
      </w:r>
      <w:r w:rsidRPr="00BC4A30">
        <w:t xml:space="preserve">metastases population could also receive radiotherapy or surgery, so MTA uptake would substitute for these MBS supported interventions amongst this group. </w:t>
      </w:r>
    </w:p>
    <w:p w14:paraId="228B2B1F" w14:textId="14C29BDB" w:rsidR="00611702" w:rsidRPr="00BC4A30" w:rsidRDefault="00611702" w:rsidP="00611702">
      <w:r w:rsidRPr="00BC4A30">
        <w:t xml:space="preserve">Those patients with pulmonary </w:t>
      </w:r>
      <w:r w:rsidR="00DB7D52" w:rsidRPr="00BC4A30">
        <w:t>oligo</w:t>
      </w:r>
      <w:r w:rsidRPr="00BC4A30">
        <w:t>metastases availing MTA over surgery are likely to have poor lung performance or other co-morbidities, so the degree of substitution between these interven</w:t>
      </w:r>
      <w:r w:rsidR="000F49B0" w:rsidRPr="00BC4A30">
        <w:t xml:space="preserve">tions is likely to be limited. </w:t>
      </w:r>
      <w:r w:rsidRPr="00BC4A30">
        <w:t xml:space="preserve">There are no statistics about the number of patients with pulmonary metastases, in whom the primary tumour is under </w:t>
      </w:r>
      <w:proofErr w:type="gramStart"/>
      <w:r w:rsidRPr="00BC4A30">
        <w:t>control who receive</w:t>
      </w:r>
      <w:proofErr w:type="gramEnd"/>
      <w:r w:rsidRPr="00BC4A30">
        <w:t xml:space="preserve"> </w:t>
      </w:r>
      <w:r w:rsidR="00CA6DFD" w:rsidRPr="00BC4A30">
        <w:t>surgery;</w:t>
      </w:r>
      <w:r w:rsidRPr="00BC4A30">
        <w:t xml:space="preserve"> however, even if t</w:t>
      </w:r>
      <w:r w:rsidR="00291E16">
        <w:t>hese patients</w:t>
      </w:r>
      <w:r w:rsidRPr="00BC4A30">
        <w:t xml:space="preserve"> account for half of the </w:t>
      </w:r>
      <w:r w:rsidR="00291E16">
        <w:t xml:space="preserve">population with </w:t>
      </w:r>
      <w:r w:rsidRPr="00BC4A30">
        <w:t xml:space="preserve">pulmonary metastases population estimated to uptake MTA, they represent less than 100 patients per year. </w:t>
      </w:r>
      <w:r w:rsidR="00291E16">
        <w:t xml:space="preserve">That is, </w:t>
      </w:r>
      <w:r w:rsidRPr="00BC4A30">
        <w:t>50</w:t>
      </w:r>
      <w:r w:rsidR="006D0335">
        <w:t xml:space="preserve"> per cent</w:t>
      </w:r>
      <w:r w:rsidRPr="00BC4A30">
        <w:t xml:space="preserve"> of the estima</w:t>
      </w:r>
      <w:r w:rsidR="006C6208">
        <w:t>ted 183</w:t>
      </w:r>
      <w:r w:rsidRPr="00BC4A30">
        <w:t xml:space="preserve"> patients with pulmonary metastases, in whom the primary tumour is under control, and who are receiving treatment with curativ</w:t>
      </w:r>
      <w:r w:rsidR="00291E16">
        <w:t>e intent</w:t>
      </w:r>
      <w:r w:rsidRPr="00BC4A30">
        <w:t xml:space="preserve">. </w:t>
      </w:r>
    </w:p>
    <w:p w14:paraId="5002017B" w14:textId="77777777" w:rsidR="00611702" w:rsidRPr="00BC4A30" w:rsidRDefault="00611702" w:rsidP="00611702">
      <w:r w:rsidRPr="00BC4A30">
        <w:t xml:space="preserve">Consequently, substitution of MTA with currently listed MBS procedures is limited to </w:t>
      </w:r>
      <w:r w:rsidR="00760AC9" w:rsidRPr="00BC4A30">
        <w:t>SBRT</w:t>
      </w:r>
      <w:r w:rsidRPr="00BC4A30">
        <w:t xml:space="preserve"> within the base case financial analysis. The cost of surgery was explored in Section D. Most of the </w:t>
      </w:r>
      <w:r w:rsidR="00CA6DFD" w:rsidRPr="00BC4A30">
        <w:t>cost is</w:t>
      </w:r>
      <w:r w:rsidRPr="00BC4A30">
        <w:t xml:space="preserve"> associated with hospital services borne by state and territory budgets.</w:t>
      </w:r>
    </w:p>
    <w:p w14:paraId="77FF9A05" w14:textId="43999D6A" w:rsidR="00611702" w:rsidRPr="00101AE7" w:rsidRDefault="00611702" w:rsidP="009916BC">
      <w:pPr>
        <w:spacing w:before="500"/>
        <w:rPr>
          <w:b/>
          <w:i/>
        </w:rPr>
      </w:pPr>
      <w:r w:rsidRPr="00101AE7">
        <w:rPr>
          <w:b/>
          <w:i/>
        </w:rPr>
        <w:t xml:space="preserve">Radiofrequency </w:t>
      </w:r>
      <w:r w:rsidR="008646EA">
        <w:rPr>
          <w:b/>
          <w:i/>
        </w:rPr>
        <w:t>A</w:t>
      </w:r>
      <w:r w:rsidRPr="00101AE7">
        <w:rPr>
          <w:b/>
          <w:i/>
        </w:rPr>
        <w:t>blation (RFA)</w:t>
      </w:r>
    </w:p>
    <w:p w14:paraId="23C49B2B" w14:textId="01B812B8" w:rsidR="00611702" w:rsidRPr="00BC4A30" w:rsidRDefault="00291E16" w:rsidP="00611702">
      <w:r>
        <w:t>Radiofrequency</w:t>
      </w:r>
      <w:r w:rsidR="00611702" w:rsidRPr="00BC4A30">
        <w:t xml:space="preserve"> ablation can be performed in patients under conscious sedation, by using medications similar to those used with any other interventional radiology </w:t>
      </w:r>
      <w:r w:rsidR="00664E49">
        <w:t xml:space="preserve">procedure </w:t>
      </w:r>
      <w:r w:rsidR="00664E49">
        <w:fldChar w:fldCharType="begin">
          <w:fldData xml:space="preserve">PEVuZE5vdGU+PENpdGU+PEF1dGhvcj5UYXRsaTwvQXV0aG9yPjxZZWFyPjIwMTI8L1llYXI+PFJl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==
</w:fldData>
        </w:fldChar>
      </w:r>
      <w:r w:rsidR="00664E49">
        <w:instrText xml:space="preserve"> ADDIN EN.CITE </w:instrText>
      </w:r>
      <w:r w:rsidR="00664E49">
        <w:fldChar w:fldCharType="begin">
          <w:fldData xml:space="preserve">PEVuZE5vdGU+PENpdGU+PEF1dGhvcj5UYXRsaTwvQXV0aG9yPjxZZWFyPjIwMTI8L1llYXI+PFJl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==
</w:fldData>
        </w:fldChar>
      </w:r>
      <w:r w:rsidR="00664E49">
        <w:instrText xml:space="preserve"> ADDIN EN.CITE.DATA </w:instrText>
      </w:r>
      <w:r w:rsidR="00664E49">
        <w:fldChar w:fldCharType="end"/>
      </w:r>
      <w:r w:rsidR="00664E49">
        <w:fldChar w:fldCharType="separate"/>
      </w:r>
      <w:r w:rsidR="00664E49">
        <w:rPr>
          <w:noProof/>
        </w:rPr>
        <w:t>(</w:t>
      </w:r>
      <w:hyperlink w:anchor="_ENREF_153" w:tooltip="Tatli, 2012 #278" w:history="1">
        <w:r w:rsidR="00320458">
          <w:rPr>
            <w:noProof/>
          </w:rPr>
          <w:t>Tatli et al 2012</w:t>
        </w:r>
      </w:hyperlink>
      <w:r w:rsidR="00664E49">
        <w:rPr>
          <w:noProof/>
        </w:rPr>
        <w:t>)</w:t>
      </w:r>
      <w:r w:rsidR="00664E49">
        <w:fldChar w:fldCharType="end"/>
      </w:r>
      <w:r w:rsidR="00611702" w:rsidRPr="00664E49">
        <w:t>.</w:t>
      </w:r>
      <w:r w:rsidR="00611702" w:rsidRPr="00664E49">
        <w:rPr>
          <w:rStyle w:val="FootnoteReference"/>
        </w:rPr>
        <w:t xml:space="preserve"> </w:t>
      </w:r>
      <w:r w:rsidR="00611702" w:rsidRPr="00664E49">
        <w:t>Discussions</w:t>
      </w:r>
      <w:r>
        <w:t xml:space="preserve"> with Australian clinicians</w:t>
      </w:r>
      <w:r w:rsidR="00611702" w:rsidRPr="00BC4A30">
        <w:t xml:space="preserve"> indicated the procedure</w:t>
      </w:r>
      <w:r>
        <w:t xml:space="preserve"> that is currently delivered within hospitals</w:t>
      </w:r>
      <w:r w:rsidR="00611702" w:rsidRPr="00BC4A30">
        <w:t xml:space="preserve"> has a similar pre and follow-up procedural cost to MTA. The cost of RFA machines and probes differ to that of MTA. </w:t>
      </w:r>
      <w:r w:rsidR="006C6208">
        <w:t>Widely available</w:t>
      </w:r>
      <w:r w:rsidR="00611702" w:rsidRPr="00BC4A30">
        <w:t xml:space="preserve"> </w:t>
      </w:r>
      <w:r>
        <w:t>RFA</w:t>
      </w:r>
      <w:r w:rsidR="00611702" w:rsidRPr="00BC4A30">
        <w:t xml:space="preserve"> systems </w:t>
      </w:r>
      <w:proofErr w:type="gramStart"/>
      <w:r w:rsidR="006C6208">
        <w:t xml:space="preserve">include </w:t>
      </w:r>
      <w:r w:rsidR="00611702" w:rsidRPr="00BC4A30">
        <w:t xml:space="preserve"> CooltipTM</w:t>
      </w:r>
      <w:proofErr w:type="gramEnd"/>
      <w:r w:rsidR="00611702" w:rsidRPr="00BC4A30">
        <w:t xml:space="preserve"> system (Covidien, Mansfield, Massachusetts, USA), RF 3000® (Boston Scientific Corporation, Natick, Massachusetts, USA), and Model 1500X RF generator (AngioDynamic</w:t>
      </w:r>
      <w:r w:rsidR="00A941E9" w:rsidRPr="00BC4A30">
        <w:t>s, Latham, New York, USA). The p</w:t>
      </w:r>
      <w:r w:rsidR="00611702" w:rsidRPr="00BC4A30">
        <w:t xml:space="preserve">rotocol estimated an average machine cost of $52,000 and probe of $2,000 for RFA compared to $50,000 </w:t>
      </w:r>
      <w:r w:rsidR="00611702" w:rsidRPr="00BC4A30">
        <w:lastRenderedPageBreak/>
        <w:t>and $2,960 for MTA. The lower probe cost results in a procedure cost of RFA that is 88</w:t>
      </w:r>
      <w:r w:rsidR="00DB7D52" w:rsidRPr="00BC4A30">
        <w:t xml:space="preserve"> per cent</w:t>
      </w:r>
      <w:r w:rsidR="00611702" w:rsidRPr="00BC4A30">
        <w:t xml:space="preserve"> of MTA, if all other intervention costs were the same. </w:t>
      </w:r>
    </w:p>
    <w:p w14:paraId="48818315" w14:textId="083B8D01" w:rsidR="00611702" w:rsidRPr="00BC4A30" w:rsidRDefault="00A941E9" w:rsidP="00611702">
      <w:r w:rsidRPr="00BC4A30">
        <w:t>The p</w:t>
      </w:r>
      <w:r w:rsidR="00611702" w:rsidRPr="00BC4A30">
        <w:t>rotocol, however, notes that MTA has a steeper temperature gradient when compared to RFA, which allows for larger ablation volumes in faster times of 4</w:t>
      </w:r>
      <w:r w:rsidR="00D35E9C">
        <w:t>–</w:t>
      </w:r>
      <w:r w:rsidR="00611702" w:rsidRPr="00BC4A30">
        <w:t>6 minutes in contrast to 12</w:t>
      </w:r>
      <w:r w:rsidR="00D35E9C">
        <w:t>–</w:t>
      </w:r>
      <w:r w:rsidR="00611702" w:rsidRPr="00BC4A30">
        <w:t>20 minutes for sin</w:t>
      </w:r>
      <w:r w:rsidR="00664E49">
        <w:t xml:space="preserve">gle ablations required for </w:t>
      </w:r>
      <w:r w:rsidR="00664E49" w:rsidRPr="00664E49">
        <w:t xml:space="preserve">RFA </w:t>
      </w:r>
      <w:r w:rsidR="00E14908" w:rsidRPr="00664E49">
        <w:fldChar w:fldCharType="begin">
          <w:fldData xml:space="preserve">PEVuZE5vdGU+PENpdGU+PEF1dGhvcj5Td2FuPC9BdXRob3I+PFllYXI+MjAxMzwvWWVhcj48UmVj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</w:fldData>
        </w:fldChar>
      </w:r>
      <w:r w:rsidR="00194054" w:rsidRPr="00664E49">
        <w:instrText xml:space="preserve"> ADDIN EN.CITE </w:instrText>
      </w:r>
      <w:r w:rsidR="00194054" w:rsidRPr="00664E49">
        <w:fldChar w:fldCharType="begin">
          <w:fldData xml:space="preserve">PEVuZE5vdGU+PENpdGU+PEF1dGhvcj5Td2FuPC9BdXRob3I+PFllYXI+MjAxMzwvWWVhcj48UmVj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</w:fldData>
        </w:fldChar>
      </w:r>
      <w:r w:rsidR="00194054" w:rsidRPr="00664E49">
        <w:instrText xml:space="preserve"> ADDIN EN.CITE.DATA </w:instrText>
      </w:r>
      <w:r w:rsidR="00194054" w:rsidRPr="00664E49">
        <w:fldChar w:fldCharType="end"/>
      </w:r>
      <w:r w:rsidR="00E14908" w:rsidRPr="00664E49">
        <w:fldChar w:fldCharType="separate"/>
      </w:r>
      <w:r w:rsidR="00E14908" w:rsidRPr="00664E49">
        <w:rPr>
          <w:noProof/>
        </w:rPr>
        <w:t>(</w:t>
      </w:r>
      <w:hyperlink w:anchor="_ENREF_152" w:tooltip="Swan, 2013 #28" w:history="1">
        <w:r w:rsidR="00320458" w:rsidRPr="00664E49">
          <w:rPr>
            <w:noProof/>
          </w:rPr>
          <w:t>Swan et al 2013</w:t>
        </w:r>
      </w:hyperlink>
      <w:r w:rsidR="00E14908" w:rsidRPr="00664E49">
        <w:rPr>
          <w:noProof/>
        </w:rPr>
        <w:t>)</w:t>
      </w:r>
      <w:r w:rsidR="00E14908" w:rsidRPr="00664E49">
        <w:fldChar w:fldCharType="end"/>
      </w:r>
      <w:r w:rsidR="00611702" w:rsidRPr="00664E49">
        <w:t>.</w:t>
      </w:r>
      <w:r w:rsidR="00611702" w:rsidRPr="00BC4A30">
        <w:t xml:space="preserve">  The key cost difference between RFA and MTA is associated with the longer time to deliver to procedure. A similar adverse event profile is reported for RFA and MTA. Pulmonary R</w:t>
      </w:r>
      <w:r w:rsidR="00291E16">
        <w:t>FA</w:t>
      </w:r>
      <w:r w:rsidR="00611702" w:rsidRPr="00BC4A30">
        <w:t xml:space="preserve"> ablation has an overall major complication rate ranging between 8</w:t>
      </w:r>
      <w:r w:rsidR="006D0335">
        <w:t>–</w:t>
      </w:r>
      <w:r w:rsidR="00611702" w:rsidRPr="00BC4A30">
        <w:t>12</w:t>
      </w:r>
      <w:r w:rsidR="00DB7D52" w:rsidRPr="00BC4A30">
        <w:t xml:space="preserve"> per </w:t>
      </w:r>
      <w:r w:rsidR="00DB7D52" w:rsidRPr="00664E49">
        <w:t>cent</w:t>
      </w:r>
      <w:r w:rsidR="00611702" w:rsidRPr="00664E49">
        <w:t xml:space="preserve"> </w:t>
      </w:r>
      <w:r w:rsidR="00E14908" w:rsidRPr="00664E49">
        <w:fldChar w:fldCharType="begin">
          <w:fldData xml:space="preserve">PEVuZE5vdGU+PENpdGU+PEF1dGhvcj5Pa3VtYTwvQXV0aG9yPjxZZWFyPjIwMTA8L1llYXI+PFJl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</w:fldData>
        </w:fldChar>
      </w:r>
      <w:r w:rsidR="00194054" w:rsidRPr="00664E49">
        <w:instrText xml:space="preserve"> ADDIN EN.CITE </w:instrText>
      </w:r>
      <w:r w:rsidR="00194054" w:rsidRPr="00664E49">
        <w:fldChar w:fldCharType="begin">
          <w:fldData xml:space="preserve">PEVuZE5vdGU+PENpdGU+PEF1dGhvcj5Pa3VtYTwvQXV0aG9yPjxZZWFyPjIwMTA8L1llYXI+PFJl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</w:fldData>
        </w:fldChar>
      </w:r>
      <w:r w:rsidR="00194054" w:rsidRPr="00664E49">
        <w:instrText xml:space="preserve"> ADDIN EN.CITE.DATA </w:instrText>
      </w:r>
      <w:r w:rsidR="00194054" w:rsidRPr="00664E49">
        <w:fldChar w:fldCharType="end"/>
      </w:r>
      <w:r w:rsidR="00E14908" w:rsidRPr="00664E49">
        <w:fldChar w:fldCharType="separate"/>
      </w:r>
      <w:r w:rsidR="00E14908" w:rsidRPr="00664E49">
        <w:rPr>
          <w:noProof/>
        </w:rPr>
        <w:t>(</w:t>
      </w:r>
      <w:hyperlink w:anchor="_ENREF_115" w:tooltip="Okuma, 2010 #20" w:history="1">
        <w:r w:rsidR="00320458" w:rsidRPr="00664E49">
          <w:rPr>
            <w:noProof/>
          </w:rPr>
          <w:t>Okuma et al 2010</w:t>
        </w:r>
      </w:hyperlink>
      <w:r w:rsidR="00E14908" w:rsidRPr="00664E49">
        <w:rPr>
          <w:noProof/>
        </w:rPr>
        <w:t>)</w:t>
      </w:r>
      <w:r w:rsidR="00E14908" w:rsidRPr="00664E49">
        <w:fldChar w:fldCharType="end"/>
      </w:r>
      <w:r w:rsidR="00611702" w:rsidRPr="00664E49">
        <w:t xml:space="preserve">, with </w:t>
      </w:r>
      <w:r w:rsidR="008C1626" w:rsidRPr="00664E49">
        <w:t>p</w:t>
      </w:r>
      <w:r w:rsidR="00611702" w:rsidRPr="00664E49">
        <w:t>neumothorax</w:t>
      </w:r>
      <w:r w:rsidR="00611702" w:rsidRPr="00BC4A30">
        <w:t xml:space="preserve"> being the most common complication.</w:t>
      </w:r>
    </w:p>
    <w:p w14:paraId="2B8E9AE4" w14:textId="77CBE0A5" w:rsidR="00611702" w:rsidRPr="00101AE7" w:rsidRDefault="00611702" w:rsidP="009916BC">
      <w:pPr>
        <w:spacing w:before="500"/>
        <w:rPr>
          <w:b/>
          <w:i/>
        </w:rPr>
      </w:pPr>
      <w:r w:rsidRPr="00101AE7">
        <w:rPr>
          <w:b/>
          <w:i/>
        </w:rPr>
        <w:t xml:space="preserve">Stereotactic </w:t>
      </w:r>
      <w:r w:rsidR="008646EA">
        <w:rPr>
          <w:b/>
          <w:i/>
        </w:rPr>
        <w:t>B</w:t>
      </w:r>
      <w:r w:rsidRPr="00101AE7">
        <w:rPr>
          <w:b/>
          <w:i/>
        </w:rPr>
        <w:t xml:space="preserve">ody </w:t>
      </w:r>
      <w:r w:rsidR="008646EA">
        <w:rPr>
          <w:b/>
          <w:i/>
        </w:rPr>
        <w:t>R</w:t>
      </w:r>
      <w:r w:rsidRPr="00101AE7">
        <w:rPr>
          <w:b/>
          <w:i/>
        </w:rPr>
        <w:t xml:space="preserve">adiation </w:t>
      </w:r>
      <w:r w:rsidR="008646EA">
        <w:rPr>
          <w:b/>
          <w:i/>
        </w:rPr>
        <w:t>T</w:t>
      </w:r>
      <w:r w:rsidRPr="00101AE7">
        <w:rPr>
          <w:b/>
          <w:i/>
        </w:rPr>
        <w:t>herapy (SBRT)</w:t>
      </w:r>
    </w:p>
    <w:p w14:paraId="18D8E3A3" w14:textId="1B796B6D" w:rsidR="00611702" w:rsidRPr="00BC4A30" w:rsidRDefault="00760AC9" w:rsidP="00611702">
      <w:r w:rsidRPr="00BC4A30">
        <w:t>SBRT</w:t>
      </w:r>
      <w:r w:rsidR="00611702" w:rsidRPr="00BC4A30">
        <w:t xml:space="preserve"> has emerged as a technology </w:t>
      </w:r>
      <w:r w:rsidR="00101AE7">
        <w:t>that</w:t>
      </w:r>
      <w:r w:rsidR="00611702" w:rsidRPr="00BC4A30">
        <w:t xml:space="preserve"> can improve the delivery of external beam radiotherapy</w:t>
      </w:r>
      <w:r w:rsidR="00611702" w:rsidRPr="00664E49">
        <w:t>.  As discussed</w:t>
      </w:r>
      <w:r w:rsidR="00611702" w:rsidRPr="00BC4A30">
        <w:t xml:space="preserve">, </w:t>
      </w:r>
      <w:r w:rsidR="009916BC">
        <w:t>SBRT</w:t>
      </w:r>
      <w:r w:rsidR="00611702" w:rsidRPr="00BC4A30">
        <w:t xml:space="preserve"> may reduce the number of attendances compared to other forms of radiotherapy. The number of delivered fractions depends on factors such as histology, clinical stage, surgical clearance of the tumour margin, patient fitness or performance status, presence or absence of symptoms, and outcome of previous treatments </w:t>
      </w:r>
      <w:r w:rsidR="00664E49">
        <w:fldChar w:fldCharType="begin"/>
      </w:r>
      <w:r w:rsidR="00664E49">
        <w:instrText xml:space="preserve"> ADDIN EN.CITE &lt;EndNote&gt;&lt;Cite&gt;&lt;Author&gt;Delaney&lt;/Author&gt;&lt;Year&gt;2003&lt;/Year&gt;&lt;RecNum&gt;270&lt;/RecNum&gt;&lt;DisplayText&gt;(Delaney et al 2003)&lt;/DisplayText&gt;&lt;record&gt;&lt;rec-number&gt;270&lt;/rec-number&gt;&lt;foreign-keys&gt;&lt;key app="EN" db-id="05ssdaw2cf0zvye5xvo5z9ww0xdpfstrdtew" timestamp="1472538917"&gt;270&lt;/key&gt;&lt;/foreign-keys&gt;&lt;ref-type name="Journal Article"&gt;17&lt;/ref-type&gt;&lt;contributors&gt;&lt;authors&gt;&lt;author&gt;Delaney, G.&lt;/author&gt;&lt;author&gt;Barton, M.&lt;/author&gt;&lt;author&gt;Jacob, S.&lt;/author&gt;&lt;author&gt;Jalaludin, B.&lt;/author&gt;&lt;/authors&gt;&lt;/contributors&gt;&lt;auth-address&gt;Collaboration for Cancer Outcomes Research and Evaluation, Liverpool Hospital, Sydney, Australia. geoff.delaney@swsahs.nsw.gov.au&lt;/auth-address&gt;&lt;titles&gt;&lt;title&gt;A model for decision making for the use of radiotherapy in lung cancer&lt;/title&gt;&lt;secondary-title&gt;Lancet Oncol&lt;/secondary-title&gt;&lt;alt-title&gt;The Lancet. Oncology&lt;/alt-title&gt;&lt;/titles&gt;&lt;alt-periodical&gt;&lt;full-title&gt;The Lancet. Oncology&lt;/full-title&gt;&lt;/alt-periodical&gt;&lt;pages&gt;120-8&lt;/pages&gt;&lt;volume&gt;4&lt;/volume&gt;&lt;number&gt;2&lt;/number&gt;&lt;keywords&gt;&lt;keyword&gt;Benchmarking&lt;/keyword&gt;&lt;keyword&gt;*Decision Making&lt;/keyword&gt;&lt;keyword&gt;*Decision Trees&lt;/keyword&gt;&lt;keyword&gt;*Evidence-Based Medicine&lt;/keyword&gt;&lt;keyword&gt;Humans&lt;/keyword&gt;&lt;keyword&gt;Lung Neoplasms/*radiotherapy&lt;/keyword&gt;&lt;keyword&gt;Radiotherapy/utilization&lt;/keyword&gt;&lt;/keywords&gt;&lt;dates&gt;&lt;year&gt;2003&lt;/year&gt;&lt;pub-dates&gt;&lt;date&gt;Feb&lt;/date&gt;&lt;/pub-dates&gt;&lt;/dates&gt;&lt;isbn&gt;1470-2045 (Print)&amp;#xD;1470-2045 (Linking)&lt;/isbn&gt;&lt;accession-num&gt;12573354&lt;/accession-num&gt;&lt;urls&gt;&lt;related-urls&gt;&lt;url&gt;http://www.ncbi.nlm.nih.gov/pubmed/12573354&lt;/url&gt;&lt;/related-urls&gt;&lt;/urls&gt;&lt;/record&gt;&lt;/Cite&gt;&lt;/EndNote&gt;</w:instrText>
      </w:r>
      <w:r w:rsidR="00664E49">
        <w:fldChar w:fldCharType="separate"/>
      </w:r>
      <w:r w:rsidR="00664E49">
        <w:rPr>
          <w:noProof/>
        </w:rPr>
        <w:t>(</w:t>
      </w:r>
      <w:hyperlink w:anchor="_ENREF_38" w:tooltip="Delaney, 2003 #270" w:history="1">
        <w:r w:rsidR="00320458">
          <w:rPr>
            <w:noProof/>
          </w:rPr>
          <w:t>Delaney et al 2003</w:t>
        </w:r>
      </w:hyperlink>
      <w:r w:rsidR="00664E49">
        <w:rPr>
          <w:noProof/>
        </w:rPr>
        <w:t>)</w:t>
      </w:r>
      <w:r w:rsidR="00664E49">
        <w:fldChar w:fldCharType="end"/>
      </w:r>
      <w:r w:rsidR="00611702" w:rsidRPr="00664E49">
        <w:t>.</w:t>
      </w:r>
      <w:r w:rsidR="00611702" w:rsidRPr="00BC4A30">
        <w:t xml:space="preserve"> </w:t>
      </w:r>
    </w:p>
    <w:p w14:paraId="53A1B0A4" w14:textId="66C0ECB8" w:rsidR="00611702" w:rsidRPr="00BC4A30" w:rsidRDefault="00664E49" w:rsidP="00611702">
      <w:r>
        <w:t xml:space="preserve">Rusthoven et al </w:t>
      </w:r>
      <w:r>
        <w:fldChar w:fldCharType="begin">
          <w:fldData xml:space="preserve">PEVuZE5vdGU+PENpdGUgRXhjbHVkZUF1dGg9IjEiPjxBdXRob3I+UnVzdGhvdmVuPC9BdXRob3I+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aXRsZT48YWJici0xPkpvdXJuYWwgb2YgY2xpbmljYWwgb25jb2xvZ3kgOiBvZmZpY2lhbCBqb3Vy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</w:fldData>
        </w:fldChar>
      </w:r>
      <w:r w:rsidR="00937D64">
        <w:instrText xml:space="preserve"> ADDIN EN.CITE </w:instrText>
      </w:r>
      <w:r w:rsidR="00937D64">
        <w:fldChar w:fldCharType="begin">
          <w:fldData xml:space="preserve">PEVuZE5vdGU+PENpdGUgRXhjbHVkZUF1dGg9IjEiPjxBdXRob3I+UnVzdGhvdmVuPC9BdXRob3I+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aXRsZT48YWJici0xPkpvdXJuYWwgb2YgY2xpbmljYWwgb25jb2xvZ3kgOiBvZmZpY2lhbCBqb3Vy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</w:fldData>
        </w:fldChar>
      </w:r>
      <w:r w:rsidR="00937D64">
        <w:instrText xml:space="preserve"> ADDIN EN.CITE.DATA </w:instrText>
      </w:r>
      <w:r w:rsidR="00937D64">
        <w:fldChar w:fldCharType="end"/>
      </w:r>
      <w:r>
        <w:fldChar w:fldCharType="separate"/>
      </w:r>
      <w:r w:rsidR="00937D64">
        <w:rPr>
          <w:noProof/>
        </w:rPr>
        <w:t>(</w:t>
      </w:r>
      <w:hyperlink w:anchor="_ENREF_129" w:tooltip="Rusthoven, 2009 #276" w:history="1">
        <w:r w:rsidR="00320458">
          <w:rPr>
            <w:noProof/>
          </w:rPr>
          <w:t>2009</w:t>
        </w:r>
      </w:hyperlink>
      <w:r w:rsidR="00937D64">
        <w:rPr>
          <w:noProof/>
        </w:rPr>
        <w:t>)</w:t>
      </w:r>
      <w:r>
        <w:fldChar w:fldCharType="end"/>
      </w:r>
      <w:r w:rsidR="00611702" w:rsidRPr="00BC4A30">
        <w:t xml:space="preserve"> indicated that high-dose radiation can be focally administered without excessive risk of radiation pneumonitis, provided sufficient normal lung can be spared. Chest wall pain and rib fractures are potential toxicities following </w:t>
      </w:r>
      <w:r w:rsidR="00760AC9" w:rsidRPr="00BC4A30">
        <w:t>SBRT</w:t>
      </w:r>
      <w:r w:rsidR="00611702" w:rsidRPr="00BC4A30">
        <w:t xml:space="preserve">, although this risk can be minimised </w:t>
      </w:r>
      <w:r w:rsidR="006C6208">
        <w:t>by adjusting</w:t>
      </w:r>
      <w:r w:rsidR="00611702" w:rsidRPr="00BC4A30">
        <w:t xml:space="preserve"> fractionation </w:t>
      </w:r>
      <w:r w:rsidR="006C6208">
        <w:t>in relation to</w:t>
      </w:r>
      <w:r w:rsidR="00611702" w:rsidRPr="00BC4A30">
        <w:t xml:space="preserve"> tumour</w:t>
      </w:r>
      <w:r w:rsidR="006C6208">
        <w:t xml:space="preserve"> </w:t>
      </w:r>
      <w:r w:rsidR="006C6208" w:rsidRPr="00664E49">
        <w:t>location</w:t>
      </w:r>
      <w:r w:rsidRPr="00664E49">
        <w:t xml:space="preserve"> </w:t>
      </w:r>
      <w:r w:rsidRPr="00664E49">
        <w:fldChar w:fldCharType="begin">
          <w:fldData xml:space="preserve">PEVuZE5vdGU+PENpdGU+PEF1dGhvcj5Cb25nZXJzPC9BdXRob3I+PFllYXI+MjAxMTwvWWVhcj48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</w:fldData>
        </w:fldChar>
      </w:r>
      <w:r w:rsidRPr="00664E49">
        <w:instrText xml:space="preserve"> ADDIN EN.CITE </w:instrText>
      </w:r>
      <w:r w:rsidRPr="00664E49">
        <w:fldChar w:fldCharType="begin">
          <w:fldData xml:space="preserve">PEVuZE5vdGU+PENpdGU+PEF1dGhvcj5Cb25nZXJzPC9BdXRob3I+PFllYXI+MjAxMTwvWWVhcj48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</w:fldData>
        </w:fldChar>
      </w:r>
      <w:r w:rsidRPr="00664E49">
        <w:instrText xml:space="preserve"> ADDIN EN.CITE.DATA </w:instrText>
      </w:r>
      <w:r w:rsidRPr="00664E49">
        <w:fldChar w:fldCharType="end"/>
      </w:r>
      <w:r w:rsidRPr="00664E49">
        <w:fldChar w:fldCharType="separate"/>
      </w:r>
      <w:r w:rsidRPr="00664E49">
        <w:rPr>
          <w:noProof/>
        </w:rPr>
        <w:t>(</w:t>
      </w:r>
      <w:hyperlink w:anchor="_ENREF_22" w:tooltip="Bongers, 2011 #268" w:history="1">
        <w:r w:rsidR="00320458" w:rsidRPr="00664E49">
          <w:rPr>
            <w:noProof/>
          </w:rPr>
          <w:t>Bongers et al 2011</w:t>
        </w:r>
      </w:hyperlink>
      <w:r w:rsidRPr="00664E49">
        <w:rPr>
          <w:noProof/>
        </w:rPr>
        <w:t>)</w:t>
      </w:r>
      <w:r w:rsidRPr="00664E49">
        <w:fldChar w:fldCharType="end"/>
      </w:r>
      <w:r w:rsidR="00611702" w:rsidRPr="00664E49">
        <w:t>. The MBS</w:t>
      </w:r>
      <w:r w:rsidR="00611702" w:rsidRPr="00BC4A30">
        <w:t xml:space="preserve"> and other costs associated with </w:t>
      </w:r>
      <w:r w:rsidR="00760AC9" w:rsidRPr="00BC4A30">
        <w:t>SBRT</w:t>
      </w:r>
      <w:r w:rsidR="00611702" w:rsidRPr="00BC4A30">
        <w:t xml:space="preserve"> are included in the following table without costs of treating adverse events – such as chest wall pain.</w:t>
      </w:r>
    </w:p>
    <w:p w14:paraId="7D0267E7" w14:textId="77777777" w:rsidR="006C6208" w:rsidRDefault="006C6208" w:rsidP="006C6208">
      <w:pPr>
        <w:pStyle w:val="Caption"/>
        <w:keepNext/>
      </w:pPr>
      <w:bookmarkStart w:id="452" w:name="_Ref460248857"/>
      <w:bookmarkStart w:id="453" w:name="_Toc460514742"/>
      <w:r>
        <w:t xml:space="preserve">Table </w:t>
      </w:r>
      <w:fldSimple w:instr=" SEQ Table \* ARABIC ">
        <w:r w:rsidR="00D170A5">
          <w:rPr>
            <w:noProof/>
          </w:rPr>
          <w:t>84</w:t>
        </w:r>
      </w:fldSimple>
      <w:bookmarkEnd w:id="452"/>
      <w:r>
        <w:tab/>
      </w:r>
      <w:r w:rsidRPr="006C6208">
        <w:t>Costs and services associated with SBRT</w:t>
      </w:r>
      <w:bookmarkEnd w:id="453"/>
    </w:p>
    <w:tbl>
      <w:tblPr>
        <w:tblW w:w="5000" w:type="pct"/>
        <w:tblLook w:val="04A0" w:firstRow="1" w:lastRow="0" w:firstColumn="1" w:lastColumn="0" w:noHBand="0" w:noVBand="1"/>
      </w:tblPr>
      <w:tblGrid>
        <w:gridCol w:w="2966"/>
        <w:gridCol w:w="1100"/>
        <w:gridCol w:w="932"/>
        <w:gridCol w:w="876"/>
        <w:gridCol w:w="989"/>
        <w:gridCol w:w="904"/>
        <w:gridCol w:w="1475"/>
      </w:tblGrid>
      <w:tr w:rsidR="006C6208" w:rsidRPr="006C6208" w14:paraId="46D04900" w14:textId="77777777" w:rsidTr="000211F1">
        <w:trPr>
          <w:cantSplit/>
          <w:trHeight w:val="810"/>
          <w:tblHeader/>
        </w:trPr>
        <w:tc>
          <w:tcPr>
            <w:tcW w:w="1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0591170" w14:textId="77777777" w:rsidR="006C6208" w:rsidRPr="00664E49" w:rsidRDefault="006C6208" w:rsidP="00F527D9">
            <w:pPr>
              <w:pStyle w:val="Tabletext1"/>
              <w:rPr>
                <w:b/>
              </w:rPr>
            </w:pPr>
            <w:r w:rsidRPr="00664E49">
              <w:rPr>
                <w:b/>
              </w:rPr>
              <w:t>Resource</w:t>
            </w:r>
          </w:p>
        </w:tc>
        <w:tc>
          <w:tcPr>
            <w:tcW w:w="59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3FECDBA" w14:textId="77777777" w:rsidR="006C6208" w:rsidRPr="00664E49" w:rsidRDefault="006C6208" w:rsidP="00F527D9">
            <w:pPr>
              <w:pStyle w:val="Tabletext1"/>
              <w:rPr>
                <w:b/>
              </w:rPr>
            </w:pPr>
            <w:r w:rsidRPr="00664E49">
              <w:rPr>
                <w:b/>
              </w:rPr>
              <w:t>Provider of resource</w:t>
            </w:r>
          </w:p>
        </w:tc>
        <w:tc>
          <w:tcPr>
            <w:tcW w:w="504"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12742D1" w14:textId="77777777" w:rsidR="006C6208" w:rsidRPr="00664E49" w:rsidRDefault="006C6208" w:rsidP="00F527D9">
            <w:pPr>
              <w:pStyle w:val="Tabletext1"/>
              <w:rPr>
                <w:b/>
              </w:rPr>
            </w:pPr>
            <w:r w:rsidRPr="00664E49">
              <w:rPr>
                <w:b/>
              </w:rPr>
              <w:t>Fee per unit of resource</w:t>
            </w:r>
          </w:p>
        </w:tc>
        <w:tc>
          <w:tcPr>
            <w:tcW w:w="474"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A3B3B7F" w14:textId="77777777" w:rsidR="006C6208" w:rsidRPr="00664E49" w:rsidRDefault="006C6208" w:rsidP="00F527D9">
            <w:pPr>
              <w:pStyle w:val="Tabletext1"/>
              <w:rPr>
                <w:b/>
              </w:rPr>
            </w:pPr>
            <w:r w:rsidRPr="00664E49">
              <w:rPr>
                <w:b/>
              </w:rPr>
              <w:t>MBS Fee</w:t>
            </w:r>
          </w:p>
        </w:tc>
        <w:tc>
          <w:tcPr>
            <w:tcW w:w="53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D663C73" w14:textId="77777777" w:rsidR="006C6208" w:rsidRPr="00664E49" w:rsidRDefault="006C6208" w:rsidP="00F527D9">
            <w:pPr>
              <w:pStyle w:val="Tabletext1"/>
              <w:rPr>
                <w:b/>
              </w:rPr>
            </w:pPr>
            <w:r w:rsidRPr="00664E49">
              <w:rPr>
                <w:b/>
              </w:rPr>
              <w:t>% of fee MBS claimable</w:t>
            </w:r>
          </w:p>
        </w:tc>
        <w:tc>
          <w:tcPr>
            <w:tcW w:w="48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629BBED" w14:textId="77777777" w:rsidR="006C6208" w:rsidRPr="00664E49" w:rsidRDefault="006C6208" w:rsidP="00F527D9">
            <w:pPr>
              <w:pStyle w:val="Tabletext1"/>
              <w:rPr>
                <w:b/>
              </w:rPr>
            </w:pPr>
            <w:r w:rsidRPr="00664E49">
              <w:rPr>
                <w:b/>
              </w:rPr>
              <w:t>Quantity</w:t>
            </w:r>
          </w:p>
        </w:tc>
        <w:tc>
          <w:tcPr>
            <w:tcW w:w="798"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A1B5D1F" w14:textId="77777777" w:rsidR="006C6208" w:rsidRPr="00664E49" w:rsidRDefault="006C6208" w:rsidP="00F527D9">
            <w:pPr>
              <w:pStyle w:val="Tabletext1"/>
              <w:rPr>
                <w:b/>
              </w:rPr>
            </w:pPr>
            <w:r w:rsidRPr="00664E49">
              <w:rPr>
                <w:b/>
              </w:rPr>
              <w:t>Source</w:t>
            </w:r>
          </w:p>
        </w:tc>
      </w:tr>
      <w:tr w:rsidR="006C6208" w:rsidRPr="006C6208" w14:paraId="0F42D25A" w14:textId="77777777" w:rsidTr="000211F1">
        <w:trPr>
          <w:cantSplit/>
          <w:trHeight w:val="285"/>
        </w:trPr>
        <w:tc>
          <w:tcPr>
            <w:tcW w:w="1605" w:type="pct"/>
            <w:tcBorders>
              <w:top w:val="nil"/>
              <w:left w:val="single" w:sz="4" w:space="0" w:color="auto"/>
              <w:bottom w:val="single" w:sz="4" w:space="0" w:color="auto"/>
            </w:tcBorders>
            <w:shd w:val="clear" w:color="auto" w:fill="D9D9D9" w:themeFill="background1" w:themeFillShade="D9"/>
            <w:vAlign w:val="center"/>
            <w:hideMark/>
          </w:tcPr>
          <w:p w14:paraId="3F8D5D91" w14:textId="77777777" w:rsidR="006C6208" w:rsidRPr="00664E49" w:rsidRDefault="006C6208" w:rsidP="00844A1A">
            <w:pPr>
              <w:pStyle w:val="Tabletext1"/>
              <w:rPr>
                <w:b/>
              </w:rPr>
            </w:pPr>
            <w:r w:rsidRPr="00664E49">
              <w:rPr>
                <w:b/>
              </w:rPr>
              <w:t>Medical services – screening prior to intervention</w:t>
            </w:r>
          </w:p>
        </w:tc>
        <w:tc>
          <w:tcPr>
            <w:tcW w:w="595" w:type="pct"/>
            <w:tcBorders>
              <w:top w:val="single" w:sz="4" w:space="0" w:color="auto"/>
              <w:bottom w:val="single" w:sz="4" w:space="0" w:color="auto"/>
            </w:tcBorders>
            <w:shd w:val="clear" w:color="auto" w:fill="D9D9D9" w:themeFill="background1" w:themeFillShade="D9"/>
            <w:vAlign w:val="center"/>
            <w:hideMark/>
          </w:tcPr>
          <w:p w14:paraId="2D4B51FA" w14:textId="77777777" w:rsidR="006C6208" w:rsidRPr="00664E49" w:rsidRDefault="006C6208" w:rsidP="00844A1A">
            <w:pPr>
              <w:pStyle w:val="Tabletext1"/>
              <w:rPr>
                <w:b/>
              </w:rPr>
            </w:pPr>
            <w:r w:rsidRPr="00664E49">
              <w:rPr>
                <w:b/>
              </w:rPr>
              <w:t> </w:t>
            </w:r>
          </w:p>
        </w:tc>
        <w:tc>
          <w:tcPr>
            <w:tcW w:w="504" w:type="pct"/>
            <w:tcBorders>
              <w:top w:val="single" w:sz="4" w:space="0" w:color="auto"/>
              <w:bottom w:val="single" w:sz="4" w:space="0" w:color="auto"/>
            </w:tcBorders>
            <w:shd w:val="clear" w:color="auto" w:fill="D9D9D9" w:themeFill="background1" w:themeFillShade="D9"/>
            <w:vAlign w:val="center"/>
            <w:hideMark/>
          </w:tcPr>
          <w:p w14:paraId="3D94B68B" w14:textId="77777777" w:rsidR="006C6208" w:rsidRPr="00664E49" w:rsidRDefault="006C6208" w:rsidP="00844A1A">
            <w:pPr>
              <w:pStyle w:val="Tabletext1"/>
              <w:rPr>
                <w:b/>
              </w:rPr>
            </w:pPr>
            <w:r w:rsidRPr="00664E49">
              <w:rPr>
                <w:b/>
              </w:rPr>
              <w:t> </w:t>
            </w:r>
          </w:p>
        </w:tc>
        <w:tc>
          <w:tcPr>
            <w:tcW w:w="474" w:type="pct"/>
            <w:tcBorders>
              <w:top w:val="single" w:sz="4" w:space="0" w:color="auto"/>
              <w:bottom w:val="single" w:sz="4" w:space="0" w:color="auto"/>
            </w:tcBorders>
            <w:shd w:val="clear" w:color="auto" w:fill="D9D9D9" w:themeFill="background1" w:themeFillShade="D9"/>
            <w:vAlign w:val="center"/>
            <w:hideMark/>
          </w:tcPr>
          <w:p w14:paraId="0D2BBA5B" w14:textId="77777777" w:rsidR="006C6208" w:rsidRPr="00664E49" w:rsidRDefault="006C6208" w:rsidP="00844A1A">
            <w:pPr>
              <w:pStyle w:val="Tabletext1"/>
              <w:rPr>
                <w:b/>
              </w:rPr>
            </w:pPr>
            <w:r w:rsidRPr="00664E49">
              <w:rPr>
                <w:b/>
              </w:rPr>
              <w:t> </w:t>
            </w:r>
          </w:p>
        </w:tc>
        <w:tc>
          <w:tcPr>
            <w:tcW w:w="535" w:type="pct"/>
            <w:tcBorders>
              <w:top w:val="single" w:sz="4" w:space="0" w:color="auto"/>
              <w:bottom w:val="single" w:sz="4" w:space="0" w:color="auto"/>
            </w:tcBorders>
            <w:shd w:val="clear" w:color="auto" w:fill="D9D9D9" w:themeFill="background1" w:themeFillShade="D9"/>
            <w:vAlign w:val="center"/>
            <w:hideMark/>
          </w:tcPr>
          <w:p w14:paraId="6198EFF3" w14:textId="77777777" w:rsidR="006C6208" w:rsidRPr="00664E49" w:rsidRDefault="006C6208" w:rsidP="00844A1A">
            <w:pPr>
              <w:pStyle w:val="Tabletext1"/>
              <w:rPr>
                <w:b/>
              </w:rPr>
            </w:pPr>
            <w:r w:rsidRPr="00664E49">
              <w:rPr>
                <w:b/>
              </w:rPr>
              <w:t> </w:t>
            </w:r>
          </w:p>
        </w:tc>
        <w:tc>
          <w:tcPr>
            <w:tcW w:w="489" w:type="pct"/>
            <w:tcBorders>
              <w:top w:val="single" w:sz="4" w:space="0" w:color="auto"/>
              <w:bottom w:val="single" w:sz="4" w:space="0" w:color="auto"/>
            </w:tcBorders>
            <w:shd w:val="clear" w:color="auto" w:fill="D9D9D9" w:themeFill="background1" w:themeFillShade="D9"/>
            <w:vAlign w:val="center"/>
            <w:hideMark/>
          </w:tcPr>
          <w:p w14:paraId="433A34A3" w14:textId="77777777" w:rsidR="006C6208" w:rsidRPr="00664E49" w:rsidRDefault="006C6208" w:rsidP="00844A1A">
            <w:pPr>
              <w:pStyle w:val="Tabletext1"/>
              <w:rPr>
                <w:b/>
              </w:rPr>
            </w:pPr>
            <w:r w:rsidRPr="00664E49">
              <w:rPr>
                <w:b/>
              </w:rPr>
              <w:t> </w:t>
            </w:r>
          </w:p>
        </w:tc>
        <w:tc>
          <w:tcPr>
            <w:tcW w:w="798" w:type="pct"/>
            <w:tcBorders>
              <w:top w:val="single" w:sz="4" w:space="0" w:color="auto"/>
              <w:bottom w:val="single" w:sz="4" w:space="0" w:color="auto"/>
              <w:right w:val="single" w:sz="4" w:space="0" w:color="auto"/>
            </w:tcBorders>
            <w:shd w:val="clear" w:color="auto" w:fill="D9D9D9" w:themeFill="background1" w:themeFillShade="D9"/>
            <w:vAlign w:val="center"/>
            <w:hideMark/>
          </w:tcPr>
          <w:p w14:paraId="2B02389E" w14:textId="77777777" w:rsidR="006C6208" w:rsidRPr="00664E49" w:rsidRDefault="006C6208" w:rsidP="00844A1A">
            <w:pPr>
              <w:pStyle w:val="Tabletext1"/>
              <w:rPr>
                <w:b/>
              </w:rPr>
            </w:pPr>
            <w:r w:rsidRPr="00664E49">
              <w:rPr>
                <w:b/>
              </w:rPr>
              <w:t> </w:t>
            </w:r>
          </w:p>
        </w:tc>
      </w:tr>
      <w:tr w:rsidR="006C6208" w:rsidRPr="006C6208" w14:paraId="143F3C90" w14:textId="77777777" w:rsidTr="00DF4EA2">
        <w:trPr>
          <w:cantSplit/>
          <w:trHeight w:val="93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118C8F14" w14:textId="77777777" w:rsidR="006C6208" w:rsidRPr="006C6208" w:rsidRDefault="006C6208" w:rsidP="00844A1A">
            <w:pPr>
              <w:pStyle w:val="Tabletext1"/>
            </w:pPr>
            <w:r w:rsidRPr="006C6208">
              <w:t>COMPUTED TOMOGRAPHY - scan of chest, including lungs, mediastinum, chest wall and pleura, with or without scans of the upper abdomen, with intravenous contrast medium</w:t>
            </w:r>
          </w:p>
        </w:tc>
        <w:tc>
          <w:tcPr>
            <w:tcW w:w="595" w:type="pct"/>
            <w:tcBorders>
              <w:top w:val="nil"/>
              <w:left w:val="nil"/>
              <w:bottom w:val="single" w:sz="4" w:space="0" w:color="auto"/>
              <w:right w:val="single" w:sz="4" w:space="0" w:color="auto"/>
            </w:tcBorders>
            <w:shd w:val="clear" w:color="auto" w:fill="auto"/>
            <w:vAlign w:val="center"/>
            <w:hideMark/>
          </w:tcPr>
          <w:p w14:paraId="5859B793"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04E45CEB" w14:textId="77777777" w:rsidR="006C6208" w:rsidRPr="006C6208" w:rsidRDefault="006C6208" w:rsidP="00844A1A">
            <w:pPr>
              <w:pStyle w:val="Tabletext1"/>
            </w:pPr>
            <w:r w:rsidRPr="006C6208">
              <w:t>202.00</w:t>
            </w:r>
          </w:p>
        </w:tc>
        <w:tc>
          <w:tcPr>
            <w:tcW w:w="474" w:type="pct"/>
            <w:tcBorders>
              <w:top w:val="nil"/>
              <w:left w:val="nil"/>
              <w:bottom w:val="single" w:sz="4" w:space="0" w:color="auto"/>
              <w:right w:val="single" w:sz="4" w:space="0" w:color="auto"/>
            </w:tcBorders>
            <w:shd w:val="clear" w:color="auto" w:fill="auto"/>
            <w:vAlign w:val="center"/>
            <w:hideMark/>
          </w:tcPr>
          <w:p w14:paraId="47CD6708" w14:textId="77777777" w:rsidR="006C6208" w:rsidRPr="006C6208" w:rsidRDefault="006C6208" w:rsidP="00844A1A">
            <w:pPr>
              <w:pStyle w:val="Tabletext1"/>
            </w:pPr>
            <w:r w:rsidRPr="006C6208">
              <w:t>202.00</w:t>
            </w:r>
          </w:p>
        </w:tc>
        <w:tc>
          <w:tcPr>
            <w:tcW w:w="535" w:type="pct"/>
            <w:tcBorders>
              <w:top w:val="nil"/>
              <w:left w:val="nil"/>
              <w:bottom w:val="single" w:sz="4" w:space="0" w:color="auto"/>
              <w:right w:val="single" w:sz="4" w:space="0" w:color="auto"/>
            </w:tcBorders>
            <w:shd w:val="clear" w:color="auto" w:fill="auto"/>
            <w:vAlign w:val="center"/>
            <w:hideMark/>
          </w:tcPr>
          <w:p w14:paraId="2DF67892" w14:textId="77777777" w:rsidR="006C6208" w:rsidRPr="006C6208" w:rsidRDefault="006C6208" w:rsidP="00844A1A">
            <w:pPr>
              <w:pStyle w:val="Tabletext1"/>
            </w:pPr>
            <w:r w:rsidRPr="006C6208">
              <w:t>85%</w:t>
            </w:r>
          </w:p>
        </w:tc>
        <w:tc>
          <w:tcPr>
            <w:tcW w:w="489" w:type="pct"/>
            <w:tcBorders>
              <w:top w:val="nil"/>
              <w:left w:val="nil"/>
              <w:bottom w:val="single" w:sz="4" w:space="0" w:color="auto"/>
              <w:right w:val="single" w:sz="4" w:space="0" w:color="auto"/>
            </w:tcBorders>
            <w:shd w:val="clear" w:color="auto" w:fill="auto"/>
            <w:vAlign w:val="center"/>
            <w:hideMark/>
          </w:tcPr>
          <w:p w14:paraId="637C4AA2" w14:textId="77777777" w:rsidR="006C6208" w:rsidRPr="006C6208" w:rsidRDefault="006C6208" w:rsidP="00844A1A">
            <w:pPr>
              <w:pStyle w:val="Tabletext1"/>
            </w:pPr>
            <w:r w:rsidRPr="006C6208">
              <w:t>1</w:t>
            </w:r>
          </w:p>
        </w:tc>
        <w:tc>
          <w:tcPr>
            <w:tcW w:w="798" w:type="pct"/>
            <w:tcBorders>
              <w:top w:val="nil"/>
              <w:left w:val="nil"/>
              <w:bottom w:val="single" w:sz="4" w:space="0" w:color="auto"/>
              <w:right w:val="single" w:sz="4" w:space="0" w:color="auto"/>
            </w:tcBorders>
            <w:shd w:val="clear" w:color="auto" w:fill="auto"/>
            <w:noWrap/>
            <w:vAlign w:val="center"/>
            <w:hideMark/>
          </w:tcPr>
          <w:p w14:paraId="324821A3" w14:textId="77777777" w:rsidR="006C6208" w:rsidRPr="006C6208" w:rsidRDefault="006C6208" w:rsidP="00844A1A">
            <w:pPr>
              <w:pStyle w:val="Tabletext1"/>
            </w:pPr>
            <w:r w:rsidRPr="006C6208">
              <w:t>MBS Item 56347</w:t>
            </w:r>
          </w:p>
        </w:tc>
      </w:tr>
      <w:tr w:rsidR="006C6208" w:rsidRPr="006C6208" w14:paraId="61D49D72" w14:textId="77777777" w:rsidTr="00DF4EA2">
        <w:trPr>
          <w:cantSplit/>
          <w:trHeight w:val="64"/>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59032BB0" w14:textId="77777777" w:rsidR="006C6208" w:rsidRPr="006C6208" w:rsidRDefault="006C6208" w:rsidP="00844A1A">
            <w:pPr>
              <w:pStyle w:val="Tabletext1"/>
            </w:pPr>
            <w:r w:rsidRPr="006C6208">
              <w:lastRenderedPageBreak/>
              <w:t>Respiratory function test</w:t>
            </w:r>
          </w:p>
        </w:tc>
        <w:tc>
          <w:tcPr>
            <w:tcW w:w="595" w:type="pct"/>
            <w:tcBorders>
              <w:top w:val="nil"/>
              <w:left w:val="nil"/>
              <w:bottom w:val="single" w:sz="4" w:space="0" w:color="auto"/>
              <w:right w:val="single" w:sz="4" w:space="0" w:color="auto"/>
            </w:tcBorders>
            <w:shd w:val="clear" w:color="auto" w:fill="auto"/>
            <w:vAlign w:val="center"/>
            <w:hideMark/>
          </w:tcPr>
          <w:p w14:paraId="69AFF4CC"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1E4F2B99" w14:textId="77777777" w:rsidR="006C6208" w:rsidRPr="006C6208" w:rsidRDefault="006C6208" w:rsidP="00844A1A">
            <w:pPr>
              <w:pStyle w:val="Tabletext1"/>
            </w:pPr>
            <w:r w:rsidRPr="006C6208">
              <w:t>138.65</w:t>
            </w:r>
          </w:p>
        </w:tc>
        <w:tc>
          <w:tcPr>
            <w:tcW w:w="474" w:type="pct"/>
            <w:tcBorders>
              <w:top w:val="nil"/>
              <w:left w:val="nil"/>
              <w:bottom w:val="single" w:sz="4" w:space="0" w:color="auto"/>
              <w:right w:val="single" w:sz="4" w:space="0" w:color="auto"/>
            </w:tcBorders>
            <w:shd w:val="clear" w:color="auto" w:fill="auto"/>
            <w:vAlign w:val="center"/>
            <w:hideMark/>
          </w:tcPr>
          <w:p w14:paraId="5E485F3A" w14:textId="77777777" w:rsidR="006C6208" w:rsidRPr="006C6208" w:rsidRDefault="006C6208" w:rsidP="00844A1A">
            <w:pPr>
              <w:pStyle w:val="Tabletext1"/>
            </w:pPr>
            <w:r w:rsidRPr="006C6208">
              <w:t>138.65</w:t>
            </w:r>
          </w:p>
        </w:tc>
        <w:tc>
          <w:tcPr>
            <w:tcW w:w="535" w:type="pct"/>
            <w:tcBorders>
              <w:top w:val="nil"/>
              <w:left w:val="nil"/>
              <w:bottom w:val="single" w:sz="4" w:space="0" w:color="auto"/>
              <w:right w:val="single" w:sz="4" w:space="0" w:color="auto"/>
            </w:tcBorders>
            <w:shd w:val="clear" w:color="auto" w:fill="auto"/>
            <w:vAlign w:val="center"/>
            <w:hideMark/>
          </w:tcPr>
          <w:p w14:paraId="197A1B53" w14:textId="77777777" w:rsidR="006C6208" w:rsidRPr="006C6208" w:rsidRDefault="006C6208" w:rsidP="00844A1A">
            <w:pPr>
              <w:pStyle w:val="Tabletext1"/>
            </w:pPr>
            <w:r w:rsidRPr="006C6208">
              <w:t>85%</w:t>
            </w:r>
          </w:p>
        </w:tc>
        <w:tc>
          <w:tcPr>
            <w:tcW w:w="489" w:type="pct"/>
            <w:tcBorders>
              <w:top w:val="nil"/>
              <w:left w:val="nil"/>
              <w:bottom w:val="single" w:sz="4" w:space="0" w:color="auto"/>
              <w:right w:val="single" w:sz="4" w:space="0" w:color="auto"/>
            </w:tcBorders>
            <w:shd w:val="clear" w:color="auto" w:fill="auto"/>
            <w:vAlign w:val="center"/>
            <w:hideMark/>
          </w:tcPr>
          <w:p w14:paraId="7C76FE2A" w14:textId="77777777" w:rsidR="006C6208" w:rsidRPr="006C6208" w:rsidRDefault="006C6208" w:rsidP="00844A1A">
            <w:pPr>
              <w:pStyle w:val="Tabletext1"/>
            </w:pPr>
            <w:r w:rsidRPr="006C6208">
              <w:t>1</w:t>
            </w:r>
          </w:p>
        </w:tc>
        <w:tc>
          <w:tcPr>
            <w:tcW w:w="798" w:type="pct"/>
            <w:tcBorders>
              <w:top w:val="nil"/>
              <w:left w:val="nil"/>
              <w:bottom w:val="nil"/>
              <w:right w:val="single" w:sz="4" w:space="0" w:color="auto"/>
            </w:tcBorders>
            <w:shd w:val="clear" w:color="auto" w:fill="auto"/>
            <w:vAlign w:val="center"/>
            <w:hideMark/>
          </w:tcPr>
          <w:p w14:paraId="7C01883E" w14:textId="77777777" w:rsidR="006C6208" w:rsidRPr="006C6208" w:rsidRDefault="006C6208" w:rsidP="00844A1A">
            <w:pPr>
              <w:pStyle w:val="Tabletext1"/>
            </w:pPr>
            <w:r w:rsidRPr="006C6208">
              <w:t>MBS Item 11503</w:t>
            </w:r>
          </w:p>
        </w:tc>
      </w:tr>
      <w:tr w:rsidR="006C6208" w:rsidRPr="006C6208" w14:paraId="5846D9BD" w14:textId="77777777" w:rsidTr="00DF4EA2">
        <w:trPr>
          <w:cantSplit/>
          <w:trHeight w:val="99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34A9000C" w14:textId="77777777" w:rsidR="006C6208" w:rsidRPr="006C6208" w:rsidRDefault="006C6208" w:rsidP="00844A1A">
            <w:pPr>
              <w:pStyle w:val="Tabletext1"/>
            </w:pPr>
            <w:r w:rsidRPr="006C6208">
              <w:t>Whole body FDG PET study, performed for evaluation of a solitary pulmonary nodule where the lesion is considered unsuitable for transthoracic fine needle aspiration biopsy, or for which an attempt at pathological characterisation has failed</w:t>
            </w:r>
          </w:p>
        </w:tc>
        <w:tc>
          <w:tcPr>
            <w:tcW w:w="595" w:type="pct"/>
            <w:tcBorders>
              <w:top w:val="nil"/>
              <w:left w:val="nil"/>
              <w:bottom w:val="single" w:sz="4" w:space="0" w:color="auto"/>
              <w:right w:val="single" w:sz="4" w:space="0" w:color="auto"/>
            </w:tcBorders>
            <w:shd w:val="clear" w:color="auto" w:fill="auto"/>
            <w:vAlign w:val="center"/>
            <w:hideMark/>
          </w:tcPr>
          <w:p w14:paraId="527399D6"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37E1798A" w14:textId="77777777" w:rsidR="006C6208" w:rsidRPr="006C6208" w:rsidRDefault="006C6208" w:rsidP="00844A1A">
            <w:pPr>
              <w:pStyle w:val="Tabletext1"/>
            </w:pPr>
            <w:r w:rsidRPr="006C6208">
              <w:t>953.00</w:t>
            </w:r>
          </w:p>
        </w:tc>
        <w:tc>
          <w:tcPr>
            <w:tcW w:w="474" w:type="pct"/>
            <w:tcBorders>
              <w:top w:val="nil"/>
              <w:left w:val="nil"/>
              <w:bottom w:val="single" w:sz="4" w:space="0" w:color="auto"/>
              <w:right w:val="single" w:sz="4" w:space="0" w:color="auto"/>
            </w:tcBorders>
            <w:shd w:val="clear" w:color="auto" w:fill="auto"/>
            <w:vAlign w:val="center"/>
            <w:hideMark/>
          </w:tcPr>
          <w:p w14:paraId="600071F5" w14:textId="77777777" w:rsidR="006C6208" w:rsidRPr="006C6208" w:rsidRDefault="006C6208" w:rsidP="00844A1A">
            <w:pPr>
              <w:pStyle w:val="Tabletext1"/>
            </w:pPr>
            <w:r w:rsidRPr="006C6208">
              <w:t>953.00</w:t>
            </w:r>
          </w:p>
        </w:tc>
        <w:tc>
          <w:tcPr>
            <w:tcW w:w="535" w:type="pct"/>
            <w:tcBorders>
              <w:top w:val="nil"/>
              <w:left w:val="nil"/>
              <w:bottom w:val="single" w:sz="4" w:space="0" w:color="auto"/>
              <w:right w:val="single" w:sz="4" w:space="0" w:color="auto"/>
            </w:tcBorders>
            <w:shd w:val="clear" w:color="auto" w:fill="auto"/>
            <w:vAlign w:val="center"/>
            <w:hideMark/>
          </w:tcPr>
          <w:p w14:paraId="0C20A125" w14:textId="04619D7C" w:rsidR="006C6208" w:rsidRPr="006C6208" w:rsidRDefault="006C6208" w:rsidP="00742E19">
            <w:pPr>
              <w:pStyle w:val="Tabletext1"/>
            </w:pPr>
            <w:r w:rsidRPr="006C6208">
              <w:t>92%</w:t>
            </w:r>
            <w:r w:rsidR="00742E19" w:rsidRPr="00742E19">
              <w:rPr>
                <w:vertAlign w:val="superscript"/>
              </w:rPr>
              <w:t>A</w:t>
            </w:r>
          </w:p>
        </w:tc>
        <w:tc>
          <w:tcPr>
            <w:tcW w:w="489" w:type="pct"/>
            <w:tcBorders>
              <w:top w:val="nil"/>
              <w:left w:val="nil"/>
              <w:bottom w:val="single" w:sz="4" w:space="0" w:color="auto"/>
              <w:right w:val="single" w:sz="4" w:space="0" w:color="auto"/>
            </w:tcBorders>
            <w:shd w:val="clear" w:color="auto" w:fill="auto"/>
            <w:vAlign w:val="center"/>
            <w:hideMark/>
          </w:tcPr>
          <w:p w14:paraId="5AD2B373" w14:textId="77777777" w:rsidR="006C6208" w:rsidRPr="006C6208" w:rsidRDefault="006C6208" w:rsidP="00844A1A">
            <w:pPr>
              <w:pStyle w:val="Tabletext1"/>
            </w:pPr>
            <w:r w:rsidRPr="006C6208">
              <w:t>1</w:t>
            </w:r>
          </w:p>
        </w:tc>
        <w:tc>
          <w:tcPr>
            <w:tcW w:w="798" w:type="pct"/>
            <w:tcBorders>
              <w:top w:val="single" w:sz="4" w:space="0" w:color="auto"/>
              <w:left w:val="nil"/>
              <w:bottom w:val="nil"/>
              <w:right w:val="single" w:sz="4" w:space="0" w:color="auto"/>
            </w:tcBorders>
            <w:shd w:val="clear" w:color="auto" w:fill="auto"/>
            <w:vAlign w:val="center"/>
            <w:hideMark/>
          </w:tcPr>
          <w:p w14:paraId="603B26A8" w14:textId="77777777" w:rsidR="006C6208" w:rsidRPr="006C6208" w:rsidRDefault="006C6208" w:rsidP="00844A1A">
            <w:pPr>
              <w:pStyle w:val="Tabletext1"/>
            </w:pPr>
            <w:r w:rsidRPr="006C6208">
              <w:t xml:space="preserve"> MBS Item 61523</w:t>
            </w:r>
          </w:p>
        </w:tc>
      </w:tr>
      <w:tr w:rsidR="006C6208" w:rsidRPr="006C6208" w14:paraId="68502587" w14:textId="77777777" w:rsidTr="005022D0">
        <w:trPr>
          <w:cantSplit/>
          <w:trHeight w:val="64"/>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311C1847" w14:textId="77777777" w:rsidR="006C6208" w:rsidRPr="006C6208" w:rsidRDefault="006C6208" w:rsidP="00844A1A">
            <w:pPr>
              <w:pStyle w:val="Tabletext1"/>
            </w:pPr>
            <w:r w:rsidRPr="006C6208">
              <w:t>Medical consultation</w:t>
            </w:r>
          </w:p>
        </w:tc>
        <w:tc>
          <w:tcPr>
            <w:tcW w:w="595" w:type="pct"/>
            <w:tcBorders>
              <w:top w:val="nil"/>
              <w:left w:val="nil"/>
              <w:bottom w:val="single" w:sz="4" w:space="0" w:color="auto"/>
              <w:right w:val="single" w:sz="4" w:space="0" w:color="auto"/>
            </w:tcBorders>
            <w:shd w:val="clear" w:color="auto" w:fill="auto"/>
            <w:vAlign w:val="center"/>
            <w:hideMark/>
          </w:tcPr>
          <w:p w14:paraId="1DDC35DC"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240AF923" w14:textId="77777777" w:rsidR="006C6208" w:rsidRPr="006C6208" w:rsidRDefault="006C6208" w:rsidP="00844A1A">
            <w:pPr>
              <w:pStyle w:val="Tabletext1"/>
            </w:pPr>
            <w:r w:rsidRPr="006C6208">
              <w:t>263.90</w:t>
            </w:r>
          </w:p>
        </w:tc>
        <w:tc>
          <w:tcPr>
            <w:tcW w:w="474" w:type="pct"/>
            <w:tcBorders>
              <w:top w:val="nil"/>
              <w:left w:val="nil"/>
              <w:bottom w:val="single" w:sz="4" w:space="0" w:color="auto"/>
              <w:right w:val="single" w:sz="4" w:space="0" w:color="auto"/>
            </w:tcBorders>
            <w:shd w:val="clear" w:color="auto" w:fill="auto"/>
            <w:vAlign w:val="center"/>
            <w:hideMark/>
          </w:tcPr>
          <w:p w14:paraId="540480BD" w14:textId="77777777" w:rsidR="006C6208" w:rsidRPr="006C6208" w:rsidRDefault="006C6208" w:rsidP="00844A1A">
            <w:pPr>
              <w:pStyle w:val="Tabletext1"/>
            </w:pPr>
            <w:r w:rsidRPr="006C6208">
              <w:t>263.90</w:t>
            </w:r>
          </w:p>
        </w:tc>
        <w:tc>
          <w:tcPr>
            <w:tcW w:w="535" w:type="pct"/>
            <w:tcBorders>
              <w:top w:val="nil"/>
              <w:left w:val="nil"/>
              <w:bottom w:val="single" w:sz="4" w:space="0" w:color="auto"/>
              <w:right w:val="single" w:sz="4" w:space="0" w:color="auto"/>
            </w:tcBorders>
            <w:shd w:val="clear" w:color="auto" w:fill="auto"/>
            <w:vAlign w:val="center"/>
            <w:hideMark/>
          </w:tcPr>
          <w:p w14:paraId="4BCBC85F" w14:textId="77777777" w:rsidR="006C6208" w:rsidRPr="006C6208" w:rsidRDefault="006C6208" w:rsidP="00844A1A">
            <w:pPr>
              <w:pStyle w:val="Tabletext1"/>
            </w:pPr>
            <w:r w:rsidRPr="006C6208">
              <w:t>85%</w:t>
            </w:r>
          </w:p>
        </w:tc>
        <w:tc>
          <w:tcPr>
            <w:tcW w:w="489" w:type="pct"/>
            <w:tcBorders>
              <w:top w:val="nil"/>
              <w:left w:val="nil"/>
              <w:bottom w:val="single" w:sz="4" w:space="0" w:color="auto"/>
              <w:right w:val="single" w:sz="4" w:space="0" w:color="auto"/>
            </w:tcBorders>
            <w:shd w:val="clear" w:color="auto" w:fill="auto"/>
            <w:vAlign w:val="center"/>
            <w:hideMark/>
          </w:tcPr>
          <w:p w14:paraId="63D2CC10" w14:textId="77777777" w:rsidR="006C6208" w:rsidRPr="006C6208" w:rsidRDefault="006C6208" w:rsidP="00844A1A">
            <w:pPr>
              <w:pStyle w:val="Tabletext1"/>
            </w:pPr>
            <w:r w:rsidRPr="006C6208">
              <w:t>1</w:t>
            </w:r>
          </w:p>
        </w:tc>
        <w:tc>
          <w:tcPr>
            <w:tcW w:w="798" w:type="pct"/>
            <w:tcBorders>
              <w:top w:val="single" w:sz="4" w:space="0" w:color="auto"/>
              <w:left w:val="nil"/>
              <w:bottom w:val="single" w:sz="4" w:space="0" w:color="auto"/>
              <w:right w:val="single" w:sz="4" w:space="0" w:color="auto"/>
            </w:tcBorders>
            <w:shd w:val="clear" w:color="auto" w:fill="auto"/>
            <w:vAlign w:val="center"/>
            <w:hideMark/>
          </w:tcPr>
          <w:p w14:paraId="28EB5CB4" w14:textId="77777777" w:rsidR="006C6208" w:rsidRPr="006C6208" w:rsidRDefault="006C6208" w:rsidP="00844A1A">
            <w:pPr>
              <w:pStyle w:val="Tabletext1"/>
            </w:pPr>
            <w:r w:rsidRPr="006C6208">
              <w:t>MBS Item 132</w:t>
            </w:r>
          </w:p>
        </w:tc>
      </w:tr>
      <w:tr w:rsidR="005022D0" w:rsidRPr="006C6208" w14:paraId="0F31E0B4" w14:textId="77777777" w:rsidTr="005022D0">
        <w:trPr>
          <w:cantSplit/>
          <w:trHeight w:val="285"/>
        </w:trPr>
        <w:tc>
          <w:tcPr>
            <w:tcW w:w="1605" w:type="pct"/>
            <w:tcBorders>
              <w:top w:val="single" w:sz="4" w:space="0" w:color="auto"/>
              <w:left w:val="single" w:sz="4" w:space="0" w:color="auto"/>
              <w:bottom w:val="single" w:sz="4" w:space="0" w:color="auto"/>
            </w:tcBorders>
            <w:shd w:val="clear" w:color="auto" w:fill="D9D9D9" w:themeFill="background1" w:themeFillShade="D9"/>
            <w:vAlign w:val="center"/>
            <w:hideMark/>
          </w:tcPr>
          <w:p w14:paraId="6F1072D1" w14:textId="77777777" w:rsidR="005022D0" w:rsidRPr="00664E49" w:rsidRDefault="005022D0" w:rsidP="00844A1A">
            <w:pPr>
              <w:pStyle w:val="Tabletext1"/>
              <w:rPr>
                <w:b/>
              </w:rPr>
            </w:pPr>
            <w:r w:rsidRPr="00664E49">
              <w:rPr>
                <w:b/>
              </w:rPr>
              <w:t>Medical services – intervention (Non IMRT Course, not Department of Veterans Affairs)</w:t>
            </w:r>
          </w:p>
        </w:tc>
        <w:tc>
          <w:tcPr>
            <w:tcW w:w="595" w:type="pct"/>
            <w:tcBorders>
              <w:top w:val="single" w:sz="4" w:space="0" w:color="auto"/>
              <w:bottom w:val="single" w:sz="4" w:space="0" w:color="auto"/>
            </w:tcBorders>
            <w:shd w:val="clear" w:color="auto" w:fill="D9D9D9" w:themeFill="background1" w:themeFillShade="D9"/>
            <w:vAlign w:val="center"/>
          </w:tcPr>
          <w:p w14:paraId="6511C112" w14:textId="77777777" w:rsidR="005022D0" w:rsidRPr="00664E49" w:rsidRDefault="005022D0" w:rsidP="00844A1A">
            <w:pPr>
              <w:pStyle w:val="Tabletext1"/>
              <w:rPr>
                <w:b/>
              </w:rPr>
            </w:pPr>
          </w:p>
        </w:tc>
        <w:tc>
          <w:tcPr>
            <w:tcW w:w="504" w:type="pct"/>
            <w:tcBorders>
              <w:top w:val="single" w:sz="4" w:space="0" w:color="auto"/>
              <w:bottom w:val="single" w:sz="4" w:space="0" w:color="auto"/>
            </w:tcBorders>
            <w:shd w:val="clear" w:color="auto" w:fill="D9D9D9" w:themeFill="background1" w:themeFillShade="D9"/>
            <w:vAlign w:val="center"/>
          </w:tcPr>
          <w:p w14:paraId="7528C732" w14:textId="77777777" w:rsidR="005022D0" w:rsidRPr="00664E49" w:rsidRDefault="005022D0" w:rsidP="00844A1A">
            <w:pPr>
              <w:pStyle w:val="Tabletext1"/>
              <w:rPr>
                <w:b/>
              </w:rPr>
            </w:pPr>
          </w:p>
        </w:tc>
        <w:tc>
          <w:tcPr>
            <w:tcW w:w="474" w:type="pct"/>
            <w:tcBorders>
              <w:top w:val="single" w:sz="4" w:space="0" w:color="auto"/>
              <w:bottom w:val="single" w:sz="4" w:space="0" w:color="auto"/>
            </w:tcBorders>
            <w:shd w:val="clear" w:color="auto" w:fill="D9D9D9" w:themeFill="background1" w:themeFillShade="D9"/>
            <w:vAlign w:val="center"/>
          </w:tcPr>
          <w:p w14:paraId="386ECC70" w14:textId="77777777" w:rsidR="005022D0" w:rsidRPr="00664E49" w:rsidRDefault="005022D0" w:rsidP="00844A1A">
            <w:pPr>
              <w:pStyle w:val="Tabletext1"/>
              <w:rPr>
                <w:b/>
              </w:rPr>
            </w:pPr>
          </w:p>
        </w:tc>
        <w:tc>
          <w:tcPr>
            <w:tcW w:w="535" w:type="pct"/>
            <w:tcBorders>
              <w:top w:val="single" w:sz="4" w:space="0" w:color="auto"/>
              <w:bottom w:val="single" w:sz="4" w:space="0" w:color="auto"/>
            </w:tcBorders>
            <w:shd w:val="clear" w:color="auto" w:fill="D9D9D9" w:themeFill="background1" w:themeFillShade="D9"/>
            <w:vAlign w:val="center"/>
          </w:tcPr>
          <w:p w14:paraId="0DA5C785" w14:textId="77777777" w:rsidR="005022D0" w:rsidRPr="00664E49" w:rsidRDefault="005022D0" w:rsidP="00844A1A">
            <w:pPr>
              <w:pStyle w:val="Tabletext1"/>
              <w:rPr>
                <w:b/>
              </w:rPr>
            </w:pPr>
          </w:p>
        </w:tc>
        <w:tc>
          <w:tcPr>
            <w:tcW w:w="489" w:type="pct"/>
            <w:tcBorders>
              <w:top w:val="single" w:sz="4" w:space="0" w:color="auto"/>
              <w:bottom w:val="single" w:sz="4" w:space="0" w:color="auto"/>
            </w:tcBorders>
            <w:shd w:val="clear" w:color="auto" w:fill="D9D9D9" w:themeFill="background1" w:themeFillShade="D9"/>
            <w:vAlign w:val="center"/>
          </w:tcPr>
          <w:p w14:paraId="2BE40332" w14:textId="77777777" w:rsidR="005022D0" w:rsidRPr="00664E49" w:rsidRDefault="005022D0" w:rsidP="00844A1A">
            <w:pPr>
              <w:pStyle w:val="Tabletext1"/>
              <w:rPr>
                <w:b/>
              </w:rPr>
            </w:pPr>
          </w:p>
        </w:tc>
        <w:tc>
          <w:tcPr>
            <w:tcW w:w="798" w:type="pct"/>
            <w:tcBorders>
              <w:top w:val="single" w:sz="4" w:space="0" w:color="auto"/>
              <w:bottom w:val="single" w:sz="4" w:space="0" w:color="auto"/>
              <w:right w:val="single" w:sz="4" w:space="0" w:color="auto"/>
            </w:tcBorders>
            <w:shd w:val="clear" w:color="auto" w:fill="D9D9D9" w:themeFill="background1" w:themeFillShade="D9"/>
            <w:vAlign w:val="center"/>
          </w:tcPr>
          <w:p w14:paraId="65BC9876" w14:textId="61C8CA94" w:rsidR="005022D0" w:rsidRPr="00664E49" w:rsidRDefault="005022D0" w:rsidP="00844A1A">
            <w:pPr>
              <w:pStyle w:val="Tabletext1"/>
              <w:rPr>
                <w:b/>
              </w:rPr>
            </w:pPr>
          </w:p>
        </w:tc>
      </w:tr>
      <w:tr w:rsidR="006C6208" w:rsidRPr="006C6208" w14:paraId="03CDF9EF" w14:textId="77777777" w:rsidTr="00DF4EA2">
        <w:trPr>
          <w:cantSplit/>
          <w:trHeight w:val="81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07861A35" w14:textId="77777777" w:rsidR="006C6208" w:rsidRPr="006C6208" w:rsidRDefault="006C6208" w:rsidP="00844A1A">
            <w:pPr>
              <w:pStyle w:val="Tabletext1"/>
            </w:pPr>
            <w:r w:rsidRPr="006C6208">
              <w:t>SPECIALIST, REFERRED CONSULTATION - SURGERY OR HOSPITAL - professional attendance at consulting rooms or hospital by a specialist in the practice of his or her specialty where the patient is referred</w:t>
            </w:r>
          </w:p>
        </w:tc>
        <w:tc>
          <w:tcPr>
            <w:tcW w:w="595" w:type="pct"/>
            <w:tcBorders>
              <w:top w:val="nil"/>
              <w:left w:val="nil"/>
              <w:bottom w:val="single" w:sz="4" w:space="0" w:color="auto"/>
              <w:right w:val="single" w:sz="4" w:space="0" w:color="auto"/>
            </w:tcBorders>
            <w:shd w:val="clear" w:color="auto" w:fill="auto"/>
            <w:vAlign w:val="center"/>
            <w:hideMark/>
          </w:tcPr>
          <w:p w14:paraId="3EA81B4D"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522C2DB7" w14:textId="77777777" w:rsidR="006C6208" w:rsidRPr="006C6208" w:rsidRDefault="006C6208" w:rsidP="00844A1A">
            <w:pPr>
              <w:pStyle w:val="Tabletext1"/>
            </w:pPr>
            <w:r w:rsidRPr="006C6208">
              <w:t>85.55</w:t>
            </w:r>
          </w:p>
        </w:tc>
        <w:tc>
          <w:tcPr>
            <w:tcW w:w="474" w:type="pct"/>
            <w:tcBorders>
              <w:top w:val="nil"/>
              <w:left w:val="nil"/>
              <w:bottom w:val="single" w:sz="4" w:space="0" w:color="auto"/>
              <w:right w:val="single" w:sz="4" w:space="0" w:color="auto"/>
            </w:tcBorders>
            <w:shd w:val="clear" w:color="auto" w:fill="auto"/>
            <w:vAlign w:val="center"/>
            <w:hideMark/>
          </w:tcPr>
          <w:p w14:paraId="03E2B008" w14:textId="77777777" w:rsidR="006C6208" w:rsidRPr="006C6208" w:rsidRDefault="006C6208" w:rsidP="00844A1A">
            <w:pPr>
              <w:pStyle w:val="Tabletext1"/>
            </w:pPr>
            <w:r w:rsidRPr="006C6208">
              <w:t>85.55</w:t>
            </w:r>
          </w:p>
        </w:tc>
        <w:tc>
          <w:tcPr>
            <w:tcW w:w="535" w:type="pct"/>
            <w:tcBorders>
              <w:top w:val="nil"/>
              <w:left w:val="nil"/>
              <w:bottom w:val="single" w:sz="4" w:space="0" w:color="auto"/>
              <w:right w:val="single" w:sz="4" w:space="0" w:color="auto"/>
            </w:tcBorders>
            <w:shd w:val="clear" w:color="auto" w:fill="auto"/>
            <w:vAlign w:val="center"/>
            <w:hideMark/>
          </w:tcPr>
          <w:p w14:paraId="2A87E19F" w14:textId="77777777" w:rsidR="006C6208" w:rsidRPr="006C6208" w:rsidRDefault="006C6208" w:rsidP="00844A1A">
            <w:pPr>
              <w:pStyle w:val="Tabletext1"/>
            </w:pPr>
            <w:r w:rsidRPr="006C6208">
              <w:t>85%</w:t>
            </w:r>
          </w:p>
        </w:tc>
        <w:tc>
          <w:tcPr>
            <w:tcW w:w="489" w:type="pct"/>
            <w:tcBorders>
              <w:top w:val="nil"/>
              <w:left w:val="nil"/>
              <w:bottom w:val="single" w:sz="4" w:space="0" w:color="auto"/>
              <w:right w:val="single" w:sz="4" w:space="0" w:color="auto"/>
            </w:tcBorders>
            <w:shd w:val="clear" w:color="auto" w:fill="auto"/>
            <w:vAlign w:val="center"/>
            <w:hideMark/>
          </w:tcPr>
          <w:p w14:paraId="39E76BE0" w14:textId="77777777" w:rsidR="006C6208" w:rsidRPr="006C6208" w:rsidRDefault="006C6208" w:rsidP="00844A1A">
            <w:pPr>
              <w:pStyle w:val="Tabletext1"/>
            </w:pPr>
            <w:r w:rsidRPr="006C6208">
              <w:t>1</w:t>
            </w:r>
          </w:p>
        </w:tc>
        <w:tc>
          <w:tcPr>
            <w:tcW w:w="798" w:type="pct"/>
            <w:tcBorders>
              <w:top w:val="nil"/>
              <w:left w:val="nil"/>
              <w:bottom w:val="nil"/>
              <w:right w:val="single" w:sz="4" w:space="0" w:color="auto"/>
            </w:tcBorders>
            <w:shd w:val="clear" w:color="auto" w:fill="auto"/>
            <w:vAlign w:val="center"/>
            <w:hideMark/>
          </w:tcPr>
          <w:p w14:paraId="7E22456A" w14:textId="77777777" w:rsidR="006C6208" w:rsidRPr="006C6208" w:rsidRDefault="006C6208" w:rsidP="00844A1A">
            <w:pPr>
              <w:pStyle w:val="Tabletext1"/>
            </w:pPr>
            <w:r w:rsidRPr="006C6208">
              <w:t>MBS Item 104</w:t>
            </w:r>
          </w:p>
        </w:tc>
      </w:tr>
      <w:tr w:rsidR="006C6208" w:rsidRPr="006C6208" w14:paraId="4D3AA334" w14:textId="77777777" w:rsidTr="00DF4EA2">
        <w:trPr>
          <w:cantSplit/>
          <w:trHeight w:val="64"/>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0FF9F435" w14:textId="77777777" w:rsidR="006C6208" w:rsidRPr="006C6208" w:rsidRDefault="006C6208" w:rsidP="00844A1A">
            <w:pPr>
              <w:pStyle w:val="Tabletext1"/>
            </w:pPr>
            <w:r w:rsidRPr="006C6208">
              <w:t>SIMULATION FOR THREE-DIMENSIONAL CONFORMAL RADIOTHERAPY</w:t>
            </w:r>
          </w:p>
        </w:tc>
        <w:tc>
          <w:tcPr>
            <w:tcW w:w="595" w:type="pct"/>
            <w:tcBorders>
              <w:top w:val="nil"/>
              <w:left w:val="nil"/>
              <w:bottom w:val="single" w:sz="4" w:space="0" w:color="auto"/>
              <w:right w:val="single" w:sz="4" w:space="0" w:color="auto"/>
            </w:tcBorders>
            <w:shd w:val="clear" w:color="auto" w:fill="auto"/>
            <w:vAlign w:val="center"/>
            <w:hideMark/>
          </w:tcPr>
          <w:p w14:paraId="031A5971"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24E602C5" w14:textId="77777777" w:rsidR="006C6208" w:rsidRPr="006C6208" w:rsidRDefault="006C6208" w:rsidP="00844A1A">
            <w:pPr>
              <w:pStyle w:val="Tabletext1"/>
            </w:pPr>
            <w:r w:rsidRPr="006C6208">
              <w:t>658.60</w:t>
            </w:r>
          </w:p>
        </w:tc>
        <w:tc>
          <w:tcPr>
            <w:tcW w:w="474" w:type="pct"/>
            <w:tcBorders>
              <w:top w:val="nil"/>
              <w:left w:val="nil"/>
              <w:bottom w:val="single" w:sz="4" w:space="0" w:color="auto"/>
              <w:right w:val="single" w:sz="4" w:space="0" w:color="auto"/>
            </w:tcBorders>
            <w:shd w:val="clear" w:color="auto" w:fill="auto"/>
            <w:vAlign w:val="center"/>
            <w:hideMark/>
          </w:tcPr>
          <w:p w14:paraId="2704F452" w14:textId="77777777" w:rsidR="006C6208" w:rsidRPr="006C6208" w:rsidRDefault="006C6208" w:rsidP="00844A1A">
            <w:pPr>
              <w:pStyle w:val="Tabletext1"/>
            </w:pPr>
            <w:r w:rsidRPr="006C6208">
              <w:t>658.60</w:t>
            </w:r>
          </w:p>
        </w:tc>
        <w:tc>
          <w:tcPr>
            <w:tcW w:w="535" w:type="pct"/>
            <w:tcBorders>
              <w:top w:val="nil"/>
              <w:left w:val="nil"/>
              <w:bottom w:val="single" w:sz="4" w:space="0" w:color="auto"/>
              <w:right w:val="single" w:sz="4" w:space="0" w:color="auto"/>
            </w:tcBorders>
            <w:shd w:val="clear" w:color="auto" w:fill="auto"/>
            <w:vAlign w:val="center"/>
            <w:hideMark/>
          </w:tcPr>
          <w:p w14:paraId="041DB37A" w14:textId="2AF7ED91" w:rsidR="006C6208" w:rsidRPr="006C6208" w:rsidRDefault="006C6208" w:rsidP="00742E19">
            <w:pPr>
              <w:pStyle w:val="Tabletext1"/>
            </w:pPr>
            <w:r w:rsidRPr="006C6208">
              <w:t>88%</w:t>
            </w:r>
            <w:r w:rsidR="00742E19" w:rsidRPr="00742E19">
              <w:rPr>
                <w:vertAlign w:val="superscript"/>
              </w:rPr>
              <w:t>B</w:t>
            </w:r>
          </w:p>
        </w:tc>
        <w:tc>
          <w:tcPr>
            <w:tcW w:w="489" w:type="pct"/>
            <w:tcBorders>
              <w:top w:val="nil"/>
              <w:left w:val="nil"/>
              <w:bottom w:val="single" w:sz="4" w:space="0" w:color="auto"/>
              <w:right w:val="single" w:sz="4" w:space="0" w:color="auto"/>
            </w:tcBorders>
            <w:shd w:val="clear" w:color="auto" w:fill="auto"/>
            <w:vAlign w:val="center"/>
            <w:hideMark/>
          </w:tcPr>
          <w:p w14:paraId="027AFFF4" w14:textId="77777777" w:rsidR="006C6208" w:rsidRPr="006C6208" w:rsidRDefault="006C6208" w:rsidP="00844A1A">
            <w:pPr>
              <w:pStyle w:val="Tabletext1"/>
            </w:pPr>
            <w:r w:rsidRPr="006C6208">
              <w:t>1</w:t>
            </w:r>
          </w:p>
        </w:tc>
        <w:tc>
          <w:tcPr>
            <w:tcW w:w="798" w:type="pct"/>
            <w:tcBorders>
              <w:top w:val="single" w:sz="4" w:space="0" w:color="auto"/>
              <w:left w:val="nil"/>
              <w:bottom w:val="single" w:sz="4" w:space="0" w:color="auto"/>
              <w:right w:val="single" w:sz="4" w:space="0" w:color="auto"/>
            </w:tcBorders>
            <w:shd w:val="clear" w:color="auto" w:fill="auto"/>
            <w:vAlign w:val="center"/>
            <w:hideMark/>
          </w:tcPr>
          <w:p w14:paraId="43B9E2B2" w14:textId="77777777" w:rsidR="006C6208" w:rsidRPr="006C6208" w:rsidRDefault="006C6208" w:rsidP="00844A1A">
            <w:pPr>
              <w:pStyle w:val="Tabletext1"/>
            </w:pPr>
            <w:r w:rsidRPr="006C6208">
              <w:t>MBS Item 15550</w:t>
            </w:r>
          </w:p>
        </w:tc>
      </w:tr>
      <w:tr w:rsidR="006C6208" w:rsidRPr="006C6208" w14:paraId="540C3DAB" w14:textId="77777777" w:rsidTr="00DF4EA2">
        <w:trPr>
          <w:cantSplit/>
          <w:trHeight w:val="51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5D93D8E2" w14:textId="77777777" w:rsidR="006C6208" w:rsidRPr="006C6208" w:rsidRDefault="006C6208" w:rsidP="00844A1A">
            <w:pPr>
              <w:pStyle w:val="Tabletext1"/>
            </w:pPr>
            <w:r w:rsidRPr="006C6208">
              <w:t>DOSIMETRY FOR THREE-DIMENSIONAL CONFORMAL RADIOTHERAPY OF LEVEL 3 COMPLEXITY</w:t>
            </w:r>
          </w:p>
        </w:tc>
        <w:tc>
          <w:tcPr>
            <w:tcW w:w="595" w:type="pct"/>
            <w:tcBorders>
              <w:top w:val="nil"/>
              <w:left w:val="nil"/>
              <w:bottom w:val="single" w:sz="4" w:space="0" w:color="auto"/>
              <w:right w:val="single" w:sz="4" w:space="0" w:color="auto"/>
            </w:tcBorders>
            <w:shd w:val="clear" w:color="auto" w:fill="auto"/>
            <w:vAlign w:val="center"/>
            <w:hideMark/>
          </w:tcPr>
          <w:p w14:paraId="0BF42B86"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313669DB" w14:textId="77777777" w:rsidR="006C6208" w:rsidRPr="006C6208" w:rsidRDefault="006C6208" w:rsidP="00844A1A">
            <w:pPr>
              <w:pStyle w:val="Tabletext1"/>
            </w:pPr>
            <w:r w:rsidRPr="006C6208">
              <w:t>1,120.75</w:t>
            </w:r>
          </w:p>
        </w:tc>
        <w:tc>
          <w:tcPr>
            <w:tcW w:w="474" w:type="pct"/>
            <w:tcBorders>
              <w:top w:val="nil"/>
              <w:left w:val="nil"/>
              <w:bottom w:val="single" w:sz="4" w:space="0" w:color="auto"/>
              <w:right w:val="single" w:sz="4" w:space="0" w:color="auto"/>
            </w:tcBorders>
            <w:shd w:val="clear" w:color="auto" w:fill="auto"/>
            <w:vAlign w:val="center"/>
            <w:hideMark/>
          </w:tcPr>
          <w:p w14:paraId="0F87B68D" w14:textId="77777777" w:rsidR="006C6208" w:rsidRPr="006C6208" w:rsidRDefault="006C6208" w:rsidP="00844A1A">
            <w:pPr>
              <w:pStyle w:val="Tabletext1"/>
            </w:pPr>
            <w:r w:rsidRPr="006C6208">
              <w:t>1,120.75</w:t>
            </w:r>
          </w:p>
        </w:tc>
        <w:tc>
          <w:tcPr>
            <w:tcW w:w="535" w:type="pct"/>
            <w:tcBorders>
              <w:top w:val="nil"/>
              <w:left w:val="nil"/>
              <w:bottom w:val="single" w:sz="4" w:space="0" w:color="auto"/>
              <w:right w:val="single" w:sz="4" w:space="0" w:color="auto"/>
            </w:tcBorders>
            <w:shd w:val="clear" w:color="auto" w:fill="auto"/>
            <w:vAlign w:val="center"/>
            <w:hideMark/>
          </w:tcPr>
          <w:p w14:paraId="6472F758" w14:textId="6447A0FD" w:rsidR="006C6208" w:rsidRPr="006C6208" w:rsidRDefault="006C6208" w:rsidP="00742E19">
            <w:pPr>
              <w:pStyle w:val="Tabletext1"/>
            </w:pPr>
            <w:r w:rsidRPr="006C6208">
              <w:t>93%</w:t>
            </w:r>
            <w:r w:rsidR="00742E19" w:rsidRPr="00742E19">
              <w:rPr>
                <w:vertAlign w:val="superscript"/>
              </w:rPr>
              <w:t>C</w:t>
            </w:r>
          </w:p>
        </w:tc>
        <w:tc>
          <w:tcPr>
            <w:tcW w:w="489" w:type="pct"/>
            <w:tcBorders>
              <w:top w:val="nil"/>
              <w:left w:val="nil"/>
              <w:bottom w:val="single" w:sz="4" w:space="0" w:color="auto"/>
              <w:right w:val="single" w:sz="4" w:space="0" w:color="auto"/>
            </w:tcBorders>
            <w:shd w:val="clear" w:color="auto" w:fill="auto"/>
            <w:vAlign w:val="center"/>
            <w:hideMark/>
          </w:tcPr>
          <w:p w14:paraId="2987C6AF" w14:textId="77777777" w:rsidR="006C6208" w:rsidRPr="006C6208" w:rsidRDefault="006C6208" w:rsidP="00844A1A">
            <w:pPr>
              <w:pStyle w:val="Tabletext1"/>
            </w:pPr>
            <w:r w:rsidRPr="006C6208">
              <w:t>1</w:t>
            </w:r>
          </w:p>
        </w:tc>
        <w:tc>
          <w:tcPr>
            <w:tcW w:w="798" w:type="pct"/>
            <w:tcBorders>
              <w:top w:val="nil"/>
              <w:left w:val="nil"/>
              <w:bottom w:val="single" w:sz="4" w:space="0" w:color="auto"/>
              <w:right w:val="single" w:sz="4" w:space="0" w:color="auto"/>
            </w:tcBorders>
            <w:shd w:val="clear" w:color="auto" w:fill="auto"/>
            <w:vAlign w:val="center"/>
            <w:hideMark/>
          </w:tcPr>
          <w:p w14:paraId="58DDE7A3" w14:textId="77777777" w:rsidR="006C6208" w:rsidRPr="006C6208" w:rsidRDefault="006C6208" w:rsidP="00844A1A">
            <w:pPr>
              <w:pStyle w:val="Tabletext1"/>
            </w:pPr>
            <w:r w:rsidRPr="006C6208">
              <w:t>MBS Item 15562</w:t>
            </w:r>
          </w:p>
        </w:tc>
      </w:tr>
      <w:tr w:rsidR="006C6208" w:rsidRPr="006C6208" w14:paraId="6D0F31F7" w14:textId="77777777" w:rsidTr="00DF4EA2">
        <w:trPr>
          <w:cantSplit/>
          <w:trHeight w:val="127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74A6A0B6" w14:textId="77777777" w:rsidR="006C6208" w:rsidRPr="006C6208" w:rsidRDefault="006C6208" w:rsidP="00844A1A">
            <w:pPr>
              <w:pStyle w:val="Tabletext1"/>
            </w:pPr>
            <w:r w:rsidRPr="006C6208">
              <w:t>RADIATION ONCOLOGY TREATMENT, using a dual photon energy linear accelerator with a minimum higher energy of at least 10MV photons, with electron facilities - each attendance at which treatment is given - 1 field - treatment delivered to primary site for diseases and conditions not covered by items 15245, 15248 or 15251</w:t>
            </w:r>
          </w:p>
        </w:tc>
        <w:tc>
          <w:tcPr>
            <w:tcW w:w="595" w:type="pct"/>
            <w:tcBorders>
              <w:top w:val="nil"/>
              <w:left w:val="nil"/>
              <w:bottom w:val="single" w:sz="4" w:space="0" w:color="auto"/>
              <w:right w:val="single" w:sz="4" w:space="0" w:color="auto"/>
            </w:tcBorders>
            <w:shd w:val="clear" w:color="auto" w:fill="auto"/>
            <w:vAlign w:val="center"/>
            <w:hideMark/>
          </w:tcPr>
          <w:p w14:paraId="37704CEB"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6A43B54D" w14:textId="77777777" w:rsidR="006C6208" w:rsidRPr="006C6208" w:rsidRDefault="006C6208" w:rsidP="00844A1A">
            <w:pPr>
              <w:pStyle w:val="Tabletext1"/>
            </w:pPr>
            <w:r w:rsidRPr="006C6208">
              <w:t>59.65</w:t>
            </w:r>
          </w:p>
        </w:tc>
        <w:tc>
          <w:tcPr>
            <w:tcW w:w="474" w:type="pct"/>
            <w:tcBorders>
              <w:top w:val="nil"/>
              <w:left w:val="nil"/>
              <w:bottom w:val="single" w:sz="4" w:space="0" w:color="auto"/>
              <w:right w:val="single" w:sz="4" w:space="0" w:color="auto"/>
            </w:tcBorders>
            <w:shd w:val="clear" w:color="auto" w:fill="auto"/>
            <w:vAlign w:val="center"/>
            <w:hideMark/>
          </w:tcPr>
          <w:p w14:paraId="428F3452" w14:textId="77777777" w:rsidR="006C6208" w:rsidRPr="006C6208" w:rsidRDefault="006C6208" w:rsidP="00844A1A">
            <w:pPr>
              <w:pStyle w:val="Tabletext1"/>
            </w:pPr>
            <w:r w:rsidRPr="006C6208">
              <w:t>59.65</w:t>
            </w:r>
          </w:p>
        </w:tc>
        <w:tc>
          <w:tcPr>
            <w:tcW w:w="535" w:type="pct"/>
            <w:tcBorders>
              <w:top w:val="nil"/>
              <w:left w:val="nil"/>
              <w:bottom w:val="single" w:sz="4" w:space="0" w:color="auto"/>
              <w:right w:val="single" w:sz="4" w:space="0" w:color="auto"/>
            </w:tcBorders>
            <w:shd w:val="clear" w:color="auto" w:fill="auto"/>
            <w:vAlign w:val="center"/>
            <w:hideMark/>
          </w:tcPr>
          <w:p w14:paraId="0AD71678" w14:textId="77777777" w:rsidR="006C6208" w:rsidRPr="006C6208" w:rsidRDefault="006C6208" w:rsidP="00844A1A">
            <w:pPr>
              <w:pStyle w:val="Tabletext1"/>
            </w:pPr>
            <w:r w:rsidRPr="006C6208">
              <w:t>85%</w:t>
            </w:r>
          </w:p>
        </w:tc>
        <w:tc>
          <w:tcPr>
            <w:tcW w:w="489" w:type="pct"/>
            <w:tcBorders>
              <w:top w:val="nil"/>
              <w:left w:val="nil"/>
              <w:bottom w:val="single" w:sz="4" w:space="0" w:color="auto"/>
              <w:right w:val="single" w:sz="4" w:space="0" w:color="auto"/>
            </w:tcBorders>
            <w:shd w:val="clear" w:color="auto" w:fill="auto"/>
            <w:vAlign w:val="center"/>
            <w:hideMark/>
          </w:tcPr>
          <w:p w14:paraId="7885A38D" w14:textId="77777777" w:rsidR="006C6208" w:rsidRPr="006C6208" w:rsidRDefault="006C6208" w:rsidP="00844A1A">
            <w:pPr>
              <w:pStyle w:val="Tabletext1"/>
            </w:pPr>
            <w:r w:rsidRPr="006C6208">
              <w:t>4</w:t>
            </w:r>
          </w:p>
        </w:tc>
        <w:tc>
          <w:tcPr>
            <w:tcW w:w="798" w:type="pct"/>
            <w:tcBorders>
              <w:top w:val="nil"/>
              <w:left w:val="nil"/>
              <w:bottom w:val="single" w:sz="4" w:space="0" w:color="auto"/>
              <w:right w:val="single" w:sz="4" w:space="0" w:color="auto"/>
            </w:tcBorders>
            <w:shd w:val="clear" w:color="auto" w:fill="auto"/>
            <w:vAlign w:val="center"/>
            <w:hideMark/>
          </w:tcPr>
          <w:p w14:paraId="39E04DA3" w14:textId="77777777" w:rsidR="006C6208" w:rsidRPr="006C6208" w:rsidRDefault="006C6208" w:rsidP="00844A1A">
            <w:pPr>
              <w:pStyle w:val="Tabletext1"/>
            </w:pPr>
            <w:r w:rsidRPr="006C6208">
              <w:t>MBS Item 15254 1F (primary field)</w:t>
            </w:r>
          </w:p>
        </w:tc>
      </w:tr>
      <w:tr w:rsidR="006C6208" w:rsidRPr="006C6208" w14:paraId="33E2DE74" w14:textId="77777777" w:rsidTr="00DF4EA2">
        <w:trPr>
          <w:cantSplit/>
          <w:trHeight w:val="102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7AFCC311" w14:textId="77777777" w:rsidR="006C6208" w:rsidRPr="006C6208" w:rsidRDefault="006C6208" w:rsidP="00844A1A">
            <w:pPr>
              <w:pStyle w:val="Tabletext1"/>
            </w:pPr>
            <w:r w:rsidRPr="006C6208">
              <w:lastRenderedPageBreak/>
              <w:t>RADIATION ONCOLOGY TREATMENT, using a dual photon energy linear accelerator with a minimum higher energy of at least 10MV photons, with electron facilities - each attendance at which treatment is given -  to a maximum of 5 additional fields treatment delivered to primary site (lung)</w:t>
            </w:r>
          </w:p>
        </w:tc>
        <w:tc>
          <w:tcPr>
            <w:tcW w:w="595" w:type="pct"/>
            <w:tcBorders>
              <w:top w:val="nil"/>
              <w:left w:val="nil"/>
              <w:bottom w:val="single" w:sz="4" w:space="0" w:color="auto"/>
              <w:right w:val="single" w:sz="4" w:space="0" w:color="auto"/>
            </w:tcBorders>
            <w:shd w:val="clear" w:color="auto" w:fill="auto"/>
            <w:vAlign w:val="center"/>
            <w:hideMark/>
          </w:tcPr>
          <w:p w14:paraId="4DD46A92"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69094591" w14:textId="77777777" w:rsidR="006C6208" w:rsidRPr="006C6208" w:rsidRDefault="006C6208" w:rsidP="00844A1A">
            <w:pPr>
              <w:pStyle w:val="Tabletext1"/>
            </w:pPr>
            <w:r w:rsidRPr="006C6208">
              <w:t>37.95</w:t>
            </w:r>
          </w:p>
        </w:tc>
        <w:tc>
          <w:tcPr>
            <w:tcW w:w="474" w:type="pct"/>
            <w:tcBorders>
              <w:top w:val="nil"/>
              <w:left w:val="nil"/>
              <w:bottom w:val="single" w:sz="4" w:space="0" w:color="auto"/>
              <w:right w:val="single" w:sz="4" w:space="0" w:color="auto"/>
            </w:tcBorders>
            <w:shd w:val="clear" w:color="auto" w:fill="auto"/>
            <w:vAlign w:val="center"/>
            <w:hideMark/>
          </w:tcPr>
          <w:p w14:paraId="23BEC669" w14:textId="77777777" w:rsidR="006C6208" w:rsidRPr="006C6208" w:rsidRDefault="006C6208" w:rsidP="00844A1A">
            <w:pPr>
              <w:pStyle w:val="Tabletext1"/>
            </w:pPr>
            <w:r w:rsidRPr="006C6208">
              <w:t>37.95</w:t>
            </w:r>
          </w:p>
        </w:tc>
        <w:tc>
          <w:tcPr>
            <w:tcW w:w="535" w:type="pct"/>
            <w:tcBorders>
              <w:top w:val="nil"/>
              <w:left w:val="nil"/>
              <w:bottom w:val="single" w:sz="4" w:space="0" w:color="auto"/>
              <w:right w:val="single" w:sz="4" w:space="0" w:color="auto"/>
            </w:tcBorders>
            <w:shd w:val="clear" w:color="auto" w:fill="auto"/>
            <w:vAlign w:val="center"/>
            <w:hideMark/>
          </w:tcPr>
          <w:p w14:paraId="68CE71D9" w14:textId="77777777" w:rsidR="006C6208" w:rsidRPr="006C6208" w:rsidRDefault="006C6208" w:rsidP="00844A1A">
            <w:pPr>
              <w:pStyle w:val="Tabletext1"/>
            </w:pPr>
            <w:r w:rsidRPr="006C6208">
              <w:t>85%</w:t>
            </w:r>
          </w:p>
        </w:tc>
        <w:tc>
          <w:tcPr>
            <w:tcW w:w="489" w:type="pct"/>
            <w:tcBorders>
              <w:top w:val="nil"/>
              <w:left w:val="nil"/>
              <w:bottom w:val="single" w:sz="4" w:space="0" w:color="auto"/>
              <w:right w:val="single" w:sz="4" w:space="0" w:color="auto"/>
            </w:tcBorders>
            <w:shd w:val="clear" w:color="auto" w:fill="auto"/>
            <w:vAlign w:val="center"/>
            <w:hideMark/>
          </w:tcPr>
          <w:p w14:paraId="52F28B84" w14:textId="77777777" w:rsidR="006C6208" w:rsidRPr="006C6208" w:rsidRDefault="006C6208" w:rsidP="00844A1A">
            <w:pPr>
              <w:pStyle w:val="Tabletext1"/>
            </w:pPr>
            <w:r w:rsidRPr="006C6208">
              <w:t>20</w:t>
            </w:r>
          </w:p>
        </w:tc>
        <w:tc>
          <w:tcPr>
            <w:tcW w:w="798" w:type="pct"/>
            <w:tcBorders>
              <w:top w:val="nil"/>
              <w:left w:val="nil"/>
              <w:bottom w:val="single" w:sz="4" w:space="0" w:color="auto"/>
              <w:right w:val="single" w:sz="4" w:space="0" w:color="auto"/>
            </w:tcBorders>
            <w:shd w:val="clear" w:color="auto" w:fill="auto"/>
            <w:vAlign w:val="center"/>
            <w:hideMark/>
          </w:tcPr>
          <w:p w14:paraId="3DDF2031" w14:textId="77777777" w:rsidR="006C6208" w:rsidRPr="006C6208" w:rsidRDefault="006C6208" w:rsidP="00844A1A">
            <w:pPr>
              <w:pStyle w:val="Tabletext1"/>
            </w:pPr>
            <w:r w:rsidRPr="006C6208">
              <w:t>MBS Item 15260 5F (Secondary Field)</w:t>
            </w:r>
          </w:p>
        </w:tc>
      </w:tr>
      <w:tr w:rsidR="006C6208" w:rsidRPr="006C6208" w14:paraId="74A47BFE" w14:textId="77777777" w:rsidTr="00DF4EA2">
        <w:trPr>
          <w:cantSplit/>
          <w:trHeight w:val="108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217CDC23" w14:textId="77777777" w:rsidR="006C6208" w:rsidRPr="006C6208" w:rsidRDefault="006C6208" w:rsidP="00844A1A">
            <w:pPr>
              <w:pStyle w:val="Tabletext1"/>
            </w:pPr>
            <w:r w:rsidRPr="006C6208">
              <w:t xml:space="preserve">RADIATION ONCOLOGY TREATMENT VERIFICATION - volumetric acquisition, when prescribed and reviewed by a radiation oncologist and not associated with item 15700 or 15705 - each attendance at which treatment involving three fields or more is verified (ie maximum one per attendance). </w:t>
            </w:r>
          </w:p>
        </w:tc>
        <w:tc>
          <w:tcPr>
            <w:tcW w:w="595" w:type="pct"/>
            <w:tcBorders>
              <w:top w:val="nil"/>
              <w:left w:val="nil"/>
              <w:bottom w:val="single" w:sz="4" w:space="0" w:color="auto"/>
              <w:right w:val="single" w:sz="4" w:space="0" w:color="auto"/>
            </w:tcBorders>
            <w:shd w:val="clear" w:color="auto" w:fill="auto"/>
            <w:vAlign w:val="center"/>
            <w:hideMark/>
          </w:tcPr>
          <w:p w14:paraId="4E15F5F1"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3B89067A" w14:textId="77777777" w:rsidR="006C6208" w:rsidRPr="006C6208" w:rsidRDefault="006C6208" w:rsidP="00844A1A">
            <w:pPr>
              <w:pStyle w:val="Tabletext1"/>
            </w:pPr>
            <w:r w:rsidRPr="006C6208">
              <w:t>76.60</w:t>
            </w:r>
          </w:p>
        </w:tc>
        <w:tc>
          <w:tcPr>
            <w:tcW w:w="474" w:type="pct"/>
            <w:tcBorders>
              <w:top w:val="nil"/>
              <w:left w:val="nil"/>
              <w:bottom w:val="single" w:sz="4" w:space="0" w:color="auto"/>
              <w:right w:val="single" w:sz="4" w:space="0" w:color="auto"/>
            </w:tcBorders>
            <w:shd w:val="clear" w:color="auto" w:fill="auto"/>
            <w:vAlign w:val="center"/>
            <w:hideMark/>
          </w:tcPr>
          <w:p w14:paraId="12CA4DB1" w14:textId="77777777" w:rsidR="006C6208" w:rsidRPr="006C6208" w:rsidRDefault="006C6208" w:rsidP="00844A1A">
            <w:pPr>
              <w:pStyle w:val="Tabletext1"/>
            </w:pPr>
            <w:r w:rsidRPr="006C6208">
              <w:t>76.60</w:t>
            </w:r>
          </w:p>
        </w:tc>
        <w:tc>
          <w:tcPr>
            <w:tcW w:w="535" w:type="pct"/>
            <w:tcBorders>
              <w:top w:val="nil"/>
              <w:left w:val="nil"/>
              <w:bottom w:val="single" w:sz="4" w:space="0" w:color="auto"/>
              <w:right w:val="single" w:sz="4" w:space="0" w:color="auto"/>
            </w:tcBorders>
            <w:shd w:val="clear" w:color="auto" w:fill="auto"/>
            <w:vAlign w:val="center"/>
            <w:hideMark/>
          </w:tcPr>
          <w:p w14:paraId="76132AD5" w14:textId="77777777" w:rsidR="006C6208" w:rsidRPr="006C6208" w:rsidRDefault="006C6208" w:rsidP="00844A1A">
            <w:pPr>
              <w:pStyle w:val="Tabletext1"/>
            </w:pPr>
            <w:r w:rsidRPr="006C6208">
              <w:t>85%</w:t>
            </w:r>
          </w:p>
        </w:tc>
        <w:tc>
          <w:tcPr>
            <w:tcW w:w="489" w:type="pct"/>
            <w:tcBorders>
              <w:top w:val="nil"/>
              <w:left w:val="nil"/>
              <w:bottom w:val="single" w:sz="4" w:space="0" w:color="auto"/>
              <w:right w:val="single" w:sz="4" w:space="0" w:color="auto"/>
            </w:tcBorders>
            <w:shd w:val="clear" w:color="auto" w:fill="auto"/>
            <w:vAlign w:val="center"/>
            <w:hideMark/>
          </w:tcPr>
          <w:p w14:paraId="585F1BAC" w14:textId="77777777" w:rsidR="006C6208" w:rsidRPr="006C6208" w:rsidRDefault="006C6208" w:rsidP="00844A1A">
            <w:pPr>
              <w:pStyle w:val="Tabletext1"/>
            </w:pPr>
            <w:r w:rsidRPr="006C6208">
              <w:t>4</w:t>
            </w:r>
          </w:p>
        </w:tc>
        <w:tc>
          <w:tcPr>
            <w:tcW w:w="798" w:type="pct"/>
            <w:tcBorders>
              <w:top w:val="nil"/>
              <w:left w:val="nil"/>
              <w:bottom w:val="single" w:sz="4" w:space="0" w:color="auto"/>
              <w:right w:val="single" w:sz="4" w:space="0" w:color="auto"/>
            </w:tcBorders>
            <w:shd w:val="clear" w:color="auto" w:fill="auto"/>
            <w:vAlign w:val="center"/>
            <w:hideMark/>
          </w:tcPr>
          <w:p w14:paraId="53B57DB5" w14:textId="77777777" w:rsidR="006C6208" w:rsidRPr="006C6208" w:rsidRDefault="006C6208" w:rsidP="00844A1A">
            <w:pPr>
              <w:pStyle w:val="Tabletext1"/>
            </w:pPr>
            <w:r w:rsidRPr="006C6208">
              <w:t>MBS Item 15710</w:t>
            </w:r>
          </w:p>
        </w:tc>
      </w:tr>
      <w:tr w:rsidR="006C6208" w:rsidRPr="006C6208" w14:paraId="698E13A2" w14:textId="77777777" w:rsidTr="00DF4EA2">
        <w:trPr>
          <w:cantSplit/>
          <w:trHeight w:val="64"/>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6535A70C" w14:textId="77777777" w:rsidR="006C6208" w:rsidRPr="006C6208" w:rsidRDefault="006C6208" w:rsidP="00844A1A">
            <w:pPr>
              <w:pStyle w:val="Tabletext1"/>
            </w:pPr>
            <w:r w:rsidRPr="006C6208">
              <w:t>RPG - Linac</w:t>
            </w:r>
          </w:p>
        </w:tc>
        <w:tc>
          <w:tcPr>
            <w:tcW w:w="595" w:type="pct"/>
            <w:tcBorders>
              <w:top w:val="nil"/>
              <w:left w:val="nil"/>
              <w:bottom w:val="single" w:sz="4" w:space="0" w:color="auto"/>
              <w:right w:val="single" w:sz="4" w:space="0" w:color="auto"/>
            </w:tcBorders>
            <w:shd w:val="clear" w:color="auto" w:fill="auto"/>
            <w:vAlign w:val="center"/>
            <w:hideMark/>
          </w:tcPr>
          <w:p w14:paraId="5656673A" w14:textId="77777777" w:rsidR="006C6208" w:rsidRPr="006C6208" w:rsidRDefault="006C6208" w:rsidP="00844A1A">
            <w:pPr>
              <w:pStyle w:val="Tabletext1"/>
            </w:pPr>
            <w:r w:rsidRPr="006C6208">
              <w:t> </w:t>
            </w:r>
          </w:p>
        </w:tc>
        <w:tc>
          <w:tcPr>
            <w:tcW w:w="504" w:type="pct"/>
            <w:tcBorders>
              <w:top w:val="nil"/>
              <w:left w:val="nil"/>
              <w:bottom w:val="single" w:sz="4" w:space="0" w:color="auto"/>
              <w:right w:val="single" w:sz="4" w:space="0" w:color="auto"/>
            </w:tcBorders>
            <w:shd w:val="clear" w:color="auto" w:fill="auto"/>
            <w:vAlign w:val="center"/>
            <w:hideMark/>
          </w:tcPr>
          <w:p w14:paraId="4BC2FD2D" w14:textId="77777777" w:rsidR="006C6208" w:rsidRPr="006C6208" w:rsidRDefault="006C6208" w:rsidP="00844A1A">
            <w:pPr>
              <w:pStyle w:val="Tabletext1"/>
            </w:pPr>
            <w:r w:rsidRPr="006C6208">
              <w:t> </w:t>
            </w:r>
          </w:p>
        </w:tc>
        <w:tc>
          <w:tcPr>
            <w:tcW w:w="474" w:type="pct"/>
            <w:tcBorders>
              <w:top w:val="nil"/>
              <w:left w:val="nil"/>
              <w:bottom w:val="single" w:sz="4" w:space="0" w:color="auto"/>
              <w:right w:val="single" w:sz="4" w:space="0" w:color="auto"/>
            </w:tcBorders>
            <w:shd w:val="clear" w:color="auto" w:fill="auto"/>
            <w:vAlign w:val="center"/>
            <w:hideMark/>
          </w:tcPr>
          <w:p w14:paraId="127790C6" w14:textId="77777777" w:rsidR="006C6208" w:rsidRPr="006C6208" w:rsidRDefault="006C6208" w:rsidP="00844A1A">
            <w:pPr>
              <w:pStyle w:val="Tabletext1"/>
            </w:pPr>
            <w:r w:rsidRPr="006C6208">
              <w:t> </w:t>
            </w:r>
          </w:p>
        </w:tc>
        <w:tc>
          <w:tcPr>
            <w:tcW w:w="535" w:type="pct"/>
            <w:tcBorders>
              <w:top w:val="nil"/>
              <w:left w:val="nil"/>
              <w:bottom w:val="single" w:sz="4" w:space="0" w:color="auto"/>
              <w:right w:val="single" w:sz="4" w:space="0" w:color="auto"/>
            </w:tcBorders>
            <w:shd w:val="clear" w:color="auto" w:fill="auto"/>
            <w:vAlign w:val="center"/>
            <w:hideMark/>
          </w:tcPr>
          <w:p w14:paraId="0FF9C536" w14:textId="77777777" w:rsidR="006C6208" w:rsidRPr="006C6208" w:rsidRDefault="006C6208" w:rsidP="00844A1A">
            <w:pPr>
              <w:pStyle w:val="Tabletext1"/>
            </w:pPr>
            <w:r w:rsidRPr="006C6208">
              <w:t> </w:t>
            </w:r>
          </w:p>
        </w:tc>
        <w:tc>
          <w:tcPr>
            <w:tcW w:w="489" w:type="pct"/>
            <w:tcBorders>
              <w:top w:val="nil"/>
              <w:left w:val="nil"/>
              <w:bottom w:val="single" w:sz="4" w:space="0" w:color="auto"/>
              <w:right w:val="single" w:sz="4" w:space="0" w:color="auto"/>
            </w:tcBorders>
            <w:shd w:val="clear" w:color="auto" w:fill="auto"/>
            <w:vAlign w:val="center"/>
            <w:hideMark/>
          </w:tcPr>
          <w:p w14:paraId="7C0F74D1" w14:textId="77777777" w:rsidR="006C6208" w:rsidRPr="006C6208" w:rsidRDefault="006C6208" w:rsidP="00844A1A">
            <w:pPr>
              <w:pStyle w:val="Tabletext1"/>
            </w:pPr>
            <w:r w:rsidRPr="006C6208">
              <w:t> </w:t>
            </w:r>
          </w:p>
        </w:tc>
        <w:tc>
          <w:tcPr>
            <w:tcW w:w="798" w:type="pct"/>
            <w:tcBorders>
              <w:top w:val="nil"/>
              <w:left w:val="nil"/>
              <w:bottom w:val="single" w:sz="4" w:space="0" w:color="auto"/>
              <w:right w:val="single" w:sz="4" w:space="0" w:color="auto"/>
            </w:tcBorders>
            <w:shd w:val="clear" w:color="auto" w:fill="auto"/>
            <w:vAlign w:val="center"/>
            <w:hideMark/>
          </w:tcPr>
          <w:p w14:paraId="78016BB6" w14:textId="77777777" w:rsidR="006C6208" w:rsidRPr="006C6208" w:rsidRDefault="006C6208" w:rsidP="00844A1A">
            <w:pPr>
              <w:pStyle w:val="Tabletext1"/>
            </w:pPr>
            <w:r w:rsidRPr="006C6208">
              <w:t> </w:t>
            </w:r>
          </w:p>
        </w:tc>
      </w:tr>
      <w:tr w:rsidR="006C6208" w:rsidRPr="006C6208" w14:paraId="06C86948" w14:textId="77777777" w:rsidTr="00DF4EA2">
        <w:trPr>
          <w:cantSplit/>
          <w:trHeight w:val="64"/>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0A942B0F" w14:textId="77777777" w:rsidR="006C6208" w:rsidRPr="006C6208" w:rsidRDefault="006C6208" w:rsidP="00844A1A">
            <w:pPr>
              <w:pStyle w:val="Tabletext1"/>
              <w:rPr>
                <w:color w:val="000000"/>
              </w:rPr>
            </w:pPr>
            <w:r w:rsidRPr="006C6208">
              <w:rPr>
                <w:color w:val="000000"/>
              </w:rPr>
              <w:t>15254 Primary treatment field</w:t>
            </w:r>
          </w:p>
        </w:tc>
        <w:tc>
          <w:tcPr>
            <w:tcW w:w="595" w:type="pct"/>
            <w:tcBorders>
              <w:top w:val="nil"/>
              <w:left w:val="nil"/>
              <w:bottom w:val="single" w:sz="4" w:space="0" w:color="auto"/>
              <w:right w:val="single" w:sz="4" w:space="0" w:color="auto"/>
            </w:tcBorders>
            <w:shd w:val="clear" w:color="auto" w:fill="auto"/>
            <w:vAlign w:val="center"/>
            <w:hideMark/>
          </w:tcPr>
          <w:p w14:paraId="7144A5EE"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719E803D" w14:textId="77777777" w:rsidR="006C6208" w:rsidRPr="006C6208" w:rsidRDefault="006C6208" w:rsidP="00844A1A">
            <w:pPr>
              <w:pStyle w:val="Tabletext1"/>
              <w:rPr>
                <w:color w:val="000000"/>
              </w:rPr>
            </w:pPr>
            <w:r w:rsidRPr="006C6208">
              <w:rPr>
                <w:color w:val="000000"/>
              </w:rPr>
              <w:t>36.12</w:t>
            </w:r>
          </w:p>
        </w:tc>
        <w:tc>
          <w:tcPr>
            <w:tcW w:w="474" w:type="pct"/>
            <w:tcBorders>
              <w:top w:val="nil"/>
              <w:left w:val="nil"/>
              <w:bottom w:val="single" w:sz="4" w:space="0" w:color="auto"/>
              <w:right w:val="single" w:sz="4" w:space="0" w:color="auto"/>
            </w:tcBorders>
            <w:shd w:val="clear" w:color="auto" w:fill="auto"/>
            <w:vAlign w:val="center"/>
            <w:hideMark/>
          </w:tcPr>
          <w:p w14:paraId="68AA89D6" w14:textId="77777777" w:rsidR="006C6208" w:rsidRPr="006C6208" w:rsidRDefault="006C6208" w:rsidP="00844A1A">
            <w:pPr>
              <w:pStyle w:val="Tabletext1"/>
            </w:pPr>
            <w:r w:rsidRPr="006C6208">
              <w:t>0.00</w:t>
            </w:r>
          </w:p>
        </w:tc>
        <w:tc>
          <w:tcPr>
            <w:tcW w:w="535" w:type="pct"/>
            <w:tcBorders>
              <w:top w:val="nil"/>
              <w:left w:val="nil"/>
              <w:bottom w:val="single" w:sz="4" w:space="0" w:color="auto"/>
              <w:right w:val="single" w:sz="4" w:space="0" w:color="auto"/>
            </w:tcBorders>
            <w:shd w:val="clear" w:color="auto" w:fill="auto"/>
            <w:vAlign w:val="center"/>
            <w:hideMark/>
          </w:tcPr>
          <w:p w14:paraId="7176C350" w14:textId="77777777" w:rsidR="006C6208" w:rsidRPr="006C6208" w:rsidRDefault="006C6208" w:rsidP="00844A1A">
            <w:pPr>
              <w:pStyle w:val="Tabletext1"/>
            </w:pPr>
            <w:r w:rsidRPr="006C6208">
              <w:t>0.00</w:t>
            </w:r>
          </w:p>
        </w:tc>
        <w:tc>
          <w:tcPr>
            <w:tcW w:w="489" w:type="pct"/>
            <w:tcBorders>
              <w:top w:val="nil"/>
              <w:left w:val="nil"/>
              <w:bottom w:val="single" w:sz="4" w:space="0" w:color="auto"/>
              <w:right w:val="single" w:sz="4" w:space="0" w:color="auto"/>
            </w:tcBorders>
            <w:shd w:val="clear" w:color="auto" w:fill="auto"/>
            <w:vAlign w:val="center"/>
            <w:hideMark/>
          </w:tcPr>
          <w:p w14:paraId="742FB577" w14:textId="77777777" w:rsidR="006C6208" w:rsidRPr="006C6208" w:rsidRDefault="006C6208" w:rsidP="00844A1A">
            <w:pPr>
              <w:pStyle w:val="Tabletext1"/>
            </w:pPr>
            <w:r w:rsidRPr="006C6208">
              <w:t>4</w:t>
            </w:r>
          </w:p>
        </w:tc>
        <w:tc>
          <w:tcPr>
            <w:tcW w:w="798" w:type="pct"/>
            <w:tcBorders>
              <w:top w:val="nil"/>
              <w:left w:val="nil"/>
              <w:bottom w:val="single" w:sz="4" w:space="0" w:color="auto"/>
              <w:right w:val="single" w:sz="4" w:space="0" w:color="auto"/>
            </w:tcBorders>
            <w:shd w:val="clear" w:color="auto" w:fill="auto"/>
            <w:vAlign w:val="center"/>
            <w:hideMark/>
          </w:tcPr>
          <w:p w14:paraId="65519B87" w14:textId="77777777" w:rsidR="006C6208" w:rsidRPr="006C6208" w:rsidRDefault="006C6208" w:rsidP="00844A1A">
            <w:pPr>
              <w:pStyle w:val="Tabletext1"/>
            </w:pPr>
            <w:r w:rsidRPr="006C6208">
              <w:t>RPG</w:t>
            </w:r>
          </w:p>
        </w:tc>
      </w:tr>
      <w:tr w:rsidR="006C6208" w:rsidRPr="006C6208" w14:paraId="380DC6DF" w14:textId="77777777" w:rsidTr="00DF4EA2">
        <w:trPr>
          <w:cantSplit/>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517B9D76" w14:textId="77777777" w:rsidR="006C6208" w:rsidRPr="006C6208" w:rsidRDefault="006C6208" w:rsidP="00844A1A">
            <w:pPr>
              <w:pStyle w:val="Tabletext1"/>
              <w:rPr>
                <w:color w:val="000000"/>
              </w:rPr>
            </w:pPr>
            <w:r w:rsidRPr="006C6208">
              <w:rPr>
                <w:color w:val="000000"/>
              </w:rPr>
              <w:t>15550 Simulation</w:t>
            </w:r>
          </w:p>
        </w:tc>
        <w:tc>
          <w:tcPr>
            <w:tcW w:w="595" w:type="pct"/>
            <w:tcBorders>
              <w:top w:val="nil"/>
              <w:left w:val="nil"/>
              <w:bottom w:val="single" w:sz="4" w:space="0" w:color="auto"/>
              <w:right w:val="single" w:sz="4" w:space="0" w:color="auto"/>
            </w:tcBorders>
            <w:shd w:val="clear" w:color="auto" w:fill="auto"/>
            <w:vAlign w:val="center"/>
            <w:hideMark/>
          </w:tcPr>
          <w:p w14:paraId="0E549B73"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5EDC4D9D" w14:textId="77777777" w:rsidR="006C6208" w:rsidRPr="006C6208" w:rsidRDefault="006C6208" w:rsidP="00844A1A">
            <w:pPr>
              <w:pStyle w:val="Tabletext1"/>
              <w:rPr>
                <w:color w:val="000000"/>
              </w:rPr>
            </w:pPr>
            <w:r w:rsidRPr="006C6208">
              <w:rPr>
                <w:color w:val="000000"/>
              </w:rPr>
              <w:t>65.2</w:t>
            </w:r>
          </w:p>
        </w:tc>
        <w:tc>
          <w:tcPr>
            <w:tcW w:w="474" w:type="pct"/>
            <w:tcBorders>
              <w:top w:val="nil"/>
              <w:left w:val="nil"/>
              <w:bottom w:val="single" w:sz="4" w:space="0" w:color="auto"/>
              <w:right w:val="single" w:sz="4" w:space="0" w:color="auto"/>
            </w:tcBorders>
            <w:shd w:val="clear" w:color="auto" w:fill="auto"/>
            <w:vAlign w:val="center"/>
            <w:hideMark/>
          </w:tcPr>
          <w:p w14:paraId="449A5AC6" w14:textId="77777777" w:rsidR="006C6208" w:rsidRPr="006C6208" w:rsidRDefault="006C6208" w:rsidP="00844A1A">
            <w:pPr>
              <w:pStyle w:val="Tabletext1"/>
            </w:pPr>
            <w:r w:rsidRPr="006C6208">
              <w:t>0.00</w:t>
            </w:r>
          </w:p>
        </w:tc>
        <w:tc>
          <w:tcPr>
            <w:tcW w:w="535" w:type="pct"/>
            <w:tcBorders>
              <w:top w:val="nil"/>
              <w:left w:val="nil"/>
              <w:bottom w:val="single" w:sz="4" w:space="0" w:color="auto"/>
              <w:right w:val="single" w:sz="4" w:space="0" w:color="auto"/>
            </w:tcBorders>
            <w:shd w:val="clear" w:color="auto" w:fill="auto"/>
            <w:vAlign w:val="center"/>
            <w:hideMark/>
          </w:tcPr>
          <w:p w14:paraId="7099367E" w14:textId="77777777" w:rsidR="006C6208" w:rsidRPr="006C6208" w:rsidRDefault="006C6208" w:rsidP="00844A1A">
            <w:pPr>
              <w:pStyle w:val="Tabletext1"/>
            </w:pPr>
            <w:r w:rsidRPr="006C6208">
              <w:t>0.00</w:t>
            </w:r>
          </w:p>
        </w:tc>
        <w:tc>
          <w:tcPr>
            <w:tcW w:w="489" w:type="pct"/>
            <w:tcBorders>
              <w:top w:val="nil"/>
              <w:left w:val="nil"/>
              <w:bottom w:val="single" w:sz="4" w:space="0" w:color="auto"/>
              <w:right w:val="single" w:sz="4" w:space="0" w:color="auto"/>
            </w:tcBorders>
            <w:shd w:val="clear" w:color="auto" w:fill="auto"/>
            <w:vAlign w:val="center"/>
            <w:hideMark/>
          </w:tcPr>
          <w:p w14:paraId="40CC7470" w14:textId="77777777" w:rsidR="006C6208" w:rsidRPr="006C6208" w:rsidRDefault="006C6208" w:rsidP="00844A1A">
            <w:pPr>
              <w:pStyle w:val="Tabletext1"/>
            </w:pPr>
            <w:r w:rsidRPr="006C6208">
              <w:t>1</w:t>
            </w:r>
          </w:p>
        </w:tc>
        <w:tc>
          <w:tcPr>
            <w:tcW w:w="798" w:type="pct"/>
            <w:tcBorders>
              <w:top w:val="nil"/>
              <w:left w:val="nil"/>
              <w:bottom w:val="single" w:sz="4" w:space="0" w:color="auto"/>
              <w:right w:val="single" w:sz="4" w:space="0" w:color="auto"/>
            </w:tcBorders>
            <w:shd w:val="clear" w:color="auto" w:fill="auto"/>
            <w:vAlign w:val="center"/>
            <w:hideMark/>
          </w:tcPr>
          <w:p w14:paraId="7E9BBF7B" w14:textId="77777777" w:rsidR="006C6208" w:rsidRPr="006C6208" w:rsidRDefault="006C6208" w:rsidP="00844A1A">
            <w:pPr>
              <w:pStyle w:val="Tabletext1"/>
            </w:pPr>
            <w:r w:rsidRPr="006C6208">
              <w:t>RPG</w:t>
            </w:r>
          </w:p>
        </w:tc>
      </w:tr>
      <w:tr w:rsidR="006C6208" w:rsidRPr="006C6208" w14:paraId="4F6657E8" w14:textId="77777777" w:rsidTr="000211F1">
        <w:trPr>
          <w:cantSplit/>
          <w:trHeight w:val="64"/>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03933627" w14:textId="77777777" w:rsidR="006C6208" w:rsidRPr="006C6208" w:rsidRDefault="006C6208" w:rsidP="00844A1A">
            <w:pPr>
              <w:pStyle w:val="Tabletext1"/>
              <w:rPr>
                <w:color w:val="000000"/>
              </w:rPr>
            </w:pPr>
            <w:r w:rsidRPr="006C6208">
              <w:rPr>
                <w:color w:val="000000"/>
              </w:rPr>
              <w:t>15562-Level 6-Plan</w:t>
            </w:r>
          </w:p>
        </w:tc>
        <w:tc>
          <w:tcPr>
            <w:tcW w:w="595" w:type="pct"/>
            <w:tcBorders>
              <w:top w:val="nil"/>
              <w:left w:val="nil"/>
              <w:bottom w:val="single" w:sz="4" w:space="0" w:color="auto"/>
              <w:right w:val="single" w:sz="4" w:space="0" w:color="auto"/>
            </w:tcBorders>
            <w:shd w:val="clear" w:color="auto" w:fill="auto"/>
            <w:vAlign w:val="center"/>
            <w:hideMark/>
          </w:tcPr>
          <w:p w14:paraId="4191212D"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77B29F39" w14:textId="77777777" w:rsidR="006C6208" w:rsidRPr="006C6208" w:rsidRDefault="006C6208" w:rsidP="00844A1A">
            <w:pPr>
              <w:pStyle w:val="Tabletext1"/>
              <w:rPr>
                <w:color w:val="000000"/>
              </w:rPr>
            </w:pPr>
            <w:r w:rsidRPr="006C6208">
              <w:rPr>
                <w:color w:val="000000"/>
              </w:rPr>
              <w:t>83.82</w:t>
            </w:r>
          </w:p>
        </w:tc>
        <w:tc>
          <w:tcPr>
            <w:tcW w:w="474" w:type="pct"/>
            <w:tcBorders>
              <w:top w:val="nil"/>
              <w:left w:val="nil"/>
              <w:bottom w:val="single" w:sz="4" w:space="0" w:color="auto"/>
              <w:right w:val="single" w:sz="4" w:space="0" w:color="auto"/>
            </w:tcBorders>
            <w:shd w:val="clear" w:color="auto" w:fill="auto"/>
            <w:vAlign w:val="center"/>
            <w:hideMark/>
          </w:tcPr>
          <w:p w14:paraId="1A9352C8" w14:textId="77777777" w:rsidR="006C6208" w:rsidRPr="006C6208" w:rsidRDefault="006C6208" w:rsidP="00844A1A">
            <w:pPr>
              <w:pStyle w:val="Tabletext1"/>
            </w:pPr>
            <w:r w:rsidRPr="006C6208">
              <w:t>0.00</w:t>
            </w:r>
          </w:p>
        </w:tc>
        <w:tc>
          <w:tcPr>
            <w:tcW w:w="535" w:type="pct"/>
            <w:tcBorders>
              <w:top w:val="nil"/>
              <w:left w:val="nil"/>
              <w:bottom w:val="single" w:sz="4" w:space="0" w:color="auto"/>
              <w:right w:val="single" w:sz="4" w:space="0" w:color="auto"/>
            </w:tcBorders>
            <w:shd w:val="clear" w:color="auto" w:fill="auto"/>
            <w:vAlign w:val="center"/>
            <w:hideMark/>
          </w:tcPr>
          <w:p w14:paraId="20DB8CEA" w14:textId="77777777" w:rsidR="006C6208" w:rsidRPr="006C6208" w:rsidRDefault="006C6208" w:rsidP="00844A1A">
            <w:pPr>
              <w:pStyle w:val="Tabletext1"/>
            </w:pPr>
            <w:r w:rsidRPr="006C6208">
              <w:t>0.00</w:t>
            </w:r>
          </w:p>
        </w:tc>
        <w:tc>
          <w:tcPr>
            <w:tcW w:w="489" w:type="pct"/>
            <w:tcBorders>
              <w:top w:val="nil"/>
              <w:left w:val="nil"/>
              <w:bottom w:val="single" w:sz="4" w:space="0" w:color="auto"/>
              <w:right w:val="single" w:sz="4" w:space="0" w:color="auto"/>
            </w:tcBorders>
            <w:shd w:val="clear" w:color="auto" w:fill="auto"/>
            <w:vAlign w:val="center"/>
            <w:hideMark/>
          </w:tcPr>
          <w:p w14:paraId="21B9A0B6" w14:textId="77777777" w:rsidR="006C6208" w:rsidRPr="006C6208" w:rsidRDefault="006C6208" w:rsidP="00844A1A">
            <w:pPr>
              <w:pStyle w:val="Tabletext1"/>
            </w:pPr>
            <w:r w:rsidRPr="006C6208">
              <w:t>1</w:t>
            </w:r>
          </w:p>
        </w:tc>
        <w:tc>
          <w:tcPr>
            <w:tcW w:w="798" w:type="pct"/>
            <w:tcBorders>
              <w:top w:val="nil"/>
              <w:left w:val="nil"/>
              <w:bottom w:val="single" w:sz="4" w:space="0" w:color="auto"/>
              <w:right w:val="single" w:sz="4" w:space="0" w:color="auto"/>
            </w:tcBorders>
            <w:shd w:val="clear" w:color="auto" w:fill="auto"/>
            <w:vAlign w:val="center"/>
            <w:hideMark/>
          </w:tcPr>
          <w:p w14:paraId="69572654" w14:textId="77777777" w:rsidR="006C6208" w:rsidRPr="006C6208" w:rsidRDefault="006C6208" w:rsidP="00844A1A">
            <w:pPr>
              <w:pStyle w:val="Tabletext1"/>
            </w:pPr>
            <w:r w:rsidRPr="006C6208">
              <w:t>RPG</w:t>
            </w:r>
          </w:p>
        </w:tc>
      </w:tr>
      <w:tr w:rsidR="005022D0" w:rsidRPr="006C6208" w14:paraId="369C469B" w14:textId="77777777" w:rsidTr="000211F1">
        <w:trPr>
          <w:cantSplit/>
          <w:trHeight w:val="270"/>
        </w:trPr>
        <w:tc>
          <w:tcPr>
            <w:tcW w:w="1605" w:type="pct"/>
            <w:tcBorders>
              <w:top w:val="nil"/>
              <w:left w:val="single" w:sz="4" w:space="0" w:color="auto"/>
              <w:bottom w:val="single" w:sz="4" w:space="0" w:color="auto"/>
            </w:tcBorders>
            <w:shd w:val="clear" w:color="auto" w:fill="D9D9D9" w:themeFill="background1" w:themeFillShade="D9"/>
            <w:vAlign w:val="center"/>
            <w:hideMark/>
          </w:tcPr>
          <w:p w14:paraId="24472EA2" w14:textId="77777777" w:rsidR="006C6208" w:rsidRPr="00664E49" w:rsidRDefault="006C6208" w:rsidP="00844A1A">
            <w:pPr>
              <w:pStyle w:val="Tabletext1"/>
              <w:rPr>
                <w:b/>
              </w:rPr>
            </w:pPr>
            <w:r w:rsidRPr="00664E49">
              <w:rPr>
                <w:b/>
              </w:rPr>
              <w:t>Medical services – post intervention follow-up</w:t>
            </w:r>
          </w:p>
        </w:tc>
        <w:tc>
          <w:tcPr>
            <w:tcW w:w="595" w:type="pct"/>
            <w:tcBorders>
              <w:top w:val="single" w:sz="4" w:space="0" w:color="auto"/>
              <w:bottom w:val="single" w:sz="4" w:space="0" w:color="auto"/>
            </w:tcBorders>
            <w:shd w:val="clear" w:color="auto" w:fill="D9D9D9" w:themeFill="background1" w:themeFillShade="D9"/>
            <w:vAlign w:val="center"/>
            <w:hideMark/>
          </w:tcPr>
          <w:p w14:paraId="59D4BE0A" w14:textId="77777777" w:rsidR="006C6208" w:rsidRPr="00664E49" w:rsidRDefault="006C6208" w:rsidP="00844A1A">
            <w:pPr>
              <w:pStyle w:val="Tabletext1"/>
              <w:rPr>
                <w:b/>
              </w:rPr>
            </w:pPr>
            <w:r w:rsidRPr="00664E49">
              <w:rPr>
                <w:b/>
              </w:rPr>
              <w:t> </w:t>
            </w:r>
          </w:p>
        </w:tc>
        <w:tc>
          <w:tcPr>
            <w:tcW w:w="504" w:type="pct"/>
            <w:tcBorders>
              <w:top w:val="single" w:sz="4" w:space="0" w:color="auto"/>
              <w:bottom w:val="single" w:sz="4" w:space="0" w:color="auto"/>
            </w:tcBorders>
            <w:shd w:val="clear" w:color="auto" w:fill="D9D9D9" w:themeFill="background1" w:themeFillShade="D9"/>
            <w:vAlign w:val="center"/>
            <w:hideMark/>
          </w:tcPr>
          <w:p w14:paraId="518B6085" w14:textId="77777777" w:rsidR="006C6208" w:rsidRPr="00664E49" w:rsidRDefault="006C6208" w:rsidP="00844A1A">
            <w:pPr>
              <w:pStyle w:val="Tabletext1"/>
              <w:rPr>
                <w:b/>
              </w:rPr>
            </w:pPr>
            <w:r w:rsidRPr="00664E49">
              <w:rPr>
                <w:b/>
              </w:rPr>
              <w:t> </w:t>
            </w:r>
          </w:p>
        </w:tc>
        <w:tc>
          <w:tcPr>
            <w:tcW w:w="474" w:type="pct"/>
            <w:tcBorders>
              <w:top w:val="single" w:sz="4" w:space="0" w:color="auto"/>
              <w:bottom w:val="single" w:sz="4" w:space="0" w:color="auto"/>
            </w:tcBorders>
            <w:shd w:val="clear" w:color="auto" w:fill="D9D9D9" w:themeFill="background1" w:themeFillShade="D9"/>
            <w:vAlign w:val="center"/>
            <w:hideMark/>
          </w:tcPr>
          <w:p w14:paraId="6B02B4D1" w14:textId="77777777" w:rsidR="006C6208" w:rsidRPr="00664E49" w:rsidRDefault="006C6208" w:rsidP="00844A1A">
            <w:pPr>
              <w:pStyle w:val="Tabletext1"/>
              <w:rPr>
                <w:b/>
              </w:rPr>
            </w:pPr>
            <w:r w:rsidRPr="00664E49">
              <w:rPr>
                <w:b/>
              </w:rPr>
              <w:t> </w:t>
            </w:r>
          </w:p>
        </w:tc>
        <w:tc>
          <w:tcPr>
            <w:tcW w:w="535" w:type="pct"/>
            <w:tcBorders>
              <w:top w:val="single" w:sz="4" w:space="0" w:color="auto"/>
              <w:bottom w:val="single" w:sz="4" w:space="0" w:color="auto"/>
            </w:tcBorders>
            <w:shd w:val="clear" w:color="auto" w:fill="D9D9D9" w:themeFill="background1" w:themeFillShade="D9"/>
            <w:vAlign w:val="center"/>
            <w:hideMark/>
          </w:tcPr>
          <w:p w14:paraId="61DFA258" w14:textId="77777777" w:rsidR="006C6208" w:rsidRPr="00664E49" w:rsidRDefault="006C6208" w:rsidP="00844A1A">
            <w:pPr>
              <w:pStyle w:val="Tabletext1"/>
              <w:rPr>
                <w:b/>
              </w:rPr>
            </w:pPr>
            <w:r w:rsidRPr="00664E49">
              <w:rPr>
                <w:b/>
              </w:rPr>
              <w:t> </w:t>
            </w:r>
          </w:p>
        </w:tc>
        <w:tc>
          <w:tcPr>
            <w:tcW w:w="489" w:type="pct"/>
            <w:tcBorders>
              <w:top w:val="single" w:sz="4" w:space="0" w:color="auto"/>
              <w:bottom w:val="single" w:sz="4" w:space="0" w:color="auto"/>
            </w:tcBorders>
            <w:shd w:val="clear" w:color="auto" w:fill="D9D9D9" w:themeFill="background1" w:themeFillShade="D9"/>
            <w:vAlign w:val="center"/>
            <w:hideMark/>
          </w:tcPr>
          <w:p w14:paraId="5B6403E0" w14:textId="77777777" w:rsidR="006C6208" w:rsidRPr="00664E49" w:rsidRDefault="006C6208" w:rsidP="00844A1A">
            <w:pPr>
              <w:pStyle w:val="Tabletext1"/>
              <w:rPr>
                <w:b/>
              </w:rPr>
            </w:pPr>
            <w:r w:rsidRPr="00664E49">
              <w:rPr>
                <w:b/>
              </w:rPr>
              <w:t> </w:t>
            </w:r>
          </w:p>
        </w:tc>
        <w:tc>
          <w:tcPr>
            <w:tcW w:w="798" w:type="pct"/>
            <w:tcBorders>
              <w:top w:val="single" w:sz="4" w:space="0" w:color="auto"/>
              <w:bottom w:val="single" w:sz="4" w:space="0" w:color="auto"/>
              <w:right w:val="single" w:sz="4" w:space="0" w:color="auto"/>
            </w:tcBorders>
            <w:shd w:val="clear" w:color="auto" w:fill="D9D9D9" w:themeFill="background1" w:themeFillShade="D9"/>
            <w:vAlign w:val="center"/>
            <w:hideMark/>
          </w:tcPr>
          <w:p w14:paraId="26F59685" w14:textId="77777777" w:rsidR="006C6208" w:rsidRPr="006C6208" w:rsidRDefault="006C6208" w:rsidP="00844A1A">
            <w:pPr>
              <w:pStyle w:val="Tabletext1"/>
            </w:pPr>
            <w:r w:rsidRPr="006C6208">
              <w:t> </w:t>
            </w:r>
          </w:p>
        </w:tc>
      </w:tr>
      <w:tr w:rsidR="006C6208" w:rsidRPr="006C6208" w14:paraId="6F9A065D" w14:textId="77777777" w:rsidTr="00DF4EA2">
        <w:trPr>
          <w:cantSplit/>
          <w:trHeight w:val="51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244D7D6E" w14:textId="77777777" w:rsidR="006C6208" w:rsidRPr="006C6208" w:rsidRDefault="006C6208" w:rsidP="00844A1A">
            <w:pPr>
              <w:pStyle w:val="Tabletext1"/>
            </w:pPr>
            <w:r w:rsidRPr="006C6208">
              <w:t>Medical consultation (1-month toxicity, 3 month CT)</w:t>
            </w:r>
          </w:p>
        </w:tc>
        <w:tc>
          <w:tcPr>
            <w:tcW w:w="595" w:type="pct"/>
            <w:tcBorders>
              <w:top w:val="nil"/>
              <w:left w:val="nil"/>
              <w:bottom w:val="single" w:sz="4" w:space="0" w:color="auto"/>
              <w:right w:val="single" w:sz="4" w:space="0" w:color="auto"/>
            </w:tcBorders>
            <w:shd w:val="clear" w:color="auto" w:fill="auto"/>
            <w:vAlign w:val="center"/>
            <w:hideMark/>
          </w:tcPr>
          <w:p w14:paraId="4BD1A5A0" w14:textId="77777777" w:rsidR="006C6208" w:rsidRPr="006C6208" w:rsidRDefault="006C6208" w:rsidP="00844A1A">
            <w:pPr>
              <w:pStyle w:val="Tabletext1"/>
            </w:pPr>
            <w:r w:rsidRPr="006C6208">
              <w:t>As outpatient</w:t>
            </w:r>
          </w:p>
        </w:tc>
        <w:tc>
          <w:tcPr>
            <w:tcW w:w="504" w:type="pct"/>
            <w:tcBorders>
              <w:top w:val="nil"/>
              <w:left w:val="nil"/>
              <w:bottom w:val="single" w:sz="4" w:space="0" w:color="auto"/>
              <w:right w:val="single" w:sz="4" w:space="0" w:color="auto"/>
            </w:tcBorders>
            <w:shd w:val="clear" w:color="auto" w:fill="auto"/>
            <w:vAlign w:val="center"/>
            <w:hideMark/>
          </w:tcPr>
          <w:p w14:paraId="44CBBB99" w14:textId="77777777" w:rsidR="006C6208" w:rsidRPr="006C6208" w:rsidRDefault="006C6208" w:rsidP="00844A1A">
            <w:pPr>
              <w:pStyle w:val="Tabletext1"/>
            </w:pPr>
            <w:r w:rsidRPr="006C6208">
              <w:t>75.50</w:t>
            </w:r>
          </w:p>
        </w:tc>
        <w:tc>
          <w:tcPr>
            <w:tcW w:w="474" w:type="pct"/>
            <w:tcBorders>
              <w:top w:val="nil"/>
              <w:left w:val="nil"/>
              <w:bottom w:val="single" w:sz="4" w:space="0" w:color="auto"/>
              <w:right w:val="single" w:sz="4" w:space="0" w:color="auto"/>
            </w:tcBorders>
            <w:shd w:val="clear" w:color="auto" w:fill="auto"/>
            <w:vAlign w:val="center"/>
            <w:hideMark/>
          </w:tcPr>
          <w:p w14:paraId="56E8B991" w14:textId="77777777" w:rsidR="006C6208" w:rsidRPr="006C6208" w:rsidRDefault="006C6208" w:rsidP="00844A1A">
            <w:pPr>
              <w:pStyle w:val="Tabletext1"/>
            </w:pPr>
            <w:r w:rsidRPr="006C6208">
              <w:t>75.50</w:t>
            </w:r>
          </w:p>
        </w:tc>
        <w:tc>
          <w:tcPr>
            <w:tcW w:w="535" w:type="pct"/>
            <w:tcBorders>
              <w:top w:val="nil"/>
              <w:left w:val="nil"/>
              <w:bottom w:val="single" w:sz="4" w:space="0" w:color="auto"/>
              <w:right w:val="single" w:sz="4" w:space="0" w:color="auto"/>
            </w:tcBorders>
            <w:shd w:val="clear" w:color="auto" w:fill="auto"/>
            <w:vAlign w:val="center"/>
            <w:hideMark/>
          </w:tcPr>
          <w:p w14:paraId="3923D97A" w14:textId="77777777" w:rsidR="006C6208" w:rsidRPr="006C6208" w:rsidRDefault="006C6208" w:rsidP="00844A1A">
            <w:pPr>
              <w:pStyle w:val="Tabletext1"/>
            </w:pPr>
            <w:r w:rsidRPr="006C6208">
              <w:t>85%</w:t>
            </w:r>
          </w:p>
        </w:tc>
        <w:tc>
          <w:tcPr>
            <w:tcW w:w="489" w:type="pct"/>
            <w:tcBorders>
              <w:top w:val="nil"/>
              <w:left w:val="nil"/>
              <w:bottom w:val="single" w:sz="4" w:space="0" w:color="auto"/>
              <w:right w:val="single" w:sz="4" w:space="0" w:color="auto"/>
            </w:tcBorders>
            <w:shd w:val="clear" w:color="auto" w:fill="auto"/>
            <w:vAlign w:val="center"/>
            <w:hideMark/>
          </w:tcPr>
          <w:p w14:paraId="2F5AE314" w14:textId="77777777" w:rsidR="006C6208" w:rsidRPr="006C6208" w:rsidRDefault="006C6208" w:rsidP="00844A1A">
            <w:pPr>
              <w:pStyle w:val="Tabletext1"/>
            </w:pPr>
            <w:r w:rsidRPr="006C6208">
              <w:t>2</w:t>
            </w:r>
          </w:p>
        </w:tc>
        <w:tc>
          <w:tcPr>
            <w:tcW w:w="798" w:type="pct"/>
            <w:tcBorders>
              <w:top w:val="nil"/>
              <w:left w:val="nil"/>
              <w:bottom w:val="single" w:sz="4" w:space="0" w:color="auto"/>
              <w:right w:val="single" w:sz="4" w:space="0" w:color="auto"/>
            </w:tcBorders>
            <w:shd w:val="clear" w:color="auto" w:fill="auto"/>
            <w:vAlign w:val="center"/>
            <w:hideMark/>
          </w:tcPr>
          <w:p w14:paraId="4CC6543A" w14:textId="77777777" w:rsidR="006C6208" w:rsidRPr="006C6208" w:rsidRDefault="006C6208" w:rsidP="00844A1A">
            <w:pPr>
              <w:pStyle w:val="Tabletext1"/>
            </w:pPr>
            <w:r w:rsidRPr="006C6208">
              <w:t>MBS Item 116</w:t>
            </w:r>
          </w:p>
        </w:tc>
      </w:tr>
      <w:tr w:rsidR="006C6208" w:rsidRPr="006C6208" w14:paraId="084E182F" w14:textId="77777777" w:rsidTr="00DF4EA2">
        <w:trPr>
          <w:cantSplit/>
          <w:trHeight w:val="76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02F32110" w14:textId="77777777" w:rsidR="006C6208" w:rsidRPr="006C6208" w:rsidRDefault="006C6208" w:rsidP="00844A1A">
            <w:pPr>
              <w:pStyle w:val="Tabletext1"/>
            </w:pPr>
            <w:r w:rsidRPr="006C6208">
              <w:t>COMPUTED TOMOGRAPHY - scan of chest, including lungs, mediastinum, chest wall and pleura, with or without scans of the upper abdomen, with intravenous contrast medium</w:t>
            </w:r>
          </w:p>
        </w:tc>
        <w:tc>
          <w:tcPr>
            <w:tcW w:w="595" w:type="pct"/>
            <w:tcBorders>
              <w:top w:val="nil"/>
              <w:left w:val="nil"/>
              <w:bottom w:val="single" w:sz="4" w:space="0" w:color="auto"/>
              <w:right w:val="single" w:sz="4" w:space="0" w:color="auto"/>
            </w:tcBorders>
            <w:shd w:val="clear" w:color="auto" w:fill="auto"/>
            <w:vAlign w:val="center"/>
            <w:hideMark/>
          </w:tcPr>
          <w:p w14:paraId="44481F48" w14:textId="77777777" w:rsidR="006C6208" w:rsidRPr="006C6208" w:rsidRDefault="006C6208" w:rsidP="00844A1A">
            <w:pPr>
              <w:pStyle w:val="Tabletext1"/>
            </w:pPr>
            <w:r w:rsidRPr="006C6208">
              <w:t>Radiologist, as outpatient</w:t>
            </w:r>
          </w:p>
        </w:tc>
        <w:tc>
          <w:tcPr>
            <w:tcW w:w="504" w:type="pct"/>
            <w:tcBorders>
              <w:top w:val="nil"/>
              <w:left w:val="nil"/>
              <w:bottom w:val="single" w:sz="4" w:space="0" w:color="auto"/>
              <w:right w:val="single" w:sz="4" w:space="0" w:color="auto"/>
            </w:tcBorders>
            <w:shd w:val="clear" w:color="auto" w:fill="auto"/>
            <w:vAlign w:val="center"/>
            <w:hideMark/>
          </w:tcPr>
          <w:p w14:paraId="1DE4D70A" w14:textId="77777777" w:rsidR="006C6208" w:rsidRPr="006C6208" w:rsidRDefault="006C6208" w:rsidP="00844A1A">
            <w:pPr>
              <w:pStyle w:val="Tabletext1"/>
            </w:pPr>
            <w:r w:rsidRPr="006C6208">
              <w:t>202.00</w:t>
            </w:r>
          </w:p>
        </w:tc>
        <w:tc>
          <w:tcPr>
            <w:tcW w:w="474" w:type="pct"/>
            <w:tcBorders>
              <w:top w:val="nil"/>
              <w:left w:val="nil"/>
              <w:bottom w:val="single" w:sz="4" w:space="0" w:color="auto"/>
              <w:right w:val="single" w:sz="4" w:space="0" w:color="auto"/>
            </w:tcBorders>
            <w:shd w:val="clear" w:color="auto" w:fill="auto"/>
            <w:vAlign w:val="center"/>
            <w:hideMark/>
          </w:tcPr>
          <w:p w14:paraId="6F1A68DB" w14:textId="77777777" w:rsidR="006C6208" w:rsidRPr="006C6208" w:rsidRDefault="006C6208" w:rsidP="00844A1A">
            <w:pPr>
              <w:pStyle w:val="Tabletext1"/>
            </w:pPr>
            <w:r w:rsidRPr="006C6208">
              <w:t>202.00</w:t>
            </w:r>
          </w:p>
        </w:tc>
        <w:tc>
          <w:tcPr>
            <w:tcW w:w="535" w:type="pct"/>
            <w:tcBorders>
              <w:top w:val="nil"/>
              <w:left w:val="nil"/>
              <w:bottom w:val="single" w:sz="4" w:space="0" w:color="auto"/>
              <w:right w:val="single" w:sz="4" w:space="0" w:color="auto"/>
            </w:tcBorders>
            <w:shd w:val="clear" w:color="auto" w:fill="auto"/>
            <w:vAlign w:val="center"/>
            <w:hideMark/>
          </w:tcPr>
          <w:p w14:paraId="63358BAC" w14:textId="77777777" w:rsidR="006C6208" w:rsidRPr="006C6208" w:rsidRDefault="006C6208" w:rsidP="00844A1A">
            <w:pPr>
              <w:pStyle w:val="Tabletext1"/>
            </w:pPr>
            <w:r w:rsidRPr="006C6208">
              <w:t>85%</w:t>
            </w:r>
          </w:p>
        </w:tc>
        <w:tc>
          <w:tcPr>
            <w:tcW w:w="489" w:type="pct"/>
            <w:tcBorders>
              <w:top w:val="nil"/>
              <w:left w:val="nil"/>
              <w:bottom w:val="single" w:sz="4" w:space="0" w:color="auto"/>
              <w:right w:val="single" w:sz="4" w:space="0" w:color="auto"/>
            </w:tcBorders>
            <w:shd w:val="clear" w:color="auto" w:fill="auto"/>
            <w:vAlign w:val="center"/>
            <w:hideMark/>
          </w:tcPr>
          <w:p w14:paraId="183C37E7" w14:textId="77777777" w:rsidR="006C6208" w:rsidRPr="006C6208" w:rsidRDefault="006C6208" w:rsidP="00844A1A">
            <w:pPr>
              <w:pStyle w:val="Tabletext1"/>
            </w:pPr>
            <w:r w:rsidRPr="006C6208">
              <w:t>1</w:t>
            </w:r>
          </w:p>
        </w:tc>
        <w:tc>
          <w:tcPr>
            <w:tcW w:w="798" w:type="pct"/>
            <w:tcBorders>
              <w:top w:val="nil"/>
              <w:left w:val="nil"/>
              <w:bottom w:val="single" w:sz="4" w:space="0" w:color="auto"/>
              <w:right w:val="single" w:sz="4" w:space="0" w:color="auto"/>
            </w:tcBorders>
            <w:shd w:val="clear" w:color="auto" w:fill="auto"/>
            <w:vAlign w:val="center"/>
            <w:hideMark/>
          </w:tcPr>
          <w:p w14:paraId="59395A67" w14:textId="77777777" w:rsidR="006C6208" w:rsidRPr="006C6208" w:rsidRDefault="006C6208" w:rsidP="00844A1A">
            <w:pPr>
              <w:pStyle w:val="Tabletext1"/>
            </w:pPr>
            <w:r w:rsidRPr="006C6208">
              <w:t>MBS Item 56347</w:t>
            </w:r>
          </w:p>
        </w:tc>
      </w:tr>
      <w:tr w:rsidR="00664E49" w:rsidRPr="006C6208" w14:paraId="2E100A07" w14:textId="77777777" w:rsidTr="00DF4EA2">
        <w:trPr>
          <w:cantSplit/>
          <w:trHeight w:val="765"/>
        </w:trPr>
        <w:tc>
          <w:tcPr>
            <w:tcW w:w="1605" w:type="pct"/>
            <w:tcBorders>
              <w:top w:val="nil"/>
              <w:left w:val="single" w:sz="4" w:space="0" w:color="auto"/>
              <w:bottom w:val="single" w:sz="4" w:space="0" w:color="auto"/>
              <w:right w:val="single" w:sz="4" w:space="0" w:color="auto"/>
            </w:tcBorders>
            <w:shd w:val="clear" w:color="auto" w:fill="auto"/>
            <w:vAlign w:val="center"/>
          </w:tcPr>
          <w:p w14:paraId="40C90F64" w14:textId="3D698857" w:rsidR="00664E49" w:rsidRPr="006C6208" w:rsidRDefault="006D0335" w:rsidP="00844A1A">
            <w:pPr>
              <w:pStyle w:val="Tabletext1"/>
            </w:pPr>
            <w:r>
              <w:lastRenderedPageBreak/>
              <w:t>Total:</w:t>
            </w:r>
            <w:r w:rsidR="00664E49" w:rsidRPr="006C6208">
              <w:t xml:space="preserve"> </w:t>
            </w:r>
            <w:r>
              <w:t>1–3</w:t>
            </w:r>
            <w:r w:rsidR="00664E49" w:rsidRPr="006C6208">
              <w:t>total cost per patient (4 fractions)</w:t>
            </w:r>
          </w:p>
        </w:tc>
        <w:tc>
          <w:tcPr>
            <w:tcW w:w="595" w:type="pct"/>
            <w:tcBorders>
              <w:top w:val="nil"/>
              <w:left w:val="nil"/>
              <w:bottom w:val="single" w:sz="4" w:space="0" w:color="auto"/>
              <w:right w:val="single" w:sz="4" w:space="0" w:color="auto"/>
            </w:tcBorders>
            <w:shd w:val="clear" w:color="auto" w:fill="auto"/>
            <w:vAlign w:val="center"/>
          </w:tcPr>
          <w:p w14:paraId="7C6043FE" w14:textId="7AF66BFF" w:rsidR="00664E49" w:rsidRPr="006C6208" w:rsidRDefault="00664E49" w:rsidP="00844A1A">
            <w:pPr>
              <w:pStyle w:val="Tabletext1"/>
            </w:pPr>
            <w:r>
              <w:t>-</w:t>
            </w:r>
          </w:p>
        </w:tc>
        <w:tc>
          <w:tcPr>
            <w:tcW w:w="504" w:type="pct"/>
            <w:tcBorders>
              <w:top w:val="nil"/>
              <w:left w:val="nil"/>
              <w:bottom w:val="single" w:sz="4" w:space="0" w:color="auto"/>
              <w:right w:val="single" w:sz="4" w:space="0" w:color="auto"/>
            </w:tcBorders>
            <w:shd w:val="clear" w:color="auto" w:fill="auto"/>
            <w:vAlign w:val="center"/>
          </w:tcPr>
          <w:p w14:paraId="141D7138" w14:textId="5A9A05F4" w:rsidR="00664E49" w:rsidRPr="006C6208" w:rsidRDefault="00664E49" w:rsidP="00844A1A">
            <w:pPr>
              <w:pStyle w:val="Tabletext1"/>
            </w:pPr>
            <w:r>
              <w:t>-</w:t>
            </w:r>
          </w:p>
        </w:tc>
        <w:tc>
          <w:tcPr>
            <w:tcW w:w="474" w:type="pct"/>
            <w:tcBorders>
              <w:top w:val="nil"/>
              <w:left w:val="nil"/>
              <w:bottom w:val="single" w:sz="4" w:space="0" w:color="auto"/>
              <w:right w:val="single" w:sz="4" w:space="0" w:color="auto"/>
            </w:tcBorders>
            <w:shd w:val="clear" w:color="auto" w:fill="auto"/>
            <w:vAlign w:val="center"/>
          </w:tcPr>
          <w:p w14:paraId="488D3441" w14:textId="61E34644" w:rsidR="00664E49" w:rsidRPr="006C6208" w:rsidRDefault="00664E49" w:rsidP="00844A1A">
            <w:pPr>
              <w:pStyle w:val="Tabletext1"/>
            </w:pPr>
            <w:r>
              <w:t>-</w:t>
            </w:r>
          </w:p>
        </w:tc>
        <w:tc>
          <w:tcPr>
            <w:tcW w:w="535" w:type="pct"/>
            <w:tcBorders>
              <w:top w:val="nil"/>
              <w:left w:val="nil"/>
              <w:bottom w:val="single" w:sz="4" w:space="0" w:color="auto"/>
              <w:right w:val="single" w:sz="4" w:space="0" w:color="auto"/>
            </w:tcBorders>
            <w:shd w:val="clear" w:color="auto" w:fill="auto"/>
            <w:vAlign w:val="center"/>
          </w:tcPr>
          <w:p w14:paraId="6C1A8351" w14:textId="670B9CBB" w:rsidR="00664E49" w:rsidRPr="006C6208" w:rsidRDefault="00664E49" w:rsidP="00844A1A">
            <w:pPr>
              <w:pStyle w:val="Tabletext1"/>
            </w:pPr>
            <w:r>
              <w:t>-</w:t>
            </w:r>
          </w:p>
        </w:tc>
        <w:tc>
          <w:tcPr>
            <w:tcW w:w="489" w:type="pct"/>
            <w:tcBorders>
              <w:top w:val="nil"/>
              <w:left w:val="nil"/>
              <w:bottom w:val="single" w:sz="4" w:space="0" w:color="auto"/>
              <w:right w:val="single" w:sz="4" w:space="0" w:color="auto"/>
            </w:tcBorders>
            <w:shd w:val="clear" w:color="auto" w:fill="auto"/>
            <w:vAlign w:val="center"/>
          </w:tcPr>
          <w:p w14:paraId="502CB53C" w14:textId="43889FB4" w:rsidR="00664E49" w:rsidRPr="006C6208" w:rsidRDefault="00664E49" w:rsidP="00844A1A">
            <w:pPr>
              <w:pStyle w:val="Tabletext1"/>
            </w:pPr>
            <w:r>
              <w:t>-</w:t>
            </w:r>
          </w:p>
        </w:tc>
        <w:tc>
          <w:tcPr>
            <w:tcW w:w="798" w:type="pct"/>
            <w:tcBorders>
              <w:top w:val="nil"/>
              <w:left w:val="nil"/>
              <w:bottom w:val="single" w:sz="4" w:space="0" w:color="auto"/>
              <w:right w:val="single" w:sz="4" w:space="0" w:color="auto"/>
            </w:tcBorders>
            <w:shd w:val="clear" w:color="auto" w:fill="auto"/>
            <w:vAlign w:val="center"/>
          </w:tcPr>
          <w:p w14:paraId="5E318D8C" w14:textId="61C976CC" w:rsidR="00664E49" w:rsidRPr="006C6208" w:rsidRDefault="00664E49" w:rsidP="00844A1A">
            <w:pPr>
              <w:pStyle w:val="Tabletext1"/>
            </w:pPr>
            <w:r w:rsidRPr="006C6208">
              <w:t>5,372.95</w:t>
            </w:r>
          </w:p>
        </w:tc>
      </w:tr>
      <w:tr w:rsidR="00664E49" w:rsidRPr="006C6208" w14:paraId="3EC64546" w14:textId="77777777" w:rsidTr="00DF4EA2">
        <w:trPr>
          <w:cantSplit/>
          <w:trHeight w:val="765"/>
        </w:trPr>
        <w:tc>
          <w:tcPr>
            <w:tcW w:w="1605" w:type="pct"/>
            <w:tcBorders>
              <w:top w:val="nil"/>
              <w:left w:val="single" w:sz="4" w:space="0" w:color="auto"/>
              <w:bottom w:val="single" w:sz="4" w:space="0" w:color="auto"/>
              <w:right w:val="single" w:sz="4" w:space="0" w:color="auto"/>
            </w:tcBorders>
            <w:shd w:val="clear" w:color="auto" w:fill="auto"/>
            <w:vAlign w:val="center"/>
          </w:tcPr>
          <w:p w14:paraId="385D8409" w14:textId="31D89BE4" w:rsidR="00664E49" w:rsidRPr="006C6208" w:rsidRDefault="006D0335" w:rsidP="00844A1A">
            <w:pPr>
              <w:pStyle w:val="Tabletext1"/>
            </w:pPr>
            <w:r>
              <w:t>Total:</w:t>
            </w:r>
            <w:r w:rsidR="00664E49" w:rsidRPr="006C6208">
              <w:t xml:space="preserve"> </w:t>
            </w:r>
            <w:r>
              <w:t>3–5</w:t>
            </w:r>
            <w:r w:rsidR="00664E49" w:rsidRPr="006C6208">
              <w:t xml:space="preserve"> lesions total cost per patient (5 fractions)</w:t>
            </w:r>
          </w:p>
        </w:tc>
        <w:tc>
          <w:tcPr>
            <w:tcW w:w="595" w:type="pct"/>
            <w:tcBorders>
              <w:top w:val="nil"/>
              <w:left w:val="nil"/>
              <w:bottom w:val="single" w:sz="4" w:space="0" w:color="auto"/>
              <w:right w:val="single" w:sz="4" w:space="0" w:color="auto"/>
            </w:tcBorders>
            <w:shd w:val="clear" w:color="auto" w:fill="auto"/>
            <w:vAlign w:val="center"/>
          </w:tcPr>
          <w:p w14:paraId="769F30C5" w14:textId="6B639A33" w:rsidR="00664E49" w:rsidRPr="006C6208" w:rsidRDefault="00664E49" w:rsidP="00844A1A">
            <w:pPr>
              <w:pStyle w:val="Tabletext1"/>
            </w:pPr>
            <w:r>
              <w:t>-</w:t>
            </w:r>
          </w:p>
        </w:tc>
        <w:tc>
          <w:tcPr>
            <w:tcW w:w="504" w:type="pct"/>
            <w:tcBorders>
              <w:top w:val="nil"/>
              <w:left w:val="nil"/>
              <w:bottom w:val="single" w:sz="4" w:space="0" w:color="auto"/>
              <w:right w:val="single" w:sz="4" w:space="0" w:color="auto"/>
            </w:tcBorders>
            <w:shd w:val="clear" w:color="auto" w:fill="auto"/>
            <w:vAlign w:val="center"/>
          </w:tcPr>
          <w:p w14:paraId="541EFE29" w14:textId="671F8040" w:rsidR="00664E49" w:rsidRPr="006C6208" w:rsidRDefault="00664E49" w:rsidP="00844A1A">
            <w:pPr>
              <w:pStyle w:val="Tabletext1"/>
            </w:pPr>
            <w:r>
              <w:t>-</w:t>
            </w:r>
          </w:p>
        </w:tc>
        <w:tc>
          <w:tcPr>
            <w:tcW w:w="474" w:type="pct"/>
            <w:tcBorders>
              <w:top w:val="nil"/>
              <w:left w:val="nil"/>
              <w:bottom w:val="single" w:sz="4" w:space="0" w:color="auto"/>
              <w:right w:val="single" w:sz="4" w:space="0" w:color="auto"/>
            </w:tcBorders>
            <w:shd w:val="clear" w:color="auto" w:fill="auto"/>
            <w:vAlign w:val="center"/>
          </w:tcPr>
          <w:p w14:paraId="440949D4" w14:textId="3E87FC7B" w:rsidR="00664E49" w:rsidRPr="006C6208" w:rsidRDefault="00664E49" w:rsidP="00844A1A">
            <w:pPr>
              <w:pStyle w:val="Tabletext1"/>
            </w:pPr>
            <w:r>
              <w:t>-</w:t>
            </w:r>
          </w:p>
        </w:tc>
        <w:tc>
          <w:tcPr>
            <w:tcW w:w="535" w:type="pct"/>
            <w:tcBorders>
              <w:top w:val="nil"/>
              <w:left w:val="nil"/>
              <w:bottom w:val="single" w:sz="4" w:space="0" w:color="auto"/>
              <w:right w:val="single" w:sz="4" w:space="0" w:color="auto"/>
            </w:tcBorders>
            <w:shd w:val="clear" w:color="auto" w:fill="auto"/>
            <w:vAlign w:val="center"/>
          </w:tcPr>
          <w:p w14:paraId="3362292D" w14:textId="01EDBD60" w:rsidR="00664E49" w:rsidRPr="006C6208" w:rsidRDefault="00664E49" w:rsidP="00844A1A">
            <w:pPr>
              <w:pStyle w:val="Tabletext1"/>
            </w:pPr>
            <w:r>
              <w:t>-</w:t>
            </w:r>
          </w:p>
        </w:tc>
        <w:tc>
          <w:tcPr>
            <w:tcW w:w="489" w:type="pct"/>
            <w:tcBorders>
              <w:top w:val="nil"/>
              <w:left w:val="nil"/>
              <w:bottom w:val="single" w:sz="4" w:space="0" w:color="auto"/>
              <w:right w:val="single" w:sz="4" w:space="0" w:color="auto"/>
            </w:tcBorders>
            <w:shd w:val="clear" w:color="auto" w:fill="auto"/>
            <w:vAlign w:val="center"/>
          </w:tcPr>
          <w:p w14:paraId="57D2710C" w14:textId="1886B251" w:rsidR="00664E49" w:rsidRPr="006C6208" w:rsidRDefault="00664E49" w:rsidP="00844A1A">
            <w:pPr>
              <w:pStyle w:val="Tabletext1"/>
            </w:pPr>
            <w:r>
              <w:t>-</w:t>
            </w:r>
          </w:p>
        </w:tc>
        <w:tc>
          <w:tcPr>
            <w:tcW w:w="798" w:type="pct"/>
            <w:tcBorders>
              <w:top w:val="nil"/>
              <w:left w:val="nil"/>
              <w:bottom w:val="single" w:sz="4" w:space="0" w:color="auto"/>
              <w:right w:val="single" w:sz="4" w:space="0" w:color="auto"/>
            </w:tcBorders>
            <w:shd w:val="clear" w:color="auto" w:fill="auto"/>
            <w:vAlign w:val="center"/>
          </w:tcPr>
          <w:p w14:paraId="3F47C10F" w14:textId="08DF5617" w:rsidR="00664E49" w:rsidRPr="006C6208" w:rsidRDefault="00664E49" w:rsidP="00844A1A">
            <w:pPr>
              <w:pStyle w:val="Tabletext1"/>
            </w:pPr>
            <w:r w:rsidRPr="006C6208">
              <w:t>5,735.07</w:t>
            </w:r>
          </w:p>
        </w:tc>
      </w:tr>
    </w:tbl>
    <w:p w14:paraId="2186A9A2" w14:textId="25A0D047" w:rsidR="00611702" w:rsidRDefault="00664E49" w:rsidP="00664E49">
      <w:pPr>
        <w:pStyle w:val="Tablenotes0"/>
        <w:rPr>
          <w:noProof/>
        </w:rPr>
      </w:pPr>
      <w:r>
        <w:rPr>
          <w:noProof/>
        </w:rPr>
        <w:t>&lt;</w:t>
      </w:r>
      <w:r w:rsidR="006D1F64">
        <w:rPr>
          <w:noProof/>
        </w:rPr>
        <w:t xml:space="preserve"> </w:t>
      </w:r>
      <w:r w:rsidR="006D0335">
        <w:rPr>
          <w:noProof/>
        </w:rPr>
        <w:t xml:space="preserve">IMRT = intensity modulated radiotherapy; </w:t>
      </w:r>
      <w:r>
        <w:rPr>
          <w:noProof/>
        </w:rPr>
        <w:t>MBS</w:t>
      </w:r>
      <w:r w:rsidR="006D1F64">
        <w:rPr>
          <w:noProof/>
        </w:rPr>
        <w:t xml:space="preserve"> </w:t>
      </w:r>
      <w:r>
        <w:rPr>
          <w:noProof/>
        </w:rPr>
        <w:t>= Medicare benefits schedule&gt;</w:t>
      </w:r>
    </w:p>
    <w:p w14:paraId="061CE7EB" w14:textId="14A79658" w:rsidR="00152FE6" w:rsidRDefault="00152FE6" w:rsidP="00664E49">
      <w:pPr>
        <w:pStyle w:val="Tablenotes0"/>
      </w:pPr>
      <w:r>
        <w:t xml:space="preserve">A </w:t>
      </w:r>
      <w:r w:rsidRPr="006C6208">
        <w:t>Typically, 85% of MBS fee is reimbursed in outpatient settings. The MBS online published reimbursement is $873.50, or 92% of fee.</w:t>
      </w:r>
    </w:p>
    <w:p w14:paraId="7C3F6244" w14:textId="41D3DD0D" w:rsidR="00152FE6" w:rsidRDefault="00152FE6" w:rsidP="00664E49">
      <w:pPr>
        <w:pStyle w:val="Tablenotes0"/>
      </w:pPr>
      <w:r>
        <w:t>B</w:t>
      </w:r>
      <w:r w:rsidRPr="00152FE6">
        <w:t xml:space="preserve"> </w:t>
      </w:r>
      <w:proofErr w:type="gramStart"/>
      <w:r w:rsidRPr="006C6208">
        <w:t>The</w:t>
      </w:r>
      <w:proofErr w:type="gramEnd"/>
      <w:r w:rsidRPr="006C6208">
        <w:t xml:space="preserve"> MBS online published reimbursement is $579.10, or 88% of fee at the 85% level. Discussions with radiotherapy billing departments indicated that this amount is received.</w:t>
      </w:r>
    </w:p>
    <w:p w14:paraId="26A9C2AA" w14:textId="18891E44" w:rsidR="00152FE6" w:rsidRPr="00BC4A30" w:rsidRDefault="00152FE6" w:rsidP="00664E49">
      <w:pPr>
        <w:pStyle w:val="Tablenotes0"/>
        <w:rPr>
          <w:noProof/>
          <w:sz w:val="20"/>
        </w:rPr>
      </w:pPr>
      <w:r>
        <w:t>C</w:t>
      </w:r>
      <w:r w:rsidRPr="00152FE6">
        <w:t xml:space="preserve"> </w:t>
      </w:r>
      <w:proofErr w:type="gramStart"/>
      <w:r w:rsidRPr="006C6208">
        <w:t>The</w:t>
      </w:r>
      <w:proofErr w:type="gramEnd"/>
      <w:r w:rsidRPr="006C6208">
        <w:t xml:space="preserve"> MBS online published reimbursement is $1,041.25, or 93% of fee at the 85% level. Discussions with radiotherapy billing departments indicated that this amount is received.</w:t>
      </w:r>
    </w:p>
    <w:p w14:paraId="462670B6" w14:textId="2562E878" w:rsidR="00611702" w:rsidRPr="00BC4A30" w:rsidRDefault="00760AC9" w:rsidP="000211F1">
      <w:pPr>
        <w:spacing w:before="500"/>
      </w:pPr>
      <w:r w:rsidRPr="00BC4A30">
        <w:rPr>
          <w:rFonts w:asciiTheme="minorHAnsi" w:hAnsiTheme="minorHAnsi"/>
          <w:noProof/>
        </w:rPr>
        <w:t>SBRT</w:t>
      </w:r>
      <w:r w:rsidR="00611702" w:rsidRPr="00BC4A30">
        <w:rPr>
          <w:rFonts w:asciiTheme="minorHAnsi" w:hAnsiTheme="minorHAnsi"/>
          <w:noProof/>
        </w:rPr>
        <w:t xml:space="preserve"> is delivered on an outpatient basis, so 85</w:t>
      </w:r>
      <w:r w:rsidR="00DB7D52" w:rsidRPr="00BC4A30">
        <w:rPr>
          <w:rFonts w:asciiTheme="minorHAnsi" w:hAnsiTheme="minorHAnsi"/>
          <w:noProof/>
        </w:rPr>
        <w:t xml:space="preserve"> per cent</w:t>
      </w:r>
      <w:r w:rsidR="00611702" w:rsidRPr="00BC4A30">
        <w:rPr>
          <w:rFonts w:asciiTheme="minorHAnsi" w:hAnsiTheme="minorHAnsi"/>
          <w:noProof/>
        </w:rPr>
        <w:t xml:space="preserve"> of MBS fees are claimable </w:t>
      </w:r>
      <w:r w:rsidR="006C6208">
        <w:rPr>
          <w:rFonts w:asciiTheme="minorHAnsi" w:hAnsiTheme="minorHAnsi"/>
          <w:noProof/>
        </w:rPr>
        <w:t xml:space="preserve">for most services delivered </w:t>
      </w:r>
      <w:r w:rsidR="00611702" w:rsidRPr="00BC4A30">
        <w:rPr>
          <w:rFonts w:asciiTheme="minorHAnsi" w:hAnsiTheme="minorHAnsi"/>
          <w:noProof/>
        </w:rPr>
        <w:t xml:space="preserve">as well as during screening and follow-up. Stereotactic radiosurgery is covered under MBS item 15600 for the brain which </w:t>
      </w:r>
      <w:r w:rsidR="00611702" w:rsidRPr="00BC4A30">
        <w:t xml:space="preserve">includes consultation, planning, simulation, dosimetry and treatment. As already noted, Cancer Voices (2011) indicate that most centres use the usual rebates for 3D conformal treatment planning for </w:t>
      </w:r>
      <w:r w:rsidRPr="00BC4A30">
        <w:t>SBRT</w:t>
      </w:r>
      <w:r w:rsidR="00611702" w:rsidRPr="00BC4A30">
        <w:t xml:space="preserve">. Item numbers were identified during consultations with clinicians. They are included in </w:t>
      </w:r>
      <w:r w:rsidR="00345EA0">
        <w:fldChar w:fldCharType="begin"/>
      </w:r>
      <w:r w:rsidR="00345EA0">
        <w:instrText xml:space="preserve"> REF _Ref460248857 \h </w:instrText>
      </w:r>
      <w:r w:rsidR="00345EA0">
        <w:fldChar w:fldCharType="separate"/>
      </w:r>
      <w:r w:rsidR="00D170A5">
        <w:t xml:space="preserve">Table </w:t>
      </w:r>
      <w:r w:rsidR="00D170A5">
        <w:rPr>
          <w:noProof/>
        </w:rPr>
        <w:t>84</w:t>
      </w:r>
      <w:r w:rsidR="00345EA0">
        <w:fldChar w:fldCharType="end"/>
      </w:r>
      <w:r w:rsidR="00345EA0">
        <w:t xml:space="preserve"> </w:t>
      </w:r>
      <w:r w:rsidR="00611702" w:rsidRPr="00BC4A30">
        <w:t xml:space="preserve">by item and aggregated by payer in </w:t>
      </w:r>
      <w:r w:rsidR="00345EA0">
        <w:fldChar w:fldCharType="begin"/>
      </w:r>
      <w:r w:rsidR="00345EA0">
        <w:instrText xml:space="preserve"> REF _Ref460248879 \h </w:instrText>
      </w:r>
      <w:r w:rsidR="00345EA0">
        <w:fldChar w:fldCharType="separate"/>
      </w:r>
      <w:r w:rsidR="00D170A5">
        <w:t xml:space="preserve">Table </w:t>
      </w:r>
      <w:r w:rsidR="00D170A5">
        <w:rPr>
          <w:noProof/>
        </w:rPr>
        <w:t>85</w:t>
      </w:r>
      <w:r w:rsidR="00345EA0">
        <w:fldChar w:fldCharType="end"/>
      </w:r>
      <w:r w:rsidR="00611702" w:rsidRPr="00BC4A30">
        <w:t>.</w:t>
      </w:r>
    </w:p>
    <w:p w14:paraId="71D26075" w14:textId="77777777" w:rsidR="006C6208" w:rsidRDefault="006C6208" w:rsidP="00D0349D">
      <w:pPr>
        <w:pStyle w:val="Caption"/>
        <w:keepNext/>
        <w:spacing w:before="500"/>
      </w:pPr>
      <w:bookmarkStart w:id="454" w:name="_Ref460248879"/>
      <w:bookmarkStart w:id="455" w:name="_Toc460514743"/>
      <w:r>
        <w:t xml:space="preserve">Table </w:t>
      </w:r>
      <w:fldSimple w:instr=" SEQ Table \* ARABIC ">
        <w:r w:rsidR="00D170A5">
          <w:rPr>
            <w:noProof/>
          </w:rPr>
          <w:t>85</w:t>
        </w:r>
      </w:fldSimple>
      <w:bookmarkEnd w:id="454"/>
      <w:r>
        <w:tab/>
      </w:r>
      <w:r w:rsidRPr="00BC4A30">
        <w:t>Summary of Costs by Payer associated with the SBRT procedure ($)</w:t>
      </w:r>
      <w:bookmarkEnd w:id="455"/>
    </w:p>
    <w:tbl>
      <w:tblPr>
        <w:tblW w:w="5000" w:type="pct"/>
        <w:tblLayout w:type="fixed"/>
        <w:tblLook w:val="04A0" w:firstRow="1" w:lastRow="0" w:firstColumn="1" w:lastColumn="0" w:noHBand="0" w:noVBand="1"/>
      </w:tblPr>
      <w:tblGrid>
        <w:gridCol w:w="2014"/>
        <w:gridCol w:w="1447"/>
        <w:gridCol w:w="1447"/>
        <w:gridCol w:w="1447"/>
        <w:gridCol w:w="1447"/>
        <w:gridCol w:w="1440"/>
      </w:tblGrid>
      <w:tr w:rsidR="006C6208" w:rsidRPr="006C6208" w14:paraId="3B45C9B7" w14:textId="77777777" w:rsidTr="006C6208">
        <w:trPr>
          <w:trHeight w:val="255"/>
        </w:trPr>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CB6749" w14:textId="77777777" w:rsidR="006C6208" w:rsidRPr="006C6208" w:rsidRDefault="006C6208" w:rsidP="00192EDA">
            <w:pPr>
              <w:pStyle w:val="Tabletext1"/>
            </w:pPr>
            <w:r w:rsidRPr="006C6208">
              <w:t> </w:t>
            </w:r>
          </w:p>
        </w:tc>
        <w:tc>
          <w:tcPr>
            <w:tcW w:w="78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C461BE2" w14:textId="77777777" w:rsidR="006C6208" w:rsidRPr="006C6208" w:rsidRDefault="006C6208" w:rsidP="00192EDA">
            <w:pPr>
              <w:pStyle w:val="Tabletext1"/>
              <w:rPr>
                <w:b/>
                <w:bCs/>
              </w:rPr>
            </w:pPr>
            <w:r w:rsidRPr="006C6208">
              <w:rPr>
                <w:b/>
                <w:bCs/>
              </w:rPr>
              <w:t>MBS</w:t>
            </w:r>
          </w:p>
        </w:tc>
        <w:tc>
          <w:tcPr>
            <w:tcW w:w="78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8A88811" w14:textId="77777777" w:rsidR="006C6208" w:rsidRPr="006C6208" w:rsidRDefault="006C6208" w:rsidP="00192EDA">
            <w:pPr>
              <w:pStyle w:val="Tabletext1"/>
              <w:rPr>
                <w:b/>
                <w:bCs/>
              </w:rPr>
            </w:pPr>
            <w:r w:rsidRPr="006C6208">
              <w:rPr>
                <w:b/>
                <w:bCs/>
              </w:rPr>
              <w:t>Hospital</w:t>
            </w:r>
          </w:p>
        </w:tc>
        <w:tc>
          <w:tcPr>
            <w:tcW w:w="78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D17E774" w14:textId="77777777" w:rsidR="00F86EB3" w:rsidRDefault="006C6208" w:rsidP="00192EDA">
            <w:pPr>
              <w:pStyle w:val="Tabletext1"/>
              <w:rPr>
                <w:b/>
                <w:bCs/>
              </w:rPr>
            </w:pPr>
            <w:r w:rsidRPr="006C6208">
              <w:rPr>
                <w:b/>
                <w:bCs/>
              </w:rPr>
              <w:t>Patient/</w:t>
            </w:r>
          </w:p>
          <w:p w14:paraId="16B5A176" w14:textId="09170797" w:rsidR="006C6208" w:rsidRPr="006C6208" w:rsidRDefault="006C6208" w:rsidP="00192EDA">
            <w:pPr>
              <w:pStyle w:val="Tabletext1"/>
              <w:rPr>
                <w:b/>
                <w:bCs/>
              </w:rPr>
            </w:pPr>
            <w:r w:rsidRPr="006C6208">
              <w:rPr>
                <w:b/>
                <w:bCs/>
              </w:rPr>
              <w:t>Insurance</w:t>
            </w:r>
          </w:p>
        </w:tc>
        <w:tc>
          <w:tcPr>
            <w:tcW w:w="78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0FFD959" w14:textId="77777777" w:rsidR="006C6208" w:rsidRPr="006C6208" w:rsidRDefault="006C6208" w:rsidP="00192EDA">
            <w:pPr>
              <w:pStyle w:val="Tabletext1"/>
              <w:rPr>
                <w:b/>
                <w:bCs/>
              </w:rPr>
            </w:pPr>
            <w:r w:rsidRPr="006C6208">
              <w:rPr>
                <w:b/>
                <w:bCs/>
              </w:rPr>
              <w:t>ROHPG</w:t>
            </w:r>
          </w:p>
        </w:tc>
        <w:tc>
          <w:tcPr>
            <w:tcW w:w="78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2420EFE" w14:textId="77777777" w:rsidR="006C6208" w:rsidRPr="006C6208" w:rsidRDefault="006C6208" w:rsidP="00192EDA">
            <w:pPr>
              <w:pStyle w:val="Tabletext1"/>
              <w:rPr>
                <w:b/>
                <w:bCs/>
              </w:rPr>
            </w:pPr>
            <w:r w:rsidRPr="006C6208">
              <w:rPr>
                <w:b/>
                <w:bCs/>
              </w:rPr>
              <w:t>Total</w:t>
            </w:r>
          </w:p>
        </w:tc>
      </w:tr>
      <w:tr w:rsidR="006C6208" w:rsidRPr="006C6208" w14:paraId="08F8B793" w14:textId="77777777" w:rsidTr="006C6208">
        <w:trPr>
          <w:trHeight w:val="255"/>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7F584819" w14:textId="646DAB31" w:rsidR="006C6208" w:rsidRPr="006C6208" w:rsidRDefault="006D0335" w:rsidP="00192EDA">
            <w:pPr>
              <w:pStyle w:val="Tabletext1"/>
              <w:rPr>
                <w:b/>
                <w:bCs/>
              </w:rPr>
            </w:pPr>
            <w:r>
              <w:rPr>
                <w:b/>
                <w:bCs/>
              </w:rPr>
              <w:t>1–3</w:t>
            </w:r>
            <w:r w:rsidR="006C6208" w:rsidRPr="006C6208">
              <w:rPr>
                <w:b/>
                <w:bCs/>
              </w:rPr>
              <w:t xml:space="preserve"> lesions total cost per patient</w:t>
            </w:r>
          </w:p>
        </w:tc>
        <w:tc>
          <w:tcPr>
            <w:tcW w:w="783" w:type="pct"/>
            <w:tcBorders>
              <w:top w:val="nil"/>
              <w:left w:val="nil"/>
              <w:bottom w:val="single" w:sz="4" w:space="0" w:color="auto"/>
              <w:right w:val="single" w:sz="4" w:space="0" w:color="auto"/>
            </w:tcBorders>
            <w:shd w:val="clear" w:color="auto" w:fill="auto"/>
            <w:noWrap/>
            <w:vAlign w:val="bottom"/>
            <w:hideMark/>
          </w:tcPr>
          <w:p w14:paraId="78D2D706" w14:textId="77777777" w:rsidR="006C6208" w:rsidRPr="006C6208" w:rsidRDefault="006C6208" w:rsidP="00192EDA">
            <w:pPr>
              <w:pStyle w:val="Tabletext1"/>
            </w:pPr>
            <w:r w:rsidRPr="006C6208">
              <w:t xml:space="preserve">4,492.18 </w:t>
            </w:r>
          </w:p>
        </w:tc>
        <w:tc>
          <w:tcPr>
            <w:tcW w:w="783" w:type="pct"/>
            <w:tcBorders>
              <w:top w:val="nil"/>
              <w:left w:val="nil"/>
              <w:bottom w:val="single" w:sz="4" w:space="0" w:color="auto"/>
              <w:right w:val="single" w:sz="4" w:space="0" w:color="auto"/>
            </w:tcBorders>
            <w:shd w:val="clear" w:color="auto" w:fill="auto"/>
            <w:noWrap/>
            <w:vAlign w:val="bottom"/>
            <w:hideMark/>
          </w:tcPr>
          <w:p w14:paraId="4B8FE968" w14:textId="77777777" w:rsidR="006C6208" w:rsidRPr="006C6208" w:rsidRDefault="006C6208" w:rsidP="00192EDA">
            <w:pPr>
              <w:pStyle w:val="Tabletext1"/>
            </w:pPr>
            <w:r w:rsidRPr="006C6208">
              <w:t xml:space="preserve">0.00 </w:t>
            </w:r>
          </w:p>
        </w:tc>
        <w:tc>
          <w:tcPr>
            <w:tcW w:w="783" w:type="pct"/>
            <w:tcBorders>
              <w:top w:val="nil"/>
              <w:left w:val="nil"/>
              <w:bottom w:val="single" w:sz="4" w:space="0" w:color="auto"/>
              <w:right w:val="single" w:sz="4" w:space="0" w:color="auto"/>
            </w:tcBorders>
            <w:shd w:val="clear" w:color="auto" w:fill="auto"/>
            <w:noWrap/>
            <w:vAlign w:val="bottom"/>
            <w:hideMark/>
          </w:tcPr>
          <w:p w14:paraId="6AFA07BB" w14:textId="77777777" w:rsidR="006C6208" w:rsidRPr="006C6208" w:rsidRDefault="006C6208" w:rsidP="00192EDA">
            <w:pPr>
              <w:pStyle w:val="Tabletext1"/>
            </w:pPr>
            <w:r w:rsidRPr="006C6208">
              <w:t xml:space="preserve">587.27 </w:t>
            </w:r>
          </w:p>
        </w:tc>
        <w:tc>
          <w:tcPr>
            <w:tcW w:w="783" w:type="pct"/>
            <w:tcBorders>
              <w:top w:val="nil"/>
              <w:left w:val="nil"/>
              <w:bottom w:val="single" w:sz="4" w:space="0" w:color="auto"/>
              <w:right w:val="single" w:sz="4" w:space="0" w:color="auto"/>
            </w:tcBorders>
            <w:shd w:val="clear" w:color="auto" w:fill="auto"/>
            <w:noWrap/>
            <w:vAlign w:val="bottom"/>
            <w:hideMark/>
          </w:tcPr>
          <w:p w14:paraId="15077FAE" w14:textId="77777777" w:rsidR="006C6208" w:rsidRPr="006C6208" w:rsidRDefault="006C6208" w:rsidP="00192EDA">
            <w:pPr>
              <w:pStyle w:val="Tabletext1"/>
            </w:pPr>
            <w:r w:rsidRPr="006C6208">
              <w:t xml:space="preserve">293.50 </w:t>
            </w:r>
          </w:p>
        </w:tc>
        <w:tc>
          <w:tcPr>
            <w:tcW w:w="780" w:type="pct"/>
            <w:tcBorders>
              <w:top w:val="nil"/>
              <w:left w:val="nil"/>
              <w:bottom w:val="single" w:sz="4" w:space="0" w:color="auto"/>
              <w:right w:val="single" w:sz="4" w:space="0" w:color="auto"/>
            </w:tcBorders>
            <w:shd w:val="clear" w:color="auto" w:fill="auto"/>
            <w:noWrap/>
            <w:vAlign w:val="bottom"/>
            <w:hideMark/>
          </w:tcPr>
          <w:p w14:paraId="5BB9FBAB" w14:textId="77777777" w:rsidR="006C6208" w:rsidRPr="006C6208" w:rsidRDefault="006C6208" w:rsidP="00192EDA">
            <w:pPr>
              <w:pStyle w:val="Tabletext1"/>
              <w:rPr>
                <w:b/>
              </w:rPr>
            </w:pPr>
            <w:r w:rsidRPr="006C6208">
              <w:t xml:space="preserve">5,372.95 </w:t>
            </w:r>
          </w:p>
        </w:tc>
      </w:tr>
      <w:tr w:rsidR="006C6208" w:rsidRPr="006C6208" w14:paraId="606AAB97" w14:textId="77777777" w:rsidTr="006C6208">
        <w:trPr>
          <w:trHeight w:val="255"/>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8A73DD2" w14:textId="2C2BCB97" w:rsidR="006C6208" w:rsidRPr="006C6208" w:rsidRDefault="006D0335" w:rsidP="006D0335">
            <w:pPr>
              <w:pStyle w:val="Tabletext1"/>
              <w:rPr>
                <w:b/>
                <w:bCs/>
              </w:rPr>
            </w:pPr>
            <w:r>
              <w:rPr>
                <w:b/>
                <w:bCs/>
              </w:rPr>
              <w:t>3</w:t>
            </w:r>
            <w:r w:rsidR="00D35E9C">
              <w:rPr>
                <w:b/>
                <w:bCs/>
              </w:rPr>
              <w:t>–</w:t>
            </w:r>
            <w:r>
              <w:rPr>
                <w:b/>
                <w:bCs/>
              </w:rPr>
              <w:t>5</w:t>
            </w:r>
            <w:r w:rsidR="006C6208" w:rsidRPr="006C6208">
              <w:rPr>
                <w:b/>
                <w:bCs/>
              </w:rPr>
              <w:t xml:space="preserve"> lesions total cost per patient </w:t>
            </w:r>
          </w:p>
        </w:tc>
        <w:tc>
          <w:tcPr>
            <w:tcW w:w="783" w:type="pct"/>
            <w:tcBorders>
              <w:top w:val="nil"/>
              <w:left w:val="nil"/>
              <w:bottom w:val="single" w:sz="4" w:space="0" w:color="auto"/>
              <w:right w:val="single" w:sz="4" w:space="0" w:color="auto"/>
            </w:tcBorders>
            <w:shd w:val="clear" w:color="auto" w:fill="auto"/>
            <w:noWrap/>
            <w:vAlign w:val="bottom"/>
            <w:hideMark/>
          </w:tcPr>
          <w:p w14:paraId="52FB7CB3" w14:textId="77777777" w:rsidR="006C6208" w:rsidRPr="006C6208" w:rsidRDefault="006C6208" w:rsidP="00192EDA">
            <w:pPr>
              <w:pStyle w:val="Tabletext1"/>
            </w:pPr>
            <w:r w:rsidRPr="006C6208">
              <w:t xml:space="preserve">4,802.77 </w:t>
            </w:r>
          </w:p>
        </w:tc>
        <w:tc>
          <w:tcPr>
            <w:tcW w:w="783" w:type="pct"/>
            <w:tcBorders>
              <w:top w:val="nil"/>
              <w:left w:val="nil"/>
              <w:bottom w:val="single" w:sz="4" w:space="0" w:color="auto"/>
              <w:right w:val="single" w:sz="4" w:space="0" w:color="auto"/>
            </w:tcBorders>
            <w:shd w:val="clear" w:color="auto" w:fill="auto"/>
            <w:noWrap/>
            <w:vAlign w:val="bottom"/>
            <w:hideMark/>
          </w:tcPr>
          <w:p w14:paraId="14EBCFF2" w14:textId="77777777" w:rsidR="006C6208" w:rsidRPr="006C6208" w:rsidRDefault="006C6208" w:rsidP="00192EDA">
            <w:pPr>
              <w:pStyle w:val="Tabletext1"/>
            </w:pPr>
            <w:r w:rsidRPr="006C6208">
              <w:t xml:space="preserve">0.00 </w:t>
            </w:r>
          </w:p>
        </w:tc>
        <w:tc>
          <w:tcPr>
            <w:tcW w:w="783" w:type="pct"/>
            <w:tcBorders>
              <w:top w:val="nil"/>
              <w:left w:val="nil"/>
              <w:bottom w:val="single" w:sz="4" w:space="0" w:color="auto"/>
              <w:right w:val="single" w:sz="4" w:space="0" w:color="auto"/>
            </w:tcBorders>
            <w:shd w:val="clear" w:color="auto" w:fill="auto"/>
            <w:noWrap/>
            <w:vAlign w:val="bottom"/>
            <w:hideMark/>
          </w:tcPr>
          <w:p w14:paraId="3595467D" w14:textId="77777777" w:rsidR="006C6208" w:rsidRPr="006C6208" w:rsidRDefault="006C6208" w:rsidP="00192EDA">
            <w:pPr>
              <w:pStyle w:val="Tabletext1"/>
            </w:pPr>
            <w:r w:rsidRPr="006C6208">
              <w:t xml:space="preserve">602.68 </w:t>
            </w:r>
          </w:p>
        </w:tc>
        <w:tc>
          <w:tcPr>
            <w:tcW w:w="783" w:type="pct"/>
            <w:tcBorders>
              <w:top w:val="nil"/>
              <w:left w:val="nil"/>
              <w:bottom w:val="single" w:sz="4" w:space="0" w:color="auto"/>
              <w:right w:val="single" w:sz="4" w:space="0" w:color="auto"/>
            </w:tcBorders>
            <w:shd w:val="clear" w:color="auto" w:fill="auto"/>
            <w:noWrap/>
            <w:vAlign w:val="bottom"/>
            <w:hideMark/>
          </w:tcPr>
          <w:p w14:paraId="3ABDFF81" w14:textId="77777777" w:rsidR="006C6208" w:rsidRPr="006C6208" w:rsidRDefault="006C6208" w:rsidP="00192EDA">
            <w:pPr>
              <w:pStyle w:val="Tabletext1"/>
            </w:pPr>
            <w:r w:rsidRPr="006C6208">
              <w:t xml:space="preserve">329.62 </w:t>
            </w:r>
          </w:p>
        </w:tc>
        <w:tc>
          <w:tcPr>
            <w:tcW w:w="780" w:type="pct"/>
            <w:tcBorders>
              <w:top w:val="nil"/>
              <w:left w:val="nil"/>
              <w:bottom w:val="single" w:sz="4" w:space="0" w:color="auto"/>
              <w:right w:val="single" w:sz="4" w:space="0" w:color="auto"/>
            </w:tcBorders>
            <w:shd w:val="clear" w:color="auto" w:fill="auto"/>
            <w:noWrap/>
            <w:vAlign w:val="bottom"/>
            <w:hideMark/>
          </w:tcPr>
          <w:p w14:paraId="25FFC664" w14:textId="77777777" w:rsidR="006C6208" w:rsidRPr="006C6208" w:rsidRDefault="006C6208" w:rsidP="00192EDA">
            <w:pPr>
              <w:pStyle w:val="Tabletext1"/>
              <w:rPr>
                <w:b/>
              </w:rPr>
            </w:pPr>
            <w:r w:rsidRPr="006C6208">
              <w:t xml:space="preserve">5,735.07 </w:t>
            </w:r>
          </w:p>
        </w:tc>
      </w:tr>
    </w:tbl>
    <w:p w14:paraId="4559A57F" w14:textId="2E5AAD89" w:rsidR="00A405EC" w:rsidRPr="0041376F" w:rsidRDefault="0041376F" w:rsidP="0041376F">
      <w:pPr>
        <w:pStyle w:val="Tablenotes0"/>
      </w:pPr>
      <w:r>
        <w:t>&lt;</w:t>
      </w:r>
      <w:r w:rsidR="00AB170D">
        <w:t xml:space="preserve"> </w:t>
      </w:r>
      <w:r w:rsidR="00A405EC" w:rsidRPr="00BC4A30">
        <w:t>MBS= Medicare benefits schedule; ROHPG= Radiation Oncology Health Progra</w:t>
      </w:r>
      <w:r>
        <w:t>m Grants</w:t>
      </w:r>
      <w:r w:rsidR="00AB170D">
        <w:t xml:space="preserve"> </w:t>
      </w:r>
      <w:r>
        <w:t>&gt;</w:t>
      </w:r>
    </w:p>
    <w:p w14:paraId="1B2EE603" w14:textId="23593C93" w:rsidR="00611702" w:rsidRPr="00BC4A30" w:rsidRDefault="00611702" w:rsidP="0041376F">
      <w:pPr>
        <w:spacing w:before="500"/>
      </w:pPr>
      <w:r w:rsidRPr="00BC4A30">
        <w:t>MBS rebates account for $4,</w:t>
      </w:r>
      <w:r w:rsidR="006C6208">
        <w:t>492.18</w:t>
      </w:r>
      <w:r w:rsidRPr="00BC4A30">
        <w:t xml:space="preserve"> of the </w:t>
      </w:r>
      <w:r w:rsidR="001F5540">
        <w:t>three-month</w:t>
      </w:r>
      <w:r w:rsidRPr="00BC4A30">
        <w:t xml:space="preserve"> treatment cost for</w:t>
      </w:r>
      <w:r w:rsidR="00D4006A">
        <w:t xml:space="preserve"> SBRT on</w:t>
      </w:r>
      <w:r w:rsidR="006C6208">
        <w:t xml:space="preserve"> up to three lesions</w:t>
      </w:r>
      <w:r w:rsidR="00D4006A">
        <w:t xml:space="preserve"> of the lung</w:t>
      </w:r>
      <w:r w:rsidRPr="00BC4A30">
        <w:t>. When ROHPG grants are taken from the total, MBS rebates accounts for 85</w:t>
      </w:r>
      <w:r w:rsidR="00DB7D52" w:rsidRPr="00BC4A30">
        <w:t xml:space="preserve"> per cent</w:t>
      </w:r>
      <w:r w:rsidRPr="00BC4A30">
        <w:t xml:space="preserve"> of treatment costs. Given </w:t>
      </w:r>
      <w:r w:rsidR="00760AC9" w:rsidRPr="00BC4A30">
        <w:t>SBRT</w:t>
      </w:r>
      <w:r w:rsidRPr="00BC4A30">
        <w:t xml:space="preserve"> is delivered on an outpatient basis this is to be expected. Discussions with clinicians indicated that </w:t>
      </w:r>
      <w:r w:rsidR="00387E51">
        <w:t>MBS fees for SBRT</w:t>
      </w:r>
      <w:r w:rsidRPr="00BC4A30">
        <w:t xml:space="preserve"> are possibly below costs of delivery. </w:t>
      </w:r>
    </w:p>
    <w:p w14:paraId="713AB1A4" w14:textId="153261CD" w:rsidR="00611702" w:rsidRPr="00BC4A30" w:rsidRDefault="00611702" w:rsidP="00437530">
      <w:pPr>
        <w:rPr>
          <w:rFonts w:asciiTheme="minorHAnsi" w:hAnsiTheme="minorHAnsi"/>
          <w:noProof/>
        </w:rPr>
      </w:pPr>
      <w:r w:rsidRPr="00BC4A30">
        <w:t xml:space="preserve">Low unit costs for radiation oncology items on the MBS was implicated by </w:t>
      </w:r>
      <w:r w:rsidR="00387E51">
        <w:t xml:space="preserve">the </w:t>
      </w:r>
      <w:r w:rsidRPr="00BC4A30">
        <w:t xml:space="preserve">Royal Australian and New Zealand College of Radiologists (RANZCR) (2015) for the increasing level of funding for these services through the Medicare Safety Net where $49.9 million (or almost 13%) of the total $389.9 million in MBS funding for radiation oncology in 2014 was spent through the Safety Net (Australian </w:t>
      </w:r>
      <w:r w:rsidRPr="00BC4A30">
        <w:lastRenderedPageBreak/>
        <w:t>G</w:t>
      </w:r>
      <w:r w:rsidR="00D4006A">
        <w:t xml:space="preserve">overnment Department of Health, </w:t>
      </w:r>
      <w:r w:rsidRPr="00BC4A30">
        <w:t>2015). Average co-payments hav</w:t>
      </w:r>
      <w:r w:rsidR="00FE016B">
        <w:t>e not been included in the</w:t>
      </w:r>
      <w:r w:rsidRPr="00BC4A30">
        <w:t xml:space="preserve"> assessment report, but could be significant when private delivery of </w:t>
      </w:r>
      <w:r w:rsidR="00760AC9" w:rsidRPr="00BC4A30">
        <w:t>SBRT</w:t>
      </w:r>
      <w:r w:rsidRPr="00BC4A30">
        <w:t xml:space="preserve"> is considered. Base unit costs in the draft assessment were derived from the public health system. The MBS item numbers used in base financial calculations are outlined in </w:t>
      </w:r>
      <w:r w:rsidR="00D4006A">
        <w:fldChar w:fldCharType="begin"/>
      </w:r>
      <w:r w:rsidR="00D4006A">
        <w:instrText xml:space="preserve"> REF _Ref460248879 \h </w:instrText>
      </w:r>
      <w:r w:rsidR="00D4006A">
        <w:fldChar w:fldCharType="separate"/>
      </w:r>
      <w:r w:rsidR="00D170A5">
        <w:t xml:space="preserve">Table </w:t>
      </w:r>
      <w:r w:rsidR="00D170A5">
        <w:rPr>
          <w:noProof/>
        </w:rPr>
        <w:t>85</w:t>
      </w:r>
      <w:r w:rsidR="00D4006A">
        <w:fldChar w:fldCharType="end"/>
      </w:r>
      <w:r w:rsidRPr="00BC4A30">
        <w:t>.</w:t>
      </w:r>
    </w:p>
    <w:p w14:paraId="73BDD563" w14:textId="1E7EEA3B" w:rsidR="00611702" w:rsidRPr="00BC4A30" w:rsidRDefault="00611702" w:rsidP="00437530">
      <w:pPr>
        <w:rPr>
          <w:noProof/>
        </w:rPr>
      </w:pPr>
      <w:r w:rsidRPr="00BC4A30">
        <w:rPr>
          <w:noProof/>
        </w:rPr>
        <w:t>Uptake of MTA would result in cost savings for the MBS, as the MBS rebate for MTA is</w:t>
      </w:r>
      <w:r w:rsidR="000F49B0" w:rsidRPr="00BC4A30">
        <w:rPr>
          <w:noProof/>
        </w:rPr>
        <w:t xml:space="preserve"> lower at</w:t>
      </w:r>
      <w:r w:rsidR="00387E51">
        <w:rPr>
          <w:noProof/>
        </w:rPr>
        <w:t xml:space="preserve"> $3,027</w:t>
      </w:r>
      <w:r w:rsidRPr="00BC4A30">
        <w:rPr>
          <w:noProof/>
        </w:rPr>
        <w:t xml:space="preserve"> for patients with less than 3 lesions</w:t>
      </w:r>
      <w:r w:rsidR="000F49B0" w:rsidRPr="00BC4A30">
        <w:rPr>
          <w:noProof/>
        </w:rPr>
        <w:t xml:space="preserve">, when compared to </w:t>
      </w:r>
      <w:r w:rsidR="00D4006A">
        <w:rPr>
          <w:noProof/>
        </w:rPr>
        <w:t xml:space="preserve">the cost of </w:t>
      </w:r>
      <w:r w:rsidR="00760AC9" w:rsidRPr="00BC4A30">
        <w:rPr>
          <w:noProof/>
        </w:rPr>
        <w:t>SBRT</w:t>
      </w:r>
      <w:r w:rsidR="000F49B0" w:rsidRPr="00BC4A30">
        <w:rPr>
          <w:noProof/>
        </w:rPr>
        <w:t xml:space="preserve"> </w:t>
      </w:r>
      <w:r w:rsidR="00D4006A">
        <w:rPr>
          <w:noProof/>
        </w:rPr>
        <w:t>which is</w:t>
      </w:r>
      <w:r w:rsidR="000F49B0" w:rsidRPr="00BC4A30">
        <w:rPr>
          <w:noProof/>
        </w:rPr>
        <w:t xml:space="preserve"> $4,</w:t>
      </w:r>
      <w:r w:rsidR="00387E51">
        <w:rPr>
          <w:noProof/>
        </w:rPr>
        <w:t>492</w:t>
      </w:r>
      <w:r w:rsidRPr="00BC4A30">
        <w:rPr>
          <w:noProof/>
        </w:rPr>
        <w:t>.</w:t>
      </w:r>
    </w:p>
    <w:p w14:paraId="54B03E0F" w14:textId="77777777" w:rsidR="00611702" w:rsidRPr="00152FE6" w:rsidRDefault="00611702" w:rsidP="00C418C4">
      <w:pPr>
        <w:spacing w:before="500"/>
        <w:rPr>
          <w:b/>
          <w:i/>
        </w:rPr>
      </w:pPr>
      <w:r w:rsidRPr="00152FE6">
        <w:rPr>
          <w:b/>
          <w:i/>
        </w:rPr>
        <w:t xml:space="preserve">Costs to MBS if MTA procedure is adopted </w:t>
      </w:r>
    </w:p>
    <w:p w14:paraId="0849B279" w14:textId="77777777" w:rsidR="00611702" w:rsidRPr="00BC4A30" w:rsidRDefault="00611702" w:rsidP="00437530">
      <w:r w:rsidRPr="00BC4A30">
        <w:t xml:space="preserve">This section provides an overview of MTA replacing </w:t>
      </w:r>
      <w:r w:rsidR="00760AC9" w:rsidRPr="00BC4A30">
        <w:t>SBRT</w:t>
      </w:r>
      <w:r w:rsidRPr="00BC4A30">
        <w:t xml:space="preserve"> focussing on the financial implications in terms of MBS rebates. The costs to the MBS only include the costs associated with the procedure; the costs of the machines, probes and hospital stay are borne by private health funds. It is evident that annual net MBS costs decrease from a saving of $0.</w:t>
      </w:r>
      <w:r w:rsidR="00387E51">
        <w:t>30</w:t>
      </w:r>
      <w:r w:rsidRPr="00BC4A30">
        <w:t xml:space="preserve"> million in Year 1 to a saving of $1.</w:t>
      </w:r>
      <w:r w:rsidR="00387E51">
        <w:t>65</w:t>
      </w:r>
      <w:r w:rsidRPr="00BC4A30">
        <w:t xml:space="preserve"> million in Year 5. The overall saving to the MBS over 5 years is $4.</w:t>
      </w:r>
      <w:r w:rsidR="00387E51">
        <w:t>78</w:t>
      </w:r>
      <w:r w:rsidRPr="00BC4A30">
        <w:t xml:space="preserve"> million. </w:t>
      </w:r>
    </w:p>
    <w:p w14:paraId="0E508A73" w14:textId="77777777" w:rsidR="00611702" w:rsidRPr="00BC4A30" w:rsidRDefault="00611702" w:rsidP="00611702">
      <w:pPr>
        <w:pStyle w:val="Caption"/>
        <w:keepNext/>
      </w:pPr>
      <w:bookmarkStart w:id="456" w:name="_Toc460514744"/>
      <w:r w:rsidRPr="00BC4A30">
        <w:t xml:space="preserve">Table </w:t>
      </w:r>
      <w:fldSimple w:instr=" SEQ Table \* ARABIC ">
        <w:r w:rsidR="00D170A5">
          <w:rPr>
            <w:noProof/>
          </w:rPr>
          <w:t>86</w:t>
        </w:r>
      </w:fldSimple>
      <w:r w:rsidRPr="00BC4A30">
        <w:tab/>
        <w:t>Total estimated additional costs to MBS of changes in services ($)</w:t>
      </w:r>
      <w:bookmarkEnd w:id="456"/>
    </w:p>
    <w:tbl>
      <w:tblPr>
        <w:tblW w:w="5000" w:type="pct"/>
        <w:tblLook w:val="04A0" w:firstRow="1" w:lastRow="0" w:firstColumn="1" w:lastColumn="0" w:noHBand="0" w:noVBand="1"/>
      </w:tblPr>
      <w:tblGrid>
        <w:gridCol w:w="2847"/>
        <w:gridCol w:w="1279"/>
        <w:gridCol w:w="1279"/>
        <w:gridCol w:w="1279"/>
        <w:gridCol w:w="1279"/>
        <w:gridCol w:w="1279"/>
      </w:tblGrid>
      <w:tr w:rsidR="00611702" w:rsidRPr="00BC4A30" w14:paraId="765E2E34" w14:textId="77777777" w:rsidTr="00CF201E">
        <w:trPr>
          <w:cantSplit/>
          <w:trHeight w:val="285"/>
          <w:tblHeader/>
        </w:trPr>
        <w:tc>
          <w:tcPr>
            <w:tcW w:w="15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A4E62C" w14:textId="77777777" w:rsidR="00611702" w:rsidRPr="00764E1E" w:rsidRDefault="00611702" w:rsidP="00EA03EC">
            <w:pPr>
              <w:pStyle w:val="Tabletext1"/>
              <w:rPr>
                <w:b/>
              </w:rPr>
            </w:pPr>
            <w:r w:rsidRPr="00BC4A30">
              <w:t> </w:t>
            </w:r>
          </w:p>
          <w:p w14:paraId="42DC23FC" w14:textId="501EDAF5" w:rsidR="00764E1E" w:rsidRPr="00BC4A30" w:rsidRDefault="00764E1E" w:rsidP="00EA03EC">
            <w:pPr>
              <w:pStyle w:val="Tabletext1"/>
            </w:pPr>
            <w:r w:rsidRPr="00764E1E">
              <w:rPr>
                <w:b/>
              </w:rPr>
              <w:t>Uptake estimate</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532569" w14:textId="77777777" w:rsidR="00611702" w:rsidRPr="00764E1E" w:rsidRDefault="00611702" w:rsidP="00EA03EC">
            <w:pPr>
              <w:pStyle w:val="Tabletext1"/>
              <w:rPr>
                <w:b/>
              </w:rPr>
            </w:pPr>
            <w:r w:rsidRPr="00764E1E">
              <w:rPr>
                <w:b/>
              </w:rPr>
              <w:t>Year 1</w:t>
            </w:r>
          </w:p>
          <w:p w14:paraId="125D5BF5" w14:textId="1DCF2961" w:rsidR="00764E1E" w:rsidRPr="00764E1E" w:rsidRDefault="00764E1E" w:rsidP="00EA03EC">
            <w:pPr>
              <w:pStyle w:val="Tabletext1"/>
              <w:rPr>
                <w:b/>
              </w:rPr>
            </w:pPr>
            <w:r w:rsidRPr="00764E1E">
              <w:rPr>
                <w:b/>
              </w:rPr>
              <w:t>10%</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0A8CE1" w14:textId="77777777" w:rsidR="00611702" w:rsidRPr="00764E1E" w:rsidRDefault="00611702" w:rsidP="00EA03EC">
            <w:pPr>
              <w:pStyle w:val="Tabletext1"/>
              <w:rPr>
                <w:b/>
              </w:rPr>
            </w:pPr>
            <w:r w:rsidRPr="00764E1E">
              <w:rPr>
                <w:b/>
              </w:rPr>
              <w:t>Year 2</w:t>
            </w:r>
          </w:p>
          <w:p w14:paraId="229D7E94" w14:textId="09CB523B" w:rsidR="00764E1E" w:rsidRPr="00764E1E" w:rsidRDefault="00764E1E" w:rsidP="00EA03EC">
            <w:pPr>
              <w:pStyle w:val="Tabletext1"/>
              <w:rPr>
                <w:b/>
              </w:rPr>
            </w:pPr>
            <w:r w:rsidRPr="00764E1E">
              <w:rPr>
                <w:b/>
              </w:rPr>
              <w:t>20%</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AC3ED7" w14:textId="77777777" w:rsidR="00611702" w:rsidRPr="00764E1E" w:rsidRDefault="00611702" w:rsidP="00EA03EC">
            <w:pPr>
              <w:pStyle w:val="Tabletext1"/>
              <w:rPr>
                <w:b/>
              </w:rPr>
            </w:pPr>
            <w:r w:rsidRPr="00764E1E">
              <w:rPr>
                <w:b/>
              </w:rPr>
              <w:t>Year 3</w:t>
            </w:r>
          </w:p>
          <w:p w14:paraId="0F0DAC91" w14:textId="27F3B22C" w:rsidR="00764E1E" w:rsidRPr="00764E1E" w:rsidRDefault="00764E1E" w:rsidP="00EA03EC">
            <w:pPr>
              <w:pStyle w:val="Tabletext1"/>
              <w:rPr>
                <w:b/>
              </w:rPr>
            </w:pPr>
            <w:r w:rsidRPr="00764E1E">
              <w:rPr>
                <w:b/>
              </w:rPr>
              <w:t>30%</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005AAA" w14:textId="77777777" w:rsidR="00611702" w:rsidRPr="00764E1E" w:rsidRDefault="00611702" w:rsidP="00EA03EC">
            <w:pPr>
              <w:pStyle w:val="Tabletext1"/>
              <w:rPr>
                <w:b/>
              </w:rPr>
            </w:pPr>
            <w:r w:rsidRPr="00764E1E">
              <w:rPr>
                <w:b/>
              </w:rPr>
              <w:t>Year 4</w:t>
            </w:r>
          </w:p>
          <w:p w14:paraId="1AA1DE04" w14:textId="64A31794" w:rsidR="00764E1E" w:rsidRPr="00764E1E" w:rsidRDefault="00764E1E" w:rsidP="00EA03EC">
            <w:pPr>
              <w:pStyle w:val="Tabletext1"/>
              <w:rPr>
                <w:b/>
              </w:rPr>
            </w:pPr>
            <w:r w:rsidRPr="00764E1E">
              <w:rPr>
                <w:b/>
              </w:rPr>
              <w:t>40%</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62A85E" w14:textId="77777777" w:rsidR="00611702" w:rsidRPr="00764E1E" w:rsidRDefault="00611702" w:rsidP="00EA03EC">
            <w:pPr>
              <w:pStyle w:val="Tabletext1"/>
              <w:rPr>
                <w:b/>
              </w:rPr>
            </w:pPr>
            <w:r w:rsidRPr="00764E1E">
              <w:rPr>
                <w:b/>
              </w:rPr>
              <w:t>Year 5</w:t>
            </w:r>
          </w:p>
          <w:p w14:paraId="4ECF00CA" w14:textId="4DE21090" w:rsidR="00764E1E" w:rsidRPr="00764E1E" w:rsidRDefault="00764E1E" w:rsidP="00EA03EC">
            <w:pPr>
              <w:pStyle w:val="Tabletext1"/>
              <w:rPr>
                <w:b/>
              </w:rPr>
            </w:pPr>
            <w:r w:rsidRPr="00764E1E">
              <w:rPr>
                <w:b/>
              </w:rPr>
              <w:t>50%</w:t>
            </w:r>
          </w:p>
        </w:tc>
      </w:tr>
      <w:tr w:rsidR="00387E51" w:rsidRPr="00BC4A30" w14:paraId="503AF55D"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0A228726" w14:textId="77777777" w:rsidR="00387E51" w:rsidRPr="00363E4B" w:rsidRDefault="00387E51" w:rsidP="00EA03EC">
            <w:pPr>
              <w:pStyle w:val="Tabletext1"/>
            </w:pPr>
            <w:r w:rsidRPr="00363E4B">
              <w:t>Anticipated total number of MTA procedures per year</w:t>
            </w:r>
          </w:p>
        </w:tc>
        <w:tc>
          <w:tcPr>
            <w:tcW w:w="692" w:type="pct"/>
            <w:tcBorders>
              <w:top w:val="nil"/>
              <w:left w:val="nil"/>
              <w:bottom w:val="single" w:sz="4" w:space="0" w:color="auto"/>
              <w:right w:val="single" w:sz="4" w:space="0" w:color="auto"/>
            </w:tcBorders>
            <w:shd w:val="clear" w:color="auto" w:fill="auto"/>
            <w:vAlign w:val="center"/>
            <w:hideMark/>
          </w:tcPr>
          <w:p w14:paraId="69A7846F" w14:textId="77777777" w:rsidR="00387E51" w:rsidRPr="0093174D" w:rsidRDefault="00387E51" w:rsidP="00EA03EC">
            <w:pPr>
              <w:pStyle w:val="Tabletext1"/>
            </w:pPr>
            <w:r>
              <w:t>202</w:t>
            </w:r>
          </w:p>
        </w:tc>
        <w:tc>
          <w:tcPr>
            <w:tcW w:w="692" w:type="pct"/>
            <w:tcBorders>
              <w:top w:val="nil"/>
              <w:left w:val="nil"/>
              <w:bottom w:val="single" w:sz="4" w:space="0" w:color="auto"/>
              <w:right w:val="single" w:sz="4" w:space="0" w:color="auto"/>
            </w:tcBorders>
            <w:shd w:val="clear" w:color="auto" w:fill="auto"/>
            <w:vAlign w:val="center"/>
            <w:hideMark/>
          </w:tcPr>
          <w:p w14:paraId="5A90890A" w14:textId="77777777" w:rsidR="00387E51" w:rsidRPr="0093174D" w:rsidRDefault="00387E51" w:rsidP="00EA03EC">
            <w:pPr>
              <w:pStyle w:val="Tabletext1"/>
            </w:pPr>
            <w:r>
              <w:t>414</w:t>
            </w:r>
          </w:p>
        </w:tc>
        <w:tc>
          <w:tcPr>
            <w:tcW w:w="692" w:type="pct"/>
            <w:tcBorders>
              <w:top w:val="nil"/>
              <w:left w:val="nil"/>
              <w:bottom w:val="single" w:sz="4" w:space="0" w:color="auto"/>
              <w:right w:val="single" w:sz="4" w:space="0" w:color="auto"/>
            </w:tcBorders>
            <w:shd w:val="clear" w:color="auto" w:fill="auto"/>
            <w:vAlign w:val="center"/>
            <w:hideMark/>
          </w:tcPr>
          <w:p w14:paraId="75E621FE" w14:textId="77777777" w:rsidR="00387E51" w:rsidRPr="0093174D" w:rsidRDefault="00387E51" w:rsidP="00EA03EC">
            <w:pPr>
              <w:pStyle w:val="Tabletext1"/>
            </w:pPr>
            <w:r>
              <w:t>636</w:t>
            </w:r>
          </w:p>
        </w:tc>
        <w:tc>
          <w:tcPr>
            <w:tcW w:w="692" w:type="pct"/>
            <w:tcBorders>
              <w:top w:val="nil"/>
              <w:left w:val="nil"/>
              <w:bottom w:val="single" w:sz="4" w:space="0" w:color="auto"/>
              <w:right w:val="single" w:sz="4" w:space="0" w:color="auto"/>
            </w:tcBorders>
            <w:shd w:val="clear" w:color="auto" w:fill="auto"/>
            <w:vAlign w:val="center"/>
            <w:hideMark/>
          </w:tcPr>
          <w:p w14:paraId="18B2F38E" w14:textId="77777777" w:rsidR="00387E51" w:rsidRPr="0093174D" w:rsidRDefault="00387E51" w:rsidP="00EA03EC">
            <w:pPr>
              <w:pStyle w:val="Tabletext1"/>
            </w:pPr>
            <w:r>
              <w:t>871</w:t>
            </w:r>
          </w:p>
        </w:tc>
        <w:tc>
          <w:tcPr>
            <w:tcW w:w="692" w:type="pct"/>
            <w:tcBorders>
              <w:top w:val="nil"/>
              <w:left w:val="nil"/>
              <w:bottom w:val="single" w:sz="4" w:space="0" w:color="auto"/>
              <w:right w:val="single" w:sz="4" w:space="0" w:color="auto"/>
            </w:tcBorders>
            <w:shd w:val="clear" w:color="auto" w:fill="auto"/>
            <w:vAlign w:val="center"/>
            <w:hideMark/>
          </w:tcPr>
          <w:p w14:paraId="24363FD1" w14:textId="77777777" w:rsidR="00387E51" w:rsidRPr="0093174D" w:rsidRDefault="00387E51" w:rsidP="00EA03EC">
            <w:pPr>
              <w:pStyle w:val="Tabletext1"/>
            </w:pPr>
            <w:r>
              <w:t>1,117</w:t>
            </w:r>
          </w:p>
        </w:tc>
      </w:tr>
      <w:tr w:rsidR="00387E51" w:rsidRPr="00BC4A30" w14:paraId="0130D1A7" w14:textId="77777777" w:rsidTr="00CF201E">
        <w:trPr>
          <w:cantSplit/>
          <w:trHeight w:val="255"/>
        </w:trPr>
        <w:tc>
          <w:tcPr>
            <w:tcW w:w="1540" w:type="pct"/>
            <w:tcBorders>
              <w:top w:val="nil"/>
              <w:left w:val="single" w:sz="4" w:space="0" w:color="auto"/>
              <w:bottom w:val="single" w:sz="4" w:space="0" w:color="auto"/>
            </w:tcBorders>
            <w:shd w:val="clear" w:color="000000" w:fill="D9D9D9"/>
            <w:vAlign w:val="center"/>
            <w:hideMark/>
          </w:tcPr>
          <w:p w14:paraId="00E3D2B8" w14:textId="77777777" w:rsidR="00387E51" w:rsidRPr="0041376F" w:rsidRDefault="00387E51" w:rsidP="00EA03EC">
            <w:pPr>
              <w:pStyle w:val="Tabletext1"/>
              <w:rPr>
                <w:b/>
              </w:rPr>
            </w:pPr>
            <w:r w:rsidRPr="0041376F">
              <w:rPr>
                <w:b/>
              </w:rPr>
              <w:t>Procedures by Lesion Grouping</w:t>
            </w:r>
          </w:p>
        </w:tc>
        <w:tc>
          <w:tcPr>
            <w:tcW w:w="692" w:type="pct"/>
            <w:tcBorders>
              <w:top w:val="single" w:sz="4" w:space="0" w:color="auto"/>
              <w:bottom w:val="single" w:sz="4" w:space="0" w:color="auto"/>
            </w:tcBorders>
            <w:shd w:val="clear" w:color="000000" w:fill="D9D9D9"/>
            <w:vAlign w:val="center"/>
            <w:hideMark/>
          </w:tcPr>
          <w:p w14:paraId="3F179FD4" w14:textId="77777777" w:rsidR="00387E51" w:rsidRPr="0093174D" w:rsidRDefault="00387E51" w:rsidP="00EA03EC">
            <w:pPr>
              <w:pStyle w:val="Tabletext1"/>
            </w:pPr>
            <w:r>
              <w:t> </w:t>
            </w:r>
          </w:p>
        </w:tc>
        <w:tc>
          <w:tcPr>
            <w:tcW w:w="692" w:type="pct"/>
            <w:tcBorders>
              <w:top w:val="single" w:sz="4" w:space="0" w:color="auto"/>
              <w:bottom w:val="single" w:sz="4" w:space="0" w:color="auto"/>
            </w:tcBorders>
            <w:shd w:val="clear" w:color="000000" w:fill="D9D9D9"/>
            <w:vAlign w:val="center"/>
            <w:hideMark/>
          </w:tcPr>
          <w:p w14:paraId="085B70B2" w14:textId="77777777" w:rsidR="00387E51" w:rsidRPr="0093174D" w:rsidRDefault="00387E51" w:rsidP="00EA03EC">
            <w:pPr>
              <w:pStyle w:val="Tabletext1"/>
            </w:pPr>
            <w:r>
              <w:t> </w:t>
            </w:r>
          </w:p>
        </w:tc>
        <w:tc>
          <w:tcPr>
            <w:tcW w:w="692" w:type="pct"/>
            <w:tcBorders>
              <w:top w:val="single" w:sz="4" w:space="0" w:color="auto"/>
              <w:bottom w:val="single" w:sz="4" w:space="0" w:color="auto"/>
            </w:tcBorders>
            <w:shd w:val="clear" w:color="000000" w:fill="D9D9D9"/>
            <w:vAlign w:val="center"/>
            <w:hideMark/>
          </w:tcPr>
          <w:p w14:paraId="36FF1217" w14:textId="77777777" w:rsidR="00387E51" w:rsidRPr="0093174D" w:rsidRDefault="00387E51" w:rsidP="00EA03EC">
            <w:pPr>
              <w:pStyle w:val="Tabletext1"/>
            </w:pPr>
            <w:r>
              <w:t> </w:t>
            </w:r>
          </w:p>
        </w:tc>
        <w:tc>
          <w:tcPr>
            <w:tcW w:w="692" w:type="pct"/>
            <w:tcBorders>
              <w:top w:val="single" w:sz="4" w:space="0" w:color="auto"/>
              <w:bottom w:val="single" w:sz="4" w:space="0" w:color="auto"/>
            </w:tcBorders>
            <w:shd w:val="clear" w:color="000000" w:fill="D9D9D9"/>
            <w:vAlign w:val="center"/>
            <w:hideMark/>
          </w:tcPr>
          <w:p w14:paraId="7265C362" w14:textId="77777777" w:rsidR="00387E51" w:rsidRPr="0093174D" w:rsidRDefault="00387E51" w:rsidP="00EA03EC">
            <w:pPr>
              <w:pStyle w:val="Tabletext1"/>
            </w:pPr>
            <w:r>
              <w:t> </w:t>
            </w:r>
          </w:p>
        </w:tc>
        <w:tc>
          <w:tcPr>
            <w:tcW w:w="692" w:type="pct"/>
            <w:tcBorders>
              <w:top w:val="single" w:sz="4" w:space="0" w:color="auto"/>
              <w:bottom w:val="single" w:sz="4" w:space="0" w:color="auto"/>
              <w:right w:val="single" w:sz="4" w:space="0" w:color="auto"/>
            </w:tcBorders>
            <w:shd w:val="clear" w:color="000000" w:fill="D9D9D9"/>
            <w:vAlign w:val="center"/>
            <w:hideMark/>
          </w:tcPr>
          <w:p w14:paraId="45058E4C" w14:textId="77777777" w:rsidR="00387E51" w:rsidRPr="0093174D" w:rsidRDefault="00387E51" w:rsidP="00EA03EC">
            <w:pPr>
              <w:pStyle w:val="Tabletext1"/>
            </w:pPr>
            <w:r>
              <w:t> </w:t>
            </w:r>
          </w:p>
        </w:tc>
      </w:tr>
      <w:tr w:rsidR="00387E51" w:rsidRPr="00BC4A30" w14:paraId="18A6D459"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48E7B78E" w14:textId="25F01B44" w:rsidR="00387E51" w:rsidRPr="00363E4B" w:rsidRDefault="006D0335" w:rsidP="00EA03EC">
            <w:pPr>
              <w:pStyle w:val="Tabletext1"/>
            </w:pPr>
            <w:r>
              <w:t>1–3</w:t>
            </w:r>
            <w:r w:rsidR="00387E51" w:rsidRPr="00363E4B">
              <w:t>total cost per patient (90%)</w:t>
            </w:r>
          </w:p>
        </w:tc>
        <w:tc>
          <w:tcPr>
            <w:tcW w:w="692" w:type="pct"/>
            <w:tcBorders>
              <w:top w:val="nil"/>
              <w:left w:val="nil"/>
              <w:bottom w:val="single" w:sz="4" w:space="0" w:color="auto"/>
              <w:right w:val="single" w:sz="4" w:space="0" w:color="auto"/>
            </w:tcBorders>
            <w:shd w:val="clear" w:color="auto" w:fill="auto"/>
            <w:vAlign w:val="center"/>
            <w:hideMark/>
          </w:tcPr>
          <w:p w14:paraId="7C798BCA" w14:textId="77777777" w:rsidR="00387E51" w:rsidRPr="0093174D" w:rsidRDefault="00387E51" w:rsidP="00EA03EC">
            <w:pPr>
              <w:pStyle w:val="Tabletext1"/>
            </w:pPr>
            <w:r>
              <w:t>181</w:t>
            </w:r>
          </w:p>
        </w:tc>
        <w:tc>
          <w:tcPr>
            <w:tcW w:w="692" w:type="pct"/>
            <w:tcBorders>
              <w:top w:val="nil"/>
              <w:left w:val="nil"/>
              <w:bottom w:val="single" w:sz="4" w:space="0" w:color="auto"/>
              <w:right w:val="single" w:sz="4" w:space="0" w:color="auto"/>
            </w:tcBorders>
            <w:shd w:val="clear" w:color="auto" w:fill="auto"/>
            <w:vAlign w:val="center"/>
            <w:hideMark/>
          </w:tcPr>
          <w:p w14:paraId="5DF4BB71" w14:textId="77777777" w:rsidR="00387E51" w:rsidRPr="0093174D" w:rsidRDefault="00387E51" w:rsidP="00EA03EC">
            <w:pPr>
              <w:pStyle w:val="Tabletext1"/>
            </w:pPr>
            <w:r>
              <w:t>372</w:t>
            </w:r>
          </w:p>
        </w:tc>
        <w:tc>
          <w:tcPr>
            <w:tcW w:w="692" w:type="pct"/>
            <w:tcBorders>
              <w:top w:val="nil"/>
              <w:left w:val="nil"/>
              <w:bottom w:val="single" w:sz="4" w:space="0" w:color="auto"/>
              <w:right w:val="single" w:sz="4" w:space="0" w:color="auto"/>
            </w:tcBorders>
            <w:shd w:val="clear" w:color="auto" w:fill="auto"/>
            <w:vAlign w:val="center"/>
            <w:hideMark/>
          </w:tcPr>
          <w:p w14:paraId="10C7D005" w14:textId="77777777" w:rsidR="00387E51" w:rsidRPr="0093174D" w:rsidRDefault="00387E51" w:rsidP="00EA03EC">
            <w:pPr>
              <w:pStyle w:val="Tabletext1"/>
            </w:pPr>
            <w:r>
              <w:t>573</w:t>
            </w:r>
          </w:p>
        </w:tc>
        <w:tc>
          <w:tcPr>
            <w:tcW w:w="692" w:type="pct"/>
            <w:tcBorders>
              <w:top w:val="nil"/>
              <w:left w:val="nil"/>
              <w:bottom w:val="single" w:sz="4" w:space="0" w:color="auto"/>
              <w:right w:val="single" w:sz="4" w:space="0" w:color="auto"/>
            </w:tcBorders>
            <w:shd w:val="clear" w:color="auto" w:fill="auto"/>
            <w:vAlign w:val="center"/>
            <w:hideMark/>
          </w:tcPr>
          <w:p w14:paraId="5C840DDB" w14:textId="77777777" w:rsidR="00387E51" w:rsidRPr="0093174D" w:rsidRDefault="00387E51" w:rsidP="00EA03EC">
            <w:pPr>
              <w:pStyle w:val="Tabletext1"/>
            </w:pPr>
            <w:r>
              <w:t>784</w:t>
            </w:r>
          </w:p>
        </w:tc>
        <w:tc>
          <w:tcPr>
            <w:tcW w:w="692" w:type="pct"/>
            <w:tcBorders>
              <w:top w:val="nil"/>
              <w:left w:val="nil"/>
              <w:bottom w:val="single" w:sz="4" w:space="0" w:color="auto"/>
              <w:right w:val="single" w:sz="4" w:space="0" w:color="auto"/>
            </w:tcBorders>
            <w:shd w:val="clear" w:color="auto" w:fill="auto"/>
            <w:vAlign w:val="center"/>
            <w:hideMark/>
          </w:tcPr>
          <w:p w14:paraId="511473AF" w14:textId="77777777" w:rsidR="00387E51" w:rsidRPr="0093174D" w:rsidRDefault="00387E51" w:rsidP="00EA03EC">
            <w:pPr>
              <w:pStyle w:val="Tabletext1"/>
            </w:pPr>
            <w:r>
              <w:t>1,005</w:t>
            </w:r>
          </w:p>
        </w:tc>
      </w:tr>
      <w:tr w:rsidR="00387E51" w:rsidRPr="00BC4A30" w14:paraId="0A8213C4"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532D10A7" w14:textId="0B62F55E" w:rsidR="00387E51" w:rsidRPr="00363E4B" w:rsidRDefault="006D0335" w:rsidP="00EA03EC">
            <w:pPr>
              <w:pStyle w:val="Tabletext1"/>
            </w:pPr>
            <w:r>
              <w:t>3–5</w:t>
            </w:r>
            <w:r w:rsidR="00387E51" w:rsidRPr="00363E4B">
              <w:t xml:space="preserve"> lesions total cost per patient (10%)</w:t>
            </w:r>
          </w:p>
        </w:tc>
        <w:tc>
          <w:tcPr>
            <w:tcW w:w="692" w:type="pct"/>
            <w:tcBorders>
              <w:top w:val="nil"/>
              <w:left w:val="nil"/>
              <w:bottom w:val="single" w:sz="4" w:space="0" w:color="auto"/>
              <w:right w:val="single" w:sz="4" w:space="0" w:color="auto"/>
            </w:tcBorders>
            <w:shd w:val="clear" w:color="auto" w:fill="auto"/>
            <w:vAlign w:val="center"/>
            <w:hideMark/>
          </w:tcPr>
          <w:p w14:paraId="02E4CAF6" w14:textId="77777777" w:rsidR="00387E51" w:rsidRPr="0093174D" w:rsidRDefault="00387E51" w:rsidP="00EA03EC">
            <w:pPr>
              <w:pStyle w:val="Tabletext1"/>
            </w:pPr>
            <w:r>
              <w:t>20</w:t>
            </w:r>
          </w:p>
        </w:tc>
        <w:tc>
          <w:tcPr>
            <w:tcW w:w="692" w:type="pct"/>
            <w:tcBorders>
              <w:top w:val="nil"/>
              <w:left w:val="nil"/>
              <w:bottom w:val="single" w:sz="4" w:space="0" w:color="auto"/>
              <w:right w:val="single" w:sz="4" w:space="0" w:color="auto"/>
            </w:tcBorders>
            <w:shd w:val="clear" w:color="auto" w:fill="auto"/>
            <w:vAlign w:val="center"/>
            <w:hideMark/>
          </w:tcPr>
          <w:p w14:paraId="1E4AEF40" w14:textId="77777777" w:rsidR="00387E51" w:rsidRPr="0093174D" w:rsidRDefault="00387E51" w:rsidP="00EA03EC">
            <w:pPr>
              <w:pStyle w:val="Tabletext1"/>
            </w:pPr>
            <w:r>
              <w:t>41</w:t>
            </w:r>
          </w:p>
        </w:tc>
        <w:tc>
          <w:tcPr>
            <w:tcW w:w="692" w:type="pct"/>
            <w:tcBorders>
              <w:top w:val="nil"/>
              <w:left w:val="nil"/>
              <w:bottom w:val="single" w:sz="4" w:space="0" w:color="auto"/>
              <w:right w:val="single" w:sz="4" w:space="0" w:color="auto"/>
            </w:tcBorders>
            <w:shd w:val="clear" w:color="auto" w:fill="auto"/>
            <w:vAlign w:val="center"/>
            <w:hideMark/>
          </w:tcPr>
          <w:p w14:paraId="3BC9205A" w14:textId="77777777" w:rsidR="00387E51" w:rsidRPr="0093174D" w:rsidRDefault="00387E51" w:rsidP="00EA03EC">
            <w:pPr>
              <w:pStyle w:val="Tabletext1"/>
            </w:pPr>
            <w:r>
              <w:t>64</w:t>
            </w:r>
          </w:p>
        </w:tc>
        <w:tc>
          <w:tcPr>
            <w:tcW w:w="692" w:type="pct"/>
            <w:tcBorders>
              <w:top w:val="nil"/>
              <w:left w:val="nil"/>
              <w:bottom w:val="single" w:sz="4" w:space="0" w:color="auto"/>
              <w:right w:val="single" w:sz="4" w:space="0" w:color="auto"/>
            </w:tcBorders>
            <w:shd w:val="clear" w:color="auto" w:fill="auto"/>
            <w:vAlign w:val="center"/>
            <w:hideMark/>
          </w:tcPr>
          <w:p w14:paraId="2DEAECB8" w14:textId="77777777" w:rsidR="00387E51" w:rsidRPr="0093174D" w:rsidRDefault="00387E51" w:rsidP="00EA03EC">
            <w:pPr>
              <w:pStyle w:val="Tabletext1"/>
            </w:pPr>
            <w:r>
              <w:t>87</w:t>
            </w:r>
          </w:p>
        </w:tc>
        <w:tc>
          <w:tcPr>
            <w:tcW w:w="692" w:type="pct"/>
            <w:tcBorders>
              <w:top w:val="nil"/>
              <w:left w:val="nil"/>
              <w:bottom w:val="single" w:sz="4" w:space="0" w:color="auto"/>
              <w:right w:val="single" w:sz="4" w:space="0" w:color="auto"/>
            </w:tcBorders>
            <w:shd w:val="clear" w:color="auto" w:fill="auto"/>
            <w:vAlign w:val="center"/>
            <w:hideMark/>
          </w:tcPr>
          <w:p w14:paraId="28882863" w14:textId="77777777" w:rsidR="00387E51" w:rsidRPr="0093174D" w:rsidRDefault="00387E51" w:rsidP="00EA03EC">
            <w:pPr>
              <w:pStyle w:val="Tabletext1"/>
            </w:pPr>
            <w:r>
              <w:t>112</w:t>
            </w:r>
          </w:p>
        </w:tc>
      </w:tr>
      <w:tr w:rsidR="00387E51" w:rsidRPr="00BC4A30" w14:paraId="42636B4B"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B3D09B7" w14:textId="458CB918" w:rsidR="00387E51" w:rsidRPr="00363E4B" w:rsidRDefault="006D0335" w:rsidP="00EA03EC">
            <w:pPr>
              <w:pStyle w:val="Tabletext1"/>
            </w:pPr>
            <w:r>
              <w:t>&gt;5</w:t>
            </w:r>
            <w:r w:rsidR="00387E51" w:rsidRPr="00363E4B">
              <w:t xml:space="preserve"> lesions total cost per patient (0%)</w:t>
            </w:r>
          </w:p>
        </w:tc>
        <w:tc>
          <w:tcPr>
            <w:tcW w:w="692" w:type="pct"/>
            <w:tcBorders>
              <w:top w:val="nil"/>
              <w:left w:val="nil"/>
              <w:bottom w:val="single" w:sz="4" w:space="0" w:color="auto"/>
              <w:right w:val="single" w:sz="4" w:space="0" w:color="auto"/>
            </w:tcBorders>
            <w:shd w:val="clear" w:color="auto" w:fill="auto"/>
            <w:vAlign w:val="center"/>
            <w:hideMark/>
          </w:tcPr>
          <w:p w14:paraId="2FAA7E35"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3AB89118"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55A31764"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6CC530B7"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63EAD111" w14:textId="77777777" w:rsidR="00387E51" w:rsidRPr="0093174D" w:rsidRDefault="00387E51" w:rsidP="00EA03EC">
            <w:pPr>
              <w:pStyle w:val="Tabletext1"/>
            </w:pPr>
            <w:r>
              <w:t>0</w:t>
            </w:r>
          </w:p>
        </w:tc>
      </w:tr>
      <w:tr w:rsidR="00387E51" w:rsidRPr="00BC4A30" w14:paraId="1F2ECB10"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7B17E838" w14:textId="77777777" w:rsidR="00387E51" w:rsidRPr="00363E4B" w:rsidRDefault="00387E51" w:rsidP="00EA03EC">
            <w:pPr>
              <w:pStyle w:val="Tabletext1"/>
            </w:pPr>
            <w:r w:rsidRPr="00363E4B">
              <w:t>Total</w:t>
            </w:r>
          </w:p>
        </w:tc>
        <w:tc>
          <w:tcPr>
            <w:tcW w:w="692" w:type="pct"/>
            <w:tcBorders>
              <w:top w:val="nil"/>
              <w:left w:val="nil"/>
              <w:bottom w:val="single" w:sz="4" w:space="0" w:color="auto"/>
              <w:right w:val="single" w:sz="4" w:space="0" w:color="auto"/>
            </w:tcBorders>
            <w:shd w:val="clear" w:color="auto" w:fill="auto"/>
            <w:vAlign w:val="center"/>
            <w:hideMark/>
          </w:tcPr>
          <w:p w14:paraId="5F34B396" w14:textId="77777777" w:rsidR="00387E51" w:rsidRPr="0093174D" w:rsidRDefault="00387E51" w:rsidP="00EA03EC">
            <w:pPr>
              <w:pStyle w:val="Tabletext1"/>
            </w:pPr>
            <w:r>
              <w:t>202</w:t>
            </w:r>
          </w:p>
        </w:tc>
        <w:tc>
          <w:tcPr>
            <w:tcW w:w="692" w:type="pct"/>
            <w:tcBorders>
              <w:top w:val="nil"/>
              <w:left w:val="nil"/>
              <w:bottom w:val="single" w:sz="4" w:space="0" w:color="auto"/>
              <w:right w:val="single" w:sz="4" w:space="0" w:color="auto"/>
            </w:tcBorders>
            <w:shd w:val="clear" w:color="auto" w:fill="auto"/>
            <w:vAlign w:val="center"/>
            <w:hideMark/>
          </w:tcPr>
          <w:p w14:paraId="03DA7C74" w14:textId="77777777" w:rsidR="00387E51" w:rsidRPr="0093174D" w:rsidRDefault="00387E51" w:rsidP="00EA03EC">
            <w:pPr>
              <w:pStyle w:val="Tabletext1"/>
            </w:pPr>
            <w:r>
              <w:t>414</w:t>
            </w:r>
          </w:p>
        </w:tc>
        <w:tc>
          <w:tcPr>
            <w:tcW w:w="692" w:type="pct"/>
            <w:tcBorders>
              <w:top w:val="nil"/>
              <w:left w:val="nil"/>
              <w:bottom w:val="single" w:sz="4" w:space="0" w:color="auto"/>
              <w:right w:val="single" w:sz="4" w:space="0" w:color="auto"/>
            </w:tcBorders>
            <w:shd w:val="clear" w:color="auto" w:fill="auto"/>
            <w:vAlign w:val="center"/>
            <w:hideMark/>
          </w:tcPr>
          <w:p w14:paraId="6FE52463" w14:textId="77777777" w:rsidR="00387E51" w:rsidRPr="0093174D" w:rsidRDefault="00387E51" w:rsidP="00EA03EC">
            <w:pPr>
              <w:pStyle w:val="Tabletext1"/>
            </w:pPr>
            <w:r>
              <w:t>636</w:t>
            </w:r>
          </w:p>
        </w:tc>
        <w:tc>
          <w:tcPr>
            <w:tcW w:w="692" w:type="pct"/>
            <w:tcBorders>
              <w:top w:val="nil"/>
              <w:left w:val="nil"/>
              <w:bottom w:val="single" w:sz="4" w:space="0" w:color="auto"/>
              <w:right w:val="single" w:sz="4" w:space="0" w:color="auto"/>
            </w:tcBorders>
            <w:shd w:val="clear" w:color="auto" w:fill="auto"/>
            <w:vAlign w:val="center"/>
            <w:hideMark/>
          </w:tcPr>
          <w:p w14:paraId="44B1D749" w14:textId="77777777" w:rsidR="00387E51" w:rsidRPr="0093174D" w:rsidRDefault="00387E51" w:rsidP="00EA03EC">
            <w:pPr>
              <w:pStyle w:val="Tabletext1"/>
            </w:pPr>
            <w:r>
              <w:t>871</w:t>
            </w:r>
          </w:p>
        </w:tc>
        <w:tc>
          <w:tcPr>
            <w:tcW w:w="692" w:type="pct"/>
            <w:tcBorders>
              <w:top w:val="nil"/>
              <w:left w:val="nil"/>
              <w:bottom w:val="single" w:sz="4" w:space="0" w:color="auto"/>
              <w:right w:val="single" w:sz="4" w:space="0" w:color="auto"/>
            </w:tcBorders>
            <w:shd w:val="clear" w:color="auto" w:fill="auto"/>
            <w:vAlign w:val="center"/>
            <w:hideMark/>
          </w:tcPr>
          <w:p w14:paraId="759CE5F4" w14:textId="77777777" w:rsidR="00387E51" w:rsidRPr="0093174D" w:rsidRDefault="00387E51" w:rsidP="00EA03EC">
            <w:pPr>
              <w:pStyle w:val="Tabletext1"/>
            </w:pPr>
            <w:r>
              <w:t>1,117</w:t>
            </w:r>
          </w:p>
        </w:tc>
      </w:tr>
      <w:tr w:rsidR="00387E51" w:rsidRPr="00BC4A30" w14:paraId="614968F8" w14:textId="77777777" w:rsidTr="00CF201E">
        <w:trPr>
          <w:cantSplit/>
          <w:trHeight w:val="255"/>
        </w:trPr>
        <w:tc>
          <w:tcPr>
            <w:tcW w:w="1540" w:type="pct"/>
            <w:tcBorders>
              <w:top w:val="nil"/>
              <w:left w:val="single" w:sz="4" w:space="0" w:color="auto"/>
              <w:bottom w:val="single" w:sz="4" w:space="0" w:color="auto"/>
            </w:tcBorders>
            <w:shd w:val="clear" w:color="000000" w:fill="D9D9D9"/>
            <w:vAlign w:val="center"/>
            <w:hideMark/>
          </w:tcPr>
          <w:p w14:paraId="6130DD62" w14:textId="77777777" w:rsidR="00387E51" w:rsidRPr="0041376F" w:rsidRDefault="00387E51" w:rsidP="00EA03EC">
            <w:pPr>
              <w:pStyle w:val="Tabletext1"/>
              <w:rPr>
                <w:b/>
              </w:rPr>
            </w:pPr>
            <w:r w:rsidRPr="0041376F">
              <w:rPr>
                <w:b/>
              </w:rPr>
              <w:t>MTA MBS Costs by Lesion Grouping</w:t>
            </w:r>
          </w:p>
        </w:tc>
        <w:tc>
          <w:tcPr>
            <w:tcW w:w="692" w:type="pct"/>
            <w:tcBorders>
              <w:top w:val="single" w:sz="4" w:space="0" w:color="auto"/>
              <w:bottom w:val="single" w:sz="4" w:space="0" w:color="auto"/>
            </w:tcBorders>
            <w:shd w:val="clear" w:color="000000" w:fill="D9D9D9"/>
            <w:vAlign w:val="center"/>
            <w:hideMark/>
          </w:tcPr>
          <w:p w14:paraId="2AA9D7C3" w14:textId="77777777" w:rsidR="00387E51" w:rsidRPr="0093174D" w:rsidRDefault="00387E51" w:rsidP="00EA03EC">
            <w:pPr>
              <w:pStyle w:val="Tabletext1"/>
            </w:pPr>
            <w:r>
              <w:t> </w:t>
            </w:r>
          </w:p>
        </w:tc>
        <w:tc>
          <w:tcPr>
            <w:tcW w:w="692" w:type="pct"/>
            <w:tcBorders>
              <w:top w:val="single" w:sz="4" w:space="0" w:color="auto"/>
              <w:bottom w:val="single" w:sz="4" w:space="0" w:color="auto"/>
            </w:tcBorders>
            <w:shd w:val="clear" w:color="000000" w:fill="D9D9D9"/>
            <w:vAlign w:val="center"/>
            <w:hideMark/>
          </w:tcPr>
          <w:p w14:paraId="50C7218A" w14:textId="77777777" w:rsidR="00387E51" w:rsidRPr="0093174D" w:rsidRDefault="00387E51" w:rsidP="00EA03EC">
            <w:pPr>
              <w:pStyle w:val="Tabletext1"/>
            </w:pPr>
            <w:r>
              <w:t> </w:t>
            </w:r>
          </w:p>
        </w:tc>
        <w:tc>
          <w:tcPr>
            <w:tcW w:w="692" w:type="pct"/>
            <w:tcBorders>
              <w:top w:val="single" w:sz="4" w:space="0" w:color="auto"/>
              <w:bottom w:val="single" w:sz="4" w:space="0" w:color="auto"/>
            </w:tcBorders>
            <w:shd w:val="clear" w:color="000000" w:fill="D9D9D9"/>
            <w:vAlign w:val="center"/>
            <w:hideMark/>
          </w:tcPr>
          <w:p w14:paraId="025E92D6" w14:textId="77777777" w:rsidR="00387E51" w:rsidRPr="0093174D" w:rsidRDefault="00387E51" w:rsidP="00EA03EC">
            <w:pPr>
              <w:pStyle w:val="Tabletext1"/>
            </w:pPr>
            <w:r>
              <w:t> </w:t>
            </w:r>
          </w:p>
        </w:tc>
        <w:tc>
          <w:tcPr>
            <w:tcW w:w="692" w:type="pct"/>
            <w:tcBorders>
              <w:top w:val="single" w:sz="4" w:space="0" w:color="auto"/>
              <w:bottom w:val="single" w:sz="4" w:space="0" w:color="auto"/>
            </w:tcBorders>
            <w:shd w:val="clear" w:color="000000" w:fill="D9D9D9"/>
            <w:vAlign w:val="center"/>
            <w:hideMark/>
          </w:tcPr>
          <w:p w14:paraId="0133DE35" w14:textId="77777777" w:rsidR="00387E51" w:rsidRPr="0093174D" w:rsidRDefault="00387E51" w:rsidP="00EA03EC">
            <w:pPr>
              <w:pStyle w:val="Tabletext1"/>
            </w:pPr>
            <w:r>
              <w:t> </w:t>
            </w:r>
          </w:p>
        </w:tc>
        <w:tc>
          <w:tcPr>
            <w:tcW w:w="692" w:type="pct"/>
            <w:tcBorders>
              <w:top w:val="single" w:sz="4" w:space="0" w:color="auto"/>
              <w:bottom w:val="single" w:sz="4" w:space="0" w:color="auto"/>
              <w:right w:val="single" w:sz="4" w:space="0" w:color="auto"/>
            </w:tcBorders>
            <w:shd w:val="clear" w:color="000000" w:fill="D9D9D9"/>
            <w:vAlign w:val="center"/>
            <w:hideMark/>
          </w:tcPr>
          <w:p w14:paraId="3DE04F27" w14:textId="77777777" w:rsidR="00387E51" w:rsidRPr="0093174D" w:rsidRDefault="00387E51" w:rsidP="00EA03EC">
            <w:pPr>
              <w:pStyle w:val="Tabletext1"/>
            </w:pPr>
            <w:r>
              <w:t> </w:t>
            </w:r>
          </w:p>
        </w:tc>
      </w:tr>
      <w:tr w:rsidR="00387E51" w:rsidRPr="00BC4A30" w14:paraId="15342B07"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584CEF13" w14:textId="4ECD72F8" w:rsidR="00387E51" w:rsidRPr="00363E4B" w:rsidRDefault="006D0335" w:rsidP="00EA03EC">
            <w:pPr>
              <w:pStyle w:val="Tabletext1"/>
            </w:pPr>
            <w:r>
              <w:t>1–3</w:t>
            </w:r>
            <w:r w:rsidR="00387E51" w:rsidRPr="00363E4B">
              <w:t>total cost per patient (90%)</w:t>
            </w:r>
          </w:p>
        </w:tc>
        <w:tc>
          <w:tcPr>
            <w:tcW w:w="692" w:type="pct"/>
            <w:tcBorders>
              <w:top w:val="nil"/>
              <w:left w:val="nil"/>
              <w:bottom w:val="single" w:sz="4" w:space="0" w:color="auto"/>
              <w:right w:val="single" w:sz="4" w:space="0" w:color="auto"/>
            </w:tcBorders>
            <w:shd w:val="clear" w:color="auto" w:fill="auto"/>
            <w:vAlign w:val="center"/>
            <w:hideMark/>
          </w:tcPr>
          <w:p w14:paraId="1A7C84D8" w14:textId="77777777" w:rsidR="00387E51" w:rsidRPr="0093174D" w:rsidRDefault="00387E51" w:rsidP="00EA03EC">
            <w:pPr>
              <w:pStyle w:val="Tabletext1"/>
            </w:pPr>
            <w:r>
              <w:t>549,161</w:t>
            </w:r>
          </w:p>
        </w:tc>
        <w:tc>
          <w:tcPr>
            <w:tcW w:w="692" w:type="pct"/>
            <w:tcBorders>
              <w:top w:val="nil"/>
              <w:left w:val="nil"/>
              <w:bottom w:val="single" w:sz="4" w:space="0" w:color="auto"/>
              <w:right w:val="single" w:sz="4" w:space="0" w:color="auto"/>
            </w:tcBorders>
            <w:shd w:val="clear" w:color="auto" w:fill="auto"/>
            <w:vAlign w:val="center"/>
            <w:hideMark/>
          </w:tcPr>
          <w:p w14:paraId="36011D40" w14:textId="77777777" w:rsidR="00387E51" w:rsidRPr="0093174D" w:rsidRDefault="00387E51" w:rsidP="00EA03EC">
            <w:pPr>
              <w:pStyle w:val="Tabletext1"/>
            </w:pPr>
            <w:r>
              <w:t>1,126,565</w:t>
            </w:r>
          </w:p>
        </w:tc>
        <w:tc>
          <w:tcPr>
            <w:tcW w:w="692" w:type="pct"/>
            <w:tcBorders>
              <w:top w:val="nil"/>
              <w:left w:val="nil"/>
              <w:bottom w:val="single" w:sz="4" w:space="0" w:color="auto"/>
              <w:right w:val="single" w:sz="4" w:space="0" w:color="auto"/>
            </w:tcBorders>
            <w:shd w:val="clear" w:color="auto" w:fill="auto"/>
            <w:vAlign w:val="center"/>
            <w:hideMark/>
          </w:tcPr>
          <w:p w14:paraId="63CBDE5D" w14:textId="77777777" w:rsidR="00387E51" w:rsidRPr="0093174D" w:rsidRDefault="00387E51" w:rsidP="00EA03EC">
            <w:pPr>
              <w:pStyle w:val="Tabletext1"/>
            </w:pPr>
            <w:r>
              <w:t>1,733,634</w:t>
            </w:r>
          </w:p>
        </w:tc>
        <w:tc>
          <w:tcPr>
            <w:tcW w:w="692" w:type="pct"/>
            <w:tcBorders>
              <w:top w:val="nil"/>
              <w:left w:val="nil"/>
              <w:bottom w:val="single" w:sz="4" w:space="0" w:color="auto"/>
              <w:right w:val="single" w:sz="4" w:space="0" w:color="auto"/>
            </w:tcBorders>
            <w:shd w:val="clear" w:color="auto" w:fill="auto"/>
            <w:vAlign w:val="center"/>
            <w:hideMark/>
          </w:tcPr>
          <w:p w14:paraId="1F1E85E1" w14:textId="77777777" w:rsidR="00387E51" w:rsidRPr="0093174D" w:rsidRDefault="00387E51" w:rsidP="00EA03EC">
            <w:pPr>
              <w:pStyle w:val="Tabletext1"/>
            </w:pPr>
            <w:r>
              <w:t>2,371,868</w:t>
            </w:r>
          </w:p>
        </w:tc>
        <w:tc>
          <w:tcPr>
            <w:tcW w:w="692" w:type="pct"/>
            <w:tcBorders>
              <w:top w:val="nil"/>
              <w:left w:val="nil"/>
              <w:bottom w:val="single" w:sz="4" w:space="0" w:color="auto"/>
              <w:right w:val="single" w:sz="4" w:space="0" w:color="auto"/>
            </w:tcBorders>
            <w:shd w:val="clear" w:color="auto" w:fill="auto"/>
            <w:vAlign w:val="center"/>
            <w:hideMark/>
          </w:tcPr>
          <w:p w14:paraId="7102D862" w14:textId="77777777" w:rsidR="00387E51" w:rsidRPr="0093174D" w:rsidRDefault="00387E51" w:rsidP="00EA03EC">
            <w:pPr>
              <w:pStyle w:val="Tabletext1"/>
            </w:pPr>
            <w:r>
              <w:t>3,042,840</w:t>
            </w:r>
          </w:p>
        </w:tc>
      </w:tr>
      <w:tr w:rsidR="00387E51" w:rsidRPr="00BC4A30" w14:paraId="264B8F4F"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0D63761A" w14:textId="3A2C1812" w:rsidR="00387E51" w:rsidRPr="00363E4B" w:rsidRDefault="006D0335" w:rsidP="00EA03EC">
            <w:pPr>
              <w:pStyle w:val="Tabletext1"/>
            </w:pPr>
            <w:r>
              <w:t>3–5</w:t>
            </w:r>
            <w:r w:rsidR="00387E51" w:rsidRPr="00363E4B">
              <w:t xml:space="preserve"> lesions total cost per patient (10%)</w:t>
            </w:r>
          </w:p>
        </w:tc>
        <w:tc>
          <w:tcPr>
            <w:tcW w:w="692" w:type="pct"/>
            <w:tcBorders>
              <w:top w:val="nil"/>
              <w:left w:val="nil"/>
              <w:bottom w:val="single" w:sz="4" w:space="0" w:color="auto"/>
              <w:right w:val="single" w:sz="4" w:space="0" w:color="auto"/>
            </w:tcBorders>
            <w:shd w:val="clear" w:color="auto" w:fill="auto"/>
            <w:vAlign w:val="center"/>
            <w:hideMark/>
          </w:tcPr>
          <w:p w14:paraId="3BB66CA8" w14:textId="77777777" w:rsidR="00387E51" w:rsidRPr="0093174D" w:rsidRDefault="00387E51" w:rsidP="00EA03EC">
            <w:pPr>
              <w:pStyle w:val="Tabletext1"/>
            </w:pPr>
            <w:r>
              <w:t>65,554</w:t>
            </w:r>
          </w:p>
        </w:tc>
        <w:tc>
          <w:tcPr>
            <w:tcW w:w="692" w:type="pct"/>
            <w:tcBorders>
              <w:top w:val="nil"/>
              <w:left w:val="nil"/>
              <w:bottom w:val="single" w:sz="4" w:space="0" w:color="auto"/>
              <w:right w:val="single" w:sz="4" w:space="0" w:color="auto"/>
            </w:tcBorders>
            <w:shd w:val="clear" w:color="auto" w:fill="auto"/>
            <w:vAlign w:val="center"/>
            <w:hideMark/>
          </w:tcPr>
          <w:p w14:paraId="60733F1F" w14:textId="77777777" w:rsidR="00387E51" w:rsidRPr="0093174D" w:rsidRDefault="00387E51" w:rsidP="00EA03EC">
            <w:pPr>
              <w:pStyle w:val="Tabletext1"/>
            </w:pPr>
            <w:r>
              <w:t>134,480</w:t>
            </w:r>
          </w:p>
        </w:tc>
        <w:tc>
          <w:tcPr>
            <w:tcW w:w="692" w:type="pct"/>
            <w:tcBorders>
              <w:top w:val="nil"/>
              <w:left w:val="nil"/>
              <w:bottom w:val="single" w:sz="4" w:space="0" w:color="auto"/>
              <w:right w:val="single" w:sz="4" w:space="0" w:color="auto"/>
            </w:tcBorders>
            <w:shd w:val="clear" w:color="auto" w:fill="auto"/>
            <w:vAlign w:val="center"/>
            <w:hideMark/>
          </w:tcPr>
          <w:p w14:paraId="40497D26" w14:textId="77777777" w:rsidR="00387E51" w:rsidRPr="0093174D" w:rsidRDefault="00387E51" w:rsidP="00EA03EC">
            <w:pPr>
              <w:pStyle w:val="Tabletext1"/>
            </w:pPr>
            <w:r>
              <w:t>206,946</w:t>
            </w:r>
          </w:p>
        </w:tc>
        <w:tc>
          <w:tcPr>
            <w:tcW w:w="692" w:type="pct"/>
            <w:tcBorders>
              <w:top w:val="nil"/>
              <w:left w:val="nil"/>
              <w:bottom w:val="single" w:sz="4" w:space="0" w:color="auto"/>
              <w:right w:val="single" w:sz="4" w:space="0" w:color="auto"/>
            </w:tcBorders>
            <w:shd w:val="clear" w:color="auto" w:fill="auto"/>
            <w:vAlign w:val="center"/>
            <w:hideMark/>
          </w:tcPr>
          <w:p w14:paraId="5E53026E" w14:textId="77777777" w:rsidR="00387E51" w:rsidRPr="0093174D" w:rsidRDefault="00387E51" w:rsidP="00EA03EC">
            <w:pPr>
              <w:pStyle w:val="Tabletext1"/>
            </w:pPr>
            <w:r>
              <w:t>283,133</w:t>
            </w:r>
          </w:p>
        </w:tc>
        <w:tc>
          <w:tcPr>
            <w:tcW w:w="692" w:type="pct"/>
            <w:tcBorders>
              <w:top w:val="nil"/>
              <w:left w:val="nil"/>
              <w:bottom w:val="single" w:sz="4" w:space="0" w:color="auto"/>
              <w:right w:val="single" w:sz="4" w:space="0" w:color="auto"/>
            </w:tcBorders>
            <w:shd w:val="clear" w:color="auto" w:fill="auto"/>
            <w:vAlign w:val="center"/>
            <w:hideMark/>
          </w:tcPr>
          <w:p w14:paraId="319117D2" w14:textId="77777777" w:rsidR="00387E51" w:rsidRPr="0093174D" w:rsidRDefault="00387E51" w:rsidP="00EA03EC">
            <w:pPr>
              <w:pStyle w:val="Tabletext1"/>
            </w:pPr>
            <w:r>
              <w:t>363,228</w:t>
            </w:r>
          </w:p>
        </w:tc>
      </w:tr>
      <w:tr w:rsidR="00387E51" w:rsidRPr="00BC4A30" w14:paraId="7FB3B8B7"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BC59022" w14:textId="67E62CF2" w:rsidR="00387E51" w:rsidRPr="00363E4B" w:rsidRDefault="006D0335" w:rsidP="00EA03EC">
            <w:pPr>
              <w:pStyle w:val="Tabletext1"/>
            </w:pPr>
            <w:r>
              <w:t>&gt;5</w:t>
            </w:r>
            <w:r w:rsidR="00387E51" w:rsidRPr="00363E4B">
              <w:t xml:space="preserve"> lesions total cost per patient (0%)</w:t>
            </w:r>
          </w:p>
        </w:tc>
        <w:tc>
          <w:tcPr>
            <w:tcW w:w="692" w:type="pct"/>
            <w:tcBorders>
              <w:top w:val="nil"/>
              <w:left w:val="nil"/>
              <w:bottom w:val="single" w:sz="4" w:space="0" w:color="auto"/>
              <w:right w:val="single" w:sz="4" w:space="0" w:color="auto"/>
            </w:tcBorders>
            <w:shd w:val="clear" w:color="auto" w:fill="auto"/>
            <w:vAlign w:val="center"/>
            <w:hideMark/>
          </w:tcPr>
          <w:p w14:paraId="2537384D"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5277B48B"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555618C7"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630173CA"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49C402FE" w14:textId="77777777" w:rsidR="00387E51" w:rsidRPr="0093174D" w:rsidRDefault="00387E51" w:rsidP="00EA03EC">
            <w:pPr>
              <w:pStyle w:val="Tabletext1"/>
            </w:pPr>
            <w:r>
              <w:t>0</w:t>
            </w:r>
          </w:p>
        </w:tc>
      </w:tr>
      <w:tr w:rsidR="00387E51" w:rsidRPr="00BC4A30" w14:paraId="610EA9EE"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CC23AA5" w14:textId="77777777" w:rsidR="00387E51" w:rsidRPr="00363E4B" w:rsidRDefault="00387E51" w:rsidP="00EA03EC">
            <w:pPr>
              <w:pStyle w:val="Tabletext1"/>
            </w:pPr>
            <w:r w:rsidRPr="00363E4B">
              <w:t>Total</w:t>
            </w:r>
          </w:p>
        </w:tc>
        <w:tc>
          <w:tcPr>
            <w:tcW w:w="692" w:type="pct"/>
            <w:tcBorders>
              <w:top w:val="nil"/>
              <w:left w:val="nil"/>
              <w:bottom w:val="single" w:sz="4" w:space="0" w:color="auto"/>
              <w:right w:val="single" w:sz="4" w:space="0" w:color="auto"/>
            </w:tcBorders>
            <w:shd w:val="clear" w:color="auto" w:fill="auto"/>
            <w:vAlign w:val="center"/>
            <w:hideMark/>
          </w:tcPr>
          <w:p w14:paraId="325090A7" w14:textId="77777777" w:rsidR="00387E51" w:rsidRPr="0093174D" w:rsidRDefault="00387E51" w:rsidP="00EA03EC">
            <w:pPr>
              <w:pStyle w:val="Tabletext1"/>
            </w:pPr>
            <w:r>
              <w:t>614,715</w:t>
            </w:r>
          </w:p>
        </w:tc>
        <w:tc>
          <w:tcPr>
            <w:tcW w:w="692" w:type="pct"/>
            <w:tcBorders>
              <w:top w:val="nil"/>
              <w:left w:val="nil"/>
              <w:bottom w:val="single" w:sz="4" w:space="0" w:color="auto"/>
              <w:right w:val="single" w:sz="4" w:space="0" w:color="auto"/>
            </w:tcBorders>
            <w:shd w:val="clear" w:color="auto" w:fill="auto"/>
            <w:vAlign w:val="center"/>
            <w:hideMark/>
          </w:tcPr>
          <w:p w14:paraId="57CA1FCC" w14:textId="77777777" w:rsidR="00387E51" w:rsidRPr="0093174D" w:rsidRDefault="00387E51" w:rsidP="00EA03EC">
            <w:pPr>
              <w:pStyle w:val="Tabletext1"/>
            </w:pPr>
            <w:r>
              <w:t>1,261,044</w:t>
            </w:r>
          </w:p>
        </w:tc>
        <w:tc>
          <w:tcPr>
            <w:tcW w:w="692" w:type="pct"/>
            <w:tcBorders>
              <w:top w:val="nil"/>
              <w:left w:val="nil"/>
              <w:bottom w:val="single" w:sz="4" w:space="0" w:color="auto"/>
              <w:right w:val="single" w:sz="4" w:space="0" w:color="auto"/>
            </w:tcBorders>
            <w:shd w:val="clear" w:color="auto" w:fill="auto"/>
            <w:vAlign w:val="center"/>
            <w:hideMark/>
          </w:tcPr>
          <w:p w14:paraId="0032B9BE" w14:textId="77777777" w:rsidR="00387E51" w:rsidRPr="0093174D" w:rsidRDefault="00387E51" w:rsidP="00EA03EC">
            <w:pPr>
              <w:pStyle w:val="Tabletext1"/>
            </w:pPr>
            <w:r>
              <w:t>1,940,581</w:t>
            </w:r>
          </w:p>
        </w:tc>
        <w:tc>
          <w:tcPr>
            <w:tcW w:w="692" w:type="pct"/>
            <w:tcBorders>
              <w:top w:val="nil"/>
              <w:left w:val="nil"/>
              <w:bottom w:val="single" w:sz="4" w:space="0" w:color="auto"/>
              <w:right w:val="single" w:sz="4" w:space="0" w:color="auto"/>
            </w:tcBorders>
            <w:shd w:val="clear" w:color="auto" w:fill="auto"/>
            <w:vAlign w:val="center"/>
            <w:hideMark/>
          </w:tcPr>
          <w:p w14:paraId="350C5F54" w14:textId="77777777" w:rsidR="00387E51" w:rsidRPr="0093174D" w:rsidRDefault="00387E51" w:rsidP="00EA03EC">
            <w:pPr>
              <w:pStyle w:val="Tabletext1"/>
            </w:pPr>
            <w:r>
              <w:t>2,655,001</w:t>
            </w:r>
          </w:p>
        </w:tc>
        <w:tc>
          <w:tcPr>
            <w:tcW w:w="692" w:type="pct"/>
            <w:tcBorders>
              <w:top w:val="nil"/>
              <w:left w:val="nil"/>
              <w:bottom w:val="single" w:sz="4" w:space="0" w:color="auto"/>
              <w:right w:val="single" w:sz="4" w:space="0" w:color="auto"/>
            </w:tcBorders>
            <w:shd w:val="clear" w:color="auto" w:fill="auto"/>
            <w:vAlign w:val="center"/>
            <w:hideMark/>
          </w:tcPr>
          <w:p w14:paraId="36B1E0ED" w14:textId="77777777" w:rsidR="00387E51" w:rsidRPr="0093174D" w:rsidRDefault="00387E51" w:rsidP="00EA03EC">
            <w:pPr>
              <w:pStyle w:val="Tabletext1"/>
            </w:pPr>
            <w:r>
              <w:t>3,406,068</w:t>
            </w:r>
          </w:p>
        </w:tc>
      </w:tr>
      <w:tr w:rsidR="00387E51" w:rsidRPr="00BC4A30" w14:paraId="7B69779F" w14:textId="77777777" w:rsidTr="00CF201E">
        <w:trPr>
          <w:cantSplit/>
          <w:trHeight w:val="255"/>
        </w:trPr>
        <w:tc>
          <w:tcPr>
            <w:tcW w:w="1540" w:type="pct"/>
            <w:tcBorders>
              <w:top w:val="nil"/>
              <w:left w:val="single" w:sz="4" w:space="0" w:color="auto"/>
              <w:bottom w:val="single" w:sz="4" w:space="0" w:color="auto"/>
            </w:tcBorders>
            <w:shd w:val="clear" w:color="000000" w:fill="D9D9D9"/>
            <w:vAlign w:val="center"/>
            <w:hideMark/>
          </w:tcPr>
          <w:p w14:paraId="0A99F465" w14:textId="77777777" w:rsidR="00387E51" w:rsidRPr="0041376F" w:rsidRDefault="00387E51" w:rsidP="00EA03EC">
            <w:pPr>
              <w:pStyle w:val="Tabletext1"/>
              <w:rPr>
                <w:b/>
              </w:rPr>
            </w:pPr>
            <w:r w:rsidRPr="0041376F">
              <w:rPr>
                <w:b/>
              </w:rPr>
              <w:lastRenderedPageBreak/>
              <w:t xml:space="preserve">SBRT MBS Costs by Lesion Grouping </w:t>
            </w:r>
          </w:p>
        </w:tc>
        <w:tc>
          <w:tcPr>
            <w:tcW w:w="692" w:type="pct"/>
            <w:tcBorders>
              <w:top w:val="single" w:sz="4" w:space="0" w:color="auto"/>
              <w:bottom w:val="single" w:sz="4" w:space="0" w:color="auto"/>
            </w:tcBorders>
            <w:shd w:val="clear" w:color="000000" w:fill="D9D9D9"/>
            <w:vAlign w:val="center"/>
            <w:hideMark/>
          </w:tcPr>
          <w:p w14:paraId="4F416D81" w14:textId="77777777" w:rsidR="00387E51" w:rsidRPr="0093174D" w:rsidRDefault="00387E51" w:rsidP="00EA03EC">
            <w:pPr>
              <w:pStyle w:val="Tabletext1"/>
            </w:pPr>
            <w:r>
              <w:t> </w:t>
            </w:r>
          </w:p>
        </w:tc>
        <w:tc>
          <w:tcPr>
            <w:tcW w:w="692" w:type="pct"/>
            <w:tcBorders>
              <w:top w:val="single" w:sz="4" w:space="0" w:color="auto"/>
              <w:bottom w:val="single" w:sz="4" w:space="0" w:color="auto"/>
            </w:tcBorders>
            <w:shd w:val="clear" w:color="000000" w:fill="D9D9D9"/>
            <w:vAlign w:val="center"/>
            <w:hideMark/>
          </w:tcPr>
          <w:p w14:paraId="1C12CB27" w14:textId="77777777" w:rsidR="00387E51" w:rsidRPr="0093174D" w:rsidRDefault="00387E51" w:rsidP="00EA03EC">
            <w:pPr>
              <w:pStyle w:val="Tabletext1"/>
            </w:pPr>
            <w:r>
              <w:t> </w:t>
            </w:r>
          </w:p>
        </w:tc>
        <w:tc>
          <w:tcPr>
            <w:tcW w:w="692" w:type="pct"/>
            <w:tcBorders>
              <w:top w:val="single" w:sz="4" w:space="0" w:color="auto"/>
              <w:bottom w:val="single" w:sz="4" w:space="0" w:color="auto"/>
            </w:tcBorders>
            <w:shd w:val="clear" w:color="000000" w:fill="D9D9D9"/>
            <w:vAlign w:val="center"/>
            <w:hideMark/>
          </w:tcPr>
          <w:p w14:paraId="1808501E" w14:textId="77777777" w:rsidR="00387E51" w:rsidRPr="0093174D" w:rsidRDefault="00387E51" w:rsidP="00EA03EC">
            <w:pPr>
              <w:pStyle w:val="Tabletext1"/>
            </w:pPr>
            <w:r>
              <w:t> </w:t>
            </w:r>
          </w:p>
        </w:tc>
        <w:tc>
          <w:tcPr>
            <w:tcW w:w="692" w:type="pct"/>
            <w:tcBorders>
              <w:top w:val="single" w:sz="4" w:space="0" w:color="auto"/>
              <w:bottom w:val="single" w:sz="4" w:space="0" w:color="auto"/>
            </w:tcBorders>
            <w:shd w:val="clear" w:color="000000" w:fill="D9D9D9"/>
            <w:vAlign w:val="center"/>
            <w:hideMark/>
          </w:tcPr>
          <w:p w14:paraId="11F6442D" w14:textId="77777777" w:rsidR="00387E51" w:rsidRPr="0093174D" w:rsidRDefault="00387E51" w:rsidP="00EA03EC">
            <w:pPr>
              <w:pStyle w:val="Tabletext1"/>
            </w:pPr>
            <w:r>
              <w:t> </w:t>
            </w:r>
          </w:p>
        </w:tc>
        <w:tc>
          <w:tcPr>
            <w:tcW w:w="692" w:type="pct"/>
            <w:tcBorders>
              <w:top w:val="single" w:sz="4" w:space="0" w:color="auto"/>
              <w:bottom w:val="single" w:sz="4" w:space="0" w:color="auto"/>
              <w:right w:val="single" w:sz="4" w:space="0" w:color="auto"/>
            </w:tcBorders>
            <w:shd w:val="clear" w:color="000000" w:fill="D9D9D9"/>
            <w:vAlign w:val="center"/>
            <w:hideMark/>
          </w:tcPr>
          <w:p w14:paraId="2FA22B72" w14:textId="77777777" w:rsidR="00387E51" w:rsidRPr="0093174D" w:rsidRDefault="00387E51" w:rsidP="00EA03EC">
            <w:pPr>
              <w:pStyle w:val="Tabletext1"/>
            </w:pPr>
            <w:r>
              <w:t> </w:t>
            </w:r>
          </w:p>
        </w:tc>
      </w:tr>
      <w:tr w:rsidR="00387E51" w:rsidRPr="00BC4A30" w14:paraId="10198972"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81F0C58" w14:textId="05378520" w:rsidR="00387E51" w:rsidRPr="00363E4B" w:rsidRDefault="006D0335" w:rsidP="00EA03EC">
            <w:pPr>
              <w:pStyle w:val="Tabletext1"/>
            </w:pPr>
            <w:r>
              <w:t>1–3</w:t>
            </w:r>
            <w:r w:rsidR="00387E51" w:rsidRPr="00363E4B">
              <w:t>total cost per patient (90%)</w:t>
            </w:r>
          </w:p>
        </w:tc>
        <w:tc>
          <w:tcPr>
            <w:tcW w:w="692" w:type="pct"/>
            <w:tcBorders>
              <w:top w:val="nil"/>
              <w:left w:val="nil"/>
              <w:bottom w:val="single" w:sz="4" w:space="0" w:color="auto"/>
              <w:right w:val="single" w:sz="4" w:space="0" w:color="auto"/>
            </w:tcBorders>
            <w:shd w:val="clear" w:color="auto" w:fill="auto"/>
            <w:vAlign w:val="center"/>
            <w:hideMark/>
          </w:tcPr>
          <w:p w14:paraId="7A294FED" w14:textId="77777777" w:rsidR="00387E51" w:rsidRPr="0093174D" w:rsidRDefault="00387E51" w:rsidP="00EA03EC">
            <w:pPr>
              <w:pStyle w:val="Tabletext1"/>
            </w:pPr>
            <w:r>
              <w:t>815,107</w:t>
            </w:r>
          </w:p>
        </w:tc>
        <w:tc>
          <w:tcPr>
            <w:tcW w:w="692" w:type="pct"/>
            <w:tcBorders>
              <w:top w:val="nil"/>
              <w:left w:val="nil"/>
              <w:bottom w:val="single" w:sz="4" w:space="0" w:color="auto"/>
              <w:right w:val="single" w:sz="4" w:space="0" w:color="auto"/>
            </w:tcBorders>
            <w:shd w:val="clear" w:color="auto" w:fill="auto"/>
            <w:vAlign w:val="center"/>
            <w:hideMark/>
          </w:tcPr>
          <w:p w14:paraId="1DEC2DA3" w14:textId="77777777" w:rsidR="00387E51" w:rsidRPr="0093174D" w:rsidRDefault="00387E51" w:rsidP="00EA03EC">
            <w:pPr>
              <w:pStyle w:val="Tabletext1"/>
            </w:pPr>
            <w:r>
              <w:t>1,672,134</w:t>
            </w:r>
          </w:p>
        </w:tc>
        <w:tc>
          <w:tcPr>
            <w:tcW w:w="692" w:type="pct"/>
            <w:tcBorders>
              <w:top w:val="nil"/>
              <w:left w:val="nil"/>
              <w:bottom w:val="single" w:sz="4" w:space="0" w:color="auto"/>
              <w:right w:val="single" w:sz="4" w:space="0" w:color="auto"/>
            </w:tcBorders>
            <w:shd w:val="clear" w:color="auto" w:fill="auto"/>
            <w:vAlign w:val="center"/>
            <w:hideMark/>
          </w:tcPr>
          <w:p w14:paraId="089F877B" w14:textId="77777777" w:rsidR="00387E51" w:rsidRPr="0093174D" w:rsidRDefault="00387E51" w:rsidP="00EA03EC">
            <w:pPr>
              <w:pStyle w:val="Tabletext1"/>
            </w:pPr>
            <w:r>
              <w:t>2,573,194</w:t>
            </w:r>
          </w:p>
        </w:tc>
        <w:tc>
          <w:tcPr>
            <w:tcW w:w="692" w:type="pct"/>
            <w:tcBorders>
              <w:top w:val="nil"/>
              <w:left w:val="nil"/>
              <w:bottom w:val="single" w:sz="4" w:space="0" w:color="auto"/>
              <w:right w:val="single" w:sz="4" w:space="0" w:color="auto"/>
            </w:tcBorders>
            <w:shd w:val="clear" w:color="auto" w:fill="auto"/>
            <w:vAlign w:val="center"/>
            <w:hideMark/>
          </w:tcPr>
          <w:p w14:paraId="6B1D352D" w14:textId="77777777" w:rsidR="00387E51" w:rsidRPr="0093174D" w:rsidRDefault="00387E51" w:rsidP="00EA03EC">
            <w:pPr>
              <w:pStyle w:val="Tabletext1"/>
            </w:pPr>
            <w:r>
              <w:t>3,520,509</w:t>
            </w:r>
          </w:p>
        </w:tc>
        <w:tc>
          <w:tcPr>
            <w:tcW w:w="692" w:type="pct"/>
            <w:tcBorders>
              <w:top w:val="nil"/>
              <w:left w:val="nil"/>
              <w:bottom w:val="single" w:sz="4" w:space="0" w:color="auto"/>
              <w:right w:val="single" w:sz="4" w:space="0" w:color="auto"/>
            </w:tcBorders>
            <w:shd w:val="clear" w:color="auto" w:fill="auto"/>
            <w:vAlign w:val="center"/>
            <w:hideMark/>
          </w:tcPr>
          <w:p w14:paraId="5A8DE1BA" w14:textId="77777777" w:rsidR="00387E51" w:rsidRPr="0093174D" w:rsidRDefault="00387E51" w:rsidP="00EA03EC">
            <w:pPr>
              <w:pStyle w:val="Tabletext1"/>
            </w:pPr>
            <w:r>
              <w:t>4,516,418</w:t>
            </w:r>
          </w:p>
        </w:tc>
      </w:tr>
      <w:tr w:rsidR="00387E51" w:rsidRPr="00BC4A30" w14:paraId="069EDD91"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EBA8AF8" w14:textId="6089D2CA" w:rsidR="00387E51" w:rsidRPr="00363E4B" w:rsidRDefault="006D0335" w:rsidP="00EA03EC">
            <w:pPr>
              <w:pStyle w:val="Tabletext1"/>
            </w:pPr>
            <w:r>
              <w:t>3–5</w:t>
            </w:r>
            <w:r w:rsidR="00387E51" w:rsidRPr="00363E4B">
              <w:t xml:space="preserve"> lesions total cost per patient (10%)</w:t>
            </w:r>
          </w:p>
        </w:tc>
        <w:tc>
          <w:tcPr>
            <w:tcW w:w="692" w:type="pct"/>
            <w:tcBorders>
              <w:top w:val="nil"/>
              <w:left w:val="nil"/>
              <w:bottom w:val="single" w:sz="4" w:space="0" w:color="auto"/>
              <w:right w:val="single" w:sz="4" w:space="0" w:color="auto"/>
            </w:tcBorders>
            <w:shd w:val="clear" w:color="auto" w:fill="auto"/>
            <w:vAlign w:val="center"/>
            <w:hideMark/>
          </w:tcPr>
          <w:p w14:paraId="15721A8C" w14:textId="77777777" w:rsidR="00387E51" w:rsidRPr="0093174D" w:rsidRDefault="00387E51" w:rsidP="00EA03EC">
            <w:pPr>
              <w:pStyle w:val="Tabletext1"/>
            </w:pPr>
            <w:r>
              <w:t>96,829</w:t>
            </w:r>
          </w:p>
        </w:tc>
        <w:tc>
          <w:tcPr>
            <w:tcW w:w="692" w:type="pct"/>
            <w:tcBorders>
              <w:top w:val="nil"/>
              <w:left w:val="nil"/>
              <w:bottom w:val="single" w:sz="4" w:space="0" w:color="auto"/>
              <w:right w:val="single" w:sz="4" w:space="0" w:color="auto"/>
            </w:tcBorders>
            <w:shd w:val="clear" w:color="auto" w:fill="auto"/>
            <w:vAlign w:val="center"/>
            <w:hideMark/>
          </w:tcPr>
          <w:p w14:paraId="55712727" w14:textId="77777777" w:rsidR="00387E51" w:rsidRPr="0093174D" w:rsidRDefault="00387E51" w:rsidP="00EA03EC">
            <w:pPr>
              <w:pStyle w:val="Tabletext1"/>
            </w:pPr>
            <w:r>
              <w:t>198,638</w:t>
            </w:r>
          </w:p>
        </w:tc>
        <w:tc>
          <w:tcPr>
            <w:tcW w:w="692" w:type="pct"/>
            <w:tcBorders>
              <w:top w:val="nil"/>
              <w:left w:val="nil"/>
              <w:bottom w:val="single" w:sz="4" w:space="0" w:color="auto"/>
              <w:right w:val="single" w:sz="4" w:space="0" w:color="auto"/>
            </w:tcBorders>
            <w:shd w:val="clear" w:color="auto" w:fill="auto"/>
            <w:vAlign w:val="center"/>
            <w:hideMark/>
          </w:tcPr>
          <w:p w14:paraId="70F7E925" w14:textId="77777777" w:rsidR="00387E51" w:rsidRPr="0093174D" w:rsidRDefault="00387E51" w:rsidP="00EA03EC">
            <w:pPr>
              <w:pStyle w:val="Tabletext1"/>
            </w:pPr>
            <w:r>
              <w:t>305,678</w:t>
            </w:r>
          </w:p>
        </w:tc>
        <w:tc>
          <w:tcPr>
            <w:tcW w:w="692" w:type="pct"/>
            <w:tcBorders>
              <w:top w:val="nil"/>
              <w:left w:val="nil"/>
              <w:bottom w:val="single" w:sz="4" w:space="0" w:color="auto"/>
              <w:right w:val="single" w:sz="4" w:space="0" w:color="auto"/>
            </w:tcBorders>
            <w:shd w:val="clear" w:color="auto" w:fill="auto"/>
            <w:vAlign w:val="center"/>
            <w:hideMark/>
          </w:tcPr>
          <w:p w14:paraId="71B81272" w14:textId="77777777" w:rsidR="00387E51" w:rsidRPr="0093174D" w:rsidRDefault="00387E51" w:rsidP="00EA03EC">
            <w:pPr>
              <w:pStyle w:val="Tabletext1"/>
            </w:pPr>
            <w:r>
              <w:t>418,213</w:t>
            </w:r>
          </w:p>
        </w:tc>
        <w:tc>
          <w:tcPr>
            <w:tcW w:w="692" w:type="pct"/>
            <w:tcBorders>
              <w:top w:val="nil"/>
              <w:left w:val="nil"/>
              <w:bottom w:val="single" w:sz="4" w:space="0" w:color="auto"/>
              <w:right w:val="single" w:sz="4" w:space="0" w:color="auto"/>
            </w:tcBorders>
            <w:shd w:val="clear" w:color="auto" w:fill="auto"/>
            <w:vAlign w:val="center"/>
            <w:hideMark/>
          </w:tcPr>
          <w:p w14:paraId="3DA88FBB" w14:textId="77777777" w:rsidR="00387E51" w:rsidRPr="0093174D" w:rsidRDefault="00387E51" w:rsidP="00EA03EC">
            <w:pPr>
              <w:pStyle w:val="Tabletext1"/>
            </w:pPr>
            <w:r>
              <w:t>536,520</w:t>
            </w:r>
          </w:p>
        </w:tc>
      </w:tr>
      <w:tr w:rsidR="00387E51" w:rsidRPr="00BC4A30" w14:paraId="39D99651"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7A6B4FB" w14:textId="21D095BF" w:rsidR="00387E51" w:rsidRPr="00363E4B" w:rsidRDefault="006D0335" w:rsidP="00EA03EC">
            <w:pPr>
              <w:pStyle w:val="Tabletext1"/>
            </w:pPr>
            <w:r>
              <w:t>&gt;5</w:t>
            </w:r>
            <w:r w:rsidR="00387E51" w:rsidRPr="00363E4B">
              <w:t xml:space="preserve"> lesions total cost per patient (0%)</w:t>
            </w:r>
          </w:p>
        </w:tc>
        <w:tc>
          <w:tcPr>
            <w:tcW w:w="692" w:type="pct"/>
            <w:tcBorders>
              <w:top w:val="nil"/>
              <w:left w:val="nil"/>
              <w:bottom w:val="single" w:sz="4" w:space="0" w:color="auto"/>
              <w:right w:val="single" w:sz="4" w:space="0" w:color="auto"/>
            </w:tcBorders>
            <w:shd w:val="clear" w:color="auto" w:fill="auto"/>
            <w:vAlign w:val="center"/>
            <w:hideMark/>
          </w:tcPr>
          <w:p w14:paraId="7179C896"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681126AA"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7505317B"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634820D6" w14:textId="77777777" w:rsidR="00387E51" w:rsidRPr="0093174D" w:rsidRDefault="00387E51" w:rsidP="00EA03EC">
            <w:pPr>
              <w:pStyle w:val="Tabletext1"/>
            </w:pPr>
            <w:r>
              <w:t>0</w:t>
            </w:r>
          </w:p>
        </w:tc>
        <w:tc>
          <w:tcPr>
            <w:tcW w:w="692" w:type="pct"/>
            <w:tcBorders>
              <w:top w:val="nil"/>
              <w:left w:val="nil"/>
              <w:bottom w:val="single" w:sz="4" w:space="0" w:color="auto"/>
              <w:right w:val="single" w:sz="4" w:space="0" w:color="auto"/>
            </w:tcBorders>
            <w:shd w:val="clear" w:color="auto" w:fill="auto"/>
            <w:vAlign w:val="center"/>
            <w:hideMark/>
          </w:tcPr>
          <w:p w14:paraId="612093F9" w14:textId="77777777" w:rsidR="00387E51" w:rsidRPr="0093174D" w:rsidRDefault="00387E51" w:rsidP="00EA03EC">
            <w:pPr>
              <w:pStyle w:val="Tabletext1"/>
            </w:pPr>
            <w:r>
              <w:t>0</w:t>
            </w:r>
          </w:p>
        </w:tc>
      </w:tr>
      <w:tr w:rsidR="00387E51" w:rsidRPr="00BC4A30" w14:paraId="33B9CE7D"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6B68799D" w14:textId="77777777" w:rsidR="00387E51" w:rsidRPr="00363E4B" w:rsidRDefault="00387E51" w:rsidP="00EA03EC">
            <w:pPr>
              <w:pStyle w:val="Tabletext1"/>
            </w:pPr>
            <w:r w:rsidRPr="00363E4B">
              <w:t>Total</w:t>
            </w:r>
          </w:p>
        </w:tc>
        <w:tc>
          <w:tcPr>
            <w:tcW w:w="692" w:type="pct"/>
            <w:tcBorders>
              <w:top w:val="nil"/>
              <w:left w:val="nil"/>
              <w:bottom w:val="single" w:sz="4" w:space="0" w:color="auto"/>
              <w:right w:val="single" w:sz="4" w:space="0" w:color="auto"/>
            </w:tcBorders>
            <w:shd w:val="clear" w:color="auto" w:fill="auto"/>
            <w:vAlign w:val="center"/>
            <w:hideMark/>
          </w:tcPr>
          <w:p w14:paraId="220E7439" w14:textId="77777777" w:rsidR="00387E51" w:rsidRPr="0093174D" w:rsidRDefault="00387E51" w:rsidP="00EA03EC">
            <w:pPr>
              <w:pStyle w:val="Tabletext1"/>
            </w:pPr>
            <w:r>
              <w:t>911,937</w:t>
            </w:r>
          </w:p>
        </w:tc>
        <w:tc>
          <w:tcPr>
            <w:tcW w:w="692" w:type="pct"/>
            <w:tcBorders>
              <w:top w:val="nil"/>
              <w:left w:val="nil"/>
              <w:bottom w:val="single" w:sz="4" w:space="0" w:color="auto"/>
              <w:right w:val="single" w:sz="4" w:space="0" w:color="auto"/>
            </w:tcBorders>
            <w:shd w:val="clear" w:color="auto" w:fill="auto"/>
            <w:vAlign w:val="center"/>
            <w:hideMark/>
          </w:tcPr>
          <w:p w14:paraId="1F8D6FAC" w14:textId="77777777" w:rsidR="00387E51" w:rsidRPr="0093174D" w:rsidRDefault="00387E51" w:rsidP="00EA03EC">
            <w:pPr>
              <w:pStyle w:val="Tabletext1"/>
            </w:pPr>
            <w:r>
              <w:t>1,870,773</w:t>
            </w:r>
          </w:p>
        </w:tc>
        <w:tc>
          <w:tcPr>
            <w:tcW w:w="692" w:type="pct"/>
            <w:tcBorders>
              <w:top w:val="nil"/>
              <w:left w:val="nil"/>
              <w:bottom w:val="single" w:sz="4" w:space="0" w:color="auto"/>
              <w:right w:val="single" w:sz="4" w:space="0" w:color="auto"/>
            </w:tcBorders>
            <w:shd w:val="clear" w:color="auto" w:fill="auto"/>
            <w:vAlign w:val="center"/>
            <w:hideMark/>
          </w:tcPr>
          <w:p w14:paraId="1001DF78" w14:textId="77777777" w:rsidR="00387E51" w:rsidRPr="0093174D" w:rsidRDefault="00387E51" w:rsidP="00EA03EC">
            <w:pPr>
              <w:pStyle w:val="Tabletext1"/>
            </w:pPr>
            <w:r>
              <w:t>2,878,872</w:t>
            </w:r>
          </w:p>
        </w:tc>
        <w:tc>
          <w:tcPr>
            <w:tcW w:w="692" w:type="pct"/>
            <w:tcBorders>
              <w:top w:val="nil"/>
              <w:left w:val="nil"/>
              <w:bottom w:val="single" w:sz="4" w:space="0" w:color="auto"/>
              <w:right w:val="single" w:sz="4" w:space="0" w:color="auto"/>
            </w:tcBorders>
            <w:shd w:val="clear" w:color="auto" w:fill="auto"/>
            <w:vAlign w:val="center"/>
            <w:hideMark/>
          </w:tcPr>
          <w:p w14:paraId="32E6CB19" w14:textId="77777777" w:rsidR="00387E51" w:rsidRPr="0093174D" w:rsidRDefault="00387E51" w:rsidP="00EA03EC">
            <w:pPr>
              <w:pStyle w:val="Tabletext1"/>
            </w:pPr>
            <w:r>
              <w:t>3,938,722</w:t>
            </w:r>
          </w:p>
        </w:tc>
        <w:tc>
          <w:tcPr>
            <w:tcW w:w="692" w:type="pct"/>
            <w:tcBorders>
              <w:top w:val="nil"/>
              <w:left w:val="nil"/>
              <w:bottom w:val="single" w:sz="4" w:space="0" w:color="auto"/>
              <w:right w:val="single" w:sz="4" w:space="0" w:color="auto"/>
            </w:tcBorders>
            <w:shd w:val="clear" w:color="auto" w:fill="auto"/>
            <w:vAlign w:val="center"/>
            <w:hideMark/>
          </w:tcPr>
          <w:p w14:paraId="5B0A4304" w14:textId="77777777" w:rsidR="00387E51" w:rsidRPr="0093174D" w:rsidRDefault="00387E51" w:rsidP="00EA03EC">
            <w:pPr>
              <w:pStyle w:val="Tabletext1"/>
            </w:pPr>
            <w:r>
              <w:t>5,052,938</w:t>
            </w:r>
          </w:p>
        </w:tc>
      </w:tr>
      <w:tr w:rsidR="00387E51" w:rsidRPr="00BC4A30" w14:paraId="082995C6" w14:textId="77777777" w:rsidTr="00CF201E">
        <w:trPr>
          <w:cantSplit/>
          <w:trHeight w:val="255"/>
        </w:trPr>
        <w:tc>
          <w:tcPr>
            <w:tcW w:w="1540" w:type="pct"/>
            <w:tcBorders>
              <w:top w:val="nil"/>
              <w:left w:val="single" w:sz="4" w:space="0" w:color="auto"/>
              <w:bottom w:val="single" w:sz="4" w:space="0" w:color="auto"/>
              <w:right w:val="single" w:sz="4" w:space="0" w:color="auto"/>
            </w:tcBorders>
            <w:shd w:val="clear" w:color="000000" w:fill="D9D9D9"/>
            <w:vAlign w:val="center"/>
            <w:hideMark/>
          </w:tcPr>
          <w:p w14:paraId="7A3369AC" w14:textId="77777777" w:rsidR="00387E51" w:rsidRPr="0041376F" w:rsidRDefault="00387E51" w:rsidP="00EA03EC">
            <w:pPr>
              <w:pStyle w:val="Tabletext1"/>
              <w:rPr>
                <w:b/>
              </w:rPr>
            </w:pPr>
            <w:r w:rsidRPr="0041376F">
              <w:rPr>
                <w:b/>
              </w:rPr>
              <w:t>Net MBS Costs</w:t>
            </w:r>
          </w:p>
        </w:tc>
        <w:tc>
          <w:tcPr>
            <w:tcW w:w="692" w:type="pct"/>
            <w:tcBorders>
              <w:top w:val="nil"/>
              <w:left w:val="nil"/>
              <w:bottom w:val="single" w:sz="4" w:space="0" w:color="auto"/>
              <w:right w:val="single" w:sz="4" w:space="0" w:color="auto"/>
            </w:tcBorders>
            <w:shd w:val="clear" w:color="000000" w:fill="D9D9D9"/>
            <w:vAlign w:val="center"/>
            <w:hideMark/>
          </w:tcPr>
          <w:p w14:paraId="2169EAA4" w14:textId="77777777" w:rsidR="00387E51" w:rsidRPr="00B50A45" w:rsidRDefault="00387E51" w:rsidP="00EA03EC">
            <w:pPr>
              <w:pStyle w:val="Tabletext1"/>
              <w:rPr>
                <w:b/>
              </w:rPr>
            </w:pPr>
            <w:r w:rsidRPr="00B50A45">
              <w:rPr>
                <w:b/>
              </w:rPr>
              <w:t>-297,221</w:t>
            </w:r>
          </w:p>
        </w:tc>
        <w:tc>
          <w:tcPr>
            <w:tcW w:w="692" w:type="pct"/>
            <w:tcBorders>
              <w:top w:val="nil"/>
              <w:left w:val="nil"/>
              <w:bottom w:val="single" w:sz="4" w:space="0" w:color="auto"/>
              <w:right w:val="single" w:sz="4" w:space="0" w:color="auto"/>
            </w:tcBorders>
            <w:shd w:val="clear" w:color="000000" w:fill="D9D9D9"/>
            <w:vAlign w:val="center"/>
            <w:hideMark/>
          </w:tcPr>
          <w:p w14:paraId="775B527E" w14:textId="77777777" w:rsidR="00387E51" w:rsidRPr="00B50A45" w:rsidRDefault="00387E51" w:rsidP="00EA03EC">
            <w:pPr>
              <w:pStyle w:val="Tabletext1"/>
              <w:rPr>
                <w:b/>
              </w:rPr>
            </w:pPr>
            <w:r w:rsidRPr="00B50A45">
              <w:rPr>
                <w:b/>
              </w:rPr>
              <w:t>-609,728</w:t>
            </w:r>
          </w:p>
        </w:tc>
        <w:tc>
          <w:tcPr>
            <w:tcW w:w="692" w:type="pct"/>
            <w:tcBorders>
              <w:top w:val="nil"/>
              <w:left w:val="nil"/>
              <w:bottom w:val="single" w:sz="4" w:space="0" w:color="auto"/>
              <w:right w:val="single" w:sz="4" w:space="0" w:color="auto"/>
            </w:tcBorders>
            <w:shd w:val="clear" w:color="000000" w:fill="D9D9D9"/>
            <w:vAlign w:val="center"/>
            <w:hideMark/>
          </w:tcPr>
          <w:p w14:paraId="05789F77" w14:textId="77777777" w:rsidR="00387E51" w:rsidRPr="00B50A45" w:rsidRDefault="00387E51" w:rsidP="00EA03EC">
            <w:pPr>
              <w:pStyle w:val="Tabletext1"/>
              <w:rPr>
                <w:b/>
              </w:rPr>
            </w:pPr>
            <w:r w:rsidRPr="00B50A45">
              <w:rPr>
                <w:b/>
              </w:rPr>
              <w:t>-938,292</w:t>
            </w:r>
          </w:p>
        </w:tc>
        <w:tc>
          <w:tcPr>
            <w:tcW w:w="692" w:type="pct"/>
            <w:tcBorders>
              <w:top w:val="nil"/>
              <w:left w:val="nil"/>
              <w:bottom w:val="single" w:sz="4" w:space="0" w:color="auto"/>
              <w:right w:val="single" w:sz="4" w:space="0" w:color="auto"/>
            </w:tcBorders>
            <w:shd w:val="clear" w:color="000000" w:fill="D9D9D9"/>
            <w:vAlign w:val="center"/>
            <w:hideMark/>
          </w:tcPr>
          <w:p w14:paraId="7F8A5D16" w14:textId="77777777" w:rsidR="00387E51" w:rsidRPr="00B50A45" w:rsidRDefault="00387E51" w:rsidP="00EA03EC">
            <w:pPr>
              <w:pStyle w:val="Tabletext1"/>
              <w:rPr>
                <w:b/>
              </w:rPr>
            </w:pPr>
            <w:r w:rsidRPr="00B50A45">
              <w:rPr>
                <w:b/>
              </w:rPr>
              <w:t>-1,283,721</w:t>
            </w:r>
          </w:p>
        </w:tc>
        <w:tc>
          <w:tcPr>
            <w:tcW w:w="692" w:type="pct"/>
            <w:tcBorders>
              <w:top w:val="nil"/>
              <w:left w:val="nil"/>
              <w:bottom w:val="single" w:sz="4" w:space="0" w:color="auto"/>
              <w:right w:val="single" w:sz="4" w:space="0" w:color="auto"/>
            </w:tcBorders>
            <w:shd w:val="clear" w:color="000000" w:fill="D9D9D9"/>
            <w:vAlign w:val="center"/>
            <w:hideMark/>
          </w:tcPr>
          <w:p w14:paraId="7A22126B" w14:textId="77777777" w:rsidR="00387E51" w:rsidRPr="00B50A45" w:rsidRDefault="00387E51" w:rsidP="00EA03EC">
            <w:pPr>
              <w:pStyle w:val="Tabletext1"/>
              <w:rPr>
                <w:b/>
              </w:rPr>
            </w:pPr>
            <w:r w:rsidRPr="00B50A45">
              <w:rPr>
                <w:b/>
              </w:rPr>
              <w:t>-1,646,870</w:t>
            </w:r>
          </w:p>
        </w:tc>
      </w:tr>
    </w:tbl>
    <w:p w14:paraId="0C24D1BB" w14:textId="48A4BFA7" w:rsidR="00611702" w:rsidRPr="00BC4A30" w:rsidRDefault="0041376F" w:rsidP="00295875">
      <w:pPr>
        <w:pStyle w:val="Tablenotes0"/>
        <w:rPr>
          <w:sz w:val="24"/>
        </w:rPr>
      </w:pPr>
      <w:r>
        <w:rPr>
          <w:rStyle w:val="TablenotesChar0"/>
        </w:rPr>
        <w:t>&lt;</w:t>
      </w:r>
      <w:r w:rsidR="00295875">
        <w:rPr>
          <w:rStyle w:val="TablenotesChar0"/>
        </w:rPr>
        <w:t xml:space="preserve"> </w:t>
      </w:r>
      <w:r w:rsidR="00A405EC" w:rsidRPr="0041376F">
        <w:rPr>
          <w:rStyle w:val="TablenotesChar0"/>
        </w:rPr>
        <w:t>MBS= Medicare benefits schedule; MTA= microwave tissue ablation</w:t>
      </w:r>
      <w:r w:rsidR="00E027FA">
        <w:rPr>
          <w:rStyle w:val="TablenotesChar0"/>
        </w:rPr>
        <w:t>; SBRT = stereotactic body radiotherapy</w:t>
      </w:r>
      <w:r>
        <w:rPr>
          <w:rFonts w:cstheme="minorBidi"/>
          <w:szCs w:val="18"/>
        </w:rPr>
        <w:t>&gt;</w:t>
      </w:r>
      <w:r w:rsidRPr="00BC4A30">
        <w:rPr>
          <w:sz w:val="24"/>
        </w:rPr>
        <w:t xml:space="preserve"> </w:t>
      </w:r>
    </w:p>
    <w:p w14:paraId="7B8EA428" w14:textId="77777777" w:rsidR="00C550C1" w:rsidRPr="00BC4A30" w:rsidRDefault="00C550C1" w:rsidP="00D4006A">
      <w:pPr>
        <w:pStyle w:val="Heading2"/>
        <w:numPr>
          <w:ilvl w:val="4"/>
          <w:numId w:val="9"/>
        </w:numPr>
        <w:ind w:left="567" w:hanging="567"/>
      </w:pPr>
      <w:bookmarkStart w:id="457" w:name="_Toc460396093"/>
      <w:r w:rsidRPr="00BC4A30">
        <w:t>Financial Implications for Government Health Budgets</w:t>
      </w:r>
      <w:bookmarkEnd w:id="457"/>
      <w:r w:rsidRPr="00BC4A30">
        <w:t xml:space="preserve"> </w:t>
      </w:r>
    </w:p>
    <w:p w14:paraId="72C75198" w14:textId="37DABEB0" w:rsidR="00611702" w:rsidRPr="00BC4A30" w:rsidRDefault="00611702" w:rsidP="00437530">
      <w:r w:rsidRPr="00BC4A30">
        <w:t xml:space="preserve">Implementing </w:t>
      </w:r>
      <w:r w:rsidR="00E027FA">
        <w:t>the proposed</w:t>
      </w:r>
      <w:r w:rsidRPr="00BC4A30">
        <w:t xml:space="preserve"> MBS item</w:t>
      </w:r>
      <w:r w:rsidR="00E027FA">
        <w:t>s</w:t>
      </w:r>
      <w:r w:rsidRPr="00BC4A30">
        <w:t xml:space="preserve"> has financial implications for other parts of the Australian Government’s health budget. There are also impacts on state and territory Government health budgets, including public ho</w:t>
      </w:r>
      <w:r w:rsidR="00D4006A">
        <w:t>spitals, and private insurance.</w:t>
      </w:r>
    </w:p>
    <w:p w14:paraId="63921D91" w14:textId="77777777" w:rsidR="00611702" w:rsidRPr="00B46BB3" w:rsidRDefault="00611702" w:rsidP="007724D3">
      <w:pPr>
        <w:spacing w:before="500"/>
        <w:rPr>
          <w:rFonts w:asciiTheme="minorHAnsi" w:hAnsiTheme="minorHAnsi"/>
          <w:b/>
          <w:i/>
        </w:rPr>
      </w:pPr>
      <w:r w:rsidRPr="00B46BB3">
        <w:rPr>
          <w:rFonts w:asciiTheme="minorHAnsi" w:hAnsiTheme="minorHAnsi"/>
          <w:b/>
          <w:i/>
        </w:rPr>
        <w:t>Costs to the PBS</w:t>
      </w:r>
    </w:p>
    <w:p w14:paraId="77852C7F" w14:textId="4E56748E" w:rsidR="00611702" w:rsidRPr="00BC4A30" w:rsidRDefault="00A941E9" w:rsidP="00437530">
      <w:pPr>
        <w:rPr>
          <w:rFonts w:asciiTheme="majorHAnsi" w:hAnsiTheme="majorHAnsi"/>
          <w:noProof/>
          <w:sz w:val="16"/>
          <w:szCs w:val="16"/>
        </w:rPr>
      </w:pPr>
      <w:r w:rsidRPr="00BC4A30">
        <w:t>The p</w:t>
      </w:r>
      <w:r w:rsidR="00611702" w:rsidRPr="00BC4A30">
        <w:t xml:space="preserve">rotocol notes that NICE recommends the consideration of chemoradiotherapy for patients with stage II or III NSCLC who are not suitable for surgery </w:t>
      </w:r>
      <w:r w:rsidR="00611702" w:rsidRPr="00BC4A30">
        <w:fldChar w:fldCharType="begin"/>
      </w:r>
      <w:r w:rsidR="00F00D1D">
        <w:instrText xml:space="preserve"> ADDIN EN.CITE &lt;EndNote&gt;&lt;Cite&gt;&lt;Author&gt;NICE&lt;/Author&gt;&lt;Year&gt;2011&lt;/Year&gt;&lt;RecNum&gt;39&lt;/RecNum&gt;&lt;DisplayText&gt;(The National Institute for Health Care and Excellence (NICE) 2011)&lt;/DisplayText&gt;&lt;record&gt;&lt;rec-number&gt;39&lt;/rec-number&gt;&lt;foreign-keys&gt;&lt;key app="EN" db-id="05ssdaw2cf0zvye5xvo5z9ww0xdpfstrdtew" timestamp="1465864245"&gt;39&lt;/key&gt;&lt;/foreign-keys&gt;&lt;ref-type name="Report"&gt;27&lt;/ref-type&gt;&lt;contributors&gt;&lt;authors&gt;&lt;author&gt;The National Institute for Health Care and Excellence (NICE),&lt;/author&gt;&lt;/authors&gt;&lt;/contributors&gt;&lt;titles&gt;&lt;title&gt;Lung cancer: The diagnosis and treatment of lung cancer&lt;/title&gt;&lt;/titles&gt;&lt;dates&gt;&lt;year&gt;2011&lt;/year&gt;&lt;/dates&gt;&lt;urls&gt;&lt;related-urls&gt;&lt;url&gt;guidance.nice.org.uk/cg121&lt;/url&gt;&lt;/related-urls&gt;&lt;/urls&gt;&lt;/record&gt;&lt;/Cite&gt;&lt;/EndNote&gt;</w:instrText>
      </w:r>
      <w:r w:rsidR="00611702" w:rsidRPr="00BC4A30">
        <w:fldChar w:fldCharType="separate"/>
      </w:r>
      <w:r w:rsidR="00F00D1D">
        <w:rPr>
          <w:noProof/>
        </w:rPr>
        <w:t>(</w:t>
      </w:r>
      <w:hyperlink w:anchor="_ENREF_154" w:tooltip="The National Institute for Health Care and Excellence (NICE), 2011 #39" w:history="1">
        <w:r w:rsidR="00320458">
          <w:rPr>
            <w:noProof/>
          </w:rPr>
          <w:t>The National Institute for Health Care and Excellence (NICE) 2011</w:t>
        </w:r>
      </w:hyperlink>
      <w:r w:rsidR="00F00D1D">
        <w:rPr>
          <w:noProof/>
        </w:rPr>
        <w:t>)</w:t>
      </w:r>
      <w:r w:rsidR="00611702" w:rsidRPr="00BC4A30">
        <w:fldChar w:fldCharType="end"/>
      </w:r>
      <w:r w:rsidR="00611702" w:rsidRPr="00BC4A30">
        <w:t>. Both SBRT and MTA treated patients could utilise chemoradiotherapy, therefore net impacts on the PBS are likely to be minimal.</w:t>
      </w:r>
    </w:p>
    <w:p w14:paraId="4B0908C2" w14:textId="77777777" w:rsidR="00611702" w:rsidRPr="00B46BB3" w:rsidRDefault="00611702" w:rsidP="007724D3">
      <w:pPr>
        <w:spacing w:before="500"/>
        <w:rPr>
          <w:b/>
          <w:i/>
        </w:rPr>
      </w:pPr>
      <w:r w:rsidRPr="00B46BB3">
        <w:rPr>
          <w:b/>
          <w:i/>
        </w:rPr>
        <w:t>State and Territory Health and Private Insurance Budgets</w:t>
      </w:r>
    </w:p>
    <w:p w14:paraId="34A1E7CC" w14:textId="4C5295CE" w:rsidR="00611702" w:rsidRPr="00BC4A30" w:rsidRDefault="00611702" w:rsidP="00437530">
      <w:pPr>
        <w:rPr>
          <w:noProof/>
        </w:rPr>
      </w:pPr>
      <w:r w:rsidRPr="00BC4A30">
        <w:rPr>
          <w:noProof/>
        </w:rPr>
        <w:t>The costs of the MTA machine, and probes are borne by private health funds, patients or hospitals (state and territory budget). The base case estimate assumes the number o</w:t>
      </w:r>
      <w:r w:rsidR="00387E51">
        <w:rPr>
          <w:noProof/>
        </w:rPr>
        <w:t>f MTA patients increases from 202</w:t>
      </w:r>
      <w:r w:rsidR="00E027FA">
        <w:rPr>
          <w:noProof/>
        </w:rPr>
        <w:t>–</w:t>
      </w:r>
      <w:r w:rsidRPr="00BC4A30">
        <w:rPr>
          <w:noProof/>
        </w:rPr>
        <w:t>1,</w:t>
      </w:r>
      <w:r w:rsidR="00387E51">
        <w:rPr>
          <w:noProof/>
        </w:rPr>
        <w:t>117</w:t>
      </w:r>
      <w:r w:rsidRPr="00BC4A30">
        <w:rPr>
          <w:noProof/>
        </w:rPr>
        <w:t xml:space="preserve"> per year, leading to a total cost of the machines of $0.05 million in year 1 increasing to $0.</w:t>
      </w:r>
      <w:r w:rsidR="00387E51">
        <w:rPr>
          <w:noProof/>
        </w:rPr>
        <w:t>28</w:t>
      </w:r>
      <w:r w:rsidRPr="00BC4A30">
        <w:rPr>
          <w:noProof/>
        </w:rPr>
        <w:t xml:space="preserve"> million in year five. The cost of probes and hospital stays also increase. Probes are the largest c</w:t>
      </w:r>
      <w:r w:rsidR="00387E51">
        <w:rPr>
          <w:noProof/>
        </w:rPr>
        <w:t xml:space="preserve">ost item </w:t>
      </w:r>
      <w:r w:rsidR="00D4006A">
        <w:rPr>
          <w:noProof/>
        </w:rPr>
        <w:t>—</w:t>
      </w:r>
      <w:r w:rsidR="00387E51">
        <w:rPr>
          <w:noProof/>
        </w:rPr>
        <w:t>increasing from $0.60 million in Year 1 to $3.31</w:t>
      </w:r>
      <w:r w:rsidRPr="00BC4A30">
        <w:rPr>
          <w:noProof/>
        </w:rPr>
        <w:t xml:space="preserve"> million in Year 5. The total cost to private health funds</w:t>
      </w:r>
      <w:r w:rsidR="00387E51">
        <w:rPr>
          <w:noProof/>
        </w:rPr>
        <w:t xml:space="preserve"> and hospitals in year 5 is $13.42</w:t>
      </w:r>
      <w:r w:rsidRPr="00BC4A30">
        <w:rPr>
          <w:noProof/>
        </w:rPr>
        <w:t xml:space="preserve"> million.</w:t>
      </w:r>
    </w:p>
    <w:p w14:paraId="1F96990C" w14:textId="77777777" w:rsidR="00611702" w:rsidRPr="00BC4A30" w:rsidRDefault="00611702" w:rsidP="00611702">
      <w:pPr>
        <w:pStyle w:val="Caption"/>
        <w:keepNext/>
      </w:pPr>
      <w:bookmarkStart w:id="458" w:name="_Toc460514745"/>
      <w:r w:rsidRPr="00BC4A30">
        <w:lastRenderedPageBreak/>
        <w:t xml:space="preserve">Table </w:t>
      </w:r>
      <w:fldSimple w:instr=" SEQ Table \* ARABIC ">
        <w:r w:rsidR="00D170A5">
          <w:rPr>
            <w:noProof/>
          </w:rPr>
          <w:t>87</w:t>
        </w:r>
      </w:fldSimple>
      <w:r w:rsidRPr="00BC4A30">
        <w:tab/>
        <w:t>Total Costs of the MTA Machine and Probes and Hospital Stay</w:t>
      </w:r>
      <w:bookmarkEnd w:id="458"/>
    </w:p>
    <w:tbl>
      <w:tblPr>
        <w:tblStyle w:val="TableGrid"/>
        <w:tblW w:w="5000" w:type="pct"/>
        <w:jc w:val="center"/>
        <w:tblLook w:val="04A0" w:firstRow="1" w:lastRow="0" w:firstColumn="1" w:lastColumn="0" w:noHBand="0" w:noVBand="1"/>
        <w:tblCaption w:val="Table 100"/>
        <w:tblDescription w:val="Costs of MTA machine, probes, hospital stay"/>
      </w:tblPr>
      <w:tblGrid>
        <w:gridCol w:w="1594"/>
        <w:gridCol w:w="727"/>
        <w:gridCol w:w="1385"/>
        <w:gridCol w:w="1384"/>
        <w:gridCol w:w="1384"/>
        <w:gridCol w:w="1384"/>
        <w:gridCol w:w="1384"/>
      </w:tblGrid>
      <w:tr w:rsidR="00611702" w:rsidRPr="00B46BB3" w14:paraId="1F30EBA4" w14:textId="77777777" w:rsidTr="00851336">
        <w:trPr>
          <w:trHeight w:val="396"/>
          <w:tblHeader/>
          <w:jc w:val="center"/>
        </w:trPr>
        <w:tc>
          <w:tcPr>
            <w:tcW w:w="862" w:type="pct"/>
            <w:shd w:val="clear" w:color="auto" w:fill="D9D9D9" w:themeFill="background1" w:themeFillShade="D9"/>
            <w:vAlign w:val="center"/>
          </w:tcPr>
          <w:p w14:paraId="6F7A1DE6" w14:textId="77777777" w:rsidR="00611702" w:rsidRPr="00B46BB3" w:rsidRDefault="00611702" w:rsidP="00B46BB3">
            <w:pPr>
              <w:keepNext/>
              <w:spacing w:before="60" w:after="60"/>
              <w:jc w:val="center"/>
              <w:rPr>
                <w:rFonts w:ascii="Arial Narrow" w:hAnsi="Arial Narrow" w:cs="Arial"/>
                <w:b/>
                <w:bCs/>
                <w:noProof/>
                <w:sz w:val="20"/>
                <w:szCs w:val="20"/>
              </w:rPr>
            </w:pPr>
          </w:p>
        </w:tc>
        <w:tc>
          <w:tcPr>
            <w:tcW w:w="393" w:type="pct"/>
            <w:shd w:val="clear" w:color="auto" w:fill="D9D9D9" w:themeFill="background1" w:themeFillShade="D9"/>
            <w:vAlign w:val="center"/>
          </w:tcPr>
          <w:p w14:paraId="3AD9F7C4" w14:textId="77777777" w:rsidR="00611702" w:rsidRPr="00B46BB3" w:rsidRDefault="00611702" w:rsidP="00B46BB3">
            <w:pPr>
              <w:keepNext/>
              <w:spacing w:before="60" w:after="60"/>
              <w:ind w:left="0"/>
              <w:jc w:val="center"/>
              <w:rPr>
                <w:rFonts w:ascii="Arial Narrow" w:hAnsi="Arial Narrow" w:cs="Arial"/>
                <w:b/>
                <w:bCs/>
                <w:noProof/>
                <w:sz w:val="20"/>
                <w:szCs w:val="20"/>
              </w:rPr>
            </w:pPr>
            <w:r w:rsidRPr="00B46BB3">
              <w:rPr>
                <w:rFonts w:ascii="Arial Narrow" w:hAnsi="Arial Narrow" w:cs="Arial"/>
                <w:b/>
                <w:bCs/>
                <w:noProof/>
                <w:sz w:val="20"/>
                <w:szCs w:val="20"/>
              </w:rPr>
              <w:t>Unit</w:t>
            </w:r>
          </w:p>
        </w:tc>
        <w:tc>
          <w:tcPr>
            <w:tcW w:w="749" w:type="pct"/>
            <w:shd w:val="clear" w:color="auto" w:fill="D9D9D9" w:themeFill="background1" w:themeFillShade="D9"/>
            <w:vAlign w:val="center"/>
          </w:tcPr>
          <w:p w14:paraId="5702F3BE" w14:textId="77777777" w:rsidR="00611702" w:rsidRPr="00B46BB3" w:rsidRDefault="00611702" w:rsidP="00B46BB3">
            <w:pPr>
              <w:keepNext/>
              <w:spacing w:before="60" w:after="60"/>
              <w:ind w:left="0"/>
              <w:jc w:val="center"/>
              <w:rPr>
                <w:rFonts w:ascii="Arial Narrow" w:hAnsi="Arial Narrow" w:cs="Arial"/>
                <w:b/>
                <w:noProof/>
                <w:sz w:val="20"/>
                <w:szCs w:val="20"/>
              </w:rPr>
            </w:pPr>
            <w:r w:rsidRPr="00B46BB3">
              <w:rPr>
                <w:rFonts w:ascii="Arial Narrow" w:hAnsi="Arial Narrow" w:cs="Arial"/>
                <w:b/>
                <w:bCs/>
                <w:noProof/>
                <w:sz w:val="20"/>
                <w:szCs w:val="20"/>
              </w:rPr>
              <w:t>Year 1</w:t>
            </w:r>
          </w:p>
        </w:tc>
        <w:tc>
          <w:tcPr>
            <w:tcW w:w="749" w:type="pct"/>
            <w:shd w:val="clear" w:color="auto" w:fill="D9D9D9" w:themeFill="background1" w:themeFillShade="D9"/>
            <w:vAlign w:val="center"/>
          </w:tcPr>
          <w:p w14:paraId="274D9C30" w14:textId="77777777" w:rsidR="00611702" w:rsidRPr="00B46BB3" w:rsidRDefault="00611702" w:rsidP="00B46BB3">
            <w:pPr>
              <w:keepNext/>
              <w:spacing w:before="60" w:after="60"/>
              <w:ind w:left="0"/>
              <w:jc w:val="center"/>
              <w:rPr>
                <w:rFonts w:ascii="Arial Narrow" w:hAnsi="Arial Narrow" w:cs="Arial"/>
                <w:b/>
                <w:noProof/>
                <w:sz w:val="20"/>
                <w:szCs w:val="20"/>
              </w:rPr>
            </w:pPr>
            <w:r w:rsidRPr="00B46BB3">
              <w:rPr>
                <w:rFonts w:ascii="Arial Narrow" w:hAnsi="Arial Narrow" w:cs="Arial"/>
                <w:b/>
                <w:bCs/>
                <w:noProof/>
                <w:sz w:val="20"/>
                <w:szCs w:val="20"/>
              </w:rPr>
              <w:t>Year 2</w:t>
            </w:r>
          </w:p>
        </w:tc>
        <w:tc>
          <w:tcPr>
            <w:tcW w:w="749" w:type="pct"/>
            <w:shd w:val="clear" w:color="auto" w:fill="D9D9D9" w:themeFill="background1" w:themeFillShade="D9"/>
            <w:vAlign w:val="center"/>
          </w:tcPr>
          <w:p w14:paraId="676DA0F2" w14:textId="77777777" w:rsidR="00611702" w:rsidRPr="00B46BB3" w:rsidRDefault="00611702" w:rsidP="00B46BB3">
            <w:pPr>
              <w:keepNext/>
              <w:spacing w:before="60" w:after="60"/>
              <w:ind w:left="0"/>
              <w:jc w:val="center"/>
              <w:rPr>
                <w:rFonts w:ascii="Arial Narrow" w:hAnsi="Arial Narrow" w:cs="Arial"/>
                <w:b/>
                <w:noProof/>
                <w:sz w:val="20"/>
                <w:szCs w:val="20"/>
              </w:rPr>
            </w:pPr>
            <w:r w:rsidRPr="00B46BB3">
              <w:rPr>
                <w:rFonts w:ascii="Arial Narrow" w:hAnsi="Arial Narrow" w:cs="Arial"/>
                <w:b/>
                <w:bCs/>
                <w:noProof/>
                <w:sz w:val="20"/>
                <w:szCs w:val="20"/>
              </w:rPr>
              <w:t>Year 3</w:t>
            </w:r>
          </w:p>
        </w:tc>
        <w:tc>
          <w:tcPr>
            <w:tcW w:w="749" w:type="pct"/>
            <w:shd w:val="clear" w:color="auto" w:fill="D9D9D9" w:themeFill="background1" w:themeFillShade="D9"/>
            <w:vAlign w:val="center"/>
          </w:tcPr>
          <w:p w14:paraId="73C45700" w14:textId="77777777" w:rsidR="00611702" w:rsidRPr="00B46BB3" w:rsidRDefault="00611702" w:rsidP="00B46BB3">
            <w:pPr>
              <w:keepNext/>
              <w:spacing w:before="60" w:after="60"/>
              <w:ind w:left="0"/>
              <w:jc w:val="center"/>
              <w:rPr>
                <w:rFonts w:ascii="Arial Narrow" w:hAnsi="Arial Narrow" w:cs="Arial"/>
                <w:b/>
                <w:noProof/>
                <w:sz w:val="20"/>
                <w:szCs w:val="20"/>
              </w:rPr>
            </w:pPr>
            <w:r w:rsidRPr="00B46BB3">
              <w:rPr>
                <w:rFonts w:ascii="Arial Narrow" w:hAnsi="Arial Narrow" w:cs="Arial"/>
                <w:b/>
                <w:bCs/>
                <w:noProof/>
                <w:sz w:val="20"/>
                <w:szCs w:val="20"/>
              </w:rPr>
              <w:t>Year 4</w:t>
            </w:r>
          </w:p>
        </w:tc>
        <w:tc>
          <w:tcPr>
            <w:tcW w:w="749" w:type="pct"/>
            <w:shd w:val="clear" w:color="auto" w:fill="D9D9D9" w:themeFill="background1" w:themeFillShade="D9"/>
            <w:vAlign w:val="center"/>
          </w:tcPr>
          <w:p w14:paraId="4E4A9B34" w14:textId="77777777" w:rsidR="00611702" w:rsidRPr="00B46BB3" w:rsidRDefault="00611702" w:rsidP="00B46BB3">
            <w:pPr>
              <w:keepNext/>
              <w:spacing w:before="60" w:after="60"/>
              <w:ind w:left="0"/>
              <w:jc w:val="center"/>
              <w:rPr>
                <w:rFonts w:ascii="Arial Narrow" w:hAnsi="Arial Narrow" w:cs="Arial"/>
                <w:b/>
                <w:noProof/>
                <w:sz w:val="20"/>
                <w:szCs w:val="20"/>
              </w:rPr>
            </w:pPr>
            <w:r w:rsidRPr="00B46BB3">
              <w:rPr>
                <w:rFonts w:ascii="Arial Narrow" w:hAnsi="Arial Narrow" w:cs="Arial"/>
                <w:b/>
                <w:bCs/>
                <w:noProof/>
                <w:sz w:val="20"/>
                <w:szCs w:val="20"/>
              </w:rPr>
              <w:t>Year 5</w:t>
            </w:r>
          </w:p>
        </w:tc>
      </w:tr>
      <w:tr w:rsidR="00387E51" w:rsidRPr="00B46BB3" w14:paraId="76983310" w14:textId="77777777" w:rsidTr="00DF5EB1">
        <w:trPr>
          <w:trHeight w:val="526"/>
          <w:jc w:val="center"/>
        </w:trPr>
        <w:tc>
          <w:tcPr>
            <w:tcW w:w="862" w:type="pct"/>
            <w:tcBorders>
              <w:bottom w:val="single" w:sz="4" w:space="0" w:color="auto"/>
            </w:tcBorders>
            <w:vAlign w:val="center"/>
          </w:tcPr>
          <w:p w14:paraId="32CCAC93" w14:textId="77777777" w:rsidR="00387E51" w:rsidRPr="00B46BB3" w:rsidRDefault="00387E51" w:rsidP="002A7332">
            <w:pPr>
              <w:keepNext/>
              <w:spacing w:before="60" w:after="60"/>
              <w:ind w:left="0"/>
              <w:jc w:val="left"/>
              <w:rPr>
                <w:rFonts w:ascii="Arial Narrow" w:hAnsi="Arial Narrow" w:cs="Arial"/>
                <w:noProof/>
                <w:sz w:val="20"/>
                <w:szCs w:val="20"/>
              </w:rPr>
            </w:pPr>
            <w:r w:rsidRPr="00B46BB3">
              <w:rPr>
                <w:rFonts w:ascii="Arial Narrow" w:hAnsi="Arial Narrow" w:cs="Arial"/>
                <w:noProof/>
                <w:sz w:val="20"/>
                <w:szCs w:val="20"/>
              </w:rPr>
              <w:t>Number of MTA procedures</w:t>
            </w:r>
          </w:p>
        </w:tc>
        <w:tc>
          <w:tcPr>
            <w:tcW w:w="393" w:type="pct"/>
            <w:tcBorders>
              <w:bottom w:val="single" w:sz="4" w:space="0" w:color="auto"/>
            </w:tcBorders>
            <w:vAlign w:val="center"/>
          </w:tcPr>
          <w:p w14:paraId="71054D81" w14:textId="77777777" w:rsidR="00387E51" w:rsidRPr="00B46BB3" w:rsidRDefault="00387E51" w:rsidP="00B46BB3">
            <w:pPr>
              <w:keepNext/>
              <w:spacing w:before="60" w:after="60"/>
              <w:ind w:left="0"/>
              <w:jc w:val="center"/>
              <w:rPr>
                <w:rFonts w:ascii="Arial Narrow" w:hAnsi="Arial Narrow" w:cs="Arial"/>
                <w:color w:val="000000"/>
                <w:sz w:val="20"/>
                <w:szCs w:val="20"/>
              </w:rPr>
            </w:pPr>
            <w:r w:rsidRPr="00B46BB3">
              <w:rPr>
                <w:rFonts w:ascii="Arial Narrow" w:hAnsi="Arial Narrow" w:cs="Arial"/>
                <w:color w:val="000000"/>
                <w:sz w:val="20"/>
                <w:szCs w:val="20"/>
              </w:rPr>
              <w:t>No.</w:t>
            </w:r>
          </w:p>
        </w:tc>
        <w:tc>
          <w:tcPr>
            <w:tcW w:w="749" w:type="pct"/>
            <w:tcBorders>
              <w:bottom w:val="single" w:sz="4" w:space="0" w:color="auto"/>
            </w:tcBorders>
            <w:vAlign w:val="bottom"/>
          </w:tcPr>
          <w:p w14:paraId="737B405A"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color w:val="000000"/>
                <w:sz w:val="20"/>
                <w:szCs w:val="20"/>
              </w:rPr>
              <w:t>202</w:t>
            </w:r>
          </w:p>
        </w:tc>
        <w:tc>
          <w:tcPr>
            <w:tcW w:w="749" w:type="pct"/>
            <w:tcBorders>
              <w:bottom w:val="single" w:sz="4" w:space="0" w:color="auto"/>
            </w:tcBorders>
            <w:vAlign w:val="bottom"/>
          </w:tcPr>
          <w:p w14:paraId="5A60AB83"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color w:val="000000"/>
                <w:sz w:val="20"/>
                <w:szCs w:val="20"/>
              </w:rPr>
              <w:t>414</w:t>
            </w:r>
          </w:p>
        </w:tc>
        <w:tc>
          <w:tcPr>
            <w:tcW w:w="749" w:type="pct"/>
            <w:tcBorders>
              <w:bottom w:val="single" w:sz="4" w:space="0" w:color="auto"/>
            </w:tcBorders>
            <w:vAlign w:val="bottom"/>
          </w:tcPr>
          <w:p w14:paraId="49A0B34E"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color w:val="000000"/>
                <w:sz w:val="20"/>
                <w:szCs w:val="20"/>
              </w:rPr>
              <w:t>636</w:t>
            </w:r>
          </w:p>
        </w:tc>
        <w:tc>
          <w:tcPr>
            <w:tcW w:w="749" w:type="pct"/>
            <w:tcBorders>
              <w:bottom w:val="single" w:sz="4" w:space="0" w:color="auto"/>
            </w:tcBorders>
            <w:vAlign w:val="bottom"/>
          </w:tcPr>
          <w:p w14:paraId="350B94B3"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color w:val="000000"/>
                <w:sz w:val="20"/>
                <w:szCs w:val="20"/>
              </w:rPr>
              <w:t>871</w:t>
            </w:r>
          </w:p>
        </w:tc>
        <w:tc>
          <w:tcPr>
            <w:tcW w:w="749" w:type="pct"/>
            <w:tcBorders>
              <w:bottom w:val="single" w:sz="4" w:space="0" w:color="auto"/>
            </w:tcBorders>
            <w:vAlign w:val="bottom"/>
          </w:tcPr>
          <w:p w14:paraId="185456F2"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color w:val="000000"/>
                <w:sz w:val="20"/>
                <w:szCs w:val="20"/>
              </w:rPr>
              <w:t>1,117</w:t>
            </w:r>
          </w:p>
        </w:tc>
      </w:tr>
      <w:tr w:rsidR="00387E51" w:rsidRPr="00B46BB3" w14:paraId="2469A4E3" w14:textId="77777777" w:rsidTr="00192EDA">
        <w:trPr>
          <w:trHeight w:val="375"/>
          <w:jc w:val="center"/>
        </w:trPr>
        <w:tc>
          <w:tcPr>
            <w:tcW w:w="862" w:type="pct"/>
            <w:tcBorders>
              <w:bottom w:val="single" w:sz="4" w:space="0" w:color="auto"/>
            </w:tcBorders>
            <w:vAlign w:val="center"/>
          </w:tcPr>
          <w:p w14:paraId="47EBF302" w14:textId="77777777" w:rsidR="00387E51" w:rsidRPr="00B46BB3" w:rsidRDefault="00387E51" w:rsidP="002A7332">
            <w:pPr>
              <w:keepNext/>
              <w:spacing w:before="60" w:after="60"/>
              <w:ind w:left="0"/>
              <w:jc w:val="left"/>
              <w:rPr>
                <w:rFonts w:ascii="Arial Narrow" w:hAnsi="Arial Narrow" w:cs="Arial"/>
                <w:noProof/>
                <w:sz w:val="20"/>
                <w:szCs w:val="20"/>
              </w:rPr>
            </w:pPr>
            <w:r w:rsidRPr="00B46BB3">
              <w:rPr>
                <w:rFonts w:ascii="Arial Narrow" w:hAnsi="Arial Narrow" w:cs="Arial"/>
                <w:noProof/>
                <w:sz w:val="20"/>
                <w:szCs w:val="20"/>
              </w:rPr>
              <w:t xml:space="preserve">Hospital stay costs </w:t>
            </w:r>
          </w:p>
        </w:tc>
        <w:tc>
          <w:tcPr>
            <w:tcW w:w="393" w:type="pct"/>
            <w:tcBorders>
              <w:bottom w:val="single" w:sz="4" w:space="0" w:color="auto"/>
            </w:tcBorders>
            <w:vAlign w:val="center"/>
          </w:tcPr>
          <w:p w14:paraId="41D679DB" w14:textId="77777777" w:rsidR="00387E51" w:rsidRPr="00B46BB3" w:rsidRDefault="00387E51" w:rsidP="00B46BB3">
            <w:pPr>
              <w:keepNext/>
              <w:spacing w:before="60" w:after="60"/>
              <w:ind w:left="0"/>
              <w:jc w:val="center"/>
              <w:rPr>
                <w:rFonts w:ascii="Arial Narrow" w:hAnsi="Arial Narrow" w:cs="Arial"/>
                <w:sz w:val="20"/>
                <w:szCs w:val="20"/>
              </w:rPr>
            </w:pPr>
            <w:r w:rsidRPr="00B46BB3">
              <w:rPr>
                <w:rFonts w:ascii="Arial Narrow" w:hAnsi="Arial Narrow" w:cs="Arial"/>
                <w:sz w:val="20"/>
                <w:szCs w:val="20"/>
              </w:rPr>
              <w:t>$</w:t>
            </w:r>
          </w:p>
        </w:tc>
        <w:tc>
          <w:tcPr>
            <w:tcW w:w="749" w:type="pct"/>
            <w:tcBorders>
              <w:bottom w:val="single" w:sz="4" w:space="0" w:color="auto"/>
            </w:tcBorders>
            <w:vAlign w:val="center"/>
          </w:tcPr>
          <w:p w14:paraId="5C0D9023"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187,922</w:t>
            </w:r>
          </w:p>
        </w:tc>
        <w:tc>
          <w:tcPr>
            <w:tcW w:w="749" w:type="pct"/>
            <w:tcBorders>
              <w:bottom w:val="single" w:sz="4" w:space="0" w:color="auto"/>
            </w:tcBorders>
            <w:vAlign w:val="center"/>
          </w:tcPr>
          <w:p w14:paraId="0F5F76CB"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385,508</w:t>
            </w:r>
          </w:p>
        </w:tc>
        <w:tc>
          <w:tcPr>
            <w:tcW w:w="749" w:type="pct"/>
            <w:tcBorders>
              <w:bottom w:val="single" w:sz="4" w:space="0" w:color="auto"/>
            </w:tcBorders>
            <w:vAlign w:val="center"/>
          </w:tcPr>
          <w:p w14:paraId="5C5D08AF"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593,246</w:t>
            </w:r>
          </w:p>
        </w:tc>
        <w:tc>
          <w:tcPr>
            <w:tcW w:w="749" w:type="pct"/>
            <w:tcBorders>
              <w:bottom w:val="single" w:sz="4" w:space="0" w:color="auto"/>
            </w:tcBorders>
            <w:vAlign w:val="center"/>
          </w:tcPr>
          <w:p w14:paraId="78231197"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811,648</w:t>
            </w:r>
          </w:p>
        </w:tc>
        <w:tc>
          <w:tcPr>
            <w:tcW w:w="749" w:type="pct"/>
            <w:tcBorders>
              <w:bottom w:val="single" w:sz="4" w:space="0" w:color="auto"/>
            </w:tcBorders>
            <w:vAlign w:val="center"/>
          </w:tcPr>
          <w:p w14:paraId="7466BCE5"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1,041,254</w:t>
            </w:r>
          </w:p>
        </w:tc>
      </w:tr>
      <w:tr w:rsidR="00387E51" w:rsidRPr="00B46BB3" w14:paraId="33BA69A7" w14:textId="77777777" w:rsidTr="00DF5EB1">
        <w:trPr>
          <w:trHeight w:val="526"/>
          <w:jc w:val="center"/>
        </w:trPr>
        <w:tc>
          <w:tcPr>
            <w:tcW w:w="862" w:type="pct"/>
            <w:tcBorders>
              <w:bottom w:val="single" w:sz="4" w:space="0" w:color="auto"/>
            </w:tcBorders>
            <w:vAlign w:val="center"/>
          </w:tcPr>
          <w:p w14:paraId="03E77082" w14:textId="77777777" w:rsidR="00387E51" w:rsidRPr="00B46BB3" w:rsidRDefault="00387E51" w:rsidP="002A7332">
            <w:pPr>
              <w:keepNext/>
              <w:spacing w:before="60" w:after="60"/>
              <w:ind w:left="0"/>
              <w:jc w:val="left"/>
              <w:rPr>
                <w:rFonts w:ascii="Arial Narrow" w:hAnsi="Arial Narrow" w:cs="Arial"/>
                <w:noProof/>
                <w:sz w:val="20"/>
                <w:szCs w:val="20"/>
              </w:rPr>
            </w:pPr>
            <w:r w:rsidRPr="00B46BB3">
              <w:rPr>
                <w:rFonts w:ascii="Arial Narrow" w:hAnsi="Arial Narrow" w:cs="Arial"/>
                <w:noProof/>
                <w:sz w:val="20"/>
                <w:szCs w:val="20"/>
              </w:rPr>
              <w:t>Cost of probes</w:t>
            </w:r>
          </w:p>
        </w:tc>
        <w:tc>
          <w:tcPr>
            <w:tcW w:w="393" w:type="pct"/>
            <w:tcBorders>
              <w:bottom w:val="single" w:sz="4" w:space="0" w:color="auto"/>
            </w:tcBorders>
            <w:vAlign w:val="center"/>
          </w:tcPr>
          <w:p w14:paraId="60D3EF1C" w14:textId="77777777" w:rsidR="00387E51" w:rsidRPr="00B46BB3" w:rsidRDefault="00387E51" w:rsidP="00B46BB3">
            <w:pPr>
              <w:keepNext/>
              <w:spacing w:before="60" w:after="60"/>
              <w:ind w:left="0"/>
              <w:jc w:val="center"/>
              <w:rPr>
                <w:rFonts w:ascii="Arial Narrow" w:hAnsi="Arial Narrow" w:cs="Arial"/>
                <w:sz w:val="20"/>
                <w:szCs w:val="20"/>
              </w:rPr>
            </w:pPr>
            <w:r w:rsidRPr="00B46BB3">
              <w:rPr>
                <w:rFonts w:ascii="Arial Narrow" w:hAnsi="Arial Narrow" w:cs="Arial"/>
                <w:sz w:val="20"/>
                <w:szCs w:val="20"/>
              </w:rPr>
              <w:t>$</w:t>
            </w:r>
          </w:p>
        </w:tc>
        <w:tc>
          <w:tcPr>
            <w:tcW w:w="749" w:type="pct"/>
            <w:tcBorders>
              <w:bottom w:val="single" w:sz="4" w:space="0" w:color="auto"/>
            </w:tcBorders>
            <w:vAlign w:val="center"/>
          </w:tcPr>
          <w:p w14:paraId="3D88F4BE"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596,769</w:t>
            </w:r>
          </w:p>
        </w:tc>
        <w:tc>
          <w:tcPr>
            <w:tcW w:w="749" w:type="pct"/>
            <w:tcBorders>
              <w:bottom w:val="single" w:sz="4" w:space="0" w:color="auto"/>
            </w:tcBorders>
            <w:vAlign w:val="center"/>
          </w:tcPr>
          <w:p w14:paraId="4A21E242"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1,224,230</w:t>
            </w:r>
          </w:p>
        </w:tc>
        <w:tc>
          <w:tcPr>
            <w:tcW w:w="749" w:type="pct"/>
            <w:tcBorders>
              <w:bottom w:val="single" w:sz="4" w:space="0" w:color="auto"/>
            </w:tcBorders>
            <w:vAlign w:val="center"/>
          </w:tcPr>
          <w:p w14:paraId="10F1D186"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1,883,928</w:t>
            </w:r>
          </w:p>
        </w:tc>
        <w:tc>
          <w:tcPr>
            <w:tcW w:w="749" w:type="pct"/>
            <w:tcBorders>
              <w:bottom w:val="single" w:sz="4" w:space="0" w:color="auto"/>
            </w:tcBorders>
            <w:vAlign w:val="center"/>
          </w:tcPr>
          <w:p w14:paraId="27FFC976"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2,577,491</w:t>
            </w:r>
          </w:p>
        </w:tc>
        <w:tc>
          <w:tcPr>
            <w:tcW w:w="749" w:type="pct"/>
            <w:tcBorders>
              <w:bottom w:val="single" w:sz="4" w:space="0" w:color="auto"/>
            </w:tcBorders>
            <w:vAlign w:val="center"/>
          </w:tcPr>
          <w:p w14:paraId="1AE08E29"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3,306,631</w:t>
            </w:r>
          </w:p>
        </w:tc>
      </w:tr>
      <w:tr w:rsidR="00387E51" w:rsidRPr="00B46BB3" w14:paraId="249A88BA" w14:textId="77777777" w:rsidTr="00DF5EB1">
        <w:trPr>
          <w:trHeight w:val="526"/>
          <w:jc w:val="center"/>
        </w:trPr>
        <w:tc>
          <w:tcPr>
            <w:tcW w:w="862" w:type="pct"/>
            <w:tcBorders>
              <w:bottom w:val="single" w:sz="4" w:space="0" w:color="auto"/>
            </w:tcBorders>
            <w:vAlign w:val="center"/>
          </w:tcPr>
          <w:p w14:paraId="1173EC56" w14:textId="77777777" w:rsidR="00387E51" w:rsidRPr="00B46BB3" w:rsidRDefault="00387E51" w:rsidP="002A7332">
            <w:pPr>
              <w:keepNext/>
              <w:spacing w:before="60" w:after="60"/>
              <w:ind w:left="0"/>
              <w:jc w:val="left"/>
              <w:rPr>
                <w:rFonts w:ascii="Arial Narrow" w:hAnsi="Arial Narrow" w:cs="Arial"/>
                <w:noProof/>
                <w:sz w:val="20"/>
                <w:szCs w:val="20"/>
              </w:rPr>
            </w:pPr>
            <w:r w:rsidRPr="00B46BB3">
              <w:rPr>
                <w:rFonts w:ascii="Arial Narrow" w:hAnsi="Arial Narrow" w:cs="Arial"/>
                <w:noProof/>
                <w:sz w:val="20"/>
                <w:szCs w:val="20"/>
              </w:rPr>
              <w:t xml:space="preserve">Cost of MTA machines </w:t>
            </w:r>
          </w:p>
        </w:tc>
        <w:tc>
          <w:tcPr>
            <w:tcW w:w="393" w:type="pct"/>
            <w:tcBorders>
              <w:bottom w:val="single" w:sz="4" w:space="0" w:color="auto"/>
            </w:tcBorders>
            <w:vAlign w:val="center"/>
          </w:tcPr>
          <w:p w14:paraId="273E495B" w14:textId="77777777" w:rsidR="00387E51" w:rsidRPr="00B46BB3" w:rsidRDefault="00387E51" w:rsidP="00B46BB3">
            <w:pPr>
              <w:keepNext/>
              <w:spacing w:before="60" w:after="60"/>
              <w:ind w:left="0"/>
              <w:jc w:val="center"/>
              <w:rPr>
                <w:rFonts w:ascii="Arial Narrow" w:hAnsi="Arial Narrow" w:cs="Arial"/>
                <w:sz w:val="20"/>
                <w:szCs w:val="20"/>
              </w:rPr>
            </w:pPr>
            <w:r w:rsidRPr="00B46BB3">
              <w:rPr>
                <w:rFonts w:ascii="Arial Narrow" w:hAnsi="Arial Narrow" w:cs="Arial"/>
                <w:sz w:val="20"/>
                <w:szCs w:val="20"/>
              </w:rPr>
              <w:t>$</w:t>
            </w:r>
          </w:p>
        </w:tc>
        <w:tc>
          <w:tcPr>
            <w:tcW w:w="749" w:type="pct"/>
            <w:tcBorders>
              <w:bottom w:val="single" w:sz="4" w:space="0" w:color="auto"/>
            </w:tcBorders>
            <w:vAlign w:val="center"/>
          </w:tcPr>
          <w:p w14:paraId="1B90DEAF"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50,403</w:t>
            </w:r>
          </w:p>
        </w:tc>
        <w:tc>
          <w:tcPr>
            <w:tcW w:w="749" w:type="pct"/>
            <w:tcBorders>
              <w:bottom w:val="single" w:sz="4" w:space="0" w:color="auto"/>
            </w:tcBorders>
            <w:vAlign w:val="center"/>
          </w:tcPr>
          <w:p w14:paraId="1FBBA303"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103,398</w:t>
            </w:r>
          </w:p>
        </w:tc>
        <w:tc>
          <w:tcPr>
            <w:tcW w:w="749" w:type="pct"/>
            <w:tcBorders>
              <w:bottom w:val="single" w:sz="4" w:space="0" w:color="auto"/>
            </w:tcBorders>
            <w:vAlign w:val="center"/>
          </w:tcPr>
          <w:p w14:paraId="7C696FD8"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159,116</w:t>
            </w:r>
          </w:p>
        </w:tc>
        <w:tc>
          <w:tcPr>
            <w:tcW w:w="749" w:type="pct"/>
            <w:tcBorders>
              <w:bottom w:val="single" w:sz="4" w:space="0" w:color="auto"/>
            </w:tcBorders>
            <w:vAlign w:val="center"/>
          </w:tcPr>
          <w:p w14:paraId="73F4B5CA"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217,694</w:t>
            </w:r>
          </w:p>
        </w:tc>
        <w:tc>
          <w:tcPr>
            <w:tcW w:w="749" w:type="pct"/>
            <w:tcBorders>
              <w:bottom w:val="single" w:sz="4" w:space="0" w:color="auto"/>
            </w:tcBorders>
            <w:vAlign w:val="center"/>
          </w:tcPr>
          <w:p w14:paraId="0DEEFE32" w14:textId="77777777" w:rsidR="00387E51" w:rsidRPr="00B46BB3" w:rsidRDefault="00387E51" w:rsidP="00B46BB3">
            <w:pPr>
              <w:keepNext/>
              <w:spacing w:before="60" w:after="60"/>
              <w:ind w:left="0"/>
              <w:jc w:val="center"/>
              <w:rPr>
                <w:rFonts w:ascii="Arial Narrow" w:hAnsi="Arial Narrow" w:cs="Arial"/>
                <w:noProof/>
                <w:sz w:val="20"/>
                <w:szCs w:val="20"/>
              </w:rPr>
            </w:pPr>
            <w:r w:rsidRPr="00B46BB3">
              <w:rPr>
                <w:rFonts w:ascii="Arial Narrow" w:hAnsi="Arial Narrow" w:cs="Arial"/>
                <w:sz w:val="20"/>
                <w:szCs w:val="20"/>
              </w:rPr>
              <w:t>279,276</w:t>
            </w:r>
          </w:p>
        </w:tc>
      </w:tr>
      <w:tr w:rsidR="00387E51" w:rsidRPr="00B46BB3" w14:paraId="722F5CAB" w14:textId="77777777" w:rsidTr="00DF5EB1">
        <w:trPr>
          <w:trHeight w:val="526"/>
          <w:jc w:val="center"/>
        </w:trPr>
        <w:tc>
          <w:tcPr>
            <w:tcW w:w="862" w:type="pct"/>
            <w:tcBorders>
              <w:bottom w:val="single" w:sz="4" w:space="0" w:color="auto"/>
            </w:tcBorders>
            <w:vAlign w:val="center"/>
          </w:tcPr>
          <w:p w14:paraId="577C02C3" w14:textId="77777777" w:rsidR="00387E51" w:rsidRPr="00B46BB3" w:rsidRDefault="00387E51" w:rsidP="002A7332">
            <w:pPr>
              <w:keepNext/>
              <w:spacing w:before="60" w:after="60"/>
              <w:ind w:left="0"/>
              <w:jc w:val="left"/>
              <w:rPr>
                <w:rFonts w:ascii="Arial Narrow" w:hAnsi="Arial Narrow" w:cs="Arial"/>
                <w:b/>
                <w:noProof/>
                <w:sz w:val="20"/>
                <w:szCs w:val="20"/>
              </w:rPr>
            </w:pPr>
            <w:r w:rsidRPr="00B46BB3">
              <w:rPr>
                <w:rFonts w:ascii="Arial Narrow" w:hAnsi="Arial Narrow" w:cs="Arial"/>
                <w:b/>
                <w:noProof/>
                <w:sz w:val="20"/>
                <w:szCs w:val="20"/>
              </w:rPr>
              <w:t>Total Costs to private health funds</w:t>
            </w:r>
          </w:p>
        </w:tc>
        <w:tc>
          <w:tcPr>
            <w:tcW w:w="393" w:type="pct"/>
            <w:tcBorders>
              <w:bottom w:val="single" w:sz="4" w:space="0" w:color="auto"/>
            </w:tcBorders>
            <w:vAlign w:val="center"/>
          </w:tcPr>
          <w:p w14:paraId="4B82DFB6" w14:textId="77777777" w:rsidR="00387E51" w:rsidRPr="00B46BB3" w:rsidRDefault="00387E51" w:rsidP="00B46BB3">
            <w:pPr>
              <w:keepNext/>
              <w:spacing w:before="60" w:after="60"/>
              <w:ind w:left="0"/>
              <w:jc w:val="center"/>
              <w:rPr>
                <w:rFonts w:ascii="Arial Narrow" w:hAnsi="Arial Narrow" w:cs="Arial"/>
                <w:b/>
                <w:sz w:val="20"/>
                <w:szCs w:val="20"/>
              </w:rPr>
            </w:pPr>
            <w:r w:rsidRPr="00B46BB3">
              <w:rPr>
                <w:rFonts w:ascii="Arial Narrow" w:hAnsi="Arial Narrow" w:cs="Arial"/>
                <w:b/>
                <w:sz w:val="20"/>
                <w:szCs w:val="20"/>
              </w:rPr>
              <w:t>$</w:t>
            </w:r>
          </w:p>
        </w:tc>
        <w:tc>
          <w:tcPr>
            <w:tcW w:w="749" w:type="pct"/>
            <w:tcBorders>
              <w:bottom w:val="single" w:sz="4" w:space="0" w:color="auto"/>
            </w:tcBorders>
            <w:vAlign w:val="center"/>
          </w:tcPr>
          <w:p w14:paraId="76CD2008" w14:textId="77777777" w:rsidR="00387E51" w:rsidRPr="00FE7574" w:rsidRDefault="00387E51" w:rsidP="00B46BB3">
            <w:pPr>
              <w:keepNext/>
              <w:spacing w:before="60" w:after="60"/>
              <w:ind w:left="0"/>
              <w:jc w:val="center"/>
              <w:rPr>
                <w:rFonts w:ascii="Arial Narrow" w:hAnsi="Arial Narrow" w:cs="Arial"/>
                <w:b/>
                <w:noProof/>
                <w:sz w:val="20"/>
                <w:szCs w:val="20"/>
              </w:rPr>
            </w:pPr>
            <w:r w:rsidRPr="00FE7574">
              <w:rPr>
                <w:rFonts w:ascii="Arial Narrow" w:hAnsi="Arial Narrow" w:cs="Arial"/>
                <w:b/>
                <w:sz w:val="20"/>
                <w:szCs w:val="20"/>
              </w:rPr>
              <w:t>835,094</w:t>
            </w:r>
          </w:p>
        </w:tc>
        <w:tc>
          <w:tcPr>
            <w:tcW w:w="749" w:type="pct"/>
            <w:tcBorders>
              <w:bottom w:val="single" w:sz="4" w:space="0" w:color="auto"/>
            </w:tcBorders>
            <w:vAlign w:val="center"/>
          </w:tcPr>
          <w:p w14:paraId="3652C7B8" w14:textId="77777777" w:rsidR="00387E51" w:rsidRPr="00FE7574" w:rsidRDefault="00387E51" w:rsidP="00B46BB3">
            <w:pPr>
              <w:keepNext/>
              <w:spacing w:before="60" w:after="60"/>
              <w:ind w:left="0"/>
              <w:jc w:val="center"/>
              <w:rPr>
                <w:rFonts w:ascii="Arial Narrow" w:hAnsi="Arial Narrow" w:cs="Arial"/>
                <w:b/>
                <w:noProof/>
                <w:sz w:val="20"/>
                <w:szCs w:val="20"/>
              </w:rPr>
            </w:pPr>
            <w:r w:rsidRPr="00FE7574">
              <w:rPr>
                <w:rFonts w:ascii="Arial Narrow" w:hAnsi="Arial Narrow" w:cs="Arial"/>
                <w:b/>
                <w:sz w:val="20"/>
                <w:szCs w:val="20"/>
              </w:rPr>
              <w:t>1,713,136</w:t>
            </w:r>
          </w:p>
        </w:tc>
        <w:tc>
          <w:tcPr>
            <w:tcW w:w="749" w:type="pct"/>
            <w:tcBorders>
              <w:bottom w:val="single" w:sz="4" w:space="0" w:color="auto"/>
            </w:tcBorders>
            <w:vAlign w:val="center"/>
          </w:tcPr>
          <w:p w14:paraId="20C4BE94" w14:textId="77777777" w:rsidR="00387E51" w:rsidRPr="00FE7574" w:rsidRDefault="00387E51" w:rsidP="00B46BB3">
            <w:pPr>
              <w:keepNext/>
              <w:spacing w:before="60" w:after="60"/>
              <w:ind w:left="0"/>
              <w:jc w:val="center"/>
              <w:rPr>
                <w:rFonts w:ascii="Arial Narrow" w:hAnsi="Arial Narrow" w:cs="Arial"/>
                <w:b/>
                <w:noProof/>
                <w:sz w:val="20"/>
                <w:szCs w:val="20"/>
              </w:rPr>
            </w:pPr>
            <w:r w:rsidRPr="00FE7574">
              <w:rPr>
                <w:rFonts w:ascii="Arial Narrow" w:hAnsi="Arial Narrow" w:cs="Arial"/>
                <w:b/>
                <w:sz w:val="20"/>
                <w:szCs w:val="20"/>
              </w:rPr>
              <w:t>2,636,290</w:t>
            </w:r>
          </w:p>
        </w:tc>
        <w:tc>
          <w:tcPr>
            <w:tcW w:w="749" w:type="pct"/>
            <w:tcBorders>
              <w:bottom w:val="single" w:sz="4" w:space="0" w:color="auto"/>
            </w:tcBorders>
            <w:vAlign w:val="center"/>
          </w:tcPr>
          <w:p w14:paraId="36CFFA59" w14:textId="77777777" w:rsidR="00387E51" w:rsidRPr="00FE7574" w:rsidRDefault="00387E51" w:rsidP="00B46BB3">
            <w:pPr>
              <w:keepNext/>
              <w:spacing w:before="60" w:after="60"/>
              <w:ind w:left="0"/>
              <w:jc w:val="center"/>
              <w:rPr>
                <w:rFonts w:ascii="Arial Narrow" w:hAnsi="Arial Narrow" w:cs="Arial"/>
                <w:b/>
                <w:noProof/>
                <w:sz w:val="20"/>
                <w:szCs w:val="20"/>
              </w:rPr>
            </w:pPr>
            <w:r w:rsidRPr="00FE7574">
              <w:rPr>
                <w:rFonts w:ascii="Arial Narrow" w:hAnsi="Arial Narrow" w:cs="Arial"/>
                <w:b/>
                <w:sz w:val="20"/>
                <w:szCs w:val="20"/>
              </w:rPr>
              <w:t>3,606,833</w:t>
            </w:r>
          </w:p>
        </w:tc>
        <w:tc>
          <w:tcPr>
            <w:tcW w:w="749" w:type="pct"/>
            <w:tcBorders>
              <w:bottom w:val="single" w:sz="4" w:space="0" w:color="auto"/>
            </w:tcBorders>
            <w:vAlign w:val="center"/>
          </w:tcPr>
          <w:p w14:paraId="63C40637" w14:textId="77777777" w:rsidR="00387E51" w:rsidRPr="00FE7574" w:rsidRDefault="00387E51" w:rsidP="00B46BB3">
            <w:pPr>
              <w:keepNext/>
              <w:spacing w:before="60" w:after="60"/>
              <w:ind w:left="0"/>
              <w:jc w:val="center"/>
              <w:rPr>
                <w:rFonts w:ascii="Arial Narrow" w:hAnsi="Arial Narrow" w:cs="Arial"/>
                <w:b/>
                <w:noProof/>
                <w:sz w:val="20"/>
                <w:szCs w:val="20"/>
              </w:rPr>
            </w:pPr>
            <w:r w:rsidRPr="00FE7574">
              <w:rPr>
                <w:rFonts w:ascii="Arial Narrow" w:hAnsi="Arial Narrow" w:cs="Arial"/>
                <w:b/>
                <w:sz w:val="20"/>
                <w:szCs w:val="20"/>
              </w:rPr>
              <w:t>4,627,162</w:t>
            </w:r>
          </w:p>
        </w:tc>
      </w:tr>
    </w:tbl>
    <w:p w14:paraId="6EFDAC69" w14:textId="4EA26772" w:rsidR="00B46BB3" w:rsidRDefault="00B46BB3" w:rsidP="00B46BB3">
      <w:pPr>
        <w:pStyle w:val="Tablenotes0"/>
      </w:pPr>
      <w:bookmarkStart w:id="459" w:name="_Toc460396094"/>
      <w:r w:rsidRPr="00B46BB3">
        <w:rPr>
          <w:noProof/>
        </w:rPr>
        <w:t>&lt;</w:t>
      </w:r>
      <w:r>
        <w:rPr>
          <w:noProof/>
        </w:rPr>
        <w:t xml:space="preserve"> </w:t>
      </w:r>
      <w:r w:rsidRPr="00B46BB3">
        <w:rPr>
          <w:noProof/>
        </w:rPr>
        <w:t>MTA</w:t>
      </w:r>
      <w:r>
        <w:rPr>
          <w:noProof/>
        </w:rPr>
        <w:t xml:space="preserve"> </w:t>
      </w:r>
      <w:r w:rsidRPr="00B46BB3">
        <w:rPr>
          <w:noProof/>
        </w:rPr>
        <w:t>= microwave tissue ablation</w:t>
      </w:r>
      <w:r>
        <w:rPr>
          <w:noProof/>
        </w:rPr>
        <w:t xml:space="preserve"> &gt;</w:t>
      </w:r>
    </w:p>
    <w:p w14:paraId="51AA166A" w14:textId="77777777" w:rsidR="00B5410C" w:rsidRPr="00BC4A30" w:rsidRDefault="00B5410C" w:rsidP="00D4006A">
      <w:pPr>
        <w:pStyle w:val="Heading2"/>
        <w:numPr>
          <w:ilvl w:val="4"/>
          <w:numId w:val="9"/>
        </w:numPr>
        <w:ind w:left="567" w:hanging="567"/>
      </w:pPr>
      <w:r w:rsidRPr="00BC4A30">
        <w:t>Identification, Estimation and Reduction of Uncertainty</w:t>
      </w:r>
      <w:bookmarkEnd w:id="459"/>
    </w:p>
    <w:p w14:paraId="052ACEBB" w14:textId="4C3082B4" w:rsidR="00611702" w:rsidRPr="00BC4A30" w:rsidRDefault="00611702" w:rsidP="00437530">
      <w:pPr>
        <w:rPr>
          <w:noProof/>
        </w:rPr>
      </w:pPr>
      <w:r w:rsidRPr="00BC4A30">
        <w:rPr>
          <w:noProof/>
        </w:rPr>
        <w:t xml:space="preserve">The budget impact model presented in this section provided a base case with a relatively high estimate of early stage </w:t>
      </w:r>
      <w:r w:rsidRPr="00BC4A30">
        <w:t>NSCLC as a proportion of overall lung cancer</w:t>
      </w:r>
      <w:r w:rsidRPr="00BC4A30">
        <w:rPr>
          <w:noProof/>
        </w:rPr>
        <w:t>. The high estimate was justified based on the study by Barton et al (2013) and provided an upper bound on financial impact. Using a lower proportion of 63</w:t>
      </w:r>
      <w:r w:rsidR="00DB7D52" w:rsidRPr="00BC4A30">
        <w:rPr>
          <w:noProof/>
        </w:rPr>
        <w:t xml:space="preserve"> per cent</w:t>
      </w:r>
      <w:r w:rsidRPr="00BC4A30">
        <w:rPr>
          <w:noProof/>
        </w:rPr>
        <w:t xml:space="preserve"> decreas</w:t>
      </w:r>
      <w:r w:rsidR="00387E51">
        <w:rPr>
          <w:noProof/>
        </w:rPr>
        <w:t>es the MBS cost savings to $1.22</w:t>
      </w:r>
      <w:r w:rsidRPr="00BC4A30">
        <w:rPr>
          <w:noProof/>
        </w:rPr>
        <w:t xml:space="preserve"> mill</w:t>
      </w:r>
      <w:r w:rsidR="00387E51">
        <w:rPr>
          <w:noProof/>
        </w:rPr>
        <w:t>ion in Year 5, compared to $1.65</w:t>
      </w:r>
      <w:r w:rsidRPr="00BC4A30">
        <w:rPr>
          <w:noProof/>
        </w:rPr>
        <w:t xml:space="preserve"> million for the base case (85%).  Financial impacts are relatively small, just as increasing uptake of</w:t>
      </w:r>
      <w:r w:rsidR="00470C11">
        <w:rPr>
          <w:noProof/>
        </w:rPr>
        <w:t xml:space="preserve"> </w:t>
      </w:r>
      <w:r w:rsidR="00470C11" w:rsidRPr="00BC4A30">
        <w:rPr>
          <w:noProof/>
        </w:rPr>
        <w:t>patients</w:t>
      </w:r>
      <w:r w:rsidR="00470C11">
        <w:rPr>
          <w:noProof/>
        </w:rPr>
        <w:t xml:space="preserve"> with</w:t>
      </w:r>
      <w:r w:rsidRPr="00BC4A30">
        <w:rPr>
          <w:noProof/>
        </w:rPr>
        <w:t xml:space="preserve"> primary </w:t>
      </w:r>
      <w:r w:rsidR="00470C11">
        <w:rPr>
          <w:noProof/>
        </w:rPr>
        <w:t>and secondary cancer</w:t>
      </w:r>
      <w:r w:rsidRPr="00BC4A30">
        <w:rPr>
          <w:noProof/>
        </w:rPr>
        <w:t xml:space="preserve">. If both populations </w:t>
      </w:r>
      <w:r w:rsidR="00DB7D52" w:rsidRPr="00BC4A30">
        <w:rPr>
          <w:noProof/>
        </w:rPr>
        <w:t>one</w:t>
      </w:r>
      <w:r w:rsidRPr="00BC4A30">
        <w:rPr>
          <w:noProof/>
        </w:rPr>
        <w:t xml:space="preserve"> and </w:t>
      </w:r>
      <w:r w:rsidR="00DB7D52" w:rsidRPr="00BC4A30">
        <w:rPr>
          <w:noProof/>
        </w:rPr>
        <w:t>two</w:t>
      </w:r>
      <w:r w:rsidRPr="00BC4A30">
        <w:rPr>
          <w:noProof/>
        </w:rPr>
        <w:t xml:space="preserve"> were equivalent in size, the number </w:t>
      </w:r>
      <w:r w:rsidR="00387E51">
        <w:rPr>
          <w:noProof/>
        </w:rPr>
        <w:t>of MTA procedures would be 2,031</w:t>
      </w:r>
      <w:r w:rsidRPr="00BC4A30">
        <w:rPr>
          <w:noProof/>
        </w:rPr>
        <w:t xml:space="preserve"> patients per year by Year 5. The net MBS cost</w:t>
      </w:r>
      <w:r w:rsidR="00387E51">
        <w:rPr>
          <w:noProof/>
        </w:rPr>
        <w:t xml:space="preserve"> saving in Year 5 would be $2.99</w:t>
      </w:r>
      <w:r w:rsidRPr="00BC4A30">
        <w:rPr>
          <w:noProof/>
        </w:rPr>
        <w:t xml:space="preserve"> million.</w:t>
      </w:r>
    </w:p>
    <w:p w14:paraId="564996D4" w14:textId="77777777" w:rsidR="00611702" w:rsidRPr="00BC4A30" w:rsidRDefault="00611702" w:rsidP="00611702">
      <w:pPr>
        <w:pStyle w:val="Caption"/>
        <w:keepNext/>
      </w:pPr>
      <w:bookmarkStart w:id="460" w:name="_Toc460514746"/>
      <w:r w:rsidRPr="00BC4A30">
        <w:t xml:space="preserve">Table </w:t>
      </w:r>
      <w:fldSimple w:instr=" SEQ Table \* ARABIC ">
        <w:r w:rsidR="00D170A5">
          <w:rPr>
            <w:noProof/>
          </w:rPr>
          <w:t>88</w:t>
        </w:r>
      </w:fldSimple>
      <w:r w:rsidRPr="00BC4A30">
        <w:tab/>
        <w:t>Sensitivity analysis</w:t>
      </w:r>
      <w:bookmarkEnd w:id="460"/>
    </w:p>
    <w:tbl>
      <w:tblPr>
        <w:tblStyle w:val="TableGrid"/>
        <w:tblW w:w="9145" w:type="dxa"/>
        <w:jc w:val="center"/>
        <w:tblLook w:val="04A0" w:firstRow="1" w:lastRow="0" w:firstColumn="1" w:lastColumn="0" w:noHBand="0" w:noVBand="1"/>
        <w:tblCaption w:val="Table 101"/>
        <w:tblDescription w:val="Sensitivity analyses"/>
      </w:tblPr>
      <w:tblGrid>
        <w:gridCol w:w="2145"/>
        <w:gridCol w:w="1400"/>
        <w:gridCol w:w="1400"/>
        <w:gridCol w:w="1400"/>
        <w:gridCol w:w="1400"/>
        <w:gridCol w:w="1400"/>
      </w:tblGrid>
      <w:tr w:rsidR="00611702" w:rsidRPr="00BC4A30" w14:paraId="2DCA3768" w14:textId="77777777" w:rsidTr="008043DF">
        <w:trPr>
          <w:cantSplit/>
          <w:trHeight w:val="267"/>
          <w:tblHeader/>
          <w:jc w:val="center"/>
        </w:trPr>
        <w:tc>
          <w:tcPr>
            <w:tcW w:w="2145" w:type="dxa"/>
            <w:shd w:val="clear" w:color="auto" w:fill="D9D9D9" w:themeFill="background1" w:themeFillShade="D9"/>
            <w:vAlign w:val="center"/>
          </w:tcPr>
          <w:p w14:paraId="602C1403" w14:textId="77777777" w:rsidR="00611702" w:rsidRPr="0041376F" w:rsidRDefault="00611702" w:rsidP="004A6D22">
            <w:pPr>
              <w:pStyle w:val="Tabletext1"/>
              <w:rPr>
                <w:b/>
                <w:noProof/>
              </w:rPr>
            </w:pPr>
          </w:p>
        </w:tc>
        <w:tc>
          <w:tcPr>
            <w:tcW w:w="1400" w:type="dxa"/>
            <w:tcBorders>
              <w:bottom w:val="single" w:sz="4" w:space="0" w:color="auto"/>
            </w:tcBorders>
            <w:shd w:val="clear" w:color="auto" w:fill="D9D9D9" w:themeFill="background1" w:themeFillShade="D9"/>
            <w:vAlign w:val="center"/>
          </w:tcPr>
          <w:p w14:paraId="16089E7E" w14:textId="77777777" w:rsidR="00611702" w:rsidRPr="0041376F" w:rsidRDefault="00611702" w:rsidP="004A6D22">
            <w:pPr>
              <w:pStyle w:val="Tabletext1"/>
              <w:ind w:left="0"/>
              <w:rPr>
                <w:b/>
                <w:noProof/>
              </w:rPr>
            </w:pPr>
            <w:r w:rsidRPr="0041376F">
              <w:rPr>
                <w:b/>
                <w:noProof/>
              </w:rPr>
              <w:t>Year 1</w:t>
            </w:r>
          </w:p>
        </w:tc>
        <w:tc>
          <w:tcPr>
            <w:tcW w:w="1400" w:type="dxa"/>
            <w:tcBorders>
              <w:bottom w:val="single" w:sz="4" w:space="0" w:color="auto"/>
            </w:tcBorders>
            <w:shd w:val="clear" w:color="auto" w:fill="D9D9D9" w:themeFill="background1" w:themeFillShade="D9"/>
            <w:vAlign w:val="center"/>
          </w:tcPr>
          <w:p w14:paraId="63B514B9" w14:textId="77777777" w:rsidR="00611702" w:rsidRPr="0041376F" w:rsidRDefault="00611702" w:rsidP="004A6D22">
            <w:pPr>
              <w:pStyle w:val="Tabletext1"/>
              <w:ind w:left="0"/>
              <w:rPr>
                <w:b/>
                <w:noProof/>
              </w:rPr>
            </w:pPr>
            <w:r w:rsidRPr="0041376F">
              <w:rPr>
                <w:b/>
                <w:noProof/>
              </w:rPr>
              <w:t>Year 2</w:t>
            </w:r>
          </w:p>
        </w:tc>
        <w:tc>
          <w:tcPr>
            <w:tcW w:w="1400" w:type="dxa"/>
            <w:tcBorders>
              <w:bottom w:val="single" w:sz="4" w:space="0" w:color="auto"/>
            </w:tcBorders>
            <w:shd w:val="clear" w:color="auto" w:fill="D9D9D9" w:themeFill="background1" w:themeFillShade="D9"/>
            <w:vAlign w:val="center"/>
          </w:tcPr>
          <w:p w14:paraId="34E8EBF4" w14:textId="77777777" w:rsidR="00611702" w:rsidRPr="0041376F" w:rsidRDefault="00611702" w:rsidP="004A6D22">
            <w:pPr>
              <w:pStyle w:val="Tabletext1"/>
              <w:ind w:left="0"/>
              <w:rPr>
                <w:b/>
                <w:noProof/>
              </w:rPr>
            </w:pPr>
            <w:r w:rsidRPr="0041376F">
              <w:rPr>
                <w:b/>
                <w:noProof/>
              </w:rPr>
              <w:t>Year 3</w:t>
            </w:r>
          </w:p>
        </w:tc>
        <w:tc>
          <w:tcPr>
            <w:tcW w:w="1400" w:type="dxa"/>
            <w:tcBorders>
              <w:bottom w:val="single" w:sz="4" w:space="0" w:color="auto"/>
            </w:tcBorders>
            <w:shd w:val="clear" w:color="auto" w:fill="D9D9D9" w:themeFill="background1" w:themeFillShade="D9"/>
            <w:vAlign w:val="center"/>
          </w:tcPr>
          <w:p w14:paraId="66B0B4F2" w14:textId="77777777" w:rsidR="00611702" w:rsidRPr="0041376F" w:rsidRDefault="00611702" w:rsidP="004A6D22">
            <w:pPr>
              <w:pStyle w:val="Tabletext1"/>
              <w:ind w:left="0"/>
              <w:rPr>
                <w:b/>
                <w:noProof/>
              </w:rPr>
            </w:pPr>
            <w:r w:rsidRPr="0041376F">
              <w:rPr>
                <w:b/>
                <w:noProof/>
              </w:rPr>
              <w:t>Year 4</w:t>
            </w:r>
          </w:p>
        </w:tc>
        <w:tc>
          <w:tcPr>
            <w:tcW w:w="1400" w:type="dxa"/>
            <w:tcBorders>
              <w:bottom w:val="single" w:sz="4" w:space="0" w:color="auto"/>
            </w:tcBorders>
            <w:shd w:val="clear" w:color="auto" w:fill="D9D9D9" w:themeFill="background1" w:themeFillShade="D9"/>
            <w:vAlign w:val="center"/>
          </w:tcPr>
          <w:p w14:paraId="241AA8CB" w14:textId="77777777" w:rsidR="00611702" w:rsidRPr="0041376F" w:rsidRDefault="00611702" w:rsidP="004A6D22">
            <w:pPr>
              <w:pStyle w:val="Tabletext1"/>
              <w:ind w:left="0"/>
              <w:rPr>
                <w:b/>
                <w:noProof/>
              </w:rPr>
            </w:pPr>
            <w:r w:rsidRPr="0041376F">
              <w:rPr>
                <w:b/>
                <w:noProof/>
              </w:rPr>
              <w:t>Year 5</w:t>
            </w:r>
          </w:p>
        </w:tc>
      </w:tr>
      <w:tr w:rsidR="00611702" w:rsidRPr="00BC4A30" w14:paraId="7EA04D82" w14:textId="77777777" w:rsidTr="008043DF">
        <w:trPr>
          <w:cantSplit/>
          <w:trHeight w:val="267"/>
          <w:jc w:val="center"/>
        </w:trPr>
        <w:tc>
          <w:tcPr>
            <w:tcW w:w="2145" w:type="dxa"/>
            <w:tcBorders>
              <w:right w:val="nil"/>
            </w:tcBorders>
            <w:shd w:val="clear" w:color="auto" w:fill="D9D9D9" w:themeFill="background1" w:themeFillShade="D9"/>
            <w:vAlign w:val="center"/>
          </w:tcPr>
          <w:p w14:paraId="41BC6B72" w14:textId="77777777" w:rsidR="00611702" w:rsidRPr="0041376F" w:rsidRDefault="00611702" w:rsidP="004A6D22">
            <w:pPr>
              <w:pStyle w:val="Tabletext1"/>
              <w:ind w:left="0"/>
              <w:rPr>
                <w:b/>
                <w:noProof/>
              </w:rPr>
            </w:pPr>
            <w:r w:rsidRPr="0041376F">
              <w:rPr>
                <w:b/>
                <w:noProof/>
              </w:rPr>
              <w:t xml:space="preserve">Base case </w:t>
            </w:r>
          </w:p>
        </w:tc>
        <w:tc>
          <w:tcPr>
            <w:tcW w:w="1400" w:type="dxa"/>
            <w:tcBorders>
              <w:left w:val="nil"/>
              <w:right w:val="nil"/>
            </w:tcBorders>
            <w:shd w:val="clear" w:color="auto" w:fill="D9D9D9" w:themeFill="background1" w:themeFillShade="D9"/>
            <w:vAlign w:val="center"/>
          </w:tcPr>
          <w:p w14:paraId="7472C602" w14:textId="77777777" w:rsidR="00611702" w:rsidRPr="0041376F" w:rsidRDefault="00611702" w:rsidP="004A6D22">
            <w:pPr>
              <w:pStyle w:val="Tabletext1"/>
              <w:rPr>
                <w:b/>
                <w:noProof/>
              </w:rPr>
            </w:pPr>
          </w:p>
        </w:tc>
        <w:tc>
          <w:tcPr>
            <w:tcW w:w="1400" w:type="dxa"/>
            <w:tcBorders>
              <w:left w:val="nil"/>
              <w:right w:val="nil"/>
            </w:tcBorders>
            <w:shd w:val="clear" w:color="auto" w:fill="D9D9D9" w:themeFill="background1" w:themeFillShade="D9"/>
            <w:vAlign w:val="center"/>
          </w:tcPr>
          <w:p w14:paraId="72233382" w14:textId="77777777" w:rsidR="00611702" w:rsidRPr="0041376F" w:rsidRDefault="00611702" w:rsidP="004A6D22">
            <w:pPr>
              <w:pStyle w:val="Tabletext1"/>
              <w:rPr>
                <w:b/>
                <w:noProof/>
              </w:rPr>
            </w:pPr>
          </w:p>
        </w:tc>
        <w:tc>
          <w:tcPr>
            <w:tcW w:w="1400" w:type="dxa"/>
            <w:tcBorders>
              <w:left w:val="nil"/>
              <w:right w:val="nil"/>
            </w:tcBorders>
            <w:shd w:val="clear" w:color="auto" w:fill="D9D9D9" w:themeFill="background1" w:themeFillShade="D9"/>
            <w:vAlign w:val="center"/>
          </w:tcPr>
          <w:p w14:paraId="4B7BFAF0" w14:textId="77777777" w:rsidR="00611702" w:rsidRPr="0041376F" w:rsidRDefault="00611702" w:rsidP="004A6D22">
            <w:pPr>
              <w:pStyle w:val="Tabletext1"/>
              <w:rPr>
                <w:b/>
                <w:noProof/>
              </w:rPr>
            </w:pPr>
          </w:p>
        </w:tc>
        <w:tc>
          <w:tcPr>
            <w:tcW w:w="1400" w:type="dxa"/>
            <w:tcBorders>
              <w:left w:val="nil"/>
              <w:right w:val="nil"/>
            </w:tcBorders>
            <w:shd w:val="clear" w:color="auto" w:fill="D9D9D9" w:themeFill="background1" w:themeFillShade="D9"/>
            <w:vAlign w:val="center"/>
          </w:tcPr>
          <w:p w14:paraId="6E5694A3" w14:textId="77777777" w:rsidR="00611702" w:rsidRPr="0041376F" w:rsidRDefault="00611702" w:rsidP="004A6D22">
            <w:pPr>
              <w:pStyle w:val="Tabletext1"/>
              <w:rPr>
                <w:b/>
                <w:noProof/>
              </w:rPr>
            </w:pPr>
          </w:p>
        </w:tc>
        <w:tc>
          <w:tcPr>
            <w:tcW w:w="1400" w:type="dxa"/>
            <w:tcBorders>
              <w:left w:val="nil"/>
            </w:tcBorders>
            <w:shd w:val="clear" w:color="auto" w:fill="D9D9D9" w:themeFill="background1" w:themeFillShade="D9"/>
            <w:vAlign w:val="center"/>
          </w:tcPr>
          <w:p w14:paraId="0A912E0D" w14:textId="77777777" w:rsidR="00611702" w:rsidRPr="0041376F" w:rsidRDefault="00611702" w:rsidP="004A6D22">
            <w:pPr>
              <w:pStyle w:val="Tabletext1"/>
              <w:rPr>
                <w:b/>
                <w:noProof/>
              </w:rPr>
            </w:pPr>
          </w:p>
        </w:tc>
      </w:tr>
      <w:tr w:rsidR="00387E51" w:rsidRPr="00BC4A30" w14:paraId="5B79B887" w14:textId="77777777" w:rsidTr="008043DF">
        <w:trPr>
          <w:cantSplit/>
          <w:trHeight w:val="354"/>
          <w:jc w:val="center"/>
        </w:trPr>
        <w:tc>
          <w:tcPr>
            <w:tcW w:w="2145" w:type="dxa"/>
            <w:vAlign w:val="center"/>
          </w:tcPr>
          <w:p w14:paraId="66CA7B8C" w14:textId="1749D88E" w:rsidR="00387E51" w:rsidRPr="00BC4A30" w:rsidRDefault="00387E51" w:rsidP="004A6D22">
            <w:pPr>
              <w:pStyle w:val="Tabletext1"/>
              <w:ind w:left="0"/>
              <w:rPr>
                <w:noProof/>
              </w:rPr>
            </w:pPr>
            <w:r w:rsidRPr="00BC4A30">
              <w:rPr>
                <w:noProof/>
              </w:rPr>
              <w:t>Number of MTA</w:t>
            </w:r>
            <w:r w:rsidR="00E027FA">
              <w:rPr>
                <w:noProof/>
              </w:rPr>
              <w:t xml:space="preserve"> </w:t>
            </w:r>
            <w:r w:rsidRPr="00BC4A30">
              <w:rPr>
                <w:noProof/>
              </w:rPr>
              <w:t>procedures per year</w:t>
            </w:r>
          </w:p>
        </w:tc>
        <w:tc>
          <w:tcPr>
            <w:tcW w:w="1400" w:type="dxa"/>
            <w:vAlign w:val="center"/>
          </w:tcPr>
          <w:p w14:paraId="00F28580" w14:textId="77777777" w:rsidR="00387E51" w:rsidRPr="00425639" w:rsidRDefault="00387E51" w:rsidP="004A6D22">
            <w:pPr>
              <w:pStyle w:val="Tabletext1"/>
              <w:ind w:left="0"/>
              <w:rPr>
                <w:noProof/>
              </w:rPr>
            </w:pPr>
            <w:r>
              <w:rPr>
                <w:color w:val="000000"/>
              </w:rPr>
              <w:t>202</w:t>
            </w:r>
          </w:p>
        </w:tc>
        <w:tc>
          <w:tcPr>
            <w:tcW w:w="1400" w:type="dxa"/>
            <w:vAlign w:val="center"/>
          </w:tcPr>
          <w:p w14:paraId="72F83898" w14:textId="77777777" w:rsidR="00387E51" w:rsidRPr="00425639" w:rsidRDefault="00387E51" w:rsidP="004A6D22">
            <w:pPr>
              <w:pStyle w:val="Tabletext1"/>
              <w:ind w:left="0"/>
              <w:rPr>
                <w:noProof/>
              </w:rPr>
            </w:pPr>
            <w:r>
              <w:rPr>
                <w:color w:val="000000"/>
              </w:rPr>
              <w:t>414</w:t>
            </w:r>
          </w:p>
        </w:tc>
        <w:tc>
          <w:tcPr>
            <w:tcW w:w="1400" w:type="dxa"/>
            <w:vAlign w:val="center"/>
          </w:tcPr>
          <w:p w14:paraId="37A008CB" w14:textId="77777777" w:rsidR="00387E51" w:rsidRPr="00425639" w:rsidRDefault="00387E51" w:rsidP="004A6D22">
            <w:pPr>
              <w:pStyle w:val="Tabletext1"/>
              <w:ind w:left="0"/>
              <w:rPr>
                <w:noProof/>
              </w:rPr>
            </w:pPr>
            <w:r>
              <w:rPr>
                <w:color w:val="000000"/>
              </w:rPr>
              <w:t>636</w:t>
            </w:r>
          </w:p>
        </w:tc>
        <w:tc>
          <w:tcPr>
            <w:tcW w:w="1400" w:type="dxa"/>
            <w:vAlign w:val="center"/>
          </w:tcPr>
          <w:p w14:paraId="117E3694" w14:textId="77777777" w:rsidR="00387E51" w:rsidRPr="00425639" w:rsidRDefault="00387E51" w:rsidP="004A6D22">
            <w:pPr>
              <w:pStyle w:val="Tabletext1"/>
              <w:ind w:left="0"/>
              <w:rPr>
                <w:noProof/>
              </w:rPr>
            </w:pPr>
            <w:r>
              <w:rPr>
                <w:color w:val="000000"/>
              </w:rPr>
              <w:t>871</w:t>
            </w:r>
          </w:p>
        </w:tc>
        <w:tc>
          <w:tcPr>
            <w:tcW w:w="1400" w:type="dxa"/>
            <w:vAlign w:val="center"/>
          </w:tcPr>
          <w:p w14:paraId="320095A5" w14:textId="77777777" w:rsidR="00387E51" w:rsidRPr="00425639" w:rsidRDefault="00387E51" w:rsidP="004A6D22">
            <w:pPr>
              <w:pStyle w:val="Tabletext1"/>
              <w:ind w:left="0"/>
              <w:rPr>
                <w:noProof/>
              </w:rPr>
            </w:pPr>
            <w:r>
              <w:rPr>
                <w:color w:val="000000"/>
              </w:rPr>
              <w:t>1,117</w:t>
            </w:r>
          </w:p>
        </w:tc>
      </w:tr>
      <w:tr w:rsidR="00387E51" w:rsidRPr="00BC4A30" w14:paraId="7EC57FF7" w14:textId="77777777" w:rsidTr="008043DF">
        <w:trPr>
          <w:cantSplit/>
          <w:trHeight w:val="354"/>
          <w:jc w:val="center"/>
        </w:trPr>
        <w:tc>
          <w:tcPr>
            <w:tcW w:w="2145" w:type="dxa"/>
            <w:vAlign w:val="center"/>
          </w:tcPr>
          <w:p w14:paraId="67A8E7DC" w14:textId="77777777" w:rsidR="00387E51" w:rsidRPr="00BC4A30" w:rsidRDefault="00387E51" w:rsidP="004A6D22">
            <w:pPr>
              <w:pStyle w:val="Tabletext1"/>
              <w:ind w:left="0"/>
              <w:rPr>
                <w:noProof/>
              </w:rPr>
            </w:pPr>
            <w:r w:rsidRPr="00BC4A30">
              <w:rPr>
                <w:noProof/>
              </w:rPr>
              <w:t>Total cost associated to MBS Services</w:t>
            </w:r>
          </w:p>
        </w:tc>
        <w:tc>
          <w:tcPr>
            <w:tcW w:w="1400" w:type="dxa"/>
            <w:vAlign w:val="center"/>
          </w:tcPr>
          <w:p w14:paraId="55D3D470" w14:textId="77777777" w:rsidR="00387E51" w:rsidRPr="00425639" w:rsidRDefault="00387E51" w:rsidP="004A6D22">
            <w:pPr>
              <w:pStyle w:val="Tabletext1"/>
              <w:ind w:left="0"/>
              <w:rPr>
                <w:noProof/>
              </w:rPr>
            </w:pPr>
            <w:r>
              <w:rPr>
                <w:color w:val="000000"/>
              </w:rPr>
              <w:t>-297,221</w:t>
            </w:r>
          </w:p>
        </w:tc>
        <w:tc>
          <w:tcPr>
            <w:tcW w:w="1400" w:type="dxa"/>
            <w:vAlign w:val="center"/>
          </w:tcPr>
          <w:p w14:paraId="3A89ADA5" w14:textId="77777777" w:rsidR="00387E51" w:rsidRPr="00425639" w:rsidRDefault="00387E51" w:rsidP="004A6D22">
            <w:pPr>
              <w:pStyle w:val="Tabletext1"/>
              <w:ind w:left="0"/>
              <w:rPr>
                <w:noProof/>
              </w:rPr>
            </w:pPr>
            <w:r>
              <w:rPr>
                <w:color w:val="000000"/>
              </w:rPr>
              <w:t>-609,728</w:t>
            </w:r>
          </w:p>
        </w:tc>
        <w:tc>
          <w:tcPr>
            <w:tcW w:w="1400" w:type="dxa"/>
            <w:vAlign w:val="center"/>
          </w:tcPr>
          <w:p w14:paraId="4ED76E6E" w14:textId="77777777" w:rsidR="00387E51" w:rsidRPr="00425639" w:rsidRDefault="00387E51" w:rsidP="004A6D22">
            <w:pPr>
              <w:pStyle w:val="Tabletext1"/>
              <w:ind w:left="0"/>
              <w:rPr>
                <w:noProof/>
              </w:rPr>
            </w:pPr>
            <w:r>
              <w:rPr>
                <w:color w:val="000000"/>
              </w:rPr>
              <w:t>-938,292</w:t>
            </w:r>
          </w:p>
        </w:tc>
        <w:tc>
          <w:tcPr>
            <w:tcW w:w="1400" w:type="dxa"/>
            <w:vAlign w:val="center"/>
          </w:tcPr>
          <w:p w14:paraId="39B4437C" w14:textId="2479B2A0" w:rsidR="00387E51" w:rsidRPr="00425639" w:rsidRDefault="0041376F" w:rsidP="004A6D22">
            <w:pPr>
              <w:pStyle w:val="Tabletext1"/>
              <w:ind w:left="0"/>
              <w:rPr>
                <w:noProof/>
              </w:rPr>
            </w:pPr>
            <w:r>
              <w:rPr>
                <w:color w:val="000000"/>
              </w:rPr>
              <w:t>-</w:t>
            </w:r>
            <w:r w:rsidR="00387E51">
              <w:rPr>
                <w:color w:val="000000"/>
              </w:rPr>
              <w:t>1,283,721</w:t>
            </w:r>
          </w:p>
        </w:tc>
        <w:tc>
          <w:tcPr>
            <w:tcW w:w="1400" w:type="dxa"/>
            <w:vAlign w:val="center"/>
          </w:tcPr>
          <w:p w14:paraId="538DB780" w14:textId="77777777" w:rsidR="00387E51" w:rsidRPr="00425639" w:rsidRDefault="00387E51" w:rsidP="004A6D22">
            <w:pPr>
              <w:pStyle w:val="Tabletext1"/>
              <w:ind w:left="0"/>
              <w:rPr>
                <w:noProof/>
              </w:rPr>
            </w:pPr>
            <w:r>
              <w:rPr>
                <w:color w:val="000000"/>
              </w:rPr>
              <w:t>-1,646,870</w:t>
            </w:r>
          </w:p>
        </w:tc>
      </w:tr>
      <w:tr w:rsidR="00387E51" w:rsidRPr="00BC4A30" w14:paraId="6EBDD17B" w14:textId="77777777" w:rsidTr="008043DF">
        <w:trPr>
          <w:cantSplit/>
          <w:trHeight w:val="354"/>
          <w:jc w:val="center"/>
        </w:trPr>
        <w:tc>
          <w:tcPr>
            <w:tcW w:w="2145" w:type="dxa"/>
            <w:vAlign w:val="center"/>
          </w:tcPr>
          <w:p w14:paraId="79CB1818" w14:textId="47076FA6" w:rsidR="00387E51" w:rsidRPr="00BC4A30" w:rsidRDefault="0041376F" w:rsidP="004A6D22">
            <w:pPr>
              <w:pStyle w:val="Tabletext1"/>
              <w:ind w:left="0"/>
              <w:rPr>
                <w:noProof/>
              </w:rPr>
            </w:pPr>
            <w:r>
              <w:rPr>
                <w:noProof/>
              </w:rPr>
              <w:t>Total costs to</w:t>
            </w:r>
            <w:r w:rsidR="00387E51" w:rsidRPr="00BC4A30">
              <w:rPr>
                <w:noProof/>
              </w:rPr>
              <w:t>private and hospitals</w:t>
            </w:r>
          </w:p>
        </w:tc>
        <w:tc>
          <w:tcPr>
            <w:tcW w:w="1400" w:type="dxa"/>
            <w:tcBorders>
              <w:bottom w:val="single" w:sz="4" w:space="0" w:color="auto"/>
            </w:tcBorders>
            <w:vAlign w:val="center"/>
          </w:tcPr>
          <w:p w14:paraId="7F684A2D" w14:textId="77777777" w:rsidR="00387E51" w:rsidRPr="00425639" w:rsidRDefault="00387E51" w:rsidP="004A6D22">
            <w:pPr>
              <w:pStyle w:val="Tabletext1"/>
              <w:ind w:left="0"/>
              <w:rPr>
                <w:noProof/>
              </w:rPr>
            </w:pPr>
            <w:r>
              <w:rPr>
                <w:color w:val="000000"/>
              </w:rPr>
              <w:t>835,094</w:t>
            </w:r>
          </w:p>
        </w:tc>
        <w:tc>
          <w:tcPr>
            <w:tcW w:w="1400" w:type="dxa"/>
            <w:tcBorders>
              <w:bottom w:val="single" w:sz="4" w:space="0" w:color="auto"/>
            </w:tcBorders>
            <w:vAlign w:val="center"/>
          </w:tcPr>
          <w:p w14:paraId="5EF28B1E" w14:textId="77777777" w:rsidR="00387E51" w:rsidRPr="00425639" w:rsidRDefault="00387E51" w:rsidP="004A6D22">
            <w:pPr>
              <w:pStyle w:val="Tabletext1"/>
              <w:ind w:left="0"/>
              <w:rPr>
                <w:noProof/>
              </w:rPr>
            </w:pPr>
            <w:r>
              <w:rPr>
                <w:color w:val="000000"/>
              </w:rPr>
              <w:t>1,713,136</w:t>
            </w:r>
          </w:p>
        </w:tc>
        <w:tc>
          <w:tcPr>
            <w:tcW w:w="1400" w:type="dxa"/>
            <w:tcBorders>
              <w:bottom w:val="single" w:sz="4" w:space="0" w:color="auto"/>
            </w:tcBorders>
            <w:vAlign w:val="center"/>
          </w:tcPr>
          <w:p w14:paraId="19CFF7F6" w14:textId="77777777" w:rsidR="00387E51" w:rsidRPr="00425639" w:rsidRDefault="00387E51" w:rsidP="004A6D22">
            <w:pPr>
              <w:pStyle w:val="Tabletext1"/>
              <w:ind w:left="0"/>
              <w:rPr>
                <w:noProof/>
              </w:rPr>
            </w:pPr>
            <w:r>
              <w:rPr>
                <w:color w:val="000000"/>
              </w:rPr>
              <w:t>2,636,290</w:t>
            </w:r>
          </w:p>
        </w:tc>
        <w:tc>
          <w:tcPr>
            <w:tcW w:w="1400" w:type="dxa"/>
            <w:tcBorders>
              <w:bottom w:val="single" w:sz="4" w:space="0" w:color="auto"/>
            </w:tcBorders>
            <w:vAlign w:val="center"/>
          </w:tcPr>
          <w:p w14:paraId="5A6847B8" w14:textId="77777777" w:rsidR="00387E51" w:rsidRPr="00425639" w:rsidRDefault="00387E51" w:rsidP="004A6D22">
            <w:pPr>
              <w:pStyle w:val="Tabletext1"/>
              <w:ind w:left="0"/>
              <w:rPr>
                <w:noProof/>
              </w:rPr>
            </w:pPr>
            <w:r>
              <w:rPr>
                <w:color w:val="000000"/>
              </w:rPr>
              <w:t>3,606,833</w:t>
            </w:r>
          </w:p>
        </w:tc>
        <w:tc>
          <w:tcPr>
            <w:tcW w:w="1400" w:type="dxa"/>
            <w:tcBorders>
              <w:bottom w:val="single" w:sz="4" w:space="0" w:color="auto"/>
            </w:tcBorders>
            <w:vAlign w:val="center"/>
          </w:tcPr>
          <w:p w14:paraId="6D945640" w14:textId="77777777" w:rsidR="00387E51" w:rsidRPr="00425639" w:rsidRDefault="00387E51" w:rsidP="004A6D22">
            <w:pPr>
              <w:pStyle w:val="Tabletext1"/>
              <w:ind w:left="0"/>
              <w:rPr>
                <w:noProof/>
              </w:rPr>
            </w:pPr>
            <w:r>
              <w:rPr>
                <w:color w:val="000000"/>
              </w:rPr>
              <w:t>4,627,162</w:t>
            </w:r>
          </w:p>
        </w:tc>
      </w:tr>
      <w:tr w:rsidR="00387E51" w:rsidRPr="00BC4A30" w14:paraId="7B36A09C" w14:textId="77777777" w:rsidTr="008043DF">
        <w:trPr>
          <w:cantSplit/>
          <w:trHeight w:val="354"/>
          <w:jc w:val="center"/>
        </w:trPr>
        <w:tc>
          <w:tcPr>
            <w:tcW w:w="2145" w:type="dxa"/>
            <w:tcBorders>
              <w:right w:val="nil"/>
            </w:tcBorders>
            <w:shd w:val="clear" w:color="auto" w:fill="D9D9D9" w:themeFill="background1" w:themeFillShade="D9"/>
          </w:tcPr>
          <w:p w14:paraId="031A3BD2" w14:textId="77777777" w:rsidR="00387E51" w:rsidRPr="001769B5" w:rsidRDefault="00387E51" w:rsidP="004A6D22">
            <w:pPr>
              <w:pStyle w:val="Tabletext1"/>
              <w:ind w:left="0"/>
              <w:rPr>
                <w:b/>
                <w:noProof/>
              </w:rPr>
            </w:pPr>
            <w:r w:rsidRPr="001769B5">
              <w:rPr>
                <w:b/>
                <w:noProof/>
              </w:rPr>
              <w:t>63% of lung cancer NSCLC</w:t>
            </w:r>
          </w:p>
        </w:tc>
        <w:tc>
          <w:tcPr>
            <w:tcW w:w="1400" w:type="dxa"/>
            <w:tcBorders>
              <w:left w:val="nil"/>
              <w:right w:val="nil"/>
            </w:tcBorders>
            <w:shd w:val="clear" w:color="auto" w:fill="D9D9D9" w:themeFill="background1" w:themeFillShade="D9"/>
          </w:tcPr>
          <w:p w14:paraId="20759C91"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5B041FC6"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4843C925"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6B885E97" w14:textId="77777777" w:rsidR="00387E51" w:rsidRPr="00363E4B" w:rsidRDefault="00387E51" w:rsidP="004A6D22">
            <w:pPr>
              <w:pStyle w:val="Tabletext1"/>
              <w:rPr>
                <w:noProof/>
              </w:rPr>
            </w:pPr>
          </w:p>
        </w:tc>
        <w:tc>
          <w:tcPr>
            <w:tcW w:w="1400" w:type="dxa"/>
            <w:tcBorders>
              <w:left w:val="nil"/>
            </w:tcBorders>
            <w:shd w:val="clear" w:color="auto" w:fill="D9D9D9" w:themeFill="background1" w:themeFillShade="D9"/>
          </w:tcPr>
          <w:p w14:paraId="69A1B200" w14:textId="77777777" w:rsidR="00387E51" w:rsidRPr="00363E4B" w:rsidRDefault="00387E51" w:rsidP="004A6D22">
            <w:pPr>
              <w:pStyle w:val="Tabletext1"/>
              <w:rPr>
                <w:noProof/>
              </w:rPr>
            </w:pPr>
          </w:p>
        </w:tc>
      </w:tr>
      <w:tr w:rsidR="00387E51" w:rsidRPr="00BC4A30" w14:paraId="51892DB3" w14:textId="77777777" w:rsidTr="008043DF">
        <w:trPr>
          <w:cantSplit/>
          <w:trHeight w:val="354"/>
          <w:jc w:val="center"/>
        </w:trPr>
        <w:tc>
          <w:tcPr>
            <w:tcW w:w="2145" w:type="dxa"/>
          </w:tcPr>
          <w:p w14:paraId="79BC6F1D" w14:textId="07057577" w:rsidR="00387E51" w:rsidRPr="00BC4A30" w:rsidRDefault="00387E51" w:rsidP="004A6D22">
            <w:pPr>
              <w:pStyle w:val="Tabletext1"/>
              <w:ind w:left="0"/>
              <w:rPr>
                <w:noProof/>
              </w:rPr>
            </w:pPr>
            <w:r w:rsidRPr="00BC4A30">
              <w:rPr>
                <w:noProof/>
              </w:rPr>
              <w:lastRenderedPageBreak/>
              <w:t>Number of MTA</w:t>
            </w:r>
            <w:r w:rsidR="00E027FA">
              <w:rPr>
                <w:noProof/>
              </w:rPr>
              <w:t xml:space="preserve"> </w:t>
            </w:r>
            <w:r w:rsidRPr="00BC4A30">
              <w:rPr>
                <w:noProof/>
              </w:rPr>
              <w:t>procedures per year</w:t>
            </w:r>
          </w:p>
        </w:tc>
        <w:tc>
          <w:tcPr>
            <w:tcW w:w="1400" w:type="dxa"/>
            <w:vAlign w:val="center"/>
          </w:tcPr>
          <w:p w14:paraId="4CFFA1D9" w14:textId="77777777" w:rsidR="00387E51" w:rsidRPr="00363E4B" w:rsidRDefault="00387E51" w:rsidP="004A6D22">
            <w:pPr>
              <w:pStyle w:val="Tabletext1"/>
              <w:ind w:left="0"/>
              <w:rPr>
                <w:noProof/>
              </w:rPr>
            </w:pPr>
            <w:r>
              <w:rPr>
                <w:color w:val="000000"/>
              </w:rPr>
              <w:t>149</w:t>
            </w:r>
          </w:p>
        </w:tc>
        <w:tc>
          <w:tcPr>
            <w:tcW w:w="1400" w:type="dxa"/>
            <w:vAlign w:val="center"/>
          </w:tcPr>
          <w:p w14:paraId="05F0D47B" w14:textId="77777777" w:rsidR="00387E51" w:rsidRPr="00363E4B" w:rsidRDefault="00387E51" w:rsidP="004A6D22">
            <w:pPr>
              <w:pStyle w:val="Tabletext1"/>
              <w:ind w:left="0"/>
              <w:rPr>
                <w:noProof/>
              </w:rPr>
            </w:pPr>
            <w:r>
              <w:rPr>
                <w:color w:val="000000"/>
              </w:rPr>
              <w:t>307</w:t>
            </w:r>
          </w:p>
        </w:tc>
        <w:tc>
          <w:tcPr>
            <w:tcW w:w="1400" w:type="dxa"/>
            <w:vAlign w:val="center"/>
          </w:tcPr>
          <w:p w14:paraId="03143393" w14:textId="77777777" w:rsidR="00387E51" w:rsidRPr="00363E4B" w:rsidRDefault="00387E51" w:rsidP="004A6D22">
            <w:pPr>
              <w:pStyle w:val="Tabletext1"/>
              <w:ind w:left="0"/>
              <w:rPr>
                <w:noProof/>
              </w:rPr>
            </w:pPr>
            <w:r>
              <w:rPr>
                <w:color w:val="000000"/>
              </w:rPr>
              <w:t>472</w:t>
            </w:r>
          </w:p>
        </w:tc>
        <w:tc>
          <w:tcPr>
            <w:tcW w:w="1400" w:type="dxa"/>
            <w:vAlign w:val="center"/>
          </w:tcPr>
          <w:p w14:paraId="390B4D6B" w14:textId="77777777" w:rsidR="00387E51" w:rsidRPr="00363E4B" w:rsidRDefault="00387E51" w:rsidP="004A6D22">
            <w:pPr>
              <w:pStyle w:val="Tabletext1"/>
              <w:ind w:left="0"/>
              <w:rPr>
                <w:noProof/>
              </w:rPr>
            </w:pPr>
            <w:r>
              <w:rPr>
                <w:color w:val="000000"/>
              </w:rPr>
              <w:t>645</w:t>
            </w:r>
          </w:p>
        </w:tc>
        <w:tc>
          <w:tcPr>
            <w:tcW w:w="1400" w:type="dxa"/>
            <w:vAlign w:val="center"/>
          </w:tcPr>
          <w:p w14:paraId="01A5D280" w14:textId="77777777" w:rsidR="00387E51" w:rsidRPr="00363E4B" w:rsidRDefault="00387E51" w:rsidP="004A6D22">
            <w:pPr>
              <w:pStyle w:val="Tabletext1"/>
              <w:ind w:left="0"/>
              <w:rPr>
                <w:noProof/>
              </w:rPr>
            </w:pPr>
            <w:r>
              <w:rPr>
                <w:color w:val="000000"/>
              </w:rPr>
              <w:t>828</w:t>
            </w:r>
          </w:p>
        </w:tc>
      </w:tr>
      <w:tr w:rsidR="00387E51" w:rsidRPr="00BC4A30" w14:paraId="694974E7" w14:textId="77777777" w:rsidTr="008043DF">
        <w:trPr>
          <w:cantSplit/>
          <w:trHeight w:val="354"/>
          <w:jc w:val="center"/>
        </w:trPr>
        <w:tc>
          <w:tcPr>
            <w:tcW w:w="2145" w:type="dxa"/>
          </w:tcPr>
          <w:p w14:paraId="16AB0486" w14:textId="77777777" w:rsidR="00387E51" w:rsidRPr="00BC4A30" w:rsidRDefault="00387E51" w:rsidP="004A6D22">
            <w:pPr>
              <w:pStyle w:val="Tabletext1"/>
              <w:ind w:left="0"/>
              <w:rPr>
                <w:noProof/>
              </w:rPr>
            </w:pPr>
            <w:r w:rsidRPr="00BC4A30">
              <w:rPr>
                <w:noProof/>
              </w:rPr>
              <w:t>Total cost associated to MBS Services</w:t>
            </w:r>
          </w:p>
        </w:tc>
        <w:tc>
          <w:tcPr>
            <w:tcW w:w="1400" w:type="dxa"/>
            <w:vAlign w:val="center"/>
          </w:tcPr>
          <w:p w14:paraId="39D9351D" w14:textId="77777777" w:rsidR="00387E51" w:rsidRPr="00363E4B" w:rsidRDefault="00387E51" w:rsidP="004A6D22">
            <w:pPr>
              <w:pStyle w:val="Tabletext1"/>
              <w:ind w:left="0"/>
              <w:rPr>
                <w:noProof/>
              </w:rPr>
            </w:pPr>
            <w:r>
              <w:rPr>
                <w:color w:val="000000"/>
              </w:rPr>
              <w:t>-220,293</w:t>
            </w:r>
          </w:p>
        </w:tc>
        <w:tc>
          <w:tcPr>
            <w:tcW w:w="1400" w:type="dxa"/>
            <w:vAlign w:val="center"/>
          </w:tcPr>
          <w:p w14:paraId="5CD7685C" w14:textId="77777777" w:rsidR="00387E51" w:rsidRPr="00363E4B" w:rsidRDefault="00387E51" w:rsidP="004A6D22">
            <w:pPr>
              <w:pStyle w:val="Tabletext1"/>
              <w:ind w:left="0"/>
              <w:rPr>
                <w:noProof/>
              </w:rPr>
            </w:pPr>
            <w:r>
              <w:rPr>
                <w:color w:val="000000"/>
              </w:rPr>
              <w:t>-451,916</w:t>
            </w:r>
          </w:p>
        </w:tc>
        <w:tc>
          <w:tcPr>
            <w:tcW w:w="1400" w:type="dxa"/>
            <w:vAlign w:val="center"/>
          </w:tcPr>
          <w:p w14:paraId="4ECB6E8F" w14:textId="77777777" w:rsidR="00387E51" w:rsidRPr="00363E4B" w:rsidRDefault="00387E51" w:rsidP="004A6D22">
            <w:pPr>
              <w:pStyle w:val="Tabletext1"/>
              <w:ind w:left="0"/>
              <w:rPr>
                <w:noProof/>
              </w:rPr>
            </w:pPr>
            <w:r>
              <w:rPr>
                <w:color w:val="000000"/>
              </w:rPr>
              <w:t>-695,440</w:t>
            </w:r>
          </w:p>
        </w:tc>
        <w:tc>
          <w:tcPr>
            <w:tcW w:w="1400" w:type="dxa"/>
            <w:vAlign w:val="center"/>
          </w:tcPr>
          <w:p w14:paraId="6D5D3552" w14:textId="77777777" w:rsidR="00387E51" w:rsidRPr="00363E4B" w:rsidRDefault="00387E51" w:rsidP="004A6D22">
            <w:pPr>
              <w:pStyle w:val="Tabletext1"/>
              <w:ind w:left="0"/>
              <w:rPr>
                <w:noProof/>
              </w:rPr>
            </w:pPr>
            <w:r>
              <w:rPr>
                <w:color w:val="000000"/>
              </w:rPr>
              <w:t>-951,464</w:t>
            </w:r>
          </w:p>
        </w:tc>
        <w:tc>
          <w:tcPr>
            <w:tcW w:w="1400" w:type="dxa"/>
            <w:vAlign w:val="center"/>
          </w:tcPr>
          <w:p w14:paraId="2BD36EAC" w14:textId="339CF1CD" w:rsidR="00387E51" w:rsidRPr="00363E4B" w:rsidRDefault="0041376F" w:rsidP="004A6D22">
            <w:pPr>
              <w:pStyle w:val="Tabletext1"/>
              <w:ind w:left="0"/>
              <w:rPr>
                <w:noProof/>
              </w:rPr>
            </w:pPr>
            <w:r>
              <w:rPr>
                <w:color w:val="000000"/>
              </w:rPr>
              <w:t>-</w:t>
            </w:r>
            <w:r w:rsidR="00387E51">
              <w:rPr>
                <w:color w:val="000000"/>
              </w:rPr>
              <w:t>1,220,621</w:t>
            </w:r>
          </w:p>
        </w:tc>
      </w:tr>
      <w:tr w:rsidR="00387E51" w:rsidRPr="00BC4A30" w14:paraId="566CE5F5" w14:textId="77777777" w:rsidTr="008043DF">
        <w:trPr>
          <w:cantSplit/>
          <w:trHeight w:val="354"/>
          <w:jc w:val="center"/>
        </w:trPr>
        <w:tc>
          <w:tcPr>
            <w:tcW w:w="2145" w:type="dxa"/>
          </w:tcPr>
          <w:p w14:paraId="4216B981" w14:textId="77777777" w:rsidR="00387E51" w:rsidRPr="00BC4A30" w:rsidRDefault="00387E51" w:rsidP="004A6D22">
            <w:pPr>
              <w:pStyle w:val="Tabletext1"/>
              <w:ind w:left="0"/>
              <w:rPr>
                <w:noProof/>
              </w:rPr>
            </w:pPr>
            <w:r w:rsidRPr="00BC4A30">
              <w:rPr>
                <w:noProof/>
              </w:rPr>
              <w:t>Total costs to private and hospitals</w:t>
            </w:r>
          </w:p>
        </w:tc>
        <w:tc>
          <w:tcPr>
            <w:tcW w:w="1400" w:type="dxa"/>
            <w:tcBorders>
              <w:bottom w:val="single" w:sz="4" w:space="0" w:color="auto"/>
            </w:tcBorders>
            <w:vAlign w:val="center"/>
          </w:tcPr>
          <w:p w14:paraId="7CD75FCD" w14:textId="77777777" w:rsidR="00387E51" w:rsidRPr="00363E4B" w:rsidRDefault="00387E51" w:rsidP="004A6D22">
            <w:pPr>
              <w:pStyle w:val="Tabletext1"/>
              <w:ind w:left="0"/>
              <w:rPr>
                <w:noProof/>
              </w:rPr>
            </w:pPr>
            <w:r>
              <w:rPr>
                <w:color w:val="000000"/>
              </w:rPr>
              <w:t>618,952</w:t>
            </w:r>
          </w:p>
        </w:tc>
        <w:tc>
          <w:tcPr>
            <w:tcW w:w="1400" w:type="dxa"/>
            <w:tcBorders>
              <w:bottom w:val="single" w:sz="4" w:space="0" w:color="auto"/>
            </w:tcBorders>
            <w:vAlign w:val="center"/>
          </w:tcPr>
          <w:p w14:paraId="6D8348C9" w14:textId="77777777" w:rsidR="00387E51" w:rsidRPr="00363E4B" w:rsidRDefault="00387E51" w:rsidP="004A6D22">
            <w:pPr>
              <w:pStyle w:val="Tabletext1"/>
              <w:ind w:left="0"/>
              <w:rPr>
                <w:noProof/>
              </w:rPr>
            </w:pPr>
            <w:r>
              <w:rPr>
                <w:color w:val="000000"/>
              </w:rPr>
              <w:t>1,269,736</w:t>
            </w:r>
          </w:p>
        </w:tc>
        <w:tc>
          <w:tcPr>
            <w:tcW w:w="1400" w:type="dxa"/>
            <w:tcBorders>
              <w:bottom w:val="single" w:sz="4" w:space="0" w:color="auto"/>
            </w:tcBorders>
            <w:vAlign w:val="center"/>
          </w:tcPr>
          <w:p w14:paraId="608C3709" w14:textId="77777777" w:rsidR="00387E51" w:rsidRPr="00363E4B" w:rsidRDefault="00387E51" w:rsidP="004A6D22">
            <w:pPr>
              <w:pStyle w:val="Tabletext1"/>
              <w:ind w:left="0"/>
              <w:rPr>
                <w:noProof/>
              </w:rPr>
            </w:pPr>
            <w:r>
              <w:rPr>
                <w:color w:val="000000"/>
              </w:rPr>
              <w:t>1,953,956</w:t>
            </w:r>
          </w:p>
        </w:tc>
        <w:tc>
          <w:tcPr>
            <w:tcW w:w="1400" w:type="dxa"/>
            <w:tcBorders>
              <w:bottom w:val="single" w:sz="4" w:space="0" w:color="auto"/>
            </w:tcBorders>
            <w:vAlign w:val="center"/>
          </w:tcPr>
          <w:p w14:paraId="7E284362" w14:textId="77777777" w:rsidR="00387E51" w:rsidRPr="00363E4B" w:rsidRDefault="00387E51" w:rsidP="004A6D22">
            <w:pPr>
              <w:pStyle w:val="Tabletext1"/>
              <w:ind w:left="0"/>
              <w:rPr>
                <w:noProof/>
              </w:rPr>
            </w:pPr>
            <w:r>
              <w:rPr>
                <w:color w:val="000000"/>
              </w:rPr>
              <w:t>2,673,300</w:t>
            </w:r>
          </w:p>
        </w:tc>
        <w:tc>
          <w:tcPr>
            <w:tcW w:w="1400" w:type="dxa"/>
            <w:tcBorders>
              <w:bottom w:val="single" w:sz="4" w:space="0" w:color="auto"/>
            </w:tcBorders>
            <w:vAlign w:val="center"/>
          </w:tcPr>
          <w:p w14:paraId="69AE151D" w14:textId="77777777" w:rsidR="00387E51" w:rsidRPr="00363E4B" w:rsidRDefault="00387E51" w:rsidP="004A6D22">
            <w:pPr>
              <w:pStyle w:val="Tabletext1"/>
              <w:ind w:left="0"/>
              <w:rPr>
                <w:noProof/>
              </w:rPr>
            </w:pPr>
            <w:r>
              <w:rPr>
                <w:color w:val="000000"/>
              </w:rPr>
              <w:t>3,429,543</w:t>
            </w:r>
          </w:p>
        </w:tc>
      </w:tr>
      <w:tr w:rsidR="00387E51" w:rsidRPr="00BC4A30" w14:paraId="3B8E20E3" w14:textId="77777777" w:rsidTr="008043DF">
        <w:trPr>
          <w:cantSplit/>
          <w:trHeight w:val="354"/>
          <w:jc w:val="center"/>
        </w:trPr>
        <w:tc>
          <w:tcPr>
            <w:tcW w:w="2145" w:type="dxa"/>
            <w:tcBorders>
              <w:right w:val="nil"/>
            </w:tcBorders>
            <w:shd w:val="clear" w:color="auto" w:fill="D9D9D9" w:themeFill="background1" w:themeFillShade="D9"/>
          </w:tcPr>
          <w:p w14:paraId="2ABEBB7A" w14:textId="77777777" w:rsidR="00387E51" w:rsidRPr="001769B5" w:rsidRDefault="00387E51" w:rsidP="004A6D22">
            <w:pPr>
              <w:pStyle w:val="Tabletext1"/>
              <w:ind w:left="0"/>
              <w:rPr>
                <w:b/>
                <w:noProof/>
              </w:rPr>
            </w:pPr>
            <w:r w:rsidRPr="001769B5">
              <w:rPr>
                <w:b/>
                <w:noProof/>
              </w:rPr>
              <w:t>Populations 1 and 2 equivalent</w:t>
            </w:r>
          </w:p>
        </w:tc>
        <w:tc>
          <w:tcPr>
            <w:tcW w:w="1400" w:type="dxa"/>
            <w:tcBorders>
              <w:left w:val="nil"/>
              <w:right w:val="nil"/>
            </w:tcBorders>
            <w:shd w:val="clear" w:color="auto" w:fill="D9D9D9" w:themeFill="background1" w:themeFillShade="D9"/>
          </w:tcPr>
          <w:p w14:paraId="722AF821"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757E0EC2"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00092397"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79A6F5C0" w14:textId="77777777" w:rsidR="00387E51" w:rsidRPr="00363E4B" w:rsidRDefault="00387E51" w:rsidP="004A6D22">
            <w:pPr>
              <w:pStyle w:val="Tabletext1"/>
              <w:rPr>
                <w:noProof/>
              </w:rPr>
            </w:pPr>
          </w:p>
        </w:tc>
        <w:tc>
          <w:tcPr>
            <w:tcW w:w="1400" w:type="dxa"/>
            <w:tcBorders>
              <w:left w:val="nil"/>
            </w:tcBorders>
            <w:shd w:val="clear" w:color="auto" w:fill="D9D9D9" w:themeFill="background1" w:themeFillShade="D9"/>
          </w:tcPr>
          <w:p w14:paraId="152EB2CD" w14:textId="77777777" w:rsidR="00387E51" w:rsidRPr="00363E4B" w:rsidRDefault="00387E51" w:rsidP="004A6D22">
            <w:pPr>
              <w:pStyle w:val="Tabletext1"/>
              <w:rPr>
                <w:noProof/>
              </w:rPr>
            </w:pPr>
          </w:p>
        </w:tc>
      </w:tr>
      <w:tr w:rsidR="00387E51" w:rsidRPr="00BC4A30" w14:paraId="073F928D" w14:textId="77777777" w:rsidTr="008043DF">
        <w:trPr>
          <w:cantSplit/>
          <w:trHeight w:val="354"/>
          <w:jc w:val="center"/>
        </w:trPr>
        <w:tc>
          <w:tcPr>
            <w:tcW w:w="2145" w:type="dxa"/>
          </w:tcPr>
          <w:p w14:paraId="56908A11" w14:textId="7777FA58" w:rsidR="00387E51" w:rsidRPr="00363E4B" w:rsidRDefault="00387E51" w:rsidP="004A6D22">
            <w:pPr>
              <w:pStyle w:val="Tabletext1"/>
              <w:ind w:left="0"/>
              <w:rPr>
                <w:noProof/>
              </w:rPr>
            </w:pPr>
            <w:r w:rsidRPr="00363E4B">
              <w:rPr>
                <w:noProof/>
              </w:rPr>
              <w:t>Number of MTA</w:t>
            </w:r>
            <w:r w:rsidR="00E027FA">
              <w:rPr>
                <w:noProof/>
              </w:rPr>
              <w:t xml:space="preserve"> </w:t>
            </w:r>
            <w:r w:rsidRPr="00363E4B">
              <w:rPr>
                <w:noProof/>
              </w:rPr>
              <w:t>procedures per year</w:t>
            </w:r>
          </w:p>
        </w:tc>
        <w:tc>
          <w:tcPr>
            <w:tcW w:w="1400" w:type="dxa"/>
            <w:vAlign w:val="center"/>
          </w:tcPr>
          <w:p w14:paraId="020D93B5" w14:textId="77777777" w:rsidR="00387E51" w:rsidRPr="00363E4B" w:rsidRDefault="00387E51" w:rsidP="004A6D22">
            <w:pPr>
              <w:pStyle w:val="Tabletext1"/>
              <w:ind w:left="0"/>
              <w:rPr>
                <w:noProof/>
              </w:rPr>
            </w:pPr>
            <w:r>
              <w:rPr>
                <w:color w:val="000000"/>
              </w:rPr>
              <w:t>367</w:t>
            </w:r>
          </w:p>
        </w:tc>
        <w:tc>
          <w:tcPr>
            <w:tcW w:w="1400" w:type="dxa"/>
            <w:vAlign w:val="center"/>
          </w:tcPr>
          <w:p w14:paraId="5DE83EF3" w14:textId="77777777" w:rsidR="00387E51" w:rsidRPr="00363E4B" w:rsidRDefault="00387E51" w:rsidP="004A6D22">
            <w:pPr>
              <w:pStyle w:val="Tabletext1"/>
              <w:ind w:left="0"/>
              <w:rPr>
                <w:noProof/>
              </w:rPr>
            </w:pPr>
            <w:r>
              <w:rPr>
                <w:color w:val="000000"/>
              </w:rPr>
              <w:t>752</w:t>
            </w:r>
          </w:p>
        </w:tc>
        <w:tc>
          <w:tcPr>
            <w:tcW w:w="1400" w:type="dxa"/>
            <w:vAlign w:val="center"/>
          </w:tcPr>
          <w:p w14:paraId="31C3D2F6" w14:textId="77777777" w:rsidR="00387E51" w:rsidRPr="00363E4B" w:rsidRDefault="00387E51" w:rsidP="004A6D22">
            <w:pPr>
              <w:pStyle w:val="Tabletext1"/>
              <w:ind w:left="0"/>
              <w:rPr>
                <w:noProof/>
              </w:rPr>
            </w:pPr>
            <w:r>
              <w:rPr>
                <w:color w:val="000000"/>
              </w:rPr>
              <w:t>1,157</w:t>
            </w:r>
          </w:p>
        </w:tc>
        <w:tc>
          <w:tcPr>
            <w:tcW w:w="1400" w:type="dxa"/>
            <w:vAlign w:val="center"/>
          </w:tcPr>
          <w:p w14:paraId="4080FA50" w14:textId="77777777" w:rsidR="00387E51" w:rsidRPr="00363E4B" w:rsidRDefault="00387E51" w:rsidP="004A6D22">
            <w:pPr>
              <w:pStyle w:val="Tabletext1"/>
              <w:ind w:left="0"/>
              <w:rPr>
                <w:noProof/>
              </w:rPr>
            </w:pPr>
            <w:r>
              <w:rPr>
                <w:color w:val="000000"/>
              </w:rPr>
              <w:t>1,583</w:t>
            </w:r>
          </w:p>
        </w:tc>
        <w:tc>
          <w:tcPr>
            <w:tcW w:w="1400" w:type="dxa"/>
            <w:vAlign w:val="center"/>
          </w:tcPr>
          <w:p w14:paraId="2F0FABD3" w14:textId="77777777" w:rsidR="00387E51" w:rsidRPr="00363E4B" w:rsidRDefault="00387E51" w:rsidP="004A6D22">
            <w:pPr>
              <w:pStyle w:val="Tabletext1"/>
              <w:ind w:left="0"/>
              <w:rPr>
                <w:noProof/>
              </w:rPr>
            </w:pPr>
            <w:r>
              <w:rPr>
                <w:color w:val="000000"/>
              </w:rPr>
              <w:t>2,031</w:t>
            </w:r>
          </w:p>
        </w:tc>
      </w:tr>
      <w:tr w:rsidR="00387E51" w:rsidRPr="00BC4A30" w14:paraId="24DCE7D2" w14:textId="77777777" w:rsidTr="008043DF">
        <w:trPr>
          <w:cantSplit/>
          <w:trHeight w:val="354"/>
          <w:jc w:val="center"/>
        </w:trPr>
        <w:tc>
          <w:tcPr>
            <w:tcW w:w="2145" w:type="dxa"/>
          </w:tcPr>
          <w:p w14:paraId="2CE5D6FB" w14:textId="77777777" w:rsidR="00387E51" w:rsidRPr="00363E4B" w:rsidRDefault="00387E51" w:rsidP="004A6D22">
            <w:pPr>
              <w:pStyle w:val="Tabletext1"/>
              <w:ind w:left="0"/>
              <w:rPr>
                <w:noProof/>
              </w:rPr>
            </w:pPr>
            <w:r w:rsidRPr="00363E4B">
              <w:rPr>
                <w:noProof/>
              </w:rPr>
              <w:t>Total cost associated to MBS Services</w:t>
            </w:r>
          </w:p>
        </w:tc>
        <w:tc>
          <w:tcPr>
            <w:tcW w:w="1400" w:type="dxa"/>
            <w:vAlign w:val="center"/>
          </w:tcPr>
          <w:p w14:paraId="08753806" w14:textId="77777777" w:rsidR="00387E51" w:rsidRPr="00363E4B" w:rsidRDefault="00387E51" w:rsidP="004A6D22">
            <w:pPr>
              <w:pStyle w:val="Tabletext1"/>
              <w:ind w:left="0"/>
              <w:rPr>
                <w:noProof/>
              </w:rPr>
            </w:pPr>
            <w:r>
              <w:rPr>
                <w:color w:val="000000"/>
              </w:rPr>
              <w:t>-540,402</w:t>
            </w:r>
          </w:p>
        </w:tc>
        <w:tc>
          <w:tcPr>
            <w:tcW w:w="1400" w:type="dxa"/>
            <w:vAlign w:val="center"/>
          </w:tcPr>
          <w:p w14:paraId="13F2F3AE" w14:textId="77777777" w:rsidR="00387E51" w:rsidRPr="00363E4B" w:rsidRDefault="00387E51" w:rsidP="004A6D22">
            <w:pPr>
              <w:pStyle w:val="Tabletext1"/>
              <w:ind w:left="0"/>
              <w:rPr>
                <w:noProof/>
              </w:rPr>
            </w:pPr>
            <w:r>
              <w:rPr>
                <w:color w:val="000000"/>
              </w:rPr>
              <w:t>-1,108,597</w:t>
            </w:r>
          </w:p>
        </w:tc>
        <w:tc>
          <w:tcPr>
            <w:tcW w:w="1400" w:type="dxa"/>
            <w:vAlign w:val="center"/>
          </w:tcPr>
          <w:p w14:paraId="6A7B2836" w14:textId="77777777" w:rsidR="00387E51" w:rsidRPr="00363E4B" w:rsidRDefault="00387E51" w:rsidP="004A6D22">
            <w:pPr>
              <w:pStyle w:val="Tabletext1"/>
              <w:ind w:left="0"/>
              <w:rPr>
                <w:noProof/>
              </w:rPr>
            </w:pPr>
            <w:r>
              <w:rPr>
                <w:color w:val="000000"/>
              </w:rPr>
              <w:t>-1,705,985</w:t>
            </w:r>
          </w:p>
        </w:tc>
        <w:tc>
          <w:tcPr>
            <w:tcW w:w="1400" w:type="dxa"/>
            <w:vAlign w:val="center"/>
          </w:tcPr>
          <w:p w14:paraId="11C27CD5" w14:textId="77777777" w:rsidR="00387E51" w:rsidRPr="00363E4B" w:rsidRDefault="00387E51" w:rsidP="004A6D22">
            <w:pPr>
              <w:pStyle w:val="Tabletext1"/>
              <w:ind w:left="0"/>
              <w:rPr>
                <w:noProof/>
              </w:rPr>
            </w:pPr>
            <w:r>
              <w:rPr>
                <w:color w:val="000000"/>
              </w:rPr>
              <w:t>-2,334,039</w:t>
            </w:r>
          </w:p>
        </w:tc>
        <w:tc>
          <w:tcPr>
            <w:tcW w:w="1400" w:type="dxa"/>
            <w:vAlign w:val="center"/>
          </w:tcPr>
          <w:p w14:paraId="6D3BA95B" w14:textId="77777777" w:rsidR="00387E51" w:rsidRPr="00363E4B" w:rsidRDefault="00387E51" w:rsidP="004A6D22">
            <w:pPr>
              <w:pStyle w:val="Tabletext1"/>
              <w:ind w:left="0"/>
              <w:rPr>
                <w:noProof/>
              </w:rPr>
            </w:pPr>
            <w:r>
              <w:rPr>
                <w:color w:val="000000"/>
              </w:rPr>
              <w:t>-2,994,309</w:t>
            </w:r>
          </w:p>
        </w:tc>
      </w:tr>
      <w:tr w:rsidR="00387E51" w:rsidRPr="00BC4A30" w14:paraId="72C48C81" w14:textId="77777777" w:rsidTr="008043DF">
        <w:trPr>
          <w:cantSplit/>
          <w:trHeight w:val="354"/>
          <w:jc w:val="center"/>
        </w:trPr>
        <w:tc>
          <w:tcPr>
            <w:tcW w:w="2145" w:type="dxa"/>
            <w:tcBorders>
              <w:bottom w:val="single" w:sz="4" w:space="0" w:color="auto"/>
            </w:tcBorders>
          </w:tcPr>
          <w:p w14:paraId="49B61C29" w14:textId="77777777" w:rsidR="00387E51" w:rsidRPr="00363E4B" w:rsidRDefault="00387E51" w:rsidP="004A6D22">
            <w:pPr>
              <w:pStyle w:val="Tabletext1"/>
              <w:ind w:left="0"/>
              <w:rPr>
                <w:noProof/>
              </w:rPr>
            </w:pPr>
            <w:r w:rsidRPr="00363E4B">
              <w:rPr>
                <w:noProof/>
              </w:rPr>
              <w:t>Total costs to private and hospitals</w:t>
            </w:r>
          </w:p>
        </w:tc>
        <w:tc>
          <w:tcPr>
            <w:tcW w:w="1400" w:type="dxa"/>
            <w:tcBorders>
              <w:bottom w:val="single" w:sz="4" w:space="0" w:color="auto"/>
            </w:tcBorders>
            <w:vAlign w:val="center"/>
          </w:tcPr>
          <w:p w14:paraId="6A632590" w14:textId="77777777" w:rsidR="00387E51" w:rsidRPr="00363E4B" w:rsidRDefault="00387E51" w:rsidP="004A6D22">
            <w:pPr>
              <w:pStyle w:val="Tabletext1"/>
              <w:ind w:left="0"/>
              <w:rPr>
                <w:noProof/>
              </w:rPr>
            </w:pPr>
            <w:r>
              <w:rPr>
                <w:color w:val="000000"/>
              </w:rPr>
              <w:t>1,518,353</w:t>
            </w:r>
          </w:p>
        </w:tc>
        <w:tc>
          <w:tcPr>
            <w:tcW w:w="1400" w:type="dxa"/>
            <w:tcBorders>
              <w:bottom w:val="single" w:sz="4" w:space="0" w:color="auto"/>
            </w:tcBorders>
            <w:vAlign w:val="center"/>
          </w:tcPr>
          <w:p w14:paraId="78A4E8E4" w14:textId="77777777" w:rsidR="00387E51" w:rsidRPr="00363E4B" w:rsidRDefault="00387E51" w:rsidP="004A6D22">
            <w:pPr>
              <w:pStyle w:val="Tabletext1"/>
              <w:ind w:left="0"/>
              <w:rPr>
                <w:noProof/>
              </w:rPr>
            </w:pPr>
            <w:r>
              <w:rPr>
                <w:color w:val="000000"/>
              </w:rPr>
              <w:t>3,114,792</w:t>
            </w:r>
          </w:p>
        </w:tc>
        <w:tc>
          <w:tcPr>
            <w:tcW w:w="1400" w:type="dxa"/>
            <w:tcBorders>
              <w:bottom w:val="single" w:sz="4" w:space="0" w:color="auto"/>
            </w:tcBorders>
            <w:vAlign w:val="center"/>
          </w:tcPr>
          <w:p w14:paraId="69875C06" w14:textId="77777777" w:rsidR="00387E51" w:rsidRPr="00363E4B" w:rsidRDefault="00387E51" w:rsidP="004A6D22">
            <w:pPr>
              <w:pStyle w:val="Tabletext1"/>
              <w:ind w:left="0"/>
              <w:rPr>
                <w:noProof/>
              </w:rPr>
            </w:pPr>
            <w:r>
              <w:rPr>
                <w:color w:val="000000"/>
              </w:rPr>
              <w:t>4,793,254</w:t>
            </w:r>
          </w:p>
        </w:tc>
        <w:tc>
          <w:tcPr>
            <w:tcW w:w="1400" w:type="dxa"/>
            <w:tcBorders>
              <w:bottom w:val="single" w:sz="4" w:space="0" w:color="auto"/>
            </w:tcBorders>
            <w:vAlign w:val="center"/>
          </w:tcPr>
          <w:p w14:paraId="08E25349" w14:textId="77777777" w:rsidR="00387E51" w:rsidRPr="00363E4B" w:rsidRDefault="00387E51" w:rsidP="004A6D22">
            <w:pPr>
              <w:pStyle w:val="Tabletext1"/>
              <w:ind w:left="0"/>
              <w:rPr>
                <w:noProof/>
              </w:rPr>
            </w:pPr>
            <w:r>
              <w:rPr>
                <w:color w:val="000000"/>
              </w:rPr>
              <w:t>6,557,878</w:t>
            </w:r>
          </w:p>
        </w:tc>
        <w:tc>
          <w:tcPr>
            <w:tcW w:w="1400" w:type="dxa"/>
            <w:tcBorders>
              <w:bottom w:val="single" w:sz="4" w:space="0" w:color="auto"/>
            </w:tcBorders>
            <w:vAlign w:val="center"/>
          </w:tcPr>
          <w:p w14:paraId="6DA1C9B8" w14:textId="77777777" w:rsidR="00387E51" w:rsidRPr="00363E4B" w:rsidRDefault="00387E51" w:rsidP="004A6D22">
            <w:pPr>
              <w:pStyle w:val="Tabletext1"/>
              <w:ind w:left="0"/>
              <w:rPr>
                <w:noProof/>
              </w:rPr>
            </w:pPr>
            <w:r>
              <w:rPr>
                <w:color w:val="000000"/>
              </w:rPr>
              <w:t>8,413,021</w:t>
            </w:r>
          </w:p>
        </w:tc>
      </w:tr>
      <w:tr w:rsidR="00387E51" w:rsidRPr="00BC4A30" w14:paraId="753CE8C1" w14:textId="77777777" w:rsidTr="008043DF">
        <w:trPr>
          <w:cantSplit/>
          <w:trHeight w:val="354"/>
          <w:jc w:val="center"/>
        </w:trPr>
        <w:tc>
          <w:tcPr>
            <w:tcW w:w="2145" w:type="dxa"/>
            <w:tcBorders>
              <w:left w:val="single" w:sz="4" w:space="0" w:color="auto"/>
              <w:right w:val="nil"/>
            </w:tcBorders>
            <w:shd w:val="clear" w:color="auto" w:fill="D9D9D9" w:themeFill="background1" w:themeFillShade="D9"/>
          </w:tcPr>
          <w:p w14:paraId="794F2A05" w14:textId="77777777" w:rsidR="00387E51" w:rsidRPr="001769B5" w:rsidRDefault="00387E51" w:rsidP="004A6D22">
            <w:pPr>
              <w:pStyle w:val="Tabletext1"/>
              <w:ind w:left="0"/>
              <w:rPr>
                <w:b/>
                <w:noProof/>
              </w:rPr>
            </w:pPr>
            <w:r w:rsidRPr="001769B5">
              <w:rPr>
                <w:b/>
                <w:noProof/>
              </w:rPr>
              <w:t>75% uptake</w:t>
            </w:r>
          </w:p>
        </w:tc>
        <w:tc>
          <w:tcPr>
            <w:tcW w:w="1400" w:type="dxa"/>
            <w:tcBorders>
              <w:left w:val="nil"/>
              <w:right w:val="nil"/>
            </w:tcBorders>
            <w:shd w:val="clear" w:color="auto" w:fill="D9D9D9" w:themeFill="background1" w:themeFillShade="D9"/>
          </w:tcPr>
          <w:p w14:paraId="6D0BF714"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7F129E71"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08554FB6"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4BDFB9EE" w14:textId="77777777" w:rsidR="00387E51" w:rsidRPr="00363E4B" w:rsidRDefault="00387E51" w:rsidP="004A6D22">
            <w:pPr>
              <w:pStyle w:val="Tabletext1"/>
              <w:rPr>
                <w:noProof/>
              </w:rPr>
            </w:pPr>
          </w:p>
        </w:tc>
        <w:tc>
          <w:tcPr>
            <w:tcW w:w="1400" w:type="dxa"/>
            <w:tcBorders>
              <w:left w:val="nil"/>
            </w:tcBorders>
            <w:shd w:val="clear" w:color="auto" w:fill="D9D9D9" w:themeFill="background1" w:themeFillShade="D9"/>
          </w:tcPr>
          <w:p w14:paraId="60ECBDDE" w14:textId="77777777" w:rsidR="00387E51" w:rsidRPr="00363E4B" w:rsidRDefault="00387E51" w:rsidP="004A6D22">
            <w:pPr>
              <w:pStyle w:val="Tabletext1"/>
              <w:rPr>
                <w:noProof/>
              </w:rPr>
            </w:pPr>
          </w:p>
        </w:tc>
      </w:tr>
      <w:tr w:rsidR="00387E51" w:rsidRPr="00BC4A30" w14:paraId="3CF88D68" w14:textId="77777777" w:rsidTr="008043DF">
        <w:trPr>
          <w:cantSplit/>
          <w:trHeight w:val="354"/>
          <w:jc w:val="center"/>
        </w:trPr>
        <w:tc>
          <w:tcPr>
            <w:tcW w:w="2145" w:type="dxa"/>
          </w:tcPr>
          <w:p w14:paraId="3CBA1EA9" w14:textId="50CBF0F0" w:rsidR="00387E51" w:rsidRPr="00363E4B" w:rsidRDefault="00387E51" w:rsidP="004A6D22">
            <w:pPr>
              <w:pStyle w:val="Tabletext1"/>
              <w:ind w:left="0"/>
              <w:rPr>
                <w:noProof/>
              </w:rPr>
            </w:pPr>
            <w:r w:rsidRPr="00363E4B">
              <w:rPr>
                <w:noProof/>
              </w:rPr>
              <w:t>Number of MTA</w:t>
            </w:r>
            <w:r w:rsidR="00E027FA">
              <w:rPr>
                <w:noProof/>
              </w:rPr>
              <w:t xml:space="preserve"> </w:t>
            </w:r>
            <w:r w:rsidRPr="00363E4B">
              <w:rPr>
                <w:noProof/>
              </w:rPr>
              <w:t>procedures per year</w:t>
            </w:r>
          </w:p>
        </w:tc>
        <w:tc>
          <w:tcPr>
            <w:tcW w:w="1400" w:type="dxa"/>
            <w:vAlign w:val="center"/>
          </w:tcPr>
          <w:p w14:paraId="4B371E9F" w14:textId="77777777" w:rsidR="00387E51" w:rsidRPr="00363E4B" w:rsidRDefault="00387E51" w:rsidP="004A6D22">
            <w:pPr>
              <w:pStyle w:val="Tabletext1"/>
              <w:ind w:left="0"/>
              <w:rPr>
                <w:noProof/>
              </w:rPr>
            </w:pPr>
            <w:r>
              <w:rPr>
                <w:color w:val="000000"/>
              </w:rPr>
              <w:t>302</w:t>
            </w:r>
          </w:p>
        </w:tc>
        <w:tc>
          <w:tcPr>
            <w:tcW w:w="1400" w:type="dxa"/>
            <w:vAlign w:val="center"/>
          </w:tcPr>
          <w:p w14:paraId="1C9EA2D0" w14:textId="77777777" w:rsidR="00387E51" w:rsidRPr="00363E4B" w:rsidRDefault="00387E51" w:rsidP="004A6D22">
            <w:pPr>
              <w:pStyle w:val="Tabletext1"/>
              <w:ind w:left="0"/>
              <w:rPr>
                <w:noProof/>
              </w:rPr>
            </w:pPr>
            <w:r>
              <w:rPr>
                <w:color w:val="000000"/>
              </w:rPr>
              <w:t>620</w:t>
            </w:r>
          </w:p>
        </w:tc>
        <w:tc>
          <w:tcPr>
            <w:tcW w:w="1400" w:type="dxa"/>
            <w:vAlign w:val="center"/>
          </w:tcPr>
          <w:p w14:paraId="0CD8D25E" w14:textId="77777777" w:rsidR="00387E51" w:rsidRPr="00363E4B" w:rsidRDefault="00387E51" w:rsidP="004A6D22">
            <w:pPr>
              <w:pStyle w:val="Tabletext1"/>
              <w:ind w:left="0"/>
              <w:rPr>
                <w:noProof/>
              </w:rPr>
            </w:pPr>
            <w:r>
              <w:rPr>
                <w:color w:val="000000"/>
              </w:rPr>
              <w:t>955</w:t>
            </w:r>
          </w:p>
        </w:tc>
        <w:tc>
          <w:tcPr>
            <w:tcW w:w="1400" w:type="dxa"/>
            <w:vAlign w:val="center"/>
          </w:tcPr>
          <w:p w14:paraId="750B1A97" w14:textId="77777777" w:rsidR="00387E51" w:rsidRPr="00363E4B" w:rsidRDefault="00387E51" w:rsidP="004A6D22">
            <w:pPr>
              <w:pStyle w:val="Tabletext1"/>
              <w:ind w:left="0"/>
              <w:rPr>
                <w:noProof/>
              </w:rPr>
            </w:pPr>
            <w:r>
              <w:rPr>
                <w:color w:val="000000"/>
              </w:rPr>
              <w:t>1,306</w:t>
            </w:r>
          </w:p>
        </w:tc>
        <w:tc>
          <w:tcPr>
            <w:tcW w:w="1400" w:type="dxa"/>
            <w:vAlign w:val="center"/>
          </w:tcPr>
          <w:p w14:paraId="460806C5" w14:textId="77777777" w:rsidR="00387E51" w:rsidRPr="00363E4B" w:rsidRDefault="00387E51" w:rsidP="004A6D22">
            <w:pPr>
              <w:pStyle w:val="Tabletext1"/>
              <w:ind w:left="0"/>
              <w:rPr>
                <w:noProof/>
              </w:rPr>
            </w:pPr>
            <w:r>
              <w:rPr>
                <w:color w:val="000000"/>
              </w:rPr>
              <w:t>1,676</w:t>
            </w:r>
          </w:p>
        </w:tc>
      </w:tr>
      <w:tr w:rsidR="00387E51" w:rsidRPr="00BC4A30" w14:paraId="69F6DEEF" w14:textId="77777777" w:rsidTr="008043DF">
        <w:trPr>
          <w:cantSplit/>
          <w:trHeight w:val="354"/>
          <w:jc w:val="center"/>
        </w:trPr>
        <w:tc>
          <w:tcPr>
            <w:tcW w:w="2145" w:type="dxa"/>
          </w:tcPr>
          <w:p w14:paraId="2655A074" w14:textId="77777777" w:rsidR="00387E51" w:rsidRPr="00363E4B" w:rsidRDefault="00387E51" w:rsidP="004A6D22">
            <w:pPr>
              <w:pStyle w:val="Tabletext1"/>
              <w:ind w:left="0"/>
              <w:rPr>
                <w:noProof/>
              </w:rPr>
            </w:pPr>
            <w:r w:rsidRPr="00363E4B">
              <w:rPr>
                <w:noProof/>
              </w:rPr>
              <w:t>Total cost associated to MBS Services</w:t>
            </w:r>
          </w:p>
        </w:tc>
        <w:tc>
          <w:tcPr>
            <w:tcW w:w="1400" w:type="dxa"/>
            <w:vAlign w:val="center"/>
          </w:tcPr>
          <w:p w14:paraId="3DF95B88" w14:textId="77777777" w:rsidR="00387E51" w:rsidRPr="00363E4B" w:rsidRDefault="00387E51" w:rsidP="004A6D22">
            <w:pPr>
              <w:pStyle w:val="Tabletext1"/>
              <w:ind w:left="0"/>
              <w:rPr>
                <w:noProof/>
              </w:rPr>
            </w:pPr>
            <w:r>
              <w:rPr>
                <w:color w:val="000000"/>
              </w:rPr>
              <w:t>-445,832</w:t>
            </w:r>
          </w:p>
        </w:tc>
        <w:tc>
          <w:tcPr>
            <w:tcW w:w="1400" w:type="dxa"/>
            <w:vAlign w:val="center"/>
          </w:tcPr>
          <w:p w14:paraId="22393EA2" w14:textId="77777777" w:rsidR="00387E51" w:rsidRPr="00363E4B" w:rsidRDefault="00387E51" w:rsidP="004A6D22">
            <w:pPr>
              <w:pStyle w:val="Tabletext1"/>
              <w:ind w:left="0"/>
              <w:rPr>
                <w:noProof/>
              </w:rPr>
            </w:pPr>
            <w:r>
              <w:rPr>
                <w:color w:val="000000"/>
              </w:rPr>
              <w:t>-914,593</w:t>
            </w:r>
          </w:p>
        </w:tc>
        <w:tc>
          <w:tcPr>
            <w:tcW w:w="1400" w:type="dxa"/>
            <w:vAlign w:val="center"/>
          </w:tcPr>
          <w:p w14:paraId="0924989C" w14:textId="77777777" w:rsidR="00387E51" w:rsidRPr="00363E4B" w:rsidRDefault="00387E51" w:rsidP="004A6D22">
            <w:pPr>
              <w:pStyle w:val="Tabletext1"/>
              <w:ind w:left="0"/>
              <w:rPr>
                <w:noProof/>
              </w:rPr>
            </w:pPr>
            <w:r>
              <w:rPr>
                <w:color w:val="000000"/>
              </w:rPr>
              <w:t>-1,407,437</w:t>
            </w:r>
          </w:p>
        </w:tc>
        <w:tc>
          <w:tcPr>
            <w:tcW w:w="1400" w:type="dxa"/>
            <w:vAlign w:val="center"/>
          </w:tcPr>
          <w:p w14:paraId="5BFF3E49" w14:textId="77777777" w:rsidR="00387E51" w:rsidRPr="00363E4B" w:rsidRDefault="00387E51" w:rsidP="004A6D22">
            <w:pPr>
              <w:pStyle w:val="Tabletext1"/>
              <w:ind w:left="0"/>
              <w:rPr>
                <w:noProof/>
              </w:rPr>
            </w:pPr>
            <w:r>
              <w:rPr>
                <w:color w:val="000000"/>
              </w:rPr>
              <w:t>-1,925,582</w:t>
            </w:r>
          </w:p>
        </w:tc>
        <w:tc>
          <w:tcPr>
            <w:tcW w:w="1400" w:type="dxa"/>
            <w:vAlign w:val="center"/>
          </w:tcPr>
          <w:p w14:paraId="6A055766" w14:textId="77777777" w:rsidR="00387E51" w:rsidRPr="00363E4B" w:rsidRDefault="00387E51" w:rsidP="004A6D22">
            <w:pPr>
              <w:pStyle w:val="Tabletext1"/>
              <w:ind w:left="0"/>
              <w:rPr>
                <w:noProof/>
              </w:rPr>
            </w:pPr>
            <w:r>
              <w:rPr>
                <w:color w:val="000000"/>
              </w:rPr>
              <w:t>-2,470,305</w:t>
            </w:r>
          </w:p>
        </w:tc>
      </w:tr>
      <w:tr w:rsidR="00387E51" w:rsidRPr="00BC4A30" w14:paraId="1D4B2F27" w14:textId="77777777" w:rsidTr="008043DF">
        <w:trPr>
          <w:cantSplit/>
          <w:trHeight w:val="354"/>
          <w:jc w:val="center"/>
        </w:trPr>
        <w:tc>
          <w:tcPr>
            <w:tcW w:w="2145" w:type="dxa"/>
          </w:tcPr>
          <w:p w14:paraId="3ED372D5" w14:textId="77777777" w:rsidR="00387E51" w:rsidRPr="00363E4B" w:rsidRDefault="00387E51" w:rsidP="004A6D22">
            <w:pPr>
              <w:pStyle w:val="Tabletext1"/>
              <w:ind w:left="0"/>
              <w:rPr>
                <w:noProof/>
              </w:rPr>
            </w:pPr>
            <w:r w:rsidRPr="00363E4B">
              <w:rPr>
                <w:noProof/>
              </w:rPr>
              <w:t>Total costs to private and hospitals</w:t>
            </w:r>
          </w:p>
        </w:tc>
        <w:tc>
          <w:tcPr>
            <w:tcW w:w="1400" w:type="dxa"/>
            <w:tcBorders>
              <w:bottom w:val="single" w:sz="4" w:space="0" w:color="auto"/>
            </w:tcBorders>
            <w:vAlign w:val="center"/>
          </w:tcPr>
          <w:p w14:paraId="50E92075" w14:textId="77777777" w:rsidR="00387E51" w:rsidRPr="00363E4B" w:rsidRDefault="00387E51" w:rsidP="004A6D22">
            <w:pPr>
              <w:pStyle w:val="Tabletext1"/>
              <w:ind w:left="0"/>
              <w:rPr>
                <w:noProof/>
              </w:rPr>
            </w:pPr>
            <w:r>
              <w:rPr>
                <w:color w:val="000000"/>
              </w:rPr>
              <w:t>1,252,641</w:t>
            </w:r>
          </w:p>
        </w:tc>
        <w:tc>
          <w:tcPr>
            <w:tcW w:w="1400" w:type="dxa"/>
            <w:tcBorders>
              <w:bottom w:val="single" w:sz="4" w:space="0" w:color="auto"/>
            </w:tcBorders>
            <w:vAlign w:val="center"/>
          </w:tcPr>
          <w:p w14:paraId="1A8F027F" w14:textId="77777777" w:rsidR="00387E51" w:rsidRPr="00363E4B" w:rsidRDefault="00387E51" w:rsidP="004A6D22">
            <w:pPr>
              <w:pStyle w:val="Tabletext1"/>
              <w:ind w:left="0"/>
              <w:rPr>
                <w:noProof/>
              </w:rPr>
            </w:pPr>
            <w:r>
              <w:rPr>
                <w:color w:val="000000"/>
              </w:rPr>
              <w:t>2,569,703</w:t>
            </w:r>
          </w:p>
        </w:tc>
        <w:tc>
          <w:tcPr>
            <w:tcW w:w="1400" w:type="dxa"/>
            <w:tcBorders>
              <w:bottom w:val="single" w:sz="4" w:space="0" w:color="auto"/>
            </w:tcBorders>
            <w:vAlign w:val="center"/>
          </w:tcPr>
          <w:p w14:paraId="7B5F7B61" w14:textId="77777777" w:rsidR="00387E51" w:rsidRPr="00363E4B" w:rsidRDefault="00387E51" w:rsidP="004A6D22">
            <w:pPr>
              <w:pStyle w:val="Tabletext1"/>
              <w:ind w:left="0"/>
              <w:rPr>
                <w:noProof/>
              </w:rPr>
            </w:pPr>
            <w:r>
              <w:rPr>
                <w:color w:val="000000"/>
              </w:rPr>
              <w:t>3,954,434</w:t>
            </w:r>
          </w:p>
        </w:tc>
        <w:tc>
          <w:tcPr>
            <w:tcW w:w="1400" w:type="dxa"/>
            <w:tcBorders>
              <w:bottom w:val="single" w:sz="4" w:space="0" w:color="auto"/>
            </w:tcBorders>
            <w:vAlign w:val="center"/>
          </w:tcPr>
          <w:p w14:paraId="190D2FC0" w14:textId="77777777" w:rsidR="00387E51" w:rsidRPr="00363E4B" w:rsidRDefault="00387E51" w:rsidP="004A6D22">
            <w:pPr>
              <w:pStyle w:val="Tabletext1"/>
              <w:ind w:left="0"/>
              <w:rPr>
                <w:noProof/>
              </w:rPr>
            </w:pPr>
            <w:r>
              <w:rPr>
                <w:color w:val="000000"/>
              </w:rPr>
              <w:t>5,410,250</w:t>
            </w:r>
          </w:p>
        </w:tc>
        <w:tc>
          <w:tcPr>
            <w:tcW w:w="1400" w:type="dxa"/>
            <w:tcBorders>
              <w:bottom w:val="single" w:sz="4" w:space="0" w:color="auto"/>
            </w:tcBorders>
            <w:vAlign w:val="center"/>
          </w:tcPr>
          <w:p w14:paraId="29EDA7CD" w14:textId="77777777" w:rsidR="00387E51" w:rsidRPr="00363E4B" w:rsidRDefault="00387E51" w:rsidP="004A6D22">
            <w:pPr>
              <w:pStyle w:val="Tabletext1"/>
              <w:ind w:left="0"/>
              <w:rPr>
                <w:noProof/>
              </w:rPr>
            </w:pPr>
            <w:r>
              <w:rPr>
                <w:color w:val="000000"/>
              </w:rPr>
              <w:t>6,940,742</w:t>
            </w:r>
          </w:p>
        </w:tc>
      </w:tr>
      <w:tr w:rsidR="00387E51" w:rsidRPr="00BC4A30" w14:paraId="06753A81" w14:textId="77777777" w:rsidTr="008043DF">
        <w:trPr>
          <w:cantSplit/>
          <w:trHeight w:val="354"/>
          <w:jc w:val="center"/>
        </w:trPr>
        <w:tc>
          <w:tcPr>
            <w:tcW w:w="2145" w:type="dxa"/>
            <w:tcBorders>
              <w:right w:val="nil"/>
            </w:tcBorders>
            <w:shd w:val="clear" w:color="auto" w:fill="D9D9D9" w:themeFill="background1" w:themeFillShade="D9"/>
          </w:tcPr>
          <w:p w14:paraId="685CB02D" w14:textId="77777777" w:rsidR="00387E51" w:rsidRPr="001769B5" w:rsidRDefault="00387E51" w:rsidP="004A6D22">
            <w:pPr>
              <w:pStyle w:val="Tabletext1"/>
              <w:ind w:left="0"/>
              <w:rPr>
                <w:b/>
                <w:noProof/>
              </w:rPr>
            </w:pPr>
            <w:r w:rsidRPr="001769B5">
              <w:rPr>
                <w:b/>
                <w:noProof/>
              </w:rPr>
              <w:t>Adverse events</w:t>
            </w:r>
          </w:p>
        </w:tc>
        <w:tc>
          <w:tcPr>
            <w:tcW w:w="1400" w:type="dxa"/>
            <w:tcBorders>
              <w:left w:val="nil"/>
              <w:right w:val="nil"/>
            </w:tcBorders>
            <w:shd w:val="clear" w:color="auto" w:fill="D9D9D9" w:themeFill="background1" w:themeFillShade="D9"/>
          </w:tcPr>
          <w:p w14:paraId="46DF935A"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0A24B7D8"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3DAD8C45" w14:textId="77777777" w:rsidR="00387E51" w:rsidRPr="00363E4B" w:rsidRDefault="00387E51" w:rsidP="004A6D22">
            <w:pPr>
              <w:pStyle w:val="Tabletext1"/>
              <w:rPr>
                <w:noProof/>
              </w:rPr>
            </w:pPr>
          </w:p>
        </w:tc>
        <w:tc>
          <w:tcPr>
            <w:tcW w:w="1400" w:type="dxa"/>
            <w:tcBorders>
              <w:left w:val="nil"/>
              <w:right w:val="nil"/>
            </w:tcBorders>
            <w:shd w:val="clear" w:color="auto" w:fill="D9D9D9" w:themeFill="background1" w:themeFillShade="D9"/>
          </w:tcPr>
          <w:p w14:paraId="45EB12C0" w14:textId="77777777" w:rsidR="00387E51" w:rsidRPr="00363E4B" w:rsidRDefault="00387E51" w:rsidP="004A6D22">
            <w:pPr>
              <w:pStyle w:val="Tabletext1"/>
              <w:rPr>
                <w:noProof/>
              </w:rPr>
            </w:pPr>
          </w:p>
        </w:tc>
        <w:tc>
          <w:tcPr>
            <w:tcW w:w="1400" w:type="dxa"/>
            <w:tcBorders>
              <w:left w:val="nil"/>
            </w:tcBorders>
            <w:shd w:val="clear" w:color="auto" w:fill="D9D9D9" w:themeFill="background1" w:themeFillShade="D9"/>
          </w:tcPr>
          <w:p w14:paraId="663B27DD" w14:textId="77777777" w:rsidR="00387E51" w:rsidRPr="00363E4B" w:rsidRDefault="00387E51" w:rsidP="004A6D22">
            <w:pPr>
              <w:pStyle w:val="Tabletext1"/>
              <w:rPr>
                <w:noProof/>
              </w:rPr>
            </w:pPr>
          </w:p>
        </w:tc>
      </w:tr>
      <w:tr w:rsidR="00387E51" w:rsidRPr="00BC4A30" w14:paraId="20C418EF" w14:textId="77777777" w:rsidTr="008043DF">
        <w:trPr>
          <w:cantSplit/>
          <w:trHeight w:val="354"/>
          <w:jc w:val="center"/>
        </w:trPr>
        <w:tc>
          <w:tcPr>
            <w:tcW w:w="2145" w:type="dxa"/>
          </w:tcPr>
          <w:p w14:paraId="5A522BF2" w14:textId="77777777" w:rsidR="00387E51" w:rsidRPr="00363E4B" w:rsidRDefault="00387E51" w:rsidP="004A6D22">
            <w:pPr>
              <w:pStyle w:val="Tabletext1"/>
              <w:ind w:left="0"/>
              <w:rPr>
                <w:noProof/>
              </w:rPr>
            </w:pPr>
            <w:r w:rsidRPr="00363E4B">
              <w:rPr>
                <w:noProof/>
              </w:rPr>
              <w:t>Number of MTA</w:t>
            </w:r>
            <w:r>
              <w:rPr>
                <w:noProof/>
              </w:rPr>
              <w:t xml:space="preserve"> </w:t>
            </w:r>
            <w:r w:rsidRPr="00363E4B">
              <w:rPr>
                <w:noProof/>
              </w:rPr>
              <w:t>procedures per year</w:t>
            </w:r>
          </w:p>
        </w:tc>
        <w:tc>
          <w:tcPr>
            <w:tcW w:w="1400" w:type="dxa"/>
            <w:vAlign w:val="center"/>
          </w:tcPr>
          <w:p w14:paraId="1D6CCEE3" w14:textId="77777777" w:rsidR="00387E51" w:rsidRPr="00363E4B" w:rsidRDefault="00387E51" w:rsidP="004A6D22">
            <w:pPr>
              <w:pStyle w:val="Tabletext1"/>
              <w:ind w:left="0"/>
              <w:rPr>
                <w:noProof/>
              </w:rPr>
            </w:pPr>
            <w:r>
              <w:rPr>
                <w:color w:val="000000"/>
              </w:rPr>
              <w:t>202</w:t>
            </w:r>
          </w:p>
        </w:tc>
        <w:tc>
          <w:tcPr>
            <w:tcW w:w="1400" w:type="dxa"/>
            <w:vAlign w:val="center"/>
          </w:tcPr>
          <w:p w14:paraId="7249AA7C" w14:textId="77777777" w:rsidR="00387E51" w:rsidRPr="00363E4B" w:rsidRDefault="00387E51" w:rsidP="004A6D22">
            <w:pPr>
              <w:pStyle w:val="Tabletext1"/>
              <w:ind w:left="0"/>
              <w:rPr>
                <w:noProof/>
              </w:rPr>
            </w:pPr>
            <w:r>
              <w:rPr>
                <w:color w:val="000000"/>
              </w:rPr>
              <w:t>414</w:t>
            </w:r>
          </w:p>
        </w:tc>
        <w:tc>
          <w:tcPr>
            <w:tcW w:w="1400" w:type="dxa"/>
            <w:vAlign w:val="center"/>
          </w:tcPr>
          <w:p w14:paraId="0F1E56F4" w14:textId="77777777" w:rsidR="00387E51" w:rsidRPr="00363E4B" w:rsidRDefault="00387E51" w:rsidP="004A6D22">
            <w:pPr>
              <w:pStyle w:val="Tabletext1"/>
              <w:ind w:left="0"/>
              <w:rPr>
                <w:noProof/>
              </w:rPr>
            </w:pPr>
            <w:r>
              <w:rPr>
                <w:color w:val="000000"/>
              </w:rPr>
              <w:t>636</w:t>
            </w:r>
          </w:p>
        </w:tc>
        <w:tc>
          <w:tcPr>
            <w:tcW w:w="1400" w:type="dxa"/>
            <w:vAlign w:val="center"/>
          </w:tcPr>
          <w:p w14:paraId="19FA8484" w14:textId="77777777" w:rsidR="00387E51" w:rsidRPr="00363E4B" w:rsidRDefault="00387E51" w:rsidP="004A6D22">
            <w:pPr>
              <w:pStyle w:val="Tabletext1"/>
              <w:ind w:left="0"/>
              <w:rPr>
                <w:noProof/>
              </w:rPr>
            </w:pPr>
            <w:r>
              <w:rPr>
                <w:color w:val="000000"/>
              </w:rPr>
              <w:t>871</w:t>
            </w:r>
          </w:p>
        </w:tc>
        <w:tc>
          <w:tcPr>
            <w:tcW w:w="1400" w:type="dxa"/>
            <w:vAlign w:val="center"/>
          </w:tcPr>
          <w:p w14:paraId="3ABA866F" w14:textId="77777777" w:rsidR="00387E51" w:rsidRPr="00363E4B" w:rsidRDefault="00387E51" w:rsidP="004A6D22">
            <w:pPr>
              <w:pStyle w:val="Tabletext1"/>
              <w:ind w:left="0"/>
              <w:rPr>
                <w:noProof/>
              </w:rPr>
            </w:pPr>
            <w:r>
              <w:rPr>
                <w:color w:val="000000"/>
              </w:rPr>
              <w:t>1,117</w:t>
            </w:r>
          </w:p>
        </w:tc>
      </w:tr>
      <w:tr w:rsidR="00387E51" w:rsidRPr="00BC4A30" w14:paraId="603BA66D" w14:textId="77777777" w:rsidTr="008043DF">
        <w:trPr>
          <w:cantSplit/>
          <w:trHeight w:val="354"/>
          <w:jc w:val="center"/>
        </w:trPr>
        <w:tc>
          <w:tcPr>
            <w:tcW w:w="2145" w:type="dxa"/>
          </w:tcPr>
          <w:p w14:paraId="1DFD3CAD" w14:textId="77777777" w:rsidR="00387E51" w:rsidRPr="00363E4B" w:rsidRDefault="00387E51" w:rsidP="004A6D22">
            <w:pPr>
              <w:pStyle w:val="Tabletext1"/>
              <w:ind w:left="0"/>
              <w:rPr>
                <w:noProof/>
              </w:rPr>
            </w:pPr>
            <w:r w:rsidRPr="00363E4B">
              <w:rPr>
                <w:noProof/>
              </w:rPr>
              <w:t>Total cost associated to MBS Services</w:t>
            </w:r>
          </w:p>
        </w:tc>
        <w:tc>
          <w:tcPr>
            <w:tcW w:w="1400" w:type="dxa"/>
            <w:vAlign w:val="center"/>
          </w:tcPr>
          <w:p w14:paraId="170D8700" w14:textId="77777777" w:rsidR="00387E51" w:rsidRPr="00363E4B" w:rsidRDefault="00387E51" w:rsidP="004A6D22">
            <w:pPr>
              <w:pStyle w:val="Tabletext1"/>
              <w:ind w:left="0"/>
              <w:rPr>
                <w:noProof/>
              </w:rPr>
            </w:pPr>
            <w:r>
              <w:rPr>
                <w:color w:val="000000"/>
              </w:rPr>
              <w:t>-251,969</w:t>
            </w:r>
          </w:p>
        </w:tc>
        <w:tc>
          <w:tcPr>
            <w:tcW w:w="1400" w:type="dxa"/>
            <w:vAlign w:val="center"/>
          </w:tcPr>
          <w:p w14:paraId="7D00CFC8" w14:textId="77777777" w:rsidR="00387E51" w:rsidRPr="00363E4B" w:rsidRDefault="00387E51" w:rsidP="004A6D22">
            <w:pPr>
              <w:pStyle w:val="Tabletext1"/>
              <w:ind w:left="0"/>
              <w:rPr>
                <w:noProof/>
              </w:rPr>
            </w:pPr>
            <w:r>
              <w:rPr>
                <w:color w:val="000000"/>
              </w:rPr>
              <w:t>-516,897</w:t>
            </w:r>
          </w:p>
        </w:tc>
        <w:tc>
          <w:tcPr>
            <w:tcW w:w="1400" w:type="dxa"/>
            <w:vAlign w:val="center"/>
          </w:tcPr>
          <w:p w14:paraId="2330221F" w14:textId="77777777" w:rsidR="00387E51" w:rsidRPr="00363E4B" w:rsidRDefault="00387E51" w:rsidP="004A6D22">
            <w:pPr>
              <w:pStyle w:val="Tabletext1"/>
              <w:ind w:left="0"/>
              <w:rPr>
                <w:noProof/>
              </w:rPr>
            </w:pPr>
            <w:r>
              <w:rPr>
                <w:color w:val="000000"/>
              </w:rPr>
              <w:t>-795,436</w:t>
            </w:r>
          </w:p>
        </w:tc>
        <w:tc>
          <w:tcPr>
            <w:tcW w:w="1400" w:type="dxa"/>
            <w:vAlign w:val="center"/>
          </w:tcPr>
          <w:p w14:paraId="0899B97C" w14:textId="77777777" w:rsidR="00387E51" w:rsidRPr="00363E4B" w:rsidRDefault="00387E51" w:rsidP="004A6D22">
            <w:pPr>
              <w:pStyle w:val="Tabletext1"/>
              <w:ind w:left="0"/>
              <w:rPr>
                <w:noProof/>
              </w:rPr>
            </w:pPr>
            <w:r>
              <w:rPr>
                <w:color w:val="000000"/>
              </w:rPr>
              <w:t>-1,088,274</w:t>
            </w:r>
          </w:p>
        </w:tc>
        <w:tc>
          <w:tcPr>
            <w:tcW w:w="1400" w:type="dxa"/>
            <w:vAlign w:val="center"/>
          </w:tcPr>
          <w:p w14:paraId="0C6D82B2" w14:textId="77777777" w:rsidR="00387E51" w:rsidRPr="00363E4B" w:rsidRDefault="00387E51" w:rsidP="004A6D22">
            <w:pPr>
              <w:pStyle w:val="Tabletext1"/>
              <w:ind w:left="0"/>
              <w:rPr>
                <w:noProof/>
              </w:rPr>
            </w:pPr>
            <w:r>
              <w:rPr>
                <w:color w:val="000000"/>
              </w:rPr>
              <w:t>-1,396,133</w:t>
            </w:r>
          </w:p>
        </w:tc>
      </w:tr>
      <w:tr w:rsidR="00387E51" w:rsidRPr="00BC4A30" w14:paraId="16108D45" w14:textId="77777777" w:rsidTr="008043DF">
        <w:trPr>
          <w:cantSplit/>
          <w:trHeight w:val="354"/>
          <w:jc w:val="center"/>
        </w:trPr>
        <w:tc>
          <w:tcPr>
            <w:tcW w:w="2145" w:type="dxa"/>
          </w:tcPr>
          <w:p w14:paraId="6B6C938A" w14:textId="77777777" w:rsidR="00387E51" w:rsidRPr="00363E4B" w:rsidRDefault="00387E51" w:rsidP="004A6D22">
            <w:pPr>
              <w:pStyle w:val="Tabletext1"/>
              <w:ind w:left="0"/>
              <w:rPr>
                <w:noProof/>
              </w:rPr>
            </w:pPr>
            <w:r w:rsidRPr="00363E4B">
              <w:rPr>
                <w:noProof/>
              </w:rPr>
              <w:t>Total costs to private and hospitals</w:t>
            </w:r>
          </w:p>
        </w:tc>
        <w:tc>
          <w:tcPr>
            <w:tcW w:w="1400" w:type="dxa"/>
            <w:vAlign w:val="center"/>
          </w:tcPr>
          <w:p w14:paraId="3F64FD35" w14:textId="77777777" w:rsidR="00387E51" w:rsidRPr="00363E4B" w:rsidRDefault="00387E51" w:rsidP="004A6D22">
            <w:pPr>
              <w:pStyle w:val="Tabletext1"/>
              <w:ind w:left="0"/>
              <w:rPr>
                <w:noProof/>
              </w:rPr>
            </w:pPr>
            <w:r>
              <w:rPr>
                <w:color w:val="000000"/>
              </w:rPr>
              <w:t>940,682</w:t>
            </w:r>
          </w:p>
        </w:tc>
        <w:tc>
          <w:tcPr>
            <w:tcW w:w="1400" w:type="dxa"/>
            <w:vAlign w:val="center"/>
          </w:tcPr>
          <w:p w14:paraId="2052BFA2" w14:textId="77777777" w:rsidR="00387E51" w:rsidRPr="00363E4B" w:rsidRDefault="00387E51" w:rsidP="004A6D22">
            <w:pPr>
              <w:pStyle w:val="Tabletext1"/>
              <w:ind w:left="0"/>
              <w:rPr>
                <w:noProof/>
              </w:rPr>
            </w:pPr>
            <w:r>
              <w:rPr>
                <w:color w:val="000000"/>
              </w:rPr>
              <w:t>1,929,743</w:t>
            </w:r>
          </w:p>
        </w:tc>
        <w:tc>
          <w:tcPr>
            <w:tcW w:w="1400" w:type="dxa"/>
            <w:vAlign w:val="center"/>
          </w:tcPr>
          <w:p w14:paraId="218E7A7A" w14:textId="77777777" w:rsidR="00387E51" w:rsidRPr="00363E4B" w:rsidRDefault="00387E51" w:rsidP="004A6D22">
            <w:pPr>
              <w:pStyle w:val="Tabletext1"/>
              <w:ind w:left="0"/>
              <w:rPr>
                <w:noProof/>
              </w:rPr>
            </w:pPr>
            <w:r>
              <w:rPr>
                <w:color w:val="000000"/>
              </w:rPr>
              <w:t>2,969,619</w:t>
            </w:r>
          </w:p>
        </w:tc>
        <w:tc>
          <w:tcPr>
            <w:tcW w:w="1400" w:type="dxa"/>
            <w:vAlign w:val="center"/>
          </w:tcPr>
          <w:p w14:paraId="71FD5EE1" w14:textId="77777777" w:rsidR="00387E51" w:rsidRPr="00363E4B" w:rsidRDefault="00387E51" w:rsidP="004A6D22">
            <w:pPr>
              <w:pStyle w:val="Tabletext1"/>
              <w:ind w:left="0"/>
              <w:rPr>
                <w:noProof/>
              </w:rPr>
            </w:pPr>
            <w:r>
              <w:rPr>
                <w:color w:val="000000"/>
              </w:rPr>
              <w:t>4,062,878</w:t>
            </w:r>
          </w:p>
        </w:tc>
        <w:tc>
          <w:tcPr>
            <w:tcW w:w="1400" w:type="dxa"/>
            <w:vAlign w:val="center"/>
          </w:tcPr>
          <w:p w14:paraId="202DBF4C" w14:textId="77777777" w:rsidR="00387E51" w:rsidRPr="00363E4B" w:rsidRDefault="00387E51" w:rsidP="004A6D22">
            <w:pPr>
              <w:pStyle w:val="Tabletext1"/>
              <w:ind w:left="0"/>
              <w:rPr>
                <w:noProof/>
              </w:rPr>
            </w:pPr>
            <w:r>
              <w:rPr>
                <w:color w:val="000000"/>
              </w:rPr>
              <w:t>5,212,215</w:t>
            </w:r>
          </w:p>
        </w:tc>
      </w:tr>
    </w:tbl>
    <w:p w14:paraId="14084E8F" w14:textId="3AE7017A" w:rsidR="00611702" w:rsidRPr="00BC4A30" w:rsidRDefault="0041376F" w:rsidP="0041376F">
      <w:pPr>
        <w:pStyle w:val="Tablenotes0"/>
      </w:pPr>
      <w:r>
        <w:t>&lt;</w:t>
      </w:r>
      <w:r w:rsidR="000245FC">
        <w:t xml:space="preserve"> </w:t>
      </w:r>
      <w:r w:rsidR="00A405EC" w:rsidRPr="00BC4A30">
        <w:t>MBS= Medicare benefits schedule; MTA= microwave tissue ablation</w:t>
      </w:r>
      <w:r w:rsidR="00E027FA">
        <w:t>; NSCLC = non=small cell lung cancer</w:t>
      </w:r>
      <w:r w:rsidR="000245FC">
        <w:t xml:space="preserve"> </w:t>
      </w:r>
      <w:r>
        <w:t>&gt;</w:t>
      </w:r>
    </w:p>
    <w:p w14:paraId="1DBA8A29" w14:textId="77777777" w:rsidR="00A405EC" w:rsidRPr="00BC4A30" w:rsidRDefault="00A405EC" w:rsidP="00A405EC">
      <w:pPr>
        <w:spacing w:after="0"/>
        <w:rPr>
          <w:rFonts w:ascii="Arial Narrow" w:hAnsi="Arial Narrow" w:cstheme="minorBidi"/>
          <w:sz w:val="18"/>
          <w:szCs w:val="18"/>
          <w:lang w:eastAsia="en-US"/>
        </w:rPr>
      </w:pPr>
    </w:p>
    <w:p w14:paraId="185301F1" w14:textId="77777777" w:rsidR="005D555A" w:rsidRDefault="005D555A" w:rsidP="005D0B1E"/>
    <w:p w14:paraId="437E331F" w14:textId="77777777" w:rsidR="00611702" w:rsidRPr="00FF1FBB" w:rsidRDefault="005D555A" w:rsidP="00205329">
      <w:pPr>
        <w:pStyle w:val="Heading1"/>
      </w:pPr>
      <w:bookmarkStart w:id="461" w:name="_Toc460396095"/>
      <w:r w:rsidRPr="00FF1FBB">
        <w:lastRenderedPageBreak/>
        <w:t>Section F</w:t>
      </w:r>
      <w:r w:rsidR="00FF1FBB">
        <w:tab/>
        <w:t>Other Relevant Considerations</w:t>
      </w:r>
      <w:bookmarkEnd w:id="461"/>
    </w:p>
    <w:p w14:paraId="5B7C0B6B" w14:textId="77777777" w:rsidR="00FE7A78" w:rsidRPr="00124BB7" w:rsidRDefault="00FD0D60" w:rsidP="00205329">
      <w:pPr>
        <w:pStyle w:val="Heading2"/>
      </w:pPr>
      <w:bookmarkStart w:id="462" w:name="_Toc460396096"/>
      <w:r>
        <w:t>RFA</w:t>
      </w:r>
      <w:r w:rsidR="00FE7A78">
        <w:t xml:space="preserve"> plus </w:t>
      </w:r>
      <w:r w:rsidR="00205329">
        <w:t>radiotherapy</w:t>
      </w:r>
      <w:r w:rsidR="00FE7A78">
        <w:t xml:space="preserve"> or brachytherapy</w:t>
      </w:r>
      <w:bookmarkEnd w:id="462"/>
    </w:p>
    <w:p w14:paraId="40CEFBEF" w14:textId="7C7728EB" w:rsidR="00FE7A78" w:rsidRDefault="00863D02" w:rsidP="00095E96">
      <w:r>
        <w:t xml:space="preserve">The systematic literature search identified </w:t>
      </w:r>
      <w:r w:rsidR="003A1AB0">
        <w:t>three</w:t>
      </w:r>
      <w:r w:rsidR="00FE7A78">
        <w:t xml:space="preserve"> Level IV </w:t>
      </w:r>
      <w:r w:rsidR="00D6297F">
        <w:t>studies</w:t>
      </w:r>
      <w:r w:rsidR="00DA2F4D">
        <w:t xml:space="preserve"> </w:t>
      </w:r>
      <w:r w:rsidR="00FE7A78">
        <w:t xml:space="preserve">that investigated the combined use of RFA </w:t>
      </w:r>
      <w:r w:rsidR="003A1AB0">
        <w:t>or MTA with</w:t>
      </w:r>
      <w:r w:rsidR="00FE7A78">
        <w:t xml:space="preserve"> radiotherapy </w:t>
      </w:r>
      <w:r w:rsidR="003A1AB0">
        <w:t xml:space="preserve">and/or brachytherapy in patients with inoperable early stage NSCLC </w:t>
      </w:r>
      <w:r w:rsidR="00FE7A78">
        <w:fldChar w:fldCharType="begin">
          <w:fldData xml:space="preserve">PEVuZE5vdGU+PENpdGU+PEF1dGhvcj5EdXB1eTwvQXV0aG9yPjxZZWFyPjIwMDY8L1llYXI+PFJl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</w:fldData>
        </w:fldChar>
      </w:r>
      <w:r w:rsidR="00194054">
        <w:instrText xml:space="preserve"> ADDIN EN.CITE </w:instrText>
      </w:r>
      <w:r w:rsidR="00194054">
        <w:fldChar w:fldCharType="begin">
          <w:fldData xml:space="preserve">PEVuZE5vdGU+PENpdGU+PEF1dGhvcj5EdXB1eTwvQXV0aG9yPjxZZWFyPjIwMDY8L1llYXI+PFJl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</w:fldData>
        </w:fldChar>
      </w:r>
      <w:r w:rsidR="00194054">
        <w:instrText xml:space="preserve"> ADDIN EN.CITE.DATA </w:instrText>
      </w:r>
      <w:r w:rsidR="00194054">
        <w:fldChar w:fldCharType="end"/>
      </w:r>
      <w:r w:rsidR="00FE7A78">
        <w:fldChar w:fldCharType="separate"/>
      </w:r>
      <w:r w:rsidR="003A1AB0">
        <w:rPr>
          <w:noProof/>
        </w:rPr>
        <w:t>(</w:t>
      </w:r>
      <w:hyperlink w:anchor="_ENREF_29" w:tooltip="Chan, 2011 #247" w:history="1">
        <w:r w:rsidR="00320458">
          <w:rPr>
            <w:noProof/>
          </w:rPr>
          <w:t>Chan et al 2011</w:t>
        </w:r>
      </w:hyperlink>
      <w:r w:rsidR="003A1AB0">
        <w:rPr>
          <w:noProof/>
        </w:rPr>
        <w:t xml:space="preserve">; </w:t>
      </w:r>
      <w:hyperlink w:anchor="_ENREF_45" w:tooltip="Dupuy, 2006 #245" w:history="1">
        <w:r w:rsidR="00320458">
          <w:rPr>
            <w:noProof/>
          </w:rPr>
          <w:t>Dupuy et al 2006</w:t>
        </w:r>
      </w:hyperlink>
      <w:r w:rsidR="003A1AB0">
        <w:rPr>
          <w:noProof/>
        </w:rPr>
        <w:t xml:space="preserve">; </w:t>
      </w:r>
      <w:hyperlink w:anchor="_ENREF_59" w:tooltip="Grieco, 2006 #246" w:history="1">
        <w:r w:rsidR="00320458">
          <w:rPr>
            <w:noProof/>
          </w:rPr>
          <w:t>Grieco et al 2006</w:t>
        </w:r>
      </w:hyperlink>
      <w:r w:rsidR="003A1AB0">
        <w:rPr>
          <w:noProof/>
        </w:rPr>
        <w:t>)</w:t>
      </w:r>
      <w:r w:rsidR="00FE7A78">
        <w:fldChar w:fldCharType="end"/>
      </w:r>
      <w:r w:rsidR="00FE7A78">
        <w:t xml:space="preserve">. </w:t>
      </w:r>
      <w:r w:rsidR="00782F13">
        <w:t>While t</w:t>
      </w:r>
      <w:r w:rsidR="00FE7A78">
        <w:t xml:space="preserve">hese studies did not meet the inclusion criteria for </w:t>
      </w:r>
      <w:r w:rsidR="00266349">
        <w:t>t</w:t>
      </w:r>
      <w:r w:rsidR="00782F13">
        <w:t>h</w:t>
      </w:r>
      <w:r w:rsidR="00266349">
        <w:t>is review</w:t>
      </w:r>
      <w:r w:rsidR="00FE7A78">
        <w:t xml:space="preserve">, </w:t>
      </w:r>
      <w:r w:rsidR="00782F13">
        <w:t>they</w:t>
      </w:r>
      <w:r w:rsidR="00FE7A78">
        <w:t xml:space="preserve"> represent plausible scenarios in Australian clinical practice.</w:t>
      </w:r>
      <w:r w:rsidR="003F523B">
        <w:t xml:space="preserve"> </w:t>
      </w:r>
      <w:r w:rsidR="00A0234A">
        <w:t>C</w:t>
      </w:r>
      <w:r w:rsidR="003F523B">
        <w:t xml:space="preserve">ombined RFA plus brachytherapy or radiotherapy </w:t>
      </w:r>
      <w:r w:rsidR="008C3BE6">
        <w:t>resulted in</w:t>
      </w:r>
      <w:r w:rsidR="003F523B">
        <w:t xml:space="preserve"> 2-year </w:t>
      </w:r>
      <w:r w:rsidR="00C6342F">
        <w:t xml:space="preserve">overall </w:t>
      </w:r>
      <w:r w:rsidR="003F523B">
        <w:t xml:space="preserve">survival </w:t>
      </w:r>
      <w:r w:rsidR="00C6342F">
        <w:t xml:space="preserve">rates </w:t>
      </w:r>
      <w:r w:rsidR="003F523B">
        <w:t>of 50</w:t>
      </w:r>
      <w:r w:rsidR="00D35E9C">
        <w:t>–</w:t>
      </w:r>
      <w:r w:rsidR="003F523B">
        <w:t>73% (median 53%)</w:t>
      </w:r>
      <w:r w:rsidR="00C6342F">
        <w:t>.</w:t>
      </w:r>
      <w:r w:rsidR="00FE7A78">
        <w:t xml:space="preserve"> The study characteristics and results of these trials are outlined in </w:t>
      </w:r>
      <w:r w:rsidR="00FE7A78">
        <w:fldChar w:fldCharType="begin"/>
      </w:r>
      <w:r w:rsidR="00FE7A78">
        <w:instrText xml:space="preserve"> REF _Ref458075111 \h </w:instrText>
      </w:r>
      <w:r w:rsidR="00FE7A78">
        <w:fldChar w:fldCharType="separate"/>
      </w:r>
      <w:r w:rsidR="00D170A5">
        <w:t xml:space="preserve">Table </w:t>
      </w:r>
      <w:r w:rsidR="00D170A5">
        <w:rPr>
          <w:noProof/>
        </w:rPr>
        <w:t>89</w:t>
      </w:r>
      <w:r w:rsidR="00FE7A78">
        <w:fldChar w:fldCharType="end"/>
      </w:r>
      <w:r w:rsidR="00FE7A78">
        <w:t>.</w:t>
      </w:r>
      <w:r w:rsidR="005628A6">
        <w:t xml:space="preserve"> </w:t>
      </w:r>
    </w:p>
    <w:p w14:paraId="5FA3E786" w14:textId="77777777" w:rsidR="00FE7A78" w:rsidRDefault="00FE7A78" w:rsidP="00FE7A78">
      <w:pPr>
        <w:pStyle w:val="Caption"/>
        <w:keepNext/>
      </w:pPr>
      <w:bookmarkStart w:id="463" w:name="_Ref458075111"/>
      <w:bookmarkStart w:id="464" w:name="_Toc460514747"/>
      <w:r>
        <w:t xml:space="preserve">Table </w:t>
      </w:r>
      <w:fldSimple w:instr=" SEQ Table \* ARABIC ">
        <w:r w:rsidR="00D170A5">
          <w:rPr>
            <w:noProof/>
          </w:rPr>
          <w:t>89</w:t>
        </w:r>
      </w:fldSimple>
      <w:bookmarkEnd w:id="463"/>
      <w:r>
        <w:tab/>
        <w:t>Studies of RFA plus adjuvant RT or brachytherapy in patients with early stage inoperable NSCLC</w:t>
      </w:r>
      <w:bookmarkEnd w:id="464"/>
    </w:p>
    <w:tbl>
      <w:tblPr>
        <w:tblStyle w:val="TableGrid"/>
        <w:tblW w:w="0" w:type="auto"/>
        <w:tblLayout w:type="fixed"/>
        <w:tblLook w:val="04A0" w:firstRow="1" w:lastRow="0" w:firstColumn="1" w:lastColumn="0" w:noHBand="0" w:noVBand="1"/>
        <w:tblCaption w:val="Studies of RFA plus adjuvant RT or brachytherapy in patients with early stage inoperable NSCLC"/>
      </w:tblPr>
      <w:tblGrid>
        <w:gridCol w:w="1172"/>
        <w:gridCol w:w="2690"/>
        <w:gridCol w:w="2690"/>
        <w:gridCol w:w="2690"/>
      </w:tblGrid>
      <w:tr w:rsidR="00B03E63" w:rsidRPr="00121D0C" w14:paraId="2957A915" w14:textId="77777777" w:rsidTr="001A19BD">
        <w:trPr>
          <w:tblHeader/>
        </w:trPr>
        <w:tc>
          <w:tcPr>
            <w:tcW w:w="1172" w:type="dxa"/>
            <w:shd w:val="clear" w:color="auto" w:fill="D9D9D9" w:themeFill="background1" w:themeFillShade="D9"/>
          </w:tcPr>
          <w:p w14:paraId="2DF5E881" w14:textId="77777777" w:rsidR="00FE7A78" w:rsidRPr="00121D0C" w:rsidRDefault="00FE7A78" w:rsidP="000245FC">
            <w:pPr>
              <w:pStyle w:val="Tabletext1"/>
            </w:pPr>
          </w:p>
        </w:tc>
        <w:tc>
          <w:tcPr>
            <w:tcW w:w="2690" w:type="dxa"/>
            <w:shd w:val="clear" w:color="auto" w:fill="D9D9D9" w:themeFill="background1" w:themeFillShade="D9"/>
          </w:tcPr>
          <w:p w14:paraId="4DE57B1F" w14:textId="508AE784" w:rsidR="00FE7A78" w:rsidRPr="00121D0C" w:rsidRDefault="00FE7A78" w:rsidP="00320458">
            <w:pPr>
              <w:pStyle w:val="Tabletext1"/>
              <w:ind w:left="0"/>
              <w:rPr>
                <w:b/>
              </w:rPr>
            </w:pPr>
            <w:r w:rsidRPr="00121D0C">
              <w:rPr>
                <w:b/>
              </w:rPr>
              <w:t xml:space="preserve">Dupuy et al </w:t>
            </w:r>
            <w:r w:rsidR="000547E2" w:rsidRPr="00121D0C">
              <w:rPr>
                <w:b/>
              </w:rPr>
              <w:fldChar w:fldCharType="begin">
                <w:fldData xml:space="preserve">PEVuZE5vdGU+PENpdGUgRXhjbHVkZUF1dGg9IjEiPjxBdXRob3I+RHVwdXk8L0F1dGhvcj48WWVh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</w:fldData>
              </w:fldChar>
            </w:r>
            <w:r w:rsidR="00194054" w:rsidRPr="00121D0C">
              <w:rPr>
                <w:b/>
              </w:rPr>
              <w:instrText xml:space="preserve"> ADDIN EN.CITE </w:instrText>
            </w:r>
            <w:r w:rsidR="00194054" w:rsidRPr="00121D0C">
              <w:rPr>
                <w:b/>
              </w:rPr>
              <w:fldChar w:fldCharType="begin">
                <w:fldData xml:space="preserve">PEVuZE5vdGU+PENpdGUgRXhjbHVkZUF1dGg9IjEiPjxBdXRob3I+RHVwdXk8L0F1dGhvcj48WWVh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</w:fldData>
              </w:fldChar>
            </w:r>
            <w:r w:rsidR="00194054" w:rsidRPr="00121D0C">
              <w:rPr>
                <w:b/>
              </w:rPr>
              <w:instrText xml:space="preserve"> ADDIN EN.CITE.DATA </w:instrText>
            </w:r>
            <w:r w:rsidR="00194054" w:rsidRPr="00121D0C">
              <w:rPr>
                <w:b/>
              </w:rPr>
            </w:r>
            <w:r w:rsidR="00194054" w:rsidRPr="00121D0C">
              <w:rPr>
                <w:b/>
              </w:rPr>
              <w:fldChar w:fldCharType="end"/>
            </w:r>
            <w:r w:rsidR="000547E2" w:rsidRPr="00121D0C">
              <w:rPr>
                <w:b/>
              </w:rPr>
            </w:r>
            <w:r w:rsidR="000547E2" w:rsidRPr="00121D0C">
              <w:rPr>
                <w:b/>
              </w:rPr>
              <w:fldChar w:fldCharType="separate"/>
            </w:r>
            <w:r w:rsidR="000547E2" w:rsidRPr="00121D0C">
              <w:rPr>
                <w:b/>
                <w:noProof/>
              </w:rPr>
              <w:t>(</w:t>
            </w:r>
            <w:hyperlink w:anchor="_ENREF_45" w:tooltip="Dupuy, 2006 #245" w:history="1">
              <w:r w:rsidR="00320458" w:rsidRPr="00121D0C">
                <w:rPr>
                  <w:b/>
                  <w:noProof/>
                </w:rPr>
                <w:t>2006</w:t>
              </w:r>
            </w:hyperlink>
            <w:r w:rsidR="000547E2" w:rsidRPr="00121D0C">
              <w:rPr>
                <w:b/>
                <w:noProof/>
              </w:rPr>
              <w:t>)</w:t>
            </w:r>
            <w:r w:rsidR="000547E2" w:rsidRPr="00121D0C">
              <w:rPr>
                <w:b/>
              </w:rPr>
              <w:fldChar w:fldCharType="end"/>
            </w:r>
          </w:p>
        </w:tc>
        <w:tc>
          <w:tcPr>
            <w:tcW w:w="2690" w:type="dxa"/>
            <w:shd w:val="clear" w:color="auto" w:fill="D9D9D9" w:themeFill="background1" w:themeFillShade="D9"/>
          </w:tcPr>
          <w:p w14:paraId="77B1416E" w14:textId="3CEB0696" w:rsidR="00FE7A78" w:rsidRPr="00121D0C" w:rsidRDefault="000547E2" w:rsidP="00320458">
            <w:pPr>
              <w:pStyle w:val="Tabletext1"/>
              <w:ind w:left="0"/>
              <w:rPr>
                <w:b/>
              </w:rPr>
            </w:pPr>
            <w:r w:rsidRPr="00121D0C">
              <w:rPr>
                <w:b/>
              </w:rPr>
              <w:t>Gr</w:t>
            </w:r>
            <w:r w:rsidR="00FE7A78" w:rsidRPr="00121D0C">
              <w:rPr>
                <w:b/>
              </w:rPr>
              <w:t>i</w:t>
            </w:r>
            <w:r w:rsidR="00C75733" w:rsidRPr="00121D0C">
              <w:rPr>
                <w:b/>
              </w:rPr>
              <w:t>e</w:t>
            </w:r>
            <w:r w:rsidR="00FE7A78" w:rsidRPr="00121D0C">
              <w:rPr>
                <w:b/>
              </w:rPr>
              <w:t xml:space="preserve">co et al </w:t>
            </w:r>
            <w:r w:rsidRPr="00121D0C">
              <w:rPr>
                <w:b/>
              </w:rPr>
              <w:fldChar w:fldCharType="begin">
                <w:fldData xml:space="preserve">PEVuZE5vdGU+PENpdGUgRXhjbHVkZUF1dGg9IjEiPjxBdXRob3I+R3JpZWNvPC9BdXRob3I+PFll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00194054" w:rsidRPr="00121D0C">
              <w:rPr>
                <w:b/>
              </w:rPr>
              <w:instrText xml:space="preserve"> ADDIN EN.CITE </w:instrText>
            </w:r>
            <w:r w:rsidR="00194054" w:rsidRPr="00121D0C">
              <w:rPr>
                <w:b/>
              </w:rPr>
              <w:fldChar w:fldCharType="begin">
                <w:fldData xml:space="preserve">PEVuZE5vdGU+PENpdGUgRXhjbHVkZUF1dGg9IjEiPjxBdXRob3I+R3JpZWNvPC9BdXRob3I+PFll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00194054" w:rsidRPr="00121D0C">
              <w:rPr>
                <w:b/>
              </w:rPr>
              <w:instrText xml:space="preserve"> ADDIN EN.CITE.DATA </w:instrText>
            </w:r>
            <w:r w:rsidR="00194054" w:rsidRPr="00121D0C">
              <w:rPr>
                <w:b/>
              </w:rPr>
            </w:r>
            <w:r w:rsidR="00194054" w:rsidRPr="00121D0C">
              <w:rPr>
                <w:b/>
              </w:rPr>
              <w:fldChar w:fldCharType="end"/>
            </w:r>
            <w:r w:rsidRPr="00121D0C">
              <w:rPr>
                <w:b/>
              </w:rPr>
            </w:r>
            <w:r w:rsidRPr="00121D0C">
              <w:rPr>
                <w:b/>
              </w:rPr>
              <w:fldChar w:fldCharType="separate"/>
            </w:r>
            <w:r w:rsidRPr="00121D0C">
              <w:rPr>
                <w:b/>
                <w:noProof/>
              </w:rPr>
              <w:t>(</w:t>
            </w:r>
            <w:hyperlink w:anchor="_ENREF_59" w:tooltip="Grieco, 2006 #246" w:history="1">
              <w:r w:rsidR="00320458" w:rsidRPr="00121D0C">
                <w:rPr>
                  <w:b/>
                  <w:noProof/>
                </w:rPr>
                <w:t>2006</w:t>
              </w:r>
            </w:hyperlink>
            <w:r w:rsidRPr="00121D0C">
              <w:rPr>
                <w:b/>
                <w:noProof/>
              </w:rPr>
              <w:t>)</w:t>
            </w:r>
            <w:r w:rsidRPr="00121D0C">
              <w:rPr>
                <w:b/>
              </w:rPr>
              <w:fldChar w:fldCharType="end"/>
            </w:r>
          </w:p>
        </w:tc>
        <w:tc>
          <w:tcPr>
            <w:tcW w:w="2690" w:type="dxa"/>
            <w:shd w:val="clear" w:color="auto" w:fill="D9D9D9" w:themeFill="background1" w:themeFillShade="D9"/>
          </w:tcPr>
          <w:p w14:paraId="66280BC0" w14:textId="721126BC" w:rsidR="00FE7A78" w:rsidRPr="00121D0C" w:rsidRDefault="00FE7A78" w:rsidP="00320458">
            <w:pPr>
              <w:pStyle w:val="Tabletext1"/>
              <w:ind w:left="0"/>
              <w:rPr>
                <w:b/>
              </w:rPr>
            </w:pPr>
            <w:r w:rsidRPr="00121D0C">
              <w:rPr>
                <w:b/>
              </w:rPr>
              <w:t xml:space="preserve">Chan et al </w:t>
            </w:r>
            <w:r w:rsidR="000547E2" w:rsidRPr="00121D0C">
              <w:rPr>
                <w:b/>
              </w:rPr>
              <w:fldChar w:fldCharType="begin">
                <w:fldData xml:space="preserve">PEVuZE5vdGU+PENpdGUgRXhjbHVkZUF1dGg9IjEiPjxBdXRob3I+Q2hhbjwvQXV0aG9yPjxZZWFy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00194054" w:rsidRPr="00121D0C">
              <w:rPr>
                <w:b/>
              </w:rPr>
              <w:instrText xml:space="preserve"> ADDIN EN.CITE </w:instrText>
            </w:r>
            <w:r w:rsidR="00194054" w:rsidRPr="00121D0C">
              <w:rPr>
                <w:b/>
              </w:rPr>
              <w:fldChar w:fldCharType="begin">
                <w:fldData xml:space="preserve">PEVuZE5vdGU+PENpdGUgRXhjbHVkZUF1dGg9IjEiPjxBdXRob3I+Q2hhbjwvQXV0aG9yPjxZZWFy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00194054" w:rsidRPr="00121D0C">
              <w:rPr>
                <w:b/>
              </w:rPr>
              <w:instrText xml:space="preserve"> ADDIN EN.CITE.DATA </w:instrText>
            </w:r>
            <w:r w:rsidR="00194054" w:rsidRPr="00121D0C">
              <w:rPr>
                <w:b/>
              </w:rPr>
            </w:r>
            <w:r w:rsidR="00194054" w:rsidRPr="00121D0C">
              <w:rPr>
                <w:b/>
              </w:rPr>
              <w:fldChar w:fldCharType="end"/>
            </w:r>
            <w:r w:rsidR="000547E2" w:rsidRPr="00121D0C">
              <w:rPr>
                <w:b/>
              </w:rPr>
            </w:r>
            <w:r w:rsidR="000547E2" w:rsidRPr="00121D0C">
              <w:rPr>
                <w:b/>
              </w:rPr>
              <w:fldChar w:fldCharType="separate"/>
            </w:r>
            <w:r w:rsidR="000547E2" w:rsidRPr="00121D0C">
              <w:rPr>
                <w:b/>
                <w:noProof/>
              </w:rPr>
              <w:t>(</w:t>
            </w:r>
            <w:hyperlink w:anchor="_ENREF_29" w:tooltip="Chan, 2011 #247" w:history="1">
              <w:r w:rsidR="00320458" w:rsidRPr="00121D0C">
                <w:rPr>
                  <w:b/>
                  <w:noProof/>
                </w:rPr>
                <w:t>2011</w:t>
              </w:r>
            </w:hyperlink>
            <w:r w:rsidR="000547E2" w:rsidRPr="00121D0C">
              <w:rPr>
                <w:b/>
                <w:noProof/>
              </w:rPr>
              <w:t>)</w:t>
            </w:r>
            <w:r w:rsidR="000547E2" w:rsidRPr="00121D0C">
              <w:rPr>
                <w:b/>
              </w:rPr>
              <w:fldChar w:fldCharType="end"/>
            </w:r>
          </w:p>
        </w:tc>
      </w:tr>
      <w:tr w:rsidR="00B03E63" w:rsidRPr="00121D0C" w14:paraId="3829FC98" w14:textId="77777777" w:rsidTr="00B03E63">
        <w:tc>
          <w:tcPr>
            <w:tcW w:w="1172" w:type="dxa"/>
          </w:tcPr>
          <w:p w14:paraId="22FE466C" w14:textId="77777777" w:rsidR="00FE7A78" w:rsidRPr="00121D0C" w:rsidRDefault="00FE7A78" w:rsidP="000245FC">
            <w:pPr>
              <w:pStyle w:val="Tabletext1"/>
              <w:ind w:left="0"/>
              <w:rPr>
                <w:b/>
              </w:rPr>
            </w:pPr>
            <w:r w:rsidRPr="00121D0C">
              <w:rPr>
                <w:b/>
              </w:rPr>
              <w:t>Study design</w:t>
            </w:r>
          </w:p>
        </w:tc>
        <w:tc>
          <w:tcPr>
            <w:tcW w:w="2690" w:type="dxa"/>
          </w:tcPr>
          <w:p w14:paraId="0FE07521" w14:textId="77777777" w:rsidR="00FE7A78" w:rsidRPr="00121D0C" w:rsidRDefault="00154805" w:rsidP="000245FC">
            <w:pPr>
              <w:pStyle w:val="Tabletext1"/>
              <w:ind w:left="0"/>
            </w:pPr>
            <w:r w:rsidRPr="00121D0C">
              <w:t>Level IV retrospective CS</w:t>
            </w:r>
          </w:p>
          <w:p w14:paraId="30FA28F0" w14:textId="77777777" w:rsidR="00FE7A78" w:rsidRPr="00121D0C" w:rsidRDefault="00FE7A78" w:rsidP="000245FC">
            <w:pPr>
              <w:pStyle w:val="Tabletext1"/>
              <w:ind w:left="0"/>
            </w:pPr>
            <w:r w:rsidRPr="00121D0C">
              <w:t>Risk of bias: High</w:t>
            </w:r>
          </w:p>
          <w:p w14:paraId="080150A3" w14:textId="77777777" w:rsidR="00FE7A78" w:rsidRPr="00121D0C" w:rsidRDefault="00FE7A78" w:rsidP="000245FC">
            <w:pPr>
              <w:pStyle w:val="Tabletext1"/>
              <w:ind w:left="0"/>
            </w:pPr>
            <w:r w:rsidRPr="00121D0C">
              <w:t>Median follow-up 26.7 months</w:t>
            </w:r>
          </w:p>
        </w:tc>
        <w:tc>
          <w:tcPr>
            <w:tcW w:w="2690" w:type="dxa"/>
          </w:tcPr>
          <w:p w14:paraId="357F41B3" w14:textId="77777777" w:rsidR="00FE7A78" w:rsidRPr="00121D0C" w:rsidRDefault="00154805" w:rsidP="000245FC">
            <w:pPr>
              <w:pStyle w:val="Tabletext1"/>
              <w:ind w:left="0"/>
            </w:pPr>
            <w:r w:rsidRPr="00121D0C">
              <w:t>Level IV r</w:t>
            </w:r>
            <w:r w:rsidR="004103B5" w:rsidRPr="00121D0C">
              <w:t xml:space="preserve">etrospective </w:t>
            </w:r>
            <w:r w:rsidR="000F71CB" w:rsidRPr="00121D0C">
              <w:t>CS</w:t>
            </w:r>
          </w:p>
          <w:p w14:paraId="6E084A9D" w14:textId="77777777" w:rsidR="00FE7A78" w:rsidRPr="00121D0C" w:rsidRDefault="00FE7A78" w:rsidP="000245FC">
            <w:pPr>
              <w:pStyle w:val="Tabletext1"/>
              <w:ind w:left="0"/>
            </w:pPr>
            <w:r w:rsidRPr="00121D0C">
              <w:t>Risk of bias: High</w:t>
            </w:r>
          </w:p>
          <w:p w14:paraId="4F235A07" w14:textId="77777777" w:rsidR="00FE7A78" w:rsidRPr="00121D0C" w:rsidRDefault="00FE7A78" w:rsidP="000245FC">
            <w:pPr>
              <w:pStyle w:val="Tabletext1"/>
              <w:ind w:left="0"/>
            </w:pPr>
            <w:r w:rsidRPr="00121D0C">
              <w:t>Median follow-up 19.5 months</w:t>
            </w:r>
          </w:p>
        </w:tc>
        <w:tc>
          <w:tcPr>
            <w:tcW w:w="2690" w:type="dxa"/>
          </w:tcPr>
          <w:p w14:paraId="1A419516" w14:textId="77777777" w:rsidR="00FE7A78" w:rsidRPr="00121D0C" w:rsidRDefault="00154805" w:rsidP="000245FC">
            <w:pPr>
              <w:pStyle w:val="Tabletext1"/>
              <w:ind w:left="0"/>
            </w:pPr>
            <w:r w:rsidRPr="00121D0C">
              <w:t>Level IV r</w:t>
            </w:r>
            <w:r w:rsidR="00FE7A78" w:rsidRPr="00121D0C">
              <w:t>etrospective CS</w:t>
            </w:r>
          </w:p>
          <w:p w14:paraId="61013EF6" w14:textId="77777777" w:rsidR="00FE7A78" w:rsidRPr="00121D0C" w:rsidRDefault="00FE7A78" w:rsidP="000245FC">
            <w:pPr>
              <w:pStyle w:val="Tabletext1"/>
              <w:ind w:left="0"/>
            </w:pPr>
            <w:r w:rsidRPr="00121D0C">
              <w:t>Risk of bias: High</w:t>
            </w:r>
          </w:p>
          <w:p w14:paraId="07D958A2" w14:textId="77777777" w:rsidR="00FE7A78" w:rsidRPr="00121D0C" w:rsidRDefault="00FE7A78" w:rsidP="000245FC">
            <w:pPr>
              <w:pStyle w:val="Tabletext1"/>
              <w:ind w:left="0"/>
            </w:pPr>
            <w:r w:rsidRPr="00121D0C">
              <w:t>Median follow-up 22 months</w:t>
            </w:r>
          </w:p>
        </w:tc>
      </w:tr>
      <w:tr w:rsidR="00B03E63" w:rsidRPr="00121D0C" w14:paraId="150E3721" w14:textId="77777777" w:rsidTr="00B03E63">
        <w:tc>
          <w:tcPr>
            <w:tcW w:w="1172" w:type="dxa"/>
          </w:tcPr>
          <w:p w14:paraId="3DCC2078" w14:textId="77777777" w:rsidR="00FE7A78" w:rsidRPr="00121D0C" w:rsidRDefault="00FE7A78" w:rsidP="000245FC">
            <w:pPr>
              <w:pStyle w:val="Tabletext1"/>
              <w:ind w:left="0"/>
              <w:rPr>
                <w:b/>
              </w:rPr>
            </w:pPr>
            <w:r w:rsidRPr="00121D0C">
              <w:rPr>
                <w:b/>
              </w:rPr>
              <w:t>Population</w:t>
            </w:r>
          </w:p>
        </w:tc>
        <w:tc>
          <w:tcPr>
            <w:tcW w:w="2690" w:type="dxa"/>
          </w:tcPr>
          <w:p w14:paraId="5B067FD9" w14:textId="77777777" w:rsidR="00FE7A78" w:rsidRPr="00121D0C" w:rsidRDefault="00FE7A78" w:rsidP="000245FC">
            <w:pPr>
              <w:pStyle w:val="Tabletext1"/>
              <w:ind w:left="0"/>
            </w:pPr>
            <w:r w:rsidRPr="00121D0C">
              <w:t>Early stage inoperable NSCLC</w:t>
            </w:r>
          </w:p>
          <w:p w14:paraId="23638306" w14:textId="77777777" w:rsidR="00FE7A78" w:rsidRPr="00121D0C" w:rsidRDefault="00FE7A78" w:rsidP="000245FC">
            <w:pPr>
              <w:pStyle w:val="Tabletext1"/>
              <w:ind w:left="0"/>
            </w:pPr>
            <w:r w:rsidRPr="00121D0C">
              <w:t>N = 24</w:t>
            </w:r>
          </w:p>
          <w:p w14:paraId="3BA632D4" w14:textId="77777777" w:rsidR="00FE7A78" w:rsidRPr="00121D0C" w:rsidRDefault="00FE7A78" w:rsidP="000245FC">
            <w:pPr>
              <w:pStyle w:val="Tabletext1"/>
              <w:ind w:left="0"/>
            </w:pPr>
            <w:r w:rsidRPr="00121D0C">
              <w:t>Male 10 (42%)</w:t>
            </w:r>
            <w:proofErr w:type="gramStart"/>
            <w:r w:rsidRPr="00121D0C">
              <w:t>:Female</w:t>
            </w:r>
            <w:proofErr w:type="gramEnd"/>
            <w:r w:rsidRPr="00121D0C">
              <w:t xml:space="preserve"> 14 (58%)</w:t>
            </w:r>
          </w:p>
          <w:p w14:paraId="71F8CAF3" w14:textId="2258C3C3" w:rsidR="00FE7A78" w:rsidRPr="00121D0C" w:rsidRDefault="003E4ED6" w:rsidP="000245FC">
            <w:pPr>
              <w:pStyle w:val="Tabletext1"/>
              <w:ind w:left="0"/>
            </w:pPr>
            <w:r w:rsidRPr="00121D0C">
              <w:t>Mean a</w:t>
            </w:r>
            <w:r w:rsidR="00FE7A78" w:rsidRPr="00121D0C">
              <w:t xml:space="preserve">ge </w:t>
            </w:r>
            <w:r w:rsidRPr="00121D0C">
              <w:t>76 (58</w:t>
            </w:r>
            <w:r w:rsidR="00D35E9C">
              <w:t>–</w:t>
            </w:r>
            <w:r w:rsidRPr="00121D0C">
              <w:t>85) years</w:t>
            </w:r>
          </w:p>
        </w:tc>
        <w:tc>
          <w:tcPr>
            <w:tcW w:w="2690" w:type="dxa"/>
          </w:tcPr>
          <w:p w14:paraId="708EC79B" w14:textId="77777777" w:rsidR="00FE7A78" w:rsidRPr="00121D0C" w:rsidRDefault="00FE7A78" w:rsidP="000245FC">
            <w:pPr>
              <w:pStyle w:val="Tabletext1"/>
              <w:ind w:left="0"/>
            </w:pPr>
            <w:r w:rsidRPr="00121D0C">
              <w:t>Early stage inoperable NSCLC</w:t>
            </w:r>
          </w:p>
          <w:p w14:paraId="308C84EA" w14:textId="77777777" w:rsidR="00FE7A78" w:rsidRPr="00121D0C" w:rsidRDefault="00FE7A78" w:rsidP="000245FC">
            <w:pPr>
              <w:pStyle w:val="Tabletext1"/>
              <w:ind w:left="0"/>
            </w:pPr>
            <w:r w:rsidRPr="00121D0C">
              <w:t xml:space="preserve">N = </w:t>
            </w:r>
            <w:r w:rsidR="00BB51EA" w:rsidRPr="00121D0C">
              <w:t>41</w:t>
            </w:r>
          </w:p>
          <w:p w14:paraId="19D3C560" w14:textId="77777777" w:rsidR="00FE7A78" w:rsidRPr="00121D0C" w:rsidRDefault="00A603A6" w:rsidP="000245FC">
            <w:pPr>
              <w:pStyle w:val="Tabletext1"/>
              <w:ind w:left="0"/>
            </w:pPr>
            <w:r w:rsidRPr="00121D0C">
              <w:t>Male</w:t>
            </w:r>
            <w:r w:rsidR="000547E2" w:rsidRPr="00121D0C">
              <w:t xml:space="preserve"> </w:t>
            </w:r>
            <w:r w:rsidRPr="00121D0C">
              <w:t xml:space="preserve">24 </w:t>
            </w:r>
            <w:r w:rsidR="000547E2" w:rsidRPr="00121D0C">
              <w:t>(</w:t>
            </w:r>
            <w:r w:rsidRPr="00121D0C">
              <w:t>59</w:t>
            </w:r>
            <w:r w:rsidR="000547E2" w:rsidRPr="00121D0C">
              <w:t>%)</w:t>
            </w:r>
            <w:proofErr w:type="gramStart"/>
            <w:r w:rsidR="000547E2" w:rsidRPr="00121D0C">
              <w:t>:Female</w:t>
            </w:r>
            <w:proofErr w:type="gramEnd"/>
            <w:r w:rsidR="000547E2" w:rsidRPr="00121D0C">
              <w:t xml:space="preserve"> </w:t>
            </w:r>
            <w:r w:rsidRPr="00121D0C">
              <w:t xml:space="preserve">17 </w:t>
            </w:r>
            <w:r w:rsidR="000547E2" w:rsidRPr="00121D0C">
              <w:t>(</w:t>
            </w:r>
            <w:r w:rsidRPr="00121D0C">
              <w:t>41</w:t>
            </w:r>
            <w:r w:rsidR="000547E2" w:rsidRPr="00121D0C">
              <w:t>%)</w:t>
            </w:r>
          </w:p>
          <w:p w14:paraId="6C47A879" w14:textId="2FBBC3D2" w:rsidR="00FE7A78" w:rsidRPr="00121D0C" w:rsidRDefault="00480802" w:rsidP="000245FC">
            <w:pPr>
              <w:pStyle w:val="Tabletext1"/>
              <w:ind w:left="0"/>
            </w:pPr>
            <w:r w:rsidRPr="00121D0C">
              <w:t>Median age 76 (55</w:t>
            </w:r>
            <w:r w:rsidR="00D35E9C">
              <w:t>–</w:t>
            </w:r>
            <w:r w:rsidRPr="00121D0C">
              <w:t>81) years</w:t>
            </w:r>
            <w:r w:rsidR="00FE7A78" w:rsidRPr="00121D0C">
              <w:t xml:space="preserve"> </w:t>
            </w:r>
          </w:p>
        </w:tc>
        <w:tc>
          <w:tcPr>
            <w:tcW w:w="2690" w:type="dxa"/>
          </w:tcPr>
          <w:p w14:paraId="1417176E" w14:textId="77777777" w:rsidR="00FE7A78" w:rsidRPr="00121D0C" w:rsidRDefault="00FE7A78" w:rsidP="000245FC">
            <w:pPr>
              <w:pStyle w:val="Tabletext1"/>
              <w:ind w:left="0"/>
            </w:pPr>
            <w:r w:rsidRPr="00121D0C">
              <w:t>Early stage inoperable NSCLC</w:t>
            </w:r>
          </w:p>
          <w:p w14:paraId="54EA98F9" w14:textId="77777777" w:rsidR="00FE7A78" w:rsidRPr="00121D0C" w:rsidRDefault="00FE7A78" w:rsidP="000245FC">
            <w:pPr>
              <w:pStyle w:val="Tabletext1"/>
              <w:ind w:left="0"/>
            </w:pPr>
            <w:r w:rsidRPr="00121D0C">
              <w:t>N = 17</w:t>
            </w:r>
          </w:p>
          <w:p w14:paraId="46FB6345" w14:textId="77777777" w:rsidR="00FE7A78" w:rsidRPr="00121D0C" w:rsidRDefault="00FE7A78" w:rsidP="000245FC">
            <w:pPr>
              <w:pStyle w:val="Tabletext1"/>
              <w:ind w:left="0"/>
            </w:pPr>
            <w:r w:rsidRPr="00121D0C">
              <w:t>Male 7 (41%)</w:t>
            </w:r>
            <w:proofErr w:type="gramStart"/>
            <w:r w:rsidRPr="00121D0C">
              <w:t>:Female</w:t>
            </w:r>
            <w:proofErr w:type="gramEnd"/>
            <w:r w:rsidRPr="00121D0C">
              <w:t xml:space="preserve"> 10 (59%)</w:t>
            </w:r>
          </w:p>
          <w:p w14:paraId="351C2D9A" w14:textId="77777777" w:rsidR="00FE7A78" w:rsidRPr="00121D0C" w:rsidRDefault="00FE7A78" w:rsidP="000245FC">
            <w:pPr>
              <w:pStyle w:val="Tabletext1"/>
              <w:ind w:left="0"/>
            </w:pPr>
            <w:r w:rsidRPr="00121D0C">
              <w:t xml:space="preserve">Mean age 74 ± 8.8 years </w:t>
            </w:r>
          </w:p>
        </w:tc>
      </w:tr>
      <w:tr w:rsidR="00B03E63" w:rsidRPr="00121D0C" w14:paraId="4F343839" w14:textId="77777777" w:rsidTr="00B03E63">
        <w:tc>
          <w:tcPr>
            <w:tcW w:w="1172" w:type="dxa"/>
          </w:tcPr>
          <w:p w14:paraId="5D6599B8" w14:textId="77777777" w:rsidR="00FE7A78" w:rsidRPr="00121D0C" w:rsidRDefault="00FE7A78" w:rsidP="000245FC">
            <w:pPr>
              <w:pStyle w:val="Tabletext1"/>
              <w:ind w:left="0"/>
              <w:rPr>
                <w:b/>
              </w:rPr>
            </w:pPr>
            <w:r w:rsidRPr="00121D0C">
              <w:rPr>
                <w:b/>
              </w:rPr>
              <w:t>Intervention</w:t>
            </w:r>
          </w:p>
        </w:tc>
        <w:tc>
          <w:tcPr>
            <w:tcW w:w="2690" w:type="dxa"/>
          </w:tcPr>
          <w:p w14:paraId="1DC7128B" w14:textId="77777777" w:rsidR="00FE7A78" w:rsidRPr="00121D0C" w:rsidRDefault="00266349" w:rsidP="000245FC">
            <w:pPr>
              <w:pStyle w:val="Tabletext1"/>
              <w:ind w:left="0"/>
              <w:rPr>
                <w:u w:val="single"/>
              </w:rPr>
            </w:pPr>
            <w:r w:rsidRPr="00121D0C">
              <w:rPr>
                <w:u w:val="single"/>
              </w:rPr>
              <w:t xml:space="preserve">CT-guided </w:t>
            </w:r>
            <w:r w:rsidR="00FE7A78" w:rsidRPr="00121D0C">
              <w:rPr>
                <w:u w:val="single"/>
              </w:rPr>
              <w:t>RFA</w:t>
            </w:r>
          </w:p>
          <w:p w14:paraId="791F2B25" w14:textId="77777777" w:rsidR="007E600D" w:rsidRPr="00121D0C" w:rsidRDefault="007E600D" w:rsidP="000245FC">
            <w:pPr>
              <w:pStyle w:val="Tabletext1"/>
              <w:ind w:left="0"/>
            </w:pPr>
            <w:r w:rsidRPr="00121D0C">
              <w:t>Local anaes + conscious sedation</w:t>
            </w:r>
          </w:p>
          <w:p w14:paraId="3BC723AD" w14:textId="25616129" w:rsidR="007E600D" w:rsidRPr="00121D0C" w:rsidRDefault="007A5871" w:rsidP="000245FC">
            <w:pPr>
              <w:pStyle w:val="Tabletext1"/>
              <w:ind w:left="0"/>
            </w:pPr>
            <w:r w:rsidRPr="00121D0C">
              <w:t>Average 6.8 min per ablation (range 1</w:t>
            </w:r>
            <w:r w:rsidR="00D35E9C">
              <w:t>–</w:t>
            </w:r>
            <w:r w:rsidRPr="00121D0C">
              <w:t>12 min)</w:t>
            </w:r>
          </w:p>
          <w:p w14:paraId="61B079CA" w14:textId="77777777" w:rsidR="00FE7A78" w:rsidRPr="00121D0C" w:rsidRDefault="00FE7A78" w:rsidP="000245FC">
            <w:pPr>
              <w:pStyle w:val="Tabletext1"/>
              <w:ind w:left="0"/>
              <w:rPr>
                <w:u w:val="single"/>
              </w:rPr>
            </w:pPr>
            <w:r w:rsidRPr="00121D0C">
              <w:rPr>
                <w:u w:val="single"/>
              </w:rPr>
              <w:t>Radiotherapy</w:t>
            </w:r>
          </w:p>
          <w:p w14:paraId="4A3D2156" w14:textId="77777777" w:rsidR="008B1DCD" w:rsidRPr="00121D0C" w:rsidRDefault="006B5C8F" w:rsidP="000245FC">
            <w:pPr>
              <w:pStyle w:val="Tabletext1"/>
              <w:ind w:left="0"/>
            </w:pPr>
            <w:r w:rsidRPr="00121D0C">
              <w:t>RT dose 66 Gy in 33 fractions</w:t>
            </w:r>
          </w:p>
        </w:tc>
        <w:tc>
          <w:tcPr>
            <w:tcW w:w="2690" w:type="dxa"/>
          </w:tcPr>
          <w:p w14:paraId="2634A9C0" w14:textId="77777777" w:rsidR="00FE7A78" w:rsidRPr="00121D0C" w:rsidRDefault="005F3DFF" w:rsidP="000245FC">
            <w:pPr>
              <w:pStyle w:val="Tabletext1"/>
              <w:ind w:left="0"/>
              <w:rPr>
                <w:u w:val="single"/>
              </w:rPr>
            </w:pPr>
            <w:r w:rsidRPr="00121D0C">
              <w:rPr>
                <w:u w:val="single"/>
              </w:rPr>
              <w:t xml:space="preserve">CT-guided </w:t>
            </w:r>
            <w:r w:rsidR="00FE7A78" w:rsidRPr="00121D0C">
              <w:rPr>
                <w:u w:val="single"/>
              </w:rPr>
              <w:t>RFA</w:t>
            </w:r>
          </w:p>
          <w:p w14:paraId="4D60E57E" w14:textId="77777777" w:rsidR="000165F4" w:rsidRPr="00121D0C" w:rsidRDefault="000165F4" w:rsidP="000245FC">
            <w:pPr>
              <w:pStyle w:val="Tabletext1"/>
              <w:ind w:left="0"/>
            </w:pPr>
            <w:r w:rsidRPr="00121D0C">
              <w:t>Local anaes + conscious sedation</w:t>
            </w:r>
          </w:p>
          <w:p w14:paraId="1950FC33" w14:textId="5E70FD01" w:rsidR="000165F4" w:rsidRPr="00121D0C" w:rsidRDefault="007234F2" w:rsidP="000245FC">
            <w:pPr>
              <w:pStyle w:val="Tabletext1"/>
              <w:ind w:left="0"/>
            </w:pPr>
            <w:r w:rsidRPr="00121D0C">
              <w:t>RFA average time 6 min (range 1</w:t>
            </w:r>
            <w:r w:rsidR="00D35E9C">
              <w:t>–</w:t>
            </w:r>
            <w:r w:rsidRPr="00121D0C">
              <w:t>12 min)</w:t>
            </w:r>
            <w:r w:rsidR="00D7650C" w:rsidRPr="00121D0C">
              <w:t xml:space="preserve">, Power </w:t>
            </w:r>
            <w:r w:rsidR="001C1BBB" w:rsidRPr="00121D0C">
              <w:t>128.8</w:t>
            </w:r>
            <w:r w:rsidR="00D7650C" w:rsidRPr="00121D0C">
              <w:t xml:space="preserve"> W</w:t>
            </w:r>
          </w:p>
          <w:p w14:paraId="52E7F9CE" w14:textId="77777777" w:rsidR="00FE7A78" w:rsidRPr="00121D0C" w:rsidRDefault="00FF0533" w:rsidP="000245FC">
            <w:pPr>
              <w:pStyle w:val="Tabletext1"/>
              <w:ind w:left="0"/>
              <w:rPr>
                <w:u w:val="single"/>
              </w:rPr>
            </w:pPr>
            <w:r w:rsidRPr="00121D0C">
              <w:rPr>
                <w:u w:val="single"/>
              </w:rPr>
              <w:t>RT (</w:t>
            </w:r>
            <w:r w:rsidR="00C10752" w:rsidRPr="00121D0C">
              <w:rPr>
                <w:u w:val="single"/>
              </w:rPr>
              <w:t xml:space="preserve">n = </w:t>
            </w:r>
            <w:r w:rsidR="001C1BBB" w:rsidRPr="00121D0C">
              <w:rPr>
                <w:u w:val="single"/>
              </w:rPr>
              <w:t>27)</w:t>
            </w:r>
            <w:r w:rsidRPr="00121D0C">
              <w:rPr>
                <w:u w:val="single"/>
              </w:rPr>
              <w:t xml:space="preserve"> </w:t>
            </w:r>
            <w:r w:rsidR="00E328DE" w:rsidRPr="00121D0C">
              <w:rPr>
                <w:u w:val="single"/>
              </w:rPr>
              <w:t>or</w:t>
            </w:r>
            <w:r w:rsidRPr="00121D0C">
              <w:rPr>
                <w:u w:val="single"/>
              </w:rPr>
              <w:t xml:space="preserve"> brachytherapy (</w:t>
            </w:r>
            <w:r w:rsidR="00C10752" w:rsidRPr="00121D0C">
              <w:rPr>
                <w:u w:val="single"/>
              </w:rPr>
              <w:t xml:space="preserve">n = </w:t>
            </w:r>
            <w:r w:rsidR="001C1BBB" w:rsidRPr="00121D0C">
              <w:rPr>
                <w:u w:val="single"/>
              </w:rPr>
              <w:t>14)</w:t>
            </w:r>
          </w:p>
          <w:p w14:paraId="28674667" w14:textId="77777777" w:rsidR="008B0DB2" w:rsidRPr="00121D0C" w:rsidRDefault="00E20DA8" w:rsidP="000245FC">
            <w:pPr>
              <w:pStyle w:val="Tabletext1"/>
              <w:ind w:left="0"/>
            </w:pPr>
            <w:r w:rsidRPr="00121D0C">
              <w:t xml:space="preserve">RT dose </w:t>
            </w:r>
            <w:r w:rsidR="006805A8" w:rsidRPr="00121D0C">
              <w:t>66 Gy in 33 fractions</w:t>
            </w:r>
          </w:p>
          <w:p w14:paraId="1D04ACD8" w14:textId="33136D21" w:rsidR="00301654" w:rsidRPr="00121D0C" w:rsidRDefault="00A8269C" w:rsidP="000245FC">
            <w:pPr>
              <w:pStyle w:val="Tabletext1"/>
              <w:ind w:left="0"/>
              <w:rPr>
                <w:u w:val="single"/>
              </w:rPr>
            </w:pPr>
            <w:r w:rsidRPr="00121D0C">
              <w:t>Brachy</w:t>
            </w:r>
            <w:r w:rsidR="000914B5" w:rsidRPr="00121D0C">
              <w:t>therapy</w:t>
            </w:r>
            <w:r w:rsidRPr="00121D0C">
              <w:t xml:space="preserve"> </w:t>
            </w:r>
            <w:r w:rsidR="00E20DA8" w:rsidRPr="00121D0C">
              <w:t>dose</w:t>
            </w:r>
            <w:r w:rsidRPr="00121D0C">
              <w:t xml:space="preserve"> </w:t>
            </w:r>
            <w:r w:rsidR="00017A72" w:rsidRPr="00121D0C">
              <w:t>18</w:t>
            </w:r>
            <w:r w:rsidR="00D35E9C">
              <w:t>–</w:t>
            </w:r>
            <w:r w:rsidR="001C635A" w:rsidRPr="00121D0C">
              <w:t>20</w:t>
            </w:r>
            <w:r w:rsidR="00017A72" w:rsidRPr="00121D0C">
              <w:t xml:space="preserve"> </w:t>
            </w:r>
            <w:r w:rsidR="001C635A" w:rsidRPr="00121D0C">
              <w:t>Gy</w:t>
            </w:r>
          </w:p>
        </w:tc>
        <w:tc>
          <w:tcPr>
            <w:tcW w:w="2690" w:type="dxa"/>
          </w:tcPr>
          <w:p w14:paraId="5767A2A0" w14:textId="77777777" w:rsidR="00FE7A78" w:rsidRPr="00121D0C" w:rsidRDefault="00FE7A78" w:rsidP="000245FC">
            <w:pPr>
              <w:pStyle w:val="Tabletext1"/>
              <w:ind w:left="0"/>
            </w:pPr>
            <w:r w:rsidRPr="00121D0C">
              <w:rPr>
                <w:u w:val="single"/>
              </w:rPr>
              <w:t>CT-guided RFA</w:t>
            </w:r>
          </w:p>
          <w:p w14:paraId="3DD6AAE4" w14:textId="77777777" w:rsidR="00FE7A78" w:rsidRPr="00121D0C" w:rsidRDefault="00FE7A78" w:rsidP="000245FC">
            <w:pPr>
              <w:pStyle w:val="Tabletext1"/>
              <w:ind w:left="0"/>
            </w:pPr>
            <w:r w:rsidRPr="00121D0C">
              <w:t xml:space="preserve">Local </w:t>
            </w:r>
            <w:r w:rsidR="000165F4" w:rsidRPr="00121D0C">
              <w:t xml:space="preserve">anaes </w:t>
            </w:r>
            <w:r w:rsidRPr="00121D0C">
              <w:t>+ conscious sedation</w:t>
            </w:r>
          </w:p>
          <w:p w14:paraId="6F66D3B4" w14:textId="7299555C" w:rsidR="00FE7A78" w:rsidRPr="00121D0C" w:rsidRDefault="00FE7A78" w:rsidP="000245FC">
            <w:pPr>
              <w:pStyle w:val="Tabletext1"/>
              <w:ind w:left="0"/>
            </w:pPr>
            <w:r w:rsidRPr="00121D0C">
              <w:t>Average 2 ablations per session (range 1</w:t>
            </w:r>
            <w:r w:rsidR="00D35E9C">
              <w:t>–</w:t>
            </w:r>
            <w:r w:rsidRPr="00121D0C">
              <w:t>5 ablations)</w:t>
            </w:r>
            <w:r w:rsidR="002D5104" w:rsidRPr="00121D0C">
              <w:t>, a</w:t>
            </w:r>
            <w:r w:rsidRPr="00121D0C">
              <w:t xml:space="preserve">verage 7 min </w:t>
            </w:r>
            <w:r w:rsidR="002D5104" w:rsidRPr="00121D0C">
              <w:t>per ablation</w:t>
            </w:r>
            <w:r w:rsidRPr="00121D0C">
              <w:t xml:space="preserve"> (range 1</w:t>
            </w:r>
            <w:r w:rsidR="00D35E9C">
              <w:t>–</w:t>
            </w:r>
            <w:r w:rsidRPr="00121D0C">
              <w:t xml:space="preserve">12 min) </w:t>
            </w:r>
          </w:p>
          <w:p w14:paraId="56D4894A" w14:textId="77777777" w:rsidR="00FE7A78" w:rsidRPr="00121D0C" w:rsidRDefault="00FE7A78" w:rsidP="000245FC">
            <w:pPr>
              <w:pStyle w:val="Tabletext1"/>
              <w:ind w:left="0"/>
              <w:rPr>
                <w:u w:val="single"/>
              </w:rPr>
            </w:pPr>
            <w:r w:rsidRPr="00121D0C">
              <w:rPr>
                <w:u w:val="single"/>
              </w:rPr>
              <w:t>Brachytherapy</w:t>
            </w:r>
          </w:p>
          <w:p w14:paraId="32A3C11D" w14:textId="0645149A" w:rsidR="00FE7A78" w:rsidRPr="00121D0C" w:rsidRDefault="00A8269C" w:rsidP="000245FC">
            <w:pPr>
              <w:pStyle w:val="Tabletext1"/>
              <w:ind w:left="0"/>
            </w:pPr>
            <w:r w:rsidRPr="00121D0C">
              <w:t>Single-dose</w:t>
            </w:r>
            <w:r w:rsidR="00FE7A78" w:rsidRPr="00121D0C">
              <w:t>, median dose 18 (range 14.4</w:t>
            </w:r>
            <w:r w:rsidR="00D35E9C">
              <w:t>–</w:t>
            </w:r>
            <w:r w:rsidR="00FE7A78" w:rsidRPr="00121D0C">
              <w:t>20) Gy</w:t>
            </w:r>
          </w:p>
        </w:tc>
      </w:tr>
      <w:tr w:rsidR="00B03E63" w:rsidRPr="00121D0C" w14:paraId="0AE52ECB" w14:textId="77777777" w:rsidTr="00B03E63">
        <w:tc>
          <w:tcPr>
            <w:tcW w:w="1172" w:type="dxa"/>
          </w:tcPr>
          <w:p w14:paraId="215DAF83" w14:textId="77777777" w:rsidR="00FE7A78" w:rsidRPr="00121D0C" w:rsidRDefault="00FE7A78" w:rsidP="000245FC">
            <w:pPr>
              <w:pStyle w:val="Tabletext1"/>
              <w:ind w:left="0"/>
              <w:rPr>
                <w:b/>
              </w:rPr>
            </w:pPr>
            <w:r w:rsidRPr="00121D0C">
              <w:rPr>
                <w:b/>
              </w:rPr>
              <w:t>Comparator</w:t>
            </w:r>
          </w:p>
        </w:tc>
        <w:tc>
          <w:tcPr>
            <w:tcW w:w="2690" w:type="dxa"/>
          </w:tcPr>
          <w:p w14:paraId="2222EF09" w14:textId="77777777" w:rsidR="00FE7A78" w:rsidRPr="00121D0C" w:rsidRDefault="00FE7A78" w:rsidP="000245FC">
            <w:pPr>
              <w:pStyle w:val="Tabletext1"/>
              <w:ind w:left="0"/>
            </w:pPr>
            <w:r w:rsidRPr="00121D0C">
              <w:t>N/A</w:t>
            </w:r>
          </w:p>
        </w:tc>
        <w:tc>
          <w:tcPr>
            <w:tcW w:w="2690" w:type="dxa"/>
          </w:tcPr>
          <w:p w14:paraId="3138F9D2" w14:textId="77777777" w:rsidR="00FE7A78" w:rsidRPr="00121D0C" w:rsidRDefault="00FE7A78" w:rsidP="000245FC">
            <w:pPr>
              <w:pStyle w:val="Tabletext1"/>
              <w:ind w:left="0"/>
            </w:pPr>
            <w:r w:rsidRPr="00121D0C">
              <w:t>N/A</w:t>
            </w:r>
          </w:p>
        </w:tc>
        <w:tc>
          <w:tcPr>
            <w:tcW w:w="2690" w:type="dxa"/>
          </w:tcPr>
          <w:p w14:paraId="71D4C70D" w14:textId="77777777" w:rsidR="00FE7A78" w:rsidRPr="00121D0C" w:rsidRDefault="00FE7A78" w:rsidP="000245FC">
            <w:pPr>
              <w:pStyle w:val="Tabletext1"/>
              <w:ind w:left="0"/>
            </w:pPr>
            <w:r w:rsidRPr="00121D0C">
              <w:t>N/A</w:t>
            </w:r>
          </w:p>
        </w:tc>
      </w:tr>
      <w:tr w:rsidR="00B03E63" w:rsidRPr="00121D0C" w14:paraId="43825D72" w14:textId="77777777" w:rsidTr="00B03E63">
        <w:tc>
          <w:tcPr>
            <w:tcW w:w="1172" w:type="dxa"/>
          </w:tcPr>
          <w:p w14:paraId="1540D8F9" w14:textId="77777777" w:rsidR="00FE7A78" w:rsidRPr="00121D0C" w:rsidRDefault="00FE7A78" w:rsidP="000245FC">
            <w:pPr>
              <w:pStyle w:val="Tabletext1"/>
              <w:ind w:left="0"/>
              <w:rPr>
                <w:b/>
              </w:rPr>
            </w:pPr>
            <w:r w:rsidRPr="00121D0C">
              <w:rPr>
                <w:b/>
              </w:rPr>
              <w:t>Outcomes</w:t>
            </w:r>
          </w:p>
        </w:tc>
        <w:tc>
          <w:tcPr>
            <w:tcW w:w="2690" w:type="dxa"/>
          </w:tcPr>
          <w:p w14:paraId="73D076E9" w14:textId="77777777" w:rsidR="00FE7A78" w:rsidRPr="00121D0C" w:rsidRDefault="005628A6" w:rsidP="000245FC">
            <w:pPr>
              <w:pStyle w:val="Tabletext1"/>
              <w:ind w:left="0"/>
              <w:rPr>
                <w:u w:val="single"/>
              </w:rPr>
            </w:pPr>
            <w:r w:rsidRPr="00121D0C">
              <w:rPr>
                <w:u w:val="single"/>
              </w:rPr>
              <w:t>Safety</w:t>
            </w:r>
          </w:p>
          <w:p w14:paraId="1F6EBA2A" w14:textId="77777777" w:rsidR="00941537" w:rsidRPr="00121D0C" w:rsidRDefault="00941537" w:rsidP="000245FC">
            <w:pPr>
              <w:pStyle w:val="Tabletext1"/>
              <w:ind w:left="0"/>
            </w:pPr>
            <w:r w:rsidRPr="00121D0C">
              <w:t xml:space="preserve">Pneumothorax </w:t>
            </w:r>
            <w:r w:rsidR="007A5871" w:rsidRPr="00121D0C">
              <w:t>7/24</w:t>
            </w:r>
          </w:p>
          <w:p w14:paraId="75E897EC" w14:textId="77777777" w:rsidR="007A5871" w:rsidRPr="00121D0C" w:rsidRDefault="007A5871" w:rsidP="000245FC">
            <w:pPr>
              <w:pStyle w:val="Tabletext1"/>
              <w:ind w:left="0"/>
            </w:pPr>
            <w:r w:rsidRPr="00121D0C">
              <w:t>Chest tube 3/24</w:t>
            </w:r>
          </w:p>
          <w:p w14:paraId="7719418D" w14:textId="77777777" w:rsidR="007A5871" w:rsidRPr="00121D0C" w:rsidRDefault="007A5871" w:rsidP="000245FC">
            <w:pPr>
              <w:pStyle w:val="Tabletext1"/>
              <w:ind w:left="0"/>
            </w:pPr>
            <w:r w:rsidRPr="00121D0C">
              <w:t>Acute respiratory distress 0/24</w:t>
            </w:r>
          </w:p>
          <w:p w14:paraId="1EF4B224" w14:textId="77777777" w:rsidR="007A5871" w:rsidRPr="00121D0C" w:rsidRDefault="007A5871" w:rsidP="000245FC">
            <w:pPr>
              <w:pStyle w:val="Tabletext1"/>
              <w:ind w:left="0"/>
            </w:pPr>
            <w:r w:rsidRPr="00121D0C">
              <w:t>Self-limiting haemoptysis 1/24</w:t>
            </w:r>
          </w:p>
          <w:p w14:paraId="2C62C28E" w14:textId="77777777" w:rsidR="00852433" w:rsidRPr="00121D0C" w:rsidRDefault="00852433" w:rsidP="000245FC">
            <w:pPr>
              <w:pStyle w:val="Tabletext1"/>
              <w:ind w:left="0"/>
            </w:pPr>
            <w:r w:rsidRPr="00121D0C">
              <w:t>Acute RT toxicity 0/24</w:t>
            </w:r>
          </w:p>
          <w:p w14:paraId="63CE9342" w14:textId="77777777" w:rsidR="00852433" w:rsidRPr="00121D0C" w:rsidRDefault="00852433" w:rsidP="000245FC">
            <w:pPr>
              <w:pStyle w:val="Tabletext1"/>
              <w:ind w:left="0"/>
            </w:pPr>
            <w:r w:rsidRPr="00121D0C">
              <w:t>Asymptomatic RT fibrosis 2/24</w:t>
            </w:r>
          </w:p>
          <w:p w14:paraId="06F4245F" w14:textId="77777777" w:rsidR="005628A6" w:rsidRPr="00121D0C" w:rsidRDefault="005628A6" w:rsidP="000245FC">
            <w:pPr>
              <w:pStyle w:val="Tabletext1"/>
              <w:ind w:left="0"/>
              <w:rPr>
                <w:u w:val="single"/>
              </w:rPr>
            </w:pPr>
            <w:r w:rsidRPr="00121D0C">
              <w:rPr>
                <w:u w:val="single"/>
              </w:rPr>
              <w:lastRenderedPageBreak/>
              <w:t>Effectiveness</w:t>
            </w:r>
          </w:p>
          <w:p w14:paraId="5F23F85F" w14:textId="77777777" w:rsidR="00B62ABA" w:rsidRPr="00121D0C" w:rsidRDefault="00B62ABA" w:rsidP="000245FC">
            <w:pPr>
              <w:pStyle w:val="Tabletext1"/>
              <w:ind w:left="0"/>
            </w:pPr>
            <w:r w:rsidRPr="00121D0C">
              <w:t>1-year survival 85%</w:t>
            </w:r>
          </w:p>
          <w:p w14:paraId="01FC46A2" w14:textId="77777777" w:rsidR="00941537" w:rsidRPr="00121D0C" w:rsidRDefault="00B62ABA" w:rsidP="000245FC">
            <w:pPr>
              <w:pStyle w:val="Tabletext1"/>
              <w:ind w:left="0"/>
            </w:pPr>
            <w:r w:rsidRPr="00121D0C">
              <w:t>2</w:t>
            </w:r>
            <w:r w:rsidR="00941537" w:rsidRPr="00121D0C">
              <w:t>-year survival</w:t>
            </w:r>
            <w:r w:rsidRPr="00121D0C">
              <w:t xml:space="preserve"> 50%</w:t>
            </w:r>
          </w:p>
          <w:p w14:paraId="462E5A77" w14:textId="77777777" w:rsidR="00B62ABA" w:rsidRPr="00121D0C" w:rsidRDefault="00B62ABA" w:rsidP="000245FC">
            <w:pPr>
              <w:pStyle w:val="Tabletext1"/>
              <w:ind w:left="0"/>
            </w:pPr>
            <w:r w:rsidRPr="00121D0C">
              <w:t>5-year survival 39%</w:t>
            </w:r>
          </w:p>
          <w:p w14:paraId="7B51681D" w14:textId="77777777" w:rsidR="00941537" w:rsidRPr="00121D0C" w:rsidRDefault="00941537" w:rsidP="000245FC">
            <w:pPr>
              <w:pStyle w:val="Tabletext1"/>
              <w:ind w:left="0"/>
            </w:pPr>
            <w:r w:rsidRPr="00121D0C">
              <w:t>Median survival</w:t>
            </w:r>
            <w:r w:rsidR="00FE0B70" w:rsidRPr="00121D0C">
              <w:t xml:space="preserve"> </w:t>
            </w:r>
            <w:r w:rsidR="00EB09E4" w:rsidRPr="00121D0C">
              <w:t>NR</w:t>
            </w:r>
          </w:p>
        </w:tc>
        <w:tc>
          <w:tcPr>
            <w:tcW w:w="2690" w:type="dxa"/>
          </w:tcPr>
          <w:p w14:paraId="7D140C0E" w14:textId="77777777" w:rsidR="00FE7A78" w:rsidRPr="00121D0C" w:rsidRDefault="005628A6" w:rsidP="000245FC">
            <w:pPr>
              <w:pStyle w:val="Tabletext1"/>
              <w:ind w:left="0"/>
              <w:rPr>
                <w:u w:val="single"/>
              </w:rPr>
            </w:pPr>
            <w:r w:rsidRPr="00121D0C">
              <w:rPr>
                <w:u w:val="single"/>
              </w:rPr>
              <w:lastRenderedPageBreak/>
              <w:t>Safety</w:t>
            </w:r>
          </w:p>
          <w:p w14:paraId="051F681B" w14:textId="77777777" w:rsidR="00941537" w:rsidRPr="00121D0C" w:rsidRDefault="00941537" w:rsidP="000245FC">
            <w:pPr>
              <w:pStyle w:val="Tabletext1"/>
              <w:ind w:left="0"/>
            </w:pPr>
            <w:r w:rsidRPr="00121D0C">
              <w:t>Pneumothorax 15/41</w:t>
            </w:r>
          </w:p>
          <w:p w14:paraId="20E98065" w14:textId="77777777" w:rsidR="00941537" w:rsidRPr="00121D0C" w:rsidRDefault="007121E8" w:rsidP="000245FC">
            <w:pPr>
              <w:pStyle w:val="Tabletext1"/>
              <w:ind w:left="0"/>
            </w:pPr>
            <w:r w:rsidRPr="00121D0C">
              <w:t>Chest tube 9</w:t>
            </w:r>
            <w:r w:rsidR="00ED17B0" w:rsidRPr="00121D0C">
              <w:t>/41</w:t>
            </w:r>
          </w:p>
          <w:p w14:paraId="38EF5917" w14:textId="77777777" w:rsidR="00ED17B0" w:rsidRPr="00121D0C" w:rsidRDefault="007121E8" w:rsidP="000245FC">
            <w:pPr>
              <w:pStyle w:val="Tabletext1"/>
              <w:ind w:left="0"/>
            </w:pPr>
            <w:r w:rsidRPr="00121D0C">
              <w:t>Empyema 1/41</w:t>
            </w:r>
          </w:p>
          <w:p w14:paraId="51399C40" w14:textId="77777777" w:rsidR="007121E8" w:rsidRPr="00121D0C" w:rsidRDefault="007121E8" w:rsidP="000245FC">
            <w:pPr>
              <w:pStyle w:val="Tabletext1"/>
              <w:ind w:left="0"/>
            </w:pPr>
            <w:r w:rsidRPr="00121D0C">
              <w:t>Acute respiratory distress 2/41</w:t>
            </w:r>
          </w:p>
          <w:p w14:paraId="2A2C1560" w14:textId="77777777" w:rsidR="007121E8" w:rsidRPr="00121D0C" w:rsidRDefault="00CC1FF8" w:rsidP="000245FC">
            <w:pPr>
              <w:pStyle w:val="Tabletext1"/>
              <w:ind w:left="0"/>
            </w:pPr>
            <w:r w:rsidRPr="00121D0C">
              <w:t>Self-limiting</w:t>
            </w:r>
            <w:r w:rsidR="007121E8" w:rsidRPr="00121D0C">
              <w:t xml:space="preserve"> h</w:t>
            </w:r>
            <w:r w:rsidR="00105A76" w:rsidRPr="00121D0C">
              <w:t>a</w:t>
            </w:r>
            <w:r w:rsidR="007121E8" w:rsidRPr="00121D0C">
              <w:t>emoptysis 2/41</w:t>
            </w:r>
          </w:p>
          <w:p w14:paraId="783CBA58" w14:textId="77777777" w:rsidR="005628A6" w:rsidRPr="00121D0C" w:rsidRDefault="005628A6" w:rsidP="000245FC">
            <w:pPr>
              <w:pStyle w:val="Tabletext1"/>
              <w:ind w:left="0"/>
              <w:rPr>
                <w:u w:val="single"/>
              </w:rPr>
            </w:pPr>
            <w:r w:rsidRPr="00121D0C">
              <w:rPr>
                <w:u w:val="single"/>
              </w:rPr>
              <w:t>Effectiveness</w:t>
            </w:r>
          </w:p>
          <w:p w14:paraId="4CC5C432" w14:textId="77777777" w:rsidR="00297D30" w:rsidRPr="00121D0C" w:rsidRDefault="00297D30" w:rsidP="000245FC">
            <w:pPr>
              <w:pStyle w:val="Tabletext1"/>
              <w:ind w:left="0"/>
            </w:pPr>
            <w:r w:rsidRPr="00121D0C">
              <w:lastRenderedPageBreak/>
              <w:t>1-year survival 8</w:t>
            </w:r>
            <w:r w:rsidR="00B62ABA" w:rsidRPr="00121D0C">
              <w:t>7</w:t>
            </w:r>
            <w:r w:rsidRPr="00121D0C">
              <w:t>%</w:t>
            </w:r>
          </w:p>
          <w:p w14:paraId="5A048050" w14:textId="77777777" w:rsidR="00941537" w:rsidRPr="00121D0C" w:rsidRDefault="00941537" w:rsidP="000245FC">
            <w:pPr>
              <w:pStyle w:val="Tabletext1"/>
              <w:ind w:left="0"/>
            </w:pPr>
            <w:r w:rsidRPr="00121D0C">
              <w:t>2-year survival</w:t>
            </w:r>
            <w:r w:rsidR="00EC58D6" w:rsidRPr="00121D0C">
              <w:t xml:space="preserve"> </w:t>
            </w:r>
            <w:r w:rsidR="00297D30" w:rsidRPr="00121D0C">
              <w:t>70%</w:t>
            </w:r>
          </w:p>
          <w:p w14:paraId="79BB6835" w14:textId="77777777" w:rsidR="00297D30" w:rsidRPr="00121D0C" w:rsidRDefault="00297D30" w:rsidP="000245FC">
            <w:pPr>
              <w:pStyle w:val="Tabletext1"/>
              <w:ind w:left="0"/>
            </w:pPr>
            <w:r w:rsidRPr="00121D0C">
              <w:t>3-year survival 57%</w:t>
            </w:r>
          </w:p>
          <w:p w14:paraId="2599AFB8" w14:textId="77777777" w:rsidR="00941537" w:rsidRPr="00121D0C" w:rsidRDefault="00941537" w:rsidP="000245FC">
            <w:pPr>
              <w:pStyle w:val="Tabletext1"/>
              <w:ind w:left="0"/>
            </w:pPr>
            <w:r w:rsidRPr="00121D0C">
              <w:t>Median survival</w:t>
            </w:r>
            <w:r w:rsidR="00EC58D6" w:rsidRPr="00121D0C">
              <w:t xml:space="preserve"> </w:t>
            </w:r>
            <w:r w:rsidR="00013926" w:rsidRPr="00121D0C">
              <w:t>42 ± 5 months</w:t>
            </w:r>
          </w:p>
        </w:tc>
        <w:tc>
          <w:tcPr>
            <w:tcW w:w="2690" w:type="dxa"/>
          </w:tcPr>
          <w:p w14:paraId="13F6E011" w14:textId="77777777" w:rsidR="00FE7A78" w:rsidRPr="00121D0C" w:rsidRDefault="00FE7A78" w:rsidP="000245FC">
            <w:pPr>
              <w:pStyle w:val="Tabletext1"/>
              <w:ind w:left="0"/>
              <w:rPr>
                <w:u w:val="single"/>
              </w:rPr>
            </w:pPr>
            <w:r w:rsidRPr="00121D0C">
              <w:rPr>
                <w:u w:val="single"/>
              </w:rPr>
              <w:lastRenderedPageBreak/>
              <w:t>Safety</w:t>
            </w:r>
          </w:p>
          <w:p w14:paraId="00FEA4D3" w14:textId="77777777" w:rsidR="00FE7A78" w:rsidRPr="00121D0C" w:rsidRDefault="00FE7A78" w:rsidP="000245FC">
            <w:pPr>
              <w:pStyle w:val="Tabletext1"/>
              <w:ind w:left="0"/>
            </w:pPr>
            <w:r w:rsidRPr="00121D0C">
              <w:t>Pneumothorax 11/17</w:t>
            </w:r>
          </w:p>
          <w:p w14:paraId="4405F26B" w14:textId="77777777" w:rsidR="00FE7A78" w:rsidRPr="00121D0C" w:rsidRDefault="00FE7A78" w:rsidP="000245FC">
            <w:pPr>
              <w:pStyle w:val="Tabletext1"/>
              <w:ind w:left="0"/>
            </w:pPr>
            <w:r w:rsidRPr="00121D0C">
              <w:t>Chest tube 5/17</w:t>
            </w:r>
          </w:p>
          <w:p w14:paraId="3331BC74" w14:textId="77777777" w:rsidR="00FE7A78" w:rsidRPr="00121D0C" w:rsidRDefault="00FE7A78" w:rsidP="000245FC">
            <w:pPr>
              <w:pStyle w:val="Tabletext1"/>
              <w:ind w:left="0"/>
            </w:pPr>
            <w:r w:rsidRPr="00121D0C">
              <w:t>Pleural effusion 3/17</w:t>
            </w:r>
          </w:p>
          <w:p w14:paraId="16177B52" w14:textId="77777777" w:rsidR="00FE7A78" w:rsidRPr="00121D0C" w:rsidRDefault="00FE7A78" w:rsidP="000245FC">
            <w:pPr>
              <w:pStyle w:val="Tabletext1"/>
              <w:ind w:left="0"/>
            </w:pPr>
            <w:r w:rsidRPr="00121D0C">
              <w:t>Empyema 1/17</w:t>
            </w:r>
          </w:p>
          <w:p w14:paraId="1DE2AFB7" w14:textId="77777777" w:rsidR="00316BDD" w:rsidRPr="00121D0C" w:rsidRDefault="00316BDD" w:rsidP="000245FC">
            <w:pPr>
              <w:pStyle w:val="Tabletext1"/>
              <w:ind w:left="0"/>
            </w:pPr>
            <w:r w:rsidRPr="00121D0C">
              <w:t>Pneumonia 1/17</w:t>
            </w:r>
            <w:r w:rsidR="00E6207C" w:rsidRPr="00121D0C">
              <w:t xml:space="preserve"> (</w:t>
            </w:r>
            <w:r w:rsidR="003E5C85" w:rsidRPr="00121D0C">
              <w:t>died</w:t>
            </w:r>
            <w:r w:rsidR="00E6207C" w:rsidRPr="00121D0C">
              <w:t xml:space="preserve"> &lt;30 days)</w:t>
            </w:r>
          </w:p>
          <w:p w14:paraId="1C7BB86E" w14:textId="77777777" w:rsidR="00FE7A78" w:rsidRPr="00121D0C" w:rsidRDefault="00FE7A78" w:rsidP="000245FC">
            <w:pPr>
              <w:pStyle w:val="Tabletext1"/>
              <w:ind w:left="0"/>
            </w:pPr>
            <w:r w:rsidRPr="00121D0C">
              <w:t>Radiation pneumonitis 0/17</w:t>
            </w:r>
          </w:p>
          <w:p w14:paraId="515F093C" w14:textId="77777777" w:rsidR="00FE7A78" w:rsidRPr="00121D0C" w:rsidRDefault="00FE7A78" w:rsidP="000245FC">
            <w:pPr>
              <w:pStyle w:val="Tabletext1"/>
              <w:ind w:left="0"/>
            </w:pPr>
            <w:r w:rsidRPr="00121D0C">
              <w:lastRenderedPageBreak/>
              <w:t>Intrapulmonary haemorrhage 0/17</w:t>
            </w:r>
          </w:p>
          <w:p w14:paraId="45F22241" w14:textId="77777777" w:rsidR="00FE7A78" w:rsidRPr="00121D0C" w:rsidRDefault="00FE7A78" w:rsidP="000245FC">
            <w:pPr>
              <w:pStyle w:val="Tabletext1"/>
              <w:ind w:left="0"/>
            </w:pPr>
            <w:r w:rsidRPr="00121D0C">
              <w:t>Treatment-related mortality 0/17</w:t>
            </w:r>
          </w:p>
          <w:p w14:paraId="7519012F" w14:textId="77777777" w:rsidR="00FE7A78" w:rsidRPr="00121D0C" w:rsidRDefault="00FE7A78" w:rsidP="000245FC">
            <w:pPr>
              <w:pStyle w:val="Tabletext1"/>
              <w:ind w:left="0"/>
              <w:rPr>
                <w:u w:val="single"/>
              </w:rPr>
            </w:pPr>
            <w:r w:rsidRPr="00121D0C">
              <w:rPr>
                <w:u w:val="single"/>
              </w:rPr>
              <w:t>Effectiveness</w:t>
            </w:r>
          </w:p>
          <w:p w14:paraId="5B4F65A7" w14:textId="77777777" w:rsidR="005628A6" w:rsidRPr="00121D0C" w:rsidRDefault="00024E90" w:rsidP="000245FC">
            <w:pPr>
              <w:pStyle w:val="Tabletext1"/>
              <w:ind w:left="0"/>
            </w:pPr>
            <w:r w:rsidRPr="00121D0C">
              <w:t>2-year survival 53%</w:t>
            </w:r>
          </w:p>
          <w:p w14:paraId="0FFBA1FF" w14:textId="77777777" w:rsidR="00FE7A78" w:rsidRPr="00121D0C" w:rsidRDefault="005628A6" w:rsidP="000245FC">
            <w:pPr>
              <w:pStyle w:val="Tabletext1"/>
              <w:ind w:left="0"/>
            </w:pPr>
            <w:r w:rsidRPr="00121D0C">
              <w:t>M</w:t>
            </w:r>
            <w:r w:rsidR="005A261B" w:rsidRPr="00121D0C">
              <w:t xml:space="preserve">edian </w:t>
            </w:r>
            <w:r w:rsidRPr="00121D0C">
              <w:t xml:space="preserve">survival </w:t>
            </w:r>
            <w:r w:rsidR="005A261B" w:rsidRPr="00121D0C">
              <w:t>21 months</w:t>
            </w:r>
          </w:p>
        </w:tc>
      </w:tr>
    </w:tbl>
    <w:p w14:paraId="7B47C5E3" w14:textId="4A286758" w:rsidR="00AB5FB3" w:rsidRDefault="0041376F" w:rsidP="00DD3188">
      <w:pPr>
        <w:pStyle w:val="Tablenotes0"/>
      </w:pPr>
      <w:r>
        <w:lastRenderedPageBreak/>
        <w:t>&lt;</w:t>
      </w:r>
      <w:r w:rsidR="000245FC">
        <w:t xml:space="preserve"> </w:t>
      </w:r>
      <w:r w:rsidR="00FB5F4A">
        <w:t xml:space="preserve">Anaes = anaesthetic. </w:t>
      </w:r>
      <w:r w:rsidR="00FE7A78" w:rsidRPr="00C604D1">
        <w:t xml:space="preserve">CS = case series. CT = computed tomography. </w:t>
      </w:r>
      <w:r w:rsidR="002B6575">
        <w:t xml:space="preserve">MTA = microwave </w:t>
      </w:r>
      <w:r w:rsidR="001C1BBB">
        <w:t>tissue</w:t>
      </w:r>
      <w:r w:rsidR="002B6575">
        <w:t xml:space="preserve"> ablation. </w:t>
      </w:r>
      <w:r w:rsidR="00FE7A78" w:rsidRPr="00C604D1">
        <w:t xml:space="preserve">N/A = not applicable. </w:t>
      </w:r>
      <w:r w:rsidR="00EB09E4">
        <w:t xml:space="preserve">NR = not reported. </w:t>
      </w:r>
      <w:r w:rsidR="00FE7A78" w:rsidRPr="00C604D1">
        <w:t>NSCLC = non-small cell lung cancer. RFA = radiofrequency ablation.</w:t>
      </w:r>
      <w:r w:rsidR="001A2837">
        <w:t xml:space="preserve"> RT = radiotherapy</w:t>
      </w:r>
      <w:r w:rsidR="000245FC">
        <w:t xml:space="preserve"> </w:t>
      </w:r>
      <w:r>
        <w:t>&gt;</w:t>
      </w:r>
      <w:r w:rsidR="00FB5F4A">
        <w:t xml:space="preserve"> </w:t>
      </w:r>
    </w:p>
    <w:p w14:paraId="37BA7D03" w14:textId="77777777" w:rsidR="00AB5FB3" w:rsidRDefault="00AB5FB3" w:rsidP="00343DBA">
      <w:pPr>
        <w:pStyle w:val="Heading2"/>
      </w:pPr>
      <w:bookmarkStart w:id="465" w:name="_Toc460396097"/>
      <w:r>
        <w:t>Ethical issues</w:t>
      </w:r>
      <w:bookmarkEnd w:id="465"/>
    </w:p>
    <w:p w14:paraId="085AA1C7" w14:textId="1D9023DA" w:rsidR="007717C8" w:rsidRDefault="00FE016B" w:rsidP="007717C8">
      <w:r>
        <w:t>The absence of prospective RCTs</w:t>
      </w:r>
      <w:r w:rsidR="007717C8">
        <w:t xml:space="preserve"> identified in this review is reflective of the ethical challenges of conducting research on patients with lung cancer. The concept of clinical equipoise – i.e. the presence of genuine uncertainty around the benefits of one treatment over another – underpins arguments against RCTs </w:t>
      </w:r>
      <w:r w:rsidR="00F97112">
        <w:t xml:space="preserve">in this group </w:t>
      </w:r>
      <w:r w:rsidR="007717C8">
        <w:fldChar w:fldCharType="begin"/>
      </w:r>
      <w:r w:rsidR="00194054">
        <w:instrText xml:space="preserve"> ADDIN EN.CITE &lt;EndNote&gt;&lt;Cite&gt;&lt;Author&gt;Freedman&lt;/Author&gt;&lt;Year&gt;1987&lt;/Year&gt;&lt;RecNum&gt;258&lt;/RecNum&gt;&lt;DisplayText&gt;(Freedman 1987)&lt;/DisplayText&gt;&lt;record&gt;&lt;rec-number&gt;258&lt;/rec-number&gt;&lt;foreign-keys&gt;&lt;key app="EN" db-id="05ssdaw2cf0zvye5xvo5z9ww0xdpfstrdtew" timestamp="1472448760"&gt;258&lt;/key&gt;&lt;/foreign-keys&gt;&lt;ref-type name="Journal Article"&gt;17&lt;/ref-type&gt;&lt;contributors&gt;&lt;authors&gt;&lt;author&gt;Freedman, B.&lt;/author&gt;&lt;/authors&gt;&lt;/contributors&gt;&lt;titles&gt;&lt;title&gt;Equipoise and the ethics of clinical research&lt;/title&gt;&lt;secondary-title&gt;N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medicine&lt;/abbr-1&gt;&lt;/alt-periodical&gt;&lt;pages&gt;141-5&lt;/pages&gt;&lt;volume&gt;317&lt;/volume&gt;&lt;number&gt;3&lt;/number&gt;&lt;edition&gt;1987/07/16&lt;/edition&gt;&lt;keywords&gt;&lt;keyword&gt;Attitude of Health Personnel&lt;/keyword&gt;&lt;keyword&gt;*Clinical Trials as Topic/standards&lt;/keyword&gt;&lt;keyword&gt;*Ethics, Medical&lt;/keyword&gt;&lt;keyword&gt;Research Design&lt;/keyword&gt;&lt;/keywords&gt;&lt;dates&gt;&lt;year&gt;1987&lt;/year&gt;&lt;pub-dates&gt;&lt;date&gt;Jul 16&lt;/date&gt;&lt;/pub-dates&gt;&lt;/dates&gt;&lt;isbn&gt;0028-4793 (Print)&amp;#xD;0028-4793&lt;/isbn&gt;&lt;accession-num&gt;3600702&lt;/accession-num&gt;&lt;urls&gt;&lt;/urls&gt;&lt;electronic-resource-num&gt;10.1056/nejm198707163170304&lt;/electronic-resource-num&gt;&lt;remote-database-provider&gt;NLM&lt;/remote-database-provider&gt;&lt;language&gt;eng&lt;/language&gt;&lt;/record&gt;&lt;/Cite&gt;&lt;/EndNote&gt;</w:instrText>
      </w:r>
      <w:r w:rsidR="007717C8">
        <w:fldChar w:fldCharType="separate"/>
      </w:r>
      <w:r w:rsidR="007717C8">
        <w:rPr>
          <w:noProof/>
        </w:rPr>
        <w:t>(</w:t>
      </w:r>
      <w:hyperlink w:anchor="_ENREF_54" w:tooltip="Freedman, 1987 #258" w:history="1">
        <w:r w:rsidR="00320458">
          <w:rPr>
            <w:noProof/>
          </w:rPr>
          <w:t>Freedman 1987</w:t>
        </w:r>
      </w:hyperlink>
      <w:r w:rsidR="007717C8">
        <w:rPr>
          <w:noProof/>
        </w:rPr>
        <w:t>)</w:t>
      </w:r>
      <w:r w:rsidR="007717C8">
        <w:fldChar w:fldCharType="end"/>
      </w:r>
      <w:r w:rsidR="007717C8">
        <w:t>.</w:t>
      </w:r>
      <w:r w:rsidR="007717C8" w:rsidRPr="00BA5FF2">
        <w:t xml:space="preserve"> </w:t>
      </w:r>
      <w:r w:rsidR="007717C8">
        <w:t xml:space="preserve">Conducting RCTs on new therapies for lung cancer is contentious due to a perceived lack of clinical equipoise </w:t>
      </w:r>
      <w:r w:rsidR="007717C8">
        <w:fldChar w:fldCharType="begin"/>
      </w:r>
      <w:r w:rsidR="00194054">
        <w:instrText xml:space="preserve"> ADDIN EN.CITE &lt;EndNote&gt;&lt;Cite&gt;&lt;Author&gt;Allmark&lt;/Author&gt;&lt;Year&gt;2016&lt;/Year&gt;&lt;RecNum&gt;251&lt;/RecNum&gt;&lt;DisplayText&gt;(Allmark and Tod 2016)&lt;/DisplayText&gt;&lt;record&gt;&lt;rec-number&gt;251&lt;/rec-number&gt;&lt;foreign-keys&gt;&lt;key app="EN" db-id="05ssdaw2cf0zvye5xvo5z9ww0xdpfstrdtew" timestamp="1470197284"&gt;251&lt;/key&gt;&lt;/foreign-keys&gt;&lt;ref-type name="Journal Article"&gt;17&lt;/ref-type&gt;&lt;contributors&gt;&lt;authors&gt;&lt;author&gt;Allmark, Peter&lt;/author&gt;&lt;author&gt;Tod, Angela M.&lt;/author&gt;&lt;/authors&gt;&lt;/contributors&gt;&lt;titles&gt;&lt;title&gt;Ethical challenges in conducting clinical research in lung cancer&lt;/title&gt;&lt;secondary-title&gt;Translational Lung Cancer Research&lt;/secondary-title&gt;&lt;short-title&gt;Ethical challenges in conducting clinical research in lung cancer&lt;/short-title&gt;&lt;/titles&gt;&lt;periodical&gt;&lt;full-title&gt;Translational Lung Cancer Research&lt;/full-title&gt;&lt;/periodical&gt;&lt;pages&gt;219-226&lt;/pages&gt;&lt;volume&gt;5&lt;/volume&gt;&lt;number&gt;3&lt;/number&gt;&lt;dates&gt;&lt;year&gt;2016&lt;/year&gt;&lt;/dates&gt;&lt;isbn&gt;2226-4477&lt;/isbn&gt;&lt;urls&gt;&lt;related-urls&gt;&lt;url&gt;http://tlcr.amegroups.com/article/view/7225&lt;/url&gt;&lt;/related-urls&gt;&lt;/urls&gt;&lt;/record&gt;&lt;/Cite&gt;&lt;/EndNote&gt;</w:instrText>
      </w:r>
      <w:r w:rsidR="007717C8">
        <w:fldChar w:fldCharType="separate"/>
      </w:r>
      <w:r w:rsidR="007717C8">
        <w:rPr>
          <w:noProof/>
        </w:rPr>
        <w:t>(</w:t>
      </w:r>
      <w:hyperlink w:anchor="_ENREF_5" w:tooltip="Allmark, 2016 #251" w:history="1">
        <w:r w:rsidR="00320458">
          <w:rPr>
            <w:noProof/>
          </w:rPr>
          <w:t>Allmark and Tod 2016</w:t>
        </w:r>
      </w:hyperlink>
      <w:r w:rsidR="007717C8">
        <w:rPr>
          <w:noProof/>
        </w:rPr>
        <w:t>)</w:t>
      </w:r>
      <w:r w:rsidR="007717C8">
        <w:fldChar w:fldCharType="end"/>
      </w:r>
      <w:r w:rsidR="007717C8">
        <w:t>, whereby the benefits of existing therapies, surgery and SBRT, are thought to be superior to other ablative therapies. In the context of this review, this argument does not appear to be substantiated by the presence of high-level data for current therapies. While there is changing opinion that RCTs have now become necessary</w:t>
      </w:r>
      <w:r w:rsidR="007717C8" w:rsidRPr="00EA585D">
        <w:t xml:space="preserve"> </w:t>
      </w:r>
      <w:r w:rsidR="007717C8">
        <w:t xml:space="preserve">to inform the appropriate management of lung cancer </w:t>
      </w:r>
      <w:r w:rsidR="007717C8">
        <w:fldChar w:fldCharType="begin"/>
      </w:r>
      <w:r w:rsidR="00194054">
        <w:instrText xml:space="preserve"> ADDIN EN.CITE &lt;EndNote&gt;&lt;Cite&gt;&lt;Author&gt;Fiorentino&lt;/Author&gt;&lt;Year&gt;2010&lt;/Year&gt;&lt;RecNum&gt;135&lt;/RecNum&gt;&lt;DisplayText&gt;(Fiorentino et al 2010)&lt;/DisplayText&gt;&lt;record&gt;&lt;rec-number&gt;135&lt;/rec-number&gt;&lt;foreign-keys&gt;&lt;key app="EN" db-id="05ssdaw2cf0zvye5xvo5z9ww0xdpfstrdtew" timestamp="1468559371"&gt;135&lt;/key&gt;&lt;/foreign-keys&gt;&lt;ref-type name="Journal Article"&gt;17&lt;/ref-type&gt;&lt;contributors&gt;&lt;authors&gt;&lt;author&gt;Fiorentino, F.&lt;/author&gt;&lt;author&gt;Hunt, I.&lt;/author&gt;&lt;author&gt;Teoh, K.&lt;/author&gt;&lt;author&gt;Treasure, T.&lt;/author&gt;&lt;author&gt;Utley, M.&lt;/author&gt;&lt;/authors&gt;&lt;/contributors&gt;&lt;auth-address&gt;Clinical Operational Research Unit, Department of Mathematics, University College London London WC1H 0BT.&lt;/auth-address&gt;&lt;titles&gt;&lt;title&gt;Pulmonary metastasectomy in colorectal cancer: a systematic review and quantitative synthesis&lt;/title&gt;&lt;secondary-title&gt;J R Soc Med&lt;/secondary-title&gt;&lt;alt-title&gt;Journal of the Royal Society of Medicine&lt;/alt-title&gt;&lt;/titles&gt;&lt;periodical&gt;&lt;full-title&gt;J R Soc Med&lt;/full-title&gt;&lt;abbr-1&gt;Journal of the Royal Society of Medicine&lt;/abbr-1&gt;&lt;/periodical&gt;&lt;alt-periodical&gt;&lt;full-title&gt;J R Soc Med&lt;/full-title&gt;&lt;abbr-1&gt;Journal of the Royal Society of Medicine&lt;/abbr-1&gt;&lt;/alt-periodical&gt;&lt;pages&gt;60-6&lt;/pages&gt;&lt;volume&gt;103&lt;/volume&gt;&lt;number&gt;2&lt;/number&gt;&lt;edition&gt;2010/02/02&lt;/edition&gt;&lt;keywords&gt;&lt;keyword&gt;Colorectal Neoplasms/*pathology&lt;/keyword&gt;&lt;keyword&gt;Humans&lt;/keyword&gt;&lt;keyword&gt;Lung Neoplasms/*secondary/*surgery&lt;/keyword&gt;&lt;keyword&gt;Pneumonectomy/*statistics &amp;amp; numerical data&lt;/keyword&gt;&lt;/keywords&gt;&lt;dates&gt;&lt;year&gt;2010&lt;/year&gt;&lt;pub-dates&gt;&lt;date&gt;Feb&lt;/date&gt;&lt;/pub-dates&gt;&lt;/dates&gt;&lt;isbn&gt;0141-0768&lt;/isbn&gt;&lt;accession-num&gt;20118336&lt;/accession-num&gt;&lt;urls&gt;&lt;related-urls&gt;&lt;url&gt;http://www.ncbi.nlm.nih.gov/pmc/articles/PMC2813785/pdf/60.pdf&lt;/url&gt;&lt;/related-urls&gt;&lt;/urls&gt;&lt;custom2&gt;Pmc2813785&lt;/custom2&gt;&lt;electronic-resource-num&gt;10.1258/jrsm.2009.090299&lt;/electronic-resource-num&gt;&lt;remote-database-provider&gt;NLM&lt;/remote-database-provider&gt;&lt;research-notes&gt;excluded, not a sr &lt;/research-notes&gt;&lt;language&gt;eng&lt;/language&gt;&lt;/record&gt;&lt;/Cite&gt;&lt;/EndNote&gt;</w:instrText>
      </w:r>
      <w:r w:rsidR="007717C8">
        <w:fldChar w:fldCharType="separate"/>
      </w:r>
      <w:r w:rsidR="007717C8">
        <w:rPr>
          <w:noProof/>
        </w:rPr>
        <w:t>(</w:t>
      </w:r>
      <w:hyperlink w:anchor="_ENREF_53" w:tooltip="Fiorentino, 2010 #1992" w:history="1">
        <w:r w:rsidR="00320458">
          <w:rPr>
            <w:noProof/>
          </w:rPr>
          <w:t>Fiorentino et al 2010</w:t>
        </w:r>
      </w:hyperlink>
      <w:r w:rsidR="007717C8">
        <w:rPr>
          <w:noProof/>
        </w:rPr>
        <w:t>)</w:t>
      </w:r>
      <w:r w:rsidR="007717C8">
        <w:fldChar w:fldCharType="end"/>
      </w:r>
      <w:r w:rsidR="007717C8">
        <w:t>, the perceived lack of clinical equipoise remains a significant barrier to prospective research. Authors of prospective trails have also noted difficulties recruiting patients into studies that compare such drastically different interventions such as MTA, surgery and radiotherapy</w:t>
      </w:r>
      <w:r w:rsidR="007717C8" w:rsidRPr="00402795">
        <w:t xml:space="preserve"> </w:t>
      </w:r>
      <w:r w:rsidR="007717C8">
        <w:fldChar w:fldCharType="begin"/>
      </w:r>
      <w:r w:rsidR="00194054">
        <w:instrText xml:space="preserve"> ADDIN EN.CITE &lt;EndNote&gt;&lt;Cite&gt;&lt;Author&gt;Falk&lt;/Author&gt;&lt;Year&gt;2015&lt;/Year&gt;&lt;RecNum&gt;248&lt;/RecNum&gt;&lt;DisplayText&gt;(Falk et al 2015)&lt;/DisplayText&gt;&lt;record&gt;&lt;rec-number&gt;248&lt;/rec-number&gt;&lt;foreign-keys&gt;&lt;key app="EN" db-id="05ssdaw2cf0zvye5xvo5z9ww0xdpfstrdtew" timestamp="1470099886"&gt;248&lt;/key&gt;&lt;/foreign-keys&gt;&lt;ref-type name="Journal Article"&gt;17&lt;/ref-type&gt;&lt;contributors&gt;&lt;authors&gt;&lt;author&gt;Falk, A. T.&lt;/author&gt;&lt;author&gt;Thyss, A.&lt;/author&gt;&lt;author&gt;Thariat, J.&lt;/author&gt;&lt;/authors&gt;&lt;/contributors&gt;&lt;auth-address&gt;Centre Antoine Lacassagne, Nice, France.&lt;/auth-address&gt;&lt;titles&gt;&lt;title&gt;Metastatic Ablation for Sarcomas: Methodological and Ethical Dilemmas for Prospective Studies&lt;/title&gt;&lt;secondary-title&gt;Clin Oncol (R Coll Radiol)&lt;/secondary-title&gt;&lt;alt-title&gt;Clinical oncology (Royal College of Radiologists (Great Britain))&lt;/alt-title&gt;&lt;/titles&gt;&lt;periodical&gt;&lt;full-title&gt;Clin Oncol (R Coll Radiol)&lt;/full-title&gt;&lt;abbr-1&gt;Clinical oncology (Royal College of Radiologists (Great Britain))&lt;/abbr-1&gt;&lt;/periodical&gt;&lt;alt-periodical&gt;&lt;full-title&gt;Clin Oncol (R Coll Radiol)&lt;/full-title&gt;&lt;abbr-1&gt;Clinical oncology (Royal College of Radiologists (Great Britain))&lt;/abbr-1&gt;&lt;/alt-periodical&gt;&lt;pages&gt;429-30&lt;/pages&gt;&lt;volume&gt;27&lt;/volume&gt;&lt;number&gt;7&lt;/number&gt;&lt;edition&gt;2015/04/15&lt;/edition&gt;&lt;keywords&gt;&lt;keyword&gt;Female&lt;/keyword&gt;&lt;keyword&gt;Humans&lt;/keyword&gt;&lt;keyword&gt;Lung Neoplasms/*secondary/*surgery&lt;/keyword&gt;&lt;keyword&gt;Male&lt;/keyword&gt;&lt;keyword&gt;Sarcoma/*secondary/*surgery&lt;/keyword&gt;&lt;/keywords&gt;&lt;dates&gt;&lt;year&gt;2015&lt;/year&gt;&lt;pub-dates&gt;&lt;date&gt;Jul&lt;/date&gt;&lt;/pub-dates&gt;&lt;/dates&gt;&lt;isbn&gt;0936-6555&lt;/isbn&gt;&lt;accession-num&gt;25869259&lt;/accession-num&gt;&lt;urls&gt;&lt;/urls&gt;&lt;electronic-resource-num&gt;10.1016/j.clon.2015.03.009&lt;/electronic-resource-num&gt;&lt;remote-database-provider&gt;NLM&lt;/remote-database-provider&gt;&lt;language&gt;eng&lt;/language&gt;&lt;/record&gt;&lt;/Cite&gt;&lt;/EndNote&gt;</w:instrText>
      </w:r>
      <w:r w:rsidR="007717C8">
        <w:fldChar w:fldCharType="separate"/>
      </w:r>
      <w:r w:rsidR="007717C8">
        <w:rPr>
          <w:noProof/>
        </w:rPr>
        <w:t>(</w:t>
      </w:r>
      <w:hyperlink w:anchor="_ENREF_50" w:tooltip="Falk, 2015 #248" w:history="1">
        <w:r w:rsidR="00320458">
          <w:rPr>
            <w:noProof/>
          </w:rPr>
          <w:t>Falk et al 2015</w:t>
        </w:r>
      </w:hyperlink>
      <w:r w:rsidR="007717C8">
        <w:rPr>
          <w:noProof/>
        </w:rPr>
        <w:t>)</w:t>
      </w:r>
      <w:r w:rsidR="007717C8">
        <w:fldChar w:fldCharType="end"/>
      </w:r>
      <w:r w:rsidR="007717C8">
        <w:t xml:space="preserve">. Consequently, the lack of RCTs comparing MTA and RFA to established therapies has resulted in significant </w:t>
      </w:r>
      <w:r w:rsidR="007717C8" w:rsidRPr="00A653E5">
        <w:t>un</w:t>
      </w:r>
      <w:r w:rsidR="007717C8">
        <w:t>certainty regarding their clinical effectiveness.</w:t>
      </w:r>
    </w:p>
    <w:p w14:paraId="17FCFFED" w14:textId="0884CB08" w:rsidR="007717C8" w:rsidRPr="00A653E5" w:rsidRDefault="007717C8" w:rsidP="007717C8">
      <w:r>
        <w:t>In the context of such uncertainty, the short-term risks of approving a service with limited evidence should be considered against the delay of waiting for more robust data</w:t>
      </w:r>
      <w:r w:rsidRPr="00A653E5">
        <w:t xml:space="preserve"> </w:t>
      </w:r>
      <w:r>
        <w:fldChar w:fldCharType="begin">
          <w:fldData xml:space="preserve">PEVuZE5vdGU+PENpdGU+PEF1dGhvcj5TaWViZXJ0PC9BdXRob3I+PFllYXI+MjAxMzwvWWVhcj48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</w:fldData>
        </w:fldChar>
      </w:r>
      <w:r w:rsidR="00194054">
        <w:instrText xml:space="preserve"> ADDIN EN.CITE </w:instrText>
      </w:r>
      <w:r w:rsidR="00194054">
        <w:fldChar w:fldCharType="begin">
          <w:fldData xml:space="preserve">PEVuZE5vdGU+PENpdGU+PEF1dGhvcj5TaWViZXJ0PC9BdXRob3I+PFllYXI+MjAxMzwvWWVhcj48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</w:fldData>
        </w:fldChar>
      </w:r>
      <w:r w:rsidR="00194054">
        <w:instrText xml:space="preserve"> ADDIN EN.CITE.DATA </w:instrText>
      </w:r>
      <w:r w:rsidR="00194054">
        <w:fldChar w:fldCharType="end"/>
      </w:r>
      <w:r>
        <w:fldChar w:fldCharType="separate"/>
      </w:r>
      <w:r>
        <w:rPr>
          <w:noProof/>
        </w:rPr>
        <w:t>(</w:t>
      </w:r>
      <w:hyperlink w:anchor="_ENREF_141" w:tooltip="Siebert, 2013 #256" w:history="1">
        <w:r w:rsidR="00320458">
          <w:rPr>
            <w:noProof/>
          </w:rPr>
          <w:t>Siebert et al 2013</w:t>
        </w:r>
      </w:hyperlink>
      <w:r>
        <w:rPr>
          <w:noProof/>
        </w:rPr>
        <w:t>)</w:t>
      </w:r>
      <w:r>
        <w:fldChar w:fldCharType="end"/>
      </w:r>
      <w:r w:rsidRPr="00A653E5">
        <w:t xml:space="preserve">. However, </w:t>
      </w:r>
      <w:r>
        <w:t>the present</w:t>
      </w:r>
      <w:r w:rsidRPr="00A653E5">
        <w:t xml:space="preserve"> application is complicated by weaknesses </w:t>
      </w:r>
      <w:r>
        <w:t>in the</w:t>
      </w:r>
      <w:r w:rsidRPr="00A653E5">
        <w:t xml:space="preserve"> evidence base for </w:t>
      </w:r>
      <w:r>
        <w:t xml:space="preserve">both </w:t>
      </w:r>
      <w:r w:rsidRPr="00A653E5">
        <w:t xml:space="preserve">the proposed intervention and </w:t>
      </w:r>
      <w:r>
        <w:t>existing</w:t>
      </w:r>
      <w:r w:rsidRPr="00A653E5">
        <w:t xml:space="preserve"> </w:t>
      </w:r>
      <w:r>
        <w:t>services</w:t>
      </w:r>
      <w:r w:rsidRPr="00A653E5">
        <w:t xml:space="preserve">. </w:t>
      </w:r>
      <w:r>
        <w:t xml:space="preserve">While this </w:t>
      </w:r>
      <w:r w:rsidRPr="00A653E5">
        <w:t xml:space="preserve">review was not intended to </w:t>
      </w:r>
      <w:r>
        <w:t>systematically review the available evidence for surgery and radiotherapy in isolation,</w:t>
      </w:r>
      <w:r w:rsidRPr="00A653E5">
        <w:t xml:space="preserve"> </w:t>
      </w:r>
      <w:r>
        <w:t>targeted</w:t>
      </w:r>
      <w:r w:rsidRPr="00A653E5">
        <w:t xml:space="preserve"> </w:t>
      </w:r>
      <w:r>
        <w:t>searches identified</w:t>
      </w:r>
      <w:r w:rsidRPr="00A653E5">
        <w:t xml:space="preserve"> a paucity of </w:t>
      </w:r>
      <w:r>
        <w:t>RCT</w:t>
      </w:r>
      <w:r w:rsidRPr="00A653E5">
        <w:t xml:space="preserve"> evidence for any intervention, including both </w:t>
      </w:r>
      <w:r>
        <w:t>diffused</w:t>
      </w:r>
      <w:r w:rsidRPr="00A653E5">
        <w:t xml:space="preserve"> and emerging </w:t>
      </w:r>
      <w:r>
        <w:t>services</w:t>
      </w:r>
      <w:r w:rsidRPr="00A653E5">
        <w:t xml:space="preserve">. </w:t>
      </w:r>
    </w:p>
    <w:p w14:paraId="5FF2D627" w14:textId="545F306E" w:rsidR="007717C8" w:rsidRPr="00A653E5" w:rsidRDefault="007717C8" w:rsidP="007717C8">
      <w:r w:rsidRPr="00A653E5">
        <w:t>For primary cancer</w:t>
      </w:r>
      <w:r>
        <w:t>,</w:t>
      </w:r>
      <w:r w:rsidRPr="00A653E5">
        <w:t xml:space="preserve"> current practice reflects treatment goals of cure or prolonged survival, and, surgical resection is believed to offer patients their best chance at both. The limited evidence available for early stage NSCLC shows that treatment is better than no treatment in terms of overall survival time from diagnosis</w:t>
      </w:r>
      <w:r>
        <w:t xml:space="preserve"> </w:t>
      </w:r>
      <w:r>
        <w:fldChar w:fldCharType="begin">
          <w:fldData xml:space="preserve">PEVuZE5vdGU+PENpdGU+PEF1dGhvcj5Lb3NoeTwvQXV0aG9yPjxZZWFyPjIwMTU8L1llYXI+PFJl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</w:fldData>
        </w:fldChar>
      </w:r>
      <w:r w:rsidR="00194054">
        <w:instrText xml:space="preserve"> ADDIN EN.CITE </w:instrText>
      </w:r>
      <w:r w:rsidR="00194054">
        <w:fldChar w:fldCharType="begin">
          <w:fldData xml:space="preserve">PEVuZE5vdGU+PENpdGU+PEF1dGhvcj5Lb3NoeTwvQXV0aG9yPjxZZWFyPjIwMTU8L1llYXI+PFJl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</w:fldData>
        </w:fldChar>
      </w:r>
      <w:r w:rsidR="00194054">
        <w:instrText xml:space="preserve"> ADDIN EN.CITE.DATA </w:instrText>
      </w:r>
      <w:r w:rsidR="00194054">
        <w:fldChar w:fldCharType="end"/>
      </w:r>
      <w:r>
        <w:fldChar w:fldCharType="separate"/>
      </w:r>
      <w:r>
        <w:rPr>
          <w:noProof/>
        </w:rPr>
        <w:t>(</w:t>
      </w:r>
      <w:hyperlink w:anchor="_ENREF_82" w:tooltip="Koshy, 2015 #137" w:history="1">
        <w:r w:rsidR="00320458">
          <w:rPr>
            <w:noProof/>
          </w:rPr>
          <w:t>Koshy et al 2015</w:t>
        </w:r>
      </w:hyperlink>
      <w:r>
        <w:rPr>
          <w:noProof/>
        </w:rPr>
        <w:t>)</w:t>
      </w:r>
      <w:r>
        <w:fldChar w:fldCharType="end"/>
      </w:r>
      <w:r w:rsidRPr="00A653E5">
        <w:t xml:space="preserve">. However, for patients who are </w:t>
      </w:r>
      <w:r>
        <w:t xml:space="preserve">not </w:t>
      </w:r>
      <w:r w:rsidRPr="00A653E5">
        <w:t xml:space="preserve">eligible for surgical therapy there are a range of non-invasive treatment options </w:t>
      </w:r>
      <w:r>
        <w:t>that</w:t>
      </w:r>
      <w:r w:rsidRPr="00A653E5">
        <w:t xml:space="preserve"> have not been robustly </w:t>
      </w:r>
      <w:r w:rsidRPr="00A653E5">
        <w:lastRenderedPageBreak/>
        <w:t xml:space="preserve">compared against one another, or to surgery. Therapies such as radiotherapy have become accepted based on physician experience with these modalities, results of </w:t>
      </w:r>
      <w:r>
        <w:t xml:space="preserve">small, </w:t>
      </w:r>
      <w:r w:rsidRPr="00A653E5">
        <w:t xml:space="preserve">uncontrolled trials and the </w:t>
      </w:r>
      <w:r>
        <w:t>understanding of the impact of not intervening.</w:t>
      </w:r>
      <w:r w:rsidRPr="00A653E5">
        <w:t xml:space="preserve"> </w:t>
      </w:r>
    </w:p>
    <w:p w14:paraId="020E72B5" w14:textId="1291BD5E" w:rsidR="007717C8" w:rsidRPr="00A653E5" w:rsidRDefault="007717C8" w:rsidP="007717C8">
      <w:r w:rsidRPr="00A653E5">
        <w:t>In the setting of oligometastatic disease in the lung, even the benefit of surgery is uncertain</w:t>
      </w:r>
      <w:r>
        <w:t xml:space="preserve"> </w:t>
      </w:r>
      <w:r>
        <w:fldChar w:fldCharType="begin"/>
      </w:r>
      <w:r w:rsidR="00194054">
        <w:instrText xml:space="preserve"> ADDIN EN.CITE &lt;EndNote&gt;&lt;Cite&gt;&lt;Author&gt;Fiorentino&lt;/Author&gt;&lt;Year&gt;2010&lt;/Year&gt;&lt;RecNum&gt;135&lt;/RecNum&gt;&lt;DisplayText&gt;(Fiorentino et al 2010)&lt;/DisplayText&gt;&lt;record&gt;&lt;rec-number&gt;135&lt;/rec-number&gt;&lt;foreign-keys&gt;&lt;key app="EN" db-id="05ssdaw2cf0zvye5xvo5z9ww0xdpfstrdtew" timestamp="1468559371"&gt;135&lt;/key&gt;&lt;/foreign-keys&gt;&lt;ref-type name="Journal Article"&gt;17&lt;/ref-type&gt;&lt;contributors&gt;&lt;authors&gt;&lt;author&gt;Fiorentino, F.&lt;/author&gt;&lt;author&gt;Hunt, I.&lt;/author&gt;&lt;author&gt;Teoh, K.&lt;/author&gt;&lt;author&gt;Treasure, T.&lt;/author&gt;&lt;author&gt;Utley, M.&lt;/author&gt;&lt;/authors&gt;&lt;/contributors&gt;&lt;auth-address&gt;Clinical Operational Research Unit, Department of Mathematics, University College London London WC1H 0BT.&lt;/auth-address&gt;&lt;titles&gt;&lt;title&gt;Pulmonary metastasectomy in colorectal cancer: a systematic review and quantitative synthesis&lt;/title&gt;&lt;secondary-title&gt;J R Soc Med&lt;/secondary-title&gt;&lt;alt-title&gt;Journal of the Royal Society of Medicine&lt;/alt-title&gt;&lt;/titles&gt;&lt;periodical&gt;&lt;full-title&gt;J R Soc Med&lt;/full-title&gt;&lt;abbr-1&gt;Journal of the Royal Society of Medicine&lt;/abbr-1&gt;&lt;/periodical&gt;&lt;alt-periodical&gt;&lt;full-title&gt;J R Soc Med&lt;/full-title&gt;&lt;abbr-1&gt;Journal of the Royal Society of Medicine&lt;/abbr-1&gt;&lt;/alt-periodical&gt;&lt;pages&gt;60-6&lt;/pages&gt;&lt;volume&gt;103&lt;/volume&gt;&lt;number&gt;2&lt;/number&gt;&lt;edition&gt;2010/02/02&lt;/edition&gt;&lt;keywords&gt;&lt;keyword&gt;Colorectal Neoplasms/*pathology&lt;/keyword&gt;&lt;keyword&gt;Humans&lt;/keyword&gt;&lt;keyword&gt;Lung Neoplasms/*secondary/*surgery&lt;/keyword&gt;&lt;keyword&gt;Pneumonectomy/*statistics &amp;amp; numerical data&lt;/keyword&gt;&lt;/keywords&gt;&lt;dates&gt;&lt;year&gt;2010&lt;/year&gt;&lt;pub-dates&gt;&lt;date&gt;Feb&lt;/date&gt;&lt;/pub-dates&gt;&lt;/dates&gt;&lt;isbn&gt;0141-0768&lt;/isbn&gt;&lt;accession-num&gt;20118336&lt;/accession-num&gt;&lt;urls&gt;&lt;related-urls&gt;&lt;url&gt;http://www.ncbi.nlm.nih.gov/pmc/articles/PMC2813785/pdf/60.pdf&lt;/url&gt;&lt;/related-urls&gt;&lt;/urls&gt;&lt;custom2&gt;Pmc2813785&lt;/custom2&gt;&lt;electronic-resource-num&gt;10.1258/jrsm.2009.090299&lt;/electronic-resource-num&gt;&lt;remote-database-provider&gt;NLM&lt;/remote-database-provider&gt;&lt;research-notes&gt;excluded, not a sr &lt;/research-notes&gt;&lt;language&gt;eng&lt;/language&gt;&lt;/record&gt;&lt;/Cite&gt;&lt;/EndNote&gt;</w:instrText>
      </w:r>
      <w:r>
        <w:fldChar w:fldCharType="separate"/>
      </w:r>
      <w:r>
        <w:rPr>
          <w:noProof/>
        </w:rPr>
        <w:t>(</w:t>
      </w:r>
      <w:hyperlink w:anchor="_ENREF_53" w:tooltip="Fiorentino, 2010 #1992" w:history="1">
        <w:r w:rsidR="00320458">
          <w:rPr>
            <w:noProof/>
          </w:rPr>
          <w:t>Fiorentino et al 2010</w:t>
        </w:r>
      </w:hyperlink>
      <w:r>
        <w:rPr>
          <w:noProof/>
        </w:rPr>
        <w:t>)</w:t>
      </w:r>
      <w:r>
        <w:fldChar w:fldCharType="end"/>
      </w:r>
      <w:r>
        <w:t xml:space="preserve">, </w:t>
      </w:r>
      <w:r w:rsidRPr="005B6C9D">
        <w:t>and searches did not identify any comparative evidence. Equally important is a dearth of any information regarding patient wellbeing after resection, particularly</w:t>
      </w:r>
      <w:r w:rsidRPr="00A653E5">
        <w:t xml:space="preserve"> as patients often undergo repeated resections.</w:t>
      </w:r>
      <w:r w:rsidR="00FE016B" w:rsidRPr="00FE016B">
        <w:t xml:space="preserve"> Local opinion from a cardiothoracic surgeon suggests that patient lung function and quality of life are not materially impacted following wedge resection of the lung. </w:t>
      </w:r>
      <w:r w:rsidRPr="00A653E5">
        <w:t xml:space="preserve"> Following from </w:t>
      </w:r>
      <w:r>
        <w:t>the</w:t>
      </w:r>
      <w:r w:rsidRPr="00A653E5">
        <w:t xml:space="preserve"> assumption that intervention is associated with prolonged survival, radiotherapy has also become an accepted therapy in </w:t>
      </w:r>
      <w:r>
        <w:t xml:space="preserve">the management of </w:t>
      </w:r>
      <w:r w:rsidRPr="00A653E5">
        <w:t xml:space="preserve">oligometastatic disease. </w:t>
      </w:r>
    </w:p>
    <w:p w14:paraId="7F5349BD" w14:textId="77777777" w:rsidR="007717C8" w:rsidRPr="00A653E5" w:rsidRDefault="007717C8" w:rsidP="007717C8">
      <w:r w:rsidRPr="00A653E5">
        <w:t>The relevant considerations in the context of this assessment are:</w:t>
      </w:r>
    </w:p>
    <w:p w14:paraId="3940DC83" w14:textId="77777777" w:rsidR="007717C8" w:rsidRPr="00A653E5" w:rsidRDefault="007717C8" w:rsidP="009970F5">
      <w:pPr>
        <w:pStyle w:val="ListParagraph"/>
        <w:numPr>
          <w:ilvl w:val="0"/>
          <w:numId w:val="72"/>
        </w:numPr>
        <w:spacing w:before="0"/>
        <w:contextualSpacing/>
        <w:jc w:val="left"/>
      </w:pPr>
      <w:r w:rsidRPr="00A653E5">
        <w:t xml:space="preserve">First, it is assumed that randomised trials are </w:t>
      </w:r>
      <w:r>
        <w:t>unlikely</w:t>
      </w:r>
      <w:r w:rsidRPr="00A653E5">
        <w:t xml:space="preserve"> due to the accepted effectiveness of es</w:t>
      </w:r>
      <w:r w:rsidR="00CD7B01">
        <w:t xml:space="preserve">tablished therapies. However, </w:t>
      </w:r>
      <w:r w:rsidRPr="00A653E5">
        <w:t>randomised or pseudo-randomised trial</w:t>
      </w:r>
      <w:r w:rsidR="00CD7B01">
        <w:t>s</w:t>
      </w:r>
      <w:r w:rsidRPr="00A653E5">
        <w:t xml:space="preserve"> </w:t>
      </w:r>
      <w:r w:rsidR="00CD7B01">
        <w:t>are</w:t>
      </w:r>
      <w:r w:rsidRPr="00A653E5">
        <w:t xml:space="preserve"> the </w:t>
      </w:r>
      <w:r>
        <w:t>best available method</w:t>
      </w:r>
      <w:r w:rsidR="00CD7B01">
        <w:t>s</w:t>
      </w:r>
      <w:r>
        <w:t xml:space="preserve"> </w:t>
      </w:r>
      <w:r w:rsidRPr="00A653E5">
        <w:t xml:space="preserve">by which to validate accepted, but unproven, </w:t>
      </w:r>
      <w:r>
        <w:t>treatments</w:t>
      </w:r>
      <w:r w:rsidRPr="00A653E5">
        <w:t xml:space="preserve">. Without such evidence, it </w:t>
      </w:r>
      <w:r>
        <w:t>is</w:t>
      </w:r>
      <w:r w:rsidRPr="00A653E5">
        <w:t xml:space="preserve"> </w:t>
      </w:r>
      <w:r>
        <w:t xml:space="preserve">difficult </w:t>
      </w:r>
      <w:r w:rsidRPr="00A653E5">
        <w:t>to establish the comparative benefit</w:t>
      </w:r>
      <w:r>
        <w:t>s</w:t>
      </w:r>
      <w:r w:rsidRPr="00A653E5">
        <w:t xml:space="preserve"> or harm</w:t>
      </w:r>
      <w:r>
        <w:t>s</w:t>
      </w:r>
      <w:r w:rsidRPr="00A653E5">
        <w:t xml:space="preserve"> of current or future </w:t>
      </w:r>
      <w:r>
        <w:t>services</w:t>
      </w:r>
      <w:r w:rsidR="00A8163C">
        <w:t>.</w:t>
      </w:r>
    </w:p>
    <w:p w14:paraId="085859F2" w14:textId="77777777" w:rsidR="007717C8" w:rsidRPr="00A653E5" w:rsidRDefault="007717C8" w:rsidP="009970F5">
      <w:pPr>
        <w:pStyle w:val="ListParagraph"/>
        <w:numPr>
          <w:ilvl w:val="0"/>
          <w:numId w:val="72"/>
        </w:numPr>
        <w:spacing w:before="0"/>
        <w:contextualSpacing/>
        <w:jc w:val="left"/>
      </w:pPr>
      <w:r w:rsidRPr="00A653E5">
        <w:t xml:space="preserve">Second, although the volume of evidence for MTA is extremely limited it is not necessarily of a poorer quality than the evidence available for other currently accepted </w:t>
      </w:r>
      <w:r>
        <w:t>services</w:t>
      </w:r>
      <w:r w:rsidRPr="00A653E5">
        <w:t xml:space="preserve">. The intervention is a potentially attractive therapeutic option for patients in terms of convenience, </w:t>
      </w:r>
      <w:r>
        <w:t>no or limited requirement for repeat intervention, short</w:t>
      </w:r>
      <w:r w:rsidRPr="00A653E5">
        <w:t xml:space="preserve"> recovery times and </w:t>
      </w:r>
      <w:r>
        <w:t xml:space="preserve">limited </w:t>
      </w:r>
      <w:r w:rsidRPr="00A653E5">
        <w:t>side effects</w:t>
      </w:r>
      <w:r>
        <w:t>.</w:t>
      </w:r>
      <w:r w:rsidRPr="00A653E5">
        <w:t xml:space="preserve"> </w:t>
      </w:r>
    </w:p>
    <w:p w14:paraId="407F4FE9" w14:textId="77777777" w:rsidR="007717C8" w:rsidRPr="00A653E5" w:rsidRDefault="007717C8" w:rsidP="009970F5">
      <w:pPr>
        <w:pStyle w:val="ListParagraph"/>
        <w:numPr>
          <w:ilvl w:val="0"/>
          <w:numId w:val="72"/>
        </w:numPr>
        <w:spacing w:before="0"/>
        <w:contextualSpacing/>
        <w:jc w:val="left"/>
      </w:pPr>
      <w:r w:rsidRPr="00A653E5">
        <w:t>Third, cancer is a life-threatening disease</w:t>
      </w:r>
      <w:r>
        <w:t>.</w:t>
      </w:r>
      <w:r w:rsidRPr="00A653E5">
        <w:t xml:space="preserve"> </w:t>
      </w:r>
      <w:r>
        <w:t>T</w:t>
      </w:r>
      <w:r w:rsidRPr="00A653E5">
        <w:t xml:space="preserve">reatments </w:t>
      </w:r>
      <w:r>
        <w:t>that</w:t>
      </w:r>
      <w:r w:rsidRPr="00A653E5">
        <w:t xml:space="preserve"> pose little harm </w:t>
      </w:r>
      <w:r>
        <w:t xml:space="preserve">with uncertain effectiveness </w:t>
      </w:r>
      <w:r w:rsidRPr="00A653E5">
        <w:t>do not necessarily need high quality evidence to form a strong recommendation for use. However, once therapies become established without strong evidence it is not clear how emerging technologies should be evaluated</w:t>
      </w:r>
      <w:r>
        <w:t xml:space="preserve"> in comparison.</w:t>
      </w:r>
      <w:r w:rsidRPr="00A653E5">
        <w:t xml:space="preserve"> </w:t>
      </w:r>
      <w:r>
        <w:t xml:space="preserve">The </w:t>
      </w:r>
      <w:r w:rsidRPr="00A653E5">
        <w:t xml:space="preserve">limitations within the clinical evidence prohibit robust engagement with the </w:t>
      </w:r>
      <w:r>
        <w:t>comparative therapeutic performance of each intervention</w:t>
      </w:r>
      <w:r w:rsidRPr="00A653E5">
        <w:t>.</w:t>
      </w:r>
    </w:p>
    <w:p w14:paraId="4DC69315" w14:textId="77777777" w:rsidR="00BF0445" w:rsidRPr="00FF0533" w:rsidRDefault="00BF0445" w:rsidP="00BF0445">
      <w:pPr>
        <w:pStyle w:val="Heading2"/>
      </w:pPr>
      <w:bookmarkStart w:id="466" w:name="_Toc460396098"/>
      <w:r>
        <w:t>Policy considerations</w:t>
      </w:r>
      <w:bookmarkEnd w:id="466"/>
    </w:p>
    <w:p w14:paraId="560572AE" w14:textId="77777777" w:rsidR="007717C8" w:rsidRDefault="007717C8" w:rsidP="007717C8">
      <w:r>
        <w:t xml:space="preserve">As noted in </w:t>
      </w:r>
      <w:r w:rsidRPr="009572C0">
        <w:t>Section E</w:t>
      </w:r>
      <w:r>
        <w:t>,</w:t>
      </w:r>
      <w:r w:rsidRPr="009572C0">
        <w:t xml:space="preserve"> the</w:t>
      </w:r>
      <w:r>
        <w:t xml:space="preserve"> number of patients likely to use MTA if listed on the MBS is difficult to define. MTA is not widely used in Australian clinical practice. Several reasons have been posited by clinical experts, including a lack of MBS funding, perceived inferior effectiveness compared to SBRT, or inappropriate/small numbers of eligible patients.</w:t>
      </w:r>
    </w:p>
    <w:p w14:paraId="2A0D6630" w14:textId="2F15A58B" w:rsidR="007717C8" w:rsidRDefault="007717C8" w:rsidP="007717C8">
      <w:r>
        <w:lastRenderedPageBreak/>
        <w:t>Estimates based on clinical input suggest it is currently used in approximately 20 sites across the country, on 20</w:t>
      </w:r>
      <w:r w:rsidR="00D35E9C">
        <w:t>–</w:t>
      </w:r>
      <w:r>
        <w:t xml:space="preserve">50 patients per year in large centres. It is possible that MBS listing of the technology may increase its utilisation rate; however, this ultimately depends on a number of factors. Clinical input suggests that MTA is currently used in patients who are not ideal candidates for radiotherapy or surgery. Reasons might include the location of their tumour(s), comorbidities precluding surgery or patients having reached maximum radiation exposure. In this sense, MTA is providing a therapeutic option to patients who have limited alternatives, and could be seen as a complimentary or adjunctive treatment. </w:t>
      </w:r>
      <w:r w:rsidRPr="005E2347">
        <w:t>Further to this, the literature search also identified experimental studies in which thermal ablation was combined with radiotherapy</w:t>
      </w:r>
      <w:r>
        <w:t xml:space="preserve"> </w:t>
      </w:r>
      <w:r>
        <w:fldChar w:fldCharType="begin">
          <w:fldData xml:space="preserve">PEVuZE5vdGU+PENpdGU+PEF1dGhvcj5EdXB1eTwvQXV0aG9yPjxZZWFyPjIwMDY8L1llYXI+PFJl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00194054">
        <w:instrText xml:space="preserve"> ADDIN EN.CITE </w:instrText>
      </w:r>
      <w:r w:rsidR="00194054">
        <w:fldChar w:fldCharType="begin">
          <w:fldData xml:space="preserve">PEVuZE5vdGU+PENpdGU+PEF1dGhvcj5EdXB1eTwvQXV0aG9yPjxZZWFyPjIwMDY8L1llYXI+PFJl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00194054">
        <w:instrText xml:space="preserve"> ADDIN EN.CITE.DATA </w:instrText>
      </w:r>
      <w:r w:rsidR="00194054">
        <w:fldChar w:fldCharType="end"/>
      </w:r>
      <w:r>
        <w:fldChar w:fldCharType="separate"/>
      </w:r>
      <w:r>
        <w:rPr>
          <w:noProof/>
        </w:rPr>
        <w:t>(</w:t>
      </w:r>
      <w:hyperlink w:anchor="_ENREF_45" w:tooltip="Dupuy, 2006 #245" w:history="1">
        <w:r w:rsidR="00320458">
          <w:rPr>
            <w:noProof/>
          </w:rPr>
          <w:t>Dupuy et al 2006</w:t>
        </w:r>
      </w:hyperlink>
      <w:r>
        <w:rPr>
          <w:noProof/>
        </w:rPr>
        <w:t xml:space="preserve">; </w:t>
      </w:r>
      <w:hyperlink w:anchor="_ENREF_59" w:tooltip="Grieco, 2006 #246" w:history="1">
        <w:r w:rsidR="00320458">
          <w:rPr>
            <w:noProof/>
          </w:rPr>
          <w:t>Grieco et al 2006</w:t>
        </w:r>
      </w:hyperlink>
      <w:r>
        <w:rPr>
          <w:noProof/>
        </w:rPr>
        <w:t>)</w:t>
      </w:r>
      <w:r>
        <w:fldChar w:fldCharType="end"/>
      </w:r>
      <w:r w:rsidRPr="005E2347">
        <w:t xml:space="preserve">. These studies showed that there was no added toxicity or morbidity from combining the treatments. This was also confirmed by a later study combining RFA with brachytherapy </w:t>
      </w:r>
      <w:r>
        <w:fldChar w:fldCharType="begin">
          <w:fldData xml:space="preserve">PEVuZE5vdGU+PENpdGU+PEF1dGhvcj5DaGFuPC9BdXRob3I+PFllYXI+MjAxMTwvWWVhcj48UmVj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194054">
        <w:instrText xml:space="preserve"> ADDIN EN.CITE </w:instrText>
      </w:r>
      <w:r w:rsidR="00194054">
        <w:fldChar w:fldCharType="begin">
          <w:fldData xml:space="preserve">PEVuZE5vdGU+PENpdGU+PEF1dGhvcj5DaGFuPC9BdXRob3I+PFllYXI+MjAxMTwvWWVhcj48UmVj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194054">
        <w:instrText xml:space="preserve"> ADDIN EN.CITE.DATA </w:instrText>
      </w:r>
      <w:r w:rsidR="00194054">
        <w:fldChar w:fldCharType="end"/>
      </w:r>
      <w:r>
        <w:fldChar w:fldCharType="separate"/>
      </w:r>
      <w:r>
        <w:rPr>
          <w:noProof/>
        </w:rPr>
        <w:t>(</w:t>
      </w:r>
      <w:hyperlink w:anchor="_ENREF_29" w:tooltip="Chan, 2011 #247" w:history="1">
        <w:r w:rsidR="00320458">
          <w:rPr>
            <w:noProof/>
          </w:rPr>
          <w:t>Chan et al 2011</w:t>
        </w:r>
      </w:hyperlink>
      <w:r>
        <w:rPr>
          <w:noProof/>
        </w:rPr>
        <w:t>)</w:t>
      </w:r>
      <w:r>
        <w:fldChar w:fldCharType="end"/>
      </w:r>
      <w:r w:rsidRPr="005E2347">
        <w:t>.</w:t>
      </w:r>
      <w:r>
        <w:t xml:space="preserve"> It is not clear how the use of thermal ablation technologies would change in the setting of reimbursement.</w:t>
      </w:r>
    </w:p>
    <w:p w14:paraId="5F160545" w14:textId="77777777" w:rsidR="007717C8" w:rsidRDefault="007717C8" w:rsidP="007717C8">
      <w:r w:rsidRPr="00CE6526">
        <w:t>In practice, it appears that decisions regarding treatment approach</w:t>
      </w:r>
      <w:r>
        <w:t>es</w:t>
      </w:r>
      <w:r w:rsidRPr="00CE6526">
        <w:t xml:space="preserve"> are generally made by multi-disciplinary teams who take into account the expected benefits and harms of each treatment option.</w:t>
      </w:r>
      <w:r>
        <w:t xml:space="preserve"> The approach of these teams to treatment may be affected by the reimbursement status of thermal ablative options. </w:t>
      </w:r>
      <w:r w:rsidRPr="006A31A4">
        <w:t>Currently, the use of MTA seems to be largel</w:t>
      </w:r>
      <w:r>
        <w:t xml:space="preserve">y confined to the public system; however, this would be expected to change if the treatment was listed on the MBS. </w:t>
      </w:r>
    </w:p>
    <w:p w14:paraId="6AD50CFE" w14:textId="77777777" w:rsidR="007717C8" w:rsidRDefault="007717C8" w:rsidP="007717C8">
      <w:r>
        <w:t>A further consideration is the management of oligometastatic disease. There is a range of opinion presented in the peer-reviewed literature on:</w:t>
      </w:r>
    </w:p>
    <w:p w14:paraId="0A605FD1" w14:textId="77777777" w:rsidR="007717C8" w:rsidRDefault="007717C8" w:rsidP="009970F5">
      <w:pPr>
        <w:pStyle w:val="ListParagraph"/>
        <w:numPr>
          <w:ilvl w:val="0"/>
          <w:numId w:val="71"/>
        </w:numPr>
        <w:spacing w:before="0"/>
        <w:contextualSpacing/>
        <w:jc w:val="left"/>
      </w:pPr>
      <w:r>
        <w:t>whether oligometastases should be treated aggressively;</w:t>
      </w:r>
    </w:p>
    <w:p w14:paraId="2E488C00" w14:textId="77777777" w:rsidR="007717C8" w:rsidRDefault="007717C8" w:rsidP="009970F5">
      <w:pPr>
        <w:pStyle w:val="ListParagraph"/>
        <w:numPr>
          <w:ilvl w:val="0"/>
          <w:numId w:val="71"/>
        </w:numPr>
        <w:spacing w:before="0"/>
        <w:contextualSpacing/>
        <w:jc w:val="left"/>
      </w:pPr>
      <w:r>
        <w:t>under what conditions oligometastases are amenable to potential cure; and</w:t>
      </w:r>
    </w:p>
    <w:p w14:paraId="302FA2E2" w14:textId="77777777" w:rsidR="007717C8" w:rsidRDefault="007717C8" w:rsidP="009970F5">
      <w:pPr>
        <w:pStyle w:val="ListParagraph"/>
        <w:numPr>
          <w:ilvl w:val="0"/>
          <w:numId w:val="71"/>
        </w:numPr>
        <w:spacing w:before="0"/>
        <w:contextualSpacing/>
        <w:jc w:val="left"/>
      </w:pPr>
      <w:proofErr w:type="gramStart"/>
      <w:r>
        <w:t>the</w:t>
      </w:r>
      <w:proofErr w:type="gramEnd"/>
      <w:r>
        <w:t xml:space="preserve"> best treatment options for oligometastatic disease.</w:t>
      </w:r>
    </w:p>
    <w:p w14:paraId="2E888B80" w14:textId="008B0EC0" w:rsidR="007717C8" w:rsidRDefault="007717C8" w:rsidP="007717C8">
      <w:r>
        <w:t xml:space="preserve">The literature reflects changes in practice that favour the aggressive treatment of metastases in the lung in patients with </w:t>
      </w:r>
      <w:r w:rsidRPr="00A653E5">
        <w:t xml:space="preserve">one to five lesions, </w:t>
      </w:r>
      <w:r>
        <w:t xml:space="preserve">a </w:t>
      </w:r>
      <w:r w:rsidRPr="00A653E5">
        <w:t>primary cancer that is con</w:t>
      </w:r>
      <w:r>
        <w:t xml:space="preserve">trolled or amenable to control and </w:t>
      </w:r>
      <w:r w:rsidRPr="00A653E5">
        <w:t>absent or contro</w:t>
      </w:r>
      <w:r>
        <w:t xml:space="preserve">lled extra thoracic metastases </w:t>
      </w:r>
      <w:r>
        <w:fldChar w:fldCharType="begin">
          <w:fldData xml:space="preserve">PEVuZE5vdGU+PENpdGU+PEF1dGhvcj5UcmVhc3VyZTwvQXV0aG9yPjxZZWFyPjIwMTI8L1llYXI+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</w:fldData>
        </w:fldChar>
      </w:r>
      <w:r w:rsidR="00194054">
        <w:instrText xml:space="preserve"> ADDIN EN.CITE </w:instrText>
      </w:r>
      <w:r w:rsidR="00194054">
        <w:fldChar w:fldCharType="begin">
          <w:fldData xml:space="preserve">PEVuZE5vdGU+PENpdGU+PEF1dGhvcj5UcmVhc3VyZTwvQXV0aG9yPjxZZWFyPjIwMTI8L1llYXI+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</w:fldData>
        </w:fldChar>
      </w:r>
      <w:r w:rsidR="00194054">
        <w:instrText xml:space="preserve"> ADDIN EN.CITE.DATA </w:instrText>
      </w:r>
      <w:r w:rsidR="00194054">
        <w:fldChar w:fldCharType="end"/>
      </w:r>
      <w:r>
        <w:fldChar w:fldCharType="separate"/>
      </w:r>
      <w:r>
        <w:rPr>
          <w:noProof/>
        </w:rPr>
        <w:t>(</w:t>
      </w:r>
      <w:hyperlink w:anchor="_ENREF_159" w:tooltip="Treasure, 2012 #134" w:history="1">
        <w:r w:rsidR="00320458">
          <w:rPr>
            <w:noProof/>
          </w:rPr>
          <w:t>Treasure 2012</w:t>
        </w:r>
      </w:hyperlink>
      <w:r>
        <w:rPr>
          <w:noProof/>
        </w:rPr>
        <w:t xml:space="preserve">; </w:t>
      </w:r>
      <w:hyperlink w:anchor="_ENREF_160" w:tooltip="Treasure, 2012 #133" w:history="1">
        <w:r w:rsidR="00320458">
          <w:rPr>
            <w:noProof/>
          </w:rPr>
          <w:t>Treasure et al 2012</w:t>
        </w:r>
      </w:hyperlink>
      <w:r>
        <w:rPr>
          <w:noProof/>
        </w:rPr>
        <w:t>)</w:t>
      </w:r>
      <w:r>
        <w:fldChar w:fldCharType="end"/>
      </w:r>
      <w:r>
        <w:t xml:space="preserve">. </w:t>
      </w:r>
      <w:r w:rsidR="00F5280A">
        <w:t>A</w:t>
      </w:r>
      <w:r>
        <w:t>s the oligometastatic state becomes an increasingly accepted indication for treatment</w:t>
      </w:r>
      <w:r w:rsidR="00196FBA">
        <w:t xml:space="preserve"> of lung cancer</w:t>
      </w:r>
      <w:r w:rsidR="006E4619">
        <w:t xml:space="preserve"> in Australia and internationally</w:t>
      </w:r>
      <w:r>
        <w:t xml:space="preserve">, it </w:t>
      </w:r>
      <w:r w:rsidR="006E4619">
        <w:t>is</w:t>
      </w:r>
      <w:r>
        <w:t xml:space="preserve"> expected that demand for SBRT, surgical resection and </w:t>
      </w:r>
      <w:r w:rsidR="006B0838">
        <w:t xml:space="preserve">potentially </w:t>
      </w:r>
      <w:r>
        <w:t xml:space="preserve">other therapies such as MTA </w:t>
      </w:r>
      <w:r w:rsidR="006B0838">
        <w:t>will</w:t>
      </w:r>
      <w:r>
        <w:t xml:space="preserve"> increase</w:t>
      </w:r>
      <w:r w:rsidR="00E06E2F">
        <w:t xml:space="preserve"> </w:t>
      </w:r>
      <w:r w:rsidR="00E06E2F">
        <w:fldChar w:fldCharType="begin"/>
      </w:r>
      <w:r w:rsidR="00320458">
        <w:instrText xml:space="preserve"> ADDIN EN.CITE &lt;EndNote&gt;&lt;Cite&gt;&lt;Author&gt;The Tripartite Committee&lt;/Author&gt;&lt;Year&gt;2012&lt;/Year&gt;&lt;RecNum&gt;257&lt;/RecNum&gt;&lt;DisplayText&gt;(The Tripartite Committee 2012)&lt;/DisplayText&gt;&lt;record&gt;&lt;rec-number&gt;257&lt;/rec-number&gt;&lt;foreign-keys&gt;&lt;key app="EN" db-id="05ssdaw2cf0zvye5xvo5z9ww0xdpfstrdtew" timestamp="1472445240"&gt;257&lt;/key&gt;&lt;/foreign-keys&gt;&lt;ref-type name="Web Page"&gt;12&lt;/ref-type&gt;&lt;contributors&gt;&lt;authors&gt;&lt;author&gt;The Tripartite Committee,&lt;/author&gt;&lt;/authors&gt;&lt;/contributors&gt;&lt;titles&gt;&lt;title&gt;The Tripartite National Strategic Plan for Radiation Oncology: 2012-2022&lt;/title&gt;&lt;/titles&gt;&lt;volume&gt;2016&lt;/volume&gt;&lt;number&gt;30 August 2016&lt;/number&gt;&lt;dates&gt;&lt;year&gt;2012&lt;/year&gt;&lt;pub-dates&gt;&lt;date&gt;18/08/2016&lt;/date&gt;&lt;/pub-dates&gt;&lt;/dates&gt;&lt;urls&gt;&lt;related-urls&gt;&lt;url&gt;http://www.radiationoncology.com.au/overview/preface-and-acknowledgements/&lt;/url&gt;&lt;/related-urls&gt;&lt;/urls&gt;&lt;/record&gt;&lt;/Cite&gt;&lt;/EndNote&gt;</w:instrText>
      </w:r>
      <w:r w:rsidR="00E06E2F">
        <w:fldChar w:fldCharType="separate"/>
      </w:r>
      <w:r w:rsidR="00E06E2F">
        <w:rPr>
          <w:noProof/>
        </w:rPr>
        <w:t>(</w:t>
      </w:r>
      <w:hyperlink w:anchor="_ENREF_155" w:tooltip="The Tripartite Committee, 2012 #257" w:history="1">
        <w:r w:rsidR="00320458">
          <w:rPr>
            <w:noProof/>
          </w:rPr>
          <w:t>The Tripartite Committee 2012</w:t>
        </w:r>
      </w:hyperlink>
      <w:r w:rsidR="00E06E2F">
        <w:rPr>
          <w:noProof/>
        </w:rPr>
        <w:t>)</w:t>
      </w:r>
      <w:r w:rsidR="00E06E2F">
        <w:fldChar w:fldCharType="end"/>
      </w:r>
      <w:r>
        <w:t xml:space="preserve">.  </w:t>
      </w:r>
    </w:p>
    <w:p w14:paraId="475C6758" w14:textId="77777777" w:rsidR="007717C8" w:rsidRDefault="007717C8" w:rsidP="007717C8">
      <w:r>
        <w:t>It should also be considered that although the proposed service for public funding is MTA, and the evidence for this technology is limited, the evidence base for thermal ablation as a whole (including RFA and MTA) is more voluminous. The clinical benefits of MTA compared to RFA are not borne out in the evidence base due to a lack of comparative data, but they appear to have a similar safety profile. However, clinicians suggest MTA is the preferred tool for thermal ablation in the lung because it offers interventionists larger, more predictable ablation volumes in shorter times.</w:t>
      </w:r>
    </w:p>
    <w:p w14:paraId="6ADC6BDE" w14:textId="77777777" w:rsidR="00343DBA" w:rsidRDefault="006C7DBA" w:rsidP="00387975">
      <w:pPr>
        <w:pStyle w:val="Heading2"/>
      </w:pPr>
      <w:bookmarkStart w:id="467" w:name="_Toc460396099"/>
      <w:r>
        <w:lastRenderedPageBreak/>
        <w:t>Non-clinical benefits and patient a</w:t>
      </w:r>
      <w:r w:rsidR="00387975">
        <w:t>ccess</w:t>
      </w:r>
      <w:bookmarkEnd w:id="467"/>
    </w:p>
    <w:p w14:paraId="252311B8" w14:textId="018441BE" w:rsidR="007717C8" w:rsidRDefault="00041091" w:rsidP="007717C8">
      <w:r>
        <w:t>A key</w:t>
      </w:r>
      <w:r w:rsidR="00BF01FA">
        <w:t xml:space="preserve"> non-clinical benefit of MTA compared to radiation therapy is the duration of treatment</w:t>
      </w:r>
      <w:r w:rsidR="009C62AA">
        <w:t xml:space="preserve">, i.e. one treatment session versus </w:t>
      </w:r>
      <w:r w:rsidR="000A50D1">
        <w:t>multiple</w:t>
      </w:r>
      <w:r w:rsidR="00BF01FA">
        <w:t>.</w:t>
      </w:r>
      <w:r w:rsidR="009C62AA">
        <w:t xml:space="preserve"> However, </w:t>
      </w:r>
      <w:r w:rsidR="000A50D1">
        <w:t xml:space="preserve">the duration of radiation therapy depends on the type of therapy offered. </w:t>
      </w:r>
      <w:r w:rsidR="00A3759D">
        <w:t>C</w:t>
      </w:r>
      <w:r w:rsidR="007717C8">
        <w:t>linical</w:t>
      </w:r>
      <w:r w:rsidR="00A3759D">
        <w:t xml:space="preserve"> feedback</w:t>
      </w:r>
      <w:r w:rsidR="007717C8">
        <w:t xml:space="preserve"> indicate</w:t>
      </w:r>
      <w:r w:rsidR="00A3759D">
        <w:t>s</w:t>
      </w:r>
      <w:r w:rsidR="007717C8">
        <w:t xml:space="preserve"> that SBRT is the preferred </w:t>
      </w:r>
      <w:r w:rsidR="00A3759D">
        <w:t xml:space="preserve">radiotherapy </w:t>
      </w:r>
      <w:r w:rsidR="007717C8">
        <w:t xml:space="preserve">modality in </w:t>
      </w:r>
      <w:r w:rsidR="00D17E93">
        <w:t>patients with lung cancer</w:t>
      </w:r>
      <w:r w:rsidR="00852663">
        <w:t>. Compared to conventional radiotherapy, SBRT</w:t>
      </w:r>
      <w:r w:rsidR="005F3BBE">
        <w:t xml:space="preserve"> offers higher radiation doses in </w:t>
      </w:r>
      <w:r w:rsidR="006F07F8">
        <w:t xml:space="preserve">significantly </w:t>
      </w:r>
      <w:r w:rsidR="005F3BBE">
        <w:t>fewer sessions</w:t>
      </w:r>
      <w:r w:rsidR="00965B90">
        <w:t xml:space="preserve"> (1</w:t>
      </w:r>
      <w:r w:rsidR="00D35E9C">
        <w:t>–</w:t>
      </w:r>
      <w:r w:rsidR="009536A1">
        <w:t>10</w:t>
      </w:r>
      <w:r w:rsidR="00795811">
        <w:t xml:space="preserve"> </w:t>
      </w:r>
      <w:r w:rsidR="00773285">
        <w:t>versus 30</w:t>
      </w:r>
      <w:r w:rsidR="00D35E9C">
        <w:t>–</w:t>
      </w:r>
      <w:r w:rsidR="00773285">
        <w:t>45 sessions</w:t>
      </w:r>
      <w:r w:rsidR="00965B90">
        <w:t>)</w:t>
      </w:r>
      <w:r w:rsidR="005F3BBE">
        <w:t>,</w:t>
      </w:r>
      <w:r w:rsidR="0099507C">
        <w:t xml:space="preserve"> and</w:t>
      </w:r>
      <w:r w:rsidR="005F3BBE">
        <w:t xml:space="preserve"> with a higher degree of tissue sparing.</w:t>
      </w:r>
      <w:r w:rsidR="007717C8" w:rsidRPr="00893D2E">
        <w:t xml:space="preserve"> </w:t>
      </w:r>
      <w:r w:rsidR="00E41CCA">
        <w:t>However</w:t>
      </w:r>
      <w:r w:rsidR="007717C8">
        <w:t xml:space="preserve">, </w:t>
      </w:r>
      <w:r w:rsidR="00E41CCA">
        <w:t xml:space="preserve">the </w:t>
      </w:r>
      <w:r w:rsidR="00136E60">
        <w:t>delivery of SBRT requires</w:t>
      </w:r>
      <w:r w:rsidR="002A624F">
        <w:t xml:space="preserve"> </w:t>
      </w:r>
      <w:r w:rsidR="00204BEF">
        <w:t xml:space="preserve">a </w:t>
      </w:r>
      <w:r w:rsidR="00F047BF">
        <w:t xml:space="preserve">highly </w:t>
      </w:r>
      <w:r w:rsidR="007717C8" w:rsidRPr="00893D2E">
        <w:t>specialised workforce</w:t>
      </w:r>
      <w:r w:rsidR="002848DA">
        <w:t xml:space="preserve"> </w:t>
      </w:r>
      <w:r w:rsidR="00204BEF">
        <w:t xml:space="preserve">and expensive </w:t>
      </w:r>
      <w:r w:rsidR="00204BEF" w:rsidRPr="00893D2E">
        <w:t>infrastructure</w:t>
      </w:r>
      <w:r w:rsidR="00204BEF">
        <w:t xml:space="preserve">. </w:t>
      </w:r>
      <w:r w:rsidR="007717C8">
        <w:t xml:space="preserve">According to the </w:t>
      </w:r>
      <w:r w:rsidR="007717C8" w:rsidRPr="00893D2E">
        <w:t>Tripartite National Strategic Plan for Radiation Oncology 2012</w:t>
      </w:r>
      <w:r w:rsidR="00D35E9C">
        <w:t>–</w:t>
      </w:r>
      <w:r w:rsidR="007717C8" w:rsidRPr="00893D2E">
        <w:t>2022</w:t>
      </w:r>
      <w:r w:rsidR="007717C8">
        <w:t xml:space="preserve">, SBRT is offered in </w:t>
      </w:r>
      <w:r w:rsidR="007717C8" w:rsidRPr="00893D2E">
        <w:t xml:space="preserve">11 centres (21%) </w:t>
      </w:r>
      <w:r w:rsidR="00E14BD9">
        <w:t>in Australia</w:t>
      </w:r>
      <w:r w:rsidR="007717C8">
        <w:t xml:space="preserve"> </w:t>
      </w:r>
      <w:r w:rsidR="007717C8">
        <w:fldChar w:fldCharType="begin"/>
      </w:r>
      <w:r w:rsidR="00320458">
        <w:instrText xml:space="preserve"> ADDIN EN.CITE &lt;EndNote&gt;&lt;Cite&gt;&lt;Author&gt;The Tripartite Committee&lt;/Author&gt;&lt;Year&gt;2012&lt;/Year&gt;&lt;RecNum&gt;257&lt;/RecNum&gt;&lt;DisplayText&gt;(The Tripartite Committee 2012)&lt;/DisplayText&gt;&lt;record&gt;&lt;rec-number&gt;257&lt;/rec-number&gt;&lt;foreign-keys&gt;&lt;key app="EN" db-id="05ssdaw2cf0zvye5xvo5z9ww0xdpfstrdtew" timestamp="1472445240"&gt;257&lt;/key&gt;&lt;/foreign-keys&gt;&lt;ref-type name="Web Page"&gt;12&lt;/ref-type&gt;&lt;contributors&gt;&lt;authors&gt;&lt;author&gt;The Tripartite Committee,&lt;/author&gt;&lt;/authors&gt;&lt;/contributors&gt;&lt;titles&gt;&lt;title&gt;The Tripartite National Strategic Plan for Radiation Oncology: 2012-2022&lt;/title&gt;&lt;/titles&gt;&lt;volume&gt;2016&lt;/volume&gt;&lt;number&gt;30 August 2016&lt;/number&gt;&lt;dates&gt;&lt;year&gt;2012&lt;/year&gt;&lt;pub-dates&gt;&lt;date&gt;18/08/2016&lt;/date&gt;&lt;/pub-dates&gt;&lt;/dates&gt;&lt;urls&gt;&lt;related-urls&gt;&lt;url&gt;http://www.radiationoncology.com.au/overview/preface-and-acknowledgements/&lt;/url&gt;&lt;/related-urls&gt;&lt;/urls&gt;&lt;/record&gt;&lt;/Cite&gt;&lt;/EndNote&gt;</w:instrText>
      </w:r>
      <w:r w:rsidR="007717C8">
        <w:fldChar w:fldCharType="separate"/>
      </w:r>
      <w:r w:rsidR="007717C8">
        <w:rPr>
          <w:noProof/>
        </w:rPr>
        <w:t>(</w:t>
      </w:r>
      <w:hyperlink w:anchor="_ENREF_155" w:tooltip="The Tripartite Committee, 2012 #257" w:history="1">
        <w:r w:rsidR="00320458">
          <w:rPr>
            <w:noProof/>
          </w:rPr>
          <w:t>The Tripartite Committee 2012</w:t>
        </w:r>
      </w:hyperlink>
      <w:r w:rsidR="007717C8">
        <w:rPr>
          <w:noProof/>
        </w:rPr>
        <w:t>)</w:t>
      </w:r>
      <w:r w:rsidR="007717C8">
        <w:fldChar w:fldCharType="end"/>
      </w:r>
      <w:r w:rsidR="007717C8" w:rsidRPr="00893D2E">
        <w:t xml:space="preserve">. </w:t>
      </w:r>
      <w:r w:rsidR="007717C8">
        <w:t>The majority (</w:t>
      </w:r>
      <w:r w:rsidR="007717C8" w:rsidRPr="00893D2E">
        <w:t>82%</w:t>
      </w:r>
      <w:r w:rsidR="007717C8">
        <w:t>)</w:t>
      </w:r>
      <w:r w:rsidR="007717C8" w:rsidRPr="00893D2E">
        <w:t xml:space="preserve"> of stereotactic equipment is located in </w:t>
      </w:r>
      <w:r w:rsidR="007717C8">
        <w:t>public sector facilities</w:t>
      </w:r>
      <w:r w:rsidR="00A73C75">
        <w:t>,</w:t>
      </w:r>
      <w:r w:rsidR="007717C8">
        <w:t xml:space="preserve"> with the remainder (18%) </w:t>
      </w:r>
      <w:r w:rsidR="007717C8" w:rsidRPr="00893D2E">
        <w:t xml:space="preserve">located at privately owned facilities. </w:t>
      </w:r>
      <w:r w:rsidR="007717C8">
        <w:t xml:space="preserve"> According to the report, the </w:t>
      </w:r>
      <w:r w:rsidR="007717C8" w:rsidRPr="00893D2E">
        <w:t>Australian Capital Territory, Northern Territory and Tasmania do not offer any stereotactic services</w:t>
      </w:r>
      <w:r w:rsidR="009720CF">
        <w:t>.</w:t>
      </w:r>
    </w:p>
    <w:p w14:paraId="4D6B933D" w14:textId="77777777" w:rsidR="004143ED" w:rsidRDefault="00EA2C00" w:rsidP="004143ED">
      <w:r>
        <w:t>R</w:t>
      </w:r>
      <w:r w:rsidR="005F0235">
        <w:t>adiation therapy may</w:t>
      </w:r>
      <w:r w:rsidR="007717C8">
        <w:t xml:space="preserve"> </w:t>
      </w:r>
      <w:r w:rsidR="007717C8" w:rsidRPr="00893D2E">
        <w:t xml:space="preserve">involve </w:t>
      </w:r>
      <w:r w:rsidR="00B07096">
        <w:t>greater</w:t>
      </w:r>
      <w:r w:rsidR="007717C8" w:rsidRPr="00893D2E">
        <w:t xml:space="preserve"> indirect </w:t>
      </w:r>
      <w:r w:rsidR="003B7359">
        <w:t>costs</w:t>
      </w:r>
      <w:r w:rsidR="00B07096">
        <w:t xml:space="preserve"> compared to MTA</w:t>
      </w:r>
      <w:r>
        <w:t xml:space="preserve"> due to the increased number of treatment sessions, p</w:t>
      </w:r>
      <w:r w:rsidR="00AD61E0">
        <w:t xml:space="preserve">articularly for </w:t>
      </w:r>
      <w:r w:rsidR="001D5ED6">
        <w:t>patients</w:t>
      </w:r>
      <w:r w:rsidR="00AD61E0">
        <w:t xml:space="preserve"> who live in rural or remote areas</w:t>
      </w:r>
      <w:r>
        <w:t xml:space="preserve"> or who do not have access to SBRT</w:t>
      </w:r>
      <w:r w:rsidR="007717C8" w:rsidRPr="00893D2E">
        <w:t xml:space="preserve">. These include childcare, accommodation, </w:t>
      </w:r>
      <w:r w:rsidR="00C53ECB">
        <w:t xml:space="preserve">travel, </w:t>
      </w:r>
      <w:r w:rsidR="007717C8" w:rsidRPr="00893D2E">
        <w:t>and time away from work. The cost savings associated with less travel and lost productive time are not explored in the cost minimisation analysis.</w:t>
      </w:r>
      <w:r w:rsidR="007717C8">
        <w:t xml:space="preserve"> However, it may be that MTA could be made available to patients </w:t>
      </w:r>
      <w:r w:rsidR="00E52E9E">
        <w:t xml:space="preserve">more easily </w:t>
      </w:r>
      <w:r w:rsidR="007717C8">
        <w:t>and may have significant benefits over conventional radiotherapy treatments in terms of these indirect costs.</w:t>
      </w:r>
      <w:r w:rsidR="00301AD1">
        <w:t xml:space="preserve"> </w:t>
      </w:r>
      <w:r w:rsidR="004143ED">
        <w:t xml:space="preserve">Where SBRT is not available, the convenience offered by MTA may be seen as an important benefit compared to conventional radiotherapy. </w:t>
      </w:r>
    </w:p>
    <w:p w14:paraId="18AFD7AF" w14:textId="77777777" w:rsidR="00387975" w:rsidRDefault="00387975" w:rsidP="00387975">
      <w:pPr>
        <w:pStyle w:val="Heading2"/>
      </w:pPr>
      <w:bookmarkStart w:id="468" w:name="_Toc460396100"/>
      <w:r>
        <w:t>Ongoing clinical trials</w:t>
      </w:r>
      <w:bookmarkEnd w:id="468"/>
    </w:p>
    <w:p w14:paraId="2CF20295" w14:textId="2705705A" w:rsidR="007717C8" w:rsidRDefault="007717C8" w:rsidP="007717C8">
      <w:r>
        <w:t>A search of clinical trials identified one comparative trial of MTA (NCT02455843)</w:t>
      </w:r>
      <w:r w:rsidR="00D65F34">
        <w:t>, and one single arm trial of MTA (NCT02673021)</w:t>
      </w:r>
      <w:r w:rsidR="00F2109B">
        <w:t xml:space="preserve"> that are current </w:t>
      </w:r>
      <w:r w:rsidR="002B03ED">
        <w:t>recruiting</w:t>
      </w:r>
      <w:r>
        <w:t>:</w:t>
      </w:r>
    </w:p>
    <w:p w14:paraId="5B59D5D5" w14:textId="77777777" w:rsidR="007717C8" w:rsidRPr="00502E6C" w:rsidRDefault="007717C8" w:rsidP="009970F5">
      <w:pPr>
        <w:pStyle w:val="ListParagraph"/>
        <w:numPr>
          <w:ilvl w:val="0"/>
          <w:numId w:val="70"/>
        </w:numPr>
        <w:spacing w:before="0"/>
        <w:ind w:left="714" w:hanging="357"/>
        <w:contextualSpacing/>
        <w:jc w:val="left"/>
      </w:pPr>
      <w:r w:rsidRPr="00502E6C">
        <w:t xml:space="preserve">NCT02455843, Microwave </w:t>
      </w:r>
      <w:proofErr w:type="gramStart"/>
      <w:r w:rsidRPr="00502E6C">
        <w:t>Plus</w:t>
      </w:r>
      <w:proofErr w:type="gramEnd"/>
      <w:r w:rsidRPr="00502E6C">
        <w:t xml:space="preserve"> Chemotherapy Versus Chemotherapy for Advanced NSCLC. This trial is currently recruiting participants and is a multicentre, randomised, open-label phase III trial comparing MTA with chemotherapy versus chemotherapy alone in patients with advanced NSCLC. </w:t>
      </w:r>
    </w:p>
    <w:p w14:paraId="206D4611" w14:textId="77777777" w:rsidR="007717C8" w:rsidRDefault="007717C8" w:rsidP="009970F5">
      <w:pPr>
        <w:pStyle w:val="ListParagraph"/>
        <w:numPr>
          <w:ilvl w:val="0"/>
          <w:numId w:val="70"/>
        </w:numPr>
        <w:spacing w:before="0"/>
        <w:ind w:left="714" w:hanging="357"/>
        <w:contextualSpacing/>
        <w:jc w:val="left"/>
      </w:pPr>
      <w:r>
        <w:t xml:space="preserve">NCT02673021, MARK 1A Series: Percutaneous Microwave Ablation for Patients With Lung Tumor(s) (MARK 1A). This trial is currently recruiting participants and is a single arm trial enrolling patients with lung cancer who are at a high risk for surgery. </w:t>
      </w:r>
    </w:p>
    <w:p w14:paraId="1B25AD0E" w14:textId="77777777" w:rsidR="00FE7A78" w:rsidRPr="00C604D1" w:rsidRDefault="00FE7A78" w:rsidP="00AB5FB3"/>
    <w:p w14:paraId="0F6CB261" w14:textId="77777777" w:rsidR="004E45C4" w:rsidRPr="00183E4D" w:rsidRDefault="004E45C4" w:rsidP="00DF343F">
      <w:pPr>
        <w:keepNext/>
        <w:pageBreakBefore/>
        <w:pBdr>
          <w:bottom w:val="single" w:sz="4" w:space="1" w:color="auto"/>
        </w:pBdr>
        <w:spacing w:after="360"/>
        <w:ind w:left="2835" w:hanging="2835"/>
        <w:outlineLvl w:val="0"/>
        <w:rPr>
          <w:b/>
          <w:sz w:val="44"/>
        </w:rPr>
      </w:pPr>
      <w:bookmarkStart w:id="469" w:name="_Ref352745383"/>
      <w:bookmarkStart w:id="470" w:name="_Toc352254677"/>
      <w:bookmarkStart w:id="471" w:name="_Toc352672949"/>
      <w:bookmarkStart w:id="472" w:name="_Toc355274740"/>
      <w:bookmarkStart w:id="473" w:name="_Toc379118097"/>
      <w:bookmarkStart w:id="474" w:name="_Toc381796496"/>
      <w:bookmarkStart w:id="475" w:name="_Toc460396101"/>
      <w:bookmarkStart w:id="476" w:name="_Ref237760111"/>
      <w:bookmarkEnd w:id="429"/>
      <w:r w:rsidRPr="00183E4D">
        <w:rPr>
          <w:b/>
          <w:sz w:val="44"/>
        </w:rPr>
        <w:lastRenderedPageBreak/>
        <w:t xml:space="preserve">Appendix </w:t>
      </w:r>
      <w:r w:rsidR="001C2967">
        <w:rPr>
          <w:b/>
          <w:sz w:val="44"/>
        </w:rPr>
        <w:fldChar w:fldCharType="begin"/>
      </w:r>
      <w:r w:rsidR="001C2967">
        <w:rPr>
          <w:b/>
          <w:sz w:val="44"/>
        </w:rPr>
        <w:instrText xml:space="preserve"> SEQ Appendix \* ALPHABETIC </w:instrText>
      </w:r>
      <w:r w:rsidR="001C2967">
        <w:rPr>
          <w:b/>
          <w:sz w:val="44"/>
        </w:rPr>
        <w:fldChar w:fldCharType="separate"/>
      </w:r>
      <w:r w:rsidR="00D170A5">
        <w:rPr>
          <w:b/>
          <w:noProof/>
          <w:sz w:val="44"/>
        </w:rPr>
        <w:t>A</w:t>
      </w:r>
      <w:r w:rsidR="001C2967">
        <w:rPr>
          <w:b/>
          <w:sz w:val="44"/>
        </w:rPr>
        <w:fldChar w:fldCharType="end"/>
      </w:r>
      <w:bookmarkEnd w:id="469"/>
      <w:bookmarkEnd w:id="470"/>
      <w:bookmarkEnd w:id="471"/>
      <w:r w:rsidR="00745565" w:rsidRPr="00183E4D">
        <w:rPr>
          <w:b/>
          <w:sz w:val="44"/>
        </w:rPr>
        <w:tab/>
      </w:r>
      <w:r w:rsidR="003E626D">
        <w:rPr>
          <w:b/>
          <w:sz w:val="44"/>
        </w:rPr>
        <w:t>Clinical Experts</w:t>
      </w:r>
      <w:r w:rsidR="00745565" w:rsidRPr="00183E4D">
        <w:rPr>
          <w:b/>
          <w:sz w:val="44"/>
        </w:rPr>
        <w:t xml:space="preserve"> </w:t>
      </w:r>
      <w:r w:rsidRPr="00183E4D">
        <w:rPr>
          <w:b/>
          <w:sz w:val="44"/>
        </w:rPr>
        <w:t>and Assessment Group</w:t>
      </w:r>
      <w:bookmarkEnd w:id="472"/>
      <w:bookmarkEnd w:id="473"/>
      <w:bookmarkEnd w:id="474"/>
      <w:bookmarkEnd w:id="475"/>
    </w:p>
    <w:p w14:paraId="5803E0DE" w14:textId="11DD4B54" w:rsidR="004E45C4" w:rsidRPr="00183E4D" w:rsidRDefault="004E45C4" w:rsidP="00C6342F">
      <w:pPr>
        <w:pStyle w:val="Heading2"/>
        <w:tabs>
          <w:tab w:val="left" w:pos="3969"/>
        </w:tabs>
      </w:pPr>
      <w:bookmarkStart w:id="477" w:name="_Toc379118099"/>
      <w:bookmarkStart w:id="478" w:name="_Toc381796498"/>
      <w:bookmarkStart w:id="479" w:name="_Toc460396102"/>
      <w:r w:rsidRPr="00183E4D">
        <w:t xml:space="preserve">Assessment </w:t>
      </w:r>
      <w:r w:rsidR="00D42D0C">
        <w:t>G</w:t>
      </w:r>
      <w:r w:rsidRPr="00183E4D">
        <w:t>roup</w:t>
      </w:r>
      <w:bookmarkEnd w:id="477"/>
      <w:bookmarkEnd w:id="478"/>
      <w:r w:rsidR="003E626D">
        <w:t xml:space="preserve"> </w:t>
      </w:r>
      <w:bookmarkEnd w:id="479"/>
    </w:p>
    <w:p w14:paraId="27D6963E" w14:textId="77777777" w:rsidR="004E45C4" w:rsidRPr="00183E4D" w:rsidRDefault="004E45C4" w:rsidP="00C6342F">
      <w:pPr>
        <w:tabs>
          <w:tab w:val="left" w:pos="3969"/>
        </w:tabs>
        <w:spacing w:after="40"/>
        <w:ind w:left="3969" w:hanging="3969"/>
        <w:rPr>
          <w:u w:val="single"/>
        </w:rPr>
      </w:pPr>
      <w:r w:rsidRPr="00183E4D">
        <w:rPr>
          <w:u w:val="single"/>
        </w:rPr>
        <w:t>Name</w:t>
      </w:r>
      <w:r w:rsidRPr="00183E4D">
        <w:tab/>
      </w:r>
      <w:r w:rsidRPr="00183E4D">
        <w:rPr>
          <w:u w:val="single"/>
        </w:rPr>
        <w:t>Position</w:t>
      </w:r>
    </w:p>
    <w:p w14:paraId="6E4E8A15" w14:textId="77777777" w:rsidR="007B1DC8" w:rsidRDefault="00C6342F" w:rsidP="00C6342F">
      <w:pPr>
        <w:tabs>
          <w:tab w:val="left" w:pos="3969"/>
        </w:tabs>
        <w:ind w:left="3969" w:hanging="3969"/>
      </w:pPr>
      <w:r>
        <w:t>Alun Cameron</w:t>
      </w:r>
      <w:r>
        <w:tab/>
      </w:r>
      <w:r w:rsidR="00EB32D0">
        <w:t xml:space="preserve">Research Manager, </w:t>
      </w:r>
      <w:r w:rsidR="00EB32D0" w:rsidRPr="00EB32D0">
        <w:t>Australian Safety and Efficacy Register of New Interventional Procedures – Surgical (ASERNIP-S), Royal Australasian College of Surgeons, Adelaide, South Australia, Australia</w:t>
      </w:r>
    </w:p>
    <w:p w14:paraId="5614455C" w14:textId="77777777" w:rsidR="00EB32D0" w:rsidRDefault="00EB32D0" w:rsidP="00C6342F">
      <w:pPr>
        <w:tabs>
          <w:tab w:val="left" w:pos="3969"/>
        </w:tabs>
        <w:ind w:left="3969" w:hanging="3969"/>
      </w:pPr>
      <w:r>
        <w:t>Robyn Lambert</w:t>
      </w:r>
      <w:r>
        <w:tab/>
      </w:r>
      <w:r w:rsidRPr="00EB32D0">
        <w:t>Senior Research Officer, ASERNIP-S, Royal Australasian College of Surgeons, Adelaide, South Australia, Australia</w:t>
      </w:r>
    </w:p>
    <w:p w14:paraId="62B5AC77" w14:textId="77777777" w:rsidR="008E7488" w:rsidRDefault="008E7488" w:rsidP="00C6342F">
      <w:pPr>
        <w:tabs>
          <w:tab w:val="left" w:pos="3969"/>
        </w:tabs>
        <w:ind w:left="3969" w:hanging="3969"/>
      </w:pPr>
      <w:r>
        <w:t>Thomas Vreugdenburg</w:t>
      </w:r>
      <w:r>
        <w:tab/>
        <w:t xml:space="preserve">Senior Research Officer, </w:t>
      </w:r>
      <w:r w:rsidRPr="00EB32D0">
        <w:t>ASERNIP-S, Royal Australasian College of Surgeons, Adelaide, South Australia, Australia</w:t>
      </w:r>
    </w:p>
    <w:p w14:paraId="663A0E9B" w14:textId="75A823D9" w:rsidR="00025297" w:rsidRDefault="00025297" w:rsidP="00025297">
      <w:pPr>
        <w:tabs>
          <w:tab w:val="left" w:pos="3969"/>
        </w:tabs>
        <w:ind w:left="3969" w:hanging="3969"/>
      </w:pPr>
      <w:r>
        <w:t>Ross McLeod</w:t>
      </w:r>
      <w:r>
        <w:tab/>
      </w:r>
      <w:r>
        <w:tab/>
        <w:t>Director, eSYS Development Pty Limited</w:t>
      </w:r>
      <w:r w:rsidR="00FE016B" w:rsidRPr="00FE016B">
        <w:t>, Sydney, New South Wales, Australia</w:t>
      </w:r>
    </w:p>
    <w:p w14:paraId="6EA64D76" w14:textId="77777777" w:rsidR="00EB32D0" w:rsidRDefault="00EB32D0" w:rsidP="00C6342F">
      <w:pPr>
        <w:tabs>
          <w:tab w:val="left" w:pos="3969"/>
        </w:tabs>
        <w:ind w:left="3969" w:hanging="3969"/>
      </w:pPr>
      <w:r>
        <w:t>Yasoba Atukorale</w:t>
      </w:r>
      <w:r>
        <w:tab/>
        <w:t xml:space="preserve">Research Officer, </w:t>
      </w:r>
      <w:r w:rsidRPr="00EB32D0">
        <w:t>ASERNIP-S, Royal Australasian College of Surgeons, Adelaide, South Australia, Australia</w:t>
      </w:r>
    </w:p>
    <w:p w14:paraId="7CF687D9" w14:textId="77777777" w:rsidR="008E7488" w:rsidRDefault="008E7488" w:rsidP="00C6342F">
      <w:pPr>
        <w:tabs>
          <w:tab w:val="left" w:pos="3969"/>
        </w:tabs>
        <w:ind w:left="3969" w:hanging="3969"/>
      </w:pPr>
      <w:r>
        <w:t>Meegan Vandepeer</w:t>
      </w:r>
      <w:r>
        <w:tab/>
        <w:t xml:space="preserve">Research Officer, </w:t>
      </w:r>
      <w:r w:rsidRPr="00EB32D0">
        <w:t>ASERNIP-S, Royal Australasian College of Surgeons, Adelaide, South Australia, Australia</w:t>
      </w:r>
    </w:p>
    <w:p w14:paraId="18C683E6" w14:textId="77777777" w:rsidR="008E7488" w:rsidRDefault="008E7488" w:rsidP="00C6342F">
      <w:pPr>
        <w:tabs>
          <w:tab w:val="left" w:pos="3969"/>
        </w:tabs>
        <w:ind w:left="3969" w:hanging="3969"/>
      </w:pPr>
      <w:r>
        <w:t>Nicholas Marlow</w:t>
      </w:r>
      <w:r>
        <w:tab/>
        <w:t xml:space="preserve">Team Leader, </w:t>
      </w:r>
      <w:r w:rsidRPr="00EB32D0">
        <w:t>ASERNIP-S, Royal Australasian College of Surgeons, Adelaide, South Australia, Australia</w:t>
      </w:r>
    </w:p>
    <w:p w14:paraId="1C5752DC" w14:textId="65F07644" w:rsidR="00E027FA" w:rsidRPr="00183E4D" w:rsidRDefault="00E027FA" w:rsidP="00FE016B">
      <w:pPr>
        <w:tabs>
          <w:tab w:val="left" w:pos="3969"/>
        </w:tabs>
        <w:spacing w:after="120"/>
        <w:ind w:left="3969" w:hanging="3969"/>
      </w:pPr>
      <w:r>
        <w:t>Anje Scarfe</w:t>
      </w:r>
      <w:r>
        <w:tab/>
        <w:t xml:space="preserve">Research Officer, </w:t>
      </w:r>
      <w:r w:rsidRPr="00EB32D0">
        <w:t>ASERNIP-S, Royal Australasian College of Surgeons, Adelaide, South Australia, Australia</w:t>
      </w:r>
    </w:p>
    <w:p w14:paraId="018ED718" w14:textId="108125A9" w:rsidR="00FE016B" w:rsidRDefault="00FE016B" w:rsidP="00AC17E4">
      <w:pPr>
        <w:pStyle w:val="Heading2"/>
        <w:tabs>
          <w:tab w:val="left" w:pos="3969"/>
        </w:tabs>
      </w:pPr>
      <w:bookmarkStart w:id="480" w:name="_Toc352254679"/>
      <w:bookmarkStart w:id="481" w:name="_Toc352672951"/>
      <w:bookmarkStart w:id="482" w:name="_Toc352761736"/>
      <w:bookmarkStart w:id="483" w:name="_Toc460396103"/>
      <w:r>
        <w:t>Clinical Experts</w:t>
      </w:r>
    </w:p>
    <w:p w14:paraId="6E1AAD8E" w14:textId="79F6746E" w:rsidR="00FE016B" w:rsidRPr="00FE016B" w:rsidRDefault="00FE016B" w:rsidP="00FE016B">
      <w:pPr>
        <w:spacing w:after="120"/>
      </w:pPr>
      <w:r w:rsidRPr="00FE016B">
        <w:t>During the course of the assessment clinical input was obtained from a range of local experts in the fields of oncology, interventional radiology, radiation oncology and cardiothoracic surgery.</w:t>
      </w:r>
    </w:p>
    <w:p w14:paraId="12BECFF8" w14:textId="5FDE561C" w:rsidR="004E45C4" w:rsidRPr="00AC17E4" w:rsidRDefault="00AC17E4" w:rsidP="00AC17E4">
      <w:pPr>
        <w:pStyle w:val="Heading2"/>
        <w:tabs>
          <w:tab w:val="left" w:pos="3969"/>
        </w:tabs>
      </w:pPr>
      <w:r>
        <w:lastRenderedPageBreak/>
        <w:t>C</w:t>
      </w:r>
      <w:r w:rsidR="004E45C4" w:rsidRPr="00AC17E4">
        <w:t xml:space="preserve">onflicts of </w:t>
      </w:r>
      <w:r w:rsidR="00D42D0C">
        <w:t>I</w:t>
      </w:r>
      <w:r w:rsidR="004E45C4" w:rsidRPr="00AC17E4">
        <w:t>nterest</w:t>
      </w:r>
      <w:bookmarkEnd w:id="480"/>
      <w:bookmarkEnd w:id="481"/>
      <w:bookmarkEnd w:id="482"/>
      <w:bookmarkEnd w:id="483"/>
    </w:p>
    <w:p w14:paraId="3D3D2686" w14:textId="77777777" w:rsidR="004E45C4" w:rsidRPr="00183E4D" w:rsidRDefault="002E7E77" w:rsidP="00DF343F">
      <w:r>
        <w:t>The review authors and clinical experts have</w:t>
      </w:r>
      <w:r w:rsidR="003F69BC">
        <w:t xml:space="preserve"> no conflicts of interest</w:t>
      </w:r>
      <w:r>
        <w:t xml:space="preserve"> to disclose.</w:t>
      </w:r>
    </w:p>
    <w:p w14:paraId="6DFBBCD1" w14:textId="77777777" w:rsidR="007A7960" w:rsidRPr="00183E4D" w:rsidRDefault="00193B87" w:rsidP="00DF343F">
      <w:pPr>
        <w:pStyle w:val="Heading1"/>
      </w:pPr>
      <w:bookmarkStart w:id="484" w:name="_Toc379118100"/>
      <w:bookmarkStart w:id="485" w:name="_Toc381796499"/>
      <w:bookmarkStart w:id="486" w:name="_Toc460396104"/>
      <w:bookmarkEnd w:id="476"/>
      <w:r w:rsidRPr="00183E4D">
        <w:lastRenderedPageBreak/>
        <w:t xml:space="preserve">Appendix </w:t>
      </w:r>
      <w:fldSimple w:instr=" SEQ Appendix \* ALPHABETIC ">
        <w:r w:rsidR="00D170A5">
          <w:rPr>
            <w:noProof/>
          </w:rPr>
          <w:t>B</w:t>
        </w:r>
      </w:fldSimple>
      <w:r w:rsidR="00871F61" w:rsidRPr="00183E4D">
        <w:tab/>
        <w:t>Search strategies</w:t>
      </w:r>
      <w:bookmarkEnd w:id="484"/>
      <w:bookmarkEnd w:id="485"/>
      <w:bookmarkEnd w:id="486"/>
    </w:p>
    <w:p w14:paraId="6D878B78" w14:textId="1883FA0A" w:rsidR="00E40E41" w:rsidRPr="00183E4D" w:rsidRDefault="00E40E41" w:rsidP="00E825D4">
      <w:pPr>
        <w:pStyle w:val="Heading2"/>
      </w:pPr>
      <w:bookmarkStart w:id="487" w:name="_Toc294256148"/>
      <w:bookmarkStart w:id="488" w:name="_Toc301358577"/>
      <w:bookmarkStart w:id="489" w:name="_Toc303677590"/>
      <w:bookmarkStart w:id="490" w:name="_Toc303677762"/>
      <w:bookmarkStart w:id="491" w:name="_Toc381796500"/>
      <w:bookmarkStart w:id="492" w:name="_Toc460396105"/>
      <w:r w:rsidRPr="00183E4D">
        <w:t xml:space="preserve">Bibliographic </w:t>
      </w:r>
      <w:r w:rsidR="00D42D0C">
        <w:t>D</w:t>
      </w:r>
      <w:r w:rsidRPr="00183E4D">
        <w:t>atabases</w:t>
      </w:r>
      <w:bookmarkEnd w:id="487"/>
      <w:bookmarkEnd w:id="488"/>
      <w:bookmarkEnd w:id="489"/>
      <w:bookmarkEnd w:id="490"/>
      <w:bookmarkEnd w:id="491"/>
      <w:bookmarkEnd w:id="492"/>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ibliographic databases"/>
        <w:tblDescription w:val="List of electronic databases searched for the systematic review."/>
      </w:tblPr>
      <w:tblGrid>
        <w:gridCol w:w="4962"/>
        <w:gridCol w:w="3969"/>
      </w:tblGrid>
      <w:tr w:rsidR="0021273B" w:rsidRPr="00183E4D" w14:paraId="75E5CB68" w14:textId="77777777" w:rsidTr="00D05B33">
        <w:trPr>
          <w:trHeight w:val="303"/>
        </w:trPr>
        <w:tc>
          <w:tcPr>
            <w:tcW w:w="4962" w:type="dxa"/>
          </w:tcPr>
          <w:p w14:paraId="03FE6A04" w14:textId="77777777" w:rsidR="0021273B" w:rsidRPr="001E266A" w:rsidRDefault="0021273B" w:rsidP="001E266A">
            <w:pPr>
              <w:pStyle w:val="Tabletext1"/>
              <w:rPr>
                <w:b/>
              </w:rPr>
            </w:pPr>
            <w:r w:rsidRPr="001E266A">
              <w:rPr>
                <w:b/>
              </w:rPr>
              <w:t>Electronic database</w:t>
            </w:r>
          </w:p>
        </w:tc>
        <w:tc>
          <w:tcPr>
            <w:tcW w:w="3969" w:type="dxa"/>
          </w:tcPr>
          <w:p w14:paraId="5235D2D3" w14:textId="77777777" w:rsidR="0021273B" w:rsidRPr="001E266A" w:rsidRDefault="0021273B" w:rsidP="001E266A">
            <w:pPr>
              <w:pStyle w:val="Tabletext1"/>
              <w:rPr>
                <w:b/>
              </w:rPr>
            </w:pPr>
            <w:r w:rsidRPr="001E266A">
              <w:rPr>
                <w:b/>
              </w:rPr>
              <w:t>Time period</w:t>
            </w:r>
            <w:r w:rsidR="00591A6D" w:rsidRPr="001E266A">
              <w:rPr>
                <w:b/>
              </w:rPr>
              <w:t xml:space="preserve"> searched</w:t>
            </w:r>
          </w:p>
        </w:tc>
      </w:tr>
      <w:tr w:rsidR="0021273B" w:rsidRPr="00183E4D" w14:paraId="61F2A00F" w14:textId="77777777" w:rsidTr="00D05B33">
        <w:tc>
          <w:tcPr>
            <w:tcW w:w="4962" w:type="dxa"/>
          </w:tcPr>
          <w:p w14:paraId="0BB93E0F" w14:textId="4F0C385F" w:rsidR="0021273B" w:rsidRPr="00183E4D" w:rsidRDefault="003E1B16" w:rsidP="001E266A">
            <w:pPr>
              <w:pStyle w:val="Tabletext1"/>
              <w:rPr>
                <w:vanish/>
                <w:color w:val="C00000"/>
              </w:rPr>
            </w:pPr>
            <w:r w:rsidRPr="00183E4D">
              <w:t>Embase</w:t>
            </w:r>
          </w:p>
        </w:tc>
        <w:tc>
          <w:tcPr>
            <w:tcW w:w="3969" w:type="dxa"/>
          </w:tcPr>
          <w:p w14:paraId="5C8E80DE" w14:textId="77777777" w:rsidR="00F93B0C" w:rsidRPr="00F93B0C" w:rsidRDefault="00F93B0C" w:rsidP="001E266A">
            <w:pPr>
              <w:pStyle w:val="Tabletext1"/>
            </w:pPr>
            <w:r>
              <w:t>Search for MTA and RFA: inception – 01/06/2016</w:t>
            </w:r>
          </w:p>
        </w:tc>
      </w:tr>
      <w:tr w:rsidR="003E1B16" w:rsidRPr="00183E4D" w14:paraId="1DB5F7C4" w14:textId="77777777" w:rsidTr="00D05B33">
        <w:tc>
          <w:tcPr>
            <w:tcW w:w="4962" w:type="dxa"/>
            <w:tcBorders>
              <w:top w:val="single" w:sz="4" w:space="0" w:color="auto"/>
              <w:left w:val="single" w:sz="4" w:space="0" w:color="auto"/>
              <w:bottom w:val="single" w:sz="4" w:space="0" w:color="auto"/>
              <w:right w:val="single" w:sz="4" w:space="0" w:color="auto"/>
            </w:tcBorders>
          </w:tcPr>
          <w:p w14:paraId="33F3505E" w14:textId="77777777" w:rsidR="003E1B16" w:rsidRPr="00183E4D" w:rsidRDefault="003E1B16" w:rsidP="001E266A">
            <w:pPr>
              <w:pStyle w:val="Tabletext1"/>
            </w:pPr>
            <w:r w:rsidRPr="00183E4D">
              <w:t>Medline</w:t>
            </w:r>
            <w:r w:rsidR="00F93B0C">
              <w:t xml:space="preserve"> (via </w:t>
            </w:r>
            <w:r w:rsidR="00FB5F4A">
              <w:t>PubMed</w:t>
            </w:r>
            <w:r w:rsidR="00F93B0C">
              <w:t>)</w:t>
            </w:r>
          </w:p>
        </w:tc>
        <w:tc>
          <w:tcPr>
            <w:tcW w:w="3969" w:type="dxa"/>
            <w:tcBorders>
              <w:top w:val="single" w:sz="4" w:space="0" w:color="auto"/>
              <w:left w:val="single" w:sz="4" w:space="0" w:color="auto"/>
              <w:bottom w:val="single" w:sz="4" w:space="0" w:color="auto"/>
              <w:right w:val="single" w:sz="4" w:space="0" w:color="auto"/>
            </w:tcBorders>
          </w:tcPr>
          <w:p w14:paraId="185EF5BA" w14:textId="77777777" w:rsidR="00F93B0C" w:rsidRDefault="00F93B0C" w:rsidP="001E266A">
            <w:pPr>
              <w:pStyle w:val="Tabletext1"/>
            </w:pPr>
            <w:r w:rsidRPr="00F93B0C">
              <w:t>Search for MTA and RFA: inception – 01/06/2016</w:t>
            </w:r>
          </w:p>
          <w:p w14:paraId="0E05904E" w14:textId="77777777" w:rsidR="003E1B16" w:rsidRDefault="00F93B0C" w:rsidP="001E266A">
            <w:pPr>
              <w:pStyle w:val="Tabletext1"/>
            </w:pPr>
            <w:r>
              <w:t>Search for radiotherapy: 01/01/2006 – 15/06/2016</w:t>
            </w:r>
          </w:p>
          <w:p w14:paraId="067DA880" w14:textId="70200887" w:rsidR="000F7834" w:rsidRPr="00F93B0C" w:rsidRDefault="00E027FA" w:rsidP="001E266A">
            <w:pPr>
              <w:pStyle w:val="Tabletext1"/>
            </w:pPr>
            <w:r>
              <w:t>Search for surgery</w:t>
            </w:r>
            <w:r w:rsidR="000F7834">
              <w:t>: 01/01/2006 – 28/06/2016</w:t>
            </w:r>
          </w:p>
        </w:tc>
      </w:tr>
      <w:tr w:rsidR="0021273B" w:rsidRPr="00183E4D" w14:paraId="796DC2CA" w14:textId="77777777" w:rsidTr="00D05B33">
        <w:tc>
          <w:tcPr>
            <w:tcW w:w="4962" w:type="dxa"/>
          </w:tcPr>
          <w:p w14:paraId="68EED5B2" w14:textId="77777777" w:rsidR="0021273B" w:rsidRPr="00183E4D" w:rsidRDefault="003E1B16" w:rsidP="001E266A">
            <w:pPr>
              <w:pStyle w:val="Tabletext1"/>
            </w:pPr>
            <w:r w:rsidRPr="00183E4D">
              <w:t>The Cochrane Library (CDSR, Central, DARE, HTA, HEED)</w:t>
            </w:r>
          </w:p>
        </w:tc>
        <w:tc>
          <w:tcPr>
            <w:tcW w:w="3969" w:type="dxa"/>
          </w:tcPr>
          <w:p w14:paraId="2D88F00C" w14:textId="77777777" w:rsidR="0021273B" w:rsidRPr="00F93B0C" w:rsidRDefault="00F93B0C" w:rsidP="001E266A">
            <w:pPr>
              <w:pStyle w:val="Tabletext1"/>
            </w:pPr>
            <w:r w:rsidRPr="00F93B0C">
              <w:t>Search for MTA and RFA: inception – 01/06/2016</w:t>
            </w:r>
          </w:p>
        </w:tc>
      </w:tr>
      <w:tr w:rsidR="0021273B" w:rsidRPr="00183E4D" w14:paraId="1E80FDF5" w14:textId="77777777" w:rsidTr="00D05B33">
        <w:tc>
          <w:tcPr>
            <w:tcW w:w="4962" w:type="dxa"/>
          </w:tcPr>
          <w:p w14:paraId="02D6B5B3" w14:textId="77777777" w:rsidR="0021273B" w:rsidRPr="00183E4D" w:rsidRDefault="00F93B0C" w:rsidP="001E266A">
            <w:pPr>
              <w:pStyle w:val="Tabletext1"/>
            </w:pPr>
            <w:r>
              <w:t>T</w:t>
            </w:r>
            <w:r w:rsidRPr="00F93B0C">
              <w:t>he University of York Centre for Reviews and Dissemination</w:t>
            </w:r>
          </w:p>
        </w:tc>
        <w:tc>
          <w:tcPr>
            <w:tcW w:w="3969" w:type="dxa"/>
          </w:tcPr>
          <w:p w14:paraId="02054050" w14:textId="77777777" w:rsidR="0021273B" w:rsidRPr="00F93B0C" w:rsidRDefault="00F93B0C" w:rsidP="001E266A">
            <w:pPr>
              <w:pStyle w:val="Tabletext1"/>
            </w:pPr>
            <w:r w:rsidRPr="00F93B0C">
              <w:t>Search for MTA and RFA: inception – 01/06/2016</w:t>
            </w:r>
          </w:p>
        </w:tc>
      </w:tr>
    </w:tbl>
    <w:p w14:paraId="559B4FA7" w14:textId="1A9540AD" w:rsidR="00E40E41" w:rsidRDefault="00E40E41" w:rsidP="00E825D4">
      <w:pPr>
        <w:pStyle w:val="Heading2"/>
      </w:pPr>
      <w:bookmarkStart w:id="493" w:name="_Toc294256149"/>
      <w:bookmarkStart w:id="494" w:name="_Toc301358578"/>
      <w:bookmarkStart w:id="495" w:name="_Toc303677591"/>
      <w:bookmarkStart w:id="496" w:name="_Toc303677763"/>
      <w:bookmarkStart w:id="497" w:name="_Toc381796501"/>
      <w:bookmarkStart w:id="498" w:name="_Toc460396106"/>
      <w:r w:rsidRPr="00183E4D">
        <w:t xml:space="preserve">Additional </w:t>
      </w:r>
      <w:r w:rsidR="00D42D0C">
        <w:t>S</w:t>
      </w:r>
      <w:r w:rsidRPr="00183E4D">
        <w:t xml:space="preserve">ources of </w:t>
      </w:r>
      <w:r w:rsidR="00D42D0C">
        <w:t>Li</w:t>
      </w:r>
      <w:r w:rsidRPr="00183E4D">
        <w:t>terature</w:t>
      </w:r>
      <w:bookmarkEnd w:id="493"/>
      <w:bookmarkEnd w:id="494"/>
      <w:bookmarkEnd w:id="495"/>
      <w:bookmarkEnd w:id="496"/>
      <w:bookmarkEnd w:id="497"/>
      <w:r w:rsidR="00591A6D" w:rsidRPr="00183E4D">
        <w:t xml:space="preserve"> (including websites)</w:t>
      </w:r>
      <w:bookmarkEnd w:id="4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Caption w:val="Additional sources of literature (including websites)"/>
        <w:tblDescription w:val="List of additional sources of information used in the systematic literature review."/>
      </w:tblPr>
      <w:tblGrid>
        <w:gridCol w:w="4950"/>
        <w:gridCol w:w="3981"/>
      </w:tblGrid>
      <w:tr w:rsidR="00F93B0C" w:rsidRPr="00183E4D" w14:paraId="48B901CB" w14:textId="77777777" w:rsidTr="00025297">
        <w:trPr>
          <w:tblHeader/>
        </w:trPr>
        <w:tc>
          <w:tcPr>
            <w:tcW w:w="4950" w:type="dxa"/>
            <w:tcBorders>
              <w:bottom w:val="single" w:sz="4" w:space="0" w:color="auto"/>
              <w:right w:val="single" w:sz="4" w:space="0" w:color="auto"/>
            </w:tcBorders>
            <w:shd w:val="clear" w:color="auto" w:fill="BFBFBF" w:themeFill="background1" w:themeFillShade="BF"/>
          </w:tcPr>
          <w:p w14:paraId="424B9FF2" w14:textId="77777777" w:rsidR="00F93B0C" w:rsidRPr="001E266A" w:rsidRDefault="00F93B0C" w:rsidP="001E266A">
            <w:pPr>
              <w:pStyle w:val="Tabletext1"/>
              <w:rPr>
                <w:b/>
              </w:rPr>
            </w:pPr>
            <w:r w:rsidRPr="001E266A">
              <w:rPr>
                <w:b/>
              </w:rPr>
              <w:t>Source</w:t>
            </w:r>
          </w:p>
        </w:tc>
        <w:tc>
          <w:tcPr>
            <w:tcW w:w="3981" w:type="dxa"/>
            <w:tcBorders>
              <w:left w:val="single" w:sz="4" w:space="0" w:color="auto"/>
              <w:bottom w:val="single" w:sz="4" w:space="0" w:color="auto"/>
            </w:tcBorders>
            <w:shd w:val="clear" w:color="auto" w:fill="BFBFBF" w:themeFill="background1" w:themeFillShade="BF"/>
          </w:tcPr>
          <w:p w14:paraId="6A43DE6E" w14:textId="77777777" w:rsidR="00F93B0C" w:rsidRPr="001E266A" w:rsidRDefault="00F93B0C" w:rsidP="001E266A">
            <w:pPr>
              <w:pStyle w:val="Tabletext1"/>
              <w:rPr>
                <w:b/>
              </w:rPr>
            </w:pPr>
            <w:r w:rsidRPr="001E266A">
              <w:rPr>
                <w:b/>
              </w:rPr>
              <w:t>Location</w:t>
            </w:r>
          </w:p>
        </w:tc>
      </w:tr>
      <w:tr w:rsidR="00F93B0C" w:rsidRPr="00183E4D" w14:paraId="74525EE6" w14:textId="77777777" w:rsidTr="001E266A">
        <w:trPr>
          <w:tblHeader/>
        </w:trPr>
        <w:tc>
          <w:tcPr>
            <w:tcW w:w="4950" w:type="dxa"/>
            <w:tcBorders>
              <w:top w:val="single" w:sz="4" w:space="0" w:color="auto"/>
              <w:left w:val="single" w:sz="4" w:space="0" w:color="auto"/>
              <w:bottom w:val="single" w:sz="4" w:space="0" w:color="auto"/>
              <w:right w:val="single" w:sz="4" w:space="0" w:color="auto"/>
            </w:tcBorders>
          </w:tcPr>
          <w:p w14:paraId="7C86AECC" w14:textId="77777777" w:rsidR="00F93B0C" w:rsidRPr="00183E4D" w:rsidRDefault="00F93B0C" w:rsidP="001E266A">
            <w:pPr>
              <w:pStyle w:val="Tabletext1"/>
            </w:pPr>
            <w:r w:rsidRPr="00183E4D">
              <w:t>Australian Clinical Trials Registry</w:t>
            </w:r>
          </w:p>
        </w:tc>
        <w:tc>
          <w:tcPr>
            <w:tcW w:w="3981" w:type="dxa"/>
            <w:tcBorders>
              <w:top w:val="single" w:sz="4" w:space="0" w:color="auto"/>
              <w:left w:val="single" w:sz="4" w:space="0" w:color="auto"/>
              <w:bottom w:val="single" w:sz="4" w:space="0" w:color="auto"/>
              <w:right w:val="single" w:sz="4" w:space="0" w:color="auto"/>
            </w:tcBorders>
          </w:tcPr>
          <w:p w14:paraId="55ECB115" w14:textId="77777777" w:rsidR="00F93B0C" w:rsidRPr="00183E4D" w:rsidRDefault="00FB052C" w:rsidP="001E266A">
            <w:pPr>
              <w:pStyle w:val="Tabletext1"/>
            </w:pPr>
            <w:r>
              <w:t>www.anzctr.org.au</w:t>
            </w:r>
          </w:p>
        </w:tc>
      </w:tr>
      <w:tr w:rsidR="00F93B0C" w:rsidRPr="00183E4D" w14:paraId="39C38BD3" w14:textId="77777777" w:rsidTr="001E266A">
        <w:tc>
          <w:tcPr>
            <w:tcW w:w="4950" w:type="dxa"/>
            <w:tcBorders>
              <w:right w:val="single" w:sz="4" w:space="0" w:color="auto"/>
            </w:tcBorders>
          </w:tcPr>
          <w:p w14:paraId="170F8974" w14:textId="77777777" w:rsidR="00F93B0C" w:rsidRPr="00183E4D" w:rsidRDefault="00F93B0C" w:rsidP="001E266A">
            <w:pPr>
              <w:pStyle w:val="Tabletext1"/>
              <w:rPr>
                <w:i/>
              </w:rPr>
            </w:pPr>
            <w:r w:rsidRPr="00F93B0C">
              <w:t>ClinicalTrials.gov</w:t>
            </w:r>
          </w:p>
        </w:tc>
        <w:tc>
          <w:tcPr>
            <w:tcW w:w="3981" w:type="dxa"/>
            <w:tcBorders>
              <w:left w:val="single" w:sz="4" w:space="0" w:color="auto"/>
            </w:tcBorders>
          </w:tcPr>
          <w:p w14:paraId="4A18F032" w14:textId="77777777" w:rsidR="00F93B0C" w:rsidRPr="00183E4D" w:rsidRDefault="00F93B0C" w:rsidP="001E266A">
            <w:pPr>
              <w:pStyle w:val="Tabletext1"/>
            </w:pPr>
            <w:r w:rsidRPr="00F93B0C">
              <w:t>www.clinicaltrials.gov</w:t>
            </w:r>
          </w:p>
        </w:tc>
      </w:tr>
      <w:tr w:rsidR="00F93B0C" w:rsidRPr="00183E4D" w14:paraId="0646A5F7" w14:textId="77777777" w:rsidTr="001E266A">
        <w:tc>
          <w:tcPr>
            <w:tcW w:w="4950" w:type="dxa"/>
            <w:tcBorders>
              <w:right w:val="single" w:sz="4" w:space="0" w:color="auto"/>
            </w:tcBorders>
          </w:tcPr>
          <w:p w14:paraId="1DD7F971" w14:textId="77777777" w:rsidR="00F93B0C" w:rsidRPr="00F93B0C" w:rsidRDefault="00F93B0C" w:rsidP="001E266A">
            <w:pPr>
              <w:pStyle w:val="Tabletext1"/>
            </w:pPr>
            <w:r w:rsidRPr="00F93B0C">
              <w:t>the World Health Organisation International Clinical Trials Registry Platform</w:t>
            </w:r>
          </w:p>
        </w:tc>
        <w:tc>
          <w:tcPr>
            <w:tcW w:w="3981" w:type="dxa"/>
            <w:tcBorders>
              <w:left w:val="single" w:sz="4" w:space="0" w:color="auto"/>
            </w:tcBorders>
          </w:tcPr>
          <w:p w14:paraId="01892B16" w14:textId="77777777" w:rsidR="00F93B0C" w:rsidRPr="00F93B0C" w:rsidRDefault="00F93B0C" w:rsidP="001E266A">
            <w:pPr>
              <w:pStyle w:val="Tabletext1"/>
            </w:pPr>
            <w:r w:rsidRPr="00F93B0C">
              <w:t>www.who.int/ictrp/en</w:t>
            </w:r>
          </w:p>
        </w:tc>
      </w:tr>
    </w:tbl>
    <w:p w14:paraId="0D4EF9A9" w14:textId="77777777" w:rsidR="00F93B0C" w:rsidRDefault="00F93B0C" w:rsidP="00E825D4">
      <w:pPr>
        <w:pStyle w:val="Heading2"/>
      </w:pPr>
      <w:bookmarkStart w:id="499" w:name="_Toc460396107"/>
      <w:r>
        <w:t>Search Strategies</w:t>
      </w:r>
      <w:bookmarkEnd w:id="499"/>
    </w:p>
    <w:p w14:paraId="29CC7667" w14:textId="77777777" w:rsidR="000F7834" w:rsidRPr="003E7BA0" w:rsidRDefault="00FB5F4A" w:rsidP="000F7834">
      <w:pPr>
        <w:rPr>
          <w:b/>
          <w:i/>
        </w:rPr>
      </w:pPr>
      <w:r w:rsidRPr="003E7BA0">
        <w:rPr>
          <w:b/>
          <w:i/>
        </w:rPr>
        <w:t xml:space="preserve">Search 1: Microwave ablation executed in PubMed, Embase, </w:t>
      </w:r>
      <w:proofErr w:type="gramStart"/>
      <w:r w:rsidRPr="003E7BA0">
        <w:rPr>
          <w:b/>
          <w:i/>
        </w:rPr>
        <w:t>The</w:t>
      </w:r>
      <w:proofErr w:type="gramEnd"/>
      <w:r w:rsidRPr="003E7BA0">
        <w:rPr>
          <w:b/>
          <w:i/>
        </w:rPr>
        <w:t xml:space="preserve"> Cochrane Library (CDSR, Central, DARE, HTA, HEED), and The University of York Centre for Reviews and Dissemination</w:t>
      </w:r>
    </w:p>
    <w:p w14:paraId="23E71520" w14:textId="77777777" w:rsidR="008B3200" w:rsidRPr="008B3200" w:rsidRDefault="008B3200" w:rsidP="000F7834">
      <w:r>
        <w:t>Population terms were combined with intervention terms using the AND function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2552"/>
        <w:gridCol w:w="6379"/>
      </w:tblGrid>
      <w:tr w:rsidR="000F7834" w:rsidRPr="00183E4D" w14:paraId="759EBEE4" w14:textId="77777777" w:rsidTr="00025297">
        <w:trPr>
          <w:tblHeader/>
        </w:trPr>
        <w:tc>
          <w:tcPr>
            <w:tcW w:w="2552" w:type="dxa"/>
            <w:shd w:val="clear" w:color="auto" w:fill="BFBFBF" w:themeFill="background1" w:themeFillShade="BF"/>
          </w:tcPr>
          <w:p w14:paraId="73223FF1" w14:textId="77777777" w:rsidR="000F7834" w:rsidRPr="003C14CD" w:rsidRDefault="000F7834" w:rsidP="003C14CD">
            <w:pPr>
              <w:pStyle w:val="Tabletext1"/>
              <w:rPr>
                <w:b/>
              </w:rPr>
            </w:pPr>
            <w:r w:rsidRPr="003C14CD">
              <w:rPr>
                <w:b/>
              </w:rPr>
              <w:t>Element of clinical question</w:t>
            </w:r>
          </w:p>
        </w:tc>
        <w:tc>
          <w:tcPr>
            <w:tcW w:w="6379" w:type="dxa"/>
            <w:shd w:val="clear" w:color="auto" w:fill="BFBFBF" w:themeFill="background1" w:themeFillShade="BF"/>
          </w:tcPr>
          <w:p w14:paraId="03FC0028" w14:textId="77777777" w:rsidR="000F7834" w:rsidRPr="003C14CD" w:rsidRDefault="000F7834" w:rsidP="003C14CD">
            <w:pPr>
              <w:pStyle w:val="Tabletext1"/>
              <w:rPr>
                <w:b/>
              </w:rPr>
            </w:pPr>
            <w:r w:rsidRPr="003C14CD">
              <w:rPr>
                <w:b/>
              </w:rPr>
              <w:t>Search terms</w:t>
            </w:r>
          </w:p>
        </w:tc>
      </w:tr>
      <w:tr w:rsidR="000F7834" w:rsidRPr="00183E4D" w14:paraId="6C889703" w14:textId="77777777" w:rsidTr="009503D8">
        <w:tc>
          <w:tcPr>
            <w:tcW w:w="2552" w:type="dxa"/>
          </w:tcPr>
          <w:p w14:paraId="660E3227" w14:textId="77777777" w:rsidR="000F7834" w:rsidRPr="00183E4D" w:rsidRDefault="000F7834" w:rsidP="003C14CD">
            <w:pPr>
              <w:pStyle w:val="Tabletext1"/>
            </w:pPr>
            <w:r w:rsidRPr="00183E4D">
              <w:t>Population</w:t>
            </w:r>
          </w:p>
        </w:tc>
        <w:tc>
          <w:tcPr>
            <w:tcW w:w="6379" w:type="dxa"/>
          </w:tcPr>
          <w:p w14:paraId="49A6EFCA" w14:textId="024B8735" w:rsidR="000F7834" w:rsidRPr="004C768C" w:rsidRDefault="000F7834" w:rsidP="003C14CD">
            <w:pPr>
              <w:pStyle w:val="Tabletext1"/>
            </w:pPr>
            <w:r w:rsidRPr="004C768C">
              <w:t>#1</w:t>
            </w:r>
            <w:r w:rsidRPr="004C768C">
              <w:tab/>
              <w:t>Lungs [MeSH</w:t>
            </w:r>
            <w:r w:rsidR="00025297">
              <w:t xml:space="preserve"> and Emtree</w:t>
            </w:r>
            <w:r w:rsidRPr="004C768C">
              <w:t>]</w:t>
            </w:r>
          </w:p>
          <w:p w14:paraId="2449E842" w14:textId="77777777" w:rsidR="000F7834" w:rsidRPr="004C768C" w:rsidRDefault="000F7834" w:rsidP="003C14CD">
            <w:pPr>
              <w:pStyle w:val="Tabletext1"/>
            </w:pPr>
            <w:r w:rsidRPr="004C768C">
              <w:t>#2</w:t>
            </w:r>
            <w:r w:rsidRPr="004C768C">
              <w:tab/>
              <w:t>Pulmonary</w:t>
            </w:r>
          </w:p>
          <w:p w14:paraId="425FF794" w14:textId="77777777" w:rsidR="000F7834" w:rsidRPr="004C768C" w:rsidRDefault="000F7834" w:rsidP="003C14CD">
            <w:pPr>
              <w:pStyle w:val="Tabletext1"/>
            </w:pPr>
            <w:r w:rsidRPr="004C768C">
              <w:t>#3</w:t>
            </w:r>
            <w:r w:rsidRPr="004C768C">
              <w:tab/>
              <w:t>Lung*</w:t>
            </w:r>
          </w:p>
          <w:p w14:paraId="76A9CD2B" w14:textId="77777777" w:rsidR="000F7834" w:rsidRPr="004C768C" w:rsidRDefault="000F7834" w:rsidP="003C14CD">
            <w:pPr>
              <w:pStyle w:val="Tabletext1"/>
            </w:pPr>
            <w:r w:rsidRPr="004C768C">
              <w:t>#4</w:t>
            </w:r>
            <w:r w:rsidRPr="004C768C">
              <w:tab/>
              <w:t>Pneumo*</w:t>
            </w:r>
          </w:p>
          <w:p w14:paraId="6B30D3BE" w14:textId="77777777" w:rsidR="000F7834" w:rsidRPr="004C768C" w:rsidRDefault="000F7834" w:rsidP="003C14CD">
            <w:pPr>
              <w:pStyle w:val="Tabletext1"/>
            </w:pPr>
            <w:r w:rsidRPr="004C768C">
              <w:t>#5</w:t>
            </w:r>
            <w:r w:rsidRPr="004C768C">
              <w:tab/>
              <w:t>#1 OR #2 OR #3 OR #4</w:t>
            </w:r>
          </w:p>
          <w:p w14:paraId="4B381A3B" w14:textId="268EA312" w:rsidR="000F7834" w:rsidRPr="004C768C" w:rsidRDefault="000F7834" w:rsidP="003C14CD">
            <w:pPr>
              <w:pStyle w:val="Tabletext1"/>
            </w:pPr>
            <w:r w:rsidRPr="004C768C">
              <w:t>#6</w:t>
            </w:r>
            <w:r w:rsidRPr="004C768C">
              <w:tab/>
              <w:t>Neoplasms [MeSH</w:t>
            </w:r>
            <w:r w:rsidR="00025297">
              <w:t xml:space="preserve"> and Emtree</w:t>
            </w:r>
            <w:r w:rsidRPr="004C768C">
              <w:t>]</w:t>
            </w:r>
          </w:p>
          <w:p w14:paraId="42532D2A" w14:textId="77777777" w:rsidR="000F7834" w:rsidRPr="004C768C" w:rsidRDefault="000F7834" w:rsidP="003C14CD">
            <w:pPr>
              <w:pStyle w:val="Tabletext1"/>
            </w:pPr>
            <w:r w:rsidRPr="004C768C">
              <w:lastRenderedPageBreak/>
              <w:t>#7</w:t>
            </w:r>
            <w:r w:rsidRPr="004C768C">
              <w:tab/>
              <w:t>Cancer*</w:t>
            </w:r>
          </w:p>
          <w:p w14:paraId="0BF87509" w14:textId="77777777" w:rsidR="000F7834" w:rsidRPr="004C768C" w:rsidRDefault="000F7834" w:rsidP="003C14CD">
            <w:pPr>
              <w:pStyle w:val="Tabletext1"/>
            </w:pPr>
            <w:r w:rsidRPr="004C768C">
              <w:t>#8</w:t>
            </w:r>
            <w:r w:rsidRPr="004C768C">
              <w:tab/>
              <w:t>#6 OR #7</w:t>
            </w:r>
          </w:p>
          <w:p w14:paraId="55AE8667" w14:textId="77777777" w:rsidR="000F7834" w:rsidRPr="004C768C" w:rsidRDefault="000F7834" w:rsidP="003C14CD">
            <w:pPr>
              <w:pStyle w:val="Tabletext1"/>
            </w:pPr>
            <w:r w:rsidRPr="004C768C">
              <w:t>#9</w:t>
            </w:r>
            <w:r w:rsidRPr="004C768C">
              <w:tab/>
              <w:t>#5 AND #8</w:t>
            </w:r>
          </w:p>
          <w:p w14:paraId="2366F6BC" w14:textId="3BB415E3" w:rsidR="000F7834" w:rsidRPr="004C768C" w:rsidRDefault="000F7834" w:rsidP="003C14CD">
            <w:pPr>
              <w:pStyle w:val="Tabletext1"/>
            </w:pPr>
            <w:r w:rsidRPr="004C768C">
              <w:t>#10</w:t>
            </w:r>
            <w:r w:rsidRPr="004C768C">
              <w:tab/>
              <w:t>Neoplasm metastasis [MeSH]</w:t>
            </w:r>
            <w:r w:rsidR="00025297">
              <w:t>, Emtree = metastasis</w:t>
            </w:r>
          </w:p>
          <w:p w14:paraId="4014518E" w14:textId="77777777" w:rsidR="000F7834" w:rsidRPr="004C768C" w:rsidRDefault="000F7834" w:rsidP="003C14CD">
            <w:pPr>
              <w:pStyle w:val="Tabletext1"/>
            </w:pPr>
            <w:r w:rsidRPr="004C768C">
              <w:t>#11</w:t>
            </w:r>
            <w:r w:rsidRPr="004C768C">
              <w:tab/>
              <w:t>Metastasis</w:t>
            </w:r>
          </w:p>
          <w:p w14:paraId="66898475" w14:textId="77777777" w:rsidR="000F7834" w:rsidRPr="004C768C" w:rsidRDefault="000F7834" w:rsidP="003C14CD">
            <w:pPr>
              <w:pStyle w:val="Tabletext1"/>
            </w:pPr>
            <w:r w:rsidRPr="004C768C">
              <w:t>#12</w:t>
            </w:r>
            <w:r w:rsidRPr="004C768C">
              <w:tab/>
              <w:t>Metastases</w:t>
            </w:r>
          </w:p>
          <w:p w14:paraId="44AB6E78" w14:textId="77777777" w:rsidR="000F7834" w:rsidRPr="004C768C" w:rsidRDefault="000F7834" w:rsidP="003C14CD">
            <w:pPr>
              <w:pStyle w:val="Tabletext1"/>
            </w:pPr>
            <w:r w:rsidRPr="004C768C">
              <w:t>#13</w:t>
            </w:r>
            <w:r w:rsidRPr="004C768C">
              <w:tab/>
              <w:t>#10 OR #11 OR #12</w:t>
            </w:r>
          </w:p>
          <w:p w14:paraId="7FB9D5FE" w14:textId="3629245A" w:rsidR="000F7834" w:rsidRPr="004C768C" w:rsidRDefault="000F7834" w:rsidP="003C14CD">
            <w:pPr>
              <w:pStyle w:val="Tabletext1"/>
            </w:pPr>
            <w:r w:rsidRPr="004C768C">
              <w:t>#14</w:t>
            </w:r>
            <w:r w:rsidRPr="004C768C">
              <w:tab/>
              <w:t>#5 AND #13</w:t>
            </w:r>
          </w:p>
          <w:p w14:paraId="175380C4" w14:textId="1D43E7DC" w:rsidR="000F7834" w:rsidRPr="004C768C" w:rsidRDefault="000F7834" w:rsidP="003C14CD">
            <w:pPr>
              <w:pStyle w:val="Tabletext1"/>
            </w:pPr>
            <w:r w:rsidRPr="004C768C">
              <w:t>#15</w:t>
            </w:r>
            <w:r w:rsidRPr="004C768C">
              <w:tab/>
              <w:t>Lung neoplasm [MeSH]</w:t>
            </w:r>
            <w:r w:rsidR="00025297">
              <w:t>, Emtree = lung tumor</w:t>
            </w:r>
          </w:p>
          <w:p w14:paraId="797F8CAE" w14:textId="06B87D0F" w:rsidR="000F7834" w:rsidRPr="004C768C" w:rsidRDefault="000F7834" w:rsidP="003C14CD">
            <w:pPr>
              <w:pStyle w:val="Tabletext1"/>
            </w:pPr>
            <w:r w:rsidRPr="004C768C">
              <w:t>#16</w:t>
            </w:r>
            <w:r w:rsidRPr="004C768C">
              <w:tab/>
              <w:t>Carcinoma, non small cell lung [MeSH]</w:t>
            </w:r>
            <w:r w:rsidR="00025297">
              <w:t>, Emtree = Non small cell lung cancer</w:t>
            </w:r>
          </w:p>
          <w:p w14:paraId="2D44F93B" w14:textId="77777777" w:rsidR="000F7834" w:rsidRPr="004C768C" w:rsidRDefault="000F7834" w:rsidP="003C14CD">
            <w:pPr>
              <w:pStyle w:val="Tabletext1"/>
            </w:pPr>
            <w:r w:rsidRPr="004C768C">
              <w:t>#17</w:t>
            </w:r>
            <w:r w:rsidRPr="004C768C">
              <w:tab/>
              <w:t>Non-small cell lung cancer</w:t>
            </w:r>
          </w:p>
          <w:p w14:paraId="4A1A1663" w14:textId="77777777" w:rsidR="000F7834" w:rsidRPr="004C768C" w:rsidRDefault="000F7834" w:rsidP="003C14CD">
            <w:pPr>
              <w:pStyle w:val="Tabletext1"/>
            </w:pPr>
            <w:r w:rsidRPr="004C768C">
              <w:t>#18</w:t>
            </w:r>
            <w:r w:rsidRPr="004C768C">
              <w:tab/>
              <w:t>Non small cell lung cancer</w:t>
            </w:r>
          </w:p>
          <w:p w14:paraId="65D9B884" w14:textId="77777777" w:rsidR="000F7834" w:rsidRPr="00183E4D" w:rsidRDefault="000F7834" w:rsidP="003C14CD">
            <w:pPr>
              <w:pStyle w:val="Tabletext1"/>
            </w:pPr>
            <w:r w:rsidRPr="004C768C">
              <w:t>#19</w:t>
            </w:r>
            <w:r w:rsidRPr="004C768C">
              <w:tab/>
              <w:t>#9 OR #14 OR #15 OR #16 OR #17 OR #18</w:t>
            </w:r>
          </w:p>
        </w:tc>
      </w:tr>
      <w:tr w:rsidR="000F7834" w:rsidRPr="00183E4D" w14:paraId="64857F68" w14:textId="77777777" w:rsidTr="009503D8">
        <w:tc>
          <w:tcPr>
            <w:tcW w:w="2552" w:type="dxa"/>
          </w:tcPr>
          <w:p w14:paraId="4F163FFB" w14:textId="77777777" w:rsidR="000F7834" w:rsidRPr="00183E4D" w:rsidRDefault="000F7834" w:rsidP="003C14CD">
            <w:pPr>
              <w:pStyle w:val="Tabletext1"/>
            </w:pPr>
            <w:r w:rsidRPr="00183E4D">
              <w:lastRenderedPageBreak/>
              <w:t>Intervention</w:t>
            </w:r>
          </w:p>
        </w:tc>
        <w:tc>
          <w:tcPr>
            <w:tcW w:w="6379" w:type="dxa"/>
          </w:tcPr>
          <w:p w14:paraId="23A15D9F" w14:textId="4A57DE86" w:rsidR="000F7834" w:rsidRPr="004C768C" w:rsidRDefault="000F7834" w:rsidP="003C14CD">
            <w:pPr>
              <w:pStyle w:val="Tabletext1"/>
            </w:pPr>
            <w:r w:rsidRPr="004C768C">
              <w:t>#20</w:t>
            </w:r>
            <w:r w:rsidRPr="004C768C">
              <w:tab/>
              <w:t>Ablation</w:t>
            </w:r>
          </w:p>
          <w:p w14:paraId="009163A6" w14:textId="77777777" w:rsidR="000F7834" w:rsidRPr="004C768C" w:rsidRDefault="000F7834" w:rsidP="003C14CD">
            <w:pPr>
              <w:pStyle w:val="Tabletext1"/>
            </w:pPr>
            <w:r w:rsidRPr="004C768C">
              <w:t>#21</w:t>
            </w:r>
            <w:r w:rsidRPr="004C768C">
              <w:tab/>
              <w:t>Ablative</w:t>
            </w:r>
          </w:p>
          <w:p w14:paraId="64A88456" w14:textId="77777777" w:rsidR="000F7834" w:rsidRPr="004C768C" w:rsidRDefault="000F7834" w:rsidP="003C14CD">
            <w:pPr>
              <w:pStyle w:val="Tabletext1"/>
            </w:pPr>
            <w:r w:rsidRPr="004C768C">
              <w:t>#22</w:t>
            </w:r>
            <w:r w:rsidRPr="004C768C">
              <w:tab/>
              <w:t>Coag*</w:t>
            </w:r>
          </w:p>
          <w:p w14:paraId="2FE9B774" w14:textId="77777777" w:rsidR="000F7834" w:rsidRPr="004C768C" w:rsidRDefault="000F7834" w:rsidP="003C14CD">
            <w:pPr>
              <w:pStyle w:val="Tabletext1"/>
            </w:pPr>
            <w:r w:rsidRPr="004C768C">
              <w:t>#23</w:t>
            </w:r>
            <w:r w:rsidRPr="004C768C">
              <w:tab/>
              <w:t>#20 OR #21 OR #22</w:t>
            </w:r>
          </w:p>
          <w:p w14:paraId="342FA4C6" w14:textId="282DC3A2" w:rsidR="000F7834" w:rsidRPr="004C768C" w:rsidRDefault="000F7834" w:rsidP="003C14CD">
            <w:pPr>
              <w:pStyle w:val="Tabletext1"/>
            </w:pPr>
            <w:r w:rsidRPr="004C768C">
              <w:t>#24</w:t>
            </w:r>
            <w:r w:rsidRPr="004C768C">
              <w:tab/>
              <w:t>Ablation, catheter [MeSH]</w:t>
            </w:r>
            <w:r w:rsidR="00025297">
              <w:t xml:space="preserve">, </w:t>
            </w:r>
            <w:r w:rsidR="00025297" w:rsidRPr="00025297">
              <w:t>Emtree = Ablation therapy  OR tumor ablation OR ablation catheter OR catheter ablation OR ablation</w:t>
            </w:r>
          </w:p>
          <w:p w14:paraId="22D10C49" w14:textId="77777777" w:rsidR="000F7834" w:rsidRPr="004C768C" w:rsidRDefault="000F7834" w:rsidP="003C14CD">
            <w:pPr>
              <w:pStyle w:val="Tabletext1"/>
            </w:pPr>
            <w:r w:rsidRPr="004C768C">
              <w:t>#25</w:t>
            </w:r>
            <w:r w:rsidRPr="004C768C">
              <w:tab/>
              <w:t>#23 OR #24</w:t>
            </w:r>
          </w:p>
          <w:p w14:paraId="48D10384" w14:textId="0FDFD273" w:rsidR="000F7834" w:rsidRPr="004C768C" w:rsidRDefault="000F7834" w:rsidP="003C14CD">
            <w:pPr>
              <w:pStyle w:val="Tabletext1"/>
            </w:pPr>
            <w:r w:rsidRPr="004C768C">
              <w:t>#26</w:t>
            </w:r>
            <w:r w:rsidRPr="004C768C">
              <w:tab/>
              <w:t>Microwave [MeSH]</w:t>
            </w:r>
            <w:r w:rsidR="00025297">
              <w:t xml:space="preserve">, Emtree= </w:t>
            </w:r>
            <w:r w:rsidR="00025297" w:rsidRPr="00025297">
              <w:t>Microwav</w:t>
            </w:r>
            <w:r w:rsidR="00025297">
              <w:t>e OR microwave radiation</w:t>
            </w:r>
          </w:p>
          <w:p w14:paraId="1580C53C" w14:textId="77777777" w:rsidR="000F7834" w:rsidRPr="004C768C" w:rsidRDefault="000F7834" w:rsidP="003C14CD">
            <w:pPr>
              <w:pStyle w:val="Tabletext1"/>
            </w:pPr>
            <w:r w:rsidRPr="004C768C">
              <w:t>#27</w:t>
            </w:r>
            <w:r w:rsidRPr="004C768C">
              <w:tab/>
              <w:t>Microwave</w:t>
            </w:r>
          </w:p>
          <w:p w14:paraId="081B3FF4" w14:textId="77777777" w:rsidR="000F7834" w:rsidRPr="004C768C" w:rsidRDefault="000F7834" w:rsidP="003C14CD">
            <w:pPr>
              <w:pStyle w:val="Tabletext1"/>
            </w:pPr>
            <w:r w:rsidRPr="004C768C">
              <w:t>#28</w:t>
            </w:r>
            <w:r w:rsidRPr="004C768C">
              <w:tab/>
              <w:t>MTA</w:t>
            </w:r>
          </w:p>
          <w:p w14:paraId="18712D1D" w14:textId="77777777" w:rsidR="000F7834" w:rsidRPr="004C768C" w:rsidRDefault="000F7834" w:rsidP="003C14CD">
            <w:pPr>
              <w:pStyle w:val="Tabletext1"/>
            </w:pPr>
            <w:r w:rsidRPr="004C768C">
              <w:t>#29</w:t>
            </w:r>
            <w:r w:rsidRPr="004C768C">
              <w:tab/>
              <w:t>MWA</w:t>
            </w:r>
          </w:p>
          <w:p w14:paraId="48DC7139" w14:textId="77777777" w:rsidR="000F7834" w:rsidRPr="004C768C" w:rsidRDefault="000F7834" w:rsidP="003C14CD">
            <w:pPr>
              <w:pStyle w:val="Tabletext1"/>
            </w:pPr>
            <w:r w:rsidRPr="004C768C">
              <w:t>#30</w:t>
            </w:r>
            <w:r w:rsidRPr="004C768C">
              <w:tab/>
              <w:t>#26 OR #27 OR #28 OR #29</w:t>
            </w:r>
          </w:p>
          <w:p w14:paraId="4BF080AE" w14:textId="77777777" w:rsidR="000F7834" w:rsidRPr="00183E4D" w:rsidRDefault="000F7834" w:rsidP="003C14CD">
            <w:pPr>
              <w:pStyle w:val="Tabletext1"/>
            </w:pPr>
            <w:r w:rsidRPr="004C768C">
              <w:t>#31</w:t>
            </w:r>
            <w:r w:rsidRPr="004C768C">
              <w:tab/>
              <w:t>#25 AND #30</w:t>
            </w:r>
          </w:p>
        </w:tc>
      </w:tr>
      <w:tr w:rsidR="000F7834" w:rsidRPr="00183E4D" w14:paraId="2FBA46AF" w14:textId="77777777" w:rsidTr="009503D8">
        <w:tc>
          <w:tcPr>
            <w:tcW w:w="2552" w:type="dxa"/>
          </w:tcPr>
          <w:p w14:paraId="70759DB5" w14:textId="77777777" w:rsidR="000F7834" w:rsidRPr="00183E4D" w:rsidRDefault="000F7834" w:rsidP="003C14CD">
            <w:pPr>
              <w:pStyle w:val="Tabletext1"/>
            </w:pPr>
            <w:r w:rsidRPr="00183E4D">
              <w:t>Comparator (if applicable)</w:t>
            </w:r>
          </w:p>
        </w:tc>
        <w:tc>
          <w:tcPr>
            <w:tcW w:w="6379" w:type="dxa"/>
          </w:tcPr>
          <w:p w14:paraId="6B301C4B" w14:textId="77777777" w:rsidR="000F7834" w:rsidRPr="00183E4D" w:rsidRDefault="000F7834" w:rsidP="003C14CD">
            <w:pPr>
              <w:pStyle w:val="Tabletext1"/>
            </w:pPr>
            <w:r>
              <w:t>NA</w:t>
            </w:r>
          </w:p>
        </w:tc>
      </w:tr>
      <w:tr w:rsidR="000F7834" w:rsidRPr="00183E4D" w14:paraId="28F12EA8" w14:textId="77777777" w:rsidTr="009503D8">
        <w:tc>
          <w:tcPr>
            <w:tcW w:w="2552" w:type="dxa"/>
          </w:tcPr>
          <w:p w14:paraId="18366E89" w14:textId="77777777" w:rsidR="000F7834" w:rsidRPr="00183E4D" w:rsidRDefault="000F7834" w:rsidP="003C14CD">
            <w:pPr>
              <w:pStyle w:val="Tabletext1"/>
            </w:pPr>
            <w:r w:rsidRPr="00183E4D">
              <w:t>Outcomes (if applicable)</w:t>
            </w:r>
          </w:p>
        </w:tc>
        <w:tc>
          <w:tcPr>
            <w:tcW w:w="6379" w:type="dxa"/>
          </w:tcPr>
          <w:p w14:paraId="7B3B31C4" w14:textId="77777777" w:rsidR="000F7834" w:rsidRPr="00183E4D" w:rsidRDefault="000F7834" w:rsidP="003C14CD">
            <w:pPr>
              <w:pStyle w:val="Tabletext1"/>
            </w:pPr>
            <w:r>
              <w:t>NA</w:t>
            </w:r>
          </w:p>
        </w:tc>
      </w:tr>
      <w:tr w:rsidR="000F7834" w:rsidRPr="00183E4D" w14:paraId="5884299B" w14:textId="77777777" w:rsidTr="009503D8">
        <w:tc>
          <w:tcPr>
            <w:tcW w:w="2552" w:type="dxa"/>
          </w:tcPr>
          <w:p w14:paraId="47979FA6" w14:textId="77777777" w:rsidR="000F7834" w:rsidRPr="00183E4D" w:rsidRDefault="000F7834" w:rsidP="003C14CD">
            <w:pPr>
              <w:pStyle w:val="Tabletext1"/>
            </w:pPr>
            <w:r w:rsidRPr="00183E4D">
              <w:t>Limits</w:t>
            </w:r>
          </w:p>
        </w:tc>
        <w:tc>
          <w:tcPr>
            <w:tcW w:w="6379" w:type="dxa"/>
          </w:tcPr>
          <w:p w14:paraId="1ED47B1F" w14:textId="77777777" w:rsidR="000F7834" w:rsidRPr="00183E4D" w:rsidRDefault="000F7834" w:rsidP="003C14CD">
            <w:pPr>
              <w:pStyle w:val="Tabletext1"/>
            </w:pPr>
            <w:r>
              <w:t>English language</w:t>
            </w:r>
          </w:p>
        </w:tc>
      </w:tr>
    </w:tbl>
    <w:p w14:paraId="613CF4E0" w14:textId="77777777" w:rsidR="000F7834" w:rsidRDefault="000F7834" w:rsidP="00F93B0C">
      <w:pPr>
        <w:rPr>
          <w:i/>
        </w:rPr>
      </w:pPr>
    </w:p>
    <w:p w14:paraId="640938FD" w14:textId="77777777" w:rsidR="00E318E5" w:rsidRDefault="00E318E5" w:rsidP="00F93B0C">
      <w:pPr>
        <w:rPr>
          <w:b/>
          <w:i/>
        </w:rPr>
      </w:pPr>
      <w:r>
        <w:rPr>
          <w:b/>
          <w:i/>
        </w:rPr>
        <w:br w:type="page"/>
      </w:r>
    </w:p>
    <w:p w14:paraId="7A8B1FD8" w14:textId="475A089D" w:rsidR="00F93B0C" w:rsidRPr="003E7BA0" w:rsidRDefault="005254BA" w:rsidP="00F93B0C">
      <w:pPr>
        <w:rPr>
          <w:b/>
          <w:i/>
        </w:rPr>
      </w:pPr>
      <w:r w:rsidRPr="003E7BA0">
        <w:rPr>
          <w:b/>
          <w:i/>
        </w:rPr>
        <w:lastRenderedPageBreak/>
        <w:t>Search 2: Radiofrequency ablation executed in PubMed</w:t>
      </w:r>
      <w:r w:rsidRPr="003E7BA0">
        <w:rPr>
          <w:b/>
        </w:rPr>
        <w:t xml:space="preserve">, </w:t>
      </w:r>
      <w:r w:rsidRPr="003E7BA0">
        <w:rPr>
          <w:b/>
          <w:i/>
        </w:rPr>
        <w:t xml:space="preserve">Embase, </w:t>
      </w:r>
      <w:proofErr w:type="gramStart"/>
      <w:r w:rsidRPr="003E7BA0">
        <w:rPr>
          <w:b/>
          <w:i/>
        </w:rPr>
        <w:t>The</w:t>
      </w:r>
      <w:proofErr w:type="gramEnd"/>
      <w:r w:rsidRPr="003E7BA0">
        <w:rPr>
          <w:b/>
          <w:i/>
        </w:rPr>
        <w:t xml:space="preserve"> Cochrane Library (CDSR, Central, DARE, HTA, HEED), The University of York Centre for Reviews and Dissemination</w:t>
      </w:r>
    </w:p>
    <w:p w14:paraId="4651A5F1" w14:textId="77777777" w:rsidR="008B3200" w:rsidRPr="008B3200" w:rsidRDefault="008B3200" w:rsidP="00F93B0C">
      <w:r w:rsidRPr="008B3200">
        <w:t>Population terms were combined with intervention terms using the AND function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2410"/>
        <w:gridCol w:w="6521"/>
      </w:tblGrid>
      <w:tr w:rsidR="000F7834" w:rsidRPr="00183E4D" w14:paraId="08D59F85" w14:textId="77777777" w:rsidTr="00994BBC">
        <w:trPr>
          <w:tblHeader/>
        </w:trPr>
        <w:tc>
          <w:tcPr>
            <w:tcW w:w="2410" w:type="dxa"/>
            <w:shd w:val="clear" w:color="auto" w:fill="BFBFBF" w:themeFill="background1" w:themeFillShade="BF"/>
          </w:tcPr>
          <w:p w14:paraId="4557EDC9" w14:textId="77777777" w:rsidR="000F7834" w:rsidRPr="009503D8" w:rsidRDefault="000F7834" w:rsidP="009503D8">
            <w:pPr>
              <w:pStyle w:val="Tabletext1"/>
              <w:rPr>
                <w:b/>
              </w:rPr>
            </w:pPr>
            <w:r w:rsidRPr="009503D8">
              <w:rPr>
                <w:b/>
              </w:rPr>
              <w:t>Element of clinical question</w:t>
            </w:r>
          </w:p>
        </w:tc>
        <w:tc>
          <w:tcPr>
            <w:tcW w:w="6521" w:type="dxa"/>
            <w:shd w:val="clear" w:color="auto" w:fill="BFBFBF" w:themeFill="background1" w:themeFillShade="BF"/>
          </w:tcPr>
          <w:p w14:paraId="594A0CB0" w14:textId="77777777" w:rsidR="000F7834" w:rsidRPr="009503D8" w:rsidRDefault="000F7834" w:rsidP="009503D8">
            <w:pPr>
              <w:pStyle w:val="Tabletext1"/>
              <w:rPr>
                <w:b/>
              </w:rPr>
            </w:pPr>
            <w:r w:rsidRPr="009503D8">
              <w:rPr>
                <w:b/>
              </w:rPr>
              <w:t>Search terms</w:t>
            </w:r>
          </w:p>
        </w:tc>
      </w:tr>
      <w:tr w:rsidR="000F7834" w:rsidRPr="00183E4D" w14:paraId="1404EEBF" w14:textId="77777777" w:rsidTr="000F7834">
        <w:tc>
          <w:tcPr>
            <w:tcW w:w="2410" w:type="dxa"/>
          </w:tcPr>
          <w:p w14:paraId="06557428" w14:textId="77777777" w:rsidR="000F7834" w:rsidRPr="00183E4D" w:rsidRDefault="000F7834" w:rsidP="009503D8">
            <w:pPr>
              <w:pStyle w:val="Tabletext1"/>
            </w:pPr>
            <w:r w:rsidRPr="00183E4D">
              <w:t>Population</w:t>
            </w:r>
          </w:p>
        </w:tc>
        <w:tc>
          <w:tcPr>
            <w:tcW w:w="6521" w:type="dxa"/>
          </w:tcPr>
          <w:p w14:paraId="1B6243A3" w14:textId="77777777" w:rsidR="00994BBC" w:rsidRPr="004C768C" w:rsidRDefault="00994BBC" w:rsidP="00994BBC">
            <w:pPr>
              <w:pStyle w:val="Tabletext1"/>
            </w:pPr>
            <w:r w:rsidRPr="004C768C">
              <w:t>#1</w:t>
            </w:r>
            <w:r w:rsidRPr="004C768C">
              <w:tab/>
              <w:t>Lungs [MeSH</w:t>
            </w:r>
            <w:r>
              <w:t xml:space="preserve"> and Emtree</w:t>
            </w:r>
            <w:r w:rsidRPr="004C768C">
              <w:t>]</w:t>
            </w:r>
          </w:p>
          <w:p w14:paraId="23C9967D" w14:textId="77777777" w:rsidR="00994BBC" w:rsidRPr="004C768C" w:rsidRDefault="00994BBC" w:rsidP="00994BBC">
            <w:pPr>
              <w:pStyle w:val="Tabletext1"/>
            </w:pPr>
            <w:r w:rsidRPr="004C768C">
              <w:t>#2</w:t>
            </w:r>
            <w:r w:rsidRPr="004C768C">
              <w:tab/>
              <w:t>Pulmonary</w:t>
            </w:r>
          </w:p>
          <w:p w14:paraId="079EFDD3" w14:textId="77777777" w:rsidR="00994BBC" w:rsidRPr="004C768C" w:rsidRDefault="00994BBC" w:rsidP="00994BBC">
            <w:pPr>
              <w:pStyle w:val="Tabletext1"/>
            </w:pPr>
            <w:r w:rsidRPr="004C768C">
              <w:t>#3</w:t>
            </w:r>
            <w:r w:rsidRPr="004C768C">
              <w:tab/>
              <w:t>Lung*</w:t>
            </w:r>
          </w:p>
          <w:p w14:paraId="797C34E8" w14:textId="77777777" w:rsidR="00994BBC" w:rsidRPr="004C768C" w:rsidRDefault="00994BBC" w:rsidP="00994BBC">
            <w:pPr>
              <w:pStyle w:val="Tabletext1"/>
            </w:pPr>
            <w:r w:rsidRPr="004C768C">
              <w:t>#4</w:t>
            </w:r>
            <w:r w:rsidRPr="004C768C">
              <w:tab/>
              <w:t>Pneumo*</w:t>
            </w:r>
          </w:p>
          <w:p w14:paraId="2D069D65" w14:textId="77777777" w:rsidR="00994BBC" w:rsidRPr="004C768C" w:rsidRDefault="00994BBC" w:rsidP="00994BBC">
            <w:pPr>
              <w:pStyle w:val="Tabletext1"/>
            </w:pPr>
            <w:r w:rsidRPr="004C768C">
              <w:t>#5</w:t>
            </w:r>
            <w:r w:rsidRPr="004C768C">
              <w:tab/>
              <w:t>#1 OR #2 OR #3 OR #4</w:t>
            </w:r>
          </w:p>
          <w:p w14:paraId="71D101EE" w14:textId="77777777" w:rsidR="00994BBC" w:rsidRPr="004C768C" w:rsidRDefault="00994BBC" w:rsidP="00994BBC">
            <w:pPr>
              <w:pStyle w:val="Tabletext1"/>
            </w:pPr>
            <w:r w:rsidRPr="004C768C">
              <w:t>#6</w:t>
            </w:r>
            <w:r w:rsidRPr="004C768C">
              <w:tab/>
              <w:t>Neoplasms [MeSH</w:t>
            </w:r>
            <w:r>
              <w:t xml:space="preserve"> and Emtree</w:t>
            </w:r>
            <w:r w:rsidRPr="004C768C">
              <w:t>]</w:t>
            </w:r>
          </w:p>
          <w:p w14:paraId="7A440A48" w14:textId="77777777" w:rsidR="00994BBC" w:rsidRPr="004C768C" w:rsidRDefault="00994BBC" w:rsidP="00994BBC">
            <w:pPr>
              <w:pStyle w:val="Tabletext1"/>
            </w:pPr>
            <w:r w:rsidRPr="004C768C">
              <w:t>#7</w:t>
            </w:r>
            <w:r w:rsidRPr="004C768C">
              <w:tab/>
              <w:t>Cancer*</w:t>
            </w:r>
          </w:p>
          <w:p w14:paraId="1F4B71E8" w14:textId="77777777" w:rsidR="00994BBC" w:rsidRPr="004C768C" w:rsidRDefault="00994BBC" w:rsidP="00994BBC">
            <w:pPr>
              <w:pStyle w:val="Tabletext1"/>
            </w:pPr>
            <w:r w:rsidRPr="004C768C">
              <w:t>#8</w:t>
            </w:r>
            <w:r w:rsidRPr="004C768C">
              <w:tab/>
              <w:t>#6 OR #7</w:t>
            </w:r>
          </w:p>
          <w:p w14:paraId="2C5D8D9A" w14:textId="77777777" w:rsidR="00994BBC" w:rsidRPr="004C768C" w:rsidRDefault="00994BBC" w:rsidP="00994BBC">
            <w:pPr>
              <w:pStyle w:val="Tabletext1"/>
            </w:pPr>
            <w:r w:rsidRPr="004C768C">
              <w:t>#9</w:t>
            </w:r>
            <w:r w:rsidRPr="004C768C">
              <w:tab/>
              <w:t>#5 AND #8</w:t>
            </w:r>
          </w:p>
          <w:p w14:paraId="1C0E08E4" w14:textId="77777777" w:rsidR="00994BBC" w:rsidRPr="004C768C" w:rsidRDefault="00994BBC" w:rsidP="00994BBC">
            <w:pPr>
              <w:pStyle w:val="Tabletext1"/>
            </w:pPr>
            <w:r w:rsidRPr="004C768C">
              <w:t>#10</w:t>
            </w:r>
            <w:r w:rsidRPr="004C768C">
              <w:tab/>
              <w:t>Neoplasm metastasis [MeSH]</w:t>
            </w:r>
            <w:r>
              <w:t>, Emtree = metastasis</w:t>
            </w:r>
          </w:p>
          <w:p w14:paraId="6177D24A" w14:textId="77777777" w:rsidR="00994BBC" w:rsidRPr="004C768C" w:rsidRDefault="00994BBC" w:rsidP="00994BBC">
            <w:pPr>
              <w:pStyle w:val="Tabletext1"/>
            </w:pPr>
            <w:r w:rsidRPr="004C768C">
              <w:t>#11</w:t>
            </w:r>
            <w:r w:rsidRPr="004C768C">
              <w:tab/>
              <w:t>Metastasis</w:t>
            </w:r>
          </w:p>
          <w:p w14:paraId="4CCB5B51" w14:textId="77777777" w:rsidR="00994BBC" w:rsidRPr="004C768C" w:rsidRDefault="00994BBC" w:rsidP="00994BBC">
            <w:pPr>
              <w:pStyle w:val="Tabletext1"/>
            </w:pPr>
            <w:r w:rsidRPr="004C768C">
              <w:t>#12</w:t>
            </w:r>
            <w:r w:rsidRPr="004C768C">
              <w:tab/>
              <w:t>Metastases</w:t>
            </w:r>
          </w:p>
          <w:p w14:paraId="307B04A0" w14:textId="77777777" w:rsidR="00994BBC" w:rsidRPr="004C768C" w:rsidRDefault="00994BBC" w:rsidP="00994BBC">
            <w:pPr>
              <w:pStyle w:val="Tabletext1"/>
            </w:pPr>
            <w:r w:rsidRPr="004C768C">
              <w:t>#13</w:t>
            </w:r>
            <w:r w:rsidRPr="004C768C">
              <w:tab/>
              <w:t>#10 OR #11 OR #12</w:t>
            </w:r>
          </w:p>
          <w:p w14:paraId="7A6D2B90" w14:textId="77777777" w:rsidR="00994BBC" w:rsidRPr="004C768C" w:rsidRDefault="00994BBC" w:rsidP="00994BBC">
            <w:pPr>
              <w:pStyle w:val="Tabletext1"/>
            </w:pPr>
            <w:r w:rsidRPr="004C768C">
              <w:t>#14</w:t>
            </w:r>
            <w:r w:rsidRPr="004C768C">
              <w:tab/>
              <w:t>#5 AND #13</w:t>
            </w:r>
          </w:p>
          <w:p w14:paraId="492D316B" w14:textId="77777777" w:rsidR="00994BBC" w:rsidRPr="004C768C" w:rsidRDefault="00994BBC" w:rsidP="00994BBC">
            <w:pPr>
              <w:pStyle w:val="Tabletext1"/>
            </w:pPr>
            <w:r w:rsidRPr="004C768C">
              <w:t>#15</w:t>
            </w:r>
            <w:r w:rsidRPr="004C768C">
              <w:tab/>
              <w:t>Lung neoplasm [MeSH]</w:t>
            </w:r>
            <w:r>
              <w:t>, Emtree = lung tumor</w:t>
            </w:r>
          </w:p>
          <w:p w14:paraId="65CDA452" w14:textId="77777777" w:rsidR="00994BBC" w:rsidRPr="004C768C" w:rsidRDefault="00994BBC" w:rsidP="00994BBC">
            <w:pPr>
              <w:pStyle w:val="Tabletext1"/>
            </w:pPr>
            <w:r w:rsidRPr="004C768C">
              <w:t>#16</w:t>
            </w:r>
            <w:r w:rsidRPr="004C768C">
              <w:tab/>
              <w:t>Carcinoma, non small cell lung [MeSH]</w:t>
            </w:r>
            <w:r>
              <w:t>, Emtree = Non small cell lung cancer</w:t>
            </w:r>
          </w:p>
          <w:p w14:paraId="1D25BE73" w14:textId="77777777" w:rsidR="00994BBC" w:rsidRPr="004C768C" w:rsidRDefault="00994BBC" w:rsidP="00994BBC">
            <w:pPr>
              <w:pStyle w:val="Tabletext1"/>
            </w:pPr>
            <w:r w:rsidRPr="004C768C">
              <w:t>#17</w:t>
            </w:r>
            <w:r w:rsidRPr="004C768C">
              <w:tab/>
              <w:t>Non-small cell lung cancer</w:t>
            </w:r>
          </w:p>
          <w:p w14:paraId="4C080164" w14:textId="77777777" w:rsidR="00994BBC" w:rsidRPr="004C768C" w:rsidRDefault="00994BBC" w:rsidP="00994BBC">
            <w:pPr>
              <w:pStyle w:val="Tabletext1"/>
            </w:pPr>
            <w:r w:rsidRPr="004C768C">
              <w:t>#18</w:t>
            </w:r>
            <w:r w:rsidRPr="004C768C">
              <w:tab/>
              <w:t>Non small cell lung cancer</w:t>
            </w:r>
          </w:p>
          <w:p w14:paraId="6E281D9C" w14:textId="6A2A3B55" w:rsidR="000F7834" w:rsidRPr="00183E4D" w:rsidRDefault="00994BBC" w:rsidP="00994BBC">
            <w:pPr>
              <w:pStyle w:val="Tabletext1"/>
            </w:pPr>
            <w:r w:rsidRPr="004C768C">
              <w:t>#19</w:t>
            </w:r>
            <w:r w:rsidRPr="004C768C">
              <w:tab/>
              <w:t>#9 OR #14 OR #15 OR #16 OR #17 OR #18</w:t>
            </w:r>
          </w:p>
        </w:tc>
      </w:tr>
      <w:tr w:rsidR="000F7834" w:rsidRPr="00183E4D" w14:paraId="3E0207C5" w14:textId="77777777" w:rsidTr="000F7834">
        <w:tc>
          <w:tcPr>
            <w:tcW w:w="2410" w:type="dxa"/>
          </w:tcPr>
          <w:p w14:paraId="1C47DFA5" w14:textId="77777777" w:rsidR="000F7834" w:rsidRPr="00183E4D" w:rsidRDefault="000F7834" w:rsidP="009503D8">
            <w:pPr>
              <w:pStyle w:val="Tabletext1"/>
            </w:pPr>
            <w:r w:rsidRPr="00183E4D">
              <w:t>Intervention</w:t>
            </w:r>
          </w:p>
        </w:tc>
        <w:tc>
          <w:tcPr>
            <w:tcW w:w="6521" w:type="dxa"/>
          </w:tcPr>
          <w:p w14:paraId="45E8FE25" w14:textId="77777777" w:rsidR="00994BBC" w:rsidRPr="004C768C" w:rsidRDefault="00994BBC" w:rsidP="00994BBC">
            <w:pPr>
              <w:pStyle w:val="Tabletext1"/>
            </w:pPr>
            <w:r w:rsidRPr="004C768C">
              <w:t>#20</w:t>
            </w:r>
            <w:r w:rsidRPr="004C768C">
              <w:tab/>
              <w:t>Ablation</w:t>
            </w:r>
          </w:p>
          <w:p w14:paraId="166A9927" w14:textId="77777777" w:rsidR="00994BBC" w:rsidRPr="004C768C" w:rsidRDefault="00994BBC" w:rsidP="00994BBC">
            <w:pPr>
              <w:pStyle w:val="Tabletext1"/>
            </w:pPr>
            <w:r w:rsidRPr="004C768C">
              <w:t>#21</w:t>
            </w:r>
            <w:r w:rsidRPr="004C768C">
              <w:tab/>
              <w:t>Ablative</w:t>
            </w:r>
          </w:p>
          <w:p w14:paraId="12821A21" w14:textId="77777777" w:rsidR="00994BBC" w:rsidRPr="004C768C" w:rsidRDefault="00994BBC" w:rsidP="00994BBC">
            <w:pPr>
              <w:pStyle w:val="Tabletext1"/>
            </w:pPr>
            <w:r w:rsidRPr="004C768C">
              <w:t>#22</w:t>
            </w:r>
            <w:r w:rsidRPr="004C768C">
              <w:tab/>
              <w:t>Coag*</w:t>
            </w:r>
          </w:p>
          <w:p w14:paraId="243116DE" w14:textId="77777777" w:rsidR="00994BBC" w:rsidRPr="004C768C" w:rsidRDefault="00994BBC" w:rsidP="00994BBC">
            <w:pPr>
              <w:pStyle w:val="Tabletext1"/>
            </w:pPr>
            <w:r w:rsidRPr="004C768C">
              <w:t>#23</w:t>
            </w:r>
            <w:r w:rsidRPr="004C768C">
              <w:tab/>
              <w:t>#20 OR #21 OR #22</w:t>
            </w:r>
          </w:p>
          <w:p w14:paraId="0A4702F1" w14:textId="77777777" w:rsidR="00994BBC" w:rsidRPr="004C768C" w:rsidRDefault="00994BBC" w:rsidP="00994BBC">
            <w:pPr>
              <w:pStyle w:val="Tabletext1"/>
            </w:pPr>
            <w:r w:rsidRPr="004C768C">
              <w:t>#24</w:t>
            </w:r>
            <w:r w:rsidRPr="004C768C">
              <w:tab/>
              <w:t>Ablation, catheter [MeSH]</w:t>
            </w:r>
            <w:r>
              <w:t xml:space="preserve">, </w:t>
            </w:r>
            <w:r w:rsidRPr="00025297">
              <w:t>Emtree = Ablation therapy  OR tumor ablation OR ablation catheter OR catheter ablation OR ablation</w:t>
            </w:r>
          </w:p>
          <w:p w14:paraId="6148852E" w14:textId="77777777" w:rsidR="00994BBC" w:rsidRPr="004C768C" w:rsidRDefault="00994BBC" w:rsidP="00994BBC">
            <w:pPr>
              <w:pStyle w:val="Tabletext1"/>
            </w:pPr>
            <w:r w:rsidRPr="004C768C">
              <w:t>#25</w:t>
            </w:r>
            <w:r w:rsidRPr="004C768C">
              <w:tab/>
              <w:t>#23 OR #24</w:t>
            </w:r>
          </w:p>
          <w:p w14:paraId="48ED3328" w14:textId="77777777" w:rsidR="008B3200" w:rsidRPr="008B3200" w:rsidRDefault="008B3200" w:rsidP="009503D8">
            <w:pPr>
              <w:pStyle w:val="Tabletext1"/>
            </w:pPr>
            <w:r w:rsidRPr="008B3200">
              <w:t>#26</w:t>
            </w:r>
            <w:r w:rsidRPr="008B3200">
              <w:tab/>
              <w:t>Radiofrequency</w:t>
            </w:r>
          </w:p>
          <w:p w14:paraId="4ED071F4" w14:textId="77777777" w:rsidR="008B3200" w:rsidRPr="008B3200" w:rsidRDefault="008B3200" w:rsidP="009503D8">
            <w:pPr>
              <w:pStyle w:val="Tabletext1"/>
            </w:pPr>
            <w:r w:rsidRPr="008B3200">
              <w:t>#27</w:t>
            </w:r>
            <w:r w:rsidRPr="008B3200">
              <w:tab/>
              <w:t>Radio-frequency</w:t>
            </w:r>
          </w:p>
          <w:p w14:paraId="2DB0711D" w14:textId="77777777" w:rsidR="008B3200" w:rsidRPr="008B3200" w:rsidRDefault="008B3200" w:rsidP="009503D8">
            <w:pPr>
              <w:pStyle w:val="Tabletext1"/>
            </w:pPr>
            <w:r w:rsidRPr="008B3200">
              <w:t>#28</w:t>
            </w:r>
            <w:r w:rsidRPr="008B3200">
              <w:tab/>
              <w:t>RFA</w:t>
            </w:r>
          </w:p>
          <w:p w14:paraId="64F02659" w14:textId="77777777" w:rsidR="008B3200" w:rsidRPr="008B3200" w:rsidRDefault="008B3200" w:rsidP="009503D8">
            <w:pPr>
              <w:pStyle w:val="Tabletext1"/>
            </w:pPr>
            <w:r w:rsidRPr="008B3200">
              <w:t>#29</w:t>
            </w:r>
            <w:r w:rsidRPr="008B3200">
              <w:tab/>
              <w:t>#26 OR #27 OR #28</w:t>
            </w:r>
          </w:p>
          <w:p w14:paraId="6BFC02BD" w14:textId="77777777" w:rsidR="000F7834" w:rsidRPr="00183E4D" w:rsidRDefault="008B3200" w:rsidP="009503D8">
            <w:pPr>
              <w:pStyle w:val="Tabletext1"/>
            </w:pPr>
            <w:r w:rsidRPr="008B3200">
              <w:t>#30</w:t>
            </w:r>
            <w:r w:rsidRPr="008B3200">
              <w:tab/>
              <w:t>#25 AND #29</w:t>
            </w:r>
          </w:p>
        </w:tc>
      </w:tr>
      <w:tr w:rsidR="000F7834" w:rsidRPr="00183E4D" w14:paraId="2A6C402C" w14:textId="77777777" w:rsidTr="000F7834">
        <w:tc>
          <w:tcPr>
            <w:tcW w:w="2410" w:type="dxa"/>
          </w:tcPr>
          <w:p w14:paraId="6EF0D4D3" w14:textId="77777777" w:rsidR="000F7834" w:rsidRPr="00183E4D" w:rsidRDefault="000F7834" w:rsidP="009503D8">
            <w:pPr>
              <w:pStyle w:val="Tabletext1"/>
            </w:pPr>
            <w:r w:rsidRPr="00183E4D">
              <w:t>Comparator (if applicable)</w:t>
            </w:r>
          </w:p>
        </w:tc>
        <w:tc>
          <w:tcPr>
            <w:tcW w:w="6521" w:type="dxa"/>
          </w:tcPr>
          <w:p w14:paraId="28218EB3" w14:textId="77777777" w:rsidR="000F7834" w:rsidRPr="00183E4D" w:rsidRDefault="000F7834" w:rsidP="009503D8">
            <w:pPr>
              <w:pStyle w:val="Tabletext1"/>
            </w:pPr>
            <w:r>
              <w:t>NA</w:t>
            </w:r>
          </w:p>
        </w:tc>
      </w:tr>
      <w:tr w:rsidR="000F7834" w:rsidRPr="00183E4D" w14:paraId="4CC6B2A3" w14:textId="77777777" w:rsidTr="000F7834">
        <w:tc>
          <w:tcPr>
            <w:tcW w:w="2410" w:type="dxa"/>
          </w:tcPr>
          <w:p w14:paraId="15E694FB" w14:textId="77777777" w:rsidR="000F7834" w:rsidRPr="00183E4D" w:rsidRDefault="000F7834" w:rsidP="009503D8">
            <w:pPr>
              <w:pStyle w:val="Tabletext1"/>
            </w:pPr>
            <w:r w:rsidRPr="00183E4D">
              <w:lastRenderedPageBreak/>
              <w:t>Outcomes (if applicable)</w:t>
            </w:r>
          </w:p>
        </w:tc>
        <w:tc>
          <w:tcPr>
            <w:tcW w:w="6521" w:type="dxa"/>
          </w:tcPr>
          <w:p w14:paraId="49EE0F1D" w14:textId="77777777" w:rsidR="000F7834" w:rsidRPr="00183E4D" w:rsidRDefault="000F7834" w:rsidP="009503D8">
            <w:pPr>
              <w:pStyle w:val="Tabletext1"/>
            </w:pPr>
            <w:r>
              <w:t>NA</w:t>
            </w:r>
          </w:p>
        </w:tc>
      </w:tr>
      <w:tr w:rsidR="000F7834" w:rsidRPr="00183E4D" w14:paraId="1D24EA84" w14:textId="77777777" w:rsidTr="000F7834">
        <w:tc>
          <w:tcPr>
            <w:tcW w:w="2410" w:type="dxa"/>
          </w:tcPr>
          <w:p w14:paraId="7DBFEEA7" w14:textId="77777777" w:rsidR="000F7834" w:rsidRPr="00183E4D" w:rsidRDefault="000F7834" w:rsidP="009503D8">
            <w:pPr>
              <w:pStyle w:val="Tabletext1"/>
            </w:pPr>
            <w:r w:rsidRPr="00183E4D">
              <w:t>Limits</w:t>
            </w:r>
          </w:p>
        </w:tc>
        <w:tc>
          <w:tcPr>
            <w:tcW w:w="6521" w:type="dxa"/>
          </w:tcPr>
          <w:p w14:paraId="47337BE5" w14:textId="77777777" w:rsidR="000F7834" w:rsidRPr="00183E4D" w:rsidRDefault="000F7834" w:rsidP="009503D8">
            <w:pPr>
              <w:pStyle w:val="Tabletext1"/>
            </w:pPr>
            <w:r>
              <w:t>English language</w:t>
            </w:r>
          </w:p>
        </w:tc>
      </w:tr>
    </w:tbl>
    <w:p w14:paraId="2C459A21" w14:textId="77777777" w:rsidR="000F7834" w:rsidRDefault="000F7834" w:rsidP="00F93B0C">
      <w:pPr>
        <w:rPr>
          <w:i/>
        </w:rPr>
      </w:pPr>
    </w:p>
    <w:p w14:paraId="0536A51B" w14:textId="77777777" w:rsidR="005254BA" w:rsidRPr="003E7BA0" w:rsidRDefault="005254BA" w:rsidP="005254BA">
      <w:pPr>
        <w:spacing w:after="120"/>
        <w:rPr>
          <w:b/>
          <w:i/>
        </w:rPr>
      </w:pPr>
      <w:r w:rsidRPr="003E7BA0">
        <w:rPr>
          <w:b/>
          <w:i/>
        </w:rPr>
        <w:t>Search 3: Radiotherapy executed in PubMED</w:t>
      </w:r>
    </w:p>
    <w:p w14:paraId="1C68AA5E" w14:textId="77777777" w:rsidR="00D93D3B" w:rsidRPr="00D93D3B" w:rsidRDefault="00D93D3B" w:rsidP="005254BA">
      <w:pPr>
        <w:spacing w:after="120"/>
      </w:pPr>
      <w:r w:rsidRPr="00D93D3B">
        <w:t>Population terms were combined with intervention terms</w:t>
      </w:r>
      <w:r>
        <w:t xml:space="preserve"> and outcome terms</w:t>
      </w:r>
      <w:r w:rsidRPr="00D93D3B">
        <w:t xml:space="preserve"> using the AND function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2410"/>
        <w:gridCol w:w="6521"/>
      </w:tblGrid>
      <w:tr w:rsidR="00D93D3B" w:rsidRPr="00183E4D" w14:paraId="618FF528" w14:textId="77777777" w:rsidTr="00994BBC">
        <w:trPr>
          <w:tblHeader/>
        </w:trPr>
        <w:tc>
          <w:tcPr>
            <w:tcW w:w="2410" w:type="dxa"/>
            <w:shd w:val="clear" w:color="auto" w:fill="BFBFBF" w:themeFill="background1" w:themeFillShade="BF"/>
          </w:tcPr>
          <w:p w14:paraId="765C9C68" w14:textId="77777777" w:rsidR="00D93D3B" w:rsidRPr="00305B4C" w:rsidRDefault="00D93D3B" w:rsidP="00305B4C">
            <w:pPr>
              <w:pStyle w:val="Tabletext1"/>
              <w:rPr>
                <w:b/>
              </w:rPr>
            </w:pPr>
            <w:r w:rsidRPr="00305B4C">
              <w:rPr>
                <w:b/>
              </w:rPr>
              <w:t>Element of clinical question</w:t>
            </w:r>
          </w:p>
        </w:tc>
        <w:tc>
          <w:tcPr>
            <w:tcW w:w="6521" w:type="dxa"/>
            <w:shd w:val="clear" w:color="auto" w:fill="BFBFBF" w:themeFill="background1" w:themeFillShade="BF"/>
          </w:tcPr>
          <w:p w14:paraId="59E92DD4" w14:textId="77777777" w:rsidR="00D93D3B" w:rsidRPr="00305B4C" w:rsidRDefault="00D93D3B" w:rsidP="00305B4C">
            <w:pPr>
              <w:pStyle w:val="Tabletext1"/>
              <w:rPr>
                <w:b/>
              </w:rPr>
            </w:pPr>
            <w:r w:rsidRPr="00305B4C">
              <w:rPr>
                <w:b/>
              </w:rPr>
              <w:t>Search terms</w:t>
            </w:r>
          </w:p>
        </w:tc>
      </w:tr>
      <w:tr w:rsidR="00D93D3B" w:rsidRPr="00183E4D" w14:paraId="02C07CBA" w14:textId="77777777" w:rsidTr="00D93D3B">
        <w:tc>
          <w:tcPr>
            <w:tcW w:w="2410" w:type="dxa"/>
          </w:tcPr>
          <w:p w14:paraId="6ABCE2E2" w14:textId="77777777" w:rsidR="00D93D3B" w:rsidRPr="00183E4D" w:rsidRDefault="00D93D3B" w:rsidP="00305B4C">
            <w:pPr>
              <w:pStyle w:val="Tabletext1"/>
            </w:pPr>
            <w:r w:rsidRPr="00183E4D">
              <w:t>Population</w:t>
            </w:r>
          </w:p>
        </w:tc>
        <w:tc>
          <w:tcPr>
            <w:tcW w:w="6521" w:type="dxa"/>
          </w:tcPr>
          <w:p w14:paraId="6B58F2C2" w14:textId="77777777" w:rsidR="007B4782" w:rsidRDefault="007B4782" w:rsidP="00305B4C">
            <w:pPr>
              <w:pStyle w:val="Tabletext1"/>
            </w:pPr>
            <w:r>
              <w:t xml:space="preserve">#1 </w:t>
            </w:r>
            <w:r w:rsidR="001B76FC" w:rsidRPr="008B3200">
              <w:tab/>
            </w:r>
            <w:r w:rsidR="00D93D3B" w:rsidRPr="00D93D3B">
              <w:t xml:space="preserve">Carcinoma, Non-Small-Cell Lung [mh and txt] </w:t>
            </w:r>
          </w:p>
          <w:p w14:paraId="4E65E394" w14:textId="77777777" w:rsidR="007B4782" w:rsidRDefault="007B4782" w:rsidP="00305B4C">
            <w:pPr>
              <w:pStyle w:val="Tabletext1"/>
            </w:pPr>
            <w:r>
              <w:t xml:space="preserve">#2 </w:t>
            </w:r>
            <w:r w:rsidR="001B76FC" w:rsidRPr="008B3200">
              <w:tab/>
            </w:r>
            <w:r>
              <w:t>NSCLC</w:t>
            </w:r>
          </w:p>
          <w:p w14:paraId="35D87C35" w14:textId="77777777" w:rsidR="007B4782" w:rsidRDefault="007B4782" w:rsidP="00305B4C">
            <w:pPr>
              <w:pStyle w:val="Tabletext1"/>
            </w:pPr>
            <w:r>
              <w:t xml:space="preserve">#3 </w:t>
            </w:r>
            <w:r w:rsidR="001B76FC" w:rsidRPr="008B3200">
              <w:tab/>
            </w:r>
            <w:r>
              <w:t>#1 OR #2</w:t>
            </w:r>
          </w:p>
          <w:p w14:paraId="4D21D61E" w14:textId="77777777" w:rsidR="007B4782" w:rsidRDefault="007B4782" w:rsidP="00305B4C">
            <w:pPr>
              <w:pStyle w:val="Tabletext1"/>
            </w:pPr>
            <w:r>
              <w:t xml:space="preserve">#4 </w:t>
            </w:r>
            <w:r w:rsidR="001B76FC" w:rsidRPr="008B3200">
              <w:tab/>
            </w:r>
            <w:r>
              <w:t>early stage</w:t>
            </w:r>
          </w:p>
          <w:p w14:paraId="26202713" w14:textId="77777777" w:rsidR="007B4782" w:rsidRDefault="007B4782" w:rsidP="00305B4C">
            <w:pPr>
              <w:pStyle w:val="Tabletext1"/>
            </w:pPr>
            <w:r>
              <w:t>#5</w:t>
            </w:r>
            <w:r w:rsidR="001B76FC" w:rsidRPr="008B3200">
              <w:tab/>
            </w:r>
            <w:r>
              <w:t xml:space="preserve"> stage I</w:t>
            </w:r>
          </w:p>
          <w:p w14:paraId="3A87C624" w14:textId="77777777" w:rsidR="007B4782" w:rsidRDefault="007B4782" w:rsidP="00305B4C">
            <w:pPr>
              <w:pStyle w:val="Tabletext1"/>
            </w:pPr>
            <w:r>
              <w:t xml:space="preserve">#6 </w:t>
            </w:r>
            <w:r w:rsidR="001B76FC" w:rsidRPr="008B3200">
              <w:tab/>
            </w:r>
            <w:r>
              <w:t>stage IIa</w:t>
            </w:r>
          </w:p>
          <w:p w14:paraId="05C91C70" w14:textId="77777777" w:rsidR="007B4782" w:rsidRDefault="007B4782" w:rsidP="00305B4C">
            <w:pPr>
              <w:pStyle w:val="Tabletext1"/>
            </w:pPr>
            <w:r>
              <w:t xml:space="preserve">#7 </w:t>
            </w:r>
            <w:r w:rsidR="001B76FC" w:rsidRPr="008B3200">
              <w:tab/>
            </w:r>
            <w:r>
              <w:t>#4 OR #5 OR #6</w:t>
            </w:r>
          </w:p>
          <w:p w14:paraId="0F54A17F" w14:textId="77777777" w:rsidR="007B4782" w:rsidRDefault="007B4782" w:rsidP="00305B4C">
            <w:pPr>
              <w:pStyle w:val="Tabletext1"/>
            </w:pPr>
            <w:r>
              <w:t xml:space="preserve">#8 </w:t>
            </w:r>
            <w:r w:rsidR="001B76FC" w:rsidRPr="008B3200">
              <w:tab/>
            </w:r>
            <w:r>
              <w:t>#3 AND #7</w:t>
            </w:r>
          </w:p>
          <w:p w14:paraId="3CC45071" w14:textId="77777777" w:rsidR="007B4782" w:rsidRDefault="007B4782" w:rsidP="00305B4C">
            <w:pPr>
              <w:pStyle w:val="Tabletext1"/>
            </w:pPr>
            <w:r>
              <w:t xml:space="preserve">#9 </w:t>
            </w:r>
            <w:r w:rsidR="001B76FC" w:rsidRPr="008B3200">
              <w:tab/>
            </w:r>
            <w:r w:rsidRPr="00D93D3B">
              <w:t>Neoplasm Metastasis [mh]</w:t>
            </w:r>
          </w:p>
          <w:p w14:paraId="524EC795" w14:textId="77777777" w:rsidR="007B4782" w:rsidRDefault="007B4782" w:rsidP="00305B4C">
            <w:pPr>
              <w:pStyle w:val="Tabletext1"/>
            </w:pPr>
            <w:r>
              <w:t xml:space="preserve">#10 </w:t>
            </w:r>
            <w:r w:rsidR="001B76FC" w:rsidRPr="008B3200">
              <w:tab/>
            </w:r>
            <w:r w:rsidRPr="00D93D3B">
              <w:t>Metastasis OR metastases</w:t>
            </w:r>
          </w:p>
          <w:p w14:paraId="334B7260" w14:textId="77777777" w:rsidR="007B4782" w:rsidRDefault="007B4782" w:rsidP="00305B4C">
            <w:pPr>
              <w:pStyle w:val="Tabletext1"/>
            </w:pPr>
            <w:r>
              <w:t>#11</w:t>
            </w:r>
            <w:r w:rsidRPr="001B76FC">
              <w:t xml:space="preserve"> </w:t>
            </w:r>
            <w:r w:rsidR="001B76FC" w:rsidRPr="008B3200">
              <w:tab/>
            </w:r>
            <w:r w:rsidRPr="007B4782">
              <w:t>oligometastases OR oligometastasis OR oligometastatic</w:t>
            </w:r>
          </w:p>
          <w:p w14:paraId="706F9F25" w14:textId="77777777" w:rsidR="007B4782" w:rsidRDefault="007B4782" w:rsidP="00305B4C">
            <w:pPr>
              <w:pStyle w:val="Tabletext1"/>
            </w:pPr>
            <w:r>
              <w:t xml:space="preserve">#12 </w:t>
            </w:r>
            <w:r w:rsidR="001B76FC" w:rsidRPr="008B3200">
              <w:tab/>
            </w:r>
            <w:r>
              <w:t>#9 OR #10 OR #11</w:t>
            </w:r>
          </w:p>
          <w:p w14:paraId="05393938" w14:textId="77777777" w:rsidR="007B4782" w:rsidRDefault="007B4782" w:rsidP="00305B4C">
            <w:pPr>
              <w:pStyle w:val="Tabletext1"/>
            </w:pPr>
            <w:r>
              <w:t xml:space="preserve"># 13 </w:t>
            </w:r>
            <w:r w:rsidR="001B76FC" w:rsidRPr="008B3200">
              <w:tab/>
            </w:r>
            <w:r>
              <w:t>pulmonary OR lung</w:t>
            </w:r>
          </w:p>
          <w:p w14:paraId="7F54C6AC" w14:textId="77777777" w:rsidR="007B4782" w:rsidRDefault="001B76FC" w:rsidP="00305B4C">
            <w:pPr>
              <w:pStyle w:val="Tabletext1"/>
            </w:pPr>
            <w:r>
              <w:t xml:space="preserve">#14 </w:t>
            </w:r>
            <w:r w:rsidRPr="008B3200">
              <w:tab/>
            </w:r>
            <w:r>
              <w:t>#12 AND #13</w:t>
            </w:r>
          </w:p>
          <w:p w14:paraId="7256B090" w14:textId="77777777" w:rsidR="00D93D3B" w:rsidRPr="00183E4D" w:rsidRDefault="001B76FC" w:rsidP="00305B4C">
            <w:pPr>
              <w:pStyle w:val="Tabletext1"/>
            </w:pPr>
            <w:r>
              <w:t xml:space="preserve">#15 </w:t>
            </w:r>
            <w:r w:rsidRPr="008B3200">
              <w:tab/>
            </w:r>
            <w:r>
              <w:t>#8 OR #14</w:t>
            </w:r>
          </w:p>
        </w:tc>
      </w:tr>
      <w:tr w:rsidR="00D93D3B" w:rsidRPr="00183E4D" w14:paraId="6E6DACE6" w14:textId="77777777" w:rsidTr="00D93D3B">
        <w:tc>
          <w:tcPr>
            <w:tcW w:w="2410" w:type="dxa"/>
          </w:tcPr>
          <w:p w14:paraId="2D7D9B27" w14:textId="77777777" w:rsidR="00D93D3B" w:rsidRPr="00183E4D" w:rsidRDefault="00D93D3B" w:rsidP="00305B4C">
            <w:pPr>
              <w:pStyle w:val="Tabletext1"/>
            </w:pPr>
            <w:r w:rsidRPr="00183E4D">
              <w:t>Intervention</w:t>
            </w:r>
          </w:p>
        </w:tc>
        <w:tc>
          <w:tcPr>
            <w:tcW w:w="6521" w:type="dxa"/>
          </w:tcPr>
          <w:p w14:paraId="46B5E7C2" w14:textId="77777777" w:rsidR="001B76FC" w:rsidRDefault="001B76FC" w:rsidP="00305B4C">
            <w:pPr>
              <w:pStyle w:val="Tabletext1"/>
            </w:pPr>
            <w:r>
              <w:t xml:space="preserve">#1 </w:t>
            </w:r>
            <w:r w:rsidRPr="008B3200">
              <w:tab/>
            </w:r>
            <w:r w:rsidR="00D93D3B" w:rsidRPr="00D93D3B">
              <w:t>Stereotactic AND radiotherapy</w:t>
            </w:r>
          </w:p>
          <w:p w14:paraId="4B88DDFC" w14:textId="77777777" w:rsidR="001B76FC" w:rsidRDefault="001B76FC" w:rsidP="00305B4C">
            <w:pPr>
              <w:pStyle w:val="Tabletext1"/>
            </w:pPr>
            <w:r>
              <w:t>#2</w:t>
            </w:r>
            <w:r w:rsidRPr="008B3200">
              <w:tab/>
            </w:r>
            <w:r w:rsidR="00D93D3B" w:rsidRPr="00D93D3B">
              <w:t>radiosurgery OR SBRT</w:t>
            </w:r>
            <w:r w:rsidR="00D93D3B">
              <w:t xml:space="preserve"> OR SABR</w:t>
            </w:r>
            <w:r>
              <w:t>)</w:t>
            </w:r>
          </w:p>
          <w:p w14:paraId="5CB8E496" w14:textId="77777777" w:rsidR="00D93D3B" w:rsidRDefault="001B76FC" w:rsidP="00305B4C">
            <w:pPr>
              <w:pStyle w:val="Tabletext1"/>
            </w:pPr>
            <w:r>
              <w:t xml:space="preserve">#3 </w:t>
            </w:r>
            <w:r w:rsidRPr="008B3200">
              <w:tab/>
            </w:r>
            <w:r w:rsidR="00D93D3B" w:rsidRPr="00D93D3B">
              <w:t xml:space="preserve">CHART OR Continuous Hyperfractionated Accelerated Radio Therapy OR </w:t>
            </w:r>
            <w:r w:rsidRPr="008B3200">
              <w:tab/>
            </w:r>
            <w:r w:rsidR="00D93D3B" w:rsidRPr="00D93D3B">
              <w:t>Continuous Hyperfractionated Accelerated radiotherapy</w:t>
            </w:r>
          </w:p>
          <w:p w14:paraId="3C2638BE" w14:textId="77777777" w:rsidR="00D93D3B" w:rsidRPr="00D93D3B" w:rsidRDefault="001B76FC" w:rsidP="00305B4C">
            <w:pPr>
              <w:pStyle w:val="Tabletext1"/>
            </w:pPr>
            <w:r>
              <w:t>#4</w:t>
            </w:r>
            <w:r w:rsidRPr="008B3200">
              <w:tab/>
            </w:r>
            <w:r w:rsidR="00D93D3B" w:rsidRPr="00D93D3B">
              <w:t xml:space="preserve">Radical AND radiotherapy </w:t>
            </w:r>
          </w:p>
          <w:p w14:paraId="215B9A3B" w14:textId="77777777" w:rsidR="00D93D3B" w:rsidRPr="00D93D3B" w:rsidRDefault="001B76FC" w:rsidP="00305B4C">
            <w:pPr>
              <w:pStyle w:val="Tabletext1"/>
            </w:pPr>
            <w:r>
              <w:t>#5</w:t>
            </w:r>
            <w:r w:rsidRPr="008B3200">
              <w:tab/>
            </w:r>
            <w:r w:rsidR="00D93D3B" w:rsidRPr="00D93D3B">
              <w:t>IGRT OR (image guided AND (radiation therapy OR radiotherapy))</w:t>
            </w:r>
          </w:p>
          <w:p w14:paraId="52388EAB" w14:textId="77777777" w:rsidR="00D93D3B" w:rsidRPr="00183E4D" w:rsidRDefault="001B76FC" w:rsidP="00305B4C">
            <w:pPr>
              <w:pStyle w:val="Tabletext1"/>
            </w:pPr>
            <w:r>
              <w:t>#6</w:t>
            </w:r>
            <w:r w:rsidRPr="008B3200">
              <w:tab/>
            </w:r>
            <w:r w:rsidR="00D93D3B" w:rsidRPr="00D93D3B">
              <w:t>IMRT OR (intensity modulated AND (radiation therapy OR radiotherapy))</w:t>
            </w:r>
          </w:p>
          <w:p w14:paraId="5EC609AA" w14:textId="77777777" w:rsidR="00D93D3B" w:rsidRPr="00183E4D" w:rsidRDefault="001B76FC" w:rsidP="00305B4C">
            <w:pPr>
              <w:pStyle w:val="Tabletext1"/>
            </w:pPr>
            <w:r>
              <w:t>#7</w:t>
            </w:r>
            <w:r w:rsidRPr="008B3200">
              <w:tab/>
            </w:r>
            <w:r>
              <w:t>#1 OR #2 OR #3 OR #4 OR #5 OR #6</w:t>
            </w:r>
          </w:p>
        </w:tc>
      </w:tr>
      <w:tr w:rsidR="00D93D3B" w:rsidRPr="00183E4D" w14:paraId="0D6F856A" w14:textId="77777777" w:rsidTr="00D93D3B">
        <w:tc>
          <w:tcPr>
            <w:tcW w:w="2410" w:type="dxa"/>
          </w:tcPr>
          <w:p w14:paraId="008EF436" w14:textId="77777777" w:rsidR="00D93D3B" w:rsidRPr="00183E4D" w:rsidRDefault="00D93D3B" w:rsidP="00305B4C">
            <w:pPr>
              <w:pStyle w:val="Tabletext1"/>
            </w:pPr>
            <w:r w:rsidRPr="00183E4D">
              <w:t>Comparator (if applicable)</w:t>
            </w:r>
          </w:p>
        </w:tc>
        <w:tc>
          <w:tcPr>
            <w:tcW w:w="6521" w:type="dxa"/>
          </w:tcPr>
          <w:p w14:paraId="073B6A73" w14:textId="77777777" w:rsidR="00D93D3B" w:rsidRPr="00183E4D" w:rsidRDefault="00D93D3B" w:rsidP="00305B4C">
            <w:pPr>
              <w:pStyle w:val="Tabletext1"/>
            </w:pPr>
            <w:r>
              <w:t>NA</w:t>
            </w:r>
          </w:p>
        </w:tc>
      </w:tr>
      <w:tr w:rsidR="00D93D3B" w:rsidRPr="00183E4D" w14:paraId="72E407CC" w14:textId="77777777" w:rsidTr="00D93D3B">
        <w:tc>
          <w:tcPr>
            <w:tcW w:w="2410" w:type="dxa"/>
          </w:tcPr>
          <w:p w14:paraId="0A5DE500" w14:textId="77777777" w:rsidR="00D93D3B" w:rsidRPr="00183E4D" w:rsidRDefault="00D93D3B" w:rsidP="00305B4C">
            <w:pPr>
              <w:pStyle w:val="Tabletext1"/>
            </w:pPr>
            <w:r w:rsidRPr="00183E4D">
              <w:t>Outcomes (if applicable)</w:t>
            </w:r>
          </w:p>
        </w:tc>
        <w:tc>
          <w:tcPr>
            <w:tcW w:w="6521" w:type="dxa"/>
          </w:tcPr>
          <w:p w14:paraId="4F26F6A5" w14:textId="77777777" w:rsidR="00D93D3B" w:rsidRPr="00D93D3B" w:rsidRDefault="001B76FC" w:rsidP="00305B4C">
            <w:pPr>
              <w:pStyle w:val="Tabletext1"/>
            </w:pPr>
            <w:r>
              <w:t>#1</w:t>
            </w:r>
            <w:r w:rsidRPr="008B3200">
              <w:tab/>
            </w:r>
            <w:r>
              <w:t xml:space="preserve">Surviv* </w:t>
            </w:r>
          </w:p>
          <w:p w14:paraId="24D0FEA2" w14:textId="77777777" w:rsidR="00D93D3B" w:rsidRPr="00D93D3B" w:rsidRDefault="001B76FC" w:rsidP="00305B4C">
            <w:pPr>
              <w:pStyle w:val="Tabletext1"/>
            </w:pPr>
            <w:r>
              <w:t>#2</w:t>
            </w:r>
            <w:r w:rsidRPr="008B3200">
              <w:tab/>
            </w:r>
            <w:r>
              <w:t xml:space="preserve">Recurrence </w:t>
            </w:r>
          </w:p>
          <w:p w14:paraId="00C55131" w14:textId="77777777" w:rsidR="00D93D3B" w:rsidRPr="00D93D3B" w:rsidRDefault="001B76FC" w:rsidP="00305B4C">
            <w:pPr>
              <w:pStyle w:val="Tabletext1"/>
            </w:pPr>
            <w:r>
              <w:lastRenderedPageBreak/>
              <w:t>#3</w:t>
            </w:r>
            <w:r w:rsidRPr="008B3200">
              <w:tab/>
            </w:r>
            <w:r>
              <w:t xml:space="preserve">Progression </w:t>
            </w:r>
          </w:p>
          <w:p w14:paraId="2CC86B17" w14:textId="77777777" w:rsidR="00D93D3B" w:rsidRPr="00D93D3B" w:rsidRDefault="001B76FC" w:rsidP="00305B4C">
            <w:pPr>
              <w:pStyle w:val="Tabletext1"/>
            </w:pPr>
            <w:r>
              <w:t>#4</w:t>
            </w:r>
            <w:r w:rsidRPr="008B3200">
              <w:tab/>
            </w:r>
            <w:r>
              <w:t xml:space="preserve">Mortality </w:t>
            </w:r>
          </w:p>
          <w:p w14:paraId="1FC1243B" w14:textId="77777777" w:rsidR="00D93D3B" w:rsidRDefault="001B76FC" w:rsidP="00305B4C">
            <w:pPr>
              <w:pStyle w:val="Tabletext1"/>
            </w:pPr>
            <w:r>
              <w:t>#5</w:t>
            </w:r>
            <w:r w:rsidRPr="008B3200">
              <w:tab/>
            </w:r>
            <w:r>
              <w:t xml:space="preserve">Discomfort </w:t>
            </w:r>
          </w:p>
          <w:p w14:paraId="4F97A65D" w14:textId="77777777" w:rsidR="00D93D3B" w:rsidRPr="00D93D3B" w:rsidRDefault="001B76FC" w:rsidP="00305B4C">
            <w:pPr>
              <w:pStyle w:val="Tabletext1"/>
            </w:pPr>
            <w:r>
              <w:t>#6</w:t>
            </w:r>
            <w:r w:rsidRPr="008B3200">
              <w:tab/>
            </w:r>
            <w:r>
              <w:t xml:space="preserve">Time </w:t>
            </w:r>
          </w:p>
          <w:p w14:paraId="07D62574" w14:textId="77777777" w:rsidR="00D93D3B" w:rsidRPr="00D93D3B" w:rsidRDefault="001B76FC" w:rsidP="00305B4C">
            <w:pPr>
              <w:pStyle w:val="Tabletext1"/>
            </w:pPr>
            <w:r>
              <w:t>#7</w:t>
            </w:r>
            <w:r w:rsidRPr="008B3200">
              <w:tab/>
            </w:r>
            <w:r w:rsidRPr="00D93D3B">
              <w:t xml:space="preserve"> </w:t>
            </w:r>
            <w:r w:rsidR="00D93D3B" w:rsidRPr="00D93D3B">
              <w:t>Quality of life OR QoL OR HRQoL OR Health-related quality of life) OR</w:t>
            </w:r>
          </w:p>
          <w:p w14:paraId="3D677EE6" w14:textId="77777777" w:rsidR="001B76FC" w:rsidRDefault="001B76FC" w:rsidP="00305B4C">
            <w:pPr>
              <w:pStyle w:val="Tabletext1"/>
            </w:pPr>
            <w:r w:rsidRPr="008B3200">
              <w:tab/>
            </w:r>
            <w:r w:rsidRPr="00D93D3B">
              <w:t xml:space="preserve"> </w:t>
            </w:r>
            <w:r w:rsidR="00D93D3B" w:rsidRPr="00D93D3B">
              <w:t xml:space="preserve">(Patient reported outcomes OR PROM) </w:t>
            </w:r>
          </w:p>
          <w:p w14:paraId="467C1A64" w14:textId="77777777" w:rsidR="00D93D3B" w:rsidRDefault="001B76FC" w:rsidP="00305B4C">
            <w:pPr>
              <w:pStyle w:val="Tabletext1"/>
            </w:pPr>
            <w:r>
              <w:t>#8</w:t>
            </w:r>
            <w:r w:rsidRPr="008B3200">
              <w:tab/>
            </w:r>
            <w:r w:rsidR="00D93D3B" w:rsidRPr="00D93D3B">
              <w:t>Local AND control</w:t>
            </w:r>
          </w:p>
          <w:p w14:paraId="220D4A31" w14:textId="77777777" w:rsidR="001B76FC" w:rsidRPr="00183E4D" w:rsidRDefault="001B76FC" w:rsidP="00305B4C">
            <w:pPr>
              <w:pStyle w:val="Tabletext1"/>
            </w:pPr>
            <w:r>
              <w:t>#9</w:t>
            </w:r>
            <w:r w:rsidRPr="008B3200">
              <w:tab/>
            </w:r>
            <w:r>
              <w:t>#1 OR #2 OR #3 OR #4 OR #5 OR #6 OR #7 OR #8</w:t>
            </w:r>
          </w:p>
        </w:tc>
      </w:tr>
      <w:tr w:rsidR="00D93D3B" w:rsidRPr="00183E4D" w14:paraId="1B0C3DC5" w14:textId="77777777" w:rsidTr="00D93D3B">
        <w:tc>
          <w:tcPr>
            <w:tcW w:w="2410" w:type="dxa"/>
          </w:tcPr>
          <w:p w14:paraId="310C20AF" w14:textId="77777777" w:rsidR="00D93D3B" w:rsidRPr="00183E4D" w:rsidRDefault="00D93D3B" w:rsidP="00305B4C">
            <w:pPr>
              <w:pStyle w:val="Tabletext1"/>
            </w:pPr>
            <w:r w:rsidRPr="00183E4D">
              <w:lastRenderedPageBreak/>
              <w:t>Limits</w:t>
            </w:r>
          </w:p>
        </w:tc>
        <w:tc>
          <w:tcPr>
            <w:tcW w:w="6521" w:type="dxa"/>
          </w:tcPr>
          <w:p w14:paraId="394EB1EA" w14:textId="77777777" w:rsidR="00D93D3B" w:rsidRPr="00183E4D" w:rsidRDefault="00D93D3B" w:rsidP="00305B4C">
            <w:pPr>
              <w:pStyle w:val="Tabletext1"/>
            </w:pPr>
            <w:r>
              <w:t>English language, published in the last 10 years</w:t>
            </w:r>
          </w:p>
        </w:tc>
      </w:tr>
    </w:tbl>
    <w:p w14:paraId="3FAA674A" w14:textId="77777777" w:rsidR="00D93D3B" w:rsidRDefault="00D93D3B" w:rsidP="005254BA">
      <w:pPr>
        <w:spacing w:after="120"/>
        <w:rPr>
          <w:i/>
        </w:rPr>
      </w:pPr>
    </w:p>
    <w:p w14:paraId="0749489E" w14:textId="77777777" w:rsidR="00D93D3B" w:rsidRPr="003E7BA0" w:rsidRDefault="00D93D3B" w:rsidP="00D93D3B">
      <w:pPr>
        <w:spacing w:after="120"/>
        <w:rPr>
          <w:b/>
          <w:i/>
        </w:rPr>
      </w:pPr>
      <w:r w:rsidRPr="003E7BA0">
        <w:rPr>
          <w:b/>
          <w:i/>
        </w:rPr>
        <w:t>Search 4: Surgery executed in PubMED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2410"/>
        <w:gridCol w:w="6521"/>
      </w:tblGrid>
      <w:tr w:rsidR="00D93D3B" w:rsidRPr="00183E4D" w14:paraId="46BBAA82" w14:textId="77777777" w:rsidTr="00994BBC">
        <w:trPr>
          <w:tblHeader/>
        </w:trPr>
        <w:tc>
          <w:tcPr>
            <w:tcW w:w="2410" w:type="dxa"/>
            <w:shd w:val="clear" w:color="auto" w:fill="BFBFBF" w:themeFill="background1" w:themeFillShade="BF"/>
          </w:tcPr>
          <w:p w14:paraId="21739ADC" w14:textId="77777777" w:rsidR="00D93D3B" w:rsidRPr="008A371F" w:rsidRDefault="00D93D3B" w:rsidP="008A371F">
            <w:pPr>
              <w:pStyle w:val="Tabletext1"/>
              <w:rPr>
                <w:b/>
              </w:rPr>
            </w:pPr>
            <w:r w:rsidRPr="008A371F">
              <w:rPr>
                <w:b/>
              </w:rPr>
              <w:t>Element of clinical question</w:t>
            </w:r>
          </w:p>
        </w:tc>
        <w:tc>
          <w:tcPr>
            <w:tcW w:w="6521" w:type="dxa"/>
            <w:shd w:val="clear" w:color="auto" w:fill="BFBFBF" w:themeFill="background1" w:themeFillShade="BF"/>
          </w:tcPr>
          <w:p w14:paraId="6B08AC02" w14:textId="77777777" w:rsidR="00D93D3B" w:rsidRPr="008A371F" w:rsidRDefault="00D93D3B" w:rsidP="008A371F">
            <w:pPr>
              <w:pStyle w:val="Tabletext1"/>
              <w:rPr>
                <w:b/>
              </w:rPr>
            </w:pPr>
            <w:r w:rsidRPr="008A371F">
              <w:rPr>
                <w:b/>
              </w:rPr>
              <w:t>Search terms</w:t>
            </w:r>
          </w:p>
        </w:tc>
      </w:tr>
      <w:tr w:rsidR="00D93D3B" w:rsidRPr="00183E4D" w14:paraId="30262D1C" w14:textId="77777777" w:rsidTr="00D93D3B">
        <w:tc>
          <w:tcPr>
            <w:tcW w:w="2410" w:type="dxa"/>
          </w:tcPr>
          <w:p w14:paraId="288918B7" w14:textId="77777777" w:rsidR="00D93D3B" w:rsidRPr="00183E4D" w:rsidRDefault="00D93D3B" w:rsidP="008A371F">
            <w:pPr>
              <w:pStyle w:val="Tabletext1"/>
            </w:pPr>
            <w:r w:rsidRPr="00183E4D">
              <w:t>Population</w:t>
            </w:r>
          </w:p>
        </w:tc>
        <w:tc>
          <w:tcPr>
            <w:tcW w:w="6521" w:type="dxa"/>
          </w:tcPr>
          <w:p w14:paraId="2E85F601" w14:textId="77777777" w:rsidR="001B76FC" w:rsidRDefault="001B76FC" w:rsidP="008A371F">
            <w:pPr>
              <w:pStyle w:val="Tabletext1"/>
            </w:pPr>
            <w:r>
              <w:t xml:space="preserve">#1 </w:t>
            </w:r>
            <w:r w:rsidRPr="008B3200">
              <w:tab/>
            </w:r>
            <w:r w:rsidRPr="00D93D3B">
              <w:t>Neoplasm Metastasis [mh]</w:t>
            </w:r>
          </w:p>
          <w:p w14:paraId="643B4FD0" w14:textId="77777777" w:rsidR="001B76FC" w:rsidRDefault="001B76FC" w:rsidP="008A371F">
            <w:pPr>
              <w:pStyle w:val="Tabletext1"/>
            </w:pPr>
            <w:r>
              <w:t xml:space="preserve">#2 </w:t>
            </w:r>
            <w:r w:rsidRPr="008B3200">
              <w:tab/>
            </w:r>
            <w:r w:rsidRPr="00D93D3B">
              <w:t>Metastasis OR metastases</w:t>
            </w:r>
          </w:p>
          <w:p w14:paraId="5271DB64" w14:textId="77777777" w:rsidR="001B76FC" w:rsidRDefault="001B76FC" w:rsidP="008A371F">
            <w:pPr>
              <w:pStyle w:val="Tabletext1"/>
            </w:pPr>
            <w:r>
              <w:t>#3</w:t>
            </w:r>
            <w:r w:rsidRPr="001B76FC">
              <w:t xml:space="preserve"> </w:t>
            </w:r>
            <w:r w:rsidRPr="008B3200">
              <w:tab/>
            </w:r>
            <w:r w:rsidRPr="007B4782">
              <w:t>oligometastases OR oligometastasis OR oligometastatic</w:t>
            </w:r>
          </w:p>
          <w:p w14:paraId="74FA7CB1" w14:textId="77777777" w:rsidR="001B76FC" w:rsidRDefault="001B76FC" w:rsidP="008A371F">
            <w:pPr>
              <w:pStyle w:val="Tabletext1"/>
            </w:pPr>
            <w:r>
              <w:t xml:space="preserve">#3 </w:t>
            </w:r>
            <w:r w:rsidRPr="008B3200">
              <w:tab/>
            </w:r>
            <w:r>
              <w:t>#1 OR #2 OR #3</w:t>
            </w:r>
          </w:p>
          <w:p w14:paraId="488E8BAF" w14:textId="636B5970" w:rsidR="001B76FC" w:rsidRDefault="00670779" w:rsidP="008A371F">
            <w:pPr>
              <w:pStyle w:val="Tabletext1"/>
            </w:pPr>
            <w:r>
              <w:t>#</w:t>
            </w:r>
            <w:r w:rsidR="001B76FC">
              <w:t xml:space="preserve">4 </w:t>
            </w:r>
            <w:r w:rsidR="001B76FC" w:rsidRPr="008B3200">
              <w:tab/>
            </w:r>
            <w:r w:rsidR="001B76FC">
              <w:t>pulmonary OR lung</w:t>
            </w:r>
          </w:p>
          <w:p w14:paraId="1F919C4E" w14:textId="77777777" w:rsidR="00D93D3B" w:rsidRPr="00D93D3B" w:rsidRDefault="001B76FC" w:rsidP="008A371F">
            <w:pPr>
              <w:pStyle w:val="Tabletext1"/>
              <w:rPr>
                <w:rFonts w:ascii="Arial" w:eastAsiaTheme="minorHAnsi" w:hAnsi="Arial" w:cs="Arial"/>
                <w:sz w:val="18"/>
                <w:szCs w:val="18"/>
                <w:lang w:val="en-US" w:eastAsia="en-US"/>
              </w:rPr>
            </w:pPr>
            <w:r>
              <w:t xml:space="preserve">#5 </w:t>
            </w:r>
            <w:r w:rsidRPr="008B3200">
              <w:tab/>
            </w:r>
            <w:r>
              <w:t>#3 AND #4</w:t>
            </w:r>
          </w:p>
        </w:tc>
      </w:tr>
      <w:tr w:rsidR="00D93D3B" w:rsidRPr="00183E4D" w14:paraId="0BF83CFF" w14:textId="77777777" w:rsidTr="00542FED">
        <w:trPr>
          <w:trHeight w:val="4084"/>
        </w:trPr>
        <w:tc>
          <w:tcPr>
            <w:tcW w:w="2410" w:type="dxa"/>
          </w:tcPr>
          <w:p w14:paraId="439D5DAB" w14:textId="77777777" w:rsidR="00D93D3B" w:rsidRPr="00183E4D" w:rsidRDefault="00D93D3B" w:rsidP="008A371F">
            <w:pPr>
              <w:pStyle w:val="Tabletext1"/>
            </w:pPr>
            <w:r w:rsidRPr="00183E4D">
              <w:t>Intervention</w:t>
            </w:r>
          </w:p>
        </w:tc>
        <w:tc>
          <w:tcPr>
            <w:tcW w:w="6521" w:type="dxa"/>
          </w:tcPr>
          <w:p w14:paraId="071F4270" w14:textId="77777777" w:rsidR="00D93D3B" w:rsidRDefault="001B76FC" w:rsidP="008A371F">
            <w:pPr>
              <w:pStyle w:val="Tabletext1"/>
            </w:pPr>
            <w:r>
              <w:t>#1</w:t>
            </w:r>
            <w:r w:rsidRPr="008B3200">
              <w:tab/>
            </w:r>
            <w:r w:rsidR="00D93D3B" w:rsidRPr="00D93D3B">
              <w:t>Surg</w:t>
            </w:r>
            <w:r w:rsidR="00D93D3B">
              <w:t>* AND</w:t>
            </w:r>
            <w:r w:rsidR="00D93D3B" w:rsidRPr="00D93D3B">
              <w:t xml:space="preserve"> resect</w:t>
            </w:r>
            <w:r>
              <w:t xml:space="preserve">* </w:t>
            </w:r>
          </w:p>
          <w:p w14:paraId="554489F1" w14:textId="77777777" w:rsidR="00D93D3B" w:rsidRPr="00D93D3B" w:rsidRDefault="001B76FC" w:rsidP="008A371F">
            <w:pPr>
              <w:pStyle w:val="Tabletext1"/>
            </w:pPr>
            <w:r>
              <w:t>#2</w:t>
            </w:r>
            <w:r w:rsidRPr="008B3200">
              <w:tab/>
            </w:r>
            <w:r w:rsidR="00D93D3B" w:rsidRPr="00D93D3B">
              <w:t>pulmonary surgical procedures [mh</w:t>
            </w:r>
            <w:r w:rsidR="00D93D3B">
              <w:t xml:space="preserve"> and text</w:t>
            </w:r>
            <w:r>
              <w:t xml:space="preserve">] </w:t>
            </w:r>
          </w:p>
          <w:p w14:paraId="416CD8CA" w14:textId="77777777" w:rsidR="00D93D3B" w:rsidRPr="00D93D3B" w:rsidRDefault="001B76FC" w:rsidP="008A371F">
            <w:pPr>
              <w:pStyle w:val="Tabletext1"/>
            </w:pPr>
            <w:r>
              <w:t>#3</w:t>
            </w:r>
            <w:r w:rsidRPr="008B3200">
              <w:tab/>
            </w:r>
            <w:r>
              <w:t xml:space="preserve">Lobectomy </w:t>
            </w:r>
          </w:p>
          <w:p w14:paraId="07C588FD" w14:textId="77777777" w:rsidR="00D93D3B" w:rsidRPr="00D93D3B" w:rsidRDefault="001B76FC" w:rsidP="008A371F">
            <w:pPr>
              <w:pStyle w:val="Tabletext1"/>
            </w:pPr>
            <w:r>
              <w:t>#4</w:t>
            </w:r>
            <w:r w:rsidRPr="008B3200">
              <w:tab/>
            </w:r>
            <w:r w:rsidR="00D93D3B" w:rsidRPr="00D93D3B">
              <w:t>Wedge re</w:t>
            </w:r>
            <w:r>
              <w:t xml:space="preserve">section </w:t>
            </w:r>
          </w:p>
          <w:p w14:paraId="40250FF3" w14:textId="77777777" w:rsidR="00D93D3B" w:rsidRPr="00D93D3B" w:rsidRDefault="001B76FC" w:rsidP="008A371F">
            <w:pPr>
              <w:pStyle w:val="Tabletext1"/>
            </w:pPr>
            <w:r>
              <w:t>#5</w:t>
            </w:r>
            <w:r w:rsidRPr="008B3200">
              <w:tab/>
            </w:r>
            <w:r w:rsidR="00D93D3B" w:rsidRPr="00D93D3B">
              <w:t>Video-assisted t</w:t>
            </w:r>
            <w:r>
              <w:t xml:space="preserve">horacic surgery [mh and text] </w:t>
            </w:r>
          </w:p>
          <w:p w14:paraId="68E1C666" w14:textId="77777777" w:rsidR="00D93D3B" w:rsidRPr="00D93D3B" w:rsidRDefault="001B76FC" w:rsidP="008A371F">
            <w:pPr>
              <w:pStyle w:val="Tabletext1"/>
            </w:pPr>
            <w:r>
              <w:t>#6</w:t>
            </w:r>
            <w:r w:rsidRPr="008B3200">
              <w:tab/>
            </w:r>
            <w:r>
              <w:t xml:space="preserve">Thoracotomy </w:t>
            </w:r>
          </w:p>
          <w:p w14:paraId="38853130" w14:textId="77777777" w:rsidR="00D93D3B" w:rsidRPr="00D93D3B" w:rsidRDefault="001B76FC" w:rsidP="008A371F">
            <w:pPr>
              <w:pStyle w:val="Tabletext1"/>
            </w:pPr>
            <w:r>
              <w:t>#7</w:t>
            </w:r>
            <w:r w:rsidRPr="008B3200">
              <w:tab/>
            </w:r>
            <w:r>
              <w:t xml:space="preserve">Sternotomy </w:t>
            </w:r>
          </w:p>
          <w:p w14:paraId="68BCDB1F" w14:textId="77777777" w:rsidR="00D93D3B" w:rsidRPr="00D93D3B" w:rsidRDefault="001B76FC" w:rsidP="008A371F">
            <w:pPr>
              <w:pStyle w:val="Tabletext1"/>
            </w:pPr>
            <w:r>
              <w:t>#8</w:t>
            </w:r>
            <w:r w:rsidRPr="008B3200">
              <w:tab/>
            </w:r>
            <w:r>
              <w:t xml:space="preserve">Clamshell </w:t>
            </w:r>
          </w:p>
          <w:p w14:paraId="302F288D" w14:textId="77777777" w:rsidR="00D93D3B" w:rsidRPr="00D93D3B" w:rsidRDefault="001B76FC" w:rsidP="008A371F">
            <w:pPr>
              <w:pStyle w:val="Tabletext1"/>
            </w:pPr>
            <w:r>
              <w:t>#9</w:t>
            </w:r>
            <w:r w:rsidRPr="008B3200">
              <w:tab/>
            </w:r>
            <w:r>
              <w:t xml:space="preserve">Metastasectomy </w:t>
            </w:r>
          </w:p>
          <w:p w14:paraId="1C337F78" w14:textId="77777777" w:rsidR="00D93D3B" w:rsidRPr="00D93D3B" w:rsidRDefault="001B76FC" w:rsidP="008A371F">
            <w:pPr>
              <w:pStyle w:val="Tabletext1"/>
            </w:pPr>
            <w:r>
              <w:t>#10</w:t>
            </w:r>
            <w:r w:rsidRPr="008B3200">
              <w:tab/>
            </w:r>
            <w:r>
              <w:t xml:space="preserve">Sleeve resection </w:t>
            </w:r>
          </w:p>
          <w:p w14:paraId="7EADD4B0" w14:textId="77777777" w:rsidR="00D93D3B" w:rsidRDefault="001B76FC" w:rsidP="008A371F">
            <w:pPr>
              <w:pStyle w:val="Tabletext1"/>
            </w:pPr>
            <w:r>
              <w:t>#11</w:t>
            </w:r>
            <w:r w:rsidRPr="008B3200">
              <w:tab/>
            </w:r>
            <w:r w:rsidR="00D93D3B" w:rsidRPr="00D93D3B">
              <w:t>Segmentectomy</w:t>
            </w:r>
            <w:r>
              <w:t xml:space="preserve"> </w:t>
            </w:r>
          </w:p>
          <w:p w14:paraId="6DC569AF" w14:textId="77777777" w:rsidR="00D93D3B" w:rsidRDefault="001B76FC" w:rsidP="008A371F">
            <w:pPr>
              <w:pStyle w:val="Tabletext1"/>
            </w:pPr>
            <w:r>
              <w:t>#12</w:t>
            </w:r>
            <w:r w:rsidRPr="008B3200">
              <w:tab/>
            </w:r>
            <w:r w:rsidR="00D93D3B">
              <w:t>Thoracotomy</w:t>
            </w:r>
          </w:p>
          <w:p w14:paraId="49744141" w14:textId="77777777" w:rsidR="00D93D3B" w:rsidRPr="00183E4D" w:rsidRDefault="001B76FC" w:rsidP="00670779">
            <w:pPr>
              <w:pStyle w:val="Tabletext1"/>
              <w:ind w:left="601" w:hanging="567"/>
            </w:pPr>
            <w:r>
              <w:t>#13</w:t>
            </w:r>
            <w:r w:rsidRPr="008B3200">
              <w:tab/>
            </w:r>
            <w:r>
              <w:t xml:space="preserve">#1 OR #2 OR #3 OR #4 OR #5 OR #6 OR #7 OR #8 OR #9 OR #10 OR #11 OR #12 OR #13 </w:t>
            </w:r>
          </w:p>
        </w:tc>
      </w:tr>
      <w:tr w:rsidR="00D93D3B" w:rsidRPr="00183E4D" w14:paraId="1E9898FC" w14:textId="77777777" w:rsidTr="00D93D3B">
        <w:tc>
          <w:tcPr>
            <w:tcW w:w="2410" w:type="dxa"/>
          </w:tcPr>
          <w:p w14:paraId="4D48C912" w14:textId="77777777" w:rsidR="00D93D3B" w:rsidRPr="00183E4D" w:rsidRDefault="00D93D3B" w:rsidP="008A371F">
            <w:pPr>
              <w:pStyle w:val="Tabletext1"/>
            </w:pPr>
            <w:r w:rsidRPr="00183E4D">
              <w:t>Comparator (if applicable)</w:t>
            </w:r>
          </w:p>
        </w:tc>
        <w:tc>
          <w:tcPr>
            <w:tcW w:w="6521" w:type="dxa"/>
          </w:tcPr>
          <w:p w14:paraId="7C56877C" w14:textId="77777777" w:rsidR="00D93D3B" w:rsidRPr="00183E4D" w:rsidRDefault="00D93D3B" w:rsidP="008A371F">
            <w:pPr>
              <w:pStyle w:val="Tabletext1"/>
            </w:pPr>
            <w:r>
              <w:t>NA</w:t>
            </w:r>
          </w:p>
        </w:tc>
      </w:tr>
      <w:tr w:rsidR="00D93D3B" w:rsidRPr="00183E4D" w14:paraId="655D2FA6" w14:textId="77777777" w:rsidTr="001B76FC">
        <w:trPr>
          <w:trHeight w:val="4388"/>
        </w:trPr>
        <w:tc>
          <w:tcPr>
            <w:tcW w:w="2410" w:type="dxa"/>
          </w:tcPr>
          <w:p w14:paraId="5F31B59D" w14:textId="77777777" w:rsidR="00D93D3B" w:rsidRPr="00183E4D" w:rsidRDefault="00D93D3B" w:rsidP="008A371F">
            <w:pPr>
              <w:pStyle w:val="Tabletext1"/>
            </w:pPr>
            <w:r w:rsidRPr="00183E4D">
              <w:lastRenderedPageBreak/>
              <w:t>Outcomes (if applicable)</w:t>
            </w:r>
          </w:p>
        </w:tc>
        <w:tc>
          <w:tcPr>
            <w:tcW w:w="6521" w:type="dxa"/>
          </w:tcPr>
          <w:p w14:paraId="11113F79" w14:textId="77777777" w:rsidR="001B76FC" w:rsidRPr="00D93D3B" w:rsidRDefault="001B76FC" w:rsidP="008A371F">
            <w:pPr>
              <w:pStyle w:val="Tabletext1"/>
            </w:pPr>
            <w:r>
              <w:t>#1</w:t>
            </w:r>
            <w:r w:rsidRPr="008B3200">
              <w:tab/>
            </w:r>
            <w:r>
              <w:t xml:space="preserve">Surviv* </w:t>
            </w:r>
          </w:p>
          <w:p w14:paraId="5DBCCCF6" w14:textId="77777777" w:rsidR="001B76FC" w:rsidRPr="00D93D3B" w:rsidRDefault="001B76FC" w:rsidP="008A371F">
            <w:pPr>
              <w:pStyle w:val="Tabletext1"/>
            </w:pPr>
            <w:r>
              <w:t>#2</w:t>
            </w:r>
            <w:r w:rsidRPr="008B3200">
              <w:tab/>
            </w:r>
            <w:r>
              <w:t xml:space="preserve">Recurrence </w:t>
            </w:r>
          </w:p>
          <w:p w14:paraId="2F0FE890" w14:textId="77777777" w:rsidR="001B76FC" w:rsidRPr="00D93D3B" w:rsidRDefault="001B76FC" w:rsidP="008A371F">
            <w:pPr>
              <w:pStyle w:val="Tabletext1"/>
            </w:pPr>
            <w:r>
              <w:t>#3</w:t>
            </w:r>
            <w:r w:rsidRPr="008B3200">
              <w:tab/>
            </w:r>
            <w:r>
              <w:t xml:space="preserve">Progression </w:t>
            </w:r>
          </w:p>
          <w:p w14:paraId="1059A512" w14:textId="77777777" w:rsidR="001B76FC" w:rsidRPr="00D93D3B" w:rsidRDefault="001B76FC" w:rsidP="008A371F">
            <w:pPr>
              <w:pStyle w:val="Tabletext1"/>
            </w:pPr>
            <w:r>
              <w:t>#4</w:t>
            </w:r>
            <w:r w:rsidRPr="008B3200">
              <w:tab/>
            </w:r>
            <w:r>
              <w:t xml:space="preserve">Mortality </w:t>
            </w:r>
          </w:p>
          <w:p w14:paraId="5A1E6553" w14:textId="77777777" w:rsidR="001B76FC" w:rsidRDefault="001B76FC" w:rsidP="008A371F">
            <w:pPr>
              <w:pStyle w:val="Tabletext1"/>
            </w:pPr>
            <w:r>
              <w:t>#5</w:t>
            </w:r>
            <w:r w:rsidRPr="008B3200">
              <w:tab/>
            </w:r>
            <w:r>
              <w:t xml:space="preserve">Discomfort </w:t>
            </w:r>
          </w:p>
          <w:p w14:paraId="5B220D6C" w14:textId="77777777" w:rsidR="001B76FC" w:rsidRPr="00D93D3B" w:rsidRDefault="001B76FC" w:rsidP="008A371F">
            <w:pPr>
              <w:pStyle w:val="Tabletext1"/>
            </w:pPr>
            <w:r>
              <w:t>#6</w:t>
            </w:r>
            <w:r w:rsidRPr="008B3200">
              <w:tab/>
            </w:r>
            <w:r>
              <w:t xml:space="preserve">Time </w:t>
            </w:r>
          </w:p>
          <w:p w14:paraId="4469D422" w14:textId="77777777" w:rsidR="001B76FC" w:rsidRPr="00D93D3B" w:rsidRDefault="001B76FC" w:rsidP="008A371F">
            <w:pPr>
              <w:pStyle w:val="Tabletext1"/>
            </w:pPr>
            <w:r>
              <w:t>#7</w:t>
            </w:r>
            <w:r w:rsidRPr="008B3200">
              <w:tab/>
            </w:r>
            <w:r w:rsidRPr="00D93D3B">
              <w:t xml:space="preserve"> Quality of life OR QoL OR HRQoL OR Health-related quality of life) OR</w:t>
            </w:r>
          </w:p>
          <w:p w14:paraId="2AFBE569" w14:textId="77777777" w:rsidR="001B76FC" w:rsidRDefault="001B76FC" w:rsidP="008A371F">
            <w:pPr>
              <w:pStyle w:val="Tabletext1"/>
            </w:pPr>
            <w:r w:rsidRPr="008B3200">
              <w:tab/>
            </w:r>
            <w:r w:rsidRPr="00D93D3B">
              <w:t xml:space="preserve"> (Patient reported outcomes OR PROM) </w:t>
            </w:r>
          </w:p>
          <w:p w14:paraId="1C9CA472" w14:textId="77777777" w:rsidR="001B76FC" w:rsidRDefault="001B76FC" w:rsidP="008A371F">
            <w:pPr>
              <w:pStyle w:val="Tabletext1"/>
            </w:pPr>
            <w:r>
              <w:t>#8</w:t>
            </w:r>
            <w:r w:rsidRPr="008B3200">
              <w:tab/>
            </w:r>
            <w:r w:rsidRPr="00D93D3B">
              <w:t>Local AND control</w:t>
            </w:r>
          </w:p>
          <w:p w14:paraId="405D5ED7" w14:textId="77777777" w:rsidR="001B76FC" w:rsidRDefault="001B76FC" w:rsidP="008A371F">
            <w:pPr>
              <w:pStyle w:val="Tabletext1"/>
            </w:pPr>
            <w:r>
              <w:t xml:space="preserve">#9 </w:t>
            </w:r>
            <w:r w:rsidRPr="008B3200">
              <w:tab/>
            </w:r>
            <w:r>
              <w:t>safety</w:t>
            </w:r>
          </w:p>
          <w:p w14:paraId="590C2523" w14:textId="77777777" w:rsidR="001B76FC" w:rsidRDefault="001B76FC" w:rsidP="008A371F">
            <w:pPr>
              <w:pStyle w:val="Tabletext1"/>
            </w:pPr>
            <w:r>
              <w:t xml:space="preserve">#10 </w:t>
            </w:r>
            <w:r w:rsidRPr="008B3200">
              <w:tab/>
            </w:r>
            <w:r>
              <w:t xml:space="preserve">complication </w:t>
            </w:r>
          </w:p>
          <w:p w14:paraId="41F9910C" w14:textId="77777777" w:rsidR="001B76FC" w:rsidRDefault="001B76FC" w:rsidP="008A371F">
            <w:pPr>
              <w:pStyle w:val="Tabletext1"/>
            </w:pPr>
            <w:r>
              <w:t xml:space="preserve">#11 </w:t>
            </w:r>
            <w:r w:rsidRPr="008B3200">
              <w:tab/>
            </w:r>
            <w:r>
              <w:t>adverse event</w:t>
            </w:r>
          </w:p>
          <w:p w14:paraId="57C2C06E" w14:textId="7A0CF4BF" w:rsidR="00D93D3B" w:rsidRPr="00183E4D" w:rsidRDefault="001B76FC" w:rsidP="00E44EDF">
            <w:pPr>
              <w:pStyle w:val="Tabletext1"/>
              <w:ind w:left="601" w:hanging="567"/>
            </w:pPr>
            <w:r>
              <w:t xml:space="preserve">#12 </w:t>
            </w:r>
            <w:r w:rsidRPr="008B3200">
              <w:tab/>
            </w:r>
            <w:r>
              <w:t>#1 OR #2 OR #3 OR #4 OR #5 OR #6 OR #7 OR #8 OR #9 OR #10 OR #11</w:t>
            </w:r>
            <w:r w:rsidR="00E44EDF">
              <w:t xml:space="preserve"> </w:t>
            </w:r>
            <w:r>
              <w:t xml:space="preserve">OR #12 </w:t>
            </w:r>
          </w:p>
        </w:tc>
      </w:tr>
      <w:tr w:rsidR="00D93D3B" w:rsidRPr="00183E4D" w14:paraId="0FD5E690" w14:textId="77777777" w:rsidTr="00D93D3B">
        <w:tc>
          <w:tcPr>
            <w:tcW w:w="2410" w:type="dxa"/>
          </w:tcPr>
          <w:p w14:paraId="42F9DE87" w14:textId="77777777" w:rsidR="00D93D3B" w:rsidRPr="00183E4D" w:rsidRDefault="00D93D3B" w:rsidP="008A371F">
            <w:pPr>
              <w:pStyle w:val="Tabletext1"/>
            </w:pPr>
            <w:r w:rsidRPr="00183E4D">
              <w:t>Limits</w:t>
            </w:r>
          </w:p>
        </w:tc>
        <w:tc>
          <w:tcPr>
            <w:tcW w:w="6521" w:type="dxa"/>
          </w:tcPr>
          <w:p w14:paraId="06DAB81D" w14:textId="77777777" w:rsidR="00D93D3B" w:rsidRPr="00183E4D" w:rsidRDefault="00D93D3B" w:rsidP="008A371F">
            <w:pPr>
              <w:pStyle w:val="Tabletext1"/>
            </w:pPr>
            <w:r>
              <w:t>English language, published in the last 10 years</w:t>
            </w:r>
          </w:p>
        </w:tc>
      </w:tr>
    </w:tbl>
    <w:p w14:paraId="00B1DA84" w14:textId="1950EDA9" w:rsidR="00F93B0C" w:rsidRDefault="00387E51" w:rsidP="00387E51">
      <w:pPr>
        <w:pStyle w:val="Heading2"/>
      </w:pPr>
      <w:bookmarkStart w:id="500" w:name="_Toc460396108"/>
      <w:bookmarkStart w:id="501" w:name="_Ref170808567"/>
      <w:bookmarkStart w:id="502" w:name="_Toc460813781"/>
      <w:bookmarkStart w:id="503" w:name="_Ref170792604"/>
      <w:r>
        <w:t xml:space="preserve">Literature </w:t>
      </w:r>
      <w:r w:rsidR="00D42D0C">
        <w:t>S</w:t>
      </w:r>
      <w:r>
        <w:t xml:space="preserve">earch to </w:t>
      </w:r>
      <w:r w:rsidR="00D42D0C">
        <w:t>I</w:t>
      </w:r>
      <w:r>
        <w:t xml:space="preserve">nform the Economic </w:t>
      </w:r>
      <w:r w:rsidR="00D42D0C">
        <w:t>A</w:t>
      </w:r>
      <w:r>
        <w:t>nalyses</w:t>
      </w:r>
      <w:bookmarkEnd w:id="500"/>
      <w:r>
        <w:t xml:space="preserve"> </w:t>
      </w:r>
    </w:p>
    <w:p w14:paraId="47ED44B2" w14:textId="77777777" w:rsidR="00387E51" w:rsidRPr="00387E51" w:rsidRDefault="00387E51" w:rsidP="00387E51">
      <w:pPr>
        <w:spacing w:before="0" w:after="120"/>
        <w:ind w:left="2410" w:hanging="2410"/>
        <w:rPr>
          <w:rFonts w:ascii="Arial Narrow" w:hAnsi="Arial Narrow"/>
          <w:b/>
          <w:bCs/>
          <w:sz w:val="20"/>
          <w:szCs w:val="20"/>
        </w:rPr>
      </w:pPr>
      <w:r w:rsidRPr="00387E51">
        <w:rPr>
          <w:rFonts w:ascii="Arial Narrow" w:hAnsi="Arial Narrow"/>
          <w:b/>
          <w:bCs/>
          <w:sz w:val="20"/>
          <w:szCs w:val="20"/>
        </w:rPr>
        <w:t>Literature search strategies used to identify microwave economic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675"/>
        <w:gridCol w:w="1283"/>
        <w:gridCol w:w="1283"/>
        <w:gridCol w:w="1281"/>
      </w:tblGrid>
      <w:tr w:rsidR="00387E51" w:rsidRPr="00387E51" w14:paraId="1BA351C3" w14:textId="77777777" w:rsidTr="00994BBC">
        <w:trPr>
          <w:cantSplit/>
          <w:trHeight w:val="329"/>
          <w:tblHeader/>
        </w:trPr>
        <w:tc>
          <w:tcPr>
            <w:tcW w:w="2919"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74712E10" w14:textId="77777777" w:rsidR="00387E51" w:rsidRPr="008A371F" w:rsidRDefault="00387E51" w:rsidP="00DA21F9">
            <w:pPr>
              <w:pStyle w:val="Tabletext1"/>
              <w:rPr>
                <w:b/>
              </w:rPr>
            </w:pPr>
            <w:r w:rsidRPr="008A371F">
              <w:rPr>
                <w:b/>
              </w:rPr>
              <w:t>Search terms</w:t>
            </w:r>
          </w:p>
        </w:tc>
        <w:tc>
          <w:tcPr>
            <w:tcW w:w="6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5010E01" w14:textId="77777777" w:rsidR="00387E51" w:rsidRPr="008A371F" w:rsidRDefault="00387E51" w:rsidP="00DA21F9">
            <w:pPr>
              <w:pStyle w:val="Tabletext1"/>
              <w:rPr>
                <w:b/>
              </w:rPr>
            </w:pPr>
            <w:r w:rsidRPr="008A371F">
              <w:rPr>
                <w:b/>
              </w:rPr>
              <w:t>MEDLINE Citations retrieved</w:t>
            </w:r>
          </w:p>
        </w:tc>
        <w:tc>
          <w:tcPr>
            <w:tcW w:w="6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4830F50" w14:textId="77777777" w:rsidR="00387E51" w:rsidRPr="008A371F" w:rsidRDefault="00387E51" w:rsidP="00DA21F9">
            <w:pPr>
              <w:pStyle w:val="Tabletext1"/>
              <w:rPr>
                <w:b/>
              </w:rPr>
            </w:pPr>
            <w:r w:rsidRPr="008A371F">
              <w:rPr>
                <w:b/>
              </w:rPr>
              <w:t>EMBASE Citations retrieved</w:t>
            </w:r>
          </w:p>
        </w:tc>
        <w:tc>
          <w:tcPr>
            <w:tcW w:w="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2EF2676" w14:textId="77777777" w:rsidR="00387E51" w:rsidRPr="008A371F" w:rsidRDefault="00387E51" w:rsidP="00DA21F9">
            <w:pPr>
              <w:pStyle w:val="Tabletext1"/>
              <w:rPr>
                <w:b/>
              </w:rPr>
            </w:pPr>
            <w:r w:rsidRPr="008A371F">
              <w:rPr>
                <w:b/>
              </w:rPr>
              <w:t>Global Health Citations retrieved</w:t>
            </w:r>
          </w:p>
        </w:tc>
      </w:tr>
      <w:tr w:rsidR="00387E51" w:rsidRPr="00387E51" w14:paraId="7E75D981" w14:textId="77777777" w:rsidTr="00387E51">
        <w:trPr>
          <w:cantSplit/>
        </w:trPr>
        <w:tc>
          <w:tcPr>
            <w:tcW w:w="390" w:type="pct"/>
            <w:tcBorders>
              <w:top w:val="single" w:sz="4" w:space="0" w:color="auto"/>
              <w:left w:val="single" w:sz="4" w:space="0" w:color="auto"/>
              <w:bottom w:val="single" w:sz="4" w:space="0" w:color="auto"/>
              <w:right w:val="nil"/>
            </w:tcBorders>
            <w:hideMark/>
          </w:tcPr>
          <w:p w14:paraId="638477F6" w14:textId="77777777" w:rsidR="00387E51" w:rsidRPr="00387E51" w:rsidRDefault="00387E51" w:rsidP="008A371F">
            <w:pPr>
              <w:pStyle w:val="Tabletext1"/>
            </w:pPr>
            <w:r w:rsidRPr="00387E51">
              <w:t>#1</w:t>
            </w:r>
          </w:p>
        </w:tc>
        <w:tc>
          <w:tcPr>
            <w:tcW w:w="2529" w:type="pct"/>
            <w:tcBorders>
              <w:top w:val="single" w:sz="4" w:space="0" w:color="auto"/>
              <w:left w:val="nil"/>
              <w:bottom w:val="single" w:sz="4" w:space="0" w:color="auto"/>
              <w:right w:val="single" w:sz="4" w:space="0" w:color="auto"/>
            </w:tcBorders>
            <w:hideMark/>
          </w:tcPr>
          <w:p w14:paraId="6BFAF533" w14:textId="77777777" w:rsidR="00387E51" w:rsidRPr="00387E51" w:rsidRDefault="00387E51" w:rsidP="008A371F">
            <w:pPr>
              <w:pStyle w:val="Tabletext1"/>
              <w:rPr>
                <w:rFonts w:eastAsia="Arial Unicode MS" w:cs="Arial Unicode MS"/>
              </w:rPr>
            </w:pPr>
            <w:r w:rsidRPr="00387E51">
              <w:rPr>
                <w:rFonts w:eastAsia="Arial Unicode MS" w:cs="Arial Unicode MS"/>
              </w:rPr>
              <w:t>exp microwave/</w:t>
            </w:r>
          </w:p>
        </w:tc>
        <w:tc>
          <w:tcPr>
            <w:tcW w:w="694" w:type="pct"/>
            <w:tcBorders>
              <w:top w:val="single" w:sz="4" w:space="0" w:color="auto"/>
              <w:left w:val="single" w:sz="4" w:space="0" w:color="auto"/>
              <w:bottom w:val="single" w:sz="4" w:space="0" w:color="auto"/>
              <w:right w:val="single" w:sz="4" w:space="0" w:color="auto"/>
            </w:tcBorders>
            <w:vAlign w:val="center"/>
          </w:tcPr>
          <w:p w14:paraId="159DA7C1" w14:textId="77777777" w:rsidR="00387E51" w:rsidRPr="00387E51" w:rsidRDefault="00387E51" w:rsidP="008A371F">
            <w:pPr>
              <w:pStyle w:val="Tabletext1"/>
              <w:rPr>
                <w:rFonts w:eastAsia="Arial Unicode MS" w:cs="Arial Unicode MS"/>
              </w:rPr>
            </w:pPr>
            <w:r w:rsidRPr="00387E51">
              <w:rPr>
                <w:rFonts w:eastAsia="Arial Unicode MS" w:cs="Arial Unicode MS"/>
              </w:rPr>
              <w:t>14566</w:t>
            </w:r>
          </w:p>
        </w:tc>
        <w:tc>
          <w:tcPr>
            <w:tcW w:w="694" w:type="pct"/>
            <w:tcBorders>
              <w:top w:val="single" w:sz="4" w:space="0" w:color="auto"/>
              <w:left w:val="single" w:sz="4" w:space="0" w:color="auto"/>
              <w:bottom w:val="single" w:sz="4" w:space="0" w:color="auto"/>
              <w:right w:val="single" w:sz="4" w:space="0" w:color="auto"/>
            </w:tcBorders>
            <w:vAlign w:val="center"/>
            <w:hideMark/>
          </w:tcPr>
          <w:p w14:paraId="5C396543" w14:textId="77777777" w:rsidR="00387E51" w:rsidRPr="00387E51" w:rsidRDefault="00387E51" w:rsidP="008A371F">
            <w:pPr>
              <w:pStyle w:val="Tabletext1"/>
              <w:rPr>
                <w:rFonts w:eastAsia="Arial Unicode MS" w:cs="Arial Unicode MS"/>
              </w:rPr>
            </w:pPr>
            <w:r w:rsidRPr="00387E51">
              <w:rPr>
                <w:rFonts w:eastAsia="Arial Unicode MS" w:cs="Arial Unicode MS"/>
              </w:rPr>
              <w:t>18519</w:t>
            </w:r>
          </w:p>
        </w:tc>
        <w:tc>
          <w:tcPr>
            <w:tcW w:w="693" w:type="pct"/>
            <w:tcBorders>
              <w:top w:val="single" w:sz="4" w:space="0" w:color="auto"/>
              <w:left w:val="single" w:sz="4" w:space="0" w:color="auto"/>
              <w:right w:val="single" w:sz="4" w:space="0" w:color="auto"/>
            </w:tcBorders>
            <w:vAlign w:val="center"/>
          </w:tcPr>
          <w:p w14:paraId="20EEA67D" w14:textId="77777777" w:rsidR="00387E51" w:rsidRPr="00387E51" w:rsidRDefault="00387E51" w:rsidP="008A371F">
            <w:pPr>
              <w:pStyle w:val="Tabletext1"/>
            </w:pPr>
            <w:r w:rsidRPr="00387E51">
              <w:t>5151</w:t>
            </w:r>
          </w:p>
        </w:tc>
      </w:tr>
      <w:tr w:rsidR="00387E51" w:rsidRPr="00387E51" w14:paraId="3A3D7959" w14:textId="77777777" w:rsidTr="00387E51">
        <w:trPr>
          <w:cantSplit/>
        </w:trPr>
        <w:tc>
          <w:tcPr>
            <w:tcW w:w="390" w:type="pct"/>
            <w:tcBorders>
              <w:top w:val="single" w:sz="4" w:space="0" w:color="auto"/>
              <w:left w:val="single" w:sz="4" w:space="0" w:color="auto"/>
              <w:bottom w:val="single" w:sz="4" w:space="0" w:color="auto"/>
              <w:right w:val="nil"/>
            </w:tcBorders>
            <w:hideMark/>
          </w:tcPr>
          <w:p w14:paraId="0A2630BD" w14:textId="77777777" w:rsidR="00387E51" w:rsidRPr="00387E51" w:rsidRDefault="00387E51" w:rsidP="008A371F">
            <w:pPr>
              <w:pStyle w:val="Tabletext1"/>
            </w:pPr>
            <w:r w:rsidRPr="00387E51">
              <w:t>#2</w:t>
            </w:r>
          </w:p>
        </w:tc>
        <w:tc>
          <w:tcPr>
            <w:tcW w:w="2529" w:type="pct"/>
            <w:tcBorders>
              <w:top w:val="single" w:sz="4" w:space="0" w:color="auto"/>
              <w:left w:val="nil"/>
              <w:bottom w:val="single" w:sz="4" w:space="0" w:color="auto"/>
              <w:right w:val="single" w:sz="4" w:space="0" w:color="auto"/>
            </w:tcBorders>
          </w:tcPr>
          <w:p w14:paraId="76287456" w14:textId="77777777" w:rsidR="00387E51" w:rsidRPr="00387E51" w:rsidRDefault="00387E51" w:rsidP="008A371F">
            <w:pPr>
              <w:pStyle w:val="Tabletext1"/>
              <w:rPr>
                <w:rFonts w:eastAsia="Arial Unicode MS" w:cs="Arial Unicode MS"/>
              </w:rPr>
            </w:pPr>
            <w:r w:rsidRPr="00387E51">
              <w:rPr>
                <w:rFonts w:eastAsia="Arial Unicode MS" w:cs="Arial Unicode MS"/>
              </w:rPr>
              <w:t>(Acculis or Sulis or Avecure or Amica or Emprint or Microsulis).mp. [mp=title, abstract, heading word, drug trade name, original title, device manufacturer, drug manufacturer, device trade name, keyword]</w:t>
            </w:r>
          </w:p>
        </w:tc>
        <w:tc>
          <w:tcPr>
            <w:tcW w:w="694" w:type="pct"/>
            <w:tcBorders>
              <w:top w:val="single" w:sz="4" w:space="0" w:color="auto"/>
              <w:left w:val="single" w:sz="4" w:space="0" w:color="auto"/>
              <w:bottom w:val="single" w:sz="4" w:space="0" w:color="auto"/>
              <w:right w:val="single" w:sz="4" w:space="0" w:color="auto"/>
            </w:tcBorders>
            <w:vAlign w:val="center"/>
          </w:tcPr>
          <w:p w14:paraId="0903F17F" w14:textId="77777777" w:rsidR="00387E51" w:rsidRPr="00387E51" w:rsidRDefault="00387E51" w:rsidP="008A371F">
            <w:pPr>
              <w:pStyle w:val="Tabletext1"/>
              <w:rPr>
                <w:rFonts w:eastAsia="Arial Unicode MS" w:cs="Arial Unicode MS"/>
              </w:rPr>
            </w:pPr>
            <w:r w:rsidRPr="00387E51">
              <w:rPr>
                <w:rFonts w:eastAsia="Arial Unicode MS" w:cs="Arial Unicode MS"/>
              </w:rPr>
              <w:t>38</w:t>
            </w:r>
          </w:p>
        </w:tc>
        <w:tc>
          <w:tcPr>
            <w:tcW w:w="694" w:type="pct"/>
            <w:tcBorders>
              <w:top w:val="single" w:sz="4" w:space="0" w:color="auto"/>
              <w:left w:val="single" w:sz="4" w:space="0" w:color="auto"/>
              <w:bottom w:val="single" w:sz="4" w:space="0" w:color="auto"/>
              <w:right w:val="single" w:sz="4" w:space="0" w:color="auto"/>
            </w:tcBorders>
            <w:vAlign w:val="center"/>
          </w:tcPr>
          <w:p w14:paraId="77543820" w14:textId="77777777" w:rsidR="00387E51" w:rsidRPr="00387E51" w:rsidRDefault="00387E51" w:rsidP="008A371F">
            <w:pPr>
              <w:pStyle w:val="Tabletext1"/>
              <w:rPr>
                <w:rFonts w:eastAsia="Arial Unicode MS" w:cs="Arial Unicode MS"/>
              </w:rPr>
            </w:pPr>
            <w:r w:rsidRPr="00387E51">
              <w:rPr>
                <w:rFonts w:eastAsia="Arial Unicode MS" w:cs="Arial Unicode MS"/>
              </w:rPr>
              <w:t>167</w:t>
            </w:r>
          </w:p>
        </w:tc>
        <w:tc>
          <w:tcPr>
            <w:tcW w:w="693" w:type="pct"/>
            <w:tcBorders>
              <w:left w:val="single" w:sz="4" w:space="0" w:color="auto"/>
              <w:right w:val="single" w:sz="4" w:space="0" w:color="auto"/>
            </w:tcBorders>
            <w:vAlign w:val="center"/>
          </w:tcPr>
          <w:p w14:paraId="74FA1D28" w14:textId="77777777" w:rsidR="00387E51" w:rsidRPr="00387E51" w:rsidRDefault="00387E51" w:rsidP="008A371F">
            <w:pPr>
              <w:pStyle w:val="Tabletext1"/>
              <w:rPr>
                <w:lang w:eastAsia="en-US"/>
              </w:rPr>
            </w:pPr>
            <w:r w:rsidRPr="00387E51">
              <w:rPr>
                <w:lang w:eastAsia="en-US"/>
              </w:rPr>
              <w:t>5</w:t>
            </w:r>
          </w:p>
        </w:tc>
      </w:tr>
      <w:tr w:rsidR="00387E51" w:rsidRPr="00387E51" w14:paraId="27A02EEF" w14:textId="77777777" w:rsidTr="00387E51">
        <w:trPr>
          <w:cantSplit/>
        </w:trPr>
        <w:tc>
          <w:tcPr>
            <w:tcW w:w="390" w:type="pct"/>
            <w:tcBorders>
              <w:top w:val="single" w:sz="4" w:space="0" w:color="auto"/>
              <w:left w:val="single" w:sz="4" w:space="0" w:color="auto"/>
              <w:bottom w:val="single" w:sz="4" w:space="0" w:color="auto"/>
              <w:right w:val="nil"/>
            </w:tcBorders>
            <w:hideMark/>
          </w:tcPr>
          <w:p w14:paraId="636521DF" w14:textId="77777777" w:rsidR="00387E51" w:rsidRPr="00387E51" w:rsidRDefault="00387E51" w:rsidP="008A371F">
            <w:pPr>
              <w:pStyle w:val="Tabletext1"/>
            </w:pPr>
            <w:r w:rsidRPr="00387E51">
              <w:t>#3</w:t>
            </w:r>
          </w:p>
        </w:tc>
        <w:tc>
          <w:tcPr>
            <w:tcW w:w="2529" w:type="pct"/>
            <w:tcBorders>
              <w:top w:val="single" w:sz="4" w:space="0" w:color="auto"/>
              <w:left w:val="nil"/>
              <w:bottom w:val="single" w:sz="4" w:space="0" w:color="auto"/>
              <w:right w:val="single" w:sz="4" w:space="0" w:color="auto"/>
            </w:tcBorders>
          </w:tcPr>
          <w:p w14:paraId="39D16059" w14:textId="77777777" w:rsidR="00387E51" w:rsidRPr="00387E51" w:rsidRDefault="00387E51" w:rsidP="008A371F">
            <w:pPr>
              <w:pStyle w:val="Tabletext1"/>
              <w:rPr>
                <w:rFonts w:eastAsia="Arial Unicode MS" w:cs="Arial Unicode MS"/>
              </w:rPr>
            </w:pPr>
            <w:proofErr w:type="gramStart"/>
            <w:r w:rsidRPr="00387E51">
              <w:rPr>
                <w:rFonts w:eastAsia="Arial Unicode MS" w:cs="Arial Unicode MS"/>
              </w:rPr>
              <w:t>lung</w:t>
            </w:r>
            <w:proofErr w:type="gramEnd"/>
            <w:r w:rsidRPr="00387E51">
              <w:rPr>
                <w:rFonts w:eastAsia="Arial Unicode MS" w:cs="Arial Unicode MS"/>
              </w:rPr>
              <w:t xml:space="preserve">/ or lung metastasis/ or lung carcinoma/ or lung cancer/ or non small cell lung cancer/ or lung.mp. </w:t>
            </w:r>
            <w:proofErr w:type="gramStart"/>
            <w:r w:rsidRPr="00387E51">
              <w:rPr>
                <w:rFonts w:eastAsia="Arial Unicode MS" w:cs="Arial Unicode MS"/>
              </w:rPr>
              <w:t>or</w:t>
            </w:r>
            <w:proofErr w:type="gramEnd"/>
            <w:r w:rsidRPr="00387E51">
              <w:rPr>
                <w:rFonts w:eastAsia="Arial Unicode MS" w:cs="Arial Unicode MS"/>
              </w:rPr>
              <w:t xml:space="preserve"> squamous cell lung carcinoma/ or pulmonary.mp or lung neoplasm.mp. or exp lung tumor/</w:t>
            </w:r>
          </w:p>
        </w:tc>
        <w:tc>
          <w:tcPr>
            <w:tcW w:w="694" w:type="pct"/>
            <w:tcBorders>
              <w:top w:val="single" w:sz="4" w:space="0" w:color="auto"/>
              <w:left w:val="single" w:sz="4" w:space="0" w:color="auto"/>
              <w:bottom w:val="single" w:sz="4" w:space="0" w:color="auto"/>
              <w:right w:val="single" w:sz="4" w:space="0" w:color="auto"/>
            </w:tcBorders>
            <w:vAlign w:val="center"/>
          </w:tcPr>
          <w:p w14:paraId="306A053C" w14:textId="77777777" w:rsidR="00387E51" w:rsidRPr="00387E51" w:rsidRDefault="00387E51" w:rsidP="008A371F">
            <w:pPr>
              <w:pStyle w:val="Tabletext1"/>
              <w:rPr>
                <w:rFonts w:eastAsia="Arial Unicode MS" w:cs="Arial Unicode MS"/>
              </w:rPr>
            </w:pPr>
            <w:r w:rsidRPr="00387E51">
              <w:rPr>
                <w:rFonts w:eastAsia="Arial Unicode MS" w:cs="Arial Unicode MS"/>
              </w:rPr>
              <w:t>970657</w:t>
            </w:r>
          </w:p>
        </w:tc>
        <w:tc>
          <w:tcPr>
            <w:tcW w:w="694" w:type="pct"/>
            <w:tcBorders>
              <w:top w:val="single" w:sz="4" w:space="0" w:color="auto"/>
              <w:left w:val="single" w:sz="4" w:space="0" w:color="auto"/>
              <w:bottom w:val="single" w:sz="4" w:space="0" w:color="auto"/>
              <w:right w:val="single" w:sz="4" w:space="0" w:color="auto"/>
            </w:tcBorders>
            <w:vAlign w:val="center"/>
          </w:tcPr>
          <w:p w14:paraId="6E578C89" w14:textId="77777777" w:rsidR="00387E51" w:rsidRPr="00387E51" w:rsidRDefault="00387E51" w:rsidP="008A371F">
            <w:pPr>
              <w:pStyle w:val="Tabletext1"/>
              <w:rPr>
                <w:rFonts w:eastAsia="Arial Unicode MS" w:cs="Arial Unicode MS"/>
              </w:rPr>
            </w:pPr>
            <w:r w:rsidRPr="00387E51">
              <w:rPr>
                <w:rFonts w:eastAsia="Arial Unicode MS" w:cs="Arial Unicode MS"/>
              </w:rPr>
              <w:t>1486743</w:t>
            </w:r>
          </w:p>
        </w:tc>
        <w:tc>
          <w:tcPr>
            <w:tcW w:w="693" w:type="pct"/>
            <w:tcBorders>
              <w:left w:val="single" w:sz="4" w:space="0" w:color="auto"/>
              <w:right w:val="single" w:sz="4" w:space="0" w:color="auto"/>
            </w:tcBorders>
            <w:vAlign w:val="center"/>
          </w:tcPr>
          <w:p w14:paraId="2FB75763" w14:textId="77777777" w:rsidR="00387E51" w:rsidRPr="00387E51" w:rsidRDefault="00387E51" w:rsidP="008A371F">
            <w:pPr>
              <w:pStyle w:val="Tabletext1"/>
              <w:rPr>
                <w:lang w:eastAsia="en-US"/>
              </w:rPr>
            </w:pPr>
            <w:r w:rsidRPr="00387E51">
              <w:rPr>
                <w:lang w:eastAsia="en-US"/>
              </w:rPr>
              <w:t xml:space="preserve">82634 </w:t>
            </w:r>
          </w:p>
        </w:tc>
      </w:tr>
      <w:tr w:rsidR="00387E51" w:rsidRPr="00387E51" w14:paraId="72207CE7" w14:textId="77777777" w:rsidTr="00387E51">
        <w:trPr>
          <w:cantSplit/>
        </w:trPr>
        <w:tc>
          <w:tcPr>
            <w:tcW w:w="390" w:type="pct"/>
            <w:tcBorders>
              <w:top w:val="single" w:sz="4" w:space="0" w:color="auto"/>
              <w:left w:val="single" w:sz="4" w:space="0" w:color="auto"/>
              <w:bottom w:val="single" w:sz="4" w:space="0" w:color="auto"/>
              <w:right w:val="nil"/>
            </w:tcBorders>
            <w:hideMark/>
          </w:tcPr>
          <w:p w14:paraId="4735429E" w14:textId="77777777" w:rsidR="00387E51" w:rsidRPr="00387E51" w:rsidRDefault="00387E51" w:rsidP="008A371F">
            <w:pPr>
              <w:pStyle w:val="Tabletext1"/>
            </w:pPr>
            <w:r w:rsidRPr="00387E51">
              <w:t>#4</w:t>
            </w:r>
          </w:p>
        </w:tc>
        <w:tc>
          <w:tcPr>
            <w:tcW w:w="2529" w:type="pct"/>
            <w:tcBorders>
              <w:top w:val="single" w:sz="4" w:space="0" w:color="auto"/>
              <w:left w:val="nil"/>
              <w:bottom w:val="single" w:sz="4" w:space="0" w:color="auto"/>
              <w:right w:val="single" w:sz="4" w:space="0" w:color="auto"/>
            </w:tcBorders>
          </w:tcPr>
          <w:p w14:paraId="61497F4A" w14:textId="77777777" w:rsidR="00387E51" w:rsidRPr="00387E51" w:rsidRDefault="00387E51" w:rsidP="008A371F">
            <w:pPr>
              <w:pStyle w:val="Tabletext1"/>
              <w:rPr>
                <w:rFonts w:eastAsia="Arial Unicode MS"/>
                <w:color w:val="000000"/>
                <w:lang w:eastAsia="zh-CN"/>
              </w:rPr>
            </w:pPr>
            <w:proofErr w:type="gramStart"/>
            <w:r w:rsidRPr="00387E51">
              <w:rPr>
                <w:rFonts w:eastAsia="Arial Unicode MS"/>
                <w:color w:val="000000"/>
                <w:lang w:eastAsia="zh-CN"/>
              </w:rPr>
              <w:t>exp</w:t>
            </w:r>
            <w:proofErr w:type="gramEnd"/>
            <w:r w:rsidRPr="00387E51">
              <w:rPr>
                <w:rFonts w:eastAsia="Arial Unicode MS"/>
                <w:color w:val="000000"/>
                <w:lang w:eastAsia="zh-CN"/>
              </w:rPr>
              <w:t xml:space="preserve"> economics/ or exp "costs and cost Analysis"/ or utility.mp or exp health economics or exp quality adjusted life year/ or exp QALY/ or cost utility analysis"/ or "cost benefit analysis"/ or "cost minimization analysis"/ or cost.mp. or "cost"/ or "cost effectiveness analysis"/ or "cost of illness"/</w:t>
            </w:r>
          </w:p>
        </w:tc>
        <w:tc>
          <w:tcPr>
            <w:tcW w:w="694" w:type="pct"/>
            <w:tcBorders>
              <w:top w:val="single" w:sz="4" w:space="0" w:color="auto"/>
              <w:left w:val="single" w:sz="4" w:space="0" w:color="auto"/>
              <w:bottom w:val="single" w:sz="4" w:space="0" w:color="auto"/>
              <w:right w:val="single" w:sz="4" w:space="0" w:color="auto"/>
            </w:tcBorders>
            <w:vAlign w:val="center"/>
          </w:tcPr>
          <w:p w14:paraId="5BA51631" w14:textId="77777777" w:rsidR="00387E51" w:rsidRPr="00387E51" w:rsidRDefault="00387E51" w:rsidP="008A371F">
            <w:pPr>
              <w:pStyle w:val="Tabletext1"/>
              <w:rPr>
                <w:rFonts w:eastAsia="Arial Unicode MS"/>
                <w:color w:val="000000"/>
                <w:lang w:eastAsia="zh-CN"/>
              </w:rPr>
            </w:pPr>
            <w:r w:rsidRPr="00387E51">
              <w:rPr>
                <w:rFonts w:eastAsia="Arial Unicode MS"/>
                <w:color w:val="000000"/>
                <w:lang w:eastAsia="zh-CN"/>
              </w:rPr>
              <w:t>342525</w:t>
            </w:r>
          </w:p>
        </w:tc>
        <w:tc>
          <w:tcPr>
            <w:tcW w:w="694" w:type="pct"/>
            <w:tcBorders>
              <w:top w:val="single" w:sz="4" w:space="0" w:color="auto"/>
              <w:left w:val="single" w:sz="4" w:space="0" w:color="auto"/>
              <w:bottom w:val="single" w:sz="4" w:space="0" w:color="auto"/>
              <w:right w:val="single" w:sz="4" w:space="0" w:color="auto"/>
            </w:tcBorders>
            <w:vAlign w:val="center"/>
          </w:tcPr>
          <w:p w14:paraId="67514D9C" w14:textId="77777777" w:rsidR="00387E51" w:rsidRPr="00387E51" w:rsidRDefault="00387E51" w:rsidP="008A371F">
            <w:pPr>
              <w:pStyle w:val="Tabletext1"/>
              <w:rPr>
                <w:rFonts w:eastAsia="Arial Unicode MS"/>
                <w:color w:val="000000"/>
                <w:lang w:eastAsia="zh-CN"/>
              </w:rPr>
            </w:pPr>
            <w:r w:rsidRPr="00387E51">
              <w:rPr>
                <w:rFonts w:eastAsia="Arial Unicode MS"/>
                <w:color w:val="000000"/>
                <w:lang w:eastAsia="zh-CN"/>
              </w:rPr>
              <w:t>941251</w:t>
            </w:r>
          </w:p>
        </w:tc>
        <w:tc>
          <w:tcPr>
            <w:tcW w:w="693" w:type="pct"/>
            <w:tcBorders>
              <w:left w:val="single" w:sz="4" w:space="0" w:color="auto"/>
              <w:right w:val="single" w:sz="4" w:space="0" w:color="auto"/>
            </w:tcBorders>
            <w:vAlign w:val="center"/>
          </w:tcPr>
          <w:p w14:paraId="351B4485" w14:textId="77777777" w:rsidR="00387E51" w:rsidRPr="00387E51" w:rsidRDefault="00387E51" w:rsidP="008A371F">
            <w:pPr>
              <w:pStyle w:val="Tabletext1"/>
              <w:rPr>
                <w:lang w:eastAsia="en-US"/>
              </w:rPr>
            </w:pPr>
            <w:r w:rsidRPr="00387E51">
              <w:rPr>
                <w:lang w:eastAsia="en-US"/>
              </w:rPr>
              <w:t>55008</w:t>
            </w:r>
          </w:p>
        </w:tc>
      </w:tr>
      <w:tr w:rsidR="00387E51" w:rsidRPr="00387E51" w14:paraId="657729B2" w14:textId="77777777" w:rsidTr="00387E51">
        <w:trPr>
          <w:cantSplit/>
        </w:trPr>
        <w:tc>
          <w:tcPr>
            <w:tcW w:w="390" w:type="pct"/>
            <w:tcBorders>
              <w:top w:val="single" w:sz="4" w:space="0" w:color="auto"/>
              <w:left w:val="single" w:sz="4" w:space="0" w:color="auto"/>
              <w:bottom w:val="single" w:sz="4" w:space="0" w:color="auto"/>
              <w:right w:val="nil"/>
            </w:tcBorders>
            <w:hideMark/>
          </w:tcPr>
          <w:p w14:paraId="63649AE8" w14:textId="77777777" w:rsidR="00387E51" w:rsidRPr="00387E51" w:rsidRDefault="00387E51" w:rsidP="008A371F">
            <w:pPr>
              <w:pStyle w:val="Tabletext1"/>
            </w:pPr>
            <w:r w:rsidRPr="00387E51">
              <w:lastRenderedPageBreak/>
              <w:t>#5</w:t>
            </w:r>
          </w:p>
        </w:tc>
        <w:tc>
          <w:tcPr>
            <w:tcW w:w="2529" w:type="pct"/>
            <w:tcBorders>
              <w:top w:val="single" w:sz="4" w:space="0" w:color="auto"/>
              <w:left w:val="nil"/>
              <w:bottom w:val="single" w:sz="4" w:space="0" w:color="auto"/>
              <w:right w:val="single" w:sz="4" w:space="0" w:color="auto"/>
            </w:tcBorders>
          </w:tcPr>
          <w:p w14:paraId="2597B330" w14:textId="77777777" w:rsidR="00387E51" w:rsidRPr="00387E51" w:rsidRDefault="00387E51" w:rsidP="008A371F">
            <w:pPr>
              <w:pStyle w:val="Tabletext1"/>
              <w:rPr>
                <w:rFonts w:eastAsia="Arial Unicode MS" w:cs="Arial Unicode MS"/>
              </w:rPr>
            </w:pPr>
            <w:r w:rsidRPr="00387E51">
              <w:rPr>
                <w:rFonts w:eastAsia="Arial Unicode MS"/>
              </w:rPr>
              <w:t>#1 OR #2</w:t>
            </w:r>
          </w:p>
        </w:tc>
        <w:tc>
          <w:tcPr>
            <w:tcW w:w="694" w:type="pct"/>
            <w:tcBorders>
              <w:top w:val="single" w:sz="4" w:space="0" w:color="auto"/>
              <w:left w:val="single" w:sz="4" w:space="0" w:color="auto"/>
              <w:bottom w:val="single" w:sz="4" w:space="0" w:color="auto"/>
              <w:right w:val="single" w:sz="4" w:space="0" w:color="auto"/>
            </w:tcBorders>
            <w:vAlign w:val="center"/>
          </w:tcPr>
          <w:p w14:paraId="47C20A69" w14:textId="77777777" w:rsidR="00387E51" w:rsidRPr="00387E51" w:rsidRDefault="00387E51" w:rsidP="008A371F">
            <w:pPr>
              <w:pStyle w:val="Tabletext1"/>
              <w:rPr>
                <w:rFonts w:eastAsia="Arial Unicode MS" w:cs="Arial Unicode MS"/>
              </w:rPr>
            </w:pPr>
            <w:r w:rsidRPr="00387E51">
              <w:rPr>
                <w:rFonts w:eastAsia="Arial Unicode MS" w:cs="Arial Unicode MS"/>
              </w:rPr>
              <w:t>14544</w:t>
            </w:r>
          </w:p>
        </w:tc>
        <w:tc>
          <w:tcPr>
            <w:tcW w:w="694" w:type="pct"/>
            <w:tcBorders>
              <w:top w:val="single" w:sz="4" w:space="0" w:color="auto"/>
              <w:left w:val="single" w:sz="4" w:space="0" w:color="auto"/>
              <w:bottom w:val="single" w:sz="4" w:space="0" w:color="auto"/>
              <w:right w:val="single" w:sz="4" w:space="0" w:color="auto"/>
            </w:tcBorders>
            <w:vAlign w:val="center"/>
          </w:tcPr>
          <w:p w14:paraId="7A162D0A" w14:textId="77777777" w:rsidR="00387E51" w:rsidRPr="00387E51" w:rsidRDefault="00387E51" w:rsidP="008A371F">
            <w:pPr>
              <w:pStyle w:val="Tabletext1"/>
              <w:rPr>
                <w:rFonts w:eastAsia="Arial Unicode MS" w:cs="Arial Unicode MS"/>
              </w:rPr>
            </w:pPr>
            <w:r w:rsidRPr="00387E51">
              <w:rPr>
                <w:rFonts w:eastAsia="Arial Unicode MS" w:cs="Arial Unicode MS"/>
              </w:rPr>
              <w:t>18647</w:t>
            </w:r>
          </w:p>
        </w:tc>
        <w:tc>
          <w:tcPr>
            <w:tcW w:w="693" w:type="pct"/>
            <w:tcBorders>
              <w:left w:val="single" w:sz="4" w:space="0" w:color="auto"/>
              <w:right w:val="single" w:sz="4" w:space="0" w:color="auto"/>
            </w:tcBorders>
            <w:vAlign w:val="center"/>
          </w:tcPr>
          <w:p w14:paraId="3FCAE31A" w14:textId="77777777" w:rsidR="00387E51" w:rsidRPr="00387E51" w:rsidRDefault="00387E51" w:rsidP="008A371F">
            <w:pPr>
              <w:pStyle w:val="Tabletext1"/>
              <w:rPr>
                <w:lang w:eastAsia="en-US"/>
              </w:rPr>
            </w:pPr>
            <w:r w:rsidRPr="00387E51">
              <w:rPr>
                <w:lang w:eastAsia="en-US"/>
              </w:rPr>
              <w:t>5156</w:t>
            </w:r>
          </w:p>
        </w:tc>
      </w:tr>
      <w:tr w:rsidR="00387E51" w:rsidRPr="00387E51" w14:paraId="7400B0F5" w14:textId="77777777" w:rsidTr="00387E51">
        <w:trPr>
          <w:cantSplit/>
        </w:trPr>
        <w:tc>
          <w:tcPr>
            <w:tcW w:w="390" w:type="pct"/>
            <w:tcBorders>
              <w:top w:val="single" w:sz="4" w:space="0" w:color="auto"/>
              <w:left w:val="single" w:sz="4" w:space="0" w:color="auto"/>
              <w:bottom w:val="single" w:sz="4" w:space="0" w:color="auto"/>
              <w:right w:val="nil"/>
            </w:tcBorders>
            <w:shd w:val="clear" w:color="auto" w:fill="D9D9D9" w:themeFill="background1" w:themeFillShade="D9"/>
          </w:tcPr>
          <w:p w14:paraId="278775EC" w14:textId="77777777" w:rsidR="00387E51" w:rsidRPr="00387E51" w:rsidRDefault="00387E51" w:rsidP="008A371F">
            <w:pPr>
              <w:pStyle w:val="Tabletext1"/>
            </w:pPr>
          </w:p>
        </w:tc>
        <w:tc>
          <w:tcPr>
            <w:tcW w:w="4610" w:type="pct"/>
            <w:gridSpan w:val="4"/>
            <w:tcBorders>
              <w:top w:val="single" w:sz="4" w:space="0" w:color="auto"/>
              <w:left w:val="nil"/>
              <w:bottom w:val="single" w:sz="4" w:space="0" w:color="auto"/>
              <w:right w:val="single" w:sz="4" w:space="0" w:color="auto"/>
            </w:tcBorders>
            <w:shd w:val="clear" w:color="auto" w:fill="D9D9D9" w:themeFill="background1" w:themeFillShade="D9"/>
          </w:tcPr>
          <w:p w14:paraId="12C39390" w14:textId="77777777" w:rsidR="00387E51" w:rsidRPr="00387E51" w:rsidRDefault="00387E51" w:rsidP="008A371F">
            <w:pPr>
              <w:pStyle w:val="Tabletext1"/>
              <w:rPr>
                <w:lang w:eastAsia="en-US"/>
              </w:rPr>
            </w:pPr>
            <w:r w:rsidRPr="00387E51">
              <w:rPr>
                <w:rFonts w:eastAsia="Arial Unicode MS"/>
              </w:rPr>
              <w:t>Microwave Ablation</w:t>
            </w:r>
          </w:p>
        </w:tc>
      </w:tr>
      <w:tr w:rsidR="00387E51" w:rsidRPr="00387E51" w14:paraId="4CD4D5D2" w14:textId="77777777" w:rsidTr="00E027FA">
        <w:trPr>
          <w:cantSplit/>
        </w:trPr>
        <w:tc>
          <w:tcPr>
            <w:tcW w:w="390" w:type="pct"/>
            <w:tcBorders>
              <w:top w:val="single" w:sz="4" w:space="0" w:color="auto"/>
              <w:left w:val="single" w:sz="4" w:space="0" w:color="auto"/>
              <w:bottom w:val="single" w:sz="4" w:space="0" w:color="auto"/>
              <w:right w:val="nil"/>
            </w:tcBorders>
            <w:hideMark/>
          </w:tcPr>
          <w:p w14:paraId="5991A94E" w14:textId="77777777" w:rsidR="00387E51" w:rsidRPr="00387E51" w:rsidRDefault="00387E51" w:rsidP="008A371F">
            <w:pPr>
              <w:pStyle w:val="Tabletext1"/>
            </w:pPr>
            <w:r w:rsidRPr="00387E51">
              <w:t>#6</w:t>
            </w:r>
          </w:p>
        </w:tc>
        <w:tc>
          <w:tcPr>
            <w:tcW w:w="2529" w:type="pct"/>
            <w:tcBorders>
              <w:top w:val="single" w:sz="4" w:space="0" w:color="auto"/>
              <w:left w:val="nil"/>
              <w:bottom w:val="single" w:sz="4" w:space="0" w:color="auto"/>
              <w:right w:val="single" w:sz="4" w:space="0" w:color="auto"/>
            </w:tcBorders>
          </w:tcPr>
          <w:p w14:paraId="4418EA61" w14:textId="77777777" w:rsidR="00387E51" w:rsidRPr="00387E51" w:rsidRDefault="00387E51" w:rsidP="008A371F">
            <w:pPr>
              <w:pStyle w:val="Tabletext1"/>
              <w:rPr>
                <w:rFonts w:eastAsia="Arial Unicode MS" w:cs="Arial Unicode MS"/>
              </w:rPr>
            </w:pPr>
            <w:r w:rsidRPr="00387E51">
              <w:rPr>
                <w:rFonts w:eastAsia="Arial Unicode MS"/>
              </w:rPr>
              <w:t>#5 AND #4 AND #3</w:t>
            </w:r>
          </w:p>
        </w:tc>
        <w:tc>
          <w:tcPr>
            <w:tcW w:w="694" w:type="pct"/>
            <w:tcBorders>
              <w:top w:val="single" w:sz="4" w:space="0" w:color="auto"/>
              <w:left w:val="single" w:sz="4" w:space="0" w:color="auto"/>
              <w:bottom w:val="single" w:sz="4" w:space="0" w:color="auto"/>
              <w:right w:val="single" w:sz="4" w:space="0" w:color="auto"/>
            </w:tcBorders>
            <w:vAlign w:val="center"/>
          </w:tcPr>
          <w:p w14:paraId="0AE46B4D" w14:textId="77777777" w:rsidR="00387E51" w:rsidRPr="00387E51" w:rsidRDefault="00387E51" w:rsidP="008A371F">
            <w:pPr>
              <w:pStyle w:val="Tabletext1"/>
              <w:rPr>
                <w:rFonts w:eastAsia="Arial Unicode MS" w:cs="Arial Unicode MS"/>
              </w:rPr>
            </w:pPr>
            <w:r w:rsidRPr="00387E51">
              <w:rPr>
                <w:rFonts w:eastAsia="Arial Unicode MS" w:cs="Arial Unicode MS"/>
              </w:rPr>
              <w:t>2</w:t>
            </w:r>
          </w:p>
        </w:tc>
        <w:tc>
          <w:tcPr>
            <w:tcW w:w="694" w:type="pct"/>
            <w:tcBorders>
              <w:top w:val="single" w:sz="4" w:space="0" w:color="auto"/>
              <w:left w:val="single" w:sz="4" w:space="0" w:color="auto"/>
              <w:bottom w:val="single" w:sz="4" w:space="0" w:color="auto"/>
              <w:right w:val="single" w:sz="4" w:space="0" w:color="auto"/>
            </w:tcBorders>
            <w:vAlign w:val="center"/>
          </w:tcPr>
          <w:p w14:paraId="77F51733" w14:textId="77777777" w:rsidR="00387E51" w:rsidRPr="00387E51" w:rsidRDefault="00387E51" w:rsidP="008A371F">
            <w:pPr>
              <w:pStyle w:val="Tabletext1"/>
              <w:rPr>
                <w:rFonts w:eastAsia="Arial Unicode MS" w:cs="Arial Unicode MS"/>
              </w:rPr>
            </w:pPr>
            <w:r w:rsidRPr="00387E51">
              <w:rPr>
                <w:rFonts w:eastAsia="Arial Unicode MS" w:cs="Arial Unicode MS"/>
              </w:rPr>
              <w:t>9</w:t>
            </w:r>
          </w:p>
        </w:tc>
        <w:tc>
          <w:tcPr>
            <w:tcW w:w="693" w:type="pct"/>
            <w:tcBorders>
              <w:left w:val="single" w:sz="4" w:space="0" w:color="auto"/>
              <w:bottom w:val="single" w:sz="4" w:space="0" w:color="auto"/>
              <w:right w:val="single" w:sz="4" w:space="0" w:color="auto"/>
            </w:tcBorders>
            <w:vAlign w:val="center"/>
          </w:tcPr>
          <w:p w14:paraId="10880281" w14:textId="77777777" w:rsidR="00387E51" w:rsidRPr="00387E51" w:rsidRDefault="00387E51" w:rsidP="008A371F">
            <w:pPr>
              <w:pStyle w:val="Tabletext1"/>
              <w:rPr>
                <w:lang w:eastAsia="en-US"/>
              </w:rPr>
            </w:pPr>
            <w:r w:rsidRPr="00387E51">
              <w:rPr>
                <w:lang w:eastAsia="en-US"/>
              </w:rPr>
              <w:t>-</w:t>
            </w:r>
          </w:p>
        </w:tc>
      </w:tr>
      <w:tr w:rsidR="00E027FA" w:rsidRPr="00387E51" w14:paraId="383B7364" w14:textId="77777777" w:rsidTr="00E027FA">
        <w:trPr>
          <w:cantSplit/>
        </w:trPr>
        <w:tc>
          <w:tcPr>
            <w:tcW w:w="390" w:type="pct"/>
            <w:tcBorders>
              <w:top w:val="single" w:sz="4" w:space="0" w:color="auto"/>
              <w:left w:val="single" w:sz="4" w:space="0" w:color="auto"/>
              <w:bottom w:val="single" w:sz="4" w:space="0" w:color="auto"/>
              <w:right w:val="nil"/>
            </w:tcBorders>
          </w:tcPr>
          <w:p w14:paraId="017F187A" w14:textId="77777777" w:rsidR="00E027FA" w:rsidRPr="00387E51" w:rsidRDefault="00E027FA" w:rsidP="008A371F">
            <w:pPr>
              <w:pStyle w:val="Tabletext1"/>
            </w:pPr>
          </w:p>
        </w:tc>
        <w:tc>
          <w:tcPr>
            <w:tcW w:w="2529" w:type="pct"/>
            <w:tcBorders>
              <w:top w:val="single" w:sz="4" w:space="0" w:color="auto"/>
              <w:left w:val="nil"/>
              <w:bottom w:val="single" w:sz="4" w:space="0" w:color="auto"/>
              <w:right w:val="single" w:sz="4" w:space="0" w:color="auto"/>
            </w:tcBorders>
          </w:tcPr>
          <w:p w14:paraId="03DAAC15" w14:textId="73AFD7E2" w:rsidR="00E027FA" w:rsidRPr="00387E51" w:rsidRDefault="00E027FA" w:rsidP="008A371F">
            <w:pPr>
              <w:pStyle w:val="Tabletext1"/>
              <w:rPr>
                <w:rFonts w:eastAsia="Arial Unicode MS"/>
              </w:rPr>
            </w:pPr>
            <w:r w:rsidRPr="00387E51">
              <w:t>Studies identified via checking references</w:t>
            </w:r>
          </w:p>
        </w:tc>
        <w:tc>
          <w:tcPr>
            <w:tcW w:w="694" w:type="pct"/>
            <w:tcBorders>
              <w:top w:val="single" w:sz="4" w:space="0" w:color="auto"/>
              <w:left w:val="single" w:sz="4" w:space="0" w:color="auto"/>
              <w:bottom w:val="single" w:sz="4" w:space="0" w:color="auto"/>
              <w:right w:val="nil"/>
            </w:tcBorders>
            <w:vAlign w:val="center"/>
          </w:tcPr>
          <w:p w14:paraId="7708581A" w14:textId="3BF9DBC8" w:rsidR="00E027FA" w:rsidRPr="00387E51" w:rsidRDefault="00E027FA" w:rsidP="008A371F">
            <w:pPr>
              <w:pStyle w:val="Tabletext1"/>
              <w:rPr>
                <w:rFonts w:eastAsia="Arial Unicode MS" w:cs="Arial Unicode MS"/>
              </w:rPr>
            </w:pPr>
            <w:r>
              <w:rPr>
                <w:rFonts w:eastAsia="Arial Unicode MS" w:cs="Arial Unicode MS"/>
              </w:rPr>
              <w:t>-</w:t>
            </w:r>
          </w:p>
        </w:tc>
        <w:tc>
          <w:tcPr>
            <w:tcW w:w="694" w:type="pct"/>
            <w:tcBorders>
              <w:top w:val="single" w:sz="4" w:space="0" w:color="auto"/>
              <w:left w:val="nil"/>
              <w:bottom w:val="single" w:sz="4" w:space="0" w:color="auto"/>
              <w:right w:val="nil"/>
            </w:tcBorders>
            <w:vAlign w:val="center"/>
          </w:tcPr>
          <w:p w14:paraId="1628C4D0" w14:textId="77777777" w:rsidR="00E027FA" w:rsidRPr="00387E51" w:rsidRDefault="00E027FA" w:rsidP="008A371F">
            <w:pPr>
              <w:pStyle w:val="Tabletext1"/>
              <w:rPr>
                <w:rFonts w:eastAsia="Arial Unicode MS" w:cs="Arial Unicode MS"/>
              </w:rPr>
            </w:pPr>
          </w:p>
        </w:tc>
        <w:tc>
          <w:tcPr>
            <w:tcW w:w="693" w:type="pct"/>
            <w:tcBorders>
              <w:left w:val="nil"/>
              <w:right w:val="single" w:sz="4" w:space="0" w:color="auto"/>
            </w:tcBorders>
            <w:vAlign w:val="center"/>
          </w:tcPr>
          <w:p w14:paraId="351315E3" w14:textId="77777777" w:rsidR="00E027FA" w:rsidRPr="00387E51" w:rsidRDefault="00E027FA" w:rsidP="008A371F">
            <w:pPr>
              <w:pStyle w:val="Tabletext1"/>
              <w:rPr>
                <w:lang w:eastAsia="en-US"/>
              </w:rPr>
            </w:pPr>
          </w:p>
        </w:tc>
      </w:tr>
      <w:tr w:rsidR="00387E51" w:rsidRPr="00387E51" w14:paraId="1B6DA873" w14:textId="77777777" w:rsidTr="00387E51">
        <w:trPr>
          <w:cantSplit/>
        </w:trPr>
        <w:tc>
          <w:tcPr>
            <w:tcW w:w="2919" w:type="pct"/>
            <w:gridSpan w:val="2"/>
            <w:tcBorders>
              <w:top w:val="single" w:sz="4" w:space="0" w:color="auto"/>
              <w:left w:val="single" w:sz="4" w:space="0" w:color="auto"/>
              <w:bottom w:val="single" w:sz="4" w:space="0" w:color="auto"/>
              <w:right w:val="single" w:sz="4" w:space="0" w:color="auto"/>
            </w:tcBorders>
          </w:tcPr>
          <w:p w14:paraId="4DF2B4AA" w14:textId="77777777" w:rsidR="00387E51" w:rsidRPr="00387E51" w:rsidRDefault="00387E51" w:rsidP="008A371F">
            <w:pPr>
              <w:pStyle w:val="Tabletext1"/>
              <w:rPr>
                <w:rFonts w:eastAsia="Arial Unicode MS"/>
              </w:rPr>
            </w:pPr>
            <w:r w:rsidRPr="00387E51">
              <w:t>Inappropriate study type: the article did not report the structure or results or didn’t consider MTA, RFA or Radiotherapy in an economic evaluation</w:t>
            </w:r>
          </w:p>
        </w:tc>
        <w:tc>
          <w:tcPr>
            <w:tcW w:w="694" w:type="pct"/>
            <w:tcBorders>
              <w:top w:val="single" w:sz="4" w:space="0" w:color="auto"/>
              <w:left w:val="single" w:sz="4" w:space="0" w:color="auto"/>
              <w:bottom w:val="single" w:sz="4" w:space="0" w:color="auto"/>
              <w:right w:val="single" w:sz="4" w:space="0" w:color="auto"/>
            </w:tcBorders>
            <w:vAlign w:val="center"/>
          </w:tcPr>
          <w:p w14:paraId="7309B738" w14:textId="77777777" w:rsidR="00387E51" w:rsidRPr="00387E51" w:rsidRDefault="00387E51" w:rsidP="008A371F">
            <w:pPr>
              <w:pStyle w:val="Tabletext1"/>
              <w:rPr>
                <w:rFonts w:eastAsia="Arial Unicode MS"/>
              </w:rPr>
            </w:pPr>
            <w:r w:rsidRPr="00387E51">
              <w:rPr>
                <w:rFonts w:eastAsia="Arial Unicode MS"/>
              </w:rPr>
              <w:t>2</w:t>
            </w:r>
          </w:p>
        </w:tc>
        <w:tc>
          <w:tcPr>
            <w:tcW w:w="694" w:type="pct"/>
            <w:tcBorders>
              <w:top w:val="single" w:sz="4" w:space="0" w:color="auto"/>
              <w:left w:val="single" w:sz="4" w:space="0" w:color="auto"/>
              <w:bottom w:val="single" w:sz="4" w:space="0" w:color="auto"/>
              <w:right w:val="single" w:sz="4" w:space="0" w:color="auto"/>
            </w:tcBorders>
            <w:vAlign w:val="center"/>
          </w:tcPr>
          <w:p w14:paraId="56C6DAE6" w14:textId="77777777" w:rsidR="00387E51" w:rsidRPr="00387E51" w:rsidRDefault="00387E51" w:rsidP="008A371F">
            <w:pPr>
              <w:pStyle w:val="Tabletext1"/>
              <w:rPr>
                <w:rFonts w:eastAsia="Arial Unicode MS"/>
              </w:rPr>
            </w:pPr>
            <w:r w:rsidRPr="00387E51">
              <w:rPr>
                <w:rFonts w:eastAsia="Arial Unicode MS"/>
              </w:rPr>
              <w:t>9</w:t>
            </w:r>
          </w:p>
        </w:tc>
        <w:tc>
          <w:tcPr>
            <w:tcW w:w="693" w:type="pct"/>
            <w:tcBorders>
              <w:left w:val="single" w:sz="4" w:space="0" w:color="auto"/>
              <w:right w:val="single" w:sz="4" w:space="0" w:color="auto"/>
            </w:tcBorders>
            <w:vAlign w:val="center"/>
          </w:tcPr>
          <w:p w14:paraId="25C897A0" w14:textId="77777777" w:rsidR="00387E51" w:rsidRPr="00387E51" w:rsidRDefault="00387E51" w:rsidP="008A371F">
            <w:pPr>
              <w:pStyle w:val="Tabletext1"/>
            </w:pPr>
            <w:r w:rsidRPr="00387E51">
              <w:t>-</w:t>
            </w:r>
          </w:p>
        </w:tc>
      </w:tr>
      <w:tr w:rsidR="00387E51" w:rsidRPr="00387E51" w14:paraId="568596D0" w14:textId="77777777" w:rsidTr="00387E51">
        <w:trPr>
          <w:cantSplit/>
        </w:trPr>
        <w:tc>
          <w:tcPr>
            <w:tcW w:w="29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3F6A7" w14:textId="77777777" w:rsidR="00387E51" w:rsidRPr="00387E51" w:rsidRDefault="00387E51" w:rsidP="008A371F">
            <w:pPr>
              <w:pStyle w:val="Tabletext1"/>
            </w:pPr>
            <w:r w:rsidRPr="00387E51">
              <w:t>Number of included publications</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A4B52" w14:textId="77777777" w:rsidR="00387E51" w:rsidRPr="00387E51" w:rsidRDefault="00387E51" w:rsidP="008A371F">
            <w:pPr>
              <w:pStyle w:val="Tabletext1"/>
              <w:rPr>
                <w:rFonts w:eastAsia="Arial Unicode MS"/>
              </w:rPr>
            </w:pPr>
            <w:r w:rsidRPr="00387E51">
              <w:rPr>
                <w:rFonts w:eastAsia="Arial Unicode MS"/>
              </w:rPr>
              <w:t>-</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85CC9" w14:textId="77777777" w:rsidR="00387E51" w:rsidRPr="00387E51" w:rsidRDefault="00387E51" w:rsidP="008A371F">
            <w:pPr>
              <w:pStyle w:val="Tabletext1"/>
              <w:rPr>
                <w:rFonts w:eastAsia="Arial Unicode MS"/>
              </w:rPr>
            </w:pPr>
            <w:r w:rsidRPr="00387E51">
              <w:rPr>
                <w:rFonts w:eastAsia="Arial Unicode MS"/>
              </w:rPr>
              <w:t>-</w:t>
            </w:r>
          </w:p>
        </w:tc>
        <w:tc>
          <w:tcPr>
            <w:tcW w:w="693" w:type="pct"/>
            <w:tcBorders>
              <w:left w:val="single" w:sz="4" w:space="0" w:color="auto"/>
              <w:right w:val="single" w:sz="4" w:space="0" w:color="auto"/>
            </w:tcBorders>
            <w:shd w:val="clear" w:color="auto" w:fill="D9D9D9" w:themeFill="background1" w:themeFillShade="D9"/>
            <w:vAlign w:val="center"/>
          </w:tcPr>
          <w:p w14:paraId="67FC563F" w14:textId="77777777" w:rsidR="00387E51" w:rsidRPr="00387E51" w:rsidRDefault="00387E51" w:rsidP="008A371F">
            <w:pPr>
              <w:pStyle w:val="Tabletext1"/>
            </w:pPr>
            <w:r w:rsidRPr="00387E51">
              <w:t>-</w:t>
            </w:r>
          </w:p>
        </w:tc>
      </w:tr>
    </w:tbl>
    <w:p w14:paraId="5DF780ED" w14:textId="77777777" w:rsidR="00387E51" w:rsidRPr="00387E51" w:rsidRDefault="00387E51" w:rsidP="00387E51">
      <w:pPr>
        <w:spacing w:before="0" w:after="0"/>
        <w:rPr>
          <w:rFonts w:ascii="Arial Narrow" w:hAnsi="Arial Narrow"/>
          <w:sz w:val="20"/>
          <w:szCs w:val="20"/>
        </w:rPr>
      </w:pPr>
    </w:p>
    <w:p w14:paraId="7B19FC5B" w14:textId="77777777" w:rsidR="00387E51" w:rsidRDefault="00387E51" w:rsidP="00994BBC">
      <w:pPr>
        <w:spacing w:before="0" w:after="120"/>
        <w:rPr>
          <w:rFonts w:ascii="Arial Narrow" w:hAnsi="Arial Narrow"/>
          <w:sz w:val="20"/>
          <w:szCs w:val="20"/>
        </w:rPr>
      </w:pPr>
      <w:r w:rsidRPr="00387E51">
        <w:rPr>
          <w:rFonts w:ascii="Arial Narrow" w:hAnsi="Arial Narrow"/>
          <w:sz w:val="20"/>
          <w:szCs w:val="20"/>
        </w:rPr>
        <w:t>No studies were found that investigated the cost effectiveness of MTA.</w:t>
      </w:r>
    </w:p>
    <w:p w14:paraId="1F974601" w14:textId="77777777" w:rsidR="009C5D00" w:rsidRPr="00387E51" w:rsidRDefault="009C5D00" w:rsidP="00994BBC">
      <w:pPr>
        <w:spacing w:before="0" w:after="120"/>
        <w:rPr>
          <w:rFonts w:ascii="Arial Narrow" w:hAnsi="Arial Narrow"/>
          <w:sz w:val="20"/>
          <w:szCs w:val="20"/>
        </w:rPr>
      </w:pPr>
    </w:p>
    <w:p w14:paraId="41D39F73" w14:textId="766D766D" w:rsidR="00387E51" w:rsidRPr="009C5D00" w:rsidRDefault="00994BBC" w:rsidP="00387E51">
      <w:pPr>
        <w:spacing w:before="0" w:after="0"/>
        <w:rPr>
          <w:rFonts w:ascii="Arial Narrow" w:hAnsi="Arial Narrow"/>
          <w:b/>
          <w:sz w:val="20"/>
          <w:szCs w:val="20"/>
        </w:rPr>
      </w:pPr>
      <w:r w:rsidRPr="009C5D00">
        <w:rPr>
          <w:rFonts w:ascii="Arial Narrow" w:hAnsi="Arial Narrow"/>
          <w:b/>
          <w:sz w:val="20"/>
          <w:szCs w:val="20"/>
        </w:rPr>
        <w:t>Literature search strategies used to identify RFA economic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576"/>
        <w:gridCol w:w="1279"/>
        <w:gridCol w:w="1279"/>
        <w:gridCol w:w="1279"/>
      </w:tblGrid>
      <w:tr w:rsidR="00994BBC" w:rsidRPr="00387E51" w14:paraId="5B040DEB" w14:textId="77777777" w:rsidTr="00E027FA">
        <w:trPr>
          <w:cantSplit/>
        </w:trPr>
        <w:tc>
          <w:tcPr>
            <w:tcW w:w="448" w:type="pct"/>
            <w:tcBorders>
              <w:top w:val="single" w:sz="4" w:space="0" w:color="auto"/>
              <w:left w:val="single" w:sz="4" w:space="0" w:color="auto"/>
              <w:bottom w:val="single" w:sz="4" w:space="0" w:color="auto"/>
              <w:right w:val="nil"/>
            </w:tcBorders>
            <w:shd w:val="clear" w:color="auto" w:fill="BFBFBF" w:themeFill="background1" w:themeFillShade="BF"/>
            <w:vAlign w:val="bottom"/>
          </w:tcPr>
          <w:p w14:paraId="13AB8B86" w14:textId="5239CD80" w:rsidR="00994BBC" w:rsidRPr="00387E51" w:rsidRDefault="00994BBC" w:rsidP="00994BBC">
            <w:pPr>
              <w:spacing w:before="40" w:after="40" w:line="276" w:lineRule="auto"/>
              <w:jc w:val="left"/>
              <w:rPr>
                <w:rFonts w:ascii="Arial Narrow" w:hAnsi="Arial Narrow"/>
                <w:sz w:val="20"/>
                <w:szCs w:val="20"/>
              </w:rPr>
            </w:pPr>
            <w:r w:rsidRPr="008A371F">
              <w:rPr>
                <w:b/>
              </w:rPr>
              <w:t>Search terms</w:t>
            </w:r>
          </w:p>
        </w:tc>
        <w:tc>
          <w:tcPr>
            <w:tcW w:w="2475"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371460DB" w14:textId="64A2240B" w:rsidR="00994BBC" w:rsidRPr="00387E51" w:rsidRDefault="00994BBC" w:rsidP="00994BBC">
            <w:pPr>
              <w:spacing w:before="0" w:after="0"/>
              <w:jc w:val="left"/>
              <w:rPr>
                <w:rFonts w:ascii="Arial Narrow" w:eastAsia="Arial Unicode MS" w:hAnsi="Arial Narrow"/>
                <w:sz w:val="20"/>
                <w:szCs w:val="20"/>
              </w:rPr>
            </w:pPr>
            <w:r w:rsidRPr="008A371F">
              <w:rPr>
                <w:b/>
              </w:rPr>
              <w:t>MEDLINE Citations retrieved</w:t>
            </w:r>
          </w:p>
        </w:tc>
        <w:tc>
          <w:tcPr>
            <w:tcW w:w="6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3D48ED9" w14:textId="2E9137D9" w:rsidR="00994BBC" w:rsidRPr="00387E51" w:rsidRDefault="00994BBC" w:rsidP="00994BBC">
            <w:pPr>
              <w:spacing w:before="100" w:beforeAutospacing="1" w:after="100" w:afterAutospacing="1"/>
              <w:jc w:val="left"/>
              <w:rPr>
                <w:rFonts w:ascii="Arial Narrow" w:eastAsia="Arial Unicode MS" w:hAnsi="Arial Narrow" w:cs="Arial Unicode MS"/>
                <w:sz w:val="20"/>
                <w:szCs w:val="20"/>
              </w:rPr>
            </w:pPr>
            <w:r w:rsidRPr="008A371F">
              <w:rPr>
                <w:b/>
              </w:rPr>
              <w:t>EMBASE Citations retrieved</w:t>
            </w:r>
          </w:p>
        </w:tc>
        <w:tc>
          <w:tcPr>
            <w:tcW w:w="6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C78D3C7" w14:textId="0520CE11" w:rsidR="00994BBC" w:rsidRPr="00387E51" w:rsidRDefault="00994BBC" w:rsidP="00994BBC">
            <w:pPr>
              <w:spacing w:before="100" w:beforeAutospacing="1" w:after="100" w:afterAutospacing="1"/>
              <w:jc w:val="left"/>
              <w:rPr>
                <w:rFonts w:ascii="Arial Narrow" w:eastAsia="Arial Unicode MS" w:hAnsi="Arial Narrow" w:cs="Arial Unicode MS"/>
                <w:sz w:val="20"/>
                <w:szCs w:val="20"/>
              </w:rPr>
            </w:pPr>
            <w:r w:rsidRPr="008A371F">
              <w:rPr>
                <w:b/>
              </w:rPr>
              <w:t>Global Health Citations retrieved</w:t>
            </w:r>
          </w:p>
        </w:tc>
        <w:tc>
          <w:tcPr>
            <w:tcW w:w="692" w:type="pct"/>
            <w:tcBorders>
              <w:left w:val="single" w:sz="4" w:space="0" w:color="auto"/>
              <w:right w:val="single" w:sz="4" w:space="0" w:color="auto"/>
            </w:tcBorders>
            <w:shd w:val="clear" w:color="auto" w:fill="BFBFBF" w:themeFill="background1" w:themeFillShade="BF"/>
            <w:vAlign w:val="bottom"/>
          </w:tcPr>
          <w:p w14:paraId="326154EE" w14:textId="22632A8B" w:rsidR="00994BBC" w:rsidRPr="00387E51" w:rsidRDefault="00994BBC" w:rsidP="00994BBC">
            <w:pPr>
              <w:spacing w:before="100" w:beforeAutospacing="1" w:after="100" w:afterAutospacing="1"/>
              <w:jc w:val="left"/>
              <w:rPr>
                <w:rFonts w:ascii="Arial Narrow" w:hAnsi="Arial Narrow"/>
                <w:sz w:val="20"/>
                <w:szCs w:val="20"/>
                <w:lang w:eastAsia="en-US"/>
              </w:rPr>
            </w:pPr>
            <w:r w:rsidRPr="008A371F">
              <w:rPr>
                <w:b/>
              </w:rPr>
              <w:t>Search terms</w:t>
            </w:r>
          </w:p>
        </w:tc>
      </w:tr>
      <w:tr w:rsidR="00387E51" w:rsidRPr="00387E51" w14:paraId="4FE0BD21" w14:textId="77777777" w:rsidTr="00E027FA">
        <w:trPr>
          <w:cantSplit/>
        </w:trPr>
        <w:tc>
          <w:tcPr>
            <w:tcW w:w="448" w:type="pct"/>
            <w:tcBorders>
              <w:top w:val="single" w:sz="4" w:space="0" w:color="auto"/>
              <w:left w:val="single" w:sz="4" w:space="0" w:color="auto"/>
              <w:bottom w:val="single" w:sz="4" w:space="0" w:color="auto"/>
              <w:right w:val="nil"/>
            </w:tcBorders>
          </w:tcPr>
          <w:p w14:paraId="08592A3B" w14:textId="77777777" w:rsidR="00387E51" w:rsidRPr="00387E51" w:rsidRDefault="00387E51" w:rsidP="00387E51">
            <w:pPr>
              <w:spacing w:before="40" w:after="40" w:line="276" w:lineRule="auto"/>
              <w:rPr>
                <w:rFonts w:ascii="Arial Narrow" w:hAnsi="Arial Narrow"/>
                <w:sz w:val="20"/>
                <w:szCs w:val="20"/>
              </w:rPr>
            </w:pPr>
            <w:r w:rsidRPr="00387E51">
              <w:rPr>
                <w:rFonts w:ascii="Arial Narrow" w:hAnsi="Arial Narrow"/>
                <w:sz w:val="20"/>
                <w:szCs w:val="20"/>
              </w:rPr>
              <w:t>#9</w:t>
            </w:r>
          </w:p>
        </w:tc>
        <w:tc>
          <w:tcPr>
            <w:tcW w:w="2475" w:type="pct"/>
            <w:tcBorders>
              <w:top w:val="single" w:sz="4" w:space="0" w:color="auto"/>
              <w:left w:val="nil"/>
              <w:bottom w:val="single" w:sz="4" w:space="0" w:color="auto"/>
              <w:right w:val="single" w:sz="4" w:space="0" w:color="auto"/>
            </w:tcBorders>
          </w:tcPr>
          <w:p w14:paraId="5FB5C5A4" w14:textId="77777777" w:rsidR="00387E51" w:rsidRPr="00387E51" w:rsidRDefault="00387E51" w:rsidP="00387E51">
            <w:pPr>
              <w:spacing w:before="0" w:after="0"/>
              <w:rPr>
                <w:rFonts w:ascii="Arial Narrow" w:eastAsia="Arial Unicode MS" w:hAnsi="Arial Narrow"/>
                <w:sz w:val="20"/>
                <w:szCs w:val="20"/>
              </w:rPr>
            </w:pPr>
            <w:r w:rsidRPr="00387E51">
              <w:rPr>
                <w:rFonts w:ascii="Arial Narrow" w:eastAsia="Arial Unicode MS" w:hAnsi="Arial Narrow"/>
                <w:sz w:val="20"/>
                <w:szCs w:val="20"/>
              </w:rPr>
              <w:t>ablation.mp. or radiofrequency ablation device/ or ablation device/ or tumor ablation/ or ablation therapy/ or radiofrequency ablation/</w:t>
            </w:r>
          </w:p>
        </w:tc>
        <w:tc>
          <w:tcPr>
            <w:tcW w:w="692" w:type="pct"/>
            <w:tcBorders>
              <w:top w:val="single" w:sz="4" w:space="0" w:color="auto"/>
              <w:left w:val="single" w:sz="4" w:space="0" w:color="auto"/>
              <w:bottom w:val="single" w:sz="4" w:space="0" w:color="auto"/>
              <w:right w:val="single" w:sz="4" w:space="0" w:color="auto"/>
            </w:tcBorders>
            <w:vAlign w:val="center"/>
          </w:tcPr>
          <w:p w14:paraId="5B6C04DC" w14:textId="77777777" w:rsidR="00387E51" w:rsidRPr="00387E51" w:rsidRDefault="00387E51" w:rsidP="00387E51">
            <w:pPr>
              <w:spacing w:before="100" w:beforeAutospacing="1" w:after="100" w:afterAutospacing="1"/>
              <w:jc w:val="center"/>
              <w:rPr>
                <w:rFonts w:ascii="Arial Narrow" w:eastAsia="Arial Unicode MS" w:hAnsi="Arial Narrow" w:cs="Arial Unicode MS"/>
                <w:sz w:val="20"/>
                <w:szCs w:val="20"/>
              </w:rPr>
            </w:pPr>
            <w:r w:rsidRPr="00387E51">
              <w:rPr>
                <w:rFonts w:ascii="Arial Narrow" w:eastAsia="Arial Unicode MS" w:hAnsi="Arial Narrow" w:cs="Arial Unicode MS"/>
                <w:sz w:val="20"/>
                <w:szCs w:val="20"/>
              </w:rPr>
              <w:t>67205</w:t>
            </w:r>
          </w:p>
        </w:tc>
        <w:tc>
          <w:tcPr>
            <w:tcW w:w="692" w:type="pct"/>
            <w:tcBorders>
              <w:top w:val="single" w:sz="4" w:space="0" w:color="auto"/>
              <w:left w:val="single" w:sz="4" w:space="0" w:color="auto"/>
              <w:bottom w:val="single" w:sz="4" w:space="0" w:color="auto"/>
              <w:right w:val="single" w:sz="4" w:space="0" w:color="auto"/>
            </w:tcBorders>
            <w:vAlign w:val="center"/>
          </w:tcPr>
          <w:p w14:paraId="5A03556B" w14:textId="77777777" w:rsidR="00387E51" w:rsidRPr="00387E51" w:rsidRDefault="00387E51" w:rsidP="00387E51">
            <w:pPr>
              <w:spacing w:before="100" w:beforeAutospacing="1" w:after="100" w:afterAutospacing="1"/>
              <w:jc w:val="center"/>
              <w:rPr>
                <w:rFonts w:ascii="Arial Narrow" w:eastAsia="Arial Unicode MS" w:hAnsi="Arial Narrow" w:cs="Arial Unicode MS"/>
                <w:sz w:val="20"/>
                <w:szCs w:val="20"/>
              </w:rPr>
            </w:pPr>
            <w:r w:rsidRPr="00387E51">
              <w:rPr>
                <w:rFonts w:ascii="Arial Narrow" w:eastAsia="Arial Unicode MS" w:hAnsi="Arial Narrow" w:cs="Arial Unicode MS"/>
                <w:sz w:val="20"/>
                <w:szCs w:val="20"/>
              </w:rPr>
              <w:t>125620</w:t>
            </w:r>
          </w:p>
        </w:tc>
        <w:tc>
          <w:tcPr>
            <w:tcW w:w="692" w:type="pct"/>
            <w:tcBorders>
              <w:left w:val="single" w:sz="4" w:space="0" w:color="auto"/>
              <w:right w:val="single" w:sz="4" w:space="0" w:color="auto"/>
            </w:tcBorders>
            <w:vAlign w:val="center"/>
          </w:tcPr>
          <w:p w14:paraId="4CF0E07B" w14:textId="77777777" w:rsidR="00387E51" w:rsidRPr="00387E51" w:rsidRDefault="00387E51" w:rsidP="00387E51">
            <w:pPr>
              <w:spacing w:before="100" w:beforeAutospacing="1" w:after="100" w:afterAutospacing="1"/>
              <w:jc w:val="center"/>
              <w:rPr>
                <w:rFonts w:ascii="Arial Narrow" w:hAnsi="Arial Narrow"/>
                <w:sz w:val="20"/>
                <w:szCs w:val="20"/>
                <w:lang w:eastAsia="en-US"/>
              </w:rPr>
            </w:pPr>
            <w:r w:rsidRPr="00387E51">
              <w:rPr>
                <w:rFonts w:ascii="Arial Narrow" w:hAnsi="Arial Narrow"/>
                <w:sz w:val="20"/>
                <w:szCs w:val="20"/>
                <w:lang w:eastAsia="en-US"/>
              </w:rPr>
              <w:t>1701</w:t>
            </w:r>
          </w:p>
        </w:tc>
      </w:tr>
      <w:tr w:rsidR="00387E51" w:rsidRPr="00387E51" w14:paraId="0E98C7CF" w14:textId="77777777" w:rsidTr="00E027FA">
        <w:trPr>
          <w:cantSplit/>
        </w:trPr>
        <w:tc>
          <w:tcPr>
            <w:tcW w:w="448" w:type="pct"/>
            <w:tcBorders>
              <w:top w:val="single" w:sz="4" w:space="0" w:color="auto"/>
              <w:left w:val="single" w:sz="4" w:space="0" w:color="auto"/>
              <w:bottom w:val="single" w:sz="4" w:space="0" w:color="auto"/>
              <w:right w:val="nil"/>
            </w:tcBorders>
          </w:tcPr>
          <w:p w14:paraId="7BC46AC9" w14:textId="77777777" w:rsidR="00387E51" w:rsidRPr="00387E51" w:rsidRDefault="00387E51" w:rsidP="00387E51">
            <w:pPr>
              <w:spacing w:before="40" w:after="40" w:line="276" w:lineRule="auto"/>
              <w:rPr>
                <w:rFonts w:ascii="Arial Narrow" w:hAnsi="Arial Narrow"/>
                <w:sz w:val="20"/>
                <w:szCs w:val="20"/>
              </w:rPr>
            </w:pPr>
            <w:r w:rsidRPr="00387E51">
              <w:rPr>
                <w:rFonts w:ascii="Arial Narrow" w:hAnsi="Arial Narrow"/>
                <w:sz w:val="20"/>
                <w:szCs w:val="20"/>
              </w:rPr>
              <w:t>#10</w:t>
            </w:r>
          </w:p>
        </w:tc>
        <w:tc>
          <w:tcPr>
            <w:tcW w:w="2475" w:type="pct"/>
            <w:tcBorders>
              <w:top w:val="single" w:sz="4" w:space="0" w:color="auto"/>
              <w:left w:val="nil"/>
              <w:bottom w:val="single" w:sz="4" w:space="0" w:color="auto"/>
              <w:right w:val="single" w:sz="4" w:space="0" w:color="auto"/>
            </w:tcBorders>
          </w:tcPr>
          <w:p w14:paraId="39418C05" w14:textId="77777777" w:rsidR="00387E51" w:rsidRPr="00387E51" w:rsidRDefault="00387E51" w:rsidP="00387E51">
            <w:pPr>
              <w:spacing w:before="0" w:after="0"/>
              <w:rPr>
                <w:rFonts w:ascii="Arial Narrow" w:eastAsia="Arial Unicode MS" w:hAnsi="Arial Narrow" w:cs="Arial Unicode MS"/>
                <w:sz w:val="20"/>
                <w:szCs w:val="20"/>
              </w:rPr>
            </w:pPr>
            <w:r w:rsidRPr="00387E51">
              <w:rPr>
                <w:rFonts w:ascii="Arial Narrow" w:eastAsia="Arial Unicode MS" w:hAnsi="Arial Narrow"/>
                <w:sz w:val="20"/>
                <w:szCs w:val="20"/>
              </w:rPr>
              <w:t>#9 AND #4 AND #3</w:t>
            </w:r>
          </w:p>
        </w:tc>
        <w:tc>
          <w:tcPr>
            <w:tcW w:w="692" w:type="pct"/>
            <w:tcBorders>
              <w:top w:val="single" w:sz="4" w:space="0" w:color="auto"/>
              <w:left w:val="single" w:sz="4" w:space="0" w:color="auto"/>
              <w:bottom w:val="single" w:sz="4" w:space="0" w:color="auto"/>
              <w:right w:val="single" w:sz="4" w:space="0" w:color="auto"/>
            </w:tcBorders>
            <w:vAlign w:val="center"/>
          </w:tcPr>
          <w:p w14:paraId="22A55DFB" w14:textId="77777777" w:rsidR="00387E51" w:rsidRPr="00387E51" w:rsidRDefault="00387E51" w:rsidP="00387E51">
            <w:pPr>
              <w:spacing w:before="100" w:beforeAutospacing="1" w:after="100" w:afterAutospacing="1"/>
              <w:jc w:val="center"/>
              <w:rPr>
                <w:rFonts w:ascii="Arial Narrow" w:eastAsia="Arial Unicode MS" w:hAnsi="Arial Narrow" w:cs="Arial Unicode MS"/>
                <w:sz w:val="20"/>
                <w:szCs w:val="20"/>
              </w:rPr>
            </w:pPr>
            <w:r w:rsidRPr="00387E51">
              <w:rPr>
                <w:rFonts w:ascii="Arial Narrow" w:eastAsia="Arial Unicode MS" w:hAnsi="Arial Narrow" w:cs="Arial Unicode MS"/>
                <w:sz w:val="20"/>
                <w:szCs w:val="20"/>
              </w:rPr>
              <w:t>63</w:t>
            </w:r>
          </w:p>
        </w:tc>
        <w:tc>
          <w:tcPr>
            <w:tcW w:w="692" w:type="pct"/>
            <w:tcBorders>
              <w:top w:val="single" w:sz="4" w:space="0" w:color="auto"/>
              <w:left w:val="single" w:sz="4" w:space="0" w:color="auto"/>
              <w:bottom w:val="single" w:sz="4" w:space="0" w:color="auto"/>
              <w:right w:val="single" w:sz="4" w:space="0" w:color="auto"/>
            </w:tcBorders>
            <w:vAlign w:val="center"/>
          </w:tcPr>
          <w:p w14:paraId="3D132892" w14:textId="77777777" w:rsidR="00387E51" w:rsidRPr="00387E51" w:rsidRDefault="00387E51" w:rsidP="00387E51">
            <w:pPr>
              <w:spacing w:before="100" w:beforeAutospacing="1" w:after="100" w:afterAutospacing="1"/>
              <w:jc w:val="center"/>
              <w:rPr>
                <w:rFonts w:ascii="Arial Narrow" w:eastAsia="Arial Unicode MS" w:hAnsi="Arial Narrow" w:cs="Arial Unicode MS"/>
                <w:sz w:val="20"/>
                <w:szCs w:val="20"/>
              </w:rPr>
            </w:pPr>
            <w:r w:rsidRPr="00387E51">
              <w:rPr>
                <w:rFonts w:ascii="Arial Narrow" w:eastAsia="Arial Unicode MS" w:hAnsi="Arial Narrow" w:cs="Arial Unicode MS"/>
                <w:sz w:val="20"/>
                <w:szCs w:val="20"/>
              </w:rPr>
              <w:t>418</w:t>
            </w:r>
          </w:p>
        </w:tc>
        <w:tc>
          <w:tcPr>
            <w:tcW w:w="692" w:type="pct"/>
            <w:tcBorders>
              <w:left w:val="single" w:sz="4" w:space="0" w:color="auto"/>
              <w:bottom w:val="single" w:sz="4" w:space="0" w:color="auto"/>
              <w:right w:val="single" w:sz="4" w:space="0" w:color="auto"/>
            </w:tcBorders>
            <w:vAlign w:val="center"/>
          </w:tcPr>
          <w:p w14:paraId="23084055" w14:textId="77777777" w:rsidR="00387E51" w:rsidRPr="00387E51" w:rsidRDefault="00387E51" w:rsidP="00387E51">
            <w:pPr>
              <w:spacing w:before="100" w:beforeAutospacing="1" w:after="100" w:afterAutospacing="1"/>
              <w:jc w:val="center"/>
              <w:rPr>
                <w:rFonts w:ascii="Arial Narrow" w:hAnsi="Arial Narrow"/>
                <w:sz w:val="20"/>
                <w:szCs w:val="20"/>
                <w:lang w:eastAsia="en-US"/>
              </w:rPr>
            </w:pPr>
            <w:r w:rsidRPr="00387E51">
              <w:rPr>
                <w:rFonts w:ascii="Arial Narrow" w:hAnsi="Arial Narrow"/>
                <w:sz w:val="20"/>
                <w:szCs w:val="20"/>
                <w:lang w:eastAsia="en-US"/>
              </w:rPr>
              <w:t>-</w:t>
            </w:r>
          </w:p>
        </w:tc>
      </w:tr>
      <w:tr w:rsidR="00E027FA" w:rsidRPr="00387E51" w14:paraId="4267EFEC" w14:textId="77777777" w:rsidTr="00E027FA">
        <w:trPr>
          <w:cantSplit/>
        </w:trPr>
        <w:tc>
          <w:tcPr>
            <w:tcW w:w="448" w:type="pct"/>
            <w:tcBorders>
              <w:top w:val="single" w:sz="4" w:space="0" w:color="auto"/>
              <w:left w:val="single" w:sz="4" w:space="0" w:color="auto"/>
              <w:bottom w:val="single" w:sz="4" w:space="0" w:color="auto"/>
              <w:right w:val="nil"/>
            </w:tcBorders>
          </w:tcPr>
          <w:p w14:paraId="29C846EA" w14:textId="77777777" w:rsidR="00E027FA" w:rsidRPr="00387E51" w:rsidRDefault="00E027FA" w:rsidP="00387E51">
            <w:pPr>
              <w:spacing w:before="40" w:after="40" w:line="276" w:lineRule="auto"/>
              <w:rPr>
                <w:rFonts w:ascii="Arial Narrow" w:hAnsi="Arial Narrow"/>
                <w:sz w:val="20"/>
                <w:szCs w:val="20"/>
              </w:rPr>
            </w:pPr>
          </w:p>
        </w:tc>
        <w:tc>
          <w:tcPr>
            <w:tcW w:w="2475" w:type="pct"/>
            <w:tcBorders>
              <w:top w:val="single" w:sz="4" w:space="0" w:color="auto"/>
              <w:left w:val="nil"/>
              <w:bottom w:val="single" w:sz="4" w:space="0" w:color="auto"/>
              <w:right w:val="single" w:sz="4" w:space="0" w:color="auto"/>
            </w:tcBorders>
          </w:tcPr>
          <w:p w14:paraId="03554F43" w14:textId="0EE73E56" w:rsidR="00E027FA" w:rsidRPr="00387E51" w:rsidRDefault="00E027FA" w:rsidP="00387E51">
            <w:pPr>
              <w:spacing w:before="0" w:after="0"/>
              <w:rPr>
                <w:rFonts w:ascii="Arial Narrow" w:eastAsia="Arial Unicode MS" w:hAnsi="Arial Narrow"/>
                <w:sz w:val="20"/>
                <w:szCs w:val="20"/>
              </w:rPr>
            </w:pPr>
            <w:r w:rsidRPr="00387E51">
              <w:rPr>
                <w:rFonts w:ascii="Arial Narrow" w:hAnsi="Arial Narrow"/>
                <w:sz w:val="20"/>
                <w:szCs w:val="20"/>
              </w:rPr>
              <w:t>Studies identified via checking references</w:t>
            </w:r>
          </w:p>
        </w:tc>
        <w:tc>
          <w:tcPr>
            <w:tcW w:w="692" w:type="pct"/>
            <w:tcBorders>
              <w:top w:val="single" w:sz="4" w:space="0" w:color="auto"/>
              <w:left w:val="single" w:sz="4" w:space="0" w:color="auto"/>
              <w:bottom w:val="single" w:sz="4" w:space="0" w:color="auto"/>
              <w:right w:val="nil"/>
            </w:tcBorders>
            <w:vAlign w:val="center"/>
          </w:tcPr>
          <w:p w14:paraId="7ACE5F0E" w14:textId="77777777" w:rsidR="00E027FA" w:rsidRPr="00387E51" w:rsidRDefault="00E027FA" w:rsidP="00387E51">
            <w:pPr>
              <w:spacing w:before="100" w:beforeAutospacing="1" w:after="100" w:afterAutospacing="1"/>
              <w:jc w:val="center"/>
              <w:rPr>
                <w:rFonts w:ascii="Arial Narrow" w:eastAsia="Arial Unicode MS" w:hAnsi="Arial Narrow" w:cs="Arial Unicode MS"/>
                <w:sz w:val="20"/>
                <w:szCs w:val="20"/>
              </w:rPr>
            </w:pPr>
          </w:p>
        </w:tc>
        <w:tc>
          <w:tcPr>
            <w:tcW w:w="692" w:type="pct"/>
            <w:tcBorders>
              <w:top w:val="single" w:sz="4" w:space="0" w:color="auto"/>
              <w:left w:val="nil"/>
              <w:bottom w:val="single" w:sz="4" w:space="0" w:color="auto"/>
              <w:right w:val="nil"/>
            </w:tcBorders>
            <w:vAlign w:val="center"/>
          </w:tcPr>
          <w:p w14:paraId="5A219240" w14:textId="6C9AC132" w:rsidR="00E027FA" w:rsidRPr="00387E51" w:rsidRDefault="00E027FA" w:rsidP="00387E51">
            <w:pPr>
              <w:spacing w:before="100" w:beforeAutospacing="1" w:after="100" w:afterAutospacing="1"/>
              <w:jc w:val="center"/>
              <w:rPr>
                <w:rFonts w:ascii="Arial Narrow" w:eastAsia="Arial Unicode MS" w:hAnsi="Arial Narrow" w:cs="Arial Unicode MS"/>
                <w:sz w:val="20"/>
                <w:szCs w:val="20"/>
              </w:rPr>
            </w:pPr>
            <w:r>
              <w:rPr>
                <w:rFonts w:ascii="Arial Narrow" w:eastAsia="Arial Unicode MS" w:hAnsi="Arial Narrow" w:cs="Arial Unicode MS"/>
                <w:sz w:val="20"/>
                <w:szCs w:val="20"/>
              </w:rPr>
              <w:t>-</w:t>
            </w:r>
          </w:p>
        </w:tc>
        <w:tc>
          <w:tcPr>
            <w:tcW w:w="692" w:type="pct"/>
            <w:tcBorders>
              <w:left w:val="nil"/>
              <w:right w:val="single" w:sz="4" w:space="0" w:color="auto"/>
            </w:tcBorders>
            <w:vAlign w:val="center"/>
          </w:tcPr>
          <w:p w14:paraId="54F47CE3" w14:textId="77777777" w:rsidR="00E027FA" w:rsidRPr="00387E51" w:rsidRDefault="00E027FA" w:rsidP="00387E51">
            <w:pPr>
              <w:spacing w:before="100" w:beforeAutospacing="1" w:after="100" w:afterAutospacing="1"/>
              <w:jc w:val="center"/>
              <w:rPr>
                <w:rFonts w:ascii="Arial Narrow" w:hAnsi="Arial Narrow"/>
                <w:sz w:val="20"/>
                <w:szCs w:val="20"/>
                <w:lang w:eastAsia="en-US"/>
              </w:rPr>
            </w:pPr>
          </w:p>
        </w:tc>
      </w:tr>
      <w:tr w:rsidR="00387E51" w:rsidRPr="00387E51" w14:paraId="0F167AC4" w14:textId="77777777" w:rsidTr="00E027FA">
        <w:trPr>
          <w:cantSplit/>
        </w:trPr>
        <w:tc>
          <w:tcPr>
            <w:tcW w:w="2923" w:type="pct"/>
            <w:gridSpan w:val="2"/>
            <w:tcBorders>
              <w:top w:val="single" w:sz="4" w:space="0" w:color="auto"/>
              <w:left w:val="single" w:sz="4" w:space="0" w:color="auto"/>
              <w:bottom w:val="single" w:sz="4" w:space="0" w:color="auto"/>
              <w:right w:val="single" w:sz="4" w:space="0" w:color="auto"/>
            </w:tcBorders>
          </w:tcPr>
          <w:p w14:paraId="5578387C" w14:textId="77777777" w:rsidR="00387E51" w:rsidRPr="00387E51" w:rsidRDefault="00387E51" w:rsidP="00387E51">
            <w:pPr>
              <w:spacing w:before="0" w:after="0"/>
              <w:rPr>
                <w:rFonts w:ascii="Arial Narrow" w:eastAsia="Arial Unicode MS" w:hAnsi="Arial Narrow"/>
                <w:sz w:val="20"/>
                <w:szCs w:val="20"/>
              </w:rPr>
            </w:pPr>
            <w:r w:rsidRPr="00387E51">
              <w:rPr>
                <w:rFonts w:ascii="Arial Narrow" w:hAnsi="Arial Narrow"/>
                <w:sz w:val="20"/>
                <w:szCs w:val="20"/>
              </w:rPr>
              <w:t>Inappropriate study type: the article did not report the structure or results or didn’t consider MTA, RFA or Radiotherapy in an economic evaluation</w:t>
            </w:r>
          </w:p>
        </w:tc>
        <w:tc>
          <w:tcPr>
            <w:tcW w:w="692" w:type="pct"/>
            <w:tcBorders>
              <w:top w:val="single" w:sz="4" w:space="0" w:color="auto"/>
              <w:left w:val="single" w:sz="4" w:space="0" w:color="auto"/>
              <w:bottom w:val="single" w:sz="4" w:space="0" w:color="auto"/>
              <w:right w:val="single" w:sz="4" w:space="0" w:color="auto"/>
            </w:tcBorders>
            <w:vAlign w:val="center"/>
          </w:tcPr>
          <w:p w14:paraId="001BDAF9" w14:textId="77777777" w:rsidR="00387E51" w:rsidRPr="00387E51" w:rsidRDefault="00387E51" w:rsidP="00387E51">
            <w:pPr>
              <w:spacing w:before="100" w:beforeAutospacing="1" w:after="100" w:afterAutospacing="1"/>
              <w:jc w:val="center"/>
              <w:rPr>
                <w:rFonts w:ascii="Arial Narrow" w:eastAsia="Arial Unicode MS" w:hAnsi="Arial Narrow"/>
                <w:sz w:val="20"/>
                <w:szCs w:val="20"/>
              </w:rPr>
            </w:pPr>
            <w:r w:rsidRPr="00387E51">
              <w:rPr>
                <w:rFonts w:ascii="Arial Narrow" w:eastAsia="Arial Unicode MS" w:hAnsi="Arial Narrow"/>
                <w:sz w:val="20"/>
                <w:szCs w:val="20"/>
              </w:rPr>
              <w:t>60</w:t>
            </w:r>
          </w:p>
        </w:tc>
        <w:tc>
          <w:tcPr>
            <w:tcW w:w="692" w:type="pct"/>
            <w:tcBorders>
              <w:top w:val="single" w:sz="4" w:space="0" w:color="auto"/>
              <w:left w:val="single" w:sz="4" w:space="0" w:color="auto"/>
              <w:bottom w:val="single" w:sz="4" w:space="0" w:color="auto"/>
              <w:right w:val="single" w:sz="4" w:space="0" w:color="auto"/>
            </w:tcBorders>
            <w:vAlign w:val="center"/>
          </w:tcPr>
          <w:p w14:paraId="47AC217A" w14:textId="77777777" w:rsidR="00387E51" w:rsidRPr="00387E51" w:rsidRDefault="00387E51" w:rsidP="00387E51">
            <w:pPr>
              <w:spacing w:before="100" w:beforeAutospacing="1" w:after="100" w:afterAutospacing="1"/>
              <w:jc w:val="center"/>
              <w:rPr>
                <w:rFonts w:ascii="Arial Narrow" w:eastAsia="Arial Unicode MS" w:hAnsi="Arial Narrow"/>
                <w:sz w:val="20"/>
                <w:szCs w:val="20"/>
              </w:rPr>
            </w:pPr>
            <w:r w:rsidRPr="00387E51">
              <w:rPr>
                <w:rFonts w:ascii="Arial Narrow" w:eastAsia="Arial Unicode MS" w:hAnsi="Arial Narrow"/>
                <w:sz w:val="20"/>
                <w:szCs w:val="20"/>
              </w:rPr>
              <w:t>418</w:t>
            </w:r>
          </w:p>
        </w:tc>
        <w:tc>
          <w:tcPr>
            <w:tcW w:w="692" w:type="pct"/>
            <w:tcBorders>
              <w:left w:val="single" w:sz="4" w:space="0" w:color="auto"/>
              <w:right w:val="single" w:sz="4" w:space="0" w:color="auto"/>
            </w:tcBorders>
            <w:vAlign w:val="center"/>
          </w:tcPr>
          <w:p w14:paraId="318D26CE" w14:textId="77777777" w:rsidR="00387E51" w:rsidRPr="00387E51" w:rsidRDefault="00387E51" w:rsidP="00387E51">
            <w:pPr>
              <w:spacing w:before="100" w:beforeAutospacing="1" w:after="100" w:afterAutospacing="1"/>
              <w:jc w:val="center"/>
              <w:rPr>
                <w:rFonts w:ascii="Arial Narrow" w:hAnsi="Arial Narrow"/>
                <w:sz w:val="20"/>
                <w:szCs w:val="20"/>
              </w:rPr>
            </w:pPr>
            <w:r w:rsidRPr="00387E51">
              <w:rPr>
                <w:rFonts w:ascii="Arial Narrow" w:hAnsi="Arial Narrow"/>
                <w:sz w:val="20"/>
                <w:szCs w:val="20"/>
              </w:rPr>
              <w:t>-</w:t>
            </w:r>
          </w:p>
        </w:tc>
      </w:tr>
      <w:tr w:rsidR="00387E51" w:rsidRPr="00387E51" w14:paraId="3BBCF4D3" w14:textId="77777777" w:rsidTr="00E027FA">
        <w:trPr>
          <w:cantSplit/>
        </w:trPr>
        <w:tc>
          <w:tcPr>
            <w:tcW w:w="29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06114" w14:textId="77777777" w:rsidR="00387E51" w:rsidRPr="00387E51" w:rsidRDefault="00387E51" w:rsidP="00387E51">
            <w:pPr>
              <w:spacing w:before="0"/>
              <w:rPr>
                <w:rFonts w:ascii="Arial Narrow" w:hAnsi="Arial Narrow"/>
                <w:b/>
                <w:sz w:val="20"/>
                <w:szCs w:val="20"/>
              </w:rPr>
            </w:pPr>
            <w:r w:rsidRPr="00387E51">
              <w:rPr>
                <w:rFonts w:ascii="Arial Narrow" w:hAnsi="Arial Narrow"/>
                <w:b/>
                <w:sz w:val="20"/>
                <w:szCs w:val="20"/>
              </w:rPr>
              <w:t>Number of included publications</w:t>
            </w: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93F18" w14:textId="77777777" w:rsidR="00387E51" w:rsidRPr="00387E51" w:rsidRDefault="00387E51" w:rsidP="00387E51">
            <w:pPr>
              <w:spacing w:before="100" w:beforeAutospacing="1" w:after="100" w:afterAutospacing="1"/>
              <w:jc w:val="center"/>
              <w:rPr>
                <w:rFonts w:ascii="Arial Narrow" w:eastAsia="Arial Unicode MS" w:hAnsi="Arial Narrow"/>
                <w:b/>
                <w:sz w:val="20"/>
                <w:szCs w:val="20"/>
              </w:rPr>
            </w:pPr>
            <w:r w:rsidRPr="00387E51">
              <w:rPr>
                <w:rFonts w:ascii="Arial Narrow" w:eastAsia="Arial Unicode MS" w:hAnsi="Arial Narrow"/>
                <w:b/>
                <w:sz w:val="20"/>
                <w:szCs w:val="20"/>
              </w:rPr>
              <w:t>3</w:t>
            </w: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0634E4" w14:textId="77777777" w:rsidR="00387E51" w:rsidRPr="00387E51" w:rsidRDefault="00387E51" w:rsidP="00387E51">
            <w:pPr>
              <w:spacing w:before="100" w:beforeAutospacing="1" w:after="100" w:afterAutospacing="1"/>
              <w:jc w:val="center"/>
              <w:rPr>
                <w:rFonts w:ascii="Arial Narrow" w:eastAsia="Arial Unicode MS" w:hAnsi="Arial Narrow"/>
                <w:b/>
                <w:sz w:val="20"/>
                <w:szCs w:val="20"/>
              </w:rPr>
            </w:pPr>
            <w:r w:rsidRPr="00387E51">
              <w:rPr>
                <w:rFonts w:ascii="Arial Narrow" w:eastAsia="Arial Unicode MS" w:hAnsi="Arial Narrow"/>
                <w:b/>
                <w:sz w:val="20"/>
                <w:szCs w:val="20"/>
              </w:rPr>
              <w:t>4</w:t>
            </w:r>
          </w:p>
        </w:tc>
        <w:tc>
          <w:tcPr>
            <w:tcW w:w="692" w:type="pct"/>
            <w:tcBorders>
              <w:left w:val="single" w:sz="4" w:space="0" w:color="auto"/>
              <w:right w:val="single" w:sz="4" w:space="0" w:color="auto"/>
            </w:tcBorders>
            <w:shd w:val="clear" w:color="auto" w:fill="D9D9D9" w:themeFill="background1" w:themeFillShade="D9"/>
            <w:vAlign w:val="center"/>
          </w:tcPr>
          <w:p w14:paraId="4827D902" w14:textId="77777777" w:rsidR="00387E51" w:rsidRPr="00387E51" w:rsidRDefault="00387E51" w:rsidP="00387E51">
            <w:pPr>
              <w:spacing w:before="100" w:beforeAutospacing="1" w:after="100" w:afterAutospacing="1"/>
              <w:jc w:val="center"/>
              <w:rPr>
                <w:rFonts w:ascii="Arial Narrow" w:hAnsi="Arial Narrow"/>
                <w:b/>
                <w:sz w:val="20"/>
                <w:szCs w:val="20"/>
              </w:rPr>
            </w:pPr>
            <w:r w:rsidRPr="00387E51">
              <w:rPr>
                <w:rFonts w:ascii="Arial Narrow" w:hAnsi="Arial Narrow"/>
                <w:b/>
                <w:sz w:val="20"/>
                <w:szCs w:val="20"/>
              </w:rPr>
              <w:t>-</w:t>
            </w:r>
          </w:p>
        </w:tc>
      </w:tr>
    </w:tbl>
    <w:p w14:paraId="5B0906FC" w14:textId="77777777" w:rsidR="00387E51" w:rsidRPr="00387E51" w:rsidRDefault="00387E51" w:rsidP="00387E51">
      <w:pPr>
        <w:spacing w:before="0" w:after="0"/>
        <w:rPr>
          <w:rFonts w:ascii="Arial Narrow" w:hAnsi="Arial Narrow"/>
          <w:sz w:val="20"/>
          <w:szCs w:val="20"/>
        </w:rPr>
      </w:pPr>
    </w:p>
    <w:p w14:paraId="33F276D6" w14:textId="77777777" w:rsidR="009C5D00" w:rsidRDefault="009C5D00" w:rsidP="00387E51">
      <w:pPr>
        <w:spacing w:before="0" w:after="0"/>
        <w:rPr>
          <w:rFonts w:ascii="Arial Narrow" w:hAnsi="Arial Narrow"/>
          <w:b/>
          <w:sz w:val="20"/>
          <w:szCs w:val="20"/>
        </w:rPr>
      </w:pPr>
      <w:r>
        <w:rPr>
          <w:rFonts w:ascii="Arial Narrow" w:hAnsi="Arial Narrow"/>
          <w:b/>
          <w:sz w:val="20"/>
          <w:szCs w:val="20"/>
        </w:rPr>
        <w:br w:type="page"/>
      </w:r>
    </w:p>
    <w:p w14:paraId="045DE491" w14:textId="76083552" w:rsidR="00387E51" w:rsidRPr="009C5D00" w:rsidRDefault="00994BBC" w:rsidP="00387E51">
      <w:pPr>
        <w:spacing w:before="0" w:after="0"/>
        <w:rPr>
          <w:rFonts w:ascii="Arial Narrow" w:hAnsi="Arial Narrow"/>
          <w:b/>
          <w:sz w:val="20"/>
          <w:szCs w:val="20"/>
        </w:rPr>
      </w:pPr>
      <w:r w:rsidRPr="009C5D00">
        <w:rPr>
          <w:rFonts w:ascii="Arial Narrow" w:hAnsi="Arial Narrow"/>
          <w:b/>
          <w:sz w:val="20"/>
          <w:szCs w:val="20"/>
        </w:rPr>
        <w:lastRenderedPageBreak/>
        <w:t>Literature search strategies used to identify radiotherapy economic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675"/>
        <w:gridCol w:w="1283"/>
        <w:gridCol w:w="1283"/>
        <w:gridCol w:w="1281"/>
      </w:tblGrid>
      <w:tr w:rsidR="00994BBC" w:rsidRPr="00387E51" w14:paraId="11DBF045" w14:textId="77777777" w:rsidTr="00994BBC">
        <w:trPr>
          <w:cantSplit/>
        </w:trPr>
        <w:tc>
          <w:tcPr>
            <w:tcW w:w="390" w:type="pct"/>
            <w:tcBorders>
              <w:top w:val="single" w:sz="4" w:space="0" w:color="auto"/>
              <w:left w:val="single" w:sz="4" w:space="0" w:color="auto"/>
              <w:bottom w:val="single" w:sz="4" w:space="0" w:color="auto"/>
              <w:right w:val="nil"/>
            </w:tcBorders>
            <w:shd w:val="clear" w:color="auto" w:fill="BFBFBF" w:themeFill="background1" w:themeFillShade="BF"/>
          </w:tcPr>
          <w:p w14:paraId="7521ECB7" w14:textId="77777777" w:rsidR="00994BBC" w:rsidRPr="00387E51" w:rsidRDefault="00994BBC" w:rsidP="00387E51">
            <w:pPr>
              <w:spacing w:before="40" w:after="40" w:line="276" w:lineRule="auto"/>
              <w:rPr>
                <w:rFonts w:ascii="Arial Narrow" w:hAnsi="Arial Narrow"/>
                <w:sz w:val="20"/>
                <w:szCs w:val="20"/>
              </w:rPr>
            </w:pPr>
          </w:p>
        </w:tc>
        <w:tc>
          <w:tcPr>
            <w:tcW w:w="2529"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31830FCF" w14:textId="5776E76A" w:rsidR="00994BBC" w:rsidRPr="00387E51" w:rsidRDefault="00994BBC" w:rsidP="00387E51">
            <w:pPr>
              <w:spacing w:before="0" w:after="0"/>
              <w:rPr>
                <w:rFonts w:ascii="Arial Narrow" w:eastAsia="Arial Unicode MS" w:hAnsi="Arial Narrow"/>
                <w:sz w:val="20"/>
                <w:szCs w:val="20"/>
              </w:rPr>
            </w:pPr>
            <w:r w:rsidRPr="008A371F">
              <w:rPr>
                <w:b/>
              </w:rPr>
              <w:t>Search terms</w:t>
            </w:r>
          </w:p>
        </w:tc>
        <w:tc>
          <w:tcPr>
            <w:tcW w:w="6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C023E43" w14:textId="0838DD69" w:rsidR="00994BBC" w:rsidRPr="00387E51" w:rsidRDefault="00994BBC" w:rsidP="00994BBC">
            <w:pPr>
              <w:spacing w:before="100" w:beforeAutospacing="1" w:after="100" w:afterAutospacing="1"/>
              <w:jc w:val="left"/>
              <w:rPr>
                <w:rFonts w:ascii="Arial Narrow" w:eastAsia="Arial Unicode MS" w:hAnsi="Arial Narrow" w:cs="Arial Unicode MS"/>
                <w:sz w:val="20"/>
                <w:szCs w:val="20"/>
              </w:rPr>
            </w:pPr>
            <w:r w:rsidRPr="008A371F">
              <w:rPr>
                <w:b/>
              </w:rPr>
              <w:t>MEDLINE Citations retrieved</w:t>
            </w:r>
          </w:p>
        </w:tc>
        <w:tc>
          <w:tcPr>
            <w:tcW w:w="6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D1B3D72" w14:textId="00095A34" w:rsidR="00994BBC" w:rsidRPr="00387E51" w:rsidRDefault="00994BBC" w:rsidP="00994BBC">
            <w:pPr>
              <w:spacing w:before="100" w:beforeAutospacing="1" w:after="100" w:afterAutospacing="1"/>
              <w:jc w:val="left"/>
              <w:rPr>
                <w:rFonts w:ascii="Arial Narrow" w:eastAsia="Arial Unicode MS" w:hAnsi="Arial Narrow" w:cs="Arial Unicode MS"/>
                <w:sz w:val="20"/>
                <w:szCs w:val="20"/>
              </w:rPr>
            </w:pPr>
            <w:r w:rsidRPr="008A371F">
              <w:rPr>
                <w:b/>
              </w:rPr>
              <w:t>EMBASE Citations retrieved</w:t>
            </w:r>
          </w:p>
        </w:tc>
        <w:tc>
          <w:tcPr>
            <w:tcW w:w="693" w:type="pct"/>
            <w:tcBorders>
              <w:left w:val="single" w:sz="4" w:space="0" w:color="auto"/>
              <w:right w:val="single" w:sz="4" w:space="0" w:color="auto"/>
            </w:tcBorders>
            <w:shd w:val="clear" w:color="auto" w:fill="BFBFBF" w:themeFill="background1" w:themeFillShade="BF"/>
            <w:vAlign w:val="bottom"/>
          </w:tcPr>
          <w:p w14:paraId="29112598" w14:textId="5E7FDD7B" w:rsidR="00994BBC" w:rsidRPr="00387E51" w:rsidRDefault="00994BBC" w:rsidP="00994BBC">
            <w:pPr>
              <w:spacing w:before="100" w:beforeAutospacing="1" w:after="100" w:afterAutospacing="1"/>
              <w:jc w:val="left"/>
              <w:rPr>
                <w:rFonts w:ascii="Arial Narrow" w:hAnsi="Arial Narrow"/>
                <w:sz w:val="20"/>
                <w:szCs w:val="20"/>
                <w:lang w:eastAsia="en-US"/>
              </w:rPr>
            </w:pPr>
            <w:r w:rsidRPr="008A371F">
              <w:rPr>
                <w:b/>
              </w:rPr>
              <w:t>Global Health Citations retrieved</w:t>
            </w:r>
          </w:p>
        </w:tc>
      </w:tr>
      <w:tr w:rsidR="00387E51" w:rsidRPr="00387E51" w14:paraId="63AACBC0" w14:textId="77777777" w:rsidTr="00387E51">
        <w:trPr>
          <w:cantSplit/>
        </w:trPr>
        <w:tc>
          <w:tcPr>
            <w:tcW w:w="390" w:type="pct"/>
            <w:tcBorders>
              <w:top w:val="single" w:sz="4" w:space="0" w:color="auto"/>
              <w:left w:val="single" w:sz="4" w:space="0" w:color="auto"/>
              <w:bottom w:val="single" w:sz="4" w:space="0" w:color="auto"/>
              <w:right w:val="nil"/>
            </w:tcBorders>
          </w:tcPr>
          <w:p w14:paraId="06B6DB82" w14:textId="77777777" w:rsidR="00387E51" w:rsidRPr="00387E51" w:rsidRDefault="00387E51" w:rsidP="00387E51">
            <w:pPr>
              <w:spacing w:before="40" w:after="40" w:line="276" w:lineRule="auto"/>
              <w:rPr>
                <w:rFonts w:ascii="Arial Narrow" w:hAnsi="Arial Narrow"/>
                <w:sz w:val="20"/>
                <w:szCs w:val="20"/>
              </w:rPr>
            </w:pPr>
            <w:r w:rsidRPr="00387E51">
              <w:rPr>
                <w:rFonts w:ascii="Arial Narrow" w:hAnsi="Arial Narrow"/>
                <w:sz w:val="20"/>
                <w:szCs w:val="20"/>
              </w:rPr>
              <w:t>#11</w:t>
            </w:r>
          </w:p>
        </w:tc>
        <w:tc>
          <w:tcPr>
            <w:tcW w:w="2529" w:type="pct"/>
            <w:tcBorders>
              <w:top w:val="single" w:sz="4" w:space="0" w:color="auto"/>
              <w:left w:val="nil"/>
              <w:bottom w:val="single" w:sz="4" w:space="0" w:color="auto"/>
              <w:right w:val="single" w:sz="4" w:space="0" w:color="auto"/>
            </w:tcBorders>
          </w:tcPr>
          <w:p w14:paraId="300FC439" w14:textId="77777777" w:rsidR="00387E51" w:rsidRPr="00387E51" w:rsidRDefault="00387E51" w:rsidP="00387E51">
            <w:pPr>
              <w:spacing w:before="0" w:after="0"/>
              <w:rPr>
                <w:rFonts w:ascii="Arial Narrow" w:eastAsia="Arial Unicode MS" w:hAnsi="Arial Narrow"/>
                <w:sz w:val="20"/>
                <w:szCs w:val="20"/>
              </w:rPr>
            </w:pPr>
            <w:r w:rsidRPr="00387E51">
              <w:rPr>
                <w:rFonts w:ascii="Arial Narrow" w:eastAsia="Arial Unicode MS" w:hAnsi="Arial Narrow"/>
                <w:sz w:val="20"/>
                <w:szCs w:val="20"/>
              </w:rPr>
              <w:t>Radiosurgery/ or Radiotherapy/ or Stereotactic.mp.</w:t>
            </w:r>
          </w:p>
        </w:tc>
        <w:tc>
          <w:tcPr>
            <w:tcW w:w="694" w:type="pct"/>
            <w:tcBorders>
              <w:top w:val="single" w:sz="4" w:space="0" w:color="auto"/>
              <w:left w:val="single" w:sz="4" w:space="0" w:color="auto"/>
              <w:bottom w:val="single" w:sz="4" w:space="0" w:color="auto"/>
              <w:right w:val="single" w:sz="4" w:space="0" w:color="auto"/>
            </w:tcBorders>
            <w:vAlign w:val="center"/>
          </w:tcPr>
          <w:p w14:paraId="67E788CF" w14:textId="77777777" w:rsidR="00387E51" w:rsidRPr="00387E51" w:rsidRDefault="00387E51" w:rsidP="00387E51">
            <w:pPr>
              <w:spacing w:before="100" w:beforeAutospacing="1" w:after="100" w:afterAutospacing="1"/>
              <w:jc w:val="center"/>
              <w:rPr>
                <w:rFonts w:ascii="Arial Narrow" w:eastAsia="Arial Unicode MS" w:hAnsi="Arial Narrow" w:cs="Arial Unicode MS"/>
                <w:sz w:val="20"/>
                <w:szCs w:val="20"/>
              </w:rPr>
            </w:pPr>
            <w:r w:rsidRPr="00387E51">
              <w:rPr>
                <w:rFonts w:ascii="Arial Narrow" w:eastAsia="Arial Unicode MS" w:hAnsi="Arial Narrow" w:cs="Arial Unicode MS"/>
                <w:sz w:val="20"/>
                <w:szCs w:val="20"/>
              </w:rPr>
              <w:t>201680</w:t>
            </w:r>
          </w:p>
        </w:tc>
        <w:tc>
          <w:tcPr>
            <w:tcW w:w="694" w:type="pct"/>
            <w:tcBorders>
              <w:top w:val="single" w:sz="4" w:space="0" w:color="auto"/>
              <w:left w:val="single" w:sz="4" w:space="0" w:color="auto"/>
              <w:bottom w:val="single" w:sz="4" w:space="0" w:color="auto"/>
              <w:right w:val="single" w:sz="4" w:space="0" w:color="auto"/>
            </w:tcBorders>
            <w:vAlign w:val="center"/>
          </w:tcPr>
          <w:p w14:paraId="38785FB1" w14:textId="77777777" w:rsidR="00387E51" w:rsidRPr="00387E51" w:rsidRDefault="00387E51" w:rsidP="00387E51">
            <w:pPr>
              <w:spacing w:before="100" w:beforeAutospacing="1" w:after="100" w:afterAutospacing="1"/>
              <w:jc w:val="center"/>
              <w:rPr>
                <w:rFonts w:ascii="Arial Narrow" w:eastAsia="Arial Unicode MS" w:hAnsi="Arial Narrow" w:cs="Arial Unicode MS"/>
                <w:sz w:val="20"/>
                <w:szCs w:val="20"/>
              </w:rPr>
            </w:pPr>
            <w:r w:rsidRPr="00387E51">
              <w:rPr>
                <w:rFonts w:ascii="Arial Narrow" w:eastAsia="Arial Unicode MS" w:hAnsi="Arial Narrow" w:cs="Arial Unicode MS"/>
                <w:sz w:val="20"/>
                <w:szCs w:val="20"/>
              </w:rPr>
              <w:t xml:space="preserve">400,124 </w:t>
            </w:r>
          </w:p>
        </w:tc>
        <w:tc>
          <w:tcPr>
            <w:tcW w:w="693" w:type="pct"/>
            <w:tcBorders>
              <w:left w:val="single" w:sz="4" w:space="0" w:color="auto"/>
              <w:right w:val="single" w:sz="4" w:space="0" w:color="auto"/>
            </w:tcBorders>
            <w:vAlign w:val="center"/>
          </w:tcPr>
          <w:p w14:paraId="7CFBD1C1" w14:textId="77777777" w:rsidR="00387E51" w:rsidRPr="00387E51" w:rsidRDefault="00387E51" w:rsidP="00387E51">
            <w:pPr>
              <w:spacing w:before="100" w:beforeAutospacing="1" w:after="100" w:afterAutospacing="1"/>
              <w:jc w:val="center"/>
              <w:rPr>
                <w:rFonts w:ascii="Arial Narrow" w:hAnsi="Arial Narrow"/>
                <w:sz w:val="20"/>
                <w:szCs w:val="20"/>
                <w:lang w:eastAsia="en-US"/>
              </w:rPr>
            </w:pPr>
            <w:r w:rsidRPr="00387E51">
              <w:rPr>
                <w:rFonts w:ascii="Arial Narrow" w:hAnsi="Arial Narrow"/>
                <w:sz w:val="20"/>
                <w:szCs w:val="20"/>
                <w:lang w:eastAsia="en-US"/>
              </w:rPr>
              <w:t>143,503</w:t>
            </w:r>
          </w:p>
        </w:tc>
      </w:tr>
      <w:tr w:rsidR="00387E51" w:rsidRPr="00387E51" w14:paraId="249024E8" w14:textId="77777777" w:rsidTr="00387E51">
        <w:trPr>
          <w:cantSplit/>
        </w:trPr>
        <w:tc>
          <w:tcPr>
            <w:tcW w:w="390" w:type="pct"/>
            <w:tcBorders>
              <w:top w:val="single" w:sz="4" w:space="0" w:color="auto"/>
              <w:left w:val="single" w:sz="4" w:space="0" w:color="auto"/>
              <w:bottom w:val="single" w:sz="4" w:space="0" w:color="auto"/>
              <w:right w:val="nil"/>
            </w:tcBorders>
          </w:tcPr>
          <w:p w14:paraId="2A5781A8" w14:textId="77777777" w:rsidR="00387E51" w:rsidRPr="00387E51" w:rsidRDefault="00387E51" w:rsidP="00387E51">
            <w:pPr>
              <w:spacing w:before="40" w:after="40" w:line="276" w:lineRule="auto"/>
              <w:rPr>
                <w:rFonts w:ascii="Arial Narrow" w:hAnsi="Arial Narrow"/>
                <w:sz w:val="20"/>
                <w:szCs w:val="20"/>
              </w:rPr>
            </w:pPr>
            <w:r w:rsidRPr="00387E51">
              <w:rPr>
                <w:rFonts w:ascii="Arial Narrow" w:hAnsi="Arial Narrow"/>
                <w:sz w:val="20"/>
                <w:szCs w:val="20"/>
              </w:rPr>
              <w:t>#12</w:t>
            </w:r>
          </w:p>
        </w:tc>
        <w:tc>
          <w:tcPr>
            <w:tcW w:w="2529" w:type="pct"/>
            <w:tcBorders>
              <w:top w:val="single" w:sz="4" w:space="0" w:color="auto"/>
              <w:left w:val="nil"/>
              <w:bottom w:val="single" w:sz="4" w:space="0" w:color="auto"/>
              <w:right w:val="single" w:sz="4" w:space="0" w:color="auto"/>
            </w:tcBorders>
          </w:tcPr>
          <w:p w14:paraId="7A15DC00" w14:textId="77777777" w:rsidR="00387E51" w:rsidRPr="00387E51" w:rsidRDefault="00387E51" w:rsidP="00387E51">
            <w:pPr>
              <w:spacing w:before="0" w:after="0"/>
              <w:rPr>
                <w:rFonts w:ascii="Arial Narrow" w:eastAsia="Arial Unicode MS" w:hAnsi="Arial Narrow" w:cs="Arial Unicode MS"/>
                <w:sz w:val="20"/>
                <w:szCs w:val="20"/>
              </w:rPr>
            </w:pPr>
            <w:r w:rsidRPr="00387E51">
              <w:rPr>
                <w:rFonts w:ascii="Arial Narrow" w:eastAsia="Arial Unicode MS" w:hAnsi="Arial Narrow"/>
                <w:sz w:val="20"/>
                <w:szCs w:val="20"/>
              </w:rPr>
              <w:t>#11 AND #4 AND #3</w:t>
            </w:r>
          </w:p>
        </w:tc>
        <w:tc>
          <w:tcPr>
            <w:tcW w:w="694" w:type="pct"/>
            <w:tcBorders>
              <w:top w:val="single" w:sz="4" w:space="0" w:color="auto"/>
              <w:left w:val="single" w:sz="4" w:space="0" w:color="auto"/>
              <w:bottom w:val="single" w:sz="4" w:space="0" w:color="auto"/>
              <w:right w:val="single" w:sz="4" w:space="0" w:color="auto"/>
            </w:tcBorders>
            <w:vAlign w:val="center"/>
          </w:tcPr>
          <w:p w14:paraId="33A5E144" w14:textId="77777777" w:rsidR="00387E51" w:rsidRPr="00387E51" w:rsidRDefault="00387E51" w:rsidP="00387E51">
            <w:pPr>
              <w:spacing w:before="100" w:beforeAutospacing="1" w:after="100" w:afterAutospacing="1"/>
              <w:jc w:val="center"/>
              <w:rPr>
                <w:rFonts w:ascii="Arial Narrow" w:eastAsia="Arial Unicode MS" w:hAnsi="Arial Narrow" w:cs="Arial Unicode MS"/>
                <w:sz w:val="20"/>
                <w:szCs w:val="20"/>
              </w:rPr>
            </w:pPr>
            <w:r w:rsidRPr="00387E51">
              <w:rPr>
                <w:rFonts w:ascii="Arial Narrow" w:eastAsia="Arial Unicode MS" w:hAnsi="Arial Narrow" w:cs="Arial Unicode MS"/>
                <w:sz w:val="20"/>
                <w:szCs w:val="20"/>
              </w:rPr>
              <w:t>2236</w:t>
            </w:r>
          </w:p>
        </w:tc>
        <w:tc>
          <w:tcPr>
            <w:tcW w:w="694" w:type="pct"/>
            <w:tcBorders>
              <w:top w:val="single" w:sz="4" w:space="0" w:color="auto"/>
              <w:left w:val="single" w:sz="4" w:space="0" w:color="auto"/>
              <w:bottom w:val="single" w:sz="4" w:space="0" w:color="auto"/>
              <w:right w:val="single" w:sz="4" w:space="0" w:color="auto"/>
            </w:tcBorders>
            <w:vAlign w:val="center"/>
          </w:tcPr>
          <w:p w14:paraId="7DBFAB84" w14:textId="77777777" w:rsidR="00387E51" w:rsidRPr="00387E51" w:rsidRDefault="00387E51" w:rsidP="00387E51">
            <w:pPr>
              <w:spacing w:before="100" w:beforeAutospacing="1" w:after="100" w:afterAutospacing="1"/>
              <w:jc w:val="center"/>
              <w:rPr>
                <w:rFonts w:ascii="Arial Narrow" w:eastAsia="Arial Unicode MS" w:hAnsi="Arial Narrow" w:cs="Arial Unicode MS"/>
                <w:sz w:val="20"/>
                <w:szCs w:val="20"/>
              </w:rPr>
            </w:pPr>
            <w:r w:rsidRPr="00387E51">
              <w:rPr>
                <w:rFonts w:ascii="Arial Narrow" w:eastAsia="Arial Unicode MS" w:hAnsi="Arial Narrow" w:cs="Arial Unicode MS"/>
                <w:sz w:val="20"/>
                <w:szCs w:val="20"/>
              </w:rPr>
              <w:t>2047</w:t>
            </w:r>
          </w:p>
        </w:tc>
        <w:tc>
          <w:tcPr>
            <w:tcW w:w="693" w:type="pct"/>
            <w:tcBorders>
              <w:left w:val="single" w:sz="4" w:space="0" w:color="auto"/>
              <w:right w:val="single" w:sz="4" w:space="0" w:color="auto"/>
            </w:tcBorders>
            <w:vAlign w:val="center"/>
          </w:tcPr>
          <w:p w14:paraId="3D23E189" w14:textId="77777777" w:rsidR="00387E51" w:rsidRPr="00387E51" w:rsidRDefault="00387E51" w:rsidP="00387E51">
            <w:pPr>
              <w:spacing w:before="100" w:beforeAutospacing="1" w:after="100" w:afterAutospacing="1"/>
              <w:jc w:val="center"/>
              <w:rPr>
                <w:rFonts w:ascii="Arial Narrow" w:hAnsi="Arial Narrow"/>
                <w:sz w:val="20"/>
                <w:szCs w:val="20"/>
                <w:lang w:eastAsia="en-US"/>
              </w:rPr>
            </w:pPr>
            <w:r w:rsidRPr="00387E51">
              <w:rPr>
                <w:rFonts w:ascii="Arial Narrow" w:hAnsi="Arial Narrow"/>
                <w:sz w:val="20"/>
                <w:szCs w:val="20"/>
                <w:lang w:eastAsia="en-US"/>
              </w:rPr>
              <w:t>375</w:t>
            </w:r>
          </w:p>
        </w:tc>
      </w:tr>
      <w:tr w:rsidR="00E027FA" w:rsidRPr="00387E51" w14:paraId="1126E4A4" w14:textId="77777777" w:rsidTr="00387E51">
        <w:trPr>
          <w:cantSplit/>
        </w:trPr>
        <w:tc>
          <w:tcPr>
            <w:tcW w:w="390" w:type="pct"/>
            <w:tcBorders>
              <w:top w:val="single" w:sz="4" w:space="0" w:color="auto"/>
              <w:left w:val="single" w:sz="4" w:space="0" w:color="auto"/>
              <w:bottom w:val="single" w:sz="4" w:space="0" w:color="auto"/>
              <w:right w:val="nil"/>
            </w:tcBorders>
          </w:tcPr>
          <w:p w14:paraId="058C1498" w14:textId="77777777" w:rsidR="00E027FA" w:rsidRPr="00387E51" w:rsidRDefault="00E027FA" w:rsidP="00387E51">
            <w:pPr>
              <w:spacing w:before="40" w:after="40" w:line="276" w:lineRule="auto"/>
              <w:rPr>
                <w:rFonts w:ascii="Arial Narrow" w:hAnsi="Arial Narrow"/>
                <w:sz w:val="20"/>
                <w:szCs w:val="20"/>
              </w:rPr>
            </w:pPr>
          </w:p>
        </w:tc>
        <w:tc>
          <w:tcPr>
            <w:tcW w:w="2529" w:type="pct"/>
            <w:tcBorders>
              <w:top w:val="single" w:sz="4" w:space="0" w:color="auto"/>
              <w:left w:val="nil"/>
              <w:bottom w:val="single" w:sz="4" w:space="0" w:color="auto"/>
              <w:right w:val="single" w:sz="4" w:space="0" w:color="auto"/>
            </w:tcBorders>
          </w:tcPr>
          <w:p w14:paraId="69FEB33A" w14:textId="37C1B7A1" w:rsidR="00E027FA" w:rsidRPr="00387E51" w:rsidRDefault="00E027FA" w:rsidP="00387E51">
            <w:pPr>
              <w:spacing w:before="0" w:after="0"/>
              <w:rPr>
                <w:rFonts w:ascii="Arial Narrow" w:eastAsia="Arial Unicode MS" w:hAnsi="Arial Narrow"/>
                <w:sz w:val="20"/>
                <w:szCs w:val="20"/>
              </w:rPr>
            </w:pPr>
            <w:r w:rsidRPr="00387E51">
              <w:rPr>
                <w:rFonts w:ascii="Arial Narrow" w:hAnsi="Arial Narrow"/>
                <w:sz w:val="20"/>
                <w:szCs w:val="20"/>
              </w:rPr>
              <w:t>Studies identified via checking references</w:t>
            </w:r>
          </w:p>
        </w:tc>
        <w:tc>
          <w:tcPr>
            <w:tcW w:w="694" w:type="pct"/>
            <w:tcBorders>
              <w:top w:val="single" w:sz="4" w:space="0" w:color="auto"/>
              <w:left w:val="single" w:sz="4" w:space="0" w:color="auto"/>
              <w:bottom w:val="single" w:sz="4" w:space="0" w:color="auto"/>
              <w:right w:val="single" w:sz="4" w:space="0" w:color="auto"/>
            </w:tcBorders>
            <w:vAlign w:val="center"/>
          </w:tcPr>
          <w:p w14:paraId="6B2EB81F" w14:textId="77777777" w:rsidR="00E027FA" w:rsidRPr="00387E51" w:rsidRDefault="00E027FA" w:rsidP="00387E51">
            <w:pPr>
              <w:spacing w:before="100" w:beforeAutospacing="1" w:after="100" w:afterAutospacing="1"/>
              <w:jc w:val="center"/>
              <w:rPr>
                <w:rFonts w:ascii="Arial Narrow" w:eastAsia="Arial Unicode MS" w:hAnsi="Arial Narrow" w:cs="Arial Unicode MS"/>
                <w:sz w:val="20"/>
                <w:szCs w:val="20"/>
              </w:rPr>
            </w:pPr>
          </w:p>
        </w:tc>
        <w:tc>
          <w:tcPr>
            <w:tcW w:w="694" w:type="pct"/>
            <w:tcBorders>
              <w:top w:val="single" w:sz="4" w:space="0" w:color="auto"/>
              <w:left w:val="single" w:sz="4" w:space="0" w:color="auto"/>
              <w:bottom w:val="single" w:sz="4" w:space="0" w:color="auto"/>
              <w:right w:val="single" w:sz="4" w:space="0" w:color="auto"/>
            </w:tcBorders>
            <w:vAlign w:val="center"/>
          </w:tcPr>
          <w:p w14:paraId="7A5A675B" w14:textId="1DAE781A" w:rsidR="00E027FA" w:rsidRPr="00387E51" w:rsidRDefault="00E027FA" w:rsidP="00387E51">
            <w:pPr>
              <w:spacing w:before="100" w:beforeAutospacing="1" w:after="100" w:afterAutospacing="1"/>
              <w:jc w:val="center"/>
              <w:rPr>
                <w:rFonts w:ascii="Arial Narrow" w:eastAsia="Arial Unicode MS" w:hAnsi="Arial Narrow" w:cs="Arial Unicode MS"/>
                <w:sz w:val="20"/>
                <w:szCs w:val="20"/>
              </w:rPr>
            </w:pPr>
            <w:r>
              <w:rPr>
                <w:rFonts w:ascii="Arial Narrow" w:eastAsia="Arial Unicode MS" w:hAnsi="Arial Narrow" w:cs="Arial Unicode MS"/>
                <w:sz w:val="20"/>
                <w:szCs w:val="20"/>
              </w:rPr>
              <w:t>-</w:t>
            </w:r>
          </w:p>
        </w:tc>
        <w:tc>
          <w:tcPr>
            <w:tcW w:w="693" w:type="pct"/>
            <w:tcBorders>
              <w:left w:val="single" w:sz="4" w:space="0" w:color="auto"/>
              <w:right w:val="single" w:sz="4" w:space="0" w:color="auto"/>
            </w:tcBorders>
            <w:vAlign w:val="center"/>
          </w:tcPr>
          <w:p w14:paraId="793C160D" w14:textId="77777777" w:rsidR="00E027FA" w:rsidRPr="00387E51" w:rsidRDefault="00E027FA" w:rsidP="00387E51">
            <w:pPr>
              <w:spacing w:before="100" w:beforeAutospacing="1" w:after="100" w:afterAutospacing="1"/>
              <w:jc w:val="center"/>
              <w:rPr>
                <w:rFonts w:ascii="Arial Narrow" w:hAnsi="Arial Narrow"/>
                <w:sz w:val="20"/>
                <w:szCs w:val="20"/>
                <w:lang w:eastAsia="en-US"/>
              </w:rPr>
            </w:pPr>
          </w:p>
        </w:tc>
      </w:tr>
      <w:tr w:rsidR="00387E51" w:rsidRPr="00387E51" w14:paraId="01BD39E1" w14:textId="77777777" w:rsidTr="00387E51">
        <w:trPr>
          <w:cantSplit/>
        </w:trPr>
        <w:tc>
          <w:tcPr>
            <w:tcW w:w="2919" w:type="pct"/>
            <w:gridSpan w:val="2"/>
            <w:tcBorders>
              <w:top w:val="single" w:sz="4" w:space="0" w:color="auto"/>
              <w:left w:val="single" w:sz="4" w:space="0" w:color="auto"/>
              <w:bottom w:val="single" w:sz="4" w:space="0" w:color="auto"/>
              <w:right w:val="single" w:sz="4" w:space="0" w:color="auto"/>
            </w:tcBorders>
          </w:tcPr>
          <w:p w14:paraId="6494BB0E" w14:textId="77777777" w:rsidR="00387E51" w:rsidRPr="00387E51" w:rsidRDefault="00387E51" w:rsidP="00387E51">
            <w:pPr>
              <w:spacing w:before="0" w:after="0"/>
              <w:rPr>
                <w:rFonts w:ascii="Arial Narrow" w:eastAsia="Arial Unicode MS" w:hAnsi="Arial Narrow"/>
                <w:sz w:val="20"/>
                <w:szCs w:val="20"/>
              </w:rPr>
            </w:pPr>
            <w:r w:rsidRPr="00387E51">
              <w:rPr>
                <w:rFonts w:ascii="Arial Narrow" w:hAnsi="Arial Narrow"/>
                <w:sz w:val="20"/>
                <w:szCs w:val="20"/>
              </w:rPr>
              <w:t>Inappropriate study type: the article did not report the structure or results or didn’t consider MTA, RFA or Radiotherapy in an economic evaluation</w:t>
            </w:r>
          </w:p>
        </w:tc>
        <w:tc>
          <w:tcPr>
            <w:tcW w:w="694" w:type="pct"/>
            <w:tcBorders>
              <w:top w:val="single" w:sz="4" w:space="0" w:color="auto"/>
              <w:left w:val="single" w:sz="4" w:space="0" w:color="auto"/>
              <w:bottom w:val="single" w:sz="4" w:space="0" w:color="auto"/>
              <w:right w:val="single" w:sz="4" w:space="0" w:color="auto"/>
            </w:tcBorders>
            <w:vAlign w:val="center"/>
          </w:tcPr>
          <w:p w14:paraId="38D8E692" w14:textId="77777777" w:rsidR="00387E51" w:rsidRPr="00387E51" w:rsidRDefault="00387E51" w:rsidP="00387E51">
            <w:pPr>
              <w:spacing w:before="100" w:beforeAutospacing="1" w:after="100" w:afterAutospacing="1"/>
              <w:jc w:val="center"/>
              <w:rPr>
                <w:rFonts w:ascii="Arial Narrow" w:eastAsia="Arial Unicode MS" w:hAnsi="Arial Narrow"/>
                <w:sz w:val="20"/>
                <w:szCs w:val="20"/>
              </w:rPr>
            </w:pPr>
            <w:r w:rsidRPr="00387E51">
              <w:rPr>
                <w:rFonts w:ascii="Arial Narrow" w:eastAsia="Arial Unicode MS" w:hAnsi="Arial Narrow"/>
                <w:sz w:val="20"/>
                <w:szCs w:val="20"/>
              </w:rPr>
              <w:t>2232</w:t>
            </w:r>
          </w:p>
        </w:tc>
        <w:tc>
          <w:tcPr>
            <w:tcW w:w="694" w:type="pct"/>
            <w:tcBorders>
              <w:top w:val="single" w:sz="4" w:space="0" w:color="auto"/>
              <w:left w:val="single" w:sz="4" w:space="0" w:color="auto"/>
              <w:bottom w:val="single" w:sz="4" w:space="0" w:color="auto"/>
              <w:right w:val="single" w:sz="4" w:space="0" w:color="auto"/>
            </w:tcBorders>
            <w:vAlign w:val="center"/>
          </w:tcPr>
          <w:p w14:paraId="74124AC0" w14:textId="77777777" w:rsidR="00387E51" w:rsidRPr="00387E51" w:rsidRDefault="00387E51" w:rsidP="00387E51">
            <w:pPr>
              <w:spacing w:before="100" w:beforeAutospacing="1" w:after="100" w:afterAutospacing="1"/>
              <w:jc w:val="center"/>
              <w:rPr>
                <w:rFonts w:ascii="Arial Narrow" w:eastAsia="Arial Unicode MS" w:hAnsi="Arial Narrow"/>
                <w:sz w:val="20"/>
                <w:szCs w:val="20"/>
              </w:rPr>
            </w:pPr>
            <w:r w:rsidRPr="00387E51">
              <w:rPr>
                <w:rFonts w:ascii="Arial Narrow" w:eastAsia="Arial Unicode MS" w:hAnsi="Arial Narrow"/>
                <w:sz w:val="20"/>
                <w:szCs w:val="20"/>
              </w:rPr>
              <w:t>2038</w:t>
            </w:r>
          </w:p>
        </w:tc>
        <w:tc>
          <w:tcPr>
            <w:tcW w:w="693" w:type="pct"/>
            <w:tcBorders>
              <w:left w:val="single" w:sz="4" w:space="0" w:color="auto"/>
              <w:right w:val="single" w:sz="4" w:space="0" w:color="auto"/>
            </w:tcBorders>
            <w:vAlign w:val="center"/>
          </w:tcPr>
          <w:p w14:paraId="7CCA8E2C" w14:textId="77777777" w:rsidR="00387E51" w:rsidRPr="00387E51" w:rsidRDefault="00387E51" w:rsidP="00387E51">
            <w:pPr>
              <w:spacing w:before="100" w:beforeAutospacing="1" w:after="100" w:afterAutospacing="1"/>
              <w:jc w:val="center"/>
              <w:rPr>
                <w:rFonts w:ascii="Arial Narrow" w:hAnsi="Arial Narrow"/>
                <w:sz w:val="20"/>
                <w:szCs w:val="20"/>
              </w:rPr>
            </w:pPr>
            <w:r w:rsidRPr="00387E51">
              <w:rPr>
                <w:rFonts w:ascii="Arial Narrow" w:hAnsi="Arial Narrow"/>
                <w:sz w:val="20"/>
                <w:szCs w:val="20"/>
              </w:rPr>
              <w:t>375</w:t>
            </w:r>
          </w:p>
        </w:tc>
      </w:tr>
      <w:tr w:rsidR="00387E51" w:rsidRPr="00387E51" w14:paraId="5F6D90B9" w14:textId="77777777" w:rsidTr="00387E51">
        <w:trPr>
          <w:cantSplit/>
        </w:trPr>
        <w:tc>
          <w:tcPr>
            <w:tcW w:w="29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622502" w14:textId="77777777" w:rsidR="00387E51" w:rsidRPr="00387E51" w:rsidRDefault="00387E51" w:rsidP="00387E51">
            <w:pPr>
              <w:spacing w:before="0"/>
              <w:rPr>
                <w:rFonts w:ascii="Arial Narrow" w:hAnsi="Arial Narrow"/>
                <w:b/>
                <w:sz w:val="20"/>
                <w:szCs w:val="20"/>
              </w:rPr>
            </w:pPr>
            <w:r w:rsidRPr="00387E51">
              <w:rPr>
                <w:rFonts w:ascii="Arial Narrow" w:hAnsi="Arial Narrow"/>
                <w:b/>
                <w:sz w:val="20"/>
                <w:szCs w:val="20"/>
              </w:rPr>
              <w:t>Number of included publications</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32A760" w14:textId="77777777" w:rsidR="00387E51" w:rsidRPr="00387E51" w:rsidRDefault="00387E51" w:rsidP="00387E51">
            <w:pPr>
              <w:spacing w:before="100" w:beforeAutospacing="1" w:after="100" w:afterAutospacing="1"/>
              <w:jc w:val="center"/>
              <w:rPr>
                <w:rFonts w:ascii="Arial Narrow" w:eastAsia="Arial Unicode MS" w:hAnsi="Arial Narrow"/>
                <w:b/>
                <w:sz w:val="20"/>
                <w:szCs w:val="20"/>
              </w:rPr>
            </w:pPr>
            <w:r w:rsidRPr="00387E51">
              <w:rPr>
                <w:rFonts w:ascii="Arial Narrow" w:eastAsia="Arial Unicode MS" w:hAnsi="Arial Narrow"/>
                <w:b/>
                <w:sz w:val="20"/>
                <w:szCs w:val="20"/>
              </w:rPr>
              <w:t>4</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C030F" w14:textId="77777777" w:rsidR="00387E51" w:rsidRPr="00387E51" w:rsidRDefault="00387E51" w:rsidP="00387E51">
            <w:pPr>
              <w:spacing w:before="100" w:beforeAutospacing="1" w:after="100" w:afterAutospacing="1"/>
              <w:jc w:val="center"/>
              <w:rPr>
                <w:rFonts w:ascii="Arial Narrow" w:eastAsia="Arial Unicode MS" w:hAnsi="Arial Narrow"/>
                <w:b/>
                <w:sz w:val="20"/>
                <w:szCs w:val="20"/>
              </w:rPr>
            </w:pPr>
            <w:r w:rsidRPr="00387E51">
              <w:rPr>
                <w:rFonts w:ascii="Arial Narrow" w:eastAsia="Arial Unicode MS" w:hAnsi="Arial Narrow"/>
                <w:b/>
                <w:sz w:val="20"/>
                <w:szCs w:val="20"/>
              </w:rPr>
              <w:t>9</w:t>
            </w:r>
          </w:p>
        </w:tc>
        <w:tc>
          <w:tcPr>
            <w:tcW w:w="693" w:type="pct"/>
            <w:tcBorders>
              <w:left w:val="single" w:sz="4" w:space="0" w:color="auto"/>
              <w:right w:val="single" w:sz="4" w:space="0" w:color="auto"/>
            </w:tcBorders>
            <w:shd w:val="clear" w:color="auto" w:fill="D9D9D9" w:themeFill="background1" w:themeFillShade="D9"/>
            <w:vAlign w:val="center"/>
          </w:tcPr>
          <w:p w14:paraId="181E59F3" w14:textId="77777777" w:rsidR="00387E51" w:rsidRPr="00387E51" w:rsidRDefault="00387E51" w:rsidP="00387E51">
            <w:pPr>
              <w:spacing w:before="100" w:beforeAutospacing="1" w:after="100" w:afterAutospacing="1"/>
              <w:jc w:val="center"/>
              <w:rPr>
                <w:rFonts w:ascii="Arial Narrow" w:hAnsi="Arial Narrow"/>
                <w:b/>
                <w:sz w:val="20"/>
                <w:szCs w:val="20"/>
              </w:rPr>
            </w:pPr>
            <w:r w:rsidRPr="00387E51">
              <w:rPr>
                <w:rFonts w:ascii="Arial Narrow" w:hAnsi="Arial Narrow"/>
                <w:b/>
                <w:sz w:val="20"/>
                <w:szCs w:val="20"/>
              </w:rPr>
              <w:t>-</w:t>
            </w:r>
          </w:p>
        </w:tc>
      </w:tr>
    </w:tbl>
    <w:p w14:paraId="0955F40F" w14:textId="77777777" w:rsidR="00387E51" w:rsidRPr="00387E51" w:rsidRDefault="00387E51" w:rsidP="00387E51">
      <w:pPr>
        <w:spacing w:before="0" w:after="0"/>
        <w:rPr>
          <w:rFonts w:ascii="Arial Narrow" w:hAnsi="Arial Narrow"/>
          <w:sz w:val="20"/>
          <w:szCs w:val="20"/>
        </w:rPr>
      </w:pPr>
    </w:p>
    <w:p w14:paraId="418097AD" w14:textId="589DBB8B" w:rsidR="00387E51" w:rsidRPr="00855B0D" w:rsidRDefault="00994BBC" w:rsidP="00387E51">
      <w:pPr>
        <w:spacing w:before="0" w:after="0"/>
        <w:rPr>
          <w:rFonts w:ascii="Arial Narrow" w:hAnsi="Arial Narrow"/>
          <w:b/>
          <w:sz w:val="20"/>
          <w:szCs w:val="20"/>
        </w:rPr>
      </w:pPr>
      <w:r w:rsidRPr="00855B0D">
        <w:rPr>
          <w:rFonts w:ascii="Arial Narrow" w:hAnsi="Arial Narrow"/>
          <w:b/>
          <w:sz w:val="20"/>
          <w:szCs w:val="20"/>
        </w:rPr>
        <w:t>Literature search strategies used to identify surgery economic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675"/>
        <w:gridCol w:w="1283"/>
        <w:gridCol w:w="1283"/>
        <w:gridCol w:w="1281"/>
      </w:tblGrid>
      <w:tr w:rsidR="00994BBC" w:rsidRPr="00387E51" w14:paraId="21BC8A2E" w14:textId="77777777" w:rsidTr="00994BBC">
        <w:trPr>
          <w:cantSplit/>
        </w:trPr>
        <w:tc>
          <w:tcPr>
            <w:tcW w:w="390" w:type="pct"/>
            <w:tcBorders>
              <w:top w:val="single" w:sz="4" w:space="0" w:color="auto"/>
              <w:left w:val="single" w:sz="4" w:space="0" w:color="auto"/>
              <w:bottom w:val="single" w:sz="4" w:space="0" w:color="auto"/>
              <w:right w:val="nil"/>
            </w:tcBorders>
            <w:shd w:val="clear" w:color="auto" w:fill="BFBFBF" w:themeFill="background1" w:themeFillShade="BF"/>
          </w:tcPr>
          <w:p w14:paraId="690E5F89" w14:textId="77777777" w:rsidR="00994BBC" w:rsidRPr="00387E51" w:rsidRDefault="00994BBC" w:rsidP="00CF1D4D">
            <w:pPr>
              <w:pStyle w:val="Tabletext1"/>
            </w:pPr>
          </w:p>
        </w:tc>
        <w:tc>
          <w:tcPr>
            <w:tcW w:w="2529"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6773F444" w14:textId="165B91A4" w:rsidR="00994BBC" w:rsidRPr="00387E51" w:rsidRDefault="00994BBC" w:rsidP="00994BBC">
            <w:pPr>
              <w:pStyle w:val="Tabletext1"/>
              <w:jc w:val="both"/>
              <w:rPr>
                <w:rFonts w:eastAsia="Arial Unicode MS"/>
              </w:rPr>
            </w:pPr>
            <w:r w:rsidRPr="008A371F">
              <w:rPr>
                <w:b/>
              </w:rPr>
              <w:t>Search terms</w:t>
            </w:r>
          </w:p>
        </w:tc>
        <w:tc>
          <w:tcPr>
            <w:tcW w:w="6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66ECB50" w14:textId="51EF0045" w:rsidR="00994BBC" w:rsidRPr="00387E51" w:rsidRDefault="00994BBC" w:rsidP="00994BBC">
            <w:pPr>
              <w:pStyle w:val="Tabletext1"/>
              <w:jc w:val="both"/>
              <w:rPr>
                <w:rFonts w:eastAsia="Arial Unicode MS" w:cs="Arial Unicode MS"/>
              </w:rPr>
            </w:pPr>
            <w:r w:rsidRPr="008A371F">
              <w:rPr>
                <w:b/>
              </w:rPr>
              <w:t>MEDLINE Citations retrieved</w:t>
            </w:r>
          </w:p>
        </w:tc>
        <w:tc>
          <w:tcPr>
            <w:tcW w:w="6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37AAA82" w14:textId="58EA30AE" w:rsidR="00994BBC" w:rsidRPr="00387E51" w:rsidRDefault="00994BBC" w:rsidP="00994BBC">
            <w:pPr>
              <w:pStyle w:val="Tabletext1"/>
              <w:jc w:val="both"/>
              <w:rPr>
                <w:rFonts w:eastAsia="Arial Unicode MS" w:cs="Arial Unicode MS"/>
              </w:rPr>
            </w:pPr>
            <w:r w:rsidRPr="008A371F">
              <w:rPr>
                <w:b/>
              </w:rPr>
              <w:t>EMBASE Citations retrieved</w:t>
            </w:r>
          </w:p>
        </w:tc>
        <w:tc>
          <w:tcPr>
            <w:tcW w:w="693" w:type="pct"/>
            <w:tcBorders>
              <w:left w:val="single" w:sz="4" w:space="0" w:color="auto"/>
              <w:right w:val="single" w:sz="4" w:space="0" w:color="auto"/>
            </w:tcBorders>
            <w:shd w:val="clear" w:color="auto" w:fill="BFBFBF" w:themeFill="background1" w:themeFillShade="BF"/>
            <w:vAlign w:val="bottom"/>
          </w:tcPr>
          <w:p w14:paraId="53EC0D06" w14:textId="2B5A6658" w:rsidR="00994BBC" w:rsidRPr="00387E51" w:rsidRDefault="00994BBC" w:rsidP="00994BBC">
            <w:pPr>
              <w:pStyle w:val="Tabletext1"/>
              <w:jc w:val="both"/>
              <w:rPr>
                <w:lang w:eastAsia="en-US"/>
              </w:rPr>
            </w:pPr>
            <w:r w:rsidRPr="008A371F">
              <w:rPr>
                <w:b/>
              </w:rPr>
              <w:t>Global Health Citations retrieved</w:t>
            </w:r>
          </w:p>
        </w:tc>
      </w:tr>
      <w:tr w:rsidR="00387E51" w:rsidRPr="00387E51" w14:paraId="581E7B4E" w14:textId="77777777" w:rsidTr="00387E51">
        <w:trPr>
          <w:cantSplit/>
        </w:trPr>
        <w:tc>
          <w:tcPr>
            <w:tcW w:w="390" w:type="pct"/>
            <w:tcBorders>
              <w:top w:val="single" w:sz="4" w:space="0" w:color="auto"/>
              <w:left w:val="single" w:sz="4" w:space="0" w:color="auto"/>
              <w:bottom w:val="single" w:sz="4" w:space="0" w:color="auto"/>
              <w:right w:val="nil"/>
            </w:tcBorders>
          </w:tcPr>
          <w:p w14:paraId="25742AC0" w14:textId="77777777" w:rsidR="00387E51" w:rsidRPr="00387E51" w:rsidRDefault="00387E51" w:rsidP="00CF1D4D">
            <w:pPr>
              <w:pStyle w:val="Tabletext1"/>
            </w:pPr>
            <w:r w:rsidRPr="00387E51">
              <w:t>#13</w:t>
            </w:r>
          </w:p>
        </w:tc>
        <w:tc>
          <w:tcPr>
            <w:tcW w:w="2529" w:type="pct"/>
            <w:tcBorders>
              <w:top w:val="single" w:sz="4" w:space="0" w:color="auto"/>
              <w:left w:val="nil"/>
              <w:bottom w:val="single" w:sz="4" w:space="0" w:color="auto"/>
              <w:right w:val="single" w:sz="4" w:space="0" w:color="auto"/>
            </w:tcBorders>
          </w:tcPr>
          <w:p w14:paraId="7498C15E" w14:textId="77777777" w:rsidR="00387E51" w:rsidRPr="00387E51" w:rsidRDefault="00387E51" w:rsidP="00CF1D4D">
            <w:pPr>
              <w:pStyle w:val="Tabletext1"/>
              <w:rPr>
                <w:rFonts w:eastAsia="Arial Unicode MS"/>
              </w:rPr>
            </w:pPr>
            <w:proofErr w:type="gramStart"/>
            <w:r w:rsidRPr="00387E51">
              <w:rPr>
                <w:rFonts w:eastAsia="Arial Unicode MS"/>
              </w:rPr>
              <w:t>resection</w:t>
            </w:r>
            <w:proofErr w:type="gramEnd"/>
            <w:r w:rsidRPr="00387E51">
              <w:rPr>
                <w:rFonts w:eastAsia="Arial Unicode MS"/>
              </w:rPr>
              <w:t xml:space="preserve"> or surgery or lobectomy.mp. [mp=title, abstract, original title, name of substance word, subject heading word, keyword heading word, protocol supplementary concept word, rare disease supplementary concept word, unique identifier]</w:t>
            </w:r>
          </w:p>
        </w:tc>
        <w:tc>
          <w:tcPr>
            <w:tcW w:w="694" w:type="pct"/>
            <w:tcBorders>
              <w:top w:val="single" w:sz="4" w:space="0" w:color="auto"/>
              <w:left w:val="single" w:sz="4" w:space="0" w:color="auto"/>
              <w:bottom w:val="single" w:sz="4" w:space="0" w:color="auto"/>
              <w:right w:val="single" w:sz="4" w:space="0" w:color="auto"/>
            </w:tcBorders>
            <w:vAlign w:val="center"/>
          </w:tcPr>
          <w:p w14:paraId="233F2724" w14:textId="77777777" w:rsidR="00387E51" w:rsidRPr="00387E51" w:rsidRDefault="00387E51" w:rsidP="00CF1D4D">
            <w:pPr>
              <w:pStyle w:val="Tabletext1"/>
              <w:rPr>
                <w:rFonts w:eastAsia="Arial Unicode MS" w:cs="Arial Unicode MS"/>
              </w:rPr>
            </w:pPr>
            <w:r w:rsidRPr="00387E51">
              <w:rPr>
                <w:rFonts w:eastAsia="Arial Unicode MS" w:cs="Arial Unicode MS"/>
              </w:rPr>
              <w:t>1,080,303</w:t>
            </w:r>
          </w:p>
        </w:tc>
        <w:tc>
          <w:tcPr>
            <w:tcW w:w="694" w:type="pct"/>
            <w:tcBorders>
              <w:top w:val="single" w:sz="4" w:space="0" w:color="auto"/>
              <w:left w:val="single" w:sz="4" w:space="0" w:color="auto"/>
              <w:bottom w:val="single" w:sz="4" w:space="0" w:color="auto"/>
              <w:right w:val="single" w:sz="4" w:space="0" w:color="auto"/>
            </w:tcBorders>
            <w:vAlign w:val="center"/>
          </w:tcPr>
          <w:p w14:paraId="48CD4A72" w14:textId="77777777" w:rsidR="00387E51" w:rsidRPr="00387E51" w:rsidRDefault="00387E51" w:rsidP="00CF1D4D">
            <w:pPr>
              <w:pStyle w:val="Tabletext1"/>
              <w:rPr>
                <w:rFonts w:eastAsia="Arial Unicode MS" w:cs="Arial Unicode MS"/>
              </w:rPr>
            </w:pPr>
            <w:r w:rsidRPr="00387E51">
              <w:rPr>
                <w:rFonts w:eastAsia="Arial Unicode MS" w:cs="Arial Unicode MS"/>
              </w:rPr>
              <w:t>2,158,273</w:t>
            </w:r>
          </w:p>
        </w:tc>
        <w:tc>
          <w:tcPr>
            <w:tcW w:w="693" w:type="pct"/>
            <w:tcBorders>
              <w:left w:val="single" w:sz="4" w:space="0" w:color="auto"/>
              <w:right w:val="single" w:sz="4" w:space="0" w:color="auto"/>
            </w:tcBorders>
            <w:vAlign w:val="center"/>
          </w:tcPr>
          <w:p w14:paraId="06ADE45D" w14:textId="77777777" w:rsidR="00387E51" w:rsidRPr="00387E51" w:rsidRDefault="00387E51" w:rsidP="00CF1D4D">
            <w:pPr>
              <w:pStyle w:val="Tabletext1"/>
              <w:rPr>
                <w:lang w:eastAsia="en-US"/>
              </w:rPr>
            </w:pPr>
            <w:r w:rsidRPr="00387E51">
              <w:rPr>
                <w:lang w:eastAsia="en-US"/>
              </w:rPr>
              <w:t>64,336</w:t>
            </w:r>
          </w:p>
        </w:tc>
      </w:tr>
      <w:tr w:rsidR="00387E51" w:rsidRPr="00387E51" w14:paraId="57E58600" w14:textId="77777777" w:rsidTr="00E027FA">
        <w:trPr>
          <w:cantSplit/>
        </w:trPr>
        <w:tc>
          <w:tcPr>
            <w:tcW w:w="390" w:type="pct"/>
            <w:tcBorders>
              <w:top w:val="single" w:sz="4" w:space="0" w:color="auto"/>
              <w:left w:val="single" w:sz="4" w:space="0" w:color="auto"/>
              <w:bottom w:val="single" w:sz="4" w:space="0" w:color="auto"/>
              <w:right w:val="nil"/>
            </w:tcBorders>
          </w:tcPr>
          <w:p w14:paraId="246D5008" w14:textId="77777777" w:rsidR="00387E51" w:rsidRPr="00387E51" w:rsidRDefault="00387E51" w:rsidP="00CF1D4D">
            <w:pPr>
              <w:pStyle w:val="Tabletext1"/>
            </w:pPr>
            <w:r w:rsidRPr="00387E51">
              <w:t>#14</w:t>
            </w:r>
          </w:p>
        </w:tc>
        <w:tc>
          <w:tcPr>
            <w:tcW w:w="2529" w:type="pct"/>
            <w:tcBorders>
              <w:top w:val="single" w:sz="4" w:space="0" w:color="auto"/>
              <w:left w:val="nil"/>
              <w:bottom w:val="single" w:sz="4" w:space="0" w:color="auto"/>
              <w:right w:val="single" w:sz="4" w:space="0" w:color="auto"/>
            </w:tcBorders>
          </w:tcPr>
          <w:p w14:paraId="10A3FD94" w14:textId="77777777" w:rsidR="00387E51" w:rsidRPr="00387E51" w:rsidRDefault="00387E51" w:rsidP="00CF1D4D">
            <w:pPr>
              <w:pStyle w:val="Tabletext1"/>
              <w:rPr>
                <w:rFonts w:eastAsia="Arial Unicode MS" w:cs="Arial Unicode MS"/>
              </w:rPr>
            </w:pPr>
            <w:r w:rsidRPr="00387E51">
              <w:rPr>
                <w:rFonts w:eastAsia="Arial Unicode MS"/>
              </w:rPr>
              <w:t>#13 AND #4 AND #3</w:t>
            </w:r>
          </w:p>
        </w:tc>
        <w:tc>
          <w:tcPr>
            <w:tcW w:w="694" w:type="pct"/>
            <w:tcBorders>
              <w:top w:val="single" w:sz="4" w:space="0" w:color="auto"/>
              <w:left w:val="single" w:sz="4" w:space="0" w:color="auto"/>
              <w:bottom w:val="single" w:sz="4" w:space="0" w:color="auto"/>
              <w:right w:val="single" w:sz="4" w:space="0" w:color="auto"/>
            </w:tcBorders>
            <w:vAlign w:val="center"/>
          </w:tcPr>
          <w:p w14:paraId="7E43D2DB" w14:textId="77777777" w:rsidR="00387E51" w:rsidRPr="00387E51" w:rsidRDefault="00387E51" w:rsidP="00CF1D4D">
            <w:pPr>
              <w:pStyle w:val="Tabletext1"/>
              <w:rPr>
                <w:rFonts w:eastAsia="Arial Unicode MS" w:cs="Arial Unicode MS"/>
              </w:rPr>
            </w:pPr>
            <w:r w:rsidRPr="00387E51">
              <w:rPr>
                <w:rFonts w:eastAsia="Arial Unicode MS" w:cs="Arial Unicode MS"/>
              </w:rPr>
              <w:t>1384</w:t>
            </w:r>
          </w:p>
        </w:tc>
        <w:tc>
          <w:tcPr>
            <w:tcW w:w="694" w:type="pct"/>
            <w:tcBorders>
              <w:top w:val="single" w:sz="4" w:space="0" w:color="auto"/>
              <w:left w:val="single" w:sz="4" w:space="0" w:color="auto"/>
              <w:bottom w:val="single" w:sz="4" w:space="0" w:color="auto"/>
              <w:right w:val="single" w:sz="4" w:space="0" w:color="auto"/>
            </w:tcBorders>
            <w:vAlign w:val="center"/>
          </w:tcPr>
          <w:p w14:paraId="0AFD0F54" w14:textId="77777777" w:rsidR="00387E51" w:rsidRPr="00387E51" w:rsidRDefault="00387E51" w:rsidP="00CF1D4D">
            <w:pPr>
              <w:pStyle w:val="Tabletext1"/>
              <w:rPr>
                <w:rFonts w:eastAsia="Arial Unicode MS" w:cs="Arial Unicode MS"/>
              </w:rPr>
            </w:pPr>
            <w:r w:rsidRPr="00387E51">
              <w:rPr>
                <w:rFonts w:eastAsia="Arial Unicode MS" w:cs="Arial Unicode MS"/>
              </w:rPr>
              <w:t>5502</w:t>
            </w:r>
          </w:p>
        </w:tc>
        <w:tc>
          <w:tcPr>
            <w:tcW w:w="693" w:type="pct"/>
            <w:tcBorders>
              <w:left w:val="single" w:sz="4" w:space="0" w:color="auto"/>
              <w:bottom w:val="single" w:sz="4" w:space="0" w:color="auto"/>
              <w:right w:val="single" w:sz="4" w:space="0" w:color="auto"/>
            </w:tcBorders>
            <w:vAlign w:val="center"/>
          </w:tcPr>
          <w:p w14:paraId="2941AF0E" w14:textId="77777777" w:rsidR="00387E51" w:rsidRPr="00387E51" w:rsidRDefault="00387E51" w:rsidP="00CF1D4D">
            <w:pPr>
              <w:pStyle w:val="Tabletext1"/>
              <w:rPr>
                <w:lang w:eastAsia="en-US"/>
              </w:rPr>
            </w:pPr>
            <w:r w:rsidRPr="00387E51">
              <w:rPr>
                <w:lang w:eastAsia="en-US"/>
              </w:rPr>
              <w:t>100</w:t>
            </w:r>
          </w:p>
        </w:tc>
      </w:tr>
      <w:tr w:rsidR="00E027FA" w:rsidRPr="00387E51" w14:paraId="50CC156F" w14:textId="77777777" w:rsidTr="00E027FA">
        <w:trPr>
          <w:cantSplit/>
        </w:trPr>
        <w:tc>
          <w:tcPr>
            <w:tcW w:w="390" w:type="pct"/>
            <w:tcBorders>
              <w:top w:val="single" w:sz="4" w:space="0" w:color="auto"/>
              <w:left w:val="single" w:sz="4" w:space="0" w:color="auto"/>
              <w:bottom w:val="single" w:sz="4" w:space="0" w:color="auto"/>
              <w:right w:val="nil"/>
            </w:tcBorders>
          </w:tcPr>
          <w:p w14:paraId="7FD48329" w14:textId="77777777" w:rsidR="00E027FA" w:rsidRPr="00387E51" w:rsidRDefault="00E027FA" w:rsidP="00CF1D4D">
            <w:pPr>
              <w:pStyle w:val="Tabletext1"/>
            </w:pPr>
          </w:p>
        </w:tc>
        <w:tc>
          <w:tcPr>
            <w:tcW w:w="2529" w:type="pct"/>
            <w:tcBorders>
              <w:top w:val="single" w:sz="4" w:space="0" w:color="auto"/>
              <w:left w:val="nil"/>
              <w:bottom w:val="single" w:sz="4" w:space="0" w:color="auto"/>
              <w:right w:val="single" w:sz="4" w:space="0" w:color="auto"/>
            </w:tcBorders>
          </w:tcPr>
          <w:p w14:paraId="16B8B774" w14:textId="13EC3162" w:rsidR="00E027FA" w:rsidRPr="00387E51" w:rsidRDefault="00E027FA" w:rsidP="00CF1D4D">
            <w:pPr>
              <w:pStyle w:val="Tabletext1"/>
              <w:rPr>
                <w:rFonts w:eastAsia="Arial Unicode MS"/>
              </w:rPr>
            </w:pPr>
            <w:r w:rsidRPr="00387E51">
              <w:t>Studies identified via checking references</w:t>
            </w:r>
          </w:p>
        </w:tc>
        <w:tc>
          <w:tcPr>
            <w:tcW w:w="694" w:type="pct"/>
            <w:tcBorders>
              <w:top w:val="single" w:sz="4" w:space="0" w:color="auto"/>
              <w:left w:val="single" w:sz="4" w:space="0" w:color="auto"/>
              <w:bottom w:val="single" w:sz="4" w:space="0" w:color="auto"/>
              <w:right w:val="nil"/>
            </w:tcBorders>
            <w:vAlign w:val="center"/>
          </w:tcPr>
          <w:p w14:paraId="4762A4D9" w14:textId="77777777" w:rsidR="00E027FA" w:rsidRPr="00387E51" w:rsidRDefault="00E027FA" w:rsidP="00CF1D4D">
            <w:pPr>
              <w:pStyle w:val="Tabletext1"/>
              <w:rPr>
                <w:rFonts w:eastAsia="Arial Unicode MS" w:cs="Arial Unicode MS"/>
              </w:rPr>
            </w:pPr>
          </w:p>
        </w:tc>
        <w:tc>
          <w:tcPr>
            <w:tcW w:w="694" w:type="pct"/>
            <w:tcBorders>
              <w:top w:val="single" w:sz="4" w:space="0" w:color="auto"/>
              <w:left w:val="nil"/>
              <w:bottom w:val="single" w:sz="4" w:space="0" w:color="auto"/>
              <w:right w:val="nil"/>
            </w:tcBorders>
            <w:vAlign w:val="center"/>
          </w:tcPr>
          <w:p w14:paraId="2E5AEC27" w14:textId="672F2D9A" w:rsidR="00E027FA" w:rsidRPr="00387E51" w:rsidRDefault="00E027FA" w:rsidP="00CF1D4D">
            <w:pPr>
              <w:pStyle w:val="Tabletext1"/>
              <w:rPr>
                <w:rFonts w:eastAsia="Arial Unicode MS" w:cs="Arial Unicode MS"/>
              </w:rPr>
            </w:pPr>
            <w:r>
              <w:rPr>
                <w:rFonts w:eastAsia="Arial Unicode MS" w:cs="Arial Unicode MS"/>
              </w:rPr>
              <w:t>-</w:t>
            </w:r>
          </w:p>
        </w:tc>
        <w:tc>
          <w:tcPr>
            <w:tcW w:w="693" w:type="pct"/>
            <w:tcBorders>
              <w:left w:val="nil"/>
              <w:right w:val="single" w:sz="4" w:space="0" w:color="auto"/>
            </w:tcBorders>
            <w:vAlign w:val="center"/>
          </w:tcPr>
          <w:p w14:paraId="71226D68" w14:textId="77777777" w:rsidR="00E027FA" w:rsidRPr="00387E51" w:rsidRDefault="00E027FA" w:rsidP="00CF1D4D">
            <w:pPr>
              <w:pStyle w:val="Tabletext1"/>
              <w:rPr>
                <w:lang w:eastAsia="en-US"/>
              </w:rPr>
            </w:pPr>
          </w:p>
        </w:tc>
      </w:tr>
      <w:tr w:rsidR="00387E51" w:rsidRPr="00387E51" w14:paraId="3925DC46" w14:textId="77777777" w:rsidTr="00387E51">
        <w:trPr>
          <w:cantSplit/>
        </w:trPr>
        <w:tc>
          <w:tcPr>
            <w:tcW w:w="2919" w:type="pct"/>
            <w:gridSpan w:val="2"/>
            <w:tcBorders>
              <w:top w:val="single" w:sz="4" w:space="0" w:color="auto"/>
              <w:left w:val="single" w:sz="4" w:space="0" w:color="auto"/>
              <w:bottom w:val="single" w:sz="4" w:space="0" w:color="auto"/>
              <w:right w:val="single" w:sz="4" w:space="0" w:color="auto"/>
            </w:tcBorders>
          </w:tcPr>
          <w:p w14:paraId="2E59D78E" w14:textId="77777777" w:rsidR="00387E51" w:rsidRPr="00387E51" w:rsidRDefault="00387E51" w:rsidP="00CF1D4D">
            <w:pPr>
              <w:pStyle w:val="Tabletext1"/>
              <w:rPr>
                <w:rFonts w:eastAsia="Arial Unicode MS"/>
              </w:rPr>
            </w:pPr>
            <w:r w:rsidRPr="00387E51">
              <w:t>Inappropriate study type: the article did not report the structure or results or didn’t consider MTA, RFA or Radiotherapy in an economic evaluation</w:t>
            </w:r>
          </w:p>
        </w:tc>
        <w:tc>
          <w:tcPr>
            <w:tcW w:w="694" w:type="pct"/>
            <w:tcBorders>
              <w:top w:val="single" w:sz="4" w:space="0" w:color="auto"/>
              <w:left w:val="single" w:sz="4" w:space="0" w:color="auto"/>
              <w:bottom w:val="single" w:sz="4" w:space="0" w:color="auto"/>
              <w:right w:val="single" w:sz="4" w:space="0" w:color="auto"/>
            </w:tcBorders>
            <w:vAlign w:val="center"/>
          </w:tcPr>
          <w:p w14:paraId="47AF4052" w14:textId="77777777" w:rsidR="00387E51" w:rsidRPr="00387E51" w:rsidRDefault="00387E51" w:rsidP="00CF1D4D">
            <w:pPr>
              <w:pStyle w:val="Tabletext1"/>
              <w:rPr>
                <w:rFonts w:eastAsia="Arial Unicode MS"/>
              </w:rPr>
            </w:pPr>
            <w:r w:rsidRPr="00387E51">
              <w:rPr>
                <w:rFonts w:eastAsia="Arial Unicode MS"/>
              </w:rPr>
              <w:t>1382</w:t>
            </w:r>
          </w:p>
        </w:tc>
        <w:tc>
          <w:tcPr>
            <w:tcW w:w="694" w:type="pct"/>
            <w:tcBorders>
              <w:top w:val="single" w:sz="4" w:space="0" w:color="auto"/>
              <w:left w:val="single" w:sz="4" w:space="0" w:color="auto"/>
              <w:bottom w:val="single" w:sz="4" w:space="0" w:color="auto"/>
              <w:right w:val="single" w:sz="4" w:space="0" w:color="auto"/>
            </w:tcBorders>
            <w:vAlign w:val="center"/>
          </w:tcPr>
          <w:p w14:paraId="29436C8C" w14:textId="77777777" w:rsidR="00387E51" w:rsidRPr="00387E51" w:rsidRDefault="00387E51" w:rsidP="00CF1D4D">
            <w:pPr>
              <w:pStyle w:val="Tabletext1"/>
              <w:rPr>
                <w:rFonts w:eastAsia="Arial Unicode MS"/>
              </w:rPr>
            </w:pPr>
          </w:p>
        </w:tc>
        <w:tc>
          <w:tcPr>
            <w:tcW w:w="693" w:type="pct"/>
            <w:tcBorders>
              <w:left w:val="single" w:sz="4" w:space="0" w:color="auto"/>
              <w:right w:val="single" w:sz="4" w:space="0" w:color="auto"/>
            </w:tcBorders>
            <w:vAlign w:val="center"/>
          </w:tcPr>
          <w:p w14:paraId="1AA7F9C6" w14:textId="77777777" w:rsidR="00387E51" w:rsidRPr="00387E51" w:rsidRDefault="00387E51" w:rsidP="00CF1D4D">
            <w:pPr>
              <w:pStyle w:val="Tabletext1"/>
            </w:pPr>
          </w:p>
        </w:tc>
      </w:tr>
      <w:tr w:rsidR="00387E51" w:rsidRPr="00387E51" w14:paraId="628C3E3E" w14:textId="77777777" w:rsidTr="00CF1D4D">
        <w:trPr>
          <w:cantSplit/>
          <w:trHeight w:val="77"/>
        </w:trPr>
        <w:tc>
          <w:tcPr>
            <w:tcW w:w="29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803DDF" w14:textId="77777777" w:rsidR="00387E51" w:rsidRPr="00387E51" w:rsidRDefault="00387E51" w:rsidP="00CF1D4D">
            <w:pPr>
              <w:pStyle w:val="Tabletext1"/>
              <w:rPr>
                <w:b/>
              </w:rPr>
            </w:pPr>
            <w:r w:rsidRPr="00387E51">
              <w:rPr>
                <w:b/>
              </w:rPr>
              <w:t>Number of included publications</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D2890C" w14:textId="77777777" w:rsidR="00387E51" w:rsidRPr="00387E51" w:rsidRDefault="00387E51" w:rsidP="00CF1D4D">
            <w:pPr>
              <w:pStyle w:val="Tabletext1"/>
              <w:rPr>
                <w:rFonts w:eastAsia="Arial Unicode MS"/>
                <w:b/>
              </w:rPr>
            </w:pPr>
            <w:r w:rsidRPr="00387E51">
              <w:rPr>
                <w:rFonts w:eastAsia="Arial Unicode MS"/>
                <w:b/>
              </w:rPr>
              <w:t>2</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E08712" w14:textId="77777777" w:rsidR="00387E51" w:rsidRPr="00387E51" w:rsidRDefault="00387E51" w:rsidP="00CF1D4D">
            <w:pPr>
              <w:pStyle w:val="Tabletext1"/>
              <w:rPr>
                <w:rFonts w:eastAsia="Arial Unicode MS"/>
                <w:b/>
              </w:rPr>
            </w:pPr>
            <w:r w:rsidRPr="00387E51">
              <w:rPr>
                <w:rFonts w:eastAsia="Arial Unicode MS"/>
                <w:b/>
              </w:rPr>
              <w:t>8</w:t>
            </w:r>
          </w:p>
        </w:tc>
        <w:tc>
          <w:tcPr>
            <w:tcW w:w="693" w:type="pct"/>
            <w:tcBorders>
              <w:left w:val="single" w:sz="4" w:space="0" w:color="auto"/>
              <w:right w:val="single" w:sz="4" w:space="0" w:color="auto"/>
            </w:tcBorders>
            <w:shd w:val="clear" w:color="auto" w:fill="D9D9D9" w:themeFill="background1" w:themeFillShade="D9"/>
            <w:vAlign w:val="center"/>
          </w:tcPr>
          <w:p w14:paraId="39AAA517" w14:textId="77777777" w:rsidR="00387E51" w:rsidRPr="00387E51" w:rsidRDefault="00387E51" w:rsidP="00CF1D4D">
            <w:pPr>
              <w:pStyle w:val="Tabletext1"/>
              <w:rPr>
                <w:b/>
              </w:rPr>
            </w:pPr>
            <w:r w:rsidRPr="00387E51">
              <w:rPr>
                <w:b/>
              </w:rPr>
              <w:t>-</w:t>
            </w:r>
          </w:p>
        </w:tc>
      </w:tr>
    </w:tbl>
    <w:p w14:paraId="393CB707" w14:textId="77777777" w:rsidR="00387E51" w:rsidRPr="00387E51" w:rsidRDefault="00387E51" w:rsidP="00387E51">
      <w:pPr>
        <w:spacing w:before="0" w:after="0"/>
        <w:rPr>
          <w:rFonts w:ascii="Arial Narrow" w:hAnsi="Arial Narrow"/>
          <w:sz w:val="20"/>
          <w:szCs w:val="20"/>
        </w:rPr>
      </w:pPr>
    </w:p>
    <w:p w14:paraId="69464D99" w14:textId="77777777" w:rsidR="00387E51" w:rsidRPr="00387E51" w:rsidRDefault="00387E51" w:rsidP="00387E51">
      <w:proofErr w:type="gramStart"/>
      <w:r w:rsidRPr="00387E51">
        <w:t>Between 2-8</w:t>
      </w:r>
      <w:proofErr w:type="gramEnd"/>
      <w:r w:rsidRPr="00387E51">
        <w:t xml:space="preserve"> studies were found on each database relating to RFA, radiotherapy or surgery. Many were duplicates, particularly for EMBASE and MEDLINE, or were economic analyses comparing the listed interventions. Eleven key studies are summarised in the main text of the report.</w:t>
      </w:r>
    </w:p>
    <w:p w14:paraId="491BE06A" w14:textId="77777777" w:rsidR="00387E51" w:rsidRPr="00F93B0C" w:rsidRDefault="00387E51" w:rsidP="00E825D4">
      <w:pPr>
        <w:sectPr w:rsidR="00387E51" w:rsidRPr="00F93B0C" w:rsidSect="0024526E">
          <w:footerReference w:type="even" r:id="rId52"/>
          <w:type w:val="oddPage"/>
          <w:pgSz w:w="11906" w:h="16838"/>
          <w:pgMar w:top="1440" w:right="1440" w:bottom="1440" w:left="1440" w:header="720" w:footer="720" w:gutter="0"/>
          <w:paperSrc w:first="7" w:other="7"/>
          <w:cols w:space="720"/>
        </w:sectPr>
      </w:pPr>
    </w:p>
    <w:p w14:paraId="4D7D29AF" w14:textId="131FD4C0" w:rsidR="007A7960" w:rsidRPr="00183E4D" w:rsidRDefault="00193B87" w:rsidP="00DF343F">
      <w:pPr>
        <w:pStyle w:val="Heading1"/>
      </w:pPr>
      <w:bookmarkStart w:id="504" w:name="_Ref364237249"/>
      <w:bookmarkStart w:id="505" w:name="_Ref190841600"/>
      <w:bookmarkStart w:id="506" w:name="_Toc379118101"/>
      <w:bookmarkStart w:id="507" w:name="_Toc381796504"/>
      <w:bookmarkStart w:id="508" w:name="_Toc460396109"/>
      <w:bookmarkEnd w:id="501"/>
      <w:r w:rsidRPr="00183E4D">
        <w:lastRenderedPageBreak/>
        <w:t xml:space="preserve">Appendix </w:t>
      </w:r>
      <w:fldSimple w:instr=" SEQ Appendix \* ALPHABETIC ">
        <w:r w:rsidR="00D170A5">
          <w:rPr>
            <w:noProof/>
          </w:rPr>
          <w:t>C</w:t>
        </w:r>
      </w:fldSimple>
      <w:bookmarkEnd w:id="504"/>
      <w:r w:rsidR="008F59A8" w:rsidRPr="00183E4D">
        <w:tab/>
        <w:t>S</w:t>
      </w:r>
      <w:r w:rsidR="00591A6D" w:rsidRPr="00183E4D">
        <w:t xml:space="preserve">tudies </w:t>
      </w:r>
      <w:r w:rsidR="00D42D0C">
        <w:t>I</w:t>
      </w:r>
      <w:r w:rsidR="00591A6D" w:rsidRPr="00183E4D">
        <w:t>ncluded in the Systematic R</w:t>
      </w:r>
      <w:r w:rsidR="008F59A8" w:rsidRPr="00183E4D">
        <w:t>eview</w:t>
      </w:r>
      <w:bookmarkEnd w:id="502"/>
      <w:bookmarkEnd w:id="503"/>
      <w:bookmarkEnd w:id="505"/>
      <w:bookmarkEnd w:id="506"/>
      <w:bookmarkEnd w:id="507"/>
      <w:bookmarkEnd w:id="508"/>
      <w:r w:rsidR="008F59A8" w:rsidRPr="00183E4D">
        <w:t xml:space="preserve"> </w:t>
      </w:r>
    </w:p>
    <w:p w14:paraId="55B4FCFC" w14:textId="77777777" w:rsidR="00FF46E2" w:rsidRDefault="00FF46E2" w:rsidP="00FF46E2">
      <w:pPr>
        <w:pStyle w:val="Caption"/>
      </w:pPr>
      <w:bookmarkStart w:id="509" w:name="_Toc460514748"/>
      <w:r>
        <w:t xml:space="preserve">Table </w:t>
      </w:r>
      <w:fldSimple w:instr=" SEQ Table \* ARABIC ">
        <w:r w:rsidR="00D170A5">
          <w:rPr>
            <w:noProof/>
          </w:rPr>
          <w:t>90</w:t>
        </w:r>
      </w:fldSimple>
      <w:r>
        <w:tab/>
      </w:r>
      <w:bookmarkStart w:id="510" w:name="_Toc381796505"/>
      <w:r w:rsidRPr="00183E4D">
        <w:t>Profiles of studies on</w:t>
      </w:r>
      <w:bookmarkEnd w:id="510"/>
      <w:r w:rsidRPr="00183E4D">
        <w:t xml:space="preserve"> </w:t>
      </w:r>
      <w:r>
        <w:t xml:space="preserve">MTA </w:t>
      </w:r>
      <w:r w:rsidRPr="00183E4D">
        <w:t>included in the systematic literature review</w:t>
      </w:r>
      <w:bookmarkEnd w:id="509"/>
    </w:p>
    <w:tbl>
      <w:tblPr>
        <w:tblW w:w="5000" w:type="pct"/>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735"/>
        <w:gridCol w:w="470"/>
        <w:gridCol w:w="1796"/>
        <w:gridCol w:w="4584"/>
        <w:gridCol w:w="2171"/>
        <w:gridCol w:w="4596"/>
      </w:tblGrid>
      <w:tr w:rsidR="00292821" w:rsidRPr="00095CDF" w14:paraId="36D40F51" w14:textId="77777777" w:rsidTr="008605F3">
        <w:trPr>
          <w:cantSplit/>
          <w:trHeight w:val="1102"/>
          <w:tblHeader/>
        </w:trPr>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B5A244B" w14:textId="77777777" w:rsidR="00292821" w:rsidRPr="00095CDF" w:rsidRDefault="00292821" w:rsidP="00861F4D">
            <w:pPr>
              <w:pStyle w:val="TableHeading"/>
              <w:spacing w:line="288" w:lineRule="auto"/>
              <w:jc w:val="left"/>
            </w:pPr>
            <w:r w:rsidRPr="00095CDF">
              <w:t>Authors</w:t>
            </w:r>
          </w:p>
          <w:p w14:paraId="6C2F156E" w14:textId="77777777" w:rsidR="00292821" w:rsidRDefault="00292821" w:rsidP="00861F4D">
            <w:pPr>
              <w:pStyle w:val="TableHeading"/>
              <w:spacing w:line="288" w:lineRule="auto"/>
              <w:jc w:val="left"/>
            </w:pPr>
            <w:r>
              <w:t>(</w:t>
            </w:r>
            <w:r w:rsidRPr="00095CDF">
              <w:t>Publication Year</w:t>
            </w:r>
            <w:r>
              <w:t>)</w:t>
            </w:r>
          </w:p>
          <w:p w14:paraId="6556020A" w14:textId="77777777" w:rsidR="00292821" w:rsidRPr="00095CDF" w:rsidRDefault="00292821" w:rsidP="00861F4D">
            <w:pPr>
              <w:pStyle w:val="TableHeading"/>
              <w:spacing w:line="288" w:lineRule="auto"/>
              <w:jc w:val="left"/>
            </w:pPr>
            <w:r>
              <w:t>Location</w:t>
            </w:r>
          </w:p>
        </w:tc>
        <w:tc>
          <w:tcPr>
            <w:tcW w:w="73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9914D2" w14:textId="77777777" w:rsidR="00292821" w:rsidRDefault="00292821" w:rsidP="00861F4D">
            <w:pPr>
              <w:pStyle w:val="TableHeading"/>
              <w:spacing w:line="288" w:lineRule="auto"/>
              <w:jc w:val="left"/>
            </w:pPr>
            <w:r>
              <w:t>Study design,</w:t>
            </w:r>
          </w:p>
          <w:p w14:paraId="1EC0984E" w14:textId="77777777" w:rsidR="00292821" w:rsidRDefault="00292821" w:rsidP="00861F4D">
            <w:pPr>
              <w:pStyle w:val="TableHeading"/>
              <w:spacing w:line="288" w:lineRule="auto"/>
              <w:jc w:val="left"/>
            </w:pPr>
            <w:r w:rsidRPr="00F22662">
              <w:t>Level of evidence</w:t>
            </w:r>
            <w:r w:rsidRPr="00F22662">
              <w:rPr>
                <w:vertAlign w:val="superscript"/>
              </w:rPr>
              <w:t>a</w:t>
            </w:r>
            <w:r>
              <w:t>,</w:t>
            </w:r>
            <w:r w:rsidRPr="00F22662">
              <w:t xml:space="preserve"> and risk of bias assessment</w:t>
            </w:r>
            <w:r w:rsidRPr="00F22662">
              <w:rPr>
                <w:vertAlign w:val="superscript"/>
              </w:rPr>
              <w:t>b</w:t>
            </w:r>
          </w:p>
          <w:p w14:paraId="5D9F9DE8" w14:textId="77777777" w:rsidR="00292821" w:rsidRPr="00095CDF" w:rsidRDefault="00292821" w:rsidP="00861F4D">
            <w:pPr>
              <w:pStyle w:val="TableHeading"/>
              <w:spacing w:line="288" w:lineRule="auto"/>
              <w:jc w:val="left"/>
            </w:pPr>
            <w:r>
              <w:t>Follow-up</w:t>
            </w:r>
            <w:r>
              <w:rPr>
                <w:vertAlign w:val="superscript"/>
              </w:rPr>
              <w:t>c</w:t>
            </w:r>
          </w:p>
        </w:tc>
        <w:tc>
          <w:tcPr>
            <w:tcW w:w="1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79C89D" w14:textId="77777777" w:rsidR="00292821" w:rsidRDefault="00292821" w:rsidP="00861F4D">
            <w:pPr>
              <w:pStyle w:val="TableHeading"/>
              <w:spacing w:line="288" w:lineRule="auto"/>
              <w:jc w:val="left"/>
            </w:pPr>
            <w:r w:rsidRPr="00095CDF">
              <w:t>Study population characteristics</w:t>
            </w:r>
            <w:r>
              <w:t>,</w:t>
            </w:r>
          </w:p>
          <w:p w14:paraId="0E120821" w14:textId="77777777" w:rsidR="00292821" w:rsidRDefault="00292821" w:rsidP="00861F4D">
            <w:pPr>
              <w:pStyle w:val="TableHeading"/>
              <w:spacing w:line="288" w:lineRule="auto"/>
              <w:jc w:val="left"/>
            </w:pPr>
            <w:r>
              <w:t xml:space="preserve">N (lesions), tumour size, </w:t>
            </w:r>
          </w:p>
          <w:p w14:paraId="64CE8C57" w14:textId="77777777" w:rsidR="00292821" w:rsidRDefault="00292821" w:rsidP="00861F4D">
            <w:pPr>
              <w:pStyle w:val="TableHeading"/>
              <w:spacing w:line="288" w:lineRule="auto"/>
              <w:jc w:val="left"/>
            </w:pPr>
            <w:r>
              <w:t xml:space="preserve">male/female ratio, age, </w:t>
            </w:r>
          </w:p>
          <w:p w14:paraId="62EAC1D7" w14:textId="77777777" w:rsidR="00292821" w:rsidRPr="00CC66BD" w:rsidRDefault="00292821" w:rsidP="00861F4D">
            <w:pPr>
              <w:pStyle w:val="TableHeading"/>
              <w:spacing w:line="288" w:lineRule="auto"/>
              <w:jc w:val="left"/>
            </w:pPr>
            <w:r>
              <w:t>comorbidities/performance status/prior therapies</w:t>
            </w:r>
          </w:p>
        </w:tc>
        <w:tc>
          <w:tcPr>
            <w:tcW w:w="7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1B45F2" w14:textId="77777777" w:rsidR="00292821" w:rsidRPr="00095CDF" w:rsidRDefault="00292821" w:rsidP="00861F4D">
            <w:pPr>
              <w:pStyle w:val="TableHeading"/>
              <w:spacing w:line="288" w:lineRule="auto"/>
              <w:ind w:left="34"/>
              <w:jc w:val="left"/>
            </w:pPr>
            <w:r w:rsidRPr="00095CDF">
              <w:t>Description of Intervention</w:t>
            </w:r>
            <w:r>
              <w:t xml:space="preserve"> and comparator</w:t>
            </w:r>
          </w:p>
        </w:tc>
        <w:tc>
          <w:tcPr>
            <w:tcW w:w="1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5743E2" w14:textId="77777777" w:rsidR="00292821" w:rsidRPr="00095CDF" w:rsidRDefault="00292821" w:rsidP="00861F4D">
            <w:pPr>
              <w:pStyle w:val="TableHeading"/>
              <w:spacing w:line="288" w:lineRule="auto"/>
              <w:ind w:left="34"/>
              <w:jc w:val="left"/>
            </w:pPr>
            <w:r>
              <w:t>Relevant outcomes: measurement and methods of analysis</w:t>
            </w:r>
          </w:p>
        </w:tc>
      </w:tr>
      <w:tr w:rsidR="00292821" w:rsidRPr="00095CDF" w14:paraId="2C5EE374" w14:textId="77777777" w:rsidTr="008605F3">
        <w:trPr>
          <w:cantSplit/>
          <w:trHeight w:val="407"/>
        </w:trPr>
        <w:tc>
          <w:tcPr>
            <w:tcW w:w="718" w:type="pct"/>
            <w:gridSpan w:val="2"/>
            <w:tcBorders>
              <w:top w:val="single" w:sz="4" w:space="0" w:color="auto"/>
              <w:left w:val="single" w:sz="4" w:space="0" w:color="auto"/>
              <w:bottom w:val="single" w:sz="4" w:space="0" w:color="auto"/>
            </w:tcBorders>
            <w:shd w:val="clear" w:color="auto" w:fill="D9D9D9" w:themeFill="background1" w:themeFillShade="D9"/>
          </w:tcPr>
          <w:p w14:paraId="005C6495" w14:textId="77777777" w:rsidR="00292821" w:rsidRPr="00095CDF" w:rsidRDefault="00292821" w:rsidP="00861F4D">
            <w:pPr>
              <w:pStyle w:val="TableHeading"/>
              <w:spacing w:line="288" w:lineRule="auto"/>
            </w:pPr>
            <w:r>
              <w:t>POPULATION 1</w:t>
            </w:r>
          </w:p>
        </w:tc>
        <w:tc>
          <w:tcPr>
            <w:tcW w:w="585" w:type="pct"/>
            <w:tcBorders>
              <w:top w:val="single" w:sz="4" w:space="0" w:color="auto"/>
              <w:bottom w:val="single" w:sz="4" w:space="0" w:color="auto"/>
            </w:tcBorders>
            <w:shd w:val="clear" w:color="auto" w:fill="D9D9D9" w:themeFill="background1" w:themeFillShade="D9"/>
          </w:tcPr>
          <w:p w14:paraId="738B468C" w14:textId="77777777" w:rsidR="00292821" w:rsidRDefault="00292821" w:rsidP="00861F4D">
            <w:pPr>
              <w:pStyle w:val="TableHeading"/>
              <w:spacing w:line="288" w:lineRule="auto"/>
            </w:pPr>
          </w:p>
        </w:tc>
        <w:tc>
          <w:tcPr>
            <w:tcW w:w="1493" w:type="pct"/>
            <w:tcBorders>
              <w:top w:val="single" w:sz="4" w:space="0" w:color="auto"/>
              <w:bottom w:val="single" w:sz="4" w:space="0" w:color="auto"/>
            </w:tcBorders>
            <w:shd w:val="clear" w:color="auto" w:fill="D9D9D9" w:themeFill="background1" w:themeFillShade="D9"/>
          </w:tcPr>
          <w:p w14:paraId="411E5F53" w14:textId="77777777" w:rsidR="00292821" w:rsidRPr="00095CDF" w:rsidRDefault="00292821" w:rsidP="00861F4D">
            <w:pPr>
              <w:pStyle w:val="TableHeading"/>
              <w:spacing w:line="288" w:lineRule="auto"/>
            </w:pPr>
          </w:p>
        </w:tc>
        <w:tc>
          <w:tcPr>
            <w:tcW w:w="707" w:type="pct"/>
            <w:tcBorders>
              <w:top w:val="single" w:sz="4" w:space="0" w:color="auto"/>
              <w:bottom w:val="single" w:sz="4" w:space="0" w:color="auto"/>
            </w:tcBorders>
            <w:shd w:val="clear" w:color="auto" w:fill="D9D9D9" w:themeFill="background1" w:themeFillShade="D9"/>
          </w:tcPr>
          <w:p w14:paraId="453BBBC2" w14:textId="77777777" w:rsidR="00292821" w:rsidRPr="00095CDF" w:rsidRDefault="00292821" w:rsidP="00861F4D">
            <w:pPr>
              <w:pStyle w:val="TableHeading"/>
              <w:spacing w:line="288" w:lineRule="auto"/>
              <w:ind w:left="34"/>
            </w:pPr>
          </w:p>
        </w:tc>
        <w:tc>
          <w:tcPr>
            <w:tcW w:w="1497" w:type="pct"/>
            <w:tcBorders>
              <w:top w:val="single" w:sz="4" w:space="0" w:color="auto"/>
              <w:bottom w:val="single" w:sz="4" w:space="0" w:color="auto"/>
              <w:right w:val="single" w:sz="4" w:space="0" w:color="auto"/>
            </w:tcBorders>
            <w:shd w:val="clear" w:color="auto" w:fill="D9D9D9" w:themeFill="background1" w:themeFillShade="D9"/>
          </w:tcPr>
          <w:p w14:paraId="1F9EDBB1" w14:textId="77777777" w:rsidR="00292821" w:rsidRPr="00095CDF" w:rsidRDefault="00292821" w:rsidP="00861F4D">
            <w:pPr>
              <w:pStyle w:val="TableHeading"/>
              <w:spacing w:line="288" w:lineRule="auto"/>
              <w:ind w:left="34"/>
            </w:pPr>
          </w:p>
        </w:tc>
      </w:tr>
      <w:tr w:rsidR="00292821" w:rsidRPr="00095CDF" w14:paraId="1F9C4157" w14:textId="77777777" w:rsidTr="008605F3">
        <w:trPr>
          <w:cantSplit/>
          <w:trHeight w:val="300"/>
        </w:trPr>
        <w:tc>
          <w:tcPr>
            <w:tcW w:w="565" w:type="pct"/>
            <w:tcBorders>
              <w:top w:val="single" w:sz="4" w:space="0" w:color="auto"/>
              <w:left w:val="single" w:sz="4" w:space="0" w:color="auto"/>
              <w:bottom w:val="single" w:sz="4" w:space="0" w:color="auto"/>
              <w:right w:val="single" w:sz="4" w:space="0" w:color="auto"/>
            </w:tcBorders>
          </w:tcPr>
          <w:p w14:paraId="4F489DED" w14:textId="77777777" w:rsidR="00292821" w:rsidRDefault="00292821" w:rsidP="00861F4D">
            <w:pPr>
              <w:spacing w:before="40" w:after="40" w:line="288" w:lineRule="auto"/>
              <w:rPr>
                <w:rFonts w:ascii="Arial Narrow" w:hAnsi="Arial Narrow"/>
                <w:sz w:val="20"/>
                <w:szCs w:val="20"/>
              </w:rPr>
            </w:pPr>
            <w:r w:rsidRPr="00095CDF">
              <w:rPr>
                <w:rFonts w:ascii="Arial Narrow" w:hAnsi="Arial Narrow"/>
                <w:sz w:val="20"/>
                <w:szCs w:val="20"/>
              </w:rPr>
              <w:t>Han et al (2015)</w:t>
            </w:r>
          </w:p>
          <w:p w14:paraId="2FDF5D33" w14:textId="77777777" w:rsidR="00292821" w:rsidRDefault="00292821" w:rsidP="00861F4D">
            <w:pPr>
              <w:pStyle w:val="Tabletext1"/>
              <w:spacing w:before="40" w:after="40" w:line="288" w:lineRule="auto"/>
            </w:pPr>
            <w:r>
              <w:t>China</w:t>
            </w:r>
          </w:p>
          <w:p w14:paraId="270727AC" w14:textId="77777777" w:rsidR="00292821" w:rsidRPr="00095CDF" w:rsidRDefault="00292821" w:rsidP="00861F4D">
            <w:pPr>
              <w:spacing w:before="40" w:after="40" w:line="288" w:lineRule="auto"/>
              <w:rPr>
                <w:rFonts w:ascii="Arial Narrow" w:hAnsi="Arial Narrow"/>
                <w:sz w:val="20"/>
                <w:szCs w:val="20"/>
              </w:rPr>
            </w:pPr>
          </w:p>
        </w:tc>
        <w:tc>
          <w:tcPr>
            <w:tcW w:w="738" w:type="pct"/>
            <w:gridSpan w:val="2"/>
            <w:tcBorders>
              <w:top w:val="single" w:sz="4" w:space="0" w:color="auto"/>
              <w:left w:val="single" w:sz="4" w:space="0" w:color="auto"/>
              <w:bottom w:val="single" w:sz="4" w:space="0" w:color="auto"/>
              <w:right w:val="single" w:sz="4" w:space="0" w:color="auto"/>
            </w:tcBorders>
          </w:tcPr>
          <w:p w14:paraId="5889C986" w14:textId="77777777" w:rsidR="00D7170F" w:rsidRPr="00D7170F" w:rsidRDefault="00292821" w:rsidP="00861F4D">
            <w:pPr>
              <w:spacing w:before="40" w:after="40" w:line="288" w:lineRule="auto"/>
              <w:rPr>
                <w:rFonts w:ascii="Arial Narrow" w:hAnsi="Arial Narrow"/>
                <w:sz w:val="20"/>
                <w:szCs w:val="20"/>
              </w:rPr>
            </w:pPr>
            <w:r w:rsidRPr="00D7170F">
              <w:rPr>
                <w:rFonts w:ascii="Arial Narrow" w:hAnsi="Arial Narrow"/>
                <w:sz w:val="20"/>
                <w:szCs w:val="20"/>
              </w:rPr>
              <w:t>CS (enrolment NR)</w:t>
            </w:r>
          </w:p>
          <w:p w14:paraId="390503EE" w14:textId="77777777" w:rsidR="00D7170F" w:rsidRPr="00D7170F" w:rsidRDefault="00242EBD" w:rsidP="00861F4D">
            <w:pPr>
              <w:spacing w:before="40" w:after="40" w:line="288" w:lineRule="auto"/>
              <w:rPr>
                <w:rFonts w:ascii="Arial Narrow" w:hAnsi="Arial Narrow"/>
                <w:sz w:val="20"/>
                <w:szCs w:val="20"/>
              </w:rPr>
            </w:pPr>
            <w:r w:rsidRPr="00D7170F">
              <w:rPr>
                <w:rFonts w:ascii="Arial Narrow" w:hAnsi="Arial Narrow"/>
                <w:sz w:val="20"/>
                <w:szCs w:val="20"/>
              </w:rPr>
              <w:t>Level IV</w:t>
            </w:r>
          </w:p>
          <w:p w14:paraId="10748AAB" w14:textId="77777777" w:rsidR="00D7170F" w:rsidRPr="00D7170F" w:rsidRDefault="00292821" w:rsidP="00861F4D">
            <w:pPr>
              <w:spacing w:before="40" w:after="40" w:line="288" w:lineRule="auto"/>
              <w:rPr>
                <w:rFonts w:ascii="Arial Narrow" w:hAnsi="Arial Narrow"/>
                <w:sz w:val="20"/>
                <w:szCs w:val="20"/>
              </w:rPr>
            </w:pPr>
            <w:r w:rsidRPr="00D7170F">
              <w:rPr>
                <w:rFonts w:ascii="Arial Narrow" w:hAnsi="Arial Narrow"/>
                <w:sz w:val="20"/>
                <w:szCs w:val="20"/>
              </w:rPr>
              <w:t xml:space="preserve">Risk of bias: High </w:t>
            </w:r>
          </w:p>
          <w:p w14:paraId="61F8875A" w14:textId="0C8469AE" w:rsidR="00292821" w:rsidRPr="00D7170F" w:rsidRDefault="00292821" w:rsidP="00861F4D">
            <w:pPr>
              <w:spacing w:before="40" w:after="40" w:line="288" w:lineRule="auto"/>
              <w:rPr>
                <w:rFonts w:ascii="Arial Narrow" w:hAnsi="Arial Narrow"/>
                <w:sz w:val="20"/>
                <w:szCs w:val="20"/>
              </w:rPr>
            </w:pPr>
            <w:r w:rsidRPr="00D7170F">
              <w:rPr>
                <w:rFonts w:ascii="Arial Narrow" w:hAnsi="Arial Narrow"/>
                <w:sz w:val="20"/>
                <w:szCs w:val="20"/>
              </w:rPr>
              <w:t>22.5 (4</w:t>
            </w:r>
            <w:r w:rsidR="00D35E9C">
              <w:rPr>
                <w:rFonts w:ascii="Arial Narrow" w:hAnsi="Arial Narrow"/>
                <w:sz w:val="20"/>
                <w:szCs w:val="20"/>
              </w:rPr>
              <w:t>–</w:t>
            </w:r>
            <w:r w:rsidRPr="00D7170F">
              <w:rPr>
                <w:rFonts w:ascii="Arial Narrow" w:hAnsi="Arial Narrow"/>
                <w:sz w:val="20"/>
                <w:szCs w:val="20"/>
              </w:rPr>
              <w:t>53) months</w:t>
            </w:r>
          </w:p>
          <w:p w14:paraId="166D819B" w14:textId="77777777" w:rsidR="00292821" w:rsidRPr="00095CDF" w:rsidRDefault="00292821" w:rsidP="00861F4D">
            <w:pPr>
              <w:pStyle w:val="Tabletext1"/>
              <w:spacing w:before="40" w:after="40" w:line="288" w:lineRule="auto"/>
            </w:pPr>
          </w:p>
        </w:tc>
        <w:tc>
          <w:tcPr>
            <w:tcW w:w="1493" w:type="pct"/>
            <w:tcBorders>
              <w:top w:val="single" w:sz="4" w:space="0" w:color="auto"/>
              <w:left w:val="single" w:sz="4" w:space="0" w:color="auto"/>
              <w:bottom w:val="single" w:sz="4" w:space="0" w:color="auto"/>
              <w:right w:val="single" w:sz="4" w:space="0" w:color="auto"/>
            </w:tcBorders>
          </w:tcPr>
          <w:p w14:paraId="0211DF18" w14:textId="2789F233" w:rsidR="00292821" w:rsidRDefault="00292821" w:rsidP="00861F4D">
            <w:pPr>
              <w:pStyle w:val="Tabletext1"/>
              <w:spacing w:before="40" w:after="40" w:line="288" w:lineRule="auto"/>
            </w:pPr>
            <w:r>
              <w:t xml:space="preserve">Patients with stage I NSCLC, aged &gt; 75 years, </w:t>
            </w:r>
            <w:r w:rsidR="006A1EBF">
              <w:t>inoperable</w:t>
            </w:r>
          </w:p>
          <w:p w14:paraId="02A84FA6" w14:textId="77777777" w:rsidR="00292821" w:rsidRDefault="00C10752" w:rsidP="00861F4D">
            <w:pPr>
              <w:pStyle w:val="Tabletext1"/>
              <w:spacing w:before="40" w:after="40" w:line="288" w:lineRule="auto"/>
            </w:pPr>
            <w:r>
              <w:t xml:space="preserve">N = </w:t>
            </w:r>
            <w:r w:rsidR="00292821">
              <w:t>28 (28 lesions)</w:t>
            </w:r>
          </w:p>
          <w:p w14:paraId="0E044211" w14:textId="77777777" w:rsidR="00292821" w:rsidRDefault="00292821" w:rsidP="00861F4D">
            <w:pPr>
              <w:pStyle w:val="Tabletext1"/>
              <w:spacing w:before="40" w:after="40" w:line="288" w:lineRule="auto"/>
            </w:pPr>
            <w:r>
              <w:t>M</w:t>
            </w:r>
            <w:r w:rsidRPr="001142BB">
              <w:t>aximum</w:t>
            </w:r>
            <w:r>
              <w:t xml:space="preserve"> tumour diameter &gt; 35 mm in </w:t>
            </w:r>
            <w:r w:rsidRPr="001142BB">
              <w:t xml:space="preserve">7 </w:t>
            </w:r>
            <w:r>
              <w:t>(25%), maximum diameter ≤ 35 mm in</w:t>
            </w:r>
            <w:r w:rsidRPr="001142BB">
              <w:t xml:space="preserve"> 21</w:t>
            </w:r>
            <w:r>
              <w:t xml:space="preserve"> </w:t>
            </w:r>
            <w:r w:rsidRPr="001142BB">
              <w:t>(75%)</w:t>
            </w:r>
          </w:p>
          <w:p w14:paraId="54673779" w14:textId="77777777" w:rsidR="00292821" w:rsidRDefault="00292821" w:rsidP="00861F4D">
            <w:pPr>
              <w:pStyle w:val="Tabletext1"/>
              <w:spacing w:before="40" w:after="40" w:line="288" w:lineRule="auto"/>
            </w:pPr>
            <w:r>
              <w:t>Males 18 (64%): Females 10 (46%)</w:t>
            </w:r>
          </w:p>
          <w:p w14:paraId="16C8031B" w14:textId="77777777" w:rsidR="00292821" w:rsidRDefault="00292821" w:rsidP="00861F4D">
            <w:pPr>
              <w:pStyle w:val="Tabletext1"/>
              <w:spacing w:before="40" w:after="40" w:line="288" w:lineRule="auto"/>
            </w:pPr>
            <w:r>
              <w:t>Mean age 77 (range NR) years</w:t>
            </w:r>
          </w:p>
          <w:p w14:paraId="122BE486" w14:textId="331F5757" w:rsidR="00292821" w:rsidRPr="00095CDF" w:rsidRDefault="00292821" w:rsidP="009C79EA">
            <w:pPr>
              <w:pStyle w:val="Tabletext1"/>
              <w:spacing w:before="40" w:after="40" w:line="288" w:lineRule="auto"/>
            </w:pPr>
            <w:r>
              <w:t xml:space="preserve">Comorbidities: </w:t>
            </w:r>
            <w:r w:rsidRPr="008D5E5C">
              <w:t>COPD</w:t>
            </w:r>
            <w:r>
              <w:t xml:space="preserve"> (6, 21.4%)</w:t>
            </w:r>
            <w:r w:rsidRPr="008D5E5C">
              <w:t>; chronic cor pulmonale</w:t>
            </w:r>
            <w:r>
              <w:t xml:space="preserve"> (</w:t>
            </w:r>
            <w:r w:rsidRPr="008D5E5C">
              <w:t>1</w:t>
            </w:r>
            <w:r>
              <w:t>,</w:t>
            </w:r>
            <w:r w:rsidRPr="008D5E5C">
              <w:t xml:space="preserve"> 3.6%);</w:t>
            </w:r>
            <w:r>
              <w:t xml:space="preserve"> </w:t>
            </w:r>
            <w:r w:rsidRPr="008D5E5C">
              <w:t>hypertension</w:t>
            </w:r>
            <w:r>
              <w:t xml:space="preserve"> (9/28, 32.1%)</w:t>
            </w:r>
            <w:r w:rsidRPr="008D5E5C">
              <w:t>; coronary heart disease</w:t>
            </w:r>
            <w:r>
              <w:t xml:space="preserve"> (10, </w:t>
            </w:r>
            <w:r w:rsidRPr="008D5E5C">
              <w:t>35.7%); cardiovascular disease</w:t>
            </w:r>
            <w:r>
              <w:t xml:space="preserve"> (3, </w:t>
            </w:r>
            <w:r w:rsidRPr="008D5E5C">
              <w:t xml:space="preserve">10.7%); diabetes </w:t>
            </w:r>
            <w:r>
              <w:t>(</w:t>
            </w:r>
            <w:r w:rsidRPr="008D5E5C">
              <w:t>7</w:t>
            </w:r>
            <w:r>
              <w:t xml:space="preserve">, </w:t>
            </w:r>
            <w:r w:rsidRPr="008D5E5C">
              <w:t>25%); silicosis</w:t>
            </w:r>
            <w:r>
              <w:t xml:space="preserve"> (</w:t>
            </w:r>
            <w:r w:rsidRPr="008D5E5C">
              <w:t>1</w:t>
            </w:r>
            <w:r>
              <w:t xml:space="preserve">, </w:t>
            </w:r>
            <w:r w:rsidRPr="008D5E5C">
              <w:t>3.6%); declined surgery</w:t>
            </w:r>
            <w:r>
              <w:t xml:space="preserve"> </w:t>
            </w:r>
            <w:r w:rsidRPr="008D5E5C">
              <w:t>(</w:t>
            </w:r>
            <w:r>
              <w:t xml:space="preserve">3, </w:t>
            </w:r>
            <w:r w:rsidRPr="008D5E5C">
              <w:t>10.7%)</w:t>
            </w:r>
          </w:p>
        </w:tc>
        <w:tc>
          <w:tcPr>
            <w:tcW w:w="707" w:type="pct"/>
            <w:tcBorders>
              <w:top w:val="single" w:sz="4" w:space="0" w:color="auto"/>
              <w:left w:val="single" w:sz="4" w:space="0" w:color="auto"/>
              <w:bottom w:val="single" w:sz="4" w:space="0" w:color="auto"/>
              <w:right w:val="single" w:sz="4" w:space="0" w:color="auto"/>
            </w:tcBorders>
          </w:tcPr>
          <w:p w14:paraId="38EAA79F" w14:textId="77777777" w:rsidR="00292821" w:rsidRDefault="00292821" w:rsidP="00861F4D">
            <w:pPr>
              <w:pStyle w:val="Tabletext1"/>
              <w:spacing w:before="40" w:after="40" w:line="288" w:lineRule="auto"/>
            </w:pPr>
            <w:r w:rsidRPr="005E089E">
              <w:rPr>
                <w:u w:val="single"/>
              </w:rPr>
              <w:t>Intervention: CT-guided MTA</w:t>
            </w:r>
            <w:r>
              <w:t xml:space="preserve"> </w:t>
            </w:r>
          </w:p>
          <w:p w14:paraId="1D2D486B" w14:textId="77777777" w:rsidR="00292821" w:rsidRDefault="00292821" w:rsidP="00861F4D">
            <w:pPr>
              <w:pStyle w:val="Tabletext1"/>
              <w:spacing w:before="40" w:after="40" w:line="288" w:lineRule="auto"/>
            </w:pPr>
            <w:r>
              <w:t>Local anaesthesia</w:t>
            </w:r>
          </w:p>
          <w:p w14:paraId="6D3FF98D" w14:textId="77777777" w:rsidR="00292821" w:rsidRDefault="00292821" w:rsidP="00861F4D">
            <w:pPr>
              <w:pStyle w:val="Tabletext1"/>
              <w:spacing w:before="40" w:after="40" w:line="288" w:lineRule="auto"/>
            </w:pPr>
            <w:r>
              <w:t>28 ablation sessions</w:t>
            </w:r>
          </w:p>
          <w:p w14:paraId="4A557768" w14:textId="77777777" w:rsidR="00292821" w:rsidRDefault="00292821" w:rsidP="00861F4D">
            <w:pPr>
              <w:pStyle w:val="Tabletext1"/>
              <w:spacing w:before="40" w:after="40" w:line="288" w:lineRule="auto"/>
            </w:pPr>
            <w:r>
              <w:t>duration: NR</w:t>
            </w:r>
          </w:p>
          <w:p w14:paraId="4BD29AE3" w14:textId="77777777" w:rsidR="00292821" w:rsidRDefault="00292821" w:rsidP="00861F4D">
            <w:pPr>
              <w:pStyle w:val="Tabletext1"/>
              <w:spacing w:before="40" w:after="40" w:line="288" w:lineRule="auto"/>
            </w:pPr>
          </w:p>
          <w:p w14:paraId="698CC297" w14:textId="77777777" w:rsidR="00292821" w:rsidRPr="00236D1B" w:rsidRDefault="00292821" w:rsidP="00861F4D">
            <w:pPr>
              <w:pStyle w:val="Tabletext1"/>
              <w:spacing w:before="40" w:after="40" w:line="288" w:lineRule="auto"/>
              <w:rPr>
                <w:u w:val="single"/>
              </w:rPr>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581209AC" w14:textId="77777777" w:rsidR="00292821" w:rsidRDefault="00292821" w:rsidP="00861F4D">
            <w:pPr>
              <w:pStyle w:val="Tabletext1"/>
              <w:spacing w:before="40" w:after="40" w:line="288" w:lineRule="auto"/>
              <w:ind w:left="34"/>
            </w:pPr>
            <w:r>
              <w:t xml:space="preserve">1. Overall survival: </w:t>
            </w:r>
            <w:r w:rsidRPr="004F6A79">
              <w:t>Kaplan-Meier t</w:t>
            </w:r>
            <w:r>
              <w:t>est (for all survival outcomes)</w:t>
            </w:r>
          </w:p>
          <w:p w14:paraId="4709FE20" w14:textId="383089FF" w:rsidR="00292821" w:rsidRDefault="00292821" w:rsidP="00861F4D">
            <w:pPr>
              <w:pStyle w:val="Tabletext1"/>
              <w:spacing w:before="40" w:after="40" w:line="288" w:lineRule="auto"/>
              <w:ind w:left="34"/>
            </w:pPr>
            <w:r>
              <w:t>2. Local efficacy: assessed using criteria outlined by Ye et al</w:t>
            </w:r>
            <w:r w:rsidRPr="004F6A79">
              <w:t xml:space="preserve"> </w:t>
            </w:r>
            <w:r w:rsidRPr="004F6A79">
              <w:fldChar w:fldCharType="begin">
                <w:fldData xml:space="preserve">PEVuZE5vdGU+PENpdGUgRXhjbHVkZUF1dGg9IjEiPjxBdXRob3I+WWU8L0F1dGhvcj48WWVhcj4y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</w:fldData>
              </w:fldChar>
            </w:r>
            <w:r w:rsidR="00194054">
              <w:instrText xml:space="preserve"> ADDIN EN.CITE </w:instrText>
            </w:r>
            <w:r w:rsidR="00194054">
              <w:fldChar w:fldCharType="begin">
                <w:fldData xml:space="preserve">PEVuZE5vdGU+PENpdGUgRXhjbHVkZUF1dGg9IjEiPjxBdXRob3I+WWU8L0F1dGhvcj48WWVhcj4y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</w:fldData>
              </w:fldChar>
            </w:r>
            <w:r w:rsidR="00194054">
              <w:instrText xml:space="preserve"> ADDIN EN.CITE.DATA </w:instrText>
            </w:r>
            <w:r w:rsidR="00194054">
              <w:fldChar w:fldCharType="end"/>
            </w:r>
            <w:r w:rsidRPr="004F6A79">
              <w:fldChar w:fldCharType="separate"/>
            </w:r>
            <w:r>
              <w:rPr>
                <w:noProof/>
              </w:rPr>
              <w:t>(</w:t>
            </w:r>
            <w:r w:rsidR="00A07D80">
              <w:rPr>
                <w:noProof/>
              </w:rPr>
              <w:t>2015</w:t>
            </w:r>
            <w:hyperlink w:anchor="_ENREF_176" w:tooltip="Ye, 2015 #89" w:history="1"/>
            <w:r>
              <w:rPr>
                <w:noProof/>
              </w:rPr>
              <w:t>)</w:t>
            </w:r>
            <w:r w:rsidRPr="004F6A79">
              <w:fldChar w:fldCharType="end"/>
            </w:r>
          </w:p>
          <w:p w14:paraId="6566E804" w14:textId="77777777" w:rsidR="00292821" w:rsidRDefault="00292821" w:rsidP="00861F4D">
            <w:pPr>
              <w:pStyle w:val="Tabletext1"/>
              <w:spacing w:before="40" w:after="40" w:line="288" w:lineRule="auto"/>
              <w:ind w:left="34"/>
            </w:pPr>
            <w:r>
              <w:t>3. Local recurrence: identified by CT, time point NR.</w:t>
            </w:r>
          </w:p>
          <w:p w14:paraId="37DFCBDA" w14:textId="33497FD2" w:rsidR="00292821" w:rsidRPr="004F6A79" w:rsidRDefault="00292821" w:rsidP="00A07D80">
            <w:pPr>
              <w:pStyle w:val="Tabletext1"/>
              <w:spacing w:before="40" w:after="40" w:line="288" w:lineRule="auto"/>
              <w:ind w:left="34"/>
            </w:pPr>
            <w:r>
              <w:t xml:space="preserve">3. </w:t>
            </w:r>
            <w:r w:rsidRPr="004F6A79">
              <w:t xml:space="preserve"> </w:t>
            </w:r>
            <w:r>
              <w:t>A</w:t>
            </w:r>
            <w:r w:rsidRPr="004F6A79">
              <w:t>dverse events</w:t>
            </w:r>
            <w:r>
              <w:t>:</w:t>
            </w:r>
            <w:r w:rsidRPr="004F6A79">
              <w:t xml:space="preserve"> </w:t>
            </w:r>
            <w:r>
              <w:t>reported according to termi</w:t>
            </w:r>
            <w:r w:rsidR="00874944">
              <w:t xml:space="preserve">nology outlined by Ahmed et al </w:t>
            </w:r>
            <w:r w:rsidR="00874944">
              <w:fldChar w:fldCharType="begin">
                <w:fldData xml:space="preserve">PEVuZE5vdGU+PENpdGUgRXhjbHVkZUF1dGg9IjEiPjxBdXRob3I+QWhtZWQ8L0F1dGhvcj48WWVh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</w:fldData>
              </w:fldChar>
            </w:r>
            <w:r w:rsidR="00874944">
              <w:instrText xml:space="preserve"> ADDIN EN.CITE </w:instrText>
            </w:r>
            <w:r w:rsidR="00874944">
              <w:fldChar w:fldCharType="begin">
                <w:fldData xml:space="preserve">PEVuZE5vdGU+PENpdGUgRXhjbHVkZUF1dGg9IjEiPjxBdXRob3I+QWhtZWQ8L0F1dGhvcj48WWVh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</w:fldData>
              </w:fldChar>
            </w:r>
            <w:r w:rsidR="00874944">
              <w:instrText xml:space="preserve"> ADDIN EN.CITE.DATA </w:instrText>
            </w:r>
            <w:r w:rsidR="00874944">
              <w:fldChar w:fldCharType="end"/>
            </w:r>
            <w:r w:rsidR="00874944">
              <w:fldChar w:fldCharType="separate"/>
            </w:r>
            <w:r w:rsidR="00874944">
              <w:rPr>
                <w:noProof/>
              </w:rPr>
              <w:t>(</w:t>
            </w:r>
            <w:r w:rsidR="00A07D80">
              <w:rPr>
                <w:noProof/>
              </w:rPr>
              <w:t>2014</w:t>
            </w:r>
            <w:r w:rsidR="00874944">
              <w:rPr>
                <w:noProof/>
              </w:rPr>
              <w:t>)</w:t>
            </w:r>
            <w:r w:rsidR="00874944">
              <w:fldChar w:fldCharType="end"/>
            </w:r>
            <w:r w:rsidR="00874944">
              <w:t xml:space="preserve">and Goldberg et al </w:t>
            </w:r>
            <w:r w:rsidR="00874944">
              <w:fldChar w:fldCharType="begin">
                <w:fldData xml:space="preserve">PEVuZE5vdGU+PENpdGUgRXhjbHVkZUF1dGg9IjEiPjxBdXRob3I+R29sZGJlcmc8L0F1dGhvcj48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=
</w:fldData>
              </w:fldChar>
            </w:r>
            <w:r w:rsidR="00874944">
              <w:instrText xml:space="preserve"> ADDIN EN.CITE </w:instrText>
            </w:r>
            <w:r w:rsidR="00874944">
              <w:fldChar w:fldCharType="begin">
                <w:fldData xml:space="preserve">PEVuZE5vdGU+PENpdGUgRXhjbHVkZUF1dGg9IjEiPjxBdXRob3I+R29sZGJlcmc8L0F1dGhvcj48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=
</w:fldData>
              </w:fldChar>
            </w:r>
            <w:r w:rsidR="00874944">
              <w:instrText xml:space="preserve"> ADDIN EN.CITE.DATA </w:instrText>
            </w:r>
            <w:r w:rsidR="00874944">
              <w:fldChar w:fldCharType="end"/>
            </w:r>
            <w:r w:rsidR="00874944">
              <w:fldChar w:fldCharType="separate"/>
            </w:r>
            <w:r w:rsidR="00874944">
              <w:rPr>
                <w:noProof/>
              </w:rPr>
              <w:t>(</w:t>
            </w:r>
            <w:r w:rsidR="00A07D80">
              <w:rPr>
                <w:noProof/>
              </w:rPr>
              <w:t>2005</w:t>
            </w:r>
            <w:r w:rsidR="00874944">
              <w:rPr>
                <w:noProof/>
              </w:rPr>
              <w:t>)</w:t>
            </w:r>
            <w:r w:rsidR="00874944">
              <w:fldChar w:fldCharType="end"/>
            </w:r>
            <w:r w:rsidRPr="004F6A79">
              <w:t xml:space="preserve"> </w:t>
            </w:r>
          </w:p>
        </w:tc>
      </w:tr>
      <w:tr w:rsidR="00292821" w:rsidRPr="00095CDF" w14:paraId="7E45E532" w14:textId="77777777" w:rsidTr="008605F3">
        <w:trPr>
          <w:cantSplit/>
          <w:trHeight w:val="13"/>
        </w:trPr>
        <w:tc>
          <w:tcPr>
            <w:tcW w:w="565" w:type="pct"/>
            <w:tcBorders>
              <w:top w:val="single" w:sz="4" w:space="0" w:color="auto"/>
              <w:left w:val="single" w:sz="4" w:space="0" w:color="auto"/>
              <w:bottom w:val="single" w:sz="4" w:space="0" w:color="auto"/>
              <w:right w:val="single" w:sz="4" w:space="0" w:color="auto"/>
            </w:tcBorders>
          </w:tcPr>
          <w:p w14:paraId="48836399" w14:textId="77777777" w:rsidR="00292821" w:rsidRDefault="00292821" w:rsidP="00861F4D">
            <w:pPr>
              <w:spacing w:before="40" w:after="40" w:line="288" w:lineRule="auto"/>
              <w:rPr>
                <w:rFonts w:ascii="Arial Narrow" w:hAnsi="Arial Narrow"/>
                <w:sz w:val="20"/>
                <w:szCs w:val="20"/>
              </w:rPr>
            </w:pPr>
            <w:r w:rsidRPr="00095CDF">
              <w:rPr>
                <w:rFonts w:ascii="Arial Narrow" w:hAnsi="Arial Narrow"/>
                <w:sz w:val="20"/>
                <w:szCs w:val="20"/>
              </w:rPr>
              <w:t>Liu &amp; Steinke (2015</w:t>
            </w:r>
            <w:r>
              <w:rPr>
                <w:rFonts w:ascii="Arial Narrow" w:hAnsi="Arial Narrow"/>
                <w:sz w:val="20"/>
                <w:szCs w:val="20"/>
              </w:rPr>
              <w:t>)</w:t>
            </w:r>
          </w:p>
          <w:p w14:paraId="7390B8E0" w14:textId="77777777" w:rsidR="00496C1D" w:rsidRPr="00095CDF" w:rsidRDefault="00496C1D" w:rsidP="00861F4D">
            <w:pPr>
              <w:pStyle w:val="Tabletext1"/>
              <w:spacing w:before="40" w:after="40" w:line="288" w:lineRule="auto"/>
            </w:pPr>
            <w:r>
              <w:t>Australia</w:t>
            </w:r>
          </w:p>
        </w:tc>
        <w:tc>
          <w:tcPr>
            <w:tcW w:w="738" w:type="pct"/>
            <w:gridSpan w:val="2"/>
            <w:tcBorders>
              <w:top w:val="single" w:sz="4" w:space="0" w:color="auto"/>
              <w:left w:val="single" w:sz="4" w:space="0" w:color="auto"/>
              <w:bottom w:val="single" w:sz="4" w:space="0" w:color="auto"/>
              <w:right w:val="single" w:sz="4" w:space="0" w:color="auto"/>
            </w:tcBorders>
          </w:tcPr>
          <w:p w14:paraId="1211507B" w14:textId="77777777" w:rsidR="00292821" w:rsidRDefault="00292821" w:rsidP="00861F4D">
            <w:pPr>
              <w:pStyle w:val="Tabletext1"/>
              <w:spacing w:before="40" w:after="40" w:line="288" w:lineRule="auto"/>
            </w:pPr>
            <w:r>
              <w:t>Retrospective CS</w:t>
            </w:r>
          </w:p>
          <w:p w14:paraId="3D492FC3" w14:textId="77777777" w:rsidR="00242EBD" w:rsidRDefault="00242EBD" w:rsidP="00861F4D">
            <w:pPr>
              <w:pStyle w:val="Tabletext1"/>
              <w:spacing w:before="40" w:after="40" w:line="288" w:lineRule="auto"/>
            </w:pPr>
            <w:r>
              <w:t>Level IV</w:t>
            </w:r>
          </w:p>
          <w:p w14:paraId="3BBA24B5" w14:textId="77777777" w:rsidR="00292821" w:rsidRDefault="00292821" w:rsidP="00861F4D">
            <w:pPr>
              <w:pStyle w:val="Tabletext1"/>
              <w:spacing w:before="40" w:after="40" w:line="288" w:lineRule="auto"/>
            </w:pPr>
            <w:r>
              <w:t>Risk of bias: High</w:t>
            </w:r>
          </w:p>
          <w:p w14:paraId="6F1EF790" w14:textId="77777777" w:rsidR="00292821" w:rsidRDefault="00292821" w:rsidP="00861F4D">
            <w:pPr>
              <w:pStyle w:val="Tabletext1"/>
              <w:spacing w:before="40" w:after="40" w:line="288" w:lineRule="auto"/>
            </w:pPr>
            <w:r>
              <w:t>Hospital setting</w:t>
            </w:r>
          </w:p>
          <w:p w14:paraId="120C37EA" w14:textId="255359AA" w:rsidR="00292821" w:rsidRPr="00095CDF" w:rsidRDefault="00292821" w:rsidP="00861F4D">
            <w:pPr>
              <w:pStyle w:val="Tabletext1"/>
              <w:spacing w:before="40" w:after="40" w:line="288" w:lineRule="auto"/>
            </w:pPr>
            <w:r w:rsidRPr="001142BB">
              <w:t>12  (6</w:t>
            </w:r>
            <w:r w:rsidR="00D35E9C">
              <w:t>–</w:t>
            </w:r>
            <w:r w:rsidRPr="001142BB">
              <w:t>18 ) months</w:t>
            </w:r>
          </w:p>
        </w:tc>
        <w:tc>
          <w:tcPr>
            <w:tcW w:w="1493" w:type="pct"/>
            <w:tcBorders>
              <w:top w:val="single" w:sz="4" w:space="0" w:color="auto"/>
              <w:left w:val="single" w:sz="4" w:space="0" w:color="auto"/>
              <w:bottom w:val="single" w:sz="4" w:space="0" w:color="auto"/>
              <w:right w:val="single" w:sz="4" w:space="0" w:color="auto"/>
            </w:tcBorders>
          </w:tcPr>
          <w:p w14:paraId="79C9D55C" w14:textId="77777777" w:rsidR="00292821" w:rsidRDefault="00292821" w:rsidP="00861F4D">
            <w:pPr>
              <w:pStyle w:val="Tabletext1"/>
              <w:spacing w:before="40" w:after="40" w:line="288" w:lineRule="auto"/>
            </w:pPr>
            <w:r>
              <w:t>Patients with stage Ia or Ib NSCLC, medically inoperable and less than 40 mm in size</w:t>
            </w:r>
          </w:p>
          <w:p w14:paraId="4F0B23F4" w14:textId="77777777" w:rsidR="00292821" w:rsidRDefault="00C10752" w:rsidP="00861F4D">
            <w:pPr>
              <w:pStyle w:val="Tabletext1"/>
              <w:spacing w:before="40" w:after="40" w:line="288" w:lineRule="auto"/>
            </w:pPr>
            <w:r>
              <w:t xml:space="preserve">N = </w:t>
            </w:r>
            <w:r w:rsidR="00292821">
              <w:t>15 (16)</w:t>
            </w:r>
          </w:p>
          <w:p w14:paraId="796F3974" w14:textId="63B367D8" w:rsidR="00292821" w:rsidRDefault="00292821" w:rsidP="00861F4D">
            <w:pPr>
              <w:pStyle w:val="Tabletext1"/>
              <w:spacing w:before="40" w:after="40" w:line="288" w:lineRule="auto"/>
            </w:pPr>
            <w:r>
              <w:t>M</w:t>
            </w:r>
            <w:r w:rsidRPr="001142BB">
              <w:t>edian</w:t>
            </w:r>
            <w:r>
              <w:t xml:space="preserve"> tumour size</w:t>
            </w:r>
            <w:r w:rsidRPr="001142BB">
              <w:t xml:space="preserve"> (range): 24 (8</w:t>
            </w:r>
            <w:r w:rsidR="00D35E9C">
              <w:t>–</w:t>
            </w:r>
            <w:r w:rsidRPr="001142BB">
              <w:t>40)</w:t>
            </w:r>
            <w:r>
              <w:t xml:space="preserve"> mm</w:t>
            </w:r>
          </w:p>
          <w:p w14:paraId="3AFC13F9" w14:textId="77777777" w:rsidR="00292821" w:rsidRDefault="007908D7" w:rsidP="00861F4D">
            <w:pPr>
              <w:pStyle w:val="Tabletext1"/>
              <w:spacing w:before="40" w:after="40" w:line="288" w:lineRule="auto"/>
            </w:pPr>
            <w:r>
              <w:t>M/F ratio: 11:4</w:t>
            </w:r>
          </w:p>
          <w:p w14:paraId="7397029B" w14:textId="45131B7E" w:rsidR="00292821" w:rsidRDefault="00292821" w:rsidP="00861F4D">
            <w:pPr>
              <w:pStyle w:val="Tabletext1"/>
              <w:spacing w:before="40" w:after="40" w:line="288" w:lineRule="auto"/>
            </w:pPr>
            <w:r>
              <w:t xml:space="preserve"> median age </w:t>
            </w:r>
            <w:r w:rsidRPr="001142BB">
              <w:t>73 (</w:t>
            </w:r>
            <w:r>
              <w:t xml:space="preserve">range </w:t>
            </w:r>
            <w:r w:rsidRPr="001142BB">
              <w:t>52</w:t>
            </w:r>
            <w:r w:rsidR="00D35E9C">
              <w:t>–</w:t>
            </w:r>
            <w:r w:rsidRPr="001142BB">
              <w:t>88) years</w:t>
            </w:r>
          </w:p>
          <w:p w14:paraId="034BFBA2" w14:textId="77777777" w:rsidR="00292821" w:rsidRPr="00095CDF" w:rsidRDefault="00292821" w:rsidP="00861F4D">
            <w:pPr>
              <w:pStyle w:val="Tabletext1"/>
              <w:spacing w:before="40" w:after="40" w:line="288" w:lineRule="auto"/>
            </w:pPr>
            <w:r>
              <w:t>Comorbidities: NR</w:t>
            </w:r>
          </w:p>
        </w:tc>
        <w:tc>
          <w:tcPr>
            <w:tcW w:w="707" w:type="pct"/>
            <w:tcBorders>
              <w:top w:val="single" w:sz="4" w:space="0" w:color="auto"/>
              <w:left w:val="single" w:sz="4" w:space="0" w:color="auto"/>
              <w:bottom w:val="single" w:sz="4" w:space="0" w:color="auto"/>
              <w:right w:val="single" w:sz="4" w:space="0" w:color="auto"/>
            </w:tcBorders>
          </w:tcPr>
          <w:p w14:paraId="15012B21" w14:textId="77777777" w:rsidR="00292821" w:rsidRDefault="00560C7B" w:rsidP="00861F4D">
            <w:pPr>
              <w:pStyle w:val="Tabletext1"/>
              <w:spacing w:before="40" w:after="40" w:line="288" w:lineRule="auto"/>
              <w:rPr>
                <w:u w:val="single"/>
              </w:rPr>
            </w:pPr>
            <w:r>
              <w:rPr>
                <w:u w:val="single"/>
              </w:rPr>
              <w:t xml:space="preserve">Intervention: CT-guided </w:t>
            </w:r>
            <w:r w:rsidR="00292821" w:rsidRPr="00292821">
              <w:rPr>
                <w:u w:val="single"/>
              </w:rPr>
              <w:t xml:space="preserve">MTA </w:t>
            </w:r>
          </w:p>
          <w:p w14:paraId="68E04A15" w14:textId="77777777" w:rsidR="00560C7B" w:rsidRDefault="00560C7B" w:rsidP="00861F4D">
            <w:pPr>
              <w:pStyle w:val="Tabletext1"/>
              <w:spacing w:before="40" w:after="40" w:line="288" w:lineRule="auto"/>
            </w:pPr>
            <w:r>
              <w:t>Conscious sedation with local anaesthesia</w:t>
            </w:r>
          </w:p>
          <w:p w14:paraId="7F870834" w14:textId="26038A3A" w:rsidR="00292821" w:rsidRDefault="00560C7B" w:rsidP="00861F4D">
            <w:pPr>
              <w:pStyle w:val="Tabletext1"/>
              <w:spacing w:before="40" w:after="40" w:line="288" w:lineRule="auto"/>
            </w:pPr>
            <w:r>
              <w:t>M</w:t>
            </w:r>
            <w:r w:rsidR="00292821" w:rsidRPr="001142BB">
              <w:t>edian</w:t>
            </w:r>
            <w:r w:rsidR="00292821">
              <w:t xml:space="preserve"> duration</w:t>
            </w:r>
            <w:r w:rsidR="00292821" w:rsidRPr="001142BB">
              <w:t xml:space="preserve"> (range): 2.5 (0.5</w:t>
            </w:r>
            <w:r w:rsidR="00D35E9C">
              <w:t>–</w:t>
            </w:r>
            <w:r w:rsidR="00292821" w:rsidRPr="001142BB">
              <w:t xml:space="preserve">7) </w:t>
            </w:r>
            <w:r w:rsidR="00E718FA">
              <w:t>min/</w:t>
            </w:r>
            <w:r w:rsidR="00292821" w:rsidRPr="001142BB">
              <w:t>ablation</w:t>
            </w:r>
          </w:p>
          <w:p w14:paraId="7A52A767" w14:textId="77777777" w:rsidR="00560C7B" w:rsidRPr="00095CDF" w:rsidRDefault="00560C7B"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4FED05A4" w14:textId="32A33748" w:rsidR="00292821" w:rsidRDefault="00292821" w:rsidP="00861F4D">
            <w:pPr>
              <w:pStyle w:val="Tabletext1"/>
              <w:spacing w:before="40" w:after="40" w:line="288" w:lineRule="auto"/>
              <w:ind w:left="34"/>
            </w:pPr>
            <w:r>
              <w:t>1. Treatment outcome: evaluated by RECIST</w:t>
            </w:r>
            <w:r w:rsidR="00874944">
              <w:t xml:space="preserve"> criteria based on follow-up </w:t>
            </w:r>
            <w:r>
              <w:t>CT and PET-CT imaging. Judged by comparing the limited CT scan on the day post-ablation with follow-up imaging</w:t>
            </w:r>
          </w:p>
          <w:p w14:paraId="52FE3BB8" w14:textId="77777777" w:rsidR="00292821" w:rsidRPr="00095CDF" w:rsidRDefault="00292821" w:rsidP="00861F4D">
            <w:pPr>
              <w:pStyle w:val="Tabletext1"/>
              <w:spacing w:before="40" w:after="40" w:line="288" w:lineRule="auto"/>
              <w:ind w:left="34"/>
            </w:pPr>
            <w:r>
              <w:t>2. Adverse events: NR</w:t>
            </w:r>
          </w:p>
        </w:tc>
      </w:tr>
      <w:tr w:rsidR="00292821" w:rsidRPr="00095CDF" w14:paraId="3ADAA466"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5A76A9D2" w14:textId="77777777" w:rsidR="00292821" w:rsidRDefault="00292821" w:rsidP="00861F4D">
            <w:pPr>
              <w:spacing w:before="40" w:after="40" w:line="288" w:lineRule="auto"/>
              <w:rPr>
                <w:rFonts w:ascii="Arial Narrow" w:hAnsi="Arial Narrow"/>
                <w:sz w:val="20"/>
                <w:szCs w:val="20"/>
              </w:rPr>
            </w:pPr>
            <w:r w:rsidRPr="00095CDF">
              <w:rPr>
                <w:rFonts w:ascii="Arial Narrow" w:hAnsi="Arial Narrow"/>
                <w:sz w:val="20"/>
                <w:szCs w:val="20"/>
              </w:rPr>
              <w:lastRenderedPageBreak/>
              <w:t>Yang et al (2014)</w:t>
            </w:r>
          </w:p>
          <w:p w14:paraId="155DC478" w14:textId="77777777" w:rsidR="00496C1D" w:rsidRDefault="00496C1D" w:rsidP="00861F4D">
            <w:pPr>
              <w:pStyle w:val="Tabletext1"/>
              <w:spacing w:before="40" w:after="40" w:line="288" w:lineRule="auto"/>
            </w:pPr>
            <w:r>
              <w:t>China</w:t>
            </w:r>
          </w:p>
          <w:p w14:paraId="4946E7A4" w14:textId="77777777" w:rsidR="00496C1D" w:rsidRPr="00095CDF" w:rsidRDefault="00496C1D" w:rsidP="00861F4D">
            <w:pPr>
              <w:spacing w:before="40" w:after="40" w:line="288" w:lineRule="auto"/>
              <w:rPr>
                <w:rFonts w:ascii="Arial Narrow" w:hAnsi="Arial Narrow"/>
                <w:sz w:val="20"/>
                <w:szCs w:val="20"/>
              </w:rPr>
            </w:pPr>
          </w:p>
        </w:tc>
        <w:tc>
          <w:tcPr>
            <w:tcW w:w="738" w:type="pct"/>
            <w:gridSpan w:val="2"/>
            <w:tcBorders>
              <w:top w:val="single" w:sz="4" w:space="0" w:color="auto"/>
              <w:left w:val="single" w:sz="4" w:space="0" w:color="auto"/>
              <w:bottom w:val="single" w:sz="4" w:space="0" w:color="auto"/>
              <w:right w:val="single" w:sz="4" w:space="0" w:color="auto"/>
            </w:tcBorders>
          </w:tcPr>
          <w:p w14:paraId="40315353" w14:textId="77777777" w:rsidR="00292821" w:rsidRDefault="00292821" w:rsidP="00861F4D">
            <w:pPr>
              <w:pStyle w:val="Tabletext1"/>
              <w:spacing w:before="40" w:after="40" w:line="288" w:lineRule="auto"/>
            </w:pPr>
            <w:r>
              <w:t>Retrospective CS</w:t>
            </w:r>
          </w:p>
          <w:p w14:paraId="3F565B56" w14:textId="77777777" w:rsidR="00242EBD" w:rsidRDefault="00242EBD" w:rsidP="00861F4D">
            <w:pPr>
              <w:pStyle w:val="Tabletext1"/>
              <w:spacing w:before="40" w:after="40" w:line="288" w:lineRule="auto"/>
            </w:pPr>
            <w:r>
              <w:t>Level IV</w:t>
            </w:r>
          </w:p>
          <w:p w14:paraId="6EFAD751" w14:textId="77777777" w:rsidR="00292821" w:rsidRDefault="00292821" w:rsidP="00861F4D">
            <w:pPr>
              <w:pStyle w:val="Tabletext1"/>
              <w:spacing w:before="40" w:after="40" w:line="288" w:lineRule="auto"/>
            </w:pPr>
            <w:r>
              <w:t>Risk of bias: High</w:t>
            </w:r>
          </w:p>
          <w:p w14:paraId="28233FE7" w14:textId="77777777" w:rsidR="00292821" w:rsidRDefault="00292821" w:rsidP="00861F4D">
            <w:pPr>
              <w:pStyle w:val="Tabletext1"/>
              <w:spacing w:before="40" w:after="40" w:line="288" w:lineRule="auto"/>
            </w:pPr>
            <w:r>
              <w:t>Hospital setting</w:t>
            </w:r>
          </w:p>
          <w:p w14:paraId="6B5755F6" w14:textId="0F760056" w:rsidR="00292821" w:rsidRPr="00095CDF" w:rsidRDefault="00292821" w:rsidP="00861F4D">
            <w:pPr>
              <w:pStyle w:val="Tabletext1"/>
              <w:spacing w:before="40" w:after="40" w:line="288" w:lineRule="auto"/>
            </w:pPr>
            <w:r w:rsidRPr="001142BB">
              <w:t>30 (7</w:t>
            </w:r>
            <w:r w:rsidR="00D35E9C">
              <w:t>–</w:t>
            </w:r>
            <w:r w:rsidRPr="001142BB">
              <w:t>70) months</w:t>
            </w:r>
          </w:p>
        </w:tc>
        <w:tc>
          <w:tcPr>
            <w:tcW w:w="1493" w:type="pct"/>
            <w:tcBorders>
              <w:top w:val="single" w:sz="4" w:space="0" w:color="auto"/>
              <w:left w:val="single" w:sz="4" w:space="0" w:color="auto"/>
              <w:bottom w:val="single" w:sz="4" w:space="0" w:color="auto"/>
              <w:right w:val="single" w:sz="4" w:space="0" w:color="auto"/>
            </w:tcBorders>
          </w:tcPr>
          <w:p w14:paraId="10899E6E" w14:textId="77777777" w:rsidR="004D7884" w:rsidRDefault="00292821" w:rsidP="00861F4D">
            <w:pPr>
              <w:pStyle w:val="Tabletext1"/>
              <w:spacing w:before="40" w:after="40" w:line="288" w:lineRule="auto"/>
            </w:pPr>
            <w:r w:rsidRPr="001142BB">
              <w:t>Patients with stage Ia or Ib peripheral NSCLC, who were medically inoperable or declined surgery</w:t>
            </w:r>
          </w:p>
          <w:p w14:paraId="0A8F9058" w14:textId="77777777" w:rsidR="004D7884" w:rsidRDefault="00C10752" w:rsidP="00861F4D">
            <w:pPr>
              <w:pStyle w:val="Tabletext1"/>
              <w:spacing w:before="40" w:after="40" w:line="288" w:lineRule="auto"/>
            </w:pPr>
            <w:r>
              <w:t xml:space="preserve">N = </w:t>
            </w:r>
            <w:r w:rsidR="00292821">
              <w:t>47 (47)</w:t>
            </w:r>
          </w:p>
          <w:p w14:paraId="40A14427" w14:textId="77777777" w:rsidR="004D7884" w:rsidRDefault="004D7884" w:rsidP="00861F4D">
            <w:pPr>
              <w:pStyle w:val="Tabletext1"/>
              <w:spacing w:before="40" w:after="40" w:line="288" w:lineRule="auto"/>
            </w:pPr>
            <w:r>
              <w:t>M</w:t>
            </w:r>
            <w:r w:rsidR="00292821">
              <w:t xml:space="preserve">aximum tumour sixe </w:t>
            </w:r>
            <w:r w:rsidR="00292821" w:rsidRPr="001142BB">
              <w:t>&gt; 35 mm in 24, ≤ 35 mm in 23</w:t>
            </w:r>
          </w:p>
          <w:p w14:paraId="05C07140" w14:textId="77777777" w:rsidR="004D7884" w:rsidRDefault="00292821" w:rsidP="00861F4D">
            <w:pPr>
              <w:pStyle w:val="Tabletext1"/>
              <w:spacing w:before="40" w:after="40" w:line="288" w:lineRule="auto"/>
            </w:pPr>
            <w:r>
              <w:t xml:space="preserve">Male/Female ratio: </w:t>
            </w:r>
            <w:r w:rsidRPr="00EB3E11">
              <w:t>29:18</w:t>
            </w:r>
          </w:p>
          <w:p w14:paraId="42C55900" w14:textId="05183795" w:rsidR="004D7884" w:rsidRDefault="004D7884" w:rsidP="00861F4D">
            <w:pPr>
              <w:pStyle w:val="Tabletext1"/>
              <w:spacing w:before="40" w:after="40" w:line="288" w:lineRule="auto"/>
            </w:pPr>
            <w:r>
              <w:t>M</w:t>
            </w:r>
            <w:r w:rsidR="00292821">
              <w:t xml:space="preserve">ean age </w:t>
            </w:r>
            <w:r w:rsidR="00292821" w:rsidRPr="00EB3E11">
              <w:t>69.4 (</w:t>
            </w:r>
            <w:r w:rsidR="00292821">
              <w:t xml:space="preserve">range </w:t>
            </w:r>
            <w:r w:rsidR="00292821" w:rsidRPr="00EB3E11">
              <w:t>56</w:t>
            </w:r>
            <w:r w:rsidR="00D35E9C">
              <w:t>–</w:t>
            </w:r>
            <w:r w:rsidR="00292821" w:rsidRPr="00EB3E11">
              <w:t>82) years</w:t>
            </w:r>
          </w:p>
          <w:p w14:paraId="27F42A0C" w14:textId="77777777" w:rsidR="00292821" w:rsidRPr="00095CDF" w:rsidRDefault="00292821" w:rsidP="00861F4D">
            <w:pPr>
              <w:pStyle w:val="Tabletext1"/>
              <w:spacing w:before="40" w:after="40" w:line="288" w:lineRule="auto"/>
            </w:pPr>
            <w:r>
              <w:t>Comorbidities (n, %) were: pulmonary disease (19, 40.4%), cardiovascular disease (39, 83%), diabetes mellitus (16, 34%), renal insufficiency (2, 4.3%), refusal of surgery (1, 2.1%)</w:t>
            </w:r>
          </w:p>
        </w:tc>
        <w:tc>
          <w:tcPr>
            <w:tcW w:w="707" w:type="pct"/>
            <w:tcBorders>
              <w:top w:val="single" w:sz="4" w:space="0" w:color="auto"/>
              <w:left w:val="single" w:sz="4" w:space="0" w:color="auto"/>
              <w:bottom w:val="single" w:sz="4" w:space="0" w:color="auto"/>
              <w:right w:val="single" w:sz="4" w:space="0" w:color="auto"/>
            </w:tcBorders>
          </w:tcPr>
          <w:p w14:paraId="5CFDC80D" w14:textId="77777777" w:rsidR="00C5310D" w:rsidRDefault="00C5310D" w:rsidP="00861F4D">
            <w:pPr>
              <w:pStyle w:val="Tabletext1"/>
              <w:spacing w:before="40" w:after="40" w:line="288" w:lineRule="auto"/>
            </w:pPr>
            <w:r w:rsidRPr="00C5310D">
              <w:rPr>
                <w:u w:val="single"/>
              </w:rPr>
              <w:t>Intervention: CT-guided MTA</w:t>
            </w:r>
            <w:r w:rsidRPr="00C5310D">
              <w:t xml:space="preserve"> </w:t>
            </w:r>
          </w:p>
          <w:p w14:paraId="0EF095AF" w14:textId="77777777" w:rsidR="00C5310D" w:rsidRDefault="00C5310D" w:rsidP="00861F4D">
            <w:pPr>
              <w:pStyle w:val="Tabletext1"/>
              <w:spacing w:before="40" w:after="40" w:line="288" w:lineRule="auto"/>
            </w:pPr>
            <w:r>
              <w:t>Local anaesthesia</w:t>
            </w:r>
          </w:p>
          <w:p w14:paraId="3EAB10D3" w14:textId="2EF0624A" w:rsidR="00292821" w:rsidRDefault="00C5310D" w:rsidP="00861F4D">
            <w:pPr>
              <w:pStyle w:val="Tabletext1"/>
              <w:spacing w:before="40" w:after="40" w:line="288" w:lineRule="auto"/>
            </w:pPr>
            <w:r>
              <w:t>D</w:t>
            </w:r>
            <w:r w:rsidR="00292821">
              <w:t>uration</w:t>
            </w:r>
            <w:r w:rsidR="00292821" w:rsidRPr="001142BB">
              <w:t xml:space="preserve">: </w:t>
            </w:r>
            <w:r w:rsidR="00292821" w:rsidRPr="00EB3E11">
              <w:t>preset ablation time was 6</w:t>
            </w:r>
            <w:r w:rsidR="00D35E9C" w:rsidRPr="00D35E9C">
              <w:t>–</w:t>
            </w:r>
            <w:r w:rsidR="00292821" w:rsidRPr="00EB3E11">
              <w:t>8 minutes</w:t>
            </w:r>
          </w:p>
          <w:p w14:paraId="43B1359C"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00627C0A" w14:textId="77777777" w:rsidR="00292821" w:rsidRDefault="00292821" w:rsidP="00861F4D">
            <w:pPr>
              <w:pStyle w:val="Tabletext1"/>
              <w:spacing w:before="40" w:after="40" w:line="288" w:lineRule="auto"/>
              <w:ind w:left="34"/>
            </w:pPr>
            <w:r>
              <w:t xml:space="preserve">1. Overall survival and local control: </w:t>
            </w:r>
            <w:r w:rsidRPr="00EB3E11">
              <w:t>Kaplan-Meier test (for all survival outcomes)</w:t>
            </w:r>
          </w:p>
          <w:p w14:paraId="5D3D415B" w14:textId="77777777" w:rsidR="00292821" w:rsidRDefault="00292821" w:rsidP="00861F4D">
            <w:pPr>
              <w:pStyle w:val="Tabletext1"/>
              <w:spacing w:before="40" w:after="40" w:line="288" w:lineRule="auto"/>
              <w:ind w:left="34"/>
            </w:pPr>
            <w:r>
              <w:t xml:space="preserve">2. </w:t>
            </w:r>
            <w:r w:rsidRPr="00EB3E11">
              <w:t>Local progression</w:t>
            </w:r>
            <w:r>
              <w:t xml:space="preserve">: </w:t>
            </w:r>
            <w:r w:rsidRPr="00EB3E11">
              <w:t>defined as the contrast enhancement by CT scans in the site of ablation</w:t>
            </w:r>
          </w:p>
          <w:p w14:paraId="120122F8" w14:textId="77777777" w:rsidR="00292821" w:rsidRDefault="00292821" w:rsidP="00861F4D">
            <w:pPr>
              <w:pStyle w:val="Tabletext1"/>
              <w:spacing w:before="40" w:after="40" w:line="288" w:lineRule="auto"/>
              <w:ind w:left="34"/>
            </w:pPr>
            <w:r>
              <w:t>3. T</w:t>
            </w:r>
            <w:r w:rsidRPr="00EB3E11">
              <w:t>herapeutic outcome of M</w:t>
            </w:r>
            <w:r>
              <w:t>T</w:t>
            </w:r>
            <w:r w:rsidRPr="00EB3E11">
              <w:t>A</w:t>
            </w:r>
            <w:r>
              <w:t>:</w:t>
            </w:r>
            <w:r w:rsidRPr="00EB3E11">
              <w:t xml:space="preserve"> measured using the modified RECIST criteria</w:t>
            </w:r>
          </w:p>
          <w:p w14:paraId="50A73CF7" w14:textId="77777777" w:rsidR="00292821" w:rsidRPr="00095CDF" w:rsidRDefault="00292821" w:rsidP="00861F4D">
            <w:pPr>
              <w:pStyle w:val="Tabletext1"/>
              <w:spacing w:before="40" w:after="40" w:line="288" w:lineRule="auto"/>
              <w:ind w:left="34"/>
            </w:pPr>
            <w:r>
              <w:t xml:space="preserve">4. Adverse events: </w:t>
            </w:r>
            <w:r w:rsidRPr="00F22662">
              <w:t xml:space="preserve">reported according to terminology outlined by Ahmed et al </w:t>
            </w:r>
            <w:r>
              <w:t>(2014) and Goldberg et al (2005)</w:t>
            </w:r>
          </w:p>
        </w:tc>
      </w:tr>
      <w:tr w:rsidR="00EE2884" w:rsidRPr="00095CDF" w14:paraId="59366CD8" w14:textId="77777777" w:rsidTr="008605F3">
        <w:trPr>
          <w:cantSplit/>
          <w:trHeight w:val="319"/>
        </w:trPr>
        <w:tc>
          <w:tcPr>
            <w:tcW w:w="565" w:type="pct"/>
            <w:tcBorders>
              <w:top w:val="single" w:sz="4" w:space="0" w:color="auto"/>
              <w:left w:val="single" w:sz="4" w:space="0" w:color="auto"/>
              <w:bottom w:val="single" w:sz="4" w:space="0" w:color="auto"/>
            </w:tcBorders>
            <w:shd w:val="clear" w:color="auto" w:fill="D9D9D9" w:themeFill="background1" w:themeFillShade="D9"/>
          </w:tcPr>
          <w:p w14:paraId="70E1C0A2" w14:textId="77777777" w:rsidR="00EE2884" w:rsidRPr="00EE2884" w:rsidRDefault="00EE2884" w:rsidP="00861F4D">
            <w:pPr>
              <w:spacing w:before="40" w:after="40" w:line="288" w:lineRule="auto"/>
              <w:rPr>
                <w:rFonts w:ascii="Arial Narrow" w:hAnsi="Arial Narrow"/>
                <w:b/>
                <w:sz w:val="20"/>
                <w:szCs w:val="20"/>
              </w:rPr>
            </w:pPr>
            <w:r w:rsidRPr="00EE2884">
              <w:rPr>
                <w:rFonts w:ascii="Arial Narrow" w:hAnsi="Arial Narrow"/>
                <w:b/>
                <w:sz w:val="20"/>
                <w:szCs w:val="20"/>
              </w:rPr>
              <w:t>POPULATION 2</w:t>
            </w:r>
          </w:p>
        </w:tc>
        <w:tc>
          <w:tcPr>
            <w:tcW w:w="738" w:type="pct"/>
            <w:gridSpan w:val="2"/>
            <w:tcBorders>
              <w:top w:val="single" w:sz="4" w:space="0" w:color="auto"/>
              <w:bottom w:val="single" w:sz="4" w:space="0" w:color="auto"/>
            </w:tcBorders>
            <w:shd w:val="clear" w:color="auto" w:fill="D9D9D9" w:themeFill="background1" w:themeFillShade="D9"/>
          </w:tcPr>
          <w:p w14:paraId="1FA7F00E" w14:textId="77777777" w:rsidR="00EE2884" w:rsidRPr="00EE2884" w:rsidRDefault="00EE2884" w:rsidP="00861F4D">
            <w:pPr>
              <w:pStyle w:val="Tabletext1"/>
              <w:spacing w:before="40" w:after="40" w:line="288" w:lineRule="auto"/>
              <w:rPr>
                <w:b/>
              </w:rPr>
            </w:pPr>
          </w:p>
        </w:tc>
        <w:tc>
          <w:tcPr>
            <w:tcW w:w="1493" w:type="pct"/>
            <w:tcBorders>
              <w:top w:val="single" w:sz="4" w:space="0" w:color="auto"/>
              <w:bottom w:val="single" w:sz="4" w:space="0" w:color="auto"/>
            </w:tcBorders>
            <w:shd w:val="clear" w:color="auto" w:fill="D9D9D9" w:themeFill="background1" w:themeFillShade="D9"/>
          </w:tcPr>
          <w:p w14:paraId="08B0FD77" w14:textId="77777777" w:rsidR="00EE2884" w:rsidRPr="00EE2884" w:rsidRDefault="00EE2884" w:rsidP="00861F4D">
            <w:pPr>
              <w:pStyle w:val="Tabletext1"/>
              <w:spacing w:before="40" w:after="40" w:line="288" w:lineRule="auto"/>
              <w:rPr>
                <w:b/>
              </w:rPr>
            </w:pPr>
          </w:p>
        </w:tc>
        <w:tc>
          <w:tcPr>
            <w:tcW w:w="707" w:type="pct"/>
            <w:tcBorders>
              <w:top w:val="single" w:sz="4" w:space="0" w:color="auto"/>
              <w:bottom w:val="single" w:sz="4" w:space="0" w:color="auto"/>
            </w:tcBorders>
            <w:shd w:val="clear" w:color="auto" w:fill="D9D9D9" w:themeFill="background1" w:themeFillShade="D9"/>
          </w:tcPr>
          <w:p w14:paraId="08F87070" w14:textId="77777777" w:rsidR="00EE2884" w:rsidRPr="00EE2884" w:rsidRDefault="00EE2884" w:rsidP="00861F4D">
            <w:pPr>
              <w:pStyle w:val="Tabletext1"/>
              <w:spacing w:before="40" w:after="40" w:line="288" w:lineRule="auto"/>
              <w:rPr>
                <w:b/>
                <w:u w:val="single"/>
              </w:rPr>
            </w:pPr>
          </w:p>
        </w:tc>
        <w:tc>
          <w:tcPr>
            <w:tcW w:w="1497" w:type="pct"/>
            <w:tcBorders>
              <w:top w:val="single" w:sz="4" w:space="0" w:color="auto"/>
              <w:bottom w:val="single" w:sz="4" w:space="0" w:color="auto"/>
              <w:right w:val="single" w:sz="4" w:space="0" w:color="auto"/>
            </w:tcBorders>
            <w:shd w:val="clear" w:color="auto" w:fill="D9D9D9" w:themeFill="background1" w:themeFillShade="D9"/>
          </w:tcPr>
          <w:p w14:paraId="3DFE20A0" w14:textId="77777777" w:rsidR="00EE2884" w:rsidRDefault="00EE2884" w:rsidP="00861F4D">
            <w:pPr>
              <w:pStyle w:val="Tabletext1"/>
              <w:spacing w:before="40" w:after="40" w:line="288" w:lineRule="auto"/>
              <w:ind w:left="34"/>
            </w:pPr>
          </w:p>
        </w:tc>
      </w:tr>
      <w:tr w:rsidR="00292821" w:rsidRPr="00095CDF" w14:paraId="3A57C0CE"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17FA88B1" w14:textId="77777777" w:rsidR="00292821" w:rsidRDefault="00292821" w:rsidP="00861F4D">
            <w:pPr>
              <w:spacing w:before="40" w:after="40" w:line="288" w:lineRule="auto"/>
              <w:rPr>
                <w:rFonts w:ascii="Arial Narrow" w:hAnsi="Arial Narrow"/>
                <w:sz w:val="20"/>
                <w:szCs w:val="20"/>
              </w:rPr>
            </w:pPr>
            <w:r>
              <w:rPr>
                <w:rFonts w:ascii="Arial Narrow" w:hAnsi="Arial Narrow"/>
                <w:sz w:val="20"/>
                <w:szCs w:val="20"/>
              </w:rPr>
              <w:t>Qi et al (2015)</w:t>
            </w:r>
          </w:p>
          <w:p w14:paraId="015AA933" w14:textId="77777777" w:rsidR="00496C1D" w:rsidRDefault="00496C1D" w:rsidP="00861F4D">
            <w:pPr>
              <w:pStyle w:val="Tabletext1"/>
              <w:spacing w:before="40" w:after="40" w:line="288" w:lineRule="auto"/>
            </w:pPr>
            <w:r>
              <w:t>China</w:t>
            </w:r>
          </w:p>
          <w:p w14:paraId="0E19B42A" w14:textId="77777777" w:rsidR="00496C1D" w:rsidRPr="00095CDF" w:rsidRDefault="00496C1D" w:rsidP="00861F4D">
            <w:pPr>
              <w:spacing w:before="40" w:after="40" w:line="288" w:lineRule="auto"/>
              <w:rPr>
                <w:rFonts w:ascii="Arial Narrow" w:hAnsi="Arial Narrow"/>
                <w:sz w:val="20"/>
                <w:szCs w:val="20"/>
              </w:rPr>
            </w:pPr>
          </w:p>
        </w:tc>
        <w:tc>
          <w:tcPr>
            <w:tcW w:w="738" w:type="pct"/>
            <w:gridSpan w:val="2"/>
            <w:tcBorders>
              <w:top w:val="single" w:sz="4" w:space="0" w:color="auto"/>
              <w:left w:val="single" w:sz="4" w:space="0" w:color="auto"/>
              <w:bottom w:val="single" w:sz="4" w:space="0" w:color="auto"/>
              <w:right w:val="single" w:sz="4" w:space="0" w:color="auto"/>
            </w:tcBorders>
          </w:tcPr>
          <w:p w14:paraId="0B21704D" w14:textId="77777777" w:rsidR="00292821" w:rsidRDefault="00292821" w:rsidP="00861F4D">
            <w:pPr>
              <w:pStyle w:val="Tabletext1"/>
              <w:spacing w:before="40" w:after="40" w:line="288" w:lineRule="auto"/>
            </w:pPr>
            <w:r>
              <w:t>Retrospective CS</w:t>
            </w:r>
          </w:p>
          <w:p w14:paraId="1CDDEC11" w14:textId="77777777" w:rsidR="00242EBD" w:rsidRDefault="00242EBD" w:rsidP="00861F4D">
            <w:pPr>
              <w:pStyle w:val="Tabletext1"/>
              <w:spacing w:before="40" w:after="40" w:line="288" w:lineRule="auto"/>
            </w:pPr>
            <w:r>
              <w:t>Level IV</w:t>
            </w:r>
          </w:p>
          <w:p w14:paraId="08B5F8D8" w14:textId="77777777" w:rsidR="00292821" w:rsidRDefault="00292821" w:rsidP="00861F4D">
            <w:pPr>
              <w:pStyle w:val="Tabletext1"/>
              <w:spacing w:before="40" w:after="40" w:line="288" w:lineRule="auto"/>
            </w:pPr>
            <w:r>
              <w:t>Risk of bias: High</w:t>
            </w:r>
          </w:p>
          <w:p w14:paraId="48183C30" w14:textId="77777777" w:rsidR="00292821" w:rsidRDefault="00292821" w:rsidP="00861F4D">
            <w:pPr>
              <w:pStyle w:val="Tabletext1"/>
              <w:spacing w:before="40" w:after="40" w:line="288" w:lineRule="auto"/>
            </w:pPr>
            <w:r>
              <w:t>Hospital setting</w:t>
            </w:r>
          </w:p>
          <w:p w14:paraId="64C9EB18" w14:textId="6E1694F8" w:rsidR="00292821" w:rsidRDefault="00292821" w:rsidP="00861F4D">
            <w:pPr>
              <w:pStyle w:val="Tabletext1"/>
              <w:spacing w:before="40" w:after="40" w:line="288" w:lineRule="auto"/>
            </w:pPr>
            <w:r>
              <w:t xml:space="preserve">Mean: 14 </w:t>
            </w:r>
            <w:r w:rsidRPr="00ED4F3B">
              <w:t>(3</w:t>
            </w:r>
            <w:r w:rsidR="00D35E9C">
              <w:t>–</w:t>
            </w:r>
            <w:r w:rsidRPr="00ED4F3B">
              <w:t>24) months</w:t>
            </w:r>
          </w:p>
        </w:tc>
        <w:tc>
          <w:tcPr>
            <w:tcW w:w="1493" w:type="pct"/>
            <w:tcBorders>
              <w:top w:val="single" w:sz="4" w:space="0" w:color="auto"/>
              <w:left w:val="single" w:sz="4" w:space="0" w:color="auto"/>
              <w:bottom w:val="single" w:sz="4" w:space="0" w:color="auto"/>
              <w:right w:val="single" w:sz="4" w:space="0" w:color="auto"/>
            </w:tcBorders>
          </w:tcPr>
          <w:p w14:paraId="314CDE39" w14:textId="77777777" w:rsidR="004D7884" w:rsidRDefault="00292821" w:rsidP="00861F4D">
            <w:pPr>
              <w:pStyle w:val="Tabletext1"/>
              <w:spacing w:before="40" w:after="40" w:line="288" w:lineRule="auto"/>
            </w:pPr>
            <w:r w:rsidRPr="00ED4F3B">
              <w:t>Patients with lung metastases (from nasopharyngeal carcinoma) whose primary lesions were in complete remission</w:t>
            </w:r>
          </w:p>
          <w:p w14:paraId="6CF5F6C3" w14:textId="77777777" w:rsidR="004D7884" w:rsidRDefault="00C10752" w:rsidP="00861F4D">
            <w:pPr>
              <w:pStyle w:val="Tabletext1"/>
              <w:spacing w:before="40" w:after="40" w:line="288" w:lineRule="auto"/>
            </w:pPr>
            <w:r>
              <w:t xml:space="preserve">N = </w:t>
            </w:r>
            <w:r w:rsidR="004D7884">
              <w:t>17 (29)</w:t>
            </w:r>
          </w:p>
          <w:p w14:paraId="330890AD" w14:textId="71755A6E" w:rsidR="004D7884" w:rsidRDefault="004D7884" w:rsidP="00861F4D">
            <w:pPr>
              <w:pStyle w:val="Tabletext1"/>
              <w:spacing w:before="40" w:after="40" w:line="288" w:lineRule="auto"/>
            </w:pPr>
            <w:r>
              <w:t xml:space="preserve">Tumour size: </w:t>
            </w:r>
            <w:r w:rsidR="00292821" w:rsidRPr="00ED4F3B">
              <w:t>range: 8</w:t>
            </w:r>
            <w:r w:rsidR="00D35E9C">
              <w:t>–</w:t>
            </w:r>
            <w:r w:rsidR="00292821" w:rsidRPr="00ED4F3B">
              <w:t>42</w:t>
            </w:r>
            <w:r w:rsidR="00292821">
              <w:t xml:space="preserve"> mm</w:t>
            </w:r>
          </w:p>
          <w:p w14:paraId="6AA2FDCF" w14:textId="77777777" w:rsidR="004D7884" w:rsidRDefault="004D7884" w:rsidP="00861F4D">
            <w:pPr>
              <w:pStyle w:val="Tabletext1"/>
              <w:spacing w:before="40" w:after="40" w:line="288" w:lineRule="auto"/>
            </w:pPr>
            <w:r>
              <w:t>Male/Female ratio: 15:2</w:t>
            </w:r>
          </w:p>
          <w:p w14:paraId="09EFDA8D" w14:textId="2F99831D" w:rsidR="004D7884" w:rsidRDefault="004D7884" w:rsidP="00861F4D">
            <w:pPr>
              <w:pStyle w:val="Tabletext1"/>
              <w:spacing w:before="40" w:after="40" w:line="288" w:lineRule="auto"/>
            </w:pPr>
            <w:r>
              <w:t>M</w:t>
            </w:r>
            <w:r w:rsidR="00292821">
              <w:t xml:space="preserve">ean age </w:t>
            </w:r>
            <w:r w:rsidR="00292821" w:rsidRPr="00ED4F3B">
              <w:t>45.7 (</w:t>
            </w:r>
            <w:r w:rsidR="00292821">
              <w:t xml:space="preserve">range </w:t>
            </w:r>
            <w:r w:rsidR="00292821" w:rsidRPr="00ED4F3B">
              <w:t>28</w:t>
            </w:r>
            <w:r w:rsidR="00D35E9C">
              <w:t>–</w:t>
            </w:r>
            <w:r w:rsidR="00292821" w:rsidRPr="00ED4F3B">
              <w:t>65)</w:t>
            </w:r>
            <w:r w:rsidR="00292821">
              <w:t xml:space="preserve"> years</w:t>
            </w:r>
          </w:p>
          <w:p w14:paraId="519FF95C" w14:textId="77777777" w:rsidR="00292821" w:rsidRPr="001142BB" w:rsidRDefault="004D7884" w:rsidP="00861F4D">
            <w:pPr>
              <w:pStyle w:val="Tabletext1"/>
              <w:spacing w:before="40" w:after="40" w:line="288" w:lineRule="auto"/>
            </w:pPr>
            <w:r>
              <w:t>P</w:t>
            </w:r>
            <w:r w:rsidR="00292821">
              <w:t xml:space="preserve">rior treatments included (n, %): </w:t>
            </w:r>
            <w:r w:rsidR="00292821" w:rsidRPr="00ED4F3B">
              <w:t>radical radiotherapy (all patients), neoadjuvant/adjuvant chemotherapy</w:t>
            </w:r>
            <w:r w:rsidR="00292821">
              <w:t xml:space="preserve"> (</w:t>
            </w:r>
            <w:r w:rsidR="00292821" w:rsidRPr="00ED4F3B">
              <w:t>14</w:t>
            </w:r>
            <w:r w:rsidR="00292821">
              <w:t xml:space="preserve">, </w:t>
            </w:r>
            <w:r w:rsidR="00292821" w:rsidRPr="00ED4F3B">
              <w:t>(82%), failed systemic chemotherapy</w:t>
            </w:r>
            <w:r w:rsidR="00292821">
              <w:t xml:space="preserve"> (</w:t>
            </w:r>
            <w:r w:rsidR="00292821" w:rsidRPr="00ED4F3B">
              <w:t>10</w:t>
            </w:r>
            <w:r w:rsidR="00292821">
              <w:t xml:space="preserve">, </w:t>
            </w:r>
            <w:r w:rsidR="00292821" w:rsidRPr="00ED4F3B">
              <w:t>58.8%), recurrence after surgery</w:t>
            </w:r>
            <w:r w:rsidR="00292821">
              <w:t xml:space="preserve"> (2, </w:t>
            </w:r>
            <w:r w:rsidR="00292821" w:rsidRPr="00ED4F3B">
              <w:t>11.8%)</w:t>
            </w:r>
          </w:p>
        </w:tc>
        <w:tc>
          <w:tcPr>
            <w:tcW w:w="707" w:type="pct"/>
            <w:tcBorders>
              <w:top w:val="single" w:sz="4" w:space="0" w:color="auto"/>
              <w:left w:val="single" w:sz="4" w:space="0" w:color="auto"/>
              <w:bottom w:val="single" w:sz="4" w:space="0" w:color="auto"/>
              <w:right w:val="single" w:sz="4" w:space="0" w:color="auto"/>
            </w:tcBorders>
          </w:tcPr>
          <w:p w14:paraId="012E29B9" w14:textId="77777777" w:rsidR="00C5310D" w:rsidRDefault="00C5310D" w:rsidP="00861F4D">
            <w:pPr>
              <w:pStyle w:val="Tabletext1"/>
              <w:spacing w:before="40" w:after="40" w:line="288" w:lineRule="auto"/>
            </w:pPr>
            <w:r w:rsidRPr="00C5310D">
              <w:rPr>
                <w:u w:val="single"/>
              </w:rPr>
              <w:t>Intervention: CT-guided MTA</w:t>
            </w:r>
            <w:r w:rsidRPr="00C5310D">
              <w:t xml:space="preserve"> </w:t>
            </w:r>
          </w:p>
          <w:p w14:paraId="630355E0" w14:textId="77777777" w:rsidR="00C5310D" w:rsidRDefault="00C5310D" w:rsidP="00861F4D">
            <w:pPr>
              <w:pStyle w:val="Tabletext1"/>
              <w:spacing w:before="40" w:after="40" w:line="288" w:lineRule="auto"/>
            </w:pPr>
            <w:r>
              <w:t>Anaesthesia: NR</w:t>
            </w:r>
          </w:p>
          <w:p w14:paraId="12027102" w14:textId="70C5D0E1" w:rsidR="00292821" w:rsidRDefault="00C5310D" w:rsidP="00861F4D">
            <w:pPr>
              <w:pStyle w:val="Tabletext1"/>
              <w:spacing w:before="40" w:after="40" w:line="288" w:lineRule="auto"/>
            </w:pPr>
            <w:r>
              <w:t>D</w:t>
            </w:r>
            <w:r w:rsidR="00292821">
              <w:t>uration: range of 5</w:t>
            </w:r>
            <w:r w:rsidR="00D35E9C">
              <w:t>–</w:t>
            </w:r>
            <w:r w:rsidR="00292821">
              <w:t>10 minutes</w:t>
            </w:r>
          </w:p>
          <w:p w14:paraId="02B6179F" w14:textId="77777777" w:rsidR="003D7E37"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1EB4E397" w14:textId="77777777" w:rsidR="00292821" w:rsidRDefault="00292821" w:rsidP="00861F4D">
            <w:pPr>
              <w:pStyle w:val="Tabletext1"/>
              <w:spacing w:before="40" w:after="40" w:line="288" w:lineRule="auto"/>
              <w:ind w:left="34"/>
            </w:pPr>
            <w:r>
              <w:t xml:space="preserve">1. Treatment </w:t>
            </w:r>
            <w:r w:rsidRPr="00CA324F">
              <w:t>response</w:t>
            </w:r>
            <w:r>
              <w:t>: ssessed by CT</w:t>
            </w:r>
            <w:r w:rsidRPr="004F6A79">
              <w:rPr>
                <w:vertAlign w:val="superscript"/>
              </w:rPr>
              <w:t>d</w:t>
            </w:r>
          </w:p>
          <w:p w14:paraId="1C8BCD82" w14:textId="77777777" w:rsidR="00292821" w:rsidRPr="00EB3E11" w:rsidRDefault="00292821" w:rsidP="00861F4D">
            <w:pPr>
              <w:pStyle w:val="Tabletext1"/>
              <w:spacing w:before="40" w:after="40" w:line="288" w:lineRule="auto"/>
              <w:ind w:left="34"/>
            </w:pPr>
            <w:r>
              <w:t>2.  Local control: measured by number of new metastases inside the lung</w:t>
            </w:r>
          </w:p>
        </w:tc>
      </w:tr>
      <w:tr w:rsidR="00292821" w:rsidRPr="00095CDF" w14:paraId="1F2C4F57"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538C6ABD" w14:textId="77777777" w:rsidR="00292821" w:rsidRDefault="00292821" w:rsidP="00861F4D">
            <w:pPr>
              <w:pStyle w:val="Tabletext1"/>
              <w:spacing w:before="40" w:after="40" w:line="288" w:lineRule="auto"/>
            </w:pPr>
            <w:r>
              <w:lastRenderedPageBreak/>
              <w:t>Vogl et al 2015</w:t>
            </w:r>
          </w:p>
          <w:p w14:paraId="4CE7AE93" w14:textId="77777777" w:rsidR="00496C1D" w:rsidRDefault="00496C1D" w:rsidP="00861F4D">
            <w:pPr>
              <w:pStyle w:val="Tabletext1"/>
              <w:spacing w:before="40" w:after="40" w:line="288" w:lineRule="auto"/>
            </w:pPr>
            <w:r>
              <w:t>Germany</w:t>
            </w:r>
          </w:p>
          <w:p w14:paraId="6F21160A" w14:textId="77777777" w:rsidR="00496C1D" w:rsidRPr="00095CDF" w:rsidRDefault="00496C1D"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63577943" w14:textId="77777777" w:rsidR="00292821" w:rsidRDefault="00292821" w:rsidP="00861F4D">
            <w:pPr>
              <w:pStyle w:val="Tabletext1"/>
              <w:spacing w:before="40" w:after="40" w:line="288" w:lineRule="auto"/>
            </w:pPr>
            <w:r>
              <w:t>Prospective CS</w:t>
            </w:r>
          </w:p>
          <w:p w14:paraId="2DD3F474" w14:textId="77777777" w:rsidR="00242EBD" w:rsidRDefault="00242EBD" w:rsidP="00861F4D">
            <w:pPr>
              <w:pStyle w:val="Tabletext1"/>
              <w:spacing w:before="40" w:after="40" w:line="288" w:lineRule="auto"/>
            </w:pPr>
            <w:r>
              <w:t>Level IV</w:t>
            </w:r>
          </w:p>
          <w:p w14:paraId="3755DC4F" w14:textId="77777777" w:rsidR="00292821" w:rsidRDefault="00292821" w:rsidP="00861F4D">
            <w:pPr>
              <w:pStyle w:val="Tabletext1"/>
              <w:spacing w:before="40" w:after="40" w:line="288" w:lineRule="auto"/>
            </w:pPr>
            <w:r>
              <w:t>Risk of bias: High</w:t>
            </w:r>
          </w:p>
          <w:p w14:paraId="73F19831" w14:textId="77777777" w:rsidR="00292821" w:rsidRDefault="00292821" w:rsidP="00861F4D">
            <w:pPr>
              <w:pStyle w:val="Tabletext1"/>
              <w:spacing w:before="40" w:after="40" w:line="288" w:lineRule="auto"/>
            </w:pPr>
            <w:r>
              <w:t xml:space="preserve">Hospital setting </w:t>
            </w:r>
          </w:p>
          <w:p w14:paraId="1668734F" w14:textId="2F002810" w:rsidR="00292821" w:rsidRPr="00095CDF" w:rsidRDefault="00292821" w:rsidP="00861F4D">
            <w:pPr>
              <w:pStyle w:val="Tabletext1"/>
              <w:spacing w:before="40" w:after="40" w:line="288" w:lineRule="auto"/>
            </w:pPr>
            <w:r>
              <w:t xml:space="preserve">Mean: </w:t>
            </w:r>
            <w:r w:rsidRPr="00CA324F">
              <w:t>9 (6</w:t>
            </w:r>
            <w:r w:rsidR="00D35E9C">
              <w:t>–</w:t>
            </w:r>
            <w:r w:rsidRPr="00CA324F">
              <w:t>24) months</w:t>
            </w:r>
          </w:p>
        </w:tc>
        <w:tc>
          <w:tcPr>
            <w:tcW w:w="1493" w:type="pct"/>
            <w:tcBorders>
              <w:top w:val="single" w:sz="4" w:space="0" w:color="auto"/>
              <w:left w:val="single" w:sz="4" w:space="0" w:color="auto"/>
              <w:bottom w:val="single" w:sz="4" w:space="0" w:color="auto"/>
              <w:right w:val="single" w:sz="4" w:space="0" w:color="auto"/>
            </w:tcBorders>
          </w:tcPr>
          <w:p w14:paraId="401C5991" w14:textId="77777777" w:rsidR="004D7884" w:rsidRDefault="00292821" w:rsidP="00861F4D">
            <w:pPr>
              <w:pStyle w:val="Tabletext1"/>
              <w:spacing w:before="40" w:after="40" w:line="288" w:lineRule="auto"/>
            </w:pPr>
            <w:r w:rsidRPr="00CA324F">
              <w:t>Patients with surgically unresectable lung metastases or recurrence after prior excision, whose primary lesions were under control</w:t>
            </w:r>
          </w:p>
          <w:p w14:paraId="1AA4EE8A" w14:textId="77777777" w:rsidR="004D7884" w:rsidRDefault="00C10752" w:rsidP="00861F4D">
            <w:pPr>
              <w:pStyle w:val="Tabletext1"/>
              <w:spacing w:before="40" w:after="40" w:line="288" w:lineRule="auto"/>
            </w:pPr>
            <w:r>
              <w:t xml:space="preserve">N = </w:t>
            </w:r>
            <w:r w:rsidR="004D7884">
              <w:t>80 (130)</w:t>
            </w:r>
          </w:p>
          <w:p w14:paraId="445FD5F6" w14:textId="0CBA457C" w:rsidR="004D7884" w:rsidRDefault="004D7884" w:rsidP="00861F4D">
            <w:pPr>
              <w:pStyle w:val="Tabletext1"/>
              <w:spacing w:before="40" w:after="40" w:line="288" w:lineRule="auto"/>
            </w:pPr>
            <w:r>
              <w:t>Tumour</w:t>
            </w:r>
            <w:r w:rsidR="00292821">
              <w:t xml:space="preserve"> </w:t>
            </w:r>
            <w:r w:rsidR="00292821" w:rsidRPr="00CA324F">
              <w:t>volume: 2.9 mL range (0.25</w:t>
            </w:r>
            <w:r w:rsidR="00D35E9C">
              <w:t>–</w:t>
            </w:r>
            <w:r w:rsidR="00292821" w:rsidRPr="00CA324F">
              <w:t>8.2)</w:t>
            </w:r>
          </w:p>
          <w:p w14:paraId="2BA01031" w14:textId="77777777" w:rsidR="004D7884" w:rsidRDefault="00292821" w:rsidP="00861F4D">
            <w:pPr>
              <w:pStyle w:val="Tabletext1"/>
              <w:spacing w:before="40" w:after="40" w:line="288" w:lineRule="auto"/>
            </w:pPr>
            <w:r>
              <w:t>Male/Female ratio: 30:50</w:t>
            </w:r>
          </w:p>
          <w:p w14:paraId="3699E8C4" w14:textId="1A5EE456" w:rsidR="004D7884" w:rsidRDefault="004D7884" w:rsidP="00861F4D">
            <w:pPr>
              <w:pStyle w:val="Tabletext1"/>
              <w:spacing w:before="40" w:after="40" w:line="288" w:lineRule="auto"/>
            </w:pPr>
            <w:r>
              <w:t>M</w:t>
            </w:r>
            <w:r w:rsidR="00292821">
              <w:t>ean age 59.7 (range 48</w:t>
            </w:r>
            <w:r w:rsidR="00D35E9C">
              <w:t>–</w:t>
            </w:r>
            <w:r w:rsidR="00292821">
              <w:t>68) years</w:t>
            </w:r>
          </w:p>
          <w:p w14:paraId="49836D30" w14:textId="77777777" w:rsidR="00292821" w:rsidRPr="00095CDF" w:rsidRDefault="004D7884" w:rsidP="00861F4D">
            <w:pPr>
              <w:pStyle w:val="Tabletext1"/>
              <w:spacing w:before="40" w:after="40" w:line="288" w:lineRule="auto"/>
            </w:pPr>
            <w:r>
              <w:t>P</w:t>
            </w:r>
            <w:r w:rsidR="00292821">
              <w:t>rimary tumour</w:t>
            </w:r>
            <w:r>
              <w:t xml:space="preserve"> </w:t>
            </w:r>
            <w:r w:rsidR="00292821" w:rsidRPr="00154915">
              <w:t>(patients/lesions): colorectal carcinoma (40/58), breast carcinoma (20/32), hepatocellular carcinoma (10/30), renal cell carcinoma (5/5), bronchogenic carcinoma (5/5)</w:t>
            </w:r>
            <w:r w:rsidR="00292821">
              <w:t xml:space="preserve">, prior treatments (n, %): (5, </w:t>
            </w:r>
            <w:r w:rsidR="00292821" w:rsidRPr="00154915">
              <w:t>56.3%) surgical resection of primary cancer</w:t>
            </w:r>
            <w:r w:rsidR="00292821">
              <w:t xml:space="preserve"> (45, 56.3%)</w:t>
            </w:r>
            <w:r w:rsidR="00292821" w:rsidRPr="00154915">
              <w:t>, systemic chemotherapy</w:t>
            </w:r>
            <w:r w:rsidR="00292821">
              <w:t xml:space="preserve"> (45, 56.3%)</w:t>
            </w:r>
            <w:r w:rsidR="00292821" w:rsidRPr="00154915">
              <w:t>, radiation therapy for primary cancer</w:t>
            </w:r>
            <w:r w:rsidR="00292821">
              <w:t xml:space="preserve"> (13, 16.3%)</w:t>
            </w:r>
            <w:r w:rsidR="00292821" w:rsidRPr="00154915">
              <w:t>, surgical resection of liver metastases</w:t>
            </w:r>
            <w:r w:rsidR="00292821">
              <w:t xml:space="preserve"> (22, 27.5%</w:t>
            </w:r>
            <w:r w:rsidR="00292821" w:rsidRPr="00154915">
              <w:t xml:space="preserve">) surgical resection of lung metastases </w:t>
            </w:r>
            <w:r w:rsidR="00292821">
              <w:t>(5, 6.3%)</w:t>
            </w:r>
            <w:r w:rsidR="00292821" w:rsidRPr="00154915">
              <w:t xml:space="preserve">, mastectomy </w:t>
            </w:r>
            <w:r w:rsidR="00292821">
              <w:t>(20,  25%)</w:t>
            </w:r>
            <w:r w:rsidR="00292821" w:rsidRPr="00154915">
              <w:t>, chemotherapy plus hormone therapy</w:t>
            </w:r>
            <w:r w:rsidR="00292821">
              <w:t xml:space="preserve"> (7, 8.8%)</w:t>
            </w:r>
            <w:r w:rsidR="00292821" w:rsidRPr="00154915">
              <w:t>,lobectomy or segmentectomy</w:t>
            </w:r>
            <w:r w:rsidR="00292821">
              <w:t xml:space="preserve"> (3, 3.8%), </w:t>
            </w:r>
            <w:r w:rsidR="00292821" w:rsidRPr="00154915">
              <w:t>transarterial chemoablation</w:t>
            </w:r>
            <w:r w:rsidR="00292821">
              <w:t xml:space="preserve">, </w:t>
            </w:r>
            <w:r w:rsidR="00292821" w:rsidRPr="00154915">
              <w:t>total or partial nephrectomy</w:t>
            </w:r>
            <w:r w:rsidR="00292821">
              <w:t>(5, 6.3%)</w:t>
            </w:r>
            <w:r w:rsidR="00292821" w:rsidRPr="00154915">
              <w:t xml:space="preserve">, radiation therapy </w:t>
            </w:r>
            <w:r w:rsidR="00292821">
              <w:t xml:space="preserve"> </w:t>
            </w:r>
            <w:r w:rsidR="00292821" w:rsidRPr="00154915">
              <w:t>non specified</w:t>
            </w:r>
            <w:r w:rsidR="00292821">
              <w:t xml:space="preserve"> (3, 3.8%)</w:t>
            </w:r>
          </w:p>
        </w:tc>
        <w:tc>
          <w:tcPr>
            <w:tcW w:w="707" w:type="pct"/>
            <w:tcBorders>
              <w:top w:val="single" w:sz="4" w:space="0" w:color="auto"/>
              <w:left w:val="single" w:sz="4" w:space="0" w:color="auto"/>
              <w:bottom w:val="single" w:sz="4" w:space="0" w:color="auto"/>
              <w:right w:val="single" w:sz="4" w:space="0" w:color="auto"/>
            </w:tcBorders>
          </w:tcPr>
          <w:p w14:paraId="520096F0" w14:textId="77777777" w:rsidR="00C5310D" w:rsidRDefault="00C5310D" w:rsidP="00861F4D">
            <w:pPr>
              <w:pStyle w:val="Tabletext1"/>
              <w:spacing w:before="40" w:after="40" w:line="288" w:lineRule="auto"/>
            </w:pPr>
            <w:r w:rsidRPr="00C5310D">
              <w:rPr>
                <w:u w:val="single"/>
              </w:rPr>
              <w:t>Intervention: CT-guided MTA</w:t>
            </w:r>
            <w:r w:rsidRPr="00C5310D">
              <w:t xml:space="preserve"> </w:t>
            </w:r>
          </w:p>
          <w:p w14:paraId="7BAB607B" w14:textId="77777777" w:rsidR="005A1CE5" w:rsidRDefault="005A1CE5" w:rsidP="00861F4D">
            <w:pPr>
              <w:pStyle w:val="Tabletext1"/>
              <w:spacing w:before="40" w:after="40" w:line="288" w:lineRule="auto"/>
            </w:pPr>
            <w:r>
              <w:t>Conscious sedation</w:t>
            </w:r>
          </w:p>
          <w:p w14:paraId="78A15314" w14:textId="1DC96F50" w:rsidR="00292821" w:rsidRDefault="00C5310D" w:rsidP="00861F4D">
            <w:pPr>
              <w:pStyle w:val="Tabletext1"/>
              <w:spacing w:before="40" w:after="40" w:line="288" w:lineRule="auto"/>
            </w:pPr>
            <w:r>
              <w:t>D</w:t>
            </w:r>
            <w:r w:rsidR="00292821">
              <w:t xml:space="preserve">uration: </w:t>
            </w:r>
            <w:r w:rsidR="00292821" w:rsidRPr="00381894">
              <w:t>mean</w:t>
            </w:r>
            <w:r w:rsidR="00292821">
              <w:t xml:space="preserve"> </w:t>
            </w:r>
            <w:r w:rsidR="00292821" w:rsidRPr="00381894">
              <w:t>15 minutes (range: 10</w:t>
            </w:r>
            <w:r w:rsidR="00D35E9C">
              <w:t>–</w:t>
            </w:r>
            <w:r w:rsidR="00292821" w:rsidRPr="00381894">
              <w:t>30)</w:t>
            </w:r>
          </w:p>
          <w:p w14:paraId="5FFD24F8"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0D801DEE" w14:textId="77777777" w:rsidR="00292821" w:rsidRDefault="00292821" w:rsidP="00861F4D">
            <w:pPr>
              <w:pStyle w:val="Tabletext1"/>
              <w:spacing w:before="40" w:after="40" w:line="288" w:lineRule="auto"/>
              <w:ind w:left="34"/>
            </w:pPr>
            <w:r>
              <w:t xml:space="preserve">1. </w:t>
            </w:r>
            <w:r w:rsidRPr="00381894">
              <w:t>Local tumour response</w:t>
            </w:r>
            <w:r>
              <w:t xml:space="preserve">: </w:t>
            </w:r>
            <w:r w:rsidRPr="00381894">
              <w:t>evaluated by measurements of maximal axial dimensions, tumour volumetric changes, and contrast enhanceme</w:t>
            </w:r>
            <w:r>
              <w:t>nt patterns on follow-up images</w:t>
            </w:r>
          </w:p>
          <w:p w14:paraId="0708F327" w14:textId="77777777" w:rsidR="00292821" w:rsidRDefault="00292821" w:rsidP="00861F4D">
            <w:pPr>
              <w:pStyle w:val="Tabletext1"/>
              <w:spacing w:before="40" w:after="40" w:line="288" w:lineRule="auto"/>
              <w:ind w:left="34"/>
            </w:pPr>
            <w:r>
              <w:t xml:space="preserve">2. Success or failure of ablation: </w:t>
            </w:r>
            <w:r w:rsidRPr="00381894">
              <w:t>the contrast enhancement pattern</w:t>
            </w:r>
            <w:r>
              <w:rPr>
                <w:vertAlign w:val="superscript"/>
              </w:rPr>
              <w:t>d</w:t>
            </w:r>
            <w:r w:rsidRPr="00381894">
              <w:t xml:space="preserve"> </w:t>
            </w:r>
          </w:p>
          <w:p w14:paraId="7D64E1C7" w14:textId="77777777" w:rsidR="00292821" w:rsidRDefault="00292821" w:rsidP="00861F4D">
            <w:pPr>
              <w:pStyle w:val="Tabletext1"/>
              <w:spacing w:before="40" w:after="40" w:line="288" w:lineRule="auto"/>
              <w:ind w:left="34"/>
            </w:pPr>
            <w:r>
              <w:t>3. S</w:t>
            </w:r>
            <w:r w:rsidRPr="009B4CBA">
              <w:t>urvival times</w:t>
            </w:r>
            <w:r>
              <w:t>: Kaplan-Meier test.</w:t>
            </w:r>
          </w:p>
          <w:p w14:paraId="22367B7E" w14:textId="77777777" w:rsidR="00292821" w:rsidRPr="00E37833" w:rsidRDefault="00292821" w:rsidP="00861F4D">
            <w:pPr>
              <w:pStyle w:val="Tabletext1"/>
              <w:spacing w:before="40" w:after="40" w:line="288" w:lineRule="auto"/>
              <w:ind w:left="34"/>
            </w:pPr>
            <w:r>
              <w:t>4. P</w:t>
            </w:r>
            <w:r w:rsidRPr="009B4CBA">
              <w:t xml:space="preserve">eri procedural </w:t>
            </w:r>
            <w:r>
              <w:t>adverse events: estimated by classifying pneumothorax</w:t>
            </w:r>
            <w:r>
              <w:rPr>
                <w:vertAlign w:val="superscript"/>
              </w:rPr>
              <w:t>e</w:t>
            </w:r>
          </w:p>
        </w:tc>
      </w:tr>
      <w:tr w:rsidR="00EE2884" w:rsidRPr="00095CDF" w14:paraId="0A49C5CB" w14:textId="77777777" w:rsidTr="008605F3">
        <w:trPr>
          <w:cantSplit/>
          <w:trHeight w:val="319"/>
        </w:trPr>
        <w:tc>
          <w:tcPr>
            <w:tcW w:w="565" w:type="pct"/>
            <w:tcBorders>
              <w:top w:val="single" w:sz="4" w:space="0" w:color="auto"/>
              <w:left w:val="single" w:sz="4" w:space="0" w:color="auto"/>
              <w:bottom w:val="single" w:sz="4" w:space="0" w:color="auto"/>
            </w:tcBorders>
            <w:shd w:val="clear" w:color="auto" w:fill="D9D9D9" w:themeFill="background1" w:themeFillShade="D9"/>
          </w:tcPr>
          <w:p w14:paraId="01EC89C9" w14:textId="77777777" w:rsidR="00EE2884" w:rsidRPr="00EE2884" w:rsidRDefault="00EE2884" w:rsidP="00861F4D">
            <w:pPr>
              <w:pStyle w:val="Tabletext1"/>
              <w:spacing w:before="40" w:after="40" w:line="288" w:lineRule="auto"/>
              <w:rPr>
                <w:b/>
              </w:rPr>
            </w:pPr>
            <w:r w:rsidRPr="00EE2884">
              <w:rPr>
                <w:b/>
              </w:rPr>
              <w:t>POPULATION 3</w:t>
            </w:r>
          </w:p>
        </w:tc>
        <w:tc>
          <w:tcPr>
            <w:tcW w:w="738" w:type="pct"/>
            <w:gridSpan w:val="2"/>
            <w:tcBorders>
              <w:top w:val="single" w:sz="4" w:space="0" w:color="auto"/>
              <w:bottom w:val="single" w:sz="4" w:space="0" w:color="auto"/>
            </w:tcBorders>
            <w:shd w:val="clear" w:color="auto" w:fill="D9D9D9" w:themeFill="background1" w:themeFillShade="D9"/>
          </w:tcPr>
          <w:p w14:paraId="6A6E9AF1" w14:textId="77777777" w:rsidR="00EE2884" w:rsidRPr="00EE2884" w:rsidRDefault="00EE2884" w:rsidP="00861F4D">
            <w:pPr>
              <w:pStyle w:val="Tabletext1"/>
              <w:spacing w:before="40" w:after="40" w:line="288" w:lineRule="auto"/>
              <w:rPr>
                <w:b/>
              </w:rPr>
            </w:pPr>
          </w:p>
        </w:tc>
        <w:tc>
          <w:tcPr>
            <w:tcW w:w="1493" w:type="pct"/>
            <w:tcBorders>
              <w:top w:val="single" w:sz="4" w:space="0" w:color="auto"/>
              <w:bottom w:val="single" w:sz="4" w:space="0" w:color="auto"/>
            </w:tcBorders>
            <w:shd w:val="clear" w:color="auto" w:fill="D9D9D9" w:themeFill="background1" w:themeFillShade="D9"/>
          </w:tcPr>
          <w:p w14:paraId="303AEEDD" w14:textId="77777777" w:rsidR="00EE2884" w:rsidRPr="00EE2884" w:rsidRDefault="00EE2884" w:rsidP="00861F4D">
            <w:pPr>
              <w:pStyle w:val="Tabletext1"/>
              <w:spacing w:before="40" w:after="40" w:line="288" w:lineRule="auto"/>
              <w:rPr>
                <w:b/>
              </w:rPr>
            </w:pPr>
          </w:p>
        </w:tc>
        <w:tc>
          <w:tcPr>
            <w:tcW w:w="707" w:type="pct"/>
            <w:tcBorders>
              <w:top w:val="single" w:sz="4" w:space="0" w:color="auto"/>
              <w:bottom w:val="single" w:sz="4" w:space="0" w:color="auto"/>
            </w:tcBorders>
            <w:shd w:val="clear" w:color="auto" w:fill="D9D9D9" w:themeFill="background1" w:themeFillShade="D9"/>
          </w:tcPr>
          <w:p w14:paraId="5FEA608F" w14:textId="77777777" w:rsidR="00EE2884" w:rsidRPr="00EE2884" w:rsidRDefault="00EE2884" w:rsidP="00861F4D">
            <w:pPr>
              <w:pStyle w:val="Tabletext1"/>
              <w:spacing w:before="40" w:after="40" w:line="288" w:lineRule="auto"/>
              <w:rPr>
                <w:b/>
                <w:u w:val="single"/>
              </w:rPr>
            </w:pPr>
          </w:p>
        </w:tc>
        <w:tc>
          <w:tcPr>
            <w:tcW w:w="1497" w:type="pct"/>
            <w:tcBorders>
              <w:top w:val="single" w:sz="4" w:space="0" w:color="auto"/>
              <w:bottom w:val="single" w:sz="4" w:space="0" w:color="auto"/>
              <w:right w:val="single" w:sz="4" w:space="0" w:color="auto"/>
            </w:tcBorders>
            <w:shd w:val="clear" w:color="auto" w:fill="D9D9D9" w:themeFill="background1" w:themeFillShade="D9"/>
          </w:tcPr>
          <w:p w14:paraId="3D874AB5" w14:textId="77777777" w:rsidR="00EE2884" w:rsidRPr="00EE2884" w:rsidRDefault="00EE2884" w:rsidP="00861F4D">
            <w:pPr>
              <w:pStyle w:val="Tabletext1"/>
              <w:spacing w:before="40" w:after="40" w:line="288" w:lineRule="auto"/>
              <w:ind w:left="34"/>
              <w:rPr>
                <w:b/>
              </w:rPr>
            </w:pPr>
          </w:p>
        </w:tc>
      </w:tr>
      <w:tr w:rsidR="00292821" w:rsidRPr="00095CDF" w14:paraId="0C6DD52D"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4B35AD86" w14:textId="77777777" w:rsidR="00292821" w:rsidRDefault="00292821" w:rsidP="00861F4D">
            <w:pPr>
              <w:pStyle w:val="Tabletext1"/>
              <w:spacing w:before="40" w:after="40" w:line="288" w:lineRule="auto"/>
            </w:pPr>
            <w:r w:rsidRPr="00B159C3">
              <w:lastRenderedPageBreak/>
              <w:t>Ni et al</w:t>
            </w:r>
            <w:r>
              <w:t xml:space="preserve"> (2015)</w:t>
            </w:r>
          </w:p>
          <w:p w14:paraId="654ED108" w14:textId="77777777" w:rsidR="00496C1D" w:rsidRDefault="00496C1D" w:rsidP="00861F4D">
            <w:pPr>
              <w:pStyle w:val="Tabletext1"/>
              <w:spacing w:before="40" w:after="40" w:line="288" w:lineRule="auto"/>
            </w:pPr>
            <w:r>
              <w:t>China</w:t>
            </w:r>
          </w:p>
          <w:p w14:paraId="1BB61A91" w14:textId="77777777" w:rsidR="00496C1D" w:rsidRPr="00095CDF" w:rsidRDefault="00496C1D"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3425ED6A" w14:textId="77777777" w:rsidR="00292821" w:rsidRDefault="00292821" w:rsidP="00861F4D">
            <w:pPr>
              <w:pStyle w:val="Tabletext1"/>
              <w:spacing w:before="40" w:after="40" w:line="288" w:lineRule="auto"/>
            </w:pPr>
            <w:r w:rsidRPr="00B159C3">
              <w:t>Retrospective CS</w:t>
            </w:r>
          </w:p>
          <w:p w14:paraId="2E11D2F3" w14:textId="77777777" w:rsidR="00292821" w:rsidRDefault="00242EBD" w:rsidP="00861F4D">
            <w:pPr>
              <w:pStyle w:val="Tabletext1"/>
              <w:spacing w:before="40" w:after="40" w:line="288" w:lineRule="auto"/>
            </w:pPr>
            <w:r>
              <w:t>Level IV</w:t>
            </w:r>
          </w:p>
          <w:p w14:paraId="7CD68D24" w14:textId="77777777" w:rsidR="00292821" w:rsidRDefault="00292821" w:rsidP="00861F4D">
            <w:pPr>
              <w:pStyle w:val="Tabletext1"/>
              <w:spacing w:before="40" w:after="40" w:line="288" w:lineRule="auto"/>
            </w:pPr>
            <w:r>
              <w:t>Risk of bias: High</w:t>
            </w:r>
          </w:p>
          <w:p w14:paraId="4DF18840" w14:textId="77777777" w:rsidR="00292821" w:rsidRDefault="00292821" w:rsidP="00861F4D">
            <w:pPr>
              <w:pStyle w:val="Tabletext1"/>
              <w:spacing w:before="40" w:after="40" w:line="288" w:lineRule="auto"/>
            </w:pPr>
            <w:r>
              <w:t>Hospital setting</w:t>
            </w:r>
          </w:p>
          <w:p w14:paraId="4604E7ED" w14:textId="0A03C369" w:rsidR="00292821" w:rsidRPr="00095CDF" w:rsidRDefault="00292821" w:rsidP="00861F4D">
            <w:pPr>
              <w:pStyle w:val="Tabletext1"/>
              <w:spacing w:before="40" w:after="40" w:line="288" w:lineRule="auto"/>
            </w:pPr>
            <w:r w:rsidRPr="00B159C3">
              <w:t>17.7 (6</w:t>
            </w:r>
            <w:r w:rsidR="00D35E9C">
              <w:t>–</w:t>
            </w:r>
            <w:r w:rsidRPr="00B159C3">
              <w:t>45) months</w:t>
            </w:r>
          </w:p>
        </w:tc>
        <w:tc>
          <w:tcPr>
            <w:tcW w:w="1493" w:type="pct"/>
            <w:tcBorders>
              <w:top w:val="single" w:sz="4" w:space="0" w:color="auto"/>
              <w:left w:val="single" w:sz="4" w:space="0" w:color="auto"/>
              <w:bottom w:val="single" w:sz="4" w:space="0" w:color="auto"/>
              <w:right w:val="single" w:sz="4" w:space="0" w:color="auto"/>
            </w:tcBorders>
          </w:tcPr>
          <w:p w14:paraId="45423F6C" w14:textId="77777777" w:rsidR="004D7884" w:rsidRDefault="00292821" w:rsidP="00861F4D">
            <w:pPr>
              <w:pStyle w:val="Tabletext1"/>
              <w:spacing w:before="40" w:after="40" w:line="288" w:lineRule="auto"/>
            </w:pPr>
            <w:r w:rsidRPr="00B159C3">
              <w:t>Patients with stage IIIB-IV NSCLC who had had prior treatment including chemoth</w:t>
            </w:r>
            <w:r>
              <w:t>erapy, targeted therapy, concur</w:t>
            </w:r>
            <w:r w:rsidRPr="00B159C3">
              <w:t>rent chemo-radiation followed by chemotherapy, and, who had partial response or stable disease</w:t>
            </w:r>
          </w:p>
          <w:p w14:paraId="1987E149" w14:textId="77777777" w:rsidR="004D7884" w:rsidRDefault="00C10752" w:rsidP="00861F4D">
            <w:pPr>
              <w:pStyle w:val="Tabletext1"/>
              <w:spacing w:before="40" w:after="40" w:line="288" w:lineRule="auto"/>
            </w:pPr>
            <w:r>
              <w:t xml:space="preserve">N = </w:t>
            </w:r>
            <w:r w:rsidR="004D7884">
              <w:t>35 (39)</w:t>
            </w:r>
          </w:p>
          <w:p w14:paraId="0CDA7933" w14:textId="4D261BB6" w:rsidR="004D7884" w:rsidRDefault="004D7884" w:rsidP="00861F4D">
            <w:pPr>
              <w:pStyle w:val="Tabletext1"/>
              <w:spacing w:before="40" w:after="40" w:line="288" w:lineRule="auto"/>
            </w:pPr>
            <w:r>
              <w:t>M</w:t>
            </w:r>
            <w:r w:rsidR="00292821">
              <w:t xml:space="preserve">ean tumour size </w:t>
            </w:r>
            <w:r w:rsidR="00292821" w:rsidRPr="00884C47">
              <w:t>30</w:t>
            </w:r>
            <w:r w:rsidR="00292821">
              <w:t xml:space="preserve"> mm</w:t>
            </w:r>
            <w:r w:rsidR="00292821" w:rsidRPr="00884C47">
              <w:t xml:space="preserve"> (</w:t>
            </w:r>
            <w:r w:rsidR="00292821">
              <w:t xml:space="preserve">range </w:t>
            </w:r>
            <w:r w:rsidR="00292821" w:rsidRPr="00884C47">
              <w:t>10</w:t>
            </w:r>
            <w:r w:rsidR="00D35E9C">
              <w:t>–</w:t>
            </w:r>
            <w:r w:rsidR="00292821" w:rsidRPr="00884C47">
              <w:t>110)</w:t>
            </w:r>
          </w:p>
          <w:p w14:paraId="34685E8A" w14:textId="77777777" w:rsidR="004D7884" w:rsidRDefault="00292821" w:rsidP="00861F4D">
            <w:pPr>
              <w:pStyle w:val="Tabletext1"/>
              <w:spacing w:before="40" w:after="40" w:line="288" w:lineRule="auto"/>
            </w:pPr>
            <w:r>
              <w:t>M/F ratio: 25:10</w:t>
            </w:r>
          </w:p>
          <w:p w14:paraId="22FF92C6" w14:textId="466FC7BA" w:rsidR="004D7884" w:rsidRDefault="004D7884" w:rsidP="00861F4D">
            <w:pPr>
              <w:pStyle w:val="Tabletext1"/>
              <w:spacing w:before="40" w:after="40" w:line="288" w:lineRule="auto"/>
            </w:pPr>
            <w:r>
              <w:t>M</w:t>
            </w:r>
            <w:r w:rsidR="00292821">
              <w:t xml:space="preserve">ean age: </w:t>
            </w:r>
            <w:r w:rsidR="00292821" w:rsidRPr="00884C47">
              <w:t>59 (</w:t>
            </w:r>
            <w:r w:rsidR="00292821">
              <w:t xml:space="preserve">range </w:t>
            </w:r>
            <w:r w:rsidR="00292821" w:rsidRPr="00884C47">
              <w:t>34</w:t>
            </w:r>
            <w:r w:rsidR="00D35E9C">
              <w:t>–</w:t>
            </w:r>
            <w:r w:rsidR="00292821" w:rsidRPr="00884C47">
              <w:t>71)</w:t>
            </w:r>
            <w:r w:rsidR="00292821">
              <w:t xml:space="preserve"> years,</w:t>
            </w:r>
          </w:p>
          <w:p w14:paraId="41AE8A13" w14:textId="39D84804" w:rsidR="00292821" w:rsidRPr="00095CDF" w:rsidRDefault="004D7884" w:rsidP="00861F4D">
            <w:pPr>
              <w:pStyle w:val="Tabletext1"/>
              <w:spacing w:before="40" w:after="40" w:line="288" w:lineRule="auto"/>
            </w:pPr>
            <w:r>
              <w:t>P</w:t>
            </w:r>
            <w:r w:rsidR="00292821">
              <w:t>erformance status: ECOG 0</w:t>
            </w:r>
            <w:r w:rsidR="00D35E9C" w:rsidRPr="00D35E9C">
              <w:t>–</w:t>
            </w:r>
            <w:r w:rsidR="00292821">
              <w:t>1 in 22</w:t>
            </w:r>
            <w:r w:rsidR="00292821" w:rsidRPr="00884C47">
              <w:t xml:space="preserve"> and 2 in </w:t>
            </w:r>
            <w:r w:rsidR="00292821">
              <w:t>13.</w:t>
            </w:r>
          </w:p>
        </w:tc>
        <w:tc>
          <w:tcPr>
            <w:tcW w:w="707" w:type="pct"/>
            <w:tcBorders>
              <w:top w:val="single" w:sz="4" w:space="0" w:color="auto"/>
              <w:left w:val="single" w:sz="4" w:space="0" w:color="auto"/>
              <w:bottom w:val="single" w:sz="4" w:space="0" w:color="auto"/>
              <w:right w:val="single" w:sz="4" w:space="0" w:color="auto"/>
            </w:tcBorders>
          </w:tcPr>
          <w:p w14:paraId="5FF3D411" w14:textId="77777777" w:rsidR="005A1CE5" w:rsidRPr="00095CDF" w:rsidRDefault="005A1CE5" w:rsidP="00861F4D">
            <w:pPr>
              <w:pStyle w:val="Tabletext1"/>
              <w:spacing w:before="40" w:after="40" w:line="288" w:lineRule="auto"/>
            </w:pPr>
            <w:r w:rsidRPr="00C5310D">
              <w:rPr>
                <w:u w:val="single"/>
              </w:rPr>
              <w:t>Intervention: CT-guided MTA</w:t>
            </w:r>
            <w:r w:rsidRPr="00C5310D">
              <w:t xml:space="preserve"> </w:t>
            </w:r>
            <w:r w:rsidRPr="005A1CE5">
              <w:rPr>
                <w:u w:val="single"/>
              </w:rPr>
              <w:t>following first-line chemotherapy</w:t>
            </w:r>
            <w:r w:rsidRPr="005A1CE5">
              <w:rPr>
                <w:u w:val="single"/>
                <w:vertAlign w:val="superscript"/>
              </w:rPr>
              <w:t>f</w:t>
            </w:r>
          </w:p>
          <w:p w14:paraId="281B6FDC" w14:textId="77777777" w:rsidR="005A1CE5" w:rsidRDefault="005A1CE5" w:rsidP="00861F4D">
            <w:pPr>
              <w:pStyle w:val="Tabletext1"/>
              <w:spacing w:before="40" w:after="40" w:line="288" w:lineRule="auto"/>
            </w:pPr>
          </w:p>
          <w:p w14:paraId="3F9F230A" w14:textId="77777777" w:rsidR="005A1CE5" w:rsidRDefault="005A1CE5" w:rsidP="00861F4D">
            <w:pPr>
              <w:pStyle w:val="Tabletext1"/>
              <w:spacing w:before="40" w:after="40" w:line="288" w:lineRule="auto"/>
            </w:pPr>
            <w:r>
              <w:t>Local anaesthesia</w:t>
            </w:r>
          </w:p>
          <w:p w14:paraId="5710017C" w14:textId="77777777" w:rsidR="00292821" w:rsidRDefault="005A1CE5" w:rsidP="00861F4D">
            <w:pPr>
              <w:pStyle w:val="Tabletext1"/>
              <w:spacing w:before="40" w:after="40" w:line="288" w:lineRule="auto"/>
            </w:pPr>
            <w:r>
              <w:t>Duration: NR</w:t>
            </w:r>
          </w:p>
          <w:p w14:paraId="1C15DD7F"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0DDF16C0" w14:textId="77777777" w:rsidR="00292821" w:rsidRDefault="00292821" w:rsidP="00861F4D">
            <w:pPr>
              <w:pStyle w:val="Tabletext1"/>
              <w:spacing w:before="40" w:after="40" w:line="288" w:lineRule="auto"/>
              <w:ind w:left="34"/>
            </w:pPr>
            <w:r>
              <w:t>1. R</w:t>
            </w:r>
            <w:r w:rsidRPr="00884C47">
              <w:t>esponse to initial M</w:t>
            </w:r>
            <w:r>
              <w:t>T</w:t>
            </w:r>
            <w:r w:rsidRPr="00884C47">
              <w:t>A</w:t>
            </w:r>
            <w:r>
              <w:t xml:space="preserve">: </w:t>
            </w:r>
            <w:r w:rsidRPr="00884C47">
              <w:t xml:space="preserve"> classified as complete ab</w:t>
            </w:r>
            <w:r>
              <w:t>lation and incomplete ablation</w:t>
            </w:r>
          </w:p>
          <w:p w14:paraId="42786D69" w14:textId="77777777" w:rsidR="00292821" w:rsidRDefault="00292821" w:rsidP="00861F4D">
            <w:pPr>
              <w:pStyle w:val="Tabletext1"/>
              <w:spacing w:before="40" w:after="40" w:line="288" w:lineRule="auto"/>
              <w:ind w:left="34"/>
            </w:pPr>
            <w:r>
              <w:t xml:space="preserve">2. Technical </w:t>
            </w:r>
            <w:r w:rsidRPr="00884C47">
              <w:t xml:space="preserve">efficacy (local efficacy) </w:t>
            </w:r>
            <w:r>
              <w:t>was complete ablation of macroscopic tumour and/or symptoms relieved.</w:t>
            </w:r>
            <w:r w:rsidRPr="00884C47">
              <w:t xml:space="preserve"> If </w:t>
            </w:r>
            <w:r>
              <w:t xml:space="preserve">not achieved within </w:t>
            </w:r>
            <w:r w:rsidRPr="00884C47">
              <w:t>four procedures or 3 months, it was cl</w:t>
            </w:r>
            <w:r>
              <w:t>assified as a technical failure</w:t>
            </w:r>
          </w:p>
          <w:p w14:paraId="210A2EB0" w14:textId="77777777" w:rsidR="00292821" w:rsidRDefault="00292821" w:rsidP="00861F4D">
            <w:pPr>
              <w:pStyle w:val="Tabletext1"/>
              <w:spacing w:before="40" w:after="40" w:line="288" w:lineRule="auto"/>
              <w:ind w:left="34"/>
            </w:pPr>
            <w:r>
              <w:t xml:space="preserve">3. </w:t>
            </w:r>
            <w:r w:rsidRPr="00884C47">
              <w:t xml:space="preserve"> </w:t>
            </w:r>
            <w:r>
              <w:t>Adverse events:</w:t>
            </w:r>
            <w:r w:rsidRPr="00884C47">
              <w:t xml:space="preserve"> reported according t</w:t>
            </w:r>
            <w:r w:rsidRPr="009432C2">
              <w:t>o the Common Terminology Criteria for Adverse Events v4.03 of the National Cancer Institute</w:t>
            </w:r>
          </w:p>
          <w:p w14:paraId="1EADCBBD" w14:textId="77777777" w:rsidR="00292821" w:rsidRPr="00095CDF" w:rsidRDefault="00292821" w:rsidP="00861F4D">
            <w:pPr>
              <w:pStyle w:val="Tabletext1"/>
              <w:spacing w:before="40" w:after="40" w:line="288" w:lineRule="auto"/>
              <w:ind w:left="34"/>
            </w:pPr>
            <w:r>
              <w:t xml:space="preserve">4. Overall survival: </w:t>
            </w:r>
            <w:r w:rsidRPr="00884C47">
              <w:t>Kaplan–Meier analysis</w:t>
            </w:r>
          </w:p>
        </w:tc>
      </w:tr>
      <w:tr w:rsidR="00292821" w:rsidRPr="00095CDF" w14:paraId="1BC2EA63"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6C97C5B5" w14:textId="77777777" w:rsidR="00292821" w:rsidRDefault="00292821" w:rsidP="00861F4D">
            <w:pPr>
              <w:pStyle w:val="Tabletext1"/>
              <w:spacing w:before="40" w:after="40" w:line="288" w:lineRule="auto"/>
            </w:pPr>
            <w:r>
              <w:t>Sun et al (2015)</w:t>
            </w:r>
          </w:p>
          <w:p w14:paraId="1588B0F6" w14:textId="77777777" w:rsidR="00496C1D" w:rsidRDefault="00496C1D" w:rsidP="00861F4D">
            <w:pPr>
              <w:pStyle w:val="Tabletext1"/>
              <w:spacing w:before="40" w:after="40" w:line="288" w:lineRule="auto"/>
            </w:pPr>
            <w:r>
              <w:t>China</w:t>
            </w:r>
          </w:p>
          <w:p w14:paraId="37F978C0" w14:textId="77777777" w:rsidR="00496C1D" w:rsidRPr="00095CDF" w:rsidRDefault="00496C1D"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789A3E1B" w14:textId="77777777" w:rsidR="00292821" w:rsidRDefault="00292821" w:rsidP="00861F4D">
            <w:pPr>
              <w:pStyle w:val="Tabletext1"/>
              <w:spacing w:before="40" w:after="40" w:line="288" w:lineRule="auto"/>
            </w:pPr>
            <w:r w:rsidRPr="009B4CBA">
              <w:t xml:space="preserve">Prospective </w:t>
            </w:r>
            <w:r>
              <w:t>non-randomised comparative trial</w:t>
            </w:r>
          </w:p>
          <w:p w14:paraId="504D8246" w14:textId="77777777" w:rsidR="00292821" w:rsidRDefault="00242EBD" w:rsidP="00861F4D">
            <w:pPr>
              <w:pStyle w:val="Tabletext1"/>
              <w:spacing w:before="40" w:after="40" w:line="288" w:lineRule="auto"/>
            </w:pPr>
            <w:r>
              <w:t xml:space="preserve">Level </w:t>
            </w:r>
            <w:r w:rsidR="00292821">
              <w:t>III-2</w:t>
            </w:r>
          </w:p>
          <w:p w14:paraId="488BA9FF" w14:textId="77777777" w:rsidR="00292821" w:rsidRDefault="00292821" w:rsidP="00861F4D">
            <w:pPr>
              <w:pStyle w:val="Tabletext1"/>
              <w:spacing w:before="40" w:after="40" w:line="288" w:lineRule="auto"/>
            </w:pPr>
            <w:r>
              <w:t>Risk of bias: High</w:t>
            </w:r>
          </w:p>
          <w:p w14:paraId="31056B10" w14:textId="77777777" w:rsidR="00292821" w:rsidRDefault="00292821" w:rsidP="00861F4D">
            <w:pPr>
              <w:pStyle w:val="Tabletext1"/>
              <w:spacing w:before="40" w:after="40" w:line="288" w:lineRule="auto"/>
            </w:pPr>
            <w:r>
              <w:t>Hospital setting</w:t>
            </w:r>
          </w:p>
          <w:p w14:paraId="37E90CF8" w14:textId="53F76031" w:rsidR="00292821" w:rsidRPr="00095CDF" w:rsidRDefault="00292821" w:rsidP="00861F4D">
            <w:pPr>
              <w:pStyle w:val="Tabletext1"/>
              <w:spacing w:before="40" w:after="40" w:line="288" w:lineRule="auto"/>
            </w:pPr>
            <w:r>
              <w:t>Range: 6</w:t>
            </w:r>
            <w:r w:rsidR="00D35E9C">
              <w:t>–</w:t>
            </w:r>
            <w:r>
              <w:t>35 months</w:t>
            </w:r>
          </w:p>
        </w:tc>
        <w:tc>
          <w:tcPr>
            <w:tcW w:w="1493" w:type="pct"/>
            <w:tcBorders>
              <w:top w:val="single" w:sz="4" w:space="0" w:color="auto"/>
              <w:left w:val="single" w:sz="4" w:space="0" w:color="auto"/>
              <w:bottom w:val="single" w:sz="4" w:space="0" w:color="auto"/>
              <w:right w:val="single" w:sz="4" w:space="0" w:color="auto"/>
            </w:tcBorders>
          </w:tcPr>
          <w:p w14:paraId="02A35CDD" w14:textId="77777777" w:rsidR="004D7884" w:rsidRDefault="00292821" w:rsidP="00861F4D">
            <w:pPr>
              <w:pStyle w:val="Tabletext1"/>
              <w:spacing w:before="40" w:after="40" w:line="288" w:lineRule="auto"/>
            </w:pPr>
            <w:r w:rsidRPr="009B4CBA">
              <w:t>Patients with stage IIIB-IV NSCLC</w:t>
            </w:r>
          </w:p>
          <w:p w14:paraId="502E4ACC" w14:textId="77777777" w:rsidR="004D7884" w:rsidRDefault="00C10752" w:rsidP="00861F4D">
            <w:pPr>
              <w:pStyle w:val="Tabletext1"/>
              <w:spacing w:before="40" w:after="40" w:line="288" w:lineRule="auto"/>
            </w:pPr>
            <w:r>
              <w:t xml:space="preserve">N = </w:t>
            </w:r>
            <w:r w:rsidR="00292821">
              <w:t>22 interv</w:t>
            </w:r>
            <w:r w:rsidR="004D7884">
              <w:t xml:space="preserve">ention arm, </w:t>
            </w:r>
            <w:r>
              <w:t xml:space="preserve">N = </w:t>
            </w:r>
            <w:r w:rsidR="004D7884">
              <w:t>18 comparator arm</w:t>
            </w:r>
          </w:p>
          <w:p w14:paraId="1AF85D04" w14:textId="2031CE5F" w:rsidR="004D7884" w:rsidRDefault="004D7884" w:rsidP="00861F4D">
            <w:pPr>
              <w:pStyle w:val="Tabletext1"/>
              <w:spacing w:before="40" w:after="40" w:line="288" w:lineRule="auto"/>
            </w:pPr>
            <w:r>
              <w:t>T</w:t>
            </w:r>
            <w:r w:rsidR="00292821">
              <w:t>otal number of lesions 46, mean maximum diameter: 36 mm (range 11</w:t>
            </w:r>
            <w:r w:rsidR="00D35E9C">
              <w:t>–</w:t>
            </w:r>
            <w:r w:rsidR="00292821">
              <w:t>68)</w:t>
            </w:r>
          </w:p>
          <w:p w14:paraId="451511F5" w14:textId="77777777" w:rsidR="004D7884" w:rsidRDefault="00292821" w:rsidP="00861F4D">
            <w:pPr>
              <w:pStyle w:val="Tabletext1"/>
              <w:spacing w:before="40" w:after="40" w:line="288" w:lineRule="auto"/>
            </w:pPr>
            <w:r>
              <w:t>Male/Female rati</w:t>
            </w:r>
            <w:r w:rsidR="007908D7">
              <w:t>o: 26/14 (all patients)</w:t>
            </w:r>
          </w:p>
          <w:p w14:paraId="545EC3FC" w14:textId="360D19E3" w:rsidR="004D7884" w:rsidRDefault="004D7884" w:rsidP="00861F4D">
            <w:pPr>
              <w:pStyle w:val="Tabletext1"/>
              <w:spacing w:before="40" w:after="40" w:line="288" w:lineRule="auto"/>
            </w:pPr>
            <w:r>
              <w:t>M</w:t>
            </w:r>
            <w:r w:rsidR="00292821">
              <w:t xml:space="preserve">ean </w:t>
            </w:r>
            <w:r>
              <w:t>age: 64.25 (range 32</w:t>
            </w:r>
            <w:r w:rsidR="00D35E9C">
              <w:t>–</w:t>
            </w:r>
            <w:r>
              <w:t>74) years</w:t>
            </w:r>
          </w:p>
          <w:p w14:paraId="52918E89" w14:textId="321E9107" w:rsidR="00292821" w:rsidRPr="00095CDF" w:rsidRDefault="004D7884" w:rsidP="00861F4D">
            <w:pPr>
              <w:pStyle w:val="Tabletext1"/>
              <w:spacing w:before="40" w:after="40" w:line="288" w:lineRule="auto"/>
            </w:pPr>
            <w:r>
              <w:t>P</w:t>
            </w:r>
            <w:r w:rsidR="00292821">
              <w:t>erformance score (ECOG) 0</w:t>
            </w:r>
            <w:r w:rsidR="00D35E9C">
              <w:t>–</w:t>
            </w:r>
            <w:r w:rsidR="00292821">
              <w:t>2 for all patients.</w:t>
            </w:r>
          </w:p>
        </w:tc>
        <w:tc>
          <w:tcPr>
            <w:tcW w:w="707" w:type="pct"/>
            <w:tcBorders>
              <w:top w:val="single" w:sz="4" w:space="0" w:color="auto"/>
              <w:left w:val="single" w:sz="4" w:space="0" w:color="auto"/>
              <w:bottom w:val="single" w:sz="4" w:space="0" w:color="auto"/>
              <w:right w:val="single" w:sz="4" w:space="0" w:color="auto"/>
            </w:tcBorders>
          </w:tcPr>
          <w:p w14:paraId="3515FE81" w14:textId="77777777" w:rsidR="005A1CE5" w:rsidRDefault="005A1CE5" w:rsidP="00861F4D">
            <w:pPr>
              <w:pStyle w:val="Tabletext1"/>
              <w:spacing w:before="40" w:after="40" w:line="288" w:lineRule="auto"/>
            </w:pPr>
            <w:r w:rsidRPr="00C5310D">
              <w:rPr>
                <w:u w:val="single"/>
              </w:rPr>
              <w:t>Intervention: CT-guided MTA</w:t>
            </w:r>
            <w:r>
              <w:t xml:space="preserve"> </w:t>
            </w:r>
          </w:p>
          <w:p w14:paraId="27D16173" w14:textId="77777777" w:rsidR="005A1CE5" w:rsidRDefault="005A1CE5" w:rsidP="00861F4D">
            <w:pPr>
              <w:pStyle w:val="Tabletext1"/>
              <w:spacing w:before="40" w:after="40" w:line="288" w:lineRule="auto"/>
            </w:pPr>
            <w:r>
              <w:t>Anaesthesia NR</w:t>
            </w:r>
          </w:p>
          <w:p w14:paraId="2694304D" w14:textId="77777777" w:rsidR="00292821" w:rsidRDefault="005A1CE5" w:rsidP="00861F4D">
            <w:pPr>
              <w:pStyle w:val="Tabletext1"/>
              <w:spacing w:before="40" w:after="40" w:line="288" w:lineRule="auto"/>
            </w:pPr>
            <w:r>
              <w:t>D</w:t>
            </w:r>
            <w:r w:rsidR="00292821">
              <w:t>uration: NR</w:t>
            </w:r>
          </w:p>
          <w:p w14:paraId="1E0DC44E" w14:textId="77777777" w:rsidR="005A1CE5" w:rsidRPr="005A1CE5" w:rsidRDefault="005A1CE5" w:rsidP="00861F4D">
            <w:pPr>
              <w:pStyle w:val="Tabletext1"/>
              <w:spacing w:before="40" w:after="40" w:line="288" w:lineRule="auto"/>
              <w:rPr>
                <w:u w:val="single"/>
              </w:rPr>
            </w:pPr>
            <w:r w:rsidRPr="005A1CE5">
              <w:rPr>
                <w:u w:val="single"/>
              </w:rPr>
              <w:t xml:space="preserve">Comparator: CT-guided MTA </w:t>
            </w:r>
            <w:r w:rsidR="00292821" w:rsidRPr="005A1CE5">
              <w:rPr>
                <w:u w:val="single"/>
              </w:rPr>
              <w:t xml:space="preserve">  in combination with chemotherapy</w:t>
            </w:r>
            <w:r w:rsidR="00292821" w:rsidRPr="005A1CE5">
              <w:rPr>
                <w:u w:val="single"/>
                <w:vertAlign w:val="superscript"/>
              </w:rPr>
              <w:t>g</w:t>
            </w:r>
          </w:p>
          <w:p w14:paraId="11309F02" w14:textId="77777777" w:rsidR="005A1CE5" w:rsidRDefault="005A1CE5" w:rsidP="00861F4D">
            <w:pPr>
              <w:pStyle w:val="Tabletext1"/>
              <w:spacing w:before="40" w:after="40" w:line="288" w:lineRule="auto"/>
            </w:pPr>
            <w:r>
              <w:t>Anaesthesia NR</w:t>
            </w:r>
          </w:p>
          <w:p w14:paraId="1150CBD2" w14:textId="77777777" w:rsidR="00292821" w:rsidRPr="00095CDF" w:rsidRDefault="005A1CE5" w:rsidP="00861F4D">
            <w:pPr>
              <w:pStyle w:val="Tabletext1"/>
              <w:spacing w:before="40" w:after="40" w:line="288" w:lineRule="auto"/>
            </w:pPr>
            <w:r>
              <w:t>Du</w:t>
            </w:r>
            <w:r w:rsidR="00292821">
              <w:t>ration of MTA: NR</w:t>
            </w:r>
          </w:p>
        </w:tc>
        <w:tc>
          <w:tcPr>
            <w:tcW w:w="1497" w:type="pct"/>
            <w:tcBorders>
              <w:top w:val="single" w:sz="4" w:space="0" w:color="auto"/>
              <w:left w:val="single" w:sz="4" w:space="0" w:color="auto"/>
              <w:bottom w:val="single" w:sz="4" w:space="0" w:color="auto"/>
              <w:right w:val="single" w:sz="4" w:space="0" w:color="auto"/>
            </w:tcBorders>
          </w:tcPr>
          <w:p w14:paraId="63A804B0" w14:textId="77777777" w:rsidR="00292821" w:rsidRDefault="00292821" w:rsidP="00861F4D">
            <w:pPr>
              <w:pStyle w:val="Tabletext1"/>
              <w:spacing w:before="40" w:after="40" w:line="288" w:lineRule="auto"/>
              <w:ind w:left="34"/>
            </w:pPr>
            <w:r>
              <w:t>1. Local efficacy: classified as complete ablation and incomplete ablation according to Ye et al (2015)</w:t>
            </w:r>
          </w:p>
          <w:p w14:paraId="3FC8C621" w14:textId="77777777" w:rsidR="00292821" w:rsidRDefault="00292821" w:rsidP="00861F4D">
            <w:pPr>
              <w:pStyle w:val="Tabletext1"/>
              <w:spacing w:before="40" w:after="40" w:line="288" w:lineRule="auto"/>
              <w:ind w:left="34"/>
            </w:pPr>
            <w:r>
              <w:t>2. 1 and 2-year survival: Kaplan-Meier test</w:t>
            </w:r>
          </w:p>
          <w:p w14:paraId="1465B2F0" w14:textId="77777777" w:rsidR="00292821" w:rsidRDefault="00292821" w:rsidP="00861F4D">
            <w:pPr>
              <w:pStyle w:val="Tabletext1"/>
              <w:spacing w:before="40" w:after="40" w:line="288" w:lineRule="auto"/>
              <w:ind w:left="34"/>
            </w:pPr>
            <w:r>
              <w:t xml:space="preserve">3. Disease control: </w:t>
            </w:r>
            <w:r w:rsidRPr="002762D9">
              <w:t>disease control r</w:t>
            </w:r>
            <w:r>
              <w:t>ate (DCR) was equal to CR+PR+SD</w:t>
            </w:r>
          </w:p>
          <w:p w14:paraId="1C8E5797" w14:textId="77777777" w:rsidR="00292821" w:rsidRPr="00095CDF" w:rsidRDefault="00292821" w:rsidP="00861F4D">
            <w:pPr>
              <w:pStyle w:val="Tabletext1"/>
              <w:spacing w:before="40" w:after="40" w:line="288" w:lineRule="auto"/>
              <w:ind w:left="34"/>
            </w:pPr>
            <w:r>
              <w:t>4. Adverse effects of chemotherapy drugs were assessed in accordance with the WHO Anticancer Drugs Toxic Reaction Criteria</w:t>
            </w:r>
          </w:p>
        </w:tc>
      </w:tr>
      <w:tr w:rsidR="00292821" w:rsidRPr="00095CDF" w14:paraId="535EF85C"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1FA6AA17" w14:textId="77777777" w:rsidR="00292821" w:rsidRDefault="00292821" w:rsidP="00861F4D">
            <w:pPr>
              <w:pStyle w:val="Tabletext1"/>
              <w:spacing w:before="40" w:after="40" w:line="288" w:lineRule="auto"/>
            </w:pPr>
            <w:r>
              <w:lastRenderedPageBreak/>
              <w:t>Wei et al (2015)</w:t>
            </w:r>
          </w:p>
          <w:p w14:paraId="57D7EAD4" w14:textId="77777777" w:rsidR="00496C1D" w:rsidRDefault="00496C1D" w:rsidP="00861F4D">
            <w:pPr>
              <w:pStyle w:val="Tabletext1"/>
              <w:spacing w:before="40" w:after="40" w:line="288" w:lineRule="auto"/>
            </w:pPr>
            <w:r>
              <w:t>China</w:t>
            </w:r>
          </w:p>
          <w:p w14:paraId="1158A2E2" w14:textId="77777777" w:rsidR="00496C1D" w:rsidRPr="00095CDF" w:rsidRDefault="00496C1D"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106D5FBE" w14:textId="77777777" w:rsidR="00292821" w:rsidRDefault="00292821" w:rsidP="00861F4D">
            <w:pPr>
              <w:pStyle w:val="Tabletext1"/>
              <w:spacing w:before="40" w:after="40" w:line="288" w:lineRule="auto"/>
            </w:pPr>
            <w:r>
              <w:t>Retrospective non-randomised comparative trial</w:t>
            </w:r>
          </w:p>
          <w:p w14:paraId="4EFEB2DF" w14:textId="77777777" w:rsidR="00292821" w:rsidRDefault="00242EBD" w:rsidP="00861F4D">
            <w:pPr>
              <w:pStyle w:val="Tabletext1"/>
              <w:spacing w:before="40" w:after="40" w:line="288" w:lineRule="auto"/>
            </w:pPr>
            <w:r>
              <w:t xml:space="preserve">Level </w:t>
            </w:r>
            <w:r w:rsidR="00292821">
              <w:t>III-2</w:t>
            </w:r>
          </w:p>
          <w:p w14:paraId="1C20ED5B" w14:textId="77777777" w:rsidR="00292821" w:rsidRDefault="00292821" w:rsidP="00861F4D">
            <w:pPr>
              <w:pStyle w:val="Tabletext1"/>
              <w:spacing w:before="40" w:after="40" w:line="288" w:lineRule="auto"/>
            </w:pPr>
            <w:r>
              <w:t xml:space="preserve">Risk of bias: High </w:t>
            </w:r>
          </w:p>
          <w:p w14:paraId="363E7574" w14:textId="77777777" w:rsidR="00292821" w:rsidRDefault="00292821" w:rsidP="00861F4D">
            <w:pPr>
              <w:pStyle w:val="Tabletext1"/>
              <w:spacing w:before="40" w:after="40" w:line="288" w:lineRule="auto"/>
            </w:pPr>
            <w:r>
              <w:t>Hospital setting</w:t>
            </w:r>
          </w:p>
          <w:p w14:paraId="152CC23A" w14:textId="3EEB5392" w:rsidR="00292821" w:rsidRPr="00095CDF" w:rsidRDefault="00292821" w:rsidP="00861F4D">
            <w:pPr>
              <w:pStyle w:val="Tabletext1"/>
              <w:spacing w:before="40" w:after="40" w:line="288" w:lineRule="auto"/>
            </w:pPr>
            <w:r>
              <w:t>21.0 (5.1</w:t>
            </w:r>
            <w:r w:rsidR="00D35E9C">
              <w:t>–</w:t>
            </w:r>
            <w:r>
              <w:t>39.2) months</w:t>
            </w:r>
          </w:p>
        </w:tc>
        <w:tc>
          <w:tcPr>
            <w:tcW w:w="1493" w:type="pct"/>
            <w:tcBorders>
              <w:top w:val="single" w:sz="4" w:space="0" w:color="auto"/>
              <w:left w:val="single" w:sz="4" w:space="0" w:color="auto"/>
              <w:bottom w:val="single" w:sz="4" w:space="0" w:color="auto"/>
              <w:right w:val="single" w:sz="4" w:space="0" w:color="auto"/>
            </w:tcBorders>
          </w:tcPr>
          <w:p w14:paraId="7123F1CD" w14:textId="77777777" w:rsidR="004D7884" w:rsidRDefault="00292821" w:rsidP="00861F4D">
            <w:pPr>
              <w:pStyle w:val="Tabletext1"/>
              <w:spacing w:before="40" w:after="40" w:line="288" w:lineRule="auto"/>
            </w:pPr>
            <w:r w:rsidRPr="00D414D2">
              <w:t>Patients with stage IIIB-IV NSCLC</w:t>
            </w:r>
          </w:p>
          <w:p w14:paraId="0B00314C" w14:textId="77777777" w:rsidR="004D7884" w:rsidRDefault="00C10752" w:rsidP="00861F4D">
            <w:pPr>
              <w:pStyle w:val="Tabletext1"/>
              <w:spacing w:before="40" w:after="40" w:line="288" w:lineRule="auto"/>
            </w:pPr>
            <w:r>
              <w:t xml:space="preserve">N = </w:t>
            </w:r>
            <w:r w:rsidR="004D7884">
              <w:t xml:space="preserve">46 intervention, </w:t>
            </w:r>
            <w:r>
              <w:t xml:space="preserve">N = </w:t>
            </w:r>
            <w:r w:rsidR="00292821">
              <w:t>28 comparator</w:t>
            </w:r>
          </w:p>
          <w:p w14:paraId="216FF2C6" w14:textId="77777777" w:rsidR="004D7884" w:rsidRDefault="004D7884" w:rsidP="00861F4D">
            <w:pPr>
              <w:pStyle w:val="Tabletext1"/>
              <w:spacing w:before="40" w:after="40" w:line="288" w:lineRule="auto"/>
            </w:pPr>
            <w:r>
              <w:t>T</w:t>
            </w:r>
            <w:r w:rsidR="00292821">
              <w:t>otal number of lesions: NR</w:t>
            </w:r>
          </w:p>
          <w:p w14:paraId="5EC15851" w14:textId="1A08B5F5" w:rsidR="004D7884" w:rsidRDefault="004D7884" w:rsidP="00861F4D">
            <w:pPr>
              <w:pStyle w:val="Tabletext1"/>
              <w:spacing w:before="40" w:after="40" w:line="288" w:lineRule="auto"/>
            </w:pPr>
            <w:r>
              <w:t>M</w:t>
            </w:r>
            <w:r w:rsidR="00292821">
              <w:t>ean maximum diameter intervention: 37 mm (range 10</w:t>
            </w:r>
            <w:r w:rsidR="00D35E9C">
              <w:t>–</w:t>
            </w:r>
            <w:r w:rsidR="00292821">
              <w:t>70), comparator: 43 (12</w:t>
            </w:r>
            <w:r w:rsidR="00D35E9C">
              <w:t>–</w:t>
            </w:r>
            <w:r w:rsidR="00292821">
              <w:t>110)</w:t>
            </w:r>
          </w:p>
          <w:p w14:paraId="3A65F2B8" w14:textId="77777777" w:rsidR="004D7884" w:rsidRDefault="00292821" w:rsidP="00861F4D">
            <w:pPr>
              <w:pStyle w:val="Tabletext1"/>
              <w:spacing w:before="40" w:after="40" w:line="288" w:lineRule="auto"/>
            </w:pPr>
            <w:r>
              <w:t>Male/female ratio intervention: 27:19, comparator: 18:10</w:t>
            </w:r>
          </w:p>
          <w:p w14:paraId="741D47C5" w14:textId="77777777" w:rsidR="004D7884" w:rsidRDefault="004D7884" w:rsidP="00861F4D">
            <w:pPr>
              <w:pStyle w:val="Tabletext1"/>
              <w:spacing w:before="40" w:after="40" w:line="288" w:lineRule="auto"/>
            </w:pPr>
            <w:r>
              <w:t>M</w:t>
            </w:r>
            <w:r w:rsidR="00292821">
              <w:t>ean age (intervention) &lt; 60 in 19, &gt; 60 in 27, mean age (comparator) &lt;60 in</w:t>
            </w:r>
            <w:r>
              <w:t xml:space="preserve"> 17 an</w:t>
            </w:r>
            <w:r w:rsidR="00EA3AA8">
              <w:t>d &gt; 60 in 11 years</w:t>
            </w:r>
          </w:p>
          <w:p w14:paraId="225742FC" w14:textId="7A5A9654" w:rsidR="00292821" w:rsidRPr="00095CDF" w:rsidRDefault="004D7884" w:rsidP="00861F4D">
            <w:pPr>
              <w:pStyle w:val="Tabletext1"/>
              <w:spacing w:before="40" w:after="40" w:line="288" w:lineRule="auto"/>
            </w:pPr>
            <w:r>
              <w:t>Pe</w:t>
            </w:r>
            <w:r w:rsidR="00292821">
              <w:t>rformance score (intervention): ECOG 0</w:t>
            </w:r>
            <w:r w:rsidR="00D35E9C">
              <w:t>–</w:t>
            </w:r>
            <w:r w:rsidR="00292821">
              <w:t>1 in 43 and 2 in 3, performance score (comp</w:t>
            </w:r>
            <w:r>
              <w:t>arator): ECOG 0</w:t>
            </w:r>
            <w:r w:rsidR="00D35E9C">
              <w:t>–</w:t>
            </w:r>
            <w:r>
              <w:t>1 in 26, 2 in 2</w:t>
            </w:r>
          </w:p>
        </w:tc>
        <w:tc>
          <w:tcPr>
            <w:tcW w:w="707" w:type="pct"/>
            <w:tcBorders>
              <w:top w:val="single" w:sz="4" w:space="0" w:color="auto"/>
              <w:left w:val="single" w:sz="4" w:space="0" w:color="auto"/>
              <w:bottom w:val="single" w:sz="4" w:space="0" w:color="auto"/>
              <w:right w:val="single" w:sz="4" w:space="0" w:color="auto"/>
            </w:tcBorders>
          </w:tcPr>
          <w:p w14:paraId="08B17F1D" w14:textId="77777777" w:rsidR="005A1CE5" w:rsidRDefault="005A1CE5" w:rsidP="00861F4D">
            <w:pPr>
              <w:pStyle w:val="Tabletext1"/>
              <w:spacing w:before="40" w:after="40" w:line="288" w:lineRule="auto"/>
            </w:pPr>
            <w:r w:rsidRPr="005A1CE5">
              <w:rPr>
                <w:u w:val="single"/>
              </w:rPr>
              <w:t>Intervention:</w:t>
            </w:r>
            <w:r>
              <w:rPr>
                <w:u w:val="single"/>
              </w:rPr>
              <w:t xml:space="preserve"> </w:t>
            </w:r>
            <w:r w:rsidRPr="005A1CE5">
              <w:rPr>
                <w:u w:val="single"/>
              </w:rPr>
              <w:t>CT-guided MTA   in combination with chemotherapy</w:t>
            </w:r>
            <w:r w:rsidR="00292821">
              <w:rPr>
                <w:vertAlign w:val="superscript"/>
              </w:rPr>
              <w:t>h</w:t>
            </w:r>
          </w:p>
          <w:p w14:paraId="1C662C8A" w14:textId="77777777" w:rsidR="00292821" w:rsidRDefault="00292821" w:rsidP="00861F4D">
            <w:pPr>
              <w:pStyle w:val="Tabletext1"/>
              <w:spacing w:before="40" w:after="40" w:line="288" w:lineRule="auto"/>
            </w:pPr>
            <w:r>
              <w:t>Duration of MTA: NR</w:t>
            </w:r>
          </w:p>
          <w:p w14:paraId="16C77C08" w14:textId="77777777" w:rsidR="00292821" w:rsidRDefault="00292821" w:rsidP="00861F4D">
            <w:pPr>
              <w:pStyle w:val="Tabletext1"/>
              <w:spacing w:before="40" w:after="40" w:line="288" w:lineRule="auto"/>
              <w:rPr>
                <w:vertAlign w:val="superscript"/>
              </w:rPr>
            </w:pPr>
            <w:r w:rsidRPr="005A1CE5">
              <w:rPr>
                <w:u w:val="single"/>
              </w:rPr>
              <w:t>C</w:t>
            </w:r>
            <w:r w:rsidR="005A1CE5" w:rsidRPr="005A1CE5">
              <w:rPr>
                <w:u w:val="single"/>
              </w:rPr>
              <w:t>omparator:</w:t>
            </w:r>
            <w:r w:rsidR="005A1CE5">
              <w:t xml:space="preserve"> </w:t>
            </w:r>
            <w:r w:rsidR="005A1CE5" w:rsidRPr="005A1CE5">
              <w:rPr>
                <w:u w:val="single"/>
              </w:rPr>
              <w:t>C</w:t>
            </w:r>
            <w:r w:rsidRPr="005A1CE5">
              <w:rPr>
                <w:u w:val="single"/>
              </w:rPr>
              <w:t>hemotherapy alone</w:t>
            </w:r>
            <w:r>
              <w:rPr>
                <w:vertAlign w:val="superscript"/>
              </w:rPr>
              <w:t>i</w:t>
            </w:r>
          </w:p>
          <w:p w14:paraId="7DEE06D5" w14:textId="77777777" w:rsidR="005A1CE5" w:rsidRDefault="005A1CE5" w:rsidP="00861F4D">
            <w:pPr>
              <w:pStyle w:val="Tabletext1"/>
              <w:spacing w:before="40" w:after="40" w:line="288" w:lineRule="auto"/>
            </w:pPr>
            <w:r>
              <w:t>Anaesthesia: NA</w:t>
            </w:r>
          </w:p>
          <w:p w14:paraId="2F8927F8" w14:textId="77777777" w:rsidR="005A1CE5" w:rsidRDefault="005A1CE5" w:rsidP="00861F4D">
            <w:pPr>
              <w:pStyle w:val="Tabletext1"/>
              <w:spacing w:before="40" w:after="40" w:line="288" w:lineRule="auto"/>
            </w:pPr>
            <w:r>
              <w:t>Duration: NA</w:t>
            </w:r>
          </w:p>
          <w:p w14:paraId="3BCF220C" w14:textId="77777777" w:rsidR="005A1CE5" w:rsidRPr="005A1CE5" w:rsidRDefault="005A1CE5" w:rsidP="00861F4D">
            <w:pPr>
              <w:pStyle w:val="Tabletext1"/>
              <w:spacing w:before="40" w:after="40" w:line="288" w:lineRule="auto"/>
            </w:pPr>
          </w:p>
        </w:tc>
        <w:tc>
          <w:tcPr>
            <w:tcW w:w="1497" w:type="pct"/>
            <w:tcBorders>
              <w:top w:val="single" w:sz="4" w:space="0" w:color="auto"/>
              <w:left w:val="single" w:sz="4" w:space="0" w:color="auto"/>
              <w:bottom w:val="single" w:sz="4" w:space="0" w:color="auto"/>
              <w:right w:val="single" w:sz="4" w:space="0" w:color="auto"/>
            </w:tcBorders>
          </w:tcPr>
          <w:p w14:paraId="1459EEBE" w14:textId="77777777" w:rsidR="00292821" w:rsidRDefault="00292821" w:rsidP="00861F4D">
            <w:pPr>
              <w:pStyle w:val="Tabletext1"/>
              <w:spacing w:before="40" w:after="40" w:line="288" w:lineRule="auto"/>
              <w:ind w:left="34"/>
            </w:pPr>
            <w:r>
              <w:t>1. R</w:t>
            </w:r>
            <w:r w:rsidRPr="007C7025">
              <w:t>esponse to chemotherapy</w:t>
            </w:r>
            <w:r>
              <w:t>: C</w:t>
            </w:r>
            <w:r w:rsidRPr="007C7025">
              <w:t xml:space="preserve">lassified as </w:t>
            </w:r>
            <w:r>
              <w:t>CR</w:t>
            </w:r>
            <w:r w:rsidRPr="007C7025">
              <w:t xml:space="preserve">, </w:t>
            </w:r>
            <w:r>
              <w:t>PR</w:t>
            </w:r>
            <w:r w:rsidRPr="007C7025">
              <w:t xml:space="preserve">, </w:t>
            </w:r>
            <w:r>
              <w:t>SD</w:t>
            </w:r>
            <w:r w:rsidRPr="007C7025">
              <w:t>, and PD according to RECIST 1.1</w:t>
            </w:r>
          </w:p>
          <w:p w14:paraId="5928B455" w14:textId="77777777" w:rsidR="00292821" w:rsidRDefault="00292821" w:rsidP="00861F4D">
            <w:pPr>
              <w:pStyle w:val="Tabletext1"/>
              <w:spacing w:before="40" w:after="40" w:line="288" w:lineRule="auto"/>
              <w:ind w:left="34"/>
            </w:pPr>
            <w:r>
              <w:t xml:space="preserve">2.  TTLP: </w:t>
            </w:r>
            <w:r w:rsidRPr="007C7025">
              <w:t>calculated from the time of ablation of primar</w:t>
            </w:r>
            <w:r>
              <w:t>y tumours to local progression</w:t>
            </w:r>
          </w:p>
          <w:p w14:paraId="099AFB65" w14:textId="77777777" w:rsidR="00292821" w:rsidRDefault="00292821" w:rsidP="00861F4D">
            <w:pPr>
              <w:pStyle w:val="Tabletext1"/>
              <w:spacing w:before="40" w:after="40" w:line="288" w:lineRule="auto"/>
              <w:ind w:left="34"/>
            </w:pPr>
            <w:r>
              <w:t xml:space="preserve">3. PFS </w:t>
            </w:r>
            <w:r w:rsidRPr="007C7025">
              <w:t xml:space="preserve"> was calculated from the start of anticancer treatment, including chemotherapy and M</w:t>
            </w:r>
            <w:r>
              <w:t>T</w:t>
            </w:r>
            <w:r w:rsidRPr="007C7025">
              <w:t>A, to disease progression, including progression in ablative sites, distant metastases, or death</w:t>
            </w:r>
          </w:p>
          <w:p w14:paraId="19AB155B" w14:textId="77777777" w:rsidR="00292821" w:rsidRPr="00095CDF" w:rsidRDefault="00292821" w:rsidP="00861F4D">
            <w:pPr>
              <w:pStyle w:val="Tabletext1"/>
              <w:spacing w:before="40" w:after="40" w:line="288" w:lineRule="auto"/>
              <w:ind w:left="34"/>
            </w:pPr>
            <w:r>
              <w:t>4. Adverse events</w:t>
            </w:r>
            <w:r w:rsidRPr="007C7025">
              <w:t xml:space="preserve"> of M</w:t>
            </w:r>
            <w:r>
              <w:t>T</w:t>
            </w:r>
            <w:r w:rsidRPr="007C7025">
              <w:t>A and chemotherapy were assessed according to the National Cancer Institute Common Toxicity Criteria version 3.0.</w:t>
            </w:r>
          </w:p>
        </w:tc>
      </w:tr>
      <w:tr w:rsidR="00EE2884" w:rsidRPr="00095CDF" w14:paraId="0B01928A" w14:textId="77777777" w:rsidTr="008605F3">
        <w:trPr>
          <w:cantSplit/>
          <w:trHeight w:val="319"/>
        </w:trPr>
        <w:tc>
          <w:tcPr>
            <w:tcW w:w="565" w:type="pct"/>
            <w:tcBorders>
              <w:top w:val="single" w:sz="4" w:space="0" w:color="auto"/>
              <w:left w:val="single" w:sz="4" w:space="0" w:color="auto"/>
              <w:bottom w:val="single" w:sz="4" w:space="0" w:color="auto"/>
            </w:tcBorders>
            <w:shd w:val="clear" w:color="auto" w:fill="D9D9D9" w:themeFill="background1" w:themeFillShade="D9"/>
          </w:tcPr>
          <w:p w14:paraId="7D6AB304" w14:textId="77777777" w:rsidR="00EE2884" w:rsidRPr="00C1059E" w:rsidRDefault="00C1059E" w:rsidP="00861F4D">
            <w:pPr>
              <w:pStyle w:val="Tabletext1"/>
              <w:spacing w:before="40" w:after="40" w:line="288" w:lineRule="auto"/>
              <w:rPr>
                <w:b/>
              </w:rPr>
            </w:pPr>
            <w:r w:rsidRPr="00C1059E">
              <w:rPr>
                <w:b/>
              </w:rPr>
              <w:t>MIXED SAMPLES</w:t>
            </w:r>
          </w:p>
        </w:tc>
        <w:tc>
          <w:tcPr>
            <w:tcW w:w="738" w:type="pct"/>
            <w:gridSpan w:val="2"/>
            <w:tcBorders>
              <w:top w:val="single" w:sz="4" w:space="0" w:color="auto"/>
              <w:bottom w:val="single" w:sz="4" w:space="0" w:color="auto"/>
            </w:tcBorders>
            <w:shd w:val="clear" w:color="auto" w:fill="D9D9D9" w:themeFill="background1" w:themeFillShade="D9"/>
          </w:tcPr>
          <w:p w14:paraId="0162993E" w14:textId="77777777" w:rsidR="00EE2884" w:rsidRPr="00C1059E" w:rsidRDefault="00EE2884" w:rsidP="00861F4D">
            <w:pPr>
              <w:pStyle w:val="Tabletext1"/>
              <w:spacing w:before="40" w:after="40" w:line="288" w:lineRule="auto"/>
              <w:rPr>
                <w:b/>
              </w:rPr>
            </w:pPr>
          </w:p>
        </w:tc>
        <w:tc>
          <w:tcPr>
            <w:tcW w:w="1493" w:type="pct"/>
            <w:tcBorders>
              <w:top w:val="single" w:sz="4" w:space="0" w:color="auto"/>
              <w:bottom w:val="single" w:sz="4" w:space="0" w:color="auto"/>
            </w:tcBorders>
            <w:shd w:val="clear" w:color="auto" w:fill="D9D9D9" w:themeFill="background1" w:themeFillShade="D9"/>
          </w:tcPr>
          <w:p w14:paraId="3E9D8B82" w14:textId="77777777" w:rsidR="00EE2884" w:rsidRPr="00C1059E" w:rsidRDefault="00EE2884" w:rsidP="00861F4D">
            <w:pPr>
              <w:pStyle w:val="Tabletext1"/>
              <w:spacing w:before="40" w:after="40" w:line="288" w:lineRule="auto"/>
              <w:rPr>
                <w:b/>
              </w:rPr>
            </w:pPr>
          </w:p>
        </w:tc>
        <w:tc>
          <w:tcPr>
            <w:tcW w:w="707" w:type="pct"/>
            <w:tcBorders>
              <w:top w:val="single" w:sz="4" w:space="0" w:color="auto"/>
              <w:bottom w:val="single" w:sz="4" w:space="0" w:color="auto"/>
            </w:tcBorders>
            <w:shd w:val="clear" w:color="auto" w:fill="D9D9D9" w:themeFill="background1" w:themeFillShade="D9"/>
          </w:tcPr>
          <w:p w14:paraId="3CFDC59B" w14:textId="77777777" w:rsidR="00EE2884" w:rsidRPr="00C1059E" w:rsidRDefault="00EE2884" w:rsidP="00861F4D">
            <w:pPr>
              <w:pStyle w:val="Tabletext1"/>
              <w:spacing w:before="40" w:after="40" w:line="288" w:lineRule="auto"/>
              <w:rPr>
                <w:b/>
                <w:u w:val="single"/>
              </w:rPr>
            </w:pPr>
          </w:p>
        </w:tc>
        <w:tc>
          <w:tcPr>
            <w:tcW w:w="1497" w:type="pct"/>
            <w:tcBorders>
              <w:top w:val="single" w:sz="4" w:space="0" w:color="auto"/>
              <w:bottom w:val="single" w:sz="4" w:space="0" w:color="auto"/>
              <w:right w:val="single" w:sz="4" w:space="0" w:color="auto"/>
            </w:tcBorders>
            <w:shd w:val="clear" w:color="auto" w:fill="D9D9D9" w:themeFill="background1" w:themeFillShade="D9"/>
          </w:tcPr>
          <w:p w14:paraId="6E92A645" w14:textId="77777777" w:rsidR="00EE2884" w:rsidRPr="00C1059E" w:rsidRDefault="00EE2884" w:rsidP="00861F4D">
            <w:pPr>
              <w:pStyle w:val="Tabletext1"/>
              <w:spacing w:before="40" w:after="40" w:line="288" w:lineRule="auto"/>
              <w:ind w:left="34"/>
              <w:rPr>
                <w:b/>
              </w:rPr>
            </w:pPr>
          </w:p>
        </w:tc>
      </w:tr>
      <w:tr w:rsidR="00292821" w:rsidRPr="00095CDF" w14:paraId="73F274DE"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565F7A25" w14:textId="77777777" w:rsidR="00292821" w:rsidRDefault="00292821" w:rsidP="00861F4D">
            <w:pPr>
              <w:pStyle w:val="Tabletext1"/>
              <w:spacing w:before="40" w:after="40" w:line="288" w:lineRule="auto"/>
            </w:pPr>
            <w:r>
              <w:t>Alexander et al (2013)</w:t>
            </w:r>
          </w:p>
          <w:p w14:paraId="27DDB842" w14:textId="77777777" w:rsidR="00496C1D" w:rsidRDefault="00496C1D" w:rsidP="00861F4D">
            <w:pPr>
              <w:pStyle w:val="Tabletext1"/>
              <w:spacing w:before="40" w:after="40" w:line="288" w:lineRule="auto"/>
            </w:pPr>
            <w:r>
              <w:t>United States of America</w:t>
            </w:r>
          </w:p>
          <w:p w14:paraId="7FF27525" w14:textId="77777777" w:rsidR="00496C1D" w:rsidRPr="00095CDF" w:rsidRDefault="00496C1D"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1384FCFD" w14:textId="77777777" w:rsidR="00292821" w:rsidRDefault="00292821" w:rsidP="00861F4D">
            <w:pPr>
              <w:pStyle w:val="Tabletext1"/>
              <w:spacing w:before="40" w:after="40" w:line="288" w:lineRule="auto"/>
            </w:pPr>
            <w:r>
              <w:t>Retrospective CS</w:t>
            </w:r>
          </w:p>
          <w:p w14:paraId="6FEA22CA" w14:textId="77777777" w:rsidR="00242EBD" w:rsidRDefault="00242EBD" w:rsidP="00861F4D">
            <w:pPr>
              <w:pStyle w:val="Tabletext1"/>
              <w:spacing w:before="40" w:after="40" w:line="288" w:lineRule="auto"/>
            </w:pPr>
            <w:r>
              <w:t>Level IV</w:t>
            </w:r>
          </w:p>
          <w:p w14:paraId="04459805" w14:textId="77777777" w:rsidR="00292821" w:rsidRDefault="00292821" w:rsidP="00861F4D">
            <w:pPr>
              <w:pStyle w:val="Tabletext1"/>
              <w:spacing w:before="40" w:after="40" w:line="288" w:lineRule="auto"/>
            </w:pPr>
            <w:r>
              <w:t>Risk of bias: High</w:t>
            </w:r>
          </w:p>
          <w:p w14:paraId="7CE5BC5F" w14:textId="77777777" w:rsidR="00292821" w:rsidRDefault="00292821" w:rsidP="00861F4D">
            <w:pPr>
              <w:pStyle w:val="Tabletext1"/>
              <w:spacing w:before="40" w:after="40" w:line="288" w:lineRule="auto"/>
            </w:pPr>
            <w:r>
              <w:t>Hospital setting</w:t>
            </w:r>
          </w:p>
          <w:p w14:paraId="1478906F" w14:textId="77777777" w:rsidR="00292821" w:rsidRPr="00095CDF" w:rsidRDefault="00292821" w:rsidP="00861F4D">
            <w:pPr>
              <w:pStyle w:val="Tabletext1"/>
              <w:spacing w:before="40" w:after="40" w:line="288" w:lineRule="auto"/>
            </w:pPr>
            <w:r>
              <w:t xml:space="preserve">Mean (SD): </w:t>
            </w:r>
            <w:r w:rsidRPr="008040C7">
              <w:t>20.0 (15.2) month</w:t>
            </w:r>
            <w:r>
              <w:t>s</w:t>
            </w:r>
          </w:p>
        </w:tc>
        <w:tc>
          <w:tcPr>
            <w:tcW w:w="1493" w:type="pct"/>
            <w:tcBorders>
              <w:top w:val="single" w:sz="4" w:space="0" w:color="auto"/>
              <w:left w:val="single" w:sz="4" w:space="0" w:color="auto"/>
              <w:bottom w:val="single" w:sz="4" w:space="0" w:color="auto"/>
              <w:right w:val="single" w:sz="4" w:space="0" w:color="auto"/>
            </w:tcBorders>
          </w:tcPr>
          <w:p w14:paraId="7049B8FB" w14:textId="77777777" w:rsidR="004D7884" w:rsidRDefault="00292821" w:rsidP="00861F4D">
            <w:pPr>
              <w:pStyle w:val="Tabletext1"/>
              <w:spacing w:before="40" w:after="40" w:line="288" w:lineRule="auto"/>
            </w:pPr>
            <w:r w:rsidRPr="008040C7">
              <w:t>Patients with lung neoplasms treated with M</w:t>
            </w:r>
            <w:r>
              <w:t>T</w:t>
            </w:r>
            <w:r w:rsidRPr="008040C7">
              <w:t>A and/or RFA at a single institution</w:t>
            </w:r>
          </w:p>
          <w:p w14:paraId="574A5A09" w14:textId="77777777" w:rsidR="004D7884" w:rsidRDefault="00292821" w:rsidP="00861F4D">
            <w:pPr>
              <w:pStyle w:val="Tabletext1"/>
              <w:spacing w:before="40" w:after="40" w:line="288" w:lineRule="auto"/>
            </w:pPr>
            <w:r>
              <w:t xml:space="preserve"> </w:t>
            </w:r>
            <w:r w:rsidR="00C10752">
              <w:t xml:space="preserve">N = </w:t>
            </w:r>
            <w:r>
              <w:t>163 (195)</w:t>
            </w:r>
          </w:p>
          <w:p w14:paraId="5A6CF7FD" w14:textId="18318FA6" w:rsidR="004D7884" w:rsidRDefault="004D7884" w:rsidP="00861F4D">
            <w:pPr>
              <w:pStyle w:val="Tabletext1"/>
              <w:spacing w:before="40" w:after="40" w:line="288" w:lineRule="auto"/>
            </w:pPr>
            <w:r>
              <w:t>M</w:t>
            </w:r>
            <w:r w:rsidR="00292821" w:rsidRPr="008040C7">
              <w:t>ean (range): 25.6 (6</w:t>
            </w:r>
            <w:r w:rsidR="00D35E9C">
              <w:t>–</w:t>
            </w:r>
            <w:r w:rsidR="00292821" w:rsidRPr="008040C7">
              <w:t>76)</w:t>
            </w:r>
            <w:r>
              <w:t xml:space="preserve"> mm</w:t>
            </w:r>
          </w:p>
          <w:p w14:paraId="21729441" w14:textId="77777777" w:rsidR="004D7884" w:rsidRDefault="00292821" w:rsidP="00861F4D">
            <w:pPr>
              <w:pStyle w:val="Tabletext1"/>
              <w:spacing w:before="40" w:after="40" w:line="288" w:lineRule="auto"/>
            </w:pPr>
            <w:r>
              <w:t xml:space="preserve">M/F ratio: </w:t>
            </w:r>
            <w:r w:rsidRPr="008040C7">
              <w:t>85:78</w:t>
            </w:r>
          </w:p>
          <w:p w14:paraId="43AE584E" w14:textId="55A33E37" w:rsidR="00182B9D" w:rsidRDefault="004D7884" w:rsidP="00861F4D">
            <w:pPr>
              <w:pStyle w:val="Tabletext1"/>
              <w:spacing w:before="40" w:after="40" w:line="288" w:lineRule="auto"/>
            </w:pPr>
            <w:r>
              <w:t>M</w:t>
            </w:r>
            <w:r w:rsidR="00292821" w:rsidRPr="008040C7">
              <w:t xml:space="preserve">ean </w:t>
            </w:r>
            <w:r w:rsidR="00292821">
              <w:t xml:space="preserve">age </w:t>
            </w:r>
            <w:r w:rsidR="00292821" w:rsidRPr="008040C7">
              <w:t>(range): 73 (43</w:t>
            </w:r>
            <w:r w:rsidR="00D35E9C">
              <w:t>–</w:t>
            </w:r>
            <w:r w:rsidR="00292821" w:rsidRPr="008040C7">
              <w:t>94)</w:t>
            </w:r>
            <w:r w:rsidR="00182B9D">
              <w:t xml:space="preserve"> years</w:t>
            </w:r>
          </w:p>
          <w:p w14:paraId="127E883F" w14:textId="77777777" w:rsidR="00292821" w:rsidRPr="00095CDF" w:rsidRDefault="00182B9D" w:rsidP="00861F4D">
            <w:pPr>
              <w:pStyle w:val="Tabletext1"/>
              <w:spacing w:before="40" w:after="40" w:line="288" w:lineRule="auto"/>
            </w:pPr>
            <w:r>
              <w:t xml:space="preserve">Primary/metastatic: </w:t>
            </w:r>
            <w:r w:rsidR="00292821">
              <w:t xml:space="preserve"> </w:t>
            </w:r>
            <w:r w:rsidR="00292821" w:rsidRPr="008040C7">
              <w:t>131 had primary lung tumours, 32 had metastatic tumours</w:t>
            </w:r>
          </w:p>
        </w:tc>
        <w:tc>
          <w:tcPr>
            <w:tcW w:w="707" w:type="pct"/>
            <w:tcBorders>
              <w:top w:val="single" w:sz="4" w:space="0" w:color="auto"/>
              <w:left w:val="single" w:sz="4" w:space="0" w:color="auto"/>
              <w:bottom w:val="single" w:sz="4" w:space="0" w:color="auto"/>
              <w:right w:val="single" w:sz="4" w:space="0" w:color="auto"/>
            </w:tcBorders>
          </w:tcPr>
          <w:p w14:paraId="1B3D9F8C" w14:textId="4F4E0980" w:rsidR="00F13F9C" w:rsidRDefault="00F13F9C" w:rsidP="00861F4D">
            <w:pPr>
              <w:pStyle w:val="Tabletext1"/>
              <w:spacing w:before="40" w:after="40" w:line="288" w:lineRule="auto"/>
            </w:pPr>
            <w:r>
              <w:rPr>
                <w:u w:val="single"/>
              </w:rPr>
              <w:t xml:space="preserve">Intervention: </w:t>
            </w:r>
            <w:r w:rsidR="00292821" w:rsidRPr="00F13F9C">
              <w:rPr>
                <w:u w:val="single"/>
              </w:rPr>
              <w:t>MTA/RFA under CT guidance</w:t>
            </w:r>
          </w:p>
          <w:p w14:paraId="261E7C5A" w14:textId="18C81804" w:rsidR="00292821" w:rsidRDefault="00F13F9C" w:rsidP="00861F4D">
            <w:pPr>
              <w:pStyle w:val="Tabletext1"/>
              <w:spacing w:before="40" w:after="40" w:line="288" w:lineRule="auto"/>
            </w:pPr>
            <w:r>
              <w:t>(</w:t>
            </w:r>
            <w:r w:rsidR="00292821" w:rsidRPr="008040C7">
              <w:t xml:space="preserve">113 tumours treated by RFA, 74 tumours treated by </w:t>
            </w:r>
            <w:r w:rsidR="00814C4F" w:rsidRPr="008040C7">
              <w:t>M</w:t>
            </w:r>
            <w:r w:rsidR="00814C4F">
              <w:t>T</w:t>
            </w:r>
            <w:r w:rsidR="00814C4F" w:rsidRPr="008040C7">
              <w:t>A</w:t>
            </w:r>
            <w:r w:rsidR="00292821" w:rsidRPr="008040C7">
              <w:t xml:space="preserve">, 8 tumours treated by RFA and </w:t>
            </w:r>
            <w:r w:rsidR="00814C4F" w:rsidRPr="008040C7">
              <w:t>M</w:t>
            </w:r>
            <w:r w:rsidR="00814C4F">
              <w:t>T</w:t>
            </w:r>
            <w:r w:rsidR="00814C4F" w:rsidRPr="008040C7">
              <w:t>A</w:t>
            </w:r>
            <w:r>
              <w:t>)</w:t>
            </w:r>
          </w:p>
          <w:p w14:paraId="7A954EE6" w14:textId="77777777" w:rsidR="00F13F9C" w:rsidRDefault="00F13F9C" w:rsidP="00861F4D">
            <w:pPr>
              <w:pStyle w:val="Tabletext1"/>
              <w:spacing w:before="40" w:after="40" w:line="288" w:lineRule="auto"/>
            </w:pPr>
            <w:r>
              <w:t>Conscious sedation</w:t>
            </w:r>
          </w:p>
          <w:p w14:paraId="4D00D553" w14:textId="77777777" w:rsidR="00F13F9C" w:rsidRDefault="00F13F9C" w:rsidP="00861F4D">
            <w:pPr>
              <w:pStyle w:val="Tabletext1"/>
              <w:spacing w:before="40" w:after="40" w:line="288" w:lineRule="auto"/>
            </w:pPr>
            <w:r>
              <w:t>Duration: NR</w:t>
            </w:r>
          </w:p>
          <w:p w14:paraId="3404B016"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32E41B27" w14:textId="77777777" w:rsidR="00292821" w:rsidRPr="00095CDF" w:rsidRDefault="00292821" w:rsidP="00861F4D">
            <w:pPr>
              <w:pStyle w:val="Tabletext1"/>
              <w:spacing w:before="40" w:after="40" w:line="288" w:lineRule="auto"/>
              <w:ind w:left="34"/>
            </w:pPr>
            <w:r>
              <w:t>1. Incidence of rib fracture: three board-certified Radiologists retrospectively reviewed CT and/or PET/ CT images after ablation  for the presence of rib fractures in the vicinity of the ablation zone, not related to tumour invasion</w:t>
            </w:r>
          </w:p>
        </w:tc>
      </w:tr>
      <w:tr w:rsidR="00292821" w:rsidRPr="00095CDF" w14:paraId="237AA210"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377A505A" w14:textId="77777777" w:rsidR="00292821" w:rsidRDefault="00292821" w:rsidP="00861F4D">
            <w:pPr>
              <w:pStyle w:val="Tabletext1"/>
              <w:spacing w:before="40" w:after="40" w:line="288" w:lineRule="auto"/>
            </w:pPr>
            <w:r>
              <w:lastRenderedPageBreak/>
              <w:t>Belfiore et al (2013)</w:t>
            </w:r>
          </w:p>
          <w:p w14:paraId="6A694F28" w14:textId="77777777" w:rsidR="00496C1D" w:rsidRDefault="00496C1D" w:rsidP="00861F4D">
            <w:pPr>
              <w:pStyle w:val="Tabletext1"/>
              <w:spacing w:before="40" w:after="40" w:line="288" w:lineRule="auto"/>
            </w:pPr>
            <w:r>
              <w:t>Italy</w:t>
            </w:r>
          </w:p>
          <w:p w14:paraId="650E8FCA" w14:textId="77777777" w:rsidR="00496C1D" w:rsidRPr="00095CDF" w:rsidRDefault="00496C1D"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7AAF258D" w14:textId="77777777" w:rsidR="00292821" w:rsidRDefault="00292821" w:rsidP="00861F4D">
            <w:pPr>
              <w:pStyle w:val="Tabletext1"/>
              <w:spacing w:before="40" w:after="40" w:line="288" w:lineRule="auto"/>
            </w:pPr>
            <w:r>
              <w:t>Retrospective CS</w:t>
            </w:r>
          </w:p>
          <w:p w14:paraId="2C408504" w14:textId="77777777" w:rsidR="00242EBD" w:rsidRDefault="00242EBD" w:rsidP="00861F4D">
            <w:pPr>
              <w:pStyle w:val="Tabletext1"/>
              <w:spacing w:before="40" w:after="40" w:line="288" w:lineRule="auto"/>
            </w:pPr>
            <w:r>
              <w:t>Level IV</w:t>
            </w:r>
          </w:p>
          <w:p w14:paraId="423BA86B" w14:textId="77777777" w:rsidR="00292821" w:rsidRDefault="00292821" w:rsidP="00861F4D">
            <w:pPr>
              <w:pStyle w:val="Tabletext1"/>
              <w:spacing w:before="40" w:after="40" w:line="288" w:lineRule="auto"/>
            </w:pPr>
            <w:r>
              <w:t>Risk of bias: High</w:t>
            </w:r>
          </w:p>
          <w:p w14:paraId="05B8F308" w14:textId="77777777" w:rsidR="00292821" w:rsidRDefault="00292821" w:rsidP="00861F4D">
            <w:pPr>
              <w:pStyle w:val="Tabletext1"/>
              <w:spacing w:before="40" w:after="40" w:line="288" w:lineRule="auto"/>
            </w:pPr>
            <w:r>
              <w:t>Hospital setting</w:t>
            </w:r>
          </w:p>
          <w:p w14:paraId="23502B70" w14:textId="77777777" w:rsidR="00292821" w:rsidRPr="00095CDF" w:rsidRDefault="00292821" w:rsidP="00861F4D">
            <w:pPr>
              <w:pStyle w:val="Tabletext1"/>
              <w:spacing w:before="40" w:after="40" w:line="288" w:lineRule="auto"/>
            </w:pPr>
            <w:r>
              <w:t>NR</w:t>
            </w:r>
          </w:p>
        </w:tc>
        <w:tc>
          <w:tcPr>
            <w:tcW w:w="1493" w:type="pct"/>
            <w:tcBorders>
              <w:top w:val="single" w:sz="4" w:space="0" w:color="auto"/>
              <w:left w:val="single" w:sz="4" w:space="0" w:color="auto"/>
              <w:bottom w:val="single" w:sz="4" w:space="0" w:color="auto"/>
              <w:right w:val="single" w:sz="4" w:space="0" w:color="auto"/>
            </w:tcBorders>
          </w:tcPr>
          <w:p w14:paraId="559F1DA3" w14:textId="77777777" w:rsidR="00182B9D" w:rsidRDefault="00292821" w:rsidP="00861F4D">
            <w:pPr>
              <w:pStyle w:val="Tabletext1"/>
              <w:spacing w:before="40" w:after="40" w:line="288" w:lineRule="auto"/>
            </w:pPr>
            <w:r w:rsidRPr="00E02A30">
              <w:t>Patients with primary or secondary lung cancer who were not suitable for surgical procedures due to tumour extension or concomitant disease</w:t>
            </w:r>
          </w:p>
          <w:p w14:paraId="5440C7A9" w14:textId="77777777" w:rsidR="00182B9D" w:rsidRDefault="00292821" w:rsidP="00861F4D">
            <w:pPr>
              <w:pStyle w:val="Tabletext1"/>
              <w:spacing w:before="40" w:after="40" w:line="288" w:lineRule="auto"/>
            </w:pPr>
            <w:r>
              <w:t xml:space="preserve"> </w:t>
            </w:r>
            <w:r w:rsidR="00C10752">
              <w:t xml:space="preserve">N = </w:t>
            </w:r>
            <w:r>
              <w:t>56 (69)</w:t>
            </w:r>
          </w:p>
          <w:p w14:paraId="5438893E" w14:textId="77777777" w:rsidR="00182B9D" w:rsidRDefault="00182B9D" w:rsidP="00861F4D">
            <w:pPr>
              <w:pStyle w:val="Tabletext1"/>
              <w:spacing w:before="40" w:after="40" w:line="288" w:lineRule="auto"/>
            </w:pPr>
            <w:r>
              <w:t>M</w:t>
            </w:r>
            <w:r w:rsidR="007908D7">
              <w:t>aximum diameter mean (SD): 30 (</w:t>
            </w:r>
            <w:r w:rsidR="00292821" w:rsidRPr="00ED358F">
              <w:t>9)</w:t>
            </w:r>
          </w:p>
          <w:p w14:paraId="17F5EA1D" w14:textId="77777777" w:rsidR="00182B9D" w:rsidRDefault="00292821" w:rsidP="00861F4D">
            <w:pPr>
              <w:pStyle w:val="Tabletext1"/>
              <w:spacing w:before="40" w:after="40" w:line="288" w:lineRule="auto"/>
            </w:pPr>
            <w:r>
              <w:t xml:space="preserve">M/F ratio: </w:t>
            </w:r>
            <w:r w:rsidRPr="00ED358F">
              <w:t>35:21</w:t>
            </w:r>
          </w:p>
          <w:p w14:paraId="5023252A" w14:textId="77777777" w:rsidR="00EA3AA8" w:rsidRDefault="00182B9D" w:rsidP="00861F4D">
            <w:pPr>
              <w:pStyle w:val="Tabletext1"/>
              <w:spacing w:before="40" w:after="40" w:line="288" w:lineRule="auto"/>
            </w:pPr>
            <w:r>
              <w:t>M</w:t>
            </w:r>
            <w:r w:rsidR="00292821">
              <w:t xml:space="preserve">ean age (SD): </w:t>
            </w:r>
            <w:r w:rsidR="00292821" w:rsidRPr="00ED358F">
              <w:t>61.5 (9.13)</w:t>
            </w:r>
            <w:r w:rsidR="00EA3AA8">
              <w:t xml:space="preserve"> years</w:t>
            </w:r>
          </w:p>
          <w:p w14:paraId="6F5592CC" w14:textId="77777777" w:rsidR="00292821" w:rsidRPr="00095CDF" w:rsidRDefault="007908D7" w:rsidP="00861F4D">
            <w:pPr>
              <w:pStyle w:val="Tabletext1"/>
              <w:spacing w:before="40" w:after="40" w:line="288" w:lineRule="auto"/>
            </w:pPr>
            <w:r w:rsidRPr="007908D7">
              <w:t>44 patients had lung cancer (31 adenocarcinomas, 10 squamous carcinomas, 3 small cell carcinomas). 12 patients had metastatic disease (9 had primary colorectal cancer and 3 had primary breast cancer)</w:t>
            </w:r>
          </w:p>
        </w:tc>
        <w:tc>
          <w:tcPr>
            <w:tcW w:w="707" w:type="pct"/>
            <w:tcBorders>
              <w:top w:val="single" w:sz="4" w:space="0" w:color="auto"/>
              <w:left w:val="single" w:sz="4" w:space="0" w:color="auto"/>
              <w:bottom w:val="single" w:sz="4" w:space="0" w:color="auto"/>
              <w:right w:val="single" w:sz="4" w:space="0" w:color="auto"/>
            </w:tcBorders>
          </w:tcPr>
          <w:p w14:paraId="40ED9472" w14:textId="77777777" w:rsidR="00F13F9C" w:rsidRDefault="00F13F9C" w:rsidP="00861F4D">
            <w:pPr>
              <w:pStyle w:val="Tabletext1"/>
              <w:spacing w:before="40" w:after="40" w:line="288" w:lineRule="auto"/>
            </w:pPr>
            <w:r w:rsidRPr="00F13F9C">
              <w:rPr>
                <w:u w:val="single"/>
              </w:rPr>
              <w:t>Intervention: CT-guided MTA</w:t>
            </w:r>
            <w:r w:rsidRPr="00F13F9C">
              <w:t xml:space="preserve"> </w:t>
            </w:r>
          </w:p>
          <w:p w14:paraId="7564A876" w14:textId="77777777" w:rsidR="00F13F9C" w:rsidRDefault="00F13F9C" w:rsidP="00861F4D">
            <w:pPr>
              <w:pStyle w:val="Tabletext1"/>
              <w:spacing w:before="40" w:after="40" w:line="288" w:lineRule="auto"/>
            </w:pPr>
            <w:r>
              <w:t xml:space="preserve">Conscious sedation </w:t>
            </w:r>
          </w:p>
          <w:p w14:paraId="319FA8E9" w14:textId="19C0B57A" w:rsidR="00292821" w:rsidRDefault="00F13F9C" w:rsidP="00861F4D">
            <w:pPr>
              <w:pStyle w:val="Tabletext1"/>
              <w:spacing w:before="40" w:after="40" w:line="288" w:lineRule="auto"/>
            </w:pPr>
            <w:r>
              <w:t>D</w:t>
            </w:r>
            <w:r w:rsidR="00292821">
              <w:t xml:space="preserve">uration: </w:t>
            </w:r>
            <w:r w:rsidR="00292821" w:rsidRPr="00ED358F">
              <w:t>6</w:t>
            </w:r>
            <w:r w:rsidR="00D35E9C">
              <w:t>–</w:t>
            </w:r>
            <w:r w:rsidR="00292821" w:rsidRPr="00ED358F">
              <w:t>10 minutes</w:t>
            </w:r>
          </w:p>
          <w:p w14:paraId="551FB7CD" w14:textId="77777777" w:rsidR="003D7E37" w:rsidRDefault="003D7E37" w:rsidP="00861F4D">
            <w:pPr>
              <w:pStyle w:val="Tabletext1"/>
              <w:spacing w:before="40" w:after="40" w:line="288" w:lineRule="auto"/>
            </w:pPr>
            <w:r w:rsidRPr="00236D1B">
              <w:rPr>
                <w:u w:val="single"/>
              </w:rPr>
              <w:t>Comparator: N/A</w:t>
            </w:r>
          </w:p>
          <w:p w14:paraId="3CDB266A" w14:textId="77777777" w:rsidR="00292821" w:rsidRPr="00095CDF" w:rsidRDefault="00292821" w:rsidP="00861F4D">
            <w:pPr>
              <w:pStyle w:val="Tabletext1"/>
              <w:spacing w:before="40" w:after="40" w:line="288" w:lineRule="auto"/>
            </w:pPr>
          </w:p>
        </w:tc>
        <w:tc>
          <w:tcPr>
            <w:tcW w:w="1497" w:type="pct"/>
            <w:tcBorders>
              <w:top w:val="single" w:sz="4" w:space="0" w:color="auto"/>
              <w:left w:val="single" w:sz="4" w:space="0" w:color="auto"/>
              <w:bottom w:val="single" w:sz="4" w:space="0" w:color="auto"/>
              <w:right w:val="single" w:sz="4" w:space="0" w:color="auto"/>
            </w:tcBorders>
          </w:tcPr>
          <w:p w14:paraId="3E5D7C69" w14:textId="77777777" w:rsidR="00292821" w:rsidRPr="00095CDF" w:rsidRDefault="00292821" w:rsidP="00861F4D">
            <w:pPr>
              <w:pStyle w:val="Tabletext1"/>
              <w:spacing w:before="40" w:after="40" w:line="288" w:lineRule="auto"/>
              <w:ind w:left="34"/>
            </w:pPr>
            <w:r>
              <w:t>1. Adverse events: non-specified</w:t>
            </w:r>
          </w:p>
        </w:tc>
      </w:tr>
      <w:tr w:rsidR="00292821" w:rsidRPr="00095CDF" w14:paraId="4F45FD29"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32A7F217" w14:textId="77777777" w:rsidR="00292821" w:rsidRDefault="00292821" w:rsidP="00861F4D">
            <w:pPr>
              <w:pStyle w:val="Tabletext1"/>
              <w:spacing w:before="40" w:after="40" w:line="288" w:lineRule="auto"/>
            </w:pPr>
            <w:r>
              <w:t>Carafiello et al (2014)</w:t>
            </w:r>
          </w:p>
          <w:p w14:paraId="6FFF319F" w14:textId="77777777" w:rsidR="00496C1D" w:rsidRDefault="00496C1D" w:rsidP="00861F4D">
            <w:pPr>
              <w:pStyle w:val="Tabletext1"/>
              <w:spacing w:before="40" w:after="40" w:line="288" w:lineRule="auto"/>
            </w:pPr>
            <w:r>
              <w:t xml:space="preserve">Italy </w:t>
            </w:r>
          </w:p>
          <w:p w14:paraId="2C1F95BA" w14:textId="77777777" w:rsidR="00496C1D" w:rsidRPr="00095CDF" w:rsidRDefault="00496C1D"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52BFC8E0" w14:textId="77777777" w:rsidR="00292821" w:rsidRDefault="00292821" w:rsidP="00861F4D">
            <w:pPr>
              <w:pStyle w:val="Tabletext1"/>
              <w:spacing w:before="40" w:after="40" w:line="288" w:lineRule="auto"/>
            </w:pPr>
            <w:r>
              <w:t>Retrospective CS</w:t>
            </w:r>
          </w:p>
          <w:p w14:paraId="228A1E15" w14:textId="77777777" w:rsidR="00242EBD" w:rsidRDefault="00242EBD" w:rsidP="00861F4D">
            <w:pPr>
              <w:pStyle w:val="Tabletext1"/>
              <w:spacing w:before="40" w:after="40" w:line="288" w:lineRule="auto"/>
            </w:pPr>
            <w:r>
              <w:t>Level IV</w:t>
            </w:r>
          </w:p>
          <w:p w14:paraId="27B0C3E7" w14:textId="77777777" w:rsidR="00292821" w:rsidRDefault="00292821" w:rsidP="00861F4D">
            <w:pPr>
              <w:pStyle w:val="Tabletext1"/>
              <w:spacing w:before="40" w:after="40" w:line="288" w:lineRule="auto"/>
            </w:pPr>
            <w:r>
              <w:t>Risk of bias: High</w:t>
            </w:r>
          </w:p>
          <w:p w14:paraId="43583834" w14:textId="77777777" w:rsidR="00292821" w:rsidRDefault="00292821" w:rsidP="00861F4D">
            <w:pPr>
              <w:pStyle w:val="Tabletext1"/>
              <w:spacing w:before="40" w:after="40" w:line="288" w:lineRule="auto"/>
            </w:pPr>
            <w:r>
              <w:t>Hospital setting</w:t>
            </w:r>
          </w:p>
          <w:p w14:paraId="2A710114" w14:textId="1A77CEEF" w:rsidR="00292821" w:rsidRPr="00095CDF" w:rsidRDefault="007908D7" w:rsidP="00861F4D">
            <w:pPr>
              <w:pStyle w:val="Tabletext1"/>
              <w:spacing w:before="40" w:after="40" w:line="288" w:lineRule="auto"/>
            </w:pPr>
            <w:r>
              <w:t>mean (range): 9.9 months (3</w:t>
            </w:r>
            <w:r w:rsidR="00D35E9C">
              <w:t>–</w:t>
            </w:r>
            <w:r w:rsidR="00292821" w:rsidRPr="00ED358F">
              <w:t>26)</w:t>
            </w:r>
          </w:p>
        </w:tc>
        <w:tc>
          <w:tcPr>
            <w:tcW w:w="1493" w:type="pct"/>
            <w:tcBorders>
              <w:top w:val="single" w:sz="4" w:space="0" w:color="auto"/>
              <w:left w:val="single" w:sz="4" w:space="0" w:color="auto"/>
              <w:bottom w:val="single" w:sz="4" w:space="0" w:color="auto"/>
              <w:right w:val="single" w:sz="4" w:space="0" w:color="auto"/>
            </w:tcBorders>
          </w:tcPr>
          <w:p w14:paraId="4C431C1B" w14:textId="77777777" w:rsidR="00EA3AA8" w:rsidRDefault="00292821" w:rsidP="00861F4D">
            <w:pPr>
              <w:pStyle w:val="Tabletext1"/>
              <w:spacing w:before="40" w:after="40" w:line="288" w:lineRule="auto"/>
            </w:pPr>
            <w:r w:rsidRPr="00ED358F">
              <w:t>Patients with N</w:t>
            </w:r>
            <w:r>
              <w:t>SCLC stages IA-IV or metastases</w:t>
            </w:r>
            <w:r w:rsidRPr="00ED358F">
              <w:t>, all patients judged to be inoperable or refus</w:t>
            </w:r>
            <w:r>
              <w:t xml:space="preserve">ing </w:t>
            </w:r>
            <w:r w:rsidRPr="00ED358F">
              <w:t>surgery</w:t>
            </w:r>
          </w:p>
          <w:p w14:paraId="459A085B" w14:textId="77777777" w:rsidR="00EA3AA8" w:rsidRDefault="00C10752" w:rsidP="00861F4D">
            <w:pPr>
              <w:pStyle w:val="Tabletext1"/>
              <w:spacing w:before="40" w:after="40" w:line="288" w:lineRule="auto"/>
            </w:pPr>
            <w:r>
              <w:t xml:space="preserve">N = </w:t>
            </w:r>
            <w:r w:rsidR="00EA3AA8">
              <w:t>24 (26)</w:t>
            </w:r>
          </w:p>
          <w:p w14:paraId="413F6F03" w14:textId="2081DF17" w:rsidR="00EA3AA8" w:rsidRDefault="00EA3AA8" w:rsidP="00861F4D">
            <w:pPr>
              <w:pStyle w:val="Tabletext1"/>
              <w:spacing w:before="40" w:after="40" w:line="288" w:lineRule="auto"/>
            </w:pPr>
            <w:r>
              <w:t>M</w:t>
            </w:r>
            <w:r w:rsidR="00292821" w:rsidRPr="00ED358F">
              <w:t>ean index of max diameter (range): 30.96 (8</w:t>
            </w:r>
            <w:r w:rsidR="00D35E9C">
              <w:t>–</w:t>
            </w:r>
            <w:r w:rsidR="00292821" w:rsidRPr="00ED358F">
              <w:t>100)</w:t>
            </w:r>
            <w:r>
              <w:t xml:space="preserve"> mm</w:t>
            </w:r>
          </w:p>
          <w:p w14:paraId="3992ABC5" w14:textId="77777777" w:rsidR="00EA3AA8" w:rsidRDefault="00292821" w:rsidP="00861F4D">
            <w:pPr>
              <w:pStyle w:val="Tabletext1"/>
              <w:spacing w:before="40" w:after="40" w:line="288" w:lineRule="auto"/>
            </w:pPr>
            <w:r>
              <w:t>M/F ratio: 15:9</w:t>
            </w:r>
          </w:p>
          <w:p w14:paraId="4AD46AB3" w14:textId="1FF4FB9B" w:rsidR="00EA3AA8" w:rsidRDefault="00EA3AA8" w:rsidP="00861F4D">
            <w:pPr>
              <w:pStyle w:val="Tabletext1"/>
              <w:spacing w:before="40" w:after="40" w:line="288" w:lineRule="auto"/>
            </w:pPr>
            <w:r>
              <w:t>M</w:t>
            </w:r>
            <w:r w:rsidR="00292821">
              <w:t xml:space="preserve">ean age (range): </w:t>
            </w:r>
            <w:r w:rsidR="00292821" w:rsidRPr="00ED358F">
              <w:t>71.7 (46</w:t>
            </w:r>
            <w:r w:rsidR="00D35E9C">
              <w:t>–</w:t>
            </w:r>
            <w:r w:rsidR="00292821" w:rsidRPr="00ED358F">
              <w:t>83)</w:t>
            </w:r>
            <w:r>
              <w:t xml:space="preserve"> years</w:t>
            </w:r>
          </w:p>
          <w:p w14:paraId="520E2F77" w14:textId="77777777" w:rsidR="00292821" w:rsidRPr="00095CDF" w:rsidRDefault="00292821" w:rsidP="00861F4D">
            <w:pPr>
              <w:pStyle w:val="Tabletext1"/>
              <w:spacing w:before="40" w:after="40" w:line="288" w:lineRule="auto"/>
            </w:pPr>
            <w:r>
              <w:t xml:space="preserve">Primary cancers were: </w:t>
            </w:r>
            <w:r w:rsidRPr="00ED358F">
              <w:t xml:space="preserve">6 squamous </w:t>
            </w:r>
            <w:proofErr w:type="gramStart"/>
            <w:r w:rsidRPr="00ED358F">
              <w:t>cell</w:t>
            </w:r>
            <w:proofErr w:type="gramEnd"/>
            <w:r w:rsidRPr="00ED358F">
              <w:t>, 7 adenocarcinomas, 1 neuroendocrine carcinoma. There were 11 metastases and 1 microcytoma.</w:t>
            </w:r>
          </w:p>
        </w:tc>
        <w:tc>
          <w:tcPr>
            <w:tcW w:w="707" w:type="pct"/>
            <w:tcBorders>
              <w:top w:val="single" w:sz="4" w:space="0" w:color="auto"/>
              <w:left w:val="single" w:sz="4" w:space="0" w:color="auto"/>
              <w:bottom w:val="single" w:sz="4" w:space="0" w:color="auto"/>
              <w:right w:val="single" w:sz="4" w:space="0" w:color="auto"/>
            </w:tcBorders>
          </w:tcPr>
          <w:p w14:paraId="053FCB4A" w14:textId="77777777" w:rsidR="00CE55CD" w:rsidRDefault="00CE55CD" w:rsidP="00861F4D">
            <w:pPr>
              <w:pStyle w:val="Tabletext1"/>
              <w:spacing w:before="40" w:after="40" w:line="288" w:lineRule="auto"/>
            </w:pPr>
            <w:r w:rsidRPr="00F13F9C">
              <w:rPr>
                <w:u w:val="single"/>
              </w:rPr>
              <w:t>Intervention: CT-guided MTA</w:t>
            </w:r>
            <w:r w:rsidRPr="00F13F9C">
              <w:t xml:space="preserve"> </w:t>
            </w:r>
          </w:p>
          <w:p w14:paraId="7B668E4D" w14:textId="77777777" w:rsidR="00CE55CD" w:rsidRDefault="00CE55CD" w:rsidP="00861F4D">
            <w:pPr>
              <w:pStyle w:val="Tabletext1"/>
              <w:spacing w:before="40" w:after="40" w:line="288" w:lineRule="auto"/>
            </w:pPr>
            <w:r>
              <w:t>Conscious sedation</w:t>
            </w:r>
          </w:p>
          <w:p w14:paraId="286E178F" w14:textId="77777777" w:rsidR="00292821" w:rsidRDefault="00CE55CD" w:rsidP="00861F4D">
            <w:pPr>
              <w:pStyle w:val="Tabletext1"/>
              <w:spacing w:before="40" w:after="40" w:line="288" w:lineRule="auto"/>
            </w:pPr>
            <w:r>
              <w:t>D</w:t>
            </w:r>
            <w:r w:rsidR="00292821">
              <w:t>uration: NR</w:t>
            </w:r>
          </w:p>
          <w:p w14:paraId="228A9EE5"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3AFE77C8" w14:textId="77777777" w:rsidR="00292821" w:rsidRPr="00095CDF" w:rsidRDefault="00292821" w:rsidP="00861F4D">
            <w:pPr>
              <w:pStyle w:val="Tabletext1"/>
              <w:spacing w:before="40" w:after="40" w:line="288" w:lineRule="auto"/>
              <w:ind w:left="34"/>
            </w:pPr>
            <w:r>
              <w:t>1. Safety: defined as the frequency of intra-, peri- and post-procedural adverse events. All patients were evaluated for the presence of post ablation syndrome. Pain was evaluated with VAS</w:t>
            </w:r>
          </w:p>
        </w:tc>
      </w:tr>
      <w:tr w:rsidR="00292821" w:rsidRPr="00095CDF" w14:paraId="0333FD9B"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4B0DEF00" w14:textId="77777777" w:rsidR="00292821" w:rsidRDefault="00292821" w:rsidP="00861F4D">
            <w:pPr>
              <w:pStyle w:val="Tabletext1"/>
              <w:spacing w:before="40" w:after="40" w:line="288" w:lineRule="auto"/>
            </w:pPr>
            <w:r>
              <w:lastRenderedPageBreak/>
              <w:t>Carafiello et al (2012)</w:t>
            </w:r>
          </w:p>
          <w:p w14:paraId="7096BC6C" w14:textId="77777777" w:rsidR="00496C1D" w:rsidRDefault="00496C1D" w:rsidP="00861F4D">
            <w:pPr>
              <w:pStyle w:val="Tabletext1"/>
              <w:spacing w:before="40" w:after="40" w:line="288" w:lineRule="auto"/>
            </w:pPr>
            <w:r>
              <w:t xml:space="preserve">Italy </w:t>
            </w:r>
          </w:p>
          <w:p w14:paraId="61C76AE0" w14:textId="77777777" w:rsidR="00496C1D" w:rsidRPr="00095CDF" w:rsidRDefault="00496C1D"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3A5C0617" w14:textId="77777777" w:rsidR="00292821" w:rsidRDefault="00292821" w:rsidP="00861F4D">
            <w:pPr>
              <w:pStyle w:val="Tabletext1"/>
              <w:spacing w:before="40" w:after="40" w:line="288" w:lineRule="auto"/>
            </w:pPr>
            <w:r>
              <w:t>Retrospective CS</w:t>
            </w:r>
          </w:p>
          <w:p w14:paraId="77627DB7" w14:textId="77777777" w:rsidR="00242EBD" w:rsidRDefault="00242EBD" w:rsidP="00861F4D">
            <w:pPr>
              <w:pStyle w:val="Tabletext1"/>
              <w:spacing w:before="40" w:after="40" w:line="288" w:lineRule="auto"/>
            </w:pPr>
            <w:r>
              <w:t>Level IV</w:t>
            </w:r>
          </w:p>
          <w:p w14:paraId="187DBBC3" w14:textId="77777777" w:rsidR="00292821" w:rsidRDefault="00292821" w:rsidP="00861F4D">
            <w:pPr>
              <w:pStyle w:val="Tabletext1"/>
              <w:spacing w:before="40" w:after="40" w:line="288" w:lineRule="auto"/>
            </w:pPr>
            <w:r>
              <w:t>Risk of bias: High</w:t>
            </w:r>
          </w:p>
          <w:p w14:paraId="2A98D912" w14:textId="77777777" w:rsidR="00292821" w:rsidRDefault="00292821" w:rsidP="00861F4D">
            <w:pPr>
              <w:pStyle w:val="Tabletext1"/>
              <w:spacing w:before="40" w:after="40" w:line="288" w:lineRule="auto"/>
            </w:pPr>
            <w:r>
              <w:t>Hospital setting</w:t>
            </w:r>
          </w:p>
          <w:p w14:paraId="44CC47FA" w14:textId="77777777" w:rsidR="00292821" w:rsidRPr="00095CDF" w:rsidRDefault="00292821" w:rsidP="00861F4D">
            <w:pPr>
              <w:pStyle w:val="Tabletext1"/>
              <w:spacing w:before="40" w:after="40" w:line="288" w:lineRule="auto"/>
            </w:pPr>
            <w:r>
              <w:t>NR</w:t>
            </w:r>
          </w:p>
        </w:tc>
        <w:tc>
          <w:tcPr>
            <w:tcW w:w="1493" w:type="pct"/>
            <w:tcBorders>
              <w:top w:val="single" w:sz="4" w:space="0" w:color="auto"/>
              <w:left w:val="single" w:sz="4" w:space="0" w:color="auto"/>
              <w:bottom w:val="single" w:sz="4" w:space="0" w:color="auto"/>
              <w:right w:val="single" w:sz="4" w:space="0" w:color="auto"/>
            </w:tcBorders>
          </w:tcPr>
          <w:p w14:paraId="6BF223C0" w14:textId="77777777" w:rsidR="00EA3AA8" w:rsidRDefault="00292821" w:rsidP="00861F4D">
            <w:pPr>
              <w:pStyle w:val="Tabletext1"/>
              <w:spacing w:before="40" w:after="40" w:line="288" w:lineRule="auto"/>
            </w:pPr>
            <w:r w:rsidRPr="002820BF">
              <w:t>Patients with primary or secondary lung tumours tr</w:t>
            </w:r>
            <w:r w:rsidR="00EA3AA8">
              <w:t xml:space="preserve">eated by </w:t>
            </w:r>
            <w:r w:rsidR="00814C4F">
              <w:t xml:space="preserve">MTA </w:t>
            </w:r>
            <w:r w:rsidR="00EA3AA8">
              <w:t>or RFA,</w:t>
            </w:r>
          </w:p>
          <w:p w14:paraId="43526619" w14:textId="77777777" w:rsidR="00EA3AA8" w:rsidRDefault="00EA3AA8" w:rsidP="00861F4D">
            <w:pPr>
              <w:pStyle w:val="Tabletext1"/>
              <w:spacing w:before="40" w:after="40" w:line="288" w:lineRule="auto"/>
            </w:pPr>
            <w:r>
              <w:t>P</w:t>
            </w:r>
            <w:r w:rsidR="00292821" w:rsidRPr="002820BF">
              <w:t xml:space="preserve">atients were judged to have inoperable disease </w:t>
            </w:r>
            <w:r w:rsidR="00292821">
              <w:t xml:space="preserve">or refused </w:t>
            </w:r>
            <w:r w:rsidR="00292821" w:rsidRPr="002820BF">
              <w:t>surgery</w:t>
            </w:r>
          </w:p>
          <w:p w14:paraId="4B23B5E8" w14:textId="77777777" w:rsidR="00EA3AA8" w:rsidRDefault="00C10752" w:rsidP="00861F4D">
            <w:pPr>
              <w:pStyle w:val="Tabletext1"/>
              <w:spacing w:before="40" w:after="40" w:line="288" w:lineRule="auto"/>
            </w:pPr>
            <w:r>
              <w:t xml:space="preserve">N = </w:t>
            </w:r>
            <w:r w:rsidR="00EA3AA8">
              <w:t>16 with MTA (17)</w:t>
            </w:r>
          </w:p>
          <w:p w14:paraId="3406638B" w14:textId="05DEAED4" w:rsidR="00EA3AA8" w:rsidRDefault="00EA3AA8" w:rsidP="00861F4D">
            <w:pPr>
              <w:pStyle w:val="Tabletext1"/>
              <w:spacing w:before="40" w:after="40" w:line="288" w:lineRule="auto"/>
            </w:pPr>
            <w:r>
              <w:t>M</w:t>
            </w:r>
            <w:r w:rsidR="00292821" w:rsidRPr="002820BF">
              <w:t xml:space="preserve">ean </w:t>
            </w:r>
            <w:r w:rsidR="00292821">
              <w:t>tumour size</w:t>
            </w:r>
            <w:r w:rsidR="00292821" w:rsidRPr="002820BF">
              <w:t>(range): 37.5 (28</w:t>
            </w:r>
            <w:r w:rsidR="00D35E9C">
              <w:t>–</w:t>
            </w:r>
            <w:r w:rsidR="00292821" w:rsidRPr="002820BF">
              <w:t>47)</w:t>
            </w:r>
            <w:r w:rsidR="00292821">
              <w:t xml:space="preserve"> mm</w:t>
            </w:r>
          </w:p>
          <w:p w14:paraId="7425924D" w14:textId="77777777" w:rsidR="00EA3AA8" w:rsidRDefault="00292821" w:rsidP="00861F4D">
            <w:pPr>
              <w:pStyle w:val="Tabletext1"/>
              <w:spacing w:before="40" w:after="40" w:line="288" w:lineRule="auto"/>
            </w:pPr>
            <w:r>
              <w:t>M/F ratio: NR</w:t>
            </w:r>
          </w:p>
          <w:p w14:paraId="606A86C3" w14:textId="69E3A82E" w:rsidR="00EA3AA8" w:rsidRDefault="00EA3AA8" w:rsidP="00861F4D">
            <w:pPr>
              <w:pStyle w:val="Tabletext1"/>
              <w:spacing w:before="40" w:after="40" w:line="288" w:lineRule="auto"/>
            </w:pPr>
            <w:r>
              <w:t>M</w:t>
            </w:r>
            <w:r w:rsidR="00292821">
              <w:t xml:space="preserve">ean age (range): </w:t>
            </w:r>
            <w:r w:rsidR="00292821" w:rsidRPr="002820BF">
              <w:t>74.75 (40</w:t>
            </w:r>
            <w:r w:rsidR="00D35E9C">
              <w:t>–</w:t>
            </w:r>
            <w:r w:rsidR="00292821" w:rsidRPr="002820BF">
              <w:t>84)</w:t>
            </w:r>
            <w:r>
              <w:t xml:space="preserve"> years</w:t>
            </w:r>
          </w:p>
          <w:p w14:paraId="71C0CB2B" w14:textId="77777777" w:rsidR="00292821" w:rsidRPr="00095CDF" w:rsidRDefault="00292821" w:rsidP="00861F4D">
            <w:pPr>
              <w:pStyle w:val="Tabletext1"/>
              <w:spacing w:before="40" w:after="40" w:line="288" w:lineRule="auto"/>
            </w:pPr>
            <w:r>
              <w:t xml:space="preserve">Reasons for inoperability: </w:t>
            </w:r>
            <w:r w:rsidRPr="002820BF">
              <w:t>9</w:t>
            </w:r>
            <w:r>
              <w:t xml:space="preserve"> based on advanced stage, 6</w:t>
            </w:r>
            <w:r w:rsidRPr="002820BF">
              <w:t xml:space="preserve"> comorbidities</w:t>
            </w:r>
            <w:r>
              <w:t>, 1</w:t>
            </w:r>
            <w:r w:rsidRPr="002820BF">
              <w:t xml:space="preserve"> with metastases from an advanced primary</w:t>
            </w:r>
          </w:p>
        </w:tc>
        <w:tc>
          <w:tcPr>
            <w:tcW w:w="707" w:type="pct"/>
            <w:tcBorders>
              <w:top w:val="single" w:sz="4" w:space="0" w:color="auto"/>
              <w:left w:val="single" w:sz="4" w:space="0" w:color="auto"/>
              <w:bottom w:val="single" w:sz="4" w:space="0" w:color="auto"/>
              <w:right w:val="single" w:sz="4" w:space="0" w:color="auto"/>
            </w:tcBorders>
          </w:tcPr>
          <w:p w14:paraId="0C3F12C8" w14:textId="77777777" w:rsidR="00CE55CD" w:rsidRDefault="00CE55CD" w:rsidP="00861F4D">
            <w:pPr>
              <w:pStyle w:val="Tabletext1"/>
              <w:spacing w:before="40" w:after="40" w:line="288" w:lineRule="auto"/>
            </w:pPr>
            <w:r w:rsidRPr="00F13F9C">
              <w:rPr>
                <w:u w:val="single"/>
              </w:rPr>
              <w:t>Intervention: CT-guided MTA</w:t>
            </w:r>
            <w:r w:rsidRPr="00F13F9C">
              <w:t xml:space="preserve"> </w:t>
            </w:r>
          </w:p>
          <w:p w14:paraId="6AC03455" w14:textId="77777777" w:rsidR="00CE55CD" w:rsidRDefault="00CE55CD" w:rsidP="00861F4D">
            <w:pPr>
              <w:pStyle w:val="Tabletext1"/>
              <w:spacing w:before="40" w:after="40" w:line="288" w:lineRule="auto"/>
            </w:pPr>
            <w:r>
              <w:t>Conscious sedation</w:t>
            </w:r>
          </w:p>
          <w:p w14:paraId="6AA48B20" w14:textId="77777777" w:rsidR="00292821" w:rsidRDefault="00CE55CD" w:rsidP="00861F4D">
            <w:pPr>
              <w:pStyle w:val="Tabletext1"/>
              <w:spacing w:before="40" w:after="40" w:line="288" w:lineRule="auto"/>
            </w:pPr>
            <w:r>
              <w:t>D</w:t>
            </w:r>
            <w:r w:rsidR="00292821">
              <w:t>uration: total ablation time of 10 minutes</w:t>
            </w:r>
          </w:p>
          <w:p w14:paraId="457A3A31"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7D175565" w14:textId="77777777" w:rsidR="00292821" w:rsidRPr="00095CDF" w:rsidRDefault="00292821" w:rsidP="00861F4D">
            <w:pPr>
              <w:pStyle w:val="Tabletext1"/>
              <w:spacing w:before="40" w:after="40" w:line="288" w:lineRule="auto"/>
              <w:ind w:left="34"/>
            </w:pPr>
            <w:r>
              <w:t xml:space="preserve">1. Adverse events: Classified as side effects and major and minor adverse events in accordance with the classification proposed by the Society of Interventional Radiology (SIR). Patients were evaluated for the presence of post ablation syndrome and pain was measured with VAS. </w:t>
            </w:r>
          </w:p>
        </w:tc>
      </w:tr>
      <w:tr w:rsidR="00292821" w:rsidRPr="00095CDF" w14:paraId="4B27E160"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7C94C4CC" w14:textId="77777777" w:rsidR="00292821" w:rsidRDefault="00292821" w:rsidP="00861F4D">
            <w:pPr>
              <w:pStyle w:val="Tabletext1"/>
              <w:spacing w:before="40" w:after="40" w:line="288" w:lineRule="auto"/>
            </w:pPr>
            <w:r>
              <w:t>Chung et al 2014</w:t>
            </w:r>
          </w:p>
          <w:p w14:paraId="724ECDBB" w14:textId="77777777" w:rsidR="00496C1D" w:rsidRDefault="00496C1D" w:rsidP="00861F4D">
            <w:pPr>
              <w:pStyle w:val="Tabletext1"/>
              <w:spacing w:before="40" w:after="40" w:line="288" w:lineRule="auto"/>
            </w:pPr>
            <w:r>
              <w:t>United Kingdom</w:t>
            </w:r>
          </w:p>
          <w:p w14:paraId="54376702" w14:textId="77777777" w:rsidR="00496C1D" w:rsidRPr="00095CDF" w:rsidRDefault="00496C1D"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6C779D1A" w14:textId="77777777" w:rsidR="00292821" w:rsidRDefault="00292821" w:rsidP="00861F4D">
            <w:pPr>
              <w:pStyle w:val="Tabletext1"/>
              <w:spacing w:before="40" w:after="40" w:line="288" w:lineRule="auto"/>
            </w:pPr>
            <w:r>
              <w:t>Retrospective CS</w:t>
            </w:r>
          </w:p>
          <w:p w14:paraId="43D2E56E" w14:textId="77777777" w:rsidR="00242EBD" w:rsidRDefault="00242EBD" w:rsidP="00861F4D">
            <w:pPr>
              <w:pStyle w:val="Tabletext1"/>
              <w:spacing w:before="40" w:after="40" w:line="288" w:lineRule="auto"/>
            </w:pPr>
            <w:r>
              <w:t>Level IV</w:t>
            </w:r>
          </w:p>
          <w:p w14:paraId="0CB897E3" w14:textId="77777777" w:rsidR="00292821" w:rsidRDefault="00292821" w:rsidP="00861F4D">
            <w:pPr>
              <w:pStyle w:val="Tabletext1"/>
              <w:spacing w:before="40" w:after="40" w:line="288" w:lineRule="auto"/>
            </w:pPr>
            <w:r>
              <w:t>Risk of bias: High</w:t>
            </w:r>
          </w:p>
          <w:p w14:paraId="20A79AA9" w14:textId="77777777" w:rsidR="00292821" w:rsidRDefault="00292821" w:rsidP="00861F4D">
            <w:pPr>
              <w:pStyle w:val="Tabletext1"/>
              <w:spacing w:before="40" w:after="40" w:line="288" w:lineRule="auto"/>
            </w:pPr>
            <w:r>
              <w:t>Hospital setting</w:t>
            </w:r>
          </w:p>
          <w:p w14:paraId="58E50BE7" w14:textId="77777777" w:rsidR="00292821" w:rsidRPr="00095CDF" w:rsidRDefault="00292821" w:rsidP="00861F4D">
            <w:pPr>
              <w:pStyle w:val="Tabletext1"/>
              <w:spacing w:before="40" w:after="40" w:line="288" w:lineRule="auto"/>
            </w:pPr>
            <w:r>
              <w:t>NR</w:t>
            </w:r>
          </w:p>
        </w:tc>
        <w:tc>
          <w:tcPr>
            <w:tcW w:w="1493" w:type="pct"/>
            <w:tcBorders>
              <w:top w:val="single" w:sz="4" w:space="0" w:color="auto"/>
              <w:left w:val="single" w:sz="4" w:space="0" w:color="auto"/>
              <w:bottom w:val="single" w:sz="4" w:space="0" w:color="auto"/>
              <w:right w:val="single" w:sz="4" w:space="0" w:color="auto"/>
            </w:tcBorders>
          </w:tcPr>
          <w:p w14:paraId="660673D5" w14:textId="77777777" w:rsidR="00EA3AA8" w:rsidRDefault="00292821" w:rsidP="00861F4D">
            <w:pPr>
              <w:pStyle w:val="Tabletext1"/>
              <w:spacing w:before="40" w:after="40" w:line="288" w:lineRule="auto"/>
            </w:pPr>
            <w:r w:rsidRPr="007D5BD1">
              <w:t>Patients with lung tumours</w:t>
            </w:r>
            <w:r>
              <w:t xml:space="preserve"> treated by MTA under</w:t>
            </w:r>
            <w:r w:rsidRPr="007D5BD1">
              <w:t>performed with normal respiration under conscious sedation (NR-CS) or high-frequency jet ventilation under general anaesthesia (HFJV-GA)</w:t>
            </w:r>
          </w:p>
          <w:p w14:paraId="2096A732" w14:textId="77777777" w:rsidR="00EA3AA8" w:rsidRDefault="00C10752" w:rsidP="00861F4D">
            <w:pPr>
              <w:pStyle w:val="Tabletext1"/>
              <w:spacing w:before="40" w:after="40" w:line="288" w:lineRule="auto"/>
            </w:pPr>
            <w:r>
              <w:t xml:space="preserve">N = </w:t>
            </w:r>
            <w:r w:rsidR="00292821">
              <w:t>39 (63)</w:t>
            </w:r>
          </w:p>
          <w:p w14:paraId="4E98E375" w14:textId="77777777" w:rsidR="00EA3AA8" w:rsidRDefault="00EA3AA8" w:rsidP="00861F4D">
            <w:pPr>
              <w:pStyle w:val="Tabletext1"/>
              <w:spacing w:before="40" w:after="40" w:line="288" w:lineRule="auto"/>
            </w:pPr>
            <w:r>
              <w:t>M</w:t>
            </w:r>
            <w:r w:rsidR="00292821">
              <w:t xml:space="preserve">ean (SD) tumour size NR-CS: </w:t>
            </w:r>
            <w:r w:rsidR="00292821" w:rsidRPr="007D5BD1">
              <w:t>27.38 (14.73)</w:t>
            </w:r>
            <w:r w:rsidR="00292821">
              <w:t xml:space="preserve">, </w:t>
            </w:r>
            <w:r w:rsidR="00292821" w:rsidRPr="007D5BD1">
              <w:t>HFJV-GA</w:t>
            </w:r>
            <w:r w:rsidR="00292821">
              <w:t xml:space="preserve">: </w:t>
            </w:r>
            <w:r w:rsidR="00292821" w:rsidRPr="007D5BD1">
              <w:t>16.09 (9.21)</w:t>
            </w:r>
          </w:p>
          <w:p w14:paraId="5A5AE57B" w14:textId="77777777" w:rsidR="00EA3AA8" w:rsidRDefault="00292821" w:rsidP="00861F4D">
            <w:pPr>
              <w:pStyle w:val="Tabletext1"/>
              <w:spacing w:before="40" w:after="40" w:line="288" w:lineRule="auto"/>
            </w:pPr>
            <w:r>
              <w:t>M/F ratio: 24:15</w:t>
            </w:r>
          </w:p>
          <w:p w14:paraId="6C2281B0" w14:textId="77777777" w:rsidR="00EA3AA8" w:rsidRDefault="00EA3AA8" w:rsidP="00861F4D">
            <w:pPr>
              <w:pStyle w:val="Tabletext1"/>
              <w:spacing w:before="40" w:after="40" w:line="288" w:lineRule="auto"/>
            </w:pPr>
            <w:r>
              <w:t>M</w:t>
            </w:r>
            <w:r w:rsidR="00292821">
              <w:t xml:space="preserve">ean age HF JV-GA (range): </w:t>
            </w:r>
            <w:r w:rsidR="00292821" w:rsidRPr="00CC29FB">
              <w:t>66.39 (12.20)</w:t>
            </w:r>
            <w:r w:rsidR="00292821">
              <w:t xml:space="preserve">, NR-CS: </w:t>
            </w:r>
            <w:r w:rsidR="00292821" w:rsidRPr="00CC29FB">
              <w:t>69.15 (15.59)</w:t>
            </w:r>
            <w:r>
              <w:t xml:space="preserve"> years</w:t>
            </w:r>
          </w:p>
          <w:p w14:paraId="02D62D42" w14:textId="77777777" w:rsidR="00292821" w:rsidRPr="00095CDF" w:rsidRDefault="00EA3AA8" w:rsidP="00861F4D">
            <w:pPr>
              <w:pStyle w:val="Tabletext1"/>
              <w:spacing w:before="40" w:after="40" w:line="288" w:lineRule="auto"/>
            </w:pPr>
            <w:r>
              <w:t>O</w:t>
            </w:r>
            <w:r w:rsidR="00292821">
              <w:t>ther details NR</w:t>
            </w:r>
          </w:p>
        </w:tc>
        <w:tc>
          <w:tcPr>
            <w:tcW w:w="707" w:type="pct"/>
            <w:tcBorders>
              <w:top w:val="single" w:sz="4" w:space="0" w:color="auto"/>
              <w:left w:val="single" w:sz="4" w:space="0" w:color="auto"/>
              <w:bottom w:val="single" w:sz="4" w:space="0" w:color="auto"/>
              <w:right w:val="single" w:sz="4" w:space="0" w:color="auto"/>
            </w:tcBorders>
          </w:tcPr>
          <w:p w14:paraId="6D92FB3D" w14:textId="77777777" w:rsidR="00CE55CD" w:rsidRDefault="00CE55CD" w:rsidP="00861F4D">
            <w:pPr>
              <w:pStyle w:val="Tabletext1"/>
              <w:spacing w:before="40" w:after="40" w:line="288" w:lineRule="auto"/>
              <w:rPr>
                <w:u w:val="single"/>
              </w:rPr>
            </w:pPr>
            <w:r w:rsidRPr="00CE55CD">
              <w:rPr>
                <w:u w:val="single"/>
              </w:rPr>
              <w:t xml:space="preserve">Intervention: </w:t>
            </w:r>
            <w:r w:rsidR="00292821" w:rsidRPr="00CE55CD">
              <w:rPr>
                <w:u w:val="single"/>
              </w:rPr>
              <w:t>Percutaneous MTA with HFJV under GA with CT guidance</w:t>
            </w:r>
          </w:p>
          <w:p w14:paraId="3ABD5131" w14:textId="77777777" w:rsidR="00292821" w:rsidRDefault="00CE55CD" w:rsidP="00861F4D">
            <w:pPr>
              <w:pStyle w:val="Tabletext1"/>
              <w:spacing w:before="40" w:after="40" w:line="288" w:lineRule="auto"/>
            </w:pPr>
            <w:r>
              <w:t>A</w:t>
            </w:r>
            <w:r w:rsidR="00292821" w:rsidRPr="00CC29FB">
              <w:t>naesthesiologist time mean (SD): 27.78 (17.78)</w:t>
            </w:r>
          </w:p>
          <w:p w14:paraId="0BE0A34A" w14:textId="77777777" w:rsidR="00CE55CD" w:rsidRDefault="00CE55CD" w:rsidP="00861F4D">
            <w:pPr>
              <w:pStyle w:val="Tabletext1"/>
              <w:spacing w:before="40" w:after="40" w:line="288" w:lineRule="auto"/>
            </w:pPr>
            <w:r w:rsidRPr="00CE55CD">
              <w:rPr>
                <w:u w:val="single"/>
              </w:rPr>
              <w:t xml:space="preserve">Comparator: </w:t>
            </w:r>
            <w:r w:rsidR="00292821" w:rsidRPr="00CE55CD">
              <w:rPr>
                <w:u w:val="single"/>
              </w:rPr>
              <w:t>Percutaneous MTA with NR under CS with CT guidance</w:t>
            </w:r>
          </w:p>
          <w:p w14:paraId="43E5033B" w14:textId="77777777" w:rsidR="00292821" w:rsidRPr="00095CDF" w:rsidRDefault="00CE55CD" w:rsidP="00861F4D">
            <w:pPr>
              <w:pStyle w:val="Tabletext1"/>
              <w:spacing w:before="40" w:after="40" w:line="288" w:lineRule="auto"/>
            </w:pPr>
            <w:r>
              <w:t>A</w:t>
            </w:r>
            <w:r w:rsidR="00292821" w:rsidRPr="00236D1B">
              <w:t>naesthesiologist time mean (SD): 21.08 (8.45)</w:t>
            </w:r>
          </w:p>
        </w:tc>
        <w:tc>
          <w:tcPr>
            <w:tcW w:w="1497" w:type="pct"/>
            <w:tcBorders>
              <w:top w:val="single" w:sz="4" w:space="0" w:color="auto"/>
              <w:left w:val="single" w:sz="4" w:space="0" w:color="auto"/>
              <w:bottom w:val="single" w:sz="4" w:space="0" w:color="auto"/>
              <w:right w:val="single" w:sz="4" w:space="0" w:color="auto"/>
            </w:tcBorders>
          </w:tcPr>
          <w:p w14:paraId="43B9D4DC" w14:textId="77777777" w:rsidR="00292821" w:rsidRPr="00095CDF" w:rsidRDefault="00292821" w:rsidP="00861F4D">
            <w:pPr>
              <w:pStyle w:val="Tabletext1"/>
              <w:spacing w:before="40" w:after="40" w:line="288" w:lineRule="auto"/>
              <w:ind w:left="34"/>
            </w:pPr>
            <w:r>
              <w:t>1. Adverse events: defined according tothe standardization of terminology and reporting criteria set out by the International Working Group on Image- Guided Tumour Ablation</w:t>
            </w:r>
          </w:p>
        </w:tc>
      </w:tr>
      <w:tr w:rsidR="00292821" w:rsidRPr="00095CDF" w14:paraId="2E9F6355"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53FDF777" w14:textId="77777777" w:rsidR="00E64926" w:rsidRDefault="00292821" w:rsidP="00861F4D">
            <w:pPr>
              <w:pStyle w:val="Tabletext1"/>
              <w:spacing w:before="40" w:after="40" w:line="288" w:lineRule="auto"/>
            </w:pPr>
            <w:r>
              <w:lastRenderedPageBreak/>
              <w:t>Egashira et al 2016</w:t>
            </w:r>
          </w:p>
          <w:p w14:paraId="510B7708" w14:textId="77777777" w:rsidR="00E64926" w:rsidRDefault="00E64926" w:rsidP="00861F4D">
            <w:pPr>
              <w:pStyle w:val="Tabletext1"/>
              <w:spacing w:before="40" w:after="40" w:line="288" w:lineRule="auto"/>
            </w:pPr>
            <w:r>
              <w:t>United Kingdom</w:t>
            </w:r>
          </w:p>
          <w:p w14:paraId="3FE24FD6" w14:textId="77777777" w:rsidR="00292821" w:rsidRPr="00095CDF" w:rsidRDefault="00292821" w:rsidP="00861F4D">
            <w:pPr>
              <w:pStyle w:val="Tabletext1"/>
              <w:spacing w:before="40" w:after="40" w:line="288" w:lineRule="auto"/>
            </w:pPr>
            <w:r>
              <w:t xml:space="preserve"> </w:t>
            </w:r>
          </w:p>
        </w:tc>
        <w:tc>
          <w:tcPr>
            <w:tcW w:w="738" w:type="pct"/>
            <w:gridSpan w:val="2"/>
            <w:tcBorders>
              <w:top w:val="single" w:sz="4" w:space="0" w:color="auto"/>
              <w:left w:val="single" w:sz="4" w:space="0" w:color="auto"/>
              <w:bottom w:val="single" w:sz="4" w:space="0" w:color="auto"/>
              <w:right w:val="single" w:sz="4" w:space="0" w:color="auto"/>
            </w:tcBorders>
          </w:tcPr>
          <w:p w14:paraId="681DAE17" w14:textId="77777777" w:rsidR="00292821" w:rsidRDefault="00292821" w:rsidP="00861F4D">
            <w:pPr>
              <w:pStyle w:val="Tabletext1"/>
              <w:spacing w:before="40" w:after="40" w:line="288" w:lineRule="auto"/>
            </w:pPr>
            <w:r>
              <w:t>Retrospective CS</w:t>
            </w:r>
          </w:p>
          <w:p w14:paraId="55AC9107" w14:textId="77777777" w:rsidR="00242EBD" w:rsidRDefault="00242EBD" w:rsidP="00861F4D">
            <w:pPr>
              <w:pStyle w:val="Tabletext1"/>
              <w:spacing w:before="40" w:after="40" w:line="288" w:lineRule="auto"/>
            </w:pPr>
            <w:r>
              <w:t>Level IV</w:t>
            </w:r>
          </w:p>
          <w:p w14:paraId="5844B03A" w14:textId="77777777" w:rsidR="00292821" w:rsidRDefault="00292821" w:rsidP="00861F4D">
            <w:pPr>
              <w:pStyle w:val="Tabletext1"/>
              <w:spacing w:before="40" w:after="40" w:line="288" w:lineRule="auto"/>
            </w:pPr>
            <w:r>
              <w:t>Risk of bias: High</w:t>
            </w:r>
          </w:p>
          <w:p w14:paraId="5E29967B" w14:textId="77777777" w:rsidR="00292821" w:rsidRDefault="00292821" w:rsidP="00861F4D">
            <w:pPr>
              <w:pStyle w:val="Tabletext1"/>
              <w:spacing w:before="40" w:after="40" w:line="288" w:lineRule="auto"/>
            </w:pPr>
            <w:r>
              <w:t>Hospital setting</w:t>
            </w:r>
          </w:p>
          <w:p w14:paraId="7C7EDEB9" w14:textId="6F235710" w:rsidR="00292821" w:rsidRPr="00095CDF" w:rsidRDefault="00292821" w:rsidP="00861F4D">
            <w:pPr>
              <w:pStyle w:val="Tabletext1"/>
              <w:spacing w:before="40" w:after="40" w:line="288" w:lineRule="auto"/>
            </w:pPr>
            <w:r w:rsidRPr="00C91BCA">
              <w:t>15 (6.2</w:t>
            </w:r>
            <w:r w:rsidR="00D35E9C">
              <w:t>–</w:t>
            </w:r>
            <w:r w:rsidRPr="00C91BCA">
              <w:t>29.5) months</w:t>
            </w:r>
          </w:p>
        </w:tc>
        <w:tc>
          <w:tcPr>
            <w:tcW w:w="1493" w:type="pct"/>
            <w:tcBorders>
              <w:top w:val="single" w:sz="4" w:space="0" w:color="auto"/>
              <w:left w:val="single" w:sz="4" w:space="0" w:color="auto"/>
              <w:bottom w:val="single" w:sz="4" w:space="0" w:color="auto"/>
              <w:right w:val="single" w:sz="4" w:space="0" w:color="auto"/>
            </w:tcBorders>
          </w:tcPr>
          <w:p w14:paraId="2A334A95" w14:textId="77777777" w:rsidR="00EA3AA8" w:rsidRDefault="00292821" w:rsidP="00861F4D">
            <w:pPr>
              <w:pStyle w:val="Tabletext1"/>
              <w:spacing w:before="40" w:after="40" w:line="288" w:lineRule="auto"/>
            </w:pPr>
            <w:r w:rsidRPr="00C91BCA">
              <w:t xml:space="preserve">Patients who underwent high-energy </w:t>
            </w:r>
            <w:r w:rsidR="00814C4F" w:rsidRPr="00C91BCA">
              <w:t>M</w:t>
            </w:r>
            <w:r w:rsidR="00814C4F">
              <w:t>T</w:t>
            </w:r>
            <w:r w:rsidR="00814C4F" w:rsidRPr="00C91BCA">
              <w:t xml:space="preserve">A </w:t>
            </w:r>
            <w:r w:rsidRPr="00C91BCA">
              <w:t>of one or more pulmonary tumours of primary or secondary origin</w:t>
            </w:r>
          </w:p>
          <w:p w14:paraId="0CC0F4D9" w14:textId="77777777" w:rsidR="00EA3AA8" w:rsidRDefault="00C10752" w:rsidP="00861F4D">
            <w:pPr>
              <w:pStyle w:val="Tabletext1"/>
              <w:spacing w:before="40" w:after="40" w:line="288" w:lineRule="auto"/>
            </w:pPr>
            <w:r>
              <w:t xml:space="preserve">N = </w:t>
            </w:r>
            <w:r w:rsidR="00EA3AA8">
              <w:t>44 (87)</w:t>
            </w:r>
          </w:p>
          <w:p w14:paraId="617DDD94" w14:textId="7AC113D6" w:rsidR="00EA3AA8" w:rsidRDefault="00EA3AA8" w:rsidP="00861F4D">
            <w:pPr>
              <w:pStyle w:val="Tabletext1"/>
              <w:spacing w:before="40" w:after="40" w:line="288" w:lineRule="auto"/>
            </w:pPr>
            <w:r>
              <w:t>T</w:t>
            </w:r>
            <w:r w:rsidR="00292821">
              <w:t xml:space="preserve">umour </w:t>
            </w:r>
            <w:r>
              <w:t>size median (range): 12 (6</w:t>
            </w:r>
            <w:r w:rsidR="00D35E9C">
              <w:t>–</w:t>
            </w:r>
            <w:r>
              <w:t>45)</w:t>
            </w:r>
          </w:p>
          <w:p w14:paraId="34AA722C" w14:textId="77777777" w:rsidR="00EA3AA8" w:rsidRDefault="00EA3AA8" w:rsidP="00861F4D">
            <w:pPr>
              <w:pStyle w:val="Tabletext1"/>
              <w:spacing w:before="40" w:after="40" w:line="288" w:lineRule="auto"/>
            </w:pPr>
            <w:r>
              <w:t>M/F ratio: 21:23</w:t>
            </w:r>
          </w:p>
          <w:p w14:paraId="09EAE20C" w14:textId="43C69852" w:rsidR="00EA3AA8" w:rsidRDefault="00EA3AA8" w:rsidP="00861F4D">
            <w:pPr>
              <w:pStyle w:val="Tabletext1"/>
              <w:spacing w:before="40" w:after="40" w:line="288" w:lineRule="auto"/>
            </w:pPr>
            <w:r>
              <w:t>M</w:t>
            </w:r>
            <w:r w:rsidR="00292821" w:rsidRPr="00C91BCA">
              <w:t xml:space="preserve">edian </w:t>
            </w:r>
            <w:r w:rsidR="00292821">
              <w:t xml:space="preserve">age </w:t>
            </w:r>
            <w:r w:rsidR="00292821" w:rsidRPr="00C91BCA">
              <w:t>(range): 66(17</w:t>
            </w:r>
            <w:r w:rsidR="00D35E9C">
              <w:t>–</w:t>
            </w:r>
            <w:r w:rsidR="00292821" w:rsidRPr="00C91BCA">
              <w:t>89)</w:t>
            </w:r>
            <w:r>
              <w:t xml:space="preserve"> years</w:t>
            </w:r>
          </w:p>
          <w:p w14:paraId="12EE9498" w14:textId="77777777" w:rsidR="00292821" w:rsidRPr="00095CDF" w:rsidRDefault="00EA3AA8" w:rsidP="00861F4D">
            <w:pPr>
              <w:pStyle w:val="Tabletext1"/>
              <w:spacing w:before="40" w:after="40" w:line="288" w:lineRule="auto"/>
            </w:pPr>
            <w:r>
              <w:t>P</w:t>
            </w:r>
            <w:r w:rsidR="00292821">
              <w:t xml:space="preserve">rimary tumour: </w:t>
            </w:r>
            <w:r w:rsidR="00292821" w:rsidRPr="00C91BCA">
              <w:t>23/44 (52.2%) sarcoma, 16/44 (36.4%) colorectal, 2/44 (4.5%) lung, 1/44 (2.3%) oesophagus, 1/44 (2.3%) breast, 1/44 (2.3%) bladder</w:t>
            </w:r>
            <w:r w:rsidR="00292821">
              <w:t>.</w:t>
            </w:r>
          </w:p>
        </w:tc>
        <w:tc>
          <w:tcPr>
            <w:tcW w:w="707" w:type="pct"/>
            <w:tcBorders>
              <w:top w:val="single" w:sz="4" w:space="0" w:color="auto"/>
              <w:left w:val="single" w:sz="4" w:space="0" w:color="auto"/>
              <w:bottom w:val="single" w:sz="4" w:space="0" w:color="auto"/>
              <w:right w:val="single" w:sz="4" w:space="0" w:color="auto"/>
            </w:tcBorders>
          </w:tcPr>
          <w:p w14:paraId="65C74177" w14:textId="77777777" w:rsidR="004800CB" w:rsidRDefault="00CE55CD" w:rsidP="00861F4D">
            <w:pPr>
              <w:pStyle w:val="Tabletext1"/>
              <w:spacing w:before="40" w:after="40" w:line="288" w:lineRule="auto"/>
            </w:pPr>
            <w:r w:rsidRPr="004800CB">
              <w:rPr>
                <w:u w:val="single"/>
              </w:rPr>
              <w:t xml:space="preserve">Intervention: </w:t>
            </w:r>
            <w:r w:rsidR="004800CB" w:rsidRPr="00F13F9C">
              <w:rPr>
                <w:u w:val="single"/>
              </w:rPr>
              <w:t>CT-guided MTA</w:t>
            </w:r>
            <w:r w:rsidR="004800CB" w:rsidRPr="00F13F9C">
              <w:t xml:space="preserve"> </w:t>
            </w:r>
          </w:p>
          <w:p w14:paraId="28275F8D" w14:textId="77777777" w:rsidR="003D7E37" w:rsidRDefault="003D7E37" w:rsidP="00861F4D">
            <w:pPr>
              <w:pStyle w:val="Tabletext1"/>
              <w:spacing w:before="40" w:after="40" w:line="288" w:lineRule="auto"/>
            </w:pPr>
            <w:r>
              <w:t>Anaesthesia: NR</w:t>
            </w:r>
          </w:p>
          <w:p w14:paraId="09897E97" w14:textId="6B11277F" w:rsidR="00292821" w:rsidRDefault="004800CB" w:rsidP="00861F4D">
            <w:pPr>
              <w:pStyle w:val="Tabletext1"/>
              <w:spacing w:before="40" w:after="40" w:line="288" w:lineRule="auto"/>
            </w:pPr>
            <w:r>
              <w:t>D</w:t>
            </w:r>
            <w:r w:rsidR="00292821" w:rsidRPr="00C91BCA">
              <w:t>uration:</w:t>
            </w:r>
            <w:r w:rsidR="00292821">
              <w:t xml:space="preserve"> </w:t>
            </w:r>
            <w:r>
              <w:t>median (range)</w:t>
            </w:r>
            <w:r w:rsidR="00292821" w:rsidRPr="00C91BCA">
              <w:t xml:space="preserve"> 2 (1</w:t>
            </w:r>
            <w:r w:rsidR="00D35E9C">
              <w:t>–</w:t>
            </w:r>
            <w:r w:rsidR="00292821" w:rsidRPr="00C91BCA">
              <w:t>9) minutes</w:t>
            </w:r>
          </w:p>
          <w:p w14:paraId="7ACA1C93"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36B73CAC" w14:textId="77777777" w:rsidR="00292821" w:rsidRPr="00095CDF" w:rsidRDefault="00292821" w:rsidP="00861F4D">
            <w:pPr>
              <w:pStyle w:val="Tabletext1"/>
              <w:spacing w:before="40" w:after="40" w:line="288" w:lineRule="auto"/>
              <w:ind w:left="34"/>
            </w:pPr>
            <w:r>
              <w:t>1. Adverse events: defined based on the Society of Interventional Radiology (SIR) classification of adverse events</w:t>
            </w:r>
          </w:p>
        </w:tc>
      </w:tr>
      <w:tr w:rsidR="00292821" w:rsidRPr="00095CDF" w14:paraId="289FE0D1"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33B28D58" w14:textId="77777777" w:rsidR="00292821" w:rsidRDefault="00292821" w:rsidP="00861F4D">
            <w:pPr>
              <w:pStyle w:val="Tabletext1"/>
              <w:spacing w:before="40" w:after="40" w:line="288" w:lineRule="auto"/>
            </w:pPr>
            <w:r>
              <w:t>He et al (2006)</w:t>
            </w:r>
          </w:p>
          <w:p w14:paraId="63E53E29" w14:textId="77777777" w:rsidR="00E64926" w:rsidRDefault="00E64926" w:rsidP="00861F4D">
            <w:pPr>
              <w:pStyle w:val="Tabletext1"/>
              <w:spacing w:before="40" w:after="40" w:line="288" w:lineRule="auto"/>
            </w:pPr>
            <w:r>
              <w:t>China</w:t>
            </w:r>
          </w:p>
          <w:p w14:paraId="6C8E98E3" w14:textId="77777777" w:rsidR="00E64926" w:rsidRPr="00095CDF" w:rsidRDefault="00E64926"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358C2F2E" w14:textId="77777777" w:rsidR="00292821" w:rsidRDefault="00292821" w:rsidP="00861F4D">
            <w:pPr>
              <w:pStyle w:val="Tabletext1"/>
              <w:spacing w:before="40" w:after="40" w:line="288" w:lineRule="auto"/>
            </w:pPr>
            <w:r>
              <w:t>Retrospective CS</w:t>
            </w:r>
          </w:p>
          <w:p w14:paraId="5DFAD525" w14:textId="77777777" w:rsidR="00242EBD" w:rsidRDefault="00242EBD" w:rsidP="00861F4D">
            <w:pPr>
              <w:pStyle w:val="Tabletext1"/>
              <w:spacing w:before="40" w:after="40" w:line="288" w:lineRule="auto"/>
            </w:pPr>
            <w:r>
              <w:t>Level IV</w:t>
            </w:r>
          </w:p>
          <w:p w14:paraId="7ACFD9AF" w14:textId="77777777" w:rsidR="00292821" w:rsidRDefault="00292821" w:rsidP="00861F4D">
            <w:pPr>
              <w:pStyle w:val="Tabletext1"/>
              <w:spacing w:before="40" w:after="40" w:line="288" w:lineRule="auto"/>
            </w:pPr>
            <w:r>
              <w:t>Risk of bias: High</w:t>
            </w:r>
          </w:p>
          <w:p w14:paraId="12DF0856" w14:textId="77777777" w:rsidR="00292821" w:rsidRDefault="00292821" w:rsidP="00861F4D">
            <w:pPr>
              <w:pStyle w:val="Tabletext1"/>
              <w:spacing w:before="40" w:after="40" w:line="288" w:lineRule="auto"/>
            </w:pPr>
            <w:r>
              <w:t>Hospital setting</w:t>
            </w:r>
          </w:p>
          <w:p w14:paraId="114F852A" w14:textId="05E273D0" w:rsidR="00292821" w:rsidRPr="00095CDF" w:rsidRDefault="00292821" w:rsidP="00861F4D">
            <w:pPr>
              <w:pStyle w:val="Tabletext1"/>
              <w:spacing w:before="40" w:after="40" w:line="288" w:lineRule="auto"/>
            </w:pPr>
            <w:r>
              <w:t>Mean: 20 (6</w:t>
            </w:r>
            <w:r w:rsidR="00D35E9C">
              <w:t>–</w:t>
            </w:r>
            <w:r>
              <w:t>40) months</w:t>
            </w:r>
          </w:p>
        </w:tc>
        <w:tc>
          <w:tcPr>
            <w:tcW w:w="1493" w:type="pct"/>
            <w:tcBorders>
              <w:top w:val="single" w:sz="4" w:space="0" w:color="auto"/>
              <w:left w:val="single" w:sz="4" w:space="0" w:color="auto"/>
              <w:bottom w:val="single" w:sz="4" w:space="0" w:color="auto"/>
              <w:right w:val="single" w:sz="4" w:space="0" w:color="auto"/>
            </w:tcBorders>
          </w:tcPr>
          <w:p w14:paraId="32B45F65" w14:textId="77777777" w:rsidR="00EA3AA8" w:rsidRDefault="00292821" w:rsidP="00861F4D">
            <w:pPr>
              <w:pStyle w:val="Tabletext1"/>
              <w:spacing w:before="40" w:after="40" w:line="288" w:lineRule="auto"/>
            </w:pPr>
            <w:r>
              <w:t>P</w:t>
            </w:r>
            <w:r w:rsidRPr="0075018D">
              <w:t xml:space="preserve">atients with primary  or secondary lung cancer who underwent </w:t>
            </w:r>
            <w:r w:rsidR="00814C4F" w:rsidRPr="0075018D">
              <w:t>M</w:t>
            </w:r>
            <w:r w:rsidR="00814C4F">
              <w:t>T</w:t>
            </w:r>
            <w:r w:rsidR="00814C4F" w:rsidRPr="0075018D">
              <w:t xml:space="preserve">A </w:t>
            </w:r>
            <w:r w:rsidRPr="0075018D">
              <w:t>at a single centre</w:t>
            </w:r>
          </w:p>
          <w:p w14:paraId="4CBC75F0" w14:textId="77777777" w:rsidR="00EA3AA8" w:rsidRDefault="00C10752" w:rsidP="00861F4D">
            <w:pPr>
              <w:pStyle w:val="Tabletext1"/>
              <w:spacing w:before="40" w:after="40" w:line="288" w:lineRule="auto"/>
            </w:pPr>
            <w:r>
              <w:t xml:space="preserve">N = </w:t>
            </w:r>
            <w:r w:rsidR="00EA3AA8">
              <w:t>12 (16)</w:t>
            </w:r>
          </w:p>
          <w:p w14:paraId="750566A1" w14:textId="188C36A4" w:rsidR="00EA3AA8" w:rsidRDefault="00EA3AA8" w:rsidP="00861F4D">
            <w:pPr>
              <w:pStyle w:val="Tabletext1"/>
              <w:spacing w:before="40" w:after="40" w:line="288" w:lineRule="auto"/>
            </w:pPr>
            <w:r>
              <w:t>T</w:t>
            </w:r>
            <w:r w:rsidR="00292821">
              <w:t>umour size range: 20</w:t>
            </w:r>
            <w:r w:rsidR="00D35E9C">
              <w:t>–</w:t>
            </w:r>
            <w:r w:rsidR="00292821">
              <w:t>60 mm</w:t>
            </w:r>
          </w:p>
          <w:p w14:paraId="6B3F24A6" w14:textId="77777777" w:rsidR="00EA3AA8" w:rsidRDefault="00EA3AA8" w:rsidP="00861F4D">
            <w:pPr>
              <w:pStyle w:val="Tabletext1"/>
              <w:spacing w:before="40" w:after="40" w:line="288" w:lineRule="auto"/>
            </w:pPr>
            <w:r>
              <w:t>M/F ratio: 7:5</w:t>
            </w:r>
          </w:p>
          <w:p w14:paraId="706DDF60" w14:textId="18A44762" w:rsidR="00EA3AA8" w:rsidRDefault="00EA3AA8" w:rsidP="00861F4D">
            <w:pPr>
              <w:pStyle w:val="Tabletext1"/>
              <w:spacing w:before="40" w:after="40" w:line="288" w:lineRule="auto"/>
            </w:pPr>
            <w:r>
              <w:t>M</w:t>
            </w:r>
            <w:r w:rsidR="00292821">
              <w:t xml:space="preserve">ean age (range): </w:t>
            </w:r>
            <w:r w:rsidR="00292821" w:rsidRPr="0075018D">
              <w:t>47.5 (31</w:t>
            </w:r>
            <w:r w:rsidR="00D35E9C">
              <w:t>–</w:t>
            </w:r>
            <w:r w:rsidR="00292821" w:rsidRPr="0075018D">
              <w:t>69)</w:t>
            </w:r>
            <w:r>
              <w:t xml:space="preserve"> years</w:t>
            </w:r>
          </w:p>
          <w:p w14:paraId="421F5572" w14:textId="77777777" w:rsidR="00292821" w:rsidRPr="00095CDF" w:rsidRDefault="00292821" w:rsidP="00861F4D">
            <w:pPr>
              <w:pStyle w:val="Tabletext1"/>
              <w:spacing w:before="40" w:after="40" w:line="288" w:lineRule="auto"/>
            </w:pPr>
            <w:r w:rsidRPr="0075018D">
              <w:t>Reasons for choosing M</w:t>
            </w:r>
            <w:r>
              <w:t>T</w:t>
            </w:r>
            <w:r w:rsidRPr="0075018D">
              <w:t>A included refusal of surgery (5), poor cardiopulmonary reserve (3), severe side effects from prior chemotherapy and/or radiotherapy (4)</w:t>
            </w:r>
          </w:p>
        </w:tc>
        <w:tc>
          <w:tcPr>
            <w:tcW w:w="707" w:type="pct"/>
            <w:tcBorders>
              <w:top w:val="single" w:sz="4" w:space="0" w:color="auto"/>
              <w:left w:val="single" w:sz="4" w:space="0" w:color="auto"/>
              <w:bottom w:val="single" w:sz="4" w:space="0" w:color="auto"/>
              <w:right w:val="single" w:sz="4" w:space="0" w:color="auto"/>
            </w:tcBorders>
          </w:tcPr>
          <w:p w14:paraId="471DBBB9" w14:textId="77777777" w:rsidR="004800CB" w:rsidRDefault="004800CB" w:rsidP="00861F4D">
            <w:pPr>
              <w:pStyle w:val="Tabletext1"/>
              <w:spacing w:before="40" w:after="40" w:line="288" w:lineRule="auto"/>
            </w:pPr>
            <w:r>
              <w:rPr>
                <w:u w:val="single"/>
              </w:rPr>
              <w:t>Intervention: US</w:t>
            </w:r>
            <w:r w:rsidRPr="00F13F9C">
              <w:rPr>
                <w:u w:val="single"/>
              </w:rPr>
              <w:t>-guided MTA</w:t>
            </w:r>
            <w:r w:rsidRPr="00F13F9C">
              <w:t xml:space="preserve"> </w:t>
            </w:r>
          </w:p>
          <w:p w14:paraId="5AB782B8" w14:textId="77777777" w:rsidR="004800CB" w:rsidRDefault="004800CB" w:rsidP="00861F4D">
            <w:pPr>
              <w:pStyle w:val="Tabletext1"/>
              <w:spacing w:before="40" w:after="40" w:line="288" w:lineRule="auto"/>
            </w:pPr>
            <w:r>
              <w:t>Local anaesthesia</w:t>
            </w:r>
          </w:p>
          <w:p w14:paraId="4D1EB6DE" w14:textId="77777777" w:rsidR="00292821" w:rsidRDefault="004800CB" w:rsidP="00861F4D">
            <w:pPr>
              <w:pStyle w:val="Tabletext1"/>
              <w:spacing w:before="40" w:after="40" w:line="288" w:lineRule="auto"/>
            </w:pPr>
            <w:r>
              <w:t>D</w:t>
            </w:r>
            <w:r w:rsidR="00292821">
              <w:t>uration: NR</w:t>
            </w:r>
          </w:p>
          <w:p w14:paraId="2E5A3D50"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56EEF7A9" w14:textId="77777777" w:rsidR="00292821" w:rsidRPr="00095CDF" w:rsidRDefault="00292821" w:rsidP="00861F4D">
            <w:pPr>
              <w:pStyle w:val="Tabletext1"/>
              <w:spacing w:before="40" w:after="40" w:line="288" w:lineRule="auto"/>
              <w:ind w:left="34"/>
            </w:pPr>
            <w:r w:rsidRPr="00D937F1">
              <w:t>1. Adverse events: non-specified</w:t>
            </w:r>
          </w:p>
        </w:tc>
      </w:tr>
      <w:tr w:rsidR="00292821" w:rsidRPr="00095CDF" w14:paraId="3F33B65F"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18808446" w14:textId="77777777" w:rsidR="00292821" w:rsidRDefault="00292821" w:rsidP="00861F4D">
            <w:pPr>
              <w:pStyle w:val="Tabletext1"/>
              <w:spacing w:before="40" w:after="40" w:line="288" w:lineRule="auto"/>
            </w:pPr>
            <w:r>
              <w:lastRenderedPageBreak/>
              <w:t>Little et al (2013)</w:t>
            </w:r>
          </w:p>
          <w:p w14:paraId="155F3CCF" w14:textId="77777777" w:rsidR="00E64926" w:rsidRDefault="00E64926" w:rsidP="00861F4D">
            <w:pPr>
              <w:pStyle w:val="Tabletext1"/>
              <w:spacing w:before="40" w:after="40" w:line="288" w:lineRule="auto"/>
            </w:pPr>
            <w:r>
              <w:t xml:space="preserve">United Kingdom </w:t>
            </w:r>
          </w:p>
          <w:p w14:paraId="01ACA0B4" w14:textId="77777777" w:rsidR="00E64926" w:rsidRPr="00095CDF" w:rsidRDefault="00E64926"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569DC227" w14:textId="77777777" w:rsidR="00292821" w:rsidRDefault="00292821" w:rsidP="00861F4D">
            <w:pPr>
              <w:pStyle w:val="Tabletext1"/>
              <w:spacing w:before="40" w:after="40" w:line="288" w:lineRule="auto"/>
            </w:pPr>
            <w:r>
              <w:t>Retrospective CS</w:t>
            </w:r>
          </w:p>
          <w:p w14:paraId="7D2E24D0" w14:textId="77777777" w:rsidR="00242EBD" w:rsidRDefault="00242EBD" w:rsidP="00861F4D">
            <w:pPr>
              <w:pStyle w:val="Tabletext1"/>
              <w:spacing w:before="40" w:after="40" w:line="288" w:lineRule="auto"/>
            </w:pPr>
            <w:r>
              <w:t>Level IV</w:t>
            </w:r>
          </w:p>
          <w:p w14:paraId="6E473DD0" w14:textId="77777777" w:rsidR="00292821" w:rsidRDefault="00292821" w:rsidP="00861F4D">
            <w:pPr>
              <w:pStyle w:val="Tabletext1"/>
              <w:spacing w:before="40" w:after="40" w:line="288" w:lineRule="auto"/>
            </w:pPr>
            <w:r>
              <w:t>Risk of bias: High</w:t>
            </w:r>
          </w:p>
          <w:p w14:paraId="3E1B5750" w14:textId="77777777" w:rsidR="00292821" w:rsidRDefault="00292821" w:rsidP="00861F4D">
            <w:pPr>
              <w:pStyle w:val="Tabletext1"/>
              <w:spacing w:before="40" w:after="40" w:line="288" w:lineRule="auto"/>
            </w:pPr>
            <w:r>
              <w:t>Hospital setting</w:t>
            </w:r>
          </w:p>
          <w:p w14:paraId="39F1708E" w14:textId="21E186FF" w:rsidR="00292821" w:rsidRPr="00095CDF" w:rsidRDefault="00292821" w:rsidP="00861F4D">
            <w:pPr>
              <w:pStyle w:val="Tabletext1"/>
              <w:spacing w:before="40" w:after="40" w:line="288" w:lineRule="auto"/>
            </w:pPr>
            <w:r>
              <w:t>6 (3</w:t>
            </w:r>
            <w:r w:rsidR="00D35E9C">
              <w:t>–</w:t>
            </w:r>
            <w:r>
              <w:t>19) months</w:t>
            </w:r>
          </w:p>
        </w:tc>
        <w:tc>
          <w:tcPr>
            <w:tcW w:w="1493" w:type="pct"/>
            <w:tcBorders>
              <w:top w:val="single" w:sz="4" w:space="0" w:color="auto"/>
              <w:left w:val="single" w:sz="4" w:space="0" w:color="auto"/>
              <w:bottom w:val="single" w:sz="4" w:space="0" w:color="auto"/>
              <w:right w:val="single" w:sz="4" w:space="0" w:color="auto"/>
            </w:tcBorders>
          </w:tcPr>
          <w:p w14:paraId="7E77BEEA" w14:textId="77777777" w:rsidR="00EA3AA8" w:rsidRDefault="00292821" w:rsidP="00861F4D">
            <w:pPr>
              <w:pStyle w:val="Tabletext1"/>
              <w:spacing w:before="40" w:after="40" w:line="288" w:lineRule="auto"/>
            </w:pPr>
            <w:r w:rsidRPr="0075018D">
              <w:t>Patients with primary cancer not suitable for resection and patients with oligometastatic lung lesions</w:t>
            </w:r>
          </w:p>
          <w:p w14:paraId="52E41436" w14:textId="77777777" w:rsidR="00EA3AA8" w:rsidRDefault="00C10752" w:rsidP="00861F4D">
            <w:pPr>
              <w:pStyle w:val="Tabletext1"/>
              <w:spacing w:before="40" w:after="40" w:line="288" w:lineRule="auto"/>
            </w:pPr>
            <w:r>
              <w:t xml:space="preserve">N = </w:t>
            </w:r>
            <w:r w:rsidR="00292821">
              <w:t>23 (29)</w:t>
            </w:r>
          </w:p>
          <w:p w14:paraId="12E8498A" w14:textId="21ED03F2" w:rsidR="00EA3AA8" w:rsidRDefault="00EA3AA8" w:rsidP="00861F4D">
            <w:pPr>
              <w:pStyle w:val="Tabletext1"/>
              <w:spacing w:before="40" w:after="40" w:line="288" w:lineRule="auto"/>
            </w:pPr>
            <w:r>
              <w:t>T</w:t>
            </w:r>
            <w:r w:rsidR="00292821">
              <w:t xml:space="preserve">umour size- </w:t>
            </w:r>
            <w:r w:rsidR="00292821" w:rsidRPr="00F8651E">
              <w:t>median (range): 19 (8</w:t>
            </w:r>
            <w:r w:rsidR="00D35E9C">
              <w:t>–</w:t>
            </w:r>
            <w:r w:rsidR="00292821" w:rsidRPr="00F8651E">
              <w:t>57)</w:t>
            </w:r>
          </w:p>
          <w:p w14:paraId="7459F883" w14:textId="77777777" w:rsidR="00EA3AA8" w:rsidRDefault="00292821" w:rsidP="00861F4D">
            <w:pPr>
              <w:pStyle w:val="Tabletext1"/>
              <w:spacing w:before="40" w:after="40" w:line="288" w:lineRule="auto"/>
            </w:pPr>
            <w:r>
              <w:t>M/F ratio: 12:11</w:t>
            </w:r>
          </w:p>
          <w:p w14:paraId="3A9FC16F" w14:textId="20C32B9E" w:rsidR="00EA3AA8" w:rsidRDefault="00EA3AA8" w:rsidP="00861F4D">
            <w:pPr>
              <w:pStyle w:val="Tabletext1"/>
              <w:spacing w:before="40" w:after="40" w:line="288" w:lineRule="auto"/>
            </w:pPr>
            <w:r>
              <w:t>Mean age (range): 68 (30</w:t>
            </w:r>
            <w:r w:rsidR="00D35E9C">
              <w:t>–</w:t>
            </w:r>
            <w:r>
              <w:t>87) years</w:t>
            </w:r>
          </w:p>
          <w:p w14:paraId="1DCCA54E" w14:textId="77777777" w:rsidR="00292821" w:rsidRPr="00095CDF" w:rsidRDefault="00EA3AA8" w:rsidP="00861F4D">
            <w:pPr>
              <w:pStyle w:val="Tabletext1"/>
              <w:spacing w:before="40" w:after="40" w:line="288" w:lineRule="auto"/>
            </w:pPr>
            <w:r>
              <w:t>P</w:t>
            </w:r>
            <w:r w:rsidR="00292821" w:rsidRPr="00F8651E">
              <w:t>rimary cancers of the NSCLC patients (9 patients) were without evidence of nodal/metastatic disease. Patients with pulmonary metastases (14 patients) had primary tumours as follows: 5 colorectal, 5 sarcoma, 3 renal, 2 oesophageal, 3 adrenal, 1 melanoma, 1 digital papillary adenocarcinoma.</w:t>
            </w:r>
          </w:p>
        </w:tc>
        <w:tc>
          <w:tcPr>
            <w:tcW w:w="707" w:type="pct"/>
            <w:tcBorders>
              <w:top w:val="single" w:sz="4" w:space="0" w:color="auto"/>
              <w:left w:val="single" w:sz="4" w:space="0" w:color="auto"/>
              <w:bottom w:val="single" w:sz="4" w:space="0" w:color="auto"/>
              <w:right w:val="single" w:sz="4" w:space="0" w:color="auto"/>
            </w:tcBorders>
          </w:tcPr>
          <w:p w14:paraId="4EEE5CFA" w14:textId="77777777" w:rsidR="004800CB" w:rsidRDefault="004800CB" w:rsidP="00861F4D">
            <w:pPr>
              <w:pStyle w:val="Tabletext1"/>
              <w:spacing w:before="40" w:after="40" w:line="288" w:lineRule="auto"/>
            </w:pPr>
            <w:r>
              <w:rPr>
                <w:u w:val="single"/>
              </w:rPr>
              <w:t xml:space="preserve">Intervention: </w:t>
            </w:r>
            <w:r w:rsidRPr="00F13F9C">
              <w:rPr>
                <w:u w:val="single"/>
              </w:rPr>
              <w:t>CT-guided MTA</w:t>
            </w:r>
            <w:r w:rsidRPr="00F13F9C">
              <w:t xml:space="preserve"> </w:t>
            </w:r>
          </w:p>
          <w:p w14:paraId="2971D324" w14:textId="77777777" w:rsidR="004800CB" w:rsidRDefault="004800CB" w:rsidP="00861F4D">
            <w:pPr>
              <w:pStyle w:val="Tabletext1"/>
              <w:spacing w:before="40" w:after="40" w:line="288" w:lineRule="auto"/>
            </w:pPr>
            <w:r>
              <w:t>Conscious sedation</w:t>
            </w:r>
          </w:p>
          <w:p w14:paraId="0EBDCA46" w14:textId="43813BF6" w:rsidR="00292821" w:rsidRDefault="004800CB" w:rsidP="00861F4D">
            <w:pPr>
              <w:pStyle w:val="Tabletext1"/>
              <w:spacing w:before="40" w:after="40" w:line="288" w:lineRule="auto"/>
            </w:pPr>
            <w:r>
              <w:t>D</w:t>
            </w:r>
            <w:r w:rsidR="00292821" w:rsidRPr="00F8651E">
              <w:t>uration:</w:t>
            </w:r>
            <w:r w:rsidR="00292821">
              <w:t xml:space="preserve"> </w:t>
            </w:r>
            <w:r>
              <w:t xml:space="preserve">mean (range) </w:t>
            </w:r>
            <w:r w:rsidR="00292821" w:rsidRPr="00F8651E">
              <w:t>3.6 (1</w:t>
            </w:r>
            <w:r w:rsidR="00D35E9C">
              <w:t>–</w:t>
            </w:r>
            <w:r w:rsidR="00292821" w:rsidRPr="00F8651E">
              <w:t>9) min</w:t>
            </w:r>
          </w:p>
          <w:p w14:paraId="220589C4"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4982EFBB" w14:textId="77777777" w:rsidR="00292821" w:rsidRPr="00095CDF" w:rsidRDefault="00292821" w:rsidP="00861F4D">
            <w:pPr>
              <w:pStyle w:val="Tabletext1"/>
              <w:spacing w:before="40" w:after="40" w:line="288" w:lineRule="auto"/>
              <w:ind w:left="34"/>
            </w:pPr>
            <w:r>
              <w:t>1. Adverse events: non-specified</w:t>
            </w:r>
          </w:p>
        </w:tc>
      </w:tr>
      <w:tr w:rsidR="00292821" w:rsidRPr="00095CDF" w14:paraId="298D7456"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3DE82165" w14:textId="77777777" w:rsidR="00292821" w:rsidRDefault="00292821" w:rsidP="00861F4D">
            <w:pPr>
              <w:pStyle w:val="Tabletext1"/>
              <w:spacing w:before="40" w:after="40" w:line="288" w:lineRule="auto"/>
            </w:pPr>
            <w:r>
              <w:t>Lu et al (2012)</w:t>
            </w:r>
          </w:p>
          <w:p w14:paraId="0D55F317" w14:textId="77777777" w:rsidR="00E64926" w:rsidRDefault="00E64926" w:rsidP="00861F4D">
            <w:pPr>
              <w:pStyle w:val="Tabletext1"/>
              <w:spacing w:before="40" w:after="40" w:line="288" w:lineRule="auto"/>
            </w:pPr>
            <w:r>
              <w:t>China</w:t>
            </w:r>
          </w:p>
          <w:p w14:paraId="355B7333" w14:textId="77777777" w:rsidR="00E64926" w:rsidRPr="00095CDF" w:rsidRDefault="00E64926"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105F4E10" w14:textId="77777777" w:rsidR="00292821" w:rsidRDefault="00292821" w:rsidP="00861F4D">
            <w:pPr>
              <w:pStyle w:val="Tabletext1"/>
              <w:spacing w:before="40" w:after="40" w:line="288" w:lineRule="auto"/>
            </w:pPr>
            <w:r>
              <w:t>Retrospective CS</w:t>
            </w:r>
          </w:p>
          <w:p w14:paraId="334269D2" w14:textId="77777777" w:rsidR="00242EBD" w:rsidRDefault="00242EBD" w:rsidP="00861F4D">
            <w:pPr>
              <w:pStyle w:val="Tabletext1"/>
              <w:spacing w:before="40" w:after="40" w:line="288" w:lineRule="auto"/>
            </w:pPr>
            <w:r>
              <w:t>Level IV</w:t>
            </w:r>
          </w:p>
          <w:p w14:paraId="15E26500" w14:textId="77777777" w:rsidR="00292821" w:rsidRDefault="00292821" w:rsidP="00861F4D">
            <w:pPr>
              <w:pStyle w:val="Tabletext1"/>
              <w:spacing w:before="40" w:after="40" w:line="288" w:lineRule="auto"/>
            </w:pPr>
            <w:r>
              <w:t>Risk of bias: High</w:t>
            </w:r>
          </w:p>
          <w:p w14:paraId="29495DF5" w14:textId="77777777" w:rsidR="00292821" w:rsidRDefault="00292821" w:rsidP="00861F4D">
            <w:pPr>
              <w:pStyle w:val="Tabletext1"/>
              <w:spacing w:before="40" w:after="40" w:line="288" w:lineRule="auto"/>
            </w:pPr>
            <w:r>
              <w:t>Hospital setting</w:t>
            </w:r>
          </w:p>
          <w:p w14:paraId="7EA6593D" w14:textId="77777777" w:rsidR="00292821" w:rsidRPr="00095CDF" w:rsidRDefault="00292821" w:rsidP="00861F4D">
            <w:pPr>
              <w:pStyle w:val="Tabletext1"/>
              <w:spacing w:before="40" w:after="40" w:line="288" w:lineRule="auto"/>
            </w:pPr>
            <w:r>
              <w:t>NR</w:t>
            </w:r>
          </w:p>
        </w:tc>
        <w:tc>
          <w:tcPr>
            <w:tcW w:w="1493" w:type="pct"/>
            <w:tcBorders>
              <w:top w:val="single" w:sz="4" w:space="0" w:color="auto"/>
              <w:left w:val="single" w:sz="4" w:space="0" w:color="auto"/>
              <w:bottom w:val="single" w:sz="4" w:space="0" w:color="auto"/>
              <w:right w:val="single" w:sz="4" w:space="0" w:color="auto"/>
            </w:tcBorders>
          </w:tcPr>
          <w:p w14:paraId="4EBA862D" w14:textId="77777777" w:rsidR="00EA3AA8" w:rsidRDefault="00292821" w:rsidP="00861F4D">
            <w:pPr>
              <w:pStyle w:val="Tabletext1"/>
              <w:spacing w:before="40" w:after="40" w:line="288" w:lineRule="auto"/>
            </w:pPr>
            <w:r w:rsidRPr="00F8651E">
              <w:t xml:space="preserve">Patients with stage IIIB NSCLC or metastatic pulmonary malignancies who were deemed medically inoperable and underwent </w:t>
            </w:r>
            <w:r>
              <w:t xml:space="preserve">MTA </w:t>
            </w:r>
            <w:r w:rsidRPr="00F8651E">
              <w:t>procedures</w:t>
            </w:r>
            <w:r>
              <w:t xml:space="preserve"> </w:t>
            </w:r>
          </w:p>
          <w:p w14:paraId="64BA407D" w14:textId="77777777" w:rsidR="00EA3AA8" w:rsidRDefault="00C10752" w:rsidP="00861F4D">
            <w:pPr>
              <w:pStyle w:val="Tabletext1"/>
              <w:spacing w:before="40" w:after="40" w:line="288" w:lineRule="auto"/>
            </w:pPr>
            <w:r>
              <w:t xml:space="preserve">N = </w:t>
            </w:r>
            <w:r w:rsidR="00292821">
              <w:t xml:space="preserve"> 69 (93)</w:t>
            </w:r>
          </w:p>
          <w:p w14:paraId="5848FAF0" w14:textId="4915AACA" w:rsidR="00EA3AA8" w:rsidRDefault="00EA3AA8" w:rsidP="00861F4D">
            <w:pPr>
              <w:pStyle w:val="Tabletext1"/>
              <w:spacing w:before="40" w:after="40" w:line="288" w:lineRule="auto"/>
            </w:pPr>
            <w:r>
              <w:t>T</w:t>
            </w:r>
            <w:r w:rsidR="00292821">
              <w:t xml:space="preserve">umour size- </w:t>
            </w:r>
            <w:r w:rsidR="00292821" w:rsidRPr="00F8651E">
              <w:t>mean (range): 22.3 (8</w:t>
            </w:r>
            <w:r w:rsidR="00D35E9C">
              <w:t>–</w:t>
            </w:r>
            <w:r w:rsidR="00292821" w:rsidRPr="00F8651E">
              <w:t>55)</w:t>
            </w:r>
            <w:r>
              <w:t xml:space="preserve"> mm</w:t>
            </w:r>
          </w:p>
          <w:p w14:paraId="02CFA8E0" w14:textId="77777777" w:rsidR="00EA3AA8" w:rsidRDefault="00EA3AA8" w:rsidP="00861F4D">
            <w:pPr>
              <w:pStyle w:val="Tabletext1"/>
              <w:spacing w:before="40" w:after="40" w:line="288" w:lineRule="auto"/>
            </w:pPr>
            <w:r>
              <w:t>M/F ratio: 45:24</w:t>
            </w:r>
          </w:p>
          <w:p w14:paraId="738E4B20" w14:textId="77777777" w:rsidR="00EA3AA8" w:rsidRDefault="00EA3AA8" w:rsidP="00861F4D">
            <w:pPr>
              <w:pStyle w:val="Tabletext1"/>
              <w:spacing w:before="40" w:after="40" w:line="288" w:lineRule="auto"/>
            </w:pPr>
            <w:r>
              <w:t>M</w:t>
            </w:r>
            <w:r w:rsidR="00292821">
              <w:t xml:space="preserve">ean (SD) age: </w:t>
            </w:r>
            <w:r w:rsidR="00292821" w:rsidRPr="00F8651E">
              <w:t>65 (15)</w:t>
            </w:r>
            <w:r>
              <w:t xml:space="preserve"> years</w:t>
            </w:r>
          </w:p>
          <w:p w14:paraId="34E4FBD8" w14:textId="77777777" w:rsidR="00292821" w:rsidRPr="00095CDF" w:rsidRDefault="00292821" w:rsidP="00861F4D">
            <w:pPr>
              <w:pStyle w:val="Tabletext1"/>
              <w:spacing w:before="40" w:after="40" w:line="288" w:lineRule="auto"/>
            </w:pPr>
            <w:r w:rsidRPr="00F8651E">
              <w:t xml:space="preserve">NSCLC patients: stage </w:t>
            </w:r>
            <w:proofErr w:type="gramStart"/>
            <w:r w:rsidRPr="00F8651E">
              <w:t>I</w:t>
            </w:r>
            <w:proofErr w:type="gramEnd"/>
            <w:r w:rsidRPr="00F8651E">
              <w:t xml:space="preserve"> 7/48 (14.6%), stage II 10/48 (20.8%), stage III 22/48 (45.8%), stage IV 9/48 (18.8%). Metastasis patients: breast cancer 3/21 (14.3%), prostate cancer 4/21 (19.1%), liver cancer 7/21 (33.3%), gastrointestinal cancer 7/21 (33.3%)</w:t>
            </w:r>
            <w:r>
              <w:t>.</w:t>
            </w:r>
          </w:p>
        </w:tc>
        <w:tc>
          <w:tcPr>
            <w:tcW w:w="707" w:type="pct"/>
            <w:tcBorders>
              <w:top w:val="single" w:sz="4" w:space="0" w:color="auto"/>
              <w:left w:val="single" w:sz="4" w:space="0" w:color="auto"/>
              <w:bottom w:val="single" w:sz="4" w:space="0" w:color="auto"/>
              <w:right w:val="single" w:sz="4" w:space="0" w:color="auto"/>
            </w:tcBorders>
          </w:tcPr>
          <w:p w14:paraId="4F9E698E" w14:textId="77777777" w:rsidR="004800CB" w:rsidRDefault="004800CB" w:rsidP="00861F4D">
            <w:pPr>
              <w:pStyle w:val="Tabletext1"/>
              <w:spacing w:before="40" w:after="40" w:line="288" w:lineRule="auto"/>
            </w:pPr>
            <w:r>
              <w:rPr>
                <w:u w:val="single"/>
              </w:rPr>
              <w:t xml:space="preserve">Intervention: </w:t>
            </w:r>
            <w:r w:rsidRPr="00F13F9C">
              <w:rPr>
                <w:u w:val="single"/>
              </w:rPr>
              <w:t>CT-guided MTA</w:t>
            </w:r>
            <w:r w:rsidRPr="00F13F9C">
              <w:t xml:space="preserve"> </w:t>
            </w:r>
          </w:p>
          <w:p w14:paraId="0B444F7F" w14:textId="77777777" w:rsidR="004800CB" w:rsidRDefault="004800CB" w:rsidP="00861F4D">
            <w:pPr>
              <w:pStyle w:val="Tabletext1"/>
              <w:spacing w:before="40" w:after="40" w:line="288" w:lineRule="auto"/>
            </w:pPr>
            <w:r>
              <w:t>Conscious sedation</w:t>
            </w:r>
          </w:p>
          <w:p w14:paraId="56AA659F" w14:textId="77777777" w:rsidR="00292821" w:rsidRDefault="004800CB" w:rsidP="00861F4D">
            <w:pPr>
              <w:pStyle w:val="Tabletext1"/>
              <w:spacing w:before="40" w:after="40" w:line="288" w:lineRule="auto"/>
            </w:pPr>
            <w:r>
              <w:t>D</w:t>
            </w:r>
            <w:r w:rsidR="00292821" w:rsidRPr="00F8651E">
              <w:t>uration:</w:t>
            </w:r>
            <w:r w:rsidR="00292821">
              <w:t xml:space="preserve"> NR</w:t>
            </w:r>
          </w:p>
          <w:p w14:paraId="62095E39"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1C70AC44" w14:textId="77777777" w:rsidR="00292821" w:rsidRPr="00095CDF" w:rsidRDefault="00292821" w:rsidP="00861F4D">
            <w:pPr>
              <w:pStyle w:val="Tabletext1"/>
              <w:spacing w:before="40" w:after="40" w:line="288" w:lineRule="auto"/>
              <w:ind w:left="34"/>
            </w:pPr>
            <w:r>
              <w:t>1. Adverse events: within 30 days after ablation, and were classified in accordance with the Common Terminology Criteria for Adverse Events version 4.0 (CTCAE)</w:t>
            </w:r>
          </w:p>
        </w:tc>
      </w:tr>
      <w:tr w:rsidR="00292821" w:rsidRPr="00095CDF" w14:paraId="77DA767E"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32B4D398" w14:textId="77777777" w:rsidR="00292821" w:rsidRDefault="00292821" w:rsidP="00861F4D">
            <w:pPr>
              <w:pStyle w:val="Tabletext1"/>
              <w:spacing w:before="40" w:after="40" w:line="288" w:lineRule="auto"/>
            </w:pPr>
            <w:r>
              <w:lastRenderedPageBreak/>
              <w:t>Nour-eldin et al (2011)</w:t>
            </w:r>
          </w:p>
          <w:p w14:paraId="5E264B94" w14:textId="77777777" w:rsidR="00E64926" w:rsidRDefault="00E64926" w:rsidP="00861F4D">
            <w:pPr>
              <w:pStyle w:val="Tabletext1"/>
              <w:spacing w:before="40" w:after="40" w:line="288" w:lineRule="auto"/>
            </w:pPr>
            <w:r>
              <w:t>Germany</w:t>
            </w:r>
          </w:p>
          <w:p w14:paraId="7E2E530A" w14:textId="77777777" w:rsidR="00E64926" w:rsidRPr="00095CDF" w:rsidRDefault="00E64926"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5234A483" w14:textId="77777777" w:rsidR="00292821" w:rsidRDefault="00292821" w:rsidP="00861F4D">
            <w:pPr>
              <w:pStyle w:val="Tabletext1"/>
              <w:spacing w:before="40" w:after="40" w:line="288" w:lineRule="auto"/>
            </w:pPr>
            <w:r>
              <w:t>Retrospective CS</w:t>
            </w:r>
          </w:p>
          <w:p w14:paraId="4898156C" w14:textId="77777777" w:rsidR="00242EBD" w:rsidRDefault="00242EBD" w:rsidP="00861F4D">
            <w:pPr>
              <w:pStyle w:val="Tabletext1"/>
              <w:spacing w:before="40" w:after="40" w:line="288" w:lineRule="auto"/>
            </w:pPr>
            <w:r>
              <w:t>Level IV</w:t>
            </w:r>
          </w:p>
          <w:p w14:paraId="0D7AB64A" w14:textId="77777777" w:rsidR="00292821" w:rsidRDefault="00292821" w:rsidP="00861F4D">
            <w:pPr>
              <w:pStyle w:val="Tabletext1"/>
              <w:spacing w:before="40" w:after="40" w:line="288" w:lineRule="auto"/>
            </w:pPr>
            <w:r>
              <w:t>Risk of bias: High</w:t>
            </w:r>
          </w:p>
          <w:p w14:paraId="37AFF77F" w14:textId="77777777" w:rsidR="00292821" w:rsidRDefault="00292821" w:rsidP="00861F4D">
            <w:pPr>
              <w:pStyle w:val="Tabletext1"/>
              <w:spacing w:before="40" w:after="40" w:line="288" w:lineRule="auto"/>
            </w:pPr>
            <w:r>
              <w:t>Hospital setting</w:t>
            </w:r>
          </w:p>
          <w:p w14:paraId="74B688F8" w14:textId="77777777" w:rsidR="00292821" w:rsidRDefault="00292821" w:rsidP="00861F4D">
            <w:pPr>
              <w:pStyle w:val="Tabletext1"/>
              <w:spacing w:before="40" w:after="40" w:line="288" w:lineRule="auto"/>
            </w:pPr>
            <w:r>
              <w:t>NR</w:t>
            </w:r>
          </w:p>
          <w:p w14:paraId="19B17706" w14:textId="77777777" w:rsidR="00292821" w:rsidRPr="00095CDF" w:rsidRDefault="00292821" w:rsidP="00861F4D">
            <w:pPr>
              <w:pStyle w:val="Tabletext1"/>
              <w:spacing w:before="40" w:after="40" w:line="288" w:lineRule="auto"/>
            </w:pPr>
          </w:p>
        </w:tc>
        <w:tc>
          <w:tcPr>
            <w:tcW w:w="1493" w:type="pct"/>
            <w:tcBorders>
              <w:top w:val="single" w:sz="4" w:space="0" w:color="auto"/>
              <w:left w:val="single" w:sz="4" w:space="0" w:color="auto"/>
              <w:bottom w:val="single" w:sz="4" w:space="0" w:color="auto"/>
              <w:right w:val="single" w:sz="4" w:space="0" w:color="auto"/>
            </w:tcBorders>
          </w:tcPr>
          <w:p w14:paraId="482FEE6E" w14:textId="77777777" w:rsidR="00EA3AA8" w:rsidRDefault="00292821" w:rsidP="00861F4D">
            <w:pPr>
              <w:pStyle w:val="Tabletext1"/>
              <w:spacing w:before="40" w:after="40" w:line="288" w:lineRule="auto"/>
            </w:pPr>
            <w:r w:rsidRPr="00F8651E">
              <w:t xml:space="preserve">Patients with primary NSCLC or secondary lung tumours deemed medically inoperable or where </w:t>
            </w:r>
            <w:r w:rsidR="00EA3AA8">
              <w:t>the patient had refused surgery.</w:t>
            </w:r>
            <w:r w:rsidRPr="00F8651E">
              <w:t xml:space="preserve"> Patients with metastatic lung tumours were without eviden</w:t>
            </w:r>
            <w:r>
              <w:t>c</w:t>
            </w:r>
            <w:r w:rsidR="00EA3AA8">
              <w:t>e of extrapulmonary metastases</w:t>
            </w:r>
          </w:p>
          <w:p w14:paraId="71DAD636" w14:textId="77777777" w:rsidR="00EA3AA8" w:rsidRDefault="00C10752" w:rsidP="00861F4D">
            <w:pPr>
              <w:pStyle w:val="Tabletext1"/>
              <w:spacing w:before="40" w:after="40" w:line="288" w:lineRule="auto"/>
            </w:pPr>
            <w:r>
              <w:t xml:space="preserve">N = </w:t>
            </w:r>
            <w:r w:rsidR="00292821">
              <w:t>164 (</w:t>
            </w:r>
            <w:r w:rsidR="00292821" w:rsidRPr="009F7BDB">
              <w:t>NR, 248 ablation sessions</w:t>
            </w:r>
            <w:r w:rsidR="00292821">
              <w:t>)</w:t>
            </w:r>
          </w:p>
          <w:p w14:paraId="7358D72A" w14:textId="77777777" w:rsidR="00EA3AA8" w:rsidRDefault="00EA3AA8" w:rsidP="00861F4D">
            <w:pPr>
              <w:pStyle w:val="Tabletext1"/>
              <w:spacing w:before="40" w:after="40" w:line="288" w:lineRule="auto"/>
            </w:pPr>
            <w:r>
              <w:t>Tumour size: NR</w:t>
            </w:r>
          </w:p>
          <w:p w14:paraId="324368B6" w14:textId="77777777" w:rsidR="00EA3AA8" w:rsidRDefault="00292821" w:rsidP="00861F4D">
            <w:pPr>
              <w:pStyle w:val="Tabletext1"/>
              <w:spacing w:before="40" w:after="40" w:line="288" w:lineRule="auto"/>
            </w:pPr>
            <w:r>
              <w:t xml:space="preserve">M/F ratio: </w:t>
            </w:r>
            <w:r w:rsidRPr="009F7BDB">
              <w:t>92:72</w:t>
            </w:r>
          </w:p>
          <w:p w14:paraId="5F14CABC" w14:textId="77777777" w:rsidR="00EA3AA8" w:rsidRDefault="00EA3AA8" w:rsidP="00861F4D">
            <w:pPr>
              <w:pStyle w:val="Tabletext1"/>
              <w:spacing w:before="40" w:after="40" w:line="288" w:lineRule="auto"/>
            </w:pPr>
            <w:r>
              <w:t>M</w:t>
            </w:r>
            <w:r w:rsidR="00292821">
              <w:t xml:space="preserve">ean (SD) age: </w:t>
            </w:r>
            <w:r w:rsidR="00292821" w:rsidRPr="009F7BDB">
              <w:t>59.7 (9.8)</w:t>
            </w:r>
            <w:r>
              <w:t xml:space="preserve"> years</w:t>
            </w:r>
          </w:p>
          <w:p w14:paraId="3BB2661D" w14:textId="77777777" w:rsidR="00292821" w:rsidRPr="00095CDF" w:rsidRDefault="00292821" w:rsidP="00861F4D">
            <w:pPr>
              <w:pStyle w:val="Tabletext1"/>
              <w:spacing w:before="40" w:after="40" w:line="288" w:lineRule="auto"/>
            </w:pPr>
            <w:r w:rsidRPr="009F7BDB">
              <w:t>20/248 (8.1%) of ablation sessions were for primary lesions, 228/248 (91.9%) were for metastatic lesions</w:t>
            </w:r>
          </w:p>
        </w:tc>
        <w:tc>
          <w:tcPr>
            <w:tcW w:w="707" w:type="pct"/>
            <w:tcBorders>
              <w:top w:val="single" w:sz="4" w:space="0" w:color="auto"/>
              <w:left w:val="single" w:sz="4" w:space="0" w:color="auto"/>
              <w:bottom w:val="single" w:sz="4" w:space="0" w:color="auto"/>
              <w:right w:val="single" w:sz="4" w:space="0" w:color="auto"/>
            </w:tcBorders>
          </w:tcPr>
          <w:p w14:paraId="46043BE1" w14:textId="77777777" w:rsidR="004800CB" w:rsidRDefault="004800CB" w:rsidP="00861F4D">
            <w:pPr>
              <w:pStyle w:val="Tabletext1"/>
              <w:spacing w:before="40" w:after="40" w:line="288" w:lineRule="auto"/>
            </w:pPr>
            <w:r>
              <w:rPr>
                <w:u w:val="single"/>
              </w:rPr>
              <w:t xml:space="preserve">Intervention: </w:t>
            </w:r>
            <w:r w:rsidRPr="00F13F9C">
              <w:rPr>
                <w:u w:val="single"/>
              </w:rPr>
              <w:t xml:space="preserve">CT-guided </w:t>
            </w:r>
            <w:r w:rsidRPr="004800CB">
              <w:rPr>
                <w:u w:val="single"/>
              </w:rPr>
              <w:t>MTA or RFA</w:t>
            </w:r>
          </w:p>
          <w:p w14:paraId="2B79FC4F" w14:textId="77777777" w:rsidR="004800CB" w:rsidRDefault="004800CB" w:rsidP="00861F4D">
            <w:pPr>
              <w:pStyle w:val="Tabletext1"/>
              <w:spacing w:before="40" w:after="40" w:line="288" w:lineRule="auto"/>
            </w:pPr>
            <w:r>
              <w:t>Conscious sedation</w:t>
            </w:r>
          </w:p>
          <w:p w14:paraId="01D126D0" w14:textId="77777777" w:rsidR="00292821" w:rsidRDefault="004800CB" w:rsidP="00861F4D">
            <w:pPr>
              <w:pStyle w:val="Tabletext1"/>
              <w:spacing w:before="40" w:after="40" w:line="288" w:lineRule="auto"/>
            </w:pPr>
            <w:r>
              <w:t>D</w:t>
            </w:r>
            <w:r w:rsidR="00292821" w:rsidRPr="009F7BDB">
              <w:t>uration: NR</w:t>
            </w:r>
          </w:p>
          <w:p w14:paraId="4FCAB14F"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2E0102F0" w14:textId="77777777" w:rsidR="00292821" w:rsidRPr="00095CDF" w:rsidRDefault="00292821" w:rsidP="00861F4D">
            <w:pPr>
              <w:pStyle w:val="Tabletext1"/>
              <w:spacing w:before="40" w:after="40" w:line="288" w:lineRule="auto"/>
              <w:ind w:left="34"/>
            </w:pPr>
            <w:r>
              <w:t>1. Pneumothorax: categorised as mild, moderate or severe</w:t>
            </w:r>
          </w:p>
        </w:tc>
      </w:tr>
      <w:tr w:rsidR="00292821" w:rsidRPr="00095CDF" w14:paraId="5C8B9B9B"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1300C0A7" w14:textId="77777777" w:rsidR="00292821" w:rsidRDefault="00292821" w:rsidP="00861F4D">
            <w:pPr>
              <w:pStyle w:val="Tabletext1"/>
              <w:spacing w:before="40" w:after="40" w:line="288" w:lineRule="auto"/>
            </w:pPr>
            <w:r>
              <w:t>Sun et al (2014)</w:t>
            </w:r>
          </w:p>
          <w:p w14:paraId="1EEB8A55" w14:textId="77777777" w:rsidR="00E64926" w:rsidRDefault="00E64926" w:rsidP="00861F4D">
            <w:pPr>
              <w:pStyle w:val="Tabletext1"/>
              <w:spacing w:before="40" w:after="40" w:line="288" w:lineRule="auto"/>
            </w:pPr>
            <w:r>
              <w:t>China</w:t>
            </w:r>
          </w:p>
          <w:p w14:paraId="4D26932E" w14:textId="77777777" w:rsidR="00E64926" w:rsidRPr="00095CDF" w:rsidRDefault="00E64926"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5BE91D4E" w14:textId="77777777" w:rsidR="00292821" w:rsidRDefault="00292821" w:rsidP="00861F4D">
            <w:pPr>
              <w:pStyle w:val="Tabletext1"/>
              <w:spacing w:before="40" w:after="40" w:line="288" w:lineRule="auto"/>
            </w:pPr>
            <w:r>
              <w:t>Retrospective CS</w:t>
            </w:r>
          </w:p>
          <w:p w14:paraId="1916321F" w14:textId="77777777" w:rsidR="00242EBD" w:rsidRDefault="00242EBD" w:rsidP="00861F4D">
            <w:pPr>
              <w:pStyle w:val="Tabletext1"/>
              <w:spacing w:before="40" w:after="40" w:line="288" w:lineRule="auto"/>
            </w:pPr>
            <w:r>
              <w:t>Level IV</w:t>
            </w:r>
          </w:p>
          <w:p w14:paraId="038DA19D" w14:textId="77777777" w:rsidR="00292821" w:rsidRDefault="00292821" w:rsidP="00861F4D">
            <w:pPr>
              <w:pStyle w:val="Tabletext1"/>
              <w:spacing w:before="40" w:after="40" w:line="288" w:lineRule="auto"/>
            </w:pPr>
            <w:r>
              <w:t>Hospital setting</w:t>
            </w:r>
          </w:p>
          <w:p w14:paraId="6B7DA90C" w14:textId="1995BA16" w:rsidR="00292821" w:rsidRDefault="00292821" w:rsidP="00861F4D">
            <w:pPr>
              <w:pStyle w:val="Tabletext1"/>
              <w:spacing w:before="40" w:after="40" w:line="288" w:lineRule="auto"/>
            </w:pPr>
            <w:r w:rsidRPr="009F7BDB">
              <w:t>25 (3</w:t>
            </w:r>
            <w:r w:rsidR="00D35E9C">
              <w:t>–</w:t>
            </w:r>
            <w:r w:rsidRPr="009F7BDB">
              <w:t>45)</w:t>
            </w:r>
            <w:r>
              <w:t xml:space="preserve"> months</w:t>
            </w:r>
          </w:p>
          <w:p w14:paraId="4ECB2739" w14:textId="77777777" w:rsidR="00292821" w:rsidRPr="00095CDF" w:rsidRDefault="00292821" w:rsidP="00861F4D">
            <w:pPr>
              <w:pStyle w:val="Tabletext1"/>
              <w:spacing w:before="40" w:after="40" w:line="288" w:lineRule="auto"/>
            </w:pPr>
          </w:p>
        </w:tc>
        <w:tc>
          <w:tcPr>
            <w:tcW w:w="1493" w:type="pct"/>
            <w:tcBorders>
              <w:top w:val="single" w:sz="4" w:space="0" w:color="auto"/>
              <w:left w:val="single" w:sz="4" w:space="0" w:color="auto"/>
              <w:bottom w:val="single" w:sz="4" w:space="0" w:color="auto"/>
              <w:right w:val="single" w:sz="4" w:space="0" w:color="auto"/>
            </w:tcBorders>
          </w:tcPr>
          <w:p w14:paraId="62AC84E8" w14:textId="77777777" w:rsidR="00EA3AA8" w:rsidRDefault="00292821" w:rsidP="00861F4D">
            <w:pPr>
              <w:pStyle w:val="Tabletext1"/>
              <w:spacing w:before="40" w:after="40" w:line="288" w:lineRule="auto"/>
            </w:pPr>
            <w:r w:rsidRPr="009F7BDB">
              <w:t xml:space="preserve">Patients with primary or metastatic lung cancer, primary cancers included stage I-IV lung cancer. Distant metastases of patients with stage IV cancer and primary tumours of patients with pulmonary metastases had achieved complete response or stable </w:t>
            </w:r>
            <w:r>
              <w:t>disease following prior therapy</w:t>
            </w:r>
          </w:p>
          <w:p w14:paraId="0F7391E6" w14:textId="77777777" w:rsidR="00EA3AA8" w:rsidRDefault="00C10752" w:rsidP="00861F4D">
            <w:pPr>
              <w:pStyle w:val="Tabletext1"/>
              <w:spacing w:before="40" w:after="40" w:line="288" w:lineRule="auto"/>
            </w:pPr>
            <w:r>
              <w:t xml:space="preserve">N = </w:t>
            </w:r>
            <w:r w:rsidR="00EA3AA8">
              <w:t>29 (39)</w:t>
            </w:r>
          </w:p>
          <w:p w14:paraId="5FB0E152" w14:textId="369DFAC9" w:rsidR="00EA3AA8" w:rsidRDefault="00EA3AA8" w:rsidP="00861F4D">
            <w:pPr>
              <w:pStyle w:val="Tabletext1"/>
              <w:spacing w:before="40" w:after="40" w:line="288" w:lineRule="auto"/>
            </w:pPr>
            <w:r>
              <w:t>T</w:t>
            </w:r>
            <w:r w:rsidR="00292821">
              <w:t xml:space="preserve">umour size - </w:t>
            </w:r>
            <w:r w:rsidR="00292821" w:rsidRPr="009F7BDB">
              <w:t>mean (range): 37 (15</w:t>
            </w:r>
            <w:r w:rsidR="00D35E9C">
              <w:t>–</w:t>
            </w:r>
            <w:r w:rsidR="00292821" w:rsidRPr="009F7BDB">
              <w:t>58)</w:t>
            </w:r>
            <w:r>
              <w:t xml:space="preserve"> mm</w:t>
            </w:r>
          </w:p>
          <w:p w14:paraId="1FC0EC8B" w14:textId="77777777" w:rsidR="00EA3AA8" w:rsidRDefault="00292821" w:rsidP="00861F4D">
            <w:pPr>
              <w:pStyle w:val="Tabletext1"/>
              <w:spacing w:before="40" w:after="40" w:line="288" w:lineRule="auto"/>
            </w:pPr>
            <w:r>
              <w:t>M/F ratio: 12:12</w:t>
            </w:r>
          </w:p>
          <w:p w14:paraId="473F5D99" w14:textId="60DC9222" w:rsidR="00EA3AA8" w:rsidRDefault="00EA3AA8" w:rsidP="00861F4D">
            <w:pPr>
              <w:pStyle w:val="Tabletext1"/>
              <w:spacing w:before="40" w:after="40" w:line="288" w:lineRule="auto"/>
            </w:pPr>
            <w:r>
              <w:t>M</w:t>
            </w:r>
            <w:r w:rsidR="00292821">
              <w:t xml:space="preserve">edian (range) age: </w:t>
            </w:r>
            <w:r w:rsidR="00292821" w:rsidRPr="009F7BDB">
              <w:t>63 (39</w:t>
            </w:r>
            <w:r w:rsidR="00D35E9C">
              <w:t>–</w:t>
            </w:r>
            <w:r w:rsidR="00292821" w:rsidRPr="009F7BDB">
              <w:t>74)</w:t>
            </w:r>
            <w:r>
              <w:t xml:space="preserve"> years</w:t>
            </w:r>
          </w:p>
          <w:p w14:paraId="64F68CE6" w14:textId="77777777" w:rsidR="00292821" w:rsidRPr="00095CDF" w:rsidRDefault="00292821" w:rsidP="00861F4D">
            <w:pPr>
              <w:pStyle w:val="Tabletext1"/>
              <w:spacing w:before="40" w:after="40" w:line="288" w:lineRule="auto"/>
            </w:pPr>
            <w:r w:rsidRPr="009F7BDB">
              <w:t>Primary NSCLC patients: 7/15 (46.7%) stage I, 2/15 (13.3%) stage II, 4/15 (26.7%) stage III, 2/15 (13.3%) stage IV. Metastases patients: 8/14 (57.1%) intestinal adenocarcinoma, 4/14 (28.6%) liver cancer, 2/14 (14.3%) brea</w:t>
            </w:r>
            <w:r>
              <w:t>s</w:t>
            </w:r>
            <w:r w:rsidRPr="009F7BDB">
              <w:t>t cancer</w:t>
            </w:r>
            <w:r>
              <w:t>.</w:t>
            </w:r>
          </w:p>
        </w:tc>
        <w:tc>
          <w:tcPr>
            <w:tcW w:w="707" w:type="pct"/>
            <w:tcBorders>
              <w:top w:val="single" w:sz="4" w:space="0" w:color="auto"/>
              <w:left w:val="single" w:sz="4" w:space="0" w:color="auto"/>
              <w:bottom w:val="single" w:sz="4" w:space="0" w:color="auto"/>
              <w:right w:val="single" w:sz="4" w:space="0" w:color="auto"/>
            </w:tcBorders>
          </w:tcPr>
          <w:p w14:paraId="618836FC" w14:textId="77777777" w:rsidR="004800CB" w:rsidRDefault="004800CB" w:rsidP="00861F4D">
            <w:pPr>
              <w:pStyle w:val="Tabletext1"/>
              <w:spacing w:before="40" w:after="40" w:line="288" w:lineRule="auto"/>
              <w:rPr>
                <w:u w:val="single"/>
              </w:rPr>
            </w:pPr>
            <w:r>
              <w:rPr>
                <w:u w:val="single"/>
              </w:rPr>
              <w:t xml:space="preserve">Intervention: </w:t>
            </w:r>
            <w:r w:rsidRPr="00F13F9C">
              <w:rPr>
                <w:u w:val="single"/>
              </w:rPr>
              <w:t xml:space="preserve">CT-guided </w:t>
            </w:r>
            <w:r w:rsidRPr="004800CB">
              <w:rPr>
                <w:u w:val="single"/>
              </w:rPr>
              <w:t>MTA</w:t>
            </w:r>
          </w:p>
          <w:p w14:paraId="41B23CCF" w14:textId="77777777" w:rsidR="004800CB" w:rsidRDefault="004800CB" w:rsidP="00861F4D">
            <w:pPr>
              <w:pStyle w:val="Tabletext1"/>
              <w:spacing w:before="40" w:after="40" w:line="288" w:lineRule="auto"/>
            </w:pPr>
            <w:r>
              <w:t>Conscious sedation</w:t>
            </w:r>
          </w:p>
          <w:p w14:paraId="6DD3B42D" w14:textId="6D7DB578" w:rsidR="00292821" w:rsidRDefault="004800CB" w:rsidP="00861F4D">
            <w:pPr>
              <w:pStyle w:val="Tabletext1"/>
              <w:spacing w:before="40" w:after="40" w:line="288" w:lineRule="auto"/>
            </w:pPr>
            <w:r>
              <w:t>Du</w:t>
            </w:r>
            <w:r w:rsidR="00292821" w:rsidRPr="009F7BDB">
              <w:t>ration: mean (range): 8 (5</w:t>
            </w:r>
            <w:r w:rsidR="00D35E9C">
              <w:t>–</w:t>
            </w:r>
            <w:r w:rsidR="00292821" w:rsidRPr="009F7BDB">
              <w:t>12)</w:t>
            </w:r>
            <w:r w:rsidR="00292821">
              <w:t xml:space="preserve"> minutes</w:t>
            </w:r>
          </w:p>
          <w:p w14:paraId="6DB42086"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3250B063" w14:textId="77777777" w:rsidR="00292821" w:rsidRPr="00095CDF" w:rsidRDefault="00292821" w:rsidP="00861F4D">
            <w:pPr>
              <w:pStyle w:val="Tabletext1"/>
              <w:spacing w:before="40" w:after="40" w:line="288" w:lineRule="auto"/>
              <w:ind w:left="34"/>
            </w:pPr>
            <w:r>
              <w:t>1. Adverse events: any associated symptoms occurring within 30 days following ablation were considered therapy-related complications</w:t>
            </w:r>
          </w:p>
        </w:tc>
      </w:tr>
      <w:tr w:rsidR="00292821" w:rsidRPr="00095CDF" w14:paraId="0CC6E43D"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72DD7ABF" w14:textId="77777777" w:rsidR="00292821" w:rsidRDefault="00292821" w:rsidP="00861F4D">
            <w:pPr>
              <w:pStyle w:val="Tabletext1"/>
              <w:spacing w:before="40" w:after="40" w:line="288" w:lineRule="auto"/>
            </w:pPr>
            <w:r w:rsidRPr="009F7BDB">
              <w:lastRenderedPageBreak/>
              <w:t>Splatt &amp; Steinke</w:t>
            </w:r>
            <w:r>
              <w:t xml:space="preserve"> (2015)</w:t>
            </w:r>
          </w:p>
          <w:p w14:paraId="35BAF1BD" w14:textId="77777777" w:rsidR="00E64926" w:rsidRPr="00095CDF" w:rsidRDefault="00E64926" w:rsidP="00861F4D">
            <w:pPr>
              <w:pStyle w:val="Tabletext1"/>
              <w:spacing w:before="40" w:after="40" w:line="288" w:lineRule="auto"/>
            </w:pPr>
            <w:r>
              <w:t>Australia</w:t>
            </w:r>
          </w:p>
        </w:tc>
        <w:tc>
          <w:tcPr>
            <w:tcW w:w="738" w:type="pct"/>
            <w:gridSpan w:val="2"/>
            <w:tcBorders>
              <w:top w:val="single" w:sz="4" w:space="0" w:color="auto"/>
              <w:left w:val="single" w:sz="4" w:space="0" w:color="auto"/>
              <w:bottom w:val="single" w:sz="4" w:space="0" w:color="auto"/>
              <w:right w:val="single" w:sz="4" w:space="0" w:color="auto"/>
            </w:tcBorders>
          </w:tcPr>
          <w:p w14:paraId="5FD8BF58" w14:textId="77777777" w:rsidR="00292821" w:rsidRDefault="00292821" w:rsidP="00861F4D">
            <w:pPr>
              <w:pStyle w:val="Tabletext1"/>
              <w:spacing w:before="40" w:after="40" w:line="288" w:lineRule="auto"/>
            </w:pPr>
            <w:r>
              <w:t>Retrospective CS</w:t>
            </w:r>
          </w:p>
          <w:p w14:paraId="19316B16" w14:textId="77777777" w:rsidR="00242EBD" w:rsidRDefault="00242EBD" w:rsidP="00861F4D">
            <w:pPr>
              <w:pStyle w:val="Tabletext1"/>
              <w:spacing w:before="40" w:after="40" w:line="288" w:lineRule="auto"/>
            </w:pPr>
            <w:r>
              <w:t>Level IV</w:t>
            </w:r>
          </w:p>
          <w:p w14:paraId="17E5F5D9" w14:textId="77777777" w:rsidR="00292821" w:rsidRDefault="00292821" w:rsidP="00861F4D">
            <w:pPr>
              <w:pStyle w:val="Tabletext1"/>
              <w:spacing w:before="40" w:after="40" w:line="288" w:lineRule="auto"/>
            </w:pPr>
            <w:r>
              <w:t>Hospital setting</w:t>
            </w:r>
          </w:p>
          <w:p w14:paraId="6C154AEA" w14:textId="77777777" w:rsidR="00292821" w:rsidRPr="00095CDF" w:rsidRDefault="00292821" w:rsidP="00861F4D">
            <w:pPr>
              <w:pStyle w:val="Tabletext1"/>
              <w:spacing w:before="40" w:after="40" w:line="288" w:lineRule="auto"/>
            </w:pPr>
            <w:r>
              <w:t xml:space="preserve">NR, </w:t>
            </w:r>
            <w:r w:rsidRPr="009F7BDB">
              <w:t>all patients had an overnight stay with a follow-up radiograph at 3 hours and CT at 24 hours</w:t>
            </w:r>
          </w:p>
        </w:tc>
        <w:tc>
          <w:tcPr>
            <w:tcW w:w="1493" w:type="pct"/>
            <w:tcBorders>
              <w:top w:val="single" w:sz="4" w:space="0" w:color="auto"/>
              <w:left w:val="single" w:sz="4" w:space="0" w:color="auto"/>
              <w:bottom w:val="single" w:sz="4" w:space="0" w:color="auto"/>
              <w:right w:val="single" w:sz="4" w:space="0" w:color="auto"/>
            </w:tcBorders>
          </w:tcPr>
          <w:p w14:paraId="07E7DEFC" w14:textId="77777777" w:rsidR="00EA3AA8" w:rsidRDefault="00292821" w:rsidP="00861F4D">
            <w:pPr>
              <w:pStyle w:val="Tabletext1"/>
              <w:spacing w:before="40" w:after="40" w:line="288" w:lineRule="auto"/>
            </w:pPr>
            <w:r w:rsidRPr="009F7BDB">
              <w:t>Patients with primary pulmonary malignancies or secondary metastases</w:t>
            </w:r>
          </w:p>
          <w:p w14:paraId="65621348" w14:textId="77777777" w:rsidR="00EA3AA8" w:rsidRDefault="00C10752" w:rsidP="00861F4D">
            <w:pPr>
              <w:pStyle w:val="Tabletext1"/>
              <w:spacing w:before="40" w:after="40" w:line="288" w:lineRule="auto"/>
            </w:pPr>
            <w:r>
              <w:t xml:space="preserve">N = </w:t>
            </w:r>
            <w:r w:rsidR="00EA3AA8">
              <w:t>51 (70)</w:t>
            </w:r>
          </w:p>
          <w:p w14:paraId="7E8A91A9" w14:textId="5FF170A1" w:rsidR="00EA3AA8" w:rsidRDefault="00EA3AA8" w:rsidP="00861F4D">
            <w:pPr>
              <w:pStyle w:val="Tabletext1"/>
              <w:spacing w:before="40" w:after="40" w:line="288" w:lineRule="auto"/>
            </w:pPr>
            <w:r>
              <w:t>T</w:t>
            </w:r>
            <w:r w:rsidR="00292821">
              <w:t xml:space="preserve">umour size - </w:t>
            </w:r>
            <w:r w:rsidR="00292821" w:rsidRPr="00947665">
              <w:t>median (range): 24.4 (7</w:t>
            </w:r>
            <w:r w:rsidR="00D35E9C">
              <w:t>–</w:t>
            </w:r>
            <w:r w:rsidR="00292821" w:rsidRPr="00947665">
              <w:t>63)</w:t>
            </w:r>
            <w:r>
              <w:t xml:space="preserve"> mm</w:t>
            </w:r>
          </w:p>
          <w:p w14:paraId="2502FECD" w14:textId="77777777" w:rsidR="00EA3AA8" w:rsidRDefault="00EA3AA8" w:rsidP="00861F4D">
            <w:pPr>
              <w:pStyle w:val="Tabletext1"/>
              <w:spacing w:before="40" w:after="40" w:line="288" w:lineRule="auto"/>
            </w:pPr>
            <w:r>
              <w:t>M/F ratio: 33:18</w:t>
            </w:r>
          </w:p>
          <w:p w14:paraId="7EF5C26E" w14:textId="1D93D443" w:rsidR="00292821" w:rsidRDefault="00EA3AA8" w:rsidP="00861F4D">
            <w:pPr>
              <w:pStyle w:val="Tabletext1"/>
              <w:spacing w:before="40" w:after="40" w:line="288" w:lineRule="auto"/>
            </w:pPr>
            <w:r>
              <w:t>M</w:t>
            </w:r>
            <w:r w:rsidR="00292821">
              <w:t>ean</w:t>
            </w:r>
            <w:r>
              <w:t xml:space="preserve"> </w:t>
            </w:r>
            <w:r w:rsidR="00292821">
              <w:t xml:space="preserve">(range) age: </w:t>
            </w:r>
            <w:r w:rsidR="00292821" w:rsidRPr="00947665">
              <w:t>71.2 (46</w:t>
            </w:r>
            <w:r w:rsidR="00D35E9C">
              <w:t>–</w:t>
            </w:r>
            <w:r w:rsidR="00292821" w:rsidRPr="00947665">
              <w:t>88)</w:t>
            </w:r>
            <w:r>
              <w:t xml:space="preserve"> years</w:t>
            </w:r>
          </w:p>
          <w:p w14:paraId="3530EC80" w14:textId="77777777" w:rsidR="00292821" w:rsidRPr="00095CDF" w:rsidRDefault="00292821" w:rsidP="00861F4D">
            <w:pPr>
              <w:pStyle w:val="Tabletext1"/>
              <w:spacing w:before="40" w:after="40" w:line="288" w:lineRule="auto"/>
            </w:pPr>
            <w:r>
              <w:t xml:space="preserve">Tumours: </w:t>
            </w:r>
            <w:r w:rsidRPr="00947665">
              <w:t>62.9% were NSCLC, 37.1% were secondary. Of metastases 21.4% were colorectal, 8.6% were sarcoma, 4.3% were melanoma, 1.4% was breast and 1.4% was thyroid.</w:t>
            </w:r>
          </w:p>
        </w:tc>
        <w:tc>
          <w:tcPr>
            <w:tcW w:w="707" w:type="pct"/>
            <w:tcBorders>
              <w:top w:val="single" w:sz="4" w:space="0" w:color="auto"/>
              <w:left w:val="single" w:sz="4" w:space="0" w:color="auto"/>
              <w:bottom w:val="single" w:sz="4" w:space="0" w:color="auto"/>
              <w:right w:val="single" w:sz="4" w:space="0" w:color="auto"/>
            </w:tcBorders>
          </w:tcPr>
          <w:p w14:paraId="30EDABC4" w14:textId="77777777" w:rsidR="004800CB" w:rsidRDefault="004800CB" w:rsidP="00861F4D">
            <w:pPr>
              <w:pStyle w:val="Tabletext1"/>
              <w:spacing w:before="40" w:after="40" w:line="288" w:lineRule="auto"/>
              <w:rPr>
                <w:u w:val="single"/>
              </w:rPr>
            </w:pPr>
            <w:r>
              <w:rPr>
                <w:u w:val="single"/>
              </w:rPr>
              <w:t xml:space="preserve">Intervention: </w:t>
            </w:r>
            <w:r w:rsidRPr="00F13F9C">
              <w:rPr>
                <w:u w:val="single"/>
              </w:rPr>
              <w:t xml:space="preserve">CT-guided </w:t>
            </w:r>
            <w:r w:rsidRPr="004800CB">
              <w:rPr>
                <w:u w:val="single"/>
              </w:rPr>
              <w:t>MTA</w:t>
            </w:r>
          </w:p>
          <w:p w14:paraId="28E339B3" w14:textId="77777777" w:rsidR="004800CB" w:rsidRDefault="004800CB" w:rsidP="00861F4D">
            <w:pPr>
              <w:pStyle w:val="Tabletext1"/>
              <w:spacing w:before="40" w:after="40" w:line="288" w:lineRule="auto"/>
            </w:pPr>
            <w:r>
              <w:t>Conscious sedation</w:t>
            </w:r>
          </w:p>
          <w:p w14:paraId="3029440C" w14:textId="77777777" w:rsidR="00292821" w:rsidRDefault="004800CB" w:rsidP="00861F4D">
            <w:pPr>
              <w:pStyle w:val="Tabletext1"/>
              <w:spacing w:before="40" w:after="40" w:line="288" w:lineRule="auto"/>
            </w:pPr>
            <w:r>
              <w:t>D</w:t>
            </w:r>
            <w:r w:rsidR="00292821">
              <w:t xml:space="preserve">uration: </w:t>
            </w:r>
            <w:r w:rsidR="00292821" w:rsidRPr="00947665">
              <w:t>range was 2.5 minutes to 15</w:t>
            </w:r>
            <w:r w:rsidR="00292821">
              <w:t xml:space="preserve"> min</w:t>
            </w:r>
          </w:p>
          <w:p w14:paraId="3A2446CB"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1CBCA9B2" w14:textId="77777777" w:rsidR="00292821" w:rsidRPr="00095CDF" w:rsidRDefault="00292821" w:rsidP="00861F4D">
            <w:pPr>
              <w:pStyle w:val="Tabletext1"/>
              <w:spacing w:before="40" w:after="40" w:line="288" w:lineRule="auto"/>
              <w:ind w:left="34"/>
            </w:pPr>
            <w:r>
              <w:t>1. Major complications: defined as per the Society of Interventional Radiology as those causing permanent sequelae or death, or those requiring further management other than analgesia.</w:t>
            </w:r>
          </w:p>
        </w:tc>
      </w:tr>
      <w:tr w:rsidR="00292821" w:rsidRPr="00095CDF" w14:paraId="472248C1"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452EB214" w14:textId="77777777" w:rsidR="00292821" w:rsidRDefault="00292821" w:rsidP="00861F4D">
            <w:pPr>
              <w:pStyle w:val="Tabletext1"/>
              <w:spacing w:before="40" w:after="40" w:line="288" w:lineRule="auto"/>
            </w:pPr>
            <w:r>
              <w:t>Vogl et al (2012)</w:t>
            </w:r>
          </w:p>
          <w:p w14:paraId="2B7292C4" w14:textId="77777777" w:rsidR="00E64926" w:rsidRDefault="00E64926" w:rsidP="00861F4D">
            <w:pPr>
              <w:pStyle w:val="Tabletext1"/>
              <w:spacing w:before="40" w:after="40" w:line="288" w:lineRule="auto"/>
            </w:pPr>
            <w:r>
              <w:t>Germany</w:t>
            </w:r>
          </w:p>
          <w:p w14:paraId="65753973" w14:textId="77777777" w:rsidR="00E64926" w:rsidRPr="00095CDF" w:rsidRDefault="00E64926"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5D29DF38" w14:textId="77777777" w:rsidR="00292821" w:rsidRDefault="00292821" w:rsidP="00861F4D">
            <w:pPr>
              <w:pStyle w:val="Tabletext1"/>
              <w:spacing w:before="40" w:after="40" w:line="288" w:lineRule="auto"/>
            </w:pPr>
            <w:r>
              <w:t>Retrospective CS</w:t>
            </w:r>
          </w:p>
          <w:p w14:paraId="2A655D82" w14:textId="77777777" w:rsidR="00242EBD" w:rsidRDefault="00242EBD" w:rsidP="00861F4D">
            <w:pPr>
              <w:pStyle w:val="Tabletext1"/>
              <w:spacing w:before="40" w:after="40" w:line="288" w:lineRule="auto"/>
            </w:pPr>
            <w:r>
              <w:t>Level IV</w:t>
            </w:r>
          </w:p>
          <w:p w14:paraId="0DC108DD" w14:textId="77777777" w:rsidR="00292821" w:rsidRDefault="00292821" w:rsidP="00861F4D">
            <w:pPr>
              <w:pStyle w:val="Tabletext1"/>
              <w:spacing w:before="40" w:after="40" w:line="288" w:lineRule="auto"/>
            </w:pPr>
            <w:r>
              <w:t>Hospital setting</w:t>
            </w:r>
          </w:p>
          <w:p w14:paraId="417DC872" w14:textId="5C2ED3CB" w:rsidR="00292821" w:rsidRPr="00095CDF" w:rsidRDefault="00292821" w:rsidP="00861F4D">
            <w:pPr>
              <w:pStyle w:val="Tabletext1"/>
              <w:spacing w:before="40" w:after="40" w:line="288" w:lineRule="auto"/>
            </w:pPr>
            <w:r w:rsidRPr="00947665">
              <w:t>mean (range): 10.2 (6.0</w:t>
            </w:r>
            <w:r w:rsidR="00D35E9C">
              <w:t>–</w:t>
            </w:r>
            <w:r w:rsidRPr="00947665">
              <w:t>29.2) months</w:t>
            </w:r>
          </w:p>
        </w:tc>
        <w:tc>
          <w:tcPr>
            <w:tcW w:w="1493" w:type="pct"/>
            <w:tcBorders>
              <w:top w:val="single" w:sz="4" w:space="0" w:color="auto"/>
              <w:left w:val="single" w:sz="4" w:space="0" w:color="auto"/>
              <w:bottom w:val="single" w:sz="4" w:space="0" w:color="auto"/>
              <w:right w:val="single" w:sz="4" w:space="0" w:color="auto"/>
            </w:tcBorders>
          </w:tcPr>
          <w:p w14:paraId="117FA62B" w14:textId="77777777" w:rsidR="00EA3AA8" w:rsidRDefault="00292821" w:rsidP="00861F4D">
            <w:pPr>
              <w:pStyle w:val="Tabletext1"/>
              <w:spacing w:before="40" w:after="40" w:line="288" w:lineRule="auto"/>
            </w:pPr>
            <w:r w:rsidRPr="00947665">
              <w:t>Patients with primary or secondary lung cancer with a maximal tumour diameter of 3 cm, primary tumour control in case of metastases and a maximum of five lesions. Patients were also inoperable or had refused surgery</w:t>
            </w:r>
          </w:p>
          <w:p w14:paraId="6916708C" w14:textId="77777777" w:rsidR="00EA3AA8" w:rsidRDefault="00C10752" w:rsidP="00861F4D">
            <w:pPr>
              <w:pStyle w:val="Tabletext1"/>
              <w:spacing w:before="40" w:after="40" w:line="288" w:lineRule="auto"/>
            </w:pPr>
            <w:r>
              <w:t xml:space="preserve">N = </w:t>
            </w:r>
            <w:r w:rsidR="00292821">
              <w:t>57 (91)</w:t>
            </w:r>
          </w:p>
          <w:p w14:paraId="1CE89C27" w14:textId="77777777" w:rsidR="00EA3AA8" w:rsidRDefault="00EA3AA8" w:rsidP="00861F4D">
            <w:pPr>
              <w:pStyle w:val="Tabletext1"/>
              <w:spacing w:before="40" w:after="40" w:line="288" w:lineRule="auto"/>
            </w:pPr>
            <w:r>
              <w:t>T</w:t>
            </w:r>
            <w:r w:rsidR="00292821">
              <w:t xml:space="preserve">umour size - </w:t>
            </w:r>
            <w:r w:rsidR="00292821" w:rsidRPr="00947665">
              <w:t>mean largest diameter was 18  (range, 5–30m)</w:t>
            </w:r>
          </w:p>
          <w:p w14:paraId="22BB5039" w14:textId="77777777" w:rsidR="00EA3AA8" w:rsidRDefault="00292821" w:rsidP="00861F4D">
            <w:pPr>
              <w:pStyle w:val="Tabletext1"/>
              <w:spacing w:before="40" w:after="40" w:line="288" w:lineRule="auto"/>
            </w:pPr>
            <w:r>
              <w:t>M/F ratio: 27</w:t>
            </w:r>
            <w:r w:rsidR="00EA3AA8">
              <w:t>:30</w:t>
            </w:r>
          </w:p>
          <w:p w14:paraId="07015C33" w14:textId="47AC50C2" w:rsidR="00EA3AA8" w:rsidRDefault="00EA3AA8" w:rsidP="00861F4D">
            <w:pPr>
              <w:pStyle w:val="Tabletext1"/>
              <w:spacing w:before="40" w:after="40" w:line="288" w:lineRule="auto"/>
            </w:pPr>
            <w:r>
              <w:t>M</w:t>
            </w:r>
            <w:r w:rsidR="00292821">
              <w:t xml:space="preserve">ean (range) age: </w:t>
            </w:r>
            <w:r w:rsidR="00292821" w:rsidRPr="00947665">
              <w:t>57.5 (24.9</w:t>
            </w:r>
            <w:r w:rsidR="00D35E9C">
              <w:t>–</w:t>
            </w:r>
            <w:r w:rsidR="00292821" w:rsidRPr="00947665">
              <w:t>80.7)</w:t>
            </w:r>
            <w:r>
              <w:t xml:space="preserve"> years</w:t>
            </w:r>
          </w:p>
          <w:p w14:paraId="5A3ABA90" w14:textId="77777777" w:rsidR="00292821" w:rsidRPr="00095CDF" w:rsidRDefault="00EA3AA8" w:rsidP="00861F4D">
            <w:pPr>
              <w:pStyle w:val="Tabletext1"/>
              <w:spacing w:before="40" w:after="40" w:line="288" w:lineRule="auto"/>
            </w:pPr>
            <w:r>
              <w:t>T</w:t>
            </w:r>
            <w:r w:rsidR="00292821" w:rsidRPr="00947665">
              <w:t>umour of origin was primary bronchogenic carcinoma in 2/57 (3.5%), metastases from bronchogenic carcinoma in 7/57 (12.3%), colorectal carcinoma in 20/57 (35.1%), breast cancer 10/57 (17.5%)</w:t>
            </w:r>
            <w:proofErr w:type="gramStart"/>
            <w:r w:rsidR="00292821" w:rsidRPr="00947665">
              <w:t>,  urothelial</w:t>
            </w:r>
            <w:proofErr w:type="gramEnd"/>
            <w:r w:rsidR="00292821" w:rsidRPr="00947665">
              <w:t xml:space="preserve"> cancer 3/57 (5.3%), other 15/57 (26.3%)</w:t>
            </w:r>
            <w:r w:rsidR="00292821">
              <w:t>.</w:t>
            </w:r>
          </w:p>
        </w:tc>
        <w:tc>
          <w:tcPr>
            <w:tcW w:w="707" w:type="pct"/>
            <w:tcBorders>
              <w:top w:val="single" w:sz="4" w:space="0" w:color="auto"/>
              <w:left w:val="single" w:sz="4" w:space="0" w:color="auto"/>
              <w:bottom w:val="single" w:sz="4" w:space="0" w:color="auto"/>
              <w:right w:val="single" w:sz="4" w:space="0" w:color="auto"/>
            </w:tcBorders>
          </w:tcPr>
          <w:p w14:paraId="1A13FC55" w14:textId="77777777" w:rsidR="004800CB" w:rsidRDefault="004800CB" w:rsidP="00861F4D">
            <w:pPr>
              <w:pStyle w:val="Tabletext1"/>
              <w:spacing w:before="40" w:after="40" w:line="288" w:lineRule="auto"/>
              <w:rPr>
                <w:u w:val="single"/>
              </w:rPr>
            </w:pPr>
            <w:r>
              <w:rPr>
                <w:u w:val="single"/>
              </w:rPr>
              <w:t xml:space="preserve">Intervention: </w:t>
            </w:r>
            <w:r w:rsidRPr="00F13F9C">
              <w:rPr>
                <w:u w:val="single"/>
              </w:rPr>
              <w:t xml:space="preserve">CT-guided </w:t>
            </w:r>
            <w:r w:rsidRPr="004800CB">
              <w:rPr>
                <w:u w:val="single"/>
              </w:rPr>
              <w:t>MTA</w:t>
            </w:r>
          </w:p>
          <w:p w14:paraId="0BC41070" w14:textId="77777777" w:rsidR="004800CB" w:rsidRDefault="004800CB" w:rsidP="00861F4D">
            <w:pPr>
              <w:pStyle w:val="Tabletext1"/>
              <w:spacing w:before="40" w:after="40" w:line="288" w:lineRule="auto"/>
            </w:pPr>
            <w:r>
              <w:t>Conscious sedation</w:t>
            </w:r>
          </w:p>
          <w:p w14:paraId="7BB75E11" w14:textId="5D18BF3B" w:rsidR="00292821" w:rsidRDefault="004800CB" w:rsidP="00861F4D">
            <w:pPr>
              <w:pStyle w:val="Tabletext1"/>
              <w:spacing w:before="40" w:after="40" w:line="288" w:lineRule="auto"/>
            </w:pPr>
            <w:r>
              <w:t>D</w:t>
            </w:r>
            <w:r w:rsidR="00292821" w:rsidRPr="00947665">
              <w:t xml:space="preserve">uration: </w:t>
            </w:r>
            <w:r w:rsidR="00292821">
              <w:t>mean (range) 17.7 (5</w:t>
            </w:r>
            <w:r w:rsidR="00D35E9C">
              <w:t>–</w:t>
            </w:r>
            <w:r w:rsidR="00292821">
              <w:t>30) min</w:t>
            </w:r>
          </w:p>
          <w:p w14:paraId="44A0BA05"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650D37CB" w14:textId="77777777" w:rsidR="00292821" w:rsidRPr="00095CDF" w:rsidRDefault="00292821" w:rsidP="00861F4D">
            <w:pPr>
              <w:pStyle w:val="Tabletext1"/>
              <w:spacing w:before="40" w:after="40" w:line="288" w:lineRule="auto"/>
              <w:ind w:left="34"/>
            </w:pPr>
            <w:r>
              <w:t>1. Adverse events: in accordance with those of the Society of Interventional Radiology Technology Assessment Committee and the International Working Group on Image-Guided Tumour Ablation</w:t>
            </w:r>
          </w:p>
        </w:tc>
      </w:tr>
      <w:tr w:rsidR="00292821" w:rsidRPr="00095CDF" w14:paraId="68E313C7"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094DDE12" w14:textId="77777777" w:rsidR="00292821" w:rsidRDefault="00292821" w:rsidP="00861F4D">
            <w:pPr>
              <w:pStyle w:val="Tabletext1"/>
              <w:spacing w:before="40" w:after="40" w:line="288" w:lineRule="auto"/>
            </w:pPr>
            <w:r>
              <w:lastRenderedPageBreak/>
              <w:t>Wolf et al (2008)</w:t>
            </w:r>
          </w:p>
          <w:p w14:paraId="0B4D16BC" w14:textId="77777777" w:rsidR="00E64926" w:rsidRDefault="00E64926" w:rsidP="00861F4D">
            <w:pPr>
              <w:pStyle w:val="Tabletext1"/>
              <w:spacing w:before="40" w:after="40" w:line="288" w:lineRule="auto"/>
            </w:pPr>
            <w:r>
              <w:t>United States of America</w:t>
            </w:r>
          </w:p>
          <w:p w14:paraId="276DD4A2" w14:textId="77777777" w:rsidR="00E64926" w:rsidRPr="00095CDF" w:rsidRDefault="00E64926"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3B831661" w14:textId="77777777" w:rsidR="00292821" w:rsidRDefault="00292821" w:rsidP="00861F4D">
            <w:pPr>
              <w:pStyle w:val="Tabletext1"/>
              <w:spacing w:before="40" w:after="40" w:line="288" w:lineRule="auto"/>
            </w:pPr>
            <w:r>
              <w:t>Retrospective CS</w:t>
            </w:r>
          </w:p>
          <w:p w14:paraId="2EFE64AD" w14:textId="77777777" w:rsidR="00242EBD" w:rsidRDefault="00242EBD" w:rsidP="00861F4D">
            <w:pPr>
              <w:pStyle w:val="Tabletext1"/>
              <w:spacing w:before="40" w:after="40" w:line="288" w:lineRule="auto"/>
            </w:pPr>
            <w:r>
              <w:t>Level IV</w:t>
            </w:r>
          </w:p>
          <w:p w14:paraId="706907BA" w14:textId="77777777" w:rsidR="00292821" w:rsidRDefault="00292821" w:rsidP="00861F4D">
            <w:pPr>
              <w:pStyle w:val="Tabletext1"/>
              <w:spacing w:before="40" w:after="40" w:line="288" w:lineRule="auto"/>
            </w:pPr>
            <w:r>
              <w:t>Risk of bias: High</w:t>
            </w:r>
          </w:p>
          <w:p w14:paraId="085A6455" w14:textId="77777777" w:rsidR="00292821" w:rsidRPr="00095CDF" w:rsidRDefault="00292821" w:rsidP="00861F4D">
            <w:pPr>
              <w:pStyle w:val="Tabletext1"/>
              <w:spacing w:before="40" w:after="40" w:line="288" w:lineRule="auto"/>
            </w:pPr>
            <w:r w:rsidRPr="00041303">
              <w:t>mean (SD): 10 (6.8) months</w:t>
            </w:r>
          </w:p>
        </w:tc>
        <w:tc>
          <w:tcPr>
            <w:tcW w:w="1493" w:type="pct"/>
            <w:tcBorders>
              <w:top w:val="single" w:sz="4" w:space="0" w:color="auto"/>
              <w:left w:val="single" w:sz="4" w:space="0" w:color="auto"/>
              <w:bottom w:val="single" w:sz="4" w:space="0" w:color="auto"/>
              <w:right w:val="single" w:sz="4" w:space="0" w:color="auto"/>
            </w:tcBorders>
          </w:tcPr>
          <w:p w14:paraId="0EC7CACD" w14:textId="77777777" w:rsidR="00EA3AA8" w:rsidRDefault="00292821" w:rsidP="00861F4D">
            <w:pPr>
              <w:pStyle w:val="Tabletext1"/>
              <w:spacing w:before="40" w:after="40" w:line="288" w:lineRule="auto"/>
            </w:pPr>
            <w:r w:rsidRPr="00947665">
              <w:t>Patients with primary or secondary lung cancer who were deemed medically inoperable or refused surgery</w:t>
            </w:r>
          </w:p>
          <w:p w14:paraId="21BBDD9C" w14:textId="77777777" w:rsidR="00EA3AA8" w:rsidRDefault="00C10752" w:rsidP="00861F4D">
            <w:pPr>
              <w:pStyle w:val="Tabletext1"/>
              <w:spacing w:before="40" w:after="40" w:line="288" w:lineRule="auto"/>
            </w:pPr>
            <w:r>
              <w:t xml:space="preserve">N = </w:t>
            </w:r>
            <w:r w:rsidR="00EA3AA8">
              <w:t>82 (NR)</w:t>
            </w:r>
            <w:r w:rsidR="00292821">
              <w:t xml:space="preserve"> </w:t>
            </w:r>
          </w:p>
          <w:p w14:paraId="3F3179EC" w14:textId="77777777" w:rsidR="00EA3AA8" w:rsidRDefault="00EA3AA8" w:rsidP="00861F4D">
            <w:pPr>
              <w:pStyle w:val="Tabletext1"/>
              <w:spacing w:before="40" w:after="40" w:line="288" w:lineRule="auto"/>
            </w:pPr>
            <w:r>
              <w:t>T</w:t>
            </w:r>
            <w:r w:rsidR="00292821">
              <w:t xml:space="preserve">umour size – mean (SD): </w:t>
            </w:r>
            <w:r w:rsidR="00292821" w:rsidRPr="00041303">
              <w:t>35 (16)</w:t>
            </w:r>
            <w:r>
              <w:t xml:space="preserve"> mm</w:t>
            </w:r>
          </w:p>
          <w:p w14:paraId="681F1AD0" w14:textId="77777777" w:rsidR="00EA3AA8" w:rsidRDefault="00EA3AA8" w:rsidP="00861F4D">
            <w:pPr>
              <w:pStyle w:val="Tabletext1"/>
              <w:spacing w:before="40" w:after="40" w:line="288" w:lineRule="auto"/>
            </w:pPr>
            <w:r>
              <w:t>M/F ratio: 28:22</w:t>
            </w:r>
          </w:p>
          <w:p w14:paraId="0C5493BA" w14:textId="77777777" w:rsidR="00EA3AA8" w:rsidRDefault="00EA3AA8" w:rsidP="00861F4D">
            <w:pPr>
              <w:pStyle w:val="Tabletext1"/>
              <w:spacing w:before="40" w:after="40" w:line="288" w:lineRule="auto"/>
            </w:pPr>
            <w:r>
              <w:t>M</w:t>
            </w:r>
            <w:r w:rsidR="00292821">
              <w:t xml:space="preserve">ean (SD) age: </w:t>
            </w:r>
            <w:r w:rsidR="00292821" w:rsidRPr="00041303">
              <w:t>70 (15)</w:t>
            </w:r>
            <w:r>
              <w:t xml:space="preserve"> years</w:t>
            </w:r>
          </w:p>
          <w:p w14:paraId="23B40B35" w14:textId="77777777" w:rsidR="00292821" w:rsidRPr="00095CDF" w:rsidRDefault="00EA3AA8" w:rsidP="00861F4D">
            <w:pPr>
              <w:pStyle w:val="Tabletext1"/>
              <w:spacing w:before="40" w:after="40" w:line="288" w:lineRule="auto"/>
            </w:pPr>
            <w:r>
              <w:t>P</w:t>
            </w:r>
            <w:r w:rsidR="00292821" w:rsidRPr="00041303">
              <w:t>rimary NSCLC 27/50 (54%), metastases were 23/57 (46%) colorectal 9/23, breast 3/23, hepatocellular 2/23, head and neck 2/23, rhabdomyosarcoma 1/23, bladder 1/23, uterine 1/23, renal cell 1/23</w:t>
            </w:r>
            <w:r w:rsidR="00292821">
              <w:t>.</w:t>
            </w:r>
          </w:p>
        </w:tc>
        <w:tc>
          <w:tcPr>
            <w:tcW w:w="707" w:type="pct"/>
            <w:tcBorders>
              <w:top w:val="single" w:sz="4" w:space="0" w:color="auto"/>
              <w:left w:val="single" w:sz="4" w:space="0" w:color="auto"/>
              <w:bottom w:val="single" w:sz="4" w:space="0" w:color="auto"/>
              <w:right w:val="single" w:sz="4" w:space="0" w:color="auto"/>
            </w:tcBorders>
          </w:tcPr>
          <w:p w14:paraId="4D1EB26A" w14:textId="77777777" w:rsidR="004800CB" w:rsidRDefault="004800CB" w:rsidP="00861F4D">
            <w:pPr>
              <w:pStyle w:val="Tabletext1"/>
              <w:spacing w:before="40" w:after="40" w:line="288" w:lineRule="auto"/>
              <w:rPr>
                <w:u w:val="single"/>
              </w:rPr>
            </w:pPr>
            <w:r>
              <w:rPr>
                <w:u w:val="single"/>
              </w:rPr>
              <w:t xml:space="preserve">Intervention: </w:t>
            </w:r>
            <w:r w:rsidRPr="00F13F9C">
              <w:rPr>
                <w:u w:val="single"/>
              </w:rPr>
              <w:t xml:space="preserve">CT-guided </w:t>
            </w:r>
            <w:r w:rsidRPr="004800CB">
              <w:rPr>
                <w:u w:val="single"/>
              </w:rPr>
              <w:t>MTA</w:t>
            </w:r>
          </w:p>
          <w:p w14:paraId="2DAF7542" w14:textId="77777777" w:rsidR="004800CB" w:rsidRDefault="004800CB" w:rsidP="00861F4D">
            <w:pPr>
              <w:pStyle w:val="Tabletext1"/>
              <w:spacing w:before="40" w:after="40" w:line="288" w:lineRule="auto"/>
            </w:pPr>
          </w:p>
          <w:p w14:paraId="3F323C45" w14:textId="77777777" w:rsidR="003D7E37" w:rsidRDefault="003D7E37" w:rsidP="00861F4D">
            <w:pPr>
              <w:pStyle w:val="Tabletext1"/>
              <w:spacing w:before="40" w:after="40" w:line="288" w:lineRule="auto"/>
            </w:pPr>
            <w:r>
              <w:t>Conscious sedation</w:t>
            </w:r>
          </w:p>
          <w:p w14:paraId="053EEE00" w14:textId="08C971F1" w:rsidR="00292821" w:rsidRDefault="003D7E37" w:rsidP="00861F4D">
            <w:pPr>
              <w:pStyle w:val="Tabletext1"/>
              <w:spacing w:before="40" w:after="40" w:line="288" w:lineRule="auto"/>
            </w:pPr>
            <w:r>
              <w:t>D</w:t>
            </w:r>
            <w:r w:rsidR="00292821" w:rsidRPr="00041303">
              <w:t>ration: tumours had an average (SD) number of applications of 2 (1) and each application lasted 7</w:t>
            </w:r>
            <w:r w:rsidR="00D35E9C">
              <w:t>–</w:t>
            </w:r>
            <w:r w:rsidR="00292821" w:rsidRPr="00041303">
              <w:t>10 minutes</w:t>
            </w:r>
          </w:p>
          <w:p w14:paraId="5A3D1BB0" w14:textId="77777777" w:rsidR="003D7E37" w:rsidRPr="00095CDF" w:rsidRDefault="003D7E37" w:rsidP="00861F4D">
            <w:pPr>
              <w:pStyle w:val="Tabletext1"/>
              <w:spacing w:before="40" w:after="40" w:line="288" w:lineRule="auto"/>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755C16C9" w14:textId="77777777" w:rsidR="00292821" w:rsidRPr="00095CDF" w:rsidRDefault="00292821" w:rsidP="00861F4D">
            <w:pPr>
              <w:pStyle w:val="Tabletext1"/>
              <w:spacing w:before="40" w:after="40" w:line="288" w:lineRule="auto"/>
              <w:ind w:left="34"/>
            </w:pPr>
            <w:r>
              <w:t>1. Adverse events: Immediate, peri procedural, and delayed complications were recorded on a per-treatment basis and were classified in accordance with the Common Terminology Criteria for Adverse Events (CTCAE) of the National Cancer Institute</w:t>
            </w:r>
          </w:p>
        </w:tc>
      </w:tr>
      <w:tr w:rsidR="00292821" w:rsidRPr="00095CDF" w14:paraId="766E5EF5"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6A7AB5BF" w14:textId="77777777" w:rsidR="00292821" w:rsidRDefault="00292821" w:rsidP="00861F4D">
            <w:pPr>
              <w:pStyle w:val="Tabletext1"/>
              <w:spacing w:before="40" w:after="40" w:line="288" w:lineRule="auto"/>
            </w:pPr>
            <w:r>
              <w:t>Yang et al (2015)</w:t>
            </w:r>
          </w:p>
          <w:p w14:paraId="009B5547" w14:textId="77777777" w:rsidR="00E64926" w:rsidRDefault="00E64926" w:rsidP="00861F4D">
            <w:pPr>
              <w:pStyle w:val="Tabletext1"/>
              <w:spacing w:before="40" w:after="40" w:line="288" w:lineRule="auto"/>
            </w:pPr>
            <w:r>
              <w:t>China</w:t>
            </w:r>
          </w:p>
          <w:p w14:paraId="6223460E" w14:textId="77777777" w:rsidR="00E64926" w:rsidRPr="00095CDF" w:rsidRDefault="00E64926"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7E4368F1" w14:textId="77777777" w:rsidR="00292821" w:rsidRDefault="00292821" w:rsidP="00861F4D">
            <w:pPr>
              <w:pStyle w:val="Tabletext1"/>
              <w:spacing w:before="40" w:after="40" w:line="288" w:lineRule="auto"/>
            </w:pPr>
            <w:r>
              <w:t>Retrospective CS</w:t>
            </w:r>
          </w:p>
          <w:p w14:paraId="7B1DD364" w14:textId="77777777" w:rsidR="00242EBD" w:rsidRDefault="00242EBD" w:rsidP="00861F4D">
            <w:pPr>
              <w:pStyle w:val="Tabletext1"/>
              <w:spacing w:before="40" w:after="40" w:line="288" w:lineRule="auto"/>
            </w:pPr>
            <w:r>
              <w:t>Level IV</w:t>
            </w:r>
          </w:p>
          <w:p w14:paraId="4243AE9F" w14:textId="77777777" w:rsidR="00292821" w:rsidRDefault="00292821" w:rsidP="00861F4D">
            <w:pPr>
              <w:pStyle w:val="Tabletext1"/>
              <w:spacing w:before="40" w:after="40" w:line="288" w:lineRule="auto"/>
            </w:pPr>
            <w:r>
              <w:t>Risk of bias: High</w:t>
            </w:r>
          </w:p>
          <w:p w14:paraId="398ED703" w14:textId="77777777" w:rsidR="00292821" w:rsidRDefault="00292821" w:rsidP="00861F4D">
            <w:pPr>
              <w:pStyle w:val="Tabletext1"/>
              <w:spacing w:before="40" w:after="40" w:line="288" w:lineRule="auto"/>
            </w:pPr>
            <w:r>
              <w:t>Hospital setting</w:t>
            </w:r>
          </w:p>
          <w:p w14:paraId="37DB7258" w14:textId="77777777" w:rsidR="00292821" w:rsidRDefault="00292821" w:rsidP="00861F4D">
            <w:pPr>
              <w:pStyle w:val="Tabletext1"/>
              <w:spacing w:before="40" w:after="40" w:line="288" w:lineRule="auto"/>
            </w:pPr>
            <w:r>
              <w:t>Patients had a</w:t>
            </w:r>
            <w:r w:rsidRPr="00041303">
              <w:t>t least one 6 month follow-up</w:t>
            </w:r>
          </w:p>
          <w:p w14:paraId="78BE7527" w14:textId="77777777" w:rsidR="00292821" w:rsidRPr="00095CDF" w:rsidRDefault="00292821" w:rsidP="00861F4D">
            <w:pPr>
              <w:pStyle w:val="Tabletext1"/>
              <w:spacing w:before="40" w:after="40" w:line="288" w:lineRule="auto"/>
            </w:pPr>
          </w:p>
        </w:tc>
        <w:tc>
          <w:tcPr>
            <w:tcW w:w="1493" w:type="pct"/>
            <w:tcBorders>
              <w:top w:val="single" w:sz="4" w:space="0" w:color="auto"/>
              <w:left w:val="single" w:sz="4" w:space="0" w:color="auto"/>
              <w:bottom w:val="single" w:sz="4" w:space="0" w:color="auto"/>
              <w:right w:val="single" w:sz="4" w:space="0" w:color="auto"/>
            </w:tcBorders>
          </w:tcPr>
          <w:p w14:paraId="3DA15B8B" w14:textId="77777777" w:rsidR="00EA3AA8" w:rsidRDefault="00292821" w:rsidP="00861F4D">
            <w:pPr>
              <w:pStyle w:val="Tabletext1"/>
              <w:spacing w:before="40" w:after="40" w:line="288" w:lineRule="auto"/>
            </w:pPr>
            <w:r w:rsidRPr="00041303">
              <w:t xml:space="preserve">Patients with primary or secondary lung cancer who underwent </w:t>
            </w:r>
            <w:r w:rsidR="00814C4F" w:rsidRPr="00041303">
              <w:t>M</w:t>
            </w:r>
            <w:r w:rsidR="00814C4F">
              <w:t>T</w:t>
            </w:r>
            <w:r w:rsidR="00814C4F" w:rsidRPr="00041303">
              <w:t xml:space="preserve">A </w:t>
            </w:r>
            <w:r w:rsidRPr="00041303">
              <w:t>with or without inducti</w:t>
            </w:r>
            <w:r w:rsidR="00EA3AA8">
              <w:t>on of an artificial pneumothorax</w:t>
            </w:r>
          </w:p>
          <w:p w14:paraId="7241BF6E" w14:textId="77777777" w:rsidR="00EA3AA8" w:rsidRDefault="00C10752" w:rsidP="00861F4D">
            <w:pPr>
              <w:pStyle w:val="Tabletext1"/>
              <w:spacing w:before="40" w:after="40" w:line="288" w:lineRule="auto"/>
            </w:pPr>
            <w:r>
              <w:t xml:space="preserve">N = </w:t>
            </w:r>
            <w:r w:rsidR="00EA3AA8">
              <w:t>36 (40)</w:t>
            </w:r>
          </w:p>
          <w:p w14:paraId="5F59DA4B" w14:textId="77777777" w:rsidR="00EA3AA8" w:rsidRDefault="00EA3AA8" w:rsidP="00861F4D">
            <w:pPr>
              <w:pStyle w:val="Tabletext1"/>
              <w:spacing w:before="40" w:after="40" w:line="288" w:lineRule="auto"/>
            </w:pPr>
            <w:r>
              <w:t>T</w:t>
            </w:r>
            <w:r w:rsidR="00292821">
              <w:t xml:space="preserve">umour-size </w:t>
            </w:r>
            <w:r w:rsidR="00292821" w:rsidRPr="00041303">
              <w:t>mean (</w:t>
            </w:r>
            <w:r w:rsidR="00292821">
              <w:t>SD</w:t>
            </w:r>
            <w:r w:rsidR="00292821" w:rsidRPr="00041303">
              <w:t>): 29.4 (5.8)</w:t>
            </w:r>
            <w:r>
              <w:t xml:space="preserve"> mm</w:t>
            </w:r>
          </w:p>
          <w:p w14:paraId="1518487D" w14:textId="77777777" w:rsidR="00EA3AA8" w:rsidRDefault="00EA3AA8" w:rsidP="00861F4D">
            <w:pPr>
              <w:pStyle w:val="Tabletext1"/>
              <w:spacing w:before="40" w:after="40" w:line="288" w:lineRule="auto"/>
            </w:pPr>
            <w:r>
              <w:t>M/F ratio: 20:16</w:t>
            </w:r>
          </w:p>
          <w:p w14:paraId="5FA1A3B2" w14:textId="77777777" w:rsidR="00EA3AA8" w:rsidRDefault="00EA3AA8" w:rsidP="00861F4D">
            <w:pPr>
              <w:pStyle w:val="Tabletext1"/>
              <w:spacing w:before="40" w:after="40" w:line="288" w:lineRule="auto"/>
            </w:pPr>
            <w:r>
              <w:t>M</w:t>
            </w:r>
            <w:r w:rsidR="00292821">
              <w:t xml:space="preserve">ean (SD) age: </w:t>
            </w:r>
            <w:r w:rsidR="00292821" w:rsidRPr="00041303">
              <w:t>63.6 (10)</w:t>
            </w:r>
            <w:r>
              <w:t xml:space="preserve"> years</w:t>
            </w:r>
          </w:p>
          <w:p w14:paraId="5711DE05" w14:textId="77777777" w:rsidR="00292821" w:rsidRPr="00095CDF" w:rsidRDefault="00292821" w:rsidP="00861F4D">
            <w:pPr>
              <w:pStyle w:val="Tabletext1"/>
              <w:spacing w:before="40" w:after="40" w:line="288" w:lineRule="auto"/>
            </w:pPr>
            <w:r w:rsidRPr="00041303">
              <w:t>Primary lung cancer 8/17 (47.1%), metastatic with primaries from: breast cancer 4/17 (23.5%), colorectal cancer 4/17 (23.5%), kidney cancer 1/17 (5.9%)</w:t>
            </w:r>
            <w:r>
              <w:t xml:space="preserve"> in patients with artificial pneumothorax, </w:t>
            </w:r>
            <w:r w:rsidRPr="00041303">
              <w:t>Primary lung cancer: 8/19 (42.1%), metastatic of which the primary was breast 6/19 (31.6%), colorectal cancer 5/19 (26.3%)</w:t>
            </w:r>
            <w:r>
              <w:t xml:space="preserve"> in patients without artificial pneumothorax.</w:t>
            </w:r>
          </w:p>
        </w:tc>
        <w:tc>
          <w:tcPr>
            <w:tcW w:w="707" w:type="pct"/>
            <w:tcBorders>
              <w:top w:val="single" w:sz="4" w:space="0" w:color="auto"/>
              <w:left w:val="single" w:sz="4" w:space="0" w:color="auto"/>
              <w:bottom w:val="single" w:sz="4" w:space="0" w:color="auto"/>
              <w:right w:val="single" w:sz="4" w:space="0" w:color="auto"/>
            </w:tcBorders>
          </w:tcPr>
          <w:p w14:paraId="637F5768" w14:textId="77777777" w:rsidR="003D7E37" w:rsidRDefault="003D7E37" w:rsidP="00861F4D">
            <w:pPr>
              <w:pStyle w:val="Tabletext1"/>
              <w:spacing w:before="40" w:after="40" w:line="288" w:lineRule="auto"/>
            </w:pPr>
            <w:r>
              <w:rPr>
                <w:u w:val="single"/>
              </w:rPr>
              <w:t xml:space="preserve">Intervention: </w:t>
            </w:r>
            <w:r w:rsidRPr="00F13F9C">
              <w:rPr>
                <w:u w:val="single"/>
              </w:rPr>
              <w:t xml:space="preserve">CT-guided </w:t>
            </w:r>
            <w:r>
              <w:rPr>
                <w:u w:val="single"/>
              </w:rPr>
              <w:t xml:space="preserve">MTA </w:t>
            </w:r>
            <w:r w:rsidR="00292821" w:rsidRPr="003D7E37">
              <w:rPr>
                <w:u w:val="single"/>
              </w:rPr>
              <w:t>with artificial pneumothorax</w:t>
            </w:r>
          </w:p>
          <w:p w14:paraId="274918B5" w14:textId="77777777" w:rsidR="003D7E37" w:rsidRDefault="003D7E37" w:rsidP="00861F4D">
            <w:pPr>
              <w:pStyle w:val="Tabletext1"/>
              <w:spacing w:before="40" w:after="40" w:line="288" w:lineRule="auto"/>
            </w:pPr>
            <w:r>
              <w:t>Anaesthesia: unclear</w:t>
            </w:r>
          </w:p>
          <w:p w14:paraId="3A45AF1F" w14:textId="77777777" w:rsidR="00292821" w:rsidRPr="003D7E37" w:rsidRDefault="003D7E37" w:rsidP="00861F4D">
            <w:pPr>
              <w:pStyle w:val="Tabletext1"/>
              <w:spacing w:before="40" w:after="40" w:line="288" w:lineRule="auto"/>
              <w:rPr>
                <w:u w:val="single"/>
              </w:rPr>
            </w:pPr>
            <w:r>
              <w:t>D</w:t>
            </w:r>
            <w:r w:rsidR="00292821" w:rsidRPr="00041303">
              <w:t xml:space="preserve">uration: </w:t>
            </w:r>
            <w:r>
              <w:t>mean (SD) 5.9 (1.8)</w:t>
            </w:r>
          </w:p>
          <w:p w14:paraId="1E5C0A29" w14:textId="77777777" w:rsidR="003D7E37" w:rsidRDefault="003D7E37" w:rsidP="00861F4D">
            <w:pPr>
              <w:pStyle w:val="Tabletext1"/>
              <w:spacing w:before="40" w:after="40" w:line="288" w:lineRule="auto"/>
            </w:pPr>
            <w:r w:rsidRPr="003D7E37">
              <w:rPr>
                <w:u w:val="single"/>
              </w:rPr>
              <w:t xml:space="preserve">Comparator: </w:t>
            </w:r>
            <w:r w:rsidR="00292821" w:rsidRPr="003D7E37">
              <w:rPr>
                <w:u w:val="single"/>
              </w:rPr>
              <w:t>Percutaneous MTA under CT guidance without artificial pneumothorax</w:t>
            </w:r>
          </w:p>
          <w:p w14:paraId="4BFE8ED3" w14:textId="77777777" w:rsidR="003D7E37" w:rsidRDefault="003D7E37" w:rsidP="00861F4D">
            <w:pPr>
              <w:pStyle w:val="Tabletext1"/>
              <w:spacing w:before="40" w:after="40" w:line="288" w:lineRule="auto"/>
            </w:pPr>
            <w:r>
              <w:t>Anaesthesia: unclear</w:t>
            </w:r>
          </w:p>
          <w:p w14:paraId="7FBA1CE0" w14:textId="77777777" w:rsidR="00292821" w:rsidRPr="00095CDF" w:rsidRDefault="003D7E37" w:rsidP="00861F4D">
            <w:pPr>
              <w:pStyle w:val="Tabletext1"/>
              <w:spacing w:before="40" w:after="40" w:line="288" w:lineRule="auto"/>
            </w:pPr>
            <w:r>
              <w:t>D</w:t>
            </w:r>
            <w:r w:rsidR="00292821" w:rsidRPr="00041303">
              <w:t xml:space="preserve">uration: mean (SD) </w:t>
            </w:r>
            <w:r w:rsidR="00292821">
              <w:t>5.3 (1.9)</w:t>
            </w:r>
          </w:p>
        </w:tc>
        <w:tc>
          <w:tcPr>
            <w:tcW w:w="1497" w:type="pct"/>
            <w:tcBorders>
              <w:top w:val="single" w:sz="4" w:space="0" w:color="auto"/>
              <w:left w:val="single" w:sz="4" w:space="0" w:color="auto"/>
              <w:bottom w:val="single" w:sz="4" w:space="0" w:color="auto"/>
              <w:right w:val="single" w:sz="4" w:space="0" w:color="auto"/>
            </w:tcBorders>
          </w:tcPr>
          <w:p w14:paraId="21F2B09E" w14:textId="77777777" w:rsidR="00292821" w:rsidRPr="00095CDF" w:rsidRDefault="00292821" w:rsidP="00861F4D">
            <w:pPr>
              <w:pStyle w:val="Tabletext1"/>
              <w:spacing w:before="40" w:after="40" w:line="288" w:lineRule="auto"/>
              <w:ind w:left="34"/>
            </w:pPr>
            <w:r>
              <w:t>1. Adverse events: assessed according to the standards drafted by the International Working Group on Imagine</w:t>
            </w:r>
            <w:r>
              <w:rPr>
                <w:rFonts w:ascii="MS Gothic" w:eastAsia="MS Gothic" w:hAnsi="MS Gothic" w:cs="MS Gothic" w:hint="eastAsia"/>
              </w:rPr>
              <w:t>‑</w:t>
            </w:r>
            <w:r>
              <w:t>Guided Tumor Ablation in 2005</w:t>
            </w:r>
          </w:p>
        </w:tc>
      </w:tr>
      <w:tr w:rsidR="00292821" w:rsidRPr="00095CDF" w14:paraId="1CEBD36E" w14:textId="77777777" w:rsidTr="008605F3">
        <w:trPr>
          <w:cantSplit/>
          <w:trHeight w:val="319"/>
        </w:trPr>
        <w:tc>
          <w:tcPr>
            <w:tcW w:w="565" w:type="pct"/>
            <w:tcBorders>
              <w:top w:val="single" w:sz="4" w:space="0" w:color="auto"/>
              <w:left w:val="single" w:sz="4" w:space="0" w:color="auto"/>
              <w:bottom w:val="single" w:sz="4" w:space="0" w:color="auto"/>
              <w:right w:val="single" w:sz="4" w:space="0" w:color="auto"/>
            </w:tcBorders>
          </w:tcPr>
          <w:p w14:paraId="033DDABD" w14:textId="77777777" w:rsidR="00292821" w:rsidRDefault="00292821" w:rsidP="00861F4D">
            <w:pPr>
              <w:pStyle w:val="Tabletext1"/>
              <w:spacing w:before="40" w:after="40" w:line="288" w:lineRule="auto"/>
            </w:pPr>
            <w:r>
              <w:lastRenderedPageBreak/>
              <w:t>Zheng at al (2014)</w:t>
            </w:r>
          </w:p>
          <w:p w14:paraId="76FD3057" w14:textId="77777777" w:rsidR="00E64926" w:rsidRDefault="00E64926" w:rsidP="00861F4D">
            <w:pPr>
              <w:pStyle w:val="Tabletext1"/>
              <w:spacing w:before="40" w:after="40" w:line="288" w:lineRule="auto"/>
            </w:pPr>
            <w:r>
              <w:t>China</w:t>
            </w:r>
          </w:p>
          <w:p w14:paraId="6A3475D6" w14:textId="77777777" w:rsidR="00E64926" w:rsidRPr="00095CDF" w:rsidRDefault="00E64926" w:rsidP="00861F4D">
            <w:pPr>
              <w:pStyle w:val="Tabletext1"/>
              <w:spacing w:before="40" w:after="40" w:line="288" w:lineRule="auto"/>
            </w:pPr>
          </w:p>
        </w:tc>
        <w:tc>
          <w:tcPr>
            <w:tcW w:w="738" w:type="pct"/>
            <w:gridSpan w:val="2"/>
            <w:tcBorders>
              <w:top w:val="single" w:sz="4" w:space="0" w:color="auto"/>
              <w:left w:val="single" w:sz="4" w:space="0" w:color="auto"/>
              <w:bottom w:val="single" w:sz="4" w:space="0" w:color="auto"/>
              <w:right w:val="single" w:sz="4" w:space="0" w:color="auto"/>
            </w:tcBorders>
          </w:tcPr>
          <w:p w14:paraId="799989CD" w14:textId="77777777" w:rsidR="00292821" w:rsidRDefault="00292821" w:rsidP="00861F4D">
            <w:pPr>
              <w:pStyle w:val="Tabletext1"/>
              <w:spacing w:before="40" w:after="40" w:line="288" w:lineRule="auto"/>
            </w:pPr>
            <w:r>
              <w:t>Retrospective CS</w:t>
            </w:r>
          </w:p>
          <w:p w14:paraId="12486F5E" w14:textId="77777777" w:rsidR="00292821" w:rsidRDefault="00242EBD" w:rsidP="00861F4D">
            <w:pPr>
              <w:pStyle w:val="Tabletext1"/>
              <w:spacing w:before="40" w:after="40" w:line="288" w:lineRule="auto"/>
            </w:pPr>
            <w:r>
              <w:t xml:space="preserve">Level </w:t>
            </w:r>
            <w:r w:rsidR="00292821">
              <w:t>IV</w:t>
            </w:r>
          </w:p>
          <w:p w14:paraId="7FE52038" w14:textId="77777777" w:rsidR="00292821" w:rsidRDefault="00292821" w:rsidP="00861F4D">
            <w:pPr>
              <w:pStyle w:val="Tabletext1"/>
              <w:spacing w:before="40" w:after="40" w:line="288" w:lineRule="auto"/>
            </w:pPr>
            <w:r>
              <w:t>Risk of bias: High</w:t>
            </w:r>
          </w:p>
          <w:p w14:paraId="1411F198" w14:textId="77777777" w:rsidR="00292821" w:rsidRDefault="00292821" w:rsidP="00861F4D">
            <w:pPr>
              <w:pStyle w:val="Tabletext1"/>
              <w:spacing w:before="40" w:after="40" w:line="288" w:lineRule="auto"/>
            </w:pPr>
            <w:r>
              <w:t>Hospital setting</w:t>
            </w:r>
          </w:p>
          <w:p w14:paraId="0F6E0167" w14:textId="77777777" w:rsidR="00292821" w:rsidRPr="00095CDF" w:rsidRDefault="00292821" w:rsidP="00861F4D">
            <w:pPr>
              <w:pStyle w:val="Tabletext1"/>
              <w:spacing w:before="40" w:after="40" w:line="288" w:lineRule="auto"/>
            </w:pPr>
            <w:r>
              <w:t>NR</w:t>
            </w:r>
          </w:p>
        </w:tc>
        <w:tc>
          <w:tcPr>
            <w:tcW w:w="1493" w:type="pct"/>
            <w:tcBorders>
              <w:top w:val="single" w:sz="4" w:space="0" w:color="auto"/>
              <w:left w:val="single" w:sz="4" w:space="0" w:color="auto"/>
              <w:bottom w:val="single" w:sz="4" w:space="0" w:color="auto"/>
              <w:right w:val="single" w:sz="4" w:space="0" w:color="auto"/>
            </w:tcBorders>
          </w:tcPr>
          <w:p w14:paraId="0A389434" w14:textId="77777777" w:rsidR="00EA3AA8" w:rsidRDefault="00292821" w:rsidP="00861F4D">
            <w:pPr>
              <w:pStyle w:val="Tabletext1"/>
              <w:spacing w:before="40" w:after="40" w:line="288" w:lineRule="auto"/>
            </w:pPr>
            <w:r w:rsidRPr="009566F3">
              <w:t xml:space="preserve">Patients with primary or secondary lung tumours treated by </w:t>
            </w:r>
            <w:r w:rsidR="00814C4F" w:rsidRPr="009566F3">
              <w:t>M</w:t>
            </w:r>
            <w:r w:rsidR="00814C4F">
              <w:t>T</w:t>
            </w:r>
            <w:r w:rsidR="00814C4F" w:rsidRPr="009566F3">
              <w:t xml:space="preserve">A </w:t>
            </w:r>
            <w:r w:rsidRPr="009566F3">
              <w:t>who were considered unsuitable for surgery or who refused surgery</w:t>
            </w:r>
          </w:p>
          <w:p w14:paraId="379A42D1" w14:textId="77777777" w:rsidR="00EA3AA8" w:rsidRDefault="00C10752" w:rsidP="00861F4D">
            <w:pPr>
              <w:pStyle w:val="Tabletext1"/>
              <w:spacing w:before="40" w:after="40" w:line="288" w:lineRule="auto"/>
            </w:pPr>
            <w:r>
              <w:t xml:space="preserve">N = </w:t>
            </w:r>
            <w:r w:rsidR="00EA3AA8">
              <w:t>184 (253)</w:t>
            </w:r>
          </w:p>
          <w:p w14:paraId="3402210C" w14:textId="77777777" w:rsidR="00EA3AA8" w:rsidRDefault="00EA3AA8" w:rsidP="00861F4D">
            <w:pPr>
              <w:pStyle w:val="Tabletext1"/>
              <w:spacing w:before="40" w:after="40" w:line="288" w:lineRule="auto"/>
            </w:pPr>
            <w:r>
              <w:t>T</w:t>
            </w:r>
            <w:r w:rsidR="00292821">
              <w:t xml:space="preserve">umour size - </w:t>
            </w:r>
            <w:r w:rsidR="00292821" w:rsidRPr="009566F3">
              <w:t>mean (SD): 32.9 (19.3)</w:t>
            </w:r>
            <w:r>
              <w:t xml:space="preserve"> mm</w:t>
            </w:r>
            <w:r w:rsidR="00292821">
              <w:t xml:space="preserve"> </w:t>
            </w:r>
          </w:p>
          <w:p w14:paraId="50BA8A06" w14:textId="77777777" w:rsidR="00EA3AA8" w:rsidRDefault="00EA3AA8" w:rsidP="00861F4D">
            <w:pPr>
              <w:pStyle w:val="Tabletext1"/>
              <w:spacing w:before="40" w:after="40" w:line="288" w:lineRule="auto"/>
            </w:pPr>
            <w:r>
              <w:t>M/F ratio: 117:67</w:t>
            </w:r>
          </w:p>
          <w:p w14:paraId="1F4DD8A8" w14:textId="288622CB" w:rsidR="00EA3AA8" w:rsidRDefault="00EA3AA8" w:rsidP="00861F4D">
            <w:pPr>
              <w:pStyle w:val="Tabletext1"/>
              <w:spacing w:before="40" w:after="40" w:line="288" w:lineRule="auto"/>
            </w:pPr>
            <w:r>
              <w:t>M</w:t>
            </w:r>
            <w:r w:rsidR="00292821">
              <w:t xml:space="preserve">ean (range) age: </w:t>
            </w:r>
            <w:r w:rsidR="00292821" w:rsidRPr="009566F3">
              <w:t>61.5 (19</w:t>
            </w:r>
            <w:r w:rsidR="00D35E9C">
              <w:t>–</w:t>
            </w:r>
            <w:r w:rsidR="00292821" w:rsidRPr="009566F3">
              <w:t>85)</w:t>
            </w:r>
            <w:r w:rsidR="00292821">
              <w:t xml:space="preserve"> years</w:t>
            </w:r>
          </w:p>
          <w:p w14:paraId="087D5BA8" w14:textId="77777777" w:rsidR="00292821" w:rsidRPr="00095CDF" w:rsidRDefault="00EA3AA8" w:rsidP="00861F4D">
            <w:pPr>
              <w:pStyle w:val="Tabletext1"/>
              <w:spacing w:before="40" w:after="40" w:line="288" w:lineRule="auto"/>
            </w:pPr>
            <w:r>
              <w:t>P</w:t>
            </w:r>
            <w:r w:rsidR="00292821" w:rsidRPr="009566F3">
              <w:t>rimary cancer: 148/204 (72.5%) procedures, metastasis: 56/204 (27.5%) of procedures</w:t>
            </w:r>
          </w:p>
        </w:tc>
        <w:tc>
          <w:tcPr>
            <w:tcW w:w="707" w:type="pct"/>
            <w:tcBorders>
              <w:top w:val="single" w:sz="4" w:space="0" w:color="auto"/>
              <w:left w:val="single" w:sz="4" w:space="0" w:color="auto"/>
              <w:bottom w:val="single" w:sz="4" w:space="0" w:color="auto"/>
              <w:right w:val="single" w:sz="4" w:space="0" w:color="auto"/>
            </w:tcBorders>
          </w:tcPr>
          <w:p w14:paraId="4C31FF77" w14:textId="77777777" w:rsidR="003D7E37" w:rsidRDefault="003D7E37" w:rsidP="00861F4D">
            <w:pPr>
              <w:pStyle w:val="Tabletext1"/>
              <w:spacing w:before="40" w:after="40" w:line="288" w:lineRule="auto"/>
            </w:pPr>
            <w:r>
              <w:rPr>
                <w:u w:val="single"/>
              </w:rPr>
              <w:t xml:space="preserve">Intervention: </w:t>
            </w:r>
            <w:r w:rsidRPr="00F13F9C">
              <w:rPr>
                <w:u w:val="single"/>
              </w:rPr>
              <w:t xml:space="preserve">CT-guided </w:t>
            </w:r>
            <w:r>
              <w:rPr>
                <w:u w:val="single"/>
              </w:rPr>
              <w:t xml:space="preserve">MTA </w:t>
            </w:r>
            <w:r w:rsidR="00292821" w:rsidRPr="003D7E37">
              <w:rPr>
                <w:u w:val="single"/>
              </w:rPr>
              <w:t>with artificial pneumothorax</w:t>
            </w:r>
          </w:p>
          <w:p w14:paraId="3522645A" w14:textId="77777777" w:rsidR="003D7E37" w:rsidRDefault="003D7E37" w:rsidP="00861F4D">
            <w:pPr>
              <w:pStyle w:val="Tabletext1"/>
              <w:spacing w:before="40" w:after="40" w:line="288" w:lineRule="auto"/>
            </w:pPr>
            <w:r>
              <w:t>Conscious sedation</w:t>
            </w:r>
          </w:p>
          <w:p w14:paraId="0370AEA9" w14:textId="1B677BF8" w:rsidR="00292821" w:rsidRDefault="003D7E37" w:rsidP="00861F4D">
            <w:pPr>
              <w:pStyle w:val="Tabletext1"/>
              <w:spacing w:before="40" w:after="40" w:line="288" w:lineRule="auto"/>
            </w:pPr>
            <w:r>
              <w:t>D</w:t>
            </w:r>
            <w:r w:rsidR="00292821" w:rsidRPr="009566F3">
              <w:t xml:space="preserve">uration: </w:t>
            </w:r>
            <w:r w:rsidR="00292821">
              <w:t>range 4</w:t>
            </w:r>
            <w:r w:rsidR="00D35E9C">
              <w:t>–</w:t>
            </w:r>
            <w:r w:rsidR="00292821">
              <w:t>8 minutes per site</w:t>
            </w:r>
            <w:r w:rsidR="007908D7">
              <w:t>, m</w:t>
            </w:r>
            <w:r w:rsidR="007908D7" w:rsidRPr="007908D7">
              <w:t>ean (SD): 12.8 (11.13) minutes</w:t>
            </w:r>
          </w:p>
          <w:p w14:paraId="14E93455" w14:textId="77777777" w:rsidR="003D7E37" w:rsidRPr="003D7E37" w:rsidRDefault="003D7E37" w:rsidP="00861F4D">
            <w:pPr>
              <w:pStyle w:val="Tabletext1"/>
              <w:spacing w:before="40" w:after="40" w:line="288" w:lineRule="auto"/>
              <w:rPr>
                <w:u w:val="single"/>
              </w:rPr>
            </w:pPr>
            <w:r w:rsidRPr="00236D1B">
              <w:rPr>
                <w:u w:val="single"/>
              </w:rPr>
              <w:t>Comparator: N/A</w:t>
            </w:r>
          </w:p>
        </w:tc>
        <w:tc>
          <w:tcPr>
            <w:tcW w:w="1497" w:type="pct"/>
            <w:tcBorders>
              <w:top w:val="single" w:sz="4" w:space="0" w:color="auto"/>
              <w:left w:val="single" w:sz="4" w:space="0" w:color="auto"/>
              <w:bottom w:val="single" w:sz="4" w:space="0" w:color="auto"/>
              <w:right w:val="single" w:sz="4" w:space="0" w:color="auto"/>
            </w:tcBorders>
          </w:tcPr>
          <w:p w14:paraId="5189576D" w14:textId="77777777" w:rsidR="00292821" w:rsidRPr="00095CDF" w:rsidRDefault="00292821" w:rsidP="00861F4D">
            <w:pPr>
              <w:pStyle w:val="Tabletext1"/>
              <w:spacing w:before="40" w:after="40" w:line="288" w:lineRule="auto"/>
              <w:ind w:left="34"/>
            </w:pPr>
            <w:r>
              <w:t>1. Adverse events: evaluated on the basis of MTA procedures by reviewing medical records and CT images. They were reported in accordance with the classification proposed by the Society of Interventional Radiology</w:t>
            </w:r>
          </w:p>
        </w:tc>
      </w:tr>
    </w:tbl>
    <w:p w14:paraId="1E1AECD8" w14:textId="11054B4F" w:rsidR="004F249F" w:rsidRPr="00994BBC" w:rsidRDefault="00994BBC" w:rsidP="00994BBC">
      <w:pPr>
        <w:pStyle w:val="Tablenotes0"/>
      </w:pPr>
      <w:bookmarkStart w:id="511" w:name="_Ref192056948"/>
      <w:bookmarkStart w:id="512" w:name="_Ref169423889"/>
      <w:r w:rsidRPr="00994BBC">
        <w:t>&lt;</w:t>
      </w:r>
      <w:r w:rsidR="00C92623">
        <w:t xml:space="preserve"> </w:t>
      </w:r>
      <w:r w:rsidR="00D45F87" w:rsidRPr="00994BBC">
        <w:t>COPD = chronic obstructive pulmonary disease; CS=case series</w:t>
      </w:r>
      <w:r w:rsidR="00CA6DFD" w:rsidRPr="00994BBC">
        <w:t>; CT</w:t>
      </w:r>
      <w:r w:rsidR="00D45F87" w:rsidRPr="00994BBC">
        <w:t>=computed tomography</w:t>
      </w:r>
      <w:r>
        <w:t>;</w:t>
      </w:r>
      <w:r w:rsidRPr="00994BBC">
        <w:t xml:space="preserve"> CTCAE = Common Terminology Criteria for Adverse Events</w:t>
      </w:r>
      <w:r w:rsidR="00D45F87" w:rsidRPr="00994BBC">
        <w:t>;</w:t>
      </w:r>
      <w:r>
        <w:t xml:space="preserve"> ECOG = </w:t>
      </w:r>
      <w:r w:rsidRPr="00994BBC">
        <w:t>Eastern Cooperative Oncology Group</w:t>
      </w:r>
      <w:r>
        <w:t>;</w:t>
      </w:r>
      <w:r w:rsidR="002F591C" w:rsidRPr="00994BBC">
        <w:t xml:space="preserve"> </w:t>
      </w:r>
      <w:r w:rsidR="00C10752" w:rsidRPr="00994BBC">
        <w:t xml:space="preserve">N = </w:t>
      </w:r>
      <w:r w:rsidR="002F591C" w:rsidRPr="00994BBC">
        <w:t xml:space="preserve">number; </w:t>
      </w:r>
      <w:r w:rsidR="00D45F87" w:rsidRPr="00994BBC">
        <w:t xml:space="preserve"> NSCLC = non-small cell lung cancer; </w:t>
      </w:r>
      <w:r>
        <w:t xml:space="preserve">mm = millimetres; </w:t>
      </w:r>
      <w:r w:rsidR="00D45F87" w:rsidRPr="00994BBC">
        <w:t xml:space="preserve">MTA= microwave </w:t>
      </w:r>
      <w:r w:rsidR="0066456D" w:rsidRPr="00994BBC">
        <w:t>tissue</w:t>
      </w:r>
      <w:r w:rsidR="00D45F87" w:rsidRPr="00994BBC">
        <w:t xml:space="preserve"> ablation; </w:t>
      </w:r>
      <w:r w:rsidR="00C10752" w:rsidRPr="00994BBC">
        <w:t xml:space="preserve">N = </w:t>
      </w:r>
      <w:r w:rsidR="00D45F87" w:rsidRPr="00994BBC">
        <w:t>number</w:t>
      </w:r>
      <w:r w:rsidR="006712B5" w:rsidRPr="00994BBC">
        <w:t>;</w:t>
      </w:r>
      <w:r w:rsidR="004F6A79" w:rsidRPr="00994BBC">
        <w:t xml:space="preserve"> </w:t>
      </w:r>
      <w:r w:rsidR="00874944">
        <w:t xml:space="preserve">NR = not reported; </w:t>
      </w:r>
      <w:r w:rsidR="004F6A79" w:rsidRPr="00994BBC">
        <w:t>OS=overall survival;</w:t>
      </w:r>
      <w:r>
        <w:t xml:space="preserve">PET= positron emission tomography; </w:t>
      </w:r>
      <w:r w:rsidR="00E37833" w:rsidRPr="00994BBC">
        <w:t xml:space="preserve"> PFS= progression free survival;</w:t>
      </w:r>
      <w:r w:rsidR="006712B5" w:rsidRPr="00994BBC">
        <w:t xml:space="preserve"> </w:t>
      </w:r>
      <w:r w:rsidR="00874944">
        <w:t xml:space="preserve">RECIST = response evaluation criteria in solid tumours; </w:t>
      </w:r>
      <w:r w:rsidR="006712B5" w:rsidRPr="00994BBC">
        <w:t>RECIST criteria = complete response (CR), partial response (PR)</w:t>
      </w:r>
      <w:r w:rsidR="00CA6DFD" w:rsidRPr="00994BBC">
        <w:t>, stable</w:t>
      </w:r>
      <w:r w:rsidR="006712B5" w:rsidRPr="00994BBC">
        <w:t xml:space="preserve"> disease (SD), and progressive disease (PD</w:t>
      </w:r>
      <w:r w:rsidR="00CA6DFD" w:rsidRPr="00994BBC">
        <w:t>);</w:t>
      </w:r>
      <w:r w:rsidR="006712B5" w:rsidRPr="00994BBC">
        <w:t xml:space="preserve"> </w:t>
      </w:r>
      <w:r w:rsidR="00E37833" w:rsidRPr="00994BBC">
        <w:t xml:space="preserve">TTLP = time to local progression; </w:t>
      </w:r>
      <w:r w:rsidR="006712B5" w:rsidRPr="00994BBC">
        <w:t>WHO= world health organisation; VEGF= serum vascular endothelial growth factor</w:t>
      </w:r>
      <w:r w:rsidR="00D45F87" w:rsidRPr="00994BBC">
        <w:t xml:space="preserve"> </w:t>
      </w:r>
      <w:r w:rsidRPr="00994BBC">
        <w:t>&gt;</w:t>
      </w:r>
    </w:p>
    <w:p w14:paraId="6E7C169A" w14:textId="22DB6416" w:rsidR="00BC7AE0" w:rsidRDefault="00FA3C68" w:rsidP="008E0BDA">
      <w:pPr>
        <w:pStyle w:val="Tablenotes0"/>
      </w:pPr>
      <w:proofErr w:type="gramStart"/>
      <w:r w:rsidRPr="00183E4D">
        <w:rPr>
          <w:vertAlign w:val="superscript"/>
        </w:rPr>
        <w:t>a</w:t>
      </w:r>
      <w:proofErr w:type="gramEnd"/>
      <w:r w:rsidRPr="00183E4D">
        <w:t xml:space="preserve"> </w:t>
      </w:r>
      <w:r w:rsidR="00C92623">
        <w:t>S</w:t>
      </w:r>
      <w:r>
        <w:t>ource:</w:t>
      </w:r>
      <w:r w:rsidR="009E6851" w:rsidRPr="00183E4D">
        <w:rPr>
          <w:vertAlign w:val="superscript"/>
        </w:rPr>
        <w:t>b</w:t>
      </w:r>
      <w:r w:rsidR="00C92623">
        <w:t xml:space="preserve"> Ri</w:t>
      </w:r>
      <w:r w:rsidR="009E6851" w:rsidRPr="00183E4D">
        <w:t>sk of bias as it relates to primary outcomes of the systematic review</w:t>
      </w:r>
    </w:p>
    <w:p w14:paraId="566FA733" w14:textId="6AF455CA" w:rsidR="00C92623" w:rsidRDefault="00095CDF" w:rsidP="008E0BDA">
      <w:pPr>
        <w:pStyle w:val="Tablenotes0"/>
      </w:pPr>
      <w:proofErr w:type="gramStart"/>
      <w:r w:rsidRPr="00095CDF">
        <w:rPr>
          <w:vertAlign w:val="superscript"/>
        </w:rPr>
        <w:t>c</w:t>
      </w:r>
      <w:proofErr w:type="gramEnd"/>
      <w:r w:rsidRPr="00095CDF">
        <w:rPr>
          <w:vertAlign w:val="superscript"/>
        </w:rPr>
        <w:t xml:space="preserve"> </w:t>
      </w:r>
      <w:r w:rsidR="00C92623" w:rsidRPr="00C92623">
        <w:t>M</w:t>
      </w:r>
      <w:r>
        <w:t>edian (range) unless otherwise stated</w:t>
      </w:r>
      <w:r w:rsidR="00486234">
        <w:t>.</w:t>
      </w:r>
    </w:p>
    <w:p w14:paraId="65F96C81" w14:textId="3918E3BB" w:rsidR="00C92623" w:rsidRDefault="004F6A79" w:rsidP="008E0BDA">
      <w:pPr>
        <w:pStyle w:val="Tablenotes0"/>
      </w:pPr>
      <w:r w:rsidRPr="004F6A79">
        <w:rPr>
          <w:vertAlign w:val="superscript"/>
        </w:rPr>
        <w:t>d</w:t>
      </w:r>
      <w:r>
        <w:t xml:space="preserve"> </w:t>
      </w:r>
      <w:r w:rsidR="00C92623">
        <w:t>I</w:t>
      </w:r>
      <w:r w:rsidRPr="00CA324F">
        <w:t xml:space="preserve">f no localized irregular enhancement of the lesions were </w:t>
      </w:r>
      <w:proofErr w:type="gramStart"/>
      <w:r w:rsidRPr="00CA324F">
        <w:t>shown  on</w:t>
      </w:r>
      <w:proofErr w:type="gramEnd"/>
      <w:r w:rsidRPr="00CA324F">
        <w:t xml:space="preserve"> routine contrast</w:t>
      </w:r>
      <w:r w:rsidRPr="00CA324F">
        <w:rPr>
          <w:rFonts w:ascii="MS Gothic" w:eastAsia="MS Gothic" w:hAnsi="MS Gothic" w:cs="MS Gothic" w:hint="eastAsia"/>
        </w:rPr>
        <w:t>‑</w:t>
      </w:r>
      <w:r w:rsidRPr="00CA324F">
        <w:t xml:space="preserve">enhanced CT after </w:t>
      </w:r>
      <w:r w:rsidR="00814C4F" w:rsidRPr="00CA324F">
        <w:t>M</w:t>
      </w:r>
      <w:r w:rsidR="00814C4F">
        <w:t>T</w:t>
      </w:r>
      <w:r w:rsidR="00814C4F" w:rsidRPr="00CA324F">
        <w:t>A</w:t>
      </w:r>
      <w:r w:rsidRPr="00CA324F">
        <w:t xml:space="preserve">, it was considered as complete response and success for </w:t>
      </w:r>
      <w:r w:rsidR="00814C4F" w:rsidRPr="00CA324F">
        <w:t>M</w:t>
      </w:r>
      <w:r w:rsidR="00814C4F">
        <w:t>T</w:t>
      </w:r>
      <w:r w:rsidR="00814C4F" w:rsidRPr="00CA324F">
        <w:t xml:space="preserve">A </w:t>
      </w:r>
      <w:r w:rsidRPr="00CA324F">
        <w:t>technology, thin symmetric rim of peripheral enhancement of &lt;5 mm wide, observed up to 6 months after ablation was considered a sign of benign peritumo</w:t>
      </w:r>
      <w:r w:rsidR="00ED0144">
        <w:t>u</w:t>
      </w:r>
      <w:r w:rsidRPr="00CA324F">
        <w:t>ral enhancement and irregular focal soft</w:t>
      </w:r>
      <w:r w:rsidRPr="00CA324F">
        <w:rPr>
          <w:rFonts w:ascii="MS Gothic" w:eastAsia="MS Gothic" w:hAnsi="MS Gothic" w:cs="MS Gothic" w:hint="eastAsia"/>
        </w:rPr>
        <w:t>‑</w:t>
      </w:r>
      <w:r w:rsidRPr="00CA324F">
        <w:t>tissue enhancement (&gt;15 HU) was a sign of residual or recurrent disease</w:t>
      </w:r>
      <w:r w:rsidR="00486234">
        <w:t>.</w:t>
      </w:r>
    </w:p>
    <w:p w14:paraId="13E8C5F3" w14:textId="2E72EF4E" w:rsidR="00BC7AE0" w:rsidRDefault="00C92623" w:rsidP="008E0BDA">
      <w:pPr>
        <w:pStyle w:val="Tablenotes0"/>
      </w:pPr>
      <w:r>
        <w:t>e P</w:t>
      </w:r>
      <w:r w:rsidR="00E37833">
        <w:t xml:space="preserve">neumothorax was classified as follows: pneumothorax </w:t>
      </w:r>
      <w:r w:rsidR="00E37833" w:rsidRPr="00E37833">
        <w:t>that complicated the ablation procedure as mild (causing lung surface retraction</w:t>
      </w:r>
      <w:r>
        <w:t xml:space="preserve"> </w:t>
      </w:r>
      <w:r w:rsidR="00E37833" w:rsidRPr="00E37833">
        <w:t>≤  2 cm from the pleural surface), moderate (causing retraction between 2 and 4 cm), or severe (causing lung surface retraction ≥ 4 cm, rapidly  increasing with time, associated with mediastinal shift, and/or accompanied by respiratory or circulatory distress).</w:t>
      </w:r>
    </w:p>
    <w:p w14:paraId="3F28D36F" w14:textId="77777777" w:rsidR="00C92623" w:rsidRDefault="008E0BDA" w:rsidP="008E0BDA">
      <w:pPr>
        <w:pStyle w:val="Tablenotes0"/>
      </w:pPr>
      <w:r>
        <w:rPr>
          <w:vertAlign w:val="superscript"/>
        </w:rPr>
        <w:t>f</w:t>
      </w:r>
      <w:r w:rsidRPr="008E0BDA">
        <w:t xml:space="preserve"> Chemotherapy was platinum-doublet regimens that included cisplatin (75 mg/m2 intravenous [IV] on day 1) or carboplatin (with an area under curve of 5–6 on day 1) plus vinorelbine (25 mg/m2 IV on days 1 and 8,</w:t>
      </w:r>
      <w:r>
        <w:t xml:space="preserve"> </w:t>
      </w:r>
      <w:r w:rsidR="00C10752">
        <w:t xml:space="preserve">n = </w:t>
      </w:r>
      <w:r w:rsidRPr="008E0BDA">
        <w:t xml:space="preserve">1), gemcitabine (1,250 mg/m2 IV on days 1 and 8, </w:t>
      </w:r>
      <w:r w:rsidR="00C10752">
        <w:t xml:space="preserve">n = </w:t>
      </w:r>
      <w:r w:rsidRPr="008E0BDA">
        <w:t xml:space="preserve">10), docetaxel (75 mg/m2 IV on day 1, </w:t>
      </w:r>
      <w:r w:rsidR="00C10752">
        <w:t xml:space="preserve">n = </w:t>
      </w:r>
      <w:r w:rsidRPr="008E0BDA">
        <w:t xml:space="preserve">12), or pemetrexed (500 mg/m2 IV on day 1, </w:t>
      </w:r>
      <w:r w:rsidR="00C10752">
        <w:t xml:space="preserve">n = </w:t>
      </w:r>
      <w:r w:rsidRPr="008E0BDA">
        <w:t>8). All chemotherapy regimens were repeated every 3 weeks for four or six cycles.</w:t>
      </w:r>
    </w:p>
    <w:p w14:paraId="7E8FA235" w14:textId="5677DD56" w:rsidR="00C92623" w:rsidRDefault="008E0BDA" w:rsidP="008E0BDA">
      <w:pPr>
        <w:pStyle w:val="Tablenotes0"/>
      </w:pPr>
      <w:proofErr w:type="gramStart"/>
      <w:r w:rsidRPr="008E0BDA">
        <w:rPr>
          <w:vertAlign w:val="superscript"/>
        </w:rPr>
        <w:t>g</w:t>
      </w:r>
      <w:proofErr w:type="gramEnd"/>
      <w:r w:rsidRPr="008E0BDA">
        <w:rPr>
          <w:vertAlign w:val="superscript"/>
        </w:rPr>
        <w:t xml:space="preserve"> </w:t>
      </w:r>
      <w:r w:rsidR="00C92623">
        <w:t>C</w:t>
      </w:r>
      <w:r w:rsidRPr="008E0BDA">
        <w:t>hemotherapy was whole-body chemotherapy seven days after ablation chosen based on histopathology and ECOG scores, chemotherapy regim</w:t>
      </w:r>
      <w:r>
        <w:t>e</w:t>
      </w:r>
      <w:r w:rsidR="00486234">
        <w:t>ns were completed for 4 cycles.</w:t>
      </w:r>
    </w:p>
    <w:p w14:paraId="3D71890D" w14:textId="456E6474" w:rsidR="00BC7AE0" w:rsidRDefault="008E0BDA" w:rsidP="008E0BDA">
      <w:pPr>
        <w:pStyle w:val="Tablenotes0"/>
      </w:pPr>
      <w:proofErr w:type="gramStart"/>
      <w:r w:rsidRPr="008E0BDA">
        <w:rPr>
          <w:vertAlign w:val="superscript"/>
        </w:rPr>
        <w:t>h</w:t>
      </w:r>
      <w:proofErr w:type="gramEnd"/>
      <w:r>
        <w:t xml:space="preserve"> </w:t>
      </w:r>
      <w:r w:rsidR="00C92623">
        <w:t>A</w:t>
      </w:r>
      <w:r w:rsidRPr="008E0BDA">
        <w:t xml:space="preserve">ll patients were treated with first-line, platinumbased doublet chemotherapy, 19 patients were treated with pemetrexed, 16 with docetaxel, 7 with gemcitabine, and 4 with paclitaxel. Twenty six patients received chemotherapy for four or more cycles. Chemotherapy was given after </w:t>
      </w:r>
      <w:r w:rsidR="00814C4F" w:rsidRPr="008E0BDA">
        <w:t>M</w:t>
      </w:r>
      <w:r w:rsidR="00814C4F">
        <w:t>T</w:t>
      </w:r>
      <w:r w:rsidR="00814C4F" w:rsidRPr="008E0BDA">
        <w:t xml:space="preserve">A </w:t>
      </w:r>
      <w:r w:rsidRPr="008E0BDA">
        <w:t>in 35 (76.1%) of patients and before in 11 (23.9%).</w:t>
      </w:r>
    </w:p>
    <w:p w14:paraId="09FCD1B2" w14:textId="6AED2CCA" w:rsidR="00C771BF" w:rsidRPr="008E0BDA" w:rsidRDefault="00BC7AE0" w:rsidP="008E0BDA">
      <w:pPr>
        <w:pStyle w:val="Tablenotes0"/>
      </w:pPr>
      <w:r>
        <w:rPr>
          <w:vertAlign w:val="superscript"/>
        </w:rPr>
        <w:t xml:space="preserve">I </w:t>
      </w:r>
      <w:proofErr w:type="gramStart"/>
      <w:r w:rsidR="00C92623">
        <w:t>A</w:t>
      </w:r>
      <w:r w:rsidR="008E0BDA" w:rsidRPr="008E0BDA">
        <w:t>ll</w:t>
      </w:r>
      <w:proofErr w:type="gramEnd"/>
      <w:r w:rsidR="008E0BDA" w:rsidRPr="008E0BDA">
        <w:t xml:space="preserve"> patients received first-line, platinumbased doublet chemotherapy, 9 patients were treated with pemetrexed, 6 with docetaxel, 10 with gemcitabine, and 3 with paclitaxel. Twenty-two (78.6 %) patients received chemotherapy for four or more cycle</w:t>
      </w:r>
      <w:r w:rsidR="00C92623">
        <w:t>.</w:t>
      </w:r>
    </w:p>
    <w:p w14:paraId="3CAC986A" w14:textId="25648C1A" w:rsidR="00FF46E2" w:rsidRDefault="00FF46E2" w:rsidP="00BC7AE0">
      <w:pPr>
        <w:pStyle w:val="Caption"/>
      </w:pPr>
      <w:bookmarkStart w:id="513" w:name="_Toc460514749"/>
      <w:r>
        <w:t xml:space="preserve">Table </w:t>
      </w:r>
      <w:fldSimple w:instr=" SEQ Table \* ARABIC ">
        <w:r w:rsidR="00D170A5">
          <w:rPr>
            <w:noProof/>
          </w:rPr>
          <w:t>91</w:t>
        </w:r>
      </w:fldSimple>
      <w:r>
        <w:tab/>
      </w:r>
      <w:r w:rsidRPr="00BC7AE0">
        <w:t>Profiles of studies on RFA included in the systematic literature review</w:t>
      </w:r>
      <w:bookmarkEnd w:id="513"/>
    </w:p>
    <w:tbl>
      <w:tblPr>
        <w:tblW w:w="4989" w:type="pct"/>
        <w:tblLook w:val="04A0" w:firstRow="1" w:lastRow="0" w:firstColumn="1" w:lastColumn="0" w:noHBand="0" w:noVBand="1"/>
      </w:tblPr>
      <w:tblGrid>
        <w:gridCol w:w="1400"/>
        <w:gridCol w:w="1942"/>
        <w:gridCol w:w="3992"/>
        <w:gridCol w:w="3992"/>
        <w:gridCol w:w="3992"/>
      </w:tblGrid>
      <w:tr w:rsidR="00861E5C" w:rsidRPr="00861E5C" w14:paraId="1E59A1CE" w14:textId="77777777" w:rsidTr="00547263">
        <w:trPr>
          <w:cantSplit/>
          <w:trHeight w:val="1059"/>
          <w:tblHeader/>
        </w:trPr>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45FFB77" w14:textId="77777777" w:rsidR="00861E5C" w:rsidRPr="00861E5C" w:rsidRDefault="00861E5C" w:rsidP="00FE0534">
            <w:pPr>
              <w:widowControl w:val="0"/>
              <w:spacing w:before="60" w:after="60" w:line="240" w:lineRule="auto"/>
              <w:jc w:val="left"/>
              <w:rPr>
                <w:rFonts w:ascii="Arial Narrow" w:hAnsi="Arial Narrow"/>
                <w:b/>
                <w:sz w:val="20"/>
                <w:szCs w:val="20"/>
              </w:rPr>
            </w:pPr>
            <w:r w:rsidRPr="00861E5C">
              <w:rPr>
                <w:rFonts w:ascii="Arial Narrow" w:hAnsi="Arial Narrow"/>
                <w:b/>
                <w:sz w:val="20"/>
                <w:szCs w:val="20"/>
              </w:rPr>
              <w:lastRenderedPageBreak/>
              <w:t>Author</w:t>
            </w:r>
          </w:p>
          <w:p w14:paraId="313EDFB8" w14:textId="77777777" w:rsidR="00861E5C" w:rsidRPr="00861E5C" w:rsidRDefault="00861E5C" w:rsidP="00FE0534">
            <w:pPr>
              <w:widowControl w:val="0"/>
              <w:spacing w:before="60" w:after="60" w:line="240" w:lineRule="auto"/>
              <w:jc w:val="left"/>
              <w:rPr>
                <w:rFonts w:ascii="Arial Narrow" w:hAnsi="Arial Narrow"/>
                <w:b/>
                <w:sz w:val="20"/>
                <w:szCs w:val="20"/>
              </w:rPr>
            </w:pPr>
            <w:r w:rsidRPr="00861E5C">
              <w:rPr>
                <w:rFonts w:ascii="Arial Narrow" w:hAnsi="Arial Narrow"/>
                <w:b/>
                <w:sz w:val="20"/>
                <w:szCs w:val="20"/>
              </w:rPr>
              <w:t>(Year)</w:t>
            </w:r>
          </w:p>
          <w:p w14:paraId="5419675D" w14:textId="77777777" w:rsidR="00861E5C" w:rsidRPr="00861E5C" w:rsidRDefault="00861E5C" w:rsidP="00FE0534">
            <w:pPr>
              <w:widowControl w:val="0"/>
              <w:spacing w:before="60" w:after="60" w:line="240" w:lineRule="auto"/>
              <w:jc w:val="left"/>
              <w:rPr>
                <w:rFonts w:ascii="Arial Narrow" w:hAnsi="Arial Narrow"/>
                <w:b/>
                <w:sz w:val="20"/>
                <w:szCs w:val="20"/>
              </w:rPr>
            </w:pPr>
            <w:r w:rsidRPr="00861E5C">
              <w:rPr>
                <w:rFonts w:ascii="Arial Narrow" w:hAnsi="Arial Narrow"/>
                <w:b/>
                <w:sz w:val="20"/>
                <w:szCs w:val="20"/>
              </w:rPr>
              <w:t>Location</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9F4C99" w14:textId="77777777" w:rsidR="00861E5C" w:rsidRPr="00861E5C" w:rsidRDefault="00861E5C" w:rsidP="00FE0534">
            <w:pPr>
              <w:widowControl w:val="0"/>
              <w:spacing w:before="60" w:after="60" w:line="240" w:lineRule="auto"/>
              <w:jc w:val="left"/>
              <w:rPr>
                <w:rFonts w:ascii="Arial Narrow" w:hAnsi="Arial Narrow"/>
                <w:b/>
                <w:sz w:val="20"/>
                <w:szCs w:val="20"/>
              </w:rPr>
            </w:pPr>
            <w:r w:rsidRPr="00861E5C">
              <w:rPr>
                <w:rFonts w:ascii="Arial Narrow" w:hAnsi="Arial Narrow"/>
                <w:b/>
                <w:sz w:val="20"/>
                <w:szCs w:val="20"/>
              </w:rPr>
              <w:t>Study design</w:t>
            </w:r>
          </w:p>
          <w:p w14:paraId="134A866A" w14:textId="302EFA85" w:rsidR="00861E5C" w:rsidRPr="00861E5C" w:rsidRDefault="00861E5C" w:rsidP="00FE0534">
            <w:pPr>
              <w:widowControl w:val="0"/>
              <w:spacing w:before="60" w:after="60" w:line="240" w:lineRule="auto"/>
              <w:jc w:val="left"/>
              <w:rPr>
                <w:rFonts w:ascii="Arial Narrow" w:hAnsi="Arial Narrow"/>
                <w:b/>
                <w:sz w:val="20"/>
                <w:szCs w:val="20"/>
              </w:rPr>
            </w:pPr>
            <w:r w:rsidRPr="00861E5C">
              <w:rPr>
                <w:rFonts w:ascii="Arial Narrow" w:hAnsi="Arial Narrow"/>
                <w:b/>
                <w:sz w:val="20"/>
                <w:szCs w:val="20"/>
              </w:rPr>
              <w:t>Level of evidence</w:t>
            </w:r>
          </w:p>
          <w:p w14:paraId="2D135BAA" w14:textId="5D49BF31" w:rsidR="00861E5C" w:rsidRPr="00861E5C" w:rsidRDefault="00861E5C" w:rsidP="00FE0534">
            <w:pPr>
              <w:widowControl w:val="0"/>
              <w:spacing w:before="60" w:after="60" w:line="240" w:lineRule="auto"/>
              <w:jc w:val="left"/>
              <w:rPr>
                <w:rFonts w:ascii="Arial Narrow" w:hAnsi="Arial Narrow"/>
                <w:b/>
                <w:sz w:val="20"/>
                <w:szCs w:val="20"/>
              </w:rPr>
            </w:pPr>
            <w:r w:rsidRPr="00861E5C">
              <w:rPr>
                <w:rFonts w:ascii="Arial Narrow" w:hAnsi="Arial Narrow"/>
                <w:b/>
                <w:sz w:val="20"/>
                <w:szCs w:val="20"/>
              </w:rPr>
              <w:t>Risk of bias</w:t>
            </w:r>
            <w:r w:rsidR="006577DA">
              <w:rPr>
                <w:rFonts w:ascii="Arial Narrow" w:hAnsi="Arial Narrow"/>
                <w:b/>
                <w:sz w:val="20"/>
                <w:szCs w:val="20"/>
                <w:vertAlign w:val="superscript"/>
              </w:rPr>
              <w:t xml:space="preserve"> </w:t>
            </w:r>
            <w:r w:rsidR="006577DA" w:rsidRPr="006577DA">
              <w:rPr>
                <w:rFonts w:ascii="Arial Narrow" w:hAnsi="Arial Narrow"/>
                <w:b/>
                <w:sz w:val="20"/>
                <w:szCs w:val="20"/>
                <w:vertAlign w:val="superscript"/>
              </w:rPr>
              <w:t>A</w:t>
            </w:r>
          </w:p>
          <w:p w14:paraId="5AB0435A" w14:textId="243217AA" w:rsidR="00861E5C" w:rsidRPr="00861E5C" w:rsidRDefault="00861E5C" w:rsidP="006577DA">
            <w:pPr>
              <w:widowControl w:val="0"/>
              <w:spacing w:before="60" w:after="60" w:line="240" w:lineRule="auto"/>
              <w:jc w:val="left"/>
              <w:rPr>
                <w:rFonts w:ascii="Arial Narrow" w:hAnsi="Arial Narrow"/>
                <w:b/>
                <w:sz w:val="20"/>
                <w:szCs w:val="20"/>
              </w:rPr>
            </w:pPr>
            <w:r w:rsidRPr="00861E5C">
              <w:rPr>
                <w:rFonts w:ascii="Arial Narrow" w:hAnsi="Arial Narrow"/>
                <w:b/>
                <w:sz w:val="20"/>
                <w:szCs w:val="20"/>
              </w:rPr>
              <w:t>Median follow-up</w:t>
            </w:r>
            <w:r w:rsidR="006577DA">
              <w:rPr>
                <w:rFonts w:ascii="Arial Narrow" w:hAnsi="Arial Narrow"/>
                <w:b/>
                <w:sz w:val="20"/>
                <w:szCs w:val="20"/>
              </w:rPr>
              <w:t xml:space="preserve"> </w:t>
            </w:r>
            <w:r w:rsidR="006577DA" w:rsidRPr="006577DA">
              <w:rPr>
                <w:rFonts w:ascii="Arial Narrow" w:hAnsi="Arial Narrow"/>
                <w:b/>
                <w:sz w:val="20"/>
                <w:szCs w:val="20"/>
                <w:vertAlign w:val="superscript"/>
              </w:rPr>
              <w:t>B</w:t>
            </w:r>
          </w:p>
        </w:tc>
        <w:tc>
          <w:tcPr>
            <w:tcW w:w="1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14AF2F" w14:textId="77777777" w:rsidR="00861E5C" w:rsidRPr="00861E5C" w:rsidRDefault="00861E5C" w:rsidP="00FE0534">
            <w:pPr>
              <w:widowControl w:val="0"/>
              <w:spacing w:before="60" w:after="60" w:line="240" w:lineRule="auto"/>
              <w:jc w:val="left"/>
              <w:rPr>
                <w:rFonts w:ascii="Arial Narrow" w:hAnsi="Arial Narrow"/>
                <w:b/>
                <w:sz w:val="20"/>
                <w:szCs w:val="20"/>
              </w:rPr>
            </w:pPr>
            <w:r w:rsidRPr="00861E5C">
              <w:rPr>
                <w:rFonts w:ascii="Arial Narrow" w:hAnsi="Arial Narrow"/>
                <w:b/>
                <w:sz w:val="20"/>
                <w:szCs w:val="20"/>
              </w:rPr>
              <w:t>Study population characteristics:</w:t>
            </w:r>
          </w:p>
          <w:p w14:paraId="2F916F99" w14:textId="77777777" w:rsidR="00861E5C" w:rsidRPr="00861E5C" w:rsidRDefault="00861E5C" w:rsidP="00FE0534">
            <w:pPr>
              <w:widowControl w:val="0"/>
              <w:spacing w:before="60" w:after="60" w:line="240" w:lineRule="auto"/>
              <w:jc w:val="left"/>
              <w:rPr>
                <w:rFonts w:ascii="Arial Narrow" w:hAnsi="Arial Narrow"/>
                <w:b/>
                <w:sz w:val="20"/>
                <w:szCs w:val="20"/>
              </w:rPr>
            </w:pPr>
            <w:r w:rsidRPr="00861E5C">
              <w:rPr>
                <w:rFonts w:ascii="Arial Narrow" w:hAnsi="Arial Narrow"/>
                <w:b/>
                <w:sz w:val="20"/>
                <w:szCs w:val="20"/>
              </w:rPr>
              <w:t>N (lesions, tumour size, male/female ratio, age, prior therapy, primary cancer (P2/3 only)</w:t>
            </w:r>
          </w:p>
        </w:tc>
        <w:tc>
          <w:tcPr>
            <w:tcW w:w="1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A18BBC" w14:textId="33BF7D1F" w:rsidR="00861E5C" w:rsidRPr="00861E5C" w:rsidRDefault="00861E5C" w:rsidP="00FE0534">
            <w:pPr>
              <w:widowControl w:val="0"/>
              <w:spacing w:before="60" w:after="60" w:line="240" w:lineRule="auto"/>
              <w:ind w:left="34"/>
              <w:jc w:val="left"/>
              <w:rPr>
                <w:rFonts w:ascii="Arial Narrow" w:hAnsi="Arial Narrow"/>
                <w:b/>
                <w:sz w:val="20"/>
                <w:szCs w:val="20"/>
              </w:rPr>
            </w:pPr>
            <w:r w:rsidRPr="00861E5C">
              <w:rPr>
                <w:rFonts w:ascii="Arial Narrow" w:hAnsi="Arial Narrow"/>
                <w:b/>
                <w:sz w:val="20"/>
                <w:szCs w:val="20"/>
              </w:rPr>
              <w:t>Description of Intervention and Comparator</w:t>
            </w:r>
          </w:p>
        </w:tc>
        <w:tc>
          <w:tcPr>
            <w:tcW w:w="1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DEB884" w14:textId="542FD0A6" w:rsidR="00861E5C" w:rsidRPr="00861E5C" w:rsidRDefault="00861E5C" w:rsidP="00FE0534">
            <w:pPr>
              <w:widowControl w:val="0"/>
              <w:spacing w:before="60" w:after="60" w:line="240" w:lineRule="auto"/>
              <w:ind w:left="34"/>
              <w:jc w:val="left"/>
              <w:rPr>
                <w:rFonts w:ascii="Arial Narrow" w:hAnsi="Arial Narrow"/>
                <w:b/>
                <w:sz w:val="20"/>
                <w:szCs w:val="20"/>
              </w:rPr>
            </w:pPr>
            <w:r w:rsidRPr="00861E5C">
              <w:rPr>
                <w:rFonts w:ascii="Arial Narrow" w:hAnsi="Arial Narrow"/>
                <w:b/>
                <w:sz w:val="20"/>
                <w:szCs w:val="20"/>
              </w:rPr>
              <w:t>Relevant outcomes: measurement and methods of analysis</w:t>
            </w:r>
          </w:p>
        </w:tc>
      </w:tr>
      <w:tr w:rsidR="00861E5C" w:rsidRPr="00861E5C" w14:paraId="65AAF274" w14:textId="77777777" w:rsidTr="00547263">
        <w:trPr>
          <w:cantSplit/>
          <w:trHeight w:val="300"/>
        </w:trPr>
        <w:tc>
          <w:tcPr>
            <w:tcW w:w="457" w:type="pct"/>
            <w:tcBorders>
              <w:top w:val="single" w:sz="4" w:space="0" w:color="auto"/>
              <w:left w:val="single" w:sz="4" w:space="0" w:color="auto"/>
              <w:bottom w:val="single" w:sz="4" w:space="0" w:color="auto"/>
            </w:tcBorders>
            <w:shd w:val="clear" w:color="auto" w:fill="D9D9D9" w:themeFill="background1" w:themeFillShade="D9"/>
          </w:tcPr>
          <w:p w14:paraId="6FA12D6E" w14:textId="77777777" w:rsidR="00861E5C" w:rsidRPr="00861E5C" w:rsidRDefault="00861E5C" w:rsidP="00FE0534">
            <w:pPr>
              <w:widowControl w:val="0"/>
              <w:spacing w:before="60" w:after="60" w:line="288" w:lineRule="auto"/>
              <w:jc w:val="left"/>
              <w:rPr>
                <w:rFonts w:ascii="Arial Narrow" w:hAnsi="Arial Narrow"/>
                <w:b/>
                <w:sz w:val="20"/>
                <w:szCs w:val="20"/>
              </w:rPr>
            </w:pPr>
            <w:r w:rsidRPr="00861E5C">
              <w:rPr>
                <w:rFonts w:ascii="Arial Narrow" w:hAnsi="Arial Narrow"/>
                <w:b/>
                <w:sz w:val="20"/>
                <w:szCs w:val="20"/>
              </w:rPr>
              <w:t>POPULAITON</w:t>
            </w:r>
          </w:p>
        </w:tc>
        <w:tc>
          <w:tcPr>
            <w:tcW w:w="634" w:type="pct"/>
            <w:tcBorders>
              <w:top w:val="single" w:sz="4" w:space="0" w:color="auto"/>
              <w:bottom w:val="single" w:sz="4" w:space="0" w:color="auto"/>
            </w:tcBorders>
            <w:shd w:val="clear" w:color="auto" w:fill="D9D9D9" w:themeFill="background1" w:themeFillShade="D9"/>
          </w:tcPr>
          <w:p w14:paraId="1558CDC0" w14:textId="77777777" w:rsidR="00861E5C" w:rsidRPr="00861E5C" w:rsidRDefault="00861E5C" w:rsidP="00FE0534">
            <w:pPr>
              <w:widowControl w:val="0"/>
              <w:spacing w:before="60" w:after="60" w:line="288" w:lineRule="auto"/>
              <w:jc w:val="left"/>
              <w:rPr>
                <w:rFonts w:ascii="Arial Narrow" w:hAnsi="Arial Narrow"/>
                <w:b/>
                <w:sz w:val="20"/>
                <w:szCs w:val="20"/>
              </w:rPr>
            </w:pPr>
            <w:r w:rsidRPr="00861E5C">
              <w:rPr>
                <w:rFonts w:ascii="Arial Narrow" w:hAnsi="Arial Narrow"/>
                <w:b/>
                <w:sz w:val="20"/>
                <w:szCs w:val="20"/>
              </w:rPr>
              <w:t>1</w:t>
            </w:r>
          </w:p>
        </w:tc>
        <w:tc>
          <w:tcPr>
            <w:tcW w:w="1303" w:type="pct"/>
            <w:tcBorders>
              <w:top w:val="single" w:sz="4" w:space="0" w:color="auto"/>
              <w:bottom w:val="single" w:sz="4" w:space="0" w:color="auto"/>
            </w:tcBorders>
            <w:shd w:val="clear" w:color="auto" w:fill="D9D9D9" w:themeFill="background1" w:themeFillShade="D9"/>
          </w:tcPr>
          <w:p w14:paraId="0AD9EABD" w14:textId="77777777" w:rsidR="00861E5C" w:rsidRPr="00861E5C" w:rsidRDefault="00861E5C" w:rsidP="00FE0534">
            <w:pPr>
              <w:widowControl w:val="0"/>
              <w:spacing w:before="60" w:after="60" w:line="288" w:lineRule="auto"/>
              <w:jc w:val="left"/>
              <w:rPr>
                <w:rFonts w:ascii="Arial Narrow" w:hAnsi="Arial Narrow"/>
                <w:sz w:val="20"/>
                <w:szCs w:val="20"/>
              </w:rPr>
            </w:pPr>
          </w:p>
        </w:tc>
        <w:tc>
          <w:tcPr>
            <w:tcW w:w="1303" w:type="pct"/>
            <w:tcBorders>
              <w:top w:val="single" w:sz="4" w:space="0" w:color="auto"/>
              <w:bottom w:val="single" w:sz="4" w:space="0" w:color="auto"/>
            </w:tcBorders>
            <w:shd w:val="clear" w:color="auto" w:fill="D9D9D9" w:themeFill="background1" w:themeFillShade="D9"/>
          </w:tcPr>
          <w:p w14:paraId="650EF9AC" w14:textId="77777777" w:rsidR="00861E5C" w:rsidRPr="00861E5C" w:rsidRDefault="00861E5C" w:rsidP="00FE0534">
            <w:pPr>
              <w:widowControl w:val="0"/>
              <w:spacing w:before="60" w:after="60" w:line="288" w:lineRule="auto"/>
              <w:jc w:val="left"/>
              <w:rPr>
                <w:rFonts w:ascii="Arial Narrow" w:hAnsi="Arial Narrow"/>
                <w:sz w:val="20"/>
                <w:szCs w:val="20"/>
              </w:rPr>
            </w:pPr>
          </w:p>
        </w:tc>
        <w:tc>
          <w:tcPr>
            <w:tcW w:w="1303" w:type="pct"/>
            <w:tcBorders>
              <w:top w:val="single" w:sz="4" w:space="0" w:color="auto"/>
              <w:bottom w:val="single" w:sz="4" w:space="0" w:color="auto"/>
              <w:right w:val="single" w:sz="4" w:space="0" w:color="auto"/>
            </w:tcBorders>
            <w:shd w:val="clear" w:color="auto" w:fill="D9D9D9" w:themeFill="background1" w:themeFillShade="D9"/>
          </w:tcPr>
          <w:p w14:paraId="0A8D315A" w14:textId="77777777" w:rsidR="00861E5C" w:rsidRPr="00861E5C" w:rsidRDefault="00861E5C" w:rsidP="00FE0534">
            <w:pPr>
              <w:widowControl w:val="0"/>
              <w:spacing w:before="60" w:after="60" w:line="288" w:lineRule="auto"/>
              <w:jc w:val="left"/>
              <w:rPr>
                <w:rFonts w:ascii="Arial Narrow" w:hAnsi="Arial Narrow"/>
                <w:sz w:val="20"/>
                <w:szCs w:val="20"/>
              </w:rPr>
            </w:pPr>
          </w:p>
        </w:tc>
      </w:tr>
      <w:tr w:rsidR="00861E5C" w:rsidRPr="00861E5C" w14:paraId="77257180"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6A24452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Ambrogi et al (2011)</w:t>
            </w:r>
          </w:p>
          <w:p w14:paraId="0C7DAA0F"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Italy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4BF1C07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CS (enrolment NR)</w:t>
            </w:r>
          </w:p>
          <w:p w14:paraId="147165D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Level IV</w:t>
            </w:r>
          </w:p>
          <w:p w14:paraId="5D5D471E"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 xml:space="preserve">Risk of bias: High </w:t>
            </w:r>
          </w:p>
          <w:p w14:paraId="5E7E2B74" w14:textId="15B18575"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46 (12</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 xml:space="preserve">82) months </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2955EE03" w14:textId="026C2DDC"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s</w:t>
            </w:r>
            <w:r w:rsidRPr="00861E5C">
              <w:rPr>
                <w:rFonts w:ascii="Arial Narrow" w:hAnsi="Arial Narrow"/>
                <w:snapToGrid w:val="0"/>
                <w:sz w:val="20"/>
                <w:szCs w:val="20"/>
                <w:lang w:eastAsia="en-US"/>
              </w:rPr>
              <w:t>tage IA-IB NSCLC, inoperable or refused surgery, lesion diameter ≤ 50 mm</w:t>
            </w:r>
          </w:p>
          <w:p w14:paraId="6098C00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57 (59 lesions)</w:t>
            </w:r>
          </w:p>
          <w:p w14:paraId="5F0ADB2D" w14:textId="48A9DB01"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size 26 (11</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50) mm</w:t>
            </w:r>
          </w:p>
          <w:p w14:paraId="3E872E0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45 (79%): Females 12 (21%)</w:t>
            </w:r>
          </w:p>
          <w:p w14:paraId="62FCC257" w14:textId="373DFF8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age 74 (40</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88) years</w:t>
            </w:r>
          </w:p>
          <w:p w14:paraId="15B8659D"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pulmonary metastectomy (20/57, 35%), chemotherapy + RFA (1/57, 2%)</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E1F01FD"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 xml:space="preserve">Intervention: CT- or US-guided RFA </w:t>
            </w:r>
          </w:p>
          <w:p w14:paraId="669C2B76"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Local anaesthesia + conscious sedation</w:t>
            </w:r>
          </w:p>
          <w:p w14:paraId="103C44EE"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71 ablation sessions</w:t>
            </w:r>
          </w:p>
          <w:p w14:paraId="732D29FC"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Mean total procedure duration 39 mins (ablation duration 22 mins per lesion)</w:t>
            </w:r>
          </w:p>
          <w:p w14:paraId="26B0AC59"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2D0994A" w14:textId="77777777" w:rsidR="00861E5C" w:rsidRPr="00861E5C" w:rsidRDefault="00861E5C" w:rsidP="00FE0534">
            <w:pPr>
              <w:keepNext/>
              <w:widowControl w:val="0"/>
              <w:numPr>
                <w:ilvl w:val="0"/>
                <w:numId w:val="45"/>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not defined (calculated with Kaplan-Meier method)</w:t>
            </w:r>
          </w:p>
          <w:p w14:paraId="7795863E" w14:textId="77777777" w:rsidR="00861E5C" w:rsidRPr="00861E5C" w:rsidRDefault="00861E5C" w:rsidP="00FE0534">
            <w:pPr>
              <w:keepNext/>
              <w:widowControl w:val="0"/>
              <w:numPr>
                <w:ilvl w:val="0"/>
                <w:numId w:val="45"/>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Cancer-free survival: not defined (calculated with Kaplan-Meier method)</w:t>
            </w:r>
          </w:p>
          <w:p w14:paraId="3E4BFAF9" w14:textId="77777777" w:rsidR="00861E5C" w:rsidRPr="00861E5C" w:rsidRDefault="00861E5C" w:rsidP="00FE0534">
            <w:pPr>
              <w:keepNext/>
              <w:widowControl w:val="0"/>
              <w:numPr>
                <w:ilvl w:val="0"/>
                <w:numId w:val="45"/>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Major adverse event: those resulting in readmission to the hospital for treatment</w:t>
            </w:r>
          </w:p>
          <w:p w14:paraId="03E80571" w14:textId="77777777" w:rsidR="00861E5C" w:rsidRPr="00861E5C" w:rsidRDefault="00861E5C" w:rsidP="00FE0534">
            <w:pPr>
              <w:keepNext/>
              <w:widowControl w:val="0"/>
              <w:numPr>
                <w:ilvl w:val="0"/>
                <w:numId w:val="45"/>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Minor adverse event: those resulting in no sequelae or needing nominal treatment</w:t>
            </w:r>
          </w:p>
        </w:tc>
      </w:tr>
      <w:tr w:rsidR="00861E5C" w:rsidRPr="00861E5C" w14:paraId="08055742"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7280373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Dupuy et al (2015)</w:t>
            </w:r>
          </w:p>
          <w:p w14:paraId="3BD2C1E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USA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1F655FB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Prospective CS</w:t>
            </w:r>
          </w:p>
          <w:p w14:paraId="0F1583B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Level IV</w:t>
            </w:r>
          </w:p>
          <w:p w14:paraId="476AB89B"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 xml:space="preserve">Risk of bias: High </w:t>
            </w:r>
          </w:p>
          <w:p w14:paraId="6438E3D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*24 (NR)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75892DD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s</w:t>
            </w:r>
            <w:r w:rsidRPr="00861E5C">
              <w:rPr>
                <w:rFonts w:ascii="Arial Narrow" w:hAnsi="Arial Narrow"/>
                <w:snapToGrid w:val="0"/>
                <w:sz w:val="20"/>
                <w:szCs w:val="20"/>
                <w:lang w:eastAsia="en-US"/>
              </w:rPr>
              <w:t>tage IA NSCLC, inoperable or refused surgery, lesion diameter ≤ 30 mm</w:t>
            </w:r>
          </w:p>
          <w:p w14:paraId="2AB01AD9"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51 (51 lesions)</w:t>
            </w:r>
          </w:p>
          <w:p w14:paraId="4102C1FC" w14:textId="433280C2"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size 21 (8</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30) mm</w:t>
            </w:r>
          </w:p>
          <w:p w14:paraId="21D8C182"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23 (45%): Females 28 (55%)</w:t>
            </w:r>
          </w:p>
          <w:p w14:paraId="13844D5B" w14:textId="3EF2208B"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age 76 (60</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89) years</w:t>
            </w:r>
          </w:p>
          <w:p w14:paraId="5598473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DF0FACC"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30D23A94"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Local anaesthesia + conscious sedation</w:t>
            </w:r>
          </w:p>
          <w:p w14:paraId="0C1E0AC6"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Single lesion/ablation session per patient</w:t>
            </w:r>
          </w:p>
          <w:p w14:paraId="778FFA95"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Maximum 36 minutes per ablation</w:t>
            </w:r>
          </w:p>
          <w:p w14:paraId="698D3038"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87FCB8D" w14:textId="18369E86" w:rsidR="00861E5C" w:rsidRPr="00861E5C" w:rsidRDefault="00861E5C" w:rsidP="00FE0534">
            <w:pPr>
              <w:keepNext/>
              <w:widowControl w:val="0"/>
              <w:numPr>
                <w:ilvl w:val="0"/>
                <w:numId w:val="46"/>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not defined (Kaplan-Meier)</w:t>
            </w:r>
          </w:p>
          <w:p w14:paraId="09B0E00E" w14:textId="25C11EC3" w:rsidR="00861E5C" w:rsidRPr="00861E5C" w:rsidRDefault="00861E5C" w:rsidP="00FE0534">
            <w:pPr>
              <w:widowControl w:val="0"/>
              <w:numPr>
                <w:ilvl w:val="0"/>
                <w:numId w:val="46"/>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Recurrence-free survival: time from RFA to death or recurrence (Kaplan-Meier method)</w:t>
            </w:r>
          </w:p>
          <w:p w14:paraId="619027EA" w14:textId="77777777" w:rsidR="00861E5C" w:rsidRPr="00861E5C" w:rsidRDefault="00861E5C" w:rsidP="00FE0534">
            <w:pPr>
              <w:keepNext/>
              <w:widowControl w:val="0"/>
              <w:numPr>
                <w:ilvl w:val="0"/>
                <w:numId w:val="46"/>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recurrence: recurrence in same lobe or hilum (based on CT scan)</w:t>
            </w:r>
          </w:p>
          <w:p w14:paraId="72582A00" w14:textId="3BAE38AD" w:rsidR="00861E5C" w:rsidRPr="00861E5C" w:rsidRDefault="00861E5C" w:rsidP="00FE0534">
            <w:pPr>
              <w:keepNext/>
              <w:widowControl w:val="0"/>
              <w:numPr>
                <w:ilvl w:val="0"/>
                <w:numId w:val="46"/>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Regional recurrence: recurrence within another lobe on the same side of ablation or within ipsilateral mediastinal or subcarinal nodes </w:t>
            </w:r>
          </w:p>
          <w:p w14:paraId="3B5034B7" w14:textId="77777777" w:rsidR="00861E5C" w:rsidRPr="00861E5C" w:rsidRDefault="00861E5C" w:rsidP="00FE0534">
            <w:pPr>
              <w:keepNext/>
              <w:widowControl w:val="0"/>
              <w:numPr>
                <w:ilvl w:val="0"/>
                <w:numId w:val="46"/>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Distant recurrence: recurrence within a contralateral, mediastinal node or distant metastatic disease (based on CT scan)</w:t>
            </w:r>
          </w:p>
          <w:p w14:paraId="0F032DEB" w14:textId="77777777" w:rsidR="00861E5C" w:rsidRPr="00861E5C" w:rsidRDefault="00861E5C" w:rsidP="00FE0534">
            <w:pPr>
              <w:keepNext/>
              <w:widowControl w:val="0"/>
              <w:numPr>
                <w:ilvl w:val="0"/>
                <w:numId w:val="46"/>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CTCAE v3.0</w:t>
            </w:r>
          </w:p>
        </w:tc>
      </w:tr>
      <w:tr w:rsidR="00861E5C" w:rsidRPr="00861E5C" w14:paraId="02B030F0"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4FF12C02"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lastRenderedPageBreak/>
              <w:t xml:space="preserve">Hiraki et al </w:t>
            </w:r>
          </w:p>
          <w:p w14:paraId="723228EF"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(2011)</w:t>
            </w:r>
          </w:p>
          <w:p w14:paraId="09593B5C"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Japan</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3F46E68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Retrospective CS</w:t>
            </w:r>
          </w:p>
          <w:p w14:paraId="1E05B18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Level IV</w:t>
            </w:r>
          </w:p>
          <w:p w14:paraId="5B78CA55"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 xml:space="preserve">Risk of bias: High </w:t>
            </w:r>
          </w:p>
          <w:p w14:paraId="43F6F87E" w14:textId="0543BB24"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37 (2</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88)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74A7DCE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s</w:t>
            </w:r>
            <w:r w:rsidRPr="00861E5C">
              <w:rPr>
                <w:rFonts w:ascii="Arial Narrow" w:hAnsi="Arial Narrow"/>
                <w:snapToGrid w:val="0"/>
                <w:sz w:val="20"/>
                <w:szCs w:val="20"/>
                <w:lang w:eastAsia="en-US"/>
              </w:rPr>
              <w:t xml:space="preserve">tage IA-IB NSCLC, inoperable or refused surgery </w:t>
            </w:r>
          </w:p>
          <w:p w14:paraId="66D26FA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50 (52 lesions)</w:t>
            </w:r>
          </w:p>
          <w:p w14:paraId="3212E6BD" w14:textId="47D52C04"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size 21 (7</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60) mm</w:t>
            </w:r>
          </w:p>
          <w:p w14:paraId="1A2A9E8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29 (58%): Females 21 (42%)</w:t>
            </w:r>
          </w:p>
          <w:p w14:paraId="70116268" w14:textId="0C668536"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age 75 (52</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88) years</w:t>
            </w:r>
          </w:p>
          <w:p w14:paraId="65F9322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resection of extrapulmonary lesions (16/50, 32%)</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24060478"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15E64491"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Local anaesthesia + conscious sedation</w:t>
            </w:r>
          </w:p>
          <w:p w14:paraId="3DE12167"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52 ablation sessions</w:t>
            </w:r>
          </w:p>
          <w:p w14:paraId="00CB4523" w14:textId="303E8D15"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Ablation duration 12</w:t>
            </w:r>
            <w:r w:rsidR="00D35E9C">
              <w:rPr>
                <w:rFonts w:ascii="Arial Narrow" w:hAnsi="Arial Narrow"/>
                <w:sz w:val="20"/>
                <w:szCs w:val="20"/>
              </w:rPr>
              <w:t>–</w:t>
            </w:r>
            <w:r w:rsidRPr="00861E5C">
              <w:rPr>
                <w:rFonts w:ascii="Arial Narrow" w:hAnsi="Arial Narrow"/>
                <w:sz w:val="20"/>
                <w:szCs w:val="20"/>
              </w:rPr>
              <w:t>15 mins per lesion</w:t>
            </w:r>
          </w:p>
          <w:p w14:paraId="11280597"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76B3C56" w14:textId="77777777" w:rsidR="00861E5C" w:rsidRPr="00861E5C" w:rsidRDefault="00861E5C" w:rsidP="00FE0534">
            <w:pPr>
              <w:keepNext/>
              <w:widowControl w:val="0"/>
              <w:numPr>
                <w:ilvl w:val="0"/>
                <w:numId w:val="4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time from RFA to death (calculated with Kaplan-Meier method)</w:t>
            </w:r>
          </w:p>
          <w:p w14:paraId="77F68359" w14:textId="77777777" w:rsidR="00861E5C" w:rsidRPr="00861E5C" w:rsidRDefault="00861E5C" w:rsidP="00FE0534">
            <w:pPr>
              <w:keepNext/>
              <w:widowControl w:val="0"/>
              <w:numPr>
                <w:ilvl w:val="0"/>
                <w:numId w:val="4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Cancer-specific survival: time from RFA to cancer-related death (calculated with Kaplan-Meier method)</w:t>
            </w:r>
          </w:p>
          <w:p w14:paraId="4719D63B" w14:textId="77777777" w:rsidR="00861E5C" w:rsidRPr="00861E5C" w:rsidRDefault="00861E5C" w:rsidP="00FE0534">
            <w:pPr>
              <w:keepNext/>
              <w:widowControl w:val="0"/>
              <w:numPr>
                <w:ilvl w:val="0"/>
                <w:numId w:val="4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Disease-free survival: time from RFA to death or cancer recurrence (calculated with Kaplan-Meier method)</w:t>
            </w:r>
          </w:p>
          <w:p w14:paraId="453C7AA9" w14:textId="77777777" w:rsidR="00861E5C" w:rsidRPr="00861E5C" w:rsidRDefault="00861E5C" w:rsidP="00FE0534">
            <w:pPr>
              <w:keepNext/>
              <w:widowControl w:val="0"/>
              <w:numPr>
                <w:ilvl w:val="0"/>
                <w:numId w:val="4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Parenchymal recurrence: recurrence in the same lobe but away from ablation zone</w:t>
            </w:r>
          </w:p>
          <w:p w14:paraId="3C3A8E72" w14:textId="77777777" w:rsidR="00861E5C" w:rsidRPr="00861E5C" w:rsidRDefault="00861E5C" w:rsidP="00FE0534">
            <w:pPr>
              <w:keepNext/>
              <w:widowControl w:val="0"/>
              <w:numPr>
                <w:ilvl w:val="0"/>
                <w:numId w:val="4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Regional recurrence: recurrence in hilar and ipsilateral mediastinal lymph node  </w:t>
            </w:r>
          </w:p>
          <w:p w14:paraId="2D777838" w14:textId="77777777" w:rsidR="00861E5C" w:rsidRPr="00861E5C" w:rsidRDefault="00861E5C" w:rsidP="00FE0534">
            <w:pPr>
              <w:widowControl w:val="0"/>
              <w:numPr>
                <w:ilvl w:val="0"/>
                <w:numId w:val="4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Distant recurrence: all other recurrences</w:t>
            </w:r>
          </w:p>
          <w:p w14:paraId="5B4BB6C9" w14:textId="77777777" w:rsidR="00861E5C" w:rsidRPr="00861E5C" w:rsidRDefault="00861E5C" w:rsidP="00FE0534">
            <w:pPr>
              <w:keepNext/>
              <w:widowControl w:val="0"/>
              <w:numPr>
                <w:ilvl w:val="0"/>
                <w:numId w:val="4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CTCAE v 4.0</w:t>
            </w:r>
          </w:p>
        </w:tc>
      </w:tr>
      <w:tr w:rsidR="00861E5C" w:rsidRPr="00861E5C" w14:paraId="2286A93E"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3C521A9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Lanuti et al</w:t>
            </w:r>
          </w:p>
          <w:p w14:paraId="34D2DD90"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(2012)</w:t>
            </w:r>
          </w:p>
          <w:p w14:paraId="188AAB7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USA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1AE0B90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Retrospective CS </w:t>
            </w:r>
          </w:p>
          <w:p w14:paraId="3A269E8D"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Level IV</w:t>
            </w:r>
          </w:p>
          <w:p w14:paraId="769D67BA"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 xml:space="preserve">Risk of bias: High </w:t>
            </w:r>
          </w:p>
          <w:p w14:paraId="0FA148FA" w14:textId="0DB416AC"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32 (2</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75)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397962C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s</w:t>
            </w:r>
            <w:r w:rsidRPr="00861E5C">
              <w:rPr>
                <w:rFonts w:ascii="Arial Narrow" w:hAnsi="Arial Narrow"/>
                <w:snapToGrid w:val="0"/>
                <w:sz w:val="20"/>
                <w:szCs w:val="20"/>
                <w:lang w:eastAsia="en-US"/>
              </w:rPr>
              <w:t>tage IA-IB NSCLC, inoperable or refused surgery, lesion diameter &lt; 50 mm, no disease outside involved lobe</w:t>
            </w:r>
          </w:p>
          <w:p w14:paraId="00CF62D5"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45 (55 lesions)</w:t>
            </w:r>
          </w:p>
          <w:p w14:paraId="2F0F467E" w14:textId="4EE7687D"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size 20 (7</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45) mm</w:t>
            </w:r>
          </w:p>
          <w:p w14:paraId="781023B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18 (40%): Females 27 (60%)</w:t>
            </w:r>
          </w:p>
          <w:p w14:paraId="1E36336D" w14:textId="076B85D8"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age 70 (51</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89) years</w:t>
            </w:r>
          </w:p>
          <w:p w14:paraId="205FB10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resection of NSCLC (26/45, 58%)</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1217C1AD"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RFA (guidance NR)</w:t>
            </w:r>
          </w:p>
          <w:p w14:paraId="346DB2AF"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Local anaesthesia + conscious sedation</w:t>
            </w:r>
          </w:p>
          <w:p w14:paraId="6F6CBD30"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55 ablation sessions</w:t>
            </w:r>
          </w:p>
          <w:p w14:paraId="39A2BD91"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Ablation duration NR</w:t>
            </w:r>
          </w:p>
          <w:p w14:paraId="334F4981"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3C3ADF0" w14:textId="77777777" w:rsidR="00861E5C" w:rsidRPr="00861E5C" w:rsidRDefault="00861E5C" w:rsidP="00FE0534">
            <w:pPr>
              <w:widowControl w:val="0"/>
              <w:numPr>
                <w:ilvl w:val="0"/>
                <w:numId w:val="48"/>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not defined (calculated with Kaplan-Meier method)</w:t>
            </w:r>
          </w:p>
          <w:p w14:paraId="04F47C06" w14:textId="77777777" w:rsidR="00861E5C" w:rsidRPr="00861E5C" w:rsidRDefault="00861E5C" w:rsidP="00FE0534">
            <w:pPr>
              <w:widowControl w:val="0"/>
              <w:numPr>
                <w:ilvl w:val="0"/>
                <w:numId w:val="48"/>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Disease-free survival: not defined (calculated with Kaplan-Meier method)</w:t>
            </w:r>
          </w:p>
          <w:p w14:paraId="3246AF9F" w14:textId="77777777" w:rsidR="00861E5C" w:rsidRPr="00861E5C" w:rsidRDefault="00861E5C" w:rsidP="00FE0534">
            <w:pPr>
              <w:widowControl w:val="0"/>
              <w:numPr>
                <w:ilvl w:val="0"/>
                <w:numId w:val="48"/>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control: no focal or diffuse enlargement of the ablated lesion on CT and no evidence of eccentric enhancement on PET at 3 or more months of follow-up.</w:t>
            </w:r>
          </w:p>
          <w:p w14:paraId="5CCC3E80" w14:textId="77777777" w:rsidR="00861E5C" w:rsidRPr="00861E5C" w:rsidRDefault="00861E5C" w:rsidP="00FE0534">
            <w:pPr>
              <w:widowControl w:val="0"/>
              <w:numPr>
                <w:ilvl w:val="0"/>
                <w:numId w:val="48"/>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Adverse events: </w:t>
            </w:r>
            <w:r w:rsidR="00E5069F">
              <w:rPr>
                <w:rFonts w:ascii="Arial Narrow" w:hAnsi="Arial Narrow"/>
                <w:snapToGrid w:val="0"/>
                <w:sz w:val="20"/>
                <w:szCs w:val="20"/>
                <w:lang w:eastAsia="en-US"/>
              </w:rPr>
              <w:t>not defined</w:t>
            </w:r>
          </w:p>
        </w:tc>
      </w:tr>
      <w:tr w:rsidR="00861E5C" w:rsidRPr="00861E5C" w14:paraId="732C4B16"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231762D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lastRenderedPageBreak/>
              <w:t xml:space="preserve">Liu et al </w:t>
            </w:r>
          </w:p>
          <w:p w14:paraId="533808E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(2015)</w:t>
            </w:r>
          </w:p>
          <w:p w14:paraId="27BB741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China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D618A3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Retrospective CS </w:t>
            </w:r>
          </w:p>
          <w:p w14:paraId="01FF72F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Level IV</w:t>
            </w:r>
          </w:p>
          <w:p w14:paraId="3FEA1631"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 xml:space="preserve">Risk of bias: High </w:t>
            </w:r>
          </w:p>
          <w:p w14:paraId="126232F1" w14:textId="1800CEA0"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19 (2</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75)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C490990" w14:textId="104909AA"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s</w:t>
            </w:r>
            <w:r w:rsidRPr="00861E5C">
              <w:rPr>
                <w:rFonts w:ascii="Arial Narrow" w:hAnsi="Arial Narrow"/>
                <w:snapToGrid w:val="0"/>
                <w:sz w:val="20"/>
                <w:szCs w:val="20"/>
                <w:lang w:eastAsia="en-US"/>
              </w:rPr>
              <w:t>tage IA</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IB NSCLC, inoperable or refused surgery, ECOG status ≤ 2</w:t>
            </w:r>
          </w:p>
          <w:p w14:paraId="7900B41F"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29 (29 lesions)</w:t>
            </w:r>
          </w:p>
          <w:p w14:paraId="2B0B0F29" w14:textId="12708D80"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size 31 (15</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48) mm</w:t>
            </w:r>
          </w:p>
          <w:p w14:paraId="6251622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18 (58%): Females 11 (42%)</w:t>
            </w:r>
          </w:p>
          <w:p w14:paraId="672F25DE" w14:textId="7950DBB6"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age 78 (56</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85) years</w:t>
            </w:r>
          </w:p>
          <w:p w14:paraId="16CC9C3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2922A19"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7C65D06D"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Local anaesthesia + conscious sedation</w:t>
            </w:r>
          </w:p>
          <w:p w14:paraId="68F9F382"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33 ablation sessions</w:t>
            </w:r>
          </w:p>
          <w:p w14:paraId="57FFC3A0" w14:textId="03D0B69F"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Mean procedure duration 39 (15</w:t>
            </w:r>
            <w:r w:rsidR="00D35E9C">
              <w:rPr>
                <w:rFonts w:ascii="Arial Narrow" w:hAnsi="Arial Narrow"/>
                <w:sz w:val="20"/>
                <w:szCs w:val="20"/>
              </w:rPr>
              <w:t>–</w:t>
            </w:r>
            <w:r w:rsidRPr="00861E5C">
              <w:rPr>
                <w:rFonts w:ascii="Arial Narrow" w:hAnsi="Arial Narrow"/>
                <w:sz w:val="20"/>
                <w:szCs w:val="20"/>
              </w:rPr>
              <w:t>120) mins [mean ablation duration 22 (12</w:t>
            </w:r>
            <w:r w:rsidR="00D35E9C">
              <w:rPr>
                <w:rFonts w:ascii="Arial Narrow" w:hAnsi="Arial Narrow"/>
                <w:sz w:val="20"/>
                <w:szCs w:val="20"/>
              </w:rPr>
              <w:t>–</w:t>
            </w:r>
            <w:r w:rsidRPr="00861E5C">
              <w:rPr>
                <w:rFonts w:ascii="Arial Narrow" w:hAnsi="Arial Narrow"/>
                <w:sz w:val="20"/>
                <w:szCs w:val="20"/>
              </w:rPr>
              <w:t>32) mins]</w:t>
            </w:r>
          </w:p>
          <w:p w14:paraId="0A00C591"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AA8097E" w14:textId="77777777" w:rsidR="00861E5C" w:rsidRPr="00861E5C" w:rsidRDefault="00861E5C" w:rsidP="00FE0534">
            <w:pPr>
              <w:keepNext/>
              <w:widowControl w:val="0"/>
              <w:numPr>
                <w:ilvl w:val="0"/>
                <w:numId w:val="49"/>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time from RFA to death (calculated with Kaplan-Meier method)</w:t>
            </w:r>
          </w:p>
          <w:p w14:paraId="7B80FAFD" w14:textId="77777777" w:rsidR="00861E5C" w:rsidRPr="00861E5C" w:rsidRDefault="00861E5C" w:rsidP="00FE0534">
            <w:pPr>
              <w:widowControl w:val="0"/>
              <w:numPr>
                <w:ilvl w:val="0"/>
                <w:numId w:val="49"/>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Cancer-specific survival: not defined (calculated with Kaplan-Meier method)</w:t>
            </w:r>
          </w:p>
          <w:p w14:paraId="1E29C269" w14:textId="77777777" w:rsidR="00861E5C" w:rsidRPr="00861E5C" w:rsidRDefault="00861E5C" w:rsidP="00FE0534">
            <w:pPr>
              <w:widowControl w:val="0"/>
              <w:numPr>
                <w:ilvl w:val="0"/>
                <w:numId w:val="49"/>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progression: Focal enhancement of soft tissue compared with initial CT</w:t>
            </w:r>
          </w:p>
          <w:p w14:paraId="6E3B4754" w14:textId="0CE112B2" w:rsidR="00861E5C" w:rsidRPr="00861E5C" w:rsidRDefault="00861E5C" w:rsidP="00FE0534">
            <w:pPr>
              <w:keepNext/>
              <w:widowControl w:val="0"/>
              <w:numPr>
                <w:ilvl w:val="0"/>
                <w:numId w:val="49"/>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puncture-related and ablation-related complications, minor complications, major complications</w:t>
            </w:r>
          </w:p>
        </w:tc>
      </w:tr>
      <w:tr w:rsidR="00861E5C" w:rsidRPr="00861E5C" w14:paraId="4444B83D"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054988A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Ridge et al</w:t>
            </w:r>
          </w:p>
          <w:p w14:paraId="710C134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(2014)</w:t>
            </w:r>
          </w:p>
          <w:p w14:paraId="774D90B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USA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75B5C692"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Retrospective CS</w:t>
            </w:r>
          </w:p>
          <w:p w14:paraId="598FC640"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Level IV</w:t>
            </w:r>
          </w:p>
          <w:p w14:paraId="7BB55EC9"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 xml:space="preserve">Risk of bias: High </w:t>
            </w:r>
          </w:p>
          <w:p w14:paraId="7802478B" w14:textId="417FAAE4"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30 (12</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85)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A7F898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s</w:t>
            </w:r>
            <w:r w:rsidRPr="00861E5C">
              <w:rPr>
                <w:rFonts w:ascii="Arial Narrow" w:hAnsi="Arial Narrow"/>
                <w:snapToGrid w:val="0"/>
                <w:sz w:val="20"/>
                <w:szCs w:val="20"/>
                <w:lang w:eastAsia="en-US"/>
              </w:rPr>
              <w:t>tage IA-IIA NSCLC, no prior in-field RT or resection, no chemo 12 months prior</w:t>
            </w:r>
          </w:p>
          <w:p w14:paraId="59CB8E0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29 (29 lesions)</w:t>
            </w:r>
          </w:p>
          <w:p w14:paraId="711587A6" w14:textId="7BE18526"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size 14 (10</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26) mm</w:t>
            </w:r>
          </w:p>
          <w:p w14:paraId="6201DFF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12 (41%): Females 17 (59%)</w:t>
            </w:r>
          </w:p>
          <w:p w14:paraId="7CF9FFE3" w14:textId="34B73EC9"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age 73 (55</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86) years</w:t>
            </w:r>
          </w:p>
          <w:p w14:paraId="1DDA9CA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resection ± radiotherapy for pulmonary lesions (14/29, 48%)</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6B88FCD"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5171A335"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General anaesthesia</w:t>
            </w:r>
          </w:p>
          <w:p w14:paraId="0F8F0C23"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Number of sessions NR</w:t>
            </w:r>
          </w:p>
          <w:p w14:paraId="7DD1530F"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Ablation/procedure time NR</w:t>
            </w:r>
          </w:p>
          <w:p w14:paraId="626C5711"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71550150" w14:textId="1A4854C9" w:rsidR="00861E5C" w:rsidRPr="00861E5C" w:rsidRDefault="00861E5C" w:rsidP="00FE0534">
            <w:pPr>
              <w:keepNext/>
              <w:widowControl w:val="0"/>
              <w:numPr>
                <w:ilvl w:val="0"/>
                <w:numId w:val="50"/>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time from RFA to death or last follow-up (Kaplan-Meier)</w:t>
            </w:r>
          </w:p>
          <w:p w14:paraId="6520479B" w14:textId="58759ACC" w:rsidR="00861E5C" w:rsidRPr="00861E5C" w:rsidRDefault="00861E5C" w:rsidP="00FE0534">
            <w:pPr>
              <w:keepNext/>
              <w:widowControl w:val="0"/>
              <w:numPr>
                <w:ilvl w:val="0"/>
                <w:numId w:val="50"/>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Progression-free survival: time from RFA to disease progression or death (Kaplan-Meier)</w:t>
            </w:r>
          </w:p>
          <w:p w14:paraId="2267F4BB" w14:textId="15C3425C" w:rsidR="00861E5C" w:rsidRPr="00861E5C" w:rsidRDefault="00861E5C" w:rsidP="00FE0534">
            <w:pPr>
              <w:keepNext/>
              <w:widowControl w:val="0"/>
              <w:numPr>
                <w:ilvl w:val="0"/>
                <w:numId w:val="50"/>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Local control: decrease in </w:t>
            </w:r>
            <w:r w:rsidR="00E32D0F">
              <w:rPr>
                <w:rFonts w:ascii="Arial Narrow" w:hAnsi="Arial Narrow"/>
                <w:snapToGrid w:val="0"/>
                <w:sz w:val="20"/>
                <w:szCs w:val="20"/>
                <w:lang w:eastAsia="en-US"/>
              </w:rPr>
              <w:t xml:space="preserve">tumour diameter of at least 30%, </w:t>
            </w:r>
            <w:r w:rsidRPr="00861E5C">
              <w:rPr>
                <w:rFonts w:ascii="Arial Narrow" w:hAnsi="Arial Narrow"/>
                <w:snapToGrid w:val="0"/>
                <w:sz w:val="20"/>
                <w:szCs w:val="20"/>
                <w:lang w:eastAsia="en-US"/>
              </w:rPr>
              <w:t>no evidence of peripheral tumour growth</w:t>
            </w:r>
            <w:r w:rsidR="00E32D0F">
              <w:rPr>
                <w:rFonts w:ascii="Arial Narrow" w:hAnsi="Arial Narrow"/>
                <w:snapToGrid w:val="0"/>
                <w:sz w:val="20"/>
                <w:szCs w:val="20"/>
                <w:lang w:eastAsia="en-US"/>
              </w:rPr>
              <w:t>,</w:t>
            </w:r>
            <w:r w:rsidRPr="00861E5C">
              <w:rPr>
                <w:rFonts w:ascii="Arial Narrow" w:hAnsi="Arial Narrow"/>
                <w:snapToGrid w:val="0"/>
                <w:sz w:val="20"/>
                <w:szCs w:val="20"/>
                <w:lang w:eastAsia="en-US"/>
              </w:rPr>
              <w:t xml:space="preserve"> loss of lesional FDG avidity on PET/CT</w:t>
            </w:r>
          </w:p>
          <w:p w14:paraId="0924613C" w14:textId="77777777" w:rsidR="00861E5C" w:rsidRPr="00861E5C" w:rsidRDefault="00861E5C" w:rsidP="00FE0534">
            <w:pPr>
              <w:keepNext/>
              <w:widowControl w:val="0"/>
              <w:numPr>
                <w:ilvl w:val="0"/>
                <w:numId w:val="50"/>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progression: interval increase in size or FDG uptake within the ablation lesion</w:t>
            </w:r>
          </w:p>
          <w:p w14:paraId="53B2F038" w14:textId="63E96BFF" w:rsidR="00861E5C" w:rsidRPr="00861E5C" w:rsidRDefault="00861E5C" w:rsidP="00FE0534">
            <w:pPr>
              <w:keepNext/>
              <w:widowControl w:val="0"/>
              <w:numPr>
                <w:ilvl w:val="0"/>
                <w:numId w:val="50"/>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Intrapulmonary recurrence: new lesion within treated lobe or adjacent pleura with increasing FDG uptake or increase size on follow-up</w:t>
            </w:r>
          </w:p>
          <w:p w14:paraId="12B681BE" w14:textId="77777777" w:rsidR="00861E5C" w:rsidRPr="00861E5C" w:rsidRDefault="00861E5C" w:rsidP="00FE0534">
            <w:pPr>
              <w:keepNext/>
              <w:widowControl w:val="0"/>
              <w:numPr>
                <w:ilvl w:val="0"/>
                <w:numId w:val="50"/>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Distant recurrence: new metastasis at extralobar or extrathoracic site</w:t>
            </w:r>
          </w:p>
          <w:p w14:paraId="7E9C10FD" w14:textId="77777777" w:rsidR="00861E5C" w:rsidRPr="00861E5C" w:rsidRDefault="00861E5C" w:rsidP="00FE0534">
            <w:pPr>
              <w:keepNext/>
              <w:widowControl w:val="0"/>
              <w:numPr>
                <w:ilvl w:val="0"/>
                <w:numId w:val="50"/>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Adverse events: CTCAE </w:t>
            </w:r>
          </w:p>
        </w:tc>
      </w:tr>
      <w:tr w:rsidR="00861E5C" w:rsidRPr="00861E5C" w14:paraId="38B63399"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1B5CDF9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lastRenderedPageBreak/>
              <w:t>Safi et al</w:t>
            </w:r>
          </w:p>
          <w:p w14:paraId="54FA7F1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(2015)</w:t>
            </w:r>
          </w:p>
          <w:p w14:paraId="28EB84E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Germany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6E55838D"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Retrospective cohort study</w:t>
            </w:r>
          </w:p>
          <w:p w14:paraId="61A4B3ED"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Level III-3</w:t>
            </w:r>
          </w:p>
          <w:p w14:paraId="0697871C"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7E26E1E2" w14:textId="48B2B5EE"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10</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 xml:space="preserve">13 months (range NR)  </w:t>
            </w:r>
          </w:p>
          <w:p w14:paraId="34B49B7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FBC90D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s</w:t>
            </w:r>
            <w:r w:rsidRPr="00861E5C">
              <w:rPr>
                <w:rFonts w:ascii="Arial Narrow" w:hAnsi="Arial Narrow"/>
                <w:snapToGrid w:val="0"/>
                <w:sz w:val="20"/>
                <w:szCs w:val="20"/>
                <w:lang w:eastAsia="en-US"/>
              </w:rPr>
              <w:t>tage IA-IB NSCLC</w:t>
            </w:r>
          </w:p>
          <w:p w14:paraId="500CC6C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25 [intervention]</w:t>
            </w:r>
          </w:p>
          <w:p w14:paraId="15323E6C"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49 [comparator]</w:t>
            </w:r>
          </w:p>
          <w:p w14:paraId="43917A52" w14:textId="3FB71BD5"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size 22 (10</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35) mm [intervention]</w:t>
            </w:r>
          </w:p>
          <w:p w14:paraId="3F0E6166" w14:textId="7A6C7876"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size 28 (10</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50) mm [comparator]</w:t>
            </w:r>
          </w:p>
          <w:p w14:paraId="25BB561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52 (70%): Females 22 (30%)</w:t>
            </w:r>
          </w:p>
          <w:p w14:paraId="1EE216CF" w14:textId="3D36A334"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age 71 (55</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80) years [intervention]</w:t>
            </w:r>
          </w:p>
          <w:p w14:paraId="6291B8FF" w14:textId="0396D99F"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age 74 (57</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89) years [comparator]</w:t>
            </w:r>
          </w:p>
          <w:p w14:paraId="0B72F88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Prior therapy [intervention]: lung surgery (5/25, 20%), radiotherapy (2/25, 8%) </w:t>
            </w:r>
          </w:p>
          <w:p w14:paraId="54B4865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Prior therapy [comparator]: NR </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2C91AB44"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6B64215F"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General anaesthesia</w:t>
            </w:r>
          </w:p>
          <w:p w14:paraId="7B613943"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Number of sessions NR</w:t>
            </w:r>
          </w:p>
          <w:p w14:paraId="5BDEB400"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Ablation/procedure time NR</w:t>
            </w:r>
          </w:p>
          <w:p w14:paraId="09AC5D2A" w14:textId="77777777" w:rsidR="00861E5C" w:rsidRPr="00861E5C" w:rsidRDefault="00861E5C" w:rsidP="00FE0534">
            <w:pPr>
              <w:widowControl w:val="0"/>
              <w:spacing w:before="60" w:after="60" w:line="288" w:lineRule="auto"/>
              <w:jc w:val="left"/>
              <w:rPr>
                <w:rFonts w:ascii="Arial Narrow" w:hAnsi="Arial Narrow"/>
                <w:snapToGrid w:val="0"/>
                <w:sz w:val="20"/>
                <w:szCs w:val="20"/>
                <w:u w:val="single"/>
                <w:lang w:eastAsia="en-US"/>
              </w:rPr>
            </w:pPr>
            <w:r w:rsidRPr="00861E5C">
              <w:rPr>
                <w:rFonts w:ascii="Arial Narrow" w:hAnsi="Arial Narrow"/>
                <w:sz w:val="20"/>
                <w:szCs w:val="20"/>
                <w:u w:val="single"/>
              </w:rPr>
              <w:t xml:space="preserve">Comparator: </w:t>
            </w:r>
            <w:r w:rsidRPr="00861E5C">
              <w:rPr>
                <w:rFonts w:ascii="Arial Narrow" w:hAnsi="Arial Narrow"/>
                <w:snapToGrid w:val="0"/>
                <w:sz w:val="20"/>
                <w:szCs w:val="20"/>
                <w:u w:val="single"/>
                <w:lang w:eastAsia="en-US"/>
              </w:rPr>
              <w:t>Radiotherapy</w:t>
            </w:r>
          </w:p>
          <w:p w14:paraId="347EBCB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28/49 had SBRT, median 45 Gy in 3 fractions</w:t>
            </w:r>
          </w:p>
          <w:p w14:paraId="7D1ABBFA"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21/49 had CRT, 66 Gy in 21 fractions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5AA5D8F" w14:textId="77777777" w:rsidR="00861E5C" w:rsidRPr="00861E5C" w:rsidRDefault="00861E5C" w:rsidP="00FE0534">
            <w:pPr>
              <w:keepNext/>
              <w:widowControl w:val="0"/>
              <w:numPr>
                <w:ilvl w:val="0"/>
                <w:numId w:val="51"/>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time of intervention to death (calculated with Kaplan-Meier method)</w:t>
            </w:r>
          </w:p>
          <w:p w14:paraId="73D3F49D" w14:textId="77777777" w:rsidR="00861E5C" w:rsidRPr="00861E5C" w:rsidRDefault="00861E5C" w:rsidP="00FE0534">
            <w:pPr>
              <w:keepNext/>
              <w:widowControl w:val="0"/>
              <w:numPr>
                <w:ilvl w:val="0"/>
                <w:numId w:val="51"/>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Progression-free survival: time of intervention to recurrence (calculated with Kaplan-Meier method)</w:t>
            </w:r>
          </w:p>
          <w:p w14:paraId="255C17AF" w14:textId="77777777" w:rsidR="00861E5C" w:rsidRPr="00861E5C" w:rsidRDefault="00861E5C" w:rsidP="00FE0534">
            <w:pPr>
              <w:keepNext/>
              <w:widowControl w:val="0"/>
              <w:numPr>
                <w:ilvl w:val="0"/>
                <w:numId w:val="51"/>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recurrence: tumour recurrence in the former resection line or at the ablation site (based on biopsy)</w:t>
            </w:r>
          </w:p>
          <w:p w14:paraId="590556BC" w14:textId="77777777" w:rsidR="00861E5C" w:rsidRPr="00861E5C" w:rsidRDefault="00861E5C" w:rsidP="00FE0534">
            <w:pPr>
              <w:keepNext/>
              <w:widowControl w:val="0"/>
              <w:numPr>
                <w:ilvl w:val="0"/>
                <w:numId w:val="51"/>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Locoregional recurrence: primary recurrence or tumour recurrence in the same lobe, ipsilateral hilar or ipsilateral mediastinal lymph nodes</w:t>
            </w:r>
          </w:p>
          <w:p w14:paraId="3CDD530C" w14:textId="77777777" w:rsidR="00861E5C" w:rsidRPr="00861E5C" w:rsidRDefault="00861E5C" w:rsidP="00FE0534">
            <w:pPr>
              <w:keepNext/>
              <w:widowControl w:val="0"/>
              <w:numPr>
                <w:ilvl w:val="0"/>
                <w:numId w:val="51"/>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Distant recurrence: any other recurrence</w:t>
            </w:r>
          </w:p>
          <w:p w14:paraId="11C7CAA7" w14:textId="77777777" w:rsidR="00861E5C" w:rsidRPr="00861E5C" w:rsidRDefault="00861E5C" w:rsidP="00FE0534">
            <w:pPr>
              <w:widowControl w:val="0"/>
              <w:numPr>
                <w:ilvl w:val="0"/>
                <w:numId w:val="51"/>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not defined</w:t>
            </w:r>
          </w:p>
        </w:tc>
      </w:tr>
      <w:tr w:rsidR="00861E5C" w:rsidRPr="00861E5C" w14:paraId="75AAE4FA"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40E640A2"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Viti et al </w:t>
            </w:r>
          </w:p>
          <w:p w14:paraId="5C4A6EB3"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(2014)</w:t>
            </w:r>
          </w:p>
          <w:p w14:paraId="2E85BFC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Italy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C1B7E6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Retrospective CS</w:t>
            </w:r>
          </w:p>
          <w:p w14:paraId="25CCFCF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Level IV</w:t>
            </w:r>
          </w:p>
          <w:p w14:paraId="4411C834"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 xml:space="preserve">Risk of bias: High </w:t>
            </w:r>
          </w:p>
          <w:p w14:paraId="793A545F"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FU 30 (NR)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DC3A66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s</w:t>
            </w:r>
            <w:r w:rsidRPr="00861E5C">
              <w:rPr>
                <w:rFonts w:ascii="Arial Narrow" w:hAnsi="Arial Narrow"/>
                <w:snapToGrid w:val="0"/>
                <w:sz w:val="20"/>
                <w:szCs w:val="20"/>
                <w:lang w:eastAsia="en-US"/>
              </w:rPr>
              <w:t>tage IA-IB NSCLC, inoperable or refused surgery, lesion diameter ≤ 35 mm</w:t>
            </w:r>
          </w:p>
          <w:p w14:paraId="65D40B8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22 (24 lesions)</w:t>
            </w:r>
          </w:p>
          <w:p w14:paraId="12CBC7F0" w14:textId="78C87050"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size 25 (11</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34) mm</w:t>
            </w:r>
          </w:p>
          <w:p w14:paraId="2EC2000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17 (77%): Females 5 (23%)</w:t>
            </w:r>
          </w:p>
          <w:p w14:paraId="6386FA95" w14:textId="08E59A29"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age 77 (70</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84) years</w:t>
            </w:r>
          </w:p>
          <w:p w14:paraId="4C480643"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lung surgery (11/22, 50%), heart surgery (4/22, 18%), abdominal surgery (3/22, 14%)</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22513E8"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63795D68"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Anaesthesia NR</w:t>
            </w:r>
          </w:p>
          <w:p w14:paraId="42014C7B"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24 ablation sessions</w:t>
            </w:r>
          </w:p>
          <w:p w14:paraId="46DFD22A" w14:textId="228849D9"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Mean total procedure duration 25 (18</w:t>
            </w:r>
            <w:r w:rsidR="00D35E9C">
              <w:rPr>
                <w:rFonts w:ascii="Arial Narrow" w:hAnsi="Arial Narrow"/>
                <w:sz w:val="20"/>
                <w:szCs w:val="20"/>
              </w:rPr>
              <w:t>–</w:t>
            </w:r>
            <w:r w:rsidRPr="00861E5C">
              <w:rPr>
                <w:rFonts w:ascii="Arial Narrow" w:hAnsi="Arial Narrow"/>
                <w:sz w:val="20"/>
                <w:szCs w:val="20"/>
              </w:rPr>
              <w:t>32) mins</w:t>
            </w:r>
          </w:p>
          <w:p w14:paraId="138E7A0A"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BEC90DF" w14:textId="77777777" w:rsidR="00861E5C" w:rsidRPr="00861E5C" w:rsidRDefault="00861E5C" w:rsidP="00FE0534">
            <w:pPr>
              <w:widowControl w:val="0"/>
              <w:numPr>
                <w:ilvl w:val="0"/>
                <w:numId w:val="52"/>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time from RFA to death (calculated with Kaplan-Meier method)</w:t>
            </w:r>
          </w:p>
          <w:p w14:paraId="1D7EA08B" w14:textId="77777777" w:rsidR="00861E5C" w:rsidRPr="00861E5C" w:rsidRDefault="00861E5C" w:rsidP="00FE0534">
            <w:pPr>
              <w:widowControl w:val="0"/>
              <w:numPr>
                <w:ilvl w:val="0"/>
                <w:numId w:val="52"/>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Disease-free survival: not defined, but lower than overall survival so assumed death or progression (calculated with Kaplan-Meier method)</w:t>
            </w:r>
          </w:p>
          <w:p w14:paraId="1996AAB9" w14:textId="77777777" w:rsidR="00861E5C" w:rsidRDefault="00861E5C" w:rsidP="00FE0534">
            <w:pPr>
              <w:widowControl w:val="0"/>
              <w:numPr>
                <w:ilvl w:val="0"/>
                <w:numId w:val="52"/>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w:t>
            </w:r>
            <w:r w:rsidRPr="00861E5C">
              <w:rPr>
                <w:rFonts w:ascii="Arial Narrow" w:hAnsi="Arial Narrow"/>
                <w:b/>
                <w:sz w:val="20"/>
                <w:szCs w:val="20"/>
              </w:rPr>
              <w:t xml:space="preserve"> </w:t>
            </w:r>
            <w:r w:rsidRPr="00861E5C">
              <w:rPr>
                <w:rFonts w:ascii="Arial Narrow" w:hAnsi="Arial Narrow"/>
                <w:snapToGrid w:val="0"/>
                <w:sz w:val="20"/>
                <w:szCs w:val="20"/>
                <w:lang w:eastAsia="en-US"/>
              </w:rPr>
              <w:t>considered and recorded if further surgical procedures were needed or if hospitalisation was prolonged</w:t>
            </w:r>
          </w:p>
          <w:p w14:paraId="1DE1ACB2" w14:textId="77777777" w:rsidR="00E42612" w:rsidRPr="00861E5C" w:rsidRDefault="00E42612" w:rsidP="00E42612">
            <w:pPr>
              <w:widowControl w:val="0"/>
              <w:spacing w:before="60" w:after="60" w:line="288" w:lineRule="auto"/>
              <w:ind w:left="316"/>
              <w:jc w:val="left"/>
              <w:rPr>
                <w:rFonts w:ascii="Arial Narrow" w:hAnsi="Arial Narrow"/>
                <w:snapToGrid w:val="0"/>
                <w:sz w:val="20"/>
                <w:szCs w:val="20"/>
                <w:lang w:eastAsia="en-US"/>
              </w:rPr>
            </w:pPr>
          </w:p>
        </w:tc>
      </w:tr>
      <w:tr w:rsidR="00861E5C" w:rsidRPr="00861E5C" w14:paraId="46A459FD" w14:textId="77777777" w:rsidTr="00547263">
        <w:trPr>
          <w:cantSplit/>
          <w:trHeight w:val="300"/>
        </w:trPr>
        <w:tc>
          <w:tcPr>
            <w:tcW w:w="457" w:type="pct"/>
            <w:tcBorders>
              <w:top w:val="single" w:sz="4" w:space="0" w:color="auto"/>
              <w:left w:val="single" w:sz="4" w:space="0" w:color="auto"/>
              <w:bottom w:val="single" w:sz="4" w:space="0" w:color="auto"/>
            </w:tcBorders>
            <w:shd w:val="clear" w:color="auto" w:fill="D9D9D9" w:themeFill="background1" w:themeFillShade="D9"/>
          </w:tcPr>
          <w:p w14:paraId="381F537E" w14:textId="77777777" w:rsidR="00861E5C" w:rsidRPr="00861E5C" w:rsidRDefault="00861E5C" w:rsidP="00FE0534">
            <w:pPr>
              <w:widowControl w:val="0"/>
              <w:spacing w:before="60" w:after="60" w:line="288" w:lineRule="auto"/>
              <w:jc w:val="left"/>
              <w:rPr>
                <w:rFonts w:ascii="Arial Narrow" w:hAnsi="Arial Narrow"/>
                <w:b/>
                <w:sz w:val="20"/>
                <w:szCs w:val="20"/>
              </w:rPr>
            </w:pPr>
            <w:r w:rsidRPr="00861E5C">
              <w:rPr>
                <w:rFonts w:ascii="Arial Narrow" w:hAnsi="Arial Narrow"/>
                <w:b/>
                <w:sz w:val="20"/>
                <w:szCs w:val="20"/>
              </w:rPr>
              <w:lastRenderedPageBreak/>
              <w:t xml:space="preserve">POPULATION </w:t>
            </w:r>
          </w:p>
        </w:tc>
        <w:tc>
          <w:tcPr>
            <w:tcW w:w="634" w:type="pct"/>
            <w:tcBorders>
              <w:top w:val="single" w:sz="4" w:space="0" w:color="auto"/>
              <w:bottom w:val="single" w:sz="4" w:space="0" w:color="auto"/>
            </w:tcBorders>
            <w:shd w:val="clear" w:color="auto" w:fill="D9D9D9" w:themeFill="background1" w:themeFillShade="D9"/>
          </w:tcPr>
          <w:p w14:paraId="24D2C83D" w14:textId="77777777" w:rsidR="00861E5C" w:rsidRPr="00861E5C" w:rsidRDefault="00861E5C" w:rsidP="00FE0534">
            <w:pPr>
              <w:widowControl w:val="0"/>
              <w:spacing w:before="60" w:after="60" w:line="288" w:lineRule="auto"/>
              <w:jc w:val="left"/>
              <w:rPr>
                <w:rFonts w:ascii="Arial Narrow" w:hAnsi="Arial Narrow"/>
                <w:b/>
                <w:sz w:val="20"/>
                <w:szCs w:val="20"/>
              </w:rPr>
            </w:pPr>
            <w:r w:rsidRPr="00861E5C">
              <w:rPr>
                <w:rFonts w:ascii="Arial Narrow" w:hAnsi="Arial Narrow"/>
                <w:b/>
                <w:sz w:val="20"/>
                <w:szCs w:val="20"/>
              </w:rPr>
              <w:t>2</w:t>
            </w:r>
          </w:p>
        </w:tc>
        <w:tc>
          <w:tcPr>
            <w:tcW w:w="1303" w:type="pct"/>
            <w:tcBorders>
              <w:top w:val="single" w:sz="4" w:space="0" w:color="auto"/>
              <w:bottom w:val="single" w:sz="4" w:space="0" w:color="auto"/>
            </w:tcBorders>
            <w:shd w:val="clear" w:color="auto" w:fill="D9D9D9" w:themeFill="background1" w:themeFillShade="D9"/>
          </w:tcPr>
          <w:p w14:paraId="4558A03B" w14:textId="77777777" w:rsidR="00861E5C" w:rsidRPr="00861E5C" w:rsidRDefault="00861E5C" w:rsidP="00FE0534">
            <w:pPr>
              <w:widowControl w:val="0"/>
              <w:spacing w:before="60" w:after="60" w:line="288" w:lineRule="auto"/>
              <w:jc w:val="left"/>
              <w:rPr>
                <w:rFonts w:ascii="Arial Narrow" w:hAnsi="Arial Narrow"/>
                <w:b/>
                <w:sz w:val="20"/>
                <w:szCs w:val="20"/>
              </w:rPr>
            </w:pPr>
          </w:p>
        </w:tc>
        <w:tc>
          <w:tcPr>
            <w:tcW w:w="1303" w:type="pct"/>
            <w:tcBorders>
              <w:top w:val="single" w:sz="4" w:space="0" w:color="auto"/>
              <w:bottom w:val="single" w:sz="4" w:space="0" w:color="auto"/>
            </w:tcBorders>
            <w:shd w:val="clear" w:color="auto" w:fill="D9D9D9" w:themeFill="background1" w:themeFillShade="D9"/>
          </w:tcPr>
          <w:p w14:paraId="7407C9A1" w14:textId="77777777" w:rsidR="00861E5C" w:rsidRPr="00861E5C" w:rsidRDefault="00861E5C" w:rsidP="00FE0534">
            <w:pPr>
              <w:widowControl w:val="0"/>
              <w:spacing w:before="60" w:after="60" w:line="288" w:lineRule="auto"/>
              <w:jc w:val="left"/>
              <w:rPr>
                <w:rFonts w:ascii="Arial Narrow" w:hAnsi="Arial Narrow"/>
                <w:sz w:val="20"/>
                <w:szCs w:val="20"/>
              </w:rPr>
            </w:pPr>
          </w:p>
        </w:tc>
        <w:tc>
          <w:tcPr>
            <w:tcW w:w="1303" w:type="pct"/>
            <w:tcBorders>
              <w:top w:val="single" w:sz="4" w:space="0" w:color="auto"/>
              <w:bottom w:val="single" w:sz="4" w:space="0" w:color="auto"/>
            </w:tcBorders>
            <w:shd w:val="clear" w:color="auto" w:fill="D9D9D9" w:themeFill="background1" w:themeFillShade="D9"/>
          </w:tcPr>
          <w:p w14:paraId="69CF094A" w14:textId="77777777" w:rsidR="00861E5C" w:rsidRPr="00861E5C" w:rsidRDefault="00861E5C" w:rsidP="00FE0534">
            <w:pPr>
              <w:widowControl w:val="0"/>
              <w:spacing w:before="60" w:after="60" w:line="288" w:lineRule="auto"/>
              <w:jc w:val="left"/>
              <w:rPr>
                <w:rFonts w:ascii="Arial Narrow" w:hAnsi="Arial Narrow"/>
                <w:sz w:val="20"/>
                <w:szCs w:val="20"/>
              </w:rPr>
            </w:pPr>
          </w:p>
        </w:tc>
      </w:tr>
      <w:tr w:rsidR="00861E5C" w:rsidRPr="00861E5C" w14:paraId="2967FE3A"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2A1D0D49"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de Baere et al (2015)</w:t>
            </w:r>
          </w:p>
          <w:p w14:paraId="3793833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France</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311D725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Retrospective CS</w:t>
            </w:r>
          </w:p>
          <w:p w14:paraId="51B8C853"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Level IV</w:t>
            </w:r>
          </w:p>
          <w:p w14:paraId="38EA0BF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Risk of bias: High</w:t>
            </w:r>
          </w:p>
          <w:p w14:paraId="05DAE213" w14:textId="66E9A143"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36 (IQR 20</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55) months</w:t>
            </w:r>
          </w:p>
          <w:p w14:paraId="391F9B5D" w14:textId="77777777" w:rsidR="00861E5C" w:rsidRPr="00861E5C" w:rsidRDefault="00861E5C" w:rsidP="00FE0534">
            <w:pPr>
              <w:widowControl w:val="0"/>
              <w:spacing w:before="60" w:after="60" w:line="288" w:lineRule="auto"/>
              <w:jc w:val="left"/>
              <w:rPr>
                <w:rFonts w:ascii="Arial Narrow" w:hAnsi="Arial Narrow"/>
                <w:sz w:val="20"/>
                <w:szCs w:val="20"/>
              </w:rPr>
            </w:pP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C981BED"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l</w:t>
            </w:r>
            <w:r w:rsidRPr="00861E5C">
              <w:rPr>
                <w:rFonts w:ascii="Arial Narrow" w:hAnsi="Arial Narrow"/>
                <w:snapToGrid w:val="0"/>
                <w:sz w:val="20"/>
                <w:szCs w:val="20"/>
                <w:lang w:eastAsia="en-US"/>
              </w:rPr>
              <w:t>ung metastases, inoperable or refused surgery, amenable to curative therapy</w:t>
            </w:r>
          </w:p>
          <w:p w14:paraId="4273FE1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566 (1037 lesions)</w:t>
            </w:r>
          </w:p>
          <w:p w14:paraId="76E835AF" w14:textId="40B13193"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size 15 (4</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70) mm</w:t>
            </w:r>
          </w:p>
          <w:p w14:paraId="45607FA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290 (51%): Females 276 (49%)</w:t>
            </w:r>
          </w:p>
          <w:p w14:paraId="220DCD90" w14:textId="4C7D7456"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Age 62.6 (17</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92) years</w:t>
            </w:r>
          </w:p>
          <w:p w14:paraId="0693C10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p w14:paraId="6D6076A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colorectal 293/566 (52%), kidney 68/566 (12%), 51/566 sarcoma (9%), 154/566 other (27%)</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28B54B26"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r w:rsidRPr="00861E5C">
              <w:rPr>
                <w:rFonts w:ascii="Arial Narrow" w:hAnsi="Arial Narrow"/>
                <w:sz w:val="20"/>
                <w:szCs w:val="20"/>
              </w:rPr>
              <w:t xml:space="preserve"> </w:t>
            </w:r>
          </w:p>
          <w:p w14:paraId="4E10C027"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General anaesthesia (</w:t>
            </w:r>
            <w:r w:rsidR="00C10752">
              <w:rPr>
                <w:rFonts w:ascii="Arial Narrow" w:hAnsi="Arial Narrow"/>
                <w:sz w:val="20"/>
                <w:szCs w:val="20"/>
              </w:rPr>
              <w:t xml:space="preserve">n = </w:t>
            </w:r>
            <w:r w:rsidRPr="00861E5C">
              <w:rPr>
                <w:rFonts w:ascii="Arial Narrow" w:hAnsi="Arial Narrow"/>
                <w:sz w:val="20"/>
                <w:szCs w:val="20"/>
              </w:rPr>
              <w:t>560), or local anaesthesia + conscious sedation (</w:t>
            </w:r>
            <w:r w:rsidR="00C10752">
              <w:rPr>
                <w:rFonts w:ascii="Arial Narrow" w:hAnsi="Arial Narrow"/>
                <w:sz w:val="20"/>
                <w:szCs w:val="20"/>
              </w:rPr>
              <w:t xml:space="preserve">n = </w:t>
            </w:r>
            <w:r w:rsidRPr="00861E5C">
              <w:rPr>
                <w:rFonts w:ascii="Arial Narrow" w:hAnsi="Arial Narrow"/>
                <w:sz w:val="20"/>
                <w:szCs w:val="20"/>
              </w:rPr>
              <w:t>6)</w:t>
            </w:r>
          </w:p>
          <w:p w14:paraId="73A87FB7"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642 ablation sessions, duration NR</w:t>
            </w:r>
          </w:p>
          <w:p w14:paraId="223890BC"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Comparator</w:t>
            </w:r>
          </w:p>
          <w:p w14:paraId="6F153C82"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rPr>
              <w:t>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1CBF3A9E" w14:textId="77777777" w:rsidR="00861E5C" w:rsidRPr="00861E5C" w:rsidRDefault="00861E5C" w:rsidP="00FE0534">
            <w:pPr>
              <w:widowControl w:val="0"/>
              <w:numPr>
                <w:ilvl w:val="0"/>
                <w:numId w:val="17"/>
              </w:numPr>
              <w:spacing w:before="60" w:after="60" w:line="288" w:lineRule="auto"/>
              <w:ind w:left="316" w:hanging="316"/>
              <w:jc w:val="left"/>
              <w:rPr>
                <w:rFonts w:ascii="Arial Narrow" w:hAnsi="Arial Narrow"/>
                <w:snapToGrid w:val="0"/>
                <w:sz w:val="20"/>
                <w:lang w:eastAsia="en-US"/>
              </w:rPr>
            </w:pPr>
            <w:r w:rsidRPr="00861E5C">
              <w:rPr>
                <w:rFonts w:ascii="Arial Narrow" w:hAnsi="Arial Narrow"/>
                <w:snapToGrid w:val="0"/>
                <w:sz w:val="20"/>
                <w:lang w:eastAsia="en-US"/>
              </w:rPr>
              <w:t>Overall survival: time from first RFA session to death from any cause (calculated with Kaplan-Meier method)</w:t>
            </w:r>
          </w:p>
          <w:p w14:paraId="6F388EBF" w14:textId="77777777" w:rsidR="00861E5C" w:rsidRPr="00861E5C" w:rsidRDefault="00861E5C" w:rsidP="00FE0534">
            <w:pPr>
              <w:widowControl w:val="0"/>
              <w:numPr>
                <w:ilvl w:val="0"/>
                <w:numId w:val="17"/>
              </w:numPr>
              <w:spacing w:before="60" w:after="60" w:line="288" w:lineRule="auto"/>
              <w:ind w:left="316" w:hanging="316"/>
              <w:jc w:val="left"/>
              <w:rPr>
                <w:rFonts w:ascii="Arial Narrow" w:hAnsi="Arial Narrow"/>
                <w:snapToGrid w:val="0"/>
                <w:sz w:val="20"/>
                <w:lang w:eastAsia="en-US"/>
              </w:rPr>
            </w:pPr>
            <w:r w:rsidRPr="00861E5C">
              <w:rPr>
                <w:rFonts w:ascii="Arial Narrow" w:hAnsi="Arial Narrow"/>
                <w:snapToGrid w:val="0"/>
                <w:sz w:val="20"/>
                <w:lang w:eastAsia="en-US"/>
              </w:rPr>
              <w:t>Progression-free survival: time from RFA to disease progression anywhere inside or outside the lungs, or death from any cause (calculated with Kaplan-Meier method)</w:t>
            </w:r>
          </w:p>
          <w:p w14:paraId="67C91CEF" w14:textId="77777777" w:rsidR="00861E5C" w:rsidRPr="00861E5C" w:rsidRDefault="00861E5C" w:rsidP="00FE0534">
            <w:pPr>
              <w:widowControl w:val="0"/>
              <w:numPr>
                <w:ilvl w:val="0"/>
                <w:numId w:val="17"/>
              </w:numPr>
              <w:spacing w:before="60" w:after="60" w:line="288" w:lineRule="auto"/>
              <w:ind w:left="316" w:hanging="316"/>
              <w:jc w:val="left"/>
              <w:rPr>
                <w:rFonts w:ascii="Arial Narrow" w:hAnsi="Arial Narrow"/>
                <w:snapToGrid w:val="0"/>
                <w:sz w:val="20"/>
                <w:lang w:eastAsia="en-US"/>
              </w:rPr>
            </w:pPr>
            <w:r w:rsidRPr="00861E5C">
              <w:rPr>
                <w:rFonts w:ascii="Arial Narrow" w:hAnsi="Arial Narrow"/>
                <w:snapToGrid w:val="0"/>
                <w:sz w:val="20"/>
                <w:lang w:eastAsia="en-US"/>
              </w:rPr>
              <w:t>Adverse events: not defined</w:t>
            </w:r>
          </w:p>
        </w:tc>
      </w:tr>
      <w:tr w:rsidR="00861E5C" w:rsidRPr="00861E5C" w14:paraId="068C096E"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1590C52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Fanucchi et al (2016)</w:t>
            </w:r>
          </w:p>
          <w:p w14:paraId="6DE8009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Italy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786CA7F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Retrospective CS</w:t>
            </w:r>
          </w:p>
          <w:p w14:paraId="7B752850"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Level IV</w:t>
            </w:r>
          </w:p>
          <w:p w14:paraId="58988710"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6E825058" w14:textId="009B5D49"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28 (2</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126)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18513084" w14:textId="44203890"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l</w:t>
            </w:r>
            <w:r w:rsidRPr="00861E5C">
              <w:rPr>
                <w:rFonts w:ascii="Arial Narrow" w:hAnsi="Arial Narrow"/>
                <w:snapToGrid w:val="0"/>
                <w:sz w:val="20"/>
                <w:szCs w:val="20"/>
                <w:lang w:eastAsia="en-US"/>
              </w:rPr>
              <w:t>ung metastases, controlled or absent extrathoracic disease, lesions size &lt; 50 mm</w:t>
            </w:r>
          </w:p>
          <w:p w14:paraId="7DBEE4D5"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61 (86 lesions)</w:t>
            </w:r>
          </w:p>
          <w:p w14:paraId="1F5DB804" w14:textId="04DCCD1C"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size 20 (5</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50) mm</w:t>
            </w:r>
          </w:p>
          <w:p w14:paraId="69693603"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38 (62%): Females 23 (38%)</w:t>
            </w:r>
          </w:p>
          <w:p w14:paraId="0449F2A7" w14:textId="37A41302"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age 75 (40</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86) years</w:t>
            </w:r>
          </w:p>
          <w:p w14:paraId="23EE90D0" w14:textId="23A78FA1"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Prior therapy: </w:t>
            </w:r>
            <w:r w:rsidR="00E42612">
              <w:rPr>
                <w:rFonts w:ascii="Arial Narrow" w:hAnsi="Arial Narrow"/>
                <w:snapToGrid w:val="0"/>
                <w:sz w:val="20"/>
                <w:szCs w:val="20"/>
                <w:lang w:eastAsia="en-US"/>
              </w:rPr>
              <w:t xml:space="preserve">lung </w:t>
            </w:r>
            <w:r w:rsidRPr="00861E5C">
              <w:rPr>
                <w:rFonts w:ascii="Arial Narrow" w:hAnsi="Arial Narrow"/>
                <w:snapToGrid w:val="0"/>
                <w:sz w:val="20"/>
                <w:szCs w:val="20"/>
                <w:lang w:eastAsia="en-US"/>
              </w:rPr>
              <w:t>metastectomy 24/61 (39%)</w:t>
            </w:r>
          </w:p>
          <w:p w14:paraId="1236527C"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colorectal 29/61 (48%), head/neck 8/61 (13%), sarcoma 5/61 (8%), kidney 4/61 (6%), other 15/61 (25%)</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9070722"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 xml:space="preserve">Intervention: CT- or US-guided  RFA </w:t>
            </w:r>
          </w:p>
          <w:p w14:paraId="2DA98403"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Local anaesthesia + conscious sedation</w:t>
            </w:r>
          </w:p>
          <w:p w14:paraId="5B3A26B4" w14:textId="5E2E4A76"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99 ablation sessions, duration 15</w:t>
            </w:r>
            <w:r w:rsidR="00D35E9C">
              <w:rPr>
                <w:rFonts w:ascii="Arial Narrow" w:hAnsi="Arial Narrow"/>
                <w:sz w:val="20"/>
                <w:szCs w:val="20"/>
              </w:rPr>
              <w:t>–</w:t>
            </w:r>
            <w:r w:rsidRPr="00861E5C">
              <w:rPr>
                <w:rFonts w:ascii="Arial Narrow" w:hAnsi="Arial Narrow"/>
                <w:sz w:val="20"/>
                <w:szCs w:val="20"/>
              </w:rPr>
              <w:t>27 mins per lesion</w:t>
            </w:r>
          </w:p>
          <w:p w14:paraId="60EBA965"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BCE7802" w14:textId="77777777" w:rsidR="00861E5C" w:rsidRPr="00861E5C" w:rsidRDefault="00861E5C" w:rsidP="00FE0534">
            <w:pPr>
              <w:keepNext/>
              <w:widowControl w:val="0"/>
              <w:numPr>
                <w:ilvl w:val="0"/>
                <w:numId w:val="23"/>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time from RFA to death or last follow-up (calculated with Kaplan-Meier method)</w:t>
            </w:r>
          </w:p>
          <w:p w14:paraId="4ADEC948" w14:textId="77777777" w:rsidR="00861E5C" w:rsidRPr="00861E5C" w:rsidRDefault="00861E5C" w:rsidP="00FE0534">
            <w:pPr>
              <w:widowControl w:val="0"/>
              <w:numPr>
                <w:ilvl w:val="0"/>
                <w:numId w:val="23"/>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progression-free survival: interval between RFA and evidence of local recurrence (death not included) (calculated with Kaplan-Meier method)</w:t>
            </w:r>
          </w:p>
          <w:p w14:paraId="5FDC9FDA" w14:textId="77777777" w:rsidR="00861E5C" w:rsidRPr="00861E5C" w:rsidRDefault="00861E5C" w:rsidP="00FE0534">
            <w:pPr>
              <w:keepNext/>
              <w:widowControl w:val="0"/>
              <w:numPr>
                <w:ilvl w:val="0"/>
                <w:numId w:val="23"/>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recurrence: evidence of tumour recurrence near to, in the site of thermal ablation, or within the same lobe</w:t>
            </w:r>
          </w:p>
          <w:p w14:paraId="2DED6016" w14:textId="77777777" w:rsidR="00861E5C" w:rsidRPr="00861E5C" w:rsidRDefault="00861E5C" w:rsidP="00FE0534">
            <w:pPr>
              <w:keepNext/>
              <w:widowControl w:val="0"/>
              <w:numPr>
                <w:ilvl w:val="0"/>
                <w:numId w:val="23"/>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CTCAE</w:t>
            </w:r>
          </w:p>
        </w:tc>
      </w:tr>
      <w:tr w:rsidR="00861E5C" w:rsidRPr="00861E5C" w14:paraId="7784E7F9"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455287D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lastRenderedPageBreak/>
              <w:t>Hiraki et al (2011)</w:t>
            </w:r>
          </w:p>
          <w:p w14:paraId="0A323CD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Japan</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4455CA7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Retrospective CS</w:t>
            </w:r>
          </w:p>
          <w:p w14:paraId="2A46264E"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Level IV</w:t>
            </w:r>
          </w:p>
          <w:p w14:paraId="603852B4"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6BC9B175" w14:textId="571DDD3D"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21 (4</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98)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33A9CF30"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 xml:space="preserve">Patients with </w:t>
            </w:r>
            <w:r w:rsidRPr="00861E5C">
              <w:rPr>
                <w:rFonts w:ascii="Arial Narrow" w:hAnsi="Arial Narrow"/>
                <w:snapToGrid w:val="0"/>
                <w:sz w:val="20"/>
                <w:szCs w:val="20"/>
                <w:lang w:eastAsia="en-US"/>
              </w:rPr>
              <w:t>HCC lung metastases, amenable to curative therapy, lesion size &lt; 40 mm, ECOG  status ≤ 2</w:t>
            </w:r>
          </w:p>
          <w:p w14:paraId="147E3DA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32 (83 lesions)</w:t>
            </w:r>
          </w:p>
          <w:p w14:paraId="4A10FC80" w14:textId="0B39FE19"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size 11 (3</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39) mm</w:t>
            </w:r>
          </w:p>
          <w:p w14:paraId="08B38E80"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24 (75%): Females 8 (25%)</w:t>
            </w:r>
          </w:p>
          <w:p w14:paraId="6B6E695D" w14:textId="05102C60"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age 62 (35</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82) years</w:t>
            </w:r>
          </w:p>
          <w:p w14:paraId="05CCFCB7" w14:textId="3EA8D938"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HCC resection 29/32 (91%), TACE ± RFA 3/32 (9%), pulmonary metastectomy 7/32 (22%), chemotherapy for metastases 6/32 (19%)</w:t>
            </w:r>
          </w:p>
          <w:p w14:paraId="2407A98F"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HCC 32/32 (100%)</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500ABD0"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 xml:space="preserve">Intervention: CT-guided RFA </w:t>
            </w:r>
          </w:p>
          <w:p w14:paraId="15CC34BD"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Local anaesthesia with conscious sedation</w:t>
            </w:r>
          </w:p>
          <w:p w14:paraId="560FF8E5"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65 ablation sessions, duration 12 mins per lesion</w:t>
            </w:r>
          </w:p>
          <w:p w14:paraId="3DCC58E9"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37BB5D0" w14:textId="77777777" w:rsidR="00861E5C" w:rsidRPr="00861E5C" w:rsidRDefault="00861E5C" w:rsidP="00FE0534">
            <w:pPr>
              <w:keepNext/>
              <w:widowControl w:val="0"/>
              <w:numPr>
                <w:ilvl w:val="0"/>
                <w:numId w:val="20"/>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time from RFA to death or last follow-up (calculated with Kaplan-Meier method)</w:t>
            </w:r>
          </w:p>
          <w:p w14:paraId="1BFADE3B" w14:textId="77777777" w:rsidR="00861E5C" w:rsidRPr="00861E5C" w:rsidRDefault="00861E5C" w:rsidP="00FE0534">
            <w:pPr>
              <w:keepNext/>
              <w:widowControl w:val="0"/>
              <w:numPr>
                <w:ilvl w:val="0"/>
                <w:numId w:val="20"/>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progression: appearance of an irregular, scattered, nodular, or eccentric enhancement focus in the ablation zone, or when the ablation zone was circumferentially enlarged with contrast enhancement</w:t>
            </w:r>
          </w:p>
          <w:p w14:paraId="022C45F8" w14:textId="77777777" w:rsidR="00861E5C" w:rsidRPr="00861E5C" w:rsidRDefault="00861E5C" w:rsidP="00FE0534">
            <w:pPr>
              <w:keepNext/>
              <w:widowControl w:val="0"/>
              <w:numPr>
                <w:ilvl w:val="0"/>
                <w:numId w:val="20"/>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measured against Society of Interventional Radiology  guidelines</w:t>
            </w:r>
          </w:p>
        </w:tc>
      </w:tr>
      <w:tr w:rsidR="00861E5C" w:rsidRPr="00861E5C" w14:paraId="0475996A"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40C4341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Koelblinger et al (2014)</w:t>
            </w:r>
          </w:p>
          <w:p w14:paraId="420F5835"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UK</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61B7BAC6"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Retrospective CS</w:t>
            </w:r>
          </w:p>
          <w:p w14:paraId="60852FBE"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Level IV</w:t>
            </w:r>
          </w:p>
          <w:p w14:paraId="708588DA"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4DE00490" w14:textId="3555D009"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12 (4</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54)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261BDB69"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s</w:t>
            </w:r>
            <w:r w:rsidRPr="00861E5C">
              <w:rPr>
                <w:rFonts w:ascii="Arial Narrow" w:hAnsi="Arial Narrow"/>
                <w:snapToGrid w:val="0"/>
                <w:sz w:val="20"/>
                <w:szCs w:val="20"/>
                <w:lang w:eastAsia="en-US"/>
              </w:rPr>
              <w:t>arcoma lung metastases, amenable to curative therapy</w:t>
            </w:r>
          </w:p>
          <w:p w14:paraId="15BD0F7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22 (55 lesions)</w:t>
            </w:r>
          </w:p>
          <w:p w14:paraId="1107AE57" w14:textId="73B39240"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size 7 (5</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20) mm</w:t>
            </w:r>
          </w:p>
          <w:p w14:paraId="6EB7EC1C"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7 (32%): Females 15 (68%)</w:t>
            </w:r>
          </w:p>
          <w:p w14:paraId="20E9EA55" w14:textId="22403673"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age 48 (10</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78) years</w:t>
            </w:r>
          </w:p>
          <w:p w14:paraId="48CF719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sarcoma resection 22/22 (10%), thoracotomy for metastases 15/22 (68%), systemic chemotherapy for metastases 9/22 (41%)</w:t>
            </w:r>
          </w:p>
          <w:p w14:paraId="5946200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sarcoma 22/22 (100%)</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7247626A"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 xml:space="preserve">Intervention: CT-guided RFA </w:t>
            </w:r>
          </w:p>
          <w:p w14:paraId="37976D5A"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General anaesthesia, or local anaesthesia + conscious sedation</w:t>
            </w:r>
          </w:p>
          <w:p w14:paraId="474ADE73"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30 ablation sessions, duration NR</w:t>
            </w:r>
          </w:p>
          <w:p w14:paraId="1E44C9EE"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003755E" w14:textId="77777777" w:rsidR="00861E5C" w:rsidRPr="00861E5C" w:rsidRDefault="00861E5C" w:rsidP="00FE0534">
            <w:pPr>
              <w:keepNext/>
              <w:widowControl w:val="0"/>
              <w:numPr>
                <w:ilvl w:val="0"/>
                <w:numId w:val="24"/>
              </w:numPr>
              <w:spacing w:before="60" w:after="60" w:line="288" w:lineRule="auto"/>
              <w:ind w:left="316" w:hanging="316"/>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time from RFA to last follow-up (calculated with Kaplan-Meier method)</w:t>
            </w:r>
          </w:p>
          <w:p w14:paraId="2FBA830C" w14:textId="2921A78F" w:rsidR="00861E5C" w:rsidRPr="00861E5C" w:rsidRDefault="00861E5C" w:rsidP="00FE0534">
            <w:pPr>
              <w:keepNext/>
              <w:widowControl w:val="0"/>
              <w:numPr>
                <w:ilvl w:val="0"/>
                <w:numId w:val="24"/>
              </w:numPr>
              <w:spacing w:before="60" w:after="60" w:line="288" w:lineRule="auto"/>
              <w:ind w:left="316" w:hanging="316"/>
              <w:jc w:val="left"/>
              <w:rPr>
                <w:rFonts w:ascii="Arial Narrow" w:hAnsi="Arial Narrow"/>
                <w:snapToGrid w:val="0"/>
                <w:sz w:val="20"/>
                <w:szCs w:val="20"/>
                <w:lang w:eastAsia="en-US"/>
              </w:rPr>
            </w:pPr>
            <w:r w:rsidRPr="00861E5C">
              <w:rPr>
                <w:rFonts w:ascii="Arial Narrow" w:hAnsi="Arial Narrow"/>
                <w:snapToGrid w:val="0"/>
                <w:sz w:val="20"/>
                <w:szCs w:val="20"/>
                <w:lang w:eastAsia="en-US"/>
              </w:rPr>
              <w:t>Progression-free survival: not defined (reported progression-free survival was shorter than overall survival, so likely</w:t>
            </w:r>
            <w:r w:rsidR="001013DD">
              <w:rPr>
                <w:rFonts w:ascii="Arial Narrow" w:hAnsi="Arial Narrow"/>
                <w:snapToGrid w:val="0"/>
                <w:sz w:val="20"/>
                <w:szCs w:val="20"/>
                <w:lang w:eastAsia="en-US"/>
              </w:rPr>
              <w:t xml:space="preserve"> includes death or progression [</w:t>
            </w:r>
            <w:r w:rsidRPr="00861E5C">
              <w:rPr>
                <w:rFonts w:ascii="Arial Narrow" w:hAnsi="Arial Narrow"/>
                <w:snapToGrid w:val="0"/>
                <w:sz w:val="20"/>
                <w:szCs w:val="20"/>
                <w:lang w:eastAsia="en-US"/>
              </w:rPr>
              <w:t>Kaplan-Meier method</w:t>
            </w:r>
            <w:r w:rsidR="001013DD">
              <w:rPr>
                <w:rFonts w:ascii="Arial Narrow" w:hAnsi="Arial Narrow"/>
                <w:snapToGrid w:val="0"/>
                <w:sz w:val="20"/>
                <w:szCs w:val="20"/>
                <w:lang w:eastAsia="en-US"/>
              </w:rPr>
              <w:t>])</w:t>
            </w:r>
          </w:p>
          <w:p w14:paraId="21422C6B" w14:textId="77777777" w:rsidR="00861E5C" w:rsidRPr="00861E5C" w:rsidRDefault="00861E5C" w:rsidP="00FE0534">
            <w:pPr>
              <w:keepNext/>
              <w:widowControl w:val="0"/>
              <w:numPr>
                <w:ilvl w:val="0"/>
                <w:numId w:val="24"/>
              </w:numPr>
              <w:spacing w:before="60" w:after="60" w:line="288" w:lineRule="auto"/>
              <w:ind w:left="316" w:hanging="316"/>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progression: development of new tumour adjacent to ablation zone, focal nodular enhancement of part of the ablation zone, or enlargement of part of the ablation zone, or a change in shape of the ablation zone indicating focal enlargement</w:t>
            </w:r>
          </w:p>
          <w:p w14:paraId="02AEBC2C" w14:textId="77777777" w:rsidR="00861E5C" w:rsidRPr="00861E5C" w:rsidRDefault="00861E5C" w:rsidP="00FE0534">
            <w:pPr>
              <w:widowControl w:val="0"/>
              <w:numPr>
                <w:ilvl w:val="0"/>
                <w:numId w:val="24"/>
              </w:numPr>
              <w:spacing w:before="60" w:after="60" w:line="288" w:lineRule="auto"/>
              <w:ind w:left="316" w:hanging="316"/>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not defined</w:t>
            </w:r>
          </w:p>
        </w:tc>
      </w:tr>
      <w:tr w:rsidR="00861E5C" w:rsidRPr="00861E5C" w14:paraId="73F1DAD5"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2E8B182E"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lastRenderedPageBreak/>
              <w:t>Li et al</w:t>
            </w:r>
          </w:p>
          <w:p w14:paraId="292B6EAD"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(2012)</w:t>
            </w:r>
          </w:p>
          <w:p w14:paraId="0241A28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China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2B03DACF"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Retrospective CS</w:t>
            </w:r>
          </w:p>
          <w:p w14:paraId="4DEE1247"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Level IV</w:t>
            </w:r>
          </w:p>
          <w:p w14:paraId="4140032D"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4FC69B2E" w14:textId="7E25D7DB"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23 (6</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70)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113C18A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 xml:space="preserve">Patients with </w:t>
            </w:r>
            <w:r w:rsidRPr="00861E5C">
              <w:rPr>
                <w:rFonts w:ascii="Arial Narrow" w:hAnsi="Arial Narrow"/>
                <w:snapToGrid w:val="0"/>
                <w:sz w:val="20"/>
                <w:szCs w:val="20"/>
                <w:lang w:eastAsia="en-US"/>
              </w:rPr>
              <w:t>HCC lung metastases, inoperable, controlled intrahepatic primary, lesion size ≤ 50 mm, ≤ 5 lesions per patient, Karnofsky score &gt; 80</w:t>
            </w:r>
          </w:p>
          <w:p w14:paraId="498A18C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29 (68 lesions)</w:t>
            </w:r>
          </w:p>
          <w:p w14:paraId="51E48166" w14:textId="2E428F9F"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size 19 (5</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50) mm</w:t>
            </w:r>
          </w:p>
          <w:p w14:paraId="4645055D"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16 (55%): Females 13 (45%)</w:t>
            </w:r>
          </w:p>
          <w:p w14:paraId="60EB9C6C" w14:textId="0FD4A74D"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age 56 (24</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72) years</w:t>
            </w:r>
          </w:p>
          <w:p w14:paraId="49DCBAB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RFA 3/29 (10%), TACE 6 + RFA 7/29 (24%), liver transplant + TACE + RFA 9/29 (31%), hepatectomy + TACE + RFA 10/29 (35%)</w:t>
            </w:r>
          </w:p>
          <w:p w14:paraId="33F301E0"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HCC 29/29 (100%)</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C9BC598"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4EF81C2E"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General anaesthesia, or local anaesthesia with conscious sedation</w:t>
            </w:r>
          </w:p>
          <w:p w14:paraId="1F5DE0E3"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56 ablation sessions, duration 12 mins per lesion</w:t>
            </w:r>
          </w:p>
          <w:p w14:paraId="6F892593"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u w:val="single"/>
              </w:rPr>
              <w:t>Comparator: N/A</w:t>
            </w:r>
            <w:r w:rsidRPr="00861E5C">
              <w:rPr>
                <w:rFonts w:ascii="Arial Narrow" w:hAnsi="Arial Narrow"/>
                <w:sz w:val="20"/>
                <w:szCs w:val="20"/>
              </w:rPr>
              <w:t xml:space="preserve"> </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7B7372AF" w14:textId="23522780" w:rsidR="00861E5C" w:rsidRPr="00861E5C" w:rsidRDefault="00861E5C" w:rsidP="00FE0534">
            <w:pPr>
              <w:keepNext/>
              <w:widowControl w:val="0"/>
              <w:numPr>
                <w:ilvl w:val="0"/>
                <w:numId w:val="25"/>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time from RFA to death or last follow-up (</w:t>
            </w:r>
            <w:r w:rsidR="00FE0534">
              <w:rPr>
                <w:rFonts w:ascii="Arial Narrow" w:hAnsi="Arial Narrow"/>
                <w:snapToGrid w:val="0"/>
                <w:sz w:val="20"/>
                <w:szCs w:val="20"/>
                <w:lang w:eastAsia="en-US"/>
              </w:rPr>
              <w:t>Kaplan-Meier</w:t>
            </w:r>
            <w:r w:rsidRPr="00861E5C">
              <w:rPr>
                <w:rFonts w:ascii="Arial Narrow" w:hAnsi="Arial Narrow"/>
                <w:snapToGrid w:val="0"/>
                <w:sz w:val="20"/>
                <w:szCs w:val="20"/>
                <w:lang w:eastAsia="en-US"/>
              </w:rPr>
              <w:t>)</w:t>
            </w:r>
          </w:p>
          <w:p w14:paraId="17038E33" w14:textId="0607A581" w:rsidR="00861E5C" w:rsidRPr="00861E5C" w:rsidRDefault="00861E5C" w:rsidP="00FE0534">
            <w:pPr>
              <w:widowControl w:val="0"/>
              <w:numPr>
                <w:ilvl w:val="0"/>
                <w:numId w:val="25"/>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Progression-free survival: time from RFA to either first recurrence or progression or death from any cause (Kaplan-Meier)</w:t>
            </w:r>
          </w:p>
          <w:p w14:paraId="7E730048" w14:textId="77777777" w:rsidR="00861E5C" w:rsidRPr="00861E5C" w:rsidRDefault="00861E5C" w:rsidP="00FE0534">
            <w:pPr>
              <w:keepNext/>
              <w:widowControl w:val="0"/>
              <w:numPr>
                <w:ilvl w:val="0"/>
                <w:numId w:val="25"/>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tumour progression: any detectable tumour activity in the ablation zone</w:t>
            </w:r>
          </w:p>
          <w:p w14:paraId="1CDECE7B" w14:textId="77777777" w:rsidR="00861E5C" w:rsidRPr="00861E5C" w:rsidRDefault="00861E5C" w:rsidP="00FE0534">
            <w:pPr>
              <w:keepNext/>
              <w:widowControl w:val="0"/>
              <w:numPr>
                <w:ilvl w:val="0"/>
                <w:numId w:val="25"/>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Disease progression: evidence of new tumour located outside the treated region, (including intrahepatic and extrahepatic) </w:t>
            </w:r>
          </w:p>
          <w:p w14:paraId="2AA41622" w14:textId="77777777" w:rsidR="00861E5C" w:rsidRPr="00861E5C" w:rsidRDefault="00861E5C" w:rsidP="00FE0534">
            <w:pPr>
              <w:widowControl w:val="0"/>
              <w:numPr>
                <w:ilvl w:val="0"/>
                <w:numId w:val="25"/>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not defined</w:t>
            </w:r>
          </w:p>
        </w:tc>
      </w:tr>
      <w:tr w:rsidR="00861E5C" w:rsidRPr="00861E5C" w14:paraId="24A83A97"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20651E55"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Lu et al</w:t>
            </w:r>
          </w:p>
          <w:p w14:paraId="62496D95"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(2015a)</w:t>
            </w:r>
          </w:p>
          <w:p w14:paraId="35FDCAA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China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6453C36D"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Prospective CS</w:t>
            </w:r>
          </w:p>
          <w:p w14:paraId="7C7D223B"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Level IV</w:t>
            </w:r>
          </w:p>
          <w:p w14:paraId="67973861"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2F5AC053" w14:textId="14729BFA"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24 (3</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39)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790F6E2"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l</w:t>
            </w:r>
            <w:r w:rsidRPr="00861E5C">
              <w:rPr>
                <w:rFonts w:ascii="Arial Narrow" w:hAnsi="Arial Narrow"/>
                <w:snapToGrid w:val="0"/>
                <w:sz w:val="20"/>
                <w:szCs w:val="20"/>
                <w:lang w:eastAsia="en-US"/>
              </w:rPr>
              <w:t>ung oligometastses, inoperable or refused surgery, absent or controlled primary tumour, lesion size &lt; 50 mm</w:t>
            </w:r>
          </w:p>
          <w:p w14:paraId="1F5C27ED"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67 (115 lesions)</w:t>
            </w:r>
          </w:p>
          <w:p w14:paraId="2D747130"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Size NR </w:t>
            </w:r>
          </w:p>
          <w:p w14:paraId="6726F9D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38 (57%): Females 29 (43%)</w:t>
            </w:r>
          </w:p>
          <w:p w14:paraId="5D4C21F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Age &gt; 65 years (</w:t>
            </w:r>
            <w:r w:rsidR="00C10752">
              <w:rPr>
                <w:rFonts w:ascii="Arial Narrow" w:hAnsi="Arial Narrow"/>
                <w:snapToGrid w:val="0"/>
                <w:sz w:val="20"/>
                <w:szCs w:val="20"/>
                <w:lang w:eastAsia="en-US"/>
              </w:rPr>
              <w:t xml:space="preserve">n = </w:t>
            </w:r>
            <w:r w:rsidRPr="00861E5C">
              <w:rPr>
                <w:rFonts w:ascii="Arial Narrow" w:hAnsi="Arial Narrow"/>
                <w:snapToGrid w:val="0"/>
                <w:sz w:val="20"/>
                <w:szCs w:val="20"/>
                <w:lang w:eastAsia="en-US"/>
              </w:rPr>
              <w:t>15), age ≤ 65 years (</w:t>
            </w:r>
            <w:r w:rsidR="00C10752">
              <w:rPr>
                <w:rFonts w:ascii="Arial Narrow" w:hAnsi="Arial Narrow"/>
                <w:snapToGrid w:val="0"/>
                <w:sz w:val="20"/>
                <w:szCs w:val="20"/>
                <w:lang w:eastAsia="en-US"/>
              </w:rPr>
              <w:t xml:space="preserve">n = </w:t>
            </w:r>
            <w:r w:rsidRPr="00861E5C">
              <w:rPr>
                <w:rFonts w:ascii="Arial Narrow" w:hAnsi="Arial Narrow"/>
                <w:snapToGrid w:val="0"/>
                <w:sz w:val="20"/>
                <w:szCs w:val="20"/>
                <w:lang w:eastAsia="en-US"/>
              </w:rPr>
              <w:t>52)</w:t>
            </w:r>
          </w:p>
          <w:p w14:paraId="4CC01803"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systemic chemotherapy for metastases 47/67 (70%)</w:t>
            </w:r>
          </w:p>
          <w:p w14:paraId="0065FAA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colorectal 26/67 (39%), HCC 5/67 (8%), NSCLC 13/67 (19%), sarcoma 7/67 (10%), other 16/67 (24%)</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34E21D9"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477576B9"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Anaesthesia NR</w:t>
            </w:r>
          </w:p>
          <w:p w14:paraId="005866DC"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 of sessions NR</w:t>
            </w:r>
          </w:p>
          <w:p w14:paraId="5A6EBC9E"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Duration NR</w:t>
            </w:r>
          </w:p>
          <w:p w14:paraId="6546EA2A"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C9243A4" w14:textId="77777777" w:rsidR="00861E5C" w:rsidRPr="00861E5C" w:rsidRDefault="00861E5C" w:rsidP="00FE0534">
            <w:pPr>
              <w:keepNext/>
              <w:widowControl w:val="0"/>
              <w:numPr>
                <w:ilvl w:val="0"/>
                <w:numId w:val="21"/>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not defined, assumed measured from time of RFA to death (calculated with Kaplan-Meier method)</w:t>
            </w:r>
          </w:p>
          <w:p w14:paraId="4239EA7B" w14:textId="77777777" w:rsidR="00861E5C" w:rsidRPr="00861E5C" w:rsidRDefault="00861E5C" w:rsidP="00FE0534">
            <w:pPr>
              <w:keepNext/>
              <w:widowControl w:val="0"/>
              <w:numPr>
                <w:ilvl w:val="0"/>
                <w:numId w:val="21"/>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Progression-free survival: not defined (reported progression-free survival was longer than overall survival, i.e. likely does not include death, calculated with Kaplan-Meier method)</w:t>
            </w:r>
          </w:p>
          <w:p w14:paraId="42E54CEC" w14:textId="77777777" w:rsidR="00861E5C" w:rsidRPr="00861E5C" w:rsidRDefault="00861E5C" w:rsidP="00FE0534">
            <w:pPr>
              <w:keepNext/>
              <w:widowControl w:val="0"/>
              <w:numPr>
                <w:ilvl w:val="0"/>
                <w:numId w:val="21"/>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control: target lesions had not progressed during the follow-up period</w:t>
            </w:r>
          </w:p>
          <w:p w14:paraId="71C4C436" w14:textId="77777777" w:rsidR="00861E5C" w:rsidRPr="00861E5C" w:rsidRDefault="00861E5C" w:rsidP="00FE0534">
            <w:pPr>
              <w:widowControl w:val="0"/>
              <w:numPr>
                <w:ilvl w:val="0"/>
                <w:numId w:val="21"/>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not defined</w:t>
            </w:r>
          </w:p>
        </w:tc>
      </w:tr>
      <w:tr w:rsidR="00861E5C" w:rsidRPr="00861E5C" w14:paraId="19397D3D"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64DC66C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lastRenderedPageBreak/>
              <w:t>Lu et al (2015b)</w:t>
            </w:r>
          </w:p>
          <w:p w14:paraId="765FDBC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China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67F21F4"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CS (enrolment NR)</w:t>
            </w:r>
          </w:p>
          <w:p w14:paraId="6646848D"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Level IV</w:t>
            </w:r>
          </w:p>
          <w:p w14:paraId="3A57F92D"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5BFF1906"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Follow up NR</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46FE7AD" w14:textId="667A5794"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b</w:t>
            </w:r>
            <w:r w:rsidRPr="00861E5C">
              <w:rPr>
                <w:rFonts w:ascii="Arial Narrow" w:hAnsi="Arial Narrow"/>
                <w:snapToGrid w:val="0"/>
                <w:sz w:val="20"/>
                <w:szCs w:val="20"/>
                <w:lang w:eastAsia="en-US"/>
              </w:rPr>
              <w:t>reast cancer lung metastases, inoperable or refused surgery, absent or controlled extrathoracic disease, prior chemotherapy, ECOG status ≤ 1, lesion size &lt; 40 mm</w:t>
            </w:r>
          </w:p>
          <w:p w14:paraId="3417B24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35 (67 lesions)</w:t>
            </w:r>
          </w:p>
          <w:p w14:paraId="0C1F7D9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Size ≤ 20 mm (</w:t>
            </w:r>
            <w:r w:rsidR="00C10752">
              <w:rPr>
                <w:rFonts w:ascii="Arial Narrow" w:hAnsi="Arial Narrow"/>
                <w:snapToGrid w:val="0"/>
                <w:sz w:val="20"/>
                <w:szCs w:val="20"/>
                <w:lang w:eastAsia="en-US"/>
              </w:rPr>
              <w:t xml:space="preserve">n = </w:t>
            </w:r>
            <w:r w:rsidRPr="00861E5C">
              <w:rPr>
                <w:rFonts w:ascii="Arial Narrow" w:hAnsi="Arial Narrow"/>
                <w:snapToGrid w:val="0"/>
                <w:sz w:val="20"/>
                <w:szCs w:val="20"/>
                <w:lang w:eastAsia="en-US"/>
              </w:rPr>
              <w:t>20 patients, 39 lesions), &gt; 20 mm (</w:t>
            </w:r>
            <w:r w:rsidR="00C10752">
              <w:rPr>
                <w:rFonts w:ascii="Arial Narrow" w:hAnsi="Arial Narrow"/>
                <w:snapToGrid w:val="0"/>
                <w:sz w:val="20"/>
                <w:szCs w:val="20"/>
                <w:lang w:eastAsia="en-US"/>
              </w:rPr>
              <w:t xml:space="preserve">n = </w:t>
            </w:r>
            <w:r w:rsidRPr="00861E5C">
              <w:rPr>
                <w:rFonts w:ascii="Arial Narrow" w:hAnsi="Arial Narrow"/>
                <w:snapToGrid w:val="0"/>
                <w:sz w:val="20"/>
                <w:szCs w:val="20"/>
                <w:lang w:eastAsia="en-US"/>
              </w:rPr>
              <w:t>15 patients 28 lesions)</w:t>
            </w:r>
          </w:p>
          <w:p w14:paraId="2F214F30"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NR: Females NR</w:t>
            </w:r>
          </w:p>
          <w:p w14:paraId="2BE7B5A9"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Age &gt; 65 years (</w:t>
            </w:r>
            <w:r w:rsidR="00C10752">
              <w:rPr>
                <w:rFonts w:ascii="Arial Narrow" w:hAnsi="Arial Narrow"/>
                <w:snapToGrid w:val="0"/>
                <w:sz w:val="20"/>
                <w:szCs w:val="20"/>
                <w:lang w:eastAsia="en-US"/>
              </w:rPr>
              <w:t xml:space="preserve">n = </w:t>
            </w:r>
            <w:r w:rsidRPr="00861E5C">
              <w:rPr>
                <w:rFonts w:ascii="Arial Narrow" w:hAnsi="Arial Narrow"/>
                <w:snapToGrid w:val="0"/>
                <w:sz w:val="20"/>
                <w:szCs w:val="20"/>
                <w:lang w:eastAsia="en-US"/>
              </w:rPr>
              <w:t>6), age ≤ 65 years (</w:t>
            </w:r>
            <w:r w:rsidR="00C10752">
              <w:rPr>
                <w:rFonts w:ascii="Arial Narrow" w:hAnsi="Arial Narrow"/>
                <w:snapToGrid w:val="0"/>
                <w:sz w:val="20"/>
                <w:szCs w:val="20"/>
                <w:lang w:eastAsia="en-US"/>
              </w:rPr>
              <w:t xml:space="preserve">n = </w:t>
            </w:r>
            <w:r w:rsidRPr="00861E5C">
              <w:rPr>
                <w:rFonts w:ascii="Arial Narrow" w:hAnsi="Arial Narrow"/>
                <w:snapToGrid w:val="0"/>
                <w:sz w:val="20"/>
                <w:szCs w:val="20"/>
                <w:lang w:eastAsia="en-US"/>
              </w:rPr>
              <w:t>29)</w:t>
            </w:r>
          </w:p>
          <w:p w14:paraId="7330EA56" w14:textId="0352991C"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chemotherapy 35/35 (100%)</w:t>
            </w:r>
          </w:p>
          <w:p w14:paraId="369ACC32"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breast 35/35 (100%)</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B9863D1"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503A37F8"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Anaesthesia NR</w:t>
            </w:r>
          </w:p>
          <w:p w14:paraId="6482066C"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 of sessions NR</w:t>
            </w:r>
          </w:p>
          <w:p w14:paraId="6B3D5B90"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Duration NR</w:t>
            </w:r>
          </w:p>
          <w:p w14:paraId="2BEE8698"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78AE429E" w14:textId="77777777" w:rsidR="00861E5C" w:rsidRPr="00861E5C" w:rsidRDefault="00861E5C" w:rsidP="00FE0534">
            <w:pPr>
              <w:keepNext/>
              <w:widowControl w:val="0"/>
              <w:numPr>
                <w:ilvl w:val="0"/>
                <w:numId w:val="22"/>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not defined, assumed measured from time of RFA to death (calculated with Kaplan-Meier method)</w:t>
            </w:r>
          </w:p>
          <w:p w14:paraId="503E9997" w14:textId="77777777" w:rsidR="00861E5C" w:rsidRPr="00861E5C" w:rsidRDefault="00861E5C" w:rsidP="00FE0534">
            <w:pPr>
              <w:keepNext/>
              <w:widowControl w:val="0"/>
              <w:numPr>
                <w:ilvl w:val="0"/>
                <w:numId w:val="22"/>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control: target lesion had not progressed during follow-up period and each lesion was observed and judged</w:t>
            </w:r>
          </w:p>
          <w:p w14:paraId="0C9708CE" w14:textId="77777777" w:rsidR="00861E5C" w:rsidRPr="00861E5C" w:rsidRDefault="00861E5C" w:rsidP="00FE0534">
            <w:pPr>
              <w:widowControl w:val="0"/>
              <w:numPr>
                <w:ilvl w:val="0"/>
                <w:numId w:val="22"/>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not defined</w:t>
            </w:r>
          </w:p>
        </w:tc>
      </w:tr>
      <w:tr w:rsidR="00861E5C" w:rsidRPr="00861E5C" w14:paraId="4A25CEC5"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4D863BB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Matsui et al (2015)</w:t>
            </w:r>
          </w:p>
          <w:p w14:paraId="31ACC76C"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Japan</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4C6B5712"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Retrospective CS</w:t>
            </w:r>
          </w:p>
          <w:p w14:paraId="4CF82967"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Level IV</w:t>
            </w:r>
          </w:p>
          <w:p w14:paraId="6759226B"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618A4015" w14:textId="3CFB35AA"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38 (5</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130)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FC93DF9" w14:textId="00D6471F"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 xml:space="preserve">Patients with </w:t>
            </w:r>
            <w:r w:rsidR="004B0AEF">
              <w:rPr>
                <w:rFonts w:ascii="Arial Narrow" w:hAnsi="Arial Narrow"/>
                <w:snapToGrid w:val="0"/>
                <w:sz w:val="20"/>
                <w:szCs w:val="20"/>
              </w:rPr>
              <w:t>CRC</w:t>
            </w:r>
            <w:r w:rsidRPr="00861E5C">
              <w:rPr>
                <w:rFonts w:ascii="Arial Narrow" w:hAnsi="Arial Narrow"/>
                <w:snapToGrid w:val="0"/>
                <w:sz w:val="20"/>
                <w:szCs w:val="20"/>
                <w:lang w:eastAsia="en-US"/>
              </w:rPr>
              <w:t xml:space="preserve"> lung metastases, inoperable or refused surgery, primary resected, curative therapy</w:t>
            </w:r>
          </w:p>
          <w:p w14:paraId="365B32D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84 (172 lesions)</w:t>
            </w:r>
          </w:p>
          <w:p w14:paraId="63BAB447" w14:textId="0789683F"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size 15 (5</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35) mm</w:t>
            </w:r>
          </w:p>
          <w:p w14:paraId="0CA2F4E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46 (55%): Females 38 (45%)</w:t>
            </w:r>
          </w:p>
          <w:p w14:paraId="62999449" w14:textId="2E7F1099"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age 65 (31</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94) years</w:t>
            </w:r>
          </w:p>
          <w:p w14:paraId="38DA9CF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colorectal resection 84/84 (100%), pulmonary metastectomy 34/84 (40%), systemic chemotherapy for metastases 24/84 (29%), metastectomy + chemotherapy 4/84 (5%), RFA 24/84 (29%), microwave ablation 1/84 (1%)</w:t>
            </w:r>
          </w:p>
          <w:p w14:paraId="35C4B7E0"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colorectal 84/84 (100%)</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6CEE7C9"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5A9EFAEF"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Local anaesthesia + conscious sedation</w:t>
            </w:r>
          </w:p>
          <w:p w14:paraId="200D98C3" w14:textId="06932369"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113 ablation sessions, duration 12</w:t>
            </w:r>
            <w:r w:rsidR="00D35E9C">
              <w:rPr>
                <w:rFonts w:ascii="Arial Narrow" w:hAnsi="Arial Narrow"/>
                <w:sz w:val="20"/>
                <w:szCs w:val="20"/>
              </w:rPr>
              <w:t>–</w:t>
            </w:r>
            <w:r w:rsidRPr="00861E5C">
              <w:rPr>
                <w:rFonts w:ascii="Arial Narrow" w:hAnsi="Arial Narrow"/>
                <w:sz w:val="20"/>
                <w:szCs w:val="20"/>
              </w:rPr>
              <w:t>15 mins per lesion</w:t>
            </w:r>
          </w:p>
          <w:p w14:paraId="44AA46EF"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3700D59" w14:textId="45675EAF" w:rsidR="00861E5C" w:rsidRPr="00861E5C" w:rsidRDefault="00861E5C" w:rsidP="00FE0534">
            <w:pPr>
              <w:keepNext/>
              <w:widowControl w:val="0"/>
              <w:numPr>
                <w:ilvl w:val="0"/>
                <w:numId w:val="26"/>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not defined, assumed time of RFA to death (Kaplan-Meier)</w:t>
            </w:r>
          </w:p>
          <w:p w14:paraId="0CBCF6F6" w14:textId="77777777" w:rsidR="00861E5C" w:rsidRPr="00861E5C" w:rsidRDefault="00861E5C" w:rsidP="00FE0534">
            <w:pPr>
              <w:keepNext/>
              <w:widowControl w:val="0"/>
              <w:numPr>
                <w:ilvl w:val="0"/>
                <w:numId w:val="26"/>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Progression-free survival: not defined (reported progression-free survival was longer than overall survival , i.e. likely does not include death, calculated with Kaplan-Meier method)</w:t>
            </w:r>
          </w:p>
          <w:p w14:paraId="485AF6DC" w14:textId="77777777" w:rsidR="00861E5C" w:rsidRPr="00861E5C" w:rsidRDefault="00861E5C" w:rsidP="00FE0534">
            <w:pPr>
              <w:keepNext/>
              <w:widowControl w:val="0"/>
              <w:numPr>
                <w:ilvl w:val="0"/>
                <w:numId w:val="26"/>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tumour progression: appearance of irregular, scattered, nodular, or eccentric focus in the ablation zone, or if the ablation zone was circumferentially enlarged</w:t>
            </w:r>
          </w:p>
          <w:p w14:paraId="64BD384D" w14:textId="77777777" w:rsidR="00861E5C" w:rsidRPr="00861E5C" w:rsidRDefault="00861E5C" w:rsidP="00FE0534">
            <w:pPr>
              <w:widowControl w:val="0"/>
              <w:numPr>
                <w:ilvl w:val="0"/>
                <w:numId w:val="26"/>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identified by follow-up CT, scored against CTCAE v4.0</w:t>
            </w:r>
          </w:p>
        </w:tc>
      </w:tr>
      <w:tr w:rsidR="00861E5C" w:rsidRPr="00861E5C" w14:paraId="778DAE68"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277A2B84" w14:textId="1F460EC6" w:rsidR="00861E5C" w:rsidRPr="00861E5C" w:rsidRDefault="00861E5C" w:rsidP="00FE0534">
            <w:pPr>
              <w:widowControl w:val="0"/>
              <w:spacing w:before="60" w:after="60" w:line="288" w:lineRule="auto"/>
              <w:jc w:val="left"/>
              <w:rPr>
                <w:rFonts w:ascii="Arial Narrow" w:hAnsi="Arial Narrow"/>
                <w:b/>
                <w:snapToGrid w:val="0"/>
                <w:sz w:val="20"/>
                <w:szCs w:val="20"/>
                <w:lang w:eastAsia="en-US"/>
              </w:rPr>
            </w:pPr>
            <w:r w:rsidRPr="00861E5C">
              <w:rPr>
                <w:rFonts w:ascii="Arial Narrow" w:hAnsi="Arial Narrow"/>
                <w:snapToGrid w:val="0"/>
                <w:sz w:val="20"/>
                <w:szCs w:val="20"/>
                <w:lang w:eastAsia="en-US"/>
              </w:rPr>
              <w:lastRenderedPageBreak/>
              <w:t>von Meyenfeldt et al (2011)</w:t>
            </w:r>
          </w:p>
          <w:p w14:paraId="14E43987"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Netherlands</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127FA9F7"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Retrospective CS</w:t>
            </w:r>
          </w:p>
          <w:p w14:paraId="46A82BDE"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Level IV</w:t>
            </w:r>
          </w:p>
          <w:p w14:paraId="3CA7B3E6"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08AD46A4" w14:textId="159264F4"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22 (2</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65)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7A7BAB03"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l</w:t>
            </w:r>
            <w:r w:rsidRPr="00861E5C">
              <w:rPr>
                <w:rFonts w:ascii="Arial Narrow" w:hAnsi="Arial Narrow"/>
                <w:snapToGrid w:val="0"/>
                <w:sz w:val="20"/>
                <w:szCs w:val="20"/>
                <w:lang w:eastAsia="en-US"/>
              </w:rPr>
              <w:t>imited recurrent lung metastases with peripheral locations, &lt; 5 lesions per patient</w:t>
            </w:r>
          </w:p>
          <w:p w14:paraId="755C7D1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N = 46 (90 lesions)</w:t>
            </w:r>
          </w:p>
          <w:p w14:paraId="78379D8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Tumour size &lt; 20 mm (</w:t>
            </w:r>
            <w:r w:rsidR="00C10752">
              <w:rPr>
                <w:rFonts w:ascii="Arial Narrow" w:hAnsi="Arial Narrow"/>
                <w:snapToGrid w:val="0"/>
                <w:sz w:val="20"/>
                <w:szCs w:val="20"/>
                <w:lang w:eastAsia="en-US"/>
              </w:rPr>
              <w:t xml:space="preserve">n = </w:t>
            </w:r>
            <w:r w:rsidRPr="00861E5C">
              <w:rPr>
                <w:rFonts w:ascii="Arial Narrow" w:hAnsi="Arial Narrow"/>
                <w:snapToGrid w:val="0"/>
                <w:sz w:val="20"/>
                <w:szCs w:val="20"/>
                <w:lang w:eastAsia="en-US"/>
              </w:rPr>
              <w:t>62), ≥ 20 mm (</w:t>
            </w:r>
            <w:r w:rsidR="00C10752">
              <w:rPr>
                <w:rFonts w:ascii="Arial Narrow" w:hAnsi="Arial Narrow"/>
                <w:snapToGrid w:val="0"/>
                <w:sz w:val="20"/>
                <w:szCs w:val="20"/>
                <w:lang w:eastAsia="en-US"/>
              </w:rPr>
              <w:t xml:space="preserve">n = </w:t>
            </w:r>
            <w:r w:rsidRPr="00861E5C">
              <w:rPr>
                <w:rFonts w:ascii="Arial Narrow" w:hAnsi="Arial Narrow"/>
                <w:snapToGrid w:val="0"/>
                <w:sz w:val="20"/>
                <w:szCs w:val="20"/>
                <w:lang w:eastAsia="en-US"/>
              </w:rPr>
              <w:t>28)</w:t>
            </w:r>
          </w:p>
          <w:p w14:paraId="08A2B9C8"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19 (41%): Females 27 (59%)</w:t>
            </w:r>
          </w:p>
          <w:p w14:paraId="65BDE5A0" w14:textId="6B944B6A"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Median age 57 (32</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78) years</w:t>
            </w:r>
          </w:p>
          <w:p w14:paraId="411F1F4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p w14:paraId="61FF3C02"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sarcoma 12/46 (26%), colorectal 14/46 (30%), kidney 4/46 (9%), breast 3/46 (7%), other 13/46 (28%)</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17ADFD6F"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08E04399"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General anaesthesia (</w:t>
            </w:r>
            <w:r w:rsidR="00C10752">
              <w:rPr>
                <w:rFonts w:ascii="Arial Narrow" w:hAnsi="Arial Narrow"/>
                <w:sz w:val="20"/>
                <w:szCs w:val="20"/>
              </w:rPr>
              <w:t xml:space="preserve">n = </w:t>
            </w:r>
            <w:r w:rsidRPr="00861E5C">
              <w:rPr>
                <w:rFonts w:ascii="Arial Narrow" w:hAnsi="Arial Narrow"/>
                <w:sz w:val="20"/>
                <w:szCs w:val="20"/>
              </w:rPr>
              <w:t>3), or local anaesthesia + conscious sedation (</w:t>
            </w:r>
            <w:r w:rsidR="00C10752">
              <w:rPr>
                <w:rFonts w:ascii="Arial Narrow" w:hAnsi="Arial Narrow"/>
                <w:sz w:val="20"/>
                <w:szCs w:val="20"/>
              </w:rPr>
              <w:t xml:space="preserve">n = </w:t>
            </w:r>
            <w:r w:rsidRPr="00861E5C">
              <w:rPr>
                <w:rFonts w:ascii="Arial Narrow" w:hAnsi="Arial Narrow"/>
                <w:sz w:val="20"/>
                <w:szCs w:val="20"/>
              </w:rPr>
              <w:t>44)</w:t>
            </w:r>
          </w:p>
          <w:p w14:paraId="1E8E07DF" w14:textId="2245BFCD"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65 ablation sessions, 12</w:t>
            </w:r>
            <w:r w:rsidR="00D35E9C">
              <w:rPr>
                <w:rFonts w:ascii="Arial Narrow" w:hAnsi="Arial Narrow"/>
                <w:sz w:val="20"/>
                <w:szCs w:val="20"/>
              </w:rPr>
              <w:t>–</w:t>
            </w:r>
            <w:r w:rsidRPr="00861E5C">
              <w:rPr>
                <w:rFonts w:ascii="Arial Narrow" w:hAnsi="Arial Narrow"/>
                <w:sz w:val="20"/>
                <w:szCs w:val="20"/>
              </w:rPr>
              <w:t>25 mins per lesion</w:t>
            </w:r>
          </w:p>
          <w:p w14:paraId="49D0ADD5"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5A9AA94" w14:textId="0992D276" w:rsidR="00861E5C" w:rsidRPr="00861E5C" w:rsidRDefault="00861E5C" w:rsidP="00FE0534">
            <w:pPr>
              <w:keepNext/>
              <w:widowControl w:val="0"/>
              <w:numPr>
                <w:ilvl w:val="0"/>
                <w:numId w:val="2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not defined, assumed time of RFA to death (Kaplan-Meier)</w:t>
            </w:r>
          </w:p>
          <w:p w14:paraId="3901E6AD" w14:textId="11D7BCED" w:rsidR="00861E5C" w:rsidRPr="00861E5C" w:rsidRDefault="00861E5C" w:rsidP="00FE0534">
            <w:pPr>
              <w:keepNext/>
              <w:widowControl w:val="0"/>
              <w:numPr>
                <w:ilvl w:val="0"/>
                <w:numId w:val="2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Progression-free survival: not defined, but assume aligned with death or "progression" as defined below, as progression-free survival was shorter than overall survival (Kaplan-Meier)</w:t>
            </w:r>
          </w:p>
          <w:p w14:paraId="18FB5ECE" w14:textId="77777777" w:rsidR="00861E5C" w:rsidRPr="00861E5C" w:rsidRDefault="00861E5C" w:rsidP="00FE0534">
            <w:pPr>
              <w:keepNext/>
              <w:widowControl w:val="0"/>
              <w:numPr>
                <w:ilvl w:val="0"/>
                <w:numId w:val="2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Progression: appearance of new lesions at any site, or growth in previously stable lesions</w:t>
            </w:r>
          </w:p>
          <w:p w14:paraId="7E70C426" w14:textId="77777777" w:rsidR="00861E5C" w:rsidRPr="00861E5C" w:rsidRDefault="00861E5C" w:rsidP="00FE0534">
            <w:pPr>
              <w:keepNext/>
              <w:widowControl w:val="0"/>
              <w:numPr>
                <w:ilvl w:val="0"/>
                <w:numId w:val="2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progression: any new or growing lesions in the ablation zone or within 1cm from this zone</w:t>
            </w:r>
          </w:p>
          <w:p w14:paraId="4721D24D" w14:textId="77777777" w:rsidR="00861E5C" w:rsidRPr="00861E5C" w:rsidRDefault="00861E5C" w:rsidP="00FE0534">
            <w:pPr>
              <w:keepNext/>
              <w:widowControl w:val="0"/>
              <w:numPr>
                <w:ilvl w:val="0"/>
                <w:numId w:val="27"/>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not defined</w:t>
            </w:r>
          </w:p>
        </w:tc>
      </w:tr>
      <w:tr w:rsidR="00861E5C" w:rsidRPr="00861E5C" w14:paraId="3916C308"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1168D534"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Yan et al (2006 + 2007)</w:t>
            </w:r>
          </w:p>
          <w:p w14:paraId="7DC7E475"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Australia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78946206"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Prospective CS</w:t>
            </w:r>
          </w:p>
          <w:p w14:paraId="6F817464"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Level IV</w:t>
            </w:r>
          </w:p>
          <w:p w14:paraId="545B160A"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45696542" w14:textId="586A7ABA"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24 (6</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40)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775E76D4" w14:textId="12B8E4EE"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c</w:t>
            </w:r>
            <w:r w:rsidRPr="00861E5C">
              <w:rPr>
                <w:rFonts w:ascii="Arial Narrow" w:hAnsi="Arial Narrow"/>
                <w:snapToGrid w:val="0"/>
                <w:sz w:val="20"/>
                <w:szCs w:val="20"/>
                <w:lang w:eastAsia="en-US"/>
              </w:rPr>
              <w:t>olorectal lung metastases, inoperable or refused surgery, primary colorectal and liver metastases resected, 3</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5 lesions either lung, lesion size ≤ 50mm</w:t>
            </w:r>
          </w:p>
          <w:p w14:paraId="7E01ABC2"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N = 55 (lesions NR) </w:t>
            </w:r>
          </w:p>
          <w:p w14:paraId="21271E59"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Mean size 21 ± 11 mm  </w:t>
            </w:r>
          </w:p>
          <w:p w14:paraId="74C41352"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33 (60%): Females 22 (40%)</w:t>
            </w:r>
          </w:p>
          <w:p w14:paraId="21262C93"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age 62 ± 11 years</w:t>
            </w:r>
          </w:p>
          <w:p w14:paraId="5088B993"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hepatectomy 30/55 (55%), systemic chemotherapy 20/55 (36%)</w:t>
            </w:r>
          </w:p>
          <w:p w14:paraId="284422C2"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colorectal 55/55 (100%)</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8F62499"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75E6DD4B"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Local anaesthesia + conscious sedation</w:t>
            </w:r>
          </w:p>
          <w:p w14:paraId="34C46CAD" w14:textId="7B909904"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 xml:space="preserve">55 </w:t>
            </w:r>
            <w:r w:rsidRPr="00861E5C">
              <w:rPr>
                <w:rFonts w:ascii="Arial Narrow" w:hAnsi="Arial Narrow"/>
                <w:snapToGrid w:val="0"/>
                <w:sz w:val="20"/>
                <w:szCs w:val="20"/>
                <w:lang w:eastAsia="en-US"/>
              </w:rPr>
              <w:t>ablation</w:t>
            </w:r>
            <w:r w:rsidRPr="00861E5C">
              <w:rPr>
                <w:rFonts w:ascii="Arial Narrow" w:hAnsi="Arial Narrow"/>
                <w:b/>
                <w:snapToGrid w:val="0"/>
                <w:sz w:val="20"/>
                <w:szCs w:val="20"/>
                <w:lang w:eastAsia="en-US"/>
              </w:rPr>
              <w:t xml:space="preserve"> </w:t>
            </w:r>
            <w:r w:rsidRPr="00861E5C">
              <w:rPr>
                <w:rFonts w:ascii="Arial Narrow" w:hAnsi="Arial Narrow"/>
                <w:sz w:val="20"/>
                <w:szCs w:val="20"/>
              </w:rPr>
              <w:t>sessions, median duration 2.5 (1.0</w:t>
            </w:r>
            <w:r w:rsidR="00D35E9C">
              <w:rPr>
                <w:rFonts w:ascii="Arial Narrow" w:hAnsi="Arial Narrow"/>
                <w:sz w:val="20"/>
                <w:szCs w:val="20"/>
              </w:rPr>
              <w:t>–</w:t>
            </w:r>
            <w:r w:rsidRPr="00861E5C">
              <w:rPr>
                <w:rFonts w:ascii="Arial Narrow" w:hAnsi="Arial Narrow"/>
                <w:sz w:val="20"/>
                <w:szCs w:val="20"/>
              </w:rPr>
              <w:t>4.5) hours per patient</w:t>
            </w:r>
          </w:p>
          <w:p w14:paraId="6E89E802"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3B9699A6" w14:textId="77777777" w:rsidR="00861E5C" w:rsidRPr="00861E5C" w:rsidRDefault="00861E5C" w:rsidP="00FE0534">
            <w:pPr>
              <w:keepNext/>
              <w:widowControl w:val="0"/>
              <w:numPr>
                <w:ilvl w:val="0"/>
                <w:numId w:val="28"/>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survival: time from RFA to death (calculated with Kaplan-Meier method)</w:t>
            </w:r>
          </w:p>
          <w:p w14:paraId="1B915823" w14:textId="77777777" w:rsidR="00861E5C" w:rsidRPr="00861E5C" w:rsidRDefault="00861E5C" w:rsidP="00FE0534">
            <w:pPr>
              <w:keepNext/>
              <w:widowControl w:val="0"/>
              <w:numPr>
                <w:ilvl w:val="0"/>
                <w:numId w:val="28"/>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Recurrence: not defined</w:t>
            </w:r>
          </w:p>
          <w:p w14:paraId="31EF0098" w14:textId="77777777" w:rsidR="00861E5C" w:rsidRPr="00861E5C" w:rsidRDefault="00861E5C" w:rsidP="00FE0534">
            <w:pPr>
              <w:keepNext/>
              <w:widowControl w:val="0"/>
              <w:numPr>
                <w:ilvl w:val="0"/>
                <w:numId w:val="28"/>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Disease progression: at least 20% increase in the largest diameter of the target lesion.</w:t>
            </w:r>
          </w:p>
          <w:p w14:paraId="38F6A4CE" w14:textId="77777777" w:rsidR="00861E5C" w:rsidRPr="00861E5C" w:rsidRDefault="00861E5C" w:rsidP="00FE0534">
            <w:pPr>
              <w:keepNext/>
              <w:widowControl w:val="0"/>
              <w:numPr>
                <w:ilvl w:val="0"/>
                <w:numId w:val="28"/>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Local disease progression: disease progression at an original lung RFA site</w:t>
            </w:r>
          </w:p>
          <w:p w14:paraId="691D47A7" w14:textId="77777777" w:rsidR="00861E5C" w:rsidRPr="00861E5C" w:rsidRDefault="00861E5C" w:rsidP="00FE0534">
            <w:pPr>
              <w:keepNext/>
              <w:widowControl w:val="0"/>
              <w:numPr>
                <w:ilvl w:val="0"/>
                <w:numId w:val="28"/>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Overall progression: disease progression at any systemic site</w:t>
            </w:r>
          </w:p>
          <w:p w14:paraId="2352C330" w14:textId="77777777" w:rsidR="00861E5C" w:rsidRPr="00861E5C" w:rsidRDefault="00861E5C" w:rsidP="00FE0534">
            <w:pPr>
              <w:widowControl w:val="0"/>
              <w:numPr>
                <w:ilvl w:val="0"/>
                <w:numId w:val="28"/>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not defined</w:t>
            </w:r>
          </w:p>
        </w:tc>
      </w:tr>
      <w:tr w:rsidR="00861E5C" w:rsidRPr="00861E5C" w14:paraId="7CFED0C4" w14:textId="77777777" w:rsidTr="00547263">
        <w:trPr>
          <w:cantSplit/>
          <w:trHeight w:val="300"/>
        </w:trPr>
        <w:tc>
          <w:tcPr>
            <w:tcW w:w="457" w:type="pct"/>
            <w:tcBorders>
              <w:top w:val="single" w:sz="4" w:space="0" w:color="auto"/>
              <w:left w:val="single" w:sz="4" w:space="0" w:color="auto"/>
              <w:bottom w:val="single" w:sz="4" w:space="0" w:color="auto"/>
            </w:tcBorders>
            <w:shd w:val="clear" w:color="auto" w:fill="D9D9D9" w:themeFill="background1" w:themeFillShade="D9"/>
          </w:tcPr>
          <w:p w14:paraId="3944E565" w14:textId="77777777" w:rsidR="00861E5C" w:rsidRPr="00861E5C" w:rsidRDefault="00861E5C" w:rsidP="00FE0534">
            <w:pPr>
              <w:widowControl w:val="0"/>
              <w:spacing w:before="60" w:after="60" w:line="288" w:lineRule="auto"/>
              <w:jc w:val="left"/>
              <w:rPr>
                <w:rFonts w:ascii="Arial Narrow" w:hAnsi="Arial Narrow"/>
                <w:b/>
                <w:sz w:val="20"/>
                <w:szCs w:val="20"/>
              </w:rPr>
            </w:pPr>
            <w:r w:rsidRPr="00861E5C">
              <w:rPr>
                <w:rFonts w:ascii="Arial Narrow" w:hAnsi="Arial Narrow"/>
                <w:b/>
                <w:sz w:val="20"/>
                <w:szCs w:val="20"/>
              </w:rPr>
              <w:lastRenderedPageBreak/>
              <w:t>POPULATION</w:t>
            </w:r>
          </w:p>
        </w:tc>
        <w:tc>
          <w:tcPr>
            <w:tcW w:w="634" w:type="pct"/>
            <w:tcBorders>
              <w:top w:val="single" w:sz="4" w:space="0" w:color="auto"/>
              <w:bottom w:val="single" w:sz="4" w:space="0" w:color="auto"/>
            </w:tcBorders>
            <w:shd w:val="clear" w:color="auto" w:fill="D9D9D9" w:themeFill="background1" w:themeFillShade="D9"/>
          </w:tcPr>
          <w:p w14:paraId="23212537" w14:textId="77777777" w:rsidR="00861E5C" w:rsidRPr="00861E5C" w:rsidRDefault="00861E5C" w:rsidP="00FE0534">
            <w:pPr>
              <w:widowControl w:val="0"/>
              <w:spacing w:before="60" w:after="60" w:line="288" w:lineRule="auto"/>
              <w:jc w:val="left"/>
              <w:rPr>
                <w:rFonts w:ascii="Arial Narrow" w:hAnsi="Arial Narrow"/>
                <w:b/>
                <w:sz w:val="20"/>
                <w:szCs w:val="20"/>
              </w:rPr>
            </w:pPr>
            <w:r w:rsidRPr="00861E5C">
              <w:rPr>
                <w:rFonts w:ascii="Arial Narrow" w:hAnsi="Arial Narrow"/>
                <w:b/>
                <w:sz w:val="20"/>
                <w:szCs w:val="20"/>
              </w:rPr>
              <w:t>3</w:t>
            </w:r>
          </w:p>
        </w:tc>
        <w:tc>
          <w:tcPr>
            <w:tcW w:w="1303" w:type="pct"/>
            <w:tcBorders>
              <w:top w:val="single" w:sz="4" w:space="0" w:color="auto"/>
              <w:bottom w:val="single" w:sz="4" w:space="0" w:color="auto"/>
            </w:tcBorders>
            <w:shd w:val="clear" w:color="auto" w:fill="D9D9D9" w:themeFill="background1" w:themeFillShade="D9"/>
          </w:tcPr>
          <w:p w14:paraId="499D7A6F" w14:textId="77777777" w:rsidR="00861E5C" w:rsidRPr="00861E5C" w:rsidRDefault="00861E5C" w:rsidP="00FE0534">
            <w:pPr>
              <w:widowControl w:val="0"/>
              <w:spacing w:before="60" w:after="60" w:line="288" w:lineRule="auto"/>
              <w:jc w:val="left"/>
              <w:rPr>
                <w:rFonts w:ascii="Arial Narrow" w:hAnsi="Arial Narrow"/>
                <w:b/>
                <w:sz w:val="20"/>
                <w:szCs w:val="20"/>
              </w:rPr>
            </w:pPr>
          </w:p>
        </w:tc>
        <w:tc>
          <w:tcPr>
            <w:tcW w:w="1303" w:type="pct"/>
            <w:tcBorders>
              <w:top w:val="single" w:sz="4" w:space="0" w:color="auto"/>
              <w:bottom w:val="single" w:sz="4" w:space="0" w:color="auto"/>
            </w:tcBorders>
            <w:shd w:val="clear" w:color="auto" w:fill="D9D9D9" w:themeFill="background1" w:themeFillShade="D9"/>
          </w:tcPr>
          <w:p w14:paraId="396ECACB" w14:textId="77777777" w:rsidR="00861E5C" w:rsidRPr="00861E5C" w:rsidRDefault="00861E5C" w:rsidP="00FE0534">
            <w:pPr>
              <w:widowControl w:val="0"/>
              <w:spacing w:before="60" w:after="60" w:line="288" w:lineRule="auto"/>
              <w:jc w:val="left"/>
              <w:rPr>
                <w:rFonts w:ascii="Arial Narrow" w:hAnsi="Arial Narrow"/>
                <w:sz w:val="20"/>
                <w:szCs w:val="20"/>
              </w:rPr>
            </w:pPr>
          </w:p>
        </w:tc>
        <w:tc>
          <w:tcPr>
            <w:tcW w:w="1303" w:type="pct"/>
            <w:tcBorders>
              <w:top w:val="single" w:sz="4" w:space="0" w:color="auto"/>
              <w:bottom w:val="single" w:sz="4" w:space="0" w:color="auto"/>
              <w:right w:val="single" w:sz="4" w:space="0" w:color="auto"/>
            </w:tcBorders>
            <w:shd w:val="clear" w:color="auto" w:fill="D9D9D9" w:themeFill="background1" w:themeFillShade="D9"/>
          </w:tcPr>
          <w:p w14:paraId="6A6698BF" w14:textId="77777777" w:rsidR="00861E5C" w:rsidRPr="00861E5C" w:rsidRDefault="00861E5C" w:rsidP="00FE0534">
            <w:pPr>
              <w:widowControl w:val="0"/>
              <w:spacing w:before="60" w:after="60" w:line="288" w:lineRule="auto"/>
              <w:jc w:val="left"/>
              <w:rPr>
                <w:rFonts w:ascii="Arial Narrow" w:hAnsi="Arial Narrow"/>
                <w:sz w:val="20"/>
                <w:szCs w:val="20"/>
              </w:rPr>
            </w:pPr>
          </w:p>
        </w:tc>
      </w:tr>
      <w:tr w:rsidR="00861E5C" w:rsidRPr="00861E5C" w14:paraId="0FF51477" w14:textId="77777777" w:rsidTr="00547263">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14:paraId="569BF94B"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Simon et al (2007)</w:t>
            </w:r>
          </w:p>
          <w:p w14:paraId="38B7A975"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USA</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tcPr>
          <w:p w14:paraId="78ECC6F7"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Retrospective CS</w:t>
            </w:r>
          </w:p>
          <w:p w14:paraId="2E99ED4A"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lang w:eastAsia="en-US"/>
              </w:rPr>
              <w:t>Level IV</w:t>
            </w:r>
          </w:p>
          <w:p w14:paraId="6230F796"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Risk of bias: High</w:t>
            </w:r>
          </w:p>
          <w:p w14:paraId="0B972F2E" w14:textId="607A9281"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napToGrid w:val="0"/>
                <w:sz w:val="20"/>
                <w:szCs w:val="20"/>
              </w:rPr>
              <w:t>21 (3</w:t>
            </w:r>
            <w:r w:rsidR="00D35E9C">
              <w:rPr>
                <w:rFonts w:ascii="Arial Narrow" w:hAnsi="Arial Narrow"/>
                <w:snapToGrid w:val="0"/>
                <w:sz w:val="20"/>
                <w:szCs w:val="20"/>
              </w:rPr>
              <w:t>–</w:t>
            </w:r>
            <w:r w:rsidRPr="00861E5C">
              <w:rPr>
                <w:rFonts w:ascii="Arial Narrow" w:hAnsi="Arial Narrow"/>
                <w:snapToGrid w:val="0"/>
                <w:sz w:val="20"/>
                <w:szCs w:val="20"/>
              </w:rPr>
              <w:t>74) months</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1F9AA96"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Patients with a</w:t>
            </w:r>
            <w:r w:rsidRPr="00861E5C">
              <w:rPr>
                <w:rFonts w:ascii="Arial Narrow" w:hAnsi="Arial Narrow"/>
                <w:snapToGrid w:val="0"/>
                <w:sz w:val="20"/>
                <w:szCs w:val="20"/>
                <w:lang w:eastAsia="en-US"/>
              </w:rPr>
              <w:t>dvanced lung cancer, inoperable or refused surgery, refractory to treatment</w:t>
            </w:r>
          </w:p>
          <w:p w14:paraId="22122325"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rPr>
              <w:t>N = 21 (27 lesions)</w:t>
            </w:r>
            <w:r w:rsidRPr="00861E5C">
              <w:rPr>
                <w:rFonts w:ascii="Arial Narrow" w:hAnsi="Arial Narrow"/>
                <w:snapToGrid w:val="0"/>
                <w:sz w:val="20"/>
                <w:szCs w:val="20"/>
                <w:lang w:eastAsia="en-US"/>
              </w:rPr>
              <w:t xml:space="preserve"> </w:t>
            </w:r>
          </w:p>
          <w:p w14:paraId="2CDB1670" w14:textId="69A49832"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size 61 (15</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190) mm</w:t>
            </w:r>
          </w:p>
          <w:p w14:paraId="6BF891EA"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11 (53%): Females 10 (48%)</w:t>
            </w:r>
          </w:p>
          <w:p w14:paraId="3A02A5EF" w14:textId="5A804826"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Mean age 64 (46</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77) years</w:t>
            </w:r>
          </w:p>
          <w:p w14:paraId="12A49945"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p w14:paraId="4F989E9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NSCLC 10/21 (48%), colorectal 3/21 (14%), other 8/21 (38%)</w:t>
            </w:r>
          </w:p>
        </w:tc>
        <w:tc>
          <w:tcPr>
            <w:tcW w:w="1303" w:type="pct"/>
            <w:tcBorders>
              <w:top w:val="single" w:sz="4" w:space="0" w:color="auto"/>
              <w:left w:val="single" w:sz="4" w:space="0" w:color="auto"/>
              <w:bottom w:val="single" w:sz="4" w:space="0" w:color="auto"/>
              <w:right w:val="single" w:sz="4" w:space="0" w:color="auto"/>
            </w:tcBorders>
            <w:shd w:val="clear" w:color="auto" w:fill="FFFFFF" w:themeFill="background1"/>
          </w:tcPr>
          <w:p w14:paraId="2D080ADA" w14:textId="77777777" w:rsidR="00861E5C" w:rsidRPr="00861E5C" w:rsidRDefault="00861E5C" w:rsidP="00FE0534">
            <w:pPr>
              <w:widowControl w:val="0"/>
              <w:spacing w:before="60" w:after="60" w:line="288" w:lineRule="auto"/>
              <w:jc w:val="left"/>
              <w:rPr>
                <w:rFonts w:ascii="Arial Narrow" w:hAnsi="Arial Narrow"/>
                <w:sz w:val="20"/>
                <w:szCs w:val="20"/>
                <w:u w:val="single"/>
              </w:rPr>
            </w:pPr>
            <w:r w:rsidRPr="00861E5C">
              <w:rPr>
                <w:rFonts w:ascii="Arial Narrow" w:hAnsi="Arial Narrow"/>
                <w:sz w:val="20"/>
                <w:szCs w:val="20"/>
                <w:u w:val="single"/>
              </w:rPr>
              <w:t>Intervention: CT-guided RFA</w:t>
            </w:r>
          </w:p>
          <w:p w14:paraId="28950F6F" w14:textId="77777777" w:rsidR="00861E5C" w:rsidRPr="00861E5C" w:rsidRDefault="00861E5C" w:rsidP="00FE0534">
            <w:pPr>
              <w:widowControl w:val="0"/>
              <w:spacing w:before="60" w:after="60" w:line="288" w:lineRule="auto"/>
              <w:jc w:val="left"/>
              <w:rPr>
                <w:rFonts w:ascii="Arial Narrow" w:hAnsi="Arial Narrow"/>
                <w:sz w:val="20"/>
                <w:szCs w:val="20"/>
              </w:rPr>
            </w:pPr>
            <w:r w:rsidRPr="00861E5C">
              <w:rPr>
                <w:rFonts w:ascii="Arial Narrow" w:hAnsi="Arial Narrow"/>
                <w:sz w:val="20"/>
                <w:szCs w:val="20"/>
              </w:rPr>
              <w:t>Local anaesthesia + conscious sedation</w:t>
            </w:r>
          </w:p>
          <w:p w14:paraId="797DDEAD" w14:textId="2B681DB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129 ablations, mean 7 (1</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15) minutes per ablation, mean 5 (2</w:t>
            </w:r>
            <w:r w:rsidR="00D35E9C">
              <w:rPr>
                <w:rFonts w:ascii="Arial Narrow" w:hAnsi="Arial Narrow"/>
                <w:snapToGrid w:val="0"/>
                <w:sz w:val="20"/>
                <w:szCs w:val="20"/>
                <w:lang w:eastAsia="en-US"/>
              </w:rPr>
              <w:t>–</w:t>
            </w:r>
            <w:r w:rsidRPr="00861E5C">
              <w:rPr>
                <w:rFonts w:ascii="Arial Narrow" w:hAnsi="Arial Narrow"/>
                <w:snapToGrid w:val="0"/>
                <w:sz w:val="20"/>
                <w:szCs w:val="20"/>
                <w:lang w:eastAsia="en-US"/>
              </w:rPr>
              <w:t>9) ablations per lesion</w:t>
            </w:r>
          </w:p>
          <w:p w14:paraId="6CD48C61" w14:textId="77777777" w:rsidR="00861E5C" w:rsidRPr="00861E5C" w:rsidRDefault="00861E5C" w:rsidP="00FE0534">
            <w:pPr>
              <w:widowControl w:val="0"/>
              <w:spacing w:before="60" w:after="60" w:line="288" w:lineRule="auto"/>
              <w:jc w:val="left"/>
              <w:rPr>
                <w:rFonts w:ascii="Arial Narrow" w:hAnsi="Arial Narrow"/>
                <w:snapToGrid w:val="0"/>
                <w:sz w:val="20"/>
                <w:szCs w:val="20"/>
                <w:lang w:eastAsia="en-US"/>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311A570E" w14:textId="77777777" w:rsidR="00861E5C" w:rsidRPr="00861E5C" w:rsidRDefault="00861E5C" w:rsidP="00FE0534">
            <w:pPr>
              <w:widowControl w:val="0"/>
              <w:numPr>
                <w:ilvl w:val="0"/>
                <w:numId w:val="29"/>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Symptom improvement and relapse: based on medical record review and imaging reports, consensus by three authors</w:t>
            </w:r>
          </w:p>
          <w:p w14:paraId="5A8A8AA0" w14:textId="77777777" w:rsidR="00861E5C" w:rsidRPr="00861E5C" w:rsidRDefault="00861E5C" w:rsidP="00FE0534">
            <w:pPr>
              <w:widowControl w:val="0"/>
              <w:numPr>
                <w:ilvl w:val="0"/>
                <w:numId w:val="29"/>
              </w:numPr>
              <w:spacing w:before="60" w:after="60" w:line="288" w:lineRule="auto"/>
              <w:ind w:left="316" w:hanging="283"/>
              <w:jc w:val="left"/>
              <w:rPr>
                <w:rFonts w:ascii="Arial Narrow" w:hAnsi="Arial Narrow"/>
                <w:snapToGrid w:val="0"/>
                <w:sz w:val="20"/>
                <w:szCs w:val="20"/>
                <w:lang w:eastAsia="en-US"/>
              </w:rPr>
            </w:pPr>
            <w:r w:rsidRPr="00861E5C">
              <w:rPr>
                <w:rFonts w:ascii="Arial Narrow" w:hAnsi="Arial Narrow"/>
                <w:snapToGrid w:val="0"/>
                <w:sz w:val="20"/>
                <w:szCs w:val="20"/>
                <w:lang w:eastAsia="en-US"/>
              </w:rPr>
              <w:t>Adverse events: scored per-ablation session according to CTCAE</w:t>
            </w:r>
          </w:p>
        </w:tc>
      </w:tr>
    </w:tbl>
    <w:p w14:paraId="0D3E45F8" w14:textId="42B5690B" w:rsidR="0074232E" w:rsidRPr="00861E5C" w:rsidRDefault="0074232E" w:rsidP="0074232E">
      <w:pPr>
        <w:pStyle w:val="Tablenotes0"/>
      </w:pPr>
      <w:r>
        <w:t>&lt;</w:t>
      </w:r>
      <w:r w:rsidR="00743CF9">
        <w:t xml:space="preserve"> </w:t>
      </w:r>
      <w:r w:rsidRPr="00861E5C">
        <w:t xml:space="preserve">CS = case series. CT = computed tomography. CTCAE = Common Terminology Criteria for Adverse Events. ECOG = Eastern Cooperative Oncology Group. FDG = </w:t>
      </w:r>
      <w:hyperlink r:id="rId53" w:history="1">
        <w:r w:rsidRPr="00861E5C">
          <w:t>Fludeoxyglucose (18F)</w:t>
        </w:r>
      </w:hyperlink>
      <w:r w:rsidRPr="00861E5C">
        <w:t>.</w:t>
      </w:r>
      <w:r w:rsidR="00874944">
        <w:t xml:space="preserve"> Gy = gray.</w:t>
      </w:r>
      <w:r w:rsidRPr="00861E5C">
        <w:rPr>
          <w:rFonts w:ascii="Arial" w:hAnsi="Arial"/>
          <w:color w:val="222222"/>
          <w:sz w:val="27"/>
          <w:szCs w:val="27"/>
        </w:rPr>
        <w:t xml:space="preserve"> </w:t>
      </w:r>
      <w:r w:rsidRPr="00861E5C">
        <w:t>HCC = hepatocellular carcinoma. IQR = interquartile range.</w:t>
      </w:r>
      <w:r w:rsidR="00874944">
        <w:t xml:space="preserve"> N= number.</w:t>
      </w:r>
      <w:r w:rsidRPr="00861E5C">
        <w:t xml:space="preserve"> N/A = not applicable. NR = not reported. NSCLC = non-small cell lung cancer. PET = positron emission tomography. RFA = radiofrequency ablation. </w:t>
      </w:r>
      <w:r w:rsidR="00874944">
        <w:t xml:space="preserve">SBRT = stereotactic body radiotherapy. CRT = conventional radiotherapy. </w:t>
      </w:r>
      <w:r w:rsidRPr="00861E5C">
        <w:t>TACE = transarterial che</w:t>
      </w:r>
      <w:r w:rsidR="00743CF9">
        <w:t xml:space="preserve">moembolization. US = ultrasound </w:t>
      </w:r>
      <w:r>
        <w:t>&gt;</w:t>
      </w:r>
    </w:p>
    <w:p w14:paraId="2051F2CB" w14:textId="205FD175" w:rsidR="00974622" w:rsidRDefault="00974622" w:rsidP="0074232E">
      <w:pPr>
        <w:pStyle w:val="Tablenotes0"/>
      </w:pPr>
      <w:r w:rsidRPr="00974622">
        <w:rPr>
          <w:vertAlign w:val="superscript"/>
        </w:rPr>
        <w:t>A</w:t>
      </w:r>
      <w:r w:rsidR="0074232E" w:rsidRPr="0074232E">
        <w:t xml:space="preserve"> </w:t>
      </w:r>
      <w:r w:rsidR="00743CF9">
        <w:t>R</w:t>
      </w:r>
      <w:r w:rsidR="0074232E" w:rsidRPr="0074232E">
        <w:t>isk of bias as it relates to primary out</w:t>
      </w:r>
      <w:r w:rsidR="00743CF9">
        <w:t>comes of the systematic review.</w:t>
      </w:r>
    </w:p>
    <w:p w14:paraId="481EC1C4" w14:textId="61980760" w:rsidR="00861E5C" w:rsidRPr="00861E5C" w:rsidRDefault="00974622" w:rsidP="0074232E">
      <w:pPr>
        <w:pStyle w:val="Tablenotes0"/>
      </w:pPr>
      <w:r w:rsidRPr="00974622">
        <w:rPr>
          <w:vertAlign w:val="superscript"/>
        </w:rPr>
        <w:t>B</w:t>
      </w:r>
      <w:r w:rsidR="0074232E" w:rsidRPr="0074232E">
        <w:t xml:space="preserve"> </w:t>
      </w:r>
      <w:r w:rsidR="00743CF9">
        <w:t>M</w:t>
      </w:r>
      <w:r w:rsidR="0074232E" w:rsidRPr="0074232E">
        <w:t xml:space="preserve">edian (range) unless otherwise stated </w:t>
      </w:r>
      <w:r w:rsidR="00861E5C" w:rsidRPr="00861E5C">
        <w:t>*unclear if median or mean reported</w:t>
      </w:r>
      <w:r w:rsidR="00743CF9">
        <w:t>.</w:t>
      </w:r>
    </w:p>
    <w:p w14:paraId="130783F4" w14:textId="49D577FC" w:rsidR="006577DA" w:rsidRDefault="006577DA" w:rsidP="00861E5C">
      <w:pPr>
        <w:widowControl w:val="0"/>
        <w:spacing w:after="120"/>
        <w:rPr>
          <w:rFonts w:ascii="Arial Narrow" w:hAnsi="Arial Narrow" w:cs="Arial"/>
          <w:snapToGrid w:val="0"/>
          <w:sz w:val="18"/>
          <w:szCs w:val="20"/>
        </w:rPr>
      </w:pPr>
      <w:r>
        <w:rPr>
          <w:rFonts w:ascii="Arial Narrow" w:hAnsi="Arial Narrow" w:cs="Arial"/>
          <w:snapToGrid w:val="0"/>
          <w:sz w:val="18"/>
          <w:szCs w:val="20"/>
        </w:rPr>
        <w:br w:type="page"/>
      </w:r>
    </w:p>
    <w:p w14:paraId="225DE589" w14:textId="77777777" w:rsidR="00FF46E2" w:rsidRDefault="00FF46E2" w:rsidP="00FF46E2">
      <w:pPr>
        <w:pStyle w:val="Caption"/>
        <w:keepNext/>
      </w:pPr>
      <w:bookmarkStart w:id="514" w:name="_Toc460514750"/>
      <w:r>
        <w:lastRenderedPageBreak/>
        <w:t xml:space="preserve">Table </w:t>
      </w:r>
      <w:fldSimple w:instr=" SEQ Table \* ARABIC ">
        <w:r w:rsidR="00D170A5">
          <w:rPr>
            <w:noProof/>
          </w:rPr>
          <w:t>92</w:t>
        </w:r>
      </w:fldSimple>
      <w:r>
        <w:tab/>
      </w:r>
      <w:r w:rsidRPr="00FF46E2">
        <w:t>Profiles of studies on Radiotherapy included in the systematic literature review</w:t>
      </w:r>
      <w:bookmarkEnd w:id="514"/>
    </w:p>
    <w:tbl>
      <w:tblPr>
        <w:tblW w:w="4989" w:type="pct"/>
        <w:tblLook w:val="04A0" w:firstRow="1" w:lastRow="0" w:firstColumn="1" w:lastColumn="0" w:noHBand="0" w:noVBand="1"/>
      </w:tblPr>
      <w:tblGrid>
        <w:gridCol w:w="1400"/>
        <w:gridCol w:w="1942"/>
        <w:gridCol w:w="4145"/>
        <w:gridCol w:w="3839"/>
        <w:gridCol w:w="3992"/>
      </w:tblGrid>
      <w:tr w:rsidR="00861E5C" w:rsidRPr="00861E5C" w14:paraId="0BBB45BD" w14:textId="77777777" w:rsidTr="00065860">
        <w:trPr>
          <w:cantSplit/>
          <w:trHeight w:val="846"/>
          <w:tblHeader/>
        </w:trPr>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73B6D99" w14:textId="77777777"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Authors</w:t>
            </w:r>
          </w:p>
          <w:p w14:paraId="0DE83C3C" w14:textId="77777777"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(Year)</w:t>
            </w:r>
          </w:p>
          <w:p w14:paraId="215B7F5F" w14:textId="77777777"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Location</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E32347B" w14:textId="77777777"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Study design</w:t>
            </w:r>
          </w:p>
          <w:p w14:paraId="77142BC5" w14:textId="19516677"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Level of evidence</w:t>
            </w:r>
          </w:p>
          <w:p w14:paraId="5BE023A5" w14:textId="668A1BF8"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Risk of bias</w:t>
            </w:r>
            <w:r w:rsidR="00C752D0">
              <w:rPr>
                <w:rFonts w:ascii="Arial Narrow" w:hAnsi="Arial Narrow"/>
                <w:b/>
                <w:snapToGrid w:val="0"/>
                <w:sz w:val="20"/>
                <w:vertAlign w:val="superscript"/>
                <w:lang w:eastAsia="en-US"/>
              </w:rPr>
              <w:t xml:space="preserve"> </w:t>
            </w:r>
            <w:r w:rsidR="00C752D0" w:rsidRPr="00C752D0">
              <w:rPr>
                <w:rFonts w:ascii="Arial Narrow" w:hAnsi="Arial Narrow"/>
                <w:b/>
                <w:snapToGrid w:val="0"/>
                <w:sz w:val="20"/>
                <w:vertAlign w:val="superscript"/>
                <w:lang w:eastAsia="en-US"/>
              </w:rPr>
              <w:t>A</w:t>
            </w:r>
          </w:p>
          <w:p w14:paraId="40C44D2E" w14:textId="0AB25862"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Follow-up</w:t>
            </w:r>
            <w:r w:rsidR="00C752D0">
              <w:rPr>
                <w:rFonts w:ascii="Arial Narrow" w:hAnsi="Arial Narrow"/>
                <w:b/>
                <w:snapToGrid w:val="0"/>
                <w:sz w:val="20"/>
                <w:vertAlign w:val="superscript"/>
                <w:lang w:eastAsia="en-US"/>
              </w:rPr>
              <w:t xml:space="preserve"> </w:t>
            </w:r>
            <w:r w:rsidR="00C752D0" w:rsidRPr="00C752D0">
              <w:rPr>
                <w:rFonts w:ascii="Arial Narrow" w:hAnsi="Arial Narrow"/>
                <w:b/>
                <w:snapToGrid w:val="0"/>
                <w:sz w:val="20"/>
                <w:vertAlign w:val="superscript"/>
                <w:lang w:eastAsia="en-US"/>
              </w:rPr>
              <w:t>B</w:t>
            </w:r>
          </w:p>
        </w:tc>
        <w:tc>
          <w:tcPr>
            <w:tcW w:w="1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D1A831" w14:textId="77777777"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Study population characteristics:</w:t>
            </w:r>
          </w:p>
          <w:p w14:paraId="172E2869" w14:textId="77777777"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 xml:space="preserve">N (lesions), tumour size, male/female ratio, age, prior therapy, </w:t>
            </w:r>
            <w:r w:rsidRPr="00861E5C">
              <w:rPr>
                <w:rFonts w:ascii="Arial Narrow" w:hAnsi="Arial Narrow"/>
                <w:b/>
                <w:sz w:val="20"/>
                <w:lang w:eastAsia="en-US"/>
              </w:rPr>
              <w:t>primary site (P2/3 only)</w:t>
            </w:r>
          </w:p>
        </w:tc>
        <w:tc>
          <w:tcPr>
            <w:tcW w:w="12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0D0F7FE" w14:textId="77777777"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Description of Intervention</w:t>
            </w:r>
          </w:p>
          <w:p w14:paraId="22B86D2B" w14:textId="4B7A52CD" w:rsidR="00861E5C" w:rsidRPr="00861E5C" w:rsidRDefault="00861E5C" w:rsidP="00987BFF">
            <w:pPr>
              <w:widowControl w:val="0"/>
              <w:spacing w:before="40" w:after="40" w:line="240" w:lineRule="auto"/>
              <w:jc w:val="left"/>
              <w:rPr>
                <w:rFonts w:ascii="Arial Narrow" w:hAnsi="Arial Narrow"/>
                <w:b/>
                <w:snapToGrid w:val="0"/>
                <w:sz w:val="20"/>
                <w:lang w:eastAsia="en-US"/>
              </w:rPr>
            </w:pPr>
            <w:r w:rsidRPr="00861E5C">
              <w:rPr>
                <w:rFonts w:ascii="Arial Narrow" w:hAnsi="Arial Narrow"/>
                <w:b/>
                <w:snapToGrid w:val="0"/>
                <w:sz w:val="20"/>
                <w:lang w:eastAsia="en-US"/>
              </w:rPr>
              <w:t>Dose (Gy)/ fraction</w:t>
            </w:r>
          </w:p>
        </w:tc>
        <w:tc>
          <w:tcPr>
            <w:tcW w:w="1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13A55B" w14:textId="2EC76D79" w:rsidR="00861E5C" w:rsidRPr="00861E5C" w:rsidRDefault="00861E5C" w:rsidP="00987BFF">
            <w:pPr>
              <w:widowControl w:val="0"/>
              <w:spacing w:before="40" w:after="40" w:line="240" w:lineRule="auto"/>
              <w:ind w:left="34"/>
              <w:jc w:val="left"/>
              <w:rPr>
                <w:rFonts w:ascii="Arial Narrow" w:hAnsi="Arial Narrow"/>
                <w:b/>
                <w:snapToGrid w:val="0"/>
                <w:sz w:val="20"/>
                <w:lang w:eastAsia="en-US"/>
              </w:rPr>
            </w:pPr>
            <w:r w:rsidRPr="00861E5C">
              <w:rPr>
                <w:rFonts w:ascii="Arial Narrow" w:hAnsi="Arial Narrow"/>
                <w:b/>
                <w:sz w:val="20"/>
                <w:szCs w:val="20"/>
              </w:rPr>
              <w:t>Relevant outcomes: measurement and methods of analysis</w:t>
            </w:r>
          </w:p>
        </w:tc>
      </w:tr>
      <w:tr w:rsidR="00861E5C" w:rsidRPr="00861E5C" w14:paraId="477A30DD" w14:textId="77777777" w:rsidTr="00065860">
        <w:trPr>
          <w:cantSplit/>
          <w:trHeight w:val="300"/>
        </w:trPr>
        <w:tc>
          <w:tcPr>
            <w:tcW w:w="457" w:type="pct"/>
            <w:tcBorders>
              <w:top w:val="single" w:sz="4" w:space="0" w:color="auto"/>
              <w:left w:val="single" w:sz="4" w:space="0" w:color="auto"/>
              <w:bottom w:val="single" w:sz="4" w:space="0" w:color="auto"/>
            </w:tcBorders>
            <w:shd w:val="clear" w:color="auto" w:fill="D9D9D9" w:themeFill="background1" w:themeFillShade="D9"/>
          </w:tcPr>
          <w:p w14:paraId="2A6F278C" w14:textId="77777777" w:rsidR="00861E5C" w:rsidRPr="00861E5C" w:rsidRDefault="00861E5C" w:rsidP="001F220E">
            <w:pPr>
              <w:widowControl w:val="0"/>
              <w:spacing w:before="40" w:after="40" w:line="288" w:lineRule="auto"/>
              <w:jc w:val="left"/>
              <w:rPr>
                <w:rFonts w:ascii="Arial Narrow" w:hAnsi="Arial Narrow"/>
                <w:b/>
                <w:snapToGrid w:val="0"/>
                <w:sz w:val="20"/>
                <w:lang w:eastAsia="en-US"/>
              </w:rPr>
            </w:pPr>
            <w:r w:rsidRPr="00861E5C">
              <w:rPr>
                <w:rFonts w:ascii="Arial Narrow" w:hAnsi="Arial Narrow"/>
                <w:b/>
                <w:snapToGrid w:val="0"/>
                <w:sz w:val="20"/>
                <w:lang w:eastAsia="en-US"/>
              </w:rPr>
              <w:t xml:space="preserve">POPULATION </w:t>
            </w:r>
          </w:p>
        </w:tc>
        <w:tc>
          <w:tcPr>
            <w:tcW w:w="634" w:type="pct"/>
            <w:tcBorders>
              <w:top w:val="single" w:sz="4" w:space="0" w:color="auto"/>
              <w:bottom w:val="single" w:sz="4" w:space="0" w:color="auto"/>
            </w:tcBorders>
            <w:shd w:val="clear" w:color="auto" w:fill="D9D9D9" w:themeFill="background1" w:themeFillShade="D9"/>
          </w:tcPr>
          <w:p w14:paraId="054CEF11" w14:textId="77777777" w:rsidR="00861E5C" w:rsidRPr="00861E5C" w:rsidRDefault="00861E5C" w:rsidP="001F220E">
            <w:pPr>
              <w:widowControl w:val="0"/>
              <w:spacing w:before="40" w:after="40" w:line="288" w:lineRule="auto"/>
              <w:jc w:val="left"/>
              <w:rPr>
                <w:rFonts w:ascii="Arial Narrow" w:hAnsi="Arial Narrow"/>
                <w:b/>
                <w:snapToGrid w:val="0"/>
                <w:sz w:val="20"/>
                <w:lang w:eastAsia="en-US"/>
              </w:rPr>
            </w:pPr>
            <w:r w:rsidRPr="00861E5C">
              <w:rPr>
                <w:rFonts w:ascii="Arial Narrow" w:hAnsi="Arial Narrow"/>
                <w:b/>
                <w:snapToGrid w:val="0"/>
                <w:sz w:val="20"/>
                <w:lang w:eastAsia="en-US"/>
              </w:rPr>
              <w:t>1</w:t>
            </w:r>
          </w:p>
        </w:tc>
        <w:tc>
          <w:tcPr>
            <w:tcW w:w="1353" w:type="pct"/>
            <w:tcBorders>
              <w:top w:val="single" w:sz="4" w:space="0" w:color="auto"/>
              <w:bottom w:val="single" w:sz="4" w:space="0" w:color="auto"/>
            </w:tcBorders>
            <w:shd w:val="clear" w:color="auto" w:fill="D9D9D9" w:themeFill="background1" w:themeFillShade="D9"/>
          </w:tcPr>
          <w:p w14:paraId="737C2468"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p>
        </w:tc>
        <w:tc>
          <w:tcPr>
            <w:tcW w:w="1253" w:type="pct"/>
            <w:tcBorders>
              <w:top w:val="single" w:sz="4" w:space="0" w:color="auto"/>
              <w:bottom w:val="single" w:sz="4" w:space="0" w:color="auto"/>
            </w:tcBorders>
            <w:shd w:val="clear" w:color="auto" w:fill="D9D9D9" w:themeFill="background1" w:themeFillShade="D9"/>
          </w:tcPr>
          <w:p w14:paraId="7C8DA3B0"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p>
        </w:tc>
        <w:tc>
          <w:tcPr>
            <w:tcW w:w="1303" w:type="pct"/>
            <w:tcBorders>
              <w:top w:val="single" w:sz="4" w:space="0" w:color="auto"/>
              <w:bottom w:val="single" w:sz="4" w:space="0" w:color="auto"/>
              <w:right w:val="single" w:sz="4" w:space="0" w:color="auto"/>
            </w:tcBorders>
            <w:shd w:val="clear" w:color="auto" w:fill="D9D9D9" w:themeFill="background1" w:themeFillShade="D9"/>
          </w:tcPr>
          <w:p w14:paraId="60CD8528" w14:textId="77777777" w:rsidR="00861E5C" w:rsidRPr="00861E5C" w:rsidRDefault="00861E5C" w:rsidP="001F220E">
            <w:pPr>
              <w:widowControl w:val="0"/>
              <w:spacing w:before="40" w:after="40" w:line="288" w:lineRule="auto"/>
              <w:jc w:val="left"/>
              <w:rPr>
                <w:rFonts w:ascii="Arial Narrow" w:hAnsi="Arial Narrow"/>
                <w:sz w:val="20"/>
                <w:szCs w:val="20"/>
              </w:rPr>
            </w:pPr>
          </w:p>
        </w:tc>
      </w:tr>
      <w:tr w:rsidR="00861E5C" w:rsidRPr="00861E5C" w14:paraId="2A869651"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35B16640"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Koshy et al (2015)</w:t>
            </w:r>
          </w:p>
          <w:p w14:paraId="71AC8887"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USA</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tcPr>
          <w:p w14:paraId="02FE96BC" w14:textId="77777777" w:rsidR="00861E5C" w:rsidRPr="00861E5C" w:rsidRDefault="00861E5C" w:rsidP="001F220E">
            <w:pPr>
              <w:widowControl w:val="0"/>
              <w:spacing w:before="40" w:after="40" w:line="288" w:lineRule="auto"/>
              <w:jc w:val="left"/>
              <w:rPr>
                <w:rFonts w:ascii="Arial Narrow" w:hAnsi="Arial Narrow"/>
                <w:snapToGrid w:val="0"/>
                <w:sz w:val="20"/>
                <w:szCs w:val="20"/>
              </w:rPr>
            </w:pPr>
            <w:r w:rsidRPr="00861E5C">
              <w:rPr>
                <w:rFonts w:ascii="Arial Narrow" w:hAnsi="Arial Narrow"/>
                <w:snapToGrid w:val="0"/>
                <w:sz w:val="20"/>
                <w:szCs w:val="20"/>
              </w:rPr>
              <w:t>Retrospective MC cohort study with propensity-matched subgroup analysis</w:t>
            </w:r>
          </w:p>
          <w:p w14:paraId="7BE96F27" w14:textId="77777777" w:rsidR="00861E5C" w:rsidRPr="00861E5C" w:rsidRDefault="00861E5C" w:rsidP="001F220E">
            <w:pPr>
              <w:widowControl w:val="0"/>
              <w:spacing w:before="40" w:after="40" w:line="288" w:lineRule="auto"/>
              <w:jc w:val="left"/>
              <w:rPr>
                <w:rFonts w:ascii="Arial Narrow" w:hAnsi="Arial Narrow"/>
                <w:snapToGrid w:val="0"/>
                <w:sz w:val="20"/>
                <w:szCs w:val="20"/>
              </w:rPr>
            </w:pPr>
            <w:r w:rsidRPr="00861E5C">
              <w:rPr>
                <w:rFonts w:ascii="Arial Narrow" w:hAnsi="Arial Narrow"/>
                <w:snapToGrid w:val="0"/>
                <w:sz w:val="20"/>
                <w:szCs w:val="20"/>
              </w:rPr>
              <w:t>Level III-1/III-2</w:t>
            </w:r>
          </w:p>
          <w:p w14:paraId="455A289A" w14:textId="77777777" w:rsidR="00861E5C" w:rsidRPr="00861E5C" w:rsidRDefault="00861E5C" w:rsidP="001F220E">
            <w:pPr>
              <w:widowControl w:val="0"/>
              <w:spacing w:before="40" w:after="40" w:line="288" w:lineRule="auto"/>
              <w:jc w:val="left"/>
              <w:rPr>
                <w:rFonts w:ascii="Arial Narrow" w:hAnsi="Arial Narrow"/>
                <w:snapToGrid w:val="0"/>
                <w:sz w:val="20"/>
                <w:szCs w:val="20"/>
              </w:rPr>
            </w:pPr>
            <w:r w:rsidRPr="00861E5C">
              <w:rPr>
                <w:rFonts w:ascii="Arial Narrow" w:hAnsi="Arial Narrow"/>
                <w:snapToGrid w:val="0"/>
                <w:sz w:val="20"/>
                <w:szCs w:val="20"/>
              </w:rPr>
              <w:t>Risk of bias: Moderate</w:t>
            </w:r>
          </w:p>
          <w:p w14:paraId="2ED4690C" w14:textId="0446FC81"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rPr>
              <w:t>Median 21 (IQR 11</w:t>
            </w:r>
            <w:r w:rsidR="00D35E9C">
              <w:rPr>
                <w:rFonts w:ascii="Arial Narrow" w:hAnsi="Arial Narrow"/>
                <w:snapToGrid w:val="0"/>
                <w:sz w:val="20"/>
                <w:szCs w:val="20"/>
              </w:rPr>
              <w:t>–</w:t>
            </w:r>
            <w:r w:rsidRPr="00861E5C">
              <w:rPr>
                <w:rFonts w:ascii="Arial Narrow" w:hAnsi="Arial Narrow"/>
                <w:snapToGrid w:val="0"/>
                <w:sz w:val="20"/>
                <w:szCs w:val="20"/>
              </w:rPr>
              <w:t>43) months</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tcPr>
          <w:p w14:paraId="25CEC7AE"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stage I NSCLC who did not undergo surgery</w:t>
            </w:r>
          </w:p>
          <w:p w14:paraId="08CF1B48"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13,036 (NR lesions)</w:t>
            </w:r>
          </w:p>
          <w:p w14:paraId="0C564E0F"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Size: NR</w:t>
            </w:r>
          </w:p>
          <w:p w14:paraId="65FD5210"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6531 (50%): Females 6505 (50%)</w:t>
            </w:r>
          </w:p>
          <w:p w14:paraId="42422DFE" w14:textId="27222CF9" w:rsidR="00861E5C" w:rsidRPr="00861E5C" w:rsidRDefault="00861E5C" w:rsidP="001F220E">
            <w:pPr>
              <w:widowControl w:val="0"/>
              <w:spacing w:before="40" w:after="40" w:line="288" w:lineRule="auto"/>
              <w:jc w:val="left"/>
              <w:rPr>
                <w:rFonts w:ascii="Arial Narrow" w:hAnsi="Arial Narrow"/>
                <w:snapToGrid w:val="0"/>
                <w:sz w:val="20"/>
                <w:szCs w:val="20"/>
              </w:rPr>
            </w:pPr>
            <w:r w:rsidRPr="00861E5C">
              <w:rPr>
                <w:rFonts w:ascii="Arial Narrow" w:hAnsi="Arial Narrow"/>
                <w:snapToGrid w:val="0"/>
                <w:sz w:val="20"/>
                <w:szCs w:val="20"/>
              </w:rPr>
              <w:t>Age 18</w:t>
            </w:r>
            <w:r w:rsidR="00D35E9C">
              <w:rPr>
                <w:rFonts w:ascii="Arial Narrow" w:hAnsi="Arial Narrow"/>
                <w:snapToGrid w:val="0"/>
                <w:sz w:val="20"/>
                <w:szCs w:val="20"/>
              </w:rPr>
              <w:t>–</w:t>
            </w:r>
            <w:r w:rsidRPr="00861E5C">
              <w:rPr>
                <w:rFonts w:ascii="Arial Narrow" w:hAnsi="Arial Narrow"/>
                <w:snapToGrid w:val="0"/>
                <w:sz w:val="20"/>
                <w:szCs w:val="20"/>
              </w:rPr>
              <w:t>59 (8.5%), 60</w:t>
            </w:r>
            <w:r w:rsidR="00D35E9C">
              <w:rPr>
                <w:rFonts w:ascii="Arial Narrow" w:hAnsi="Arial Narrow"/>
                <w:snapToGrid w:val="0"/>
                <w:sz w:val="20"/>
                <w:szCs w:val="20"/>
              </w:rPr>
              <w:t>–</w:t>
            </w:r>
            <w:r w:rsidRPr="00861E5C">
              <w:rPr>
                <w:rFonts w:ascii="Arial Narrow" w:hAnsi="Arial Narrow"/>
                <w:snapToGrid w:val="0"/>
                <w:sz w:val="20"/>
                <w:szCs w:val="20"/>
              </w:rPr>
              <w:t>69 (22.5%), 70</w:t>
            </w:r>
            <w:r w:rsidR="00D35E9C">
              <w:rPr>
                <w:rFonts w:ascii="Arial Narrow" w:hAnsi="Arial Narrow"/>
                <w:snapToGrid w:val="0"/>
                <w:sz w:val="20"/>
                <w:szCs w:val="20"/>
              </w:rPr>
              <w:t>–</w:t>
            </w:r>
            <w:r w:rsidRPr="00861E5C">
              <w:rPr>
                <w:rFonts w:ascii="Arial Narrow" w:hAnsi="Arial Narrow"/>
                <w:snapToGrid w:val="0"/>
                <w:sz w:val="20"/>
                <w:szCs w:val="20"/>
              </w:rPr>
              <w:t>79 (40%), 85+ (29%) years</w:t>
            </w:r>
          </w:p>
          <w:p w14:paraId="7FEB3E9D"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tcPr>
          <w:p w14:paraId="7ECE08F7"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r w:rsidRPr="00861E5C">
              <w:rPr>
                <w:rFonts w:ascii="Arial Narrow" w:hAnsi="Arial Narrow"/>
                <w:snapToGrid w:val="0"/>
                <w:sz w:val="20"/>
                <w:u w:val="single"/>
                <w:lang w:eastAsia="en-US"/>
              </w:rPr>
              <w:t>Intervention: SBRT</w:t>
            </w:r>
          </w:p>
          <w:p w14:paraId="413AD65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Dose and fractions NR</w:t>
            </w:r>
          </w:p>
          <w:p w14:paraId="093E26D2"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p>
          <w:p w14:paraId="3063FDE3"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r w:rsidRPr="00861E5C">
              <w:rPr>
                <w:rFonts w:ascii="Arial Narrow" w:hAnsi="Arial Narrow"/>
                <w:snapToGrid w:val="0"/>
                <w:sz w:val="20"/>
                <w:u w:val="single"/>
                <w:lang w:eastAsia="en-US"/>
              </w:rPr>
              <w:t>Comparator: Conventional radiotherapy</w:t>
            </w:r>
          </w:p>
          <w:p w14:paraId="070FBEC4"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Minimum  60 Gy in 30 fractions</w:t>
            </w:r>
          </w:p>
          <w:p w14:paraId="02161BC1"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p>
          <w:p w14:paraId="25337795"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u w:val="single"/>
                <w:lang w:eastAsia="en-US"/>
              </w:rPr>
              <w:t>Comparator: No treatment</w:t>
            </w:r>
          </w:p>
        </w:tc>
        <w:tc>
          <w:tcPr>
            <w:tcW w:w="1303" w:type="pct"/>
            <w:tcBorders>
              <w:top w:val="single" w:sz="4" w:space="0" w:color="auto"/>
              <w:left w:val="single" w:sz="4" w:space="0" w:color="auto"/>
              <w:bottom w:val="single" w:sz="4" w:space="0" w:color="auto"/>
              <w:right w:val="single" w:sz="4" w:space="0" w:color="auto"/>
            </w:tcBorders>
            <w:shd w:val="clear" w:color="auto" w:fill="FFFFFF" w:themeFill="background1"/>
          </w:tcPr>
          <w:p w14:paraId="427F5903" w14:textId="77777777" w:rsidR="00861E5C" w:rsidRPr="00861E5C" w:rsidRDefault="00861E5C" w:rsidP="001F220E">
            <w:pPr>
              <w:widowControl w:val="0"/>
              <w:numPr>
                <w:ilvl w:val="0"/>
                <w:numId w:val="57"/>
              </w:numPr>
              <w:spacing w:before="40" w:after="40" w:line="288" w:lineRule="auto"/>
              <w:ind w:left="316" w:hanging="283"/>
              <w:jc w:val="left"/>
              <w:rPr>
                <w:rFonts w:ascii="Arial Narrow" w:hAnsi="Arial Narrow"/>
                <w:sz w:val="20"/>
                <w:szCs w:val="20"/>
              </w:rPr>
            </w:pPr>
            <w:r w:rsidRPr="00861E5C">
              <w:rPr>
                <w:rFonts w:ascii="Arial Narrow" w:hAnsi="Arial Narrow"/>
                <w:sz w:val="20"/>
                <w:szCs w:val="20"/>
              </w:rPr>
              <w:t xml:space="preserve">Overall survival: not defined </w:t>
            </w:r>
            <w:r w:rsidRPr="00861E5C">
              <w:rPr>
                <w:rFonts w:ascii="Arial Narrow" w:hAnsi="Arial Narrow"/>
                <w:snapToGrid w:val="0"/>
                <w:sz w:val="20"/>
                <w:szCs w:val="20"/>
                <w:lang w:eastAsia="en-US"/>
              </w:rPr>
              <w:t>(calculated with Kaplan-Meier method)</w:t>
            </w:r>
          </w:p>
        </w:tc>
      </w:tr>
      <w:tr w:rsidR="00861E5C" w:rsidRPr="00861E5C" w14:paraId="7BC149C5"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08416D2F"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Price et al (2012)</w:t>
            </w:r>
          </w:p>
          <w:p w14:paraId="510649B0"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UK</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tcPr>
          <w:p w14:paraId="7945C5D1"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RCT OL MC</w:t>
            </w:r>
          </w:p>
          <w:p w14:paraId="04C2DDD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II</w:t>
            </w:r>
          </w:p>
          <w:p w14:paraId="42C423D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Moderate</w:t>
            </w:r>
          </w:p>
          <w:p w14:paraId="799FE08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Follow-up NR</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tcPr>
          <w:p w14:paraId="057634DA"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stage IA-IIB NSCLC, age 18+, unfit for resection, performance status ≤ 2, no prior non-surgical treatment, no other malignancy in previous 5 years, not pregnant or breast feeding</w:t>
            </w:r>
          </w:p>
          <w:p w14:paraId="22D64884"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56 (NR lesions) [intervention]</w:t>
            </w:r>
          </w:p>
          <w:p w14:paraId="11A8C812"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55 (NR lesions) [comparator]</w:t>
            </w:r>
          </w:p>
          <w:p w14:paraId="13102565" w14:textId="3362EB60"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size 38 (3</w:t>
            </w:r>
            <w:r w:rsidR="00D35E9C">
              <w:rPr>
                <w:rFonts w:ascii="Arial Narrow" w:hAnsi="Arial Narrow"/>
                <w:snapToGrid w:val="0"/>
                <w:sz w:val="20"/>
                <w:lang w:eastAsia="en-US"/>
              </w:rPr>
              <w:t>–</w:t>
            </w:r>
            <w:r w:rsidRPr="00861E5C">
              <w:rPr>
                <w:rFonts w:ascii="Arial Narrow" w:hAnsi="Arial Narrow"/>
                <w:snapToGrid w:val="0"/>
                <w:sz w:val="20"/>
                <w:lang w:eastAsia="en-US"/>
              </w:rPr>
              <w:t>89) mm [intervention]</w:t>
            </w:r>
          </w:p>
          <w:p w14:paraId="6D7758C6" w14:textId="30083C3A"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size 30 (3</w:t>
            </w:r>
            <w:r w:rsidR="00D35E9C">
              <w:rPr>
                <w:rFonts w:ascii="Arial Narrow" w:hAnsi="Arial Narrow"/>
                <w:snapToGrid w:val="0"/>
                <w:sz w:val="20"/>
                <w:lang w:eastAsia="en-US"/>
              </w:rPr>
              <w:t>–</w:t>
            </w:r>
            <w:r w:rsidRPr="00861E5C">
              <w:rPr>
                <w:rFonts w:ascii="Arial Narrow" w:hAnsi="Arial Narrow"/>
                <w:snapToGrid w:val="0"/>
                <w:sz w:val="20"/>
                <w:lang w:eastAsia="en-US"/>
              </w:rPr>
              <w:t>55) mm [comparator]</w:t>
            </w:r>
          </w:p>
          <w:p w14:paraId="16958FE7"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38 (68%): Females 18 (32%) [intervention]</w:t>
            </w:r>
          </w:p>
          <w:p w14:paraId="02BE6105"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32 (58%): Females 23 (42%) [comparator]</w:t>
            </w:r>
          </w:p>
          <w:p w14:paraId="5C9CB6F6" w14:textId="33C6345E"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75 (range 49</w:t>
            </w:r>
            <w:r w:rsidR="00D35E9C">
              <w:rPr>
                <w:rFonts w:ascii="Arial Narrow" w:hAnsi="Arial Narrow"/>
                <w:snapToGrid w:val="0"/>
                <w:sz w:val="20"/>
                <w:lang w:eastAsia="en-US"/>
              </w:rPr>
              <w:t>–</w:t>
            </w:r>
            <w:r w:rsidRPr="00861E5C">
              <w:rPr>
                <w:rFonts w:ascii="Arial Narrow" w:hAnsi="Arial Narrow"/>
                <w:snapToGrid w:val="0"/>
                <w:sz w:val="20"/>
                <w:lang w:eastAsia="en-US"/>
              </w:rPr>
              <w:t>88) years [intervention]</w:t>
            </w:r>
          </w:p>
          <w:p w14:paraId="0323D36A" w14:textId="3ABD5F7B"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74 (range 58</w:t>
            </w:r>
            <w:r w:rsidR="00D35E9C">
              <w:rPr>
                <w:rFonts w:ascii="Arial Narrow" w:hAnsi="Arial Narrow"/>
                <w:snapToGrid w:val="0"/>
                <w:sz w:val="20"/>
                <w:lang w:eastAsia="en-US"/>
              </w:rPr>
              <w:t>–</w:t>
            </w:r>
            <w:r w:rsidRPr="00861E5C">
              <w:rPr>
                <w:rFonts w:ascii="Arial Narrow" w:hAnsi="Arial Narrow"/>
                <w:snapToGrid w:val="0"/>
                <w:sz w:val="20"/>
                <w:lang w:eastAsia="en-US"/>
              </w:rPr>
              <w:t>88) years [comparator]</w:t>
            </w:r>
          </w:p>
          <w:p w14:paraId="10723E09"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tcPr>
          <w:p w14:paraId="09C29F6A"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r w:rsidRPr="00861E5C">
              <w:rPr>
                <w:rFonts w:ascii="Arial Narrow" w:hAnsi="Arial Narrow"/>
                <w:snapToGrid w:val="0"/>
                <w:sz w:val="20"/>
                <w:u w:val="single"/>
                <w:lang w:eastAsia="en-US"/>
              </w:rPr>
              <w:t>Intervention: Radical radiotherapy</w:t>
            </w:r>
          </w:p>
          <w:p w14:paraId="0A6A5C36"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“majority” had 55 Gy in 20 fractions over 4 weeks</w:t>
            </w:r>
          </w:p>
          <w:p w14:paraId="2D6027A9"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r w:rsidRPr="00861E5C">
              <w:rPr>
                <w:rFonts w:ascii="Arial Narrow" w:hAnsi="Arial Narrow"/>
                <w:snapToGrid w:val="0"/>
                <w:sz w:val="20"/>
                <w:u w:val="single"/>
                <w:lang w:eastAsia="en-US"/>
              </w:rPr>
              <w:t>Comparator: Radical radiotherapy + chemo</w:t>
            </w:r>
          </w:p>
          <w:p w14:paraId="5CDE4008"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“majority” had 55 Gy in 20 fractions over 4 weeks plus gemcitabine</w:t>
            </w:r>
          </w:p>
          <w:p w14:paraId="554B513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p>
        </w:tc>
        <w:tc>
          <w:tcPr>
            <w:tcW w:w="1303" w:type="pct"/>
            <w:tcBorders>
              <w:top w:val="single" w:sz="4" w:space="0" w:color="auto"/>
              <w:left w:val="single" w:sz="4" w:space="0" w:color="auto"/>
              <w:bottom w:val="single" w:sz="4" w:space="0" w:color="auto"/>
              <w:right w:val="single" w:sz="4" w:space="0" w:color="auto"/>
            </w:tcBorders>
            <w:shd w:val="clear" w:color="auto" w:fill="FFFFFF" w:themeFill="background1"/>
          </w:tcPr>
          <w:p w14:paraId="4578854D" w14:textId="77777777" w:rsidR="00861E5C" w:rsidRPr="00861E5C" w:rsidRDefault="00861E5C" w:rsidP="001F220E">
            <w:pPr>
              <w:widowControl w:val="0"/>
              <w:numPr>
                <w:ilvl w:val="0"/>
                <w:numId w:val="56"/>
              </w:numPr>
              <w:spacing w:before="40" w:after="40" w:line="288" w:lineRule="auto"/>
              <w:ind w:left="316" w:hanging="283"/>
              <w:jc w:val="left"/>
              <w:rPr>
                <w:rFonts w:ascii="Arial Narrow" w:hAnsi="Arial Narrow"/>
                <w:sz w:val="20"/>
                <w:szCs w:val="20"/>
              </w:rPr>
            </w:pPr>
            <w:r w:rsidRPr="00861E5C">
              <w:rPr>
                <w:rFonts w:ascii="Arial Narrow" w:hAnsi="Arial Narrow"/>
                <w:sz w:val="20"/>
                <w:szCs w:val="20"/>
              </w:rPr>
              <w:t xml:space="preserve">Overall survival: </w:t>
            </w:r>
            <w:r w:rsidR="00E51F78">
              <w:rPr>
                <w:rFonts w:ascii="Arial Narrow" w:hAnsi="Arial Narrow"/>
                <w:sz w:val="20"/>
                <w:szCs w:val="20"/>
              </w:rPr>
              <w:t>Actuarial survival for 1-year and 2-year rates. Survival curve shown</w:t>
            </w:r>
            <w:r w:rsidRPr="00861E5C">
              <w:rPr>
                <w:rFonts w:ascii="Arial Narrow" w:hAnsi="Arial Narrow"/>
                <w:sz w:val="20"/>
                <w:szCs w:val="20"/>
              </w:rPr>
              <w:t xml:space="preserve"> </w:t>
            </w:r>
            <w:r w:rsidRPr="00861E5C">
              <w:rPr>
                <w:rFonts w:ascii="Arial Narrow" w:hAnsi="Arial Narrow"/>
                <w:snapToGrid w:val="0"/>
                <w:sz w:val="20"/>
                <w:szCs w:val="20"/>
                <w:lang w:eastAsia="en-US"/>
              </w:rPr>
              <w:t>(calculated with Kaplan-Meier method)</w:t>
            </w:r>
          </w:p>
          <w:p w14:paraId="3B9EA347" w14:textId="77777777" w:rsidR="00861E5C" w:rsidRPr="00861E5C" w:rsidRDefault="00861E5C" w:rsidP="001F220E">
            <w:pPr>
              <w:widowControl w:val="0"/>
              <w:numPr>
                <w:ilvl w:val="0"/>
                <w:numId w:val="56"/>
              </w:numPr>
              <w:spacing w:before="40" w:after="40" w:line="288" w:lineRule="auto"/>
              <w:ind w:left="316" w:hanging="283"/>
              <w:jc w:val="left"/>
              <w:rPr>
                <w:rFonts w:ascii="Arial Narrow" w:hAnsi="Arial Narrow"/>
                <w:sz w:val="20"/>
                <w:szCs w:val="20"/>
              </w:rPr>
            </w:pPr>
            <w:r w:rsidRPr="00861E5C">
              <w:rPr>
                <w:rFonts w:ascii="Arial Narrow" w:hAnsi="Arial Narrow"/>
                <w:sz w:val="20"/>
                <w:szCs w:val="20"/>
              </w:rPr>
              <w:t xml:space="preserve">Progression- or event-free survival: patients at the end of the trial that were alive and had not progressed - "progression" was note defined </w:t>
            </w:r>
            <w:r w:rsidRPr="00861E5C">
              <w:rPr>
                <w:rFonts w:ascii="Arial Narrow" w:hAnsi="Arial Narrow"/>
                <w:snapToGrid w:val="0"/>
                <w:sz w:val="20"/>
                <w:szCs w:val="20"/>
                <w:lang w:eastAsia="en-US"/>
              </w:rPr>
              <w:t>(calculated with Kaplan-Meier method)</w:t>
            </w:r>
          </w:p>
          <w:p w14:paraId="4FEABF7F" w14:textId="77777777" w:rsidR="00861E5C" w:rsidRPr="00861E5C" w:rsidRDefault="00861E5C" w:rsidP="001F220E">
            <w:pPr>
              <w:widowControl w:val="0"/>
              <w:numPr>
                <w:ilvl w:val="0"/>
                <w:numId w:val="56"/>
              </w:numPr>
              <w:spacing w:before="40" w:after="40" w:line="288" w:lineRule="auto"/>
              <w:ind w:left="316" w:hanging="283"/>
              <w:jc w:val="left"/>
              <w:rPr>
                <w:rFonts w:ascii="Arial Narrow" w:hAnsi="Arial Narrow"/>
                <w:sz w:val="20"/>
                <w:szCs w:val="20"/>
              </w:rPr>
            </w:pPr>
            <w:r w:rsidRPr="00861E5C">
              <w:rPr>
                <w:rFonts w:ascii="Arial Narrow" w:hAnsi="Arial Narrow"/>
                <w:sz w:val="20"/>
                <w:szCs w:val="20"/>
              </w:rPr>
              <w:t>Adverse events: CG-CTC v2.0 (assumed same as CTCAE from other studies</w:t>
            </w:r>
          </w:p>
        </w:tc>
      </w:tr>
      <w:tr w:rsidR="00861E5C" w:rsidRPr="00861E5C" w14:paraId="46EAF16E"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4137F437"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Videtic et al (2015)</w:t>
            </w:r>
          </w:p>
          <w:p w14:paraId="1AA0C051"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USA</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tcPr>
          <w:p w14:paraId="23FEB13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RCT OL MC</w:t>
            </w:r>
          </w:p>
          <w:p w14:paraId="7CE0E031"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II</w:t>
            </w:r>
          </w:p>
          <w:p w14:paraId="5A05C2DE"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Moderate</w:t>
            </w:r>
          </w:p>
          <w:p w14:paraId="2A119D4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30.2 months</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tcPr>
          <w:p w14:paraId="00CBBCCF"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stage IA-IIA NSCLC, ≤ 50 mm, medically inoperable or refused surgery</w:t>
            </w:r>
          </w:p>
          <w:p w14:paraId="23170906"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39 (NR lesions) [intervention]</w:t>
            </w:r>
          </w:p>
          <w:p w14:paraId="45C1EB05"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45 (NR lesions) [comparator]</w:t>
            </w:r>
          </w:p>
          <w:p w14:paraId="3B61FADE" w14:textId="659C8C68"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Max size median 20 (10</w:t>
            </w:r>
            <w:r w:rsidR="00D35E9C">
              <w:rPr>
                <w:rFonts w:ascii="Arial Narrow" w:hAnsi="Arial Narrow"/>
                <w:snapToGrid w:val="0"/>
                <w:sz w:val="20"/>
                <w:lang w:eastAsia="en-US"/>
              </w:rPr>
              <w:t>–</w:t>
            </w:r>
            <w:r w:rsidRPr="00861E5C">
              <w:rPr>
                <w:rFonts w:ascii="Arial Narrow" w:hAnsi="Arial Narrow"/>
                <w:snapToGrid w:val="0"/>
                <w:sz w:val="20"/>
                <w:lang w:eastAsia="en-US"/>
              </w:rPr>
              <w:t>50) mm [intervention]</w:t>
            </w:r>
          </w:p>
          <w:p w14:paraId="38E1E2ED" w14:textId="7EB147FA"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Max size median 20 (8</w:t>
            </w:r>
            <w:r w:rsidR="00D35E9C">
              <w:rPr>
                <w:rFonts w:ascii="Arial Narrow" w:hAnsi="Arial Narrow"/>
                <w:snapToGrid w:val="0"/>
                <w:sz w:val="20"/>
                <w:lang w:eastAsia="en-US"/>
              </w:rPr>
              <w:t>–</w:t>
            </w:r>
            <w:r w:rsidRPr="00861E5C">
              <w:rPr>
                <w:rFonts w:ascii="Arial Narrow" w:hAnsi="Arial Narrow"/>
                <w:snapToGrid w:val="0"/>
                <w:sz w:val="20"/>
                <w:lang w:eastAsia="en-US"/>
              </w:rPr>
              <w:t>43) mm [comparator]</w:t>
            </w:r>
          </w:p>
          <w:p w14:paraId="4CCB747D"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16 (41%): Females 23 (59%) [intervention]</w:t>
            </w:r>
          </w:p>
          <w:p w14:paraId="3440C9CF"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22 (49%): Females 23 (51%) [comparator]</w:t>
            </w:r>
          </w:p>
          <w:p w14:paraId="348AE158" w14:textId="4FB3DA63"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75 (57</w:t>
            </w:r>
            <w:r w:rsidR="00D35E9C">
              <w:rPr>
                <w:rFonts w:ascii="Arial Narrow" w:hAnsi="Arial Narrow"/>
                <w:snapToGrid w:val="0"/>
                <w:sz w:val="20"/>
                <w:lang w:eastAsia="en-US"/>
              </w:rPr>
              <w:t>–</w:t>
            </w:r>
            <w:r w:rsidRPr="00861E5C">
              <w:rPr>
                <w:rFonts w:ascii="Arial Narrow" w:hAnsi="Arial Narrow"/>
                <w:snapToGrid w:val="0"/>
                <w:sz w:val="20"/>
                <w:lang w:eastAsia="en-US"/>
              </w:rPr>
              <w:t>89) years [intervention]</w:t>
            </w:r>
          </w:p>
          <w:p w14:paraId="4EF3A9F6" w14:textId="15EE8463"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75 (52</w:t>
            </w:r>
            <w:r w:rsidR="00D35E9C">
              <w:rPr>
                <w:rFonts w:ascii="Arial Narrow" w:hAnsi="Arial Narrow"/>
                <w:snapToGrid w:val="0"/>
                <w:sz w:val="20"/>
                <w:lang w:eastAsia="en-US"/>
              </w:rPr>
              <w:t>–</w:t>
            </w:r>
            <w:r w:rsidRPr="00861E5C">
              <w:rPr>
                <w:rFonts w:ascii="Arial Narrow" w:hAnsi="Arial Narrow"/>
                <w:snapToGrid w:val="0"/>
                <w:sz w:val="20"/>
                <w:lang w:eastAsia="en-US"/>
              </w:rPr>
              <w:t>87) years [comparator]</w:t>
            </w:r>
          </w:p>
          <w:p w14:paraId="74CC16A9"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tcPr>
          <w:p w14:paraId="548E387F"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r w:rsidRPr="00861E5C">
              <w:rPr>
                <w:rFonts w:ascii="Arial Narrow" w:hAnsi="Arial Narrow"/>
                <w:snapToGrid w:val="0"/>
                <w:sz w:val="20"/>
                <w:u w:val="single"/>
                <w:lang w:eastAsia="en-US"/>
              </w:rPr>
              <w:t xml:space="preserve">Intervention: Single-fraction SBRT </w:t>
            </w:r>
          </w:p>
          <w:p w14:paraId="6F1A3793"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34 Gy in 1 fraction (n = 39/39 (100%)</w:t>
            </w:r>
          </w:p>
          <w:p w14:paraId="5BD301A1" w14:textId="77777777" w:rsidR="00861E5C" w:rsidRPr="00861E5C" w:rsidRDefault="00861E5C" w:rsidP="001F220E">
            <w:pPr>
              <w:widowControl w:val="0"/>
              <w:spacing w:before="40" w:after="40" w:line="288" w:lineRule="auto"/>
              <w:jc w:val="left"/>
              <w:rPr>
                <w:rFonts w:ascii="Arial Narrow" w:hAnsi="Arial Narrow"/>
                <w:snapToGrid w:val="0"/>
                <w:sz w:val="20"/>
                <w:szCs w:val="20"/>
                <w:u w:val="single"/>
              </w:rPr>
            </w:pPr>
          </w:p>
          <w:p w14:paraId="48F267D0" w14:textId="77777777" w:rsidR="00861E5C" w:rsidRPr="00861E5C" w:rsidRDefault="00861E5C" w:rsidP="001F220E">
            <w:pPr>
              <w:widowControl w:val="0"/>
              <w:spacing w:before="40" w:after="40" w:line="288" w:lineRule="auto"/>
              <w:jc w:val="left"/>
              <w:rPr>
                <w:rFonts w:ascii="Arial Narrow" w:hAnsi="Arial Narrow"/>
                <w:snapToGrid w:val="0"/>
                <w:sz w:val="20"/>
                <w:szCs w:val="20"/>
                <w:u w:val="single"/>
              </w:rPr>
            </w:pPr>
            <w:r w:rsidRPr="00861E5C">
              <w:rPr>
                <w:rFonts w:ascii="Arial Narrow" w:hAnsi="Arial Narrow"/>
                <w:snapToGrid w:val="0"/>
                <w:sz w:val="20"/>
                <w:szCs w:val="20"/>
                <w:u w:val="single"/>
              </w:rPr>
              <w:t>Comparator: Multi-fraction SBRT</w:t>
            </w:r>
          </w:p>
          <w:p w14:paraId="168566B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48 Gy in 4 fractions (</w:t>
            </w:r>
            <w:r w:rsidR="00C10752">
              <w:rPr>
                <w:rFonts w:ascii="Arial Narrow" w:hAnsi="Arial Narrow"/>
                <w:snapToGrid w:val="0"/>
                <w:sz w:val="20"/>
                <w:lang w:eastAsia="en-US"/>
              </w:rPr>
              <w:t xml:space="preserve">n </w:t>
            </w:r>
            <w:proofErr w:type="gramStart"/>
            <w:r w:rsidR="00C10752">
              <w:rPr>
                <w:rFonts w:ascii="Arial Narrow" w:hAnsi="Arial Narrow"/>
                <w:snapToGrid w:val="0"/>
                <w:sz w:val="20"/>
                <w:lang w:eastAsia="en-US"/>
              </w:rPr>
              <w:t xml:space="preserve">= </w:t>
            </w:r>
            <w:r w:rsidRPr="00861E5C">
              <w:rPr>
                <w:rFonts w:ascii="Arial Narrow" w:hAnsi="Arial Narrow"/>
                <w:snapToGrid w:val="0"/>
                <w:sz w:val="20"/>
                <w:lang w:eastAsia="en-US"/>
              </w:rPr>
              <w:t xml:space="preserve"> 45</w:t>
            </w:r>
            <w:proofErr w:type="gramEnd"/>
            <w:r w:rsidRPr="00861E5C">
              <w:rPr>
                <w:rFonts w:ascii="Arial Narrow" w:hAnsi="Arial Narrow"/>
                <w:snapToGrid w:val="0"/>
                <w:sz w:val="20"/>
                <w:lang w:eastAsia="en-US"/>
              </w:rPr>
              <w:t>/45,100%)</w:t>
            </w:r>
          </w:p>
        </w:tc>
        <w:tc>
          <w:tcPr>
            <w:tcW w:w="1303" w:type="pct"/>
            <w:tcBorders>
              <w:top w:val="single" w:sz="4" w:space="0" w:color="auto"/>
              <w:left w:val="single" w:sz="4" w:space="0" w:color="auto"/>
              <w:bottom w:val="single" w:sz="4" w:space="0" w:color="auto"/>
              <w:right w:val="single" w:sz="4" w:space="0" w:color="auto"/>
            </w:tcBorders>
            <w:shd w:val="clear" w:color="auto" w:fill="FFFFFF" w:themeFill="background1"/>
          </w:tcPr>
          <w:p w14:paraId="16C321C7" w14:textId="77777777" w:rsidR="00861E5C" w:rsidRPr="00861E5C" w:rsidRDefault="00861E5C" w:rsidP="001F220E">
            <w:pPr>
              <w:widowControl w:val="0"/>
              <w:numPr>
                <w:ilvl w:val="0"/>
                <w:numId w:val="55"/>
              </w:numPr>
              <w:spacing w:before="40" w:after="40" w:line="288" w:lineRule="auto"/>
              <w:ind w:left="316" w:hanging="283"/>
              <w:jc w:val="left"/>
              <w:rPr>
                <w:rFonts w:ascii="Arial Narrow" w:hAnsi="Arial Narrow"/>
                <w:sz w:val="20"/>
                <w:szCs w:val="20"/>
              </w:rPr>
            </w:pPr>
            <w:r w:rsidRPr="00861E5C">
              <w:rPr>
                <w:rFonts w:ascii="Arial Narrow" w:hAnsi="Arial Narrow"/>
                <w:sz w:val="20"/>
                <w:szCs w:val="20"/>
              </w:rPr>
              <w:t xml:space="preserve">Overall survival: time from enrolment to death </w:t>
            </w:r>
            <w:r w:rsidRPr="00861E5C">
              <w:rPr>
                <w:rFonts w:ascii="Arial Narrow" w:hAnsi="Arial Narrow"/>
                <w:snapToGrid w:val="0"/>
                <w:sz w:val="20"/>
                <w:szCs w:val="20"/>
                <w:lang w:eastAsia="en-US"/>
              </w:rPr>
              <w:t>(calculated with Kaplan-Meier method)</w:t>
            </w:r>
          </w:p>
          <w:p w14:paraId="56F37CD9" w14:textId="77777777" w:rsidR="00861E5C" w:rsidRPr="00861E5C" w:rsidRDefault="00861E5C" w:rsidP="001F220E">
            <w:pPr>
              <w:widowControl w:val="0"/>
              <w:numPr>
                <w:ilvl w:val="0"/>
                <w:numId w:val="55"/>
              </w:numPr>
              <w:spacing w:before="40" w:after="40" w:line="288" w:lineRule="auto"/>
              <w:ind w:left="316" w:hanging="283"/>
              <w:jc w:val="left"/>
              <w:rPr>
                <w:rFonts w:ascii="Arial Narrow" w:hAnsi="Arial Narrow"/>
                <w:sz w:val="20"/>
                <w:szCs w:val="20"/>
              </w:rPr>
            </w:pPr>
            <w:r w:rsidRPr="00861E5C">
              <w:rPr>
                <w:rFonts w:ascii="Arial Narrow" w:hAnsi="Arial Narrow"/>
                <w:sz w:val="20"/>
                <w:szCs w:val="20"/>
              </w:rPr>
              <w:t>Disease-free survival: time from enrolment to death from any cause, treatment failure, distant metastasis, or second primary</w:t>
            </w:r>
            <w:r w:rsidRPr="00861E5C">
              <w:rPr>
                <w:rFonts w:ascii="Arial Narrow" w:hAnsi="Arial Narrow"/>
                <w:snapToGrid w:val="0"/>
                <w:sz w:val="20"/>
                <w:szCs w:val="20"/>
                <w:lang w:eastAsia="en-US"/>
              </w:rPr>
              <w:t xml:space="preserve"> (calculated with Kaplan-Meier method)</w:t>
            </w:r>
          </w:p>
          <w:p w14:paraId="56097B74" w14:textId="77777777" w:rsidR="00861E5C" w:rsidRPr="00861E5C" w:rsidRDefault="00861E5C" w:rsidP="001F220E">
            <w:pPr>
              <w:widowControl w:val="0"/>
              <w:numPr>
                <w:ilvl w:val="0"/>
                <w:numId w:val="55"/>
              </w:numPr>
              <w:spacing w:before="40" w:after="40" w:line="288" w:lineRule="auto"/>
              <w:ind w:left="316" w:hanging="283"/>
              <w:jc w:val="left"/>
              <w:rPr>
                <w:rFonts w:ascii="Arial Narrow" w:hAnsi="Arial Narrow"/>
                <w:sz w:val="20"/>
                <w:szCs w:val="20"/>
              </w:rPr>
            </w:pPr>
            <w:r w:rsidRPr="00861E5C">
              <w:rPr>
                <w:rFonts w:ascii="Arial Narrow" w:hAnsi="Arial Narrow"/>
                <w:sz w:val="20"/>
                <w:szCs w:val="20"/>
              </w:rPr>
              <w:t>Primary tumour control: absence of primary tumour failure - defined as post-SBRT tumour enlargement with proof of viability by PET, biopsy or both.</w:t>
            </w:r>
          </w:p>
          <w:p w14:paraId="44D1FD30" w14:textId="77777777" w:rsidR="00861E5C" w:rsidRPr="00861E5C" w:rsidRDefault="00861E5C" w:rsidP="001F220E">
            <w:pPr>
              <w:widowControl w:val="0"/>
              <w:numPr>
                <w:ilvl w:val="0"/>
                <w:numId w:val="55"/>
              </w:numPr>
              <w:spacing w:before="40" w:after="40" w:line="288" w:lineRule="auto"/>
              <w:ind w:left="316" w:hanging="283"/>
              <w:jc w:val="left"/>
              <w:rPr>
                <w:rFonts w:ascii="Arial Narrow" w:hAnsi="Arial Narrow"/>
                <w:sz w:val="20"/>
                <w:szCs w:val="20"/>
              </w:rPr>
            </w:pPr>
            <w:r w:rsidRPr="00861E5C">
              <w:rPr>
                <w:rFonts w:ascii="Arial Narrow" w:hAnsi="Arial Narrow"/>
                <w:sz w:val="20"/>
                <w:szCs w:val="20"/>
              </w:rPr>
              <w:t>Adverse events: CTCAE v4.0 to define adverse events, and RTOG 0236 schema to define pulmonary function disorders</w:t>
            </w:r>
          </w:p>
        </w:tc>
      </w:tr>
      <w:tr w:rsidR="00861E5C" w:rsidRPr="00861E5C" w14:paraId="7625FB6F"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3E3CDE61"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Jeppsen et al (2013)</w:t>
            </w:r>
          </w:p>
          <w:p w14:paraId="402C0BC6"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Denmark</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tcPr>
          <w:p w14:paraId="74CC9147"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Historical control study</w:t>
            </w:r>
          </w:p>
          <w:p w14:paraId="66EE55A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III-3</w:t>
            </w:r>
          </w:p>
          <w:p w14:paraId="6058505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 xml:space="preserve">Risk of bias: High </w:t>
            </w:r>
          </w:p>
          <w:p w14:paraId="370FED2E" w14:textId="5531351A"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82 (9</w:t>
            </w:r>
            <w:r w:rsidR="00D35E9C">
              <w:rPr>
                <w:rFonts w:ascii="Arial Narrow" w:hAnsi="Arial Narrow"/>
                <w:sz w:val="20"/>
                <w:szCs w:val="20"/>
              </w:rPr>
              <w:t>–</w:t>
            </w:r>
            <w:r w:rsidRPr="00861E5C">
              <w:rPr>
                <w:rFonts w:ascii="Arial Narrow" w:hAnsi="Arial Narrow"/>
                <w:sz w:val="20"/>
                <w:szCs w:val="20"/>
              </w:rPr>
              <w:t>173) months</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tcPr>
          <w:p w14:paraId="790ADF0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Patients with inoperable stage IA-IIA NSCLC</w:t>
            </w:r>
          </w:p>
          <w:p w14:paraId="311B80F7"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N = 100 (NR lesions) [intervention]</w:t>
            </w:r>
          </w:p>
          <w:p w14:paraId="072F40C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N = 32 (NR lesions) [comparator]</w:t>
            </w:r>
          </w:p>
          <w:p w14:paraId="3AD5AD5F" w14:textId="31D464F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Mean tumour volume 129 (7</w:t>
            </w:r>
            <w:r w:rsidR="00D35E9C">
              <w:rPr>
                <w:rFonts w:ascii="Arial Narrow" w:hAnsi="Arial Narrow"/>
                <w:sz w:val="20"/>
                <w:szCs w:val="20"/>
              </w:rPr>
              <w:t>–</w:t>
            </w:r>
            <w:r w:rsidRPr="00861E5C">
              <w:rPr>
                <w:rFonts w:ascii="Arial Narrow" w:hAnsi="Arial Narrow"/>
                <w:sz w:val="20"/>
                <w:szCs w:val="20"/>
              </w:rPr>
              <w:t>650) mm</w:t>
            </w:r>
            <w:r w:rsidRPr="00861E5C">
              <w:rPr>
                <w:rFonts w:ascii="Arial Narrow" w:hAnsi="Arial Narrow"/>
                <w:sz w:val="20"/>
                <w:szCs w:val="20"/>
                <w:vertAlign w:val="superscript"/>
              </w:rPr>
              <w:t>3</w:t>
            </w:r>
            <w:r w:rsidRPr="00861E5C">
              <w:rPr>
                <w:rFonts w:ascii="Arial Narrow" w:hAnsi="Arial Narrow"/>
                <w:sz w:val="20"/>
                <w:szCs w:val="20"/>
              </w:rPr>
              <w:t xml:space="preserve"> [I]</w:t>
            </w:r>
          </w:p>
          <w:p w14:paraId="3268F87E" w14:textId="6AFB12D9"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Mean tumour volume 273 (30</w:t>
            </w:r>
            <w:r w:rsidR="00D35E9C">
              <w:rPr>
                <w:rFonts w:ascii="Arial Narrow" w:hAnsi="Arial Narrow"/>
                <w:sz w:val="20"/>
                <w:szCs w:val="20"/>
              </w:rPr>
              <w:t>–</w:t>
            </w:r>
            <w:r w:rsidRPr="00861E5C">
              <w:rPr>
                <w:rFonts w:ascii="Arial Narrow" w:hAnsi="Arial Narrow"/>
                <w:sz w:val="20"/>
                <w:szCs w:val="20"/>
              </w:rPr>
              <w:t>1180) mm</w:t>
            </w:r>
            <w:r w:rsidRPr="00861E5C">
              <w:rPr>
                <w:rFonts w:ascii="Arial Narrow" w:hAnsi="Arial Narrow"/>
                <w:sz w:val="20"/>
                <w:szCs w:val="20"/>
                <w:vertAlign w:val="superscript"/>
              </w:rPr>
              <w:t>3</w:t>
            </w:r>
            <w:r w:rsidRPr="00861E5C">
              <w:rPr>
                <w:rFonts w:ascii="Arial Narrow" w:hAnsi="Arial Narrow"/>
                <w:sz w:val="20"/>
                <w:szCs w:val="20"/>
              </w:rPr>
              <w:t xml:space="preserve"> [C]</w:t>
            </w:r>
            <w:r w:rsidRPr="00861E5C">
              <w:rPr>
                <w:rFonts w:ascii="Arial Narrow" w:hAnsi="Arial Narrow"/>
                <w:b/>
                <w:sz w:val="20"/>
                <w:szCs w:val="20"/>
              </w:rPr>
              <w:t>*</w:t>
            </w:r>
          </w:p>
          <w:p w14:paraId="0011D19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Males 45 (45%): Females 55 (55%) [intervention]</w:t>
            </w:r>
          </w:p>
          <w:p w14:paraId="46A26333"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Males 22 (69%): Females 10 (31%) [comparator]</w:t>
            </w:r>
          </w:p>
          <w:p w14:paraId="5EC47118" w14:textId="0519E585"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Mean age 73 (52</w:t>
            </w:r>
            <w:r w:rsidR="00D35E9C">
              <w:rPr>
                <w:rFonts w:ascii="Arial Narrow" w:hAnsi="Arial Narrow"/>
                <w:sz w:val="20"/>
                <w:szCs w:val="20"/>
              </w:rPr>
              <w:t>–</w:t>
            </w:r>
            <w:r w:rsidRPr="00861E5C">
              <w:rPr>
                <w:rFonts w:ascii="Arial Narrow" w:hAnsi="Arial Narrow"/>
                <w:sz w:val="20"/>
                <w:szCs w:val="20"/>
              </w:rPr>
              <w:t>88) years [intervention]</w:t>
            </w:r>
          </w:p>
          <w:p w14:paraId="31339DD4" w14:textId="4A9ECCE8"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Mean age 70 (51</w:t>
            </w:r>
            <w:r w:rsidR="00D35E9C">
              <w:rPr>
                <w:rFonts w:ascii="Arial Narrow" w:hAnsi="Arial Narrow"/>
                <w:sz w:val="20"/>
                <w:szCs w:val="20"/>
              </w:rPr>
              <w:t>–</w:t>
            </w:r>
            <w:r w:rsidRPr="00861E5C">
              <w:rPr>
                <w:rFonts w:ascii="Arial Narrow" w:hAnsi="Arial Narrow"/>
                <w:sz w:val="20"/>
                <w:szCs w:val="20"/>
              </w:rPr>
              <w:t>87) years [comparator]</w:t>
            </w:r>
          </w:p>
          <w:p w14:paraId="243AAE6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Prior therapy: NR</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tcPr>
          <w:p w14:paraId="7A4062FA"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r w:rsidRPr="00861E5C">
              <w:rPr>
                <w:rFonts w:ascii="Arial Narrow" w:hAnsi="Arial Narrow"/>
                <w:snapToGrid w:val="0"/>
                <w:sz w:val="20"/>
                <w:u w:val="single"/>
                <w:lang w:eastAsia="en-US"/>
              </w:rPr>
              <w:t>Intervention: SBRT</w:t>
            </w:r>
          </w:p>
          <w:p w14:paraId="13220350" w14:textId="77777777"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45 Gy in 3 fractions (n = 32/100, 32%)</w:t>
            </w:r>
          </w:p>
          <w:p w14:paraId="1AE5DC85" w14:textId="77777777"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50 Gy in 3 fractions (n = 1/100, 1%)</w:t>
            </w:r>
          </w:p>
          <w:p w14:paraId="7F49A697"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66 Gy in 3 fractions (n = 67/100, 67%)</w:t>
            </w:r>
          </w:p>
          <w:p w14:paraId="4788EB9C"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p>
          <w:p w14:paraId="6AC3AA25"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r w:rsidRPr="00861E5C">
              <w:rPr>
                <w:rFonts w:ascii="Arial Narrow" w:hAnsi="Arial Narrow"/>
                <w:snapToGrid w:val="0"/>
                <w:sz w:val="20"/>
                <w:u w:val="single"/>
                <w:lang w:eastAsia="en-US"/>
              </w:rPr>
              <w:t>Comparator: Conventional radiotherapy</w:t>
            </w:r>
          </w:p>
          <w:p w14:paraId="6F632B8C" w14:textId="77777777"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80 Gy in 35 fractions, n = 20/32 (63%)</w:t>
            </w:r>
          </w:p>
          <w:p w14:paraId="4A8A9F75"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80 Gy in 40 fractions, n = 12/32 (37%)</w:t>
            </w:r>
          </w:p>
        </w:tc>
        <w:tc>
          <w:tcPr>
            <w:tcW w:w="1303" w:type="pct"/>
            <w:tcBorders>
              <w:top w:val="single" w:sz="4" w:space="0" w:color="auto"/>
              <w:left w:val="single" w:sz="4" w:space="0" w:color="auto"/>
              <w:bottom w:val="single" w:sz="4" w:space="0" w:color="auto"/>
              <w:right w:val="single" w:sz="4" w:space="0" w:color="auto"/>
            </w:tcBorders>
            <w:shd w:val="clear" w:color="auto" w:fill="FFFFFF" w:themeFill="background1"/>
          </w:tcPr>
          <w:p w14:paraId="4314203F" w14:textId="77777777" w:rsidR="00861E5C" w:rsidRPr="00861E5C" w:rsidRDefault="00861E5C" w:rsidP="001F220E">
            <w:pPr>
              <w:widowControl w:val="0"/>
              <w:numPr>
                <w:ilvl w:val="0"/>
                <w:numId w:val="53"/>
              </w:numPr>
              <w:spacing w:before="40" w:after="40" w:line="288" w:lineRule="auto"/>
              <w:ind w:left="316" w:hanging="283"/>
              <w:jc w:val="left"/>
              <w:rPr>
                <w:rFonts w:ascii="Arial Narrow" w:hAnsi="Arial Narrow"/>
                <w:sz w:val="20"/>
                <w:szCs w:val="20"/>
              </w:rPr>
            </w:pPr>
            <w:r w:rsidRPr="00861E5C">
              <w:rPr>
                <w:rFonts w:ascii="Arial Narrow" w:hAnsi="Arial Narrow"/>
                <w:sz w:val="20"/>
                <w:szCs w:val="20"/>
              </w:rPr>
              <w:t>Adverse events: not defined</w:t>
            </w:r>
          </w:p>
        </w:tc>
      </w:tr>
      <w:tr w:rsidR="00861E5C" w:rsidRPr="00861E5C" w14:paraId="33D75DDE"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2A2BB667"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Lucas et al (2015)</w:t>
            </w:r>
          </w:p>
          <w:p w14:paraId="6A01689A"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USA</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tcPr>
          <w:p w14:paraId="5316DE5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cohort</w:t>
            </w:r>
          </w:p>
          <w:p w14:paraId="2F5BCBB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III-2</w:t>
            </w:r>
          </w:p>
          <w:p w14:paraId="6FA3738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6C944E38" w14:textId="13EB2B23"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24 (IQR 11</w:t>
            </w:r>
            <w:r w:rsidR="00D35E9C">
              <w:rPr>
                <w:rFonts w:ascii="Arial Narrow" w:hAnsi="Arial Narrow"/>
                <w:sz w:val="20"/>
                <w:szCs w:val="20"/>
              </w:rPr>
              <w:t>–</w:t>
            </w:r>
            <w:r w:rsidRPr="00861E5C">
              <w:rPr>
                <w:rFonts w:ascii="Arial Narrow" w:hAnsi="Arial Narrow"/>
                <w:sz w:val="20"/>
                <w:szCs w:val="20"/>
              </w:rPr>
              <w:t>40) months</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tcPr>
          <w:p w14:paraId="1089B98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Patients with inoperable stage IA-IIA NSCLC</w:t>
            </w:r>
          </w:p>
          <w:p w14:paraId="0E9E206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N = 81 (NR lesions) [intervention]</w:t>
            </w:r>
          </w:p>
          <w:p w14:paraId="634E763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N = 79 (NR lesions) [comparator]</w:t>
            </w:r>
          </w:p>
          <w:p w14:paraId="54194763" w14:textId="70D7C2C2"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size 23 (IQR 16</w:t>
            </w:r>
            <w:r w:rsidR="00D35E9C">
              <w:rPr>
                <w:rFonts w:ascii="Arial Narrow" w:hAnsi="Arial Narrow"/>
                <w:sz w:val="20"/>
                <w:szCs w:val="20"/>
              </w:rPr>
              <w:t>–</w:t>
            </w:r>
            <w:r w:rsidRPr="00861E5C">
              <w:rPr>
                <w:rFonts w:ascii="Arial Narrow" w:hAnsi="Arial Narrow"/>
                <w:sz w:val="20"/>
                <w:szCs w:val="20"/>
              </w:rPr>
              <w:t>29) mm [intervention]</w:t>
            </w:r>
          </w:p>
          <w:p w14:paraId="68D47808" w14:textId="5519964B"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size 29 (IQR 20</w:t>
            </w:r>
            <w:r w:rsidR="00D35E9C">
              <w:rPr>
                <w:rFonts w:ascii="Arial Narrow" w:hAnsi="Arial Narrow"/>
                <w:sz w:val="20"/>
                <w:szCs w:val="20"/>
              </w:rPr>
              <w:t>–</w:t>
            </w:r>
            <w:r w:rsidRPr="00861E5C">
              <w:rPr>
                <w:rFonts w:ascii="Arial Narrow" w:hAnsi="Arial Narrow"/>
                <w:sz w:val="20"/>
                <w:szCs w:val="20"/>
              </w:rPr>
              <w:t>42) mm [comparator]</w:t>
            </w:r>
            <w:r w:rsidRPr="00861E5C">
              <w:rPr>
                <w:rFonts w:ascii="Arial Narrow" w:hAnsi="Arial Narrow"/>
                <w:b/>
                <w:sz w:val="20"/>
                <w:szCs w:val="20"/>
              </w:rPr>
              <w:t>*</w:t>
            </w:r>
          </w:p>
          <w:p w14:paraId="3A0DA74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Males 39 (48%): Females 46 (52%) [intervention]</w:t>
            </w:r>
          </w:p>
          <w:p w14:paraId="38D7C0A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Males 54 (68%): Females 29 (37%) [comparator]*</w:t>
            </w:r>
          </w:p>
          <w:p w14:paraId="4806FA1F" w14:textId="27178742"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age 74 (IQR 66</w:t>
            </w:r>
            <w:r w:rsidR="00D35E9C">
              <w:rPr>
                <w:rFonts w:ascii="Arial Narrow" w:hAnsi="Arial Narrow"/>
                <w:sz w:val="20"/>
                <w:szCs w:val="20"/>
              </w:rPr>
              <w:t>–</w:t>
            </w:r>
            <w:r w:rsidRPr="00861E5C">
              <w:rPr>
                <w:rFonts w:ascii="Arial Narrow" w:hAnsi="Arial Narrow"/>
                <w:sz w:val="20"/>
                <w:szCs w:val="20"/>
              </w:rPr>
              <w:t>78) years [intervention]</w:t>
            </w:r>
          </w:p>
          <w:p w14:paraId="4EB65239" w14:textId="190309BC"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age 69 (IQR 65</w:t>
            </w:r>
            <w:r w:rsidR="00D35E9C">
              <w:rPr>
                <w:rFonts w:ascii="Arial Narrow" w:hAnsi="Arial Narrow"/>
                <w:sz w:val="20"/>
                <w:szCs w:val="20"/>
              </w:rPr>
              <w:t>–</w:t>
            </w:r>
            <w:r w:rsidRPr="00861E5C">
              <w:rPr>
                <w:rFonts w:ascii="Arial Narrow" w:hAnsi="Arial Narrow"/>
                <w:sz w:val="20"/>
                <w:szCs w:val="20"/>
              </w:rPr>
              <w:t>79) years [comparator]</w:t>
            </w:r>
          </w:p>
          <w:p w14:paraId="437D422D" w14:textId="77777777" w:rsidR="00861E5C" w:rsidRDefault="007908D7" w:rsidP="001F220E">
            <w:pPr>
              <w:widowControl w:val="0"/>
              <w:spacing w:before="40" w:after="40" w:line="288" w:lineRule="auto"/>
              <w:jc w:val="left"/>
              <w:rPr>
                <w:rFonts w:ascii="Arial Narrow" w:hAnsi="Arial Narrow"/>
                <w:sz w:val="20"/>
                <w:szCs w:val="20"/>
              </w:rPr>
            </w:pPr>
            <w:r>
              <w:rPr>
                <w:rFonts w:ascii="Arial Narrow" w:hAnsi="Arial Narrow"/>
                <w:sz w:val="20"/>
                <w:szCs w:val="20"/>
              </w:rPr>
              <w:t xml:space="preserve">Prior therapy: </w:t>
            </w:r>
          </w:p>
          <w:p w14:paraId="3760A0A6" w14:textId="77777777" w:rsidR="007908D7" w:rsidRPr="007908D7" w:rsidRDefault="007908D7" w:rsidP="001F220E">
            <w:pPr>
              <w:widowControl w:val="0"/>
              <w:spacing w:before="40" w:after="40" w:line="288" w:lineRule="auto"/>
              <w:jc w:val="left"/>
              <w:rPr>
                <w:rFonts w:ascii="Arial Narrow" w:hAnsi="Arial Narrow"/>
                <w:sz w:val="20"/>
                <w:szCs w:val="20"/>
              </w:rPr>
            </w:pPr>
            <w:r w:rsidRPr="007908D7">
              <w:rPr>
                <w:rFonts w:ascii="Arial Narrow" w:hAnsi="Arial Narrow"/>
                <w:sz w:val="20"/>
                <w:szCs w:val="20"/>
              </w:rPr>
              <w:t>Chemotherapy 5/81 (6.3%) [</w:t>
            </w:r>
            <w:proofErr w:type="gramStart"/>
            <w:r w:rsidRPr="007908D7">
              <w:rPr>
                <w:rFonts w:ascii="Arial Narrow" w:hAnsi="Arial Narrow"/>
                <w:sz w:val="20"/>
                <w:szCs w:val="20"/>
              </w:rPr>
              <w:t>intervention</w:t>
            </w:r>
            <w:proofErr w:type="gramEnd"/>
            <w:r w:rsidRPr="007908D7">
              <w:rPr>
                <w:rFonts w:ascii="Arial Narrow" w:hAnsi="Arial Narrow"/>
                <w:sz w:val="20"/>
                <w:szCs w:val="20"/>
              </w:rPr>
              <w:t>], 6/81 (7.6%) [comparator]</w:t>
            </w:r>
          </w:p>
          <w:p w14:paraId="10FFD427" w14:textId="77777777" w:rsidR="007908D7" w:rsidRPr="007908D7" w:rsidRDefault="007908D7" w:rsidP="001F220E">
            <w:pPr>
              <w:widowControl w:val="0"/>
              <w:spacing w:before="40" w:after="40" w:line="288" w:lineRule="auto"/>
              <w:jc w:val="left"/>
              <w:rPr>
                <w:rFonts w:ascii="Arial Narrow" w:hAnsi="Arial Narrow"/>
                <w:sz w:val="20"/>
                <w:szCs w:val="20"/>
              </w:rPr>
            </w:pPr>
            <w:r w:rsidRPr="007908D7">
              <w:rPr>
                <w:rFonts w:ascii="Arial Narrow" w:hAnsi="Arial Narrow"/>
                <w:sz w:val="20"/>
                <w:szCs w:val="20"/>
              </w:rPr>
              <w:t>Lung surgery 19/81 (23.4%) [</w:t>
            </w:r>
            <w:proofErr w:type="gramStart"/>
            <w:r w:rsidRPr="007908D7">
              <w:rPr>
                <w:rFonts w:ascii="Arial Narrow" w:hAnsi="Arial Narrow"/>
                <w:sz w:val="20"/>
                <w:szCs w:val="20"/>
              </w:rPr>
              <w:t>intervention</w:t>
            </w:r>
            <w:proofErr w:type="gramEnd"/>
            <w:r w:rsidRPr="007908D7">
              <w:rPr>
                <w:rFonts w:ascii="Arial Narrow" w:hAnsi="Arial Narrow"/>
                <w:sz w:val="20"/>
                <w:szCs w:val="20"/>
              </w:rPr>
              <w:t>], 2/81 (2.5%) [comparator]</w:t>
            </w:r>
          </w:p>
          <w:p w14:paraId="417A9976" w14:textId="77777777" w:rsidR="007908D7" w:rsidRPr="00861E5C" w:rsidRDefault="007908D7" w:rsidP="001F220E">
            <w:pPr>
              <w:widowControl w:val="0"/>
              <w:spacing w:before="40" w:after="40" w:line="288" w:lineRule="auto"/>
              <w:jc w:val="left"/>
              <w:rPr>
                <w:rFonts w:ascii="Arial Narrow" w:hAnsi="Arial Narrow"/>
                <w:sz w:val="20"/>
                <w:szCs w:val="20"/>
              </w:rPr>
            </w:pPr>
            <w:r w:rsidRPr="007908D7">
              <w:rPr>
                <w:rFonts w:ascii="Arial Narrow" w:hAnsi="Arial Narrow"/>
                <w:sz w:val="20"/>
                <w:szCs w:val="20"/>
              </w:rPr>
              <w:t>Radiation 1/81 (1.1%) [</w:t>
            </w:r>
            <w:proofErr w:type="gramStart"/>
            <w:r w:rsidRPr="007908D7">
              <w:rPr>
                <w:rFonts w:ascii="Arial Narrow" w:hAnsi="Arial Narrow"/>
                <w:sz w:val="20"/>
                <w:szCs w:val="20"/>
              </w:rPr>
              <w:t>intervention</w:t>
            </w:r>
            <w:proofErr w:type="gramEnd"/>
            <w:r w:rsidRPr="007908D7">
              <w:rPr>
                <w:rFonts w:ascii="Arial Narrow" w:hAnsi="Arial Narrow"/>
                <w:sz w:val="20"/>
                <w:szCs w:val="20"/>
              </w:rPr>
              <w:t>], 0/81 (0.0%) [comparator]</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tcPr>
          <w:p w14:paraId="175E0DAD"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r w:rsidRPr="00861E5C">
              <w:rPr>
                <w:rFonts w:ascii="Arial Narrow" w:hAnsi="Arial Narrow"/>
                <w:snapToGrid w:val="0"/>
                <w:sz w:val="20"/>
                <w:u w:val="single"/>
                <w:lang w:eastAsia="en-US"/>
              </w:rPr>
              <w:t>Intervention: SBRT</w:t>
            </w:r>
          </w:p>
          <w:p w14:paraId="0E3F561B" w14:textId="66C6754A"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“majority” had 54 Gy in 3 fractions, range 36</w:t>
            </w:r>
            <w:r w:rsidR="00D35E9C">
              <w:rPr>
                <w:rFonts w:ascii="Arial Narrow" w:hAnsi="Arial Narrow"/>
                <w:snapToGrid w:val="0"/>
                <w:sz w:val="20"/>
                <w:lang w:eastAsia="en-US"/>
              </w:rPr>
              <w:t>–</w:t>
            </w:r>
            <w:r w:rsidRPr="00861E5C">
              <w:rPr>
                <w:rFonts w:ascii="Arial Narrow" w:hAnsi="Arial Narrow"/>
                <w:snapToGrid w:val="0"/>
                <w:sz w:val="20"/>
                <w:lang w:eastAsia="en-US"/>
              </w:rPr>
              <w:t>60 Gy in 2</w:t>
            </w:r>
            <w:r w:rsidR="00D35E9C">
              <w:rPr>
                <w:rFonts w:ascii="Arial Narrow" w:hAnsi="Arial Narrow"/>
                <w:snapToGrid w:val="0"/>
                <w:sz w:val="20"/>
                <w:lang w:eastAsia="en-US"/>
              </w:rPr>
              <w:t>–</w:t>
            </w:r>
            <w:r w:rsidRPr="00861E5C">
              <w:rPr>
                <w:rFonts w:ascii="Arial Narrow" w:hAnsi="Arial Narrow"/>
                <w:snapToGrid w:val="0"/>
                <w:sz w:val="20"/>
                <w:lang w:eastAsia="en-US"/>
              </w:rPr>
              <w:t>5 fractions</w:t>
            </w:r>
          </w:p>
          <w:p w14:paraId="2ED6FC63"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p>
          <w:p w14:paraId="089D2CBF"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r w:rsidRPr="00861E5C">
              <w:rPr>
                <w:rFonts w:ascii="Arial Narrow" w:hAnsi="Arial Narrow"/>
                <w:snapToGrid w:val="0"/>
                <w:sz w:val="20"/>
                <w:u w:val="single"/>
                <w:lang w:eastAsia="en-US"/>
              </w:rPr>
              <w:t>Comparator: AHRT</w:t>
            </w:r>
          </w:p>
          <w:p w14:paraId="10CA5981" w14:textId="59665FF4"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“majority” had 67.5 Gy in 25 fractions, range 60</w:t>
            </w:r>
            <w:r w:rsidR="00D35E9C">
              <w:rPr>
                <w:rFonts w:ascii="Arial Narrow" w:hAnsi="Arial Narrow"/>
                <w:snapToGrid w:val="0"/>
                <w:sz w:val="20"/>
                <w:lang w:eastAsia="en-US"/>
              </w:rPr>
              <w:t>–</w:t>
            </w:r>
            <w:r w:rsidRPr="00861E5C">
              <w:rPr>
                <w:rFonts w:ascii="Arial Narrow" w:hAnsi="Arial Narrow"/>
                <w:snapToGrid w:val="0"/>
                <w:sz w:val="20"/>
                <w:lang w:eastAsia="en-US"/>
              </w:rPr>
              <w:t>72.3 Gy in 17</w:t>
            </w:r>
            <w:r w:rsidR="00D35E9C">
              <w:rPr>
                <w:rFonts w:ascii="Arial Narrow" w:hAnsi="Arial Narrow"/>
                <w:snapToGrid w:val="0"/>
                <w:sz w:val="20"/>
                <w:lang w:eastAsia="en-US"/>
              </w:rPr>
              <w:t>–</w:t>
            </w:r>
            <w:r w:rsidRPr="00861E5C">
              <w:rPr>
                <w:rFonts w:ascii="Arial Narrow" w:hAnsi="Arial Narrow"/>
                <w:snapToGrid w:val="0"/>
                <w:sz w:val="20"/>
                <w:lang w:eastAsia="en-US"/>
              </w:rPr>
              <w:t>30 fractions</w:t>
            </w:r>
          </w:p>
        </w:tc>
        <w:tc>
          <w:tcPr>
            <w:tcW w:w="1303" w:type="pct"/>
            <w:tcBorders>
              <w:top w:val="single" w:sz="4" w:space="0" w:color="auto"/>
              <w:left w:val="single" w:sz="4" w:space="0" w:color="auto"/>
              <w:bottom w:val="single" w:sz="4" w:space="0" w:color="auto"/>
              <w:right w:val="single" w:sz="4" w:space="0" w:color="auto"/>
            </w:tcBorders>
            <w:shd w:val="clear" w:color="auto" w:fill="FFFFFF" w:themeFill="background1"/>
          </w:tcPr>
          <w:p w14:paraId="3DD87398" w14:textId="77777777" w:rsidR="00861E5C" w:rsidRPr="00861E5C" w:rsidRDefault="00861E5C" w:rsidP="001F220E">
            <w:pPr>
              <w:widowControl w:val="0"/>
              <w:numPr>
                <w:ilvl w:val="0"/>
                <w:numId w:val="54"/>
              </w:numPr>
              <w:spacing w:before="40" w:after="40" w:line="288" w:lineRule="auto"/>
              <w:ind w:left="316" w:hanging="283"/>
              <w:jc w:val="left"/>
              <w:rPr>
                <w:rFonts w:ascii="Arial Narrow" w:hAnsi="Arial Narrow"/>
                <w:sz w:val="20"/>
                <w:szCs w:val="20"/>
              </w:rPr>
            </w:pPr>
            <w:r w:rsidRPr="00861E5C">
              <w:rPr>
                <w:rFonts w:ascii="Arial Narrow" w:hAnsi="Arial Narrow"/>
                <w:sz w:val="20"/>
                <w:szCs w:val="20"/>
              </w:rPr>
              <w:t>Adverse events: CTCAE v4.0</w:t>
            </w:r>
          </w:p>
        </w:tc>
      </w:tr>
      <w:tr w:rsidR="00861E5C" w:rsidRPr="00861E5C" w14:paraId="612D4CB4" w14:textId="77777777" w:rsidTr="00065860">
        <w:trPr>
          <w:cantSplit/>
          <w:trHeight w:val="64"/>
        </w:trPr>
        <w:tc>
          <w:tcPr>
            <w:tcW w:w="457" w:type="pct"/>
            <w:tcBorders>
              <w:top w:val="single" w:sz="4" w:space="0" w:color="auto"/>
              <w:left w:val="single" w:sz="4" w:space="0" w:color="auto"/>
              <w:bottom w:val="single" w:sz="4" w:space="0" w:color="auto"/>
            </w:tcBorders>
            <w:shd w:val="clear" w:color="auto" w:fill="D9D9D9" w:themeFill="background1" w:themeFillShade="D9"/>
          </w:tcPr>
          <w:p w14:paraId="6838EAB5" w14:textId="77777777" w:rsidR="00861E5C" w:rsidRPr="00861E5C" w:rsidRDefault="00861E5C" w:rsidP="001F220E">
            <w:pPr>
              <w:widowControl w:val="0"/>
              <w:spacing w:before="40" w:after="40" w:line="288" w:lineRule="auto"/>
              <w:jc w:val="left"/>
              <w:rPr>
                <w:rFonts w:ascii="Arial Narrow" w:hAnsi="Arial Narrow"/>
                <w:b/>
                <w:snapToGrid w:val="0"/>
                <w:sz w:val="20"/>
                <w:lang w:eastAsia="en-US"/>
              </w:rPr>
            </w:pPr>
            <w:r w:rsidRPr="00861E5C">
              <w:rPr>
                <w:rFonts w:ascii="Arial Narrow" w:hAnsi="Arial Narrow"/>
                <w:b/>
                <w:snapToGrid w:val="0"/>
                <w:sz w:val="20"/>
                <w:lang w:eastAsia="en-US"/>
              </w:rPr>
              <w:t>POPULATION</w:t>
            </w:r>
          </w:p>
        </w:tc>
        <w:tc>
          <w:tcPr>
            <w:tcW w:w="634" w:type="pct"/>
            <w:tcBorders>
              <w:top w:val="single" w:sz="4" w:space="0" w:color="auto"/>
              <w:bottom w:val="single" w:sz="4" w:space="0" w:color="auto"/>
            </w:tcBorders>
            <w:shd w:val="clear" w:color="auto" w:fill="D9D9D9" w:themeFill="background1" w:themeFillShade="D9"/>
          </w:tcPr>
          <w:p w14:paraId="6A911285" w14:textId="77777777" w:rsidR="00861E5C" w:rsidRPr="00861E5C" w:rsidRDefault="00861E5C" w:rsidP="001F220E">
            <w:pPr>
              <w:widowControl w:val="0"/>
              <w:spacing w:before="40" w:after="40" w:line="288" w:lineRule="auto"/>
              <w:jc w:val="left"/>
              <w:rPr>
                <w:rFonts w:ascii="Arial Narrow" w:hAnsi="Arial Narrow"/>
                <w:b/>
                <w:snapToGrid w:val="0"/>
                <w:sz w:val="20"/>
                <w:lang w:eastAsia="en-US"/>
              </w:rPr>
            </w:pPr>
            <w:r w:rsidRPr="00861E5C">
              <w:rPr>
                <w:rFonts w:ascii="Arial Narrow" w:hAnsi="Arial Narrow"/>
                <w:b/>
                <w:snapToGrid w:val="0"/>
                <w:sz w:val="20"/>
                <w:lang w:eastAsia="en-US"/>
              </w:rPr>
              <w:t>2</w:t>
            </w:r>
          </w:p>
        </w:tc>
        <w:tc>
          <w:tcPr>
            <w:tcW w:w="1353" w:type="pct"/>
            <w:tcBorders>
              <w:top w:val="single" w:sz="4" w:space="0" w:color="auto"/>
              <w:bottom w:val="single" w:sz="4" w:space="0" w:color="auto"/>
            </w:tcBorders>
            <w:shd w:val="clear" w:color="auto" w:fill="D9D9D9" w:themeFill="background1" w:themeFillShade="D9"/>
          </w:tcPr>
          <w:p w14:paraId="5A806051" w14:textId="77777777" w:rsidR="00861E5C" w:rsidRPr="00861E5C" w:rsidRDefault="00861E5C" w:rsidP="001F220E">
            <w:pPr>
              <w:widowControl w:val="0"/>
              <w:spacing w:before="40" w:after="40" w:line="288" w:lineRule="auto"/>
              <w:jc w:val="left"/>
              <w:rPr>
                <w:rFonts w:ascii="Arial Narrow" w:hAnsi="Arial Narrow"/>
                <w:sz w:val="20"/>
                <w:szCs w:val="20"/>
              </w:rPr>
            </w:pPr>
          </w:p>
        </w:tc>
        <w:tc>
          <w:tcPr>
            <w:tcW w:w="1253" w:type="pct"/>
            <w:tcBorders>
              <w:top w:val="single" w:sz="4" w:space="0" w:color="auto"/>
              <w:bottom w:val="single" w:sz="4" w:space="0" w:color="auto"/>
            </w:tcBorders>
            <w:shd w:val="clear" w:color="auto" w:fill="D9D9D9" w:themeFill="background1" w:themeFillShade="D9"/>
          </w:tcPr>
          <w:p w14:paraId="09FBE1C4" w14:textId="77777777" w:rsidR="00861E5C" w:rsidRPr="00861E5C" w:rsidRDefault="00861E5C" w:rsidP="001F220E">
            <w:pPr>
              <w:widowControl w:val="0"/>
              <w:spacing w:before="40" w:after="40" w:line="288" w:lineRule="auto"/>
              <w:jc w:val="left"/>
              <w:rPr>
                <w:rFonts w:ascii="Arial Narrow" w:hAnsi="Arial Narrow"/>
                <w:sz w:val="20"/>
                <w:szCs w:val="20"/>
              </w:rPr>
            </w:pPr>
          </w:p>
        </w:tc>
        <w:tc>
          <w:tcPr>
            <w:tcW w:w="1303" w:type="pct"/>
            <w:tcBorders>
              <w:top w:val="single" w:sz="4" w:space="0" w:color="auto"/>
              <w:bottom w:val="single" w:sz="4" w:space="0" w:color="auto"/>
              <w:right w:val="single" w:sz="4" w:space="0" w:color="auto"/>
            </w:tcBorders>
            <w:shd w:val="clear" w:color="auto" w:fill="D9D9D9" w:themeFill="background1" w:themeFillShade="D9"/>
          </w:tcPr>
          <w:p w14:paraId="1F10C39E" w14:textId="77777777" w:rsidR="00861E5C" w:rsidRPr="00861E5C" w:rsidRDefault="00861E5C" w:rsidP="001F220E">
            <w:pPr>
              <w:widowControl w:val="0"/>
              <w:spacing w:before="40" w:after="40" w:line="288" w:lineRule="auto"/>
              <w:jc w:val="left"/>
              <w:rPr>
                <w:rFonts w:ascii="Arial Narrow" w:hAnsi="Arial Narrow"/>
                <w:sz w:val="20"/>
                <w:szCs w:val="20"/>
              </w:rPr>
            </w:pPr>
          </w:p>
        </w:tc>
      </w:tr>
      <w:tr w:rsidR="00861E5C" w:rsidRPr="00861E5C" w14:paraId="30923C43"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21E47A19"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Siva et al (2015)</w:t>
            </w:r>
          </w:p>
          <w:p w14:paraId="552CC95A"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Australia</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tcPr>
          <w:p w14:paraId="32356B5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cohort</w:t>
            </w:r>
          </w:p>
          <w:p w14:paraId="4663ED27"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III-2</w:t>
            </w:r>
          </w:p>
          <w:p w14:paraId="028DD76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Moderate</w:t>
            </w:r>
          </w:p>
          <w:p w14:paraId="168C281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25 months</w:t>
            </w:r>
          </w:p>
          <w:p w14:paraId="19E9AB69" w14:textId="77777777" w:rsidR="00861E5C" w:rsidRPr="00861E5C" w:rsidRDefault="00861E5C" w:rsidP="001F220E">
            <w:pPr>
              <w:widowControl w:val="0"/>
              <w:spacing w:before="40" w:after="40" w:line="288" w:lineRule="auto"/>
              <w:jc w:val="left"/>
              <w:rPr>
                <w:rFonts w:ascii="Arial Narrow" w:hAnsi="Arial Narrow"/>
                <w:sz w:val="20"/>
                <w:szCs w:val="20"/>
              </w:rPr>
            </w:pP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tcPr>
          <w:p w14:paraId="34618B1A" w14:textId="7C7709A1"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1</w:t>
            </w:r>
            <w:r w:rsidR="00D35E9C">
              <w:rPr>
                <w:rFonts w:ascii="Arial Narrow" w:hAnsi="Arial Narrow"/>
                <w:snapToGrid w:val="0"/>
                <w:sz w:val="20"/>
                <w:lang w:eastAsia="en-US"/>
              </w:rPr>
              <w:t>–</w:t>
            </w:r>
            <w:r w:rsidRPr="00861E5C">
              <w:rPr>
                <w:rFonts w:ascii="Arial Narrow" w:hAnsi="Arial Narrow"/>
                <w:snapToGrid w:val="0"/>
                <w:sz w:val="20"/>
                <w:lang w:eastAsia="en-US"/>
              </w:rPr>
              <w:t>3 lung metastases, ≤ 50 mm, extrathoracic disease treated definitively</w:t>
            </w:r>
          </w:p>
          <w:p w14:paraId="1D222184"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41 (49 lesions) [intervention]</w:t>
            </w:r>
          </w:p>
          <w:p w14:paraId="416C79DA"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24 (33 lesions) [comparator]</w:t>
            </w:r>
          </w:p>
          <w:p w14:paraId="798B832C"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Size NR</w:t>
            </w:r>
          </w:p>
          <w:p w14:paraId="78342D29"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24 (59%): Females 17 (41%) [intervention]</w:t>
            </w:r>
          </w:p>
          <w:p w14:paraId="04B5799B"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14 (58%): Females 10 (42%) [comparator]</w:t>
            </w:r>
          </w:p>
          <w:p w14:paraId="4106DE97" w14:textId="4E8191D3"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70 (IQR 64</w:t>
            </w:r>
            <w:r w:rsidR="00D35E9C">
              <w:rPr>
                <w:rFonts w:ascii="Arial Narrow" w:hAnsi="Arial Narrow"/>
                <w:snapToGrid w:val="0"/>
                <w:sz w:val="20"/>
                <w:lang w:eastAsia="en-US"/>
              </w:rPr>
              <w:t>–</w:t>
            </w:r>
            <w:r w:rsidRPr="00861E5C">
              <w:rPr>
                <w:rFonts w:ascii="Arial Narrow" w:hAnsi="Arial Narrow"/>
                <w:snapToGrid w:val="0"/>
                <w:sz w:val="20"/>
                <w:lang w:eastAsia="en-US"/>
              </w:rPr>
              <w:t>79) years [intervention]</w:t>
            </w:r>
          </w:p>
          <w:p w14:paraId="3F9611EF" w14:textId="0D80743A"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67 (IQR 51</w:t>
            </w:r>
            <w:r w:rsidR="00D35E9C">
              <w:rPr>
                <w:rFonts w:ascii="Arial Narrow" w:hAnsi="Arial Narrow"/>
                <w:snapToGrid w:val="0"/>
                <w:sz w:val="20"/>
                <w:lang w:eastAsia="en-US"/>
              </w:rPr>
              <w:t>–</w:t>
            </w:r>
            <w:r w:rsidRPr="00861E5C">
              <w:rPr>
                <w:rFonts w:ascii="Arial Narrow" w:hAnsi="Arial Narrow"/>
                <w:snapToGrid w:val="0"/>
                <w:sz w:val="20"/>
                <w:lang w:eastAsia="en-US"/>
              </w:rPr>
              <w:t>76) years [comparator]</w:t>
            </w:r>
          </w:p>
          <w:p w14:paraId="7B3AD7CF" w14:textId="5D9D9446" w:rsidR="007908D7" w:rsidRDefault="007908D7" w:rsidP="001F220E">
            <w:pPr>
              <w:widowControl w:val="0"/>
              <w:spacing w:before="40" w:after="40" w:line="288" w:lineRule="auto"/>
              <w:jc w:val="left"/>
              <w:rPr>
                <w:rFonts w:ascii="Arial Narrow" w:hAnsi="Arial Narrow"/>
                <w:snapToGrid w:val="0"/>
                <w:sz w:val="20"/>
                <w:szCs w:val="20"/>
                <w:lang w:eastAsia="en-US"/>
              </w:rPr>
            </w:pPr>
            <w:r w:rsidRPr="007908D7">
              <w:rPr>
                <w:rFonts w:ascii="Arial Narrow" w:hAnsi="Arial Narrow"/>
                <w:snapToGrid w:val="0"/>
                <w:sz w:val="20"/>
                <w:szCs w:val="20"/>
                <w:lang w:eastAsia="en-US"/>
              </w:rPr>
              <w:t xml:space="preserve">Prior therapy [all patients]: 23 (40%) had prior pulmonary metastasectomy before </w:t>
            </w:r>
            <w:r w:rsidR="00A208C0">
              <w:rPr>
                <w:rFonts w:ascii="Arial Narrow" w:hAnsi="Arial Narrow"/>
                <w:snapToGrid w:val="0"/>
                <w:sz w:val="20"/>
                <w:szCs w:val="20"/>
                <w:lang w:eastAsia="en-US"/>
              </w:rPr>
              <w:t>SBRT</w:t>
            </w:r>
            <w:r w:rsidRPr="007908D7">
              <w:rPr>
                <w:rFonts w:ascii="Arial Narrow" w:hAnsi="Arial Narrow"/>
                <w:snapToGrid w:val="0"/>
                <w:sz w:val="20"/>
                <w:szCs w:val="20"/>
                <w:lang w:eastAsia="en-US"/>
              </w:rPr>
              <w:t xml:space="preserve">. 13 (20%) had systemic chemotherapy for metastatic disease before </w:t>
            </w:r>
            <w:r w:rsidR="00A208C0">
              <w:rPr>
                <w:rFonts w:ascii="Arial Narrow" w:hAnsi="Arial Narrow"/>
                <w:snapToGrid w:val="0"/>
                <w:sz w:val="20"/>
                <w:szCs w:val="20"/>
                <w:lang w:eastAsia="en-US"/>
              </w:rPr>
              <w:t>SBRT</w:t>
            </w:r>
            <w:r w:rsidRPr="007908D7">
              <w:rPr>
                <w:rFonts w:ascii="Arial Narrow" w:hAnsi="Arial Narrow"/>
                <w:snapToGrid w:val="0"/>
                <w:sz w:val="20"/>
                <w:szCs w:val="20"/>
                <w:lang w:eastAsia="en-US"/>
              </w:rPr>
              <w:t>. Of these, 2/13 had two lines of chemotherapy, whereas the remaining 11/13 patients had a single line of chemotherapy.</w:t>
            </w:r>
          </w:p>
          <w:p w14:paraId="1B76262C"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[intervention]: colorectal 10/41 (24%), lung 16/41 (39%), bone and soft tissue 4/41 (10%), other 12/41 (29%)</w:t>
            </w:r>
            <w:r w:rsidRPr="00861E5C">
              <w:rPr>
                <w:rFonts w:ascii="Arial Narrow" w:hAnsi="Arial Narrow"/>
                <w:b/>
                <w:snapToGrid w:val="0"/>
                <w:sz w:val="20"/>
                <w:szCs w:val="20"/>
                <w:lang w:eastAsia="en-US"/>
              </w:rPr>
              <w:t>*</w:t>
            </w:r>
          </w:p>
          <w:p w14:paraId="1EA3372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 [comparator]: colorectal 10 (43%), head and neck 7 (30%), other 6 (26%)</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tcPr>
          <w:p w14:paraId="7686E253"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Single-fraction SBRT</w:t>
            </w:r>
          </w:p>
          <w:p w14:paraId="2FA5753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18 GY in 1 fraction (</w:t>
            </w:r>
            <w:r w:rsidR="00C10752">
              <w:rPr>
                <w:rFonts w:ascii="Arial Narrow" w:hAnsi="Arial Narrow"/>
                <w:sz w:val="20"/>
                <w:szCs w:val="20"/>
              </w:rPr>
              <w:t xml:space="preserve">n = </w:t>
            </w:r>
            <w:r w:rsidRPr="00861E5C">
              <w:rPr>
                <w:rFonts w:ascii="Arial Narrow" w:hAnsi="Arial Narrow"/>
                <w:sz w:val="20"/>
                <w:szCs w:val="20"/>
              </w:rPr>
              <w:t>1/40, 2%)</w:t>
            </w:r>
          </w:p>
          <w:p w14:paraId="798EFB4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26 GY in 1 fraction (</w:t>
            </w:r>
            <w:r w:rsidR="00C10752">
              <w:rPr>
                <w:rFonts w:ascii="Arial Narrow" w:hAnsi="Arial Narrow"/>
                <w:sz w:val="20"/>
                <w:szCs w:val="20"/>
              </w:rPr>
              <w:t xml:space="preserve">n = </w:t>
            </w:r>
            <w:r w:rsidRPr="00861E5C">
              <w:rPr>
                <w:rFonts w:ascii="Arial Narrow" w:hAnsi="Arial Narrow"/>
                <w:sz w:val="20"/>
                <w:szCs w:val="20"/>
              </w:rPr>
              <w:t>39/40, 98%)</w:t>
            </w:r>
          </w:p>
          <w:p w14:paraId="7D4A9806"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31B71817"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Comparator: Multi-fraction SBRT</w:t>
            </w:r>
          </w:p>
          <w:p w14:paraId="5823F23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48 GY in 4 fractions (</w:t>
            </w:r>
            <w:r w:rsidR="00C10752">
              <w:rPr>
                <w:rFonts w:ascii="Arial Narrow" w:hAnsi="Arial Narrow"/>
                <w:sz w:val="20"/>
                <w:szCs w:val="20"/>
              </w:rPr>
              <w:t xml:space="preserve">n = </w:t>
            </w:r>
            <w:r w:rsidRPr="00861E5C">
              <w:rPr>
                <w:rFonts w:ascii="Arial Narrow" w:hAnsi="Arial Narrow"/>
                <w:sz w:val="20"/>
                <w:szCs w:val="20"/>
              </w:rPr>
              <w:t>14/24, 58%)</w:t>
            </w:r>
          </w:p>
          <w:p w14:paraId="760FE2DF"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49 GY in 7 fractions (</w:t>
            </w:r>
            <w:r w:rsidR="00C10752">
              <w:rPr>
                <w:rFonts w:ascii="Arial Narrow" w:hAnsi="Arial Narrow"/>
                <w:sz w:val="20"/>
                <w:szCs w:val="20"/>
              </w:rPr>
              <w:t xml:space="preserve">n = </w:t>
            </w:r>
            <w:r w:rsidRPr="00861E5C">
              <w:rPr>
                <w:rFonts w:ascii="Arial Narrow" w:hAnsi="Arial Narrow"/>
                <w:sz w:val="20"/>
                <w:szCs w:val="20"/>
              </w:rPr>
              <w:t>1/24, 4%)</w:t>
            </w:r>
          </w:p>
          <w:p w14:paraId="5A7F7C5F"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50 GY in 5 fractions (</w:t>
            </w:r>
            <w:r w:rsidR="00C10752">
              <w:rPr>
                <w:rFonts w:ascii="Arial Narrow" w:hAnsi="Arial Narrow"/>
                <w:sz w:val="20"/>
                <w:szCs w:val="20"/>
              </w:rPr>
              <w:t xml:space="preserve">n = </w:t>
            </w:r>
            <w:r w:rsidRPr="00861E5C">
              <w:rPr>
                <w:rFonts w:ascii="Arial Narrow" w:hAnsi="Arial Narrow"/>
                <w:sz w:val="20"/>
                <w:szCs w:val="20"/>
              </w:rPr>
              <w:t>9/24, 38%)</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7D32FFC" w14:textId="77777777" w:rsidR="00861E5C" w:rsidRPr="00861E5C" w:rsidRDefault="00861E5C" w:rsidP="001F220E">
            <w:pPr>
              <w:widowControl w:val="0"/>
              <w:numPr>
                <w:ilvl w:val="0"/>
                <w:numId w:val="19"/>
              </w:numPr>
              <w:spacing w:before="40" w:after="40" w:line="288" w:lineRule="auto"/>
              <w:ind w:left="316" w:hanging="316"/>
              <w:jc w:val="left"/>
              <w:rPr>
                <w:rFonts w:ascii="Arial Narrow" w:hAnsi="Arial Narrow"/>
                <w:snapToGrid w:val="0"/>
                <w:sz w:val="20"/>
                <w:lang w:eastAsia="en-US"/>
              </w:rPr>
            </w:pPr>
            <w:r w:rsidRPr="00861E5C">
              <w:rPr>
                <w:rFonts w:ascii="Arial Narrow" w:hAnsi="Arial Narrow"/>
                <w:snapToGrid w:val="0"/>
                <w:sz w:val="20"/>
                <w:lang w:eastAsia="en-US"/>
              </w:rPr>
              <w:t>Overall survival: time from SBRT to death (calculated with Kaplan-Meier method)</w:t>
            </w:r>
          </w:p>
          <w:p w14:paraId="2BE4D0D5" w14:textId="77777777" w:rsidR="00861E5C" w:rsidRPr="00861E5C" w:rsidRDefault="00861E5C" w:rsidP="001F220E">
            <w:pPr>
              <w:widowControl w:val="0"/>
              <w:numPr>
                <w:ilvl w:val="0"/>
                <w:numId w:val="19"/>
              </w:numPr>
              <w:spacing w:before="40" w:after="40" w:line="288" w:lineRule="auto"/>
              <w:ind w:left="316" w:hanging="316"/>
              <w:jc w:val="left"/>
              <w:rPr>
                <w:rFonts w:ascii="Arial Narrow" w:hAnsi="Arial Narrow"/>
                <w:snapToGrid w:val="0"/>
                <w:sz w:val="20"/>
                <w:lang w:eastAsia="en-US"/>
              </w:rPr>
            </w:pPr>
            <w:r w:rsidRPr="00861E5C">
              <w:rPr>
                <w:rFonts w:ascii="Arial Narrow" w:hAnsi="Arial Narrow"/>
                <w:snapToGrid w:val="0"/>
                <w:sz w:val="20"/>
                <w:lang w:eastAsia="en-US"/>
              </w:rPr>
              <w:t>Local control: failure defined as the combination of a CT demonstrable serially enlarging mass as per RECIST criteria, with the absence of air bronchograms and FDG avidity on PET scanning</w:t>
            </w:r>
          </w:p>
          <w:p w14:paraId="042C3FA4" w14:textId="77777777" w:rsidR="00861E5C" w:rsidRPr="00861E5C" w:rsidRDefault="00861E5C" w:rsidP="001F220E">
            <w:pPr>
              <w:widowControl w:val="0"/>
              <w:numPr>
                <w:ilvl w:val="0"/>
                <w:numId w:val="19"/>
              </w:numPr>
              <w:spacing w:before="40" w:after="40" w:line="288" w:lineRule="auto"/>
              <w:ind w:left="316" w:hanging="316"/>
              <w:jc w:val="left"/>
              <w:rPr>
                <w:rFonts w:ascii="Arial Narrow" w:hAnsi="Arial Narrow"/>
                <w:snapToGrid w:val="0"/>
                <w:sz w:val="20"/>
                <w:lang w:eastAsia="en-US"/>
              </w:rPr>
            </w:pPr>
            <w:r w:rsidRPr="00861E5C">
              <w:rPr>
                <w:rFonts w:ascii="Arial Narrow" w:hAnsi="Arial Narrow"/>
                <w:snapToGrid w:val="0"/>
                <w:sz w:val="20"/>
                <w:lang w:eastAsia="en-US"/>
              </w:rPr>
              <w:t>Adverse events: CTCAE v4.0</w:t>
            </w:r>
          </w:p>
        </w:tc>
      </w:tr>
      <w:tr w:rsidR="00861E5C" w:rsidRPr="00861E5C" w14:paraId="35646D45"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751EAD54"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Widder et al (2013)</w:t>
            </w:r>
          </w:p>
          <w:p w14:paraId="34EC6B4C"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Netherlands</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tcPr>
          <w:p w14:paraId="6CDD1F25"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cohort</w:t>
            </w:r>
          </w:p>
          <w:p w14:paraId="7A00B4C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III-2</w:t>
            </w:r>
          </w:p>
          <w:p w14:paraId="0824AE6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Moderate</w:t>
            </w:r>
          </w:p>
          <w:p w14:paraId="0242A8F7" w14:textId="1AC82E53"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43 (IQR 36</w:t>
            </w:r>
            <w:r w:rsidR="00D35E9C">
              <w:rPr>
                <w:rFonts w:ascii="Arial Narrow" w:hAnsi="Arial Narrow"/>
                <w:sz w:val="20"/>
                <w:szCs w:val="20"/>
              </w:rPr>
              <w:t>–</w:t>
            </w:r>
            <w:r w:rsidRPr="00861E5C">
              <w:rPr>
                <w:rFonts w:ascii="Arial Narrow" w:hAnsi="Arial Narrow"/>
                <w:sz w:val="20"/>
                <w:szCs w:val="20"/>
              </w:rPr>
              <w:t>60) months</w:t>
            </w:r>
          </w:p>
          <w:p w14:paraId="5258CA85" w14:textId="77777777" w:rsidR="00861E5C" w:rsidRPr="00861E5C" w:rsidRDefault="00861E5C" w:rsidP="001F220E">
            <w:pPr>
              <w:widowControl w:val="0"/>
              <w:spacing w:before="40" w:after="40" w:line="288" w:lineRule="auto"/>
              <w:jc w:val="left"/>
              <w:rPr>
                <w:rFonts w:ascii="Arial Narrow" w:hAnsi="Arial Narrow"/>
                <w:sz w:val="20"/>
                <w:szCs w:val="20"/>
              </w:rPr>
            </w:pP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tcPr>
          <w:p w14:paraId="335E3267" w14:textId="56635011"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1</w:t>
            </w:r>
            <w:r w:rsidR="00D35E9C">
              <w:rPr>
                <w:rFonts w:ascii="Arial Narrow" w:hAnsi="Arial Narrow"/>
                <w:snapToGrid w:val="0"/>
                <w:sz w:val="20"/>
                <w:lang w:eastAsia="en-US"/>
              </w:rPr>
              <w:t>–</w:t>
            </w:r>
            <w:r w:rsidRPr="00861E5C">
              <w:rPr>
                <w:rFonts w:ascii="Arial Narrow" w:hAnsi="Arial Narrow"/>
                <w:snapToGrid w:val="0"/>
                <w:sz w:val="20"/>
                <w:lang w:eastAsia="en-US"/>
              </w:rPr>
              <w:t>5 lung metastases treated with curative intent (all visible lesions amenable to treatment), primary tumour curatively resected</w:t>
            </w:r>
          </w:p>
          <w:p w14:paraId="3FC05AF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42 (NR lesions) [intervention]</w:t>
            </w:r>
          </w:p>
          <w:p w14:paraId="516F268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68 (NR lesions) [comparator]</w:t>
            </w:r>
          </w:p>
          <w:p w14:paraId="3026C11F" w14:textId="1020BA20"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Mean largest size 17 (14</w:t>
            </w:r>
            <w:r w:rsidR="00D35E9C">
              <w:rPr>
                <w:rFonts w:ascii="Arial Narrow" w:hAnsi="Arial Narrow"/>
                <w:snapToGrid w:val="0"/>
                <w:sz w:val="20"/>
                <w:lang w:eastAsia="en-US"/>
              </w:rPr>
              <w:t>–</w:t>
            </w:r>
            <w:r w:rsidRPr="00861E5C">
              <w:rPr>
                <w:rFonts w:ascii="Arial Narrow" w:hAnsi="Arial Narrow"/>
                <w:snapToGrid w:val="0"/>
                <w:sz w:val="20"/>
                <w:lang w:eastAsia="en-US"/>
              </w:rPr>
              <w:t>20) mm [intervention]</w:t>
            </w:r>
          </w:p>
          <w:p w14:paraId="59CB8A31" w14:textId="25520133"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Mean largest size 20 (17</w:t>
            </w:r>
            <w:r w:rsidR="00D35E9C">
              <w:rPr>
                <w:rFonts w:ascii="Arial Narrow" w:hAnsi="Arial Narrow"/>
                <w:snapToGrid w:val="0"/>
                <w:sz w:val="20"/>
                <w:lang w:eastAsia="en-US"/>
              </w:rPr>
              <w:t>–</w:t>
            </w:r>
            <w:r w:rsidRPr="00861E5C">
              <w:rPr>
                <w:rFonts w:ascii="Arial Narrow" w:hAnsi="Arial Narrow"/>
                <w:snapToGrid w:val="0"/>
                <w:sz w:val="20"/>
                <w:lang w:eastAsia="en-US"/>
              </w:rPr>
              <w:t>24) mm [comparator]</w:t>
            </w:r>
          </w:p>
          <w:p w14:paraId="70816206"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27 (64%): Females 15 (36%) [intervention]</w:t>
            </w:r>
          </w:p>
          <w:p w14:paraId="2E9A736C"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37 (54%): Females 31 (46%) [comparator]</w:t>
            </w:r>
          </w:p>
          <w:p w14:paraId="764AB7CB" w14:textId="134977DC"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70 (49</w:t>
            </w:r>
            <w:r w:rsidR="00D35E9C">
              <w:rPr>
                <w:rFonts w:ascii="Arial Narrow" w:hAnsi="Arial Narrow"/>
                <w:snapToGrid w:val="0"/>
                <w:sz w:val="20"/>
                <w:lang w:eastAsia="en-US"/>
              </w:rPr>
              <w:t>–</w:t>
            </w:r>
            <w:r w:rsidRPr="00861E5C">
              <w:rPr>
                <w:rFonts w:ascii="Arial Narrow" w:hAnsi="Arial Narrow"/>
                <w:snapToGrid w:val="0"/>
                <w:sz w:val="20"/>
                <w:lang w:eastAsia="en-US"/>
              </w:rPr>
              <w:t>89) years [intervention]</w:t>
            </w:r>
          </w:p>
          <w:p w14:paraId="2B79E47A" w14:textId="6BBE72D0"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61 (18</w:t>
            </w:r>
            <w:r w:rsidR="00D35E9C">
              <w:rPr>
                <w:rFonts w:ascii="Arial Narrow" w:hAnsi="Arial Narrow"/>
                <w:snapToGrid w:val="0"/>
                <w:sz w:val="20"/>
                <w:lang w:eastAsia="en-US"/>
              </w:rPr>
              <w:t>–</w:t>
            </w:r>
            <w:r w:rsidRPr="00861E5C">
              <w:rPr>
                <w:rFonts w:ascii="Arial Narrow" w:hAnsi="Arial Narrow"/>
                <w:snapToGrid w:val="0"/>
                <w:sz w:val="20"/>
                <w:lang w:eastAsia="en-US"/>
              </w:rPr>
              <w:t>81) years [comparator]</w:t>
            </w:r>
            <w:r w:rsidRPr="00861E5C">
              <w:rPr>
                <w:rFonts w:ascii="Arial Narrow" w:hAnsi="Arial Narrow"/>
                <w:b/>
                <w:snapToGrid w:val="0"/>
                <w:sz w:val="20"/>
                <w:lang w:eastAsia="en-US"/>
              </w:rPr>
              <w:t>*</w:t>
            </w:r>
          </w:p>
          <w:p w14:paraId="7E3EEE5D"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[intervention]: Chemo 13/42 (31%)</w:t>
            </w:r>
            <w:r w:rsidRPr="00861E5C">
              <w:rPr>
                <w:rFonts w:ascii="Arial Narrow" w:hAnsi="Arial Narrow"/>
                <w:b/>
                <w:snapToGrid w:val="0"/>
                <w:sz w:val="20"/>
                <w:szCs w:val="20"/>
                <w:lang w:eastAsia="en-US"/>
              </w:rPr>
              <w:t>*</w:t>
            </w:r>
          </w:p>
          <w:p w14:paraId="4F4B6204"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[comparator]: Chemo 8/68 (12%)</w:t>
            </w:r>
          </w:p>
          <w:p w14:paraId="19FC1397"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[intervention]: colorectal 31/42 (74%), NSCLC 6/42 (14%), other 5/42 (12%)</w:t>
            </w:r>
            <w:r w:rsidRPr="00861E5C">
              <w:rPr>
                <w:rFonts w:ascii="Arial Narrow" w:hAnsi="Arial Narrow"/>
                <w:b/>
                <w:snapToGrid w:val="0"/>
                <w:sz w:val="20"/>
                <w:szCs w:val="20"/>
                <w:lang w:eastAsia="en-US"/>
              </w:rPr>
              <w:t>*</w:t>
            </w:r>
          </w:p>
          <w:p w14:paraId="76883D0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 [comparator]: colorectal 39/68 (57%), sarcoma 18/68 (27%), other 11/68 (16%)</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tcPr>
          <w:p w14:paraId="639B1A93"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5057672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3 fractions (</w:t>
            </w:r>
            <w:r w:rsidR="00C10752">
              <w:rPr>
                <w:rFonts w:ascii="Arial Narrow" w:hAnsi="Arial Narrow"/>
                <w:sz w:val="20"/>
                <w:szCs w:val="20"/>
              </w:rPr>
              <w:t xml:space="preserve">n = </w:t>
            </w:r>
            <w:r w:rsidRPr="00861E5C">
              <w:rPr>
                <w:rFonts w:ascii="Arial Narrow" w:hAnsi="Arial Narrow"/>
                <w:sz w:val="20"/>
                <w:szCs w:val="20"/>
              </w:rPr>
              <w:t>23/42, 55%)</w:t>
            </w:r>
          </w:p>
          <w:p w14:paraId="441DE0C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5 fractions (</w:t>
            </w:r>
            <w:r w:rsidR="00C10752">
              <w:rPr>
                <w:rFonts w:ascii="Arial Narrow" w:hAnsi="Arial Narrow"/>
                <w:sz w:val="20"/>
                <w:szCs w:val="20"/>
              </w:rPr>
              <w:t xml:space="preserve">n = </w:t>
            </w:r>
            <w:r w:rsidRPr="00861E5C">
              <w:rPr>
                <w:rFonts w:ascii="Arial Narrow" w:hAnsi="Arial Narrow"/>
                <w:sz w:val="20"/>
                <w:szCs w:val="20"/>
              </w:rPr>
              <w:t>9/42, 21%)</w:t>
            </w:r>
          </w:p>
          <w:p w14:paraId="4945B57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8 fractions (</w:t>
            </w:r>
            <w:r w:rsidR="00C10752">
              <w:rPr>
                <w:rFonts w:ascii="Arial Narrow" w:hAnsi="Arial Narrow"/>
                <w:sz w:val="20"/>
                <w:szCs w:val="20"/>
              </w:rPr>
              <w:t xml:space="preserve">n = </w:t>
            </w:r>
            <w:r w:rsidRPr="00861E5C">
              <w:rPr>
                <w:rFonts w:ascii="Arial Narrow" w:hAnsi="Arial Narrow"/>
                <w:sz w:val="20"/>
                <w:szCs w:val="20"/>
              </w:rPr>
              <w:t>10/42, 24%)</w:t>
            </w:r>
          </w:p>
          <w:p w14:paraId="124FA1C0"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13FCFE79"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Comparator: Surgical resection</w:t>
            </w:r>
          </w:p>
          <w:p w14:paraId="6BBB128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Wedge resection (</w:t>
            </w:r>
            <w:r w:rsidR="00C10752">
              <w:rPr>
                <w:rFonts w:ascii="Arial Narrow" w:hAnsi="Arial Narrow"/>
                <w:sz w:val="20"/>
                <w:szCs w:val="20"/>
              </w:rPr>
              <w:t xml:space="preserve">n = </w:t>
            </w:r>
            <w:r w:rsidRPr="00861E5C">
              <w:rPr>
                <w:rFonts w:ascii="Arial Narrow" w:hAnsi="Arial Narrow"/>
                <w:sz w:val="20"/>
                <w:szCs w:val="20"/>
              </w:rPr>
              <w:t>52/68, 76%)</w:t>
            </w:r>
          </w:p>
          <w:p w14:paraId="02C2326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Lobectomy (</w:t>
            </w:r>
            <w:r w:rsidR="00C10752">
              <w:rPr>
                <w:rFonts w:ascii="Arial Narrow" w:hAnsi="Arial Narrow"/>
                <w:sz w:val="20"/>
                <w:szCs w:val="20"/>
              </w:rPr>
              <w:t xml:space="preserve">n = </w:t>
            </w:r>
            <w:r w:rsidRPr="00861E5C">
              <w:rPr>
                <w:rFonts w:ascii="Arial Narrow" w:hAnsi="Arial Narrow"/>
                <w:sz w:val="20"/>
                <w:szCs w:val="20"/>
              </w:rPr>
              <w:t>15/68, 22%)</w:t>
            </w:r>
          </w:p>
          <w:p w14:paraId="6F13D11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Pneumonectomy (</w:t>
            </w:r>
            <w:r w:rsidR="00C10752">
              <w:rPr>
                <w:rFonts w:ascii="Arial Narrow" w:hAnsi="Arial Narrow"/>
                <w:sz w:val="20"/>
                <w:szCs w:val="20"/>
              </w:rPr>
              <w:t xml:space="preserve">n = </w:t>
            </w:r>
            <w:r w:rsidRPr="00861E5C">
              <w:rPr>
                <w:rFonts w:ascii="Arial Narrow" w:hAnsi="Arial Narrow"/>
                <w:sz w:val="20"/>
                <w:szCs w:val="20"/>
              </w:rPr>
              <w:t>1/68, 1%)</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64A1483" w14:textId="77777777" w:rsidR="00861E5C" w:rsidRPr="00861E5C" w:rsidRDefault="00861E5C" w:rsidP="001F220E">
            <w:pPr>
              <w:widowControl w:val="0"/>
              <w:numPr>
                <w:ilvl w:val="0"/>
                <w:numId w:val="18"/>
              </w:numPr>
              <w:spacing w:before="40" w:after="40" w:line="288" w:lineRule="auto"/>
              <w:ind w:left="316" w:hanging="316"/>
              <w:jc w:val="left"/>
              <w:rPr>
                <w:rFonts w:ascii="Arial Narrow" w:hAnsi="Arial Narrow"/>
                <w:snapToGrid w:val="0"/>
                <w:sz w:val="20"/>
                <w:lang w:eastAsia="en-US"/>
              </w:rPr>
            </w:pPr>
            <w:r w:rsidRPr="00861E5C">
              <w:rPr>
                <w:rFonts w:ascii="Arial Narrow" w:hAnsi="Arial Narrow"/>
                <w:snapToGrid w:val="0"/>
                <w:sz w:val="20"/>
                <w:lang w:eastAsia="en-US"/>
              </w:rPr>
              <w:t>Overall survival: time from  treatment to death by any cause (calculated with Kaplan-Meier method)</w:t>
            </w:r>
          </w:p>
          <w:p w14:paraId="4301C161" w14:textId="77777777" w:rsidR="00861E5C" w:rsidRPr="00861E5C" w:rsidRDefault="00861E5C" w:rsidP="001F220E">
            <w:pPr>
              <w:widowControl w:val="0"/>
              <w:numPr>
                <w:ilvl w:val="0"/>
                <w:numId w:val="18"/>
              </w:numPr>
              <w:spacing w:before="40" w:after="40" w:line="288" w:lineRule="auto"/>
              <w:ind w:left="316" w:hanging="316"/>
              <w:jc w:val="left"/>
              <w:rPr>
                <w:rFonts w:ascii="Arial Narrow" w:hAnsi="Arial Narrow"/>
                <w:snapToGrid w:val="0"/>
                <w:sz w:val="20"/>
                <w:lang w:eastAsia="en-US"/>
              </w:rPr>
            </w:pPr>
            <w:r w:rsidRPr="00861E5C">
              <w:rPr>
                <w:rFonts w:ascii="Arial Narrow" w:hAnsi="Arial Narrow"/>
                <w:snapToGrid w:val="0"/>
                <w:sz w:val="20"/>
                <w:lang w:eastAsia="en-US"/>
              </w:rPr>
              <w:t>Progression-free survival: RECIST criteria or death measured as an event (calculated with Kaplan-Meier method)</w:t>
            </w:r>
          </w:p>
        </w:tc>
      </w:tr>
      <w:tr w:rsidR="00861E5C" w:rsidRPr="00861E5C" w14:paraId="60829476"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68C0D165"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 xml:space="preserve">Yu et al </w:t>
            </w:r>
          </w:p>
          <w:p w14:paraId="482E0E05"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(2014)</w:t>
            </w:r>
          </w:p>
          <w:p w14:paraId="29DCB919"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China</w:t>
            </w:r>
          </w:p>
        </w:tc>
        <w:tc>
          <w:tcPr>
            <w:tcW w:w="634" w:type="pct"/>
            <w:tcBorders>
              <w:top w:val="single" w:sz="4" w:space="0" w:color="auto"/>
              <w:left w:val="single" w:sz="4" w:space="0" w:color="auto"/>
              <w:bottom w:val="single" w:sz="4" w:space="0" w:color="auto"/>
              <w:right w:val="single" w:sz="4" w:space="0" w:color="auto"/>
            </w:tcBorders>
            <w:shd w:val="clear" w:color="auto" w:fill="FFFFFF" w:themeFill="background1"/>
          </w:tcPr>
          <w:p w14:paraId="13B5C16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cohort</w:t>
            </w:r>
          </w:p>
          <w:p w14:paraId="3EC99E01"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III-2</w:t>
            </w:r>
          </w:p>
          <w:p w14:paraId="57BF636E"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64564F58" w14:textId="45A5FBDA"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30 (5</w:t>
            </w:r>
            <w:r w:rsidR="00D35E9C">
              <w:rPr>
                <w:rFonts w:ascii="Arial Narrow" w:hAnsi="Arial Narrow"/>
                <w:sz w:val="20"/>
                <w:szCs w:val="20"/>
              </w:rPr>
              <w:t>–</w:t>
            </w:r>
            <w:r w:rsidRPr="00861E5C">
              <w:rPr>
                <w:rFonts w:ascii="Arial Narrow" w:hAnsi="Arial Narrow"/>
                <w:sz w:val="20"/>
                <w:szCs w:val="20"/>
              </w:rPr>
              <w:t>96) months</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tcPr>
          <w:p w14:paraId="5E2EE1BF" w14:textId="5AF8C74C"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osteosarcoma lung metastases, no other metastases, complete resectability</w:t>
            </w:r>
          </w:p>
          <w:p w14:paraId="4797431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27 (NR lesions) [intervention]</w:t>
            </w:r>
          </w:p>
          <w:p w14:paraId="10F68A80"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31 (NR lesions) [comparator]</w:t>
            </w:r>
          </w:p>
          <w:p w14:paraId="5D2C179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Size NR</w:t>
            </w:r>
          </w:p>
          <w:p w14:paraId="7F927D9B"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19 (70%): Females 8 (30%) [intervention]</w:t>
            </w:r>
          </w:p>
          <w:p w14:paraId="31E99D85"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22 (71%): Females 9 (29%) [comparator]</w:t>
            </w:r>
          </w:p>
          <w:p w14:paraId="6A4CB4AE" w14:textId="3AD130A0"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21 (8</w:t>
            </w:r>
            <w:r w:rsidR="00D35E9C">
              <w:rPr>
                <w:rFonts w:ascii="Arial Narrow" w:hAnsi="Arial Narrow"/>
                <w:snapToGrid w:val="0"/>
                <w:sz w:val="20"/>
                <w:lang w:eastAsia="en-US"/>
              </w:rPr>
              <w:t>–</w:t>
            </w:r>
            <w:r w:rsidRPr="00861E5C">
              <w:rPr>
                <w:rFonts w:ascii="Arial Narrow" w:hAnsi="Arial Narrow"/>
                <w:snapToGrid w:val="0"/>
                <w:sz w:val="20"/>
                <w:lang w:eastAsia="en-US"/>
              </w:rPr>
              <w:t>59) years</w:t>
            </w:r>
          </w:p>
          <w:p w14:paraId="1BBC6E59" w14:textId="64D520EA"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[intervention]: amputation 11/27 (41%) limb salvage 16/27 (59%)</w:t>
            </w:r>
          </w:p>
          <w:p w14:paraId="26E21ED4" w14:textId="5F5CA5E5"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[comparator]: amputation 15/31 (48%) limb salvage 16/31 (52%)</w:t>
            </w:r>
          </w:p>
          <w:p w14:paraId="4BC58454"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sarcoma (100%)</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tcPr>
          <w:p w14:paraId="73727822"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0977A69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Range 50 Gy in 10 fractions to 70 Gy in 10 fractions (</w:t>
            </w:r>
            <w:r w:rsidR="00C10752">
              <w:rPr>
                <w:rFonts w:ascii="Arial Narrow" w:hAnsi="Arial Narrow"/>
                <w:sz w:val="20"/>
                <w:szCs w:val="20"/>
              </w:rPr>
              <w:t xml:space="preserve">n = </w:t>
            </w:r>
            <w:r w:rsidRPr="00861E5C">
              <w:rPr>
                <w:rFonts w:ascii="Arial Narrow" w:hAnsi="Arial Narrow"/>
                <w:sz w:val="20"/>
                <w:szCs w:val="20"/>
              </w:rPr>
              <w:t>27/27, 100%)</w:t>
            </w:r>
          </w:p>
          <w:p w14:paraId="4E3EBA9C"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p>
          <w:p w14:paraId="5789BEA6" w14:textId="77777777" w:rsidR="00861E5C" w:rsidRPr="00861E5C" w:rsidRDefault="00861E5C" w:rsidP="001F220E">
            <w:pPr>
              <w:widowControl w:val="0"/>
              <w:spacing w:before="40" w:after="40" w:line="288" w:lineRule="auto"/>
              <w:jc w:val="left"/>
              <w:rPr>
                <w:rFonts w:ascii="Arial Narrow" w:hAnsi="Arial Narrow"/>
                <w:snapToGrid w:val="0"/>
                <w:sz w:val="20"/>
                <w:u w:val="single"/>
                <w:lang w:eastAsia="en-US"/>
              </w:rPr>
            </w:pPr>
            <w:r w:rsidRPr="00861E5C">
              <w:rPr>
                <w:rFonts w:ascii="Arial Narrow" w:hAnsi="Arial Narrow"/>
                <w:snapToGrid w:val="0"/>
                <w:sz w:val="20"/>
                <w:u w:val="single"/>
                <w:lang w:eastAsia="en-US"/>
              </w:rPr>
              <w:t>Comparator: Surgical resection</w:t>
            </w:r>
          </w:p>
          <w:p w14:paraId="5A63C730" w14:textId="77777777"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Wedge resection (</w:t>
            </w:r>
            <w:r w:rsidR="00C10752">
              <w:rPr>
                <w:rFonts w:ascii="Arial Narrow" w:hAnsi="Arial Narrow"/>
                <w:snapToGrid w:val="0"/>
                <w:sz w:val="20"/>
                <w:lang w:eastAsia="en-US"/>
              </w:rPr>
              <w:t xml:space="preserve">n = </w:t>
            </w:r>
            <w:r w:rsidRPr="00861E5C">
              <w:rPr>
                <w:rFonts w:ascii="Arial Narrow" w:hAnsi="Arial Narrow"/>
                <w:snapToGrid w:val="0"/>
                <w:sz w:val="20"/>
                <w:lang w:eastAsia="en-US"/>
              </w:rPr>
              <w:t>14/31, 45%)</w:t>
            </w:r>
          </w:p>
          <w:p w14:paraId="40DD50F5"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Lobectomy (</w:t>
            </w:r>
            <w:r w:rsidR="00C10752">
              <w:rPr>
                <w:rFonts w:ascii="Arial Narrow" w:hAnsi="Arial Narrow"/>
                <w:snapToGrid w:val="0"/>
                <w:sz w:val="20"/>
                <w:lang w:eastAsia="en-US"/>
              </w:rPr>
              <w:t xml:space="preserve">n = </w:t>
            </w:r>
            <w:r w:rsidRPr="00861E5C">
              <w:rPr>
                <w:rFonts w:ascii="Arial Narrow" w:hAnsi="Arial Narrow"/>
                <w:snapToGrid w:val="0"/>
                <w:sz w:val="20"/>
                <w:lang w:eastAsia="en-US"/>
              </w:rPr>
              <w:t>17/31, 55%)</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5779CA7" w14:textId="77777777" w:rsidR="00861E5C" w:rsidRPr="00861E5C" w:rsidRDefault="00861E5C" w:rsidP="001F220E">
            <w:pPr>
              <w:widowControl w:val="0"/>
              <w:numPr>
                <w:ilvl w:val="0"/>
                <w:numId w:val="44"/>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date of pulmonary metastases until death or last follow-up (calculated with Kaplan-Meier method)</w:t>
            </w:r>
          </w:p>
          <w:p w14:paraId="58C15762" w14:textId="77777777" w:rsidR="00861E5C" w:rsidRPr="00861E5C" w:rsidRDefault="00861E5C" w:rsidP="001F220E">
            <w:pPr>
              <w:widowControl w:val="0"/>
              <w:numPr>
                <w:ilvl w:val="0"/>
                <w:numId w:val="44"/>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 xml:space="preserve">Progression-free survival: date of pulmonary metastases until progress or last follow-up (calculated with Kaplan-Meier method) - progress defined by RECIST criteria v1.1 - explicit definition not provided </w:t>
            </w:r>
          </w:p>
          <w:p w14:paraId="0C422498" w14:textId="77777777" w:rsidR="00861E5C" w:rsidRPr="00861E5C" w:rsidRDefault="00861E5C" w:rsidP="001F220E">
            <w:pPr>
              <w:widowControl w:val="0"/>
              <w:numPr>
                <w:ilvl w:val="0"/>
                <w:numId w:val="44"/>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v3.0, radiation reaction RTOG</w:t>
            </w:r>
          </w:p>
        </w:tc>
      </w:tr>
      <w:tr w:rsidR="00861E5C" w:rsidRPr="00861E5C" w14:paraId="5776F74A"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0C866A62"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Agolli et al (2015)</w:t>
            </w:r>
          </w:p>
          <w:p w14:paraId="1BABDA37"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Italy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2ADF34B1"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CS</w:t>
            </w:r>
          </w:p>
          <w:p w14:paraId="4FF5336E"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0CC2E79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2C3B638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18 (range NR)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7D65D315"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 4 lung metastases with primary under control, and no other active sites of distant metastasis</w:t>
            </w:r>
          </w:p>
          <w:p w14:paraId="465FD0C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22 (29 lesions)</w:t>
            </w:r>
          </w:p>
          <w:p w14:paraId="64DA3232"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maximal diameter 17 (9–45) mm</w:t>
            </w:r>
          </w:p>
          <w:p w14:paraId="21C48D52"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15 (68%): Females 7 (32%)</w:t>
            </w:r>
          </w:p>
          <w:p w14:paraId="0C6E3E83"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Mean age 66 (52–85) years</w:t>
            </w:r>
          </w:p>
          <w:p w14:paraId="7C60D225"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Prior therapy: </w:t>
            </w:r>
            <w:r w:rsidR="007908D7">
              <w:rPr>
                <w:rFonts w:ascii="Arial Narrow" w:hAnsi="Arial Narrow"/>
                <w:snapToGrid w:val="0"/>
                <w:sz w:val="20"/>
                <w:szCs w:val="20"/>
                <w:lang w:eastAsia="en-US"/>
              </w:rPr>
              <w:t>surgery +/- chemoradiotherapy 13/22 (59</w:t>
            </w:r>
            <w:r w:rsidRPr="00861E5C">
              <w:rPr>
                <w:rFonts w:ascii="Arial Narrow" w:hAnsi="Arial Narrow"/>
                <w:snapToGrid w:val="0"/>
                <w:sz w:val="20"/>
                <w:szCs w:val="20"/>
                <w:lang w:eastAsia="en-US"/>
              </w:rPr>
              <w:t xml:space="preserve">%), definitive chemoradiotherapy </w:t>
            </w:r>
            <w:r w:rsidR="007908D7">
              <w:rPr>
                <w:rFonts w:ascii="Arial Narrow" w:hAnsi="Arial Narrow"/>
                <w:snapToGrid w:val="0"/>
                <w:sz w:val="20"/>
                <w:szCs w:val="20"/>
                <w:lang w:eastAsia="en-US"/>
              </w:rPr>
              <w:t>3/22 (14%), chemotherapy alone 5</w:t>
            </w:r>
            <w:r w:rsidRPr="00861E5C">
              <w:rPr>
                <w:rFonts w:ascii="Arial Narrow" w:hAnsi="Arial Narrow"/>
                <w:snapToGrid w:val="0"/>
                <w:sz w:val="20"/>
                <w:szCs w:val="20"/>
                <w:lang w:eastAsia="en-US"/>
              </w:rPr>
              <w:t>/22 (</w:t>
            </w:r>
            <w:r w:rsidR="007908D7">
              <w:rPr>
                <w:rFonts w:ascii="Arial Narrow" w:hAnsi="Arial Narrow"/>
                <w:snapToGrid w:val="0"/>
                <w:sz w:val="20"/>
                <w:szCs w:val="20"/>
                <w:lang w:eastAsia="en-US"/>
              </w:rPr>
              <w:t>22</w:t>
            </w:r>
            <w:r w:rsidRPr="00861E5C">
              <w:rPr>
                <w:rFonts w:ascii="Arial Narrow" w:hAnsi="Arial Narrow"/>
                <w:snapToGrid w:val="0"/>
                <w:sz w:val="20"/>
                <w:szCs w:val="20"/>
                <w:lang w:eastAsia="en-US"/>
              </w:rPr>
              <w:t>%), SBRT 1/22 (5%)</w:t>
            </w:r>
          </w:p>
          <w:p w14:paraId="296ADC3D" w14:textId="1C2A7792" w:rsidR="00861E5C" w:rsidRPr="00861E5C" w:rsidRDefault="00861E5C" w:rsidP="00A4761F">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 xml:space="preserve">Primary cancer: adenocarcinoma 14/22 (64%), squamous cell carcinoma 7/22 (32%), </w:t>
            </w:r>
            <w:r w:rsidR="00A4761F">
              <w:rPr>
                <w:rFonts w:ascii="Arial Narrow" w:hAnsi="Arial Narrow"/>
                <w:snapToGrid w:val="0"/>
                <w:sz w:val="20"/>
                <w:szCs w:val="20"/>
                <w:lang w:eastAsia="en-US"/>
              </w:rPr>
              <w:t>NR</w:t>
            </w:r>
            <w:r w:rsidRPr="00861E5C">
              <w:rPr>
                <w:rFonts w:ascii="Arial Narrow" w:hAnsi="Arial Narrow"/>
                <w:snapToGrid w:val="0"/>
                <w:sz w:val="20"/>
                <w:szCs w:val="20"/>
                <w:lang w:eastAsia="en-US"/>
              </w:rPr>
              <w:t xml:space="preserve"> 1/22 (4%) </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038FE150"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41C362A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23 Gy in 1 fraction (</w:t>
            </w:r>
            <w:r w:rsidR="00C10752">
              <w:rPr>
                <w:rFonts w:ascii="Arial Narrow" w:hAnsi="Arial Narrow"/>
                <w:sz w:val="20"/>
                <w:szCs w:val="20"/>
              </w:rPr>
              <w:t xml:space="preserve">n = </w:t>
            </w:r>
            <w:r w:rsidRPr="00861E5C">
              <w:rPr>
                <w:rFonts w:ascii="Arial Narrow" w:hAnsi="Arial Narrow"/>
                <w:sz w:val="20"/>
                <w:szCs w:val="20"/>
              </w:rPr>
              <w:t>10/29, 34%)</w:t>
            </w:r>
          </w:p>
          <w:p w14:paraId="7FAD4B8E"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30 Gy in 1 fraction (</w:t>
            </w:r>
            <w:r w:rsidR="00C10752">
              <w:rPr>
                <w:rFonts w:ascii="Arial Narrow" w:hAnsi="Arial Narrow"/>
                <w:sz w:val="20"/>
                <w:szCs w:val="20"/>
              </w:rPr>
              <w:t xml:space="preserve">n = </w:t>
            </w:r>
            <w:r w:rsidRPr="00861E5C">
              <w:rPr>
                <w:rFonts w:ascii="Arial Narrow" w:hAnsi="Arial Narrow"/>
                <w:sz w:val="20"/>
                <w:szCs w:val="20"/>
              </w:rPr>
              <w:t>12/29, 41%)</w:t>
            </w:r>
          </w:p>
          <w:p w14:paraId="36387615"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45 Gy in 3 fractions (</w:t>
            </w:r>
            <w:r w:rsidR="00C10752">
              <w:rPr>
                <w:rFonts w:ascii="Arial Narrow" w:hAnsi="Arial Narrow"/>
                <w:sz w:val="20"/>
                <w:szCs w:val="20"/>
              </w:rPr>
              <w:t xml:space="preserve">n = </w:t>
            </w:r>
            <w:r w:rsidRPr="00861E5C">
              <w:rPr>
                <w:rFonts w:ascii="Arial Narrow" w:hAnsi="Arial Narrow"/>
                <w:sz w:val="20"/>
                <w:szCs w:val="20"/>
              </w:rPr>
              <w:t>7/29, 24%)</w:t>
            </w:r>
          </w:p>
          <w:p w14:paraId="2F16C1E5"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171945DC"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3F99D054" w14:textId="77777777" w:rsidR="00861E5C" w:rsidRPr="00861E5C" w:rsidRDefault="00861E5C" w:rsidP="001F220E">
            <w:pPr>
              <w:widowControl w:val="0"/>
              <w:numPr>
                <w:ilvl w:val="0"/>
                <w:numId w:val="3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time from ablative therapy to death (calculated with Kaplan-Meier method)</w:t>
            </w:r>
          </w:p>
          <w:p w14:paraId="0ADA0454" w14:textId="28CCF66C" w:rsidR="00861E5C" w:rsidRPr="00861E5C" w:rsidRDefault="00861E5C" w:rsidP="001F220E">
            <w:pPr>
              <w:widowControl w:val="0"/>
              <w:numPr>
                <w:ilvl w:val="0"/>
                <w:numId w:val="3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Progression-free survival: time from therapy to local or distant progression (Kaplan-Meier)</w:t>
            </w:r>
          </w:p>
          <w:p w14:paraId="68E4CDE0" w14:textId="7558D0EC" w:rsidR="00861E5C" w:rsidRPr="00861E5C" w:rsidRDefault="00861E5C" w:rsidP="001F220E">
            <w:pPr>
              <w:widowControl w:val="0"/>
              <w:numPr>
                <w:ilvl w:val="0"/>
                <w:numId w:val="3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Metastases-free survival: any site of distant progression (</w:t>
            </w:r>
            <w:r w:rsidR="00A4761F">
              <w:rPr>
                <w:rFonts w:ascii="Arial Narrow" w:hAnsi="Arial Narrow"/>
                <w:snapToGrid w:val="0"/>
                <w:sz w:val="20"/>
                <w:lang w:eastAsia="en-US"/>
              </w:rPr>
              <w:t>Kaplan-Meier</w:t>
            </w:r>
            <w:r w:rsidRPr="00861E5C">
              <w:rPr>
                <w:rFonts w:ascii="Arial Narrow" w:hAnsi="Arial Narrow"/>
                <w:snapToGrid w:val="0"/>
                <w:sz w:val="20"/>
                <w:lang w:eastAsia="en-US"/>
              </w:rPr>
              <w:t>)</w:t>
            </w:r>
          </w:p>
          <w:p w14:paraId="2CBAEF88" w14:textId="31BAC2EF" w:rsidR="00861E5C" w:rsidRPr="00861E5C" w:rsidRDefault="00861E5C" w:rsidP="001F220E">
            <w:pPr>
              <w:widowControl w:val="0"/>
              <w:numPr>
                <w:ilvl w:val="0"/>
                <w:numId w:val="3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Cancer-specific survival: date of death due to progression from NSCLC (Kaplan-Meier)</w:t>
            </w:r>
          </w:p>
          <w:p w14:paraId="1A83F020" w14:textId="77777777" w:rsidR="00861E5C" w:rsidRPr="00861E5C" w:rsidRDefault="00861E5C" w:rsidP="001F220E">
            <w:pPr>
              <w:widowControl w:val="0"/>
              <w:numPr>
                <w:ilvl w:val="0"/>
                <w:numId w:val="3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recurrence: in-field or marginal regrowth of disease</w:t>
            </w:r>
          </w:p>
          <w:p w14:paraId="529FCC8C" w14:textId="77777777" w:rsidR="00861E5C" w:rsidRPr="00861E5C" w:rsidRDefault="00861E5C" w:rsidP="001F220E">
            <w:pPr>
              <w:widowControl w:val="0"/>
              <w:numPr>
                <w:ilvl w:val="0"/>
                <w:numId w:val="3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v4.0</w:t>
            </w:r>
          </w:p>
        </w:tc>
      </w:tr>
      <w:tr w:rsidR="00861E5C" w:rsidRPr="00861E5C" w14:paraId="254E2459"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09F9C952"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Baschnagel et al (2013)</w:t>
            </w:r>
          </w:p>
          <w:p w14:paraId="4EAD16C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USA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615058F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w:t>
            </w:r>
            <w:r w:rsidR="00C10752">
              <w:rPr>
                <w:rFonts w:ascii="Arial Narrow" w:hAnsi="Arial Narrow"/>
                <w:sz w:val="20"/>
                <w:szCs w:val="20"/>
              </w:rPr>
              <w:t xml:space="preserve">n = </w:t>
            </w:r>
            <w:r w:rsidRPr="00861E5C">
              <w:rPr>
                <w:rFonts w:ascii="Arial Narrow" w:hAnsi="Arial Narrow"/>
                <w:sz w:val="20"/>
                <w:szCs w:val="20"/>
              </w:rPr>
              <w:t>23) and prospective (</w:t>
            </w:r>
            <w:r w:rsidR="00C10752">
              <w:rPr>
                <w:rFonts w:ascii="Arial Narrow" w:hAnsi="Arial Narrow"/>
                <w:sz w:val="20"/>
                <w:szCs w:val="20"/>
              </w:rPr>
              <w:t xml:space="preserve">n = </w:t>
            </w:r>
            <w:r w:rsidRPr="00861E5C">
              <w:rPr>
                <w:rFonts w:ascii="Arial Narrow" w:hAnsi="Arial Narrow"/>
                <w:sz w:val="20"/>
                <w:szCs w:val="20"/>
              </w:rPr>
              <w:t>9) CS</w:t>
            </w:r>
          </w:p>
          <w:p w14:paraId="6270DE4E"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 xml:space="preserve">Level IV </w:t>
            </w:r>
          </w:p>
          <w:p w14:paraId="1F0D3E7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5A230751"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 xml:space="preserve">27.7 (7.6–57.1) months </w:t>
            </w:r>
          </w:p>
          <w:p w14:paraId="0CDC9A53" w14:textId="77777777" w:rsidR="00861E5C" w:rsidRPr="00861E5C" w:rsidRDefault="00861E5C" w:rsidP="001F220E">
            <w:pPr>
              <w:widowControl w:val="0"/>
              <w:spacing w:before="40" w:after="40" w:line="288" w:lineRule="auto"/>
              <w:jc w:val="left"/>
              <w:rPr>
                <w:rFonts w:ascii="Arial Narrow" w:hAnsi="Arial Narrow"/>
                <w:sz w:val="20"/>
                <w:szCs w:val="20"/>
              </w:rPr>
            </w:pP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06192B36" w14:textId="5A09B524"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1</w:t>
            </w:r>
            <w:r w:rsidR="00D35E9C">
              <w:rPr>
                <w:rFonts w:ascii="Arial Narrow" w:hAnsi="Arial Narrow"/>
                <w:snapToGrid w:val="0"/>
                <w:sz w:val="20"/>
                <w:lang w:eastAsia="en-US"/>
              </w:rPr>
              <w:t>–</w:t>
            </w:r>
            <w:r w:rsidRPr="00861E5C">
              <w:rPr>
                <w:rFonts w:ascii="Arial Narrow" w:hAnsi="Arial Narrow"/>
                <w:snapToGrid w:val="0"/>
                <w:sz w:val="20"/>
                <w:lang w:eastAsia="en-US"/>
              </w:rPr>
              <w:t>3 lung metastases, controlled extrathoracic disease, inoperable or refused</w:t>
            </w:r>
            <w:r w:rsidRPr="00861E5C">
              <w:rPr>
                <w:rFonts w:ascii="Arial Narrow" w:hAnsi="Arial Narrow"/>
                <w:b/>
                <w:snapToGrid w:val="0"/>
                <w:sz w:val="20"/>
                <w:lang w:eastAsia="en-US"/>
              </w:rPr>
              <w:t xml:space="preserve"> </w:t>
            </w:r>
            <w:r w:rsidRPr="00861E5C">
              <w:rPr>
                <w:rFonts w:ascii="Arial Narrow" w:hAnsi="Arial Narrow"/>
                <w:snapToGrid w:val="0"/>
                <w:sz w:val="20"/>
                <w:lang w:eastAsia="en-US"/>
              </w:rPr>
              <w:t>surgery</w:t>
            </w:r>
          </w:p>
          <w:p w14:paraId="0E9B6DE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32 (47 lesions)</w:t>
            </w:r>
          </w:p>
          <w:p w14:paraId="7BD485C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size 16 (7–52) mm</w:t>
            </w:r>
          </w:p>
          <w:p w14:paraId="231DAA25"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Females NR</w:t>
            </w:r>
          </w:p>
          <w:p w14:paraId="44150869"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63 (21–87) years</w:t>
            </w:r>
          </w:p>
          <w:p w14:paraId="75F07C1B" w14:textId="77777777" w:rsidR="00861E5C" w:rsidRPr="00861E5C" w:rsidRDefault="00861E5C" w:rsidP="001F220E">
            <w:pPr>
              <w:keepNext/>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for primary:</w:t>
            </w:r>
            <w:r w:rsidRPr="00861E5C">
              <w:rPr>
                <w:rFonts w:ascii="Arial Narrow" w:hAnsi="Arial Narrow"/>
                <w:b/>
                <w:sz w:val="20"/>
                <w:szCs w:val="20"/>
              </w:rPr>
              <w:t xml:space="preserve"> </w:t>
            </w:r>
            <w:r w:rsidRPr="00861E5C">
              <w:rPr>
                <w:rFonts w:ascii="Arial Narrow" w:hAnsi="Arial Narrow"/>
                <w:snapToGrid w:val="0"/>
                <w:sz w:val="20"/>
                <w:szCs w:val="20"/>
                <w:lang w:eastAsia="en-US"/>
              </w:rPr>
              <w:t xml:space="preserve">prior thoracic surgery 14/32 (44%), prior external beam radiation 4/32 (13%) </w:t>
            </w:r>
          </w:p>
          <w:p w14:paraId="25D62174" w14:textId="77777777" w:rsidR="00861E5C" w:rsidRPr="00861E5C" w:rsidRDefault="00861E5C" w:rsidP="001F220E">
            <w:pPr>
              <w:keepNext/>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Prior therapy for metastases: prior systemic therapy for any metastases (19/32 (59%) </w:t>
            </w:r>
          </w:p>
          <w:p w14:paraId="22CE2C8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w:t>
            </w:r>
            <w:r w:rsidRPr="00861E5C">
              <w:rPr>
                <w:rFonts w:ascii="Arial Narrow" w:hAnsi="Arial Narrow"/>
                <w:sz w:val="20"/>
                <w:szCs w:val="20"/>
              </w:rPr>
              <w:t xml:space="preserve"> </w:t>
            </w:r>
            <w:r w:rsidRPr="00861E5C">
              <w:rPr>
                <w:rFonts w:ascii="Arial Narrow" w:hAnsi="Arial Narrow"/>
                <w:snapToGrid w:val="0"/>
                <w:sz w:val="20"/>
                <w:szCs w:val="20"/>
                <w:lang w:eastAsia="en-US"/>
              </w:rPr>
              <w:t xml:space="preserve">colorectal 10/32 (31%), sarcoma 4/32 (13%), head and neck 4/32 (13%), melanoma 3/32 (9%), lung 2/32 (6%), renal cell 2/32 (6%), other 7/32 (22%) </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5A8F9C52"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526CEF1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60 Gy in 4 fractions</w:t>
            </w:r>
          </w:p>
          <w:p w14:paraId="381D6ED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 xml:space="preserve">60 Gy in 5 fractions (n = 36/47, 77%) </w:t>
            </w:r>
          </w:p>
          <w:p w14:paraId="5C32295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48 Gy in 4 fractions (n = 7/47, 15%)</w:t>
            </w:r>
          </w:p>
          <w:p w14:paraId="0B69A6E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50 Gy in 5 fractions (n = 1/47, 2%)</w:t>
            </w:r>
          </w:p>
          <w:p w14:paraId="6F34EF1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10 fractions (n = 2/47, 4%)</w:t>
            </w:r>
          </w:p>
          <w:p w14:paraId="5CC62DC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65 Gy in 10 fractions (n = 1/47, 2%)</w:t>
            </w:r>
          </w:p>
          <w:p w14:paraId="39D65FFE"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702D580E"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1698078D" w14:textId="77777777" w:rsidR="00861E5C" w:rsidRPr="00861E5C" w:rsidRDefault="00861E5C" w:rsidP="001F220E">
            <w:pPr>
              <w:widowControl w:val="0"/>
              <w:numPr>
                <w:ilvl w:val="0"/>
                <w:numId w:val="43"/>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not defined (calculated with Kaplan-Meier method)</w:t>
            </w:r>
          </w:p>
          <w:p w14:paraId="61666671" w14:textId="77777777" w:rsidR="00861E5C" w:rsidRPr="00861E5C" w:rsidRDefault="00861E5C" w:rsidP="001F220E">
            <w:pPr>
              <w:widowControl w:val="0"/>
              <w:numPr>
                <w:ilvl w:val="0"/>
                <w:numId w:val="43"/>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Distant disease progression: not defined (calculated with Kaplan-Meier method)</w:t>
            </w:r>
          </w:p>
          <w:p w14:paraId="3074DC10" w14:textId="77777777" w:rsidR="00861E5C" w:rsidRPr="00861E5C" w:rsidRDefault="00861E5C" w:rsidP="001F220E">
            <w:pPr>
              <w:widowControl w:val="0"/>
              <w:numPr>
                <w:ilvl w:val="0"/>
                <w:numId w:val="43"/>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control: not defined</w:t>
            </w:r>
          </w:p>
          <w:p w14:paraId="0E2B1194" w14:textId="77777777" w:rsidR="00861E5C" w:rsidRPr="00861E5C" w:rsidRDefault="00861E5C" w:rsidP="001F220E">
            <w:pPr>
              <w:widowControl w:val="0"/>
              <w:numPr>
                <w:ilvl w:val="0"/>
                <w:numId w:val="43"/>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v3.0</w:t>
            </w:r>
          </w:p>
        </w:tc>
      </w:tr>
      <w:tr w:rsidR="00861E5C" w:rsidRPr="00861E5C" w14:paraId="42C5A0A7"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41D52C0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Garcia-Cabezas et al (2015)</w:t>
            </w:r>
          </w:p>
          <w:p w14:paraId="2A07874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Spain</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7DDE5EA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CS</w:t>
            </w:r>
          </w:p>
          <w:p w14:paraId="56E10F2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130FC5F5"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5F29F99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13.3 (3.6–46.2)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68599296"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lung oligometastases, ≤ 5 lesions, ≤ 50 mm, any histology, controlled primary disease) with no prior surgery and Karnofsky Index ≥ 70</w:t>
            </w:r>
          </w:p>
          <w:p w14:paraId="4F59782E"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44 (53 lesions)</w:t>
            </w:r>
          </w:p>
          <w:p w14:paraId="366467EF"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maximum size 20 (range NR) mm</w:t>
            </w:r>
          </w:p>
          <w:p w14:paraId="44F412E4"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38 (86%): Females 6 (14%)</w:t>
            </w:r>
          </w:p>
          <w:p w14:paraId="62859137"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74 (50–86) years</w:t>
            </w:r>
          </w:p>
          <w:p w14:paraId="3920C366" w14:textId="77777777" w:rsidR="00861E5C" w:rsidRPr="00861E5C" w:rsidRDefault="00861E5C" w:rsidP="001F220E">
            <w:pPr>
              <w:keepNext/>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 xml:space="preserve">Prior therapy: chemotherapy 27/44 (61%), radiotherapy 14/44 (32%), surgery 27/44 (61%) </w:t>
            </w:r>
          </w:p>
          <w:p w14:paraId="38F4E06B"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w:t>
            </w:r>
            <w:r w:rsidRPr="00861E5C">
              <w:rPr>
                <w:rFonts w:ascii="Arial Narrow" w:hAnsi="Arial Narrow"/>
                <w:sz w:val="20"/>
                <w:szCs w:val="20"/>
              </w:rPr>
              <w:t xml:space="preserve"> </w:t>
            </w:r>
            <w:r w:rsidRPr="00861E5C">
              <w:rPr>
                <w:rFonts w:ascii="Arial Narrow" w:hAnsi="Arial Narrow"/>
                <w:snapToGrid w:val="0"/>
                <w:sz w:val="20"/>
                <w:szCs w:val="20"/>
                <w:lang w:eastAsia="en-US"/>
              </w:rPr>
              <w:t>colorectal 20/44 (45%), lung 10/44 (23%), head and neck 6/44 (14%), kidney 4/44 (9%), other 4/44 (9%)</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255243D6"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60012FD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5 fractions (n = 35/53, 66%)</w:t>
            </w:r>
          </w:p>
          <w:p w14:paraId="2895802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8 fractions (n = 11/53, 21%)</w:t>
            </w:r>
          </w:p>
          <w:p w14:paraId="0A616C33"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50 Gy in 10 fractions (n = 7/53, 13%)</w:t>
            </w:r>
          </w:p>
          <w:p w14:paraId="56809DD1"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1F334B1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DD4AE57" w14:textId="77777777" w:rsidR="00861E5C" w:rsidRPr="00861E5C" w:rsidRDefault="00861E5C" w:rsidP="001F220E">
            <w:pPr>
              <w:widowControl w:val="0"/>
              <w:numPr>
                <w:ilvl w:val="0"/>
                <w:numId w:val="42"/>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time from SBRT to death (calculated with Kaplan-Meier method)</w:t>
            </w:r>
          </w:p>
          <w:p w14:paraId="3330F22F" w14:textId="77777777" w:rsidR="00861E5C" w:rsidRPr="00861E5C" w:rsidRDefault="00861E5C" w:rsidP="001F220E">
            <w:pPr>
              <w:widowControl w:val="0"/>
              <w:numPr>
                <w:ilvl w:val="0"/>
                <w:numId w:val="42"/>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Progression-free survival: not defined, but reported value was lower than overall survival so assumed time to death or progression (calculated with Kaplan-Meier method)</w:t>
            </w:r>
          </w:p>
          <w:p w14:paraId="77C7BFD9" w14:textId="77777777" w:rsidR="00861E5C" w:rsidRPr="00861E5C" w:rsidRDefault="00861E5C" w:rsidP="001F220E">
            <w:pPr>
              <w:widowControl w:val="0"/>
              <w:numPr>
                <w:ilvl w:val="0"/>
                <w:numId w:val="42"/>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control: absence of progression in the treatment volume/field - assessed by PET/CT</w:t>
            </w:r>
          </w:p>
          <w:p w14:paraId="4517F2AD" w14:textId="77777777" w:rsidR="00861E5C" w:rsidRPr="00861E5C" w:rsidRDefault="00861E5C" w:rsidP="001F220E">
            <w:pPr>
              <w:widowControl w:val="0"/>
              <w:numPr>
                <w:ilvl w:val="0"/>
                <w:numId w:val="42"/>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v3.0</w:t>
            </w:r>
          </w:p>
        </w:tc>
      </w:tr>
      <w:tr w:rsidR="00861E5C" w:rsidRPr="00861E5C" w14:paraId="3068C9C5"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32B0FD49"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Filippi et al (2015)</w:t>
            </w:r>
          </w:p>
          <w:p w14:paraId="4AF1B276"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Italy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355823A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CS</w:t>
            </w:r>
          </w:p>
          <w:p w14:paraId="115C556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1E45D9F7"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78C7A86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20 (3–72)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1E936E4D" w14:textId="6298F124"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1</w:t>
            </w:r>
            <w:r w:rsidR="00D35E9C">
              <w:rPr>
                <w:rFonts w:ascii="Arial Narrow" w:hAnsi="Arial Narrow"/>
                <w:snapToGrid w:val="0"/>
                <w:sz w:val="20"/>
                <w:lang w:eastAsia="en-US"/>
              </w:rPr>
              <w:t>–</w:t>
            </w:r>
            <w:r w:rsidRPr="00861E5C">
              <w:rPr>
                <w:rFonts w:ascii="Arial Narrow" w:hAnsi="Arial Narrow"/>
                <w:snapToGrid w:val="0"/>
                <w:sz w:val="20"/>
                <w:lang w:eastAsia="en-US"/>
              </w:rPr>
              <w:t>5 colorectal lung metastases, primary treated with radical surgery, maximum diameter &lt; 50 mm, absent or controlled extrathoracic disease, adequate pulmonary function, ECOG status 0</w:t>
            </w:r>
            <w:r w:rsidR="00D35E9C">
              <w:rPr>
                <w:rFonts w:ascii="Arial Narrow" w:hAnsi="Arial Narrow"/>
                <w:snapToGrid w:val="0"/>
                <w:sz w:val="20"/>
                <w:lang w:eastAsia="en-US"/>
              </w:rPr>
              <w:t>–</w:t>
            </w:r>
            <w:r w:rsidRPr="00861E5C">
              <w:rPr>
                <w:rFonts w:ascii="Arial Narrow" w:hAnsi="Arial Narrow"/>
                <w:snapToGrid w:val="0"/>
                <w:sz w:val="20"/>
                <w:lang w:eastAsia="en-US"/>
              </w:rPr>
              <w:t>1</w:t>
            </w:r>
          </w:p>
          <w:p w14:paraId="18FB4A87"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40 (59 lesions)</w:t>
            </w:r>
          </w:p>
          <w:p w14:paraId="7B66EC9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size 15 (10–40) mm</w:t>
            </w:r>
          </w:p>
          <w:p w14:paraId="36903F7E"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20 (50%): Females 20 (50%)</w:t>
            </w:r>
          </w:p>
          <w:p w14:paraId="56E0935F"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70 (44–86) years</w:t>
            </w:r>
          </w:p>
          <w:p w14:paraId="0082921C" w14:textId="46AD5232" w:rsidR="007908D7" w:rsidRDefault="007908D7" w:rsidP="001F220E">
            <w:pPr>
              <w:widowControl w:val="0"/>
              <w:spacing w:before="40" w:after="40" w:line="288" w:lineRule="auto"/>
              <w:jc w:val="left"/>
              <w:rPr>
                <w:rFonts w:ascii="Arial Narrow" w:hAnsi="Arial Narrow"/>
                <w:snapToGrid w:val="0"/>
                <w:sz w:val="20"/>
                <w:szCs w:val="20"/>
                <w:lang w:eastAsia="en-US"/>
              </w:rPr>
            </w:pPr>
            <w:r w:rsidRPr="007908D7">
              <w:rPr>
                <w:rFonts w:ascii="Arial Narrow" w:hAnsi="Arial Narrow"/>
                <w:snapToGrid w:val="0"/>
                <w:sz w:val="20"/>
                <w:szCs w:val="20"/>
                <w:lang w:eastAsia="en-US"/>
              </w:rPr>
              <w:t xml:space="preserve">Prior therapy: chemotherapy before </w:t>
            </w:r>
            <w:r w:rsidR="00A208C0">
              <w:rPr>
                <w:rFonts w:ascii="Arial Narrow" w:hAnsi="Arial Narrow"/>
                <w:snapToGrid w:val="0"/>
                <w:sz w:val="20"/>
                <w:szCs w:val="20"/>
                <w:lang w:eastAsia="en-US"/>
              </w:rPr>
              <w:t>SBRT</w:t>
            </w:r>
            <w:r w:rsidRPr="007908D7">
              <w:rPr>
                <w:rFonts w:ascii="Arial Narrow" w:hAnsi="Arial Narrow"/>
                <w:snapToGrid w:val="0"/>
                <w:sz w:val="20"/>
                <w:szCs w:val="20"/>
                <w:lang w:eastAsia="en-US"/>
              </w:rPr>
              <w:t xml:space="preserve"> 4/40 (10%), after </w:t>
            </w:r>
            <w:r w:rsidR="00A208C0">
              <w:rPr>
                <w:rFonts w:ascii="Arial Narrow" w:hAnsi="Arial Narrow"/>
                <w:snapToGrid w:val="0"/>
                <w:sz w:val="20"/>
                <w:szCs w:val="20"/>
                <w:lang w:eastAsia="en-US"/>
              </w:rPr>
              <w:t>SBRT</w:t>
            </w:r>
            <w:r w:rsidRPr="007908D7">
              <w:rPr>
                <w:rFonts w:ascii="Arial Narrow" w:hAnsi="Arial Narrow"/>
                <w:snapToGrid w:val="0"/>
                <w:sz w:val="20"/>
                <w:szCs w:val="20"/>
                <w:lang w:eastAsia="en-US"/>
              </w:rPr>
              <w:t xml:space="preserve"> 4/40 (10%)</w:t>
            </w:r>
          </w:p>
          <w:p w14:paraId="2C2BF38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 Colorectal 40/40 (100%)</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2D2AFE41"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6568D20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26 Gy in 1 fraction (n = 40/59, 68%)</w:t>
            </w:r>
          </w:p>
          <w:p w14:paraId="014E208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45 Gy in 3 fractions (n = 11/59, 19%)</w:t>
            </w:r>
          </w:p>
          <w:p w14:paraId="2D42FC97"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48 Gy in 4 fractions (n = 1/59, 2%)</w:t>
            </w:r>
          </w:p>
          <w:p w14:paraId="7DE0F80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55 Gy in 5 fractions (n = 5/59, 8%)</w:t>
            </w:r>
          </w:p>
          <w:p w14:paraId="3A97513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8 fractions (n = 2/59, 3%)</w:t>
            </w:r>
          </w:p>
          <w:p w14:paraId="5A12623F"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0E4FF37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2C3CCBC4" w14:textId="77777777" w:rsidR="00861E5C" w:rsidRPr="00861E5C" w:rsidRDefault="00861E5C" w:rsidP="001F220E">
            <w:pPr>
              <w:widowControl w:val="0"/>
              <w:numPr>
                <w:ilvl w:val="0"/>
                <w:numId w:val="41"/>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time between SBRT and death from any cause (calculated with Kaplan-Meier method)</w:t>
            </w:r>
          </w:p>
          <w:p w14:paraId="3361F160" w14:textId="77777777" w:rsidR="00861E5C" w:rsidRPr="00861E5C" w:rsidRDefault="00861E5C" w:rsidP="001F220E">
            <w:pPr>
              <w:widowControl w:val="0"/>
              <w:numPr>
                <w:ilvl w:val="0"/>
                <w:numId w:val="41"/>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Progression-free survival: time between SBRT and relapse/progression at any site (calculated with Kaplan-Meier method)</w:t>
            </w:r>
          </w:p>
          <w:p w14:paraId="4F75BB2D" w14:textId="77777777" w:rsidR="00861E5C" w:rsidRPr="00861E5C" w:rsidRDefault="00861E5C" w:rsidP="001F220E">
            <w:pPr>
              <w:widowControl w:val="0"/>
              <w:numPr>
                <w:ilvl w:val="0"/>
                <w:numId w:val="41"/>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Relapse/progression: CT scan showing either immediate tumour growth after treatment [progressive disease] or after initial shrinkage [complete/partial response] or stable disease</w:t>
            </w:r>
          </w:p>
          <w:p w14:paraId="729A9C3D" w14:textId="77777777" w:rsidR="00861E5C" w:rsidRPr="00861E5C" w:rsidRDefault="00861E5C" w:rsidP="001F220E">
            <w:pPr>
              <w:widowControl w:val="0"/>
              <w:numPr>
                <w:ilvl w:val="0"/>
                <w:numId w:val="41"/>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RTOG acute and late scores</w:t>
            </w:r>
          </w:p>
        </w:tc>
      </w:tr>
      <w:tr w:rsidR="00861E5C" w:rsidRPr="00861E5C" w14:paraId="2F09BA87"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3F115CEA"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Gamsiz et al (2014)</w:t>
            </w:r>
          </w:p>
          <w:p w14:paraId="18264863"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Turkey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0FB3CD7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CS</w:t>
            </w:r>
          </w:p>
          <w:p w14:paraId="7FDE1D5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0718FEB5"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64F026B7"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14 (range NR)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6C0A26D3" w14:textId="4DA432E4"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1</w:t>
            </w:r>
            <w:r w:rsidR="00D35E9C">
              <w:rPr>
                <w:rFonts w:ascii="Arial Narrow" w:hAnsi="Arial Narrow"/>
                <w:snapToGrid w:val="0"/>
                <w:sz w:val="20"/>
                <w:lang w:eastAsia="en-US"/>
              </w:rPr>
              <w:t>–</w:t>
            </w:r>
            <w:r w:rsidRPr="00861E5C">
              <w:rPr>
                <w:rFonts w:ascii="Arial Narrow" w:hAnsi="Arial Narrow"/>
                <w:snapToGrid w:val="0"/>
                <w:sz w:val="20"/>
                <w:lang w:eastAsia="en-US"/>
              </w:rPr>
              <w:t>5 pulmonary lesions, &lt; 70 mm, controlled primary, Karnofsky status ≥ 70</w:t>
            </w:r>
          </w:p>
          <w:p w14:paraId="5C805F84"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20 (31 lesions)</w:t>
            </w:r>
          </w:p>
          <w:p w14:paraId="43DD3653"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Size NR</w:t>
            </w:r>
          </w:p>
          <w:p w14:paraId="1879F329"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13 (65%): Females 7 (35%)</w:t>
            </w:r>
          </w:p>
          <w:p w14:paraId="197219AE"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(24–81) years</w:t>
            </w:r>
          </w:p>
          <w:p w14:paraId="494FDB03"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p w14:paraId="1791E1C7"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 xml:space="preserve">Primary cancer: lung 10/20 (50%), soft tissue 3/20 (15%), rectum 2/20 (10%), breast 2/20 (10%), thyroid 1/20 (5%), colon 1/20 (5%), stomach 1/20 (5%) </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528F410B"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5CBF343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30 Gy in 3 fractions (n = 3/20, 15%)</w:t>
            </w:r>
          </w:p>
          <w:p w14:paraId="2E42E711"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36 Gy in 3 fractions (n = 7/20, 35%)</w:t>
            </w:r>
          </w:p>
          <w:p w14:paraId="57A73CC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6 fractions (n = 1/20, 5%)</w:t>
            </w:r>
          </w:p>
          <w:p w14:paraId="45D3BB0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50 Gy in 5 fractions (n = 9/20, 45%)</w:t>
            </w:r>
          </w:p>
          <w:p w14:paraId="66BB6E89"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3F8C59EF"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662E957" w14:textId="77777777" w:rsidR="00861E5C" w:rsidRPr="00861E5C" w:rsidRDefault="00861E5C" w:rsidP="001F220E">
            <w:pPr>
              <w:widowControl w:val="0"/>
              <w:numPr>
                <w:ilvl w:val="0"/>
                <w:numId w:val="31"/>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time from SBRT to last day of follow-up (calculated with Kaplan-Meier method)</w:t>
            </w:r>
          </w:p>
          <w:p w14:paraId="1B9E54F9" w14:textId="77777777" w:rsidR="00861E5C" w:rsidRPr="00861E5C" w:rsidRDefault="00861E5C" w:rsidP="001F220E">
            <w:pPr>
              <w:widowControl w:val="0"/>
              <w:numPr>
                <w:ilvl w:val="0"/>
                <w:numId w:val="31"/>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Disease-free survival: time from SBRT to local-regional or systemic recurrence (calculated with Kaplan-Meier method)</w:t>
            </w:r>
          </w:p>
          <w:p w14:paraId="242E87EF" w14:textId="77777777" w:rsidR="00861E5C" w:rsidRPr="00861E5C" w:rsidRDefault="00861E5C" w:rsidP="001F220E">
            <w:pPr>
              <w:widowControl w:val="0"/>
              <w:numPr>
                <w:ilvl w:val="0"/>
                <w:numId w:val="31"/>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control: the absence of local progression evidenced by tumour growth or regrowth after initial shrinkage</w:t>
            </w:r>
          </w:p>
          <w:p w14:paraId="2821AD7F" w14:textId="77777777" w:rsidR="00861E5C" w:rsidRPr="00861E5C" w:rsidRDefault="00861E5C" w:rsidP="001F220E">
            <w:pPr>
              <w:widowControl w:val="0"/>
              <w:numPr>
                <w:ilvl w:val="0"/>
                <w:numId w:val="31"/>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v4.0</w:t>
            </w:r>
          </w:p>
        </w:tc>
      </w:tr>
      <w:tr w:rsidR="00861E5C" w:rsidRPr="00861E5C" w14:paraId="7E84C56E"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23459B45"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Kim et al (2009)</w:t>
            </w:r>
          </w:p>
          <w:p w14:paraId="406271D2"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Republic of Korea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1BB55145"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CS</w:t>
            </w:r>
          </w:p>
          <w:p w14:paraId="15FB7E97"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6C34150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2516E9B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13 (3–23)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7B119C72"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lung oligometastases, no extrapulmonary metastases</w:t>
            </w:r>
          </w:p>
          <w:p w14:paraId="6DABC8B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31 (134 lesions)</w:t>
            </w:r>
          </w:p>
          <w:p w14:paraId="7240AFEE"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Size NR</w:t>
            </w:r>
          </w:p>
          <w:p w14:paraId="36AA435C"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18 (58%): Females 13 (42%)</w:t>
            </w:r>
          </w:p>
          <w:p w14:paraId="3CE6EAA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50 (17–81) years</w:t>
            </w:r>
          </w:p>
          <w:p w14:paraId="01C5C8EA" w14:textId="6EC658CE" w:rsidR="00861E5C" w:rsidRPr="00861E5C" w:rsidRDefault="00861E5C" w:rsidP="001F220E">
            <w:pPr>
              <w:keepNext/>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for</w:t>
            </w:r>
            <w:r w:rsidRPr="00861E5C">
              <w:rPr>
                <w:rFonts w:ascii="Arial Narrow" w:hAnsi="Arial Narrow"/>
                <w:b/>
                <w:sz w:val="20"/>
                <w:szCs w:val="20"/>
              </w:rPr>
              <w:t xml:space="preserve"> </w:t>
            </w:r>
            <w:r w:rsidRPr="00861E5C">
              <w:rPr>
                <w:rFonts w:ascii="Arial Narrow" w:hAnsi="Arial Narrow"/>
                <w:sz w:val="20"/>
                <w:szCs w:val="20"/>
              </w:rPr>
              <w:t>p</w:t>
            </w:r>
            <w:r w:rsidRPr="00861E5C">
              <w:rPr>
                <w:rFonts w:ascii="Arial Narrow" w:hAnsi="Arial Narrow"/>
                <w:snapToGrid w:val="0"/>
                <w:sz w:val="20"/>
                <w:szCs w:val="20"/>
                <w:lang w:eastAsia="en-US"/>
              </w:rPr>
              <w:t>rimary cancer: surgery 23/31 (74%), embolization 5/31 (16%), chemotherapy 3/31 (10%)</w:t>
            </w:r>
          </w:p>
          <w:p w14:paraId="1BB97939" w14:textId="77777777" w:rsidR="00861E5C" w:rsidRPr="00861E5C" w:rsidRDefault="00861E5C" w:rsidP="001F220E">
            <w:pPr>
              <w:keepNext/>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for lung metastases: chemotherapy 22/31 (71%) (all failed to control the disease)</w:t>
            </w:r>
          </w:p>
          <w:p w14:paraId="356C4CB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 liver 9/31 (3%), breast 7/31 (23%), lung 4/31 (13%), colon 3/31 (10%), thymoma 3/31 (10%), head and neck 2/31 (6%), pancreatic 1/31 (3.2%), soft tissue 1/31 (3.2%), renal cell 1/31 (3.2%)</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16C8AEA7"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Helical tomotherapy</w:t>
            </w:r>
          </w:p>
          <w:p w14:paraId="2BE0F4C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dose 50 Gy in 10 fractions or 40 Gy in 10 fractions</w:t>
            </w:r>
          </w:p>
          <w:p w14:paraId="701BC518"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74651025"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42940F8" w14:textId="77777777" w:rsidR="00861E5C" w:rsidRPr="00861E5C" w:rsidRDefault="00861E5C" w:rsidP="001F220E">
            <w:pPr>
              <w:widowControl w:val="0"/>
              <w:numPr>
                <w:ilvl w:val="0"/>
                <w:numId w:val="4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time from SBRT to death  (calculated with Kaplan-Meier method)</w:t>
            </w:r>
          </w:p>
          <w:p w14:paraId="1DAE48BB" w14:textId="77777777" w:rsidR="00861E5C" w:rsidRPr="00861E5C" w:rsidRDefault="00861E5C" w:rsidP="001F220E">
            <w:pPr>
              <w:widowControl w:val="0"/>
              <w:numPr>
                <w:ilvl w:val="0"/>
                <w:numId w:val="4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control: no progression of the individually treated lesion, i.e. included complete response, partial response and stable disease</w:t>
            </w:r>
          </w:p>
          <w:p w14:paraId="4228F138" w14:textId="77777777" w:rsidR="00861E5C" w:rsidRPr="00861E5C" w:rsidRDefault="00861E5C" w:rsidP="001F220E">
            <w:pPr>
              <w:widowControl w:val="0"/>
              <w:numPr>
                <w:ilvl w:val="0"/>
                <w:numId w:val="4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failure: increase of 20% or more in tumour size within 80% of isodose volume</w:t>
            </w:r>
          </w:p>
          <w:p w14:paraId="37BACF88" w14:textId="77777777" w:rsidR="00861E5C" w:rsidRPr="00861E5C" w:rsidRDefault="00861E5C" w:rsidP="001F220E">
            <w:pPr>
              <w:widowControl w:val="0"/>
              <w:numPr>
                <w:ilvl w:val="0"/>
                <w:numId w:val="4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Regional failure: increase of 20% or more in tumour size within the ipsilateral lung parenchyma and bilateral mediatsium but outside the 80% isodose volume</w:t>
            </w:r>
          </w:p>
          <w:p w14:paraId="14B85440" w14:textId="77777777" w:rsidR="00861E5C" w:rsidRPr="00861E5C" w:rsidRDefault="00861E5C" w:rsidP="001F220E">
            <w:pPr>
              <w:widowControl w:val="0"/>
              <w:numPr>
                <w:ilvl w:val="0"/>
                <w:numId w:val="40"/>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v3.0</w:t>
            </w:r>
          </w:p>
        </w:tc>
      </w:tr>
      <w:tr w:rsidR="00861E5C" w:rsidRPr="00861E5C" w14:paraId="1582029E"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46971747"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Navarria et al (2014)</w:t>
            </w:r>
          </w:p>
          <w:p w14:paraId="2D64E49F"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Italy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12A37BD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Prospective CS</w:t>
            </w:r>
          </w:p>
          <w:p w14:paraId="24D26C9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379C2735"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7C98F3FE" w14:textId="77777777" w:rsidR="00861E5C" w:rsidRPr="00861E5C" w:rsidRDefault="007908D7" w:rsidP="001F220E">
            <w:pPr>
              <w:widowControl w:val="0"/>
              <w:spacing w:before="40" w:after="40" w:line="288" w:lineRule="auto"/>
              <w:jc w:val="left"/>
              <w:rPr>
                <w:rFonts w:ascii="Arial Narrow" w:hAnsi="Arial Narrow"/>
                <w:sz w:val="20"/>
                <w:szCs w:val="20"/>
              </w:rPr>
            </w:pPr>
            <w:r w:rsidRPr="007908D7">
              <w:rPr>
                <w:rFonts w:ascii="Arial Narrow" w:hAnsi="Arial Narrow"/>
                <w:sz w:val="20"/>
                <w:szCs w:val="20"/>
              </w:rPr>
              <w:t>21 (8–20)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12D54C04"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 5 lung metastases, controlled primary tumour, no progressive disease longer than 6 months, medically inoperable</w:t>
            </w:r>
          </w:p>
          <w:p w14:paraId="1BD1E8EE"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76 (118 lesions)</w:t>
            </w:r>
          </w:p>
          <w:p w14:paraId="5EE1C422" w14:textId="71B99286"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 xml:space="preserve">Size </w:t>
            </w:r>
            <w:r w:rsidR="007908D7" w:rsidRPr="007908D7">
              <w:rPr>
                <w:rFonts w:ascii="Arial Narrow" w:hAnsi="Arial Narrow"/>
                <w:snapToGrid w:val="0"/>
                <w:sz w:val="20"/>
                <w:lang w:eastAsia="en-US"/>
              </w:rPr>
              <w:t xml:space="preserve">median total 6.5 cm3 (range 0.5 </w:t>
            </w:r>
            <w:r w:rsidR="00D35E9C">
              <w:rPr>
                <w:rFonts w:ascii="Arial Narrow" w:hAnsi="Arial Narrow"/>
                <w:snapToGrid w:val="0"/>
                <w:sz w:val="20"/>
                <w:lang w:eastAsia="en-US"/>
              </w:rPr>
              <w:t>–</w:t>
            </w:r>
            <w:r w:rsidR="007908D7" w:rsidRPr="007908D7">
              <w:rPr>
                <w:rFonts w:ascii="Arial Narrow" w:hAnsi="Arial Narrow"/>
                <w:snapToGrid w:val="0"/>
                <w:sz w:val="20"/>
                <w:lang w:eastAsia="en-US"/>
              </w:rPr>
              <w:t>100 cm3)</w:t>
            </w:r>
          </w:p>
          <w:p w14:paraId="162E25BE"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54 (71%): Females 22 (29%)</w:t>
            </w:r>
          </w:p>
          <w:p w14:paraId="036AB841"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68 (38–88) years</w:t>
            </w:r>
          </w:p>
          <w:p w14:paraId="302B3B01"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p w14:paraId="0583615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 colorectal 29/76 (38%), NSCLC 18/76 (24%), sarcoma 6/76 (8%), genitourinary 8/76 (11%), 'other' 15/76 (20%)</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1C3A277E"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7E09BAE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48 Gy in 12 fractions (n = 95/118, 80%)</w:t>
            </w:r>
          </w:p>
          <w:p w14:paraId="5655121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20 fractions (n = 7/118, 6%</w:t>
            </w:r>
          </w:p>
          <w:p w14:paraId="18A460F7"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7.5 fractions (n = 16/118, 14%)</w:t>
            </w:r>
          </w:p>
          <w:p w14:paraId="75289E52"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324EB1A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1001B22E" w14:textId="77777777" w:rsidR="00861E5C" w:rsidRPr="00861E5C" w:rsidRDefault="00861E5C" w:rsidP="001F220E">
            <w:pPr>
              <w:widowControl w:val="0"/>
              <w:numPr>
                <w:ilvl w:val="0"/>
                <w:numId w:val="33"/>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time from SBRT to death  (calculated with Kaplan-Meier method)</w:t>
            </w:r>
          </w:p>
          <w:p w14:paraId="2C1D3AC5" w14:textId="77777777" w:rsidR="00861E5C" w:rsidRPr="00861E5C" w:rsidRDefault="00861E5C" w:rsidP="001F220E">
            <w:pPr>
              <w:widowControl w:val="0"/>
              <w:numPr>
                <w:ilvl w:val="0"/>
                <w:numId w:val="33"/>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Progression-free survival: not defined, but reported value was lower than overall survival so assumed time to death or progression (calculated with Kaplan-Meier method)</w:t>
            </w:r>
          </w:p>
          <w:p w14:paraId="786469E9" w14:textId="77777777" w:rsidR="00861E5C" w:rsidRPr="00861E5C" w:rsidRDefault="00861E5C" w:rsidP="001F220E">
            <w:pPr>
              <w:widowControl w:val="0"/>
              <w:numPr>
                <w:ilvl w:val="0"/>
                <w:numId w:val="33"/>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Disease specific survival: not defined (calculated with Kaplan-Meier method)</w:t>
            </w:r>
          </w:p>
          <w:p w14:paraId="3F400163" w14:textId="77777777" w:rsidR="00861E5C" w:rsidRPr="00861E5C" w:rsidRDefault="00861E5C" w:rsidP="001F220E">
            <w:pPr>
              <w:widowControl w:val="0"/>
              <w:numPr>
                <w:ilvl w:val="0"/>
                <w:numId w:val="33"/>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v3.0</w:t>
            </w:r>
          </w:p>
        </w:tc>
      </w:tr>
      <w:tr w:rsidR="00861E5C" w:rsidRPr="00861E5C" w14:paraId="2E0009C5"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37AB1E19"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Navarria et al (2015)</w:t>
            </w:r>
          </w:p>
          <w:p w14:paraId="3AAE6F7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Italy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0F7D00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Prospective CS</w:t>
            </w:r>
          </w:p>
          <w:p w14:paraId="4DF53AB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53D98C7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5BED935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55 (17–251)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443AEEC3"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&lt; 5 lung metastases, slow-progressing disease, controlled primary tumour, progressive disease after chemotherapy and/or surgical resection</w:t>
            </w:r>
          </w:p>
          <w:p w14:paraId="23E68D7A"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28 (51 lesions)</w:t>
            </w:r>
          </w:p>
          <w:p w14:paraId="5ECE449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Size NR</w:t>
            </w:r>
          </w:p>
          <w:p w14:paraId="2A2ACC7F"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12 (43%): Females 16 (57%)</w:t>
            </w:r>
          </w:p>
          <w:p w14:paraId="46F3E3FA"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64 (23–89) years</w:t>
            </w:r>
          </w:p>
          <w:p w14:paraId="157DBE5F" w14:textId="77777777" w:rsidR="00861E5C" w:rsidRPr="00861E5C" w:rsidRDefault="00861E5C" w:rsidP="001F220E">
            <w:pPr>
              <w:keepNext/>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chemotherapy 5/28 (18%), surgery 10/28 (36%), surgery and chemotherapy 7/28 (25%)</w:t>
            </w:r>
          </w:p>
          <w:p w14:paraId="13FD001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w:t>
            </w:r>
            <w:r w:rsidRPr="00861E5C">
              <w:rPr>
                <w:rFonts w:ascii="Arial Narrow" w:hAnsi="Arial Narrow"/>
                <w:sz w:val="20"/>
                <w:szCs w:val="20"/>
              </w:rPr>
              <w:t xml:space="preserve"> </w:t>
            </w:r>
            <w:r w:rsidRPr="00861E5C">
              <w:rPr>
                <w:rFonts w:ascii="Arial Narrow" w:hAnsi="Arial Narrow"/>
                <w:snapToGrid w:val="0"/>
                <w:sz w:val="20"/>
                <w:szCs w:val="20"/>
                <w:lang w:eastAsia="en-US"/>
              </w:rPr>
              <w:t xml:space="preserve">leiomyosarcoma 10/28 (36%), synovial sarcoma 4/28 (14%), spindle cell sarcoma 3/28 (11%), other sarcoma 11/28 (39%) </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6BF9CB1F"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68F250C1"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30 Gy in 1 fraction (n = 2/51, 4%)</w:t>
            </w:r>
          </w:p>
          <w:p w14:paraId="3310FCE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3 fractions (n = 7/51, 14%)</w:t>
            </w:r>
          </w:p>
          <w:p w14:paraId="2DC3801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48 Gy in 4 fractions (n = 38/51, 74%)</w:t>
            </w:r>
          </w:p>
          <w:p w14:paraId="4014C49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8 fractions (n = 4/51, 8%)</w:t>
            </w:r>
          </w:p>
          <w:p w14:paraId="77C6F2CD"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265D9EC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70A11F51" w14:textId="77777777" w:rsidR="00861E5C" w:rsidRPr="00861E5C" w:rsidRDefault="00861E5C" w:rsidP="001F220E">
            <w:pPr>
              <w:widowControl w:val="0"/>
              <w:numPr>
                <w:ilvl w:val="0"/>
                <w:numId w:val="32"/>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not defined (calculated with Kaplan-Meier method)</w:t>
            </w:r>
          </w:p>
          <w:p w14:paraId="703B5D42" w14:textId="77777777" w:rsidR="00861E5C" w:rsidRPr="00861E5C" w:rsidRDefault="00861E5C" w:rsidP="001F220E">
            <w:pPr>
              <w:widowControl w:val="0"/>
              <w:numPr>
                <w:ilvl w:val="0"/>
                <w:numId w:val="32"/>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Treatment response: RECIST - not formally stated but same categories were reported; complete remission - disappearance of the lesions at CT scan; partial remission - a reduction greater than 30%; progression of disease - any growing lesions not clearly attributable to fibrosis.</w:t>
            </w:r>
          </w:p>
          <w:p w14:paraId="3075B07A" w14:textId="77777777" w:rsidR="00861E5C" w:rsidRPr="00861E5C" w:rsidRDefault="00861E5C" w:rsidP="001F220E">
            <w:pPr>
              <w:widowControl w:val="0"/>
              <w:numPr>
                <w:ilvl w:val="0"/>
                <w:numId w:val="32"/>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v4.0</w:t>
            </w:r>
          </w:p>
        </w:tc>
      </w:tr>
      <w:tr w:rsidR="00861E5C" w:rsidRPr="00861E5C" w14:paraId="075862A3"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52838F0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Norihasa et al (2008)</w:t>
            </w:r>
          </w:p>
          <w:p w14:paraId="1C13C050"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Japan</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3CC587B1"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CS</w:t>
            </w:r>
          </w:p>
          <w:p w14:paraId="00F367D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14E39B71"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7ACF0CF3"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27 (10–80)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7430B5E1" w14:textId="181BBC1D"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1</w:t>
            </w:r>
            <w:r w:rsidR="00D35E9C">
              <w:rPr>
                <w:rFonts w:ascii="Arial Narrow" w:hAnsi="Arial Narrow"/>
                <w:snapToGrid w:val="0"/>
                <w:sz w:val="20"/>
                <w:lang w:eastAsia="en-US"/>
              </w:rPr>
              <w:t>–</w:t>
            </w:r>
            <w:r w:rsidRPr="00861E5C">
              <w:rPr>
                <w:rFonts w:ascii="Arial Narrow" w:hAnsi="Arial Narrow"/>
                <w:snapToGrid w:val="0"/>
                <w:sz w:val="20"/>
                <w:lang w:eastAsia="en-US"/>
              </w:rPr>
              <w:t>2 pulmonary metastases, ≤ 40 mm, locally controlled primary tumour, no other metastatic sites</w:t>
            </w:r>
          </w:p>
          <w:p w14:paraId="0BBE7B0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34 (43 lesions)</w:t>
            </w:r>
          </w:p>
          <w:p w14:paraId="258303AE" w14:textId="250EEBF4"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Size: &lt;15</w:t>
            </w:r>
            <w:r w:rsidR="003A53A3">
              <w:rPr>
                <w:rFonts w:ascii="Arial Narrow" w:hAnsi="Arial Narrow"/>
                <w:snapToGrid w:val="0"/>
                <w:sz w:val="20"/>
                <w:lang w:eastAsia="en-US"/>
              </w:rPr>
              <w:t xml:space="preserve"> </w:t>
            </w:r>
            <w:r w:rsidRPr="00861E5C">
              <w:rPr>
                <w:rFonts w:ascii="Arial Narrow" w:hAnsi="Arial Narrow"/>
                <w:snapToGrid w:val="0"/>
                <w:sz w:val="20"/>
                <w:lang w:eastAsia="en-US"/>
              </w:rPr>
              <w:t>mm (</w:t>
            </w:r>
            <w:r w:rsidR="00C10752">
              <w:rPr>
                <w:rFonts w:ascii="Arial Narrow" w:hAnsi="Arial Narrow"/>
                <w:snapToGrid w:val="0"/>
                <w:sz w:val="20"/>
                <w:lang w:eastAsia="en-US"/>
              </w:rPr>
              <w:t xml:space="preserve">n = </w:t>
            </w:r>
            <w:r w:rsidRPr="00861E5C">
              <w:rPr>
                <w:rFonts w:ascii="Arial Narrow" w:hAnsi="Arial Narrow"/>
                <w:snapToGrid w:val="0"/>
                <w:sz w:val="20"/>
                <w:lang w:eastAsia="en-US"/>
              </w:rPr>
              <w:t>17/43, 40%), 15</w:t>
            </w:r>
            <w:r w:rsidR="00D35E9C">
              <w:rPr>
                <w:rFonts w:ascii="Arial Narrow" w:hAnsi="Arial Narrow"/>
                <w:snapToGrid w:val="0"/>
                <w:sz w:val="20"/>
                <w:lang w:eastAsia="en-US"/>
              </w:rPr>
              <w:t>–</w:t>
            </w:r>
            <w:r w:rsidRPr="00861E5C">
              <w:rPr>
                <w:rFonts w:ascii="Arial Narrow" w:hAnsi="Arial Narrow"/>
                <w:snapToGrid w:val="0"/>
                <w:sz w:val="20"/>
                <w:lang w:eastAsia="en-US"/>
              </w:rPr>
              <w:t>30</w:t>
            </w:r>
            <w:r w:rsidR="003A53A3">
              <w:rPr>
                <w:rFonts w:ascii="Arial Narrow" w:hAnsi="Arial Narrow"/>
                <w:snapToGrid w:val="0"/>
                <w:sz w:val="20"/>
                <w:lang w:eastAsia="en-US"/>
              </w:rPr>
              <w:t xml:space="preserve"> </w:t>
            </w:r>
            <w:r w:rsidRPr="00861E5C">
              <w:rPr>
                <w:rFonts w:ascii="Arial Narrow" w:hAnsi="Arial Narrow"/>
                <w:snapToGrid w:val="0"/>
                <w:sz w:val="20"/>
                <w:lang w:eastAsia="en-US"/>
              </w:rPr>
              <w:t>mm (</w:t>
            </w:r>
            <w:r w:rsidR="00C10752">
              <w:rPr>
                <w:rFonts w:ascii="Arial Narrow" w:hAnsi="Arial Narrow"/>
                <w:snapToGrid w:val="0"/>
                <w:sz w:val="20"/>
                <w:lang w:eastAsia="en-US"/>
              </w:rPr>
              <w:t xml:space="preserve">n = </w:t>
            </w:r>
            <w:r w:rsidRPr="00861E5C">
              <w:rPr>
                <w:rFonts w:ascii="Arial Narrow" w:hAnsi="Arial Narrow"/>
                <w:snapToGrid w:val="0"/>
                <w:sz w:val="20"/>
                <w:lang w:eastAsia="en-US"/>
              </w:rPr>
              <w:t>22/43, 51%) &gt;30</w:t>
            </w:r>
            <w:r w:rsidR="003A53A3">
              <w:rPr>
                <w:rFonts w:ascii="Arial Narrow" w:hAnsi="Arial Narrow"/>
                <w:snapToGrid w:val="0"/>
                <w:sz w:val="20"/>
                <w:lang w:eastAsia="en-US"/>
              </w:rPr>
              <w:t xml:space="preserve"> </w:t>
            </w:r>
            <w:r w:rsidRPr="00861E5C">
              <w:rPr>
                <w:rFonts w:ascii="Arial Narrow" w:hAnsi="Arial Narrow"/>
                <w:snapToGrid w:val="0"/>
                <w:sz w:val="20"/>
                <w:lang w:eastAsia="en-US"/>
              </w:rPr>
              <w:t>mm (</w:t>
            </w:r>
            <w:r w:rsidR="00C10752">
              <w:rPr>
                <w:rFonts w:ascii="Arial Narrow" w:hAnsi="Arial Narrow"/>
                <w:snapToGrid w:val="0"/>
                <w:sz w:val="20"/>
                <w:lang w:eastAsia="en-US"/>
              </w:rPr>
              <w:t xml:space="preserve">n = </w:t>
            </w:r>
            <w:r w:rsidRPr="00861E5C">
              <w:rPr>
                <w:rFonts w:ascii="Arial Narrow" w:hAnsi="Arial Narrow"/>
                <w:snapToGrid w:val="0"/>
                <w:sz w:val="20"/>
                <w:lang w:eastAsia="en-US"/>
              </w:rPr>
              <w:t>4/43, 9%)</w:t>
            </w:r>
          </w:p>
          <w:p w14:paraId="2E30E3E8"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22 (65%): Females 12 (35%)</w:t>
            </w:r>
          </w:p>
          <w:p w14:paraId="24A40FE1"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71 (30–80) years</w:t>
            </w:r>
          </w:p>
          <w:p w14:paraId="4501E0FD"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w:t>
            </w:r>
            <w:r w:rsidRPr="00861E5C">
              <w:rPr>
                <w:rFonts w:ascii="Arial Narrow" w:hAnsi="Arial Narrow"/>
                <w:b/>
                <w:sz w:val="20"/>
                <w:szCs w:val="20"/>
              </w:rPr>
              <w:t xml:space="preserve"> </w:t>
            </w:r>
            <w:r w:rsidRPr="00861E5C">
              <w:rPr>
                <w:rFonts w:ascii="Arial Narrow" w:hAnsi="Arial Narrow"/>
                <w:snapToGrid w:val="0"/>
                <w:sz w:val="20"/>
                <w:szCs w:val="20"/>
                <w:lang w:eastAsia="en-US"/>
              </w:rPr>
              <w:t>most patients had previously undergone surgical resection and chemotherapy for their primary cancer</w:t>
            </w:r>
          </w:p>
          <w:p w14:paraId="742110D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 lung 15/34 (44%), colorectal 9/34 (26%), head and neck 5/34 (15%), kidney 3/34 (9%), bone 1/34 (3%), breast 1/34 (3%)</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3390EF03"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5A2E2253"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48 Gy in 4 fractions (n = 17/34, 50%)</w:t>
            </w:r>
          </w:p>
          <w:p w14:paraId="36E7BAFF"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48 Gy in 5 fractions (n = 1/34, 3%)</w:t>
            </w:r>
          </w:p>
          <w:p w14:paraId="72FD913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5 fractions (n = 16/34, 47%)</w:t>
            </w:r>
          </w:p>
          <w:p w14:paraId="04B9D1BE"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67B00DCF"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80EA958" w14:textId="77777777" w:rsidR="00861E5C" w:rsidRPr="00861E5C" w:rsidRDefault="00861E5C" w:rsidP="001F220E">
            <w:pPr>
              <w:widowControl w:val="0"/>
              <w:numPr>
                <w:ilvl w:val="0"/>
                <w:numId w:val="34"/>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time from SBRT to death or last follow-up (calculated with Kaplan-Meier method)</w:t>
            </w:r>
          </w:p>
          <w:p w14:paraId="15838B6F" w14:textId="77777777" w:rsidR="00861E5C" w:rsidRPr="00861E5C" w:rsidRDefault="00861E5C" w:rsidP="001F220E">
            <w:pPr>
              <w:widowControl w:val="0"/>
              <w:numPr>
                <w:ilvl w:val="0"/>
                <w:numId w:val="34"/>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response: RECIST; complete response - disappearance of all target lesions, partial response - at least 30% decrease in the sum of the longest diameter of target lesions, stable disease - 30% decrease to 20% increase in the sum of the longest diameter of the target lesions, progressive disease - greater than 20% increase in the sum of the longest diameter of the target lesions</w:t>
            </w:r>
          </w:p>
          <w:p w14:paraId="7288DB77" w14:textId="77777777" w:rsidR="00861E5C" w:rsidRPr="00861E5C" w:rsidRDefault="00861E5C" w:rsidP="001F220E">
            <w:pPr>
              <w:widowControl w:val="0"/>
              <w:numPr>
                <w:ilvl w:val="0"/>
                <w:numId w:val="34"/>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v3.0</w:t>
            </w:r>
          </w:p>
        </w:tc>
      </w:tr>
      <w:tr w:rsidR="00861E5C" w:rsidRPr="00861E5C" w14:paraId="255FBCA0"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64CCCB2C"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Nuyttens et al (2015)</w:t>
            </w:r>
          </w:p>
          <w:p w14:paraId="1F9B4D86"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Netherlands</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23F9CEC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Prospective CS</w:t>
            </w:r>
          </w:p>
          <w:p w14:paraId="417F15A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436F056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152E464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36 (4–60)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2B4B3583"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1–5 lung metastases, inoperable or refused surgery, limited to 2 organs, primary under control, not candidates for chemotherapy, min 6 months life expectancy</w:t>
            </w:r>
          </w:p>
          <w:p w14:paraId="7F50B801"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30 (57 lesions)</w:t>
            </w:r>
          </w:p>
          <w:p w14:paraId="56B00143"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size 13 (6–67)) mm</w:t>
            </w:r>
          </w:p>
          <w:p w14:paraId="392D4DC4"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16 (53%): Females 14 (47%)</w:t>
            </w:r>
          </w:p>
          <w:p w14:paraId="1A0D3DA9"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66 (44–78) years</w:t>
            </w:r>
          </w:p>
          <w:p w14:paraId="09032DA0"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w:t>
            </w:r>
            <w:r w:rsidRPr="00861E5C">
              <w:rPr>
                <w:rFonts w:ascii="Arial Narrow" w:hAnsi="Arial Narrow"/>
                <w:b/>
                <w:sz w:val="20"/>
                <w:szCs w:val="20"/>
              </w:rPr>
              <w:t xml:space="preserve"> </w:t>
            </w:r>
            <w:r w:rsidRPr="00861E5C">
              <w:rPr>
                <w:rFonts w:ascii="Arial Narrow" w:hAnsi="Arial Narrow"/>
                <w:snapToGrid w:val="0"/>
                <w:sz w:val="20"/>
                <w:szCs w:val="20"/>
                <w:lang w:eastAsia="en-US"/>
              </w:rPr>
              <w:t>15/30 (50%) patients had prior treatment for metastases (treatments not specified)</w:t>
            </w:r>
          </w:p>
          <w:p w14:paraId="59FA1390" w14:textId="62F21AB1" w:rsidR="00861E5C" w:rsidRPr="00861E5C" w:rsidRDefault="00861E5C" w:rsidP="005E08F5">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Primary cancer: colorectal 19/30 (63%), breast carcinoma 2/30 (7%), lung 2/30 (7%), melanoma 2/30 (7%), sarcoma 2/30 (7%), other 3/30 (10%)</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69CD5D3E"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067EFCE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30 Gy in 1 fraction, n = NR</w:t>
            </w:r>
          </w:p>
          <w:p w14:paraId="50B7DFB0"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3 fractions, n = NR</w:t>
            </w:r>
          </w:p>
          <w:p w14:paraId="390D3343"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5 fractions, n = NR</w:t>
            </w:r>
          </w:p>
          <w:p w14:paraId="4A74606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56 Gy in 7 fractions, n = NR</w:t>
            </w:r>
          </w:p>
          <w:p w14:paraId="6DA2A801"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141419B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22C2660" w14:textId="77777777" w:rsidR="00861E5C" w:rsidRPr="00861E5C" w:rsidRDefault="00861E5C" w:rsidP="001F220E">
            <w:pPr>
              <w:widowControl w:val="0"/>
              <w:numPr>
                <w:ilvl w:val="0"/>
                <w:numId w:val="35"/>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start of SBRT to death from any cause (calculated with Kaplan-Meier method)</w:t>
            </w:r>
          </w:p>
          <w:p w14:paraId="52C90BFD" w14:textId="77777777" w:rsidR="00861E5C" w:rsidRPr="00861E5C" w:rsidRDefault="00861E5C" w:rsidP="001F220E">
            <w:pPr>
              <w:widowControl w:val="0"/>
              <w:numPr>
                <w:ilvl w:val="0"/>
                <w:numId w:val="35"/>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Disease-free survival: time from SBRT to date of a local recurrence, regional or distant metastasis, or death from any cause (calculated with Kaplan-Meier method)</w:t>
            </w:r>
          </w:p>
          <w:p w14:paraId="05DDBDF5" w14:textId="77777777" w:rsidR="00861E5C" w:rsidRPr="00861E5C" w:rsidRDefault="00861E5C" w:rsidP="001F220E">
            <w:pPr>
              <w:widowControl w:val="0"/>
              <w:numPr>
                <w:ilvl w:val="0"/>
                <w:numId w:val="35"/>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control: RECIST - measured from start of SBRT to date of diagnosis of a local recurrence - defined as a 20% increase in tumour size on CT scan compared with previous CT scan)</w:t>
            </w:r>
          </w:p>
          <w:p w14:paraId="26CD19B3" w14:textId="77777777" w:rsidR="00861E5C" w:rsidRPr="00861E5C" w:rsidRDefault="00861E5C" w:rsidP="001F220E">
            <w:pPr>
              <w:widowControl w:val="0"/>
              <w:numPr>
                <w:ilvl w:val="0"/>
                <w:numId w:val="35"/>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v3.0, acute &lt;4 months, late &gt; 4 months</w:t>
            </w:r>
          </w:p>
        </w:tc>
      </w:tr>
      <w:tr w:rsidR="00861E5C" w:rsidRPr="00861E5C" w14:paraId="5E003AEA"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64D3FC5F"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Oh et al (2012)</w:t>
            </w:r>
          </w:p>
          <w:p w14:paraId="3385B5D5"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Republic of Korea</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2B9D86BE"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CS</w:t>
            </w:r>
          </w:p>
          <w:p w14:paraId="5547031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204F2C1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185ACC1E"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21 (3–107)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6E554DFF"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&lt; 5 lung metastases, &lt; 50 mm, with a controlled primary tumour, (if applicable, controllable extrapulmonary metastases)</w:t>
            </w:r>
          </w:p>
          <w:p w14:paraId="599E2B31"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57 (67 lesions)</w:t>
            </w:r>
          </w:p>
          <w:p w14:paraId="23EBE4DF" w14:textId="77777777"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 xml:space="preserve">Size: &lt;25 mm 58/67 (87%), ≥ 25 mm 9/67 (13%) </w:t>
            </w:r>
          </w:p>
          <w:p w14:paraId="2BB81255"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49 (86%): Females 8 (14%)</w:t>
            </w:r>
          </w:p>
          <w:p w14:paraId="4FA4201E" w14:textId="77777777"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Age: &lt; 60 years 16/57 (28%), ≥ 60 years 41/57 (72%)</w:t>
            </w:r>
          </w:p>
          <w:p w14:paraId="6671058C"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p w14:paraId="18EEC63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w:t>
            </w:r>
            <w:r w:rsidRPr="00861E5C">
              <w:rPr>
                <w:rFonts w:ascii="Arial Narrow" w:hAnsi="Arial Narrow"/>
                <w:sz w:val="20"/>
                <w:szCs w:val="20"/>
              </w:rPr>
              <w:t xml:space="preserve"> </w:t>
            </w:r>
            <w:r w:rsidRPr="00861E5C">
              <w:rPr>
                <w:rFonts w:ascii="Arial Narrow" w:hAnsi="Arial Narrow"/>
                <w:snapToGrid w:val="0"/>
                <w:sz w:val="20"/>
                <w:szCs w:val="20"/>
                <w:lang w:eastAsia="en-US"/>
              </w:rPr>
              <w:t xml:space="preserve">lung 33/67 (49%), liver 9/67 (13%), colorectal 7/67 (10%), head and neck 11/67 (16%), others 7/67 (10%) </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1B371D93"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2C7651F7"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50 Gy in 5 fractions (n = 4/67, 6%)</w:t>
            </w:r>
          </w:p>
          <w:p w14:paraId="5233481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5 fractions (n = 44/67, 66%)</w:t>
            </w:r>
          </w:p>
          <w:p w14:paraId="1461B8F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4 fractions (n = 19/67, 28%)</w:t>
            </w:r>
          </w:p>
          <w:p w14:paraId="04023D1E"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64EF69C2"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FB92AB7" w14:textId="77777777" w:rsidR="00861E5C" w:rsidRPr="00861E5C" w:rsidRDefault="00861E5C" w:rsidP="001F220E">
            <w:pPr>
              <w:widowControl w:val="0"/>
              <w:numPr>
                <w:ilvl w:val="0"/>
                <w:numId w:val="36"/>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date of SBRT to date of last follow-up or death (calculated with Kaplan-Meier method)</w:t>
            </w:r>
          </w:p>
          <w:p w14:paraId="0DA89642" w14:textId="77777777" w:rsidR="00861E5C" w:rsidRPr="00861E5C" w:rsidRDefault="00861E5C" w:rsidP="001F220E">
            <w:pPr>
              <w:widowControl w:val="0"/>
              <w:numPr>
                <w:ilvl w:val="0"/>
                <w:numId w:val="36"/>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Tumour progression: increase in tumour size on two consecutive CT scans</w:t>
            </w:r>
          </w:p>
          <w:p w14:paraId="17992B69" w14:textId="77777777" w:rsidR="00861E5C" w:rsidRPr="00861E5C" w:rsidRDefault="00861E5C" w:rsidP="001F220E">
            <w:pPr>
              <w:widowControl w:val="0"/>
              <w:numPr>
                <w:ilvl w:val="0"/>
                <w:numId w:val="36"/>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v3.0</w:t>
            </w:r>
            <w:r w:rsidRPr="00861E5C">
              <w:rPr>
                <w:rFonts w:ascii="Arial Narrow" w:hAnsi="Arial Narrow"/>
                <w:snapToGrid w:val="0"/>
                <w:sz w:val="20"/>
                <w:lang w:eastAsia="en-US"/>
              </w:rPr>
              <w:br/>
            </w:r>
          </w:p>
          <w:p w14:paraId="6A230EE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p>
        </w:tc>
      </w:tr>
      <w:tr w:rsidR="00861E5C" w:rsidRPr="00861E5C" w14:paraId="05439B7A"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49E11247"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Osti et al (2013)</w:t>
            </w:r>
          </w:p>
          <w:p w14:paraId="5A86FD84"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Italy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07B894F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Prospective CS</w:t>
            </w:r>
          </w:p>
          <w:p w14:paraId="4F384DD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3E0EA66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5312252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15 (3–45)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7A27B59C"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1–2 lung metastases, &lt; 50 mm, controlled extrathoracic disease at ≤ 2 sites, adequate pulmonary function, ECOG score 0–1</w:t>
            </w:r>
          </w:p>
          <w:p w14:paraId="606F1236"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66 (103 lesions)</w:t>
            </w:r>
          </w:p>
          <w:p w14:paraId="201A9B3A" w14:textId="77777777" w:rsidR="00861E5C" w:rsidRPr="00861E5C" w:rsidRDefault="00861E5C" w:rsidP="001F220E">
            <w:pPr>
              <w:keepNext/>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Size: volume &lt; 10 cc 64/103 (62%), volume ≥ 10 cc 39/103 (38%)</w:t>
            </w:r>
          </w:p>
          <w:p w14:paraId="37C1D258"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32 (48%): Females 34 (52%)</w:t>
            </w:r>
          </w:p>
          <w:p w14:paraId="21AF3E61" w14:textId="77777777" w:rsidR="00861E5C" w:rsidRPr="00861E5C" w:rsidRDefault="007908D7" w:rsidP="001F220E">
            <w:pPr>
              <w:widowControl w:val="0"/>
              <w:spacing w:before="40" w:after="40" w:line="288" w:lineRule="auto"/>
              <w:jc w:val="left"/>
              <w:rPr>
                <w:rFonts w:ascii="Arial Narrow" w:hAnsi="Arial Narrow"/>
                <w:snapToGrid w:val="0"/>
                <w:sz w:val="20"/>
                <w:lang w:eastAsia="en-US"/>
              </w:rPr>
            </w:pPr>
            <w:r>
              <w:rPr>
                <w:rFonts w:ascii="Arial Narrow" w:hAnsi="Arial Narrow"/>
                <w:snapToGrid w:val="0"/>
                <w:sz w:val="20"/>
                <w:lang w:eastAsia="en-US"/>
              </w:rPr>
              <w:t>Median age 68</w:t>
            </w:r>
            <w:r w:rsidR="00861E5C" w:rsidRPr="00861E5C">
              <w:rPr>
                <w:rFonts w:ascii="Arial Narrow" w:hAnsi="Arial Narrow"/>
                <w:snapToGrid w:val="0"/>
                <w:sz w:val="20"/>
                <w:lang w:eastAsia="en-US"/>
              </w:rPr>
              <w:t xml:space="preserve"> (25–89) years</w:t>
            </w:r>
          </w:p>
          <w:p w14:paraId="5AF8E2DB"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NR</w:t>
            </w:r>
          </w:p>
          <w:p w14:paraId="1923E0A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 xml:space="preserve">Primary cancer: NSCLC 12/66 (18%), colorectal 23/66 (35%), breast 11/66 (17%), other 20/66 (30%) </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106EFCA8"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0CDF682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30 Gy in 1 fraction (n = 54/103, 52%) (peripheral tumours)</w:t>
            </w:r>
          </w:p>
          <w:p w14:paraId="71ABD06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23 Gy in 1 fraction (n = 49/103, 48%) (central tumours)</w:t>
            </w:r>
          </w:p>
          <w:p w14:paraId="6766BB49"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6B2BBE74"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0836474E" w14:textId="77777777" w:rsidR="00861E5C" w:rsidRPr="00861E5C" w:rsidRDefault="00861E5C" w:rsidP="001F220E">
            <w:pPr>
              <w:widowControl w:val="0"/>
              <w:numPr>
                <w:ilvl w:val="0"/>
                <w:numId w:val="38"/>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death from any cause (calculated with Kaplan-Meier method)</w:t>
            </w:r>
          </w:p>
          <w:p w14:paraId="255A22D3" w14:textId="77777777" w:rsidR="00861E5C" w:rsidRPr="00861E5C" w:rsidRDefault="00861E5C" w:rsidP="001F220E">
            <w:pPr>
              <w:widowControl w:val="0"/>
              <w:numPr>
                <w:ilvl w:val="0"/>
                <w:numId w:val="38"/>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Cancer-specific survival: death from cancer (calculated with Kaplan-Meier method)</w:t>
            </w:r>
          </w:p>
          <w:p w14:paraId="0DF6C7EE" w14:textId="77777777" w:rsidR="00861E5C" w:rsidRPr="00861E5C" w:rsidRDefault="00861E5C" w:rsidP="001F220E">
            <w:pPr>
              <w:widowControl w:val="0"/>
              <w:numPr>
                <w:ilvl w:val="0"/>
                <w:numId w:val="38"/>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Progression-free survival: local and/or systemic failure (calculated with Kaplan-Meier method)</w:t>
            </w:r>
          </w:p>
          <w:p w14:paraId="4F60AFAE" w14:textId="77777777" w:rsidR="00861E5C" w:rsidRPr="00861E5C" w:rsidRDefault="00861E5C" w:rsidP="001F220E">
            <w:pPr>
              <w:widowControl w:val="0"/>
              <w:numPr>
                <w:ilvl w:val="0"/>
                <w:numId w:val="38"/>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control: absence of local progression and the presence of stable disease (based on CT scan)</w:t>
            </w:r>
          </w:p>
          <w:p w14:paraId="4B408538" w14:textId="77777777" w:rsidR="00861E5C" w:rsidRPr="00861E5C" w:rsidRDefault="00861E5C" w:rsidP="001F220E">
            <w:pPr>
              <w:widowControl w:val="0"/>
              <w:numPr>
                <w:ilvl w:val="0"/>
                <w:numId w:val="38"/>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RTOG morbidity scoring scale</w:t>
            </w:r>
          </w:p>
        </w:tc>
      </w:tr>
      <w:tr w:rsidR="00861E5C" w:rsidRPr="00861E5C" w14:paraId="53BF9CCA"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0DB03A8A"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Ricardi et al (2011)</w:t>
            </w:r>
          </w:p>
          <w:p w14:paraId="3CC281D8"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Italy</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0CFC20C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CS</w:t>
            </w:r>
          </w:p>
          <w:p w14:paraId="3F82159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7C82E42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44784D2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20.4 (3–77.4)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563534B9"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1–3 lung metastases, &lt;50mm, absent or controlled extrathoracic disease, adequate pulmonary function, no prior radiotherapy, ECOG performance status 0–1</w:t>
            </w:r>
          </w:p>
          <w:p w14:paraId="52348FB2"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61 (77 lesions)</w:t>
            </w:r>
          </w:p>
          <w:p w14:paraId="45798E7C"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size  20 (7–45) mm</w:t>
            </w:r>
          </w:p>
          <w:p w14:paraId="635BF752"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43 (70%): Females 18 (30%)</w:t>
            </w:r>
          </w:p>
          <w:p w14:paraId="5A2C018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70 (46–86) years</w:t>
            </w:r>
          </w:p>
          <w:p w14:paraId="65441BE4" w14:textId="77777777" w:rsidR="00861E5C" w:rsidRPr="00861E5C" w:rsidRDefault="00861E5C" w:rsidP="001F220E">
            <w:pPr>
              <w:keepNext/>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w:t>
            </w:r>
            <w:r w:rsidRPr="00861E5C">
              <w:rPr>
                <w:rFonts w:ascii="Arial Narrow" w:hAnsi="Arial Narrow"/>
                <w:b/>
                <w:sz w:val="20"/>
                <w:szCs w:val="20"/>
              </w:rPr>
              <w:t xml:space="preserve"> </w:t>
            </w:r>
            <w:r w:rsidRPr="00861E5C">
              <w:rPr>
                <w:rFonts w:ascii="Arial Narrow" w:hAnsi="Arial Narrow"/>
                <w:snapToGrid w:val="0"/>
                <w:sz w:val="20"/>
                <w:szCs w:val="20"/>
                <w:lang w:eastAsia="en-US"/>
              </w:rPr>
              <w:t xml:space="preserve">systemic therapy 7/61 (11%), pulmonary metastectomy 9/61 (15%) </w:t>
            </w:r>
          </w:p>
          <w:p w14:paraId="00EEF756"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 lung cancer 34/61 (56%), colorectal 13/61 (21%), other 14/61 (23%)</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6A935B3B"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SBRT</w:t>
            </w:r>
          </w:p>
          <w:p w14:paraId="321FE11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26 Gy in 1 fraction (n = 51/77, 66%)</w:t>
            </w:r>
          </w:p>
          <w:p w14:paraId="0C0B21E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45 Gy in 3 fractions (n = 22/77, 29%)</w:t>
            </w:r>
          </w:p>
          <w:p w14:paraId="22212A2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36 Gy in 3 fractions (n = 4/77, 5%)</w:t>
            </w:r>
          </w:p>
          <w:p w14:paraId="6D5B2F0C"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5E28DC7D"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609F8E6F" w14:textId="77777777" w:rsidR="00861E5C" w:rsidRPr="00861E5C" w:rsidRDefault="00861E5C" w:rsidP="001F220E">
            <w:pPr>
              <w:widowControl w:val="0"/>
              <w:numPr>
                <w:ilvl w:val="0"/>
                <w:numId w:val="37"/>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death from any cause (calculated with Kaplan-Meier method)</w:t>
            </w:r>
          </w:p>
          <w:p w14:paraId="64282F29" w14:textId="77777777" w:rsidR="00861E5C" w:rsidRPr="00861E5C" w:rsidRDefault="00861E5C" w:rsidP="001F220E">
            <w:pPr>
              <w:widowControl w:val="0"/>
              <w:numPr>
                <w:ilvl w:val="0"/>
                <w:numId w:val="37"/>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Cancer-specific survival: death from cancer (calculated with Kaplan-Meier method)</w:t>
            </w:r>
          </w:p>
          <w:p w14:paraId="74A614E1" w14:textId="77777777" w:rsidR="00861E5C" w:rsidRPr="00861E5C" w:rsidRDefault="00861E5C" w:rsidP="001F220E">
            <w:pPr>
              <w:widowControl w:val="0"/>
              <w:numPr>
                <w:ilvl w:val="0"/>
                <w:numId w:val="37"/>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Progression-free survival: local and/or regional and/or systemic failure (calculated with Kaplan-Meier method)</w:t>
            </w:r>
          </w:p>
          <w:p w14:paraId="227BE58A" w14:textId="77777777" w:rsidR="00861E5C" w:rsidRPr="00861E5C" w:rsidRDefault="00861E5C" w:rsidP="001F220E">
            <w:pPr>
              <w:widowControl w:val="0"/>
              <w:numPr>
                <w:ilvl w:val="0"/>
                <w:numId w:val="37"/>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control: the absence of local progression, evidenced by tumour growth or re-growth after initial shrinkage</w:t>
            </w:r>
          </w:p>
          <w:p w14:paraId="0621A4E5" w14:textId="77777777" w:rsidR="00861E5C" w:rsidRPr="00861E5C" w:rsidRDefault="00861E5C" w:rsidP="001F220E">
            <w:pPr>
              <w:widowControl w:val="0"/>
              <w:numPr>
                <w:ilvl w:val="0"/>
                <w:numId w:val="37"/>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RTOG acute radiation toxicity score - same as CTCAE</w:t>
            </w:r>
          </w:p>
        </w:tc>
      </w:tr>
      <w:tr w:rsidR="00861E5C" w:rsidRPr="00861E5C" w14:paraId="0320C33F" w14:textId="77777777" w:rsidTr="00065860">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78EEC2AD"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lastRenderedPageBreak/>
              <w:t>Takahashi et al (2014)</w:t>
            </w:r>
          </w:p>
          <w:p w14:paraId="7AAF6A1E"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Japan</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36870A18"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Retrospective CS</w:t>
            </w:r>
          </w:p>
          <w:p w14:paraId="759B04AC"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Level IV</w:t>
            </w:r>
          </w:p>
          <w:p w14:paraId="570F1F09"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Risk of bias: High</w:t>
            </w:r>
          </w:p>
          <w:p w14:paraId="7A26937A"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23.7 (6.1–167.0) months</w:t>
            </w:r>
          </w:p>
        </w:tc>
        <w:tc>
          <w:tcPr>
            <w:tcW w:w="1353" w:type="pct"/>
            <w:tcBorders>
              <w:top w:val="single" w:sz="4" w:space="0" w:color="auto"/>
              <w:left w:val="single" w:sz="4" w:space="0" w:color="auto"/>
              <w:bottom w:val="single" w:sz="4" w:space="0" w:color="auto"/>
              <w:right w:val="single" w:sz="4" w:space="0" w:color="auto"/>
            </w:tcBorders>
            <w:shd w:val="clear" w:color="auto" w:fill="auto"/>
          </w:tcPr>
          <w:p w14:paraId="34F4AF26"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Patients with colorectal lung metastases, previously resected primary, no evidence of recurrence, not candidates for metastectomy, no other distant metastases, no systemic therapy within 1 month of radiotherapy, life expectancy &gt;6 months</w:t>
            </w:r>
          </w:p>
          <w:p w14:paraId="29F01A26"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N = 34 (44 lesions)</w:t>
            </w:r>
          </w:p>
          <w:p w14:paraId="7B27F95F"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size 18 (5–60) mm</w:t>
            </w:r>
          </w:p>
          <w:p w14:paraId="47969BFC" w14:textId="77777777" w:rsidR="00861E5C" w:rsidRPr="00861E5C" w:rsidRDefault="00861E5C" w:rsidP="001F220E">
            <w:pPr>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Males 20 (59%): Females 14 (41%)</w:t>
            </w:r>
          </w:p>
          <w:p w14:paraId="77EAF0BB" w14:textId="77777777" w:rsidR="00861E5C" w:rsidRPr="00861E5C" w:rsidRDefault="00861E5C" w:rsidP="001F220E">
            <w:pPr>
              <w:widowControl w:val="0"/>
              <w:spacing w:before="40" w:after="40" w:line="288" w:lineRule="auto"/>
              <w:jc w:val="left"/>
              <w:rPr>
                <w:rFonts w:ascii="Arial Narrow" w:hAnsi="Arial Narrow"/>
                <w:snapToGrid w:val="0"/>
                <w:sz w:val="20"/>
                <w:lang w:eastAsia="en-US"/>
              </w:rPr>
            </w:pPr>
            <w:r w:rsidRPr="00861E5C">
              <w:rPr>
                <w:rFonts w:ascii="Arial Narrow" w:hAnsi="Arial Narrow"/>
                <w:snapToGrid w:val="0"/>
                <w:sz w:val="20"/>
                <w:lang w:eastAsia="en-US"/>
              </w:rPr>
              <w:t>Median age 63 (34–79) years</w:t>
            </w:r>
          </w:p>
          <w:p w14:paraId="0B221C24" w14:textId="77777777" w:rsidR="00861E5C" w:rsidRPr="00861E5C" w:rsidRDefault="00861E5C" w:rsidP="001F220E">
            <w:pPr>
              <w:keepNext/>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for</w:t>
            </w:r>
            <w:r w:rsidRPr="00861E5C">
              <w:rPr>
                <w:rFonts w:ascii="Arial Narrow" w:hAnsi="Arial Narrow"/>
                <w:b/>
                <w:sz w:val="20"/>
                <w:szCs w:val="20"/>
              </w:rPr>
              <w:t xml:space="preserve"> </w:t>
            </w:r>
            <w:r w:rsidRPr="00861E5C">
              <w:rPr>
                <w:rFonts w:ascii="Arial Narrow" w:hAnsi="Arial Narrow"/>
                <w:sz w:val="20"/>
                <w:szCs w:val="20"/>
              </w:rPr>
              <w:t>p</w:t>
            </w:r>
            <w:r w:rsidRPr="00861E5C">
              <w:rPr>
                <w:rFonts w:ascii="Arial Narrow" w:hAnsi="Arial Narrow"/>
                <w:snapToGrid w:val="0"/>
                <w:sz w:val="20"/>
                <w:szCs w:val="20"/>
                <w:lang w:eastAsia="en-US"/>
              </w:rPr>
              <w:t>rimary cancer: resection of primary 34/34 (100%), 1 chemotherapy regimen before radiotherapy 18/34 (53%)</w:t>
            </w:r>
          </w:p>
          <w:p w14:paraId="369E3B43" w14:textId="77777777" w:rsidR="00861E5C" w:rsidRPr="00861E5C" w:rsidRDefault="00861E5C" w:rsidP="001F220E">
            <w:pPr>
              <w:keepNext/>
              <w:widowControl w:val="0"/>
              <w:spacing w:before="40" w:after="40" w:line="288" w:lineRule="auto"/>
              <w:jc w:val="left"/>
              <w:rPr>
                <w:rFonts w:ascii="Arial Narrow" w:hAnsi="Arial Narrow"/>
                <w:snapToGrid w:val="0"/>
                <w:sz w:val="20"/>
                <w:szCs w:val="20"/>
                <w:lang w:eastAsia="en-US"/>
              </w:rPr>
            </w:pPr>
            <w:r w:rsidRPr="00861E5C">
              <w:rPr>
                <w:rFonts w:ascii="Arial Narrow" w:hAnsi="Arial Narrow"/>
                <w:snapToGrid w:val="0"/>
                <w:sz w:val="20"/>
                <w:szCs w:val="20"/>
                <w:lang w:eastAsia="en-US"/>
              </w:rPr>
              <w:t>Prior therapy for secondary cancer: pulmonary metastectomy for other oligo-recurrent lung lesions 10/34 (29%)</w:t>
            </w:r>
          </w:p>
          <w:p w14:paraId="6F545D4B"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napToGrid w:val="0"/>
                <w:sz w:val="20"/>
                <w:szCs w:val="20"/>
                <w:lang w:eastAsia="en-US"/>
              </w:rPr>
              <w:t>Primary cancer: colorectal 34/34 (100%)</w:t>
            </w:r>
          </w:p>
        </w:tc>
        <w:tc>
          <w:tcPr>
            <w:tcW w:w="1253" w:type="pct"/>
            <w:tcBorders>
              <w:top w:val="single" w:sz="4" w:space="0" w:color="auto"/>
              <w:left w:val="single" w:sz="4" w:space="0" w:color="auto"/>
              <w:bottom w:val="single" w:sz="4" w:space="0" w:color="auto"/>
              <w:right w:val="single" w:sz="4" w:space="0" w:color="auto"/>
            </w:tcBorders>
            <w:shd w:val="clear" w:color="auto" w:fill="auto"/>
          </w:tcPr>
          <w:p w14:paraId="128BEBED"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Intervention: Carbon ion radiotherapy</w:t>
            </w:r>
          </w:p>
          <w:p w14:paraId="1CE6A94F"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Median total dose 60 Gy (range, 44–64.8 Gy)</w:t>
            </w:r>
          </w:p>
          <w:p w14:paraId="57F9F6BE" w14:textId="77777777" w:rsidR="00861E5C" w:rsidRPr="00861E5C" w:rsidRDefault="00861E5C" w:rsidP="001F220E">
            <w:pPr>
              <w:widowControl w:val="0"/>
              <w:spacing w:before="40" w:after="40" w:line="288" w:lineRule="auto"/>
              <w:jc w:val="left"/>
              <w:rPr>
                <w:rFonts w:ascii="Arial Narrow" w:hAnsi="Arial Narrow"/>
                <w:sz w:val="20"/>
                <w:szCs w:val="20"/>
              </w:rPr>
            </w:pPr>
            <w:r w:rsidRPr="00861E5C">
              <w:rPr>
                <w:rFonts w:ascii="Arial Narrow" w:hAnsi="Arial Narrow"/>
                <w:sz w:val="20"/>
                <w:szCs w:val="20"/>
              </w:rPr>
              <w:t>60 Gy in 4 fractions (n = 31/44, 70%)</w:t>
            </w:r>
          </w:p>
          <w:p w14:paraId="2B7BB5F6" w14:textId="77777777" w:rsidR="00861E5C" w:rsidRPr="00861E5C" w:rsidRDefault="00861E5C" w:rsidP="001F220E">
            <w:pPr>
              <w:widowControl w:val="0"/>
              <w:spacing w:before="40" w:after="40" w:line="288" w:lineRule="auto"/>
              <w:jc w:val="left"/>
              <w:rPr>
                <w:rFonts w:ascii="Arial Narrow" w:hAnsi="Arial Narrow"/>
                <w:sz w:val="20"/>
                <w:szCs w:val="20"/>
                <w:u w:val="single"/>
              </w:rPr>
            </w:pPr>
          </w:p>
          <w:p w14:paraId="4400572A" w14:textId="77777777" w:rsidR="00861E5C" w:rsidRPr="00861E5C" w:rsidRDefault="00861E5C" w:rsidP="001F220E">
            <w:pPr>
              <w:widowControl w:val="0"/>
              <w:spacing w:before="40" w:after="40" w:line="288" w:lineRule="auto"/>
              <w:jc w:val="left"/>
              <w:rPr>
                <w:rFonts w:ascii="Arial Narrow" w:hAnsi="Arial Narrow"/>
                <w:sz w:val="20"/>
                <w:szCs w:val="20"/>
                <w:u w:val="single"/>
              </w:rPr>
            </w:pPr>
            <w:r w:rsidRPr="00861E5C">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C1CB3F5" w14:textId="77777777" w:rsidR="00861E5C" w:rsidRPr="00861E5C" w:rsidRDefault="00861E5C" w:rsidP="001F220E">
            <w:pPr>
              <w:widowControl w:val="0"/>
              <w:numPr>
                <w:ilvl w:val="0"/>
                <w:numId w:val="39"/>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Overall survival: time from intervention to death (calculated with Kaplan-Meier method)</w:t>
            </w:r>
          </w:p>
          <w:p w14:paraId="5430A5B4" w14:textId="77777777" w:rsidR="00861E5C" w:rsidRPr="00861E5C" w:rsidRDefault="00861E5C" w:rsidP="001F220E">
            <w:pPr>
              <w:widowControl w:val="0"/>
              <w:numPr>
                <w:ilvl w:val="0"/>
                <w:numId w:val="39"/>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Local control rate: recurrence defined as continuous increase in opacity size on CT imaging, along with either increased maximum standardized uptake values ≥ 5 on PET/CT, or biopsy proof of disease.</w:t>
            </w:r>
          </w:p>
          <w:p w14:paraId="6951D337" w14:textId="77777777" w:rsidR="00861E5C" w:rsidRPr="00861E5C" w:rsidRDefault="00861E5C" w:rsidP="001F220E">
            <w:pPr>
              <w:widowControl w:val="0"/>
              <w:numPr>
                <w:ilvl w:val="0"/>
                <w:numId w:val="39"/>
              </w:numPr>
              <w:spacing w:before="40" w:after="40" w:line="288" w:lineRule="auto"/>
              <w:ind w:left="316" w:hanging="283"/>
              <w:jc w:val="left"/>
              <w:rPr>
                <w:rFonts w:ascii="Arial Narrow" w:hAnsi="Arial Narrow"/>
                <w:snapToGrid w:val="0"/>
                <w:sz w:val="20"/>
                <w:lang w:eastAsia="en-US"/>
              </w:rPr>
            </w:pPr>
            <w:r w:rsidRPr="00861E5C">
              <w:rPr>
                <w:rFonts w:ascii="Arial Narrow" w:hAnsi="Arial Narrow"/>
                <w:snapToGrid w:val="0"/>
                <w:sz w:val="20"/>
                <w:lang w:eastAsia="en-US"/>
              </w:rPr>
              <w:t>Adverse events: CTCAE v3.0 (acute events), RTOG morbidity scoring scale (late events)</w:t>
            </w:r>
          </w:p>
        </w:tc>
      </w:tr>
    </w:tbl>
    <w:p w14:paraId="1AEEE855" w14:textId="21D444EA" w:rsidR="00861E5C" w:rsidRPr="00861E5C" w:rsidRDefault="0074232E" w:rsidP="00994BBC">
      <w:pPr>
        <w:pStyle w:val="Tablenotes0"/>
      </w:pPr>
      <w:r>
        <w:rPr>
          <w:bCs/>
        </w:rPr>
        <w:t>&lt;</w:t>
      </w:r>
      <w:r w:rsidR="00C752D0">
        <w:rPr>
          <w:bCs/>
        </w:rPr>
        <w:t xml:space="preserve"> </w:t>
      </w:r>
      <w:r w:rsidR="00477B7A" w:rsidRPr="007F70F3">
        <w:rPr>
          <w:bCs/>
        </w:rPr>
        <w:t>AHRT = accelerated hypofractionated radiotherapy</w:t>
      </w:r>
      <w:r w:rsidR="00477B7A">
        <w:rPr>
          <w:bCs/>
        </w:rPr>
        <w:t xml:space="preserve">. </w:t>
      </w:r>
      <w:r w:rsidR="00861E5C" w:rsidRPr="00861E5C">
        <w:t xml:space="preserve">CS = case series. CT = computed tomography. CTCAE = Common Terminology Criteria for Adverse Events. ECOG = Eastern Cooperative Oncology Group. FDG = </w:t>
      </w:r>
      <w:hyperlink r:id="rId54" w:history="1">
        <w:r w:rsidR="00861E5C" w:rsidRPr="00861E5C">
          <w:t>Fludeoxyglucose (18F)</w:t>
        </w:r>
      </w:hyperlink>
      <w:r w:rsidR="00861E5C" w:rsidRPr="00861E5C">
        <w:t xml:space="preserve">. </w:t>
      </w:r>
      <w:r w:rsidR="00B33ACB">
        <w:t xml:space="preserve">Gy = gray. </w:t>
      </w:r>
      <w:r w:rsidR="00861E5C" w:rsidRPr="00861E5C">
        <w:t xml:space="preserve">IQR = interquartile range. MC = multicentre. </w:t>
      </w:r>
      <w:r w:rsidR="00C10752">
        <w:t xml:space="preserve">N = </w:t>
      </w:r>
      <w:r w:rsidR="002F591C" w:rsidRPr="002F591C">
        <w:t>number</w:t>
      </w:r>
      <w:r w:rsidR="002F591C">
        <w:t xml:space="preserve">; </w:t>
      </w:r>
      <w:r w:rsidR="00861E5C" w:rsidRPr="00861E5C">
        <w:t>N/A = not applicable. NR = not reported. NSCLC = non-small cell lung cancer. OL = open label (unblinded). PET = positron emission tomography. RCT = randomised controlled trial. RECIST = Response Evaluation Criteria in Solid Tumours. RTOG = Radiation Therapy Oncology Group. SBRT =</w:t>
      </w:r>
      <w:r w:rsidR="00C752D0">
        <w:t xml:space="preserve"> stereotactic body radiotherapy </w:t>
      </w:r>
      <w:r>
        <w:t>&gt;</w:t>
      </w:r>
    </w:p>
    <w:p w14:paraId="17490DCA" w14:textId="285319C5" w:rsidR="005E08F5" w:rsidRDefault="005E08F5" w:rsidP="0074232E">
      <w:pPr>
        <w:pStyle w:val="Tablenotes0"/>
      </w:pPr>
      <w:r>
        <w:t>A</w:t>
      </w:r>
      <w:r w:rsidR="00994BBC" w:rsidRPr="00994BBC">
        <w:t xml:space="preserve"> risk of bias as it relates to primary out</w:t>
      </w:r>
      <w:r w:rsidR="00C752D0">
        <w:t>comes of the systematic review</w:t>
      </w:r>
    </w:p>
    <w:p w14:paraId="446018AA" w14:textId="1A392443" w:rsidR="005E08F5" w:rsidRDefault="005E08F5" w:rsidP="0074232E">
      <w:pPr>
        <w:pStyle w:val="Tablenotes0"/>
      </w:pPr>
      <w:r>
        <w:t>B</w:t>
      </w:r>
      <w:r w:rsidR="00994BBC" w:rsidRPr="00994BBC">
        <w:t xml:space="preserve"> median (range) unless otherwise stated </w:t>
      </w:r>
    </w:p>
    <w:p w14:paraId="589AB136" w14:textId="359F005C" w:rsidR="00FF46E2" w:rsidRPr="0074232E" w:rsidRDefault="00861E5C" w:rsidP="0074232E">
      <w:pPr>
        <w:pStyle w:val="Tablenotes0"/>
      </w:pPr>
      <w:r w:rsidRPr="00861E5C">
        <w:t>* Significant difference between study groups</w:t>
      </w:r>
    </w:p>
    <w:p w14:paraId="4E2063C0" w14:textId="77777777" w:rsidR="005E08F5" w:rsidRDefault="005E08F5" w:rsidP="00FF46E2">
      <w:pPr>
        <w:pStyle w:val="Caption"/>
        <w:keepNext/>
      </w:pPr>
      <w:r>
        <w:br w:type="page"/>
      </w:r>
    </w:p>
    <w:p w14:paraId="418D3D55" w14:textId="29662183" w:rsidR="00FF46E2" w:rsidRDefault="00FF46E2" w:rsidP="00FF46E2">
      <w:pPr>
        <w:pStyle w:val="Caption"/>
        <w:keepNext/>
      </w:pPr>
      <w:bookmarkStart w:id="515" w:name="_Toc460514751"/>
      <w:r>
        <w:lastRenderedPageBreak/>
        <w:t xml:space="preserve">Table </w:t>
      </w:r>
      <w:fldSimple w:instr=" SEQ Table \* ARABIC ">
        <w:r w:rsidR="00D170A5">
          <w:rPr>
            <w:noProof/>
          </w:rPr>
          <w:t>93</w:t>
        </w:r>
      </w:fldSimple>
      <w:r>
        <w:tab/>
      </w:r>
      <w:r w:rsidRPr="00FF46E2">
        <w:t xml:space="preserve">Profiles of studies on </w:t>
      </w:r>
      <w:r>
        <w:t>Surgery</w:t>
      </w:r>
      <w:r w:rsidRPr="00FF46E2">
        <w:t xml:space="preserve"> included in the systematic literature review</w:t>
      </w:r>
      <w:bookmarkEnd w:id="515"/>
    </w:p>
    <w:tbl>
      <w:tblPr>
        <w:tblW w:w="4989" w:type="pct"/>
        <w:tblLook w:val="04A0" w:firstRow="1" w:lastRow="0" w:firstColumn="1" w:lastColumn="0" w:noHBand="0" w:noVBand="1"/>
      </w:tblPr>
      <w:tblGrid>
        <w:gridCol w:w="1400"/>
        <w:gridCol w:w="1942"/>
        <w:gridCol w:w="4136"/>
        <w:gridCol w:w="3848"/>
        <w:gridCol w:w="3992"/>
      </w:tblGrid>
      <w:tr w:rsidR="00FF46E2" w:rsidRPr="00861E5C" w14:paraId="10476A37" w14:textId="77777777" w:rsidTr="00E36FC8">
        <w:trPr>
          <w:cantSplit/>
          <w:trHeight w:val="1059"/>
        </w:trPr>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76C21D" w14:textId="77777777" w:rsidR="00FF46E2" w:rsidRPr="00861E5C" w:rsidRDefault="00FF46E2" w:rsidP="00315A88">
            <w:pPr>
              <w:widowControl w:val="0"/>
              <w:spacing w:before="40" w:after="40" w:line="240" w:lineRule="auto"/>
              <w:jc w:val="left"/>
              <w:rPr>
                <w:rFonts w:ascii="Arial Narrow" w:hAnsi="Arial Narrow"/>
                <w:b/>
                <w:sz w:val="20"/>
                <w:szCs w:val="20"/>
              </w:rPr>
            </w:pPr>
            <w:r w:rsidRPr="00861E5C">
              <w:rPr>
                <w:rFonts w:ascii="Arial Narrow" w:hAnsi="Arial Narrow"/>
                <w:b/>
                <w:sz w:val="20"/>
                <w:szCs w:val="20"/>
              </w:rPr>
              <w:t>Author</w:t>
            </w:r>
          </w:p>
          <w:p w14:paraId="0101C362" w14:textId="77777777" w:rsidR="00FF46E2" w:rsidRPr="00861E5C" w:rsidRDefault="00FF46E2" w:rsidP="00315A88">
            <w:pPr>
              <w:widowControl w:val="0"/>
              <w:spacing w:before="40" w:after="40" w:line="240" w:lineRule="auto"/>
              <w:jc w:val="left"/>
              <w:rPr>
                <w:rFonts w:ascii="Arial Narrow" w:hAnsi="Arial Narrow"/>
                <w:b/>
                <w:sz w:val="20"/>
                <w:szCs w:val="20"/>
              </w:rPr>
            </w:pPr>
            <w:r w:rsidRPr="00861E5C">
              <w:rPr>
                <w:rFonts w:ascii="Arial Narrow" w:hAnsi="Arial Narrow"/>
                <w:b/>
                <w:sz w:val="20"/>
                <w:szCs w:val="20"/>
              </w:rPr>
              <w:t>(Year)</w:t>
            </w:r>
          </w:p>
          <w:p w14:paraId="3BB128D8" w14:textId="77777777" w:rsidR="00FF46E2" w:rsidRPr="00861E5C" w:rsidRDefault="00FF46E2" w:rsidP="00315A88">
            <w:pPr>
              <w:widowControl w:val="0"/>
              <w:spacing w:before="40" w:after="40" w:line="240" w:lineRule="auto"/>
              <w:jc w:val="left"/>
              <w:rPr>
                <w:rFonts w:ascii="Arial Narrow" w:hAnsi="Arial Narrow"/>
                <w:b/>
                <w:sz w:val="20"/>
                <w:szCs w:val="20"/>
              </w:rPr>
            </w:pPr>
            <w:r w:rsidRPr="00861E5C">
              <w:rPr>
                <w:rFonts w:ascii="Arial Narrow" w:hAnsi="Arial Narrow"/>
                <w:b/>
                <w:sz w:val="20"/>
                <w:szCs w:val="20"/>
              </w:rPr>
              <w:t>Location</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78C0B0" w14:textId="77777777" w:rsidR="00FF46E2" w:rsidRPr="00861E5C" w:rsidRDefault="00FF46E2" w:rsidP="00315A88">
            <w:pPr>
              <w:widowControl w:val="0"/>
              <w:spacing w:before="40" w:after="40" w:line="240" w:lineRule="auto"/>
              <w:jc w:val="left"/>
              <w:rPr>
                <w:rFonts w:ascii="Arial Narrow" w:hAnsi="Arial Narrow"/>
                <w:b/>
                <w:sz w:val="20"/>
                <w:szCs w:val="20"/>
              </w:rPr>
            </w:pPr>
            <w:r w:rsidRPr="00861E5C">
              <w:rPr>
                <w:rFonts w:ascii="Arial Narrow" w:hAnsi="Arial Narrow"/>
                <w:b/>
                <w:sz w:val="20"/>
                <w:szCs w:val="20"/>
              </w:rPr>
              <w:t>Study design</w:t>
            </w:r>
          </w:p>
          <w:p w14:paraId="3184D331" w14:textId="32785D2F" w:rsidR="00FF46E2" w:rsidRPr="00861E5C" w:rsidRDefault="00FF46E2" w:rsidP="00315A88">
            <w:pPr>
              <w:widowControl w:val="0"/>
              <w:spacing w:before="40" w:after="40" w:line="240" w:lineRule="auto"/>
              <w:jc w:val="left"/>
              <w:rPr>
                <w:rFonts w:ascii="Arial Narrow" w:hAnsi="Arial Narrow"/>
                <w:b/>
                <w:sz w:val="20"/>
                <w:szCs w:val="20"/>
              </w:rPr>
            </w:pPr>
            <w:r w:rsidRPr="00861E5C">
              <w:rPr>
                <w:rFonts w:ascii="Arial Narrow" w:hAnsi="Arial Narrow"/>
                <w:b/>
                <w:sz w:val="20"/>
                <w:szCs w:val="20"/>
              </w:rPr>
              <w:t>Level of evidence</w:t>
            </w:r>
          </w:p>
          <w:p w14:paraId="4FA6BB91" w14:textId="3EA218D2" w:rsidR="00FF46E2" w:rsidRPr="00861E5C" w:rsidRDefault="00FF46E2" w:rsidP="00315A88">
            <w:pPr>
              <w:widowControl w:val="0"/>
              <w:spacing w:before="40" w:after="40" w:line="240" w:lineRule="auto"/>
              <w:jc w:val="left"/>
              <w:rPr>
                <w:rFonts w:ascii="Arial Narrow" w:hAnsi="Arial Narrow"/>
                <w:b/>
                <w:sz w:val="20"/>
                <w:szCs w:val="20"/>
              </w:rPr>
            </w:pPr>
            <w:r w:rsidRPr="00861E5C">
              <w:rPr>
                <w:rFonts w:ascii="Arial Narrow" w:hAnsi="Arial Narrow"/>
                <w:b/>
                <w:sz w:val="20"/>
                <w:szCs w:val="20"/>
              </w:rPr>
              <w:t>Risk of bias</w:t>
            </w:r>
            <w:r w:rsidR="00D22A82">
              <w:rPr>
                <w:rFonts w:ascii="Arial Narrow" w:hAnsi="Arial Narrow"/>
                <w:b/>
                <w:sz w:val="20"/>
                <w:szCs w:val="20"/>
                <w:vertAlign w:val="superscript"/>
              </w:rPr>
              <w:t xml:space="preserve"> </w:t>
            </w:r>
            <w:r w:rsidR="00D22A82" w:rsidRPr="00D22A82">
              <w:rPr>
                <w:rFonts w:ascii="Arial Narrow" w:hAnsi="Arial Narrow"/>
                <w:b/>
                <w:sz w:val="20"/>
                <w:szCs w:val="20"/>
                <w:vertAlign w:val="superscript"/>
              </w:rPr>
              <w:t>A</w:t>
            </w:r>
          </w:p>
          <w:p w14:paraId="4A768F6E" w14:textId="7BC5C56F" w:rsidR="00FF46E2" w:rsidRPr="00861E5C" w:rsidRDefault="00FF46E2" w:rsidP="00315A88">
            <w:pPr>
              <w:widowControl w:val="0"/>
              <w:spacing w:before="40" w:after="40" w:line="240" w:lineRule="auto"/>
              <w:jc w:val="left"/>
              <w:rPr>
                <w:rFonts w:ascii="Arial Narrow" w:hAnsi="Arial Narrow"/>
                <w:b/>
                <w:sz w:val="20"/>
                <w:szCs w:val="20"/>
              </w:rPr>
            </w:pPr>
            <w:r w:rsidRPr="00861E5C">
              <w:rPr>
                <w:rFonts w:ascii="Arial Narrow" w:hAnsi="Arial Narrow"/>
                <w:b/>
                <w:sz w:val="20"/>
                <w:szCs w:val="20"/>
              </w:rPr>
              <w:t>Median follow-up</w:t>
            </w:r>
            <w:r w:rsidR="00D22A82">
              <w:rPr>
                <w:rFonts w:ascii="Arial Narrow" w:hAnsi="Arial Narrow"/>
                <w:b/>
                <w:sz w:val="20"/>
                <w:szCs w:val="20"/>
                <w:vertAlign w:val="superscript"/>
              </w:rPr>
              <w:t xml:space="preserve"> </w:t>
            </w:r>
            <w:r w:rsidR="00D22A82" w:rsidRPr="00D22A82">
              <w:rPr>
                <w:rFonts w:ascii="Arial Narrow" w:hAnsi="Arial Narrow"/>
                <w:b/>
                <w:sz w:val="20"/>
                <w:szCs w:val="20"/>
                <w:vertAlign w:val="superscript"/>
              </w:rPr>
              <w:t>B</w:t>
            </w:r>
          </w:p>
        </w:tc>
        <w:tc>
          <w:tcPr>
            <w:tcW w:w="1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1693C10" w14:textId="77777777" w:rsidR="00FF46E2" w:rsidRPr="00861E5C" w:rsidRDefault="00FF46E2" w:rsidP="00315A88">
            <w:pPr>
              <w:widowControl w:val="0"/>
              <w:spacing w:before="40" w:after="40" w:line="240" w:lineRule="auto"/>
              <w:jc w:val="left"/>
              <w:rPr>
                <w:rFonts w:ascii="Arial Narrow" w:hAnsi="Arial Narrow"/>
                <w:b/>
                <w:sz w:val="20"/>
                <w:szCs w:val="20"/>
              </w:rPr>
            </w:pPr>
            <w:r w:rsidRPr="00861E5C">
              <w:rPr>
                <w:rFonts w:ascii="Arial Narrow" w:hAnsi="Arial Narrow"/>
                <w:b/>
                <w:sz w:val="20"/>
                <w:szCs w:val="20"/>
              </w:rPr>
              <w:t>Study population characteristics:</w:t>
            </w:r>
          </w:p>
          <w:p w14:paraId="7D320820" w14:textId="77777777" w:rsidR="00FF46E2" w:rsidRPr="00861E5C" w:rsidRDefault="00FF46E2" w:rsidP="00315A88">
            <w:pPr>
              <w:widowControl w:val="0"/>
              <w:spacing w:before="40" w:after="40" w:line="240" w:lineRule="auto"/>
              <w:jc w:val="left"/>
              <w:rPr>
                <w:rFonts w:ascii="Arial Narrow" w:hAnsi="Arial Narrow"/>
                <w:b/>
                <w:sz w:val="20"/>
                <w:szCs w:val="20"/>
              </w:rPr>
            </w:pPr>
            <w:r w:rsidRPr="00861E5C">
              <w:rPr>
                <w:rFonts w:ascii="Arial Narrow" w:hAnsi="Arial Narrow"/>
                <w:b/>
                <w:sz w:val="20"/>
                <w:szCs w:val="20"/>
              </w:rPr>
              <w:t>N (lesions, tumour size, male/female ratio, age, prior therapy, primary cancer (P2/3 only)</w:t>
            </w:r>
          </w:p>
        </w:tc>
        <w:tc>
          <w:tcPr>
            <w:tcW w:w="1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658D35" w14:textId="5E2642F3" w:rsidR="00FF46E2" w:rsidRPr="00861E5C" w:rsidRDefault="00FF46E2" w:rsidP="00315A88">
            <w:pPr>
              <w:widowControl w:val="0"/>
              <w:spacing w:before="40" w:after="40" w:line="240" w:lineRule="auto"/>
              <w:ind w:left="34"/>
              <w:jc w:val="left"/>
              <w:rPr>
                <w:rFonts w:ascii="Arial Narrow" w:hAnsi="Arial Narrow"/>
                <w:b/>
                <w:sz w:val="20"/>
                <w:szCs w:val="20"/>
              </w:rPr>
            </w:pPr>
            <w:r w:rsidRPr="00861E5C">
              <w:rPr>
                <w:rFonts w:ascii="Arial Narrow" w:hAnsi="Arial Narrow"/>
                <w:b/>
                <w:sz w:val="20"/>
                <w:szCs w:val="20"/>
              </w:rPr>
              <w:t>Description of Intervention and Comparator</w:t>
            </w:r>
          </w:p>
        </w:tc>
        <w:tc>
          <w:tcPr>
            <w:tcW w:w="1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FFEE296" w14:textId="7BF0C0ED" w:rsidR="00FF46E2" w:rsidRPr="00861E5C" w:rsidRDefault="00FF46E2" w:rsidP="00315A88">
            <w:pPr>
              <w:widowControl w:val="0"/>
              <w:spacing w:before="40" w:after="40" w:line="240" w:lineRule="auto"/>
              <w:ind w:left="34"/>
              <w:jc w:val="left"/>
              <w:rPr>
                <w:rFonts w:ascii="Arial Narrow" w:hAnsi="Arial Narrow"/>
                <w:b/>
                <w:sz w:val="20"/>
                <w:szCs w:val="20"/>
              </w:rPr>
            </w:pPr>
            <w:r w:rsidRPr="00861E5C">
              <w:rPr>
                <w:rFonts w:ascii="Arial Narrow" w:hAnsi="Arial Narrow"/>
                <w:b/>
                <w:sz w:val="20"/>
                <w:szCs w:val="20"/>
              </w:rPr>
              <w:t>Relevant outcomes: measurement and methods of analysis</w:t>
            </w:r>
          </w:p>
        </w:tc>
      </w:tr>
      <w:tr w:rsidR="00FF46E2" w:rsidRPr="00861E5C" w14:paraId="6925960D" w14:textId="77777777" w:rsidTr="00E36FC8">
        <w:trPr>
          <w:cantSplit/>
          <w:trHeight w:val="300"/>
        </w:trPr>
        <w:tc>
          <w:tcPr>
            <w:tcW w:w="457" w:type="pct"/>
            <w:tcBorders>
              <w:top w:val="single" w:sz="4" w:space="0" w:color="auto"/>
              <w:left w:val="single" w:sz="4" w:space="0" w:color="auto"/>
              <w:bottom w:val="single" w:sz="4" w:space="0" w:color="auto"/>
            </w:tcBorders>
            <w:shd w:val="clear" w:color="auto" w:fill="D9D9D9" w:themeFill="background1" w:themeFillShade="D9"/>
          </w:tcPr>
          <w:p w14:paraId="1EC26BAB" w14:textId="77777777" w:rsidR="00FF46E2" w:rsidRPr="00861E5C" w:rsidRDefault="00FF46E2" w:rsidP="00315A88">
            <w:pPr>
              <w:widowControl w:val="0"/>
              <w:spacing w:before="40" w:after="40" w:line="288" w:lineRule="auto"/>
              <w:jc w:val="left"/>
              <w:rPr>
                <w:rFonts w:ascii="Arial Narrow" w:hAnsi="Arial Narrow"/>
                <w:b/>
                <w:sz w:val="20"/>
                <w:szCs w:val="20"/>
              </w:rPr>
            </w:pPr>
            <w:r w:rsidRPr="00861E5C">
              <w:rPr>
                <w:rFonts w:ascii="Arial Narrow" w:hAnsi="Arial Narrow"/>
                <w:b/>
                <w:sz w:val="20"/>
                <w:szCs w:val="20"/>
              </w:rPr>
              <w:t>POPULAITON</w:t>
            </w:r>
          </w:p>
        </w:tc>
        <w:tc>
          <w:tcPr>
            <w:tcW w:w="634" w:type="pct"/>
            <w:tcBorders>
              <w:top w:val="single" w:sz="4" w:space="0" w:color="auto"/>
              <w:bottom w:val="single" w:sz="4" w:space="0" w:color="auto"/>
            </w:tcBorders>
            <w:shd w:val="clear" w:color="auto" w:fill="D9D9D9" w:themeFill="background1" w:themeFillShade="D9"/>
          </w:tcPr>
          <w:p w14:paraId="23A92EA1" w14:textId="77777777" w:rsidR="00FF46E2" w:rsidRPr="00861E5C" w:rsidRDefault="00FF46E2" w:rsidP="00315A88">
            <w:pPr>
              <w:widowControl w:val="0"/>
              <w:spacing w:before="40" w:after="40" w:line="288" w:lineRule="auto"/>
              <w:jc w:val="left"/>
              <w:rPr>
                <w:rFonts w:ascii="Arial Narrow" w:hAnsi="Arial Narrow"/>
                <w:b/>
                <w:sz w:val="20"/>
                <w:szCs w:val="20"/>
              </w:rPr>
            </w:pPr>
            <w:r>
              <w:rPr>
                <w:rFonts w:ascii="Arial Narrow" w:hAnsi="Arial Narrow"/>
                <w:b/>
                <w:sz w:val="20"/>
                <w:szCs w:val="20"/>
              </w:rPr>
              <w:t>2</w:t>
            </w:r>
          </w:p>
        </w:tc>
        <w:tc>
          <w:tcPr>
            <w:tcW w:w="1350" w:type="pct"/>
            <w:tcBorders>
              <w:top w:val="single" w:sz="4" w:space="0" w:color="auto"/>
              <w:bottom w:val="single" w:sz="4" w:space="0" w:color="auto"/>
            </w:tcBorders>
            <w:shd w:val="clear" w:color="auto" w:fill="D9D9D9" w:themeFill="background1" w:themeFillShade="D9"/>
          </w:tcPr>
          <w:p w14:paraId="2C6E901C" w14:textId="77777777" w:rsidR="00FF46E2" w:rsidRPr="00861E5C" w:rsidRDefault="00FF46E2" w:rsidP="00315A88">
            <w:pPr>
              <w:widowControl w:val="0"/>
              <w:spacing w:before="40" w:after="40" w:line="288" w:lineRule="auto"/>
              <w:jc w:val="left"/>
              <w:rPr>
                <w:rFonts w:ascii="Arial Narrow" w:hAnsi="Arial Narrow"/>
                <w:sz w:val="20"/>
                <w:szCs w:val="20"/>
              </w:rPr>
            </w:pPr>
          </w:p>
        </w:tc>
        <w:tc>
          <w:tcPr>
            <w:tcW w:w="1256" w:type="pct"/>
            <w:tcBorders>
              <w:top w:val="single" w:sz="4" w:space="0" w:color="auto"/>
              <w:bottom w:val="single" w:sz="4" w:space="0" w:color="auto"/>
            </w:tcBorders>
            <w:shd w:val="clear" w:color="auto" w:fill="D9D9D9" w:themeFill="background1" w:themeFillShade="D9"/>
          </w:tcPr>
          <w:p w14:paraId="289B4FCD" w14:textId="77777777" w:rsidR="00FF46E2" w:rsidRPr="00861E5C" w:rsidRDefault="00FF46E2" w:rsidP="00315A88">
            <w:pPr>
              <w:widowControl w:val="0"/>
              <w:spacing w:before="40" w:after="40" w:line="288" w:lineRule="auto"/>
              <w:jc w:val="left"/>
              <w:rPr>
                <w:rFonts w:ascii="Arial Narrow" w:hAnsi="Arial Narrow"/>
                <w:sz w:val="20"/>
                <w:szCs w:val="20"/>
              </w:rPr>
            </w:pPr>
          </w:p>
        </w:tc>
        <w:tc>
          <w:tcPr>
            <w:tcW w:w="1303" w:type="pct"/>
            <w:tcBorders>
              <w:top w:val="single" w:sz="4" w:space="0" w:color="auto"/>
              <w:bottom w:val="single" w:sz="4" w:space="0" w:color="auto"/>
              <w:right w:val="single" w:sz="4" w:space="0" w:color="auto"/>
            </w:tcBorders>
            <w:shd w:val="clear" w:color="auto" w:fill="D9D9D9" w:themeFill="background1" w:themeFillShade="D9"/>
          </w:tcPr>
          <w:p w14:paraId="695125D7" w14:textId="77777777" w:rsidR="00FF46E2" w:rsidRPr="00861E5C" w:rsidRDefault="00FF46E2" w:rsidP="00315A88">
            <w:pPr>
              <w:widowControl w:val="0"/>
              <w:spacing w:before="40" w:after="40" w:line="288" w:lineRule="auto"/>
              <w:jc w:val="left"/>
              <w:rPr>
                <w:rFonts w:ascii="Arial Narrow" w:hAnsi="Arial Narrow"/>
                <w:sz w:val="20"/>
                <w:szCs w:val="20"/>
              </w:rPr>
            </w:pPr>
          </w:p>
        </w:tc>
      </w:tr>
      <w:tr w:rsidR="00FF46E2" w:rsidRPr="00861E5C" w14:paraId="15F4EF49" w14:textId="77777777" w:rsidTr="00E36FC8">
        <w:trPr>
          <w:cantSplit/>
          <w:trHeight w:val="1507"/>
        </w:trPr>
        <w:tc>
          <w:tcPr>
            <w:tcW w:w="457" w:type="pct"/>
            <w:tcBorders>
              <w:top w:val="single" w:sz="4" w:space="0" w:color="auto"/>
              <w:left w:val="single" w:sz="4" w:space="0" w:color="auto"/>
              <w:bottom w:val="single" w:sz="4" w:space="0" w:color="auto"/>
              <w:right w:val="single" w:sz="4" w:space="0" w:color="auto"/>
            </w:tcBorders>
            <w:shd w:val="clear" w:color="auto" w:fill="auto"/>
          </w:tcPr>
          <w:p w14:paraId="61FA4E9B" w14:textId="4FD1C603" w:rsidR="00FF46E2" w:rsidRPr="00FF46E2" w:rsidRDefault="00FF46E2" w:rsidP="00315A88">
            <w:pPr>
              <w:widowControl w:val="0"/>
              <w:spacing w:before="40" w:after="40" w:line="288" w:lineRule="auto"/>
              <w:jc w:val="left"/>
              <w:rPr>
                <w:rFonts w:ascii="Arial Narrow" w:hAnsi="Arial Narrow"/>
                <w:snapToGrid w:val="0"/>
                <w:sz w:val="20"/>
                <w:szCs w:val="20"/>
                <w:lang w:eastAsia="en-US"/>
              </w:rPr>
            </w:pPr>
            <w:r w:rsidRPr="00FF46E2">
              <w:rPr>
                <w:rFonts w:ascii="Arial Narrow" w:hAnsi="Arial Narrow"/>
                <w:snapToGrid w:val="0"/>
                <w:sz w:val="20"/>
                <w:szCs w:val="20"/>
                <w:lang w:eastAsia="en-US"/>
              </w:rPr>
              <w:t xml:space="preserve">Renaud et al </w:t>
            </w:r>
            <w:r w:rsidR="00A74293">
              <w:rPr>
                <w:rFonts w:ascii="Arial Narrow" w:hAnsi="Arial Narrow"/>
                <w:snapToGrid w:val="0"/>
                <w:sz w:val="20"/>
                <w:szCs w:val="20"/>
                <w:lang w:eastAsia="en-US"/>
              </w:rPr>
              <w:t>(</w:t>
            </w:r>
            <w:r w:rsidRPr="00FF46E2">
              <w:rPr>
                <w:rFonts w:ascii="Arial Narrow" w:hAnsi="Arial Narrow"/>
                <w:snapToGrid w:val="0"/>
                <w:sz w:val="20"/>
                <w:szCs w:val="20"/>
                <w:lang w:eastAsia="en-US"/>
              </w:rPr>
              <w:t>2014</w:t>
            </w:r>
            <w:r w:rsidR="00A74293">
              <w:rPr>
                <w:rFonts w:ascii="Arial Narrow" w:hAnsi="Arial Narrow"/>
                <w:snapToGrid w:val="0"/>
                <w:sz w:val="20"/>
                <w:szCs w:val="20"/>
                <w:lang w:eastAsia="en-US"/>
              </w:rPr>
              <w:t>)</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AA68100" w14:textId="77777777" w:rsid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Retrospective CS</w:t>
            </w:r>
          </w:p>
          <w:p w14:paraId="40AFBE08" w14:textId="77777777" w:rsid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Level IV </w:t>
            </w:r>
          </w:p>
          <w:p w14:paraId="311A1B5D" w14:textId="77777777" w:rsidR="00FF46E2" w:rsidRP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Risk of bias: High</w:t>
            </w:r>
          </w:p>
          <w:p w14:paraId="51988C2F" w14:textId="31639D9F" w:rsidR="00FF46E2" w:rsidRPr="00861E5C" w:rsidRDefault="00FF46E2" w:rsidP="00315A88">
            <w:pPr>
              <w:widowControl w:val="0"/>
              <w:spacing w:before="40" w:after="40" w:line="288" w:lineRule="auto"/>
              <w:jc w:val="left"/>
              <w:rPr>
                <w:rFonts w:ascii="Arial Narrow" w:hAnsi="Arial Narrow"/>
                <w:snapToGrid w:val="0"/>
                <w:sz w:val="20"/>
                <w:szCs w:val="20"/>
                <w:lang w:eastAsia="en-US"/>
              </w:rPr>
            </w:pPr>
            <w:r w:rsidRPr="00FF46E2">
              <w:rPr>
                <w:rFonts w:ascii="Arial Narrow" w:hAnsi="Arial Narrow"/>
                <w:snapToGrid w:val="0"/>
                <w:sz w:val="20"/>
                <w:szCs w:val="20"/>
                <w:lang w:eastAsia="en-US"/>
              </w:rPr>
              <w:t>21.6 months (0</w:t>
            </w:r>
            <w:r w:rsidR="007E3D66">
              <w:rPr>
                <w:rFonts w:ascii="Arial Narrow" w:hAnsi="Arial Narrow"/>
                <w:snapToGrid w:val="0"/>
                <w:sz w:val="20"/>
                <w:szCs w:val="20"/>
                <w:lang w:eastAsia="en-US"/>
              </w:rPr>
              <w:t>–</w:t>
            </w:r>
            <w:r w:rsidRPr="00FF46E2">
              <w:rPr>
                <w:rFonts w:ascii="Arial Narrow" w:hAnsi="Arial Narrow"/>
                <w:snapToGrid w:val="0"/>
                <w:sz w:val="20"/>
                <w:szCs w:val="20"/>
                <w:lang w:eastAsia="en-US"/>
              </w:rPr>
              <w:t>192)</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446D943" w14:textId="77777777" w:rsidR="009851AA" w:rsidRPr="009851AA" w:rsidRDefault="009851AA" w:rsidP="00315A88">
            <w:pPr>
              <w:widowControl w:val="0"/>
              <w:spacing w:before="40" w:after="40" w:line="288" w:lineRule="auto"/>
              <w:jc w:val="left"/>
              <w:rPr>
                <w:rFonts w:ascii="Arial Narrow" w:hAnsi="Arial Narrow"/>
                <w:snapToGrid w:val="0"/>
                <w:sz w:val="20"/>
                <w:szCs w:val="20"/>
                <w:lang w:eastAsia="en-US"/>
              </w:rPr>
            </w:pPr>
            <w:r w:rsidRPr="009851AA">
              <w:rPr>
                <w:rFonts w:ascii="Arial Narrow" w:hAnsi="Arial Narrow"/>
                <w:snapToGrid w:val="0"/>
                <w:sz w:val="20"/>
                <w:szCs w:val="20"/>
                <w:lang w:eastAsia="en-US"/>
              </w:rPr>
              <w:t>Lung metastases originating from a CRC who underwent resection with curative intent</w:t>
            </w:r>
          </w:p>
          <w:p w14:paraId="0D09D8A7" w14:textId="77777777" w:rsidR="009851AA" w:rsidRDefault="00C1075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N = </w:t>
            </w:r>
            <w:r w:rsidR="00044823">
              <w:rPr>
                <w:rFonts w:ascii="Arial Narrow" w:hAnsi="Arial Narrow"/>
                <w:snapToGrid w:val="0"/>
                <w:sz w:val="20"/>
                <w:szCs w:val="20"/>
                <w:lang w:eastAsia="en-US"/>
              </w:rPr>
              <w:t>320 (median number of resected lesions=2)</w:t>
            </w:r>
          </w:p>
          <w:p w14:paraId="4DC93511" w14:textId="77777777" w:rsidR="00044823" w:rsidRDefault="00044823"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Tumour size NR</w:t>
            </w:r>
          </w:p>
          <w:p w14:paraId="3B05A212" w14:textId="77777777" w:rsidR="00044823" w:rsidRPr="009851AA" w:rsidRDefault="00044823"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M/F ratio: </w:t>
            </w:r>
            <w:r w:rsidRPr="00044823">
              <w:rPr>
                <w:rFonts w:ascii="Arial Narrow" w:hAnsi="Arial Narrow"/>
                <w:snapToGrid w:val="0"/>
                <w:sz w:val="20"/>
                <w:szCs w:val="20"/>
                <w:lang w:eastAsia="en-US"/>
              </w:rPr>
              <w:t>215:105</w:t>
            </w:r>
          </w:p>
          <w:p w14:paraId="62275EA9" w14:textId="77777777" w:rsidR="00FF46E2" w:rsidRDefault="009851AA" w:rsidP="00315A88">
            <w:pPr>
              <w:widowControl w:val="0"/>
              <w:spacing w:before="40" w:after="40" w:line="288" w:lineRule="auto"/>
              <w:jc w:val="left"/>
              <w:rPr>
                <w:rFonts w:ascii="Arial Narrow" w:hAnsi="Arial Narrow"/>
                <w:snapToGrid w:val="0"/>
                <w:sz w:val="20"/>
                <w:szCs w:val="20"/>
                <w:lang w:eastAsia="en-US"/>
              </w:rPr>
            </w:pPr>
            <w:r w:rsidRPr="009851AA">
              <w:rPr>
                <w:rFonts w:ascii="Arial Narrow" w:hAnsi="Arial Narrow"/>
                <w:snapToGrid w:val="0"/>
                <w:sz w:val="20"/>
                <w:szCs w:val="20"/>
                <w:lang w:eastAsia="en-US"/>
              </w:rPr>
              <w:t>Median age: 63 (IQR: 13.75) years</w:t>
            </w:r>
          </w:p>
          <w:p w14:paraId="1B67563C" w14:textId="77777777" w:rsidR="00044823" w:rsidRPr="00861E5C" w:rsidRDefault="00044823"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Primary cancer: </w:t>
            </w:r>
            <w:r w:rsidRPr="00044823">
              <w:rPr>
                <w:rFonts w:ascii="Arial Narrow" w:hAnsi="Arial Narrow"/>
                <w:snapToGrid w:val="0"/>
                <w:sz w:val="20"/>
                <w:szCs w:val="20"/>
                <w:lang w:eastAsia="en-US"/>
              </w:rPr>
              <w:t>colon - 164/320 patients (51%), rectum - 156/320 patients (49%)</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6663F14B" w14:textId="77777777" w:rsidR="00FF46E2" w:rsidRDefault="006F3A29" w:rsidP="00315A88">
            <w:pPr>
              <w:widowControl w:val="0"/>
              <w:spacing w:before="40" w:after="40" w:line="288" w:lineRule="auto"/>
              <w:jc w:val="left"/>
              <w:rPr>
                <w:rFonts w:ascii="Arial Narrow" w:hAnsi="Arial Narrow"/>
                <w:sz w:val="20"/>
                <w:szCs w:val="20"/>
                <w:u w:val="single"/>
              </w:rPr>
            </w:pPr>
            <w:r w:rsidRPr="006F3A29">
              <w:rPr>
                <w:rFonts w:ascii="Arial Narrow" w:hAnsi="Arial Narrow"/>
                <w:sz w:val="20"/>
                <w:szCs w:val="20"/>
                <w:u w:val="single"/>
              </w:rPr>
              <w:t>Intervention: surgical resection</w:t>
            </w:r>
          </w:p>
          <w:p w14:paraId="232CBE9D" w14:textId="77777777" w:rsidR="00044823" w:rsidRDefault="00044823" w:rsidP="00315A88">
            <w:pPr>
              <w:widowControl w:val="0"/>
              <w:spacing w:before="40" w:after="40" w:line="288" w:lineRule="auto"/>
              <w:jc w:val="left"/>
              <w:rPr>
                <w:rFonts w:ascii="Arial Narrow" w:hAnsi="Arial Narrow"/>
                <w:sz w:val="20"/>
                <w:szCs w:val="20"/>
                <w:u w:val="single"/>
              </w:rPr>
            </w:pPr>
          </w:p>
          <w:p w14:paraId="069943E3" w14:textId="77777777" w:rsidR="00044823" w:rsidRPr="00044823" w:rsidRDefault="00044823" w:rsidP="00315A88">
            <w:pPr>
              <w:widowControl w:val="0"/>
              <w:spacing w:before="40" w:after="40" w:line="288" w:lineRule="auto"/>
              <w:jc w:val="left"/>
              <w:rPr>
                <w:rFonts w:ascii="Arial Narrow" w:hAnsi="Arial Narrow"/>
                <w:sz w:val="20"/>
                <w:szCs w:val="20"/>
                <w:u w:val="single"/>
              </w:rPr>
            </w:pPr>
            <w:r>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0CE0D71" w14:textId="77777777" w:rsidR="00FF46E2" w:rsidRDefault="00044823" w:rsidP="00F35FB4">
            <w:pPr>
              <w:keepNext/>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1. Postoperative mortality: death occurring during hospitalisation or within 30 days of surgery</w:t>
            </w:r>
          </w:p>
          <w:p w14:paraId="3BE687CF" w14:textId="77777777" w:rsidR="00044823" w:rsidRPr="00861E5C" w:rsidRDefault="00044823" w:rsidP="00F35FB4">
            <w:pPr>
              <w:keepNext/>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2. Overall survival: Kaplan-Meier test</w:t>
            </w:r>
          </w:p>
        </w:tc>
      </w:tr>
      <w:tr w:rsidR="00FF46E2" w:rsidRPr="00861E5C" w14:paraId="2C64D521" w14:textId="77777777" w:rsidTr="00E36FC8">
        <w:trPr>
          <w:cantSplit/>
          <w:trHeight w:val="2713"/>
        </w:trPr>
        <w:tc>
          <w:tcPr>
            <w:tcW w:w="457" w:type="pct"/>
            <w:tcBorders>
              <w:top w:val="single" w:sz="4" w:space="0" w:color="auto"/>
              <w:left w:val="single" w:sz="4" w:space="0" w:color="auto"/>
              <w:bottom w:val="single" w:sz="4" w:space="0" w:color="auto"/>
              <w:right w:val="single" w:sz="4" w:space="0" w:color="auto"/>
            </w:tcBorders>
            <w:shd w:val="clear" w:color="auto" w:fill="auto"/>
          </w:tcPr>
          <w:p w14:paraId="708C8A40" w14:textId="2E68E00A" w:rsidR="00FF46E2" w:rsidRPr="00FF46E2" w:rsidRDefault="00FF46E2" w:rsidP="00315A88">
            <w:pPr>
              <w:widowControl w:val="0"/>
              <w:spacing w:before="40" w:after="40" w:line="288" w:lineRule="auto"/>
              <w:jc w:val="left"/>
              <w:rPr>
                <w:rFonts w:ascii="Arial Narrow" w:hAnsi="Arial Narrow"/>
                <w:snapToGrid w:val="0"/>
                <w:sz w:val="20"/>
                <w:szCs w:val="20"/>
                <w:lang w:eastAsia="en-US"/>
              </w:rPr>
            </w:pPr>
            <w:r w:rsidRPr="00FF46E2">
              <w:rPr>
                <w:rFonts w:ascii="Arial Narrow" w:hAnsi="Arial Narrow"/>
                <w:snapToGrid w:val="0"/>
                <w:sz w:val="20"/>
                <w:szCs w:val="20"/>
                <w:lang w:eastAsia="en-US"/>
              </w:rPr>
              <w:t xml:space="preserve">Younes et al </w:t>
            </w:r>
            <w:r w:rsidR="00A74293">
              <w:rPr>
                <w:rFonts w:ascii="Arial Narrow" w:hAnsi="Arial Narrow"/>
                <w:snapToGrid w:val="0"/>
                <w:sz w:val="20"/>
                <w:szCs w:val="20"/>
                <w:lang w:eastAsia="en-US"/>
              </w:rPr>
              <w:t>(</w:t>
            </w:r>
            <w:r w:rsidRPr="00FF46E2">
              <w:rPr>
                <w:rFonts w:ascii="Arial Narrow" w:hAnsi="Arial Narrow"/>
                <w:snapToGrid w:val="0"/>
                <w:sz w:val="20"/>
                <w:szCs w:val="20"/>
                <w:lang w:eastAsia="en-US"/>
              </w:rPr>
              <w:t>2009</w:t>
            </w:r>
            <w:r w:rsidR="00A74293">
              <w:rPr>
                <w:rFonts w:ascii="Arial Narrow" w:hAnsi="Arial Narrow"/>
                <w:snapToGrid w:val="0"/>
                <w:sz w:val="20"/>
                <w:szCs w:val="20"/>
                <w:lang w:eastAsia="en-US"/>
              </w:rPr>
              <w:t>)</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AA0A512" w14:textId="77777777" w:rsid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Retrospective CS</w:t>
            </w:r>
          </w:p>
          <w:p w14:paraId="5FE98C10" w14:textId="77777777" w:rsid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Level IV </w:t>
            </w:r>
          </w:p>
          <w:p w14:paraId="1DAF2A91" w14:textId="77777777" w:rsidR="00FF46E2" w:rsidRP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Risk of bias: High</w:t>
            </w:r>
          </w:p>
          <w:p w14:paraId="6400AD9A" w14:textId="77777777" w:rsidR="00FF46E2" w:rsidRPr="00861E5C" w:rsidRDefault="00FF46E2" w:rsidP="00315A88">
            <w:pPr>
              <w:widowControl w:val="0"/>
              <w:spacing w:before="40" w:after="40" w:line="288" w:lineRule="auto"/>
              <w:jc w:val="left"/>
              <w:rPr>
                <w:rFonts w:ascii="Arial Narrow" w:hAnsi="Arial Narrow"/>
                <w:snapToGrid w:val="0"/>
                <w:sz w:val="20"/>
                <w:szCs w:val="20"/>
                <w:lang w:eastAsia="en-US"/>
              </w:rPr>
            </w:pPr>
            <w:r w:rsidRPr="00FF46E2">
              <w:rPr>
                <w:rFonts w:ascii="Arial Narrow" w:hAnsi="Arial Narrow"/>
                <w:snapToGrid w:val="0"/>
                <w:sz w:val="20"/>
                <w:szCs w:val="20"/>
                <w:lang w:eastAsia="en-US"/>
              </w:rPr>
              <w:t>NR</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C014952" w14:textId="6284B8CD" w:rsidR="00A829BA" w:rsidRDefault="00A829BA"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Patients with primary malignant solid tumour, primary controlled or controllable, nodules confined to lun</w:t>
            </w:r>
            <w:r w:rsidR="00EA4F1A">
              <w:rPr>
                <w:rFonts w:ascii="Arial Narrow" w:hAnsi="Arial Narrow"/>
                <w:snapToGrid w:val="0"/>
                <w:sz w:val="20"/>
                <w:szCs w:val="20"/>
                <w:lang w:eastAsia="en-US"/>
              </w:rPr>
              <w:t>g</w:t>
            </w:r>
          </w:p>
          <w:p w14:paraId="672A9636" w14:textId="77777777" w:rsidR="00044823" w:rsidRDefault="00C1075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N = </w:t>
            </w:r>
            <w:r w:rsidR="00044823">
              <w:rPr>
                <w:rFonts w:ascii="Arial Narrow" w:hAnsi="Arial Narrow"/>
                <w:snapToGrid w:val="0"/>
                <w:sz w:val="20"/>
                <w:szCs w:val="20"/>
                <w:lang w:eastAsia="en-US"/>
              </w:rPr>
              <w:t>529 (median resected: 1)</w:t>
            </w:r>
          </w:p>
          <w:p w14:paraId="67D17D77" w14:textId="5B9222A7" w:rsidR="00044823" w:rsidRPr="009851AA" w:rsidRDefault="007F19E3"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Largest d</w:t>
            </w:r>
            <w:r w:rsidR="00044823" w:rsidRPr="00044823">
              <w:rPr>
                <w:rFonts w:ascii="Arial Narrow" w:hAnsi="Arial Narrow"/>
                <w:snapToGrid w:val="0"/>
                <w:sz w:val="20"/>
                <w:szCs w:val="20"/>
                <w:lang w:eastAsia="en-US"/>
              </w:rPr>
              <w:t>iameter</w:t>
            </w:r>
            <w:r>
              <w:rPr>
                <w:rFonts w:ascii="Arial Narrow" w:hAnsi="Arial Narrow"/>
                <w:snapToGrid w:val="0"/>
                <w:sz w:val="20"/>
                <w:szCs w:val="20"/>
                <w:lang w:eastAsia="en-US"/>
              </w:rPr>
              <w:t>:</w:t>
            </w:r>
            <w:r w:rsidR="00044823" w:rsidRPr="00044823">
              <w:rPr>
                <w:rFonts w:ascii="Arial Narrow" w:hAnsi="Arial Narrow"/>
                <w:snapToGrid w:val="0"/>
                <w:sz w:val="20"/>
                <w:szCs w:val="20"/>
                <w:lang w:eastAsia="en-US"/>
              </w:rPr>
              <w:t xml:space="preserve"> ≤ 1 cm 163/526 (31%); 1.1</w:t>
            </w:r>
            <w:r w:rsidR="007E3D66">
              <w:rPr>
                <w:rFonts w:ascii="Arial Narrow" w:hAnsi="Arial Narrow"/>
                <w:snapToGrid w:val="0"/>
                <w:sz w:val="20"/>
                <w:szCs w:val="20"/>
                <w:lang w:eastAsia="en-US"/>
              </w:rPr>
              <w:t>–</w:t>
            </w:r>
            <w:r w:rsidR="00044823" w:rsidRPr="00044823">
              <w:rPr>
                <w:rFonts w:ascii="Arial Narrow" w:hAnsi="Arial Narrow"/>
                <w:snapToGrid w:val="0"/>
                <w:sz w:val="20"/>
                <w:szCs w:val="20"/>
                <w:lang w:eastAsia="en-US"/>
              </w:rPr>
              <w:t>3cm</w:t>
            </w:r>
            <w:r>
              <w:rPr>
                <w:rFonts w:ascii="Arial Narrow" w:hAnsi="Arial Narrow"/>
                <w:snapToGrid w:val="0"/>
                <w:sz w:val="20"/>
                <w:szCs w:val="20"/>
                <w:lang w:eastAsia="en-US"/>
              </w:rPr>
              <w:t xml:space="preserve"> </w:t>
            </w:r>
            <w:r w:rsidR="00044823" w:rsidRPr="00044823">
              <w:rPr>
                <w:rFonts w:ascii="Arial Narrow" w:hAnsi="Arial Narrow"/>
                <w:snapToGrid w:val="0"/>
                <w:sz w:val="20"/>
                <w:szCs w:val="20"/>
                <w:lang w:eastAsia="en-US"/>
              </w:rPr>
              <w:t>256/526 (48.7%); &gt;3cm 107/526 (20.3%)</w:t>
            </w:r>
          </w:p>
          <w:p w14:paraId="6AC734FD" w14:textId="77777777" w:rsidR="00044823" w:rsidRDefault="00044823"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M/F ratio: </w:t>
            </w:r>
            <w:r w:rsidRPr="00044823">
              <w:rPr>
                <w:rFonts w:ascii="Arial Narrow" w:hAnsi="Arial Narrow"/>
                <w:snapToGrid w:val="0"/>
                <w:sz w:val="20"/>
                <w:szCs w:val="20"/>
                <w:lang w:eastAsia="en-US"/>
              </w:rPr>
              <w:t>267:262</w:t>
            </w:r>
          </w:p>
          <w:p w14:paraId="7DC7B2FE" w14:textId="79E56007" w:rsidR="0074232E" w:rsidRDefault="007F19E3"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Age </w:t>
            </w:r>
            <w:r w:rsidR="009851AA" w:rsidRPr="009851AA">
              <w:rPr>
                <w:rFonts w:ascii="Arial Narrow" w:hAnsi="Arial Narrow"/>
                <w:snapToGrid w:val="0"/>
                <w:sz w:val="20"/>
                <w:szCs w:val="20"/>
                <w:lang w:eastAsia="en-US"/>
              </w:rPr>
              <w:t>0</w:t>
            </w:r>
            <w:r w:rsidR="007E3D66">
              <w:rPr>
                <w:rFonts w:ascii="Arial Narrow" w:hAnsi="Arial Narrow"/>
                <w:snapToGrid w:val="0"/>
                <w:sz w:val="20"/>
                <w:szCs w:val="20"/>
                <w:lang w:eastAsia="en-US"/>
              </w:rPr>
              <w:t>–</w:t>
            </w:r>
            <w:r w:rsidR="009851AA" w:rsidRPr="009851AA">
              <w:rPr>
                <w:rFonts w:ascii="Arial Narrow" w:hAnsi="Arial Narrow"/>
                <w:snapToGrid w:val="0"/>
                <w:sz w:val="20"/>
                <w:szCs w:val="20"/>
                <w:lang w:eastAsia="en-US"/>
              </w:rPr>
              <w:t>12 years: 38/529 (7.2%); 13</w:t>
            </w:r>
            <w:r w:rsidR="007E3D66">
              <w:rPr>
                <w:rFonts w:ascii="Arial Narrow" w:hAnsi="Arial Narrow"/>
                <w:snapToGrid w:val="0"/>
                <w:sz w:val="20"/>
                <w:szCs w:val="20"/>
                <w:lang w:eastAsia="en-US"/>
              </w:rPr>
              <w:t>–</w:t>
            </w:r>
            <w:r w:rsidR="009851AA" w:rsidRPr="009851AA">
              <w:rPr>
                <w:rFonts w:ascii="Arial Narrow" w:hAnsi="Arial Narrow"/>
                <w:snapToGrid w:val="0"/>
                <w:sz w:val="20"/>
                <w:szCs w:val="20"/>
                <w:lang w:eastAsia="en-US"/>
              </w:rPr>
              <w:t>40 years: 155/529 (29.3%); 65 years: 231/529 (43.7%); 70 years: 105/529 (19.8%)</w:t>
            </w:r>
          </w:p>
          <w:p w14:paraId="3E8566CE" w14:textId="7CBCCC52" w:rsidR="00044823" w:rsidRPr="00861E5C" w:rsidRDefault="00044823"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Primary tumours: </w:t>
            </w:r>
            <w:r w:rsidRPr="00044823">
              <w:rPr>
                <w:rFonts w:ascii="Arial Narrow" w:hAnsi="Arial Narrow"/>
                <w:snapToGrid w:val="0"/>
                <w:sz w:val="20"/>
                <w:szCs w:val="20"/>
                <w:lang w:eastAsia="en-US"/>
              </w:rPr>
              <w:t>Adenocarcinoma 154/528 (29.2%), osteosarcoma 86/528 (16.3%), squamous cell 81/528 (15.3%), soft tissue sarcoma 75/528 (14.2%), melanoma 48/528 (9.2%), other: 84/528 (15.9%)</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1EC5B24C" w14:textId="77777777" w:rsidR="00044823" w:rsidRDefault="00044823" w:rsidP="00315A88">
            <w:pPr>
              <w:widowControl w:val="0"/>
              <w:spacing w:before="40" w:after="40" w:line="288" w:lineRule="auto"/>
              <w:jc w:val="left"/>
              <w:rPr>
                <w:rFonts w:ascii="Arial Narrow" w:hAnsi="Arial Narrow"/>
                <w:sz w:val="20"/>
                <w:szCs w:val="20"/>
                <w:u w:val="single"/>
              </w:rPr>
            </w:pPr>
            <w:r w:rsidRPr="006F3A29">
              <w:rPr>
                <w:rFonts w:ascii="Arial Narrow" w:hAnsi="Arial Narrow"/>
                <w:sz w:val="20"/>
                <w:szCs w:val="20"/>
                <w:u w:val="single"/>
              </w:rPr>
              <w:t>Intervention: surgical resection</w:t>
            </w:r>
          </w:p>
          <w:p w14:paraId="2155CFB3" w14:textId="77777777" w:rsidR="00044823" w:rsidRDefault="00044823" w:rsidP="00315A88">
            <w:pPr>
              <w:widowControl w:val="0"/>
              <w:spacing w:before="40" w:after="40" w:line="288" w:lineRule="auto"/>
              <w:jc w:val="left"/>
              <w:rPr>
                <w:rFonts w:ascii="Arial Narrow" w:hAnsi="Arial Narrow"/>
                <w:sz w:val="20"/>
                <w:szCs w:val="20"/>
                <w:u w:val="single"/>
              </w:rPr>
            </w:pPr>
          </w:p>
          <w:p w14:paraId="740DC171" w14:textId="77777777" w:rsidR="00FF46E2" w:rsidRPr="00861E5C" w:rsidRDefault="00044823" w:rsidP="00315A88">
            <w:pPr>
              <w:widowControl w:val="0"/>
              <w:spacing w:before="40" w:after="40" w:line="288" w:lineRule="auto"/>
              <w:jc w:val="left"/>
              <w:rPr>
                <w:rFonts w:ascii="Arial Narrow" w:hAnsi="Arial Narrow"/>
                <w:sz w:val="20"/>
                <w:szCs w:val="20"/>
                <w:u w:val="single"/>
              </w:rPr>
            </w:pPr>
            <w:r>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EC30DD3" w14:textId="77777777" w:rsidR="00044823" w:rsidRDefault="00044823" w:rsidP="00315A88">
            <w:pPr>
              <w:keepNext/>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1. Adverse events: not defined.</w:t>
            </w:r>
          </w:p>
          <w:p w14:paraId="2BF64892" w14:textId="77777777" w:rsidR="00044823" w:rsidRDefault="00044823" w:rsidP="00315A88">
            <w:pPr>
              <w:keepNext/>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2. Overall survival rate: Kaplan-Meier test.</w:t>
            </w:r>
          </w:p>
          <w:p w14:paraId="224AD89D" w14:textId="77777777" w:rsidR="00FF46E2" w:rsidRPr="00861E5C" w:rsidRDefault="00A22E38" w:rsidP="00315A88">
            <w:pPr>
              <w:keepNext/>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3. Prognostic factors: univariate and multivariate analyses. </w:t>
            </w:r>
          </w:p>
        </w:tc>
      </w:tr>
      <w:tr w:rsidR="00FF46E2" w:rsidRPr="00861E5C" w14:paraId="01E9BDCE" w14:textId="77777777" w:rsidTr="00E36FC8">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33512184" w14:textId="0A1E785B" w:rsidR="00FF46E2" w:rsidRPr="00FF46E2" w:rsidRDefault="00FF46E2" w:rsidP="00315A88">
            <w:pPr>
              <w:widowControl w:val="0"/>
              <w:spacing w:before="40" w:after="40" w:line="288" w:lineRule="auto"/>
              <w:jc w:val="left"/>
              <w:rPr>
                <w:rFonts w:ascii="Arial Narrow" w:hAnsi="Arial Narrow"/>
                <w:snapToGrid w:val="0"/>
                <w:sz w:val="20"/>
                <w:szCs w:val="20"/>
                <w:lang w:eastAsia="en-US"/>
              </w:rPr>
            </w:pPr>
            <w:r w:rsidRPr="00FF46E2">
              <w:rPr>
                <w:rFonts w:ascii="Arial Narrow" w:hAnsi="Arial Narrow"/>
                <w:snapToGrid w:val="0"/>
                <w:sz w:val="20"/>
                <w:szCs w:val="20"/>
                <w:lang w:eastAsia="en-US"/>
              </w:rPr>
              <w:lastRenderedPageBreak/>
              <w:t xml:space="preserve">Reza et al </w:t>
            </w:r>
            <w:r w:rsidR="00A74293">
              <w:rPr>
                <w:rFonts w:ascii="Arial Narrow" w:hAnsi="Arial Narrow"/>
                <w:snapToGrid w:val="0"/>
                <w:sz w:val="20"/>
                <w:szCs w:val="20"/>
                <w:lang w:eastAsia="en-US"/>
              </w:rPr>
              <w:t>(</w:t>
            </w:r>
            <w:r w:rsidRPr="00FF46E2">
              <w:rPr>
                <w:rFonts w:ascii="Arial Narrow" w:hAnsi="Arial Narrow"/>
                <w:snapToGrid w:val="0"/>
                <w:sz w:val="20"/>
                <w:szCs w:val="20"/>
                <w:lang w:eastAsia="en-US"/>
              </w:rPr>
              <w:t>2014</w:t>
            </w:r>
            <w:r w:rsidR="00A74293">
              <w:rPr>
                <w:rFonts w:ascii="Arial Narrow" w:hAnsi="Arial Narrow"/>
                <w:snapToGrid w:val="0"/>
                <w:sz w:val="20"/>
                <w:szCs w:val="20"/>
                <w:lang w:eastAsia="en-US"/>
              </w:rPr>
              <w:t>)</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4A7F8637" w14:textId="77777777" w:rsidR="00FF46E2" w:rsidRDefault="00FF46E2" w:rsidP="00315A88">
            <w:pPr>
              <w:widowControl w:val="0"/>
              <w:spacing w:before="40" w:after="40" w:line="288" w:lineRule="auto"/>
              <w:jc w:val="left"/>
              <w:rPr>
                <w:rFonts w:ascii="Arial Narrow" w:hAnsi="Arial Narrow"/>
                <w:snapToGrid w:val="0"/>
                <w:sz w:val="20"/>
                <w:szCs w:val="20"/>
                <w:lang w:eastAsia="en-US"/>
              </w:rPr>
            </w:pPr>
            <w:r w:rsidRPr="00FF46E2">
              <w:rPr>
                <w:rFonts w:ascii="Arial Narrow" w:hAnsi="Arial Narrow"/>
                <w:snapToGrid w:val="0"/>
                <w:sz w:val="20"/>
                <w:szCs w:val="20"/>
                <w:lang w:eastAsia="en-US"/>
              </w:rPr>
              <w:t>Retrospective CS</w:t>
            </w:r>
            <w:r>
              <w:rPr>
                <w:rFonts w:ascii="Arial Narrow" w:hAnsi="Arial Narrow"/>
                <w:snapToGrid w:val="0"/>
                <w:sz w:val="20"/>
                <w:szCs w:val="20"/>
                <w:lang w:eastAsia="en-US"/>
              </w:rPr>
              <w:t xml:space="preserve"> </w:t>
            </w:r>
          </w:p>
          <w:p w14:paraId="194CCDD7" w14:textId="77777777" w:rsid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Level IV </w:t>
            </w:r>
          </w:p>
          <w:p w14:paraId="32816D20" w14:textId="77777777" w:rsidR="00FF46E2" w:rsidRP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Risk of bias: High</w:t>
            </w:r>
          </w:p>
          <w:p w14:paraId="2A442B0F" w14:textId="2EF09092" w:rsidR="00FF46E2" w:rsidRPr="00861E5C" w:rsidRDefault="00FF46E2" w:rsidP="00315A88">
            <w:pPr>
              <w:widowControl w:val="0"/>
              <w:spacing w:before="40" w:after="40" w:line="288" w:lineRule="auto"/>
              <w:jc w:val="left"/>
              <w:rPr>
                <w:rFonts w:ascii="Arial Narrow" w:hAnsi="Arial Narrow"/>
                <w:snapToGrid w:val="0"/>
                <w:sz w:val="20"/>
                <w:szCs w:val="20"/>
                <w:lang w:eastAsia="en-US"/>
              </w:rPr>
            </w:pPr>
            <w:r w:rsidRPr="00FF46E2">
              <w:rPr>
                <w:rFonts w:ascii="Arial Narrow" w:hAnsi="Arial Narrow"/>
                <w:snapToGrid w:val="0"/>
                <w:sz w:val="20"/>
                <w:szCs w:val="20"/>
                <w:lang w:eastAsia="en-US"/>
              </w:rPr>
              <w:t>17.7 (6</w:t>
            </w:r>
            <w:r w:rsidR="007E3D66">
              <w:rPr>
                <w:rFonts w:ascii="Arial Narrow" w:hAnsi="Arial Narrow"/>
                <w:snapToGrid w:val="0"/>
                <w:sz w:val="20"/>
                <w:szCs w:val="20"/>
                <w:lang w:eastAsia="en-US"/>
              </w:rPr>
              <w:t>–</w:t>
            </w:r>
            <w:r w:rsidRPr="00FF46E2">
              <w:rPr>
                <w:rFonts w:ascii="Arial Narrow" w:hAnsi="Arial Narrow"/>
                <w:snapToGrid w:val="0"/>
                <w:sz w:val="20"/>
                <w:szCs w:val="20"/>
                <w:lang w:eastAsia="en-US"/>
              </w:rPr>
              <w:t>45) months</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434AE67" w14:textId="77777777" w:rsidR="009851AA" w:rsidRDefault="00A22E38"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P</w:t>
            </w:r>
            <w:r w:rsidR="009851AA" w:rsidRPr="009851AA">
              <w:rPr>
                <w:rFonts w:ascii="Arial Narrow" w:hAnsi="Arial Narrow"/>
                <w:snapToGrid w:val="0"/>
                <w:sz w:val="20"/>
                <w:szCs w:val="20"/>
                <w:lang w:eastAsia="en-US"/>
              </w:rPr>
              <w:t>ulmonary metastasectomies for sarcoma involving complete resection of their metastatic disease</w:t>
            </w:r>
          </w:p>
          <w:p w14:paraId="441351A0" w14:textId="77777777" w:rsidR="00A22E38" w:rsidRDefault="00A22E38"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N</w:t>
            </w:r>
            <w:r w:rsidR="00B95CD5">
              <w:rPr>
                <w:rFonts w:ascii="Arial Narrow" w:hAnsi="Arial Narrow"/>
                <w:snapToGrid w:val="0"/>
                <w:sz w:val="20"/>
                <w:szCs w:val="20"/>
                <w:lang w:eastAsia="en-US"/>
              </w:rPr>
              <w:t xml:space="preserve"> </w:t>
            </w:r>
            <w:r>
              <w:rPr>
                <w:rFonts w:ascii="Arial Narrow" w:hAnsi="Arial Narrow"/>
                <w:snapToGrid w:val="0"/>
                <w:sz w:val="20"/>
                <w:szCs w:val="20"/>
                <w:lang w:eastAsia="en-US"/>
              </w:rPr>
              <w:t>=</w:t>
            </w:r>
            <w:r w:rsidR="00B95CD5">
              <w:rPr>
                <w:rFonts w:ascii="Arial Narrow" w:hAnsi="Arial Narrow"/>
                <w:snapToGrid w:val="0"/>
                <w:sz w:val="20"/>
                <w:szCs w:val="20"/>
                <w:lang w:eastAsia="en-US"/>
              </w:rPr>
              <w:t xml:space="preserve"> </w:t>
            </w:r>
            <w:r>
              <w:rPr>
                <w:rFonts w:ascii="Arial Narrow" w:hAnsi="Arial Narrow"/>
                <w:snapToGrid w:val="0"/>
                <w:sz w:val="20"/>
                <w:szCs w:val="20"/>
                <w:lang w:eastAsia="en-US"/>
              </w:rPr>
              <w:t>118 (lesions: NR)</w:t>
            </w:r>
          </w:p>
          <w:p w14:paraId="342F4769" w14:textId="156BF10A" w:rsidR="009851AA" w:rsidRDefault="00A22E38"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Tumour size: </w:t>
            </w:r>
            <w:r w:rsidR="009851AA" w:rsidRPr="009851AA">
              <w:rPr>
                <w:rFonts w:ascii="Arial Narrow" w:hAnsi="Arial Narrow"/>
                <w:snapToGrid w:val="0"/>
                <w:sz w:val="20"/>
                <w:szCs w:val="20"/>
                <w:lang w:eastAsia="en-US"/>
              </w:rPr>
              <w:t>0</w:t>
            </w:r>
            <w:r w:rsidR="007E3D66">
              <w:rPr>
                <w:rFonts w:ascii="Arial Narrow" w:hAnsi="Arial Narrow"/>
                <w:snapToGrid w:val="0"/>
                <w:sz w:val="20"/>
                <w:szCs w:val="20"/>
                <w:lang w:eastAsia="en-US"/>
              </w:rPr>
              <w:t>–</w:t>
            </w:r>
            <w:r w:rsidR="009851AA" w:rsidRPr="009851AA">
              <w:rPr>
                <w:rFonts w:ascii="Arial Narrow" w:hAnsi="Arial Narrow"/>
                <w:snapToGrid w:val="0"/>
                <w:sz w:val="20"/>
                <w:szCs w:val="20"/>
                <w:lang w:eastAsia="en-US"/>
              </w:rPr>
              <w:t>3 cm: 74/118 patients (62.7%), 3</w:t>
            </w:r>
            <w:r w:rsidR="007E3D66">
              <w:rPr>
                <w:rFonts w:ascii="Arial Narrow" w:hAnsi="Arial Narrow"/>
                <w:snapToGrid w:val="0"/>
                <w:sz w:val="20"/>
                <w:szCs w:val="20"/>
                <w:lang w:eastAsia="en-US"/>
              </w:rPr>
              <w:t>–</w:t>
            </w:r>
            <w:r w:rsidR="009851AA" w:rsidRPr="009851AA">
              <w:rPr>
                <w:rFonts w:ascii="Arial Narrow" w:hAnsi="Arial Narrow"/>
                <w:snapToGrid w:val="0"/>
                <w:sz w:val="20"/>
                <w:szCs w:val="20"/>
                <w:lang w:eastAsia="en-US"/>
              </w:rPr>
              <w:t>5 cm: 20/118 patients (16.9%), &gt; 5 cm: 24/118 patients (20.3%)</w:t>
            </w:r>
          </w:p>
          <w:p w14:paraId="14D34A49" w14:textId="77777777" w:rsidR="00A22E38" w:rsidRPr="009851AA" w:rsidRDefault="00A22E38"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M/F ratio: 62:56</w:t>
            </w:r>
          </w:p>
          <w:p w14:paraId="08D57C68" w14:textId="77777777" w:rsidR="00FF46E2" w:rsidRDefault="009851AA" w:rsidP="00315A88">
            <w:pPr>
              <w:widowControl w:val="0"/>
              <w:spacing w:before="40" w:after="40" w:line="288" w:lineRule="auto"/>
              <w:jc w:val="left"/>
              <w:rPr>
                <w:rFonts w:ascii="Arial Narrow" w:hAnsi="Arial Narrow"/>
                <w:snapToGrid w:val="0"/>
                <w:sz w:val="20"/>
                <w:szCs w:val="20"/>
                <w:lang w:eastAsia="en-US"/>
              </w:rPr>
            </w:pPr>
            <w:r w:rsidRPr="009851AA">
              <w:rPr>
                <w:rFonts w:ascii="Arial Narrow" w:hAnsi="Arial Narrow"/>
                <w:snapToGrid w:val="0"/>
                <w:sz w:val="20"/>
                <w:szCs w:val="20"/>
                <w:lang w:eastAsia="en-US"/>
              </w:rPr>
              <w:t>Mean (SD): 46.5±15.4 years</w:t>
            </w:r>
          </w:p>
          <w:p w14:paraId="011269DE" w14:textId="6C8EE933" w:rsidR="00A22E38" w:rsidRPr="00861E5C" w:rsidRDefault="00A22E38"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Primary tumour: </w:t>
            </w:r>
            <w:r w:rsidRPr="00A22E38">
              <w:rPr>
                <w:rFonts w:ascii="Arial Narrow" w:hAnsi="Arial Narrow"/>
                <w:snapToGrid w:val="0"/>
                <w:sz w:val="20"/>
                <w:szCs w:val="20"/>
                <w:lang w:eastAsia="en-US"/>
              </w:rPr>
              <w:t>unspecified sarcoma: 14/118 (12%), fibrosarcoma: 4/118 (3%), osteosarcoma: 19/118 (16%), Ewings sarcoma: 5/118 (4%), Synovial sarcoma: 16/118 (14%), spindle cell sarcoma: 6/118 patients (5%), leiomosarcoma: 29/118 (24%), peripheral nerve sheath: 3/118 (3%), chondrosarcoma: 6/118 (5%), rhabdomyosarcoma: 2/118 (2%), liposarcoma: 6/118 (5%), giant cell sarcoma: 3/118 (3%), other: 5/118 (4%)</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3A741316" w14:textId="77777777" w:rsidR="00A22E38" w:rsidRDefault="00A22E38" w:rsidP="00315A88">
            <w:pPr>
              <w:widowControl w:val="0"/>
              <w:spacing w:before="40" w:after="40" w:line="288" w:lineRule="auto"/>
              <w:jc w:val="left"/>
              <w:rPr>
                <w:rFonts w:ascii="Arial Narrow" w:hAnsi="Arial Narrow"/>
                <w:sz w:val="20"/>
                <w:szCs w:val="20"/>
                <w:u w:val="single"/>
              </w:rPr>
            </w:pPr>
            <w:r w:rsidRPr="006F3A29">
              <w:rPr>
                <w:rFonts w:ascii="Arial Narrow" w:hAnsi="Arial Narrow"/>
                <w:sz w:val="20"/>
                <w:szCs w:val="20"/>
                <w:u w:val="single"/>
              </w:rPr>
              <w:t>Intervention: surgical resection</w:t>
            </w:r>
          </w:p>
          <w:p w14:paraId="120CF7A1" w14:textId="77777777" w:rsidR="00A22E38" w:rsidRDefault="00A22E38" w:rsidP="00315A88">
            <w:pPr>
              <w:widowControl w:val="0"/>
              <w:spacing w:before="40" w:after="40" w:line="288" w:lineRule="auto"/>
              <w:jc w:val="left"/>
              <w:rPr>
                <w:rFonts w:ascii="Arial Narrow" w:hAnsi="Arial Narrow"/>
                <w:sz w:val="20"/>
                <w:szCs w:val="20"/>
                <w:u w:val="single"/>
              </w:rPr>
            </w:pPr>
          </w:p>
          <w:p w14:paraId="1684A91E" w14:textId="77777777" w:rsidR="00FF46E2" w:rsidRPr="00861E5C" w:rsidRDefault="00A22E38" w:rsidP="00315A88">
            <w:pPr>
              <w:widowControl w:val="0"/>
              <w:spacing w:before="40" w:after="40" w:line="288" w:lineRule="auto"/>
              <w:jc w:val="left"/>
              <w:rPr>
                <w:rFonts w:ascii="Arial Narrow" w:hAnsi="Arial Narrow"/>
                <w:sz w:val="20"/>
                <w:szCs w:val="20"/>
                <w:u w:val="single"/>
              </w:rPr>
            </w:pPr>
            <w:r>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7A589E44" w14:textId="77777777" w:rsidR="00A22E38" w:rsidRDefault="00A22E38" w:rsidP="00315A88">
            <w:pPr>
              <w:keepNext/>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1. Overall survival: assessed by Kaplan-Meier test. </w:t>
            </w:r>
          </w:p>
          <w:p w14:paraId="34BC83A6" w14:textId="77777777" w:rsidR="00A22E38" w:rsidRDefault="00A22E38" w:rsidP="00315A88">
            <w:pPr>
              <w:keepNext/>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2. Recurrence: not specified.</w:t>
            </w:r>
          </w:p>
          <w:p w14:paraId="3F135557" w14:textId="77777777" w:rsidR="00A22E38" w:rsidRDefault="00A22E38" w:rsidP="00315A88">
            <w:pPr>
              <w:keepNext/>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3. Repeat resection.</w:t>
            </w:r>
          </w:p>
          <w:p w14:paraId="63BDC2DF" w14:textId="77777777" w:rsidR="00FF46E2" w:rsidRPr="00861E5C" w:rsidRDefault="00A22E38" w:rsidP="00315A88">
            <w:pPr>
              <w:keepNext/>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4. Prognostic factors: Cox proportional hazards modelling</w:t>
            </w:r>
          </w:p>
        </w:tc>
      </w:tr>
      <w:tr w:rsidR="00FF46E2" w:rsidRPr="00861E5C" w14:paraId="60DAFF5B" w14:textId="77777777" w:rsidTr="00E36FC8">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7F2344AD" w14:textId="239A7C25" w:rsidR="00FF46E2" w:rsidRPr="00FF46E2" w:rsidRDefault="00A74293"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lastRenderedPageBreak/>
              <w:t>Rodriguez-</w:t>
            </w:r>
            <w:r w:rsidR="00FF46E2" w:rsidRPr="00FF46E2">
              <w:rPr>
                <w:rFonts w:ascii="Arial Narrow" w:hAnsi="Arial Narrow"/>
                <w:snapToGrid w:val="0"/>
                <w:sz w:val="20"/>
                <w:szCs w:val="20"/>
                <w:lang w:eastAsia="en-US"/>
              </w:rPr>
              <w:t xml:space="preserve">Fuster et al </w:t>
            </w:r>
            <w:r>
              <w:rPr>
                <w:rFonts w:ascii="Arial Narrow" w:hAnsi="Arial Narrow"/>
                <w:snapToGrid w:val="0"/>
                <w:sz w:val="20"/>
                <w:szCs w:val="20"/>
                <w:lang w:eastAsia="en-US"/>
              </w:rPr>
              <w:t>(</w:t>
            </w:r>
            <w:r w:rsidR="00FF46E2" w:rsidRPr="00FF46E2">
              <w:rPr>
                <w:rFonts w:ascii="Arial Narrow" w:hAnsi="Arial Narrow"/>
                <w:snapToGrid w:val="0"/>
                <w:sz w:val="20"/>
                <w:szCs w:val="20"/>
                <w:lang w:eastAsia="en-US"/>
              </w:rPr>
              <w:t>2014</w:t>
            </w:r>
            <w:r>
              <w:rPr>
                <w:rFonts w:ascii="Arial Narrow" w:hAnsi="Arial Narrow"/>
                <w:snapToGrid w:val="0"/>
                <w:sz w:val="20"/>
                <w:szCs w:val="20"/>
                <w:lang w:eastAsia="en-US"/>
              </w:rPr>
              <w:t>)</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070E8D93" w14:textId="77777777" w:rsid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Retrospective CS</w:t>
            </w:r>
          </w:p>
          <w:p w14:paraId="5459FA05" w14:textId="77777777" w:rsid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Level IV </w:t>
            </w:r>
          </w:p>
          <w:p w14:paraId="1AD985CF" w14:textId="77777777" w:rsidR="00FF46E2" w:rsidRP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Risk of bias: High</w:t>
            </w:r>
          </w:p>
          <w:p w14:paraId="25EF1092" w14:textId="77777777" w:rsidR="00FF46E2" w:rsidRPr="00861E5C" w:rsidRDefault="00FF46E2" w:rsidP="00315A88">
            <w:pPr>
              <w:widowControl w:val="0"/>
              <w:spacing w:before="40" w:after="40" w:line="288" w:lineRule="auto"/>
              <w:jc w:val="left"/>
              <w:rPr>
                <w:rFonts w:ascii="Arial Narrow" w:hAnsi="Arial Narrow"/>
                <w:snapToGrid w:val="0"/>
                <w:sz w:val="20"/>
                <w:szCs w:val="20"/>
                <w:lang w:eastAsia="en-US"/>
              </w:rPr>
            </w:pPr>
            <w:r w:rsidRPr="00FF46E2">
              <w:rPr>
                <w:rFonts w:ascii="Arial Narrow" w:hAnsi="Arial Narrow"/>
                <w:snapToGrid w:val="0"/>
                <w:sz w:val="20"/>
                <w:szCs w:val="20"/>
                <w:lang w:eastAsia="en-US"/>
              </w:rPr>
              <w:t>30 days</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F5B779F" w14:textId="1CA68493" w:rsidR="009851AA" w:rsidRDefault="009851AA" w:rsidP="00315A88">
            <w:pPr>
              <w:widowControl w:val="0"/>
              <w:spacing w:before="40" w:after="40" w:line="288" w:lineRule="auto"/>
              <w:jc w:val="left"/>
              <w:rPr>
                <w:rFonts w:ascii="Arial Narrow" w:hAnsi="Arial Narrow"/>
                <w:snapToGrid w:val="0"/>
                <w:sz w:val="20"/>
                <w:szCs w:val="20"/>
                <w:lang w:eastAsia="en-US"/>
              </w:rPr>
            </w:pPr>
            <w:r w:rsidRPr="009851AA">
              <w:rPr>
                <w:rFonts w:ascii="Arial Narrow" w:hAnsi="Arial Narrow"/>
                <w:snapToGrid w:val="0"/>
                <w:sz w:val="20"/>
                <w:szCs w:val="20"/>
                <w:lang w:eastAsia="en-US"/>
              </w:rPr>
              <w:t xml:space="preserve">Pulmonary metastases from colorectal carcinoma, primary under control, </w:t>
            </w:r>
            <w:r w:rsidR="00D66266">
              <w:rPr>
                <w:rFonts w:ascii="Arial Narrow" w:hAnsi="Arial Narrow"/>
                <w:snapToGrid w:val="0"/>
                <w:sz w:val="20"/>
                <w:szCs w:val="20"/>
                <w:lang w:eastAsia="en-US"/>
              </w:rPr>
              <w:t>no</w:t>
            </w:r>
            <w:r w:rsidRPr="009851AA">
              <w:rPr>
                <w:rFonts w:ascii="Arial Narrow" w:hAnsi="Arial Narrow"/>
                <w:snapToGrid w:val="0"/>
                <w:sz w:val="20"/>
                <w:szCs w:val="20"/>
                <w:lang w:eastAsia="en-US"/>
              </w:rPr>
              <w:t xml:space="preserve"> extra pulmonary disease</w:t>
            </w:r>
          </w:p>
          <w:p w14:paraId="5308ECA5" w14:textId="77777777" w:rsidR="00A22E38" w:rsidRDefault="00A22E38"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N</w:t>
            </w:r>
            <w:r w:rsidR="00B95CD5">
              <w:rPr>
                <w:rFonts w:ascii="Arial Narrow" w:hAnsi="Arial Narrow"/>
                <w:snapToGrid w:val="0"/>
                <w:sz w:val="20"/>
                <w:szCs w:val="20"/>
                <w:lang w:eastAsia="en-US"/>
              </w:rPr>
              <w:t xml:space="preserve"> </w:t>
            </w:r>
            <w:r>
              <w:rPr>
                <w:rFonts w:ascii="Arial Narrow" w:hAnsi="Arial Narrow"/>
                <w:snapToGrid w:val="0"/>
                <w:sz w:val="20"/>
                <w:szCs w:val="20"/>
                <w:lang w:eastAsia="en-US"/>
              </w:rPr>
              <w:t>=</w:t>
            </w:r>
            <w:r w:rsidR="00B95CD5">
              <w:rPr>
                <w:rFonts w:ascii="Arial Narrow" w:hAnsi="Arial Narrow"/>
                <w:snapToGrid w:val="0"/>
                <w:sz w:val="20"/>
                <w:szCs w:val="20"/>
                <w:lang w:eastAsia="en-US"/>
              </w:rPr>
              <w:t xml:space="preserve"> </w:t>
            </w:r>
            <w:r>
              <w:rPr>
                <w:rFonts w:ascii="Arial Narrow" w:hAnsi="Arial Narrow"/>
                <w:snapToGrid w:val="0"/>
                <w:sz w:val="20"/>
                <w:szCs w:val="20"/>
                <w:lang w:eastAsia="en-US"/>
              </w:rPr>
              <w:t>532 (lesions median per patient: 1.78)</w:t>
            </w:r>
          </w:p>
          <w:p w14:paraId="186B66A3" w14:textId="77777777" w:rsidR="009851AA" w:rsidRDefault="00A22E38"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Tumour size: </w:t>
            </w:r>
            <w:r w:rsidR="009851AA" w:rsidRPr="009851AA">
              <w:rPr>
                <w:rFonts w:ascii="Arial Narrow" w:hAnsi="Arial Narrow"/>
                <w:snapToGrid w:val="0"/>
                <w:sz w:val="20"/>
                <w:szCs w:val="20"/>
                <w:lang w:eastAsia="en-US"/>
              </w:rPr>
              <w:t>&lt; 3cm: 438/532 patients (82.3%), ≥ 3 cm: 94/532 patients (17.7%)</w:t>
            </w:r>
          </w:p>
          <w:p w14:paraId="6B4D35E2" w14:textId="77777777" w:rsidR="001F2B1F" w:rsidRDefault="001F2B1F"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M/F ratio: NR</w:t>
            </w:r>
          </w:p>
          <w:p w14:paraId="0C190190" w14:textId="53A49575" w:rsidR="00FF46E2" w:rsidRDefault="001F2B1F"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Age: </w:t>
            </w:r>
            <w:r w:rsidR="009851AA" w:rsidRPr="009851AA">
              <w:rPr>
                <w:rFonts w:ascii="Arial Narrow" w:hAnsi="Arial Narrow"/>
                <w:snapToGrid w:val="0"/>
                <w:sz w:val="20"/>
                <w:szCs w:val="20"/>
                <w:lang w:eastAsia="en-US"/>
              </w:rPr>
              <w:t>No morbidity group mean ± SD (range): 67 ± 10 (35</w:t>
            </w:r>
            <w:r w:rsidR="007E3D66">
              <w:rPr>
                <w:rFonts w:ascii="Arial Narrow" w:hAnsi="Arial Narrow"/>
                <w:snapToGrid w:val="0"/>
                <w:sz w:val="20"/>
                <w:szCs w:val="20"/>
                <w:lang w:eastAsia="en-US"/>
              </w:rPr>
              <w:t>–</w:t>
            </w:r>
            <w:r w:rsidR="009851AA" w:rsidRPr="009851AA">
              <w:rPr>
                <w:rFonts w:ascii="Arial Narrow" w:hAnsi="Arial Narrow"/>
                <w:snapToGrid w:val="0"/>
                <w:sz w:val="20"/>
                <w:szCs w:val="20"/>
                <w:lang w:eastAsia="en-US"/>
              </w:rPr>
              <w:t>91). Morbidity group mean ± SD (range): 68  ± 10 (42</w:t>
            </w:r>
            <w:r w:rsidR="007E3D66">
              <w:rPr>
                <w:rFonts w:ascii="Arial Narrow" w:hAnsi="Arial Narrow"/>
                <w:snapToGrid w:val="0"/>
                <w:sz w:val="20"/>
                <w:szCs w:val="20"/>
                <w:lang w:eastAsia="en-US"/>
              </w:rPr>
              <w:t>–</w:t>
            </w:r>
            <w:r w:rsidR="009851AA" w:rsidRPr="009851AA">
              <w:rPr>
                <w:rFonts w:ascii="Arial Narrow" w:hAnsi="Arial Narrow"/>
                <w:snapToGrid w:val="0"/>
                <w:sz w:val="20"/>
                <w:szCs w:val="20"/>
                <w:lang w:eastAsia="en-US"/>
              </w:rPr>
              <w:t>85)</w:t>
            </w:r>
          </w:p>
          <w:p w14:paraId="365D9880" w14:textId="77777777" w:rsidR="001F2B1F" w:rsidRPr="00861E5C" w:rsidRDefault="001F2B1F"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Primary tumour: Colorectal in 100%, </w:t>
            </w:r>
            <w:r w:rsidRPr="001F2B1F">
              <w:rPr>
                <w:rFonts w:ascii="Arial Narrow" w:hAnsi="Arial Narrow"/>
                <w:snapToGrid w:val="0"/>
                <w:sz w:val="20"/>
                <w:szCs w:val="20"/>
                <w:lang w:eastAsia="en-US"/>
              </w:rPr>
              <w:t>denocarcinoma: 524/532 patients (98.5%), carcinoma adenosquamous: 1/532 patients (0.2%), undifferentiated carcinoma: 2/532 patients (0.4%), no data: 5/532 patients (0.9%)</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3FB04044" w14:textId="77777777" w:rsidR="001F2B1F" w:rsidRDefault="001F2B1F" w:rsidP="00315A88">
            <w:pPr>
              <w:widowControl w:val="0"/>
              <w:spacing w:before="40" w:after="40" w:line="288" w:lineRule="auto"/>
              <w:jc w:val="left"/>
              <w:rPr>
                <w:rFonts w:ascii="Arial Narrow" w:hAnsi="Arial Narrow"/>
                <w:sz w:val="20"/>
                <w:szCs w:val="20"/>
                <w:u w:val="single"/>
              </w:rPr>
            </w:pPr>
            <w:r w:rsidRPr="006F3A29">
              <w:rPr>
                <w:rFonts w:ascii="Arial Narrow" w:hAnsi="Arial Narrow"/>
                <w:sz w:val="20"/>
                <w:szCs w:val="20"/>
                <w:u w:val="single"/>
              </w:rPr>
              <w:t>Intervention: surgical resection</w:t>
            </w:r>
          </w:p>
          <w:p w14:paraId="679E3B68" w14:textId="77777777" w:rsidR="001F2B1F" w:rsidRDefault="001F2B1F" w:rsidP="00315A88">
            <w:pPr>
              <w:widowControl w:val="0"/>
              <w:spacing w:before="40" w:after="40" w:line="288" w:lineRule="auto"/>
              <w:jc w:val="left"/>
              <w:rPr>
                <w:rFonts w:ascii="Arial Narrow" w:hAnsi="Arial Narrow"/>
                <w:sz w:val="20"/>
                <w:szCs w:val="20"/>
                <w:u w:val="single"/>
              </w:rPr>
            </w:pPr>
          </w:p>
          <w:p w14:paraId="3C59E24B" w14:textId="77777777" w:rsidR="00FF46E2" w:rsidRPr="00861E5C" w:rsidRDefault="001F2B1F" w:rsidP="00315A88">
            <w:pPr>
              <w:widowControl w:val="0"/>
              <w:spacing w:before="40" w:after="40" w:line="288" w:lineRule="auto"/>
              <w:jc w:val="left"/>
              <w:rPr>
                <w:rFonts w:ascii="Arial Narrow" w:hAnsi="Arial Narrow"/>
                <w:sz w:val="20"/>
                <w:szCs w:val="20"/>
                <w:u w:val="single"/>
              </w:rPr>
            </w:pPr>
            <w:r>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5F4B2518" w14:textId="77777777" w:rsidR="00FF46E2" w:rsidRPr="00861E5C" w:rsidRDefault="001F2B1F"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1. Complications: Patients were grouped as </w:t>
            </w:r>
            <w:r w:rsidRPr="001F2B1F">
              <w:rPr>
                <w:rFonts w:ascii="Arial Narrow" w:hAnsi="Arial Narrow"/>
                <w:snapToGrid w:val="0"/>
                <w:sz w:val="20"/>
                <w:szCs w:val="20"/>
                <w:lang w:eastAsia="en-US"/>
              </w:rPr>
              <w:t>having presented (Group A), or not (Group B), postoperative complications</w:t>
            </w:r>
            <w:r>
              <w:rPr>
                <w:rFonts w:ascii="Arial Narrow" w:hAnsi="Arial Narrow"/>
                <w:snapToGrid w:val="0"/>
                <w:sz w:val="20"/>
                <w:szCs w:val="20"/>
                <w:lang w:eastAsia="en-US"/>
              </w:rPr>
              <w:t xml:space="preserve">. </w:t>
            </w:r>
            <w:r w:rsidRPr="001F2B1F">
              <w:rPr>
                <w:rFonts w:ascii="Arial Narrow" w:hAnsi="Arial Narrow"/>
                <w:snapToGrid w:val="0"/>
                <w:sz w:val="20"/>
                <w:szCs w:val="20"/>
                <w:lang w:eastAsia="en-US"/>
              </w:rPr>
              <w:t>Variables in Groups A and B were compared with the Student’s</w:t>
            </w:r>
            <w:r>
              <w:rPr>
                <w:rFonts w:ascii="Arial Narrow" w:hAnsi="Arial Narrow"/>
                <w:snapToGrid w:val="0"/>
                <w:sz w:val="20"/>
                <w:szCs w:val="20"/>
                <w:lang w:eastAsia="en-US"/>
              </w:rPr>
              <w:t xml:space="preserve"> </w:t>
            </w:r>
            <w:r w:rsidRPr="001F2B1F">
              <w:rPr>
                <w:rFonts w:ascii="Arial Narrow" w:hAnsi="Arial Narrow"/>
                <w:snapToGrid w:val="0"/>
                <w:sz w:val="20"/>
                <w:szCs w:val="20"/>
                <w:lang w:eastAsia="en-US"/>
              </w:rPr>
              <w:t>t-test or the Mann–Whitney U-test for continuous data according</w:t>
            </w:r>
            <w:r>
              <w:rPr>
                <w:rFonts w:ascii="Arial Narrow" w:hAnsi="Arial Narrow"/>
                <w:snapToGrid w:val="0"/>
                <w:sz w:val="20"/>
                <w:szCs w:val="20"/>
                <w:lang w:eastAsia="en-US"/>
              </w:rPr>
              <w:t xml:space="preserve"> </w:t>
            </w:r>
            <w:r w:rsidRPr="001F2B1F">
              <w:rPr>
                <w:rFonts w:ascii="Arial Narrow" w:hAnsi="Arial Narrow"/>
                <w:snapToGrid w:val="0"/>
                <w:sz w:val="20"/>
                <w:szCs w:val="20"/>
                <w:lang w:eastAsia="en-US"/>
              </w:rPr>
              <w:t>to the normal or non-normal distribution</w:t>
            </w:r>
            <w:r>
              <w:rPr>
                <w:rFonts w:ascii="Arial Narrow" w:hAnsi="Arial Narrow"/>
                <w:snapToGrid w:val="0"/>
                <w:sz w:val="20"/>
                <w:szCs w:val="20"/>
                <w:lang w:eastAsia="en-US"/>
              </w:rPr>
              <w:t>.</w:t>
            </w:r>
          </w:p>
        </w:tc>
      </w:tr>
      <w:tr w:rsidR="00FF46E2" w:rsidRPr="00861E5C" w14:paraId="078D7C52" w14:textId="77777777" w:rsidTr="00E36FC8">
        <w:trPr>
          <w:cantSplit/>
          <w:trHeight w:val="300"/>
        </w:trPr>
        <w:tc>
          <w:tcPr>
            <w:tcW w:w="457" w:type="pct"/>
            <w:tcBorders>
              <w:top w:val="single" w:sz="4" w:space="0" w:color="auto"/>
              <w:left w:val="single" w:sz="4" w:space="0" w:color="auto"/>
              <w:bottom w:val="single" w:sz="4" w:space="0" w:color="auto"/>
              <w:right w:val="single" w:sz="4" w:space="0" w:color="auto"/>
            </w:tcBorders>
            <w:shd w:val="clear" w:color="auto" w:fill="auto"/>
          </w:tcPr>
          <w:p w14:paraId="4C8326A4" w14:textId="2E34B004" w:rsidR="00FF46E2" w:rsidRPr="00861E5C" w:rsidRDefault="00FF46E2" w:rsidP="00315A88">
            <w:pPr>
              <w:widowControl w:val="0"/>
              <w:spacing w:before="40" w:after="40" w:line="288" w:lineRule="auto"/>
              <w:jc w:val="left"/>
              <w:rPr>
                <w:rFonts w:ascii="Arial Narrow" w:hAnsi="Arial Narrow"/>
                <w:snapToGrid w:val="0"/>
                <w:sz w:val="20"/>
                <w:szCs w:val="20"/>
                <w:lang w:eastAsia="en-US"/>
              </w:rPr>
            </w:pPr>
            <w:r w:rsidRPr="00FF46E2">
              <w:rPr>
                <w:rFonts w:ascii="Arial Narrow" w:hAnsi="Arial Narrow"/>
                <w:snapToGrid w:val="0"/>
                <w:sz w:val="20"/>
                <w:szCs w:val="20"/>
                <w:lang w:eastAsia="en-US"/>
              </w:rPr>
              <w:t xml:space="preserve">Kitano et al </w:t>
            </w:r>
            <w:r w:rsidR="00A74293">
              <w:rPr>
                <w:rFonts w:ascii="Arial Narrow" w:hAnsi="Arial Narrow"/>
                <w:snapToGrid w:val="0"/>
                <w:sz w:val="20"/>
                <w:szCs w:val="20"/>
                <w:lang w:eastAsia="en-US"/>
              </w:rPr>
              <w:t>(</w:t>
            </w:r>
            <w:r w:rsidRPr="00FF46E2">
              <w:rPr>
                <w:rFonts w:ascii="Arial Narrow" w:hAnsi="Arial Narrow"/>
                <w:snapToGrid w:val="0"/>
                <w:sz w:val="20"/>
                <w:szCs w:val="20"/>
                <w:lang w:eastAsia="en-US"/>
              </w:rPr>
              <w:t>2012</w:t>
            </w:r>
            <w:r w:rsidR="00A74293">
              <w:rPr>
                <w:rFonts w:ascii="Arial Narrow" w:hAnsi="Arial Narrow"/>
                <w:snapToGrid w:val="0"/>
                <w:sz w:val="20"/>
                <w:szCs w:val="20"/>
                <w:lang w:eastAsia="en-US"/>
              </w:rPr>
              <w:t>)</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E6E4096" w14:textId="77777777" w:rsid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Retrospective CS</w:t>
            </w:r>
          </w:p>
          <w:p w14:paraId="46B0A09F" w14:textId="77777777" w:rsid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Level IV </w:t>
            </w:r>
          </w:p>
          <w:p w14:paraId="010EBD58" w14:textId="77777777" w:rsidR="00FF46E2" w:rsidRPr="00FF46E2" w:rsidRDefault="00FF46E2"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Risk of bias: High</w:t>
            </w:r>
          </w:p>
          <w:p w14:paraId="2D829AAF" w14:textId="4F572ABF" w:rsidR="00FF46E2" w:rsidRPr="00861E5C" w:rsidRDefault="00FF46E2" w:rsidP="00315A88">
            <w:pPr>
              <w:widowControl w:val="0"/>
              <w:spacing w:before="40" w:after="40" w:line="288" w:lineRule="auto"/>
              <w:jc w:val="left"/>
              <w:rPr>
                <w:rFonts w:ascii="Arial Narrow" w:hAnsi="Arial Narrow"/>
                <w:snapToGrid w:val="0"/>
                <w:sz w:val="20"/>
                <w:szCs w:val="20"/>
                <w:lang w:eastAsia="en-US"/>
              </w:rPr>
            </w:pPr>
            <w:r w:rsidRPr="00FF46E2">
              <w:rPr>
                <w:rFonts w:ascii="Arial Narrow" w:hAnsi="Arial Narrow"/>
                <w:snapToGrid w:val="0"/>
                <w:sz w:val="20"/>
                <w:szCs w:val="20"/>
                <w:lang w:eastAsia="en-US"/>
              </w:rPr>
              <w:t>17.6 months (0.7</w:t>
            </w:r>
            <w:r w:rsidR="007E3D66">
              <w:rPr>
                <w:rFonts w:ascii="Arial Narrow" w:hAnsi="Arial Narrow"/>
                <w:snapToGrid w:val="0"/>
                <w:sz w:val="20"/>
                <w:szCs w:val="20"/>
                <w:lang w:eastAsia="en-US"/>
              </w:rPr>
              <w:t>–</w:t>
            </w:r>
            <w:r w:rsidRPr="00FF46E2">
              <w:rPr>
                <w:rFonts w:ascii="Arial Narrow" w:hAnsi="Arial Narrow"/>
                <w:snapToGrid w:val="0"/>
                <w:sz w:val="20"/>
                <w:szCs w:val="20"/>
                <w:lang w:eastAsia="en-US"/>
              </w:rPr>
              <w:t>165)</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674EA85" w14:textId="77777777" w:rsidR="001F2B1F" w:rsidRDefault="009851AA" w:rsidP="00315A88">
            <w:pPr>
              <w:widowControl w:val="0"/>
              <w:spacing w:before="40" w:after="40" w:line="288" w:lineRule="auto"/>
              <w:jc w:val="left"/>
              <w:rPr>
                <w:rFonts w:ascii="Arial Narrow" w:hAnsi="Arial Narrow"/>
                <w:snapToGrid w:val="0"/>
                <w:sz w:val="20"/>
                <w:szCs w:val="20"/>
                <w:lang w:eastAsia="en-US"/>
              </w:rPr>
            </w:pPr>
            <w:proofErr w:type="gramStart"/>
            <w:r w:rsidRPr="009851AA">
              <w:rPr>
                <w:rFonts w:ascii="Arial Narrow" w:hAnsi="Arial Narrow"/>
                <w:snapToGrid w:val="0"/>
                <w:sz w:val="20"/>
                <w:szCs w:val="20"/>
                <w:lang w:eastAsia="en-US"/>
              </w:rPr>
              <w:t>pulm</w:t>
            </w:r>
            <w:r>
              <w:rPr>
                <w:rFonts w:ascii="Arial Narrow" w:hAnsi="Arial Narrow"/>
                <w:snapToGrid w:val="0"/>
                <w:sz w:val="20"/>
                <w:szCs w:val="20"/>
                <w:lang w:eastAsia="en-US"/>
              </w:rPr>
              <w:t>onary</w:t>
            </w:r>
            <w:proofErr w:type="gramEnd"/>
            <w:r>
              <w:rPr>
                <w:rFonts w:ascii="Arial Narrow" w:hAnsi="Arial Narrow"/>
                <w:snapToGrid w:val="0"/>
                <w:sz w:val="20"/>
                <w:szCs w:val="20"/>
                <w:lang w:eastAsia="en-US"/>
              </w:rPr>
              <w:t xml:space="preserve"> metastastasectomy for HCC </w:t>
            </w:r>
            <w:r w:rsidRPr="009851AA">
              <w:rPr>
                <w:rFonts w:ascii="Arial Narrow" w:hAnsi="Arial Narrow"/>
                <w:snapToGrid w:val="0"/>
                <w:sz w:val="20"/>
                <w:szCs w:val="20"/>
                <w:lang w:eastAsia="en-US"/>
              </w:rPr>
              <w:t>with 1) the possibility of complete resection, 2) no evidence of uncontrolled intrahepatic or extrapulmonary lesions at the time of the lung surgery and 3) adequate general physical condition for the pulmonary resection.</w:t>
            </w:r>
          </w:p>
          <w:p w14:paraId="4E559F1C" w14:textId="77777777" w:rsidR="001F2B1F" w:rsidRDefault="001F2B1F"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N</w:t>
            </w:r>
            <w:r w:rsidR="00B95CD5">
              <w:rPr>
                <w:rFonts w:ascii="Arial Narrow" w:hAnsi="Arial Narrow"/>
                <w:snapToGrid w:val="0"/>
                <w:sz w:val="20"/>
                <w:szCs w:val="20"/>
                <w:lang w:eastAsia="en-US"/>
              </w:rPr>
              <w:t xml:space="preserve"> </w:t>
            </w:r>
            <w:r>
              <w:rPr>
                <w:rFonts w:ascii="Arial Narrow" w:hAnsi="Arial Narrow"/>
                <w:snapToGrid w:val="0"/>
                <w:sz w:val="20"/>
                <w:szCs w:val="20"/>
                <w:lang w:eastAsia="en-US"/>
              </w:rPr>
              <w:t>=</w:t>
            </w:r>
            <w:r w:rsidR="00B95CD5">
              <w:rPr>
                <w:rFonts w:ascii="Arial Narrow" w:hAnsi="Arial Narrow"/>
                <w:snapToGrid w:val="0"/>
                <w:sz w:val="20"/>
                <w:szCs w:val="20"/>
                <w:lang w:eastAsia="en-US"/>
              </w:rPr>
              <w:t xml:space="preserve"> </w:t>
            </w:r>
            <w:r>
              <w:rPr>
                <w:rFonts w:ascii="Arial Narrow" w:hAnsi="Arial Narrow"/>
                <w:snapToGrid w:val="0"/>
                <w:sz w:val="20"/>
                <w:szCs w:val="20"/>
                <w:lang w:eastAsia="en-US"/>
              </w:rPr>
              <w:t xml:space="preserve">45 (lesions </w:t>
            </w:r>
            <w:r w:rsidRPr="001F2B1F">
              <w:rPr>
                <w:rFonts w:ascii="Arial Narrow" w:hAnsi="Arial Narrow"/>
                <w:snapToGrid w:val="0"/>
                <w:sz w:val="20"/>
                <w:szCs w:val="20"/>
                <w:lang w:eastAsia="en-US"/>
              </w:rPr>
              <w:t>1: 26/45 patients (58%), 2 to 3: 9/45 patients (20%</w:t>
            </w:r>
            <w:proofErr w:type="gramStart"/>
            <w:r w:rsidRPr="001F2B1F">
              <w:rPr>
                <w:rFonts w:ascii="Arial Narrow" w:hAnsi="Arial Narrow"/>
                <w:snapToGrid w:val="0"/>
                <w:sz w:val="20"/>
                <w:szCs w:val="20"/>
                <w:lang w:eastAsia="en-US"/>
              </w:rPr>
              <w:t>) ,</w:t>
            </w:r>
            <w:proofErr w:type="gramEnd"/>
            <w:r w:rsidRPr="001F2B1F">
              <w:rPr>
                <w:rFonts w:ascii="Arial Narrow" w:hAnsi="Arial Narrow"/>
                <w:snapToGrid w:val="0"/>
                <w:sz w:val="20"/>
                <w:szCs w:val="20"/>
                <w:lang w:eastAsia="en-US"/>
              </w:rPr>
              <w:t xml:space="preserve"> more: 10/45 patients (22%)</w:t>
            </w:r>
            <w:r>
              <w:rPr>
                <w:rFonts w:ascii="Arial Narrow" w:hAnsi="Arial Narrow"/>
                <w:snapToGrid w:val="0"/>
                <w:sz w:val="20"/>
                <w:szCs w:val="20"/>
                <w:lang w:eastAsia="en-US"/>
              </w:rPr>
              <w:t>)</w:t>
            </w:r>
          </w:p>
          <w:p w14:paraId="45C5CC80" w14:textId="1CB6AFEF" w:rsidR="009851AA" w:rsidRDefault="001F2B1F"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Tumour size: </w:t>
            </w:r>
            <w:r w:rsidR="009851AA" w:rsidRPr="009851AA">
              <w:rPr>
                <w:rFonts w:ascii="Arial Narrow" w:hAnsi="Arial Narrow"/>
                <w:snapToGrid w:val="0"/>
                <w:sz w:val="20"/>
                <w:szCs w:val="20"/>
                <w:lang w:eastAsia="en-US"/>
              </w:rPr>
              <w:t>median (range): 17 (2</w:t>
            </w:r>
            <w:r w:rsidR="007E3D66">
              <w:rPr>
                <w:rFonts w:ascii="Arial Narrow" w:hAnsi="Arial Narrow"/>
                <w:snapToGrid w:val="0"/>
                <w:sz w:val="20"/>
                <w:szCs w:val="20"/>
                <w:lang w:eastAsia="en-US"/>
              </w:rPr>
              <w:t>–</w:t>
            </w:r>
            <w:r w:rsidR="009851AA" w:rsidRPr="009851AA">
              <w:rPr>
                <w:rFonts w:ascii="Arial Narrow" w:hAnsi="Arial Narrow"/>
                <w:snapToGrid w:val="0"/>
                <w:sz w:val="20"/>
                <w:szCs w:val="20"/>
                <w:lang w:eastAsia="en-US"/>
              </w:rPr>
              <w:t>70) mm</w:t>
            </w:r>
          </w:p>
          <w:p w14:paraId="50432C0E" w14:textId="77777777" w:rsidR="00860CEE" w:rsidRPr="009851AA" w:rsidRDefault="00860CEE"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M/F ratio: 33:12</w:t>
            </w:r>
          </w:p>
          <w:p w14:paraId="3BFE01F5" w14:textId="2DBB9693" w:rsidR="00FF46E2" w:rsidRDefault="009851AA" w:rsidP="00315A88">
            <w:pPr>
              <w:widowControl w:val="0"/>
              <w:spacing w:before="40" w:after="40" w:line="288" w:lineRule="auto"/>
              <w:jc w:val="left"/>
              <w:rPr>
                <w:rFonts w:ascii="Arial Narrow" w:hAnsi="Arial Narrow"/>
                <w:snapToGrid w:val="0"/>
                <w:sz w:val="20"/>
                <w:szCs w:val="20"/>
                <w:lang w:eastAsia="en-US"/>
              </w:rPr>
            </w:pPr>
            <w:r w:rsidRPr="009851AA">
              <w:rPr>
                <w:rFonts w:ascii="Arial Narrow" w:hAnsi="Arial Narrow"/>
                <w:snapToGrid w:val="0"/>
                <w:sz w:val="20"/>
                <w:szCs w:val="20"/>
                <w:lang w:eastAsia="en-US"/>
              </w:rPr>
              <w:t xml:space="preserve">Median </w:t>
            </w:r>
            <w:r w:rsidR="00860CEE">
              <w:rPr>
                <w:rFonts w:ascii="Arial Narrow" w:hAnsi="Arial Narrow"/>
                <w:snapToGrid w:val="0"/>
                <w:sz w:val="20"/>
                <w:szCs w:val="20"/>
                <w:lang w:eastAsia="en-US"/>
              </w:rPr>
              <w:t xml:space="preserve">age </w:t>
            </w:r>
            <w:r w:rsidRPr="009851AA">
              <w:rPr>
                <w:rFonts w:ascii="Arial Narrow" w:hAnsi="Arial Narrow"/>
                <w:snapToGrid w:val="0"/>
                <w:sz w:val="20"/>
                <w:szCs w:val="20"/>
                <w:lang w:eastAsia="en-US"/>
              </w:rPr>
              <w:t>(range): 57 (26</w:t>
            </w:r>
            <w:r w:rsidR="007E3D66">
              <w:rPr>
                <w:rFonts w:ascii="Arial Narrow" w:hAnsi="Arial Narrow"/>
                <w:snapToGrid w:val="0"/>
                <w:sz w:val="20"/>
                <w:szCs w:val="20"/>
                <w:lang w:eastAsia="en-US"/>
              </w:rPr>
              <w:t>–</w:t>
            </w:r>
            <w:r w:rsidRPr="009851AA">
              <w:rPr>
                <w:rFonts w:ascii="Arial Narrow" w:hAnsi="Arial Narrow"/>
                <w:snapToGrid w:val="0"/>
                <w:sz w:val="20"/>
                <w:szCs w:val="20"/>
                <w:lang w:eastAsia="en-US"/>
              </w:rPr>
              <w:t>80) years</w:t>
            </w:r>
          </w:p>
          <w:p w14:paraId="1A9DEAEC" w14:textId="77777777" w:rsidR="00860CEE" w:rsidRPr="00861E5C" w:rsidRDefault="00860CEE"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Primary tumour: hepatocellular in all</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374A2E2F" w14:textId="77777777" w:rsidR="00860CEE" w:rsidRDefault="00860CEE" w:rsidP="00315A88">
            <w:pPr>
              <w:widowControl w:val="0"/>
              <w:spacing w:before="40" w:after="40" w:line="288" w:lineRule="auto"/>
              <w:jc w:val="left"/>
              <w:rPr>
                <w:rFonts w:ascii="Arial Narrow" w:hAnsi="Arial Narrow"/>
                <w:sz w:val="20"/>
                <w:szCs w:val="20"/>
                <w:u w:val="single"/>
              </w:rPr>
            </w:pPr>
            <w:r w:rsidRPr="006F3A29">
              <w:rPr>
                <w:rFonts w:ascii="Arial Narrow" w:hAnsi="Arial Narrow"/>
                <w:sz w:val="20"/>
                <w:szCs w:val="20"/>
                <w:u w:val="single"/>
              </w:rPr>
              <w:t>Intervention: surgical resection</w:t>
            </w:r>
          </w:p>
          <w:p w14:paraId="33DAA1BC" w14:textId="77777777" w:rsidR="00860CEE" w:rsidRDefault="00860CEE" w:rsidP="00315A88">
            <w:pPr>
              <w:widowControl w:val="0"/>
              <w:spacing w:before="40" w:after="40" w:line="288" w:lineRule="auto"/>
              <w:jc w:val="left"/>
              <w:rPr>
                <w:rFonts w:ascii="Arial Narrow" w:hAnsi="Arial Narrow"/>
                <w:sz w:val="20"/>
                <w:szCs w:val="20"/>
                <w:u w:val="single"/>
              </w:rPr>
            </w:pPr>
          </w:p>
          <w:p w14:paraId="657B68E9" w14:textId="77777777" w:rsidR="00FF46E2" w:rsidRPr="00861E5C" w:rsidRDefault="00860CEE" w:rsidP="00315A88">
            <w:pPr>
              <w:widowControl w:val="0"/>
              <w:spacing w:before="40" w:after="40" w:line="288" w:lineRule="auto"/>
              <w:jc w:val="left"/>
              <w:rPr>
                <w:rFonts w:ascii="Arial Narrow" w:hAnsi="Arial Narrow"/>
                <w:sz w:val="20"/>
                <w:szCs w:val="20"/>
                <w:u w:val="single"/>
              </w:rPr>
            </w:pPr>
            <w:r>
              <w:rPr>
                <w:rFonts w:ascii="Arial Narrow" w:hAnsi="Arial Narrow"/>
                <w:sz w:val="20"/>
                <w:szCs w:val="20"/>
                <w:u w:val="single"/>
              </w:rPr>
              <w:t>Comparator: 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14:paraId="4A7494A7" w14:textId="77777777" w:rsidR="00860CEE" w:rsidRDefault="00860CEE" w:rsidP="00315A88">
            <w:pPr>
              <w:keepNext/>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1. Overall survival: assessed by Kaplan-Meier test. </w:t>
            </w:r>
          </w:p>
          <w:p w14:paraId="7577949F" w14:textId="77777777" w:rsidR="00FF46E2" w:rsidRPr="00861E5C" w:rsidRDefault="00860CEE" w:rsidP="00315A88">
            <w:pPr>
              <w:widowControl w:val="0"/>
              <w:spacing w:before="40" w:after="40" w:line="288" w:lineRule="auto"/>
              <w:jc w:val="left"/>
              <w:rPr>
                <w:rFonts w:ascii="Arial Narrow" w:hAnsi="Arial Narrow"/>
                <w:snapToGrid w:val="0"/>
                <w:sz w:val="20"/>
                <w:szCs w:val="20"/>
                <w:lang w:eastAsia="en-US"/>
              </w:rPr>
            </w:pPr>
            <w:r>
              <w:rPr>
                <w:rFonts w:ascii="Arial Narrow" w:hAnsi="Arial Narrow"/>
                <w:snapToGrid w:val="0"/>
                <w:sz w:val="20"/>
                <w:szCs w:val="20"/>
                <w:lang w:eastAsia="en-US"/>
              </w:rPr>
              <w:t xml:space="preserve">2. Prognostic factors: </w:t>
            </w:r>
            <w:r w:rsidRPr="00860CEE">
              <w:rPr>
                <w:rFonts w:ascii="Arial Narrow" w:hAnsi="Arial Narrow"/>
                <w:snapToGrid w:val="0"/>
                <w:sz w:val="20"/>
                <w:szCs w:val="20"/>
                <w:lang w:eastAsia="en-US"/>
              </w:rPr>
              <w:t>chi-square test, the Wilcoxon test, and Fisher’s exact test, as</w:t>
            </w:r>
            <w:r>
              <w:rPr>
                <w:rFonts w:ascii="Arial Narrow" w:hAnsi="Arial Narrow"/>
                <w:snapToGrid w:val="0"/>
                <w:sz w:val="20"/>
                <w:szCs w:val="20"/>
                <w:lang w:eastAsia="en-US"/>
              </w:rPr>
              <w:t xml:space="preserve"> </w:t>
            </w:r>
            <w:r w:rsidRPr="00860CEE">
              <w:rPr>
                <w:rFonts w:ascii="Arial Narrow" w:hAnsi="Arial Narrow"/>
                <w:snapToGrid w:val="0"/>
                <w:sz w:val="20"/>
                <w:szCs w:val="20"/>
                <w:lang w:eastAsia="en-US"/>
              </w:rPr>
              <w:t>appropriate</w:t>
            </w:r>
            <w:r>
              <w:rPr>
                <w:rFonts w:ascii="Arial Narrow" w:hAnsi="Arial Narrow"/>
                <w:snapToGrid w:val="0"/>
                <w:sz w:val="20"/>
                <w:szCs w:val="20"/>
                <w:lang w:eastAsia="en-US"/>
              </w:rPr>
              <w:t>.</w:t>
            </w:r>
          </w:p>
        </w:tc>
      </w:tr>
    </w:tbl>
    <w:p w14:paraId="1ED432F2" w14:textId="77777777" w:rsidR="0074232E" w:rsidRDefault="0074232E" w:rsidP="0074232E">
      <w:pPr>
        <w:pStyle w:val="Tablenotes0"/>
      </w:pPr>
      <w:r w:rsidRPr="0074232E">
        <w:t xml:space="preserve">&lt;CS = case series. CT = computed tomography. CTCAE = Common Terminology Criteria for Adverse Events. ECOG = Eastern Cooperative Oncology Group. FDG = Fludeoxyglucose (18F). HCC = hepatocellular carcinoma. IQR = interquartile range. N/A = not applicable. NR = not reported. NSCLC = non-small cell lung cancer. PET = positron emission tomography. RFA = radiofrequency ablation. TACE = transarterial chemoembolization. US = ultrasound.&gt; </w:t>
      </w:r>
    </w:p>
    <w:p w14:paraId="0A03EF1E" w14:textId="6ACFBA21" w:rsidR="00D66266" w:rsidRDefault="00D66266" w:rsidP="0074232E">
      <w:pPr>
        <w:pStyle w:val="Tablenotes0"/>
      </w:pPr>
      <w:r w:rsidRPr="00D66266">
        <w:rPr>
          <w:vertAlign w:val="superscript"/>
        </w:rPr>
        <w:t>A</w:t>
      </w:r>
      <w:r>
        <w:t xml:space="preserve"> R</w:t>
      </w:r>
      <w:r w:rsidR="0074232E" w:rsidRPr="0074232E">
        <w:t>isk of bias as it relates to primary outcomes of the systematic re</w:t>
      </w:r>
      <w:r>
        <w:t>view</w:t>
      </w:r>
    </w:p>
    <w:p w14:paraId="0ACC6463" w14:textId="32D91A37" w:rsidR="00B12E22" w:rsidRPr="0074232E" w:rsidRDefault="00D66266" w:rsidP="0074232E">
      <w:pPr>
        <w:pStyle w:val="Tablenotes0"/>
      </w:pPr>
      <w:r w:rsidRPr="00D66266">
        <w:rPr>
          <w:vertAlign w:val="superscript"/>
        </w:rPr>
        <w:t>B</w:t>
      </w:r>
      <w:r w:rsidR="0074232E" w:rsidRPr="0074232E">
        <w:t xml:space="preserve"> </w:t>
      </w:r>
      <w:r>
        <w:t>M</w:t>
      </w:r>
      <w:r w:rsidR="0074232E" w:rsidRPr="0074232E">
        <w:t xml:space="preserve">edian (range) unless otherwise stated </w:t>
      </w:r>
      <w:r w:rsidR="00B12E22" w:rsidRPr="0074232E">
        <w:br w:type="page"/>
      </w:r>
    </w:p>
    <w:p w14:paraId="0A183333" w14:textId="4D633BC0" w:rsidR="0074232E" w:rsidRDefault="0074232E" w:rsidP="0074232E">
      <w:pPr>
        <w:pStyle w:val="Caption"/>
        <w:keepNext/>
      </w:pPr>
      <w:bookmarkStart w:id="516" w:name="_Toc460514752"/>
      <w:r>
        <w:lastRenderedPageBreak/>
        <w:t xml:space="preserve">Table </w:t>
      </w:r>
      <w:fldSimple w:instr=" SEQ Table \* ARABIC ">
        <w:r w:rsidR="00D170A5">
          <w:rPr>
            <w:noProof/>
          </w:rPr>
          <w:t>94</w:t>
        </w:r>
      </w:fldSimple>
      <w:r>
        <w:tab/>
      </w:r>
      <w:r w:rsidRPr="0074232E">
        <w:t>Study profile tables for the systematic reviews (all interventions) that were included in the systematic literature review</w:t>
      </w:r>
      <w:bookmarkEnd w:id="516"/>
    </w:p>
    <w:tbl>
      <w:tblPr>
        <w:tblW w:w="15451" w:type="dxa"/>
        <w:tblInd w:w="-34" w:type="dxa"/>
        <w:tblLayout w:type="fixed"/>
        <w:tblLook w:val="04A0" w:firstRow="1" w:lastRow="0" w:firstColumn="1" w:lastColumn="0" w:noHBand="0" w:noVBand="1"/>
      </w:tblPr>
      <w:tblGrid>
        <w:gridCol w:w="1276"/>
        <w:gridCol w:w="851"/>
        <w:gridCol w:w="567"/>
        <w:gridCol w:w="283"/>
        <w:gridCol w:w="1701"/>
        <w:gridCol w:w="2977"/>
        <w:gridCol w:w="2977"/>
        <w:gridCol w:w="2693"/>
        <w:gridCol w:w="2126"/>
      </w:tblGrid>
      <w:tr w:rsidR="00822A1C" w:rsidRPr="00822A1C" w14:paraId="450D1C64" w14:textId="77777777" w:rsidTr="0063535F">
        <w:trPr>
          <w:trHeight w:val="64"/>
          <w:tblHeader/>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846F0" w14:textId="77777777" w:rsidR="00822A1C" w:rsidRPr="00822A1C" w:rsidRDefault="00822A1C" w:rsidP="0063535F">
            <w:pPr>
              <w:widowControl w:val="0"/>
              <w:spacing w:before="40" w:after="40" w:line="240" w:lineRule="auto"/>
              <w:jc w:val="left"/>
              <w:rPr>
                <w:rFonts w:ascii="Arial Narrow" w:hAnsi="Arial Narrow"/>
                <w:b/>
                <w:sz w:val="20"/>
                <w:szCs w:val="20"/>
              </w:rPr>
            </w:pPr>
            <w:r w:rsidRPr="00822A1C">
              <w:rPr>
                <w:rFonts w:ascii="Arial Narrow" w:hAnsi="Arial Narrow"/>
                <w:b/>
                <w:sz w:val="20"/>
                <w:szCs w:val="20"/>
              </w:rPr>
              <w:t xml:space="preserve">Author/Year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61C2F" w14:textId="77777777" w:rsidR="00822A1C" w:rsidRPr="00822A1C" w:rsidRDefault="00822A1C" w:rsidP="0063535F">
            <w:pPr>
              <w:widowControl w:val="0"/>
              <w:spacing w:before="40" w:after="40" w:line="240" w:lineRule="auto"/>
              <w:jc w:val="left"/>
              <w:rPr>
                <w:rFonts w:ascii="Arial Narrow" w:hAnsi="Arial Narrow"/>
                <w:b/>
                <w:sz w:val="20"/>
                <w:szCs w:val="20"/>
              </w:rPr>
            </w:pPr>
            <w:r w:rsidRPr="00822A1C">
              <w:rPr>
                <w:rFonts w:ascii="Arial Narrow" w:hAnsi="Arial Narrow"/>
                <w:b/>
                <w:sz w:val="20"/>
                <w:szCs w:val="20"/>
              </w:rPr>
              <w:t>Objective of report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841D59" w14:textId="77777777" w:rsidR="00822A1C" w:rsidRPr="00822A1C" w:rsidRDefault="00822A1C" w:rsidP="0063535F">
            <w:pPr>
              <w:widowControl w:val="0"/>
              <w:spacing w:before="40" w:after="40" w:line="240" w:lineRule="auto"/>
              <w:jc w:val="left"/>
              <w:rPr>
                <w:rFonts w:ascii="Arial Narrow" w:hAnsi="Arial Narrow"/>
                <w:b/>
                <w:sz w:val="20"/>
                <w:szCs w:val="20"/>
              </w:rPr>
            </w:pPr>
            <w:r w:rsidRPr="00822A1C">
              <w:rPr>
                <w:rFonts w:ascii="Arial Narrow" w:hAnsi="Arial Narrow"/>
                <w:b/>
                <w:sz w:val="20"/>
                <w:szCs w:val="20"/>
              </w:rPr>
              <w:t>Number and publication dates</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66DD36" w14:textId="77777777" w:rsidR="00822A1C" w:rsidRPr="00822A1C" w:rsidRDefault="00822A1C" w:rsidP="0063535F">
            <w:pPr>
              <w:widowControl w:val="0"/>
              <w:spacing w:before="40" w:after="40" w:line="240" w:lineRule="auto"/>
              <w:jc w:val="left"/>
              <w:rPr>
                <w:rFonts w:ascii="Arial Narrow" w:hAnsi="Arial Narrow"/>
                <w:b/>
                <w:sz w:val="20"/>
                <w:szCs w:val="20"/>
              </w:rPr>
            </w:pPr>
            <w:r w:rsidRPr="00822A1C">
              <w:rPr>
                <w:rFonts w:ascii="Arial Narrow" w:hAnsi="Arial Narrow"/>
                <w:b/>
                <w:sz w:val="20"/>
                <w:szCs w:val="20"/>
              </w:rPr>
              <w:t>Population considered in included</w:t>
            </w:r>
          </w:p>
          <w:p w14:paraId="71414073" w14:textId="77777777" w:rsidR="00822A1C" w:rsidRPr="00822A1C" w:rsidRDefault="00822A1C" w:rsidP="0063535F">
            <w:pPr>
              <w:widowControl w:val="0"/>
              <w:spacing w:before="40" w:after="40" w:line="240" w:lineRule="auto"/>
              <w:jc w:val="left"/>
              <w:rPr>
                <w:rFonts w:ascii="Arial Narrow" w:hAnsi="Arial Narrow"/>
                <w:b/>
                <w:sz w:val="20"/>
                <w:szCs w:val="20"/>
              </w:rPr>
            </w:pPr>
            <w:r w:rsidRPr="00822A1C">
              <w:rPr>
                <w:rFonts w:ascii="Arial Narrow" w:hAnsi="Arial Narrow"/>
                <w:b/>
                <w:sz w:val="20"/>
                <w:szCs w:val="20"/>
              </w:rPr>
              <w:t>studies, Int</w:t>
            </w:r>
            <w:r w:rsidR="00274DC0">
              <w:rPr>
                <w:rFonts w:ascii="Arial Narrow" w:hAnsi="Arial Narrow"/>
                <w:b/>
                <w:sz w:val="20"/>
                <w:szCs w:val="20"/>
              </w:rPr>
              <w:t>er</w:t>
            </w:r>
            <w:r w:rsidRPr="00822A1C">
              <w:rPr>
                <w:rFonts w:ascii="Arial Narrow" w:hAnsi="Arial Narrow"/>
                <w:b/>
                <w:sz w:val="20"/>
                <w:szCs w:val="20"/>
              </w:rPr>
              <w:t>v</w:t>
            </w:r>
            <w:r w:rsidR="00274DC0">
              <w:rPr>
                <w:rFonts w:ascii="Arial Narrow" w:hAnsi="Arial Narrow"/>
                <w:b/>
                <w:sz w:val="20"/>
                <w:szCs w:val="20"/>
              </w:rPr>
              <w:t>e</w:t>
            </w:r>
            <w:r w:rsidRPr="00822A1C">
              <w:rPr>
                <w:rFonts w:ascii="Arial Narrow" w:hAnsi="Arial Narrow"/>
                <w:b/>
                <w:sz w:val="20"/>
                <w:szCs w:val="20"/>
              </w:rPr>
              <w:t>n</w:t>
            </w:r>
            <w:r w:rsidR="00274DC0">
              <w:rPr>
                <w:rFonts w:ascii="Arial Narrow" w:hAnsi="Arial Narrow"/>
                <w:b/>
                <w:sz w:val="20"/>
                <w:szCs w:val="20"/>
              </w:rPr>
              <w:t>tion</w:t>
            </w:r>
            <w:r w:rsidRPr="00822A1C">
              <w:rPr>
                <w:rFonts w:ascii="Arial Narrow" w:hAnsi="Arial Narrow"/>
                <w:b/>
                <w:sz w:val="20"/>
                <w:szCs w:val="20"/>
              </w:rPr>
              <w:t>/ comparison</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5261D4" w14:textId="77777777" w:rsidR="00822A1C" w:rsidRPr="00822A1C" w:rsidRDefault="00822A1C" w:rsidP="0063535F">
            <w:pPr>
              <w:widowControl w:val="0"/>
              <w:spacing w:before="40" w:after="40" w:line="240" w:lineRule="auto"/>
              <w:jc w:val="left"/>
              <w:rPr>
                <w:rFonts w:ascii="Arial Narrow" w:hAnsi="Arial Narrow"/>
                <w:b/>
                <w:sz w:val="20"/>
                <w:szCs w:val="20"/>
              </w:rPr>
            </w:pPr>
            <w:r w:rsidRPr="00822A1C">
              <w:rPr>
                <w:rFonts w:ascii="Arial Narrow" w:hAnsi="Arial Narrow"/>
                <w:b/>
                <w:sz w:val="20"/>
                <w:szCs w:val="20"/>
              </w:rPr>
              <w:t>Summary of results</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FEB24" w14:textId="77777777" w:rsidR="00822A1C" w:rsidRPr="00822A1C" w:rsidRDefault="00822A1C" w:rsidP="0063535F">
            <w:pPr>
              <w:widowControl w:val="0"/>
              <w:spacing w:before="40" w:after="40" w:line="240" w:lineRule="auto"/>
              <w:jc w:val="left"/>
              <w:rPr>
                <w:rFonts w:ascii="Arial Narrow" w:hAnsi="Arial Narrow"/>
                <w:b/>
                <w:sz w:val="20"/>
                <w:szCs w:val="20"/>
              </w:rPr>
            </w:pPr>
            <w:r w:rsidRPr="00822A1C">
              <w:rPr>
                <w:rFonts w:ascii="Arial Narrow" w:hAnsi="Arial Narrow"/>
                <w:b/>
                <w:sz w:val="20"/>
                <w:szCs w:val="20"/>
              </w:rPr>
              <w:t>Conclusions/recommendation</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7ED" w14:textId="77777777" w:rsidR="00822A1C" w:rsidRPr="00822A1C" w:rsidRDefault="00822A1C" w:rsidP="0063535F">
            <w:pPr>
              <w:widowControl w:val="0"/>
              <w:spacing w:before="40" w:after="40" w:line="240" w:lineRule="auto"/>
              <w:jc w:val="left"/>
              <w:rPr>
                <w:rFonts w:ascii="Arial Narrow" w:hAnsi="Arial Narrow"/>
                <w:b/>
                <w:sz w:val="20"/>
                <w:szCs w:val="20"/>
              </w:rPr>
            </w:pPr>
            <w:r w:rsidRPr="00822A1C">
              <w:rPr>
                <w:rFonts w:ascii="Arial Narrow" w:hAnsi="Arial Narrow"/>
                <w:b/>
                <w:sz w:val="20"/>
                <w:szCs w:val="20"/>
              </w:rPr>
              <w:t>Quality assessment</w:t>
            </w:r>
          </w:p>
        </w:tc>
      </w:tr>
      <w:tr w:rsidR="0074232E" w:rsidRPr="00822A1C" w14:paraId="61D71726" w14:textId="77777777" w:rsidTr="0074232E">
        <w:trPr>
          <w:trHeight w:val="300"/>
        </w:trPr>
        <w:tc>
          <w:tcPr>
            <w:tcW w:w="1276" w:type="dxa"/>
            <w:tcBorders>
              <w:top w:val="single" w:sz="4" w:space="0" w:color="auto"/>
              <w:left w:val="single" w:sz="4" w:space="0" w:color="auto"/>
              <w:bottom w:val="single" w:sz="4" w:space="0" w:color="auto"/>
            </w:tcBorders>
            <w:shd w:val="clear" w:color="auto" w:fill="D9D9D9" w:themeFill="background1" w:themeFillShade="D9"/>
          </w:tcPr>
          <w:p w14:paraId="446CCA31" w14:textId="0B996D3C" w:rsidR="0074232E" w:rsidRPr="00822A1C" w:rsidRDefault="0074232E" w:rsidP="00CA6595">
            <w:pPr>
              <w:widowControl w:val="0"/>
              <w:spacing w:before="60" w:after="60" w:line="240" w:lineRule="auto"/>
              <w:jc w:val="left"/>
              <w:rPr>
                <w:rFonts w:ascii="Arial Narrow" w:hAnsi="Arial Narrow"/>
                <w:sz w:val="20"/>
                <w:szCs w:val="20"/>
              </w:rPr>
            </w:pPr>
            <w:r w:rsidRPr="00822A1C">
              <w:rPr>
                <w:rFonts w:ascii="Arial Narrow" w:hAnsi="Arial Narrow"/>
                <w:b/>
                <w:sz w:val="20"/>
                <w:szCs w:val="20"/>
              </w:rPr>
              <w:t>SURGERY</w:t>
            </w:r>
          </w:p>
        </w:tc>
        <w:tc>
          <w:tcPr>
            <w:tcW w:w="1701" w:type="dxa"/>
            <w:gridSpan w:val="3"/>
            <w:tcBorders>
              <w:top w:val="single" w:sz="4" w:space="0" w:color="auto"/>
              <w:bottom w:val="single" w:sz="4" w:space="0" w:color="auto"/>
            </w:tcBorders>
            <w:shd w:val="clear" w:color="auto" w:fill="D9D9D9" w:themeFill="background1" w:themeFillShade="D9"/>
          </w:tcPr>
          <w:p w14:paraId="1C958601" w14:textId="77777777" w:rsidR="0074232E" w:rsidRPr="00822A1C" w:rsidRDefault="0074232E" w:rsidP="004D79EF">
            <w:pPr>
              <w:widowControl w:val="0"/>
              <w:spacing w:before="60" w:after="60" w:line="240" w:lineRule="auto"/>
              <w:jc w:val="left"/>
              <w:rPr>
                <w:rFonts w:ascii="Arial Narrow" w:hAnsi="Arial Narrow"/>
                <w:sz w:val="20"/>
                <w:szCs w:val="20"/>
                <w:lang w:val="en-US"/>
              </w:rPr>
            </w:pPr>
          </w:p>
        </w:tc>
        <w:tc>
          <w:tcPr>
            <w:tcW w:w="1701" w:type="dxa"/>
            <w:tcBorders>
              <w:top w:val="single" w:sz="4" w:space="0" w:color="auto"/>
              <w:bottom w:val="single" w:sz="4" w:space="0" w:color="auto"/>
            </w:tcBorders>
            <w:shd w:val="clear" w:color="auto" w:fill="D9D9D9" w:themeFill="background1" w:themeFillShade="D9"/>
          </w:tcPr>
          <w:p w14:paraId="2F42A3CA" w14:textId="77777777" w:rsidR="0074232E" w:rsidRPr="00822A1C" w:rsidRDefault="0074232E" w:rsidP="004D79EF">
            <w:pPr>
              <w:widowControl w:val="0"/>
              <w:spacing w:before="60" w:after="60" w:line="240" w:lineRule="auto"/>
              <w:jc w:val="left"/>
              <w:rPr>
                <w:rFonts w:ascii="Arial Narrow" w:hAnsi="Arial Narrow"/>
                <w:sz w:val="20"/>
                <w:szCs w:val="20"/>
              </w:rPr>
            </w:pPr>
          </w:p>
        </w:tc>
        <w:tc>
          <w:tcPr>
            <w:tcW w:w="2977" w:type="dxa"/>
            <w:tcBorders>
              <w:top w:val="single" w:sz="4" w:space="0" w:color="auto"/>
              <w:bottom w:val="single" w:sz="4" w:space="0" w:color="auto"/>
            </w:tcBorders>
            <w:shd w:val="clear" w:color="auto" w:fill="D9D9D9" w:themeFill="background1" w:themeFillShade="D9"/>
          </w:tcPr>
          <w:p w14:paraId="2A92448A" w14:textId="77777777" w:rsidR="0074232E" w:rsidRPr="00822A1C" w:rsidRDefault="0074232E" w:rsidP="004D79EF">
            <w:pPr>
              <w:widowControl w:val="0"/>
              <w:spacing w:before="60" w:after="60" w:line="240" w:lineRule="auto"/>
              <w:jc w:val="left"/>
              <w:rPr>
                <w:rFonts w:ascii="Arial Narrow" w:hAnsi="Arial Narrow"/>
                <w:sz w:val="20"/>
                <w:szCs w:val="20"/>
                <w:u w:val="single"/>
                <w:lang w:val="en-US"/>
              </w:rPr>
            </w:pPr>
          </w:p>
        </w:tc>
        <w:tc>
          <w:tcPr>
            <w:tcW w:w="2977" w:type="dxa"/>
            <w:tcBorders>
              <w:top w:val="single" w:sz="4" w:space="0" w:color="auto"/>
              <w:bottom w:val="single" w:sz="4" w:space="0" w:color="auto"/>
            </w:tcBorders>
            <w:shd w:val="clear" w:color="auto" w:fill="D9D9D9" w:themeFill="background1" w:themeFillShade="D9"/>
          </w:tcPr>
          <w:p w14:paraId="485C38E6" w14:textId="77777777" w:rsidR="0074232E" w:rsidRPr="00822A1C" w:rsidRDefault="0074232E" w:rsidP="00CA6595">
            <w:pPr>
              <w:widowControl w:val="0"/>
              <w:spacing w:before="60" w:after="60" w:line="240" w:lineRule="auto"/>
              <w:jc w:val="left"/>
              <w:rPr>
                <w:rFonts w:ascii="Arial Narrow" w:hAnsi="Arial Narrow"/>
                <w:sz w:val="20"/>
                <w:szCs w:val="20"/>
                <w:u w:val="single"/>
                <w:lang w:val="en-US"/>
              </w:rPr>
            </w:pPr>
          </w:p>
        </w:tc>
        <w:tc>
          <w:tcPr>
            <w:tcW w:w="2693" w:type="dxa"/>
            <w:tcBorders>
              <w:top w:val="single" w:sz="4" w:space="0" w:color="auto"/>
              <w:bottom w:val="single" w:sz="4" w:space="0" w:color="auto"/>
            </w:tcBorders>
            <w:shd w:val="clear" w:color="auto" w:fill="D9D9D9" w:themeFill="background1" w:themeFillShade="D9"/>
          </w:tcPr>
          <w:p w14:paraId="14FFB66F" w14:textId="77777777" w:rsidR="0074232E" w:rsidRPr="00822A1C" w:rsidRDefault="0074232E" w:rsidP="004D79EF">
            <w:pPr>
              <w:widowControl w:val="0"/>
              <w:spacing w:before="60" w:after="60" w:line="240" w:lineRule="auto"/>
              <w:jc w:val="left"/>
              <w:rPr>
                <w:rFonts w:ascii="Arial Narrow" w:hAnsi="Arial Narrow"/>
                <w:sz w:val="20"/>
                <w:szCs w:val="20"/>
              </w:rPr>
            </w:pPr>
          </w:p>
        </w:tc>
        <w:tc>
          <w:tcPr>
            <w:tcW w:w="2126" w:type="dxa"/>
            <w:tcBorders>
              <w:top w:val="single" w:sz="4" w:space="0" w:color="auto"/>
              <w:bottom w:val="single" w:sz="4" w:space="0" w:color="auto"/>
              <w:right w:val="single" w:sz="4" w:space="0" w:color="auto"/>
            </w:tcBorders>
            <w:shd w:val="clear" w:color="auto" w:fill="D9D9D9" w:themeFill="background1" w:themeFillShade="D9"/>
          </w:tcPr>
          <w:p w14:paraId="310682DD" w14:textId="77777777" w:rsidR="0074232E" w:rsidRPr="00D36D46" w:rsidRDefault="0074232E" w:rsidP="004D79EF">
            <w:pPr>
              <w:widowControl w:val="0"/>
              <w:spacing w:before="60" w:after="60" w:line="240" w:lineRule="auto"/>
              <w:jc w:val="left"/>
              <w:rPr>
                <w:rFonts w:ascii="Arial Narrow" w:hAnsi="Arial Narrow"/>
                <w:b/>
                <w:sz w:val="20"/>
                <w:szCs w:val="20"/>
              </w:rPr>
            </w:pPr>
          </w:p>
        </w:tc>
      </w:tr>
      <w:tr w:rsidR="00822A1C" w:rsidRPr="00822A1C" w14:paraId="6E8F1401" w14:textId="77777777" w:rsidTr="00A71F72">
        <w:trPr>
          <w:trHeight w:val="300"/>
        </w:trPr>
        <w:tc>
          <w:tcPr>
            <w:tcW w:w="1276" w:type="dxa"/>
            <w:tcBorders>
              <w:top w:val="single" w:sz="4" w:space="0" w:color="auto"/>
              <w:left w:val="single" w:sz="4" w:space="0" w:color="auto"/>
              <w:bottom w:val="single" w:sz="4" w:space="0" w:color="auto"/>
              <w:right w:val="single" w:sz="4" w:space="0" w:color="auto"/>
            </w:tcBorders>
          </w:tcPr>
          <w:p w14:paraId="779250BB" w14:textId="298CEBA6" w:rsidR="00822A1C" w:rsidRPr="00822A1C" w:rsidRDefault="00822A1C" w:rsidP="00CA6595">
            <w:pPr>
              <w:widowControl w:val="0"/>
              <w:spacing w:before="60" w:after="60" w:line="240" w:lineRule="auto"/>
              <w:jc w:val="left"/>
              <w:rPr>
                <w:rFonts w:ascii="Arial Narrow" w:hAnsi="Arial Narrow"/>
                <w:sz w:val="20"/>
                <w:szCs w:val="20"/>
              </w:rPr>
            </w:pPr>
            <w:r w:rsidRPr="00822A1C">
              <w:rPr>
                <w:rFonts w:ascii="Arial Narrow" w:hAnsi="Arial Narrow"/>
                <w:sz w:val="20"/>
                <w:szCs w:val="20"/>
              </w:rPr>
              <w:t xml:space="preserve">Young et al </w:t>
            </w:r>
            <w:r w:rsidR="00780EAF">
              <w:rPr>
                <w:rFonts w:ascii="Arial Narrow" w:hAnsi="Arial Narrow"/>
                <w:sz w:val="20"/>
                <w:szCs w:val="20"/>
              </w:rPr>
              <w:t>(</w:t>
            </w:r>
            <w:r w:rsidRPr="00822A1C">
              <w:rPr>
                <w:rFonts w:ascii="Arial Narrow" w:hAnsi="Arial Narrow"/>
                <w:sz w:val="20"/>
                <w:szCs w:val="20"/>
              </w:rPr>
              <w:t>2015</w:t>
            </w:r>
            <w:r w:rsidR="00780EAF">
              <w:rPr>
                <w:rFonts w:ascii="Arial Narrow" w:hAnsi="Arial Narrow"/>
                <w:sz w:val="20"/>
                <w:szCs w:val="20"/>
              </w:rPr>
              <w:t xml:space="preserve">) </w:t>
            </w:r>
            <w:r w:rsidR="00780EAF" w:rsidRPr="00161F46">
              <w:rPr>
                <w:rFonts w:ascii="Arial Narrow" w:hAnsi="Arial Narrow"/>
                <w:b/>
                <w:sz w:val="20"/>
                <w:szCs w:val="20"/>
                <w:lang w:val="en-US"/>
              </w:rPr>
              <w:t>*</w:t>
            </w:r>
          </w:p>
        </w:tc>
        <w:tc>
          <w:tcPr>
            <w:tcW w:w="1701" w:type="dxa"/>
            <w:gridSpan w:val="3"/>
            <w:tcBorders>
              <w:top w:val="single" w:sz="4" w:space="0" w:color="auto"/>
              <w:left w:val="single" w:sz="4" w:space="0" w:color="auto"/>
              <w:bottom w:val="single" w:sz="4" w:space="0" w:color="auto"/>
              <w:right w:val="single" w:sz="4" w:space="0" w:color="auto"/>
            </w:tcBorders>
          </w:tcPr>
          <w:p w14:paraId="432FFDEF"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To examine the survival rates of patients with metastatic head and neck squamous cell carcinoma who have undergone pulmonary squamous metastasectomies</w:t>
            </w:r>
          </w:p>
          <w:p w14:paraId="232D9829" w14:textId="77777777" w:rsidR="00822A1C" w:rsidRPr="00822A1C" w:rsidRDefault="00822A1C" w:rsidP="004D79EF">
            <w:pPr>
              <w:widowControl w:val="0"/>
              <w:spacing w:before="60" w:after="60" w:line="240" w:lineRule="auto"/>
              <w:jc w:val="left"/>
              <w:rPr>
                <w:rFonts w:ascii="Arial Narrow" w:hAnsi="Arial Narrow"/>
                <w:sz w:val="20"/>
                <w:szCs w:val="20"/>
                <w:lang w:val="en-US"/>
              </w:rPr>
            </w:pPr>
          </w:p>
          <w:p w14:paraId="27332AAC"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lang w:val="en-US"/>
              </w:rPr>
              <w:t>(population 2)</w:t>
            </w:r>
          </w:p>
        </w:tc>
        <w:tc>
          <w:tcPr>
            <w:tcW w:w="1701" w:type="dxa"/>
            <w:tcBorders>
              <w:top w:val="single" w:sz="4" w:space="0" w:color="auto"/>
              <w:left w:val="single" w:sz="4" w:space="0" w:color="auto"/>
              <w:bottom w:val="single" w:sz="4" w:space="0" w:color="auto"/>
              <w:right w:val="single" w:sz="4" w:space="0" w:color="auto"/>
            </w:tcBorders>
          </w:tcPr>
          <w:p w14:paraId="70F8D0CA"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13 studies included (403 patients)</w:t>
            </w:r>
          </w:p>
          <w:p w14:paraId="146EBA17" w14:textId="77777777" w:rsidR="00822A1C" w:rsidRPr="00822A1C" w:rsidRDefault="00822A1C" w:rsidP="004D79EF">
            <w:pPr>
              <w:widowControl w:val="0"/>
              <w:spacing w:before="60" w:after="60" w:line="240" w:lineRule="auto"/>
              <w:jc w:val="left"/>
              <w:rPr>
                <w:rFonts w:ascii="Arial Narrow" w:hAnsi="Arial Narrow"/>
                <w:sz w:val="20"/>
                <w:szCs w:val="20"/>
              </w:rPr>
            </w:pPr>
          </w:p>
          <w:p w14:paraId="76E5BCA0"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Publication date range of included studies: 1986–2011</w:t>
            </w:r>
          </w:p>
        </w:tc>
        <w:tc>
          <w:tcPr>
            <w:tcW w:w="2977" w:type="dxa"/>
            <w:tcBorders>
              <w:top w:val="single" w:sz="4" w:space="0" w:color="auto"/>
              <w:left w:val="single" w:sz="4" w:space="0" w:color="auto"/>
              <w:bottom w:val="single" w:sz="4" w:space="0" w:color="auto"/>
              <w:right w:val="single" w:sz="4" w:space="0" w:color="auto"/>
            </w:tcBorders>
          </w:tcPr>
          <w:p w14:paraId="66822FC6" w14:textId="77777777" w:rsidR="00822A1C" w:rsidRPr="00822A1C" w:rsidRDefault="00822A1C" w:rsidP="004D79EF">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Study inclusion criteria</w:t>
            </w:r>
          </w:p>
          <w:p w14:paraId="2B6F9D44"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Studies on patients with metastatic head and neck squaomous cell carcinoma </w:t>
            </w:r>
            <w:proofErr w:type="gramStart"/>
            <w:r w:rsidRPr="00822A1C">
              <w:rPr>
                <w:rFonts w:ascii="Arial Narrow" w:hAnsi="Arial Narrow"/>
                <w:sz w:val="20"/>
                <w:szCs w:val="20"/>
                <w:lang w:val="en-US"/>
              </w:rPr>
              <w:t>who</w:t>
            </w:r>
            <w:proofErr w:type="gramEnd"/>
            <w:r w:rsidRPr="00822A1C">
              <w:rPr>
                <w:rFonts w:ascii="Arial Narrow" w:hAnsi="Arial Narrow"/>
                <w:sz w:val="20"/>
                <w:szCs w:val="20"/>
                <w:lang w:val="en-US"/>
              </w:rPr>
              <w:t xml:space="preserve"> underwent pulmonary squamous metastasectomy. All patients had to have locoregional control of the primary tumour at the time of pulmonary metastasectomy without distant metastases elsewhere. All surgical approaches to pulmonary metastasectomy and both incomplete and complete resection were included as well as multiple or bilateral pulmonary nodules.</w:t>
            </w:r>
          </w:p>
          <w:p w14:paraId="73F1077A"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Studies had to report survival outcome data on pulmonary metastasis from head and neck squamous cell carcinoma. Randomised controlled trials, prospective case series or case control studies were considered for inclusion. No language or publication date restrictions were imposed. </w:t>
            </w:r>
          </w:p>
          <w:p w14:paraId="4AF6EBB0" w14:textId="77777777" w:rsidR="00822A1C" w:rsidRPr="00822A1C" w:rsidRDefault="00822A1C" w:rsidP="004D79EF">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Study exclusion criteria</w:t>
            </w:r>
          </w:p>
          <w:p w14:paraId="7DBCA48A" w14:textId="77777777" w:rsidR="00822A1C" w:rsidRPr="00822A1C" w:rsidRDefault="00822A1C" w:rsidP="004D79EF">
            <w:pPr>
              <w:widowControl w:val="0"/>
              <w:spacing w:before="60" w:after="60" w:line="240" w:lineRule="auto"/>
              <w:jc w:val="left"/>
              <w:rPr>
                <w:rFonts w:ascii="Arial Narrow" w:hAnsi="Arial Narrow"/>
                <w:sz w:val="20"/>
                <w:szCs w:val="20"/>
                <w:u w:val="single"/>
              </w:rPr>
            </w:pPr>
            <w:r w:rsidRPr="00822A1C">
              <w:rPr>
                <w:rFonts w:ascii="Arial Narrow" w:hAnsi="Arial Narrow"/>
                <w:sz w:val="20"/>
                <w:szCs w:val="20"/>
                <w:lang w:val="en-US"/>
              </w:rPr>
              <w:t>Studies of patients with metastatic pulmonary disease at the initial diagnosis of head and neck squamous cell carcinoma were excluded.</w:t>
            </w:r>
          </w:p>
        </w:tc>
        <w:tc>
          <w:tcPr>
            <w:tcW w:w="2977" w:type="dxa"/>
            <w:tcBorders>
              <w:top w:val="single" w:sz="4" w:space="0" w:color="auto"/>
              <w:left w:val="single" w:sz="4" w:space="0" w:color="auto"/>
              <w:bottom w:val="single" w:sz="4" w:space="0" w:color="auto"/>
              <w:right w:val="single" w:sz="4" w:space="0" w:color="auto"/>
            </w:tcBorders>
          </w:tcPr>
          <w:p w14:paraId="49013320" w14:textId="69535343" w:rsidR="00822A1C" w:rsidRPr="00822A1C" w:rsidRDefault="00822A1C"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u w:val="single"/>
                <w:lang w:val="en-US"/>
              </w:rPr>
              <w:t>Meta-analysis of overall absolute 5-year survival rates</w:t>
            </w:r>
            <w:r w:rsidRPr="00822A1C">
              <w:rPr>
                <w:rFonts w:ascii="Arial Narrow" w:hAnsi="Arial Narrow"/>
                <w:sz w:val="20"/>
                <w:szCs w:val="20"/>
                <w:lang w:val="en-US"/>
              </w:rPr>
              <w:t xml:space="preserve"> </w:t>
            </w:r>
          </w:p>
          <w:p w14:paraId="4E13292B" w14:textId="706E8A63" w:rsidR="00822A1C" w:rsidRPr="00822A1C" w:rsidRDefault="00822A1C"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Reported by 11 of the 13 studies with a total of 387 patients: 29.1% (95%CI; 24.1</w:t>
            </w:r>
            <w:r w:rsidR="007E3D66">
              <w:rPr>
                <w:rFonts w:ascii="Arial Narrow" w:hAnsi="Arial Narrow"/>
                <w:sz w:val="20"/>
                <w:szCs w:val="20"/>
                <w:lang w:val="en-US"/>
              </w:rPr>
              <w:t>–</w:t>
            </w:r>
            <w:r w:rsidRPr="00822A1C">
              <w:rPr>
                <w:rFonts w:ascii="Arial Narrow" w:hAnsi="Arial Narrow"/>
                <w:sz w:val="20"/>
                <w:szCs w:val="20"/>
                <w:lang w:val="en-US"/>
              </w:rPr>
              <w:t>35.3)</w:t>
            </w:r>
            <w:r w:rsidRPr="00822A1C">
              <w:rPr>
                <w:rFonts w:asciiTheme="minorHAnsi" w:eastAsiaTheme="minorHAnsi" w:hAnsiTheme="minorHAnsi" w:cstheme="minorBidi"/>
                <w:sz w:val="24"/>
                <w:szCs w:val="24"/>
                <w:lang w:val="en-US" w:eastAsia="en-US"/>
              </w:rPr>
              <w:t xml:space="preserve"> </w:t>
            </w:r>
            <w:r w:rsidRPr="00822A1C">
              <w:rPr>
                <w:rFonts w:ascii="Arial Narrow" w:hAnsi="Arial Narrow"/>
                <w:sz w:val="20"/>
                <w:szCs w:val="20"/>
                <w:lang w:val="en-US"/>
              </w:rPr>
              <w:t>I</w:t>
            </w:r>
            <w:r w:rsidRPr="00822A1C">
              <w:rPr>
                <w:rFonts w:ascii="Arial Narrow" w:hAnsi="Arial Narrow"/>
                <w:sz w:val="20"/>
                <w:szCs w:val="20"/>
                <w:vertAlign w:val="superscript"/>
                <w:lang w:val="en-US"/>
              </w:rPr>
              <w:t>2</w:t>
            </w:r>
            <w:r w:rsidRPr="00822A1C">
              <w:rPr>
                <w:rFonts w:ascii="Arial Narrow" w:hAnsi="Arial Narrow"/>
                <w:sz w:val="20"/>
                <w:szCs w:val="20"/>
                <w:lang w:val="en-US"/>
              </w:rPr>
              <w:t xml:space="preserve"> =</w:t>
            </w:r>
            <w:r w:rsidR="00C10752">
              <w:rPr>
                <w:rFonts w:ascii="Arial Narrow" w:hAnsi="Arial Narrow"/>
                <w:sz w:val="20"/>
                <w:szCs w:val="20"/>
                <w:lang w:val="en-US"/>
              </w:rPr>
              <w:t xml:space="preserve"> </w:t>
            </w:r>
            <w:r w:rsidRPr="00822A1C">
              <w:rPr>
                <w:rFonts w:ascii="Arial Narrow" w:hAnsi="Arial Narrow"/>
                <w:sz w:val="20"/>
                <w:szCs w:val="20"/>
                <w:lang w:val="en-US"/>
              </w:rPr>
              <w:t>0%, p</w:t>
            </w:r>
            <w:r w:rsidR="00C10752">
              <w:rPr>
                <w:rFonts w:ascii="Arial Narrow" w:hAnsi="Arial Narrow"/>
                <w:sz w:val="20"/>
                <w:szCs w:val="20"/>
                <w:lang w:val="en-US"/>
              </w:rPr>
              <w:t xml:space="preserve"> </w:t>
            </w:r>
            <w:r w:rsidRPr="00822A1C">
              <w:rPr>
                <w:rFonts w:ascii="Arial Narrow" w:hAnsi="Arial Narrow"/>
                <w:sz w:val="20"/>
                <w:szCs w:val="20"/>
                <w:lang w:val="en-US"/>
              </w:rPr>
              <w:t>=</w:t>
            </w:r>
            <w:r w:rsidR="00C10752">
              <w:rPr>
                <w:rFonts w:ascii="Arial Narrow" w:hAnsi="Arial Narrow"/>
                <w:sz w:val="20"/>
                <w:szCs w:val="20"/>
                <w:lang w:val="en-US"/>
              </w:rPr>
              <w:t xml:space="preserve"> </w:t>
            </w:r>
            <w:r w:rsidRPr="00822A1C">
              <w:rPr>
                <w:rFonts w:ascii="Arial Narrow" w:hAnsi="Arial Narrow"/>
                <w:sz w:val="20"/>
                <w:szCs w:val="20"/>
                <w:lang w:val="en-US"/>
              </w:rPr>
              <w:t>0.462, d.f.=</w:t>
            </w:r>
            <w:r w:rsidR="00C10752">
              <w:rPr>
                <w:rFonts w:ascii="Arial Narrow" w:hAnsi="Arial Narrow"/>
                <w:sz w:val="20"/>
                <w:szCs w:val="20"/>
                <w:lang w:val="en-US"/>
              </w:rPr>
              <w:t xml:space="preserve"> </w:t>
            </w:r>
            <w:r w:rsidRPr="00822A1C">
              <w:rPr>
                <w:rFonts w:ascii="Arial Narrow" w:hAnsi="Arial Narrow"/>
                <w:sz w:val="20"/>
                <w:szCs w:val="20"/>
                <w:lang w:val="en-US"/>
              </w:rPr>
              <w:t>10</w:t>
            </w:r>
          </w:p>
          <w:p w14:paraId="501F2898" w14:textId="77777777" w:rsidR="00822A1C" w:rsidRPr="00822A1C" w:rsidRDefault="00822A1C" w:rsidP="00CA6595">
            <w:pPr>
              <w:widowControl w:val="0"/>
              <w:spacing w:before="60" w:after="60" w:line="240" w:lineRule="auto"/>
              <w:jc w:val="left"/>
              <w:rPr>
                <w:rFonts w:ascii="Arial Narrow" w:hAnsi="Arial Narrow"/>
                <w:sz w:val="20"/>
                <w:szCs w:val="20"/>
              </w:rPr>
            </w:pPr>
          </w:p>
          <w:p w14:paraId="56651E1E" w14:textId="77777777" w:rsidR="00822A1C" w:rsidRPr="00822A1C" w:rsidRDefault="00822A1C" w:rsidP="00CA6595">
            <w:pPr>
              <w:widowControl w:val="0"/>
              <w:spacing w:before="60" w:after="60" w:line="240" w:lineRule="auto"/>
              <w:jc w:val="left"/>
              <w:rPr>
                <w:rFonts w:ascii="Arial Narrow" w:hAnsi="Arial Narrow"/>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0414902"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Authors stated that the SR and meta-analysis demonstrated that certain carefully selected patients with lung metastasis following treatment for squamous cell carcinoma of the head and neck may benefit from pulmonary metastasectomy. They report that poor prognostic factors for pulmonary metatastectomy include the presence of lymph node metastasis at the diagnosis of the original tumour, squamous cell carcinoma of the oral cavity, incomplete pulmonary resection and the presence of multiple pulmonary nodules.</w:t>
            </w:r>
          </w:p>
        </w:tc>
        <w:tc>
          <w:tcPr>
            <w:tcW w:w="2126" w:type="dxa"/>
            <w:tcBorders>
              <w:top w:val="single" w:sz="4" w:space="0" w:color="auto"/>
              <w:left w:val="single" w:sz="4" w:space="0" w:color="auto"/>
              <w:bottom w:val="single" w:sz="4" w:space="0" w:color="auto"/>
              <w:right w:val="single" w:sz="4" w:space="0" w:color="auto"/>
            </w:tcBorders>
          </w:tcPr>
          <w:p w14:paraId="639A789D" w14:textId="77777777" w:rsidR="007908D7" w:rsidRPr="00D36D46" w:rsidRDefault="007908D7" w:rsidP="004D79EF">
            <w:pPr>
              <w:widowControl w:val="0"/>
              <w:spacing w:before="60" w:after="60" w:line="240" w:lineRule="auto"/>
              <w:jc w:val="left"/>
              <w:rPr>
                <w:rFonts w:ascii="Arial Narrow" w:hAnsi="Arial Narrow"/>
                <w:b/>
                <w:sz w:val="20"/>
                <w:szCs w:val="20"/>
              </w:rPr>
            </w:pPr>
            <w:r w:rsidRPr="00D36D46">
              <w:rPr>
                <w:rFonts w:ascii="Arial Narrow" w:hAnsi="Arial Narrow"/>
                <w:b/>
                <w:sz w:val="20"/>
                <w:szCs w:val="20"/>
              </w:rPr>
              <w:t>MODERATE QUALITY</w:t>
            </w:r>
          </w:p>
          <w:p w14:paraId="3812034B"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1. </w:t>
            </w:r>
            <w:r w:rsidRPr="0076456C">
              <w:rPr>
                <w:rFonts w:ascii="Arial Narrow" w:hAnsi="Arial Narrow"/>
                <w:sz w:val="20"/>
                <w:szCs w:val="20"/>
              </w:rPr>
              <w:t>Was</w:t>
            </w:r>
            <w:r>
              <w:rPr>
                <w:rFonts w:ascii="Arial Narrow" w:hAnsi="Arial Narrow"/>
                <w:sz w:val="20"/>
                <w:szCs w:val="20"/>
              </w:rPr>
              <w:t xml:space="preserve"> an ‘a priori’ design provided? </w:t>
            </w:r>
            <w:r w:rsidRPr="003B27D1">
              <w:rPr>
                <w:rFonts w:ascii="Arial Narrow" w:hAnsi="Arial Narrow"/>
                <w:b/>
                <w:sz w:val="20"/>
                <w:szCs w:val="20"/>
              </w:rPr>
              <w:t>YES</w:t>
            </w:r>
          </w:p>
          <w:p w14:paraId="26151775" w14:textId="78951FE6"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2. Duplicate selection and </w:t>
            </w:r>
            <w:r w:rsidRPr="0076456C">
              <w:rPr>
                <w:rFonts w:ascii="Arial Narrow" w:hAnsi="Arial Narrow"/>
                <w:sz w:val="20"/>
                <w:szCs w:val="20"/>
              </w:rPr>
              <w:t>extraction?</w:t>
            </w:r>
            <w:r>
              <w:rPr>
                <w:rFonts w:ascii="Arial Narrow" w:hAnsi="Arial Narrow"/>
                <w:sz w:val="20"/>
                <w:szCs w:val="20"/>
              </w:rPr>
              <w:t xml:space="preserve"> </w:t>
            </w:r>
            <w:r w:rsidRPr="003B27D1">
              <w:rPr>
                <w:rFonts w:ascii="Arial Narrow" w:hAnsi="Arial Narrow"/>
                <w:b/>
                <w:sz w:val="20"/>
                <w:szCs w:val="20"/>
              </w:rPr>
              <w:t>YES</w:t>
            </w:r>
          </w:p>
          <w:p w14:paraId="1231BAB9" w14:textId="77777777" w:rsidR="007908D7" w:rsidRPr="003B27D1" w:rsidRDefault="007908D7" w:rsidP="004D79EF">
            <w:pPr>
              <w:widowControl w:val="0"/>
              <w:spacing w:before="60" w:after="60" w:line="240" w:lineRule="auto"/>
              <w:jc w:val="left"/>
              <w:rPr>
                <w:rFonts w:ascii="Arial Narrow" w:hAnsi="Arial Narrow"/>
                <w:b/>
                <w:sz w:val="20"/>
                <w:szCs w:val="20"/>
              </w:rPr>
            </w:pPr>
            <w:r>
              <w:rPr>
                <w:rFonts w:ascii="Arial Narrow" w:hAnsi="Arial Narrow"/>
                <w:sz w:val="20"/>
                <w:szCs w:val="20"/>
              </w:rPr>
              <w:t>3. C</w:t>
            </w:r>
            <w:r w:rsidRPr="0076456C">
              <w:rPr>
                <w:rFonts w:ascii="Arial Narrow" w:hAnsi="Arial Narrow"/>
                <w:sz w:val="20"/>
                <w:szCs w:val="20"/>
              </w:rPr>
              <w:t xml:space="preserve">omprehensive literature search? </w:t>
            </w:r>
            <w:r w:rsidRPr="003B27D1">
              <w:rPr>
                <w:rFonts w:ascii="Arial Narrow" w:hAnsi="Arial Narrow"/>
                <w:b/>
                <w:sz w:val="20"/>
                <w:szCs w:val="20"/>
              </w:rPr>
              <w:t>YES</w:t>
            </w:r>
          </w:p>
          <w:p w14:paraId="18D50F2B"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4. P</w:t>
            </w:r>
            <w:r w:rsidRPr="0076456C">
              <w:rPr>
                <w:rFonts w:ascii="Arial Narrow" w:hAnsi="Arial Narrow"/>
                <w:sz w:val="20"/>
                <w:szCs w:val="20"/>
              </w:rPr>
              <w:t xml:space="preserve">ublication </w:t>
            </w:r>
            <w:r>
              <w:rPr>
                <w:rFonts w:ascii="Arial Narrow" w:hAnsi="Arial Narrow"/>
                <w:sz w:val="20"/>
                <w:szCs w:val="20"/>
              </w:rPr>
              <w:t xml:space="preserve">status </w:t>
            </w:r>
            <w:r w:rsidRPr="0076456C">
              <w:rPr>
                <w:rFonts w:ascii="Arial Narrow" w:hAnsi="Arial Narrow"/>
                <w:sz w:val="20"/>
                <w:szCs w:val="20"/>
              </w:rPr>
              <w:t>(i.e. grey literature) used as an inclusion criterion?</w:t>
            </w:r>
            <w:r>
              <w:rPr>
                <w:rFonts w:ascii="Arial Narrow" w:hAnsi="Arial Narrow"/>
                <w:sz w:val="20"/>
                <w:szCs w:val="20"/>
              </w:rPr>
              <w:t xml:space="preserve"> </w:t>
            </w:r>
            <w:r w:rsidRPr="003B27D1">
              <w:rPr>
                <w:rFonts w:ascii="Arial Narrow" w:hAnsi="Arial Narrow"/>
                <w:b/>
                <w:sz w:val="20"/>
                <w:szCs w:val="20"/>
              </w:rPr>
              <w:t>YES</w:t>
            </w:r>
          </w:p>
          <w:p w14:paraId="40B3B4CB"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5. L</w:t>
            </w:r>
            <w:r w:rsidRPr="0076456C">
              <w:rPr>
                <w:rFonts w:ascii="Arial Narrow" w:hAnsi="Arial Narrow"/>
                <w:sz w:val="20"/>
                <w:szCs w:val="20"/>
              </w:rPr>
              <w:t>ist of studies provided?</w:t>
            </w:r>
            <w:r>
              <w:rPr>
                <w:rFonts w:ascii="Arial Narrow" w:hAnsi="Arial Narrow"/>
                <w:sz w:val="20"/>
                <w:szCs w:val="20"/>
              </w:rPr>
              <w:t xml:space="preserve"> </w:t>
            </w:r>
            <w:r w:rsidRPr="003B27D1">
              <w:rPr>
                <w:rFonts w:ascii="Arial Narrow" w:hAnsi="Arial Narrow"/>
                <w:b/>
                <w:sz w:val="20"/>
                <w:szCs w:val="20"/>
              </w:rPr>
              <w:t>NO</w:t>
            </w:r>
          </w:p>
          <w:p w14:paraId="492BB739" w14:textId="6CD99858"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6. C</w:t>
            </w:r>
            <w:r w:rsidRPr="0076456C">
              <w:rPr>
                <w:rFonts w:ascii="Arial Narrow" w:hAnsi="Arial Narrow"/>
                <w:sz w:val="20"/>
                <w:szCs w:val="20"/>
              </w:rPr>
              <w:t>haracteristics of included studies?</w:t>
            </w:r>
            <w:r>
              <w:rPr>
                <w:rFonts w:ascii="Arial Narrow" w:hAnsi="Arial Narrow"/>
                <w:sz w:val="20"/>
                <w:szCs w:val="20"/>
              </w:rPr>
              <w:t xml:space="preserve"> </w:t>
            </w:r>
            <w:r w:rsidRPr="003B27D1">
              <w:rPr>
                <w:rFonts w:ascii="Arial Narrow" w:hAnsi="Arial Narrow"/>
                <w:b/>
                <w:sz w:val="20"/>
                <w:szCs w:val="20"/>
              </w:rPr>
              <w:t>YES</w:t>
            </w:r>
          </w:p>
          <w:p w14:paraId="2D20D9A1"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7. S</w:t>
            </w:r>
            <w:r w:rsidRPr="0076456C">
              <w:rPr>
                <w:rFonts w:ascii="Arial Narrow" w:hAnsi="Arial Narrow"/>
                <w:sz w:val="20"/>
                <w:szCs w:val="20"/>
              </w:rPr>
              <w:t>cientific quality of the included studies assessed?</w:t>
            </w:r>
            <w:r>
              <w:rPr>
                <w:rFonts w:ascii="Arial Narrow" w:hAnsi="Arial Narrow"/>
                <w:sz w:val="20"/>
                <w:szCs w:val="20"/>
              </w:rPr>
              <w:t xml:space="preserve"> </w:t>
            </w:r>
            <w:r>
              <w:rPr>
                <w:rFonts w:ascii="Arial Narrow" w:hAnsi="Arial Narrow"/>
                <w:b/>
                <w:sz w:val="20"/>
                <w:szCs w:val="20"/>
              </w:rPr>
              <w:t>YES</w:t>
            </w:r>
          </w:p>
          <w:p w14:paraId="6049B9BF" w14:textId="64BC7D38"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8. S</w:t>
            </w:r>
            <w:r w:rsidRPr="0076456C">
              <w:rPr>
                <w:rFonts w:ascii="Arial Narrow" w:hAnsi="Arial Narrow"/>
                <w:sz w:val="20"/>
                <w:szCs w:val="20"/>
              </w:rPr>
              <w:t>cientific quality of the studies used in conclusions?</w:t>
            </w:r>
            <w:r>
              <w:rPr>
                <w:rFonts w:ascii="Arial Narrow" w:hAnsi="Arial Narrow"/>
                <w:sz w:val="20"/>
                <w:szCs w:val="20"/>
              </w:rPr>
              <w:t xml:space="preserve"> </w:t>
            </w:r>
            <w:r w:rsidRPr="003B27D1">
              <w:rPr>
                <w:rFonts w:ascii="Arial Narrow" w:hAnsi="Arial Narrow"/>
                <w:b/>
                <w:sz w:val="20"/>
                <w:szCs w:val="20"/>
              </w:rPr>
              <w:t>YES</w:t>
            </w:r>
          </w:p>
          <w:p w14:paraId="0767C070"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9. M</w:t>
            </w:r>
            <w:r w:rsidRPr="0076456C">
              <w:rPr>
                <w:rFonts w:ascii="Arial Narrow" w:hAnsi="Arial Narrow"/>
                <w:sz w:val="20"/>
                <w:szCs w:val="20"/>
              </w:rPr>
              <w:t>ethods used to combine the findings of studies appropriate</w:t>
            </w:r>
            <w:r w:rsidRPr="003B27D1">
              <w:rPr>
                <w:rFonts w:ascii="Arial Narrow" w:hAnsi="Arial Narrow"/>
                <w:sz w:val="20"/>
                <w:szCs w:val="20"/>
              </w:rPr>
              <w:t>?</w:t>
            </w:r>
            <w:r w:rsidRPr="003B27D1">
              <w:rPr>
                <w:rFonts w:ascii="Arial Narrow" w:hAnsi="Arial Narrow"/>
                <w:b/>
                <w:sz w:val="20"/>
                <w:szCs w:val="20"/>
              </w:rPr>
              <w:t xml:space="preserve"> </w:t>
            </w:r>
            <w:r w:rsidR="00181EBD">
              <w:rPr>
                <w:rFonts w:ascii="Arial Narrow" w:hAnsi="Arial Narrow"/>
                <w:b/>
                <w:sz w:val="20"/>
                <w:szCs w:val="20"/>
              </w:rPr>
              <w:t>YES</w:t>
            </w:r>
          </w:p>
          <w:p w14:paraId="324E3951"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10. P</w:t>
            </w:r>
            <w:r w:rsidRPr="0076456C">
              <w:rPr>
                <w:rFonts w:ascii="Arial Narrow" w:hAnsi="Arial Narrow"/>
                <w:sz w:val="20"/>
                <w:szCs w:val="20"/>
              </w:rPr>
              <w:t xml:space="preserve">ublication bias assessed? </w:t>
            </w:r>
            <w:r w:rsidR="00181EBD">
              <w:rPr>
                <w:rFonts w:ascii="Arial Narrow" w:hAnsi="Arial Narrow"/>
                <w:b/>
                <w:sz w:val="20"/>
                <w:szCs w:val="20"/>
              </w:rPr>
              <w:t>YES</w:t>
            </w:r>
          </w:p>
          <w:p w14:paraId="7DF9ADD7" w14:textId="77777777" w:rsidR="00822A1C" w:rsidRPr="00822A1C"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11. C</w:t>
            </w:r>
            <w:r w:rsidRPr="0076456C">
              <w:rPr>
                <w:rFonts w:ascii="Arial Narrow" w:hAnsi="Arial Narrow"/>
                <w:sz w:val="20"/>
                <w:szCs w:val="20"/>
              </w:rPr>
              <w:t>onflict of interest stated?</w:t>
            </w:r>
            <w:r>
              <w:rPr>
                <w:rFonts w:ascii="Arial Narrow" w:hAnsi="Arial Narrow"/>
                <w:sz w:val="20"/>
                <w:szCs w:val="20"/>
              </w:rPr>
              <w:t xml:space="preserve"> </w:t>
            </w:r>
            <w:r w:rsidR="00181EBD">
              <w:rPr>
                <w:rFonts w:ascii="Arial Narrow" w:hAnsi="Arial Narrow"/>
                <w:b/>
                <w:sz w:val="20"/>
                <w:szCs w:val="20"/>
              </w:rPr>
              <w:t>NO</w:t>
            </w:r>
          </w:p>
        </w:tc>
      </w:tr>
      <w:tr w:rsidR="00822A1C" w:rsidRPr="00822A1C" w14:paraId="0E7C8BF1" w14:textId="77777777" w:rsidTr="00A71F72">
        <w:trPr>
          <w:trHeight w:val="300"/>
        </w:trPr>
        <w:tc>
          <w:tcPr>
            <w:tcW w:w="1276" w:type="dxa"/>
            <w:tcBorders>
              <w:top w:val="single" w:sz="4" w:space="0" w:color="auto"/>
              <w:left w:val="single" w:sz="4" w:space="0" w:color="auto"/>
              <w:bottom w:val="single" w:sz="4" w:space="0" w:color="auto"/>
              <w:right w:val="single" w:sz="4" w:space="0" w:color="auto"/>
            </w:tcBorders>
          </w:tcPr>
          <w:p w14:paraId="01FF50CB" w14:textId="68B4A470" w:rsidR="00822A1C" w:rsidRPr="00822A1C" w:rsidRDefault="00822A1C" w:rsidP="00CA6595">
            <w:pPr>
              <w:keepLines/>
              <w:pageBreakBefore/>
              <w:widowControl w:val="0"/>
              <w:spacing w:before="60" w:after="60" w:line="240" w:lineRule="auto"/>
              <w:jc w:val="left"/>
              <w:rPr>
                <w:rFonts w:ascii="Arial Narrow" w:hAnsi="Arial Narrow"/>
                <w:sz w:val="20"/>
                <w:szCs w:val="20"/>
              </w:rPr>
            </w:pPr>
            <w:r w:rsidRPr="00822A1C">
              <w:rPr>
                <w:rFonts w:ascii="Arial Narrow" w:hAnsi="Arial Narrow"/>
                <w:sz w:val="20"/>
                <w:szCs w:val="20"/>
              </w:rPr>
              <w:lastRenderedPageBreak/>
              <w:t xml:space="preserve">Pfannschmidt et al </w:t>
            </w:r>
            <w:r w:rsidR="00A74293">
              <w:rPr>
                <w:rFonts w:ascii="Arial Narrow" w:hAnsi="Arial Narrow"/>
                <w:sz w:val="20"/>
                <w:szCs w:val="20"/>
              </w:rPr>
              <w:t>(</w:t>
            </w:r>
            <w:r w:rsidRPr="00822A1C">
              <w:rPr>
                <w:rFonts w:ascii="Arial Narrow" w:hAnsi="Arial Narrow"/>
                <w:sz w:val="20"/>
                <w:szCs w:val="20"/>
              </w:rPr>
              <w:t>2007</w:t>
            </w:r>
            <w:r w:rsidR="00A74293">
              <w:rPr>
                <w:rFonts w:ascii="Arial Narrow" w:hAnsi="Arial Narrow"/>
                <w:sz w:val="20"/>
                <w:szCs w:val="20"/>
              </w:rPr>
              <w:t>)</w:t>
            </w:r>
            <w:r w:rsidR="00780EAF">
              <w:rPr>
                <w:rFonts w:ascii="Arial Narrow" w:hAnsi="Arial Narrow"/>
                <w:sz w:val="20"/>
                <w:szCs w:val="20"/>
              </w:rPr>
              <w:t xml:space="preserve"> </w:t>
            </w:r>
            <w:r w:rsidR="00780EAF" w:rsidRPr="00161F46">
              <w:rPr>
                <w:rFonts w:ascii="Arial Narrow" w:hAnsi="Arial Narrow"/>
                <w:b/>
                <w:sz w:val="20"/>
                <w:szCs w:val="20"/>
                <w:lang w:val="en-US"/>
              </w:rPr>
              <w:t>**</w:t>
            </w:r>
          </w:p>
        </w:tc>
        <w:tc>
          <w:tcPr>
            <w:tcW w:w="1701" w:type="dxa"/>
            <w:gridSpan w:val="3"/>
            <w:tcBorders>
              <w:top w:val="single" w:sz="4" w:space="0" w:color="auto"/>
              <w:left w:val="single" w:sz="4" w:space="0" w:color="auto"/>
              <w:bottom w:val="single" w:sz="4" w:space="0" w:color="auto"/>
              <w:right w:val="single" w:sz="4" w:space="0" w:color="auto"/>
            </w:tcBorders>
          </w:tcPr>
          <w:p w14:paraId="3ACB3AE9"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To assess the published evidence for the efficacy of pulmonary metastasectomy in patients with colorectal cancer</w:t>
            </w:r>
          </w:p>
          <w:p w14:paraId="219FDB35" w14:textId="77777777" w:rsidR="00822A1C" w:rsidRPr="00822A1C" w:rsidRDefault="00822A1C" w:rsidP="004D79EF">
            <w:pPr>
              <w:widowControl w:val="0"/>
              <w:spacing w:before="60" w:after="60" w:line="240" w:lineRule="auto"/>
              <w:jc w:val="left"/>
              <w:rPr>
                <w:rFonts w:ascii="Arial Narrow" w:hAnsi="Arial Narrow"/>
                <w:sz w:val="20"/>
                <w:szCs w:val="20"/>
                <w:lang w:val="en-US"/>
              </w:rPr>
            </w:pPr>
          </w:p>
          <w:p w14:paraId="0CA95394"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(population 2)</w:t>
            </w:r>
          </w:p>
        </w:tc>
        <w:tc>
          <w:tcPr>
            <w:tcW w:w="1701" w:type="dxa"/>
            <w:tcBorders>
              <w:top w:val="single" w:sz="4" w:space="0" w:color="auto"/>
              <w:left w:val="single" w:sz="4" w:space="0" w:color="auto"/>
              <w:bottom w:val="single" w:sz="4" w:space="0" w:color="auto"/>
              <w:right w:val="single" w:sz="4" w:space="0" w:color="auto"/>
            </w:tcBorders>
          </w:tcPr>
          <w:p w14:paraId="56F807A4"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20 studies included (2,320 patients)</w:t>
            </w:r>
          </w:p>
          <w:p w14:paraId="044A053C" w14:textId="77777777" w:rsidR="00822A1C" w:rsidRPr="00822A1C" w:rsidRDefault="00822A1C" w:rsidP="004D79EF">
            <w:pPr>
              <w:widowControl w:val="0"/>
              <w:spacing w:before="60" w:after="60" w:line="240" w:lineRule="auto"/>
              <w:jc w:val="left"/>
              <w:rPr>
                <w:rFonts w:ascii="Arial Narrow" w:hAnsi="Arial Narrow"/>
                <w:sz w:val="20"/>
                <w:szCs w:val="20"/>
              </w:rPr>
            </w:pPr>
          </w:p>
          <w:p w14:paraId="26B77C6E"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Publication date range of included studies: 1999–2006</w:t>
            </w:r>
          </w:p>
        </w:tc>
        <w:tc>
          <w:tcPr>
            <w:tcW w:w="2977" w:type="dxa"/>
            <w:tcBorders>
              <w:top w:val="single" w:sz="4" w:space="0" w:color="auto"/>
              <w:left w:val="single" w:sz="4" w:space="0" w:color="auto"/>
              <w:bottom w:val="single" w:sz="4" w:space="0" w:color="auto"/>
              <w:right w:val="single" w:sz="4" w:space="0" w:color="auto"/>
            </w:tcBorders>
          </w:tcPr>
          <w:p w14:paraId="682D5330" w14:textId="77777777" w:rsidR="00822A1C" w:rsidRPr="00822A1C" w:rsidRDefault="00822A1C" w:rsidP="004D79EF">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Study inclusion criteria</w:t>
            </w:r>
          </w:p>
          <w:p w14:paraId="2DDD405D"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Studies on patients who underwent surgical resection with curative intent for colorectal pulmonary metastases. Patients who underwent repeat pulmonary resection and hepatic and pulmonary metastases resection were also included. </w:t>
            </w:r>
          </w:p>
          <w:p w14:paraId="1BFB0727"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Prospective and retrospective studies reporting the outcome of surgical resection with curative intent of colorectal pulmonary metastases. Restricted to studies published between 1995 and December 2006.  Other criteria included at least 40 patients in the study, at least 30 days of follow-up after the operation for postoperative morbidity and mortality and at least 24 months for inclusion of survival data. English articles included.</w:t>
            </w:r>
          </w:p>
          <w:p w14:paraId="084E3511" w14:textId="77777777" w:rsidR="00822A1C" w:rsidRPr="00822A1C" w:rsidRDefault="00822A1C" w:rsidP="004D79EF">
            <w:pPr>
              <w:widowControl w:val="0"/>
              <w:spacing w:before="60" w:after="60" w:line="240" w:lineRule="auto"/>
              <w:jc w:val="left"/>
              <w:rPr>
                <w:rFonts w:ascii="Arial Narrow" w:hAnsi="Arial Narrow"/>
                <w:sz w:val="20"/>
                <w:szCs w:val="20"/>
                <w:lang w:val="en-US"/>
              </w:rPr>
            </w:pPr>
          </w:p>
          <w:p w14:paraId="3B56951C" w14:textId="77777777" w:rsidR="00822A1C" w:rsidRPr="00822A1C" w:rsidRDefault="00822A1C" w:rsidP="004D79EF">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Study exclusion criteria</w:t>
            </w:r>
          </w:p>
          <w:p w14:paraId="03A3150A"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NR</w:t>
            </w:r>
          </w:p>
        </w:tc>
        <w:tc>
          <w:tcPr>
            <w:tcW w:w="2977" w:type="dxa"/>
            <w:tcBorders>
              <w:top w:val="single" w:sz="4" w:space="0" w:color="auto"/>
              <w:left w:val="single" w:sz="4" w:space="0" w:color="auto"/>
              <w:bottom w:val="single" w:sz="4" w:space="0" w:color="auto"/>
              <w:right w:val="single" w:sz="4" w:space="0" w:color="auto"/>
            </w:tcBorders>
          </w:tcPr>
          <w:p w14:paraId="226AC726" w14:textId="47AEED4C" w:rsidR="00822A1C" w:rsidRPr="00822A1C" w:rsidRDefault="00822A1C"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u w:val="single"/>
                <w:lang w:val="en-US"/>
              </w:rPr>
              <w:t>Overall 5-year survival</w:t>
            </w:r>
            <w:r w:rsidRPr="00822A1C">
              <w:rPr>
                <w:rFonts w:ascii="Arial Narrow" w:hAnsi="Arial Narrow"/>
                <w:sz w:val="20"/>
                <w:szCs w:val="20"/>
                <w:lang w:val="en-US"/>
              </w:rPr>
              <w:t>:</w:t>
            </w:r>
          </w:p>
          <w:p w14:paraId="7566BE37" w14:textId="6C396B8E" w:rsidR="00822A1C" w:rsidRPr="00822A1C" w:rsidRDefault="00822A1C"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All studies reported overall survival of 5 years for all patients undergoing resection of pulmonary metastases</w:t>
            </w:r>
            <w:r w:rsidR="00161F46">
              <w:rPr>
                <w:rFonts w:ascii="Arial Narrow" w:hAnsi="Arial Narrow"/>
                <w:sz w:val="20"/>
                <w:szCs w:val="20"/>
                <w:lang w:val="en-US"/>
              </w:rPr>
              <w:t xml:space="preserve"> (median: 48%, range: 41.1–56%) </w:t>
            </w:r>
          </w:p>
          <w:p w14:paraId="019C33C7" w14:textId="77777777" w:rsidR="00822A1C" w:rsidRPr="00822A1C" w:rsidRDefault="00822A1C" w:rsidP="00CA6595">
            <w:pPr>
              <w:widowControl w:val="0"/>
              <w:spacing w:before="60" w:after="60" w:line="240" w:lineRule="auto"/>
              <w:jc w:val="left"/>
              <w:rPr>
                <w:rFonts w:ascii="Arial Narrow" w:hAnsi="Arial Narrow"/>
                <w:sz w:val="20"/>
                <w:szCs w:val="20"/>
                <w:u w:val="single"/>
                <w:lang w:val="en-US"/>
              </w:rPr>
            </w:pPr>
          </w:p>
        </w:tc>
        <w:tc>
          <w:tcPr>
            <w:tcW w:w="2693" w:type="dxa"/>
            <w:tcBorders>
              <w:top w:val="single" w:sz="4" w:space="0" w:color="auto"/>
              <w:left w:val="single" w:sz="4" w:space="0" w:color="auto"/>
              <w:bottom w:val="single" w:sz="4" w:space="0" w:color="auto"/>
              <w:right w:val="single" w:sz="4" w:space="0" w:color="auto"/>
            </w:tcBorders>
          </w:tcPr>
          <w:p w14:paraId="607B0D11"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Authors concluded there is a substantial body of evidence from retrospective case series demonstrating that resection of colorectal pulmonary metastases can be performed safely with a low mortality rate. For a subset of highly selected patients the overall 5-year actuarial survival rates ranged between 38.3% and 63.7% which the authors reported as being comparable with surgical resection for colorectal liver metastases.</w:t>
            </w:r>
          </w:p>
        </w:tc>
        <w:tc>
          <w:tcPr>
            <w:tcW w:w="2126" w:type="dxa"/>
            <w:tcBorders>
              <w:top w:val="single" w:sz="4" w:space="0" w:color="auto"/>
              <w:left w:val="single" w:sz="4" w:space="0" w:color="auto"/>
              <w:bottom w:val="single" w:sz="4" w:space="0" w:color="auto"/>
              <w:right w:val="single" w:sz="4" w:space="0" w:color="auto"/>
            </w:tcBorders>
          </w:tcPr>
          <w:p w14:paraId="6BB132B8" w14:textId="77777777" w:rsidR="007908D7" w:rsidRPr="00D36D46" w:rsidRDefault="007908D7" w:rsidP="004D79EF">
            <w:pPr>
              <w:widowControl w:val="0"/>
              <w:spacing w:before="60" w:after="60" w:line="240" w:lineRule="auto"/>
              <w:jc w:val="left"/>
              <w:rPr>
                <w:rFonts w:ascii="Arial Narrow" w:hAnsi="Arial Narrow"/>
                <w:b/>
                <w:sz w:val="20"/>
                <w:szCs w:val="20"/>
              </w:rPr>
            </w:pPr>
            <w:r w:rsidRPr="00D36D46">
              <w:rPr>
                <w:rFonts w:ascii="Arial Narrow" w:hAnsi="Arial Narrow"/>
                <w:b/>
                <w:sz w:val="20"/>
                <w:szCs w:val="20"/>
              </w:rPr>
              <w:t>MODERATE QUALITY</w:t>
            </w:r>
          </w:p>
          <w:p w14:paraId="07F3B794"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1. </w:t>
            </w:r>
            <w:r w:rsidRPr="0076456C">
              <w:rPr>
                <w:rFonts w:ascii="Arial Narrow" w:hAnsi="Arial Narrow"/>
                <w:sz w:val="20"/>
                <w:szCs w:val="20"/>
              </w:rPr>
              <w:t>Was</w:t>
            </w:r>
            <w:r>
              <w:rPr>
                <w:rFonts w:ascii="Arial Narrow" w:hAnsi="Arial Narrow"/>
                <w:sz w:val="20"/>
                <w:szCs w:val="20"/>
              </w:rPr>
              <w:t xml:space="preserve"> an ‘a priori’ design provided? </w:t>
            </w:r>
            <w:r w:rsidRPr="003B27D1">
              <w:rPr>
                <w:rFonts w:ascii="Arial Narrow" w:hAnsi="Arial Narrow"/>
                <w:b/>
                <w:sz w:val="20"/>
                <w:szCs w:val="20"/>
              </w:rPr>
              <w:t>YES</w:t>
            </w:r>
          </w:p>
          <w:p w14:paraId="2BD670A0"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2. Duplicate study selection and data </w:t>
            </w:r>
            <w:r w:rsidRPr="0076456C">
              <w:rPr>
                <w:rFonts w:ascii="Arial Narrow" w:hAnsi="Arial Narrow"/>
                <w:sz w:val="20"/>
                <w:szCs w:val="20"/>
              </w:rPr>
              <w:t>extraction?</w:t>
            </w:r>
            <w:r>
              <w:rPr>
                <w:rFonts w:ascii="Arial Narrow" w:hAnsi="Arial Narrow"/>
                <w:sz w:val="20"/>
                <w:szCs w:val="20"/>
              </w:rPr>
              <w:t xml:space="preserve"> </w:t>
            </w:r>
            <w:r w:rsidR="00181EBD">
              <w:rPr>
                <w:rFonts w:ascii="Arial Narrow" w:hAnsi="Arial Narrow"/>
                <w:b/>
                <w:sz w:val="20"/>
                <w:szCs w:val="20"/>
              </w:rPr>
              <w:t>CANNOT ANSWER</w:t>
            </w:r>
          </w:p>
          <w:p w14:paraId="5CAB6504" w14:textId="77777777" w:rsidR="007908D7" w:rsidRPr="003B27D1" w:rsidRDefault="007908D7" w:rsidP="004D79EF">
            <w:pPr>
              <w:widowControl w:val="0"/>
              <w:spacing w:before="60" w:after="60" w:line="240" w:lineRule="auto"/>
              <w:jc w:val="left"/>
              <w:rPr>
                <w:rFonts w:ascii="Arial Narrow" w:hAnsi="Arial Narrow"/>
                <w:b/>
                <w:sz w:val="20"/>
                <w:szCs w:val="20"/>
              </w:rPr>
            </w:pPr>
            <w:r>
              <w:rPr>
                <w:rFonts w:ascii="Arial Narrow" w:hAnsi="Arial Narrow"/>
                <w:sz w:val="20"/>
                <w:szCs w:val="20"/>
              </w:rPr>
              <w:t>3. C</w:t>
            </w:r>
            <w:r w:rsidRPr="0076456C">
              <w:rPr>
                <w:rFonts w:ascii="Arial Narrow" w:hAnsi="Arial Narrow"/>
                <w:sz w:val="20"/>
                <w:szCs w:val="20"/>
              </w:rPr>
              <w:t xml:space="preserve">omprehensive literature search? </w:t>
            </w:r>
            <w:r w:rsidRPr="003B27D1">
              <w:rPr>
                <w:rFonts w:ascii="Arial Narrow" w:hAnsi="Arial Narrow"/>
                <w:b/>
                <w:sz w:val="20"/>
                <w:szCs w:val="20"/>
              </w:rPr>
              <w:t>YES</w:t>
            </w:r>
          </w:p>
          <w:p w14:paraId="364F41D1"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4. P</w:t>
            </w:r>
            <w:r w:rsidRPr="0076456C">
              <w:rPr>
                <w:rFonts w:ascii="Arial Narrow" w:hAnsi="Arial Narrow"/>
                <w:sz w:val="20"/>
                <w:szCs w:val="20"/>
              </w:rPr>
              <w:t xml:space="preserve">ublication </w:t>
            </w:r>
            <w:r>
              <w:rPr>
                <w:rFonts w:ascii="Arial Narrow" w:hAnsi="Arial Narrow"/>
                <w:sz w:val="20"/>
                <w:szCs w:val="20"/>
              </w:rPr>
              <w:t xml:space="preserve">status </w:t>
            </w:r>
            <w:r w:rsidRPr="0076456C">
              <w:rPr>
                <w:rFonts w:ascii="Arial Narrow" w:hAnsi="Arial Narrow"/>
                <w:sz w:val="20"/>
                <w:szCs w:val="20"/>
              </w:rPr>
              <w:t>(i.e. grey literature) used as an inclusion criterion?</w:t>
            </w:r>
            <w:r>
              <w:rPr>
                <w:rFonts w:ascii="Arial Narrow" w:hAnsi="Arial Narrow"/>
                <w:sz w:val="20"/>
                <w:szCs w:val="20"/>
              </w:rPr>
              <w:t xml:space="preserve"> </w:t>
            </w:r>
            <w:r w:rsidR="00181EBD">
              <w:rPr>
                <w:rFonts w:ascii="Arial Narrow" w:hAnsi="Arial Narrow"/>
                <w:b/>
                <w:sz w:val="20"/>
                <w:szCs w:val="20"/>
              </w:rPr>
              <w:t>NO</w:t>
            </w:r>
          </w:p>
          <w:p w14:paraId="199CAFF7"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5. L</w:t>
            </w:r>
            <w:r w:rsidRPr="0076456C">
              <w:rPr>
                <w:rFonts w:ascii="Arial Narrow" w:hAnsi="Arial Narrow"/>
                <w:sz w:val="20"/>
                <w:szCs w:val="20"/>
              </w:rPr>
              <w:t>ist of studies provided?</w:t>
            </w:r>
            <w:r>
              <w:rPr>
                <w:rFonts w:ascii="Arial Narrow" w:hAnsi="Arial Narrow"/>
                <w:sz w:val="20"/>
                <w:szCs w:val="20"/>
              </w:rPr>
              <w:t xml:space="preserve"> </w:t>
            </w:r>
            <w:r w:rsidRPr="003B27D1">
              <w:rPr>
                <w:rFonts w:ascii="Arial Narrow" w:hAnsi="Arial Narrow"/>
                <w:b/>
                <w:sz w:val="20"/>
                <w:szCs w:val="20"/>
              </w:rPr>
              <w:t>NO</w:t>
            </w:r>
          </w:p>
          <w:p w14:paraId="2B1763AF"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6. C</w:t>
            </w:r>
            <w:r w:rsidRPr="0076456C">
              <w:rPr>
                <w:rFonts w:ascii="Arial Narrow" w:hAnsi="Arial Narrow"/>
                <w:sz w:val="20"/>
                <w:szCs w:val="20"/>
              </w:rPr>
              <w:t>haracteristics of the included studies provided?</w:t>
            </w:r>
            <w:r>
              <w:rPr>
                <w:rFonts w:ascii="Arial Narrow" w:hAnsi="Arial Narrow"/>
                <w:sz w:val="20"/>
                <w:szCs w:val="20"/>
              </w:rPr>
              <w:t xml:space="preserve"> </w:t>
            </w:r>
            <w:r w:rsidRPr="003B27D1">
              <w:rPr>
                <w:rFonts w:ascii="Arial Narrow" w:hAnsi="Arial Narrow"/>
                <w:b/>
                <w:sz w:val="20"/>
                <w:szCs w:val="20"/>
              </w:rPr>
              <w:t>YES</w:t>
            </w:r>
          </w:p>
          <w:p w14:paraId="3B57F8F5"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7. S</w:t>
            </w:r>
            <w:r w:rsidRPr="0076456C">
              <w:rPr>
                <w:rFonts w:ascii="Arial Narrow" w:hAnsi="Arial Narrow"/>
                <w:sz w:val="20"/>
                <w:szCs w:val="20"/>
              </w:rPr>
              <w:t>cientific quality of the included studies assessed?</w:t>
            </w:r>
            <w:r>
              <w:rPr>
                <w:rFonts w:ascii="Arial Narrow" w:hAnsi="Arial Narrow"/>
                <w:sz w:val="20"/>
                <w:szCs w:val="20"/>
              </w:rPr>
              <w:t xml:space="preserve"> </w:t>
            </w:r>
            <w:r w:rsidRPr="003B27D1">
              <w:rPr>
                <w:rFonts w:ascii="Arial Narrow" w:hAnsi="Arial Narrow"/>
                <w:b/>
                <w:sz w:val="20"/>
                <w:szCs w:val="20"/>
              </w:rPr>
              <w:t>NO</w:t>
            </w:r>
          </w:p>
          <w:p w14:paraId="38F69450" w14:textId="2E1CBCC3"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8. S</w:t>
            </w:r>
            <w:r w:rsidRPr="0076456C">
              <w:rPr>
                <w:rFonts w:ascii="Arial Narrow" w:hAnsi="Arial Narrow"/>
                <w:sz w:val="20"/>
                <w:szCs w:val="20"/>
              </w:rPr>
              <w:t>cientific quality of the included studies used in conclusions?</w:t>
            </w:r>
            <w:r>
              <w:rPr>
                <w:rFonts w:ascii="Arial Narrow" w:hAnsi="Arial Narrow"/>
                <w:sz w:val="20"/>
                <w:szCs w:val="20"/>
              </w:rPr>
              <w:t xml:space="preserve"> </w:t>
            </w:r>
            <w:r w:rsidR="00181EBD">
              <w:rPr>
                <w:rFonts w:ascii="Arial Narrow" w:hAnsi="Arial Narrow"/>
                <w:b/>
                <w:sz w:val="20"/>
                <w:szCs w:val="20"/>
              </w:rPr>
              <w:t>NO</w:t>
            </w:r>
          </w:p>
          <w:p w14:paraId="66A49B93"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9. M</w:t>
            </w:r>
            <w:r w:rsidRPr="0076456C">
              <w:rPr>
                <w:rFonts w:ascii="Arial Narrow" w:hAnsi="Arial Narrow"/>
                <w:sz w:val="20"/>
                <w:szCs w:val="20"/>
              </w:rPr>
              <w:t>ethods used to combine the findings of studies appropriate</w:t>
            </w:r>
            <w:r w:rsidRPr="003B27D1">
              <w:rPr>
                <w:rFonts w:ascii="Arial Narrow" w:hAnsi="Arial Narrow"/>
                <w:sz w:val="20"/>
                <w:szCs w:val="20"/>
              </w:rPr>
              <w:t>?</w:t>
            </w:r>
            <w:r w:rsidRPr="003B27D1">
              <w:rPr>
                <w:rFonts w:ascii="Arial Narrow" w:hAnsi="Arial Narrow"/>
                <w:b/>
                <w:sz w:val="20"/>
                <w:szCs w:val="20"/>
              </w:rPr>
              <w:t xml:space="preserve"> N/A</w:t>
            </w:r>
          </w:p>
          <w:p w14:paraId="53F1406D" w14:textId="77777777" w:rsidR="007908D7"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10. P</w:t>
            </w:r>
            <w:r w:rsidRPr="0076456C">
              <w:rPr>
                <w:rFonts w:ascii="Arial Narrow" w:hAnsi="Arial Narrow"/>
                <w:sz w:val="20"/>
                <w:szCs w:val="20"/>
              </w:rPr>
              <w:t xml:space="preserve">ublication bias assessed? </w:t>
            </w:r>
            <w:r w:rsidR="00181EBD">
              <w:rPr>
                <w:rFonts w:ascii="Arial Narrow" w:hAnsi="Arial Narrow"/>
                <w:b/>
                <w:sz w:val="20"/>
                <w:szCs w:val="20"/>
              </w:rPr>
              <w:t>N/A</w:t>
            </w:r>
          </w:p>
          <w:p w14:paraId="69417042" w14:textId="77777777" w:rsidR="00822A1C" w:rsidRPr="00822A1C" w:rsidRDefault="007908D7" w:rsidP="004D79EF">
            <w:pPr>
              <w:widowControl w:val="0"/>
              <w:spacing w:before="60" w:after="60" w:line="240" w:lineRule="auto"/>
              <w:jc w:val="left"/>
              <w:rPr>
                <w:rFonts w:ascii="Arial Narrow" w:hAnsi="Arial Narrow"/>
                <w:sz w:val="20"/>
                <w:szCs w:val="20"/>
              </w:rPr>
            </w:pPr>
            <w:r>
              <w:rPr>
                <w:rFonts w:ascii="Arial Narrow" w:hAnsi="Arial Narrow"/>
                <w:sz w:val="20"/>
                <w:szCs w:val="20"/>
              </w:rPr>
              <w:t>11. C</w:t>
            </w:r>
            <w:r w:rsidRPr="0076456C">
              <w:rPr>
                <w:rFonts w:ascii="Arial Narrow" w:hAnsi="Arial Narrow"/>
                <w:sz w:val="20"/>
                <w:szCs w:val="20"/>
              </w:rPr>
              <w:t>onflict of interest stated?</w:t>
            </w:r>
            <w:r>
              <w:rPr>
                <w:rFonts w:ascii="Arial Narrow" w:hAnsi="Arial Narrow"/>
                <w:sz w:val="20"/>
                <w:szCs w:val="20"/>
              </w:rPr>
              <w:t xml:space="preserve"> </w:t>
            </w:r>
            <w:r w:rsidR="00181EBD">
              <w:rPr>
                <w:rFonts w:ascii="Arial Narrow" w:hAnsi="Arial Narrow"/>
                <w:b/>
                <w:sz w:val="20"/>
                <w:szCs w:val="20"/>
              </w:rPr>
              <w:t>NO</w:t>
            </w:r>
          </w:p>
        </w:tc>
      </w:tr>
      <w:tr w:rsidR="00822A1C" w:rsidRPr="00822A1C" w14:paraId="457E0798" w14:textId="77777777" w:rsidTr="00A71F72">
        <w:trPr>
          <w:trHeight w:val="300"/>
        </w:trPr>
        <w:tc>
          <w:tcPr>
            <w:tcW w:w="2127" w:type="dxa"/>
            <w:gridSpan w:val="2"/>
            <w:tcBorders>
              <w:top w:val="single" w:sz="4" w:space="0" w:color="auto"/>
              <w:left w:val="single" w:sz="4" w:space="0" w:color="auto"/>
              <w:bottom w:val="single" w:sz="4" w:space="0" w:color="auto"/>
            </w:tcBorders>
            <w:shd w:val="clear" w:color="auto" w:fill="D9D9D9" w:themeFill="background1" w:themeFillShade="D9"/>
          </w:tcPr>
          <w:p w14:paraId="5B11489B" w14:textId="77777777" w:rsidR="00822A1C" w:rsidRPr="00822A1C" w:rsidRDefault="00822A1C" w:rsidP="00CA6595">
            <w:pPr>
              <w:pageBreakBefore/>
              <w:widowControl w:val="0"/>
              <w:spacing w:before="60" w:after="60" w:line="240" w:lineRule="auto"/>
              <w:jc w:val="left"/>
              <w:rPr>
                <w:rFonts w:ascii="Arial Narrow" w:hAnsi="Arial Narrow"/>
                <w:b/>
                <w:sz w:val="20"/>
                <w:szCs w:val="20"/>
              </w:rPr>
            </w:pPr>
            <w:r w:rsidRPr="00822A1C">
              <w:rPr>
                <w:rFonts w:ascii="Arial Narrow" w:hAnsi="Arial Narrow"/>
                <w:b/>
                <w:sz w:val="20"/>
                <w:szCs w:val="20"/>
              </w:rPr>
              <w:lastRenderedPageBreak/>
              <w:t>RFA</w:t>
            </w:r>
          </w:p>
        </w:tc>
        <w:tc>
          <w:tcPr>
            <w:tcW w:w="850" w:type="dxa"/>
            <w:gridSpan w:val="2"/>
            <w:tcBorders>
              <w:top w:val="single" w:sz="4" w:space="0" w:color="auto"/>
              <w:bottom w:val="single" w:sz="4" w:space="0" w:color="auto"/>
            </w:tcBorders>
            <w:shd w:val="clear" w:color="auto" w:fill="D9D9D9" w:themeFill="background1" w:themeFillShade="D9"/>
          </w:tcPr>
          <w:p w14:paraId="411B5B05" w14:textId="77777777" w:rsidR="00822A1C" w:rsidRPr="00822A1C" w:rsidRDefault="00822A1C" w:rsidP="004D79EF">
            <w:pPr>
              <w:widowControl w:val="0"/>
              <w:spacing w:before="60" w:after="60" w:line="240" w:lineRule="auto"/>
              <w:jc w:val="left"/>
              <w:rPr>
                <w:rFonts w:ascii="Arial Narrow" w:hAnsi="Arial Narrow"/>
                <w:sz w:val="20"/>
                <w:szCs w:val="20"/>
                <w:lang w:val="en-US"/>
              </w:rPr>
            </w:pPr>
          </w:p>
        </w:tc>
        <w:tc>
          <w:tcPr>
            <w:tcW w:w="1701" w:type="dxa"/>
            <w:tcBorders>
              <w:top w:val="single" w:sz="4" w:space="0" w:color="auto"/>
              <w:bottom w:val="single" w:sz="4" w:space="0" w:color="auto"/>
            </w:tcBorders>
            <w:shd w:val="clear" w:color="auto" w:fill="D9D9D9" w:themeFill="background1" w:themeFillShade="D9"/>
          </w:tcPr>
          <w:p w14:paraId="517F9A32" w14:textId="77777777" w:rsidR="00822A1C" w:rsidRPr="00822A1C" w:rsidRDefault="00822A1C" w:rsidP="004D79EF">
            <w:pPr>
              <w:widowControl w:val="0"/>
              <w:spacing w:before="60" w:after="60" w:line="240" w:lineRule="auto"/>
              <w:jc w:val="left"/>
              <w:rPr>
                <w:rFonts w:ascii="Arial Narrow" w:hAnsi="Arial Narrow"/>
                <w:sz w:val="20"/>
                <w:szCs w:val="20"/>
              </w:rPr>
            </w:pPr>
          </w:p>
        </w:tc>
        <w:tc>
          <w:tcPr>
            <w:tcW w:w="2977" w:type="dxa"/>
            <w:tcBorders>
              <w:top w:val="single" w:sz="4" w:space="0" w:color="auto"/>
              <w:bottom w:val="single" w:sz="4" w:space="0" w:color="auto"/>
            </w:tcBorders>
            <w:shd w:val="clear" w:color="auto" w:fill="D9D9D9" w:themeFill="background1" w:themeFillShade="D9"/>
          </w:tcPr>
          <w:p w14:paraId="274B3FAA" w14:textId="77777777" w:rsidR="00822A1C" w:rsidRPr="00822A1C" w:rsidRDefault="00822A1C" w:rsidP="004D79EF">
            <w:pPr>
              <w:widowControl w:val="0"/>
              <w:spacing w:before="60" w:after="60" w:line="240" w:lineRule="auto"/>
              <w:jc w:val="left"/>
              <w:rPr>
                <w:rFonts w:ascii="Arial Narrow" w:hAnsi="Arial Narrow"/>
                <w:sz w:val="20"/>
                <w:szCs w:val="20"/>
                <w:u w:val="single"/>
                <w:lang w:val="en-US"/>
              </w:rPr>
            </w:pPr>
          </w:p>
        </w:tc>
        <w:tc>
          <w:tcPr>
            <w:tcW w:w="2977" w:type="dxa"/>
            <w:tcBorders>
              <w:top w:val="single" w:sz="4" w:space="0" w:color="auto"/>
              <w:bottom w:val="single" w:sz="4" w:space="0" w:color="auto"/>
            </w:tcBorders>
            <w:shd w:val="clear" w:color="auto" w:fill="D9D9D9" w:themeFill="background1" w:themeFillShade="D9"/>
          </w:tcPr>
          <w:p w14:paraId="0CD62BE3" w14:textId="77777777" w:rsidR="00822A1C" w:rsidRPr="00822A1C" w:rsidRDefault="00822A1C" w:rsidP="00CA6595">
            <w:pPr>
              <w:widowControl w:val="0"/>
              <w:spacing w:before="60" w:after="60" w:line="240" w:lineRule="auto"/>
              <w:jc w:val="left"/>
              <w:rPr>
                <w:rFonts w:ascii="Arial Narrow" w:hAnsi="Arial Narrow"/>
                <w:sz w:val="20"/>
                <w:szCs w:val="20"/>
                <w:u w:val="single"/>
                <w:lang w:val="en-US"/>
              </w:rPr>
            </w:pPr>
          </w:p>
        </w:tc>
        <w:tc>
          <w:tcPr>
            <w:tcW w:w="2693" w:type="dxa"/>
            <w:tcBorders>
              <w:top w:val="single" w:sz="4" w:space="0" w:color="auto"/>
              <w:bottom w:val="single" w:sz="4" w:space="0" w:color="auto"/>
            </w:tcBorders>
            <w:shd w:val="clear" w:color="auto" w:fill="D9D9D9" w:themeFill="background1" w:themeFillShade="D9"/>
          </w:tcPr>
          <w:p w14:paraId="0F5E4FC0" w14:textId="77777777" w:rsidR="00822A1C" w:rsidRPr="00822A1C" w:rsidRDefault="00822A1C" w:rsidP="004D79EF">
            <w:pPr>
              <w:widowControl w:val="0"/>
              <w:spacing w:before="60" w:after="60" w:line="240" w:lineRule="auto"/>
              <w:jc w:val="left"/>
              <w:rPr>
                <w:rFonts w:ascii="Arial Narrow" w:hAnsi="Arial Narrow"/>
                <w:sz w:val="20"/>
                <w:szCs w:val="20"/>
              </w:rPr>
            </w:pPr>
          </w:p>
        </w:tc>
        <w:tc>
          <w:tcPr>
            <w:tcW w:w="2126" w:type="dxa"/>
            <w:tcBorders>
              <w:top w:val="single" w:sz="4" w:space="0" w:color="auto"/>
              <w:bottom w:val="single" w:sz="4" w:space="0" w:color="auto"/>
              <w:right w:val="single" w:sz="4" w:space="0" w:color="auto"/>
            </w:tcBorders>
            <w:shd w:val="clear" w:color="auto" w:fill="D9D9D9" w:themeFill="background1" w:themeFillShade="D9"/>
          </w:tcPr>
          <w:p w14:paraId="302639A4" w14:textId="77777777" w:rsidR="00822A1C" w:rsidRPr="00822A1C" w:rsidRDefault="00822A1C" w:rsidP="004D79EF">
            <w:pPr>
              <w:widowControl w:val="0"/>
              <w:spacing w:before="60" w:after="60" w:line="240" w:lineRule="auto"/>
              <w:jc w:val="left"/>
              <w:rPr>
                <w:rFonts w:ascii="Arial Narrow" w:hAnsi="Arial Narrow"/>
                <w:sz w:val="20"/>
                <w:szCs w:val="20"/>
              </w:rPr>
            </w:pPr>
          </w:p>
        </w:tc>
      </w:tr>
      <w:tr w:rsidR="00822A1C" w:rsidRPr="00822A1C" w14:paraId="0799AF48" w14:textId="77777777" w:rsidTr="00CA6595">
        <w:trPr>
          <w:trHeight w:val="500"/>
        </w:trPr>
        <w:tc>
          <w:tcPr>
            <w:tcW w:w="1276" w:type="dxa"/>
            <w:tcBorders>
              <w:top w:val="single" w:sz="4" w:space="0" w:color="auto"/>
              <w:left w:val="single" w:sz="4" w:space="0" w:color="auto"/>
              <w:bottom w:val="single" w:sz="4" w:space="0" w:color="auto"/>
              <w:right w:val="single" w:sz="4" w:space="0" w:color="auto"/>
            </w:tcBorders>
          </w:tcPr>
          <w:p w14:paraId="0EF622D8" w14:textId="1FD6552F" w:rsidR="00822A1C" w:rsidRPr="00822A1C" w:rsidRDefault="00822A1C" w:rsidP="00CA6595">
            <w:pPr>
              <w:widowControl w:val="0"/>
              <w:spacing w:before="60" w:after="60" w:line="240" w:lineRule="auto"/>
              <w:jc w:val="left"/>
              <w:rPr>
                <w:rFonts w:ascii="Arial Narrow" w:hAnsi="Arial Narrow"/>
                <w:sz w:val="20"/>
                <w:szCs w:val="20"/>
              </w:rPr>
            </w:pPr>
            <w:r w:rsidRPr="00822A1C">
              <w:rPr>
                <w:rFonts w:ascii="Arial Narrow" w:hAnsi="Arial Narrow"/>
                <w:sz w:val="20"/>
                <w:szCs w:val="20"/>
              </w:rPr>
              <w:t xml:space="preserve">Zhu et al </w:t>
            </w:r>
            <w:r w:rsidR="00063A31">
              <w:rPr>
                <w:rFonts w:ascii="Arial Narrow" w:hAnsi="Arial Narrow"/>
                <w:sz w:val="20"/>
                <w:szCs w:val="20"/>
              </w:rPr>
              <w:t>(</w:t>
            </w:r>
            <w:r w:rsidRPr="00822A1C">
              <w:rPr>
                <w:rFonts w:ascii="Arial Narrow" w:hAnsi="Arial Narrow"/>
                <w:sz w:val="20"/>
                <w:szCs w:val="20"/>
              </w:rPr>
              <w:t>2008</w:t>
            </w:r>
            <w:r w:rsidR="00063A31">
              <w:rPr>
                <w:rFonts w:ascii="Arial Narrow" w:hAnsi="Arial Narrow"/>
                <w:sz w:val="20"/>
                <w:szCs w:val="20"/>
              </w:rPr>
              <w:t>)</w:t>
            </w:r>
          </w:p>
        </w:tc>
        <w:tc>
          <w:tcPr>
            <w:tcW w:w="1701" w:type="dxa"/>
            <w:gridSpan w:val="3"/>
            <w:tcBorders>
              <w:top w:val="single" w:sz="4" w:space="0" w:color="auto"/>
              <w:left w:val="single" w:sz="4" w:space="0" w:color="auto"/>
              <w:bottom w:val="single" w:sz="4" w:space="0" w:color="auto"/>
              <w:right w:val="single" w:sz="4" w:space="0" w:color="auto"/>
            </w:tcBorders>
          </w:tcPr>
          <w:p w14:paraId="13A37D08"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To systematically review the safety and efficacy of RFA for primary and secondary lung cancers</w:t>
            </w:r>
          </w:p>
          <w:p w14:paraId="0200571B" w14:textId="77777777" w:rsidR="00822A1C" w:rsidRPr="00822A1C" w:rsidRDefault="00822A1C" w:rsidP="004D79EF">
            <w:pPr>
              <w:widowControl w:val="0"/>
              <w:spacing w:before="60" w:after="60" w:line="240" w:lineRule="auto"/>
              <w:jc w:val="left"/>
              <w:rPr>
                <w:rFonts w:ascii="Arial Narrow" w:hAnsi="Arial Narrow"/>
                <w:sz w:val="20"/>
                <w:szCs w:val="20"/>
                <w:lang w:val="en-US"/>
              </w:rPr>
            </w:pPr>
          </w:p>
          <w:p w14:paraId="621A46F3" w14:textId="77777777" w:rsid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(safety outcomes from a mix of populations  2 and 3)</w:t>
            </w:r>
          </w:p>
          <w:p w14:paraId="2520D590" w14:textId="77777777" w:rsidR="00BC03D4" w:rsidRDefault="00BC03D4" w:rsidP="004D79EF">
            <w:pPr>
              <w:widowControl w:val="0"/>
              <w:spacing w:before="60" w:after="60" w:line="240" w:lineRule="auto"/>
              <w:jc w:val="left"/>
              <w:rPr>
                <w:rFonts w:ascii="Arial Narrow" w:hAnsi="Arial Narrow"/>
                <w:sz w:val="20"/>
                <w:szCs w:val="20"/>
                <w:lang w:val="en-US"/>
              </w:rPr>
            </w:pPr>
          </w:p>
          <w:p w14:paraId="77ADB466" w14:textId="77777777" w:rsidR="00BC03D4" w:rsidRPr="00822A1C" w:rsidRDefault="00BC03D4"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Note: Efficacy data was mixed for populations 2 and 3</w:t>
            </w:r>
          </w:p>
        </w:tc>
        <w:tc>
          <w:tcPr>
            <w:tcW w:w="1701" w:type="dxa"/>
            <w:tcBorders>
              <w:top w:val="single" w:sz="4" w:space="0" w:color="auto"/>
              <w:left w:val="single" w:sz="4" w:space="0" w:color="auto"/>
              <w:bottom w:val="single" w:sz="4" w:space="0" w:color="auto"/>
              <w:right w:val="single" w:sz="4" w:space="0" w:color="auto"/>
            </w:tcBorders>
          </w:tcPr>
          <w:p w14:paraId="5DEEAB02"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 xml:space="preserve">16 </w:t>
            </w:r>
            <w:r w:rsidR="002F1A75">
              <w:rPr>
                <w:rFonts w:ascii="Arial Narrow" w:hAnsi="Arial Narrow"/>
                <w:sz w:val="20"/>
                <w:szCs w:val="20"/>
              </w:rPr>
              <w:t xml:space="preserve">case-series </w:t>
            </w:r>
            <w:r w:rsidRPr="00822A1C">
              <w:rPr>
                <w:rFonts w:ascii="Arial Narrow" w:hAnsi="Arial Narrow"/>
                <w:sz w:val="20"/>
                <w:szCs w:val="20"/>
              </w:rPr>
              <w:t>studies included (833 patients)</w:t>
            </w:r>
          </w:p>
          <w:p w14:paraId="2823529B" w14:textId="77777777" w:rsidR="00822A1C" w:rsidRPr="00822A1C" w:rsidRDefault="00822A1C" w:rsidP="004D79EF">
            <w:pPr>
              <w:widowControl w:val="0"/>
              <w:spacing w:before="60" w:after="60" w:line="240" w:lineRule="auto"/>
              <w:jc w:val="left"/>
              <w:rPr>
                <w:rFonts w:ascii="Arial Narrow" w:hAnsi="Arial Narrow"/>
                <w:sz w:val="20"/>
                <w:szCs w:val="20"/>
              </w:rPr>
            </w:pPr>
          </w:p>
          <w:p w14:paraId="6E24C6D8"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Publication date range of included studies: 2003–2006</w:t>
            </w:r>
          </w:p>
        </w:tc>
        <w:tc>
          <w:tcPr>
            <w:tcW w:w="2977" w:type="dxa"/>
            <w:tcBorders>
              <w:top w:val="single" w:sz="4" w:space="0" w:color="auto"/>
              <w:left w:val="single" w:sz="4" w:space="0" w:color="auto"/>
              <w:bottom w:val="single" w:sz="4" w:space="0" w:color="auto"/>
              <w:right w:val="single" w:sz="4" w:space="0" w:color="auto"/>
            </w:tcBorders>
          </w:tcPr>
          <w:p w14:paraId="13ED31B3" w14:textId="77777777" w:rsidR="00822A1C" w:rsidRPr="00822A1C" w:rsidRDefault="00822A1C" w:rsidP="004D79EF">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Study inclusion criteria</w:t>
            </w:r>
          </w:p>
          <w:p w14:paraId="0D9862CB"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Studies that reported procedure-related morbidity and mortality, rates of complete tumor ablation, local recurrence and/or survival after RFA of primary or secondary lung tumors</w:t>
            </w:r>
          </w:p>
          <w:p w14:paraId="2A12B328" w14:textId="77777777" w:rsidR="00822A1C" w:rsidRPr="00822A1C" w:rsidRDefault="00822A1C" w:rsidP="004D79EF">
            <w:pPr>
              <w:widowControl w:val="0"/>
              <w:spacing w:before="60" w:after="60" w:line="240" w:lineRule="auto"/>
              <w:jc w:val="left"/>
              <w:rPr>
                <w:rFonts w:ascii="Arial Narrow" w:hAnsi="Arial Narrow"/>
                <w:sz w:val="20"/>
                <w:szCs w:val="20"/>
                <w:lang w:val="en-US"/>
              </w:rPr>
            </w:pPr>
          </w:p>
          <w:p w14:paraId="2A6FBBDB" w14:textId="77777777" w:rsidR="00822A1C" w:rsidRPr="00822A1C" w:rsidRDefault="00822A1C" w:rsidP="004D79EF">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Study exclusion criteria</w:t>
            </w:r>
          </w:p>
          <w:p w14:paraId="1B868E7D"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Studies that looked at RFA plus radiotherapy, and RFA fo</w:t>
            </w:r>
            <w:r w:rsidR="008D31F1">
              <w:rPr>
                <w:rFonts w:ascii="Arial Narrow" w:hAnsi="Arial Narrow"/>
                <w:sz w:val="20"/>
                <w:szCs w:val="20"/>
                <w:lang w:val="en-US"/>
              </w:rPr>
              <w:t>llowed by surgery were excluded</w:t>
            </w:r>
          </w:p>
        </w:tc>
        <w:tc>
          <w:tcPr>
            <w:tcW w:w="2977" w:type="dxa"/>
            <w:tcBorders>
              <w:top w:val="single" w:sz="4" w:space="0" w:color="auto"/>
              <w:left w:val="single" w:sz="4" w:space="0" w:color="auto"/>
              <w:bottom w:val="single" w:sz="4" w:space="0" w:color="auto"/>
              <w:right w:val="single" w:sz="4" w:space="0" w:color="auto"/>
            </w:tcBorders>
          </w:tcPr>
          <w:p w14:paraId="1415014B" w14:textId="4B86ABD5" w:rsidR="00BF6955" w:rsidRPr="00822A1C" w:rsidRDefault="00CA6595" w:rsidP="00CA6595">
            <w:pPr>
              <w:widowControl w:val="0"/>
              <w:spacing w:before="60" w:after="60" w:line="240" w:lineRule="auto"/>
              <w:jc w:val="left"/>
              <w:rPr>
                <w:rFonts w:ascii="Arial Narrow" w:hAnsi="Arial Narrow"/>
                <w:sz w:val="20"/>
                <w:szCs w:val="20"/>
                <w:u w:val="single"/>
                <w:lang w:val="en-US"/>
              </w:rPr>
            </w:pPr>
            <w:r>
              <w:rPr>
                <w:rFonts w:ascii="Arial Narrow" w:hAnsi="Arial Narrow"/>
                <w:sz w:val="20"/>
                <w:szCs w:val="20"/>
                <w:u w:val="single"/>
                <w:lang w:val="en-US"/>
              </w:rPr>
              <w:t>P</w:t>
            </w:r>
            <w:r w:rsidR="00BF6955" w:rsidRPr="00822A1C">
              <w:rPr>
                <w:rFonts w:ascii="Arial Narrow" w:hAnsi="Arial Narrow"/>
                <w:sz w:val="20"/>
                <w:szCs w:val="20"/>
                <w:u w:val="single"/>
                <w:lang w:val="en-US"/>
              </w:rPr>
              <w:t>rocedure-related mortality rate</w:t>
            </w:r>
          </w:p>
          <w:p w14:paraId="04DF5059" w14:textId="6DDCE429" w:rsidR="00BF6955" w:rsidRPr="00822A1C" w:rsidRDefault="00BF6955"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0.0</w:t>
            </w:r>
            <w:r w:rsidR="007E3D66">
              <w:rPr>
                <w:rFonts w:ascii="Arial Narrow" w:hAnsi="Arial Narrow"/>
                <w:sz w:val="20"/>
                <w:szCs w:val="20"/>
                <w:lang w:val="en-US"/>
              </w:rPr>
              <w:t>–</w:t>
            </w:r>
            <w:r w:rsidRPr="00822A1C">
              <w:rPr>
                <w:rFonts w:ascii="Arial Narrow" w:hAnsi="Arial Narrow"/>
                <w:sz w:val="20"/>
                <w:szCs w:val="20"/>
                <w:lang w:val="en-US"/>
              </w:rPr>
              <w:t>5.6% (median 0%) [16 studies]</w:t>
            </w:r>
          </w:p>
          <w:p w14:paraId="061A1F5B" w14:textId="21D0FE4A" w:rsidR="00822A1C" w:rsidRPr="00822A1C" w:rsidRDefault="00CA6595" w:rsidP="00CA6595">
            <w:pPr>
              <w:widowControl w:val="0"/>
              <w:spacing w:before="60" w:after="60" w:line="240" w:lineRule="auto"/>
              <w:jc w:val="left"/>
              <w:rPr>
                <w:rFonts w:ascii="Arial Narrow" w:hAnsi="Arial Narrow"/>
                <w:sz w:val="20"/>
                <w:szCs w:val="20"/>
                <w:u w:val="single"/>
                <w:lang w:val="en-US"/>
              </w:rPr>
            </w:pPr>
            <w:r>
              <w:rPr>
                <w:rFonts w:ascii="Arial Narrow" w:hAnsi="Arial Narrow"/>
                <w:sz w:val="20"/>
                <w:szCs w:val="20"/>
                <w:u w:val="single"/>
                <w:lang w:val="en-US"/>
              </w:rPr>
              <w:t>P</w:t>
            </w:r>
            <w:r w:rsidR="00822A1C" w:rsidRPr="00822A1C">
              <w:rPr>
                <w:rFonts w:ascii="Arial Narrow" w:hAnsi="Arial Narrow"/>
                <w:sz w:val="20"/>
                <w:szCs w:val="20"/>
                <w:u w:val="single"/>
                <w:lang w:val="en-US"/>
              </w:rPr>
              <w:t>rocedure-related morbidity rate</w:t>
            </w:r>
          </w:p>
          <w:p w14:paraId="3331A24D" w14:textId="3840C88B" w:rsidR="00822A1C" w:rsidRPr="00822A1C" w:rsidRDefault="00822A1C"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15.2</w:t>
            </w:r>
            <w:r w:rsidR="007E3D66">
              <w:rPr>
                <w:rFonts w:ascii="Arial Narrow" w:hAnsi="Arial Narrow"/>
                <w:sz w:val="20"/>
                <w:szCs w:val="20"/>
                <w:lang w:val="en-US"/>
              </w:rPr>
              <w:t>–</w:t>
            </w:r>
            <w:r w:rsidRPr="00822A1C">
              <w:rPr>
                <w:rFonts w:ascii="Arial Narrow" w:hAnsi="Arial Narrow"/>
                <w:sz w:val="20"/>
                <w:szCs w:val="20"/>
                <w:lang w:val="en-US"/>
              </w:rPr>
              <w:t>55.6% (median 35.7%) [16 studies]</w:t>
            </w:r>
          </w:p>
          <w:p w14:paraId="122C3F50" w14:textId="126BF566" w:rsidR="00822A1C" w:rsidRPr="00822A1C" w:rsidRDefault="00822A1C" w:rsidP="00CA6595">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 xml:space="preserve">Complications </w:t>
            </w:r>
            <w:r w:rsidR="00CA6595">
              <w:rPr>
                <w:rFonts w:ascii="Arial Narrow" w:hAnsi="Arial Narrow"/>
                <w:sz w:val="20"/>
                <w:szCs w:val="20"/>
                <w:u w:val="single"/>
                <w:lang w:val="en-US"/>
              </w:rPr>
              <w:t>(</w:t>
            </w:r>
            <w:r w:rsidRPr="00822A1C">
              <w:rPr>
                <w:rFonts w:ascii="Arial Narrow" w:hAnsi="Arial Narrow"/>
                <w:sz w:val="20"/>
                <w:szCs w:val="20"/>
                <w:u w:val="single"/>
                <w:lang w:val="en-US"/>
              </w:rPr>
              <w:t>16 studies</w:t>
            </w:r>
            <w:r w:rsidR="00CA6595">
              <w:rPr>
                <w:rFonts w:ascii="Arial Narrow" w:hAnsi="Arial Narrow"/>
                <w:sz w:val="20"/>
                <w:szCs w:val="20"/>
                <w:u w:val="single"/>
                <w:lang w:val="en-US"/>
              </w:rPr>
              <w:t>)</w:t>
            </w:r>
          </w:p>
          <w:p w14:paraId="4685A3A6" w14:textId="21AF9F52" w:rsidR="00822A1C" w:rsidRPr="00822A1C" w:rsidRDefault="00E6280A" w:rsidP="00CA6595">
            <w:pPr>
              <w:widowControl w:val="0"/>
              <w:spacing w:before="60" w:after="60" w:line="240" w:lineRule="auto"/>
              <w:jc w:val="left"/>
              <w:rPr>
                <w:rFonts w:ascii="Arial Narrow" w:hAnsi="Arial Narrow"/>
                <w:sz w:val="20"/>
                <w:szCs w:val="20"/>
                <w:lang w:val="en-US"/>
              </w:rPr>
            </w:pPr>
            <w:r w:rsidRPr="00EC060B">
              <w:rPr>
                <w:rFonts w:ascii="Arial Narrow" w:hAnsi="Arial Narrow"/>
                <w:b/>
                <w:sz w:val="20"/>
                <w:szCs w:val="20"/>
                <w:lang w:val="en-US"/>
              </w:rPr>
              <w:t>Pneumothorax</w:t>
            </w:r>
            <w:r>
              <w:rPr>
                <w:rFonts w:ascii="Arial Narrow" w:hAnsi="Arial Narrow"/>
                <w:sz w:val="20"/>
                <w:szCs w:val="20"/>
                <w:lang w:val="en-US"/>
              </w:rPr>
              <w:t xml:space="preserve">: </w:t>
            </w:r>
            <w:r w:rsidR="00822A1C" w:rsidRPr="00822A1C">
              <w:rPr>
                <w:rFonts w:ascii="Arial Narrow" w:hAnsi="Arial Narrow"/>
                <w:sz w:val="20"/>
                <w:szCs w:val="20"/>
                <w:lang w:val="en-US"/>
              </w:rPr>
              <w:t>4.5</w:t>
            </w:r>
            <w:r w:rsidR="007E3D66">
              <w:rPr>
                <w:rFonts w:ascii="Arial Narrow" w:hAnsi="Arial Narrow"/>
                <w:sz w:val="20"/>
                <w:szCs w:val="20"/>
                <w:lang w:val="en-US"/>
              </w:rPr>
              <w:t>–</w:t>
            </w:r>
            <w:r w:rsidR="00822A1C" w:rsidRPr="00822A1C">
              <w:rPr>
                <w:rFonts w:ascii="Arial Narrow" w:hAnsi="Arial Narrow"/>
                <w:sz w:val="20"/>
                <w:szCs w:val="20"/>
                <w:lang w:val="en-US"/>
              </w:rPr>
              <w:t>61.1% (median 28.0%) [13 studies], of which 3.3</w:t>
            </w:r>
            <w:r w:rsidR="007E3D66">
              <w:rPr>
                <w:rFonts w:ascii="Arial Narrow" w:hAnsi="Arial Narrow"/>
                <w:sz w:val="20"/>
                <w:szCs w:val="20"/>
                <w:lang w:val="en-US"/>
              </w:rPr>
              <w:t>–</w:t>
            </w:r>
            <w:r w:rsidR="00822A1C" w:rsidRPr="00822A1C">
              <w:rPr>
                <w:rFonts w:ascii="Arial Narrow" w:hAnsi="Arial Narrow"/>
                <w:sz w:val="20"/>
                <w:szCs w:val="20"/>
                <w:lang w:val="en-US"/>
              </w:rPr>
              <w:t>38.9% (median 11.0%) required chest tube [11 studies]</w:t>
            </w:r>
          </w:p>
          <w:p w14:paraId="0FE3EB01" w14:textId="65479F24" w:rsidR="00822A1C" w:rsidRPr="00822A1C" w:rsidRDefault="00E6280A" w:rsidP="00CA6595">
            <w:pPr>
              <w:widowControl w:val="0"/>
              <w:spacing w:before="60" w:after="60" w:line="240" w:lineRule="auto"/>
              <w:jc w:val="left"/>
              <w:rPr>
                <w:rFonts w:ascii="Arial Narrow" w:hAnsi="Arial Narrow"/>
                <w:sz w:val="20"/>
                <w:szCs w:val="20"/>
                <w:lang w:val="en-US"/>
              </w:rPr>
            </w:pPr>
            <w:r w:rsidRPr="00EC060B">
              <w:rPr>
                <w:rFonts w:ascii="Arial Narrow" w:hAnsi="Arial Narrow"/>
                <w:b/>
                <w:sz w:val="20"/>
                <w:szCs w:val="20"/>
                <w:lang w:val="en-US"/>
              </w:rPr>
              <w:t>Pleural effusion</w:t>
            </w:r>
            <w:r>
              <w:rPr>
                <w:rFonts w:ascii="Arial Narrow" w:hAnsi="Arial Narrow"/>
                <w:sz w:val="20"/>
                <w:szCs w:val="20"/>
                <w:lang w:val="en-US"/>
              </w:rPr>
              <w:t>:</w:t>
            </w:r>
            <w:r w:rsidR="00551724">
              <w:rPr>
                <w:rFonts w:ascii="Arial Narrow" w:hAnsi="Arial Narrow"/>
                <w:sz w:val="20"/>
                <w:szCs w:val="20"/>
                <w:lang w:val="en-US"/>
              </w:rPr>
              <w:t xml:space="preserve"> </w:t>
            </w:r>
            <w:r w:rsidR="00822A1C" w:rsidRPr="00822A1C">
              <w:rPr>
                <w:rFonts w:ascii="Arial Narrow" w:hAnsi="Arial Narrow"/>
                <w:sz w:val="20"/>
                <w:szCs w:val="20"/>
                <w:lang w:val="en-US"/>
              </w:rPr>
              <w:t>3</w:t>
            </w:r>
            <w:r w:rsidR="007E3D66">
              <w:rPr>
                <w:rFonts w:ascii="Arial Narrow" w:hAnsi="Arial Narrow"/>
                <w:sz w:val="20"/>
                <w:szCs w:val="20"/>
                <w:lang w:val="en-US"/>
              </w:rPr>
              <w:t>–</w:t>
            </w:r>
            <w:r w:rsidR="00822A1C" w:rsidRPr="00822A1C">
              <w:rPr>
                <w:rFonts w:ascii="Arial Narrow" w:hAnsi="Arial Narrow"/>
                <w:sz w:val="20"/>
                <w:szCs w:val="20"/>
                <w:lang w:val="en-US"/>
              </w:rPr>
              <w:t>60.0% (median 13.4%) [10 studies]</w:t>
            </w:r>
          </w:p>
          <w:p w14:paraId="35BB34B8" w14:textId="2E60F200" w:rsidR="00822A1C" w:rsidRPr="00822A1C" w:rsidRDefault="00E6280A" w:rsidP="00CA6595">
            <w:pPr>
              <w:widowControl w:val="0"/>
              <w:spacing w:before="60" w:after="60" w:line="240" w:lineRule="auto"/>
              <w:jc w:val="left"/>
              <w:rPr>
                <w:rFonts w:ascii="Arial Narrow" w:hAnsi="Arial Narrow"/>
                <w:sz w:val="20"/>
                <w:szCs w:val="20"/>
                <w:lang w:val="en-US"/>
              </w:rPr>
            </w:pPr>
            <w:r w:rsidRPr="00EC060B">
              <w:rPr>
                <w:rFonts w:ascii="Arial Narrow" w:hAnsi="Arial Narrow"/>
                <w:b/>
                <w:sz w:val="20"/>
                <w:szCs w:val="20"/>
                <w:lang w:val="en-US"/>
              </w:rPr>
              <w:t>Pneumonia</w:t>
            </w:r>
            <w:r>
              <w:rPr>
                <w:rFonts w:ascii="Arial Narrow" w:hAnsi="Arial Narrow"/>
                <w:sz w:val="20"/>
                <w:szCs w:val="20"/>
                <w:lang w:val="en-US"/>
              </w:rPr>
              <w:t xml:space="preserve">: </w:t>
            </w:r>
            <w:r w:rsidR="00822A1C" w:rsidRPr="00822A1C">
              <w:rPr>
                <w:rFonts w:ascii="Arial Narrow" w:hAnsi="Arial Narrow"/>
                <w:sz w:val="20"/>
                <w:szCs w:val="20"/>
                <w:lang w:val="en-US"/>
              </w:rPr>
              <w:t>6.0</w:t>
            </w:r>
            <w:r w:rsidR="007E3D66">
              <w:rPr>
                <w:rFonts w:ascii="Arial Narrow" w:hAnsi="Arial Narrow"/>
                <w:sz w:val="20"/>
                <w:szCs w:val="20"/>
                <w:lang w:val="en-US"/>
              </w:rPr>
              <w:t>–</w:t>
            </w:r>
            <w:r w:rsidR="00822A1C" w:rsidRPr="00822A1C">
              <w:rPr>
                <w:rFonts w:ascii="Arial Narrow" w:hAnsi="Arial Narrow"/>
                <w:sz w:val="20"/>
                <w:szCs w:val="20"/>
                <w:lang w:val="en-US"/>
              </w:rPr>
              <w:t>12.0% (median 9.5%) [5 studies]</w:t>
            </w:r>
          </w:p>
          <w:p w14:paraId="69E248E3" w14:textId="5E076C9E" w:rsidR="00822A1C" w:rsidRPr="00822A1C" w:rsidRDefault="00E6280A" w:rsidP="00CA6595">
            <w:pPr>
              <w:widowControl w:val="0"/>
              <w:spacing w:before="60" w:after="60" w:line="240" w:lineRule="auto"/>
              <w:jc w:val="left"/>
              <w:rPr>
                <w:rFonts w:ascii="Arial Narrow" w:hAnsi="Arial Narrow"/>
                <w:sz w:val="20"/>
                <w:szCs w:val="20"/>
                <w:lang w:val="en-US"/>
              </w:rPr>
            </w:pPr>
            <w:r w:rsidRPr="00EC060B">
              <w:rPr>
                <w:rFonts w:ascii="Arial Narrow" w:hAnsi="Arial Narrow"/>
                <w:b/>
                <w:sz w:val="20"/>
                <w:szCs w:val="20"/>
                <w:lang w:val="en-US"/>
              </w:rPr>
              <w:t>Pulmonary abscess</w:t>
            </w:r>
            <w:r>
              <w:rPr>
                <w:rFonts w:ascii="Arial Narrow" w:hAnsi="Arial Narrow"/>
                <w:sz w:val="20"/>
                <w:szCs w:val="20"/>
                <w:lang w:val="en-US"/>
              </w:rPr>
              <w:t xml:space="preserve">: </w:t>
            </w:r>
            <w:r w:rsidR="00822A1C" w:rsidRPr="00822A1C">
              <w:rPr>
                <w:rFonts w:ascii="Arial Narrow" w:hAnsi="Arial Narrow"/>
                <w:sz w:val="20"/>
                <w:szCs w:val="20"/>
                <w:lang w:val="en-US"/>
              </w:rPr>
              <w:t>1.9</w:t>
            </w:r>
            <w:r w:rsidR="007E3D66">
              <w:rPr>
                <w:rFonts w:ascii="Arial Narrow" w:hAnsi="Arial Narrow"/>
                <w:sz w:val="20"/>
                <w:szCs w:val="20"/>
                <w:lang w:val="en-US"/>
              </w:rPr>
              <w:t>–</w:t>
            </w:r>
            <w:r w:rsidR="00822A1C" w:rsidRPr="00822A1C">
              <w:rPr>
                <w:rFonts w:ascii="Arial Narrow" w:hAnsi="Arial Narrow"/>
                <w:sz w:val="20"/>
                <w:szCs w:val="20"/>
                <w:lang w:val="en-US"/>
              </w:rPr>
              <w:t>6.6% (median 6.4%) [3 studies]</w:t>
            </w:r>
          </w:p>
          <w:p w14:paraId="291328B3" w14:textId="4847D210" w:rsidR="00822A1C" w:rsidRPr="00822A1C" w:rsidRDefault="00E6280A" w:rsidP="00CA6595">
            <w:pPr>
              <w:widowControl w:val="0"/>
              <w:spacing w:before="60" w:after="60" w:line="240" w:lineRule="auto"/>
              <w:jc w:val="left"/>
              <w:rPr>
                <w:rFonts w:ascii="Arial Narrow" w:hAnsi="Arial Narrow"/>
                <w:sz w:val="20"/>
                <w:szCs w:val="20"/>
                <w:lang w:val="en-US"/>
              </w:rPr>
            </w:pPr>
            <w:r w:rsidRPr="00EC060B">
              <w:rPr>
                <w:rFonts w:ascii="Arial Narrow" w:hAnsi="Arial Narrow"/>
                <w:b/>
                <w:sz w:val="20"/>
                <w:szCs w:val="20"/>
                <w:lang w:val="en-US"/>
              </w:rPr>
              <w:t>Hemothorax</w:t>
            </w:r>
            <w:r>
              <w:rPr>
                <w:rFonts w:ascii="Arial Narrow" w:hAnsi="Arial Narrow"/>
                <w:sz w:val="20"/>
                <w:szCs w:val="20"/>
                <w:lang w:val="en-US"/>
              </w:rPr>
              <w:t xml:space="preserve">: </w:t>
            </w:r>
            <w:r w:rsidR="00822A1C" w:rsidRPr="00822A1C">
              <w:rPr>
                <w:rFonts w:ascii="Arial Narrow" w:hAnsi="Arial Narrow"/>
                <w:sz w:val="20"/>
                <w:szCs w:val="20"/>
                <w:lang w:val="en-US"/>
              </w:rPr>
              <w:t>1.9</w:t>
            </w:r>
            <w:r w:rsidR="007E3D66">
              <w:rPr>
                <w:rFonts w:ascii="Arial Narrow" w:hAnsi="Arial Narrow"/>
                <w:sz w:val="20"/>
                <w:szCs w:val="20"/>
                <w:lang w:val="en-US"/>
              </w:rPr>
              <w:t>–</w:t>
            </w:r>
            <w:r w:rsidR="00822A1C" w:rsidRPr="00822A1C">
              <w:rPr>
                <w:rFonts w:ascii="Arial Narrow" w:hAnsi="Arial Narrow"/>
                <w:sz w:val="20"/>
                <w:szCs w:val="20"/>
                <w:lang w:val="en-US"/>
              </w:rPr>
              <w:t>16.7% (median 4.3%) [4 studies]</w:t>
            </w:r>
          </w:p>
          <w:p w14:paraId="5F0D14A5" w14:textId="260A8DC4" w:rsidR="00822A1C" w:rsidRPr="00822A1C" w:rsidRDefault="00EC060B" w:rsidP="00CA6595">
            <w:pPr>
              <w:widowControl w:val="0"/>
              <w:spacing w:before="60" w:after="60" w:line="240" w:lineRule="auto"/>
              <w:jc w:val="left"/>
              <w:rPr>
                <w:rFonts w:ascii="Arial Narrow" w:hAnsi="Arial Narrow"/>
                <w:sz w:val="20"/>
                <w:szCs w:val="20"/>
                <w:lang w:val="en-US"/>
              </w:rPr>
            </w:pPr>
            <w:r>
              <w:rPr>
                <w:rFonts w:ascii="Arial Narrow" w:hAnsi="Arial Narrow"/>
                <w:b/>
                <w:sz w:val="20"/>
                <w:szCs w:val="20"/>
                <w:lang w:val="en-US"/>
              </w:rPr>
              <w:t>Pulmonary b</w:t>
            </w:r>
            <w:r w:rsidRPr="00EC060B">
              <w:rPr>
                <w:rFonts w:ascii="Arial Narrow" w:hAnsi="Arial Narrow"/>
                <w:b/>
                <w:sz w:val="20"/>
                <w:szCs w:val="20"/>
                <w:lang w:val="en-US"/>
              </w:rPr>
              <w:t>leed</w:t>
            </w:r>
            <w:r>
              <w:rPr>
                <w:rFonts w:ascii="Arial Narrow" w:hAnsi="Arial Narrow"/>
                <w:sz w:val="20"/>
                <w:szCs w:val="20"/>
                <w:lang w:val="en-US"/>
              </w:rPr>
              <w:t xml:space="preserve">: </w:t>
            </w:r>
            <w:r w:rsidR="00822A1C" w:rsidRPr="00822A1C">
              <w:rPr>
                <w:rFonts w:ascii="Arial Narrow" w:hAnsi="Arial Narrow"/>
                <w:sz w:val="20"/>
                <w:szCs w:val="20"/>
                <w:lang w:val="en-US"/>
              </w:rPr>
              <w:t>0.0</w:t>
            </w:r>
            <w:r w:rsidR="007E3D66">
              <w:rPr>
                <w:rFonts w:ascii="Arial Narrow" w:hAnsi="Arial Narrow"/>
                <w:sz w:val="20"/>
                <w:szCs w:val="20"/>
                <w:lang w:val="en-US"/>
              </w:rPr>
              <w:t>–</w:t>
            </w:r>
            <w:r w:rsidR="00822A1C" w:rsidRPr="00822A1C">
              <w:rPr>
                <w:rFonts w:ascii="Arial Narrow" w:hAnsi="Arial Narrow"/>
                <w:sz w:val="20"/>
                <w:szCs w:val="20"/>
                <w:lang w:val="en-US"/>
              </w:rPr>
              <w:t>11.0% (median 7.1%) [3 studies]</w:t>
            </w:r>
          </w:p>
          <w:p w14:paraId="13DDF1EF" w14:textId="171D9A1D" w:rsidR="00822A1C" w:rsidRPr="00822A1C" w:rsidRDefault="00E6280A" w:rsidP="00CA6595">
            <w:pPr>
              <w:widowControl w:val="0"/>
              <w:spacing w:before="60" w:after="60" w:line="240" w:lineRule="auto"/>
              <w:jc w:val="left"/>
              <w:rPr>
                <w:rFonts w:ascii="Arial Narrow" w:hAnsi="Arial Narrow"/>
                <w:sz w:val="20"/>
                <w:szCs w:val="20"/>
                <w:lang w:val="en-US"/>
              </w:rPr>
            </w:pPr>
            <w:r w:rsidRPr="00EC060B">
              <w:rPr>
                <w:rFonts w:ascii="Arial Narrow" w:hAnsi="Arial Narrow"/>
                <w:b/>
                <w:sz w:val="20"/>
                <w:szCs w:val="20"/>
                <w:lang w:val="en-US"/>
              </w:rPr>
              <w:t>Hemoptysis</w:t>
            </w:r>
            <w:r>
              <w:rPr>
                <w:rFonts w:ascii="Arial Narrow" w:hAnsi="Arial Narrow"/>
                <w:sz w:val="20"/>
                <w:szCs w:val="20"/>
                <w:lang w:val="en-US"/>
              </w:rPr>
              <w:t xml:space="preserve">: </w:t>
            </w:r>
            <w:r w:rsidR="00822A1C" w:rsidRPr="00822A1C">
              <w:rPr>
                <w:rFonts w:ascii="Arial Narrow" w:hAnsi="Arial Narrow"/>
                <w:sz w:val="20"/>
                <w:szCs w:val="20"/>
                <w:lang w:val="en-US"/>
              </w:rPr>
              <w:t>3.3</w:t>
            </w:r>
            <w:r w:rsidR="007E3D66">
              <w:rPr>
                <w:rFonts w:ascii="Arial Narrow" w:hAnsi="Arial Narrow"/>
                <w:sz w:val="20"/>
                <w:szCs w:val="20"/>
                <w:lang w:val="en-US"/>
              </w:rPr>
              <w:t>–</w:t>
            </w:r>
            <w:r w:rsidR="00822A1C" w:rsidRPr="00822A1C">
              <w:rPr>
                <w:rFonts w:ascii="Arial Narrow" w:hAnsi="Arial Narrow"/>
                <w:sz w:val="20"/>
                <w:szCs w:val="20"/>
                <w:lang w:val="en-US"/>
              </w:rPr>
              <w:t>18.2% (median 11.1%) [7 studies]</w:t>
            </w:r>
          </w:p>
          <w:p w14:paraId="44971832" w14:textId="60A5B75C" w:rsidR="00822A1C" w:rsidRPr="00822A1C" w:rsidRDefault="00BF6955" w:rsidP="00CA6595">
            <w:pPr>
              <w:widowControl w:val="0"/>
              <w:spacing w:before="60" w:after="60" w:line="240" w:lineRule="auto"/>
              <w:jc w:val="left"/>
              <w:rPr>
                <w:rFonts w:ascii="Arial Narrow" w:hAnsi="Arial Narrow"/>
                <w:sz w:val="20"/>
                <w:szCs w:val="20"/>
                <w:lang w:val="en-US"/>
              </w:rPr>
            </w:pPr>
            <w:r>
              <w:rPr>
                <w:rFonts w:ascii="Arial Narrow" w:hAnsi="Arial Narrow"/>
                <w:b/>
                <w:sz w:val="20"/>
                <w:szCs w:val="20"/>
                <w:lang w:val="en-US"/>
              </w:rPr>
              <w:t>C</w:t>
            </w:r>
            <w:r w:rsidR="00E6280A" w:rsidRPr="00EC060B">
              <w:rPr>
                <w:rFonts w:ascii="Arial Narrow" w:hAnsi="Arial Narrow"/>
                <w:b/>
                <w:sz w:val="20"/>
                <w:szCs w:val="20"/>
                <w:lang w:val="en-US"/>
              </w:rPr>
              <w:t>hest pain</w:t>
            </w:r>
            <w:r w:rsidR="00E6280A">
              <w:rPr>
                <w:rFonts w:ascii="Arial Narrow" w:hAnsi="Arial Narrow"/>
                <w:sz w:val="20"/>
                <w:szCs w:val="20"/>
                <w:lang w:val="en-US"/>
              </w:rPr>
              <w:t xml:space="preserve">: </w:t>
            </w:r>
            <w:r w:rsidR="00822A1C" w:rsidRPr="00822A1C">
              <w:rPr>
                <w:rFonts w:ascii="Arial Narrow" w:hAnsi="Arial Narrow"/>
                <w:sz w:val="20"/>
                <w:szCs w:val="20"/>
                <w:lang w:val="en-US"/>
              </w:rPr>
              <w:t>2.3</w:t>
            </w:r>
            <w:r w:rsidR="007E3D66">
              <w:rPr>
                <w:rFonts w:ascii="Arial Narrow" w:hAnsi="Arial Narrow"/>
                <w:sz w:val="20"/>
                <w:szCs w:val="20"/>
                <w:lang w:val="en-US"/>
              </w:rPr>
              <w:t>–</w:t>
            </w:r>
            <w:r w:rsidR="00822A1C" w:rsidRPr="00822A1C">
              <w:rPr>
                <w:rFonts w:ascii="Arial Narrow" w:hAnsi="Arial Narrow"/>
                <w:sz w:val="20"/>
                <w:szCs w:val="20"/>
                <w:lang w:val="en-US"/>
              </w:rPr>
              <w:t>24.0% (median 9.0%) [5 studies]</w:t>
            </w:r>
          </w:p>
          <w:p w14:paraId="7387FCBE" w14:textId="30358813" w:rsidR="00822A1C" w:rsidRPr="00822A1C" w:rsidRDefault="00E6280A" w:rsidP="00CA6595">
            <w:pPr>
              <w:widowControl w:val="0"/>
              <w:spacing w:before="60" w:after="60" w:line="240" w:lineRule="auto"/>
              <w:jc w:val="left"/>
              <w:rPr>
                <w:rFonts w:ascii="Arial Narrow" w:hAnsi="Arial Narrow"/>
                <w:sz w:val="20"/>
                <w:szCs w:val="20"/>
                <w:lang w:val="en-US"/>
              </w:rPr>
            </w:pPr>
            <w:r w:rsidRPr="00EC060B">
              <w:rPr>
                <w:rFonts w:ascii="Arial Narrow" w:hAnsi="Arial Narrow"/>
                <w:b/>
                <w:sz w:val="20"/>
                <w:szCs w:val="20"/>
                <w:lang w:val="en-US"/>
              </w:rPr>
              <w:t>Cough</w:t>
            </w:r>
            <w:r>
              <w:rPr>
                <w:rFonts w:ascii="Arial Narrow" w:hAnsi="Arial Narrow"/>
                <w:sz w:val="20"/>
                <w:szCs w:val="20"/>
                <w:lang w:val="en-US"/>
              </w:rPr>
              <w:t xml:space="preserve">: </w:t>
            </w:r>
            <w:r w:rsidR="00822A1C" w:rsidRPr="00822A1C">
              <w:rPr>
                <w:rFonts w:ascii="Arial Narrow" w:hAnsi="Arial Narrow"/>
                <w:sz w:val="20"/>
                <w:szCs w:val="20"/>
                <w:lang w:val="en-US"/>
              </w:rPr>
              <w:t>1.4</w:t>
            </w:r>
            <w:r w:rsidR="007E3D66">
              <w:rPr>
                <w:rFonts w:ascii="Arial Narrow" w:hAnsi="Arial Narrow"/>
                <w:sz w:val="20"/>
                <w:szCs w:val="20"/>
                <w:lang w:val="en-US"/>
              </w:rPr>
              <w:t>–</w:t>
            </w:r>
            <w:r w:rsidR="00822A1C" w:rsidRPr="00822A1C">
              <w:rPr>
                <w:rFonts w:ascii="Arial Narrow" w:hAnsi="Arial Narrow"/>
                <w:sz w:val="20"/>
                <w:szCs w:val="20"/>
                <w:lang w:val="en-US"/>
              </w:rPr>
              <w:t>33.0% (median 3.7%) [3 studies]</w:t>
            </w:r>
          </w:p>
          <w:p w14:paraId="42F80946" w14:textId="1AEF85C0" w:rsidR="00822A1C" w:rsidRPr="00822A1C" w:rsidRDefault="00E6280A" w:rsidP="00CA6595">
            <w:pPr>
              <w:widowControl w:val="0"/>
              <w:spacing w:before="60" w:after="60" w:line="240" w:lineRule="auto"/>
              <w:jc w:val="left"/>
              <w:rPr>
                <w:rFonts w:ascii="Arial Narrow" w:hAnsi="Arial Narrow"/>
                <w:sz w:val="20"/>
                <w:szCs w:val="20"/>
                <w:lang w:val="en-US"/>
              </w:rPr>
            </w:pPr>
            <w:r w:rsidRPr="00EC060B">
              <w:rPr>
                <w:rFonts w:ascii="Arial Narrow" w:hAnsi="Arial Narrow"/>
                <w:b/>
                <w:sz w:val="20"/>
                <w:szCs w:val="20"/>
                <w:lang w:val="en-US"/>
              </w:rPr>
              <w:t>Fever</w:t>
            </w:r>
            <w:r>
              <w:rPr>
                <w:rFonts w:ascii="Arial Narrow" w:hAnsi="Arial Narrow"/>
                <w:sz w:val="20"/>
                <w:szCs w:val="20"/>
                <w:lang w:val="en-US"/>
              </w:rPr>
              <w:t xml:space="preserve">: </w:t>
            </w:r>
            <w:r w:rsidR="00822A1C" w:rsidRPr="00822A1C">
              <w:rPr>
                <w:rFonts w:ascii="Arial Narrow" w:hAnsi="Arial Narrow"/>
                <w:sz w:val="20"/>
                <w:szCs w:val="20"/>
                <w:lang w:val="en-US"/>
              </w:rPr>
              <w:t>6.6</w:t>
            </w:r>
            <w:r w:rsidR="007E3D66">
              <w:rPr>
                <w:rFonts w:ascii="Arial Narrow" w:hAnsi="Arial Narrow"/>
                <w:sz w:val="20"/>
                <w:szCs w:val="20"/>
                <w:lang w:val="en-US"/>
              </w:rPr>
              <w:t>–</w:t>
            </w:r>
            <w:r w:rsidR="00822A1C" w:rsidRPr="00822A1C">
              <w:rPr>
                <w:rFonts w:ascii="Arial Narrow" w:hAnsi="Arial Narrow"/>
                <w:sz w:val="20"/>
                <w:szCs w:val="20"/>
                <w:lang w:val="en-US"/>
              </w:rPr>
              <w:t>2</w:t>
            </w:r>
            <w:r w:rsidR="00BC03D4">
              <w:rPr>
                <w:rFonts w:ascii="Arial Narrow" w:hAnsi="Arial Narrow"/>
                <w:sz w:val="20"/>
                <w:szCs w:val="20"/>
                <w:lang w:val="en-US"/>
              </w:rPr>
              <w:t>2.2% (median 18.0%) [5 studies]</w:t>
            </w:r>
          </w:p>
        </w:tc>
        <w:tc>
          <w:tcPr>
            <w:tcW w:w="2693" w:type="dxa"/>
            <w:tcBorders>
              <w:top w:val="single" w:sz="4" w:space="0" w:color="auto"/>
              <w:left w:val="single" w:sz="4" w:space="0" w:color="auto"/>
              <w:bottom w:val="single" w:sz="4" w:space="0" w:color="auto"/>
              <w:right w:val="single" w:sz="4" w:space="0" w:color="auto"/>
            </w:tcBorders>
          </w:tcPr>
          <w:p w14:paraId="40888CD5"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 xml:space="preserve">The authors reported that only limited, low level evidence is available on the clinical outcomes of RFA treatment of lung tumours (only observational studies) and thus cannot be considered a therapeutic equivalent to surgical resection. However, they state that it has a promising safety profile and may have a potential role in the treatment of non-resectable lung tumours.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18FAF61" w14:textId="77777777" w:rsidR="00D36D46" w:rsidRPr="00D36D46" w:rsidRDefault="00D36D46" w:rsidP="004D79EF">
            <w:pPr>
              <w:widowControl w:val="0"/>
              <w:spacing w:before="60" w:after="60" w:line="240" w:lineRule="auto"/>
              <w:jc w:val="left"/>
              <w:rPr>
                <w:rFonts w:ascii="Arial Narrow" w:hAnsi="Arial Narrow"/>
                <w:b/>
                <w:sz w:val="20"/>
                <w:szCs w:val="20"/>
              </w:rPr>
            </w:pPr>
            <w:r w:rsidRPr="00D36D46">
              <w:rPr>
                <w:rFonts w:ascii="Arial Narrow" w:hAnsi="Arial Narrow"/>
                <w:b/>
                <w:sz w:val="20"/>
                <w:szCs w:val="20"/>
              </w:rPr>
              <w:t>MODERATE QUALITY</w:t>
            </w:r>
          </w:p>
          <w:p w14:paraId="1047FA94" w14:textId="77777777" w:rsidR="0076456C" w:rsidRDefault="007A4189"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1. </w:t>
            </w:r>
            <w:r w:rsidR="0076456C" w:rsidRPr="0076456C">
              <w:rPr>
                <w:rFonts w:ascii="Arial Narrow" w:hAnsi="Arial Narrow"/>
                <w:sz w:val="20"/>
                <w:szCs w:val="20"/>
              </w:rPr>
              <w:t>Was</w:t>
            </w:r>
            <w:r>
              <w:rPr>
                <w:rFonts w:ascii="Arial Narrow" w:hAnsi="Arial Narrow"/>
                <w:sz w:val="20"/>
                <w:szCs w:val="20"/>
              </w:rPr>
              <w:t xml:space="preserve"> an ‘a priori’ design provided? </w:t>
            </w:r>
            <w:r w:rsidRPr="003B27D1">
              <w:rPr>
                <w:rFonts w:ascii="Arial Narrow" w:hAnsi="Arial Narrow"/>
                <w:b/>
                <w:sz w:val="20"/>
                <w:szCs w:val="20"/>
              </w:rPr>
              <w:t>YES</w:t>
            </w:r>
          </w:p>
          <w:p w14:paraId="3464A72E" w14:textId="77777777" w:rsidR="0076456C" w:rsidRDefault="007A4189"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2. </w:t>
            </w:r>
            <w:r w:rsidR="0026324F">
              <w:rPr>
                <w:rFonts w:ascii="Arial Narrow" w:hAnsi="Arial Narrow"/>
                <w:sz w:val="20"/>
                <w:szCs w:val="20"/>
              </w:rPr>
              <w:t>D</w:t>
            </w:r>
            <w:r w:rsidR="000412FA">
              <w:rPr>
                <w:rFonts w:ascii="Arial Narrow" w:hAnsi="Arial Narrow"/>
                <w:sz w:val="20"/>
                <w:szCs w:val="20"/>
              </w:rPr>
              <w:t>uplicate study selection</w:t>
            </w:r>
            <w:r w:rsidR="0026324F">
              <w:rPr>
                <w:rFonts w:ascii="Arial Narrow" w:hAnsi="Arial Narrow"/>
                <w:sz w:val="20"/>
                <w:szCs w:val="20"/>
              </w:rPr>
              <w:t xml:space="preserve"> and data </w:t>
            </w:r>
            <w:r w:rsidR="0076456C" w:rsidRPr="0076456C">
              <w:rPr>
                <w:rFonts w:ascii="Arial Narrow" w:hAnsi="Arial Narrow"/>
                <w:sz w:val="20"/>
                <w:szCs w:val="20"/>
              </w:rPr>
              <w:t>extraction?</w:t>
            </w:r>
            <w:r>
              <w:rPr>
                <w:rFonts w:ascii="Arial Narrow" w:hAnsi="Arial Narrow"/>
                <w:sz w:val="20"/>
                <w:szCs w:val="20"/>
              </w:rPr>
              <w:t xml:space="preserve"> </w:t>
            </w:r>
            <w:r w:rsidRPr="003B27D1">
              <w:rPr>
                <w:rFonts w:ascii="Arial Narrow" w:hAnsi="Arial Narrow"/>
                <w:b/>
                <w:sz w:val="20"/>
                <w:szCs w:val="20"/>
              </w:rPr>
              <w:t>YES</w:t>
            </w:r>
          </w:p>
          <w:p w14:paraId="146E5805" w14:textId="77777777" w:rsidR="0076456C" w:rsidRPr="003B27D1" w:rsidRDefault="007A4189" w:rsidP="004D79EF">
            <w:pPr>
              <w:widowControl w:val="0"/>
              <w:spacing w:before="60" w:after="60" w:line="240" w:lineRule="auto"/>
              <w:jc w:val="left"/>
              <w:rPr>
                <w:rFonts w:ascii="Arial Narrow" w:hAnsi="Arial Narrow"/>
                <w:b/>
                <w:sz w:val="20"/>
                <w:szCs w:val="20"/>
              </w:rPr>
            </w:pPr>
            <w:r>
              <w:rPr>
                <w:rFonts w:ascii="Arial Narrow" w:hAnsi="Arial Narrow"/>
                <w:sz w:val="20"/>
                <w:szCs w:val="20"/>
              </w:rPr>
              <w:t xml:space="preserve">3. </w:t>
            </w:r>
            <w:r w:rsidR="004310A6">
              <w:rPr>
                <w:rFonts w:ascii="Arial Narrow" w:hAnsi="Arial Narrow"/>
                <w:sz w:val="20"/>
                <w:szCs w:val="20"/>
              </w:rPr>
              <w:t>C</w:t>
            </w:r>
            <w:r w:rsidR="0076456C" w:rsidRPr="0076456C">
              <w:rPr>
                <w:rFonts w:ascii="Arial Narrow" w:hAnsi="Arial Narrow"/>
                <w:sz w:val="20"/>
                <w:szCs w:val="20"/>
              </w:rPr>
              <w:t xml:space="preserve">omprehensive literature search? </w:t>
            </w:r>
            <w:r w:rsidRPr="003B27D1">
              <w:rPr>
                <w:rFonts w:ascii="Arial Narrow" w:hAnsi="Arial Narrow"/>
                <w:b/>
                <w:sz w:val="20"/>
                <w:szCs w:val="20"/>
              </w:rPr>
              <w:t>YES</w:t>
            </w:r>
          </w:p>
          <w:p w14:paraId="68337628" w14:textId="77777777" w:rsidR="0076456C" w:rsidRDefault="007A4189"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4. </w:t>
            </w:r>
            <w:r w:rsidR="00B541B6">
              <w:rPr>
                <w:rFonts w:ascii="Arial Narrow" w:hAnsi="Arial Narrow"/>
                <w:sz w:val="20"/>
                <w:szCs w:val="20"/>
              </w:rPr>
              <w:t>P</w:t>
            </w:r>
            <w:r w:rsidR="0076456C" w:rsidRPr="0076456C">
              <w:rPr>
                <w:rFonts w:ascii="Arial Narrow" w:hAnsi="Arial Narrow"/>
                <w:sz w:val="20"/>
                <w:szCs w:val="20"/>
              </w:rPr>
              <w:t xml:space="preserve">ublication </w:t>
            </w:r>
            <w:r w:rsidR="00B541B6">
              <w:rPr>
                <w:rFonts w:ascii="Arial Narrow" w:hAnsi="Arial Narrow"/>
                <w:sz w:val="20"/>
                <w:szCs w:val="20"/>
              </w:rPr>
              <w:t xml:space="preserve">status </w:t>
            </w:r>
            <w:r w:rsidR="0076456C" w:rsidRPr="0076456C">
              <w:rPr>
                <w:rFonts w:ascii="Arial Narrow" w:hAnsi="Arial Narrow"/>
                <w:sz w:val="20"/>
                <w:szCs w:val="20"/>
              </w:rPr>
              <w:t>(i.e. grey literature) used as an inclusion criterion?</w:t>
            </w:r>
            <w:r>
              <w:rPr>
                <w:rFonts w:ascii="Arial Narrow" w:hAnsi="Arial Narrow"/>
                <w:sz w:val="20"/>
                <w:szCs w:val="20"/>
              </w:rPr>
              <w:t xml:space="preserve"> </w:t>
            </w:r>
            <w:r w:rsidRPr="003B27D1">
              <w:rPr>
                <w:rFonts w:ascii="Arial Narrow" w:hAnsi="Arial Narrow"/>
                <w:b/>
                <w:sz w:val="20"/>
                <w:szCs w:val="20"/>
              </w:rPr>
              <w:t>YES</w:t>
            </w:r>
          </w:p>
          <w:p w14:paraId="1948BB2B" w14:textId="77777777" w:rsidR="0076456C" w:rsidRDefault="007A4189"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5. </w:t>
            </w:r>
            <w:r w:rsidR="00C567B8">
              <w:rPr>
                <w:rFonts w:ascii="Arial Narrow" w:hAnsi="Arial Narrow"/>
                <w:sz w:val="20"/>
                <w:szCs w:val="20"/>
              </w:rPr>
              <w:t>L</w:t>
            </w:r>
            <w:r w:rsidR="0076456C" w:rsidRPr="0076456C">
              <w:rPr>
                <w:rFonts w:ascii="Arial Narrow" w:hAnsi="Arial Narrow"/>
                <w:sz w:val="20"/>
                <w:szCs w:val="20"/>
              </w:rPr>
              <w:t>ist of studies provided?</w:t>
            </w:r>
            <w:r>
              <w:rPr>
                <w:rFonts w:ascii="Arial Narrow" w:hAnsi="Arial Narrow"/>
                <w:sz w:val="20"/>
                <w:szCs w:val="20"/>
              </w:rPr>
              <w:t xml:space="preserve"> </w:t>
            </w:r>
            <w:r w:rsidRPr="003B27D1">
              <w:rPr>
                <w:rFonts w:ascii="Arial Narrow" w:hAnsi="Arial Narrow"/>
                <w:b/>
                <w:sz w:val="20"/>
                <w:szCs w:val="20"/>
              </w:rPr>
              <w:t>NO</w:t>
            </w:r>
          </w:p>
          <w:p w14:paraId="164123E9" w14:textId="77777777" w:rsidR="0076456C" w:rsidRDefault="007A4189"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6. </w:t>
            </w:r>
            <w:r w:rsidR="00C567B8">
              <w:rPr>
                <w:rFonts w:ascii="Arial Narrow" w:hAnsi="Arial Narrow"/>
                <w:sz w:val="20"/>
                <w:szCs w:val="20"/>
              </w:rPr>
              <w:t>C</w:t>
            </w:r>
            <w:r w:rsidR="0076456C" w:rsidRPr="0076456C">
              <w:rPr>
                <w:rFonts w:ascii="Arial Narrow" w:hAnsi="Arial Narrow"/>
                <w:sz w:val="20"/>
                <w:szCs w:val="20"/>
              </w:rPr>
              <w:t>haracteristics of the included studies provided?</w:t>
            </w:r>
            <w:r>
              <w:rPr>
                <w:rFonts w:ascii="Arial Narrow" w:hAnsi="Arial Narrow"/>
                <w:sz w:val="20"/>
                <w:szCs w:val="20"/>
              </w:rPr>
              <w:t xml:space="preserve"> </w:t>
            </w:r>
            <w:r w:rsidRPr="003B27D1">
              <w:rPr>
                <w:rFonts w:ascii="Arial Narrow" w:hAnsi="Arial Narrow"/>
                <w:b/>
                <w:sz w:val="20"/>
                <w:szCs w:val="20"/>
              </w:rPr>
              <w:t>YES</w:t>
            </w:r>
          </w:p>
          <w:p w14:paraId="5C0B5977" w14:textId="77777777" w:rsidR="0076456C" w:rsidRDefault="007A4189"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7. </w:t>
            </w:r>
            <w:r w:rsidR="00C567B8">
              <w:rPr>
                <w:rFonts w:ascii="Arial Narrow" w:hAnsi="Arial Narrow"/>
                <w:sz w:val="20"/>
                <w:szCs w:val="20"/>
              </w:rPr>
              <w:t>S</w:t>
            </w:r>
            <w:r w:rsidR="0076456C" w:rsidRPr="0076456C">
              <w:rPr>
                <w:rFonts w:ascii="Arial Narrow" w:hAnsi="Arial Narrow"/>
                <w:sz w:val="20"/>
                <w:szCs w:val="20"/>
              </w:rPr>
              <w:t>cientific quality of the included studies assessed?</w:t>
            </w:r>
            <w:r>
              <w:rPr>
                <w:rFonts w:ascii="Arial Narrow" w:hAnsi="Arial Narrow"/>
                <w:sz w:val="20"/>
                <w:szCs w:val="20"/>
              </w:rPr>
              <w:t xml:space="preserve"> </w:t>
            </w:r>
            <w:r w:rsidRPr="003B27D1">
              <w:rPr>
                <w:rFonts w:ascii="Arial Narrow" w:hAnsi="Arial Narrow"/>
                <w:b/>
                <w:sz w:val="20"/>
                <w:szCs w:val="20"/>
              </w:rPr>
              <w:t>NO</w:t>
            </w:r>
          </w:p>
          <w:p w14:paraId="3A74106F" w14:textId="1F826281" w:rsidR="0076456C" w:rsidRDefault="007A4189"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8. </w:t>
            </w:r>
            <w:r w:rsidR="00C567B8">
              <w:rPr>
                <w:rFonts w:ascii="Arial Narrow" w:hAnsi="Arial Narrow"/>
                <w:sz w:val="20"/>
                <w:szCs w:val="20"/>
              </w:rPr>
              <w:t>S</w:t>
            </w:r>
            <w:r w:rsidR="0076456C" w:rsidRPr="0076456C">
              <w:rPr>
                <w:rFonts w:ascii="Arial Narrow" w:hAnsi="Arial Narrow"/>
                <w:sz w:val="20"/>
                <w:szCs w:val="20"/>
              </w:rPr>
              <w:t>cientific quality of the included studies used in conclusions?</w:t>
            </w:r>
            <w:r>
              <w:rPr>
                <w:rFonts w:ascii="Arial Narrow" w:hAnsi="Arial Narrow"/>
                <w:sz w:val="20"/>
                <w:szCs w:val="20"/>
              </w:rPr>
              <w:t xml:space="preserve"> </w:t>
            </w:r>
            <w:r w:rsidRPr="003B27D1">
              <w:rPr>
                <w:rFonts w:ascii="Arial Narrow" w:hAnsi="Arial Narrow"/>
                <w:b/>
                <w:sz w:val="20"/>
                <w:szCs w:val="20"/>
              </w:rPr>
              <w:t>YES</w:t>
            </w:r>
          </w:p>
          <w:p w14:paraId="11A742E0" w14:textId="77777777" w:rsidR="0076456C" w:rsidRDefault="007A4189"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9. </w:t>
            </w:r>
            <w:r w:rsidR="00C567B8">
              <w:rPr>
                <w:rFonts w:ascii="Arial Narrow" w:hAnsi="Arial Narrow"/>
                <w:sz w:val="20"/>
                <w:szCs w:val="20"/>
              </w:rPr>
              <w:t>M</w:t>
            </w:r>
            <w:r w:rsidR="0076456C" w:rsidRPr="0076456C">
              <w:rPr>
                <w:rFonts w:ascii="Arial Narrow" w:hAnsi="Arial Narrow"/>
                <w:sz w:val="20"/>
                <w:szCs w:val="20"/>
              </w:rPr>
              <w:t>ethods used to combine the findings of studies appropriate</w:t>
            </w:r>
            <w:r w:rsidR="0076456C" w:rsidRPr="003B27D1">
              <w:rPr>
                <w:rFonts w:ascii="Arial Narrow" w:hAnsi="Arial Narrow"/>
                <w:sz w:val="20"/>
                <w:szCs w:val="20"/>
              </w:rPr>
              <w:t>?</w:t>
            </w:r>
            <w:r w:rsidRPr="003B27D1">
              <w:rPr>
                <w:rFonts w:ascii="Arial Narrow" w:hAnsi="Arial Narrow"/>
                <w:b/>
                <w:sz w:val="20"/>
                <w:szCs w:val="20"/>
              </w:rPr>
              <w:t xml:space="preserve"> N/A</w:t>
            </w:r>
          </w:p>
          <w:p w14:paraId="58BD48F7" w14:textId="77777777" w:rsidR="0076456C" w:rsidRDefault="007A4189"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10. </w:t>
            </w:r>
            <w:r w:rsidR="00EC4ED4">
              <w:rPr>
                <w:rFonts w:ascii="Arial Narrow" w:hAnsi="Arial Narrow"/>
                <w:sz w:val="20"/>
                <w:szCs w:val="20"/>
              </w:rPr>
              <w:t>P</w:t>
            </w:r>
            <w:r w:rsidR="0076456C" w:rsidRPr="0076456C">
              <w:rPr>
                <w:rFonts w:ascii="Arial Narrow" w:hAnsi="Arial Narrow"/>
                <w:sz w:val="20"/>
                <w:szCs w:val="20"/>
              </w:rPr>
              <w:t xml:space="preserve">ublication bias assessed? </w:t>
            </w:r>
            <w:r w:rsidRPr="003B27D1">
              <w:rPr>
                <w:rFonts w:ascii="Arial Narrow" w:hAnsi="Arial Narrow"/>
                <w:b/>
                <w:sz w:val="20"/>
                <w:szCs w:val="20"/>
              </w:rPr>
              <w:t>N/A</w:t>
            </w:r>
          </w:p>
          <w:p w14:paraId="70A51168" w14:textId="77777777" w:rsidR="00822A1C" w:rsidRPr="00822A1C" w:rsidRDefault="007A4189"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11. </w:t>
            </w:r>
            <w:r w:rsidR="00105841">
              <w:rPr>
                <w:rFonts w:ascii="Arial Narrow" w:hAnsi="Arial Narrow"/>
                <w:sz w:val="20"/>
                <w:szCs w:val="20"/>
              </w:rPr>
              <w:t>C</w:t>
            </w:r>
            <w:r w:rsidR="0076456C" w:rsidRPr="0076456C">
              <w:rPr>
                <w:rFonts w:ascii="Arial Narrow" w:hAnsi="Arial Narrow"/>
                <w:sz w:val="20"/>
                <w:szCs w:val="20"/>
              </w:rPr>
              <w:t>onflict of interest stated?</w:t>
            </w:r>
            <w:r>
              <w:rPr>
                <w:rFonts w:ascii="Arial Narrow" w:hAnsi="Arial Narrow"/>
                <w:sz w:val="20"/>
                <w:szCs w:val="20"/>
              </w:rPr>
              <w:t xml:space="preserve"> </w:t>
            </w:r>
            <w:r w:rsidRPr="003B27D1">
              <w:rPr>
                <w:rFonts w:ascii="Arial Narrow" w:hAnsi="Arial Narrow"/>
                <w:b/>
                <w:sz w:val="20"/>
                <w:szCs w:val="20"/>
              </w:rPr>
              <w:t>YES</w:t>
            </w:r>
          </w:p>
        </w:tc>
      </w:tr>
      <w:tr w:rsidR="00822A1C" w:rsidRPr="00822A1C" w14:paraId="3F12A765" w14:textId="77777777" w:rsidTr="00A71F72">
        <w:trPr>
          <w:trHeight w:val="426"/>
        </w:trPr>
        <w:tc>
          <w:tcPr>
            <w:tcW w:w="2694" w:type="dxa"/>
            <w:gridSpan w:val="3"/>
            <w:tcBorders>
              <w:top w:val="single" w:sz="4" w:space="0" w:color="auto"/>
              <w:left w:val="single" w:sz="4" w:space="0" w:color="auto"/>
              <w:bottom w:val="single" w:sz="4" w:space="0" w:color="auto"/>
            </w:tcBorders>
            <w:shd w:val="clear" w:color="auto" w:fill="D9D9D9" w:themeFill="background1" w:themeFillShade="D9"/>
          </w:tcPr>
          <w:p w14:paraId="2DE6113C" w14:textId="77777777" w:rsidR="00822A1C" w:rsidRPr="00822A1C" w:rsidRDefault="00822A1C" w:rsidP="00CA6595">
            <w:pPr>
              <w:widowControl w:val="0"/>
              <w:spacing w:before="60" w:after="60" w:line="240" w:lineRule="auto"/>
              <w:jc w:val="left"/>
              <w:rPr>
                <w:rFonts w:ascii="Arial Narrow" w:hAnsi="Arial Narrow"/>
                <w:b/>
                <w:sz w:val="20"/>
                <w:szCs w:val="20"/>
              </w:rPr>
            </w:pPr>
            <w:r w:rsidRPr="00822A1C">
              <w:rPr>
                <w:rFonts w:ascii="Arial Narrow" w:hAnsi="Arial Narrow"/>
                <w:b/>
                <w:sz w:val="20"/>
                <w:szCs w:val="20"/>
              </w:rPr>
              <w:lastRenderedPageBreak/>
              <w:t>RADIOTHERAPY</w:t>
            </w:r>
          </w:p>
        </w:tc>
        <w:tc>
          <w:tcPr>
            <w:tcW w:w="283" w:type="dxa"/>
            <w:tcBorders>
              <w:top w:val="single" w:sz="4" w:space="0" w:color="auto"/>
              <w:bottom w:val="single" w:sz="4" w:space="0" w:color="auto"/>
            </w:tcBorders>
            <w:shd w:val="clear" w:color="auto" w:fill="D9D9D9" w:themeFill="background1" w:themeFillShade="D9"/>
          </w:tcPr>
          <w:p w14:paraId="6E2FE77C" w14:textId="77777777" w:rsidR="00822A1C" w:rsidRPr="00822A1C" w:rsidRDefault="00822A1C" w:rsidP="004D79EF">
            <w:pPr>
              <w:widowControl w:val="0"/>
              <w:spacing w:before="60" w:after="60" w:line="240" w:lineRule="auto"/>
              <w:jc w:val="left"/>
              <w:rPr>
                <w:rFonts w:ascii="Arial Narrow" w:hAnsi="Arial Narrow"/>
                <w:sz w:val="20"/>
                <w:szCs w:val="20"/>
                <w:lang w:val="en-US"/>
              </w:rPr>
            </w:pPr>
          </w:p>
        </w:tc>
        <w:tc>
          <w:tcPr>
            <w:tcW w:w="1701" w:type="dxa"/>
            <w:tcBorders>
              <w:top w:val="single" w:sz="4" w:space="0" w:color="auto"/>
              <w:bottom w:val="single" w:sz="4" w:space="0" w:color="auto"/>
            </w:tcBorders>
            <w:shd w:val="clear" w:color="auto" w:fill="D9D9D9" w:themeFill="background1" w:themeFillShade="D9"/>
          </w:tcPr>
          <w:p w14:paraId="3ED08532" w14:textId="77777777" w:rsidR="00822A1C" w:rsidRPr="00822A1C" w:rsidRDefault="00822A1C" w:rsidP="004D79EF">
            <w:pPr>
              <w:widowControl w:val="0"/>
              <w:spacing w:before="60" w:after="60" w:line="240" w:lineRule="auto"/>
              <w:jc w:val="left"/>
              <w:rPr>
                <w:rFonts w:ascii="Arial Narrow" w:hAnsi="Arial Narrow"/>
                <w:sz w:val="20"/>
                <w:szCs w:val="20"/>
              </w:rPr>
            </w:pPr>
          </w:p>
        </w:tc>
        <w:tc>
          <w:tcPr>
            <w:tcW w:w="2977" w:type="dxa"/>
            <w:tcBorders>
              <w:top w:val="single" w:sz="4" w:space="0" w:color="auto"/>
              <w:bottom w:val="single" w:sz="4" w:space="0" w:color="auto"/>
            </w:tcBorders>
            <w:shd w:val="clear" w:color="auto" w:fill="D9D9D9" w:themeFill="background1" w:themeFillShade="D9"/>
          </w:tcPr>
          <w:p w14:paraId="6092A076" w14:textId="77777777" w:rsidR="00822A1C" w:rsidRPr="00822A1C" w:rsidRDefault="00822A1C" w:rsidP="004D79EF">
            <w:pPr>
              <w:widowControl w:val="0"/>
              <w:spacing w:before="60" w:after="60" w:line="240" w:lineRule="auto"/>
              <w:jc w:val="left"/>
              <w:rPr>
                <w:rFonts w:ascii="Arial Narrow" w:hAnsi="Arial Narrow"/>
                <w:sz w:val="20"/>
                <w:szCs w:val="20"/>
                <w:u w:val="single"/>
                <w:lang w:val="en-US"/>
              </w:rPr>
            </w:pPr>
          </w:p>
        </w:tc>
        <w:tc>
          <w:tcPr>
            <w:tcW w:w="2977" w:type="dxa"/>
            <w:tcBorders>
              <w:top w:val="single" w:sz="4" w:space="0" w:color="auto"/>
              <w:bottom w:val="single" w:sz="4" w:space="0" w:color="auto"/>
            </w:tcBorders>
            <w:shd w:val="clear" w:color="auto" w:fill="D9D9D9" w:themeFill="background1" w:themeFillShade="D9"/>
          </w:tcPr>
          <w:p w14:paraId="7422ABC7" w14:textId="77777777" w:rsidR="00822A1C" w:rsidRPr="00822A1C" w:rsidRDefault="00822A1C" w:rsidP="00CA6595">
            <w:pPr>
              <w:widowControl w:val="0"/>
              <w:spacing w:before="60" w:after="60" w:line="240" w:lineRule="auto"/>
              <w:jc w:val="left"/>
              <w:rPr>
                <w:rFonts w:ascii="Arial Narrow" w:hAnsi="Arial Narrow"/>
                <w:sz w:val="20"/>
                <w:szCs w:val="20"/>
                <w:u w:val="single"/>
                <w:lang w:val="en-US"/>
              </w:rPr>
            </w:pPr>
          </w:p>
        </w:tc>
        <w:tc>
          <w:tcPr>
            <w:tcW w:w="2693" w:type="dxa"/>
            <w:tcBorders>
              <w:top w:val="single" w:sz="4" w:space="0" w:color="auto"/>
              <w:bottom w:val="single" w:sz="4" w:space="0" w:color="auto"/>
            </w:tcBorders>
            <w:shd w:val="clear" w:color="auto" w:fill="D9D9D9" w:themeFill="background1" w:themeFillShade="D9"/>
          </w:tcPr>
          <w:p w14:paraId="7124D41F" w14:textId="77777777" w:rsidR="00822A1C" w:rsidRPr="00822A1C" w:rsidRDefault="00822A1C" w:rsidP="004D79EF">
            <w:pPr>
              <w:widowControl w:val="0"/>
              <w:spacing w:before="60" w:after="60" w:line="240" w:lineRule="auto"/>
              <w:jc w:val="left"/>
              <w:rPr>
                <w:rFonts w:ascii="Arial Narrow" w:hAnsi="Arial Narrow"/>
                <w:sz w:val="20"/>
                <w:szCs w:val="20"/>
              </w:rPr>
            </w:pPr>
          </w:p>
        </w:tc>
        <w:tc>
          <w:tcPr>
            <w:tcW w:w="2126" w:type="dxa"/>
            <w:tcBorders>
              <w:top w:val="single" w:sz="4" w:space="0" w:color="auto"/>
              <w:bottom w:val="single" w:sz="4" w:space="0" w:color="auto"/>
              <w:right w:val="single" w:sz="4" w:space="0" w:color="auto"/>
            </w:tcBorders>
            <w:shd w:val="clear" w:color="auto" w:fill="D9D9D9" w:themeFill="background1" w:themeFillShade="D9"/>
          </w:tcPr>
          <w:p w14:paraId="2CEA9995" w14:textId="77777777" w:rsidR="00822A1C" w:rsidRPr="00822A1C" w:rsidRDefault="00822A1C" w:rsidP="004D79EF">
            <w:pPr>
              <w:widowControl w:val="0"/>
              <w:spacing w:before="60" w:after="60" w:line="240" w:lineRule="auto"/>
              <w:jc w:val="left"/>
              <w:rPr>
                <w:rFonts w:ascii="Arial Narrow" w:hAnsi="Arial Narrow"/>
                <w:sz w:val="20"/>
                <w:szCs w:val="20"/>
              </w:rPr>
            </w:pPr>
          </w:p>
        </w:tc>
      </w:tr>
      <w:tr w:rsidR="00822A1C" w:rsidRPr="00822A1C" w14:paraId="488606DC" w14:textId="77777777" w:rsidTr="00BE1054">
        <w:trPr>
          <w:trHeight w:val="426"/>
        </w:trPr>
        <w:tc>
          <w:tcPr>
            <w:tcW w:w="1276" w:type="dxa"/>
            <w:tcBorders>
              <w:top w:val="single" w:sz="4" w:space="0" w:color="auto"/>
              <w:left w:val="single" w:sz="4" w:space="0" w:color="auto"/>
              <w:bottom w:val="single" w:sz="4" w:space="0" w:color="auto"/>
              <w:right w:val="single" w:sz="4" w:space="0" w:color="auto"/>
            </w:tcBorders>
          </w:tcPr>
          <w:p w14:paraId="49ACA55B" w14:textId="080FC470" w:rsidR="00822A1C" w:rsidRPr="00822A1C" w:rsidRDefault="00822A1C" w:rsidP="00CA6595">
            <w:pPr>
              <w:widowControl w:val="0"/>
              <w:spacing w:before="60" w:after="60" w:line="240" w:lineRule="auto"/>
              <w:jc w:val="left"/>
              <w:rPr>
                <w:rFonts w:ascii="Arial Narrow" w:hAnsi="Arial Narrow"/>
                <w:sz w:val="20"/>
                <w:szCs w:val="20"/>
              </w:rPr>
            </w:pPr>
            <w:r w:rsidRPr="00822A1C">
              <w:rPr>
                <w:rFonts w:ascii="Arial Narrow" w:hAnsi="Arial Narrow"/>
                <w:sz w:val="20"/>
                <w:szCs w:val="20"/>
              </w:rPr>
              <w:t xml:space="preserve">Stevens et al </w:t>
            </w:r>
            <w:r w:rsidR="00063A31">
              <w:rPr>
                <w:rFonts w:ascii="Arial Narrow" w:hAnsi="Arial Narrow"/>
                <w:sz w:val="20"/>
                <w:szCs w:val="20"/>
              </w:rPr>
              <w:t>(</w:t>
            </w:r>
            <w:r w:rsidRPr="00822A1C">
              <w:rPr>
                <w:rFonts w:ascii="Arial Narrow" w:hAnsi="Arial Narrow"/>
                <w:sz w:val="20"/>
                <w:szCs w:val="20"/>
              </w:rPr>
              <w:t>2015</w:t>
            </w:r>
            <w:r w:rsidR="00063A31">
              <w:rPr>
                <w:rFonts w:ascii="Arial Narrow" w:hAnsi="Arial Narrow"/>
                <w:sz w:val="20"/>
                <w:szCs w:val="20"/>
              </w:rPr>
              <w:t>)</w:t>
            </w:r>
          </w:p>
        </w:tc>
        <w:tc>
          <w:tcPr>
            <w:tcW w:w="1701" w:type="dxa"/>
            <w:gridSpan w:val="3"/>
            <w:tcBorders>
              <w:top w:val="single" w:sz="4" w:space="0" w:color="auto"/>
              <w:left w:val="single" w:sz="4" w:space="0" w:color="auto"/>
              <w:bottom w:val="single" w:sz="4" w:space="0" w:color="auto"/>
              <w:right w:val="single" w:sz="4" w:space="0" w:color="auto"/>
            </w:tcBorders>
          </w:tcPr>
          <w:p w14:paraId="7F5081D3" w14:textId="77777777" w:rsidR="00822A1C" w:rsidRPr="00822A1C" w:rsidRDefault="00822A1C" w:rsidP="004D79EF">
            <w:pPr>
              <w:widowControl w:val="0"/>
              <w:numPr>
                <w:ilvl w:val="0"/>
                <w:numId w:val="65"/>
              </w:numPr>
              <w:spacing w:before="60" w:after="60" w:line="240" w:lineRule="auto"/>
              <w:ind w:left="175" w:hanging="141"/>
              <w:jc w:val="left"/>
              <w:rPr>
                <w:rFonts w:ascii="Arial Narrow" w:hAnsi="Arial Narrow"/>
                <w:sz w:val="20"/>
                <w:szCs w:val="20"/>
                <w:lang w:val="en-US"/>
              </w:rPr>
            </w:pPr>
            <w:r w:rsidRPr="00822A1C">
              <w:rPr>
                <w:rFonts w:ascii="Arial Narrow" w:hAnsi="Arial Narrow"/>
                <w:sz w:val="20"/>
                <w:szCs w:val="20"/>
                <w:lang w:val="en-US"/>
              </w:rPr>
              <w:t xml:space="preserve">To assess the effects of different palliative radiotherapy regimens on improving thoracic symptoms in patients with locally advanced or metastatic non-small cell lung cancer </w:t>
            </w:r>
            <w:proofErr w:type="gramStart"/>
            <w:r w:rsidRPr="00822A1C">
              <w:rPr>
                <w:rFonts w:ascii="Arial Narrow" w:hAnsi="Arial Narrow"/>
                <w:sz w:val="20"/>
                <w:szCs w:val="20"/>
                <w:lang w:val="en-US"/>
              </w:rPr>
              <w:t>who</w:t>
            </w:r>
            <w:proofErr w:type="gramEnd"/>
            <w:r w:rsidRPr="00822A1C">
              <w:rPr>
                <w:rFonts w:ascii="Arial Narrow" w:hAnsi="Arial Narrow"/>
                <w:sz w:val="20"/>
                <w:szCs w:val="20"/>
                <w:lang w:val="en-US"/>
              </w:rPr>
              <w:t xml:space="preserve"> are not suitable for radical radiotherapy given with curative intent.</w:t>
            </w:r>
          </w:p>
          <w:p w14:paraId="4E917FD3" w14:textId="77777777" w:rsidR="00822A1C" w:rsidRPr="009745B0" w:rsidRDefault="00822A1C" w:rsidP="004D79EF">
            <w:pPr>
              <w:widowControl w:val="0"/>
              <w:numPr>
                <w:ilvl w:val="0"/>
                <w:numId w:val="65"/>
              </w:numPr>
              <w:spacing w:before="60" w:after="60" w:line="240" w:lineRule="auto"/>
              <w:ind w:left="175" w:hanging="175"/>
              <w:jc w:val="left"/>
              <w:rPr>
                <w:rFonts w:ascii="Arial Narrow" w:hAnsi="Arial Narrow"/>
                <w:sz w:val="20"/>
                <w:szCs w:val="20"/>
                <w:lang w:val="en-US"/>
              </w:rPr>
            </w:pPr>
            <w:r w:rsidRPr="00822A1C">
              <w:rPr>
                <w:rFonts w:ascii="Arial Narrow" w:hAnsi="Arial Narrow"/>
                <w:sz w:val="20"/>
                <w:szCs w:val="20"/>
                <w:lang w:val="en-US"/>
              </w:rPr>
              <w:t>To assess the effects of radiotherapy dose on overall survival in patients with locally advanced or metastatic non-small cell lung cancer who are not suitable for radical RT given with curative intent.</w:t>
            </w:r>
          </w:p>
        </w:tc>
        <w:tc>
          <w:tcPr>
            <w:tcW w:w="1701" w:type="dxa"/>
            <w:tcBorders>
              <w:top w:val="single" w:sz="4" w:space="0" w:color="auto"/>
              <w:left w:val="single" w:sz="4" w:space="0" w:color="auto"/>
              <w:bottom w:val="single" w:sz="4" w:space="0" w:color="auto"/>
              <w:right w:val="single" w:sz="4" w:space="0" w:color="auto"/>
            </w:tcBorders>
          </w:tcPr>
          <w:p w14:paraId="3EE1AB60"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 xml:space="preserve">14 </w:t>
            </w:r>
            <w:r w:rsidR="000B324F">
              <w:rPr>
                <w:rFonts w:ascii="Arial Narrow" w:hAnsi="Arial Narrow"/>
                <w:sz w:val="20"/>
                <w:szCs w:val="20"/>
              </w:rPr>
              <w:t xml:space="preserve">RCTs </w:t>
            </w:r>
            <w:r w:rsidRPr="00822A1C">
              <w:rPr>
                <w:rFonts w:ascii="Arial Narrow" w:hAnsi="Arial Narrow"/>
                <w:sz w:val="20"/>
                <w:szCs w:val="20"/>
              </w:rPr>
              <w:t>included (3576 patients)</w:t>
            </w:r>
          </w:p>
          <w:p w14:paraId="72786707" w14:textId="77777777" w:rsidR="00822A1C" w:rsidRPr="00822A1C" w:rsidRDefault="00822A1C" w:rsidP="004D79EF">
            <w:pPr>
              <w:widowControl w:val="0"/>
              <w:spacing w:before="60" w:after="60" w:line="240" w:lineRule="auto"/>
              <w:jc w:val="left"/>
              <w:rPr>
                <w:rFonts w:ascii="Arial Narrow" w:hAnsi="Arial Narrow"/>
                <w:sz w:val="20"/>
                <w:szCs w:val="20"/>
              </w:rPr>
            </w:pPr>
          </w:p>
          <w:p w14:paraId="101559A1"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rPr>
              <w:t>Publication date range of included studies: 1985–2005</w:t>
            </w:r>
          </w:p>
        </w:tc>
        <w:tc>
          <w:tcPr>
            <w:tcW w:w="2977" w:type="dxa"/>
            <w:tcBorders>
              <w:top w:val="single" w:sz="4" w:space="0" w:color="auto"/>
              <w:left w:val="single" w:sz="4" w:space="0" w:color="auto"/>
              <w:bottom w:val="single" w:sz="4" w:space="0" w:color="auto"/>
              <w:right w:val="single" w:sz="4" w:space="0" w:color="auto"/>
            </w:tcBorders>
          </w:tcPr>
          <w:p w14:paraId="1E1C2020" w14:textId="77777777" w:rsidR="00822A1C" w:rsidRPr="00822A1C" w:rsidRDefault="00822A1C" w:rsidP="004D79EF">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Study inclusion criteria</w:t>
            </w:r>
          </w:p>
          <w:p w14:paraId="38092CAA" w14:textId="77777777" w:rsid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RCTs fully published in journals and those identified from other sources for which full details were available. Patients were those with histologically or cytologically confirmed (or a high clinical likelihood of) lung cancer of non-small cell type, locally advanced or metastatic and with thoracic symptoms.</w:t>
            </w:r>
          </w:p>
          <w:p w14:paraId="530342B5"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Radiotherapy interventions included external beam, megavoltage to the chest given with palliative intent with a total tumour dose of less than 60 Gy in 2 Gy fractions or its radiobiological equivalent. Studies must have compared </w:t>
            </w:r>
            <w:r w:rsidR="006E329E">
              <w:rPr>
                <w:rFonts w:ascii="Arial Narrow" w:hAnsi="Arial Narrow"/>
                <w:sz w:val="20"/>
                <w:szCs w:val="20"/>
                <w:lang w:val="en-US"/>
              </w:rPr>
              <w:t xml:space="preserve">at least two radiation therapy </w:t>
            </w:r>
            <w:r w:rsidRPr="00822A1C">
              <w:rPr>
                <w:rFonts w:ascii="Arial Narrow" w:hAnsi="Arial Narrow"/>
                <w:sz w:val="20"/>
                <w:szCs w:val="20"/>
                <w:lang w:val="en-US"/>
              </w:rPr>
              <w:t xml:space="preserve">dose/fractionation regimens. </w:t>
            </w:r>
          </w:p>
          <w:p w14:paraId="3F230880" w14:textId="77777777" w:rsidR="00822A1C" w:rsidRPr="00822A1C" w:rsidRDefault="00822A1C" w:rsidP="004D79EF">
            <w:pPr>
              <w:widowControl w:val="0"/>
              <w:spacing w:before="60" w:after="60" w:line="240" w:lineRule="auto"/>
              <w:jc w:val="left"/>
              <w:rPr>
                <w:rFonts w:ascii="Arial Narrow" w:hAnsi="Arial Narrow"/>
                <w:sz w:val="20"/>
                <w:szCs w:val="20"/>
                <w:lang w:val="en-US"/>
              </w:rPr>
            </w:pPr>
          </w:p>
          <w:p w14:paraId="3E09DBCF" w14:textId="77777777" w:rsidR="00822A1C" w:rsidRPr="00822A1C" w:rsidRDefault="00822A1C" w:rsidP="004D79EF">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Study exclusion criteria</w:t>
            </w:r>
          </w:p>
          <w:p w14:paraId="1B426EB7" w14:textId="77777777" w:rsidR="00822A1C" w:rsidRPr="00822A1C" w:rsidRDefault="00822A1C" w:rsidP="004D79EF">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Studies on radiotherapy with endobronchial brachytherapy and combination treatment with radiotherapy and chemotherapy were not considered. Studies comparing immediate versus delayed treatment were not considered. </w:t>
            </w:r>
          </w:p>
        </w:tc>
        <w:tc>
          <w:tcPr>
            <w:tcW w:w="2977" w:type="dxa"/>
            <w:tcBorders>
              <w:top w:val="single" w:sz="4" w:space="0" w:color="auto"/>
              <w:left w:val="single" w:sz="4" w:space="0" w:color="auto"/>
              <w:bottom w:val="single" w:sz="4" w:space="0" w:color="auto"/>
              <w:right w:val="single" w:sz="4" w:space="0" w:color="auto"/>
            </w:tcBorders>
          </w:tcPr>
          <w:p w14:paraId="5E9E2624" w14:textId="77777777" w:rsidR="00CD097E" w:rsidRPr="00822A1C" w:rsidRDefault="00CD097E" w:rsidP="00CA6595">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1-year overall survival in patients with WHO performance status 0–1)</w:t>
            </w:r>
          </w:p>
          <w:p w14:paraId="742A0DBD" w14:textId="5A48431E" w:rsidR="00CD097E" w:rsidRPr="00822A1C" w:rsidRDefault="00A4601B" w:rsidP="00CA6595">
            <w:pPr>
              <w:widowControl w:val="0"/>
              <w:spacing w:before="60" w:after="60" w:line="240" w:lineRule="auto"/>
              <w:jc w:val="left"/>
              <w:rPr>
                <w:rFonts w:ascii="Arial Narrow" w:hAnsi="Arial Narrow"/>
                <w:sz w:val="20"/>
                <w:szCs w:val="20"/>
                <w:lang w:val="en-US"/>
              </w:rPr>
            </w:pPr>
            <w:r>
              <w:rPr>
                <w:rFonts w:ascii="Arial Narrow" w:hAnsi="Arial Narrow"/>
                <w:sz w:val="20"/>
                <w:szCs w:val="20"/>
                <w:lang w:val="en-US"/>
              </w:rPr>
              <w:t>Less</w:t>
            </w:r>
            <w:r w:rsidR="007C1BF3">
              <w:rPr>
                <w:rFonts w:ascii="Arial Narrow" w:hAnsi="Arial Narrow"/>
                <w:sz w:val="20"/>
                <w:szCs w:val="20"/>
                <w:lang w:val="en-US"/>
              </w:rPr>
              <w:t xml:space="preserve"> fractions: mean 2</w:t>
            </w:r>
            <w:r>
              <w:rPr>
                <w:rFonts w:ascii="Arial Narrow" w:hAnsi="Arial Narrow"/>
                <w:sz w:val="20"/>
                <w:szCs w:val="20"/>
                <w:lang w:val="en-US"/>
              </w:rPr>
              <w:t>6</w:t>
            </w:r>
            <w:r w:rsidR="007C1BF3">
              <w:rPr>
                <w:rFonts w:ascii="Arial Narrow" w:hAnsi="Arial Narrow"/>
                <w:sz w:val="20"/>
                <w:szCs w:val="20"/>
                <w:lang w:val="en-US"/>
              </w:rPr>
              <w:t>% (9</w:t>
            </w:r>
            <w:r w:rsidR="007E3D66">
              <w:rPr>
                <w:rFonts w:ascii="Arial Narrow" w:hAnsi="Arial Narrow"/>
                <w:sz w:val="20"/>
                <w:szCs w:val="20"/>
                <w:lang w:val="en-US"/>
              </w:rPr>
              <w:t>–</w:t>
            </w:r>
            <w:r w:rsidR="007C1BF3">
              <w:rPr>
                <w:rFonts w:ascii="Arial Narrow" w:hAnsi="Arial Narrow"/>
                <w:sz w:val="20"/>
                <w:szCs w:val="20"/>
                <w:lang w:val="en-US"/>
              </w:rPr>
              <w:t>46</w:t>
            </w:r>
            <w:r w:rsidR="00CD097E" w:rsidRPr="00822A1C">
              <w:rPr>
                <w:rFonts w:ascii="Arial Narrow" w:hAnsi="Arial Narrow"/>
                <w:sz w:val="20"/>
                <w:szCs w:val="20"/>
                <w:lang w:val="en-US"/>
              </w:rPr>
              <w:t>%)</w:t>
            </w:r>
          </w:p>
          <w:p w14:paraId="0C5E03A0" w14:textId="3D0FF374" w:rsidR="00CD097E" w:rsidRPr="00822A1C" w:rsidRDefault="00CD097E"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More </w:t>
            </w:r>
            <w:r w:rsidR="007C1BF3">
              <w:rPr>
                <w:rFonts w:ascii="Arial Narrow" w:hAnsi="Arial Narrow"/>
                <w:sz w:val="20"/>
                <w:szCs w:val="20"/>
                <w:lang w:val="en-US"/>
              </w:rPr>
              <w:t>fractions: mean</w:t>
            </w:r>
            <w:r w:rsidRPr="00822A1C">
              <w:rPr>
                <w:rFonts w:ascii="Arial Narrow" w:hAnsi="Arial Narrow"/>
                <w:sz w:val="20"/>
                <w:szCs w:val="20"/>
                <w:lang w:val="en-US"/>
              </w:rPr>
              <w:t xml:space="preserve"> 33% (11</w:t>
            </w:r>
            <w:r w:rsidR="007E3D66">
              <w:rPr>
                <w:rFonts w:ascii="Arial Narrow" w:hAnsi="Arial Narrow"/>
                <w:sz w:val="20"/>
                <w:szCs w:val="20"/>
                <w:lang w:val="en-US"/>
              </w:rPr>
              <w:t>–</w:t>
            </w:r>
            <w:r w:rsidRPr="00822A1C">
              <w:rPr>
                <w:rFonts w:ascii="Arial Narrow" w:hAnsi="Arial Narrow"/>
                <w:sz w:val="20"/>
                <w:szCs w:val="20"/>
                <w:lang w:val="en-US"/>
              </w:rPr>
              <w:t>46%)</w:t>
            </w:r>
          </w:p>
          <w:p w14:paraId="0DBDBD43" w14:textId="1CD25F98" w:rsidR="001E51C8" w:rsidRDefault="00A4601B" w:rsidP="00CA6595">
            <w:pPr>
              <w:widowControl w:val="0"/>
              <w:spacing w:before="60" w:after="60" w:line="240" w:lineRule="auto"/>
              <w:jc w:val="left"/>
              <w:rPr>
                <w:rFonts w:ascii="Arial Narrow" w:hAnsi="Arial Narrow"/>
                <w:sz w:val="20"/>
                <w:szCs w:val="20"/>
                <w:lang w:val="en-US"/>
              </w:rPr>
            </w:pPr>
            <w:r>
              <w:rPr>
                <w:rFonts w:ascii="Arial Narrow" w:hAnsi="Arial Narrow"/>
                <w:sz w:val="20"/>
                <w:szCs w:val="20"/>
                <w:lang w:val="en-US"/>
              </w:rPr>
              <w:t>No summary estimate</w:t>
            </w:r>
          </w:p>
          <w:p w14:paraId="4312664B" w14:textId="77777777" w:rsidR="00CD097E" w:rsidRPr="00822A1C" w:rsidRDefault="00CD097E"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[1081 patients, 8 studies]</w:t>
            </w:r>
          </w:p>
          <w:p w14:paraId="33EB1281" w14:textId="77777777" w:rsidR="00CD097E" w:rsidRPr="00822A1C" w:rsidRDefault="00CD097E" w:rsidP="00CA6595">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1-year overall survival in patients with WHO performance status 2–4)</w:t>
            </w:r>
          </w:p>
          <w:p w14:paraId="5C31AEBC" w14:textId="7583B85F" w:rsidR="00CD097E" w:rsidRPr="00822A1C" w:rsidRDefault="00CD097E"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Less </w:t>
            </w:r>
            <w:r w:rsidR="00A4601B">
              <w:rPr>
                <w:rFonts w:ascii="Arial Narrow" w:hAnsi="Arial Narrow"/>
                <w:sz w:val="20"/>
                <w:szCs w:val="20"/>
                <w:lang w:val="en-US"/>
              </w:rPr>
              <w:t>fractions: mean</w:t>
            </w:r>
            <w:r w:rsidRPr="00822A1C">
              <w:rPr>
                <w:rFonts w:ascii="Arial Narrow" w:hAnsi="Arial Narrow"/>
                <w:sz w:val="20"/>
                <w:szCs w:val="20"/>
                <w:lang w:val="en-US"/>
              </w:rPr>
              <w:t xml:space="preserve"> 1</w:t>
            </w:r>
            <w:r w:rsidR="00A4601B">
              <w:rPr>
                <w:rFonts w:ascii="Arial Narrow" w:hAnsi="Arial Narrow"/>
                <w:sz w:val="20"/>
                <w:szCs w:val="20"/>
                <w:lang w:val="en-US"/>
              </w:rPr>
              <w:t>5</w:t>
            </w:r>
            <w:r w:rsidRPr="00822A1C">
              <w:rPr>
                <w:rFonts w:ascii="Arial Narrow" w:hAnsi="Arial Narrow"/>
                <w:sz w:val="20"/>
                <w:szCs w:val="20"/>
                <w:lang w:val="en-US"/>
              </w:rPr>
              <w:t>% (1</w:t>
            </w:r>
            <w:r w:rsidR="007E3D66">
              <w:rPr>
                <w:rFonts w:ascii="Arial Narrow" w:hAnsi="Arial Narrow"/>
                <w:sz w:val="20"/>
                <w:szCs w:val="20"/>
                <w:lang w:val="en-US"/>
              </w:rPr>
              <w:t>–</w:t>
            </w:r>
            <w:r w:rsidR="00A4601B">
              <w:rPr>
                <w:rFonts w:ascii="Arial Narrow" w:hAnsi="Arial Narrow"/>
                <w:sz w:val="20"/>
                <w:szCs w:val="20"/>
                <w:lang w:val="en-US"/>
              </w:rPr>
              <w:t>30</w:t>
            </w:r>
            <w:r w:rsidRPr="00822A1C">
              <w:rPr>
                <w:rFonts w:ascii="Arial Narrow" w:hAnsi="Arial Narrow"/>
                <w:sz w:val="20"/>
                <w:szCs w:val="20"/>
                <w:lang w:val="en-US"/>
              </w:rPr>
              <w:t>%)</w:t>
            </w:r>
          </w:p>
          <w:p w14:paraId="79095442" w14:textId="49864A3F" w:rsidR="00CD097E" w:rsidRPr="00822A1C" w:rsidRDefault="00CD097E"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More </w:t>
            </w:r>
            <w:r w:rsidR="00A4601B">
              <w:rPr>
                <w:rFonts w:ascii="Arial Narrow" w:hAnsi="Arial Narrow"/>
                <w:sz w:val="20"/>
                <w:szCs w:val="20"/>
                <w:lang w:val="en-US"/>
              </w:rPr>
              <w:t>fractions: mean</w:t>
            </w:r>
            <w:r w:rsidRPr="00822A1C">
              <w:rPr>
                <w:rFonts w:ascii="Arial Narrow" w:hAnsi="Arial Narrow"/>
                <w:sz w:val="20"/>
                <w:szCs w:val="20"/>
                <w:lang w:val="en-US"/>
              </w:rPr>
              <w:t xml:space="preserve"> 1</w:t>
            </w:r>
            <w:r w:rsidR="00A4601B">
              <w:rPr>
                <w:rFonts w:ascii="Arial Narrow" w:hAnsi="Arial Narrow"/>
                <w:sz w:val="20"/>
                <w:szCs w:val="20"/>
                <w:lang w:val="en-US"/>
              </w:rPr>
              <w:t>8</w:t>
            </w:r>
            <w:r w:rsidRPr="00822A1C">
              <w:rPr>
                <w:rFonts w:ascii="Arial Narrow" w:hAnsi="Arial Narrow"/>
                <w:sz w:val="20"/>
                <w:szCs w:val="20"/>
                <w:lang w:val="en-US"/>
              </w:rPr>
              <w:t>% (9</w:t>
            </w:r>
            <w:r w:rsidR="007E3D66">
              <w:rPr>
                <w:rFonts w:ascii="Arial Narrow" w:hAnsi="Arial Narrow"/>
                <w:sz w:val="20"/>
                <w:szCs w:val="20"/>
                <w:lang w:val="en-US"/>
              </w:rPr>
              <w:t>–</w:t>
            </w:r>
            <w:r w:rsidRPr="00822A1C">
              <w:rPr>
                <w:rFonts w:ascii="Arial Narrow" w:hAnsi="Arial Narrow"/>
                <w:sz w:val="20"/>
                <w:szCs w:val="20"/>
                <w:lang w:val="en-US"/>
              </w:rPr>
              <w:t>2</w:t>
            </w:r>
            <w:r w:rsidR="00A4601B">
              <w:rPr>
                <w:rFonts w:ascii="Arial Narrow" w:hAnsi="Arial Narrow"/>
                <w:sz w:val="20"/>
                <w:szCs w:val="20"/>
                <w:lang w:val="en-US"/>
              </w:rPr>
              <w:t>9</w:t>
            </w:r>
            <w:r w:rsidRPr="00822A1C">
              <w:rPr>
                <w:rFonts w:ascii="Arial Narrow" w:hAnsi="Arial Narrow"/>
                <w:sz w:val="20"/>
                <w:szCs w:val="20"/>
                <w:lang w:val="en-US"/>
              </w:rPr>
              <w:t>%)</w:t>
            </w:r>
          </w:p>
          <w:p w14:paraId="75F272BE" w14:textId="5555987E" w:rsidR="001E51C8" w:rsidRDefault="001E51C8" w:rsidP="00CA6595">
            <w:pPr>
              <w:widowControl w:val="0"/>
              <w:spacing w:before="60" w:after="60" w:line="240" w:lineRule="auto"/>
              <w:jc w:val="left"/>
              <w:rPr>
                <w:rFonts w:ascii="Arial Narrow" w:hAnsi="Arial Narrow"/>
                <w:sz w:val="20"/>
                <w:szCs w:val="20"/>
                <w:lang w:val="en-US"/>
              </w:rPr>
            </w:pPr>
            <w:r>
              <w:rPr>
                <w:rFonts w:ascii="Arial Narrow" w:hAnsi="Arial Narrow"/>
                <w:sz w:val="20"/>
                <w:szCs w:val="20"/>
                <w:lang w:val="en-US"/>
              </w:rPr>
              <w:t>RR (95%CI): 0.96 (0.91</w:t>
            </w:r>
            <w:r w:rsidR="007E3D66">
              <w:rPr>
                <w:rFonts w:ascii="Arial Narrow" w:hAnsi="Arial Narrow"/>
                <w:sz w:val="20"/>
                <w:szCs w:val="20"/>
                <w:lang w:val="en-US"/>
              </w:rPr>
              <w:t>–</w:t>
            </w:r>
            <w:r w:rsidR="00CD097E" w:rsidRPr="00822A1C">
              <w:rPr>
                <w:rFonts w:ascii="Arial Narrow" w:hAnsi="Arial Narrow"/>
                <w:sz w:val="20"/>
                <w:szCs w:val="20"/>
                <w:lang w:val="en-US"/>
              </w:rPr>
              <w:t>1.02)</w:t>
            </w:r>
          </w:p>
          <w:p w14:paraId="7128CC25" w14:textId="77777777" w:rsidR="00CD097E" w:rsidRPr="00822A1C" w:rsidRDefault="00A4601B" w:rsidP="00CA6595">
            <w:pPr>
              <w:widowControl w:val="0"/>
              <w:spacing w:before="60" w:after="60" w:line="240" w:lineRule="auto"/>
              <w:jc w:val="left"/>
              <w:rPr>
                <w:rFonts w:ascii="Arial Narrow" w:hAnsi="Arial Narrow"/>
                <w:sz w:val="20"/>
                <w:szCs w:val="20"/>
                <w:lang w:val="en-US"/>
              </w:rPr>
            </w:pPr>
            <w:r>
              <w:rPr>
                <w:rFonts w:ascii="Arial Narrow" w:hAnsi="Arial Narrow"/>
                <w:sz w:val="20"/>
                <w:szCs w:val="20"/>
                <w:lang w:val="en-US"/>
              </w:rPr>
              <w:t>[911 patients, 7 studies]</w:t>
            </w:r>
          </w:p>
          <w:p w14:paraId="452CA1A6" w14:textId="77777777" w:rsidR="00822A1C" w:rsidRPr="00822A1C" w:rsidRDefault="00822A1C" w:rsidP="00CA6595">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Oesophagitis (grade 3 to 4)</w:t>
            </w:r>
          </w:p>
          <w:p w14:paraId="5C424108" w14:textId="46C52998" w:rsidR="00822A1C" w:rsidRPr="00822A1C" w:rsidRDefault="00783E03" w:rsidP="00CA6595">
            <w:pPr>
              <w:widowControl w:val="0"/>
              <w:spacing w:before="60" w:after="60" w:line="240" w:lineRule="auto"/>
              <w:jc w:val="left"/>
              <w:rPr>
                <w:rFonts w:ascii="Arial Narrow" w:hAnsi="Arial Narrow"/>
                <w:sz w:val="20"/>
                <w:szCs w:val="20"/>
                <w:lang w:val="en-US"/>
              </w:rPr>
            </w:pPr>
            <w:proofErr w:type="gramStart"/>
            <w:r>
              <w:rPr>
                <w:rFonts w:ascii="Arial Narrow" w:hAnsi="Arial Narrow"/>
                <w:sz w:val="20"/>
                <w:szCs w:val="20"/>
                <w:lang w:val="en-US"/>
              </w:rPr>
              <w:t>Less</w:t>
            </w:r>
            <w:proofErr w:type="gramEnd"/>
            <w:r>
              <w:rPr>
                <w:rFonts w:ascii="Arial Narrow" w:hAnsi="Arial Narrow"/>
                <w:sz w:val="20"/>
                <w:szCs w:val="20"/>
                <w:lang w:val="en-US"/>
              </w:rPr>
              <w:t xml:space="preserve"> fractions:</w:t>
            </w:r>
            <w:r w:rsidR="00822A1C" w:rsidRPr="00822A1C">
              <w:rPr>
                <w:rFonts w:ascii="Arial Narrow" w:hAnsi="Arial Narrow"/>
                <w:sz w:val="20"/>
                <w:szCs w:val="20"/>
                <w:lang w:val="en-US"/>
              </w:rPr>
              <w:t xml:space="preserve"> 22% (</w:t>
            </w:r>
            <w:r w:rsidR="001E51C8">
              <w:rPr>
                <w:rFonts w:ascii="Arial Narrow" w:hAnsi="Arial Narrow"/>
                <w:sz w:val="20"/>
                <w:szCs w:val="20"/>
                <w:lang w:val="en-US"/>
              </w:rPr>
              <w:t>0</w:t>
            </w:r>
            <w:r w:rsidR="007E3D66">
              <w:rPr>
                <w:rFonts w:ascii="Arial Narrow" w:hAnsi="Arial Narrow"/>
                <w:sz w:val="20"/>
                <w:szCs w:val="20"/>
                <w:lang w:val="en-US"/>
              </w:rPr>
              <w:t>–</w:t>
            </w:r>
            <w:r w:rsidR="00822A1C" w:rsidRPr="00822A1C">
              <w:rPr>
                <w:rFonts w:ascii="Arial Narrow" w:hAnsi="Arial Narrow"/>
                <w:sz w:val="20"/>
                <w:szCs w:val="20"/>
                <w:lang w:val="en-US"/>
              </w:rPr>
              <w:t>50%)</w:t>
            </w:r>
          </w:p>
          <w:p w14:paraId="74C5C70A" w14:textId="75C83856" w:rsidR="00822A1C" w:rsidRPr="00822A1C" w:rsidRDefault="00822A1C"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More fractionated radiot</w:t>
            </w:r>
            <w:r w:rsidR="001E51C8">
              <w:rPr>
                <w:rFonts w:ascii="Arial Narrow" w:hAnsi="Arial Narrow"/>
                <w:sz w:val="20"/>
                <w:szCs w:val="20"/>
                <w:lang w:val="en-US"/>
              </w:rPr>
              <w:t>herapy - mean (range): 27.5% (0</w:t>
            </w:r>
            <w:r w:rsidR="007E3D66">
              <w:rPr>
                <w:rFonts w:ascii="Arial Narrow" w:hAnsi="Arial Narrow"/>
                <w:sz w:val="20"/>
                <w:szCs w:val="20"/>
                <w:lang w:val="en-US"/>
              </w:rPr>
              <w:t>–</w:t>
            </w:r>
            <w:r w:rsidRPr="00822A1C">
              <w:rPr>
                <w:rFonts w:ascii="Arial Narrow" w:hAnsi="Arial Narrow"/>
                <w:sz w:val="20"/>
                <w:szCs w:val="20"/>
                <w:lang w:val="en-US"/>
              </w:rPr>
              <w:t>56%)</w:t>
            </w:r>
          </w:p>
          <w:p w14:paraId="6271C37E" w14:textId="0D28CAD5" w:rsidR="001E51C8" w:rsidRDefault="00822A1C"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RR (95%CI): 1.23 (0.81 to 1.87)</w:t>
            </w:r>
          </w:p>
          <w:p w14:paraId="4165922A" w14:textId="77777777" w:rsidR="00A4601B" w:rsidRPr="00822A1C" w:rsidRDefault="00A4601B"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[1301 patients, 8 studies]</w:t>
            </w:r>
          </w:p>
          <w:p w14:paraId="70A5237B" w14:textId="77777777" w:rsidR="00127D0A" w:rsidRPr="00822A1C" w:rsidRDefault="00127D0A" w:rsidP="00CA6595">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Radiation myelopathy (any grade)</w:t>
            </w:r>
          </w:p>
          <w:p w14:paraId="0A4F17CE" w14:textId="5E647A5A" w:rsidR="00127D0A" w:rsidRPr="00822A1C" w:rsidRDefault="00A4601B" w:rsidP="00CA6595">
            <w:pPr>
              <w:widowControl w:val="0"/>
              <w:spacing w:before="60" w:after="60" w:line="240" w:lineRule="auto"/>
              <w:jc w:val="left"/>
              <w:rPr>
                <w:rFonts w:ascii="Arial Narrow" w:hAnsi="Arial Narrow"/>
                <w:sz w:val="20"/>
                <w:szCs w:val="20"/>
                <w:lang w:val="en-US"/>
              </w:rPr>
            </w:pPr>
            <w:r>
              <w:rPr>
                <w:rFonts w:ascii="Arial Narrow" w:hAnsi="Arial Narrow"/>
                <w:sz w:val="20"/>
                <w:szCs w:val="20"/>
                <w:lang w:val="en-US"/>
              </w:rPr>
              <w:t xml:space="preserve">Less fractions: mean </w:t>
            </w:r>
            <w:r w:rsidR="00127D0A" w:rsidRPr="00822A1C">
              <w:rPr>
                <w:rFonts w:ascii="Arial Narrow" w:hAnsi="Arial Narrow"/>
                <w:sz w:val="20"/>
                <w:szCs w:val="20"/>
                <w:lang w:val="en-US"/>
              </w:rPr>
              <w:t>0.3% (0</w:t>
            </w:r>
            <w:r w:rsidR="007E3D66">
              <w:rPr>
                <w:rFonts w:ascii="Arial Narrow" w:hAnsi="Arial Narrow"/>
                <w:sz w:val="20"/>
                <w:szCs w:val="20"/>
                <w:lang w:val="en-US"/>
              </w:rPr>
              <w:t>–</w:t>
            </w:r>
            <w:r w:rsidR="00127D0A" w:rsidRPr="00822A1C">
              <w:rPr>
                <w:rFonts w:ascii="Arial Narrow" w:hAnsi="Arial Narrow"/>
                <w:sz w:val="20"/>
                <w:szCs w:val="20"/>
                <w:lang w:val="en-US"/>
              </w:rPr>
              <w:t>1.4%)</w:t>
            </w:r>
          </w:p>
          <w:p w14:paraId="1750DF87" w14:textId="307D1E23" w:rsidR="00127D0A" w:rsidRPr="00822A1C" w:rsidRDefault="00127D0A"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More </w:t>
            </w:r>
            <w:r w:rsidR="00A4601B">
              <w:rPr>
                <w:rFonts w:ascii="Arial Narrow" w:hAnsi="Arial Narrow"/>
                <w:sz w:val="20"/>
                <w:szCs w:val="20"/>
                <w:lang w:val="en-US"/>
              </w:rPr>
              <w:t xml:space="preserve">fractions: </w:t>
            </w:r>
            <w:r w:rsidRPr="00822A1C">
              <w:rPr>
                <w:rFonts w:ascii="Arial Narrow" w:hAnsi="Arial Narrow"/>
                <w:sz w:val="20"/>
                <w:szCs w:val="20"/>
                <w:lang w:val="en-US"/>
              </w:rPr>
              <w:t>m</w:t>
            </w:r>
            <w:r w:rsidR="001E51C8">
              <w:rPr>
                <w:rFonts w:ascii="Arial Narrow" w:hAnsi="Arial Narrow"/>
                <w:sz w:val="20"/>
                <w:szCs w:val="20"/>
                <w:lang w:val="en-US"/>
              </w:rPr>
              <w:t>ean 0.4% (0</w:t>
            </w:r>
            <w:r w:rsidR="007E3D66">
              <w:rPr>
                <w:rFonts w:ascii="Arial Narrow" w:hAnsi="Arial Narrow"/>
                <w:sz w:val="20"/>
                <w:szCs w:val="20"/>
                <w:lang w:val="en-US"/>
              </w:rPr>
              <w:t>–</w:t>
            </w:r>
            <w:r w:rsidRPr="00822A1C">
              <w:rPr>
                <w:rFonts w:ascii="Arial Narrow" w:hAnsi="Arial Narrow"/>
                <w:sz w:val="20"/>
                <w:szCs w:val="20"/>
                <w:lang w:val="en-US"/>
              </w:rPr>
              <w:t>1.6%)</w:t>
            </w:r>
          </w:p>
          <w:p w14:paraId="149BFF89" w14:textId="70F9FC95" w:rsidR="001E51C8" w:rsidRDefault="00A4601B" w:rsidP="00CA6595">
            <w:pPr>
              <w:widowControl w:val="0"/>
              <w:spacing w:before="60" w:after="60" w:line="240" w:lineRule="auto"/>
              <w:jc w:val="left"/>
              <w:rPr>
                <w:rFonts w:ascii="Arial Narrow" w:hAnsi="Arial Narrow"/>
                <w:sz w:val="20"/>
                <w:szCs w:val="20"/>
                <w:lang w:val="en-US"/>
              </w:rPr>
            </w:pPr>
            <w:r>
              <w:rPr>
                <w:rFonts w:ascii="Arial Narrow" w:hAnsi="Arial Narrow"/>
                <w:sz w:val="20"/>
                <w:szCs w:val="20"/>
                <w:lang w:val="en-US"/>
              </w:rPr>
              <w:t>RR (95%CI): 1.29 (0.37 to 4.51)</w:t>
            </w:r>
          </w:p>
          <w:p w14:paraId="3FA6D4CE" w14:textId="77777777" w:rsidR="00127D0A" w:rsidRPr="00822A1C" w:rsidRDefault="00127D0A"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[2663 patients, 11 studies]</w:t>
            </w:r>
          </w:p>
          <w:p w14:paraId="7E3EB8DA" w14:textId="77777777" w:rsidR="00822A1C" w:rsidRPr="00822A1C" w:rsidRDefault="00822A1C" w:rsidP="00CA6595">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u w:val="single"/>
                <w:lang w:val="en-US"/>
              </w:rPr>
              <w:t>Radiation pneumonitis (any grade)</w:t>
            </w:r>
          </w:p>
          <w:p w14:paraId="4746711D" w14:textId="71B615A1" w:rsidR="00822A1C" w:rsidRPr="00822A1C" w:rsidRDefault="00822A1C"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Less </w:t>
            </w:r>
            <w:r w:rsidR="001E51C8">
              <w:rPr>
                <w:rFonts w:ascii="Arial Narrow" w:hAnsi="Arial Narrow"/>
                <w:sz w:val="20"/>
                <w:szCs w:val="20"/>
                <w:lang w:val="en-US"/>
              </w:rPr>
              <w:t>fractions: mean 3.9% (3</w:t>
            </w:r>
            <w:r w:rsidR="007E3D66">
              <w:rPr>
                <w:rFonts w:ascii="Arial Narrow" w:hAnsi="Arial Narrow"/>
                <w:sz w:val="20"/>
                <w:szCs w:val="20"/>
                <w:lang w:val="en-US"/>
              </w:rPr>
              <w:t>–</w:t>
            </w:r>
            <w:r w:rsidRPr="00822A1C">
              <w:rPr>
                <w:rFonts w:ascii="Arial Narrow" w:hAnsi="Arial Narrow"/>
                <w:sz w:val="20"/>
                <w:szCs w:val="20"/>
                <w:lang w:val="en-US"/>
              </w:rPr>
              <w:t>6%)</w:t>
            </w:r>
          </w:p>
          <w:p w14:paraId="746E515B" w14:textId="5865F14B" w:rsidR="00822A1C" w:rsidRPr="00822A1C" w:rsidRDefault="00822A1C" w:rsidP="00CA6595">
            <w:pPr>
              <w:widowControl w:val="0"/>
              <w:spacing w:before="60" w:after="60" w:line="240" w:lineRule="auto"/>
              <w:jc w:val="left"/>
              <w:rPr>
                <w:rFonts w:ascii="Arial Narrow" w:hAnsi="Arial Narrow"/>
                <w:sz w:val="20"/>
                <w:szCs w:val="20"/>
                <w:lang w:val="en-US"/>
              </w:rPr>
            </w:pPr>
            <w:r w:rsidRPr="00822A1C">
              <w:rPr>
                <w:rFonts w:ascii="Arial Narrow" w:hAnsi="Arial Narrow"/>
                <w:sz w:val="20"/>
                <w:szCs w:val="20"/>
                <w:lang w:val="en-US"/>
              </w:rPr>
              <w:t xml:space="preserve">More </w:t>
            </w:r>
            <w:r w:rsidR="001E51C8">
              <w:rPr>
                <w:rFonts w:ascii="Arial Narrow" w:hAnsi="Arial Narrow"/>
                <w:sz w:val="20"/>
                <w:szCs w:val="20"/>
                <w:lang w:val="en-US"/>
              </w:rPr>
              <w:t>fractions: mean 2.4% (1.6</w:t>
            </w:r>
            <w:r w:rsidR="007E3D66">
              <w:rPr>
                <w:rFonts w:ascii="Arial Narrow" w:hAnsi="Arial Narrow"/>
                <w:sz w:val="20"/>
                <w:szCs w:val="20"/>
                <w:lang w:val="en-US"/>
              </w:rPr>
              <w:t>–</w:t>
            </w:r>
            <w:r w:rsidR="001E51C8">
              <w:rPr>
                <w:rFonts w:ascii="Arial Narrow" w:hAnsi="Arial Narrow"/>
                <w:sz w:val="20"/>
                <w:szCs w:val="20"/>
                <w:lang w:val="en-US"/>
              </w:rPr>
              <w:t>4</w:t>
            </w:r>
            <w:r w:rsidRPr="00822A1C">
              <w:rPr>
                <w:rFonts w:ascii="Arial Narrow" w:hAnsi="Arial Narrow"/>
                <w:sz w:val="20"/>
                <w:szCs w:val="20"/>
                <w:lang w:val="en-US"/>
              </w:rPr>
              <w:t>%)</w:t>
            </w:r>
          </w:p>
          <w:p w14:paraId="4733F882" w14:textId="03288F87" w:rsidR="00961510" w:rsidRDefault="00961510" w:rsidP="00CA6595">
            <w:pPr>
              <w:widowControl w:val="0"/>
              <w:spacing w:before="60" w:after="60" w:line="240" w:lineRule="auto"/>
              <w:jc w:val="left"/>
              <w:rPr>
                <w:rFonts w:ascii="Arial Narrow" w:hAnsi="Arial Narrow"/>
                <w:sz w:val="20"/>
                <w:szCs w:val="20"/>
                <w:lang w:val="en-US"/>
              </w:rPr>
            </w:pPr>
            <w:r>
              <w:rPr>
                <w:rFonts w:ascii="Arial Narrow" w:hAnsi="Arial Narrow"/>
                <w:sz w:val="20"/>
                <w:szCs w:val="20"/>
                <w:lang w:val="en-US"/>
              </w:rPr>
              <w:lastRenderedPageBreak/>
              <w:t>RR (95%CI): 0.6 (0.2</w:t>
            </w:r>
            <w:r w:rsidR="007E3D66">
              <w:rPr>
                <w:rFonts w:ascii="Arial Narrow" w:hAnsi="Arial Narrow"/>
                <w:sz w:val="20"/>
                <w:szCs w:val="20"/>
                <w:lang w:val="en-US"/>
              </w:rPr>
              <w:t>–</w:t>
            </w:r>
            <w:r>
              <w:rPr>
                <w:rFonts w:ascii="Arial Narrow" w:hAnsi="Arial Narrow"/>
                <w:sz w:val="20"/>
                <w:szCs w:val="20"/>
                <w:lang w:val="en-US"/>
              </w:rPr>
              <w:t>1.7</w:t>
            </w:r>
            <w:r w:rsidRPr="00822A1C">
              <w:rPr>
                <w:rFonts w:ascii="Arial Narrow" w:hAnsi="Arial Narrow"/>
                <w:sz w:val="20"/>
                <w:szCs w:val="20"/>
                <w:lang w:val="en-US"/>
              </w:rPr>
              <w:t>)</w:t>
            </w:r>
          </w:p>
          <w:p w14:paraId="2FD17529" w14:textId="77777777" w:rsidR="00822A1C" w:rsidRPr="00822A1C" w:rsidRDefault="00822A1C" w:rsidP="00CA6595">
            <w:pPr>
              <w:widowControl w:val="0"/>
              <w:spacing w:before="60" w:after="60" w:line="240" w:lineRule="auto"/>
              <w:jc w:val="left"/>
              <w:rPr>
                <w:rFonts w:ascii="Arial Narrow" w:hAnsi="Arial Narrow"/>
                <w:sz w:val="20"/>
                <w:szCs w:val="20"/>
                <w:u w:val="single"/>
                <w:lang w:val="en-US"/>
              </w:rPr>
            </w:pPr>
            <w:r w:rsidRPr="00822A1C">
              <w:rPr>
                <w:rFonts w:ascii="Arial Narrow" w:hAnsi="Arial Narrow"/>
                <w:sz w:val="20"/>
                <w:szCs w:val="20"/>
                <w:lang w:val="en-US"/>
              </w:rPr>
              <w:t>[533 patients, 3 studies]</w:t>
            </w:r>
          </w:p>
        </w:tc>
        <w:tc>
          <w:tcPr>
            <w:tcW w:w="2693" w:type="dxa"/>
            <w:tcBorders>
              <w:top w:val="single" w:sz="4" w:space="0" w:color="auto"/>
              <w:left w:val="single" w:sz="4" w:space="0" w:color="auto"/>
              <w:bottom w:val="single" w:sz="4" w:space="0" w:color="auto"/>
              <w:right w:val="single" w:sz="4" w:space="0" w:color="auto"/>
            </w:tcBorders>
          </w:tcPr>
          <w:p w14:paraId="118868E2" w14:textId="77777777" w:rsidR="00822A1C" w:rsidRPr="00822A1C" w:rsidRDefault="00822A1C" w:rsidP="004D79EF">
            <w:pPr>
              <w:widowControl w:val="0"/>
              <w:spacing w:before="60" w:after="60" w:line="240" w:lineRule="auto"/>
              <w:jc w:val="left"/>
              <w:rPr>
                <w:rFonts w:ascii="Arial Narrow" w:hAnsi="Arial Narrow"/>
                <w:sz w:val="20"/>
                <w:szCs w:val="20"/>
              </w:rPr>
            </w:pPr>
            <w:r w:rsidRPr="00822A1C">
              <w:rPr>
                <w:rFonts w:ascii="Arial Narrow" w:hAnsi="Arial Narrow"/>
                <w:sz w:val="20"/>
                <w:szCs w:val="20"/>
                <w:lang w:val="en"/>
              </w:rPr>
              <w:lastRenderedPageBreak/>
              <w:t>The authors reported that their review showed that for most patients, a short course of radiotherapy with only one or two visits, improves common symptoms as effectively as longer courses, without more side effects. They state that there is no strong evidence to support the view that a longer course of radiotherapy may give a better chance of living for one or two years, but it does result in more immediate side effects, especially sore swallowing.</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92C686A" w14:textId="77777777" w:rsidR="00D36D46" w:rsidRPr="00D36D46" w:rsidRDefault="00D36D46" w:rsidP="004D79EF">
            <w:pPr>
              <w:widowControl w:val="0"/>
              <w:spacing w:before="60" w:after="60" w:line="240" w:lineRule="auto"/>
              <w:jc w:val="left"/>
              <w:rPr>
                <w:rFonts w:ascii="Arial Narrow" w:hAnsi="Arial Narrow"/>
                <w:b/>
                <w:sz w:val="20"/>
                <w:szCs w:val="20"/>
              </w:rPr>
            </w:pPr>
            <w:r w:rsidRPr="00D36D46">
              <w:rPr>
                <w:rFonts w:ascii="Arial Narrow" w:hAnsi="Arial Narrow"/>
                <w:b/>
                <w:sz w:val="20"/>
                <w:szCs w:val="20"/>
              </w:rPr>
              <w:t>HIGH QUALITY</w:t>
            </w:r>
          </w:p>
          <w:p w14:paraId="77AE7AD4" w14:textId="77777777" w:rsidR="00C53465"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1. </w:t>
            </w:r>
            <w:r w:rsidRPr="0076456C">
              <w:rPr>
                <w:rFonts w:ascii="Arial Narrow" w:hAnsi="Arial Narrow"/>
                <w:sz w:val="20"/>
                <w:szCs w:val="20"/>
              </w:rPr>
              <w:t>Was</w:t>
            </w:r>
            <w:r>
              <w:rPr>
                <w:rFonts w:ascii="Arial Narrow" w:hAnsi="Arial Narrow"/>
                <w:sz w:val="20"/>
                <w:szCs w:val="20"/>
              </w:rPr>
              <w:t xml:space="preserve"> an ‘a priori’ design provided? </w:t>
            </w:r>
            <w:r w:rsidR="00D36D46" w:rsidRPr="00D36D46">
              <w:rPr>
                <w:rFonts w:ascii="Arial Narrow" w:hAnsi="Arial Narrow"/>
                <w:b/>
                <w:sz w:val="20"/>
                <w:szCs w:val="20"/>
              </w:rPr>
              <w:t>YES</w:t>
            </w:r>
          </w:p>
          <w:p w14:paraId="7BAB0C6D" w14:textId="77777777" w:rsidR="00C53465"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2. Duplicate study selection and data </w:t>
            </w:r>
            <w:r w:rsidRPr="0076456C">
              <w:rPr>
                <w:rFonts w:ascii="Arial Narrow" w:hAnsi="Arial Narrow"/>
                <w:sz w:val="20"/>
                <w:szCs w:val="20"/>
              </w:rPr>
              <w:t>extraction?</w:t>
            </w:r>
            <w:r>
              <w:rPr>
                <w:rFonts w:ascii="Arial Narrow" w:hAnsi="Arial Narrow"/>
                <w:sz w:val="20"/>
                <w:szCs w:val="20"/>
              </w:rPr>
              <w:t xml:space="preserve"> </w:t>
            </w:r>
            <w:r w:rsidR="0021781E" w:rsidRPr="0021781E">
              <w:rPr>
                <w:rFonts w:ascii="Arial Narrow" w:hAnsi="Arial Narrow"/>
                <w:b/>
                <w:sz w:val="20"/>
                <w:szCs w:val="20"/>
              </w:rPr>
              <w:t>YES</w:t>
            </w:r>
          </w:p>
          <w:p w14:paraId="6C08A3B6" w14:textId="77777777" w:rsidR="00C53465"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3. C</w:t>
            </w:r>
            <w:r w:rsidRPr="0076456C">
              <w:rPr>
                <w:rFonts w:ascii="Arial Narrow" w:hAnsi="Arial Narrow"/>
                <w:sz w:val="20"/>
                <w:szCs w:val="20"/>
              </w:rPr>
              <w:t xml:space="preserve">omprehensive literature search? </w:t>
            </w:r>
            <w:r w:rsidR="00D36D46" w:rsidRPr="00D36D46">
              <w:rPr>
                <w:rFonts w:ascii="Arial Narrow" w:hAnsi="Arial Narrow"/>
                <w:b/>
                <w:sz w:val="20"/>
                <w:szCs w:val="20"/>
              </w:rPr>
              <w:t>YES</w:t>
            </w:r>
          </w:p>
          <w:p w14:paraId="227D6F89" w14:textId="77777777" w:rsidR="00C53465"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4. P</w:t>
            </w:r>
            <w:r w:rsidRPr="0076456C">
              <w:rPr>
                <w:rFonts w:ascii="Arial Narrow" w:hAnsi="Arial Narrow"/>
                <w:sz w:val="20"/>
                <w:szCs w:val="20"/>
              </w:rPr>
              <w:t xml:space="preserve">ublication </w:t>
            </w:r>
            <w:r>
              <w:rPr>
                <w:rFonts w:ascii="Arial Narrow" w:hAnsi="Arial Narrow"/>
                <w:sz w:val="20"/>
                <w:szCs w:val="20"/>
              </w:rPr>
              <w:t xml:space="preserve">status </w:t>
            </w:r>
            <w:r w:rsidRPr="0076456C">
              <w:rPr>
                <w:rFonts w:ascii="Arial Narrow" w:hAnsi="Arial Narrow"/>
                <w:sz w:val="20"/>
                <w:szCs w:val="20"/>
              </w:rPr>
              <w:t>(i.e. grey literature) used as an inclusion criterion?</w:t>
            </w:r>
            <w:r>
              <w:rPr>
                <w:rFonts w:ascii="Arial Narrow" w:hAnsi="Arial Narrow"/>
                <w:sz w:val="20"/>
                <w:szCs w:val="20"/>
              </w:rPr>
              <w:t xml:space="preserve"> </w:t>
            </w:r>
            <w:r w:rsidR="002E7955" w:rsidRPr="002E7955">
              <w:rPr>
                <w:rFonts w:ascii="Arial Narrow" w:hAnsi="Arial Narrow"/>
                <w:b/>
                <w:sz w:val="20"/>
                <w:szCs w:val="20"/>
              </w:rPr>
              <w:t>YES</w:t>
            </w:r>
          </w:p>
          <w:p w14:paraId="412C9C55" w14:textId="77777777" w:rsidR="00C53465"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5. L</w:t>
            </w:r>
            <w:r w:rsidRPr="0076456C">
              <w:rPr>
                <w:rFonts w:ascii="Arial Narrow" w:hAnsi="Arial Narrow"/>
                <w:sz w:val="20"/>
                <w:szCs w:val="20"/>
              </w:rPr>
              <w:t>ist of studies (included and excluded) provided?</w:t>
            </w:r>
            <w:r w:rsidR="006D04A0">
              <w:rPr>
                <w:rFonts w:ascii="Arial Narrow" w:hAnsi="Arial Narrow"/>
                <w:sz w:val="20"/>
                <w:szCs w:val="20"/>
              </w:rPr>
              <w:t xml:space="preserve"> </w:t>
            </w:r>
            <w:r w:rsidR="006D04A0" w:rsidRPr="006D04A0">
              <w:rPr>
                <w:rFonts w:ascii="Arial Narrow" w:hAnsi="Arial Narrow"/>
                <w:b/>
                <w:sz w:val="20"/>
                <w:szCs w:val="20"/>
              </w:rPr>
              <w:t>YES</w:t>
            </w:r>
          </w:p>
          <w:p w14:paraId="6776403E" w14:textId="77777777" w:rsidR="00C53465"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6. C</w:t>
            </w:r>
            <w:r w:rsidRPr="0076456C">
              <w:rPr>
                <w:rFonts w:ascii="Arial Narrow" w:hAnsi="Arial Narrow"/>
                <w:sz w:val="20"/>
                <w:szCs w:val="20"/>
              </w:rPr>
              <w:t>haracteristics of the included studies provided?</w:t>
            </w:r>
            <w:r>
              <w:rPr>
                <w:rFonts w:ascii="Arial Narrow" w:hAnsi="Arial Narrow"/>
                <w:sz w:val="20"/>
                <w:szCs w:val="20"/>
              </w:rPr>
              <w:t xml:space="preserve"> </w:t>
            </w:r>
            <w:r w:rsidR="006D04A0" w:rsidRPr="006D04A0">
              <w:rPr>
                <w:rFonts w:ascii="Arial Narrow" w:hAnsi="Arial Narrow"/>
                <w:b/>
                <w:sz w:val="20"/>
                <w:szCs w:val="20"/>
              </w:rPr>
              <w:t>YES</w:t>
            </w:r>
          </w:p>
          <w:p w14:paraId="3E8B82C9" w14:textId="77777777" w:rsidR="00C53465"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7. S</w:t>
            </w:r>
            <w:r w:rsidRPr="0076456C">
              <w:rPr>
                <w:rFonts w:ascii="Arial Narrow" w:hAnsi="Arial Narrow"/>
                <w:sz w:val="20"/>
                <w:szCs w:val="20"/>
              </w:rPr>
              <w:t>cientific quality of the included studies assessed?</w:t>
            </w:r>
            <w:r>
              <w:rPr>
                <w:rFonts w:ascii="Arial Narrow" w:hAnsi="Arial Narrow"/>
                <w:sz w:val="20"/>
                <w:szCs w:val="20"/>
              </w:rPr>
              <w:t xml:space="preserve"> </w:t>
            </w:r>
            <w:r w:rsidR="00EF53FD" w:rsidRPr="00EF53FD">
              <w:rPr>
                <w:rFonts w:ascii="Arial Narrow" w:hAnsi="Arial Narrow"/>
                <w:b/>
                <w:sz w:val="20"/>
                <w:szCs w:val="20"/>
              </w:rPr>
              <w:t>YES</w:t>
            </w:r>
          </w:p>
          <w:p w14:paraId="092520F4" w14:textId="77777777" w:rsidR="00C53465"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8. S</w:t>
            </w:r>
            <w:r w:rsidRPr="0076456C">
              <w:rPr>
                <w:rFonts w:ascii="Arial Narrow" w:hAnsi="Arial Narrow"/>
                <w:sz w:val="20"/>
                <w:szCs w:val="20"/>
              </w:rPr>
              <w:t>cientific quality of the included studies used in formulating conclusions?</w:t>
            </w:r>
            <w:r>
              <w:rPr>
                <w:rFonts w:ascii="Arial Narrow" w:hAnsi="Arial Narrow"/>
                <w:sz w:val="20"/>
                <w:szCs w:val="20"/>
              </w:rPr>
              <w:t xml:space="preserve"> </w:t>
            </w:r>
            <w:r w:rsidR="00EF53FD" w:rsidRPr="00EF53FD">
              <w:rPr>
                <w:rFonts w:ascii="Arial Narrow" w:hAnsi="Arial Narrow"/>
                <w:b/>
                <w:sz w:val="20"/>
                <w:szCs w:val="20"/>
              </w:rPr>
              <w:t>YES</w:t>
            </w:r>
          </w:p>
          <w:p w14:paraId="706DF280" w14:textId="77777777" w:rsidR="00C53465"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9. M</w:t>
            </w:r>
            <w:r w:rsidRPr="0076456C">
              <w:rPr>
                <w:rFonts w:ascii="Arial Narrow" w:hAnsi="Arial Narrow"/>
                <w:sz w:val="20"/>
                <w:szCs w:val="20"/>
              </w:rPr>
              <w:t>ethods used to combine the findings of studies appropriate?</w:t>
            </w:r>
            <w:r>
              <w:rPr>
                <w:rFonts w:ascii="Arial Narrow" w:hAnsi="Arial Narrow"/>
                <w:sz w:val="20"/>
                <w:szCs w:val="20"/>
              </w:rPr>
              <w:t xml:space="preserve"> </w:t>
            </w:r>
            <w:r w:rsidR="00EF53FD" w:rsidRPr="00EF53FD">
              <w:rPr>
                <w:rFonts w:ascii="Arial Narrow" w:hAnsi="Arial Narrow"/>
                <w:b/>
                <w:sz w:val="20"/>
                <w:szCs w:val="20"/>
              </w:rPr>
              <w:t>YES</w:t>
            </w:r>
          </w:p>
          <w:p w14:paraId="44FD0BBD" w14:textId="77777777" w:rsidR="00C53465"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 xml:space="preserve">10. </w:t>
            </w:r>
            <w:r w:rsidR="008F2DFA">
              <w:rPr>
                <w:rFonts w:ascii="Arial Narrow" w:hAnsi="Arial Narrow"/>
                <w:sz w:val="20"/>
                <w:szCs w:val="20"/>
              </w:rPr>
              <w:t>P</w:t>
            </w:r>
            <w:r w:rsidRPr="0076456C">
              <w:rPr>
                <w:rFonts w:ascii="Arial Narrow" w:hAnsi="Arial Narrow"/>
                <w:sz w:val="20"/>
                <w:szCs w:val="20"/>
              </w:rPr>
              <w:t xml:space="preserve">ublication bias assessed? </w:t>
            </w:r>
            <w:r w:rsidR="00BE1054" w:rsidRPr="00BE1054">
              <w:rPr>
                <w:rFonts w:ascii="Arial Narrow" w:hAnsi="Arial Narrow"/>
                <w:b/>
                <w:sz w:val="20"/>
                <w:szCs w:val="20"/>
              </w:rPr>
              <w:t>NO</w:t>
            </w:r>
          </w:p>
          <w:p w14:paraId="3AB83996" w14:textId="77777777" w:rsidR="00822A1C" w:rsidRPr="00822A1C" w:rsidRDefault="00C53465" w:rsidP="004D79EF">
            <w:pPr>
              <w:widowControl w:val="0"/>
              <w:spacing w:before="60" w:after="60" w:line="240" w:lineRule="auto"/>
              <w:jc w:val="left"/>
              <w:rPr>
                <w:rFonts w:ascii="Arial Narrow" w:hAnsi="Arial Narrow"/>
                <w:sz w:val="20"/>
                <w:szCs w:val="20"/>
              </w:rPr>
            </w:pPr>
            <w:r>
              <w:rPr>
                <w:rFonts w:ascii="Arial Narrow" w:hAnsi="Arial Narrow"/>
                <w:sz w:val="20"/>
                <w:szCs w:val="20"/>
              </w:rPr>
              <w:t>11. C</w:t>
            </w:r>
            <w:r w:rsidRPr="0076456C">
              <w:rPr>
                <w:rFonts w:ascii="Arial Narrow" w:hAnsi="Arial Narrow"/>
                <w:sz w:val="20"/>
                <w:szCs w:val="20"/>
              </w:rPr>
              <w:t xml:space="preserve">onflict of interest </w:t>
            </w:r>
            <w:r w:rsidRPr="0076456C">
              <w:rPr>
                <w:rFonts w:ascii="Arial Narrow" w:hAnsi="Arial Narrow"/>
                <w:sz w:val="20"/>
                <w:szCs w:val="20"/>
              </w:rPr>
              <w:lastRenderedPageBreak/>
              <w:t>stated?</w:t>
            </w:r>
            <w:r>
              <w:rPr>
                <w:rFonts w:ascii="Arial Narrow" w:hAnsi="Arial Narrow"/>
                <w:sz w:val="20"/>
                <w:szCs w:val="20"/>
              </w:rPr>
              <w:t xml:space="preserve"> </w:t>
            </w:r>
            <w:r w:rsidR="00BE1054" w:rsidRPr="00BE1054">
              <w:rPr>
                <w:rFonts w:ascii="Arial Narrow" w:hAnsi="Arial Narrow"/>
                <w:b/>
                <w:sz w:val="20"/>
                <w:szCs w:val="20"/>
              </w:rPr>
              <w:t>YES</w:t>
            </w:r>
          </w:p>
        </w:tc>
      </w:tr>
    </w:tbl>
    <w:p w14:paraId="6B03FDB6" w14:textId="77777777" w:rsidR="0074232E" w:rsidRPr="00CA6595" w:rsidRDefault="0074232E" w:rsidP="00CA6595">
      <w:pPr>
        <w:pStyle w:val="Tablenotes0"/>
      </w:pPr>
      <w:r w:rsidRPr="00CA6595">
        <w:lastRenderedPageBreak/>
        <w:t xml:space="preserve">&lt;CS = case series. CT = computed tomography. CTCAE = Common Terminology Criteria for Adverse Events. ECOG = Eastern Cooperative Oncology Group. FDG = Fludeoxyglucose (18F). HCC = hepatocellular carcinoma. IQR = interquartile range. N/A = not applicable. NR = not reported. NSCLC = non-small cell lung cancer. PET = positron emission tomography. RFA = radiofrequency ablation. TACE = transarterial chemoembolization. US = ultrasound.&gt; </w:t>
      </w:r>
    </w:p>
    <w:p w14:paraId="58C1F7D1" w14:textId="5AA0CF1C" w:rsidR="00861E5C" w:rsidRPr="00CA6595" w:rsidRDefault="00063A31" w:rsidP="00CA6595">
      <w:pPr>
        <w:pStyle w:val="Tablenotes0"/>
      </w:pPr>
      <w:r w:rsidRPr="00063A31">
        <w:rPr>
          <w:b/>
        </w:rPr>
        <w:t>*</w:t>
      </w:r>
      <w:r w:rsidR="00822A1C" w:rsidRPr="00CA6595">
        <w:t xml:space="preserve"> Prognostic factors that influence 5-year survival: Two papers reported significantly worse 5-year survival rates in patients with oral head and neck squamous cell carcinoma compared with other sites (9.2% versus 32.4% and 15.4% versus 45.2%; p&lt;0.05).Two papers reported that the presence of cervical lymph node metastases at diagnosis of the primary tumour significantly worsened 5-year survival rates following pulmonary metastasectomy (13.8% (N+) versus 32% (N0), and 24% (N+) versus 60% (N0); p&lt;0.05).</w:t>
      </w:r>
    </w:p>
    <w:p w14:paraId="244CFB39" w14:textId="0C14AC9A" w:rsidR="00822A1C" w:rsidRPr="00CA6595" w:rsidRDefault="00063A31" w:rsidP="00CA6595">
      <w:pPr>
        <w:pStyle w:val="Tablenotes0"/>
      </w:pPr>
      <w:r w:rsidRPr="00063A31">
        <w:rPr>
          <w:b/>
        </w:rPr>
        <w:t>**</w:t>
      </w:r>
      <w:r w:rsidR="00CA6595">
        <w:t xml:space="preserve"> </w:t>
      </w:r>
      <w:r w:rsidR="00822A1C" w:rsidRPr="00CA6595">
        <w:t>Overall 5-year survival in studies that did not distinguish between resections being R0 or R1/2 or only presented with combined data for both types of resection (median: 52.5%, range: 38.3%–63.7%). Thirteen studies presented 5-year survival for patients undergoing R0 resections (either for the whole study population or for subgroups of patients) (median: 39.6%, range: 24–56.0%). Three studies reported 5-year survival for nonradical resection (median: 0%, range: 0–21%) Three studies reported 5-year survival exclusively for patients who had pulmonary and hepatic resection of colorectal metastases. (</w:t>
      </w:r>
      <w:proofErr w:type="gramStart"/>
      <w:r w:rsidR="00822A1C" w:rsidRPr="00CA6595">
        <w:t>median</w:t>
      </w:r>
      <w:proofErr w:type="gramEnd"/>
      <w:r w:rsidR="00822A1C" w:rsidRPr="00CA6595">
        <w:t xml:space="preserve">: 31%, range: 30–38%). Postoperative mortality </w:t>
      </w:r>
      <w:r w:rsidR="007B2DAD" w:rsidRPr="00CA6595">
        <w:t>r</w:t>
      </w:r>
      <w:r w:rsidR="00822A1C" w:rsidRPr="00CA6595">
        <w:t>eported by four s</w:t>
      </w:r>
      <w:r w:rsidR="007B2DAD" w:rsidRPr="00CA6595">
        <w:t>tudies. Range: 0–2.5%. Analyses</w:t>
      </w:r>
      <w:r w:rsidR="00822A1C" w:rsidRPr="00CA6595">
        <w:t xml:space="preserve"> of prognostic factors that affect survival Stage of primary colorectal cancer: Nine studies analysed the stage of the primary tumour as a measurement for long term survival – only one confirmed statistical significance Distribution</w:t>
      </w:r>
      <w:proofErr w:type="gramStart"/>
      <w:r w:rsidR="00822A1C" w:rsidRPr="00CA6595">
        <w:t>:Twelve</w:t>
      </w:r>
      <w:proofErr w:type="gramEnd"/>
      <w:r w:rsidR="00822A1C" w:rsidRPr="00CA6595">
        <w:t xml:space="preserve"> studies reported on the distribution of lung metastases at the time of surgery. Unilateral or bilateral distribution could not be proven to be a prognostic factor for survival/ Carcinoembryonic antigen: In nine studies an elevated CEA level was a valuable prognostic measurement associated with poor prognosis. In seven studies CEA hand no significant prognosticator. Disease-free interval: The disease-free interval between resection of the primary tumour and pulmonary metastasectomy was reported in 19 studies. Median disease-free interval was between 20.0 and 37.5 months. Only in one study was disease free interval found to be a prognostic factor for survival. Surgical approach: Different surgical approaches were not found to have a significant effect on survival. Surgical procedures: The most common thoracic procedure reported in 14 studies was wedge resection or segmentectomy in 804 patients. In the majority of studies (</w:t>
      </w:r>
      <w:r w:rsidR="00C10752" w:rsidRPr="00CA6595">
        <w:t xml:space="preserve">n = </w:t>
      </w:r>
      <w:r w:rsidR="00822A1C" w:rsidRPr="00CA6595">
        <w:t>13) the type of lung resection was no prognosticator for survival. Radicality of resection: Of four studies that dealt with patients after complete and incomplete resection, two reported significantly improved long-term survival after achieving clear surgical margins.  In three studies, in which the patients received incomplete resections, radicality of resection was not found to be an independent prognostic factor. Repeat pulmonary resection: Seven of the 10 studies with repeat pulmonary resection analysed patients with repeated resection separately for 5-year survival. No study found repeat pulmonary resection for local recurrent disease as an ominous prognostic factor.  Effect of combined liver and lung resection: No significant difference in outcome was observed between patients with and without history of previously resected hepatic metastases at the time of pulmonary resection.  Number and tumour size: The impact of the number of pulmonary metastases on long-term survival could not be proven by the majority of studies. Thoracic lymph node involvement: Lymph node involvement was not a prognostic factor for survival in studies in which lymph node dissection was not performed contemporary with all procedures, or lymph node dissection was carried out only in cases when node enlargement was detected by a CT scan.  Neaoadjuvant and adjuvant therapy: Four studies reported on adjuvant chemotherapy after resection of the primary colorectal tumour. Eight studies reported on neoadjuvant of adjuvant therapy with pulmonary metastasectomy. In all studies chemotherapy was of no prognostic significance for long-term survival.</w:t>
      </w:r>
    </w:p>
    <w:p w14:paraId="384E7B92" w14:textId="18003DFD" w:rsidR="00855ADC" w:rsidRDefault="00855ADC">
      <w:pPr>
        <w:spacing w:after="0"/>
        <w:rPr>
          <w:b/>
          <w:smallCaps/>
          <w:sz w:val="44"/>
        </w:rPr>
      </w:pPr>
      <w:r>
        <w:br w:type="page"/>
      </w:r>
    </w:p>
    <w:p w14:paraId="35E75CEB" w14:textId="77777777" w:rsidR="00855ADC" w:rsidRDefault="00855ADC" w:rsidP="00855ADC">
      <w:pPr>
        <w:pStyle w:val="Heading1"/>
      </w:pPr>
      <w:bookmarkStart w:id="517" w:name="_Ref421017583"/>
      <w:bookmarkStart w:id="518" w:name="_Ref421017580"/>
      <w:bookmarkStart w:id="519" w:name="_Toc460396110"/>
      <w:r>
        <w:lastRenderedPageBreak/>
        <w:t xml:space="preserve">Appendix </w:t>
      </w:r>
      <w:fldSimple w:instr=" SEQ Appendix \* ALPHABETIC ">
        <w:r w:rsidR="00D170A5">
          <w:rPr>
            <w:noProof/>
          </w:rPr>
          <w:t>D</w:t>
        </w:r>
      </w:fldSimple>
      <w:bookmarkEnd w:id="517"/>
      <w:r>
        <w:tab/>
        <w:t>Evidence Profile Tables</w:t>
      </w:r>
      <w:bookmarkEnd w:id="518"/>
      <w:bookmarkEnd w:id="519"/>
      <w:r>
        <w:t xml:space="preserve"> </w:t>
      </w:r>
    </w:p>
    <w:p w14:paraId="07E464CA" w14:textId="77777777" w:rsidR="001163D9" w:rsidRDefault="001163D9" w:rsidP="001163D9">
      <w:pPr>
        <w:pStyle w:val="Caption"/>
        <w:keepNext/>
      </w:pPr>
      <w:bookmarkStart w:id="520" w:name="_Toc460514753"/>
      <w:r>
        <w:t xml:space="preserve">Table </w:t>
      </w:r>
      <w:fldSimple w:instr=" SEQ Table \* ARABIC ">
        <w:r w:rsidR="00D170A5">
          <w:rPr>
            <w:noProof/>
          </w:rPr>
          <w:t>95</w:t>
        </w:r>
      </w:fldSimple>
      <w:r>
        <w:tab/>
        <w:t>Evidence profile table for population one</w:t>
      </w:r>
      <w:bookmarkEnd w:id="520"/>
    </w:p>
    <w:tbl>
      <w:tblPr>
        <w:tblW w:w="5000" w:type="pct"/>
        <w:tblLayout w:type="fixed"/>
        <w:tblLook w:val="04A0" w:firstRow="1" w:lastRow="0" w:firstColumn="1" w:lastColumn="0" w:noHBand="0" w:noVBand="1"/>
      </w:tblPr>
      <w:tblGrid>
        <w:gridCol w:w="2272"/>
        <w:gridCol w:w="1256"/>
        <w:gridCol w:w="1259"/>
        <w:gridCol w:w="1259"/>
        <w:gridCol w:w="1259"/>
        <w:gridCol w:w="1259"/>
        <w:gridCol w:w="1259"/>
        <w:gridCol w:w="2846"/>
        <w:gridCol w:w="1145"/>
        <w:gridCol w:w="1538"/>
      </w:tblGrid>
      <w:tr w:rsidR="001163D9" w:rsidRPr="001163D9" w14:paraId="28F62122" w14:textId="77777777" w:rsidTr="00F52C9B">
        <w:trPr>
          <w:trHeight w:val="788"/>
          <w:tblHeader/>
        </w:trPr>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FFB3C73" w14:textId="77777777" w:rsidR="001163D9" w:rsidRPr="001163D9" w:rsidRDefault="001163D9" w:rsidP="0020487B">
            <w:pPr>
              <w:keepNext/>
              <w:spacing w:before="60" w:after="6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Outcome  (units, follow-up)</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44AE1EB" w14:textId="77777777" w:rsidR="001163D9" w:rsidRPr="001163D9" w:rsidRDefault="001163D9" w:rsidP="0020487B">
            <w:pPr>
              <w:keepNext/>
              <w:spacing w:before="60" w:after="6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No. of studies and study design</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7C9BB8F" w14:textId="77777777" w:rsidR="001163D9" w:rsidRPr="001163D9" w:rsidRDefault="001163D9" w:rsidP="0020487B">
            <w:pPr>
              <w:keepNext/>
              <w:spacing w:before="60" w:after="6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Risk of bias</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12CFF7D" w14:textId="77777777" w:rsidR="001163D9" w:rsidRPr="001163D9" w:rsidRDefault="001163D9" w:rsidP="0020487B">
            <w:pPr>
              <w:keepNext/>
              <w:spacing w:before="60" w:after="6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Inconsistency</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6525480" w14:textId="77777777" w:rsidR="001163D9" w:rsidRPr="001163D9" w:rsidRDefault="001163D9" w:rsidP="0020487B">
            <w:pPr>
              <w:keepNext/>
              <w:spacing w:before="60" w:after="6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Indirectness</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F80702A" w14:textId="77777777" w:rsidR="001163D9" w:rsidRPr="001163D9" w:rsidRDefault="001163D9" w:rsidP="0020487B">
            <w:pPr>
              <w:keepNext/>
              <w:spacing w:before="60" w:after="6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Imprecision</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5BE7E8" w14:textId="77777777" w:rsidR="001163D9" w:rsidRPr="001163D9" w:rsidRDefault="001163D9" w:rsidP="0020487B">
            <w:pPr>
              <w:keepNext/>
              <w:spacing w:before="60" w:after="6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Other considerations</w:t>
            </w:r>
          </w:p>
        </w:tc>
        <w:tc>
          <w:tcPr>
            <w:tcW w:w="9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9DC7172" w14:textId="559B7615" w:rsidR="001163D9" w:rsidRPr="001163D9" w:rsidRDefault="001163D9" w:rsidP="0020487B">
            <w:pPr>
              <w:keepNext/>
              <w:spacing w:before="60" w:after="6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 xml:space="preserve">Results </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8F8E4CD" w14:textId="77777777" w:rsidR="001163D9" w:rsidRPr="001163D9" w:rsidRDefault="001163D9" w:rsidP="0020487B">
            <w:pPr>
              <w:keepNext/>
              <w:spacing w:before="60" w:after="6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Quality</w:t>
            </w:r>
          </w:p>
        </w:tc>
        <w:tc>
          <w:tcPr>
            <w:tcW w:w="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F6E63C3" w14:textId="77777777" w:rsidR="001163D9" w:rsidRPr="001163D9" w:rsidRDefault="001163D9" w:rsidP="0020487B">
            <w:pPr>
              <w:keepNext/>
              <w:spacing w:before="60" w:after="6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Importance</w:t>
            </w:r>
          </w:p>
        </w:tc>
      </w:tr>
      <w:tr w:rsidR="001163D9" w:rsidRPr="001163D9" w14:paraId="670A06CC" w14:textId="77777777" w:rsidTr="00F52C9B">
        <w:trPr>
          <w:trHeight w:val="319"/>
        </w:trPr>
        <w:tc>
          <w:tcPr>
            <w:tcW w:w="740" w:type="pct"/>
            <w:tcBorders>
              <w:top w:val="single" w:sz="4" w:space="0" w:color="auto"/>
              <w:left w:val="single" w:sz="4" w:space="0" w:color="auto"/>
              <w:bottom w:val="single" w:sz="4" w:space="0" w:color="auto"/>
            </w:tcBorders>
            <w:shd w:val="clear" w:color="auto" w:fill="D9D9D9" w:themeFill="background1" w:themeFillShade="D9"/>
          </w:tcPr>
          <w:p w14:paraId="0561E168" w14:textId="77777777" w:rsidR="001163D9" w:rsidRPr="001163D9" w:rsidRDefault="001163D9" w:rsidP="0020487B">
            <w:pPr>
              <w:spacing w:before="60" w:after="60" w:line="288" w:lineRule="auto"/>
              <w:jc w:val="left"/>
              <w:rPr>
                <w:rFonts w:ascii="Arial Narrow" w:eastAsiaTheme="minorEastAsia" w:hAnsi="Arial Narrow"/>
                <w:b/>
                <w:sz w:val="18"/>
                <w:szCs w:val="18"/>
              </w:rPr>
            </w:pPr>
            <w:r w:rsidRPr="001163D9">
              <w:rPr>
                <w:rFonts w:ascii="Arial Narrow" w:eastAsiaTheme="minorEastAsia" w:hAnsi="Arial Narrow"/>
                <w:b/>
                <w:sz w:val="18"/>
                <w:szCs w:val="18"/>
              </w:rPr>
              <w:t>MTA</w:t>
            </w:r>
          </w:p>
        </w:tc>
        <w:tc>
          <w:tcPr>
            <w:tcW w:w="409" w:type="pct"/>
            <w:tcBorders>
              <w:top w:val="single" w:sz="4" w:space="0" w:color="auto"/>
              <w:bottom w:val="single" w:sz="4" w:space="0" w:color="auto"/>
            </w:tcBorders>
            <w:shd w:val="clear" w:color="auto" w:fill="D9D9D9" w:themeFill="background1" w:themeFillShade="D9"/>
          </w:tcPr>
          <w:p w14:paraId="17111445" w14:textId="77777777" w:rsidR="001163D9" w:rsidRPr="001163D9" w:rsidRDefault="001163D9" w:rsidP="0020487B">
            <w:pPr>
              <w:spacing w:before="60" w:after="60" w:line="288" w:lineRule="auto"/>
              <w:jc w:val="left"/>
              <w:rPr>
                <w:rFonts w:ascii="Arial Narrow" w:eastAsiaTheme="minorEastAsia" w:hAnsi="Arial Narrow"/>
                <w:sz w:val="18"/>
                <w:szCs w:val="18"/>
              </w:rPr>
            </w:pPr>
          </w:p>
        </w:tc>
        <w:tc>
          <w:tcPr>
            <w:tcW w:w="410" w:type="pct"/>
            <w:tcBorders>
              <w:top w:val="single" w:sz="4" w:space="0" w:color="auto"/>
              <w:bottom w:val="single" w:sz="4" w:space="0" w:color="auto"/>
            </w:tcBorders>
            <w:shd w:val="clear" w:color="auto" w:fill="D9D9D9" w:themeFill="background1" w:themeFillShade="D9"/>
          </w:tcPr>
          <w:p w14:paraId="05436B78" w14:textId="77777777" w:rsidR="001163D9" w:rsidRPr="001163D9" w:rsidRDefault="001163D9" w:rsidP="0020487B">
            <w:pPr>
              <w:spacing w:before="60" w:after="60" w:line="288" w:lineRule="auto"/>
              <w:jc w:val="left"/>
              <w:rPr>
                <w:rFonts w:ascii="Arial Narrow" w:eastAsiaTheme="minorEastAsia" w:hAnsi="Arial Narrow"/>
                <w:sz w:val="18"/>
                <w:szCs w:val="18"/>
              </w:rPr>
            </w:pPr>
          </w:p>
        </w:tc>
        <w:tc>
          <w:tcPr>
            <w:tcW w:w="410" w:type="pct"/>
            <w:tcBorders>
              <w:top w:val="single" w:sz="4" w:space="0" w:color="auto"/>
              <w:bottom w:val="single" w:sz="4" w:space="0" w:color="auto"/>
            </w:tcBorders>
            <w:shd w:val="clear" w:color="auto" w:fill="D9D9D9" w:themeFill="background1" w:themeFillShade="D9"/>
          </w:tcPr>
          <w:p w14:paraId="067E8A41" w14:textId="77777777" w:rsidR="001163D9" w:rsidRPr="001163D9" w:rsidRDefault="001163D9" w:rsidP="0020487B">
            <w:pPr>
              <w:spacing w:before="60" w:after="60" w:line="288" w:lineRule="auto"/>
              <w:jc w:val="left"/>
              <w:rPr>
                <w:rFonts w:ascii="Arial Narrow" w:eastAsiaTheme="minorEastAsia" w:hAnsi="Arial Narrow"/>
                <w:sz w:val="18"/>
                <w:szCs w:val="18"/>
              </w:rPr>
            </w:pPr>
          </w:p>
        </w:tc>
        <w:tc>
          <w:tcPr>
            <w:tcW w:w="410" w:type="pct"/>
            <w:tcBorders>
              <w:top w:val="single" w:sz="4" w:space="0" w:color="auto"/>
              <w:bottom w:val="single" w:sz="4" w:space="0" w:color="auto"/>
            </w:tcBorders>
            <w:shd w:val="clear" w:color="auto" w:fill="D9D9D9" w:themeFill="background1" w:themeFillShade="D9"/>
          </w:tcPr>
          <w:p w14:paraId="3F8A80CF" w14:textId="77777777" w:rsidR="001163D9" w:rsidRPr="001163D9" w:rsidRDefault="001163D9" w:rsidP="0020487B">
            <w:pPr>
              <w:spacing w:before="60" w:after="60" w:line="288" w:lineRule="auto"/>
              <w:jc w:val="left"/>
              <w:rPr>
                <w:rFonts w:ascii="Arial Narrow" w:eastAsiaTheme="minorEastAsia" w:hAnsi="Arial Narrow"/>
                <w:sz w:val="18"/>
                <w:szCs w:val="18"/>
              </w:rPr>
            </w:pPr>
          </w:p>
        </w:tc>
        <w:tc>
          <w:tcPr>
            <w:tcW w:w="410" w:type="pct"/>
            <w:tcBorders>
              <w:top w:val="single" w:sz="4" w:space="0" w:color="auto"/>
              <w:bottom w:val="single" w:sz="4" w:space="0" w:color="auto"/>
            </w:tcBorders>
            <w:shd w:val="clear" w:color="auto" w:fill="D9D9D9" w:themeFill="background1" w:themeFillShade="D9"/>
          </w:tcPr>
          <w:p w14:paraId="3F7C4A95" w14:textId="77777777" w:rsidR="001163D9" w:rsidRPr="001163D9" w:rsidRDefault="001163D9" w:rsidP="0020487B">
            <w:pPr>
              <w:spacing w:before="60" w:after="60" w:line="288" w:lineRule="auto"/>
              <w:jc w:val="left"/>
              <w:rPr>
                <w:rFonts w:ascii="Arial Narrow" w:eastAsiaTheme="minorEastAsia" w:hAnsi="Arial Narrow"/>
                <w:sz w:val="18"/>
                <w:szCs w:val="18"/>
              </w:rPr>
            </w:pPr>
          </w:p>
        </w:tc>
        <w:tc>
          <w:tcPr>
            <w:tcW w:w="410" w:type="pct"/>
            <w:tcBorders>
              <w:top w:val="single" w:sz="4" w:space="0" w:color="auto"/>
              <w:bottom w:val="single" w:sz="4" w:space="0" w:color="auto"/>
            </w:tcBorders>
            <w:shd w:val="clear" w:color="auto" w:fill="D9D9D9" w:themeFill="background1" w:themeFillShade="D9"/>
          </w:tcPr>
          <w:p w14:paraId="1E46179D" w14:textId="77777777" w:rsidR="001163D9" w:rsidRPr="001163D9" w:rsidRDefault="001163D9" w:rsidP="0020487B">
            <w:pPr>
              <w:spacing w:before="60" w:after="60" w:line="288" w:lineRule="auto"/>
              <w:jc w:val="left"/>
              <w:rPr>
                <w:rFonts w:ascii="Arial Narrow" w:eastAsiaTheme="minorEastAsia" w:hAnsi="Arial Narrow"/>
                <w:sz w:val="18"/>
                <w:szCs w:val="18"/>
              </w:rPr>
            </w:pPr>
          </w:p>
        </w:tc>
        <w:tc>
          <w:tcPr>
            <w:tcW w:w="927" w:type="pct"/>
            <w:tcBorders>
              <w:top w:val="single" w:sz="4" w:space="0" w:color="auto"/>
              <w:bottom w:val="single" w:sz="4" w:space="0" w:color="auto"/>
            </w:tcBorders>
            <w:shd w:val="clear" w:color="auto" w:fill="D9D9D9" w:themeFill="background1" w:themeFillShade="D9"/>
          </w:tcPr>
          <w:p w14:paraId="0204A194" w14:textId="77777777" w:rsidR="001163D9" w:rsidRPr="001163D9" w:rsidRDefault="001163D9" w:rsidP="0020487B">
            <w:pPr>
              <w:spacing w:before="60" w:after="60" w:line="288" w:lineRule="auto"/>
              <w:jc w:val="left"/>
              <w:rPr>
                <w:rFonts w:ascii="Arial Narrow" w:eastAsiaTheme="minorEastAsia" w:hAnsi="Arial Narrow"/>
                <w:sz w:val="18"/>
                <w:szCs w:val="18"/>
              </w:rPr>
            </w:pPr>
          </w:p>
        </w:tc>
        <w:tc>
          <w:tcPr>
            <w:tcW w:w="373" w:type="pct"/>
            <w:tcBorders>
              <w:top w:val="single" w:sz="4" w:space="0" w:color="auto"/>
              <w:bottom w:val="single" w:sz="4" w:space="0" w:color="auto"/>
            </w:tcBorders>
            <w:shd w:val="clear" w:color="auto" w:fill="D9D9D9" w:themeFill="background1" w:themeFillShade="D9"/>
          </w:tcPr>
          <w:p w14:paraId="06B75F72" w14:textId="77777777" w:rsidR="001163D9" w:rsidRPr="001163D9" w:rsidRDefault="001163D9" w:rsidP="0020487B">
            <w:pPr>
              <w:spacing w:before="60" w:after="60" w:line="288" w:lineRule="auto"/>
              <w:jc w:val="left"/>
              <w:rPr>
                <w:rFonts w:ascii="Arial Narrow" w:eastAsiaTheme="minorEastAsia" w:hAnsi="Arial Narrow"/>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43D54021" w14:textId="77777777" w:rsidR="001163D9" w:rsidRPr="001163D9" w:rsidRDefault="001163D9" w:rsidP="0020487B">
            <w:pPr>
              <w:spacing w:before="60" w:after="60" w:line="288" w:lineRule="auto"/>
              <w:jc w:val="left"/>
              <w:rPr>
                <w:rFonts w:ascii="Arial Narrow" w:eastAsiaTheme="minorEastAsia" w:hAnsi="Arial Narrow"/>
                <w:sz w:val="18"/>
                <w:szCs w:val="18"/>
              </w:rPr>
            </w:pPr>
          </w:p>
        </w:tc>
      </w:tr>
      <w:tr w:rsidR="001163D9" w:rsidRPr="001163D9" w14:paraId="62832B6D" w14:textId="77777777" w:rsidTr="001B7083">
        <w:trPr>
          <w:trHeight w:val="319"/>
        </w:trPr>
        <w:tc>
          <w:tcPr>
            <w:tcW w:w="740" w:type="pct"/>
            <w:tcBorders>
              <w:top w:val="single" w:sz="4" w:space="0" w:color="auto"/>
              <w:left w:val="single" w:sz="4" w:space="0" w:color="auto"/>
              <w:bottom w:val="single" w:sz="4" w:space="0" w:color="auto"/>
              <w:right w:val="single" w:sz="4" w:space="0" w:color="auto"/>
            </w:tcBorders>
            <w:hideMark/>
          </w:tcPr>
          <w:p w14:paraId="06B3A258" w14:textId="77777777" w:rsidR="001163D9" w:rsidRPr="001163D9" w:rsidRDefault="001163D9" w:rsidP="0020487B">
            <w:pPr>
              <w:spacing w:before="60" w:after="6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Median OS</w:t>
            </w:r>
          </w:p>
          <w:p w14:paraId="3467C277" w14:textId="30CA8475" w:rsidR="001163D9" w:rsidRPr="001163D9" w:rsidRDefault="008E6F16" w:rsidP="0020487B">
            <w:pPr>
              <w:spacing w:before="60" w:after="6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range 22.5 months to 30 months; assessed wit</w:t>
            </w:r>
            <w:r>
              <w:rPr>
                <w:rFonts w:ascii="Arial Narrow" w:eastAsiaTheme="minorEastAsia" w:hAnsi="Arial Narrow"/>
                <w:sz w:val="18"/>
                <w:szCs w:val="18"/>
              </w:rPr>
              <w:t>h: Kaplan-Meier estimate (95%CI</w:t>
            </w:r>
            <w:r w:rsidR="001163D9" w:rsidRPr="001163D9">
              <w:rPr>
                <w:rFonts w:ascii="Arial Narrow" w:eastAsiaTheme="minorEastAsia" w:hAnsi="Arial Narrow"/>
                <w:sz w:val="18"/>
                <w:szCs w:val="18"/>
              </w:rPr>
              <w:t>)</w:t>
            </w:r>
            <w:r w:rsidR="001163D9" w:rsidRPr="001163D9">
              <w:rPr>
                <w:rFonts w:ascii="Arial Narrow" w:eastAsiaTheme="minorEastAsia" w:hAnsi="Arial Narrow"/>
                <w:sz w:val="18"/>
                <w:szCs w:val="18"/>
                <w:vertAlign w:val="superscript"/>
              </w:rPr>
              <w:t>1</w:t>
            </w:r>
          </w:p>
        </w:tc>
        <w:tc>
          <w:tcPr>
            <w:tcW w:w="409" w:type="pct"/>
            <w:tcBorders>
              <w:top w:val="single" w:sz="4" w:space="0" w:color="auto"/>
              <w:left w:val="single" w:sz="4" w:space="0" w:color="auto"/>
              <w:bottom w:val="single" w:sz="4" w:space="0" w:color="auto"/>
              <w:right w:val="single" w:sz="4" w:space="0" w:color="auto"/>
            </w:tcBorders>
          </w:tcPr>
          <w:p w14:paraId="0B9C276D" w14:textId="77777777" w:rsidR="001163D9" w:rsidRPr="001163D9" w:rsidRDefault="001163D9" w:rsidP="0020487B">
            <w:pPr>
              <w:spacing w:before="60" w:after="60" w:line="288" w:lineRule="auto"/>
              <w:jc w:val="left"/>
              <w:rPr>
                <w:rFonts w:ascii="Arial Narrow" w:eastAsiaTheme="minorEastAsia" w:hAnsi="Arial Narrow"/>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2)</w:t>
            </w:r>
          </w:p>
        </w:tc>
        <w:tc>
          <w:tcPr>
            <w:tcW w:w="410" w:type="pct"/>
            <w:tcBorders>
              <w:top w:val="single" w:sz="4" w:space="0" w:color="auto"/>
              <w:left w:val="single" w:sz="4" w:space="0" w:color="auto"/>
              <w:bottom w:val="single" w:sz="4" w:space="0" w:color="auto"/>
              <w:right w:val="single" w:sz="4" w:space="0" w:color="auto"/>
            </w:tcBorders>
          </w:tcPr>
          <w:p w14:paraId="00A12C0F"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2</w:t>
            </w:r>
          </w:p>
        </w:tc>
        <w:tc>
          <w:tcPr>
            <w:tcW w:w="410" w:type="pct"/>
            <w:tcBorders>
              <w:top w:val="single" w:sz="4" w:space="0" w:color="auto"/>
              <w:left w:val="single" w:sz="4" w:space="0" w:color="auto"/>
              <w:bottom w:val="single" w:sz="4" w:space="0" w:color="auto"/>
              <w:right w:val="single" w:sz="4" w:space="0" w:color="auto"/>
            </w:tcBorders>
          </w:tcPr>
          <w:p w14:paraId="4223FC6A"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7997347D"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38C59DBD"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5</w:t>
            </w:r>
          </w:p>
        </w:tc>
        <w:tc>
          <w:tcPr>
            <w:tcW w:w="410" w:type="pct"/>
            <w:tcBorders>
              <w:top w:val="single" w:sz="4" w:space="0" w:color="auto"/>
              <w:left w:val="single" w:sz="4" w:space="0" w:color="auto"/>
              <w:bottom w:val="single" w:sz="4" w:space="0" w:color="auto"/>
              <w:right w:val="single" w:sz="4" w:space="0" w:color="auto"/>
            </w:tcBorders>
          </w:tcPr>
          <w:p w14:paraId="10413F18"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321E309F" w14:textId="423D7CF8"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Han et al (2015): 1.9 months (95%CI 38.8</w:t>
            </w:r>
            <w:r w:rsidR="007E3D66">
              <w:rPr>
                <w:rFonts w:ascii="Arial Narrow" w:hAnsi="Arial Narrow" w:cstheme="minorBidi"/>
                <w:sz w:val="18"/>
                <w:szCs w:val="18"/>
              </w:rPr>
              <w:t>–</w:t>
            </w:r>
            <w:r w:rsidRPr="001163D9">
              <w:rPr>
                <w:rFonts w:ascii="Arial Narrow" w:hAnsi="Arial Narrow" w:cstheme="minorBidi"/>
                <w:sz w:val="18"/>
                <w:szCs w:val="18"/>
              </w:rPr>
              <w:t>49.9), Yang et al (2014): 41.9 months (95%CI 38.8</w:t>
            </w:r>
            <w:r w:rsidR="007E3D66">
              <w:rPr>
                <w:rFonts w:ascii="Arial Narrow" w:hAnsi="Arial Narrow" w:cstheme="minorBidi"/>
                <w:sz w:val="18"/>
                <w:szCs w:val="18"/>
              </w:rPr>
              <w:t>–</w:t>
            </w:r>
            <w:r w:rsidRPr="001163D9">
              <w:rPr>
                <w:rFonts w:ascii="Arial Narrow" w:hAnsi="Arial Narrow" w:cstheme="minorBidi"/>
                <w:sz w:val="18"/>
                <w:szCs w:val="18"/>
              </w:rPr>
              <w:t xml:space="preserve">49.9) </w:t>
            </w:r>
            <w:r w:rsidRPr="001163D9">
              <w:rPr>
                <w:rFonts w:ascii="Arial Narrow" w:hAnsi="Arial Narrow" w:cstheme="minorBidi"/>
                <w:sz w:val="18"/>
                <w:szCs w:val="18"/>
                <w:vertAlign w:val="superscript"/>
              </w:rPr>
              <w:t>4</w:t>
            </w:r>
          </w:p>
        </w:tc>
        <w:tc>
          <w:tcPr>
            <w:tcW w:w="373" w:type="pct"/>
            <w:tcBorders>
              <w:top w:val="single" w:sz="4" w:space="0" w:color="auto"/>
              <w:left w:val="single" w:sz="4" w:space="0" w:color="auto"/>
              <w:bottom w:val="single" w:sz="4" w:space="0" w:color="auto"/>
              <w:right w:val="single" w:sz="4" w:space="0" w:color="auto"/>
            </w:tcBorders>
          </w:tcPr>
          <w:p w14:paraId="4B3C0061"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57E7610E" w14:textId="1BB00242" w:rsidR="001163D9" w:rsidRPr="001163D9" w:rsidRDefault="00282C3C"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CRITICAL</w:t>
            </w:r>
          </w:p>
        </w:tc>
      </w:tr>
      <w:tr w:rsidR="001163D9" w:rsidRPr="001163D9" w14:paraId="1533C135" w14:textId="77777777" w:rsidTr="001B7083">
        <w:trPr>
          <w:trHeight w:val="319"/>
        </w:trPr>
        <w:tc>
          <w:tcPr>
            <w:tcW w:w="740" w:type="pct"/>
            <w:tcBorders>
              <w:top w:val="single" w:sz="4" w:space="0" w:color="auto"/>
              <w:left w:val="single" w:sz="4" w:space="0" w:color="auto"/>
              <w:bottom w:val="single" w:sz="4" w:space="0" w:color="auto"/>
              <w:right w:val="single" w:sz="4" w:space="0" w:color="auto"/>
            </w:tcBorders>
            <w:hideMark/>
          </w:tcPr>
          <w:p w14:paraId="5D25F087"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Median cancer-specific OS </w:t>
            </w:r>
          </w:p>
          <w:p w14:paraId="13895585" w14:textId="3F1A2B0E" w:rsidR="001163D9" w:rsidRPr="001163D9" w:rsidRDefault="008E6F16" w:rsidP="0020487B">
            <w:pPr>
              <w:spacing w:before="60" w:after="60" w:line="288" w:lineRule="auto"/>
              <w:jc w:val="left"/>
              <w:rPr>
                <w:rFonts w:ascii="Arial Narrow" w:eastAsiaTheme="minorEastAsia" w:hAnsi="Arial Narrow"/>
                <w:sz w:val="18"/>
                <w:szCs w:val="18"/>
              </w:rPr>
            </w:pPr>
            <w:r>
              <w:rPr>
                <w:rFonts w:ascii="Arial Narrow" w:hAnsi="Arial Narrow" w:cstheme="minorBidi"/>
                <w:sz w:val="18"/>
                <w:szCs w:val="18"/>
              </w:rPr>
              <w:t>F</w:t>
            </w:r>
            <w:r w:rsidR="001163D9" w:rsidRPr="001163D9">
              <w:rPr>
                <w:rFonts w:ascii="Arial Narrow" w:hAnsi="Arial Narrow" w:cstheme="minorBidi"/>
                <w:sz w:val="18"/>
                <w:szCs w:val="18"/>
              </w:rPr>
              <w:t>ollow up: range 22.5 months to 30.0 months; assessed with: Kaplan-Meier estimate (95%CI)</w:t>
            </w:r>
          </w:p>
        </w:tc>
        <w:tc>
          <w:tcPr>
            <w:tcW w:w="409" w:type="pct"/>
            <w:tcBorders>
              <w:top w:val="single" w:sz="4" w:space="0" w:color="auto"/>
              <w:left w:val="single" w:sz="4" w:space="0" w:color="auto"/>
              <w:bottom w:val="single" w:sz="4" w:space="0" w:color="auto"/>
              <w:right w:val="single" w:sz="4" w:space="0" w:color="auto"/>
            </w:tcBorders>
          </w:tcPr>
          <w:p w14:paraId="16A28711" w14:textId="77777777" w:rsidR="001163D9" w:rsidRPr="001163D9" w:rsidRDefault="001163D9" w:rsidP="0020487B">
            <w:pPr>
              <w:spacing w:before="60" w:after="60" w:line="288" w:lineRule="auto"/>
              <w:jc w:val="left"/>
              <w:rPr>
                <w:rFonts w:ascii="Arial Narrow" w:eastAsiaTheme="minorEastAsia" w:hAnsi="Arial Narrow"/>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2)</w:t>
            </w:r>
          </w:p>
        </w:tc>
        <w:tc>
          <w:tcPr>
            <w:tcW w:w="410" w:type="pct"/>
            <w:tcBorders>
              <w:top w:val="single" w:sz="4" w:space="0" w:color="auto"/>
              <w:left w:val="single" w:sz="4" w:space="0" w:color="auto"/>
              <w:bottom w:val="single" w:sz="4" w:space="0" w:color="auto"/>
              <w:right w:val="single" w:sz="4" w:space="0" w:color="auto"/>
            </w:tcBorders>
          </w:tcPr>
          <w:p w14:paraId="7424500B"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2</w:t>
            </w:r>
          </w:p>
        </w:tc>
        <w:tc>
          <w:tcPr>
            <w:tcW w:w="410" w:type="pct"/>
            <w:tcBorders>
              <w:top w:val="single" w:sz="4" w:space="0" w:color="auto"/>
              <w:left w:val="single" w:sz="4" w:space="0" w:color="auto"/>
              <w:bottom w:val="single" w:sz="4" w:space="0" w:color="auto"/>
              <w:right w:val="single" w:sz="4" w:space="0" w:color="auto"/>
            </w:tcBorders>
          </w:tcPr>
          <w:p w14:paraId="301FB108"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4AD73D46"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3E567734"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5</w:t>
            </w:r>
          </w:p>
        </w:tc>
        <w:tc>
          <w:tcPr>
            <w:tcW w:w="410" w:type="pct"/>
            <w:tcBorders>
              <w:top w:val="single" w:sz="4" w:space="0" w:color="auto"/>
              <w:left w:val="single" w:sz="4" w:space="0" w:color="auto"/>
              <w:bottom w:val="single" w:sz="4" w:space="0" w:color="auto"/>
              <w:right w:val="single" w:sz="4" w:space="0" w:color="auto"/>
            </w:tcBorders>
          </w:tcPr>
          <w:p w14:paraId="1627D864"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11A52748" w14:textId="55E89D34"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Han et al (2015): 1.9 months (95%CI 38.8</w:t>
            </w:r>
            <w:r w:rsidR="007E3D66">
              <w:rPr>
                <w:rFonts w:ascii="Arial Narrow" w:hAnsi="Arial Narrow" w:cstheme="minorBidi"/>
                <w:sz w:val="18"/>
                <w:szCs w:val="18"/>
              </w:rPr>
              <w:t>–</w:t>
            </w:r>
            <w:r w:rsidRPr="001163D9">
              <w:rPr>
                <w:rFonts w:ascii="Arial Narrow" w:hAnsi="Arial Narrow" w:cstheme="minorBidi"/>
                <w:sz w:val="18"/>
                <w:szCs w:val="18"/>
              </w:rPr>
              <w:t>49.9), Yang et al (2014): 41.9 months (95%CI 38.8</w:t>
            </w:r>
            <w:r w:rsidR="007E3D66">
              <w:rPr>
                <w:rFonts w:ascii="Arial Narrow" w:hAnsi="Arial Narrow" w:cstheme="minorBidi"/>
                <w:sz w:val="18"/>
                <w:szCs w:val="18"/>
              </w:rPr>
              <w:t>–</w:t>
            </w:r>
            <w:r w:rsidRPr="001163D9">
              <w:rPr>
                <w:rFonts w:ascii="Arial Narrow" w:hAnsi="Arial Narrow" w:cstheme="minorBidi"/>
                <w:sz w:val="18"/>
                <w:szCs w:val="18"/>
              </w:rPr>
              <w:t xml:space="preserve">49.9) </w:t>
            </w:r>
            <w:r w:rsidRPr="001163D9">
              <w:rPr>
                <w:rFonts w:ascii="Arial Narrow" w:hAnsi="Arial Narrow" w:cstheme="minorBidi"/>
                <w:sz w:val="18"/>
                <w:szCs w:val="18"/>
                <w:vertAlign w:val="superscript"/>
              </w:rPr>
              <w:t>4</w:t>
            </w:r>
          </w:p>
        </w:tc>
        <w:tc>
          <w:tcPr>
            <w:tcW w:w="373" w:type="pct"/>
            <w:tcBorders>
              <w:top w:val="single" w:sz="4" w:space="0" w:color="auto"/>
              <w:left w:val="single" w:sz="4" w:space="0" w:color="auto"/>
              <w:bottom w:val="single" w:sz="4" w:space="0" w:color="auto"/>
              <w:right w:val="single" w:sz="4" w:space="0" w:color="auto"/>
            </w:tcBorders>
          </w:tcPr>
          <w:p w14:paraId="07E0BC6B"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53A8FE61"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CRITICAL </w:t>
            </w:r>
          </w:p>
        </w:tc>
      </w:tr>
      <w:tr w:rsidR="001163D9" w:rsidRPr="001163D9" w14:paraId="19E60D13" w14:textId="77777777" w:rsidTr="00F52C9B">
        <w:trPr>
          <w:trHeight w:val="319"/>
        </w:trPr>
        <w:tc>
          <w:tcPr>
            <w:tcW w:w="740" w:type="pct"/>
            <w:tcBorders>
              <w:top w:val="single" w:sz="4" w:space="0" w:color="auto"/>
              <w:left w:val="single" w:sz="4" w:space="0" w:color="auto"/>
              <w:bottom w:val="single" w:sz="4" w:space="0" w:color="auto"/>
              <w:right w:val="single" w:sz="4" w:space="0" w:color="auto"/>
            </w:tcBorders>
            <w:hideMark/>
          </w:tcPr>
          <w:p w14:paraId="60515363" w14:textId="77777777" w:rsidR="008E6F16" w:rsidRDefault="001163D9" w:rsidP="0020487B">
            <w:pPr>
              <w:spacing w:before="60" w:after="6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 xml:space="preserve">Survival rates at 1-,2-,3- and 4 or 5-years </w:t>
            </w:r>
          </w:p>
          <w:p w14:paraId="7D87CC4B" w14:textId="59CA1902" w:rsidR="001163D9" w:rsidRPr="001163D9" w:rsidRDefault="008E6F16" w:rsidP="0020487B">
            <w:pPr>
              <w:spacing w:before="60" w:after="6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range 22.5 months to 30 months; assessed with: Kaplan-Meier estimate (95% CI not reported)</w:t>
            </w:r>
          </w:p>
        </w:tc>
        <w:tc>
          <w:tcPr>
            <w:tcW w:w="409" w:type="pct"/>
            <w:tcBorders>
              <w:top w:val="single" w:sz="4" w:space="0" w:color="auto"/>
              <w:left w:val="single" w:sz="4" w:space="0" w:color="auto"/>
              <w:bottom w:val="single" w:sz="4" w:space="0" w:color="auto"/>
              <w:right w:val="single" w:sz="4" w:space="0" w:color="auto"/>
            </w:tcBorders>
          </w:tcPr>
          <w:p w14:paraId="5DB5425E" w14:textId="77777777" w:rsidR="001163D9" w:rsidRPr="001163D9" w:rsidRDefault="001163D9" w:rsidP="0020487B">
            <w:pPr>
              <w:spacing w:before="60" w:after="60" w:line="288" w:lineRule="auto"/>
              <w:jc w:val="left"/>
              <w:rPr>
                <w:rFonts w:ascii="Arial Narrow" w:eastAsiaTheme="minorEastAsia" w:hAnsi="Arial Narrow"/>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2)</w:t>
            </w:r>
          </w:p>
        </w:tc>
        <w:tc>
          <w:tcPr>
            <w:tcW w:w="410" w:type="pct"/>
            <w:tcBorders>
              <w:top w:val="single" w:sz="4" w:space="0" w:color="auto"/>
              <w:left w:val="single" w:sz="4" w:space="0" w:color="auto"/>
              <w:bottom w:val="single" w:sz="4" w:space="0" w:color="auto"/>
              <w:right w:val="single" w:sz="4" w:space="0" w:color="auto"/>
            </w:tcBorders>
          </w:tcPr>
          <w:p w14:paraId="0DC00A5C"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2</w:t>
            </w:r>
          </w:p>
        </w:tc>
        <w:tc>
          <w:tcPr>
            <w:tcW w:w="410" w:type="pct"/>
            <w:tcBorders>
              <w:top w:val="single" w:sz="4" w:space="0" w:color="auto"/>
              <w:left w:val="single" w:sz="4" w:space="0" w:color="auto"/>
              <w:bottom w:val="single" w:sz="4" w:space="0" w:color="auto"/>
              <w:right w:val="single" w:sz="4" w:space="0" w:color="auto"/>
            </w:tcBorders>
          </w:tcPr>
          <w:p w14:paraId="1B5A28B7"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6CD8BE48"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5208CD23"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very serious </w:t>
            </w:r>
            <w:r w:rsidRPr="001163D9">
              <w:rPr>
                <w:rFonts w:ascii="Arial Narrow" w:hAnsi="Arial Narrow" w:cstheme="minorBidi"/>
                <w:sz w:val="18"/>
                <w:szCs w:val="18"/>
                <w:vertAlign w:val="superscript"/>
              </w:rPr>
              <w:t>6</w:t>
            </w:r>
          </w:p>
        </w:tc>
        <w:tc>
          <w:tcPr>
            <w:tcW w:w="410" w:type="pct"/>
            <w:tcBorders>
              <w:top w:val="single" w:sz="4" w:space="0" w:color="auto"/>
              <w:left w:val="single" w:sz="4" w:space="0" w:color="auto"/>
              <w:bottom w:val="single" w:sz="4" w:space="0" w:color="auto"/>
              <w:right w:val="single" w:sz="4" w:space="0" w:color="auto"/>
            </w:tcBorders>
          </w:tcPr>
          <w:p w14:paraId="36B290A8"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7B6447CE"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Han et al (2015): 1-year: 91.7%, 2-year: 76.5%, 3-year: 47.9% and 4-year: 47.9% Han et al (2015) cancer-specific: cancer-specific survival rate was 1-year: 94.7%, 2-year: 73.9%, 3-year: 64.7% and 4-year: 64.7%; Yang et al (2015): 1-year: 89%, 2-year 63%, 3-year 43%, and 5-year: 16% </w:t>
            </w:r>
            <w:r w:rsidRPr="001163D9">
              <w:rPr>
                <w:rFonts w:ascii="Arial Narrow" w:hAnsi="Arial Narrow" w:cstheme="minorBidi"/>
                <w:sz w:val="18"/>
                <w:szCs w:val="18"/>
                <w:vertAlign w:val="superscript"/>
              </w:rPr>
              <w:t>4</w:t>
            </w:r>
          </w:p>
        </w:tc>
        <w:tc>
          <w:tcPr>
            <w:tcW w:w="373" w:type="pct"/>
            <w:tcBorders>
              <w:top w:val="single" w:sz="4" w:space="0" w:color="auto"/>
              <w:left w:val="single" w:sz="4" w:space="0" w:color="auto"/>
              <w:bottom w:val="single" w:sz="4" w:space="0" w:color="auto"/>
              <w:right w:val="single" w:sz="4" w:space="0" w:color="auto"/>
            </w:tcBorders>
          </w:tcPr>
          <w:p w14:paraId="5123B4AD"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61D74103"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CRITICAL </w:t>
            </w:r>
          </w:p>
        </w:tc>
      </w:tr>
      <w:tr w:rsidR="001163D9" w:rsidRPr="001163D9" w14:paraId="5540E974" w14:textId="77777777" w:rsidTr="00F52C9B">
        <w:trPr>
          <w:trHeight w:val="319"/>
        </w:trPr>
        <w:tc>
          <w:tcPr>
            <w:tcW w:w="740" w:type="pct"/>
            <w:tcBorders>
              <w:top w:val="single" w:sz="4" w:space="0" w:color="auto"/>
              <w:left w:val="single" w:sz="4" w:space="0" w:color="auto"/>
              <w:bottom w:val="single" w:sz="4" w:space="0" w:color="auto"/>
            </w:tcBorders>
            <w:shd w:val="clear" w:color="auto" w:fill="D9D9D9" w:themeFill="background1" w:themeFillShade="D9"/>
          </w:tcPr>
          <w:p w14:paraId="2990447B" w14:textId="77777777" w:rsidR="001163D9" w:rsidRPr="001163D9" w:rsidRDefault="001163D9" w:rsidP="0020487B">
            <w:pPr>
              <w:spacing w:before="60" w:after="60" w:line="288" w:lineRule="auto"/>
              <w:jc w:val="left"/>
              <w:rPr>
                <w:rFonts w:ascii="Arial Narrow" w:eastAsiaTheme="minorEastAsia" w:hAnsi="Arial Narrow"/>
                <w:b/>
                <w:sz w:val="18"/>
                <w:szCs w:val="18"/>
              </w:rPr>
            </w:pPr>
            <w:r w:rsidRPr="001163D9">
              <w:rPr>
                <w:rFonts w:ascii="Arial Narrow" w:eastAsiaTheme="minorEastAsia" w:hAnsi="Arial Narrow"/>
                <w:b/>
                <w:sz w:val="18"/>
                <w:szCs w:val="18"/>
              </w:rPr>
              <w:t>RFA</w:t>
            </w:r>
          </w:p>
        </w:tc>
        <w:tc>
          <w:tcPr>
            <w:tcW w:w="409" w:type="pct"/>
            <w:tcBorders>
              <w:top w:val="single" w:sz="4" w:space="0" w:color="auto"/>
              <w:bottom w:val="single" w:sz="4" w:space="0" w:color="auto"/>
            </w:tcBorders>
            <w:shd w:val="clear" w:color="auto" w:fill="D9D9D9" w:themeFill="background1" w:themeFillShade="D9"/>
          </w:tcPr>
          <w:p w14:paraId="1E9FED77" w14:textId="77777777" w:rsidR="001163D9" w:rsidRPr="001163D9" w:rsidRDefault="001163D9" w:rsidP="0020487B">
            <w:pPr>
              <w:spacing w:before="60" w:after="60" w:line="288" w:lineRule="auto"/>
              <w:jc w:val="left"/>
              <w:rPr>
                <w:rFonts w:ascii="Arial Narrow" w:eastAsiaTheme="minorEastAsia" w:hAnsi="Arial Narrow"/>
                <w:sz w:val="18"/>
                <w:szCs w:val="18"/>
              </w:rPr>
            </w:pPr>
          </w:p>
        </w:tc>
        <w:tc>
          <w:tcPr>
            <w:tcW w:w="410" w:type="pct"/>
            <w:tcBorders>
              <w:top w:val="single" w:sz="4" w:space="0" w:color="auto"/>
              <w:bottom w:val="single" w:sz="4" w:space="0" w:color="auto"/>
            </w:tcBorders>
            <w:shd w:val="clear" w:color="auto" w:fill="D9D9D9" w:themeFill="background1" w:themeFillShade="D9"/>
          </w:tcPr>
          <w:p w14:paraId="7865AC58"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6F919C0F"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401CE176"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2F024901"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05B77CBD"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927" w:type="pct"/>
            <w:tcBorders>
              <w:top w:val="single" w:sz="4" w:space="0" w:color="auto"/>
              <w:bottom w:val="single" w:sz="4" w:space="0" w:color="auto"/>
            </w:tcBorders>
            <w:shd w:val="clear" w:color="auto" w:fill="D9D9D9" w:themeFill="background1" w:themeFillShade="D9"/>
          </w:tcPr>
          <w:p w14:paraId="6B391C2D"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373" w:type="pct"/>
            <w:tcBorders>
              <w:top w:val="single" w:sz="4" w:space="0" w:color="auto"/>
              <w:bottom w:val="single" w:sz="4" w:space="0" w:color="auto"/>
            </w:tcBorders>
            <w:shd w:val="clear" w:color="auto" w:fill="D9D9D9" w:themeFill="background1" w:themeFillShade="D9"/>
          </w:tcPr>
          <w:p w14:paraId="08FAC910" w14:textId="77777777" w:rsidR="001163D9" w:rsidRPr="001163D9" w:rsidRDefault="001163D9" w:rsidP="0020487B">
            <w:pPr>
              <w:spacing w:before="60" w:after="60" w:line="288" w:lineRule="auto"/>
              <w:jc w:val="left"/>
              <w:rPr>
                <w:rFonts w:ascii="Cambria Math" w:hAnsi="Cambria Math" w:cs="Cambria Math"/>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18000EB5" w14:textId="77777777" w:rsidR="001163D9" w:rsidRPr="001163D9" w:rsidRDefault="001163D9" w:rsidP="0020487B">
            <w:pPr>
              <w:spacing w:before="60" w:after="60" w:line="288" w:lineRule="auto"/>
              <w:jc w:val="left"/>
              <w:rPr>
                <w:rFonts w:ascii="Arial Narrow" w:hAnsi="Arial Narrow" w:cstheme="minorBidi"/>
                <w:sz w:val="18"/>
                <w:szCs w:val="18"/>
              </w:rPr>
            </w:pPr>
          </w:p>
        </w:tc>
      </w:tr>
      <w:tr w:rsidR="001163D9" w:rsidRPr="001163D9" w14:paraId="4E4EC890" w14:textId="77777777" w:rsidTr="001B7083">
        <w:trPr>
          <w:trHeight w:val="319"/>
        </w:trPr>
        <w:tc>
          <w:tcPr>
            <w:tcW w:w="740" w:type="pct"/>
            <w:tcBorders>
              <w:top w:val="single" w:sz="4" w:space="0" w:color="auto"/>
              <w:left w:val="single" w:sz="4" w:space="0" w:color="auto"/>
              <w:bottom w:val="single" w:sz="4" w:space="0" w:color="auto"/>
              <w:right w:val="single" w:sz="4" w:space="0" w:color="auto"/>
            </w:tcBorders>
          </w:tcPr>
          <w:p w14:paraId="3648EDB8" w14:textId="77777777" w:rsidR="001163D9" w:rsidRPr="001163D9" w:rsidRDefault="001163D9" w:rsidP="0020487B">
            <w:pPr>
              <w:spacing w:before="60" w:after="6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lastRenderedPageBreak/>
              <w:t>Median OS</w:t>
            </w:r>
          </w:p>
          <w:p w14:paraId="26D478DF" w14:textId="77777777" w:rsidR="001163D9" w:rsidRPr="001163D9" w:rsidRDefault="001163D9" w:rsidP="0020487B">
            <w:pPr>
              <w:spacing w:before="60" w:after="6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Follow up: range 19 months to 37 months; assessed with: Kaplan-Meier estimate (95%CI)</w:t>
            </w:r>
          </w:p>
        </w:tc>
        <w:tc>
          <w:tcPr>
            <w:tcW w:w="409" w:type="pct"/>
            <w:tcBorders>
              <w:top w:val="single" w:sz="4" w:space="0" w:color="auto"/>
              <w:left w:val="single" w:sz="4" w:space="0" w:color="auto"/>
              <w:bottom w:val="single" w:sz="4" w:space="0" w:color="auto"/>
              <w:right w:val="single" w:sz="4" w:space="0" w:color="auto"/>
            </w:tcBorders>
          </w:tcPr>
          <w:p w14:paraId="402DD25C" w14:textId="77777777" w:rsidR="001163D9" w:rsidRPr="001163D9" w:rsidRDefault="001163D9" w:rsidP="0020487B">
            <w:pPr>
              <w:spacing w:before="60" w:after="60" w:line="288" w:lineRule="auto"/>
              <w:jc w:val="left"/>
              <w:rPr>
                <w:rFonts w:ascii="Arial Narrow" w:eastAsiaTheme="minorEastAsia" w:hAnsi="Arial Narrow"/>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5)</w:t>
            </w:r>
          </w:p>
        </w:tc>
        <w:tc>
          <w:tcPr>
            <w:tcW w:w="410" w:type="pct"/>
            <w:tcBorders>
              <w:top w:val="single" w:sz="4" w:space="0" w:color="auto"/>
              <w:left w:val="single" w:sz="4" w:space="0" w:color="auto"/>
              <w:bottom w:val="single" w:sz="4" w:space="0" w:color="auto"/>
              <w:right w:val="single" w:sz="4" w:space="0" w:color="auto"/>
            </w:tcBorders>
          </w:tcPr>
          <w:p w14:paraId="38EBFAF9"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2</w:t>
            </w:r>
          </w:p>
        </w:tc>
        <w:tc>
          <w:tcPr>
            <w:tcW w:w="410" w:type="pct"/>
            <w:tcBorders>
              <w:top w:val="single" w:sz="4" w:space="0" w:color="auto"/>
              <w:left w:val="single" w:sz="4" w:space="0" w:color="auto"/>
              <w:bottom w:val="single" w:sz="4" w:space="0" w:color="auto"/>
              <w:right w:val="single" w:sz="4" w:space="0" w:color="auto"/>
            </w:tcBorders>
          </w:tcPr>
          <w:p w14:paraId="5007FD58"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5D8EFF78"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51EB8B04"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8</w:t>
            </w:r>
          </w:p>
        </w:tc>
        <w:tc>
          <w:tcPr>
            <w:tcW w:w="410" w:type="pct"/>
            <w:tcBorders>
              <w:top w:val="single" w:sz="4" w:space="0" w:color="auto"/>
              <w:left w:val="single" w:sz="4" w:space="0" w:color="auto"/>
              <w:bottom w:val="single" w:sz="4" w:space="0" w:color="auto"/>
              <w:right w:val="single" w:sz="4" w:space="0" w:color="auto"/>
            </w:tcBorders>
          </w:tcPr>
          <w:p w14:paraId="5440EBEC"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59A7A3E9" w14:textId="555307AE"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Median overall survival: 44.3 months (range: 36.5</w:t>
            </w:r>
            <w:r w:rsidR="007E3D66">
              <w:rPr>
                <w:rFonts w:ascii="Arial Narrow" w:hAnsi="Arial Narrow" w:cstheme="minorBidi"/>
                <w:sz w:val="18"/>
                <w:szCs w:val="18"/>
              </w:rPr>
              <w:t>–</w:t>
            </w:r>
            <w:r w:rsidRPr="001163D9">
              <w:rPr>
                <w:rFonts w:ascii="Arial Narrow" w:hAnsi="Arial Narrow" w:cstheme="minorBidi"/>
                <w:sz w:val="18"/>
                <w:szCs w:val="18"/>
              </w:rPr>
              <w:t xml:space="preserve">67). This was generated from Kaplan-Meier estimates. </w:t>
            </w:r>
          </w:p>
        </w:tc>
        <w:tc>
          <w:tcPr>
            <w:tcW w:w="373" w:type="pct"/>
            <w:tcBorders>
              <w:top w:val="single" w:sz="4" w:space="0" w:color="auto"/>
              <w:left w:val="single" w:sz="4" w:space="0" w:color="auto"/>
              <w:bottom w:val="single" w:sz="4" w:space="0" w:color="auto"/>
              <w:right w:val="single" w:sz="4" w:space="0" w:color="auto"/>
            </w:tcBorders>
          </w:tcPr>
          <w:p w14:paraId="0F48000F"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5836EDD4"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CRITICAL </w:t>
            </w:r>
          </w:p>
        </w:tc>
      </w:tr>
      <w:tr w:rsidR="001163D9" w:rsidRPr="001163D9" w14:paraId="0B05C9CA" w14:textId="77777777" w:rsidTr="001B7083">
        <w:trPr>
          <w:trHeight w:val="319"/>
        </w:trPr>
        <w:tc>
          <w:tcPr>
            <w:tcW w:w="740" w:type="pct"/>
            <w:tcBorders>
              <w:top w:val="single" w:sz="4" w:space="0" w:color="auto"/>
              <w:left w:val="single" w:sz="4" w:space="0" w:color="auto"/>
              <w:bottom w:val="single" w:sz="4" w:space="0" w:color="auto"/>
              <w:right w:val="single" w:sz="4" w:space="0" w:color="auto"/>
            </w:tcBorders>
          </w:tcPr>
          <w:p w14:paraId="4D8369B6" w14:textId="77777777" w:rsidR="00AF7D40" w:rsidRDefault="001163D9" w:rsidP="0020487B">
            <w:pPr>
              <w:spacing w:before="60" w:after="6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 xml:space="preserve">Survival rates at 1-,2-,3- and 4 or 5-years with RFA </w:t>
            </w:r>
          </w:p>
          <w:p w14:paraId="3F712164" w14:textId="7592F3DB" w:rsidR="001163D9" w:rsidRPr="001163D9" w:rsidRDefault="00AF7D40" w:rsidP="0020487B">
            <w:pPr>
              <w:spacing w:before="60" w:after="6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 xml:space="preserve">ollow up: range 19 months to 46 months; assessed with: Kaplan-Meier </w:t>
            </w:r>
            <w:r>
              <w:rPr>
                <w:rFonts w:ascii="Arial Narrow" w:eastAsiaTheme="minorEastAsia" w:hAnsi="Arial Narrow"/>
                <w:sz w:val="18"/>
                <w:szCs w:val="18"/>
              </w:rPr>
              <w:t>estimate (95%CI not reported)</w:t>
            </w:r>
            <w:r w:rsidR="001163D9" w:rsidRPr="001163D9">
              <w:rPr>
                <w:rFonts w:ascii="Arial Narrow" w:eastAsiaTheme="minorEastAsia" w:hAnsi="Arial Narrow"/>
                <w:sz w:val="18"/>
                <w:szCs w:val="18"/>
              </w:rPr>
              <w:t>9</w:t>
            </w:r>
          </w:p>
        </w:tc>
        <w:tc>
          <w:tcPr>
            <w:tcW w:w="409" w:type="pct"/>
            <w:tcBorders>
              <w:top w:val="single" w:sz="4" w:space="0" w:color="auto"/>
              <w:left w:val="single" w:sz="4" w:space="0" w:color="auto"/>
              <w:bottom w:val="single" w:sz="4" w:space="0" w:color="auto"/>
              <w:right w:val="single" w:sz="4" w:space="0" w:color="auto"/>
            </w:tcBorders>
          </w:tcPr>
          <w:p w14:paraId="721AD470" w14:textId="77777777" w:rsidR="001163D9" w:rsidRPr="001163D9" w:rsidRDefault="001163D9" w:rsidP="0020487B">
            <w:pPr>
              <w:spacing w:before="60" w:after="60" w:line="288" w:lineRule="auto"/>
              <w:jc w:val="left"/>
              <w:rPr>
                <w:rFonts w:ascii="Arial Narrow" w:eastAsiaTheme="minorEastAsia" w:hAnsi="Arial Narrow"/>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8)</w:t>
            </w:r>
          </w:p>
        </w:tc>
        <w:tc>
          <w:tcPr>
            <w:tcW w:w="410" w:type="pct"/>
            <w:tcBorders>
              <w:top w:val="single" w:sz="4" w:space="0" w:color="auto"/>
              <w:left w:val="single" w:sz="4" w:space="0" w:color="auto"/>
              <w:bottom w:val="single" w:sz="4" w:space="0" w:color="auto"/>
              <w:right w:val="single" w:sz="4" w:space="0" w:color="auto"/>
            </w:tcBorders>
          </w:tcPr>
          <w:p w14:paraId="0A54C819"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2</w:t>
            </w:r>
          </w:p>
        </w:tc>
        <w:tc>
          <w:tcPr>
            <w:tcW w:w="410" w:type="pct"/>
            <w:tcBorders>
              <w:top w:val="single" w:sz="4" w:space="0" w:color="auto"/>
              <w:left w:val="single" w:sz="4" w:space="0" w:color="auto"/>
              <w:bottom w:val="single" w:sz="4" w:space="0" w:color="auto"/>
              <w:right w:val="single" w:sz="4" w:space="0" w:color="auto"/>
            </w:tcBorders>
          </w:tcPr>
          <w:p w14:paraId="718D20D9"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4E3226C2"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7505B91D"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very serious </w:t>
            </w:r>
            <w:r w:rsidRPr="001163D9">
              <w:rPr>
                <w:rFonts w:ascii="Arial Narrow" w:hAnsi="Arial Narrow" w:cstheme="minorBidi"/>
                <w:sz w:val="18"/>
                <w:szCs w:val="18"/>
                <w:vertAlign w:val="superscript"/>
              </w:rPr>
              <w:t>10</w:t>
            </w:r>
          </w:p>
        </w:tc>
        <w:tc>
          <w:tcPr>
            <w:tcW w:w="410" w:type="pct"/>
            <w:tcBorders>
              <w:top w:val="single" w:sz="4" w:space="0" w:color="auto"/>
              <w:left w:val="single" w:sz="4" w:space="0" w:color="auto"/>
              <w:bottom w:val="single" w:sz="4" w:space="0" w:color="auto"/>
              <w:right w:val="single" w:sz="4" w:space="0" w:color="auto"/>
            </w:tcBorders>
          </w:tcPr>
          <w:p w14:paraId="779B892A"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24EA055F" w14:textId="23D108FE"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1-year median survival </w:t>
            </w:r>
            <w:r w:rsidR="00CA6DFD" w:rsidRPr="001163D9">
              <w:rPr>
                <w:rFonts w:ascii="Arial Narrow" w:hAnsi="Arial Narrow" w:cstheme="minorBidi"/>
                <w:sz w:val="18"/>
                <w:szCs w:val="18"/>
              </w:rPr>
              <w:t>rate:</w:t>
            </w:r>
            <w:r w:rsidRPr="001163D9">
              <w:rPr>
                <w:rFonts w:ascii="Arial Narrow" w:hAnsi="Arial Narrow" w:cstheme="minorBidi"/>
                <w:sz w:val="18"/>
                <w:szCs w:val="18"/>
              </w:rPr>
              <w:t xml:space="preserve"> 86.3% (range 83</w:t>
            </w:r>
            <w:r w:rsidR="007E3D66">
              <w:rPr>
                <w:rFonts w:ascii="Arial Narrow" w:hAnsi="Arial Narrow" w:cstheme="minorBidi"/>
                <w:sz w:val="18"/>
                <w:szCs w:val="18"/>
              </w:rPr>
              <w:t>–</w:t>
            </w:r>
            <w:r w:rsidRPr="001163D9">
              <w:rPr>
                <w:rFonts w:ascii="Arial Narrow" w:hAnsi="Arial Narrow" w:cstheme="minorBidi"/>
                <w:sz w:val="18"/>
                <w:szCs w:val="18"/>
              </w:rPr>
              <w:t>100%); 2-year: 74% (69.8</w:t>
            </w:r>
            <w:r w:rsidR="007E3D66">
              <w:rPr>
                <w:rFonts w:ascii="Arial Narrow" w:hAnsi="Arial Narrow" w:cstheme="minorBidi"/>
                <w:sz w:val="18"/>
                <w:szCs w:val="18"/>
              </w:rPr>
              <w:t>–</w:t>
            </w:r>
            <w:r w:rsidRPr="001163D9">
              <w:rPr>
                <w:rFonts w:ascii="Arial Narrow" w:hAnsi="Arial Narrow" w:cstheme="minorBidi"/>
                <w:sz w:val="18"/>
                <w:szCs w:val="18"/>
              </w:rPr>
              <w:t>86%); 3-year: 62.75% (40</w:t>
            </w:r>
            <w:r w:rsidR="007E3D66">
              <w:rPr>
                <w:rFonts w:ascii="Arial Narrow" w:hAnsi="Arial Narrow" w:cstheme="minorBidi"/>
                <w:sz w:val="18"/>
                <w:szCs w:val="18"/>
              </w:rPr>
              <w:t>–</w:t>
            </w:r>
            <w:r w:rsidRPr="001163D9">
              <w:rPr>
                <w:rFonts w:ascii="Arial Narrow" w:hAnsi="Arial Narrow" w:cstheme="minorBidi"/>
                <w:sz w:val="18"/>
                <w:szCs w:val="18"/>
              </w:rPr>
              <w:t>74%); 5-year: 28% (14</w:t>
            </w:r>
            <w:r w:rsidR="007E3D66">
              <w:rPr>
                <w:rFonts w:ascii="Arial Narrow" w:hAnsi="Arial Narrow" w:cstheme="minorBidi"/>
                <w:sz w:val="18"/>
                <w:szCs w:val="18"/>
              </w:rPr>
              <w:t>–</w:t>
            </w:r>
            <w:r w:rsidRPr="001163D9">
              <w:rPr>
                <w:rFonts w:ascii="Arial Narrow" w:hAnsi="Arial Narrow" w:cstheme="minorBidi"/>
                <w:sz w:val="18"/>
                <w:szCs w:val="18"/>
              </w:rPr>
              <w:t xml:space="preserve">61%) </w:t>
            </w:r>
          </w:p>
        </w:tc>
        <w:tc>
          <w:tcPr>
            <w:tcW w:w="373" w:type="pct"/>
            <w:tcBorders>
              <w:top w:val="single" w:sz="4" w:space="0" w:color="auto"/>
              <w:left w:val="single" w:sz="4" w:space="0" w:color="auto"/>
              <w:bottom w:val="single" w:sz="4" w:space="0" w:color="auto"/>
              <w:right w:val="single" w:sz="4" w:space="0" w:color="auto"/>
            </w:tcBorders>
          </w:tcPr>
          <w:p w14:paraId="40DCE3C1"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751A3F92"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IMPORTANT </w:t>
            </w:r>
          </w:p>
        </w:tc>
      </w:tr>
      <w:tr w:rsidR="001163D9" w:rsidRPr="001163D9" w14:paraId="4EF844CC" w14:textId="77777777" w:rsidTr="00D127B6">
        <w:trPr>
          <w:trHeight w:val="319"/>
        </w:trPr>
        <w:tc>
          <w:tcPr>
            <w:tcW w:w="740" w:type="pct"/>
            <w:tcBorders>
              <w:top w:val="single" w:sz="4" w:space="0" w:color="auto"/>
              <w:left w:val="single" w:sz="4" w:space="0" w:color="auto"/>
              <w:bottom w:val="single" w:sz="4" w:space="0" w:color="auto"/>
              <w:right w:val="single" w:sz="4" w:space="0" w:color="auto"/>
            </w:tcBorders>
          </w:tcPr>
          <w:p w14:paraId="638F1572" w14:textId="77777777" w:rsidR="008E6F16" w:rsidRDefault="001163D9" w:rsidP="00603FA4">
            <w:pPr>
              <w:spacing w:before="60" w:after="6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 xml:space="preserve">Median time to </w:t>
            </w:r>
            <w:r w:rsidR="00603FA4">
              <w:rPr>
                <w:rFonts w:ascii="Arial Narrow" w:eastAsiaTheme="minorEastAsia" w:hAnsi="Arial Narrow"/>
                <w:sz w:val="18"/>
                <w:szCs w:val="18"/>
              </w:rPr>
              <w:t xml:space="preserve">local progression or recurrence </w:t>
            </w:r>
          </w:p>
          <w:p w14:paraId="781B06B2" w14:textId="03369727" w:rsidR="001163D9" w:rsidRPr="001163D9" w:rsidRDefault="00603FA4" w:rsidP="00603FA4">
            <w:pPr>
              <w:spacing w:before="60" w:after="6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range 19 months to 46 months; assessed with: Kaplan-Meier estimate (95%CI not reported)</w:t>
            </w:r>
          </w:p>
        </w:tc>
        <w:tc>
          <w:tcPr>
            <w:tcW w:w="409" w:type="pct"/>
            <w:tcBorders>
              <w:top w:val="single" w:sz="4" w:space="0" w:color="auto"/>
              <w:left w:val="single" w:sz="4" w:space="0" w:color="auto"/>
              <w:bottom w:val="single" w:sz="4" w:space="0" w:color="auto"/>
              <w:right w:val="single" w:sz="4" w:space="0" w:color="auto"/>
            </w:tcBorders>
          </w:tcPr>
          <w:p w14:paraId="3FDCE355" w14:textId="77777777" w:rsidR="001163D9" w:rsidRPr="001163D9" w:rsidRDefault="001163D9" w:rsidP="0020487B">
            <w:pPr>
              <w:spacing w:before="60" w:after="60" w:line="288" w:lineRule="auto"/>
              <w:jc w:val="left"/>
              <w:rPr>
                <w:rFonts w:ascii="Arial Narrow" w:eastAsiaTheme="minorEastAsia" w:hAnsi="Arial Narrow"/>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4)</w:t>
            </w:r>
            <w:r w:rsidR="00C10752" w:rsidRPr="001163D9">
              <w:rPr>
                <w:rFonts w:ascii="Arial Narrow" w:hAnsi="Arial Narrow" w:cstheme="minorBidi"/>
                <w:sz w:val="18"/>
                <w:szCs w:val="18"/>
                <w:vertAlign w:val="superscript"/>
              </w:rPr>
              <w:t xml:space="preserve"> 11</w:t>
            </w:r>
          </w:p>
        </w:tc>
        <w:tc>
          <w:tcPr>
            <w:tcW w:w="410" w:type="pct"/>
            <w:tcBorders>
              <w:top w:val="single" w:sz="4" w:space="0" w:color="auto"/>
              <w:left w:val="single" w:sz="4" w:space="0" w:color="auto"/>
              <w:bottom w:val="single" w:sz="4" w:space="0" w:color="auto"/>
              <w:right w:val="single" w:sz="4" w:space="0" w:color="auto"/>
            </w:tcBorders>
          </w:tcPr>
          <w:p w14:paraId="180A19B6"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2</w:t>
            </w:r>
          </w:p>
        </w:tc>
        <w:tc>
          <w:tcPr>
            <w:tcW w:w="410" w:type="pct"/>
            <w:tcBorders>
              <w:top w:val="single" w:sz="4" w:space="0" w:color="auto"/>
              <w:left w:val="single" w:sz="4" w:space="0" w:color="auto"/>
              <w:bottom w:val="single" w:sz="4" w:space="0" w:color="auto"/>
              <w:right w:val="single" w:sz="4" w:space="0" w:color="auto"/>
            </w:tcBorders>
          </w:tcPr>
          <w:p w14:paraId="568908D3"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622458D9"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277160A3"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very serious </w:t>
            </w:r>
            <w:r w:rsidRPr="001163D9">
              <w:rPr>
                <w:rFonts w:ascii="Arial Narrow" w:hAnsi="Arial Narrow" w:cstheme="minorBidi"/>
                <w:sz w:val="18"/>
                <w:szCs w:val="18"/>
                <w:vertAlign w:val="superscript"/>
              </w:rPr>
              <w:t>12</w:t>
            </w:r>
          </w:p>
        </w:tc>
        <w:tc>
          <w:tcPr>
            <w:tcW w:w="410" w:type="pct"/>
            <w:tcBorders>
              <w:top w:val="single" w:sz="4" w:space="0" w:color="auto"/>
              <w:left w:val="single" w:sz="4" w:space="0" w:color="auto"/>
              <w:bottom w:val="single" w:sz="4" w:space="0" w:color="auto"/>
              <w:right w:val="single" w:sz="4" w:space="0" w:color="auto"/>
            </w:tcBorders>
          </w:tcPr>
          <w:p w14:paraId="439524F5"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4BB79961" w14:textId="27D86F22"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Ambrogi et al (2011): Median of 39 months (range NR); Lanuti et al (2012): mean (SD) of 12 (10) months, range 1</w:t>
            </w:r>
            <w:r w:rsidR="007E3D66">
              <w:rPr>
                <w:rFonts w:ascii="Arial Narrow" w:hAnsi="Arial Narrow" w:cstheme="minorBidi"/>
                <w:sz w:val="18"/>
                <w:szCs w:val="18"/>
              </w:rPr>
              <w:t>–</w:t>
            </w:r>
            <w:r w:rsidRPr="001163D9">
              <w:rPr>
                <w:rFonts w:ascii="Arial Narrow" w:hAnsi="Arial Narrow" w:cstheme="minorBidi"/>
                <w:sz w:val="18"/>
                <w:szCs w:val="18"/>
              </w:rPr>
              <w:t>44; Liu et al (2012): mean (SD): 25 (11) months, range 4</w:t>
            </w:r>
            <w:r w:rsidR="007E3D66">
              <w:rPr>
                <w:rFonts w:ascii="Arial Narrow" w:hAnsi="Arial Narrow" w:cstheme="minorBidi"/>
                <w:sz w:val="18"/>
                <w:szCs w:val="18"/>
              </w:rPr>
              <w:t>–</w:t>
            </w:r>
            <w:r w:rsidRPr="001163D9">
              <w:rPr>
                <w:rFonts w:ascii="Arial Narrow" w:hAnsi="Arial Narrow" w:cstheme="minorBidi"/>
                <w:sz w:val="18"/>
                <w:szCs w:val="18"/>
              </w:rPr>
              <w:t>35; Safi et al (2015): 11.9 ± 8.1 (1</w:t>
            </w:r>
            <w:r w:rsidR="007E3D66">
              <w:rPr>
                <w:rFonts w:ascii="Arial Narrow" w:hAnsi="Arial Narrow" w:cstheme="minorBidi"/>
                <w:sz w:val="18"/>
                <w:szCs w:val="18"/>
              </w:rPr>
              <w:t>–</w:t>
            </w:r>
            <w:r w:rsidRPr="001163D9">
              <w:rPr>
                <w:rFonts w:ascii="Arial Narrow" w:hAnsi="Arial Narrow" w:cstheme="minorBidi"/>
                <w:sz w:val="18"/>
                <w:szCs w:val="18"/>
              </w:rPr>
              <w:t>24) months with RFA and 6.0 ± 3.0 (1</w:t>
            </w:r>
            <w:r w:rsidR="007E3D66">
              <w:rPr>
                <w:rFonts w:ascii="Arial Narrow" w:hAnsi="Arial Narrow" w:cstheme="minorBidi"/>
                <w:sz w:val="18"/>
                <w:szCs w:val="18"/>
              </w:rPr>
              <w:t>–</w:t>
            </w:r>
            <w:r w:rsidRPr="001163D9">
              <w:rPr>
                <w:rFonts w:ascii="Arial Narrow" w:hAnsi="Arial Narrow" w:cstheme="minorBidi"/>
                <w:sz w:val="18"/>
                <w:szCs w:val="18"/>
              </w:rPr>
              <w:t>46) months with radiotherapy, p</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 xml:space="preserve">0.36 for test of significance </w:t>
            </w:r>
          </w:p>
        </w:tc>
        <w:tc>
          <w:tcPr>
            <w:tcW w:w="373" w:type="pct"/>
            <w:tcBorders>
              <w:top w:val="single" w:sz="4" w:space="0" w:color="auto"/>
              <w:left w:val="single" w:sz="4" w:space="0" w:color="auto"/>
              <w:bottom w:val="single" w:sz="4" w:space="0" w:color="auto"/>
              <w:right w:val="single" w:sz="4" w:space="0" w:color="auto"/>
            </w:tcBorders>
          </w:tcPr>
          <w:p w14:paraId="5D83F7ED"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2ACB2933"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IMPORTANT </w:t>
            </w:r>
          </w:p>
        </w:tc>
      </w:tr>
      <w:tr w:rsidR="001163D9" w:rsidRPr="001163D9" w14:paraId="57DC70A5" w14:textId="77777777" w:rsidTr="00D127B6">
        <w:trPr>
          <w:trHeight w:val="319"/>
        </w:trPr>
        <w:tc>
          <w:tcPr>
            <w:tcW w:w="740" w:type="pct"/>
            <w:tcBorders>
              <w:top w:val="single" w:sz="4" w:space="0" w:color="auto"/>
              <w:left w:val="single" w:sz="4" w:space="0" w:color="auto"/>
              <w:bottom w:val="single" w:sz="4" w:space="0" w:color="auto"/>
            </w:tcBorders>
            <w:shd w:val="clear" w:color="auto" w:fill="D9D9D9" w:themeFill="background1" w:themeFillShade="D9"/>
          </w:tcPr>
          <w:p w14:paraId="25741396" w14:textId="77777777" w:rsidR="001163D9" w:rsidRPr="001163D9" w:rsidRDefault="001163D9" w:rsidP="0020487B">
            <w:pPr>
              <w:spacing w:before="60" w:after="60" w:line="288" w:lineRule="auto"/>
              <w:jc w:val="left"/>
              <w:rPr>
                <w:rFonts w:ascii="Arial Narrow" w:eastAsiaTheme="minorEastAsia" w:hAnsi="Arial Narrow"/>
                <w:b/>
                <w:sz w:val="18"/>
                <w:szCs w:val="18"/>
              </w:rPr>
            </w:pPr>
            <w:r w:rsidRPr="001163D9">
              <w:rPr>
                <w:rFonts w:ascii="Arial Narrow" w:eastAsiaTheme="minorEastAsia" w:hAnsi="Arial Narrow"/>
                <w:b/>
                <w:sz w:val="18"/>
                <w:szCs w:val="18"/>
              </w:rPr>
              <w:t>Radiotherapy</w:t>
            </w:r>
          </w:p>
        </w:tc>
        <w:tc>
          <w:tcPr>
            <w:tcW w:w="409" w:type="pct"/>
            <w:tcBorders>
              <w:top w:val="single" w:sz="4" w:space="0" w:color="auto"/>
              <w:bottom w:val="single" w:sz="4" w:space="0" w:color="auto"/>
            </w:tcBorders>
            <w:shd w:val="clear" w:color="auto" w:fill="D9D9D9" w:themeFill="background1" w:themeFillShade="D9"/>
          </w:tcPr>
          <w:p w14:paraId="71203449" w14:textId="77777777" w:rsidR="001163D9" w:rsidRPr="001163D9" w:rsidRDefault="001163D9" w:rsidP="0020487B">
            <w:pPr>
              <w:spacing w:before="60" w:after="60" w:line="288" w:lineRule="auto"/>
              <w:jc w:val="left"/>
              <w:rPr>
                <w:rFonts w:ascii="Arial Narrow" w:eastAsiaTheme="minorEastAsia" w:hAnsi="Arial Narrow"/>
                <w:sz w:val="18"/>
                <w:szCs w:val="18"/>
              </w:rPr>
            </w:pPr>
          </w:p>
        </w:tc>
        <w:tc>
          <w:tcPr>
            <w:tcW w:w="410" w:type="pct"/>
            <w:tcBorders>
              <w:top w:val="single" w:sz="4" w:space="0" w:color="auto"/>
              <w:bottom w:val="single" w:sz="4" w:space="0" w:color="auto"/>
            </w:tcBorders>
            <w:shd w:val="clear" w:color="auto" w:fill="D9D9D9" w:themeFill="background1" w:themeFillShade="D9"/>
          </w:tcPr>
          <w:p w14:paraId="7B82C9B4"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638101E3"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67325946"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1197BD48"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05452763"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927" w:type="pct"/>
            <w:tcBorders>
              <w:top w:val="single" w:sz="4" w:space="0" w:color="auto"/>
              <w:bottom w:val="single" w:sz="4" w:space="0" w:color="auto"/>
            </w:tcBorders>
            <w:shd w:val="clear" w:color="auto" w:fill="D9D9D9" w:themeFill="background1" w:themeFillShade="D9"/>
          </w:tcPr>
          <w:p w14:paraId="4904A53B" w14:textId="77777777" w:rsidR="001163D9" w:rsidRPr="001163D9" w:rsidRDefault="001163D9" w:rsidP="0020487B">
            <w:pPr>
              <w:spacing w:before="60" w:after="60" w:line="288" w:lineRule="auto"/>
              <w:jc w:val="left"/>
              <w:rPr>
                <w:rFonts w:ascii="Arial Narrow" w:hAnsi="Arial Narrow" w:cstheme="minorBidi"/>
                <w:sz w:val="18"/>
                <w:szCs w:val="18"/>
              </w:rPr>
            </w:pPr>
          </w:p>
        </w:tc>
        <w:tc>
          <w:tcPr>
            <w:tcW w:w="373" w:type="pct"/>
            <w:tcBorders>
              <w:top w:val="single" w:sz="4" w:space="0" w:color="auto"/>
              <w:bottom w:val="single" w:sz="4" w:space="0" w:color="auto"/>
            </w:tcBorders>
            <w:shd w:val="clear" w:color="auto" w:fill="D9D9D9" w:themeFill="background1" w:themeFillShade="D9"/>
          </w:tcPr>
          <w:p w14:paraId="52439EFA" w14:textId="77777777" w:rsidR="001163D9" w:rsidRPr="001163D9" w:rsidRDefault="001163D9" w:rsidP="0020487B">
            <w:pPr>
              <w:spacing w:before="60" w:after="60" w:line="288" w:lineRule="auto"/>
              <w:jc w:val="left"/>
              <w:rPr>
                <w:rFonts w:ascii="Cambria Math" w:hAnsi="Cambria Math" w:cs="Cambria Math"/>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0736AECC" w14:textId="77777777" w:rsidR="001163D9" w:rsidRPr="001163D9" w:rsidRDefault="001163D9" w:rsidP="0020487B">
            <w:pPr>
              <w:spacing w:before="60" w:after="60" w:line="288" w:lineRule="auto"/>
              <w:jc w:val="left"/>
              <w:rPr>
                <w:rFonts w:ascii="Arial Narrow" w:hAnsi="Arial Narrow" w:cstheme="minorBidi"/>
                <w:sz w:val="18"/>
                <w:szCs w:val="18"/>
              </w:rPr>
            </w:pPr>
          </w:p>
        </w:tc>
      </w:tr>
      <w:tr w:rsidR="001163D9" w:rsidRPr="001163D9" w14:paraId="0DAD7907" w14:textId="77777777" w:rsidTr="001B7083">
        <w:trPr>
          <w:trHeight w:val="319"/>
        </w:trPr>
        <w:tc>
          <w:tcPr>
            <w:tcW w:w="740" w:type="pct"/>
            <w:tcBorders>
              <w:top w:val="single" w:sz="4" w:space="0" w:color="auto"/>
              <w:left w:val="single" w:sz="4" w:space="0" w:color="auto"/>
              <w:bottom w:val="single" w:sz="4" w:space="0" w:color="auto"/>
              <w:right w:val="single" w:sz="4" w:space="0" w:color="auto"/>
            </w:tcBorders>
          </w:tcPr>
          <w:p w14:paraId="40F5E4EB" w14:textId="77777777" w:rsidR="00FB4596"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Survival rates at 1-,2-,3- and 4 or 5-years </w:t>
            </w:r>
          </w:p>
          <w:p w14:paraId="3EDA4E0C" w14:textId="1F217F0A" w:rsidR="001163D9" w:rsidRPr="001163D9" w:rsidRDefault="00FB4596" w:rsidP="00FB4596">
            <w:pPr>
              <w:spacing w:before="60" w:after="60" w:line="288" w:lineRule="auto"/>
              <w:jc w:val="left"/>
              <w:rPr>
                <w:rFonts w:ascii="Arial Narrow" w:eastAsiaTheme="minorEastAsia" w:hAnsi="Arial Narrow"/>
                <w:sz w:val="18"/>
                <w:szCs w:val="18"/>
              </w:rPr>
            </w:pPr>
            <w:r>
              <w:rPr>
                <w:rFonts w:ascii="Arial Narrow" w:hAnsi="Arial Narrow" w:cstheme="minorBidi"/>
                <w:sz w:val="18"/>
                <w:szCs w:val="18"/>
              </w:rPr>
              <w:t>F</w:t>
            </w:r>
            <w:r w:rsidR="001163D9" w:rsidRPr="001163D9">
              <w:rPr>
                <w:rFonts w:ascii="Arial Narrow" w:hAnsi="Arial Narrow" w:cstheme="minorBidi"/>
                <w:sz w:val="18"/>
                <w:szCs w:val="18"/>
              </w:rPr>
              <w:t>ollow up: range 21 months to 30.2 months; assessed with: Varied</w:t>
            </w:r>
            <w:r w:rsidR="001163D9" w:rsidRPr="001163D9">
              <w:rPr>
                <w:rFonts w:ascii="Arial Narrow" w:hAnsi="Arial Narrow" w:cstheme="minorBidi"/>
                <w:sz w:val="18"/>
                <w:szCs w:val="18"/>
                <w:vertAlign w:val="superscript"/>
              </w:rPr>
              <w:t>13</w:t>
            </w:r>
          </w:p>
        </w:tc>
        <w:tc>
          <w:tcPr>
            <w:tcW w:w="409" w:type="pct"/>
            <w:tcBorders>
              <w:top w:val="single" w:sz="4" w:space="0" w:color="auto"/>
              <w:left w:val="single" w:sz="4" w:space="0" w:color="auto"/>
              <w:bottom w:val="single" w:sz="4" w:space="0" w:color="auto"/>
              <w:right w:val="single" w:sz="4" w:space="0" w:color="auto"/>
            </w:tcBorders>
          </w:tcPr>
          <w:p w14:paraId="57F0EF9C"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observational studies </w:t>
            </w:r>
            <w:r w:rsidRPr="001163D9">
              <w:rPr>
                <w:rFonts w:ascii="Arial Narrow" w:hAnsi="Arial Narrow" w:cstheme="minorBidi"/>
                <w:sz w:val="18"/>
                <w:szCs w:val="18"/>
                <w:vertAlign w:val="superscript"/>
              </w:rPr>
              <w:t xml:space="preserve"> </w:t>
            </w:r>
            <w:r w:rsidRPr="001163D9">
              <w:rPr>
                <w:rFonts w:ascii="Arial Narrow" w:hAnsi="Arial Narrow" w:cstheme="minorBidi"/>
                <w:sz w:val="18"/>
                <w:szCs w:val="18"/>
              </w:rPr>
              <w:t>(k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2)</w:t>
            </w:r>
            <w:r w:rsidR="00C10752" w:rsidRPr="001163D9">
              <w:rPr>
                <w:rFonts w:ascii="Arial Narrow" w:hAnsi="Arial Narrow" w:cstheme="minorBidi"/>
                <w:sz w:val="18"/>
                <w:szCs w:val="18"/>
                <w:vertAlign w:val="superscript"/>
              </w:rPr>
              <w:t xml:space="preserve"> 14</w:t>
            </w:r>
          </w:p>
        </w:tc>
        <w:tc>
          <w:tcPr>
            <w:tcW w:w="410" w:type="pct"/>
            <w:tcBorders>
              <w:top w:val="single" w:sz="4" w:space="0" w:color="auto"/>
              <w:left w:val="single" w:sz="4" w:space="0" w:color="auto"/>
              <w:bottom w:val="single" w:sz="4" w:space="0" w:color="auto"/>
              <w:right w:val="single" w:sz="4" w:space="0" w:color="auto"/>
            </w:tcBorders>
          </w:tcPr>
          <w:p w14:paraId="512517ED"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1713BA4A"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6ADE5E87"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6FDD6357"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1B38FC04" w14:textId="77777777" w:rsidR="001163D9" w:rsidRPr="001163D9" w:rsidRDefault="001163D9" w:rsidP="0020487B">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none</w:t>
            </w:r>
          </w:p>
        </w:tc>
        <w:tc>
          <w:tcPr>
            <w:tcW w:w="927" w:type="pct"/>
            <w:tcBorders>
              <w:top w:val="single" w:sz="4" w:space="0" w:color="auto"/>
              <w:left w:val="single" w:sz="4" w:space="0" w:color="auto"/>
              <w:bottom w:val="single" w:sz="4" w:space="0" w:color="auto"/>
              <w:right w:val="single" w:sz="4" w:space="0" w:color="auto"/>
            </w:tcBorders>
          </w:tcPr>
          <w:p w14:paraId="3F29F84E" w14:textId="6117B7B4" w:rsidR="00547C84" w:rsidRPr="00DD61D0" w:rsidRDefault="00DD61D0" w:rsidP="00D760E3">
            <w:pPr>
              <w:spacing w:before="60" w:after="60" w:line="288" w:lineRule="auto"/>
              <w:jc w:val="left"/>
              <w:rPr>
                <w:rFonts w:ascii="Arial Narrow" w:hAnsi="Arial Narrow" w:cstheme="minorBidi"/>
                <w:sz w:val="18"/>
                <w:szCs w:val="18"/>
                <w:u w:val="single"/>
              </w:rPr>
            </w:pPr>
            <w:r w:rsidRPr="00DD61D0">
              <w:rPr>
                <w:rFonts w:ascii="Arial Narrow" w:hAnsi="Arial Narrow" w:cstheme="minorBidi"/>
                <w:sz w:val="18"/>
                <w:szCs w:val="18"/>
                <w:u w:val="single"/>
              </w:rPr>
              <w:t xml:space="preserve">Koshy et al (2015) </w:t>
            </w:r>
            <w:r w:rsidR="00547C84" w:rsidRPr="00DD61D0">
              <w:rPr>
                <w:rFonts w:ascii="Arial Narrow" w:hAnsi="Arial Narrow" w:cstheme="minorBidi"/>
                <w:sz w:val="18"/>
                <w:szCs w:val="18"/>
                <w:u w:val="single"/>
              </w:rPr>
              <w:t>3-year survival</w:t>
            </w:r>
            <w:r w:rsidR="00672E32" w:rsidRPr="00DD61D0">
              <w:rPr>
                <w:rFonts w:ascii="Arial Narrow" w:hAnsi="Arial Narrow" w:cstheme="minorBidi"/>
                <w:sz w:val="18"/>
                <w:szCs w:val="18"/>
                <w:u w:val="single"/>
              </w:rPr>
              <w:t>:</w:t>
            </w:r>
          </w:p>
          <w:p w14:paraId="14F30606" w14:textId="299DD8B9" w:rsidR="00547C84" w:rsidRDefault="00547C84" w:rsidP="00D760E3">
            <w:pPr>
              <w:spacing w:before="60" w:after="60" w:line="288" w:lineRule="auto"/>
              <w:jc w:val="left"/>
              <w:rPr>
                <w:rFonts w:ascii="Arial Narrow" w:hAnsi="Arial Narrow" w:cstheme="minorBidi"/>
                <w:sz w:val="18"/>
                <w:szCs w:val="18"/>
              </w:rPr>
            </w:pPr>
            <w:r>
              <w:rPr>
                <w:rFonts w:ascii="Arial Narrow" w:hAnsi="Arial Narrow" w:cstheme="minorBidi"/>
                <w:sz w:val="18"/>
                <w:szCs w:val="18"/>
              </w:rPr>
              <w:t>SBRT = 48%, Conventional radiotherapy = 36%, no treatment = 28%</w:t>
            </w:r>
          </w:p>
          <w:p w14:paraId="4CFB6341" w14:textId="572D2C4E" w:rsidR="009B47A4" w:rsidRPr="009B47A4" w:rsidRDefault="009B47A4" w:rsidP="009B47A4">
            <w:pPr>
              <w:spacing w:before="60" w:after="60" w:line="288" w:lineRule="auto"/>
              <w:jc w:val="left"/>
              <w:rPr>
                <w:rFonts w:ascii="Arial Narrow" w:hAnsi="Arial Narrow" w:cstheme="minorBidi"/>
                <w:sz w:val="18"/>
                <w:szCs w:val="18"/>
                <w:u w:val="single"/>
              </w:rPr>
            </w:pPr>
            <w:r w:rsidRPr="009B47A4">
              <w:rPr>
                <w:rFonts w:ascii="Arial Narrow" w:hAnsi="Arial Narrow" w:cstheme="minorBidi"/>
                <w:sz w:val="18"/>
                <w:szCs w:val="18"/>
                <w:u w:val="single"/>
              </w:rPr>
              <w:t>3-yr survival (propensity-matched)</w:t>
            </w:r>
            <w:r w:rsidR="00672E32">
              <w:rPr>
                <w:rFonts w:ascii="Arial Narrow" w:hAnsi="Arial Narrow" w:cstheme="minorBidi"/>
                <w:sz w:val="18"/>
                <w:szCs w:val="18"/>
                <w:u w:val="single"/>
              </w:rPr>
              <w:t>:</w:t>
            </w:r>
          </w:p>
          <w:p w14:paraId="74BC3950" w14:textId="77777777" w:rsidR="009B47A4" w:rsidRDefault="009B47A4" w:rsidP="009B47A4">
            <w:pPr>
              <w:spacing w:before="60" w:after="60" w:line="288" w:lineRule="auto"/>
              <w:jc w:val="left"/>
              <w:rPr>
                <w:rFonts w:ascii="Arial Narrow" w:hAnsi="Arial Narrow" w:cstheme="minorBidi"/>
                <w:sz w:val="18"/>
                <w:szCs w:val="18"/>
              </w:rPr>
            </w:pPr>
            <w:r>
              <w:rPr>
                <w:rFonts w:ascii="Arial Narrow" w:hAnsi="Arial Narrow" w:cstheme="minorBidi"/>
                <w:sz w:val="18"/>
                <w:szCs w:val="18"/>
              </w:rPr>
              <w:t>SBRT =</w:t>
            </w:r>
            <w:r w:rsidR="001163D9" w:rsidRPr="001163D9">
              <w:rPr>
                <w:rFonts w:ascii="Arial Narrow" w:hAnsi="Arial Narrow" w:cstheme="minorBidi"/>
                <w:sz w:val="18"/>
                <w:szCs w:val="18"/>
              </w:rPr>
              <w:t xml:space="preserve"> 48</w:t>
            </w:r>
            <w:r>
              <w:rPr>
                <w:rFonts w:ascii="Arial Narrow" w:hAnsi="Arial Narrow" w:cstheme="minorBidi"/>
                <w:sz w:val="18"/>
                <w:szCs w:val="18"/>
              </w:rPr>
              <w:t>%, c</w:t>
            </w:r>
            <w:r w:rsidR="001163D9" w:rsidRPr="001163D9">
              <w:rPr>
                <w:rFonts w:ascii="Arial Narrow" w:hAnsi="Arial Narrow" w:cstheme="minorBidi"/>
                <w:sz w:val="18"/>
                <w:szCs w:val="18"/>
              </w:rPr>
              <w:t xml:space="preserve">onventional radiotherapy </w:t>
            </w:r>
            <w:r>
              <w:rPr>
                <w:rFonts w:ascii="Arial Narrow" w:hAnsi="Arial Narrow" w:cstheme="minorBidi"/>
                <w:sz w:val="18"/>
                <w:szCs w:val="18"/>
              </w:rPr>
              <w:lastRenderedPageBreak/>
              <w:t xml:space="preserve">= </w:t>
            </w:r>
            <w:r w:rsidR="001163D9" w:rsidRPr="001163D9">
              <w:rPr>
                <w:rFonts w:ascii="Arial Narrow" w:hAnsi="Arial Narrow" w:cstheme="minorBidi"/>
                <w:sz w:val="18"/>
                <w:szCs w:val="18"/>
              </w:rPr>
              <w:t xml:space="preserve">40 </w:t>
            </w:r>
            <w:r>
              <w:rPr>
                <w:rFonts w:ascii="Arial Narrow" w:hAnsi="Arial Narrow" w:cstheme="minorBidi"/>
                <w:sz w:val="18"/>
                <w:szCs w:val="18"/>
              </w:rPr>
              <w:t>%</w:t>
            </w:r>
            <w:r w:rsidR="001163D9" w:rsidRPr="001163D9">
              <w:rPr>
                <w:rFonts w:ascii="Arial Narrow" w:hAnsi="Arial Narrow" w:cstheme="minorBidi"/>
                <w:sz w:val="18"/>
                <w:szCs w:val="18"/>
              </w:rPr>
              <w:t xml:space="preserve"> (p</w:t>
            </w:r>
            <w:r w:rsidR="00C10752">
              <w:rPr>
                <w:rFonts w:ascii="Arial Narrow" w:hAnsi="Arial Narrow" w:cstheme="minorBidi"/>
                <w:sz w:val="18"/>
                <w:szCs w:val="18"/>
              </w:rPr>
              <w:t xml:space="preserve"> </w:t>
            </w:r>
            <w:r w:rsidR="001163D9" w:rsidRPr="001163D9">
              <w:rPr>
                <w:rFonts w:ascii="Arial Narrow" w:hAnsi="Arial Narrow" w:cstheme="minorBidi"/>
                <w:sz w:val="18"/>
                <w:szCs w:val="18"/>
              </w:rPr>
              <w:t>=</w:t>
            </w:r>
            <w:r w:rsidR="00C10752">
              <w:rPr>
                <w:rFonts w:ascii="Arial Narrow" w:hAnsi="Arial Narrow" w:cstheme="minorBidi"/>
                <w:sz w:val="18"/>
                <w:szCs w:val="18"/>
              </w:rPr>
              <w:t xml:space="preserve"> </w:t>
            </w:r>
            <w:r w:rsidR="001163D9" w:rsidRPr="001163D9">
              <w:rPr>
                <w:rFonts w:ascii="Arial Narrow" w:hAnsi="Arial Narrow" w:cstheme="minorBidi"/>
                <w:sz w:val="18"/>
                <w:szCs w:val="18"/>
              </w:rPr>
              <w:t xml:space="preserve">0.001). </w:t>
            </w:r>
          </w:p>
          <w:p w14:paraId="4175B305" w14:textId="77777777" w:rsidR="00BC494E" w:rsidRPr="00BC494E" w:rsidRDefault="001163D9" w:rsidP="009B47A4">
            <w:pPr>
              <w:spacing w:before="60" w:after="60" w:line="288" w:lineRule="auto"/>
              <w:jc w:val="left"/>
              <w:rPr>
                <w:rFonts w:ascii="Arial Narrow" w:hAnsi="Arial Narrow" w:cstheme="minorBidi"/>
                <w:sz w:val="18"/>
                <w:szCs w:val="18"/>
                <w:u w:val="single"/>
              </w:rPr>
            </w:pPr>
            <w:r w:rsidRPr="00BC494E">
              <w:rPr>
                <w:rFonts w:ascii="Arial Narrow" w:hAnsi="Arial Narrow" w:cstheme="minorBidi"/>
                <w:sz w:val="18"/>
                <w:szCs w:val="18"/>
                <w:u w:val="single"/>
              </w:rPr>
              <w:t xml:space="preserve">Videtic et al (2015) 1-year survival </w:t>
            </w:r>
          </w:p>
          <w:p w14:paraId="463896FD" w14:textId="7DCC0174" w:rsidR="00BC494E" w:rsidRDefault="001163D9" w:rsidP="009B47A4">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34/1 GY SBRT</w:t>
            </w:r>
            <w:r w:rsidR="00BC494E">
              <w:rPr>
                <w:rFonts w:ascii="Arial Narrow" w:hAnsi="Arial Narrow" w:cstheme="minorBidi"/>
                <w:sz w:val="18"/>
                <w:szCs w:val="18"/>
              </w:rPr>
              <w:t xml:space="preserve"> = 76% (</w:t>
            </w:r>
            <w:r w:rsidR="00BC494E" w:rsidRPr="001163D9">
              <w:rPr>
                <w:rFonts w:ascii="Arial Narrow" w:hAnsi="Arial Narrow" w:cstheme="minorBidi"/>
                <w:sz w:val="18"/>
                <w:szCs w:val="18"/>
              </w:rPr>
              <w:t>60.3</w:t>
            </w:r>
            <w:r w:rsidR="007E3D66">
              <w:rPr>
                <w:rFonts w:ascii="Arial Narrow" w:hAnsi="Arial Narrow" w:cstheme="minorBidi"/>
                <w:sz w:val="18"/>
                <w:szCs w:val="18"/>
              </w:rPr>
              <w:t>–</w:t>
            </w:r>
            <w:r w:rsidR="00BC494E" w:rsidRPr="001163D9">
              <w:rPr>
                <w:rFonts w:ascii="Arial Narrow" w:hAnsi="Arial Narrow" w:cstheme="minorBidi"/>
                <w:sz w:val="18"/>
                <w:szCs w:val="18"/>
              </w:rPr>
              <w:t>87.3%)</w:t>
            </w:r>
            <w:r w:rsidRPr="001163D9">
              <w:rPr>
                <w:rFonts w:ascii="Arial Narrow" w:hAnsi="Arial Narrow" w:cstheme="minorBidi"/>
                <w:sz w:val="18"/>
                <w:szCs w:val="18"/>
              </w:rPr>
              <w:t xml:space="preserve"> </w:t>
            </w:r>
          </w:p>
          <w:p w14:paraId="4A718B6D" w14:textId="1762F2AF" w:rsidR="00BC494E" w:rsidRDefault="001163D9" w:rsidP="009B47A4">
            <w:pPr>
              <w:spacing w:before="60" w:after="60" w:line="288" w:lineRule="auto"/>
              <w:jc w:val="left"/>
              <w:rPr>
                <w:rFonts w:ascii="Arial Narrow" w:hAnsi="Arial Narrow" w:cstheme="minorBidi"/>
                <w:sz w:val="18"/>
                <w:szCs w:val="18"/>
              </w:rPr>
            </w:pPr>
            <w:r w:rsidRPr="001163D9">
              <w:rPr>
                <w:rFonts w:ascii="Arial Narrow" w:hAnsi="Arial Narrow" w:cstheme="minorBidi"/>
                <w:sz w:val="18"/>
                <w:szCs w:val="18"/>
              </w:rPr>
              <w:t xml:space="preserve">48/4 GY SBRT </w:t>
            </w:r>
            <w:r w:rsidR="00BC494E">
              <w:rPr>
                <w:rFonts w:ascii="Arial Narrow" w:hAnsi="Arial Narrow" w:cstheme="minorBidi"/>
                <w:sz w:val="18"/>
                <w:szCs w:val="18"/>
              </w:rPr>
              <w:t xml:space="preserve">= </w:t>
            </w:r>
            <w:r w:rsidRPr="001163D9">
              <w:rPr>
                <w:rFonts w:ascii="Arial Narrow" w:hAnsi="Arial Narrow" w:cstheme="minorBidi"/>
                <w:sz w:val="18"/>
                <w:szCs w:val="18"/>
              </w:rPr>
              <w:t xml:space="preserve">91.1 </w:t>
            </w:r>
            <w:r w:rsidR="00BC494E">
              <w:rPr>
                <w:rFonts w:ascii="Arial Narrow" w:hAnsi="Arial Narrow" w:cstheme="minorBidi"/>
                <w:sz w:val="18"/>
                <w:szCs w:val="18"/>
              </w:rPr>
              <w:t xml:space="preserve">% </w:t>
            </w:r>
            <w:r w:rsidRPr="001163D9">
              <w:rPr>
                <w:rFonts w:ascii="Arial Narrow" w:hAnsi="Arial Narrow" w:cstheme="minorBidi"/>
                <w:sz w:val="18"/>
                <w:szCs w:val="18"/>
              </w:rPr>
              <w:t>(60.3</w:t>
            </w:r>
            <w:r w:rsidR="007E3D66">
              <w:rPr>
                <w:rFonts w:ascii="Arial Narrow" w:hAnsi="Arial Narrow" w:cstheme="minorBidi"/>
                <w:sz w:val="18"/>
                <w:szCs w:val="18"/>
              </w:rPr>
              <w:t>–</w:t>
            </w:r>
            <w:r w:rsidRPr="001163D9">
              <w:rPr>
                <w:rFonts w:ascii="Arial Narrow" w:hAnsi="Arial Narrow" w:cstheme="minorBidi"/>
                <w:sz w:val="18"/>
                <w:szCs w:val="18"/>
              </w:rPr>
              <w:t xml:space="preserve">87.3%) </w:t>
            </w:r>
          </w:p>
          <w:p w14:paraId="0DE96301" w14:textId="77777777" w:rsidR="00BC494E" w:rsidRPr="00BC494E" w:rsidRDefault="00BC494E" w:rsidP="009B47A4">
            <w:pPr>
              <w:spacing w:before="60" w:after="60" w:line="288" w:lineRule="auto"/>
              <w:jc w:val="left"/>
              <w:rPr>
                <w:rFonts w:ascii="Arial Narrow" w:hAnsi="Arial Narrow" w:cstheme="minorBidi"/>
                <w:sz w:val="18"/>
                <w:szCs w:val="18"/>
                <w:u w:val="single"/>
              </w:rPr>
            </w:pPr>
            <w:r w:rsidRPr="00BC494E">
              <w:rPr>
                <w:rFonts w:ascii="Arial Narrow" w:hAnsi="Arial Narrow" w:cstheme="minorBidi"/>
                <w:sz w:val="18"/>
                <w:szCs w:val="18"/>
                <w:u w:val="single"/>
              </w:rPr>
              <w:t>2</w:t>
            </w:r>
            <w:r w:rsidR="001163D9" w:rsidRPr="00BC494E">
              <w:rPr>
                <w:rFonts w:ascii="Arial Narrow" w:hAnsi="Arial Narrow" w:cstheme="minorBidi"/>
                <w:sz w:val="18"/>
                <w:szCs w:val="18"/>
                <w:u w:val="single"/>
              </w:rPr>
              <w:t xml:space="preserve">-year survival </w:t>
            </w:r>
          </w:p>
          <w:p w14:paraId="6D106909" w14:textId="3B2A4C50" w:rsidR="00BC494E" w:rsidRDefault="00BC494E" w:rsidP="009B47A4">
            <w:pPr>
              <w:spacing w:before="60" w:after="60" w:line="288" w:lineRule="auto"/>
              <w:jc w:val="left"/>
              <w:rPr>
                <w:rFonts w:ascii="Arial Narrow" w:hAnsi="Arial Narrow" w:cstheme="minorBidi"/>
                <w:sz w:val="18"/>
                <w:szCs w:val="18"/>
              </w:rPr>
            </w:pPr>
            <w:r>
              <w:rPr>
                <w:rFonts w:ascii="Arial Narrow" w:hAnsi="Arial Narrow" w:cstheme="minorBidi"/>
                <w:sz w:val="18"/>
                <w:szCs w:val="18"/>
              </w:rPr>
              <w:t xml:space="preserve">34/1 SBRT = </w:t>
            </w:r>
            <w:r w:rsidR="001163D9" w:rsidRPr="001163D9">
              <w:rPr>
                <w:rFonts w:ascii="Arial Narrow" w:hAnsi="Arial Narrow" w:cstheme="minorBidi"/>
                <w:sz w:val="18"/>
                <w:szCs w:val="18"/>
              </w:rPr>
              <w:t>61.3% (44.2</w:t>
            </w:r>
            <w:r w:rsidR="007E3D66">
              <w:rPr>
                <w:rFonts w:ascii="Arial Narrow" w:hAnsi="Arial Narrow" w:cstheme="minorBidi"/>
                <w:sz w:val="18"/>
                <w:szCs w:val="18"/>
              </w:rPr>
              <w:t>–</w:t>
            </w:r>
            <w:r w:rsidR="001163D9" w:rsidRPr="001163D9">
              <w:rPr>
                <w:rFonts w:ascii="Arial Narrow" w:hAnsi="Arial Narrow" w:cstheme="minorBidi"/>
                <w:sz w:val="18"/>
                <w:szCs w:val="18"/>
              </w:rPr>
              <w:t xml:space="preserve">74.6%) </w:t>
            </w:r>
          </w:p>
          <w:p w14:paraId="7428DF38" w14:textId="02BE56F3" w:rsidR="001163D9" w:rsidRPr="001163D9" w:rsidRDefault="00BC494E" w:rsidP="009B47A4">
            <w:pPr>
              <w:spacing w:before="60" w:after="60" w:line="288" w:lineRule="auto"/>
              <w:jc w:val="left"/>
              <w:rPr>
                <w:rFonts w:ascii="Arial Narrow" w:hAnsi="Arial Narrow" w:cstheme="minorBidi"/>
                <w:sz w:val="18"/>
                <w:szCs w:val="18"/>
              </w:rPr>
            </w:pPr>
            <w:r>
              <w:rPr>
                <w:rFonts w:ascii="Arial Narrow" w:hAnsi="Arial Narrow" w:cstheme="minorBidi"/>
                <w:sz w:val="18"/>
                <w:szCs w:val="18"/>
              </w:rPr>
              <w:t>48/4 SBRT = 77.7% (62.5</w:t>
            </w:r>
            <w:r w:rsidR="007E3D66">
              <w:rPr>
                <w:rFonts w:ascii="Arial Narrow" w:hAnsi="Arial Narrow" w:cstheme="minorBidi"/>
                <w:sz w:val="18"/>
                <w:szCs w:val="18"/>
              </w:rPr>
              <w:t>–</w:t>
            </w:r>
            <w:r>
              <w:rPr>
                <w:rFonts w:ascii="Arial Narrow" w:hAnsi="Arial Narrow" w:cstheme="minorBidi"/>
                <w:sz w:val="18"/>
                <w:szCs w:val="18"/>
              </w:rPr>
              <w:t>87.3%)</w:t>
            </w:r>
          </w:p>
        </w:tc>
        <w:tc>
          <w:tcPr>
            <w:tcW w:w="373" w:type="pct"/>
            <w:tcBorders>
              <w:top w:val="single" w:sz="4" w:space="0" w:color="auto"/>
              <w:left w:val="single" w:sz="4" w:space="0" w:color="auto"/>
              <w:bottom w:val="single" w:sz="4" w:space="0" w:color="auto"/>
              <w:right w:val="single" w:sz="4" w:space="0" w:color="auto"/>
            </w:tcBorders>
          </w:tcPr>
          <w:p w14:paraId="5F086945" w14:textId="77777777" w:rsidR="001163D9" w:rsidRPr="001163D9" w:rsidRDefault="001163D9" w:rsidP="0020487B">
            <w:pPr>
              <w:spacing w:before="60" w:after="60" w:line="288" w:lineRule="auto"/>
              <w:jc w:val="left"/>
              <w:rPr>
                <w:rFonts w:ascii="Arial Narrow" w:hAnsi="Arial Narrow" w:cstheme="minorBidi"/>
                <w:b/>
                <w:sz w:val="18"/>
                <w:szCs w:val="18"/>
              </w:rPr>
            </w:pPr>
            <w:r w:rsidRPr="001163D9">
              <w:rPr>
                <w:rFonts w:ascii="Arial Narrow" w:hAnsi="Arial Narrow" w:cstheme="minorBidi"/>
                <w:sz w:val="18"/>
                <w:szCs w:val="18"/>
              </w:rPr>
              <w:lastRenderedPageBreak/>
              <w:t xml:space="preserve"> </w:t>
            </w: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LOW</w:t>
            </w:r>
          </w:p>
        </w:tc>
        <w:tc>
          <w:tcPr>
            <w:tcW w:w="501" w:type="pct"/>
            <w:tcBorders>
              <w:top w:val="single" w:sz="4" w:space="0" w:color="auto"/>
              <w:left w:val="single" w:sz="4" w:space="0" w:color="auto"/>
              <w:bottom w:val="single" w:sz="4" w:space="0" w:color="auto"/>
              <w:right w:val="single" w:sz="4" w:space="0" w:color="auto"/>
            </w:tcBorders>
          </w:tcPr>
          <w:p w14:paraId="60BB54B4" w14:textId="77777777" w:rsidR="001163D9" w:rsidRPr="001163D9" w:rsidRDefault="001163D9" w:rsidP="0020487B">
            <w:pPr>
              <w:spacing w:before="60" w:after="60" w:line="288" w:lineRule="auto"/>
              <w:jc w:val="left"/>
              <w:rPr>
                <w:rFonts w:ascii="Arial Narrow" w:hAnsi="Arial Narrow" w:cstheme="minorBidi"/>
                <w:sz w:val="18"/>
                <w:szCs w:val="18"/>
              </w:rPr>
            </w:pPr>
          </w:p>
        </w:tc>
      </w:tr>
    </w:tbl>
    <w:p w14:paraId="5308A9C7" w14:textId="3C386A30" w:rsidR="00C10752" w:rsidRPr="00FB2F2C" w:rsidRDefault="00282C3C" w:rsidP="00EA35F0">
      <w:pPr>
        <w:pStyle w:val="Tablenotes0"/>
      </w:pPr>
      <w:r>
        <w:lastRenderedPageBreak/>
        <w:t>&lt;</w:t>
      </w:r>
      <w:r w:rsidR="00BB4C6B">
        <w:t xml:space="preserve"> </w:t>
      </w:r>
      <w:r w:rsidR="00C10752" w:rsidRPr="00C10752">
        <w:t>CI</w:t>
      </w:r>
      <w:r w:rsidR="00C10752">
        <w:t xml:space="preserve"> </w:t>
      </w:r>
      <w:r w:rsidR="00C10752" w:rsidRPr="00C10752">
        <w:t>=</w:t>
      </w:r>
      <w:r w:rsidR="00C10752">
        <w:t xml:space="preserve"> </w:t>
      </w:r>
      <w:r w:rsidR="00C10752" w:rsidRPr="00C10752">
        <w:t xml:space="preserve">confidence interval, </w:t>
      </w:r>
      <w:r w:rsidR="00E027FA">
        <w:t xml:space="preserve">MTA = microwave thermal ablation; </w:t>
      </w:r>
      <w:r w:rsidR="00C10752" w:rsidRPr="00C10752">
        <w:t>NA</w:t>
      </w:r>
      <w:r w:rsidR="00C10752">
        <w:t xml:space="preserve"> </w:t>
      </w:r>
      <w:r w:rsidR="00C10752" w:rsidRPr="00C10752">
        <w:t>=</w:t>
      </w:r>
      <w:r w:rsidR="00C10752">
        <w:t xml:space="preserve"> </w:t>
      </w:r>
      <w:r w:rsidR="00C10752" w:rsidRPr="00EA35F0">
        <w:t>not</w:t>
      </w:r>
      <w:r w:rsidR="00C10752" w:rsidRPr="00C10752">
        <w:t xml:space="preserve"> applicable, OS</w:t>
      </w:r>
      <w:r w:rsidR="00C10752">
        <w:t xml:space="preserve"> </w:t>
      </w:r>
      <w:r w:rsidR="00C10752" w:rsidRPr="00C10752">
        <w:t>=</w:t>
      </w:r>
      <w:r w:rsidR="00C10752">
        <w:t xml:space="preserve"> </w:t>
      </w:r>
      <w:r w:rsidR="00C10752" w:rsidRPr="00C10752">
        <w:t>overall survival, GY</w:t>
      </w:r>
      <w:r w:rsidR="00C10752">
        <w:t xml:space="preserve"> </w:t>
      </w:r>
      <w:proofErr w:type="gramStart"/>
      <w:r w:rsidR="00C10752" w:rsidRPr="00C10752">
        <w:t>=</w:t>
      </w:r>
      <w:r w:rsidR="00C10752">
        <w:t xml:space="preserve"> </w:t>
      </w:r>
      <w:r w:rsidR="00C10752" w:rsidRPr="00C10752">
        <w:t xml:space="preserve"> gray</w:t>
      </w:r>
      <w:proofErr w:type="gramEnd"/>
      <w:r w:rsidR="00C10752" w:rsidRPr="00C10752">
        <w:t>, SBRT</w:t>
      </w:r>
      <w:r w:rsidR="00C10752">
        <w:t xml:space="preserve"> </w:t>
      </w:r>
      <w:r w:rsidR="00C10752" w:rsidRPr="00C10752">
        <w:t xml:space="preserve">= stereotactic body radiotherapy, </w:t>
      </w:r>
      <w:r w:rsidR="00E027FA">
        <w:t>RFA = radiofrequency ablation</w:t>
      </w:r>
      <w:r w:rsidR="00C10752" w:rsidRPr="00C10752">
        <w:t>k</w:t>
      </w:r>
      <w:r w:rsidR="00C10752">
        <w:t xml:space="preserve"> </w:t>
      </w:r>
      <w:r w:rsidR="00C10752" w:rsidRPr="00C10752">
        <w:t>=</w:t>
      </w:r>
      <w:r w:rsidR="00C10752">
        <w:t xml:space="preserve"> </w:t>
      </w:r>
      <w:r w:rsidR="00C10752" w:rsidRPr="00C10752">
        <w:t>number of studies</w:t>
      </w:r>
      <w:r w:rsidR="00BB4C6B">
        <w:t xml:space="preserve"> </w:t>
      </w:r>
      <w:r>
        <w:t>&gt;</w:t>
      </w:r>
    </w:p>
    <w:p w14:paraId="0E6625E4" w14:textId="34BD70C4" w:rsidR="001163D9" w:rsidRPr="00657BBD" w:rsidRDefault="001163D9" w:rsidP="00657BBD">
      <w:pPr>
        <w:spacing w:before="60" w:after="0" w:line="140" w:lineRule="atLeast"/>
        <w:jc w:val="left"/>
        <w:rPr>
          <w:rStyle w:val="TablenotesChar0"/>
        </w:rPr>
      </w:pPr>
      <w:r w:rsidRPr="00FC5A38">
        <w:rPr>
          <w:rStyle w:val="TablenotesChar0"/>
          <w:rFonts w:eastAsiaTheme="minorEastAsia"/>
        </w:rPr>
        <w:t>GRADE Working Group grades of evidence (Guyatt et al., 2013</w:t>
      </w:r>
      <w:r w:rsidR="00CA6DFD" w:rsidRPr="00FC5A38">
        <w:rPr>
          <w:rStyle w:val="TablenotesChar0"/>
          <w:rFonts w:eastAsiaTheme="minorEastAsia"/>
        </w:rPr>
        <w:t>)</w:t>
      </w:r>
      <w:r w:rsidR="00C10752" w:rsidRPr="00FC5A38">
        <w:rPr>
          <w:rStyle w:val="TablenotesChar0"/>
          <w:rFonts w:eastAsiaTheme="minorEastAsia"/>
        </w:rPr>
        <w:t>.</w:t>
      </w:r>
      <w:r w:rsidRPr="00C4247F">
        <w:rPr>
          <w:rFonts w:ascii="Arial Narrow" w:eastAsiaTheme="minorEastAsia" w:hAnsi="Arial Narrow" w:cs="Arial"/>
          <w:sz w:val="20"/>
          <w:szCs w:val="20"/>
        </w:rPr>
        <w:br/>
      </w:r>
      <w:r w:rsidRPr="00657BBD">
        <w:rPr>
          <w:rStyle w:val="TablenotesChar0"/>
          <w:rFonts w:ascii="Cambria Math" w:eastAsiaTheme="minorEastAsia" w:hAnsi="Cambria Math" w:cs="Cambria Math"/>
          <w:color w:val="00B050"/>
        </w:rPr>
        <w:t>⨁⨁</w:t>
      </w:r>
      <w:r w:rsidRPr="00657BBD">
        <w:rPr>
          <w:rStyle w:val="TablenotesChar0"/>
          <w:rFonts w:ascii="Cambria Math" w:eastAsiaTheme="minorEastAsia" w:hAnsi="Cambria Math" w:cs="Cambria Math"/>
          <w:color w:val="C00000"/>
        </w:rPr>
        <w:t>⨀⨀</w:t>
      </w:r>
      <w:r w:rsidRPr="00657BBD">
        <w:rPr>
          <w:rStyle w:val="TablenotesChar0"/>
          <w:rFonts w:eastAsiaTheme="minorEastAsia"/>
        </w:rPr>
        <w:t xml:space="preserve"> Low quality: Our confidence in the effect estimate is limited: The true effect may be substantially different from the estimate of the effect.</w:t>
      </w:r>
      <w:r w:rsidRPr="00657BBD">
        <w:rPr>
          <w:rStyle w:val="TablenotesChar0"/>
          <w:rFonts w:eastAsiaTheme="minorEastAsia"/>
        </w:rPr>
        <w:br/>
      </w:r>
      <w:r w:rsidRPr="00657BBD">
        <w:rPr>
          <w:rStyle w:val="TablenotesChar0"/>
          <w:rFonts w:ascii="Cambria Math" w:eastAsiaTheme="minorEastAsia" w:hAnsi="Cambria Math" w:cs="Cambria Math"/>
          <w:color w:val="00B050"/>
        </w:rPr>
        <w:t>⨁</w:t>
      </w:r>
      <w:r w:rsidRPr="00657BBD">
        <w:rPr>
          <w:rStyle w:val="TablenotesChar0"/>
          <w:rFonts w:ascii="Cambria Math" w:eastAsiaTheme="minorEastAsia" w:hAnsi="Cambria Math" w:cs="Cambria Math"/>
          <w:color w:val="C00000"/>
        </w:rPr>
        <w:t>⨀⨀⨀</w:t>
      </w:r>
      <w:r w:rsidRPr="00657BBD">
        <w:rPr>
          <w:rStyle w:val="TablenotesChar0"/>
          <w:rFonts w:eastAsiaTheme="minorEastAsia"/>
          <w:color w:val="C00000"/>
        </w:rPr>
        <w:t xml:space="preserve"> </w:t>
      </w:r>
      <w:r w:rsidRPr="00657BBD">
        <w:rPr>
          <w:rStyle w:val="TablenotesChar0"/>
          <w:rFonts w:eastAsiaTheme="minorEastAsia"/>
        </w:rPr>
        <w:t>Very low quality: We have very little confidence in the effect estimate: The true effect is likely to be substantially different from the estimate of effect</w:t>
      </w:r>
    </w:p>
    <w:p w14:paraId="7FC85332" w14:textId="5AD51D65" w:rsidR="001163D9" w:rsidRPr="0020487B" w:rsidRDefault="001163D9" w:rsidP="00E14362">
      <w:pPr>
        <w:pStyle w:val="Tablenotes0"/>
        <w:numPr>
          <w:ilvl w:val="0"/>
          <w:numId w:val="62"/>
        </w:numPr>
        <w:ind w:left="284" w:hanging="284"/>
        <w:rPr>
          <w:szCs w:val="18"/>
        </w:rPr>
      </w:pPr>
      <w:r w:rsidRPr="0020487B">
        <w:rPr>
          <w:szCs w:val="18"/>
        </w:rPr>
        <w:t>Han et al (2015) median (range) 22.5 (4</w:t>
      </w:r>
      <w:r w:rsidR="007E3D66">
        <w:rPr>
          <w:szCs w:val="18"/>
        </w:rPr>
        <w:t>–</w:t>
      </w:r>
      <w:r w:rsidRPr="0020487B">
        <w:rPr>
          <w:szCs w:val="18"/>
        </w:rPr>
        <w:t>53) months; Yang et al (2015) median (range) 30 (7</w:t>
      </w:r>
      <w:r w:rsidR="007E3D66">
        <w:rPr>
          <w:szCs w:val="18"/>
        </w:rPr>
        <w:t>–</w:t>
      </w:r>
      <w:r w:rsidRPr="0020487B">
        <w:rPr>
          <w:szCs w:val="18"/>
        </w:rPr>
        <w:t>70) months</w:t>
      </w:r>
    </w:p>
    <w:p w14:paraId="432CAE48" w14:textId="77777777" w:rsidR="001163D9" w:rsidRPr="0020487B" w:rsidRDefault="001163D9" w:rsidP="00E14362">
      <w:pPr>
        <w:pStyle w:val="Tablenotes0"/>
        <w:numPr>
          <w:ilvl w:val="0"/>
          <w:numId w:val="62"/>
        </w:numPr>
        <w:ind w:left="284" w:hanging="284"/>
        <w:rPr>
          <w:szCs w:val="18"/>
        </w:rPr>
      </w:pPr>
      <w:r w:rsidRPr="0020487B">
        <w:rPr>
          <w:szCs w:val="18"/>
        </w:rPr>
        <w:t>Due to inherent limitations in study design and from quality concerns with the included studies</w:t>
      </w:r>
    </w:p>
    <w:p w14:paraId="2426E995" w14:textId="77777777" w:rsidR="001163D9" w:rsidRPr="0020487B" w:rsidRDefault="00CA6DFD" w:rsidP="00E14362">
      <w:pPr>
        <w:pStyle w:val="Tablenotes0"/>
        <w:numPr>
          <w:ilvl w:val="0"/>
          <w:numId w:val="62"/>
        </w:numPr>
        <w:ind w:left="284" w:hanging="284"/>
        <w:rPr>
          <w:szCs w:val="18"/>
        </w:rPr>
      </w:pPr>
      <w:r w:rsidRPr="0020487B">
        <w:rPr>
          <w:szCs w:val="18"/>
        </w:rPr>
        <w:t>Studies</w:t>
      </w:r>
      <w:r w:rsidR="001163D9" w:rsidRPr="0020487B">
        <w:rPr>
          <w:szCs w:val="18"/>
        </w:rPr>
        <w:t xml:space="preserve"> include relatively few patients (total </w:t>
      </w:r>
      <w:r w:rsidR="00C10752" w:rsidRPr="0020487B">
        <w:rPr>
          <w:szCs w:val="18"/>
        </w:rPr>
        <w:t xml:space="preserve">N = </w:t>
      </w:r>
      <w:r w:rsidR="001163D9" w:rsidRPr="0020487B">
        <w:rPr>
          <w:szCs w:val="18"/>
        </w:rPr>
        <w:t>75), with the study by Yang et al (2014) having a substantially narrower 95%CI than Han et al (2015), around the estimate of the effect. In this case, with only two studies reporting this outcome there is substantial uncertainty regarding precision</w:t>
      </w:r>
    </w:p>
    <w:p w14:paraId="03DBC26A" w14:textId="77777777" w:rsidR="001163D9" w:rsidRPr="0020487B" w:rsidRDefault="001163D9" w:rsidP="00E14362">
      <w:pPr>
        <w:pStyle w:val="Tablenotes0"/>
        <w:numPr>
          <w:ilvl w:val="0"/>
          <w:numId w:val="62"/>
        </w:numPr>
        <w:ind w:left="284" w:hanging="284"/>
        <w:rPr>
          <w:szCs w:val="18"/>
        </w:rPr>
      </w:pPr>
      <w:r w:rsidRPr="0020487B">
        <w:rPr>
          <w:szCs w:val="18"/>
        </w:rPr>
        <w:t xml:space="preserve">Note that: Yang et al (2015) examined a subgroup of patients with tumours &gt; 3.5 cm versus ≤ 3.5 cm and found that </w:t>
      </w:r>
      <w:r w:rsidR="00CA6DFD" w:rsidRPr="0020487B">
        <w:rPr>
          <w:szCs w:val="18"/>
        </w:rPr>
        <w:t>tumours</w:t>
      </w:r>
      <w:r w:rsidRPr="0020487B">
        <w:rPr>
          <w:szCs w:val="18"/>
        </w:rPr>
        <w:t xml:space="preserve"> ≤ 3.5 cm were associated with better survival than were </w:t>
      </w:r>
      <w:r w:rsidR="00CA6DFD" w:rsidRPr="0020487B">
        <w:rPr>
          <w:szCs w:val="18"/>
        </w:rPr>
        <w:t>tumours</w:t>
      </w:r>
      <w:r w:rsidRPr="0020487B">
        <w:rPr>
          <w:szCs w:val="18"/>
        </w:rPr>
        <w:t xml:space="preserve"> &gt;3.5 cm (p</w:t>
      </w:r>
      <w:r w:rsidR="00C10752" w:rsidRPr="0020487B">
        <w:rPr>
          <w:szCs w:val="18"/>
        </w:rPr>
        <w:t xml:space="preserve"> </w:t>
      </w:r>
      <w:r w:rsidRPr="0020487B">
        <w:rPr>
          <w:szCs w:val="18"/>
        </w:rPr>
        <w:t>=</w:t>
      </w:r>
      <w:r w:rsidR="00C10752" w:rsidRPr="0020487B">
        <w:rPr>
          <w:szCs w:val="18"/>
        </w:rPr>
        <w:t xml:space="preserve"> </w:t>
      </w:r>
      <w:r w:rsidRPr="0020487B">
        <w:rPr>
          <w:szCs w:val="18"/>
        </w:rPr>
        <w:t xml:space="preserve">0.016). The distribution in number of patients with tumours &gt;3.5 cm across the two studies will affect the consistency of outcomes. </w:t>
      </w:r>
    </w:p>
    <w:p w14:paraId="20BE0259" w14:textId="77777777" w:rsidR="001163D9" w:rsidRPr="0020487B" w:rsidRDefault="00CA6DFD" w:rsidP="00E14362">
      <w:pPr>
        <w:pStyle w:val="Tablenotes0"/>
        <w:numPr>
          <w:ilvl w:val="0"/>
          <w:numId w:val="62"/>
        </w:numPr>
        <w:ind w:left="284" w:hanging="284"/>
        <w:rPr>
          <w:szCs w:val="18"/>
        </w:rPr>
      </w:pPr>
      <w:r w:rsidRPr="0020487B">
        <w:rPr>
          <w:szCs w:val="18"/>
        </w:rPr>
        <w:t>Studies</w:t>
      </w:r>
      <w:r w:rsidR="001163D9" w:rsidRPr="0020487B">
        <w:rPr>
          <w:szCs w:val="18"/>
        </w:rPr>
        <w:t xml:space="preserve"> include relatively few patients (total </w:t>
      </w:r>
      <w:r w:rsidR="00C10752" w:rsidRPr="0020487B">
        <w:rPr>
          <w:szCs w:val="18"/>
        </w:rPr>
        <w:t xml:space="preserve">N = </w:t>
      </w:r>
      <w:r w:rsidR="001163D9" w:rsidRPr="0020487B">
        <w:rPr>
          <w:szCs w:val="18"/>
        </w:rPr>
        <w:t>75), with the study by Yang et al (2014) having a substantially wider 95%CI than Han et al (2015), around the estimate of the effect. In this case, with only two studies reporting this outcome there is substantial uncertainty regarding precision</w:t>
      </w:r>
    </w:p>
    <w:p w14:paraId="346CDFC2" w14:textId="660B281D" w:rsidR="001163D9" w:rsidRPr="0020487B" w:rsidRDefault="00CA6DFD" w:rsidP="00E14362">
      <w:pPr>
        <w:pStyle w:val="Tablenotes0"/>
        <w:numPr>
          <w:ilvl w:val="0"/>
          <w:numId w:val="62"/>
        </w:numPr>
        <w:ind w:left="284" w:hanging="284"/>
        <w:rPr>
          <w:szCs w:val="18"/>
        </w:rPr>
      </w:pPr>
      <w:proofErr w:type="gramStart"/>
      <w:r w:rsidRPr="0020487B">
        <w:rPr>
          <w:szCs w:val="18"/>
        </w:rPr>
        <w:t>Neither Han</w:t>
      </w:r>
      <w:proofErr w:type="gramEnd"/>
      <w:r w:rsidRPr="0020487B">
        <w:rPr>
          <w:szCs w:val="18"/>
        </w:rPr>
        <w:t xml:space="preserve"> et al (2015) nor Yang et al (2015) provide confidence intervals </w:t>
      </w:r>
      <w:r w:rsidR="0051539E">
        <w:rPr>
          <w:szCs w:val="18"/>
        </w:rPr>
        <w:t>for</w:t>
      </w:r>
      <w:r w:rsidR="00DE6DB2">
        <w:rPr>
          <w:szCs w:val="18"/>
        </w:rPr>
        <w:t xml:space="preserve"> point estimates. I</w:t>
      </w:r>
      <w:r w:rsidRPr="0020487B">
        <w:rPr>
          <w:szCs w:val="18"/>
        </w:rPr>
        <w:t xml:space="preserve">t isn't clear how precise estimates are. </w:t>
      </w:r>
      <w:r w:rsidR="001163D9" w:rsidRPr="0020487B">
        <w:rPr>
          <w:szCs w:val="18"/>
        </w:rPr>
        <w:t>Similarly only Yang et al (2015) report maximum follow-up of &gt;60 months (5 years)</w:t>
      </w:r>
    </w:p>
    <w:p w14:paraId="4FD0DDA2" w14:textId="77777777" w:rsidR="001163D9" w:rsidRPr="0020487B" w:rsidRDefault="001163D9" w:rsidP="00E14362">
      <w:pPr>
        <w:pStyle w:val="Tablenotes0"/>
        <w:numPr>
          <w:ilvl w:val="0"/>
          <w:numId w:val="62"/>
        </w:numPr>
        <w:ind w:left="284" w:hanging="284"/>
        <w:rPr>
          <w:szCs w:val="18"/>
        </w:rPr>
      </w:pPr>
      <w:r w:rsidRPr="0020487B">
        <w:rPr>
          <w:szCs w:val="18"/>
        </w:rPr>
        <w:t>Ranged from 19 months in Liu et al (2015) to 37 months in Hiraki et al (2011)</w:t>
      </w:r>
    </w:p>
    <w:p w14:paraId="1AD3669F" w14:textId="77777777" w:rsidR="001163D9" w:rsidRPr="0020487B" w:rsidRDefault="001163D9" w:rsidP="00E14362">
      <w:pPr>
        <w:pStyle w:val="Tablenotes0"/>
        <w:numPr>
          <w:ilvl w:val="0"/>
          <w:numId w:val="62"/>
        </w:numPr>
        <w:ind w:left="284" w:hanging="284"/>
        <w:rPr>
          <w:szCs w:val="18"/>
        </w:rPr>
      </w:pPr>
      <w:r w:rsidRPr="0020487B">
        <w:rPr>
          <w:szCs w:val="18"/>
        </w:rPr>
        <w:t>There is a wide range of median OS reported by the included studies, from 36.5 months to 67 months. This should be a relatively homogenous group in terms of cancer stage and extent of disease.</w:t>
      </w:r>
    </w:p>
    <w:p w14:paraId="3B14A247" w14:textId="77777777" w:rsidR="001163D9" w:rsidRPr="0020487B" w:rsidRDefault="001163D9" w:rsidP="00E14362">
      <w:pPr>
        <w:pStyle w:val="Tablenotes0"/>
        <w:numPr>
          <w:ilvl w:val="0"/>
          <w:numId w:val="62"/>
        </w:numPr>
        <w:ind w:left="284" w:hanging="284"/>
        <w:rPr>
          <w:szCs w:val="18"/>
        </w:rPr>
      </w:pPr>
      <w:r w:rsidRPr="0020487B">
        <w:rPr>
          <w:szCs w:val="18"/>
        </w:rPr>
        <w:t>Ranged from 19 months in Liu et al (2015) to 46 months in Ambrogi et al (2011)</w:t>
      </w:r>
    </w:p>
    <w:p w14:paraId="21A24055" w14:textId="77777777" w:rsidR="001163D9" w:rsidRPr="0020487B" w:rsidRDefault="001163D9" w:rsidP="00E14362">
      <w:pPr>
        <w:pStyle w:val="Tablenotes0"/>
        <w:numPr>
          <w:ilvl w:val="0"/>
          <w:numId w:val="62"/>
        </w:numPr>
        <w:ind w:left="284" w:hanging="284"/>
        <w:rPr>
          <w:szCs w:val="18"/>
        </w:rPr>
      </w:pPr>
      <w:r w:rsidRPr="0020487B">
        <w:rPr>
          <w:szCs w:val="18"/>
        </w:rPr>
        <w:t>There is a wide range of survival rates reported with reporting becoming more and more limited over time. This should be a relatively homogenous group in terms of cancer stage and extent of disease. There is substantial concern that outcomes have been measured very differently across studies. For example Hiraki et al (2011) has a 5-year survival of 61% whilst Ridge et al (2014) reports only 14%.</w:t>
      </w:r>
    </w:p>
    <w:p w14:paraId="688ABBBE" w14:textId="77777777" w:rsidR="001163D9" w:rsidRPr="0020487B" w:rsidRDefault="001163D9" w:rsidP="00E14362">
      <w:pPr>
        <w:pStyle w:val="Tablenotes0"/>
        <w:numPr>
          <w:ilvl w:val="0"/>
          <w:numId w:val="62"/>
        </w:numPr>
        <w:ind w:left="284" w:hanging="284"/>
        <w:rPr>
          <w:szCs w:val="18"/>
        </w:rPr>
      </w:pPr>
      <w:r w:rsidRPr="0020487B">
        <w:rPr>
          <w:szCs w:val="18"/>
        </w:rPr>
        <w:t>Safi et al (2015) is a Level III-3 retrospective cohort study that compared RFA and radiotherapy</w:t>
      </w:r>
    </w:p>
    <w:p w14:paraId="2D515113" w14:textId="77777777" w:rsidR="001163D9" w:rsidRPr="0020487B" w:rsidRDefault="001163D9" w:rsidP="00E14362">
      <w:pPr>
        <w:pStyle w:val="Tablenotes0"/>
        <w:numPr>
          <w:ilvl w:val="0"/>
          <w:numId w:val="62"/>
        </w:numPr>
        <w:ind w:left="284" w:hanging="284"/>
        <w:rPr>
          <w:szCs w:val="18"/>
        </w:rPr>
      </w:pPr>
      <w:r w:rsidRPr="0020487B">
        <w:rPr>
          <w:szCs w:val="18"/>
        </w:rPr>
        <w:t xml:space="preserve">Estimates across different studies are markedly </w:t>
      </w:r>
      <w:r w:rsidR="00CA6DFD" w:rsidRPr="0020487B">
        <w:rPr>
          <w:szCs w:val="18"/>
        </w:rPr>
        <w:t>different;</w:t>
      </w:r>
      <w:r w:rsidRPr="0020487B">
        <w:rPr>
          <w:szCs w:val="18"/>
        </w:rPr>
        <w:t xml:space="preserve"> it may be due to differences in measurement, reporting or outcome. </w:t>
      </w:r>
    </w:p>
    <w:p w14:paraId="23A012B5" w14:textId="27389EB8" w:rsidR="001163D9" w:rsidRPr="0020487B" w:rsidRDefault="00BE730B" w:rsidP="00E14362">
      <w:pPr>
        <w:pStyle w:val="Tablenotes0"/>
        <w:numPr>
          <w:ilvl w:val="0"/>
          <w:numId w:val="62"/>
        </w:numPr>
        <w:ind w:left="284" w:hanging="284"/>
        <w:rPr>
          <w:szCs w:val="18"/>
        </w:rPr>
      </w:pPr>
      <w:r>
        <w:rPr>
          <w:szCs w:val="18"/>
        </w:rPr>
        <w:t>M</w:t>
      </w:r>
      <w:r w:rsidR="001163D9" w:rsidRPr="0020487B">
        <w:rPr>
          <w:szCs w:val="18"/>
        </w:rPr>
        <w:t>edian of 21 (IQR 11</w:t>
      </w:r>
      <w:r w:rsidR="007E3D66">
        <w:rPr>
          <w:szCs w:val="18"/>
        </w:rPr>
        <w:t>–</w:t>
      </w:r>
      <w:r w:rsidR="001163D9" w:rsidRPr="0020487B">
        <w:rPr>
          <w:szCs w:val="18"/>
        </w:rPr>
        <w:t>43) months in Koshy (2015) and 30.2 (NR) months in Videtic et al (2015)</w:t>
      </w:r>
    </w:p>
    <w:p w14:paraId="76E2C613" w14:textId="1C368F28" w:rsidR="001163D9" w:rsidRPr="007B4F1D" w:rsidRDefault="001163D9" w:rsidP="001163D9">
      <w:pPr>
        <w:pStyle w:val="Tablenotes0"/>
        <w:numPr>
          <w:ilvl w:val="0"/>
          <w:numId w:val="62"/>
        </w:numPr>
        <w:spacing w:before="100" w:beforeAutospacing="1" w:after="100" w:afterAutospacing="1" w:line="140" w:lineRule="atLeast"/>
        <w:ind w:left="284" w:hanging="284"/>
        <w:rPr>
          <w:rFonts w:cstheme="minorBidi"/>
          <w:color w:val="000000"/>
          <w:szCs w:val="18"/>
        </w:rPr>
      </w:pPr>
      <w:r w:rsidRPr="007B4F1D">
        <w:rPr>
          <w:szCs w:val="18"/>
        </w:rPr>
        <w:t>Koshy et al (2015) is a Level III-1 retrospective propensity-matched cohort, Videtic et al (2015) is Level II study</w:t>
      </w:r>
      <w:r w:rsidRPr="007B4F1D">
        <w:rPr>
          <w:rFonts w:cstheme="minorBidi"/>
          <w:color w:val="000000"/>
          <w:szCs w:val="18"/>
        </w:rPr>
        <w:br w:type="page"/>
      </w:r>
    </w:p>
    <w:p w14:paraId="74D5C707" w14:textId="77777777" w:rsidR="001163D9" w:rsidRDefault="001163D9" w:rsidP="001163D9">
      <w:pPr>
        <w:pStyle w:val="Caption"/>
        <w:keepNext/>
      </w:pPr>
      <w:bookmarkStart w:id="521" w:name="_Toc460514754"/>
      <w:r>
        <w:lastRenderedPageBreak/>
        <w:t xml:space="preserve">Table </w:t>
      </w:r>
      <w:fldSimple w:instr=" SEQ Table \* ARABIC ">
        <w:r w:rsidR="00D170A5">
          <w:rPr>
            <w:noProof/>
          </w:rPr>
          <w:t>96</w:t>
        </w:r>
      </w:fldSimple>
      <w:r>
        <w:tab/>
        <w:t>Evidence profile table for population two</w:t>
      </w:r>
      <w:bookmarkEnd w:id="521"/>
    </w:p>
    <w:tbl>
      <w:tblPr>
        <w:tblW w:w="5000" w:type="pct"/>
        <w:tblLook w:val="04A0" w:firstRow="1" w:lastRow="0" w:firstColumn="1" w:lastColumn="0" w:noHBand="0" w:noVBand="1"/>
      </w:tblPr>
      <w:tblGrid>
        <w:gridCol w:w="1963"/>
        <w:gridCol w:w="1278"/>
        <w:gridCol w:w="1229"/>
        <w:gridCol w:w="1383"/>
        <w:gridCol w:w="1271"/>
        <w:gridCol w:w="1244"/>
        <w:gridCol w:w="1455"/>
        <w:gridCol w:w="2846"/>
        <w:gridCol w:w="1145"/>
        <w:gridCol w:w="1538"/>
      </w:tblGrid>
      <w:tr w:rsidR="001163D9" w:rsidRPr="001163D9" w14:paraId="3281AFCB" w14:textId="77777777" w:rsidTr="007B4F1D">
        <w:trPr>
          <w:trHeight w:val="788"/>
          <w:tblHeader/>
        </w:trPr>
        <w:tc>
          <w:tcPr>
            <w:tcW w:w="6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84148C2" w14:textId="77777777" w:rsidR="001163D9" w:rsidRPr="001163D9" w:rsidRDefault="001163D9" w:rsidP="009C109A">
            <w:pPr>
              <w:keepNext/>
              <w:spacing w:before="40" w:after="4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Outcome  (units, follow-up)</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B912601" w14:textId="77777777" w:rsidR="001163D9" w:rsidRPr="001163D9" w:rsidRDefault="001163D9" w:rsidP="009C109A">
            <w:pPr>
              <w:keepNext/>
              <w:spacing w:before="40" w:after="4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No. of studies and study design</w:t>
            </w: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A6B9A93" w14:textId="77777777" w:rsidR="001163D9" w:rsidRPr="001163D9" w:rsidRDefault="001163D9" w:rsidP="007B4F1D">
            <w:pPr>
              <w:keepNext/>
              <w:spacing w:before="40" w:after="4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Risk of bias</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D15EBAA" w14:textId="77777777" w:rsidR="001163D9" w:rsidRPr="001163D9" w:rsidRDefault="001163D9" w:rsidP="007B4F1D">
            <w:pPr>
              <w:keepNext/>
              <w:spacing w:before="40" w:after="4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Inconsistency</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CFED908" w14:textId="77777777" w:rsidR="001163D9" w:rsidRPr="001163D9" w:rsidRDefault="001163D9" w:rsidP="007B4F1D">
            <w:pPr>
              <w:keepNext/>
              <w:spacing w:before="40" w:after="4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Indirectness</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7D906E9" w14:textId="77777777" w:rsidR="001163D9" w:rsidRPr="001163D9" w:rsidRDefault="001163D9" w:rsidP="007B4F1D">
            <w:pPr>
              <w:keepNext/>
              <w:spacing w:before="40" w:after="4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Imprecision</w:t>
            </w:r>
          </w:p>
        </w:tc>
        <w:tc>
          <w:tcPr>
            <w:tcW w:w="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BEAEDFD" w14:textId="77777777" w:rsidR="001163D9" w:rsidRPr="001163D9" w:rsidRDefault="001163D9" w:rsidP="007B4F1D">
            <w:pPr>
              <w:keepNext/>
              <w:spacing w:before="40" w:after="4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Other considerations</w:t>
            </w:r>
          </w:p>
        </w:tc>
        <w:tc>
          <w:tcPr>
            <w:tcW w:w="9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EB8D87B" w14:textId="480DF884" w:rsidR="001163D9" w:rsidRPr="001163D9" w:rsidRDefault="001163D9" w:rsidP="007B4F1D">
            <w:pPr>
              <w:keepNext/>
              <w:spacing w:before="40" w:after="4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 xml:space="preserve">Results </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455AACB" w14:textId="77777777" w:rsidR="001163D9" w:rsidRPr="001163D9" w:rsidRDefault="001163D9" w:rsidP="009C109A">
            <w:pPr>
              <w:keepNext/>
              <w:spacing w:before="40" w:after="4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Quality</w:t>
            </w:r>
          </w:p>
        </w:tc>
        <w:tc>
          <w:tcPr>
            <w:tcW w:w="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5860BDA" w14:textId="77777777" w:rsidR="001163D9" w:rsidRPr="001163D9" w:rsidRDefault="001163D9" w:rsidP="009C109A">
            <w:pPr>
              <w:keepNext/>
              <w:spacing w:before="40" w:after="40" w:line="288" w:lineRule="auto"/>
              <w:ind w:left="-16"/>
              <w:jc w:val="left"/>
              <w:rPr>
                <w:rFonts w:ascii="Arial Narrow" w:eastAsiaTheme="minorEastAsia" w:hAnsi="Arial Narrow"/>
                <w:b/>
                <w:sz w:val="18"/>
                <w:szCs w:val="18"/>
              </w:rPr>
            </w:pPr>
            <w:r w:rsidRPr="001163D9">
              <w:rPr>
                <w:rFonts w:ascii="Arial Narrow" w:eastAsiaTheme="minorEastAsia" w:hAnsi="Arial Narrow"/>
                <w:b/>
                <w:sz w:val="18"/>
                <w:szCs w:val="18"/>
              </w:rPr>
              <w:t>Importance</w:t>
            </w:r>
          </w:p>
        </w:tc>
      </w:tr>
      <w:tr w:rsidR="001163D9" w:rsidRPr="001163D9" w14:paraId="04AEF839" w14:textId="77777777" w:rsidTr="007B4F1D">
        <w:trPr>
          <w:trHeight w:val="319"/>
        </w:trPr>
        <w:tc>
          <w:tcPr>
            <w:tcW w:w="639" w:type="pct"/>
            <w:tcBorders>
              <w:top w:val="single" w:sz="4" w:space="0" w:color="auto"/>
              <w:left w:val="single" w:sz="4" w:space="0" w:color="auto"/>
              <w:bottom w:val="single" w:sz="4" w:space="0" w:color="auto"/>
            </w:tcBorders>
            <w:shd w:val="clear" w:color="auto" w:fill="D9D9D9" w:themeFill="background1" w:themeFillShade="D9"/>
          </w:tcPr>
          <w:p w14:paraId="3441D37E" w14:textId="77777777" w:rsidR="001163D9" w:rsidRPr="001163D9" w:rsidRDefault="001163D9" w:rsidP="0020487B">
            <w:pPr>
              <w:spacing w:before="40" w:after="40" w:line="288" w:lineRule="auto"/>
              <w:jc w:val="left"/>
              <w:rPr>
                <w:rFonts w:ascii="Arial Narrow" w:eastAsiaTheme="minorEastAsia" w:hAnsi="Arial Narrow"/>
                <w:b/>
                <w:sz w:val="18"/>
                <w:szCs w:val="18"/>
              </w:rPr>
            </w:pPr>
            <w:r w:rsidRPr="001163D9">
              <w:rPr>
                <w:rFonts w:ascii="Arial Narrow" w:eastAsiaTheme="minorEastAsia" w:hAnsi="Arial Narrow"/>
                <w:b/>
                <w:sz w:val="18"/>
                <w:szCs w:val="18"/>
              </w:rPr>
              <w:t>MTA</w:t>
            </w:r>
          </w:p>
        </w:tc>
        <w:tc>
          <w:tcPr>
            <w:tcW w:w="416" w:type="pct"/>
            <w:tcBorders>
              <w:top w:val="single" w:sz="4" w:space="0" w:color="auto"/>
              <w:bottom w:val="single" w:sz="4" w:space="0" w:color="auto"/>
            </w:tcBorders>
            <w:shd w:val="clear" w:color="auto" w:fill="D9D9D9" w:themeFill="background1" w:themeFillShade="D9"/>
          </w:tcPr>
          <w:p w14:paraId="5C5B4CF5" w14:textId="77777777" w:rsidR="001163D9" w:rsidRPr="001163D9" w:rsidRDefault="001163D9" w:rsidP="0020487B">
            <w:pPr>
              <w:spacing w:before="40" w:after="40" w:line="288" w:lineRule="auto"/>
              <w:jc w:val="left"/>
              <w:rPr>
                <w:rFonts w:ascii="Arial Narrow" w:eastAsiaTheme="minorEastAsia" w:hAnsi="Arial Narrow"/>
                <w:sz w:val="18"/>
                <w:szCs w:val="18"/>
              </w:rPr>
            </w:pPr>
          </w:p>
        </w:tc>
        <w:tc>
          <w:tcPr>
            <w:tcW w:w="400" w:type="pct"/>
            <w:tcBorders>
              <w:top w:val="single" w:sz="4" w:space="0" w:color="auto"/>
              <w:bottom w:val="single" w:sz="4" w:space="0" w:color="auto"/>
            </w:tcBorders>
            <w:shd w:val="clear" w:color="auto" w:fill="D9D9D9" w:themeFill="background1" w:themeFillShade="D9"/>
          </w:tcPr>
          <w:p w14:paraId="35A43815" w14:textId="77777777" w:rsidR="001163D9" w:rsidRPr="001163D9" w:rsidRDefault="001163D9" w:rsidP="007B4F1D">
            <w:pPr>
              <w:spacing w:before="40" w:after="40" w:line="288" w:lineRule="auto"/>
              <w:jc w:val="left"/>
              <w:rPr>
                <w:rFonts w:ascii="Arial Narrow" w:eastAsiaTheme="minorEastAsia" w:hAnsi="Arial Narrow"/>
                <w:sz w:val="18"/>
                <w:szCs w:val="18"/>
              </w:rPr>
            </w:pPr>
          </w:p>
        </w:tc>
        <w:tc>
          <w:tcPr>
            <w:tcW w:w="450" w:type="pct"/>
            <w:tcBorders>
              <w:top w:val="single" w:sz="4" w:space="0" w:color="auto"/>
              <w:bottom w:val="single" w:sz="4" w:space="0" w:color="auto"/>
            </w:tcBorders>
            <w:shd w:val="clear" w:color="auto" w:fill="D9D9D9" w:themeFill="background1" w:themeFillShade="D9"/>
          </w:tcPr>
          <w:p w14:paraId="780858BD" w14:textId="77777777" w:rsidR="001163D9" w:rsidRPr="001163D9" w:rsidRDefault="001163D9" w:rsidP="007B4F1D">
            <w:pPr>
              <w:spacing w:before="40" w:after="40" w:line="288" w:lineRule="auto"/>
              <w:jc w:val="left"/>
              <w:rPr>
                <w:rFonts w:ascii="Arial Narrow" w:eastAsiaTheme="minorEastAsia" w:hAnsi="Arial Narrow"/>
                <w:sz w:val="18"/>
                <w:szCs w:val="18"/>
              </w:rPr>
            </w:pPr>
          </w:p>
        </w:tc>
        <w:tc>
          <w:tcPr>
            <w:tcW w:w="414" w:type="pct"/>
            <w:tcBorders>
              <w:top w:val="single" w:sz="4" w:space="0" w:color="auto"/>
              <w:bottom w:val="single" w:sz="4" w:space="0" w:color="auto"/>
            </w:tcBorders>
            <w:shd w:val="clear" w:color="auto" w:fill="D9D9D9" w:themeFill="background1" w:themeFillShade="D9"/>
          </w:tcPr>
          <w:p w14:paraId="73414610" w14:textId="77777777" w:rsidR="001163D9" w:rsidRPr="001163D9" w:rsidRDefault="001163D9" w:rsidP="007B4F1D">
            <w:pPr>
              <w:spacing w:before="40" w:after="40" w:line="288" w:lineRule="auto"/>
              <w:jc w:val="left"/>
              <w:rPr>
                <w:rFonts w:ascii="Arial Narrow" w:eastAsiaTheme="minorEastAsia" w:hAnsi="Arial Narrow"/>
                <w:sz w:val="18"/>
                <w:szCs w:val="18"/>
              </w:rPr>
            </w:pPr>
          </w:p>
        </w:tc>
        <w:tc>
          <w:tcPr>
            <w:tcW w:w="405" w:type="pct"/>
            <w:tcBorders>
              <w:top w:val="single" w:sz="4" w:space="0" w:color="auto"/>
              <w:bottom w:val="single" w:sz="4" w:space="0" w:color="auto"/>
            </w:tcBorders>
            <w:shd w:val="clear" w:color="auto" w:fill="D9D9D9" w:themeFill="background1" w:themeFillShade="D9"/>
          </w:tcPr>
          <w:p w14:paraId="2A29DA4F" w14:textId="77777777" w:rsidR="001163D9" w:rsidRPr="001163D9" w:rsidRDefault="001163D9" w:rsidP="007B4F1D">
            <w:pPr>
              <w:spacing w:before="40" w:after="40" w:line="288" w:lineRule="auto"/>
              <w:jc w:val="left"/>
              <w:rPr>
                <w:rFonts w:ascii="Arial Narrow" w:eastAsiaTheme="minorEastAsia" w:hAnsi="Arial Narrow"/>
                <w:sz w:val="18"/>
                <w:szCs w:val="18"/>
              </w:rPr>
            </w:pPr>
          </w:p>
        </w:tc>
        <w:tc>
          <w:tcPr>
            <w:tcW w:w="474" w:type="pct"/>
            <w:tcBorders>
              <w:top w:val="single" w:sz="4" w:space="0" w:color="auto"/>
              <w:bottom w:val="single" w:sz="4" w:space="0" w:color="auto"/>
            </w:tcBorders>
            <w:shd w:val="clear" w:color="auto" w:fill="D9D9D9" w:themeFill="background1" w:themeFillShade="D9"/>
          </w:tcPr>
          <w:p w14:paraId="22A8E457" w14:textId="77777777" w:rsidR="001163D9" w:rsidRPr="001163D9" w:rsidRDefault="001163D9" w:rsidP="007B4F1D">
            <w:pPr>
              <w:spacing w:before="40" w:after="40" w:line="288" w:lineRule="auto"/>
              <w:jc w:val="left"/>
              <w:rPr>
                <w:rFonts w:ascii="Arial Narrow" w:eastAsiaTheme="minorEastAsia" w:hAnsi="Arial Narrow"/>
                <w:sz w:val="18"/>
                <w:szCs w:val="18"/>
              </w:rPr>
            </w:pPr>
          </w:p>
        </w:tc>
        <w:tc>
          <w:tcPr>
            <w:tcW w:w="927" w:type="pct"/>
            <w:tcBorders>
              <w:top w:val="single" w:sz="4" w:space="0" w:color="auto"/>
              <w:bottom w:val="single" w:sz="4" w:space="0" w:color="auto"/>
            </w:tcBorders>
            <w:shd w:val="clear" w:color="auto" w:fill="D9D9D9" w:themeFill="background1" w:themeFillShade="D9"/>
          </w:tcPr>
          <w:p w14:paraId="444C96B3" w14:textId="77777777" w:rsidR="001163D9" w:rsidRPr="001163D9" w:rsidRDefault="001163D9" w:rsidP="007B4F1D">
            <w:pPr>
              <w:spacing w:before="40" w:after="40" w:line="288" w:lineRule="auto"/>
              <w:jc w:val="left"/>
              <w:rPr>
                <w:rFonts w:ascii="Arial Narrow" w:eastAsiaTheme="minorEastAsia" w:hAnsi="Arial Narrow"/>
                <w:sz w:val="18"/>
                <w:szCs w:val="18"/>
              </w:rPr>
            </w:pPr>
          </w:p>
        </w:tc>
        <w:tc>
          <w:tcPr>
            <w:tcW w:w="373" w:type="pct"/>
            <w:tcBorders>
              <w:top w:val="single" w:sz="4" w:space="0" w:color="auto"/>
              <w:bottom w:val="single" w:sz="4" w:space="0" w:color="auto"/>
            </w:tcBorders>
            <w:shd w:val="clear" w:color="auto" w:fill="D9D9D9" w:themeFill="background1" w:themeFillShade="D9"/>
          </w:tcPr>
          <w:p w14:paraId="493E3A9A" w14:textId="77777777" w:rsidR="001163D9" w:rsidRPr="001163D9" w:rsidRDefault="001163D9" w:rsidP="0020487B">
            <w:pPr>
              <w:spacing w:before="40" w:after="40" w:line="288" w:lineRule="auto"/>
              <w:rPr>
                <w:rFonts w:ascii="Arial Narrow" w:eastAsiaTheme="minorEastAsia" w:hAnsi="Arial Narrow"/>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735AFD29" w14:textId="77777777" w:rsidR="001163D9" w:rsidRPr="001163D9" w:rsidRDefault="001163D9" w:rsidP="0020487B">
            <w:pPr>
              <w:spacing w:before="40" w:after="40" w:line="288" w:lineRule="auto"/>
              <w:rPr>
                <w:rFonts w:ascii="Arial Narrow" w:eastAsiaTheme="minorEastAsia" w:hAnsi="Arial Narrow"/>
                <w:sz w:val="18"/>
                <w:szCs w:val="18"/>
              </w:rPr>
            </w:pPr>
          </w:p>
        </w:tc>
      </w:tr>
      <w:tr w:rsidR="001163D9" w:rsidRPr="001163D9" w14:paraId="7917C678" w14:textId="77777777" w:rsidTr="007B4F1D">
        <w:trPr>
          <w:trHeight w:val="319"/>
        </w:trPr>
        <w:tc>
          <w:tcPr>
            <w:tcW w:w="639" w:type="pct"/>
            <w:tcBorders>
              <w:top w:val="single" w:sz="4" w:space="0" w:color="auto"/>
              <w:left w:val="single" w:sz="4" w:space="0" w:color="auto"/>
              <w:bottom w:val="single" w:sz="4" w:space="0" w:color="auto"/>
              <w:right w:val="single" w:sz="4" w:space="0" w:color="auto"/>
            </w:tcBorders>
          </w:tcPr>
          <w:p w14:paraId="10F6C113" w14:textId="77777777" w:rsidR="001163D9" w:rsidRPr="001163D9" w:rsidRDefault="001163D9" w:rsidP="0020487B">
            <w:pPr>
              <w:spacing w:before="40" w:after="4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 xml:space="preserve">Survival rate </w:t>
            </w:r>
          </w:p>
          <w:p w14:paraId="65599D9D" w14:textId="5912CD3C" w:rsidR="001163D9" w:rsidRPr="001163D9" w:rsidRDefault="00D33E1F" w:rsidP="0020487B">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median 9 months; assessed</w:t>
            </w:r>
            <w:r w:rsidR="001B7C42">
              <w:rPr>
                <w:rFonts w:ascii="Arial Narrow" w:eastAsiaTheme="minorEastAsia" w:hAnsi="Arial Narrow"/>
                <w:sz w:val="18"/>
                <w:szCs w:val="18"/>
              </w:rPr>
              <w:t xml:space="preserve"> with: n/N (%) at 1 and 2 years</w:t>
            </w:r>
          </w:p>
        </w:tc>
        <w:tc>
          <w:tcPr>
            <w:tcW w:w="416" w:type="pct"/>
            <w:tcBorders>
              <w:top w:val="single" w:sz="4" w:space="0" w:color="auto"/>
              <w:left w:val="single" w:sz="4" w:space="0" w:color="auto"/>
              <w:bottom w:val="single" w:sz="4" w:space="0" w:color="auto"/>
              <w:right w:val="single" w:sz="4" w:space="0" w:color="auto"/>
            </w:tcBorders>
          </w:tcPr>
          <w:p w14:paraId="3A007437" w14:textId="77777777" w:rsidR="001163D9" w:rsidRPr="001163D9" w:rsidRDefault="001163D9" w:rsidP="0020487B">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1)</w:t>
            </w:r>
          </w:p>
        </w:tc>
        <w:tc>
          <w:tcPr>
            <w:tcW w:w="400" w:type="pct"/>
            <w:tcBorders>
              <w:top w:val="single" w:sz="4" w:space="0" w:color="auto"/>
              <w:left w:val="single" w:sz="4" w:space="0" w:color="auto"/>
              <w:bottom w:val="single" w:sz="4" w:space="0" w:color="auto"/>
              <w:right w:val="single" w:sz="4" w:space="0" w:color="auto"/>
            </w:tcBorders>
          </w:tcPr>
          <w:p w14:paraId="3E773633"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7E6722A8"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4" w:type="pct"/>
            <w:tcBorders>
              <w:top w:val="single" w:sz="4" w:space="0" w:color="auto"/>
              <w:left w:val="single" w:sz="4" w:space="0" w:color="auto"/>
              <w:bottom w:val="single" w:sz="4" w:space="0" w:color="auto"/>
              <w:right w:val="single" w:sz="4" w:space="0" w:color="auto"/>
            </w:tcBorders>
          </w:tcPr>
          <w:p w14:paraId="55A988F5"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05" w:type="pct"/>
            <w:tcBorders>
              <w:top w:val="single" w:sz="4" w:space="0" w:color="auto"/>
              <w:left w:val="single" w:sz="4" w:space="0" w:color="auto"/>
              <w:bottom w:val="single" w:sz="4" w:space="0" w:color="auto"/>
              <w:right w:val="single" w:sz="4" w:space="0" w:color="auto"/>
            </w:tcBorders>
          </w:tcPr>
          <w:p w14:paraId="63F7F7A4"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74" w:type="pct"/>
            <w:tcBorders>
              <w:top w:val="single" w:sz="4" w:space="0" w:color="auto"/>
              <w:left w:val="single" w:sz="4" w:space="0" w:color="auto"/>
              <w:bottom w:val="single" w:sz="4" w:space="0" w:color="auto"/>
              <w:right w:val="single" w:sz="4" w:space="0" w:color="auto"/>
            </w:tcBorders>
          </w:tcPr>
          <w:p w14:paraId="3AE44A36"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62FFC837"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At 12 months the survival rate was 91.3 per cent (73/80 patients alive) and at 24 months it was 75 per cent (60/80 patients alive). Survival greater than 24 months was not reported. </w:t>
            </w:r>
          </w:p>
        </w:tc>
        <w:tc>
          <w:tcPr>
            <w:tcW w:w="373" w:type="pct"/>
            <w:tcBorders>
              <w:top w:val="single" w:sz="4" w:space="0" w:color="auto"/>
              <w:left w:val="single" w:sz="4" w:space="0" w:color="auto"/>
              <w:bottom w:val="single" w:sz="4" w:space="0" w:color="auto"/>
              <w:right w:val="single" w:sz="4" w:space="0" w:color="auto"/>
            </w:tcBorders>
          </w:tcPr>
          <w:p w14:paraId="09B0D494" w14:textId="77777777" w:rsidR="001163D9" w:rsidRPr="001163D9" w:rsidRDefault="001163D9" w:rsidP="0020487B">
            <w:pPr>
              <w:spacing w:before="40" w:after="40" w:line="288" w:lineRule="auto"/>
              <w:jc w:val="center"/>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5FD7E923" w14:textId="77777777" w:rsidR="001163D9" w:rsidRPr="001163D9" w:rsidRDefault="001163D9" w:rsidP="0020487B">
            <w:pPr>
              <w:spacing w:before="40" w:after="40" w:line="288" w:lineRule="auto"/>
              <w:rPr>
                <w:rFonts w:ascii="Arial Narrow" w:hAnsi="Arial Narrow" w:cstheme="minorBidi"/>
                <w:sz w:val="18"/>
                <w:szCs w:val="18"/>
              </w:rPr>
            </w:pPr>
            <w:r w:rsidRPr="001163D9">
              <w:rPr>
                <w:rFonts w:ascii="Arial Narrow" w:hAnsi="Arial Narrow" w:cstheme="minorBidi"/>
                <w:sz w:val="18"/>
                <w:szCs w:val="18"/>
              </w:rPr>
              <w:t xml:space="preserve">CRITICAL </w:t>
            </w:r>
          </w:p>
        </w:tc>
      </w:tr>
      <w:tr w:rsidR="001163D9" w:rsidRPr="001163D9" w14:paraId="5D4CEABD" w14:textId="77777777" w:rsidTr="007B4F1D">
        <w:trPr>
          <w:trHeight w:val="319"/>
        </w:trPr>
        <w:tc>
          <w:tcPr>
            <w:tcW w:w="639" w:type="pct"/>
            <w:tcBorders>
              <w:top w:val="single" w:sz="4" w:space="0" w:color="auto"/>
              <w:left w:val="single" w:sz="4" w:space="0" w:color="auto"/>
              <w:bottom w:val="single" w:sz="4" w:space="0" w:color="auto"/>
              <w:right w:val="single" w:sz="4" w:space="0" w:color="auto"/>
            </w:tcBorders>
          </w:tcPr>
          <w:p w14:paraId="2025D2DF" w14:textId="77777777" w:rsidR="001163D9" w:rsidRPr="001163D9" w:rsidRDefault="001163D9" w:rsidP="0020487B">
            <w:pPr>
              <w:spacing w:before="40" w:after="4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Median time to local progression</w:t>
            </w:r>
          </w:p>
          <w:p w14:paraId="6617706E" w14:textId="5916A401" w:rsidR="001163D9" w:rsidRPr="001163D9" w:rsidRDefault="00D33E1F" w:rsidP="0012546B">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range 9 months to 14 months; asse</w:t>
            </w:r>
            <w:r w:rsidR="0012546B">
              <w:rPr>
                <w:rFonts w:ascii="Arial Narrow" w:eastAsiaTheme="minorEastAsia" w:hAnsi="Arial Narrow"/>
                <w:sz w:val="18"/>
                <w:szCs w:val="18"/>
              </w:rPr>
              <w:t>ssed with: Mean time in months</w:t>
            </w:r>
          </w:p>
        </w:tc>
        <w:tc>
          <w:tcPr>
            <w:tcW w:w="416" w:type="pct"/>
            <w:tcBorders>
              <w:top w:val="single" w:sz="4" w:space="0" w:color="auto"/>
              <w:left w:val="single" w:sz="4" w:space="0" w:color="auto"/>
              <w:bottom w:val="single" w:sz="4" w:space="0" w:color="auto"/>
              <w:right w:val="single" w:sz="4" w:space="0" w:color="auto"/>
            </w:tcBorders>
          </w:tcPr>
          <w:p w14:paraId="2C410760" w14:textId="77777777" w:rsidR="001163D9" w:rsidRPr="001163D9" w:rsidRDefault="001163D9" w:rsidP="0020487B">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2)</w:t>
            </w:r>
          </w:p>
        </w:tc>
        <w:tc>
          <w:tcPr>
            <w:tcW w:w="400" w:type="pct"/>
            <w:tcBorders>
              <w:top w:val="single" w:sz="4" w:space="0" w:color="auto"/>
              <w:left w:val="single" w:sz="4" w:space="0" w:color="auto"/>
              <w:bottom w:val="single" w:sz="4" w:space="0" w:color="auto"/>
              <w:right w:val="single" w:sz="4" w:space="0" w:color="auto"/>
            </w:tcBorders>
          </w:tcPr>
          <w:p w14:paraId="55C4B86D"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76E42388"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4" w:type="pct"/>
            <w:tcBorders>
              <w:top w:val="single" w:sz="4" w:space="0" w:color="auto"/>
              <w:left w:val="single" w:sz="4" w:space="0" w:color="auto"/>
              <w:bottom w:val="single" w:sz="4" w:space="0" w:color="auto"/>
              <w:right w:val="single" w:sz="4" w:space="0" w:color="auto"/>
            </w:tcBorders>
          </w:tcPr>
          <w:p w14:paraId="293414DD"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05" w:type="pct"/>
            <w:tcBorders>
              <w:top w:val="single" w:sz="4" w:space="0" w:color="auto"/>
              <w:left w:val="single" w:sz="4" w:space="0" w:color="auto"/>
              <w:bottom w:val="single" w:sz="4" w:space="0" w:color="auto"/>
              <w:right w:val="single" w:sz="4" w:space="0" w:color="auto"/>
            </w:tcBorders>
          </w:tcPr>
          <w:p w14:paraId="4E1130E2"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74" w:type="pct"/>
            <w:tcBorders>
              <w:top w:val="single" w:sz="4" w:space="0" w:color="auto"/>
              <w:left w:val="single" w:sz="4" w:space="0" w:color="auto"/>
              <w:bottom w:val="single" w:sz="4" w:space="0" w:color="auto"/>
              <w:right w:val="single" w:sz="4" w:space="0" w:color="auto"/>
            </w:tcBorders>
          </w:tcPr>
          <w:p w14:paraId="048D3CB3"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395E5666" w14:textId="4953B992"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Qi et al (2015): 7.2 months (range 4</w:t>
            </w:r>
            <w:r w:rsidR="007E3D66">
              <w:rPr>
                <w:rFonts w:ascii="Arial Narrow" w:hAnsi="Arial Narrow" w:cstheme="minorBidi"/>
                <w:sz w:val="18"/>
                <w:szCs w:val="18"/>
              </w:rPr>
              <w:t>–</w:t>
            </w:r>
            <w:r w:rsidRPr="001163D9">
              <w:rPr>
                <w:rFonts w:ascii="Arial Narrow" w:hAnsi="Arial Narrow" w:cstheme="minorBidi"/>
                <w:sz w:val="18"/>
                <w:szCs w:val="18"/>
              </w:rPr>
              <w:t>20); Vogl et al (2015): 6 months (range: 1</w:t>
            </w:r>
            <w:r w:rsidR="007E3D66">
              <w:rPr>
                <w:rFonts w:ascii="Arial Narrow" w:hAnsi="Arial Narrow" w:cstheme="minorBidi"/>
                <w:sz w:val="18"/>
                <w:szCs w:val="18"/>
              </w:rPr>
              <w:t>–</w:t>
            </w:r>
            <w:r w:rsidRPr="001163D9">
              <w:rPr>
                <w:rFonts w:ascii="Arial Narrow" w:hAnsi="Arial Narrow" w:cstheme="minorBidi"/>
                <w:sz w:val="18"/>
                <w:szCs w:val="18"/>
              </w:rPr>
              <w:t xml:space="preserve">18) </w:t>
            </w:r>
          </w:p>
        </w:tc>
        <w:tc>
          <w:tcPr>
            <w:tcW w:w="373" w:type="pct"/>
            <w:tcBorders>
              <w:top w:val="single" w:sz="4" w:space="0" w:color="auto"/>
              <w:left w:val="single" w:sz="4" w:space="0" w:color="auto"/>
              <w:bottom w:val="single" w:sz="4" w:space="0" w:color="auto"/>
              <w:right w:val="single" w:sz="4" w:space="0" w:color="auto"/>
            </w:tcBorders>
          </w:tcPr>
          <w:p w14:paraId="732569CF" w14:textId="77777777" w:rsidR="001163D9" w:rsidRPr="001163D9" w:rsidRDefault="001163D9" w:rsidP="0020487B">
            <w:pPr>
              <w:spacing w:before="40" w:after="40" w:line="288" w:lineRule="auto"/>
              <w:jc w:val="center"/>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7D591378" w14:textId="77777777" w:rsidR="001163D9" w:rsidRPr="001163D9" w:rsidRDefault="001163D9" w:rsidP="0020487B">
            <w:pPr>
              <w:spacing w:before="40" w:after="40" w:line="288" w:lineRule="auto"/>
              <w:rPr>
                <w:rFonts w:ascii="Arial Narrow" w:hAnsi="Arial Narrow" w:cstheme="minorBidi"/>
                <w:sz w:val="18"/>
                <w:szCs w:val="18"/>
              </w:rPr>
            </w:pPr>
            <w:r w:rsidRPr="001163D9">
              <w:rPr>
                <w:rFonts w:ascii="Arial Narrow" w:hAnsi="Arial Narrow" w:cstheme="minorBidi"/>
                <w:sz w:val="18"/>
                <w:szCs w:val="18"/>
              </w:rPr>
              <w:t xml:space="preserve">IMPORTANT </w:t>
            </w:r>
          </w:p>
        </w:tc>
      </w:tr>
      <w:tr w:rsidR="001163D9" w:rsidRPr="001163D9" w14:paraId="77098378" w14:textId="77777777" w:rsidTr="007B4F1D">
        <w:trPr>
          <w:trHeight w:val="319"/>
        </w:trPr>
        <w:tc>
          <w:tcPr>
            <w:tcW w:w="639" w:type="pct"/>
            <w:tcBorders>
              <w:top w:val="single" w:sz="4" w:space="0" w:color="auto"/>
              <w:left w:val="single" w:sz="4" w:space="0" w:color="auto"/>
              <w:bottom w:val="single" w:sz="4" w:space="0" w:color="auto"/>
            </w:tcBorders>
            <w:shd w:val="clear" w:color="auto" w:fill="D9D9D9" w:themeFill="background1" w:themeFillShade="D9"/>
          </w:tcPr>
          <w:p w14:paraId="6AD63025" w14:textId="77777777" w:rsidR="001163D9" w:rsidRPr="001163D9" w:rsidRDefault="001163D9" w:rsidP="0020487B">
            <w:pPr>
              <w:spacing w:before="40" w:after="40" w:line="288" w:lineRule="auto"/>
              <w:jc w:val="left"/>
              <w:rPr>
                <w:rFonts w:ascii="Arial Narrow" w:eastAsiaTheme="minorEastAsia" w:hAnsi="Arial Narrow"/>
                <w:b/>
                <w:sz w:val="18"/>
                <w:szCs w:val="18"/>
              </w:rPr>
            </w:pPr>
            <w:r w:rsidRPr="001163D9">
              <w:rPr>
                <w:rFonts w:ascii="Arial Narrow" w:eastAsiaTheme="minorEastAsia" w:hAnsi="Arial Narrow"/>
                <w:b/>
                <w:sz w:val="18"/>
                <w:szCs w:val="18"/>
              </w:rPr>
              <w:t>RFA</w:t>
            </w:r>
          </w:p>
        </w:tc>
        <w:tc>
          <w:tcPr>
            <w:tcW w:w="416" w:type="pct"/>
            <w:tcBorders>
              <w:top w:val="single" w:sz="4" w:space="0" w:color="auto"/>
              <w:bottom w:val="single" w:sz="4" w:space="0" w:color="auto"/>
            </w:tcBorders>
            <w:shd w:val="clear" w:color="auto" w:fill="D9D9D9" w:themeFill="background1" w:themeFillShade="D9"/>
          </w:tcPr>
          <w:p w14:paraId="3601F354" w14:textId="77777777" w:rsidR="001163D9" w:rsidRPr="001163D9" w:rsidRDefault="001163D9" w:rsidP="0020487B">
            <w:pPr>
              <w:spacing w:before="40" w:after="40" w:line="288" w:lineRule="auto"/>
              <w:jc w:val="left"/>
              <w:rPr>
                <w:rFonts w:ascii="Arial Narrow" w:eastAsiaTheme="minorEastAsia" w:hAnsi="Arial Narrow"/>
                <w:sz w:val="18"/>
                <w:szCs w:val="18"/>
              </w:rPr>
            </w:pPr>
          </w:p>
        </w:tc>
        <w:tc>
          <w:tcPr>
            <w:tcW w:w="400" w:type="pct"/>
            <w:tcBorders>
              <w:top w:val="single" w:sz="4" w:space="0" w:color="auto"/>
              <w:bottom w:val="single" w:sz="4" w:space="0" w:color="auto"/>
            </w:tcBorders>
            <w:shd w:val="clear" w:color="auto" w:fill="D9D9D9" w:themeFill="background1" w:themeFillShade="D9"/>
          </w:tcPr>
          <w:p w14:paraId="03E0A8F9"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50" w:type="pct"/>
            <w:tcBorders>
              <w:top w:val="single" w:sz="4" w:space="0" w:color="auto"/>
              <w:bottom w:val="single" w:sz="4" w:space="0" w:color="auto"/>
            </w:tcBorders>
            <w:shd w:val="clear" w:color="auto" w:fill="D9D9D9" w:themeFill="background1" w:themeFillShade="D9"/>
          </w:tcPr>
          <w:p w14:paraId="5CBF088F"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14" w:type="pct"/>
            <w:tcBorders>
              <w:top w:val="single" w:sz="4" w:space="0" w:color="auto"/>
              <w:bottom w:val="single" w:sz="4" w:space="0" w:color="auto"/>
            </w:tcBorders>
            <w:shd w:val="clear" w:color="auto" w:fill="D9D9D9" w:themeFill="background1" w:themeFillShade="D9"/>
          </w:tcPr>
          <w:p w14:paraId="27B84751"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05" w:type="pct"/>
            <w:tcBorders>
              <w:top w:val="single" w:sz="4" w:space="0" w:color="auto"/>
              <w:bottom w:val="single" w:sz="4" w:space="0" w:color="auto"/>
            </w:tcBorders>
            <w:shd w:val="clear" w:color="auto" w:fill="D9D9D9" w:themeFill="background1" w:themeFillShade="D9"/>
          </w:tcPr>
          <w:p w14:paraId="6394C172"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74" w:type="pct"/>
            <w:tcBorders>
              <w:top w:val="single" w:sz="4" w:space="0" w:color="auto"/>
              <w:bottom w:val="single" w:sz="4" w:space="0" w:color="auto"/>
            </w:tcBorders>
            <w:shd w:val="clear" w:color="auto" w:fill="D9D9D9" w:themeFill="background1" w:themeFillShade="D9"/>
          </w:tcPr>
          <w:p w14:paraId="5CCE1624"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927" w:type="pct"/>
            <w:tcBorders>
              <w:top w:val="single" w:sz="4" w:space="0" w:color="auto"/>
              <w:bottom w:val="single" w:sz="4" w:space="0" w:color="auto"/>
            </w:tcBorders>
            <w:shd w:val="clear" w:color="auto" w:fill="D9D9D9" w:themeFill="background1" w:themeFillShade="D9"/>
          </w:tcPr>
          <w:p w14:paraId="69345A36"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373" w:type="pct"/>
            <w:tcBorders>
              <w:top w:val="single" w:sz="4" w:space="0" w:color="auto"/>
              <w:bottom w:val="single" w:sz="4" w:space="0" w:color="auto"/>
            </w:tcBorders>
            <w:shd w:val="clear" w:color="auto" w:fill="D9D9D9" w:themeFill="background1" w:themeFillShade="D9"/>
          </w:tcPr>
          <w:p w14:paraId="1875C27B" w14:textId="77777777" w:rsidR="001163D9" w:rsidRPr="001163D9" w:rsidRDefault="001163D9" w:rsidP="0020487B">
            <w:pPr>
              <w:spacing w:before="40" w:after="40" w:line="288" w:lineRule="auto"/>
              <w:jc w:val="center"/>
              <w:rPr>
                <w:rFonts w:ascii="Arial Narrow" w:hAnsi="Arial Narrow" w:cs="Cambria Math"/>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78B29BA2" w14:textId="77777777" w:rsidR="001163D9" w:rsidRPr="001163D9" w:rsidRDefault="001163D9" w:rsidP="0020487B">
            <w:pPr>
              <w:spacing w:before="40" w:after="40" w:line="288" w:lineRule="auto"/>
              <w:rPr>
                <w:rFonts w:ascii="Arial Narrow" w:hAnsi="Arial Narrow" w:cstheme="minorBidi"/>
                <w:sz w:val="18"/>
                <w:szCs w:val="18"/>
              </w:rPr>
            </w:pPr>
          </w:p>
        </w:tc>
      </w:tr>
      <w:tr w:rsidR="001163D9" w:rsidRPr="001163D9" w14:paraId="5ECDD9F6" w14:textId="77777777" w:rsidTr="007B4F1D">
        <w:trPr>
          <w:trHeight w:val="319"/>
        </w:trPr>
        <w:tc>
          <w:tcPr>
            <w:tcW w:w="639" w:type="pct"/>
            <w:tcBorders>
              <w:top w:val="single" w:sz="4" w:space="0" w:color="auto"/>
              <w:left w:val="single" w:sz="4" w:space="0" w:color="auto"/>
              <w:bottom w:val="single" w:sz="4" w:space="0" w:color="auto"/>
              <w:right w:val="single" w:sz="4" w:space="0" w:color="auto"/>
            </w:tcBorders>
          </w:tcPr>
          <w:p w14:paraId="430588E8" w14:textId="77777777" w:rsidR="001163D9" w:rsidRPr="001163D9" w:rsidRDefault="001163D9" w:rsidP="0020487B">
            <w:pPr>
              <w:spacing w:before="40" w:after="4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Median OS</w:t>
            </w:r>
          </w:p>
          <w:p w14:paraId="4661FEED" w14:textId="5110B649" w:rsidR="001163D9" w:rsidRPr="001163D9" w:rsidRDefault="00D33E1F" w:rsidP="00E13D2F">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range 12 months to 38 months; assessed with: Kaplan-Meier (95%CI</w:t>
            </w:r>
            <w:r w:rsidR="00E13D2F">
              <w:rPr>
                <w:rFonts w:ascii="Arial Narrow" w:eastAsiaTheme="minorEastAsia" w:hAnsi="Arial Narrow"/>
                <w:sz w:val="18"/>
                <w:szCs w:val="18"/>
              </w:rPr>
              <w:t>)</w:t>
            </w:r>
          </w:p>
        </w:tc>
        <w:tc>
          <w:tcPr>
            <w:tcW w:w="416" w:type="pct"/>
            <w:tcBorders>
              <w:top w:val="single" w:sz="4" w:space="0" w:color="auto"/>
              <w:left w:val="single" w:sz="4" w:space="0" w:color="auto"/>
              <w:bottom w:val="single" w:sz="4" w:space="0" w:color="auto"/>
              <w:right w:val="single" w:sz="4" w:space="0" w:color="auto"/>
            </w:tcBorders>
          </w:tcPr>
          <w:p w14:paraId="387DB15A" w14:textId="77777777" w:rsidR="001163D9" w:rsidRPr="001163D9" w:rsidRDefault="001163D9" w:rsidP="0020487B">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10)</w:t>
            </w:r>
          </w:p>
        </w:tc>
        <w:tc>
          <w:tcPr>
            <w:tcW w:w="400" w:type="pct"/>
            <w:tcBorders>
              <w:top w:val="single" w:sz="4" w:space="0" w:color="auto"/>
              <w:left w:val="single" w:sz="4" w:space="0" w:color="auto"/>
              <w:bottom w:val="single" w:sz="4" w:space="0" w:color="auto"/>
              <w:right w:val="single" w:sz="4" w:space="0" w:color="auto"/>
            </w:tcBorders>
          </w:tcPr>
          <w:p w14:paraId="490988B6"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0DCE7EBE"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4" w:type="pct"/>
            <w:tcBorders>
              <w:top w:val="single" w:sz="4" w:space="0" w:color="auto"/>
              <w:left w:val="single" w:sz="4" w:space="0" w:color="auto"/>
              <w:bottom w:val="single" w:sz="4" w:space="0" w:color="auto"/>
              <w:right w:val="single" w:sz="4" w:space="0" w:color="auto"/>
            </w:tcBorders>
          </w:tcPr>
          <w:p w14:paraId="45E10395"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05" w:type="pct"/>
            <w:tcBorders>
              <w:top w:val="single" w:sz="4" w:space="0" w:color="auto"/>
              <w:left w:val="single" w:sz="4" w:space="0" w:color="auto"/>
              <w:bottom w:val="single" w:sz="4" w:space="0" w:color="auto"/>
              <w:right w:val="single" w:sz="4" w:space="0" w:color="auto"/>
            </w:tcBorders>
          </w:tcPr>
          <w:p w14:paraId="64534CAF"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very serious </w:t>
            </w:r>
            <w:r w:rsidRPr="001163D9">
              <w:rPr>
                <w:rFonts w:ascii="Arial Narrow" w:hAnsi="Arial Narrow" w:cstheme="minorBidi"/>
                <w:sz w:val="18"/>
                <w:szCs w:val="18"/>
                <w:vertAlign w:val="superscript"/>
              </w:rPr>
              <w:t>2</w:t>
            </w:r>
          </w:p>
        </w:tc>
        <w:tc>
          <w:tcPr>
            <w:tcW w:w="474" w:type="pct"/>
            <w:tcBorders>
              <w:top w:val="single" w:sz="4" w:space="0" w:color="auto"/>
              <w:left w:val="single" w:sz="4" w:space="0" w:color="auto"/>
              <w:bottom w:val="single" w:sz="4" w:space="0" w:color="auto"/>
              <w:right w:val="single" w:sz="4" w:space="0" w:color="auto"/>
            </w:tcBorders>
          </w:tcPr>
          <w:p w14:paraId="6AB1C271"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407D6655" w14:textId="0A629DC3"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Median overall survival: 44 months (range: 21</w:t>
            </w:r>
            <w:r w:rsidR="007E3D66">
              <w:rPr>
                <w:rFonts w:ascii="Arial Narrow" w:hAnsi="Arial Narrow" w:cstheme="minorBidi"/>
                <w:sz w:val="18"/>
                <w:szCs w:val="18"/>
              </w:rPr>
              <w:t>–</w:t>
            </w:r>
            <w:r w:rsidRPr="001163D9">
              <w:rPr>
                <w:rFonts w:ascii="Arial Narrow" w:hAnsi="Arial Narrow" w:cstheme="minorBidi"/>
                <w:sz w:val="18"/>
                <w:szCs w:val="18"/>
              </w:rPr>
              <w:t xml:space="preserve">67) </w:t>
            </w:r>
          </w:p>
        </w:tc>
        <w:tc>
          <w:tcPr>
            <w:tcW w:w="373" w:type="pct"/>
            <w:tcBorders>
              <w:top w:val="single" w:sz="4" w:space="0" w:color="auto"/>
              <w:left w:val="single" w:sz="4" w:space="0" w:color="auto"/>
              <w:bottom w:val="single" w:sz="4" w:space="0" w:color="auto"/>
              <w:right w:val="single" w:sz="4" w:space="0" w:color="auto"/>
            </w:tcBorders>
          </w:tcPr>
          <w:p w14:paraId="25CB9955" w14:textId="77777777" w:rsidR="001163D9" w:rsidRPr="001163D9" w:rsidRDefault="001163D9" w:rsidP="0020487B">
            <w:pPr>
              <w:spacing w:before="40" w:after="40" w:line="288" w:lineRule="auto"/>
              <w:jc w:val="center"/>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0EC60C2D" w14:textId="77777777" w:rsidR="001163D9" w:rsidRPr="001163D9" w:rsidRDefault="001163D9" w:rsidP="0020487B">
            <w:pPr>
              <w:spacing w:before="40" w:after="40" w:line="288" w:lineRule="auto"/>
              <w:rPr>
                <w:rFonts w:ascii="Arial Narrow" w:hAnsi="Arial Narrow" w:cstheme="minorBidi"/>
                <w:sz w:val="18"/>
                <w:szCs w:val="18"/>
              </w:rPr>
            </w:pPr>
            <w:r w:rsidRPr="001163D9">
              <w:rPr>
                <w:rFonts w:ascii="Arial Narrow" w:hAnsi="Arial Narrow" w:cstheme="minorBidi"/>
                <w:sz w:val="18"/>
                <w:szCs w:val="18"/>
              </w:rPr>
              <w:t xml:space="preserve">CRITICAL </w:t>
            </w:r>
          </w:p>
        </w:tc>
      </w:tr>
      <w:tr w:rsidR="001163D9" w:rsidRPr="001163D9" w14:paraId="7C2F95BD" w14:textId="77777777" w:rsidTr="007B4F1D">
        <w:trPr>
          <w:trHeight w:val="319"/>
        </w:trPr>
        <w:tc>
          <w:tcPr>
            <w:tcW w:w="639" w:type="pct"/>
            <w:tcBorders>
              <w:top w:val="single" w:sz="4" w:space="0" w:color="auto"/>
              <w:left w:val="single" w:sz="4" w:space="0" w:color="auto"/>
              <w:bottom w:val="single" w:sz="4" w:space="0" w:color="auto"/>
              <w:right w:val="single" w:sz="4" w:space="0" w:color="auto"/>
            </w:tcBorders>
          </w:tcPr>
          <w:p w14:paraId="1A2F9460" w14:textId="77777777" w:rsidR="001163D9" w:rsidRPr="001163D9" w:rsidRDefault="001163D9" w:rsidP="0020487B">
            <w:pPr>
              <w:spacing w:before="40" w:after="4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 xml:space="preserve">1,2,3,5-year survival </w:t>
            </w:r>
          </w:p>
          <w:p w14:paraId="2E5BF0D5" w14:textId="61048C1E" w:rsidR="001163D9" w:rsidRPr="001163D9" w:rsidRDefault="00D33E1F" w:rsidP="0020487B">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range 12 months to 38 months; assessed with: Kaplan-Meier estimates (95%CI)</w:t>
            </w:r>
          </w:p>
        </w:tc>
        <w:tc>
          <w:tcPr>
            <w:tcW w:w="416" w:type="pct"/>
            <w:tcBorders>
              <w:top w:val="single" w:sz="4" w:space="0" w:color="auto"/>
              <w:left w:val="single" w:sz="4" w:space="0" w:color="auto"/>
              <w:bottom w:val="single" w:sz="4" w:space="0" w:color="auto"/>
              <w:right w:val="single" w:sz="4" w:space="0" w:color="auto"/>
            </w:tcBorders>
          </w:tcPr>
          <w:p w14:paraId="1832D992" w14:textId="77777777" w:rsidR="001163D9" w:rsidRPr="001163D9" w:rsidRDefault="001163D9" w:rsidP="0020487B">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10)</w:t>
            </w:r>
          </w:p>
        </w:tc>
        <w:tc>
          <w:tcPr>
            <w:tcW w:w="400" w:type="pct"/>
            <w:tcBorders>
              <w:top w:val="single" w:sz="4" w:space="0" w:color="auto"/>
              <w:left w:val="single" w:sz="4" w:space="0" w:color="auto"/>
              <w:bottom w:val="single" w:sz="4" w:space="0" w:color="auto"/>
              <w:right w:val="single" w:sz="4" w:space="0" w:color="auto"/>
            </w:tcBorders>
          </w:tcPr>
          <w:p w14:paraId="71D186BC"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0E2ACC31"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4" w:type="pct"/>
            <w:tcBorders>
              <w:top w:val="single" w:sz="4" w:space="0" w:color="auto"/>
              <w:left w:val="single" w:sz="4" w:space="0" w:color="auto"/>
              <w:bottom w:val="single" w:sz="4" w:space="0" w:color="auto"/>
              <w:right w:val="single" w:sz="4" w:space="0" w:color="auto"/>
            </w:tcBorders>
          </w:tcPr>
          <w:p w14:paraId="1AE82AE0"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05" w:type="pct"/>
            <w:tcBorders>
              <w:top w:val="single" w:sz="4" w:space="0" w:color="auto"/>
              <w:left w:val="single" w:sz="4" w:space="0" w:color="auto"/>
              <w:bottom w:val="single" w:sz="4" w:space="0" w:color="auto"/>
              <w:right w:val="single" w:sz="4" w:space="0" w:color="auto"/>
            </w:tcBorders>
          </w:tcPr>
          <w:p w14:paraId="57C19A42"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very serious </w:t>
            </w:r>
            <w:r w:rsidRPr="001163D9">
              <w:rPr>
                <w:rFonts w:ascii="Arial Narrow" w:hAnsi="Arial Narrow" w:cstheme="minorBidi"/>
                <w:sz w:val="18"/>
                <w:szCs w:val="18"/>
                <w:vertAlign w:val="superscript"/>
              </w:rPr>
              <w:t>2</w:t>
            </w:r>
          </w:p>
        </w:tc>
        <w:tc>
          <w:tcPr>
            <w:tcW w:w="474" w:type="pct"/>
            <w:tcBorders>
              <w:top w:val="single" w:sz="4" w:space="0" w:color="auto"/>
              <w:left w:val="single" w:sz="4" w:space="0" w:color="auto"/>
              <w:bottom w:val="single" w:sz="4" w:space="0" w:color="auto"/>
              <w:right w:val="single" w:sz="4" w:space="0" w:color="auto"/>
            </w:tcBorders>
          </w:tcPr>
          <w:p w14:paraId="3947A95F"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0D3981B9" w14:textId="553760A3" w:rsidR="001163D9" w:rsidRPr="001163D9" w:rsidRDefault="001163D9" w:rsidP="0012546B">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1-year median survival rate: 87.8% (range 73.4</w:t>
            </w:r>
            <w:r w:rsidR="007E3D66">
              <w:rPr>
                <w:rFonts w:ascii="Arial Narrow" w:hAnsi="Arial Narrow" w:cstheme="minorBidi"/>
                <w:sz w:val="18"/>
                <w:szCs w:val="18"/>
              </w:rPr>
              <w:t>–</w:t>
            </w:r>
            <w:r w:rsidRPr="001163D9">
              <w:rPr>
                <w:rFonts w:ascii="Arial Narrow" w:hAnsi="Arial Narrow" w:cstheme="minorBidi"/>
                <w:sz w:val="18"/>
                <w:szCs w:val="18"/>
              </w:rPr>
              <w:t>100); 2-year median survival rate: 59.3% (range 41.1</w:t>
            </w:r>
            <w:r w:rsidR="007E3D66">
              <w:rPr>
                <w:rFonts w:ascii="Arial Narrow" w:hAnsi="Arial Narrow" w:cstheme="minorBidi"/>
                <w:sz w:val="18"/>
                <w:szCs w:val="18"/>
              </w:rPr>
              <w:t>–</w:t>
            </w:r>
            <w:r w:rsidRPr="001163D9">
              <w:rPr>
                <w:rFonts w:ascii="Arial Narrow" w:hAnsi="Arial Narrow" w:cstheme="minorBidi"/>
                <w:sz w:val="18"/>
                <w:szCs w:val="18"/>
              </w:rPr>
              <w:t>94); 3-year median survival rate: 53 % (range: 30</w:t>
            </w:r>
            <w:r w:rsidR="007E3D66">
              <w:rPr>
                <w:rFonts w:ascii="Arial Narrow" w:hAnsi="Arial Narrow" w:cstheme="minorBidi"/>
                <w:sz w:val="18"/>
                <w:szCs w:val="18"/>
              </w:rPr>
              <w:t>–</w:t>
            </w:r>
            <w:r w:rsidRPr="001163D9">
              <w:rPr>
                <w:rFonts w:ascii="Arial Narrow" w:hAnsi="Arial Narrow" w:cstheme="minorBidi"/>
                <w:sz w:val="18"/>
                <w:szCs w:val="18"/>
              </w:rPr>
              <w:t xml:space="preserve">85); 5-year survival rate </w:t>
            </w:r>
            <w:r w:rsidR="0012546B">
              <w:rPr>
                <w:rFonts w:ascii="Arial Narrow" w:hAnsi="Arial Narrow" w:cstheme="minorBidi"/>
                <w:sz w:val="18"/>
                <w:szCs w:val="18"/>
              </w:rPr>
              <w:t>NR</w:t>
            </w:r>
          </w:p>
        </w:tc>
        <w:tc>
          <w:tcPr>
            <w:tcW w:w="373" w:type="pct"/>
            <w:tcBorders>
              <w:top w:val="single" w:sz="4" w:space="0" w:color="auto"/>
              <w:left w:val="single" w:sz="4" w:space="0" w:color="auto"/>
              <w:bottom w:val="single" w:sz="4" w:space="0" w:color="auto"/>
              <w:right w:val="single" w:sz="4" w:space="0" w:color="auto"/>
            </w:tcBorders>
          </w:tcPr>
          <w:p w14:paraId="7232525F" w14:textId="77777777" w:rsidR="001163D9" w:rsidRPr="001163D9" w:rsidRDefault="001163D9" w:rsidP="0020487B">
            <w:pPr>
              <w:spacing w:before="40" w:after="40" w:line="288" w:lineRule="auto"/>
              <w:jc w:val="center"/>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0F8F013F" w14:textId="77777777" w:rsidR="001163D9" w:rsidRPr="001163D9" w:rsidRDefault="001163D9" w:rsidP="0020487B">
            <w:pPr>
              <w:spacing w:before="40" w:after="40" w:line="288" w:lineRule="auto"/>
              <w:rPr>
                <w:rFonts w:ascii="Arial Narrow" w:hAnsi="Arial Narrow" w:cstheme="minorBidi"/>
                <w:sz w:val="18"/>
                <w:szCs w:val="18"/>
              </w:rPr>
            </w:pPr>
            <w:r w:rsidRPr="001163D9">
              <w:rPr>
                <w:rFonts w:ascii="Arial Narrow" w:hAnsi="Arial Narrow" w:cstheme="minorBidi"/>
                <w:sz w:val="18"/>
                <w:szCs w:val="18"/>
              </w:rPr>
              <w:t xml:space="preserve">IMPORTANT </w:t>
            </w:r>
          </w:p>
        </w:tc>
      </w:tr>
      <w:tr w:rsidR="001163D9" w:rsidRPr="001163D9" w14:paraId="0379ED97" w14:textId="77777777" w:rsidTr="007B4F1D">
        <w:trPr>
          <w:trHeight w:val="319"/>
        </w:trPr>
        <w:tc>
          <w:tcPr>
            <w:tcW w:w="639" w:type="pct"/>
            <w:tcBorders>
              <w:top w:val="single" w:sz="4" w:space="0" w:color="auto"/>
              <w:left w:val="single" w:sz="4" w:space="0" w:color="auto"/>
              <w:bottom w:val="single" w:sz="4" w:space="0" w:color="auto"/>
              <w:right w:val="single" w:sz="4" w:space="0" w:color="auto"/>
            </w:tcBorders>
          </w:tcPr>
          <w:p w14:paraId="48907B48" w14:textId="77777777" w:rsidR="001163D9" w:rsidRPr="001163D9" w:rsidRDefault="001163D9" w:rsidP="0020487B">
            <w:pPr>
              <w:spacing w:before="40" w:after="4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Median time to local progression with RFA</w:t>
            </w:r>
          </w:p>
          <w:p w14:paraId="69D64A4D" w14:textId="68A4DC12" w:rsidR="001163D9" w:rsidRPr="001163D9" w:rsidRDefault="00FB4596" w:rsidP="0020487B">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 xml:space="preserve">ollow up: range 12 months to 38 months; </w:t>
            </w:r>
            <w:r w:rsidR="001163D9" w:rsidRPr="001163D9">
              <w:rPr>
                <w:rFonts w:ascii="Arial Narrow" w:eastAsiaTheme="minorEastAsia" w:hAnsi="Arial Narrow"/>
                <w:sz w:val="18"/>
                <w:szCs w:val="18"/>
              </w:rPr>
              <w:lastRenderedPageBreak/>
              <w:t>assessed with: mean (range) month</w:t>
            </w:r>
            <w:r w:rsidR="0012546B">
              <w:rPr>
                <w:rFonts w:ascii="Arial Narrow" w:eastAsiaTheme="minorEastAsia" w:hAnsi="Arial Narrow"/>
                <w:sz w:val="18"/>
                <w:szCs w:val="18"/>
              </w:rPr>
              <w:t>s/Kaplan-Meier estimate (95%CI)</w:t>
            </w:r>
          </w:p>
        </w:tc>
        <w:tc>
          <w:tcPr>
            <w:tcW w:w="416" w:type="pct"/>
            <w:tcBorders>
              <w:top w:val="single" w:sz="4" w:space="0" w:color="auto"/>
              <w:left w:val="single" w:sz="4" w:space="0" w:color="auto"/>
              <w:bottom w:val="single" w:sz="4" w:space="0" w:color="auto"/>
              <w:right w:val="single" w:sz="4" w:space="0" w:color="auto"/>
            </w:tcBorders>
          </w:tcPr>
          <w:p w14:paraId="5CED614F" w14:textId="77777777" w:rsidR="001163D9" w:rsidRPr="001163D9" w:rsidRDefault="001163D9" w:rsidP="0020487B">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lastRenderedPageBreak/>
              <w:t>observational studies (</w:t>
            </w:r>
            <w:r w:rsidR="00C10752">
              <w:rPr>
                <w:rFonts w:ascii="Arial Narrow" w:hAnsi="Arial Narrow" w:cstheme="minorBidi"/>
                <w:sz w:val="18"/>
                <w:szCs w:val="18"/>
              </w:rPr>
              <w:t xml:space="preserve">k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5)</w:t>
            </w:r>
          </w:p>
        </w:tc>
        <w:tc>
          <w:tcPr>
            <w:tcW w:w="400" w:type="pct"/>
            <w:tcBorders>
              <w:top w:val="single" w:sz="4" w:space="0" w:color="auto"/>
              <w:left w:val="single" w:sz="4" w:space="0" w:color="auto"/>
              <w:bottom w:val="single" w:sz="4" w:space="0" w:color="auto"/>
              <w:right w:val="single" w:sz="4" w:space="0" w:color="auto"/>
            </w:tcBorders>
          </w:tcPr>
          <w:p w14:paraId="19BAFEC6"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35CCBB10"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4" w:type="pct"/>
            <w:tcBorders>
              <w:top w:val="single" w:sz="4" w:space="0" w:color="auto"/>
              <w:left w:val="single" w:sz="4" w:space="0" w:color="auto"/>
              <w:bottom w:val="single" w:sz="4" w:space="0" w:color="auto"/>
              <w:right w:val="single" w:sz="4" w:space="0" w:color="auto"/>
            </w:tcBorders>
          </w:tcPr>
          <w:p w14:paraId="0A311315"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05" w:type="pct"/>
            <w:tcBorders>
              <w:top w:val="single" w:sz="4" w:space="0" w:color="auto"/>
              <w:left w:val="single" w:sz="4" w:space="0" w:color="auto"/>
              <w:bottom w:val="single" w:sz="4" w:space="0" w:color="auto"/>
              <w:right w:val="single" w:sz="4" w:space="0" w:color="auto"/>
            </w:tcBorders>
          </w:tcPr>
          <w:p w14:paraId="17B5BDEF"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5</w:t>
            </w:r>
          </w:p>
        </w:tc>
        <w:tc>
          <w:tcPr>
            <w:tcW w:w="474" w:type="pct"/>
            <w:tcBorders>
              <w:top w:val="single" w:sz="4" w:space="0" w:color="auto"/>
              <w:left w:val="single" w:sz="4" w:space="0" w:color="auto"/>
              <w:bottom w:val="single" w:sz="4" w:space="0" w:color="auto"/>
              <w:right w:val="single" w:sz="4" w:space="0" w:color="auto"/>
            </w:tcBorders>
          </w:tcPr>
          <w:p w14:paraId="3244413B"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7F87523E" w14:textId="6CE25A35"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Median time to local progression: 12 months (range: 8.2</w:t>
            </w:r>
            <w:r w:rsidR="007E3D66">
              <w:rPr>
                <w:rFonts w:ascii="Arial Narrow" w:hAnsi="Arial Narrow" w:cstheme="minorBidi"/>
                <w:sz w:val="18"/>
                <w:szCs w:val="18"/>
              </w:rPr>
              <w:t>–</w:t>
            </w:r>
            <w:r w:rsidRPr="001163D9">
              <w:rPr>
                <w:rFonts w:ascii="Arial Narrow" w:hAnsi="Arial Narrow" w:cstheme="minorBidi"/>
                <w:sz w:val="18"/>
                <w:szCs w:val="18"/>
              </w:rPr>
              <w:t xml:space="preserve">15 months) </w:t>
            </w:r>
          </w:p>
        </w:tc>
        <w:tc>
          <w:tcPr>
            <w:tcW w:w="373" w:type="pct"/>
            <w:tcBorders>
              <w:top w:val="single" w:sz="4" w:space="0" w:color="auto"/>
              <w:left w:val="single" w:sz="4" w:space="0" w:color="auto"/>
              <w:bottom w:val="single" w:sz="4" w:space="0" w:color="auto"/>
              <w:right w:val="single" w:sz="4" w:space="0" w:color="auto"/>
            </w:tcBorders>
          </w:tcPr>
          <w:p w14:paraId="056AFE40" w14:textId="77777777" w:rsidR="001163D9" w:rsidRPr="001163D9" w:rsidRDefault="001163D9" w:rsidP="0020487B">
            <w:pPr>
              <w:spacing w:before="40" w:after="40" w:line="288" w:lineRule="auto"/>
              <w:jc w:val="center"/>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74A89C1D" w14:textId="77777777" w:rsidR="001163D9" w:rsidRPr="001163D9" w:rsidRDefault="001163D9" w:rsidP="0020487B">
            <w:pPr>
              <w:spacing w:before="40" w:after="40" w:line="288" w:lineRule="auto"/>
              <w:rPr>
                <w:rFonts w:ascii="Arial Narrow" w:hAnsi="Arial Narrow" w:cstheme="minorBidi"/>
                <w:sz w:val="18"/>
                <w:szCs w:val="18"/>
              </w:rPr>
            </w:pPr>
            <w:r w:rsidRPr="001163D9">
              <w:rPr>
                <w:rFonts w:ascii="Arial Narrow" w:hAnsi="Arial Narrow" w:cstheme="minorBidi"/>
                <w:sz w:val="18"/>
                <w:szCs w:val="18"/>
              </w:rPr>
              <w:t xml:space="preserve">IMPORTANT </w:t>
            </w:r>
          </w:p>
        </w:tc>
      </w:tr>
      <w:tr w:rsidR="001163D9" w:rsidRPr="001163D9" w14:paraId="6F45D03D" w14:textId="77777777" w:rsidTr="007B4F1D">
        <w:trPr>
          <w:trHeight w:val="319"/>
        </w:trPr>
        <w:tc>
          <w:tcPr>
            <w:tcW w:w="639" w:type="pct"/>
            <w:tcBorders>
              <w:top w:val="single" w:sz="4" w:space="0" w:color="auto"/>
              <w:left w:val="single" w:sz="4" w:space="0" w:color="auto"/>
              <w:bottom w:val="single" w:sz="4" w:space="0" w:color="auto"/>
            </w:tcBorders>
            <w:shd w:val="clear" w:color="auto" w:fill="D9D9D9" w:themeFill="background1" w:themeFillShade="D9"/>
          </w:tcPr>
          <w:p w14:paraId="779C6071" w14:textId="77777777" w:rsidR="001163D9" w:rsidRPr="001163D9" w:rsidRDefault="001163D9" w:rsidP="0020487B">
            <w:pPr>
              <w:spacing w:before="40" w:after="40" w:line="288" w:lineRule="auto"/>
              <w:jc w:val="left"/>
              <w:rPr>
                <w:rFonts w:ascii="Arial Narrow" w:eastAsiaTheme="minorEastAsia" w:hAnsi="Arial Narrow"/>
                <w:b/>
                <w:sz w:val="18"/>
                <w:szCs w:val="18"/>
              </w:rPr>
            </w:pPr>
            <w:r w:rsidRPr="001163D9">
              <w:rPr>
                <w:rFonts w:ascii="Arial Narrow" w:eastAsiaTheme="minorEastAsia" w:hAnsi="Arial Narrow"/>
                <w:b/>
                <w:sz w:val="18"/>
                <w:szCs w:val="18"/>
              </w:rPr>
              <w:lastRenderedPageBreak/>
              <w:t>Radiotherapy</w:t>
            </w:r>
          </w:p>
        </w:tc>
        <w:tc>
          <w:tcPr>
            <w:tcW w:w="416" w:type="pct"/>
            <w:tcBorders>
              <w:top w:val="single" w:sz="4" w:space="0" w:color="auto"/>
              <w:bottom w:val="single" w:sz="4" w:space="0" w:color="auto"/>
            </w:tcBorders>
            <w:shd w:val="clear" w:color="auto" w:fill="D9D9D9" w:themeFill="background1" w:themeFillShade="D9"/>
          </w:tcPr>
          <w:p w14:paraId="452CBDCB" w14:textId="77777777" w:rsidR="001163D9" w:rsidRPr="001163D9" w:rsidRDefault="001163D9" w:rsidP="0020487B">
            <w:pPr>
              <w:spacing w:before="40" w:after="40" w:line="288" w:lineRule="auto"/>
              <w:jc w:val="left"/>
              <w:rPr>
                <w:rFonts w:ascii="Arial Narrow" w:eastAsiaTheme="minorEastAsia" w:hAnsi="Arial Narrow"/>
                <w:sz w:val="18"/>
                <w:szCs w:val="18"/>
              </w:rPr>
            </w:pPr>
          </w:p>
        </w:tc>
        <w:tc>
          <w:tcPr>
            <w:tcW w:w="400" w:type="pct"/>
            <w:tcBorders>
              <w:top w:val="single" w:sz="4" w:space="0" w:color="auto"/>
              <w:bottom w:val="single" w:sz="4" w:space="0" w:color="auto"/>
            </w:tcBorders>
            <w:shd w:val="clear" w:color="auto" w:fill="D9D9D9" w:themeFill="background1" w:themeFillShade="D9"/>
          </w:tcPr>
          <w:p w14:paraId="607A0091"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50" w:type="pct"/>
            <w:tcBorders>
              <w:top w:val="single" w:sz="4" w:space="0" w:color="auto"/>
              <w:bottom w:val="single" w:sz="4" w:space="0" w:color="auto"/>
            </w:tcBorders>
            <w:shd w:val="clear" w:color="auto" w:fill="D9D9D9" w:themeFill="background1" w:themeFillShade="D9"/>
          </w:tcPr>
          <w:p w14:paraId="4374A320"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14" w:type="pct"/>
            <w:tcBorders>
              <w:top w:val="single" w:sz="4" w:space="0" w:color="auto"/>
              <w:bottom w:val="single" w:sz="4" w:space="0" w:color="auto"/>
            </w:tcBorders>
            <w:shd w:val="clear" w:color="auto" w:fill="D9D9D9" w:themeFill="background1" w:themeFillShade="D9"/>
          </w:tcPr>
          <w:p w14:paraId="6CA2E467"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05" w:type="pct"/>
            <w:tcBorders>
              <w:top w:val="single" w:sz="4" w:space="0" w:color="auto"/>
              <w:bottom w:val="single" w:sz="4" w:space="0" w:color="auto"/>
            </w:tcBorders>
            <w:shd w:val="clear" w:color="auto" w:fill="D9D9D9" w:themeFill="background1" w:themeFillShade="D9"/>
          </w:tcPr>
          <w:p w14:paraId="40214532"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74" w:type="pct"/>
            <w:tcBorders>
              <w:top w:val="single" w:sz="4" w:space="0" w:color="auto"/>
              <w:bottom w:val="single" w:sz="4" w:space="0" w:color="auto"/>
            </w:tcBorders>
            <w:shd w:val="clear" w:color="auto" w:fill="D9D9D9" w:themeFill="background1" w:themeFillShade="D9"/>
          </w:tcPr>
          <w:p w14:paraId="576859B7"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927" w:type="pct"/>
            <w:tcBorders>
              <w:top w:val="single" w:sz="4" w:space="0" w:color="auto"/>
              <w:bottom w:val="single" w:sz="4" w:space="0" w:color="auto"/>
            </w:tcBorders>
            <w:shd w:val="clear" w:color="auto" w:fill="D9D9D9" w:themeFill="background1" w:themeFillShade="D9"/>
          </w:tcPr>
          <w:p w14:paraId="5946B76B"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373" w:type="pct"/>
            <w:tcBorders>
              <w:top w:val="single" w:sz="4" w:space="0" w:color="auto"/>
              <w:bottom w:val="single" w:sz="4" w:space="0" w:color="auto"/>
            </w:tcBorders>
            <w:shd w:val="clear" w:color="auto" w:fill="D9D9D9" w:themeFill="background1" w:themeFillShade="D9"/>
          </w:tcPr>
          <w:p w14:paraId="08F759F8" w14:textId="77777777" w:rsidR="001163D9" w:rsidRPr="001163D9" w:rsidRDefault="001163D9" w:rsidP="0020487B">
            <w:pPr>
              <w:spacing w:before="40" w:after="40" w:line="288" w:lineRule="auto"/>
              <w:jc w:val="center"/>
              <w:rPr>
                <w:rFonts w:ascii="Arial Narrow" w:hAnsi="Arial Narrow" w:cs="Cambria Math"/>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14432742" w14:textId="77777777" w:rsidR="001163D9" w:rsidRPr="001163D9" w:rsidRDefault="001163D9" w:rsidP="0020487B">
            <w:pPr>
              <w:spacing w:before="40" w:after="40" w:line="288" w:lineRule="auto"/>
              <w:rPr>
                <w:rFonts w:ascii="Arial Narrow" w:hAnsi="Arial Narrow" w:cstheme="minorBidi"/>
                <w:sz w:val="18"/>
                <w:szCs w:val="18"/>
              </w:rPr>
            </w:pPr>
          </w:p>
        </w:tc>
      </w:tr>
      <w:tr w:rsidR="001163D9" w:rsidRPr="001163D9" w14:paraId="28B82CBD" w14:textId="77777777" w:rsidTr="007B4F1D">
        <w:trPr>
          <w:trHeight w:val="319"/>
        </w:trPr>
        <w:tc>
          <w:tcPr>
            <w:tcW w:w="639" w:type="pct"/>
            <w:tcBorders>
              <w:top w:val="single" w:sz="4" w:space="0" w:color="auto"/>
              <w:left w:val="single" w:sz="4" w:space="0" w:color="auto"/>
              <w:bottom w:val="single" w:sz="4" w:space="0" w:color="auto"/>
              <w:right w:val="single" w:sz="4" w:space="0" w:color="auto"/>
            </w:tcBorders>
          </w:tcPr>
          <w:p w14:paraId="64529604" w14:textId="77777777" w:rsidR="001163D9" w:rsidRPr="001163D9" w:rsidRDefault="001163D9" w:rsidP="0020487B">
            <w:pPr>
              <w:spacing w:before="40" w:after="4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Median OS</w:t>
            </w:r>
          </w:p>
          <w:p w14:paraId="4F51F9FC" w14:textId="327DE71B" w:rsidR="001163D9" w:rsidRPr="001163D9" w:rsidRDefault="00FB4596" w:rsidP="00DA232C">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range 13 months to 55 months; asses</w:t>
            </w:r>
            <w:r w:rsidR="00DA232C">
              <w:rPr>
                <w:rFonts w:ascii="Arial Narrow" w:eastAsiaTheme="minorEastAsia" w:hAnsi="Arial Narrow"/>
                <w:sz w:val="18"/>
                <w:szCs w:val="18"/>
              </w:rPr>
              <w:t xml:space="preserve">sed with: median months, </w:t>
            </w:r>
            <w:r w:rsidR="001163D9" w:rsidRPr="001163D9">
              <w:rPr>
                <w:rFonts w:ascii="Arial Narrow" w:eastAsiaTheme="minorEastAsia" w:hAnsi="Arial Narrow"/>
                <w:sz w:val="18"/>
                <w:szCs w:val="18"/>
              </w:rPr>
              <w:t xml:space="preserve">Kaplan-Meier </w:t>
            </w:r>
          </w:p>
        </w:tc>
        <w:tc>
          <w:tcPr>
            <w:tcW w:w="416" w:type="pct"/>
            <w:tcBorders>
              <w:top w:val="single" w:sz="4" w:space="0" w:color="auto"/>
              <w:left w:val="single" w:sz="4" w:space="0" w:color="auto"/>
              <w:bottom w:val="single" w:sz="4" w:space="0" w:color="auto"/>
              <w:right w:val="single" w:sz="4" w:space="0" w:color="auto"/>
            </w:tcBorders>
          </w:tcPr>
          <w:p w14:paraId="16F00CEB" w14:textId="77777777" w:rsidR="001163D9" w:rsidRPr="001163D9" w:rsidRDefault="001163D9" w:rsidP="0020487B">
            <w:pPr>
              <w:spacing w:before="40" w:after="40" w:line="288" w:lineRule="auto"/>
              <w:jc w:val="left"/>
              <w:rPr>
                <w:rFonts w:ascii="Arial Narrow" w:hAnsi="Arial Narrow" w:cstheme="minorBidi"/>
                <w:sz w:val="18"/>
                <w:szCs w:val="18"/>
                <w:vertAlign w:val="superscript"/>
              </w:rPr>
            </w:pPr>
            <w:r w:rsidRPr="001163D9">
              <w:rPr>
                <w:rFonts w:ascii="Arial Narrow" w:hAnsi="Arial Narrow" w:cstheme="minorBidi"/>
                <w:sz w:val="18"/>
                <w:szCs w:val="18"/>
              </w:rPr>
              <w:t xml:space="preserve">observational studies </w:t>
            </w:r>
            <w:r w:rsidRPr="001163D9">
              <w:rPr>
                <w:rFonts w:ascii="Arial Narrow" w:hAnsi="Arial Narrow" w:cstheme="minorBidi"/>
                <w:sz w:val="18"/>
                <w:szCs w:val="18"/>
                <w:vertAlign w:val="superscript"/>
              </w:rPr>
              <w:t>3</w:t>
            </w:r>
          </w:p>
          <w:p w14:paraId="122C5B15" w14:textId="77777777" w:rsidR="001163D9" w:rsidRPr="001163D9" w:rsidRDefault="001163D9" w:rsidP="0020487B">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11)</w:t>
            </w:r>
          </w:p>
        </w:tc>
        <w:tc>
          <w:tcPr>
            <w:tcW w:w="400" w:type="pct"/>
            <w:tcBorders>
              <w:top w:val="single" w:sz="4" w:space="0" w:color="auto"/>
              <w:left w:val="single" w:sz="4" w:space="0" w:color="auto"/>
              <w:bottom w:val="single" w:sz="4" w:space="0" w:color="auto"/>
              <w:right w:val="single" w:sz="4" w:space="0" w:color="auto"/>
            </w:tcBorders>
          </w:tcPr>
          <w:p w14:paraId="4AAEE196"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321110BC"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4" w:type="pct"/>
            <w:tcBorders>
              <w:top w:val="single" w:sz="4" w:space="0" w:color="auto"/>
              <w:left w:val="single" w:sz="4" w:space="0" w:color="auto"/>
              <w:bottom w:val="single" w:sz="4" w:space="0" w:color="auto"/>
              <w:right w:val="single" w:sz="4" w:space="0" w:color="auto"/>
            </w:tcBorders>
          </w:tcPr>
          <w:p w14:paraId="53BBBC96"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05" w:type="pct"/>
            <w:tcBorders>
              <w:top w:val="single" w:sz="4" w:space="0" w:color="auto"/>
              <w:left w:val="single" w:sz="4" w:space="0" w:color="auto"/>
              <w:bottom w:val="single" w:sz="4" w:space="0" w:color="auto"/>
              <w:right w:val="single" w:sz="4" w:space="0" w:color="auto"/>
            </w:tcBorders>
          </w:tcPr>
          <w:p w14:paraId="643E9A7C"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2</w:t>
            </w:r>
          </w:p>
        </w:tc>
        <w:tc>
          <w:tcPr>
            <w:tcW w:w="474" w:type="pct"/>
            <w:tcBorders>
              <w:top w:val="single" w:sz="4" w:space="0" w:color="auto"/>
              <w:left w:val="single" w:sz="4" w:space="0" w:color="auto"/>
              <w:bottom w:val="single" w:sz="4" w:space="0" w:color="auto"/>
              <w:right w:val="single" w:sz="4" w:space="0" w:color="auto"/>
            </w:tcBorders>
          </w:tcPr>
          <w:p w14:paraId="50B978A3"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7655ED23" w14:textId="4E48AA10"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Median overall survival: 27.8 months (range: 12</w:t>
            </w:r>
            <w:r w:rsidR="007E3D66">
              <w:rPr>
                <w:rFonts w:ascii="Arial Narrow" w:hAnsi="Arial Narrow" w:cstheme="minorBidi"/>
                <w:sz w:val="18"/>
                <w:szCs w:val="18"/>
              </w:rPr>
              <w:t>–</w:t>
            </w:r>
            <w:r w:rsidRPr="001163D9">
              <w:rPr>
                <w:rFonts w:ascii="Arial Narrow" w:hAnsi="Arial Narrow" w:cstheme="minorBidi"/>
                <w:sz w:val="18"/>
                <w:szCs w:val="18"/>
              </w:rPr>
              <w:t xml:space="preserve">42.8) </w:t>
            </w:r>
          </w:p>
        </w:tc>
        <w:tc>
          <w:tcPr>
            <w:tcW w:w="373" w:type="pct"/>
            <w:tcBorders>
              <w:top w:val="single" w:sz="4" w:space="0" w:color="auto"/>
              <w:left w:val="single" w:sz="4" w:space="0" w:color="auto"/>
              <w:bottom w:val="single" w:sz="4" w:space="0" w:color="auto"/>
              <w:right w:val="single" w:sz="4" w:space="0" w:color="auto"/>
            </w:tcBorders>
          </w:tcPr>
          <w:p w14:paraId="59775571" w14:textId="77777777" w:rsidR="001163D9" w:rsidRPr="001163D9" w:rsidRDefault="001163D9" w:rsidP="0020487B">
            <w:pPr>
              <w:spacing w:before="40" w:after="40" w:line="288" w:lineRule="auto"/>
              <w:jc w:val="center"/>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5215C876" w14:textId="77777777" w:rsidR="001163D9" w:rsidRPr="001163D9" w:rsidRDefault="001163D9" w:rsidP="0020487B">
            <w:pPr>
              <w:spacing w:before="40" w:after="40" w:line="288" w:lineRule="auto"/>
              <w:rPr>
                <w:rFonts w:ascii="Arial Narrow" w:hAnsi="Arial Narrow" w:cstheme="minorBidi"/>
                <w:sz w:val="18"/>
                <w:szCs w:val="18"/>
              </w:rPr>
            </w:pPr>
            <w:r w:rsidRPr="001163D9">
              <w:rPr>
                <w:rFonts w:ascii="Arial Narrow" w:hAnsi="Arial Narrow" w:cstheme="minorBidi"/>
                <w:sz w:val="18"/>
                <w:szCs w:val="18"/>
              </w:rPr>
              <w:t xml:space="preserve">IMPORTANT </w:t>
            </w:r>
          </w:p>
        </w:tc>
      </w:tr>
      <w:tr w:rsidR="001163D9" w:rsidRPr="001163D9" w14:paraId="50123103" w14:textId="77777777" w:rsidTr="0012546B">
        <w:trPr>
          <w:trHeight w:val="337"/>
        </w:trPr>
        <w:tc>
          <w:tcPr>
            <w:tcW w:w="639" w:type="pct"/>
            <w:tcBorders>
              <w:top w:val="single" w:sz="4" w:space="0" w:color="auto"/>
              <w:left w:val="single" w:sz="4" w:space="0" w:color="auto"/>
              <w:bottom w:val="single" w:sz="4" w:space="0" w:color="auto"/>
              <w:right w:val="single" w:sz="4" w:space="0" w:color="auto"/>
            </w:tcBorders>
          </w:tcPr>
          <w:p w14:paraId="3C990848" w14:textId="77777777" w:rsidR="001163D9" w:rsidRPr="001163D9" w:rsidRDefault="001163D9" w:rsidP="0020487B">
            <w:pPr>
              <w:spacing w:before="40" w:after="4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 xml:space="preserve">1,2,3,5-year survival </w:t>
            </w:r>
          </w:p>
          <w:p w14:paraId="55DF7FC8" w14:textId="7A06ACBE" w:rsidR="001163D9" w:rsidRPr="001163D9" w:rsidRDefault="00FB4596" w:rsidP="0020487B">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range 13 months to 55 months; assessed with: Kaplan-Meier estimate (95%CI)</w:t>
            </w:r>
          </w:p>
        </w:tc>
        <w:tc>
          <w:tcPr>
            <w:tcW w:w="416" w:type="pct"/>
            <w:tcBorders>
              <w:top w:val="single" w:sz="4" w:space="0" w:color="auto"/>
              <w:left w:val="single" w:sz="4" w:space="0" w:color="auto"/>
              <w:bottom w:val="single" w:sz="4" w:space="0" w:color="auto"/>
              <w:right w:val="single" w:sz="4" w:space="0" w:color="auto"/>
            </w:tcBorders>
          </w:tcPr>
          <w:p w14:paraId="7A35FC63" w14:textId="77777777" w:rsidR="001163D9" w:rsidRPr="001163D9" w:rsidRDefault="001163D9" w:rsidP="0020487B">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observational studies </w:t>
            </w:r>
            <w:r w:rsidRPr="001163D9">
              <w:rPr>
                <w:rFonts w:ascii="Arial Narrow" w:hAnsi="Arial Narrow" w:cstheme="minorBidi"/>
                <w:sz w:val="18"/>
                <w:szCs w:val="18"/>
                <w:vertAlign w:val="superscript"/>
              </w:rPr>
              <w:t xml:space="preserve">3 </w:t>
            </w:r>
            <w:r w:rsidRPr="001163D9">
              <w:rPr>
                <w:rFonts w:ascii="Arial Narrow" w:hAnsi="Arial Narrow" w:cstheme="minorBidi"/>
                <w:sz w:val="18"/>
                <w:szCs w:val="18"/>
              </w:rPr>
              <w:t>(k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17)</w:t>
            </w:r>
          </w:p>
        </w:tc>
        <w:tc>
          <w:tcPr>
            <w:tcW w:w="400" w:type="pct"/>
            <w:tcBorders>
              <w:top w:val="single" w:sz="4" w:space="0" w:color="auto"/>
              <w:left w:val="single" w:sz="4" w:space="0" w:color="auto"/>
              <w:bottom w:val="single" w:sz="4" w:space="0" w:color="auto"/>
              <w:right w:val="single" w:sz="4" w:space="0" w:color="auto"/>
            </w:tcBorders>
          </w:tcPr>
          <w:p w14:paraId="04204EEA"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66801EAD"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4" w:type="pct"/>
            <w:tcBorders>
              <w:top w:val="single" w:sz="4" w:space="0" w:color="auto"/>
              <w:left w:val="single" w:sz="4" w:space="0" w:color="auto"/>
              <w:bottom w:val="single" w:sz="4" w:space="0" w:color="auto"/>
              <w:right w:val="single" w:sz="4" w:space="0" w:color="auto"/>
            </w:tcBorders>
          </w:tcPr>
          <w:p w14:paraId="5C25D17A"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05" w:type="pct"/>
            <w:tcBorders>
              <w:top w:val="single" w:sz="4" w:space="0" w:color="auto"/>
              <w:left w:val="single" w:sz="4" w:space="0" w:color="auto"/>
              <w:bottom w:val="single" w:sz="4" w:space="0" w:color="auto"/>
              <w:right w:val="single" w:sz="4" w:space="0" w:color="auto"/>
            </w:tcBorders>
          </w:tcPr>
          <w:p w14:paraId="31E20E1D"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very serious </w:t>
            </w:r>
            <w:r w:rsidRPr="001163D9">
              <w:rPr>
                <w:rFonts w:ascii="Arial Narrow" w:hAnsi="Arial Narrow" w:cstheme="minorBidi"/>
                <w:sz w:val="18"/>
                <w:szCs w:val="18"/>
                <w:vertAlign w:val="superscript"/>
              </w:rPr>
              <w:t>4</w:t>
            </w:r>
          </w:p>
        </w:tc>
        <w:tc>
          <w:tcPr>
            <w:tcW w:w="474" w:type="pct"/>
            <w:tcBorders>
              <w:top w:val="single" w:sz="4" w:space="0" w:color="auto"/>
              <w:left w:val="single" w:sz="4" w:space="0" w:color="auto"/>
              <w:bottom w:val="single" w:sz="4" w:space="0" w:color="auto"/>
              <w:right w:val="single" w:sz="4" w:space="0" w:color="auto"/>
            </w:tcBorders>
          </w:tcPr>
          <w:p w14:paraId="48442B60"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7A40EE98" w14:textId="03FA8AF5"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1-year median survival rate: 86 % (60.5</w:t>
            </w:r>
            <w:r w:rsidR="007E3D66">
              <w:rPr>
                <w:rFonts w:ascii="Arial Narrow" w:hAnsi="Arial Narrow" w:cstheme="minorBidi"/>
                <w:sz w:val="18"/>
                <w:szCs w:val="18"/>
              </w:rPr>
              <w:t>–</w:t>
            </w:r>
            <w:r w:rsidRPr="001163D9">
              <w:rPr>
                <w:rFonts w:ascii="Arial Narrow" w:hAnsi="Arial Narrow" w:cstheme="minorBidi"/>
                <w:sz w:val="18"/>
                <w:szCs w:val="18"/>
              </w:rPr>
              <w:t>98); 2-year median survival rate: 65.1% (31.2</w:t>
            </w:r>
            <w:r w:rsidR="007E3D66">
              <w:rPr>
                <w:rFonts w:ascii="Arial Narrow" w:hAnsi="Arial Narrow" w:cstheme="minorBidi"/>
                <w:sz w:val="18"/>
                <w:szCs w:val="18"/>
              </w:rPr>
              <w:t>–</w:t>
            </w:r>
            <w:r w:rsidRPr="001163D9">
              <w:rPr>
                <w:rFonts w:ascii="Arial Narrow" w:hAnsi="Arial Narrow" w:cstheme="minorBidi"/>
                <w:sz w:val="18"/>
                <w:szCs w:val="18"/>
              </w:rPr>
              <w:t>86); 3-year median survival rate: 61.5% (50.1</w:t>
            </w:r>
            <w:r w:rsidR="007E3D66">
              <w:rPr>
                <w:rFonts w:ascii="Arial Narrow" w:hAnsi="Arial Narrow" w:cstheme="minorBidi"/>
                <w:sz w:val="18"/>
                <w:szCs w:val="18"/>
              </w:rPr>
              <w:t>–</w:t>
            </w:r>
            <w:r w:rsidRPr="001163D9">
              <w:rPr>
                <w:rFonts w:ascii="Arial Narrow" w:hAnsi="Arial Narrow" w:cstheme="minorBidi"/>
                <w:sz w:val="18"/>
                <w:szCs w:val="18"/>
              </w:rPr>
              <w:t>73); 5-year median survival rate: 46.2 %(39</w:t>
            </w:r>
            <w:r w:rsidR="007E3D66">
              <w:rPr>
                <w:rFonts w:ascii="Arial Narrow" w:hAnsi="Arial Narrow" w:cstheme="minorBidi"/>
                <w:sz w:val="18"/>
                <w:szCs w:val="18"/>
              </w:rPr>
              <w:t>–</w:t>
            </w:r>
            <w:r w:rsidRPr="001163D9">
              <w:rPr>
                <w:rFonts w:ascii="Arial Narrow" w:hAnsi="Arial Narrow" w:cstheme="minorBidi"/>
                <w:sz w:val="18"/>
                <w:szCs w:val="18"/>
              </w:rPr>
              <w:t xml:space="preserve">56.2) </w:t>
            </w:r>
          </w:p>
        </w:tc>
        <w:tc>
          <w:tcPr>
            <w:tcW w:w="373" w:type="pct"/>
            <w:tcBorders>
              <w:top w:val="single" w:sz="4" w:space="0" w:color="auto"/>
              <w:left w:val="single" w:sz="4" w:space="0" w:color="auto"/>
              <w:bottom w:val="single" w:sz="4" w:space="0" w:color="auto"/>
              <w:right w:val="single" w:sz="4" w:space="0" w:color="auto"/>
            </w:tcBorders>
          </w:tcPr>
          <w:p w14:paraId="280E2C90" w14:textId="77777777" w:rsidR="001163D9" w:rsidRPr="001163D9" w:rsidRDefault="001163D9" w:rsidP="0020487B">
            <w:pPr>
              <w:spacing w:before="40" w:after="40" w:line="288" w:lineRule="auto"/>
              <w:jc w:val="center"/>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42D06728" w14:textId="77777777" w:rsidR="001163D9" w:rsidRPr="001163D9" w:rsidRDefault="001163D9" w:rsidP="0020487B">
            <w:pPr>
              <w:spacing w:before="40" w:after="40" w:line="288" w:lineRule="auto"/>
              <w:rPr>
                <w:rFonts w:ascii="Arial Narrow" w:hAnsi="Arial Narrow" w:cstheme="minorBidi"/>
                <w:sz w:val="18"/>
                <w:szCs w:val="18"/>
              </w:rPr>
            </w:pPr>
            <w:r w:rsidRPr="001163D9">
              <w:rPr>
                <w:rFonts w:ascii="Arial Narrow" w:hAnsi="Arial Narrow" w:cstheme="minorBidi"/>
                <w:sz w:val="18"/>
                <w:szCs w:val="18"/>
              </w:rPr>
              <w:t xml:space="preserve">IMPORTANT </w:t>
            </w:r>
          </w:p>
        </w:tc>
      </w:tr>
      <w:tr w:rsidR="001163D9" w:rsidRPr="001163D9" w14:paraId="4B5556A9" w14:textId="77777777" w:rsidTr="007B4F1D">
        <w:trPr>
          <w:trHeight w:val="319"/>
        </w:trPr>
        <w:tc>
          <w:tcPr>
            <w:tcW w:w="639" w:type="pct"/>
            <w:tcBorders>
              <w:top w:val="single" w:sz="4" w:space="0" w:color="auto"/>
              <w:left w:val="single" w:sz="4" w:space="0" w:color="auto"/>
              <w:bottom w:val="single" w:sz="4" w:space="0" w:color="auto"/>
              <w:right w:val="single" w:sz="4" w:space="0" w:color="auto"/>
            </w:tcBorders>
          </w:tcPr>
          <w:p w14:paraId="64EF24DE" w14:textId="77777777" w:rsidR="001163D9" w:rsidRPr="001163D9" w:rsidRDefault="001163D9" w:rsidP="0020487B">
            <w:pPr>
              <w:spacing w:before="40" w:after="4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Median time to local progression</w:t>
            </w:r>
          </w:p>
          <w:p w14:paraId="45663E40" w14:textId="32275A4D" w:rsidR="001163D9" w:rsidRPr="001163D9" w:rsidRDefault="00FB4596" w:rsidP="0020487B">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range 15 months to 24 months; assessed with: median months until progression</w:t>
            </w:r>
          </w:p>
        </w:tc>
        <w:tc>
          <w:tcPr>
            <w:tcW w:w="416" w:type="pct"/>
            <w:tcBorders>
              <w:top w:val="single" w:sz="4" w:space="0" w:color="auto"/>
              <w:left w:val="single" w:sz="4" w:space="0" w:color="auto"/>
              <w:bottom w:val="single" w:sz="4" w:space="0" w:color="auto"/>
              <w:right w:val="single" w:sz="4" w:space="0" w:color="auto"/>
            </w:tcBorders>
          </w:tcPr>
          <w:p w14:paraId="7E6F02C6" w14:textId="77777777" w:rsidR="001163D9" w:rsidRPr="001163D9" w:rsidRDefault="001163D9" w:rsidP="0020487B">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observational studies </w:t>
            </w:r>
            <w:r w:rsidRPr="001163D9">
              <w:rPr>
                <w:rFonts w:ascii="Arial Narrow" w:hAnsi="Arial Narrow" w:cstheme="minorBidi"/>
                <w:sz w:val="18"/>
                <w:szCs w:val="18"/>
                <w:vertAlign w:val="superscript"/>
              </w:rPr>
              <w:t xml:space="preserve">6 </w:t>
            </w:r>
            <w:r w:rsidRPr="001163D9">
              <w:rPr>
                <w:rFonts w:ascii="Arial Narrow" w:hAnsi="Arial Narrow" w:cstheme="minorBidi"/>
                <w:sz w:val="18"/>
                <w:szCs w:val="18"/>
              </w:rPr>
              <w:t>(</w:t>
            </w:r>
            <w:r w:rsidR="00C10752">
              <w:rPr>
                <w:rFonts w:ascii="Arial Narrow" w:hAnsi="Arial Narrow" w:cstheme="minorBidi"/>
                <w:sz w:val="18"/>
                <w:szCs w:val="18"/>
              </w:rPr>
              <w:t xml:space="preserve">k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7)</w:t>
            </w:r>
          </w:p>
        </w:tc>
        <w:tc>
          <w:tcPr>
            <w:tcW w:w="400" w:type="pct"/>
            <w:tcBorders>
              <w:top w:val="single" w:sz="4" w:space="0" w:color="auto"/>
              <w:left w:val="single" w:sz="4" w:space="0" w:color="auto"/>
              <w:bottom w:val="single" w:sz="4" w:space="0" w:color="auto"/>
              <w:right w:val="single" w:sz="4" w:space="0" w:color="auto"/>
            </w:tcBorders>
          </w:tcPr>
          <w:p w14:paraId="03CA6ADB"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07721008"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4" w:type="pct"/>
            <w:tcBorders>
              <w:top w:val="single" w:sz="4" w:space="0" w:color="auto"/>
              <w:left w:val="single" w:sz="4" w:space="0" w:color="auto"/>
              <w:bottom w:val="single" w:sz="4" w:space="0" w:color="auto"/>
              <w:right w:val="single" w:sz="4" w:space="0" w:color="auto"/>
            </w:tcBorders>
          </w:tcPr>
          <w:p w14:paraId="3DDDA66C"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05" w:type="pct"/>
            <w:tcBorders>
              <w:top w:val="single" w:sz="4" w:space="0" w:color="auto"/>
              <w:left w:val="single" w:sz="4" w:space="0" w:color="auto"/>
              <w:bottom w:val="single" w:sz="4" w:space="0" w:color="auto"/>
              <w:right w:val="single" w:sz="4" w:space="0" w:color="auto"/>
            </w:tcBorders>
          </w:tcPr>
          <w:p w14:paraId="7B465AD1"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5</w:t>
            </w:r>
          </w:p>
        </w:tc>
        <w:tc>
          <w:tcPr>
            <w:tcW w:w="474" w:type="pct"/>
            <w:tcBorders>
              <w:top w:val="single" w:sz="4" w:space="0" w:color="auto"/>
              <w:left w:val="single" w:sz="4" w:space="0" w:color="auto"/>
              <w:bottom w:val="single" w:sz="4" w:space="0" w:color="auto"/>
              <w:right w:val="single" w:sz="4" w:space="0" w:color="auto"/>
            </w:tcBorders>
          </w:tcPr>
          <w:p w14:paraId="5516FF1B"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6E45A053" w14:textId="5E280AB6"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Median time to progression: 10.8 months (range: 5</w:t>
            </w:r>
            <w:r w:rsidR="007E3D66">
              <w:rPr>
                <w:rFonts w:ascii="Arial Narrow" w:hAnsi="Arial Narrow" w:cstheme="minorBidi"/>
                <w:sz w:val="18"/>
                <w:szCs w:val="18"/>
              </w:rPr>
              <w:t>–</w:t>
            </w:r>
            <w:r w:rsidRPr="001163D9">
              <w:rPr>
                <w:rFonts w:ascii="Arial Narrow" w:hAnsi="Arial Narrow" w:cstheme="minorBidi"/>
                <w:sz w:val="18"/>
                <w:szCs w:val="18"/>
              </w:rPr>
              <w:t xml:space="preserve">18) </w:t>
            </w:r>
          </w:p>
        </w:tc>
        <w:tc>
          <w:tcPr>
            <w:tcW w:w="373" w:type="pct"/>
            <w:tcBorders>
              <w:top w:val="single" w:sz="4" w:space="0" w:color="auto"/>
              <w:left w:val="single" w:sz="4" w:space="0" w:color="auto"/>
              <w:bottom w:val="single" w:sz="4" w:space="0" w:color="auto"/>
              <w:right w:val="single" w:sz="4" w:space="0" w:color="auto"/>
            </w:tcBorders>
          </w:tcPr>
          <w:p w14:paraId="0024711D" w14:textId="77777777" w:rsidR="001163D9" w:rsidRPr="001163D9" w:rsidRDefault="001163D9" w:rsidP="0020487B">
            <w:pPr>
              <w:spacing w:before="40" w:after="40" w:line="288" w:lineRule="auto"/>
              <w:jc w:val="center"/>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11141AD0" w14:textId="77777777" w:rsidR="001163D9" w:rsidRPr="001163D9" w:rsidRDefault="001163D9" w:rsidP="0020487B">
            <w:pPr>
              <w:spacing w:before="40" w:after="40" w:line="288" w:lineRule="auto"/>
              <w:rPr>
                <w:rFonts w:ascii="Arial Narrow" w:hAnsi="Arial Narrow" w:cstheme="minorBidi"/>
                <w:sz w:val="18"/>
                <w:szCs w:val="18"/>
              </w:rPr>
            </w:pPr>
            <w:r w:rsidRPr="001163D9">
              <w:rPr>
                <w:rFonts w:ascii="Arial Narrow" w:hAnsi="Arial Narrow" w:cstheme="minorBidi"/>
                <w:sz w:val="18"/>
                <w:szCs w:val="18"/>
              </w:rPr>
              <w:t xml:space="preserve">IMPORTANT </w:t>
            </w:r>
          </w:p>
        </w:tc>
      </w:tr>
      <w:tr w:rsidR="001163D9" w:rsidRPr="001163D9" w14:paraId="66474999" w14:textId="77777777" w:rsidTr="007B4F1D">
        <w:trPr>
          <w:trHeight w:val="319"/>
        </w:trPr>
        <w:tc>
          <w:tcPr>
            <w:tcW w:w="639" w:type="pct"/>
            <w:tcBorders>
              <w:top w:val="single" w:sz="4" w:space="0" w:color="auto"/>
              <w:left w:val="single" w:sz="4" w:space="0" w:color="auto"/>
              <w:bottom w:val="single" w:sz="4" w:space="0" w:color="auto"/>
            </w:tcBorders>
            <w:shd w:val="clear" w:color="auto" w:fill="D9D9D9" w:themeFill="background1" w:themeFillShade="D9"/>
          </w:tcPr>
          <w:p w14:paraId="23EA62FA" w14:textId="77777777" w:rsidR="001163D9" w:rsidRPr="001163D9" w:rsidRDefault="001163D9" w:rsidP="0020487B">
            <w:pPr>
              <w:spacing w:before="40" w:after="40" w:line="288" w:lineRule="auto"/>
              <w:jc w:val="left"/>
              <w:rPr>
                <w:rFonts w:ascii="Arial Narrow" w:eastAsiaTheme="minorEastAsia" w:hAnsi="Arial Narrow"/>
                <w:b/>
                <w:sz w:val="18"/>
                <w:szCs w:val="18"/>
              </w:rPr>
            </w:pPr>
            <w:r w:rsidRPr="001163D9">
              <w:rPr>
                <w:rFonts w:ascii="Arial Narrow" w:eastAsiaTheme="minorEastAsia" w:hAnsi="Arial Narrow"/>
                <w:b/>
                <w:sz w:val="18"/>
                <w:szCs w:val="18"/>
              </w:rPr>
              <w:t>Surgery</w:t>
            </w:r>
          </w:p>
        </w:tc>
        <w:tc>
          <w:tcPr>
            <w:tcW w:w="416" w:type="pct"/>
            <w:tcBorders>
              <w:top w:val="single" w:sz="4" w:space="0" w:color="auto"/>
              <w:bottom w:val="single" w:sz="4" w:space="0" w:color="auto"/>
            </w:tcBorders>
            <w:shd w:val="clear" w:color="auto" w:fill="D9D9D9" w:themeFill="background1" w:themeFillShade="D9"/>
          </w:tcPr>
          <w:p w14:paraId="71E3C4BE" w14:textId="77777777" w:rsidR="001163D9" w:rsidRPr="001163D9" w:rsidRDefault="001163D9" w:rsidP="0020487B">
            <w:pPr>
              <w:spacing w:before="40" w:after="40" w:line="288" w:lineRule="auto"/>
              <w:jc w:val="left"/>
              <w:rPr>
                <w:rFonts w:ascii="Arial Narrow" w:hAnsi="Arial Narrow" w:cstheme="minorBidi"/>
                <w:sz w:val="18"/>
                <w:szCs w:val="18"/>
              </w:rPr>
            </w:pPr>
          </w:p>
        </w:tc>
        <w:tc>
          <w:tcPr>
            <w:tcW w:w="400" w:type="pct"/>
            <w:tcBorders>
              <w:top w:val="single" w:sz="4" w:space="0" w:color="auto"/>
              <w:bottom w:val="single" w:sz="4" w:space="0" w:color="auto"/>
            </w:tcBorders>
            <w:shd w:val="clear" w:color="auto" w:fill="D9D9D9" w:themeFill="background1" w:themeFillShade="D9"/>
          </w:tcPr>
          <w:p w14:paraId="49FFA881"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50" w:type="pct"/>
            <w:tcBorders>
              <w:top w:val="single" w:sz="4" w:space="0" w:color="auto"/>
              <w:bottom w:val="single" w:sz="4" w:space="0" w:color="auto"/>
            </w:tcBorders>
            <w:shd w:val="clear" w:color="auto" w:fill="D9D9D9" w:themeFill="background1" w:themeFillShade="D9"/>
          </w:tcPr>
          <w:p w14:paraId="6FF043E3"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14" w:type="pct"/>
            <w:tcBorders>
              <w:top w:val="single" w:sz="4" w:space="0" w:color="auto"/>
              <w:bottom w:val="single" w:sz="4" w:space="0" w:color="auto"/>
            </w:tcBorders>
            <w:shd w:val="clear" w:color="auto" w:fill="D9D9D9" w:themeFill="background1" w:themeFillShade="D9"/>
          </w:tcPr>
          <w:p w14:paraId="6F69524C"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05" w:type="pct"/>
            <w:tcBorders>
              <w:top w:val="single" w:sz="4" w:space="0" w:color="auto"/>
              <w:bottom w:val="single" w:sz="4" w:space="0" w:color="auto"/>
            </w:tcBorders>
            <w:shd w:val="clear" w:color="auto" w:fill="D9D9D9" w:themeFill="background1" w:themeFillShade="D9"/>
          </w:tcPr>
          <w:p w14:paraId="3687311C"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474" w:type="pct"/>
            <w:tcBorders>
              <w:top w:val="single" w:sz="4" w:space="0" w:color="auto"/>
              <w:bottom w:val="single" w:sz="4" w:space="0" w:color="auto"/>
            </w:tcBorders>
            <w:shd w:val="clear" w:color="auto" w:fill="D9D9D9" w:themeFill="background1" w:themeFillShade="D9"/>
          </w:tcPr>
          <w:p w14:paraId="7B73D09E"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927" w:type="pct"/>
            <w:tcBorders>
              <w:top w:val="single" w:sz="4" w:space="0" w:color="auto"/>
              <w:bottom w:val="single" w:sz="4" w:space="0" w:color="auto"/>
            </w:tcBorders>
            <w:shd w:val="clear" w:color="auto" w:fill="D9D9D9" w:themeFill="background1" w:themeFillShade="D9"/>
          </w:tcPr>
          <w:p w14:paraId="25172840" w14:textId="77777777" w:rsidR="001163D9" w:rsidRPr="001163D9" w:rsidRDefault="001163D9" w:rsidP="007B4F1D">
            <w:pPr>
              <w:spacing w:before="40" w:after="40" w:line="288" w:lineRule="auto"/>
              <w:jc w:val="left"/>
              <w:rPr>
                <w:rFonts w:ascii="Arial Narrow" w:hAnsi="Arial Narrow" w:cstheme="minorBidi"/>
                <w:sz w:val="18"/>
                <w:szCs w:val="18"/>
              </w:rPr>
            </w:pPr>
          </w:p>
        </w:tc>
        <w:tc>
          <w:tcPr>
            <w:tcW w:w="373" w:type="pct"/>
            <w:tcBorders>
              <w:top w:val="single" w:sz="4" w:space="0" w:color="auto"/>
              <w:bottom w:val="single" w:sz="4" w:space="0" w:color="auto"/>
            </w:tcBorders>
            <w:shd w:val="clear" w:color="auto" w:fill="D9D9D9" w:themeFill="background1" w:themeFillShade="D9"/>
          </w:tcPr>
          <w:p w14:paraId="046FD3A1" w14:textId="77777777" w:rsidR="001163D9" w:rsidRPr="001163D9" w:rsidRDefault="001163D9" w:rsidP="0020487B">
            <w:pPr>
              <w:spacing w:before="40" w:after="40" w:line="288" w:lineRule="auto"/>
              <w:jc w:val="center"/>
              <w:rPr>
                <w:rFonts w:ascii="Arial Narrow" w:hAnsi="Arial Narrow" w:cs="Cambria Math"/>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511679B1" w14:textId="77777777" w:rsidR="001163D9" w:rsidRPr="001163D9" w:rsidRDefault="001163D9" w:rsidP="0020487B">
            <w:pPr>
              <w:spacing w:before="40" w:after="40" w:line="288" w:lineRule="auto"/>
              <w:rPr>
                <w:rFonts w:ascii="Arial Narrow" w:hAnsi="Arial Narrow" w:cstheme="minorBidi"/>
                <w:sz w:val="18"/>
                <w:szCs w:val="18"/>
              </w:rPr>
            </w:pPr>
          </w:p>
        </w:tc>
      </w:tr>
      <w:tr w:rsidR="001163D9" w:rsidRPr="001163D9" w14:paraId="06CF2537" w14:textId="77777777" w:rsidTr="007B4F1D">
        <w:trPr>
          <w:trHeight w:val="319"/>
        </w:trPr>
        <w:tc>
          <w:tcPr>
            <w:tcW w:w="639" w:type="pct"/>
            <w:tcBorders>
              <w:top w:val="single" w:sz="4" w:space="0" w:color="auto"/>
              <w:left w:val="single" w:sz="4" w:space="0" w:color="auto"/>
              <w:bottom w:val="single" w:sz="4" w:space="0" w:color="auto"/>
              <w:right w:val="single" w:sz="4" w:space="0" w:color="auto"/>
            </w:tcBorders>
          </w:tcPr>
          <w:p w14:paraId="57DF6BAA" w14:textId="77777777" w:rsidR="001163D9" w:rsidRPr="001163D9" w:rsidRDefault="001163D9" w:rsidP="0020487B">
            <w:pPr>
              <w:spacing w:before="40" w:after="40" w:line="288" w:lineRule="auto"/>
              <w:jc w:val="left"/>
              <w:rPr>
                <w:rFonts w:ascii="Arial Narrow" w:eastAsiaTheme="minorEastAsia" w:hAnsi="Arial Narrow"/>
                <w:sz w:val="18"/>
                <w:szCs w:val="18"/>
              </w:rPr>
            </w:pPr>
            <w:r w:rsidRPr="001163D9">
              <w:rPr>
                <w:rFonts w:ascii="Arial Narrow" w:eastAsiaTheme="minorEastAsia" w:hAnsi="Arial Narrow"/>
                <w:sz w:val="18"/>
                <w:szCs w:val="18"/>
              </w:rPr>
              <w:t>Median OS</w:t>
            </w:r>
          </w:p>
          <w:p w14:paraId="313246FB" w14:textId="26EC1468" w:rsidR="001163D9" w:rsidRPr="001163D9" w:rsidRDefault="00FB4596" w:rsidP="0020487B">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001163D9" w:rsidRPr="001163D9">
              <w:rPr>
                <w:rFonts w:ascii="Arial Narrow" w:eastAsiaTheme="minorEastAsia" w:hAnsi="Arial Narrow"/>
                <w:sz w:val="18"/>
                <w:szCs w:val="18"/>
              </w:rPr>
              <w:t>ollow up: median Not reported months; assessed with: Kaplan-Meier estimate (95 % CI))</w:t>
            </w:r>
          </w:p>
        </w:tc>
        <w:tc>
          <w:tcPr>
            <w:tcW w:w="416" w:type="pct"/>
            <w:tcBorders>
              <w:top w:val="single" w:sz="4" w:space="0" w:color="auto"/>
              <w:left w:val="single" w:sz="4" w:space="0" w:color="auto"/>
              <w:bottom w:val="single" w:sz="4" w:space="0" w:color="auto"/>
              <w:right w:val="single" w:sz="4" w:space="0" w:color="auto"/>
            </w:tcBorders>
          </w:tcPr>
          <w:p w14:paraId="70D9C613" w14:textId="77777777" w:rsidR="001163D9" w:rsidRPr="001163D9" w:rsidRDefault="001163D9" w:rsidP="0020487B">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observational studies (k</w:t>
            </w:r>
            <w:r w:rsidR="00C10752">
              <w:rPr>
                <w:rFonts w:ascii="Arial Narrow" w:hAnsi="Arial Narrow" w:cstheme="minorBidi"/>
                <w:sz w:val="18"/>
                <w:szCs w:val="18"/>
              </w:rPr>
              <w:t xml:space="preserve"> </w:t>
            </w:r>
            <w:r w:rsidRPr="001163D9">
              <w:rPr>
                <w:rFonts w:ascii="Arial Narrow" w:hAnsi="Arial Narrow" w:cstheme="minorBidi"/>
                <w:sz w:val="18"/>
                <w:szCs w:val="18"/>
              </w:rPr>
              <w:t>=</w:t>
            </w:r>
            <w:r w:rsidR="00C10752">
              <w:rPr>
                <w:rFonts w:ascii="Arial Narrow" w:hAnsi="Arial Narrow" w:cstheme="minorBidi"/>
                <w:sz w:val="18"/>
                <w:szCs w:val="18"/>
              </w:rPr>
              <w:t xml:space="preserve"> </w:t>
            </w:r>
            <w:r w:rsidRPr="001163D9">
              <w:rPr>
                <w:rFonts w:ascii="Arial Narrow" w:hAnsi="Arial Narrow" w:cstheme="minorBidi"/>
                <w:sz w:val="18"/>
                <w:szCs w:val="18"/>
              </w:rPr>
              <w:t>3)</w:t>
            </w:r>
          </w:p>
        </w:tc>
        <w:tc>
          <w:tcPr>
            <w:tcW w:w="400" w:type="pct"/>
            <w:tcBorders>
              <w:top w:val="single" w:sz="4" w:space="0" w:color="auto"/>
              <w:left w:val="single" w:sz="4" w:space="0" w:color="auto"/>
              <w:bottom w:val="single" w:sz="4" w:space="0" w:color="auto"/>
              <w:right w:val="single" w:sz="4" w:space="0" w:color="auto"/>
            </w:tcBorders>
          </w:tcPr>
          <w:p w14:paraId="6D90BE43"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64DFF7D0"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14" w:type="pct"/>
            <w:tcBorders>
              <w:top w:val="single" w:sz="4" w:space="0" w:color="auto"/>
              <w:left w:val="single" w:sz="4" w:space="0" w:color="auto"/>
              <w:bottom w:val="single" w:sz="4" w:space="0" w:color="auto"/>
              <w:right w:val="single" w:sz="4" w:space="0" w:color="auto"/>
            </w:tcBorders>
          </w:tcPr>
          <w:p w14:paraId="7F32E0EB"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not serious </w:t>
            </w:r>
          </w:p>
        </w:tc>
        <w:tc>
          <w:tcPr>
            <w:tcW w:w="405" w:type="pct"/>
            <w:tcBorders>
              <w:top w:val="single" w:sz="4" w:space="0" w:color="auto"/>
              <w:left w:val="single" w:sz="4" w:space="0" w:color="auto"/>
              <w:bottom w:val="single" w:sz="4" w:space="0" w:color="auto"/>
              <w:right w:val="single" w:sz="4" w:space="0" w:color="auto"/>
            </w:tcBorders>
          </w:tcPr>
          <w:p w14:paraId="5DEB88F6"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serious </w:t>
            </w:r>
            <w:r w:rsidRPr="001163D9">
              <w:rPr>
                <w:rFonts w:ascii="Arial Narrow" w:hAnsi="Arial Narrow" w:cstheme="minorBidi"/>
                <w:sz w:val="18"/>
                <w:szCs w:val="18"/>
                <w:vertAlign w:val="superscript"/>
              </w:rPr>
              <w:t>4</w:t>
            </w:r>
          </w:p>
        </w:tc>
        <w:tc>
          <w:tcPr>
            <w:tcW w:w="474" w:type="pct"/>
            <w:tcBorders>
              <w:top w:val="single" w:sz="4" w:space="0" w:color="auto"/>
              <w:left w:val="single" w:sz="4" w:space="0" w:color="auto"/>
              <w:bottom w:val="single" w:sz="4" w:space="0" w:color="auto"/>
              <w:right w:val="single" w:sz="4" w:space="0" w:color="auto"/>
            </w:tcBorders>
          </w:tcPr>
          <w:p w14:paraId="2FF22D4B" w14:textId="77777777"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78C06D9C" w14:textId="657B2B41" w:rsidR="001163D9" w:rsidRPr="001163D9" w:rsidRDefault="001163D9" w:rsidP="007B4F1D">
            <w:pPr>
              <w:spacing w:before="40" w:after="40" w:line="288" w:lineRule="auto"/>
              <w:jc w:val="left"/>
              <w:rPr>
                <w:rFonts w:ascii="Arial Narrow" w:hAnsi="Arial Narrow" w:cstheme="minorBidi"/>
                <w:sz w:val="18"/>
                <w:szCs w:val="18"/>
              </w:rPr>
            </w:pPr>
            <w:r w:rsidRPr="001163D9">
              <w:rPr>
                <w:rFonts w:ascii="Arial Narrow" w:hAnsi="Arial Narrow" w:cstheme="minorBidi"/>
                <w:sz w:val="18"/>
                <w:szCs w:val="18"/>
              </w:rPr>
              <w:t>Renaud et al (2014): No lymph node involvement: 94 months (95%CI, 76.27</w:t>
            </w:r>
            <w:r w:rsidR="007E3D66">
              <w:rPr>
                <w:rFonts w:ascii="Arial Narrow" w:hAnsi="Arial Narrow" w:cstheme="minorBidi"/>
                <w:sz w:val="18"/>
                <w:szCs w:val="18"/>
              </w:rPr>
              <w:t>–</w:t>
            </w:r>
            <w:r w:rsidRPr="001163D9">
              <w:rPr>
                <w:rFonts w:ascii="Arial Narrow" w:hAnsi="Arial Narrow" w:cstheme="minorBidi"/>
                <w:sz w:val="18"/>
                <w:szCs w:val="18"/>
              </w:rPr>
              <w:t>111.72) positive lymph node involvement: 42 months (95%CI, 30.06</w:t>
            </w:r>
            <w:r w:rsidR="007E3D66">
              <w:rPr>
                <w:rFonts w:ascii="Arial Narrow" w:hAnsi="Arial Narrow" w:cstheme="minorBidi"/>
                <w:sz w:val="18"/>
                <w:szCs w:val="18"/>
              </w:rPr>
              <w:t>–</w:t>
            </w:r>
            <w:r w:rsidRPr="001163D9">
              <w:rPr>
                <w:rFonts w:ascii="Arial Narrow" w:hAnsi="Arial Narrow" w:cstheme="minorBidi"/>
                <w:sz w:val="18"/>
                <w:szCs w:val="18"/>
              </w:rPr>
              <w:t>53.93; p&lt;0.0001) Hilar location of lymph node involvement: 47 months (95%CI, 29.89</w:t>
            </w:r>
            <w:r w:rsidR="007E3D66">
              <w:rPr>
                <w:rFonts w:ascii="Arial Narrow" w:hAnsi="Arial Narrow" w:cstheme="minorBidi"/>
                <w:sz w:val="18"/>
                <w:szCs w:val="18"/>
              </w:rPr>
              <w:t>–</w:t>
            </w:r>
            <w:r w:rsidRPr="001163D9">
              <w:rPr>
                <w:rFonts w:ascii="Arial Narrow" w:hAnsi="Arial Narrow" w:cstheme="minorBidi"/>
                <w:sz w:val="18"/>
                <w:szCs w:val="18"/>
              </w:rPr>
              <w:t xml:space="preserve">64.10) Mediastinal location of </w:t>
            </w:r>
            <w:r w:rsidRPr="001163D9">
              <w:rPr>
                <w:rFonts w:ascii="Arial Narrow" w:hAnsi="Arial Narrow" w:cstheme="minorBidi"/>
                <w:sz w:val="18"/>
                <w:szCs w:val="18"/>
              </w:rPr>
              <w:lastRenderedPageBreak/>
              <w:t>lymph node involvement: 37 months (95%CI, 13.98</w:t>
            </w:r>
            <w:r w:rsidR="007E3D66">
              <w:rPr>
                <w:rFonts w:ascii="Arial Narrow" w:hAnsi="Arial Narrow" w:cstheme="minorBidi"/>
                <w:sz w:val="18"/>
                <w:szCs w:val="18"/>
              </w:rPr>
              <w:t>–</w:t>
            </w:r>
            <w:r w:rsidRPr="001163D9">
              <w:rPr>
                <w:rFonts w:ascii="Arial Narrow" w:hAnsi="Arial Narrow" w:cstheme="minorBidi"/>
                <w:sz w:val="18"/>
                <w:szCs w:val="18"/>
              </w:rPr>
              <w:t>60.01; p&gt;0.05) Solitary pulmonary metastasis: 81 months (95%CI, 60.8</w:t>
            </w:r>
            <w:r w:rsidR="007E3D66">
              <w:rPr>
                <w:rFonts w:ascii="Arial Narrow" w:hAnsi="Arial Narrow" w:cstheme="minorBidi"/>
                <w:sz w:val="18"/>
                <w:szCs w:val="18"/>
              </w:rPr>
              <w:t>–</w:t>
            </w:r>
            <w:r w:rsidRPr="001163D9">
              <w:rPr>
                <w:rFonts w:ascii="Arial Narrow" w:hAnsi="Arial Narrow" w:cstheme="minorBidi"/>
                <w:sz w:val="18"/>
                <w:szCs w:val="18"/>
              </w:rPr>
              <w:t>101.19) Multiple metastases: 55 months (95%CI, 35.14</w:t>
            </w:r>
            <w:r w:rsidR="007E3D66">
              <w:rPr>
                <w:rFonts w:ascii="Arial Narrow" w:hAnsi="Arial Narrow" w:cstheme="minorBidi"/>
                <w:sz w:val="18"/>
                <w:szCs w:val="18"/>
              </w:rPr>
              <w:t>–</w:t>
            </w:r>
            <w:r w:rsidRPr="001163D9">
              <w:rPr>
                <w:rFonts w:ascii="Arial Narrow" w:hAnsi="Arial Narrow" w:cstheme="minorBidi"/>
                <w:sz w:val="18"/>
                <w:szCs w:val="18"/>
              </w:rPr>
              <w:t>74.86; p&lt;0.01) Hepatic metastases: 47 months (95%CI, 21.6</w:t>
            </w:r>
            <w:r w:rsidR="007E3D66">
              <w:rPr>
                <w:rFonts w:ascii="Arial Narrow" w:hAnsi="Arial Narrow" w:cstheme="minorBidi"/>
                <w:sz w:val="18"/>
                <w:szCs w:val="18"/>
              </w:rPr>
              <w:t>–</w:t>
            </w:r>
            <w:r w:rsidRPr="001163D9">
              <w:rPr>
                <w:rFonts w:ascii="Arial Narrow" w:hAnsi="Arial Narrow" w:cstheme="minorBidi"/>
                <w:sz w:val="18"/>
                <w:szCs w:val="18"/>
              </w:rPr>
              <w:t>72.39) No hepatic metastases: 74 months (95%CI, 60.74</w:t>
            </w:r>
            <w:r w:rsidR="007E3D66">
              <w:rPr>
                <w:rFonts w:ascii="Arial Narrow" w:hAnsi="Arial Narrow" w:cstheme="minorBidi"/>
                <w:sz w:val="18"/>
                <w:szCs w:val="18"/>
              </w:rPr>
              <w:t>–</w:t>
            </w:r>
            <w:r w:rsidRPr="001163D9">
              <w:rPr>
                <w:rFonts w:ascii="Arial Narrow" w:hAnsi="Arial Narrow" w:cstheme="minorBidi"/>
                <w:sz w:val="18"/>
                <w:szCs w:val="18"/>
              </w:rPr>
              <w:t>87.26;. p&lt;0.01) Reza et al (2014): 35 months (95%CI 23</w:t>
            </w:r>
            <w:r w:rsidR="007E3D66">
              <w:rPr>
                <w:rFonts w:ascii="Arial Narrow" w:hAnsi="Arial Narrow" w:cstheme="minorBidi"/>
                <w:sz w:val="18"/>
                <w:szCs w:val="18"/>
              </w:rPr>
              <w:t>–</w:t>
            </w:r>
            <w:r w:rsidRPr="001163D9">
              <w:rPr>
                <w:rFonts w:ascii="Arial Narrow" w:hAnsi="Arial Narrow" w:cstheme="minorBidi"/>
                <w:sz w:val="18"/>
                <w:szCs w:val="18"/>
              </w:rPr>
              <w:t>61); Kitano et al (2012): 26.5 months (range: 0.7</w:t>
            </w:r>
            <w:r w:rsidR="007E3D66">
              <w:rPr>
                <w:rFonts w:ascii="Arial Narrow" w:hAnsi="Arial Narrow" w:cstheme="minorBidi"/>
                <w:sz w:val="18"/>
                <w:szCs w:val="18"/>
              </w:rPr>
              <w:t>–</w:t>
            </w:r>
            <w:r w:rsidRPr="001163D9">
              <w:rPr>
                <w:rFonts w:ascii="Arial Narrow" w:hAnsi="Arial Narrow" w:cstheme="minorBidi"/>
                <w:sz w:val="18"/>
                <w:szCs w:val="18"/>
              </w:rPr>
              <w:t xml:space="preserve">165) </w:t>
            </w:r>
          </w:p>
        </w:tc>
        <w:tc>
          <w:tcPr>
            <w:tcW w:w="373" w:type="pct"/>
            <w:tcBorders>
              <w:top w:val="single" w:sz="4" w:space="0" w:color="auto"/>
              <w:left w:val="single" w:sz="4" w:space="0" w:color="auto"/>
              <w:bottom w:val="single" w:sz="4" w:space="0" w:color="auto"/>
              <w:right w:val="single" w:sz="4" w:space="0" w:color="auto"/>
            </w:tcBorders>
          </w:tcPr>
          <w:p w14:paraId="0939F1EF" w14:textId="77777777" w:rsidR="001163D9" w:rsidRPr="001163D9" w:rsidRDefault="001163D9" w:rsidP="0020487B">
            <w:pPr>
              <w:spacing w:before="40" w:after="40" w:line="288" w:lineRule="auto"/>
              <w:jc w:val="center"/>
              <w:rPr>
                <w:rFonts w:ascii="Arial Narrow" w:hAnsi="Arial Narrow" w:cstheme="minorBidi"/>
                <w:sz w:val="18"/>
                <w:szCs w:val="18"/>
              </w:rPr>
            </w:pPr>
            <w:r w:rsidRPr="001163D9">
              <w:rPr>
                <w:rFonts w:ascii="Cambria Math" w:eastAsiaTheme="minorEastAsia" w:hAnsi="Cambria Math" w:cstheme="minorBidi"/>
                <w:color w:val="00B050"/>
              </w:rPr>
              <w:lastRenderedPageBreak/>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0F0325D5" w14:textId="77777777" w:rsidR="001163D9" w:rsidRPr="001163D9" w:rsidRDefault="001163D9" w:rsidP="0020487B">
            <w:pPr>
              <w:spacing w:before="40" w:after="40" w:line="288" w:lineRule="auto"/>
              <w:rPr>
                <w:rFonts w:ascii="Arial Narrow" w:hAnsi="Arial Narrow" w:cstheme="minorBidi"/>
                <w:sz w:val="18"/>
                <w:szCs w:val="18"/>
              </w:rPr>
            </w:pPr>
            <w:r w:rsidRPr="001163D9">
              <w:rPr>
                <w:rFonts w:ascii="Arial Narrow" w:hAnsi="Arial Narrow" w:cstheme="minorBidi"/>
                <w:sz w:val="18"/>
                <w:szCs w:val="18"/>
              </w:rPr>
              <w:t xml:space="preserve">IMPORTANT </w:t>
            </w:r>
          </w:p>
        </w:tc>
      </w:tr>
      <w:tr w:rsidR="000063AE" w:rsidRPr="001163D9" w14:paraId="0D93C698" w14:textId="77777777" w:rsidTr="007B4F1D">
        <w:trPr>
          <w:trHeight w:val="319"/>
        </w:trPr>
        <w:tc>
          <w:tcPr>
            <w:tcW w:w="639" w:type="pct"/>
            <w:tcBorders>
              <w:top w:val="single" w:sz="4" w:space="0" w:color="auto"/>
              <w:left w:val="single" w:sz="4" w:space="0" w:color="auto"/>
              <w:bottom w:val="single" w:sz="4" w:space="0" w:color="auto"/>
              <w:right w:val="single" w:sz="4" w:space="0" w:color="auto"/>
            </w:tcBorders>
          </w:tcPr>
          <w:p w14:paraId="53D3515F" w14:textId="69ACBD8D" w:rsidR="000063AE" w:rsidRDefault="000063AE" w:rsidP="0020487B">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lastRenderedPageBreak/>
              <w:t>1</w:t>
            </w:r>
            <w:r w:rsidR="00FB4596">
              <w:rPr>
                <w:rFonts w:ascii="Arial Narrow" w:eastAsiaTheme="minorEastAsia" w:hAnsi="Arial Narrow"/>
                <w:sz w:val="18"/>
                <w:szCs w:val="18"/>
              </w:rPr>
              <w:t>,2,3,5-year survival F</w:t>
            </w:r>
            <w:r w:rsidRPr="000063AE">
              <w:rPr>
                <w:rFonts w:ascii="Arial Narrow" w:eastAsiaTheme="minorEastAsia" w:hAnsi="Arial Narrow"/>
                <w:sz w:val="18"/>
                <w:szCs w:val="18"/>
              </w:rPr>
              <w:t xml:space="preserve">ollow up: range 30 days to NA months; </w:t>
            </w:r>
          </w:p>
          <w:p w14:paraId="6CE591A9" w14:textId="77777777" w:rsidR="000063AE" w:rsidRPr="001163D9" w:rsidRDefault="000063AE" w:rsidP="0020487B">
            <w:pPr>
              <w:spacing w:before="40" w:after="40" w:line="288" w:lineRule="auto"/>
              <w:jc w:val="left"/>
              <w:rPr>
                <w:rFonts w:ascii="Arial Narrow" w:eastAsiaTheme="minorEastAsia" w:hAnsi="Arial Narrow"/>
                <w:sz w:val="18"/>
                <w:szCs w:val="18"/>
              </w:rPr>
            </w:pPr>
            <w:r w:rsidRPr="000063AE">
              <w:rPr>
                <w:rFonts w:ascii="Arial Narrow" w:eastAsiaTheme="minorEastAsia" w:hAnsi="Arial Narrow"/>
                <w:sz w:val="18"/>
                <w:szCs w:val="18"/>
              </w:rPr>
              <w:t>assessed with:</w:t>
            </w:r>
            <w:r>
              <w:rPr>
                <w:rFonts w:ascii="Arial Narrow" w:eastAsiaTheme="minorEastAsia" w:hAnsi="Arial Narrow"/>
                <w:sz w:val="18"/>
                <w:szCs w:val="18"/>
              </w:rPr>
              <w:t xml:space="preserve"> varied measures</w:t>
            </w:r>
          </w:p>
        </w:tc>
        <w:tc>
          <w:tcPr>
            <w:tcW w:w="416" w:type="pct"/>
            <w:tcBorders>
              <w:top w:val="single" w:sz="4" w:space="0" w:color="auto"/>
              <w:left w:val="single" w:sz="4" w:space="0" w:color="auto"/>
              <w:bottom w:val="single" w:sz="4" w:space="0" w:color="auto"/>
              <w:right w:val="single" w:sz="4" w:space="0" w:color="auto"/>
            </w:tcBorders>
          </w:tcPr>
          <w:p w14:paraId="3E11ECAB" w14:textId="77777777" w:rsidR="000063AE" w:rsidRPr="001163D9" w:rsidRDefault="000063AE" w:rsidP="0020487B">
            <w:pPr>
              <w:spacing w:before="40" w:after="40" w:line="288" w:lineRule="auto"/>
              <w:jc w:val="left"/>
              <w:rPr>
                <w:rFonts w:ascii="Arial Narrow" w:hAnsi="Arial Narrow" w:cstheme="minorBidi"/>
                <w:sz w:val="18"/>
                <w:szCs w:val="18"/>
              </w:rPr>
            </w:pPr>
            <w:r>
              <w:rPr>
                <w:rFonts w:ascii="Arial Narrow" w:hAnsi="Arial Narrow" w:cstheme="minorBidi"/>
                <w:sz w:val="18"/>
                <w:szCs w:val="18"/>
              </w:rPr>
              <w:t>Observational studies (k</w:t>
            </w:r>
            <w:r w:rsidR="00C10752">
              <w:rPr>
                <w:rFonts w:ascii="Arial Narrow" w:hAnsi="Arial Narrow" w:cstheme="minorBidi"/>
                <w:sz w:val="18"/>
                <w:szCs w:val="18"/>
              </w:rPr>
              <w:t xml:space="preserve"> </w:t>
            </w:r>
            <w:r>
              <w:rPr>
                <w:rFonts w:ascii="Arial Narrow" w:hAnsi="Arial Narrow" w:cstheme="minorBidi"/>
                <w:sz w:val="18"/>
                <w:szCs w:val="18"/>
              </w:rPr>
              <w:t>=</w:t>
            </w:r>
            <w:r w:rsidR="00C10752">
              <w:rPr>
                <w:rFonts w:ascii="Arial Narrow" w:hAnsi="Arial Narrow" w:cstheme="minorBidi"/>
                <w:sz w:val="18"/>
                <w:szCs w:val="18"/>
              </w:rPr>
              <w:t xml:space="preserve"> </w:t>
            </w:r>
            <w:r>
              <w:rPr>
                <w:rFonts w:ascii="Arial Narrow" w:hAnsi="Arial Narrow" w:cstheme="minorBidi"/>
                <w:sz w:val="18"/>
                <w:szCs w:val="18"/>
              </w:rPr>
              <w:t>4)</w:t>
            </w:r>
          </w:p>
        </w:tc>
        <w:tc>
          <w:tcPr>
            <w:tcW w:w="400" w:type="pct"/>
            <w:tcBorders>
              <w:top w:val="single" w:sz="4" w:space="0" w:color="auto"/>
              <w:left w:val="single" w:sz="4" w:space="0" w:color="auto"/>
              <w:bottom w:val="single" w:sz="4" w:space="0" w:color="auto"/>
              <w:right w:val="single" w:sz="4" w:space="0" w:color="auto"/>
            </w:tcBorders>
          </w:tcPr>
          <w:p w14:paraId="50B121BB" w14:textId="77777777" w:rsidR="000063AE" w:rsidRPr="000063AE" w:rsidRDefault="000063AE" w:rsidP="007B4F1D">
            <w:pPr>
              <w:spacing w:before="40" w:after="40" w:line="288" w:lineRule="auto"/>
              <w:jc w:val="left"/>
              <w:rPr>
                <w:rFonts w:ascii="Arial Narrow" w:hAnsi="Arial Narrow" w:cstheme="minorBidi"/>
                <w:sz w:val="18"/>
                <w:szCs w:val="18"/>
              </w:rPr>
            </w:pPr>
            <w:r>
              <w:rPr>
                <w:rFonts w:ascii="Arial Narrow" w:hAnsi="Arial Narrow" w:cstheme="minorBidi"/>
                <w:sz w:val="18"/>
                <w:szCs w:val="18"/>
              </w:rPr>
              <w:t>serious</w:t>
            </w:r>
            <w:r>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3667D2F5" w14:textId="77777777" w:rsidR="000063AE" w:rsidRPr="000063AE" w:rsidRDefault="000063AE" w:rsidP="007B4F1D">
            <w:pPr>
              <w:spacing w:before="40" w:after="40" w:line="288" w:lineRule="auto"/>
              <w:jc w:val="left"/>
              <w:rPr>
                <w:rFonts w:ascii="Arial Narrow" w:hAnsi="Arial Narrow" w:cstheme="minorBidi"/>
                <w:sz w:val="18"/>
                <w:szCs w:val="18"/>
              </w:rPr>
            </w:pPr>
            <w:r w:rsidRPr="000063AE">
              <w:rPr>
                <w:rFonts w:ascii="Arial Narrow" w:hAnsi="Arial Narrow" w:cstheme="minorBidi"/>
                <w:sz w:val="18"/>
                <w:szCs w:val="18"/>
              </w:rPr>
              <w:t xml:space="preserve">not serious </w:t>
            </w:r>
          </w:p>
        </w:tc>
        <w:tc>
          <w:tcPr>
            <w:tcW w:w="414" w:type="pct"/>
            <w:tcBorders>
              <w:top w:val="single" w:sz="4" w:space="0" w:color="auto"/>
              <w:left w:val="single" w:sz="4" w:space="0" w:color="auto"/>
              <w:bottom w:val="single" w:sz="4" w:space="0" w:color="auto"/>
              <w:right w:val="single" w:sz="4" w:space="0" w:color="auto"/>
            </w:tcBorders>
          </w:tcPr>
          <w:p w14:paraId="4814DA8B" w14:textId="77777777" w:rsidR="000063AE" w:rsidRPr="000063AE" w:rsidRDefault="000063AE" w:rsidP="007B4F1D">
            <w:pPr>
              <w:spacing w:before="40" w:after="40" w:line="288" w:lineRule="auto"/>
              <w:jc w:val="left"/>
              <w:rPr>
                <w:rFonts w:ascii="Arial Narrow" w:hAnsi="Arial Narrow" w:cstheme="minorBidi"/>
                <w:sz w:val="18"/>
                <w:szCs w:val="18"/>
              </w:rPr>
            </w:pPr>
            <w:r w:rsidRPr="000063AE">
              <w:rPr>
                <w:rFonts w:ascii="Arial Narrow" w:hAnsi="Arial Narrow" w:cstheme="minorBidi"/>
                <w:sz w:val="18"/>
                <w:szCs w:val="18"/>
              </w:rPr>
              <w:t xml:space="preserve">not serious </w:t>
            </w:r>
          </w:p>
        </w:tc>
        <w:tc>
          <w:tcPr>
            <w:tcW w:w="405" w:type="pct"/>
            <w:tcBorders>
              <w:top w:val="single" w:sz="4" w:space="0" w:color="auto"/>
              <w:left w:val="single" w:sz="4" w:space="0" w:color="auto"/>
              <w:bottom w:val="single" w:sz="4" w:space="0" w:color="auto"/>
              <w:right w:val="single" w:sz="4" w:space="0" w:color="auto"/>
            </w:tcBorders>
          </w:tcPr>
          <w:p w14:paraId="6310E2A8" w14:textId="77777777" w:rsidR="000063AE" w:rsidRPr="000063AE" w:rsidRDefault="000063AE" w:rsidP="007B4F1D">
            <w:pPr>
              <w:spacing w:before="40" w:after="40" w:line="288" w:lineRule="auto"/>
              <w:jc w:val="left"/>
              <w:rPr>
                <w:rFonts w:ascii="Arial Narrow" w:hAnsi="Arial Narrow" w:cstheme="minorBidi"/>
                <w:sz w:val="18"/>
                <w:szCs w:val="18"/>
                <w:vertAlign w:val="superscript"/>
              </w:rPr>
            </w:pPr>
            <w:r w:rsidRPr="000063AE">
              <w:rPr>
                <w:rFonts w:ascii="Arial Narrow" w:hAnsi="Arial Narrow" w:cstheme="minorBidi"/>
                <w:sz w:val="18"/>
                <w:szCs w:val="18"/>
              </w:rPr>
              <w:t>very serious</w:t>
            </w:r>
            <w:r>
              <w:rPr>
                <w:rFonts w:ascii="Arial Narrow" w:hAnsi="Arial Narrow" w:cstheme="minorBidi"/>
                <w:sz w:val="18"/>
                <w:szCs w:val="18"/>
                <w:vertAlign w:val="superscript"/>
              </w:rPr>
              <w:t>2</w:t>
            </w:r>
          </w:p>
        </w:tc>
        <w:tc>
          <w:tcPr>
            <w:tcW w:w="474" w:type="pct"/>
            <w:tcBorders>
              <w:top w:val="single" w:sz="4" w:space="0" w:color="auto"/>
              <w:left w:val="single" w:sz="4" w:space="0" w:color="auto"/>
              <w:bottom w:val="single" w:sz="4" w:space="0" w:color="auto"/>
              <w:right w:val="single" w:sz="4" w:space="0" w:color="auto"/>
            </w:tcBorders>
          </w:tcPr>
          <w:p w14:paraId="19D430E8" w14:textId="77777777" w:rsidR="000063AE" w:rsidRPr="000063AE" w:rsidRDefault="000063AE" w:rsidP="007B4F1D">
            <w:pPr>
              <w:spacing w:before="40" w:after="40" w:line="288" w:lineRule="auto"/>
              <w:jc w:val="left"/>
              <w:rPr>
                <w:rFonts w:ascii="Arial Narrow" w:hAnsi="Arial Narrow" w:cstheme="minorBidi"/>
                <w:sz w:val="18"/>
                <w:szCs w:val="18"/>
              </w:rPr>
            </w:pPr>
            <w:r w:rsidRPr="000063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7C650101" w14:textId="009AD603" w:rsidR="000063AE" w:rsidRPr="001163D9" w:rsidRDefault="000063AE" w:rsidP="005B5077">
            <w:pPr>
              <w:spacing w:before="40" w:after="40" w:line="288" w:lineRule="auto"/>
              <w:jc w:val="left"/>
              <w:rPr>
                <w:rFonts w:ascii="Arial Narrow" w:hAnsi="Arial Narrow" w:cstheme="minorBidi"/>
                <w:sz w:val="18"/>
                <w:szCs w:val="18"/>
              </w:rPr>
            </w:pPr>
            <w:r w:rsidRPr="000063AE">
              <w:rPr>
                <w:rFonts w:ascii="Arial Narrow" w:hAnsi="Arial Narrow" w:cstheme="minorBidi"/>
                <w:sz w:val="18"/>
                <w:szCs w:val="18"/>
                <w:u w:val="single"/>
              </w:rPr>
              <w:t>Young et al (2015):</w:t>
            </w:r>
            <w:r w:rsidRPr="000063AE">
              <w:rPr>
                <w:rFonts w:ascii="Arial Narrow" w:hAnsi="Arial Narrow" w:cstheme="minorBidi"/>
                <w:sz w:val="18"/>
                <w:szCs w:val="18"/>
              </w:rPr>
              <w:t xml:space="preserve"> Meta-analysis of 5 year overall survival from 11 studies (387 patients) 29.1% (95%CI; 24.1</w:t>
            </w:r>
            <w:r w:rsidR="007E3D66">
              <w:rPr>
                <w:rFonts w:ascii="Arial Narrow" w:hAnsi="Arial Narrow" w:cstheme="minorBidi"/>
                <w:sz w:val="18"/>
                <w:szCs w:val="18"/>
              </w:rPr>
              <w:t>–</w:t>
            </w:r>
            <w:r w:rsidRPr="000063AE">
              <w:rPr>
                <w:rFonts w:ascii="Arial Narrow" w:hAnsi="Arial Narrow" w:cstheme="minorBidi"/>
                <w:sz w:val="18"/>
                <w:szCs w:val="18"/>
              </w:rPr>
              <w:t>35.3); I2 =</w:t>
            </w:r>
            <w:r w:rsidR="00C10752">
              <w:rPr>
                <w:rFonts w:ascii="Arial Narrow" w:hAnsi="Arial Narrow" w:cstheme="minorBidi"/>
                <w:sz w:val="18"/>
                <w:szCs w:val="18"/>
              </w:rPr>
              <w:t xml:space="preserve"> </w:t>
            </w:r>
            <w:r w:rsidRPr="000063AE">
              <w:rPr>
                <w:rFonts w:ascii="Arial Narrow" w:hAnsi="Arial Narrow" w:cstheme="minorBidi"/>
                <w:sz w:val="18"/>
                <w:szCs w:val="18"/>
              </w:rPr>
              <w:t>0%, p</w:t>
            </w:r>
            <w:r w:rsidR="00C10752">
              <w:rPr>
                <w:rFonts w:ascii="Arial Narrow" w:hAnsi="Arial Narrow" w:cstheme="minorBidi"/>
                <w:sz w:val="18"/>
                <w:szCs w:val="18"/>
              </w:rPr>
              <w:t xml:space="preserve"> </w:t>
            </w:r>
            <w:r w:rsidRPr="000063AE">
              <w:rPr>
                <w:rFonts w:ascii="Arial Narrow" w:hAnsi="Arial Narrow" w:cstheme="minorBidi"/>
                <w:sz w:val="18"/>
                <w:szCs w:val="18"/>
              </w:rPr>
              <w:t>=</w:t>
            </w:r>
            <w:r w:rsidR="00C10752">
              <w:rPr>
                <w:rFonts w:ascii="Arial Narrow" w:hAnsi="Arial Narrow" w:cstheme="minorBidi"/>
                <w:sz w:val="18"/>
                <w:szCs w:val="18"/>
              </w:rPr>
              <w:t xml:space="preserve"> </w:t>
            </w:r>
            <w:r w:rsidRPr="000063AE">
              <w:rPr>
                <w:rFonts w:ascii="Arial Narrow" w:hAnsi="Arial Narrow" w:cstheme="minorBidi"/>
                <w:sz w:val="18"/>
                <w:szCs w:val="18"/>
              </w:rPr>
              <w:t>0.462, d.f.</w:t>
            </w:r>
            <w:r w:rsidR="00C10752">
              <w:rPr>
                <w:rFonts w:ascii="Arial Narrow" w:hAnsi="Arial Narrow" w:cstheme="minorBidi"/>
                <w:sz w:val="18"/>
                <w:szCs w:val="18"/>
              </w:rPr>
              <w:t xml:space="preserve"> </w:t>
            </w:r>
            <w:r w:rsidRPr="000063AE">
              <w:rPr>
                <w:rFonts w:ascii="Arial Narrow" w:hAnsi="Arial Narrow" w:cstheme="minorBidi"/>
                <w:sz w:val="18"/>
                <w:szCs w:val="18"/>
              </w:rPr>
              <w:t>=</w:t>
            </w:r>
            <w:r w:rsidR="00C10752">
              <w:rPr>
                <w:rFonts w:ascii="Arial Narrow" w:hAnsi="Arial Narrow" w:cstheme="minorBidi"/>
                <w:sz w:val="18"/>
                <w:szCs w:val="18"/>
              </w:rPr>
              <w:t xml:space="preserve"> </w:t>
            </w:r>
            <w:r w:rsidRPr="000063AE">
              <w:rPr>
                <w:rFonts w:ascii="Arial Narrow" w:hAnsi="Arial Narrow" w:cstheme="minorBidi"/>
                <w:sz w:val="18"/>
                <w:szCs w:val="18"/>
              </w:rPr>
              <w:t xml:space="preserve">10 </w:t>
            </w:r>
            <w:r w:rsidRPr="000063AE">
              <w:rPr>
                <w:rFonts w:ascii="Arial Narrow" w:hAnsi="Arial Narrow" w:cstheme="minorBidi"/>
                <w:sz w:val="18"/>
                <w:szCs w:val="18"/>
                <w:u w:val="single"/>
              </w:rPr>
              <w:t>Pfannschmidt et al (2007):</w:t>
            </w:r>
            <w:r w:rsidR="005B5077">
              <w:rPr>
                <w:rFonts w:ascii="Arial Narrow" w:hAnsi="Arial Narrow" w:cstheme="minorBidi"/>
                <w:sz w:val="18"/>
                <w:szCs w:val="18"/>
              </w:rPr>
              <w:t xml:space="preserve"> M</w:t>
            </w:r>
            <w:r w:rsidRPr="000063AE">
              <w:rPr>
                <w:rFonts w:ascii="Arial Narrow" w:hAnsi="Arial Narrow" w:cstheme="minorBidi"/>
                <w:sz w:val="18"/>
                <w:szCs w:val="18"/>
              </w:rPr>
              <w:t>edian</w:t>
            </w:r>
            <w:r w:rsidR="005B5077">
              <w:rPr>
                <w:rFonts w:ascii="Arial Narrow" w:hAnsi="Arial Narrow" w:cstheme="minorBidi"/>
                <w:sz w:val="18"/>
                <w:szCs w:val="18"/>
              </w:rPr>
              <w:t xml:space="preserve"> 5-year survival</w:t>
            </w:r>
            <w:r w:rsidRPr="000063AE">
              <w:rPr>
                <w:rFonts w:ascii="Arial Narrow" w:hAnsi="Arial Narrow" w:cstheme="minorBidi"/>
                <w:sz w:val="18"/>
                <w:szCs w:val="18"/>
              </w:rPr>
              <w:t xml:space="preserve"> 48%, range: 41.1% to 56%). </w:t>
            </w:r>
            <w:r w:rsidRPr="000063AE">
              <w:rPr>
                <w:rFonts w:ascii="Arial Narrow" w:hAnsi="Arial Narrow" w:cstheme="minorBidi"/>
                <w:sz w:val="18"/>
                <w:szCs w:val="18"/>
                <w:u w:val="single"/>
              </w:rPr>
              <w:t>Reza et al (2014):</w:t>
            </w:r>
            <w:r w:rsidRPr="000063AE">
              <w:rPr>
                <w:rFonts w:ascii="Arial Narrow" w:hAnsi="Arial Narrow" w:cstheme="minorBidi"/>
                <w:sz w:val="18"/>
                <w:szCs w:val="18"/>
              </w:rPr>
              <w:t xml:space="preserve"> 3-year: 48%, 5-year: 42%, 10-year: 31%. </w:t>
            </w:r>
            <w:r w:rsidRPr="000063AE">
              <w:rPr>
                <w:rFonts w:ascii="Arial Narrow" w:hAnsi="Arial Narrow" w:cstheme="minorBidi"/>
                <w:sz w:val="18"/>
                <w:szCs w:val="18"/>
                <w:u w:val="single"/>
              </w:rPr>
              <w:t>Kitano et al (2012)</w:t>
            </w:r>
            <w:r w:rsidRPr="000063AE">
              <w:rPr>
                <w:rFonts w:ascii="Arial Narrow" w:hAnsi="Arial Narrow" w:cstheme="minorBidi"/>
                <w:sz w:val="18"/>
                <w:szCs w:val="18"/>
              </w:rPr>
              <w:t>: 2-year OS: 53.9%, 5-year OS: 40.9%</w:t>
            </w:r>
          </w:p>
        </w:tc>
        <w:tc>
          <w:tcPr>
            <w:tcW w:w="373" w:type="pct"/>
            <w:tcBorders>
              <w:top w:val="single" w:sz="4" w:space="0" w:color="auto"/>
              <w:left w:val="single" w:sz="4" w:space="0" w:color="auto"/>
              <w:bottom w:val="single" w:sz="4" w:space="0" w:color="auto"/>
              <w:right w:val="single" w:sz="4" w:space="0" w:color="auto"/>
            </w:tcBorders>
          </w:tcPr>
          <w:p w14:paraId="49E48391" w14:textId="77777777" w:rsidR="000063AE" w:rsidRPr="001163D9" w:rsidRDefault="000063AE" w:rsidP="0020487B">
            <w:pPr>
              <w:spacing w:before="40" w:after="40" w:line="288" w:lineRule="auto"/>
              <w:jc w:val="center"/>
              <w:rPr>
                <w:rFonts w:ascii="Arial Narrow" w:hAnsi="Arial Narrow" w:cstheme="minorBidi"/>
                <w:sz w:val="18"/>
                <w:szCs w:val="18"/>
              </w:rPr>
            </w:pPr>
            <w:r w:rsidRPr="001163D9">
              <w:rPr>
                <w:rFonts w:ascii="Cambria Math" w:eastAsiaTheme="minorEastAsia" w:hAnsi="Cambria Math" w:cstheme="minorBidi"/>
                <w:color w:val="00B050"/>
              </w:rPr>
              <w:t>⨁</w:t>
            </w:r>
            <w:r w:rsidRPr="001163D9">
              <w:rPr>
                <w:rFonts w:ascii="Cambria Math" w:eastAsiaTheme="minorEastAsia" w:hAnsi="Cambria Math" w:cs="Cambria Math"/>
                <w:color w:val="C00000"/>
              </w:rPr>
              <w:t>⨀⨀⨀</w:t>
            </w:r>
            <w:r w:rsidRPr="001163D9">
              <w:rPr>
                <w:rFonts w:ascii="Arial Narrow" w:hAnsi="Arial Narrow" w:cstheme="minorBidi"/>
                <w:sz w:val="18"/>
                <w:szCs w:val="18"/>
              </w:rPr>
              <w:br/>
              <w:t xml:space="preserve">VERY LOW </w:t>
            </w:r>
          </w:p>
        </w:tc>
        <w:tc>
          <w:tcPr>
            <w:tcW w:w="501" w:type="pct"/>
            <w:tcBorders>
              <w:top w:val="single" w:sz="4" w:space="0" w:color="auto"/>
              <w:left w:val="single" w:sz="4" w:space="0" w:color="auto"/>
              <w:bottom w:val="single" w:sz="4" w:space="0" w:color="auto"/>
              <w:right w:val="single" w:sz="4" w:space="0" w:color="auto"/>
            </w:tcBorders>
          </w:tcPr>
          <w:p w14:paraId="5E98236C" w14:textId="77777777" w:rsidR="000063AE" w:rsidRPr="001163D9" w:rsidRDefault="000063AE" w:rsidP="0020487B">
            <w:pPr>
              <w:spacing w:before="40" w:after="40" w:line="288" w:lineRule="auto"/>
              <w:rPr>
                <w:rFonts w:ascii="Arial Narrow" w:hAnsi="Arial Narrow" w:cstheme="minorBidi"/>
                <w:sz w:val="18"/>
                <w:szCs w:val="18"/>
              </w:rPr>
            </w:pPr>
            <w:r w:rsidRPr="001163D9">
              <w:rPr>
                <w:rFonts w:ascii="Arial Narrow" w:hAnsi="Arial Narrow" w:cstheme="minorBidi"/>
                <w:sz w:val="18"/>
                <w:szCs w:val="18"/>
              </w:rPr>
              <w:t xml:space="preserve">IMPORTANT </w:t>
            </w:r>
          </w:p>
        </w:tc>
      </w:tr>
    </w:tbl>
    <w:p w14:paraId="79367F52" w14:textId="5B4E754C" w:rsidR="00C10752" w:rsidRPr="00C4247F" w:rsidRDefault="00657BBD" w:rsidP="00C10752">
      <w:pPr>
        <w:pStyle w:val="Tablenotes0"/>
      </w:pPr>
      <w:r>
        <w:t>&lt;</w:t>
      </w:r>
      <w:r w:rsidR="00C10752" w:rsidRPr="00C4247F">
        <w:t>CI</w:t>
      </w:r>
      <w:r w:rsidR="00C10752">
        <w:t xml:space="preserve"> </w:t>
      </w:r>
      <w:r w:rsidR="00C10752" w:rsidRPr="00C4247F">
        <w:t>=</w:t>
      </w:r>
      <w:r w:rsidR="00C10752">
        <w:t xml:space="preserve"> </w:t>
      </w:r>
      <w:r w:rsidR="00C10752" w:rsidRPr="00C4247F">
        <w:t xml:space="preserve">confidence interval, </w:t>
      </w:r>
      <w:r w:rsidR="00E027FA">
        <w:t xml:space="preserve">MTA = microwave tissue ablation; RFA = radiofrequency ablation; </w:t>
      </w:r>
      <w:r w:rsidR="00C10752" w:rsidRPr="00C4247F">
        <w:t>NA</w:t>
      </w:r>
      <w:r w:rsidR="00C10752">
        <w:t xml:space="preserve"> </w:t>
      </w:r>
      <w:r w:rsidR="00C10752" w:rsidRPr="00C4247F">
        <w:t>=</w:t>
      </w:r>
      <w:r w:rsidR="00C10752">
        <w:t xml:space="preserve"> </w:t>
      </w:r>
      <w:r w:rsidR="00C10752" w:rsidRPr="00C4247F">
        <w:t>not applicable, OS</w:t>
      </w:r>
      <w:r w:rsidR="00C10752">
        <w:t xml:space="preserve"> </w:t>
      </w:r>
      <w:r w:rsidR="00C10752" w:rsidRPr="00C4247F">
        <w:t>=</w:t>
      </w:r>
      <w:r w:rsidR="00C10752">
        <w:t xml:space="preserve"> </w:t>
      </w:r>
      <w:r w:rsidR="00C10752" w:rsidRPr="00C4247F">
        <w:t>overall survival, k</w:t>
      </w:r>
      <w:r w:rsidR="00C10752">
        <w:t xml:space="preserve"> </w:t>
      </w:r>
      <w:r w:rsidR="00C10752" w:rsidRPr="00C4247F">
        <w:t>=</w:t>
      </w:r>
      <w:r w:rsidR="00C10752">
        <w:t xml:space="preserve"> </w:t>
      </w:r>
      <w:r w:rsidR="00C10752" w:rsidRPr="00C4247F">
        <w:t>number of studies</w:t>
      </w:r>
      <w:r w:rsidR="00C10752">
        <w:t>.</w:t>
      </w:r>
      <w:r>
        <w:t>&gt;</w:t>
      </w:r>
    </w:p>
    <w:p w14:paraId="3ABF5F48" w14:textId="00950516" w:rsidR="001163D9" w:rsidRPr="00C4247F" w:rsidRDefault="001163D9" w:rsidP="00FC5A38">
      <w:pPr>
        <w:pStyle w:val="Tablenotes0"/>
        <w:rPr>
          <w:rFonts w:eastAsiaTheme="minorEastAsia"/>
        </w:rPr>
      </w:pPr>
      <w:r w:rsidRPr="00C4247F">
        <w:rPr>
          <w:rFonts w:eastAsiaTheme="minorEastAsia"/>
        </w:rPr>
        <w:t>GRADE Working Group grades of evidence (Guyatt et al., 2013</w:t>
      </w:r>
      <w:r w:rsidR="00CA6DFD" w:rsidRPr="00C4247F">
        <w:rPr>
          <w:rFonts w:eastAsiaTheme="minorEastAsia"/>
        </w:rPr>
        <w:t>)</w:t>
      </w:r>
      <w:r w:rsidR="00C10752">
        <w:rPr>
          <w:rFonts w:eastAsiaTheme="minorEastAsia"/>
        </w:rPr>
        <w:t>.</w:t>
      </w:r>
      <w:r w:rsidRPr="00C4247F">
        <w:rPr>
          <w:rFonts w:eastAsiaTheme="minorEastAsia"/>
        </w:rPr>
        <w:br/>
      </w:r>
      <w:r w:rsidRPr="00C4247F">
        <w:rPr>
          <w:rFonts w:ascii="Cambria Math" w:eastAsiaTheme="minorEastAsia" w:hAnsi="Cambria Math" w:cstheme="minorBidi"/>
          <w:color w:val="00B050"/>
        </w:rPr>
        <w:t>⨁</w:t>
      </w:r>
      <w:r w:rsidRPr="00C4247F">
        <w:rPr>
          <w:rFonts w:ascii="Cambria Math" w:eastAsiaTheme="minorEastAsia" w:hAnsi="Cambria Math" w:cs="Cambria Math"/>
          <w:color w:val="C00000"/>
        </w:rPr>
        <w:t xml:space="preserve">⨀⨀⨀ </w:t>
      </w:r>
      <w:r w:rsidRPr="00C4247F">
        <w:rPr>
          <w:rFonts w:eastAsiaTheme="minorEastAsia"/>
          <w:b/>
          <w:bCs/>
        </w:rPr>
        <w:t>Very low quality:</w:t>
      </w:r>
      <w:r w:rsidRPr="00C4247F">
        <w:rPr>
          <w:rFonts w:eastAsiaTheme="minorEastAsia"/>
        </w:rPr>
        <w:t xml:space="preserve"> We have very little confidence in the effect estimate: The true effect is likely to be substantially different from the estimate of effect</w:t>
      </w:r>
    </w:p>
    <w:p w14:paraId="5AB7159C" w14:textId="77777777" w:rsidR="001163D9" w:rsidRPr="00C4247F" w:rsidRDefault="001163D9" w:rsidP="007B4F1D">
      <w:pPr>
        <w:pStyle w:val="Tablenotes0"/>
        <w:numPr>
          <w:ilvl w:val="0"/>
          <w:numId w:val="89"/>
        </w:numPr>
        <w:ind w:left="284" w:hanging="284"/>
      </w:pPr>
      <w:r w:rsidRPr="00C4247F">
        <w:t>Due to inherent limitations in study design as well as quality issues</w:t>
      </w:r>
    </w:p>
    <w:p w14:paraId="3CC4F450" w14:textId="77777777" w:rsidR="001163D9" w:rsidRPr="00C4247F" w:rsidRDefault="001163D9" w:rsidP="007B4F1D">
      <w:pPr>
        <w:pStyle w:val="Tablenotes0"/>
        <w:numPr>
          <w:ilvl w:val="0"/>
          <w:numId w:val="89"/>
        </w:numPr>
        <w:ind w:left="284" w:hanging="284"/>
      </w:pPr>
      <w:r w:rsidRPr="00C4247F">
        <w:t xml:space="preserve">Studies report a large range of overall survival times with many studies not providing any indication of the variance associated with point estimates. </w:t>
      </w:r>
    </w:p>
    <w:p w14:paraId="6ADD7774" w14:textId="77777777" w:rsidR="001163D9" w:rsidRPr="00C4247F" w:rsidRDefault="001163D9" w:rsidP="007B4F1D">
      <w:pPr>
        <w:pStyle w:val="Tablenotes0"/>
        <w:numPr>
          <w:ilvl w:val="0"/>
          <w:numId w:val="89"/>
        </w:numPr>
        <w:ind w:left="284" w:hanging="284"/>
      </w:pPr>
      <w:r w:rsidRPr="00C4247F">
        <w:t>There were the following other study designs: Siva et al (2015) Level III-2 retrospective cohort study, Yu et al (2014) Level III-2 retrospective cohort study.</w:t>
      </w:r>
    </w:p>
    <w:p w14:paraId="4D3C878A" w14:textId="77777777" w:rsidR="001163D9" w:rsidRPr="00C4247F" w:rsidRDefault="001163D9" w:rsidP="007B4F1D">
      <w:pPr>
        <w:pStyle w:val="Tablenotes0"/>
        <w:numPr>
          <w:ilvl w:val="0"/>
          <w:numId w:val="89"/>
        </w:numPr>
        <w:ind w:left="284" w:hanging="284"/>
      </w:pPr>
      <w:r w:rsidRPr="00C4247F">
        <w:t xml:space="preserve">Studies included investigated a range of prognostic factors and different studies reported on patients with different primaries. This is likely to have affected the overall survival time of included patients. </w:t>
      </w:r>
    </w:p>
    <w:p w14:paraId="26289047" w14:textId="77777777" w:rsidR="001163D9" w:rsidRPr="00C4247F" w:rsidRDefault="001163D9" w:rsidP="007B4F1D">
      <w:pPr>
        <w:pStyle w:val="Tablenotes0"/>
        <w:numPr>
          <w:ilvl w:val="0"/>
          <w:numId w:val="89"/>
        </w:numPr>
        <w:ind w:left="284" w:hanging="284"/>
      </w:pPr>
      <w:r w:rsidRPr="00C4247F">
        <w:t>Studies report a range of time to progression estimates and it is not clear whether they were measured in a consistent manner</w:t>
      </w:r>
    </w:p>
    <w:p w14:paraId="4311E350" w14:textId="28A7BB34" w:rsidR="001163D9" w:rsidRPr="005B5077" w:rsidRDefault="001163D9" w:rsidP="007B4F1D">
      <w:pPr>
        <w:pStyle w:val="Tablenotes0"/>
        <w:numPr>
          <w:ilvl w:val="0"/>
          <w:numId w:val="89"/>
        </w:numPr>
        <w:ind w:left="284" w:hanging="284"/>
        <w:rPr>
          <w:rFonts w:cstheme="minorBidi"/>
          <w:color w:val="000000"/>
        </w:rPr>
      </w:pPr>
      <w:r w:rsidRPr="00C4247F">
        <w:lastRenderedPageBreak/>
        <w:t>There were the following other study designs: Yu et al (2014) Level III-2 retrospective cohort study.</w:t>
      </w:r>
      <w:r w:rsidRPr="005B5077">
        <w:rPr>
          <w:rFonts w:cstheme="minorBidi"/>
          <w:color w:val="000000"/>
        </w:rPr>
        <w:br w:type="page"/>
      </w:r>
    </w:p>
    <w:p w14:paraId="204A5B3E" w14:textId="77777777" w:rsidR="001163D9" w:rsidRDefault="001163D9" w:rsidP="001163D9">
      <w:pPr>
        <w:pStyle w:val="Caption"/>
        <w:keepNext/>
      </w:pPr>
      <w:bookmarkStart w:id="522" w:name="_Toc460514755"/>
      <w:r>
        <w:lastRenderedPageBreak/>
        <w:t xml:space="preserve">Table </w:t>
      </w:r>
      <w:fldSimple w:instr=" SEQ Table \* ARABIC ">
        <w:r w:rsidR="00D170A5">
          <w:rPr>
            <w:noProof/>
          </w:rPr>
          <w:t>97</w:t>
        </w:r>
      </w:fldSimple>
      <w:r>
        <w:tab/>
        <w:t>Evidence profile table for population three</w:t>
      </w:r>
      <w:bookmarkEnd w:id="522"/>
    </w:p>
    <w:tbl>
      <w:tblPr>
        <w:tblW w:w="5000" w:type="pct"/>
        <w:tblLook w:val="04A0" w:firstRow="1" w:lastRow="0" w:firstColumn="1" w:lastColumn="0" w:noHBand="0" w:noVBand="1"/>
      </w:tblPr>
      <w:tblGrid>
        <w:gridCol w:w="1953"/>
        <w:gridCol w:w="1314"/>
        <w:gridCol w:w="1277"/>
        <w:gridCol w:w="1382"/>
        <w:gridCol w:w="1247"/>
        <w:gridCol w:w="1228"/>
        <w:gridCol w:w="1455"/>
        <w:gridCol w:w="2837"/>
        <w:gridCol w:w="1145"/>
        <w:gridCol w:w="1514"/>
      </w:tblGrid>
      <w:tr w:rsidR="001163D9" w:rsidRPr="00B9196A" w14:paraId="4FCED536" w14:textId="77777777" w:rsidTr="00B9196A">
        <w:trPr>
          <w:trHeight w:val="788"/>
        </w:trPr>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F9B1191" w14:textId="77777777" w:rsidR="001163D9" w:rsidRPr="00B9196A" w:rsidRDefault="001163D9" w:rsidP="00406798">
            <w:pPr>
              <w:keepNext/>
              <w:spacing w:before="40" w:after="40" w:line="264" w:lineRule="auto"/>
              <w:ind w:left="-16"/>
              <w:jc w:val="left"/>
              <w:rPr>
                <w:rFonts w:ascii="Arial Narrow" w:eastAsiaTheme="minorEastAsia" w:hAnsi="Arial Narrow"/>
                <w:b/>
                <w:sz w:val="18"/>
                <w:szCs w:val="18"/>
              </w:rPr>
            </w:pPr>
            <w:r w:rsidRPr="00B9196A">
              <w:rPr>
                <w:rFonts w:ascii="Arial Narrow" w:eastAsiaTheme="minorEastAsia" w:hAnsi="Arial Narrow"/>
                <w:b/>
                <w:sz w:val="18"/>
                <w:szCs w:val="18"/>
              </w:rPr>
              <w:t>Outcome  (units, follow-up)</w:t>
            </w:r>
          </w:p>
        </w:tc>
        <w:tc>
          <w:tcPr>
            <w:tcW w:w="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AFDE2C8" w14:textId="77777777" w:rsidR="001163D9" w:rsidRPr="00B9196A" w:rsidRDefault="001163D9" w:rsidP="00406798">
            <w:pPr>
              <w:keepNext/>
              <w:spacing w:before="40" w:after="40" w:line="264" w:lineRule="auto"/>
              <w:ind w:left="-16"/>
              <w:jc w:val="left"/>
              <w:rPr>
                <w:rFonts w:ascii="Arial Narrow" w:eastAsiaTheme="minorEastAsia" w:hAnsi="Arial Narrow"/>
                <w:b/>
                <w:sz w:val="18"/>
                <w:szCs w:val="18"/>
              </w:rPr>
            </w:pPr>
            <w:r w:rsidRPr="00B9196A">
              <w:rPr>
                <w:rFonts w:ascii="Arial Narrow" w:eastAsiaTheme="minorEastAsia" w:hAnsi="Arial Narrow"/>
                <w:b/>
                <w:sz w:val="18"/>
                <w:szCs w:val="18"/>
              </w:rPr>
              <w:t>No. of studies and study design</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8F1FD34" w14:textId="77777777" w:rsidR="001163D9" w:rsidRPr="00B9196A" w:rsidRDefault="001163D9" w:rsidP="00406798">
            <w:pPr>
              <w:keepNext/>
              <w:spacing w:before="40" w:after="40" w:line="264" w:lineRule="auto"/>
              <w:ind w:left="-16"/>
              <w:jc w:val="left"/>
              <w:rPr>
                <w:rFonts w:ascii="Arial Narrow" w:eastAsiaTheme="minorEastAsia" w:hAnsi="Arial Narrow"/>
                <w:b/>
                <w:sz w:val="18"/>
                <w:szCs w:val="18"/>
              </w:rPr>
            </w:pPr>
            <w:r w:rsidRPr="00B9196A">
              <w:rPr>
                <w:rFonts w:ascii="Arial Narrow" w:eastAsiaTheme="minorEastAsia" w:hAnsi="Arial Narrow"/>
                <w:b/>
                <w:sz w:val="18"/>
                <w:szCs w:val="18"/>
              </w:rPr>
              <w:t>Risk of bias</w:t>
            </w:r>
          </w:p>
        </w:tc>
        <w:tc>
          <w:tcPr>
            <w:tcW w:w="4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68B98F8" w14:textId="77777777" w:rsidR="001163D9" w:rsidRPr="00B9196A" w:rsidRDefault="001163D9" w:rsidP="00406798">
            <w:pPr>
              <w:keepNext/>
              <w:spacing w:before="40" w:after="40" w:line="264" w:lineRule="auto"/>
              <w:ind w:left="-16"/>
              <w:jc w:val="left"/>
              <w:rPr>
                <w:rFonts w:ascii="Arial Narrow" w:eastAsiaTheme="minorEastAsia" w:hAnsi="Arial Narrow"/>
                <w:b/>
                <w:sz w:val="18"/>
                <w:szCs w:val="18"/>
              </w:rPr>
            </w:pPr>
            <w:r w:rsidRPr="00B9196A">
              <w:rPr>
                <w:rFonts w:ascii="Arial Narrow" w:eastAsiaTheme="minorEastAsia" w:hAnsi="Arial Narrow"/>
                <w:b/>
                <w:sz w:val="18"/>
                <w:szCs w:val="18"/>
              </w:rPr>
              <w:t>Inconsistency</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4783D35" w14:textId="77777777" w:rsidR="001163D9" w:rsidRPr="00B9196A" w:rsidRDefault="001163D9" w:rsidP="00406798">
            <w:pPr>
              <w:keepNext/>
              <w:spacing w:before="40" w:after="40" w:line="264" w:lineRule="auto"/>
              <w:ind w:left="-16"/>
              <w:jc w:val="left"/>
              <w:rPr>
                <w:rFonts w:ascii="Arial Narrow" w:eastAsiaTheme="minorEastAsia" w:hAnsi="Arial Narrow"/>
                <w:b/>
                <w:sz w:val="18"/>
                <w:szCs w:val="18"/>
              </w:rPr>
            </w:pPr>
            <w:r w:rsidRPr="00B9196A">
              <w:rPr>
                <w:rFonts w:ascii="Arial Narrow" w:eastAsiaTheme="minorEastAsia" w:hAnsi="Arial Narrow"/>
                <w:b/>
                <w:sz w:val="18"/>
                <w:szCs w:val="18"/>
              </w:rPr>
              <w:t>Indirectness</w:t>
            </w: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3D0EF4C" w14:textId="77777777" w:rsidR="001163D9" w:rsidRPr="00B9196A" w:rsidRDefault="001163D9" w:rsidP="00406798">
            <w:pPr>
              <w:keepNext/>
              <w:spacing w:before="40" w:after="40" w:line="264" w:lineRule="auto"/>
              <w:ind w:left="-16"/>
              <w:jc w:val="left"/>
              <w:rPr>
                <w:rFonts w:ascii="Arial Narrow" w:eastAsiaTheme="minorEastAsia" w:hAnsi="Arial Narrow"/>
                <w:b/>
                <w:sz w:val="18"/>
                <w:szCs w:val="18"/>
              </w:rPr>
            </w:pPr>
            <w:r w:rsidRPr="00B9196A">
              <w:rPr>
                <w:rFonts w:ascii="Arial Narrow" w:eastAsiaTheme="minorEastAsia" w:hAnsi="Arial Narrow"/>
                <w:b/>
                <w:sz w:val="18"/>
                <w:szCs w:val="18"/>
              </w:rPr>
              <w:t>Imprecision</w:t>
            </w:r>
          </w:p>
        </w:tc>
        <w:tc>
          <w:tcPr>
            <w:tcW w:w="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17916AC" w14:textId="77777777" w:rsidR="001163D9" w:rsidRPr="00B9196A" w:rsidRDefault="001163D9" w:rsidP="00406798">
            <w:pPr>
              <w:keepNext/>
              <w:spacing w:before="40" w:after="40" w:line="264" w:lineRule="auto"/>
              <w:ind w:left="-16"/>
              <w:jc w:val="left"/>
              <w:rPr>
                <w:rFonts w:ascii="Arial Narrow" w:eastAsiaTheme="minorEastAsia" w:hAnsi="Arial Narrow"/>
                <w:b/>
                <w:sz w:val="18"/>
                <w:szCs w:val="18"/>
              </w:rPr>
            </w:pPr>
            <w:r w:rsidRPr="00B9196A">
              <w:rPr>
                <w:rFonts w:ascii="Arial Narrow" w:eastAsiaTheme="minorEastAsia" w:hAnsi="Arial Narrow"/>
                <w:b/>
                <w:sz w:val="18"/>
                <w:szCs w:val="18"/>
              </w:rPr>
              <w:t>Other considerations</w:t>
            </w:r>
          </w:p>
        </w:tc>
        <w:tc>
          <w:tcPr>
            <w:tcW w:w="9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D6772B6" w14:textId="77777777" w:rsidR="001163D9" w:rsidRPr="00B9196A" w:rsidRDefault="001163D9" w:rsidP="00406798">
            <w:pPr>
              <w:pStyle w:val="Tabletext1"/>
              <w:spacing w:before="40" w:after="40" w:line="264" w:lineRule="auto"/>
              <w:rPr>
                <w:rFonts w:eastAsiaTheme="minorEastAsia"/>
                <w:b/>
                <w:sz w:val="18"/>
                <w:szCs w:val="18"/>
              </w:rPr>
            </w:pPr>
            <w:r w:rsidRPr="00B9196A">
              <w:rPr>
                <w:rFonts w:eastAsiaTheme="minorEastAsia"/>
                <w:b/>
                <w:sz w:val="18"/>
                <w:szCs w:val="18"/>
              </w:rPr>
              <w:t>Results (e.g. publication bias)</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4A8B318" w14:textId="77777777" w:rsidR="001163D9" w:rsidRPr="00B9196A" w:rsidRDefault="001163D9" w:rsidP="00406798">
            <w:pPr>
              <w:keepNext/>
              <w:spacing w:before="40" w:after="40" w:line="264" w:lineRule="auto"/>
              <w:ind w:left="-16"/>
              <w:jc w:val="left"/>
              <w:rPr>
                <w:rFonts w:ascii="Arial Narrow" w:eastAsiaTheme="minorEastAsia" w:hAnsi="Arial Narrow"/>
                <w:b/>
                <w:sz w:val="18"/>
                <w:szCs w:val="18"/>
              </w:rPr>
            </w:pPr>
            <w:r w:rsidRPr="00B9196A">
              <w:rPr>
                <w:rFonts w:ascii="Arial Narrow" w:eastAsiaTheme="minorEastAsia" w:hAnsi="Arial Narrow"/>
                <w:b/>
                <w:sz w:val="18"/>
                <w:szCs w:val="18"/>
              </w:rPr>
              <w:t>Quality</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6EB66AD" w14:textId="77777777" w:rsidR="001163D9" w:rsidRPr="00B9196A" w:rsidRDefault="001163D9" w:rsidP="00406798">
            <w:pPr>
              <w:keepNext/>
              <w:spacing w:before="40" w:after="40" w:line="264" w:lineRule="auto"/>
              <w:ind w:left="-16"/>
              <w:jc w:val="left"/>
              <w:rPr>
                <w:rFonts w:ascii="Arial Narrow" w:eastAsiaTheme="minorEastAsia" w:hAnsi="Arial Narrow"/>
                <w:b/>
                <w:sz w:val="18"/>
                <w:szCs w:val="18"/>
              </w:rPr>
            </w:pPr>
            <w:r w:rsidRPr="00B9196A">
              <w:rPr>
                <w:rFonts w:ascii="Arial Narrow" w:eastAsiaTheme="minorEastAsia" w:hAnsi="Arial Narrow"/>
                <w:b/>
                <w:sz w:val="18"/>
                <w:szCs w:val="18"/>
              </w:rPr>
              <w:t>Importance</w:t>
            </w:r>
          </w:p>
        </w:tc>
      </w:tr>
      <w:tr w:rsidR="001163D9" w:rsidRPr="00B9196A" w14:paraId="014C9A03" w14:textId="77777777" w:rsidTr="009C109A">
        <w:trPr>
          <w:trHeight w:val="319"/>
        </w:trPr>
        <w:tc>
          <w:tcPr>
            <w:tcW w:w="636" w:type="pct"/>
            <w:tcBorders>
              <w:top w:val="single" w:sz="4" w:space="0" w:color="auto"/>
              <w:left w:val="single" w:sz="4" w:space="0" w:color="auto"/>
              <w:bottom w:val="single" w:sz="4" w:space="0" w:color="auto"/>
            </w:tcBorders>
            <w:shd w:val="clear" w:color="auto" w:fill="D9D9D9" w:themeFill="background1" w:themeFillShade="D9"/>
          </w:tcPr>
          <w:p w14:paraId="4CD654B4" w14:textId="77777777" w:rsidR="001163D9" w:rsidRPr="00B9196A" w:rsidRDefault="001163D9" w:rsidP="00406798">
            <w:pPr>
              <w:spacing w:before="40" w:after="40"/>
              <w:jc w:val="left"/>
              <w:rPr>
                <w:rFonts w:ascii="Arial Narrow" w:eastAsiaTheme="minorEastAsia" w:hAnsi="Arial Narrow"/>
                <w:b/>
                <w:sz w:val="18"/>
                <w:szCs w:val="18"/>
              </w:rPr>
            </w:pPr>
            <w:r w:rsidRPr="00B9196A">
              <w:rPr>
                <w:rFonts w:ascii="Arial Narrow" w:eastAsiaTheme="minorEastAsia" w:hAnsi="Arial Narrow"/>
                <w:b/>
                <w:sz w:val="18"/>
                <w:szCs w:val="18"/>
              </w:rPr>
              <w:t>MTA</w:t>
            </w:r>
          </w:p>
        </w:tc>
        <w:tc>
          <w:tcPr>
            <w:tcW w:w="428" w:type="pct"/>
            <w:tcBorders>
              <w:top w:val="single" w:sz="4" w:space="0" w:color="auto"/>
              <w:bottom w:val="single" w:sz="4" w:space="0" w:color="auto"/>
            </w:tcBorders>
            <w:shd w:val="clear" w:color="auto" w:fill="D9D9D9" w:themeFill="background1" w:themeFillShade="D9"/>
          </w:tcPr>
          <w:p w14:paraId="557C604C" w14:textId="77777777" w:rsidR="001163D9" w:rsidRPr="00B9196A" w:rsidRDefault="001163D9" w:rsidP="00406798">
            <w:pPr>
              <w:spacing w:before="40" w:after="40"/>
              <w:jc w:val="left"/>
              <w:rPr>
                <w:rFonts w:ascii="Arial Narrow" w:eastAsiaTheme="minorEastAsia" w:hAnsi="Arial Narrow"/>
                <w:sz w:val="18"/>
                <w:szCs w:val="18"/>
              </w:rPr>
            </w:pPr>
          </w:p>
        </w:tc>
        <w:tc>
          <w:tcPr>
            <w:tcW w:w="416" w:type="pct"/>
            <w:tcBorders>
              <w:top w:val="single" w:sz="4" w:space="0" w:color="auto"/>
              <w:bottom w:val="single" w:sz="4" w:space="0" w:color="auto"/>
            </w:tcBorders>
            <w:shd w:val="clear" w:color="auto" w:fill="D9D9D9" w:themeFill="background1" w:themeFillShade="D9"/>
          </w:tcPr>
          <w:p w14:paraId="1F871476" w14:textId="77777777" w:rsidR="001163D9" w:rsidRPr="00B9196A" w:rsidRDefault="001163D9" w:rsidP="00406798">
            <w:pPr>
              <w:spacing w:before="40" w:after="40"/>
              <w:rPr>
                <w:rFonts w:ascii="Arial Narrow" w:eastAsiaTheme="minorEastAsia" w:hAnsi="Arial Narrow"/>
                <w:sz w:val="18"/>
                <w:szCs w:val="18"/>
              </w:rPr>
            </w:pPr>
          </w:p>
        </w:tc>
        <w:tc>
          <w:tcPr>
            <w:tcW w:w="450" w:type="pct"/>
            <w:tcBorders>
              <w:top w:val="single" w:sz="4" w:space="0" w:color="auto"/>
              <w:bottom w:val="single" w:sz="4" w:space="0" w:color="auto"/>
            </w:tcBorders>
            <w:shd w:val="clear" w:color="auto" w:fill="D9D9D9" w:themeFill="background1" w:themeFillShade="D9"/>
          </w:tcPr>
          <w:p w14:paraId="1C28A5F9" w14:textId="77777777" w:rsidR="001163D9" w:rsidRPr="00B9196A" w:rsidRDefault="001163D9" w:rsidP="00406798">
            <w:pPr>
              <w:spacing w:before="40" w:after="40"/>
              <w:rPr>
                <w:rFonts w:ascii="Arial Narrow" w:eastAsiaTheme="minorEastAsia" w:hAnsi="Arial Narrow"/>
                <w:sz w:val="18"/>
                <w:szCs w:val="18"/>
              </w:rPr>
            </w:pPr>
          </w:p>
        </w:tc>
        <w:tc>
          <w:tcPr>
            <w:tcW w:w="406" w:type="pct"/>
            <w:tcBorders>
              <w:top w:val="single" w:sz="4" w:space="0" w:color="auto"/>
              <w:bottom w:val="single" w:sz="4" w:space="0" w:color="auto"/>
            </w:tcBorders>
            <w:shd w:val="clear" w:color="auto" w:fill="D9D9D9" w:themeFill="background1" w:themeFillShade="D9"/>
          </w:tcPr>
          <w:p w14:paraId="5E73F049" w14:textId="77777777" w:rsidR="001163D9" w:rsidRPr="00B9196A" w:rsidRDefault="001163D9" w:rsidP="00406798">
            <w:pPr>
              <w:spacing w:before="40" w:after="40"/>
              <w:rPr>
                <w:rFonts w:ascii="Arial Narrow" w:eastAsiaTheme="minorEastAsia" w:hAnsi="Arial Narrow"/>
                <w:sz w:val="18"/>
                <w:szCs w:val="18"/>
              </w:rPr>
            </w:pPr>
          </w:p>
        </w:tc>
        <w:tc>
          <w:tcPr>
            <w:tcW w:w="400" w:type="pct"/>
            <w:tcBorders>
              <w:top w:val="single" w:sz="4" w:space="0" w:color="auto"/>
              <w:bottom w:val="single" w:sz="4" w:space="0" w:color="auto"/>
            </w:tcBorders>
            <w:shd w:val="clear" w:color="auto" w:fill="D9D9D9" w:themeFill="background1" w:themeFillShade="D9"/>
          </w:tcPr>
          <w:p w14:paraId="20D60E84" w14:textId="77777777" w:rsidR="001163D9" w:rsidRPr="00B9196A" w:rsidRDefault="001163D9" w:rsidP="00406798">
            <w:pPr>
              <w:spacing w:before="40" w:after="40"/>
              <w:rPr>
                <w:rFonts w:ascii="Arial Narrow" w:eastAsiaTheme="minorEastAsia" w:hAnsi="Arial Narrow"/>
                <w:sz w:val="18"/>
                <w:szCs w:val="18"/>
              </w:rPr>
            </w:pPr>
          </w:p>
        </w:tc>
        <w:tc>
          <w:tcPr>
            <w:tcW w:w="474" w:type="pct"/>
            <w:tcBorders>
              <w:top w:val="single" w:sz="4" w:space="0" w:color="auto"/>
              <w:bottom w:val="single" w:sz="4" w:space="0" w:color="auto"/>
            </w:tcBorders>
            <w:shd w:val="clear" w:color="auto" w:fill="D9D9D9" w:themeFill="background1" w:themeFillShade="D9"/>
          </w:tcPr>
          <w:p w14:paraId="4EF7AA4E" w14:textId="77777777" w:rsidR="001163D9" w:rsidRPr="00B9196A" w:rsidRDefault="001163D9" w:rsidP="00406798">
            <w:pPr>
              <w:spacing w:before="40" w:after="40"/>
              <w:rPr>
                <w:rFonts w:ascii="Arial Narrow" w:eastAsiaTheme="minorEastAsia" w:hAnsi="Arial Narrow"/>
                <w:sz w:val="18"/>
                <w:szCs w:val="18"/>
              </w:rPr>
            </w:pPr>
          </w:p>
        </w:tc>
        <w:tc>
          <w:tcPr>
            <w:tcW w:w="924" w:type="pct"/>
            <w:tcBorders>
              <w:top w:val="single" w:sz="4" w:space="0" w:color="auto"/>
              <w:bottom w:val="single" w:sz="4" w:space="0" w:color="auto"/>
            </w:tcBorders>
            <w:shd w:val="clear" w:color="auto" w:fill="D9D9D9" w:themeFill="background1" w:themeFillShade="D9"/>
          </w:tcPr>
          <w:p w14:paraId="0E4D4FB3" w14:textId="77777777" w:rsidR="001163D9" w:rsidRPr="00B9196A" w:rsidRDefault="001163D9" w:rsidP="00406798">
            <w:pPr>
              <w:pStyle w:val="Tabletext1"/>
              <w:spacing w:before="40" w:after="40"/>
              <w:rPr>
                <w:rFonts w:eastAsiaTheme="minorEastAsia"/>
                <w:sz w:val="18"/>
                <w:szCs w:val="18"/>
              </w:rPr>
            </w:pPr>
          </w:p>
        </w:tc>
        <w:tc>
          <w:tcPr>
            <w:tcW w:w="373" w:type="pct"/>
            <w:tcBorders>
              <w:top w:val="single" w:sz="4" w:space="0" w:color="auto"/>
              <w:bottom w:val="single" w:sz="4" w:space="0" w:color="auto"/>
            </w:tcBorders>
            <w:shd w:val="clear" w:color="auto" w:fill="D9D9D9" w:themeFill="background1" w:themeFillShade="D9"/>
          </w:tcPr>
          <w:p w14:paraId="46F745F1" w14:textId="77777777" w:rsidR="001163D9" w:rsidRPr="00B9196A" w:rsidRDefault="001163D9" w:rsidP="00406798">
            <w:pPr>
              <w:spacing w:before="40" w:after="40"/>
              <w:rPr>
                <w:rFonts w:ascii="Arial Narrow" w:eastAsiaTheme="minorEastAsia" w:hAnsi="Arial Narrow"/>
                <w:sz w:val="18"/>
                <w:szCs w:val="18"/>
              </w:rPr>
            </w:pPr>
          </w:p>
        </w:tc>
        <w:tc>
          <w:tcPr>
            <w:tcW w:w="493" w:type="pct"/>
            <w:tcBorders>
              <w:top w:val="single" w:sz="4" w:space="0" w:color="auto"/>
              <w:bottom w:val="single" w:sz="4" w:space="0" w:color="auto"/>
              <w:right w:val="single" w:sz="4" w:space="0" w:color="auto"/>
            </w:tcBorders>
            <w:shd w:val="clear" w:color="auto" w:fill="D9D9D9" w:themeFill="background1" w:themeFillShade="D9"/>
          </w:tcPr>
          <w:p w14:paraId="17430612" w14:textId="77777777" w:rsidR="001163D9" w:rsidRPr="00B9196A" w:rsidRDefault="001163D9" w:rsidP="00406798">
            <w:pPr>
              <w:spacing w:before="40" w:after="40"/>
              <w:rPr>
                <w:rFonts w:ascii="Arial Narrow" w:eastAsiaTheme="minorEastAsia" w:hAnsi="Arial Narrow"/>
                <w:sz w:val="18"/>
                <w:szCs w:val="18"/>
              </w:rPr>
            </w:pPr>
          </w:p>
        </w:tc>
      </w:tr>
      <w:tr w:rsidR="001163D9" w:rsidRPr="00B9196A" w14:paraId="2F364E4C" w14:textId="77777777" w:rsidTr="001163D9">
        <w:trPr>
          <w:trHeight w:val="319"/>
        </w:trPr>
        <w:tc>
          <w:tcPr>
            <w:tcW w:w="636" w:type="pct"/>
            <w:tcBorders>
              <w:top w:val="single" w:sz="4" w:space="0" w:color="auto"/>
              <w:left w:val="single" w:sz="4" w:space="0" w:color="auto"/>
              <w:bottom w:val="single" w:sz="4" w:space="0" w:color="auto"/>
              <w:right w:val="single" w:sz="4" w:space="0" w:color="auto"/>
            </w:tcBorders>
          </w:tcPr>
          <w:p w14:paraId="72BD24C7" w14:textId="09447E92" w:rsidR="001163D9" w:rsidRPr="00B9196A" w:rsidRDefault="001163D9" w:rsidP="00406798">
            <w:pPr>
              <w:spacing w:before="40" w:after="40"/>
              <w:jc w:val="left"/>
              <w:rPr>
                <w:rFonts w:ascii="Arial Narrow" w:eastAsiaTheme="minorEastAsia" w:hAnsi="Arial Narrow"/>
                <w:sz w:val="18"/>
                <w:szCs w:val="18"/>
              </w:rPr>
            </w:pPr>
            <w:r w:rsidRPr="00B9196A">
              <w:rPr>
                <w:rFonts w:ascii="Arial Narrow" w:eastAsiaTheme="minorEastAsia" w:hAnsi="Arial Narrow"/>
                <w:sz w:val="18"/>
                <w:szCs w:val="18"/>
              </w:rPr>
              <w:t>1 year surviv</w:t>
            </w:r>
            <w:r w:rsidR="00CD51A5">
              <w:rPr>
                <w:rFonts w:ascii="Arial Narrow" w:eastAsiaTheme="minorEastAsia" w:hAnsi="Arial Narrow"/>
                <w:sz w:val="18"/>
                <w:szCs w:val="18"/>
              </w:rPr>
              <w:t>al of MTA versus MTA + chemo</w:t>
            </w:r>
          </w:p>
          <w:p w14:paraId="5D38CF44" w14:textId="73BCFCE1" w:rsidR="001163D9" w:rsidRPr="00B9196A" w:rsidRDefault="00CD51A5" w:rsidP="00406798">
            <w:pPr>
              <w:spacing w:before="40" w:after="40"/>
              <w:jc w:val="left"/>
              <w:rPr>
                <w:rFonts w:ascii="Arial Narrow" w:eastAsiaTheme="minorEastAsia" w:hAnsi="Arial Narrow"/>
                <w:sz w:val="18"/>
                <w:szCs w:val="18"/>
              </w:rPr>
            </w:pPr>
            <w:r>
              <w:rPr>
                <w:rFonts w:ascii="Arial Narrow" w:eastAsiaTheme="minorEastAsia" w:hAnsi="Arial Narrow"/>
                <w:sz w:val="18"/>
                <w:szCs w:val="18"/>
              </w:rPr>
              <w:t>F</w:t>
            </w:r>
            <w:r w:rsidR="001163D9" w:rsidRPr="00B9196A">
              <w:rPr>
                <w:rFonts w:ascii="Arial Narrow" w:eastAsiaTheme="minorEastAsia" w:hAnsi="Arial Narrow"/>
                <w:sz w:val="18"/>
                <w:szCs w:val="18"/>
              </w:rPr>
              <w:t xml:space="preserve">ollow up: range 6 months to 35 months; assessed with: </w:t>
            </w:r>
            <w:r>
              <w:rPr>
                <w:rFonts w:ascii="Arial Narrow" w:eastAsiaTheme="minorEastAsia" w:hAnsi="Arial Narrow"/>
                <w:sz w:val="18"/>
                <w:szCs w:val="18"/>
              </w:rPr>
              <w:t>%</w:t>
            </w:r>
            <w:r w:rsidR="001163D9" w:rsidRPr="00B9196A">
              <w:rPr>
                <w:rFonts w:ascii="Arial Narrow" w:eastAsiaTheme="minorEastAsia" w:hAnsi="Arial Narrow"/>
                <w:sz w:val="18"/>
                <w:szCs w:val="18"/>
              </w:rPr>
              <w:t xml:space="preserve"> of patients living</w:t>
            </w:r>
          </w:p>
        </w:tc>
        <w:tc>
          <w:tcPr>
            <w:tcW w:w="428" w:type="pct"/>
            <w:tcBorders>
              <w:top w:val="single" w:sz="4" w:space="0" w:color="auto"/>
              <w:left w:val="single" w:sz="4" w:space="0" w:color="auto"/>
              <w:bottom w:val="single" w:sz="4" w:space="0" w:color="auto"/>
              <w:right w:val="single" w:sz="4" w:space="0" w:color="auto"/>
            </w:tcBorders>
          </w:tcPr>
          <w:p w14:paraId="67745B83" w14:textId="77777777" w:rsidR="00C10752" w:rsidRPr="00B9196A" w:rsidRDefault="001163D9" w:rsidP="00406798">
            <w:pPr>
              <w:spacing w:before="40" w:after="40"/>
              <w:jc w:val="left"/>
              <w:rPr>
                <w:rFonts w:ascii="Arial Narrow" w:eastAsiaTheme="minorEastAsia" w:hAnsi="Arial Narrow"/>
                <w:sz w:val="18"/>
                <w:szCs w:val="18"/>
              </w:rPr>
            </w:pPr>
            <w:r w:rsidRPr="00B9196A">
              <w:rPr>
                <w:rFonts w:ascii="Arial Narrow" w:eastAsiaTheme="minorEastAsia" w:hAnsi="Arial Narrow"/>
                <w:sz w:val="18"/>
                <w:szCs w:val="18"/>
              </w:rPr>
              <w:t>Observational studies (k=</w:t>
            </w:r>
          </w:p>
          <w:p w14:paraId="75E79B6F" w14:textId="77777777" w:rsidR="001163D9" w:rsidRPr="00B9196A" w:rsidRDefault="001163D9" w:rsidP="00406798">
            <w:pPr>
              <w:spacing w:before="40" w:after="40"/>
              <w:jc w:val="left"/>
              <w:rPr>
                <w:rFonts w:ascii="Arial Narrow" w:eastAsiaTheme="minorEastAsia" w:hAnsi="Arial Narrow"/>
                <w:sz w:val="18"/>
                <w:szCs w:val="18"/>
              </w:rPr>
            </w:pPr>
            <w:r w:rsidRPr="00B9196A">
              <w:rPr>
                <w:rFonts w:ascii="Arial Narrow" w:eastAsiaTheme="minorEastAsia" w:hAnsi="Arial Narrow"/>
                <w:sz w:val="18"/>
                <w:szCs w:val="18"/>
              </w:rPr>
              <w:t>1)</w:t>
            </w:r>
          </w:p>
        </w:tc>
        <w:tc>
          <w:tcPr>
            <w:tcW w:w="416" w:type="pct"/>
            <w:tcBorders>
              <w:top w:val="single" w:sz="4" w:space="0" w:color="auto"/>
              <w:left w:val="single" w:sz="4" w:space="0" w:color="auto"/>
              <w:bottom w:val="single" w:sz="4" w:space="0" w:color="auto"/>
              <w:right w:val="single" w:sz="4" w:space="0" w:color="auto"/>
            </w:tcBorders>
          </w:tcPr>
          <w:p w14:paraId="5142F246"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serious </w:t>
            </w:r>
            <w:r w:rsidRPr="00B9196A">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10555880"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not serious </w:t>
            </w:r>
          </w:p>
        </w:tc>
        <w:tc>
          <w:tcPr>
            <w:tcW w:w="406" w:type="pct"/>
            <w:tcBorders>
              <w:top w:val="single" w:sz="4" w:space="0" w:color="auto"/>
              <w:left w:val="single" w:sz="4" w:space="0" w:color="auto"/>
              <w:bottom w:val="single" w:sz="4" w:space="0" w:color="auto"/>
              <w:right w:val="single" w:sz="4" w:space="0" w:color="auto"/>
            </w:tcBorders>
          </w:tcPr>
          <w:p w14:paraId="3530DDA6"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not serious </w:t>
            </w:r>
          </w:p>
        </w:tc>
        <w:tc>
          <w:tcPr>
            <w:tcW w:w="400" w:type="pct"/>
            <w:tcBorders>
              <w:top w:val="single" w:sz="4" w:space="0" w:color="auto"/>
              <w:left w:val="single" w:sz="4" w:space="0" w:color="auto"/>
              <w:bottom w:val="single" w:sz="4" w:space="0" w:color="auto"/>
              <w:right w:val="single" w:sz="4" w:space="0" w:color="auto"/>
            </w:tcBorders>
          </w:tcPr>
          <w:p w14:paraId="2EB3F728"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serious </w:t>
            </w:r>
            <w:r w:rsidRPr="00B9196A">
              <w:rPr>
                <w:rFonts w:ascii="Arial Narrow" w:hAnsi="Arial Narrow" w:cstheme="minorBidi"/>
                <w:sz w:val="18"/>
                <w:szCs w:val="18"/>
                <w:vertAlign w:val="superscript"/>
              </w:rPr>
              <w:t>2</w:t>
            </w:r>
          </w:p>
        </w:tc>
        <w:tc>
          <w:tcPr>
            <w:tcW w:w="474" w:type="pct"/>
            <w:tcBorders>
              <w:top w:val="single" w:sz="4" w:space="0" w:color="auto"/>
              <w:left w:val="single" w:sz="4" w:space="0" w:color="auto"/>
              <w:bottom w:val="single" w:sz="4" w:space="0" w:color="auto"/>
              <w:right w:val="single" w:sz="4" w:space="0" w:color="auto"/>
            </w:tcBorders>
          </w:tcPr>
          <w:p w14:paraId="491D88CE"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none </w:t>
            </w:r>
          </w:p>
        </w:tc>
        <w:tc>
          <w:tcPr>
            <w:tcW w:w="924" w:type="pct"/>
            <w:tcBorders>
              <w:top w:val="single" w:sz="4" w:space="0" w:color="auto"/>
              <w:left w:val="single" w:sz="4" w:space="0" w:color="auto"/>
              <w:bottom w:val="single" w:sz="4" w:space="0" w:color="auto"/>
              <w:right w:val="single" w:sz="4" w:space="0" w:color="auto"/>
            </w:tcBorders>
          </w:tcPr>
          <w:p w14:paraId="0D16276C" w14:textId="77777777" w:rsidR="001163D9" w:rsidRPr="00B9196A" w:rsidRDefault="001163D9" w:rsidP="00406798">
            <w:pPr>
              <w:pStyle w:val="Tabletext1"/>
              <w:spacing w:before="40" w:after="40"/>
              <w:rPr>
                <w:rFonts w:cstheme="minorBidi"/>
                <w:sz w:val="18"/>
                <w:szCs w:val="18"/>
              </w:rPr>
            </w:pPr>
            <w:r w:rsidRPr="00B9196A">
              <w:rPr>
                <w:rFonts w:cstheme="minorBidi"/>
                <w:sz w:val="18"/>
                <w:szCs w:val="18"/>
                <w:u w:val="single"/>
              </w:rPr>
              <w:t xml:space="preserve">MTA alone: </w:t>
            </w:r>
            <w:r w:rsidRPr="00B9196A">
              <w:rPr>
                <w:rFonts w:cstheme="minorBidi"/>
                <w:sz w:val="18"/>
                <w:szCs w:val="18"/>
              </w:rPr>
              <w:t>9/18 (50%)</w:t>
            </w:r>
          </w:p>
          <w:p w14:paraId="25F312E2" w14:textId="77777777" w:rsidR="001163D9" w:rsidRPr="00B9196A" w:rsidRDefault="001163D9" w:rsidP="00406798">
            <w:pPr>
              <w:pStyle w:val="Tabletext1"/>
              <w:spacing w:before="40" w:after="40"/>
              <w:rPr>
                <w:rFonts w:eastAsiaTheme="minorEastAsia" w:cstheme="minorBidi"/>
                <w:sz w:val="18"/>
                <w:szCs w:val="18"/>
              </w:rPr>
            </w:pPr>
            <w:r w:rsidRPr="00B9196A">
              <w:rPr>
                <w:rFonts w:cstheme="minorBidi"/>
                <w:sz w:val="18"/>
                <w:szCs w:val="18"/>
                <w:u w:val="single"/>
              </w:rPr>
              <w:t>MTA and chemotherapy</w:t>
            </w:r>
            <w:r w:rsidRPr="00B9196A">
              <w:rPr>
                <w:rFonts w:cstheme="minorBidi"/>
                <w:sz w:val="18"/>
                <w:szCs w:val="18"/>
              </w:rPr>
              <w:t>: 17/22 (77.3%)</w:t>
            </w:r>
          </w:p>
        </w:tc>
        <w:tc>
          <w:tcPr>
            <w:tcW w:w="373" w:type="pct"/>
            <w:tcBorders>
              <w:top w:val="single" w:sz="4" w:space="0" w:color="auto"/>
              <w:left w:val="single" w:sz="4" w:space="0" w:color="auto"/>
              <w:bottom w:val="single" w:sz="4" w:space="0" w:color="auto"/>
              <w:right w:val="single" w:sz="4" w:space="0" w:color="auto"/>
            </w:tcBorders>
          </w:tcPr>
          <w:p w14:paraId="792827DD" w14:textId="77777777" w:rsidR="001163D9" w:rsidRPr="00B9196A" w:rsidRDefault="001163D9" w:rsidP="00406798">
            <w:pPr>
              <w:spacing w:before="40" w:after="40" w:line="276" w:lineRule="auto"/>
              <w:rPr>
                <w:rFonts w:asciiTheme="minorHAnsi" w:eastAsiaTheme="minorEastAsia" w:hAnsiTheme="minorHAnsi" w:cstheme="minorBidi"/>
                <w:sz w:val="18"/>
                <w:szCs w:val="18"/>
              </w:rPr>
            </w:pPr>
            <w:r w:rsidRPr="00B9196A">
              <w:rPr>
                <w:rFonts w:ascii="Cambria Math" w:eastAsiaTheme="minorEastAsia" w:hAnsi="Cambria Math" w:cstheme="minorBidi"/>
                <w:color w:val="00B050"/>
                <w:sz w:val="18"/>
                <w:szCs w:val="18"/>
              </w:rPr>
              <w:t>⨁</w:t>
            </w:r>
            <w:r w:rsidRPr="00B9196A">
              <w:rPr>
                <w:rFonts w:ascii="Cambria Math" w:eastAsiaTheme="minorEastAsia" w:hAnsi="Cambria Math" w:cs="Cambria Math"/>
                <w:color w:val="C00000"/>
                <w:sz w:val="18"/>
                <w:szCs w:val="18"/>
              </w:rPr>
              <w:t>⨀⨀⨀</w:t>
            </w:r>
            <w:r w:rsidRPr="00B9196A">
              <w:rPr>
                <w:rFonts w:ascii="Arial Narrow" w:hAnsi="Arial Narrow" w:cstheme="minorBidi"/>
                <w:sz w:val="18"/>
                <w:szCs w:val="18"/>
              </w:rPr>
              <w:br/>
              <w:t xml:space="preserve">VERY LOW </w:t>
            </w:r>
          </w:p>
        </w:tc>
        <w:tc>
          <w:tcPr>
            <w:tcW w:w="493" w:type="pct"/>
            <w:tcBorders>
              <w:top w:val="single" w:sz="4" w:space="0" w:color="auto"/>
              <w:left w:val="single" w:sz="4" w:space="0" w:color="auto"/>
              <w:bottom w:val="single" w:sz="4" w:space="0" w:color="auto"/>
              <w:right w:val="single" w:sz="4" w:space="0" w:color="auto"/>
            </w:tcBorders>
          </w:tcPr>
          <w:p w14:paraId="148E393B" w14:textId="77777777" w:rsidR="001163D9" w:rsidRPr="00B9196A" w:rsidRDefault="001163D9" w:rsidP="00406798">
            <w:pPr>
              <w:spacing w:before="40" w:after="40" w:line="276" w:lineRule="auto"/>
              <w:rPr>
                <w:rFonts w:asciiTheme="minorHAnsi" w:eastAsiaTheme="minorEastAsia" w:hAnsiTheme="minorHAnsi" w:cstheme="minorBidi"/>
                <w:sz w:val="18"/>
                <w:szCs w:val="18"/>
              </w:rPr>
            </w:pPr>
            <w:r w:rsidRPr="00B9196A">
              <w:rPr>
                <w:rFonts w:ascii="Arial Narrow" w:hAnsi="Arial Narrow" w:cstheme="minorBidi"/>
                <w:sz w:val="18"/>
                <w:szCs w:val="18"/>
              </w:rPr>
              <w:t xml:space="preserve">IMPORTANT </w:t>
            </w:r>
          </w:p>
        </w:tc>
      </w:tr>
      <w:tr w:rsidR="001163D9" w:rsidRPr="00B9196A" w14:paraId="69313E2B" w14:textId="77777777" w:rsidTr="001163D9">
        <w:trPr>
          <w:trHeight w:val="319"/>
        </w:trPr>
        <w:tc>
          <w:tcPr>
            <w:tcW w:w="636" w:type="pct"/>
            <w:tcBorders>
              <w:top w:val="single" w:sz="4" w:space="0" w:color="auto"/>
              <w:left w:val="single" w:sz="4" w:space="0" w:color="auto"/>
              <w:bottom w:val="single" w:sz="4" w:space="0" w:color="auto"/>
              <w:right w:val="single" w:sz="4" w:space="0" w:color="auto"/>
            </w:tcBorders>
          </w:tcPr>
          <w:p w14:paraId="5166867C" w14:textId="20209FC7" w:rsidR="001163D9" w:rsidRPr="00B9196A" w:rsidRDefault="001163D9" w:rsidP="00406798">
            <w:pPr>
              <w:spacing w:before="40" w:after="40"/>
              <w:jc w:val="left"/>
              <w:rPr>
                <w:rFonts w:ascii="Arial Narrow" w:eastAsiaTheme="minorEastAsia" w:hAnsi="Arial Narrow"/>
                <w:sz w:val="18"/>
                <w:szCs w:val="18"/>
              </w:rPr>
            </w:pPr>
            <w:r w:rsidRPr="00B9196A">
              <w:rPr>
                <w:rFonts w:ascii="Arial Narrow" w:eastAsiaTheme="minorEastAsia" w:hAnsi="Arial Narrow"/>
                <w:sz w:val="18"/>
                <w:szCs w:val="18"/>
              </w:rPr>
              <w:t>2 year survival of MTA versus MTA</w:t>
            </w:r>
            <w:r w:rsidR="00CD51A5">
              <w:rPr>
                <w:rFonts w:ascii="Arial Narrow" w:eastAsiaTheme="minorEastAsia" w:hAnsi="Arial Narrow"/>
                <w:sz w:val="18"/>
                <w:szCs w:val="18"/>
              </w:rPr>
              <w:t xml:space="preserve"> </w:t>
            </w:r>
            <w:r w:rsidRPr="00B9196A">
              <w:rPr>
                <w:rFonts w:ascii="Arial Narrow" w:eastAsiaTheme="minorEastAsia" w:hAnsi="Arial Narrow"/>
                <w:sz w:val="18"/>
                <w:szCs w:val="18"/>
              </w:rPr>
              <w:t>+</w:t>
            </w:r>
            <w:r w:rsidR="00CD51A5">
              <w:rPr>
                <w:rFonts w:ascii="Arial Narrow" w:eastAsiaTheme="minorEastAsia" w:hAnsi="Arial Narrow"/>
                <w:sz w:val="18"/>
                <w:szCs w:val="18"/>
              </w:rPr>
              <w:t xml:space="preserve"> chemo</w:t>
            </w:r>
          </w:p>
          <w:p w14:paraId="65422AD2" w14:textId="5245D75E" w:rsidR="001163D9" w:rsidRPr="00B9196A" w:rsidRDefault="00CD51A5" w:rsidP="00406798">
            <w:pPr>
              <w:spacing w:before="40" w:after="40"/>
              <w:jc w:val="left"/>
              <w:rPr>
                <w:rFonts w:ascii="Arial Narrow" w:eastAsiaTheme="minorEastAsia" w:hAnsi="Arial Narrow"/>
                <w:sz w:val="18"/>
                <w:szCs w:val="18"/>
              </w:rPr>
            </w:pPr>
            <w:r>
              <w:rPr>
                <w:rFonts w:ascii="Arial Narrow" w:eastAsiaTheme="minorEastAsia" w:hAnsi="Arial Narrow"/>
                <w:sz w:val="18"/>
                <w:szCs w:val="18"/>
              </w:rPr>
              <w:t>F</w:t>
            </w:r>
            <w:r w:rsidR="001163D9" w:rsidRPr="00B9196A">
              <w:rPr>
                <w:rFonts w:ascii="Arial Narrow" w:eastAsiaTheme="minorEastAsia" w:hAnsi="Arial Narrow"/>
                <w:sz w:val="18"/>
                <w:szCs w:val="18"/>
              </w:rPr>
              <w:t xml:space="preserve">ollow up: range 6 months to 35 months; assessed with: </w:t>
            </w:r>
            <w:r>
              <w:rPr>
                <w:rFonts w:ascii="Arial Narrow" w:eastAsiaTheme="minorEastAsia" w:hAnsi="Arial Narrow"/>
                <w:sz w:val="18"/>
                <w:szCs w:val="18"/>
              </w:rPr>
              <w:t>%</w:t>
            </w:r>
            <w:r w:rsidR="001163D9" w:rsidRPr="00B9196A">
              <w:rPr>
                <w:rFonts w:ascii="Arial Narrow" w:eastAsiaTheme="minorEastAsia" w:hAnsi="Arial Narrow"/>
                <w:sz w:val="18"/>
                <w:szCs w:val="18"/>
              </w:rPr>
              <w:t xml:space="preserve"> of patients living</w:t>
            </w:r>
          </w:p>
        </w:tc>
        <w:tc>
          <w:tcPr>
            <w:tcW w:w="428" w:type="pct"/>
            <w:tcBorders>
              <w:top w:val="single" w:sz="4" w:space="0" w:color="auto"/>
              <w:left w:val="single" w:sz="4" w:space="0" w:color="auto"/>
              <w:bottom w:val="single" w:sz="4" w:space="0" w:color="auto"/>
              <w:right w:val="single" w:sz="4" w:space="0" w:color="auto"/>
            </w:tcBorders>
          </w:tcPr>
          <w:p w14:paraId="3671AA15" w14:textId="77777777" w:rsidR="001163D9" w:rsidRPr="00B9196A" w:rsidRDefault="001163D9" w:rsidP="00406798">
            <w:pPr>
              <w:spacing w:before="40" w:after="40" w:line="276" w:lineRule="auto"/>
              <w:jc w:val="left"/>
              <w:rPr>
                <w:rFonts w:ascii="Arial Narrow" w:hAnsi="Arial Narrow" w:cstheme="minorBidi"/>
                <w:sz w:val="18"/>
                <w:szCs w:val="18"/>
              </w:rPr>
            </w:pPr>
            <w:r w:rsidRPr="00B9196A">
              <w:rPr>
                <w:rFonts w:ascii="Arial Narrow" w:eastAsiaTheme="minorEastAsia" w:hAnsi="Arial Narrow"/>
                <w:sz w:val="18"/>
                <w:szCs w:val="18"/>
              </w:rPr>
              <w:t>Observational studies (k=1)</w:t>
            </w:r>
          </w:p>
        </w:tc>
        <w:tc>
          <w:tcPr>
            <w:tcW w:w="416" w:type="pct"/>
            <w:tcBorders>
              <w:top w:val="single" w:sz="4" w:space="0" w:color="auto"/>
              <w:left w:val="single" w:sz="4" w:space="0" w:color="auto"/>
              <w:bottom w:val="single" w:sz="4" w:space="0" w:color="auto"/>
              <w:right w:val="single" w:sz="4" w:space="0" w:color="auto"/>
            </w:tcBorders>
          </w:tcPr>
          <w:p w14:paraId="4196C1C5"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serious </w:t>
            </w:r>
            <w:r w:rsidRPr="00B9196A">
              <w:rPr>
                <w:rFonts w:ascii="Arial Narrow" w:hAnsi="Arial Narrow" w:cstheme="minorBidi"/>
                <w:sz w:val="18"/>
                <w:szCs w:val="18"/>
                <w:vertAlign w:val="superscript"/>
              </w:rPr>
              <w:t>1</w:t>
            </w:r>
          </w:p>
        </w:tc>
        <w:tc>
          <w:tcPr>
            <w:tcW w:w="450" w:type="pct"/>
            <w:tcBorders>
              <w:top w:val="single" w:sz="4" w:space="0" w:color="auto"/>
              <w:left w:val="single" w:sz="4" w:space="0" w:color="auto"/>
              <w:bottom w:val="single" w:sz="4" w:space="0" w:color="auto"/>
              <w:right w:val="single" w:sz="4" w:space="0" w:color="auto"/>
            </w:tcBorders>
          </w:tcPr>
          <w:p w14:paraId="4F9469BF"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not serious </w:t>
            </w:r>
          </w:p>
        </w:tc>
        <w:tc>
          <w:tcPr>
            <w:tcW w:w="406" w:type="pct"/>
            <w:tcBorders>
              <w:top w:val="single" w:sz="4" w:space="0" w:color="auto"/>
              <w:left w:val="single" w:sz="4" w:space="0" w:color="auto"/>
              <w:bottom w:val="single" w:sz="4" w:space="0" w:color="auto"/>
              <w:right w:val="single" w:sz="4" w:space="0" w:color="auto"/>
            </w:tcBorders>
          </w:tcPr>
          <w:p w14:paraId="0BA9B3A9"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not serious </w:t>
            </w:r>
          </w:p>
        </w:tc>
        <w:tc>
          <w:tcPr>
            <w:tcW w:w="400" w:type="pct"/>
            <w:tcBorders>
              <w:top w:val="single" w:sz="4" w:space="0" w:color="auto"/>
              <w:left w:val="single" w:sz="4" w:space="0" w:color="auto"/>
              <w:bottom w:val="single" w:sz="4" w:space="0" w:color="auto"/>
              <w:right w:val="single" w:sz="4" w:space="0" w:color="auto"/>
            </w:tcBorders>
          </w:tcPr>
          <w:p w14:paraId="085E03C2"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serious </w:t>
            </w:r>
            <w:r w:rsidRPr="00B9196A">
              <w:rPr>
                <w:rFonts w:ascii="Arial Narrow" w:hAnsi="Arial Narrow" w:cstheme="minorBidi"/>
                <w:sz w:val="18"/>
                <w:szCs w:val="18"/>
                <w:vertAlign w:val="superscript"/>
              </w:rPr>
              <w:t>2</w:t>
            </w:r>
          </w:p>
        </w:tc>
        <w:tc>
          <w:tcPr>
            <w:tcW w:w="474" w:type="pct"/>
            <w:tcBorders>
              <w:top w:val="single" w:sz="4" w:space="0" w:color="auto"/>
              <w:left w:val="single" w:sz="4" w:space="0" w:color="auto"/>
              <w:bottom w:val="single" w:sz="4" w:space="0" w:color="auto"/>
              <w:right w:val="single" w:sz="4" w:space="0" w:color="auto"/>
            </w:tcBorders>
          </w:tcPr>
          <w:p w14:paraId="19C2E725"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none </w:t>
            </w:r>
          </w:p>
        </w:tc>
        <w:tc>
          <w:tcPr>
            <w:tcW w:w="924" w:type="pct"/>
            <w:tcBorders>
              <w:top w:val="single" w:sz="4" w:space="0" w:color="auto"/>
              <w:left w:val="single" w:sz="4" w:space="0" w:color="auto"/>
              <w:bottom w:val="single" w:sz="4" w:space="0" w:color="auto"/>
              <w:right w:val="single" w:sz="4" w:space="0" w:color="auto"/>
            </w:tcBorders>
          </w:tcPr>
          <w:p w14:paraId="652A3CB9" w14:textId="77777777" w:rsidR="001163D9" w:rsidRPr="00B9196A" w:rsidRDefault="001163D9" w:rsidP="00406798">
            <w:pPr>
              <w:pStyle w:val="Tabletext1"/>
              <w:spacing w:before="40" w:after="40"/>
              <w:rPr>
                <w:rFonts w:cstheme="minorBidi"/>
                <w:sz w:val="18"/>
                <w:szCs w:val="18"/>
              </w:rPr>
            </w:pPr>
            <w:r w:rsidRPr="00B9196A">
              <w:rPr>
                <w:rFonts w:cstheme="minorBidi"/>
                <w:sz w:val="18"/>
                <w:szCs w:val="18"/>
                <w:u w:val="single"/>
              </w:rPr>
              <w:t xml:space="preserve">MTA alone: </w:t>
            </w:r>
            <w:r w:rsidRPr="00B9196A">
              <w:rPr>
                <w:rFonts w:cstheme="minorBidi"/>
                <w:sz w:val="18"/>
                <w:szCs w:val="18"/>
              </w:rPr>
              <w:t>5/18 (27.7%)</w:t>
            </w:r>
          </w:p>
          <w:p w14:paraId="20686D96" w14:textId="77777777" w:rsidR="001163D9" w:rsidRPr="00B9196A" w:rsidRDefault="001163D9" w:rsidP="00406798">
            <w:pPr>
              <w:pStyle w:val="Tabletext1"/>
              <w:spacing w:before="40" w:after="40"/>
              <w:rPr>
                <w:rFonts w:cstheme="minorBidi"/>
                <w:sz w:val="18"/>
                <w:szCs w:val="18"/>
              </w:rPr>
            </w:pPr>
            <w:r w:rsidRPr="00B9196A">
              <w:rPr>
                <w:rFonts w:cstheme="minorBidi"/>
                <w:sz w:val="18"/>
                <w:szCs w:val="18"/>
                <w:u w:val="single"/>
              </w:rPr>
              <w:t>MTA and chemotherapy</w:t>
            </w:r>
            <w:r w:rsidRPr="00B9196A">
              <w:rPr>
                <w:rFonts w:cstheme="minorBidi"/>
                <w:sz w:val="18"/>
                <w:szCs w:val="18"/>
              </w:rPr>
              <w:t>: 13/22 (79.1%)</w:t>
            </w:r>
          </w:p>
        </w:tc>
        <w:tc>
          <w:tcPr>
            <w:tcW w:w="373" w:type="pct"/>
            <w:tcBorders>
              <w:top w:val="single" w:sz="4" w:space="0" w:color="auto"/>
              <w:left w:val="single" w:sz="4" w:space="0" w:color="auto"/>
              <w:bottom w:val="single" w:sz="4" w:space="0" w:color="auto"/>
              <w:right w:val="single" w:sz="4" w:space="0" w:color="auto"/>
            </w:tcBorders>
          </w:tcPr>
          <w:p w14:paraId="6140C7F1" w14:textId="77777777" w:rsidR="001163D9" w:rsidRPr="00B9196A" w:rsidRDefault="001163D9" w:rsidP="00406798">
            <w:pPr>
              <w:spacing w:before="40" w:after="40" w:line="276" w:lineRule="auto"/>
              <w:rPr>
                <w:rFonts w:asciiTheme="minorHAnsi" w:eastAsiaTheme="minorEastAsia" w:hAnsiTheme="minorHAnsi" w:cstheme="minorBidi"/>
                <w:sz w:val="18"/>
                <w:szCs w:val="18"/>
              </w:rPr>
            </w:pPr>
            <w:r w:rsidRPr="00B9196A">
              <w:rPr>
                <w:rFonts w:ascii="Cambria Math" w:eastAsiaTheme="minorEastAsia" w:hAnsi="Cambria Math" w:cstheme="minorBidi"/>
                <w:color w:val="00B050"/>
                <w:sz w:val="18"/>
                <w:szCs w:val="18"/>
              </w:rPr>
              <w:t>⨁</w:t>
            </w:r>
            <w:r w:rsidRPr="00B9196A">
              <w:rPr>
                <w:rFonts w:ascii="Cambria Math" w:eastAsiaTheme="minorEastAsia" w:hAnsi="Cambria Math" w:cs="Cambria Math"/>
                <w:color w:val="C00000"/>
                <w:sz w:val="18"/>
                <w:szCs w:val="18"/>
              </w:rPr>
              <w:t>⨀⨀⨀</w:t>
            </w:r>
            <w:r w:rsidRPr="00B9196A">
              <w:rPr>
                <w:rFonts w:ascii="Arial Narrow" w:hAnsi="Arial Narrow" w:cstheme="minorBidi"/>
                <w:sz w:val="18"/>
                <w:szCs w:val="18"/>
              </w:rPr>
              <w:br/>
              <w:t xml:space="preserve">VERY LOW </w:t>
            </w:r>
          </w:p>
        </w:tc>
        <w:tc>
          <w:tcPr>
            <w:tcW w:w="493" w:type="pct"/>
            <w:tcBorders>
              <w:top w:val="single" w:sz="4" w:space="0" w:color="auto"/>
              <w:left w:val="single" w:sz="4" w:space="0" w:color="auto"/>
              <w:bottom w:val="single" w:sz="4" w:space="0" w:color="auto"/>
              <w:right w:val="single" w:sz="4" w:space="0" w:color="auto"/>
            </w:tcBorders>
          </w:tcPr>
          <w:p w14:paraId="0D434816" w14:textId="77777777" w:rsidR="001163D9" w:rsidRPr="00B9196A" w:rsidRDefault="001163D9" w:rsidP="00406798">
            <w:pPr>
              <w:spacing w:before="40" w:after="40" w:line="276" w:lineRule="auto"/>
              <w:rPr>
                <w:rFonts w:asciiTheme="minorHAnsi" w:eastAsiaTheme="minorEastAsia" w:hAnsiTheme="minorHAnsi" w:cstheme="minorBidi"/>
                <w:sz w:val="18"/>
                <w:szCs w:val="18"/>
              </w:rPr>
            </w:pPr>
            <w:r w:rsidRPr="00B9196A">
              <w:rPr>
                <w:rFonts w:ascii="Arial Narrow" w:hAnsi="Arial Narrow" w:cstheme="minorBidi"/>
                <w:sz w:val="18"/>
                <w:szCs w:val="18"/>
              </w:rPr>
              <w:t xml:space="preserve">IMPORTANT </w:t>
            </w:r>
          </w:p>
        </w:tc>
      </w:tr>
      <w:tr w:rsidR="001163D9" w:rsidRPr="00B9196A" w14:paraId="4D8B4D60" w14:textId="77777777" w:rsidTr="001163D9">
        <w:trPr>
          <w:trHeight w:val="319"/>
        </w:trPr>
        <w:tc>
          <w:tcPr>
            <w:tcW w:w="636" w:type="pct"/>
            <w:tcBorders>
              <w:top w:val="single" w:sz="4" w:space="0" w:color="auto"/>
              <w:left w:val="single" w:sz="4" w:space="0" w:color="auto"/>
              <w:bottom w:val="single" w:sz="4" w:space="0" w:color="auto"/>
              <w:right w:val="single" w:sz="4" w:space="0" w:color="auto"/>
            </w:tcBorders>
          </w:tcPr>
          <w:p w14:paraId="212AF115" w14:textId="3285955A" w:rsidR="001163D9" w:rsidRPr="00B9196A" w:rsidRDefault="001163D9" w:rsidP="00406798">
            <w:pPr>
              <w:spacing w:before="40" w:after="40"/>
              <w:jc w:val="left"/>
              <w:rPr>
                <w:rFonts w:ascii="Arial Narrow" w:eastAsiaTheme="minorEastAsia" w:hAnsi="Arial Narrow"/>
                <w:sz w:val="18"/>
                <w:szCs w:val="18"/>
              </w:rPr>
            </w:pPr>
            <w:r w:rsidRPr="00B9196A">
              <w:rPr>
                <w:rFonts w:ascii="Arial Narrow" w:eastAsiaTheme="minorEastAsia" w:hAnsi="Arial Narrow"/>
                <w:sz w:val="18"/>
                <w:szCs w:val="18"/>
              </w:rPr>
              <w:t>Median OS (95%CI) with MTA</w:t>
            </w:r>
            <w:r w:rsidR="00CD51A5">
              <w:rPr>
                <w:rFonts w:ascii="Arial Narrow" w:eastAsiaTheme="minorEastAsia" w:hAnsi="Arial Narrow"/>
                <w:sz w:val="18"/>
                <w:szCs w:val="18"/>
              </w:rPr>
              <w:t xml:space="preserve"> </w:t>
            </w:r>
            <w:r w:rsidRPr="00B9196A">
              <w:rPr>
                <w:rFonts w:ascii="Arial Narrow" w:eastAsiaTheme="minorEastAsia" w:hAnsi="Arial Narrow"/>
                <w:sz w:val="18"/>
                <w:szCs w:val="18"/>
              </w:rPr>
              <w:t xml:space="preserve">+ </w:t>
            </w:r>
            <w:r w:rsidR="00CD51A5">
              <w:rPr>
                <w:rFonts w:ascii="Arial Narrow" w:eastAsiaTheme="minorEastAsia" w:hAnsi="Arial Narrow"/>
                <w:sz w:val="18"/>
                <w:szCs w:val="18"/>
              </w:rPr>
              <w:t>chemo</w:t>
            </w:r>
            <w:r w:rsidRPr="00B9196A">
              <w:rPr>
                <w:rFonts w:ascii="Arial Narrow" w:eastAsiaTheme="minorEastAsia" w:hAnsi="Arial Narrow"/>
                <w:sz w:val="18"/>
                <w:szCs w:val="18"/>
              </w:rPr>
              <w:t xml:space="preserve"> versus </w:t>
            </w:r>
            <w:r w:rsidR="00CD51A5">
              <w:rPr>
                <w:rFonts w:ascii="Arial Narrow" w:eastAsiaTheme="minorEastAsia" w:hAnsi="Arial Narrow"/>
                <w:sz w:val="18"/>
                <w:szCs w:val="18"/>
              </w:rPr>
              <w:t>chemo</w:t>
            </w:r>
            <w:r w:rsidRPr="00B9196A">
              <w:rPr>
                <w:rFonts w:ascii="Arial Narrow" w:eastAsiaTheme="minorEastAsia" w:hAnsi="Arial Narrow"/>
                <w:sz w:val="18"/>
                <w:szCs w:val="18"/>
              </w:rPr>
              <w:t xml:space="preserve"> alone</w:t>
            </w:r>
          </w:p>
          <w:p w14:paraId="076F76F8" w14:textId="53B6D5F2" w:rsidR="001163D9" w:rsidRPr="00B9196A" w:rsidRDefault="00CD51A5" w:rsidP="00406798">
            <w:pPr>
              <w:spacing w:before="40" w:after="40"/>
              <w:jc w:val="left"/>
              <w:rPr>
                <w:rFonts w:ascii="Arial Narrow" w:eastAsiaTheme="minorEastAsia" w:hAnsi="Arial Narrow"/>
                <w:sz w:val="18"/>
                <w:szCs w:val="18"/>
              </w:rPr>
            </w:pPr>
            <w:r>
              <w:rPr>
                <w:rFonts w:ascii="Arial Narrow" w:eastAsiaTheme="minorEastAsia" w:hAnsi="Arial Narrow"/>
                <w:sz w:val="18"/>
                <w:szCs w:val="18"/>
              </w:rPr>
              <w:t>F</w:t>
            </w:r>
            <w:r w:rsidR="001163D9" w:rsidRPr="00B9196A">
              <w:rPr>
                <w:rFonts w:ascii="Arial Narrow" w:eastAsiaTheme="minorEastAsia" w:hAnsi="Arial Narrow"/>
                <w:sz w:val="18"/>
                <w:szCs w:val="18"/>
              </w:rPr>
              <w:t>ollow up: median 21 months; assessed with: Kaplan-Meier estimate</w:t>
            </w:r>
          </w:p>
        </w:tc>
        <w:tc>
          <w:tcPr>
            <w:tcW w:w="428" w:type="pct"/>
            <w:tcBorders>
              <w:top w:val="single" w:sz="4" w:space="0" w:color="auto"/>
              <w:left w:val="single" w:sz="4" w:space="0" w:color="auto"/>
              <w:bottom w:val="single" w:sz="4" w:space="0" w:color="auto"/>
              <w:right w:val="single" w:sz="4" w:space="0" w:color="auto"/>
            </w:tcBorders>
          </w:tcPr>
          <w:p w14:paraId="5A33AE61" w14:textId="77777777" w:rsidR="001163D9" w:rsidRPr="00B9196A" w:rsidRDefault="001163D9" w:rsidP="00406798">
            <w:pPr>
              <w:spacing w:before="40" w:after="40" w:line="276" w:lineRule="auto"/>
              <w:jc w:val="left"/>
              <w:rPr>
                <w:rFonts w:ascii="Arial Narrow" w:hAnsi="Arial Narrow" w:cstheme="minorBidi"/>
                <w:sz w:val="18"/>
                <w:szCs w:val="18"/>
              </w:rPr>
            </w:pPr>
            <w:r w:rsidRPr="00B9196A">
              <w:rPr>
                <w:rFonts w:ascii="Arial Narrow" w:eastAsiaTheme="minorEastAsia" w:hAnsi="Arial Narrow"/>
                <w:sz w:val="18"/>
                <w:szCs w:val="18"/>
              </w:rPr>
              <w:t>Observational studies (k=1)</w:t>
            </w:r>
          </w:p>
        </w:tc>
        <w:tc>
          <w:tcPr>
            <w:tcW w:w="416" w:type="pct"/>
            <w:tcBorders>
              <w:top w:val="single" w:sz="4" w:space="0" w:color="auto"/>
              <w:left w:val="single" w:sz="4" w:space="0" w:color="auto"/>
              <w:bottom w:val="single" w:sz="4" w:space="0" w:color="auto"/>
              <w:right w:val="single" w:sz="4" w:space="0" w:color="auto"/>
            </w:tcBorders>
          </w:tcPr>
          <w:p w14:paraId="0BB5B87A"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serious </w:t>
            </w:r>
            <w:r w:rsidRPr="00B9196A">
              <w:rPr>
                <w:rFonts w:ascii="Arial Narrow" w:hAnsi="Arial Narrow" w:cstheme="minorBidi"/>
                <w:sz w:val="18"/>
                <w:szCs w:val="18"/>
                <w:vertAlign w:val="superscript"/>
              </w:rPr>
              <w:t>3</w:t>
            </w:r>
          </w:p>
        </w:tc>
        <w:tc>
          <w:tcPr>
            <w:tcW w:w="450" w:type="pct"/>
            <w:tcBorders>
              <w:top w:val="single" w:sz="4" w:space="0" w:color="auto"/>
              <w:left w:val="single" w:sz="4" w:space="0" w:color="auto"/>
              <w:bottom w:val="single" w:sz="4" w:space="0" w:color="auto"/>
              <w:right w:val="single" w:sz="4" w:space="0" w:color="auto"/>
            </w:tcBorders>
          </w:tcPr>
          <w:p w14:paraId="5572CFC0"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not serious </w:t>
            </w:r>
          </w:p>
        </w:tc>
        <w:tc>
          <w:tcPr>
            <w:tcW w:w="406" w:type="pct"/>
            <w:tcBorders>
              <w:top w:val="single" w:sz="4" w:space="0" w:color="auto"/>
              <w:left w:val="single" w:sz="4" w:space="0" w:color="auto"/>
              <w:bottom w:val="single" w:sz="4" w:space="0" w:color="auto"/>
              <w:right w:val="single" w:sz="4" w:space="0" w:color="auto"/>
            </w:tcBorders>
          </w:tcPr>
          <w:p w14:paraId="3098D1C4"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not serious </w:t>
            </w:r>
          </w:p>
        </w:tc>
        <w:tc>
          <w:tcPr>
            <w:tcW w:w="400" w:type="pct"/>
            <w:tcBorders>
              <w:top w:val="single" w:sz="4" w:space="0" w:color="auto"/>
              <w:left w:val="single" w:sz="4" w:space="0" w:color="auto"/>
              <w:bottom w:val="single" w:sz="4" w:space="0" w:color="auto"/>
              <w:right w:val="single" w:sz="4" w:space="0" w:color="auto"/>
            </w:tcBorders>
          </w:tcPr>
          <w:p w14:paraId="71B41DF2"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serious </w:t>
            </w:r>
            <w:r w:rsidRPr="00B9196A">
              <w:rPr>
                <w:rFonts w:ascii="Arial Narrow" w:hAnsi="Arial Narrow" w:cstheme="minorBidi"/>
                <w:sz w:val="18"/>
                <w:szCs w:val="18"/>
                <w:vertAlign w:val="superscript"/>
              </w:rPr>
              <w:t>4</w:t>
            </w:r>
          </w:p>
        </w:tc>
        <w:tc>
          <w:tcPr>
            <w:tcW w:w="474" w:type="pct"/>
            <w:tcBorders>
              <w:top w:val="single" w:sz="4" w:space="0" w:color="auto"/>
              <w:left w:val="single" w:sz="4" w:space="0" w:color="auto"/>
              <w:bottom w:val="single" w:sz="4" w:space="0" w:color="auto"/>
              <w:right w:val="single" w:sz="4" w:space="0" w:color="auto"/>
            </w:tcBorders>
          </w:tcPr>
          <w:p w14:paraId="25EDD3A3"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none </w:t>
            </w:r>
          </w:p>
        </w:tc>
        <w:tc>
          <w:tcPr>
            <w:tcW w:w="924" w:type="pct"/>
            <w:tcBorders>
              <w:top w:val="single" w:sz="4" w:space="0" w:color="auto"/>
              <w:left w:val="single" w:sz="4" w:space="0" w:color="auto"/>
              <w:bottom w:val="single" w:sz="4" w:space="0" w:color="auto"/>
              <w:right w:val="single" w:sz="4" w:space="0" w:color="auto"/>
            </w:tcBorders>
          </w:tcPr>
          <w:p w14:paraId="2FDCDE78" w14:textId="557F4776" w:rsidR="001163D9" w:rsidRPr="00B9196A" w:rsidRDefault="001163D9" w:rsidP="00406798">
            <w:pPr>
              <w:pStyle w:val="Tabletext1"/>
              <w:spacing w:before="40" w:after="40"/>
              <w:rPr>
                <w:rFonts w:cstheme="minorBidi"/>
                <w:sz w:val="18"/>
                <w:szCs w:val="18"/>
                <w:u w:val="single"/>
              </w:rPr>
            </w:pPr>
            <w:r w:rsidRPr="00B9196A">
              <w:rPr>
                <w:rFonts w:cstheme="minorBidi"/>
                <w:sz w:val="18"/>
                <w:szCs w:val="18"/>
                <w:u w:val="single"/>
              </w:rPr>
              <w:t xml:space="preserve">MTA+chemotherapy: </w:t>
            </w:r>
            <w:r w:rsidRPr="00B9196A">
              <w:rPr>
                <w:rFonts w:cstheme="minorBidi"/>
                <w:sz w:val="18"/>
                <w:szCs w:val="18"/>
              </w:rPr>
              <w:t>23.9 (15.2</w:t>
            </w:r>
            <w:r w:rsidR="007E3D66">
              <w:rPr>
                <w:rFonts w:cstheme="minorBidi"/>
                <w:sz w:val="18"/>
                <w:szCs w:val="18"/>
              </w:rPr>
              <w:t>–</w:t>
            </w:r>
            <w:r w:rsidRPr="00B9196A">
              <w:rPr>
                <w:rFonts w:cstheme="minorBidi"/>
                <w:sz w:val="18"/>
                <w:szCs w:val="18"/>
              </w:rPr>
              <w:t>32.6) months</w:t>
            </w:r>
          </w:p>
          <w:p w14:paraId="474F7BA8" w14:textId="0FE88B7F" w:rsidR="001163D9" w:rsidRPr="00B9196A" w:rsidRDefault="001163D9" w:rsidP="00406798">
            <w:pPr>
              <w:pStyle w:val="Tabletext1"/>
              <w:spacing w:before="40" w:after="40"/>
              <w:rPr>
                <w:rFonts w:cstheme="minorBidi"/>
                <w:sz w:val="18"/>
                <w:szCs w:val="18"/>
              </w:rPr>
            </w:pPr>
            <w:r w:rsidRPr="00B9196A">
              <w:rPr>
                <w:rFonts w:cstheme="minorBidi"/>
                <w:sz w:val="18"/>
                <w:szCs w:val="18"/>
                <w:u w:val="single"/>
              </w:rPr>
              <w:t xml:space="preserve">Chemotherapy: </w:t>
            </w:r>
            <w:r w:rsidRPr="00B9196A">
              <w:rPr>
                <w:rFonts w:cstheme="minorBidi"/>
                <w:sz w:val="18"/>
                <w:szCs w:val="18"/>
              </w:rPr>
              <w:t>17.3 (15.2</w:t>
            </w:r>
            <w:r w:rsidR="007E3D66">
              <w:rPr>
                <w:rFonts w:cstheme="minorBidi"/>
                <w:sz w:val="18"/>
                <w:szCs w:val="18"/>
              </w:rPr>
              <w:t>–</w:t>
            </w:r>
            <w:r w:rsidRPr="00B9196A">
              <w:rPr>
                <w:rFonts w:cstheme="minorBidi"/>
                <w:sz w:val="18"/>
                <w:szCs w:val="18"/>
              </w:rPr>
              <w:t>19.3) months, difference p</w:t>
            </w:r>
            <w:r w:rsidR="00C10752" w:rsidRPr="00B9196A">
              <w:rPr>
                <w:rFonts w:cstheme="minorBidi"/>
                <w:sz w:val="18"/>
                <w:szCs w:val="18"/>
              </w:rPr>
              <w:t xml:space="preserve"> </w:t>
            </w:r>
            <w:r w:rsidRPr="00B9196A">
              <w:rPr>
                <w:rFonts w:cstheme="minorBidi"/>
                <w:sz w:val="18"/>
                <w:szCs w:val="18"/>
              </w:rPr>
              <w:t>=</w:t>
            </w:r>
            <w:r w:rsidR="00C10752" w:rsidRPr="00B9196A">
              <w:rPr>
                <w:rFonts w:cstheme="minorBidi"/>
                <w:sz w:val="18"/>
                <w:szCs w:val="18"/>
              </w:rPr>
              <w:t xml:space="preserve"> </w:t>
            </w:r>
            <w:r w:rsidRPr="00B9196A">
              <w:rPr>
                <w:rFonts w:cstheme="minorBidi"/>
                <w:sz w:val="18"/>
                <w:szCs w:val="18"/>
              </w:rPr>
              <w:t>0.140</w:t>
            </w:r>
          </w:p>
        </w:tc>
        <w:tc>
          <w:tcPr>
            <w:tcW w:w="373" w:type="pct"/>
            <w:tcBorders>
              <w:top w:val="single" w:sz="4" w:space="0" w:color="auto"/>
              <w:left w:val="single" w:sz="4" w:space="0" w:color="auto"/>
              <w:bottom w:val="single" w:sz="4" w:space="0" w:color="auto"/>
              <w:right w:val="single" w:sz="4" w:space="0" w:color="auto"/>
            </w:tcBorders>
          </w:tcPr>
          <w:p w14:paraId="4F47C29C" w14:textId="77777777" w:rsidR="001163D9" w:rsidRPr="00B9196A" w:rsidRDefault="001163D9" w:rsidP="00406798">
            <w:pPr>
              <w:spacing w:before="40" w:after="40" w:line="276" w:lineRule="auto"/>
              <w:rPr>
                <w:rFonts w:asciiTheme="minorHAnsi" w:eastAsiaTheme="minorEastAsia" w:hAnsiTheme="minorHAnsi" w:cstheme="minorBidi"/>
                <w:sz w:val="18"/>
                <w:szCs w:val="18"/>
              </w:rPr>
            </w:pPr>
            <w:r w:rsidRPr="00B9196A">
              <w:rPr>
                <w:rFonts w:ascii="Cambria Math" w:eastAsiaTheme="minorEastAsia" w:hAnsi="Cambria Math" w:cstheme="minorBidi"/>
                <w:color w:val="00B050"/>
                <w:sz w:val="18"/>
                <w:szCs w:val="18"/>
              </w:rPr>
              <w:t>⨁</w:t>
            </w:r>
            <w:r w:rsidRPr="00B9196A">
              <w:rPr>
                <w:rFonts w:ascii="Cambria Math" w:eastAsiaTheme="minorEastAsia" w:hAnsi="Cambria Math" w:cs="Cambria Math"/>
                <w:color w:val="C00000"/>
                <w:sz w:val="18"/>
                <w:szCs w:val="18"/>
              </w:rPr>
              <w:t>⨀⨀⨀</w:t>
            </w:r>
            <w:r w:rsidRPr="00B9196A">
              <w:rPr>
                <w:rFonts w:ascii="Arial Narrow" w:hAnsi="Arial Narrow" w:cstheme="minorBidi"/>
                <w:sz w:val="18"/>
                <w:szCs w:val="18"/>
              </w:rPr>
              <w:br/>
              <w:t xml:space="preserve">VERY LOW </w:t>
            </w:r>
          </w:p>
        </w:tc>
        <w:tc>
          <w:tcPr>
            <w:tcW w:w="493" w:type="pct"/>
            <w:tcBorders>
              <w:top w:val="single" w:sz="4" w:space="0" w:color="auto"/>
              <w:left w:val="single" w:sz="4" w:space="0" w:color="auto"/>
              <w:bottom w:val="single" w:sz="4" w:space="0" w:color="auto"/>
              <w:right w:val="single" w:sz="4" w:space="0" w:color="auto"/>
            </w:tcBorders>
          </w:tcPr>
          <w:p w14:paraId="0F01A7B4" w14:textId="77777777" w:rsidR="001163D9" w:rsidRPr="00B9196A" w:rsidRDefault="001163D9" w:rsidP="00406798">
            <w:pPr>
              <w:spacing w:before="40" w:after="40" w:line="276" w:lineRule="auto"/>
              <w:rPr>
                <w:rFonts w:asciiTheme="minorHAnsi" w:eastAsiaTheme="minorEastAsia" w:hAnsiTheme="minorHAnsi" w:cstheme="minorBidi"/>
                <w:sz w:val="18"/>
                <w:szCs w:val="18"/>
              </w:rPr>
            </w:pPr>
            <w:r w:rsidRPr="00B9196A">
              <w:rPr>
                <w:rFonts w:ascii="Arial Narrow" w:hAnsi="Arial Narrow" w:cstheme="minorBidi"/>
                <w:sz w:val="18"/>
                <w:szCs w:val="18"/>
              </w:rPr>
              <w:t xml:space="preserve">IMPORTANT </w:t>
            </w:r>
          </w:p>
        </w:tc>
      </w:tr>
      <w:tr w:rsidR="001163D9" w:rsidRPr="00B9196A" w14:paraId="32338DD1" w14:textId="77777777" w:rsidTr="001163D9">
        <w:trPr>
          <w:trHeight w:val="319"/>
        </w:trPr>
        <w:tc>
          <w:tcPr>
            <w:tcW w:w="636" w:type="pct"/>
            <w:tcBorders>
              <w:top w:val="single" w:sz="4" w:space="0" w:color="auto"/>
              <w:left w:val="single" w:sz="4" w:space="0" w:color="auto"/>
              <w:bottom w:val="single" w:sz="4" w:space="0" w:color="auto"/>
              <w:right w:val="single" w:sz="4" w:space="0" w:color="auto"/>
            </w:tcBorders>
          </w:tcPr>
          <w:p w14:paraId="7424436C" w14:textId="77777777" w:rsidR="001163D9" w:rsidRPr="00B9196A" w:rsidRDefault="001163D9" w:rsidP="00406798">
            <w:pPr>
              <w:spacing w:before="40" w:after="40"/>
              <w:jc w:val="left"/>
              <w:rPr>
                <w:rFonts w:ascii="Arial Narrow" w:eastAsiaTheme="minorEastAsia" w:hAnsi="Arial Narrow"/>
                <w:sz w:val="18"/>
                <w:szCs w:val="18"/>
              </w:rPr>
            </w:pPr>
            <w:r w:rsidRPr="00B9196A">
              <w:rPr>
                <w:rFonts w:ascii="Arial Narrow" w:eastAsiaTheme="minorEastAsia" w:hAnsi="Arial Narrow"/>
                <w:sz w:val="18"/>
                <w:szCs w:val="18"/>
              </w:rPr>
              <w:t>Median OS (range) with MTA (follow up: median 17.7 months; assessed with: Median and range)</w:t>
            </w:r>
          </w:p>
        </w:tc>
        <w:tc>
          <w:tcPr>
            <w:tcW w:w="428" w:type="pct"/>
            <w:tcBorders>
              <w:top w:val="single" w:sz="4" w:space="0" w:color="auto"/>
              <w:left w:val="single" w:sz="4" w:space="0" w:color="auto"/>
              <w:bottom w:val="single" w:sz="4" w:space="0" w:color="auto"/>
              <w:right w:val="single" w:sz="4" w:space="0" w:color="auto"/>
            </w:tcBorders>
          </w:tcPr>
          <w:p w14:paraId="2E3B877D" w14:textId="77777777" w:rsidR="001163D9" w:rsidRPr="00B9196A" w:rsidRDefault="001163D9" w:rsidP="00406798">
            <w:pPr>
              <w:spacing w:before="40" w:after="40" w:line="276" w:lineRule="auto"/>
              <w:jc w:val="left"/>
              <w:rPr>
                <w:rFonts w:ascii="Arial Narrow" w:hAnsi="Arial Narrow" w:cstheme="minorBidi"/>
                <w:sz w:val="18"/>
                <w:szCs w:val="18"/>
              </w:rPr>
            </w:pPr>
            <w:r w:rsidRPr="00B9196A">
              <w:rPr>
                <w:rFonts w:ascii="Arial Narrow" w:eastAsiaTheme="minorEastAsia" w:hAnsi="Arial Narrow"/>
                <w:sz w:val="18"/>
                <w:szCs w:val="18"/>
              </w:rPr>
              <w:t>Observational studies (k=1)</w:t>
            </w:r>
          </w:p>
        </w:tc>
        <w:tc>
          <w:tcPr>
            <w:tcW w:w="416" w:type="pct"/>
            <w:tcBorders>
              <w:top w:val="single" w:sz="4" w:space="0" w:color="auto"/>
              <w:left w:val="single" w:sz="4" w:space="0" w:color="auto"/>
              <w:bottom w:val="single" w:sz="4" w:space="0" w:color="auto"/>
              <w:right w:val="single" w:sz="4" w:space="0" w:color="auto"/>
            </w:tcBorders>
          </w:tcPr>
          <w:p w14:paraId="3CC986A0"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observational studies </w:t>
            </w:r>
          </w:p>
        </w:tc>
        <w:tc>
          <w:tcPr>
            <w:tcW w:w="450" w:type="pct"/>
            <w:tcBorders>
              <w:top w:val="single" w:sz="4" w:space="0" w:color="auto"/>
              <w:left w:val="single" w:sz="4" w:space="0" w:color="auto"/>
              <w:bottom w:val="single" w:sz="4" w:space="0" w:color="auto"/>
              <w:right w:val="single" w:sz="4" w:space="0" w:color="auto"/>
            </w:tcBorders>
          </w:tcPr>
          <w:p w14:paraId="1A3E7527"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serious </w:t>
            </w:r>
            <w:r w:rsidRPr="00B9196A">
              <w:rPr>
                <w:rFonts w:ascii="Arial Narrow" w:hAnsi="Arial Narrow" w:cstheme="minorBidi"/>
                <w:sz w:val="18"/>
                <w:szCs w:val="18"/>
                <w:vertAlign w:val="superscript"/>
              </w:rPr>
              <w:t>5</w:t>
            </w:r>
          </w:p>
        </w:tc>
        <w:tc>
          <w:tcPr>
            <w:tcW w:w="406" w:type="pct"/>
            <w:tcBorders>
              <w:top w:val="single" w:sz="4" w:space="0" w:color="auto"/>
              <w:left w:val="single" w:sz="4" w:space="0" w:color="auto"/>
              <w:bottom w:val="single" w:sz="4" w:space="0" w:color="auto"/>
              <w:right w:val="single" w:sz="4" w:space="0" w:color="auto"/>
            </w:tcBorders>
          </w:tcPr>
          <w:p w14:paraId="69212884"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not serious </w:t>
            </w:r>
          </w:p>
        </w:tc>
        <w:tc>
          <w:tcPr>
            <w:tcW w:w="400" w:type="pct"/>
            <w:tcBorders>
              <w:top w:val="single" w:sz="4" w:space="0" w:color="auto"/>
              <w:left w:val="single" w:sz="4" w:space="0" w:color="auto"/>
              <w:bottom w:val="single" w:sz="4" w:space="0" w:color="auto"/>
              <w:right w:val="single" w:sz="4" w:space="0" w:color="auto"/>
            </w:tcBorders>
          </w:tcPr>
          <w:p w14:paraId="381C3781"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not serious </w:t>
            </w:r>
          </w:p>
        </w:tc>
        <w:tc>
          <w:tcPr>
            <w:tcW w:w="474" w:type="pct"/>
            <w:tcBorders>
              <w:top w:val="single" w:sz="4" w:space="0" w:color="auto"/>
              <w:left w:val="single" w:sz="4" w:space="0" w:color="auto"/>
              <w:bottom w:val="single" w:sz="4" w:space="0" w:color="auto"/>
              <w:right w:val="single" w:sz="4" w:space="0" w:color="auto"/>
            </w:tcBorders>
          </w:tcPr>
          <w:p w14:paraId="2D8A2AC1" w14:textId="77777777" w:rsidR="001163D9" w:rsidRPr="00B9196A" w:rsidRDefault="001163D9" w:rsidP="00406798">
            <w:pPr>
              <w:spacing w:before="40" w:after="40" w:line="276" w:lineRule="auto"/>
              <w:rPr>
                <w:rFonts w:ascii="Arial Narrow" w:hAnsi="Arial Narrow" w:cstheme="minorBidi"/>
                <w:sz w:val="18"/>
                <w:szCs w:val="18"/>
              </w:rPr>
            </w:pPr>
            <w:r w:rsidRPr="00B9196A">
              <w:rPr>
                <w:rFonts w:ascii="Arial Narrow" w:hAnsi="Arial Narrow" w:cstheme="minorBidi"/>
                <w:sz w:val="18"/>
                <w:szCs w:val="18"/>
              </w:rPr>
              <w:t xml:space="preserve">not serious </w:t>
            </w:r>
          </w:p>
        </w:tc>
        <w:tc>
          <w:tcPr>
            <w:tcW w:w="924" w:type="pct"/>
            <w:tcBorders>
              <w:top w:val="single" w:sz="4" w:space="0" w:color="auto"/>
              <w:left w:val="single" w:sz="4" w:space="0" w:color="auto"/>
              <w:bottom w:val="single" w:sz="4" w:space="0" w:color="auto"/>
              <w:right w:val="single" w:sz="4" w:space="0" w:color="auto"/>
            </w:tcBorders>
          </w:tcPr>
          <w:p w14:paraId="2896EE41" w14:textId="331B8237" w:rsidR="001163D9" w:rsidRPr="00B9196A" w:rsidRDefault="001163D9" w:rsidP="00406798">
            <w:pPr>
              <w:pStyle w:val="Tabletext1"/>
              <w:spacing w:before="40" w:after="40"/>
              <w:rPr>
                <w:rFonts w:cstheme="minorBidi"/>
                <w:sz w:val="18"/>
                <w:szCs w:val="18"/>
              </w:rPr>
            </w:pPr>
            <w:r w:rsidRPr="00B9196A">
              <w:rPr>
                <w:rFonts w:cstheme="minorBidi"/>
                <w:sz w:val="18"/>
                <w:szCs w:val="18"/>
              </w:rPr>
              <w:t>Median OS: 17.7 months (range of 5</w:t>
            </w:r>
            <w:r w:rsidR="007E3D66">
              <w:rPr>
                <w:rFonts w:cstheme="minorBidi"/>
                <w:sz w:val="18"/>
                <w:szCs w:val="18"/>
              </w:rPr>
              <w:t>–</w:t>
            </w:r>
            <w:r w:rsidRPr="00B9196A">
              <w:rPr>
                <w:rFonts w:cstheme="minorBidi"/>
                <w:sz w:val="18"/>
                <w:szCs w:val="18"/>
              </w:rPr>
              <w:t>45) and from the time of MTA until death it was 10.6 months (range: 3.1</w:t>
            </w:r>
            <w:r w:rsidR="007E3D66">
              <w:rPr>
                <w:rFonts w:cstheme="minorBidi"/>
                <w:sz w:val="18"/>
                <w:szCs w:val="18"/>
              </w:rPr>
              <w:t>–</w:t>
            </w:r>
            <w:r w:rsidRPr="00B9196A">
              <w:rPr>
                <w:rFonts w:cstheme="minorBidi"/>
                <w:sz w:val="18"/>
                <w:szCs w:val="18"/>
              </w:rPr>
              <w:t>36.</w:t>
            </w:r>
          </w:p>
        </w:tc>
        <w:tc>
          <w:tcPr>
            <w:tcW w:w="373" w:type="pct"/>
            <w:tcBorders>
              <w:top w:val="single" w:sz="4" w:space="0" w:color="auto"/>
              <w:left w:val="single" w:sz="4" w:space="0" w:color="auto"/>
              <w:bottom w:val="single" w:sz="4" w:space="0" w:color="auto"/>
              <w:right w:val="single" w:sz="4" w:space="0" w:color="auto"/>
            </w:tcBorders>
          </w:tcPr>
          <w:p w14:paraId="413EF9AC" w14:textId="77777777" w:rsidR="001163D9" w:rsidRPr="00B9196A" w:rsidRDefault="001163D9" w:rsidP="00406798">
            <w:pPr>
              <w:spacing w:before="40" w:after="40" w:line="276" w:lineRule="auto"/>
              <w:rPr>
                <w:rFonts w:asciiTheme="minorHAnsi" w:eastAsiaTheme="minorEastAsia" w:hAnsiTheme="minorHAnsi" w:cstheme="minorBidi"/>
                <w:sz w:val="18"/>
                <w:szCs w:val="18"/>
              </w:rPr>
            </w:pPr>
            <w:r w:rsidRPr="00B9196A">
              <w:rPr>
                <w:rFonts w:ascii="Cambria Math" w:eastAsiaTheme="minorEastAsia" w:hAnsi="Cambria Math" w:cstheme="minorBidi"/>
                <w:color w:val="00B050"/>
                <w:sz w:val="18"/>
                <w:szCs w:val="18"/>
              </w:rPr>
              <w:t>⨁</w:t>
            </w:r>
            <w:r w:rsidRPr="00B9196A">
              <w:rPr>
                <w:rFonts w:ascii="Cambria Math" w:eastAsiaTheme="minorEastAsia" w:hAnsi="Cambria Math" w:cs="Cambria Math"/>
                <w:color w:val="C00000"/>
                <w:sz w:val="18"/>
                <w:szCs w:val="18"/>
              </w:rPr>
              <w:t>⨀⨀⨀</w:t>
            </w:r>
            <w:r w:rsidRPr="00B9196A">
              <w:rPr>
                <w:rFonts w:ascii="Arial Narrow" w:hAnsi="Arial Narrow" w:cstheme="minorBidi"/>
                <w:sz w:val="18"/>
                <w:szCs w:val="18"/>
              </w:rPr>
              <w:br/>
              <w:t xml:space="preserve">VERY LOW </w:t>
            </w:r>
          </w:p>
        </w:tc>
        <w:tc>
          <w:tcPr>
            <w:tcW w:w="493" w:type="pct"/>
            <w:tcBorders>
              <w:top w:val="single" w:sz="4" w:space="0" w:color="auto"/>
              <w:left w:val="single" w:sz="4" w:space="0" w:color="auto"/>
              <w:bottom w:val="single" w:sz="4" w:space="0" w:color="auto"/>
              <w:right w:val="single" w:sz="4" w:space="0" w:color="auto"/>
            </w:tcBorders>
          </w:tcPr>
          <w:p w14:paraId="27FD0EF5" w14:textId="77777777" w:rsidR="001163D9" w:rsidRPr="00B9196A" w:rsidRDefault="001163D9" w:rsidP="00406798">
            <w:pPr>
              <w:spacing w:before="40" w:after="40" w:line="276" w:lineRule="auto"/>
              <w:rPr>
                <w:rFonts w:asciiTheme="minorHAnsi" w:eastAsiaTheme="minorEastAsia" w:hAnsiTheme="minorHAnsi" w:cstheme="minorBidi"/>
                <w:sz w:val="18"/>
                <w:szCs w:val="18"/>
              </w:rPr>
            </w:pPr>
            <w:r w:rsidRPr="00B9196A">
              <w:rPr>
                <w:rFonts w:ascii="Arial Narrow" w:hAnsi="Arial Narrow" w:cstheme="minorBidi"/>
                <w:sz w:val="18"/>
                <w:szCs w:val="18"/>
              </w:rPr>
              <w:t xml:space="preserve">IMPORTANT </w:t>
            </w:r>
          </w:p>
        </w:tc>
      </w:tr>
    </w:tbl>
    <w:p w14:paraId="2458BC2A" w14:textId="6BF6D7D9" w:rsidR="00657BBD" w:rsidRPr="00C4247F" w:rsidRDefault="00657BBD" w:rsidP="00657BBD">
      <w:pPr>
        <w:pStyle w:val="Tablenotes0"/>
      </w:pPr>
      <w:r>
        <w:t>&lt;</w:t>
      </w:r>
      <w:r w:rsidRPr="00C4247F">
        <w:t>CI</w:t>
      </w:r>
      <w:r>
        <w:t xml:space="preserve"> </w:t>
      </w:r>
      <w:r w:rsidRPr="00C4247F">
        <w:t>=</w:t>
      </w:r>
      <w:r>
        <w:t xml:space="preserve"> </w:t>
      </w:r>
      <w:r w:rsidRPr="00C4247F">
        <w:t>confidence interval,</w:t>
      </w:r>
      <w:r w:rsidR="00E027FA">
        <w:t xml:space="preserve"> MTA= microwave thermal ablation,</w:t>
      </w:r>
      <w:r w:rsidRPr="00C4247F">
        <w:t xml:space="preserve"> NA</w:t>
      </w:r>
      <w:r>
        <w:t xml:space="preserve"> </w:t>
      </w:r>
      <w:r w:rsidRPr="00C4247F">
        <w:t>=</w:t>
      </w:r>
      <w:r>
        <w:t xml:space="preserve"> </w:t>
      </w:r>
      <w:r w:rsidRPr="00C4247F">
        <w:t>not applicable, OS</w:t>
      </w:r>
      <w:r>
        <w:t xml:space="preserve"> </w:t>
      </w:r>
      <w:r w:rsidRPr="00C4247F">
        <w:t>=</w:t>
      </w:r>
      <w:r>
        <w:t xml:space="preserve"> </w:t>
      </w:r>
      <w:r w:rsidRPr="00C4247F">
        <w:t>overall survival, k</w:t>
      </w:r>
      <w:r>
        <w:t xml:space="preserve"> </w:t>
      </w:r>
      <w:r w:rsidRPr="00C4247F">
        <w:t>=</w:t>
      </w:r>
      <w:r>
        <w:t xml:space="preserve"> </w:t>
      </w:r>
      <w:r w:rsidRPr="00C4247F">
        <w:t>number of studies</w:t>
      </w:r>
      <w:r>
        <w:t>.&gt;</w:t>
      </w:r>
    </w:p>
    <w:p w14:paraId="7ED46955" w14:textId="2C8B8DCB" w:rsidR="001163D9" w:rsidRPr="008120CC" w:rsidRDefault="001163D9" w:rsidP="00657BBD">
      <w:pPr>
        <w:pStyle w:val="Tablenotes0"/>
        <w:rPr>
          <w:rFonts w:cstheme="minorBidi"/>
          <w:color w:val="000000"/>
        </w:rPr>
      </w:pPr>
      <w:r w:rsidRPr="008120CC">
        <w:rPr>
          <w:rFonts w:eastAsiaTheme="minorEastAsia"/>
        </w:rPr>
        <w:t>GRADE Working Group grades of evidence (Guyatt et al., 2013</w:t>
      </w:r>
      <w:r w:rsidR="00CA6DFD" w:rsidRPr="008120CC">
        <w:rPr>
          <w:rFonts w:eastAsiaTheme="minorEastAsia"/>
        </w:rPr>
        <w:t xml:space="preserve">) </w:t>
      </w:r>
      <w:r w:rsidRPr="008120CC">
        <w:rPr>
          <w:rFonts w:eastAsiaTheme="minorEastAsia"/>
        </w:rPr>
        <w:br/>
      </w:r>
      <w:r w:rsidRPr="008120CC">
        <w:rPr>
          <w:rFonts w:ascii="Cambria Math" w:eastAsiaTheme="minorEastAsia" w:hAnsi="Cambria Math" w:cstheme="minorBidi"/>
          <w:color w:val="00B050"/>
        </w:rPr>
        <w:lastRenderedPageBreak/>
        <w:t>⨁</w:t>
      </w:r>
      <w:r w:rsidRPr="008120CC">
        <w:rPr>
          <w:rFonts w:ascii="Cambria Math" w:eastAsiaTheme="minorEastAsia" w:hAnsi="Cambria Math" w:cs="Cambria Math"/>
          <w:color w:val="C00000"/>
        </w:rPr>
        <w:t xml:space="preserve">⨀⨀⨀ </w:t>
      </w:r>
      <w:r w:rsidRPr="008120CC">
        <w:rPr>
          <w:rFonts w:eastAsiaTheme="minorEastAsia"/>
          <w:b/>
          <w:bCs/>
        </w:rPr>
        <w:t>Very low quality:</w:t>
      </w:r>
      <w:r w:rsidRPr="008120CC">
        <w:rPr>
          <w:rFonts w:eastAsiaTheme="minorEastAsia"/>
        </w:rPr>
        <w:t xml:space="preserve"> We have very little confidence in the effect estimate: The true effect is likely to be substantially different from the estimate of effect</w:t>
      </w:r>
    </w:p>
    <w:p w14:paraId="01FF9A2D" w14:textId="77777777" w:rsidR="001163D9" w:rsidRPr="00657BBD" w:rsidRDefault="001163D9" w:rsidP="008609FE">
      <w:pPr>
        <w:pStyle w:val="Tablenotes0"/>
        <w:numPr>
          <w:ilvl w:val="0"/>
          <w:numId w:val="86"/>
        </w:numPr>
        <w:ind w:left="284" w:hanging="284"/>
      </w:pPr>
      <w:r w:rsidRPr="00657BBD">
        <w:t xml:space="preserve">This is based on the results of one study with 22patients in one arm and 18 in the other, study reporting quality was low. </w:t>
      </w:r>
    </w:p>
    <w:p w14:paraId="45CA4FAB" w14:textId="77777777" w:rsidR="001163D9" w:rsidRPr="00657BBD" w:rsidRDefault="001163D9" w:rsidP="008609FE">
      <w:pPr>
        <w:pStyle w:val="Tablenotes0"/>
        <w:numPr>
          <w:ilvl w:val="0"/>
          <w:numId w:val="86"/>
        </w:numPr>
        <w:ind w:left="284" w:hanging="284"/>
      </w:pPr>
      <w:r w:rsidRPr="00657BBD">
        <w:t xml:space="preserve">Measures of variance are not available. The small sample size reduces the reliability of the outcomes. </w:t>
      </w:r>
    </w:p>
    <w:p w14:paraId="7D5F2A1D" w14:textId="77777777" w:rsidR="001163D9" w:rsidRPr="00657BBD" w:rsidRDefault="001163D9" w:rsidP="008609FE">
      <w:pPr>
        <w:pStyle w:val="Tablenotes0"/>
        <w:numPr>
          <w:ilvl w:val="0"/>
          <w:numId w:val="86"/>
        </w:numPr>
        <w:ind w:left="284" w:hanging="284"/>
      </w:pPr>
      <w:r w:rsidRPr="00657BBD">
        <w:t>Wei et al (2015) reports on small sample sizes and inherent drawbacks in study design are problematic</w:t>
      </w:r>
    </w:p>
    <w:p w14:paraId="46DF86F5" w14:textId="77777777" w:rsidR="001163D9" w:rsidRPr="00657BBD" w:rsidRDefault="001163D9" w:rsidP="008609FE">
      <w:pPr>
        <w:pStyle w:val="Tablenotes0"/>
        <w:numPr>
          <w:ilvl w:val="0"/>
          <w:numId w:val="86"/>
        </w:numPr>
        <w:ind w:left="284" w:hanging="284"/>
      </w:pPr>
      <w:r w:rsidRPr="00657BBD">
        <w:t xml:space="preserve">Measures of variance show wide confidence intervals associated with OS. The small sample size reduces the reliability of the outcomes. </w:t>
      </w:r>
    </w:p>
    <w:p w14:paraId="0849388D" w14:textId="0130A96B" w:rsidR="001163D9" w:rsidRPr="00657BBD" w:rsidRDefault="001163D9" w:rsidP="008609FE">
      <w:pPr>
        <w:pStyle w:val="Tablenotes0"/>
        <w:numPr>
          <w:ilvl w:val="0"/>
          <w:numId w:val="86"/>
        </w:numPr>
        <w:ind w:left="284" w:hanging="284"/>
      </w:pPr>
      <w:r w:rsidRPr="00657BBD">
        <w:t>Due to inherent limitations in case series evidence</w:t>
      </w:r>
      <w:r w:rsidR="008609FE">
        <w:t>.</w:t>
      </w:r>
    </w:p>
    <w:p w14:paraId="7C0B4100" w14:textId="77777777" w:rsidR="004820B3" w:rsidRDefault="004820B3" w:rsidP="005C061E">
      <w:pPr>
        <w:pStyle w:val="Tablenotes0"/>
        <w:spacing w:after="0"/>
      </w:pPr>
    </w:p>
    <w:p w14:paraId="0FB1E4DD" w14:textId="77777777" w:rsidR="005175AE" w:rsidRDefault="005175AE" w:rsidP="005175AE">
      <w:pPr>
        <w:pStyle w:val="Caption"/>
        <w:keepNext/>
      </w:pPr>
      <w:bookmarkStart w:id="523" w:name="_Toc460514756"/>
      <w:r>
        <w:t xml:space="preserve">Table </w:t>
      </w:r>
      <w:fldSimple w:instr=" SEQ Table \* ARABIC ">
        <w:r w:rsidR="00D170A5">
          <w:rPr>
            <w:noProof/>
          </w:rPr>
          <w:t>98</w:t>
        </w:r>
      </w:fldSimple>
      <w:r>
        <w:tab/>
        <w:t>Evidence profile table for safety outcomes</w:t>
      </w:r>
      <w:bookmarkEnd w:id="523"/>
    </w:p>
    <w:tbl>
      <w:tblPr>
        <w:tblW w:w="5000" w:type="pct"/>
        <w:tblLayout w:type="fixed"/>
        <w:tblLook w:val="04A0" w:firstRow="1" w:lastRow="0" w:firstColumn="1" w:lastColumn="0" w:noHBand="0" w:noVBand="1"/>
      </w:tblPr>
      <w:tblGrid>
        <w:gridCol w:w="2273"/>
        <w:gridCol w:w="1256"/>
        <w:gridCol w:w="1194"/>
        <w:gridCol w:w="1323"/>
        <w:gridCol w:w="1259"/>
        <w:gridCol w:w="1259"/>
        <w:gridCol w:w="1259"/>
        <w:gridCol w:w="2846"/>
        <w:gridCol w:w="1145"/>
        <w:gridCol w:w="1538"/>
      </w:tblGrid>
      <w:tr w:rsidR="005175AE" w:rsidRPr="005175AE" w14:paraId="72F2313A" w14:textId="77777777" w:rsidTr="00315B6D">
        <w:trPr>
          <w:trHeight w:val="788"/>
        </w:trPr>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6A5B9EB" w14:textId="77777777" w:rsidR="005175AE" w:rsidRPr="005175AE" w:rsidRDefault="005175AE" w:rsidP="009E3322">
            <w:pPr>
              <w:keepNext/>
              <w:spacing w:before="40" w:after="40" w:line="288" w:lineRule="auto"/>
              <w:ind w:left="-16"/>
              <w:jc w:val="left"/>
              <w:rPr>
                <w:rFonts w:ascii="Arial Narrow" w:eastAsiaTheme="minorEastAsia" w:hAnsi="Arial Narrow"/>
                <w:b/>
                <w:sz w:val="18"/>
                <w:szCs w:val="18"/>
              </w:rPr>
            </w:pPr>
            <w:r w:rsidRPr="005175AE">
              <w:rPr>
                <w:rFonts w:ascii="Arial Narrow" w:eastAsiaTheme="minorEastAsia" w:hAnsi="Arial Narrow"/>
                <w:b/>
                <w:sz w:val="18"/>
                <w:szCs w:val="18"/>
              </w:rPr>
              <w:t>Outcome  (units, follow-up, assessment)</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EDA38BA" w14:textId="77777777" w:rsidR="005175AE" w:rsidRPr="005175AE" w:rsidRDefault="005175AE" w:rsidP="009E3322">
            <w:pPr>
              <w:keepNext/>
              <w:spacing w:before="40" w:after="40" w:line="288" w:lineRule="auto"/>
              <w:ind w:left="-16"/>
              <w:jc w:val="left"/>
              <w:rPr>
                <w:rFonts w:ascii="Arial Narrow" w:eastAsiaTheme="minorEastAsia" w:hAnsi="Arial Narrow"/>
                <w:b/>
                <w:sz w:val="18"/>
                <w:szCs w:val="18"/>
              </w:rPr>
            </w:pPr>
            <w:r w:rsidRPr="005175AE">
              <w:rPr>
                <w:rFonts w:ascii="Arial Narrow" w:eastAsiaTheme="minorEastAsia" w:hAnsi="Arial Narrow"/>
                <w:b/>
                <w:sz w:val="18"/>
                <w:szCs w:val="18"/>
              </w:rPr>
              <w:t>No. of studies and study design</w:t>
            </w:r>
          </w:p>
        </w:tc>
        <w:tc>
          <w:tcPr>
            <w:tcW w:w="3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4BEEE91" w14:textId="77777777" w:rsidR="005175AE" w:rsidRPr="005175AE" w:rsidRDefault="005175AE" w:rsidP="009E3322">
            <w:pPr>
              <w:keepNext/>
              <w:spacing w:before="40" w:after="40" w:line="288" w:lineRule="auto"/>
              <w:ind w:left="-16"/>
              <w:jc w:val="left"/>
              <w:rPr>
                <w:rFonts w:ascii="Arial Narrow" w:eastAsiaTheme="minorEastAsia" w:hAnsi="Arial Narrow"/>
                <w:b/>
                <w:sz w:val="18"/>
                <w:szCs w:val="18"/>
              </w:rPr>
            </w:pPr>
            <w:r w:rsidRPr="005175AE">
              <w:rPr>
                <w:rFonts w:ascii="Arial Narrow" w:eastAsiaTheme="minorEastAsia" w:hAnsi="Arial Narrow"/>
                <w:b/>
                <w:sz w:val="18"/>
                <w:szCs w:val="18"/>
              </w:rPr>
              <w:t>Risk of bias</w:t>
            </w:r>
          </w:p>
        </w:tc>
        <w:tc>
          <w:tcPr>
            <w:tcW w:w="4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BD316F5" w14:textId="77777777" w:rsidR="005175AE" w:rsidRPr="005175AE" w:rsidRDefault="005175AE" w:rsidP="009E3322">
            <w:pPr>
              <w:keepNext/>
              <w:spacing w:before="40" w:after="40" w:line="288" w:lineRule="auto"/>
              <w:ind w:left="-16"/>
              <w:jc w:val="left"/>
              <w:rPr>
                <w:rFonts w:ascii="Arial Narrow" w:eastAsiaTheme="minorEastAsia" w:hAnsi="Arial Narrow"/>
                <w:b/>
                <w:sz w:val="18"/>
                <w:szCs w:val="18"/>
              </w:rPr>
            </w:pPr>
            <w:r w:rsidRPr="005175AE">
              <w:rPr>
                <w:rFonts w:ascii="Arial Narrow" w:eastAsiaTheme="minorEastAsia" w:hAnsi="Arial Narrow"/>
                <w:b/>
                <w:sz w:val="18"/>
                <w:szCs w:val="18"/>
              </w:rPr>
              <w:t>Inconsistency</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C246628" w14:textId="77777777" w:rsidR="005175AE" w:rsidRPr="005175AE" w:rsidRDefault="005175AE" w:rsidP="009E3322">
            <w:pPr>
              <w:keepNext/>
              <w:spacing w:before="40" w:after="40" w:line="288" w:lineRule="auto"/>
              <w:ind w:left="-16"/>
              <w:jc w:val="left"/>
              <w:rPr>
                <w:rFonts w:ascii="Arial Narrow" w:eastAsiaTheme="minorEastAsia" w:hAnsi="Arial Narrow"/>
                <w:b/>
                <w:sz w:val="18"/>
                <w:szCs w:val="18"/>
              </w:rPr>
            </w:pPr>
            <w:r w:rsidRPr="005175AE">
              <w:rPr>
                <w:rFonts w:ascii="Arial Narrow" w:eastAsiaTheme="minorEastAsia" w:hAnsi="Arial Narrow"/>
                <w:b/>
                <w:sz w:val="18"/>
                <w:szCs w:val="18"/>
              </w:rPr>
              <w:t>Indirectness</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B6FEC5D" w14:textId="77777777" w:rsidR="005175AE" w:rsidRPr="005175AE" w:rsidRDefault="005175AE" w:rsidP="009E3322">
            <w:pPr>
              <w:keepNext/>
              <w:spacing w:before="40" w:after="40" w:line="288" w:lineRule="auto"/>
              <w:ind w:left="-16"/>
              <w:jc w:val="left"/>
              <w:rPr>
                <w:rFonts w:ascii="Arial Narrow" w:eastAsiaTheme="minorEastAsia" w:hAnsi="Arial Narrow"/>
                <w:b/>
                <w:sz w:val="18"/>
                <w:szCs w:val="18"/>
              </w:rPr>
            </w:pPr>
            <w:r w:rsidRPr="005175AE">
              <w:rPr>
                <w:rFonts w:ascii="Arial Narrow" w:eastAsiaTheme="minorEastAsia" w:hAnsi="Arial Narrow"/>
                <w:b/>
                <w:sz w:val="18"/>
                <w:szCs w:val="18"/>
              </w:rPr>
              <w:t>Imprecision</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CB91D6" w14:textId="77777777" w:rsidR="005175AE" w:rsidRPr="005175AE" w:rsidRDefault="005175AE" w:rsidP="009E3322">
            <w:pPr>
              <w:keepNext/>
              <w:spacing w:before="40" w:after="40" w:line="288" w:lineRule="auto"/>
              <w:ind w:left="-16"/>
              <w:jc w:val="left"/>
              <w:rPr>
                <w:rFonts w:ascii="Arial Narrow" w:eastAsiaTheme="minorEastAsia" w:hAnsi="Arial Narrow"/>
                <w:b/>
                <w:sz w:val="18"/>
                <w:szCs w:val="18"/>
              </w:rPr>
            </w:pPr>
            <w:r w:rsidRPr="005175AE">
              <w:rPr>
                <w:rFonts w:ascii="Arial Narrow" w:eastAsiaTheme="minorEastAsia" w:hAnsi="Arial Narrow"/>
                <w:b/>
                <w:sz w:val="18"/>
                <w:szCs w:val="18"/>
              </w:rPr>
              <w:t>Other considerations</w:t>
            </w:r>
          </w:p>
        </w:tc>
        <w:tc>
          <w:tcPr>
            <w:tcW w:w="9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FA6A7B7" w14:textId="5B03C794" w:rsidR="005175AE" w:rsidRPr="005175AE" w:rsidRDefault="005175AE" w:rsidP="009E3322">
            <w:pPr>
              <w:keepNext/>
              <w:spacing w:before="40" w:after="40" w:line="288" w:lineRule="auto"/>
              <w:ind w:left="-16"/>
              <w:jc w:val="left"/>
              <w:rPr>
                <w:rFonts w:ascii="Arial Narrow" w:eastAsiaTheme="minorEastAsia" w:hAnsi="Arial Narrow"/>
                <w:b/>
                <w:sz w:val="18"/>
                <w:szCs w:val="18"/>
              </w:rPr>
            </w:pPr>
            <w:r w:rsidRPr="005175AE">
              <w:rPr>
                <w:rFonts w:ascii="Arial Narrow" w:eastAsiaTheme="minorEastAsia" w:hAnsi="Arial Narrow"/>
                <w:b/>
                <w:sz w:val="18"/>
                <w:szCs w:val="18"/>
              </w:rPr>
              <w:t xml:space="preserve">Results </w:t>
            </w:r>
          </w:p>
        </w:tc>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77D03C0" w14:textId="77777777" w:rsidR="005175AE" w:rsidRPr="005175AE" w:rsidRDefault="005175AE" w:rsidP="009E3322">
            <w:pPr>
              <w:keepNext/>
              <w:spacing w:before="40" w:after="40" w:line="288" w:lineRule="auto"/>
              <w:ind w:left="-16"/>
              <w:jc w:val="left"/>
              <w:rPr>
                <w:rFonts w:ascii="Arial Narrow" w:eastAsiaTheme="minorEastAsia" w:hAnsi="Arial Narrow"/>
                <w:b/>
                <w:sz w:val="18"/>
                <w:szCs w:val="18"/>
              </w:rPr>
            </w:pPr>
            <w:r w:rsidRPr="005175AE">
              <w:rPr>
                <w:rFonts w:ascii="Arial Narrow" w:eastAsiaTheme="minorEastAsia" w:hAnsi="Arial Narrow"/>
                <w:b/>
                <w:sz w:val="18"/>
                <w:szCs w:val="18"/>
              </w:rPr>
              <w:t>Quality</w:t>
            </w:r>
          </w:p>
        </w:tc>
        <w:tc>
          <w:tcPr>
            <w:tcW w:w="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205C8B9" w14:textId="77777777" w:rsidR="005175AE" w:rsidRPr="005175AE" w:rsidRDefault="005175AE" w:rsidP="00315B6D">
            <w:pPr>
              <w:keepNext/>
              <w:spacing w:before="40" w:after="40" w:line="288" w:lineRule="auto"/>
              <w:ind w:left="-16"/>
              <w:jc w:val="left"/>
              <w:rPr>
                <w:rFonts w:ascii="Arial Narrow" w:eastAsiaTheme="minorEastAsia" w:hAnsi="Arial Narrow"/>
                <w:b/>
                <w:sz w:val="18"/>
                <w:szCs w:val="18"/>
              </w:rPr>
            </w:pPr>
            <w:r w:rsidRPr="005175AE">
              <w:rPr>
                <w:rFonts w:ascii="Arial Narrow" w:eastAsiaTheme="minorEastAsia" w:hAnsi="Arial Narrow"/>
                <w:b/>
                <w:sz w:val="18"/>
                <w:szCs w:val="18"/>
              </w:rPr>
              <w:t>Importance</w:t>
            </w:r>
          </w:p>
        </w:tc>
      </w:tr>
      <w:tr w:rsidR="005175AE" w:rsidRPr="005175AE" w14:paraId="6E999067" w14:textId="77777777" w:rsidTr="00315B6D">
        <w:trPr>
          <w:trHeight w:val="319"/>
        </w:trPr>
        <w:tc>
          <w:tcPr>
            <w:tcW w:w="740" w:type="pct"/>
            <w:tcBorders>
              <w:top w:val="single" w:sz="4" w:space="0" w:color="auto"/>
              <w:left w:val="single" w:sz="4" w:space="0" w:color="auto"/>
              <w:bottom w:val="single" w:sz="4" w:space="0" w:color="auto"/>
            </w:tcBorders>
            <w:shd w:val="clear" w:color="auto" w:fill="D9D9D9" w:themeFill="background1" w:themeFillShade="D9"/>
          </w:tcPr>
          <w:p w14:paraId="50577DF9" w14:textId="77777777" w:rsidR="005175AE" w:rsidRPr="005175AE" w:rsidRDefault="005175AE" w:rsidP="009A6962">
            <w:pPr>
              <w:spacing w:before="40" w:after="40" w:line="288" w:lineRule="auto"/>
              <w:jc w:val="left"/>
              <w:rPr>
                <w:rFonts w:ascii="Arial Narrow" w:eastAsiaTheme="minorEastAsia" w:hAnsi="Arial Narrow"/>
                <w:b/>
                <w:sz w:val="18"/>
                <w:szCs w:val="18"/>
              </w:rPr>
            </w:pPr>
            <w:r w:rsidRPr="005175AE">
              <w:rPr>
                <w:rFonts w:ascii="Arial Narrow" w:eastAsiaTheme="minorEastAsia" w:hAnsi="Arial Narrow"/>
                <w:b/>
                <w:sz w:val="18"/>
                <w:szCs w:val="18"/>
              </w:rPr>
              <w:t>Procedure-related mortality</w:t>
            </w:r>
          </w:p>
        </w:tc>
        <w:tc>
          <w:tcPr>
            <w:tcW w:w="409" w:type="pct"/>
            <w:tcBorders>
              <w:top w:val="single" w:sz="4" w:space="0" w:color="auto"/>
              <w:bottom w:val="single" w:sz="4" w:space="0" w:color="auto"/>
            </w:tcBorders>
            <w:shd w:val="clear" w:color="auto" w:fill="D9D9D9" w:themeFill="background1" w:themeFillShade="D9"/>
          </w:tcPr>
          <w:p w14:paraId="478895B2" w14:textId="77777777" w:rsidR="005175AE" w:rsidRPr="005175AE" w:rsidRDefault="005175AE" w:rsidP="009A6962">
            <w:pPr>
              <w:spacing w:before="40" w:after="40" w:line="288" w:lineRule="auto"/>
              <w:jc w:val="left"/>
              <w:rPr>
                <w:rFonts w:ascii="Arial Narrow" w:eastAsiaTheme="minorEastAsia" w:hAnsi="Arial Narrow"/>
                <w:sz w:val="18"/>
                <w:szCs w:val="18"/>
              </w:rPr>
            </w:pPr>
          </w:p>
        </w:tc>
        <w:tc>
          <w:tcPr>
            <w:tcW w:w="389" w:type="pct"/>
            <w:tcBorders>
              <w:top w:val="single" w:sz="4" w:space="0" w:color="auto"/>
              <w:bottom w:val="single" w:sz="4" w:space="0" w:color="auto"/>
            </w:tcBorders>
            <w:shd w:val="clear" w:color="auto" w:fill="D9D9D9" w:themeFill="background1" w:themeFillShade="D9"/>
          </w:tcPr>
          <w:p w14:paraId="5DE39824" w14:textId="77777777" w:rsidR="005175AE" w:rsidRPr="005175AE" w:rsidRDefault="005175AE" w:rsidP="009A6962">
            <w:pPr>
              <w:spacing w:before="40" w:after="40" w:line="288" w:lineRule="auto"/>
              <w:rPr>
                <w:rFonts w:ascii="Arial Narrow" w:eastAsiaTheme="minorEastAsia" w:hAnsi="Arial Narrow"/>
                <w:sz w:val="18"/>
                <w:szCs w:val="18"/>
              </w:rPr>
            </w:pPr>
          </w:p>
        </w:tc>
        <w:tc>
          <w:tcPr>
            <w:tcW w:w="431" w:type="pct"/>
            <w:tcBorders>
              <w:top w:val="single" w:sz="4" w:space="0" w:color="auto"/>
              <w:bottom w:val="single" w:sz="4" w:space="0" w:color="auto"/>
            </w:tcBorders>
            <w:shd w:val="clear" w:color="auto" w:fill="D9D9D9" w:themeFill="background1" w:themeFillShade="D9"/>
          </w:tcPr>
          <w:p w14:paraId="7F508C0B" w14:textId="77777777" w:rsidR="005175AE" w:rsidRPr="005175AE" w:rsidRDefault="005175AE" w:rsidP="009A6962">
            <w:pPr>
              <w:spacing w:before="40" w:after="40" w:line="288" w:lineRule="auto"/>
              <w:rPr>
                <w:rFonts w:ascii="Arial Narrow" w:eastAsiaTheme="minorEastAsia" w:hAnsi="Arial Narrow"/>
                <w:sz w:val="18"/>
                <w:szCs w:val="18"/>
              </w:rPr>
            </w:pPr>
          </w:p>
        </w:tc>
        <w:tc>
          <w:tcPr>
            <w:tcW w:w="410" w:type="pct"/>
            <w:tcBorders>
              <w:top w:val="single" w:sz="4" w:space="0" w:color="auto"/>
              <w:bottom w:val="single" w:sz="4" w:space="0" w:color="auto"/>
            </w:tcBorders>
            <w:shd w:val="clear" w:color="auto" w:fill="D9D9D9" w:themeFill="background1" w:themeFillShade="D9"/>
          </w:tcPr>
          <w:p w14:paraId="50198293" w14:textId="77777777" w:rsidR="005175AE" w:rsidRPr="005175AE" w:rsidRDefault="005175AE" w:rsidP="009A6962">
            <w:pPr>
              <w:spacing w:before="40" w:after="40" w:line="288" w:lineRule="auto"/>
              <w:rPr>
                <w:rFonts w:ascii="Arial Narrow" w:eastAsiaTheme="minorEastAsia" w:hAnsi="Arial Narrow"/>
                <w:sz w:val="18"/>
                <w:szCs w:val="18"/>
              </w:rPr>
            </w:pPr>
          </w:p>
        </w:tc>
        <w:tc>
          <w:tcPr>
            <w:tcW w:w="410" w:type="pct"/>
            <w:tcBorders>
              <w:top w:val="single" w:sz="4" w:space="0" w:color="auto"/>
              <w:bottom w:val="single" w:sz="4" w:space="0" w:color="auto"/>
            </w:tcBorders>
            <w:shd w:val="clear" w:color="auto" w:fill="D9D9D9" w:themeFill="background1" w:themeFillShade="D9"/>
          </w:tcPr>
          <w:p w14:paraId="7DB30F8D" w14:textId="77777777" w:rsidR="005175AE" w:rsidRPr="005175AE" w:rsidRDefault="005175AE" w:rsidP="009A6962">
            <w:pPr>
              <w:spacing w:before="40" w:after="40" w:line="288" w:lineRule="auto"/>
              <w:rPr>
                <w:rFonts w:ascii="Arial Narrow" w:eastAsiaTheme="minorEastAsia" w:hAnsi="Arial Narrow"/>
                <w:sz w:val="18"/>
                <w:szCs w:val="18"/>
              </w:rPr>
            </w:pPr>
          </w:p>
        </w:tc>
        <w:tc>
          <w:tcPr>
            <w:tcW w:w="410" w:type="pct"/>
            <w:tcBorders>
              <w:top w:val="single" w:sz="4" w:space="0" w:color="auto"/>
              <w:bottom w:val="single" w:sz="4" w:space="0" w:color="auto"/>
            </w:tcBorders>
            <w:shd w:val="clear" w:color="auto" w:fill="D9D9D9" w:themeFill="background1" w:themeFillShade="D9"/>
          </w:tcPr>
          <w:p w14:paraId="59687F5E" w14:textId="77777777" w:rsidR="005175AE" w:rsidRPr="005175AE" w:rsidRDefault="005175AE" w:rsidP="009A6962">
            <w:pPr>
              <w:spacing w:before="40" w:after="40" w:line="288" w:lineRule="auto"/>
              <w:jc w:val="left"/>
              <w:rPr>
                <w:rFonts w:ascii="Arial Narrow" w:eastAsiaTheme="minorEastAsia" w:hAnsi="Arial Narrow"/>
                <w:sz w:val="18"/>
                <w:szCs w:val="18"/>
              </w:rPr>
            </w:pPr>
          </w:p>
        </w:tc>
        <w:tc>
          <w:tcPr>
            <w:tcW w:w="927" w:type="pct"/>
            <w:tcBorders>
              <w:top w:val="single" w:sz="4" w:space="0" w:color="auto"/>
              <w:bottom w:val="single" w:sz="4" w:space="0" w:color="auto"/>
            </w:tcBorders>
            <w:shd w:val="clear" w:color="auto" w:fill="D9D9D9" w:themeFill="background1" w:themeFillShade="D9"/>
          </w:tcPr>
          <w:p w14:paraId="18EB2FC3" w14:textId="77777777" w:rsidR="005175AE" w:rsidRPr="005175AE" w:rsidRDefault="005175AE" w:rsidP="009A6962">
            <w:pPr>
              <w:spacing w:before="40" w:after="40" w:line="288" w:lineRule="auto"/>
              <w:jc w:val="left"/>
              <w:rPr>
                <w:rFonts w:ascii="Arial Narrow" w:eastAsiaTheme="minorEastAsia" w:hAnsi="Arial Narrow"/>
                <w:sz w:val="18"/>
                <w:szCs w:val="18"/>
              </w:rPr>
            </w:pPr>
          </w:p>
        </w:tc>
        <w:tc>
          <w:tcPr>
            <w:tcW w:w="373" w:type="pct"/>
            <w:tcBorders>
              <w:top w:val="single" w:sz="4" w:space="0" w:color="auto"/>
              <w:bottom w:val="single" w:sz="4" w:space="0" w:color="auto"/>
            </w:tcBorders>
            <w:shd w:val="clear" w:color="auto" w:fill="D9D9D9" w:themeFill="background1" w:themeFillShade="D9"/>
          </w:tcPr>
          <w:p w14:paraId="119413ED" w14:textId="77777777" w:rsidR="005175AE" w:rsidRPr="005175AE" w:rsidRDefault="005175AE" w:rsidP="009A6962">
            <w:pPr>
              <w:spacing w:before="40" w:after="40" w:line="288" w:lineRule="auto"/>
              <w:rPr>
                <w:rFonts w:ascii="Arial Narrow" w:eastAsiaTheme="minorEastAsia" w:hAnsi="Arial Narrow"/>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78CD1488" w14:textId="77777777" w:rsidR="005175AE" w:rsidRPr="005175AE" w:rsidRDefault="005175AE" w:rsidP="00315B6D">
            <w:pPr>
              <w:spacing w:before="40" w:after="40" w:line="288" w:lineRule="auto"/>
              <w:jc w:val="left"/>
              <w:rPr>
                <w:rFonts w:ascii="Arial Narrow" w:eastAsiaTheme="minorEastAsia" w:hAnsi="Arial Narrow"/>
                <w:sz w:val="18"/>
                <w:szCs w:val="18"/>
              </w:rPr>
            </w:pPr>
          </w:p>
        </w:tc>
      </w:tr>
      <w:tr w:rsidR="005175AE" w:rsidRPr="005175AE" w14:paraId="5E5CAB48"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1445A7F2" w14:textId="01347291"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u w:val="single"/>
              </w:rPr>
              <w:t>MTA</w:t>
            </w:r>
            <w:r w:rsidRPr="005175AE">
              <w:rPr>
                <w:rFonts w:ascii="Arial Narrow" w:eastAsiaTheme="minorEastAsia" w:hAnsi="Arial Narrow"/>
                <w:sz w:val="18"/>
                <w:szCs w:val="18"/>
              </w:rPr>
              <w:br/>
            </w:r>
            <w:r w:rsidR="00A16D27">
              <w:rPr>
                <w:rFonts w:ascii="Arial Narrow" w:eastAsiaTheme="minorEastAsia" w:hAnsi="Arial Narrow"/>
                <w:sz w:val="18"/>
                <w:szCs w:val="18"/>
              </w:rPr>
              <w:t>F</w:t>
            </w:r>
            <w:r w:rsidR="00A16D27" w:rsidRPr="00B9196A">
              <w:rPr>
                <w:rFonts w:ascii="Arial Narrow" w:eastAsiaTheme="minorEastAsia" w:hAnsi="Arial Narrow"/>
                <w:sz w:val="18"/>
                <w:szCs w:val="18"/>
              </w:rPr>
              <w:t>ollow up</w:t>
            </w:r>
            <w:r w:rsidR="00A16D27">
              <w:rPr>
                <w:rFonts w:ascii="Arial Narrow" w:eastAsiaTheme="minorEastAsia" w:hAnsi="Arial Narrow"/>
                <w:sz w:val="18"/>
                <w:szCs w:val="18"/>
              </w:rPr>
              <w:t xml:space="preserve">: range 6 </w:t>
            </w:r>
            <w:r w:rsidR="007E3D66">
              <w:rPr>
                <w:rFonts w:ascii="Arial Narrow" w:eastAsiaTheme="minorEastAsia" w:hAnsi="Arial Narrow"/>
                <w:sz w:val="18"/>
                <w:szCs w:val="18"/>
              </w:rPr>
              <w:t>–</w:t>
            </w:r>
            <w:r w:rsidR="00A16D27">
              <w:rPr>
                <w:rFonts w:ascii="Arial Narrow" w:eastAsiaTheme="minorEastAsia" w:hAnsi="Arial Narrow"/>
                <w:sz w:val="18"/>
                <w:szCs w:val="18"/>
              </w:rPr>
              <w:t xml:space="preserve"> </w:t>
            </w:r>
            <w:r w:rsidRPr="005175AE">
              <w:rPr>
                <w:rFonts w:ascii="Arial Narrow" w:eastAsiaTheme="minorEastAsia" w:hAnsi="Arial Narrow"/>
                <w:sz w:val="18"/>
                <w:szCs w:val="18"/>
              </w:rPr>
              <w:t>30 mths</w:t>
            </w:r>
          </w:p>
          <w:p w14:paraId="4F48B160"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Assessed with: n/N (%), per patient</w:t>
            </w:r>
          </w:p>
        </w:tc>
        <w:tc>
          <w:tcPr>
            <w:tcW w:w="409" w:type="pct"/>
            <w:tcBorders>
              <w:top w:val="single" w:sz="4" w:space="0" w:color="auto"/>
              <w:left w:val="single" w:sz="4" w:space="0" w:color="auto"/>
              <w:bottom w:val="single" w:sz="4" w:space="0" w:color="auto"/>
              <w:right w:val="single" w:sz="4" w:space="0" w:color="auto"/>
            </w:tcBorders>
          </w:tcPr>
          <w:p w14:paraId="32C98E23"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Observational studies (k=20)</w:t>
            </w:r>
          </w:p>
        </w:tc>
        <w:tc>
          <w:tcPr>
            <w:tcW w:w="389" w:type="pct"/>
            <w:tcBorders>
              <w:top w:val="single" w:sz="4" w:space="0" w:color="auto"/>
              <w:left w:val="single" w:sz="4" w:space="0" w:color="auto"/>
              <w:bottom w:val="single" w:sz="4" w:space="0" w:color="auto"/>
              <w:right w:val="single" w:sz="4" w:space="0" w:color="auto"/>
            </w:tcBorders>
          </w:tcPr>
          <w:p w14:paraId="795E9B85"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1</w:t>
            </w:r>
          </w:p>
        </w:tc>
        <w:tc>
          <w:tcPr>
            <w:tcW w:w="431" w:type="pct"/>
            <w:tcBorders>
              <w:top w:val="single" w:sz="4" w:space="0" w:color="auto"/>
              <w:left w:val="single" w:sz="4" w:space="0" w:color="auto"/>
              <w:bottom w:val="single" w:sz="4" w:space="0" w:color="auto"/>
              <w:right w:val="single" w:sz="4" w:space="0" w:color="auto"/>
            </w:tcBorders>
          </w:tcPr>
          <w:p w14:paraId="3D81301B"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201F6024"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6EB800DE"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240642E8"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1F41744F"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2/916 (0.22%)</w:t>
            </w:r>
            <w:r w:rsidRPr="005175AE">
              <w:rPr>
                <w:rFonts w:ascii="Arial Narrow" w:hAnsi="Arial Narrow" w:cstheme="minorBidi"/>
                <w:sz w:val="18"/>
                <w:szCs w:val="18"/>
                <w:vertAlign w:val="superscript"/>
              </w:rPr>
              <w:t>2</w:t>
            </w:r>
          </w:p>
        </w:tc>
        <w:tc>
          <w:tcPr>
            <w:tcW w:w="373" w:type="pct"/>
            <w:tcBorders>
              <w:top w:val="single" w:sz="4" w:space="0" w:color="auto"/>
              <w:left w:val="single" w:sz="4" w:space="0" w:color="auto"/>
              <w:bottom w:val="single" w:sz="4" w:space="0" w:color="auto"/>
              <w:right w:val="single" w:sz="4" w:space="0" w:color="auto"/>
            </w:tcBorders>
          </w:tcPr>
          <w:p w14:paraId="2D17ACC1"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004B287B"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CRITICAL</w:t>
            </w:r>
          </w:p>
        </w:tc>
      </w:tr>
      <w:tr w:rsidR="005175AE" w:rsidRPr="005175AE" w14:paraId="55A22A71"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2423D6A1"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u w:val="single"/>
              </w:rPr>
              <w:t>RFA</w:t>
            </w:r>
          </w:p>
          <w:p w14:paraId="0DEDAED1" w14:textId="4D2E8B99" w:rsidR="005175AE" w:rsidRPr="005175AE" w:rsidRDefault="00A16D27" w:rsidP="009A6962">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w:t>
            </w:r>
            <w:r w:rsidRPr="00B9196A">
              <w:rPr>
                <w:rFonts w:ascii="Arial Narrow" w:eastAsiaTheme="minorEastAsia" w:hAnsi="Arial Narrow"/>
                <w:sz w:val="18"/>
                <w:szCs w:val="18"/>
              </w:rPr>
              <w:t>ollow up</w:t>
            </w:r>
            <w:r>
              <w:rPr>
                <w:rFonts w:ascii="Arial Narrow" w:eastAsiaTheme="minorEastAsia" w:hAnsi="Arial Narrow"/>
                <w:sz w:val="18"/>
                <w:szCs w:val="18"/>
              </w:rPr>
              <w:t>:</w:t>
            </w:r>
            <w:r w:rsidRPr="005175AE">
              <w:rPr>
                <w:rFonts w:ascii="Arial Narrow" w:eastAsiaTheme="minorEastAsia" w:hAnsi="Arial Narrow"/>
                <w:sz w:val="18"/>
                <w:szCs w:val="18"/>
              </w:rPr>
              <w:t xml:space="preserve"> </w:t>
            </w:r>
            <w:r>
              <w:rPr>
                <w:rFonts w:ascii="Arial Narrow" w:eastAsiaTheme="minorEastAsia" w:hAnsi="Arial Narrow"/>
                <w:sz w:val="18"/>
                <w:szCs w:val="18"/>
              </w:rPr>
              <w:t xml:space="preserve">range 10 </w:t>
            </w:r>
            <w:r w:rsidR="007E3D66">
              <w:rPr>
                <w:rFonts w:ascii="Arial Narrow" w:eastAsiaTheme="minorEastAsia" w:hAnsi="Arial Narrow"/>
                <w:sz w:val="18"/>
                <w:szCs w:val="18"/>
              </w:rPr>
              <w:t>–</w:t>
            </w:r>
            <w:r>
              <w:rPr>
                <w:rFonts w:ascii="Arial Narrow" w:eastAsiaTheme="minorEastAsia" w:hAnsi="Arial Narrow"/>
                <w:sz w:val="18"/>
                <w:szCs w:val="18"/>
              </w:rPr>
              <w:t xml:space="preserve"> 46 m</w:t>
            </w:r>
            <w:r w:rsidR="005175AE" w:rsidRPr="005175AE">
              <w:rPr>
                <w:rFonts w:ascii="Arial Narrow" w:eastAsiaTheme="minorEastAsia" w:hAnsi="Arial Narrow"/>
                <w:sz w:val="18"/>
                <w:szCs w:val="18"/>
              </w:rPr>
              <w:t>ths</w:t>
            </w:r>
          </w:p>
          <w:p w14:paraId="7258309C"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rPr>
              <w:t>Assessed with: n/N (%), per patient</w:t>
            </w:r>
          </w:p>
        </w:tc>
        <w:tc>
          <w:tcPr>
            <w:tcW w:w="409" w:type="pct"/>
            <w:tcBorders>
              <w:top w:val="single" w:sz="4" w:space="0" w:color="auto"/>
              <w:left w:val="single" w:sz="4" w:space="0" w:color="auto"/>
              <w:bottom w:val="single" w:sz="4" w:space="0" w:color="auto"/>
              <w:right w:val="single" w:sz="4" w:space="0" w:color="auto"/>
            </w:tcBorders>
          </w:tcPr>
          <w:p w14:paraId="3C4DC2B7"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Observational studies (k=17)</w:t>
            </w:r>
          </w:p>
        </w:tc>
        <w:tc>
          <w:tcPr>
            <w:tcW w:w="389" w:type="pct"/>
            <w:tcBorders>
              <w:top w:val="single" w:sz="4" w:space="0" w:color="auto"/>
              <w:left w:val="single" w:sz="4" w:space="0" w:color="auto"/>
              <w:bottom w:val="single" w:sz="4" w:space="0" w:color="auto"/>
              <w:right w:val="single" w:sz="4" w:space="0" w:color="auto"/>
            </w:tcBorders>
          </w:tcPr>
          <w:p w14:paraId="0E33ABA5"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1</w:t>
            </w:r>
          </w:p>
        </w:tc>
        <w:tc>
          <w:tcPr>
            <w:tcW w:w="431" w:type="pct"/>
            <w:tcBorders>
              <w:top w:val="single" w:sz="4" w:space="0" w:color="auto"/>
              <w:left w:val="single" w:sz="4" w:space="0" w:color="auto"/>
              <w:bottom w:val="single" w:sz="4" w:space="0" w:color="auto"/>
              <w:right w:val="single" w:sz="4" w:space="0" w:color="auto"/>
            </w:tcBorders>
          </w:tcPr>
          <w:p w14:paraId="6F4C7F27"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64B6ED6F"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58BF9550"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48CFFDAC"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6E4380A1"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1/1259 (&lt;0.1%)</w:t>
            </w:r>
          </w:p>
        </w:tc>
        <w:tc>
          <w:tcPr>
            <w:tcW w:w="373" w:type="pct"/>
            <w:tcBorders>
              <w:top w:val="single" w:sz="4" w:space="0" w:color="auto"/>
              <w:left w:val="single" w:sz="4" w:space="0" w:color="auto"/>
              <w:bottom w:val="single" w:sz="4" w:space="0" w:color="auto"/>
              <w:right w:val="single" w:sz="4" w:space="0" w:color="auto"/>
            </w:tcBorders>
          </w:tcPr>
          <w:p w14:paraId="2EAA95D4"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6142AADF"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IMPORTANT</w:t>
            </w:r>
          </w:p>
        </w:tc>
      </w:tr>
      <w:tr w:rsidR="005175AE" w:rsidRPr="005175AE" w14:paraId="5CE5453A"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49430D70"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u w:val="single"/>
              </w:rPr>
              <w:t>Radiotherapy</w:t>
            </w:r>
          </w:p>
          <w:p w14:paraId="2C675A1B" w14:textId="70B99B73" w:rsidR="005175AE" w:rsidRPr="005175AE" w:rsidRDefault="00A16D27" w:rsidP="009A6962">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 xml:space="preserve">Follow up: range 13 </w:t>
            </w:r>
            <w:r w:rsidR="007E3D66">
              <w:rPr>
                <w:rFonts w:ascii="Arial Narrow" w:eastAsiaTheme="minorEastAsia" w:hAnsi="Arial Narrow"/>
                <w:sz w:val="18"/>
                <w:szCs w:val="18"/>
              </w:rPr>
              <w:t>–</w:t>
            </w:r>
            <w:r>
              <w:rPr>
                <w:rFonts w:ascii="Arial Narrow" w:eastAsiaTheme="minorEastAsia" w:hAnsi="Arial Narrow"/>
                <w:sz w:val="18"/>
                <w:szCs w:val="18"/>
              </w:rPr>
              <w:t xml:space="preserve"> </w:t>
            </w:r>
            <w:r w:rsidR="005175AE" w:rsidRPr="005175AE">
              <w:rPr>
                <w:rFonts w:ascii="Arial Narrow" w:eastAsiaTheme="minorEastAsia" w:hAnsi="Arial Narrow"/>
                <w:sz w:val="18"/>
                <w:szCs w:val="18"/>
              </w:rPr>
              <w:t xml:space="preserve">82 </w:t>
            </w:r>
            <w:r>
              <w:rPr>
                <w:rFonts w:ascii="Arial Narrow" w:eastAsiaTheme="minorEastAsia" w:hAnsi="Arial Narrow"/>
                <w:sz w:val="18"/>
                <w:szCs w:val="18"/>
              </w:rPr>
              <w:t>mths</w:t>
            </w:r>
          </w:p>
          <w:p w14:paraId="3F0D38F3" w14:textId="51908407" w:rsidR="005175AE" w:rsidRPr="005175AE" w:rsidRDefault="005175AE" w:rsidP="00A16D27">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Assessed with: number of patients who died</w:t>
            </w:r>
          </w:p>
        </w:tc>
        <w:tc>
          <w:tcPr>
            <w:tcW w:w="409" w:type="pct"/>
            <w:tcBorders>
              <w:top w:val="single" w:sz="4" w:space="0" w:color="auto"/>
              <w:left w:val="single" w:sz="4" w:space="0" w:color="auto"/>
              <w:bottom w:val="single" w:sz="4" w:space="0" w:color="auto"/>
              <w:right w:val="single" w:sz="4" w:space="0" w:color="auto"/>
            </w:tcBorders>
          </w:tcPr>
          <w:p w14:paraId="794E8962"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Observational studies (k=17)</w:t>
            </w:r>
          </w:p>
        </w:tc>
        <w:tc>
          <w:tcPr>
            <w:tcW w:w="389" w:type="pct"/>
            <w:tcBorders>
              <w:top w:val="single" w:sz="4" w:space="0" w:color="auto"/>
              <w:left w:val="single" w:sz="4" w:space="0" w:color="auto"/>
              <w:bottom w:val="single" w:sz="4" w:space="0" w:color="auto"/>
              <w:right w:val="single" w:sz="4" w:space="0" w:color="auto"/>
            </w:tcBorders>
          </w:tcPr>
          <w:p w14:paraId="54F95CE7"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3</w:t>
            </w:r>
          </w:p>
        </w:tc>
        <w:tc>
          <w:tcPr>
            <w:tcW w:w="431" w:type="pct"/>
            <w:tcBorders>
              <w:top w:val="single" w:sz="4" w:space="0" w:color="auto"/>
              <w:left w:val="single" w:sz="4" w:space="0" w:color="auto"/>
              <w:bottom w:val="single" w:sz="4" w:space="0" w:color="auto"/>
              <w:right w:val="single" w:sz="4" w:space="0" w:color="auto"/>
            </w:tcBorders>
          </w:tcPr>
          <w:p w14:paraId="7D6DDDC2"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7AE1657E"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33FF8318"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6C54EDFB"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113AB437"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There were two cases of procedure-related mortality across all included 17 studies.</w:t>
            </w:r>
            <w:r w:rsidRPr="005175AE">
              <w:rPr>
                <w:rFonts w:ascii="Arial Narrow" w:hAnsi="Arial Narrow" w:cstheme="minorBidi"/>
                <w:sz w:val="18"/>
                <w:szCs w:val="18"/>
                <w:vertAlign w:val="superscript"/>
              </w:rPr>
              <w:t>4</w:t>
            </w:r>
          </w:p>
          <w:p w14:paraId="1420698A" w14:textId="77777777" w:rsidR="005175AE" w:rsidRPr="005175AE" w:rsidRDefault="005175AE" w:rsidP="009A6962">
            <w:pPr>
              <w:spacing w:before="40" w:after="40" w:line="288" w:lineRule="auto"/>
              <w:jc w:val="left"/>
              <w:rPr>
                <w:rFonts w:ascii="Arial Narrow" w:hAnsi="Arial Narrow" w:cstheme="minorBidi"/>
                <w:sz w:val="18"/>
                <w:szCs w:val="18"/>
              </w:rPr>
            </w:pPr>
          </w:p>
        </w:tc>
        <w:tc>
          <w:tcPr>
            <w:tcW w:w="373" w:type="pct"/>
            <w:tcBorders>
              <w:top w:val="single" w:sz="4" w:space="0" w:color="auto"/>
              <w:left w:val="single" w:sz="4" w:space="0" w:color="auto"/>
              <w:bottom w:val="single" w:sz="4" w:space="0" w:color="auto"/>
              <w:right w:val="single" w:sz="4" w:space="0" w:color="auto"/>
            </w:tcBorders>
          </w:tcPr>
          <w:p w14:paraId="3A7D9884"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7F50E16E"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IMPORTANT</w:t>
            </w:r>
          </w:p>
        </w:tc>
      </w:tr>
      <w:tr w:rsidR="005175AE" w:rsidRPr="005175AE" w14:paraId="31A90523"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629D9D1B"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u w:val="single"/>
              </w:rPr>
              <w:t>Surgery</w:t>
            </w:r>
          </w:p>
          <w:p w14:paraId="53A1093F" w14:textId="2ED8B21B" w:rsidR="005175AE" w:rsidRPr="005175AE" w:rsidRDefault="00A16D27" w:rsidP="009A6962">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Follow up</w:t>
            </w:r>
            <w:r w:rsidR="005175AE" w:rsidRPr="005175AE">
              <w:rPr>
                <w:rFonts w:ascii="Arial Narrow" w:eastAsiaTheme="minorEastAsia" w:hAnsi="Arial Narrow"/>
                <w:sz w:val="18"/>
                <w:szCs w:val="18"/>
              </w:rPr>
              <w:t>: NA</w:t>
            </w:r>
          </w:p>
          <w:p w14:paraId="63EC9A10"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Assessed with: number of patients who died</w:t>
            </w:r>
          </w:p>
        </w:tc>
        <w:tc>
          <w:tcPr>
            <w:tcW w:w="409" w:type="pct"/>
            <w:tcBorders>
              <w:top w:val="single" w:sz="4" w:space="0" w:color="auto"/>
              <w:left w:val="single" w:sz="4" w:space="0" w:color="auto"/>
              <w:bottom w:val="single" w:sz="4" w:space="0" w:color="auto"/>
              <w:right w:val="single" w:sz="4" w:space="0" w:color="auto"/>
            </w:tcBorders>
          </w:tcPr>
          <w:p w14:paraId="06DF5266"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Observational studies (k=3)</w:t>
            </w:r>
          </w:p>
        </w:tc>
        <w:tc>
          <w:tcPr>
            <w:tcW w:w="389" w:type="pct"/>
            <w:tcBorders>
              <w:top w:val="single" w:sz="4" w:space="0" w:color="auto"/>
              <w:left w:val="single" w:sz="4" w:space="0" w:color="auto"/>
              <w:bottom w:val="single" w:sz="4" w:space="0" w:color="auto"/>
              <w:right w:val="single" w:sz="4" w:space="0" w:color="auto"/>
            </w:tcBorders>
          </w:tcPr>
          <w:p w14:paraId="4068CCD3"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1</w:t>
            </w:r>
          </w:p>
        </w:tc>
        <w:tc>
          <w:tcPr>
            <w:tcW w:w="431" w:type="pct"/>
            <w:tcBorders>
              <w:top w:val="single" w:sz="4" w:space="0" w:color="auto"/>
              <w:left w:val="single" w:sz="4" w:space="0" w:color="auto"/>
              <w:bottom w:val="single" w:sz="4" w:space="0" w:color="auto"/>
              <w:right w:val="single" w:sz="4" w:space="0" w:color="auto"/>
            </w:tcBorders>
          </w:tcPr>
          <w:p w14:paraId="0F869638"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393D9479"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0A75AD4B"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5F85C6B9"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2A25950E" w14:textId="4BC56075"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u w:val="single"/>
              </w:rPr>
              <w:t>Pfannschmidt et al (2007):</w:t>
            </w:r>
            <w:r w:rsidRPr="005175AE">
              <w:rPr>
                <w:rFonts w:ascii="Arial Narrow" w:hAnsi="Arial Narrow" w:cstheme="minorBidi"/>
                <w:sz w:val="18"/>
                <w:szCs w:val="18"/>
              </w:rPr>
              <w:t xml:space="preserve">  postoperative mortality was reported by </w:t>
            </w:r>
            <w:r w:rsidR="00CC0BF2">
              <w:rPr>
                <w:rFonts w:ascii="Arial Narrow" w:hAnsi="Arial Narrow" w:cstheme="minorBidi"/>
                <w:sz w:val="18"/>
                <w:szCs w:val="18"/>
              </w:rPr>
              <w:t>4/20 studies, range</w:t>
            </w:r>
            <w:r w:rsidRPr="005175AE">
              <w:rPr>
                <w:rFonts w:ascii="Arial Narrow" w:hAnsi="Arial Narrow" w:cstheme="minorBidi"/>
                <w:sz w:val="18"/>
                <w:szCs w:val="18"/>
              </w:rPr>
              <w:t xml:space="preserve"> </w:t>
            </w:r>
            <w:r w:rsidR="00CC0BF2">
              <w:rPr>
                <w:rFonts w:ascii="Arial Narrow" w:hAnsi="Arial Narrow" w:cstheme="minorBidi"/>
                <w:sz w:val="18"/>
                <w:szCs w:val="18"/>
              </w:rPr>
              <w:t>0.0 to 2.5 %</w:t>
            </w:r>
          </w:p>
          <w:p w14:paraId="24F12C1B" w14:textId="76135F8F" w:rsidR="005175AE" w:rsidRPr="005175AE" w:rsidRDefault="005175AE" w:rsidP="00CC0BF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u w:val="single"/>
              </w:rPr>
              <w:t>Renaud et al (2014) and Kitano et al (2012):</w:t>
            </w:r>
            <w:r w:rsidRPr="005175AE">
              <w:rPr>
                <w:rFonts w:ascii="Arial Narrow" w:hAnsi="Arial Narrow" w:cstheme="minorBidi"/>
                <w:sz w:val="18"/>
                <w:szCs w:val="18"/>
              </w:rPr>
              <w:t xml:space="preserve"> 0/365 (0%)</w:t>
            </w:r>
          </w:p>
        </w:tc>
        <w:tc>
          <w:tcPr>
            <w:tcW w:w="373" w:type="pct"/>
            <w:tcBorders>
              <w:top w:val="single" w:sz="4" w:space="0" w:color="auto"/>
              <w:left w:val="single" w:sz="4" w:space="0" w:color="auto"/>
              <w:bottom w:val="single" w:sz="4" w:space="0" w:color="auto"/>
              <w:right w:val="single" w:sz="4" w:space="0" w:color="auto"/>
            </w:tcBorders>
          </w:tcPr>
          <w:p w14:paraId="5335C6F9"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511F1D04"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IMPORTANT</w:t>
            </w:r>
          </w:p>
        </w:tc>
      </w:tr>
      <w:tr w:rsidR="005175AE" w:rsidRPr="005175AE" w14:paraId="442326A1" w14:textId="77777777" w:rsidTr="00315B6D">
        <w:trPr>
          <w:trHeight w:val="319"/>
        </w:trPr>
        <w:tc>
          <w:tcPr>
            <w:tcW w:w="740" w:type="pct"/>
            <w:tcBorders>
              <w:top w:val="single" w:sz="4" w:space="0" w:color="auto"/>
              <w:left w:val="single" w:sz="4" w:space="0" w:color="auto"/>
              <w:bottom w:val="single" w:sz="4" w:space="0" w:color="auto"/>
            </w:tcBorders>
            <w:shd w:val="clear" w:color="auto" w:fill="D9D9D9" w:themeFill="background1" w:themeFillShade="D9"/>
          </w:tcPr>
          <w:p w14:paraId="3C36CBA8" w14:textId="77777777" w:rsidR="005175AE" w:rsidRPr="005175AE" w:rsidRDefault="005175AE" w:rsidP="009A6962">
            <w:pPr>
              <w:spacing w:before="40" w:after="40" w:line="288" w:lineRule="auto"/>
              <w:jc w:val="left"/>
              <w:rPr>
                <w:rFonts w:ascii="Arial Narrow" w:eastAsiaTheme="minorEastAsia" w:hAnsi="Arial Narrow"/>
                <w:b/>
                <w:sz w:val="18"/>
                <w:szCs w:val="18"/>
              </w:rPr>
            </w:pPr>
            <w:r w:rsidRPr="005175AE">
              <w:rPr>
                <w:rFonts w:ascii="Arial Narrow" w:eastAsiaTheme="minorEastAsia" w:hAnsi="Arial Narrow"/>
                <w:b/>
                <w:sz w:val="18"/>
                <w:szCs w:val="18"/>
              </w:rPr>
              <w:lastRenderedPageBreak/>
              <w:t>30-day mortality</w:t>
            </w:r>
          </w:p>
        </w:tc>
        <w:tc>
          <w:tcPr>
            <w:tcW w:w="409" w:type="pct"/>
            <w:tcBorders>
              <w:top w:val="single" w:sz="4" w:space="0" w:color="auto"/>
              <w:bottom w:val="single" w:sz="4" w:space="0" w:color="auto"/>
            </w:tcBorders>
            <w:shd w:val="clear" w:color="auto" w:fill="D9D9D9" w:themeFill="background1" w:themeFillShade="D9"/>
          </w:tcPr>
          <w:p w14:paraId="1D2FD1DC" w14:textId="77777777" w:rsidR="005175AE" w:rsidRPr="005175AE" w:rsidRDefault="005175AE" w:rsidP="009A6962">
            <w:pPr>
              <w:spacing w:before="40" w:after="40" w:line="288" w:lineRule="auto"/>
              <w:jc w:val="left"/>
              <w:rPr>
                <w:rFonts w:ascii="Arial Narrow" w:eastAsiaTheme="minorEastAsia" w:hAnsi="Arial Narrow"/>
                <w:sz w:val="18"/>
                <w:szCs w:val="18"/>
              </w:rPr>
            </w:pPr>
          </w:p>
        </w:tc>
        <w:tc>
          <w:tcPr>
            <w:tcW w:w="389" w:type="pct"/>
            <w:tcBorders>
              <w:top w:val="single" w:sz="4" w:space="0" w:color="auto"/>
              <w:bottom w:val="single" w:sz="4" w:space="0" w:color="auto"/>
            </w:tcBorders>
            <w:shd w:val="clear" w:color="auto" w:fill="D9D9D9" w:themeFill="background1" w:themeFillShade="D9"/>
          </w:tcPr>
          <w:p w14:paraId="4E92B8FE" w14:textId="77777777" w:rsidR="005175AE" w:rsidRPr="005175AE" w:rsidRDefault="005175AE" w:rsidP="009A6962">
            <w:pPr>
              <w:spacing w:before="40" w:after="40" w:line="288" w:lineRule="auto"/>
              <w:rPr>
                <w:rFonts w:ascii="Arial Narrow" w:hAnsi="Arial Narrow" w:cstheme="minorBidi"/>
                <w:sz w:val="18"/>
                <w:szCs w:val="18"/>
              </w:rPr>
            </w:pPr>
          </w:p>
        </w:tc>
        <w:tc>
          <w:tcPr>
            <w:tcW w:w="431" w:type="pct"/>
            <w:tcBorders>
              <w:top w:val="single" w:sz="4" w:space="0" w:color="auto"/>
              <w:bottom w:val="single" w:sz="4" w:space="0" w:color="auto"/>
            </w:tcBorders>
            <w:shd w:val="clear" w:color="auto" w:fill="D9D9D9" w:themeFill="background1" w:themeFillShade="D9"/>
          </w:tcPr>
          <w:p w14:paraId="6DCFBA78" w14:textId="77777777" w:rsidR="005175AE" w:rsidRPr="005175AE" w:rsidRDefault="005175AE" w:rsidP="009A6962">
            <w:pPr>
              <w:spacing w:before="40" w:after="40" w:line="288" w:lineRule="auto"/>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55317166" w14:textId="77777777" w:rsidR="005175AE" w:rsidRPr="005175AE" w:rsidRDefault="005175AE" w:rsidP="009A6962">
            <w:pPr>
              <w:spacing w:before="40" w:after="40" w:line="288" w:lineRule="auto"/>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64D82DCB" w14:textId="77777777" w:rsidR="005175AE" w:rsidRPr="005175AE" w:rsidRDefault="005175AE" w:rsidP="009A6962">
            <w:pPr>
              <w:spacing w:before="40" w:after="40" w:line="288" w:lineRule="auto"/>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5461B97C" w14:textId="77777777" w:rsidR="005175AE" w:rsidRPr="005175AE" w:rsidRDefault="005175AE" w:rsidP="009A6962">
            <w:pPr>
              <w:spacing w:before="40" w:after="40" w:line="288" w:lineRule="auto"/>
              <w:jc w:val="left"/>
              <w:rPr>
                <w:rFonts w:ascii="Arial Narrow" w:hAnsi="Arial Narrow" w:cstheme="minorBidi"/>
                <w:sz w:val="18"/>
                <w:szCs w:val="18"/>
              </w:rPr>
            </w:pPr>
          </w:p>
        </w:tc>
        <w:tc>
          <w:tcPr>
            <w:tcW w:w="927" w:type="pct"/>
            <w:tcBorders>
              <w:top w:val="single" w:sz="4" w:space="0" w:color="auto"/>
              <w:bottom w:val="single" w:sz="4" w:space="0" w:color="auto"/>
            </w:tcBorders>
            <w:shd w:val="clear" w:color="auto" w:fill="D9D9D9" w:themeFill="background1" w:themeFillShade="D9"/>
          </w:tcPr>
          <w:p w14:paraId="4415A3BC" w14:textId="77777777" w:rsidR="005175AE" w:rsidRPr="005175AE" w:rsidRDefault="005175AE" w:rsidP="009A6962">
            <w:pPr>
              <w:spacing w:before="40" w:after="40" w:line="288" w:lineRule="auto"/>
              <w:jc w:val="left"/>
              <w:rPr>
                <w:rFonts w:ascii="Arial Narrow" w:hAnsi="Arial Narrow" w:cstheme="minorBidi"/>
                <w:sz w:val="18"/>
                <w:szCs w:val="18"/>
              </w:rPr>
            </w:pPr>
          </w:p>
        </w:tc>
        <w:tc>
          <w:tcPr>
            <w:tcW w:w="373" w:type="pct"/>
            <w:tcBorders>
              <w:top w:val="single" w:sz="4" w:space="0" w:color="auto"/>
              <w:bottom w:val="single" w:sz="4" w:space="0" w:color="auto"/>
            </w:tcBorders>
            <w:shd w:val="clear" w:color="auto" w:fill="D9D9D9" w:themeFill="background1" w:themeFillShade="D9"/>
          </w:tcPr>
          <w:p w14:paraId="0D374D66" w14:textId="77777777" w:rsidR="005175AE" w:rsidRPr="005175AE" w:rsidRDefault="005175AE" w:rsidP="009A6962">
            <w:pPr>
              <w:spacing w:before="40" w:after="40" w:line="288" w:lineRule="auto"/>
              <w:jc w:val="center"/>
              <w:rPr>
                <w:rFonts w:ascii="Cambria Math" w:hAnsi="Cambria Math" w:cs="Cambria Math"/>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1DA0FD53" w14:textId="77777777" w:rsidR="005175AE" w:rsidRPr="005175AE" w:rsidRDefault="005175AE" w:rsidP="00315B6D">
            <w:pPr>
              <w:spacing w:before="40" w:after="40" w:line="288" w:lineRule="auto"/>
              <w:jc w:val="left"/>
              <w:rPr>
                <w:rFonts w:ascii="Arial Narrow" w:hAnsi="Arial Narrow" w:cstheme="minorBidi"/>
                <w:sz w:val="18"/>
                <w:szCs w:val="18"/>
              </w:rPr>
            </w:pPr>
          </w:p>
        </w:tc>
      </w:tr>
      <w:tr w:rsidR="005175AE" w:rsidRPr="005175AE" w14:paraId="456AE916"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138DC149" w14:textId="1CB2980B"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u w:val="single"/>
              </w:rPr>
              <w:t>MTA</w:t>
            </w:r>
            <w:r w:rsidRPr="005175AE">
              <w:rPr>
                <w:rFonts w:ascii="Arial Narrow" w:eastAsiaTheme="minorEastAsia" w:hAnsi="Arial Narrow"/>
                <w:sz w:val="18"/>
                <w:szCs w:val="18"/>
              </w:rPr>
              <w:br/>
            </w:r>
            <w:r w:rsidR="00D571F8">
              <w:rPr>
                <w:rFonts w:ascii="Arial Narrow" w:eastAsiaTheme="minorEastAsia" w:hAnsi="Arial Narrow"/>
                <w:sz w:val="18"/>
                <w:szCs w:val="18"/>
              </w:rPr>
              <w:t>Follow up</w:t>
            </w:r>
            <w:r w:rsidR="00D571F8" w:rsidRPr="005175AE">
              <w:rPr>
                <w:rFonts w:ascii="Arial Narrow" w:eastAsiaTheme="minorEastAsia" w:hAnsi="Arial Narrow"/>
                <w:sz w:val="18"/>
                <w:szCs w:val="18"/>
              </w:rPr>
              <w:t>:</w:t>
            </w:r>
            <w:r w:rsidRPr="005175AE">
              <w:rPr>
                <w:rFonts w:ascii="Arial Narrow" w:eastAsiaTheme="minorEastAsia" w:hAnsi="Arial Narrow"/>
                <w:sz w:val="18"/>
                <w:szCs w:val="18"/>
              </w:rPr>
              <w:t xml:space="preserve"> range 6 </w:t>
            </w:r>
            <w:r w:rsidR="007E3D66">
              <w:rPr>
                <w:rFonts w:ascii="Arial Narrow" w:eastAsiaTheme="minorEastAsia" w:hAnsi="Arial Narrow"/>
                <w:sz w:val="18"/>
                <w:szCs w:val="18"/>
              </w:rPr>
              <w:t>–</w:t>
            </w:r>
            <w:r w:rsidRPr="005175AE">
              <w:rPr>
                <w:rFonts w:ascii="Arial Narrow" w:eastAsiaTheme="minorEastAsia" w:hAnsi="Arial Narrow"/>
                <w:sz w:val="18"/>
                <w:szCs w:val="18"/>
              </w:rPr>
              <w:t xml:space="preserve"> 30 </w:t>
            </w:r>
            <w:r w:rsidR="00D571F8">
              <w:rPr>
                <w:rFonts w:ascii="Arial Narrow" w:eastAsiaTheme="minorEastAsia" w:hAnsi="Arial Narrow"/>
                <w:sz w:val="18"/>
                <w:szCs w:val="18"/>
              </w:rPr>
              <w:t>mths</w:t>
            </w:r>
          </w:p>
          <w:p w14:paraId="403CDC58"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Assessed with: n/N (%), per patient</w:t>
            </w:r>
          </w:p>
        </w:tc>
        <w:tc>
          <w:tcPr>
            <w:tcW w:w="409" w:type="pct"/>
            <w:tcBorders>
              <w:top w:val="single" w:sz="4" w:space="0" w:color="auto"/>
              <w:left w:val="single" w:sz="4" w:space="0" w:color="auto"/>
              <w:bottom w:val="single" w:sz="4" w:space="0" w:color="auto"/>
              <w:right w:val="single" w:sz="4" w:space="0" w:color="auto"/>
            </w:tcBorders>
          </w:tcPr>
          <w:p w14:paraId="79DDF91A"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hAnsi="Arial Narrow" w:cstheme="minorBidi"/>
                <w:sz w:val="18"/>
                <w:szCs w:val="18"/>
              </w:rPr>
              <w:t>Observational studies (k=16)</w:t>
            </w:r>
          </w:p>
        </w:tc>
        <w:tc>
          <w:tcPr>
            <w:tcW w:w="389" w:type="pct"/>
            <w:tcBorders>
              <w:top w:val="single" w:sz="4" w:space="0" w:color="auto"/>
              <w:left w:val="single" w:sz="4" w:space="0" w:color="auto"/>
              <w:bottom w:val="single" w:sz="4" w:space="0" w:color="auto"/>
              <w:right w:val="single" w:sz="4" w:space="0" w:color="auto"/>
            </w:tcBorders>
          </w:tcPr>
          <w:p w14:paraId="53AA522E"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1</w:t>
            </w:r>
          </w:p>
        </w:tc>
        <w:tc>
          <w:tcPr>
            <w:tcW w:w="431" w:type="pct"/>
            <w:tcBorders>
              <w:top w:val="single" w:sz="4" w:space="0" w:color="auto"/>
              <w:left w:val="single" w:sz="4" w:space="0" w:color="auto"/>
              <w:bottom w:val="single" w:sz="4" w:space="0" w:color="auto"/>
              <w:right w:val="single" w:sz="4" w:space="0" w:color="auto"/>
            </w:tcBorders>
          </w:tcPr>
          <w:p w14:paraId="481F92BD"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7E4D494D"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76021DB5"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4A3AAA01"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4798CEF1"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1/739 (0.14%)</w:t>
            </w:r>
          </w:p>
        </w:tc>
        <w:tc>
          <w:tcPr>
            <w:tcW w:w="373" w:type="pct"/>
            <w:tcBorders>
              <w:top w:val="single" w:sz="4" w:space="0" w:color="auto"/>
              <w:left w:val="single" w:sz="4" w:space="0" w:color="auto"/>
              <w:bottom w:val="single" w:sz="4" w:space="0" w:color="auto"/>
              <w:right w:val="single" w:sz="4" w:space="0" w:color="auto"/>
            </w:tcBorders>
          </w:tcPr>
          <w:p w14:paraId="4C47C094"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77B3BD1D"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CRITICAL</w:t>
            </w:r>
          </w:p>
        </w:tc>
      </w:tr>
      <w:tr w:rsidR="005175AE" w:rsidRPr="005175AE" w14:paraId="7EC5B503"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317CCC08"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u w:val="single"/>
              </w:rPr>
              <w:t>RFA</w:t>
            </w:r>
          </w:p>
          <w:p w14:paraId="1BAC1CFC" w14:textId="39BE48B8" w:rsidR="005175AE" w:rsidRPr="005175AE" w:rsidRDefault="00D571F8" w:rsidP="009A6962">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Follow up</w:t>
            </w:r>
            <w:r w:rsidRPr="005175AE">
              <w:rPr>
                <w:rFonts w:ascii="Arial Narrow" w:eastAsiaTheme="minorEastAsia" w:hAnsi="Arial Narrow"/>
                <w:sz w:val="18"/>
                <w:szCs w:val="18"/>
              </w:rPr>
              <w:t xml:space="preserve">: </w:t>
            </w:r>
            <w:r>
              <w:rPr>
                <w:rFonts w:ascii="Arial Narrow" w:eastAsiaTheme="minorEastAsia" w:hAnsi="Arial Narrow"/>
                <w:sz w:val="18"/>
                <w:szCs w:val="18"/>
              </w:rPr>
              <w:t xml:space="preserve">range 10 </w:t>
            </w:r>
            <w:r w:rsidR="007E3D66">
              <w:rPr>
                <w:rFonts w:ascii="Arial Narrow" w:eastAsiaTheme="minorEastAsia" w:hAnsi="Arial Narrow"/>
                <w:sz w:val="18"/>
                <w:szCs w:val="18"/>
              </w:rPr>
              <w:t>–</w:t>
            </w:r>
            <w:r>
              <w:rPr>
                <w:rFonts w:ascii="Arial Narrow" w:eastAsiaTheme="minorEastAsia" w:hAnsi="Arial Narrow"/>
                <w:sz w:val="18"/>
                <w:szCs w:val="18"/>
              </w:rPr>
              <w:t xml:space="preserve"> </w:t>
            </w:r>
            <w:r w:rsidR="005175AE" w:rsidRPr="005175AE">
              <w:rPr>
                <w:rFonts w:ascii="Arial Narrow" w:eastAsiaTheme="minorEastAsia" w:hAnsi="Arial Narrow"/>
                <w:sz w:val="18"/>
                <w:szCs w:val="18"/>
              </w:rPr>
              <w:t xml:space="preserve">36 </w:t>
            </w:r>
            <w:r>
              <w:rPr>
                <w:rFonts w:ascii="Arial Narrow" w:eastAsiaTheme="minorEastAsia" w:hAnsi="Arial Narrow"/>
                <w:sz w:val="18"/>
                <w:szCs w:val="18"/>
              </w:rPr>
              <w:t>mths</w:t>
            </w:r>
          </w:p>
          <w:p w14:paraId="34E0AD5D"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rPr>
              <w:t>Assessed with: n/N (%), per patient</w:t>
            </w:r>
          </w:p>
        </w:tc>
        <w:tc>
          <w:tcPr>
            <w:tcW w:w="409" w:type="pct"/>
            <w:tcBorders>
              <w:top w:val="single" w:sz="4" w:space="0" w:color="auto"/>
              <w:left w:val="single" w:sz="4" w:space="0" w:color="auto"/>
              <w:bottom w:val="single" w:sz="4" w:space="0" w:color="auto"/>
              <w:right w:val="single" w:sz="4" w:space="0" w:color="auto"/>
            </w:tcBorders>
          </w:tcPr>
          <w:p w14:paraId="2A679D02"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Observational studies (k=8)</w:t>
            </w:r>
          </w:p>
        </w:tc>
        <w:tc>
          <w:tcPr>
            <w:tcW w:w="389" w:type="pct"/>
            <w:tcBorders>
              <w:top w:val="single" w:sz="4" w:space="0" w:color="auto"/>
              <w:left w:val="single" w:sz="4" w:space="0" w:color="auto"/>
              <w:bottom w:val="single" w:sz="4" w:space="0" w:color="auto"/>
              <w:right w:val="single" w:sz="4" w:space="0" w:color="auto"/>
            </w:tcBorders>
          </w:tcPr>
          <w:p w14:paraId="63FF0F7F"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1</w:t>
            </w:r>
          </w:p>
        </w:tc>
        <w:tc>
          <w:tcPr>
            <w:tcW w:w="431" w:type="pct"/>
            <w:tcBorders>
              <w:top w:val="single" w:sz="4" w:space="0" w:color="auto"/>
              <w:left w:val="single" w:sz="4" w:space="0" w:color="auto"/>
              <w:bottom w:val="single" w:sz="4" w:space="0" w:color="auto"/>
              <w:right w:val="single" w:sz="4" w:space="0" w:color="auto"/>
            </w:tcBorders>
          </w:tcPr>
          <w:p w14:paraId="4B0256B3"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33C4E985"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243F5AA6"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2D856926"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721F9E49"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2/810 (&lt;0.1%)</w:t>
            </w:r>
          </w:p>
        </w:tc>
        <w:tc>
          <w:tcPr>
            <w:tcW w:w="373" w:type="pct"/>
            <w:tcBorders>
              <w:top w:val="single" w:sz="4" w:space="0" w:color="auto"/>
              <w:left w:val="single" w:sz="4" w:space="0" w:color="auto"/>
              <w:bottom w:val="single" w:sz="4" w:space="0" w:color="auto"/>
              <w:right w:val="single" w:sz="4" w:space="0" w:color="auto"/>
            </w:tcBorders>
          </w:tcPr>
          <w:p w14:paraId="42083B4C"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50D7B849"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IMPORTANT</w:t>
            </w:r>
          </w:p>
        </w:tc>
      </w:tr>
      <w:tr w:rsidR="005175AE" w:rsidRPr="005175AE" w14:paraId="732524AB"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01BE34E5"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u w:val="single"/>
              </w:rPr>
              <w:t>Radiotherapy</w:t>
            </w:r>
          </w:p>
          <w:p w14:paraId="78FFF1F5" w14:textId="01E89533" w:rsidR="005175AE" w:rsidRPr="005175AE" w:rsidRDefault="00D571F8" w:rsidP="009A6962">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Follow up</w:t>
            </w:r>
            <w:r w:rsidRPr="005175AE">
              <w:rPr>
                <w:rFonts w:ascii="Arial Narrow" w:eastAsiaTheme="minorEastAsia" w:hAnsi="Arial Narrow"/>
                <w:sz w:val="18"/>
                <w:szCs w:val="18"/>
              </w:rPr>
              <w:t xml:space="preserve">: </w:t>
            </w:r>
            <w:r>
              <w:rPr>
                <w:rFonts w:ascii="Arial Narrow" w:eastAsiaTheme="minorEastAsia" w:hAnsi="Arial Narrow"/>
                <w:sz w:val="18"/>
                <w:szCs w:val="18"/>
              </w:rPr>
              <w:t xml:space="preserve">range 13 </w:t>
            </w:r>
            <w:r w:rsidR="007E3D66">
              <w:rPr>
                <w:rFonts w:ascii="Arial Narrow" w:eastAsiaTheme="minorEastAsia" w:hAnsi="Arial Narrow"/>
                <w:sz w:val="18"/>
                <w:szCs w:val="18"/>
              </w:rPr>
              <w:t>–</w:t>
            </w:r>
            <w:r>
              <w:rPr>
                <w:rFonts w:ascii="Arial Narrow" w:eastAsiaTheme="minorEastAsia" w:hAnsi="Arial Narrow"/>
                <w:sz w:val="18"/>
                <w:szCs w:val="18"/>
              </w:rPr>
              <w:t xml:space="preserve"> </w:t>
            </w:r>
            <w:r w:rsidR="005175AE" w:rsidRPr="005175AE">
              <w:rPr>
                <w:rFonts w:ascii="Arial Narrow" w:eastAsiaTheme="minorEastAsia" w:hAnsi="Arial Narrow"/>
                <w:sz w:val="18"/>
                <w:szCs w:val="18"/>
              </w:rPr>
              <w:t xml:space="preserve">82 </w:t>
            </w:r>
            <w:r>
              <w:rPr>
                <w:rFonts w:ascii="Arial Narrow" w:eastAsiaTheme="minorEastAsia" w:hAnsi="Arial Narrow"/>
                <w:sz w:val="18"/>
                <w:szCs w:val="18"/>
              </w:rPr>
              <w:t>mths</w:t>
            </w:r>
          </w:p>
          <w:p w14:paraId="0DF229C3"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rPr>
              <w:t>Assessed with: number of patients who died</w:t>
            </w:r>
          </w:p>
        </w:tc>
        <w:tc>
          <w:tcPr>
            <w:tcW w:w="409" w:type="pct"/>
            <w:tcBorders>
              <w:top w:val="single" w:sz="4" w:space="0" w:color="auto"/>
              <w:left w:val="single" w:sz="4" w:space="0" w:color="auto"/>
              <w:bottom w:val="single" w:sz="4" w:space="0" w:color="auto"/>
              <w:right w:val="single" w:sz="4" w:space="0" w:color="auto"/>
            </w:tcBorders>
          </w:tcPr>
          <w:p w14:paraId="1E38DBA8"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Observational studies (k=17)</w:t>
            </w:r>
          </w:p>
        </w:tc>
        <w:tc>
          <w:tcPr>
            <w:tcW w:w="389" w:type="pct"/>
            <w:tcBorders>
              <w:top w:val="single" w:sz="4" w:space="0" w:color="auto"/>
              <w:left w:val="single" w:sz="4" w:space="0" w:color="auto"/>
              <w:bottom w:val="single" w:sz="4" w:space="0" w:color="auto"/>
              <w:right w:val="single" w:sz="4" w:space="0" w:color="auto"/>
            </w:tcBorders>
          </w:tcPr>
          <w:p w14:paraId="064F9041"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3</w:t>
            </w:r>
          </w:p>
        </w:tc>
        <w:tc>
          <w:tcPr>
            <w:tcW w:w="431" w:type="pct"/>
            <w:tcBorders>
              <w:top w:val="single" w:sz="4" w:space="0" w:color="auto"/>
              <w:left w:val="single" w:sz="4" w:space="0" w:color="auto"/>
              <w:bottom w:val="single" w:sz="4" w:space="0" w:color="auto"/>
              <w:right w:val="single" w:sz="4" w:space="0" w:color="auto"/>
            </w:tcBorders>
          </w:tcPr>
          <w:p w14:paraId="355DC762"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69B6D629"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2642E1C0"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6EDB4A14"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6DB5DE78"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No deaths within 30 days were reported by any study.</w:t>
            </w:r>
          </w:p>
        </w:tc>
        <w:tc>
          <w:tcPr>
            <w:tcW w:w="373" w:type="pct"/>
            <w:tcBorders>
              <w:top w:val="single" w:sz="4" w:space="0" w:color="auto"/>
              <w:left w:val="single" w:sz="4" w:space="0" w:color="auto"/>
              <w:bottom w:val="single" w:sz="4" w:space="0" w:color="auto"/>
              <w:right w:val="single" w:sz="4" w:space="0" w:color="auto"/>
            </w:tcBorders>
          </w:tcPr>
          <w:p w14:paraId="75248F83"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16A2806A"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IMPORTANT</w:t>
            </w:r>
          </w:p>
        </w:tc>
      </w:tr>
      <w:tr w:rsidR="005175AE" w:rsidRPr="005175AE" w14:paraId="67F4C473"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72FC9CDE"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u w:val="single"/>
              </w:rPr>
              <w:t>Surgery</w:t>
            </w:r>
          </w:p>
          <w:p w14:paraId="601AEE74" w14:textId="07E2BD0B" w:rsidR="005175AE" w:rsidRPr="005175AE" w:rsidRDefault="00D571F8" w:rsidP="009A6962">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Follow up</w:t>
            </w:r>
            <w:r w:rsidRPr="005175AE">
              <w:rPr>
                <w:rFonts w:ascii="Arial Narrow" w:eastAsiaTheme="minorEastAsia" w:hAnsi="Arial Narrow"/>
                <w:sz w:val="18"/>
                <w:szCs w:val="18"/>
              </w:rPr>
              <w:t>:</w:t>
            </w:r>
            <w:r w:rsidR="005175AE" w:rsidRPr="005175AE">
              <w:rPr>
                <w:rFonts w:ascii="Arial Narrow" w:eastAsiaTheme="minorEastAsia" w:hAnsi="Arial Narrow"/>
                <w:sz w:val="18"/>
                <w:szCs w:val="18"/>
              </w:rPr>
              <w:t xml:space="preserve"> NA</w:t>
            </w:r>
          </w:p>
          <w:p w14:paraId="043AB116"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Assessed with: n/N (%), per patient</w:t>
            </w:r>
          </w:p>
        </w:tc>
        <w:tc>
          <w:tcPr>
            <w:tcW w:w="409" w:type="pct"/>
            <w:tcBorders>
              <w:top w:val="single" w:sz="4" w:space="0" w:color="auto"/>
              <w:left w:val="single" w:sz="4" w:space="0" w:color="auto"/>
              <w:bottom w:val="single" w:sz="4" w:space="0" w:color="auto"/>
              <w:right w:val="single" w:sz="4" w:space="0" w:color="auto"/>
            </w:tcBorders>
          </w:tcPr>
          <w:p w14:paraId="5AA83D68"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Observational studies (k=4)</w:t>
            </w:r>
          </w:p>
        </w:tc>
        <w:tc>
          <w:tcPr>
            <w:tcW w:w="389" w:type="pct"/>
            <w:tcBorders>
              <w:top w:val="single" w:sz="4" w:space="0" w:color="auto"/>
              <w:left w:val="single" w:sz="4" w:space="0" w:color="auto"/>
              <w:bottom w:val="single" w:sz="4" w:space="0" w:color="auto"/>
              <w:right w:val="single" w:sz="4" w:space="0" w:color="auto"/>
            </w:tcBorders>
          </w:tcPr>
          <w:p w14:paraId="0348A344"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1</w:t>
            </w:r>
          </w:p>
        </w:tc>
        <w:tc>
          <w:tcPr>
            <w:tcW w:w="431" w:type="pct"/>
            <w:tcBorders>
              <w:top w:val="single" w:sz="4" w:space="0" w:color="auto"/>
              <w:left w:val="single" w:sz="4" w:space="0" w:color="auto"/>
              <w:bottom w:val="single" w:sz="4" w:space="0" w:color="auto"/>
              <w:right w:val="single" w:sz="4" w:space="0" w:color="auto"/>
            </w:tcBorders>
          </w:tcPr>
          <w:p w14:paraId="14AC0B12"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27318131"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31360281"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000AD034"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39E21D5A"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10/1,499 (0.67%)</w:t>
            </w:r>
          </w:p>
        </w:tc>
        <w:tc>
          <w:tcPr>
            <w:tcW w:w="373" w:type="pct"/>
            <w:tcBorders>
              <w:top w:val="single" w:sz="4" w:space="0" w:color="auto"/>
              <w:left w:val="single" w:sz="4" w:space="0" w:color="auto"/>
              <w:bottom w:val="single" w:sz="4" w:space="0" w:color="auto"/>
              <w:right w:val="single" w:sz="4" w:space="0" w:color="auto"/>
            </w:tcBorders>
          </w:tcPr>
          <w:p w14:paraId="328CE3F5"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62120272"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IMPORTANT</w:t>
            </w:r>
          </w:p>
        </w:tc>
      </w:tr>
      <w:tr w:rsidR="005175AE" w:rsidRPr="005175AE" w14:paraId="76C51870" w14:textId="77777777" w:rsidTr="00315B6D">
        <w:trPr>
          <w:trHeight w:val="319"/>
        </w:trPr>
        <w:tc>
          <w:tcPr>
            <w:tcW w:w="740" w:type="pct"/>
            <w:tcBorders>
              <w:top w:val="single" w:sz="4" w:space="0" w:color="auto"/>
              <w:left w:val="single" w:sz="4" w:space="0" w:color="auto"/>
              <w:bottom w:val="single" w:sz="4" w:space="0" w:color="auto"/>
            </w:tcBorders>
            <w:shd w:val="clear" w:color="auto" w:fill="D9D9D9" w:themeFill="background1" w:themeFillShade="D9"/>
          </w:tcPr>
          <w:p w14:paraId="34216557" w14:textId="77777777" w:rsidR="005175AE" w:rsidRPr="005175AE" w:rsidRDefault="005175AE" w:rsidP="009A6962">
            <w:pPr>
              <w:spacing w:before="40" w:after="40" w:line="288" w:lineRule="auto"/>
              <w:jc w:val="left"/>
              <w:rPr>
                <w:rFonts w:ascii="Arial Narrow" w:eastAsiaTheme="minorEastAsia" w:hAnsi="Arial Narrow"/>
                <w:b/>
                <w:sz w:val="18"/>
                <w:szCs w:val="18"/>
              </w:rPr>
            </w:pPr>
            <w:r w:rsidRPr="005175AE">
              <w:rPr>
                <w:rFonts w:ascii="Arial Narrow" w:eastAsiaTheme="minorEastAsia" w:hAnsi="Arial Narrow"/>
                <w:b/>
                <w:sz w:val="18"/>
                <w:szCs w:val="18"/>
              </w:rPr>
              <w:t>Pneumothorax</w:t>
            </w:r>
          </w:p>
        </w:tc>
        <w:tc>
          <w:tcPr>
            <w:tcW w:w="409" w:type="pct"/>
            <w:tcBorders>
              <w:top w:val="single" w:sz="4" w:space="0" w:color="auto"/>
              <w:bottom w:val="single" w:sz="4" w:space="0" w:color="auto"/>
            </w:tcBorders>
            <w:shd w:val="clear" w:color="auto" w:fill="D9D9D9" w:themeFill="background1" w:themeFillShade="D9"/>
          </w:tcPr>
          <w:p w14:paraId="00399439" w14:textId="77777777" w:rsidR="005175AE" w:rsidRPr="005175AE" w:rsidRDefault="005175AE" w:rsidP="009A6962">
            <w:pPr>
              <w:spacing w:before="40" w:after="40" w:line="288" w:lineRule="auto"/>
              <w:jc w:val="left"/>
              <w:rPr>
                <w:rFonts w:ascii="Arial Narrow" w:eastAsiaTheme="minorEastAsia" w:hAnsi="Arial Narrow"/>
                <w:sz w:val="18"/>
                <w:szCs w:val="18"/>
              </w:rPr>
            </w:pPr>
          </w:p>
        </w:tc>
        <w:tc>
          <w:tcPr>
            <w:tcW w:w="389" w:type="pct"/>
            <w:tcBorders>
              <w:top w:val="single" w:sz="4" w:space="0" w:color="auto"/>
              <w:bottom w:val="single" w:sz="4" w:space="0" w:color="auto"/>
            </w:tcBorders>
            <w:shd w:val="clear" w:color="auto" w:fill="D9D9D9" w:themeFill="background1" w:themeFillShade="D9"/>
          </w:tcPr>
          <w:p w14:paraId="3BF80B79" w14:textId="77777777" w:rsidR="005175AE" w:rsidRPr="005175AE" w:rsidRDefault="005175AE" w:rsidP="009A6962">
            <w:pPr>
              <w:spacing w:before="40" w:after="40" w:line="288" w:lineRule="auto"/>
              <w:rPr>
                <w:rFonts w:ascii="Arial Narrow" w:hAnsi="Arial Narrow" w:cstheme="minorBidi"/>
                <w:sz w:val="18"/>
                <w:szCs w:val="18"/>
              </w:rPr>
            </w:pPr>
          </w:p>
        </w:tc>
        <w:tc>
          <w:tcPr>
            <w:tcW w:w="431" w:type="pct"/>
            <w:tcBorders>
              <w:top w:val="single" w:sz="4" w:space="0" w:color="auto"/>
              <w:bottom w:val="single" w:sz="4" w:space="0" w:color="auto"/>
            </w:tcBorders>
            <w:shd w:val="clear" w:color="auto" w:fill="D9D9D9" w:themeFill="background1" w:themeFillShade="D9"/>
          </w:tcPr>
          <w:p w14:paraId="35DD06B6" w14:textId="77777777" w:rsidR="005175AE" w:rsidRPr="005175AE" w:rsidRDefault="005175AE" w:rsidP="009A6962">
            <w:pPr>
              <w:spacing w:before="40" w:after="40" w:line="288" w:lineRule="auto"/>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7B574F9A" w14:textId="77777777" w:rsidR="005175AE" w:rsidRPr="005175AE" w:rsidRDefault="005175AE" w:rsidP="009A6962">
            <w:pPr>
              <w:spacing w:before="40" w:after="40" w:line="288" w:lineRule="auto"/>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5F95BED4" w14:textId="77777777" w:rsidR="005175AE" w:rsidRPr="005175AE" w:rsidRDefault="005175AE" w:rsidP="009A6962">
            <w:pPr>
              <w:spacing w:before="40" w:after="40" w:line="288" w:lineRule="auto"/>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0EC6BCD6" w14:textId="77777777" w:rsidR="005175AE" w:rsidRPr="005175AE" w:rsidRDefault="005175AE" w:rsidP="009A6962">
            <w:pPr>
              <w:spacing w:before="40" w:after="40" w:line="288" w:lineRule="auto"/>
              <w:jc w:val="left"/>
              <w:rPr>
                <w:rFonts w:ascii="Arial Narrow" w:hAnsi="Arial Narrow" w:cstheme="minorBidi"/>
                <w:sz w:val="18"/>
                <w:szCs w:val="18"/>
              </w:rPr>
            </w:pPr>
          </w:p>
        </w:tc>
        <w:tc>
          <w:tcPr>
            <w:tcW w:w="927" w:type="pct"/>
            <w:tcBorders>
              <w:top w:val="single" w:sz="4" w:space="0" w:color="auto"/>
              <w:bottom w:val="single" w:sz="4" w:space="0" w:color="auto"/>
            </w:tcBorders>
            <w:shd w:val="clear" w:color="auto" w:fill="D9D9D9" w:themeFill="background1" w:themeFillShade="D9"/>
          </w:tcPr>
          <w:p w14:paraId="79470DD8" w14:textId="77777777" w:rsidR="005175AE" w:rsidRPr="005175AE" w:rsidRDefault="005175AE" w:rsidP="009A6962">
            <w:pPr>
              <w:spacing w:before="40" w:after="40" w:line="288" w:lineRule="auto"/>
              <w:jc w:val="left"/>
              <w:rPr>
                <w:rFonts w:ascii="Arial Narrow" w:hAnsi="Arial Narrow" w:cstheme="minorBidi"/>
                <w:sz w:val="18"/>
                <w:szCs w:val="18"/>
              </w:rPr>
            </w:pPr>
          </w:p>
        </w:tc>
        <w:tc>
          <w:tcPr>
            <w:tcW w:w="373" w:type="pct"/>
            <w:tcBorders>
              <w:top w:val="single" w:sz="4" w:space="0" w:color="auto"/>
              <w:bottom w:val="single" w:sz="4" w:space="0" w:color="auto"/>
            </w:tcBorders>
            <w:shd w:val="clear" w:color="auto" w:fill="D9D9D9" w:themeFill="background1" w:themeFillShade="D9"/>
          </w:tcPr>
          <w:p w14:paraId="35EB08D6" w14:textId="77777777" w:rsidR="005175AE" w:rsidRPr="005175AE" w:rsidRDefault="005175AE" w:rsidP="009A6962">
            <w:pPr>
              <w:spacing w:before="40" w:after="40" w:line="288" w:lineRule="auto"/>
              <w:jc w:val="center"/>
              <w:rPr>
                <w:rFonts w:ascii="Cambria Math" w:hAnsi="Cambria Math" w:cs="Cambria Math"/>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14BECCD7" w14:textId="77777777" w:rsidR="005175AE" w:rsidRPr="005175AE" w:rsidRDefault="005175AE" w:rsidP="00315B6D">
            <w:pPr>
              <w:spacing w:before="40" w:after="40" w:line="288" w:lineRule="auto"/>
              <w:jc w:val="left"/>
              <w:rPr>
                <w:rFonts w:ascii="Arial Narrow" w:hAnsi="Arial Narrow" w:cstheme="minorBidi"/>
                <w:sz w:val="18"/>
                <w:szCs w:val="18"/>
              </w:rPr>
            </w:pPr>
          </w:p>
        </w:tc>
      </w:tr>
      <w:tr w:rsidR="005175AE" w:rsidRPr="005175AE" w14:paraId="4EC9BEE3"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024773B5" w14:textId="56B771B1"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u w:val="single"/>
              </w:rPr>
              <w:t>MTA</w:t>
            </w:r>
            <w:r w:rsidR="006D7732">
              <w:rPr>
                <w:rFonts w:ascii="Arial Narrow" w:eastAsiaTheme="minorEastAsia" w:hAnsi="Arial Narrow"/>
                <w:sz w:val="18"/>
                <w:szCs w:val="18"/>
              </w:rPr>
              <w:br/>
              <w:t>Follow up</w:t>
            </w:r>
            <w:r w:rsidR="006D7732" w:rsidRPr="005175AE">
              <w:rPr>
                <w:rFonts w:ascii="Arial Narrow" w:eastAsiaTheme="minorEastAsia" w:hAnsi="Arial Narrow"/>
                <w:sz w:val="18"/>
                <w:szCs w:val="18"/>
              </w:rPr>
              <w:t xml:space="preserve">: </w:t>
            </w:r>
            <w:r w:rsidR="006D7732">
              <w:rPr>
                <w:rFonts w:ascii="Arial Narrow" w:eastAsiaTheme="minorEastAsia" w:hAnsi="Arial Narrow"/>
                <w:sz w:val="18"/>
                <w:szCs w:val="18"/>
              </w:rPr>
              <w:t xml:space="preserve">range 6 </w:t>
            </w:r>
            <w:r w:rsidR="007E3D66">
              <w:rPr>
                <w:rFonts w:ascii="Arial Narrow" w:eastAsiaTheme="minorEastAsia" w:hAnsi="Arial Narrow"/>
                <w:sz w:val="18"/>
                <w:szCs w:val="18"/>
              </w:rPr>
              <w:t>–</w:t>
            </w:r>
            <w:r w:rsidR="006D7732">
              <w:rPr>
                <w:rFonts w:ascii="Arial Narrow" w:eastAsiaTheme="minorEastAsia" w:hAnsi="Arial Narrow"/>
                <w:sz w:val="18"/>
                <w:szCs w:val="18"/>
              </w:rPr>
              <w:t xml:space="preserve"> </w:t>
            </w:r>
            <w:r w:rsidRPr="005175AE">
              <w:rPr>
                <w:rFonts w:ascii="Arial Narrow" w:eastAsiaTheme="minorEastAsia" w:hAnsi="Arial Narrow"/>
                <w:sz w:val="18"/>
                <w:szCs w:val="18"/>
              </w:rPr>
              <w:t xml:space="preserve">30 </w:t>
            </w:r>
            <w:r w:rsidR="006D7732">
              <w:rPr>
                <w:rFonts w:ascii="Arial Narrow" w:eastAsiaTheme="minorEastAsia" w:hAnsi="Arial Narrow"/>
                <w:sz w:val="18"/>
                <w:szCs w:val="18"/>
              </w:rPr>
              <w:t>mths</w:t>
            </w:r>
          </w:p>
          <w:p w14:paraId="0A2E9357"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Assessed with: n/N (%), per ablations</w:t>
            </w:r>
          </w:p>
        </w:tc>
        <w:tc>
          <w:tcPr>
            <w:tcW w:w="409" w:type="pct"/>
            <w:tcBorders>
              <w:top w:val="single" w:sz="4" w:space="0" w:color="auto"/>
              <w:left w:val="single" w:sz="4" w:space="0" w:color="auto"/>
              <w:bottom w:val="single" w:sz="4" w:space="0" w:color="auto"/>
              <w:right w:val="single" w:sz="4" w:space="0" w:color="auto"/>
            </w:tcBorders>
          </w:tcPr>
          <w:p w14:paraId="37D72702"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hAnsi="Arial Narrow" w:cstheme="minorBidi"/>
                <w:sz w:val="18"/>
                <w:szCs w:val="18"/>
              </w:rPr>
              <w:t>Observational studies (k=22)</w:t>
            </w:r>
          </w:p>
        </w:tc>
        <w:tc>
          <w:tcPr>
            <w:tcW w:w="389" w:type="pct"/>
            <w:tcBorders>
              <w:top w:val="single" w:sz="4" w:space="0" w:color="auto"/>
              <w:left w:val="single" w:sz="4" w:space="0" w:color="auto"/>
              <w:bottom w:val="single" w:sz="4" w:space="0" w:color="auto"/>
              <w:right w:val="single" w:sz="4" w:space="0" w:color="auto"/>
            </w:tcBorders>
          </w:tcPr>
          <w:p w14:paraId="54003D40"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1</w:t>
            </w:r>
          </w:p>
        </w:tc>
        <w:tc>
          <w:tcPr>
            <w:tcW w:w="431" w:type="pct"/>
            <w:tcBorders>
              <w:top w:val="single" w:sz="4" w:space="0" w:color="auto"/>
              <w:left w:val="single" w:sz="4" w:space="0" w:color="auto"/>
              <w:bottom w:val="single" w:sz="4" w:space="0" w:color="auto"/>
              <w:right w:val="single" w:sz="4" w:space="0" w:color="auto"/>
            </w:tcBorders>
          </w:tcPr>
          <w:p w14:paraId="283AA063"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6C27AB29"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48DE42BF"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11B38729"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2F54E758"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n/N (%): 280/1025 (27.3)</w:t>
            </w:r>
          </w:p>
          <w:p w14:paraId="673BDE54"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Median: 30.2 (8.3 – 63.8)</w:t>
            </w:r>
          </w:p>
        </w:tc>
        <w:tc>
          <w:tcPr>
            <w:tcW w:w="373" w:type="pct"/>
            <w:tcBorders>
              <w:top w:val="single" w:sz="4" w:space="0" w:color="auto"/>
              <w:left w:val="single" w:sz="4" w:space="0" w:color="auto"/>
              <w:bottom w:val="single" w:sz="4" w:space="0" w:color="auto"/>
              <w:right w:val="single" w:sz="4" w:space="0" w:color="auto"/>
            </w:tcBorders>
          </w:tcPr>
          <w:p w14:paraId="7ECD21AA"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1E917F34"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IMPORTANT</w:t>
            </w:r>
          </w:p>
        </w:tc>
      </w:tr>
      <w:tr w:rsidR="005175AE" w:rsidRPr="005175AE" w14:paraId="30AED668"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2CACF1DE"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u w:val="single"/>
              </w:rPr>
              <w:t>RFA</w:t>
            </w:r>
          </w:p>
          <w:p w14:paraId="01C79E9B" w14:textId="26B2919E" w:rsidR="005175AE" w:rsidRPr="005175AE" w:rsidRDefault="006D7732" w:rsidP="009A6962">
            <w:pPr>
              <w:spacing w:before="40" w:after="40" w:line="288" w:lineRule="auto"/>
              <w:jc w:val="left"/>
              <w:rPr>
                <w:rFonts w:ascii="Arial Narrow" w:eastAsiaTheme="minorEastAsia" w:hAnsi="Arial Narrow"/>
                <w:sz w:val="18"/>
                <w:szCs w:val="18"/>
              </w:rPr>
            </w:pPr>
            <w:r>
              <w:rPr>
                <w:rFonts w:ascii="Arial Narrow" w:eastAsiaTheme="minorEastAsia" w:hAnsi="Arial Narrow"/>
                <w:sz w:val="18"/>
                <w:szCs w:val="18"/>
              </w:rPr>
              <w:t>Follow up</w:t>
            </w:r>
            <w:r w:rsidRPr="005175AE">
              <w:rPr>
                <w:rFonts w:ascii="Arial Narrow" w:eastAsiaTheme="minorEastAsia" w:hAnsi="Arial Narrow"/>
                <w:sz w:val="18"/>
                <w:szCs w:val="18"/>
              </w:rPr>
              <w:t xml:space="preserve">: </w:t>
            </w:r>
            <w:r>
              <w:rPr>
                <w:rFonts w:ascii="Arial Narrow" w:eastAsiaTheme="minorEastAsia" w:hAnsi="Arial Narrow"/>
                <w:sz w:val="18"/>
                <w:szCs w:val="18"/>
              </w:rPr>
              <w:t xml:space="preserve">range 12 </w:t>
            </w:r>
            <w:r w:rsidR="007E3D66">
              <w:rPr>
                <w:rFonts w:ascii="Arial Narrow" w:eastAsiaTheme="minorEastAsia" w:hAnsi="Arial Narrow"/>
                <w:sz w:val="18"/>
                <w:szCs w:val="18"/>
              </w:rPr>
              <w:t>–</w:t>
            </w:r>
            <w:r w:rsidR="005175AE" w:rsidRPr="005175AE">
              <w:rPr>
                <w:rFonts w:ascii="Arial Narrow" w:eastAsiaTheme="minorEastAsia" w:hAnsi="Arial Narrow"/>
                <w:sz w:val="18"/>
                <w:szCs w:val="18"/>
              </w:rPr>
              <w:t xml:space="preserve"> 46 </w:t>
            </w:r>
            <w:r>
              <w:rPr>
                <w:rFonts w:ascii="Arial Narrow" w:eastAsiaTheme="minorEastAsia" w:hAnsi="Arial Narrow"/>
                <w:sz w:val="18"/>
                <w:szCs w:val="18"/>
              </w:rPr>
              <w:t>mths</w:t>
            </w:r>
          </w:p>
          <w:p w14:paraId="621C4253"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Assessed with: n/N (%), per ablations and per patient</w:t>
            </w:r>
          </w:p>
        </w:tc>
        <w:tc>
          <w:tcPr>
            <w:tcW w:w="409" w:type="pct"/>
            <w:tcBorders>
              <w:top w:val="single" w:sz="4" w:space="0" w:color="auto"/>
              <w:left w:val="single" w:sz="4" w:space="0" w:color="auto"/>
              <w:bottom w:val="single" w:sz="4" w:space="0" w:color="auto"/>
              <w:right w:val="single" w:sz="4" w:space="0" w:color="auto"/>
            </w:tcBorders>
          </w:tcPr>
          <w:p w14:paraId="712955D3"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Observational studies (k=19)</w:t>
            </w:r>
          </w:p>
        </w:tc>
        <w:tc>
          <w:tcPr>
            <w:tcW w:w="389" w:type="pct"/>
            <w:tcBorders>
              <w:top w:val="single" w:sz="4" w:space="0" w:color="auto"/>
              <w:left w:val="single" w:sz="4" w:space="0" w:color="auto"/>
              <w:bottom w:val="single" w:sz="4" w:space="0" w:color="auto"/>
              <w:right w:val="single" w:sz="4" w:space="0" w:color="auto"/>
            </w:tcBorders>
          </w:tcPr>
          <w:p w14:paraId="59CE712B"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1</w:t>
            </w:r>
          </w:p>
        </w:tc>
        <w:tc>
          <w:tcPr>
            <w:tcW w:w="431" w:type="pct"/>
            <w:tcBorders>
              <w:top w:val="single" w:sz="4" w:space="0" w:color="auto"/>
              <w:left w:val="single" w:sz="4" w:space="0" w:color="auto"/>
              <w:bottom w:val="single" w:sz="4" w:space="0" w:color="auto"/>
              <w:right w:val="single" w:sz="4" w:space="0" w:color="auto"/>
            </w:tcBorders>
          </w:tcPr>
          <w:p w14:paraId="5FD85FA7"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0ADA6C21"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7872D506"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6863395E"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none</w:t>
            </w:r>
          </w:p>
        </w:tc>
        <w:tc>
          <w:tcPr>
            <w:tcW w:w="927" w:type="pct"/>
            <w:tcBorders>
              <w:top w:val="single" w:sz="4" w:space="0" w:color="auto"/>
              <w:left w:val="single" w:sz="4" w:space="0" w:color="auto"/>
              <w:bottom w:val="single" w:sz="4" w:space="0" w:color="auto"/>
              <w:right w:val="single" w:sz="4" w:space="0" w:color="auto"/>
            </w:tcBorders>
          </w:tcPr>
          <w:p w14:paraId="419CC475" w14:textId="77777777" w:rsidR="005175AE" w:rsidRPr="005175AE" w:rsidRDefault="005175AE" w:rsidP="009A6962">
            <w:pPr>
              <w:spacing w:before="40" w:after="40" w:line="288" w:lineRule="auto"/>
              <w:jc w:val="left"/>
              <w:rPr>
                <w:rFonts w:ascii="Arial Narrow" w:hAnsi="Arial Narrow" w:cstheme="minorBidi"/>
                <w:sz w:val="18"/>
                <w:szCs w:val="18"/>
                <w:u w:val="single"/>
              </w:rPr>
            </w:pPr>
            <w:r w:rsidRPr="005175AE">
              <w:rPr>
                <w:rFonts w:ascii="Arial Narrow" w:hAnsi="Arial Narrow" w:cstheme="minorBidi"/>
                <w:sz w:val="18"/>
                <w:szCs w:val="18"/>
                <w:u w:val="single"/>
              </w:rPr>
              <w:t xml:space="preserve">Per ablation: </w:t>
            </w:r>
          </w:p>
          <w:p w14:paraId="36299944" w14:textId="77777777" w:rsidR="005175AE" w:rsidRPr="005175AE" w:rsidRDefault="005175AE" w:rsidP="009A6962">
            <w:pPr>
              <w:spacing w:before="40" w:after="40" w:line="288" w:lineRule="auto"/>
              <w:jc w:val="left"/>
              <w:rPr>
                <w:rFonts w:ascii="Arial Narrow" w:hAnsi="Arial Narrow" w:cstheme="minorBidi"/>
                <w:sz w:val="18"/>
                <w:szCs w:val="18"/>
              </w:rPr>
            </w:pPr>
            <w:proofErr w:type="gramStart"/>
            <w:r w:rsidRPr="005175AE">
              <w:rPr>
                <w:rFonts w:ascii="Arial Narrow" w:hAnsi="Arial Narrow" w:cstheme="minorBidi"/>
                <w:sz w:val="18"/>
                <w:szCs w:val="18"/>
              </w:rPr>
              <w:t>n/N</w:t>
            </w:r>
            <w:proofErr w:type="gramEnd"/>
            <w:r w:rsidRPr="005175AE">
              <w:rPr>
                <w:rFonts w:ascii="Arial Narrow" w:hAnsi="Arial Narrow" w:cstheme="minorBidi"/>
                <w:sz w:val="18"/>
                <w:szCs w:val="18"/>
              </w:rPr>
              <w:t xml:space="preserve"> (%):674/1497 (45%)</w:t>
            </w:r>
          </w:p>
          <w:p w14:paraId="74E99A98" w14:textId="49697C8C"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Median: 24% (9</w:t>
            </w:r>
            <w:r w:rsidR="007E3D66">
              <w:rPr>
                <w:rFonts w:ascii="Arial Narrow" w:hAnsi="Arial Narrow" w:cstheme="minorBidi"/>
                <w:sz w:val="18"/>
                <w:szCs w:val="18"/>
              </w:rPr>
              <w:t>–</w:t>
            </w:r>
            <w:r w:rsidRPr="005175AE">
              <w:rPr>
                <w:rFonts w:ascii="Arial Narrow" w:hAnsi="Arial Narrow" w:cstheme="minorBidi"/>
                <w:sz w:val="18"/>
                <w:szCs w:val="18"/>
              </w:rPr>
              <w:t>67%)</w:t>
            </w:r>
          </w:p>
          <w:p w14:paraId="40DCB1B4" w14:textId="77777777" w:rsidR="005175AE" w:rsidRPr="005175AE" w:rsidRDefault="005175AE" w:rsidP="009A6962">
            <w:pPr>
              <w:spacing w:before="40" w:after="40" w:line="288" w:lineRule="auto"/>
              <w:jc w:val="left"/>
              <w:rPr>
                <w:rFonts w:ascii="Arial Narrow" w:hAnsi="Arial Narrow" w:cstheme="minorBidi"/>
                <w:sz w:val="18"/>
                <w:szCs w:val="18"/>
                <w:u w:val="single"/>
              </w:rPr>
            </w:pPr>
            <w:r w:rsidRPr="005175AE">
              <w:rPr>
                <w:rFonts w:ascii="Arial Narrow" w:hAnsi="Arial Narrow" w:cstheme="minorBidi"/>
                <w:sz w:val="18"/>
                <w:szCs w:val="18"/>
                <w:u w:val="single"/>
              </w:rPr>
              <w:t>Per patient:</w:t>
            </w:r>
          </w:p>
          <w:p w14:paraId="6D9A2339" w14:textId="77777777" w:rsidR="005175AE" w:rsidRPr="005175AE" w:rsidRDefault="005175AE" w:rsidP="009A6962">
            <w:pPr>
              <w:spacing w:before="40" w:after="40" w:line="288" w:lineRule="auto"/>
              <w:jc w:val="left"/>
              <w:rPr>
                <w:rFonts w:ascii="Arial Narrow" w:hAnsi="Arial Narrow" w:cstheme="minorBidi"/>
                <w:sz w:val="18"/>
                <w:szCs w:val="18"/>
              </w:rPr>
            </w:pPr>
            <w:proofErr w:type="gramStart"/>
            <w:r w:rsidRPr="005175AE">
              <w:rPr>
                <w:rFonts w:ascii="Arial Narrow" w:hAnsi="Arial Narrow" w:cstheme="minorBidi"/>
                <w:sz w:val="18"/>
                <w:szCs w:val="18"/>
              </w:rPr>
              <w:t>n/N</w:t>
            </w:r>
            <w:proofErr w:type="gramEnd"/>
            <w:r w:rsidRPr="005175AE">
              <w:rPr>
                <w:rFonts w:ascii="Arial Narrow" w:hAnsi="Arial Narrow" w:cstheme="minorBidi"/>
                <w:sz w:val="18"/>
                <w:szCs w:val="18"/>
              </w:rPr>
              <w:t xml:space="preserve"> (%): 46/262 (18%)</w:t>
            </w:r>
          </w:p>
          <w:p w14:paraId="4D4643EF" w14:textId="05AF548A"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Median: 17.5% (5</w:t>
            </w:r>
            <w:r w:rsidR="007E3D66">
              <w:rPr>
                <w:rFonts w:ascii="Arial Narrow" w:hAnsi="Arial Narrow" w:cstheme="minorBidi"/>
                <w:sz w:val="18"/>
                <w:szCs w:val="18"/>
              </w:rPr>
              <w:t>–</w:t>
            </w:r>
            <w:r w:rsidRPr="005175AE">
              <w:rPr>
                <w:rFonts w:ascii="Arial Narrow" w:hAnsi="Arial Narrow" w:cstheme="minorBidi"/>
                <w:sz w:val="18"/>
                <w:szCs w:val="18"/>
              </w:rPr>
              <w:t>36%)</w:t>
            </w:r>
          </w:p>
        </w:tc>
        <w:tc>
          <w:tcPr>
            <w:tcW w:w="373" w:type="pct"/>
            <w:tcBorders>
              <w:top w:val="single" w:sz="4" w:space="0" w:color="auto"/>
              <w:left w:val="single" w:sz="4" w:space="0" w:color="auto"/>
              <w:bottom w:val="single" w:sz="4" w:space="0" w:color="auto"/>
              <w:right w:val="single" w:sz="4" w:space="0" w:color="auto"/>
            </w:tcBorders>
          </w:tcPr>
          <w:p w14:paraId="1BA8F5FA"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3BF13C9B"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IMPORTANT</w:t>
            </w:r>
          </w:p>
        </w:tc>
      </w:tr>
      <w:tr w:rsidR="005175AE" w:rsidRPr="005175AE" w14:paraId="6B49DF98" w14:textId="77777777" w:rsidTr="00AD596F">
        <w:trPr>
          <w:cantSplit/>
          <w:trHeight w:val="319"/>
        </w:trPr>
        <w:tc>
          <w:tcPr>
            <w:tcW w:w="740" w:type="pct"/>
            <w:tcBorders>
              <w:top w:val="single" w:sz="4" w:space="0" w:color="auto"/>
              <w:left w:val="single" w:sz="4" w:space="0" w:color="auto"/>
              <w:bottom w:val="single" w:sz="4" w:space="0" w:color="auto"/>
            </w:tcBorders>
            <w:shd w:val="clear" w:color="auto" w:fill="D9D9D9" w:themeFill="background1" w:themeFillShade="D9"/>
          </w:tcPr>
          <w:p w14:paraId="3E64344A"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b/>
                <w:sz w:val="18"/>
                <w:szCs w:val="18"/>
              </w:rPr>
              <w:lastRenderedPageBreak/>
              <w:t>Pneumothorax requiring intervention</w:t>
            </w:r>
          </w:p>
        </w:tc>
        <w:tc>
          <w:tcPr>
            <w:tcW w:w="409" w:type="pct"/>
            <w:tcBorders>
              <w:top w:val="single" w:sz="4" w:space="0" w:color="auto"/>
              <w:bottom w:val="single" w:sz="4" w:space="0" w:color="auto"/>
            </w:tcBorders>
            <w:shd w:val="clear" w:color="auto" w:fill="D9D9D9" w:themeFill="background1" w:themeFillShade="D9"/>
          </w:tcPr>
          <w:p w14:paraId="2536D2ED" w14:textId="77777777" w:rsidR="005175AE" w:rsidRPr="005175AE" w:rsidRDefault="005175AE" w:rsidP="009A6962">
            <w:pPr>
              <w:spacing w:before="40" w:after="40" w:line="288" w:lineRule="auto"/>
              <w:jc w:val="left"/>
              <w:rPr>
                <w:rFonts w:ascii="Arial Narrow" w:hAnsi="Arial Narrow" w:cstheme="minorBidi"/>
                <w:sz w:val="18"/>
                <w:szCs w:val="18"/>
              </w:rPr>
            </w:pPr>
          </w:p>
        </w:tc>
        <w:tc>
          <w:tcPr>
            <w:tcW w:w="389" w:type="pct"/>
            <w:tcBorders>
              <w:top w:val="single" w:sz="4" w:space="0" w:color="auto"/>
              <w:bottom w:val="single" w:sz="4" w:space="0" w:color="auto"/>
            </w:tcBorders>
            <w:shd w:val="clear" w:color="auto" w:fill="D9D9D9" w:themeFill="background1" w:themeFillShade="D9"/>
          </w:tcPr>
          <w:p w14:paraId="434691FC" w14:textId="77777777" w:rsidR="005175AE" w:rsidRPr="005175AE" w:rsidRDefault="005175AE" w:rsidP="009A6962">
            <w:pPr>
              <w:spacing w:before="40" w:after="40" w:line="288" w:lineRule="auto"/>
              <w:rPr>
                <w:rFonts w:ascii="Arial Narrow" w:hAnsi="Arial Narrow" w:cstheme="minorBidi"/>
                <w:sz w:val="18"/>
                <w:szCs w:val="18"/>
              </w:rPr>
            </w:pPr>
          </w:p>
        </w:tc>
        <w:tc>
          <w:tcPr>
            <w:tcW w:w="431" w:type="pct"/>
            <w:tcBorders>
              <w:top w:val="single" w:sz="4" w:space="0" w:color="auto"/>
              <w:bottom w:val="single" w:sz="4" w:space="0" w:color="auto"/>
            </w:tcBorders>
            <w:shd w:val="clear" w:color="auto" w:fill="D9D9D9" w:themeFill="background1" w:themeFillShade="D9"/>
          </w:tcPr>
          <w:p w14:paraId="055B39C1" w14:textId="77777777" w:rsidR="005175AE" w:rsidRPr="005175AE" w:rsidRDefault="005175AE" w:rsidP="009A6962">
            <w:pPr>
              <w:spacing w:before="40" w:after="40" w:line="288" w:lineRule="auto"/>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17C3665A" w14:textId="77777777" w:rsidR="005175AE" w:rsidRPr="005175AE" w:rsidRDefault="005175AE" w:rsidP="009A6962">
            <w:pPr>
              <w:spacing w:before="40" w:after="40" w:line="288" w:lineRule="auto"/>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3E3A37E1" w14:textId="77777777" w:rsidR="005175AE" w:rsidRPr="005175AE" w:rsidRDefault="005175AE" w:rsidP="009A6962">
            <w:pPr>
              <w:spacing w:before="40" w:after="40" w:line="288" w:lineRule="auto"/>
              <w:rPr>
                <w:rFonts w:ascii="Arial Narrow" w:hAnsi="Arial Narrow" w:cstheme="minorBidi"/>
                <w:sz w:val="18"/>
                <w:szCs w:val="18"/>
              </w:rPr>
            </w:pPr>
          </w:p>
        </w:tc>
        <w:tc>
          <w:tcPr>
            <w:tcW w:w="410" w:type="pct"/>
            <w:tcBorders>
              <w:top w:val="single" w:sz="4" w:space="0" w:color="auto"/>
              <w:bottom w:val="single" w:sz="4" w:space="0" w:color="auto"/>
            </w:tcBorders>
            <w:shd w:val="clear" w:color="auto" w:fill="D9D9D9" w:themeFill="background1" w:themeFillShade="D9"/>
          </w:tcPr>
          <w:p w14:paraId="5A7E7A85" w14:textId="77777777" w:rsidR="005175AE" w:rsidRPr="005175AE" w:rsidRDefault="005175AE" w:rsidP="009A6962">
            <w:pPr>
              <w:spacing w:before="40" w:after="40" w:line="288" w:lineRule="auto"/>
              <w:jc w:val="left"/>
              <w:rPr>
                <w:rFonts w:ascii="Arial Narrow" w:hAnsi="Arial Narrow" w:cstheme="minorBidi"/>
                <w:sz w:val="18"/>
                <w:szCs w:val="18"/>
              </w:rPr>
            </w:pPr>
          </w:p>
        </w:tc>
        <w:tc>
          <w:tcPr>
            <w:tcW w:w="927" w:type="pct"/>
            <w:tcBorders>
              <w:top w:val="single" w:sz="4" w:space="0" w:color="auto"/>
              <w:bottom w:val="single" w:sz="4" w:space="0" w:color="auto"/>
            </w:tcBorders>
            <w:shd w:val="clear" w:color="auto" w:fill="D9D9D9" w:themeFill="background1" w:themeFillShade="D9"/>
          </w:tcPr>
          <w:p w14:paraId="412F1A9B" w14:textId="77777777" w:rsidR="005175AE" w:rsidRPr="005175AE" w:rsidRDefault="005175AE" w:rsidP="009A6962">
            <w:pPr>
              <w:spacing w:before="40" w:after="40" w:line="288" w:lineRule="auto"/>
              <w:jc w:val="left"/>
              <w:rPr>
                <w:rFonts w:ascii="Arial Narrow" w:hAnsi="Arial Narrow" w:cstheme="minorBidi"/>
                <w:sz w:val="18"/>
                <w:szCs w:val="18"/>
              </w:rPr>
            </w:pPr>
          </w:p>
        </w:tc>
        <w:tc>
          <w:tcPr>
            <w:tcW w:w="373" w:type="pct"/>
            <w:tcBorders>
              <w:top w:val="single" w:sz="4" w:space="0" w:color="auto"/>
              <w:bottom w:val="single" w:sz="4" w:space="0" w:color="auto"/>
            </w:tcBorders>
            <w:shd w:val="clear" w:color="auto" w:fill="D9D9D9" w:themeFill="background1" w:themeFillShade="D9"/>
          </w:tcPr>
          <w:p w14:paraId="471C816D" w14:textId="77777777" w:rsidR="005175AE" w:rsidRPr="005175AE" w:rsidRDefault="005175AE" w:rsidP="009A6962">
            <w:pPr>
              <w:spacing w:before="40" w:after="40" w:line="288" w:lineRule="auto"/>
              <w:rPr>
                <w:rFonts w:ascii="Arial Narrow" w:hAnsi="Arial Narrow" w:cstheme="minorBidi"/>
                <w:b/>
                <w:sz w:val="18"/>
                <w:szCs w:val="18"/>
              </w:rPr>
            </w:pPr>
          </w:p>
        </w:tc>
        <w:tc>
          <w:tcPr>
            <w:tcW w:w="501" w:type="pct"/>
            <w:tcBorders>
              <w:top w:val="single" w:sz="4" w:space="0" w:color="auto"/>
              <w:bottom w:val="single" w:sz="4" w:space="0" w:color="auto"/>
              <w:right w:val="single" w:sz="4" w:space="0" w:color="auto"/>
            </w:tcBorders>
            <w:shd w:val="clear" w:color="auto" w:fill="D9D9D9" w:themeFill="background1" w:themeFillShade="D9"/>
          </w:tcPr>
          <w:p w14:paraId="2B9E19A0" w14:textId="77777777" w:rsidR="005175AE" w:rsidRPr="005175AE" w:rsidRDefault="005175AE" w:rsidP="00315B6D">
            <w:pPr>
              <w:spacing w:before="40" w:after="40" w:line="288" w:lineRule="auto"/>
              <w:jc w:val="left"/>
              <w:rPr>
                <w:rFonts w:ascii="Arial Narrow" w:hAnsi="Arial Narrow" w:cstheme="minorBidi"/>
                <w:sz w:val="18"/>
                <w:szCs w:val="18"/>
              </w:rPr>
            </w:pPr>
          </w:p>
        </w:tc>
      </w:tr>
      <w:tr w:rsidR="005175AE" w:rsidRPr="005175AE" w14:paraId="54F53737"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0C13CD92" w14:textId="7BD3804F"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u w:val="single"/>
              </w:rPr>
              <w:t>MTA</w:t>
            </w:r>
            <w:r w:rsidRPr="005175AE">
              <w:rPr>
                <w:rFonts w:ascii="Arial Narrow" w:eastAsiaTheme="minorEastAsia" w:hAnsi="Arial Narrow"/>
                <w:sz w:val="18"/>
                <w:szCs w:val="18"/>
              </w:rPr>
              <w:br/>
              <w:t xml:space="preserve">F/u: range 6 </w:t>
            </w:r>
            <w:r w:rsidR="007E3D66">
              <w:rPr>
                <w:rFonts w:ascii="Arial Narrow" w:eastAsiaTheme="minorEastAsia" w:hAnsi="Arial Narrow"/>
                <w:sz w:val="18"/>
                <w:szCs w:val="18"/>
              </w:rPr>
              <w:t>–</w:t>
            </w:r>
            <w:r w:rsidRPr="005175AE">
              <w:rPr>
                <w:rFonts w:ascii="Arial Narrow" w:eastAsiaTheme="minorEastAsia" w:hAnsi="Arial Narrow"/>
                <w:sz w:val="18"/>
                <w:szCs w:val="18"/>
              </w:rPr>
              <w:t xml:space="preserve">  30 months</w:t>
            </w:r>
          </w:p>
          <w:p w14:paraId="6EC21D8C"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 xml:space="preserve">Assessed with: n/N (%), per ablations </w:t>
            </w:r>
          </w:p>
        </w:tc>
        <w:tc>
          <w:tcPr>
            <w:tcW w:w="409" w:type="pct"/>
            <w:tcBorders>
              <w:top w:val="single" w:sz="4" w:space="0" w:color="auto"/>
              <w:left w:val="single" w:sz="4" w:space="0" w:color="auto"/>
              <w:bottom w:val="single" w:sz="4" w:space="0" w:color="auto"/>
              <w:right w:val="single" w:sz="4" w:space="0" w:color="auto"/>
            </w:tcBorders>
          </w:tcPr>
          <w:p w14:paraId="27F476F3"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hAnsi="Arial Narrow" w:cstheme="minorBidi"/>
                <w:sz w:val="18"/>
                <w:szCs w:val="18"/>
              </w:rPr>
              <w:t>Observational studies (k=20)</w:t>
            </w:r>
          </w:p>
        </w:tc>
        <w:tc>
          <w:tcPr>
            <w:tcW w:w="389" w:type="pct"/>
            <w:tcBorders>
              <w:top w:val="single" w:sz="4" w:space="0" w:color="auto"/>
              <w:left w:val="single" w:sz="4" w:space="0" w:color="auto"/>
              <w:bottom w:val="single" w:sz="4" w:space="0" w:color="auto"/>
              <w:right w:val="single" w:sz="4" w:space="0" w:color="auto"/>
            </w:tcBorders>
          </w:tcPr>
          <w:p w14:paraId="6884221D"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1</w:t>
            </w:r>
          </w:p>
        </w:tc>
        <w:tc>
          <w:tcPr>
            <w:tcW w:w="431" w:type="pct"/>
            <w:tcBorders>
              <w:top w:val="single" w:sz="4" w:space="0" w:color="auto"/>
              <w:left w:val="single" w:sz="4" w:space="0" w:color="auto"/>
              <w:bottom w:val="single" w:sz="4" w:space="0" w:color="auto"/>
              <w:right w:val="single" w:sz="4" w:space="0" w:color="auto"/>
            </w:tcBorders>
          </w:tcPr>
          <w:p w14:paraId="301DAA92"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7D257C6D"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22235630"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40AE3B31"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none </w:t>
            </w:r>
          </w:p>
        </w:tc>
        <w:tc>
          <w:tcPr>
            <w:tcW w:w="927" w:type="pct"/>
            <w:tcBorders>
              <w:top w:val="single" w:sz="4" w:space="0" w:color="auto"/>
              <w:left w:val="single" w:sz="4" w:space="0" w:color="auto"/>
              <w:bottom w:val="single" w:sz="4" w:space="0" w:color="auto"/>
              <w:right w:val="single" w:sz="4" w:space="0" w:color="auto"/>
            </w:tcBorders>
          </w:tcPr>
          <w:p w14:paraId="772192C6"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n/N (%):122/985 (12.4)</w:t>
            </w:r>
          </w:p>
          <w:p w14:paraId="5E08BD2C"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Median: 10.3 (0– 28.6)</w:t>
            </w:r>
          </w:p>
        </w:tc>
        <w:tc>
          <w:tcPr>
            <w:tcW w:w="373" w:type="pct"/>
            <w:tcBorders>
              <w:top w:val="single" w:sz="4" w:space="0" w:color="auto"/>
              <w:left w:val="single" w:sz="4" w:space="0" w:color="auto"/>
              <w:bottom w:val="single" w:sz="4" w:space="0" w:color="auto"/>
              <w:right w:val="single" w:sz="4" w:space="0" w:color="auto"/>
            </w:tcBorders>
          </w:tcPr>
          <w:p w14:paraId="104E3BF2"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245E692A"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IMPORTANT</w:t>
            </w:r>
          </w:p>
        </w:tc>
      </w:tr>
      <w:tr w:rsidR="005175AE" w:rsidRPr="005175AE" w14:paraId="691A5FD8" w14:textId="77777777" w:rsidTr="00315B6D">
        <w:trPr>
          <w:trHeight w:val="319"/>
        </w:trPr>
        <w:tc>
          <w:tcPr>
            <w:tcW w:w="740" w:type="pct"/>
            <w:tcBorders>
              <w:top w:val="single" w:sz="4" w:space="0" w:color="auto"/>
              <w:left w:val="single" w:sz="4" w:space="0" w:color="auto"/>
              <w:bottom w:val="single" w:sz="4" w:space="0" w:color="auto"/>
              <w:right w:val="single" w:sz="4" w:space="0" w:color="auto"/>
            </w:tcBorders>
          </w:tcPr>
          <w:p w14:paraId="5E541358" w14:textId="77777777" w:rsidR="005175AE" w:rsidRPr="005175AE" w:rsidRDefault="005175AE" w:rsidP="009A6962">
            <w:pPr>
              <w:spacing w:before="40" w:after="40" w:line="288" w:lineRule="auto"/>
              <w:jc w:val="left"/>
              <w:rPr>
                <w:rFonts w:ascii="Arial Narrow" w:eastAsiaTheme="minorEastAsia" w:hAnsi="Arial Narrow"/>
                <w:sz w:val="18"/>
                <w:szCs w:val="18"/>
                <w:u w:val="single"/>
              </w:rPr>
            </w:pPr>
            <w:r w:rsidRPr="005175AE">
              <w:rPr>
                <w:rFonts w:ascii="Arial Narrow" w:eastAsiaTheme="minorEastAsia" w:hAnsi="Arial Narrow"/>
                <w:sz w:val="18"/>
                <w:szCs w:val="18"/>
                <w:u w:val="single"/>
              </w:rPr>
              <w:t>RFA</w:t>
            </w:r>
          </w:p>
          <w:p w14:paraId="5A76F30E" w14:textId="01D36A4E"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 xml:space="preserve">F/u: median f/u range 12 </w:t>
            </w:r>
            <w:r w:rsidR="007E3D66">
              <w:rPr>
                <w:rFonts w:ascii="Arial Narrow" w:eastAsiaTheme="minorEastAsia" w:hAnsi="Arial Narrow"/>
                <w:sz w:val="18"/>
                <w:szCs w:val="18"/>
              </w:rPr>
              <w:t>–</w:t>
            </w:r>
            <w:r w:rsidRPr="005175AE">
              <w:rPr>
                <w:rFonts w:ascii="Arial Narrow" w:eastAsiaTheme="minorEastAsia" w:hAnsi="Arial Narrow"/>
                <w:sz w:val="18"/>
                <w:szCs w:val="18"/>
              </w:rPr>
              <w:t xml:space="preserve">  46 months</w:t>
            </w:r>
          </w:p>
          <w:p w14:paraId="205742FE" w14:textId="77777777" w:rsidR="005175AE" w:rsidRPr="005175AE" w:rsidRDefault="005175AE" w:rsidP="009A6962">
            <w:pPr>
              <w:spacing w:before="40" w:after="40" w:line="288" w:lineRule="auto"/>
              <w:jc w:val="left"/>
              <w:rPr>
                <w:rFonts w:ascii="Arial Narrow" w:eastAsiaTheme="minorEastAsia" w:hAnsi="Arial Narrow"/>
                <w:sz w:val="18"/>
                <w:szCs w:val="18"/>
              </w:rPr>
            </w:pPr>
            <w:r w:rsidRPr="005175AE">
              <w:rPr>
                <w:rFonts w:ascii="Arial Narrow" w:eastAsiaTheme="minorEastAsia" w:hAnsi="Arial Narrow"/>
                <w:sz w:val="18"/>
                <w:szCs w:val="18"/>
              </w:rPr>
              <w:t>Assessed with: n/N (%), per ablations and per patient</w:t>
            </w:r>
          </w:p>
        </w:tc>
        <w:tc>
          <w:tcPr>
            <w:tcW w:w="409" w:type="pct"/>
            <w:tcBorders>
              <w:top w:val="single" w:sz="4" w:space="0" w:color="auto"/>
              <w:left w:val="single" w:sz="4" w:space="0" w:color="auto"/>
              <w:bottom w:val="single" w:sz="4" w:space="0" w:color="auto"/>
              <w:right w:val="single" w:sz="4" w:space="0" w:color="auto"/>
            </w:tcBorders>
          </w:tcPr>
          <w:p w14:paraId="4EB1DB1F"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Observational studies (k=19)</w:t>
            </w:r>
          </w:p>
        </w:tc>
        <w:tc>
          <w:tcPr>
            <w:tcW w:w="389" w:type="pct"/>
            <w:tcBorders>
              <w:top w:val="single" w:sz="4" w:space="0" w:color="auto"/>
              <w:left w:val="single" w:sz="4" w:space="0" w:color="auto"/>
              <w:bottom w:val="single" w:sz="4" w:space="0" w:color="auto"/>
              <w:right w:val="single" w:sz="4" w:space="0" w:color="auto"/>
            </w:tcBorders>
          </w:tcPr>
          <w:p w14:paraId="18300DBB"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serious </w:t>
            </w:r>
            <w:r w:rsidRPr="005175AE">
              <w:rPr>
                <w:rFonts w:ascii="Arial Narrow" w:hAnsi="Arial Narrow" w:cstheme="minorBidi"/>
                <w:sz w:val="18"/>
                <w:szCs w:val="18"/>
                <w:vertAlign w:val="superscript"/>
              </w:rPr>
              <w:t>1</w:t>
            </w:r>
          </w:p>
        </w:tc>
        <w:tc>
          <w:tcPr>
            <w:tcW w:w="431" w:type="pct"/>
            <w:tcBorders>
              <w:top w:val="single" w:sz="4" w:space="0" w:color="auto"/>
              <w:left w:val="single" w:sz="4" w:space="0" w:color="auto"/>
              <w:bottom w:val="single" w:sz="4" w:space="0" w:color="auto"/>
              <w:right w:val="single" w:sz="4" w:space="0" w:color="auto"/>
            </w:tcBorders>
          </w:tcPr>
          <w:p w14:paraId="068B6DC5"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2DFEBFD6"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 xml:space="preserve">not serious </w:t>
            </w:r>
          </w:p>
        </w:tc>
        <w:tc>
          <w:tcPr>
            <w:tcW w:w="410" w:type="pct"/>
            <w:tcBorders>
              <w:top w:val="single" w:sz="4" w:space="0" w:color="auto"/>
              <w:left w:val="single" w:sz="4" w:space="0" w:color="auto"/>
              <w:bottom w:val="single" w:sz="4" w:space="0" w:color="auto"/>
              <w:right w:val="single" w:sz="4" w:space="0" w:color="auto"/>
            </w:tcBorders>
          </w:tcPr>
          <w:p w14:paraId="21124119" w14:textId="77777777" w:rsidR="005175AE" w:rsidRPr="005175AE" w:rsidRDefault="005175AE" w:rsidP="009A6962">
            <w:pPr>
              <w:spacing w:before="40" w:after="40" w:line="288" w:lineRule="auto"/>
              <w:rPr>
                <w:rFonts w:ascii="Arial Narrow" w:hAnsi="Arial Narrow" w:cstheme="minorBidi"/>
                <w:sz w:val="18"/>
                <w:szCs w:val="18"/>
              </w:rPr>
            </w:pPr>
            <w:r w:rsidRPr="005175AE">
              <w:rPr>
                <w:rFonts w:ascii="Arial Narrow" w:hAnsi="Arial Narrow" w:cstheme="minorBidi"/>
                <w:sz w:val="18"/>
                <w:szCs w:val="18"/>
              </w:rPr>
              <w:t>not serious</w:t>
            </w:r>
          </w:p>
        </w:tc>
        <w:tc>
          <w:tcPr>
            <w:tcW w:w="410" w:type="pct"/>
            <w:tcBorders>
              <w:top w:val="single" w:sz="4" w:space="0" w:color="auto"/>
              <w:left w:val="single" w:sz="4" w:space="0" w:color="auto"/>
              <w:bottom w:val="single" w:sz="4" w:space="0" w:color="auto"/>
              <w:right w:val="single" w:sz="4" w:space="0" w:color="auto"/>
            </w:tcBorders>
          </w:tcPr>
          <w:p w14:paraId="54581314" w14:textId="77777777"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 xml:space="preserve"> none</w:t>
            </w:r>
          </w:p>
        </w:tc>
        <w:tc>
          <w:tcPr>
            <w:tcW w:w="927" w:type="pct"/>
            <w:tcBorders>
              <w:top w:val="single" w:sz="4" w:space="0" w:color="auto"/>
              <w:left w:val="single" w:sz="4" w:space="0" w:color="auto"/>
              <w:bottom w:val="single" w:sz="4" w:space="0" w:color="auto"/>
              <w:right w:val="single" w:sz="4" w:space="0" w:color="auto"/>
            </w:tcBorders>
          </w:tcPr>
          <w:p w14:paraId="51E0CC8B" w14:textId="77777777" w:rsidR="005175AE" w:rsidRPr="005175AE" w:rsidRDefault="005175AE" w:rsidP="009A6962">
            <w:pPr>
              <w:spacing w:before="40" w:after="40" w:line="288" w:lineRule="auto"/>
              <w:jc w:val="left"/>
              <w:rPr>
                <w:rFonts w:ascii="Arial Narrow" w:hAnsi="Arial Narrow" w:cstheme="minorBidi"/>
                <w:sz w:val="18"/>
                <w:szCs w:val="18"/>
                <w:u w:val="single"/>
              </w:rPr>
            </w:pPr>
            <w:r w:rsidRPr="005175AE">
              <w:rPr>
                <w:rFonts w:ascii="Arial Narrow" w:hAnsi="Arial Narrow" w:cstheme="minorBidi"/>
                <w:sz w:val="18"/>
                <w:szCs w:val="18"/>
                <w:u w:val="single"/>
              </w:rPr>
              <w:t xml:space="preserve">Per ablation: </w:t>
            </w:r>
          </w:p>
          <w:p w14:paraId="3813C803" w14:textId="77777777" w:rsidR="005175AE" w:rsidRPr="005175AE" w:rsidRDefault="005175AE" w:rsidP="009A6962">
            <w:pPr>
              <w:spacing w:before="40" w:after="40" w:line="288" w:lineRule="auto"/>
              <w:jc w:val="left"/>
              <w:rPr>
                <w:rFonts w:ascii="Arial Narrow" w:hAnsi="Arial Narrow" w:cstheme="minorBidi"/>
                <w:sz w:val="18"/>
                <w:szCs w:val="18"/>
              </w:rPr>
            </w:pPr>
            <w:proofErr w:type="gramStart"/>
            <w:r w:rsidRPr="005175AE">
              <w:rPr>
                <w:rFonts w:ascii="Arial Narrow" w:hAnsi="Arial Narrow" w:cstheme="minorBidi"/>
                <w:sz w:val="18"/>
                <w:szCs w:val="18"/>
              </w:rPr>
              <w:t>n/N</w:t>
            </w:r>
            <w:proofErr w:type="gramEnd"/>
            <w:r w:rsidRPr="005175AE">
              <w:rPr>
                <w:rFonts w:ascii="Arial Narrow" w:hAnsi="Arial Narrow" w:cstheme="minorBidi"/>
                <w:sz w:val="18"/>
                <w:szCs w:val="18"/>
              </w:rPr>
              <w:t xml:space="preserve"> (%):335/1497 (22%)</w:t>
            </w:r>
          </w:p>
          <w:p w14:paraId="69ECFAEC" w14:textId="2E27D526"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Median</w:t>
            </w:r>
            <w:r w:rsidRPr="005175AE">
              <w:rPr>
                <w:rFonts w:ascii="Arial Narrow" w:hAnsi="Arial Narrow" w:cstheme="minorBidi"/>
                <w:sz w:val="16"/>
                <w:szCs w:val="18"/>
              </w:rPr>
              <w:t xml:space="preserve">: </w:t>
            </w:r>
            <w:r w:rsidRPr="005175AE">
              <w:rPr>
                <w:rFonts w:ascii="Arial Narrow" w:hAnsi="Arial Narrow"/>
                <w:snapToGrid w:val="0"/>
                <w:color w:val="000000"/>
                <w:sz w:val="18"/>
                <w:szCs w:val="20"/>
              </w:rPr>
              <w:t>9% (2</w:t>
            </w:r>
            <w:r w:rsidR="007E3D66">
              <w:rPr>
                <w:rFonts w:ascii="Arial Narrow" w:hAnsi="Arial Narrow"/>
                <w:snapToGrid w:val="0"/>
                <w:color w:val="000000"/>
                <w:sz w:val="18"/>
                <w:szCs w:val="20"/>
              </w:rPr>
              <w:t>–</w:t>
            </w:r>
            <w:r w:rsidRPr="005175AE">
              <w:rPr>
                <w:rFonts w:ascii="Arial Narrow" w:hAnsi="Arial Narrow"/>
                <w:snapToGrid w:val="0"/>
                <w:color w:val="000000"/>
                <w:sz w:val="18"/>
                <w:szCs w:val="20"/>
              </w:rPr>
              <w:t>39%)</w:t>
            </w:r>
          </w:p>
          <w:p w14:paraId="436315C9" w14:textId="77777777" w:rsidR="005175AE" w:rsidRPr="005175AE" w:rsidRDefault="005175AE" w:rsidP="009A6962">
            <w:pPr>
              <w:spacing w:before="40" w:after="40" w:line="288" w:lineRule="auto"/>
              <w:jc w:val="left"/>
              <w:rPr>
                <w:rFonts w:ascii="Arial Narrow" w:hAnsi="Arial Narrow" w:cstheme="minorBidi"/>
                <w:sz w:val="18"/>
                <w:szCs w:val="18"/>
                <w:u w:val="single"/>
              </w:rPr>
            </w:pPr>
            <w:r w:rsidRPr="005175AE">
              <w:rPr>
                <w:rFonts w:ascii="Arial Narrow" w:hAnsi="Arial Narrow" w:cstheme="minorBidi"/>
                <w:sz w:val="18"/>
                <w:szCs w:val="18"/>
                <w:u w:val="single"/>
              </w:rPr>
              <w:t>Per patient:</w:t>
            </w:r>
          </w:p>
          <w:p w14:paraId="4B47A8FE" w14:textId="77777777" w:rsidR="005175AE" w:rsidRPr="005175AE" w:rsidRDefault="005175AE" w:rsidP="009A6962">
            <w:pPr>
              <w:spacing w:before="40" w:after="40" w:line="288" w:lineRule="auto"/>
              <w:jc w:val="left"/>
              <w:rPr>
                <w:rFonts w:ascii="Arial Narrow" w:hAnsi="Arial Narrow" w:cstheme="minorBidi"/>
                <w:sz w:val="18"/>
                <w:szCs w:val="18"/>
              </w:rPr>
            </w:pPr>
            <w:proofErr w:type="gramStart"/>
            <w:r w:rsidRPr="005175AE">
              <w:rPr>
                <w:rFonts w:ascii="Arial Narrow" w:hAnsi="Arial Narrow" w:cstheme="minorBidi"/>
                <w:sz w:val="18"/>
                <w:szCs w:val="18"/>
              </w:rPr>
              <w:t>n/N</w:t>
            </w:r>
            <w:proofErr w:type="gramEnd"/>
            <w:r w:rsidRPr="005175AE">
              <w:rPr>
                <w:rFonts w:ascii="Arial Narrow" w:hAnsi="Arial Narrow" w:cstheme="minorBidi"/>
                <w:sz w:val="18"/>
                <w:szCs w:val="18"/>
              </w:rPr>
              <w:t xml:space="preserve"> (%):29/262 (11%)</w:t>
            </w:r>
          </w:p>
          <w:p w14:paraId="172B0479" w14:textId="4098784C" w:rsidR="005175AE" w:rsidRPr="005175AE" w:rsidRDefault="005175AE" w:rsidP="009A6962">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Median: 10% (3</w:t>
            </w:r>
            <w:r w:rsidR="007E3D66">
              <w:rPr>
                <w:rFonts w:ascii="Arial Narrow" w:hAnsi="Arial Narrow" w:cstheme="minorBidi"/>
                <w:sz w:val="18"/>
                <w:szCs w:val="18"/>
              </w:rPr>
              <w:t>–</w:t>
            </w:r>
            <w:r w:rsidRPr="005175AE">
              <w:rPr>
                <w:rFonts w:ascii="Arial Narrow" w:hAnsi="Arial Narrow" w:cstheme="minorBidi"/>
                <w:sz w:val="18"/>
                <w:szCs w:val="18"/>
              </w:rPr>
              <w:t>24%)</w:t>
            </w:r>
          </w:p>
        </w:tc>
        <w:tc>
          <w:tcPr>
            <w:tcW w:w="373" w:type="pct"/>
            <w:tcBorders>
              <w:top w:val="single" w:sz="4" w:space="0" w:color="auto"/>
              <w:left w:val="single" w:sz="4" w:space="0" w:color="auto"/>
              <w:bottom w:val="single" w:sz="4" w:space="0" w:color="auto"/>
              <w:right w:val="single" w:sz="4" w:space="0" w:color="auto"/>
            </w:tcBorders>
          </w:tcPr>
          <w:p w14:paraId="68575485" w14:textId="77777777" w:rsidR="005175AE" w:rsidRPr="005175AE" w:rsidRDefault="005175AE" w:rsidP="009A6962">
            <w:pPr>
              <w:spacing w:before="40" w:after="40" w:line="288" w:lineRule="auto"/>
              <w:jc w:val="center"/>
              <w:rPr>
                <w:rFonts w:ascii="Cambria Math" w:eastAsiaTheme="minorEastAsia" w:hAnsi="Cambria Math" w:cstheme="minorBidi" w:hint="eastAsia"/>
                <w:color w:val="00B050"/>
              </w:rPr>
            </w:pPr>
            <w:r w:rsidRPr="005175AE">
              <w:rPr>
                <w:rFonts w:ascii="Cambria Math" w:eastAsiaTheme="minorEastAsia" w:hAnsi="Cambria Math" w:cstheme="minorBidi"/>
                <w:color w:val="00B050"/>
              </w:rPr>
              <w:t>⨁</w:t>
            </w:r>
            <w:r w:rsidRPr="005175AE">
              <w:rPr>
                <w:rFonts w:ascii="Cambria Math" w:eastAsiaTheme="minorEastAsia" w:hAnsi="Cambria Math" w:cs="Cambria Math"/>
                <w:color w:val="C00000"/>
              </w:rPr>
              <w:t>⨀⨀⨀</w:t>
            </w:r>
            <w:r w:rsidRPr="005175AE">
              <w:rPr>
                <w:rFonts w:ascii="Arial Narrow" w:hAnsi="Arial Narrow" w:cstheme="minorBidi"/>
                <w:sz w:val="18"/>
                <w:szCs w:val="18"/>
              </w:rPr>
              <w:br/>
              <w:t>VERY LOW</w:t>
            </w:r>
          </w:p>
        </w:tc>
        <w:tc>
          <w:tcPr>
            <w:tcW w:w="501" w:type="pct"/>
            <w:tcBorders>
              <w:top w:val="single" w:sz="4" w:space="0" w:color="auto"/>
              <w:left w:val="single" w:sz="4" w:space="0" w:color="auto"/>
              <w:bottom w:val="single" w:sz="4" w:space="0" w:color="auto"/>
              <w:right w:val="single" w:sz="4" w:space="0" w:color="auto"/>
            </w:tcBorders>
          </w:tcPr>
          <w:p w14:paraId="795265DA" w14:textId="77777777" w:rsidR="005175AE" w:rsidRPr="005175AE" w:rsidRDefault="005175AE" w:rsidP="00315B6D">
            <w:pPr>
              <w:spacing w:before="40" w:after="40" w:line="288" w:lineRule="auto"/>
              <w:jc w:val="left"/>
              <w:rPr>
                <w:rFonts w:ascii="Arial Narrow" w:hAnsi="Arial Narrow" w:cstheme="minorBidi"/>
                <w:sz w:val="18"/>
                <w:szCs w:val="18"/>
              </w:rPr>
            </w:pPr>
            <w:r w:rsidRPr="005175AE">
              <w:rPr>
                <w:rFonts w:ascii="Arial Narrow" w:hAnsi="Arial Narrow" w:cstheme="minorBidi"/>
                <w:sz w:val="18"/>
                <w:szCs w:val="18"/>
              </w:rPr>
              <w:t>IMPORTANT</w:t>
            </w:r>
          </w:p>
        </w:tc>
      </w:tr>
    </w:tbl>
    <w:p w14:paraId="33DBC0DB" w14:textId="77C3879B" w:rsidR="005175AE" w:rsidRPr="005175AE" w:rsidRDefault="00657BBD" w:rsidP="00E56A7C">
      <w:pPr>
        <w:pStyle w:val="Tablenotes0"/>
      </w:pPr>
      <w:r>
        <w:rPr>
          <w:rStyle w:val="TablenotesChar0"/>
        </w:rPr>
        <w:t>&lt;</w:t>
      </w:r>
      <w:r w:rsidR="005175AE" w:rsidRPr="00657BBD">
        <w:rPr>
          <w:rStyle w:val="TablenotesChar0"/>
        </w:rPr>
        <w:t xml:space="preserve">CI=confidence interval, </w:t>
      </w:r>
      <w:r w:rsidR="00E027FA">
        <w:rPr>
          <w:rStyle w:val="TablenotesChar0"/>
        </w:rPr>
        <w:t xml:space="preserve">MTA = microwave tissue ablation, RFA = radiofrequency ablation, </w:t>
      </w:r>
      <w:r w:rsidR="005175AE" w:rsidRPr="00657BBD">
        <w:rPr>
          <w:rStyle w:val="TablenotesChar0"/>
        </w:rPr>
        <w:t>n/N (%</w:t>
      </w:r>
      <w:proofErr w:type="gramStart"/>
      <w:r w:rsidR="005175AE" w:rsidRPr="00657BBD">
        <w:rPr>
          <w:rStyle w:val="TablenotesChar0"/>
        </w:rPr>
        <w:t>)=</w:t>
      </w:r>
      <w:proofErr w:type="gramEnd"/>
      <w:r w:rsidR="005175AE" w:rsidRPr="00657BBD">
        <w:rPr>
          <w:rStyle w:val="TablenotesChar0"/>
        </w:rPr>
        <w:t xml:space="preserve"> number with event/ total (percentage), NA=not applicable, k=number of studies; F/u: follow-up; K=number of </w:t>
      </w:r>
      <w:r w:rsidR="005175AE" w:rsidRPr="005175AE">
        <w:t>studies</w:t>
      </w:r>
      <w:r>
        <w:t>&gt;</w:t>
      </w:r>
    </w:p>
    <w:p w14:paraId="10824DCE" w14:textId="1928D926" w:rsidR="005175AE" w:rsidRPr="005175AE" w:rsidRDefault="005175AE" w:rsidP="00E56A7C">
      <w:pPr>
        <w:pStyle w:val="Tablenotes0"/>
        <w:rPr>
          <w:rFonts w:cstheme="minorBidi"/>
          <w:color w:val="000000"/>
          <w:sz w:val="14"/>
          <w:szCs w:val="14"/>
        </w:rPr>
      </w:pPr>
      <w:r w:rsidRPr="005175AE">
        <w:rPr>
          <w:rFonts w:eastAsiaTheme="minorEastAsia"/>
        </w:rPr>
        <w:t xml:space="preserve">GRADE Working Group grades of evidence (Guyatt et al., 2013) </w:t>
      </w:r>
      <w:r w:rsidRPr="005175AE">
        <w:rPr>
          <w:rFonts w:eastAsiaTheme="minorEastAsia"/>
        </w:rPr>
        <w:br/>
      </w:r>
      <w:r w:rsidR="00657BBD" w:rsidRPr="008120CC">
        <w:rPr>
          <w:rFonts w:ascii="Cambria Math" w:eastAsiaTheme="minorEastAsia" w:hAnsi="Cambria Math" w:cstheme="minorBidi"/>
          <w:color w:val="00B050"/>
        </w:rPr>
        <w:t>⨁⨁</w:t>
      </w:r>
      <w:r w:rsidR="00657BBD" w:rsidRPr="008120CC">
        <w:rPr>
          <w:rFonts w:ascii="Cambria Math" w:eastAsiaTheme="minorEastAsia" w:hAnsi="Cambria Math" w:cs="Cambria Math"/>
          <w:color w:val="C00000"/>
        </w:rPr>
        <w:t xml:space="preserve">⨀⨀ </w:t>
      </w:r>
      <w:r w:rsidR="00657BBD" w:rsidRPr="008120CC">
        <w:rPr>
          <w:rFonts w:eastAsiaTheme="minorEastAsia"/>
          <w:b/>
          <w:bCs/>
        </w:rPr>
        <w:t>Low quality:</w:t>
      </w:r>
      <w:r w:rsidR="00657BBD" w:rsidRPr="008120CC">
        <w:rPr>
          <w:rFonts w:eastAsiaTheme="minorEastAsia"/>
        </w:rPr>
        <w:t xml:space="preserve"> Our confidence in </w:t>
      </w:r>
      <w:r w:rsidR="00657BBD" w:rsidRPr="00E56A7C">
        <w:rPr>
          <w:rFonts w:eastAsiaTheme="minorEastAsia"/>
        </w:rPr>
        <w:t>the</w:t>
      </w:r>
      <w:r w:rsidR="00657BBD" w:rsidRPr="008120CC">
        <w:rPr>
          <w:rFonts w:eastAsiaTheme="minorEastAsia"/>
        </w:rPr>
        <w:t xml:space="preserve"> effect estimate is limited: The true effect may be substantially different from the estimate of the effect.</w:t>
      </w:r>
      <w:r w:rsidR="00657BBD" w:rsidRPr="008120CC">
        <w:rPr>
          <w:rFonts w:eastAsiaTheme="minorEastAsia"/>
        </w:rPr>
        <w:br/>
      </w:r>
      <w:r w:rsidR="00657BBD" w:rsidRPr="008120CC">
        <w:rPr>
          <w:rFonts w:ascii="Cambria Math" w:eastAsiaTheme="minorEastAsia" w:hAnsi="Cambria Math" w:cstheme="minorBidi"/>
          <w:color w:val="00B050"/>
        </w:rPr>
        <w:t>⨁</w:t>
      </w:r>
      <w:r w:rsidR="00657BBD" w:rsidRPr="008120CC">
        <w:rPr>
          <w:rFonts w:ascii="Cambria Math" w:eastAsiaTheme="minorEastAsia" w:hAnsi="Cambria Math" w:cs="Cambria Math"/>
          <w:color w:val="C00000"/>
        </w:rPr>
        <w:t xml:space="preserve">⨀⨀⨀ </w:t>
      </w:r>
      <w:r w:rsidR="00657BBD" w:rsidRPr="008120CC">
        <w:rPr>
          <w:rFonts w:eastAsiaTheme="minorEastAsia"/>
          <w:b/>
          <w:bCs/>
        </w:rPr>
        <w:t>Very low quality:</w:t>
      </w:r>
      <w:r w:rsidR="00657BBD" w:rsidRPr="008120CC">
        <w:rPr>
          <w:rFonts w:eastAsiaTheme="minorEastAsia"/>
        </w:rPr>
        <w:t xml:space="preserve"> We have very little confidence in the effect estimate: The true effect is likely to be substantially different from the estimate of effect</w:t>
      </w:r>
    </w:p>
    <w:p w14:paraId="71EF8CCF" w14:textId="11AFE592" w:rsidR="005175AE" w:rsidRPr="005175AE" w:rsidRDefault="005175AE" w:rsidP="00E56A7C">
      <w:pPr>
        <w:pStyle w:val="Tablenotes0"/>
        <w:numPr>
          <w:ilvl w:val="0"/>
          <w:numId w:val="87"/>
        </w:numPr>
        <w:ind w:left="284" w:hanging="284"/>
      </w:pPr>
      <w:r w:rsidRPr="005175AE">
        <w:t>Due to inherent limitations in study design</w:t>
      </w:r>
      <w:r w:rsidR="00E56A7C">
        <w:t>.</w:t>
      </w:r>
    </w:p>
    <w:p w14:paraId="0DF9CB27" w14:textId="2406CBD0" w:rsidR="005175AE" w:rsidRPr="005175AE" w:rsidRDefault="005175AE" w:rsidP="00E56A7C">
      <w:pPr>
        <w:pStyle w:val="Tablenotes0"/>
        <w:numPr>
          <w:ilvl w:val="0"/>
          <w:numId w:val="87"/>
        </w:numPr>
        <w:ind w:left="284" w:hanging="284"/>
      </w:pPr>
      <w:r w:rsidRPr="005175AE">
        <w:t>One death was delayed (occurring eight months after the procedure)</w:t>
      </w:r>
      <w:r w:rsidR="00E56A7C">
        <w:t>.</w:t>
      </w:r>
    </w:p>
    <w:p w14:paraId="42F344A6" w14:textId="5346F017" w:rsidR="005175AE" w:rsidRPr="005175AE" w:rsidRDefault="005175AE" w:rsidP="00E56A7C">
      <w:pPr>
        <w:pStyle w:val="Tablenotes0"/>
        <w:numPr>
          <w:ilvl w:val="0"/>
          <w:numId w:val="87"/>
        </w:numPr>
        <w:ind w:left="284" w:hanging="284"/>
      </w:pPr>
      <w:r w:rsidRPr="005175AE">
        <w:t xml:space="preserve">Studies of radiotherapy included a mix of Level IV, Level III-2, Level III-3 and Level II studies. However, overall there were a large number of Level IV studies. </w:t>
      </w:r>
    </w:p>
    <w:p w14:paraId="099D77F7" w14:textId="77777777" w:rsidR="005175AE" w:rsidRPr="005175AE" w:rsidRDefault="005175AE" w:rsidP="00E56A7C">
      <w:pPr>
        <w:pStyle w:val="Tablenotes0"/>
        <w:numPr>
          <w:ilvl w:val="0"/>
          <w:numId w:val="87"/>
        </w:numPr>
        <w:ind w:left="284" w:hanging="284"/>
      </w:pPr>
      <w:r w:rsidRPr="005175AE">
        <w:t xml:space="preserve">Videtic et al (2015) reported the death of one patient who received 48 Gy </w:t>
      </w:r>
      <w:proofErr w:type="gramStart"/>
      <w:r w:rsidRPr="005175AE">
        <w:t>radiation</w:t>
      </w:r>
      <w:proofErr w:type="gramEnd"/>
      <w:r w:rsidRPr="005175AE">
        <w:t xml:space="preserve"> in 4 fractions. The patient died 319 days after the procedure due to respiratory failure.  The other death was reported by Oh et al (2012), in whom a patient with a long history of COPD, and who had received left Pneumonectomy and postoperative RT for NSCLC prior to SBRT. The patients died from respiratory failure five months after receiving SBRT.</w:t>
      </w:r>
    </w:p>
    <w:p w14:paraId="790FE22B" w14:textId="77777777" w:rsidR="005175AE" w:rsidRPr="00855ADC" w:rsidRDefault="005175AE" w:rsidP="005C061E">
      <w:pPr>
        <w:pStyle w:val="Tablenotes0"/>
        <w:spacing w:after="0"/>
        <w:sectPr w:rsidR="005175AE" w:rsidRPr="00855ADC" w:rsidSect="0024526E">
          <w:pgSz w:w="16838" w:h="11906" w:orient="landscape"/>
          <w:pgMar w:top="1440" w:right="851" w:bottom="1440" w:left="851" w:header="720" w:footer="720" w:gutter="0"/>
          <w:paperSrc w:first="7" w:other="7"/>
          <w:cols w:space="720"/>
        </w:sectPr>
      </w:pPr>
    </w:p>
    <w:p w14:paraId="71648899" w14:textId="77777777" w:rsidR="00D72E20" w:rsidRDefault="00D72E20" w:rsidP="00706575">
      <w:pPr>
        <w:pStyle w:val="Heading1"/>
      </w:pPr>
      <w:bookmarkStart w:id="524" w:name="_Ref458086984"/>
      <w:bookmarkStart w:id="525" w:name="_Toc460396111"/>
      <w:bookmarkStart w:id="526" w:name="_Ref364237293"/>
      <w:bookmarkStart w:id="527" w:name="_Ref363131580"/>
      <w:bookmarkStart w:id="528" w:name="_Toc379118102"/>
      <w:bookmarkStart w:id="529" w:name="_Toc381796506"/>
      <w:r>
        <w:lastRenderedPageBreak/>
        <w:t xml:space="preserve">Appendix </w:t>
      </w:r>
      <w:fldSimple w:instr=" SEQ Appendix \* ALPHABETIC ">
        <w:r w:rsidR="00D170A5">
          <w:rPr>
            <w:noProof/>
          </w:rPr>
          <w:t>E</w:t>
        </w:r>
      </w:fldSimple>
      <w:r>
        <w:tab/>
        <w:t>Study Outcome Tables</w:t>
      </w:r>
      <w:bookmarkEnd w:id="524"/>
      <w:bookmarkEnd w:id="525"/>
      <w:r>
        <w:t xml:space="preserve"> </w:t>
      </w:r>
    </w:p>
    <w:p w14:paraId="38D954E3" w14:textId="77777777" w:rsidR="00F25921" w:rsidRDefault="00F25921" w:rsidP="00706575">
      <w:pPr>
        <w:pStyle w:val="Caption"/>
        <w:keepNext/>
      </w:pPr>
      <w:bookmarkStart w:id="530" w:name="_Toc460514757"/>
      <w:r>
        <w:t xml:space="preserve">Table </w:t>
      </w:r>
      <w:fldSimple w:instr=" SEQ Table \* ARABIC ">
        <w:r w:rsidR="00D170A5">
          <w:rPr>
            <w:noProof/>
          </w:rPr>
          <w:t>99</w:t>
        </w:r>
      </w:fldSimple>
      <w:r>
        <w:tab/>
      </w:r>
      <w:r w:rsidR="00056B1F">
        <w:t>Overall and cancer-specific s</w:t>
      </w:r>
      <w:r>
        <w:t>urvival rates at 1-, 2-, 3</w:t>
      </w:r>
      <w:r w:rsidR="00FC08BD">
        <w:t xml:space="preserve">-, </w:t>
      </w:r>
      <w:r>
        <w:t xml:space="preserve">4- </w:t>
      </w:r>
      <w:r w:rsidR="00FC08BD">
        <w:t>and</w:t>
      </w:r>
      <w:r>
        <w:t xml:space="preserve"> 5-years (MTA, population one)</w:t>
      </w:r>
      <w:bookmarkEnd w:id="5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113"/>
        <w:gridCol w:w="870"/>
        <w:gridCol w:w="1420"/>
        <w:gridCol w:w="1420"/>
        <w:gridCol w:w="1420"/>
        <w:gridCol w:w="1420"/>
        <w:gridCol w:w="1419"/>
      </w:tblGrid>
      <w:tr w:rsidR="0018783F" w:rsidRPr="006C5E83" w14:paraId="5C6042BC" w14:textId="77777777" w:rsidTr="00657BBD">
        <w:tc>
          <w:tcPr>
            <w:tcW w:w="612" w:type="pct"/>
            <w:shd w:val="clear" w:color="auto" w:fill="D9D9D9" w:themeFill="background1" w:themeFillShade="D9"/>
          </w:tcPr>
          <w:p w14:paraId="049A5352" w14:textId="77777777" w:rsidR="0018783F" w:rsidRPr="00435873" w:rsidRDefault="0018783F" w:rsidP="00DC1A92">
            <w:pPr>
              <w:pStyle w:val="Tabletext1"/>
              <w:spacing w:before="40" w:after="40"/>
              <w:rPr>
                <w:b/>
                <w:snapToGrid w:val="0"/>
                <w:lang w:eastAsia="en-US"/>
              </w:rPr>
            </w:pPr>
            <w:r w:rsidRPr="00435873">
              <w:rPr>
                <w:b/>
                <w:snapToGrid w:val="0"/>
                <w:lang w:eastAsia="en-US"/>
              </w:rPr>
              <w:t>Trial/Study</w:t>
            </w:r>
          </w:p>
        </w:tc>
        <w:tc>
          <w:tcPr>
            <w:tcW w:w="479" w:type="pct"/>
            <w:shd w:val="clear" w:color="auto" w:fill="D9D9D9" w:themeFill="background1" w:themeFillShade="D9"/>
          </w:tcPr>
          <w:p w14:paraId="2F7B35E0" w14:textId="77777777" w:rsidR="0018783F" w:rsidRPr="00435873" w:rsidRDefault="0018783F" w:rsidP="00DC1A92">
            <w:pPr>
              <w:pStyle w:val="Tabletext1"/>
              <w:spacing w:before="40" w:after="40"/>
              <w:rPr>
                <w:b/>
                <w:snapToGrid w:val="0"/>
                <w:lang w:eastAsia="en-US"/>
              </w:rPr>
            </w:pPr>
            <w:r w:rsidRPr="00435873">
              <w:rPr>
                <w:b/>
                <w:snapToGrid w:val="0"/>
                <w:lang w:eastAsia="en-US"/>
              </w:rPr>
              <w:t>N (lesions)</w:t>
            </w:r>
          </w:p>
        </w:tc>
        <w:tc>
          <w:tcPr>
            <w:tcW w:w="782" w:type="pct"/>
            <w:shd w:val="clear" w:color="auto" w:fill="D9D9D9" w:themeFill="background1" w:themeFillShade="D9"/>
          </w:tcPr>
          <w:p w14:paraId="24CE97FC" w14:textId="77777777" w:rsidR="0018783F" w:rsidRPr="00435873" w:rsidRDefault="0018783F" w:rsidP="00DC1A92">
            <w:pPr>
              <w:pStyle w:val="Tabletext1"/>
              <w:spacing w:before="40" w:after="40"/>
              <w:rPr>
                <w:b/>
                <w:snapToGrid w:val="0"/>
                <w:lang w:eastAsia="en-US"/>
              </w:rPr>
            </w:pPr>
            <w:r w:rsidRPr="00435873">
              <w:rPr>
                <w:b/>
                <w:snapToGrid w:val="0"/>
                <w:lang w:eastAsia="en-US"/>
              </w:rPr>
              <w:t>1-year OS</w:t>
            </w:r>
          </w:p>
          <w:p w14:paraId="24A96E93" w14:textId="77777777" w:rsidR="0018783F" w:rsidRPr="00435873" w:rsidRDefault="0018783F" w:rsidP="00DC1A92">
            <w:pPr>
              <w:pStyle w:val="Tabletext1"/>
              <w:spacing w:before="40" w:after="40"/>
              <w:rPr>
                <w:b/>
                <w:snapToGrid w:val="0"/>
                <w:lang w:eastAsia="en-US"/>
              </w:rPr>
            </w:pPr>
            <w:r w:rsidRPr="00435873">
              <w:rPr>
                <w:b/>
                <w:i/>
                <w:snapToGrid w:val="0"/>
                <w:lang w:eastAsia="en-US"/>
              </w:rPr>
              <w:t>Cancer specific</w:t>
            </w:r>
          </w:p>
        </w:tc>
        <w:tc>
          <w:tcPr>
            <w:tcW w:w="782" w:type="pct"/>
            <w:shd w:val="clear" w:color="auto" w:fill="D9D9D9" w:themeFill="background1" w:themeFillShade="D9"/>
          </w:tcPr>
          <w:p w14:paraId="1303B095" w14:textId="77777777" w:rsidR="0018783F" w:rsidRPr="00435873" w:rsidRDefault="0018783F" w:rsidP="00DC1A92">
            <w:pPr>
              <w:pStyle w:val="Tabletext1"/>
              <w:spacing w:before="40" w:after="40"/>
              <w:rPr>
                <w:b/>
                <w:snapToGrid w:val="0"/>
                <w:lang w:eastAsia="en-US"/>
              </w:rPr>
            </w:pPr>
            <w:r w:rsidRPr="00435873">
              <w:rPr>
                <w:b/>
                <w:snapToGrid w:val="0"/>
                <w:lang w:eastAsia="en-US"/>
              </w:rPr>
              <w:t>2-year OS</w:t>
            </w:r>
          </w:p>
          <w:p w14:paraId="0F99F9EE" w14:textId="77777777" w:rsidR="0018783F" w:rsidRPr="00435873" w:rsidRDefault="0018783F" w:rsidP="00DC1A92">
            <w:pPr>
              <w:pStyle w:val="Tabletext1"/>
              <w:spacing w:before="40" w:after="40"/>
              <w:rPr>
                <w:b/>
                <w:snapToGrid w:val="0"/>
                <w:lang w:eastAsia="en-US"/>
              </w:rPr>
            </w:pPr>
            <w:r w:rsidRPr="00435873">
              <w:rPr>
                <w:b/>
                <w:i/>
                <w:snapToGrid w:val="0"/>
                <w:lang w:eastAsia="en-US"/>
              </w:rPr>
              <w:t>Cancer specific</w:t>
            </w:r>
          </w:p>
        </w:tc>
        <w:tc>
          <w:tcPr>
            <w:tcW w:w="782" w:type="pct"/>
            <w:shd w:val="clear" w:color="auto" w:fill="D9D9D9" w:themeFill="background1" w:themeFillShade="D9"/>
          </w:tcPr>
          <w:p w14:paraId="2115E2F9" w14:textId="77777777" w:rsidR="0018783F" w:rsidRPr="00435873" w:rsidRDefault="0018783F" w:rsidP="00DC1A92">
            <w:pPr>
              <w:pStyle w:val="Tabletext1"/>
              <w:spacing w:before="40" w:after="40"/>
              <w:rPr>
                <w:b/>
                <w:snapToGrid w:val="0"/>
                <w:lang w:eastAsia="en-US"/>
              </w:rPr>
            </w:pPr>
            <w:r w:rsidRPr="00435873">
              <w:rPr>
                <w:b/>
                <w:snapToGrid w:val="0"/>
                <w:lang w:eastAsia="en-US"/>
              </w:rPr>
              <w:t>3-year OS</w:t>
            </w:r>
          </w:p>
          <w:p w14:paraId="5FB1372F" w14:textId="77777777" w:rsidR="0018783F" w:rsidRPr="00435873" w:rsidRDefault="0018783F" w:rsidP="00DC1A92">
            <w:pPr>
              <w:pStyle w:val="Tabletext1"/>
              <w:spacing w:before="40" w:after="40"/>
              <w:rPr>
                <w:b/>
                <w:snapToGrid w:val="0"/>
                <w:lang w:eastAsia="en-US"/>
              </w:rPr>
            </w:pPr>
            <w:r w:rsidRPr="00435873">
              <w:rPr>
                <w:b/>
                <w:i/>
                <w:snapToGrid w:val="0"/>
                <w:lang w:eastAsia="en-US"/>
              </w:rPr>
              <w:t>Cancer specific</w:t>
            </w:r>
          </w:p>
        </w:tc>
        <w:tc>
          <w:tcPr>
            <w:tcW w:w="782" w:type="pct"/>
            <w:shd w:val="clear" w:color="auto" w:fill="D9D9D9" w:themeFill="background1" w:themeFillShade="D9"/>
          </w:tcPr>
          <w:p w14:paraId="2C9EDFEA" w14:textId="77777777" w:rsidR="0018783F" w:rsidRPr="00435873" w:rsidRDefault="0018783F" w:rsidP="00DC1A92">
            <w:pPr>
              <w:pStyle w:val="Tabletext1"/>
              <w:spacing w:before="40" w:after="40"/>
              <w:rPr>
                <w:b/>
                <w:snapToGrid w:val="0"/>
                <w:lang w:eastAsia="en-US"/>
              </w:rPr>
            </w:pPr>
            <w:r w:rsidRPr="00435873">
              <w:rPr>
                <w:b/>
                <w:snapToGrid w:val="0"/>
                <w:lang w:eastAsia="en-US"/>
              </w:rPr>
              <w:t>4-year OS</w:t>
            </w:r>
          </w:p>
          <w:p w14:paraId="6600E5AD" w14:textId="77777777" w:rsidR="0018783F" w:rsidRPr="00435873" w:rsidRDefault="0018783F" w:rsidP="00DC1A92">
            <w:pPr>
              <w:pStyle w:val="Tabletext1"/>
              <w:spacing w:before="40" w:after="40"/>
              <w:rPr>
                <w:b/>
                <w:snapToGrid w:val="0"/>
                <w:lang w:eastAsia="en-US"/>
              </w:rPr>
            </w:pPr>
            <w:r w:rsidRPr="00435873">
              <w:rPr>
                <w:b/>
                <w:i/>
                <w:snapToGrid w:val="0"/>
                <w:lang w:eastAsia="en-US"/>
              </w:rPr>
              <w:t>Cancer specific</w:t>
            </w:r>
          </w:p>
        </w:tc>
        <w:tc>
          <w:tcPr>
            <w:tcW w:w="782" w:type="pct"/>
            <w:shd w:val="clear" w:color="auto" w:fill="D9D9D9" w:themeFill="background1" w:themeFillShade="D9"/>
          </w:tcPr>
          <w:p w14:paraId="4B781D9A" w14:textId="77777777" w:rsidR="0018783F" w:rsidRPr="00435873" w:rsidRDefault="0018783F" w:rsidP="00DC1A92">
            <w:pPr>
              <w:pStyle w:val="Tabletext1"/>
              <w:spacing w:before="40" w:after="40"/>
              <w:rPr>
                <w:b/>
                <w:snapToGrid w:val="0"/>
                <w:lang w:eastAsia="en-US"/>
              </w:rPr>
            </w:pPr>
            <w:r w:rsidRPr="00435873">
              <w:rPr>
                <w:b/>
                <w:snapToGrid w:val="0"/>
                <w:lang w:eastAsia="en-US"/>
              </w:rPr>
              <w:t>5-year OS</w:t>
            </w:r>
          </w:p>
          <w:p w14:paraId="5A146B2B" w14:textId="77777777" w:rsidR="0018783F" w:rsidRPr="00435873" w:rsidRDefault="0018783F" w:rsidP="00DC1A92">
            <w:pPr>
              <w:pStyle w:val="Tabletext1"/>
              <w:spacing w:before="40" w:after="40"/>
              <w:rPr>
                <w:b/>
                <w:snapToGrid w:val="0"/>
                <w:lang w:eastAsia="en-US"/>
              </w:rPr>
            </w:pPr>
            <w:r w:rsidRPr="00435873">
              <w:rPr>
                <w:b/>
                <w:i/>
                <w:snapToGrid w:val="0"/>
                <w:lang w:eastAsia="en-US"/>
              </w:rPr>
              <w:t>Cancer specific</w:t>
            </w:r>
          </w:p>
        </w:tc>
      </w:tr>
      <w:tr w:rsidR="0018783F" w:rsidRPr="006C5E83" w14:paraId="54F2ACA2" w14:textId="77777777" w:rsidTr="0018783F">
        <w:tc>
          <w:tcPr>
            <w:tcW w:w="612" w:type="pct"/>
            <w:shd w:val="clear" w:color="auto" w:fill="auto"/>
          </w:tcPr>
          <w:p w14:paraId="73ED18A2" w14:textId="77777777" w:rsidR="0018783F" w:rsidRPr="006C5E83" w:rsidRDefault="0018783F" w:rsidP="00DC1A92">
            <w:pPr>
              <w:pStyle w:val="Tabletext1"/>
              <w:spacing w:before="40" w:after="40"/>
              <w:rPr>
                <w:snapToGrid w:val="0"/>
              </w:rPr>
            </w:pPr>
            <w:r w:rsidRPr="006C5E83">
              <w:rPr>
                <w:snapToGrid w:val="0"/>
              </w:rPr>
              <w:t>Han et al (2015)</w:t>
            </w:r>
          </w:p>
        </w:tc>
        <w:tc>
          <w:tcPr>
            <w:tcW w:w="479" w:type="pct"/>
            <w:shd w:val="clear" w:color="auto" w:fill="auto"/>
          </w:tcPr>
          <w:p w14:paraId="69D70618" w14:textId="77777777" w:rsidR="0018783F" w:rsidRPr="006C5E83" w:rsidRDefault="0018783F" w:rsidP="00DC1A92">
            <w:pPr>
              <w:pStyle w:val="Tabletext1"/>
              <w:spacing w:before="40" w:after="40"/>
              <w:rPr>
                <w:snapToGrid w:val="0"/>
              </w:rPr>
            </w:pPr>
            <w:r w:rsidRPr="006C5E83">
              <w:rPr>
                <w:snapToGrid w:val="0"/>
              </w:rPr>
              <w:t>28 (28)</w:t>
            </w:r>
          </w:p>
        </w:tc>
        <w:tc>
          <w:tcPr>
            <w:tcW w:w="782" w:type="pct"/>
            <w:shd w:val="clear" w:color="auto" w:fill="auto"/>
          </w:tcPr>
          <w:p w14:paraId="7911C1AC" w14:textId="194815E3" w:rsidR="0018783F" w:rsidRPr="006C5E83" w:rsidRDefault="0018783F" w:rsidP="00DC1A92">
            <w:pPr>
              <w:pStyle w:val="Tabletext1"/>
              <w:spacing w:before="40" w:after="40"/>
            </w:pPr>
            <w:r w:rsidRPr="006C5E83">
              <w:t>91.7</w:t>
            </w:r>
            <w:r w:rsidR="00F269E7">
              <w:t>%</w:t>
            </w:r>
          </w:p>
          <w:p w14:paraId="393FE676" w14:textId="7D7C53D8" w:rsidR="0018783F" w:rsidRPr="006C5E83" w:rsidRDefault="0018783F" w:rsidP="00DC1A92">
            <w:pPr>
              <w:pStyle w:val="Tabletext1"/>
              <w:spacing w:before="40" w:after="40"/>
            </w:pPr>
            <w:r w:rsidRPr="006C5E83">
              <w:rPr>
                <w:i/>
              </w:rPr>
              <w:t>94.7</w:t>
            </w:r>
            <w:r w:rsidR="00F269E7">
              <w:rPr>
                <w:i/>
              </w:rPr>
              <w:t>%</w:t>
            </w:r>
          </w:p>
        </w:tc>
        <w:tc>
          <w:tcPr>
            <w:tcW w:w="782" w:type="pct"/>
            <w:shd w:val="clear" w:color="auto" w:fill="auto"/>
          </w:tcPr>
          <w:p w14:paraId="637903D3" w14:textId="703B2E87" w:rsidR="0018783F" w:rsidRPr="006C5E83" w:rsidRDefault="0018783F" w:rsidP="00DC1A92">
            <w:pPr>
              <w:pStyle w:val="Tabletext1"/>
              <w:spacing w:before="40" w:after="40"/>
            </w:pPr>
            <w:r w:rsidRPr="006C5E83">
              <w:t>76.5</w:t>
            </w:r>
            <w:r w:rsidR="00F269E7">
              <w:t>%</w:t>
            </w:r>
          </w:p>
          <w:p w14:paraId="34949004" w14:textId="2974F285" w:rsidR="0018783F" w:rsidRPr="006C5E83" w:rsidRDefault="0018783F" w:rsidP="00DC1A92">
            <w:pPr>
              <w:pStyle w:val="Tabletext1"/>
              <w:spacing w:before="40" w:after="40"/>
              <w:rPr>
                <w:snapToGrid w:val="0"/>
              </w:rPr>
            </w:pPr>
            <w:r w:rsidRPr="006C5E83">
              <w:rPr>
                <w:i/>
              </w:rPr>
              <w:t>73.9</w:t>
            </w:r>
            <w:r w:rsidR="00F269E7">
              <w:rPr>
                <w:i/>
              </w:rPr>
              <w:t>%</w:t>
            </w:r>
          </w:p>
        </w:tc>
        <w:tc>
          <w:tcPr>
            <w:tcW w:w="782" w:type="pct"/>
          </w:tcPr>
          <w:p w14:paraId="4265C58A" w14:textId="2EDEF246" w:rsidR="0018783F" w:rsidRPr="006C5E83" w:rsidRDefault="0018783F" w:rsidP="00DC1A92">
            <w:pPr>
              <w:pStyle w:val="Tabletext1"/>
              <w:spacing w:before="40" w:after="40"/>
            </w:pPr>
            <w:r w:rsidRPr="006C5E83">
              <w:t>47.9</w:t>
            </w:r>
            <w:r w:rsidR="00F269E7">
              <w:t>%</w:t>
            </w:r>
          </w:p>
          <w:p w14:paraId="5558220A" w14:textId="0984E445" w:rsidR="0018783F" w:rsidRPr="006C5E83" w:rsidRDefault="0018783F" w:rsidP="00DC1A92">
            <w:pPr>
              <w:pStyle w:val="Tabletext1"/>
              <w:spacing w:before="40" w:after="40"/>
              <w:rPr>
                <w:snapToGrid w:val="0"/>
              </w:rPr>
            </w:pPr>
            <w:r w:rsidRPr="006C5E83">
              <w:rPr>
                <w:i/>
              </w:rPr>
              <w:t>64.7</w:t>
            </w:r>
            <w:r w:rsidR="00F269E7">
              <w:rPr>
                <w:i/>
              </w:rPr>
              <w:t>%</w:t>
            </w:r>
          </w:p>
        </w:tc>
        <w:tc>
          <w:tcPr>
            <w:tcW w:w="782" w:type="pct"/>
          </w:tcPr>
          <w:p w14:paraId="311EAA7B" w14:textId="3A0146AA" w:rsidR="0018783F" w:rsidRPr="006C5E83" w:rsidRDefault="0018783F" w:rsidP="00DC1A92">
            <w:pPr>
              <w:pStyle w:val="Tabletext1"/>
              <w:spacing w:before="40" w:after="40"/>
            </w:pPr>
            <w:r w:rsidRPr="006C5E83">
              <w:t>47.9</w:t>
            </w:r>
            <w:r w:rsidR="00F269E7">
              <w:t>%</w:t>
            </w:r>
          </w:p>
          <w:p w14:paraId="007F0A27" w14:textId="5E00BC6D" w:rsidR="0018783F" w:rsidRPr="006C5E83" w:rsidRDefault="0018783F" w:rsidP="00DC1A92">
            <w:pPr>
              <w:pStyle w:val="Tabletext1"/>
              <w:spacing w:before="40" w:after="40"/>
              <w:rPr>
                <w:snapToGrid w:val="0"/>
              </w:rPr>
            </w:pPr>
            <w:r w:rsidRPr="006C5E83">
              <w:rPr>
                <w:i/>
              </w:rPr>
              <w:t>64.7</w:t>
            </w:r>
            <w:r w:rsidR="00F269E7">
              <w:rPr>
                <w:i/>
              </w:rPr>
              <w:t>%</w:t>
            </w:r>
          </w:p>
        </w:tc>
        <w:tc>
          <w:tcPr>
            <w:tcW w:w="782" w:type="pct"/>
          </w:tcPr>
          <w:p w14:paraId="24B52900" w14:textId="77777777" w:rsidR="0018783F" w:rsidRPr="006C5E83" w:rsidRDefault="0018783F" w:rsidP="00DC1A92">
            <w:pPr>
              <w:pStyle w:val="Tabletext1"/>
              <w:spacing w:before="40" w:after="40"/>
              <w:rPr>
                <w:snapToGrid w:val="0"/>
              </w:rPr>
            </w:pPr>
            <w:r w:rsidRPr="006C5E83">
              <w:rPr>
                <w:snapToGrid w:val="0"/>
              </w:rPr>
              <w:t>NR</w:t>
            </w:r>
          </w:p>
        </w:tc>
      </w:tr>
      <w:tr w:rsidR="0018783F" w:rsidRPr="006C5E83" w14:paraId="65A04F7E" w14:textId="77777777" w:rsidTr="0018783F">
        <w:tc>
          <w:tcPr>
            <w:tcW w:w="612" w:type="pct"/>
            <w:shd w:val="clear" w:color="auto" w:fill="auto"/>
          </w:tcPr>
          <w:p w14:paraId="7CD59AB4" w14:textId="77777777" w:rsidR="0018783F" w:rsidRPr="006C5E83" w:rsidRDefault="0018783F" w:rsidP="00DC1A92">
            <w:pPr>
              <w:pStyle w:val="Tabletext1"/>
              <w:spacing w:before="40" w:after="40"/>
              <w:rPr>
                <w:snapToGrid w:val="0"/>
              </w:rPr>
            </w:pPr>
            <w:r w:rsidRPr="006C5E83">
              <w:rPr>
                <w:snapToGrid w:val="0"/>
              </w:rPr>
              <w:t>Liu &amp; Steinke (2015)</w:t>
            </w:r>
          </w:p>
        </w:tc>
        <w:tc>
          <w:tcPr>
            <w:tcW w:w="479" w:type="pct"/>
            <w:shd w:val="clear" w:color="auto" w:fill="auto"/>
          </w:tcPr>
          <w:p w14:paraId="299CD770" w14:textId="77777777" w:rsidR="0018783F" w:rsidRPr="006C5E83" w:rsidRDefault="0018783F" w:rsidP="00DC1A92">
            <w:pPr>
              <w:pStyle w:val="Tabletext1"/>
              <w:spacing w:before="40" w:after="40"/>
              <w:rPr>
                <w:snapToGrid w:val="0"/>
              </w:rPr>
            </w:pPr>
            <w:r w:rsidRPr="006C5E83">
              <w:rPr>
                <w:snapToGrid w:val="0"/>
              </w:rPr>
              <w:t>15 (16)</w:t>
            </w:r>
          </w:p>
        </w:tc>
        <w:tc>
          <w:tcPr>
            <w:tcW w:w="782" w:type="pct"/>
            <w:shd w:val="clear" w:color="auto" w:fill="auto"/>
          </w:tcPr>
          <w:p w14:paraId="0101BAD5" w14:textId="77777777" w:rsidR="0018783F" w:rsidRPr="006C5E83" w:rsidRDefault="0018783F" w:rsidP="00DC1A92">
            <w:pPr>
              <w:pStyle w:val="Tabletext1"/>
              <w:spacing w:before="40" w:after="40"/>
            </w:pPr>
            <w:r w:rsidRPr="006C5E83">
              <w:t>NR</w:t>
            </w:r>
          </w:p>
        </w:tc>
        <w:tc>
          <w:tcPr>
            <w:tcW w:w="782" w:type="pct"/>
            <w:shd w:val="clear" w:color="auto" w:fill="auto"/>
          </w:tcPr>
          <w:p w14:paraId="3A693A5F" w14:textId="77777777" w:rsidR="0018783F" w:rsidRPr="006C5E83" w:rsidRDefault="0018783F" w:rsidP="00DC1A92">
            <w:pPr>
              <w:pStyle w:val="Tabletext1"/>
              <w:spacing w:before="40" w:after="40"/>
              <w:rPr>
                <w:snapToGrid w:val="0"/>
              </w:rPr>
            </w:pPr>
            <w:r w:rsidRPr="006C5E83">
              <w:rPr>
                <w:snapToGrid w:val="0"/>
              </w:rPr>
              <w:t>NR</w:t>
            </w:r>
          </w:p>
        </w:tc>
        <w:tc>
          <w:tcPr>
            <w:tcW w:w="782" w:type="pct"/>
          </w:tcPr>
          <w:p w14:paraId="71F122CE" w14:textId="77777777" w:rsidR="0018783F" w:rsidRPr="006C5E83" w:rsidRDefault="0018783F" w:rsidP="00DC1A92">
            <w:pPr>
              <w:pStyle w:val="Tabletext1"/>
              <w:spacing w:before="40" w:after="40"/>
              <w:rPr>
                <w:snapToGrid w:val="0"/>
              </w:rPr>
            </w:pPr>
            <w:r w:rsidRPr="006C5E83">
              <w:t>NR</w:t>
            </w:r>
          </w:p>
        </w:tc>
        <w:tc>
          <w:tcPr>
            <w:tcW w:w="782" w:type="pct"/>
          </w:tcPr>
          <w:p w14:paraId="4AD12B67" w14:textId="77777777" w:rsidR="0018783F" w:rsidRPr="006C5E83" w:rsidRDefault="0018783F" w:rsidP="00DC1A92">
            <w:pPr>
              <w:pStyle w:val="Tabletext1"/>
              <w:spacing w:before="40" w:after="40"/>
              <w:rPr>
                <w:snapToGrid w:val="0"/>
              </w:rPr>
            </w:pPr>
            <w:r w:rsidRPr="006C5E83">
              <w:t>NR</w:t>
            </w:r>
          </w:p>
        </w:tc>
        <w:tc>
          <w:tcPr>
            <w:tcW w:w="782" w:type="pct"/>
          </w:tcPr>
          <w:p w14:paraId="557ADDEA" w14:textId="77777777" w:rsidR="0018783F" w:rsidRPr="006C5E83" w:rsidRDefault="0018783F" w:rsidP="00DC1A92">
            <w:pPr>
              <w:pStyle w:val="Tabletext1"/>
              <w:spacing w:before="40" w:after="40"/>
              <w:rPr>
                <w:snapToGrid w:val="0"/>
              </w:rPr>
            </w:pPr>
            <w:r w:rsidRPr="006C5E83">
              <w:t>NR</w:t>
            </w:r>
          </w:p>
        </w:tc>
      </w:tr>
      <w:tr w:rsidR="0018783F" w:rsidRPr="006C5E83" w14:paraId="0A053910" w14:textId="77777777" w:rsidTr="0018783F">
        <w:tc>
          <w:tcPr>
            <w:tcW w:w="612" w:type="pct"/>
            <w:shd w:val="clear" w:color="auto" w:fill="auto"/>
          </w:tcPr>
          <w:p w14:paraId="52168DC8" w14:textId="71F5D3CC" w:rsidR="0018783F" w:rsidRPr="006C5E83" w:rsidRDefault="00E027FA" w:rsidP="00DC1A92">
            <w:pPr>
              <w:pStyle w:val="Tabletext1"/>
              <w:spacing w:before="40" w:after="40"/>
              <w:rPr>
                <w:snapToGrid w:val="0"/>
              </w:rPr>
            </w:pPr>
            <w:r>
              <w:rPr>
                <w:snapToGrid w:val="0"/>
              </w:rPr>
              <w:t>Yang et al (2014)</w:t>
            </w:r>
            <w:r w:rsidRPr="00E027FA">
              <w:rPr>
                <w:snapToGrid w:val="0"/>
                <w:vertAlign w:val="superscript"/>
              </w:rPr>
              <w:t>a</w:t>
            </w:r>
          </w:p>
        </w:tc>
        <w:tc>
          <w:tcPr>
            <w:tcW w:w="479" w:type="pct"/>
            <w:shd w:val="clear" w:color="auto" w:fill="auto"/>
          </w:tcPr>
          <w:p w14:paraId="464A18E8" w14:textId="77777777" w:rsidR="0018783F" w:rsidRPr="006C5E83" w:rsidRDefault="0018783F" w:rsidP="00DC1A92">
            <w:pPr>
              <w:pStyle w:val="Tabletext1"/>
              <w:spacing w:before="40" w:after="40"/>
              <w:rPr>
                <w:snapToGrid w:val="0"/>
              </w:rPr>
            </w:pPr>
            <w:r w:rsidRPr="006C5E83">
              <w:rPr>
                <w:snapToGrid w:val="0"/>
              </w:rPr>
              <w:t>47 (47)</w:t>
            </w:r>
          </w:p>
        </w:tc>
        <w:tc>
          <w:tcPr>
            <w:tcW w:w="782" w:type="pct"/>
            <w:tcBorders>
              <w:bottom w:val="single" w:sz="4" w:space="0" w:color="auto"/>
            </w:tcBorders>
            <w:shd w:val="clear" w:color="auto" w:fill="auto"/>
          </w:tcPr>
          <w:p w14:paraId="23AA61A9" w14:textId="25A97005" w:rsidR="0018783F" w:rsidRPr="006C5E83" w:rsidRDefault="0018783F" w:rsidP="00DC1A92">
            <w:pPr>
              <w:pStyle w:val="Tabletext1"/>
              <w:spacing w:before="40" w:after="40"/>
              <w:rPr>
                <w:i/>
              </w:rPr>
            </w:pPr>
            <w:r w:rsidRPr="006C5E83">
              <w:t>89</w:t>
            </w:r>
            <w:r w:rsidR="00F269E7">
              <w:t>%</w:t>
            </w:r>
          </w:p>
          <w:p w14:paraId="5A716104" w14:textId="77777777" w:rsidR="0018783F" w:rsidRPr="006C5E83" w:rsidRDefault="0018783F" w:rsidP="00DC1A92">
            <w:pPr>
              <w:pStyle w:val="Tabletext1"/>
              <w:spacing w:before="40" w:after="40"/>
              <w:rPr>
                <w:i/>
              </w:rPr>
            </w:pPr>
          </w:p>
        </w:tc>
        <w:tc>
          <w:tcPr>
            <w:tcW w:w="782" w:type="pct"/>
            <w:tcBorders>
              <w:bottom w:val="single" w:sz="4" w:space="0" w:color="auto"/>
            </w:tcBorders>
            <w:shd w:val="clear" w:color="auto" w:fill="auto"/>
          </w:tcPr>
          <w:p w14:paraId="4AA3C160" w14:textId="0688AD5D" w:rsidR="0018783F" w:rsidRPr="006C5E83" w:rsidRDefault="0018783F" w:rsidP="00DC1A92">
            <w:pPr>
              <w:pStyle w:val="Tabletext1"/>
              <w:spacing w:before="40" w:after="40"/>
              <w:rPr>
                <w:snapToGrid w:val="0"/>
              </w:rPr>
            </w:pPr>
            <w:r w:rsidRPr="006C5E83">
              <w:rPr>
                <w:snapToGrid w:val="0"/>
              </w:rPr>
              <w:t>63</w:t>
            </w:r>
            <w:r w:rsidR="00F269E7">
              <w:rPr>
                <w:snapToGrid w:val="0"/>
              </w:rPr>
              <w:t>%</w:t>
            </w:r>
          </w:p>
        </w:tc>
        <w:tc>
          <w:tcPr>
            <w:tcW w:w="782" w:type="pct"/>
            <w:tcBorders>
              <w:bottom w:val="single" w:sz="4" w:space="0" w:color="auto"/>
            </w:tcBorders>
          </w:tcPr>
          <w:p w14:paraId="073E616F" w14:textId="725D8A05" w:rsidR="0018783F" w:rsidRPr="006C5E83" w:rsidRDefault="0018783F" w:rsidP="00DC1A92">
            <w:pPr>
              <w:pStyle w:val="Tabletext1"/>
              <w:spacing w:before="40" w:after="40"/>
              <w:rPr>
                <w:snapToGrid w:val="0"/>
              </w:rPr>
            </w:pPr>
            <w:r w:rsidRPr="006C5E83">
              <w:rPr>
                <w:snapToGrid w:val="0"/>
              </w:rPr>
              <w:t>43</w:t>
            </w:r>
            <w:r w:rsidR="00F269E7">
              <w:rPr>
                <w:snapToGrid w:val="0"/>
              </w:rPr>
              <w:t>%</w:t>
            </w:r>
          </w:p>
        </w:tc>
        <w:tc>
          <w:tcPr>
            <w:tcW w:w="782" w:type="pct"/>
            <w:tcBorders>
              <w:bottom w:val="single" w:sz="4" w:space="0" w:color="auto"/>
            </w:tcBorders>
          </w:tcPr>
          <w:p w14:paraId="7F2CA5D4" w14:textId="77777777" w:rsidR="0018783F" w:rsidRPr="006C5E83" w:rsidRDefault="0018783F" w:rsidP="00DC1A92">
            <w:pPr>
              <w:pStyle w:val="Tabletext1"/>
              <w:spacing w:before="40" w:after="40"/>
              <w:rPr>
                <w:snapToGrid w:val="0"/>
              </w:rPr>
            </w:pPr>
            <w:r w:rsidRPr="006C5E83">
              <w:rPr>
                <w:snapToGrid w:val="0"/>
              </w:rPr>
              <w:t>NR</w:t>
            </w:r>
          </w:p>
        </w:tc>
        <w:tc>
          <w:tcPr>
            <w:tcW w:w="782" w:type="pct"/>
            <w:tcBorders>
              <w:bottom w:val="single" w:sz="4" w:space="0" w:color="auto"/>
            </w:tcBorders>
          </w:tcPr>
          <w:p w14:paraId="6EE2B34B" w14:textId="5D49852D" w:rsidR="0018783F" w:rsidRPr="006C5E83" w:rsidRDefault="0018783F" w:rsidP="00DC1A92">
            <w:pPr>
              <w:pStyle w:val="Tabletext1"/>
              <w:spacing w:before="40" w:after="40"/>
              <w:rPr>
                <w:snapToGrid w:val="0"/>
              </w:rPr>
            </w:pPr>
            <w:r w:rsidRPr="006C5E83">
              <w:t>16</w:t>
            </w:r>
            <w:r w:rsidR="00F269E7">
              <w:t>%</w:t>
            </w:r>
          </w:p>
        </w:tc>
      </w:tr>
      <w:tr w:rsidR="0018783F" w:rsidRPr="006C5E83" w14:paraId="36D64E08" w14:textId="77777777" w:rsidTr="0018783F">
        <w:tc>
          <w:tcPr>
            <w:tcW w:w="612" w:type="pct"/>
            <w:shd w:val="clear" w:color="auto" w:fill="auto"/>
          </w:tcPr>
          <w:p w14:paraId="056AD52F" w14:textId="77777777" w:rsidR="0018783F" w:rsidRPr="006C5E83" w:rsidRDefault="0018783F" w:rsidP="00DC1A92">
            <w:pPr>
              <w:pStyle w:val="Tabletext1"/>
              <w:spacing w:before="40" w:after="40"/>
              <w:rPr>
                <w:snapToGrid w:val="0"/>
              </w:rPr>
            </w:pPr>
            <w:r w:rsidRPr="006C5E83">
              <w:rPr>
                <w:snapToGrid w:val="0"/>
              </w:rPr>
              <w:t>Pooled analysis</w:t>
            </w:r>
          </w:p>
        </w:tc>
        <w:tc>
          <w:tcPr>
            <w:tcW w:w="479" w:type="pct"/>
            <w:shd w:val="clear" w:color="auto" w:fill="auto"/>
          </w:tcPr>
          <w:p w14:paraId="6E8132A7" w14:textId="77777777" w:rsidR="0018783F" w:rsidRPr="006C5E83" w:rsidRDefault="0018783F" w:rsidP="00DC1A92">
            <w:pPr>
              <w:pStyle w:val="Tabletext1"/>
              <w:spacing w:before="40" w:after="40"/>
              <w:rPr>
                <w:snapToGrid w:val="0"/>
              </w:rPr>
            </w:pPr>
            <w:r w:rsidRPr="006C5E83">
              <w:rPr>
                <w:snapToGrid w:val="0"/>
              </w:rPr>
              <w:t xml:space="preserve">75 </w:t>
            </w:r>
          </w:p>
          <w:p w14:paraId="6D8134EA" w14:textId="77777777" w:rsidR="0018783F" w:rsidRPr="006C5E83" w:rsidRDefault="0018783F" w:rsidP="00DC1A92">
            <w:pPr>
              <w:pStyle w:val="Tabletext1"/>
              <w:spacing w:before="40" w:after="40"/>
              <w:rPr>
                <w:snapToGrid w:val="0"/>
                <w:highlight w:val="cyan"/>
              </w:rPr>
            </w:pPr>
            <w:r w:rsidRPr="006C5E83">
              <w:rPr>
                <w:snapToGrid w:val="0"/>
              </w:rPr>
              <w:t>(75)</w:t>
            </w:r>
          </w:p>
        </w:tc>
        <w:tc>
          <w:tcPr>
            <w:tcW w:w="782" w:type="pct"/>
            <w:tcBorders>
              <w:left w:val="single" w:sz="4" w:space="0" w:color="auto"/>
              <w:right w:val="nil"/>
            </w:tcBorders>
            <w:shd w:val="clear" w:color="auto" w:fill="auto"/>
          </w:tcPr>
          <w:p w14:paraId="10D7E5C7" w14:textId="77777777" w:rsidR="0018783F" w:rsidRPr="006C5E83" w:rsidRDefault="0018783F" w:rsidP="00DC1A92">
            <w:pPr>
              <w:pStyle w:val="Tabletext1"/>
              <w:spacing w:before="40" w:after="40"/>
              <w:rPr>
                <w:snapToGrid w:val="0"/>
                <w:highlight w:val="cyan"/>
              </w:rPr>
            </w:pPr>
          </w:p>
        </w:tc>
        <w:tc>
          <w:tcPr>
            <w:tcW w:w="782" w:type="pct"/>
            <w:tcBorders>
              <w:left w:val="nil"/>
              <w:right w:val="nil"/>
            </w:tcBorders>
            <w:shd w:val="clear" w:color="auto" w:fill="auto"/>
          </w:tcPr>
          <w:p w14:paraId="4596C501" w14:textId="77777777" w:rsidR="0018783F" w:rsidRPr="006C5E83" w:rsidRDefault="0018783F" w:rsidP="00DC1A92">
            <w:pPr>
              <w:pStyle w:val="Tabletext1"/>
              <w:spacing w:before="40" w:after="40"/>
              <w:rPr>
                <w:snapToGrid w:val="0"/>
                <w:highlight w:val="cyan"/>
              </w:rPr>
            </w:pPr>
          </w:p>
        </w:tc>
        <w:tc>
          <w:tcPr>
            <w:tcW w:w="782" w:type="pct"/>
            <w:tcBorders>
              <w:left w:val="nil"/>
              <w:right w:val="nil"/>
            </w:tcBorders>
          </w:tcPr>
          <w:p w14:paraId="4C5715C6" w14:textId="0CBC81E9" w:rsidR="0018783F" w:rsidRPr="006C5E83" w:rsidRDefault="00DA2157" w:rsidP="00DC1A92">
            <w:pPr>
              <w:pStyle w:val="Tabletext1"/>
              <w:spacing w:before="40" w:after="40"/>
              <w:rPr>
                <w:snapToGrid w:val="0"/>
              </w:rPr>
            </w:pPr>
            <w:r>
              <w:rPr>
                <w:snapToGrid w:val="0"/>
              </w:rPr>
              <w:t xml:space="preserve">Quality </w:t>
            </w:r>
            <w:r w:rsidR="0018783F" w:rsidRPr="006C5E83">
              <w:rPr>
                <w:snapToGrid w:val="0"/>
              </w:rPr>
              <w:t>of the evidence (GRADE)</w:t>
            </w:r>
          </w:p>
          <w:p w14:paraId="43EB3BF9" w14:textId="77777777" w:rsidR="0018783F" w:rsidRPr="006C5E83" w:rsidRDefault="0018783F" w:rsidP="00DC1A92">
            <w:pPr>
              <w:pStyle w:val="Tabletext1"/>
              <w:spacing w:before="40" w:after="40"/>
              <w:rPr>
                <w:rStyle w:val="quality-sign"/>
                <w:rFonts w:eastAsia="MS Mincho" w:cs="MS Mincho"/>
                <w:b/>
              </w:rPr>
            </w:pPr>
            <w:r w:rsidRPr="006C5E83">
              <w:rPr>
                <w:rFonts w:ascii="Cambria Math" w:hAnsi="Cambria Math" w:cs="Cambria Math"/>
                <w:color w:val="00B050"/>
              </w:rPr>
              <w:t>⨁</w:t>
            </w:r>
            <w:r w:rsidRPr="006C5E83">
              <w:rPr>
                <w:rFonts w:ascii="Cambria Math" w:hAnsi="Cambria Math" w:cs="Cambria Math"/>
                <w:color w:val="C00000"/>
              </w:rPr>
              <w:t>⨀⨀⨀</w:t>
            </w:r>
          </w:p>
          <w:p w14:paraId="3268A0A4" w14:textId="77777777" w:rsidR="0018783F" w:rsidRPr="006C5E83" w:rsidRDefault="0018783F" w:rsidP="00DC1A92">
            <w:pPr>
              <w:pStyle w:val="Tabletext1"/>
              <w:spacing w:before="40" w:after="40"/>
              <w:rPr>
                <w:rFonts w:eastAsia="MS Mincho" w:cs="MS Mincho"/>
                <w:b/>
              </w:rPr>
            </w:pPr>
            <w:r w:rsidRPr="006C5E83">
              <w:rPr>
                <w:rStyle w:val="quality-sign"/>
                <w:rFonts w:eastAsia="MS Mincho" w:cs="MS Mincho"/>
              </w:rPr>
              <w:t>VERY LOW</w:t>
            </w:r>
          </w:p>
        </w:tc>
        <w:tc>
          <w:tcPr>
            <w:tcW w:w="782" w:type="pct"/>
            <w:tcBorders>
              <w:left w:val="nil"/>
              <w:right w:val="nil"/>
            </w:tcBorders>
          </w:tcPr>
          <w:p w14:paraId="72E77D9B" w14:textId="77777777" w:rsidR="0018783F" w:rsidRPr="006C5E83" w:rsidRDefault="0018783F" w:rsidP="00DC1A92">
            <w:pPr>
              <w:pStyle w:val="Tabletext1"/>
              <w:spacing w:before="40" w:after="40"/>
              <w:rPr>
                <w:snapToGrid w:val="0"/>
              </w:rPr>
            </w:pPr>
          </w:p>
        </w:tc>
        <w:tc>
          <w:tcPr>
            <w:tcW w:w="782" w:type="pct"/>
            <w:tcBorders>
              <w:left w:val="nil"/>
            </w:tcBorders>
          </w:tcPr>
          <w:p w14:paraId="35CA8ED5" w14:textId="77777777" w:rsidR="0018783F" w:rsidRPr="006C5E83" w:rsidRDefault="0018783F" w:rsidP="00DC1A92">
            <w:pPr>
              <w:pStyle w:val="Tabletext1"/>
              <w:spacing w:before="40" w:after="40"/>
              <w:rPr>
                <w:snapToGrid w:val="0"/>
              </w:rPr>
            </w:pPr>
          </w:p>
        </w:tc>
      </w:tr>
    </w:tbl>
    <w:p w14:paraId="567C5BC7" w14:textId="6D3D53D8" w:rsidR="00F25921" w:rsidRDefault="00657BBD" w:rsidP="00657BBD">
      <w:pPr>
        <w:pStyle w:val="Tablenotes0"/>
      </w:pPr>
      <w:r>
        <w:t>&lt;</w:t>
      </w:r>
      <w:r w:rsidR="00E33AE3">
        <w:t xml:space="preserve"> </w:t>
      </w:r>
      <w:r w:rsidR="00F25921" w:rsidRPr="00936994">
        <w:t>CI = confidence interval</w:t>
      </w:r>
      <w:r w:rsidR="00F25921">
        <w:t xml:space="preserve">; </w:t>
      </w:r>
      <w:r w:rsidR="00C10752">
        <w:t xml:space="preserve">N = </w:t>
      </w:r>
      <w:r w:rsidR="00F25921" w:rsidRPr="002F591C">
        <w:t>number</w:t>
      </w:r>
      <w:r w:rsidR="00F25921">
        <w:t xml:space="preserve">; </w:t>
      </w:r>
      <w:r w:rsidR="00F25921" w:rsidRPr="00936994">
        <w:t>NR= not reported</w:t>
      </w:r>
      <w:r>
        <w:t>; OS= overall survival</w:t>
      </w:r>
      <w:r w:rsidR="00E33AE3">
        <w:t xml:space="preserve"> </w:t>
      </w:r>
      <w:r>
        <w:t>&gt;</w:t>
      </w:r>
    </w:p>
    <w:p w14:paraId="7BD9B715" w14:textId="03612E44" w:rsidR="00F25921" w:rsidRDefault="00F25921" w:rsidP="00657BBD">
      <w:pPr>
        <w:pStyle w:val="Tablenotes0"/>
      </w:pPr>
      <w:r w:rsidRPr="00E10B76">
        <w:t>GRADE Working Group grades of evidence</w:t>
      </w:r>
      <w:r>
        <w:t xml:space="preserve"> (Guyatt et al., 2013)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p>
    <w:p w14:paraId="6A51A001" w14:textId="2E63E346" w:rsidR="00F25921" w:rsidRDefault="00E027FA" w:rsidP="00657BBD">
      <w:pPr>
        <w:pStyle w:val="Tablenotes0"/>
      </w:pPr>
      <w:r>
        <w:t xml:space="preserve">a </w:t>
      </w:r>
      <w:r w:rsidR="00F25921" w:rsidRPr="00396DF3">
        <w:t>Overall 1</w:t>
      </w:r>
      <w:r w:rsidR="00F25921" w:rsidRPr="00396DF3">
        <w:rPr>
          <w:rFonts w:ascii="Cambria Math" w:hAnsi="Cambria Math" w:cs="Cambria Math"/>
        </w:rPr>
        <w:t>‐</w:t>
      </w:r>
      <w:r w:rsidR="00F25921" w:rsidRPr="00396DF3">
        <w:t>, 2</w:t>
      </w:r>
      <w:r w:rsidR="00F25921" w:rsidRPr="00396DF3">
        <w:rPr>
          <w:rFonts w:ascii="Cambria Math" w:hAnsi="Cambria Math" w:cs="Cambria Math"/>
        </w:rPr>
        <w:t>‐</w:t>
      </w:r>
      <w:r w:rsidR="00F25921" w:rsidRPr="00396DF3">
        <w:t>, 3</w:t>
      </w:r>
      <w:r w:rsidR="00F25921" w:rsidRPr="00396DF3">
        <w:rPr>
          <w:rFonts w:ascii="Cambria Math" w:hAnsi="Cambria Math" w:cs="Cambria Math"/>
        </w:rPr>
        <w:t>‐</w:t>
      </w:r>
      <w:r w:rsidR="00F25921" w:rsidRPr="00396DF3">
        <w:t>, and 5</w:t>
      </w:r>
      <w:r w:rsidR="00F25921" w:rsidRPr="00396DF3">
        <w:rPr>
          <w:rFonts w:ascii="Cambria Math" w:hAnsi="Cambria Math" w:cs="Cambria Math"/>
        </w:rPr>
        <w:t>‐</w:t>
      </w:r>
      <w:r w:rsidR="00F25921" w:rsidRPr="00396DF3">
        <w:t>year survivals, stratified by tumour size,</w:t>
      </w:r>
      <w:r w:rsidR="00F25921">
        <w:t xml:space="preserve"> </w:t>
      </w:r>
      <w:r w:rsidR="00F25921" w:rsidRPr="00396DF3">
        <w:t>were 91%, 72%, 59%, and 36% for tumours 3.5 cm, and 88%, 53%,</w:t>
      </w:r>
      <w:r w:rsidR="00F25921">
        <w:t xml:space="preserve"> </w:t>
      </w:r>
      <w:r w:rsidR="00F25921" w:rsidRPr="00396DF3">
        <w:t>27%, and 0% for tumours &gt;3.5 cm (p</w:t>
      </w:r>
      <w:r w:rsidR="00C10752">
        <w:t xml:space="preserve"> </w:t>
      </w:r>
      <w:r w:rsidR="00F25921" w:rsidRPr="00396DF3">
        <w:t>=</w:t>
      </w:r>
      <w:r w:rsidR="00C10752">
        <w:t xml:space="preserve"> </w:t>
      </w:r>
      <w:r w:rsidR="00F25921" w:rsidRPr="00396DF3">
        <w:t>0.016</w:t>
      </w:r>
      <w:r w:rsidR="00657BBD">
        <w:t>)</w:t>
      </w:r>
    </w:p>
    <w:p w14:paraId="58743E79" w14:textId="77777777" w:rsidR="00F25921" w:rsidRDefault="00F25921" w:rsidP="00B01506">
      <w:pPr>
        <w:pStyle w:val="Caption"/>
        <w:keepNext/>
        <w:spacing w:before="500"/>
      </w:pPr>
      <w:bookmarkStart w:id="531" w:name="_Ref458512401"/>
      <w:bookmarkStart w:id="532" w:name="_Toc460514758"/>
      <w:r>
        <w:t xml:space="preserve">Table </w:t>
      </w:r>
      <w:fldSimple w:instr=" SEQ Table \* ARABIC ">
        <w:r w:rsidR="00D170A5">
          <w:rPr>
            <w:noProof/>
          </w:rPr>
          <w:t>100</w:t>
        </w:r>
      </w:fldSimple>
      <w:bookmarkEnd w:id="531"/>
      <w:r>
        <w:tab/>
      </w:r>
      <w:r w:rsidR="003A1981">
        <w:t>Overall and cancer-specific s</w:t>
      </w:r>
      <w:r w:rsidRPr="00312D0F">
        <w:t xml:space="preserve">urvival rates </w:t>
      </w:r>
      <w:r>
        <w:t>at 1-, 2-, 3- or 5-years (RFA</w:t>
      </w:r>
      <w:r w:rsidRPr="00312D0F">
        <w:t>, population one)</w:t>
      </w:r>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685"/>
        <w:gridCol w:w="895"/>
        <w:gridCol w:w="1626"/>
        <w:gridCol w:w="1626"/>
        <w:gridCol w:w="1626"/>
        <w:gridCol w:w="1624"/>
      </w:tblGrid>
      <w:tr w:rsidR="003C1739" w:rsidRPr="00465B62" w14:paraId="66D250D7" w14:textId="77777777" w:rsidTr="00B01506">
        <w:trPr>
          <w:tblHeader/>
        </w:trPr>
        <w:tc>
          <w:tcPr>
            <w:tcW w:w="928" w:type="pct"/>
            <w:shd w:val="clear" w:color="auto" w:fill="D9D9D9" w:themeFill="background1" w:themeFillShade="D9"/>
            <w:vAlign w:val="center"/>
          </w:tcPr>
          <w:p w14:paraId="7E8D8850" w14:textId="77777777" w:rsidR="003C1739" w:rsidRPr="00435873" w:rsidRDefault="003C1739" w:rsidP="00DC1A92">
            <w:pPr>
              <w:pStyle w:val="Tabletext1"/>
              <w:spacing w:before="40" w:after="40"/>
              <w:rPr>
                <w:b/>
                <w:snapToGrid w:val="0"/>
                <w:lang w:eastAsia="en-US"/>
              </w:rPr>
            </w:pPr>
            <w:r w:rsidRPr="00435873">
              <w:rPr>
                <w:b/>
                <w:snapToGrid w:val="0"/>
                <w:lang w:eastAsia="en-US"/>
              </w:rPr>
              <w:t>Trial/Study</w:t>
            </w:r>
          </w:p>
        </w:tc>
        <w:tc>
          <w:tcPr>
            <w:tcW w:w="493" w:type="pct"/>
            <w:shd w:val="clear" w:color="auto" w:fill="D9D9D9" w:themeFill="background1" w:themeFillShade="D9"/>
            <w:vAlign w:val="center"/>
          </w:tcPr>
          <w:p w14:paraId="16B35588" w14:textId="77777777" w:rsidR="003C1739" w:rsidRPr="00435873" w:rsidRDefault="003C1739" w:rsidP="00DC1A92">
            <w:pPr>
              <w:pStyle w:val="Tabletext1"/>
              <w:spacing w:before="40" w:after="40"/>
              <w:rPr>
                <w:b/>
                <w:snapToGrid w:val="0"/>
                <w:lang w:eastAsia="en-US"/>
              </w:rPr>
            </w:pPr>
            <w:r w:rsidRPr="00435873">
              <w:rPr>
                <w:b/>
                <w:snapToGrid w:val="0"/>
                <w:lang w:eastAsia="en-US"/>
              </w:rPr>
              <w:t>N (lesions)</w:t>
            </w:r>
          </w:p>
        </w:tc>
        <w:tc>
          <w:tcPr>
            <w:tcW w:w="895" w:type="pct"/>
            <w:shd w:val="clear" w:color="auto" w:fill="D9D9D9" w:themeFill="background1" w:themeFillShade="D9"/>
          </w:tcPr>
          <w:p w14:paraId="78E50E9B" w14:textId="77777777" w:rsidR="003C1739" w:rsidRPr="00435873" w:rsidRDefault="003C1739" w:rsidP="00DC1A92">
            <w:pPr>
              <w:pStyle w:val="Tabletext1"/>
              <w:spacing w:before="40" w:after="40"/>
              <w:rPr>
                <w:b/>
                <w:snapToGrid w:val="0"/>
                <w:lang w:eastAsia="en-US"/>
              </w:rPr>
            </w:pPr>
            <w:r w:rsidRPr="00435873">
              <w:rPr>
                <w:b/>
                <w:snapToGrid w:val="0"/>
                <w:lang w:eastAsia="en-US"/>
              </w:rPr>
              <w:t>1-year OS (95% CI)</w:t>
            </w:r>
          </w:p>
          <w:p w14:paraId="066E461A" w14:textId="77777777" w:rsidR="003C1739" w:rsidRPr="00435873" w:rsidRDefault="003C1739" w:rsidP="00DC1A92">
            <w:pPr>
              <w:pStyle w:val="Tabletext1"/>
              <w:spacing w:before="40" w:after="40"/>
              <w:rPr>
                <w:b/>
                <w:snapToGrid w:val="0"/>
                <w:lang w:eastAsia="en-US"/>
              </w:rPr>
            </w:pPr>
            <w:r w:rsidRPr="00435873">
              <w:rPr>
                <w:b/>
                <w:i/>
                <w:snapToGrid w:val="0"/>
                <w:lang w:eastAsia="en-US"/>
              </w:rPr>
              <w:t>Cancer specific</w:t>
            </w:r>
          </w:p>
        </w:tc>
        <w:tc>
          <w:tcPr>
            <w:tcW w:w="895" w:type="pct"/>
            <w:shd w:val="clear" w:color="auto" w:fill="D9D9D9" w:themeFill="background1" w:themeFillShade="D9"/>
          </w:tcPr>
          <w:p w14:paraId="4F83F53D" w14:textId="77777777" w:rsidR="003C1739" w:rsidRPr="00435873" w:rsidRDefault="003C1739" w:rsidP="00DC1A92">
            <w:pPr>
              <w:pStyle w:val="Tabletext1"/>
              <w:spacing w:before="40" w:after="40"/>
              <w:rPr>
                <w:b/>
                <w:snapToGrid w:val="0"/>
                <w:lang w:eastAsia="en-US"/>
              </w:rPr>
            </w:pPr>
            <w:r w:rsidRPr="00435873">
              <w:rPr>
                <w:b/>
                <w:snapToGrid w:val="0"/>
                <w:lang w:eastAsia="en-US"/>
              </w:rPr>
              <w:t>2-year OS (95% CI)</w:t>
            </w:r>
          </w:p>
          <w:p w14:paraId="1463FBEE" w14:textId="77777777" w:rsidR="003C1739" w:rsidRPr="00435873" w:rsidRDefault="003C1739" w:rsidP="00DC1A92">
            <w:pPr>
              <w:pStyle w:val="Tabletext1"/>
              <w:spacing w:before="40" w:after="40"/>
              <w:rPr>
                <w:b/>
                <w:snapToGrid w:val="0"/>
                <w:lang w:eastAsia="en-US"/>
              </w:rPr>
            </w:pPr>
            <w:r w:rsidRPr="00435873">
              <w:rPr>
                <w:b/>
                <w:i/>
                <w:snapToGrid w:val="0"/>
                <w:lang w:eastAsia="en-US"/>
              </w:rPr>
              <w:t>Cancer specific</w:t>
            </w:r>
          </w:p>
        </w:tc>
        <w:tc>
          <w:tcPr>
            <w:tcW w:w="895" w:type="pct"/>
            <w:shd w:val="clear" w:color="auto" w:fill="D9D9D9" w:themeFill="background1" w:themeFillShade="D9"/>
          </w:tcPr>
          <w:p w14:paraId="5AC499F9" w14:textId="77777777" w:rsidR="003C1739" w:rsidRPr="00435873" w:rsidRDefault="003C1739" w:rsidP="00DC1A92">
            <w:pPr>
              <w:pStyle w:val="Tabletext1"/>
              <w:spacing w:before="40" w:after="40"/>
              <w:rPr>
                <w:b/>
                <w:snapToGrid w:val="0"/>
                <w:lang w:eastAsia="en-US"/>
              </w:rPr>
            </w:pPr>
            <w:r w:rsidRPr="00435873">
              <w:rPr>
                <w:b/>
                <w:snapToGrid w:val="0"/>
                <w:lang w:eastAsia="en-US"/>
              </w:rPr>
              <w:t>3-year OS (95% CI)</w:t>
            </w:r>
          </w:p>
          <w:p w14:paraId="4353CE5B" w14:textId="77777777" w:rsidR="003C1739" w:rsidRPr="00435873" w:rsidRDefault="003C1739" w:rsidP="00DC1A92">
            <w:pPr>
              <w:pStyle w:val="Tabletext1"/>
              <w:spacing w:before="40" w:after="40"/>
              <w:rPr>
                <w:b/>
                <w:snapToGrid w:val="0"/>
                <w:lang w:eastAsia="en-US"/>
              </w:rPr>
            </w:pPr>
            <w:r w:rsidRPr="00435873">
              <w:rPr>
                <w:b/>
                <w:i/>
                <w:snapToGrid w:val="0"/>
                <w:lang w:eastAsia="en-US"/>
              </w:rPr>
              <w:t>Cancer specific</w:t>
            </w:r>
          </w:p>
        </w:tc>
        <w:tc>
          <w:tcPr>
            <w:tcW w:w="895" w:type="pct"/>
            <w:shd w:val="clear" w:color="auto" w:fill="D9D9D9" w:themeFill="background1" w:themeFillShade="D9"/>
          </w:tcPr>
          <w:p w14:paraId="01205E4A" w14:textId="77777777" w:rsidR="003C1739" w:rsidRPr="00435873" w:rsidRDefault="003C1739" w:rsidP="00DC1A92">
            <w:pPr>
              <w:pStyle w:val="Tabletext1"/>
              <w:spacing w:before="40" w:after="40"/>
              <w:rPr>
                <w:b/>
                <w:snapToGrid w:val="0"/>
                <w:lang w:eastAsia="en-US"/>
              </w:rPr>
            </w:pPr>
            <w:r w:rsidRPr="00435873">
              <w:rPr>
                <w:b/>
                <w:snapToGrid w:val="0"/>
                <w:lang w:eastAsia="en-US"/>
              </w:rPr>
              <w:t>5-year OS (95% CI)</w:t>
            </w:r>
          </w:p>
          <w:p w14:paraId="51CDFF91" w14:textId="77777777" w:rsidR="003C1739" w:rsidRPr="00435873" w:rsidRDefault="003C1739" w:rsidP="00DC1A92">
            <w:pPr>
              <w:pStyle w:val="Tabletext1"/>
              <w:spacing w:before="40" w:after="40"/>
              <w:rPr>
                <w:b/>
                <w:snapToGrid w:val="0"/>
                <w:lang w:eastAsia="en-US"/>
              </w:rPr>
            </w:pPr>
            <w:r w:rsidRPr="00435873">
              <w:rPr>
                <w:b/>
                <w:i/>
                <w:snapToGrid w:val="0"/>
                <w:lang w:eastAsia="en-US"/>
              </w:rPr>
              <w:t>Cancer specific</w:t>
            </w:r>
          </w:p>
        </w:tc>
      </w:tr>
      <w:tr w:rsidR="003D3487" w:rsidRPr="00465B62" w14:paraId="386C7EBF" w14:textId="77777777" w:rsidTr="00CB6225">
        <w:tc>
          <w:tcPr>
            <w:tcW w:w="928" w:type="pct"/>
            <w:shd w:val="clear" w:color="auto" w:fill="auto"/>
            <w:vAlign w:val="center"/>
          </w:tcPr>
          <w:p w14:paraId="2D743461" w14:textId="77777777" w:rsidR="003D3487" w:rsidRPr="00465B62" w:rsidRDefault="003D3487" w:rsidP="00DC1A92">
            <w:pPr>
              <w:pStyle w:val="Tabletext1"/>
              <w:spacing w:before="40" w:after="40"/>
              <w:rPr>
                <w:snapToGrid w:val="0"/>
                <w:lang w:eastAsia="en-US"/>
              </w:rPr>
            </w:pPr>
            <w:r w:rsidRPr="00465B62">
              <w:rPr>
                <w:snapToGrid w:val="0"/>
                <w:lang w:eastAsia="en-US"/>
              </w:rPr>
              <w:t>Ambrogi et al (2011)</w:t>
            </w:r>
          </w:p>
        </w:tc>
        <w:tc>
          <w:tcPr>
            <w:tcW w:w="493" w:type="pct"/>
            <w:shd w:val="clear" w:color="auto" w:fill="auto"/>
            <w:vAlign w:val="center"/>
          </w:tcPr>
          <w:p w14:paraId="5E0A32C5" w14:textId="77777777" w:rsidR="003D3487" w:rsidRPr="00465B62" w:rsidRDefault="003D3487" w:rsidP="00DC1A92">
            <w:pPr>
              <w:pStyle w:val="Tabletext1"/>
              <w:spacing w:before="40" w:after="40"/>
              <w:rPr>
                <w:snapToGrid w:val="0"/>
                <w:lang w:eastAsia="en-US"/>
              </w:rPr>
            </w:pPr>
            <w:r w:rsidRPr="00465B62">
              <w:rPr>
                <w:snapToGrid w:val="0"/>
                <w:lang w:eastAsia="en-US"/>
              </w:rPr>
              <w:t>57 (59)</w:t>
            </w:r>
          </w:p>
        </w:tc>
        <w:tc>
          <w:tcPr>
            <w:tcW w:w="895" w:type="pct"/>
            <w:shd w:val="clear" w:color="auto" w:fill="auto"/>
            <w:vAlign w:val="center"/>
          </w:tcPr>
          <w:p w14:paraId="484A9EFC" w14:textId="6493DAFA" w:rsidR="003D3487" w:rsidRPr="00465B62" w:rsidRDefault="003D3487" w:rsidP="00DC1A92">
            <w:pPr>
              <w:pStyle w:val="Tabletext1"/>
              <w:spacing w:before="40" w:after="40"/>
              <w:rPr>
                <w:i/>
                <w:lang w:eastAsia="en-US"/>
              </w:rPr>
            </w:pPr>
            <w:r w:rsidRPr="00465B62">
              <w:rPr>
                <w:lang w:eastAsia="en-US"/>
              </w:rPr>
              <w:t>83</w:t>
            </w:r>
            <w:r w:rsidR="00B064D4">
              <w:rPr>
                <w:lang w:eastAsia="en-US"/>
              </w:rPr>
              <w:t>%</w:t>
            </w:r>
          </w:p>
        </w:tc>
        <w:tc>
          <w:tcPr>
            <w:tcW w:w="895" w:type="pct"/>
            <w:shd w:val="clear" w:color="auto" w:fill="auto"/>
            <w:vAlign w:val="center"/>
          </w:tcPr>
          <w:p w14:paraId="71C20734" w14:textId="77777777" w:rsidR="003D3487" w:rsidRPr="00465B62" w:rsidRDefault="003D3487" w:rsidP="00DC1A92">
            <w:pPr>
              <w:pStyle w:val="Tabletext1"/>
              <w:spacing w:before="40" w:after="40"/>
              <w:rPr>
                <w:snapToGrid w:val="0"/>
                <w:lang w:eastAsia="en-US"/>
              </w:rPr>
            </w:pPr>
            <w:r w:rsidRPr="00465B62">
              <w:rPr>
                <w:snapToGrid w:val="0"/>
                <w:lang w:eastAsia="en-US"/>
              </w:rPr>
              <w:t>NR</w:t>
            </w:r>
          </w:p>
        </w:tc>
        <w:tc>
          <w:tcPr>
            <w:tcW w:w="895" w:type="pct"/>
            <w:vAlign w:val="center"/>
          </w:tcPr>
          <w:p w14:paraId="3B9B580B" w14:textId="0DFD8E3C" w:rsidR="003D3487" w:rsidRPr="00465B62" w:rsidRDefault="003D3487" w:rsidP="00DC1A92">
            <w:pPr>
              <w:pStyle w:val="Tabletext1"/>
              <w:spacing w:before="40" w:after="40"/>
              <w:rPr>
                <w:snapToGrid w:val="0"/>
                <w:lang w:eastAsia="en-US"/>
              </w:rPr>
            </w:pPr>
            <w:r w:rsidRPr="00465B62">
              <w:rPr>
                <w:snapToGrid w:val="0"/>
                <w:lang w:eastAsia="en-US"/>
              </w:rPr>
              <w:t>40</w:t>
            </w:r>
            <w:r w:rsidR="00B064D4">
              <w:rPr>
                <w:snapToGrid w:val="0"/>
                <w:lang w:eastAsia="en-US"/>
              </w:rPr>
              <w:t>%</w:t>
            </w:r>
          </w:p>
        </w:tc>
        <w:tc>
          <w:tcPr>
            <w:tcW w:w="895" w:type="pct"/>
            <w:vAlign w:val="center"/>
          </w:tcPr>
          <w:p w14:paraId="518D651A" w14:textId="5346421A" w:rsidR="003D3487" w:rsidRPr="00465B62" w:rsidRDefault="003D3487" w:rsidP="00DC1A92">
            <w:pPr>
              <w:pStyle w:val="Tabletext1"/>
              <w:spacing w:before="40" w:after="40"/>
              <w:rPr>
                <w:snapToGrid w:val="0"/>
                <w:lang w:eastAsia="en-US"/>
              </w:rPr>
            </w:pPr>
            <w:r w:rsidRPr="00465B62">
              <w:rPr>
                <w:snapToGrid w:val="0"/>
                <w:lang w:eastAsia="en-US"/>
              </w:rPr>
              <w:t>25</w:t>
            </w:r>
            <w:r w:rsidR="00B064D4">
              <w:rPr>
                <w:snapToGrid w:val="0"/>
                <w:lang w:eastAsia="en-US"/>
              </w:rPr>
              <w:t>%</w:t>
            </w:r>
          </w:p>
        </w:tc>
      </w:tr>
      <w:tr w:rsidR="003D3487" w:rsidRPr="00465B62" w14:paraId="5DCD488D" w14:textId="77777777" w:rsidTr="00CB6225">
        <w:tc>
          <w:tcPr>
            <w:tcW w:w="928" w:type="pct"/>
            <w:shd w:val="clear" w:color="auto" w:fill="auto"/>
            <w:vAlign w:val="center"/>
          </w:tcPr>
          <w:p w14:paraId="3547393C" w14:textId="77777777" w:rsidR="003D3487" w:rsidRPr="00465B62" w:rsidRDefault="003D3487" w:rsidP="00DC1A92">
            <w:pPr>
              <w:pStyle w:val="Tabletext1"/>
              <w:spacing w:before="40" w:after="40"/>
              <w:rPr>
                <w:snapToGrid w:val="0"/>
                <w:lang w:eastAsia="en-US"/>
              </w:rPr>
            </w:pPr>
            <w:r w:rsidRPr="00465B62">
              <w:rPr>
                <w:snapToGrid w:val="0"/>
                <w:lang w:eastAsia="en-US"/>
              </w:rPr>
              <w:t>Dupuy et al (2015)</w:t>
            </w:r>
          </w:p>
        </w:tc>
        <w:tc>
          <w:tcPr>
            <w:tcW w:w="493" w:type="pct"/>
            <w:shd w:val="clear" w:color="auto" w:fill="auto"/>
            <w:vAlign w:val="center"/>
          </w:tcPr>
          <w:p w14:paraId="086B7018" w14:textId="77777777" w:rsidR="003D3487" w:rsidRPr="00465B62" w:rsidRDefault="003D3487" w:rsidP="00DC1A92">
            <w:pPr>
              <w:pStyle w:val="Tabletext1"/>
              <w:spacing w:before="40" w:after="40"/>
              <w:rPr>
                <w:snapToGrid w:val="0"/>
                <w:lang w:eastAsia="en-US"/>
              </w:rPr>
            </w:pPr>
            <w:r w:rsidRPr="00465B62">
              <w:rPr>
                <w:snapToGrid w:val="0"/>
                <w:lang w:eastAsia="en-US"/>
              </w:rPr>
              <w:t>51 (51)</w:t>
            </w:r>
          </w:p>
        </w:tc>
        <w:tc>
          <w:tcPr>
            <w:tcW w:w="895" w:type="pct"/>
            <w:shd w:val="clear" w:color="auto" w:fill="auto"/>
            <w:vAlign w:val="center"/>
          </w:tcPr>
          <w:p w14:paraId="1CB7EC2A" w14:textId="5B6558AA" w:rsidR="003D3487" w:rsidRPr="00465B62" w:rsidRDefault="003D3487" w:rsidP="00DC1A92">
            <w:pPr>
              <w:pStyle w:val="Tabletext1"/>
              <w:spacing w:before="40" w:after="40"/>
              <w:rPr>
                <w:lang w:eastAsia="en-US"/>
              </w:rPr>
            </w:pPr>
            <w:r w:rsidRPr="00465B62">
              <w:rPr>
                <w:lang w:eastAsia="en-US"/>
              </w:rPr>
              <w:t>86.3</w:t>
            </w:r>
            <w:r w:rsidR="00B064D4">
              <w:rPr>
                <w:lang w:eastAsia="en-US"/>
              </w:rPr>
              <w:t>%</w:t>
            </w:r>
            <w:r w:rsidRPr="00465B62">
              <w:rPr>
                <w:lang w:eastAsia="en-US"/>
              </w:rPr>
              <w:t xml:space="preserve"> (77.3</w:t>
            </w:r>
            <w:r w:rsidR="007E3D66">
              <w:rPr>
                <w:lang w:eastAsia="en-US"/>
              </w:rPr>
              <w:t>–</w:t>
            </w:r>
            <w:r w:rsidRPr="00465B62">
              <w:rPr>
                <w:lang w:eastAsia="en-US"/>
              </w:rPr>
              <w:t>96</w:t>
            </w:r>
            <w:r w:rsidR="00B064D4">
              <w:rPr>
                <w:lang w:eastAsia="en-US"/>
              </w:rPr>
              <w:t>%</w:t>
            </w:r>
            <w:r w:rsidRPr="00465B62">
              <w:rPr>
                <w:lang w:eastAsia="en-US"/>
              </w:rPr>
              <w:t>)</w:t>
            </w:r>
          </w:p>
        </w:tc>
        <w:tc>
          <w:tcPr>
            <w:tcW w:w="895" w:type="pct"/>
            <w:shd w:val="clear" w:color="auto" w:fill="auto"/>
            <w:vAlign w:val="center"/>
          </w:tcPr>
          <w:p w14:paraId="56EBB783" w14:textId="67A67ED3" w:rsidR="003D3487" w:rsidRPr="00465B62" w:rsidRDefault="003D3487" w:rsidP="00DC1A92">
            <w:pPr>
              <w:pStyle w:val="Tabletext1"/>
              <w:spacing w:before="40" w:after="40"/>
              <w:rPr>
                <w:snapToGrid w:val="0"/>
                <w:lang w:eastAsia="en-US"/>
              </w:rPr>
            </w:pPr>
            <w:r w:rsidRPr="00465B62">
              <w:rPr>
                <w:lang w:eastAsia="en-US"/>
              </w:rPr>
              <w:t>69.8</w:t>
            </w:r>
            <w:r w:rsidR="00B064D4">
              <w:rPr>
                <w:lang w:eastAsia="en-US"/>
              </w:rPr>
              <w:t>%</w:t>
            </w:r>
            <w:r w:rsidRPr="00465B62">
              <w:rPr>
                <w:lang w:eastAsia="en-US"/>
              </w:rPr>
              <w:t xml:space="preserve"> (58.0</w:t>
            </w:r>
            <w:r w:rsidR="007E3D66">
              <w:rPr>
                <w:lang w:eastAsia="en-US"/>
              </w:rPr>
              <w:t>–</w:t>
            </w:r>
            <w:r w:rsidRPr="00465B62">
              <w:rPr>
                <w:lang w:eastAsia="en-US"/>
              </w:rPr>
              <w:t>83.9</w:t>
            </w:r>
            <w:r w:rsidR="00B064D4">
              <w:rPr>
                <w:lang w:eastAsia="en-US"/>
              </w:rPr>
              <w:t>%</w:t>
            </w:r>
            <w:r w:rsidRPr="00465B62">
              <w:rPr>
                <w:lang w:eastAsia="en-US"/>
              </w:rPr>
              <w:t>)</w:t>
            </w:r>
          </w:p>
        </w:tc>
        <w:tc>
          <w:tcPr>
            <w:tcW w:w="895" w:type="pct"/>
            <w:vAlign w:val="center"/>
          </w:tcPr>
          <w:p w14:paraId="2BEBF588" w14:textId="77777777" w:rsidR="003D3487" w:rsidRPr="00465B62" w:rsidRDefault="003D3487" w:rsidP="00DC1A92">
            <w:pPr>
              <w:pStyle w:val="Tabletext1"/>
              <w:spacing w:before="40" w:after="40"/>
              <w:rPr>
                <w:snapToGrid w:val="0"/>
                <w:lang w:eastAsia="en-US"/>
              </w:rPr>
            </w:pPr>
            <w:r w:rsidRPr="00465B62">
              <w:rPr>
                <w:snapToGrid w:val="0"/>
                <w:lang w:eastAsia="en-US"/>
              </w:rPr>
              <w:t>NR</w:t>
            </w:r>
          </w:p>
        </w:tc>
        <w:tc>
          <w:tcPr>
            <w:tcW w:w="895" w:type="pct"/>
            <w:vAlign w:val="center"/>
          </w:tcPr>
          <w:p w14:paraId="16372D30" w14:textId="77777777" w:rsidR="003D3487" w:rsidRPr="00465B62" w:rsidRDefault="003D3487" w:rsidP="00DC1A92">
            <w:pPr>
              <w:pStyle w:val="Tabletext1"/>
              <w:spacing w:before="40" w:after="40"/>
              <w:rPr>
                <w:snapToGrid w:val="0"/>
                <w:lang w:eastAsia="en-US"/>
              </w:rPr>
            </w:pPr>
            <w:r w:rsidRPr="00465B62">
              <w:rPr>
                <w:snapToGrid w:val="0"/>
                <w:lang w:eastAsia="en-US"/>
              </w:rPr>
              <w:t>NR</w:t>
            </w:r>
          </w:p>
        </w:tc>
      </w:tr>
      <w:tr w:rsidR="003D3487" w:rsidRPr="00465B62" w14:paraId="45DEE31C" w14:textId="77777777" w:rsidTr="00CB6225">
        <w:tc>
          <w:tcPr>
            <w:tcW w:w="928" w:type="pct"/>
            <w:shd w:val="clear" w:color="auto" w:fill="auto"/>
          </w:tcPr>
          <w:p w14:paraId="27653951" w14:textId="71E7A8D8" w:rsidR="003D3487" w:rsidRPr="00465B62" w:rsidRDefault="003D3487" w:rsidP="00DC1A92">
            <w:pPr>
              <w:pStyle w:val="Tabletext1"/>
              <w:spacing w:before="40" w:after="40"/>
              <w:rPr>
                <w:snapToGrid w:val="0"/>
                <w:vertAlign w:val="superscript"/>
                <w:lang w:eastAsia="en-US"/>
              </w:rPr>
            </w:pPr>
            <w:r w:rsidRPr="00465B62">
              <w:rPr>
                <w:snapToGrid w:val="0"/>
                <w:lang w:eastAsia="en-US"/>
              </w:rPr>
              <w:t>Hiraki et al (2011)</w:t>
            </w:r>
            <w:r w:rsidR="00A12176">
              <w:rPr>
                <w:snapToGrid w:val="0"/>
                <w:vertAlign w:val="superscript"/>
                <w:lang w:eastAsia="en-US"/>
              </w:rPr>
              <w:t>a</w:t>
            </w:r>
          </w:p>
        </w:tc>
        <w:tc>
          <w:tcPr>
            <w:tcW w:w="493" w:type="pct"/>
            <w:shd w:val="clear" w:color="auto" w:fill="auto"/>
            <w:vAlign w:val="center"/>
          </w:tcPr>
          <w:p w14:paraId="7154A812" w14:textId="77777777" w:rsidR="003D3487" w:rsidRPr="00465B62" w:rsidRDefault="003D3487" w:rsidP="00DC1A92">
            <w:pPr>
              <w:pStyle w:val="Tabletext1"/>
              <w:spacing w:before="40" w:after="40"/>
              <w:rPr>
                <w:snapToGrid w:val="0"/>
                <w:lang w:eastAsia="en-US"/>
              </w:rPr>
            </w:pPr>
            <w:r w:rsidRPr="00465B62">
              <w:rPr>
                <w:snapToGrid w:val="0"/>
                <w:lang w:eastAsia="en-US"/>
              </w:rPr>
              <w:t>50 (52)</w:t>
            </w:r>
          </w:p>
        </w:tc>
        <w:tc>
          <w:tcPr>
            <w:tcW w:w="895" w:type="pct"/>
            <w:shd w:val="clear" w:color="auto" w:fill="auto"/>
            <w:vAlign w:val="center"/>
          </w:tcPr>
          <w:p w14:paraId="57C0BDF6" w14:textId="59F1F41C" w:rsidR="003D3487" w:rsidRDefault="003D3487" w:rsidP="00DC1A92">
            <w:pPr>
              <w:pStyle w:val="Tabletext1"/>
              <w:spacing w:before="40" w:after="40"/>
              <w:rPr>
                <w:lang w:eastAsia="en-US"/>
              </w:rPr>
            </w:pPr>
            <w:r>
              <w:rPr>
                <w:lang w:eastAsia="en-US"/>
              </w:rPr>
              <w:t>94</w:t>
            </w:r>
            <w:r w:rsidR="00B064D4">
              <w:rPr>
                <w:lang w:eastAsia="en-US"/>
              </w:rPr>
              <w:t>%</w:t>
            </w:r>
          </w:p>
          <w:p w14:paraId="18447749" w14:textId="322EBBED" w:rsidR="003D3487" w:rsidRPr="00465B62" w:rsidRDefault="003D3487" w:rsidP="00DC1A92">
            <w:pPr>
              <w:pStyle w:val="Tabletext1"/>
              <w:spacing w:before="40" w:after="40"/>
              <w:rPr>
                <w:lang w:eastAsia="en-US"/>
              </w:rPr>
            </w:pPr>
            <w:r w:rsidRPr="00465B62">
              <w:rPr>
                <w:i/>
                <w:lang w:eastAsia="en-US"/>
              </w:rPr>
              <w:t>100</w:t>
            </w:r>
            <w:r w:rsidR="00B064D4">
              <w:rPr>
                <w:i/>
                <w:lang w:eastAsia="en-US"/>
              </w:rPr>
              <w:t>%</w:t>
            </w:r>
          </w:p>
        </w:tc>
        <w:tc>
          <w:tcPr>
            <w:tcW w:w="895" w:type="pct"/>
            <w:shd w:val="clear" w:color="auto" w:fill="auto"/>
            <w:vAlign w:val="center"/>
          </w:tcPr>
          <w:p w14:paraId="15A0FB19" w14:textId="11A7B82B" w:rsidR="003D3487" w:rsidRDefault="003D3487" w:rsidP="00DC1A92">
            <w:pPr>
              <w:pStyle w:val="Tabletext1"/>
              <w:spacing w:before="40" w:after="40"/>
              <w:rPr>
                <w:lang w:eastAsia="en-US"/>
              </w:rPr>
            </w:pPr>
            <w:r>
              <w:rPr>
                <w:lang w:eastAsia="en-US"/>
              </w:rPr>
              <w:t>86</w:t>
            </w:r>
            <w:r w:rsidR="00B064D4">
              <w:rPr>
                <w:lang w:eastAsia="en-US"/>
              </w:rPr>
              <w:t>%</w:t>
            </w:r>
          </w:p>
          <w:p w14:paraId="5BCD9DCF" w14:textId="7B51F16C" w:rsidR="003D3487" w:rsidRPr="00465B62" w:rsidRDefault="003D3487" w:rsidP="00DC1A92">
            <w:pPr>
              <w:pStyle w:val="Tabletext1"/>
              <w:spacing w:before="40" w:after="40"/>
              <w:rPr>
                <w:snapToGrid w:val="0"/>
                <w:lang w:eastAsia="en-US"/>
              </w:rPr>
            </w:pPr>
            <w:r w:rsidRPr="00465B62">
              <w:rPr>
                <w:i/>
                <w:lang w:eastAsia="en-US"/>
              </w:rPr>
              <w:t>80</w:t>
            </w:r>
            <w:r w:rsidR="00B064D4">
              <w:rPr>
                <w:i/>
                <w:lang w:eastAsia="en-US"/>
              </w:rPr>
              <w:t>%</w:t>
            </w:r>
          </w:p>
        </w:tc>
        <w:tc>
          <w:tcPr>
            <w:tcW w:w="895" w:type="pct"/>
            <w:vAlign w:val="center"/>
          </w:tcPr>
          <w:p w14:paraId="7A2C0316" w14:textId="45CA3023" w:rsidR="003D3487" w:rsidRPr="00CF2421" w:rsidRDefault="003D3487" w:rsidP="00DC1A92">
            <w:pPr>
              <w:pStyle w:val="Tabletext1"/>
              <w:spacing w:before="40" w:after="40"/>
              <w:rPr>
                <w:lang w:eastAsia="en-US"/>
              </w:rPr>
            </w:pPr>
            <w:r>
              <w:rPr>
                <w:lang w:eastAsia="en-US"/>
              </w:rPr>
              <w:t>74</w:t>
            </w:r>
            <w:r w:rsidR="00B064D4">
              <w:rPr>
                <w:lang w:eastAsia="en-US"/>
              </w:rPr>
              <w:t>%</w:t>
            </w:r>
          </w:p>
          <w:p w14:paraId="057F4A9F" w14:textId="35C79C76" w:rsidR="003D3487" w:rsidRPr="00465B62" w:rsidRDefault="003D3487" w:rsidP="00DC1A92">
            <w:pPr>
              <w:pStyle w:val="Tabletext1"/>
              <w:spacing w:before="40" w:after="40"/>
              <w:rPr>
                <w:snapToGrid w:val="0"/>
                <w:lang w:eastAsia="en-US"/>
              </w:rPr>
            </w:pPr>
            <w:r w:rsidRPr="00465B62">
              <w:rPr>
                <w:i/>
                <w:lang w:eastAsia="en-US"/>
              </w:rPr>
              <w:t>80</w:t>
            </w:r>
            <w:r w:rsidR="00B064D4">
              <w:rPr>
                <w:i/>
                <w:lang w:eastAsia="en-US"/>
              </w:rPr>
              <w:t>%</w:t>
            </w:r>
          </w:p>
        </w:tc>
        <w:tc>
          <w:tcPr>
            <w:tcW w:w="895" w:type="pct"/>
            <w:vAlign w:val="center"/>
          </w:tcPr>
          <w:p w14:paraId="7F5E7154" w14:textId="4962C306" w:rsidR="003D3487" w:rsidRDefault="003D3487" w:rsidP="00DC1A92">
            <w:pPr>
              <w:pStyle w:val="Tabletext1"/>
              <w:spacing w:before="40" w:after="40"/>
              <w:rPr>
                <w:lang w:eastAsia="en-US"/>
              </w:rPr>
            </w:pPr>
            <w:r>
              <w:rPr>
                <w:lang w:eastAsia="en-US"/>
              </w:rPr>
              <w:t>61</w:t>
            </w:r>
            <w:r w:rsidR="00B064D4">
              <w:rPr>
                <w:lang w:eastAsia="en-US"/>
              </w:rPr>
              <w:t>%</w:t>
            </w:r>
          </w:p>
          <w:p w14:paraId="652E8CDD" w14:textId="6CE0A660" w:rsidR="003D3487" w:rsidRPr="00465B62" w:rsidRDefault="003D3487" w:rsidP="00DC1A92">
            <w:pPr>
              <w:pStyle w:val="Tabletext1"/>
              <w:spacing w:before="40" w:after="40"/>
              <w:rPr>
                <w:snapToGrid w:val="0"/>
                <w:lang w:eastAsia="en-US"/>
              </w:rPr>
            </w:pPr>
            <w:r w:rsidRPr="00465B62">
              <w:rPr>
                <w:i/>
                <w:lang w:eastAsia="en-US"/>
              </w:rPr>
              <w:t>74</w:t>
            </w:r>
            <w:r w:rsidR="00B064D4">
              <w:rPr>
                <w:i/>
                <w:lang w:eastAsia="en-US"/>
              </w:rPr>
              <w:t>%</w:t>
            </w:r>
          </w:p>
        </w:tc>
      </w:tr>
      <w:tr w:rsidR="003D3487" w:rsidRPr="00465B62" w14:paraId="2CEC8CA7" w14:textId="77777777" w:rsidTr="00CB6225">
        <w:tc>
          <w:tcPr>
            <w:tcW w:w="928" w:type="pct"/>
            <w:shd w:val="clear" w:color="auto" w:fill="auto"/>
            <w:vAlign w:val="center"/>
          </w:tcPr>
          <w:p w14:paraId="12BB876F" w14:textId="77777777" w:rsidR="003D3487" w:rsidRPr="00465B62" w:rsidRDefault="003D3487" w:rsidP="00DC1A92">
            <w:pPr>
              <w:pStyle w:val="Tabletext1"/>
              <w:spacing w:before="40" w:after="40"/>
              <w:rPr>
                <w:snapToGrid w:val="0"/>
                <w:lang w:eastAsia="en-US"/>
              </w:rPr>
            </w:pPr>
            <w:r w:rsidRPr="00465B62">
              <w:rPr>
                <w:snapToGrid w:val="0"/>
                <w:lang w:eastAsia="en-US"/>
              </w:rPr>
              <w:t>Lanuti et al (2012)</w:t>
            </w:r>
          </w:p>
        </w:tc>
        <w:tc>
          <w:tcPr>
            <w:tcW w:w="493" w:type="pct"/>
            <w:shd w:val="clear" w:color="auto" w:fill="auto"/>
            <w:vAlign w:val="center"/>
          </w:tcPr>
          <w:p w14:paraId="3F477422" w14:textId="77777777" w:rsidR="003D3487" w:rsidRPr="00465B62" w:rsidRDefault="003D3487" w:rsidP="00DC1A92">
            <w:pPr>
              <w:pStyle w:val="Tabletext1"/>
              <w:spacing w:before="40" w:after="40"/>
              <w:rPr>
                <w:snapToGrid w:val="0"/>
                <w:lang w:eastAsia="en-US"/>
              </w:rPr>
            </w:pPr>
            <w:r w:rsidRPr="00465B62">
              <w:rPr>
                <w:snapToGrid w:val="0"/>
                <w:lang w:eastAsia="en-US"/>
              </w:rPr>
              <w:t>45 (55)</w:t>
            </w:r>
          </w:p>
        </w:tc>
        <w:tc>
          <w:tcPr>
            <w:tcW w:w="895" w:type="pct"/>
            <w:shd w:val="clear" w:color="auto" w:fill="auto"/>
            <w:vAlign w:val="center"/>
          </w:tcPr>
          <w:p w14:paraId="333F08C8" w14:textId="77777777" w:rsidR="003D3487" w:rsidRPr="00465B62" w:rsidRDefault="003D3487" w:rsidP="00DC1A92">
            <w:pPr>
              <w:pStyle w:val="Tabletext1"/>
              <w:spacing w:before="40" w:after="40"/>
              <w:rPr>
                <w:i/>
                <w:lang w:eastAsia="en-US"/>
              </w:rPr>
            </w:pPr>
            <w:r w:rsidRPr="00465B62">
              <w:rPr>
                <w:lang w:eastAsia="en-US"/>
              </w:rPr>
              <w:t>NR</w:t>
            </w:r>
          </w:p>
        </w:tc>
        <w:tc>
          <w:tcPr>
            <w:tcW w:w="895" w:type="pct"/>
            <w:shd w:val="clear" w:color="auto" w:fill="auto"/>
            <w:vAlign w:val="center"/>
          </w:tcPr>
          <w:p w14:paraId="14409EA0" w14:textId="77777777" w:rsidR="003D3487" w:rsidRPr="00465B62" w:rsidRDefault="003D3487" w:rsidP="00DC1A92">
            <w:pPr>
              <w:pStyle w:val="Tabletext1"/>
              <w:spacing w:before="40" w:after="40"/>
              <w:rPr>
                <w:snapToGrid w:val="0"/>
                <w:lang w:eastAsia="en-US"/>
              </w:rPr>
            </w:pPr>
            <w:r w:rsidRPr="00465B62">
              <w:rPr>
                <w:snapToGrid w:val="0"/>
                <w:lang w:eastAsia="en-US"/>
              </w:rPr>
              <w:t>NR</w:t>
            </w:r>
          </w:p>
        </w:tc>
        <w:tc>
          <w:tcPr>
            <w:tcW w:w="895" w:type="pct"/>
            <w:vAlign w:val="center"/>
          </w:tcPr>
          <w:p w14:paraId="0E121BEC" w14:textId="78A588C7" w:rsidR="003D3487" w:rsidRPr="00465B62" w:rsidRDefault="003D3487" w:rsidP="00DC1A92">
            <w:pPr>
              <w:pStyle w:val="Tabletext1"/>
              <w:spacing w:before="40" w:after="40"/>
              <w:rPr>
                <w:snapToGrid w:val="0"/>
                <w:lang w:eastAsia="en-US"/>
              </w:rPr>
            </w:pPr>
            <w:r w:rsidRPr="00465B62">
              <w:rPr>
                <w:lang w:eastAsia="en-US"/>
              </w:rPr>
              <w:t>67</w:t>
            </w:r>
            <w:r w:rsidR="00B064D4">
              <w:rPr>
                <w:lang w:eastAsia="en-US"/>
              </w:rPr>
              <w:t>%</w:t>
            </w:r>
          </w:p>
        </w:tc>
        <w:tc>
          <w:tcPr>
            <w:tcW w:w="895" w:type="pct"/>
            <w:vAlign w:val="center"/>
          </w:tcPr>
          <w:p w14:paraId="67C5DE43" w14:textId="015BB1FB" w:rsidR="003D3487" w:rsidRPr="00465B62" w:rsidRDefault="003D3487" w:rsidP="00DC1A92">
            <w:pPr>
              <w:pStyle w:val="Tabletext1"/>
              <w:spacing w:before="40" w:after="40"/>
              <w:rPr>
                <w:snapToGrid w:val="0"/>
                <w:lang w:eastAsia="en-US"/>
              </w:rPr>
            </w:pPr>
            <w:r w:rsidRPr="00465B62">
              <w:rPr>
                <w:lang w:eastAsia="en-US"/>
              </w:rPr>
              <w:t>31</w:t>
            </w:r>
            <w:r w:rsidR="00B064D4">
              <w:rPr>
                <w:lang w:eastAsia="en-US"/>
              </w:rPr>
              <w:t>%</w:t>
            </w:r>
          </w:p>
        </w:tc>
      </w:tr>
      <w:tr w:rsidR="003D3487" w:rsidRPr="00465B62" w14:paraId="0F027E85" w14:textId="77777777" w:rsidTr="00CB6225">
        <w:tc>
          <w:tcPr>
            <w:tcW w:w="928" w:type="pct"/>
            <w:shd w:val="clear" w:color="auto" w:fill="auto"/>
            <w:vAlign w:val="center"/>
          </w:tcPr>
          <w:p w14:paraId="09DCB41E" w14:textId="77777777" w:rsidR="003D3487" w:rsidRPr="00465B62" w:rsidRDefault="003D3487" w:rsidP="00DC1A92">
            <w:pPr>
              <w:pStyle w:val="Tabletext1"/>
              <w:spacing w:before="40" w:after="40"/>
              <w:rPr>
                <w:snapToGrid w:val="0"/>
                <w:lang w:eastAsia="en-US"/>
              </w:rPr>
            </w:pPr>
            <w:r w:rsidRPr="00465B62">
              <w:rPr>
                <w:snapToGrid w:val="0"/>
                <w:lang w:eastAsia="en-US"/>
              </w:rPr>
              <w:t>Liu et al (2012)</w:t>
            </w:r>
            <w:r w:rsidRPr="00465B62">
              <w:rPr>
                <w:snapToGrid w:val="0"/>
                <w:vertAlign w:val="superscript"/>
                <w:lang w:eastAsia="en-US"/>
              </w:rPr>
              <w:t>a</w:t>
            </w:r>
          </w:p>
        </w:tc>
        <w:tc>
          <w:tcPr>
            <w:tcW w:w="493" w:type="pct"/>
            <w:shd w:val="clear" w:color="auto" w:fill="auto"/>
            <w:vAlign w:val="center"/>
          </w:tcPr>
          <w:p w14:paraId="72F6A761" w14:textId="77777777" w:rsidR="003D3487" w:rsidRPr="00465B62" w:rsidRDefault="003D3487" w:rsidP="00DC1A92">
            <w:pPr>
              <w:pStyle w:val="Tabletext1"/>
              <w:spacing w:before="40" w:after="40"/>
              <w:rPr>
                <w:snapToGrid w:val="0"/>
                <w:lang w:eastAsia="en-US"/>
              </w:rPr>
            </w:pPr>
            <w:r w:rsidRPr="00465B62">
              <w:rPr>
                <w:snapToGrid w:val="0"/>
                <w:lang w:eastAsia="en-US"/>
              </w:rPr>
              <w:t>29 (29)</w:t>
            </w:r>
          </w:p>
        </w:tc>
        <w:tc>
          <w:tcPr>
            <w:tcW w:w="895" w:type="pct"/>
            <w:shd w:val="clear" w:color="auto" w:fill="auto"/>
            <w:vAlign w:val="center"/>
          </w:tcPr>
          <w:p w14:paraId="7B803530" w14:textId="45EC4033" w:rsidR="003D3487" w:rsidRPr="00465B62" w:rsidRDefault="003D3487" w:rsidP="00DC1A92">
            <w:pPr>
              <w:pStyle w:val="Tabletext1"/>
              <w:spacing w:before="40" w:after="40"/>
              <w:rPr>
                <w:lang w:eastAsia="en-US"/>
              </w:rPr>
            </w:pPr>
            <w:r w:rsidRPr="00465B62">
              <w:rPr>
                <w:lang w:eastAsia="en-US"/>
              </w:rPr>
              <w:t>95</w:t>
            </w:r>
            <w:r w:rsidR="00B064D4">
              <w:rPr>
                <w:lang w:eastAsia="en-US"/>
              </w:rPr>
              <w:t>%</w:t>
            </w:r>
            <w:r w:rsidRPr="00465B62">
              <w:rPr>
                <w:lang w:eastAsia="en-US"/>
              </w:rPr>
              <w:t xml:space="preserve"> (SD 6.4)</w:t>
            </w:r>
          </w:p>
        </w:tc>
        <w:tc>
          <w:tcPr>
            <w:tcW w:w="895" w:type="pct"/>
            <w:shd w:val="clear" w:color="auto" w:fill="auto"/>
            <w:vAlign w:val="center"/>
          </w:tcPr>
          <w:p w14:paraId="00856382" w14:textId="4309A6DB" w:rsidR="003D3487" w:rsidRPr="00465B62" w:rsidRDefault="003D3487" w:rsidP="00DC1A92">
            <w:pPr>
              <w:pStyle w:val="Tabletext1"/>
              <w:spacing w:before="40" w:after="40"/>
              <w:rPr>
                <w:snapToGrid w:val="0"/>
                <w:lang w:eastAsia="en-US"/>
              </w:rPr>
            </w:pPr>
            <w:r w:rsidRPr="00465B62">
              <w:rPr>
                <w:lang w:eastAsia="en-US"/>
              </w:rPr>
              <w:t>76.4 (</w:t>
            </w:r>
            <w:r w:rsidR="00B064D4">
              <w:rPr>
                <w:lang w:eastAsia="en-US"/>
              </w:rPr>
              <w:t xml:space="preserve">SD </w:t>
            </w:r>
            <w:r w:rsidRPr="00465B62">
              <w:rPr>
                <w:lang w:eastAsia="en-US"/>
              </w:rPr>
              <w:t>10.7)</w:t>
            </w:r>
          </w:p>
        </w:tc>
        <w:tc>
          <w:tcPr>
            <w:tcW w:w="895" w:type="pct"/>
            <w:vAlign w:val="center"/>
          </w:tcPr>
          <w:p w14:paraId="18472974" w14:textId="017D20E0" w:rsidR="003D3487" w:rsidRDefault="003D3487" w:rsidP="00DC1A92">
            <w:pPr>
              <w:pStyle w:val="Tabletext1"/>
              <w:spacing w:before="40" w:after="40"/>
              <w:rPr>
                <w:lang w:eastAsia="en-US"/>
              </w:rPr>
            </w:pPr>
            <w:r w:rsidRPr="00465B62">
              <w:rPr>
                <w:lang w:eastAsia="en-US"/>
              </w:rPr>
              <w:t>65.5</w:t>
            </w:r>
            <w:r w:rsidR="00B064D4">
              <w:rPr>
                <w:lang w:eastAsia="en-US"/>
              </w:rPr>
              <w:t>%</w:t>
            </w:r>
            <w:r>
              <w:rPr>
                <w:lang w:eastAsia="en-US"/>
              </w:rPr>
              <w:t xml:space="preserve"> (</w:t>
            </w:r>
            <w:r w:rsidR="00B064D4">
              <w:rPr>
                <w:lang w:eastAsia="en-US"/>
              </w:rPr>
              <w:t xml:space="preserve">SD </w:t>
            </w:r>
            <w:r>
              <w:rPr>
                <w:lang w:eastAsia="en-US"/>
              </w:rPr>
              <w:t>13.6)</w:t>
            </w:r>
          </w:p>
          <w:p w14:paraId="7D0DF598" w14:textId="3862D81D" w:rsidR="003D3487" w:rsidRPr="00465B62" w:rsidRDefault="003D3487" w:rsidP="00DC1A92">
            <w:pPr>
              <w:pStyle w:val="Tabletext1"/>
              <w:spacing w:before="40" w:after="40"/>
              <w:rPr>
                <w:snapToGrid w:val="0"/>
                <w:lang w:eastAsia="en-US"/>
              </w:rPr>
            </w:pPr>
            <w:r w:rsidRPr="00465B62">
              <w:rPr>
                <w:i/>
                <w:lang w:eastAsia="en-US"/>
              </w:rPr>
              <w:t>74.2</w:t>
            </w:r>
            <w:r w:rsidR="00B064D4">
              <w:rPr>
                <w:i/>
                <w:lang w:eastAsia="en-US"/>
              </w:rPr>
              <w:t>%</w:t>
            </w:r>
            <w:r>
              <w:rPr>
                <w:i/>
                <w:lang w:eastAsia="en-US"/>
              </w:rPr>
              <w:t xml:space="preserve"> </w:t>
            </w:r>
            <w:r w:rsidRPr="00465B62">
              <w:rPr>
                <w:i/>
                <w:lang w:eastAsia="en-US"/>
              </w:rPr>
              <w:t>(</w:t>
            </w:r>
            <w:r w:rsidR="00B064D4">
              <w:rPr>
                <w:i/>
                <w:lang w:eastAsia="en-US"/>
              </w:rPr>
              <w:t xml:space="preserve">SD </w:t>
            </w:r>
            <w:r w:rsidRPr="00465B62">
              <w:rPr>
                <w:i/>
                <w:lang w:eastAsia="en-US"/>
              </w:rPr>
              <w:t>13.9)</w:t>
            </w:r>
          </w:p>
        </w:tc>
        <w:tc>
          <w:tcPr>
            <w:tcW w:w="895" w:type="pct"/>
            <w:vAlign w:val="center"/>
          </w:tcPr>
          <w:p w14:paraId="1B93C53D" w14:textId="77777777" w:rsidR="003D3487" w:rsidRPr="00465B62" w:rsidRDefault="003D3487" w:rsidP="00DC1A92">
            <w:pPr>
              <w:pStyle w:val="Tabletext1"/>
              <w:spacing w:before="40" w:after="40"/>
              <w:rPr>
                <w:snapToGrid w:val="0"/>
                <w:lang w:eastAsia="en-US"/>
              </w:rPr>
            </w:pPr>
            <w:r w:rsidRPr="00465B62">
              <w:rPr>
                <w:snapToGrid w:val="0"/>
                <w:lang w:eastAsia="en-US"/>
              </w:rPr>
              <w:t>NR</w:t>
            </w:r>
          </w:p>
        </w:tc>
      </w:tr>
      <w:tr w:rsidR="003D3487" w:rsidRPr="00465B62" w14:paraId="67BB74E5" w14:textId="77777777" w:rsidTr="00CB6225">
        <w:tc>
          <w:tcPr>
            <w:tcW w:w="928" w:type="pct"/>
            <w:shd w:val="clear" w:color="auto" w:fill="auto"/>
            <w:vAlign w:val="center"/>
          </w:tcPr>
          <w:p w14:paraId="6DBC611F" w14:textId="77777777" w:rsidR="003D3487" w:rsidRPr="00465B62" w:rsidRDefault="003D3487" w:rsidP="00DC1A92">
            <w:pPr>
              <w:pStyle w:val="Tabletext1"/>
              <w:spacing w:before="40" w:after="40"/>
              <w:rPr>
                <w:snapToGrid w:val="0"/>
                <w:lang w:eastAsia="en-US"/>
              </w:rPr>
            </w:pPr>
            <w:r w:rsidRPr="00465B62">
              <w:rPr>
                <w:snapToGrid w:val="0"/>
                <w:lang w:eastAsia="en-US"/>
              </w:rPr>
              <w:t>Viti et al (2014)</w:t>
            </w:r>
          </w:p>
        </w:tc>
        <w:tc>
          <w:tcPr>
            <w:tcW w:w="493" w:type="pct"/>
            <w:shd w:val="clear" w:color="auto" w:fill="auto"/>
            <w:vAlign w:val="center"/>
          </w:tcPr>
          <w:p w14:paraId="6EE6D3ED" w14:textId="77777777" w:rsidR="003D3487" w:rsidRPr="00465B62" w:rsidRDefault="003D3487" w:rsidP="00DC1A92">
            <w:pPr>
              <w:pStyle w:val="Tabletext1"/>
              <w:spacing w:before="40" w:after="40"/>
              <w:rPr>
                <w:snapToGrid w:val="0"/>
                <w:lang w:eastAsia="en-US"/>
              </w:rPr>
            </w:pPr>
            <w:r w:rsidRPr="00465B62">
              <w:rPr>
                <w:snapToGrid w:val="0"/>
                <w:lang w:eastAsia="en-US"/>
              </w:rPr>
              <w:t>22 (24)</w:t>
            </w:r>
          </w:p>
        </w:tc>
        <w:tc>
          <w:tcPr>
            <w:tcW w:w="895" w:type="pct"/>
            <w:shd w:val="clear" w:color="auto" w:fill="auto"/>
            <w:vAlign w:val="center"/>
          </w:tcPr>
          <w:p w14:paraId="285D1A11" w14:textId="1367BAD9" w:rsidR="003D3487" w:rsidRPr="00465B62" w:rsidRDefault="003D3487" w:rsidP="00DC1A92">
            <w:pPr>
              <w:pStyle w:val="Tabletext1"/>
              <w:spacing w:before="40" w:after="40"/>
              <w:rPr>
                <w:i/>
                <w:lang w:eastAsia="en-US"/>
              </w:rPr>
            </w:pPr>
            <w:r w:rsidRPr="00465B62">
              <w:rPr>
                <w:lang w:eastAsia="en-US"/>
              </w:rPr>
              <w:t>83</w:t>
            </w:r>
            <w:r w:rsidR="00B064D4">
              <w:rPr>
                <w:lang w:eastAsia="en-US"/>
              </w:rPr>
              <w:t>%</w:t>
            </w:r>
          </w:p>
        </w:tc>
        <w:tc>
          <w:tcPr>
            <w:tcW w:w="895" w:type="pct"/>
            <w:shd w:val="clear" w:color="auto" w:fill="auto"/>
            <w:vAlign w:val="center"/>
          </w:tcPr>
          <w:p w14:paraId="16BDD878" w14:textId="0D77D3E7" w:rsidR="003D3487" w:rsidRPr="00465B62" w:rsidRDefault="003D3487" w:rsidP="00DC1A92">
            <w:pPr>
              <w:pStyle w:val="Tabletext1"/>
              <w:spacing w:before="40" w:after="40"/>
              <w:rPr>
                <w:snapToGrid w:val="0"/>
                <w:lang w:eastAsia="en-US"/>
              </w:rPr>
            </w:pPr>
            <w:r w:rsidRPr="00465B62">
              <w:rPr>
                <w:snapToGrid w:val="0"/>
                <w:lang w:eastAsia="en-US"/>
              </w:rPr>
              <w:t>64</w:t>
            </w:r>
            <w:r w:rsidR="00B064D4">
              <w:rPr>
                <w:snapToGrid w:val="0"/>
                <w:lang w:eastAsia="en-US"/>
              </w:rPr>
              <w:t>%</w:t>
            </w:r>
          </w:p>
        </w:tc>
        <w:tc>
          <w:tcPr>
            <w:tcW w:w="895" w:type="pct"/>
            <w:vAlign w:val="center"/>
          </w:tcPr>
          <w:p w14:paraId="0C26225A" w14:textId="4908F9D1" w:rsidR="003D3487" w:rsidRPr="00465B62" w:rsidRDefault="003D3487" w:rsidP="00DC1A92">
            <w:pPr>
              <w:pStyle w:val="Tabletext1"/>
              <w:spacing w:before="40" w:after="40"/>
              <w:rPr>
                <w:snapToGrid w:val="0"/>
                <w:lang w:eastAsia="en-US"/>
              </w:rPr>
            </w:pPr>
            <w:r w:rsidRPr="00465B62">
              <w:rPr>
                <w:snapToGrid w:val="0"/>
                <w:lang w:eastAsia="en-US"/>
              </w:rPr>
              <w:t>48</w:t>
            </w:r>
            <w:r w:rsidR="00B064D4">
              <w:rPr>
                <w:snapToGrid w:val="0"/>
                <w:lang w:eastAsia="en-US"/>
              </w:rPr>
              <w:t>%</w:t>
            </w:r>
          </w:p>
        </w:tc>
        <w:tc>
          <w:tcPr>
            <w:tcW w:w="895" w:type="pct"/>
            <w:vAlign w:val="center"/>
          </w:tcPr>
          <w:p w14:paraId="2E00975C" w14:textId="77777777" w:rsidR="003D3487" w:rsidRPr="00465B62" w:rsidRDefault="003D3487" w:rsidP="00DC1A92">
            <w:pPr>
              <w:pStyle w:val="Tabletext1"/>
              <w:spacing w:before="40" w:after="40"/>
              <w:rPr>
                <w:snapToGrid w:val="0"/>
                <w:lang w:eastAsia="en-US"/>
              </w:rPr>
            </w:pPr>
            <w:r w:rsidRPr="00465B62">
              <w:rPr>
                <w:snapToGrid w:val="0"/>
                <w:lang w:eastAsia="en-US"/>
              </w:rPr>
              <w:t>NR</w:t>
            </w:r>
          </w:p>
        </w:tc>
      </w:tr>
      <w:tr w:rsidR="003D3487" w:rsidRPr="00465B62" w14:paraId="4AAD9A4C" w14:textId="77777777" w:rsidTr="00CB6225">
        <w:tc>
          <w:tcPr>
            <w:tcW w:w="928" w:type="pct"/>
            <w:shd w:val="clear" w:color="auto" w:fill="auto"/>
            <w:vAlign w:val="center"/>
          </w:tcPr>
          <w:p w14:paraId="1D80522E" w14:textId="04050BB9" w:rsidR="003D3487" w:rsidRPr="00465B62" w:rsidRDefault="003D3487" w:rsidP="00DC1A92">
            <w:pPr>
              <w:pStyle w:val="Tabletext1"/>
              <w:spacing w:before="40" w:after="40"/>
              <w:rPr>
                <w:snapToGrid w:val="0"/>
                <w:lang w:eastAsia="en-US"/>
              </w:rPr>
            </w:pPr>
            <w:r w:rsidRPr="00465B62">
              <w:rPr>
                <w:snapToGrid w:val="0"/>
                <w:lang w:eastAsia="en-US"/>
              </w:rPr>
              <w:t>Ridge et al (2014)</w:t>
            </w:r>
            <w:r w:rsidR="00A12176">
              <w:rPr>
                <w:snapToGrid w:val="0"/>
                <w:vertAlign w:val="superscript"/>
                <w:lang w:eastAsia="en-US"/>
              </w:rPr>
              <w:t>b</w:t>
            </w:r>
          </w:p>
        </w:tc>
        <w:tc>
          <w:tcPr>
            <w:tcW w:w="493" w:type="pct"/>
            <w:shd w:val="clear" w:color="auto" w:fill="auto"/>
            <w:vAlign w:val="center"/>
          </w:tcPr>
          <w:p w14:paraId="5EDD7225" w14:textId="77777777" w:rsidR="003D3487" w:rsidRPr="00465B62" w:rsidRDefault="003D3487" w:rsidP="00DC1A92">
            <w:pPr>
              <w:pStyle w:val="Tabletext1"/>
              <w:spacing w:before="40" w:after="40"/>
              <w:rPr>
                <w:snapToGrid w:val="0"/>
                <w:lang w:eastAsia="en-US"/>
              </w:rPr>
            </w:pPr>
            <w:r w:rsidRPr="00465B62">
              <w:rPr>
                <w:snapToGrid w:val="0"/>
                <w:lang w:eastAsia="en-US"/>
              </w:rPr>
              <w:t>29 (29)</w:t>
            </w:r>
          </w:p>
        </w:tc>
        <w:tc>
          <w:tcPr>
            <w:tcW w:w="895" w:type="pct"/>
            <w:shd w:val="clear" w:color="auto" w:fill="auto"/>
            <w:vAlign w:val="center"/>
          </w:tcPr>
          <w:p w14:paraId="7070E18F" w14:textId="4FD93920" w:rsidR="003D3487" w:rsidRPr="00465B62" w:rsidRDefault="003D3487" w:rsidP="00DC1A92">
            <w:pPr>
              <w:pStyle w:val="Tabletext1"/>
              <w:spacing w:before="40" w:after="40"/>
              <w:rPr>
                <w:lang w:eastAsia="en-US"/>
              </w:rPr>
            </w:pPr>
            <w:r w:rsidRPr="00465B62">
              <w:rPr>
                <w:lang w:eastAsia="en-US"/>
              </w:rPr>
              <w:t>100</w:t>
            </w:r>
            <w:r w:rsidR="00385342">
              <w:rPr>
                <w:lang w:eastAsia="en-US"/>
              </w:rPr>
              <w:t>%</w:t>
            </w:r>
          </w:p>
        </w:tc>
        <w:tc>
          <w:tcPr>
            <w:tcW w:w="895" w:type="pct"/>
            <w:shd w:val="clear" w:color="auto" w:fill="auto"/>
            <w:vAlign w:val="center"/>
          </w:tcPr>
          <w:p w14:paraId="358A2F46" w14:textId="77777777" w:rsidR="003D3487" w:rsidRPr="00465B62" w:rsidRDefault="003D3487" w:rsidP="00DC1A92">
            <w:pPr>
              <w:pStyle w:val="Tabletext1"/>
              <w:spacing w:before="40" w:after="40"/>
              <w:rPr>
                <w:snapToGrid w:val="0"/>
                <w:lang w:eastAsia="en-US"/>
              </w:rPr>
            </w:pPr>
            <w:r w:rsidRPr="00465B62">
              <w:rPr>
                <w:snapToGrid w:val="0"/>
                <w:lang w:eastAsia="en-US"/>
              </w:rPr>
              <w:t>NR</w:t>
            </w:r>
          </w:p>
        </w:tc>
        <w:tc>
          <w:tcPr>
            <w:tcW w:w="895" w:type="pct"/>
            <w:vAlign w:val="center"/>
          </w:tcPr>
          <w:p w14:paraId="114461E1" w14:textId="295A55B7" w:rsidR="003D3487" w:rsidRPr="00465B62" w:rsidRDefault="003D3487" w:rsidP="00DC1A92">
            <w:pPr>
              <w:pStyle w:val="Tabletext1"/>
              <w:spacing w:before="40" w:after="40"/>
              <w:rPr>
                <w:snapToGrid w:val="0"/>
                <w:lang w:eastAsia="en-US"/>
              </w:rPr>
            </w:pPr>
            <w:r w:rsidRPr="00465B62">
              <w:rPr>
                <w:snapToGrid w:val="0"/>
                <w:lang w:eastAsia="en-US"/>
              </w:rPr>
              <w:t>60</w:t>
            </w:r>
            <w:r w:rsidR="00385342">
              <w:rPr>
                <w:snapToGrid w:val="0"/>
                <w:lang w:eastAsia="en-US"/>
              </w:rPr>
              <w:t>%</w:t>
            </w:r>
          </w:p>
        </w:tc>
        <w:tc>
          <w:tcPr>
            <w:tcW w:w="895" w:type="pct"/>
            <w:vAlign w:val="center"/>
          </w:tcPr>
          <w:p w14:paraId="076BB93A" w14:textId="09971378" w:rsidR="003D3487" w:rsidRPr="00465B62" w:rsidRDefault="003D3487" w:rsidP="00DC1A92">
            <w:pPr>
              <w:pStyle w:val="Tabletext1"/>
              <w:spacing w:before="40" w:after="40"/>
              <w:rPr>
                <w:snapToGrid w:val="0"/>
                <w:lang w:eastAsia="en-US"/>
              </w:rPr>
            </w:pPr>
            <w:r w:rsidRPr="00465B62">
              <w:rPr>
                <w:snapToGrid w:val="0"/>
                <w:lang w:eastAsia="en-US"/>
              </w:rPr>
              <w:t>14</w:t>
            </w:r>
            <w:r w:rsidR="00385342">
              <w:rPr>
                <w:snapToGrid w:val="0"/>
                <w:lang w:eastAsia="en-US"/>
              </w:rPr>
              <w:t>%</w:t>
            </w:r>
          </w:p>
        </w:tc>
      </w:tr>
      <w:tr w:rsidR="003D3487" w:rsidRPr="00465B62" w14:paraId="51C56779" w14:textId="77777777" w:rsidTr="00CB6225">
        <w:tc>
          <w:tcPr>
            <w:tcW w:w="928" w:type="pct"/>
            <w:shd w:val="clear" w:color="auto" w:fill="auto"/>
            <w:vAlign w:val="center"/>
          </w:tcPr>
          <w:p w14:paraId="0105203E" w14:textId="77777777" w:rsidR="003D3487" w:rsidRPr="00465B62" w:rsidRDefault="003575EA" w:rsidP="00DC1A92">
            <w:pPr>
              <w:pStyle w:val="Tabletext1"/>
              <w:spacing w:before="40" w:after="40"/>
              <w:rPr>
                <w:snapToGrid w:val="0"/>
                <w:lang w:eastAsia="en-US"/>
              </w:rPr>
            </w:pPr>
            <w:r>
              <w:rPr>
                <w:snapToGrid w:val="0"/>
                <w:lang w:eastAsia="en-US"/>
              </w:rPr>
              <w:t>Safi et al (2015)</w:t>
            </w:r>
          </w:p>
        </w:tc>
        <w:tc>
          <w:tcPr>
            <w:tcW w:w="493" w:type="pct"/>
            <w:shd w:val="clear" w:color="auto" w:fill="auto"/>
            <w:vAlign w:val="center"/>
          </w:tcPr>
          <w:p w14:paraId="3CB29AB4" w14:textId="77777777" w:rsidR="003D3487" w:rsidRPr="00465B62" w:rsidRDefault="003575EA" w:rsidP="00DC1A92">
            <w:pPr>
              <w:pStyle w:val="Tabletext1"/>
              <w:spacing w:before="40" w:after="40"/>
              <w:rPr>
                <w:snapToGrid w:val="0"/>
                <w:lang w:eastAsia="en-US"/>
              </w:rPr>
            </w:pPr>
            <w:r>
              <w:rPr>
                <w:snapToGrid w:val="0"/>
                <w:lang w:eastAsia="en-US"/>
              </w:rPr>
              <w:t>25 (25</w:t>
            </w:r>
            <w:r w:rsidR="003D3487" w:rsidRPr="00465B62">
              <w:rPr>
                <w:snapToGrid w:val="0"/>
                <w:lang w:eastAsia="en-US"/>
              </w:rPr>
              <w:t>)</w:t>
            </w:r>
          </w:p>
        </w:tc>
        <w:tc>
          <w:tcPr>
            <w:tcW w:w="895" w:type="pct"/>
            <w:tcBorders>
              <w:bottom w:val="single" w:sz="4" w:space="0" w:color="auto"/>
            </w:tcBorders>
            <w:shd w:val="clear" w:color="auto" w:fill="auto"/>
            <w:vAlign w:val="center"/>
          </w:tcPr>
          <w:p w14:paraId="2AE5BD5D" w14:textId="77777777" w:rsidR="003D3487" w:rsidRPr="004C0AFB" w:rsidRDefault="003D3487" w:rsidP="00DC1A92">
            <w:pPr>
              <w:pStyle w:val="Tabletext1"/>
              <w:spacing w:before="40" w:after="40"/>
              <w:rPr>
                <w:lang w:eastAsia="en-US"/>
              </w:rPr>
            </w:pPr>
            <w:r w:rsidRPr="004C0AFB">
              <w:rPr>
                <w:lang w:eastAsia="en-US"/>
              </w:rPr>
              <w:t>NR</w:t>
            </w:r>
          </w:p>
          <w:p w14:paraId="4A9E7326" w14:textId="5B7158D0" w:rsidR="003D3487" w:rsidRPr="00CE2130" w:rsidRDefault="003D3487" w:rsidP="00DC1A92">
            <w:pPr>
              <w:pStyle w:val="Tabletext1"/>
              <w:spacing w:before="40" w:after="40"/>
              <w:rPr>
                <w:i/>
                <w:lang w:eastAsia="en-US"/>
              </w:rPr>
            </w:pPr>
            <w:r w:rsidRPr="00CE2130">
              <w:rPr>
                <w:i/>
                <w:lang w:eastAsia="en-US"/>
              </w:rPr>
              <w:t>86</w:t>
            </w:r>
            <w:r w:rsidR="00385342">
              <w:rPr>
                <w:i/>
                <w:lang w:eastAsia="en-US"/>
              </w:rPr>
              <w:t>%</w:t>
            </w:r>
          </w:p>
        </w:tc>
        <w:tc>
          <w:tcPr>
            <w:tcW w:w="895" w:type="pct"/>
            <w:tcBorders>
              <w:bottom w:val="single" w:sz="4" w:space="0" w:color="auto"/>
            </w:tcBorders>
            <w:shd w:val="clear" w:color="auto" w:fill="auto"/>
            <w:vAlign w:val="center"/>
          </w:tcPr>
          <w:p w14:paraId="3BB454E4" w14:textId="77777777" w:rsidR="003D3487" w:rsidRPr="004C0AFB" w:rsidRDefault="003D3487" w:rsidP="00DC1A92">
            <w:pPr>
              <w:pStyle w:val="Tabletext1"/>
              <w:spacing w:before="40" w:after="40"/>
              <w:rPr>
                <w:lang w:eastAsia="en-US"/>
              </w:rPr>
            </w:pPr>
            <w:r w:rsidRPr="004C0AFB">
              <w:rPr>
                <w:lang w:eastAsia="en-US"/>
              </w:rPr>
              <w:t>NR</w:t>
            </w:r>
          </w:p>
          <w:p w14:paraId="102991BD" w14:textId="26691BC0" w:rsidR="003D3487" w:rsidRPr="00CE2130" w:rsidRDefault="003D3487" w:rsidP="00DC1A92">
            <w:pPr>
              <w:pStyle w:val="Tabletext1"/>
              <w:spacing w:before="40" w:after="40"/>
              <w:rPr>
                <w:i/>
                <w:snapToGrid w:val="0"/>
                <w:lang w:eastAsia="en-US"/>
              </w:rPr>
            </w:pPr>
            <w:r w:rsidRPr="00CE2130">
              <w:rPr>
                <w:i/>
                <w:lang w:eastAsia="en-US"/>
              </w:rPr>
              <w:t>74</w:t>
            </w:r>
            <w:r w:rsidR="00385342">
              <w:rPr>
                <w:i/>
                <w:lang w:eastAsia="en-US"/>
              </w:rPr>
              <w:t>%</w:t>
            </w:r>
          </w:p>
        </w:tc>
        <w:tc>
          <w:tcPr>
            <w:tcW w:w="895" w:type="pct"/>
            <w:tcBorders>
              <w:bottom w:val="single" w:sz="4" w:space="0" w:color="auto"/>
            </w:tcBorders>
            <w:vAlign w:val="center"/>
          </w:tcPr>
          <w:p w14:paraId="25C8AA25" w14:textId="77777777" w:rsidR="003D3487" w:rsidRPr="00465B62" w:rsidRDefault="003D3487" w:rsidP="00DC1A92">
            <w:pPr>
              <w:pStyle w:val="Tabletext1"/>
              <w:spacing w:before="40" w:after="40"/>
              <w:rPr>
                <w:snapToGrid w:val="0"/>
                <w:lang w:eastAsia="en-US"/>
              </w:rPr>
            </w:pPr>
            <w:r w:rsidRPr="00465B62">
              <w:rPr>
                <w:snapToGrid w:val="0"/>
                <w:lang w:eastAsia="en-US"/>
              </w:rPr>
              <w:t>NR</w:t>
            </w:r>
          </w:p>
        </w:tc>
        <w:tc>
          <w:tcPr>
            <w:tcW w:w="895" w:type="pct"/>
            <w:tcBorders>
              <w:bottom w:val="single" w:sz="4" w:space="0" w:color="auto"/>
            </w:tcBorders>
            <w:vAlign w:val="center"/>
          </w:tcPr>
          <w:p w14:paraId="1E3426E8" w14:textId="77777777" w:rsidR="003D3487" w:rsidRPr="00465B62" w:rsidRDefault="003D3487" w:rsidP="00DC1A92">
            <w:pPr>
              <w:pStyle w:val="Tabletext1"/>
              <w:spacing w:before="40" w:after="40"/>
              <w:rPr>
                <w:snapToGrid w:val="0"/>
                <w:lang w:eastAsia="en-US"/>
              </w:rPr>
            </w:pPr>
            <w:r w:rsidRPr="00465B62">
              <w:rPr>
                <w:snapToGrid w:val="0"/>
                <w:lang w:eastAsia="en-US"/>
              </w:rPr>
              <w:t>NR</w:t>
            </w:r>
          </w:p>
        </w:tc>
      </w:tr>
      <w:tr w:rsidR="003D3487" w:rsidRPr="00465B62" w14:paraId="46320D33" w14:textId="77777777" w:rsidTr="000F643E">
        <w:tc>
          <w:tcPr>
            <w:tcW w:w="928" w:type="pct"/>
            <w:shd w:val="clear" w:color="auto" w:fill="auto"/>
            <w:vAlign w:val="center"/>
          </w:tcPr>
          <w:p w14:paraId="1D1F7AF4" w14:textId="77777777" w:rsidR="003D3487" w:rsidRPr="00DD7981" w:rsidRDefault="003D3487" w:rsidP="00DC1A92">
            <w:pPr>
              <w:pStyle w:val="Tabletext1"/>
              <w:spacing w:before="40" w:after="40"/>
              <w:rPr>
                <w:snapToGrid w:val="0"/>
                <w:lang w:eastAsia="en-US"/>
              </w:rPr>
            </w:pPr>
            <w:r w:rsidRPr="00DD7981">
              <w:rPr>
                <w:snapToGrid w:val="0"/>
                <w:lang w:eastAsia="en-US"/>
              </w:rPr>
              <w:lastRenderedPageBreak/>
              <w:t>Pooled analysis</w:t>
            </w:r>
          </w:p>
        </w:tc>
        <w:tc>
          <w:tcPr>
            <w:tcW w:w="493" w:type="pct"/>
            <w:shd w:val="clear" w:color="auto" w:fill="auto"/>
            <w:vAlign w:val="center"/>
          </w:tcPr>
          <w:p w14:paraId="5BBCAEFE" w14:textId="77777777" w:rsidR="003D3487" w:rsidRPr="00DD7981" w:rsidRDefault="003D3487" w:rsidP="00DC1A92">
            <w:pPr>
              <w:pStyle w:val="Tabletext1"/>
              <w:spacing w:before="40" w:after="40"/>
              <w:rPr>
                <w:snapToGrid w:val="0"/>
                <w:lang w:eastAsia="en-US"/>
              </w:rPr>
            </w:pPr>
            <w:r w:rsidRPr="00DD7981">
              <w:rPr>
                <w:snapToGrid w:val="0"/>
                <w:lang w:eastAsia="en-US"/>
              </w:rPr>
              <w:t>308/324</w:t>
            </w:r>
          </w:p>
        </w:tc>
        <w:tc>
          <w:tcPr>
            <w:tcW w:w="895" w:type="pct"/>
            <w:tcBorders>
              <w:left w:val="nil"/>
              <w:right w:val="nil"/>
            </w:tcBorders>
            <w:shd w:val="clear" w:color="auto" w:fill="auto"/>
            <w:vAlign w:val="bottom"/>
          </w:tcPr>
          <w:p w14:paraId="709223A2" w14:textId="67EC5EDC" w:rsidR="003D3487" w:rsidRDefault="003D3487" w:rsidP="00DC1A92">
            <w:pPr>
              <w:pStyle w:val="Tabletext1"/>
              <w:spacing w:before="40" w:after="40"/>
              <w:jc w:val="center"/>
              <w:rPr>
                <w:snapToGrid w:val="0"/>
                <w:lang w:eastAsia="en-US"/>
              </w:rPr>
            </w:pPr>
            <w:r w:rsidRPr="00DD7981">
              <w:rPr>
                <w:snapToGrid w:val="0"/>
                <w:lang w:eastAsia="en-US"/>
              </w:rPr>
              <w:t>Median: 86 (83</w:t>
            </w:r>
            <w:r w:rsidR="007E3D66">
              <w:rPr>
                <w:snapToGrid w:val="0"/>
                <w:lang w:eastAsia="en-US"/>
              </w:rPr>
              <w:t>–</w:t>
            </w:r>
            <w:r w:rsidRPr="00DD7981">
              <w:rPr>
                <w:snapToGrid w:val="0"/>
                <w:lang w:eastAsia="en-US"/>
              </w:rPr>
              <w:t>100)</w:t>
            </w:r>
          </w:p>
          <w:p w14:paraId="316DE421" w14:textId="1ECDE388" w:rsidR="003D3487" w:rsidRDefault="00DA2157" w:rsidP="00DC1A92">
            <w:pPr>
              <w:pStyle w:val="Tabletext1"/>
              <w:spacing w:before="40" w:after="40"/>
              <w:jc w:val="center"/>
              <w:rPr>
                <w:snapToGrid w:val="0"/>
              </w:rPr>
            </w:pPr>
            <w:r>
              <w:rPr>
                <w:snapToGrid w:val="0"/>
              </w:rPr>
              <w:t>Quality</w:t>
            </w:r>
            <w:r w:rsidR="003D3487">
              <w:rPr>
                <w:snapToGrid w:val="0"/>
              </w:rPr>
              <w:t xml:space="preserve"> of the evidence (GRADE)</w:t>
            </w:r>
          </w:p>
          <w:p w14:paraId="5FD59D94" w14:textId="77777777" w:rsidR="003D3487" w:rsidRDefault="003D3487" w:rsidP="00DC1A92">
            <w:pPr>
              <w:pStyle w:val="Tabletext1"/>
              <w:spacing w:before="40" w:after="40"/>
              <w:jc w:val="center"/>
              <w:rPr>
                <w:rStyle w:val="quality-sign"/>
                <w:rFonts w:ascii="MS Mincho" w:eastAsia="MS Mincho" w:hAnsi="MS Mincho" w:cs="MS Mincho"/>
                <w:b/>
                <w:sz w:val="21"/>
                <w:szCs w:val="21"/>
              </w:rPr>
            </w:pPr>
            <w:r>
              <w:rPr>
                <w:rFonts w:ascii="Cambria Math" w:hAnsi="Cambria Math"/>
                <w:color w:val="00B050"/>
              </w:rPr>
              <w:t>⨁</w:t>
            </w:r>
            <w:r w:rsidRPr="00D4733A">
              <w:rPr>
                <w:rFonts w:ascii="Cambria Math" w:hAnsi="Cambria Math" w:cs="Cambria Math"/>
                <w:color w:val="C00000"/>
              </w:rPr>
              <w:t>⨀⨀⨀</w:t>
            </w:r>
          </w:p>
          <w:p w14:paraId="210B1D92" w14:textId="77777777" w:rsidR="003D3487" w:rsidRPr="00C62F37" w:rsidRDefault="003D3487" w:rsidP="00DC1A92">
            <w:pPr>
              <w:pStyle w:val="Tabletext1"/>
              <w:spacing w:before="40" w:after="40"/>
              <w:jc w:val="center"/>
              <w:rPr>
                <w:rFonts w:ascii="MS Mincho" w:eastAsia="MS Mincho" w:hAnsi="MS Mincho" w:cs="MS Mincho"/>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895" w:type="pct"/>
            <w:tcBorders>
              <w:left w:val="nil"/>
              <w:right w:val="nil"/>
            </w:tcBorders>
            <w:shd w:val="clear" w:color="auto" w:fill="auto"/>
            <w:vAlign w:val="bottom"/>
          </w:tcPr>
          <w:p w14:paraId="427A259B" w14:textId="05B3AFCA" w:rsidR="003D3487" w:rsidRDefault="003D3487" w:rsidP="00DC1A92">
            <w:pPr>
              <w:pStyle w:val="Tabletext1"/>
              <w:spacing w:before="40" w:after="40"/>
              <w:jc w:val="center"/>
              <w:rPr>
                <w:snapToGrid w:val="0"/>
                <w:lang w:eastAsia="en-US"/>
              </w:rPr>
            </w:pPr>
            <w:r w:rsidRPr="00DD7981">
              <w:rPr>
                <w:snapToGrid w:val="0"/>
                <w:lang w:eastAsia="en-US"/>
              </w:rPr>
              <w:t>Median: 74 (69.8</w:t>
            </w:r>
            <w:r w:rsidR="007E3D66">
              <w:rPr>
                <w:snapToGrid w:val="0"/>
                <w:lang w:eastAsia="en-US"/>
              </w:rPr>
              <w:t>–</w:t>
            </w:r>
            <w:r w:rsidRPr="00DD7981">
              <w:rPr>
                <w:snapToGrid w:val="0"/>
                <w:lang w:eastAsia="en-US"/>
              </w:rPr>
              <w:t>86)</w:t>
            </w:r>
          </w:p>
          <w:p w14:paraId="630194A8" w14:textId="363E3B09" w:rsidR="003D3487" w:rsidRDefault="00DA2157" w:rsidP="00DC1A92">
            <w:pPr>
              <w:pStyle w:val="Tabletext1"/>
              <w:spacing w:before="40" w:after="40"/>
              <w:jc w:val="center"/>
              <w:rPr>
                <w:snapToGrid w:val="0"/>
              </w:rPr>
            </w:pPr>
            <w:r>
              <w:rPr>
                <w:snapToGrid w:val="0"/>
              </w:rPr>
              <w:t xml:space="preserve">Quality </w:t>
            </w:r>
            <w:r w:rsidR="003D3487">
              <w:rPr>
                <w:snapToGrid w:val="0"/>
              </w:rPr>
              <w:t>of the evidence (GRADE)</w:t>
            </w:r>
          </w:p>
          <w:p w14:paraId="4EB0D9B5" w14:textId="77777777" w:rsidR="003D3487" w:rsidRDefault="003D3487" w:rsidP="00DC1A92">
            <w:pPr>
              <w:pStyle w:val="Tabletext1"/>
              <w:spacing w:before="40" w:after="40"/>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719CC513" w14:textId="77777777" w:rsidR="003D3487" w:rsidRPr="00C62F37" w:rsidRDefault="003D3487" w:rsidP="00DC1A92">
            <w:pPr>
              <w:pStyle w:val="Tabletext1"/>
              <w:spacing w:before="40" w:after="40"/>
              <w:jc w:val="center"/>
              <w:rPr>
                <w:rFonts w:ascii="MS Mincho" w:eastAsia="MS Mincho" w:hAnsi="MS Mincho" w:cs="MS Mincho"/>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895" w:type="pct"/>
            <w:tcBorders>
              <w:left w:val="nil"/>
              <w:right w:val="nil"/>
            </w:tcBorders>
            <w:vAlign w:val="bottom"/>
          </w:tcPr>
          <w:p w14:paraId="26415F51" w14:textId="0D8B0C7A" w:rsidR="003D3487" w:rsidRDefault="00DA2157" w:rsidP="00DC1A92">
            <w:pPr>
              <w:pStyle w:val="Tabletext1"/>
              <w:spacing w:before="40" w:after="40"/>
              <w:jc w:val="center"/>
              <w:rPr>
                <w:snapToGrid w:val="0"/>
                <w:lang w:eastAsia="en-US"/>
              </w:rPr>
            </w:pPr>
            <w:r>
              <w:rPr>
                <w:snapToGrid w:val="0"/>
                <w:lang w:eastAsia="en-US"/>
              </w:rPr>
              <w:t>Median: 63</w:t>
            </w:r>
            <w:r w:rsidR="003D3487" w:rsidRPr="00DD7981">
              <w:rPr>
                <w:snapToGrid w:val="0"/>
                <w:lang w:eastAsia="en-US"/>
              </w:rPr>
              <w:t xml:space="preserve"> (40</w:t>
            </w:r>
            <w:r w:rsidR="007E3D66">
              <w:rPr>
                <w:snapToGrid w:val="0"/>
                <w:lang w:eastAsia="en-US"/>
              </w:rPr>
              <w:t>–</w:t>
            </w:r>
            <w:r w:rsidR="003D3487" w:rsidRPr="00DD7981">
              <w:rPr>
                <w:snapToGrid w:val="0"/>
                <w:lang w:eastAsia="en-US"/>
              </w:rPr>
              <w:t>74)</w:t>
            </w:r>
          </w:p>
          <w:p w14:paraId="34F2722E" w14:textId="1722EA43" w:rsidR="003D3487" w:rsidRDefault="00DA2157" w:rsidP="00DC1A92">
            <w:pPr>
              <w:pStyle w:val="Tabletext1"/>
              <w:spacing w:before="40" w:after="40"/>
              <w:jc w:val="center"/>
              <w:rPr>
                <w:snapToGrid w:val="0"/>
              </w:rPr>
            </w:pPr>
            <w:r>
              <w:rPr>
                <w:snapToGrid w:val="0"/>
              </w:rPr>
              <w:t xml:space="preserve">Quality </w:t>
            </w:r>
            <w:r w:rsidR="003D3487">
              <w:rPr>
                <w:snapToGrid w:val="0"/>
              </w:rPr>
              <w:t>of the evidence (GRADE)</w:t>
            </w:r>
          </w:p>
          <w:p w14:paraId="54131AB0" w14:textId="77777777" w:rsidR="003D3487" w:rsidRDefault="003D3487" w:rsidP="00DC1A92">
            <w:pPr>
              <w:pStyle w:val="Tabletext1"/>
              <w:spacing w:before="40" w:after="40"/>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7BF3B2D1" w14:textId="77777777" w:rsidR="003D3487" w:rsidRPr="00C62F37" w:rsidRDefault="003D3487" w:rsidP="00DC1A92">
            <w:pPr>
              <w:pStyle w:val="Tabletext1"/>
              <w:spacing w:before="40" w:after="40"/>
              <w:jc w:val="center"/>
              <w:rPr>
                <w:rFonts w:ascii="MS Mincho" w:eastAsia="MS Mincho" w:hAnsi="MS Mincho" w:cs="MS Mincho"/>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895" w:type="pct"/>
            <w:tcBorders>
              <w:left w:val="nil"/>
            </w:tcBorders>
            <w:vAlign w:val="bottom"/>
          </w:tcPr>
          <w:p w14:paraId="4F1FF6CF" w14:textId="4DED70D0" w:rsidR="003D3487" w:rsidRDefault="003D3487" w:rsidP="00DC1A92">
            <w:pPr>
              <w:pStyle w:val="Tabletext1"/>
              <w:spacing w:before="40" w:after="40"/>
              <w:jc w:val="center"/>
              <w:rPr>
                <w:snapToGrid w:val="0"/>
                <w:lang w:eastAsia="en-US"/>
              </w:rPr>
            </w:pPr>
            <w:r w:rsidRPr="00DD7981">
              <w:rPr>
                <w:snapToGrid w:val="0"/>
                <w:lang w:eastAsia="en-US"/>
              </w:rPr>
              <w:t>Median: 28 (14</w:t>
            </w:r>
            <w:r w:rsidR="007E3D66">
              <w:rPr>
                <w:snapToGrid w:val="0"/>
                <w:lang w:eastAsia="en-US"/>
              </w:rPr>
              <w:t>–</w:t>
            </w:r>
            <w:r w:rsidRPr="00DD7981">
              <w:rPr>
                <w:snapToGrid w:val="0"/>
                <w:lang w:eastAsia="en-US"/>
              </w:rPr>
              <w:t>61)</w:t>
            </w:r>
          </w:p>
          <w:p w14:paraId="3F2D818C" w14:textId="5B6332AE" w:rsidR="003D3487" w:rsidRDefault="00DA2157" w:rsidP="00DC1A92">
            <w:pPr>
              <w:pStyle w:val="Tabletext1"/>
              <w:spacing w:before="40" w:after="40"/>
              <w:jc w:val="center"/>
              <w:rPr>
                <w:snapToGrid w:val="0"/>
              </w:rPr>
            </w:pPr>
            <w:r>
              <w:rPr>
                <w:snapToGrid w:val="0"/>
              </w:rPr>
              <w:t xml:space="preserve">Quality </w:t>
            </w:r>
            <w:r w:rsidR="003D3487">
              <w:rPr>
                <w:snapToGrid w:val="0"/>
              </w:rPr>
              <w:t>of the evidence (GRADE)</w:t>
            </w:r>
          </w:p>
          <w:p w14:paraId="4FCFB1D9" w14:textId="77777777" w:rsidR="003D3487" w:rsidRDefault="003D3487" w:rsidP="00DC1A92">
            <w:pPr>
              <w:pStyle w:val="Tabletext1"/>
              <w:spacing w:before="40" w:after="40"/>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6DE6B170" w14:textId="77777777" w:rsidR="003D3487" w:rsidRPr="00C62F37" w:rsidRDefault="003D3487" w:rsidP="00DC1A92">
            <w:pPr>
              <w:pStyle w:val="Tabletext1"/>
              <w:spacing w:before="40" w:after="40"/>
              <w:jc w:val="center"/>
              <w:rPr>
                <w:rFonts w:ascii="MS Mincho" w:eastAsia="MS Mincho" w:hAnsi="MS Mincho" w:cs="MS Mincho"/>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r>
    </w:tbl>
    <w:p w14:paraId="09312C95" w14:textId="50D95BF6" w:rsidR="00F25921" w:rsidRPr="00936994" w:rsidRDefault="00A12176" w:rsidP="00F25921">
      <w:pPr>
        <w:pStyle w:val="Tablenotes0"/>
      </w:pPr>
      <w:r>
        <w:t>&lt;</w:t>
      </w:r>
      <w:r w:rsidR="007C6376">
        <w:t xml:space="preserve"> </w:t>
      </w:r>
      <w:r w:rsidR="00F25921" w:rsidRPr="00936994">
        <w:t xml:space="preserve">CI = confidence interval; </w:t>
      </w:r>
      <w:r w:rsidR="00C10752">
        <w:t xml:space="preserve">N = </w:t>
      </w:r>
      <w:r w:rsidR="00F25921" w:rsidRPr="002F591C">
        <w:t>number</w:t>
      </w:r>
      <w:r w:rsidR="00F25921">
        <w:t xml:space="preserve">; </w:t>
      </w:r>
      <w:r w:rsidR="00F25921" w:rsidRPr="00936994">
        <w:t>NR= not reported</w:t>
      </w:r>
      <w:r w:rsidR="007C6376">
        <w:t xml:space="preserve"> </w:t>
      </w:r>
      <w:r>
        <w:t>&gt;</w:t>
      </w:r>
    </w:p>
    <w:p w14:paraId="3E87F572" w14:textId="2CD25679" w:rsidR="00F25921" w:rsidRDefault="00F25921" w:rsidP="00F25921">
      <w:pPr>
        <w:pStyle w:val="Tablenotes0"/>
        <w:spacing w:after="0"/>
        <w:rPr>
          <w:vertAlign w:val="superscript"/>
        </w:rPr>
      </w:pP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r w:rsidRPr="00465B62">
        <w:rPr>
          <w:vertAlign w:val="superscript"/>
        </w:rPr>
        <w:t xml:space="preserve"> </w:t>
      </w:r>
    </w:p>
    <w:p w14:paraId="00DFDB6D" w14:textId="0CB1243E" w:rsidR="00F25921" w:rsidRDefault="00A12176" w:rsidP="00F25921">
      <w:pPr>
        <w:pStyle w:val="Tablenotes0"/>
        <w:spacing w:after="0"/>
      </w:pPr>
      <w:proofErr w:type="gramStart"/>
      <w:r>
        <w:rPr>
          <w:vertAlign w:val="superscript"/>
        </w:rPr>
        <w:t>a</w:t>
      </w:r>
      <w:proofErr w:type="gramEnd"/>
      <w:r w:rsidR="00F25921">
        <w:t xml:space="preserve"> Not significantly different between stages IA and IB</w:t>
      </w:r>
    </w:p>
    <w:p w14:paraId="26F1A33D" w14:textId="53BD1543" w:rsidR="00F25921" w:rsidRDefault="00A12176" w:rsidP="00F25921">
      <w:pPr>
        <w:pStyle w:val="Tablenotes0"/>
      </w:pPr>
      <w:proofErr w:type="gramStart"/>
      <w:r>
        <w:rPr>
          <w:vertAlign w:val="superscript"/>
        </w:rPr>
        <w:t>b</w:t>
      </w:r>
      <w:proofErr w:type="gramEnd"/>
      <w:r w:rsidR="00F25921">
        <w:t xml:space="preserve"> 1-year survival 100% for all subgroups 3-year survival was 55 for first primary tumour, 63 for metachranous disease, 75 for synchronous tumours, 63 for T1a tumours and 60 for T1b tumours</w:t>
      </w:r>
    </w:p>
    <w:p w14:paraId="0080F656" w14:textId="1849EEA8" w:rsidR="00620681" w:rsidRDefault="00620681" w:rsidP="00435873">
      <w:pPr>
        <w:pStyle w:val="Caption"/>
        <w:keepNext/>
        <w:spacing w:before="500"/>
      </w:pPr>
      <w:bookmarkStart w:id="533" w:name="_Ref457486149"/>
      <w:bookmarkStart w:id="534" w:name="_Ref458512332"/>
      <w:bookmarkStart w:id="535" w:name="_Toc460514759"/>
      <w:r>
        <w:t xml:space="preserve">Table </w:t>
      </w:r>
      <w:fldSimple w:instr=" SEQ Table \* ARABIC ">
        <w:r w:rsidR="00D170A5">
          <w:rPr>
            <w:noProof/>
          </w:rPr>
          <w:t>101</w:t>
        </w:r>
      </w:fldSimple>
      <w:bookmarkEnd w:id="533"/>
      <w:bookmarkEnd w:id="534"/>
      <w:r>
        <w:tab/>
      </w:r>
      <w:r w:rsidR="00AC15D2">
        <w:t>Overall s</w:t>
      </w:r>
      <w:r>
        <w:t>urvival rate</w:t>
      </w:r>
      <w:r w:rsidR="002428EF">
        <w:t>s</w:t>
      </w:r>
      <w:r>
        <w:t xml:space="preserve"> at 1, 2-, </w:t>
      </w:r>
      <w:proofErr w:type="gramStart"/>
      <w:r>
        <w:t>3</w:t>
      </w:r>
      <w:proofErr w:type="gramEnd"/>
      <w:r>
        <w:t>- and 4-or 5- years (radiotherapy, population one)</w:t>
      </w:r>
      <w:bookmarkEnd w:id="5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020"/>
        <w:gridCol w:w="1275"/>
        <w:gridCol w:w="1150"/>
        <w:gridCol w:w="1041"/>
        <w:gridCol w:w="1153"/>
        <w:gridCol w:w="1150"/>
        <w:gridCol w:w="1150"/>
        <w:gridCol w:w="1143"/>
      </w:tblGrid>
      <w:tr w:rsidR="00BF459C" w:rsidRPr="00AE1AE2" w14:paraId="08B30186" w14:textId="77777777" w:rsidTr="00A12176">
        <w:tc>
          <w:tcPr>
            <w:tcW w:w="562" w:type="pct"/>
            <w:shd w:val="clear" w:color="auto" w:fill="D9D9D9" w:themeFill="background1" w:themeFillShade="D9"/>
            <w:vAlign w:val="center"/>
          </w:tcPr>
          <w:p w14:paraId="6E76F371" w14:textId="77777777" w:rsidR="00CA5E71" w:rsidRPr="00435873" w:rsidRDefault="00CA5E71" w:rsidP="00DC1A92">
            <w:pPr>
              <w:pStyle w:val="Tabletext1"/>
              <w:spacing w:before="40" w:after="40"/>
              <w:rPr>
                <w:b/>
                <w:snapToGrid w:val="0"/>
                <w:lang w:eastAsia="en-US"/>
              </w:rPr>
            </w:pPr>
            <w:r w:rsidRPr="00435873">
              <w:rPr>
                <w:b/>
                <w:snapToGrid w:val="0"/>
                <w:lang w:eastAsia="en-US"/>
              </w:rPr>
              <w:t>Trial/Study</w:t>
            </w:r>
          </w:p>
        </w:tc>
        <w:tc>
          <w:tcPr>
            <w:tcW w:w="702" w:type="pct"/>
            <w:shd w:val="clear" w:color="auto" w:fill="D9D9D9" w:themeFill="background1" w:themeFillShade="D9"/>
            <w:vAlign w:val="center"/>
          </w:tcPr>
          <w:p w14:paraId="64662AB7" w14:textId="77777777" w:rsidR="00CA5E71" w:rsidRPr="00435873" w:rsidRDefault="00CA5E71" w:rsidP="00DC1A92">
            <w:pPr>
              <w:pStyle w:val="Tabletext1"/>
              <w:spacing w:before="40" w:after="40"/>
              <w:rPr>
                <w:b/>
                <w:snapToGrid w:val="0"/>
                <w:lang w:eastAsia="en-US"/>
              </w:rPr>
            </w:pPr>
            <w:r w:rsidRPr="00435873">
              <w:rPr>
                <w:b/>
                <w:snapToGrid w:val="0"/>
                <w:lang w:eastAsia="en-US"/>
              </w:rPr>
              <w:t>Intervention</w:t>
            </w:r>
          </w:p>
        </w:tc>
        <w:tc>
          <w:tcPr>
            <w:tcW w:w="633" w:type="pct"/>
            <w:shd w:val="clear" w:color="auto" w:fill="D9D9D9" w:themeFill="background1" w:themeFillShade="D9"/>
            <w:vAlign w:val="center"/>
          </w:tcPr>
          <w:p w14:paraId="3E818CD1" w14:textId="77777777" w:rsidR="00CA5E71" w:rsidRPr="00435873" w:rsidRDefault="00CA5E71" w:rsidP="00DC1A92">
            <w:pPr>
              <w:pStyle w:val="Tabletext1"/>
              <w:spacing w:before="40" w:after="40"/>
              <w:rPr>
                <w:b/>
                <w:snapToGrid w:val="0"/>
                <w:lang w:eastAsia="en-US"/>
              </w:rPr>
            </w:pPr>
            <w:r w:rsidRPr="00435873">
              <w:rPr>
                <w:b/>
                <w:snapToGrid w:val="0"/>
                <w:lang w:eastAsia="en-US"/>
              </w:rPr>
              <w:t>N (lesions)</w:t>
            </w:r>
          </w:p>
        </w:tc>
        <w:tc>
          <w:tcPr>
            <w:tcW w:w="573" w:type="pct"/>
            <w:shd w:val="clear" w:color="auto" w:fill="D9D9D9" w:themeFill="background1" w:themeFillShade="D9"/>
            <w:vAlign w:val="center"/>
          </w:tcPr>
          <w:p w14:paraId="0B03FBB4" w14:textId="77777777" w:rsidR="00CA5E71" w:rsidRPr="00435873" w:rsidRDefault="00CA5E71" w:rsidP="00DC1A92">
            <w:pPr>
              <w:pStyle w:val="Tabletext1"/>
              <w:spacing w:before="40" w:after="40"/>
              <w:rPr>
                <w:b/>
                <w:snapToGrid w:val="0"/>
                <w:lang w:eastAsia="en-US"/>
              </w:rPr>
            </w:pPr>
            <w:r w:rsidRPr="00435873">
              <w:rPr>
                <w:b/>
                <w:snapToGrid w:val="0"/>
                <w:lang w:eastAsia="en-US"/>
              </w:rPr>
              <w:t>1-year OS</w:t>
            </w:r>
            <w:r w:rsidR="00531FF5" w:rsidRPr="00435873">
              <w:rPr>
                <w:b/>
                <w:snapToGrid w:val="0"/>
                <w:lang w:eastAsia="en-US"/>
              </w:rPr>
              <w:t xml:space="preserve"> (95% CI)</w:t>
            </w:r>
          </w:p>
        </w:tc>
        <w:tc>
          <w:tcPr>
            <w:tcW w:w="635" w:type="pct"/>
            <w:shd w:val="clear" w:color="auto" w:fill="D9D9D9" w:themeFill="background1" w:themeFillShade="D9"/>
            <w:vAlign w:val="center"/>
          </w:tcPr>
          <w:p w14:paraId="32DBF0B3" w14:textId="77777777" w:rsidR="00CA5E71" w:rsidRPr="00435873" w:rsidRDefault="00CA5E71" w:rsidP="00DC1A92">
            <w:pPr>
              <w:pStyle w:val="Tabletext1"/>
              <w:spacing w:before="40" w:after="40"/>
              <w:rPr>
                <w:b/>
                <w:snapToGrid w:val="0"/>
                <w:lang w:eastAsia="en-US"/>
              </w:rPr>
            </w:pPr>
            <w:r w:rsidRPr="00435873">
              <w:rPr>
                <w:b/>
                <w:snapToGrid w:val="0"/>
                <w:lang w:eastAsia="en-US"/>
              </w:rPr>
              <w:t>2-year OS</w:t>
            </w:r>
            <w:r w:rsidR="00531FF5" w:rsidRPr="00435873">
              <w:rPr>
                <w:b/>
                <w:snapToGrid w:val="0"/>
                <w:lang w:eastAsia="en-US"/>
              </w:rPr>
              <w:t xml:space="preserve"> (95% CI)</w:t>
            </w:r>
          </w:p>
        </w:tc>
        <w:tc>
          <w:tcPr>
            <w:tcW w:w="633" w:type="pct"/>
            <w:shd w:val="clear" w:color="auto" w:fill="D9D9D9" w:themeFill="background1" w:themeFillShade="D9"/>
            <w:vAlign w:val="center"/>
          </w:tcPr>
          <w:p w14:paraId="3AADC15E" w14:textId="77777777" w:rsidR="00CA5E71" w:rsidRPr="00435873" w:rsidRDefault="00CA5E71" w:rsidP="00DC1A92">
            <w:pPr>
              <w:pStyle w:val="Tabletext1"/>
              <w:spacing w:before="40" w:after="40"/>
              <w:rPr>
                <w:b/>
                <w:snapToGrid w:val="0"/>
                <w:lang w:eastAsia="en-US"/>
              </w:rPr>
            </w:pPr>
            <w:r w:rsidRPr="00435873">
              <w:rPr>
                <w:b/>
                <w:snapToGrid w:val="0"/>
                <w:lang w:eastAsia="en-US"/>
              </w:rPr>
              <w:t>3-year OS</w:t>
            </w:r>
            <w:r w:rsidR="00531FF5" w:rsidRPr="00435873">
              <w:rPr>
                <w:b/>
                <w:snapToGrid w:val="0"/>
                <w:lang w:eastAsia="en-US"/>
              </w:rPr>
              <w:t xml:space="preserve"> (95% CI)</w:t>
            </w:r>
          </w:p>
        </w:tc>
        <w:tc>
          <w:tcPr>
            <w:tcW w:w="633" w:type="pct"/>
            <w:shd w:val="clear" w:color="auto" w:fill="D9D9D9" w:themeFill="background1" w:themeFillShade="D9"/>
            <w:vAlign w:val="center"/>
          </w:tcPr>
          <w:p w14:paraId="36E011C9" w14:textId="77777777" w:rsidR="00CA5E71" w:rsidRPr="00435873" w:rsidRDefault="00CA5E71" w:rsidP="00DC1A92">
            <w:pPr>
              <w:pStyle w:val="Tabletext1"/>
              <w:spacing w:before="40" w:after="40"/>
              <w:rPr>
                <w:b/>
                <w:snapToGrid w:val="0"/>
                <w:lang w:eastAsia="en-US"/>
              </w:rPr>
            </w:pPr>
            <w:r w:rsidRPr="00435873">
              <w:rPr>
                <w:b/>
                <w:snapToGrid w:val="0"/>
                <w:lang w:eastAsia="en-US"/>
              </w:rPr>
              <w:t>4-year OS</w:t>
            </w:r>
            <w:r w:rsidR="00531FF5" w:rsidRPr="00435873">
              <w:rPr>
                <w:b/>
                <w:snapToGrid w:val="0"/>
                <w:lang w:eastAsia="en-US"/>
              </w:rPr>
              <w:t xml:space="preserve"> (95% CI)</w:t>
            </w:r>
          </w:p>
        </w:tc>
        <w:tc>
          <w:tcPr>
            <w:tcW w:w="629" w:type="pct"/>
            <w:shd w:val="clear" w:color="auto" w:fill="D9D9D9" w:themeFill="background1" w:themeFillShade="D9"/>
            <w:vAlign w:val="center"/>
          </w:tcPr>
          <w:p w14:paraId="4D170F4E" w14:textId="77777777" w:rsidR="00CA5E71" w:rsidRPr="00435873" w:rsidRDefault="00CA5E71" w:rsidP="00DC1A92">
            <w:pPr>
              <w:pStyle w:val="Tabletext1"/>
              <w:spacing w:before="40" w:after="40"/>
              <w:rPr>
                <w:b/>
                <w:snapToGrid w:val="0"/>
                <w:lang w:eastAsia="en-US"/>
              </w:rPr>
            </w:pPr>
            <w:r w:rsidRPr="00435873">
              <w:rPr>
                <w:b/>
                <w:snapToGrid w:val="0"/>
                <w:lang w:eastAsia="en-US"/>
              </w:rPr>
              <w:t>5-year OS</w:t>
            </w:r>
            <w:r w:rsidR="00531FF5" w:rsidRPr="00435873">
              <w:rPr>
                <w:b/>
                <w:snapToGrid w:val="0"/>
                <w:lang w:eastAsia="en-US"/>
              </w:rPr>
              <w:t xml:space="preserve"> (95% CI)</w:t>
            </w:r>
          </w:p>
        </w:tc>
      </w:tr>
      <w:tr w:rsidR="00BF459C" w:rsidRPr="00AE1AE2" w14:paraId="33B903A7" w14:textId="77777777" w:rsidTr="00435873">
        <w:tc>
          <w:tcPr>
            <w:tcW w:w="562" w:type="pct"/>
            <w:tcBorders>
              <w:bottom w:val="nil"/>
            </w:tcBorders>
            <w:shd w:val="clear" w:color="auto" w:fill="auto"/>
            <w:vAlign w:val="center"/>
          </w:tcPr>
          <w:p w14:paraId="564E3184" w14:textId="5BAEB8D3" w:rsidR="00CA5E71" w:rsidRPr="00AE1AE2" w:rsidRDefault="00CA5E71" w:rsidP="00DC1A92">
            <w:pPr>
              <w:pStyle w:val="Tabletext1"/>
              <w:spacing w:before="40" w:after="40"/>
              <w:rPr>
                <w:i/>
                <w:snapToGrid w:val="0"/>
              </w:rPr>
            </w:pPr>
            <w:r w:rsidRPr="00AE1AE2">
              <w:rPr>
                <w:snapToGrid w:val="0"/>
              </w:rPr>
              <w:t>Koshy et al (2015)</w:t>
            </w:r>
            <w:r w:rsidR="00A12176">
              <w:rPr>
                <w:snapToGrid w:val="0"/>
                <w:vertAlign w:val="superscript"/>
              </w:rPr>
              <w:t>a</w:t>
            </w:r>
          </w:p>
        </w:tc>
        <w:tc>
          <w:tcPr>
            <w:tcW w:w="702" w:type="pct"/>
            <w:vAlign w:val="center"/>
          </w:tcPr>
          <w:p w14:paraId="10CE8BDE" w14:textId="77777777" w:rsidR="00CA5E71" w:rsidRPr="00AE1AE2" w:rsidRDefault="00CA5E71" w:rsidP="00DC1A92">
            <w:pPr>
              <w:pStyle w:val="Tabletext1"/>
              <w:spacing w:before="40" w:after="40"/>
              <w:rPr>
                <w:snapToGrid w:val="0"/>
              </w:rPr>
            </w:pPr>
            <w:r w:rsidRPr="00AE1AE2">
              <w:rPr>
                <w:snapToGrid w:val="0"/>
              </w:rPr>
              <w:t>No treatment</w:t>
            </w:r>
          </w:p>
        </w:tc>
        <w:tc>
          <w:tcPr>
            <w:tcW w:w="633" w:type="pct"/>
            <w:shd w:val="clear" w:color="auto" w:fill="auto"/>
            <w:vAlign w:val="center"/>
          </w:tcPr>
          <w:p w14:paraId="5ED8813D" w14:textId="77777777" w:rsidR="00D90BBB" w:rsidRPr="00AE1AE2" w:rsidRDefault="00CA5E71" w:rsidP="00DC1A92">
            <w:pPr>
              <w:pStyle w:val="Tabletext1"/>
              <w:spacing w:before="40" w:after="40"/>
              <w:rPr>
                <w:snapToGrid w:val="0"/>
              </w:rPr>
            </w:pPr>
            <w:r w:rsidRPr="00AE1AE2">
              <w:rPr>
                <w:snapToGrid w:val="0"/>
              </w:rPr>
              <w:t>6888</w:t>
            </w:r>
          </w:p>
          <w:p w14:paraId="32E2E6D7" w14:textId="77777777" w:rsidR="00CA5E71" w:rsidRPr="00AE1AE2" w:rsidRDefault="00CA5E71" w:rsidP="00DC1A92">
            <w:pPr>
              <w:pStyle w:val="Tabletext1"/>
              <w:spacing w:before="40" w:after="40"/>
              <w:rPr>
                <w:snapToGrid w:val="0"/>
              </w:rPr>
            </w:pPr>
            <w:r w:rsidRPr="00AE1AE2">
              <w:rPr>
                <w:snapToGrid w:val="0"/>
              </w:rPr>
              <w:t>(NR)</w:t>
            </w:r>
          </w:p>
        </w:tc>
        <w:tc>
          <w:tcPr>
            <w:tcW w:w="573" w:type="pct"/>
            <w:shd w:val="clear" w:color="auto" w:fill="auto"/>
            <w:vAlign w:val="center"/>
          </w:tcPr>
          <w:p w14:paraId="45BE8C3D" w14:textId="77777777" w:rsidR="00CA5E71" w:rsidRPr="00AE1AE2" w:rsidRDefault="00CA5E71" w:rsidP="00DC1A92">
            <w:pPr>
              <w:pStyle w:val="Tabletext1"/>
              <w:spacing w:before="40" w:after="40"/>
            </w:pPr>
            <w:r w:rsidRPr="00AE1AE2">
              <w:t>NR</w:t>
            </w:r>
          </w:p>
        </w:tc>
        <w:tc>
          <w:tcPr>
            <w:tcW w:w="635" w:type="pct"/>
            <w:shd w:val="clear" w:color="auto" w:fill="auto"/>
            <w:vAlign w:val="center"/>
          </w:tcPr>
          <w:p w14:paraId="3A16DA99" w14:textId="77777777" w:rsidR="00CA5E71" w:rsidRPr="00AE1AE2" w:rsidRDefault="00CA5E71" w:rsidP="00DC1A92">
            <w:pPr>
              <w:pStyle w:val="Tabletext1"/>
              <w:spacing w:before="40" w:after="40"/>
              <w:rPr>
                <w:snapToGrid w:val="0"/>
              </w:rPr>
            </w:pPr>
            <w:r w:rsidRPr="00AE1AE2">
              <w:rPr>
                <w:snapToGrid w:val="0"/>
              </w:rPr>
              <w:t>NR</w:t>
            </w:r>
          </w:p>
        </w:tc>
        <w:tc>
          <w:tcPr>
            <w:tcW w:w="633" w:type="pct"/>
            <w:vAlign w:val="center"/>
          </w:tcPr>
          <w:p w14:paraId="19CD02A4" w14:textId="03D288BC" w:rsidR="00CA5E71" w:rsidRPr="00AE1AE2" w:rsidRDefault="00CA5E71" w:rsidP="00DC1A92">
            <w:pPr>
              <w:pStyle w:val="Tabletext1"/>
              <w:spacing w:before="40" w:after="40"/>
            </w:pPr>
            <w:r w:rsidRPr="00AE1AE2">
              <w:t>28</w:t>
            </w:r>
            <w:r w:rsidR="00385342">
              <w:t>%</w:t>
            </w:r>
          </w:p>
        </w:tc>
        <w:tc>
          <w:tcPr>
            <w:tcW w:w="633" w:type="pct"/>
            <w:vAlign w:val="center"/>
          </w:tcPr>
          <w:p w14:paraId="68EB05FF" w14:textId="77777777" w:rsidR="00CA5E71" w:rsidRPr="00726661" w:rsidRDefault="00CA5E71" w:rsidP="00DC1A92">
            <w:pPr>
              <w:pStyle w:val="Tabletext1"/>
              <w:spacing w:before="40" w:after="40"/>
            </w:pPr>
            <w:r w:rsidRPr="00726661">
              <w:t>NR</w:t>
            </w:r>
          </w:p>
        </w:tc>
        <w:tc>
          <w:tcPr>
            <w:tcW w:w="629" w:type="pct"/>
            <w:vAlign w:val="center"/>
          </w:tcPr>
          <w:p w14:paraId="1B51FF3A" w14:textId="77777777" w:rsidR="00CA5E71" w:rsidRPr="00726661" w:rsidRDefault="00CA5E71" w:rsidP="00DC1A92">
            <w:pPr>
              <w:pStyle w:val="Tabletext1"/>
              <w:spacing w:before="40" w:after="40"/>
            </w:pPr>
            <w:r w:rsidRPr="00726661">
              <w:t>NR</w:t>
            </w:r>
          </w:p>
        </w:tc>
      </w:tr>
      <w:tr w:rsidR="00AE1AE2" w:rsidRPr="00AE1AE2" w14:paraId="4E6332F0" w14:textId="77777777" w:rsidTr="00435873">
        <w:tc>
          <w:tcPr>
            <w:tcW w:w="562" w:type="pct"/>
            <w:tcBorders>
              <w:top w:val="nil"/>
              <w:bottom w:val="nil"/>
            </w:tcBorders>
            <w:shd w:val="clear" w:color="auto" w:fill="auto"/>
            <w:vAlign w:val="center"/>
          </w:tcPr>
          <w:p w14:paraId="5BCDDE41" w14:textId="77777777" w:rsidR="0021692F" w:rsidRPr="00AE1AE2" w:rsidRDefault="0021692F" w:rsidP="00DC1A92">
            <w:pPr>
              <w:pStyle w:val="Tabletext1"/>
              <w:spacing w:before="40" w:after="40"/>
              <w:rPr>
                <w:snapToGrid w:val="0"/>
              </w:rPr>
            </w:pPr>
          </w:p>
        </w:tc>
        <w:tc>
          <w:tcPr>
            <w:tcW w:w="702" w:type="pct"/>
            <w:vAlign w:val="center"/>
          </w:tcPr>
          <w:p w14:paraId="03D4537C" w14:textId="77777777" w:rsidR="0021692F" w:rsidRPr="00AE1AE2" w:rsidRDefault="0021692F" w:rsidP="00DC1A92">
            <w:pPr>
              <w:pStyle w:val="Tabletext1"/>
              <w:spacing w:before="40" w:after="40"/>
              <w:rPr>
                <w:snapToGrid w:val="0"/>
              </w:rPr>
            </w:pPr>
            <w:r w:rsidRPr="00AE1AE2">
              <w:rPr>
                <w:snapToGrid w:val="0"/>
              </w:rPr>
              <w:t>Conventional radiotherapy</w:t>
            </w:r>
          </w:p>
        </w:tc>
        <w:tc>
          <w:tcPr>
            <w:tcW w:w="633" w:type="pct"/>
            <w:shd w:val="clear" w:color="auto" w:fill="auto"/>
            <w:vAlign w:val="center"/>
          </w:tcPr>
          <w:p w14:paraId="039376CB" w14:textId="77777777" w:rsidR="00D90BBB" w:rsidRPr="00AE1AE2" w:rsidRDefault="0021692F" w:rsidP="00DC1A92">
            <w:pPr>
              <w:pStyle w:val="Tabletext1"/>
              <w:spacing w:before="40" w:after="40"/>
              <w:rPr>
                <w:snapToGrid w:val="0"/>
              </w:rPr>
            </w:pPr>
            <w:r w:rsidRPr="00AE1AE2">
              <w:rPr>
                <w:snapToGrid w:val="0"/>
              </w:rPr>
              <w:t>5375</w:t>
            </w:r>
          </w:p>
          <w:p w14:paraId="4B410CCE" w14:textId="77777777" w:rsidR="0021692F" w:rsidRPr="00AE1AE2" w:rsidRDefault="0021692F" w:rsidP="00DC1A92">
            <w:pPr>
              <w:pStyle w:val="Tabletext1"/>
              <w:spacing w:before="40" w:after="40"/>
              <w:rPr>
                <w:snapToGrid w:val="0"/>
              </w:rPr>
            </w:pPr>
            <w:r w:rsidRPr="00AE1AE2">
              <w:rPr>
                <w:snapToGrid w:val="0"/>
              </w:rPr>
              <w:t>(NR)</w:t>
            </w:r>
          </w:p>
        </w:tc>
        <w:tc>
          <w:tcPr>
            <w:tcW w:w="573" w:type="pct"/>
            <w:shd w:val="clear" w:color="auto" w:fill="auto"/>
            <w:vAlign w:val="center"/>
          </w:tcPr>
          <w:p w14:paraId="19952A7B" w14:textId="77777777" w:rsidR="0021692F" w:rsidRPr="00AE1AE2" w:rsidRDefault="0021692F" w:rsidP="00DC1A92">
            <w:pPr>
              <w:pStyle w:val="Tabletext1"/>
              <w:spacing w:before="40" w:after="40"/>
            </w:pPr>
            <w:r w:rsidRPr="00AE1AE2">
              <w:t>NR</w:t>
            </w:r>
          </w:p>
        </w:tc>
        <w:tc>
          <w:tcPr>
            <w:tcW w:w="635" w:type="pct"/>
            <w:shd w:val="clear" w:color="auto" w:fill="auto"/>
            <w:vAlign w:val="center"/>
          </w:tcPr>
          <w:p w14:paraId="0A8B7CE4" w14:textId="77777777" w:rsidR="0021692F" w:rsidRPr="00AE1AE2" w:rsidRDefault="0021692F" w:rsidP="00DC1A92">
            <w:pPr>
              <w:pStyle w:val="Tabletext1"/>
              <w:spacing w:before="40" w:after="40"/>
              <w:rPr>
                <w:snapToGrid w:val="0"/>
              </w:rPr>
            </w:pPr>
            <w:r w:rsidRPr="00AE1AE2">
              <w:rPr>
                <w:snapToGrid w:val="0"/>
              </w:rPr>
              <w:t>NR</w:t>
            </w:r>
          </w:p>
        </w:tc>
        <w:tc>
          <w:tcPr>
            <w:tcW w:w="633" w:type="pct"/>
            <w:vAlign w:val="center"/>
          </w:tcPr>
          <w:p w14:paraId="2442DFE4" w14:textId="3ED4593B" w:rsidR="0021692F" w:rsidRPr="00AE1AE2" w:rsidRDefault="0021692F" w:rsidP="00DC1A92">
            <w:pPr>
              <w:pStyle w:val="Tabletext1"/>
              <w:spacing w:before="40" w:after="40"/>
            </w:pPr>
            <w:r w:rsidRPr="00AE1AE2">
              <w:t>36</w:t>
            </w:r>
            <w:r w:rsidR="00385342">
              <w:t>%</w:t>
            </w:r>
          </w:p>
        </w:tc>
        <w:tc>
          <w:tcPr>
            <w:tcW w:w="633" w:type="pct"/>
            <w:vAlign w:val="center"/>
          </w:tcPr>
          <w:p w14:paraId="3493F5FC" w14:textId="77777777" w:rsidR="0021692F" w:rsidRPr="00AE1AE2" w:rsidRDefault="0021692F" w:rsidP="00DC1A92">
            <w:pPr>
              <w:pStyle w:val="Tabletext1"/>
              <w:spacing w:before="40" w:after="40"/>
            </w:pPr>
            <w:r w:rsidRPr="00726661">
              <w:t>NR</w:t>
            </w:r>
          </w:p>
        </w:tc>
        <w:tc>
          <w:tcPr>
            <w:tcW w:w="629" w:type="pct"/>
            <w:vAlign w:val="center"/>
          </w:tcPr>
          <w:p w14:paraId="2B509B51" w14:textId="77777777" w:rsidR="0021692F" w:rsidRPr="00AE1AE2" w:rsidRDefault="0021692F" w:rsidP="00DC1A92">
            <w:pPr>
              <w:pStyle w:val="Tabletext1"/>
              <w:spacing w:before="40" w:after="40"/>
            </w:pPr>
            <w:r w:rsidRPr="00726661">
              <w:t>NR</w:t>
            </w:r>
          </w:p>
        </w:tc>
      </w:tr>
      <w:tr w:rsidR="00AE1AE2" w:rsidRPr="00AE1AE2" w14:paraId="67569AA6" w14:textId="77777777" w:rsidTr="00435873">
        <w:tc>
          <w:tcPr>
            <w:tcW w:w="562" w:type="pct"/>
            <w:tcBorders>
              <w:top w:val="nil"/>
            </w:tcBorders>
            <w:shd w:val="clear" w:color="auto" w:fill="auto"/>
            <w:vAlign w:val="center"/>
          </w:tcPr>
          <w:p w14:paraId="4EA60A16" w14:textId="77777777" w:rsidR="0021692F" w:rsidRPr="00AE1AE2" w:rsidRDefault="0021692F" w:rsidP="00DC1A92">
            <w:pPr>
              <w:pStyle w:val="Tabletext1"/>
              <w:spacing w:before="40" w:after="40"/>
              <w:rPr>
                <w:snapToGrid w:val="0"/>
              </w:rPr>
            </w:pPr>
          </w:p>
        </w:tc>
        <w:tc>
          <w:tcPr>
            <w:tcW w:w="702" w:type="pct"/>
            <w:vAlign w:val="center"/>
          </w:tcPr>
          <w:p w14:paraId="52DDD338" w14:textId="41970AC0" w:rsidR="0021692F" w:rsidRPr="00AE1AE2" w:rsidRDefault="0021692F" w:rsidP="00DC1A92">
            <w:pPr>
              <w:pStyle w:val="Tabletext1"/>
              <w:spacing w:before="40" w:after="40"/>
              <w:rPr>
                <w:snapToGrid w:val="0"/>
              </w:rPr>
            </w:pPr>
            <w:r w:rsidRPr="00AE1AE2">
              <w:rPr>
                <w:snapToGrid w:val="0"/>
              </w:rPr>
              <w:t>SBRT</w:t>
            </w:r>
            <w:r w:rsidR="00B4290F">
              <w:rPr>
                <w:snapToGrid w:val="0"/>
                <w:vertAlign w:val="superscript"/>
              </w:rPr>
              <w:t>b</w:t>
            </w:r>
          </w:p>
        </w:tc>
        <w:tc>
          <w:tcPr>
            <w:tcW w:w="633" w:type="pct"/>
            <w:shd w:val="clear" w:color="auto" w:fill="auto"/>
            <w:vAlign w:val="center"/>
          </w:tcPr>
          <w:p w14:paraId="22FCF465" w14:textId="77777777" w:rsidR="00BF459C" w:rsidRPr="00AE1AE2" w:rsidRDefault="0021692F" w:rsidP="00DC1A92">
            <w:pPr>
              <w:pStyle w:val="Tabletext1"/>
              <w:spacing w:before="40" w:after="40"/>
              <w:rPr>
                <w:snapToGrid w:val="0"/>
              </w:rPr>
            </w:pPr>
            <w:r w:rsidRPr="00AE1AE2">
              <w:rPr>
                <w:snapToGrid w:val="0"/>
              </w:rPr>
              <w:t>773</w:t>
            </w:r>
          </w:p>
          <w:p w14:paraId="5D38937E" w14:textId="77777777" w:rsidR="0021692F" w:rsidRPr="00AE1AE2" w:rsidRDefault="0021692F" w:rsidP="00DC1A92">
            <w:pPr>
              <w:pStyle w:val="Tabletext1"/>
              <w:spacing w:before="40" w:after="40"/>
              <w:rPr>
                <w:snapToGrid w:val="0"/>
              </w:rPr>
            </w:pPr>
            <w:r w:rsidRPr="00AE1AE2">
              <w:rPr>
                <w:snapToGrid w:val="0"/>
              </w:rPr>
              <w:t>(NR)</w:t>
            </w:r>
          </w:p>
        </w:tc>
        <w:tc>
          <w:tcPr>
            <w:tcW w:w="573" w:type="pct"/>
            <w:shd w:val="clear" w:color="auto" w:fill="auto"/>
            <w:vAlign w:val="center"/>
          </w:tcPr>
          <w:p w14:paraId="5E7F2994" w14:textId="77777777" w:rsidR="0021692F" w:rsidRPr="00AE1AE2" w:rsidRDefault="0021692F" w:rsidP="00DC1A92">
            <w:pPr>
              <w:pStyle w:val="Tabletext1"/>
              <w:spacing w:before="40" w:after="40"/>
            </w:pPr>
            <w:r w:rsidRPr="00AE1AE2">
              <w:t>NR</w:t>
            </w:r>
          </w:p>
        </w:tc>
        <w:tc>
          <w:tcPr>
            <w:tcW w:w="635" w:type="pct"/>
            <w:shd w:val="clear" w:color="auto" w:fill="auto"/>
            <w:vAlign w:val="center"/>
          </w:tcPr>
          <w:p w14:paraId="4F6B06AE" w14:textId="77777777" w:rsidR="0021692F" w:rsidRPr="00AE1AE2" w:rsidRDefault="0021692F" w:rsidP="00DC1A92">
            <w:pPr>
              <w:pStyle w:val="Tabletext1"/>
              <w:spacing w:before="40" w:after="40"/>
              <w:rPr>
                <w:snapToGrid w:val="0"/>
              </w:rPr>
            </w:pPr>
            <w:r w:rsidRPr="00AE1AE2">
              <w:rPr>
                <w:snapToGrid w:val="0"/>
              </w:rPr>
              <w:t>NR</w:t>
            </w:r>
          </w:p>
        </w:tc>
        <w:tc>
          <w:tcPr>
            <w:tcW w:w="633" w:type="pct"/>
            <w:vAlign w:val="center"/>
          </w:tcPr>
          <w:p w14:paraId="57EC1AF9" w14:textId="73700A77" w:rsidR="0021692F" w:rsidRPr="00AE1AE2" w:rsidRDefault="0021692F" w:rsidP="00DC1A92">
            <w:pPr>
              <w:pStyle w:val="Tabletext1"/>
              <w:spacing w:before="40" w:after="40"/>
            </w:pPr>
            <w:r w:rsidRPr="00AE1AE2">
              <w:t>48</w:t>
            </w:r>
            <w:r w:rsidR="00385342">
              <w:t>%</w:t>
            </w:r>
          </w:p>
        </w:tc>
        <w:tc>
          <w:tcPr>
            <w:tcW w:w="633" w:type="pct"/>
            <w:vAlign w:val="center"/>
          </w:tcPr>
          <w:p w14:paraId="17D3B387" w14:textId="77777777" w:rsidR="0021692F" w:rsidRPr="00AE1AE2" w:rsidRDefault="0021692F" w:rsidP="00DC1A92">
            <w:pPr>
              <w:pStyle w:val="Tabletext1"/>
              <w:spacing w:before="40" w:after="40"/>
            </w:pPr>
            <w:r w:rsidRPr="00726661">
              <w:t>NR</w:t>
            </w:r>
          </w:p>
        </w:tc>
        <w:tc>
          <w:tcPr>
            <w:tcW w:w="629" w:type="pct"/>
            <w:vAlign w:val="center"/>
          </w:tcPr>
          <w:p w14:paraId="2F9AF931" w14:textId="77777777" w:rsidR="0021692F" w:rsidRPr="00AE1AE2" w:rsidRDefault="0021692F" w:rsidP="00DC1A92">
            <w:pPr>
              <w:pStyle w:val="Tabletext1"/>
              <w:spacing w:before="40" w:after="40"/>
            </w:pPr>
            <w:r w:rsidRPr="00726661">
              <w:t>NR</w:t>
            </w:r>
          </w:p>
        </w:tc>
      </w:tr>
      <w:tr w:rsidR="00BF459C" w:rsidRPr="00AE1AE2" w14:paraId="76447B24" w14:textId="77777777" w:rsidTr="00435873">
        <w:tc>
          <w:tcPr>
            <w:tcW w:w="562" w:type="pct"/>
            <w:tcBorders>
              <w:bottom w:val="nil"/>
            </w:tcBorders>
            <w:shd w:val="clear" w:color="auto" w:fill="auto"/>
            <w:vAlign w:val="center"/>
          </w:tcPr>
          <w:p w14:paraId="0077C7F2" w14:textId="77777777" w:rsidR="00CA5E71" w:rsidRPr="00AE1AE2" w:rsidRDefault="00CA5E71" w:rsidP="00DC1A92">
            <w:pPr>
              <w:pStyle w:val="Tabletext1"/>
              <w:spacing w:before="40" w:after="40"/>
              <w:rPr>
                <w:snapToGrid w:val="0"/>
              </w:rPr>
            </w:pPr>
            <w:r w:rsidRPr="00AE1AE2">
              <w:rPr>
                <w:snapToGrid w:val="0"/>
              </w:rPr>
              <w:t>Price et al (2012)</w:t>
            </w:r>
          </w:p>
        </w:tc>
        <w:tc>
          <w:tcPr>
            <w:tcW w:w="702" w:type="pct"/>
            <w:vAlign w:val="center"/>
          </w:tcPr>
          <w:p w14:paraId="0E3E4923" w14:textId="77777777" w:rsidR="00CA5E71" w:rsidRPr="00AE1AE2" w:rsidRDefault="0021692F" w:rsidP="00DC1A92">
            <w:pPr>
              <w:pStyle w:val="Tabletext1"/>
              <w:spacing w:before="40" w:after="40"/>
              <w:rPr>
                <w:snapToGrid w:val="0"/>
              </w:rPr>
            </w:pPr>
            <w:r w:rsidRPr="00AE1AE2">
              <w:rPr>
                <w:snapToGrid w:val="0"/>
              </w:rPr>
              <w:t>XRT</w:t>
            </w:r>
          </w:p>
        </w:tc>
        <w:tc>
          <w:tcPr>
            <w:tcW w:w="633" w:type="pct"/>
            <w:shd w:val="clear" w:color="auto" w:fill="auto"/>
            <w:vAlign w:val="center"/>
          </w:tcPr>
          <w:p w14:paraId="06887C5E" w14:textId="77777777" w:rsidR="00BF459C" w:rsidRPr="00AE1AE2" w:rsidRDefault="00CA5E71" w:rsidP="00DC1A92">
            <w:pPr>
              <w:pStyle w:val="Tabletext1"/>
              <w:spacing w:before="40" w:after="40"/>
              <w:rPr>
                <w:snapToGrid w:val="0"/>
              </w:rPr>
            </w:pPr>
            <w:r w:rsidRPr="00AE1AE2">
              <w:rPr>
                <w:snapToGrid w:val="0"/>
              </w:rPr>
              <w:t>56</w:t>
            </w:r>
          </w:p>
          <w:p w14:paraId="3D17C70D" w14:textId="77777777" w:rsidR="00CA5E71" w:rsidRPr="00AE1AE2" w:rsidRDefault="00CA5E71" w:rsidP="00DC1A92">
            <w:pPr>
              <w:pStyle w:val="Tabletext1"/>
              <w:spacing w:before="40" w:after="40"/>
              <w:rPr>
                <w:snapToGrid w:val="0"/>
              </w:rPr>
            </w:pPr>
            <w:r w:rsidRPr="00AE1AE2">
              <w:rPr>
                <w:snapToGrid w:val="0"/>
              </w:rPr>
              <w:t>(NR)</w:t>
            </w:r>
          </w:p>
        </w:tc>
        <w:tc>
          <w:tcPr>
            <w:tcW w:w="573" w:type="pct"/>
            <w:shd w:val="clear" w:color="auto" w:fill="auto"/>
            <w:vAlign w:val="center"/>
          </w:tcPr>
          <w:p w14:paraId="543C15F3" w14:textId="77777777" w:rsidR="00CA5E71" w:rsidRPr="00AE1AE2" w:rsidRDefault="00CA5E71" w:rsidP="00DC1A92">
            <w:pPr>
              <w:pStyle w:val="Tabletext1"/>
              <w:spacing w:before="40" w:after="40"/>
            </w:pPr>
            <w:r w:rsidRPr="00AE1AE2">
              <w:t>NR</w:t>
            </w:r>
          </w:p>
        </w:tc>
        <w:tc>
          <w:tcPr>
            <w:tcW w:w="635" w:type="pct"/>
            <w:shd w:val="clear" w:color="auto" w:fill="auto"/>
            <w:vAlign w:val="center"/>
          </w:tcPr>
          <w:p w14:paraId="2022F3BB" w14:textId="2C4E75DC" w:rsidR="00CA5E71" w:rsidRPr="00AE1AE2" w:rsidRDefault="0021692F" w:rsidP="00DC1A92">
            <w:pPr>
              <w:pStyle w:val="Tabletext1"/>
              <w:spacing w:before="40" w:after="40"/>
              <w:rPr>
                <w:snapToGrid w:val="0"/>
              </w:rPr>
            </w:pPr>
            <w:r w:rsidRPr="00AE1AE2">
              <w:rPr>
                <w:snapToGrid w:val="0"/>
              </w:rPr>
              <w:t>56</w:t>
            </w:r>
            <w:r w:rsidR="00385342">
              <w:rPr>
                <w:snapToGrid w:val="0"/>
              </w:rPr>
              <w:t>%</w:t>
            </w:r>
          </w:p>
        </w:tc>
        <w:tc>
          <w:tcPr>
            <w:tcW w:w="633" w:type="pct"/>
            <w:vAlign w:val="center"/>
          </w:tcPr>
          <w:p w14:paraId="77ED0859" w14:textId="77777777" w:rsidR="00CA5E71" w:rsidRPr="00726661" w:rsidRDefault="00CA5E71" w:rsidP="00DC1A92">
            <w:pPr>
              <w:pStyle w:val="Tabletext1"/>
              <w:spacing w:before="40" w:after="40"/>
            </w:pPr>
            <w:r w:rsidRPr="00726661">
              <w:t>NR</w:t>
            </w:r>
          </w:p>
        </w:tc>
        <w:tc>
          <w:tcPr>
            <w:tcW w:w="633" w:type="pct"/>
            <w:vAlign w:val="center"/>
          </w:tcPr>
          <w:p w14:paraId="5B66401B" w14:textId="77777777" w:rsidR="00CA5E71" w:rsidRPr="00726661" w:rsidRDefault="00CA5E71" w:rsidP="00DC1A92">
            <w:pPr>
              <w:pStyle w:val="Tabletext1"/>
              <w:spacing w:before="40" w:after="40"/>
            </w:pPr>
            <w:r w:rsidRPr="00726661">
              <w:t>NR</w:t>
            </w:r>
          </w:p>
        </w:tc>
        <w:tc>
          <w:tcPr>
            <w:tcW w:w="629" w:type="pct"/>
            <w:vAlign w:val="center"/>
          </w:tcPr>
          <w:p w14:paraId="7CB63CB9" w14:textId="7721AF7A" w:rsidR="00CA5E71" w:rsidRPr="00726661" w:rsidRDefault="0021692F" w:rsidP="00DC1A92">
            <w:pPr>
              <w:pStyle w:val="Tabletext1"/>
              <w:spacing w:before="40" w:after="40"/>
            </w:pPr>
            <w:r w:rsidRPr="00726661">
              <w:t>20</w:t>
            </w:r>
            <w:r w:rsidR="00385342">
              <w:t>%</w:t>
            </w:r>
          </w:p>
        </w:tc>
      </w:tr>
      <w:tr w:rsidR="0021692F" w:rsidRPr="00AE1AE2" w14:paraId="14528AD0" w14:textId="77777777" w:rsidTr="00435873">
        <w:tc>
          <w:tcPr>
            <w:tcW w:w="562" w:type="pct"/>
            <w:tcBorders>
              <w:top w:val="nil"/>
            </w:tcBorders>
            <w:shd w:val="clear" w:color="auto" w:fill="auto"/>
            <w:vAlign w:val="center"/>
          </w:tcPr>
          <w:p w14:paraId="3C3510AF" w14:textId="77777777" w:rsidR="0021692F" w:rsidRPr="00AE1AE2" w:rsidRDefault="0021692F" w:rsidP="00DC1A92">
            <w:pPr>
              <w:pStyle w:val="Tabletext1"/>
              <w:spacing w:before="40" w:after="40"/>
              <w:rPr>
                <w:snapToGrid w:val="0"/>
              </w:rPr>
            </w:pPr>
          </w:p>
        </w:tc>
        <w:tc>
          <w:tcPr>
            <w:tcW w:w="702" w:type="pct"/>
            <w:vAlign w:val="center"/>
          </w:tcPr>
          <w:p w14:paraId="5ACDE61C" w14:textId="77777777" w:rsidR="0021692F" w:rsidRPr="00AE1AE2" w:rsidRDefault="0021692F" w:rsidP="00DC1A92">
            <w:pPr>
              <w:pStyle w:val="Tabletext1"/>
              <w:spacing w:before="40" w:after="40"/>
              <w:rPr>
                <w:snapToGrid w:val="0"/>
              </w:rPr>
            </w:pPr>
            <w:r w:rsidRPr="00AE1AE2">
              <w:rPr>
                <w:snapToGrid w:val="0"/>
              </w:rPr>
              <w:t>XRT+</w:t>
            </w:r>
            <w:r w:rsidR="00BF459C" w:rsidRPr="00AE1AE2">
              <w:rPr>
                <w:snapToGrid w:val="0"/>
              </w:rPr>
              <w:t xml:space="preserve"> </w:t>
            </w:r>
            <w:r w:rsidRPr="00AE1AE2">
              <w:rPr>
                <w:snapToGrid w:val="0"/>
              </w:rPr>
              <w:t>gemcitabine</w:t>
            </w:r>
          </w:p>
        </w:tc>
        <w:tc>
          <w:tcPr>
            <w:tcW w:w="633" w:type="pct"/>
            <w:shd w:val="clear" w:color="auto" w:fill="auto"/>
            <w:vAlign w:val="center"/>
          </w:tcPr>
          <w:p w14:paraId="2801A687" w14:textId="77777777" w:rsidR="00BF459C" w:rsidRPr="00AE1AE2" w:rsidRDefault="0021692F" w:rsidP="00DC1A92">
            <w:pPr>
              <w:pStyle w:val="Tabletext1"/>
              <w:spacing w:before="40" w:after="40"/>
              <w:rPr>
                <w:snapToGrid w:val="0"/>
              </w:rPr>
            </w:pPr>
            <w:r w:rsidRPr="00AE1AE2">
              <w:rPr>
                <w:snapToGrid w:val="0"/>
              </w:rPr>
              <w:t>55</w:t>
            </w:r>
          </w:p>
          <w:p w14:paraId="625E412A" w14:textId="77777777" w:rsidR="0021692F" w:rsidRPr="00AE1AE2" w:rsidRDefault="0021692F" w:rsidP="00DC1A92">
            <w:pPr>
              <w:pStyle w:val="Tabletext1"/>
              <w:spacing w:before="40" w:after="40"/>
              <w:rPr>
                <w:snapToGrid w:val="0"/>
              </w:rPr>
            </w:pPr>
            <w:r w:rsidRPr="00AE1AE2">
              <w:rPr>
                <w:snapToGrid w:val="0"/>
              </w:rPr>
              <w:t>(NR)</w:t>
            </w:r>
          </w:p>
        </w:tc>
        <w:tc>
          <w:tcPr>
            <w:tcW w:w="573" w:type="pct"/>
            <w:shd w:val="clear" w:color="auto" w:fill="auto"/>
            <w:vAlign w:val="center"/>
          </w:tcPr>
          <w:p w14:paraId="54F6C3F8" w14:textId="77777777" w:rsidR="0021692F" w:rsidRPr="00AE1AE2" w:rsidRDefault="0021692F" w:rsidP="00DC1A92">
            <w:pPr>
              <w:pStyle w:val="Tabletext1"/>
              <w:spacing w:before="40" w:after="40"/>
            </w:pPr>
            <w:r w:rsidRPr="00AE1AE2">
              <w:rPr>
                <w:snapToGrid w:val="0"/>
              </w:rPr>
              <w:t>NR</w:t>
            </w:r>
          </w:p>
        </w:tc>
        <w:tc>
          <w:tcPr>
            <w:tcW w:w="635" w:type="pct"/>
            <w:shd w:val="clear" w:color="auto" w:fill="auto"/>
            <w:vAlign w:val="center"/>
          </w:tcPr>
          <w:p w14:paraId="19C8E786" w14:textId="590C51B6" w:rsidR="0021692F" w:rsidRPr="00AE1AE2" w:rsidRDefault="0021692F" w:rsidP="00DC1A92">
            <w:pPr>
              <w:pStyle w:val="Tabletext1"/>
              <w:spacing w:before="40" w:after="40"/>
              <w:rPr>
                <w:snapToGrid w:val="0"/>
              </w:rPr>
            </w:pPr>
            <w:r w:rsidRPr="00AE1AE2">
              <w:rPr>
                <w:snapToGrid w:val="0"/>
              </w:rPr>
              <w:t>52</w:t>
            </w:r>
            <w:r w:rsidR="00385342">
              <w:rPr>
                <w:snapToGrid w:val="0"/>
              </w:rPr>
              <w:t>%</w:t>
            </w:r>
          </w:p>
        </w:tc>
        <w:tc>
          <w:tcPr>
            <w:tcW w:w="633" w:type="pct"/>
            <w:vAlign w:val="center"/>
          </w:tcPr>
          <w:p w14:paraId="4B66BEC5" w14:textId="77777777" w:rsidR="0021692F" w:rsidRPr="00726661" w:rsidRDefault="0021692F" w:rsidP="00DC1A92">
            <w:pPr>
              <w:pStyle w:val="Tabletext1"/>
              <w:spacing w:before="40" w:after="40"/>
            </w:pPr>
            <w:r w:rsidRPr="00726661">
              <w:t>NR</w:t>
            </w:r>
          </w:p>
        </w:tc>
        <w:tc>
          <w:tcPr>
            <w:tcW w:w="633" w:type="pct"/>
            <w:vAlign w:val="center"/>
          </w:tcPr>
          <w:p w14:paraId="3FB16328" w14:textId="77777777" w:rsidR="0021692F" w:rsidRPr="00726661" w:rsidRDefault="0021692F" w:rsidP="00DC1A92">
            <w:pPr>
              <w:pStyle w:val="Tabletext1"/>
              <w:spacing w:before="40" w:after="40"/>
            </w:pPr>
            <w:r w:rsidRPr="00726661">
              <w:t>NR</w:t>
            </w:r>
          </w:p>
        </w:tc>
        <w:tc>
          <w:tcPr>
            <w:tcW w:w="629" w:type="pct"/>
            <w:vAlign w:val="center"/>
          </w:tcPr>
          <w:p w14:paraId="1335DC56" w14:textId="6255C7E4" w:rsidR="0021692F" w:rsidRPr="00726661" w:rsidRDefault="0021692F" w:rsidP="00DC1A92">
            <w:pPr>
              <w:pStyle w:val="Tabletext1"/>
              <w:spacing w:before="40" w:after="40"/>
            </w:pPr>
            <w:r w:rsidRPr="00726661">
              <w:t>33</w:t>
            </w:r>
            <w:r w:rsidR="00385342">
              <w:t>%</w:t>
            </w:r>
          </w:p>
        </w:tc>
      </w:tr>
      <w:tr w:rsidR="00BF459C" w:rsidRPr="00AE1AE2" w14:paraId="6B5E4577" w14:textId="77777777" w:rsidTr="00435873">
        <w:tc>
          <w:tcPr>
            <w:tcW w:w="562" w:type="pct"/>
            <w:tcBorders>
              <w:bottom w:val="nil"/>
            </w:tcBorders>
            <w:shd w:val="clear" w:color="auto" w:fill="auto"/>
            <w:vAlign w:val="center"/>
          </w:tcPr>
          <w:p w14:paraId="3DA4108D" w14:textId="77777777" w:rsidR="00CA5E71" w:rsidRPr="00AE1AE2" w:rsidRDefault="0021692F" w:rsidP="00DC1A92">
            <w:pPr>
              <w:pStyle w:val="Tabletext1"/>
              <w:spacing w:before="40" w:after="40"/>
              <w:rPr>
                <w:snapToGrid w:val="0"/>
              </w:rPr>
            </w:pPr>
            <w:r w:rsidRPr="00AE1AE2">
              <w:rPr>
                <w:snapToGrid w:val="0"/>
              </w:rPr>
              <w:t>Videtic et al (2015)</w:t>
            </w:r>
          </w:p>
        </w:tc>
        <w:tc>
          <w:tcPr>
            <w:tcW w:w="702" w:type="pct"/>
            <w:vAlign w:val="center"/>
          </w:tcPr>
          <w:p w14:paraId="5A1BB388" w14:textId="77777777" w:rsidR="00CA5E71" w:rsidRPr="00AE1AE2" w:rsidRDefault="0021692F" w:rsidP="00DC1A92">
            <w:pPr>
              <w:pStyle w:val="Tabletext1"/>
              <w:spacing w:before="40" w:after="40"/>
              <w:rPr>
                <w:snapToGrid w:val="0"/>
              </w:rPr>
            </w:pPr>
            <w:r w:rsidRPr="00AE1AE2">
              <w:rPr>
                <w:snapToGrid w:val="0"/>
              </w:rPr>
              <w:t>34/1 G</w:t>
            </w:r>
            <w:r w:rsidR="00962713">
              <w:rPr>
                <w:snapToGrid w:val="0"/>
              </w:rPr>
              <w:t>y</w:t>
            </w:r>
            <w:r w:rsidRPr="00AE1AE2">
              <w:rPr>
                <w:snapToGrid w:val="0"/>
              </w:rPr>
              <w:t xml:space="preserve"> SBRT</w:t>
            </w:r>
          </w:p>
        </w:tc>
        <w:tc>
          <w:tcPr>
            <w:tcW w:w="633" w:type="pct"/>
            <w:shd w:val="clear" w:color="auto" w:fill="auto"/>
            <w:vAlign w:val="center"/>
          </w:tcPr>
          <w:p w14:paraId="73C35F17" w14:textId="77777777" w:rsidR="00BF459C" w:rsidRPr="00AE1AE2" w:rsidRDefault="00CA5E71" w:rsidP="00DC1A92">
            <w:pPr>
              <w:pStyle w:val="Tabletext1"/>
              <w:spacing w:before="40" w:after="40"/>
              <w:rPr>
                <w:snapToGrid w:val="0"/>
              </w:rPr>
            </w:pPr>
            <w:r w:rsidRPr="00AE1AE2">
              <w:rPr>
                <w:snapToGrid w:val="0"/>
              </w:rPr>
              <w:t>39</w:t>
            </w:r>
          </w:p>
          <w:p w14:paraId="2923EAC5" w14:textId="77777777" w:rsidR="00CA5E71" w:rsidRPr="00AE1AE2" w:rsidRDefault="00CA5E71" w:rsidP="00DC1A92">
            <w:pPr>
              <w:pStyle w:val="Tabletext1"/>
              <w:spacing w:before="40" w:after="40"/>
              <w:rPr>
                <w:snapToGrid w:val="0"/>
              </w:rPr>
            </w:pPr>
            <w:r w:rsidRPr="00AE1AE2">
              <w:rPr>
                <w:snapToGrid w:val="0"/>
              </w:rPr>
              <w:t>(NR)</w:t>
            </w:r>
          </w:p>
        </w:tc>
        <w:tc>
          <w:tcPr>
            <w:tcW w:w="573" w:type="pct"/>
            <w:tcBorders>
              <w:bottom w:val="single" w:sz="4" w:space="0" w:color="auto"/>
            </w:tcBorders>
            <w:shd w:val="clear" w:color="auto" w:fill="auto"/>
            <w:vAlign w:val="center"/>
          </w:tcPr>
          <w:p w14:paraId="61F25351" w14:textId="48A79652" w:rsidR="00531FF5" w:rsidRPr="00AE1AE2" w:rsidRDefault="00CA5E71" w:rsidP="00DC1A92">
            <w:pPr>
              <w:pStyle w:val="Tabletext1"/>
              <w:spacing w:before="40" w:after="40"/>
            </w:pPr>
            <w:r w:rsidRPr="00AE1AE2">
              <w:t>76</w:t>
            </w:r>
            <w:r w:rsidR="00385342">
              <w:t>%</w:t>
            </w:r>
          </w:p>
          <w:p w14:paraId="28733CC5" w14:textId="102E287D" w:rsidR="00CA5E71" w:rsidRPr="00AE1AE2" w:rsidRDefault="00CA5E71" w:rsidP="00DC1A92">
            <w:pPr>
              <w:pStyle w:val="Tabletext1"/>
              <w:spacing w:before="40" w:after="40"/>
            </w:pPr>
            <w:r w:rsidRPr="00AE1AE2">
              <w:t>(60</w:t>
            </w:r>
            <w:r w:rsidR="007E3D66">
              <w:t>–</w:t>
            </w:r>
            <w:r w:rsidRPr="00AE1AE2">
              <w:t>87</w:t>
            </w:r>
            <w:r w:rsidR="00385342">
              <w:t>%</w:t>
            </w:r>
            <w:r w:rsidRPr="00AE1AE2">
              <w:t>)</w:t>
            </w:r>
          </w:p>
        </w:tc>
        <w:tc>
          <w:tcPr>
            <w:tcW w:w="635" w:type="pct"/>
            <w:tcBorders>
              <w:bottom w:val="single" w:sz="4" w:space="0" w:color="auto"/>
            </w:tcBorders>
            <w:shd w:val="clear" w:color="auto" w:fill="auto"/>
            <w:vAlign w:val="center"/>
          </w:tcPr>
          <w:p w14:paraId="67EF0C15" w14:textId="124D8CB7" w:rsidR="00531FF5" w:rsidRPr="00AE1AE2" w:rsidRDefault="00ED0F32" w:rsidP="00DC1A92">
            <w:pPr>
              <w:pStyle w:val="Tabletext1"/>
              <w:spacing w:before="40" w:after="40"/>
            </w:pPr>
            <w:r>
              <w:t>61</w:t>
            </w:r>
            <w:r w:rsidR="00385342">
              <w:t>%</w:t>
            </w:r>
          </w:p>
          <w:p w14:paraId="58AF7C83" w14:textId="3E1546C3" w:rsidR="00CA5E71" w:rsidRPr="00AE1AE2" w:rsidRDefault="00CA5E71" w:rsidP="00DC1A92">
            <w:pPr>
              <w:pStyle w:val="Tabletext1"/>
              <w:spacing w:before="40" w:after="40"/>
              <w:rPr>
                <w:snapToGrid w:val="0"/>
              </w:rPr>
            </w:pPr>
            <w:r w:rsidRPr="00AE1AE2">
              <w:t>(44</w:t>
            </w:r>
            <w:r w:rsidR="007E3D66">
              <w:t>–</w:t>
            </w:r>
            <w:r w:rsidRPr="00AE1AE2">
              <w:t>7</w:t>
            </w:r>
            <w:r w:rsidR="00ED0F32">
              <w:t>5</w:t>
            </w:r>
            <w:r w:rsidR="00385342">
              <w:t>%</w:t>
            </w:r>
            <w:r w:rsidRPr="00AE1AE2">
              <w:t>)</w:t>
            </w:r>
          </w:p>
        </w:tc>
        <w:tc>
          <w:tcPr>
            <w:tcW w:w="633" w:type="pct"/>
            <w:tcBorders>
              <w:bottom w:val="single" w:sz="4" w:space="0" w:color="auto"/>
            </w:tcBorders>
            <w:vAlign w:val="center"/>
          </w:tcPr>
          <w:p w14:paraId="5F48833B" w14:textId="77777777" w:rsidR="00CA5E71" w:rsidRPr="00726661" w:rsidRDefault="00CA5E71" w:rsidP="00DC1A92">
            <w:pPr>
              <w:pStyle w:val="Tabletext1"/>
              <w:spacing w:before="40" w:after="40"/>
            </w:pPr>
            <w:r w:rsidRPr="00726661">
              <w:t>NR</w:t>
            </w:r>
          </w:p>
        </w:tc>
        <w:tc>
          <w:tcPr>
            <w:tcW w:w="633" w:type="pct"/>
            <w:tcBorders>
              <w:bottom w:val="single" w:sz="4" w:space="0" w:color="auto"/>
            </w:tcBorders>
            <w:vAlign w:val="center"/>
          </w:tcPr>
          <w:p w14:paraId="7BDF5FDF" w14:textId="77777777" w:rsidR="00CA5E71" w:rsidRPr="00726661" w:rsidRDefault="00CA5E71" w:rsidP="00DC1A92">
            <w:pPr>
              <w:pStyle w:val="Tabletext1"/>
              <w:spacing w:before="40" w:after="40"/>
            </w:pPr>
            <w:r w:rsidRPr="00726661">
              <w:t>NR</w:t>
            </w:r>
          </w:p>
        </w:tc>
        <w:tc>
          <w:tcPr>
            <w:tcW w:w="629" w:type="pct"/>
            <w:tcBorders>
              <w:bottom w:val="single" w:sz="4" w:space="0" w:color="auto"/>
            </w:tcBorders>
            <w:vAlign w:val="center"/>
          </w:tcPr>
          <w:p w14:paraId="436DEE5D" w14:textId="77777777" w:rsidR="00CA5E71" w:rsidRPr="00726661" w:rsidRDefault="00CA5E71" w:rsidP="00DC1A92">
            <w:pPr>
              <w:pStyle w:val="Tabletext1"/>
              <w:spacing w:before="40" w:after="40"/>
            </w:pPr>
            <w:r w:rsidRPr="00726661">
              <w:t>NR</w:t>
            </w:r>
          </w:p>
        </w:tc>
      </w:tr>
      <w:tr w:rsidR="0021692F" w:rsidRPr="00AE1AE2" w14:paraId="5BF38FD1" w14:textId="77777777" w:rsidTr="00435873">
        <w:tc>
          <w:tcPr>
            <w:tcW w:w="562" w:type="pct"/>
            <w:tcBorders>
              <w:top w:val="nil"/>
            </w:tcBorders>
            <w:shd w:val="clear" w:color="auto" w:fill="auto"/>
            <w:vAlign w:val="center"/>
          </w:tcPr>
          <w:p w14:paraId="1A9BE4B6" w14:textId="77777777" w:rsidR="0021692F" w:rsidRPr="00AE1AE2" w:rsidRDefault="0021692F" w:rsidP="00DC1A92">
            <w:pPr>
              <w:pStyle w:val="Tabletext1"/>
              <w:spacing w:before="40" w:after="40"/>
              <w:rPr>
                <w:snapToGrid w:val="0"/>
              </w:rPr>
            </w:pPr>
          </w:p>
        </w:tc>
        <w:tc>
          <w:tcPr>
            <w:tcW w:w="702" w:type="pct"/>
            <w:vAlign w:val="center"/>
          </w:tcPr>
          <w:p w14:paraId="69A1E4F8" w14:textId="77777777" w:rsidR="0021692F" w:rsidRPr="00AE1AE2" w:rsidRDefault="0021692F" w:rsidP="00DC1A92">
            <w:pPr>
              <w:pStyle w:val="Tabletext1"/>
              <w:spacing w:before="40" w:after="40"/>
              <w:rPr>
                <w:snapToGrid w:val="0"/>
              </w:rPr>
            </w:pPr>
            <w:r w:rsidRPr="00AE1AE2">
              <w:rPr>
                <w:snapToGrid w:val="0"/>
              </w:rPr>
              <w:t>48/4 G</w:t>
            </w:r>
            <w:r w:rsidR="00962713">
              <w:rPr>
                <w:snapToGrid w:val="0"/>
              </w:rPr>
              <w:t>y</w:t>
            </w:r>
            <w:r w:rsidRPr="00AE1AE2">
              <w:rPr>
                <w:snapToGrid w:val="0"/>
              </w:rPr>
              <w:t xml:space="preserve"> SBRT</w:t>
            </w:r>
          </w:p>
        </w:tc>
        <w:tc>
          <w:tcPr>
            <w:tcW w:w="633" w:type="pct"/>
            <w:shd w:val="clear" w:color="auto" w:fill="auto"/>
            <w:vAlign w:val="center"/>
          </w:tcPr>
          <w:p w14:paraId="02D9E98C" w14:textId="77777777" w:rsidR="00BF459C" w:rsidRPr="00AE1AE2" w:rsidRDefault="0021692F" w:rsidP="00DC1A92">
            <w:pPr>
              <w:pStyle w:val="Tabletext1"/>
              <w:spacing w:before="40" w:after="40"/>
              <w:rPr>
                <w:snapToGrid w:val="0"/>
              </w:rPr>
            </w:pPr>
            <w:r w:rsidRPr="00AE1AE2">
              <w:rPr>
                <w:snapToGrid w:val="0"/>
              </w:rPr>
              <w:t>45</w:t>
            </w:r>
          </w:p>
          <w:p w14:paraId="7CE13F1A" w14:textId="77777777" w:rsidR="0021692F" w:rsidRPr="00AE1AE2" w:rsidRDefault="0021692F" w:rsidP="00DC1A92">
            <w:pPr>
              <w:pStyle w:val="Tabletext1"/>
              <w:spacing w:before="40" w:after="40"/>
              <w:rPr>
                <w:snapToGrid w:val="0"/>
              </w:rPr>
            </w:pPr>
            <w:r w:rsidRPr="00AE1AE2">
              <w:rPr>
                <w:snapToGrid w:val="0"/>
              </w:rPr>
              <w:t>(NR)</w:t>
            </w:r>
          </w:p>
        </w:tc>
        <w:tc>
          <w:tcPr>
            <w:tcW w:w="573" w:type="pct"/>
            <w:tcBorders>
              <w:bottom w:val="single" w:sz="4" w:space="0" w:color="auto"/>
            </w:tcBorders>
            <w:shd w:val="clear" w:color="auto" w:fill="auto"/>
            <w:vAlign w:val="center"/>
          </w:tcPr>
          <w:p w14:paraId="683EBED5" w14:textId="6F9C399F" w:rsidR="00531FF5" w:rsidRPr="00AE1AE2" w:rsidRDefault="00ED0F32" w:rsidP="00DC1A92">
            <w:pPr>
              <w:pStyle w:val="Tabletext1"/>
              <w:spacing w:before="40" w:after="40"/>
            </w:pPr>
            <w:r>
              <w:t>91%</w:t>
            </w:r>
          </w:p>
          <w:p w14:paraId="4A2BE1FF" w14:textId="625E48D5" w:rsidR="0021692F" w:rsidRPr="00AE1AE2" w:rsidRDefault="0021692F" w:rsidP="00DC1A92">
            <w:pPr>
              <w:pStyle w:val="Tabletext1"/>
              <w:spacing w:before="40" w:after="40"/>
            </w:pPr>
            <w:r w:rsidRPr="00AE1AE2">
              <w:t>(60</w:t>
            </w:r>
            <w:r w:rsidR="007E3D66">
              <w:t>–</w:t>
            </w:r>
            <w:r w:rsidRPr="00AE1AE2">
              <w:t>87</w:t>
            </w:r>
            <w:r w:rsidR="00385342">
              <w:t>%</w:t>
            </w:r>
            <w:r w:rsidRPr="00AE1AE2">
              <w:t>)</w:t>
            </w:r>
          </w:p>
        </w:tc>
        <w:tc>
          <w:tcPr>
            <w:tcW w:w="635" w:type="pct"/>
            <w:tcBorders>
              <w:bottom w:val="single" w:sz="4" w:space="0" w:color="auto"/>
            </w:tcBorders>
            <w:shd w:val="clear" w:color="auto" w:fill="auto"/>
            <w:vAlign w:val="center"/>
          </w:tcPr>
          <w:p w14:paraId="1089CDB4" w14:textId="06C089D0" w:rsidR="00531FF5" w:rsidRPr="00AE1AE2" w:rsidRDefault="00ED0F32" w:rsidP="00DC1A92">
            <w:pPr>
              <w:pStyle w:val="Tabletext1"/>
              <w:spacing w:before="40" w:after="40"/>
            </w:pPr>
            <w:r>
              <w:t>78%</w:t>
            </w:r>
          </w:p>
          <w:p w14:paraId="11A5329B" w14:textId="33AA96A1" w:rsidR="0021692F" w:rsidRPr="00AE1AE2" w:rsidRDefault="0021692F" w:rsidP="00DC1A92">
            <w:pPr>
              <w:pStyle w:val="Tabletext1"/>
              <w:spacing w:before="40" w:after="40"/>
            </w:pPr>
            <w:r w:rsidRPr="00AE1AE2">
              <w:t>(6</w:t>
            </w:r>
            <w:r w:rsidR="00ED0F32">
              <w:t>3</w:t>
            </w:r>
            <w:r w:rsidR="007E3D66">
              <w:t>–</w:t>
            </w:r>
            <w:r w:rsidRPr="00AE1AE2">
              <w:t>87</w:t>
            </w:r>
            <w:r w:rsidR="00385342">
              <w:t>%</w:t>
            </w:r>
            <w:r w:rsidRPr="00AE1AE2">
              <w:t>)</w:t>
            </w:r>
          </w:p>
        </w:tc>
        <w:tc>
          <w:tcPr>
            <w:tcW w:w="633" w:type="pct"/>
            <w:tcBorders>
              <w:bottom w:val="single" w:sz="4" w:space="0" w:color="auto"/>
            </w:tcBorders>
            <w:vAlign w:val="center"/>
          </w:tcPr>
          <w:p w14:paraId="09933157" w14:textId="77777777" w:rsidR="0021692F" w:rsidRPr="00AE1AE2" w:rsidRDefault="0021692F" w:rsidP="00DC1A92">
            <w:pPr>
              <w:pStyle w:val="Tabletext1"/>
              <w:spacing w:before="40" w:after="40"/>
            </w:pPr>
            <w:r w:rsidRPr="00726661">
              <w:t>NR</w:t>
            </w:r>
          </w:p>
        </w:tc>
        <w:tc>
          <w:tcPr>
            <w:tcW w:w="633" w:type="pct"/>
            <w:tcBorders>
              <w:bottom w:val="single" w:sz="4" w:space="0" w:color="auto"/>
            </w:tcBorders>
            <w:vAlign w:val="center"/>
          </w:tcPr>
          <w:p w14:paraId="6ED87F97" w14:textId="77777777" w:rsidR="0021692F" w:rsidRPr="00AE1AE2" w:rsidRDefault="0021692F" w:rsidP="00DC1A92">
            <w:pPr>
              <w:pStyle w:val="Tabletext1"/>
              <w:spacing w:before="40" w:after="40"/>
            </w:pPr>
            <w:r w:rsidRPr="00726661">
              <w:t>NR</w:t>
            </w:r>
          </w:p>
        </w:tc>
        <w:tc>
          <w:tcPr>
            <w:tcW w:w="629" w:type="pct"/>
            <w:tcBorders>
              <w:bottom w:val="single" w:sz="4" w:space="0" w:color="auto"/>
            </w:tcBorders>
            <w:vAlign w:val="center"/>
          </w:tcPr>
          <w:p w14:paraId="02A3AB69" w14:textId="77777777" w:rsidR="0021692F" w:rsidRPr="00AE1AE2" w:rsidRDefault="0021692F" w:rsidP="00DC1A92">
            <w:pPr>
              <w:pStyle w:val="Tabletext1"/>
              <w:spacing w:before="40" w:after="40"/>
            </w:pPr>
            <w:r w:rsidRPr="00726661">
              <w:t>NR</w:t>
            </w:r>
          </w:p>
        </w:tc>
      </w:tr>
      <w:tr w:rsidR="00BF459C" w:rsidRPr="00AE1AE2" w14:paraId="343544FA" w14:textId="77777777" w:rsidTr="00BF459C">
        <w:tc>
          <w:tcPr>
            <w:tcW w:w="562" w:type="pct"/>
            <w:shd w:val="clear" w:color="auto" w:fill="auto"/>
            <w:vAlign w:val="center"/>
          </w:tcPr>
          <w:p w14:paraId="29E1395E" w14:textId="77777777" w:rsidR="00CA5E71" w:rsidRPr="00AE1AE2" w:rsidRDefault="00CA5E71" w:rsidP="00DC1A92">
            <w:pPr>
              <w:pStyle w:val="Tabletext1"/>
              <w:spacing w:before="40" w:after="40"/>
              <w:rPr>
                <w:snapToGrid w:val="0"/>
              </w:rPr>
            </w:pPr>
            <w:r w:rsidRPr="00AE1AE2">
              <w:rPr>
                <w:snapToGrid w:val="0"/>
              </w:rPr>
              <w:t>Pooled analysis</w:t>
            </w:r>
          </w:p>
        </w:tc>
        <w:tc>
          <w:tcPr>
            <w:tcW w:w="702" w:type="pct"/>
          </w:tcPr>
          <w:p w14:paraId="40629FF8" w14:textId="77777777" w:rsidR="00CA5E71" w:rsidRPr="00AE1AE2" w:rsidRDefault="00CA5E71" w:rsidP="00DC1A92">
            <w:pPr>
              <w:pStyle w:val="Tabletext1"/>
              <w:spacing w:before="40" w:after="40"/>
              <w:rPr>
                <w:snapToGrid w:val="0"/>
              </w:rPr>
            </w:pPr>
          </w:p>
        </w:tc>
        <w:tc>
          <w:tcPr>
            <w:tcW w:w="633" w:type="pct"/>
            <w:shd w:val="clear" w:color="auto" w:fill="auto"/>
            <w:vAlign w:val="center"/>
          </w:tcPr>
          <w:p w14:paraId="229FB840" w14:textId="77777777" w:rsidR="005129AF" w:rsidRDefault="00CA5E71" w:rsidP="00DC1A92">
            <w:pPr>
              <w:pStyle w:val="Tabletext1"/>
              <w:spacing w:before="40" w:after="40"/>
              <w:rPr>
                <w:snapToGrid w:val="0"/>
              </w:rPr>
            </w:pPr>
            <w:r w:rsidRPr="00AE1AE2">
              <w:rPr>
                <w:snapToGrid w:val="0"/>
              </w:rPr>
              <w:t xml:space="preserve">6,343 </w:t>
            </w:r>
          </w:p>
          <w:p w14:paraId="646C29D8" w14:textId="1BD871EE" w:rsidR="00CA5E71" w:rsidRPr="00AE1AE2" w:rsidRDefault="00CA5E71" w:rsidP="00DC1A92">
            <w:pPr>
              <w:pStyle w:val="Tabletext1"/>
              <w:spacing w:before="40" w:after="40"/>
              <w:rPr>
                <w:snapToGrid w:val="0"/>
              </w:rPr>
            </w:pPr>
            <w:r w:rsidRPr="00AE1AE2">
              <w:rPr>
                <w:snapToGrid w:val="0"/>
              </w:rPr>
              <w:t>(NR)</w:t>
            </w:r>
            <w:r w:rsidR="00B4290F">
              <w:rPr>
                <w:snapToGrid w:val="0"/>
                <w:vertAlign w:val="superscript"/>
              </w:rPr>
              <w:t>c</w:t>
            </w:r>
          </w:p>
        </w:tc>
        <w:tc>
          <w:tcPr>
            <w:tcW w:w="573" w:type="pct"/>
            <w:tcBorders>
              <w:left w:val="nil"/>
              <w:right w:val="nil"/>
            </w:tcBorders>
            <w:shd w:val="clear" w:color="auto" w:fill="auto"/>
            <w:vAlign w:val="center"/>
          </w:tcPr>
          <w:p w14:paraId="248E1EF5" w14:textId="77777777" w:rsidR="00CA5E71" w:rsidRPr="00AE1AE2" w:rsidRDefault="00CA5E71" w:rsidP="00DC1A92">
            <w:pPr>
              <w:pStyle w:val="Tabletext1"/>
              <w:spacing w:before="40" w:after="40"/>
              <w:rPr>
                <w:snapToGrid w:val="0"/>
              </w:rPr>
            </w:pPr>
          </w:p>
        </w:tc>
        <w:tc>
          <w:tcPr>
            <w:tcW w:w="635" w:type="pct"/>
            <w:tcBorders>
              <w:left w:val="nil"/>
              <w:right w:val="nil"/>
            </w:tcBorders>
            <w:shd w:val="clear" w:color="auto" w:fill="auto"/>
            <w:vAlign w:val="center"/>
          </w:tcPr>
          <w:p w14:paraId="7B466E86" w14:textId="77777777" w:rsidR="00CA5E71" w:rsidRPr="00AE1AE2" w:rsidRDefault="00CA5E71" w:rsidP="00DC1A92">
            <w:pPr>
              <w:pStyle w:val="Tabletext1"/>
              <w:spacing w:before="40" w:after="40"/>
              <w:rPr>
                <w:snapToGrid w:val="0"/>
              </w:rPr>
            </w:pPr>
          </w:p>
        </w:tc>
        <w:tc>
          <w:tcPr>
            <w:tcW w:w="633" w:type="pct"/>
            <w:tcBorders>
              <w:left w:val="nil"/>
              <w:right w:val="nil"/>
            </w:tcBorders>
            <w:vAlign w:val="center"/>
          </w:tcPr>
          <w:p w14:paraId="580AFC7F" w14:textId="19823B78" w:rsidR="00CA5E71" w:rsidRPr="00AE1AE2" w:rsidRDefault="00C76972" w:rsidP="00DC1A92">
            <w:pPr>
              <w:pStyle w:val="Tabletext1"/>
              <w:spacing w:before="40" w:after="40"/>
              <w:rPr>
                <w:snapToGrid w:val="0"/>
              </w:rPr>
            </w:pPr>
            <w:r>
              <w:rPr>
                <w:snapToGrid w:val="0"/>
              </w:rPr>
              <w:t>P</w:t>
            </w:r>
            <w:r w:rsidR="00CA5E71" w:rsidRPr="00AE1AE2">
              <w:rPr>
                <w:snapToGrid w:val="0"/>
              </w:rPr>
              <w:t xml:space="preserve">ooling </w:t>
            </w:r>
            <w:r>
              <w:rPr>
                <w:snapToGrid w:val="0"/>
              </w:rPr>
              <w:t xml:space="preserve">not </w:t>
            </w:r>
            <w:r w:rsidR="00CA5E71" w:rsidRPr="00AE1AE2">
              <w:rPr>
                <w:snapToGrid w:val="0"/>
              </w:rPr>
              <w:t>possible</w:t>
            </w:r>
          </w:p>
        </w:tc>
        <w:tc>
          <w:tcPr>
            <w:tcW w:w="633" w:type="pct"/>
            <w:tcBorders>
              <w:left w:val="nil"/>
              <w:right w:val="nil"/>
            </w:tcBorders>
            <w:vAlign w:val="center"/>
          </w:tcPr>
          <w:p w14:paraId="38856AAE" w14:textId="77777777" w:rsidR="00CA5E71" w:rsidRPr="00AE1AE2" w:rsidRDefault="00CA5E71" w:rsidP="00DC1A92">
            <w:pPr>
              <w:pStyle w:val="Tabletext1"/>
              <w:spacing w:before="40" w:after="40"/>
              <w:rPr>
                <w:snapToGrid w:val="0"/>
              </w:rPr>
            </w:pPr>
          </w:p>
        </w:tc>
        <w:tc>
          <w:tcPr>
            <w:tcW w:w="629" w:type="pct"/>
            <w:tcBorders>
              <w:left w:val="nil"/>
            </w:tcBorders>
            <w:vAlign w:val="center"/>
          </w:tcPr>
          <w:p w14:paraId="715A672E" w14:textId="77777777" w:rsidR="00CA5E71" w:rsidRPr="00AE1AE2" w:rsidRDefault="00CA5E71" w:rsidP="00DC1A92">
            <w:pPr>
              <w:pStyle w:val="Tabletext1"/>
              <w:spacing w:before="40" w:after="40"/>
              <w:rPr>
                <w:snapToGrid w:val="0"/>
              </w:rPr>
            </w:pPr>
          </w:p>
        </w:tc>
      </w:tr>
    </w:tbl>
    <w:p w14:paraId="7AA3E8A2" w14:textId="12B7BDEC" w:rsidR="00CA5E71" w:rsidRPr="00693C83" w:rsidRDefault="00A12176" w:rsidP="00693C83">
      <w:pPr>
        <w:pStyle w:val="Tablenotes0"/>
        <w:spacing w:after="0"/>
        <w:rPr>
          <w:szCs w:val="18"/>
        </w:rPr>
      </w:pPr>
      <w:r>
        <w:rPr>
          <w:szCs w:val="18"/>
        </w:rPr>
        <w:t>&lt;</w:t>
      </w:r>
      <w:r w:rsidR="00620681" w:rsidRPr="00693C83">
        <w:rPr>
          <w:szCs w:val="18"/>
        </w:rPr>
        <w:t>NR</w:t>
      </w:r>
      <w:r w:rsidR="002F7DC9" w:rsidRPr="00693C83">
        <w:rPr>
          <w:szCs w:val="18"/>
        </w:rPr>
        <w:t xml:space="preserve"> </w:t>
      </w:r>
      <w:r w:rsidR="00620681" w:rsidRPr="00693C83">
        <w:rPr>
          <w:szCs w:val="18"/>
        </w:rPr>
        <w:t xml:space="preserve">= not reported; </w:t>
      </w:r>
      <w:r w:rsidR="00A35922" w:rsidRPr="00693C83">
        <w:rPr>
          <w:szCs w:val="18"/>
        </w:rPr>
        <w:t xml:space="preserve">OS = overall survival; </w:t>
      </w:r>
      <w:r w:rsidR="00620681" w:rsidRPr="00693C83">
        <w:rPr>
          <w:szCs w:val="18"/>
        </w:rPr>
        <w:t>SBRT</w:t>
      </w:r>
      <w:r w:rsidR="002F7DC9" w:rsidRPr="00693C83">
        <w:rPr>
          <w:szCs w:val="18"/>
        </w:rPr>
        <w:t xml:space="preserve"> </w:t>
      </w:r>
      <w:r w:rsidR="00620681" w:rsidRPr="00693C83">
        <w:rPr>
          <w:szCs w:val="18"/>
        </w:rPr>
        <w:t>=</w:t>
      </w:r>
      <w:r w:rsidR="002F7DC9" w:rsidRPr="00693C83">
        <w:rPr>
          <w:szCs w:val="18"/>
        </w:rPr>
        <w:t xml:space="preserve"> </w:t>
      </w:r>
      <w:r w:rsidR="00620681" w:rsidRPr="00693C83">
        <w:rPr>
          <w:szCs w:val="18"/>
        </w:rPr>
        <w:t>stereotactic body radiotherapy</w:t>
      </w:r>
      <w:r w:rsidR="002F7DC9" w:rsidRPr="00693C83">
        <w:rPr>
          <w:szCs w:val="18"/>
        </w:rPr>
        <w:t>;</w:t>
      </w:r>
      <w:r w:rsidR="00620681" w:rsidRPr="00693C83">
        <w:rPr>
          <w:szCs w:val="18"/>
        </w:rPr>
        <w:t xml:space="preserve"> XRT</w:t>
      </w:r>
      <w:r w:rsidR="002F7DC9" w:rsidRPr="00693C83">
        <w:rPr>
          <w:szCs w:val="18"/>
        </w:rPr>
        <w:t xml:space="preserve"> </w:t>
      </w:r>
      <w:r w:rsidR="00620681" w:rsidRPr="00693C83">
        <w:rPr>
          <w:szCs w:val="18"/>
        </w:rPr>
        <w:t>= radical radiotherapy</w:t>
      </w:r>
      <w:r>
        <w:rPr>
          <w:szCs w:val="18"/>
        </w:rPr>
        <w:t>&gt;</w:t>
      </w:r>
    </w:p>
    <w:p w14:paraId="7D20896E" w14:textId="56E13AA6" w:rsidR="005129AF" w:rsidRPr="00693C83" w:rsidRDefault="00A12176" w:rsidP="00693C83">
      <w:pPr>
        <w:pStyle w:val="TableText0"/>
        <w:spacing w:before="0" w:after="0"/>
        <w:rPr>
          <w:sz w:val="18"/>
          <w:szCs w:val="18"/>
        </w:rPr>
      </w:pPr>
      <w:proofErr w:type="gramStart"/>
      <w:r>
        <w:rPr>
          <w:sz w:val="18"/>
          <w:szCs w:val="18"/>
          <w:vertAlign w:val="superscript"/>
        </w:rPr>
        <w:t>a</w:t>
      </w:r>
      <w:proofErr w:type="gramEnd"/>
      <w:r w:rsidR="00CA5E71" w:rsidRPr="00693C83">
        <w:rPr>
          <w:sz w:val="18"/>
          <w:szCs w:val="18"/>
        </w:rPr>
        <w:t xml:space="preserve"> </w:t>
      </w:r>
      <w:r w:rsidR="005129AF" w:rsidRPr="00693C83">
        <w:rPr>
          <w:sz w:val="18"/>
          <w:szCs w:val="18"/>
        </w:rPr>
        <w:t>Si</w:t>
      </w:r>
      <w:r w:rsidR="00CA5E71" w:rsidRPr="00693C83">
        <w:rPr>
          <w:sz w:val="18"/>
          <w:szCs w:val="18"/>
        </w:rPr>
        <w:t xml:space="preserve">gnificant difference between </w:t>
      </w:r>
      <w:r w:rsidR="00A84D7D" w:rsidRPr="00693C83">
        <w:rPr>
          <w:sz w:val="18"/>
          <w:szCs w:val="18"/>
        </w:rPr>
        <w:t xml:space="preserve">3-year </w:t>
      </w:r>
      <w:r w:rsidR="00CA5E71" w:rsidRPr="00693C83">
        <w:rPr>
          <w:sz w:val="18"/>
          <w:szCs w:val="18"/>
        </w:rPr>
        <w:t>OS across interventions (p</w:t>
      </w:r>
      <w:r w:rsidR="00403B52" w:rsidRPr="00693C83">
        <w:rPr>
          <w:sz w:val="18"/>
          <w:szCs w:val="18"/>
        </w:rPr>
        <w:t xml:space="preserve"> </w:t>
      </w:r>
      <w:r w:rsidR="00CA5E71" w:rsidRPr="00693C83">
        <w:rPr>
          <w:sz w:val="18"/>
          <w:szCs w:val="18"/>
        </w:rPr>
        <w:t>&lt;</w:t>
      </w:r>
      <w:r w:rsidR="00403B52" w:rsidRPr="00693C83">
        <w:rPr>
          <w:sz w:val="18"/>
          <w:szCs w:val="18"/>
        </w:rPr>
        <w:t xml:space="preserve"> </w:t>
      </w:r>
      <w:r w:rsidR="00CA5E71" w:rsidRPr="00693C83">
        <w:rPr>
          <w:sz w:val="18"/>
          <w:szCs w:val="18"/>
        </w:rPr>
        <w:t>0.001)</w:t>
      </w:r>
    </w:p>
    <w:p w14:paraId="64454775" w14:textId="59F98BD9" w:rsidR="005129AF" w:rsidRPr="00693C83" w:rsidRDefault="00A12176" w:rsidP="00693C83">
      <w:pPr>
        <w:pStyle w:val="Tablenotes0"/>
        <w:spacing w:after="0"/>
        <w:rPr>
          <w:szCs w:val="18"/>
        </w:rPr>
      </w:pPr>
      <w:proofErr w:type="gramStart"/>
      <w:r>
        <w:rPr>
          <w:szCs w:val="18"/>
          <w:vertAlign w:val="superscript"/>
        </w:rPr>
        <w:t>b</w:t>
      </w:r>
      <w:proofErr w:type="gramEnd"/>
      <w:r w:rsidR="005129AF" w:rsidRPr="00693C83">
        <w:rPr>
          <w:szCs w:val="18"/>
        </w:rPr>
        <w:t xml:space="preserve"> Propensity matched cohort of SBRT and conventional radiotherapy (</w:t>
      </w:r>
      <w:r w:rsidR="00C10752">
        <w:rPr>
          <w:szCs w:val="18"/>
        </w:rPr>
        <w:t xml:space="preserve">n = </w:t>
      </w:r>
      <w:r w:rsidR="005129AF" w:rsidRPr="00693C83">
        <w:rPr>
          <w:szCs w:val="18"/>
        </w:rPr>
        <w:t>751 in both): 3-year survival: 40% versus 48% for conventional and SBRT respectively (p</w:t>
      </w:r>
      <w:r w:rsidR="00403B52" w:rsidRPr="00693C83">
        <w:rPr>
          <w:szCs w:val="18"/>
        </w:rPr>
        <w:t xml:space="preserve"> </w:t>
      </w:r>
      <w:r w:rsidR="005129AF" w:rsidRPr="00693C83">
        <w:rPr>
          <w:szCs w:val="18"/>
        </w:rPr>
        <w:t>=</w:t>
      </w:r>
      <w:r w:rsidR="00403B52" w:rsidRPr="00693C83">
        <w:rPr>
          <w:szCs w:val="18"/>
        </w:rPr>
        <w:t xml:space="preserve"> </w:t>
      </w:r>
      <w:r w:rsidR="005129AF" w:rsidRPr="00693C83">
        <w:rPr>
          <w:szCs w:val="18"/>
        </w:rPr>
        <w:t>0.001)</w:t>
      </w:r>
    </w:p>
    <w:p w14:paraId="50D32F24" w14:textId="242A259E" w:rsidR="005129AF" w:rsidRPr="00693C83" w:rsidRDefault="00B4290F" w:rsidP="00106179">
      <w:pPr>
        <w:pStyle w:val="TableText0"/>
        <w:keepNext w:val="0"/>
        <w:widowControl w:val="0"/>
        <w:spacing w:before="0" w:after="0"/>
        <w:rPr>
          <w:sz w:val="18"/>
          <w:szCs w:val="18"/>
        </w:rPr>
      </w:pPr>
      <w:proofErr w:type="gramStart"/>
      <w:r>
        <w:rPr>
          <w:sz w:val="18"/>
          <w:szCs w:val="18"/>
          <w:vertAlign w:val="superscript"/>
        </w:rPr>
        <w:t>c</w:t>
      </w:r>
      <w:proofErr w:type="gramEnd"/>
      <w:r w:rsidR="005129AF" w:rsidRPr="00693C83">
        <w:rPr>
          <w:sz w:val="18"/>
          <w:szCs w:val="18"/>
        </w:rPr>
        <w:t xml:space="preserve"> Excluded the no treatment arm in Koshy et al (2015)</w:t>
      </w:r>
    </w:p>
    <w:p w14:paraId="4A0EEC66" w14:textId="2124B53F" w:rsidR="00620681" w:rsidRDefault="00620681" w:rsidP="00620681">
      <w:pPr>
        <w:pStyle w:val="Caption"/>
        <w:keepNext/>
      </w:pPr>
      <w:bookmarkStart w:id="536" w:name="_Ref457486318"/>
      <w:bookmarkStart w:id="537" w:name="_Ref458431736"/>
      <w:bookmarkStart w:id="538" w:name="_Toc460514760"/>
      <w:r>
        <w:lastRenderedPageBreak/>
        <w:t xml:space="preserve">Table </w:t>
      </w:r>
      <w:fldSimple w:instr=" SEQ Table \* ARABIC ">
        <w:r w:rsidR="00D170A5">
          <w:rPr>
            <w:noProof/>
          </w:rPr>
          <w:t>102</w:t>
        </w:r>
      </w:fldSimple>
      <w:bookmarkEnd w:id="536"/>
      <w:bookmarkEnd w:id="537"/>
      <w:r>
        <w:tab/>
        <w:t>Overall survival</w:t>
      </w:r>
      <w:r w:rsidR="00BD3C82" w:rsidRPr="00BD3C82">
        <w:t xml:space="preserve"> </w:t>
      </w:r>
      <w:r w:rsidR="002428EF">
        <w:t xml:space="preserve">rates </w:t>
      </w:r>
      <w:r w:rsidR="00BD3C82">
        <w:t xml:space="preserve">at 1, 2-, 3- </w:t>
      </w:r>
      <w:r w:rsidR="00ED7E6B">
        <w:t>and</w:t>
      </w:r>
      <w:r w:rsidR="00BD3C82">
        <w:t xml:space="preserve"> 5- years</w:t>
      </w:r>
      <w:r>
        <w:t xml:space="preserve"> (RFA, population two)</w:t>
      </w:r>
      <w:bookmarkEnd w:id="5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272"/>
        <w:gridCol w:w="883"/>
        <w:gridCol w:w="1560"/>
        <w:gridCol w:w="1341"/>
        <w:gridCol w:w="1342"/>
        <w:gridCol w:w="1342"/>
        <w:gridCol w:w="1342"/>
      </w:tblGrid>
      <w:tr w:rsidR="00EA5567" w:rsidRPr="00A059D0" w14:paraId="50F389A0" w14:textId="77777777" w:rsidTr="00A12176">
        <w:tc>
          <w:tcPr>
            <w:tcW w:w="700" w:type="pct"/>
            <w:tcBorders>
              <w:top w:val="single" w:sz="4" w:space="0" w:color="auto"/>
              <w:bottom w:val="single" w:sz="4" w:space="0" w:color="auto"/>
              <w:right w:val="single" w:sz="4" w:space="0" w:color="auto"/>
            </w:tcBorders>
            <w:shd w:val="clear" w:color="auto" w:fill="D9D9D9" w:themeFill="background1" w:themeFillShade="D9"/>
            <w:vAlign w:val="center"/>
          </w:tcPr>
          <w:p w14:paraId="398FD53B" w14:textId="77777777" w:rsidR="00EA5567" w:rsidRPr="00A059D0" w:rsidRDefault="00EA5567" w:rsidP="00A97CDB">
            <w:pPr>
              <w:keepNext/>
              <w:spacing w:before="40" w:after="40" w:line="288" w:lineRule="auto"/>
              <w:jc w:val="left"/>
              <w:rPr>
                <w:rFonts w:ascii="Arial Narrow" w:hAnsi="Arial Narrow"/>
                <w:b/>
                <w:snapToGrid w:val="0"/>
                <w:sz w:val="20"/>
                <w:szCs w:val="20"/>
                <w:lang w:eastAsia="en-US"/>
              </w:rPr>
            </w:pPr>
            <w:r w:rsidRPr="00A059D0">
              <w:rPr>
                <w:rFonts w:ascii="Arial Narrow" w:hAnsi="Arial Narrow"/>
                <w:b/>
                <w:snapToGrid w:val="0"/>
                <w:sz w:val="20"/>
                <w:szCs w:val="20"/>
                <w:lang w:eastAsia="en-US"/>
              </w:rPr>
              <w:t>Trial/Study</w:t>
            </w:r>
          </w:p>
        </w:tc>
        <w:tc>
          <w:tcPr>
            <w:tcW w:w="4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F3F98B" w14:textId="77777777" w:rsidR="00EA5567" w:rsidRPr="00A059D0" w:rsidRDefault="00EA5567" w:rsidP="00A97CDB">
            <w:pPr>
              <w:keepNext/>
              <w:spacing w:before="40" w:after="40" w:line="288" w:lineRule="auto"/>
              <w:jc w:val="center"/>
              <w:rPr>
                <w:rFonts w:ascii="Arial Narrow" w:hAnsi="Arial Narrow"/>
                <w:b/>
                <w:snapToGrid w:val="0"/>
                <w:sz w:val="20"/>
                <w:szCs w:val="20"/>
                <w:lang w:eastAsia="en-US"/>
              </w:rPr>
            </w:pPr>
            <w:r>
              <w:rPr>
                <w:rFonts w:ascii="Arial Narrow" w:hAnsi="Arial Narrow"/>
                <w:b/>
                <w:snapToGrid w:val="0"/>
                <w:sz w:val="20"/>
                <w:szCs w:val="20"/>
                <w:lang w:eastAsia="en-US"/>
              </w:rPr>
              <w:t xml:space="preserve">N </w:t>
            </w:r>
            <w:r w:rsidRPr="00A059D0">
              <w:rPr>
                <w:rFonts w:ascii="Arial Narrow" w:hAnsi="Arial Narrow"/>
                <w:b/>
                <w:snapToGrid w:val="0"/>
                <w:sz w:val="20"/>
                <w:szCs w:val="20"/>
                <w:lang w:eastAsia="en-US"/>
              </w:rPr>
              <w:t>(lesions)</w:t>
            </w:r>
          </w:p>
        </w:tc>
        <w:tc>
          <w:tcPr>
            <w:tcW w:w="8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B943C7" w14:textId="77777777" w:rsidR="00EA5567" w:rsidRPr="00A059D0" w:rsidRDefault="00EA5567" w:rsidP="00A97CDB">
            <w:pPr>
              <w:keepNext/>
              <w:spacing w:before="40" w:after="40" w:line="288" w:lineRule="auto"/>
              <w:jc w:val="center"/>
              <w:rPr>
                <w:rFonts w:ascii="Arial Narrow" w:hAnsi="Arial Narrow"/>
                <w:b/>
                <w:snapToGrid w:val="0"/>
                <w:sz w:val="20"/>
                <w:szCs w:val="20"/>
                <w:lang w:eastAsia="en-US"/>
              </w:rPr>
            </w:pPr>
            <w:r>
              <w:rPr>
                <w:rFonts w:ascii="Arial Narrow" w:hAnsi="Arial Narrow"/>
                <w:b/>
                <w:snapToGrid w:val="0"/>
                <w:sz w:val="20"/>
                <w:szCs w:val="20"/>
                <w:lang w:eastAsia="en-US"/>
              </w:rPr>
              <w:t>Median OS time</w:t>
            </w:r>
          </w:p>
        </w:tc>
        <w:tc>
          <w:tcPr>
            <w:tcW w:w="738" w:type="pct"/>
            <w:tcBorders>
              <w:top w:val="single" w:sz="4" w:space="0" w:color="auto"/>
              <w:left w:val="single" w:sz="4" w:space="0" w:color="auto"/>
              <w:right w:val="single" w:sz="4" w:space="0" w:color="auto"/>
            </w:tcBorders>
            <w:shd w:val="clear" w:color="auto" w:fill="D9D9D9" w:themeFill="background1" w:themeFillShade="D9"/>
            <w:vAlign w:val="center"/>
          </w:tcPr>
          <w:p w14:paraId="256A13EB" w14:textId="77777777" w:rsidR="00A43240" w:rsidRDefault="00EA5567" w:rsidP="00A97CDB">
            <w:pPr>
              <w:pStyle w:val="TableHeading"/>
              <w:spacing w:line="288" w:lineRule="auto"/>
              <w:jc w:val="center"/>
              <w:rPr>
                <w:snapToGrid w:val="0"/>
                <w:lang w:eastAsia="en-US"/>
              </w:rPr>
            </w:pPr>
            <w:r w:rsidRPr="00AE1AE2">
              <w:rPr>
                <w:snapToGrid w:val="0"/>
                <w:lang w:eastAsia="en-US"/>
              </w:rPr>
              <w:t xml:space="preserve">1-year OS </w:t>
            </w:r>
          </w:p>
          <w:p w14:paraId="718AE420" w14:textId="77777777" w:rsidR="00EA5567" w:rsidRPr="00AE1AE2" w:rsidRDefault="00EA5567" w:rsidP="00A97CDB">
            <w:pPr>
              <w:pStyle w:val="TableHeading"/>
              <w:spacing w:line="288" w:lineRule="auto"/>
              <w:jc w:val="center"/>
              <w:rPr>
                <w:snapToGrid w:val="0"/>
                <w:lang w:eastAsia="en-US"/>
              </w:rPr>
            </w:pPr>
            <w:r w:rsidRPr="00AE1AE2">
              <w:rPr>
                <w:snapToGrid w:val="0"/>
                <w:lang w:eastAsia="en-US"/>
              </w:rPr>
              <w:t>(95% CI)</w:t>
            </w:r>
          </w:p>
        </w:tc>
        <w:tc>
          <w:tcPr>
            <w:tcW w:w="739" w:type="pct"/>
            <w:tcBorders>
              <w:top w:val="single" w:sz="4" w:space="0" w:color="auto"/>
              <w:left w:val="single" w:sz="4" w:space="0" w:color="auto"/>
              <w:right w:val="single" w:sz="4" w:space="0" w:color="auto"/>
            </w:tcBorders>
            <w:shd w:val="clear" w:color="auto" w:fill="D9D9D9" w:themeFill="background1" w:themeFillShade="D9"/>
            <w:vAlign w:val="center"/>
          </w:tcPr>
          <w:p w14:paraId="785EA3F2" w14:textId="77777777" w:rsidR="00A43240" w:rsidRDefault="00EA5567" w:rsidP="00A97CDB">
            <w:pPr>
              <w:pStyle w:val="TableHeading"/>
              <w:spacing w:line="288" w:lineRule="auto"/>
              <w:jc w:val="center"/>
              <w:rPr>
                <w:snapToGrid w:val="0"/>
                <w:lang w:eastAsia="en-US"/>
              </w:rPr>
            </w:pPr>
            <w:r w:rsidRPr="00AE1AE2">
              <w:rPr>
                <w:snapToGrid w:val="0"/>
                <w:lang w:eastAsia="en-US"/>
              </w:rPr>
              <w:t xml:space="preserve">2-year OS </w:t>
            </w:r>
          </w:p>
          <w:p w14:paraId="61C472B9" w14:textId="77777777" w:rsidR="00EA5567" w:rsidRPr="00AE1AE2" w:rsidRDefault="00EA5567" w:rsidP="00A97CDB">
            <w:pPr>
              <w:pStyle w:val="TableHeading"/>
              <w:spacing w:line="288" w:lineRule="auto"/>
              <w:jc w:val="center"/>
              <w:rPr>
                <w:snapToGrid w:val="0"/>
                <w:lang w:eastAsia="en-US"/>
              </w:rPr>
            </w:pPr>
            <w:r w:rsidRPr="00AE1AE2">
              <w:rPr>
                <w:snapToGrid w:val="0"/>
                <w:lang w:eastAsia="en-US"/>
              </w:rPr>
              <w:t>(95% CI)</w:t>
            </w:r>
          </w:p>
        </w:tc>
        <w:tc>
          <w:tcPr>
            <w:tcW w:w="739" w:type="pct"/>
            <w:tcBorders>
              <w:top w:val="single" w:sz="4" w:space="0" w:color="auto"/>
              <w:left w:val="single" w:sz="4" w:space="0" w:color="auto"/>
              <w:right w:val="single" w:sz="4" w:space="0" w:color="auto"/>
            </w:tcBorders>
            <w:shd w:val="clear" w:color="auto" w:fill="D9D9D9" w:themeFill="background1" w:themeFillShade="D9"/>
            <w:vAlign w:val="center"/>
          </w:tcPr>
          <w:p w14:paraId="48720E21" w14:textId="77777777" w:rsidR="00A43240" w:rsidRDefault="00EA5567" w:rsidP="00A97CDB">
            <w:pPr>
              <w:pStyle w:val="TableHeading"/>
              <w:spacing w:line="288" w:lineRule="auto"/>
              <w:jc w:val="center"/>
              <w:rPr>
                <w:snapToGrid w:val="0"/>
                <w:lang w:eastAsia="en-US"/>
              </w:rPr>
            </w:pPr>
            <w:r w:rsidRPr="00AE1AE2">
              <w:rPr>
                <w:snapToGrid w:val="0"/>
                <w:lang w:eastAsia="en-US"/>
              </w:rPr>
              <w:t xml:space="preserve">3-year OS </w:t>
            </w:r>
          </w:p>
          <w:p w14:paraId="5A94E98B" w14:textId="77777777" w:rsidR="00EA5567" w:rsidRPr="00AE1AE2" w:rsidRDefault="00EA5567" w:rsidP="00A97CDB">
            <w:pPr>
              <w:pStyle w:val="TableHeading"/>
              <w:spacing w:line="288" w:lineRule="auto"/>
              <w:jc w:val="center"/>
              <w:rPr>
                <w:snapToGrid w:val="0"/>
                <w:lang w:eastAsia="en-US"/>
              </w:rPr>
            </w:pPr>
            <w:r w:rsidRPr="00AE1AE2">
              <w:rPr>
                <w:snapToGrid w:val="0"/>
                <w:lang w:eastAsia="en-US"/>
              </w:rPr>
              <w:t>(95% CI)</w:t>
            </w:r>
          </w:p>
        </w:tc>
        <w:tc>
          <w:tcPr>
            <w:tcW w:w="739" w:type="pct"/>
            <w:tcBorders>
              <w:top w:val="single" w:sz="4" w:space="0" w:color="auto"/>
              <w:left w:val="single" w:sz="4" w:space="0" w:color="auto"/>
            </w:tcBorders>
            <w:shd w:val="clear" w:color="auto" w:fill="D9D9D9" w:themeFill="background1" w:themeFillShade="D9"/>
            <w:vAlign w:val="center"/>
          </w:tcPr>
          <w:p w14:paraId="1DD0665F" w14:textId="77777777" w:rsidR="00A43240" w:rsidRDefault="00EA5567" w:rsidP="00A97CDB">
            <w:pPr>
              <w:pStyle w:val="TableHeading"/>
              <w:spacing w:line="288" w:lineRule="auto"/>
              <w:jc w:val="center"/>
              <w:rPr>
                <w:snapToGrid w:val="0"/>
                <w:lang w:eastAsia="en-US"/>
              </w:rPr>
            </w:pPr>
            <w:r w:rsidRPr="00AE1AE2">
              <w:rPr>
                <w:snapToGrid w:val="0"/>
                <w:lang w:eastAsia="en-US"/>
              </w:rPr>
              <w:t xml:space="preserve">5-year OS </w:t>
            </w:r>
          </w:p>
          <w:p w14:paraId="5EF3FB10" w14:textId="77777777" w:rsidR="00EA5567" w:rsidRPr="00A059D0" w:rsidRDefault="00EA5567" w:rsidP="00A97CDB">
            <w:pPr>
              <w:pStyle w:val="TableHeading"/>
              <w:spacing w:line="288" w:lineRule="auto"/>
              <w:jc w:val="center"/>
              <w:rPr>
                <w:b w:val="0"/>
                <w:snapToGrid w:val="0"/>
                <w:lang w:eastAsia="en-US"/>
              </w:rPr>
            </w:pPr>
            <w:r w:rsidRPr="00AE1AE2">
              <w:rPr>
                <w:snapToGrid w:val="0"/>
                <w:lang w:eastAsia="en-US"/>
              </w:rPr>
              <w:t>(95% CI)</w:t>
            </w:r>
          </w:p>
        </w:tc>
      </w:tr>
      <w:tr w:rsidR="00620681" w:rsidRPr="00A059D0" w14:paraId="3AA038B0" w14:textId="77777777" w:rsidTr="00FC0C05">
        <w:tc>
          <w:tcPr>
            <w:tcW w:w="700" w:type="pct"/>
            <w:tcBorders>
              <w:top w:val="single" w:sz="4" w:space="0" w:color="auto"/>
            </w:tcBorders>
            <w:shd w:val="clear" w:color="auto" w:fill="auto"/>
            <w:vAlign w:val="bottom"/>
          </w:tcPr>
          <w:p w14:paraId="29F39FC9"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De Baere et al (2015)</w:t>
            </w:r>
          </w:p>
        </w:tc>
        <w:tc>
          <w:tcPr>
            <w:tcW w:w="486" w:type="pct"/>
            <w:tcBorders>
              <w:top w:val="single" w:sz="4" w:space="0" w:color="auto"/>
            </w:tcBorders>
            <w:shd w:val="clear" w:color="auto" w:fill="auto"/>
            <w:vAlign w:val="center"/>
          </w:tcPr>
          <w:p w14:paraId="0245A1A3" w14:textId="77777777" w:rsidR="00100A42"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566 </w:t>
            </w:r>
          </w:p>
          <w:p w14:paraId="4456A5DC"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(1037)</w:t>
            </w:r>
          </w:p>
        </w:tc>
        <w:tc>
          <w:tcPr>
            <w:tcW w:w="859" w:type="pct"/>
            <w:tcBorders>
              <w:top w:val="single" w:sz="4" w:space="0" w:color="auto"/>
            </w:tcBorders>
            <w:shd w:val="clear" w:color="auto" w:fill="auto"/>
            <w:vAlign w:val="center"/>
          </w:tcPr>
          <w:p w14:paraId="4B25B2E1" w14:textId="77777777" w:rsidR="00620681" w:rsidRPr="00A059D0"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62 months</w:t>
            </w:r>
          </w:p>
        </w:tc>
        <w:tc>
          <w:tcPr>
            <w:tcW w:w="738" w:type="pct"/>
            <w:shd w:val="clear" w:color="auto" w:fill="auto"/>
            <w:vAlign w:val="center"/>
          </w:tcPr>
          <w:p w14:paraId="004C36F0" w14:textId="7F4F8336" w:rsidR="00751230" w:rsidRDefault="00827D40"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92%</w:t>
            </w:r>
          </w:p>
          <w:p w14:paraId="06E43676"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(SE</w:t>
            </w:r>
            <w:r w:rsidR="007F2B70">
              <w:rPr>
                <w:rFonts w:ascii="Arial Narrow" w:hAnsi="Arial Narrow"/>
                <w:snapToGrid w:val="0"/>
                <w:sz w:val="20"/>
                <w:lang w:eastAsia="en-US"/>
              </w:rPr>
              <w:t xml:space="preserve"> </w:t>
            </w:r>
            <w:r w:rsidRPr="00A059D0">
              <w:rPr>
                <w:rFonts w:ascii="Arial Narrow" w:hAnsi="Arial Narrow"/>
                <w:snapToGrid w:val="0"/>
                <w:sz w:val="20"/>
                <w:lang w:eastAsia="en-US"/>
              </w:rPr>
              <w:t>1.2)</w:t>
            </w:r>
          </w:p>
        </w:tc>
        <w:tc>
          <w:tcPr>
            <w:tcW w:w="739" w:type="pct"/>
            <w:vAlign w:val="center"/>
          </w:tcPr>
          <w:p w14:paraId="7C09F2DB" w14:textId="7668E137" w:rsidR="00751230" w:rsidRDefault="00827D40"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79%</w:t>
            </w:r>
          </w:p>
          <w:p w14:paraId="24B6A74C"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(SE</w:t>
            </w:r>
            <w:r w:rsidR="007F2B70">
              <w:rPr>
                <w:rFonts w:ascii="Arial Narrow" w:hAnsi="Arial Narrow"/>
                <w:snapToGrid w:val="0"/>
                <w:sz w:val="20"/>
                <w:lang w:eastAsia="en-US"/>
              </w:rPr>
              <w:t xml:space="preserve"> </w:t>
            </w:r>
            <w:r w:rsidRPr="00A059D0">
              <w:rPr>
                <w:rFonts w:ascii="Arial Narrow" w:hAnsi="Arial Narrow"/>
                <w:snapToGrid w:val="0"/>
                <w:sz w:val="20"/>
                <w:lang w:eastAsia="en-US"/>
              </w:rPr>
              <w:t>1.9)</w:t>
            </w:r>
          </w:p>
        </w:tc>
        <w:tc>
          <w:tcPr>
            <w:tcW w:w="739" w:type="pct"/>
            <w:vAlign w:val="center"/>
          </w:tcPr>
          <w:p w14:paraId="0E3CE0F5" w14:textId="3094EA1A" w:rsidR="0075123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6</w:t>
            </w:r>
            <w:r w:rsidR="00EA5567">
              <w:rPr>
                <w:rFonts w:ascii="Arial Narrow" w:hAnsi="Arial Narrow"/>
                <w:snapToGrid w:val="0"/>
                <w:sz w:val="20"/>
                <w:lang w:eastAsia="en-US"/>
              </w:rPr>
              <w:t>8</w:t>
            </w:r>
            <w:r w:rsidR="00827D40">
              <w:rPr>
                <w:rFonts w:ascii="Arial Narrow" w:hAnsi="Arial Narrow"/>
                <w:snapToGrid w:val="0"/>
                <w:sz w:val="20"/>
                <w:lang w:eastAsia="en-US"/>
              </w:rPr>
              <w:t>%</w:t>
            </w:r>
            <w:r w:rsidRPr="00A059D0">
              <w:rPr>
                <w:rFonts w:ascii="Arial Narrow" w:hAnsi="Arial Narrow"/>
                <w:snapToGrid w:val="0"/>
                <w:sz w:val="20"/>
                <w:lang w:eastAsia="en-US"/>
              </w:rPr>
              <w:t xml:space="preserve"> </w:t>
            </w:r>
          </w:p>
          <w:p w14:paraId="508EE262"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w:t>
            </w:r>
            <w:r w:rsidR="007F2B70">
              <w:rPr>
                <w:rFonts w:ascii="Arial Narrow" w:hAnsi="Arial Narrow"/>
                <w:snapToGrid w:val="0"/>
                <w:sz w:val="20"/>
                <w:lang w:eastAsia="en-US"/>
              </w:rPr>
              <w:t xml:space="preserve">SE </w:t>
            </w:r>
            <w:r w:rsidRPr="00A059D0">
              <w:rPr>
                <w:rFonts w:ascii="Arial Narrow" w:hAnsi="Arial Narrow"/>
                <w:snapToGrid w:val="0"/>
                <w:sz w:val="20"/>
                <w:lang w:eastAsia="en-US"/>
              </w:rPr>
              <w:t>2.4)</w:t>
            </w:r>
          </w:p>
        </w:tc>
        <w:tc>
          <w:tcPr>
            <w:tcW w:w="739" w:type="pct"/>
            <w:vAlign w:val="center"/>
          </w:tcPr>
          <w:p w14:paraId="148F991A" w14:textId="5BE5A94E" w:rsidR="0075123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5</w:t>
            </w:r>
            <w:r w:rsidR="00EA5567">
              <w:rPr>
                <w:rFonts w:ascii="Arial Narrow" w:hAnsi="Arial Narrow"/>
                <w:snapToGrid w:val="0"/>
                <w:sz w:val="20"/>
                <w:lang w:eastAsia="en-US"/>
              </w:rPr>
              <w:t>2</w:t>
            </w:r>
            <w:r w:rsidR="00827D40">
              <w:rPr>
                <w:rFonts w:ascii="Arial Narrow" w:hAnsi="Arial Narrow"/>
                <w:snapToGrid w:val="0"/>
                <w:sz w:val="20"/>
                <w:lang w:eastAsia="en-US"/>
              </w:rPr>
              <w:t>%</w:t>
            </w:r>
            <w:r w:rsidRPr="00A059D0">
              <w:rPr>
                <w:rFonts w:ascii="Arial Narrow" w:hAnsi="Arial Narrow"/>
                <w:snapToGrid w:val="0"/>
                <w:sz w:val="20"/>
                <w:lang w:eastAsia="en-US"/>
              </w:rPr>
              <w:t xml:space="preserve"> </w:t>
            </w:r>
          </w:p>
          <w:p w14:paraId="63F14991"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(SE</w:t>
            </w:r>
            <w:r w:rsidR="007F2B70">
              <w:rPr>
                <w:rFonts w:ascii="Arial Narrow" w:hAnsi="Arial Narrow"/>
                <w:snapToGrid w:val="0"/>
                <w:sz w:val="20"/>
                <w:lang w:eastAsia="en-US"/>
              </w:rPr>
              <w:t xml:space="preserve"> </w:t>
            </w:r>
            <w:r w:rsidRPr="00A059D0">
              <w:rPr>
                <w:rFonts w:ascii="Arial Narrow" w:hAnsi="Arial Narrow"/>
                <w:snapToGrid w:val="0"/>
                <w:sz w:val="20"/>
                <w:lang w:eastAsia="en-US"/>
              </w:rPr>
              <w:t>3.3)</w:t>
            </w:r>
          </w:p>
        </w:tc>
      </w:tr>
      <w:tr w:rsidR="00620681" w:rsidRPr="00A059D0" w14:paraId="7563DFD5" w14:textId="77777777" w:rsidTr="00FC0C05">
        <w:tc>
          <w:tcPr>
            <w:tcW w:w="700" w:type="pct"/>
            <w:shd w:val="clear" w:color="auto" w:fill="auto"/>
            <w:vAlign w:val="bottom"/>
          </w:tcPr>
          <w:p w14:paraId="2FAB78D4"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Fanucchi et al (2015)</w:t>
            </w:r>
          </w:p>
        </w:tc>
        <w:tc>
          <w:tcPr>
            <w:tcW w:w="486" w:type="pct"/>
            <w:shd w:val="clear" w:color="auto" w:fill="auto"/>
            <w:vAlign w:val="center"/>
          </w:tcPr>
          <w:p w14:paraId="60471C07" w14:textId="77777777" w:rsidR="00100A42"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61 </w:t>
            </w:r>
          </w:p>
          <w:p w14:paraId="230B2F88"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(86)</w:t>
            </w:r>
          </w:p>
        </w:tc>
        <w:tc>
          <w:tcPr>
            <w:tcW w:w="859" w:type="pct"/>
            <w:shd w:val="clear" w:color="auto" w:fill="auto"/>
            <w:vAlign w:val="center"/>
          </w:tcPr>
          <w:p w14:paraId="7F2B38F6" w14:textId="77777777" w:rsidR="00407221"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65 months</w:t>
            </w:r>
          </w:p>
          <w:p w14:paraId="38353D4A" w14:textId="77777777" w:rsidR="00620681" w:rsidRPr="00A059D0"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w:t>
            </w:r>
            <w:r w:rsidR="00407221">
              <w:rPr>
                <w:rFonts w:ascii="Arial Narrow" w:hAnsi="Arial Narrow"/>
                <w:sz w:val="20"/>
                <w:lang w:eastAsia="en-US"/>
              </w:rPr>
              <w:t xml:space="preserve">95% CI </w:t>
            </w:r>
            <w:r w:rsidRPr="00A059D0">
              <w:rPr>
                <w:rFonts w:ascii="Arial Narrow" w:hAnsi="Arial Narrow"/>
                <w:sz w:val="20"/>
                <w:lang w:eastAsia="en-US"/>
              </w:rPr>
              <w:t>51–79)</w:t>
            </w:r>
          </w:p>
        </w:tc>
        <w:tc>
          <w:tcPr>
            <w:tcW w:w="738" w:type="pct"/>
            <w:shd w:val="clear" w:color="auto" w:fill="auto"/>
            <w:vAlign w:val="center"/>
          </w:tcPr>
          <w:p w14:paraId="6D7D068A" w14:textId="3C71C924" w:rsidR="0075123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9</w:t>
            </w:r>
            <w:r w:rsidR="00EA5567">
              <w:rPr>
                <w:rFonts w:ascii="Arial Narrow" w:hAnsi="Arial Narrow"/>
                <w:snapToGrid w:val="0"/>
                <w:sz w:val="20"/>
                <w:lang w:eastAsia="en-US"/>
              </w:rPr>
              <w:t>5</w:t>
            </w:r>
            <w:r w:rsidR="00827D40">
              <w:rPr>
                <w:rFonts w:ascii="Arial Narrow" w:hAnsi="Arial Narrow"/>
                <w:snapToGrid w:val="0"/>
                <w:sz w:val="20"/>
                <w:lang w:eastAsia="en-US"/>
              </w:rPr>
              <w:t>%</w:t>
            </w:r>
            <w:r w:rsidRPr="00A059D0">
              <w:rPr>
                <w:rFonts w:ascii="Arial Narrow" w:hAnsi="Arial Narrow"/>
                <w:snapToGrid w:val="0"/>
                <w:sz w:val="20"/>
                <w:lang w:eastAsia="en-US"/>
              </w:rPr>
              <w:t xml:space="preserve"> </w:t>
            </w:r>
          </w:p>
          <w:p w14:paraId="7070C0FC"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(SE 0.0</w:t>
            </w:r>
            <w:r w:rsidR="00EA5567">
              <w:rPr>
                <w:rFonts w:ascii="Arial Narrow" w:hAnsi="Arial Narrow"/>
                <w:snapToGrid w:val="0"/>
                <w:sz w:val="20"/>
                <w:lang w:eastAsia="en-US"/>
              </w:rPr>
              <w:t>3</w:t>
            </w:r>
            <w:r w:rsidRPr="00A059D0">
              <w:rPr>
                <w:rFonts w:ascii="Arial Narrow" w:hAnsi="Arial Narrow"/>
                <w:snapToGrid w:val="0"/>
                <w:sz w:val="20"/>
                <w:lang w:eastAsia="en-US"/>
              </w:rPr>
              <w:t>)</w:t>
            </w:r>
          </w:p>
        </w:tc>
        <w:tc>
          <w:tcPr>
            <w:tcW w:w="739" w:type="pct"/>
            <w:vAlign w:val="center"/>
          </w:tcPr>
          <w:p w14:paraId="30A87045"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NR</w:t>
            </w:r>
          </w:p>
        </w:tc>
        <w:tc>
          <w:tcPr>
            <w:tcW w:w="739" w:type="pct"/>
            <w:vAlign w:val="center"/>
          </w:tcPr>
          <w:p w14:paraId="48E7D01F" w14:textId="675ED72D" w:rsidR="00751230" w:rsidRDefault="003564BD"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49</w:t>
            </w:r>
            <w:r w:rsidR="00827D40">
              <w:rPr>
                <w:rFonts w:ascii="Arial Narrow" w:hAnsi="Arial Narrow"/>
                <w:snapToGrid w:val="0"/>
                <w:sz w:val="20"/>
                <w:lang w:eastAsia="en-US"/>
              </w:rPr>
              <w:t>%</w:t>
            </w:r>
          </w:p>
          <w:p w14:paraId="002812ED"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w:t>
            </w:r>
            <w:r w:rsidR="007F2B70">
              <w:rPr>
                <w:rFonts w:ascii="Arial Narrow" w:hAnsi="Arial Narrow"/>
                <w:snapToGrid w:val="0"/>
                <w:sz w:val="20"/>
                <w:lang w:eastAsia="en-US"/>
              </w:rPr>
              <w:t xml:space="preserve">SE </w:t>
            </w:r>
            <w:r w:rsidRPr="00A059D0">
              <w:rPr>
                <w:rFonts w:ascii="Arial Narrow" w:hAnsi="Arial Narrow"/>
                <w:snapToGrid w:val="0"/>
                <w:sz w:val="20"/>
                <w:lang w:eastAsia="en-US"/>
              </w:rPr>
              <w:t>0.07)</w:t>
            </w:r>
          </w:p>
        </w:tc>
        <w:tc>
          <w:tcPr>
            <w:tcW w:w="739" w:type="pct"/>
            <w:vAlign w:val="center"/>
          </w:tcPr>
          <w:p w14:paraId="1C6AC386" w14:textId="149D0894" w:rsidR="00EC408F" w:rsidRDefault="00EC408F"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45</w:t>
            </w:r>
            <w:r w:rsidR="00827D40">
              <w:rPr>
                <w:rFonts w:ascii="Arial Narrow" w:hAnsi="Arial Narrow"/>
                <w:snapToGrid w:val="0"/>
                <w:sz w:val="20"/>
                <w:lang w:eastAsia="en-US"/>
              </w:rPr>
              <w:t>%</w:t>
            </w:r>
            <w:r w:rsidRPr="003564BD">
              <w:rPr>
                <w:rFonts w:ascii="Arial Narrow" w:hAnsi="Arial Narrow"/>
                <w:snapToGrid w:val="0"/>
                <w:sz w:val="20"/>
                <w:lang w:eastAsia="en-US"/>
              </w:rPr>
              <w:t xml:space="preserve"> </w:t>
            </w:r>
          </w:p>
          <w:p w14:paraId="46DBB2B7" w14:textId="77777777" w:rsidR="00620681" w:rsidRPr="00A059D0" w:rsidRDefault="003564BD" w:rsidP="00A97CDB">
            <w:pPr>
              <w:keepNext/>
              <w:spacing w:before="40" w:after="40" w:line="288" w:lineRule="auto"/>
              <w:jc w:val="center"/>
              <w:rPr>
                <w:rFonts w:ascii="Arial Narrow" w:hAnsi="Arial Narrow"/>
                <w:snapToGrid w:val="0"/>
                <w:sz w:val="20"/>
                <w:lang w:eastAsia="en-US"/>
              </w:rPr>
            </w:pPr>
            <w:r w:rsidRPr="003564BD">
              <w:rPr>
                <w:rFonts w:ascii="Arial Narrow" w:hAnsi="Arial Narrow"/>
                <w:snapToGrid w:val="0"/>
                <w:sz w:val="20"/>
                <w:lang w:eastAsia="en-US"/>
              </w:rPr>
              <w:t>(SE 0.070)</w:t>
            </w:r>
          </w:p>
        </w:tc>
      </w:tr>
      <w:tr w:rsidR="00620681" w:rsidRPr="00A059D0" w14:paraId="77A4E620" w14:textId="77777777" w:rsidTr="00FC0C05">
        <w:tc>
          <w:tcPr>
            <w:tcW w:w="700" w:type="pct"/>
            <w:shd w:val="clear" w:color="auto" w:fill="auto"/>
            <w:vAlign w:val="bottom"/>
          </w:tcPr>
          <w:p w14:paraId="138EE7EA"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Hiraki et al (2011)</w:t>
            </w:r>
          </w:p>
        </w:tc>
        <w:tc>
          <w:tcPr>
            <w:tcW w:w="486" w:type="pct"/>
            <w:shd w:val="clear" w:color="auto" w:fill="auto"/>
            <w:vAlign w:val="center"/>
          </w:tcPr>
          <w:p w14:paraId="6C63C775" w14:textId="77777777" w:rsidR="00100A42"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32 </w:t>
            </w:r>
          </w:p>
          <w:p w14:paraId="4AE7D056"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(83)</w:t>
            </w:r>
          </w:p>
        </w:tc>
        <w:tc>
          <w:tcPr>
            <w:tcW w:w="859" w:type="pct"/>
            <w:shd w:val="clear" w:color="auto" w:fill="auto"/>
            <w:vAlign w:val="center"/>
          </w:tcPr>
          <w:p w14:paraId="3A303E65" w14:textId="77777777" w:rsidR="00620681" w:rsidRPr="00A059D0"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37.7 months</w:t>
            </w:r>
          </w:p>
        </w:tc>
        <w:tc>
          <w:tcPr>
            <w:tcW w:w="738" w:type="pct"/>
            <w:shd w:val="clear" w:color="auto" w:fill="auto"/>
            <w:vAlign w:val="center"/>
          </w:tcPr>
          <w:p w14:paraId="67D689A6" w14:textId="743E4437" w:rsidR="007F2B70" w:rsidRDefault="007F2B70"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87</w:t>
            </w:r>
            <w:r w:rsidR="00827D40">
              <w:rPr>
                <w:rFonts w:ascii="Arial Narrow" w:hAnsi="Arial Narrow"/>
                <w:snapToGrid w:val="0"/>
                <w:sz w:val="20"/>
                <w:lang w:eastAsia="en-US"/>
              </w:rPr>
              <w:t>%</w:t>
            </w:r>
          </w:p>
          <w:p w14:paraId="2C6B80CB" w14:textId="61323619"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(76</w:t>
            </w:r>
            <w:r w:rsidR="007E3D66">
              <w:rPr>
                <w:rFonts w:ascii="Arial Narrow" w:hAnsi="Arial Narrow"/>
                <w:snapToGrid w:val="0"/>
                <w:sz w:val="20"/>
                <w:lang w:eastAsia="en-US"/>
              </w:rPr>
              <w:t>–</w:t>
            </w:r>
            <w:r w:rsidRPr="00A059D0">
              <w:rPr>
                <w:rFonts w:ascii="Arial Narrow" w:hAnsi="Arial Narrow"/>
                <w:snapToGrid w:val="0"/>
                <w:sz w:val="20"/>
                <w:lang w:eastAsia="en-US"/>
              </w:rPr>
              <w:t>99)</w:t>
            </w:r>
          </w:p>
        </w:tc>
        <w:tc>
          <w:tcPr>
            <w:tcW w:w="739" w:type="pct"/>
            <w:vAlign w:val="center"/>
          </w:tcPr>
          <w:p w14:paraId="3338BD45" w14:textId="13CBDF87" w:rsidR="007F2B7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57</w:t>
            </w:r>
            <w:r w:rsidR="00827D40">
              <w:rPr>
                <w:rFonts w:ascii="Arial Narrow" w:hAnsi="Arial Narrow"/>
                <w:snapToGrid w:val="0"/>
                <w:sz w:val="20"/>
                <w:lang w:eastAsia="en-US"/>
              </w:rPr>
              <w:t>%</w:t>
            </w:r>
          </w:p>
          <w:p w14:paraId="22C1CB85" w14:textId="1692A50F"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(38</w:t>
            </w:r>
            <w:r w:rsidR="007E3D66">
              <w:rPr>
                <w:rFonts w:ascii="Arial Narrow" w:hAnsi="Arial Narrow"/>
                <w:snapToGrid w:val="0"/>
                <w:sz w:val="20"/>
                <w:lang w:eastAsia="en-US"/>
              </w:rPr>
              <w:t>–</w:t>
            </w:r>
            <w:r w:rsidRPr="00A059D0">
              <w:rPr>
                <w:rFonts w:ascii="Arial Narrow" w:hAnsi="Arial Narrow"/>
                <w:snapToGrid w:val="0"/>
                <w:sz w:val="20"/>
                <w:lang w:eastAsia="en-US"/>
              </w:rPr>
              <w:t>76)</w:t>
            </w:r>
          </w:p>
        </w:tc>
        <w:tc>
          <w:tcPr>
            <w:tcW w:w="739" w:type="pct"/>
            <w:vAlign w:val="center"/>
          </w:tcPr>
          <w:p w14:paraId="7FA983C8" w14:textId="29E0AC08" w:rsidR="007F2B70" w:rsidRDefault="00827D40"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57%</w:t>
            </w:r>
          </w:p>
          <w:p w14:paraId="25318106" w14:textId="42366D79"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(38</w:t>
            </w:r>
            <w:r w:rsidR="007E3D66">
              <w:rPr>
                <w:rFonts w:ascii="Arial Narrow" w:hAnsi="Arial Narrow"/>
                <w:snapToGrid w:val="0"/>
                <w:sz w:val="20"/>
                <w:lang w:eastAsia="en-US"/>
              </w:rPr>
              <w:t>–</w:t>
            </w:r>
            <w:r w:rsidRPr="00A059D0">
              <w:rPr>
                <w:rFonts w:ascii="Arial Narrow" w:hAnsi="Arial Narrow"/>
                <w:snapToGrid w:val="0"/>
                <w:sz w:val="20"/>
                <w:lang w:eastAsia="en-US"/>
              </w:rPr>
              <w:t>76)</w:t>
            </w:r>
          </w:p>
        </w:tc>
        <w:tc>
          <w:tcPr>
            <w:tcW w:w="739" w:type="pct"/>
            <w:vAlign w:val="center"/>
          </w:tcPr>
          <w:p w14:paraId="772F9646"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NR</w:t>
            </w:r>
          </w:p>
        </w:tc>
      </w:tr>
      <w:tr w:rsidR="00620681" w:rsidRPr="00A059D0" w14:paraId="4230D355" w14:textId="77777777" w:rsidTr="00FC0C05">
        <w:tc>
          <w:tcPr>
            <w:tcW w:w="700" w:type="pct"/>
            <w:shd w:val="clear" w:color="auto" w:fill="auto"/>
            <w:vAlign w:val="bottom"/>
          </w:tcPr>
          <w:p w14:paraId="0C1D4CA5"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Koelbinger et al (2014)</w:t>
            </w:r>
          </w:p>
        </w:tc>
        <w:tc>
          <w:tcPr>
            <w:tcW w:w="486" w:type="pct"/>
            <w:shd w:val="clear" w:color="auto" w:fill="auto"/>
            <w:vAlign w:val="center"/>
          </w:tcPr>
          <w:p w14:paraId="5B120286" w14:textId="77777777" w:rsidR="00100A42"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22 </w:t>
            </w:r>
          </w:p>
          <w:p w14:paraId="5CF7AB71"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(55)</w:t>
            </w:r>
          </w:p>
        </w:tc>
        <w:tc>
          <w:tcPr>
            <w:tcW w:w="859" w:type="pct"/>
            <w:shd w:val="clear" w:color="auto" w:fill="auto"/>
            <w:vAlign w:val="center"/>
          </w:tcPr>
          <w:p w14:paraId="2478E2F2" w14:textId="77777777" w:rsidR="00620681" w:rsidRPr="00A059D0"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51 months</w:t>
            </w:r>
          </w:p>
        </w:tc>
        <w:tc>
          <w:tcPr>
            <w:tcW w:w="738" w:type="pct"/>
            <w:shd w:val="clear" w:color="auto" w:fill="auto"/>
            <w:vAlign w:val="center"/>
          </w:tcPr>
          <w:p w14:paraId="4CA73009" w14:textId="2B347531"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100</w:t>
            </w:r>
            <w:r w:rsidR="00827D40">
              <w:rPr>
                <w:rFonts w:ascii="Arial Narrow" w:hAnsi="Arial Narrow"/>
                <w:snapToGrid w:val="0"/>
                <w:sz w:val="20"/>
                <w:lang w:eastAsia="en-US"/>
              </w:rPr>
              <w:t>%</w:t>
            </w:r>
          </w:p>
        </w:tc>
        <w:tc>
          <w:tcPr>
            <w:tcW w:w="739" w:type="pct"/>
            <w:vAlign w:val="center"/>
          </w:tcPr>
          <w:p w14:paraId="44EAA61B" w14:textId="16809AD1"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94</w:t>
            </w:r>
            <w:r w:rsidR="00827D40">
              <w:rPr>
                <w:rFonts w:ascii="Arial Narrow" w:hAnsi="Arial Narrow"/>
                <w:snapToGrid w:val="0"/>
                <w:sz w:val="20"/>
                <w:lang w:eastAsia="en-US"/>
              </w:rPr>
              <w:t>%</w:t>
            </w:r>
          </w:p>
        </w:tc>
        <w:tc>
          <w:tcPr>
            <w:tcW w:w="739" w:type="pct"/>
            <w:vAlign w:val="center"/>
          </w:tcPr>
          <w:p w14:paraId="78F335AB" w14:textId="5EBFF860"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85</w:t>
            </w:r>
            <w:r w:rsidR="00827D40">
              <w:rPr>
                <w:rFonts w:ascii="Arial Narrow" w:hAnsi="Arial Narrow"/>
                <w:snapToGrid w:val="0"/>
                <w:sz w:val="20"/>
                <w:lang w:eastAsia="en-US"/>
              </w:rPr>
              <w:t>%</w:t>
            </w:r>
          </w:p>
        </w:tc>
        <w:tc>
          <w:tcPr>
            <w:tcW w:w="739" w:type="pct"/>
            <w:vAlign w:val="center"/>
          </w:tcPr>
          <w:p w14:paraId="255ED57D"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NR</w:t>
            </w:r>
          </w:p>
        </w:tc>
      </w:tr>
      <w:tr w:rsidR="00620681" w:rsidRPr="00A059D0" w14:paraId="1A4B566E" w14:textId="77777777" w:rsidTr="00FC0C05">
        <w:tc>
          <w:tcPr>
            <w:tcW w:w="700" w:type="pct"/>
            <w:shd w:val="clear" w:color="auto" w:fill="auto"/>
            <w:vAlign w:val="bottom"/>
          </w:tcPr>
          <w:p w14:paraId="66284330"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Li et al (2012)</w:t>
            </w:r>
          </w:p>
        </w:tc>
        <w:tc>
          <w:tcPr>
            <w:tcW w:w="486" w:type="pct"/>
            <w:shd w:val="clear" w:color="auto" w:fill="auto"/>
            <w:vAlign w:val="center"/>
          </w:tcPr>
          <w:p w14:paraId="31A66413" w14:textId="77777777" w:rsidR="00100A42"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29 </w:t>
            </w:r>
          </w:p>
          <w:p w14:paraId="575A0C5C"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(68)</w:t>
            </w:r>
          </w:p>
        </w:tc>
        <w:tc>
          <w:tcPr>
            <w:tcW w:w="859" w:type="pct"/>
            <w:shd w:val="clear" w:color="auto" w:fill="auto"/>
            <w:vAlign w:val="center"/>
          </w:tcPr>
          <w:p w14:paraId="34990EFF" w14:textId="77777777" w:rsidR="00407221"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21 months</w:t>
            </w:r>
          </w:p>
          <w:p w14:paraId="6EE123DA" w14:textId="0CD7A84D" w:rsidR="00620681" w:rsidRPr="00A059D0"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w:t>
            </w:r>
            <w:r w:rsidR="00407221">
              <w:rPr>
                <w:rFonts w:ascii="Arial Narrow" w:hAnsi="Arial Narrow"/>
                <w:sz w:val="20"/>
                <w:lang w:eastAsia="en-US"/>
              </w:rPr>
              <w:t xml:space="preserve">95% CI </w:t>
            </w:r>
            <w:r w:rsidRPr="00A059D0">
              <w:rPr>
                <w:rFonts w:ascii="Arial Narrow" w:hAnsi="Arial Narrow"/>
                <w:sz w:val="20"/>
                <w:lang w:eastAsia="en-US"/>
              </w:rPr>
              <w:t>9.7</w:t>
            </w:r>
            <w:r w:rsidR="007E3D66">
              <w:rPr>
                <w:rFonts w:ascii="Arial Narrow" w:hAnsi="Arial Narrow"/>
                <w:sz w:val="20"/>
                <w:lang w:eastAsia="en-US"/>
              </w:rPr>
              <w:t>–</w:t>
            </w:r>
            <w:r w:rsidRPr="00A059D0">
              <w:rPr>
                <w:rFonts w:ascii="Arial Narrow" w:hAnsi="Arial Narrow"/>
                <w:sz w:val="20"/>
                <w:lang w:eastAsia="en-US"/>
              </w:rPr>
              <w:t>32.3)</w:t>
            </w:r>
          </w:p>
        </w:tc>
        <w:tc>
          <w:tcPr>
            <w:tcW w:w="738" w:type="pct"/>
            <w:shd w:val="clear" w:color="auto" w:fill="auto"/>
            <w:vAlign w:val="center"/>
          </w:tcPr>
          <w:p w14:paraId="4E294C85" w14:textId="11FA9B40" w:rsidR="00620681" w:rsidRPr="00A059D0" w:rsidRDefault="00EA5567"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73</w:t>
            </w:r>
            <w:r w:rsidR="00827D40">
              <w:rPr>
                <w:rFonts w:ascii="Arial Narrow" w:hAnsi="Arial Narrow"/>
                <w:snapToGrid w:val="0"/>
                <w:sz w:val="20"/>
                <w:lang w:eastAsia="en-US"/>
              </w:rPr>
              <w:t>%</w:t>
            </w:r>
          </w:p>
        </w:tc>
        <w:tc>
          <w:tcPr>
            <w:tcW w:w="739" w:type="pct"/>
            <w:vAlign w:val="center"/>
          </w:tcPr>
          <w:p w14:paraId="21695A91" w14:textId="0AF70926"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41</w:t>
            </w:r>
            <w:r w:rsidR="00827D40">
              <w:rPr>
                <w:rFonts w:ascii="Arial Narrow" w:hAnsi="Arial Narrow"/>
                <w:snapToGrid w:val="0"/>
                <w:sz w:val="20"/>
                <w:lang w:eastAsia="en-US"/>
              </w:rPr>
              <w:t>%</w:t>
            </w:r>
          </w:p>
        </w:tc>
        <w:tc>
          <w:tcPr>
            <w:tcW w:w="739" w:type="pct"/>
            <w:vAlign w:val="center"/>
          </w:tcPr>
          <w:p w14:paraId="61C434C1" w14:textId="05A85A6A"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30</w:t>
            </w:r>
            <w:r w:rsidR="00827D40">
              <w:rPr>
                <w:rFonts w:ascii="Arial Narrow" w:hAnsi="Arial Narrow"/>
                <w:snapToGrid w:val="0"/>
                <w:sz w:val="20"/>
                <w:lang w:eastAsia="en-US"/>
              </w:rPr>
              <w:t>%</w:t>
            </w:r>
          </w:p>
        </w:tc>
        <w:tc>
          <w:tcPr>
            <w:tcW w:w="739" w:type="pct"/>
            <w:vAlign w:val="center"/>
          </w:tcPr>
          <w:p w14:paraId="3F28C647"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NR</w:t>
            </w:r>
          </w:p>
        </w:tc>
      </w:tr>
      <w:tr w:rsidR="00620681" w:rsidRPr="00A059D0" w14:paraId="0B703B70" w14:textId="77777777" w:rsidTr="00FC0C05">
        <w:tc>
          <w:tcPr>
            <w:tcW w:w="700" w:type="pct"/>
            <w:shd w:val="clear" w:color="auto" w:fill="auto"/>
            <w:vAlign w:val="bottom"/>
          </w:tcPr>
          <w:p w14:paraId="573F7C1F"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Lu et al (2015)</w:t>
            </w:r>
          </w:p>
        </w:tc>
        <w:tc>
          <w:tcPr>
            <w:tcW w:w="486" w:type="pct"/>
            <w:shd w:val="clear" w:color="auto" w:fill="auto"/>
            <w:vAlign w:val="center"/>
          </w:tcPr>
          <w:p w14:paraId="39899A03" w14:textId="77777777" w:rsidR="00100A42"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67 </w:t>
            </w:r>
          </w:p>
          <w:p w14:paraId="6EE63C61"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(115)</w:t>
            </w:r>
          </w:p>
        </w:tc>
        <w:tc>
          <w:tcPr>
            <w:tcW w:w="859" w:type="pct"/>
            <w:shd w:val="clear" w:color="auto" w:fill="auto"/>
            <w:vAlign w:val="center"/>
          </w:tcPr>
          <w:p w14:paraId="11A74688" w14:textId="77777777" w:rsidR="00407221"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24 months</w:t>
            </w:r>
          </w:p>
          <w:p w14:paraId="59499B75" w14:textId="32BC42C6" w:rsidR="00620681" w:rsidRPr="00A059D0"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w:t>
            </w:r>
            <w:r w:rsidR="00407221">
              <w:rPr>
                <w:rFonts w:ascii="Arial Narrow" w:hAnsi="Arial Narrow"/>
                <w:sz w:val="20"/>
                <w:lang w:eastAsia="en-US"/>
              </w:rPr>
              <w:t xml:space="preserve">95% CI </w:t>
            </w:r>
            <w:r w:rsidRPr="00A059D0">
              <w:rPr>
                <w:rFonts w:ascii="Arial Narrow" w:hAnsi="Arial Narrow"/>
                <w:sz w:val="20"/>
                <w:lang w:eastAsia="en-US"/>
              </w:rPr>
              <w:t>8.2</w:t>
            </w:r>
            <w:r w:rsidR="007E3D66">
              <w:rPr>
                <w:rFonts w:ascii="Arial Narrow" w:hAnsi="Arial Narrow"/>
                <w:sz w:val="20"/>
                <w:lang w:eastAsia="en-US"/>
              </w:rPr>
              <w:t>–</w:t>
            </w:r>
            <w:r w:rsidRPr="00A059D0">
              <w:rPr>
                <w:rFonts w:ascii="Arial Narrow" w:hAnsi="Arial Narrow"/>
                <w:sz w:val="20"/>
                <w:lang w:eastAsia="en-US"/>
              </w:rPr>
              <w:t>29.8)</w:t>
            </w:r>
          </w:p>
        </w:tc>
        <w:tc>
          <w:tcPr>
            <w:tcW w:w="738" w:type="pct"/>
            <w:shd w:val="clear" w:color="auto" w:fill="auto"/>
            <w:vAlign w:val="center"/>
          </w:tcPr>
          <w:p w14:paraId="77DDBF5A" w14:textId="4226A350" w:rsidR="00620681" w:rsidRPr="00A059D0" w:rsidRDefault="00EA5567"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84</w:t>
            </w:r>
            <w:r w:rsidR="00827D40">
              <w:rPr>
                <w:rFonts w:ascii="Arial Narrow" w:hAnsi="Arial Narrow"/>
                <w:snapToGrid w:val="0"/>
                <w:sz w:val="20"/>
                <w:lang w:eastAsia="en-US"/>
              </w:rPr>
              <w:t>%</w:t>
            </w:r>
          </w:p>
        </w:tc>
        <w:tc>
          <w:tcPr>
            <w:tcW w:w="739" w:type="pct"/>
            <w:vAlign w:val="center"/>
          </w:tcPr>
          <w:p w14:paraId="1102D676" w14:textId="5C9DC80C" w:rsidR="00620681" w:rsidRPr="00A059D0" w:rsidRDefault="00CB500C"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46</w:t>
            </w:r>
            <w:r w:rsidR="00D823C4">
              <w:rPr>
                <w:rFonts w:ascii="Arial Narrow" w:hAnsi="Arial Narrow"/>
                <w:snapToGrid w:val="0"/>
                <w:sz w:val="20"/>
                <w:lang w:eastAsia="en-US"/>
              </w:rPr>
              <w:t>%</w:t>
            </w:r>
          </w:p>
        </w:tc>
        <w:tc>
          <w:tcPr>
            <w:tcW w:w="739" w:type="pct"/>
            <w:vAlign w:val="center"/>
          </w:tcPr>
          <w:p w14:paraId="34EA1C99" w14:textId="5CF91094" w:rsidR="00620681" w:rsidRPr="00A059D0" w:rsidRDefault="00CB500C"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14</w:t>
            </w:r>
            <w:r w:rsidR="00D823C4">
              <w:rPr>
                <w:rFonts w:ascii="Arial Narrow" w:hAnsi="Arial Narrow"/>
                <w:snapToGrid w:val="0"/>
                <w:sz w:val="20"/>
                <w:lang w:eastAsia="en-US"/>
              </w:rPr>
              <w:t>%</w:t>
            </w:r>
          </w:p>
        </w:tc>
        <w:tc>
          <w:tcPr>
            <w:tcW w:w="739" w:type="pct"/>
            <w:vAlign w:val="center"/>
          </w:tcPr>
          <w:p w14:paraId="1457E81C"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NR</w:t>
            </w:r>
          </w:p>
        </w:tc>
      </w:tr>
      <w:tr w:rsidR="00620681" w:rsidRPr="00A059D0" w14:paraId="4F6F639F" w14:textId="77777777" w:rsidTr="00FC0C05">
        <w:tc>
          <w:tcPr>
            <w:tcW w:w="700" w:type="pct"/>
            <w:shd w:val="clear" w:color="auto" w:fill="auto"/>
            <w:vAlign w:val="bottom"/>
          </w:tcPr>
          <w:p w14:paraId="6BA4F32E"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Lu et al (2015b)</w:t>
            </w:r>
          </w:p>
        </w:tc>
        <w:tc>
          <w:tcPr>
            <w:tcW w:w="486" w:type="pct"/>
            <w:shd w:val="clear" w:color="auto" w:fill="auto"/>
            <w:vAlign w:val="center"/>
          </w:tcPr>
          <w:p w14:paraId="32120E18" w14:textId="77777777" w:rsidR="00100A42"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35 </w:t>
            </w:r>
          </w:p>
          <w:p w14:paraId="79B37539"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(67)</w:t>
            </w:r>
          </w:p>
        </w:tc>
        <w:tc>
          <w:tcPr>
            <w:tcW w:w="859" w:type="pct"/>
            <w:shd w:val="clear" w:color="auto" w:fill="auto"/>
            <w:vAlign w:val="center"/>
          </w:tcPr>
          <w:p w14:paraId="74A508FC" w14:textId="77777777" w:rsidR="00407221"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33 months</w:t>
            </w:r>
          </w:p>
          <w:p w14:paraId="7A56A05B" w14:textId="59E47A3D" w:rsidR="00620681" w:rsidRPr="00A059D0"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w:t>
            </w:r>
            <w:r w:rsidR="00407221">
              <w:rPr>
                <w:rFonts w:ascii="Arial Narrow" w:hAnsi="Arial Narrow"/>
                <w:sz w:val="20"/>
                <w:lang w:eastAsia="en-US"/>
              </w:rPr>
              <w:t xml:space="preserve">95% CI </w:t>
            </w:r>
            <w:r w:rsidRPr="00A059D0">
              <w:rPr>
                <w:rFonts w:ascii="Arial Narrow" w:hAnsi="Arial Narrow"/>
                <w:sz w:val="20"/>
                <w:lang w:eastAsia="en-US"/>
              </w:rPr>
              <w:t xml:space="preserve">21.6 </w:t>
            </w:r>
            <w:r w:rsidR="007E3D66">
              <w:rPr>
                <w:rFonts w:ascii="Arial Narrow" w:hAnsi="Arial Narrow"/>
                <w:sz w:val="20"/>
                <w:lang w:eastAsia="en-US"/>
              </w:rPr>
              <w:t>–</w:t>
            </w:r>
            <w:r w:rsidRPr="00A059D0">
              <w:rPr>
                <w:rFonts w:ascii="Arial Narrow" w:hAnsi="Arial Narrow"/>
                <w:sz w:val="20"/>
                <w:lang w:eastAsia="en-US"/>
              </w:rPr>
              <w:t xml:space="preserve"> 44.4)</w:t>
            </w:r>
          </w:p>
        </w:tc>
        <w:tc>
          <w:tcPr>
            <w:tcW w:w="738" w:type="pct"/>
            <w:shd w:val="clear" w:color="auto" w:fill="auto"/>
            <w:vAlign w:val="center"/>
          </w:tcPr>
          <w:p w14:paraId="6852CA27" w14:textId="5F5409DB" w:rsidR="00620681" w:rsidRPr="00A059D0" w:rsidRDefault="00EA5567"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89</w:t>
            </w:r>
            <w:r w:rsidR="00827D40">
              <w:rPr>
                <w:rFonts w:ascii="Arial Narrow" w:hAnsi="Arial Narrow"/>
                <w:snapToGrid w:val="0"/>
                <w:sz w:val="20"/>
                <w:lang w:eastAsia="en-US"/>
              </w:rPr>
              <w:t>%</w:t>
            </w:r>
          </w:p>
        </w:tc>
        <w:tc>
          <w:tcPr>
            <w:tcW w:w="739" w:type="pct"/>
            <w:vAlign w:val="center"/>
          </w:tcPr>
          <w:p w14:paraId="4B222730" w14:textId="2C105757" w:rsidR="00620681" w:rsidRPr="00A059D0" w:rsidRDefault="00CB500C"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59</w:t>
            </w:r>
            <w:r w:rsidR="00D823C4">
              <w:rPr>
                <w:rFonts w:ascii="Arial Narrow" w:hAnsi="Arial Narrow"/>
                <w:snapToGrid w:val="0"/>
                <w:sz w:val="20"/>
                <w:lang w:eastAsia="en-US"/>
              </w:rPr>
              <w:t>%</w:t>
            </w:r>
          </w:p>
        </w:tc>
        <w:tc>
          <w:tcPr>
            <w:tcW w:w="739" w:type="pct"/>
            <w:vAlign w:val="center"/>
          </w:tcPr>
          <w:p w14:paraId="7846414A" w14:textId="09F37C6D" w:rsidR="00620681" w:rsidRPr="00A059D0" w:rsidRDefault="00CB500C"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43</w:t>
            </w:r>
            <w:r w:rsidR="00D823C4">
              <w:rPr>
                <w:rFonts w:ascii="Arial Narrow" w:hAnsi="Arial Narrow"/>
                <w:snapToGrid w:val="0"/>
                <w:sz w:val="20"/>
                <w:lang w:eastAsia="en-US"/>
              </w:rPr>
              <w:t>%</w:t>
            </w:r>
          </w:p>
        </w:tc>
        <w:tc>
          <w:tcPr>
            <w:tcW w:w="739" w:type="pct"/>
            <w:vAlign w:val="center"/>
          </w:tcPr>
          <w:p w14:paraId="3A43A074"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NR</w:t>
            </w:r>
          </w:p>
        </w:tc>
      </w:tr>
      <w:tr w:rsidR="00620681" w:rsidRPr="00A059D0" w14:paraId="23FE5C52" w14:textId="77777777" w:rsidTr="005B6168">
        <w:tc>
          <w:tcPr>
            <w:tcW w:w="700" w:type="pct"/>
            <w:shd w:val="clear" w:color="auto" w:fill="auto"/>
            <w:vAlign w:val="center"/>
          </w:tcPr>
          <w:p w14:paraId="7F4DB0A9"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Matsui et al (2015)</w:t>
            </w:r>
          </w:p>
        </w:tc>
        <w:tc>
          <w:tcPr>
            <w:tcW w:w="486" w:type="pct"/>
            <w:shd w:val="clear" w:color="auto" w:fill="auto"/>
            <w:vAlign w:val="center"/>
          </w:tcPr>
          <w:p w14:paraId="627F44CB" w14:textId="77777777" w:rsidR="00100A42"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84 </w:t>
            </w:r>
          </w:p>
          <w:p w14:paraId="477F1442"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(172)</w:t>
            </w:r>
          </w:p>
        </w:tc>
        <w:tc>
          <w:tcPr>
            <w:tcW w:w="859" w:type="pct"/>
            <w:shd w:val="clear" w:color="auto" w:fill="auto"/>
            <w:vAlign w:val="center"/>
          </w:tcPr>
          <w:p w14:paraId="7139131F" w14:textId="77777777" w:rsidR="00620681" w:rsidRPr="00A059D0"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67.0 months</w:t>
            </w:r>
          </w:p>
        </w:tc>
        <w:tc>
          <w:tcPr>
            <w:tcW w:w="738" w:type="pct"/>
            <w:shd w:val="clear" w:color="auto" w:fill="auto"/>
            <w:vAlign w:val="center"/>
          </w:tcPr>
          <w:p w14:paraId="359F82B9" w14:textId="360AEF93" w:rsidR="007F2B70" w:rsidRDefault="00CB500C"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95</w:t>
            </w:r>
            <w:r w:rsidR="00827D40">
              <w:rPr>
                <w:rFonts w:ascii="Arial Narrow" w:hAnsi="Arial Narrow"/>
                <w:snapToGrid w:val="0"/>
                <w:sz w:val="20"/>
                <w:lang w:eastAsia="en-US"/>
              </w:rPr>
              <w:t>%</w:t>
            </w:r>
          </w:p>
          <w:p w14:paraId="4366D3CA" w14:textId="7E22A272"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w:t>
            </w:r>
            <w:r w:rsidR="00EA5567">
              <w:rPr>
                <w:rFonts w:ascii="Arial Narrow" w:hAnsi="Arial Narrow"/>
                <w:snapToGrid w:val="0"/>
                <w:sz w:val="20"/>
                <w:lang w:eastAsia="en-US"/>
              </w:rPr>
              <w:t>91</w:t>
            </w:r>
            <w:r w:rsidR="007E3D66">
              <w:rPr>
                <w:rFonts w:ascii="Arial Narrow" w:hAnsi="Arial Narrow"/>
                <w:snapToGrid w:val="0"/>
                <w:sz w:val="20"/>
                <w:lang w:eastAsia="en-US"/>
              </w:rPr>
              <w:t>–</w:t>
            </w:r>
            <w:r w:rsidR="00EA5567">
              <w:rPr>
                <w:rFonts w:ascii="Arial Narrow" w:hAnsi="Arial Narrow"/>
                <w:snapToGrid w:val="0"/>
                <w:sz w:val="20"/>
                <w:lang w:eastAsia="en-US"/>
              </w:rPr>
              <w:t>100</w:t>
            </w:r>
            <w:r w:rsidR="00827D40">
              <w:rPr>
                <w:rFonts w:ascii="Arial Narrow" w:hAnsi="Arial Narrow"/>
                <w:snapToGrid w:val="0"/>
                <w:sz w:val="20"/>
                <w:lang w:eastAsia="en-US"/>
              </w:rPr>
              <w:t>%</w:t>
            </w:r>
            <w:r w:rsidRPr="00A059D0">
              <w:rPr>
                <w:rFonts w:ascii="Arial Narrow" w:hAnsi="Arial Narrow"/>
                <w:snapToGrid w:val="0"/>
                <w:sz w:val="20"/>
                <w:lang w:eastAsia="en-US"/>
              </w:rPr>
              <w:t>)</w:t>
            </w:r>
          </w:p>
        </w:tc>
        <w:tc>
          <w:tcPr>
            <w:tcW w:w="739" w:type="pct"/>
            <w:vAlign w:val="center"/>
          </w:tcPr>
          <w:p w14:paraId="5AD7CB64"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NR</w:t>
            </w:r>
          </w:p>
        </w:tc>
        <w:tc>
          <w:tcPr>
            <w:tcW w:w="739" w:type="pct"/>
            <w:vAlign w:val="center"/>
          </w:tcPr>
          <w:p w14:paraId="23A2A175" w14:textId="7BA541D1" w:rsidR="007F2B7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65 </w:t>
            </w:r>
            <w:r w:rsidR="00827D40">
              <w:rPr>
                <w:rFonts w:ascii="Arial Narrow" w:hAnsi="Arial Narrow"/>
                <w:snapToGrid w:val="0"/>
                <w:sz w:val="20"/>
                <w:lang w:eastAsia="en-US"/>
              </w:rPr>
              <w:t>%</w:t>
            </w:r>
          </w:p>
          <w:p w14:paraId="3118CF16" w14:textId="62DEEA75" w:rsidR="00620681" w:rsidRPr="00A059D0" w:rsidRDefault="00FC0C05"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w:t>
            </w:r>
            <w:r w:rsidR="00620681" w:rsidRPr="00A059D0">
              <w:rPr>
                <w:rFonts w:ascii="Arial Narrow" w:hAnsi="Arial Narrow"/>
                <w:snapToGrid w:val="0"/>
                <w:sz w:val="20"/>
                <w:lang w:eastAsia="en-US"/>
              </w:rPr>
              <w:t>54</w:t>
            </w:r>
            <w:r w:rsidR="007E3D66">
              <w:rPr>
                <w:rFonts w:ascii="Arial Narrow" w:hAnsi="Arial Narrow"/>
                <w:snapToGrid w:val="0"/>
                <w:sz w:val="20"/>
                <w:lang w:eastAsia="en-US"/>
              </w:rPr>
              <w:t>–</w:t>
            </w:r>
            <w:r w:rsidR="00620681" w:rsidRPr="00A059D0">
              <w:rPr>
                <w:rFonts w:ascii="Arial Narrow" w:hAnsi="Arial Narrow"/>
                <w:snapToGrid w:val="0"/>
                <w:sz w:val="20"/>
                <w:lang w:eastAsia="en-US"/>
              </w:rPr>
              <w:t>76</w:t>
            </w:r>
            <w:r w:rsidR="00827D40">
              <w:rPr>
                <w:rFonts w:ascii="Arial Narrow" w:hAnsi="Arial Narrow"/>
                <w:snapToGrid w:val="0"/>
                <w:sz w:val="20"/>
                <w:lang w:eastAsia="en-US"/>
              </w:rPr>
              <w:t>%</w:t>
            </w:r>
            <w:r w:rsidR="00620681" w:rsidRPr="00A059D0">
              <w:rPr>
                <w:rFonts w:ascii="Arial Narrow" w:hAnsi="Arial Narrow"/>
                <w:snapToGrid w:val="0"/>
                <w:sz w:val="20"/>
                <w:lang w:eastAsia="en-US"/>
              </w:rPr>
              <w:t>)</w:t>
            </w:r>
          </w:p>
        </w:tc>
        <w:tc>
          <w:tcPr>
            <w:tcW w:w="739" w:type="pct"/>
            <w:vAlign w:val="center"/>
          </w:tcPr>
          <w:p w14:paraId="1FCD40B5" w14:textId="0DDAFC2B" w:rsidR="007F2B70" w:rsidRDefault="00CB500C"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52</w:t>
            </w:r>
            <w:r w:rsidR="00827D40">
              <w:rPr>
                <w:rFonts w:ascii="Arial Narrow" w:hAnsi="Arial Narrow"/>
                <w:snapToGrid w:val="0"/>
                <w:sz w:val="20"/>
                <w:lang w:eastAsia="en-US"/>
              </w:rPr>
              <w:t>%</w:t>
            </w:r>
          </w:p>
          <w:p w14:paraId="20381EB2" w14:textId="4390DD75" w:rsidR="00620681" w:rsidRPr="00A059D0" w:rsidRDefault="00FC0C05"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w:t>
            </w:r>
            <w:r w:rsidR="00CB500C">
              <w:rPr>
                <w:rFonts w:ascii="Arial Narrow" w:hAnsi="Arial Narrow"/>
                <w:snapToGrid w:val="0"/>
                <w:sz w:val="20"/>
                <w:lang w:eastAsia="en-US"/>
              </w:rPr>
              <w:t>40</w:t>
            </w:r>
            <w:r w:rsidR="007E3D66">
              <w:rPr>
                <w:rFonts w:ascii="Arial Narrow" w:hAnsi="Arial Narrow"/>
                <w:snapToGrid w:val="0"/>
                <w:sz w:val="20"/>
                <w:lang w:eastAsia="en-US"/>
              </w:rPr>
              <w:t>–</w:t>
            </w:r>
            <w:r w:rsidR="00620681" w:rsidRPr="00A059D0">
              <w:rPr>
                <w:rFonts w:ascii="Arial Narrow" w:hAnsi="Arial Narrow"/>
                <w:snapToGrid w:val="0"/>
                <w:sz w:val="20"/>
                <w:lang w:eastAsia="en-US"/>
              </w:rPr>
              <w:t>6</w:t>
            </w:r>
            <w:r w:rsidR="00CB500C">
              <w:rPr>
                <w:rFonts w:ascii="Arial Narrow" w:hAnsi="Arial Narrow"/>
                <w:snapToGrid w:val="0"/>
                <w:sz w:val="20"/>
                <w:lang w:eastAsia="en-US"/>
              </w:rPr>
              <w:t>4</w:t>
            </w:r>
            <w:r w:rsidR="00827D40">
              <w:rPr>
                <w:rFonts w:ascii="Arial Narrow" w:hAnsi="Arial Narrow"/>
                <w:snapToGrid w:val="0"/>
                <w:sz w:val="20"/>
                <w:lang w:eastAsia="en-US"/>
              </w:rPr>
              <w:t>%</w:t>
            </w:r>
            <w:r w:rsidR="00620681" w:rsidRPr="00A059D0">
              <w:rPr>
                <w:rFonts w:ascii="Arial Narrow" w:hAnsi="Arial Narrow"/>
                <w:snapToGrid w:val="0"/>
                <w:sz w:val="20"/>
                <w:lang w:eastAsia="en-US"/>
              </w:rPr>
              <w:t>)</w:t>
            </w:r>
          </w:p>
        </w:tc>
      </w:tr>
      <w:tr w:rsidR="00620681" w:rsidRPr="00A059D0" w14:paraId="341EAD54" w14:textId="77777777" w:rsidTr="00FC0C05">
        <w:tc>
          <w:tcPr>
            <w:tcW w:w="700" w:type="pct"/>
            <w:shd w:val="clear" w:color="auto" w:fill="auto"/>
            <w:vAlign w:val="bottom"/>
          </w:tcPr>
          <w:p w14:paraId="70287E78"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Von Meyenfeldt et al (2011)</w:t>
            </w:r>
          </w:p>
        </w:tc>
        <w:tc>
          <w:tcPr>
            <w:tcW w:w="486" w:type="pct"/>
            <w:shd w:val="clear" w:color="auto" w:fill="auto"/>
            <w:vAlign w:val="center"/>
          </w:tcPr>
          <w:p w14:paraId="5C88A2C6" w14:textId="77777777" w:rsidR="00100A42"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46 </w:t>
            </w:r>
          </w:p>
          <w:p w14:paraId="00D97667"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(90)</w:t>
            </w:r>
          </w:p>
        </w:tc>
        <w:tc>
          <w:tcPr>
            <w:tcW w:w="859" w:type="pct"/>
            <w:shd w:val="clear" w:color="auto" w:fill="auto"/>
            <w:vAlign w:val="center"/>
          </w:tcPr>
          <w:p w14:paraId="319FF32F" w14:textId="77777777" w:rsidR="00407221"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55 months</w:t>
            </w:r>
          </w:p>
          <w:p w14:paraId="60411A88" w14:textId="5A03873C" w:rsidR="00620681" w:rsidRPr="00A059D0"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w:t>
            </w:r>
            <w:r w:rsidR="00407221">
              <w:rPr>
                <w:rFonts w:ascii="Arial Narrow" w:hAnsi="Arial Narrow"/>
                <w:sz w:val="20"/>
                <w:lang w:eastAsia="en-US"/>
              </w:rPr>
              <w:t xml:space="preserve">95% CI </w:t>
            </w:r>
            <w:r w:rsidRPr="00A059D0">
              <w:rPr>
                <w:rFonts w:ascii="Arial Narrow" w:hAnsi="Arial Narrow"/>
                <w:sz w:val="20"/>
                <w:lang w:eastAsia="en-US"/>
              </w:rPr>
              <w:t>26</w:t>
            </w:r>
            <w:r w:rsidR="007E3D66">
              <w:rPr>
                <w:rFonts w:ascii="Arial Narrow" w:hAnsi="Arial Narrow"/>
                <w:sz w:val="20"/>
                <w:lang w:eastAsia="en-US"/>
              </w:rPr>
              <w:t>–</w:t>
            </w:r>
            <w:r w:rsidRPr="00A059D0">
              <w:rPr>
                <w:rFonts w:ascii="Arial Narrow" w:hAnsi="Arial Narrow"/>
                <w:sz w:val="20"/>
                <w:lang w:eastAsia="en-US"/>
              </w:rPr>
              <w:t>84)</w:t>
            </w:r>
          </w:p>
        </w:tc>
        <w:tc>
          <w:tcPr>
            <w:tcW w:w="738" w:type="pct"/>
            <w:shd w:val="clear" w:color="auto" w:fill="auto"/>
            <w:vAlign w:val="center"/>
          </w:tcPr>
          <w:p w14:paraId="3CA3AB2F" w14:textId="74FA0E29" w:rsidR="00620681" w:rsidRPr="00955809" w:rsidRDefault="00620681" w:rsidP="00A97CDB">
            <w:pPr>
              <w:keepNext/>
              <w:spacing w:before="40" w:after="40" w:line="288" w:lineRule="auto"/>
              <w:jc w:val="center"/>
              <w:rPr>
                <w:rFonts w:ascii="Arial Narrow" w:hAnsi="Arial Narrow"/>
                <w:snapToGrid w:val="0"/>
                <w:sz w:val="20"/>
                <w:lang w:eastAsia="en-US"/>
              </w:rPr>
            </w:pPr>
            <w:r w:rsidRPr="00955809">
              <w:rPr>
                <w:rFonts w:ascii="Arial Narrow" w:hAnsi="Arial Narrow"/>
                <w:snapToGrid w:val="0"/>
                <w:sz w:val="20"/>
                <w:lang w:eastAsia="en-US"/>
              </w:rPr>
              <w:t>84</w:t>
            </w:r>
            <w:r w:rsidR="00827D40">
              <w:rPr>
                <w:rFonts w:ascii="Arial Narrow" w:hAnsi="Arial Narrow"/>
                <w:snapToGrid w:val="0"/>
                <w:sz w:val="20"/>
                <w:lang w:eastAsia="en-US"/>
              </w:rPr>
              <w:t>%</w:t>
            </w:r>
          </w:p>
        </w:tc>
        <w:tc>
          <w:tcPr>
            <w:tcW w:w="739" w:type="pct"/>
            <w:vAlign w:val="center"/>
          </w:tcPr>
          <w:p w14:paraId="6DEB0F13" w14:textId="77777777" w:rsidR="00620681" w:rsidRPr="00955809" w:rsidRDefault="00620681" w:rsidP="00A97CDB">
            <w:pPr>
              <w:keepNext/>
              <w:spacing w:before="40" w:after="40" w:line="288" w:lineRule="auto"/>
              <w:jc w:val="center"/>
              <w:rPr>
                <w:rFonts w:ascii="Arial Narrow" w:hAnsi="Arial Narrow"/>
                <w:snapToGrid w:val="0"/>
                <w:sz w:val="20"/>
                <w:lang w:eastAsia="en-US"/>
              </w:rPr>
            </w:pPr>
            <w:r w:rsidRPr="00955809">
              <w:rPr>
                <w:rFonts w:ascii="Arial Narrow" w:hAnsi="Arial Narrow"/>
                <w:snapToGrid w:val="0"/>
                <w:sz w:val="20"/>
                <w:lang w:eastAsia="en-US"/>
              </w:rPr>
              <w:t>NR</w:t>
            </w:r>
          </w:p>
        </w:tc>
        <w:tc>
          <w:tcPr>
            <w:tcW w:w="739" w:type="pct"/>
            <w:vAlign w:val="center"/>
          </w:tcPr>
          <w:p w14:paraId="6DAE4668" w14:textId="27978A66" w:rsidR="00620681" w:rsidRPr="00955809" w:rsidRDefault="00620681" w:rsidP="00A97CDB">
            <w:pPr>
              <w:keepNext/>
              <w:spacing w:before="40" w:after="40" w:line="288" w:lineRule="auto"/>
              <w:jc w:val="center"/>
              <w:rPr>
                <w:rFonts w:ascii="Arial Narrow" w:hAnsi="Arial Narrow"/>
                <w:snapToGrid w:val="0"/>
                <w:sz w:val="20"/>
                <w:lang w:eastAsia="en-US"/>
              </w:rPr>
            </w:pPr>
            <w:r w:rsidRPr="00955809">
              <w:rPr>
                <w:rFonts w:ascii="Arial Narrow" w:hAnsi="Arial Narrow"/>
                <w:snapToGrid w:val="0"/>
                <w:sz w:val="20"/>
                <w:lang w:eastAsia="en-US"/>
              </w:rPr>
              <w:t>69</w:t>
            </w:r>
            <w:r w:rsidR="00827D40">
              <w:rPr>
                <w:rFonts w:ascii="Arial Narrow" w:hAnsi="Arial Narrow"/>
                <w:snapToGrid w:val="0"/>
                <w:sz w:val="20"/>
                <w:lang w:eastAsia="en-US"/>
              </w:rPr>
              <w:t>%</w:t>
            </w:r>
          </w:p>
        </w:tc>
        <w:tc>
          <w:tcPr>
            <w:tcW w:w="739" w:type="pct"/>
            <w:vAlign w:val="center"/>
          </w:tcPr>
          <w:p w14:paraId="51D00362" w14:textId="77777777" w:rsidR="00620681" w:rsidRPr="00955809" w:rsidRDefault="00620681" w:rsidP="00A97CDB">
            <w:pPr>
              <w:keepNext/>
              <w:spacing w:before="40" w:after="40" w:line="288" w:lineRule="auto"/>
              <w:jc w:val="center"/>
              <w:rPr>
                <w:rFonts w:ascii="Arial Narrow" w:hAnsi="Arial Narrow"/>
                <w:snapToGrid w:val="0"/>
                <w:sz w:val="20"/>
                <w:lang w:eastAsia="en-US"/>
              </w:rPr>
            </w:pPr>
            <w:r w:rsidRPr="00955809">
              <w:rPr>
                <w:rFonts w:ascii="Arial Narrow" w:hAnsi="Arial Narrow"/>
                <w:snapToGrid w:val="0"/>
                <w:sz w:val="20"/>
                <w:lang w:eastAsia="en-US"/>
              </w:rPr>
              <w:t>NR</w:t>
            </w:r>
          </w:p>
        </w:tc>
      </w:tr>
      <w:tr w:rsidR="00620681" w:rsidRPr="00A059D0" w14:paraId="33627972" w14:textId="77777777" w:rsidTr="00FC0C05">
        <w:tc>
          <w:tcPr>
            <w:tcW w:w="700" w:type="pct"/>
            <w:shd w:val="clear" w:color="auto" w:fill="auto"/>
            <w:vAlign w:val="bottom"/>
          </w:tcPr>
          <w:p w14:paraId="17EC4A7B"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Yan et al (2006)</w:t>
            </w:r>
          </w:p>
        </w:tc>
        <w:tc>
          <w:tcPr>
            <w:tcW w:w="486" w:type="pct"/>
            <w:tcBorders>
              <w:bottom w:val="single" w:sz="4" w:space="0" w:color="auto"/>
            </w:tcBorders>
            <w:shd w:val="clear" w:color="auto" w:fill="auto"/>
            <w:vAlign w:val="center"/>
          </w:tcPr>
          <w:p w14:paraId="5EF217CA" w14:textId="77777777" w:rsidR="00100A42"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 xml:space="preserve">55 </w:t>
            </w:r>
          </w:p>
          <w:p w14:paraId="088788B0"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(NR)</w:t>
            </w:r>
          </w:p>
        </w:tc>
        <w:tc>
          <w:tcPr>
            <w:tcW w:w="859" w:type="pct"/>
            <w:tcBorders>
              <w:bottom w:val="single" w:sz="4" w:space="0" w:color="auto"/>
            </w:tcBorders>
            <w:shd w:val="clear" w:color="auto" w:fill="auto"/>
            <w:vAlign w:val="center"/>
          </w:tcPr>
          <w:p w14:paraId="5293756B" w14:textId="77777777" w:rsidR="00407221" w:rsidRDefault="00620681" w:rsidP="00A97CDB">
            <w:pPr>
              <w:keepNext/>
              <w:spacing w:before="40" w:after="40" w:line="288" w:lineRule="auto"/>
              <w:jc w:val="center"/>
              <w:rPr>
                <w:rFonts w:ascii="Arial Narrow" w:hAnsi="Arial Narrow"/>
                <w:sz w:val="20"/>
                <w:lang w:eastAsia="en-US"/>
              </w:rPr>
            </w:pPr>
            <w:r w:rsidRPr="00A059D0">
              <w:rPr>
                <w:rFonts w:ascii="Arial Narrow" w:hAnsi="Arial Narrow"/>
                <w:sz w:val="20"/>
                <w:lang w:eastAsia="en-US"/>
              </w:rPr>
              <w:t>33 months</w:t>
            </w:r>
          </w:p>
          <w:p w14:paraId="7E0C6D86" w14:textId="331D59FB" w:rsidR="00620681" w:rsidRPr="00A059D0" w:rsidRDefault="00407221" w:rsidP="00A97CDB">
            <w:pPr>
              <w:keepNext/>
              <w:spacing w:before="40" w:after="40" w:line="288" w:lineRule="auto"/>
              <w:jc w:val="center"/>
              <w:rPr>
                <w:rFonts w:ascii="Arial Narrow" w:hAnsi="Arial Narrow"/>
                <w:sz w:val="20"/>
                <w:lang w:eastAsia="en-US"/>
              </w:rPr>
            </w:pPr>
            <w:r>
              <w:rPr>
                <w:rFonts w:ascii="Arial Narrow" w:hAnsi="Arial Narrow"/>
                <w:sz w:val="20"/>
                <w:lang w:eastAsia="en-US"/>
              </w:rPr>
              <w:t>(range</w:t>
            </w:r>
            <w:r w:rsidR="00620681" w:rsidRPr="00A059D0">
              <w:rPr>
                <w:rFonts w:ascii="Arial Narrow" w:hAnsi="Arial Narrow"/>
                <w:sz w:val="20"/>
                <w:lang w:eastAsia="en-US"/>
              </w:rPr>
              <w:t xml:space="preserve"> 4</w:t>
            </w:r>
            <w:r w:rsidR="007E3D66">
              <w:rPr>
                <w:rFonts w:ascii="Arial Narrow" w:hAnsi="Arial Narrow"/>
                <w:sz w:val="20"/>
                <w:lang w:eastAsia="en-US"/>
              </w:rPr>
              <w:t>–</w:t>
            </w:r>
            <w:r w:rsidR="00620681" w:rsidRPr="00A059D0">
              <w:rPr>
                <w:rFonts w:ascii="Arial Narrow" w:hAnsi="Arial Narrow"/>
                <w:sz w:val="20"/>
                <w:lang w:eastAsia="en-US"/>
              </w:rPr>
              <w:t>40)</w:t>
            </w:r>
          </w:p>
        </w:tc>
        <w:tc>
          <w:tcPr>
            <w:tcW w:w="738" w:type="pct"/>
            <w:tcBorders>
              <w:bottom w:val="single" w:sz="4" w:space="0" w:color="auto"/>
            </w:tcBorders>
            <w:shd w:val="clear" w:color="auto" w:fill="auto"/>
            <w:vAlign w:val="center"/>
          </w:tcPr>
          <w:p w14:paraId="3DD29DD9" w14:textId="37FE2B5D"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85</w:t>
            </w:r>
            <w:r w:rsidR="00827D40">
              <w:rPr>
                <w:rFonts w:ascii="Arial Narrow" w:hAnsi="Arial Narrow"/>
                <w:snapToGrid w:val="0"/>
                <w:sz w:val="20"/>
                <w:lang w:eastAsia="en-US"/>
              </w:rPr>
              <w:t>%</w:t>
            </w:r>
          </w:p>
        </w:tc>
        <w:tc>
          <w:tcPr>
            <w:tcW w:w="739" w:type="pct"/>
            <w:tcBorders>
              <w:bottom w:val="single" w:sz="4" w:space="0" w:color="auto"/>
            </w:tcBorders>
            <w:vAlign w:val="center"/>
          </w:tcPr>
          <w:p w14:paraId="53FE6486" w14:textId="2CD25AFD"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64</w:t>
            </w:r>
            <w:r w:rsidR="00827D40">
              <w:rPr>
                <w:rFonts w:ascii="Arial Narrow" w:hAnsi="Arial Narrow"/>
                <w:snapToGrid w:val="0"/>
                <w:sz w:val="20"/>
                <w:lang w:eastAsia="en-US"/>
              </w:rPr>
              <w:t>%</w:t>
            </w:r>
          </w:p>
        </w:tc>
        <w:tc>
          <w:tcPr>
            <w:tcW w:w="739" w:type="pct"/>
            <w:tcBorders>
              <w:bottom w:val="single" w:sz="4" w:space="0" w:color="auto"/>
            </w:tcBorders>
            <w:vAlign w:val="center"/>
          </w:tcPr>
          <w:p w14:paraId="61634896" w14:textId="1CF96B56"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46</w:t>
            </w:r>
            <w:r w:rsidR="00827D40">
              <w:rPr>
                <w:rFonts w:ascii="Arial Narrow" w:hAnsi="Arial Narrow"/>
                <w:snapToGrid w:val="0"/>
                <w:sz w:val="20"/>
                <w:lang w:eastAsia="en-US"/>
              </w:rPr>
              <w:t>%</w:t>
            </w:r>
          </w:p>
        </w:tc>
        <w:tc>
          <w:tcPr>
            <w:tcW w:w="739" w:type="pct"/>
            <w:tcBorders>
              <w:bottom w:val="single" w:sz="4" w:space="0" w:color="auto"/>
            </w:tcBorders>
            <w:vAlign w:val="center"/>
          </w:tcPr>
          <w:p w14:paraId="38E48F83" w14:textId="77777777" w:rsidR="00620681" w:rsidRPr="00A059D0"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NR</w:t>
            </w:r>
          </w:p>
        </w:tc>
      </w:tr>
      <w:tr w:rsidR="00620681" w:rsidRPr="00A059D0" w14:paraId="62990317" w14:textId="77777777" w:rsidTr="00FC0C05">
        <w:tc>
          <w:tcPr>
            <w:tcW w:w="700" w:type="pct"/>
            <w:shd w:val="clear" w:color="auto" w:fill="auto"/>
            <w:vAlign w:val="center"/>
          </w:tcPr>
          <w:p w14:paraId="63D9D09F" w14:textId="77777777" w:rsidR="00620681" w:rsidRPr="00A059D0" w:rsidRDefault="00620681" w:rsidP="00A97CDB">
            <w:pPr>
              <w:keepNext/>
              <w:spacing w:before="40" w:after="40" w:line="288" w:lineRule="auto"/>
              <w:jc w:val="left"/>
              <w:rPr>
                <w:rFonts w:ascii="Arial Narrow" w:hAnsi="Arial Narrow"/>
                <w:snapToGrid w:val="0"/>
                <w:sz w:val="20"/>
                <w:lang w:eastAsia="en-US"/>
              </w:rPr>
            </w:pPr>
            <w:r w:rsidRPr="00A059D0">
              <w:rPr>
                <w:rFonts w:ascii="Arial Narrow" w:hAnsi="Arial Narrow"/>
                <w:snapToGrid w:val="0"/>
                <w:sz w:val="20"/>
                <w:lang w:eastAsia="en-US"/>
              </w:rPr>
              <w:t>Pooled</w:t>
            </w:r>
          </w:p>
        </w:tc>
        <w:tc>
          <w:tcPr>
            <w:tcW w:w="486" w:type="pct"/>
            <w:tcBorders>
              <w:right w:val="nil"/>
            </w:tcBorders>
            <w:shd w:val="clear" w:color="auto" w:fill="auto"/>
          </w:tcPr>
          <w:p w14:paraId="3625452B" w14:textId="402593C8" w:rsidR="00620681" w:rsidRPr="00A059D0" w:rsidRDefault="00620681" w:rsidP="00A97CDB">
            <w:pPr>
              <w:keepNext/>
              <w:spacing w:before="40" w:after="40" w:line="288" w:lineRule="auto"/>
              <w:jc w:val="center"/>
              <w:rPr>
                <w:rFonts w:ascii="Arial Narrow" w:hAnsi="Arial Narrow"/>
                <w:snapToGrid w:val="0"/>
                <w:sz w:val="20"/>
                <w:highlight w:val="cyan"/>
                <w:lang w:eastAsia="en-US"/>
              </w:rPr>
            </w:pPr>
          </w:p>
        </w:tc>
        <w:tc>
          <w:tcPr>
            <w:tcW w:w="859" w:type="pct"/>
            <w:tcBorders>
              <w:left w:val="nil"/>
              <w:right w:val="nil"/>
            </w:tcBorders>
            <w:shd w:val="clear" w:color="auto" w:fill="auto"/>
          </w:tcPr>
          <w:p w14:paraId="4EDB618E" w14:textId="29DBE13F" w:rsidR="00620681" w:rsidRDefault="00620681" w:rsidP="00A97CDB">
            <w:pPr>
              <w:keepNext/>
              <w:spacing w:before="40" w:after="40" w:line="288" w:lineRule="auto"/>
              <w:jc w:val="center"/>
              <w:rPr>
                <w:rFonts w:ascii="Arial Narrow" w:hAnsi="Arial Narrow"/>
                <w:snapToGrid w:val="0"/>
                <w:sz w:val="20"/>
                <w:lang w:eastAsia="en-US"/>
              </w:rPr>
            </w:pPr>
            <w:r w:rsidRPr="00A059D0">
              <w:rPr>
                <w:rFonts w:ascii="Arial Narrow" w:hAnsi="Arial Narrow"/>
                <w:snapToGrid w:val="0"/>
                <w:sz w:val="20"/>
                <w:lang w:eastAsia="en-US"/>
              </w:rPr>
              <w:t>Median: 44.45 months (range: 21</w:t>
            </w:r>
            <w:r w:rsidR="007E3D66">
              <w:rPr>
                <w:rFonts w:ascii="Arial Narrow" w:hAnsi="Arial Narrow"/>
                <w:snapToGrid w:val="0"/>
                <w:sz w:val="20"/>
                <w:lang w:eastAsia="en-US"/>
              </w:rPr>
              <w:t>–</w:t>
            </w:r>
            <w:r w:rsidRPr="00A059D0">
              <w:rPr>
                <w:rFonts w:ascii="Arial Narrow" w:hAnsi="Arial Narrow"/>
                <w:snapToGrid w:val="0"/>
                <w:sz w:val="20"/>
                <w:lang w:eastAsia="en-US"/>
              </w:rPr>
              <w:t>67)</w:t>
            </w:r>
          </w:p>
          <w:p w14:paraId="513A63BF" w14:textId="77777777" w:rsidR="00620681" w:rsidRDefault="00620681" w:rsidP="00A97CDB">
            <w:pPr>
              <w:pStyle w:val="TableText0"/>
              <w:spacing w:line="288" w:lineRule="auto"/>
              <w:jc w:val="center"/>
              <w:rPr>
                <w:snapToGrid w:val="0"/>
              </w:rPr>
            </w:pPr>
            <w:r>
              <w:rPr>
                <w:snapToGrid w:val="0"/>
              </w:rPr>
              <w:t>Certainty of the evidence (GRADE)</w:t>
            </w:r>
          </w:p>
          <w:p w14:paraId="48116416" w14:textId="77777777" w:rsidR="00620681" w:rsidRDefault="00620681" w:rsidP="00A97CDB">
            <w:pPr>
              <w:pStyle w:val="TableText0"/>
              <w:spacing w:line="288" w:lineRule="auto"/>
              <w:ind w:left="16" w:right="117"/>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5E3987B1" w14:textId="77777777" w:rsidR="00620681" w:rsidRPr="00C62F37" w:rsidRDefault="00620681" w:rsidP="00A97CDB">
            <w:pPr>
              <w:pStyle w:val="TableText0"/>
              <w:spacing w:line="288" w:lineRule="auto"/>
              <w:ind w:left="16" w:right="117"/>
              <w:jc w:val="center"/>
              <w:rPr>
                <w:rFonts w:ascii="MS Mincho" w:eastAsia="MS Mincho" w:hAnsi="MS Mincho" w:cs="MS Mincho"/>
                <w:b/>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738" w:type="pct"/>
            <w:tcBorders>
              <w:left w:val="nil"/>
              <w:right w:val="nil"/>
            </w:tcBorders>
            <w:shd w:val="clear" w:color="auto" w:fill="auto"/>
          </w:tcPr>
          <w:p w14:paraId="60177A20" w14:textId="513AF08C" w:rsidR="00620681" w:rsidRPr="00A059D0" w:rsidRDefault="00620681"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 xml:space="preserve">Median </w:t>
            </w:r>
            <w:r w:rsidRPr="00A059D0">
              <w:rPr>
                <w:rFonts w:ascii="Arial Narrow" w:hAnsi="Arial Narrow"/>
                <w:snapToGrid w:val="0"/>
                <w:sz w:val="20"/>
                <w:lang w:eastAsia="en-US"/>
              </w:rPr>
              <w:t>87.8 (range: 73.4</w:t>
            </w:r>
            <w:r w:rsidR="007E3D66">
              <w:rPr>
                <w:rFonts w:ascii="Arial Narrow" w:hAnsi="Arial Narrow"/>
                <w:snapToGrid w:val="0"/>
                <w:sz w:val="20"/>
                <w:lang w:eastAsia="en-US"/>
              </w:rPr>
              <w:t>–</w:t>
            </w:r>
            <w:r w:rsidRPr="00A059D0">
              <w:rPr>
                <w:rFonts w:ascii="Arial Narrow" w:hAnsi="Arial Narrow"/>
                <w:snapToGrid w:val="0"/>
                <w:sz w:val="20"/>
                <w:lang w:eastAsia="en-US"/>
              </w:rPr>
              <w:t>100)</w:t>
            </w:r>
          </w:p>
          <w:p w14:paraId="7FB4FBE2" w14:textId="77777777" w:rsidR="00620681" w:rsidRDefault="00620681" w:rsidP="00A97CDB">
            <w:pPr>
              <w:pStyle w:val="TableText0"/>
              <w:spacing w:line="288" w:lineRule="auto"/>
              <w:jc w:val="center"/>
              <w:rPr>
                <w:snapToGrid w:val="0"/>
              </w:rPr>
            </w:pPr>
            <w:r>
              <w:rPr>
                <w:snapToGrid w:val="0"/>
              </w:rPr>
              <w:t>Certainty of the evidence (GRADE)</w:t>
            </w:r>
          </w:p>
          <w:p w14:paraId="5D2FFA45" w14:textId="77777777" w:rsidR="00620681" w:rsidRDefault="00620681" w:rsidP="00A97CDB">
            <w:pPr>
              <w:pStyle w:val="TableText0"/>
              <w:spacing w:line="288" w:lineRule="auto"/>
              <w:ind w:left="16" w:right="117"/>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14A11BEF" w14:textId="77777777" w:rsidR="00620681" w:rsidRPr="00C62F37" w:rsidRDefault="00620681" w:rsidP="00A97CDB">
            <w:pPr>
              <w:pStyle w:val="TableText0"/>
              <w:spacing w:line="288" w:lineRule="auto"/>
              <w:ind w:left="16" w:right="117"/>
              <w:jc w:val="center"/>
              <w:rPr>
                <w:rFonts w:ascii="MS Mincho" w:eastAsia="MS Mincho" w:hAnsi="MS Mincho" w:cs="MS Mincho"/>
                <w:b/>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739" w:type="pct"/>
            <w:tcBorders>
              <w:left w:val="nil"/>
              <w:right w:val="nil"/>
            </w:tcBorders>
          </w:tcPr>
          <w:p w14:paraId="03B964C3" w14:textId="558B6245" w:rsidR="00620681" w:rsidRDefault="00620681"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 xml:space="preserve">Median </w:t>
            </w:r>
            <w:r w:rsidRPr="00A059D0">
              <w:rPr>
                <w:rFonts w:ascii="Arial Narrow" w:hAnsi="Arial Narrow"/>
                <w:snapToGrid w:val="0"/>
                <w:sz w:val="20"/>
                <w:lang w:eastAsia="en-US"/>
              </w:rPr>
              <w:t>59.3 (range 41.1</w:t>
            </w:r>
            <w:r w:rsidR="007E3D66">
              <w:rPr>
                <w:rFonts w:ascii="Arial Narrow" w:hAnsi="Arial Narrow"/>
                <w:snapToGrid w:val="0"/>
                <w:sz w:val="20"/>
                <w:lang w:eastAsia="en-US"/>
              </w:rPr>
              <w:t>–</w:t>
            </w:r>
            <w:r w:rsidRPr="00A059D0">
              <w:rPr>
                <w:rFonts w:ascii="Arial Narrow" w:hAnsi="Arial Narrow"/>
                <w:snapToGrid w:val="0"/>
                <w:sz w:val="20"/>
                <w:lang w:eastAsia="en-US"/>
              </w:rPr>
              <w:t>94)</w:t>
            </w:r>
          </w:p>
          <w:p w14:paraId="7A5B4482" w14:textId="77777777" w:rsidR="00620681" w:rsidRDefault="00620681" w:rsidP="00A97CDB">
            <w:pPr>
              <w:pStyle w:val="TableText0"/>
              <w:spacing w:line="288" w:lineRule="auto"/>
              <w:jc w:val="center"/>
              <w:rPr>
                <w:snapToGrid w:val="0"/>
              </w:rPr>
            </w:pPr>
            <w:r>
              <w:rPr>
                <w:snapToGrid w:val="0"/>
              </w:rPr>
              <w:t>Certainty of the evidence (GRADE)</w:t>
            </w:r>
          </w:p>
          <w:p w14:paraId="1A602DDC" w14:textId="77777777" w:rsidR="00620681" w:rsidRDefault="00620681" w:rsidP="00A97CDB">
            <w:pPr>
              <w:pStyle w:val="TableText0"/>
              <w:spacing w:line="288" w:lineRule="auto"/>
              <w:ind w:left="16" w:right="117"/>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76CC037F" w14:textId="77777777" w:rsidR="00620681" w:rsidRPr="00C62F37" w:rsidRDefault="00620681" w:rsidP="00A97CDB">
            <w:pPr>
              <w:pStyle w:val="TableText0"/>
              <w:spacing w:line="288" w:lineRule="auto"/>
              <w:ind w:left="16" w:right="117"/>
              <w:jc w:val="center"/>
              <w:rPr>
                <w:rFonts w:ascii="MS Mincho" w:eastAsia="MS Mincho" w:hAnsi="MS Mincho" w:cs="MS Mincho"/>
                <w:b/>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739" w:type="pct"/>
            <w:tcBorders>
              <w:left w:val="nil"/>
              <w:right w:val="nil"/>
            </w:tcBorders>
          </w:tcPr>
          <w:p w14:paraId="0BAF1048" w14:textId="1329FC18" w:rsidR="00620681" w:rsidRDefault="00620681" w:rsidP="00A97CDB">
            <w:pPr>
              <w:keepNext/>
              <w:spacing w:before="40" w:after="40" w:line="288" w:lineRule="auto"/>
              <w:jc w:val="center"/>
              <w:rPr>
                <w:rFonts w:ascii="Arial Narrow" w:hAnsi="Arial Narrow"/>
                <w:snapToGrid w:val="0"/>
                <w:sz w:val="20"/>
                <w:lang w:eastAsia="en-US"/>
              </w:rPr>
            </w:pPr>
            <w:r>
              <w:rPr>
                <w:rFonts w:ascii="Arial Narrow" w:hAnsi="Arial Narrow"/>
                <w:snapToGrid w:val="0"/>
                <w:sz w:val="20"/>
                <w:lang w:eastAsia="en-US"/>
              </w:rPr>
              <w:t xml:space="preserve">Median </w:t>
            </w:r>
            <w:r w:rsidRPr="00A059D0">
              <w:rPr>
                <w:rFonts w:ascii="Arial Narrow" w:hAnsi="Arial Narrow"/>
                <w:snapToGrid w:val="0"/>
                <w:sz w:val="20"/>
                <w:lang w:eastAsia="en-US"/>
              </w:rPr>
              <w:t>53 (range: 30</w:t>
            </w:r>
            <w:r w:rsidR="007E3D66">
              <w:rPr>
                <w:rFonts w:ascii="Arial Narrow" w:hAnsi="Arial Narrow"/>
                <w:snapToGrid w:val="0"/>
                <w:sz w:val="20"/>
                <w:lang w:eastAsia="en-US"/>
              </w:rPr>
              <w:t>–</w:t>
            </w:r>
            <w:r w:rsidRPr="00A059D0">
              <w:rPr>
                <w:rFonts w:ascii="Arial Narrow" w:hAnsi="Arial Narrow"/>
                <w:snapToGrid w:val="0"/>
                <w:sz w:val="20"/>
                <w:lang w:eastAsia="en-US"/>
              </w:rPr>
              <w:t>85)</w:t>
            </w:r>
          </w:p>
          <w:p w14:paraId="5610586C" w14:textId="77777777" w:rsidR="00620681" w:rsidRDefault="00620681" w:rsidP="00A97CDB">
            <w:pPr>
              <w:pStyle w:val="TableText0"/>
              <w:spacing w:line="288" w:lineRule="auto"/>
              <w:jc w:val="center"/>
              <w:rPr>
                <w:snapToGrid w:val="0"/>
              </w:rPr>
            </w:pPr>
            <w:r>
              <w:rPr>
                <w:snapToGrid w:val="0"/>
              </w:rPr>
              <w:t>Certainty of the evidence (GRADE)</w:t>
            </w:r>
          </w:p>
          <w:p w14:paraId="4C1CFEE6" w14:textId="77777777" w:rsidR="00620681" w:rsidRDefault="00620681" w:rsidP="00A97CDB">
            <w:pPr>
              <w:pStyle w:val="TableText0"/>
              <w:spacing w:line="288" w:lineRule="auto"/>
              <w:ind w:left="16" w:right="117"/>
              <w:jc w:val="center"/>
              <w:rPr>
                <w:rFonts w:ascii="Cambria Math" w:hAnsi="Cambria Math" w:cs="Cambria Math"/>
                <w:color w:val="C00000"/>
              </w:rPr>
            </w:pPr>
            <w:r>
              <w:rPr>
                <w:rFonts w:ascii="Cambria Math" w:hAnsi="Cambria Math"/>
                <w:color w:val="00B050"/>
              </w:rPr>
              <w:t>⨁</w:t>
            </w:r>
            <w:r w:rsidRPr="00D4733A">
              <w:rPr>
                <w:rFonts w:ascii="Cambria Math" w:hAnsi="Cambria Math" w:cs="Cambria Math"/>
                <w:color w:val="C00000"/>
              </w:rPr>
              <w:t>⨀⨀⨀</w:t>
            </w:r>
          </w:p>
          <w:p w14:paraId="0F6BAB54" w14:textId="77777777" w:rsidR="00620681" w:rsidRPr="00C62F37" w:rsidRDefault="00620681" w:rsidP="00A97CDB">
            <w:pPr>
              <w:pStyle w:val="TableText0"/>
              <w:spacing w:line="288" w:lineRule="auto"/>
              <w:ind w:left="16" w:right="117"/>
              <w:jc w:val="center"/>
              <w:rPr>
                <w:rFonts w:ascii="MS Mincho" w:eastAsia="MS Mincho" w:hAnsi="MS Mincho" w:cs="MS Mincho"/>
                <w:b/>
                <w:sz w:val="21"/>
                <w:szCs w:val="21"/>
              </w:rPr>
            </w:pPr>
            <w:r w:rsidRPr="00C62F37">
              <w:rPr>
                <w:rStyle w:val="quality-sign"/>
                <w:rFonts w:eastAsia="MS Mincho" w:cs="MS Mincho"/>
                <w:sz w:val="21"/>
                <w:szCs w:val="21"/>
              </w:rPr>
              <w:t>V</w:t>
            </w:r>
            <w:r>
              <w:rPr>
                <w:rStyle w:val="quality-sign"/>
                <w:rFonts w:eastAsia="MS Mincho" w:cs="MS Mincho"/>
                <w:sz w:val="21"/>
                <w:szCs w:val="21"/>
              </w:rPr>
              <w:t xml:space="preserve">ERY </w:t>
            </w:r>
            <w:r w:rsidRPr="007C6F8D">
              <w:rPr>
                <w:rStyle w:val="quality-sign"/>
                <w:rFonts w:eastAsia="MS Mincho" w:cs="MS Mincho"/>
                <w:sz w:val="21"/>
                <w:szCs w:val="21"/>
              </w:rPr>
              <w:t>LOW</w:t>
            </w:r>
          </w:p>
        </w:tc>
        <w:tc>
          <w:tcPr>
            <w:tcW w:w="739" w:type="pct"/>
            <w:tcBorders>
              <w:left w:val="nil"/>
            </w:tcBorders>
          </w:tcPr>
          <w:p w14:paraId="30986CF7" w14:textId="7CA3305A" w:rsidR="00620681" w:rsidRPr="00A059D0" w:rsidRDefault="00620681" w:rsidP="00A97CDB">
            <w:pPr>
              <w:keepNext/>
              <w:spacing w:before="40" w:after="40" w:line="288" w:lineRule="auto"/>
              <w:jc w:val="center"/>
              <w:rPr>
                <w:rFonts w:ascii="Arial Narrow" w:hAnsi="Arial Narrow"/>
                <w:snapToGrid w:val="0"/>
                <w:sz w:val="20"/>
                <w:lang w:eastAsia="en-US"/>
              </w:rPr>
            </w:pPr>
          </w:p>
        </w:tc>
      </w:tr>
    </w:tbl>
    <w:p w14:paraId="23186E83" w14:textId="5E98AF7E" w:rsidR="00620681" w:rsidRPr="002F591C" w:rsidRDefault="00B4290F" w:rsidP="00A12176">
      <w:pPr>
        <w:pStyle w:val="Tablenotes0"/>
        <w:rPr>
          <w:rFonts w:cstheme="minorBidi"/>
        </w:rPr>
      </w:pPr>
      <w:r>
        <w:t>&lt;</w:t>
      </w:r>
      <w:r w:rsidR="00620681" w:rsidRPr="00D54BB0">
        <w:t>CI = confidence interval</w:t>
      </w:r>
      <w:r w:rsidR="00620681">
        <w:t>;</w:t>
      </w:r>
      <w:r w:rsidR="00C90A96">
        <w:t xml:space="preserve"> NA = not applicable;</w:t>
      </w:r>
      <w:r w:rsidR="00620681">
        <w:rPr>
          <w:rFonts w:cstheme="minorBidi"/>
        </w:rPr>
        <w:t xml:space="preserve"> </w:t>
      </w:r>
      <w:r w:rsidR="00620681" w:rsidRPr="00D54BB0">
        <w:t>NR</w:t>
      </w:r>
      <w:r w:rsidR="00B82AF0">
        <w:t xml:space="preserve"> </w:t>
      </w:r>
      <w:r w:rsidR="00620681" w:rsidRPr="00D54BB0">
        <w:t>= not reported</w:t>
      </w:r>
      <w:r w:rsidR="00620681">
        <w:t xml:space="preserve">; </w:t>
      </w:r>
      <w:r w:rsidR="003C006F">
        <w:t>OS = overall survival;</w:t>
      </w:r>
      <w:r w:rsidR="00B82AF0">
        <w:t xml:space="preserve"> </w:t>
      </w:r>
      <w:r w:rsidR="00620681">
        <w:t>SE</w:t>
      </w:r>
      <w:r w:rsidR="00B82AF0">
        <w:t xml:space="preserve"> </w:t>
      </w:r>
      <w:r>
        <w:t>= standard error&gt;</w:t>
      </w:r>
    </w:p>
    <w:p w14:paraId="7B54534E" w14:textId="46C81405" w:rsidR="00620681" w:rsidRPr="008A4E3A" w:rsidRDefault="00620681" w:rsidP="00A12176">
      <w:pPr>
        <w:pStyle w:val="Tablenotes0"/>
      </w:pPr>
      <w:r w:rsidRPr="00E10B76">
        <w:t>GRADE Working Group grades of evidence</w:t>
      </w:r>
      <w:r>
        <w:t xml:space="preserve"> (Guyatt et al., 2013)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w:t>
      </w:r>
      <w:r w:rsidR="008A4E3A">
        <w:t>nt from the estimate of effect.</w:t>
      </w:r>
    </w:p>
    <w:p w14:paraId="6D0CCE9F" w14:textId="3452B88B" w:rsidR="000267EC" w:rsidRDefault="000267EC" w:rsidP="00620681">
      <w:r>
        <w:br w:type="page"/>
      </w:r>
    </w:p>
    <w:p w14:paraId="1F5F8A32" w14:textId="6256A10C" w:rsidR="00620681" w:rsidRDefault="00620681" w:rsidP="00620681">
      <w:pPr>
        <w:pStyle w:val="Caption"/>
        <w:keepNext/>
      </w:pPr>
      <w:bookmarkStart w:id="539" w:name="_Ref457486320"/>
      <w:bookmarkStart w:id="540" w:name="_Toc460514761"/>
      <w:r>
        <w:lastRenderedPageBreak/>
        <w:t xml:space="preserve">Table </w:t>
      </w:r>
      <w:fldSimple w:instr=" SEQ Table \* ARABIC ">
        <w:r w:rsidR="00D170A5">
          <w:rPr>
            <w:noProof/>
          </w:rPr>
          <w:t>103</w:t>
        </w:r>
      </w:fldSimple>
      <w:bookmarkEnd w:id="539"/>
      <w:r>
        <w:tab/>
        <w:t xml:space="preserve">Overall survival </w:t>
      </w:r>
      <w:r w:rsidR="000267EC">
        <w:t xml:space="preserve">rates </w:t>
      </w:r>
      <w:r w:rsidR="00ED7E6B">
        <w:t xml:space="preserve">at 1-, 2-, 3- and 5- years </w:t>
      </w:r>
      <w:r>
        <w:t>(radiotherapy, population 2)</w:t>
      </w:r>
      <w:bookmarkEnd w:id="5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120"/>
        <w:gridCol w:w="995"/>
        <w:gridCol w:w="934"/>
        <w:gridCol w:w="1121"/>
        <w:gridCol w:w="1230"/>
        <w:gridCol w:w="1230"/>
        <w:gridCol w:w="1230"/>
        <w:gridCol w:w="1222"/>
      </w:tblGrid>
      <w:tr w:rsidR="00CA4C81" w:rsidRPr="00383613" w14:paraId="7FF3E25E" w14:textId="77777777" w:rsidTr="00B4290F">
        <w:tc>
          <w:tcPr>
            <w:tcW w:w="617" w:type="pct"/>
            <w:tcBorders>
              <w:top w:val="single" w:sz="4" w:space="0" w:color="auto"/>
            </w:tcBorders>
            <w:shd w:val="clear" w:color="auto" w:fill="D9D9D9" w:themeFill="background1" w:themeFillShade="D9"/>
            <w:vAlign w:val="center"/>
          </w:tcPr>
          <w:p w14:paraId="2F457150"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Trial/Study</w:t>
            </w:r>
          </w:p>
        </w:tc>
        <w:tc>
          <w:tcPr>
            <w:tcW w:w="548" w:type="pct"/>
            <w:tcBorders>
              <w:top w:val="single" w:sz="4" w:space="0" w:color="auto"/>
            </w:tcBorders>
            <w:shd w:val="clear" w:color="auto" w:fill="D9D9D9" w:themeFill="background1" w:themeFillShade="D9"/>
            <w:vAlign w:val="center"/>
          </w:tcPr>
          <w:p w14:paraId="1618D90A"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Intervention</w:t>
            </w:r>
          </w:p>
        </w:tc>
        <w:tc>
          <w:tcPr>
            <w:tcW w:w="514" w:type="pct"/>
            <w:tcBorders>
              <w:top w:val="single" w:sz="4" w:space="0" w:color="auto"/>
            </w:tcBorders>
            <w:shd w:val="clear" w:color="auto" w:fill="D9D9D9" w:themeFill="background1" w:themeFillShade="D9"/>
            <w:vAlign w:val="center"/>
          </w:tcPr>
          <w:p w14:paraId="524B1957"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 xml:space="preserve">N </w:t>
            </w:r>
          </w:p>
          <w:p w14:paraId="26180E1A"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(lesions)</w:t>
            </w:r>
          </w:p>
        </w:tc>
        <w:tc>
          <w:tcPr>
            <w:tcW w:w="617" w:type="pct"/>
            <w:tcBorders>
              <w:top w:val="single" w:sz="4" w:space="0" w:color="auto"/>
            </w:tcBorders>
            <w:shd w:val="clear" w:color="auto" w:fill="D9D9D9" w:themeFill="background1" w:themeFillShade="D9"/>
            <w:vAlign w:val="center"/>
          </w:tcPr>
          <w:p w14:paraId="03E1B9B7"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 xml:space="preserve">Median OS time (range) </w:t>
            </w:r>
          </w:p>
        </w:tc>
        <w:tc>
          <w:tcPr>
            <w:tcW w:w="677" w:type="pct"/>
            <w:tcBorders>
              <w:top w:val="single" w:sz="4" w:space="0" w:color="auto"/>
              <w:right w:val="single" w:sz="4" w:space="0" w:color="auto"/>
            </w:tcBorders>
            <w:shd w:val="clear" w:color="auto" w:fill="D9D9D9" w:themeFill="background1" w:themeFillShade="D9"/>
            <w:vAlign w:val="center"/>
          </w:tcPr>
          <w:p w14:paraId="059E52CA"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1-year OS</w:t>
            </w:r>
          </w:p>
          <w:p w14:paraId="25DAB06E"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(95% CI)</w:t>
            </w:r>
          </w:p>
        </w:tc>
        <w:tc>
          <w:tcPr>
            <w:tcW w:w="677" w:type="pct"/>
            <w:tcBorders>
              <w:top w:val="single" w:sz="4" w:space="0" w:color="auto"/>
              <w:left w:val="single" w:sz="4" w:space="0" w:color="auto"/>
              <w:right w:val="single" w:sz="4" w:space="0" w:color="auto"/>
            </w:tcBorders>
            <w:shd w:val="clear" w:color="auto" w:fill="D9D9D9" w:themeFill="background1" w:themeFillShade="D9"/>
            <w:vAlign w:val="center"/>
          </w:tcPr>
          <w:p w14:paraId="51AF2368"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2-year OS</w:t>
            </w:r>
          </w:p>
          <w:p w14:paraId="46EE3681"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(95% CI)</w:t>
            </w:r>
          </w:p>
        </w:tc>
        <w:tc>
          <w:tcPr>
            <w:tcW w:w="677" w:type="pct"/>
            <w:tcBorders>
              <w:top w:val="single" w:sz="4" w:space="0" w:color="auto"/>
              <w:left w:val="single" w:sz="4" w:space="0" w:color="auto"/>
              <w:right w:val="single" w:sz="4" w:space="0" w:color="auto"/>
            </w:tcBorders>
            <w:shd w:val="clear" w:color="auto" w:fill="D9D9D9" w:themeFill="background1" w:themeFillShade="D9"/>
            <w:vAlign w:val="center"/>
          </w:tcPr>
          <w:p w14:paraId="3BADD804"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3-year OS</w:t>
            </w:r>
          </w:p>
          <w:p w14:paraId="1744F389"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(95% CI)</w:t>
            </w:r>
          </w:p>
        </w:tc>
        <w:tc>
          <w:tcPr>
            <w:tcW w:w="673" w:type="pct"/>
            <w:tcBorders>
              <w:top w:val="single" w:sz="4" w:space="0" w:color="auto"/>
              <w:left w:val="single" w:sz="4" w:space="0" w:color="auto"/>
            </w:tcBorders>
            <w:shd w:val="clear" w:color="auto" w:fill="D9D9D9" w:themeFill="background1" w:themeFillShade="D9"/>
            <w:vAlign w:val="center"/>
          </w:tcPr>
          <w:p w14:paraId="4B3F9FB1"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5-year OS</w:t>
            </w:r>
          </w:p>
          <w:p w14:paraId="62DE29BB" w14:textId="77777777" w:rsidR="00CA4C81" w:rsidRPr="006D183F" w:rsidRDefault="00CA4C81" w:rsidP="006274B7">
            <w:pPr>
              <w:pStyle w:val="Tabletext1"/>
              <w:spacing w:before="40" w:after="40" w:line="288" w:lineRule="auto"/>
              <w:rPr>
                <w:b/>
                <w:snapToGrid w:val="0"/>
                <w:lang w:eastAsia="en-US"/>
              </w:rPr>
            </w:pPr>
            <w:r w:rsidRPr="006D183F">
              <w:rPr>
                <w:b/>
                <w:snapToGrid w:val="0"/>
                <w:lang w:eastAsia="en-US"/>
              </w:rPr>
              <w:t>(95% CI)</w:t>
            </w:r>
          </w:p>
        </w:tc>
      </w:tr>
      <w:tr w:rsidR="00CA4C81" w:rsidRPr="00383613" w14:paraId="2F8E2D46" w14:textId="77777777" w:rsidTr="00491880">
        <w:tc>
          <w:tcPr>
            <w:tcW w:w="617" w:type="pct"/>
            <w:shd w:val="clear" w:color="auto" w:fill="auto"/>
            <w:vAlign w:val="center"/>
          </w:tcPr>
          <w:p w14:paraId="4A401E84" w14:textId="77777777" w:rsidR="00CA4C81" w:rsidRPr="00383613" w:rsidRDefault="00CA4C81" w:rsidP="006274B7">
            <w:pPr>
              <w:pStyle w:val="Tabletext1"/>
              <w:spacing w:before="40" w:after="40" w:line="288" w:lineRule="auto"/>
              <w:rPr>
                <w:snapToGrid w:val="0"/>
                <w:lang w:eastAsia="en-US"/>
              </w:rPr>
            </w:pPr>
            <w:r w:rsidRPr="00383613">
              <w:rPr>
                <w:snapToGrid w:val="0"/>
                <w:lang w:eastAsia="en-US"/>
              </w:rPr>
              <w:t>Agolli et al (2015)</w:t>
            </w:r>
          </w:p>
        </w:tc>
        <w:tc>
          <w:tcPr>
            <w:tcW w:w="548" w:type="pct"/>
            <w:vAlign w:val="center"/>
          </w:tcPr>
          <w:p w14:paraId="18DF9D39" w14:textId="77777777" w:rsidR="00CA4C81"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559F636E" w14:textId="77777777" w:rsidR="00CA4C81" w:rsidRPr="00383613" w:rsidRDefault="00CA4C81" w:rsidP="006274B7">
            <w:pPr>
              <w:pStyle w:val="Tabletext1"/>
              <w:spacing w:before="40" w:after="40" w:line="288" w:lineRule="auto"/>
              <w:rPr>
                <w:snapToGrid w:val="0"/>
                <w:lang w:eastAsia="en-US"/>
              </w:rPr>
            </w:pPr>
            <w:r w:rsidRPr="00383613">
              <w:rPr>
                <w:snapToGrid w:val="0"/>
                <w:lang w:eastAsia="en-US"/>
              </w:rPr>
              <w:t>22</w:t>
            </w:r>
            <w:r>
              <w:rPr>
                <w:snapToGrid w:val="0"/>
                <w:lang w:eastAsia="en-US"/>
              </w:rPr>
              <w:t xml:space="preserve"> </w:t>
            </w:r>
            <w:r w:rsidRPr="00383613">
              <w:rPr>
                <w:snapToGrid w:val="0"/>
                <w:lang w:eastAsia="en-US"/>
              </w:rPr>
              <w:t>(29)</w:t>
            </w:r>
          </w:p>
        </w:tc>
        <w:tc>
          <w:tcPr>
            <w:tcW w:w="617" w:type="pct"/>
            <w:shd w:val="clear" w:color="auto" w:fill="auto"/>
            <w:vAlign w:val="center"/>
          </w:tcPr>
          <w:p w14:paraId="5EB656FD" w14:textId="77777777" w:rsidR="00CA4C81" w:rsidRPr="009A7A2F" w:rsidRDefault="00CA4C81" w:rsidP="006274B7">
            <w:pPr>
              <w:pStyle w:val="Tabletext1"/>
              <w:spacing w:before="40" w:after="40" w:line="288" w:lineRule="auto"/>
              <w:rPr>
                <w:lang w:eastAsia="en-US"/>
              </w:rPr>
            </w:pPr>
            <w:r w:rsidRPr="009A7A2F">
              <w:rPr>
                <w:lang w:eastAsia="en-US"/>
              </w:rPr>
              <w:t xml:space="preserve">24 </w:t>
            </w:r>
            <w:r w:rsidRPr="009A7A2F">
              <w:rPr>
                <w:snapToGrid w:val="0"/>
                <w:lang w:eastAsia="en-US"/>
              </w:rPr>
              <w:t>months</w:t>
            </w:r>
          </w:p>
          <w:p w14:paraId="1434148F" w14:textId="77777777" w:rsidR="00CA4C81" w:rsidRPr="009A7A2F" w:rsidRDefault="00CA4C81"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2D0573F6" w14:textId="77A34DE6" w:rsidR="00CA4C81" w:rsidRPr="00383613" w:rsidRDefault="00CA4C81" w:rsidP="006274B7">
            <w:pPr>
              <w:pStyle w:val="Tabletext1"/>
              <w:spacing w:before="40" w:after="40" w:line="288" w:lineRule="auto"/>
              <w:rPr>
                <w:snapToGrid w:val="0"/>
                <w:lang w:eastAsia="en-US"/>
              </w:rPr>
            </w:pPr>
            <w:r w:rsidRPr="00383613">
              <w:rPr>
                <w:snapToGrid w:val="0"/>
                <w:lang w:eastAsia="en-US"/>
              </w:rPr>
              <w:t>86</w:t>
            </w:r>
            <w:r w:rsidR="00D327BF">
              <w:rPr>
                <w:snapToGrid w:val="0"/>
                <w:lang w:eastAsia="en-US"/>
              </w:rPr>
              <w:t>%</w:t>
            </w:r>
          </w:p>
        </w:tc>
        <w:tc>
          <w:tcPr>
            <w:tcW w:w="677" w:type="pct"/>
            <w:vAlign w:val="center"/>
          </w:tcPr>
          <w:p w14:paraId="453E7F2E" w14:textId="469336C5" w:rsidR="00CA4C81" w:rsidRPr="00383613" w:rsidRDefault="00CA4C81" w:rsidP="006274B7">
            <w:pPr>
              <w:pStyle w:val="Tabletext1"/>
              <w:spacing w:before="40" w:after="40" w:line="288" w:lineRule="auto"/>
              <w:rPr>
                <w:snapToGrid w:val="0"/>
                <w:lang w:eastAsia="en-US"/>
              </w:rPr>
            </w:pPr>
            <w:r w:rsidRPr="00383613">
              <w:rPr>
                <w:snapToGrid w:val="0"/>
                <w:lang w:eastAsia="en-US"/>
              </w:rPr>
              <w:t>49</w:t>
            </w:r>
            <w:r w:rsidR="00D327BF">
              <w:rPr>
                <w:snapToGrid w:val="0"/>
                <w:lang w:eastAsia="en-US"/>
              </w:rPr>
              <w:t>%</w:t>
            </w:r>
          </w:p>
        </w:tc>
        <w:tc>
          <w:tcPr>
            <w:tcW w:w="677" w:type="pct"/>
            <w:vAlign w:val="center"/>
          </w:tcPr>
          <w:p w14:paraId="09A1E740" w14:textId="77777777" w:rsidR="00CA4C81" w:rsidRPr="00383613" w:rsidRDefault="00CA4C81" w:rsidP="006274B7">
            <w:pPr>
              <w:pStyle w:val="Tabletext1"/>
              <w:spacing w:before="40" w:after="40" w:line="288" w:lineRule="auto"/>
              <w:rPr>
                <w:snapToGrid w:val="0"/>
                <w:lang w:eastAsia="en-US"/>
              </w:rPr>
            </w:pPr>
            <w:r w:rsidRPr="00383613">
              <w:rPr>
                <w:snapToGrid w:val="0"/>
                <w:lang w:eastAsia="en-US"/>
              </w:rPr>
              <w:t>NR</w:t>
            </w:r>
          </w:p>
        </w:tc>
        <w:tc>
          <w:tcPr>
            <w:tcW w:w="673" w:type="pct"/>
            <w:vAlign w:val="center"/>
          </w:tcPr>
          <w:p w14:paraId="23312611" w14:textId="77777777" w:rsidR="00CA4C81" w:rsidRPr="00383613" w:rsidRDefault="00CA4C81" w:rsidP="006274B7">
            <w:pPr>
              <w:pStyle w:val="Tabletext1"/>
              <w:spacing w:before="40" w:after="40" w:line="288" w:lineRule="auto"/>
              <w:rPr>
                <w:snapToGrid w:val="0"/>
                <w:lang w:eastAsia="en-US"/>
              </w:rPr>
            </w:pPr>
            <w:r w:rsidRPr="00383613">
              <w:rPr>
                <w:snapToGrid w:val="0"/>
                <w:lang w:eastAsia="en-US"/>
              </w:rPr>
              <w:t>NR</w:t>
            </w:r>
          </w:p>
        </w:tc>
      </w:tr>
      <w:tr w:rsidR="0057621D" w:rsidRPr="00383613" w14:paraId="1ABE8E97" w14:textId="77777777" w:rsidTr="00491880">
        <w:tc>
          <w:tcPr>
            <w:tcW w:w="617" w:type="pct"/>
            <w:shd w:val="clear" w:color="auto" w:fill="auto"/>
            <w:vAlign w:val="center"/>
          </w:tcPr>
          <w:p w14:paraId="7C6B9AC3"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Baschnagel et al (2013)</w:t>
            </w:r>
          </w:p>
        </w:tc>
        <w:tc>
          <w:tcPr>
            <w:tcW w:w="548" w:type="pct"/>
            <w:vAlign w:val="center"/>
          </w:tcPr>
          <w:p w14:paraId="471D1DDB"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430F2D81" w14:textId="77777777" w:rsidR="0057621D" w:rsidRPr="00383613" w:rsidRDefault="0057621D" w:rsidP="006274B7">
            <w:pPr>
              <w:pStyle w:val="Tabletext1"/>
              <w:spacing w:before="40" w:after="40" w:line="288" w:lineRule="auto"/>
              <w:rPr>
                <w:snapToGrid w:val="0"/>
                <w:lang w:eastAsia="en-US"/>
              </w:rPr>
            </w:pPr>
            <w:r>
              <w:rPr>
                <w:snapToGrid w:val="0"/>
                <w:lang w:eastAsia="en-US"/>
              </w:rPr>
              <w:t xml:space="preserve">32 </w:t>
            </w:r>
            <w:r w:rsidRPr="00383613">
              <w:rPr>
                <w:snapToGrid w:val="0"/>
                <w:lang w:eastAsia="en-US"/>
              </w:rPr>
              <w:t>(47)</w:t>
            </w:r>
          </w:p>
        </w:tc>
        <w:tc>
          <w:tcPr>
            <w:tcW w:w="617" w:type="pct"/>
            <w:shd w:val="clear" w:color="auto" w:fill="auto"/>
            <w:vAlign w:val="center"/>
          </w:tcPr>
          <w:p w14:paraId="38518AA0" w14:textId="77777777" w:rsidR="0057621D" w:rsidRPr="009A7A2F" w:rsidRDefault="0057621D" w:rsidP="006274B7">
            <w:pPr>
              <w:pStyle w:val="Tabletext1"/>
              <w:spacing w:before="40" w:after="40" w:line="288" w:lineRule="auto"/>
              <w:rPr>
                <w:lang w:eastAsia="en-US"/>
              </w:rPr>
            </w:pPr>
            <w:r w:rsidRPr="009A7A2F">
              <w:rPr>
                <w:lang w:eastAsia="en-US"/>
              </w:rPr>
              <w:t xml:space="preserve">39 </w:t>
            </w:r>
            <w:r w:rsidRPr="009A7A2F">
              <w:rPr>
                <w:snapToGrid w:val="0"/>
                <w:lang w:eastAsia="en-US"/>
              </w:rPr>
              <w:t>months</w:t>
            </w:r>
          </w:p>
          <w:p w14:paraId="2B3FF105"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4F0E1EF0" w14:textId="4EF06CEF" w:rsidR="0057621D" w:rsidRPr="00383613" w:rsidRDefault="0057621D" w:rsidP="006274B7">
            <w:pPr>
              <w:pStyle w:val="Tabletext1"/>
              <w:spacing w:before="40" w:after="40" w:line="288" w:lineRule="auto"/>
              <w:rPr>
                <w:snapToGrid w:val="0"/>
                <w:lang w:eastAsia="en-US"/>
              </w:rPr>
            </w:pPr>
            <w:r w:rsidRPr="00383613">
              <w:rPr>
                <w:snapToGrid w:val="0"/>
                <w:lang w:eastAsia="en-US"/>
              </w:rPr>
              <w:t>83</w:t>
            </w:r>
            <w:r w:rsidR="00D327BF">
              <w:rPr>
                <w:snapToGrid w:val="0"/>
                <w:lang w:eastAsia="en-US"/>
              </w:rPr>
              <w:t>%</w:t>
            </w:r>
          </w:p>
        </w:tc>
        <w:tc>
          <w:tcPr>
            <w:tcW w:w="677" w:type="pct"/>
            <w:vAlign w:val="center"/>
          </w:tcPr>
          <w:p w14:paraId="6BC5BA05" w14:textId="18A9050D" w:rsidR="0057621D" w:rsidRPr="00383613" w:rsidRDefault="0057621D" w:rsidP="006274B7">
            <w:pPr>
              <w:pStyle w:val="Tabletext1"/>
              <w:spacing w:before="40" w:after="40" w:line="288" w:lineRule="auto"/>
              <w:rPr>
                <w:snapToGrid w:val="0"/>
                <w:lang w:eastAsia="en-US"/>
              </w:rPr>
            </w:pPr>
            <w:r w:rsidRPr="00383613">
              <w:rPr>
                <w:snapToGrid w:val="0"/>
                <w:lang w:eastAsia="en-US"/>
              </w:rPr>
              <w:t>76</w:t>
            </w:r>
            <w:r w:rsidR="00D327BF">
              <w:rPr>
                <w:snapToGrid w:val="0"/>
                <w:lang w:eastAsia="en-US"/>
              </w:rPr>
              <w:t>%</w:t>
            </w:r>
          </w:p>
        </w:tc>
        <w:tc>
          <w:tcPr>
            <w:tcW w:w="677" w:type="pct"/>
            <w:vAlign w:val="center"/>
          </w:tcPr>
          <w:p w14:paraId="1B7E540B" w14:textId="27338344" w:rsidR="0057621D" w:rsidRPr="00383613" w:rsidRDefault="0057621D" w:rsidP="006274B7">
            <w:pPr>
              <w:pStyle w:val="Tabletext1"/>
              <w:spacing w:before="40" w:after="40" w:line="288" w:lineRule="auto"/>
              <w:rPr>
                <w:snapToGrid w:val="0"/>
                <w:lang w:eastAsia="en-US"/>
              </w:rPr>
            </w:pPr>
            <w:r w:rsidRPr="00383613">
              <w:rPr>
                <w:snapToGrid w:val="0"/>
                <w:lang w:eastAsia="en-US"/>
              </w:rPr>
              <w:t>63</w:t>
            </w:r>
            <w:r w:rsidR="00D327BF">
              <w:rPr>
                <w:snapToGrid w:val="0"/>
                <w:lang w:eastAsia="en-US"/>
              </w:rPr>
              <w:t>%</w:t>
            </w:r>
          </w:p>
        </w:tc>
        <w:tc>
          <w:tcPr>
            <w:tcW w:w="673" w:type="pct"/>
            <w:vAlign w:val="center"/>
          </w:tcPr>
          <w:p w14:paraId="586AF825"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r>
      <w:tr w:rsidR="0057621D" w:rsidRPr="00383613" w14:paraId="451BD35D" w14:textId="77777777" w:rsidTr="00491880">
        <w:tc>
          <w:tcPr>
            <w:tcW w:w="617" w:type="pct"/>
            <w:shd w:val="clear" w:color="auto" w:fill="auto"/>
            <w:vAlign w:val="center"/>
          </w:tcPr>
          <w:p w14:paraId="1B7106F5"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Fillipi et al (2015)</w:t>
            </w:r>
          </w:p>
        </w:tc>
        <w:tc>
          <w:tcPr>
            <w:tcW w:w="548" w:type="pct"/>
            <w:vAlign w:val="center"/>
          </w:tcPr>
          <w:p w14:paraId="5A249F26"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49FA4CD8"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40 (59)</w:t>
            </w:r>
          </w:p>
        </w:tc>
        <w:tc>
          <w:tcPr>
            <w:tcW w:w="617" w:type="pct"/>
            <w:shd w:val="clear" w:color="auto" w:fill="auto"/>
            <w:vAlign w:val="center"/>
          </w:tcPr>
          <w:p w14:paraId="2262E4B8" w14:textId="77777777" w:rsidR="0057621D" w:rsidRPr="009A7A2F" w:rsidRDefault="0057621D" w:rsidP="006274B7">
            <w:pPr>
              <w:pStyle w:val="Tabletext1"/>
              <w:spacing w:before="40" w:after="40" w:line="288" w:lineRule="auto"/>
              <w:rPr>
                <w:lang w:eastAsia="en-US"/>
              </w:rPr>
            </w:pPr>
            <w:r w:rsidRPr="009A7A2F">
              <w:rPr>
                <w:lang w:eastAsia="en-US"/>
              </w:rPr>
              <w:t xml:space="preserve">46 </w:t>
            </w:r>
            <w:r w:rsidRPr="009A7A2F">
              <w:rPr>
                <w:snapToGrid w:val="0"/>
                <w:lang w:eastAsia="en-US"/>
              </w:rPr>
              <w:t>months</w:t>
            </w:r>
          </w:p>
          <w:p w14:paraId="46ED300C"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145927F6" w14:textId="0555D83F" w:rsidR="0057621D" w:rsidRDefault="0057621D" w:rsidP="006274B7">
            <w:pPr>
              <w:pStyle w:val="Tabletext1"/>
              <w:spacing w:before="40" w:after="40" w:line="288" w:lineRule="auto"/>
              <w:rPr>
                <w:snapToGrid w:val="0"/>
                <w:lang w:eastAsia="en-US"/>
              </w:rPr>
            </w:pPr>
            <w:r w:rsidRPr="00383613">
              <w:rPr>
                <w:snapToGrid w:val="0"/>
                <w:lang w:eastAsia="en-US"/>
              </w:rPr>
              <w:t>88</w:t>
            </w:r>
            <w:r w:rsidR="00D327BF">
              <w:rPr>
                <w:snapToGrid w:val="0"/>
                <w:lang w:eastAsia="en-US"/>
              </w:rPr>
              <w:t>%</w:t>
            </w:r>
          </w:p>
          <w:p w14:paraId="3B5EB58D" w14:textId="6CBD6BA4" w:rsidR="0057621D" w:rsidRPr="00383613" w:rsidRDefault="0057621D" w:rsidP="006274B7">
            <w:pPr>
              <w:pStyle w:val="Tabletext1"/>
              <w:spacing w:before="40" w:after="40" w:line="288" w:lineRule="auto"/>
              <w:rPr>
                <w:snapToGrid w:val="0"/>
                <w:lang w:eastAsia="en-US"/>
              </w:rPr>
            </w:pPr>
            <w:r w:rsidRPr="00383613">
              <w:rPr>
                <w:snapToGrid w:val="0"/>
                <w:lang w:eastAsia="en-US"/>
              </w:rPr>
              <w:t>(72</w:t>
            </w:r>
            <w:r w:rsidR="007E3D66">
              <w:rPr>
                <w:snapToGrid w:val="0"/>
                <w:lang w:eastAsia="en-US"/>
              </w:rPr>
              <w:t>–</w:t>
            </w:r>
            <w:r w:rsidRPr="00383613">
              <w:rPr>
                <w:snapToGrid w:val="0"/>
                <w:lang w:eastAsia="en-US"/>
              </w:rPr>
              <w:t>95</w:t>
            </w:r>
            <w:r w:rsidR="00D327BF">
              <w:rPr>
                <w:snapToGrid w:val="0"/>
                <w:lang w:eastAsia="en-US"/>
              </w:rPr>
              <w:t>%</w:t>
            </w:r>
            <w:r w:rsidRPr="00383613">
              <w:rPr>
                <w:snapToGrid w:val="0"/>
                <w:lang w:eastAsia="en-US"/>
              </w:rPr>
              <w:t>)</w:t>
            </w:r>
          </w:p>
        </w:tc>
        <w:tc>
          <w:tcPr>
            <w:tcW w:w="677" w:type="pct"/>
            <w:vAlign w:val="center"/>
          </w:tcPr>
          <w:p w14:paraId="3B67AA01" w14:textId="64936350" w:rsidR="0057621D" w:rsidRDefault="0057621D" w:rsidP="006274B7">
            <w:pPr>
              <w:pStyle w:val="Tabletext1"/>
              <w:spacing w:before="40" w:after="40" w:line="288" w:lineRule="auto"/>
              <w:rPr>
                <w:snapToGrid w:val="0"/>
                <w:lang w:eastAsia="en-US"/>
              </w:rPr>
            </w:pPr>
            <w:r w:rsidRPr="00383613">
              <w:rPr>
                <w:snapToGrid w:val="0"/>
                <w:lang w:eastAsia="en-US"/>
              </w:rPr>
              <w:t>73</w:t>
            </w:r>
            <w:r w:rsidR="00D327BF">
              <w:rPr>
                <w:snapToGrid w:val="0"/>
                <w:lang w:eastAsia="en-US"/>
              </w:rPr>
              <w:t>%</w:t>
            </w:r>
          </w:p>
          <w:p w14:paraId="12F1C2A8" w14:textId="16E2D0DC" w:rsidR="0057621D" w:rsidRPr="00383613" w:rsidRDefault="0057621D" w:rsidP="006274B7">
            <w:pPr>
              <w:pStyle w:val="Tabletext1"/>
              <w:spacing w:before="40" w:after="40" w:line="288" w:lineRule="auto"/>
              <w:rPr>
                <w:snapToGrid w:val="0"/>
                <w:lang w:eastAsia="en-US"/>
              </w:rPr>
            </w:pPr>
            <w:r w:rsidRPr="00383613">
              <w:rPr>
                <w:snapToGrid w:val="0"/>
                <w:lang w:eastAsia="en-US"/>
              </w:rPr>
              <w:t>(53</w:t>
            </w:r>
            <w:r w:rsidR="007E3D66">
              <w:rPr>
                <w:snapToGrid w:val="0"/>
                <w:lang w:eastAsia="en-US"/>
              </w:rPr>
              <w:t>–</w:t>
            </w:r>
            <w:r w:rsidRPr="00383613">
              <w:rPr>
                <w:snapToGrid w:val="0"/>
                <w:lang w:eastAsia="en-US"/>
              </w:rPr>
              <w:t>86</w:t>
            </w:r>
            <w:r w:rsidR="00D327BF">
              <w:rPr>
                <w:snapToGrid w:val="0"/>
                <w:lang w:eastAsia="en-US"/>
              </w:rPr>
              <w:t>%</w:t>
            </w:r>
            <w:r w:rsidRPr="00383613">
              <w:rPr>
                <w:snapToGrid w:val="0"/>
                <w:lang w:eastAsia="en-US"/>
              </w:rPr>
              <w:t>)</w:t>
            </w:r>
          </w:p>
        </w:tc>
        <w:tc>
          <w:tcPr>
            <w:tcW w:w="677" w:type="pct"/>
            <w:vAlign w:val="center"/>
          </w:tcPr>
          <w:p w14:paraId="5FC555C9"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3" w:type="pct"/>
            <w:vAlign w:val="center"/>
          </w:tcPr>
          <w:p w14:paraId="3078E70C" w14:textId="6C4D7235" w:rsidR="0057621D" w:rsidRPr="00C923EB" w:rsidRDefault="0057621D" w:rsidP="006274B7">
            <w:pPr>
              <w:pStyle w:val="Tabletext1"/>
              <w:spacing w:before="40" w:after="40" w:line="288" w:lineRule="auto"/>
              <w:rPr>
                <w:snapToGrid w:val="0"/>
                <w:lang w:eastAsia="en-US"/>
              </w:rPr>
            </w:pPr>
            <w:r w:rsidRPr="00C923EB">
              <w:rPr>
                <w:snapToGrid w:val="0"/>
                <w:lang w:eastAsia="en-US"/>
              </w:rPr>
              <w:t>39</w:t>
            </w:r>
            <w:r w:rsidR="00D327BF">
              <w:rPr>
                <w:snapToGrid w:val="0"/>
                <w:lang w:eastAsia="en-US"/>
              </w:rPr>
              <w:t>%</w:t>
            </w:r>
          </w:p>
          <w:p w14:paraId="294487D6" w14:textId="5C9836C9" w:rsidR="0057621D" w:rsidRPr="00C923EB" w:rsidRDefault="0057621D" w:rsidP="006274B7">
            <w:pPr>
              <w:pStyle w:val="Tabletext1"/>
              <w:spacing w:before="40" w:after="40" w:line="288" w:lineRule="auto"/>
              <w:rPr>
                <w:snapToGrid w:val="0"/>
                <w:lang w:eastAsia="en-US"/>
              </w:rPr>
            </w:pPr>
            <w:r w:rsidRPr="00C923EB">
              <w:rPr>
                <w:snapToGrid w:val="0"/>
                <w:lang w:eastAsia="en-US"/>
              </w:rPr>
              <w:t>(14</w:t>
            </w:r>
            <w:r w:rsidR="007E3D66">
              <w:rPr>
                <w:snapToGrid w:val="0"/>
                <w:lang w:eastAsia="en-US"/>
              </w:rPr>
              <w:t>–</w:t>
            </w:r>
            <w:r w:rsidRPr="00C923EB">
              <w:rPr>
                <w:snapToGrid w:val="0"/>
                <w:lang w:eastAsia="en-US"/>
              </w:rPr>
              <w:t>64</w:t>
            </w:r>
            <w:r w:rsidR="00D327BF">
              <w:rPr>
                <w:snapToGrid w:val="0"/>
                <w:lang w:eastAsia="en-US"/>
              </w:rPr>
              <w:t>%</w:t>
            </w:r>
            <w:r w:rsidRPr="00C923EB">
              <w:rPr>
                <w:snapToGrid w:val="0"/>
                <w:lang w:eastAsia="en-US"/>
              </w:rPr>
              <w:t>)</w:t>
            </w:r>
          </w:p>
        </w:tc>
      </w:tr>
      <w:tr w:rsidR="0057621D" w:rsidRPr="00383613" w14:paraId="66CBE2FD" w14:textId="77777777" w:rsidTr="00491880">
        <w:tc>
          <w:tcPr>
            <w:tcW w:w="617" w:type="pct"/>
            <w:shd w:val="clear" w:color="auto" w:fill="auto"/>
            <w:vAlign w:val="center"/>
          </w:tcPr>
          <w:p w14:paraId="57888095"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Gamsiz et al (2014)</w:t>
            </w:r>
          </w:p>
        </w:tc>
        <w:tc>
          <w:tcPr>
            <w:tcW w:w="548" w:type="pct"/>
            <w:vAlign w:val="center"/>
          </w:tcPr>
          <w:p w14:paraId="2AB9C041"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33113536"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20</w:t>
            </w:r>
            <w:r>
              <w:rPr>
                <w:snapToGrid w:val="0"/>
                <w:lang w:eastAsia="en-US"/>
              </w:rPr>
              <w:t xml:space="preserve"> </w:t>
            </w:r>
            <w:r w:rsidRPr="00383613">
              <w:rPr>
                <w:snapToGrid w:val="0"/>
                <w:lang w:eastAsia="en-US"/>
              </w:rPr>
              <w:t>(31)</w:t>
            </w:r>
          </w:p>
        </w:tc>
        <w:tc>
          <w:tcPr>
            <w:tcW w:w="617" w:type="pct"/>
            <w:shd w:val="clear" w:color="auto" w:fill="auto"/>
            <w:vAlign w:val="center"/>
          </w:tcPr>
          <w:p w14:paraId="363329EA"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63DBD2EB" w14:textId="4EB2691E" w:rsidR="0057621D" w:rsidRPr="00383613" w:rsidRDefault="0057621D" w:rsidP="006274B7">
            <w:pPr>
              <w:pStyle w:val="Tabletext1"/>
              <w:spacing w:before="40" w:after="40" w:line="288" w:lineRule="auto"/>
              <w:rPr>
                <w:snapToGrid w:val="0"/>
                <w:vertAlign w:val="superscript"/>
                <w:lang w:eastAsia="en-US"/>
              </w:rPr>
            </w:pPr>
            <w:r w:rsidRPr="00383613">
              <w:rPr>
                <w:snapToGrid w:val="0"/>
                <w:lang w:eastAsia="en-US"/>
              </w:rPr>
              <w:t>14-month 70</w:t>
            </w:r>
            <w:r w:rsidR="00D327BF">
              <w:rPr>
                <w:snapToGrid w:val="0"/>
                <w:lang w:eastAsia="en-US"/>
              </w:rPr>
              <w:t>%</w:t>
            </w:r>
          </w:p>
        </w:tc>
        <w:tc>
          <w:tcPr>
            <w:tcW w:w="677" w:type="pct"/>
            <w:vAlign w:val="center"/>
          </w:tcPr>
          <w:p w14:paraId="03376435"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7" w:type="pct"/>
            <w:vAlign w:val="center"/>
          </w:tcPr>
          <w:p w14:paraId="7F0BE8C4"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3" w:type="pct"/>
            <w:vAlign w:val="center"/>
          </w:tcPr>
          <w:p w14:paraId="06EDAB28" w14:textId="77777777" w:rsidR="0057621D" w:rsidRPr="00C923EB" w:rsidRDefault="0057621D" w:rsidP="006274B7">
            <w:pPr>
              <w:pStyle w:val="Tabletext1"/>
              <w:spacing w:before="40" w:after="40" w:line="288" w:lineRule="auto"/>
              <w:rPr>
                <w:snapToGrid w:val="0"/>
                <w:lang w:eastAsia="en-US"/>
              </w:rPr>
            </w:pPr>
            <w:r w:rsidRPr="00C923EB">
              <w:rPr>
                <w:snapToGrid w:val="0"/>
                <w:lang w:eastAsia="en-US"/>
              </w:rPr>
              <w:t>NR</w:t>
            </w:r>
          </w:p>
        </w:tc>
      </w:tr>
      <w:tr w:rsidR="0057621D" w:rsidRPr="00383613" w14:paraId="44F45C22" w14:textId="77777777" w:rsidTr="00491880">
        <w:tc>
          <w:tcPr>
            <w:tcW w:w="617" w:type="pct"/>
            <w:shd w:val="clear" w:color="auto" w:fill="auto"/>
            <w:vAlign w:val="center"/>
          </w:tcPr>
          <w:p w14:paraId="36CFEC5C"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Garcia-Cabezas et al (2015)</w:t>
            </w:r>
          </w:p>
        </w:tc>
        <w:tc>
          <w:tcPr>
            <w:tcW w:w="548" w:type="pct"/>
            <w:vAlign w:val="center"/>
          </w:tcPr>
          <w:p w14:paraId="61AB6734"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07A3114F"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44</w:t>
            </w:r>
            <w:r>
              <w:rPr>
                <w:snapToGrid w:val="0"/>
                <w:lang w:eastAsia="en-US"/>
              </w:rPr>
              <w:t xml:space="preserve"> </w:t>
            </w:r>
            <w:r w:rsidRPr="00383613">
              <w:rPr>
                <w:snapToGrid w:val="0"/>
                <w:lang w:eastAsia="en-US"/>
              </w:rPr>
              <w:t>(53)</w:t>
            </w:r>
          </w:p>
        </w:tc>
        <w:tc>
          <w:tcPr>
            <w:tcW w:w="617" w:type="pct"/>
            <w:shd w:val="clear" w:color="auto" w:fill="auto"/>
            <w:vAlign w:val="center"/>
          </w:tcPr>
          <w:p w14:paraId="15DBA7E4" w14:textId="77777777" w:rsidR="0057621D" w:rsidRPr="009A7A2F" w:rsidRDefault="0057621D" w:rsidP="006274B7">
            <w:pPr>
              <w:pStyle w:val="Tabletext1"/>
              <w:spacing w:before="40" w:after="40" w:line="288" w:lineRule="auto"/>
              <w:rPr>
                <w:lang w:eastAsia="en-US"/>
              </w:rPr>
            </w:pPr>
            <w:r w:rsidRPr="009A7A2F">
              <w:rPr>
                <w:lang w:eastAsia="en-US"/>
              </w:rPr>
              <w:t xml:space="preserve">34 </w:t>
            </w:r>
            <w:r w:rsidRPr="009A7A2F">
              <w:rPr>
                <w:snapToGrid w:val="0"/>
                <w:lang w:eastAsia="en-US"/>
              </w:rPr>
              <w:t>months</w:t>
            </w:r>
          </w:p>
          <w:p w14:paraId="26C4A567"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610A3682" w14:textId="722348F2" w:rsidR="0057621D" w:rsidRPr="00383613" w:rsidRDefault="00392305" w:rsidP="006274B7">
            <w:pPr>
              <w:pStyle w:val="Tabletext1"/>
              <w:spacing w:before="40" w:after="40" w:line="288" w:lineRule="auto"/>
              <w:rPr>
                <w:snapToGrid w:val="0"/>
                <w:lang w:eastAsia="en-US"/>
              </w:rPr>
            </w:pPr>
            <w:r>
              <w:rPr>
                <w:snapToGrid w:val="0"/>
                <w:lang w:eastAsia="en-US"/>
              </w:rPr>
              <w:t>87</w:t>
            </w:r>
            <w:r w:rsidR="00D327BF">
              <w:rPr>
                <w:snapToGrid w:val="0"/>
                <w:lang w:eastAsia="en-US"/>
              </w:rPr>
              <w:t>%</w:t>
            </w:r>
          </w:p>
        </w:tc>
        <w:tc>
          <w:tcPr>
            <w:tcW w:w="677" w:type="pct"/>
            <w:vAlign w:val="center"/>
          </w:tcPr>
          <w:p w14:paraId="5FDA0E1D" w14:textId="2D7791D2" w:rsidR="0057621D" w:rsidRPr="00383613" w:rsidRDefault="00392305" w:rsidP="006274B7">
            <w:pPr>
              <w:pStyle w:val="Tabletext1"/>
              <w:spacing w:before="40" w:after="40" w:line="288" w:lineRule="auto"/>
              <w:rPr>
                <w:snapToGrid w:val="0"/>
                <w:lang w:eastAsia="en-US"/>
              </w:rPr>
            </w:pPr>
            <w:r>
              <w:rPr>
                <w:snapToGrid w:val="0"/>
                <w:lang w:eastAsia="en-US"/>
              </w:rPr>
              <w:t>60</w:t>
            </w:r>
            <w:r w:rsidR="00D327BF">
              <w:rPr>
                <w:snapToGrid w:val="0"/>
                <w:lang w:eastAsia="en-US"/>
              </w:rPr>
              <w:t>%</w:t>
            </w:r>
          </w:p>
        </w:tc>
        <w:tc>
          <w:tcPr>
            <w:tcW w:w="677" w:type="pct"/>
            <w:vAlign w:val="center"/>
          </w:tcPr>
          <w:p w14:paraId="4B5C5629"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3" w:type="pct"/>
            <w:vAlign w:val="center"/>
          </w:tcPr>
          <w:p w14:paraId="306244C1"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r>
      <w:tr w:rsidR="00CA4C81" w:rsidRPr="00383613" w14:paraId="473C38C5" w14:textId="77777777" w:rsidTr="00491880">
        <w:tc>
          <w:tcPr>
            <w:tcW w:w="617" w:type="pct"/>
            <w:shd w:val="clear" w:color="auto" w:fill="auto"/>
            <w:vAlign w:val="center"/>
          </w:tcPr>
          <w:p w14:paraId="6D7F4AC8" w14:textId="77777777" w:rsidR="00CA4C81" w:rsidRPr="00383613" w:rsidRDefault="00CA4C81" w:rsidP="006274B7">
            <w:pPr>
              <w:pStyle w:val="Tabletext1"/>
              <w:spacing w:before="40" w:after="40" w:line="288" w:lineRule="auto"/>
              <w:rPr>
                <w:snapToGrid w:val="0"/>
                <w:lang w:eastAsia="en-US"/>
              </w:rPr>
            </w:pPr>
            <w:r w:rsidRPr="00383613">
              <w:rPr>
                <w:snapToGrid w:val="0"/>
                <w:lang w:eastAsia="en-US"/>
              </w:rPr>
              <w:t>Kim et al (2009)</w:t>
            </w:r>
          </w:p>
        </w:tc>
        <w:tc>
          <w:tcPr>
            <w:tcW w:w="548" w:type="pct"/>
            <w:vAlign w:val="center"/>
          </w:tcPr>
          <w:p w14:paraId="4764D0F8" w14:textId="77777777" w:rsidR="00CA4C81" w:rsidRPr="00383613" w:rsidRDefault="00B511F8" w:rsidP="006274B7">
            <w:pPr>
              <w:pStyle w:val="Tabletext1"/>
              <w:spacing w:before="40" w:after="40" w:line="288" w:lineRule="auto"/>
              <w:rPr>
                <w:snapToGrid w:val="0"/>
                <w:lang w:eastAsia="en-US"/>
              </w:rPr>
            </w:pPr>
            <w:r w:rsidRPr="00383613">
              <w:rPr>
                <w:snapToGrid w:val="0"/>
                <w:lang w:eastAsia="en-US"/>
              </w:rPr>
              <w:t>Helical tomotherapy</w:t>
            </w:r>
          </w:p>
        </w:tc>
        <w:tc>
          <w:tcPr>
            <w:tcW w:w="514" w:type="pct"/>
            <w:shd w:val="clear" w:color="auto" w:fill="auto"/>
            <w:vAlign w:val="center"/>
          </w:tcPr>
          <w:p w14:paraId="01B18CBE" w14:textId="77777777" w:rsidR="00CA4C81" w:rsidRPr="00383613" w:rsidRDefault="00CA4C81" w:rsidP="006274B7">
            <w:pPr>
              <w:pStyle w:val="Tabletext1"/>
              <w:spacing w:before="40" w:after="40" w:line="288" w:lineRule="auto"/>
              <w:rPr>
                <w:snapToGrid w:val="0"/>
                <w:lang w:eastAsia="en-US"/>
              </w:rPr>
            </w:pPr>
            <w:r w:rsidRPr="00383613">
              <w:rPr>
                <w:snapToGrid w:val="0"/>
                <w:lang w:eastAsia="en-US"/>
              </w:rPr>
              <w:t>31</w:t>
            </w:r>
            <w:r>
              <w:rPr>
                <w:snapToGrid w:val="0"/>
                <w:lang w:eastAsia="en-US"/>
              </w:rPr>
              <w:t xml:space="preserve"> </w:t>
            </w:r>
            <w:r w:rsidRPr="00383613">
              <w:rPr>
                <w:snapToGrid w:val="0"/>
                <w:lang w:eastAsia="en-US"/>
              </w:rPr>
              <w:t>(134)</w:t>
            </w:r>
          </w:p>
        </w:tc>
        <w:tc>
          <w:tcPr>
            <w:tcW w:w="617" w:type="pct"/>
            <w:shd w:val="clear" w:color="auto" w:fill="auto"/>
            <w:vAlign w:val="center"/>
          </w:tcPr>
          <w:p w14:paraId="137115EA" w14:textId="77777777" w:rsidR="00CA4C81" w:rsidRPr="009A7A2F" w:rsidRDefault="00CA4C81" w:rsidP="006274B7">
            <w:pPr>
              <w:pStyle w:val="Tabletext1"/>
              <w:spacing w:before="40" w:after="40" w:line="288" w:lineRule="auto"/>
              <w:rPr>
                <w:lang w:eastAsia="en-US"/>
              </w:rPr>
            </w:pPr>
            <w:r w:rsidRPr="009A7A2F">
              <w:rPr>
                <w:lang w:eastAsia="en-US"/>
              </w:rPr>
              <w:t>16</w:t>
            </w:r>
            <w:r w:rsidRPr="009A7A2F">
              <w:rPr>
                <w:snapToGrid w:val="0"/>
                <w:lang w:eastAsia="en-US"/>
              </w:rPr>
              <w:t xml:space="preserve"> months</w:t>
            </w:r>
          </w:p>
          <w:p w14:paraId="74627106" w14:textId="77777777" w:rsidR="00CA4C81" w:rsidRPr="009A7A2F" w:rsidRDefault="00CA4C81" w:rsidP="006274B7">
            <w:pPr>
              <w:pStyle w:val="Tabletext1"/>
              <w:spacing w:before="40" w:after="40" w:line="288" w:lineRule="auto"/>
              <w:rPr>
                <w:lang w:eastAsia="en-US"/>
              </w:rPr>
            </w:pPr>
            <w:r w:rsidRPr="009A7A2F">
              <w:rPr>
                <w:lang w:eastAsia="en-US"/>
              </w:rPr>
              <w:t>(SD 2.2)</w:t>
            </w:r>
          </w:p>
        </w:tc>
        <w:tc>
          <w:tcPr>
            <w:tcW w:w="677" w:type="pct"/>
            <w:shd w:val="clear" w:color="auto" w:fill="auto"/>
            <w:vAlign w:val="center"/>
          </w:tcPr>
          <w:p w14:paraId="7F96DACD" w14:textId="5F21EAAC" w:rsidR="00CA4C81" w:rsidRPr="00383613" w:rsidRDefault="00392305" w:rsidP="006274B7">
            <w:pPr>
              <w:pStyle w:val="Tabletext1"/>
              <w:spacing w:before="40" w:after="40" w:line="288" w:lineRule="auto"/>
              <w:rPr>
                <w:snapToGrid w:val="0"/>
                <w:lang w:eastAsia="en-US"/>
              </w:rPr>
            </w:pPr>
            <w:r>
              <w:rPr>
                <w:snapToGrid w:val="0"/>
                <w:lang w:eastAsia="en-US"/>
              </w:rPr>
              <w:t>61</w:t>
            </w:r>
            <w:r w:rsidR="00D327BF">
              <w:rPr>
                <w:snapToGrid w:val="0"/>
                <w:lang w:eastAsia="en-US"/>
              </w:rPr>
              <w:t>%</w:t>
            </w:r>
          </w:p>
        </w:tc>
        <w:tc>
          <w:tcPr>
            <w:tcW w:w="677" w:type="pct"/>
            <w:vAlign w:val="center"/>
          </w:tcPr>
          <w:p w14:paraId="5954F2C4" w14:textId="77777777" w:rsidR="00CA4C81" w:rsidRPr="00383613" w:rsidRDefault="00CA4C81" w:rsidP="006274B7">
            <w:pPr>
              <w:pStyle w:val="Tabletext1"/>
              <w:spacing w:before="40" w:after="40" w:line="288" w:lineRule="auto"/>
              <w:rPr>
                <w:snapToGrid w:val="0"/>
                <w:lang w:eastAsia="en-US"/>
              </w:rPr>
            </w:pPr>
            <w:r w:rsidRPr="00383613">
              <w:rPr>
                <w:snapToGrid w:val="0"/>
                <w:lang w:eastAsia="en-US"/>
              </w:rPr>
              <w:t>NR</w:t>
            </w:r>
          </w:p>
        </w:tc>
        <w:tc>
          <w:tcPr>
            <w:tcW w:w="677" w:type="pct"/>
            <w:vAlign w:val="center"/>
          </w:tcPr>
          <w:p w14:paraId="2AF232A1" w14:textId="77777777" w:rsidR="00CA4C81" w:rsidRPr="00383613" w:rsidRDefault="00CA4C81" w:rsidP="006274B7">
            <w:pPr>
              <w:pStyle w:val="Tabletext1"/>
              <w:spacing w:before="40" w:after="40" w:line="288" w:lineRule="auto"/>
              <w:rPr>
                <w:snapToGrid w:val="0"/>
                <w:lang w:eastAsia="en-US"/>
              </w:rPr>
            </w:pPr>
            <w:r w:rsidRPr="00383613">
              <w:rPr>
                <w:snapToGrid w:val="0"/>
                <w:lang w:eastAsia="en-US"/>
              </w:rPr>
              <w:t>NR</w:t>
            </w:r>
          </w:p>
        </w:tc>
        <w:tc>
          <w:tcPr>
            <w:tcW w:w="673" w:type="pct"/>
            <w:vAlign w:val="center"/>
          </w:tcPr>
          <w:p w14:paraId="288D13C5" w14:textId="77777777" w:rsidR="00CA4C81" w:rsidRPr="00383613" w:rsidRDefault="00CA4C81" w:rsidP="006274B7">
            <w:pPr>
              <w:pStyle w:val="Tabletext1"/>
              <w:spacing w:before="40" w:after="40" w:line="288" w:lineRule="auto"/>
              <w:rPr>
                <w:snapToGrid w:val="0"/>
                <w:lang w:eastAsia="en-US"/>
              </w:rPr>
            </w:pPr>
            <w:r w:rsidRPr="00383613">
              <w:rPr>
                <w:snapToGrid w:val="0"/>
                <w:lang w:eastAsia="en-US"/>
              </w:rPr>
              <w:t>NR</w:t>
            </w:r>
          </w:p>
        </w:tc>
      </w:tr>
      <w:tr w:rsidR="0057621D" w:rsidRPr="00383613" w14:paraId="58940974" w14:textId="77777777" w:rsidTr="00491880">
        <w:tc>
          <w:tcPr>
            <w:tcW w:w="617" w:type="pct"/>
            <w:shd w:val="clear" w:color="auto" w:fill="auto"/>
            <w:vAlign w:val="center"/>
          </w:tcPr>
          <w:p w14:paraId="6C5AACFD"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Navirra et al (2015)</w:t>
            </w:r>
          </w:p>
        </w:tc>
        <w:tc>
          <w:tcPr>
            <w:tcW w:w="548" w:type="pct"/>
            <w:vAlign w:val="center"/>
          </w:tcPr>
          <w:p w14:paraId="6DAB546D"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60D2D6CD"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28</w:t>
            </w:r>
            <w:r>
              <w:rPr>
                <w:snapToGrid w:val="0"/>
                <w:lang w:eastAsia="en-US"/>
              </w:rPr>
              <w:t xml:space="preserve"> </w:t>
            </w:r>
            <w:r w:rsidRPr="00383613">
              <w:rPr>
                <w:snapToGrid w:val="0"/>
                <w:lang w:eastAsia="en-US"/>
              </w:rPr>
              <w:t>(51)</w:t>
            </w:r>
          </w:p>
        </w:tc>
        <w:tc>
          <w:tcPr>
            <w:tcW w:w="617" w:type="pct"/>
            <w:shd w:val="clear" w:color="auto" w:fill="auto"/>
            <w:vAlign w:val="center"/>
          </w:tcPr>
          <w:p w14:paraId="13876465" w14:textId="77777777" w:rsidR="0057621D" w:rsidRPr="009A7A2F" w:rsidRDefault="0057621D" w:rsidP="006274B7">
            <w:pPr>
              <w:pStyle w:val="Tabletext1"/>
              <w:spacing w:before="40" w:after="40" w:line="288" w:lineRule="auto"/>
              <w:rPr>
                <w:lang w:eastAsia="en-US"/>
              </w:rPr>
            </w:pPr>
            <w:r w:rsidRPr="009A7A2F">
              <w:rPr>
                <w:lang w:eastAsia="en-US"/>
              </w:rPr>
              <w:t xml:space="preserve">28 </w:t>
            </w:r>
            <w:r w:rsidRPr="009A7A2F">
              <w:rPr>
                <w:snapToGrid w:val="0"/>
                <w:lang w:eastAsia="en-US"/>
              </w:rPr>
              <w:t>months</w:t>
            </w:r>
          </w:p>
          <w:p w14:paraId="4C233C13"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7EC48661"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7" w:type="pct"/>
            <w:vAlign w:val="center"/>
          </w:tcPr>
          <w:p w14:paraId="54644381" w14:textId="10FA77E5" w:rsidR="0057621D" w:rsidRPr="00383613" w:rsidRDefault="0057621D" w:rsidP="006274B7">
            <w:pPr>
              <w:pStyle w:val="Tabletext1"/>
              <w:spacing w:before="40" w:after="40" w:line="288" w:lineRule="auto"/>
              <w:rPr>
                <w:snapToGrid w:val="0"/>
                <w:lang w:eastAsia="en-US"/>
              </w:rPr>
            </w:pPr>
            <w:r w:rsidRPr="00383613">
              <w:rPr>
                <w:snapToGrid w:val="0"/>
                <w:lang w:eastAsia="en-US"/>
              </w:rPr>
              <w:t>5</w:t>
            </w:r>
            <w:r>
              <w:rPr>
                <w:snapToGrid w:val="0"/>
                <w:lang w:eastAsia="en-US"/>
              </w:rPr>
              <w:t>6</w:t>
            </w:r>
            <w:r w:rsidR="00D327BF">
              <w:rPr>
                <w:snapToGrid w:val="0"/>
                <w:lang w:eastAsia="en-US"/>
              </w:rPr>
              <w:t>%</w:t>
            </w:r>
            <w:r w:rsidRPr="00383613">
              <w:rPr>
                <w:snapToGrid w:val="0"/>
                <w:lang w:eastAsia="en-US"/>
              </w:rPr>
              <w:t xml:space="preserve"> ± 1</w:t>
            </w:r>
            <w:r>
              <w:rPr>
                <w:snapToGrid w:val="0"/>
                <w:lang w:eastAsia="en-US"/>
              </w:rPr>
              <w:t>1</w:t>
            </w:r>
            <w:r w:rsidR="00D327BF">
              <w:rPr>
                <w:snapToGrid w:val="0"/>
                <w:lang w:eastAsia="en-US"/>
              </w:rPr>
              <w:t>%</w:t>
            </w:r>
          </w:p>
        </w:tc>
        <w:tc>
          <w:tcPr>
            <w:tcW w:w="677" w:type="pct"/>
            <w:vAlign w:val="center"/>
          </w:tcPr>
          <w:p w14:paraId="257E86E7"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3" w:type="pct"/>
            <w:vAlign w:val="center"/>
          </w:tcPr>
          <w:p w14:paraId="020A19FF" w14:textId="73D633E7" w:rsidR="0057621D" w:rsidRPr="00383613" w:rsidRDefault="0057621D" w:rsidP="006274B7">
            <w:pPr>
              <w:pStyle w:val="Tabletext1"/>
              <w:spacing w:before="40" w:after="40" w:line="288" w:lineRule="auto"/>
              <w:rPr>
                <w:snapToGrid w:val="0"/>
                <w:lang w:eastAsia="en-US"/>
              </w:rPr>
            </w:pPr>
            <w:r>
              <w:rPr>
                <w:snapToGrid w:val="0"/>
                <w:lang w:eastAsia="en-US"/>
              </w:rPr>
              <w:t>43</w:t>
            </w:r>
            <w:r w:rsidR="00D327BF">
              <w:rPr>
                <w:snapToGrid w:val="0"/>
                <w:lang w:eastAsia="en-US"/>
              </w:rPr>
              <w:t>%</w:t>
            </w:r>
            <w:r w:rsidRPr="00383613">
              <w:rPr>
                <w:snapToGrid w:val="0"/>
                <w:lang w:eastAsia="en-US"/>
              </w:rPr>
              <w:t xml:space="preserve"> ± 1</w:t>
            </w:r>
            <w:r>
              <w:rPr>
                <w:snapToGrid w:val="0"/>
                <w:lang w:eastAsia="en-US"/>
              </w:rPr>
              <w:t>2</w:t>
            </w:r>
            <w:r w:rsidR="00D327BF">
              <w:rPr>
                <w:snapToGrid w:val="0"/>
                <w:lang w:eastAsia="en-US"/>
              </w:rPr>
              <w:t>%</w:t>
            </w:r>
          </w:p>
        </w:tc>
      </w:tr>
      <w:tr w:rsidR="0057621D" w:rsidRPr="00383613" w14:paraId="116E979A" w14:textId="77777777" w:rsidTr="00491880">
        <w:tc>
          <w:tcPr>
            <w:tcW w:w="617" w:type="pct"/>
            <w:shd w:val="clear" w:color="auto" w:fill="auto"/>
            <w:vAlign w:val="center"/>
          </w:tcPr>
          <w:p w14:paraId="423B7B5D"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Navirra et al (2014)</w:t>
            </w:r>
          </w:p>
        </w:tc>
        <w:tc>
          <w:tcPr>
            <w:tcW w:w="548" w:type="pct"/>
            <w:vAlign w:val="center"/>
          </w:tcPr>
          <w:p w14:paraId="7EF86F8E"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1BDC9373"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76</w:t>
            </w:r>
            <w:r>
              <w:rPr>
                <w:snapToGrid w:val="0"/>
                <w:lang w:eastAsia="en-US"/>
              </w:rPr>
              <w:t xml:space="preserve"> </w:t>
            </w:r>
            <w:r w:rsidRPr="00383613">
              <w:rPr>
                <w:snapToGrid w:val="0"/>
                <w:lang w:eastAsia="en-US"/>
              </w:rPr>
              <w:t>(118)</w:t>
            </w:r>
          </w:p>
        </w:tc>
        <w:tc>
          <w:tcPr>
            <w:tcW w:w="617" w:type="pct"/>
            <w:shd w:val="clear" w:color="auto" w:fill="auto"/>
            <w:vAlign w:val="center"/>
          </w:tcPr>
          <w:p w14:paraId="781155CD" w14:textId="77777777" w:rsidR="0057621D" w:rsidRPr="009A7A2F" w:rsidRDefault="0057621D" w:rsidP="006274B7">
            <w:pPr>
              <w:pStyle w:val="Tabletext1"/>
              <w:spacing w:before="40" w:after="40" w:line="288" w:lineRule="auto"/>
              <w:rPr>
                <w:lang w:eastAsia="en-US"/>
              </w:rPr>
            </w:pPr>
            <w:r w:rsidRPr="009A7A2F">
              <w:rPr>
                <w:lang w:eastAsia="en-US"/>
              </w:rPr>
              <w:t xml:space="preserve">20 </w:t>
            </w:r>
            <w:r w:rsidRPr="009A7A2F">
              <w:rPr>
                <w:snapToGrid w:val="0"/>
                <w:lang w:eastAsia="en-US"/>
              </w:rPr>
              <w:t>months</w:t>
            </w:r>
          </w:p>
          <w:p w14:paraId="4C158E10"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71F7C790" w14:textId="7B920918" w:rsidR="0057621D" w:rsidRPr="00383613" w:rsidRDefault="0057621D" w:rsidP="006274B7">
            <w:pPr>
              <w:pStyle w:val="Tabletext1"/>
              <w:spacing w:before="40" w:after="40" w:line="288" w:lineRule="auto"/>
              <w:rPr>
                <w:snapToGrid w:val="0"/>
                <w:lang w:eastAsia="en-US"/>
              </w:rPr>
            </w:pPr>
            <w:r w:rsidRPr="00383613">
              <w:rPr>
                <w:snapToGrid w:val="0"/>
                <w:lang w:eastAsia="en-US"/>
              </w:rPr>
              <w:t>84</w:t>
            </w:r>
            <w:r w:rsidR="00D327BF">
              <w:rPr>
                <w:snapToGrid w:val="0"/>
                <w:lang w:eastAsia="en-US"/>
              </w:rPr>
              <w:t>%</w:t>
            </w:r>
          </w:p>
        </w:tc>
        <w:tc>
          <w:tcPr>
            <w:tcW w:w="677" w:type="pct"/>
            <w:vAlign w:val="center"/>
          </w:tcPr>
          <w:p w14:paraId="49AFD1A7" w14:textId="2C73D861" w:rsidR="0057621D" w:rsidRPr="00383613" w:rsidRDefault="0057621D" w:rsidP="006274B7">
            <w:pPr>
              <w:pStyle w:val="Tabletext1"/>
              <w:spacing w:before="40" w:after="40" w:line="288" w:lineRule="auto"/>
              <w:rPr>
                <w:snapToGrid w:val="0"/>
                <w:lang w:eastAsia="en-US"/>
              </w:rPr>
            </w:pPr>
            <w:r w:rsidRPr="00383613">
              <w:rPr>
                <w:snapToGrid w:val="0"/>
                <w:lang w:eastAsia="en-US"/>
              </w:rPr>
              <w:t>73</w:t>
            </w:r>
            <w:r w:rsidR="00D327BF">
              <w:rPr>
                <w:snapToGrid w:val="0"/>
                <w:lang w:eastAsia="en-US"/>
              </w:rPr>
              <w:t>%</w:t>
            </w:r>
          </w:p>
        </w:tc>
        <w:tc>
          <w:tcPr>
            <w:tcW w:w="677" w:type="pct"/>
            <w:vAlign w:val="center"/>
          </w:tcPr>
          <w:p w14:paraId="790AD4B2" w14:textId="7340C20C" w:rsidR="0057621D" w:rsidRPr="00383613" w:rsidRDefault="0057621D" w:rsidP="006274B7">
            <w:pPr>
              <w:pStyle w:val="Tabletext1"/>
              <w:spacing w:before="40" w:after="40" w:line="288" w:lineRule="auto"/>
              <w:rPr>
                <w:snapToGrid w:val="0"/>
                <w:lang w:eastAsia="en-US"/>
              </w:rPr>
            </w:pPr>
            <w:r w:rsidRPr="00383613">
              <w:rPr>
                <w:snapToGrid w:val="0"/>
                <w:lang w:eastAsia="en-US"/>
              </w:rPr>
              <w:t>73</w:t>
            </w:r>
            <w:r w:rsidR="00D327BF">
              <w:rPr>
                <w:snapToGrid w:val="0"/>
                <w:lang w:eastAsia="en-US"/>
              </w:rPr>
              <w:t>%</w:t>
            </w:r>
          </w:p>
        </w:tc>
        <w:tc>
          <w:tcPr>
            <w:tcW w:w="673" w:type="pct"/>
            <w:vAlign w:val="center"/>
          </w:tcPr>
          <w:p w14:paraId="2F8EB97C"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r>
      <w:tr w:rsidR="0057621D" w:rsidRPr="00383613" w14:paraId="69A5248C" w14:textId="77777777" w:rsidTr="00491880">
        <w:tc>
          <w:tcPr>
            <w:tcW w:w="617" w:type="pct"/>
            <w:shd w:val="clear" w:color="auto" w:fill="auto"/>
            <w:vAlign w:val="center"/>
          </w:tcPr>
          <w:p w14:paraId="5ABAA258"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Norihisa et al (2008)</w:t>
            </w:r>
          </w:p>
        </w:tc>
        <w:tc>
          <w:tcPr>
            <w:tcW w:w="548" w:type="pct"/>
            <w:vAlign w:val="center"/>
          </w:tcPr>
          <w:p w14:paraId="44F2FB09"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389565C8"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34</w:t>
            </w:r>
            <w:r>
              <w:rPr>
                <w:snapToGrid w:val="0"/>
                <w:lang w:eastAsia="en-US"/>
              </w:rPr>
              <w:t xml:space="preserve"> </w:t>
            </w:r>
            <w:r w:rsidRPr="00383613">
              <w:rPr>
                <w:snapToGrid w:val="0"/>
                <w:lang w:eastAsia="en-US"/>
              </w:rPr>
              <w:t>(43)</w:t>
            </w:r>
          </w:p>
        </w:tc>
        <w:tc>
          <w:tcPr>
            <w:tcW w:w="617" w:type="pct"/>
            <w:shd w:val="clear" w:color="auto" w:fill="auto"/>
            <w:vAlign w:val="center"/>
          </w:tcPr>
          <w:p w14:paraId="566E7781"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66EB8580" w14:textId="77777777" w:rsidR="0057621D" w:rsidRPr="00383613" w:rsidRDefault="0057621D" w:rsidP="006274B7">
            <w:pPr>
              <w:pStyle w:val="Tabletext1"/>
              <w:spacing w:before="40" w:after="40" w:line="288" w:lineRule="auto"/>
              <w:rPr>
                <w:snapToGrid w:val="0"/>
                <w:lang w:eastAsia="en-US"/>
              </w:rPr>
            </w:pPr>
            <w:r>
              <w:rPr>
                <w:snapToGrid w:val="0"/>
                <w:lang w:eastAsia="en-US"/>
              </w:rPr>
              <w:t>NR</w:t>
            </w:r>
          </w:p>
        </w:tc>
        <w:tc>
          <w:tcPr>
            <w:tcW w:w="677" w:type="pct"/>
            <w:vAlign w:val="center"/>
          </w:tcPr>
          <w:p w14:paraId="746D6014" w14:textId="16614B23" w:rsidR="0057621D" w:rsidRPr="00383613" w:rsidRDefault="00392305" w:rsidP="006274B7">
            <w:pPr>
              <w:pStyle w:val="Tabletext1"/>
              <w:spacing w:before="40" w:after="40" w:line="288" w:lineRule="auto"/>
              <w:rPr>
                <w:snapToGrid w:val="0"/>
                <w:lang w:eastAsia="en-US"/>
              </w:rPr>
            </w:pPr>
            <w:r>
              <w:rPr>
                <w:snapToGrid w:val="0"/>
                <w:lang w:eastAsia="en-US"/>
              </w:rPr>
              <w:t>84</w:t>
            </w:r>
            <w:r w:rsidR="00D327BF">
              <w:rPr>
                <w:snapToGrid w:val="0"/>
                <w:lang w:eastAsia="en-US"/>
              </w:rPr>
              <w:t>%</w:t>
            </w:r>
          </w:p>
        </w:tc>
        <w:tc>
          <w:tcPr>
            <w:tcW w:w="677" w:type="pct"/>
            <w:vAlign w:val="center"/>
          </w:tcPr>
          <w:p w14:paraId="230BE4A4"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3" w:type="pct"/>
            <w:vAlign w:val="center"/>
          </w:tcPr>
          <w:p w14:paraId="1A4F2758"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r>
      <w:tr w:rsidR="0057621D" w:rsidRPr="00383613" w14:paraId="1BEDBE26" w14:textId="77777777" w:rsidTr="00491880">
        <w:tc>
          <w:tcPr>
            <w:tcW w:w="617" w:type="pct"/>
            <w:shd w:val="clear" w:color="auto" w:fill="auto"/>
            <w:vAlign w:val="center"/>
          </w:tcPr>
          <w:p w14:paraId="7F77F6EE" w14:textId="77777777" w:rsidR="0057621D" w:rsidRPr="00383613" w:rsidRDefault="0057621D" w:rsidP="006274B7">
            <w:pPr>
              <w:pStyle w:val="Tabletext1"/>
              <w:spacing w:before="40" w:after="40" w:line="288" w:lineRule="auto"/>
              <w:rPr>
                <w:snapToGrid w:val="0"/>
                <w:vertAlign w:val="superscript"/>
                <w:lang w:eastAsia="en-US"/>
              </w:rPr>
            </w:pPr>
            <w:r w:rsidRPr="00383613">
              <w:rPr>
                <w:snapToGrid w:val="0"/>
                <w:lang w:eastAsia="en-US"/>
              </w:rPr>
              <w:t>Nuytens et al (2015)</w:t>
            </w:r>
          </w:p>
        </w:tc>
        <w:tc>
          <w:tcPr>
            <w:tcW w:w="548" w:type="pct"/>
            <w:vAlign w:val="center"/>
          </w:tcPr>
          <w:p w14:paraId="38491421"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6695FFA4"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30</w:t>
            </w:r>
            <w:r>
              <w:rPr>
                <w:snapToGrid w:val="0"/>
                <w:lang w:eastAsia="en-US"/>
              </w:rPr>
              <w:t xml:space="preserve"> </w:t>
            </w:r>
            <w:r w:rsidRPr="00383613">
              <w:rPr>
                <w:snapToGrid w:val="0"/>
                <w:lang w:eastAsia="en-US"/>
              </w:rPr>
              <w:t>(57)</w:t>
            </w:r>
          </w:p>
        </w:tc>
        <w:tc>
          <w:tcPr>
            <w:tcW w:w="617" w:type="pct"/>
            <w:shd w:val="clear" w:color="auto" w:fill="auto"/>
            <w:vAlign w:val="center"/>
          </w:tcPr>
          <w:p w14:paraId="237D25A0"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131925F2"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7" w:type="pct"/>
            <w:vAlign w:val="center"/>
          </w:tcPr>
          <w:p w14:paraId="57CEC893" w14:textId="77777777" w:rsidR="00D327BF" w:rsidRDefault="00D327BF" w:rsidP="006274B7">
            <w:pPr>
              <w:pStyle w:val="Tabletext1"/>
              <w:spacing w:before="40" w:after="40" w:line="288" w:lineRule="auto"/>
              <w:rPr>
                <w:snapToGrid w:val="0"/>
                <w:lang w:eastAsia="en-US"/>
              </w:rPr>
            </w:pPr>
            <w:r>
              <w:rPr>
                <w:snapToGrid w:val="0"/>
                <w:lang w:eastAsia="en-US"/>
              </w:rPr>
              <w:t xml:space="preserve">63% </w:t>
            </w:r>
          </w:p>
          <w:p w14:paraId="6DFFCF12" w14:textId="3CCB701D" w:rsidR="0057621D" w:rsidRPr="00383613" w:rsidRDefault="0057621D" w:rsidP="006274B7">
            <w:pPr>
              <w:pStyle w:val="Tabletext1"/>
              <w:spacing w:before="40" w:after="40" w:line="288" w:lineRule="auto"/>
              <w:rPr>
                <w:snapToGrid w:val="0"/>
                <w:lang w:eastAsia="en-US"/>
              </w:rPr>
            </w:pPr>
            <w:r w:rsidRPr="00383613">
              <w:rPr>
                <w:snapToGrid w:val="0"/>
                <w:lang w:eastAsia="en-US"/>
              </w:rPr>
              <w:t>(43</w:t>
            </w:r>
            <w:r w:rsidR="007E3D66">
              <w:rPr>
                <w:snapToGrid w:val="0"/>
                <w:lang w:eastAsia="en-US"/>
              </w:rPr>
              <w:t>–</w:t>
            </w:r>
            <w:r w:rsidRPr="00383613">
              <w:rPr>
                <w:snapToGrid w:val="0"/>
                <w:lang w:eastAsia="en-US"/>
              </w:rPr>
              <w:t>78</w:t>
            </w:r>
            <w:r w:rsidR="00D327BF">
              <w:rPr>
                <w:snapToGrid w:val="0"/>
                <w:lang w:eastAsia="en-US"/>
              </w:rPr>
              <w:t>%</w:t>
            </w:r>
            <w:r w:rsidRPr="00383613">
              <w:rPr>
                <w:snapToGrid w:val="0"/>
                <w:lang w:eastAsia="en-US"/>
              </w:rPr>
              <w:t>)</w:t>
            </w:r>
          </w:p>
        </w:tc>
        <w:tc>
          <w:tcPr>
            <w:tcW w:w="677" w:type="pct"/>
            <w:vAlign w:val="center"/>
          </w:tcPr>
          <w:p w14:paraId="09B7D87C"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3" w:type="pct"/>
            <w:vAlign w:val="center"/>
          </w:tcPr>
          <w:p w14:paraId="6CF8B2BC" w14:textId="77777777" w:rsidR="0057621D" w:rsidRPr="00383613" w:rsidRDefault="00555AE0" w:rsidP="006274B7">
            <w:pPr>
              <w:pStyle w:val="Tabletext1"/>
              <w:spacing w:before="40" w:after="40" w:line="288" w:lineRule="auto"/>
              <w:rPr>
                <w:snapToGrid w:val="0"/>
                <w:lang w:eastAsia="en-US"/>
              </w:rPr>
            </w:pPr>
            <w:r>
              <w:rPr>
                <w:snapToGrid w:val="0"/>
                <w:lang w:eastAsia="en-US"/>
              </w:rPr>
              <w:t>NR</w:t>
            </w:r>
          </w:p>
        </w:tc>
      </w:tr>
      <w:tr w:rsidR="0057621D" w:rsidRPr="00383613" w14:paraId="4ACB4643" w14:textId="77777777" w:rsidTr="00491880">
        <w:tc>
          <w:tcPr>
            <w:tcW w:w="617" w:type="pct"/>
            <w:shd w:val="clear" w:color="auto" w:fill="auto"/>
            <w:vAlign w:val="center"/>
          </w:tcPr>
          <w:p w14:paraId="0AA4885B"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Oh et al (2012)</w:t>
            </w:r>
          </w:p>
        </w:tc>
        <w:tc>
          <w:tcPr>
            <w:tcW w:w="548" w:type="pct"/>
            <w:vAlign w:val="center"/>
          </w:tcPr>
          <w:p w14:paraId="650FC8A6"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29916DFC"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57</w:t>
            </w:r>
            <w:r>
              <w:rPr>
                <w:snapToGrid w:val="0"/>
                <w:lang w:eastAsia="en-US"/>
              </w:rPr>
              <w:t xml:space="preserve"> </w:t>
            </w:r>
            <w:r w:rsidRPr="00383613">
              <w:rPr>
                <w:snapToGrid w:val="0"/>
                <w:lang w:eastAsia="en-US"/>
              </w:rPr>
              <w:t>(67)</w:t>
            </w:r>
          </w:p>
        </w:tc>
        <w:tc>
          <w:tcPr>
            <w:tcW w:w="617" w:type="pct"/>
            <w:shd w:val="clear" w:color="auto" w:fill="auto"/>
            <w:vAlign w:val="center"/>
          </w:tcPr>
          <w:p w14:paraId="4B3522AE"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508047A6"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7" w:type="pct"/>
            <w:vAlign w:val="center"/>
          </w:tcPr>
          <w:p w14:paraId="64498E5C" w14:textId="4B7CD98E" w:rsidR="0057621D" w:rsidRPr="00383613" w:rsidRDefault="00392305" w:rsidP="006274B7">
            <w:pPr>
              <w:pStyle w:val="Tabletext1"/>
              <w:spacing w:before="40" w:after="40" w:line="288" w:lineRule="auto"/>
              <w:rPr>
                <w:snapToGrid w:val="0"/>
                <w:lang w:eastAsia="en-US"/>
              </w:rPr>
            </w:pPr>
            <w:r>
              <w:rPr>
                <w:snapToGrid w:val="0"/>
                <w:lang w:eastAsia="en-US"/>
              </w:rPr>
              <w:t>60</w:t>
            </w:r>
            <w:r w:rsidR="00D327BF">
              <w:rPr>
                <w:snapToGrid w:val="0"/>
                <w:lang w:eastAsia="en-US"/>
              </w:rPr>
              <w:t>%</w:t>
            </w:r>
          </w:p>
        </w:tc>
        <w:tc>
          <w:tcPr>
            <w:tcW w:w="677" w:type="pct"/>
            <w:vAlign w:val="center"/>
          </w:tcPr>
          <w:p w14:paraId="74E73E34"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3" w:type="pct"/>
            <w:vAlign w:val="center"/>
          </w:tcPr>
          <w:p w14:paraId="664A4879" w14:textId="6FF0E649" w:rsidR="0057621D" w:rsidRPr="00383613" w:rsidRDefault="00D327BF" w:rsidP="006274B7">
            <w:pPr>
              <w:pStyle w:val="Tabletext1"/>
              <w:spacing w:before="40" w:after="40" w:line="288" w:lineRule="auto"/>
              <w:rPr>
                <w:snapToGrid w:val="0"/>
                <w:lang w:eastAsia="en-US"/>
              </w:rPr>
            </w:pPr>
            <w:r>
              <w:rPr>
                <w:snapToGrid w:val="0"/>
                <w:lang w:eastAsia="en-US"/>
              </w:rPr>
              <w:t>56%</w:t>
            </w:r>
          </w:p>
        </w:tc>
      </w:tr>
      <w:tr w:rsidR="0057621D" w:rsidRPr="00383613" w14:paraId="33FBD9AA" w14:textId="77777777" w:rsidTr="00491880">
        <w:tc>
          <w:tcPr>
            <w:tcW w:w="617" w:type="pct"/>
            <w:shd w:val="clear" w:color="auto" w:fill="auto"/>
            <w:vAlign w:val="center"/>
          </w:tcPr>
          <w:p w14:paraId="73535F4A"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Osti et al (2013)</w:t>
            </w:r>
          </w:p>
        </w:tc>
        <w:tc>
          <w:tcPr>
            <w:tcW w:w="548" w:type="pct"/>
            <w:vAlign w:val="center"/>
          </w:tcPr>
          <w:p w14:paraId="607B89C0"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7E606BEE" w14:textId="77777777" w:rsidR="0057621D" w:rsidRPr="00383613" w:rsidRDefault="0057621D" w:rsidP="006274B7">
            <w:pPr>
              <w:pStyle w:val="Tabletext1"/>
              <w:spacing w:before="40" w:after="40" w:line="288" w:lineRule="auto"/>
              <w:rPr>
                <w:snapToGrid w:val="0"/>
                <w:lang w:eastAsia="en-US"/>
              </w:rPr>
            </w:pPr>
            <w:r>
              <w:rPr>
                <w:snapToGrid w:val="0"/>
                <w:lang w:eastAsia="en-US"/>
              </w:rPr>
              <w:t xml:space="preserve">66 </w:t>
            </w:r>
            <w:r w:rsidRPr="00383613">
              <w:rPr>
                <w:snapToGrid w:val="0"/>
                <w:lang w:eastAsia="en-US"/>
              </w:rPr>
              <w:t>(103)</w:t>
            </w:r>
          </w:p>
        </w:tc>
        <w:tc>
          <w:tcPr>
            <w:tcW w:w="617" w:type="pct"/>
            <w:shd w:val="clear" w:color="auto" w:fill="auto"/>
            <w:vAlign w:val="center"/>
          </w:tcPr>
          <w:p w14:paraId="541979DA" w14:textId="77777777" w:rsidR="0057621D" w:rsidRPr="009A7A2F" w:rsidRDefault="0057621D" w:rsidP="006274B7">
            <w:pPr>
              <w:pStyle w:val="Tabletext1"/>
              <w:spacing w:before="40" w:after="40" w:line="288" w:lineRule="auto"/>
              <w:rPr>
                <w:lang w:eastAsia="en-US"/>
              </w:rPr>
            </w:pPr>
            <w:r w:rsidRPr="009A7A2F">
              <w:rPr>
                <w:lang w:eastAsia="en-US"/>
              </w:rPr>
              <w:t xml:space="preserve">12 </w:t>
            </w:r>
            <w:r w:rsidRPr="009A7A2F">
              <w:rPr>
                <w:snapToGrid w:val="0"/>
                <w:lang w:eastAsia="en-US"/>
              </w:rPr>
              <w:t>months</w:t>
            </w:r>
          </w:p>
          <w:p w14:paraId="70648BB7"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5C50DE6B" w14:textId="50BB2455" w:rsidR="0057621D" w:rsidRPr="00383613" w:rsidRDefault="00D327BF" w:rsidP="006274B7">
            <w:pPr>
              <w:pStyle w:val="Tabletext1"/>
              <w:spacing w:before="40" w:after="40" w:line="288" w:lineRule="auto"/>
              <w:rPr>
                <w:snapToGrid w:val="0"/>
                <w:lang w:eastAsia="en-US"/>
              </w:rPr>
            </w:pPr>
            <w:r>
              <w:rPr>
                <w:snapToGrid w:val="0"/>
                <w:lang w:eastAsia="en-US"/>
              </w:rPr>
              <w:t>76%</w:t>
            </w:r>
          </w:p>
        </w:tc>
        <w:tc>
          <w:tcPr>
            <w:tcW w:w="677" w:type="pct"/>
            <w:vAlign w:val="center"/>
          </w:tcPr>
          <w:p w14:paraId="2571A14A" w14:textId="366DC398" w:rsidR="0057621D" w:rsidRPr="00383613" w:rsidRDefault="00392305" w:rsidP="006274B7">
            <w:pPr>
              <w:pStyle w:val="Tabletext1"/>
              <w:spacing w:before="40" w:after="40" w:line="288" w:lineRule="auto"/>
              <w:rPr>
                <w:snapToGrid w:val="0"/>
                <w:lang w:eastAsia="en-US"/>
              </w:rPr>
            </w:pPr>
            <w:r>
              <w:rPr>
                <w:snapToGrid w:val="0"/>
                <w:lang w:eastAsia="en-US"/>
              </w:rPr>
              <w:t>31</w:t>
            </w:r>
            <w:r w:rsidR="00D327BF">
              <w:rPr>
                <w:snapToGrid w:val="0"/>
                <w:lang w:eastAsia="en-US"/>
              </w:rPr>
              <w:t>%</w:t>
            </w:r>
          </w:p>
        </w:tc>
        <w:tc>
          <w:tcPr>
            <w:tcW w:w="677" w:type="pct"/>
            <w:vAlign w:val="center"/>
          </w:tcPr>
          <w:p w14:paraId="13455560"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3" w:type="pct"/>
            <w:vAlign w:val="center"/>
          </w:tcPr>
          <w:p w14:paraId="65E8EDE8"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r>
      <w:tr w:rsidR="0057621D" w:rsidRPr="00383613" w14:paraId="18931B63" w14:textId="77777777" w:rsidTr="00491880">
        <w:tc>
          <w:tcPr>
            <w:tcW w:w="617" w:type="pct"/>
            <w:shd w:val="clear" w:color="auto" w:fill="auto"/>
            <w:vAlign w:val="center"/>
          </w:tcPr>
          <w:p w14:paraId="5FDA1650"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Ricardi et al (2011)</w:t>
            </w:r>
          </w:p>
        </w:tc>
        <w:tc>
          <w:tcPr>
            <w:tcW w:w="548" w:type="pct"/>
            <w:vAlign w:val="center"/>
          </w:tcPr>
          <w:p w14:paraId="4C96E6CF" w14:textId="77777777" w:rsidR="0057621D" w:rsidRPr="00383613" w:rsidRDefault="0057621D"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542174AE"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61</w:t>
            </w:r>
            <w:r>
              <w:rPr>
                <w:snapToGrid w:val="0"/>
                <w:lang w:eastAsia="en-US"/>
              </w:rPr>
              <w:t xml:space="preserve"> </w:t>
            </w:r>
            <w:r w:rsidRPr="00383613">
              <w:rPr>
                <w:snapToGrid w:val="0"/>
                <w:lang w:eastAsia="en-US"/>
              </w:rPr>
              <w:t>(77)</w:t>
            </w:r>
          </w:p>
        </w:tc>
        <w:tc>
          <w:tcPr>
            <w:tcW w:w="617" w:type="pct"/>
            <w:shd w:val="clear" w:color="auto" w:fill="auto"/>
            <w:vAlign w:val="center"/>
          </w:tcPr>
          <w:p w14:paraId="22861D1E" w14:textId="77777777" w:rsidR="0057621D" w:rsidRPr="009A7A2F" w:rsidRDefault="0057621D" w:rsidP="006274B7">
            <w:pPr>
              <w:pStyle w:val="Tabletext1"/>
              <w:spacing w:before="40" w:after="40" w:line="288" w:lineRule="auto"/>
              <w:rPr>
                <w:snapToGrid w:val="0"/>
                <w:lang w:eastAsia="en-US"/>
              </w:rPr>
            </w:pPr>
            <w:r w:rsidRPr="009A7A2F">
              <w:rPr>
                <w:lang w:eastAsia="en-US"/>
              </w:rPr>
              <w:t>4</w:t>
            </w:r>
            <w:r>
              <w:rPr>
                <w:lang w:eastAsia="en-US"/>
              </w:rPr>
              <w:t>3</w:t>
            </w:r>
            <w:r w:rsidRPr="009A7A2F">
              <w:rPr>
                <w:lang w:eastAsia="en-US"/>
              </w:rPr>
              <w:t xml:space="preserve"> </w:t>
            </w:r>
            <w:r w:rsidRPr="009A7A2F">
              <w:rPr>
                <w:snapToGrid w:val="0"/>
                <w:lang w:eastAsia="en-US"/>
              </w:rPr>
              <w:t>months</w:t>
            </w:r>
          </w:p>
          <w:p w14:paraId="0E17BC94" w14:textId="77777777" w:rsidR="0057621D" w:rsidRPr="009A7A2F" w:rsidRDefault="0057621D"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3FAA217A" w14:textId="77777777" w:rsidR="0057621D" w:rsidRPr="00383613" w:rsidRDefault="0057621D" w:rsidP="006274B7">
            <w:pPr>
              <w:pStyle w:val="Tabletext1"/>
              <w:spacing w:before="40" w:after="40" w:line="288" w:lineRule="auto"/>
              <w:rPr>
                <w:snapToGrid w:val="0"/>
                <w:lang w:eastAsia="en-US"/>
              </w:rPr>
            </w:pPr>
            <w:r w:rsidRPr="00383613">
              <w:rPr>
                <w:snapToGrid w:val="0"/>
                <w:lang w:eastAsia="en-US"/>
              </w:rPr>
              <w:t>NR</w:t>
            </w:r>
          </w:p>
        </w:tc>
        <w:tc>
          <w:tcPr>
            <w:tcW w:w="677" w:type="pct"/>
            <w:vAlign w:val="center"/>
          </w:tcPr>
          <w:p w14:paraId="7CD3297F" w14:textId="07BF677F" w:rsidR="0057621D" w:rsidRPr="00383613" w:rsidRDefault="00392305" w:rsidP="006274B7">
            <w:pPr>
              <w:pStyle w:val="Tabletext1"/>
              <w:spacing w:before="40" w:after="40" w:line="288" w:lineRule="auto"/>
              <w:rPr>
                <w:snapToGrid w:val="0"/>
                <w:lang w:eastAsia="en-US"/>
              </w:rPr>
            </w:pPr>
            <w:r>
              <w:rPr>
                <w:snapToGrid w:val="0"/>
                <w:lang w:eastAsia="en-US"/>
              </w:rPr>
              <w:t>67</w:t>
            </w:r>
            <w:r w:rsidR="00D327BF">
              <w:rPr>
                <w:snapToGrid w:val="0"/>
                <w:lang w:eastAsia="en-US"/>
              </w:rPr>
              <w:t>%</w:t>
            </w:r>
          </w:p>
        </w:tc>
        <w:tc>
          <w:tcPr>
            <w:tcW w:w="677" w:type="pct"/>
            <w:vAlign w:val="center"/>
          </w:tcPr>
          <w:p w14:paraId="4BEBE7B8" w14:textId="77777777" w:rsidR="0057621D" w:rsidRPr="00383613" w:rsidRDefault="0057621D" w:rsidP="006274B7">
            <w:pPr>
              <w:pStyle w:val="Tabletext1"/>
              <w:spacing w:before="40" w:after="40" w:line="288" w:lineRule="auto"/>
            </w:pPr>
            <w:r w:rsidRPr="00383613">
              <w:rPr>
                <w:snapToGrid w:val="0"/>
                <w:lang w:eastAsia="en-US"/>
              </w:rPr>
              <w:t>NR</w:t>
            </w:r>
          </w:p>
        </w:tc>
        <w:tc>
          <w:tcPr>
            <w:tcW w:w="673" w:type="pct"/>
            <w:vAlign w:val="center"/>
          </w:tcPr>
          <w:p w14:paraId="34255DFA" w14:textId="77777777" w:rsidR="0057621D" w:rsidRPr="00383613" w:rsidRDefault="0057621D" w:rsidP="006274B7">
            <w:pPr>
              <w:pStyle w:val="Tabletext1"/>
              <w:spacing w:before="40" w:after="40" w:line="288" w:lineRule="auto"/>
            </w:pPr>
            <w:r w:rsidRPr="00383613">
              <w:rPr>
                <w:snapToGrid w:val="0"/>
                <w:lang w:eastAsia="en-US"/>
              </w:rPr>
              <w:t>NR</w:t>
            </w:r>
          </w:p>
        </w:tc>
      </w:tr>
      <w:tr w:rsidR="00CA4C81" w:rsidRPr="00383613" w14:paraId="4B749213" w14:textId="77777777" w:rsidTr="00491880">
        <w:tc>
          <w:tcPr>
            <w:tcW w:w="617" w:type="pct"/>
            <w:shd w:val="clear" w:color="auto" w:fill="auto"/>
            <w:vAlign w:val="center"/>
          </w:tcPr>
          <w:p w14:paraId="5E8E5717" w14:textId="77777777" w:rsidR="00CA4C81" w:rsidRPr="00275DE2" w:rsidRDefault="00CA4C81" w:rsidP="006274B7">
            <w:pPr>
              <w:pStyle w:val="Tabletext1"/>
              <w:spacing w:before="40" w:after="40" w:line="288" w:lineRule="auto"/>
              <w:rPr>
                <w:snapToGrid w:val="0"/>
                <w:lang w:eastAsia="en-US"/>
              </w:rPr>
            </w:pPr>
            <w:r w:rsidRPr="00275DE2">
              <w:rPr>
                <w:snapToGrid w:val="0"/>
                <w:lang w:eastAsia="en-US"/>
              </w:rPr>
              <w:t>Siva et al (2015)</w:t>
            </w:r>
          </w:p>
        </w:tc>
        <w:tc>
          <w:tcPr>
            <w:tcW w:w="548" w:type="pct"/>
            <w:vAlign w:val="center"/>
          </w:tcPr>
          <w:p w14:paraId="15AFFB0E" w14:textId="77777777" w:rsidR="00CA4C81" w:rsidRPr="00275DE2" w:rsidRDefault="00AC0431"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1B3EF891" w14:textId="77777777" w:rsidR="00CA4C81" w:rsidRPr="00275DE2" w:rsidRDefault="00CA4C81" w:rsidP="006274B7">
            <w:pPr>
              <w:pStyle w:val="Tabletext1"/>
              <w:spacing w:before="40" w:after="40" w:line="288" w:lineRule="auto"/>
              <w:rPr>
                <w:snapToGrid w:val="0"/>
                <w:lang w:eastAsia="en-US"/>
              </w:rPr>
            </w:pPr>
            <w:r w:rsidRPr="00275DE2">
              <w:rPr>
                <w:snapToGrid w:val="0"/>
                <w:lang w:eastAsia="en-US"/>
              </w:rPr>
              <w:t>65 (82)</w:t>
            </w:r>
          </w:p>
        </w:tc>
        <w:tc>
          <w:tcPr>
            <w:tcW w:w="617" w:type="pct"/>
            <w:shd w:val="clear" w:color="auto" w:fill="auto"/>
            <w:vAlign w:val="center"/>
          </w:tcPr>
          <w:p w14:paraId="59D29A28" w14:textId="77777777" w:rsidR="00CA4C81" w:rsidRPr="00275DE2" w:rsidRDefault="00CA4C81" w:rsidP="006274B7">
            <w:pPr>
              <w:pStyle w:val="Tabletext1"/>
              <w:spacing w:before="40" w:after="40" w:line="288" w:lineRule="auto"/>
              <w:rPr>
                <w:lang w:eastAsia="en-US"/>
              </w:rPr>
            </w:pPr>
            <w:r w:rsidRPr="00275DE2">
              <w:rPr>
                <w:lang w:eastAsia="en-US"/>
              </w:rPr>
              <w:t>NR</w:t>
            </w:r>
          </w:p>
        </w:tc>
        <w:tc>
          <w:tcPr>
            <w:tcW w:w="677" w:type="pct"/>
            <w:shd w:val="clear" w:color="auto" w:fill="auto"/>
            <w:vAlign w:val="center"/>
          </w:tcPr>
          <w:p w14:paraId="7F70D54E" w14:textId="26438840" w:rsidR="00CA4C81" w:rsidRDefault="00D327BF" w:rsidP="006274B7">
            <w:pPr>
              <w:pStyle w:val="Tabletext1"/>
              <w:spacing w:before="40" w:after="40" w:line="288" w:lineRule="auto"/>
              <w:rPr>
                <w:snapToGrid w:val="0"/>
                <w:lang w:eastAsia="en-US"/>
              </w:rPr>
            </w:pPr>
            <w:r>
              <w:rPr>
                <w:snapToGrid w:val="0"/>
                <w:lang w:eastAsia="en-US"/>
              </w:rPr>
              <w:t>93%</w:t>
            </w:r>
          </w:p>
          <w:p w14:paraId="26B41D4E" w14:textId="7AA474E1" w:rsidR="00CA4C81" w:rsidRPr="00275DE2" w:rsidRDefault="00CA4C81" w:rsidP="006274B7">
            <w:pPr>
              <w:pStyle w:val="Tabletext1"/>
              <w:spacing w:before="40" w:after="40" w:line="288" w:lineRule="auto"/>
              <w:rPr>
                <w:snapToGrid w:val="0"/>
                <w:lang w:eastAsia="en-US"/>
              </w:rPr>
            </w:pPr>
            <w:r w:rsidRPr="00275DE2">
              <w:rPr>
                <w:snapToGrid w:val="0"/>
                <w:lang w:eastAsia="en-US"/>
              </w:rPr>
              <w:t>(87</w:t>
            </w:r>
            <w:r w:rsidR="007E3D66">
              <w:rPr>
                <w:snapToGrid w:val="0"/>
                <w:lang w:eastAsia="en-US"/>
              </w:rPr>
              <w:t>–</w:t>
            </w:r>
            <w:r w:rsidRPr="00275DE2">
              <w:rPr>
                <w:snapToGrid w:val="0"/>
                <w:lang w:eastAsia="en-US"/>
              </w:rPr>
              <w:t>100</w:t>
            </w:r>
            <w:r w:rsidR="00D327BF">
              <w:rPr>
                <w:snapToGrid w:val="0"/>
                <w:lang w:eastAsia="en-US"/>
              </w:rPr>
              <w:t>%</w:t>
            </w:r>
            <w:r w:rsidRPr="00275DE2">
              <w:rPr>
                <w:snapToGrid w:val="0"/>
                <w:lang w:eastAsia="en-US"/>
              </w:rPr>
              <w:t>)</w:t>
            </w:r>
          </w:p>
        </w:tc>
        <w:tc>
          <w:tcPr>
            <w:tcW w:w="677" w:type="pct"/>
            <w:shd w:val="clear" w:color="auto" w:fill="auto"/>
            <w:vAlign w:val="center"/>
          </w:tcPr>
          <w:p w14:paraId="66D4F880" w14:textId="7225B53A" w:rsidR="00CA4C81" w:rsidRDefault="00D327BF" w:rsidP="006274B7">
            <w:pPr>
              <w:pStyle w:val="Tabletext1"/>
              <w:spacing w:before="40" w:after="40" w:line="288" w:lineRule="auto"/>
              <w:rPr>
                <w:snapToGrid w:val="0"/>
                <w:lang w:eastAsia="en-US"/>
              </w:rPr>
            </w:pPr>
            <w:r>
              <w:rPr>
                <w:snapToGrid w:val="0"/>
                <w:lang w:eastAsia="en-US"/>
              </w:rPr>
              <w:t>71%</w:t>
            </w:r>
          </w:p>
          <w:p w14:paraId="134E2510" w14:textId="2C894D8B" w:rsidR="00CA4C81" w:rsidRPr="00275DE2" w:rsidRDefault="00CA4C81" w:rsidP="006274B7">
            <w:pPr>
              <w:pStyle w:val="Tabletext1"/>
              <w:spacing w:before="40" w:after="40" w:line="288" w:lineRule="auto"/>
              <w:rPr>
                <w:snapToGrid w:val="0"/>
                <w:lang w:eastAsia="en-US"/>
              </w:rPr>
            </w:pPr>
            <w:r w:rsidRPr="00275DE2">
              <w:rPr>
                <w:snapToGrid w:val="0"/>
                <w:lang w:eastAsia="en-US"/>
              </w:rPr>
              <w:t>(58</w:t>
            </w:r>
            <w:r w:rsidR="007E3D66">
              <w:rPr>
                <w:snapToGrid w:val="0"/>
                <w:lang w:eastAsia="en-US"/>
              </w:rPr>
              <w:t>–</w:t>
            </w:r>
            <w:r w:rsidRPr="00275DE2">
              <w:rPr>
                <w:snapToGrid w:val="0"/>
                <w:lang w:eastAsia="en-US"/>
              </w:rPr>
              <w:t>86</w:t>
            </w:r>
            <w:r w:rsidR="00D327BF">
              <w:rPr>
                <w:snapToGrid w:val="0"/>
                <w:lang w:eastAsia="en-US"/>
              </w:rPr>
              <w:t>%</w:t>
            </w:r>
            <w:r w:rsidRPr="00275DE2">
              <w:rPr>
                <w:snapToGrid w:val="0"/>
                <w:lang w:eastAsia="en-US"/>
              </w:rPr>
              <w:t>)</w:t>
            </w:r>
          </w:p>
        </w:tc>
        <w:tc>
          <w:tcPr>
            <w:tcW w:w="677" w:type="pct"/>
            <w:shd w:val="clear" w:color="auto" w:fill="auto"/>
            <w:vAlign w:val="center"/>
          </w:tcPr>
          <w:p w14:paraId="37F09321" w14:textId="77777777" w:rsidR="00CA4C81" w:rsidRPr="00275DE2" w:rsidRDefault="00CA4C81" w:rsidP="006274B7">
            <w:pPr>
              <w:pStyle w:val="Tabletext1"/>
              <w:spacing w:before="40" w:after="40" w:line="288" w:lineRule="auto"/>
              <w:rPr>
                <w:snapToGrid w:val="0"/>
                <w:lang w:eastAsia="en-US"/>
              </w:rPr>
            </w:pPr>
            <w:r w:rsidRPr="00275DE2">
              <w:rPr>
                <w:snapToGrid w:val="0"/>
                <w:lang w:eastAsia="en-US"/>
              </w:rPr>
              <w:t>NR</w:t>
            </w:r>
          </w:p>
        </w:tc>
        <w:tc>
          <w:tcPr>
            <w:tcW w:w="673" w:type="pct"/>
            <w:shd w:val="clear" w:color="auto" w:fill="auto"/>
            <w:vAlign w:val="center"/>
          </w:tcPr>
          <w:p w14:paraId="23493B4C" w14:textId="77777777" w:rsidR="00CA4C81" w:rsidRPr="00275DE2" w:rsidRDefault="00CA4C81" w:rsidP="006274B7">
            <w:pPr>
              <w:pStyle w:val="Tabletext1"/>
              <w:spacing w:before="40" w:after="40" w:line="288" w:lineRule="auto"/>
              <w:rPr>
                <w:snapToGrid w:val="0"/>
                <w:lang w:eastAsia="en-US"/>
              </w:rPr>
            </w:pPr>
            <w:r w:rsidRPr="00275DE2">
              <w:rPr>
                <w:snapToGrid w:val="0"/>
                <w:lang w:eastAsia="en-US"/>
              </w:rPr>
              <w:t>NR</w:t>
            </w:r>
          </w:p>
        </w:tc>
      </w:tr>
      <w:tr w:rsidR="00CA4C81" w:rsidRPr="00383613" w14:paraId="67374C4E" w14:textId="77777777" w:rsidTr="00491880">
        <w:tc>
          <w:tcPr>
            <w:tcW w:w="617" w:type="pct"/>
            <w:shd w:val="clear" w:color="auto" w:fill="auto"/>
            <w:vAlign w:val="center"/>
          </w:tcPr>
          <w:p w14:paraId="5214B6F9" w14:textId="77777777" w:rsidR="00CA4C81" w:rsidRPr="009A7A2F" w:rsidRDefault="00CA4C81" w:rsidP="006274B7">
            <w:pPr>
              <w:pStyle w:val="Tabletext1"/>
              <w:spacing w:before="40" w:after="40" w:line="288" w:lineRule="auto"/>
              <w:rPr>
                <w:snapToGrid w:val="0"/>
                <w:lang w:eastAsia="en-US"/>
              </w:rPr>
            </w:pPr>
            <w:r w:rsidRPr="009A7A2F">
              <w:rPr>
                <w:snapToGrid w:val="0"/>
                <w:lang w:eastAsia="en-US"/>
              </w:rPr>
              <w:t>Takeshi et al (2014)</w:t>
            </w:r>
          </w:p>
        </w:tc>
        <w:tc>
          <w:tcPr>
            <w:tcW w:w="548" w:type="pct"/>
            <w:vAlign w:val="center"/>
          </w:tcPr>
          <w:p w14:paraId="7FBC40A6" w14:textId="77777777" w:rsidR="00CA4C81" w:rsidRPr="009A7A2F" w:rsidRDefault="0057621D" w:rsidP="006274B7">
            <w:pPr>
              <w:pStyle w:val="Tabletext1"/>
              <w:spacing w:before="40" w:after="40" w:line="288" w:lineRule="auto"/>
              <w:rPr>
                <w:snapToGrid w:val="0"/>
                <w:lang w:eastAsia="en-US"/>
              </w:rPr>
            </w:pPr>
            <w:r>
              <w:rPr>
                <w:snapToGrid w:val="0"/>
                <w:lang w:eastAsia="en-US"/>
              </w:rPr>
              <w:t>Carbon ion radiotherapy</w:t>
            </w:r>
          </w:p>
        </w:tc>
        <w:tc>
          <w:tcPr>
            <w:tcW w:w="514" w:type="pct"/>
            <w:shd w:val="clear" w:color="auto" w:fill="auto"/>
            <w:vAlign w:val="center"/>
          </w:tcPr>
          <w:p w14:paraId="74092A78" w14:textId="77777777" w:rsidR="00CA4C81" w:rsidRPr="009A7A2F" w:rsidRDefault="00CA4C81" w:rsidP="006274B7">
            <w:pPr>
              <w:pStyle w:val="Tabletext1"/>
              <w:spacing w:before="40" w:after="40" w:line="288" w:lineRule="auto"/>
              <w:rPr>
                <w:snapToGrid w:val="0"/>
                <w:lang w:eastAsia="en-US"/>
              </w:rPr>
            </w:pPr>
            <w:r w:rsidRPr="009A7A2F">
              <w:rPr>
                <w:snapToGrid w:val="0"/>
                <w:lang w:eastAsia="en-US"/>
              </w:rPr>
              <w:t>34</w:t>
            </w:r>
            <w:r>
              <w:rPr>
                <w:snapToGrid w:val="0"/>
                <w:lang w:eastAsia="en-US"/>
              </w:rPr>
              <w:t xml:space="preserve"> </w:t>
            </w:r>
            <w:r w:rsidRPr="009A7A2F">
              <w:rPr>
                <w:snapToGrid w:val="0"/>
                <w:lang w:eastAsia="en-US"/>
              </w:rPr>
              <w:t>(44)</w:t>
            </w:r>
          </w:p>
        </w:tc>
        <w:tc>
          <w:tcPr>
            <w:tcW w:w="617" w:type="pct"/>
            <w:shd w:val="clear" w:color="auto" w:fill="auto"/>
            <w:vAlign w:val="center"/>
          </w:tcPr>
          <w:p w14:paraId="1EAF3BB3" w14:textId="77777777" w:rsidR="00CA4C81" w:rsidRPr="009A7A2F" w:rsidRDefault="00CA4C81" w:rsidP="006274B7">
            <w:pPr>
              <w:pStyle w:val="Tabletext1"/>
              <w:spacing w:before="40" w:after="40" w:line="288" w:lineRule="auto"/>
              <w:rPr>
                <w:lang w:eastAsia="en-US"/>
              </w:rPr>
            </w:pPr>
            <w:r w:rsidRPr="009A7A2F">
              <w:rPr>
                <w:lang w:eastAsia="en-US"/>
              </w:rPr>
              <w:t>3</w:t>
            </w:r>
            <w:r>
              <w:rPr>
                <w:lang w:eastAsia="en-US"/>
              </w:rPr>
              <w:t>7</w:t>
            </w:r>
            <w:r w:rsidRPr="009A7A2F">
              <w:rPr>
                <w:lang w:eastAsia="en-US"/>
              </w:rPr>
              <w:t xml:space="preserve"> </w:t>
            </w:r>
            <w:r w:rsidRPr="009A7A2F">
              <w:rPr>
                <w:snapToGrid w:val="0"/>
                <w:lang w:eastAsia="en-US"/>
              </w:rPr>
              <w:t>months</w:t>
            </w:r>
          </w:p>
          <w:p w14:paraId="4392107A" w14:textId="77777777" w:rsidR="00CA4C81" w:rsidRPr="009A7A2F" w:rsidRDefault="00CA4C81" w:rsidP="006274B7">
            <w:pPr>
              <w:pStyle w:val="Tabletext1"/>
              <w:spacing w:before="40" w:after="40" w:line="288" w:lineRule="auto"/>
              <w:rPr>
                <w:lang w:eastAsia="en-US"/>
              </w:rPr>
            </w:pPr>
            <w:r w:rsidRPr="009A7A2F">
              <w:rPr>
                <w:lang w:eastAsia="en-US"/>
              </w:rPr>
              <w:t>(NR)</w:t>
            </w:r>
          </w:p>
        </w:tc>
        <w:tc>
          <w:tcPr>
            <w:tcW w:w="677" w:type="pct"/>
            <w:shd w:val="clear" w:color="auto" w:fill="auto"/>
            <w:vAlign w:val="center"/>
          </w:tcPr>
          <w:p w14:paraId="558EF8FA" w14:textId="77777777" w:rsidR="00CA4C81" w:rsidRPr="009A7A2F" w:rsidRDefault="00CA4C81" w:rsidP="006274B7">
            <w:pPr>
              <w:pStyle w:val="Tabletext1"/>
              <w:spacing w:before="40" w:after="40" w:line="288" w:lineRule="auto"/>
              <w:rPr>
                <w:snapToGrid w:val="0"/>
                <w:lang w:eastAsia="en-US"/>
              </w:rPr>
            </w:pPr>
            <w:r w:rsidRPr="009A7A2F">
              <w:rPr>
                <w:snapToGrid w:val="0"/>
                <w:lang w:eastAsia="en-US"/>
              </w:rPr>
              <w:t>NR</w:t>
            </w:r>
          </w:p>
        </w:tc>
        <w:tc>
          <w:tcPr>
            <w:tcW w:w="677" w:type="pct"/>
            <w:vAlign w:val="center"/>
          </w:tcPr>
          <w:p w14:paraId="68F274CC" w14:textId="4C299A56" w:rsidR="00CA4C81" w:rsidRDefault="00CA4C81" w:rsidP="006274B7">
            <w:pPr>
              <w:pStyle w:val="Tabletext1"/>
              <w:spacing w:before="40" w:after="40" w:line="288" w:lineRule="auto"/>
              <w:rPr>
                <w:snapToGrid w:val="0"/>
                <w:lang w:eastAsia="en-US"/>
              </w:rPr>
            </w:pPr>
            <w:r>
              <w:rPr>
                <w:snapToGrid w:val="0"/>
                <w:lang w:eastAsia="en-US"/>
              </w:rPr>
              <w:t>65</w:t>
            </w:r>
            <w:r w:rsidR="00D327BF">
              <w:rPr>
                <w:snapToGrid w:val="0"/>
                <w:lang w:eastAsia="en-US"/>
              </w:rPr>
              <w:t>%</w:t>
            </w:r>
          </w:p>
          <w:p w14:paraId="3877981E" w14:textId="39D13977" w:rsidR="00CA4C81" w:rsidRPr="009A7A2F" w:rsidRDefault="00CA4C81" w:rsidP="006274B7">
            <w:pPr>
              <w:pStyle w:val="Tabletext1"/>
              <w:spacing w:before="40" w:after="40" w:line="288" w:lineRule="auto"/>
              <w:rPr>
                <w:snapToGrid w:val="0"/>
                <w:lang w:eastAsia="en-US"/>
              </w:rPr>
            </w:pPr>
            <w:r w:rsidRPr="009A7A2F">
              <w:rPr>
                <w:snapToGrid w:val="0"/>
                <w:lang w:eastAsia="en-US"/>
              </w:rPr>
              <w:t>(4</w:t>
            </w:r>
            <w:r>
              <w:rPr>
                <w:snapToGrid w:val="0"/>
                <w:lang w:eastAsia="en-US"/>
              </w:rPr>
              <w:t>7</w:t>
            </w:r>
            <w:r w:rsidR="007E3D66">
              <w:rPr>
                <w:snapToGrid w:val="0"/>
                <w:lang w:eastAsia="en-US"/>
              </w:rPr>
              <w:t>–</w:t>
            </w:r>
            <w:r w:rsidRPr="009A7A2F">
              <w:rPr>
                <w:snapToGrid w:val="0"/>
                <w:lang w:eastAsia="en-US"/>
              </w:rPr>
              <w:t>8</w:t>
            </w:r>
            <w:r>
              <w:rPr>
                <w:snapToGrid w:val="0"/>
                <w:lang w:eastAsia="en-US"/>
              </w:rPr>
              <w:t>4</w:t>
            </w:r>
            <w:r w:rsidR="00D327BF">
              <w:rPr>
                <w:snapToGrid w:val="0"/>
                <w:lang w:eastAsia="en-US"/>
              </w:rPr>
              <w:t>%</w:t>
            </w:r>
            <w:r w:rsidRPr="009A7A2F">
              <w:rPr>
                <w:snapToGrid w:val="0"/>
                <w:lang w:eastAsia="en-US"/>
              </w:rPr>
              <w:t>)</w:t>
            </w:r>
          </w:p>
        </w:tc>
        <w:tc>
          <w:tcPr>
            <w:tcW w:w="677" w:type="pct"/>
            <w:vAlign w:val="center"/>
          </w:tcPr>
          <w:p w14:paraId="5F1380DA" w14:textId="4EEF3B72" w:rsidR="00CA4C81" w:rsidRDefault="00D327BF" w:rsidP="006274B7">
            <w:pPr>
              <w:pStyle w:val="Tabletext1"/>
              <w:spacing w:before="40" w:after="40" w:line="288" w:lineRule="auto"/>
              <w:rPr>
                <w:snapToGrid w:val="0"/>
                <w:lang w:eastAsia="en-US"/>
              </w:rPr>
            </w:pPr>
            <w:r>
              <w:rPr>
                <w:snapToGrid w:val="0"/>
                <w:lang w:eastAsia="en-US"/>
              </w:rPr>
              <w:t>50%</w:t>
            </w:r>
          </w:p>
          <w:p w14:paraId="0A430FC1" w14:textId="6556460C" w:rsidR="00CA4C81" w:rsidRPr="009A7A2F" w:rsidRDefault="00CA4C81" w:rsidP="006274B7">
            <w:pPr>
              <w:pStyle w:val="Tabletext1"/>
              <w:spacing w:before="40" w:after="40" w:line="288" w:lineRule="auto"/>
              <w:rPr>
                <w:snapToGrid w:val="0"/>
                <w:lang w:eastAsia="en-US"/>
              </w:rPr>
            </w:pPr>
            <w:r w:rsidRPr="009A7A2F">
              <w:rPr>
                <w:snapToGrid w:val="0"/>
                <w:lang w:eastAsia="en-US"/>
              </w:rPr>
              <w:t>(29</w:t>
            </w:r>
            <w:r w:rsidR="007E3D66">
              <w:rPr>
                <w:snapToGrid w:val="0"/>
                <w:lang w:eastAsia="en-US"/>
              </w:rPr>
              <w:t>–</w:t>
            </w:r>
            <w:r w:rsidRPr="009A7A2F">
              <w:rPr>
                <w:snapToGrid w:val="0"/>
                <w:lang w:eastAsia="en-US"/>
              </w:rPr>
              <w:t>7</w:t>
            </w:r>
            <w:r>
              <w:rPr>
                <w:snapToGrid w:val="0"/>
                <w:lang w:eastAsia="en-US"/>
              </w:rPr>
              <w:t>1</w:t>
            </w:r>
            <w:r w:rsidR="00D327BF">
              <w:rPr>
                <w:snapToGrid w:val="0"/>
                <w:lang w:eastAsia="en-US"/>
              </w:rPr>
              <w:t>%</w:t>
            </w:r>
            <w:r w:rsidRPr="009A7A2F">
              <w:rPr>
                <w:snapToGrid w:val="0"/>
                <w:lang w:eastAsia="en-US"/>
              </w:rPr>
              <w:t>)</w:t>
            </w:r>
          </w:p>
        </w:tc>
        <w:tc>
          <w:tcPr>
            <w:tcW w:w="673" w:type="pct"/>
            <w:vAlign w:val="center"/>
          </w:tcPr>
          <w:p w14:paraId="49C00973" w14:textId="77777777" w:rsidR="00CA4C81" w:rsidRPr="009A7A2F" w:rsidRDefault="00CA4C81" w:rsidP="006274B7">
            <w:pPr>
              <w:pStyle w:val="Tabletext1"/>
              <w:spacing w:before="40" w:after="40" w:line="288" w:lineRule="auto"/>
              <w:rPr>
                <w:snapToGrid w:val="0"/>
                <w:lang w:eastAsia="en-US"/>
              </w:rPr>
            </w:pPr>
            <w:r w:rsidRPr="009A7A2F">
              <w:rPr>
                <w:snapToGrid w:val="0"/>
                <w:lang w:eastAsia="en-US"/>
              </w:rPr>
              <w:t>NR</w:t>
            </w:r>
          </w:p>
        </w:tc>
      </w:tr>
      <w:tr w:rsidR="00CA4C81" w:rsidRPr="00383613" w14:paraId="3A3FD506" w14:textId="77777777" w:rsidTr="008E0756">
        <w:tc>
          <w:tcPr>
            <w:tcW w:w="617" w:type="pct"/>
            <w:tcBorders>
              <w:bottom w:val="nil"/>
            </w:tcBorders>
            <w:shd w:val="clear" w:color="auto" w:fill="auto"/>
            <w:vAlign w:val="center"/>
          </w:tcPr>
          <w:p w14:paraId="4F7729C5" w14:textId="6CB22882" w:rsidR="00CA4C81" w:rsidRPr="00C35FA0" w:rsidRDefault="00CA4C81" w:rsidP="006274B7">
            <w:pPr>
              <w:pStyle w:val="Tabletext1"/>
              <w:spacing w:before="40" w:after="40" w:line="288" w:lineRule="auto"/>
              <w:rPr>
                <w:snapToGrid w:val="0"/>
                <w:lang w:eastAsia="en-US"/>
              </w:rPr>
            </w:pPr>
            <w:r w:rsidRPr="00C35FA0">
              <w:rPr>
                <w:snapToGrid w:val="0"/>
                <w:lang w:eastAsia="en-US"/>
              </w:rPr>
              <w:t>Widder et al (2013)</w:t>
            </w:r>
          </w:p>
        </w:tc>
        <w:tc>
          <w:tcPr>
            <w:tcW w:w="548" w:type="pct"/>
            <w:vAlign w:val="center"/>
          </w:tcPr>
          <w:p w14:paraId="298A57D0" w14:textId="77777777" w:rsidR="00CA4C81" w:rsidRPr="00C35FA0" w:rsidRDefault="00CA4C81" w:rsidP="006274B7">
            <w:pPr>
              <w:pStyle w:val="Tabletext1"/>
              <w:spacing w:before="40" w:after="40" w:line="288" w:lineRule="auto"/>
              <w:rPr>
                <w:snapToGrid w:val="0"/>
                <w:lang w:eastAsia="en-US"/>
              </w:rPr>
            </w:pPr>
            <w:r>
              <w:rPr>
                <w:snapToGrid w:val="0"/>
                <w:lang w:eastAsia="en-US"/>
              </w:rPr>
              <w:t>SBRT</w:t>
            </w:r>
          </w:p>
        </w:tc>
        <w:tc>
          <w:tcPr>
            <w:tcW w:w="514" w:type="pct"/>
            <w:shd w:val="clear" w:color="auto" w:fill="auto"/>
            <w:vAlign w:val="center"/>
          </w:tcPr>
          <w:p w14:paraId="3B5799F5" w14:textId="77777777" w:rsidR="00CA4C81" w:rsidRPr="00C35FA0" w:rsidRDefault="00CA4C81" w:rsidP="006274B7">
            <w:pPr>
              <w:pStyle w:val="Tabletext1"/>
              <w:spacing w:before="40" w:after="40" w:line="288" w:lineRule="auto"/>
              <w:rPr>
                <w:snapToGrid w:val="0"/>
                <w:lang w:eastAsia="en-US"/>
              </w:rPr>
            </w:pPr>
            <w:r w:rsidRPr="00C35FA0">
              <w:rPr>
                <w:snapToGrid w:val="0"/>
                <w:lang w:eastAsia="en-US"/>
              </w:rPr>
              <w:t>42 (NR)</w:t>
            </w:r>
          </w:p>
        </w:tc>
        <w:tc>
          <w:tcPr>
            <w:tcW w:w="617" w:type="pct"/>
            <w:shd w:val="clear" w:color="auto" w:fill="auto"/>
            <w:vAlign w:val="center"/>
          </w:tcPr>
          <w:p w14:paraId="2ABA2C37" w14:textId="77777777" w:rsidR="00CA4C81" w:rsidRPr="00C35FA0" w:rsidRDefault="00CA4C81" w:rsidP="006274B7">
            <w:pPr>
              <w:pStyle w:val="Tabletext1"/>
              <w:spacing w:before="40" w:after="40" w:line="288" w:lineRule="auto"/>
              <w:rPr>
                <w:lang w:eastAsia="en-US"/>
              </w:rPr>
            </w:pPr>
            <w:r w:rsidRPr="00C35FA0">
              <w:rPr>
                <w:lang w:eastAsia="en-US"/>
              </w:rPr>
              <w:t>NR</w:t>
            </w:r>
          </w:p>
        </w:tc>
        <w:tc>
          <w:tcPr>
            <w:tcW w:w="677" w:type="pct"/>
            <w:shd w:val="clear" w:color="auto" w:fill="auto"/>
            <w:vAlign w:val="center"/>
          </w:tcPr>
          <w:p w14:paraId="034D9B5E" w14:textId="77777777" w:rsidR="00D327BF" w:rsidRDefault="00CA4C81" w:rsidP="006274B7">
            <w:pPr>
              <w:pStyle w:val="Tabletext1"/>
              <w:spacing w:before="40" w:after="40" w:line="288" w:lineRule="auto"/>
              <w:rPr>
                <w:snapToGrid w:val="0"/>
                <w:lang w:eastAsia="en-US"/>
              </w:rPr>
            </w:pPr>
            <w:r w:rsidRPr="00C35FA0">
              <w:rPr>
                <w:snapToGrid w:val="0"/>
                <w:lang w:eastAsia="en-US"/>
              </w:rPr>
              <w:t>98</w:t>
            </w:r>
            <w:r w:rsidR="00D327BF">
              <w:rPr>
                <w:snapToGrid w:val="0"/>
                <w:lang w:eastAsia="en-US"/>
              </w:rPr>
              <w:t>%</w:t>
            </w:r>
          </w:p>
          <w:p w14:paraId="433EF626" w14:textId="1B3BBA42" w:rsidR="00CA4C81" w:rsidRPr="00C35FA0" w:rsidRDefault="00CA4C81" w:rsidP="006274B7">
            <w:pPr>
              <w:pStyle w:val="Tabletext1"/>
              <w:spacing w:before="40" w:after="40" w:line="288" w:lineRule="auto"/>
              <w:rPr>
                <w:snapToGrid w:val="0"/>
                <w:lang w:eastAsia="en-US"/>
              </w:rPr>
            </w:pPr>
            <w:r w:rsidRPr="00C35FA0">
              <w:rPr>
                <w:snapToGrid w:val="0"/>
                <w:lang w:eastAsia="en-US"/>
              </w:rPr>
              <w:t>(84</w:t>
            </w:r>
            <w:r w:rsidR="007E3D66">
              <w:rPr>
                <w:snapToGrid w:val="0"/>
                <w:lang w:eastAsia="en-US"/>
              </w:rPr>
              <w:t>–</w:t>
            </w:r>
            <w:r w:rsidRPr="00C35FA0">
              <w:rPr>
                <w:snapToGrid w:val="0"/>
                <w:lang w:eastAsia="en-US"/>
              </w:rPr>
              <w:t>100</w:t>
            </w:r>
            <w:r w:rsidR="00D327BF">
              <w:rPr>
                <w:snapToGrid w:val="0"/>
                <w:lang w:eastAsia="en-US"/>
              </w:rPr>
              <w:t>%</w:t>
            </w:r>
            <w:r w:rsidRPr="00C35FA0">
              <w:rPr>
                <w:snapToGrid w:val="0"/>
                <w:lang w:eastAsia="en-US"/>
              </w:rPr>
              <w:t>)</w:t>
            </w:r>
          </w:p>
        </w:tc>
        <w:tc>
          <w:tcPr>
            <w:tcW w:w="677" w:type="pct"/>
            <w:vAlign w:val="center"/>
          </w:tcPr>
          <w:p w14:paraId="7910AB56" w14:textId="77777777" w:rsidR="00D327BF" w:rsidRDefault="00CA4C81" w:rsidP="006274B7">
            <w:pPr>
              <w:pStyle w:val="Tabletext1"/>
              <w:spacing w:before="40" w:after="40" w:line="288" w:lineRule="auto"/>
              <w:rPr>
                <w:snapToGrid w:val="0"/>
                <w:lang w:eastAsia="en-US"/>
              </w:rPr>
            </w:pPr>
            <w:r w:rsidRPr="00C35FA0">
              <w:rPr>
                <w:snapToGrid w:val="0"/>
                <w:lang w:eastAsia="en-US"/>
              </w:rPr>
              <w:t>86</w:t>
            </w:r>
            <w:r w:rsidR="00D327BF">
              <w:rPr>
                <w:snapToGrid w:val="0"/>
                <w:lang w:eastAsia="en-US"/>
              </w:rPr>
              <w:t>%</w:t>
            </w:r>
            <w:r w:rsidRPr="00C35FA0">
              <w:rPr>
                <w:snapToGrid w:val="0"/>
                <w:lang w:eastAsia="en-US"/>
              </w:rPr>
              <w:t xml:space="preserve"> </w:t>
            </w:r>
          </w:p>
          <w:p w14:paraId="6175E42C" w14:textId="0F91DAAF" w:rsidR="00CA4C81" w:rsidRPr="00C35FA0" w:rsidRDefault="00CA4C81" w:rsidP="006274B7">
            <w:pPr>
              <w:pStyle w:val="Tabletext1"/>
              <w:spacing w:before="40" w:after="40" w:line="288" w:lineRule="auto"/>
              <w:rPr>
                <w:snapToGrid w:val="0"/>
                <w:lang w:eastAsia="en-US"/>
              </w:rPr>
            </w:pPr>
            <w:r w:rsidRPr="00C35FA0">
              <w:rPr>
                <w:snapToGrid w:val="0"/>
                <w:lang w:eastAsia="en-US"/>
              </w:rPr>
              <w:t>(71</w:t>
            </w:r>
            <w:r w:rsidR="007E3D66">
              <w:rPr>
                <w:snapToGrid w:val="0"/>
                <w:lang w:eastAsia="en-US"/>
              </w:rPr>
              <w:t>–</w:t>
            </w:r>
            <w:r w:rsidRPr="00C35FA0">
              <w:rPr>
                <w:snapToGrid w:val="0"/>
                <w:lang w:eastAsia="en-US"/>
              </w:rPr>
              <w:t>93</w:t>
            </w:r>
            <w:r w:rsidR="00D327BF">
              <w:rPr>
                <w:snapToGrid w:val="0"/>
                <w:lang w:eastAsia="en-US"/>
              </w:rPr>
              <w:t>%</w:t>
            </w:r>
            <w:r w:rsidRPr="00C35FA0">
              <w:rPr>
                <w:snapToGrid w:val="0"/>
                <w:lang w:eastAsia="en-US"/>
              </w:rPr>
              <w:t>)</w:t>
            </w:r>
          </w:p>
        </w:tc>
        <w:tc>
          <w:tcPr>
            <w:tcW w:w="677" w:type="pct"/>
            <w:vAlign w:val="center"/>
          </w:tcPr>
          <w:p w14:paraId="36B0314E" w14:textId="77777777" w:rsidR="00D327BF" w:rsidRDefault="00CA4C81" w:rsidP="006274B7">
            <w:pPr>
              <w:pStyle w:val="Tabletext1"/>
              <w:spacing w:before="40" w:after="40" w:line="288" w:lineRule="auto"/>
              <w:rPr>
                <w:snapToGrid w:val="0"/>
                <w:lang w:eastAsia="en-US"/>
              </w:rPr>
            </w:pPr>
            <w:r w:rsidRPr="00C35FA0">
              <w:rPr>
                <w:snapToGrid w:val="0"/>
                <w:lang w:eastAsia="en-US"/>
              </w:rPr>
              <w:t>60</w:t>
            </w:r>
            <w:r w:rsidR="00D327BF">
              <w:rPr>
                <w:snapToGrid w:val="0"/>
                <w:lang w:eastAsia="en-US"/>
              </w:rPr>
              <w:t>%</w:t>
            </w:r>
            <w:r w:rsidRPr="00C35FA0">
              <w:rPr>
                <w:snapToGrid w:val="0"/>
                <w:lang w:eastAsia="en-US"/>
              </w:rPr>
              <w:t xml:space="preserve"> </w:t>
            </w:r>
          </w:p>
          <w:p w14:paraId="02BF5A0F" w14:textId="4C9AAA1C" w:rsidR="00CA4C81" w:rsidRPr="00C35FA0" w:rsidRDefault="00CA4C81" w:rsidP="006274B7">
            <w:pPr>
              <w:pStyle w:val="Tabletext1"/>
              <w:spacing w:before="40" w:after="40" w:line="288" w:lineRule="auto"/>
              <w:rPr>
                <w:snapToGrid w:val="0"/>
                <w:lang w:eastAsia="en-US"/>
              </w:rPr>
            </w:pPr>
            <w:r w:rsidRPr="00C35FA0">
              <w:rPr>
                <w:snapToGrid w:val="0"/>
                <w:lang w:eastAsia="en-US"/>
              </w:rPr>
              <w:t>(42</w:t>
            </w:r>
            <w:r w:rsidR="007E3D66">
              <w:rPr>
                <w:snapToGrid w:val="0"/>
                <w:lang w:eastAsia="en-US"/>
              </w:rPr>
              <w:t>–</w:t>
            </w:r>
            <w:r w:rsidRPr="00C35FA0">
              <w:rPr>
                <w:snapToGrid w:val="0"/>
                <w:lang w:eastAsia="en-US"/>
              </w:rPr>
              <w:t>73</w:t>
            </w:r>
            <w:r w:rsidR="00D327BF">
              <w:rPr>
                <w:snapToGrid w:val="0"/>
                <w:lang w:eastAsia="en-US"/>
              </w:rPr>
              <w:t>%</w:t>
            </w:r>
            <w:r w:rsidRPr="00C35FA0">
              <w:rPr>
                <w:snapToGrid w:val="0"/>
                <w:lang w:eastAsia="en-US"/>
              </w:rPr>
              <w:t>)</w:t>
            </w:r>
          </w:p>
        </w:tc>
        <w:tc>
          <w:tcPr>
            <w:tcW w:w="673" w:type="pct"/>
            <w:vAlign w:val="center"/>
          </w:tcPr>
          <w:p w14:paraId="2A33F413" w14:textId="77777777" w:rsidR="00D327BF" w:rsidRDefault="00CA4C81" w:rsidP="006274B7">
            <w:pPr>
              <w:pStyle w:val="Tabletext1"/>
              <w:spacing w:before="40" w:after="40" w:line="288" w:lineRule="auto"/>
              <w:rPr>
                <w:snapToGrid w:val="0"/>
                <w:lang w:eastAsia="en-US"/>
              </w:rPr>
            </w:pPr>
            <w:r w:rsidRPr="00C35FA0">
              <w:rPr>
                <w:snapToGrid w:val="0"/>
                <w:lang w:eastAsia="en-US"/>
              </w:rPr>
              <w:t>49</w:t>
            </w:r>
            <w:r w:rsidR="00D327BF">
              <w:rPr>
                <w:snapToGrid w:val="0"/>
                <w:lang w:eastAsia="en-US"/>
              </w:rPr>
              <w:t>%</w:t>
            </w:r>
            <w:r w:rsidRPr="00C35FA0">
              <w:rPr>
                <w:snapToGrid w:val="0"/>
                <w:lang w:eastAsia="en-US"/>
              </w:rPr>
              <w:t xml:space="preserve"> </w:t>
            </w:r>
          </w:p>
          <w:p w14:paraId="01EE9E69" w14:textId="245F6A99" w:rsidR="00CA4C81" w:rsidRPr="00C35FA0" w:rsidRDefault="00CA4C81" w:rsidP="006274B7">
            <w:pPr>
              <w:pStyle w:val="Tabletext1"/>
              <w:spacing w:before="40" w:after="40" w:line="288" w:lineRule="auto"/>
              <w:rPr>
                <w:snapToGrid w:val="0"/>
                <w:lang w:eastAsia="en-US"/>
              </w:rPr>
            </w:pPr>
            <w:r w:rsidRPr="00C35FA0">
              <w:rPr>
                <w:snapToGrid w:val="0"/>
                <w:lang w:eastAsia="en-US"/>
              </w:rPr>
              <w:t>(25</w:t>
            </w:r>
            <w:r w:rsidR="007E3D66">
              <w:rPr>
                <w:snapToGrid w:val="0"/>
                <w:lang w:eastAsia="en-US"/>
              </w:rPr>
              <w:t>–</w:t>
            </w:r>
            <w:r w:rsidRPr="00C35FA0">
              <w:rPr>
                <w:snapToGrid w:val="0"/>
                <w:lang w:eastAsia="en-US"/>
              </w:rPr>
              <w:t>69</w:t>
            </w:r>
            <w:r w:rsidR="00D327BF">
              <w:rPr>
                <w:snapToGrid w:val="0"/>
                <w:lang w:eastAsia="en-US"/>
              </w:rPr>
              <w:t>%</w:t>
            </w:r>
            <w:r w:rsidRPr="00C35FA0">
              <w:rPr>
                <w:snapToGrid w:val="0"/>
                <w:lang w:eastAsia="en-US"/>
              </w:rPr>
              <w:t>)</w:t>
            </w:r>
          </w:p>
        </w:tc>
      </w:tr>
      <w:tr w:rsidR="00CA4C81" w:rsidRPr="00383613" w14:paraId="6697F4F4" w14:textId="77777777" w:rsidTr="008E0756">
        <w:tc>
          <w:tcPr>
            <w:tcW w:w="617" w:type="pct"/>
            <w:tcBorders>
              <w:top w:val="nil"/>
            </w:tcBorders>
            <w:shd w:val="clear" w:color="auto" w:fill="auto"/>
            <w:vAlign w:val="center"/>
          </w:tcPr>
          <w:p w14:paraId="3DDC1E78" w14:textId="77777777" w:rsidR="00CA4C81" w:rsidRPr="00C35FA0" w:rsidRDefault="00CA4C81" w:rsidP="006274B7">
            <w:pPr>
              <w:pStyle w:val="Tabletext1"/>
              <w:spacing w:before="40" w:after="40" w:line="288" w:lineRule="auto"/>
              <w:rPr>
                <w:snapToGrid w:val="0"/>
                <w:lang w:eastAsia="en-US"/>
              </w:rPr>
            </w:pPr>
          </w:p>
        </w:tc>
        <w:tc>
          <w:tcPr>
            <w:tcW w:w="548" w:type="pct"/>
            <w:vAlign w:val="center"/>
          </w:tcPr>
          <w:p w14:paraId="4089A4E1" w14:textId="77777777" w:rsidR="00CA4C81" w:rsidRPr="00C35FA0" w:rsidRDefault="00CA4C81" w:rsidP="006274B7">
            <w:pPr>
              <w:pStyle w:val="Tabletext1"/>
              <w:spacing w:before="40" w:after="40" w:line="288" w:lineRule="auto"/>
              <w:rPr>
                <w:snapToGrid w:val="0"/>
                <w:lang w:eastAsia="en-US"/>
              </w:rPr>
            </w:pPr>
            <w:r>
              <w:rPr>
                <w:snapToGrid w:val="0"/>
                <w:lang w:eastAsia="en-US"/>
              </w:rPr>
              <w:t>Surgery</w:t>
            </w:r>
          </w:p>
        </w:tc>
        <w:tc>
          <w:tcPr>
            <w:tcW w:w="514" w:type="pct"/>
            <w:shd w:val="clear" w:color="auto" w:fill="auto"/>
            <w:vAlign w:val="center"/>
          </w:tcPr>
          <w:p w14:paraId="7B8729EB" w14:textId="77777777" w:rsidR="00CA4C81" w:rsidRPr="00C35FA0" w:rsidRDefault="00E96075" w:rsidP="006274B7">
            <w:pPr>
              <w:pStyle w:val="Tabletext1"/>
              <w:spacing w:before="40" w:after="40" w:line="288" w:lineRule="auto"/>
              <w:rPr>
                <w:snapToGrid w:val="0"/>
                <w:lang w:eastAsia="en-US"/>
              </w:rPr>
            </w:pPr>
            <w:r w:rsidRPr="00C35FA0">
              <w:rPr>
                <w:snapToGrid w:val="0"/>
                <w:lang w:eastAsia="en-US"/>
              </w:rPr>
              <w:t>68 (NR)</w:t>
            </w:r>
          </w:p>
        </w:tc>
        <w:tc>
          <w:tcPr>
            <w:tcW w:w="617" w:type="pct"/>
            <w:shd w:val="clear" w:color="auto" w:fill="auto"/>
            <w:vAlign w:val="center"/>
          </w:tcPr>
          <w:p w14:paraId="0B6028F1" w14:textId="77777777" w:rsidR="00CA4C81" w:rsidRPr="00C35FA0" w:rsidRDefault="00E96075" w:rsidP="006274B7">
            <w:pPr>
              <w:pStyle w:val="Tabletext1"/>
              <w:spacing w:before="40" w:after="40" w:line="288" w:lineRule="auto"/>
              <w:rPr>
                <w:lang w:eastAsia="en-US"/>
              </w:rPr>
            </w:pPr>
            <w:r w:rsidRPr="00C35FA0">
              <w:rPr>
                <w:lang w:eastAsia="en-US"/>
              </w:rPr>
              <w:t>NR</w:t>
            </w:r>
          </w:p>
        </w:tc>
        <w:tc>
          <w:tcPr>
            <w:tcW w:w="677" w:type="pct"/>
            <w:shd w:val="clear" w:color="auto" w:fill="auto"/>
            <w:vAlign w:val="center"/>
          </w:tcPr>
          <w:p w14:paraId="5CAB79AD" w14:textId="77777777" w:rsidR="00D327BF" w:rsidRDefault="00D327BF" w:rsidP="006274B7">
            <w:pPr>
              <w:pStyle w:val="Tabletext1"/>
              <w:spacing w:before="40" w:after="40" w:line="288" w:lineRule="auto"/>
              <w:rPr>
                <w:snapToGrid w:val="0"/>
                <w:lang w:eastAsia="en-US"/>
              </w:rPr>
            </w:pPr>
            <w:r>
              <w:rPr>
                <w:snapToGrid w:val="0"/>
                <w:lang w:eastAsia="en-US"/>
              </w:rPr>
              <w:t>87%</w:t>
            </w:r>
            <w:r w:rsidRPr="00C35FA0">
              <w:rPr>
                <w:snapToGrid w:val="0"/>
                <w:lang w:eastAsia="en-US"/>
              </w:rPr>
              <w:t xml:space="preserve"> </w:t>
            </w:r>
          </w:p>
          <w:p w14:paraId="030F4FBD" w14:textId="5A4BC301" w:rsidR="00CA4C81" w:rsidRPr="00C35FA0" w:rsidRDefault="00E96075" w:rsidP="006274B7">
            <w:pPr>
              <w:pStyle w:val="Tabletext1"/>
              <w:spacing w:before="40" w:after="40" w:line="288" w:lineRule="auto"/>
              <w:rPr>
                <w:snapToGrid w:val="0"/>
                <w:lang w:eastAsia="en-US"/>
              </w:rPr>
            </w:pPr>
            <w:r w:rsidRPr="00C35FA0">
              <w:rPr>
                <w:snapToGrid w:val="0"/>
                <w:lang w:eastAsia="en-US"/>
              </w:rPr>
              <w:t>(76</w:t>
            </w:r>
            <w:r w:rsidR="007E3D66">
              <w:rPr>
                <w:snapToGrid w:val="0"/>
                <w:lang w:eastAsia="en-US"/>
              </w:rPr>
              <w:t>–</w:t>
            </w:r>
            <w:r w:rsidRPr="00C35FA0">
              <w:rPr>
                <w:snapToGrid w:val="0"/>
                <w:lang w:eastAsia="en-US"/>
              </w:rPr>
              <w:t>93</w:t>
            </w:r>
            <w:r w:rsidR="00D327BF">
              <w:rPr>
                <w:snapToGrid w:val="0"/>
                <w:lang w:eastAsia="en-US"/>
              </w:rPr>
              <w:t>%</w:t>
            </w:r>
            <w:r w:rsidRPr="00C35FA0">
              <w:rPr>
                <w:snapToGrid w:val="0"/>
                <w:lang w:eastAsia="en-US"/>
              </w:rPr>
              <w:t>)</w:t>
            </w:r>
          </w:p>
        </w:tc>
        <w:tc>
          <w:tcPr>
            <w:tcW w:w="677" w:type="pct"/>
            <w:vAlign w:val="center"/>
          </w:tcPr>
          <w:p w14:paraId="5AD4A967" w14:textId="77777777" w:rsidR="00D327BF" w:rsidRDefault="00E96075" w:rsidP="006274B7">
            <w:pPr>
              <w:pStyle w:val="Tabletext1"/>
              <w:spacing w:before="40" w:after="40" w:line="288" w:lineRule="auto"/>
              <w:rPr>
                <w:snapToGrid w:val="0"/>
                <w:lang w:eastAsia="en-US"/>
              </w:rPr>
            </w:pPr>
            <w:r w:rsidRPr="00C35FA0">
              <w:rPr>
                <w:snapToGrid w:val="0"/>
                <w:lang w:eastAsia="en-US"/>
              </w:rPr>
              <w:t>74</w:t>
            </w:r>
            <w:r w:rsidR="00D327BF">
              <w:rPr>
                <w:snapToGrid w:val="0"/>
                <w:lang w:eastAsia="en-US"/>
              </w:rPr>
              <w:t>%</w:t>
            </w:r>
            <w:r w:rsidRPr="00C35FA0">
              <w:rPr>
                <w:snapToGrid w:val="0"/>
                <w:lang w:eastAsia="en-US"/>
              </w:rPr>
              <w:t xml:space="preserve"> </w:t>
            </w:r>
          </w:p>
          <w:p w14:paraId="7D72C33F" w14:textId="2F2C6CF6" w:rsidR="00CA4C81" w:rsidRPr="00C35FA0" w:rsidRDefault="00E96075" w:rsidP="006274B7">
            <w:pPr>
              <w:pStyle w:val="Tabletext1"/>
              <w:spacing w:before="40" w:after="40" w:line="288" w:lineRule="auto"/>
              <w:rPr>
                <w:snapToGrid w:val="0"/>
                <w:lang w:eastAsia="en-US"/>
              </w:rPr>
            </w:pPr>
            <w:r w:rsidRPr="00C35FA0">
              <w:rPr>
                <w:snapToGrid w:val="0"/>
                <w:lang w:eastAsia="en-US"/>
              </w:rPr>
              <w:t>(61</w:t>
            </w:r>
            <w:r w:rsidR="007E3D66">
              <w:rPr>
                <w:snapToGrid w:val="0"/>
                <w:lang w:eastAsia="en-US"/>
              </w:rPr>
              <w:t>–</w:t>
            </w:r>
            <w:r w:rsidRPr="00C35FA0">
              <w:rPr>
                <w:snapToGrid w:val="0"/>
                <w:lang w:eastAsia="en-US"/>
              </w:rPr>
              <w:t>82</w:t>
            </w:r>
            <w:r w:rsidR="00D327BF">
              <w:rPr>
                <w:snapToGrid w:val="0"/>
                <w:lang w:eastAsia="en-US"/>
              </w:rPr>
              <w:t>%</w:t>
            </w:r>
            <w:r w:rsidRPr="00C35FA0">
              <w:rPr>
                <w:snapToGrid w:val="0"/>
                <w:lang w:eastAsia="en-US"/>
              </w:rPr>
              <w:t>)</w:t>
            </w:r>
          </w:p>
        </w:tc>
        <w:tc>
          <w:tcPr>
            <w:tcW w:w="677" w:type="pct"/>
            <w:vAlign w:val="center"/>
          </w:tcPr>
          <w:p w14:paraId="11A01841" w14:textId="77777777" w:rsidR="00D327BF" w:rsidRDefault="00E96075" w:rsidP="006274B7">
            <w:pPr>
              <w:pStyle w:val="Tabletext1"/>
              <w:spacing w:before="40" w:after="40" w:line="288" w:lineRule="auto"/>
              <w:rPr>
                <w:snapToGrid w:val="0"/>
                <w:lang w:eastAsia="en-US"/>
              </w:rPr>
            </w:pPr>
            <w:r w:rsidRPr="00C35FA0">
              <w:rPr>
                <w:snapToGrid w:val="0"/>
                <w:lang w:eastAsia="en-US"/>
              </w:rPr>
              <w:t>62</w:t>
            </w:r>
            <w:r w:rsidR="00D327BF">
              <w:rPr>
                <w:snapToGrid w:val="0"/>
                <w:lang w:eastAsia="en-US"/>
              </w:rPr>
              <w:t>%</w:t>
            </w:r>
            <w:r w:rsidRPr="00C35FA0">
              <w:rPr>
                <w:snapToGrid w:val="0"/>
                <w:lang w:eastAsia="en-US"/>
              </w:rPr>
              <w:t xml:space="preserve"> </w:t>
            </w:r>
          </w:p>
          <w:p w14:paraId="36B953EE" w14:textId="4233C03E" w:rsidR="00CA4C81" w:rsidRPr="00C35FA0" w:rsidRDefault="00E96075" w:rsidP="006274B7">
            <w:pPr>
              <w:pStyle w:val="Tabletext1"/>
              <w:spacing w:before="40" w:after="40" w:line="288" w:lineRule="auto"/>
              <w:rPr>
                <w:snapToGrid w:val="0"/>
                <w:lang w:eastAsia="en-US"/>
              </w:rPr>
            </w:pPr>
            <w:r w:rsidRPr="00C35FA0">
              <w:rPr>
                <w:snapToGrid w:val="0"/>
                <w:lang w:eastAsia="en-US"/>
              </w:rPr>
              <w:t>(49</w:t>
            </w:r>
            <w:r w:rsidR="007E3D66">
              <w:rPr>
                <w:snapToGrid w:val="0"/>
                <w:lang w:eastAsia="en-US"/>
              </w:rPr>
              <w:t>–</w:t>
            </w:r>
            <w:r w:rsidRPr="00C35FA0">
              <w:rPr>
                <w:snapToGrid w:val="0"/>
                <w:lang w:eastAsia="en-US"/>
              </w:rPr>
              <w:t>73</w:t>
            </w:r>
            <w:r w:rsidR="00D327BF">
              <w:rPr>
                <w:snapToGrid w:val="0"/>
                <w:lang w:eastAsia="en-US"/>
              </w:rPr>
              <w:t>%</w:t>
            </w:r>
            <w:r w:rsidRPr="00C35FA0">
              <w:rPr>
                <w:snapToGrid w:val="0"/>
                <w:lang w:eastAsia="en-US"/>
              </w:rPr>
              <w:t>)</w:t>
            </w:r>
          </w:p>
        </w:tc>
        <w:tc>
          <w:tcPr>
            <w:tcW w:w="673" w:type="pct"/>
            <w:vAlign w:val="center"/>
          </w:tcPr>
          <w:p w14:paraId="4B632949" w14:textId="77777777" w:rsidR="00D327BF" w:rsidRDefault="00E96075" w:rsidP="006274B7">
            <w:pPr>
              <w:pStyle w:val="Tabletext1"/>
              <w:spacing w:before="40" w:after="40" w:line="288" w:lineRule="auto"/>
              <w:rPr>
                <w:snapToGrid w:val="0"/>
                <w:lang w:eastAsia="en-US"/>
              </w:rPr>
            </w:pPr>
            <w:r w:rsidRPr="00C35FA0">
              <w:rPr>
                <w:snapToGrid w:val="0"/>
                <w:lang w:eastAsia="en-US"/>
              </w:rPr>
              <w:t>41</w:t>
            </w:r>
            <w:r w:rsidR="00D327BF">
              <w:rPr>
                <w:snapToGrid w:val="0"/>
                <w:lang w:eastAsia="en-US"/>
              </w:rPr>
              <w:t>%</w:t>
            </w:r>
            <w:r w:rsidRPr="00C35FA0">
              <w:rPr>
                <w:snapToGrid w:val="0"/>
                <w:lang w:eastAsia="en-US"/>
              </w:rPr>
              <w:t xml:space="preserve"> </w:t>
            </w:r>
          </w:p>
          <w:p w14:paraId="7ED5AE98" w14:textId="2B7ACE7A" w:rsidR="00CA4C81" w:rsidRPr="00C35FA0" w:rsidRDefault="00E96075" w:rsidP="006274B7">
            <w:pPr>
              <w:pStyle w:val="Tabletext1"/>
              <w:spacing w:before="40" w:after="40" w:line="288" w:lineRule="auto"/>
              <w:rPr>
                <w:snapToGrid w:val="0"/>
                <w:lang w:eastAsia="en-US"/>
              </w:rPr>
            </w:pPr>
            <w:r w:rsidRPr="00C35FA0">
              <w:rPr>
                <w:snapToGrid w:val="0"/>
                <w:lang w:eastAsia="en-US"/>
              </w:rPr>
              <w:t>(27</w:t>
            </w:r>
            <w:r w:rsidR="007E3D66">
              <w:rPr>
                <w:snapToGrid w:val="0"/>
                <w:lang w:eastAsia="en-US"/>
              </w:rPr>
              <w:t>–</w:t>
            </w:r>
            <w:r w:rsidRPr="00C35FA0">
              <w:rPr>
                <w:snapToGrid w:val="0"/>
                <w:lang w:eastAsia="en-US"/>
              </w:rPr>
              <w:t>54</w:t>
            </w:r>
            <w:r w:rsidR="00D327BF">
              <w:rPr>
                <w:snapToGrid w:val="0"/>
                <w:lang w:eastAsia="en-US"/>
              </w:rPr>
              <w:t>%</w:t>
            </w:r>
            <w:r w:rsidRPr="00C35FA0">
              <w:rPr>
                <w:snapToGrid w:val="0"/>
                <w:lang w:eastAsia="en-US"/>
              </w:rPr>
              <w:t>)</w:t>
            </w:r>
          </w:p>
        </w:tc>
      </w:tr>
      <w:tr w:rsidR="00CA4C81" w:rsidRPr="00383613" w14:paraId="6590EB54" w14:textId="77777777" w:rsidTr="00491880">
        <w:tc>
          <w:tcPr>
            <w:tcW w:w="617" w:type="pct"/>
            <w:shd w:val="clear" w:color="auto" w:fill="auto"/>
            <w:vAlign w:val="center"/>
          </w:tcPr>
          <w:p w14:paraId="6E9D18AB" w14:textId="77777777" w:rsidR="00CA4C81" w:rsidRPr="00383613" w:rsidRDefault="00CA4C81" w:rsidP="006274B7">
            <w:pPr>
              <w:pStyle w:val="Tabletext1"/>
              <w:spacing w:before="40" w:after="40" w:line="288" w:lineRule="auto"/>
              <w:rPr>
                <w:snapToGrid w:val="0"/>
                <w:lang w:eastAsia="en-US"/>
              </w:rPr>
            </w:pPr>
            <w:r w:rsidRPr="00383613">
              <w:rPr>
                <w:snapToGrid w:val="0"/>
                <w:lang w:eastAsia="en-US"/>
              </w:rPr>
              <w:t>Yu et al (2014)</w:t>
            </w:r>
          </w:p>
        </w:tc>
        <w:tc>
          <w:tcPr>
            <w:tcW w:w="548" w:type="pct"/>
            <w:vAlign w:val="center"/>
          </w:tcPr>
          <w:p w14:paraId="1BC844C5" w14:textId="77777777" w:rsidR="00CA4C81" w:rsidRPr="004D52F8" w:rsidRDefault="00CA4C81" w:rsidP="006274B7">
            <w:pPr>
              <w:pStyle w:val="Tabletext1"/>
              <w:spacing w:before="40" w:after="40" w:line="288" w:lineRule="auto"/>
              <w:rPr>
                <w:snapToGrid w:val="0"/>
                <w:lang w:eastAsia="en-US"/>
              </w:rPr>
            </w:pPr>
            <w:r w:rsidRPr="004D52F8">
              <w:rPr>
                <w:snapToGrid w:val="0"/>
                <w:lang w:eastAsia="en-US"/>
              </w:rPr>
              <w:t>SBRT</w:t>
            </w:r>
          </w:p>
        </w:tc>
        <w:tc>
          <w:tcPr>
            <w:tcW w:w="514" w:type="pct"/>
            <w:tcBorders>
              <w:bottom w:val="single" w:sz="4" w:space="0" w:color="auto"/>
            </w:tcBorders>
            <w:shd w:val="clear" w:color="auto" w:fill="auto"/>
            <w:vAlign w:val="center"/>
          </w:tcPr>
          <w:p w14:paraId="6D02FBBA" w14:textId="77777777" w:rsidR="00CA4C81" w:rsidRPr="004D52F8" w:rsidRDefault="00CA4C81" w:rsidP="006274B7">
            <w:pPr>
              <w:pStyle w:val="Tabletext1"/>
              <w:spacing w:before="40" w:after="40" w:line="288" w:lineRule="auto"/>
              <w:rPr>
                <w:snapToGrid w:val="0"/>
                <w:lang w:eastAsia="en-US"/>
              </w:rPr>
            </w:pPr>
            <w:r w:rsidRPr="004D52F8">
              <w:rPr>
                <w:snapToGrid w:val="0"/>
                <w:lang w:eastAsia="en-US"/>
              </w:rPr>
              <w:t>27 (NR)</w:t>
            </w:r>
          </w:p>
        </w:tc>
        <w:tc>
          <w:tcPr>
            <w:tcW w:w="617" w:type="pct"/>
            <w:tcBorders>
              <w:bottom w:val="single" w:sz="4" w:space="0" w:color="auto"/>
            </w:tcBorders>
            <w:shd w:val="clear" w:color="auto" w:fill="auto"/>
            <w:vAlign w:val="center"/>
          </w:tcPr>
          <w:p w14:paraId="267FF752" w14:textId="77777777" w:rsidR="00CA4C81" w:rsidRPr="004D52F8" w:rsidRDefault="00CA4C81" w:rsidP="006274B7">
            <w:pPr>
              <w:pStyle w:val="Tabletext1"/>
              <w:spacing w:before="40" w:after="40" w:line="288" w:lineRule="auto"/>
              <w:rPr>
                <w:lang w:eastAsia="en-US"/>
              </w:rPr>
            </w:pPr>
            <w:r w:rsidRPr="004D52F8">
              <w:rPr>
                <w:lang w:eastAsia="en-US"/>
              </w:rPr>
              <w:t xml:space="preserve">18 </w:t>
            </w:r>
            <w:r w:rsidRPr="004D52F8">
              <w:rPr>
                <w:snapToGrid w:val="0"/>
                <w:lang w:eastAsia="en-US"/>
              </w:rPr>
              <w:t>months</w:t>
            </w:r>
            <w:r w:rsidRPr="004D52F8">
              <w:rPr>
                <w:lang w:eastAsia="en-US"/>
              </w:rPr>
              <w:t xml:space="preserve"> (NR)</w:t>
            </w:r>
          </w:p>
        </w:tc>
        <w:tc>
          <w:tcPr>
            <w:tcW w:w="677" w:type="pct"/>
            <w:tcBorders>
              <w:bottom w:val="single" w:sz="4" w:space="0" w:color="auto"/>
            </w:tcBorders>
            <w:shd w:val="clear" w:color="auto" w:fill="auto"/>
            <w:vAlign w:val="center"/>
          </w:tcPr>
          <w:p w14:paraId="163FDC3C" w14:textId="77777777" w:rsidR="00CA4C81" w:rsidRPr="004D52F8" w:rsidRDefault="00CA4C81" w:rsidP="006274B7">
            <w:pPr>
              <w:pStyle w:val="Tabletext1"/>
              <w:spacing w:before="40" w:after="40" w:line="288" w:lineRule="auto"/>
              <w:rPr>
                <w:snapToGrid w:val="0"/>
                <w:lang w:eastAsia="en-US"/>
              </w:rPr>
            </w:pPr>
            <w:r w:rsidRPr="004D52F8">
              <w:rPr>
                <w:snapToGrid w:val="0"/>
                <w:lang w:eastAsia="en-US"/>
              </w:rPr>
              <w:t>NR</w:t>
            </w:r>
          </w:p>
        </w:tc>
        <w:tc>
          <w:tcPr>
            <w:tcW w:w="677" w:type="pct"/>
            <w:tcBorders>
              <w:bottom w:val="single" w:sz="4" w:space="0" w:color="auto"/>
            </w:tcBorders>
            <w:vAlign w:val="center"/>
          </w:tcPr>
          <w:p w14:paraId="2AF09C4D" w14:textId="77777777" w:rsidR="00CA4C81" w:rsidRPr="004D52F8" w:rsidRDefault="00B511F8" w:rsidP="006274B7">
            <w:pPr>
              <w:pStyle w:val="Tabletext1"/>
              <w:spacing w:before="40" w:after="40" w:line="288" w:lineRule="auto"/>
              <w:rPr>
                <w:snapToGrid w:val="0"/>
                <w:lang w:eastAsia="en-US"/>
              </w:rPr>
            </w:pPr>
            <w:r w:rsidRPr="004D52F8">
              <w:rPr>
                <w:snapToGrid w:val="0"/>
                <w:lang w:eastAsia="en-US"/>
              </w:rPr>
              <w:t>40.7</w:t>
            </w:r>
          </w:p>
        </w:tc>
        <w:tc>
          <w:tcPr>
            <w:tcW w:w="677" w:type="pct"/>
            <w:tcBorders>
              <w:bottom w:val="single" w:sz="4" w:space="0" w:color="auto"/>
            </w:tcBorders>
            <w:vAlign w:val="center"/>
          </w:tcPr>
          <w:p w14:paraId="6BA8F9C8" w14:textId="77777777" w:rsidR="00CA4C81" w:rsidRPr="004D52F8" w:rsidRDefault="00CA4C81" w:rsidP="006274B7">
            <w:pPr>
              <w:pStyle w:val="Tabletext1"/>
              <w:spacing w:before="40" w:after="40" w:line="288" w:lineRule="auto"/>
              <w:rPr>
                <w:snapToGrid w:val="0"/>
                <w:lang w:eastAsia="en-US"/>
              </w:rPr>
            </w:pPr>
            <w:r w:rsidRPr="004D52F8">
              <w:rPr>
                <w:snapToGrid w:val="0"/>
                <w:lang w:eastAsia="en-US"/>
              </w:rPr>
              <w:t>NR</w:t>
            </w:r>
          </w:p>
        </w:tc>
        <w:tc>
          <w:tcPr>
            <w:tcW w:w="673" w:type="pct"/>
            <w:tcBorders>
              <w:bottom w:val="single" w:sz="4" w:space="0" w:color="auto"/>
            </w:tcBorders>
            <w:vAlign w:val="center"/>
          </w:tcPr>
          <w:p w14:paraId="4C835641" w14:textId="77777777" w:rsidR="00CA4C81" w:rsidRPr="004D52F8" w:rsidRDefault="00CA4C81" w:rsidP="006274B7">
            <w:pPr>
              <w:pStyle w:val="Tabletext1"/>
              <w:spacing w:before="40" w:after="40" w:line="288" w:lineRule="auto"/>
              <w:rPr>
                <w:snapToGrid w:val="0"/>
                <w:lang w:eastAsia="en-US"/>
              </w:rPr>
            </w:pPr>
            <w:r w:rsidRPr="004D52F8">
              <w:rPr>
                <w:snapToGrid w:val="0"/>
                <w:lang w:eastAsia="en-US"/>
              </w:rPr>
              <w:t>NR</w:t>
            </w:r>
          </w:p>
        </w:tc>
      </w:tr>
      <w:tr w:rsidR="00B511F8" w:rsidRPr="00383613" w14:paraId="4244A923" w14:textId="77777777" w:rsidTr="007F011A">
        <w:tc>
          <w:tcPr>
            <w:tcW w:w="617" w:type="pct"/>
            <w:shd w:val="clear" w:color="auto" w:fill="auto"/>
            <w:vAlign w:val="center"/>
          </w:tcPr>
          <w:p w14:paraId="03A0EF0E" w14:textId="77777777" w:rsidR="00B511F8" w:rsidRPr="00383613" w:rsidRDefault="00B511F8" w:rsidP="006274B7">
            <w:pPr>
              <w:pStyle w:val="Tabletext1"/>
              <w:spacing w:before="40" w:after="40" w:line="288" w:lineRule="auto"/>
              <w:rPr>
                <w:snapToGrid w:val="0"/>
                <w:lang w:eastAsia="en-US"/>
              </w:rPr>
            </w:pPr>
          </w:p>
        </w:tc>
        <w:tc>
          <w:tcPr>
            <w:tcW w:w="548" w:type="pct"/>
            <w:tcBorders>
              <w:bottom w:val="single" w:sz="4" w:space="0" w:color="auto"/>
            </w:tcBorders>
            <w:vAlign w:val="center"/>
          </w:tcPr>
          <w:p w14:paraId="4FFF9106" w14:textId="77777777" w:rsidR="00B511F8" w:rsidRPr="004D52F8" w:rsidRDefault="00B511F8" w:rsidP="006274B7">
            <w:pPr>
              <w:pStyle w:val="Tabletext1"/>
              <w:spacing w:before="40" w:after="40" w:line="288" w:lineRule="auto"/>
              <w:rPr>
                <w:snapToGrid w:val="0"/>
                <w:lang w:eastAsia="en-US"/>
              </w:rPr>
            </w:pPr>
            <w:r w:rsidRPr="004D52F8">
              <w:rPr>
                <w:snapToGrid w:val="0"/>
                <w:lang w:eastAsia="en-US"/>
              </w:rPr>
              <w:t>Surgery</w:t>
            </w:r>
          </w:p>
        </w:tc>
        <w:tc>
          <w:tcPr>
            <w:tcW w:w="514" w:type="pct"/>
            <w:tcBorders>
              <w:bottom w:val="single" w:sz="4" w:space="0" w:color="auto"/>
            </w:tcBorders>
            <w:shd w:val="clear" w:color="auto" w:fill="auto"/>
            <w:vAlign w:val="center"/>
          </w:tcPr>
          <w:p w14:paraId="1A6B8214" w14:textId="77777777" w:rsidR="00B511F8" w:rsidRPr="004D52F8" w:rsidRDefault="00B511F8" w:rsidP="006274B7">
            <w:pPr>
              <w:pStyle w:val="Tabletext1"/>
              <w:spacing w:before="40" w:after="40" w:line="288" w:lineRule="auto"/>
              <w:rPr>
                <w:snapToGrid w:val="0"/>
                <w:lang w:eastAsia="en-US"/>
              </w:rPr>
            </w:pPr>
            <w:r w:rsidRPr="004D52F8">
              <w:rPr>
                <w:snapToGrid w:val="0"/>
                <w:lang w:eastAsia="en-US"/>
              </w:rPr>
              <w:t>31 (NR)</w:t>
            </w:r>
          </w:p>
        </w:tc>
        <w:tc>
          <w:tcPr>
            <w:tcW w:w="617" w:type="pct"/>
            <w:tcBorders>
              <w:bottom w:val="single" w:sz="4" w:space="0" w:color="auto"/>
            </w:tcBorders>
            <w:shd w:val="clear" w:color="auto" w:fill="auto"/>
            <w:vAlign w:val="center"/>
          </w:tcPr>
          <w:p w14:paraId="2969E626" w14:textId="77777777" w:rsidR="00B511F8" w:rsidRPr="004D52F8" w:rsidRDefault="00B511F8" w:rsidP="006274B7">
            <w:pPr>
              <w:pStyle w:val="Tabletext1"/>
              <w:spacing w:before="40" w:after="40" w:line="288" w:lineRule="auto"/>
              <w:rPr>
                <w:lang w:eastAsia="en-US"/>
              </w:rPr>
            </w:pPr>
            <w:r w:rsidRPr="004D52F8">
              <w:rPr>
                <w:lang w:eastAsia="en-US"/>
              </w:rPr>
              <w:t xml:space="preserve">22 </w:t>
            </w:r>
            <w:r w:rsidRPr="004D52F8">
              <w:rPr>
                <w:snapToGrid w:val="0"/>
                <w:lang w:eastAsia="en-US"/>
              </w:rPr>
              <w:t>months</w:t>
            </w:r>
            <w:r w:rsidRPr="004D52F8">
              <w:rPr>
                <w:lang w:eastAsia="en-US"/>
              </w:rPr>
              <w:t xml:space="preserve"> (NR)</w:t>
            </w:r>
          </w:p>
        </w:tc>
        <w:tc>
          <w:tcPr>
            <w:tcW w:w="677" w:type="pct"/>
            <w:tcBorders>
              <w:bottom w:val="single" w:sz="4" w:space="0" w:color="auto"/>
            </w:tcBorders>
            <w:shd w:val="clear" w:color="auto" w:fill="auto"/>
            <w:vAlign w:val="center"/>
          </w:tcPr>
          <w:p w14:paraId="5EAF1213" w14:textId="77777777" w:rsidR="00B511F8" w:rsidRPr="004D52F8" w:rsidRDefault="00B511F8" w:rsidP="006274B7">
            <w:pPr>
              <w:pStyle w:val="Tabletext1"/>
              <w:spacing w:before="40" w:after="40" w:line="288" w:lineRule="auto"/>
              <w:rPr>
                <w:snapToGrid w:val="0"/>
                <w:lang w:eastAsia="en-US"/>
              </w:rPr>
            </w:pPr>
            <w:r w:rsidRPr="004D52F8">
              <w:rPr>
                <w:snapToGrid w:val="0"/>
                <w:lang w:eastAsia="en-US"/>
              </w:rPr>
              <w:t>NR</w:t>
            </w:r>
          </w:p>
        </w:tc>
        <w:tc>
          <w:tcPr>
            <w:tcW w:w="677" w:type="pct"/>
            <w:tcBorders>
              <w:bottom w:val="single" w:sz="4" w:space="0" w:color="auto"/>
            </w:tcBorders>
            <w:vAlign w:val="center"/>
          </w:tcPr>
          <w:p w14:paraId="7D554DAC" w14:textId="19D97575" w:rsidR="00B511F8" w:rsidRPr="004D52F8" w:rsidRDefault="003B6554" w:rsidP="006274B7">
            <w:pPr>
              <w:pStyle w:val="Tabletext1"/>
              <w:spacing w:before="40" w:after="40" w:line="288" w:lineRule="auto"/>
              <w:rPr>
                <w:snapToGrid w:val="0"/>
                <w:lang w:eastAsia="en-US"/>
              </w:rPr>
            </w:pPr>
            <w:r>
              <w:rPr>
                <w:snapToGrid w:val="0"/>
                <w:lang w:eastAsia="en-US"/>
              </w:rPr>
              <w:t>48%</w:t>
            </w:r>
          </w:p>
        </w:tc>
        <w:tc>
          <w:tcPr>
            <w:tcW w:w="677" w:type="pct"/>
            <w:tcBorders>
              <w:bottom w:val="single" w:sz="4" w:space="0" w:color="auto"/>
            </w:tcBorders>
            <w:vAlign w:val="center"/>
          </w:tcPr>
          <w:p w14:paraId="4C91B978" w14:textId="77777777" w:rsidR="00B511F8" w:rsidRPr="004D52F8" w:rsidRDefault="00B511F8" w:rsidP="006274B7">
            <w:pPr>
              <w:pStyle w:val="Tabletext1"/>
              <w:spacing w:before="40" w:after="40" w:line="288" w:lineRule="auto"/>
              <w:rPr>
                <w:snapToGrid w:val="0"/>
                <w:lang w:eastAsia="en-US"/>
              </w:rPr>
            </w:pPr>
            <w:r w:rsidRPr="004D52F8">
              <w:rPr>
                <w:snapToGrid w:val="0"/>
                <w:lang w:eastAsia="en-US"/>
              </w:rPr>
              <w:t>NR</w:t>
            </w:r>
          </w:p>
        </w:tc>
        <w:tc>
          <w:tcPr>
            <w:tcW w:w="673" w:type="pct"/>
            <w:tcBorders>
              <w:bottom w:val="single" w:sz="4" w:space="0" w:color="auto"/>
            </w:tcBorders>
            <w:vAlign w:val="center"/>
          </w:tcPr>
          <w:p w14:paraId="0D84FF59" w14:textId="77777777" w:rsidR="00B511F8" w:rsidRPr="004D52F8" w:rsidRDefault="00B511F8" w:rsidP="006274B7">
            <w:pPr>
              <w:pStyle w:val="Tabletext1"/>
              <w:spacing w:before="40" w:after="40" w:line="288" w:lineRule="auto"/>
              <w:rPr>
                <w:snapToGrid w:val="0"/>
                <w:lang w:eastAsia="en-US"/>
              </w:rPr>
            </w:pPr>
            <w:r w:rsidRPr="004D52F8">
              <w:rPr>
                <w:snapToGrid w:val="0"/>
                <w:lang w:eastAsia="en-US"/>
              </w:rPr>
              <w:t>NR</w:t>
            </w:r>
          </w:p>
        </w:tc>
      </w:tr>
      <w:tr w:rsidR="00B511F8" w:rsidRPr="00383613" w14:paraId="5B8F1DD5" w14:textId="77777777" w:rsidTr="007F011A">
        <w:tc>
          <w:tcPr>
            <w:tcW w:w="617" w:type="pct"/>
            <w:tcBorders>
              <w:right w:val="nil"/>
            </w:tcBorders>
            <w:shd w:val="clear" w:color="auto" w:fill="auto"/>
            <w:vAlign w:val="center"/>
          </w:tcPr>
          <w:p w14:paraId="5F197935" w14:textId="7ECB27C6" w:rsidR="00B511F8" w:rsidRPr="007F011A" w:rsidRDefault="00B511F8" w:rsidP="006274B7">
            <w:pPr>
              <w:pStyle w:val="Tabletext1"/>
              <w:spacing w:before="40" w:after="40" w:line="288" w:lineRule="auto"/>
              <w:rPr>
                <w:snapToGrid w:val="0"/>
                <w:lang w:eastAsia="en-US"/>
              </w:rPr>
            </w:pPr>
            <w:r w:rsidRPr="007F011A">
              <w:rPr>
                <w:snapToGrid w:val="0"/>
                <w:lang w:eastAsia="en-US"/>
              </w:rPr>
              <w:t>Pooled analysis</w:t>
            </w:r>
            <w:r w:rsidR="005F36B6">
              <w:rPr>
                <w:snapToGrid w:val="0"/>
                <w:lang w:eastAsia="en-US"/>
              </w:rPr>
              <w:t xml:space="preserve"> </w:t>
            </w:r>
          </w:p>
        </w:tc>
        <w:tc>
          <w:tcPr>
            <w:tcW w:w="548" w:type="pct"/>
            <w:tcBorders>
              <w:left w:val="nil"/>
              <w:right w:val="nil"/>
            </w:tcBorders>
          </w:tcPr>
          <w:p w14:paraId="6F4BC9C2" w14:textId="77777777" w:rsidR="00B511F8" w:rsidRPr="007F011A" w:rsidRDefault="00B511F8" w:rsidP="006274B7">
            <w:pPr>
              <w:pStyle w:val="Tabletext1"/>
              <w:spacing w:before="40" w:after="40" w:line="288" w:lineRule="auto"/>
              <w:rPr>
                <w:snapToGrid w:val="0"/>
                <w:lang w:eastAsia="en-US"/>
              </w:rPr>
            </w:pPr>
          </w:p>
        </w:tc>
        <w:tc>
          <w:tcPr>
            <w:tcW w:w="514" w:type="pct"/>
            <w:tcBorders>
              <w:left w:val="nil"/>
              <w:right w:val="nil"/>
            </w:tcBorders>
            <w:shd w:val="clear" w:color="auto" w:fill="auto"/>
            <w:vAlign w:val="center"/>
          </w:tcPr>
          <w:p w14:paraId="4987F9B5" w14:textId="77777777" w:rsidR="00B511F8" w:rsidRPr="007F011A" w:rsidRDefault="00B511F8" w:rsidP="006274B7">
            <w:pPr>
              <w:pStyle w:val="Tabletext1"/>
              <w:spacing w:before="40" w:after="40" w:line="288" w:lineRule="auto"/>
              <w:rPr>
                <w:snapToGrid w:val="0"/>
                <w:highlight w:val="cyan"/>
                <w:lang w:eastAsia="en-US"/>
              </w:rPr>
            </w:pPr>
          </w:p>
        </w:tc>
        <w:tc>
          <w:tcPr>
            <w:tcW w:w="617" w:type="pct"/>
            <w:tcBorders>
              <w:left w:val="nil"/>
              <w:right w:val="nil"/>
            </w:tcBorders>
            <w:shd w:val="clear" w:color="auto" w:fill="auto"/>
          </w:tcPr>
          <w:p w14:paraId="008373B1" w14:textId="0F44445F" w:rsidR="00B511F8" w:rsidRPr="00B4290F" w:rsidRDefault="003B6554" w:rsidP="006274B7">
            <w:pPr>
              <w:pStyle w:val="Tabletext1"/>
              <w:spacing w:before="40" w:after="40" w:line="288" w:lineRule="auto"/>
              <w:rPr>
                <w:snapToGrid w:val="0"/>
                <w:lang w:eastAsia="en-US"/>
              </w:rPr>
            </w:pPr>
            <w:r>
              <w:rPr>
                <w:snapToGrid w:val="0"/>
                <w:lang w:eastAsia="en-US"/>
              </w:rPr>
              <w:t xml:space="preserve">Median 28% </w:t>
            </w:r>
            <w:r w:rsidR="00B511F8" w:rsidRPr="00B4290F">
              <w:rPr>
                <w:snapToGrid w:val="0"/>
                <w:lang w:eastAsia="en-US"/>
              </w:rPr>
              <w:t>(</w:t>
            </w:r>
            <w:r w:rsidR="00392305" w:rsidRPr="00B4290F">
              <w:rPr>
                <w:snapToGrid w:val="0"/>
                <w:lang w:eastAsia="en-US"/>
              </w:rPr>
              <w:t>12</w:t>
            </w:r>
            <w:r w:rsidR="007E3D66">
              <w:rPr>
                <w:snapToGrid w:val="0"/>
                <w:lang w:eastAsia="en-US"/>
              </w:rPr>
              <w:t>–</w:t>
            </w:r>
            <w:r w:rsidR="00392305" w:rsidRPr="00B4290F">
              <w:rPr>
                <w:snapToGrid w:val="0"/>
                <w:lang w:eastAsia="en-US"/>
              </w:rPr>
              <w:t>43</w:t>
            </w:r>
            <w:r>
              <w:rPr>
                <w:snapToGrid w:val="0"/>
                <w:lang w:eastAsia="en-US"/>
              </w:rPr>
              <w:t>%</w:t>
            </w:r>
            <w:r w:rsidR="00B511F8" w:rsidRPr="00B4290F">
              <w:rPr>
                <w:snapToGrid w:val="0"/>
                <w:lang w:eastAsia="en-US"/>
              </w:rPr>
              <w:t>)</w:t>
            </w:r>
          </w:p>
          <w:p w14:paraId="4DFA0619" w14:textId="77777777" w:rsidR="00B511F8" w:rsidRPr="00B4290F" w:rsidRDefault="00B511F8" w:rsidP="006274B7">
            <w:pPr>
              <w:pStyle w:val="Tabletext1"/>
              <w:spacing w:before="40" w:after="40" w:line="288" w:lineRule="auto"/>
              <w:rPr>
                <w:rFonts w:ascii="Cambria Math" w:hAnsi="Cambria Math" w:cs="Cambria Math"/>
                <w:color w:val="C00000"/>
              </w:rPr>
            </w:pPr>
            <w:r w:rsidRPr="00B4290F">
              <w:rPr>
                <w:rFonts w:ascii="Cambria Math" w:hAnsi="Cambria Math"/>
                <w:color w:val="00B050"/>
              </w:rPr>
              <w:t>⨁</w:t>
            </w:r>
            <w:r w:rsidRPr="00B4290F">
              <w:rPr>
                <w:rFonts w:ascii="Cambria Math" w:hAnsi="Cambria Math" w:cs="Cambria Math"/>
                <w:color w:val="C00000"/>
              </w:rPr>
              <w:t>⨀⨀⨀</w:t>
            </w:r>
          </w:p>
          <w:p w14:paraId="0BC8BACA" w14:textId="77777777" w:rsidR="00B511F8" w:rsidRPr="00B4290F" w:rsidRDefault="00B511F8" w:rsidP="006274B7">
            <w:pPr>
              <w:pStyle w:val="Tabletext1"/>
              <w:spacing w:before="40" w:after="40" w:line="288" w:lineRule="auto"/>
              <w:rPr>
                <w:snapToGrid w:val="0"/>
                <w:lang w:eastAsia="en-US"/>
              </w:rPr>
            </w:pPr>
            <w:r w:rsidRPr="00B4290F">
              <w:t>VERY LOW</w:t>
            </w:r>
          </w:p>
        </w:tc>
        <w:tc>
          <w:tcPr>
            <w:tcW w:w="677" w:type="pct"/>
            <w:tcBorders>
              <w:left w:val="nil"/>
              <w:right w:val="nil"/>
            </w:tcBorders>
            <w:shd w:val="clear" w:color="auto" w:fill="auto"/>
          </w:tcPr>
          <w:p w14:paraId="2EB27DD3" w14:textId="1065C80E" w:rsidR="00B511F8" w:rsidRPr="00B4290F" w:rsidRDefault="00B511F8" w:rsidP="006274B7">
            <w:pPr>
              <w:pStyle w:val="Tabletext1"/>
              <w:spacing w:before="40" w:after="40" w:line="288" w:lineRule="auto"/>
              <w:rPr>
                <w:snapToGrid w:val="0"/>
                <w:lang w:eastAsia="en-US"/>
              </w:rPr>
            </w:pPr>
            <w:r w:rsidRPr="00B4290F">
              <w:rPr>
                <w:snapToGrid w:val="0"/>
                <w:lang w:eastAsia="en-US"/>
              </w:rPr>
              <w:t xml:space="preserve">Median 86% </w:t>
            </w:r>
            <w:r w:rsidR="00392305" w:rsidRPr="00B4290F">
              <w:rPr>
                <w:snapToGrid w:val="0"/>
                <w:lang w:eastAsia="en-US"/>
              </w:rPr>
              <w:t>(61</w:t>
            </w:r>
            <w:r w:rsidR="007E3D66">
              <w:rPr>
                <w:snapToGrid w:val="0"/>
                <w:lang w:eastAsia="en-US"/>
              </w:rPr>
              <w:t>–</w:t>
            </w:r>
            <w:r w:rsidRPr="00B4290F">
              <w:rPr>
                <w:snapToGrid w:val="0"/>
                <w:lang w:eastAsia="en-US"/>
              </w:rPr>
              <w:t>98</w:t>
            </w:r>
            <w:r w:rsidR="003B6554">
              <w:rPr>
                <w:snapToGrid w:val="0"/>
                <w:lang w:eastAsia="en-US"/>
              </w:rPr>
              <w:t>%</w:t>
            </w:r>
            <w:r w:rsidRPr="00B4290F">
              <w:rPr>
                <w:snapToGrid w:val="0"/>
                <w:lang w:eastAsia="en-US"/>
              </w:rPr>
              <w:t xml:space="preserve">) </w:t>
            </w:r>
          </w:p>
          <w:p w14:paraId="1091C21A" w14:textId="77777777" w:rsidR="00B511F8" w:rsidRPr="00B4290F" w:rsidRDefault="00B511F8" w:rsidP="006274B7">
            <w:pPr>
              <w:pStyle w:val="Tabletext1"/>
              <w:spacing w:before="40" w:after="40" w:line="288" w:lineRule="auto"/>
              <w:rPr>
                <w:snapToGrid w:val="0"/>
                <w:lang w:eastAsia="en-US"/>
              </w:rPr>
            </w:pPr>
            <w:r w:rsidRPr="00B4290F">
              <w:rPr>
                <w:rFonts w:ascii="Cambria Math" w:hAnsi="Cambria Math"/>
                <w:color w:val="00B050"/>
              </w:rPr>
              <w:t>⨁</w:t>
            </w:r>
            <w:r w:rsidRPr="00B4290F">
              <w:rPr>
                <w:rFonts w:ascii="Cambria Math" w:hAnsi="Cambria Math" w:cs="Cambria Math"/>
                <w:color w:val="C00000"/>
              </w:rPr>
              <w:t>⨀⨀⨀</w:t>
            </w:r>
          </w:p>
          <w:p w14:paraId="42D006A2" w14:textId="77777777" w:rsidR="00B511F8" w:rsidRPr="00B4290F" w:rsidRDefault="00B511F8" w:rsidP="006274B7">
            <w:pPr>
              <w:pStyle w:val="Tabletext1"/>
              <w:spacing w:before="40" w:after="40" w:line="288" w:lineRule="auto"/>
              <w:rPr>
                <w:snapToGrid w:val="0"/>
                <w:lang w:eastAsia="en-US"/>
              </w:rPr>
            </w:pPr>
            <w:r w:rsidRPr="00B4290F">
              <w:rPr>
                <w:snapToGrid w:val="0"/>
                <w:lang w:eastAsia="en-US"/>
              </w:rPr>
              <w:t>VERY LOW</w:t>
            </w:r>
          </w:p>
        </w:tc>
        <w:tc>
          <w:tcPr>
            <w:tcW w:w="677" w:type="pct"/>
            <w:tcBorders>
              <w:left w:val="nil"/>
              <w:right w:val="nil"/>
            </w:tcBorders>
          </w:tcPr>
          <w:p w14:paraId="419B4E9E" w14:textId="5D5415E1" w:rsidR="00B511F8" w:rsidRPr="00B4290F" w:rsidRDefault="00B511F8" w:rsidP="006274B7">
            <w:pPr>
              <w:pStyle w:val="Tabletext1"/>
              <w:spacing w:before="40" w:after="40" w:line="288" w:lineRule="auto"/>
              <w:rPr>
                <w:snapToGrid w:val="0"/>
                <w:lang w:eastAsia="en-US"/>
              </w:rPr>
            </w:pPr>
            <w:r w:rsidRPr="00B4290F">
              <w:rPr>
                <w:snapToGrid w:val="0"/>
                <w:lang w:eastAsia="en-US"/>
              </w:rPr>
              <w:t>Median 65% (31</w:t>
            </w:r>
            <w:r w:rsidR="007E3D66">
              <w:rPr>
                <w:snapToGrid w:val="0"/>
                <w:lang w:eastAsia="en-US"/>
              </w:rPr>
              <w:t>–</w:t>
            </w:r>
            <w:r w:rsidRPr="00B4290F">
              <w:rPr>
                <w:snapToGrid w:val="0"/>
                <w:lang w:eastAsia="en-US"/>
              </w:rPr>
              <w:t>86</w:t>
            </w:r>
            <w:r w:rsidR="003B6554">
              <w:rPr>
                <w:snapToGrid w:val="0"/>
                <w:lang w:eastAsia="en-US"/>
              </w:rPr>
              <w:t>%</w:t>
            </w:r>
            <w:r w:rsidRPr="00B4290F">
              <w:rPr>
                <w:snapToGrid w:val="0"/>
                <w:lang w:eastAsia="en-US"/>
              </w:rPr>
              <w:t xml:space="preserve">) </w:t>
            </w:r>
          </w:p>
          <w:p w14:paraId="7E23CE19" w14:textId="77777777" w:rsidR="00B511F8" w:rsidRPr="00B4290F" w:rsidRDefault="00B511F8" w:rsidP="006274B7">
            <w:pPr>
              <w:pStyle w:val="Tabletext1"/>
              <w:spacing w:before="40" w:after="40" w:line="288" w:lineRule="auto"/>
              <w:rPr>
                <w:snapToGrid w:val="0"/>
                <w:lang w:eastAsia="en-US"/>
              </w:rPr>
            </w:pPr>
            <w:r w:rsidRPr="00B4290F">
              <w:rPr>
                <w:rFonts w:ascii="Cambria Math" w:hAnsi="Cambria Math"/>
                <w:color w:val="00B050"/>
              </w:rPr>
              <w:t>⨁</w:t>
            </w:r>
            <w:r w:rsidRPr="00B4290F">
              <w:rPr>
                <w:rFonts w:ascii="Cambria Math" w:hAnsi="Cambria Math" w:cs="Cambria Math"/>
                <w:color w:val="C00000"/>
              </w:rPr>
              <w:t>⨀⨀⨀</w:t>
            </w:r>
          </w:p>
          <w:p w14:paraId="3EA698F5" w14:textId="77777777" w:rsidR="00B511F8" w:rsidRPr="00B4290F" w:rsidRDefault="00B511F8" w:rsidP="006274B7">
            <w:pPr>
              <w:pStyle w:val="Tabletext1"/>
              <w:spacing w:before="40" w:after="40" w:line="288" w:lineRule="auto"/>
              <w:rPr>
                <w:snapToGrid w:val="0"/>
                <w:lang w:eastAsia="en-US"/>
              </w:rPr>
            </w:pPr>
            <w:r w:rsidRPr="00B4290F">
              <w:rPr>
                <w:snapToGrid w:val="0"/>
                <w:lang w:eastAsia="en-US"/>
              </w:rPr>
              <w:t>VERY LOW</w:t>
            </w:r>
          </w:p>
        </w:tc>
        <w:tc>
          <w:tcPr>
            <w:tcW w:w="677" w:type="pct"/>
            <w:tcBorders>
              <w:left w:val="nil"/>
              <w:right w:val="nil"/>
            </w:tcBorders>
          </w:tcPr>
          <w:p w14:paraId="1846BCDB" w14:textId="6F1B2FC1" w:rsidR="00B511F8" w:rsidRPr="00B4290F" w:rsidRDefault="00392305" w:rsidP="006274B7">
            <w:pPr>
              <w:pStyle w:val="Tabletext1"/>
              <w:spacing w:before="40" w:after="40" w:line="288" w:lineRule="auto"/>
              <w:rPr>
                <w:snapToGrid w:val="0"/>
                <w:lang w:eastAsia="en-US"/>
              </w:rPr>
            </w:pPr>
            <w:r w:rsidRPr="00B4290F">
              <w:rPr>
                <w:snapToGrid w:val="0"/>
                <w:lang w:eastAsia="en-US"/>
              </w:rPr>
              <w:t>Median 62</w:t>
            </w:r>
            <w:r w:rsidR="00B511F8" w:rsidRPr="00B4290F">
              <w:rPr>
                <w:snapToGrid w:val="0"/>
                <w:lang w:eastAsia="en-US"/>
              </w:rPr>
              <w:t>% (50</w:t>
            </w:r>
            <w:r w:rsidR="007E3D66">
              <w:rPr>
                <w:snapToGrid w:val="0"/>
                <w:lang w:eastAsia="en-US"/>
              </w:rPr>
              <w:t>–</w:t>
            </w:r>
            <w:r w:rsidR="00B511F8" w:rsidRPr="00B4290F">
              <w:rPr>
                <w:snapToGrid w:val="0"/>
                <w:lang w:eastAsia="en-US"/>
              </w:rPr>
              <w:t>73</w:t>
            </w:r>
            <w:r w:rsidR="003B6554">
              <w:rPr>
                <w:snapToGrid w:val="0"/>
                <w:lang w:eastAsia="en-US"/>
              </w:rPr>
              <w:t>%</w:t>
            </w:r>
            <w:r w:rsidR="00B511F8" w:rsidRPr="00B4290F">
              <w:rPr>
                <w:snapToGrid w:val="0"/>
                <w:lang w:eastAsia="en-US"/>
              </w:rPr>
              <w:t xml:space="preserve">) </w:t>
            </w:r>
          </w:p>
          <w:p w14:paraId="6CC7ECD5" w14:textId="77777777" w:rsidR="00B511F8" w:rsidRPr="00B4290F" w:rsidRDefault="00B511F8" w:rsidP="006274B7">
            <w:pPr>
              <w:pStyle w:val="Tabletext1"/>
              <w:spacing w:before="40" w:after="40" w:line="288" w:lineRule="auto"/>
              <w:rPr>
                <w:snapToGrid w:val="0"/>
                <w:lang w:eastAsia="en-US"/>
              </w:rPr>
            </w:pPr>
            <w:r w:rsidRPr="00B4290F">
              <w:rPr>
                <w:rFonts w:ascii="Cambria Math" w:hAnsi="Cambria Math"/>
                <w:color w:val="00B050"/>
              </w:rPr>
              <w:t>⨁</w:t>
            </w:r>
            <w:r w:rsidRPr="00B4290F">
              <w:rPr>
                <w:rFonts w:ascii="Cambria Math" w:hAnsi="Cambria Math" w:cs="Cambria Math"/>
                <w:color w:val="C00000"/>
              </w:rPr>
              <w:t>⨀⨀⨀</w:t>
            </w:r>
          </w:p>
          <w:p w14:paraId="4CD587F6" w14:textId="77777777" w:rsidR="00B511F8" w:rsidRPr="00B4290F" w:rsidRDefault="00B511F8" w:rsidP="006274B7">
            <w:pPr>
              <w:pStyle w:val="Tabletext1"/>
              <w:spacing w:before="40" w:after="40" w:line="288" w:lineRule="auto"/>
              <w:rPr>
                <w:snapToGrid w:val="0"/>
                <w:lang w:eastAsia="en-US"/>
              </w:rPr>
            </w:pPr>
            <w:r w:rsidRPr="00B4290F">
              <w:rPr>
                <w:snapToGrid w:val="0"/>
                <w:lang w:eastAsia="en-US"/>
              </w:rPr>
              <w:t>VERY LOW</w:t>
            </w:r>
          </w:p>
        </w:tc>
        <w:tc>
          <w:tcPr>
            <w:tcW w:w="673" w:type="pct"/>
            <w:tcBorders>
              <w:left w:val="nil"/>
            </w:tcBorders>
          </w:tcPr>
          <w:p w14:paraId="36CDC774" w14:textId="11D99301" w:rsidR="00B511F8" w:rsidRPr="00B4290F" w:rsidRDefault="00B511F8" w:rsidP="006274B7">
            <w:pPr>
              <w:pStyle w:val="Tabletext1"/>
              <w:spacing w:before="40" w:after="40" w:line="288" w:lineRule="auto"/>
              <w:rPr>
                <w:snapToGrid w:val="0"/>
                <w:lang w:eastAsia="en-US"/>
              </w:rPr>
            </w:pPr>
            <w:r w:rsidRPr="00B4290F">
              <w:rPr>
                <w:snapToGrid w:val="0"/>
                <w:lang w:eastAsia="en-US"/>
              </w:rPr>
              <w:t>Median 46% (39</w:t>
            </w:r>
            <w:r w:rsidR="007E3D66">
              <w:rPr>
                <w:snapToGrid w:val="0"/>
                <w:lang w:eastAsia="en-US"/>
              </w:rPr>
              <w:t>–</w:t>
            </w:r>
            <w:r w:rsidRPr="00B4290F">
              <w:rPr>
                <w:snapToGrid w:val="0"/>
                <w:lang w:eastAsia="en-US"/>
              </w:rPr>
              <w:t>56</w:t>
            </w:r>
            <w:r w:rsidR="003B6554">
              <w:rPr>
                <w:snapToGrid w:val="0"/>
                <w:lang w:eastAsia="en-US"/>
              </w:rPr>
              <w:t>%</w:t>
            </w:r>
            <w:r w:rsidRPr="00B4290F">
              <w:rPr>
                <w:snapToGrid w:val="0"/>
                <w:lang w:eastAsia="en-US"/>
              </w:rPr>
              <w:t xml:space="preserve">) </w:t>
            </w:r>
            <w:r w:rsidRPr="00B4290F">
              <w:rPr>
                <w:rFonts w:ascii="Cambria Math" w:hAnsi="Cambria Math"/>
                <w:color w:val="00B050"/>
              </w:rPr>
              <w:t>⨁</w:t>
            </w:r>
            <w:r w:rsidRPr="00B4290F">
              <w:rPr>
                <w:rFonts w:ascii="Cambria Math" w:hAnsi="Cambria Math" w:cs="Cambria Math"/>
                <w:color w:val="C00000"/>
              </w:rPr>
              <w:t>⨀⨀⨀</w:t>
            </w:r>
          </w:p>
          <w:p w14:paraId="0F6973E0" w14:textId="77777777" w:rsidR="00B511F8" w:rsidRPr="00B4290F" w:rsidRDefault="00B511F8" w:rsidP="006274B7">
            <w:pPr>
              <w:pStyle w:val="Tabletext1"/>
              <w:spacing w:before="40" w:after="40" w:line="288" w:lineRule="auto"/>
              <w:rPr>
                <w:snapToGrid w:val="0"/>
              </w:rPr>
            </w:pPr>
            <w:r w:rsidRPr="00B4290F">
              <w:rPr>
                <w:snapToGrid w:val="0"/>
                <w:lang w:eastAsia="en-US"/>
              </w:rPr>
              <w:t>VERY LOW</w:t>
            </w:r>
          </w:p>
        </w:tc>
      </w:tr>
    </w:tbl>
    <w:p w14:paraId="1C785CD5" w14:textId="5AFC57CB" w:rsidR="005F36B6" w:rsidRDefault="00B4290F" w:rsidP="003309CB">
      <w:pPr>
        <w:pStyle w:val="Tablenotes0"/>
      </w:pPr>
      <w:r>
        <w:rPr>
          <w:szCs w:val="18"/>
        </w:rPr>
        <w:t>&lt;</w:t>
      </w:r>
      <w:r w:rsidR="00620681" w:rsidRPr="00D54BB0">
        <w:rPr>
          <w:szCs w:val="18"/>
        </w:rPr>
        <w:t>CI = confidence interval</w:t>
      </w:r>
      <w:r w:rsidR="00620681">
        <w:rPr>
          <w:szCs w:val="18"/>
        </w:rPr>
        <w:t xml:space="preserve">; </w:t>
      </w:r>
      <w:r w:rsidR="00C10752">
        <w:rPr>
          <w:szCs w:val="18"/>
        </w:rPr>
        <w:t xml:space="preserve">N = </w:t>
      </w:r>
      <w:r w:rsidR="00620681" w:rsidRPr="002F591C">
        <w:rPr>
          <w:szCs w:val="18"/>
        </w:rPr>
        <w:t>number</w:t>
      </w:r>
      <w:r w:rsidR="00620681">
        <w:rPr>
          <w:szCs w:val="18"/>
        </w:rPr>
        <w:t xml:space="preserve">; </w:t>
      </w:r>
      <w:r w:rsidR="00620681" w:rsidRPr="00D54BB0">
        <w:rPr>
          <w:szCs w:val="18"/>
        </w:rPr>
        <w:t>NR= not reported</w:t>
      </w:r>
      <w:r w:rsidR="00620681">
        <w:rPr>
          <w:szCs w:val="18"/>
        </w:rPr>
        <w:t xml:space="preserve">; </w:t>
      </w:r>
      <w:r w:rsidR="00620681" w:rsidRPr="00D54BB0">
        <w:rPr>
          <w:szCs w:val="18"/>
        </w:rPr>
        <w:t>± = SD</w:t>
      </w:r>
      <w:r w:rsidR="009E1FC0">
        <w:rPr>
          <w:szCs w:val="18"/>
        </w:rPr>
        <w:t>; OS = overall survival.</w:t>
      </w:r>
      <w:r w:rsidR="003309CB" w:rsidRPr="003309CB">
        <w:rPr>
          <w:rStyle w:val="TablenotesChar0"/>
        </w:rPr>
        <w:t xml:space="preserve"> </w:t>
      </w:r>
      <w:r w:rsidR="003309CB" w:rsidRPr="00A04BF3">
        <w:rPr>
          <w:rStyle w:val="TablenotesChar0"/>
        </w:rPr>
        <w:t>SBRT=stereotactic body radiotherapy, GY=gray</w:t>
      </w:r>
      <w:r>
        <w:rPr>
          <w:rStyle w:val="TablenotesChar0"/>
        </w:rPr>
        <w:t>&gt;</w:t>
      </w:r>
      <w:r w:rsidR="003309CB" w:rsidRPr="00383613">
        <w:t xml:space="preserve"> </w:t>
      </w:r>
    </w:p>
    <w:p w14:paraId="7CEB9A3B" w14:textId="7EBF72CD" w:rsidR="00620681" w:rsidRDefault="00620681" w:rsidP="00620681">
      <w:pPr>
        <w:pStyle w:val="Tablenotes0"/>
        <w:rPr>
          <w:szCs w:val="18"/>
        </w:rPr>
      </w:pPr>
      <w:r w:rsidRPr="00E10B76">
        <w:rPr>
          <w:szCs w:val="18"/>
        </w:rPr>
        <w:t>GRADE Working Group grades of evidence</w:t>
      </w:r>
      <w:r>
        <w:rPr>
          <w:szCs w:val="18"/>
        </w:rPr>
        <w:t xml:space="preserve"> (Guyatt et al., 2013)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p>
    <w:p w14:paraId="1A25558D" w14:textId="1FD7A4AB" w:rsidR="00944151" w:rsidRDefault="00944151" w:rsidP="0021586E">
      <w:pPr>
        <w:pStyle w:val="Caption"/>
        <w:keepNext/>
        <w:spacing w:before="500"/>
      </w:pPr>
      <w:bookmarkStart w:id="541" w:name="_Ref457486321"/>
      <w:bookmarkStart w:id="542" w:name="_Toc460514762"/>
      <w:r>
        <w:t xml:space="preserve">Table </w:t>
      </w:r>
      <w:fldSimple w:instr=" SEQ Table \* ARABIC ">
        <w:r w:rsidR="00D170A5">
          <w:rPr>
            <w:noProof/>
          </w:rPr>
          <w:t>104</w:t>
        </w:r>
      </w:fldSimple>
      <w:bookmarkEnd w:id="541"/>
      <w:r>
        <w:tab/>
        <w:t xml:space="preserve">Overall survival </w:t>
      </w:r>
      <w:r w:rsidR="003B6554">
        <w:t xml:space="preserve">rates </w:t>
      </w:r>
      <w:r>
        <w:t>(surgery, population 2)</w:t>
      </w:r>
      <w:bookmarkEnd w:id="5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448"/>
        <w:gridCol w:w="1133"/>
        <w:gridCol w:w="3250"/>
        <w:gridCol w:w="3251"/>
      </w:tblGrid>
      <w:tr w:rsidR="00944151" w:rsidRPr="00B1419B" w14:paraId="077BA299" w14:textId="77777777" w:rsidTr="00750F67">
        <w:tc>
          <w:tcPr>
            <w:tcW w:w="797" w:type="pct"/>
            <w:shd w:val="clear" w:color="auto" w:fill="D9D9D9" w:themeFill="background1" w:themeFillShade="D9"/>
          </w:tcPr>
          <w:p w14:paraId="254FD3AC" w14:textId="77777777" w:rsidR="00944151" w:rsidRPr="00B1419B" w:rsidRDefault="00944151" w:rsidP="00750F67">
            <w:pPr>
              <w:pStyle w:val="TableHeading"/>
              <w:spacing w:line="288" w:lineRule="auto"/>
              <w:jc w:val="left"/>
              <w:rPr>
                <w:snapToGrid w:val="0"/>
                <w:sz w:val="18"/>
                <w:szCs w:val="18"/>
                <w:lang w:eastAsia="en-US"/>
              </w:rPr>
            </w:pPr>
            <w:r w:rsidRPr="00B1419B">
              <w:rPr>
                <w:snapToGrid w:val="0"/>
                <w:sz w:val="18"/>
                <w:szCs w:val="18"/>
                <w:lang w:eastAsia="en-US"/>
              </w:rPr>
              <w:t>Trial/Study</w:t>
            </w:r>
          </w:p>
        </w:tc>
        <w:tc>
          <w:tcPr>
            <w:tcW w:w="624" w:type="pct"/>
            <w:shd w:val="clear" w:color="auto" w:fill="D9D9D9" w:themeFill="background1" w:themeFillShade="D9"/>
          </w:tcPr>
          <w:p w14:paraId="027831F9" w14:textId="77777777" w:rsidR="00944151" w:rsidRPr="00B1419B" w:rsidRDefault="00944151" w:rsidP="00750F67">
            <w:pPr>
              <w:pStyle w:val="TableHeading"/>
              <w:spacing w:line="288" w:lineRule="auto"/>
              <w:jc w:val="left"/>
              <w:rPr>
                <w:snapToGrid w:val="0"/>
                <w:sz w:val="18"/>
                <w:szCs w:val="18"/>
                <w:lang w:eastAsia="en-US"/>
              </w:rPr>
            </w:pPr>
            <w:r w:rsidRPr="00B1419B">
              <w:rPr>
                <w:snapToGrid w:val="0"/>
                <w:sz w:val="18"/>
                <w:szCs w:val="18"/>
                <w:lang w:eastAsia="en-US"/>
              </w:rPr>
              <w:t>N (lesions)</w:t>
            </w:r>
          </w:p>
        </w:tc>
        <w:tc>
          <w:tcPr>
            <w:tcW w:w="1789" w:type="pct"/>
            <w:shd w:val="clear" w:color="auto" w:fill="D9D9D9" w:themeFill="background1" w:themeFillShade="D9"/>
          </w:tcPr>
          <w:p w14:paraId="5821D1AE" w14:textId="4D8B3351" w:rsidR="00944151" w:rsidRPr="00B1419B" w:rsidRDefault="00944151" w:rsidP="00750F67">
            <w:pPr>
              <w:pStyle w:val="TableHeading"/>
              <w:spacing w:line="288" w:lineRule="auto"/>
              <w:jc w:val="left"/>
              <w:rPr>
                <w:snapToGrid w:val="0"/>
                <w:sz w:val="18"/>
                <w:szCs w:val="18"/>
                <w:lang w:eastAsia="en-US"/>
              </w:rPr>
            </w:pPr>
            <w:r w:rsidRPr="00B1419B">
              <w:rPr>
                <w:snapToGrid w:val="0"/>
                <w:sz w:val="18"/>
                <w:szCs w:val="18"/>
                <w:lang w:eastAsia="en-US"/>
              </w:rPr>
              <w:t>Overall survival time</w:t>
            </w:r>
          </w:p>
          <w:p w14:paraId="2475F135" w14:textId="77777777" w:rsidR="00944151" w:rsidRPr="00B1419B" w:rsidRDefault="00944151" w:rsidP="00750F67">
            <w:pPr>
              <w:pStyle w:val="TableHeading"/>
              <w:spacing w:line="288" w:lineRule="auto"/>
              <w:jc w:val="left"/>
              <w:rPr>
                <w:snapToGrid w:val="0"/>
                <w:sz w:val="18"/>
                <w:szCs w:val="18"/>
                <w:lang w:eastAsia="en-US"/>
              </w:rPr>
            </w:pPr>
            <w:r w:rsidRPr="00B1419B">
              <w:rPr>
                <w:snapToGrid w:val="0"/>
                <w:sz w:val="18"/>
                <w:szCs w:val="18"/>
                <w:lang w:eastAsia="en-US"/>
              </w:rPr>
              <w:t>Median (range) or Kaplan-Meier estimate (95%CI) months</w:t>
            </w:r>
          </w:p>
        </w:tc>
        <w:tc>
          <w:tcPr>
            <w:tcW w:w="1790" w:type="pct"/>
            <w:shd w:val="clear" w:color="auto" w:fill="D9D9D9" w:themeFill="background1" w:themeFillShade="D9"/>
          </w:tcPr>
          <w:p w14:paraId="5BB3456F" w14:textId="77777777" w:rsidR="00944151" w:rsidRPr="00B1419B" w:rsidRDefault="00944151" w:rsidP="00750F67">
            <w:pPr>
              <w:pStyle w:val="TableHeading"/>
              <w:spacing w:line="288" w:lineRule="auto"/>
              <w:jc w:val="left"/>
              <w:rPr>
                <w:snapToGrid w:val="0"/>
                <w:sz w:val="18"/>
                <w:szCs w:val="18"/>
                <w:lang w:eastAsia="en-US"/>
              </w:rPr>
            </w:pPr>
            <w:r w:rsidRPr="00B1419B">
              <w:rPr>
                <w:snapToGrid w:val="0"/>
                <w:sz w:val="18"/>
                <w:szCs w:val="18"/>
                <w:lang w:eastAsia="en-US"/>
              </w:rPr>
              <w:t>Survival rate</w:t>
            </w:r>
          </w:p>
        </w:tc>
      </w:tr>
      <w:tr w:rsidR="00944151" w:rsidRPr="00B1419B" w14:paraId="4598042C" w14:textId="77777777" w:rsidTr="00750F67">
        <w:tc>
          <w:tcPr>
            <w:tcW w:w="797" w:type="pct"/>
            <w:shd w:val="clear" w:color="auto" w:fill="auto"/>
          </w:tcPr>
          <w:p w14:paraId="2D1970F2"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Young et al (2015)</w:t>
            </w:r>
          </w:p>
        </w:tc>
        <w:tc>
          <w:tcPr>
            <w:tcW w:w="624" w:type="pct"/>
            <w:shd w:val="clear" w:color="auto" w:fill="auto"/>
          </w:tcPr>
          <w:p w14:paraId="440EB195"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13 included studies with 403 patients</w:t>
            </w:r>
          </w:p>
        </w:tc>
        <w:tc>
          <w:tcPr>
            <w:tcW w:w="1789" w:type="pct"/>
            <w:shd w:val="clear" w:color="auto" w:fill="auto"/>
          </w:tcPr>
          <w:p w14:paraId="02BF676A" w14:textId="77777777" w:rsidR="00944151" w:rsidRPr="00B1419B" w:rsidRDefault="00944151" w:rsidP="00750F67">
            <w:pPr>
              <w:pStyle w:val="TableText0"/>
              <w:spacing w:line="288" w:lineRule="auto"/>
              <w:jc w:val="left"/>
              <w:rPr>
                <w:sz w:val="18"/>
                <w:szCs w:val="18"/>
              </w:rPr>
            </w:pPr>
            <w:r w:rsidRPr="00B1419B">
              <w:rPr>
                <w:sz w:val="18"/>
                <w:szCs w:val="18"/>
              </w:rPr>
              <w:t>NR</w:t>
            </w:r>
          </w:p>
        </w:tc>
        <w:tc>
          <w:tcPr>
            <w:tcW w:w="1790" w:type="pct"/>
            <w:shd w:val="clear" w:color="auto" w:fill="auto"/>
          </w:tcPr>
          <w:p w14:paraId="03EF0F86"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Meta-analysis of 5 year overall survival from 11 studies (387 patients)</w:t>
            </w:r>
          </w:p>
          <w:p w14:paraId="05333C23" w14:textId="28AE7DB0" w:rsidR="00944151" w:rsidRPr="00B1419B" w:rsidRDefault="00944151" w:rsidP="00750F67">
            <w:pPr>
              <w:pStyle w:val="TableText0"/>
              <w:spacing w:line="288" w:lineRule="auto"/>
              <w:jc w:val="left"/>
              <w:rPr>
                <w:snapToGrid w:val="0"/>
                <w:sz w:val="18"/>
                <w:szCs w:val="18"/>
              </w:rPr>
            </w:pPr>
            <w:r w:rsidRPr="00B1419B">
              <w:rPr>
                <w:snapToGrid w:val="0"/>
                <w:sz w:val="18"/>
                <w:szCs w:val="18"/>
              </w:rPr>
              <w:t>29.1% (95%CI; 24.1</w:t>
            </w:r>
            <w:r w:rsidR="007E3D66">
              <w:rPr>
                <w:snapToGrid w:val="0"/>
                <w:sz w:val="18"/>
                <w:szCs w:val="18"/>
              </w:rPr>
              <w:t>–</w:t>
            </w:r>
            <w:r w:rsidRPr="00B1419B">
              <w:rPr>
                <w:snapToGrid w:val="0"/>
                <w:sz w:val="18"/>
                <w:szCs w:val="18"/>
              </w:rPr>
              <w:t>35.3)</w:t>
            </w:r>
          </w:p>
          <w:p w14:paraId="1996B485"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I</w:t>
            </w:r>
            <w:r w:rsidRPr="00B1419B">
              <w:rPr>
                <w:snapToGrid w:val="0"/>
                <w:sz w:val="18"/>
                <w:szCs w:val="18"/>
                <w:vertAlign w:val="superscript"/>
              </w:rPr>
              <w:t>2</w:t>
            </w:r>
            <w:r w:rsidRPr="00B1419B">
              <w:rPr>
                <w:snapToGrid w:val="0"/>
                <w:sz w:val="18"/>
                <w:szCs w:val="18"/>
              </w:rPr>
              <w:t xml:space="preserve"> =</w:t>
            </w:r>
            <w:r w:rsidR="00C10752" w:rsidRPr="00B1419B">
              <w:rPr>
                <w:snapToGrid w:val="0"/>
                <w:sz w:val="18"/>
                <w:szCs w:val="18"/>
              </w:rPr>
              <w:t xml:space="preserve"> </w:t>
            </w:r>
            <w:r w:rsidRPr="00B1419B">
              <w:rPr>
                <w:snapToGrid w:val="0"/>
                <w:sz w:val="18"/>
                <w:szCs w:val="18"/>
              </w:rPr>
              <w:t>0%, p</w:t>
            </w:r>
            <w:r w:rsidR="00C10752" w:rsidRPr="00B1419B">
              <w:rPr>
                <w:snapToGrid w:val="0"/>
                <w:sz w:val="18"/>
                <w:szCs w:val="18"/>
              </w:rPr>
              <w:t xml:space="preserve"> </w:t>
            </w:r>
            <w:r w:rsidRPr="00B1419B">
              <w:rPr>
                <w:snapToGrid w:val="0"/>
                <w:sz w:val="18"/>
                <w:szCs w:val="18"/>
              </w:rPr>
              <w:t>=</w:t>
            </w:r>
            <w:r w:rsidR="00C10752" w:rsidRPr="00B1419B">
              <w:rPr>
                <w:snapToGrid w:val="0"/>
                <w:sz w:val="18"/>
                <w:szCs w:val="18"/>
              </w:rPr>
              <w:t xml:space="preserve"> </w:t>
            </w:r>
            <w:r w:rsidRPr="00B1419B">
              <w:rPr>
                <w:snapToGrid w:val="0"/>
                <w:sz w:val="18"/>
                <w:szCs w:val="18"/>
              </w:rPr>
              <w:t>0.462, d.f.</w:t>
            </w:r>
            <w:r w:rsidR="00C10752" w:rsidRPr="00B1419B">
              <w:rPr>
                <w:snapToGrid w:val="0"/>
                <w:sz w:val="18"/>
                <w:szCs w:val="18"/>
              </w:rPr>
              <w:t xml:space="preserve"> </w:t>
            </w:r>
            <w:r w:rsidRPr="00B1419B">
              <w:rPr>
                <w:snapToGrid w:val="0"/>
                <w:sz w:val="18"/>
                <w:szCs w:val="18"/>
              </w:rPr>
              <w:t>=</w:t>
            </w:r>
            <w:r w:rsidR="00C10752" w:rsidRPr="00B1419B">
              <w:rPr>
                <w:snapToGrid w:val="0"/>
                <w:sz w:val="18"/>
                <w:szCs w:val="18"/>
              </w:rPr>
              <w:t xml:space="preserve"> </w:t>
            </w:r>
            <w:r w:rsidRPr="00B1419B">
              <w:rPr>
                <w:snapToGrid w:val="0"/>
                <w:sz w:val="18"/>
                <w:szCs w:val="18"/>
              </w:rPr>
              <w:t>10</w:t>
            </w:r>
          </w:p>
        </w:tc>
      </w:tr>
      <w:tr w:rsidR="00944151" w:rsidRPr="00B1419B" w14:paraId="6A11EDF0" w14:textId="77777777" w:rsidTr="00750F67">
        <w:tc>
          <w:tcPr>
            <w:tcW w:w="797" w:type="pct"/>
            <w:shd w:val="clear" w:color="auto" w:fill="auto"/>
          </w:tcPr>
          <w:p w14:paraId="73E4E539"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Pfannschmidt et al (2007)</w:t>
            </w:r>
          </w:p>
        </w:tc>
        <w:tc>
          <w:tcPr>
            <w:tcW w:w="624" w:type="pct"/>
            <w:shd w:val="clear" w:color="auto" w:fill="auto"/>
          </w:tcPr>
          <w:p w14:paraId="2F3AA25C"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20 included studies with 2,320 patients</w:t>
            </w:r>
          </w:p>
        </w:tc>
        <w:tc>
          <w:tcPr>
            <w:tcW w:w="1789" w:type="pct"/>
            <w:shd w:val="clear" w:color="auto" w:fill="auto"/>
          </w:tcPr>
          <w:p w14:paraId="77737790" w14:textId="77777777" w:rsidR="00944151" w:rsidRPr="00B1419B" w:rsidRDefault="00944151" w:rsidP="00750F67">
            <w:pPr>
              <w:pStyle w:val="TableText0"/>
              <w:spacing w:line="288" w:lineRule="auto"/>
              <w:jc w:val="left"/>
              <w:rPr>
                <w:sz w:val="18"/>
                <w:szCs w:val="18"/>
              </w:rPr>
            </w:pPr>
            <w:r w:rsidRPr="00B1419B">
              <w:rPr>
                <w:sz w:val="18"/>
                <w:szCs w:val="18"/>
              </w:rPr>
              <w:t>NR</w:t>
            </w:r>
          </w:p>
        </w:tc>
        <w:tc>
          <w:tcPr>
            <w:tcW w:w="1790" w:type="pct"/>
            <w:shd w:val="clear" w:color="auto" w:fill="auto"/>
          </w:tcPr>
          <w:p w14:paraId="23BECED8" w14:textId="6F346910" w:rsidR="00944151" w:rsidRPr="00B1419B" w:rsidRDefault="00944151" w:rsidP="00750F67">
            <w:pPr>
              <w:pStyle w:val="TableText0"/>
              <w:spacing w:line="288" w:lineRule="auto"/>
              <w:jc w:val="left"/>
              <w:rPr>
                <w:snapToGrid w:val="0"/>
                <w:sz w:val="18"/>
                <w:szCs w:val="18"/>
              </w:rPr>
            </w:pPr>
            <w:r w:rsidRPr="00B1419B">
              <w:rPr>
                <w:snapToGrid w:val="0"/>
                <w:sz w:val="18"/>
                <w:szCs w:val="18"/>
              </w:rPr>
              <w:t>All studies reported overall survival of 5 years for all patients undergoing resection of pulmonary metastases (median: 48%, range: 41.1% to 56%)</w:t>
            </w:r>
            <w:r w:rsidRPr="00B1419B">
              <w:rPr>
                <w:snapToGrid w:val="0"/>
                <w:sz w:val="18"/>
                <w:szCs w:val="18"/>
                <w:vertAlign w:val="superscript"/>
              </w:rPr>
              <w:t>a</w:t>
            </w:r>
          </w:p>
        </w:tc>
      </w:tr>
      <w:tr w:rsidR="00944151" w:rsidRPr="00B1419B" w14:paraId="63403B1B" w14:textId="77777777" w:rsidTr="00750F67">
        <w:tc>
          <w:tcPr>
            <w:tcW w:w="797" w:type="pct"/>
            <w:shd w:val="clear" w:color="auto" w:fill="auto"/>
          </w:tcPr>
          <w:p w14:paraId="4CE1F63D"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Renaud et al (2014)</w:t>
            </w:r>
          </w:p>
        </w:tc>
        <w:tc>
          <w:tcPr>
            <w:tcW w:w="624" w:type="pct"/>
            <w:shd w:val="clear" w:color="auto" w:fill="auto"/>
          </w:tcPr>
          <w:p w14:paraId="13B06B23"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320 (NR)</w:t>
            </w:r>
          </w:p>
        </w:tc>
        <w:tc>
          <w:tcPr>
            <w:tcW w:w="1789" w:type="pct"/>
            <w:shd w:val="clear" w:color="auto" w:fill="auto"/>
          </w:tcPr>
          <w:p w14:paraId="720AE38C" w14:textId="77777777" w:rsidR="00944151" w:rsidRPr="00B1419B" w:rsidRDefault="00944151" w:rsidP="00750F67">
            <w:pPr>
              <w:pStyle w:val="TableText0"/>
              <w:spacing w:line="288" w:lineRule="auto"/>
              <w:jc w:val="left"/>
              <w:rPr>
                <w:sz w:val="18"/>
                <w:szCs w:val="18"/>
              </w:rPr>
            </w:pPr>
            <w:r w:rsidRPr="00B1419B">
              <w:rPr>
                <w:sz w:val="18"/>
                <w:szCs w:val="18"/>
              </w:rPr>
              <w:t>Overall NR</w:t>
            </w:r>
            <w:r w:rsidRPr="00B1419B">
              <w:rPr>
                <w:sz w:val="18"/>
                <w:szCs w:val="18"/>
                <w:vertAlign w:val="superscript"/>
              </w:rPr>
              <w:t>b</w:t>
            </w:r>
          </w:p>
          <w:p w14:paraId="26C856CA" w14:textId="77777777" w:rsidR="00944151" w:rsidRPr="00B1419B" w:rsidRDefault="00944151" w:rsidP="00750F67">
            <w:pPr>
              <w:pStyle w:val="TableText0"/>
              <w:spacing w:line="288" w:lineRule="auto"/>
              <w:jc w:val="left"/>
              <w:rPr>
                <w:sz w:val="18"/>
                <w:szCs w:val="18"/>
              </w:rPr>
            </w:pPr>
          </w:p>
        </w:tc>
        <w:tc>
          <w:tcPr>
            <w:tcW w:w="1790" w:type="pct"/>
            <w:shd w:val="clear" w:color="auto" w:fill="auto"/>
          </w:tcPr>
          <w:p w14:paraId="6EB650A2"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NR</w:t>
            </w:r>
          </w:p>
        </w:tc>
      </w:tr>
      <w:tr w:rsidR="00944151" w:rsidRPr="00B1419B" w14:paraId="49A1079A" w14:textId="77777777" w:rsidTr="00750F67">
        <w:tc>
          <w:tcPr>
            <w:tcW w:w="797" w:type="pct"/>
            <w:shd w:val="clear" w:color="auto" w:fill="auto"/>
          </w:tcPr>
          <w:p w14:paraId="32285626"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Younes et al (2009)</w:t>
            </w:r>
          </w:p>
        </w:tc>
        <w:tc>
          <w:tcPr>
            <w:tcW w:w="624" w:type="pct"/>
            <w:shd w:val="clear" w:color="auto" w:fill="auto"/>
          </w:tcPr>
          <w:p w14:paraId="507DB364"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529 (NR)</w:t>
            </w:r>
          </w:p>
        </w:tc>
        <w:tc>
          <w:tcPr>
            <w:tcW w:w="1789" w:type="pct"/>
            <w:shd w:val="clear" w:color="auto" w:fill="auto"/>
          </w:tcPr>
          <w:p w14:paraId="0157D707" w14:textId="77777777" w:rsidR="00944151" w:rsidRPr="00B1419B" w:rsidRDefault="00944151" w:rsidP="00750F67">
            <w:pPr>
              <w:pStyle w:val="TableText0"/>
              <w:spacing w:line="288" w:lineRule="auto"/>
              <w:jc w:val="left"/>
              <w:rPr>
                <w:sz w:val="18"/>
                <w:szCs w:val="18"/>
              </w:rPr>
            </w:pPr>
            <w:r w:rsidRPr="00B1419B">
              <w:rPr>
                <w:sz w:val="18"/>
                <w:szCs w:val="18"/>
              </w:rPr>
              <w:t>NR</w:t>
            </w:r>
          </w:p>
        </w:tc>
        <w:tc>
          <w:tcPr>
            <w:tcW w:w="1790" w:type="pct"/>
            <w:shd w:val="clear" w:color="auto" w:fill="auto"/>
          </w:tcPr>
          <w:p w14:paraId="21E0D6E6"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 xml:space="preserve">90 month </w:t>
            </w:r>
            <w:r w:rsidRPr="00B1419B">
              <w:rPr>
                <w:sz w:val="18"/>
                <w:szCs w:val="18"/>
              </w:rPr>
              <w:t>overall</w:t>
            </w:r>
            <w:r w:rsidRPr="00B1419B">
              <w:rPr>
                <w:snapToGrid w:val="0"/>
                <w:sz w:val="18"/>
                <w:szCs w:val="18"/>
              </w:rPr>
              <w:t xml:space="preserve"> survival rate for all patients: 30.4%</w:t>
            </w:r>
          </w:p>
        </w:tc>
      </w:tr>
      <w:tr w:rsidR="00944151" w:rsidRPr="00B1419B" w14:paraId="38AB2E47" w14:textId="77777777" w:rsidTr="00750F67">
        <w:tc>
          <w:tcPr>
            <w:tcW w:w="797" w:type="pct"/>
            <w:shd w:val="clear" w:color="auto" w:fill="auto"/>
          </w:tcPr>
          <w:p w14:paraId="41AD8051"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Reza et al (2014)</w:t>
            </w:r>
          </w:p>
        </w:tc>
        <w:tc>
          <w:tcPr>
            <w:tcW w:w="624" w:type="pct"/>
            <w:shd w:val="clear" w:color="auto" w:fill="auto"/>
          </w:tcPr>
          <w:p w14:paraId="38206BA8"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118 (NR)</w:t>
            </w:r>
          </w:p>
        </w:tc>
        <w:tc>
          <w:tcPr>
            <w:tcW w:w="1789" w:type="pct"/>
            <w:shd w:val="clear" w:color="auto" w:fill="auto"/>
          </w:tcPr>
          <w:p w14:paraId="4ECEE9C4" w14:textId="4D7208C5" w:rsidR="00944151" w:rsidRPr="00B1419B" w:rsidRDefault="00944151" w:rsidP="00750F67">
            <w:pPr>
              <w:pStyle w:val="TableText0"/>
              <w:spacing w:line="288" w:lineRule="auto"/>
              <w:jc w:val="left"/>
              <w:rPr>
                <w:sz w:val="18"/>
                <w:szCs w:val="18"/>
              </w:rPr>
            </w:pPr>
            <w:r w:rsidRPr="00B1419B">
              <w:rPr>
                <w:sz w:val="18"/>
                <w:szCs w:val="18"/>
              </w:rPr>
              <w:t>35 months (95%CI, 23</w:t>
            </w:r>
            <w:r w:rsidR="007E3D66">
              <w:rPr>
                <w:sz w:val="18"/>
                <w:szCs w:val="18"/>
              </w:rPr>
              <w:t>–</w:t>
            </w:r>
            <w:r w:rsidRPr="00B1419B">
              <w:rPr>
                <w:sz w:val="18"/>
                <w:szCs w:val="18"/>
              </w:rPr>
              <w:t>61)</w:t>
            </w:r>
          </w:p>
        </w:tc>
        <w:tc>
          <w:tcPr>
            <w:tcW w:w="1790" w:type="pct"/>
            <w:shd w:val="clear" w:color="auto" w:fill="auto"/>
          </w:tcPr>
          <w:p w14:paraId="72EAE6F5"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3-year: 48%, 5-year: 42%, 10-year: 31%</w:t>
            </w:r>
          </w:p>
        </w:tc>
      </w:tr>
      <w:tr w:rsidR="00944151" w:rsidRPr="00B1419B" w14:paraId="1628D112" w14:textId="77777777" w:rsidTr="00750F67">
        <w:tc>
          <w:tcPr>
            <w:tcW w:w="797" w:type="pct"/>
            <w:shd w:val="clear" w:color="auto" w:fill="auto"/>
          </w:tcPr>
          <w:p w14:paraId="1A1B3B94"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Rodriguez-Fuster et al (2014)</w:t>
            </w:r>
          </w:p>
        </w:tc>
        <w:tc>
          <w:tcPr>
            <w:tcW w:w="624" w:type="pct"/>
            <w:shd w:val="clear" w:color="auto" w:fill="auto"/>
          </w:tcPr>
          <w:p w14:paraId="21C951D1"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532 (NR)</w:t>
            </w:r>
          </w:p>
        </w:tc>
        <w:tc>
          <w:tcPr>
            <w:tcW w:w="1789" w:type="pct"/>
            <w:shd w:val="clear" w:color="auto" w:fill="auto"/>
          </w:tcPr>
          <w:p w14:paraId="4354897B" w14:textId="77777777" w:rsidR="00944151" w:rsidRPr="00B1419B" w:rsidRDefault="00944151" w:rsidP="00750F67">
            <w:pPr>
              <w:pStyle w:val="TableText0"/>
              <w:spacing w:line="288" w:lineRule="auto"/>
              <w:jc w:val="left"/>
              <w:rPr>
                <w:sz w:val="18"/>
                <w:szCs w:val="18"/>
              </w:rPr>
            </w:pPr>
            <w:r w:rsidRPr="00B1419B">
              <w:rPr>
                <w:sz w:val="18"/>
                <w:szCs w:val="18"/>
              </w:rPr>
              <w:t>NR</w:t>
            </w:r>
          </w:p>
        </w:tc>
        <w:tc>
          <w:tcPr>
            <w:tcW w:w="1790" w:type="pct"/>
            <w:shd w:val="clear" w:color="auto" w:fill="auto"/>
          </w:tcPr>
          <w:p w14:paraId="1D2B0343"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NR</w:t>
            </w:r>
          </w:p>
        </w:tc>
      </w:tr>
      <w:tr w:rsidR="00944151" w:rsidRPr="00B1419B" w14:paraId="7087652B" w14:textId="77777777" w:rsidTr="00750F67">
        <w:tc>
          <w:tcPr>
            <w:tcW w:w="797" w:type="pct"/>
            <w:shd w:val="clear" w:color="auto" w:fill="auto"/>
          </w:tcPr>
          <w:p w14:paraId="36E96E11"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Kitano et al (2012)</w:t>
            </w:r>
          </w:p>
        </w:tc>
        <w:tc>
          <w:tcPr>
            <w:tcW w:w="624" w:type="pct"/>
            <w:shd w:val="clear" w:color="auto" w:fill="auto"/>
          </w:tcPr>
          <w:p w14:paraId="34304370"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45 (NR)</w:t>
            </w:r>
          </w:p>
        </w:tc>
        <w:tc>
          <w:tcPr>
            <w:tcW w:w="1789" w:type="pct"/>
            <w:shd w:val="clear" w:color="auto" w:fill="auto"/>
          </w:tcPr>
          <w:p w14:paraId="3A98018B" w14:textId="3D2D2E5F" w:rsidR="00944151" w:rsidRPr="00B1419B" w:rsidRDefault="00944151" w:rsidP="00750F67">
            <w:pPr>
              <w:pStyle w:val="TableText0"/>
              <w:spacing w:line="288" w:lineRule="auto"/>
              <w:jc w:val="left"/>
              <w:rPr>
                <w:sz w:val="18"/>
                <w:szCs w:val="18"/>
              </w:rPr>
            </w:pPr>
            <w:r w:rsidRPr="00B1419B">
              <w:rPr>
                <w:sz w:val="18"/>
                <w:szCs w:val="18"/>
              </w:rPr>
              <w:t>26.5 (range: 0.7</w:t>
            </w:r>
            <w:r w:rsidR="007E3D66">
              <w:rPr>
                <w:sz w:val="18"/>
                <w:szCs w:val="18"/>
              </w:rPr>
              <w:t>–</w:t>
            </w:r>
            <w:r w:rsidRPr="00B1419B">
              <w:rPr>
                <w:sz w:val="18"/>
                <w:szCs w:val="18"/>
              </w:rPr>
              <w:t>165) months</w:t>
            </w:r>
          </w:p>
        </w:tc>
        <w:tc>
          <w:tcPr>
            <w:tcW w:w="1790" w:type="pct"/>
            <w:shd w:val="clear" w:color="auto" w:fill="auto"/>
          </w:tcPr>
          <w:p w14:paraId="748013E0"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2-year OS: 53.9%, 5-year OS: 40.9%</w:t>
            </w:r>
          </w:p>
        </w:tc>
      </w:tr>
      <w:tr w:rsidR="00944151" w:rsidRPr="00B1419B" w14:paraId="7EFEA3B3" w14:textId="77777777" w:rsidTr="00750F67">
        <w:tc>
          <w:tcPr>
            <w:tcW w:w="797" w:type="pct"/>
            <w:shd w:val="clear" w:color="auto" w:fill="auto"/>
          </w:tcPr>
          <w:p w14:paraId="154118F0"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Pooled analysis</w:t>
            </w:r>
          </w:p>
        </w:tc>
        <w:tc>
          <w:tcPr>
            <w:tcW w:w="624" w:type="pct"/>
            <w:shd w:val="clear" w:color="auto" w:fill="auto"/>
          </w:tcPr>
          <w:p w14:paraId="7D665B77" w14:textId="77777777" w:rsidR="00944151" w:rsidRPr="00B1419B" w:rsidRDefault="00944151" w:rsidP="00750F67">
            <w:pPr>
              <w:pStyle w:val="TableText0"/>
              <w:spacing w:line="288" w:lineRule="auto"/>
              <w:jc w:val="left"/>
              <w:rPr>
                <w:snapToGrid w:val="0"/>
                <w:sz w:val="18"/>
                <w:szCs w:val="18"/>
                <w:highlight w:val="cyan"/>
              </w:rPr>
            </w:pPr>
            <w:r w:rsidRPr="00B1419B">
              <w:rPr>
                <w:snapToGrid w:val="0"/>
                <w:sz w:val="18"/>
                <w:szCs w:val="18"/>
              </w:rPr>
              <w:t>NA</w:t>
            </w:r>
          </w:p>
        </w:tc>
        <w:tc>
          <w:tcPr>
            <w:tcW w:w="1789" w:type="pct"/>
            <w:tcBorders>
              <w:left w:val="nil"/>
            </w:tcBorders>
            <w:shd w:val="clear" w:color="auto" w:fill="auto"/>
          </w:tcPr>
          <w:p w14:paraId="5ACFF1D8"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Pooling not possible</w:t>
            </w:r>
          </w:p>
          <w:p w14:paraId="767DD0FE"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Quality of the evidence (GRADE)</w:t>
            </w:r>
          </w:p>
          <w:p w14:paraId="53C7A532" w14:textId="77777777" w:rsidR="00944151" w:rsidRPr="00B1419B" w:rsidRDefault="00944151" w:rsidP="00750F67">
            <w:pPr>
              <w:pStyle w:val="TableText0"/>
              <w:spacing w:line="288" w:lineRule="auto"/>
              <w:ind w:left="16" w:right="117"/>
              <w:jc w:val="left"/>
              <w:rPr>
                <w:rFonts w:ascii="Cambria Math" w:hAnsi="Cambria Math" w:cs="Cambria Math"/>
                <w:color w:val="C00000"/>
                <w:sz w:val="18"/>
                <w:szCs w:val="18"/>
              </w:rPr>
            </w:pPr>
            <w:r w:rsidRPr="00B1419B">
              <w:rPr>
                <w:rFonts w:ascii="Cambria Math" w:hAnsi="Cambria Math"/>
                <w:color w:val="00B050"/>
                <w:sz w:val="18"/>
                <w:szCs w:val="18"/>
              </w:rPr>
              <w:t>⨁</w:t>
            </w:r>
            <w:r w:rsidRPr="00B1419B">
              <w:rPr>
                <w:rFonts w:ascii="Cambria Math" w:hAnsi="Cambria Math" w:cs="Cambria Math"/>
                <w:color w:val="C00000"/>
                <w:sz w:val="18"/>
                <w:szCs w:val="18"/>
              </w:rPr>
              <w:t>⨀⨀⨀</w:t>
            </w:r>
          </w:p>
          <w:p w14:paraId="2D1951FF" w14:textId="77777777" w:rsidR="00944151" w:rsidRPr="00B1419B" w:rsidRDefault="00944151" w:rsidP="00750F67">
            <w:pPr>
              <w:pStyle w:val="TableText0"/>
              <w:spacing w:line="288" w:lineRule="auto"/>
              <w:ind w:left="16" w:right="117"/>
              <w:jc w:val="left"/>
              <w:rPr>
                <w:rFonts w:ascii="MS Mincho" w:eastAsia="MS Mincho" w:hAnsi="MS Mincho" w:cs="MS Mincho"/>
                <w:b/>
                <w:sz w:val="18"/>
                <w:szCs w:val="18"/>
              </w:rPr>
            </w:pPr>
            <w:r w:rsidRPr="00B1419B">
              <w:rPr>
                <w:rStyle w:val="quality-sign"/>
                <w:rFonts w:eastAsia="MS Mincho" w:cs="MS Mincho"/>
                <w:sz w:val="18"/>
                <w:szCs w:val="18"/>
              </w:rPr>
              <w:t>VERY LOW</w:t>
            </w:r>
          </w:p>
        </w:tc>
        <w:tc>
          <w:tcPr>
            <w:tcW w:w="1790" w:type="pct"/>
            <w:shd w:val="clear" w:color="auto" w:fill="auto"/>
          </w:tcPr>
          <w:p w14:paraId="3F6B6D84"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Pooling not possible</w:t>
            </w:r>
          </w:p>
          <w:p w14:paraId="17553E8B" w14:textId="77777777" w:rsidR="00944151" w:rsidRPr="00B1419B" w:rsidRDefault="00944151" w:rsidP="00750F67">
            <w:pPr>
              <w:pStyle w:val="TableText0"/>
              <w:spacing w:line="288" w:lineRule="auto"/>
              <w:jc w:val="left"/>
              <w:rPr>
                <w:snapToGrid w:val="0"/>
                <w:sz w:val="18"/>
                <w:szCs w:val="18"/>
              </w:rPr>
            </w:pPr>
            <w:r w:rsidRPr="00B1419B">
              <w:rPr>
                <w:snapToGrid w:val="0"/>
                <w:sz w:val="18"/>
                <w:szCs w:val="18"/>
              </w:rPr>
              <w:t>Quality of the evidence (GRADE)</w:t>
            </w:r>
          </w:p>
          <w:p w14:paraId="3C4D08F4" w14:textId="77777777" w:rsidR="00944151" w:rsidRPr="00B1419B" w:rsidRDefault="00944151" w:rsidP="00750F67">
            <w:pPr>
              <w:pStyle w:val="TableText0"/>
              <w:spacing w:line="288" w:lineRule="auto"/>
              <w:ind w:left="16" w:right="117"/>
              <w:jc w:val="left"/>
              <w:rPr>
                <w:rFonts w:ascii="Cambria Math" w:hAnsi="Cambria Math" w:cs="Cambria Math"/>
                <w:color w:val="C00000"/>
                <w:sz w:val="18"/>
                <w:szCs w:val="18"/>
              </w:rPr>
            </w:pPr>
            <w:r w:rsidRPr="00B1419B">
              <w:rPr>
                <w:rFonts w:ascii="Cambria Math" w:hAnsi="Cambria Math"/>
                <w:color w:val="00B050"/>
                <w:sz w:val="18"/>
                <w:szCs w:val="18"/>
              </w:rPr>
              <w:t>⨁</w:t>
            </w:r>
            <w:r w:rsidRPr="00B1419B">
              <w:rPr>
                <w:rFonts w:ascii="Cambria Math" w:hAnsi="Cambria Math" w:cs="Cambria Math"/>
                <w:color w:val="C00000"/>
                <w:sz w:val="18"/>
                <w:szCs w:val="18"/>
              </w:rPr>
              <w:t>⨀⨀⨀</w:t>
            </w:r>
          </w:p>
          <w:p w14:paraId="725D43CA" w14:textId="77777777" w:rsidR="00944151" w:rsidRPr="00B1419B" w:rsidRDefault="00944151" w:rsidP="00750F67">
            <w:pPr>
              <w:pStyle w:val="TableText0"/>
              <w:spacing w:line="288" w:lineRule="auto"/>
              <w:ind w:left="16" w:right="117"/>
              <w:jc w:val="left"/>
              <w:rPr>
                <w:rFonts w:ascii="MS Mincho" w:eastAsia="MS Mincho" w:hAnsi="MS Mincho" w:cs="MS Mincho"/>
                <w:b/>
                <w:sz w:val="18"/>
                <w:szCs w:val="18"/>
              </w:rPr>
            </w:pPr>
            <w:r w:rsidRPr="00B1419B">
              <w:rPr>
                <w:rStyle w:val="quality-sign"/>
                <w:rFonts w:eastAsia="MS Mincho" w:cs="MS Mincho"/>
                <w:sz w:val="18"/>
                <w:szCs w:val="18"/>
              </w:rPr>
              <w:t>VERY LOW</w:t>
            </w:r>
          </w:p>
        </w:tc>
      </w:tr>
    </w:tbl>
    <w:p w14:paraId="09DB0C08" w14:textId="52C1E212" w:rsidR="00944151" w:rsidRDefault="00B4290F" w:rsidP="00944151">
      <w:pPr>
        <w:pStyle w:val="Tablenotes0"/>
        <w:spacing w:after="0"/>
        <w:rPr>
          <w:szCs w:val="18"/>
        </w:rPr>
      </w:pPr>
      <w:r>
        <w:rPr>
          <w:szCs w:val="18"/>
        </w:rPr>
        <w:t>&lt;</w:t>
      </w:r>
      <w:r w:rsidR="003A3826">
        <w:rPr>
          <w:szCs w:val="18"/>
        </w:rPr>
        <w:t xml:space="preserve"> </w:t>
      </w:r>
      <w:r w:rsidR="00944151" w:rsidRPr="00D54BB0">
        <w:rPr>
          <w:szCs w:val="18"/>
        </w:rPr>
        <w:t>CI = confidence interval</w:t>
      </w:r>
      <w:r w:rsidR="00944151">
        <w:rPr>
          <w:szCs w:val="18"/>
        </w:rPr>
        <w:t xml:space="preserve">; </w:t>
      </w:r>
      <w:r w:rsidR="00944151" w:rsidRPr="002F591C">
        <w:rPr>
          <w:szCs w:val="18"/>
        </w:rPr>
        <w:t>N</w:t>
      </w:r>
      <w:r w:rsidR="00C10752">
        <w:rPr>
          <w:szCs w:val="18"/>
        </w:rPr>
        <w:t xml:space="preserve"> </w:t>
      </w:r>
      <w:r w:rsidR="00944151" w:rsidRPr="002F591C">
        <w:rPr>
          <w:szCs w:val="18"/>
        </w:rPr>
        <w:t>=</w:t>
      </w:r>
      <w:r w:rsidR="00C10752">
        <w:rPr>
          <w:szCs w:val="18"/>
        </w:rPr>
        <w:t xml:space="preserve"> </w:t>
      </w:r>
      <w:r w:rsidR="00944151" w:rsidRPr="002F591C">
        <w:rPr>
          <w:szCs w:val="18"/>
        </w:rPr>
        <w:t>number</w:t>
      </w:r>
      <w:r w:rsidR="00944151">
        <w:rPr>
          <w:szCs w:val="18"/>
        </w:rPr>
        <w:t xml:space="preserve">; </w:t>
      </w:r>
      <w:r w:rsidR="00944151" w:rsidRPr="00D54BB0">
        <w:rPr>
          <w:szCs w:val="18"/>
        </w:rPr>
        <w:t>NR</w:t>
      </w:r>
      <w:r w:rsidR="00C10752">
        <w:rPr>
          <w:szCs w:val="18"/>
        </w:rPr>
        <w:t xml:space="preserve"> </w:t>
      </w:r>
      <w:r w:rsidR="00944151" w:rsidRPr="00D54BB0">
        <w:rPr>
          <w:szCs w:val="18"/>
        </w:rPr>
        <w:t>= not reported</w:t>
      </w:r>
      <w:r w:rsidR="00E027FA">
        <w:rPr>
          <w:szCs w:val="18"/>
        </w:rPr>
        <w:t>, OS = overall survival</w:t>
      </w:r>
      <w:r w:rsidR="003A3826">
        <w:rPr>
          <w:szCs w:val="18"/>
        </w:rPr>
        <w:t xml:space="preserve"> </w:t>
      </w:r>
      <w:r>
        <w:rPr>
          <w:szCs w:val="18"/>
        </w:rPr>
        <w:t>&gt;</w:t>
      </w:r>
    </w:p>
    <w:p w14:paraId="17817583" w14:textId="48AF6CF8" w:rsidR="00944151" w:rsidRDefault="00944151" w:rsidP="00944151">
      <w:pPr>
        <w:pStyle w:val="Tablenotes0"/>
        <w:spacing w:after="0"/>
        <w:rPr>
          <w:szCs w:val="18"/>
        </w:rPr>
      </w:pPr>
      <w:r w:rsidRPr="00E10B76">
        <w:rPr>
          <w:szCs w:val="18"/>
        </w:rPr>
        <w:t>GRADE Working Group grades of evidence</w:t>
      </w:r>
      <w:r>
        <w:rPr>
          <w:szCs w:val="18"/>
        </w:rPr>
        <w:t xml:space="preserve"> (Guyatt et al., 2013)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r w:rsidR="00F86EE2">
        <w:rPr>
          <w:szCs w:val="18"/>
        </w:rPr>
        <w:t>.</w:t>
      </w:r>
    </w:p>
    <w:p w14:paraId="06DF7497" w14:textId="77777777" w:rsidR="008041DC" w:rsidRDefault="008041DC" w:rsidP="008041DC">
      <w:pPr>
        <w:pStyle w:val="Tablenotes0"/>
      </w:pPr>
      <w:proofErr w:type="gramStart"/>
      <w:r w:rsidRPr="002C6A86">
        <w:rPr>
          <w:vertAlign w:val="superscript"/>
        </w:rPr>
        <w:t>a</w:t>
      </w:r>
      <w:proofErr w:type="gramEnd"/>
      <w:r>
        <w:t xml:space="preserve"> Overall 5-year survival in studies that did not distinguish between resections being R0 or R1/2 or only presented with combined data for both types of resection (median: 52.5%, range: 38.3% to 63.7%). Thirteen studies presented 5-year survival for patients undergoing R0 resections (either for the whole study population or for subgroups of patients). Median: 39.6</w:t>
      </w:r>
      <w:proofErr w:type="gramStart"/>
      <w:r>
        <w:t>%,</w:t>
      </w:r>
      <w:proofErr w:type="gramEnd"/>
      <w:r>
        <w:t xml:space="preserve"> range: 24% to 56.0%. Three studies reported 5-year survival for nonradical resection. Median: 0%, range: 0% to 21%. Three studies reported 5-year survival exclusively for patients who had pulmonary and hepatic resection of colorectal metastases. Median: 31%, range: 30</w:t>
      </w:r>
      <w:proofErr w:type="gramStart"/>
      <w:r>
        <w:t>%  to</w:t>
      </w:r>
      <w:proofErr w:type="gramEnd"/>
      <w:r>
        <w:t xml:space="preserve"> 38%</w:t>
      </w:r>
    </w:p>
    <w:p w14:paraId="5C85E6EC" w14:textId="6C885825" w:rsidR="00184023" w:rsidRDefault="008041DC" w:rsidP="00B1419B">
      <w:pPr>
        <w:pStyle w:val="Tablenotes0"/>
        <w:rPr>
          <w:szCs w:val="18"/>
        </w:rPr>
      </w:pPr>
      <w:proofErr w:type="gramStart"/>
      <w:r w:rsidRPr="00A37F6B">
        <w:rPr>
          <w:szCs w:val="18"/>
          <w:vertAlign w:val="superscript"/>
        </w:rPr>
        <w:t>b</w:t>
      </w:r>
      <w:proofErr w:type="gramEnd"/>
      <w:r>
        <w:rPr>
          <w:szCs w:val="18"/>
        </w:rPr>
        <w:t xml:space="preserve"> </w:t>
      </w:r>
      <w:r w:rsidRPr="00A37F6B">
        <w:rPr>
          <w:szCs w:val="18"/>
        </w:rPr>
        <w:t>No lymph node involvement: 94 months (95%CI, 76.27</w:t>
      </w:r>
      <w:r w:rsidR="007E3D66">
        <w:rPr>
          <w:szCs w:val="18"/>
        </w:rPr>
        <w:t>–</w:t>
      </w:r>
      <w:r w:rsidRPr="00A37F6B">
        <w:rPr>
          <w:szCs w:val="18"/>
        </w:rPr>
        <w:t>111.72)</w:t>
      </w:r>
      <w:r>
        <w:rPr>
          <w:szCs w:val="18"/>
        </w:rPr>
        <w:t>. P</w:t>
      </w:r>
      <w:r w:rsidRPr="00A37F6B">
        <w:rPr>
          <w:szCs w:val="18"/>
        </w:rPr>
        <w:t xml:space="preserve">ositive </w:t>
      </w:r>
      <w:r>
        <w:rPr>
          <w:szCs w:val="18"/>
        </w:rPr>
        <w:t>involvement: 42 months (95%CI, 30.06</w:t>
      </w:r>
      <w:r w:rsidR="007E3D66">
        <w:rPr>
          <w:szCs w:val="18"/>
        </w:rPr>
        <w:t>–</w:t>
      </w:r>
      <w:r>
        <w:rPr>
          <w:szCs w:val="18"/>
        </w:rPr>
        <w:t xml:space="preserve">53.93; </w:t>
      </w:r>
      <w:r w:rsidRPr="00A37F6B">
        <w:rPr>
          <w:szCs w:val="18"/>
        </w:rPr>
        <w:t>p&lt;0.0001)</w:t>
      </w:r>
      <w:r>
        <w:rPr>
          <w:szCs w:val="18"/>
        </w:rPr>
        <w:t xml:space="preserve">. </w:t>
      </w:r>
      <w:r w:rsidRPr="00A37F6B">
        <w:rPr>
          <w:szCs w:val="18"/>
        </w:rPr>
        <w:t>Hilar loca</w:t>
      </w:r>
      <w:r>
        <w:rPr>
          <w:szCs w:val="18"/>
        </w:rPr>
        <w:t>tion of lymph node involvement: 47 months (95%CI, 29.89</w:t>
      </w:r>
      <w:r w:rsidR="007E3D66">
        <w:rPr>
          <w:szCs w:val="18"/>
        </w:rPr>
        <w:t>–</w:t>
      </w:r>
      <w:r>
        <w:rPr>
          <w:szCs w:val="18"/>
        </w:rPr>
        <w:t xml:space="preserve">64.10). </w:t>
      </w:r>
      <w:r w:rsidRPr="00A37F6B">
        <w:rPr>
          <w:szCs w:val="18"/>
        </w:rPr>
        <w:t>Mediastinal location: 37 months (95%CI, 13.98</w:t>
      </w:r>
      <w:r w:rsidR="007E3D66">
        <w:rPr>
          <w:szCs w:val="18"/>
        </w:rPr>
        <w:t>–</w:t>
      </w:r>
      <w:r w:rsidRPr="00A37F6B">
        <w:rPr>
          <w:szCs w:val="18"/>
        </w:rPr>
        <w:t>60.01; p&gt;0.05)</w:t>
      </w:r>
      <w:r>
        <w:rPr>
          <w:szCs w:val="18"/>
        </w:rPr>
        <w:t xml:space="preserve">. </w:t>
      </w:r>
      <w:r w:rsidRPr="00A37F6B">
        <w:rPr>
          <w:szCs w:val="18"/>
        </w:rPr>
        <w:t>Solitary pulmonary metastasis:</w:t>
      </w:r>
      <w:r>
        <w:rPr>
          <w:szCs w:val="18"/>
        </w:rPr>
        <w:t xml:space="preserve"> 81 months (95%CI, 60.8</w:t>
      </w:r>
      <w:r w:rsidR="007E3D66">
        <w:rPr>
          <w:szCs w:val="18"/>
        </w:rPr>
        <w:t>–</w:t>
      </w:r>
      <w:r>
        <w:rPr>
          <w:szCs w:val="18"/>
        </w:rPr>
        <w:t xml:space="preserve">101.19). </w:t>
      </w:r>
      <w:r w:rsidRPr="00A37F6B">
        <w:rPr>
          <w:szCs w:val="18"/>
        </w:rPr>
        <w:t>Multiple metastases: 55 months (95%CI, 35.14</w:t>
      </w:r>
      <w:r w:rsidR="007E3D66">
        <w:rPr>
          <w:szCs w:val="18"/>
        </w:rPr>
        <w:t>–</w:t>
      </w:r>
      <w:r w:rsidRPr="00A37F6B">
        <w:rPr>
          <w:szCs w:val="18"/>
        </w:rPr>
        <w:t>74.86; p&lt;0.01)</w:t>
      </w:r>
      <w:r>
        <w:rPr>
          <w:szCs w:val="18"/>
        </w:rPr>
        <w:t xml:space="preserve">. </w:t>
      </w:r>
      <w:r w:rsidRPr="00A37F6B">
        <w:rPr>
          <w:szCs w:val="18"/>
        </w:rPr>
        <w:t>Hepatic metastases: 47 months (95%CI, 21.6</w:t>
      </w:r>
      <w:r w:rsidR="007E3D66">
        <w:rPr>
          <w:szCs w:val="18"/>
        </w:rPr>
        <w:t>–</w:t>
      </w:r>
      <w:r w:rsidRPr="00A37F6B">
        <w:rPr>
          <w:szCs w:val="18"/>
        </w:rPr>
        <w:t>72.39)</w:t>
      </w:r>
      <w:r>
        <w:rPr>
          <w:szCs w:val="18"/>
        </w:rPr>
        <w:t xml:space="preserve">. </w:t>
      </w:r>
      <w:r w:rsidRPr="00A37F6B">
        <w:rPr>
          <w:szCs w:val="18"/>
        </w:rPr>
        <w:t>No hepatic metastase</w:t>
      </w:r>
      <w:r>
        <w:rPr>
          <w:szCs w:val="18"/>
        </w:rPr>
        <w:t xml:space="preserve">s: 74 </w:t>
      </w:r>
      <w:r w:rsidRPr="00A37F6B">
        <w:rPr>
          <w:szCs w:val="18"/>
        </w:rPr>
        <w:t>months</w:t>
      </w:r>
      <w:r>
        <w:rPr>
          <w:szCs w:val="18"/>
        </w:rPr>
        <w:t xml:space="preserve"> (95%CI, 60.74</w:t>
      </w:r>
      <w:r w:rsidR="007E3D66">
        <w:rPr>
          <w:szCs w:val="18"/>
        </w:rPr>
        <w:t>–</w:t>
      </w:r>
      <w:r>
        <w:rPr>
          <w:szCs w:val="18"/>
        </w:rPr>
        <w:t xml:space="preserve">87.26; </w:t>
      </w:r>
      <w:r w:rsidRPr="00A37F6B">
        <w:rPr>
          <w:szCs w:val="18"/>
        </w:rPr>
        <w:t>p&lt;0.01)</w:t>
      </w:r>
      <w:r w:rsidR="00184023">
        <w:rPr>
          <w:szCs w:val="18"/>
        </w:rPr>
        <w:br w:type="page"/>
      </w:r>
    </w:p>
    <w:p w14:paraId="75116A8E" w14:textId="77777777" w:rsidR="00B4290F" w:rsidRPr="00183E4D" w:rsidRDefault="00B4290F" w:rsidP="00B4290F">
      <w:pPr>
        <w:pStyle w:val="Heading1"/>
      </w:pPr>
      <w:bookmarkStart w:id="543" w:name="_Ref459645288"/>
      <w:bookmarkStart w:id="544" w:name="AppendixF"/>
      <w:bookmarkStart w:id="545" w:name="_Ref459644574"/>
      <w:bookmarkStart w:id="546" w:name="_Ref459644583"/>
      <w:bookmarkStart w:id="547" w:name="_Ref459644598"/>
      <w:bookmarkStart w:id="548" w:name="_Ref459644659"/>
      <w:bookmarkStart w:id="549" w:name="_Ref459644663"/>
      <w:bookmarkStart w:id="550" w:name="_Ref460247533"/>
      <w:bookmarkStart w:id="551" w:name="_Ref460247556"/>
      <w:bookmarkStart w:id="552" w:name="_Toc460396112"/>
      <w:bookmarkStart w:id="553" w:name="_Toc379118117"/>
      <w:bookmarkStart w:id="554" w:name="_Toc381796514"/>
      <w:bookmarkStart w:id="555" w:name="_Toc460396113"/>
      <w:bookmarkEnd w:id="511"/>
      <w:bookmarkEnd w:id="512"/>
      <w:bookmarkEnd w:id="526"/>
      <w:bookmarkEnd w:id="527"/>
      <w:bookmarkEnd w:id="528"/>
      <w:bookmarkEnd w:id="529"/>
      <w:r w:rsidRPr="001C2967">
        <w:lastRenderedPageBreak/>
        <w:t xml:space="preserve">Appendix </w:t>
      </w:r>
      <w:fldSimple w:instr=" SEQ Appendix \* ALPHABETIC ">
        <w:r w:rsidR="00D170A5">
          <w:rPr>
            <w:noProof/>
          </w:rPr>
          <w:t>F</w:t>
        </w:r>
      </w:fldSimple>
      <w:bookmarkEnd w:id="543"/>
      <w:bookmarkEnd w:id="544"/>
      <w:r w:rsidRPr="00183E4D">
        <w:tab/>
        <w:t>Excluded Studies</w:t>
      </w:r>
      <w:bookmarkEnd w:id="545"/>
      <w:bookmarkEnd w:id="546"/>
      <w:bookmarkEnd w:id="547"/>
      <w:bookmarkEnd w:id="548"/>
      <w:bookmarkEnd w:id="549"/>
      <w:bookmarkEnd w:id="550"/>
      <w:bookmarkEnd w:id="551"/>
      <w:bookmarkEnd w:id="552"/>
    </w:p>
    <w:p w14:paraId="3831BA21" w14:textId="77777777" w:rsidR="00B4290F" w:rsidRPr="003F69BC" w:rsidRDefault="00B4290F" w:rsidP="00B4290F">
      <w:pPr>
        <w:rPr>
          <w:rFonts w:eastAsiaTheme="minorHAnsi"/>
          <w:b/>
          <w:lang w:eastAsia="en-US"/>
        </w:rPr>
      </w:pPr>
      <w:r w:rsidRPr="003F69BC">
        <w:rPr>
          <w:rFonts w:eastAsiaTheme="minorHAnsi"/>
          <w:b/>
          <w:lang w:eastAsia="en-US"/>
        </w:rPr>
        <w:t>Studies of MTA excluded based on full text review (</w:t>
      </w:r>
      <w:r>
        <w:rPr>
          <w:rFonts w:eastAsiaTheme="minorHAnsi"/>
          <w:b/>
          <w:lang w:eastAsia="en-US"/>
        </w:rPr>
        <w:t xml:space="preserve">n = </w:t>
      </w:r>
      <w:r w:rsidRPr="003F69BC">
        <w:rPr>
          <w:rFonts w:eastAsiaTheme="minorHAnsi"/>
          <w:b/>
          <w:lang w:eastAsia="en-US"/>
        </w:rPr>
        <w:t>35)</w:t>
      </w:r>
    </w:p>
    <w:p w14:paraId="66BE5715" w14:textId="77777777" w:rsidR="00B4290F" w:rsidRPr="003F69BC" w:rsidRDefault="00B4290F" w:rsidP="00B4290F">
      <w:pPr>
        <w:rPr>
          <w:rFonts w:eastAsiaTheme="minorHAnsi"/>
          <w:b/>
          <w:lang w:eastAsia="en-US"/>
        </w:rPr>
      </w:pPr>
      <w:r w:rsidRPr="003F69BC">
        <w:rPr>
          <w:rFonts w:eastAsiaTheme="minorHAnsi"/>
          <w:b/>
          <w:lang w:eastAsia="en-US"/>
        </w:rPr>
        <w:t>Foreign language studies (</w:t>
      </w:r>
      <w:r>
        <w:rPr>
          <w:rFonts w:eastAsiaTheme="minorHAnsi"/>
          <w:b/>
          <w:lang w:eastAsia="en-US"/>
        </w:rPr>
        <w:t xml:space="preserve">n = </w:t>
      </w:r>
      <w:r w:rsidRPr="003F69BC">
        <w:rPr>
          <w:rFonts w:eastAsiaTheme="minorHAnsi"/>
          <w:b/>
          <w:lang w:eastAsia="en-US"/>
        </w:rPr>
        <w:t>1)</w:t>
      </w:r>
    </w:p>
    <w:p w14:paraId="2F1FAB54" w14:textId="77777777" w:rsidR="00B4290F" w:rsidRPr="00E2013B" w:rsidRDefault="00B4290F" w:rsidP="00B4290F">
      <w:pPr>
        <w:rPr>
          <w:rFonts w:eastAsiaTheme="minorHAnsi"/>
          <w:lang w:eastAsia="en-US"/>
        </w:rPr>
      </w:pPr>
      <w:r w:rsidRPr="00E2013B">
        <w:rPr>
          <w:rFonts w:eastAsiaTheme="minorHAnsi"/>
          <w:lang w:eastAsia="en-US"/>
        </w:rPr>
        <w:t xml:space="preserve">Feng, W, Liu, W, Li, C, Li, Z, Li, R, Liu, F, Zhai, B, Shi, J &amp; Shi, G 2002, 'Percutaneous microwave coagulation therapy for lung cancer', </w:t>
      </w:r>
      <w:r w:rsidRPr="00E2013B">
        <w:rPr>
          <w:rFonts w:eastAsiaTheme="minorHAnsi"/>
          <w:i/>
          <w:lang w:eastAsia="en-US"/>
        </w:rPr>
        <w:t>Zhonghua zhong liu za zhi</w:t>
      </w:r>
      <w:r w:rsidRPr="00E2013B">
        <w:rPr>
          <w:rFonts w:eastAsiaTheme="minorHAnsi"/>
          <w:lang w:eastAsia="en-US"/>
        </w:rPr>
        <w:t xml:space="preserve"> [Chinese journal of oncology], vol.24(4), pp. 388-90.</w:t>
      </w:r>
    </w:p>
    <w:p w14:paraId="6CFC822A" w14:textId="77777777" w:rsidR="00B4290F" w:rsidRPr="003F69BC" w:rsidRDefault="00B4290F" w:rsidP="00B4290F">
      <w:pPr>
        <w:rPr>
          <w:rFonts w:eastAsiaTheme="minorHAnsi"/>
          <w:b/>
          <w:lang w:eastAsia="en-US"/>
        </w:rPr>
      </w:pPr>
      <w:r w:rsidRPr="003F69BC">
        <w:rPr>
          <w:rFonts w:eastAsiaTheme="minorHAnsi"/>
          <w:b/>
          <w:lang w:eastAsia="en-US"/>
        </w:rPr>
        <w:t>Full text not retrievable (</w:t>
      </w:r>
      <w:r>
        <w:rPr>
          <w:rFonts w:eastAsiaTheme="minorHAnsi"/>
          <w:b/>
          <w:lang w:eastAsia="en-US"/>
        </w:rPr>
        <w:t xml:space="preserve">n = </w:t>
      </w:r>
      <w:r w:rsidRPr="003F69BC">
        <w:rPr>
          <w:rFonts w:eastAsiaTheme="minorHAnsi"/>
          <w:b/>
          <w:lang w:eastAsia="en-US"/>
        </w:rPr>
        <w:t>1)</w:t>
      </w:r>
    </w:p>
    <w:p w14:paraId="2E1A7E7E" w14:textId="0A83B271" w:rsidR="00B4290F" w:rsidRPr="00E2013B" w:rsidRDefault="00E027FA" w:rsidP="00B4290F">
      <w:pPr>
        <w:rPr>
          <w:rFonts w:eastAsiaTheme="minorHAnsi"/>
          <w:lang w:eastAsia="en-US"/>
        </w:rPr>
      </w:pPr>
      <w:proofErr w:type="gramStart"/>
      <w:r w:rsidRPr="00E027FA">
        <w:rPr>
          <w:rFonts w:eastAsiaTheme="minorHAnsi"/>
          <w:lang w:eastAsia="en-US"/>
        </w:rPr>
        <w:t>Computed tomography-guided percutaneous microwave ablation for lung</w:t>
      </w:r>
      <w:r>
        <w:rPr>
          <w:rFonts w:eastAsiaTheme="minorHAnsi"/>
          <w:lang w:eastAsia="en-US"/>
        </w:rPr>
        <w:t xml:space="preserve"> nodules.</w:t>
      </w:r>
      <w:proofErr w:type="gramEnd"/>
      <w:r>
        <w:rPr>
          <w:rFonts w:eastAsiaTheme="minorHAnsi"/>
          <w:lang w:eastAsia="en-US"/>
        </w:rPr>
        <w:t xml:space="preserve"> Lansdale: HAYES, Inc.</w:t>
      </w:r>
      <w:r w:rsidRPr="00E027FA">
        <w:rPr>
          <w:rFonts w:eastAsiaTheme="minorHAnsi"/>
          <w:lang w:eastAsia="en-US"/>
        </w:rPr>
        <w:t xml:space="preserve"> Healthcare Technology Brief Publication. 2014</w:t>
      </w:r>
      <w:r w:rsidR="00B4290F" w:rsidRPr="00E2013B">
        <w:rPr>
          <w:rFonts w:eastAsiaTheme="minorHAnsi"/>
          <w:lang w:eastAsia="en-US"/>
        </w:rPr>
        <w:t>.</w:t>
      </w:r>
    </w:p>
    <w:p w14:paraId="49737D91" w14:textId="77777777" w:rsidR="00B4290F" w:rsidRPr="003F69BC" w:rsidRDefault="00B4290F" w:rsidP="00B4290F">
      <w:pPr>
        <w:rPr>
          <w:rFonts w:eastAsiaTheme="minorHAnsi"/>
          <w:b/>
          <w:lang w:eastAsia="en-US"/>
        </w:rPr>
      </w:pPr>
      <w:r w:rsidRPr="003F69BC">
        <w:rPr>
          <w:rFonts w:eastAsiaTheme="minorHAnsi"/>
          <w:b/>
          <w:lang w:eastAsia="en-US"/>
        </w:rPr>
        <w:t>Inappropriate study design (</w:t>
      </w:r>
      <w:r>
        <w:rPr>
          <w:rFonts w:eastAsiaTheme="minorHAnsi"/>
          <w:b/>
          <w:lang w:eastAsia="en-US"/>
        </w:rPr>
        <w:t xml:space="preserve">n = </w:t>
      </w:r>
      <w:r w:rsidRPr="003F69BC">
        <w:rPr>
          <w:rFonts w:eastAsiaTheme="minorHAnsi"/>
          <w:b/>
          <w:lang w:eastAsia="en-US"/>
        </w:rPr>
        <w:t>21)</w:t>
      </w:r>
    </w:p>
    <w:p w14:paraId="6EA4FCB0" w14:textId="77777777" w:rsidR="00B4290F" w:rsidRPr="00E2013B" w:rsidRDefault="00B4290F" w:rsidP="00B4290F">
      <w:pPr>
        <w:rPr>
          <w:rFonts w:eastAsiaTheme="minorHAnsi"/>
          <w:lang w:eastAsia="en-US"/>
        </w:rPr>
      </w:pPr>
      <w:r w:rsidRPr="00E2013B">
        <w:rPr>
          <w:rFonts w:eastAsiaTheme="minorHAnsi"/>
          <w:lang w:eastAsia="en-US"/>
        </w:rPr>
        <w:t xml:space="preserve">Abbas, G 2011, 'Microwave Ablation', </w:t>
      </w:r>
      <w:r w:rsidRPr="00E2013B">
        <w:rPr>
          <w:rFonts w:eastAsiaTheme="minorHAnsi"/>
          <w:i/>
          <w:lang w:eastAsia="en-US"/>
        </w:rPr>
        <w:t>Seminars in Thoracic and Cardiovascular Surgery</w:t>
      </w:r>
      <w:r w:rsidRPr="00E2013B">
        <w:rPr>
          <w:rFonts w:eastAsiaTheme="minorHAnsi"/>
          <w:lang w:eastAsia="en-US"/>
        </w:rPr>
        <w:t xml:space="preserve">, </w:t>
      </w:r>
      <w:proofErr w:type="gramStart"/>
      <w:r w:rsidRPr="00E2013B">
        <w:rPr>
          <w:rFonts w:eastAsiaTheme="minorHAnsi"/>
          <w:lang w:eastAsia="en-US"/>
        </w:rPr>
        <w:t>vol.23(</w:t>
      </w:r>
      <w:proofErr w:type="gramEnd"/>
      <w:r w:rsidRPr="00E2013B">
        <w:rPr>
          <w:rFonts w:eastAsiaTheme="minorHAnsi"/>
          <w:lang w:eastAsia="en-US"/>
        </w:rPr>
        <w:t>1), pp. 81-83.</w:t>
      </w:r>
    </w:p>
    <w:p w14:paraId="4A7EE40C" w14:textId="77777777" w:rsidR="00B4290F" w:rsidRPr="00E2013B" w:rsidRDefault="00B4290F" w:rsidP="00B4290F">
      <w:pPr>
        <w:rPr>
          <w:rFonts w:eastAsiaTheme="minorHAnsi"/>
          <w:lang w:eastAsia="en-US"/>
        </w:rPr>
      </w:pPr>
      <w:r w:rsidRPr="00E2013B">
        <w:rPr>
          <w:rFonts w:eastAsiaTheme="minorHAnsi"/>
          <w:lang w:eastAsia="en-US"/>
        </w:rPr>
        <w:t xml:space="preserve">Baisi, A, De Simone, M, Raveglia, F &amp; Cioffi, U 2013, 'Thermal ablation in the treatment of lung cancer: Present and future', </w:t>
      </w:r>
      <w:r w:rsidRPr="00E2013B">
        <w:rPr>
          <w:rFonts w:eastAsiaTheme="minorHAnsi"/>
          <w:i/>
          <w:lang w:eastAsia="en-US"/>
        </w:rPr>
        <w:t>European Journal of Cardio-thoracic Surgery</w:t>
      </w:r>
      <w:r w:rsidRPr="00E2013B">
        <w:rPr>
          <w:rFonts w:eastAsiaTheme="minorHAnsi"/>
          <w:lang w:eastAsia="en-US"/>
        </w:rPr>
        <w:t xml:space="preserve">, </w:t>
      </w:r>
      <w:proofErr w:type="gramStart"/>
      <w:r w:rsidRPr="00E2013B">
        <w:rPr>
          <w:rFonts w:eastAsiaTheme="minorHAnsi"/>
          <w:lang w:eastAsia="en-US"/>
        </w:rPr>
        <w:t>vol.43(</w:t>
      </w:r>
      <w:proofErr w:type="gramEnd"/>
      <w:r w:rsidRPr="00E2013B">
        <w:rPr>
          <w:rFonts w:eastAsiaTheme="minorHAnsi"/>
          <w:lang w:eastAsia="en-US"/>
        </w:rPr>
        <w:t>4), pp. 683-86.</w:t>
      </w:r>
    </w:p>
    <w:p w14:paraId="00FF80CC" w14:textId="77777777" w:rsidR="00B4290F" w:rsidRPr="00E2013B" w:rsidRDefault="00B4290F" w:rsidP="00B4290F">
      <w:pPr>
        <w:rPr>
          <w:rFonts w:eastAsiaTheme="minorHAnsi"/>
          <w:lang w:eastAsia="en-US"/>
        </w:rPr>
      </w:pPr>
      <w:r w:rsidRPr="00E2013B">
        <w:rPr>
          <w:rFonts w:eastAsiaTheme="minorHAnsi"/>
          <w:lang w:eastAsia="en-US"/>
        </w:rPr>
        <w:t xml:space="preserve">Beland, M, Mueller, PR &amp; Gervais, DA 2007, 'Thermal Ablation in Interventional Oncology', </w:t>
      </w:r>
      <w:r w:rsidRPr="00E2013B">
        <w:rPr>
          <w:rFonts w:eastAsiaTheme="minorHAnsi"/>
          <w:i/>
          <w:lang w:eastAsia="en-US"/>
        </w:rPr>
        <w:t>Seminars in Roentgenology</w:t>
      </w:r>
      <w:r w:rsidRPr="00E2013B">
        <w:rPr>
          <w:rFonts w:eastAsiaTheme="minorHAnsi"/>
          <w:lang w:eastAsia="en-US"/>
        </w:rPr>
        <w:t>, vol.42(3), pp. 175-90.</w:t>
      </w:r>
    </w:p>
    <w:p w14:paraId="64FCBCD1" w14:textId="77777777" w:rsidR="00B4290F" w:rsidRPr="00E2013B" w:rsidRDefault="00B4290F" w:rsidP="00B4290F">
      <w:pPr>
        <w:rPr>
          <w:rFonts w:eastAsiaTheme="minorHAnsi"/>
          <w:lang w:eastAsia="en-US"/>
        </w:rPr>
      </w:pPr>
      <w:r w:rsidRPr="00E2013B">
        <w:rPr>
          <w:rFonts w:eastAsiaTheme="minorHAnsi"/>
          <w:lang w:eastAsia="en-US"/>
        </w:rPr>
        <w:t xml:space="preserve">Boyer, MJ, Ricardi, U, Ball, D &amp; Salama, JK 2016, 'Ablative Approaches for Pulmonary Metastases', </w:t>
      </w:r>
      <w:r w:rsidRPr="00E2013B">
        <w:rPr>
          <w:rFonts w:eastAsiaTheme="minorHAnsi"/>
          <w:i/>
          <w:lang w:eastAsia="en-US"/>
        </w:rPr>
        <w:t>Thoracic Surgery Clinics</w:t>
      </w:r>
      <w:r w:rsidRPr="00E2013B">
        <w:rPr>
          <w:rFonts w:eastAsiaTheme="minorHAnsi"/>
          <w:lang w:eastAsia="en-US"/>
        </w:rPr>
        <w:t>, vol.26(1), pp. 19-34.</w:t>
      </w:r>
    </w:p>
    <w:p w14:paraId="4EE48C4C" w14:textId="77777777" w:rsidR="00B4290F" w:rsidRPr="00E2013B" w:rsidRDefault="00B4290F" w:rsidP="00B4290F">
      <w:pPr>
        <w:rPr>
          <w:rFonts w:eastAsiaTheme="minorHAnsi"/>
          <w:lang w:eastAsia="en-US"/>
        </w:rPr>
      </w:pPr>
      <w:r w:rsidRPr="00E2013B">
        <w:rPr>
          <w:rFonts w:eastAsiaTheme="minorHAnsi"/>
          <w:lang w:eastAsia="en-US"/>
        </w:rPr>
        <w:t xml:space="preserve">Cardona, K, Williams, R &amp; Movva, S 2013, 'Multimodality therapy for advanced or metastatic sarcoma', </w:t>
      </w:r>
      <w:r w:rsidRPr="00E2013B">
        <w:rPr>
          <w:rFonts w:eastAsiaTheme="minorHAnsi"/>
          <w:i/>
          <w:lang w:eastAsia="en-US"/>
        </w:rPr>
        <w:t>Current Problems in Cancer</w:t>
      </w:r>
      <w:r w:rsidRPr="00E2013B">
        <w:rPr>
          <w:rFonts w:eastAsiaTheme="minorHAnsi"/>
          <w:lang w:eastAsia="en-US"/>
        </w:rPr>
        <w:t xml:space="preserve">, </w:t>
      </w:r>
      <w:proofErr w:type="gramStart"/>
      <w:r w:rsidRPr="00E2013B">
        <w:rPr>
          <w:rFonts w:eastAsiaTheme="minorHAnsi"/>
          <w:lang w:eastAsia="en-US"/>
        </w:rPr>
        <w:t>vol.37(</w:t>
      </w:r>
      <w:proofErr w:type="gramEnd"/>
      <w:r w:rsidRPr="00E2013B">
        <w:rPr>
          <w:rFonts w:eastAsiaTheme="minorHAnsi"/>
          <w:lang w:eastAsia="en-US"/>
        </w:rPr>
        <w:t>2), pp. 74-86.</w:t>
      </w:r>
    </w:p>
    <w:p w14:paraId="30E713E8" w14:textId="77777777" w:rsidR="00B4290F" w:rsidRPr="00E2013B" w:rsidRDefault="00B4290F" w:rsidP="00B4290F">
      <w:pPr>
        <w:rPr>
          <w:rFonts w:eastAsiaTheme="minorHAnsi"/>
          <w:lang w:eastAsia="en-US"/>
        </w:rPr>
      </w:pPr>
      <w:r w:rsidRPr="00E2013B">
        <w:rPr>
          <w:rFonts w:eastAsiaTheme="minorHAnsi"/>
          <w:lang w:eastAsia="en-US"/>
        </w:rPr>
        <w:t xml:space="preserve">Carrafiello, G, Lagana, D, Mangini, M, Fontana, F, Dionigi, G, Boni, L, Rovera, F, Cuffari, S &amp; Fugazzola, C 2008, 'Microwave tumors ablation: Principles, clinical applications and review of preliminary experiences', </w:t>
      </w:r>
      <w:r w:rsidRPr="00E2013B">
        <w:rPr>
          <w:rFonts w:eastAsiaTheme="minorHAnsi"/>
          <w:i/>
          <w:lang w:eastAsia="en-US"/>
        </w:rPr>
        <w:t>International Journal of Surgery</w:t>
      </w:r>
      <w:r w:rsidRPr="00E2013B">
        <w:rPr>
          <w:rFonts w:eastAsiaTheme="minorHAnsi"/>
          <w:lang w:eastAsia="en-US"/>
        </w:rPr>
        <w:t>, vol.6(SUPPL. 1), pp. S65-S69.</w:t>
      </w:r>
    </w:p>
    <w:p w14:paraId="21E9928F" w14:textId="77777777" w:rsidR="00750F67" w:rsidRDefault="00B4290F" w:rsidP="00B4290F">
      <w:pPr>
        <w:rPr>
          <w:rFonts w:eastAsiaTheme="minorHAnsi"/>
          <w:lang w:eastAsia="en-US"/>
        </w:rPr>
      </w:pPr>
      <w:r w:rsidRPr="00E2013B">
        <w:rPr>
          <w:rFonts w:eastAsiaTheme="minorHAnsi"/>
          <w:lang w:eastAsia="en-US"/>
        </w:rPr>
        <w:t xml:space="preserve">Carrafiello, G, Mangini, M, De Bernardi, I, Fontana, F, Dionigi, G, Cuffari, S, Imperatori, A, Lagana, D &amp; Fugazzola, C 2010, 'Microwave ablation therapy for treating primary and secondary lung tumours: technical note', </w:t>
      </w:r>
      <w:r w:rsidRPr="00E2013B">
        <w:rPr>
          <w:rFonts w:eastAsiaTheme="minorHAnsi"/>
          <w:i/>
          <w:lang w:eastAsia="en-US"/>
        </w:rPr>
        <w:t>Radiol Med</w:t>
      </w:r>
      <w:r w:rsidR="00750F67">
        <w:rPr>
          <w:rFonts w:eastAsiaTheme="minorHAnsi"/>
          <w:lang w:eastAsia="en-US"/>
        </w:rPr>
        <w:t xml:space="preserve">, </w:t>
      </w:r>
      <w:proofErr w:type="gramStart"/>
      <w:r w:rsidR="00750F67">
        <w:rPr>
          <w:rFonts w:eastAsiaTheme="minorHAnsi"/>
          <w:lang w:eastAsia="en-US"/>
        </w:rPr>
        <w:t>vol.115(</w:t>
      </w:r>
      <w:proofErr w:type="gramEnd"/>
      <w:r w:rsidR="00750F67">
        <w:rPr>
          <w:rFonts w:eastAsiaTheme="minorHAnsi"/>
          <w:lang w:eastAsia="en-US"/>
        </w:rPr>
        <w:t>6), pp. 962-74.</w:t>
      </w:r>
    </w:p>
    <w:p w14:paraId="3483D342" w14:textId="18A846B4" w:rsidR="00B4290F" w:rsidRPr="00E2013B" w:rsidRDefault="00B4290F" w:rsidP="00B4290F">
      <w:pPr>
        <w:rPr>
          <w:rFonts w:eastAsiaTheme="minorHAnsi"/>
          <w:lang w:eastAsia="en-US"/>
        </w:rPr>
      </w:pPr>
      <w:r w:rsidRPr="00E2013B">
        <w:rPr>
          <w:rFonts w:eastAsiaTheme="minorHAnsi"/>
          <w:lang w:eastAsia="en-US"/>
        </w:rPr>
        <w:t xml:space="preserve">Ghaye, B 2013, 'Percutaneous ablation of malignant thoracic tumors', </w:t>
      </w:r>
      <w:r w:rsidRPr="00E2013B">
        <w:rPr>
          <w:rFonts w:eastAsiaTheme="minorHAnsi"/>
          <w:i/>
          <w:lang w:eastAsia="en-US"/>
        </w:rPr>
        <w:t>Jbr-Btr</w:t>
      </w:r>
      <w:r w:rsidRPr="00E2013B">
        <w:rPr>
          <w:rFonts w:eastAsiaTheme="minorHAnsi"/>
          <w:lang w:eastAsia="en-US"/>
        </w:rPr>
        <w:t xml:space="preserve">, </w:t>
      </w:r>
      <w:proofErr w:type="gramStart"/>
      <w:r w:rsidRPr="00E2013B">
        <w:rPr>
          <w:rFonts w:eastAsiaTheme="minorHAnsi"/>
          <w:lang w:eastAsia="en-US"/>
        </w:rPr>
        <w:t>vol.96(</w:t>
      </w:r>
      <w:proofErr w:type="gramEnd"/>
      <w:r w:rsidRPr="00E2013B">
        <w:rPr>
          <w:rFonts w:eastAsiaTheme="minorHAnsi"/>
          <w:lang w:eastAsia="en-US"/>
        </w:rPr>
        <w:t>3), pp. 142-54.</w:t>
      </w:r>
    </w:p>
    <w:p w14:paraId="404C63D8"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Gillams, A 2008, 'Tumour ablation: Current role in the liver, kidney, lung and bone', </w:t>
      </w:r>
      <w:r w:rsidRPr="00E2013B">
        <w:rPr>
          <w:rFonts w:eastAsiaTheme="minorHAnsi"/>
          <w:i/>
          <w:lang w:eastAsia="en-US"/>
        </w:rPr>
        <w:t>Cancer Imaging</w:t>
      </w:r>
      <w:r w:rsidRPr="00E2013B">
        <w:rPr>
          <w:rFonts w:eastAsiaTheme="minorHAnsi"/>
          <w:lang w:eastAsia="en-US"/>
        </w:rPr>
        <w:t xml:space="preserve">, </w:t>
      </w:r>
      <w:proofErr w:type="gramStart"/>
      <w:r w:rsidRPr="00E2013B">
        <w:rPr>
          <w:rFonts w:eastAsiaTheme="minorHAnsi"/>
          <w:lang w:eastAsia="en-US"/>
        </w:rPr>
        <w:t>vol.8(</w:t>
      </w:r>
      <w:proofErr w:type="gramEnd"/>
      <w:r w:rsidRPr="00E2013B">
        <w:rPr>
          <w:rFonts w:eastAsiaTheme="minorHAnsi"/>
          <w:lang w:eastAsia="en-US"/>
        </w:rPr>
        <w:t>SPEC. ISS. A), pp. S1-S5.</w:t>
      </w:r>
    </w:p>
    <w:p w14:paraId="4D9F1947" w14:textId="77777777" w:rsidR="00B4290F" w:rsidRPr="00E2013B" w:rsidRDefault="00B4290F" w:rsidP="00B4290F">
      <w:pPr>
        <w:rPr>
          <w:rFonts w:eastAsiaTheme="minorHAnsi"/>
          <w:lang w:eastAsia="en-US"/>
        </w:rPr>
      </w:pPr>
      <w:r w:rsidRPr="00E2013B">
        <w:rPr>
          <w:rFonts w:eastAsiaTheme="minorHAnsi"/>
          <w:lang w:eastAsia="en-US"/>
        </w:rPr>
        <w:t xml:space="preserve">Healey, TT &amp; Dupuy, DE 2012, 'Microwave ablation for lung cancer', </w:t>
      </w:r>
      <w:r w:rsidRPr="00E2013B">
        <w:rPr>
          <w:rFonts w:eastAsiaTheme="minorHAnsi"/>
          <w:i/>
          <w:lang w:eastAsia="en-US"/>
        </w:rPr>
        <w:t>Medicine and health, Rhode Island</w:t>
      </w:r>
      <w:r w:rsidRPr="00E2013B">
        <w:rPr>
          <w:rFonts w:eastAsiaTheme="minorHAnsi"/>
          <w:lang w:eastAsia="en-US"/>
        </w:rPr>
        <w:t xml:space="preserve">, </w:t>
      </w:r>
      <w:proofErr w:type="gramStart"/>
      <w:r w:rsidRPr="00E2013B">
        <w:rPr>
          <w:rFonts w:eastAsiaTheme="minorHAnsi"/>
          <w:lang w:eastAsia="en-US"/>
        </w:rPr>
        <w:t>vol.95(</w:t>
      </w:r>
      <w:proofErr w:type="gramEnd"/>
      <w:r w:rsidRPr="00E2013B">
        <w:rPr>
          <w:rFonts w:eastAsiaTheme="minorHAnsi"/>
          <w:lang w:eastAsia="en-US"/>
        </w:rPr>
        <w:t>2), pp. 52-53.</w:t>
      </w:r>
    </w:p>
    <w:p w14:paraId="6B99A164" w14:textId="77777777" w:rsidR="00B4290F" w:rsidRPr="00E2013B" w:rsidRDefault="00B4290F" w:rsidP="00B4290F">
      <w:pPr>
        <w:rPr>
          <w:rFonts w:eastAsiaTheme="minorHAnsi"/>
          <w:lang w:eastAsia="en-US"/>
        </w:rPr>
      </w:pPr>
      <w:r w:rsidRPr="00E2013B">
        <w:rPr>
          <w:rFonts w:eastAsiaTheme="minorHAnsi"/>
          <w:lang w:eastAsia="en-US"/>
        </w:rPr>
        <w:t xml:space="preserve">Hernandez, JI, Cepeda, MF, Valdes, F &amp; Guerrero, GD 2015, 'Microwave ablation: state-of-the-art review', </w:t>
      </w:r>
      <w:r w:rsidRPr="00E2013B">
        <w:rPr>
          <w:rFonts w:eastAsiaTheme="minorHAnsi"/>
          <w:i/>
          <w:lang w:eastAsia="en-US"/>
        </w:rPr>
        <w:t>Onco Targets Ther</w:t>
      </w:r>
      <w:r w:rsidRPr="00E2013B">
        <w:rPr>
          <w:rFonts w:eastAsiaTheme="minorHAnsi"/>
          <w:lang w:eastAsia="en-US"/>
        </w:rPr>
        <w:t xml:space="preserve">, vol.8pp. </w:t>
      </w:r>
      <w:proofErr w:type="gramStart"/>
      <w:r w:rsidRPr="00E2013B">
        <w:rPr>
          <w:rFonts w:eastAsiaTheme="minorHAnsi"/>
          <w:lang w:eastAsia="en-US"/>
        </w:rPr>
        <w:t>1627-32.</w:t>
      </w:r>
      <w:proofErr w:type="gramEnd"/>
    </w:p>
    <w:p w14:paraId="7FD1690B" w14:textId="77777777" w:rsidR="00B4290F" w:rsidRPr="00E2013B" w:rsidRDefault="00B4290F" w:rsidP="00B4290F">
      <w:pPr>
        <w:rPr>
          <w:rFonts w:eastAsiaTheme="minorHAnsi"/>
          <w:lang w:eastAsia="en-US"/>
        </w:rPr>
      </w:pPr>
      <w:r w:rsidRPr="00E2013B">
        <w:rPr>
          <w:rFonts w:eastAsiaTheme="minorHAnsi"/>
          <w:lang w:eastAsia="en-US"/>
        </w:rPr>
        <w:t xml:space="preserve">Jones, GC, Kehrer, JD, Kahn, J, Koneru, BN, Narayan, R, Thomas, TO, Camphausen, K, Mehta, MP &amp; Kaushal, A 2015, 'Primary treatment options for high-risk/medically inoperable early stage NSCLC patients', </w:t>
      </w:r>
      <w:r w:rsidRPr="00E2013B">
        <w:rPr>
          <w:rFonts w:eastAsiaTheme="minorHAnsi"/>
          <w:i/>
          <w:lang w:eastAsia="en-US"/>
        </w:rPr>
        <w:t>Clinical Lung Cancer</w:t>
      </w:r>
      <w:r w:rsidRPr="00E2013B">
        <w:rPr>
          <w:rFonts w:eastAsiaTheme="minorHAnsi"/>
          <w:lang w:eastAsia="en-US"/>
        </w:rPr>
        <w:t>, vol.16(6), pp. 413-30.</w:t>
      </w:r>
    </w:p>
    <w:p w14:paraId="1FB7C49B" w14:textId="77777777" w:rsidR="00B4290F" w:rsidRPr="00E2013B" w:rsidRDefault="00B4290F" w:rsidP="00B4290F">
      <w:pPr>
        <w:rPr>
          <w:rFonts w:eastAsiaTheme="minorHAnsi"/>
          <w:lang w:eastAsia="en-US"/>
        </w:rPr>
      </w:pPr>
      <w:r w:rsidRPr="00E2013B">
        <w:rPr>
          <w:rFonts w:eastAsiaTheme="minorHAnsi"/>
          <w:lang w:eastAsia="en-US"/>
        </w:rPr>
        <w:t xml:space="preserve">Oesch, A, Kuster, R &amp; Schmid, RA 2012, 'Limited resection or radiofrequency ablation for high risk patients', </w:t>
      </w:r>
      <w:r w:rsidRPr="00E2013B">
        <w:rPr>
          <w:rFonts w:eastAsiaTheme="minorHAnsi"/>
          <w:i/>
          <w:lang w:eastAsia="en-US"/>
        </w:rPr>
        <w:t>Therapeutische Umschau</w:t>
      </w:r>
      <w:r w:rsidRPr="00E2013B">
        <w:rPr>
          <w:rFonts w:eastAsiaTheme="minorHAnsi"/>
          <w:lang w:eastAsia="en-US"/>
        </w:rPr>
        <w:t xml:space="preserve">, </w:t>
      </w:r>
      <w:proofErr w:type="gramStart"/>
      <w:r w:rsidRPr="00E2013B">
        <w:rPr>
          <w:rFonts w:eastAsiaTheme="minorHAnsi"/>
          <w:lang w:eastAsia="en-US"/>
        </w:rPr>
        <w:t>vol.69(</w:t>
      </w:r>
      <w:proofErr w:type="gramEnd"/>
      <w:r w:rsidRPr="00E2013B">
        <w:rPr>
          <w:rFonts w:eastAsiaTheme="minorHAnsi"/>
          <w:lang w:eastAsia="en-US"/>
        </w:rPr>
        <w:t>7), pp. 429-32.</w:t>
      </w:r>
    </w:p>
    <w:p w14:paraId="67FE40A7" w14:textId="77777777" w:rsidR="00B4290F" w:rsidRPr="00E2013B" w:rsidRDefault="00B4290F" w:rsidP="00B4290F">
      <w:pPr>
        <w:rPr>
          <w:rFonts w:eastAsiaTheme="minorHAnsi"/>
          <w:lang w:eastAsia="en-US"/>
        </w:rPr>
      </w:pPr>
      <w:r w:rsidRPr="00E2013B">
        <w:rPr>
          <w:rFonts w:eastAsiaTheme="minorHAnsi"/>
          <w:lang w:eastAsia="en-US"/>
        </w:rPr>
        <w:t xml:space="preserve">Pua, BB, Thornton, RH &amp; Solomon, SB 2010, 'Ablation of pulmonary malignancy: Current status', </w:t>
      </w:r>
      <w:r w:rsidRPr="00E2013B">
        <w:rPr>
          <w:rFonts w:eastAsiaTheme="minorHAnsi"/>
          <w:i/>
          <w:lang w:eastAsia="en-US"/>
        </w:rPr>
        <w:t>Journal of Vascular and Interventional Radiology</w:t>
      </w:r>
      <w:r w:rsidRPr="00E2013B">
        <w:rPr>
          <w:rFonts w:eastAsiaTheme="minorHAnsi"/>
          <w:lang w:eastAsia="en-US"/>
        </w:rPr>
        <w:t xml:space="preserve">, </w:t>
      </w:r>
      <w:proofErr w:type="gramStart"/>
      <w:r w:rsidRPr="00E2013B">
        <w:rPr>
          <w:rFonts w:eastAsiaTheme="minorHAnsi"/>
          <w:lang w:eastAsia="en-US"/>
        </w:rPr>
        <w:t>vol.21(</w:t>
      </w:r>
      <w:proofErr w:type="gramEnd"/>
      <w:r w:rsidRPr="00E2013B">
        <w:rPr>
          <w:rFonts w:eastAsiaTheme="minorHAnsi"/>
          <w:lang w:eastAsia="en-US"/>
        </w:rPr>
        <w:t>SUPPL. 8), pp. S223-S32.</w:t>
      </w:r>
    </w:p>
    <w:p w14:paraId="20033869" w14:textId="77777777" w:rsidR="00B4290F" w:rsidRPr="00E2013B" w:rsidRDefault="00B4290F" w:rsidP="00B4290F">
      <w:pPr>
        <w:rPr>
          <w:rFonts w:eastAsiaTheme="minorHAnsi"/>
          <w:lang w:eastAsia="en-US"/>
        </w:rPr>
      </w:pPr>
      <w:r w:rsidRPr="00E2013B">
        <w:rPr>
          <w:rFonts w:eastAsiaTheme="minorHAnsi"/>
          <w:lang w:eastAsia="en-US"/>
        </w:rPr>
        <w:t xml:space="preserve">Schneider, T, Heussel, CP, Herth, FJF &amp; Dienemann, H 2013, 'Thermal ablation of malignant lung tumors', </w:t>
      </w:r>
      <w:r w:rsidRPr="00E2013B">
        <w:rPr>
          <w:rFonts w:eastAsiaTheme="minorHAnsi"/>
          <w:i/>
          <w:lang w:eastAsia="en-US"/>
        </w:rPr>
        <w:t>Deutsches Arzteblatt international</w:t>
      </w:r>
      <w:r w:rsidRPr="00E2013B">
        <w:rPr>
          <w:rFonts w:eastAsiaTheme="minorHAnsi"/>
          <w:lang w:eastAsia="en-US"/>
        </w:rPr>
        <w:t>, vol.110(22), pp. 394-400 and I and 8.</w:t>
      </w:r>
    </w:p>
    <w:p w14:paraId="3697E3A5" w14:textId="77777777" w:rsidR="00B4290F" w:rsidRPr="00E2013B" w:rsidRDefault="00B4290F" w:rsidP="00B4290F">
      <w:pPr>
        <w:rPr>
          <w:rFonts w:eastAsiaTheme="minorHAnsi"/>
          <w:lang w:eastAsia="en-US"/>
        </w:rPr>
      </w:pPr>
      <w:r w:rsidRPr="00E2013B">
        <w:rPr>
          <w:rFonts w:eastAsiaTheme="minorHAnsi"/>
          <w:lang w:eastAsia="en-US"/>
        </w:rPr>
        <w:t xml:space="preserve">Sofocleous, CT, Sideras, P, Petre, EN &amp; Solomon, SB 2011, 'Ablation for the management of pulmonary malignancies', American Journal of Roentgenology, </w:t>
      </w:r>
      <w:proofErr w:type="gramStart"/>
      <w:r w:rsidRPr="00E2013B">
        <w:rPr>
          <w:rFonts w:eastAsiaTheme="minorHAnsi"/>
          <w:lang w:eastAsia="en-US"/>
        </w:rPr>
        <w:t>vol.197(</w:t>
      </w:r>
      <w:proofErr w:type="gramEnd"/>
      <w:r w:rsidRPr="00E2013B">
        <w:rPr>
          <w:rFonts w:eastAsiaTheme="minorHAnsi"/>
          <w:lang w:eastAsia="en-US"/>
        </w:rPr>
        <w:t>4), pp. W581-W89.</w:t>
      </w:r>
    </w:p>
    <w:p w14:paraId="7C050010" w14:textId="77777777" w:rsidR="00B4290F" w:rsidRPr="00E2013B" w:rsidRDefault="00B4290F" w:rsidP="00B4290F">
      <w:pPr>
        <w:rPr>
          <w:rFonts w:eastAsiaTheme="minorHAnsi"/>
          <w:lang w:eastAsia="en-US"/>
        </w:rPr>
      </w:pPr>
      <w:r w:rsidRPr="00E2013B">
        <w:rPr>
          <w:rFonts w:eastAsiaTheme="minorHAnsi"/>
          <w:lang w:eastAsia="en-US"/>
        </w:rPr>
        <w:t xml:space="preserve">Solomon, SB, Thornton, RH, Dupuy, DE &amp; Downey, RJ 2008, 'Protection of the Mediastinum and Chest Wall with an Artificial Pneumothorax during Lung Ablations', </w:t>
      </w:r>
      <w:r w:rsidRPr="00E2013B">
        <w:rPr>
          <w:rFonts w:eastAsiaTheme="minorHAnsi"/>
          <w:i/>
          <w:lang w:eastAsia="en-US"/>
        </w:rPr>
        <w:t>Journal of Vascular and Interventional Radiology</w:t>
      </w:r>
      <w:r w:rsidRPr="00E2013B">
        <w:rPr>
          <w:rFonts w:eastAsiaTheme="minorHAnsi"/>
          <w:lang w:eastAsia="en-US"/>
        </w:rPr>
        <w:t>, vol.19(4), pp. 610-15.</w:t>
      </w:r>
    </w:p>
    <w:p w14:paraId="66E05ED2" w14:textId="77777777" w:rsidR="00B4290F" w:rsidRPr="00E2013B" w:rsidRDefault="00B4290F" w:rsidP="00B4290F">
      <w:pPr>
        <w:rPr>
          <w:rFonts w:eastAsiaTheme="minorHAnsi"/>
          <w:lang w:eastAsia="en-US"/>
        </w:rPr>
      </w:pPr>
      <w:r w:rsidRPr="00E2013B">
        <w:rPr>
          <w:rFonts w:eastAsiaTheme="minorHAnsi"/>
          <w:lang w:eastAsia="en-US"/>
        </w:rPr>
        <w:t xml:space="preserve">Sonntag, PD, Hinshaw, JL, Lubner, MG, Brace, CL &amp; Lee, FT 2011, 'Thermal Ablation of Lung Tumors', </w:t>
      </w:r>
      <w:r w:rsidRPr="00E2013B">
        <w:rPr>
          <w:rFonts w:eastAsiaTheme="minorHAnsi"/>
          <w:i/>
          <w:lang w:eastAsia="en-US"/>
        </w:rPr>
        <w:t>Surgical Oncology Clinics of North America</w:t>
      </w:r>
      <w:r w:rsidRPr="00E2013B">
        <w:rPr>
          <w:rFonts w:eastAsiaTheme="minorHAnsi"/>
          <w:lang w:eastAsia="en-US"/>
        </w:rPr>
        <w:t>, vol.20(2), pp. 369-87.</w:t>
      </w:r>
    </w:p>
    <w:p w14:paraId="48A2859D" w14:textId="77777777" w:rsidR="00B4290F" w:rsidRPr="00E2013B" w:rsidRDefault="00B4290F" w:rsidP="00B4290F">
      <w:pPr>
        <w:rPr>
          <w:rFonts w:eastAsiaTheme="minorHAnsi"/>
          <w:lang w:eastAsia="en-US"/>
        </w:rPr>
      </w:pPr>
      <w:r w:rsidRPr="00E2013B">
        <w:rPr>
          <w:rFonts w:eastAsiaTheme="minorHAnsi"/>
          <w:lang w:eastAsia="en-US"/>
        </w:rPr>
        <w:t xml:space="preserve">Vogl, TJ, Naguib, NNN, Lehnert, T &amp; Nour-Eldin, NEA 2011, 'Radiofrequency, microwave and laser ablation of pulmonary neoplasms: Clinical studies and technical considerations - Review article', </w:t>
      </w:r>
      <w:r w:rsidRPr="00E2013B">
        <w:rPr>
          <w:rFonts w:eastAsiaTheme="minorHAnsi"/>
          <w:i/>
          <w:lang w:eastAsia="en-US"/>
        </w:rPr>
        <w:t xml:space="preserve">European Journal of Radiology, </w:t>
      </w:r>
      <w:proofErr w:type="gramStart"/>
      <w:r w:rsidRPr="00E2013B">
        <w:rPr>
          <w:rFonts w:eastAsiaTheme="minorHAnsi"/>
          <w:i/>
          <w:lang w:eastAsia="en-US"/>
        </w:rPr>
        <w:t>vol.77</w:t>
      </w:r>
      <w:r w:rsidRPr="00E2013B">
        <w:rPr>
          <w:rFonts w:eastAsiaTheme="minorHAnsi"/>
          <w:lang w:eastAsia="en-US"/>
        </w:rPr>
        <w:t>(</w:t>
      </w:r>
      <w:proofErr w:type="gramEnd"/>
      <w:r w:rsidRPr="00E2013B">
        <w:rPr>
          <w:rFonts w:eastAsiaTheme="minorHAnsi"/>
          <w:lang w:eastAsia="en-US"/>
        </w:rPr>
        <w:t>2), pp. 346-57.</w:t>
      </w:r>
    </w:p>
    <w:p w14:paraId="1DECC462" w14:textId="77777777" w:rsidR="00B4290F" w:rsidRPr="00E2013B" w:rsidRDefault="00B4290F" w:rsidP="00B4290F">
      <w:pPr>
        <w:rPr>
          <w:rFonts w:eastAsiaTheme="minorHAnsi"/>
          <w:lang w:eastAsia="en-US"/>
        </w:rPr>
      </w:pPr>
      <w:r w:rsidRPr="00E2013B">
        <w:rPr>
          <w:rFonts w:eastAsiaTheme="minorHAnsi"/>
          <w:lang w:eastAsia="en-US"/>
        </w:rPr>
        <w:t xml:space="preserve">Wasser, EJ &amp; Dupuy, DE 2008, 'Microwave ablation in the treatment of primary lung tumors', </w:t>
      </w:r>
      <w:r w:rsidRPr="00E2013B">
        <w:rPr>
          <w:rFonts w:eastAsiaTheme="minorHAnsi"/>
          <w:i/>
          <w:lang w:eastAsia="en-US"/>
        </w:rPr>
        <w:t>Seminars in Respiratory and Critical Care Medicine</w:t>
      </w:r>
      <w:r w:rsidRPr="00E2013B">
        <w:rPr>
          <w:rFonts w:eastAsiaTheme="minorHAnsi"/>
          <w:lang w:eastAsia="en-US"/>
        </w:rPr>
        <w:t xml:space="preserve">, </w:t>
      </w:r>
      <w:proofErr w:type="gramStart"/>
      <w:r w:rsidRPr="00E2013B">
        <w:rPr>
          <w:rFonts w:eastAsiaTheme="minorHAnsi"/>
          <w:lang w:eastAsia="en-US"/>
        </w:rPr>
        <w:t>vol.29(</w:t>
      </w:r>
      <w:proofErr w:type="gramEnd"/>
      <w:r w:rsidRPr="00E2013B">
        <w:rPr>
          <w:rFonts w:eastAsiaTheme="minorHAnsi"/>
          <w:lang w:eastAsia="en-US"/>
        </w:rPr>
        <w:t>4), pp. 384-94.</w:t>
      </w:r>
    </w:p>
    <w:p w14:paraId="1F36B01B" w14:textId="77777777" w:rsidR="00B4290F" w:rsidRPr="00E2013B" w:rsidRDefault="00B4290F" w:rsidP="00B4290F">
      <w:pPr>
        <w:rPr>
          <w:rFonts w:eastAsiaTheme="minorHAnsi"/>
          <w:lang w:eastAsia="en-US"/>
        </w:rPr>
      </w:pPr>
      <w:r w:rsidRPr="00E2013B">
        <w:rPr>
          <w:rFonts w:eastAsiaTheme="minorHAnsi"/>
          <w:lang w:eastAsia="en-US"/>
        </w:rPr>
        <w:t xml:space="preserve">Zheng, A, Yang, X, Ye, X, Huang, G, Wei, Z, Wang, J, Han, X, Ni, X &amp; Meng, M 2015, 'Bronchopleural fistula after lung ablation: Experience in two cases and literature review', </w:t>
      </w:r>
      <w:r w:rsidRPr="00E2013B">
        <w:rPr>
          <w:rFonts w:eastAsiaTheme="minorHAnsi"/>
          <w:i/>
          <w:lang w:eastAsia="en-US"/>
        </w:rPr>
        <w:t>Indian Journal of Cancer</w:t>
      </w:r>
      <w:r w:rsidRPr="00E2013B">
        <w:rPr>
          <w:rFonts w:eastAsiaTheme="minorHAnsi"/>
          <w:lang w:eastAsia="en-US"/>
        </w:rPr>
        <w:t>, vol.52(6), pp. e41-e46.</w:t>
      </w:r>
    </w:p>
    <w:p w14:paraId="100EC0BF" w14:textId="77777777" w:rsidR="00B4290F" w:rsidRPr="00602520" w:rsidRDefault="00B4290F" w:rsidP="00B4290F">
      <w:pPr>
        <w:rPr>
          <w:rFonts w:eastAsiaTheme="minorHAnsi"/>
          <w:b/>
          <w:lang w:eastAsia="en-US"/>
        </w:rPr>
      </w:pPr>
      <w:r w:rsidRPr="00602520">
        <w:rPr>
          <w:rFonts w:eastAsiaTheme="minorHAnsi"/>
          <w:b/>
          <w:lang w:eastAsia="en-US"/>
        </w:rPr>
        <w:lastRenderedPageBreak/>
        <w:t>Studies in which the intervention was mixed and outcomes were not separable (n = 2)</w:t>
      </w:r>
    </w:p>
    <w:p w14:paraId="21051710" w14:textId="77777777" w:rsidR="00B4290F" w:rsidRPr="00E2013B" w:rsidRDefault="00B4290F" w:rsidP="00B4290F">
      <w:pPr>
        <w:rPr>
          <w:rFonts w:eastAsiaTheme="minorHAnsi"/>
          <w:lang w:eastAsia="en-US"/>
        </w:rPr>
      </w:pPr>
      <w:r w:rsidRPr="00E2013B">
        <w:rPr>
          <w:rFonts w:eastAsiaTheme="minorHAnsi"/>
          <w:lang w:eastAsia="en-US"/>
        </w:rPr>
        <w:t xml:space="preserve">Cheng, M, Fay, M &amp; Steinke, K 2016, 'Percutaneous CT-guided thermal ablation as salvage therapy for recurrent non-small cell lung cancer after external beam radiotherapy: A retrospective study', Int J Hyperthermia, vol.pp. </w:t>
      </w:r>
      <w:proofErr w:type="gramStart"/>
      <w:r w:rsidRPr="00E2013B">
        <w:rPr>
          <w:rFonts w:eastAsiaTheme="minorHAnsi"/>
          <w:lang w:eastAsia="en-US"/>
        </w:rPr>
        <w:t>1-8.</w:t>
      </w:r>
      <w:proofErr w:type="gramEnd"/>
    </w:p>
    <w:p w14:paraId="5B5272B7" w14:textId="77777777" w:rsidR="00B4290F" w:rsidRPr="00E2013B" w:rsidRDefault="00B4290F" w:rsidP="00B4290F">
      <w:pPr>
        <w:rPr>
          <w:rFonts w:eastAsiaTheme="minorHAnsi"/>
          <w:lang w:eastAsia="en-US"/>
        </w:rPr>
      </w:pPr>
      <w:r w:rsidRPr="00E2013B">
        <w:rPr>
          <w:rFonts w:eastAsiaTheme="minorHAnsi"/>
          <w:lang w:eastAsia="en-US"/>
        </w:rPr>
        <w:t xml:space="preserve">Grieco, CA, Simon, CJ, Mayo-Smith, WW, DiPetrillo, TA, Ready, NE &amp; Dupuy, DE 2006, 'Percutaneous image-guided thermal ablation and radiation therapy: Outcomes of combined treatment for 41 patients with inoperable stage I/II non-small-cell lung cancer', </w:t>
      </w:r>
      <w:r w:rsidRPr="00E2013B">
        <w:rPr>
          <w:rFonts w:eastAsiaTheme="minorHAnsi"/>
          <w:i/>
          <w:lang w:eastAsia="en-US"/>
        </w:rPr>
        <w:t>Journal of Vascular and Interventional Radiology</w:t>
      </w:r>
      <w:r w:rsidRPr="00E2013B">
        <w:rPr>
          <w:rFonts w:eastAsiaTheme="minorHAnsi"/>
          <w:lang w:eastAsia="en-US"/>
        </w:rPr>
        <w:t xml:space="preserve">, </w:t>
      </w:r>
      <w:proofErr w:type="gramStart"/>
      <w:r w:rsidRPr="00E2013B">
        <w:rPr>
          <w:rFonts w:eastAsiaTheme="minorHAnsi"/>
          <w:lang w:eastAsia="en-US"/>
        </w:rPr>
        <w:t>vol.17(</w:t>
      </w:r>
      <w:proofErr w:type="gramEnd"/>
      <w:r w:rsidRPr="00E2013B">
        <w:rPr>
          <w:rFonts w:eastAsiaTheme="minorHAnsi"/>
          <w:lang w:eastAsia="en-US"/>
        </w:rPr>
        <w:t>7), pp. 1117-24.</w:t>
      </w:r>
    </w:p>
    <w:p w14:paraId="0507AF46" w14:textId="77777777" w:rsidR="00B4290F" w:rsidRPr="003F69BC" w:rsidRDefault="00B4290F" w:rsidP="00B4290F">
      <w:pPr>
        <w:rPr>
          <w:rFonts w:eastAsiaTheme="minorHAnsi"/>
          <w:b/>
          <w:lang w:eastAsia="en-US"/>
        </w:rPr>
      </w:pPr>
      <w:r w:rsidRPr="003F69BC">
        <w:rPr>
          <w:rFonts w:eastAsiaTheme="minorHAnsi"/>
          <w:b/>
          <w:lang w:eastAsia="en-US"/>
        </w:rPr>
        <w:t>Studies without relevant outcomes (</w:t>
      </w:r>
      <w:r>
        <w:rPr>
          <w:rFonts w:eastAsiaTheme="minorHAnsi"/>
          <w:b/>
          <w:lang w:eastAsia="en-US"/>
        </w:rPr>
        <w:t xml:space="preserve">n = </w:t>
      </w:r>
      <w:r w:rsidRPr="003F69BC">
        <w:rPr>
          <w:rFonts w:eastAsiaTheme="minorHAnsi"/>
          <w:b/>
          <w:lang w:eastAsia="en-US"/>
        </w:rPr>
        <w:t>3)</w:t>
      </w:r>
    </w:p>
    <w:p w14:paraId="12DBCD46" w14:textId="77777777" w:rsidR="00B4290F" w:rsidRPr="00E2013B" w:rsidRDefault="00B4290F" w:rsidP="00B4290F">
      <w:pPr>
        <w:rPr>
          <w:rFonts w:eastAsiaTheme="minorHAnsi"/>
          <w:lang w:eastAsia="en-US"/>
        </w:rPr>
      </w:pPr>
      <w:r w:rsidRPr="00E2013B">
        <w:rPr>
          <w:rFonts w:eastAsiaTheme="minorHAnsi"/>
          <w:lang w:eastAsia="en-US"/>
        </w:rPr>
        <w:t xml:space="preserve">Erinjeri, JP, Thomas, CT, Samoilia, A, Fleisher, M, Gonen, M, Sofocleous, CT, Thornton, RH, Siegelbaum, RH, Covey, AM, Brody, LA, Alago Jr, W, Maybody, M, Brown, KT, Getrajdman, GI &amp; Solomon, SB 2013, 'Image-guided thermal ablation of tumors increases the plasma level of interleukin-6 and interleukin-10', </w:t>
      </w:r>
      <w:r w:rsidRPr="00E2013B">
        <w:rPr>
          <w:rFonts w:eastAsiaTheme="minorHAnsi"/>
          <w:i/>
          <w:lang w:eastAsia="en-US"/>
        </w:rPr>
        <w:t>Journal of Vascular and Interventional Radiology</w:t>
      </w:r>
      <w:r w:rsidRPr="00E2013B">
        <w:rPr>
          <w:rFonts w:eastAsiaTheme="minorHAnsi"/>
          <w:lang w:eastAsia="en-US"/>
        </w:rPr>
        <w:t>, vol.24(8), pp. 1105-12.</w:t>
      </w:r>
    </w:p>
    <w:p w14:paraId="155EBCCA" w14:textId="77777777" w:rsidR="00B4290F" w:rsidRPr="00E2013B" w:rsidRDefault="00B4290F" w:rsidP="00B4290F">
      <w:pPr>
        <w:rPr>
          <w:rFonts w:eastAsiaTheme="minorHAnsi"/>
          <w:lang w:eastAsia="en-US"/>
        </w:rPr>
      </w:pPr>
      <w:r w:rsidRPr="00E2013B">
        <w:rPr>
          <w:rFonts w:eastAsiaTheme="minorHAnsi"/>
          <w:lang w:eastAsia="en-US"/>
        </w:rPr>
        <w:t xml:space="preserve">Ierardi, AM, Petrillo, M, Xhepa, G, Lagana, D, Piacentino, F, Floridi, C, Duka, E, Fugazzola, C &amp; Carrafiello, G 2016, 'Cone beam computed tomography images fusion in predicting lung ablation volumes: A feasibility study', </w:t>
      </w:r>
      <w:r w:rsidRPr="00E2013B">
        <w:rPr>
          <w:rFonts w:eastAsiaTheme="minorHAnsi"/>
          <w:i/>
          <w:lang w:eastAsia="en-US"/>
        </w:rPr>
        <w:t>Acta Radiologica</w:t>
      </w:r>
      <w:r w:rsidRPr="00E2013B">
        <w:rPr>
          <w:rFonts w:eastAsiaTheme="minorHAnsi"/>
          <w:lang w:eastAsia="en-US"/>
        </w:rPr>
        <w:t>, vol.57(2), pp. 188-96.</w:t>
      </w:r>
    </w:p>
    <w:p w14:paraId="6E7D5A5C" w14:textId="77777777" w:rsidR="00B4290F" w:rsidRPr="00E2013B" w:rsidRDefault="00B4290F" w:rsidP="00B4290F">
      <w:pPr>
        <w:rPr>
          <w:rFonts w:eastAsiaTheme="minorHAnsi"/>
          <w:lang w:eastAsia="en-US"/>
        </w:rPr>
      </w:pPr>
      <w:r w:rsidRPr="00E2013B">
        <w:rPr>
          <w:rFonts w:eastAsiaTheme="minorHAnsi"/>
          <w:lang w:eastAsia="en-US"/>
        </w:rPr>
        <w:t xml:space="preserve">Pou Ucha, JL, Nogueiras Alonso, JM, Alvarez Paez, AM, Suarez Arfenoni, BA, Puig, AS, Lopez Lopez, AM, Barandela Salgado, J, Campos Villarino, LM, Casal Rivas, M &amp; Guitian Iglesias, R 2012, 'Diagnostic yield of baseline and follow-up PET/CT studies in ablative therapy for non-small cell lung cancer', </w:t>
      </w:r>
      <w:r w:rsidRPr="00E2013B">
        <w:rPr>
          <w:rFonts w:eastAsiaTheme="minorHAnsi"/>
          <w:i/>
          <w:lang w:eastAsia="en-US"/>
        </w:rPr>
        <w:t>Rev Esp Med Nucl Imagen Mol</w:t>
      </w:r>
      <w:r w:rsidRPr="00E2013B">
        <w:rPr>
          <w:rFonts w:eastAsiaTheme="minorHAnsi"/>
          <w:lang w:eastAsia="en-US"/>
        </w:rPr>
        <w:t>, vol.31(6), pp. 301-7.</w:t>
      </w:r>
    </w:p>
    <w:p w14:paraId="5A00787A" w14:textId="77777777" w:rsidR="00B4290F" w:rsidRPr="003F69BC" w:rsidRDefault="00B4290F" w:rsidP="00B4290F">
      <w:pPr>
        <w:rPr>
          <w:rFonts w:eastAsiaTheme="minorHAnsi"/>
          <w:b/>
          <w:lang w:eastAsia="en-US"/>
        </w:rPr>
      </w:pPr>
      <w:r w:rsidRPr="003F69BC">
        <w:rPr>
          <w:rFonts w:eastAsiaTheme="minorHAnsi"/>
          <w:b/>
          <w:lang w:eastAsia="en-US"/>
        </w:rPr>
        <w:t>Studies of the wrong intervention (</w:t>
      </w:r>
      <w:r>
        <w:rPr>
          <w:rFonts w:eastAsiaTheme="minorHAnsi"/>
          <w:b/>
          <w:lang w:eastAsia="en-US"/>
        </w:rPr>
        <w:t xml:space="preserve">n = </w:t>
      </w:r>
      <w:r w:rsidRPr="003F69BC">
        <w:rPr>
          <w:rFonts w:eastAsiaTheme="minorHAnsi"/>
          <w:b/>
          <w:lang w:eastAsia="en-US"/>
        </w:rPr>
        <w:t>2)</w:t>
      </w:r>
    </w:p>
    <w:p w14:paraId="5F1AC04D" w14:textId="77777777" w:rsidR="00B4290F" w:rsidRPr="00E2013B" w:rsidRDefault="00B4290F" w:rsidP="00B4290F">
      <w:pPr>
        <w:rPr>
          <w:rFonts w:eastAsiaTheme="minorHAnsi"/>
          <w:lang w:eastAsia="en-US"/>
        </w:rPr>
      </w:pPr>
      <w:r w:rsidRPr="00E2013B">
        <w:rPr>
          <w:rFonts w:eastAsiaTheme="minorHAnsi"/>
          <w:lang w:eastAsia="en-US"/>
        </w:rPr>
        <w:t xml:space="preserve">Gomez, FM, Patel, PA, Stuart, S &amp; Roebuck, DJ 2014, 'Systematic review of ablation techniques for the treatment of malignant or aggressive benign lesions in children', </w:t>
      </w:r>
      <w:r w:rsidRPr="00E2013B">
        <w:rPr>
          <w:rFonts w:eastAsiaTheme="minorHAnsi"/>
          <w:i/>
          <w:lang w:eastAsia="en-US"/>
        </w:rPr>
        <w:t>Pediatric Radiology</w:t>
      </w:r>
      <w:r w:rsidRPr="00E2013B">
        <w:rPr>
          <w:rFonts w:eastAsiaTheme="minorHAnsi"/>
          <w:lang w:eastAsia="en-US"/>
        </w:rPr>
        <w:t xml:space="preserve">, </w:t>
      </w:r>
      <w:proofErr w:type="gramStart"/>
      <w:r w:rsidRPr="00E2013B">
        <w:rPr>
          <w:rFonts w:eastAsiaTheme="minorHAnsi"/>
          <w:lang w:eastAsia="en-US"/>
        </w:rPr>
        <w:t>vol.44(</w:t>
      </w:r>
      <w:proofErr w:type="gramEnd"/>
      <w:r w:rsidRPr="00E2013B">
        <w:rPr>
          <w:rFonts w:eastAsiaTheme="minorHAnsi"/>
          <w:lang w:eastAsia="en-US"/>
        </w:rPr>
        <w:t>10), pp. 1281-89.</w:t>
      </w:r>
    </w:p>
    <w:p w14:paraId="20503DF7" w14:textId="77777777" w:rsidR="00B4290F" w:rsidRPr="00E2013B" w:rsidRDefault="00B4290F" w:rsidP="00B4290F">
      <w:pPr>
        <w:rPr>
          <w:rFonts w:eastAsiaTheme="minorHAnsi"/>
          <w:lang w:eastAsia="en-US"/>
        </w:rPr>
      </w:pPr>
      <w:r w:rsidRPr="00E2013B">
        <w:rPr>
          <w:rFonts w:eastAsiaTheme="minorHAnsi"/>
          <w:lang w:eastAsia="en-US"/>
        </w:rPr>
        <w:t xml:space="preserve">Palussiere, J, Lagarde, P, Auperin, A, Deschamps, F, Chomy, F &amp; de Baere, T 2015, 'Percutaneous Lung Thermal Ablation of Non-surgical Clinical N0 Non-small Cell Lung Cancer: Results of Eight Years' Experience in 87 Patients from Two Centers', </w:t>
      </w:r>
      <w:r w:rsidRPr="00E2013B">
        <w:rPr>
          <w:rFonts w:eastAsiaTheme="minorHAnsi"/>
          <w:i/>
          <w:lang w:eastAsia="en-US"/>
        </w:rPr>
        <w:t>Cardiovascular and interventional radiology</w:t>
      </w:r>
      <w:r w:rsidRPr="00E2013B">
        <w:rPr>
          <w:rFonts w:eastAsiaTheme="minorHAnsi"/>
          <w:lang w:eastAsia="en-US"/>
        </w:rPr>
        <w:t>, vol.38(1), pp. 160-66.</w:t>
      </w:r>
    </w:p>
    <w:p w14:paraId="4165E71A" w14:textId="77777777" w:rsidR="00B4290F" w:rsidRPr="003F69BC" w:rsidRDefault="00B4290F" w:rsidP="00B4290F">
      <w:pPr>
        <w:rPr>
          <w:rFonts w:eastAsiaTheme="minorHAnsi"/>
          <w:b/>
          <w:lang w:eastAsia="en-US"/>
        </w:rPr>
      </w:pPr>
      <w:r w:rsidRPr="003F69BC">
        <w:rPr>
          <w:rFonts w:eastAsiaTheme="minorHAnsi"/>
          <w:b/>
          <w:lang w:eastAsia="en-US"/>
        </w:rPr>
        <w:t>Wrong population (</w:t>
      </w:r>
      <w:r>
        <w:rPr>
          <w:rFonts w:eastAsiaTheme="minorHAnsi"/>
          <w:b/>
          <w:lang w:eastAsia="en-US"/>
        </w:rPr>
        <w:t xml:space="preserve">n = </w:t>
      </w:r>
      <w:r w:rsidRPr="003F69BC">
        <w:rPr>
          <w:rFonts w:eastAsiaTheme="minorHAnsi"/>
          <w:b/>
          <w:lang w:eastAsia="en-US"/>
        </w:rPr>
        <w:t>4)</w:t>
      </w:r>
    </w:p>
    <w:p w14:paraId="7D5F9706"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Ryan, ER, Sofocleous, CT, Schoder, H, Carrasquillo, JA, Nehmeh, S, Larson, SM, Thornton, R, Siegelbaum, RH, Erinjeri, JP &amp; Solomon, SB 2013, 'Split-dose technique for FDG PET/CT-guided percutaneous ablation: A method to facilitate lesion targeting and to provide immediate assessment of treatment effectiveness', </w:t>
      </w:r>
      <w:r w:rsidRPr="00E2013B">
        <w:rPr>
          <w:rFonts w:eastAsiaTheme="minorHAnsi"/>
          <w:i/>
          <w:lang w:eastAsia="en-US"/>
        </w:rPr>
        <w:t>Radiology</w:t>
      </w:r>
      <w:r w:rsidRPr="00E2013B">
        <w:rPr>
          <w:rFonts w:eastAsiaTheme="minorHAnsi"/>
          <w:lang w:eastAsia="en-US"/>
        </w:rPr>
        <w:t>, vol.268(1), pp. 288-95.</w:t>
      </w:r>
    </w:p>
    <w:p w14:paraId="5731C56D" w14:textId="77777777" w:rsidR="00B4290F" w:rsidRPr="00E2013B" w:rsidRDefault="00B4290F" w:rsidP="00B4290F">
      <w:pPr>
        <w:rPr>
          <w:rFonts w:eastAsiaTheme="minorHAnsi"/>
          <w:lang w:eastAsia="en-US"/>
        </w:rPr>
      </w:pPr>
      <w:r w:rsidRPr="00E2013B">
        <w:rPr>
          <w:rFonts w:eastAsiaTheme="minorHAnsi"/>
          <w:lang w:eastAsia="en-US"/>
        </w:rPr>
        <w:t>Skonieczki, BD, Wells, C, Wasser, EJ &amp; Dupuy, DE 2011, 'Radiofrequency and microwave tumor ablation in patients with implanted cardiac devices: Is it safe?</w:t>
      </w:r>
      <w:proofErr w:type="gramStart"/>
      <w:r w:rsidRPr="00E2013B">
        <w:rPr>
          <w:rFonts w:eastAsiaTheme="minorHAnsi"/>
          <w:lang w:eastAsia="en-US"/>
        </w:rPr>
        <w:t>',</w:t>
      </w:r>
      <w:proofErr w:type="gramEnd"/>
      <w:r w:rsidRPr="00E2013B">
        <w:rPr>
          <w:rFonts w:eastAsiaTheme="minorHAnsi"/>
          <w:lang w:eastAsia="en-US"/>
        </w:rPr>
        <w:t xml:space="preserve"> </w:t>
      </w:r>
      <w:r w:rsidRPr="00E2013B">
        <w:rPr>
          <w:rFonts w:eastAsiaTheme="minorHAnsi"/>
          <w:i/>
          <w:lang w:eastAsia="en-US"/>
        </w:rPr>
        <w:t>European Journal of Radiology</w:t>
      </w:r>
      <w:r w:rsidRPr="00E2013B">
        <w:rPr>
          <w:rFonts w:eastAsiaTheme="minorHAnsi"/>
          <w:lang w:eastAsia="en-US"/>
        </w:rPr>
        <w:t>, vol.79(3), pp. 343-46.</w:t>
      </w:r>
    </w:p>
    <w:p w14:paraId="2B6FD75E" w14:textId="77777777" w:rsidR="00B4290F" w:rsidRPr="00E2013B" w:rsidRDefault="00B4290F" w:rsidP="00B4290F">
      <w:pPr>
        <w:rPr>
          <w:rFonts w:eastAsiaTheme="minorHAnsi"/>
          <w:lang w:eastAsia="en-US"/>
        </w:rPr>
      </w:pPr>
      <w:r w:rsidRPr="00E2013B">
        <w:rPr>
          <w:rFonts w:eastAsiaTheme="minorHAnsi"/>
          <w:lang w:eastAsia="en-US"/>
        </w:rPr>
        <w:t xml:space="preserve">Wolf, FJ, Aswad, B, Ng, T &amp; Dupuy, DE 2012, 'Intraoperative microwave ablation of pulmonary malignancies with tumor permittivity feedback control: Ablation and resection study in 10 consecutive patients', </w:t>
      </w:r>
      <w:r w:rsidRPr="00E2013B">
        <w:rPr>
          <w:rFonts w:eastAsiaTheme="minorHAnsi"/>
          <w:i/>
          <w:lang w:eastAsia="en-US"/>
        </w:rPr>
        <w:t>Radiology</w:t>
      </w:r>
      <w:r w:rsidRPr="00E2013B">
        <w:rPr>
          <w:rFonts w:eastAsiaTheme="minorHAnsi"/>
          <w:lang w:eastAsia="en-US"/>
        </w:rPr>
        <w:t xml:space="preserve">, </w:t>
      </w:r>
      <w:proofErr w:type="gramStart"/>
      <w:r w:rsidRPr="00E2013B">
        <w:rPr>
          <w:rFonts w:eastAsiaTheme="minorHAnsi"/>
          <w:lang w:eastAsia="en-US"/>
        </w:rPr>
        <w:t>vol.262(</w:t>
      </w:r>
      <w:proofErr w:type="gramEnd"/>
      <w:r w:rsidRPr="00E2013B">
        <w:rPr>
          <w:rFonts w:eastAsiaTheme="minorHAnsi"/>
          <w:lang w:eastAsia="en-US"/>
        </w:rPr>
        <w:t>1), pp. 353-60.</w:t>
      </w:r>
    </w:p>
    <w:p w14:paraId="7CA5F2C8" w14:textId="1A7D5190" w:rsidR="00B4290F" w:rsidRPr="00E2013B" w:rsidRDefault="00B4290F" w:rsidP="00B4290F">
      <w:pPr>
        <w:rPr>
          <w:rFonts w:eastAsiaTheme="minorHAnsi"/>
          <w:lang w:eastAsia="en-US"/>
        </w:rPr>
      </w:pPr>
      <w:r w:rsidRPr="00E2013B">
        <w:rPr>
          <w:rFonts w:eastAsiaTheme="minorHAnsi"/>
          <w:lang w:eastAsia="en-US"/>
        </w:rPr>
        <w:t xml:space="preserve">Xu, X, Ye, X, Liu, G &amp; Zhang, T 2015, 'Targeted percutaneous microwave ablation at the pulmonary lesion combined with mediastinal radiotherapy with or without concurrent chemotherapy in locally advanced non-small cell lung cancer evaluation in a randomized comparison study', </w:t>
      </w:r>
      <w:r w:rsidRPr="00E2013B">
        <w:rPr>
          <w:rFonts w:eastAsiaTheme="minorHAnsi"/>
          <w:i/>
          <w:lang w:eastAsia="en-US"/>
        </w:rPr>
        <w:t>Medical Oncology</w:t>
      </w:r>
      <w:r w:rsidRPr="00E2013B">
        <w:rPr>
          <w:rFonts w:eastAsiaTheme="minorHAnsi"/>
          <w:lang w:eastAsia="en-US"/>
        </w:rPr>
        <w:t xml:space="preserve">, vol.32 (9) (no pagination)(227), </w:t>
      </w:r>
      <w:r w:rsidR="00602520" w:rsidRPr="00602520">
        <w:rPr>
          <w:rFonts w:eastAsiaTheme="minorHAnsi"/>
          <w:lang w:eastAsia="en-US"/>
        </w:rPr>
        <w:t>Epub 2015 Aug 5</w:t>
      </w:r>
      <w:r w:rsidRPr="00E2013B">
        <w:rPr>
          <w:rFonts w:eastAsiaTheme="minorHAnsi"/>
          <w:lang w:eastAsia="en-US"/>
        </w:rPr>
        <w:t xml:space="preserve">. </w:t>
      </w:r>
    </w:p>
    <w:p w14:paraId="055FE75C" w14:textId="77777777" w:rsidR="00B4290F" w:rsidRPr="003F69BC" w:rsidRDefault="00B4290F" w:rsidP="00B4290F">
      <w:pPr>
        <w:rPr>
          <w:rFonts w:eastAsiaTheme="minorHAnsi"/>
          <w:b/>
          <w:lang w:eastAsia="en-US"/>
        </w:rPr>
      </w:pPr>
      <w:r w:rsidRPr="003F69BC">
        <w:rPr>
          <w:rFonts w:eastAsiaTheme="minorHAnsi"/>
          <w:b/>
          <w:lang w:eastAsia="en-US"/>
        </w:rPr>
        <w:t>Studies of RFA excluded at full text review</w:t>
      </w:r>
    </w:p>
    <w:p w14:paraId="4B3B5BE9" w14:textId="77777777" w:rsidR="00B4290F" w:rsidRPr="003F69BC" w:rsidRDefault="00B4290F" w:rsidP="00B4290F">
      <w:pPr>
        <w:rPr>
          <w:rFonts w:eastAsiaTheme="minorHAnsi"/>
          <w:b/>
          <w:lang w:eastAsia="en-US"/>
        </w:rPr>
      </w:pPr>
      <w:r w:rsidRPr="003F69BC">
        <w:rPr>
          <w:rFonts w:eastAsiaTheme="minorHAnsi"/>
          <w:b/>
          <w:lang w:eastAsia="en-US"/>
        </w:rPr>
        <w:t>Duplicate publication (</w:t>
      </w:r>
      <w:r>
        <w:rPr>
          <w:rFonts w:eastAsiaTheme="minorHAnsi"/>
          <w:b/>
          <w:lang w:eastAsia="en-US"/>
        </w:rPr>
        <w:t xml:space="preserve">n = </w:t>
      </w:r>
      <w:r w:rsidRPr="003F69BC">
        <w:rPr>
          <w:rFonts w:eastAsiaTheme="minorHAnsi"/>
          <w:b/>
          <w:lang w:eastAsia="en-US"/>
        </w:rPr>
        <w:t>6)</w:t>
      </w:r>
    </w:p>
    <w:p w14:paraId="3F41C8EB" w14:textId="77777777" w:rsidR="00B4290F" w:rsidRPr="00E2013B" w:rsidRDefault="00B4290F" w:rsidP="00B4290F">
      <w:pPr>
        <w:rPr>
          <w:rFonts w:eastAsiaTheme="minorHAnsi"/>
          <w:lang w:eastAsia="en-US"/>
        </w:rPr>
      </w:pPr>
      <w:r w:rsidRPr="00E2013B">
        <w:rPr>
          <w:rFonts w:eastAsiaTheme="minorHAnsi"/>
          <w:lang w:eastAsia="en-US"/>
        </w:rPr>
        <w:t xml:space="preserve">Ambrogi, MC, Fanucchi, O, Dini, P, Melfi, F, Davini, F, Lucchi, M, Massimetti, G &amp; Mussi, A 2015, 'Wedge resection and radiofrequency ablation for stage I nonsmall cell lung cancer', </w:t>
      </w:r>
      <w:r w:rsidRPr="00E2013B">
        <w:rPr>
          <w:rFonts w:eastAsiaTheme="minorHAnsi"/>
          <w:i/>
          <w:lang w:eastAsia="en-US"/>
        </w:rPr>
        <w:t>European Respiratory Journal</w:t>
      </w:r>
      <w:r w:rsidRPr="00E2013B">
        <w:rPr>
          <w:rFonts w:eastAsiaTheme="minorHAnsi"/>
          <w:lang w:eastAsia="en-US"/>
        </w:rPr>
        <w:t xml:space="preserve">, </w:t>
      </w:r>
      <w:proofErr w:type="gramStart"/>
      <w:r w:rsidRPr="00E2013B">
        <w:rPr>
          <w:rFonts w:eastAsiaTheme="minorHAnsi"/>
          <w:lang w:eastAsia="en-US"/>
        </w:rPr>
        <w:t>vol.45(</w:t>
      </w:r>
      <w:proofErr w:type="gramEnd"/>
      <w:r w:rsidRPr="00E2013B">
        <w:rPr>
          <w:rFonts w:eastAsiaTheme="minorHAnsi"/>
          <w:lang w:eastAsia="en-US"/>
        </w:rPr>
        <w:t>4), pp. 1089-97.</w:t>
      </w:r>
    </w:p>
    <w:p w14:paraId="59C5BFF4" w14:textId="77777777" w:rsidR="00B4290F" w:rsidRPr="00E2013B" w:rsidRDefault="00B4290F" w:rsidP="00B4290F">
      <w:pPr>
        <w:rPr>
          <w:rFonts w:eastAsiaTheme="minorHAnsi"/>
          <w:lang w:eastAsia="en-US"/>
        </w:rPr>
      </w:pPr>
      <w:r w:rsidRPr="00E2013B">
        <w:rPr>
          <w:rFonts w:eastAsiaTheme="minorHAnsi"/>
          <w:lang w:eastAsia="en-US"/>
        </w:rPr>
        <w:t xml:space="preserve">Hiraki, T, Gobara, H, Iishi, T, Sano, Y, Iguchi, T, Fujiwara, H, Tajiri, N, Sakurai, J, Date, H, Mimura, H &amp; Kanazawa, S 2007a, 'Percutaneous radiofrequency ablation for clinical stage I non-small cell lung cancer: Results in 20 nonsurgical candidates', </w:t>
      </w:r>
      <w:r w:rsidRPr="00E2013B">
        <w:rPr>
          <w:rFonts w:eastAsiaTheme="minorHAnsi"/>
          <w:i/>
          <w:lang w:eastAsia="en-US"/>
        </w:rPr>
        <w:t>Journal of thoracic and cardiovascular surgery</w:t>
      </w:r>
      <w:r w:rsidRPr="00E2013B">
        <w:rPr>
          <w:rFonts w:eastAsiaTheme="minorHAnsi"/>
          <w:lang w:eastAsia="en-US"/>
        </w:rPr>
        <w:t>, vol.134(5), pp. 1306-12.</w:t>
      </w:r>
    </w:p>
    <w:p w14:paraId="1261D2A7" w14:textId="77777777" w:rsidR="00B4290F" w:rsidRPr="00E2013B" w:rsidRDefault="00B4290F" w:rsidP="00B4290F">
      <w:pPr>
        <w:rPr>
          <w:rFonts w:eastAsiaTheme="minorHAnsi"/>
          <w:lang w:eastAsia="en-US"/>
        </w:rPr>
      </w:pPr>
      <w:r w:rsidRPr="00E2013B">
        <w:rPr>
          <w:rFonts w:eastAsiaTheme="minorHAnsi"/>
          <w:lang w:eastAsia="en-US"/>
        </w:rPr>
        <w:t xml:space="preserve">Hiraki, T, Gobara, H, Iishi, T, Sano, Y, Iguchi, T, Fujiwara, H, Tajiri, N, Sakurai, J, Date, H, Mimura, H &amp; Kanazawa, S 2007b, 'Percutaneous Radiofrequency Ablation for Pulmonary Metastases from Colorectal Cancer: Midterm Results in 27 Patients', </w:t>
      </w:r>
      <w:r w:rsidRPr="00E2013B">
        <w:rPr>
          <w:rFonts w:eastAsiaTheme="minorHAnsi"/>
          <w:i/>
          <w:lang w:eastAsia="en-US"/>
        </w:rPr>
        <w:t>Journal of Vascular and Interventional Radiology</w:t>
      </w:r>
      <w:r w:rsidRPr="00E2013B">
        <w:rPr>
          <w:rFonts w:eastAsiaTheme="minorHAnsi"/>
          <w:lang w:eastAsia="en-US"/>
        </w:rPr>
        <w:t>, vol.18(10), pp. 1264-69.</w:t>
      </w:r>
    </w:p>
    <w:p w14:paraId="4DDB106E" w14:textId="77777777" w:rsidR="00B4290F" w:rsidRPr="00E2013B" w:rsidRDefault="00B4290F" w:rsidP="00B4290F">
      <w:pPr>
        <w:rPr>
          <w:rFonts w:eastAsiaTheme="minorHAnsi"/>
          <w:lang w:eastAsia="en-US"/>
        </w:rPr>
      </w:pPr>
      <w:r w:rsidRPr="00E2013B">
        <w:rPr>
          <w:rFonts w:eastAsiaTheme="minorHAnsi"/>
          <w:lang w:eastAsia="en-US"/>
        </w:rPr>
        <w:t>Lanuti, M, Sharma, A, Digumarthy, SR, Wright, CD, Donahue, DM, Wain, JC, Mathisen, DJ &amp; Shepard, JAO 2009, 'Radiofrequency ablation for treatment of medically inoperable stage I non-small cell lung cancer'</w:t>
      </w:r>
      <w:r w:rsidRPr="00E2013B">
        <w:rPr>
          <w:rFonts w:eastAsiaTheme="minorHAnsi"/>
          <w:i/>
          <w:lang w:eastAsia="en-US"/>
        </w:rPr>
        <w:t>, Journal of thoracic and cardiovascular surgery</w:t>
      </w:r>
      <w:r w:rsidRPr="00E2013B">
        <w:rPr>
          <w:rFonts w:eastAsiaTheme="minorHAnsi"/>
          <w:lang w:eastAsia="en-US"/>
        </w:rPr>
        <w:t>, vol.137(1), pp. 160-66.</w:t>
      </w:r>
    </w:p>
    <w:p w14:paraId="68123BE7"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Yan, TD, King, J, Ebrahimi, A, Sjarif, A, Glenn, D, Steinke, K &amp; Morris, DL 2007, 'Hepatectomy and lung radiofrequency ablation for hepatic and subsequent pulmonary metastases from colorectal carcinoma', </w:t>
      </w:r>
      <w:r w:rsidRPr="00E2013B">
        <w:rPr>
          <w:rFonts w:eastAsiaTheme="minorHAnsi"/>
          <w:i/>
          <w:lang w:eastAsia="en-US"/>
        </w:rPr>
        <w:t>Journal of surgical oncology</w:t>
      </w:r>
      <w:r w:rsidRPr="00E2013B">
        <w:rPr>
          <w:rFonts w:eastAsiaTheme="minorHAnsi"/>
          <w:lang w:eastAsia="en-US"/>
        </w:rPr>
        <w:t xml:space="preserve">, </w:t>
      </w:r>
      <w:proofErr w:type="gramStart"/>
      <w:r w:rsidRPr="00E2013B">
        <w:rPr>
          <w:rFonts w:eastAsiaTheme="minorHAnsi"/>
          <w:lang w:eastAsia="en-US"/>
        </w:rPr>
        <w:t>vol.96(</w:t>
      </w:r>
      <w:proofErr w:type="gramEnd"/>
      <w:r w:rsidRPr="00E2013B">
        <w:rPr>
          <w:rFonts w:eastAsiaTheme="minorHAnsi"/>
          <w:lang w:eastAsia="en-US"/>
        </w:rPr>
        <w:t>5), pp. 367-73.</w:t>
      </w:r>
    </w:p>
    <w:p w14:paraId="1E90F4FF" w14:textId="77777777" w:rsidR="00B4290F" w:rsidRPr="00E2013B" w:rsidRDefault="00B4290F" w:rsidP="00B4290F">
      <w:pPr>
        <w:rPr>
          <w:rFonts w:eastAsiaTheme="minorHAnsi"/>
          <w:lang w:eastAsia="en-US"/>
        </w:rPr>
      </w:pPr>
      <w:r w:rsidRPr="00E2013B">
        <w:rPr>
          <w:rFonts w:eastAsiaTheme="minorHAnsi"/>
          <w:lang w:eastAsia="en-US"/>
        </w:rPr>
        <w:t xml:space="preserve">Yan, TD, King, J, Sjarif, A, Glenn, D, Steinke, K &amp; Morris, DL 2006, 'Learning curve for percutaneous radiofrequency ablation of pulmonary metastases from colorectal carcinoma: A prospective study of 70 consecutive cases', </w:t>
      </w:r>
      <w:r w:rsidRPr="00E2013B">
        <w:rPr>
          <w:rFonts w:eastAsiaTheme="minorHAnsi"/>
          <w:i/>
          <w:lang w:eastAsia="en-US"/>
        </w:rPr>
        <w:t>Annals of Surgical Oncology</w:t>
      </w:r>
      <w:r w:rsidRPr="00E2013B">
        <w:rPr>
          <w:rFonts w:eastAsiaTheme="minorHAnsi"/>
          <w:lang w:eastAsia="en-US"/>
        </w:rPr>
        <w:t xml:space="preserve">, </w:t>
      </w:r>
      <w:proofErr w:type="gramStart"/>
      <w:r w:rsidRPr="00E2013B">
        <w:rPr>
          <w:rFonts w:eastAsiaTheme="minorHAnsi"/>
          <w:lang w:eastAsia="en-US"/>
        </w:rPr>
        <w:t>vol.13(</w:t>
      </w:r>
      <w:proofErr w:type="gramEnd"/>
      <w:r w:rsidRPr="00E2013B">
        <w:rPr>
          <w:rFonts w:eastAsiaTheme="minorHAnsi"/>
          <w:lang w:eastAsia="en-US"/>
        </w:rPr>
        <w:t>12), pp. 1588-95.</w:t>
      </w:r>
    </w:p>
    <w:p w14:paraId="3A139994" w14:textId="77777777" w:rsidR="00B4290F" w:rsidRPr="003F69BC" w:rsidRDefault="00B4290F" w:rsidP="00B4290F">
      <w:pPr>
        <w:rPr>
          <w:rFonts w:eastAsiaTheme="minorHAnsi"/>
          <w:b/>
          <w:lang w:eastAsia="en-US"/>
        </w:rPr>
      </w:pPr>
      <w:r w:rsidRPr="003F69BC">
        <w:rPr>
          <w:rFonts w:eastAsiaTheme="minorHAnsi"/>
          <w:b/>
          <w:lang w:eastAsia="en-US"/>
        </w:rPr>
        <w:t>Full text unavailable (</w:t>
      </w:r>
      <w:r>
        <w:rPr>
          <w:rFonts w:eastAsiaTheme="minorHAnsi"/>
          <w:b/>
          <w:lang w:eastAsia="en-US"/>
        </w:rPr>
        <w:t xml:space="preserve">n = </w:t>
      </w:r>
      <w:r w:rsidRPr="003F69BC">
        <w:rPr>
          <w:rFonts w:eastAsiaTheme="minorHAnsi"/>
          <w:b/>
          <w:lang w:eastAsia="en-US"/>
        </w:rPr>
        <w:t>1)</w:t>
      </w:r>
    </w:p>
    <w:p w14:paraId="1CF78C6C" w14:textId="700B0E96" w:rsidR="00B4290F" w:rsidRPr="00E2013B" w:rsidRDefault="00602520" w:rsidP="00B4290F">
      <w:pPr>
        <w:rPr>
          <w:rFonts w:eastAsiaTheme="minorHAnsi"/>
          <w:lang w:eastAsia="en-US"/>
        </w:rPr>
      </w:pPr>
      <w:proofErr w:type="gramStart"/>
      <w:r w:rsidRPr="00602520">
        <w:rPr>
          <w:rFonts w:eastAsiaTheme="minorHAnsi"/>
          <w:lang w:eastAsia="en-US"/>
        </w:rPr>
        <w:t>Radiofrequency ablation (RFA) of malignant pulmonary tumors in nonsurgical candidates.</w:t>
      </w:r>
      <w:proofErr w:type="gramEnd"/>
      <w:r w:rsidRPr="00602520">
        <w:rPr>
          <w:rFonts w:eastAsiaTheme="minorHAnsi"/>
          <w:lang w:eastAsia="en-US"/>
        </w:rPr>
        <w:t xml:space="preserve"> Lansdale: HAYES, Inc. Healthcare Technology Brief Publication. 2008</w:t>
      </w:r>
      <w:r w:rsidR="00B4290F" w:rsidRPr="00E2013B">
        <w:rPr>
          <w:rFonts w:eastAsiaTheme="minorHAnsi"/>
          <w:lang w:eastAsia="en-US"/>
        </w:rPr>
        <w:t>.</w:t>
      </w:r>
    </w:p>
    <w:p w14:paraId="5FD2D3EA" w14:textId="77777777" w:rsidR="00B4290F" w:rsidRPr="003F69BC" w:rsidRDefault="00B4290F" w:rsidP="00B4290F">
      <w:pPr>
        <w:rPr>
          <w:rFonts w:eastAsiaTheme="minorHAnsi"/>
          <w:b/>
          <w:lang w:eastAsia="en-US"/>
        </w:rPr>
      </w:pPr>
      <w:r w:rsidRPr="003F69BC">
        <w:rPr>
          <w:rFonts w:eastAsiaTheme="minorHAnsi"/>
          <w:b/>
          <w:lang w:eastAsia="en-US"/>
        </w:rPr>
        <w:t>Inappropriate study design (</w:t>
      </w:r>
      <w:r>
        <w:rPr>
          <w:rFonts w:eastAsiaTheme="minorHAnsi"/>
          <w:b/>
          <w:lang w:eastAsia="en-US"/>
        </w:rPr>
        <w:t xml:space="preserve">n = </w:t>
      </w:r>
      <w:r w:rsidRPr="003F69BC">
        <w:rPr>
          <w:rFonts w:eastAsiaTheme="minorHAnsi"/>
          <w:b/>
          <w:lang w:eastAsia="en-US"/>
        </w:rPr>
        <w:t>48)</w:t>
      </w:r>
    </w:p>
    <w:p w14:paraId="36189931" w14:textId="77777777" w:rsidR="00B4290F" w:rsidRPr="00F970FF" w:rsidRDefault="00B4290F" w:rsidP="00B4290F">
      <w:pPr>
        <w:rPr>
          <w:rFonts w:eastAsiaTheme="minorHAnsi"/>
          <w:lang w:eastAsia="en-US"/>
        </w:rPr>
      </w:pPr>
      <w:r w:rsidRPr="00E2013B">
        <w:rPr>
          <w:rFonts w:eastAsiaTheme="minorHAnsi"/>
          <w:lang w:eastAsia="en-US"/>
        </w:rPr>
        <w:t xml:space="preserve">Ambrogi, MC, Fontanini, G, Cioni, </w:t>
      </w:r>
      <w:r w:rsidRPr="00F970FF">
        <w:rPr>
          <w:rFonts w:eastAsiaTheme="minorHAnsi"/>
          <w:lang w:eastAsia="en-US"/>
        </w:rPr>
        <w:t xml:space="preserve">R, Faviana, P, Fanucchi, O &amp; Mussi, A 2006, 'Biologic effects of radiofrequency thermal ablation on non-small cell lung cancer: Results of a pilot study', </w:t>
      </w:r>
      <w:r w:rsidRPr="00F970FF">
        <w:rPr>
          <w:rFonts w:eastAsiaTheme="minorHAnsi"/>
          <w:i/>
          <w:lang w:eastAsia="en-US"/>
        </w:rPr>
        <w:t>Journal of thoracic and cardiovascular surgery</w:t>
      </w:r>
      <w:r w:rsidRPr="00F970FF">
        <w:rPr>
          <w:rFonts w:eastAsiaTheme="minorHAnsi"/>
          <w:lang w:eastAsia="en-US"/>
        </w:rPr>
        <w:t xml:space="preserve">, </w:t>
      </w:r>
      <w:proofErr w:type="gramStart"/>
      <w:r w:rsidRPr="00F970FF">
        <w:rPr>
          <w:rFonts w:eastAsiaTheme="minorHAnsi"/>
          <w:lang w:eastAsia="en-US"/>
        </w:rPr>
        <w:t>vol.131(</w:t>
      </w:r>
      <w:proofErr w:type="gramEnd"/>
      <w:r w:rsidRPr="00F970FF">
        <w:rPr>
          <w:rFonts w:eastAsiaTheme="minorHAnsi"/>
          <w:lang w:eastAsia="en-US"/>
        </w:rPr>
        <w:t>5), pp. 1002-06.</w:t>
      </w:r>
    </w:p>
    <w:p w14:paraId="68B9B6D4" w14:textId="77777777" w:rsidR="00B4290F" w:rsidRDefault="00B4290F" w:rsidP="00B4290F">
      <w:pPr>
        <w:rPr>
          <w:rFonts w:eastAsiaTheme="minorHAnsi"/>
          <w:lang w:eastAsia="en-US"/>
        </w:rPr>
      </w:pPr>
      <w:r w:rsidRPr="00F970FF">
        <w:rPr>
          <w:rFonts w:eastAsiaTheme="minorHAnsi"/>
          <w:lang w:eastAsia="en-US"/>
        </w:rPr>
        <w:t xml:space="preserve">Baba, Y, Watanabe, M, Kawanaka, K, Iwagami, S, Ishimoto, T, Iwatsuki, M, Yoshida, N, Yamashita, Y &amp; Baba, H 2014a, 'Radiofrequency ablation for pulmonary metastases from esophageal squamous cell carcinoma', </w:t>
      </w:r>
      <w:r w:rsidRPr="00F970FF">
        <w:rPr>
          <w:rFonts w:eastAsiaTheme="minorHAnsi"/>
          <w:i/>
          <w:lang w:eastAsia="en-US"/>
        </w:rPr>
        <w:t>Diseases of the Esophagus</w:t>
      </w:r>
      <w:r>
        <w:rPr>
          <w:rFonts w:eastAsiaTheme="minorHAnsi"/>
          <w:lang w:eastAsia="en-US"/>
        </w:rPr>
        <w:t>, vol.27(1), pp. 36-41.</w:t>
      </w:r>
    </w:p>
    <w:p w14:paraId="37A7CE8A" w14:textId="77777777" w:rsidR="00B4290F" w:rsidRPr="00F970FF" w:rsidRDefault="00B4290F" w:rsidP="00B4290F">
      <w:pPr>
        <w:rPr>
          <w:rFonts w:eastAsiaTheme="minorHAnsi"/>
          <w:lang w:eastAsia="en-US"/>
        </w:rPr>
      </w:pPr>
      <w:r w:rsidRPr="00F970FF">
        <w:rPr>
          <w:rFonts w:eastAsiaTheme="minorHAnsi"/>
          <w:lang w:eastAsia="en-US"/>
        </w:rPr>
        <w:t xml:space="preserve">Baba, Y, Watanabe, M, Yoshida, N, Kawanaka, K, Yamashita, Y &amp; Baba, H 2014b, 'Radiofrequency ablation for pulmonary metastases from gastrointestinal cancers', </w:t>
      </w:r>
      <w:r w:rsidRPr="00F970FF">
        <w:rPr>
          <w:rFonts w:eastAsiaTheme="minorHAnsi"/>
          <w:i/>
          <w:lang w:eastAsia="en-US"/>
        </w:rPr>
        <w:t>Annals of thoracic and cardiovascular surgery : official journal of the Association of Thoracic and Cardiovascular Surgeons of Asia</w:t>
      </w:r>
      <w:r w:rsidRPr="00F970FF">
        <w:rPr>
          <w:rFonts w:eastAsiaTheme="minorHAnsi"/>
          <w:lang w:eastAsia="en-US"/>
        </w:rPr>
        <w:t>, vol.20(2), pp. 99-105.</w:t>
      </w:r>
    </w:p>
    <w:p w14:paraId="3BAB50B6" w14:textId="77777777" w:rsidR="00B4290F" w:rsidRPr="00F970FF" w:rsidRDefault="00B4290F" w:rsidP="00B4290F">
      <w:pPr>
        <w:rPr>
          <w:rFonts w:eastAsiaTheme="minorHAnsi"/>
          <w:lang w:eastAsia="en-US"/>
        </w:rPr>
      </w:pPr>
      <w:r w:rsidRPr="00F970FF">
        <w:rPr>
          <w:rFonts w:eastAsiaTheme="minorHAnsi"/>
          <w:lang w:eastAsia="en-US"/>
        </w:rPr>
        <w:t>Bilal, H, Mahmood, S, Rajashanker, B &amp; Shah, R 2012, 'Is radiofrequency ablation more effective than stereotactic ablative radiotherapy in patients with early stage medically inoperable non-small cell lung cancer?</w:t>
      </w:r>
      <w:proofErr w:type="gramStart"/>
      <w:r w:rsidRPr="00F970FF">
        <w:rPr>
          <w:rFonts w:eastAsiaTheme="minorHAnsi"/>
          <w:lang w:eastAsia="en-US"/>
        </w:rPr>
        <w:t>',</w:t>
      </w:r>
      <w:proofErr w:type="gramEnd"/>
      <w:r w:rsidRPr="00F970FF">
        <w:rPr>
          <w:rFonts w:eastAsiaTheme="minorHAnsi"/>
          <w:lang w:eastAsia="en-US"/>
        </w:rPr>
        <w:t xml:space="preserve"> </w:t>
      </w:r>
      <w:r w:rsidRPr="00F970FF">
        <w:rPr>
          <w:rFonts w:eastAsiaTheme="minorHAnsi"/>
          <w:i/>
          <w:lang w:eastAsia="en-US"/>
        </w:rPr>
        <w:t>Interactive Cardiovascular and Thoracic Surgery</w:t>
      </w:r>
      <w:r w:rsidRPr="00F970FF">
        <w:rPr>
          <w:rFonts w:eastAsiaTheme="minorHAnsi"/>
          <w:lang w:eastAsia="en-US"/>
        </w:rPr>
        <w:t>, vol.15(2), pp. 258-65.</w:t>
      </w:r>
    </w:p>
    <w:p w14:paraId="36442205" w14:textId="77777777" w:rsidR="00B4290F" w:rsidRPr="00E2013B" w:rsidRDefault="00B4290F" w:rsidP="00B4290F">
      <w:pPr>
        <w:rPr>
          <w:rFonts w:eastAsiaTheme="minorHAnsi"/>
          <w:lang w:eastAsia="en-US"/>
        </w:rPr>
      </w:pPr>
      <w:r w:rsidRPr="00F970FF">
        <w:rPr>
          <w:rFonts w:eastAsiaTheme="minorHAnsi"/>
          <w:lang w:eastAsia="en-US"/>
        </w:rPr>
        <w:t>Brunelli, A, Charloux, A, Bolliger, CT, Rocco, G, Sculier, JP, Varela, G, Licker, M, Ferguson, MK, Faivre-Finn, C, Huber, RM, Clini, EM, Win, T, De Ruysscher</w:t>
      </w:r>
      <w:r w:rsidRPr="00E2013B">
        <w:rPr>
          <w:rFonts w:eastAsiaTheme="minorHAnsi"/>
          <w:lang w:eastAsia="en-US"/>
        </w:rPr>
        <w:t xml:space="preserve">, D &amp; Goldman, L 2009, 'ERS/ESTS clinical guidelines on fitness for radical therapy in lung cancer patients (surgery and chemo-radiotherapy)', </w:t>
      </w:r>
      <w:r w:rsidRPr="00E2013B">
        <w:rPr>
          <w:rFonts w:eastAsiaTheme="minorHAnsi"/>
          <w:i/>
          <w:lang w:eastAsia="en-US"/>
        </w:rPr>
        <w:t>European Respiratory Journal</w:t>
      </w:r>
      <w:r w:rsidRPr="00E2013B">
        <w:rPr>
          <w:rFonts w:eastAsiaTheme="minorHAnsi"/>
          <w:lang w:eastAsia="en-US"/>
        </w:rPr>
        <w:t>, vol.34(1), pp. 17-41.</w:t>
      </w:r>
    </w:p>
    <w:p w14:paraId="6ED9F3BA" w14:textId="77777777" w:rsidR="00B4290F" w:rsidRPr="00E2013B" w:rsidRDefault="00B4290F" w:rsidP="00B4290F">
      <w:pPr>
        <w:rPr>
          <w:rFonts w:eastAsiaTheme="minorHAnsi"/>
          <w:lang w:eastAsia="en-US"/>
        </w:rPr>
      </w:pPr>
      <w:r w:rsidRPr="00E2013B">
        <w:rPr>
          <w:rFonts w:eastAsiaTheme="minorHAnsi"/>
          <w:lang w:eastAsia="en-US"/>
        </w:rPr>
        <w:t xml:space="preserve">Cackler, S &amp; Abbas, G 2009, 'RFA is an effective alternative to lobectomy for lung cancer', </w:t>
      </w:r>
      <w:proofErr w:type="gramStart"/>
      <w:r w:rsidRPr="00E2013B">
        <w:rPr>
          <w:rFonts w:eastAsiaTheme="minorHAnsi"/>
          <w:i/>
          <w:lang w:eastAsia="en-US"/>
        </w:rPr>
        <w:t>JAAPA :</w:t>
      </w:r>
      <w:proofErr w:type="gramEnd"/>
      <w:r w:rsidRPr="00E2013B">
        <w:rPr>
          <w:rFonts w:eastAsiaTheme="minorHAnsi"/>
          <w:i/>
          <w:lang w:eastAsia="en-US"/>
        </w:rPr>
        <w:t xml:space="preserve"> official journal of the American Academy of Physician Assistants</w:t>
      </w:r>
      <w:r w:rsidRPr="00E2013B">
        <w:rPr>
          <w:rFonts w:eastAsiaTheme="minorHAnsi"/>
          <w:lang w:eastAsia="en-US"/>
        </w:rPr>
        <w:t>, vol.22(1), pp. 25-28.</w:t>
      </w:r>
    </w:p>
    <w:p w14:paraId="3A682593"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Clasen, S, Kettenbach, J, Kosan, B, Aebert, H, Schernthaner, M, Krober, SM, Bomches, A, Claussen, CD &amp; Pereira, PL 2009, 'Delayed development of pneumothorax after pulmonary radiofrequency ablation', </w:t>
      </w:r>
      <w:r w:rsidRPr="00E2013B">
        <w:rPr>
          <w:rFonts w:eastAsiaTheme="minorHAnsi"/>
          <w:i/>
          <w:lang w:eastAsia="en-US"/>
        </w:rPr>
        <w:t>Cardiovascular and interventional radiology</w:t>
      </w:r>
      <w:r w:rsidRPr="00E2013B">
        <w:rPr>
          <w:rFonts w:eastAsiaTheme="minorHAnsi"/>
          <w:lang w:eastAsia="en-US"/>
        </w:rPr>
        <w:t xml:space="preserve">, </w:t>
      </w:r>
      <w:proofErr w:type="gramStart"/>
      <w:r w:rsidRPr="00E2013B">
        <w:rPr>
          <w:rFonts w:eastAsiaTheme="minorHAnsi"/>
          <w:lang w:eastAsia="en-US"/>
        </w:rPr>
        <w:t>vol.32(</w:t>
      </w:r>
      <w:proofErr w:type="gramEnd"/>
      <w:r w:rsidRPr="00E2013B">
        <w:rPr>
          <w:rFonts w:eastAsiaTheme="minorHAnsi"/>
          <w:lang w:eastAsia="en-US"/>
        </w:rPr>
        <w:t>3), pp. 484-90.</w:t>
      </w:r>
    </w:p>
    <w:p w14:paraId="48764DBF" w14:textId="77777777" w:rsidR="00B4290F" w:rsidRPr="00E2013B" w:rsidRDefault="00B4290F" w:rsidP="00B4290F">
      <w:pPr>
        <w:rPr>
          <w:rFonts w:eastAsiaTheme="minorHAnsi"/>
          <w:lang w:eastAsia="en-US"/>
        </w:rPr>
      </w:pPr>
      <w:r w:rsidRPr="00E2013B">
        <w:rPr>
          <w:rFonts w:eastAsiaTheme="minorHAnsi"/>
          <w:lang w:eastAsia="en-US"/>
        </w:rPr>
        <w:t xml:space="preserve">Crabtree, T, Puri, V, Timmerman, R, Fernando, H, Bradley, J, Decker, PA, Paulus, R, Putnum Jr, JB, Dupuy, DE &amp; Meyers, B 2013, 'Treatment of stage i lung cancer in high-risk and inoperable patients: Comparison of prospective clinical trials using stereotactic body radiotherapy (RTOG 0236), sublobar resection (ACOSOG Z4032), and radiofrequency ablation (ACOSOG Z4033)', </w:t>
      </w:r>
      <w:r w:rsidRPr="00E2013B">
        <w:rPr>
          <w:rFonts w:eastAsiaTheme="minorHAnsi"/>
          <w:i/>
          <w:lang w:eastAsia="en-US"/>
        </w:rPr>
        <w:t>Journal of thoracic and cardiovascular surgery</w:t>
      </w:r>
      <w:r w:rsidRPr="00E2013B">
        <w:rPr>
          <w:rFonts w:eastAsiaTheme="minorHAnsi"/>
          <w:lang w:eastAsia="en-US"/>
        </w:rPr>
        <w:t>, vol.145(3), pp. 692-99.</w:t>
      </w:r>
    </w:p>
    <w:p w14:paraId="7D916DF4" w14:textId="77777777" w:rsidR="00B4290F" w:rsidRPr="00E2013B" w:rsidRDefault="00B4290F" w:rsidP="00B4290F">
      <w:pPr>
        <w:rPr>
          <w:rFonts w:eastAsiaTheme="minorHAnsi"/>
          <w:lang w:eastAsia="en-US"/>
        </w:rPr>
      </w:pPr>
      <w:r w:rsidRPr="00E2013B">
        <w:rPr>
          <w:rFonts w:eastAsiaTheme="minorHAnsi"/>
          <w:lang w:eastAsia="en-US"/>
        </w:rPr>
        <w:t xml:space="preserve">Crocetti, L &amp; Lencioni, R 2010, 'Radiofrequency ablation of pulmonary tumors', </w:t>
      </w:r>
      <w:r w:rsidRPr="00E2013B">
        <w:rPr>
          <w:rFonts w:eastAsiaTheme="minorHAnsi"/>
          <w:i/>
          <w:lang w:eastAsia="en-US"/>
        </w:rPr>
        <w:t>European journal of radiology</w:t>
      </w:r>
      <w:r w:rsidRPr="00E2013B">
        <w:rPr>
          <w:rFonts w:eastAsiaTheme="minorHAnsi"/>
          <w:lang w:eastAsia="en-US"/>
        </w:rPr>
        <w:t xml:space="preserve">, </w:t>
      </w:r>
      <w:proofErr w:type="gramStart"/>
      <w:r w:rsidRPr="00E2013B">
        <w:rPr>
          <w:rFonts w:eastAsiaTheme="minorHAnsi"/>
          <w:lang w:eastAsia="en-US"/>
        </w:rPr>
        <w:t>vol.75(</w:t>
      </w:r>
      <w:proofErr w:type="gramEnd"/>
      <w:r w:rsidRPr="00E2013B">
        <w:rPr>
          <w:rFonts w:eastAsiaTheme="minorHAnsi"/>
          <w:lang w:eastAsia="en-US"/>
        </w:rPr>
        <w:t>1), pp. 23-27.</w:t>
      </w:r>
    </w:p>
    <w:p w14:paraId="4F34141D" w14:textId="77777777" w:rsidR="00B4290F" w:rsidRPr="00E2013B" w:rsidRDefault="00B4290F" w:rsidP="00B4290F">
      <w:pPr>
        <w:rPr>
          <w:rFonts w:eastAsiaTheme="minorHAnsi"/>
          <w:lang w:eastAsia="en-US"/>
        </w:rPr>
      </w:pPr>
      <w:proofErr w:type="gramStart"/>
      <w:r w:rsidRPr="00E2013B">
        <w:rPr>
          <w:rFonts w:eastAsiaTheme="minorHAnsi"/>
          <w:lang w:eastAsia="en-US"/>
        </w:rPr>
        <w:t>de</w:t>
      </w:r>
      <w:proofErr w:type="gramEnd"/>
      <w:r w:rsidRPr="00E2013B">
        <w:rPr>
          <w:rFonts w:eastAsiaTheme="minorHAnsi"/>
          <w:lang w:eastAsia="en-US"/>
        </w:rPr>
        <w:t xml:space="preserve"> Baere, T, Farouil, G &amp; Deschamps, F 2013, 'Lung cancer ablation: what is the evidence?', </w:t>
      </w:r>
      <w:r w:rsidRPr="00E2013B">
        <w:rPr>
          <w:rFonts w:eastAsiaTheme="minorHAnsi"/>
          <w:i/>
          <w:lang w:eastAsia="en-US"/>
        </w:rPr>
        <w:t>Semin Intervent Radiol</w:t>
      </w:r>
      <w:r w:rsidRPr="00E2013B">
        <w:rPr>
          <w:rFonts w:eastAsiaTheme="minorHAnsi"/>
          <w:lang w:eastAsia="en-US"/>
        </w:rPr>
        <w:t>, vol.30(2), pp. 151-6.</w:t>
      </w:r>
    </w:p>
    <w:p w14:paraId="1BF47AB9" w14:textId="77777777" w:rsidR="00B4290F" w:rsidRPr="00E2013B" w:rsidRDefault="00B4290F" w:rsidP="00B4290F">
      <w:pPr>
        <w:rPr>
          <w:rFonts w:eastAsiaTheme="minorHAnsi"/>
          <w:lang w:eastAsia="en-US"/>
        </w:rPr>
      </w:pPr>
      <w:r w:rsidRPr="00E2013B">
        <w:rPr>
          <w:rFonts w:eastAsiaTheme="minorHAnsi"/>
          <w:lang w:eastAsia="en-US"/>
        </w:rPr>
        <w:t xml:space="preserve">Dequanter, D &amp; Lothaire, P 2009, 'Tumour characteristics and therapeutic results after percutaneous radiofrequency ablation of secondary lung neoplasms', </w:t>
      </w:r>
      <w:r w:rsidRPr="00E2013B">
        <w:rPr>
          <w:rFonts w:eastAsiaTheme="minorHAnsi"/>
          <w:i/>
          <w:lang w:eastAsia="en-US"/>
        </w:rPr>
        <w:t>Clinical &amp; translational oncology : official publication of the Federation of Spanish Oncology Societies and of the National Cancer Institute of Mexico</w:t>
      </w:r>
      <w:r w:rsidRPr="00E2013B">
        <w:rPr>
          <w:rFonts w:eastAsiaTheme="minorHAnsi"/>
          <w:lang w:eastAsia="en-US"/>
        </w:rPr>
        <w:t>, vol.11(6), pp. 393-95.</w:t>
      </w:r>
    </w:p>
    <w:p w14:paraId="0D14CB0D" w14:textId="77777777" w:rsidR="00B4290F" w:rsidRPr="00E2013B" w:rsidRDefault="00B4290F" w:rsidP="00B4290F">
      <w:pPr>
        <w:rPr>
          <w:rFonts w:eastAsiaTheme="minorHAnsi"/>
          <w:lang w:eastAsia="en-US"/>
        </w:rPr>
      </w:pPr>
      <w:r w:rsidRPr="00E2013B">
        <w:rPr>
          <w:rFonts w:eastAsiaTheme="minorHAnsi"/>
          <w:lang w:eastAsia="en-US"/>
        </w:rPr>
        <w:t>Dupuy, DE 2009, 'Science to practice: Microwave ablation compared with radiofrequency ablation in lung tissue - Is microwave not just for popcorn anymore?</w:t>
      </w:r>
      <w:proofErr w:type="gramStart"/>
      <w:r w:rsidRPr="00E2013B">
        <w:rPr>
          <w:rFonts w:eastAsiaTheme="minorHAnsi"/>
          <w:lang w:eastAsia="en-US"/>
        </w:rPr>
        <w:t>',</w:t>
      </w:r>
      <w:proofErr w:type="gramEnd"/>
      <w:r w:rsidRPr="00E2013B">
        <w:rPr>
          <w:rFonts w:eastAsiaTheme="minorHAnsi"/>
          <w:lang w:eastAsia="en-US"/>
        </w:rPr>
        <w:t xml:space="preserve"> </w:t>
      </w:r>
      <w:r w:rsidRPr="00E2013B">
        <w:rPr>
          <w:rFonts w:eastAsiaTheme="minorHAnsi"/>
          <w:i/>
          <w:lang w:eastAsia="en-US"/>
        </w:rPr>
        <w:t>Radiology</w:t>
      </w:r>
      <w:r w:rsidRPr="00E2013B">
        <w:rPr>
          <w:rFonts w:eastAsiaTheme="minorHAnsi"/>
          <w:lang w:eastAsia="en-US"/>
        </w:rPr>
        <w:t>, vol.251(3), pp. 617-18.</w:t>
      </w:r>
    </w:p>
    <w:p w14:paraId="71BE5BE8" w14:textId="77777777" w:rsidR="00B4290F" w:rsidRPr="00E2013B" w:rsidRDefault="00B4290F" w:rsidP="00B4290F">
      <w:pPr>
        <w:rPr>
          <w:rFonts w:eastAsiaTheme="minorHAnsi"/>
          <w:lang w:eastAsia="en-US"/>
        </w:rPr>
      </w:pPr>
      <w:r w:rsidRPr="00E2013B">
        <w:rPr>
          <w:rFonts w:eastAsiaTheme="minorHAnsi"/>
          <w:lang w:eastAsia="en-US"/>
        </w:rPr>
        <w:t xml:space="preserve">Fukuse, T, Ogawa, E, Chen, F, Sakai, H &amp; Wada, H 2006, 'Limited Surgery and Radiofrequency Ablation for Recurrent Lung Cancer', </w:t>
      </w:r>
      <w:r w:rsidRPr="00E2013B">
        <w:rPr>
          <w:rFonts w:eastAsiaTheme="minorHAnsi"/>
          <w:i/>
          <w:lang w:eastAsia="en-US"/>
        </w:rPr>
        <w:t>Annals of Thoracic Surgery</w:t>
      </w:r>
      <w:r w:rsidRPr="00E2013B">
        <w:rPr>
          <w:rFonts w:eastAsiaTheme="minorHAnsi"/>
          <w:lang w:eastAsia="en-US"/>
        </w:rPr>
        <w:t xml:space="preserve">, </w:t>
      </w:r>
      <w:proofErr w:type="gramStart"/>
      <w:r w:rsidRPr="00E2013B">
        <w:rPr>
          <w:rFonts w:eastAsiaTheme="minorHAnsi"/>
          <w:lang w:eastAsia="en-US"/>
        </w:rPr>
        <w:t>vol.82(</w:t>
      </w:r>
      <w:proofErr w:type="gramEnd"/>
      <w:r w:rsidRPr="00E2013B">
        <w:rPr>
          <w:rFonts w:eastAsiaTheme="minorHAnsi"/>
          <w:lang w:eastAsia="en-US"/>
        </w:rPr>
        <w:t>4), pp. 1506-08.</w:t>
      </w:r>
    </w:p>
    <w:p w14:paraId="2ED8B73D" w14:textId="77777777" w:rsidR="00B4290F" w:rsidRPr="00E2013B" w:rsidRDefault="00B4290F" w:rsidP="00B4290F">
      <w:pPr>
        <w:rPr>
          <w:rFonts w:eastAsiaTheme="minorHAnsi"/>
          <w:lang w:eastAsia="en-US"/>
        </w:rPr>
      </w:pPr>
      <w:r w:rsidRPr="00E2013B">
        <w:rPr>
          <w:rFonts w:eastAsiaTheme="minorHAnsi"/>
          <w:lang w:eastAsia="en-US"/>
        </w:rPr>
        <w:t xml:space="preserve">Gewanter, RM, Rosenzweig, KE, Chang, JY, Decker, R, Dubey, S, Kong, FM, Lally, BE, Langer, CJ, Lee, HK &amp; Movsas, B 2010, 'ACR Appropriateness Criteria&lt;sup&gt;&lt;/sup&gt; Nonsurgical Treatment for Non-Small-Cell Lung Cancer: Good Performance Status/Definitive Intent', </w:t>
      </w:r>
      <w:r w:rsidRPr="00E2013B">
        <w:rPr>
          <w:rFonts w:eastAsiaTheme="minorHAnsi"/>
          <w:i/>
          <w:lang w:eastAsia="en-US"/>
        </w:rPr>
        <w:t>Current Problems in Cancer</w:t>
      </w:r>
      <w:r w:rsidRPr="00E2013B">
        <w:rPr>
          <w:rFonts w:eastAsiaTheme="minorHAnsi"/>
          <w:lang w:eastAsia="en-US"/>
        </w:rPr>
        <w:t>, vol.34(3), pp. 228-49.</w:t>
      </w:r>
    </w:p>
    <w:p w14:paraId="4AFA5E79" w14:textId="77777777" w:rsidR="00B4290F" w:rsidRPr="00E2013B" w:rsidRDefault="00B4290F" w:rsidP="00B4290F">
      <w:pPr>
        <w:rPr>
          <w:rFonts w:eastAsiaTheme="minorHAnsi"/>
          <w:lang w:eastAsia="en-US"/>
        </w:rPr>
      </w:pPr>
      <w:r w:rsidRPr="00E2013B">
        <w:rPr>
          <w:rFonts w:eastAsiaTheme="minorHAnsi"/>
          <w:lang w:eastAsia="en-US"/>
        </w:rPr>
        <w:t xml:space="preserve">Hirak, T, Gobara, H, Mimura, H, Toyooka, S, Fujiwara, H, Yasui, K, Sano, Y, Iguchi, T, Sakura, J, Tajirr, N, Mukai, T, Matsur, Y &amp; Kanazawa, S 2011, 'Radiofrequency ablation of lung cancer at Okayama university hospital: A review of 10 years of experience', </w:t>
      </w:r>
      <w:r w:rsidRPr="00E2013B">
        <w:rPr>
          <w:rFonts w:eastAsiaTheme="minorHAnsi"/>
          <w:i/>
          <w:lang w:eastAsia="en-US"/>
        </w:rPr>
        <w:t>Acta Medica Okayama</w:t>
      </w:r>
      <w:r w:rsidRPr="00E2013B">
        <w:rPr>
          <w:rFonts w:eastAsiaTheme="minorHAnsi"/>
          <w:lang w:eastAsia="en-US"/>
        </w:rPr>
        <w:t>, vol.65(5), pp. 287-97.</w:t>
      </w:r>
    </w:p>
    <w:p w14:paraId="02073475" w14:textId="77777777" w:rsidR="00B4290F" w:rsidRPr="00E2013B" w:rsidRDefault="00B4290F" w:rsidP="00B4290F">
      <w:pPr>
        <w:rPr>
          <w:rFonts w:eastAsiaTheme="minorHAnsi"/>
          <w:lang w:eastAsia="en-US"/>
        </w:rPr>
      </w:pPr>
      <w:r w:rsidRPr="00E2013B">
        <w:rPr>
          <w:rFonts w:eastAsiaTheme="minorHAnsi"/>
          <w:lang w:eastAsia="en-US"/>
        </w:rPr>
        <w:t xml:space="preserve">Hiraki, T, Gobara, H, Iguchi, T, Fujiwara, H, Matsui, Y &amp; Kanazawa, S 2014, 'Radiofrequency ablation as treatment for pulmonary metastasis of colorectal cancer', </w:t>
      </w:r>
      <w:r w:rsidRPr="00E2013B">
        <w:rPr>
          <w:rFonts w:eastAsiaTheme="minorHAnsi"/>
          <w:i/>
          <w:lang w:eastAsia="en-US"/>
        </w:rPr>
        <w:t>World Journal of Gastroenterology</w:t>
      </w:r>
      <w:r w:rsidRPr="00E2013B">
        <w:rPr>
          <w:rFonts w:eastAsiaTheme="minorHAnsi"/>
          <w:lang w:eastAsia="en-US"/>
        </w:rPr>
        <w:t xml:space="preserve">, </w:t>
      </w:r>
      <w:proofErr w:type="gramStart"/>
      <w:r w:rsidRPr="00E2013B">
        <w:rPr>
          <w:rFonts w:eastAsiaTheme="minorHAnsi"/>
          <w:lang w:eastAsia="en-US"/>
        </w:rPr>
        <w:t>vol.20(</w:t>
      </w:r>
      <w:proofErr w:type="gramEnd"/>
      <w:r w:rsidRPr="00E2013B">
        <w:rPr>
          <w:rFonts w:eastAsiaTheme="minorHAnsi"/>
          <w:lang w:eastAsia="en-US"/>
        </w:rPr>
        <w:t>4), pp. 988-96.</w:t>
      </w:r>
    </w:p>
    <w:p w14:paraId="69742094" w14:textId="77777777" w:rsidR="00B4290F" w:rsidRPr="00E2013B" w:rsidRDefault="00B4290F" w:rsidP="00B4290F">
      <w:pPr>
        <w:rPr>
          <w:rFonts w:eastAsiaTheme="minorHAnsi"/>
          <w:lang w:eastAsia="en-US"/>
        </w:rPr>
      </w:pPr>
      <w:r w:rsidRPr="00E2013B">
        <w:rPr>
          <w:rFonts w:eastAsiaTheme="minorHAnsi"/>
          <w:lang w:eastAsia="en-US"/>
        </w:rPr>
        <w:t xml:space="preserve">Hiraki, T, Gobara, H, Takemoto, M, Mimura, H, Mukai, T, Himei, K, Hase, S, Iguchi, T, Fujiwara, H, Yagi, T, Tanaka, N &amp; Kanazawa, S 2006, 'Percutaneous radiofrequency ablation combined with </w:t>
      </w:r>
      <w:r w:rsidRPr="00E2013B">
        <w:rPr>
          <w:rFonts w:eastAsiaTheme="minorHAnsi"/>
          <w:lang w:eastAsia="en-US"/>
        </w:rPr>
        <w:lastRenderedPageBreak/>
        <w:t xml:space="preserve">previous bronchial arterial chemoembolization and followed by radiation therapy for pulmonary metastasis from hepatocellular carcinoma', </w:t>
      </w:r>
      <w:r w:rsidRPr="00E2013B">
        <w:rPr>
          <w:rFonts w:eastAsiaTheme="minorHAnsi"/>
          <w:i/>
          <w:lang w:eastAsia="en-US"/>
        </w:rPr>
        <w:t>Journal of Vascular and Interventional Radiology</w:t>
      </w:r>
      <w:r w:rsidRPr="00E2013B">
        <w:rPr>
          <w:rFonts w:eastAsiaTheme="minorHAnsi"/>
          <w:lang w:eastAsia="en-US"/>
        </w:rPr>
        <w:t>, vol.17(7), pp. 1189-93.</w:t>
      </w:r>
    </w:p>
    <w:p w14:paraId="2712B0D3" w14:textId="77777777" w:rsidR="00B4290F" w:rsidRPr="00E2013B" w:rsidRDefault="00B4290F" w:rsidP="00B4290F">
      <w:pPr>
        <w:rPr>
          <w:rFonts w:eastAsiaTheme="minorHAnsi"/>
          <w:lang w:eastAsia="en-US"/>
        </w:rPr>
      </w:pPr>
      <w:proofErr w:type="gramStart"/>
      <w:r w:rsidRPr="00E2013B">
        <w:rPr>
          <w:rFonts w:eastAsiaTheme="minorHAnsi"/>
          <w:lang w:eastAsia="en-US"/>
        </w:rPr>
        <w:t xml:space="preserve">Hohenberger, P, Kasper, B &amp; Ahrar, K 2013, 'Surgical management and minimally invasive approaches for the treatment of metastatic sarcoma', American Society of Clinical Oncology educational book / </w:t>
      </w:r>
      <w:r w:rsidRPr="00E2013B">
        <w:rPr>
          <w:rFonts w:eastAsiaTheme="minorHAnsi"/>
          <w:i/>
          <w:lang w:eastAsia="en-US"/>
        </w:rPr>
        <w:t>ASCO, vol.American Society of Clinical On</w:t>
      </w:r>
      <w:r w:rsidRPr="00E2013B">
        <w:rPr>
          <w:rFonts w:eastAsiaTheme="minorHAnsi"/>
          <w:lang w:eastAsia="en-US"/>
        </w:rPr>
        <w:t>cology.</w:t>
      </w:r>
      <w:proofErr w:type="gramEnd"/>
      <w:r w:rsidRPr="00E2013B">
        <w:rPr>
          <w:rFonts w:eastAsiaTheme="minorHAnsi"/>
          <w:lang w:eastAsia="en-US"/>
        </w:rPr>
        <w:t xml:space="preserve"> </w:t>
      </w:r>
      <w:proofErr w:type="gramStart"/>
      <w:r w:rsidRPr="00E2013B">
        <w:rPr>
          <w:rFonts w:eastAsiaTheme="minorHAnsi"/>
          <w:lang w:eastAsia="en-US"/>
        </w:rPr>
        <w:t>Meeting.pp. 457-64.</w:t>
      </w:r>
      <w:proofErr w:type="gramEnd"/>
    </w:p>
    <w:p w14:paraId="13165E14" w14:textId="337FE701" w:rsidR="00B4290F" w:rsidRPr="00E2013B" w:rsidRDefault="00B4290F" w:rsidP="00B4290F">
      <w:pPr>
        <w:rPr>
          <w:rFonts w:eastAsiaTheme="minorHAnsi"/>
          <w:lang w:eastAsia="en-US"/>
        </w:rPr>
      </w:pPr>
      <w:r w:rsidRPr="00E2013B">
        <w:rPr>
          <w:rFonts w:eastAsiaTheme="minorHAnsi"/>
          <w:lang w:eastAsia="en-US"/>
        </w:rPr>
        <w:t>Ibrahim, T, Tselikas, L, Yazbeck, C &amp; Kattan, J 2016, 'Systemic Versus Local Therapies for Colorectal Cancer Pulmonary Metastasis: What to Choose and When?</w:t>
      </w:r>
      <w:proofErr w:type="gramStart"/>
      <w:r w:rsidRPr="00E2013B">
        <w:rPr>
          <w:rFonts w:eastAsiaTheme="minorHAnsi"/>
          <w:lang w:eastAsia="en-US"/>
        </w:rPr>
        <w:t>',</w:t>
      </w:r>
      <w:proofErr w:type="gramEnd"/>
      <w:r w:rsidRPr="00E2013B">
        <w:rPr>
          <w:rFonts w:eastAsiaTheme="minorHAnsi"/>
          <w:lang w:eastAsia="en-US"/>
        </w:rPr>
        <w:t xml:space="preserve"> </w:t>
      </w:r>
      <w:r w:rsidRPr="00E2013B">
        <w:rPr>
          <w:rFonts w:eastAsiaTheme="minorHAnsi"/>
          <w:i/>
          <w:lang w:eastAsia="en-US"/>
        </w:rPr>
        <w:t>J Gastrointest Cancer</w:t>
      </w:r>
      <w:r w:rsidRPr="00E2013B">
        <w:rPr>
          <w:rFonts w:eastAsiaTheme="minorHAnsi"/>
          <w:lang w:eastAsia="en-US"/>
        </w:rPr>
        <w:t xml:space="preserve">, </w:t>
      </w:r>
      <w:r w:rsidR="00602520" w:rsidRPr="00602520">
        <w:rPr>
          <w:rFonts w:eastAsiaTheme="minorHAnsi"/>
          <w:lang w:eastAsia="en-US"/>
        </w:rPr>
        <w:t>47(3):223-31.</w:t>
      </w:r>
    </w:p>
    <w:p w14:paraId="5C23ED6C" w14:textId="77777777" w:rsidR="00B4290F" w:rsidRPr="00E2013B" w:rsidRDefault="00B4290F" w:rsidP="00B4290F">
      <w:pPr>
        <w:rPr>
          <w:rFonts w:eastAsiaTheme="minorHAnsi"/>
          <w:lang w:eastAsia="en-US"/>
        </w:rPr>
      </w:pPr>
      <w:r w:rsidRPr="00E2013B">
        <w:rPr>
          <w:rFonts w:eastAsiaTheme="minorHAnsi"/>
          <w:lang w:eastAsia="en-US"/>
        </w:rPr>
        <w:t xml:space="preserve">Lee, H, Jin, GY, Han, YM, Chung, GH, Lee, YC, Kwon, KS &amp; Lynch, D 2012, 'Comparison of survival rate in primary non-small-cell lung cancer among elderly patients treated with radiofrequency ablation, surgery, or chemotherapy', </w:t>
      </w:r>
      <w:r w:rsidRPr="00E2013B">
        <w:rPr>
          <w:rFonts w:eastAsiaTheme="minorHAnsi"/>
          <w:i/>
          <w:lang w:eastAsia="en-US"/>
        </w:rPr>
        <w:t>Cardiovascular and interventional radiology</w:t>
      </w:r>
      <w:r w:rsidRPr="00E2013B">
        <w:rPr>
          <w:rFonts w:eastAsiaTheme="minorHAnsi"/>
          <w:lang w:eastAsia="en-US"/>
        </w:rPr>
        <w:t>, vol.35(2), pp. 343-50.</w:t>
      </w:r>
    </w:p>
    <w:p w14:paraId="69581F00" w14:textId="77777777" w:rsidR="00B4290F" w:rsidRPr="00E2013B" w:rsidRDefault="00B4290F" w:rsidP="00B4290F">
      <w:pPr>
        <w:rPr>
          <w:rFonts w:eastAsiaTheme="minorHAnsi"/>
          <w:lang w:eastAsia="en-US"/>
        </w:rPr>
      </w:pPr>
      <w:r w:rsidRPr="00E2013B">
        <w:rPr>
          <w:rFonts w:eastAsiaTheme="minorHAnsi"/>
          <w:lang w:eastAsia="en-US"/>
        </w:rPr>
        <w:t xml:space="preserve">Linden, PA, Wee, JO, Jaklitsch, MT &amp; Colson, YL 2008, 'Extending Indications for Radiofrequency Ablation of Lung Tumors Through an Intraoperative Approach', </w:t>
      </w:r>
      <w:r w:rsidRPr="00E2013B">
        <w:rPr>
          <w:rFonts w:eastAsiaTheme="minorHAnsi"/>
          <w:i/>
          <w:lang w:eastAsia="en-US"/>
        </w:rPr>
        <w:t>Annals of Thoracic Surgery</w:t>
      </w:r>
      <w:r w:rsidRPr="00E2013B">
        <w:rPr>
          <w:rFonts w:eastAsiaTheme="minorHAnsi"/>
          <w:lang w:eastAsia="en-US"/>
        </w:rPr>
        <w:t>, vol.85(2), pp. 420-23.</w:t>
      </w:r>
    </w:p>
    <w:p w14:paraId="74AA29E0" w14:textId="77777777" w:rsidR="00B4290F" w:rsidRPr="00E2013B" w:rsidRDefault="00B4290F" w:rsidP="00B4290F">
      <w:pPr>
        <w:rPr>
          <w:rFonts w:eastAsiaTheme="minorHAnsi"/>
          <w:lang w:eastAsia="en-US"/>
        </w:rPr>
      </w:pPr>
      <w:r w:rsidRPr="00E2013B">
        <w:rPr>
          <w:rFonts w:eastAsiaTheme="minorHAnsi"/>
          <w:lang w:eastAsia="en-US"/>
        </w:rPr>
        <w:t xml:space="preserve">Lyons, NJR, Pathak, S, Daniels, IR, Spiers, A &amp; Smart, NJ 2015, 'Percutaneous management of pulmonary metastases arising from colorectal cancer; A systematic review', </w:t>
      </w:r>
      <w:r w:rsidRPr="00E2013B">
        <w:rPr>
          <w:rFonts w:eastAsiaTheme="minorHAnsi"/>
          <w:i/>
          <w:lang w:eastAsia="en-US"/>
        </w:rPr>
        <w:t>European Journal of Surgical Oncology</w:t>
      </w:r>
      <w:r w:rsidRPr="00E2013B">
        <w:rPr>
          <w:rFonts w:eastAsiaTheme="minorHAnsi"/>
          <w:lang w:eastAsia="en-US"/>
        </w:rPr>
        <w:t xml:space="preserve">, </w:t>
      </w:r>
      <w:proofErr w:type="gramStart"/>
      <w:r w:rsidRPr="00E2013B">
        <w:rPr>
          <w:rFonts w:eastAsiaTheme="minorHAnsi"/>
          <w:lang w:eastAsia="en-US"/>
        </w:rPr>
        <w:t>vol.41(</w:t>
      </w:r>
      <w:proofErr w:type="gramEnd"/>
      <w:r w:rsidRPr="00E2013B">
        <w:rPr>
          <w:rFonts w:eastAsiaTheme="minorHAnsi"/>
          <w:lang w:eastAsia="en-US"/>
        </w:rPr>
        <w:t>11), pp. 1447-55.</w:t>
      </w:r>
    </w:p>
    <w:p w14:paraId="3F155F46" w14:textId="77777777" w:rsidR="00B4290F" w:rsidRPr="00E2013B" w:rsidRDefault="00B4290F" w:rsidP="00B4290F">
      <w:pPr>
        <w:rPr>
          <w:rFonts w:eastAsiaTheme="minorHAnsi"/>
          <w:lang w:eastAsia="en-US"/>
        </w:rPr>
      </w:pPr>
      <w:r w:rsidRPr="00E2013B">
        <w:rPr>
          <w:rFonts w:eastAsiaTheme="minorHAnsi"/>
          <w:lang w:eastAsia="en-US"/>
        </w:rPr>
        <w:t xml:space="preserve">Nakamura, T, Matsumine, A, Yamakado, K, Matsubara, T, Takaki, H, Nakatsuka, A, Takeda, K, Abo, D, Shimizu, T &amp; Uchida, A 2009, 'Lung radiofrequency ablation in patients with pulmonary metastases from musculoskeletal sarcomas (Cancer (2009) 115 (3774-3771))', </w:t>
      </w:r>
      <w:r w:rsidRPr="00E2013B">
        <w:rPr>
          <w:rFonts w:eastAsiaTheme="minorHAnsi"/>
          <w:i/>
          <w:lang w:eastAsia="en-US"/>
        </w:rPr>
        <w:t>Cancer,</w:t>
      </w:r>
      <w:r w:rsidRPr="00E2013B">
        <w:rPr>
          <w:rFonts w:eastAsiaTheme="minorHAnsi"/>
          <w:lang w:eastAsia="en-US"/>
        </w:rPr>
        <w:t xml:space="preserve"> </w:t>
      </w:r>
      <w:proofErr w:type="gramStart"/>
      <w:r w:rsidRPr="00E2013B">
        <w:rPr>
          <w:rFonts w:eastAsiaTheme="minorHAnsi"/>
          <w:lang w:eastAsia="en-US"/>
        </w:rPr>
        <w:t>vol.115(</w:t>
      </w:r>
      <w:proofErr w:type="gramEnd"/>
      <w:r w:rsidRPr="00E2013B">
        <w:rPr>
          <w:rFonts w:eastAsiaTheme="minorHAnsi"/>
          <w:lang w:eastAsia="en-US"/>
        </w:rPr>
        <w:t>17), pp. 4041.</w:t>
      </w:r>
    </w:p>
    <w:p w14:paraId="31F4E5A9" w14:textId="6C09E303" w:rsidR="00B4290F" w:rsidRPr="00E2013B" w:rsidRDefault="00602520" w:rsidP="00B4290F">
      <w:pPr>
        <w:rPr>
          <w:rFonts w:eastAsiaTheme="minorHAnsi"/>
          <w:lang w:eastAsia="en-US"/>
        </w:rPr>
      </w:pPr>
      <w:proofErr w:type="gramStart"/>
      <w:r>
        <w:rPr>
          <w:rFonts w:eastAsiaTheme="minorHAnsi"/>
          <w:lang w:eastAsia="en-US"/>
        </w:rPr>
        <w:t>National Institute for Health Care and Excellence</w:t>
      </w:r>
      <w:r w:rsidR="00B4290F" w:rsidRPr="00E2013B">
        <w:rPr>
          <w:rFonts w:eastAsiaTheme="minorHAnsi"/>
          <w:lang w:eastAsia="en-US"/>
        </w:rPr>
        <w:t>.</w:t>
      </w:r>
      <w:proofErr w:type="gramEnd"/>
      <w:r w:rsidR="00B4290F" w:rsidRPr="00E2013B">
        <w:rPr>
          <w:rFonts w:eastAsiaTheme="minorHAnsi"/>
          <w:lang w:eastAsia="en-US"/>
        </w:rPr>
        <w:t xml:space="preserve"> 2006, </w:t>
      </w:r>
      <w:proofErr w:type="gramStart"/>
      <w:r w:rsidR="00B4290F" w:rsidRPr="00E2013B">
        <w:rPr>
          <w:rFonts w:eastAsiaTheme="minorHAnsi"/>
          <w:lang w:eastAsia="en-US"/>
        </w:rPr>
        <w:t>Percutaneous</w:t>
      </w:r>
      <w:proofErr w:type="gramEnd"/>
      <w:r w:rsidR="00B4290F" w:rsidRPr="00E2013B">
        <w:rPr>
          <w:rFonts w:eastAsiaTheme="minorHAnsi"/>
          <w:lang w:eastAsia="en-US"/>
        </w:rPr>
        <w:t xml:space="preserve"> radiofrequency ablation for primary and secondary lung cancers, </w:t>
      </w:r>
      <w:r w:rsidR="00B4290F" w:rsidRPr="00E2013B">
        <w:rPr>
          <w:rFonts w:eastAsiaTheme="minorHAnsi"/>
          <w:i/>
          <w:lang w:eastAsia="en-US"/>
        </w:rPr>
        <w:t>National Institute for Health and Clinical Excellence</w:t>
      </w:r>
      <w:r w:rsidR="00B4290F" w:rsidRPr="00E2013B">
        <w:rPr>
          <w:rFonts w:eastAsiaTheme="minorHAnsi"/>
          <w:lang w:eastAsia="en-US"/>
        </w:rPr>
        <w:t xml:space="preserve"> (NICE), London, </w:t>
      </w:r>
      <w:r>
        <w:rPr>
          <w:rFonts w:eastAsiaTheme="minorHAnsi"/>
          <w:lang w:eastAsia="en-US"/>
        </w:rPr>
        <w:t xml:space="preserve">available URL: </w:t>
      </w:r>
      <w:hyperlink r:id="rId55" w:history="1">
        <w:r w:rsidR="006841FB">
          <w:rPr>
            <w:rStyle w:val="Hyperlink"/>
            <w:rFonts w:eastAsiaTheme="minorHAnsi"/>
            <w:lang w:eastAsia="en-US"/>
          </w:rPr>
          <w:t>www.nice.org.uk</w:t>
        </w:r>
      </w:hyperlink>
      <w:r>
        <w:rPr>
          <w:rFonts w:eastAsiaTheme="minorHAnsi"/>
          <w:lang w:eastAsia="en-US"/>
        </w:rPr>
        <w:t xml:space="preserve">. </w:t>
      </w:r>
    </w:p>
    <w:p w14:paraId="0082BD6F" w14:textId="77777777" w:rsidR="00B4290F" w:rsidRPr="00E2013B" w:rsidRDefault="00B4290F" w:rsidP="00B4290F">
      <w:pPr>
        <w:rPr>
          <w:rFonts w:eastAsiaTheme="minorHAnsi"/>
          <w:lang w:eastAsia="en-US"/>
        </w:rPr>
      </w:pPr>
      <w:r w:rsidRPr="00E2013B">
        <w:rPr>
          <w:rFonts w:eastAsiaTheme="minorHAnsi"/>
          <w:lang w:eastAsia="en-US"/>
        </w:rPr>
        <w:t xml:space="preserve">Nguyen, CL, Scott, WJ &amp; Goldberg, M 2006, 'Radiofrequency Ablation of Lung Malignancies', </w:t>
      </w:r>
      <w:r w:rsidRPr="00E2013B">
        <w:rPr>
          <w:rFonts w:eastAsiaTheme="minorHAnsi"/>
          <w:i/>
          <w:lang w:eastAsia="en-US"/>
        </w:rPr>
        <w:t>Annals of Thoracic Surgery</w:t>
      </w:r>
      <w:r w:rsidRPr="00E2013B">
        <w:rPr>
          <w:rFonts w:eastAsiaTheme="minorHAnsi"/>
          <w:lang w:eastAsia="en-US"/>
        </w:rPr>
        <w:t>, vol.82(1), pp. 365-71.</w:t>
      </w:r>
    </w:p>
    <w:p w14:paraId="32AA05C5" w14:textId="77777777" w:rsidR="00B4290F" w:rsidRPr="00E2013B" w:rsidRDefault="00B4290F" w:rsidP="00B4290F">
      <w:pPr>
        <w:rPr>
          <w:rFonts w:eastAsiaTheme="minorHAnsi"/>
          <w:lang w:eastAsia="en-US"/>
        </w:rPr>
      </w:pPr>
      <w:r w:rsidRPr="00E2013B">
        <w:rPr>
          <w:rFonts w:eastAsiaTheme="minorHAnsi"/>
          <w:lang w:eastAsia="en-US"/>
        </w:rPr>
        <w:t xml:space="preserve">Pennathur, A, Abbas, G, Qureshi, I, Schuchert, MJ, Wang, Y, Gilbert, S, Landreneau, RJ &amp; Luketich, JD 2009, 'Radiofrequency Ablation for the Treatment of Pulmonary Metastases', </w:t>
      </w:r>
      <w:r w:rsidRPr="00E2013B">
        <w:rPr>
          <w:rFonts w:eastAsiaTheme="minorHAnsi"/>
          <w:i/>
          <w:lang w:eastAsia="en-US"/>
        </w:rPr>
        <w:t>Annals of Thoracic Surgery</w:t>
      </w:r>
      <w:r w:rsidRPr="00E2013B">
        <w:rPr>
          <w:rFonts w:eastAsiaTheme="minorHAnsi"/>
          <w:lang w:eastAsia="en-US"/>
        </w:rPr>
        <w:t>, vol.87(4), pp. 1030-39.</w:t>
      </w:r>
    </w:p>
    <w:p w14:paraId="3FAC241E" w14:textId="77777777" w:rsidR="00B4290F" w:rsidRPr="00E2013B" w:rsidRDefault="00B4290F" w:rsidP="00B4290F">
      <w:pPr>
        <w:rPr>
          <w:rFonts w:eastAsiaTheme="minorHAnsi"/>
          <w:lang w:eastAsia="en-US"/>
        </w:rPr>
      </w:pPr>
      <w:r w:rsidRPr="00E2013B">
        <w:rPr>
          <w:rFonts w:eastAsiaTheme="minorHAnsi"/>
          <w:lang w:eastAsia="en-US"/>
        </w:rPr>
        <w:t xml:space="preserve">Pennathur, A, Luketich, JD, Abbas, G, Chen, M, Fernando, HC, Gooding, WE, Schuchert, MJ, Gilbert, S, Christie, NA &amp; Landreneau, RJ 2007, 'Radiofrequency ablation for the treatment of stage I non-small cell lung cancer in high-risk patients', </w:t>
      </w:r>
      <w:r w:rsidRPr="00E2013B">
        <w:rPr>
          <w:rFonts w:eastAsiaTheme="minorHAnsi"/>
          <w:i/>
          <w:lang w:eastAsia="en-US"/>
        </w:rPr>
        <w:t>Journal of thoracic and cardiovascular surgery</w:t>
      </w:r>
      <w:r w:rsidRPr="00E2013B">
        <w:rPr>
          <w:rFonts w:eastAsiaTheme="minorHAnsi"/>
          <w:lang w:eastAsia="en-US"/>
        </w:rPr>
        <w:t>, vol.134(4), pp. 857-64.</w:t>
      </w:r>
    </w:p>
    <w:p w14:paraId="49F2782A"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Pereira, PL &amp; Salvatore, M 2012, 'Standards of practice: Guidelines for thermal ablation of primary and secondary lung tumors', </w:t>
      </w:r>
      <w:r w:rsidRPr="00E2013B">
        <w:rPr>
          <w:rFonts w:eastAsiaTheme="minorHAnsi"/>
          <w:i/>
          <w:lang w:eastAsia="en-US"/>
        </w:rPr>
        <w:t>Cardiovascular and interventional radio</w:t>
      </w:r>
      <w:r w:rsidRPr="00E2013B">
        <w:rPr>
          <w:rFonts w:eastAsiaTheme="minorHAnsi"/>
          <w:lang w:eastAsia="en-US"/>
        </w:rPr>
        <w:t xml:space="preserve">logy, </w:t>
      </w:r>
      <w:proofErr w:type="gramStart"/>
      <w:r w:rsidRPr="00E2013B">
        <w:rPr>
          <w:rFonts w:eastAsiaTheme="minorHAnsi"/>
          <w:lang w:eastAsia="en-US"/>
        </w:rPr>
        <w:t>vol.35(</w:t>
      </w:r>
      <w:proofErr w:type="gramEnd"/>
      <w:r w:rsidRPr="00E2013B">
        <w:rPr>
          <w:rFonts w:eastAsiaTheme="minorHAnsi"/>
          <w:lang w:eastAsia="en-US"/>
        </w:rPr>
        <w:t>2), pp. 247-54.</w:t>
      </w:r>
    </w:p>
    <w:p w14:paraId="75F8BCA5" w14:textId="77777777" w:rsidR="00B4290F" w:rsidRPr="00E2013B" w:rsidRDefault="00B4290F" w:rsidP="00B4290F">
      <w:pPr>
        <w:rPr>
          <w:rFonts w:eastAsiaTheme="minorHAnsi"/>
          <w:lang w:eastAsia="en-US"/>
        </w:rPr>
      </w:pPr>
      <w:r w:rsidRPr="00E2013B">
        <w:rPr>
          <w:rFonts w:eastAsiaTheme="minorHAnsi"/>
          <w:lang w:eastAsia="en-US"/>
        </w:rPr>
        <w:t xml:space="preserve">Pua, BB, Thornton, RH &amp; Solomon, SB 2011, 'Radiofrequency Ablation: Treatment of Primary Lung Cancer', </w:t>
      </w:r>
      <w:r w:rsidRPr="00E2013B">
        <w:rPr>
          <w:rFonts w:eastAsiaTheme="minorHAnsi"/>
          <w:i/>
          <w:lang w:eastAsia="en-US"/>
        </w:rPr>
        <w:t>Seminars in Roentgenology</w:t>
      </w:r>
      <w:r w:rsidRPr="00E2013B">
        <w:rPr>
          <w:rFonts w:eastAsiaTheme="minorHAnsi"/>
          <w:lang w:eastAsia="en-US"/>
        </w:rPr>
        <w:t xml:space="preserve">, </w:t>
      </w:r>
      <w:proofErr w:type="gramStart"/>
      <w:r w:rsidRPr="00E2013B">
        <w:rPr>
          <w:rFonts w:eastAsiaTheme="minorHAnsi"/>
          <w:lang w:eastAsia="en-US"/>
        </w:rPr>
        <w:t>vol.46(</w:t>
      </w:r>
      <w:proofErr w:type="gramEnd"/>
      <w:r w:rsidRPr="00E2013B">
        <w:rPr>
          <w:rFonts w:eastAsiaTheme="minorHAnsi"/>
          <w:lang w:eastAsia="en-US"/>
        </w:rPr>
        <w:t>3), pp. 224-29.</w:t>
      </w:r>
    </w:p>
    <w:p w14:paraId="6269FA87" w14:textId="77777777" w:rsidR="00B4290F" w:rsidRPr="00E2013B" w:rsidRDefault="00B4290F" w:rsidP="00B4290F">
      <w:pPr>
        <w:rPr>
          <w:rFonts w:eastAsiaTheme="minorHAnsi"/>
          <w:lang w:eastAsia="en-US"/>
        </w:rPr>
      </w:pPr>
      <w:r w:rsidRPr="00E2013B">
        <w:rPr>
          <w:rFonts w:eastAsiaTheme="minorHAnsi"/>
          <w:lang w:eastAsia="en-US"/>
        </w:rPr>
        <w:t xml:space="preserve">Renaud, S, Falcoz, PE, Olland, A &amp; Massard, G 2013, 'Is radiofrequency ablation or stereotactic ablative radiotherapy the best treatment for radically treatable primary lung cancer unfit for surgery?', </w:t>
      </w:r>
      <w:r w:rsidRPr="00E2013B">
        <w:rPr>
          <w:rFonts w:eastAsiaTheme="minorHAnsi"/>
          <w:i/>
          <w:lang w:eastAsia="en-US"/>
        </w:rPr>
        <w:t>Interactive Cardiovascular and Thoracic Surgery</w:t>
      </w:r>
      <w:r w:rsidRPr="00E2013B">
        <w:rPr>
          <w:rFonts w:eastAsiaTheme="minorHAnsi"/>
          <w:lang w:eastAsia="en-US"/>
        </w:rPr>
        <w:t>, vol.16(1), pp. 68-73.</w:t>
      </w:r>
    </w:p>
    <w:p w14:paraId="16BCFF29" w14:textId="77777777" w:rsidR="00B4290F" w:rsidRPr="00E2013B" w:rsidRDefault="00B4290F" w:rsidP="00B4290F">
      <w:pPr>
        <w:rPr>
          <w:rFonts w:eastAsiaTheme="minorHAnsi"/>
          <w:lang w:eastAsia="en-US"/>
        </w:rPr>
      </w:pPr>
      <w:proofErr w:type="gramStart"/>
      <w:r w:rsidRPr="00E2013B">
        <w:rPr>
          <w:rFonts w:eastAsiaTheme="minorHAnsi"/>
          <w:lang w:eastAsia="en-US"/>
        </w:rPr>
        <w:t>Roy-Choudhury, S 2008, 'Lung alert.</w:t>
      </w:r>
      <w:proofErr w:type="gramEnd"/>
      <w:r w:rsidRPr="00E2013B">
        <w:rPr>
          <w:rFonts w:eastAsiaTheme="minorHAnsi"/>
          <w:lang w:eastAsia="en-US"/>
        </w:rPr>
        <w:t xml:space="preserve"> Inflammation caused by radiofrequency ablation for lung cancer is worse after radiotherapy and in large tumours', </w:t>
      </w:r>
      <w:r w:rsidRPr="00E2013B">
        <w:rPr>
          <w:rFonts w:eastAsiaTheme="minorHAnsi"/>
          <w:i/>
          <w:lang w:eastAsia="en-US"/>
        </w:rPr>
        <w:t>Thorax,</w:t>
      </w:r>
      <w:r w:rsidRPr="00E2013B">
        <w:rPr>
          <w:rFonts w:eastAsiaTheme="minorHAnsi"/>
          <w:lang w:eastAsia="en-US"/>
        </w:rPr>
        <w:t xml:space="preserve"> </w:t>
      </w:r>
      <w:proofErr w:type="gramStart"/>
      <w:r w:rsidRPr="00E2013B">
        <w:rPr>
          <w:rFonts w:eastAsiaTheme="minorHAnsi"/>
          <w:lang w:eastAsia="en-US"/>
        </w:rPr>
        <w:t>vol.63(</w:t>
      </w:r>
      <w:proofErr w:type="gramEnd"/>
      <w:r w:rsidRPr="00E2013B">
        <w:rPr>
          <w:rFonts w:eastAsiaTheme="minorHAnsi"/>
          <w:lang w:eastAsia="en-US"/>
        </w:rPr>
        <w:t>11), pp. 998.</w:t>
      </w:r>
    </w:p>
    <w:p w14:paraId="6B9593DF" w14:textId="77777777" w:rsidR="00B4290F" w:rsidRPr="00E2013B" w:rsidRDefault="00B4290F" w:rsidP="00B4290F">
      <w:pPr>
        <w:rPr>
          <w:rFonts w:eastAsiaTheme="minorHAnsi"/>
          <w:lang w:eastAsia="en-US"/>
        </w:rPr>
      </w:pPr>
      <w:r w:rsidRPr="00E2013B">
        <w:rPr>
          <w:rFonts w:eastAsiaTheme="minorHAnsi"/>
          <w:lang w:eastAsia="en-US"/>
        </w:rPr>
        <w:t xml:space="preserve">Sankaranarayanan, G, Resapu, RR, Jones, DB, Schwaitzberg, S &amp; De, S 2013, 'Common uses and cited complications of energy in surgery', </w:t>
      </w:r>
      <w:r w:rsidRPr="00E2013B">
        <w:rPr>
          <w:rFonts w:eastAsiaTheme="minorHAnsi"/>
          <w:i/>
          <w:lang w:eastAsia="en-US"/>
        </w:rPr>
        <w:t>Surgical Endoscopy and Other Interventional Techniques</w:t>
      </w:r>
      <w:r w:rsidRPr="00E2013B">
        <w:rPr>
          <w:rFonts w:eastAsiaTheme="minorHAnsi"/>
          <w:lang w:eastAsia="en-US"/>
        </w:rPr>
        <w:t>, vol.27(9), pp. 3056-72.</w:t>
      </w:r>
    </w:p>
    <w:p w14:paraId="6456B2E4" w14:textId="77777777" w:rsidR="00B4290F" w:rsidRPr="00E2013B" w:rsidRDefault="00B4290F" w:rsidP="00B4290F">
      <w:pPr>
        <w:rPr>
          <w:rFonts w:eastAsiaTheme="minorHAnsi"/>
          <w:lang w:eastAsia="en-US"/>
        </w:rPr>
      </w:pPr>
      <w:r w:rsidRPr="00E2013B">
        <w:rPr>
          <w:rFonts w:eastAsiaTheme="minorHAnsi"/>
          <w:lang w:eastAsia="en-US"/>
        </w:rPr>
        <w:t xml:space="preserve">Schlijper, RCJ, Grutters, JPC, Houben, R, Dingemans, AMC, Wildberger, JE, Raemdonck, DV, Cutsem, EV, Haustermans, K, Lammering, G, Lambin, P &amp; Ruysscher, DD 2014, 'What to choose as radical local treatment for lung metastases from colo-rectal cancer: Surgery or radiofrequency ablation?', </w:t>
      </w:r>
      <w:r w:rsidRPr="00E2013B">
        <w:rPr>
          <w:rFonts w:eastAsiaTheme="minorHAnsi"/>
          <w:i/>
          <w:lang w:eastAsia="en-US"/>
        </w:rPr>
        <w:t>Cancer Treatment Reviews</w:t>
      </w:r>
      <w:r w:rsidRPr="00E2013B">
        <w:rPr>
          <w:rFonts w:eastAsiaTheme="minorHAnsi"/>
          <w:lang w:eastAsia="en-US"/>
        </w:rPr>
        <w:t>, vol.40(1), pp. 60-67.</w:t>
      </w:r>
    </w:p>
    <w:p w14:paraId="6D19CFC8" w14:textId="77777777" w:rsidR="00B4290F" w:rsidRPr="00E2013B" w:rsidRDefault="00B4290F" w:rsidP="00B4290F">
      <w:pPr>
        <w:rPr>
          <w:rFonts w:eastAsiaTheme="minorHAnsi"/>
          <w:lang w:eastAsia="en-US"/>
        </w:rPr>
      </w:pPr>
      <w:r w:rsidRPr="00E2013B">
        <w:rPr>
          <w:rFonts w:eastAsiaTheme="minorHAnsi"/>
          <w:lang w:eastAsia="en-US"/>
        </w:rPr>
        <w:t xml:space="preserve">Schneider, T, Heussel, CP, Herth, FJF &amp; Dienemann, H 2013, 'Thermal ablation of malignant lung tumors', </w:t>
      </w:r>
      <w:r w:rsidRPr="00E2013B">
        <w:rPr>
          <w:rFonts w:eastAsiaTheme="minorHAnsi"/>
          <w:i/>
          <w:lang w:eastAsia="en-US"/>
        </w:rPr>
        <w:t>Deutsches Arzteblatt international</w:t>
      </w:r>
      <w:r w:rsidRPr="00E2013B">
        <w:rPr>
          <w:rFonts w:eastAsiaTheme="minorHAnsi"/>
          <w:lang w:eastAsia="en-US"/>
        </w:rPr>
        <w:t>, vol.110(22), pp. 394-400 and I and 8.</w:t>
      </w:r>
    </w:p>
    <w:p w14:paraId="12452EA2" w14:textId="77777777" w:rsidR="00B4290F" w:rsidRPr="00E2013B" w:rsidRDefault="00B4290F" w:rsidP="00B4290F">
      <w:pPr>
        <w:rPr>
          <w:rFonts w:eastAsiaTheme="minorHAnsi"/>
          <w:lang w:eastAsia="en-US"/>
        </w:rPr>
      </w:pPr>
      <w:r w:rsidRPr="00E2013B">
        <w:rPr>
          <w:rFonts w:eastAsiaTheme="minorHAnsi"/>
          <w:lang w:eastAsia="en-US"/>
        </w:rPr>
        <w:t xml:space="preserve">Schoellnast, H, Deodhar, A, Hsu, M, Moskowitz, C, Nehmeh, SA, Thornton, RH, Sofocleous, CT, Alago Jr, W, Downey, RJ, Azzoli, CG, Rosenzweig, KE &amp; Solomon, SB 2012, 'Recurrent non-small cell lung cancer: evaluation of CT-guided radiofrequency ablation as salvage therapy', </w:t>
      </w:r>
      <w:r w:rsidRPr="00E2013B">
        <w:rPr>
          <w:rFonts w:eastAsiaTheme="minorHAnsi"/>
          <w:i/>
          <w:lang w:eastAsia="en-US"/>
        </w:rPr>
        <w:t xml:space="preserve">Acta radiologica </w:t>
      </w:r>
      <w:r w:rsidRPr="00E2013B">
        <w:rPr>
          <w:rFonts w:eastAsiaTheme="minorHAnsi"/>
          <w:lang w:eastAsia="en-US"/>
        </w:rPr>
        <w:t>(Stockholm, Sweden : 1987), vol.53(8), pp. 893-99.</w:t>
      </w:r>
    </w:p>
    <w:p w14:paraId="031AC3D0" w14:textId="77777777" w:rsidR="00B4290F" w:rsidRPr="00E2013B" w:rsidRDefault="00B4290F" w:rsidP="00B4290F">
      <w:pPr>
        <w:rPr>
          <w:rFonts w:eastAsiaTheme="minorHAnsi"/>
          <w:lang w:eastAsia="en-US"/>
        </w:rPr>
      </w:pPr>
      <w:r w:rsidRPr="00E2013B">
        <w:rPr>
          <w:rFonts w:eastAsiaTheme="minorHAnsi"/>
          <w:lang w:eastAsia="en-US"/>
        </w:rPr>
        <w:t xml:space="preserve">Takao, M, Yamakado, K &amp; Takeda, K 2011, 'Radiofrequency ablation as an adjunct to systemic chemotherapy for colorectal pulmonary metastases', </w:t>
      </w:r>
      <w:r w:rsidRPr="00E2013B">
        <w:rPr>
          <w:rFonts w:eastAsiaTheme="minorHAnsi"/>
          <w:i/>
          <w:lang w:eastAsia="en-US"/>
        </w:rPr>
        <w:t>Cancer</w:t>
      </w:r>
      <w:r w:rsidRPr="00E2013B">
        <w:rPr>
          <w:rFonts w:eastAsiaTheme="minorHAnsi"/>
          <w:lang w:eastAsia="en-US"/>
        </w:rPr>
        <w:t>, vol.117(4), pp. 876; author reply 76-7.</w:t>
      </w:r>
    </w:p>
    <w:p w14:paraId="34D6B690" w14:textId="77777777" w:rsidR="00B4290F" w:rsidRPr="00E2013B" w:rsidRDefault="00B4290F" w:rsidP="00B4290F">
      <w:pPr>
        <w:rPr>
          <w:rFonts w:eastAsiaTheme="minorHAnsi"/>
          <w:lang w:eastAsia="en-US"/>
        </w:rPr>
      </w:pPr>
      <w:r w:rsidRPr="00E2013B">
        <w:rPr>
          <w:rFonts w:eastAsiaTheme="minorHAnsi"/>
          <w:lang w:eastAsia="en-US"/>
        </w:rPr>
        <w:t xml:space="preserve">Tanabe, T, Koizumi, T, Tsushima, K, Ito, M, Kanda, S, Kobayashi, T, Yasuo, M, Yamazaki, Y, Kubo, K, Honda, T, Kondo, R &amp; Yoshida, K 2010, 'Comparative study of three different catheters for ct imaging-bronchoscopy- guided radiofrequency ablation as a potential and novel interventional therapy for lung cancer', </w:t>
      </w:r>
      <w:r w:rsidRPr="00E2013B">
        <w:rPr>
          <w:rFonts w:eastAsiaTheme="minorHAnsi"/>
          <w:i/>
          <w:lang w:eastAsia="en-US"/>
        </w:rPr>
        <w:t>Chest</w:t>
      </w:r>
      <w:r w:rsidRPr="00E2013B">
        <w:rPr>
          <w:rFonts w:eastAsiaTheme="minorHAnsi"/>
          <w:lang w:eastAsia="en-US"/>
        </w:rPr>
        <w:t>, vol.137(4), pp. 890-97.</w:t>
      </w:r>
    </w:p>
    <w:p w14:paraId="2C268E67" w14:textId="77777777" w:rsidR="00B4290F" w:rsidRPr="00E2013B" w:rsidRDefault="00B4290F" w:rsidP="00B4290F">
      <w:pPr>
        <w:rPr>
          <w:rFonts w:eastAsiaTheme="minorHAnsi"/>
          <w:lang w:eastAsia="en-US"/>
        </w:rPr>
      </w:pPr>
      <w:r w:rsidRPr="00E2013B">
        <w:rPr>
          <w:rFonts w:eastAsiaTheme="minorHAnsi"/>
          <w:lang w:eastAsia="en-US"/>
        </w:rPr>
        <w:t xml:space="preserve">Thacker, PG, Callstrom, MR, Curry, TB, Mandrekar, JN, Atwell, TD, Goetz, MP &amp; Rubin, J 2011, 'Palliation of painful metastatic disease involving bone with imaging-guided treatment: Comparison of patients' immediate response to radiofrequency ablation and cryoablation', </w:t>
      </w:r>
      <w:r w:rsidRPr="00E2013B">
        <w:rPr>
          <w:rFonts w:eastAsiaTheme="minorHAnsi"/>
          <w:i/>
          <w:lang w:eastAsia="en-US"/>
        </w:rPr>
        <w:t>American Journal of Roentgenology</w:t>
      </w:r>
      <w:r w:rsidRPr="00E2013B">
        <w:rPr>
          <w:rFonts w:eastAsiaTheme="minorHAnsi"/>
          <w:lang w:eastAsia="en-US"/>
        </w:rPr>
        <w:t>, vol.197(2), pp. 510-15.</w:t>
      </w:r>
    </w:p>
    <w:p w14:paraId="5E31D8F6"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Tongdee, T, Tantigate, P &amp; Tongdee, R 2015, 'Radiofrequency Ablation of Lung Metastasis Not Suitable for Surgery: Experience in Siriraj Hospital', </w:t>
      </w:r>
      <w:r w:rsidRPr="00E2013B">
        <w:rPr>
          <w:rFonts w:eastAsiaTheme="minorHAnsi"/>
          <w:i/>
          <w:lang w:eastAsia="en-US"/>
        </w:rPr>
        <w:t>Journal of the Medical Association of Thailand = Chotmaihet thangphaet</w:t>
      </w:r>
      <w:r w:rsidRPr="00E2013B">
        <w:rPr>
          <w:rFonts w:eastAsiaTheme="minorHAnsi"/>
          <w:lang w:eastAsia="en-US"/>
        </w:rPr>
        <w:t xml:space="preserve">, </w:t>
      </w:r>
      <w:proofErr w:type="gramStart"/>
      <w:r w:rsidRPr="00E2013B">
        <w:rPr>
          <w:rFonts w:eastAsiaTheme="minorHAnsi"/>
          <w:lang w:eastAsia="en-US"/>
        </w:rPr>
        <w:t>vol.98(</w:t>
      </w:r>
      <w:proofErr w:type="gramEnd"/>
      <w:r w:rsidRPr="00E2013B">
        <w:rPr>
          <w:rFonts w:eastAsiaTheme="minorHAnsi"/>
          <w:lang w:eastAsia="en-US"/>
        </w:rPr>
        <w:t>10), pp. 1019-27.</w:t>
      </w:r>
    </w:p>
    <w:p w14:paraId="395D4383" w14:textId="77777777" w:rsidR="00B4290F" w:rsidRPr="00E2013B" w:rsidRDefault="00B4290F" w:rsidP="00B4290F">
      <w:pPr>
        <w:rPr>
          <w:rFonts w:eastAsiaTheme="minorHAnsi"/>
          <w:lang w:eastAsia="en-US"/>
        </w:rPr>
      </w:pPr>
      <w:r w:rsidRPr="00E2013B">
        <w:rPr>
          <w:rFonts w:eastAsiaTheme="minorHAnsi"/>
          <w:lang w:eastAsia="en-US"/>
        </w:rPr>
        <w:t xml:space="preserve">Volpe, MI, Piazza, O, Palumbo, D, Griffo, S, Romano, M, Servillo, G, De Robertis, E &amp; Tufano, R 2006, 'Conscious analgosedation for radiofrequency ablation of lung neoplasm', </w:t>
      </w:r>
      <w:r w:rsidRPr="00E2013B">
        <w:rPr>
          <w:rFonts w:eastAsiaTheme="minorHAnsi"/>
          <w:i/>
          <w:lang w:eastAsia="en-US"/>
        </w:rPr>
        <w:t>Minerva Anestesiologica</w:t>
      </w:r>
      <w:r w:rsidRPr="00E2013B">
        <w:rPr>
          <w:rFonts w:eastAsiaTheme="minorHAnsi"/>
          <w:lang w:eastAsia="en-US"/>
        </w:rPr>
        <w:t>, vol.72(3), pp. 111-15.</w:t>
      </w:r>
    </w:p>
    <w:p w14:paraId="49F3D2E1" w14:textId="18AB2257" w:rsidR="00B4290F" w:rsidRPr="00E2013B" w:rsidRDefault="00B4290F" w:rsidP="00B4290F">
      <w:pPr>
        <w:rPr>
          <w:rFonts w:eastAsiaTheme="minorHAnsi"/>
          <w:lang w:eastAsia="en-US"/>
        </w:rPr>
      </w:pPr>
      <w:r w:rsidRPr="00E2013B">
        <w:rPr>
          <w:rFonts w:eastAsiaTheme="minorHAnsi"/>
          <w:lang w:eastAsia="en-US"/>
        </w:rPr>
        <w:t>Xiong, L &amp; Dupuy, DE 2016, 'Lung Ablation: Whats New?</w:t>
      </w:r>
      <w:proofErr w:type="gramStart"/>
      <w:r w:rsidRPr="00E2013B">
        <w:rPr>
          <w:rFonts w:eastAsiaTheme="minorHAnsi"/>
          <w:lang w:eastAsia="en-US"/>
        </w:rPr>
        <w:t>',</w:t>
      </w:r>
      <w:proofErr w:type="gramEnd"/>
      <w:r w:rsidRPr="00E2013B">
        <w:rPr>
          <w:rFonts w:eastAsiaTheme="minorHAnsi"/>
          <w:lang w:eastAsia="en-US"/>
        </w:rPr>
        <w:t xml:space="preserve"> </w:t>
      </w:r>
      <w:r w:rsidRPr="00E2013B">
        <w:rPr>
          <w:rFonts w:eastAsiaTheme="minorHAnsi"/>
          <w:i/>
          <w:lang w:eastAsia="en-US"/>
        </w:rPr>
        <w:t>J Thorac Imaging</w:t>
      </w:r>
      <w:r w:rsidRPr="00E2013B">
        <w:rPr>
          <w:rFonts w:eastAsiaTheme="minorHAnsi"/>
          <w:lang w:eastAsia="en-US"/>
        </w:rPr>
        <w:t xml:space="preserve">, </w:t>
      </w:r>
      <w:r w:rsidR="00602520" w:rsidRPr="00602520">
        <w:rPr>
          <w:rFonts w:eastAsiaTheme="minorHAnsi"/>
          <w:lang w:eastAsia="en-US"/>
        </w:rPr>
        <w:t>31(4):228-37</w:t>
      </w:r>
      <w:r w:rsidR="00602520">
        <w:rPr>
          <w:rFonts w:eastAsiaTheme="minorHAnsi"/>
          <w:lang w:eastAsia="en-US"/>
        </w:rPr>
        <w:t>.</w:t>
      </w:r>
    </w:p>
    <w:p w14:paraId="29EDD6DC" w14:textId="77777777" w:rsidR="00B4290F" w:rsidRPr="00E2013B" w:rsidRDefault="00B4290F" w:rsidP="00B4290F">
      <w:pPr>
        <w:rPr>
          <w:rFonts w:eastAsiaTheme="minorHAnsi"/>
          <w:lang w:eastAsia="en-US"/>
        </w:rPr>
      </w:pPr>
      <w:r w:rsidRPr="00E2013B">
        <w:rPr>
          <w:rFonts w:eastAsiaTheme="minorHAnsi"/>
          <w:lang w:eastAsia="en-US"/>
        </w:rPr>
        <w:t xml:space="preserve">Yevich, S, Gaspar, N, Tselikas, L, Brugieres, L, Pacquement, H, Schleiermacher, G, Tabone, MD, Pearson, E, Canale, S, Muret, J, de Baere, T &amp; Deschamps, F 2016, 'Percutaneous Computed Tomography-Guided Thermal Ablation of Pulmonary Osteosarcoma Metastases in Children', </w:t>
      </w:r>
      <w:r w:rsidRPr="00E2013B">
        <w:rPr>
          <w:rFonts w:eastAsiaTheme="minorHAnsi"/>
          <w:i/>
          <w:lang w:eastAsia="en-US"/>
        </w:rPr>
        <w:t>Annals of Surgical Oncology,</w:t>
      </w:r>
      <w:r w:rsidRPr="00E2013B">
        <w:rPr>
          <w:rFonts w:eastAsiaTheme="minorHAnsi"/>
          <w:lang w:eastAsia="en-US"/>
        </w:rPr>
        <w:t xml:space="preserve"> vol.23(4), pp. 1380-86.</w:t>
      </w:r>
    </w:p>
    <w:p w14:paraId="24587696" w14:textId="77777777" w:rsidR="00B4290F" w:rsidRPr="00E2013B" w:rsidRDefault="00B4290F" w:rsidP="00B4290F">
      <w:pPr>
        <w:rPr>
          <w:rFonts w:eastAsiaTheme="minorHAnsi"/>
          <w:lang w:eastAsia="en-US"/>
        </w:rPr>
      </w:pPr>
      <w:r w:rsidRPr="00E2013B">
        <w:rPr>
          <w:rFonts w:eastAsiaTheme="minorHAnsi"/>
          <w:lang w:eastAsia="en-US"/>
        </w:rPr>
        <w:t xml:space="preserve">Zemlyak, A, Moore, WH &amp; Bilfinger, TV 2010, 'Comparison of Survival after Sublobar Resections and Ablative Therapies for Stage I Non-Small Cell Lung Cancer', </w:t>
      </w:r>
      <w:r w:rsidRPr="00E2013B">
        <w:rPr>
          <w:rFonts w:eastAsiaTheme="minorHAnsi"/>
          <w:i/>
          <w:lang w:eastAsia="en-US"/>
        </w:rPr>
        <w:t>Journal of the American College of Surgeons</w:t>
      </w:r>
      <w:r w:rsidRPr="00E2013B">
        <w:rPr>
          <w:rFonts w:eastAsiaTheme="minorHAnsi"/>
          <w:lang w:eastAsia="en-US"/>
        </w:rPr>
        <w:t>, vol.211(1), pp. 68-72.</w:t>
      </w:r>
    </w:p>
    <w:p w14:paraId="70CA28F6" w14:textId="77777777" w:rsidR="00B4290F" w:rsidRPr="00E2013B" w:rsidRDefault="00B4290F" w:rsidP="00B4290F">
      <w:pPr>
        <w:rPr>
          <w:rFonts w:eastAsiaTheme="minorHAnsi"/>
          <w:lang w:eastAsia="en-US"/>
        </w:rPr>
      </w:pPr>
      <w:r w:rsidRPr="00E2013B">
        <w:rPr>
          <w:rFonts w:eastAsiaTheme="minorHAnsi"/>
          <w:lang w:eastAsia="en-US"/>
        </w:rPr>
        <w:t xml:space="preserve">Zheng, Y &amp; Fernando, HC 2010, 'Surgical and nonresectional therapies for pulmonary metastasis', </w:t>
      </w:r>
      <w:r w:rsidRPr="00E2013B">
        <w:rPr>
          <w:rFonts w:eastAsiaTheme="minorHAnsi"/>
          <w:i/>
          <w:lang w:eastAsia="en-US"/>
        </w:rPr>
        <w:t>Surgical Clinics of North America</w:t>
      </w:r>
      <w:r w:rsidRPr="00E2013B">
        <w:rPr>
          <w:rFonts w:eastAsiaTheme="minorHAnsi"/>
          <w:lang w:eastAsia="en-US"/>
        </w:rPr>
        <w:t xml:space="preserve">, </w:t>
      </w:r>
      <w:proofErr w:type="gramStart"/>
      <w:r w:rsidRPr="00E2013B">
        <w:rPr>
          <w:rFonts w:eastAsiaTheme="minorHAnsi"/>
          <w:lang w:eastAsia="en-US"/>
        </w:rPr>
        <w:t>vol.90(</w:t>
      </w:r>
      <w:proofErr w:type="gramEnd"/>
      <w:r w:rsidRPr="00E2013B">
        <w:rPr>
          <w:rFonts w:eastAsiaTheme="minorHAnsi"/>
          <w:lang w:eastAsia="en-US"/>
        </w:rPr>
        <w:t>5), pp. 1041-51.</w:t>
      </w:r>
    </w:p>
    <w:p w14:paraId="169268B8" w14:textId="77777777" w:rsidR="00B4290F" w:rsidRPr="00E2013B" w:rsidRDefault="00B4290F" w:rsidP="00B4290F">
      <w:pPr>
        <w:rPr>
          <w:rFonts w:eastAsiaTheme="minorHAnsi"/>
          <w:lang w:eastAsia="en-US"/>
        </w:rPr>
      </w:pPr>
      <w:r w:rsidRPr="00E2013B">
        <w:rPr>
          <w:rFonts w:eastAsiaTheme="minorHAnsi"/>
          <w:lang w:eastAsia="en-US"/>
        </w:rPr>
        <w:t xml:space="preserve">Zisis, C, Tsakiridis, K, Kougioumtzi, I, Zarogoulidis, P, Darwiche, K, Machairiotis, N, Zaric, B, Katsikogiannis, N, Kesisis, G, Stylianaki, A, Li, Z &amp; Zarogoulidis, K 2013, 'The management of the advanced colorectal cancer: Management of the pulmonary metastases', </w:t>
      </w:r>
      <w:r w:rsidRPr="00E2013B">
        <w:rPr>
          <w:rFonts w:eastAsiaTheme="minorHAnsi"/>
          <w:i/>
          <w:lang w:eastAsia="en-US"/>
        </w:rPr>
        <w:t>Journal of Thoracic Disease</w:t>
      </w:r>
      <w:r w:rsidRPr="00E2013B">
        <w:rPr>
          <w:rFonts w:eastAsiaTheme="minorHAnsi"/>
          <w:lang w:eastAsia="en-US"/>
        </w:rPr>
        <w:t>, vol.5(SUPPL.4), pp. S383-S88.</w:t>
      </w:r>
    </w:p>
    <w:p w14:paraId="09C81E5C" w14:textId="77777777" w:rsidR="00B4290F" w:rsidRPr="003F127F" w:rsidRDefault="00B4290F" w:rsidP="00B4290F">
      <w:pPr>
        <w:rPr>
          <w:rFonts w:eastAsiaTheme="minorHAnsi"/>
          <w:b/>
          <w:lang w:eastAsia="en-US"/>
        </w:rPr>
      </w:pPr>
      <w:r w:rsidRPr="003F127F">
        <w:rPr>
          <w:rFonts w:eastAsiaTheme="minorHAnsi"/>
          <w:b/>
          <w:lang w:eastAsia="en-US"/>
        </w:rPr>
        <w:t>Studies with irrelevant outcomes (</w:t>
      </w:r>
      <w:r>
        <w:rPr>
          <w:rFonts w:eastAsiaTheme="minorHAnsi"/>
          <w:b/>
          <w:lang w:eastAsia="en-US"/>
        </w:rPr>
        <w:t xml:space="preserve">n = </w:t>
      </w:r>
      <w:r w:rsidRPr="003F127F">
        <w:rPr>
          <w:rFonts w:eastAsiaTheme="minorHAnsi"/>
          <w:b/>
          <w:lang w:eastAsia="en-US"/>
        </w:rPr>
        <w:t>12)</w:t>
      </w:r>
    </w:p>
    <w:p w14:paraId="5D4155C9" w14:textId="77777777" w:rsidR="00B4290F" w:rsidRPr="00E2013B" w:rsidRDefault="00B4290F" w:rsidP="00B4290F">
      <w:pPr>
        <w:rPr>
          <w:rFonts w:eastAsiaTheme="minorHAnsi"/>
          <w:lang w:eastAsia="en-US"/>
        </w:rPr>
      </w:pPr>
      <w:r w:rsidRPr="00E2013B">
        <w:rPr>
          <w:rFonts w:eastAsiaTheme="minorHAnsi"/>
          <w:lang w:eastAsia="en-US"/>
        </w:rPr>
        <w:t>Alexander, ES, Machan, JT, Ng, T, Breen, LD, DiPetrillo, TA &amp; Dupuy, DE 2013, 'Cost and effectiveness of radiofrequency ablation versus limited surgical resection for stage I non-small-cell lung cancer in elderly patients: is less more?</w:t>
      </w:r>
      <w:proofErr w:type="gramStart"/>
      <w:r w:rsidRPr="00E2013B">
        <w:rPr>
          <w:rFonts w:eastAsiaTheme="minorHAnsi"/>
          <w:lang w:eastAsia="en-US"/>
        </w:rPr>
        <w:t>',</w:t>
      </w:r>
      <w:proofErr w:type="gramEnd"/>
      <w:r w:rsidRPr="00E2013B">
        <w:rPr>
          <w:rFonts w:eastAsiaTheme="minorHAnsi"/>
          <w:lang w:eastAsia="en-US"/>
        </w:rPr>
        <w:t xml:space="preserve"> </w:t>
      </w:r>
      <w:r w:rsidRPr="00E2013B">
        <w:rPr>
          <w:rFonts w:eastAsiaTheme="minorHAnsi"/>
          <w:i/>
          <w:lang w:eastAsia="en-US"/>
        </w:rPr>
        <w:t>J Vasc Interv Radiol</w:t>
      </w:r>
      <w:r w:rsidRPr="00E2013B">
        <w:rPr>
          <w:rFonts w:eastAsiaTheme="minorHAnsi"/>
          <w:lang w:eastAsia="en-US"/>
        </w:rPr>
        <w:t>, vol.24(4), pp. 476-82.</w:t>
      </w:r>
    </w:p>
    <w:p w14:paraId="2E84D9DC" w14:textId="77777777" w:rsidR="00B4290F" w:rsidRPr="00E2013B" w:rsidRDefault="00B4290F" w:rsidP="00B4290F">
      <w:pPr>
        <w:rPr>
          <w:rFonts w:eastAsiaTheme="minorHAnsi"/>
          <w:lang w:eastAsia="en-US"/>
        </w:rPr>
      </w:pPr>
      <w:r w:rsidRPr="00E2013B">
        <w:rPr>
          <w:rFonts w:eastAsiaTheme="minorHAnsi"/>
          <w:lang w:eastAsia="en-US"/>
        </w:rPr>
        <w:t>Anderson, EM, Lees, WR &amp; Gillams, AR 2009, 'Early indicators of treatment success after percutaneous radiofrequency of pulmonary tumors', Car</w:t>
      </w:r>
      <w:r w:rsidRPr="00E2013B">
        <w:rPr>
          <w:rFonts w:eastAsiaTheme="minorHAnsi"/>
          <w:i/>
          <w:lang w:eastAsia="en-US"/>
        </w:rPr>
        <w:t>diovascular and interventional radiology</w:t>
      </w:r>
      <w:r w:rsidRPr="00E2013B">
        <w:rPr>
          <w:rFonts w:eastAsiaTheme="minorHAnsi"/>
          <w:lang w:eastAsia="en-US"/>
        </w:rPr>
        <w:t xml:space="preserve">, </w:t>
      </w:r>
      <w:proofErr w:type="gramStart"/>
      <w:r w:rsidRPr="00E2013B">
        <w:rPr>
          <w:rFonts w:eastAsiaTheme="minorHAnsi"/>
          <w:lang w:eastAsia="en-US"/>
        </w:rPr>
        <w:t>vol.32(</w:t>
      </w:r>
      <w:proofErr w:type="gramEnd"/>
      <w:r w:rsidRPr="00E2013B">
        <w:rPr>
          <w:rFonts w:eastAsiaTheme="minorHAnsi"/>
          <w:lang w:eastAsia="en-US"/>
        </w:rPr>
        <w:t>3), pp. 478-83.</w:t>
      </w:r>
    </w:p>
    <w:p w14:paraId="39A69E98" w14:textId="77777777" w:rsidR="00B4290F" w:rsidRPr="00E2013B" w:rsidRDefault="00B4290F" w:rsidP="00B4290F">
      <w:pPr>
        <w:rPr>
          <w:rFonts w:eastAsiaTheme="minorHAnsi"/>
          <w:lang w:eastAsia="en-US"/>
        </w:rPr>
      </w:pPr>
      <w:r w:rsidRPr="00E2013B">
        <w:rPr>
          <w:rFonts w:eastAsiaTheme="minorHAnsi"/>
          <w:lang w:eastAsia="en-US"/>
        </w:rPr>
        <w:t>Bonichon, F, Palussiere, J, Godbert, Y, Pulido, M, Descat, E, Devillers, A, Meunier, C, Leboulleux, S, de Baere, T, Galy-Lacour, C, Lagoarde-Segot, L &amp; Cazeau, AL 2013, 'Diagnostic accuracy of 18F-FDG PET/CT for assessing response to radiofrequency ablation treatment in lung metastases: a multicentre prospective study'</w:t>
      </w:r>
      <w:r w:rsidRPr="00E2013B">
        <w:rPr>
          <w:rFonts w:eastAsiaTheme="minorHAnsi"/>
          <w:i/>
          <w:lang w:eastAsia="en-US"/>
        </w:rPr>
        <w:t>, European Journal of Nuclear Medicine and Molecular Imaging</w:t>
      </w:r>
      <w:r w:rsidRPr="00E2013B">
        <w:rPr>
          <w:rFonts w:eastAsiaTheme="minorHAnsi"/>
          <w:lang w:eastAsia="en-US"/>
        </w:rPr>
        <w:t>, vol.40(12), pp. 1817-27.</w:t>
      </w:r>
    </w:p>
    <w:p w14:paraId="481F069C"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Chan, VO, McDermott, S, Malone, DE &amp; Dodd, JD 2011, 'Percutaneous radiofrequency ablation of lung tumors: Evaluation of the literature using evidence-based techniques', </w:t>
      </w:r>
      <w:r w:rsidRPr="00E2013B">
        <w:rPr>
          <w:rFonts w:eastAsiaTheme="minorHAnsi"/>
          <w:i/>
          <w:lang w:eastAsia="en-US"/>
        </w:rPr>
        <w:t>Journal of Thoracic Imaging,</w:t>
      </w:r>
      <w:r w:rsidRPr="00E2013B">
        <w:rPr>
          <w:rFonts w:eastAsiaTheme="minorHAnsi"/>
          <w:lang w:eastAsia="en-US"/>
        </w:rPr>
        <w:t xml:space="preserve"> vol.26(1), pp. 18-26.</w:t>
      </w:r>
    </w:p>
    <w:p w14:paraId="694D5CE5" w14:textId="77777777" w:rsidR="00B4290F" w:rsidRPr="00E2013B" w:rsidRDefault="00B4290F" w:rsidP="00B4290F">
      <w:pPr>
        <w:rPr>
          <w:rFonts w:eastAsiaTheme="minorHAnsi"/>
          <w:lang w:eastAsia="en-US"/>
        </w:rPr>
      </w:pPr>
      <w:r w:rsidRPr="00E2013B">
        <w:rPr>
          <w:rFonts w:eastAsiaTheme="minorHAnsi"/>
          <w:lang w:eastAsia="en-US"/>
        </w:rPr>
        <w:t>Hoffmann, RT, Jakobs, TF, Lubienski, A, Schrader, A, Trumm, C, Reiser, MF &amp; Helmberger, TK 2006, 'Percutaneous radiofrequency ablation of pulmonary tumors-Is there a difference between treatment under general anaesthesia and under conscious sedation?</w:t>
      </w:r>
      <w:proofErr w:type="gramStart"/>
      <w:r w:rsidRPr="00E2013B">
        <w:rPr>
          <w:rFonts w:eastAsiaTheme="minorHAnsi"/>
          <w:lang w:eastAsia="en-US"/>
        </w:rPr>
        <w:t>',</w:t>
      </w:r>
      <w:proofErr w:type="gramEnd"/>
      <w:r w:rsidRPr="00E2013B">
        <w:rPr>
          <w:rFonts w:eastAsiaTheme="minorHAnsi"/>
          <w:lang w:eastAsia="en-US"/>
        </w:rPr>
        <w:t xml:space="preserve"> </w:t>
      </w:r>
      <w:r w:rsidRPr="00E2013B">
        <w:rPr>
          <w:rFonts w:eastAsiaTheme="minorHAnsi"/>
          <w:i/>
          <w:lang w:eastAsia="en-US"/>
        </w:rPr>
        <w:t>European journal of radiology</w:t>
      </w:r>
      <w:r w:rsidRPr="00E2013B">
        <w:rPr>
          <w:rFonts w:eastAsiaTheme="minorHAnsi"/>
          <w:lang w:eastAsia="en-US"/>
        </w:rPr>
        <w:t>, vol.59(2), pp. 168-74.</w:t>
      </w:r>
    </w:p>
    <w:p w14:paraId="5A9A6678" w14:textId="460EED1F" w:rsidR="00602520" w:rsidRDefault="00602520" w:rsidP="00B4290F">
      <w:pPr>
        <w:rPr>
          <w:rFonts w:eastAsiaTheme="minorHAnsi"/>
          <w:lang w:eastAsia="en-US"/>
        </w:rPr>
      </w:pPr>
      <w:proofErr w:type="gramStart"/>
      <w:r w:rsidRPr="00602520">
        <w:rPr>
          <w:rFonts w:eastAsiaTheme="minorHAnsi"/>
          <w:lang w:eastAsia="en-US"/>
        </w:rPr>
        <w:t>McIntosh H.</w:t>
      </w:r>
      <w:proofErr w:type="gramEnd"/>
      <w:r w:rsidRPr="00602520">
        <w:rPr>
          <w:rFonts w:eastAsiaTheme="minorHAnsi"/>
          <w:lang w:eastAsia="en-US"/>
        </w:rPr>
        <w:t xml:space="preserve"> </w:t>
      </w:r>
      <w:proofErr w:type="gramStart"/>
      <w:r w:rsidRPr="00602520">
        <w:rPr>
          <w:rFonts w:eastAsiaTheme="minorHAnsi"/>
          <w:lang w:eastAsia="en-US"/>
        </w:rPr>
        <w:t>The clinical and cost-effectiveness of radiofrequency ablation for lung cancer.</w:t>
      </w:r>
      <w:proofErr w:type="gramEnd"/>
      <w:r w:rsidRPr="00602520">
        <w:rPr>
          <w:rFonts w:eastAsiaTheme="minorHAnsi"/>
          <w:lang w:eastAsia="en-US"/>
        </w:rPr>
        <w:t xml:space="preserve"> Glasgow: Healthcare Improvement Scotland. Technologies scoping report 10. 2012</w:t>
      </w:r>
      <w:r>
        <w:rPr>
          <w:rFonts w:eastAsiaTheme="minorHAnsi"/>
          <w:lang w:eastAsia="en-US"/>
        </w:rPr>
        <w:t>.</w:t>
      </w:r>
    </w:p>
    <w:p w14:paraId="6DDF35AD" w14:textId="7059F4BD" w:rsidR="00B4290F" w:rsidRPr="00E2013B" w:rsidRDefault="00B4290F" w:rsidP="00B4290F">
      <w:pPr>
        <w:rPr>
          <w:rFonts w:eastAsiaTheme="minorHAnsi"/>
          <w:lang w:eastAsia="en-US"/>
        </w:rPr>
      </w:pPr>
      <w:r w:rsidRPr="00E2013B">
        <w:rPr>
          <w:rFonts w:eastAsiaTheme="minorHAnsi"/>
          <w:lang w:eastAsia="en-US"/>
        </w:rPr>
        <w:t xml:space="preserve">Okuma, T, Matsuoka, T, Yamamoto, A, Oyama, Y, Inoue, K, Nakamura, K &amp; Inoue, Y 2007, 'Factors Contributing to Cavitation after CT-guided Percutaneous Radiofrequency Ablation for Lung Tumors', </w:t>
      </w:r>
      <w:r w:rsidRPr="00E2013B">
        <w:rPr>
          <w:rFonts w:eastAsiaTheme="minorHAnsi"/>
          <w:i/>
          <w:lang w:eastAsia="en-US"/>
        </w:rPr>
        <w:t>Journal of Vascular and Interventional Radiology</w:t>
      </w:r>
      <w:r w:rsidRPr="00E2013B">
        <w:rPr>
          <w:rFonts w:eastAsiaTheme="minorHAnsi"/>
          <w:lang w:eastAsia="en-US"/>
        </w:rPr>
        <w:t>, vol.18(3), pp. 399-404.</w:t>
      </w:r>
    </w:p>
    <w:p w14:paraId="271B0EBB" w14:textId="77777777" w:rsidR="00B4290F" w:rsidRPr="00E2013B" w:rsidRDefault="00B4290F" w:rsidP="00B4290F">
      <w:pPr>
        <w:rPr>
          <w:rFonts w:eastAsiaTheme="minorHAnsi"/>
          <w:lang w:eastAsia="en-US"/>
        </w:rPr>
      </w:pPr>
      <w:r w:rsidRPr="00E2013B">
        <w:rPr>
          <w:rFonts w:eastAsiaTheme="minorHAnsi"/>
          <w:lang w:eastAsia="en-US"/>
        </w:rPr>
        <w:t xml:space="preserve">Sher, DJ, Wee, JO &amp; Punglia, RS 2011, 'Cost-effectiveness analysis of stereotactic body radiotherapy and radiofrequency ablation for medically inoperable, early-stage non-small cell lung cancer', </w:t>
      </w:r>
      <w:r w:rsidRPr="00E2013B">
        <w:rPr>
          <w:rFonts w:eastAsiaTheme="minorHAnsi"/>
          <w:i/>
          <w:lang w:eastAsia="en-US"/>
        </w:rPr>
        <w:t>International Journal of Radiation Oncology Biology Physics</w:t>
      </w:r>
      <w:r w:rsidRPr="00E2013B">
        <w:rPr>
          <w:rFonts w:eastAsiaTheme="minorHAnsi"/>
          <w:lang w:eastAsia="en-US"/>
        </w:rPr>
        <w:t xml:space="preserve">, </w:t>
      </w:r>
      <w:proofErr w:type="gramStart"/>
      <w:r w:rsidRPr="00E2013B">
        <w:rPr>
          <w:rFonts w:eastAsiaTheme="minorHAnsi"/>
          <w:lang w:eastAsia="en-US"/>
        </w:rPr>
        <w:t>vol.81(</w:t>
      </w:r>
      <w:proofErr w:type="gramEnd"/>
      <w:r w:rsidRPr="00E2013B">
        <w:rPr>
          <w:rFonts w:eastAsiaTheme="minorHAnsi"/>
          <w:lang w:eastAsia="en-US"/>
        </w:rPr>
        <w:t>5), pp. e767-e74.</w:t>
      </w:r>
    </w:p>
    <w:p w14:paraId="5410F087" w14:textId="77777777" w:rsidR="00B4290F" w:rsidRPr="00E2013B" w:rsidRDefault="00B4290F" w:rsidP="00B4290F">
      <w:pPr>
        <w:rPr>
          <w:rFonts w:eastAsiaTheme="minorHAnsi"/>
          <w:lang w:eastAsia="en-US"/>
        </w:rPr>
      </w:pPr>
      <w:r w:rsidRPr="00E2013B">
        <w:rPr>
          <w:rFonts w:eastAsiaTheme="minorHAnsi"/>
          <w:lang w:eastAsia="en-US"/>
        </w:rPr>
        <w:t xml:space="preserve">Tada, A, Hiraki, T, Iguchi, T, Gobara, H, Mimura, H, Toyooka, S, Kiura, K, Tsuda, T, Mitsuhashi, T &amp; Kanazawa, S 2012, 'Influence of radiofrequency ablation of lung cancer on pulmonary function', </w:t>
      </w:r>
      <w:r w:rsidRPr="00E2013B">
        <w:rPr>
          <w:rFonts w:eastAsiaTheme="minorHAnsi"/>
          <w:i/>
          <w:lang w:eastAsia="en-US"/>
        </w:rPr>
        <w:t>Cardiovascular and interventional radiology</w:t>
      </w:r>
      <w:r w:rsidRPr="00E2013B">
        <w:rPr>
          <w:rFonts w:eastAsiaTheme="minorHAnsi"/>
          <w:lang w:eastAsia="en-US"/>
        </w:rPr>
        <w:t>, vol.35(4), pp. 860-67.</w:t>
      </w:r>
    </w:p>
    <w:p w14:paraId="28E847A8" w14:textId="77777777" w:rsidR="00B4290F" w:rsidRPr="00E2013B" w:rsidRDefault="00B4290F" w:rsidP="00B4290F">
      <w:pPr>
        <w:rPr>
          <w:rFonts w:eastAsiaTheme="minorHAnsi"/>
          <w:lang w:eastAsia="en-US"/>
        </w:rPr>
      </w:pPr>
      <w:r w:rsidRPr="00E2013B">
        <w:rPr>
          <w:rFonts w:eastAsiaTheme="minorHAnsi"/>
          <w:lang w:eastAsia="en-US"/>
        </w:rPr>
        <w:t xml:space="preserve">Wang, Y, Li, G, Li, W, He, X &amp; Xu, L 2015, 'Radiofrequency ablation of advanced lung tumors: Imaging features, local control, and follow-up protocol', </w:t>
      </w:r>
      <w:r w:rsidRPr="00E2013B">
        <w:rPr>
          <w:rFonts w:eastAsiaTheme="minorHAnsi"/>
          <w:i/>
          <w:lang w:eastAsia="en-US"/>
        </w:rPr>
        <w:t>International Journal of Clinical and Experimental Medicine</w:t>
      </w:r>
      <w:r w:rsidRPr="00E2013B">
        <w:rPr>
          <w:rFonts w:eastAsiaTheme="minorHAnsi"/>
          <w:lang w:eastAsia="en-US"/>
        </w:rPr>
        <w:t xml:space="preserve">, </w:t>
      </w:r>
      <w:proofErr w:type="gramStart"/>
      <w:r w:rsidRPr="00E2013B">
        <w:rPr>
          <w:rFonts w:eastAsiaTheme="minorHAnsi"/>
          <w:lang w:eastAsia="en-US"/>
        </w:rPr>
        <w:t>vol.8(</w:t>
      </w:r>
      <w:proofErr w:type="gramEnd"/>
      <w:r w:rsidRPr="00E2013B">
        <w:rPr>
          <w:rFonts w:eastAsiaTheme="minorHAnsi"/>
          <w:lang w:eastAsia="en-US"/>
        </w:rPr>
        <w:t>10), pp. 18137-43.</w:t>
      </w:r>
    </w:p>
    <w:p w14:paraId="7211BEFC" w14:textId="77777777" w:rsidR="00B4290F" w:rsidRPr="003F69BC" w:rsidRDefault="00B4290F" w:rsidP="00B4290F">
      <w:pPr>
        <w:rPr>
          <w:rFonts w:eastAsiaTheme="minorHAnsi"/>
          <w:b/>
          <w:lang w:eastAsia="en-US"/>
        </w:rPr>
      </w:pPr>
      <w:r w:rsidRPr="00E2013B">
        <w:rPr>
          <w:rFonts w:eastAsiaTheme="minorHAnsi"/>
          <w:lang w:eastAsia="en-US"/>
        </w:rPr>
        <w:t xml:space="preserve">Yoo, DC, Dupuy, DE, Hillman, SL, Fernando, HC, Rilling, WS, Shepard, JAO &amp; Siegel, BA 2011, 'Radiofrequency ablation of medically inoperable stage IA non-small cell lung cancer: Are early posttreatment PET findings predictive of treatment outcome?', </w:t>
      </w:r>
      <w:r w:rsidRPr="00E2013B">
        <w:rPr>
          <w:rFonts w:eastAsiaTheme="minorHAnsi"/>
          <w:i/>
          <w:lang w:eastAsia="en-US"/>
        </w:rPr>
        <w:t>American Journal of Roentgenology</w:t>
      </w:r>
      <w:r w:rsidRPr="00E2013B">
        <w:rPr>
          <w:rFonts w:eastAsiaTheme="minorHAnsi"/>
          <w:lang w:eastAsia="en-US"/>
        </w:rPr>
        <w:t>, vol.197(2), pp. 334-40.</w:t>
      </w:r>
    </w:p>
    <w:p w14:paraId="2DD8CA46" w14:textId="77777777" w:rsidR="00B4290F" w:rsidRPr="003F69BC" w:rsidRDefault="00B4290F" w:rsidP="00B4290F">
      <w:pPr>
        <w:rPr>
          <w:rFonts w:eastAsiaTheme="minorHAnsi"/>
          <w:b/>
          <w:lang w:eastAsia="en-US"/>
        </w:rPr>
      </w:pPr>
      <w:r w:rsidRPr="003F69BC">
        <w:rPr>
          <w:rFonts w:eastAsiaTheme="minorHAnsi"/>
          <w:b/>
          <w:lang w:eastAsia="en-US"/>
        </w:rPr>
        <w:t>Studies with the wrong or mixed intervention (</w:t>
      </w:r>
      <w:r>
        <w:rPr>
          <w:rFonts w:eastAsiaTheme="minorHAnsi"/>
          <w:b/>
          <w:lang w:eastAsia="en-US"/>
        </w:rPr>
        <w:t xml:space="preserve">n = </w:t>
      </w:r>
      <w:r w:rsidRPr="003F69BC">
        <w:rPr>
          <w:rFonts w:eastAsiaTheme="minorHAnsi"/>
          <w:b/>
          <w:lang w:eastAsia="en-US"/>
        </w:rPr>
        <w:t>17)</w:t>
      </w:r>
    </w:p>
    <w:p w14:paraId="74D1015D" w14:textId="77777777" w:rsidR="00602520" w:rsidRDefault="00602520" w:rsidP="00B4290F">
      <w:pPr>
        <w:rPr>
          <w:rFonts w:eastAsiaTheme="minorHAnsi"/>
          <w:lang w:eastAsia="en-US"/>
        </w:rPr>
      </w:pPr>
      <w:proofErr w:type="gramStart"/>
      <w:r w:rsidRPr="00602520">
        <w:rPr>
          <w:rFonts w:eastAsiaTheme="minorHAnsi"/>
          <w:lang w:eastAsia="en-US"/>
        </w:rPr>
        <w:t>Computed tomography-guided percutaneous microwave ablation for lung nodules.</w:t>
      </w:r>
      <w:proofErr w:type="gramEnd"/>
      <w:r w:rsidRPr="00602520">
        <w:rPr>
          <w:rFonts w:eastAsiaTheme="minorHAnsi"/>
          <w:lang w:eastAsia="en-US"/>
        </w:rPr>
        <w:t xml:space="preserve"> Lansdale: HAYES, </w:t>
      </w:r>
      <w:proofErr w:type="gramStart"/>
      <w:r w:rsidRPr="00602520">
        <w:rPr>
          <w:rFonts w:eastAsiaTheme="minorHAnsi"/>
          <w:lang w:eastAsia="en-US"/>
        </w:rPr>
        <w:t>Inc..</w:t>
      </w:r>
      <w:proofErr w:type="gramEnd"/>
      <w:r w:rsidRPr="00602520">
        <w:rPr>
          <w:rFonts w:eastAsiaTheme="minorHAnsi"/>
          <w:lang w:eastAsia="en-US"/>
        </w:rPr>
        <w:t xml:space="preserve"> </w:t>
      </w:r>
      <w:proofErr w:type="gramStart"/>
      <w:r w:rsidRPr="00602520">
        <w:rPr>
          <w:rFonts w:eastAsiaTheme="minorHAnsi"/>
          <w:lang w:eastAsia="en-US"/>
        </w:rPr>
        <w:t>Healthcare Technology Brief Publication.</w:t>
      </w:r>
      <w:proofErr w:type="gramEnd"/>
      <w:r w:rsidRPr="00602520">
        <w:rPr>
          <w:rFonts w:eastAsiaTheme="minorHAnsi"/>
          <w:lang w:eastAsia="en-US"/>
        </w:rPr>
        <w:t xml:space="preserve"> 2014 </w:t>
      </w:r>
    </w:p>
    <w:p w14:paraId="2C2A99DC" w14:textId="112E4D84" w:rsidR="00B4290F" w:rsidRPr="00E2013B" w:rsidRDefault="00B4290F" w:rsidP="00B4290F">
      <w:pPr>
        <w:rPr>
          <w:rFonts w:eastAsiaTheme="minorHAnsi"/>
          <w:lang w:eastAsia="en-US"/>
        </w:rPr>
      </w:pPr>
      <w:r w:rsidRPr="00E2013B">
        <w:rPr>
          <w:rFonts w:eastAsiaTheme="minorHAnsi"/>
          <w:lang w:eastAsia="en-US"/>
        </w:rPr>
        <w:t xml:space="preserve">Ambrogi, MC, Lucchi, M, Dini, P, Melfi, F, Fontanini, G, Faviana, P, Fanucchi, O &amp; Mussi, A 2006, 'Percutaneous radiofrequency ablation of lung tumours: results in the mid-term', </w:t>
      </w:r>
      <w:r w:rsidRPr="00E2013B">
        <w:rPr>
          <w:rFonts w:eastAsiaTheme="minorHAnsi"/>
          <w:i/>
          <w:lang w:eastAsia="en-US"/>
        </w:rPr>
        <w:t>European Journal of Cardio-thoracic Surgery</w:t>
      </w:r>
      <w:r w:rsidRPr="00E2013B">
        <w:rPr>
          <w:rFonts w:eastAsiaTheme="minorHAnsi"/>
          <w:lang w:eastAsia="en-US"/>
        </w:rPr>
        <w:t xml:space="preserve">, </w:t>
      </w:r>
      <w:proofErr w:type="gramStart"/>
      <w:r w:rsidRPr="00E2013B">
        <w:rPr>
          <w:rFonts w:eastAsiaTheme="minorHAnsi"/>
          <w:lang w:eastAsia="en-US"/>
        </w:rPr>
        <w:t>vol.30(</w:t>
      </w:r>
      <w:proofErr w:type="gramEnd"/>
      <w:r w:rsidRPr="00E2013B">
        <w:rPr>
          <w:rFonts w:eastAsiaTheme="minorHAnsi"/>
          <w:lang w:eastAsia="en-US"/>
        </w:rPr>
        <w:t>1), pp. 177-83.</w:t>
      </w:r>
    </w:p>
    <w:p w14:paraId="795D5DC4" w14:textId="77777777" w:rsidR="00B4290F" w:rsidRPr="00E2013B" w:rsidRDefault="00B4290F" w:rsidP="00B4290F">
      <w:pPr>
        <w:rPr>
          <w:rFonts w:eastAsiaTheme="minorHAnsi"/>
          <w:lang w:eastAsia="en-US"/>
        </w:rPr>
      </w:pPr>
      <w:r w:rsidRPr="00E2013B">
        <w:rPr>
          <w:rFonts w:eastAsiaTheme="minorHAnsi"/>
          <w:lang w:eastAsia="en-US"/>
        </w:rPr>
        <w:lastRenderedPageBreak/>
        <w:t>Beland, MD, Wasser, EJ, Mayo-Smith, WW &amp; Dupuye, DE 2010, 'Primary non-small cell lung cancer: Review of frequency, location, and time of recurrence after radiofrequency ablation'</w:t>
      </w:r>
      <w:r w:rsidRPr="00E2013B">
        <w:rPr>
          <w:rFonts w:eastAsiaTheme="minorHAnsi"/>
          <w:i/>
          <w:lang w:eastAsia="en-US"/>
        </w:rPr>
        <w:t>, Radiology</w:t>
      </w:r>
      <w:r w:rsidRPr="00E2013B">
        <w:rPr>
          <w:rFonts w:eastAsiaTheme="minorHAnsi"/>
          <w:lang w:eastAsia="en-US"/>
        </w:rPr>
        <w:t xml:space="preserve">, </w:t>
      </w:r>
      <w:proofErr w:type="gramStart"/>
      <w:r w:rsidRPr="00E2013B">
        <w:rPr>
          <w:rFonts w:eastAsiaTheme="minorHAnsi"/>
          <w:lang w:eastAsia="en-US"/>
        </w:rPr>
        <w:t>vol.254(</w:t>
      </w:r>
      <w:proofErr w:type="gramEnd"/>
      <w:r w:rsidRPr="00E2013B">
        <w:rPr>
          <w:rFonts w:eastAsiaTheme="minorHAnsi"/>
          <w:lang w:eastAsia="en-US"/>
        </w:rPr>
        <w:t>1), pp. 301-07.</w:t>
      </w:r>
    </w:p>
    <w:p w14:paraId="0DE32809" w14:textId="77777777" w:rsidR="00B4290F" w:rsidRPr="00E2013B" w:rsidRDefault="00B4290F" w:rsidP="00B4290F">
      <w:pPr>
        <w:rPr>
          <w:rFonts w:eastAsiaTheme="minorHAnsi"/>
          <w:lang w:eastAsia="en-US"/>
        </w:rPr>
      </w:pPr>
      <w:r w:rsidRPr="00E2013B">
        <w:rPr>
          <w:rFonts w:eastAsiaTheme="minorHAnsi"/>
          <w:lang w:eastAsia="en-US"/>
        </w:rPr>
        <w:t xml:space="preserve">Chan, MD, Dupuy, DE, Mayo-Smith, WW, Ng, T &amp; DiPetrillo, TA 2011, 'Combined radiofrequency ablation and high-dose rate brachytherapy for early-stage non-small-cell lung cancer', </w:t>
      </w:r>
      <w:r w:rsidRPr="00E2013B">
        <w:rPr>
          <w:rFonts w:eastAsiaTheme="minorHAnsi"/>
          <w:i/>
          <w:lang w:eastAsia="en-US"/>
        </w:rPr>
        <w:t>Brachytherapy</w:t>
      </w:r>
      <w:r w:rsidRPr="00E2013B">
        <w:rPr>
          <w:rFonts w:eastAsiaTheme="minorHAnsi"/>
          <w:lang w:eastAsia="en-US"/>
        </w:rPr>
        <w:t>, vol.10(3), pp. 253-59.</w:t>
      </w:r>
    </w:p>
    <w:p w14:paraId="5E839019" w14:textId="77777777" w:rsidR="00B4290F" w:rsidRPr="00E2013B" w:rsidRDefault="00B4290F" w:rsidP="00B4290F">
      <w:pPr>
        <w:rPr>
          <w:rFonts w:eastAsiaTheme="minorHAnsi"/>
          <w:lang w:eastAsia="en-US"/>
        </w:rPr>
      </w:pPr>
      <w:r w:rsidRPr="00E2013B">
        <w:rPr>
          <w:rFonts w:eastAsiaTheme="minorHAnsi"/>
          <w:lang w:eastAsia="en-US"/>
        </w:rPr>
        <w:t>Cheng, M, Fay, M &amp; Steinke, K 2016, 'Percutaneous CT-guided thermal ablation as salvage therapy for recurrent non-small cell lung cancer after external beam radiotherapy: A retrospective study',</w:t>
      </w:r>
      <w:r w:rsidRPr="00E2013B">
        <w:rPr>
          <w:rFonts w:eastAsiaTheme="minorHAnsi"/>
          <w:i/>
          <w:lang w:eastAsia="en-US"/>
        </w:rPr>
        <w:t xml:space="preserve"> Int J Hyperthermia</w:t>
      </w:r>
      <w:r w:rsidRPr="00E2013B">
        <w:rPr>
          <w:rFonts w:eastAsiaTheme="minorHAnsi"/>
          <w:lang w:eastAsia="en-US"/>
        </w:rPr>
        <w:t xml:space="preserve">, vol.pp. </w:t>
      </w:r>
      <w:proofErr w:type="gramStart"/>
      <w:r w:rsidRPr="00E2013B">
        <w:rPr>
          <w:rFonts w:eastAsiaTheme="minorHAnsi"/>
          <w:lang w:eastAsia="en-US"/>
        </w:rPr>
        <w:t>1-8.</w:t>
      </w:r>
      <w:proofErr w:type="gramEnd"/>
    </w:p>
    <w:p w14:paraId="783BFD13" w14:textId="77777777" w:rsidR="00B4290F" w:rsidRPr="00E2013B" w:rsidRDefault="00B4290F" w:rsidP="00B4290F">
      <w:pPr>
        <w:rPr>
          <w:rFonts w:eastAsiaTheme="minorHAnsi"/>
          <w:lang w:eastAsia="en-US"/>
        </w:rPr>
      </w:pPr>
      <w:r w:rsidRPr="00E2013B">
        <w:rPr>
          <w:rFonts w:eastAsiaTheme="minorHAnsi"/>
          <w:lang w:eastAsia="en-US"/>
        </w:rPr>
        <w:t xml:space="preserve">Dupuy, DE, DiPetrillo, T, Gandhi, S, Ready, N, Ng, T, Donat, W &amp; Mayo-Smith, WW 2006, 'Radiofrequency ablation followed by conventional radiotherapy for medically inoperable stage I non-small cell lung cancer', </w:t>
      </w:r>
      <w:r w:rsidRPr="00E2013B">
        <w:rPr>
          <w:rFonts w:eastAsiaTheme="minorHAnsi"/>
          <w:i/>
          <w:lang w:eastAsia="en-US"/>
        </w:rPr>
        <w:t>Chest</w:t>
      </w:r>
      <w:r w:rsidRPr="00E2013B">
        <w:rPr>
          <w:rFonts w:eastAsiaTheme="minorHAnsi"/>
          <w:lang w:eastAsia="en-US"/>
        </w:rPr>
        <w:t>, vol.129(3), pp. 738-45.</w:t>
      </w:r>
    </w:p>
    <w:p w14:paraId="3068B49E" w14:textId="77777777" w:rsidR="00B4290F" w:rsidRPr="00E2013B" w:rsidRDefault="00B4290F" w:rsidP="00B4290F">
      <w:pPr>
        <w:rPr>
          <w:rFonts w:eastAsiaTheme="minorHAnsi"/>
          <w:lang w:eastAsia="en-US"/>
        </w:rPr>
      </w:pPr>
      <w:r w:rsidRPr="00E2013B">
        <w:rPr>
          <w:rFonts w:eastAsiaTheme="minorHAnsi"/>
          <w:lang w:eastAsia="en-US"/>
        </w:rPr>
        <w:t xml:space="preserve">Grieco, CA, Simon, CJ, Mayo-Smith, WW, DiPetrillo, TA, Ready, NE &amp; Dupuy, DE 2006, 'Percutaneous image-guided thermal ablation and radiation therapy: Outcomes of combined treatment for 41 patients with inoperable stage I/II non-small-cell lung cancer', </w:t>
      </w:r>
      <w:r w:rsidRPr="00E2013B">
        <w:rPr>
          <w:rFonts w:eastAsiaTheme="minorHAnsi"/>
          <w:i/>
          <w:lang w:eastAsia="en-US"/>
        </w:rPr>
        <w:t>Journal of Vascular and Interventional Radiology</w:t>
      </w:r>
      <w:r w:rsidRPr="00E2013B">
        <w:rPr>
          <w:rFonts w:eastAsiaTheme="minorHAnsi"/>
          <w:lang w:eastAsia="en-US"/>
        </w:rPr>
        <w:t xml:space="preserve">, </w:t>
      </w:r>
      <w:proofErr w:type="gramStart"/>
      <w:r w:rsidRPr="00E2013B">
        <w:rPr>
          <w:rFonts w:eastAsiaTheme="minorHAnsi"/>
          <w:lang w:eastAsia="en-US"/>
        </w:rPr>
        <w:t>vol.17(</w:t>
      </w:r>
      <w:proofErr w:type="gramEnd"/>
      <w:r w:rsidRPr="00E2013B">
        <w:rPr>
          <w:rFonts w:eastAsiaTheme="minorHAnsi"/>
          <w:lang w:eastAsia="en-US"/>
        </w:rPr>
        <w:t>7), pp. 1117-24.</w:t>
      </w:r>
    </w:p>
    <w:p w14:paraId="3BE5EED6" w14:textId="77777777" w:rsidR="00B4290F" w:rsidRPr="00E2013B" w:rsidRDefault="00B4290F" w:rsidP="00B4290F">
      <w:pPr>
        <w:rPr>
          <w:rFonts w:eastAsiaTheme="minorHAnsi"/>
          <w:lang w:eastAsia="en-US"/>
        </w:rPr>
      </w:pPr>
      <w:r w:rsidRPr="00E2013B">
        <w:rPr>
          <w:rFonts w:eastAsiaTheme="minorHAnsi"/>
          <w:lang w:eastAsia="en-US"/>
        </w:rPr>
        <w:t xml:space="preserve">Hiraki, T, Mimura, H, Gobara, H, Sano, Y, Fujiwara, H, Date, H &amp; Kanazawa, S 2008, 'Repeat Radiofrequency Ablation for Local Progression of Lung Tumors: Does It Have a Role in Local Tumor Control?', </w:t>
      </w:r>
      <w:r w:rsidRPr="00E2013B">
        <w:rPr>
          <w:rFonts w:eastAsiaTheme="minorHAnsi"/>
          <w:i/>
          <w:lang w:eastAsia="en-US"/>
        </w:rPr>
        <w:t>Journal of Vascular and Interventional Radiology</w:t>
      </w:r>
      <w:r w:rsidRPr="00E2013B">
        <w:rPr>
          <w:rFonts w:eastAsiaTheme="minorHAnsi"/>
          <w:lang w:eastAsia="en-US"/>
        </w:rPr>
        <w:t>, vol.19(5), pp. 706-11.</w:t>
      </w:r>
    </w:p>
    <w:p w14:paraId="7F084E9F" w14:textId="77777777" w:rsidR="00B4290F" w:rsidRPr="00E2013B" w:rsidRDefault="00B4290F" w:rsidP="00B4290F">
      <w:pPr>
        <w:rPr>
          <w:rFonts w:eastAsiaTheme="minorHAnsi"/>
          <w:lang w:eastAsia="en-US"/>
        </w:rPr>
      </w:pPr>
      <w:r w:rsidRPr="00E2013B">
        <w:rPr>
          <w:rFonts w:eastAsiaTheme="minorHAnsi"/>
          <w:lang w:eastAsia="en-US"/>
        </w:rPr>
        <w:t xml:space="preserve">Koizumi, T, Tsushima, K, Tanabe, T, Agatsuma, T, Yokoyama, T, Ito, M, Kanda, S, Kobayashi, T &amp; Yasuo, M 2015, 'Bronchoscopy-Guided Cooled Radiofrequency Ablation as a Novel Intervention Therapy for Peripheral Lung Cancer', </w:t>
      </w:r>
      <w:r w:rsidRPr="00E2013B">
        <w:rPr>
          <w:rFonts w:eastAsiaTheme="minorHAnsi"/>
          <w:i/>
          <w:lang w:eastAsia="en-US"/>
        </w:rPr>
        <w:t>Respiratio</w:t>
      </w:r>
      <w:r w:rsidRPr="00E2013B">
        <w:rPr>
          <w:rFonts w:eastAsiaTheme="minorHAnsi"/>
          <w:lang w:eastAsia="en-US"/>
        </w:rPr>
        <w:t>n, vol.90(1), pp. 47-55.</w:t>
      </w:r>
    </w:p>
    <w:p w14:paraId="7CBD2384" w14:textId="77777777" w:rsidR="00B4290F" w:rsidRPr="00E2013B" w:rsidRDefault="00B4290F" w:rsidP="00B4290F">
      <w:pPr>
        <w:rPr>
          <w:rFonts w:eastAsiaTheme="minorHAnsi"/>
          <w:lang w:eastAsia="en-US"/>
        </w:rPr>
      </w:pPr>
      <w:r w:rsidRPr="00E2013B">
        <w:rPr>
          <w:rFonts w:eastAsiaTheme="minorHAnsi"/>
          <w:lang w:eastAsia="en-US"/>
        </w:rPr>
        <w:t xml:space="preserve">Leung, VA, Dipetrillo, TA &amp; Dupuy, DE 2011, 'Image-guided tumor ablation for the treatment of recurrent non-small cell lung cancer within the radiation field', </w:t>
      </w:r>
      <w:r w:rsidRPr="00E2013B">
        <w:rPr>
          <w:rFonts w:eastAsiaTheme="minorHAnsi"/>
          <w:i/>
          <w:lang w:eastAsia="en-US"/>
        </w:rPr>
        <w:t>European journal of radiology</w:t>
      </w:r>
      <w:r w:rsidRPr="00E2013B">
        <w:rPr>
          <w:rFonts w:eastAsiaTheme="minorHAnsi"/>
          <w:lang w:eastAsia="en-US"/>
        </w:rPr>
        <w:t xml:space="preserve">, </w:t>
      </w:r>
      <w:proofErr w:type="gramStart"/>
      <w:r w:rsidRPr="00E2013B">
        <w:rPr>
          <w:rFonts w:eastAsiaTheme="minorHAnsi"/>
          <w:lang w:eastAsia="en-US"/>
        </w:rPr>
        <w:t>vol.80(</w:t>
      </w:r>
      <w:proofErr w:type="gramEnd"/>
      <w:r w:rsidRPr="00E2013B">
        <w:rPr>
          <w:rFonts w:eastAsiaTheme="minorHAnsi"/>
          <w:lang w:eastAsia="en-US"/>
        </w:rPr>
        <w:t>3), pp. e491-e99.</w:t>
      </w:r>
    </w:p>
    <w:p w14:paraId="7F088599" w14:textId="77777777" w:rsidR="00B4290F" w:rsidRPr="00E2013B" w:rsidRDefault="00B4290F" w:rsidP="00B4290F">
      <w:pPr>
        <w:rPr>
          <w:rFonts w:eastAsiaTheme="minorHAnsi"/>
          <w:lang w:eastAsia="en-US"/>
        </w:rPr>
      </w:pPr>
      <w:r w:rsidRPr="00E2013B">
        <w:rPr>
          <w:rFonts w:eastAsiaTheme="minorHAnsi"/>
          <w:lang w:eastAsia="en-US"/>
        </w:rPr>
        <w:t xml:space="preserve">Nair, RT, VanSonnenberg, E, Shankar, S, Morrison, PR, Gill, RR, Tuncali, K &amp; Silverman, SG 2008, 'Visceral and soft-tissue tumors: Radiofrequency and alcohol ablation for pain relief - Initial experience', </w:t>
      </w:r>
      <w:r w:rsidRPr="00E2013B">
        <w:rPr>
          <w:rFonts w:eastAsiaTheme="minorHAnsi"/>
          <w:i/>
          <w:lang w:eastAsia="en-US"/>
        </w:rPr>
        <w:t>Radiology</w:t>
      </w:r>
      <w:r w:rsidRPr="00E2013B">
        <w:rPr>
          <w:rFonts w:eastAsiaTheme="minorHAnsi"/>
          <w:lang w:eastAsia="en-US"/>
        </w:rPr>
        <w:t xml:space="preserve">, </w:t>
      </w:r>
      <w:proofErr w:type="gramStart"/>
      <w:r w:rsidRPr="00E2013B">
        <w:rPr>
          <w:rFonts w:eastAsiaTheme="minorHAnsi"/>
          <w:lang w:eastAsia="en-US"/>
        </w:rPr>
        <w:t>vol.248(</w:t>
      </w:r>
      <w:proofErr w:type="gramEnd"/>
      <w:r w:rsidRPr="00E2013B">
        <w:rPr>
          <w:rFonts w:eastAsiaTheme="minorHAnsi"/>
          <w:lang w:eastAsia="en-US"/>
        </w:rPr>
        <w:t>3), pp. 1067-76.</w:t>
      </w:r>
    </w:p>
    <w:p w14:paraId="04FA2829" w14:textId="77777777" w:rsidR="00B4290F" w:rsidRPr="00E2013B" w:rsidRDefault="00B4290F" w:rsidP="00B4290F">
      <w:pPr>
        <w:rPr>
          <w:rFonts w:eastAsiaTheme="minorHAnsi"/>
          <w:lang w:eastAsia="en-US"/>
        </w:rPr>
      </w:pPr>
      <w:r w:rsidRPr="00E2013B">
        <w:rPr>
          <w:rFonts w:eastAsiaTheme="minorHAnsi"/>
          <w:lang w:eastAsia="en-US"/>
        </w:rPr>
        <w:t xml:space="preserve">Nakamura, T, Matsumine, A, Yamakado, K, Takao, M, Uchida, A &amp; Sudo, A 2013, 'Clinical significance of radiofrequency ablation and metastasectomy in elderly patients with lung metastases from musculoskeletal sarcomas', </w:t>
      </w:r>
      <w:r w:rsidRPr="00E2013B">
        <w:rPr>
          <w:rFonts w:eastAsiaTheme="minorHAnsi"/>
          <w:i/>
          <w:lang w:eastAsia="en-US"/>
        </w:rPr>
        <w:t>Journal of Cancer Research and Therapeutics</w:t>
      </w:r>
      <w:r w:rsidRPr="00E2013B">
        <w:rPr>
          <w:rFonts w:eastAsiaTheme="minorHAnsi"/>
          <w:lang w:eastAsia="en-US"/>
        </w:rPr>
        <w:t>, vol.9(2), pp. 219-23.</w:t>
      </w:r>
    </w:p>
    <w:p w14:paraId="0BE35DD4"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Okuma, T, Matsuoka, T, Yamamoto, A, Oyama, Y, Nakamura, K &amp; Inoue, Y 2008, 'Computed tomography-guided re-radiofrequency ablation for unresectable lung tumor with local progression previously treated with the same procedure', </w:t>
      </w:r>
      <w:r w:rsidRPr="00E2013B">
        <w:rPr>
          <w:rFonts w:eastAsiaTheme="minorHAnsi"/>
          <w:i/>
          <w:lang w:eastAsia="en-US"/>
        </w:rPr>
        <w:t>Radiation Medicine - Medical Imaging and Radiation Oncology</w:t>
      </w:r>
      <w:r w:rsidRPr="00E2013B">
        <w:rPr>
          <w:rFonts w:eastAsiaTheme="minorHAnsi"/>
          <w:lang w:eastAsia="en-US"/>
        </w:rPr>
        <w:t>, vol.26(9), pp. 519-25.</w:t>
      </w:r>
    </w:p>
    <w:p w14:paraId="2C933295" w14:textId="77777777" w:rsidR="00B4290F" w:rsidRPr="00E2013B" w:rsidRDefault="00B4290F" w:rsidP="00B4290F">
      <w:pPr>
        <w:rPr>
          <w:rFonts w:eastAsiaTheme="minorHAnsi"/>
          <w:lang w:eastAsia="en-US"/>
        </w:rPr>
      </w:pPr>
      <w:r w:rsidRPr="00E2013B">
        <w:rPr>
          <w:rFonts w:eastAsiaTheme="minorHAnsi"/>
          <w:lang w:eastAsia="en-US"/>
        </w:rPr>
        <w:t xml:space="preserve">Palussiere, J, Lagarde, P, Auperin, A, Deschamps, F, Chomy, F &amp; de Baere, T 2015, 'Percutaneous Lung Thermal Ablation of Non-surgical Clinical N0 Non-small Cell Lung Cancer: Results of Eight Years' Experience in 87 Patients from Two Centers', </w:t>
      </w:r>
      <w:r w:rsidRPr="00E2013B">
        <w:rPr>
          <w:rFonts w:eastAsiaTheme="minorHAnsi"/>
          <w:i/>
          <w:lang w:eastAsia="en-US"/>
        </w:rPr>
        <w:t>Cardiovascular and interventional ra</w:t>
      </w:r>
      <w:r w:rsidRPr="00E2013B">
        <w:rPr>
          <w:rFonts w:eastAsiaTheme="minorHAnsi"/>
          <w:lang w:eastAsia="en-US"/>
        </w:rPr>
        <w:t>diology, vol.38(1), pp. 160-66.</w:t>
      </w:r>
    </w:p>
    <w:p w14:paraId="26084A2F" w14:textId="77777777" w:rsidR="00B4290F" w:rsidRPr="00E2013B" w:rsidRDefault="00B4290F" w:rsidP="00B4290F">
      <w:pPr>
        <w:rPr>
          <w:rFonts w:eastAsiaTheme="minorHAnsi"/>
          <w:lang w:eastAsia="en-US"/>
        </w:rPr>
      </w:pPr>
      <w:r w:rsidRPr="00E2013B">
        <w:rPr>
          <w:rFonts w:eastAsiaTheme="minorHAnsi"/>
          <w:lang w:eastAsia="en-US"/>
        </w:rPr>
        <w:t xml:space="preserve">Schneider, T, Warth, A, Herpel, E, Schnabel, PA, von Deimling, A, Eberhardt, R, Herth, FJF, Dienemann, H &amp; Hoffmann, H 2009, 'Intraoperative Radiofrequency Ablation of Lung Metastases and Histologic Evaluation', </w:t>
      </w:r>
      <w:r w:rsidRPr="00E2013B">
        <w:rPr>
          <w:rFonts w:eastAsiaTheme="minorHAnsi"/>
          <w:i/>
          <w:lang w:eastAsia="en-US"/>
        </w:rPr>
        <w:t>Annals of Thoracic Surgery</w:t>
      </w:r>
      <w:r w:rsidRPr="00E2013B">
        <w:rPr>
          <w:rFonts w:eastAsiaTheme="minorHAnsi"/>
          <w:lang w:eastAsia="en-US"/>
        </w:rPr>
        <w:t>, vol.87(2), pp. 379-84.</w:t>
      </w:r>
    </w:p>
    <w:p w14:paraId="2712AE90" w14:textId="77777777" w:rsidR="00B4290F" w:rsidRPr="00E2013B" w:rsidRDefault="00B4290F" w:rsidP="00B4290F">
      <w:pPr>
        <w:rPr>
          <w:rFonts w:eastAsiaTheme="minorHAnsi"/>
          <w:lang w:eastAsia="en-US"/>
        </w:rPr>
      </w:pPr>
      <w:r w:rsidRPr="00E2013B">
        <w:rPr>
          <w:rFonts w:eastAsiaTheme="minorHAnsi"/>
          <w:lang w:eastAsia="en-US"/>
        </w:rPr>
        <w:t xml:space="preserve">Von Meyenfeldt, EM, Wouters, MW, Fat, NLA, Prevoo, W, Burgers, SA, Van Sandick, JW &amp; Klomp, HM 2012, 'Local treatment of pulmonary metastases: From open resection to minimally invasive approach? Less morbidity, comparable local control', </w:t>
      </w:r>
      <w:r w:rsidRPr="00E2013B">
        <w:rPr>
          <w:rFonts w:eastAsiaTheme="minorHAnsi"/>
          <w:i/>
          <w:lang w:eastAsia="en-US"/>
        </w:rPr>
        <w:t>Surgical Endoscopy and Other Interventional Techniques</w:t>
      </w:r>
      <w:r w:rsidRPr="00E2013B">
        <w:rPr>
          <w:rFonts w:eastAsiaTheme="minorHAnsi"/>
          <w:lang w:eastAsia="en-US"/>
        </w:rPr>
        <w:t xml:space="preserve">, </w:t>
      </w:r>
      <w:proofErr w:type="gramStart"/>
      <w:r w:rsidRPr="00E2013B">
        <w:rPr>
          <w:rFonts w:eastAsiaTheme="minorHAnsi"/>
          <w:lang w:eastAsia="en-US"/>
        </w:rPr>
        <w:t>vol.26(</w:t>
      </w:r>
      <w:proofErr w:type="gramEnd"/>
      <w:r w:rsidRPr="00E2013B">
        <w:rPr>
          <w:rFonts w:eastAsiaTheme="minorHAnsi"/>
          <w:lang w:eastAsia="en-US"/>
        </w:rPr>
        <w:t>8), pp. 2312-21.</w:t>
      </w:r>
    </w:p>
    <w:p w14:paraId="12BF9AB7" w14:textId="77777777" w:rsidR="00B4290F" w:rsidRPr="00E2013B" w:rsidRDefault="00B4290F" w:rsidP="00B4290F">
      <w:pPr>
        <w:rPr>
          <w:rFonts w:eastAsiaTheme="minorHAnsi"/>
          <w:lang w:eastAsia="en-US"/>
        </w:rPr>
      </w:pPr>
      <w:r w:rsidRPr="00E2013B">
        <w:rPr>
          <w:rFonts w:eastAsiaTheme="minorHAnsi"/>
          <w:lang w:eastAsia="en-US"/>
        </w:rPr>
        <w:t xml:space="preserve">Yu, HA, Sima, CS, Huang, J, Solomon, SB, Rimner, A, Paik, P, Pietanza, MC, Azzoli, CG, Rizvi, NA, Krug, LM, Miller, VA, Kris, MG &amp; Riely, GJ 2013, 'Local therapy with continued EGFR tyrosine kinase inhibitor therapy as a treatment strategy in EGFR-mutant advanced lung cancers that have developed acquired resistance to EGFR tyrosine kinase inhibitors', </w:t>
      </w:r>
      <w:r w:rsidRPr="00E2013B">
        <w:rPr>
          <w:rFonts w:eastAsiaTheme="minorHAnsi"/>
          <w:i/>
          <w:lang w:eastAsia="en-US"/>
        </w:rPr>
        <w:t>Journal of Thoracic Oncology</w:t>
      </w:r>
      <w:r w:rsidRPr="00E2013B">
        <w:rPr>
          <w:rFonts w:eastAsiaTheme="minorHAnsi"/>
          <w:lang w:eastAsia="en-US"/>
        </w:rPr>
        <w:t>, vol.8(3), pp. 346-51.</w:t>
      </w:r>
    </w:p>
    <w:p w14:paraId="5B9F0E22" w14:textId="77777777" w:rsidR="00B4290F" w:rsidRPr="003F69BC" w:rsidRDefault="00B4290F" w:rsidP="00B4290F">
      <w:pPr>
        <w:rPr>
          <w:rFonts w:eastAsiaTheme="minorHAnsi"/>
          <w:b/>
          <w:lang w:eastAsia="en-US"/>
        </w:rPr>
      </w:pPr>
      <w:r w:rsidRPr="003F69BC">
        <w:rPr>
          <w:rFonts w:eastAsiaTheme="minorHAnsi"/>
          <w:b/>
          <w:lang w:eastAsia="en-US"/>
        </w:rPr>
        <w:t>Wrong or mixed populations (</w:t>
      </w:r>
      <w:r>
        <w:rPr>
          <w:rFonts w:eastAsiaTheme="minorHAnsi"/>
          <w:b/>
          <w:lang w:eastAsia="en-US"/>
        </w:rPr>
        <w:t xml:space="preserve">n = </w:t>
      </w:r>
      <w:r w:rsidRPr="003F69BC">
        <w:rPr>
          <w:rFonts w:eastAsiaTheme="minorHAnsi"/>
          <w:b/>
          <w:lang w:eastAsia="en-US"/>
        </w:rPr>
        <w:t>65)</w:t>
      </w:r>
    </w:p>
    <w:p w14:paraId="7FEE1C45" w14:textId="77777777" w:rsidR="00B4290F" w:rsidRPr="00E2013B" w:rsidRDefault="00B4290F" w:rsidP="00B4290F">
      <w:pPr>
        <w:rPr>
          <w:rFonts w:eastAsiaTheme="minorHAnsi"/>
          <w:lang w:eastAsia="en-US"/>
        </w:rPr>
      </w:pPr>
      <w:r w:rsidRPr="00E2013B">
        <w:rPr>
          <w:rFonts w:eastAsiaTheme="minorHAnsi"/>
          <w:lang w:eastAsia="en-US"/>
        </w:rPr>
        <w:t xml:space="preserve">Akhan, O, Guler, E, Akinci, D, Ciftci, T &amp; Kose, IC 2016, 'Radiofrequency ablation for lung tumors: Outcomes, effects on survival, and prognostic factors', </w:t>
      </w:r>
      <w:r w:rsidRPr="00E2013B">
        <w:rPr>
          <w:rFonts w:eastAsiaTheme="minorHAnsi"/>
          <w:i/>
          <w:lang w:eastAsia="en-US"/>
        </w:rPr>
        <w:t>Diagnostic and Interventional Radio</w:t>
      </w:r>
      <w:r w:rsidRPr="00E2013B">
        <w:rPr>
          <w:rFonts w:eastAsiaTheme="minorHAnsi"/>
          <w:lang w:eastAsia="en-US"/>
        </w:rPr>
        <w:t xml:space="preserve">logy, </w:t>
      </w:r>
      <w:proofErr w:type="gramStart"/>
      <w:r w:rsidRPr="00E2013B">
        <w:rPr>
          <w:rFonts w:eastAsiaTheme="minorHAnsi"/>
          <w:lang w:eastAsia="en-US"/>
        </w:rPr>
        <w:t>vol.22(</w:t>
      </w:r>
      <w:proofErr w:type="gramEnd"/>
      <w:r w:rsidRPr="00E2013B">
        <w:rPr>
          <w:rFonts w:eastAsiaTheme="minorHAnsi"/>
          <w:lang w:eastAsia="en-US"/>
        </w:rPr>
        <w:t>1), pp. 65-71.</w:t>
      </w:r>
    </w:p>
    <w:p w14:paraId="6CBF6ED0" w14:textId="77777777" w:rsidR="00B4290F" w:rsidRPr="00E2013B" w:rsidRDefault="00B4290F" w:rsidP="00B4290F">
      <w:pPr>
        <w:rPr>
          <w:rFonts w:eastAsiaTheme="minorHAnsi"/>
          <w:lang w:eastAsia="en-US"/>
        </w:rPr>
      </w:pPr>
      <w:r w:rsidRPr="00E2013B">
        <w:rPr>
          <w:rFonts w:eastAsiaTheme="minorHAnsi"/>
          <w:lang w:eastAsia="en-US"/>
        </w:rPr>
        <w:t xml:space="preserve">Alexander, ES, Hankins, CA, MacHan, JT, Healey, TT &amp; Dupuy, DE 2013, 'Rib fractures after percutaneous radiofrequency and microwave ablation of lung tumors: Incidence and relevance', </w:t>
      </w:r>
      <w:r w:rsidRPr="00E2013B">
        <w:rPr>
          <w:rFonts w:eastAsiaTheme="minorHAnsi"/>
          <w:i/>
          <w:lang w:eastAsia="en-US"/>
        </w:rPr>
        <w:t>Radiology</w:t>
      </w:r>
      <w:r w:rsidRPr="00E2013B">
        <w:rPr>
          <w:rFonts w:eastAsiaTheme="minorHAnsi"/>
          <w:lang w:eastAsia="en-US"/>
        </w:rPr>
        <w:t xml:space="preserve">, </w:t>
      </w:r>
      <w:proofErr w:type="gramStart"/>
      <w:r w:rsidRPr="00E2013B">
        <w:rPr>
          <w:rFonts w:eastAsiaTheme="minorHAnsi"/>
          <w:lang w:eastAsia="en-US"/>
        </w:rPr>
        <w:t>vol.266(</w:t>
      </w:r>
      <w:proofErr w:type="gramEnd"/>
      <w:r w:rsidRPr="00E2013B">
        <w:rPr>
          <w:rFonts w:eastAsiaTheme="minorHAnsi"/>
          <w:lang w:eastAsia="en-US"/>
        </w:rPr>
        <w:t>3), pp. 971-78.</w:t>
      </w:r>
    </w:p>
    <w:p w14:paraId="070B030C" w14:textId="77777777" w:rsidR="00B4290F" w:rsidRPr="00E2013B" w:rsidRDefault="00B4290F" w:rsidP="00B4290F">
      <w:pPr>
        <w:rPr>
          <w:rFonts w:eastAsiaTheme="minorHAnsi"/>
          <w:lang w:eastAsia="en-US"/>
        </w:rPr>
      </w:pPr>
      <w:r w:rsidRPr="00E2013B">
        <w:rPr>
          <w:rFonts w:eastAsiaTheme="minorHAnsi"/>
          <w:lang w:eastAsia="en-US"/>
        </w:rPr>
        <w:t>Belfiore, G, Tedeschi, E, Brillantino, C, Iodice, MA, Donnianni, T, Manfredonia, L &amp; Belfiore, MP 2006, 'Palliation of unresectable lung cancer with CT-guided radiofrequency ablation: Clinical and imaging findings at one-year. [Italian, English]'</w:t>
      </w:r>
      <w:r w:rsidRPr="00E2013B">
        <w:rPr>
          <w:rFonts w:eastAsiaTheme="minorHAnsi"/>
          <w:i/>
          <w:lang w:eastAsia="en-US"/>
        </w:rPr>
        <w:t>, IJCI - International Journal of Clinical Investigation</w:t>
      </w:r>
      <w:r w:rsidRPr="00E2013B">
        <w:rPr>
          <w:rFonts w:eastAsiaTheme="minorHAnsi"/>
          <w:lang w:eastAsia="en-US"/>
        </w:rPr>
        <w:t xml:space="preserve">, </w:t>
      </w:r>
      <w:proofErr w:type="gramStart"/>
      <w:r w:rsidRPr="00E2013B">
        <w:rPr>
          <w:rFonts w:eastAsiaTheme="minorHAnsi"/>
          <w:lang w:eastAsia="en-US"/>
        </w:rPr>
        <w:t>vol.14(</w:t>
      </w:r>
      <w:proofErr w:type="gramEnd"/>
      <w:r w:rsidRPr="00E2013B">
        <w:rPr>
          <w:rFonts w:eastAsiaTheme="minorHAnsi"/>
          <w:lang w:eastAsia="en-US"/>
        </w:rPr>
        <w:t>2), pp. 35-40.</w:t>
      </w:r>
    </w:p>
    <w:p w14:paraId="4C80A2F9"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Bortolotto, C, Macchi, S, Veronese, L, Dore, R, Draghi, F &amp; Rossi, S 2012, 'Radiofrequency ablation of metastatic lesions from breast cancer', </w:t>
      </w:r>
      <w:r w:rsidRPr="00E2013B">
        <w:rPr>
          <w:rFonts w:eastAsiaTheme="minorHAnsi"/>
          <w:i/>
          <w:lang w:eastAsia="en-US"/>
        </w:rPr>
        <w:t>Journal of Ultrasound</w:t>
      </w:r>
      <w:r w:rsidRPr="00E2013B">
        <w:rPr>
          <w:rFonts w:eastAsiaTheme="minorHAnsi"/>
          <w:lang w:eastAsia="en-US"/>
        </w:rPr>
        <w:t xml:space="preserve">, </w:t>
      </w:r>
      <w:proofErr w:type="gramStart"/>
      <w:r w:rsidRPr="00E2013B">
        <w:rPr>
          <w:rFonts w:eastAsiaTheme="minorHAnsi"/>
          <w:lang w:eastAsia="en-US"/>
        </w:rPr>
        <w:t>vol.15(</w:t>
      </w:r>
      <w:proofErr w:type="gramEnd"/>
      <w:r w:rsidRPr="00E2013B">
        <w:rPr>
          <w:rFonts w:eastAsiaTheme="minorHAnsi"/>
          <w:lang w:eastAsia="en-US"/>
        </w:rPr>
        <w:t>3), pp. 199-205.</w:t>
      </w:r>
    </w:p>
    <w:p w14:paraId="7DF90C76" w14:textId="77777777" w:rsidR="00B4290F" w:rsidRPr="00E2013B" w:rsidRDefault="00B4290F" w:rsidP="00B4290F">
      <w:pPr>
        <w:rPr>
          <w:rFonts w:eastAsiaTheme="minorHAnsi"/>
          <w:lang w:eastAsia="en-US"/>
        </w:rPr>
      </w:pPr>
      <w:r w:rsidRPr="00E2013B">
        <w:rPr>
          <w:rFonts w:eastAsiaTheme="minorHAnsi"/>
          <w:lang w:eastAsia="en-US"/>
        </w:rPr>
        <w:t xml:space="preserve">Callstrom, MR &amp; Charboneau, JW 2007, 'Image-Guided Palliation of Painful Metastases Using Percutaneous Ablation', </w:t>
      </w:r>
      <w:r w:rsidRPr="00E2013B">
        <w:rPr>
          <w:rFonts w:eastAsiaTheme="minorHAnsi"/>
          <w:i/>
          <w:lang w:eastAsia="en-US"/>
        </w:rPr>
        <w:t>Techniques in Vascular and Interventional Radiology</w:t>
      </w:r>
      <w:r w:rsidRPr="00E2013B">
        <w:rPr>
          <w:rFonts w:eastAsiaTheme="minorHAnsi"/>
          <w:lang w:eastAsia="en-US"/>
        </w:rPr>
        <w:t>, vol.10(2), pp. 120-31.</w:t>
      </w:r>
    </w:p>
    <w:p w14:paraId="565FFB2F" w14:textId="77777777" w:rsidR="00B4290F" w:rsidRPr="00E2013B" w:rsidRDefault="00B4290F" w:rsidP="00B4290F">
      <w:pPr>
        <w:rPr>
          <w:rFonts w:eastAsiaTheme="minorHAnsi"/>
          <w:lang w:eastAsia="en-US"/>
        </w:rPr>
      </w:pPr>
      <w:r w:rsidRPr="00E2013B">
        <w:rPr>
          <w:rFonts w:eastAsiaTheme="minorHAnsi"/>
          <w:lang w:eastAsia="en-US"/>
        </w:rPr>
        <w:t xml:space="preserve">Cariati, M, Giordano, G, Midulla, M, Calati, AM, Sacrini, A, Raveglia, F &amp; Cornalba, GP 2007, 'Radiofrequency ablation of pulmonary lesions', </w:t>
      </w:r>
      <w:r w:rsidRPr="00E2013B">
        <w:rPr>
          <w:rFonts w:eastAsiaTheme="minorHAnsi"/>
          <w:i/>
          <w:lang w:eastAsia="en-US"/>
        </w:rPr>
        <w:t>Radiol Med</w:t>
      </w:r>
      <w:r w:rsidRPr="00E2013B">
        <w:rPr>
          <w:rFonts w:eastAsiaTheme="minorHAnsi"/>
          <w:lang w:eastAsia="en-US"/>
        </w:rPr>
        <w:t xml:space="preserve">, </w:t>
      </w:r>
      <w:proofErr w:type="gramStart"/>
      <w:r w:rsidRPr="00E2013B">
        <w:rPr>
          <w:rFonts w:eastAsiaTheme="minorHAnsi"/>
          <w:lang w:eastAsia="en-US"/>
        </w:rPr>
        <w:t>vol.112(</w:t>
      </w:r>
      <w:proofErr w:type="gramEnd"/>
      <w:r w:rsidRPr="00E2013B">
        <w:rPr>
          <w:rFonts w:eastAsiaTheme="minorHAnsi"/>
          <w:lang w:eastAsia="en-US"/>
        </w:rPr>
        <w:t>2), pp. 149-56.</w:t>
      </w:r>
    </w:p>
    <w:p w14:paraId="3B341EB4" w14:textId="77777777" w:rsidR="00B4290F" w:rsidRPr="00E2013B" w:rsidRDefault="00B4290F" w:rsidP="00B4290F">
      <w:pPr>
        <w:rPr>
          <w:rFonts w:eastAsiaTheme="minorHAnsi"/>
          <w:lang w:eastAsia="en-US"/>
        </w:rPr>
      </w:pPr>
      <w:r w:rsidRPr="00E2013B">
        <w:rPr>
          <w:rFonts w:eastAsiaTheme="minorHAnsi"/>
          <w:lang w:eastAsia="en-US"/>
        </w:rPr>
        <w:t xml:space="preserve">Carrafiello, G, Mangini, M, Fontana, F, Di Massa, A, Ierardi, AM, Cotta, E, Piacentino, F, Nocchi Cardim, L, Pellegrino, C &amp; Fugazzola, C 2012a, 'Complications of microwave and radiofrequency lung ablation: personal experience and review of the literature', </w:t>
      </w:r>
      <w:r w:rsidRPr="00E2013B">
        <w:rPr>
          <w:rFonts w:eastAsiaTheme="minorHAnsi"/>
          <w:i/>
          <w:lang w:eastAsia="en-US"/>
        </w:rPr>
        <w:t>La Radiologia medica</w:t>
      </w:r>
      <w:r w:rsidRPr="00E2013B">
        <w:rPr>
          <w:rFonts w:eastAsiaTheme="minorHAnsi"/>
          <w:lang w:eastAsia="en-US"/>
        </w:rPr>
        <w:t>, vol.117(2), pp. 201-13.</w:t>
      </w:r>
    </w:p>
    <w:p w14:paraId="598AB70E" w14:textId="77777777" w:rsidR="00B4290F" w:rsidRPr="00E2013B" w:rsidRDefault="00B4290F" w:rsidP="00B4290F">
      <w:pPr>
        <w:rPr>
          <w:rFonts w:eastAsiaTheme="minorHAnsi"/>
          <w:lang w:eastAsia="en-US"/>
        </w:rPr>
      </w:pPr>
      <w:r w:rsidRPr="00E2013B">
        <w:rPr>
          <w:rFonts w:eastAsiaTheme="minorHAnsi"/>
          <w:lang w:eastAsia="en-US"/>
        </w:rPr>
        <w:t xml:space="preserve">Carrafiello, G, Mangini, M, Fontana, F, Lagana, D, Cotta, E, Di Massa, A, Piacentino, F, Ianniello, A, Floridi, C, Ierardi, AM &amp; Fugazzola, C 2012b, 'Radiofrequency ablation for single lung tumours not suitable for surgery: seven years' experience', </w:t>
      </w:r>
      <w:r w:rsidRPr="00E2013B">
        <w:rPr>
          <w:rFonts w:eastAsiaTheme="minorHAnsi"/>
          <w:i/>
          <w:lang w:eastAsia="en-US"/>
        </w:rPr>
        <w:t>La Radiologia medica</w:t>
      </w:r>
      <w:r w:rsidRPr="00E2013B">
        <w:rPr>
          <w:rFonts w:eastAsiaTheme="minorHAnsi"/>
          <w:lang w:eastAsia="en-US"/>
        </w:rPr>
        <w:t>, vol.117(8), pp. 1320-32.</w:t>
      </w:r>
    </w:p>
    <w:p w14:paraId="399D81DB" w14:textId="77777777" w:rsidR="00B4290F" w:rsidRPr="00E2013B" w:rsidRDefault="00B4290F" w:rsidP="00B4290F">
      <w:pPr>
        <w:rPr>
          <w:rFonts w:eastAsiaTheme="minorHAnsi"/>
          <w:lang w:eastAsia="en-US"/>
        </w:rPr>
      </w:pPr>
      <w:r w:rsidRPr="00E2013B">
        <w:rPr>
          <w:rFonts w:eastAsiaTheme="minorHAnsi"/>
          <w:lang w:eastAsia="en-US"/>
        </w:rPr>
        <w:t xml:space="preserve">Choe, YH, Kim, SR, Lee, KS, Lee, KY, Park, SJ, Jin, GY &amp; Lee, YC 2009, 'The use of PTC and RFA as treatment alternatives with low procedural morbidity in non-small cell lung cancer', </w:t>
      </w:r>
      <w:r w:rsidRPr="00E2013B">
        <w:rPr>
          <w:rFonts w:eastAsiaTheme="minorHAnsi"/>
          <w:i/>
          <w:lang w:eastAsia="en-US"/>
        </w:rPr>
        <w:t>European Journal of Cancer</w:t>
      </w:r>
      <w:r w:rsidRPr="00E2013B">
        <w:rPr>
          <w:rFonts w:eastAsiaTheme="minorHAnsi"/>
          <w:lang w:eastAsia="en-US"/>
        </w:rPr>
        <w:t>, vol.45(10), pp. 1773-79.</w:t>
      </w:r>
    </w:p>
    <w:p w14:paraId="6A8B8C5E" w14:textId="77777777" w:rsidR="00B4290F" w:rsidRPr="00E2013B" w:rsidRDefault="00B4290F" w:rsidP="00B4290F">
      <w:pPr>
        <w:rPr>
          <w:rFonts w:eastAsiaTheme="minorHAnsi"/>
          <w:lang w:eastAsia="en-US"/>
        </w:rPr>
      </w:pPr>
      <w:r w:rsidRPr="00E2013B">
        <w:rPr>
          <w:rFonts w:eastAsiaTheme="minorHAnsi"/>
          <w:lang w:eastAsia="en-US"/>
        </w:rPr>
        <w:t xml:space="preserve">Chua, TC, Sarkar, A, Saxena, A, Glenn, D, Zhao, J &amp; Morris, DL 2010a, 'Long-term outcome of image-guided percutaneous radiofrequency ablation of lung metastases: an open-labeled prospective trial of 148 patients', </w:t>
      </w:r>
      <w:r w:rsidRPr="00E2013B">
        <w:rPr>
          <w:rFonts w:eastAsiaTheme="minorHAnsi"/>
          <w:i/>
          <w:lang w:eastAsia="en-US"/>
        </w:rPr>
        <w:t>Annals of Oncology</w:t>
      </w:r>
      <w:r w:rsidRPr="00E2013B">
        <w:rPr>
          <w:rFonts w:eastAsiaTheme="minorHAnsi"/>
          <w:lang w:eastAsia="en-US"/>
        </w:rPr>
        <w:t xml:space="preserve">, </w:t>
      </w:r>
      <w:proofErr w:type="gramStart"/>
      <w:r w:rsidRPr="00E2013B">
        <w:rPr>
          <w:rFonts w:eastAsiaTheme="minorHAnsi"/>
          <w:lang w:eastAsia="en-US"/>
        </w:rPr>
        <w:t>vol.21(</w:t>
      </w:r>
      <w:proofErr w:type="gramEnd"/>
      <w:r w:rsidRPr="00E2013B">
        <w:rPr>
          <w:rFonts w:eastAsiaTheme="minorHAnsi"/>
          <w:lang w:eastAsia="en-US"/>
        </w:rPr>
        <w:t>10), pp. 2017-22.</w:t>
      </w:r>
    </w:p>
    <w:p w14:paraId="0694DBE0" w14:textId="77777777" w:rsidR="00B4290F" w:rsidRPr="00E2013B" w:rsidRDefault="00B4290F" w:rsidP="00B4290F">
      <w:pPr>
        <w:rPr>
          <w:rFonts w:eastAsiaTheme="minorHAnsi"/>
          <w:lang w:eastAsia="en-US"/>
        </w:rPr>
      </w:pPr>
      <w:r w:rsidRPr="00E2013B">
        <w:rPr>
          <w:rFonts w:eastAsiaTheme="minorHAnsi"/>
          <w:lang w:eastAsia="en-US"/>
        </w:rPr>
        <w:t xml:space="preserve">Chua, TC, Thornbury, K, Saxena, A, Liauw, W, Glenn, D, Zhao, J &amp; Morris, DL 2010b, 'Radiofrequency ablation as an adjunct to systemic chemotherapy for colorectal pulmonary metastases', </w:t>
      </w:r>
      <w:r w:rsidRPr="00E2013B">
        <w:rPr>
          <w:rFonts w:eastAsiaTheme="minorHAnsi"/>
          <w:i/>
          <w:lang w:eastAsia="en-US"/>
        </w:rPr>
        <w:t>Cancer</w:t>
      </w:r>
      <w:r w:rsidRPr="00E2013B">
        <w:rPr>
          <w:rFonts w:eastAsiaTheme="minorHAnsi"/>
          <w:lang w:eastAsia="en-US"/>
        </w:rPr>
        <w:t>, vol.116(9), pp. 2106-14.</w:t>
      </w:r>
    </w:p>
    <w:p w14:paraId="17C3DF2B" w14:textId="77777777" w:rsidR="00B4290F" w:rsidRPr="00E2013B" w:rsidRDefault="00B4290F" w:rsidP="00B4290F">
      <w:pPr>
        <w:rPr>
          <w:rFonts w:eastAsiaTheme="minorHAnsi"/>
          <w:lang w:eastAsia="en-US"/>
        </w:rPr>
      </w:pPr>
      <w:r w:rsidRPr="00E2013B">
        <w:rPr>
          <w:rFonts w:eastAsiaTheme="minorHAnsi"/>
          <w:lang w:eastAsia="en-US"/>
        </w:rPr>
        <w:t xml:space="preserve">De Baere, T, Palussiere, J, Auperin, A, Hakime, A, Abdel-Rehim, M, Kind, M, Dromain, C, Ravaud, A, Tebboune, N, Boige, V, Malka, D, Lafont, C &amp; Ducreux, M 2006, 'Midterm local efficacy and survival after radiofrequency ablation of lung tumors with minimum follow-up of 1 year: Prospective evaluation', </w:t>
      </w:r>
      <w:r w:rsidRPr="00E2013B">
        <w:rPr>
          <w:rFonts w:eastAsiaTheme="minorHAnsi"/>
          <w:i/>
          <w:lang w:eastAsia="en-US"/>
        </w:rPr>
        <w:t>Radiology</w:t>
      </w:r>
      <w:r w:rsidRPr="00E2013B">
        <w:rPr>
          <w:rFonts w:eastAsiaTheme="minorHAnsi"/>
          <w:lang w:eastAsia="en-US"/>
        </w:rPr>
        <w:t xml:space="preserve">, </w:t>
      </w:r>
      <w:proofErr w:type="gramStart"/>
      <w:r w:rsidRPr="00E2013B">
        <w:rPr>
          <w:rFonts w:eastAsiaTheme="minorHAnsi"/>
          <w:lang w:eastAsia="en-US"/>
        </w:rPr>
        <w:t>vol.240(</w:t>
      </w:r>
      <w:proofErr w:type="gramEnd"/>
      <w:r w:rsidRPr="00E2013B">
        <w:rPr>
          <w:rFonts w:eastAsiaTheme="minorHAnsi"/>
          <w:lang w:eastAsia="en-US"/>
        </w:rPr>
        <w:t>2), pp. 587-96.</w:t>
      </w:r>
    </w:p>
    <w:p w14:paraId="50553057" w14:textId="77777777" w:rsidR="00B4290F" w:rsidRPr="00E2013B" w:rsidRDefault="00B4290F" w:rsidP="00B4290F">
      <w:pPr>
        <w:rPr>
          <w:rFonts w:eastAsiaTheme="minorHAnsi"/>
          <w:lang w:eastAsia="en-US"/>
        </w:rPr>
      </w:pPr>
      <w:r w:rsidRPr="00E2013B">
        <w:rPr>
          <w:rFonts w:eastAsiaTheme="minorHAnsi"/>
          <w:lang w:eastAsia="en-US"/>
        </w:rPr>
        <w:t xml:space="preserve">Falk, AT, Moureau-Zabotto, L, Ouali, M, Penel, N, Italiano, A, Bay, JO, Olivier, T, Sunyach, MP, Boudou-Roquette, P, Salas, S, Le Maignan, C, Ducassou, A, Isambert, N, Kalbacher, E, Pan, C, Saada, E, Bertucci, F, Thyss, A &amp; Thariat, J 2015, 'Effect on survival of local ablative treatment of metastases from sarcomas: A study of the french sarcoma group', </w:t>
      </w:r>
      <w:r w:rsidRPr="00E2013B">
        <w:rPr>
          <w:rFonts w:eastAsiaTheme="minorHAnsi"/>
          <w:i/>
          <w:lang w:eastAsia="en-US"/>
        </w:rPr>
        <w:t>Clinical Oncology</w:t>
      </w:r>
      <w:r w:rsidRPr="00E2013B">
        <w:rPr>
          <w:rFonts w:eastAsiaTheme="minorHAnsi"/>
          <w:lang w:eastAsia="en-US"/>
        </w:rPr>
        <w:t>, vol.27(1), pp. 48-55.</w:t>
      </w:r>
    </w:p>
    <w:p w14:paraId="6F2C4A87" w14:textId="77777777" w:rsidR="00B4290F" w:rsidRPr="00E2013B" w:rsidRDefault="00B4290F" w:rsidP="00B4290F">
      <w:pPr>
        <w:rPr>
          <w:rFonts w:eastAsiaTheme="minorHAnsi"/>
          <w:lang w:eastAsia="en-US"/>
        </w:rPr>
      </w:pPr>
      <w:r w:rsidRPr="00E2013B">
        <w:rPr>
          <w:rFonts w:eastAsiaTheme="minorHAnsi"/>
          <w:lang w:eastAsia="en-US"/>
        </w:rPr>
        <w:t xml:space="preserve">Ferguson, J, Alzahrani, N, Zhao, J, Glenn, D, Power, M, Liauw, W &amp; Morris, DL 2015, 'Long term results of RFA to lung metastases from colorectal cancer in 157 patients', </w:t>
      </w:r>
      <w:r w:rsidRPr="00E2013B">
        <w:rPr>
          <w:rFonts w:eastAsiaTheme="minorHAnsi"/>
          <w:i/>
          <w:lang w:eastAsia="en-US"/>
        </w:rPr>
        <w:t xml:space="preserve">European journal of </w:t>
      </w:r>
      <w:r w:rsidRPr="00E2013B">
        <w:rPr>
          <w:rFonts w:eastAsiaTheme="minorHAnsi"/>
          <w:i/>
          <w:lang w:eastAsia="en-US"/>
        </w:rPr>
        <w:lastRenderedPageBreak/>
        <w:t>surgical oncology : the journal of the European Society of Surgical Oncology and the British Association of Surgical Oncology</w:t>
      </w:r>
      <w:r w:rsidRPr="00E2013B">
        <w:rPr>
          <w:rFonts w:eastAsiaTheme="minorHAnsi"/>
          <w:lang w:eastAsia="en-US"/>
        </w:rPr>
        <w:t>, vol.41(5), pp. 690-95.</w:t>
      </w:r>
    </w:p>
    <w:p w14:paraId="1133FD7B" w14:textId="77777777" w:rsidR="00B4290F" w:rsidRPr="00E2013B" w:rsidRDefault="00B4290F" w:rsidP="00B4290F">
      <w:pPr>
        <w:rPr>
          <w:rFonts w:eastAsiaTheme="minorHAnsi"/>
          <w:lang w:eastAsia="en-US"/>
        </w:rPr>
      </w:pPr>
      <w:r w:rsidRPr="00E2013B">
        <w:rPr>
          <w:rFonts w:eastAsiaTheme="minorHAnsi"/>
          <w:lang w:eastAsia="en-US"/>
        </w:rPr>
        <w:t>Gadaleta, C, Catino, A &amp; Mattioli, V 2006, 'Radiofrequency thermal ablation in the treatment of lung malignancies'</w:t>
      </w:r>
      <w:r w:rsidRPr="00E2013B">
        <w:rPr>
          <w:rFonts w:eastAsiaTheme="minorHAnsi"/>
          <w:i/>
          <w:lang w:eastAsia="en-US"/>
        </w:rPr>
        <w:t>, In Vivo</w:t>
      </w:r>
      <w:r w:rsidRPr="00E2013B">
        <w:rPr>
          <w:rFonts w:eastAsiaTheme="minorHAnsi"/>
          <w:lang w:eastAsia="en-US"/>
        </w:rPr>
        <w:t xml:space="preserve">, </w:t>
      </w:r>
      <w:proofErr w:type="gramStart"/>
      <w:r w:rsidRPr="00E2013B">
        <w:rPr>
          <w:rFonts w:eastAsiaTheme="minorHAnsi"/>
          <w:lang w:eastAsia="en-US"/>
        </w:rPr>
        <w:t>vol.20(</w:t>
      </w:r>
      <w:proofErr w:type="gramEnd"/>
      <w:r w:rsidRPr="00E2013B">
        <w:rPr>
          <w:rFonts w:eastAsiaTheme="minorHAnsi"/>
          <w:lang w:eastAsia="en-US"/>
        </w:rPr>
        <w:t>6 A), pp. 765-68.</w:t>
      </w:r>
    </w:p>
    <w:p w14:paraId="12900279" w14:textId="77777777" w:rsidR="00B4290F" w:rsidRPr="00E2013B" w:rsidRDefault="00B4290F" w:rsidP="00B4290F">
      <w:pPr>
        <w:rPr>
          <w:rFonts w:eastAsiaTheme="minorHAnsi"/>
          <w:lang w:eastAsia="en-US"/>
        </w:rPr>
      </w:pPr>
      <w:r w:rsidRPr="00E2013B">
        <w:rPr>
          <w:rFonts w:eastAsiaTheme="minorHAnsi"/>
          <w:lang w:eastAsia="en-US"/>
        </w:rPr>
        <w:t xml:space="preserve">Galbis Caravajal, JM, Jornet Fayos, J, Cuenca Torres, M, Molla Olmos, E, Estors Guerrero, M, Sanchez Garcia, F, Martinez Hernandez, NJ, Esturi Navarro, R, Pastor Del Campo, A &amp; Vano Molina, M 2013, 'Study of survival in patients with malignant lung lesions treated with radiofrequency', </w:t>
      </w:r>
      <w:r w:rsidRPr="00E2013B">
        <w:rPr>
          <w:rFonts w:eastAsiaTheme="minorHAnsi"/>
          <w:i/>
          <w:lang w:eastAsia="en-US"/>
        </w:rPr>
        <w:t>Clinical and Translational Oncology</w:t>
      </w:r>
      <w:r w:rsidRPr="00E2013B">
        <w:rPr>
          <w:rFonts w:eastAsiaTheme="minorHAnsi"/>
          <w:lang w:eastAsia="en-US"/>
        </w:rPr>
        <w:t>, vol.15(10), pp. 830-35.</w:t>
      </w:r>
    </w:p>
    <w:p w14:paraId="39BB8492" w14:textId="77777777" w:rsidR="00B4290F" w:rsidRPr="00E2013B" w:rsidRDefault="00B4290F" w:rsidP="00B4290F">
      <w:pPr>
        <w:rPr>
          <w:rFonts w:eastAsiaTheme="minorHAnsi"/>
          <w:lang w:eastAsia="en-US"/>
        </w:rPr>
      </w:pPr>
      <w:r w:rsidRPr="00E2013B">
        <w:rPr>
          <w:rFonts w:eastAsiaTheme="minorHAnsi"/>
          <w:lang w:eastAsia="en-US"/>
        </w:rPr>
        <w:t>Garetto, I, Busso, M, Sardo, D, Filippini, C, Solitro, F, Grognardi, ML &amp; Veltri, A 2014, 'Radiofrequency ablation of thoracic tumours: lessons learned with ablation of 100 lesions', L</w:t>
      </w:r>
      <w:r w:rsidRPr="00E2013B">
        <w:rPr>
          <w:rFonts w:eastAsiaTheme="minorHAnsi"/>
          <w:i/>
          <w:lang w:eastAsia="en-US"/>
        </w:rPr>
        <w:t>a Radiologia medica</w:t>
      </w:r>
      <w:r w:rsidRPr="00E2013B">
        <w:rPr>
          <w:rFonts w:eastAsiaTheme="minorHAnsi"/>
          <w:lang w:eastAsia="en-US"/>
        </w:rPr>
        <w:t>, vol.119(1), pp. 33-40.</w:t>
      </w:r>
    </w:p>
    <w:p w14:paraId="69D999BF" w14:textId="77777777" w:rsidR="00B4290F" w:rsidRPr="00E2013B" w:rsidRDefault="00B4290F" w:rsidP="00B4290F">
      <w:pPr>
        <w:rPr>
          <w:rFonts w:eastAsiaTheme="minorHAnsi"/>
          <w:lang w:eastAsia="en-US"/>
        </w:rPr>
      </w:pPr>
      <w:r w:rsidRPr="00E2013B">
        <w:rPr>
          <w:rFonts w:eastAsiaTheme="minorHAnsi"/>
          <w:lang w:eastAsia="en-US"/>
        </w:rPr>
        <w:t xml:space="preserve">Gillams, A, Khan, Z, Osborn, P &amp; Lees, W 2013, 'Survival after radiofrequency ablation in 122 patients with inoperable colorectal lung metastases', </w:t>
      </w:r>
      <w:r w:rsidRPr="00E2013B">
        <w:rPr>
          <w:rFonts w:eastAsiaTheme="minorHAnsi"/>
          <w:i/>
          <w:lang w:eastAsia="en-US"/>
        </w:rPr>
        <w:t>Cardiovascular and interventional radiology</w:t>
      </w:r>
      <w:r w:rsidRPr="00E2013B">
        <w:rPr>
          <w:rFonts w:eastAsiaTheme="minorHAnsi"/>
          <w:lang w:eastAsia="en-US"/>
        </w:rPr>
        <w:t xml:space="preserve">, </w:t>
      </w:r>
      <w:proofErr w:type="gramStart"/>
      <w:r w:rsidRPr="00E2013B">
        <w:rPr>
          <w:rFonts w:eastAsiaTheme="minorHAnsi"/>
          <w:lang w:eastAsia="en-US"/>
        </w:rPr>
        <w:t>vol.36(</w:t>
      </w:r>
      <w:proofErr w:type="gramEnd"/>
      <w:r w:rsidRPr="00E2013B">
        <w:rPr>
          <w:rFonts w:eastAsiaTheme="minorHAnsi"/>
          <w:lang w:eastAsia="en-US"/>
        </w:rPr>
        <w:t>3), pp. 724-30.</w:t>
      </w:r>
    </w:p>
    <w:p w14:paraId="5BEC23E1" w14:textId="77777777" w:rsidR="00B4290F" w:rsidRPr="00E2013B" w:rsidRDefault="00B4290F" w:rsidP="00B4290F">
      <w:pPr>
        <w:rPr>
          <w:rFonts w:eastAsiaTheme="minorHAnsi"/>
          <w:lang w:eastAsia="en-US"/>
        </w:rPr>
      </w:pPr>
      <w:r w:rsidRPr="00E2013B">
        <w:rPr>
          <w:rFonts w:eastAsiaTheme="minorHAnsi"/>
          <w:lang w:eastAsia="en-US"/>
        </w:rPr>
        <w:t>Gillams, AR &amp; Lees, WR 2007, 'Analysis of the factors associated with radiofrequency ablation-induced pneumothorax'</w:t>
      </w:r>
      <w:r w:rsidRPr="00E2013B">
        <w:rPr>
          <w:rFonts w:eastAsiaTheme="minorHAnsi"/>
          <w:i/>
          <w:lang w:eastAsia="en-US"/>
        </w:rPr>
        <w:t>, Clinical Radiology</w:t>
      </w:r>
      <w:r w:rsidRPr="00E2013B">
        <w:rPr>
          <w:rFonts w:eastAsiaTheme="minorHAnsi"/>
          <w:lang w:eastAsia="en-US"/>
        </w:rPr>
        <w:t xml:space="preserve">, </w:t>
      </w:r>
      <w:proofErr w:type="gramStart"/>
      <w:r w:rsidRPr="00E2013B">
        <w:rPr>
          <w:rFonts w:eastAsiaTheme="minorHAnsi"/>
          <w:lang w:eastAsia="en-US"/>
        </w:rPr>
        <w:t>vol.62(</w:t>
      </w:r>
      <w:proofErr w:type="gramEnd"/>
      <w:r w:rsidRPr="00E2013B">
        <w:rPr>
          <w:rFonts w:eastAsiaTheme="minorHAnsi"/>
          <w:lang w:eastAsia="en-US"/>
        </w:rPr>
        <w:t>7), pp. 639-44.</w:t>
      </w:r>
    </w:p>
    <w:p w14:paraId="0D29535F" w14:textId="77777777" w:rsidR="00B4290F" w:rsidRPr="00E2013B" w:rsidRDefault="00B4290F" w:rsidP="00B4290F">
      <w:pPr>
        <w:rPr>
          <w:rFonts w:eastAsiaTheme="minorHAnsi"/>
          <w:lang w:eastAsia="en-US"/>
        </w:rPr>
      </w:pPr>
      <w:r w:rsidRPr="00E2013B">
        <w:rPr>
          <w:rFonts w:eastAsiaTheme="minorHAnsi"/>
          <w:lang w:eastAsia="en-US"/>
        </w:rPr>
        <w:t xml:space="preserve">Gillams, AR &amp; Lees, WR 2008, 'Radiofrequency ablation of lung metastases: Factors influencing success', </w:t>
      </w:r>
      <w:r w:rsidRPr="00E2013B">
        <w:rPr>
          <w:rFonts w:eastAsiaTheme="minorHAnsi"/>
          <w:i/>
          <w:lang w:eastAsia="en-US"/>
        </w:rPr>
        <w:t>European Radiology</w:t>
      </w:r>
      <w:r w:rsidRPr="00E2013B">
        <w:rPr>
          <w:rFonts w:eastAsiaTheme="minorHAnsi"/>
          <w:lang w:eastAsia="en-US"/>
        </w:rPr>
        <w:t xml:space="preserve">, </w:t>
      </w:r>
      <w:proofErr w:type="gramStart"/>
      <w:r w:rsidRPr="00E2013B">
        <w:rPr>
          <w:rFonts w:eastAsiaTheme="minorHAnsi"/>
          <w:lang w:eastAsia="en-US"/>
        </w:rPr>
        <w:t>vol.18(</w:t>
      </w:r>
      <w:proofErr w:type="gramEnd"/>
      <w:r w:rsidRPr="00E2013B">
        <w:rPr>
          <w:rFonts w:eastAsiaTheme="minorHAnsi"/>
          <w:lang w:eastAsia="en-US"/>
        </w:rPr>
        <w:t>4), pp. 672-77.</w:t>
      </w:r>
    </w:p>
    <w:p w14:paraId="057014D2" w14:textId="77777777" w:rsidR="00B4290F" w:rsidRPr="00E2013B" w:rsidRDefault="00B4290F" w:rsidP="00B4290F">
      <w:pPr>
        <w:rPr>
          <w:rFonts w:eastAsiaTheme="minorHAnsi"/>
          <w:lang w:eastAsia="en-US"/>
        </w:rPr>
      </w:pPr>
      <w:r w:rsidRPr="00E2013B">
        <w:rPr>
          <w:rFonts w:eastAsiaTheme="minorHAnsi"/>
          <w:lang w:eastAsia="en-US"/>
        </w:rPr>
        <w:t xml:space="preserve">Hiraki, T, Gobara, H, Mimura, H, Sano, Y, Tsuda, T, Iguchi, T, Fujiwara, H, Kishi, R, Matsui, Y &amp; Kanazawa, S 2010, 'Does tumor type affect local control by radiofrequency ablation in the lungs?', </w:t>
      </w:r>
      <w:r w:rsidRPr="00E2013B">
        <w:rPr>
          <w:rFonts w:eastAsiaTheme="minorHAnsi"/>
          <w:i/>
          <w:lang w:eastAsia="en-US"/>
        </w:rPr>
        <w:t>European journal of radiology</w:t>
      </w:r>
      <w:r w:rsidRPr="00E2013B">
        <w:rPr>
          <w:rFonts w:eastAsiaTheme="minorHAnsi"/>
          <w:lang w:eastAsia="en-US"/>
        </w:rPr>
        <w:t>, vol.74(1), pp. 136-41.</w:t>
      </w:r>
    </w:p>
    <w:p w14:paraId="37DB5D55" w14:textId="77777777" w:rsidR="00B4290F" w:rsidRPr="00E2013B" w:rsidRDefault="00B4290F" w:rsidP="00B4290F">
      <w:pPr>
        <w:rPr>
          <w:rFonts w:eastAsiaTheme="minorHAnsi"/>
          <w:lang w:eastAsia="en-US"/>
        </w:rPr>
      </w:pPr>
      <w:r w:rsidRPr="00E2013B">
        <w:rPr>
          <w:rFonts w:eastAsiaTheme="minorHAnsi"/>
          <w:lang w:eastAsia="en-US"/>
        </w:rPr>
        <w:t xml:space="preserve">Hiraki, T, Tajiri, N, Mimura, H, Yasui, K, Gobara, H, Mukai, T, Hase, S, Fujiwara, H, Iguchi, T, Sano, Y, Shimizu, N &amp; Kanazawa, S 2006, 'Pneumothorax, pleural effusion, and chest tube placement after radiofrequency ablation of lung tumors: Incidence and risk factors', </w:t>
      </w:r>
      <w:r w:rsidRPr="00E2013B">
        <w:rPr>
          <w:rFonts w:eastAsiaTheme="minorHAnsi"/>
          <w:i/>
          <w:lang w:eastAsia="en-US"/>
        </w:rPr>
        <w:t>Radiology</w:t>
      </w:r>
      <w:r w:rsidRPr="00E2013B">
        <w:rPr>
          <w:rFonts w:eastAsiaTheme="minorHAnsi"/>
          <w:lang w:eastAsia="en-US"/>
        </w:rPr>
        <w:t>, vol.241(1), pp. 275-83.</w:t>
      </w:r>
    </w:p>
    <w:p w14:paraId="759863B0" w14:textId="77777777" w:rsidR="00B4290F" w:rsidRPr="00E2013B" w:rsidRDefault="00B4290F" w:rsidP="00B4290F">
      <w:pPr>
        <w:rPr>
          <w:rFonts w:eastAsiaTheme="minorHAnsi"/>
          <w:lang w:eastAsia="en-US"/>
        </w:rPr>
      </w:pPr>
      <w:r w:rsidRPr="00E2013B">
        <w:rPr>
          <w:rFonts w:eastAsiaTheme="minorHAnsi"/>
          <w:lang w:eastAsia="en-US"/>
        </w:rPr>
        <w:t xml:space="preserve">Huang, L, Han, Y, Zhao, J, Wang, X, Cheng, Q, Li, X, Xu, H &amp; Gao, K 2011, 'Is radiofrequency thermal ablation a safe and effective procedure in the treatment of pulmonary malignancies?', </w:t>
      </w:r>
      <w:r w:rsidRPr="00E2013B">
        <w:rPr>
          <w:rFonts w:eastAsiaTheme="minorHAnsi"/>
          <w:i/>
          <w:lang w:eastAsia="en-US"/>
        </w:rPr>
        <w:t>European Journal of Cardio-thoracic Surgery</w:t>
      </w:r>
      <w:r w:rsidRPr="00E2013B">
        <w:rPr>
          <w:rFonts w:eastAsiaTheme="minorHAnsi"/>
          <w:lang w:eastAsia="en-US"/>
        </w:rPr>
        <w:t>, vol.39(3), pp. 348-51.</w:t>
      </w:r>
    </w:p>
    <w:p w14:paraId="723540A9" w14:textId="77777777" w:rsidR="00B4290F" w:rsidRPr="00E2013B" w:rsidRDefault="00B4290F" w:rsidP="00B4290F">
      <w:pPr>
        <w:rPr>
          <w:rFonts w:eastAsiaTheme="minorHAnsi"/>
          <w:lang w:eastAsia="en-US"/>
        </w:rPr>
      </w:pPr>
      <w:r w:rsidRPr="00E2013B">
        <w:rPr>
          <w:rFonts w:eastAsiaTheme="minorHAnsi"/>
          <w:lang w:eastAsia="en-US"/>
        </w:rPr>
        <w:t xml:space="preserve">Hublet, A, Wijtenburg, E, Lismonde, M, Thomas, T, Majois, F, De Lovinfosse, S, Delaunoit, T, Mitine, C, Vermonden, J, Nicaise, G &amp; Van Ruyssevelt, P 2010, 'Feasibility of percutaneous radiofrequency ablation for pulmonary malignancies in the hands of the surgeon', </w:t>
      </w:r>
      <w:r w:rsidRPr="00E2013B">
        <w:rPr>
          <w:rFonts w:eastAsiaTheme="minorHAnsi"/>
          <w:i/>
          <w:lang w:eastAsia="en-US"/>
        </w:rPr>
        <w:t>Acta Chirurgica Belgica</w:t>
      </w:r>
      <w:r w:rsidRPr="00E2013B">
        <w:rPr>
          <w:rFonts w:eastAsiaTheme="minorHAnsi"/>
          <w:lang w:eastAsia="en-US"/>
        </w:rPr>
        <w:t>, vol.110(3), pp. 267-71.</w:t>
      </w:r>
    </w:p>
    <w:p w14:paraId="7FFE789E"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Iguchi, T, Hiraki, T, Gobara, H, Fujiwara, H, Matsui, Y, Soh, J, Toyooka, S, Kiura, K &amp; Kanazawa, S 2015, 'Percutaneous radiofrequency ablation of lung cancer presenting as ground-glass opacity', </w:t>
      </w:r>
      <w:r w:rsidRPr="00E2013B">
        <w:rPr>
          <w:rFonts w:eastAsiaTheme="minorHAnsi"/>
          <w:i/>
          <w:lang w:eastAsia="en-US"/>
        </w:rPr>
        <w:t>Cardiovascular and interventional radiology</w:t>
      </w:r>
      <w:r w:rsidRPr="00E2013B">
        <w:rPr>
          <w:rFonts w:eastAsiaTheme="minorHAnsi"/>
          <w:lang w:eastAsia="en-US"/>
        </w:rPr>
        <w:t>, vol.38(2), pp. 409-15.</w:t>
      </w:r>
    </w:p>
    <w:p w14:paraId="606654E2" w14:textId="77777777" w:rsidR="00B4290F" w:rsidRPr="00E2013B" w:rsidRDefault="00B4290F" w:rsidP="00B4290F">
      <w:pPr>
        <w:rPr>
          <w:rFonts w:eastAsiaTheme="minorHAnsi"/>
          <w:lang w:eastAsia="en-US"/>
        </w:rPr>
      </w:pPr>
      <w:r w:rsidRPr="00E2013B">
        <w:rPr>
          <w:rFonts w:eastAsiaTheme="minorHAnsi"/>
          <w:lang w:eastAsia="en-US"/>
        </w:rPr>
        <w:t xml:space="preserve">Iguchi, T, Hiraki, T, Gobara, H, Mimura, H, Fujiwara, H, Tajiri, N, Sakurai, J, Yasui, K, Date, H &amp; Kanazawa, S 2007, 'Percutaneous Radiofrequency Ablation of Lung Tumors Close to the Heart or Aorta: Evaluation of Safety and Effectiveness', </w:t>
      </w:r>
      <w:r w:rsidRPr="00E2013B">
        <w:rPr>
          <w:rFonts w:eastAsiaTheme="minorHAnsi"/>
          <w:i/>
          <w:lang w:eastAsia="en-US"/>
        </w:rPr>
        <w:t>Journal of Vascular and Interventional Radiology</w:t>
      </w:r>
      <w:r w:rsidRPr="00E2013B">
        <w:rPr>
          <w:rFonts w:eastAsiaTheme="minorHAnsi"/>
          <w:lang w:eastAsia="en-US"/>
        </w:rPr>
        <w:t>, vol.18(6), pp. 733-40.</w:t>
      </w:r>
    </w:p>
    <w:p w14:paraId="50D35C4F" w14:textId="77777777" w:rsidR="00B4290F" w:rsidRPr="00E2013B" w:rsidRDefault="00B4290F" w:rsidP="00B4290F">
      <w:pPr>
        <w:rPr>
          <w:rFonts w:eastAsiaTheme="minorHAnsi"/>
          <w:lang w:eastAsia="en-US"/>
        </w:rPr>
      </w:pPr>
      <w:r w:rsidRPr="00E2013B">
        <w:rPr>
          <w:rFonts w:eastAsiaTheme="minorHAnsi"/>
          <w:lang w:eastAsia="en-US"/>
        </w:rPr>
        <w:t xml:space="preserve">Ihara, H, Gobara, H, Hiraki, T, Mitsuhashi, T, Iguchi, T, Fujiwara, H, Matsui, Y, Soh, J, Toyooka, S &amp; Kanazawa, S 2016, 'Radiofrequency ablation of lung tumors using a multitined expandable electrode: Impact of the electrode array diameter on local tumor progression', </w:t>
      </w:r>
      <w:r w:rsidRPr="00E2013B">
        <w:rPr>
          <w:rFonts w:eastAsiaTheme="minorHAnsi"/>
          <w:i/>
          <w:lang w:eastAsia="en-US"/>
        </w:rPr>
        <w:t>Journal of Vascular and Interventional Radiology</w:t>
      </w:r>
      <w:r w:rsidRPr="00E2013B">
        <w:rPr>
          <w:rFonts w:eastAsiaTheme="minorHAnsi"/>
          <w:lang w:eastAsia="en-US"/>
        </w:rPr>
        <w:t>, vol.27(1), pp. 87-95.</w:t>
      </w:r>
    </w:p>
    <w:p w14:paraId="5789265A" w14:textId="77777777" w:rsidR="00B4290F" w:rsidRPr="00E2013B" w:rsidRDefault="00B4290F" w:rsidP="00B4290F">
      <w:pPr>
        <w:rPr>
          <w:rFonts w:eastAsiaTheme="minorHAnsi"/>
          <w:lang w:eastAsia="en-US"/>
        </w:rPr>
      </w:pPr>
      <w:r w:rsidRPr="00E2013B">
        <w:rPr>
          <w:rFonts w:eastAsiaTheme="minorHAnsi"/>
          <w:lang w:eastAsia="en-US"/>
        </w:rPr>
        <w:t xml:space="preserve">Kashima, M, Yamakado, K, Takaki, H, Kodama, H, Yamada, T, Uraki, J &amp; Nakatsuka, A 2011, 'Complications after 1000 lung radiofrequency ablation sessions in 420 patients: A single center's experiences', </w:t>
      </w:r>
      <w:r w:rsidRPr="00E2013B">
        <w:rPr>
          <w:rFonts w:eastAsiaTheme="minorHAnsi"/>
          <w:i/>
          <w:lang w:eastAsia="en-US"/>
        </w:rPr>
        <w:t>American Journal of Roentgenology</w:t>
      </w:r>
      <w:r w:rsidRPr="00E2013B">
        <w:rPr>
          <w:rFonts w:eastAsiaTheme="minorHAnsi"/>
          <w:lang w:eastAsia="en-US"/>
        </w:rPr>
        <w:t xml:space="preserve">, </w:t>
      </w:r>
      <w:proofErr w:type="gramStart"/>
      <w:r w:rsidRPr="00E2013B">
        <w:rPr>
          <w:rFonts w:eastAsiaTheme="minorHAnsi"/>
          <w:lang w:eastAsia="en-US"/>
        </w:rPr>
        <w:t>vol.197(</w:t>
      </w:r>
      <w:proofErr w:type="gramEnd"/>
      <w:r w:rsidRPr="00E2013B">
        <w:rPr>
          <w:rFonts w:eastAsiaTheme="minorHAnsi"/>
          <w:lang w:eastAsia="en-US"/>
        </w:rPr>
        <w:t>4), pp. W576-W80.</w:t>
      </w:r>
    </w:p>
    <w:p w14:paraId="43913ADD" w14:textId="77777777" w:rsidR="00B4290F" w:rsidRPr="00E2013B" w:rsidRDefault="00B4290F" w:rsidP="00B4290F">
      <w:pPr>
        <w:rPr>
          <w:rFonts w:eastAsiaTheme="minorHAnsi"/>
          <w:lang w:eastAsia="en-US"/>
        </w:rPr>
      </w:pPr>
      <w:r w:rsidRPr="00E2013B">
        <w:rPr>
          <w:rFonts w:eastAsiaTheme="minorHAnsi"/>
          <w:lang w:eastAsia="en-US"/>
        </w:rPr>
        <w:t xml:space="preserve">Kim, SR, Han, HJ, Park, SJ, Min, KH, Lee, MH, Chung, CR, Kim, MH, Jin, GY &amp; Lee, YC 2012, 'Comparison between surgery and radiofrequency ablation for stage i non-small cell lung cancer', </w:t>
      </w:r>
      <w:r w:rsidRPr="00E2013B">
        <w:rPr>
          <w:rFonts w:eastAsiaTheme="minorHAnsi"/>
          <w:i/>
          <w:lang w:eastAsia="en-US"/>
        </w:rPr>
        <w:t>European journal of radiology</w:t>
      </w:r>
      <w:r w:rsidRPr="00E2013B">
        <w:rPr>
          <w:rFonts w:eastAsiaTheme="minorHAnsi"/>
          <w:lang w:eastAsia="en-US"/>
        </w:rPr>
        <w:t>, vol.81(2), pp. 395-99.</w:t>
      </w:r>
    </w:p>
    <w:p w14:paraId="358C06E7" w14:textId="77777777" w:rsidR="00B4290F" w:rsidRPr="00E2013B" w:rsidRDefault="00B4290F" w:rsidP="00B4290F">
      <w:pPr>
        <w:rPr>
          <w:rFonts w:eastAsiaTheme="minorHAnsi"/>
          <w:lang w:eastAsia="en-US"/>
        </w:rPr>
      </w:pPr>
      <w:r w:rsidRPr="00E2013B">
        <w:rPr>
          <w:rFonts w:eastAsiaTheme="minorHAnsi"/>
          <w:lang w:eastAsia="en-US"/>
        </w:rPr>
        <w:t xml:space="preserve">Kodama, H, Yamakado, K, Hasegawa, T, Fujimori, M, Yamanaka, T, Takaki, H, Uraki, J, Nakatsuka, A &amp; Sakuma, H 2015, 'Radiofrequency Ablation Using a Multiple-Electrode Switching System for Lung Tumors with 2.0-5.0-cm Maximum Diameter: Phase II Clinical Study', </w:t>
      </w:r>
      <w:r w:rsidRPr="00E2013B">
        <w:rPr>
          <w:rFonts w:eastAsiaTheme="minorHAnsi"/>
          <w:i/>
          <w:lang w:eastAsia="en-US"/>
        </w:rPr>
        <w:t>Radiology,</w:t>
      </w:r>
      <w:r w:rsidRPr="00E2013B">
        <w:rPr>
          <w:rFonts w:eastAsiaTheme="minorHAnsi"/>
          <w:lang w:eastAsia="en-US"/>
        </w:rPr>
        <w:t xml:space="preserve"> vol.277(3), pp. 895-902.</w:t>
      </w:r>
    </w:p>
    <w:p w14:paraId="57F1A4DB" w14:textId="77777777" w:rsidR="00B4290F" w:rsidRPr="00E2013B" w:rsidRDefault="00B4290F" w:rsidP="00B4290F">
      <w:pPr>
        <w:rPr>
          <w:rFonts w:eastAsiaTheme="minorHAnsi"/>
          <w:lang w:eastAsia="en-US"/>
        </w:rPr>
      </w:pPr>
      <w:r w:rsidRPr="00E2013B">
        <w:rPr>
          <w:rFonts w:eastAsiaTheme="minorHAnsi"/>
          <w:lang w:eastAsia="en-US"/>
        </w:rPr>
        <w:t xml:space="preserve">Kodama, H, Yamakado, K, Hasegawa, T, Takao, M, Taguchi, O, Fukai, I &amp; Sakuma, H 2014, 'Radiofrequency ablation for ground-glass opacity-dominant lung adenocarcinoma', </w:t>
      </w:r>
      <w:r w:rsidRPr="00E2013B">
        <w:rPr>
          <w:rFonts w:eastAsiaTheme="minorHAnsi"/>
          <w:i/>
          <w:lang w:eastAsia="en-US"/>
        </w:rPr>
        <w:t>Journal of Vascular and Interventional Radiology</w:t>
      </w:r>
      <w:r w:rsidRPr="00E2013B">
        <w:rPr>
          <w:rFonts w:eastAsiaTheme="minorHAnsi"/>
          <w:lang w:eastAsia="en-US"/>
        </w:rPr>
        <w:t>, vol.25(3), pp. 333-39.</w:t>
      </w:r>
    </w:p>
    <w:p w14:paraId="6C4E56B3" w14:textId="77777777" w:rsidR="00B4290F" w:rsidRPr="00E2013B" w:rsidRDefault="00B4290F" w:rsidP="00B4290F">
      <w:pPr>
        <w:rPr>
          <w:rFonts w:eastAsiaTheme="minorHAnsi"/>
          <w:lang w:eastAsia="en-US"/>
        </w:rPr>
      </w:pPr>
      <w:r w:rsidRPr="00E2013B">
        <w:rPr>
          <w:rFonts w:eastAsiaTheme="minorHAnsi"/>
          <w:lang w:eastAsia="en-US"/>
        </w:rPr>
        <w:t xml:space="preserve">Kodama, H, Yamakado, K, Takaki, H, Kashima, M, Uraki, J, Nakatsuka, A, Takao, M, Taguchi, O, Yamada, T &amp; Takeda, K 2012, 'Lung radiofrequency ablation for the treatment of unresectable recurrent non-small-cell lung cancer after surgical intervention', </w:t>
      </w:r>
      <w:r w:rsidRPr="00E2013B">
        <w:rPr>
          <w:rFonts w:eastAsiaTheme="minorHAnsi"/>
          <w:i/>
          <w:lang w:eastAsia="en-US"/>
        </w:rPr>
        <w:t>Cardiovascular and interventional radiology</w:t>
      </w:r>
      <w:r w:rsidRPr="00E2013B">
        <w:rPr>
          <w:rFonts w:eastAsiaTheme="minorHAnsi"/>
          <w:lang w:eastAsia="en-US"/>
        </w:rPr>
        <w:t xml:space="preserve">, </w:t>
      </w:r>
      <w:proofErr w:type="gramStart"/>
      <w:r w:rsidRPr="00E2013B">
        <w:rPr>
          <w:rFonts w:eastAsiaTheme="minorHAnsi"/>
          <w:lang w:eastAsia="en-US"/>
        </w:rPr>
        <w:t>vol.35(</w:t>
      </w:r>
      <w:proofErr w:type="gramEnd"/>
      <w:r w:rsidRPr="00E2013B">
        <w:rPr>
          <w:rFonts w:eastAsiaTheme="minorHAnsi"/>
          <w:lang w:eastAsia="en-US"/>
        </w:rPr>
        <w:t>3), pp. 563-69.</w:t>
      </w:r>
    </w:p>
    <w:p w14:paraId="1460F582" w14:textId="77777777" w:rsidR="00B4290F" w:rsidRPr="00E2013B" w:rsidRDefault="00B4290F" w:rsidP="00B4290F">
      <w:pPr>
        <w:rPr>
          <w:rFonts w:eastAsiaTheme="minorHAnsi"/>
          <w:lang w:eastAsia="en-US"/>
        </w:rPr>
      </w:pPr>
      <w:r w:rsidRPr="00E2013B">
        <w:rPr>
          <w:rFonts w:eastAsiaTheme="minorHAnsi"/>
          <w:lang w:eastAsia="en-US"/>
        </w:rPr>
        <w:t xml:space="preserve">Lencioni, R, Crocetti, L, Cioni, R, Suh, R, Glenn, D, Regge, D, Helmberger, T, Gillams, AR, Frilling, A, Ambrogi, M, Bartolozzi, C &amp; Mussi, A 2008, 'Response to radiofrequency ablation of pulmonary tumours: a prospective, intention-to-treat, multicentre clinical trial (the RAPTURE study)', </w:t>
      </w:r>
      <w:r w:rsidRPr="00E2013B">
        <w:rPr>
          <w:rFonts w:eastAsiaTheme="minorHAnsi"/>
          <w:i/>
          <w:lang w:eastAsia="en-US"/>
        </w:rPr>
        <w:t>The Lancet Oncology</w:t>
      </w:r>
      <w:r w:rsidRPr="00E2013B">
        <w:rPr>
          <w:rFonts w:eastAsiaTheme="minorHAnsi"/>
          <w:lang w:eastAsia="en-US"/>
        </w:rPr>
        <w:t>, vol.9(7), pp. 621-28.</w:t>
      </w:r>
    </w:p>
    <w:p w14:paraId="66B74607"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Lu, Q, Li, X, Han, Y, Zhang, Z, Yan, X &amp; Huang, L 2011, 'Radiofrequency ablation for the treatment of lung neoplasms: A retrospective study of 329 cases', </w:t>
      </w:r>
      <w:r w:rsidRPr="00E2013B">
        <w:rPr>
          <w:rFonts w:eastAsiaTheme="minorHAnsi"/>
          <w:i/>
          <w:lang w:eastAsia="en-US"/>
        </w:rPr>
        <w:t>Chinese Journal of Lung Cancer</w:t>
      </w:r>
      <w:r w:rsidRPr="00E2013B">
        <w:rPr>
          <w:rFonts w:eastAsiaTheme="minorHAnsi"/>
          <w:lang w:eastAsia="en-US"/>
        </w:rPr>
        <w:t>, vol.14(11), pp. 865-69.</w:t>
      </w:r>
    </w:p>
    <w:p w14:paraId="20067787" w14:textId="77777777" w:rsidR="00B4290F" w:rsidRPr="00E2013B" w:rsidRDefault="00B4290F" w:rsidP="00B4290F">
      <w:pPr>
        <w:rPr>
          <w:rFonts w:eastAsiaTheme="minorHAnsi"/>
          <w:lang w:eastAsia="en-US"/>
        </w:rPr>
      </w:pPr>
      <w:r w:rsidRPr="00E2013B">
        <w:rPr>
          <w:rFonts w:eastAsiaTheme="minorHAnsi"/>
          <w:lang w:eastAsia="en-US"/>
        </w:rPr>
        <w:t xml:space="preserve">Nakamura, T, Matsumine, A, Yamakado, K, Matsubara, T, Takaki, H, Nakatsuka, A, Takeda, K, Abo, D, Shimizu, T &amp; Uchida, A 2009, 'Lung radiofrequency ablation in patients with pulmonary metastases from musculoskeletal sarcomas: An initial experience (R#2)', </w:t>
      </w:r>
      <w:r w:rsidRPr="00E2013B">
        <w:rPr>
          <w:rFonts w:eastAsiaTheme="minorHAnsi"/>
          <w:i/>
          <w:lang w:eastAsia="en-US"/>
        </w:rPr>
        <w:t>Cancer,</w:t>
      </w:r>
      <w:r w:rsidRPr="00E2013B">
        <w:rPr>
          <w:rFonts w:eastAsiaTheme="minorHAnsi"/>
          <w:lang w:eastAsia="en-US"/>
        </w:rPr>
        <w:t xml:space="preserve"> </w:t>
      </w:r>
      <w:proofErr w:type="gramStart"/>
      <w:r w:rsidRPr="00E2013B">
        <w:rPr>
          <w:rFonts w:eastAsiaTheme="minorHAnsi"/>
          <w:lang w:eastAsia="en-US"/>
        </w:rPr>
        <w:t>vol.115(</w:t>
      </w:r>
      <w:proofErr w:type="gramEnd"/>
      <w:r w:rsidRPr="00E2013B">
        <w:rPr>
          <w:rFonts w:eastAsiaTheme="minorHAnsi"/>
          <w:lang w:eastAsia="en-US"/>
        </w:rPr>
        <w:t>16), pp. 3774-81.</w:t>
      </w:r>
    </w:p>
    <w:p w14:paraId="3324289F" w14:textId="77777777" w:rsidR="00B4290F" w:rsidRPr="00E2013B" w:rsidRDefault="00B4290F" w:rsidP="00B4290F">
      <w:pPr>
        <w:rPr>
          <w:rFonts w:eastAsiaTheme="minorHAnsi"/>
          <w:lang w:eastAsia="en-US"/>
        </w:rPr>
      </w:pPr>
      <w:r w:rsidRPr="00E2013B">
        <w:rPr>
          <w:rFonts w:eastAsiaTheme="minorHAnsi"/>
          <w:lang w:eastAsia="en-US"/>
        </w:rPr>
        <w:t xml:space="preserve">Nomura, M, Yamakado, K, Nomoto, Y, Nakatsuka, A, Ii, N, Takaki, H, Yamashita, Y &amp; Takeda, K 2008, 'Complications after lung radiofrequency ablation: Risk factors for lung inflammation', </w:t>
      </w:r>
      <w:r w:rsidRPr="00E2013B">
        <w:rPr>
          <w:rFonts w:eastAsiaTheme="minorHAnsi"/>
          <w:i/>
          <w:lang w:eastAsia="en-US"/>
        </w:rPr>
        <w:t>British Journal of Radiology</w:t>
      </w:r>
      <w:r w:rsidRPr="00E2013B">
        <w:rPr>
          <w:rFonts w:eastAsiaTheme="minorHAnsi"/>
          <w:lang w:eastAsia="en-US"/>
        </w:rPr>
        <w:t xml:space="preserve">, </w:t>
      </w:r>
      <w:proofErr w:type="gramStart"/>
      <w:r w:rsidRPr="00E2013B">
        <w:rPr>
          <w:rFonts w:eastAsiaTheme="minorHAnsi"/>
          <w:lang w:eastAsia="en-US"/>
        </w:rPr>
        <w:t>vol.81(</w:t>
      </w:r>
      <w:proofErr w:type="gramEnd"/>
      <w:r w:rsidRPr="00E2013B">
        <w:rPr>
          <w:rFonts w:eastAsiaTheme="minorHAnsi"/>
          <w:lang w:eastAsia="en-US"/>
        </w:rPr>
        <w:t>963), pp. 244-49.</w:t>
      </w:r>
    </w:p>
    <w:p w14:paraId="0D37268B" w14:textId="77777777" w:rsidR="00B4290F" w:rsidRPr="00E2013B" w:rsidRDefault="00B4290F" w:rsidP="00B4290F">
      <w:pPr>
        <w:rPr>
          <w:rFonts w:eastAsiaTheme="minorHAnsi"/>
          <w:lang w:eastAsia="en-US"/>
        </w:rPr>
      </w:pPr>
      <w:r w:rsidRPr="00E2013B">
        <w:rPr>
          <w:rFonts w:eastAsiaTheme="minorHAnsi"/>
          <w:lang w:eastAsia="en-US"/>
        </w:rPr>
        <w:t>Nour-Eldin, NEA, Naguib, NNN, Tawfik, AM, Gruber-Rouh, T, Zangos, S &amp; Vogl, TJ 2014, 'CT volumetric assessment of pulmonary neoplasms after radiofrequency ablation: When to consider a second intervention?</w:t>
      </w:r>
      <w:proofErr w:type="gramStart"/>
      <w:r w:rsidRPr="00E2013B">
        <w:rPr>
          <w:rFonts w:eastAsiaTheme="minorHAnsi"/>
          <w:lang w:eastAsia="en-US"/>
        </w:rPr>
        <w:t>',</w:t>
      </w:r>
      <w:proofErr w:type="gramEnd"/>
      <w:r w:rsidRPr="00E2013B">
        <w:rPr>
          <w:rFonts w:eastAsiaTheme="minorHAnsi"/>
          <w:lang w:eastAsia="en-US"/>
        </w:rPr>
        <w:t xml:space="preserve"> </w:t>
      </w:r>
      <w:r w:rsidRPr="00E2013B">
        <w:rPr>
          <w:rFonts w:eastAsiaTheme="minorHAnsi"/>
          <w:i/>
          <w:lang w:eastAsia="en-US"/>
        </w:rPr>
        <w:t>Journal of Vascular and Interventional Radiology</w:t>
      </w:r>
      <w:r w:rsidRPr="00E2013B">
        <w:rPr>
          <w:rFonts w:eastAsiaTheme="minorHAnsi"/>
          <w:lang w:eastAsia="en-US"/>
        </w:rPr>
        <w:t>, vol.25(3), pp. 347-54.</w:t>
      </w:r>
    </w:p>
    <w:p w14:paraId="17CE609D" w14:textId="77777777" w:rsidR="00B4290F" w:rsidRPr="00E2013B" w:rsidRDefault="00B4290F" w:rsidP="00B4290F">
      <w:pPr>
        <w:rPr>
          <w:rFonts w:eastAsiaTheme="minorHAnsi"/>
          <w:lang w:eastAsia="en-US"/>
        </w:rPr>
      </w:pPr>
      <w:r w:rsidRPr="00E2013B">
        <w:rPr>
          <w:rFonts w:eastAsiaTheme="minorHAnsi"/>
          <w:lang w:eastAsia="en-US"/>
        </w:rPr>
        <w:t xml:space="preserve">Okuma, T, Matsuoka, T, Yamamoto, A, Hamamoto, S, Nakamura, K &amp; Inoue, Y 2009, 'Assessment of early treatment response after CT-guided radiofrequency ablation of unresectable lung tumours by diffusion-weighted MRI: A pilot study', </w:t>
      </w:r>
      <w:r w:rsidRPr="00E2013B">
        <w:rPr>
          <w:rFonts w:eastAsiaTheme="minorHAnsi"/>
          <w:i/>
          <w:lang w:eastAsia="en-US"/>
        </w:rPr>
        <w:t>British Journal of Radiology</w:t>
      </w:r>
      <w:r w:rsidRPr="00E2013B">
        <w:rPr>
          <w:rFonts w:eastAsiaTheme="minorHAnsi"/>
          <w:lang w:eastAsia="en-US"/>
        </w:rPr>
        <w:t xml:space="preserve">, </w:t>
      </w:r>
      <w:proofErr w:type="gramStart"/>
      <w:r w:rsidRPr="00E2013B">
        <w:rPr>
          <w:rFonts w:eastAsiaTheme="minorHAnsi"/>
          <w:lang w:eastAsia="en-US"/>
        </w:rPr>
        <w:t>vol.82(</w:t>
      </w:r>
      <w:proofErr w:type="gramEnd"/>
      <w:r w:rsidRPr="00E2013B">
        <w:rPr>
          <w:rFonts w:eastAsiaTheme="minorHAnsi"/>
          <w:lang w:eastAsia="en-US"/>
        </w:rPr>
        <w:t>984), pp. 989-94.</w:t>
      </w:r>
    </w:p>
    <w:p w14:paraId="635D30C3" w14:textId="77777777" w:rsidR="00B4290F" w:rsidRPr="00E2013B" w:rsidRDefault="00B4290F" w:rsidP="00B4290F">
      <w:pPr>
        <w:rPr>
          <w:rFonts w:eastAsiaTheme="minorHAnsi"/>
          <w:lang w:eastAsia="en-US"/>
        </w:rPr>
      </w:pPr>
      <w:r w:rsidRPr="00E2013B">
        <w:rPr>
          <w:rFonts w:eastAsiaTheme="minorHAnsi"/>
          <w:lang w:eastAsia="en-US"/>
        </w:rPr>
        <w:t xml:space="preserve">Okuma, T, Matsuoka, T, Yamamoto, A, Oyama, Y, Hamamoto, S, Toyoshima, M, Nakamura, K &amp; Miki, Y 2010, 'Determinants of local progression after computed tomography-guided percutaneous radiofrequency ablation for unresectable lung tumors: 9-year experience in a single institution', </w:t>
      </w:r>
      <w:r w:rsidRPr="00E2013B">
        <w:rPr>
          <w:rFonts w:eastAsiaTheme="minorHAnsi"/>
          <w:i/>
          <w:lang w:eastAsia="en-US"/>
        </w:rPr>
        <w:t>Cardiovascular and interventional radiology</w:t>
      </w:r>
      <w:r w:rsidRPr="00E2013B">
        <w:rPr>
          <w:rFonts w:eastAsiaTheme="minorHAnsi"/>
          <w:lang w:eastAsia="en-US"/>
        </w:rPr>
        <w:t xml:space="preserve">, </w:t>
      </w:r>
      <w:proofErr w:type="gramStart"/>
      <w:r w:rsidRPr="00E2013B">
        <w:rPr>
          <w:rFonts w:eastAsiaTheme="minorHAnsi"/>
          <w:lang w:eastAsia="en-US"/>
        </w:rPr>
        <w:t>vol.33(</w:t>
      </w:r>
      <w:proofErr w:type="gramEnd"/>
      <w:r w:rsidRPr="00E2013B">
        <w:rPr>
          <w:rFonts w:eastAsiaTheme="minorHAnsi"/>
          <w:lang w:eastAsia="en-US"/>
        </w:rPr>
        <w:t>4), pp. 787-93.</w:t>
      </w:r>
    </w:p>
    <w:p w14:paraId="09249EDB" w14:textId="77777777" w:rsidR="00B4290F" w:rsidRPr="00E2013B" w:rsidRDefault="00B4290F" w:rsidP="00B4290F">
      <w:pPr>
        <w:rPr>
          <w:rFonts w:eastAsiaTheme="minorHAnsi"/>
          <w:lang w:eastAsia="en-US"/>
        </w:rPr>
      </w:pPr>
      <w:r w:rsidRPr="00E2013B">
        <w:rPr>
          <w:rFonts w:eastAsiaTheme="minorHAnsi"/>
          <w:lang w:eastAsia="en-US"/>
        </w:rPr>
        <w:t xml:space="preserve">Okuma, T, Matsuoka, T, Yamamoto, A, Oyama, Y, Toyoshima, M, Nakamura, K &amp; Inoue, Y 2008, 'Frequency and risk factors of various complications after computed tomography-guided radiofrequency ablation of lung tumors', </w:t>
      </w:r>
      <w:r w:rsidRPr="00E2013B">
        <w:rPr>
          <w:rFonts w:eastAsiaTheme="minorHAnsi"/>
          <w:i/>
          <w:lang w:eastAsia="en-US"/>
        </w:rPr>
        <w:t>Cardiovascular and interventional radiology</w:t>
      </w:r>
      <w:r w:rsidRPr="00E2013B">
        <w:rPr>
          <w:rFonts w:eastAsiaTheme="minorHAnsi"/>
          <w:lang w:eastAsia="en-US"/>
        </w:rPr>
        <w:t>, vol.31(1), pp. 122-30.</w:t>
      </w:r>
    </w:p>
    <w:p w14:paraId="5CEEEE41" w14:textId="77777777" w:rsidR="00B4290F" w:rsidRPr="00E2013B" w:rsidRDefault="00B4290F" w:rsidP="00B4290F">
      <w:pPr>
        <w:rPr>
          <w:rFonts w:eastAsiaTheme="minorHAnsi"/>
          <w:lang w:eastAsia="en-US"/>
        </w:rPr>
      </w:pPr>
      <w:r w:rsidRPr="00E2013B">
        <w:rPr>
          <w:rFonts w:eastAsiaTheme="minorHAnsi"/>
          <w:lang w:eastAsia="en-US"/>
        </w:rPr>
        <w:t xml:space="preserve">Palussiere, J, Gomez, F, Cannella, M, Ferron, S, Descat, E, Fonck, M, Brouste, V &amp; Avril, A 2012, 'Single-session radiofrequency ablation of bilateral lung metastases', </w:t>
      </w:r>
      <w:r w:rsidRPr="00E2013B">
        <w:rPr>
          <w:rFonts w:eastAsiaTheme="minorHAnsi"/>
          <w:i/>
          <w:lang w:eastAsia="en-US"/>
        </w:rPr>
        <w:t>Cardiovascular and interventional radiology</w:t>
      </w:r>
      <w:r w:rsidRPr="00E2013B">
        <w:rPr>
          <w:rFonts w:eastAsiaTheme="minorHAnsi"/>
          <w:lang w:eastAsia="en-US"/>
        </w:rPr>
        <w:t xml:space="preserve">, </w:t>
      </w:r>
      <w:proofErr w:type="gramStart"/>
      <w:r w:rsidRPr="00E2013B">
        <w:rPr>
          <w:rFonts w:eastAsiaTheme="minorHAnsi"/>
          <w:lang w:eastAsia="en-US"/>
        </w:rPr>
        <w:t>vol.35(</w:t>
      </w:r>
      <w:proofErr w:type="gramEnd"/>
      <w:r w:rsidRPr="00E2013B">
        <w:rPr>
          <w:rFonts w:eastAsiaTheme="minorHAnsi"/>
          <w:lang w:eastAsia="en-US"/>
        </w:rPr>
        <w:t>4), pp. 852-59.</w:t>
      </w:r>
    </w:p>
    <w:p w14:paraId="55372461" w14:textId="77777777" w:rsidR="00B4290F" w:rsidRPr="00E2013B" w:rsidRDefault="00B4290F" w:rsidP="00B4290F">
      <w:pPr>
        <w:rPr>
          <w:rFonts w:eastAsiaTheme="minorHAnsi"/>
          <w:lang w:eastAsia="en-US"/>
        </w:rPr>
      </w:pPr>
      <w:r w:rsidRPr="00E2013B">
        <w:rPr>
          <w:rFonts w:eastAsiaTheme="minorHAnsi"/>
          <w:lang w:eastAsia="en-US"/>
        </w:rPr>
        <w:t xml:space="preserve">Palussiere, J, Marcet, B, Descat, E, Deschamps, F, Rao, P, Ravaud, A, Brouste, V &amp; De Baere, T 2011, 'Lung tumors treated with percutaneous radiofrequency ablation: Computed tomography imaging follow-up', </w:t>
      </w:r>
      <w:r w:rsidRPr="00E2013B">
        <w:rPr>
          <w:rFonts w:eastAsiaTheme="minorHAnsi"/>
          <w:i/>
          <w:lang w:eastAsia="en-US"/>
        </w:rPr>
        <w:t>Cardiovascular and interventional radiology</w:t>
      </w:r>
      <w:r w:rsidRPr="00E2013B">
        <w:rPr>
          <w:rFonts w:eastAsiaTheme="minorHAnsi"/>
          <w:lang w:eastAsia="en-US"/>
        </w:rPr>
        <w:t xml:space="preserve">, </w:t>
      </w:r>
      <w:proofErr w:type="gramStart"/>
      <w:r w:rsidRPr="00E2013B">
        <w:rPr>
          <w:rFonts w:eastAsiaTheme="minorHAnsi"/>
          <w:lang w:eastAsia="en-US"/>
        </w:rPr>
        <w:t>vol.34(</w:t>
      </w:r>
      <w:proofErr w:type="gramEnd"/>
      <w:r w:rsidRPr="00E2013B">
        <w:rPr>
          <w:rFonts w:eastAsiaTheme="minorHAnsi"/>
          <w:lang w:eastAsia="en-US"/>
        </w:rPr>
        <w:t>5), pp. 989-97.</w:t>
      </w:r>
    </w:p>
    <w:p w14:paraId="3F7B853D" w14:textId="77777777" w:rsidR="00B4290F" w:rsidRPr="00E2013B" w:rsidRDefault="00B4290F" w:rsidP="00B4290F">
      <w:pPr>
        <w:rPr>
          <w:rFonts w:eastAsiaTheme="minorHAnsi"/>
          <w:lang w:eastAsia="en-US"/>
        </w:rPr>
      </w:pPr>
      <w:r w:rsidRPr="00E2013B">
        <w:rPr>
          <w:rFonts w:eastAsiaTheme="minorHAnsi"/>
          <w:lang w:eastAsia="en-US"/>
        </w:rPr>
        <w:t xml:space="preserve">Pennathur, A, Abbas, G, Gooding, WE, Schuchert, MJ, Gilbert, S, Christie, NA, Landreneau, RJ &amp; Luketich, JD 2009, 'Image-Guided Radiofrequency Ablation of Lung Neoplasm in 100 Consecutive Patients by a Thoracic Surgical Service', </w:t>
      </w:r>
      <w:r w:rsidRPr="00E2013B">
        <w:rPr>
          <w:rFonts w:eastAsiaTheme="minorHAnsi"/>
          <w:i/>
          <w:lang w:eastAsia="en-US"/>
        </w:rPr>
        <w:t>Annals of Thoracic Surgery</w:t>
      </w:r>
      <w:r w:rsidRPr="00E2013B">
        <w:rPr>
          <w:rFonts w:eastAsiaTheme="minorHAnsi"/>
          <w:lang w:eastAsia="en-US"/>
        </w:rPr>
        <w:t>, vol.88(5), pp. 1601-08.</w:t>
      </w:r>
    </w:p>
    <w:p w14:paraId="00B35380"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Petre, EN, Jia, X, Thornton, RH, Sofocleous, CT, Alago, W, Kemeny, NE &amp; Solomon, SB 2013, 'Treatment of pulmonary colorectal metastases by radiofrequency ablation', </w:t>
      </w:r>
      <w:r w:rsidRPr="00E2013B">
        <w:rPr>
          <w:rFonts w:eastAsiaTheme="minorHAnsi"/>
          <w:i/>
          <w:lang w:eastAsia="en-US"/>
        </w:rPr>
        <w:t>Clin Colorectal Cancer</w:t>
      </w:r>
      <w:r w:rsidRPr="00E2013B">
        <w:rPr>
          <w:rFonts w:eastAsiaTheme="minorHAnsi"/>
          <w:lang w:eastAsia="en-US"/>
        </w:rPr>
        <w:t>, vol.12(1), pp. 37-44.</w:t>
      </w:r>
    </w:p>
    <w:p w14:paraId="7A96FCE9" w14:textId="77777777" w:rsidR="00B4290F" w:rsidRPr="00E2013B" w:rsidRDefault="00B4290F" w:rsidP="00B4290F">
      <w:pPr>
        <w:rPr>
          <w:rFonts w:eastAsiaTheme="minorHAnsi"/>
          <w:lang w:eastAsia="en-US"/>
        </w:rPr>
      </w:pPr>
      <w:r w:rsidRPr="00E2013B">
        <w:rPr>
          <w:rFonts w:eastAsiaTheme="minorHAnsi"/>
          <w:lang w:eastAsia="en-US"/>
        </w:rPr>
        <w:t xml:space="preserve">Rossi, S, Dore, R, Cascina, A, Vespro, V, Garbagnati, F, Rosa, L, Ravetta, V, Azzaretti, A, Di Tolla, P, Orlandoni, G &amp; Pozzi, E 2006, 'Percutaneous computed tomography-guide radiofrequency thermal ablation of small unresectable lung tumours', </w:t>
      </w:r>
      <w:r w:rsidRPr="00E2013B">
        <w:rPr>
          <w:rFonts w:eastAsiaTheme="minorHAnsi"/>
          <w:i/>
          <w:lang w:eastAsia="en-US"/>
        </w:rPr>
        <w:t>European Respiratory Journal</w:t>
      </w:r>
      <w:r w:rsidRPr="00E2013B">
        <w:rPr>
          <w:rFonts w:eastAsiaTheme="minorHAnsi"/>
          <w:lang w:eastAsia="en-US"/>
        </w:rPr>
        <w:t>, vol.27(3), pp. 556-63.</w:t>
      </w:r>
    </w:p>
    <w:p w14:paraId="0D716551" w14:textId="77777777" w:rsidR="00B4290F" w:rsidRPr="00E2013B" w:rsidRDefault="00B4290F" w:rsidP="00B4290F">
      <w:pPr>
        <w:rPr>
          <w:rFonts w:eastAsiaTheme="minorHAnsi"/>
          <w:lang w:eastAsia="en-US"/>
        </w:rPr>
      </w:pPr>
      <w:r w:rsidRPr="00E2013B">
        <w:rPr>
          <w:rFonts w:eastAsiaTheme="minorHAnsi"/>
          <w:lang w:eastAsia="en-US"/>
        </w:rPr>
        <w:t xml:space="preserve">Sakurai, J, Hiraki, T, Mimura, H, Gobara, H, Fujiwara, H, Tajiri, N, Sano, Y &amp; Kanazawa, S 2010, 'Radiofrequency Ablation of Small Lung Metastases by a Single Application of a 2-cm Expandable Electrode: Determination of Favorable Responders', </w:t>
      </w:r>
      <w:r w:rsidRPr="00E2013B">
        <w:rPr>
          <w:rFonts w:eastAsiaTheme="minorHAnsi"/>
          <w:i/>
          <w:lang w:eastAsia="en-US"/>
        </w:rPr>
        <w:t>Journal of Vascular and Interventional Radiology</w:t>
      </w:r>
      <w:r w:rsidRPr="00E2013B">
        <w:rPr>
          <w:rFonts w:eastAsiaTheme="minorHAnsi"/>
          <w:lang w:eastAsia="en-US"/>
        </w:rPr>
        <w:t>, vol.21(2), pp. 231-36.</w:t>
      </w:r>
    </w:p>
    <w:p w14:paraId="52489E3B" w14:textId="77777777" w:rsidR="00B4290F" w:rsidRPr="00E2013B" w:rsidRDefault="00B4290F" w:rsidP="00B4290F">
      <w:pPr>
        <w:rPr>
          <w:rFonts w:eastAsiaTheme="minorHAnsi"/>
          <w:lang w:eastAsia="en-US"/>
        </w:rPr>
      </w:pPr>
      <w:r w:rsidRPr="00E2013B">
        <w:rPr>
          <w:rFonts w:eastAsiaTheme="minorHAnsi"/>
          <w:lang w:eastAsia="en-US"/>
        </w:rPr>
        <w:t>Sano, Y, Kanazawa, S, Gobara, H, Mukai, T, Hiraki, T, Hase, S, Toyooka, S, Aoe, M &amp; Date, H 2007, 'Feasibility of percutaneous radiofrequency ablation for intrathoracic malignancies: A large single-center experience'</w:t>
      </w:r>
      <w:r w:rsidRPr="00E2013B">
        <w:rPr>
          <w:rFonts w:eastAsiaTheme="minorHAnsi"/>
          <w:i/>
          <w:lang w:eastAsia="en-US"/>
        </w:rPr>
        <w:t>, Cancer</w:t>
      </w:r>
      <w:r w:rsidRPr="00E2013B">
        <w:rPr>
          <w:rFonts w:eastAsiaTheme="minorHAnsi"/>
          <w:lang w:eastAsia="en-US"/>
        </w:rPr>
        <w:t>, vol.109(7), pp. 1397-405.</w:t>
      </w:r>
    </w:p>
    <w:p w14:paraId="46EB140D" w14:textId="77777777" w:rsidR="00B4290F" w:rsidRPr="00E2013B" w:rsidRDefault="00B4290F" w:rsidP="00B4290F">
      <w:pPr>
        <w:rPr>
          <w:rFonts w:eastAsiaTheme="minorHAnsi"/>
          <w:lang w:eastAsia="en-US"/>
        </w:rPr>
      </w:pPr>
      <w:proofErr w:type="gramStart"/>
      <w:r w:rsidRPr="00E2013B">
        <w:rPr>
          <w:rFonts w:eastAsiaTheme="minorHAnsi"/>
          <w:lang w:eastAsia="en-US"/>
        </w:rPr>
        <w:t xml:space="preserve">Shen, Y, Zhong, M, Jiang, W, Fan, H, Wang, H &amp; Wang, Q 2013, 'Video-assisted radiofrequency ablation for pleural disseminated non-small cell lung cancer', </w:t>
      </w:r>
      <w:r w:rsidRPr="00E2013B">
        <w:rPr>
          <w:rFonts w:eastAsiaTheme="minorHAnsi"/>
          <w:i/>
          <w:lang w:eastAsia="en-US"/>
        </w:rPr>
        <w:t>BMC surgery</w:t>
      </w:r>
      <w:r w:rsidRPr="00E2013B">
        <w:rPr>
          <w:rFonts w:eastAsiaTheme="minorHAnsi"/>
          <w:lang w:eastAsia="en-US"/>
        </w:rPr>
        <w:t>, vol.13pp.</w:t>
      </w:r>
      <w:proofErr w:type="gramEnd"/>
      <w:r w:rsidRPr="00E2013B">
        <w:rPr>
          <w:rFonts w:eastAsiaTheme="minorHAnsi"/>
          <w:lang w:eastAsia="en-US"/>
        </w:rPr>
        <w:t xml:space="preserve"> 19.</w:t>
      </w:r>
    </w:p>
    <w:p w14:paraId="436D0FAA" w14:textId="77777777" w:rsidR="00B4290F" w:rsidRPr="00E2013B" w:rsidRDefault="00B4290F" w:rsidP="00B4290F">
      <w:pPr>
        <w:rPr>
          <w:rFonts w:eastAsiaTheme="minorHAnsi"/>
          <w:lang w:eastAsia="en-US"/>
        </w:rPr>
      </w:pPr>
      <w:r w:rsidRPr="00E2013B">
        <w:rPr>
          <w:rFonts w:eastAsiaTheme="minorHAnsi"/>
          <w:lang w:eastAsia="en-US"/>
        </w:rPr>
        <w:t xml:space="preserve">Singnurkar, A, Solomon, SB, Gonen, M, Larson, SM &amp; Schoder, H 2010, '18F-FDG PET/CT for the prediction and detection of local recurrence after radiofrequency ablation of malignant lung lesions', </w:t>
      </w:r>
      <w:r w:rsidRPr="00E2013B">
        <w:rPr>
          <w:rFonts w:eastAsiaTheme="minorHAnsi"/>
          <w:i/>
          <w:lang w:eastAsia="en-US"/>
        </w:rPr>
        <w:t>J Nucl Med</w:t>
      </w:r>
      <w:r w:rsidRPr="00E2013B">
        <w:rPr>
          <w:rFonts w:eastAsiaTheme="minorHAnsi"/>
          <w:lang w:eastAsia="en-US"/>
        </w:rPr>
        <w:t>, vol.51(12), pp. 1833-40.</w:t>
      </w:r>
    </w:p>
    <w:p w14:paraId="49FEB789" w14:textId="77777777" w:rsidR="00B4290F" w:rsidRPr="00E2013B" w:rsidRDefault="00B4290F" w:rsidP="00B4290F">
      <w:pPr>
        <w:rPr>
          <w:rFonts w:eastAsiaTheme="minorHAnsi"/>
          <w:lang w:eastAsia="en-US"/>
        </w:rPr>
      </w:pPr>
      <w:r w:rsidRPr="00E2013B">
        <w:rPr>
          <w:rFonts w:eastAsiaTheme="minorHAnsi"/>
          <w:lang w:eastAsia="en-US"/>
        </w:rPr>
        <w:t>Skonieczki, BD, Wells, C, Wasser, EJ &amp; Dupuy, DE 2011, 'Radiofrequency and microwave tumor ablation in patients with implanted cardiac devices: Is it safe?</w:t>
      </w:r>
      <w:proofErr w:type="gramStart"/>
      <w:r w:rsidRPr="00E2013B">
        <w:rPr>
          <w:rFonts w:eastAsiaTheme="minorHAnsi"/>
          <w:lang w:eastAsia="en-US"/>
        </w:rPr>
        <w:t>',</w:t>
      </w:r>
      <w:proofErr w:type="gramEnd"/>
      <w:r w:rsidRPr="00E2013B">
        <w:rPr>
          <w:rFonts w:eastAsiaTheme="minorHAnsi"/>
          <w:lang w:eastAsia="en-US"/>
        </w:rPr>
        <w:t xml:space="preserve"> </w:t>
      </w:r>
      <w:r w:rsidRPr="00E2013B">
        <w:rPr>
          <w:rFonts w:eastAsiaTheme="minorHAnsi"/>
          <w:i/>
          <w:lang w:eastAsia="en-US"/>
        </w:rPr>
        <w:t>European journal of radiology</w:t>
      </w:r>
      <w:r w:rsidRPr="00E2013B">
        <w:rPr>
          <w:rFonts w:eastAsiaTheme="minorHAnsi"/>
          <w:lang w:eastAsia="en-US"/>
        </w:rPr>
        <w:t>, vol.79(3), pp. 343-46.</w:t>
      </w:r>
    </w:p>
    <w:p w14:paraId="4BD3E73F" w14:textId="77777777" w:rsidR="00B4290F" w:rsidRPr="00E2013B" w:rsidRDefault="00B4290F" w:rsidP="00B4290F">
      <w:pPr>
        <w:rPr>
          <w:rFonts w:eastAsiaTheme="minorHAnsi"/>
          <w:lang w:eastAsia="en-US"/>
        </w:rPr>
      </w:pPr>
      <w:r w:rsidRPr="00E2013B">
        <w:rPr>
          <w:rFonts w:eastAsiaTheme="minorHAnsi"/>
          <w:lang w:eastAsia="en-US"/>
        </w:rPr>
        <w:t>Smith, SL, Bowers, D, Jennings, P &amp; Soomal, R 2016, 'Pulmonary radiofrequency ablation in a district general hospital: is it a safe and effective treatment?</w:t>
      </w:r>
      <w:proofErr w:type="gramStart"/>
      <w:r w:rsidRPr="00E2013B">
        <w:rPr>
          <w:rFonts w:eastAsiaTheme="minorHAnsi"/>
          <w:lang w:eastAsia="en-US"/>
        </w:rPr>
        <w:t>',</w:t>
      </w:r>
      <w:proofErr w:type="gramEnd"/>
      <w:r w:rsidRPr="00E2013B">
        <w:rPr>
          <w:rFonts w:eastAsiaTheme="minorHAnsi"/>
          <w:lang w:eastAsia="en-US"/>
        </w:rPr>
        <w:t xml:space="preserve"> </w:t>
      </w:r>
      <w:r w:rsidRPr="00E2013B">
        <w:rPr>
          <w:rFonts w:eastAsiaTheme="minorHAnsi"/>
          <w:i/>
          <w:lang w:eastAsia="en-US"/>
        </w:rPr>
        <w:t>Clin Radiol</w:t>
      </w:r>
      <w:r w:rsidRPr="00E2013B">
        <w:rPr>
          <w:rFonts w:eastAsiaTheme="minorHAnsi"/>
          <w:lang w:eastAsia="en-US"/>
        </w:rPr>
        <w:t xml:space="preserve">, vol.pp. </w:t>
      </w:r>
    </w:p>
    <w:p w14:paraId="1B5B4BFB" w14:textId="77777777" w:rsidR="00B4290F" w:rsidRPr="00E2013B" w:rsidRDefault="00B4290F" w:rsidP="00B4290F">
      <w:pPr>
        <w:rPr>
          <w:rFonts w:eastAsiaTheme="minorHAnsi"/>
          <w:lang w:eastAsia="en-US"/>
        </w:rPr>
      </w:pPr>
      <w:r w:rsidRPr="00E2013B">
        <w:rPr>
          <w:rFonts w:eastAsiaTheme="minorHAnsi"/>
          <w:lang w:eastAsia="en-US"/>
        </w:rPr>
        <w:t xml:space="preserve">Sofocleous, CT, Garg, SK, Cohen, P, Petre, EN, Gonen, M, Erinjeri, JP, Downey, RJ, Travis, WD &amp; Solomon, SB 2013, 'Ki 67 is an independent predictive biomarker of cancer specific and local recurrence-free survival after lung tumor ablation', </w:t>
      </w:r>
      <w:r w:rsidRPr="00E2013B">
        <w:rPr>
          <w:rFonts w:eastAsiaTheme="minorHAnsi"/>
          <w:i/>
          <w:lang w:eastAsia="en-US"/>
        </w:rPr>
        <w:t>Annals of Surgical Oncology</w:t>
      </w:r>
      <w:r w:rsidRPr="00E2013B">
        <w:rPr>
          <w:rFonts w:eastAsiaTheme="minorHAnsi"/>
          <w:lang w:eastAsia="en-US"/>
        </w:rPr>
        <w:t xml:space="preserve">, vol.20pp. </w:t>
      </w:r>
      <w:proofErr w:type="gramStart"/>
      <w:r w:rsidRPr="00E2013B">
        <w:rPr>
          <w:rFonts w:eastAsiaTheme="minorHAnsi"/>
          <w:lang w:eastAsia="en-US"/>
        </w:rPr>
        <w:t>S676-S83.</w:t>
      </w:r>
      <w:proofErr w:type="gramEnd"/>
    </w:p>
    <w:p w14:paraId="187EABD6" w14:textId="77777777" w:rsidR="00B4290F" w:rsidRPr="00E2013B" w:rsidRDefault="00B4290F" w:rsidP="00B4290F">
      <w:pPr>
        <w:rPr>
          <w:rFonts w:eastAsiaTheme="minorHAnsi"/>
          <w:lang w:eastAsia="en-US"/>
        </w:rPr>
      </w:pPr>
      <w:r w:rsidRPr="00E2013B">
        <w:rPr>
          <w:rFonts w:eastAsiaTheme="minorHAnsi"/>
          <w:lang w:eastAsia="en-US"/>
        </w:rPr>
        <w:t xml:space="preserve">Suzuki, T, Yamagami, T, Tanaka, O, Yoshimatsu, R, Miura, H &amp; Nishimura, T 2010, 'Percutaneous radiofrequency ablation for lung tumors beneath the rib under CT fluoroscopic guidance with gantry tilt', </w:t>
      </w:r>
      <w:r w:rsidRPr="00E2013B">
        <w:rPr>
          <w:rFonts w:eastAsiaTheme="minorHAnsi"/>
          <w:i/>
          <w:lang w:eastAsia="en-US"/>
        </w:rPr>
        <w:t>Acta radiologica</w:t>
      </w:r>
      <w:r w:rsidRPr="00E2013B">
        <w:rPr>
          <w:rFonts w:eastAsiaTheme="minorHAnsi"/>
          <w:lang w:eastAsia="en-US"/>
        </w:rPr>
        <w:t xml:space="preserve"> (Stockholm, Sweden : 1987), vol.51(4), pp. 389-95.</w:t>
      </w:r>
    </w:p>
    <w:p w14:paraId="4E92E770" w14:textId="77777777" w:rsidR="00B4290F" w:rsidRPr="00E2013B" w:rsidRDefault="00B4290F" w:rsidP="00B4290F">
      <w:pPr>
        <w:rPr>
          <w:rFonts w:eastAsiaTheme="minorHAnsi"/>
          <w:lang w:eastAsia="en-US"/>
        </w:rPr>
      </w:pPr>
      <w:r w:rsidRPr="00E2013B">
        <w:rPr>
          <w:rFonts w:eastAsiaTheme="minorHAnsi"/>
          <w:lang w:eastAsia="en-US"/>
        </w:rPr>
        <w:t xml:space="preserve">Tajiri, N, Hiraki, T, Mimura, H, Gobara, H, Mukai, T, Hase, S, Fujiwara, H, Iguchi, T, Sakurai, J, Aoe, M, Sano, Y, Date, H &amp; Kanazawa, S 2008, 'Measurement of pleural temperature during radiofrequency </w:t>
      </w:r>
      <w:r w:rsidRPr="00E2013B">
        <w:rPr>
          <w:rFonts w:eastAsiaTheme="minorHAnsi"/>
          <w:lang w:eastAsia="en-US"/>
        </w:rPr>
        <w:lastRenderedPageBreak/>
        <w:t xml:space="preserve">ablation of lung tumors to investigate its relationship to occurrence of pneumothorax or pleural effusion', </w:t>
      </w:r>
      <w:r w:rsidRPr="00E2013B">
        <w:rPr>
          <w:rFonts w:eastAsiaTheme="minorHAnsi"/>
          <w:i/>
          <w:lang w:eastAsia="en-US"/>
        </w:rPr>
        <w:t>Cardiovascular and interventional radiology</w:t>
      </w:r>
      <w:r w:rsidRPr="00E2013B">
        <w:rPr>
          <w:rFonts w:eastAsiaTheme="minorHAnsi"/>
          <w:lang w:eastAsia="en-US"/>
        </w:rPr>
        <w:t>, vol.31(3), pp. 581-86.</w:t>
      </w:r>
    </w:p>
    <w:p w14:paraId="74C5A474" w14:textId="77777777" w:rsidR="00B4290F" w:rsidRPr="00E2013B" w:rsidRDefault="00B4290F" w:rsidP="00B4290F">
      <w:pPr>
        <w:rPr>
          <w:rFonts w:eastAsiaTheme="minorHAnsi"/>
          <w:lang w:eastAsia="en-US"/>
        </w:rPr>
      </w:pPr>
      <w:r w:rsidRPr="00E2013B">
        <w:rPr>
          <w:rFonts w:eastAsiaTheme="minorHAnsi"/>
          <w:lang w:eastAsia="en-US"/>
        </w:rPr>
        <w:t xml:space="preserve">Tavares, ECA, Freitas, S, Portilha, A, Alves, F &amp; Caseiro-Alves, F 2015, 'Efficacy and safety of percutaneous radiofrequency thermal ablation in the treatment of lung cancer lesions', </w:t>
      </w:r>
      <w:r w:rsidRPr="00E2013B">
        <w:rPr>
          <w:rFonts w:eastAsiaTheme="minorHAnsi"/>
          <w:i/>
          <w:lang w:eastAsia="en-US"/>
        </w:rPr>
        <w:t>Acta Medica Portuguesa</w:t>
      </w:r>
      <w:r w:rsidRPr="00E2013B">
        <w:rPr>
          <w:rFonts w:eastAsiaTheme="minorHAnsi"/>
          <w:lang w:eastAsia="en-US"/>
        </w:rPr>
        <w:t>, vol.28(1), pp. 63-69.</w:t>
      </w:r>
    </w:p>
    <w:p w14:paraId="5D42DE24" w14:textId="77777777" w:rsidR="00B4290F" w:rsidRPr="00E2013B" w:rsidRDefault="00B4290F" w:rsidP="00B4290F">
      <w:pPr>
        <w:rPr>
          <w:rFonts w:eastAsiaTheme="minorHAnsi"/>
          <w:lang w:eastAsia="en-US"/>
        </w:rPr>
      </w:pPr>
      <w:r w:rsidRPr="00E2013B">
        <w:rPr>
          <w:rFonts w:eastAsiaTheme="minorHAnsi"/>
          <w:lang w:eastAsia="en-US"/>
        </w:rPr>
        <w:t xml:space="preserve">Thanos, L, Mylona, S, Pomoni, M, Athanassiadi, K, Theakos, N, Zoganas, L &amp; Batakis, N 2006, 'Percutaneous radiofrequency thermal ablation of primary and metastatic lung tumors', </w:t>
      </w:r>
      <w:r w:rsidRPr="00E2013B">
        <w:rPr>
          <w:rFonts w:eastAsiaTheme="minorHAnsi"/>
          <w:i/>
          <w:lang w:eastAsia="en-US"/>
        </w:rPr>
        <w:t>European Journal of Cardio-thoracic Surgery</w:t>
      </w:r>
      <w:r w:rsidRPr="00E2013B">
        <w:rPr>
          <w:rFonts w:eastAsiaTheme="minorHAnsi"/>
          <w:lang w:eastAsia="en-US"/>
        </w:rPr>
        <w:t>, vol.30(5), pp. 797-800.</w:t>
      </w:r>
    </w:p>
    <w:p w14:paraId="6950E969" w14:textId="77777777" w:rsidR="00B4290F" w:rsidRPr="00E2013B" w:rsidRDefault="00B4290F" w:rsidP="00B4290F">
      <w:pPr>
        <w:rPr>
          <w:rFonts w:eastAsiaTheme="minorHAnsi"/>
          <w:lang w:eastAsia="en-US"/>
        </w:rPr>
      </w:pPr>
      <w:r w:rsidRPr="00E2013B">
        <w:rPr>
          <w:rFonts w:eastAsiaTheme="minorHAnsi"/>
          <w:lang w:eastAsia="en-US"/>
        </w:rPr>
        <w:t xml:space="preserve">Thanos, L, Mylona, S, Ptohis, N, Tsiouris, S, Sotiropoulou, E, Pomoni, A &amp; Pomoni, M 2009, 'Percutaneous radiofrequency thermal ablation in the management of lung tumors: Presentation of clinical experience on a series of 35 patients', </w:t>
      </w:r>
      <w:r w:rsidRPr="00E2013B">
        <w:rPr>
          <w:rFonts w:eastAsiaTheme="minorHAnsi"/>
          <w:i/>
          <w:lang w:eastAsia="en-US"/>
        </w:rPr>
        <w:t>Diagnostic and Interventional Radiology</w:t>
      </w:r>
      <w:r w:rsidRPr="00E2013B">
        <w:rPr>
          <w:rFonts w:eastAsiaTheme="minorHAnsi"/>
          <w:lang w:eastAsia="en-US"/>
        </w:rPr>
        <w:t>, vol.15(4), pp. 290-96.</w:t>
      </w:r>
    </w:p>
    <w:p w14:paraId="60175548" w14:textId="77777777" w:rsidR="00B4290F" w:rsidRPr="00E2013B" w:rsidRDefault="00B4290F" w:rsidP="00B4290F">
      <w:pPr>
        <w:rPr>
          <w:rFonts w:eastAsiaTheme="minorHAnsi"/>
          <w:lang w:eastAsia="en-US"/>
        </w:rPr>
      </w:pPr>
      <w:r w:rsidRPr="00E2013B">
        <w:rPr>
          <w:rFonts w:eastAsiaTheme="minorHAnsi"/>
          <w:lang w:eastAsia="en-US"/>
        </w:rPr>
        <w:t xml:space="preserve">White, ML, Atwell, TD, Kurup, AN, Schmit, GD, Carter, RE, Geske, JR, Kottschade, LA, Pulido, JS, Block, MS, Jakub, JW, Callstrom, MR &amp; Markovic, SN 2016, 'Recurrence and Survival Outcomes after Percutaneous Thermal Ablation of Oligometastatic Melanoma', </w:t>
      </w:r>
      <w:r w:rsidRPr="00E2013B">
        <w:rPr>
          <w:rFonts w:eastAsiaTheme="minorHAnsi"/>
          <w:i/>
          <w:lang w:eastAsia="en-US"/>
        </w:rPr>
        <w:t>Mayo Clinic Proceedings</w:t>
      </w:r>
      <w:r w:rsidRPr="00E2013B">
        <w:rPr>
          <w:rFonts w:eastAsiaTheme="minorHAnsi"/>
          <w:lang w:eastAsia="en-US"/>
        </w:rPr>
        <w:t>, vol.91(3), pp. 288-96.</w:t>
      </w:r>
    </w:p>
    <w:p w14:paraId="7A2F99D2" w14:textId="77777777" w:rsidR="00B4290F" w:rsidRPr="00E2013B" w:rsidRDefault="00B4290F" w:rsidP="00B4290F">
      <w:pPr>
        <w:rPr>
          <w:rFonts w:eastAsiaTheme="minorHAnsi"/>
          <w:lang w:eastAsia="en-US"/>
        </w:rPr>
      </w:pPr>
      <w:r w:rsidRPr="00E2013B">
        <w:rPr>
          <w:rFonts w:eastAsiaTheme="minorHAnsi"/>
          <w:lang w:eastAsia="en-US"/>
        </w:rPr>
        <w:t xml:space="preserve">Widenmeyer, M, Shebzukhov, Y, Haen, SP, Schmidt, D, Clasen, S, Boss, A, Kuprash, DV, Nedospasov, SA, Stenzl, A, Aebert, H, Wernet, D, Stevanovia, Pereira, PL, Rammensee, HG &amp; Gouttefangeas, C 2011, 'Analysis of tumor antigen-specific T cells and antibodies in cancer patients treated with radiofrequency ablation', </w:t>
      </w:r>
      <w:r w:rsidRPr="00E2013B">
        <w:rPr>
          <w:rFonts w:eastAsiaTheme="minorHAnsi"/>
          <w:i/>
          <w:lang w:eastAsia="en-US"/>
        </w:rPr>
        <w:t>International Journal of Cancer,</w:t>
      </w:r>
      <w:r w:rsidRPr="00E2013B">
        <w:rPr>
          <w:rFonts w:eastAsiaTheme="minorHAnsi"/>
          <w:lang w:eastAsia="en-US"/>
        </w:rPr>
        <w:t xml:space="preserve"> vol.128(11), pp. 2653-62.</w:t>
      </w:r>
    </w:p>
    <w:p w14:paraId="0F2D185C" w14:textId="77777777" w:rsidR="00B4290F" w:rsidRPr="00E2013B" w:rsidRDefault="00B4290F" w:rsidP="00B4290F">
      <w:pPr>
        <w:rPr>
          <w:rFonts w:eastAsiaTheme="minorHAnsi"/>
          <w:lang w:eastAsia="en-US"/>
        </w:rPr>
      </w:pPr>
      <w:r w:rsidRPr="00E2013B">
        <w:rPr>
          <w:rFonts w:eastAsiaTheme="minorHAnsi"/>
          <w:lang w:eastAsia="en-US"/>
        </w:rPr>
        <w:t xml:space="preserve">Yamagami, T, Kato, T, Hirota, T, Yoshimatsu, R, Matsumoto, T &amp; Nishimura, T 2006, 'Pneumothorax as a complication of percutaneous radiofrequency ablation for lung neoplasms', </w:t>
      </w:r>
      <w:r w:rsidRPr="00E2013B">
        <w:rPr>
          <w:rFonts w:eastAsiaTheme="minorHAnsi"/>
          <w:i/>
          <w:lang w:eastAsia="en-US"/>
        </w:rPr>
        <w:t>Journal of Vascular and Interventional Radiology</w:t>
      </w:r>
      <w:r w:rsidRPr="00E2013B">
        <w:rPr>
          <w:rFonts w:eastAsiaTheme="minorHAnsi"/>
          <w:lang w:eastAsia="en-US"/>
        </w:rPr>
        <w:t>, vol.17(10), pp. 1625-29.</w:t>
      </w:r>
    </w:p>
    <w:p w14:paraId="500C39B1" w14:textId="77777777" w:rsidR="00B4290F" w:rsidRPr="00E2013B" w:rsidRDefault="00B4290F" w:rsidP="00B4290F">
      <w:pPr>
        <w:rPr>
          <w:rFonts w:eastAsiaTheme="minorHAnsi"/>
          <w:lang w:eastAsia="en-US"/>
        </w:rPr>
      </w:pPr>
      <w:r w:rsidRPr="00E2013B">
        <w:rPr>
          <w:rFonts w:eastAsiaTheme="minorHAnsi"/>
          <w:lang w:eastAsia="en-US"/>
        </w:rPr>
        <w:t xml:space="preserve">Yamagami, T, Kato, T, Hirota, T, Yoshimatsu, R, Matsumoto, T, Shimada, J &amp; Nishimura, T 2007, 'Risk factors for occurrence of local tumor progression after percutaneous radiofrequency ablation for lung neoplasms', </w:t>
      </w:r>
      <w:r w:rsidRPr="00E2013B">
        <w:rPr>
          <w:rFonts w:eastAsiaTheme="minorHAnsi"/>
          <w:i/>
          <w:lang w:eastAsia="en-US"/>
        </w:rPr>
        <w:t>Diagnostic and Interventional Radiology</w:t>
      </w:r>
      <w:r w:rsidRPr="00E2013B">
        <w:rPr>
          <w:rFonts w:eastAsiaTheme="minorHAnsi"/>
          <w:lang w:eastAsia="en-US"/>
        </w:rPr>
        <w:t>, vol.13(4), pp. 199-203.</w:t>
      </w:r>
    </w:p>
    <w:p w14:paraId="000E24F4" w14:textId="77777777" w:rsidR="00B4290F" w:rsidRPr="00E2013B" w:rsidRDefault="00B4290F" w:rsidP="00B4290F">
      <w:pPr>
        <w:rPr>
          <w:rFonts w:eastAsiaTheme="minorHAnsi"/>
          <w:lang w:eastAsia="en-US"/>
        </w:rPr>
      </w:pPr>
      <w:r w:rsidRPr="00E2013B">
        <w:rPr>
          <w:rFonts w:eastAsiaTheme="minorHAnsi"/>
          <w:lang w:eastAsia="en-US"/>
        </w:rPr>
        <w:t xml:space="preserve">Yamakado, K, Hase, S, Matsuoka, T, Tanigawa, N, Nakatsuka, A, Takaki, H, Takao, M, Kanazawa, S, Inoue, Y, Sawada, S, Kusunoki, M &amp; Takeda, K 2007, 'Radiofrequency Ablation for the Treatment of Unresectable Lung Metastases in Patients with Colorectal Cancer: A Multicenter Study in Japan', </w:t>
      </w:r>
      <w:r w:rsidRPr="00E2013B">
        <w:rPr>
          <w:rFonts w:eastAsiaTheme="minorHAnsi"/>
          <w:i/>
          <w:lang w:eastAsia="en-US"/>
        </w:rPr>
        <w:t>Journal of Vascular and Interventional Radiology</w:t>
      </w:r>
      <w:r w:rsidRPr="00E2013B">
        <w:rPr>
          <w:rFonts w:eastAsiaTheme="minorHAnsi"/>
          <w:lang w:eastAsia="en-US"/>
        </w:rPr>
        <w:t>, vol.18(3), pp. 393-98.</w:t>
      </w:r>
    </w:p>
    <w:p w14:paraId="39AC5C77" w14:textId="77777777" w:rsidR="00B4290F" w:rsidRPr="00E2013B" w:rsidRDefault="00B4290F" w:rsidP="00B4290F">
      <w:pPr>
        <w:rPr>
          <w:rFonts w:eastAsiaTheme="minorHAnsi"/>
          <w:lang w:eastAsia="en-US"/>
        </w:rPr>
      </w:pPr>
      <w:r w:rsidRPr="00E2013B">
        <w:rPr>
          <w:rFonts w:eastAsiaTheme="minorHAnsi"/>
          <w:lang w:eastAsia="en-US"/>
        </w:rPr>
        <w:lastRenderedPageBreak/>
        <w:t xml:space="preserve">Yamakado, K, Inoue, Y, Takao, M, Takaki, H, Nakatsuka, A, Uraki, J, Kashima, M, Kusunoki, M, Shimpo, H &amp; Takeda, K 2009, 'Long-term results of radiofrequency ablation in colorectal lung metastases: Single center experience', </w:t>
      </w:r>
      <w:r w:rsidRPr="00E2013B">
        <w:rPr>
          <w:rFonts w:eastAsiaTheme="minorHAnsi"/>
          <w:i/>
          <w:lang w:eastAsia="en-US"/>
        </w:rPr>
        <w:t>Oncology Reports</w:t>
      </w:r>
      <w:r w:rsidRPr="00E2013B">
        <w:rPr>
          <w:rFonts w:eastAsiaTheme="minorHAnsi"/>
          <w:lang w:eastAsia="en-US"/>
        </w:rPr>
        <w:t xml:space="preserve">, </w:t>
      </w:r>
      <w:proofErr w:type="gramStart"/>
      <w:r w:rsidRPr="00E2013B">
        <w:rPr>
          <w:rFonts w:eastAsiaTheme="minorHAnsi"/>
          <w:lang w:eastAsia="en-US"/>
        </w:rPr>
        <w:t>vol.22(</w:t>
      </w:r>
      <w:proofErr w:type="gramEnd"/>
      <w:r w:rsidRPr="00E2013B">
        <w:rPr>
          <w:rFonts w:eastAsiaTheme="minorHAnsi"/>
          <w:lang w:eastAsia="en-US"/>
        </w:rPr>
        <w:t>4), pp. 885-91.</w:t>
      </w:r>
    </w:p>
    <w:p w14:paraId="24640113" w14:textId="77777777" w:rsidR="00B4290F" w:rsidRPr="00E2013B" w:rsidRDefault="00B4290F" w:rsidP="00B4290F">
      <w:pPr>
        <w:rPr>
          <w:rFonts w:eastAsiaTheme="minorHAnsi"/>
          <w:lang w:eastAsia="en-US"/>
        </w:rPr>
      </w:pPr>
      <w:r w:rsidRPr="00E2013B">
        <w:rPr>
          <w:rFonts w:eastAsiaTheme="minorHAnsi"/>
          <w:lang w:eastAsia="en-US"/>
        </w:rPr>
        <w:t xml:space="preserve">Yoshimatsu, R, Yamagami, T, Terayama, K, Matsumoto, T, Miura, H &amp; Nishimura, T 2009, 'Delayed and recurrent pneumothorax after radiofrequency ablation of lung tumors', </w:t>
      </w:r>
      <w:r w:rsidRPr="00E2013B">
        <w:rPr>
          <w:rFonts w:eastAsiaTheme="minorHAnsi"/>
          <w:i/>
          <w:lang w:eastAsia="en-US"/>
        </w:rPr>
        <w:t>Chest</w:t>
      </w:r>
      <w:r w:rsidRPr="00E2013B">
        <w:rPr>
          <w:rFonts w:eastAsiaTheme="minorHAnsi"/>
          <w:lang w:eastAsia="en-US"/>
        </w:rPr>
        <w:t>, vol.135(4), pp. 1002-09.</w:t>
      </w:r>
    </w:p>
    <w:p w14:paraId="7FB1B836" w14:textId="155A1E8E" w:rsidR="00B4290F" w:rsidRPr="00183E4D" w:rsidRDefault="00B4290F" w:rsidP="00B4290F">
      <w:r w:rsidRPr="00E2013B">
        <w:rPr>
          <w:rFonts w:eastAsiaTheme="minorHAnsi"/>
          <w:lang w:eastAsia="en-US"/>
        </w:rPr>
        <w:t xml:space="preserve">Zhu, JC, Yan, TD, Glenn, D &amp; Morris, DL 2009, 'Radiofrequency Ablation of Lung Tumors: Feasibility and Safety', </w:t>
      </w:r>
      <w:r w:rsidRPr="00E2013B">
        <w:rPr>
          <w:rFonts w:eastAsiaTheme="minorHAnsi"/>
          <w:i/>
          <w:lang w:eastAsia="en-US"/>
        </w:rPr>
        <w:t>Annals of Thoracic Surgery</w:t>
      </w:r>
      <w:r w:rsidRPr="00E2013B">
        <w:rPr>
          <w:rFonts w:eastAsiaTheme="minorHAnsi"/>
          <w:lang w:eastAsia="en-US"/>
        </w:rPr>
        <w:t xml:space="preserve">, </w:t>
      </w:r>
      <w:proofErr w:type="gramStart"/>
      <w:r w:rsidRPr="00E2013B">
        <w:rPr>
          <w:rFonts w:eastAsiaTheme="minorHAnsi"/>
          <w:lang w:eastAsia="en-US"/>
        </w:rPr>
        <w:t>vol.87(</w:t>
      </w:r>
      <w:proofErr w:type="gramEnd"/>
      <w:r w:rsidRPr="00E2013B">
        <w:rPr>
          <w:rFonts w:eastAsiaTheme="minorHAnsi"/>
          <w:lang w:eastAsia="en-US"/>
        </w:rPr>
        <w:t>4), pp. 1023-28.</w:t>
      </w:r>
      <w:r w:rsidR="00E44EDF" w:rsidRPr="00183E4D">
        <w:t xml:space="preserve"> </w:t>
      </w:r>
    </w:p>
    <w:p w14:paraId="5FF4DFEF" w14:textId="77777777" w:rsidR="00B4290F" w:rsidRPr="00183E4D" w:rsidRDefault="00B4290F" w:rsidP="00B4290F">
      <w:pPr>
        <w:rPr>
          <w:rFonts w:eastAsiaTheme="minorHAnsi"/>
          <w:lang w:eastAsia="en-US"/>
        </w:rPr>
      </w:pPr>
      <w:r w:rsidRPr="00183E4D">
        <w:rPr>
          <w:rFonts w:eastAsiaTheme="minorHAnsi"/>
          <w:lang w:eastAsia="en-US"/>
        </w:rPr>
        <w:br w:type="page"/>
      </w:r>
    </w:p>
    <w:p w14:paraId="592CD46E" w14:textId="77777777" w:rsidR="006C0851" w:rsidRPr="00183E4D" w:rsidRDefault="008F59A8" w:rsidP="00DF343F">
      <w:pPr>
        <w:pStyle w:val="Heading1"/>
      </w:pPr>
      <w:r w:rsidRPr="00183E4D">
        <w:lastRenderedPageBreak/>
        <w:t>References</w:t>
      </w:r>
      <w:bookmarkEnd w:id="553"/>
      <w:bookmarkEnd w:id="554"/>
      <w:bookmarkEnd w:id="555"/>
      <w:r w:rsidRPr="00183E4D">
        <w:t xml:space="preserve"> </w:t>
      </w:r>
    </w:p>
    <w:p w14:paraId="10990E06" w14:textId="77777777" w:rsidR="00320458" w:rsidRPr="00320458" w:rsidRDefault="00C000FD" w:rsidP="00320458">
      <w:pPr>
        <w:pStyle w:val="EndNoteBibliography"/>
        <w:spacing w:after="0"/>
        <w:ind w:left="720" w:hanging="720"/>
      </w:pPr>
      <w:r>
        <w:fldChar w:fldCharType="begin"/>
      </w:r>
      <w:r>
        <w:instrText xml:space="preserve"> ADDIN EN.REFLIST </w:instrText>
      </w:r>
      <w:r>
        <w:fldChar w:fldCharType="separate"/>
      </w:r>
      <w:bookmarkStart w:id="556" w:name="_ENREF_1"/>
      <w:r w:rsidR="00320458" w:rsidRPr="00320458">
        <w:t xml:space="preserve">Agolli, L, Valeriani, M, Nicosia, L, Bracci, S, De Sanctis, V, Minniti, G, Enrici, RM &amp; Osti, MF 2015, 'Stereotactic Ablative Body Radiotherapy (SABR) in Pulmonary Oligometastatic/Oligorecurrent Non-small Cell Lung Cancer Patients: A New Therapeutic Approach', </w:t>
      </w:r>
      <w:r w:rsidR="00320458" w:rsidRPr="00320458">
        <w:rPr>
          <w:i/>
        </w:rPr>
        <w:t>Anticancer Res</w:t>
      </w:r>
      <w:r w:rsidR="00320458" w:rsidRPr="00320458">
        <w:t>, vol.35(11), pp. 6239-45.</w:t>
      </w:r>
      <w:bookmarkEnd w:id="556"/>
    </w:p>
    <w:p w14:paraId="5F5DF207" w14:textId="77777777" w:rsidR="00320458" w:rsidRPr="00320458" w:rsidRDefault="00320458" w:rsidP="00320458">
      <w:pPr>
        <w:pStyle w:val="EndNoteBibliography"/>
        <w:spacing w:after="0"/>
        <w:ind w:left="720" w:hanging="720"/>
      </w:pPr>
      <w:bookmarkStart w:id="557" w:name="_ENREF_2"/>
      <w:r w:rsidRPr="00320458">
        <w:t xml:space="preserve">Ahmed, M, Solbiati, L, Brace, CL, Breen, DJ, Callstrom, MR, Charboneau, JW, Chen, MH, Choi, BI, de Baere, T, Dodd, GD, 3rd, Dupuy, DE, Gervais, DA, Gianfelice, D, Gillams, AR, Lee, FT, Jr., Leen, E, Lencioni, R, Littrup, PJ, Livraghi, T, Lu, DS, McGahan, JP, Meloni, MF, Nikolic, B, Pereira, PL, Liang, P, Rhim, H, Rose, SC, Salem, R, Sofocleous, CT, Solomon, SB, Soulen, MC, Tanaka, M, Vogl, TJ, Wood, BJ &amp; Goldberg, SN 2014, 'Image-guided tumor ablation: standardization of terminology and reporting criteria--a 10-year update', </w:t>
      </w:r>
      <w:r w:rsidRPr="00320458">
        <w:rPr>
          <w:i/>
        </w:rPr>
        <w:t>J Vasc Interv Radiol</w:t>
      </w:r>
      <w:r w:rsidRPr="00320458">
        <w:t>, vol.25(11), pp. 1691-705.e4.</w:t>
      </w:r>
      <w:bookmarkEnd w:id="557"/>
    </w:p>
    <w:p w14:paraId="70E36DA0" w14:textId="77777777" w:rsidR="00320458" w:rsidRPr="00320458" w:rsidRDefault="00320458" w:rsidP="00320458">
      <w:pPr>
        <w:pStyle w:val="EndNoteBibliography"/>
        <w:spacing w:after="0"/>
        <w:ind w:left="720" w:hanging="720"/>
      </w:pPr>
      <w:bookmarkStart w:id="558" w:name="_ENREF_3"/>
      <w:r w:rsidRPr="00320458">
        <w:t xml:space="preserve">Alexander, ES, Hankins, CA, MacHan, JT, Healey, TT &amp; Dupuy, DE 2013a, 'Rib fractures after percutaneous radiofrequency and microwave ablation of lung tumors: Incidence and relevance', </w:t>
      </w:r>
      <w:r w:rsidRPr="00320458">
        <w:rPr>
          <w:i/>
        </w:rPr>
        <w:t>Radiology</w:t>
      </w:r>
      <w:r w:rsidRPr="00320458">
        <w:t>, vol.266(3), pp. 971-78.</w:t>
      </w:r>
      <w:bookmarkEnd w:id="558"/>
    </w:p>
    <w:p w14:paraId="120E39A3" w14:textId="77777777" w:rsidR="00320458" w:rsidRPr="00320458" w:rsidRDefault="00320458" w:rsidP="00320458">
      <w:pPr>
        <w:pStyle w:val="EndNoteBibliography"/>
        <w:spacing w:after="0"/>
        <w:ind w:left="720" w:hanging="720"/>
      </w:pPr>
      <w:bookmarkStart w:id="559" w:name="_ENREF_4"/>
      <w:r w:rsidRPr="00320458">
        <w:t xml:space="preserve">Alexander, ES, Machan, JT, Ng, T, Breen, LD, DiPetrillo, TA &amp; Dupuy, DE 2013b, 'Cost and effectiveness of radiofrequency ablation versus limited surgical resection for stage I non-small-cell lung cancer in elderly patients: is less more?', </w:t>
      </w:r>
      <w:r w:rsidRPr="00320458">
        <w:rPr>
          <w:i/>
        </w:rPr>
        <w:t>J Vasc Interv Radiol</w:t>
      </w:r>
      <w:r w:rsidRPr="00320458">
        <w:t>, vol.24(4), pp. 476-82.</w:t>
      </w:r>
      <w:bookmarkEnd w:id="559"/>
    </w:p>
    <w:p w14:paraId="678A7881" w14:textId="77777777" w:rsidR="00320458" w:rsidRPr="00320458" w:rsidRDefault="00320458" w:rsidP="00320458">
      <w:pPr>
        <w:pStyle w:val="EndNoteBibliography"/>
        <w:spacing w:after="0"/>
        <w:ind w:left="720" w:hanging="720"/>
      </w:pPr>
      <w:bookmarkStart w:id="560" w:name="_ENREF_5"/>
      <w:r w:rsidRPr="00320458">
        <w:t xml:space="preserve">Allmark, P &amp; Tod, AM 2016, 'Ethical challenges in conducting clinical research in lung cancer', </w:t>
      </w:r>
      <w:r w:rsidRPr="00320458">
        <w:rPr>
          <w:i/>
        </w:rPr>
        <w:t>Translational Lung Cancer Research</w:t>
      </w:r>
      <w:r w:rsidRPr="00320458">
        <w:t>, vol.5(3), pp. 219-26.</w:t>
      </w:r>
      <w:bookmarkEnd w:id="560"/>
    </w:p>
    <w:p w14:paraId="5B7AA874" w14:textId="77777777" w:rsidR="00320458" w:rsidRPr="00320458" w:rsidRDefault="00320458" w:rsidP="00320458">
      <w:pPr>
        <w:pStyle w:val="EndNoteBibliography"/>
        <w:spacing w:after="0"/>
        <w:ind w:left="720" w:hanging="720"/>
      </w:pPr>
      <w:bookmarkStart w:id="561" w:name="_ENREF_6"/>
      <w:r w:rsidRPr="00320458">
        <w:t xml:space="preserve">Ambrogi, MC, Fanucchi, O, Cioni, R, Dini, P, De Liperi, A, Cappelli, C, Davini, F, Bartolozzi, C &amp; Mussi, A 2011, 'Long-term results of radiofrequency ablation treatment of stage i non-small cell lung cancer: A prospective intention-to-treat study', </w:t>
      </w:r>
      <w:r w:rsidRPr="00320458">
        <w:rPr>
          <w:i/>
        </w:rPr>
        <w:t>Journal of Thoracic Oncology</w:t>
      </w:r>
      <w:r w:rsidRPr="00320458">
        <w:t>, vol.6(12), pp. 2044-51.</w:t>
      </w:r>
      <w:bookmarkEnd w:id="561"/>
    </w:p>
    <w:p w14:paraId="2C14BC8C" w14:textId="583D10DA" w:rsidR="00320458" w:rsidRPr="00320458" w:rsidRDefault="00320458" w:rsidP="00320458">
      <w:pPr>
        <w:pStyle w:val="EndNoteBibliography"/>
        <w:spacing w:after="0"/>
        <w:ind w:left="720" w:hanging="720"/>
      </w:pPr>
      <w:bookmarkStart w:id="562" w:name="_ENREF_7"/>
      <w:r w:rsidRPr="00320458">
        <w:t xml:space="preserve">Angiodynamics 2016, </w:t>
      </w:r>
      <w:r w:rsidRPr="00320458">
        <w:rPr>
          <w:i/>
        </w:rPr>
        <w:t>Acculis MTA System</w:t>
      </w:r>
      <w:r w:rsidRPr="00320458">
        <w:t>, Angiodynamics, viewed 15 July 2016, &lt;</w:t>
      </w:r>
      <w:hyperlink r:id="rId56" w:history="1">
        <w:r w:rsidR="006841FB">
          <w:rPr>
            <w:rStyle w:val="Hyperlink"/>
          </w:rPr>
          <w:t>www.angiodynamics.com</w:t>
        </w:r>
      </w:hyperlink>
      <w:r w:rsidR="006841FB">
        <w:rPr>
          <w:rStyle w:val="Hyperlink"/>
        </w:rPr>
        <w:t>&gt;</w:t>
      </w:r>
      <w:r w:rsidRPr="00320458">
        <w:t>.</w:t>
      </w:r>
      <w:bookmarkEnd w:id="562"/>
    </w:p>
    <w:p w14:paraId="442F5E2F" w14:textId="77777777" w:rsidR="00320458" w:rsidRPr="00320458" w:rsidRDefault="00320458" w:rsidP="00320458">
      <w:pPr>
        <w:pStyle w:val="EndNoteBibliography"/>
        <w:spacing w:after="0"/>
        <w:ind w:left="720" w:hanging="720"/>
      </w:pPr>
      <w:bookmarkStart w:id="563" w:name="_ENREF_8"/>
      <w:r w:rsidRPr="00320458">
        <w:t xml:space="preserve">Ashworth, A, Rodrigues, G, Boldt, G &amp; Palma, D 2013, 'Is there an oligometastatic state in non-small cell lung cancer? A systematic review of the literature', </w:t>
      </w:r>
      <w:r w:rsidRPr="00320458">
        <w:rPr>
          <w:i/>
        </w:rPr>
        <w:t>Lung Cancer</w:t>
      </w:r>
      <w:r w:rsidRPr="00320458">
        <w:t>, vol.82(2), pp. 197-203.</w:t>
      </w:r>
      <w:bookmarkEnd w:id="563"/>
    </w:p>
    <w:p w14:paraId="22B9D876" w14:textId="7E31D172" w:rsidR="00320458" w:rsidRPr="00320458" w:rsidRDefault="00320458" w:rsidP="00320458">
      <w:pPr>
        <w:pStyle w:val="EndNoteBibliography"/>
        <w:spacing w:after="0"/>
        <w:ind w:left="720" w:hanging="720"/>
      </w:pPr>
      <w:bookmarkStart w:id="564" w:name="_ENREF_9"/>
      <w:r w:rsidRPr="00320458">
        <w:t xml:space="preserve">Australian Bureau of Statistics 2016, </w:t>
      </w:r>
      <w:r w:rsidRPr="00320458">
        <w:rPr>
          <w:i/>
        </w:rPr>
        <w:t>6401.0 - Consumer Price Index</w:t>
      </w:r>
      <w:r w:rsidRPr="00320458">
        <w:t>, Australian Bureau of Statistics, viewed 30 August 2016, &lt;</w:t>
      </w:r>
      <w:hyperlink r:id="rId57" w:history="1">
        <w:r w:rsidR="006841FB">
          <w:rPr>
            <w:rStyle w:val="Hyperlink"/>
          </w:rPr>
          <w:t>www.abs.gov.au&gt;</w:t>
        </w:r>
      </w:hyperlink>
      <w:r w:rsidRPr="00320458">
        <w:t>.</w:t>
      </w:r>
      <w:bookmarkEnd w:id="564"/>
    </w:p>
    <w:p w14:paraId="3824763B" w14:textId="743F13F2" w:rsidR="00320458" w:rsidRPr="00320458" w:rsidRDefault="00320458" w:rsidP="00320458">
      <w:pPr>
        <w:pStyle w:val="EndNoteBibliography"/>
        <w:spacing w:after="0"/>
        <w:ind w:left="720" w:hanging="720"/>
      </w:pPr>
      <w:bookmarkStart w:id="565" w:name="_ENREF_10"/>
      <w:r w:rsidRPr="00320458">
        <w:t xml:space="preserve">Australian Cancer Network Management of Lung Cancer Guidelines Working Party 2004, </w:t>
      </w:r>
      <w:r w:rsidRPr="00320458">
        <w:rPr>
          <w:i/>
        </w:rPr>
        <w:t>Clinical Practice guidelines for the prevention, diagnosis and management of lung cancer</w:t>
      </w:r>
      <w:r w:rsidRPr="00320458">
        <w:t>, The Cancer Council Australia, viewed 30 August 2016, &lt;https://</w:t>
      </w:r>
      <w:hyperlink r:id="rId58" w:history="1">
        <w:r w:rsidR="006841FB">
          <w:rPr>
            <w:rStyle w:val="Hyperlink"/>
          </w:rPr>
          <w:t>www.nhmrc.gov.au&gt;</w:t>
        </w:r>
      </w:hyperlink>
      <w:r w:rsidRPr="00320458">
        <w:t>.</w:t>
      </w:r>
      <w:bookmarkEnd w:id="565"/>
    </w:p>
    <w:p w14:paraId="00D2CF08" w14:textId="10900A42" w:rsidR="00320458" w:rsidRPr="00320458" w:rsidRDefault="00320458" w:rsidP="00320458">
      <w:pPr>
        <w:pStyle w:val="EndNoteBibliography"/>
        <w:spacing w:after="0"/>
        <w:ind w:left="720" w:hanging="720"/>
      </w:pPr>
      <w:bookmarkStart w:id="566" w:name="_ENREF_11"/>
      <w:r w:rsidRPr="00320458">
        <w:t xml:space="preserve">Australian Institute of Health and Welfare (AIHW) 2011a, </w:t>
      </w:r>
      <w:r w:rsidRPr="00320458">
        <w:rPr>
          <w:i/>
        </w:rPr>
        <w:t>Lung cancer in Australia: an overview</w:t>
      </w:r>
      <w:r w:rsidRPr="00320458">
        <w:t>, Australian Institute of Health and Welfare, Canberra, Australia, viewed 30 August 2016 Cat. no. CAN 58, &lt;</w:t>
      </w:r>
      <w:hyperlink r:id="rId59" w:history="1">
        <w:r w:rsidR="006841FB">
          <w:rPr>
            <w:rStyle w:val="Hyperlink"/>
          </w:rPr>
          <w:t>www.aihw.gov.au&gt;</w:t>
        </w:r>
      </w:hyperlink>
      <w:r w:rsidRPr="00320458">
        <w:t>.</w:t>
      </w:r>
      <w:bookmarkEnd w:id="566"/>
    </w:p>
    <w:p w14:paraId="6F6B8A47" w14:textId="57448348" w:rsidR="00320458" w:rsidRPr="00320458" w:rsidRDefault="00320458" w:rsidP="00320458">
      <w:pPr>
        <w:pStyle w:val="EndNoteBibliography"/>
        <w:spacing w:after="0"/>
        <w:ind w:left="720" w:hanging="720"/>
      </w:pPr>
      <w:bookmarkStart w:id="567" w:name="_ENREF_12"/>
      <w:r w:rsidRPr="00320458">
        <w:lastRenderedPageBreak/>
        <w:t xml:space="preserve">Australian Institute of Health and Welfare (AIHW) 2011b, </w:t>
      </w:r>
      <w:r w:rsidRPr="00320458">
        <w:rPr>
          <w:i/>
        </w:rPr>
        <w:t>Lung cancer in Australia: an overview, Canberra, Australia</w:t>
      </w:r>
      <w:r w:rsidRPr="00320458">
        <w:t>, viewed 30 August 2016 2016, &lt;</w:t>
      </w:r>
      <w:hyperlink r:id="rId60" w:history="1">
        <w:r w:rsidR="006841FB">
          <w:rPr>
            <w:rStyle w:val="Hyperlink"/>
          </w:rPr>
          <w:t>www.aihw.gov.au&gt;</w:t>
        </w:r>
      </w:hyperlink>
      <w:r w:rsidRPr="00320458">
        <w:t>.</w:t>
      </w:r>
      <w:bookmarkEnd w:id="567"/>
    </w:p>
    <w:p w14:paraId="72BE1C6F" w14:textId="0D1AB614" w:rsidR="00320458" w:rsidRPr="00320458" w:rsidRDefault="00320458" w:rsidP="00320458">
      <w:pPr>
        <w:pStyle w:val="EndNoteBibliography"/>
        <w:spacing w:after="0"/>
        <w:ind w:left="720" w:hanging="720"/>
      </w:pPr>
      <w:bookmarkStart w:id="568" w:name="_ENREF_13"/>
      <w:r w:rsidRPr="00320458">
        <w:t xml:space="preserve">Australian Institute of Health and Welfare (AIHW) 2014a, </w:t>
      </w:r>
      <w:r w:rsidRPr="00320458">
        <w:rPr>
          <w:i/>
        </w:rPr>
        <w:t>Cancer in Australia: An overview 2014</w:t>
      </w:r>
      <w:r w:rsidRPr="00320458">
        <w:t>, Australian Institute of Health and Welfare, Canberra, Australia, viewed 30 August 2016 Cat. no. CAN 788, &lt;</w:t>
      </w:r>
      <w:hyperlink r:id="rId61" w:history="1">
        <w:r w:rsidR="006841FB">
          <w:rPr>
            <w:rStyle w:val="Hyperlink"/>
          </w:rPr>
          <w:t>www.aihw.gov.au&gt;</w:t>
        </w:r>
      </w:hyperlink>
      <w:r w:rsidRPr="00320458">
        <w:t>.</w:t>
      </w:r>
      <w:bookmarkEnd w:id="568"/>
    </w:p>
    <w:p w14:paraId="36CDAF7D" w14:textId="739777E8" w:rsidR="00320458" w:rsidRPr="00320458" w:rsidRDefault="00320458" w:rsidP="00320458">
      <w:pPr>
        <w:pStyle w:val="EndNoteBibliography"/>
        <w:spacing w:after="0"/>
        <w:ind w:left="720" w:hanging="720"/>
      </w:pPr>
      <w:bookmarkStart w:id="569" w:name="_ENREF_14"/>
      <w:r w:rsidRPr="00320458">
        <w:t xml:space="preserve">Australian Institute of Health and Welfare (AIHW) 2014b, </w:t>
      </w:r>
      <w:r w:rsidRPr="00320458">
        <w:rPr>
          <w:i/>
        </w:rPr>
        <w:t>Cancer in Australia: an overview 2014, Canberra, Australia</w:t>
      </w:r>
      <w:r w:rsidRPr="00320458">
        <w:t>, viewed 30 August 2016, &lt;</w:t>
      </w:r>
      <w:hyperlink r:id="rId62" w:history="1">
        <w:r w:rsidR="006841FB">
          <w:rPr>
            <w:rStyle w:val="Hyperlink"/>
          </w:rPr>
          <w:t>www.aihw.gov.au&gt;</w:t>
        </w:r>
      </w:hyperlink>
      <w:r w:rsidRPr="00320458">
        <w:t>.</w:t>
      </w:r>
      <w:bookmarkEnd w:id="569"/>
    </w:p>
    <w:p w14:paraId="3CC57D43" w14:textId="2A9AAE0F" w:rsidR="00320458" w:rsidRPr="00320458" w:rsidRDefault="00320458" w:rsidP="00320458">
      <w:pPr>
        <w:pStyle w:val="EndNoteBibliography"/>
        <w:spacing w:after="0"/>
        <w:ind w:left="720" w:hanging="720"/>
      </w:pPr>
      <w:bookmarkStart w:id="570" w:name="_ENREF_15"/>
      <w:r w:rsidRPr="00320458">
        <w:t xml:space="preserve">Australian Institute of Health and Welfare (AIHW) 2016, </w:t>
      </w:r>
      <w:r w:rsidRPr="00320458">
        <w:rPr>
          <w:i/>
        </w:rPr>
        <w:t>Australian Cancer Incidence and Mortality (ACIM) books: Lung cancer.</w:t>
      </w:r>
      <w:r w:rsidRPr="00320458">
        <w:t>, viewed 30 August 2016, &lt;</w:t>
      </w:r>
      <w:hyperlink r:id="rId63" w:history="1">
        <w:r w:rsidR="006841FB">
          <w:rPr>
            <w:rStyle w:val="Hyperlink"/>
          </w:rPr>
          <w:t>www.aihw.gov.au&gt;</w:t>
        </w:r>
      </w:hyperlink>
      <w:r w:rsidRPr="00320458">
        <w:t>.</w:t>
      </w:r>
      <w:bookmarkEnd w:id="570"/>
    </w:p>
    <w:p w14:paraId="1D5B88FE" w14:textId="77777777" w:rsidR="00320458" w:rsidRPr="00320458" w:rsidRDefault="00320458" w:rsidP="00320458">
      <w:pPr>
        <w:pStyle w:val="EndNoteBibliography"/>
        <w:spacing w:after="0"/>
        <w:ind w:left="720" w:hanging="720"/>
      </w:pPr>
      <w:bookmarkStart w:id="571" w:name="_ENREF_16"/>
      <w:r w:rsidRPr="00320458">
        <w:t xml:space="preserve">Banik, S, Bandyopadhyay, S &amp; Ganguly, S 2003, 'Bioeffects of microwave––a brief review', </w:t>
      </w:r>
      <w:r w:rsidRPr="00320458">
        <w:rPr>
          <w:i/>
        </w:rPr>
        <w:t>Bioresource Technology</w:t>
      </w:r>
      <w:r w:rsidRPr="00320458">
        <w:t>, vol.87(2), pp. 155-59.</w:t>
      </w:r>
      <w:bookmarkEnd w:id="571"/>
    </w:p>
    <w:p w14:paraId="5D24711D" w14:textId="509F9534" w:rsidR="00320458" w:rsidRPr="00320458" w:rsidRDefault="00320458" w:rsidP="00320458">
      <w:pPr>
        <w:pStyle w:val="EndNoteBibliography"/>
        <w:spacing w:after="0"/>
        <w:ind w:left="720" w:hanging="720"/>
      </w:pPr>
      <w:bookmarkStart w:id="572" w:name="_ENREF_17"/>
      <w:r w:rsidRPr="00320458">
        <w:t xml:space="preserve">Barton, M, Jacob S., Shafig J., Wong K., Thompson S., Hanna T., Delaney G., 2013, </w:t>
      </w:r>
      <w:r w:rsidRPr="00320458">
        <w:rPr>
          <w:i/>
        </w:rPr>
        <w:t>National &amp; International Benchmarks set following study of delivery of Radiotherapy Services: ‘Review of Radiotherapy Optimal Utilisation Rates’. Collaboration for Cancer Outcomes Research and Evaluation (CCORE)</w:t>
      </w:r>
      <w:r w:rsidRPr="00320458">
        <w:t>, Liverpool Hospital, viewed 30 August 2016, &lt;</w:t>
      </w:r>
      <w:hyperlink r:id="rId64" w:history="1">
        <w:r w:rsidR="006841FB">
          <w:rPr>
            <w:rStyle w:val="Hyperlink"/>
          </w:rPr>
          <w:t>www.inghaminstitute.org.au&gt;</w:t>
        </w:r>
      </w:hyperlink>
      <w:r w:rsidRPr="00320458">
        <w:t>.</w:t>
      </w:r>
      <w:bookmarkEnd w:id="572"/>
    </w:p>
    <w:p w14:paraId="65792E98" w14:textId="77777777" w:rsidR="00320458" w:rsidRPr="00320458" w:rsidRDefault="00320458" w:rsidP="00320458">
      <w:pPr>
        <w:pStyle w:val="EndNoteBibliography"/>
        <w:spacing w:after="0"/>
        <w:ind w:left="720" w:hanging="720"/>
      </w:pPr>
      <w:bookmarkStart w:id="573" w:name="_ENREF_18"/>
      <w:r w:rsidRPr="00320458">
        <w:t xml:space="preserve">Baschnagel, AM, Mangona, VS, Robertson, JM, Welsh, RJ, Kestin, LL &amp; Grills, IS 2013, 'Lung metastases treated with image-guided stereotactic body radiation therapy', </w:t>
      </w:r>
      <w:r w:rsidRPr="00320458">
        <w:rPr>
          <w:i/>
        </w:rPr>
        <w:t>Clin Oncol (R Coll Radiol)</w:t>
      </w:r>
      <w:r w:rsidRPr="00320458">
        <w:t>, vol.25(4), pp. 236-41.</w:t>
      </w:r>
      <w:bookmarkEnd w:id="573"/>
    </w:p>
    <w:p w14:paraId="337AD7A3" w14:textId="77777777" w:rsidR="00320458" w:rsidRPr="00320458" w:rsidRDefault="00320458" w:rsidP="00320458">
      <w:pPr>
        <w:pStyle w:val="EndNoteBibliography"/>
        <w:spacing w:after="0"/>
        <w:ind w:left="720" w:hanging="720"/>
      </w:pPr>
      <w:bookmarkStart w:id="574" w:name="_ENREF_19"/>
      <w:r w:rsidRPr="00320458">
        <w:t xml:space="preserve">Belfiore, G, Ronza, F, Belfiore, MP, Serao, N, Di Ronza, G, Grassi, R &amp; Rotondo, A 2013, 'Patients' survival in lung malignancies treated by microwave ablation: Our experience on 56 patients', </w:t>
      </w:r>
      <w:r w:rsidRPr="00320458">
        <w:rPr>
          <w:i/>
        </w:rPr>
        <w:t>Eur J Radiol</w:t>
      </w:r>
      <w:r w:rsidRPr="00320458">
        <w:t>, vol.82(1), pp. 177-81.</w:t>
      </w:r>
      <w:bookmarkEnd w:id="574"/>
    </w:p>
    <w:p w14:paraId="4ECAF3A9" w14:textId="77777777" w:rsidR="00320458" w:rsidRPr="00320458" w:rsidRDefault="00320458" w:rsidP="00320458">
      <w:pPr>
        <w:pStyle w:val="EndNoteBibliography"/>
        <w:spacing w:after="0"/>
        <w:ind w:left="720" w:hanging="720"/>
      </w:pPr>
      <w:bookmarkStart w:id="575" w:name="_ENREF_20"/>
      <w:r w:rsidRPr="00320458">
        <w:t xml:space="preserve">Bertolaccini, L, Terzi, A, Ricchetti, F &amp; Alongi, F 2015, 'Surgery or stereotactic ablative radiation therapy: how will be treated operable patients with early stage not small cell lung cancer in the next future?', </w:t>
      </w:r>
      <w:r w:rsidRPr="00320458">
        <w:rPr>
          <w:i/>
        </w:rPr>
        <w:t>Ann Transl Med</w:t>
      </w:r>
      <w:r w:rsidRPr="00320458">
        <w:t>, vol.3(2), pp. 25.</w:t>
      </w:r>
      <w:bookmarkEnd w:id="575"/>
    </w:p>
    <w:p w14:paraId="236A6793" w14:textId="77777777" w:rsidR="00320458" w:rsidRPr="00320458" w:rsidRDefault="00320458" w:rsidP="00320458">
      <w:pPr>
        <w:pStyle w:val="EndNoteBibliography"/>
        <w:spacing w:after="0"/>
        <w:ind w:left="720" w:hanging="720"/>
      </w:pPr>
      <w:bookmarkStart w:id="576" w:name="_ENREF_21"/>
      <w:r w:rsidRPr="00320458">
        <w:t xml:space="preserve">Bijlani, A, Aguzzi, G, Schaal, DW &amp; Romanelli, P 2013, 'Stereotactic radiosurgery and stereotactic body radiation therapy cost-effectiveness results', </w:t>
      </w:r>
      <w:r w:rsidRPr="00320458">
        <w:rPr>
          <w:i/>
        </w:rPr>
        <w:t>Front Oncol</w:t>
      </w:r>
      <w:r w:rsidRPr="00320458">
        <w:t>, vol.3pp. 77.</w:t>
      </w:r>
      <w:bookmarkEnd w:id="576"/>
    </w:p>
    <w:p w14:paraId="1456BDA2" w14:textId="77777777" w:rsidR="00320458" w:rsidRPr="00320458" w:rsidRDefault="00320458" w:rsidP="00320458">
      <w:pPr>
        <w:pStyle w:val="EndNoteBibliography"/>
        <w:spacing w:after="0"/>
        <w:ind w:left="720" w:hanging="720"/>
      </w:pPr>
      <w:bookmarkStart w:id="577" w:name="_ENREF_22"/>
      <w:r w:rsidRPr="00320458">
        <w:t xml:space="preserve">Bongers, EM, Haasbeek, CJ, Lagerwaard, FJ, Slotman, BJ &amp; Senan, S 2011, 'Incidence and risk factors for chest wall toxicity after risk-adapted stereotactic radiotherapy for early-stage lung cancer', </w:t>
      </w:r>
      <w:r w:rsidRPr="00320458">
        <w:rPr>
          <w:i/>
        </w:rPr>
        <w:t>J Thorac Oncol</w:t>
      </w:r>
      <w:r w:rsidRPr="00320458">
        <w:t>, vol.6(12), pp. 2052-7.</w:t>
      </w:r>
      <w:bookmarkEnd w:id="577"/>
    </w:p>
    <w:p w14:paraId="55545F41" w14:textId="77777777" w:rsidR="00320458" w:rsidRPr="00320458" w:rsidRDefault="00320458" w:rsidP="00320458">
      <w:pPr>
        <w:pStyle w:val="EndNoteBibliography"/>
        <w:spacing w:after="0"/>
        <w:ind w:left="720" w:hanging="720"/>
      </w:pPr>
      <w:bookmarkStart w:id="578" w:name="_ENREF_23"/>
      <w:r w:rsidRPr="00320458">
        <w:t xml:space="preserve">Bosco, JLF, Silliman, RA, Thwin, SS, Geiger, AM, Buist, DSM, Prout, MN, Yood, MU, Haque, R, Wei, F &amp; Lash, TL 2010, 'A most stubborn bias: No adjustment method fully resolves confounding by indication in observational studies', </w:t>
      </w:r>
      <w:r w:rsidRPr="00320458">
        <w:rPr>
          <w:i/>
        </w:rPr>
        <w:t>J Clin Epidemiol</w:t>
      </w:r>
      <w:r w:rsidRPr="00320458">
        <w:t>, vol.63(1), pp. 64-74.</w:t>
      </w:r>
      <w:bookmarkEnd w:id="578"/>
    </w:p>
    <w:p w14:paraId="153A8D4A" w14:textId="77777777" w:rsidR="00320458" w:rsidRPr="00320458" w:rsidRDefault="00320458" w:rsidP="00320458">
      <w:pPr>
        <w:pStyle w:val="EndNoteBibliography"/>
        <w:spacing w:after="0"/>
        <w:ind w:left="720" w:hanging="720"/>
      </w:pPr>
      <w:bookmarkStart w:id="579" w:name="_ENREF_24"/>
      <w:r w:rsidRPr="00320458">
        <w:t xml:space="preserve">Cancer Australia 2013, </w:t>
      </w:r>
      <w:r w:rsidRPr="00320458">
        <w:rPr>
          <w:i/>
        </w:rPr>
        <w:t>Best practice approaches to lung cancer care: A review of the literature</w:t>
      </w:r>
      <w:r w:rsidRPr="00320458">
        <w:t>, Cancer Australia, Surry Hills, NSW, viewed 30 August 2016, &lt;https://canceraustralia.gov.au/publications-and-resources/cancer-australia-publications/best-practice-approaches-management-lung-cancer-australia-review-literature&gt;.</w:t>
      </w:r>
      <w:bookmarkEnd w:id="579"/>
    </w:p>
    <w:p w14:paraId="144B00E5" w14:textId="549F25D2" w:rsidR="00320458" w:rsidRPr="00320458" w:rsidRDefault="00320458" w:rsidP="00320458">
      <w:pPr>
        <w:pStyle w:val="EndNoteBibliography"/>
        <w:spacing w:after="0"/>
        <w:ind w:left="720" w:hanging="720"/>
      </w:pPr>
      <w:bookmarkStart w:id="580" w:name="_ENREF_25"/>
      <w:r w:rsidRPr="00320458">
        <w:t xml:space="preserve">Cancer Council Victoria 2014, </w:t>
      </w:r>
      <w:r w:rsidRPr="00320458">
        <w:rPr>
          <w:i/>
        </w:rPr>
        <w:t xml:space="preserve">Diagnosing lung cancer </w:t>
      </w:r>
      <w:r w:rsidRPr="00320458">
        <w:t>viewed 19 July 2016 &lt;</w:t>
      </w:r>
      <w:hyperlink r:id="rId65" w:history="1">
        <w:r w:rsidR="006841FB">
          <w:rPr>
            <w:rStyle w:val="Hyperlink"/>
          </w:rPr>
          <w:t>www.cancervic.org.au&gt;</w:t>
        </w:r>
      </w:hyperlink>
      <w:r w:rsidRPr="00320458">
        <w:t>.</w:t>
      </w:r>
      <w:bookmarkEnd w:id="580"/>
    </w:p>
    <w:p w14:paraId="5C6E6D2E" w14:textId="49CC5BFE" w:rsidR="00320458" w:rsidRPr="00320458" w:rsidRDefault="00320458" w:rsidP="00320458">
      <w:pPr>
        <w:pStyle w:val="EndNoteBibliography"/>
        <w:spacing w:after="0"/>
        <w:ind w:left="720" w:hanging="720"/>
      </w:pPr>
      <w:bookmarkStart w:id="581" w:name="_ENREF_26"/>
      <w:r w:rsidRPr="00320458">
        <w:lastRenderedPageBreak/>
        <w:t xml:space="preserve">Cancer Voices Australia 2011, </w:t>
      </w:r>
      <w:r w:rsidRPr="00320458">
        <w:rPr>
          <w:i/>
        </w:rPr>
        <w:t xml:space="preserve">Position Statement. Stereotactic radiosurgery (SRS). </w:t>
      </w:r>
      <w:r w:rsidRPr="00320458">
        <w:t>, viewed 30 August 2016, &lt;</w:t>
      </w:r>
      <w:hyperlink r:id="rId66" w:history="1">
        <w:r w:rsidR="006841FB">
          <w:rPr>
            <w:rStyle w:val="Hyperlink"/>
          </w:rPr>
          <w:t>www.cancervoicessa.org.au&gt;</w:t>
        </w:r>
      </w:hyperlink>
      <w:r w:rsidRPr="00320458">
        <w:t>.</w:t>
      </w:r>
      <w:bookmarkEnd w:id="581"/>
    </w:p>
    <w:p w14:paraId="0C27F503" w14:textId="77777777" w:rsidR="00320458" w:rsidRPr="00320458" w:rsidRDefault="00320458" w:rsidP="00320458">
      <w:pPr>
        <w:pStyle w:val="EndNoteBibliography"/>
        <w:spacing w:after="0"/>
        <w:ind w:left="720" w:hanging="720"/>
      </w:pPr>
      <w:bookmarkStart w:id="582" w:name="_ENREF_27"/>
      <w:r w:rsidRPr="00320458">
        <w:t xml:space="preserve">Carrafiello, G, Mangini, M, Fontana, F, Di Massa, A, Ierardi, AM, Cotta, E, Piacentino, F, Nocchi Cardim, L, Pellegrino, C &amp; Fugazzola, C 2012, 'Complications of microwave and radiofrequency lung ablation: personal experience and review of the literature', </w:t>
      </w:r>
      <w:r w:rsidRPr="00320458">
        <w:rPr>
          <w:i/>
        </w:rPr>
        <w:t>La Radiologia medica</w:t>
      </w:r>
      <w:r w:rsidRPr="00320458">
        <w:t>, vol.117(2), pp. 201-13.</w:t>
      </w:r>
      <w:bookmarkEnd w:id="582"/>
    </w:p>
    <w:p w14:paraId="25B19CC8" w14:textId="77777777" w:rsidR="00320458" w:rsidRPr="00320458" w:rsidRDefault="00320458" w:rsidP="00320458">
      <w:pPr>
        <w:pStyle w:val="EndNoteBibliography"/>
        <w:spacing w:after="0"/>
        <w:ind w:left="720" w:hanging="720"/>
      </w:pPr>
      <w:bookmarkStart w:id="583" w:name="_ENREF_28"/>
      <w:r w:rsidRPr="00320458">
        <w:t xml:space="preserve">Carrafiello, G, Mangini, M, Fontana, F, Ierardi, AM, De Marchi, G, Rotolo, N, Chini, C, Cuffari, S &amp; Fugazzola, C 2014, 'Microwave ablation of lung tumours: single-centre preliminary experience', </w:t>
      </w:r>
      <w:r w:rsidRPr="00320458">
        <w:rPr>
          <w:i/>
        </w:rPr>
        <w:t>La Radiologia medica</w:t>
      </w:r>
      <w:r w:rsidRPr="00320458">
        <w:t>, vol.119(1), pp. 75-82.</w:t>
      </w:r>
      <w:bookmarkEnd w:id="583"/>
    </w:p>
    <w:p w14:paraId="03A006DB" w14:textId="77777777" w:rsidR="00320458" w:rsidRPr="00320458" w:rsidRDefault="00320458" w:rsidP="00320458">
      <w:pPr>
        <w:pStyle w:val="EndNoteBibliography"/>
        <w:spacing w:after="0"/>
        <w:ind w:left="720" w:hanging="720"/>
      </w:pPr>
      <w:bookmarkStart w:id="584" w:name="_ENREF_29"/>
      <w:r w:rsidRPr="00320458">
        <w:t xml:space="preserve">Chan, MD, Dupuy, DE, Mayo-Smith, WW, Ng, T &amp; DiPetrillo, TA 2011, 'Combined radiofrequency ablation and high-dose rate brachytherapy for early-stage non-small-cell lung cancer', </w:t>
      </w:r>
      <w:r w:rsidRPr="00320458">
        <w:rPr>
          <w:i/>
        </w:rPr>
        <w:t>Brachytherapy</w:t>
      </w:r>
      <w:r w:rsidRPr="00320458">
        <w:t>, vol.10(3), pp. 253-59.</w:t>
      </w:r>
      <w:bookmarkEnd w:id="584"/>
    </w:p>
    <w:p w14:paraId="0F6042BE" w14:textId="77777777" w:rsidR="00320458" w:rsidRPr="00320458" w:rsidRDefault="00320458" w:rsidP="00320458">
      <w:pPr>
        <w:pStyle w:val="EndNoteBibliography"/>
        <w:spacing w:after="0"/>
        <w:ind w:left="720" w:hanging="720"/>
      </w:pPr>
      <w:bookmarkStart w:id="585" w:name="_ENREF_30"/>
      <w:r w:rsidRPr="00320458">
        <w:t xml:space="preserve">Chang, JY, Senan, S, Paul, MA, Mehran, RJ, Louie, AV, Balter, P, Groen, HJM, McRae, SE, Widder, J, Feng, L, van den Borne, BEEM, Munsell, MF, Hurkmans, C, Berry, DA, van Werkhoven, E, Kresl, JJ, Dingemans, A-M, Dawood, O, Haasbeek, CJA, Carpenter, LS, De Jaeger, K, Komaki, R, Slotman, BJ, Smit, EF &amp; Roth, JA 2015, 'Stereotactic ablative radiotherapy versus lobectomy for operable stage I non-small-cell lung cancer: a pooled analysis of two randomised trials', </w:t>
      </w:r>
      <w:r w:rsidRPr="00320458">
        <w:rPr>
          <w:i/>
        </w:rPr>
        <w:t>The Lancet. Oncology</w:t>
      </w:r>
      <w:r w:rsidRPr="00320458">
        <w:t>, vol.16(6), pp. 630-37.</w:t>
      </w:r>
      <w:bookmarkEnd w:id="585"/>
    </w:p>
    <w:p w14:paraId="50353BB8" w14:textId="77777777" w:rsidR="00320458" w:rsidRPr="00320458" w:rsidRDefault="00320458" w:rsidP="00320458">
      <w:pPr>
        <w:pStyle w:val="EndNoteBibliography"/>
        <w:spacing w:after="0"/>
        <w:ind w:left="720" w:hanging="720"/>
      </w:pPr>
      <w:bookmarkStart w:id="586" w:name="_ENREF_31"/>
      <w:r w:rsidRPr="00320458">
        <w:t xml:space="preserve">Cho, JH, Kim, S, Namgung, M, Choi, YS, Kim, HK, Zo, JI, Shim, YM &amp; Kim, J 2015, 'The prognostic importance of the number of metastases in pulmonary metastasectomy of colorectal cancer', </w:t>
      </w:r>
      <w:r w:rsidRPr="00320458">
        <w:rPr>
          <w:i/>
        </w:rPr>
        <w:t>World J Surg Oncol</w:t>
      </w:r>
      <w:r w:rsidRPr="00320458">
        <w:t>, vol.13pp. 222.</w:t>
      </w:r>
      <w:bookmarkEnd w:id="586"/>
    </w:p>
    <w:p w14:paraId="386B4ED9" w14:textId="77777777" w:rsidR="00320458" w:rsidRPr="00320458" w:rsidRDefault="00320458" w:rsidP="00320458">
      <w:pPr>
        <w:pStyle w:val="EndNoteBibliography"/>
        <w:spacing w:after="0"/>
        <w:ind w:left="720" w:hanging="720"/>
      </w:pPr>
      <w:bookmarkStart w:id="587" w:name="_ENREF_32"/>
      <w:r w:rsidRPr="00320458">
        <w:t xml:space="preserve">Chung, DYF, Tse, DML, Boardman, P, Gleeson, FV, Little, MW, Scott, SH &amp; Anderson, EM 2014, 'High-frequency jet ventilation under general anesthesia facilitates CT-guided lung tumor thermal ablation compared with normal respiration under conscious analgesic sedation', </w:t>
      </w:r>
      <w:r w:rsidRPr="00320458">
        <w:rPr>
          <w:i/>
        </w:rPr>
        <w:t>Journal of Vascular and Interventional Radiology</w:t>
      </w:r>
      <w:r w:rsidRPr="00320458">
        <w:t>, vol.25(9), pp. 1463-69.</w:t>
      </w:r>
      <w:bookmarkEnd w:id="587"/>
    </w:p>
    <w:p w14:paraId="29F913AE" w14:textId="77777777" w:rsidR="00320458" w:rsidRPr="00320458" w:rsidRDefault="00320458" w:rsidP="00320458">
      <w:pPr>
        <w:pStyle w:val="EndNoteBibliography"/>
        <w:spacing w:after="0"/>
        <w:ind w:left="720" w:hanging="720"/>
      </w:pPr>
      <w:bookmarkStart w:id="588" w:name="_ENREF_33"/>
      <w:r w:rsidRPr="00320458">
        <w:t xml:space="preserve">Crabtree, TD, Denlinger, CE, Meyers, BF, El Naqa, I, Zoole, J, Krupnick, AS, Kreisel, D, Patterson, GA &amp; Bradley, JD 2010, 'Stereotactic body radiation therapy versus surgical resection for stage I non-small cell lung cancer', </w:t>
      </w:r>
      <w:r w:rsidRPr="00320458">
        <w:rPr>
          <w:i/>
        </w:rPr>
        <w:t>J Thorac Cardiovasc Surg</w:t>
      </w:r>
      <w:r w:rsidRPr="00320458">
        <w:t>, vol.140(2), pp. 377-86.</w:t>
      </w:r>
      <w:bookmarkEnd w:id="588"/>
    </w:p>
    <w:p w14:paraId="4D2785DB" w14:textId="77777777" w:rsidR="00320458" w:rsidRPr="00320458" w:rsidRDefault="00320458" w:rsidP="00320458">
      <w:pPr>
        <w:pStyle w:val="EndNoteBibliography"/>
        <w:spacing w:after="0"/>
        <w:ind w:left="720" w:hanging="720"/>
      </w:pPr>
      <w:bookmarkStart w:id="589" w:name="_ENREF_34"/>
      <w:r w:rsidRPr="00320458">
        <w:t xml:space="preserve">Currow, DC, You, H, Aranda, S, McCaughan, BC, Morrell, S, Baker, DF, Walton, R &amp; Roder, DM 2014, 'What factors are predictive of surgical resection and survival from localised non-small cell lung cancer?', </w:t>
      </w:r>
      <w:r w:rsidRPr="00320458">
        <w:rPr>
          <w:i/>
        </w:rPr>
        <w:t>Med J Aust</w:t>
      </w:r>
      <w:r w:rsidRPr="00320458">
        <w:t>, vol.201(8), pp. 475-80.</w:t>
      </w:r>
      <w:bookmarkEnd w:id="589"/>
    </w:p>
    <w:p w14:paraId="37BEE2D5" w14:textId="77777777" w:rsidR="00320458" w:rsidRPr="00320458" w:rsidRDefault="00320458" w:rsidP="00320458">
      <w:pPr>
        <w:pStyle w:val="EndNoteBibliography"/>
        <w:spacing w:after="0"/>
        <w:ind w:left="720" w:hanging="720"/>
      </w:pPr>
      <w:bookmarkStart w:id="590" w:name="_ENREF_35"/>
      <w:r w:rsidRPr="00320458">
        <w:t xml:space="preserve">De Baere, T, Auperin, A, Deschamps, F, Chevallier, P, Gaubert, Y, Boige, V, Fonck, M, Escudier, B &amp; Palussiere, J 2015a, 'Radiofrequency ablation is a valid treatment option for lung metastases: Experience in 566 patients with 1037 metastases', </w:t>
      </w:r>
      <w:r w:rsidRPr="00320458">
        <w:rPr>
          <w:i/>
        </w:rPr>
        <w:t>Annals of Oncology</w:t>
      </w:r>
      <w:r w:rsidRPr="00320458">
        <w:t>, vol.26(5), pp. 987-91.</w:t>
      </w:r>
      <w:bookmarkEnd w:id="590"/>
    </w:p>
    <w:p w14:paraId="000A6916" w14:textId="77777777" w:rsidR="00320458" w:rsidRPr="00320458" w:rsidRDefault="00320458" w:rsidP="00320458">
      <w:pPr>
        <w:pStyle w:val="EndNoteBibliography"/>
        <w:spacing w:after="0"/>
        <w:ind w:left="720" w:hanging="720"/>
      </w:pPr>
      <w:bookmarkStart w:id="591" w:name="_ENREF_36"/>
      <w:r w:rsidRPr="00320458">
        <w:t xml:space="preserve">de Baere, T, Auperin, A, Deschamps, F, Chevallier, P, Gaubert, Y, Boige, V, Fonck, M, Escudier, B &amp; Palussiere, J 2015b, 'Radiofrequency ablation is a valid treatment option for lung metastases: experience in 566 patients with 1037 metastases', </w:t>
      </w:r>
      <w:r w:rsidRPr="00320458">
        <w:rPr>
          <w:i/>
        </w:rPr>
        <w:t>Ann Oncol</w:t>
      </w:r>
      <w:r w:rsidRPr="00320458">
        <w:t>, vol.26(5), pp. 987-91.</w:t>
      </w:r>
      <w:bookmarkEnd w:id="591"/>
    </w:p>
    <w:p w14:paraId="20A19E6D" w14:textId="77777777" w:rsidR="00320458" w:rsidRPr="00320458" w:rsidRDefault="00320458" w:rsidP="00320458">
      <w:pPr>
        <w:pStyle w:val="EndNoteBibliography"/>
        <w:spacing w:after="0"/>
        <w:ind w:left="720" w:hanging="720"/>
      </w:pPr>
      <w:bookmarkStart w:id="592" w:name="_ENREF_37"/>
      <w:r w:rsidRPr="00320458">
        <w:t xml:space="preserve">de Baere, T, Palussiere, J, Auperin, A, Hakime, A, Abdel-Rehim, M, Kind, M, Dromain, C, Ravaud, A, Tebboune, N, Boige, V, Malka, D, Lafont, C &amp; Ducreux, M 2006, 'Midterm local efficacy and </w:t>
      </w:r>
      <w:r w:rsidRPr="00320458">
        <w:lastRenderedPageBreak/>
        <w:t xml:space="preserve">survival after radiofrequency ablation of lung tumors with minimum follow-up of 1 year: prospective evaluation', </w:t>
      </w:r>
      <w:r w:rsidRPr="00320458">
        <w:rPr>
          <w:i/>
        </w:rPr>
        <w:t>Radiology</w:t>
      </w:r>
      <w:r w:rsidRPr="00320458">
        <w:t>, vol.240(2), pp. 587-96.</w:t>
      </w:r>
      <w:bookmarkEnd w:id="592"/>
    </w:p>
    <w:p w14:paraId="1ACCCBEA" w14:textId="77777777" w:rsidR="00320458" w:rsidRPr="00320458" w:rsidRDefault="00320458" w:rsidP="00320458">
      <w:pPr>
        <w:pStyle w:val="EndNoteBibliography"/>
        <w:spacing w:after="0"/>
        <w:ind w:left="720" w:hanging="720"/>
      </w:pPr>
      <w:bookmarkStart w:id="593" w:name="_ENREF_38"/>
      <w:r w:rsidRPr="00320458">
        <w:t xml:space="preserve">Delaney, G, Barton, M, Jacob, S &amp; Jalaludin, B 2003, 'A model for decision making for the use of radiotherapy in lung cancer', </w:t>
      </w:r>
      <w:r w:rsidRPr="00320458">
        <w:rPr>
          <w:i/>
        </w:rPr>
        <w:t>Lancet Oncol</w:t>
      </w:r>
      <w:r w:rsidRPr="00320458">
        <w:t>, vol.4(2), pp. 120-8.</w:t>
      </w:r>
      <w:bookmarkEnd w:id="593"/>
    </w:p>
    <w:p w14:paraId="2079AFE8" w14:textId="77777777" w:rsidR="00320458" w:rsidRPr="00320458" w:rsidRDefault="00320458" w:rsidP="00320458">
      <w:pPr>
        <w:pStyle w:val="EndNoteBibliography"/>
        <w:spacing w:after="0"/>
        <w:ind w:left="720" w:hanging="720"/>
      </w:pPr>
      <w:bookmarkStart w:id="594" w:name="_ENREF_39"/>
      <w:r w:rsidRPr="00320458">
        <w:t xml:space="preserve">Dienemann, H 2001, 'Principles of surgical treatment in localized non-small cell lung cancer', </w:t>
      </w:r>
      <w:r w:rsidRPr="00320458">
        <w:rPr>
          <w:i/>
        </w:rPr>
        <w:t>Lung Cancer</w:t>
      </w:r>
      <w:r w:rsidRPr="00320458">
        <w:t>, vol.33 Suppl 1pp. S3-8.</w:t>
      </w:r>
      <w:bookmarkEnd w:id="594"/>
    </w:p>
    <w:p w14:paraId="06168984" w14:textId="77777777" w:rsidR="00320458" w:rsidRPr="00320458" w:rsidRDefault="00320458" w:rsidP="00320458">
      <w:pPr>
        <w:pStyle w:val="EndNoteBibliography"/>
        <w:spacing w:after="0"/>
        <w:ind w:left="720" w:hanging="720"/>
      </w:pPr>
      <w:bookmarkStart w:id="595" w:name="_ENREF_40"/>
      <w:r w:rsidRPr="00320458">
        <w:t xml:space="preserve">Dong, B, Liang, P, Yu, X, Su, L, Yu, D, Cheng, Z &amp; Zhang, J 2003, 'Percutaneous sonographically guided microwave coagulation therapy for hepatocellular carcinoma: results in 234 patients', </w:t>
      </w:r>
      <w:r w:rsidRPr="00320458">
        <w:rPr>
          <w:i/>
        </w:rPr>
        <w:t>AJR Am J Roentgenol</w:t>
      </w:r>
      <w:r w:rsidRPr="00320458">
        <w:t>, vol.180(6), pp. 1547-55.</w:t>
      </w:r>
      <w:bookmarkEnd w:id="595"/>
    </w:p>
    <w:p w14:paraId="3A3F1F15" w14:textId="77777777" w:rsidR="00320458" w:rsidRPr="00320458" w:rsidRDefault="00320458" w:rsidP="00320458">
      <w:pPr>
        <w:pStyle w:val="EndNoteBibliography"/>
        <w:spacing w:after="0"/>
        <w:ind w:left="720" w:hanging="720"/>
      </w:pPr>
      <w:bookmarkStart w:id="596" w:name="_ENREF_41"/>
      <w:r w:rsidRPr="00320458">
        <w:t xml:space="preserve">Downs, S &amp; Black, N 1998, 'The feasibility of creating a checklist for the assessment of the methodological quality both of randomised and non-randomised studies of health care interventions.', </w:t>
      </w:r>
      <w:r w:rsidRPr="00320458">
        <w:rPr>
          <w:i/>
        </w:rPr>
        <w:t>Journal of Epidemiology and Community Health</w:t>
      </w:r>
      <w:r w:rsidRPr="00320458">
        <w:t>, vol.52pp. 377-84.</w:t>
      </w:r>
      <w:bookmarkEnd w:id="596"/>
    </w:p>
    <w:p w14:paraId="452F734B" w14:textId="77777777" w:rsidR="00320458" w:rsidRPr="00320458" w:rsidRDefault="00320458" w:rsidP="00320458">
      <w:pPr>
        <w:pStyle w:val="EndNoteBibliography"/>
        <w:spacing w:after="0"/>
        <w:ind w:left="720" w:hanging="720"/>
      </w:pPr>
      <w:bookmarkStart w:id="597" w:name="_ENREF_42"/>
      <w:r w:rsidRPr="00320458">
        <w:t xml:space="preserve">Doyle, S, Lloyd, A &amp; Walker, M 2008, 'Health state utility scores in advanced non-small cell lung cancer', </w:t>
      </w:r>
      <w:r w:rsidRPr="00320458">
        <w:rPr>
          <w:i/>
        </w:rPr>
        <w:t>Lung Cancer</w:t>
      </w:r>
      <w:r w:rsidRPr="00320458">
        <w:t>, vol.62(3), pp. 374-80.</w:t>
      </w:r>
      <w:bookmarkEnd w:id="597"/>
    </w:p>
    <w:p w14:paraId="03F29D5B" w14:textId="77777777" w:rsidR="00320458" w:rsidRPr="00320458" w:rsidRDefault="00320458" w:rsidP="00320458">
      <w:pPr>
        <w:pStyle w:val="EndNoteBibliography"/>
        <w:spacing w:after="0"/>
        <w:ind w:left="720" w:hanging="720"/>
      </w:pPr>
      <w:bookmarkStart w:id="598" w:name="_ENREF_43"/>
      <w:r w:rsidRPr="00320458">
        <w:t xml:space="preserve">Dupuy, DE 2009, 'Microwave ablation compared with radiofrequency ablation in lung tissue-is microwave not just for popcorn anymore?', </w:t>
      </w:r>
      <w:r w:rsidRPr="00320458">
        <w:rPr>
          <w:i/>
        </w:rPr>
        <w:t>Radiology</w:t>
      </w:r>
      <w:r w:rsidRPr="00320458">
        <w:t>, vol.251(3), pp. 617-8.</w:t>
      </w:r>
      <w:bookmarkEnd w:id="598"/>
    </w:p>
    <w:p w14:paraId="5C3ED766" w14:textId="77777777" w:rsidR="00320458" w:rsidRPr="00320458" w:rsidRDefault="00320458" w:rsidP="00320458">
      <w:pPr>
        <w:pStyle w:val="EndNoteBibliography"/>
        <w:spacing w:after="0"/>
        <w:ind w:left="720" w:hanging="720"/>
      </w:pPr>
      <w:bookmarkStart w:id="599" w:name="_ENREF_44"/>
      <w:r w:rsidRPr="00320458">
        <w:t xml:space="preserve">Dupuy, DE 2013, 'Treatment of medically inoperable non-small-cell lung cancer with stereotactic body radiation therapy versus image-guided tumor ablation: can interventional radiology compete?', </w:t>
      </w:r>
      <w:r w:rsidRPr="00320458">
        <w:rPr>
          <w:i/>
        </w:rPr>
        <w:t>J Vasc Interv Radiol</w:t>
      </w:r>
      <w:r w:rsidRPr="00320458">
        <w:t>, vol.24(8), pp. 1139-45.</w:t>
      </w:r>
      <w:bookmarkEnd w:id="599"/>
    </w:p>
    <w:p w14:paraId="15C72090" w14:textId="77777777" w:rsidR="00320458" w:rsidRPr="00320458" w:rsidRDefault="00320458" w:rsidP="00320458">
      <w:pPr>
        <w:pStyle w:val="EndNoteBibliography"/>
        <w:spacing w:after="0"/>
        <w:ind w:left="720" w:hanging="720"/>
      </w:pPr>
      <w:bookmarkStart w:id="600" w:name="_ENREF_45"/>
      <w:r w:rsidRPr="00320458">
        <w:t xml:space="preserve">Dupuy, DE, DiPetrillo, T, Gandhi, S, Ready, N, Ng, T, Donat, W &amp; Mayo-Smith, WW 2006, 'Radiofrequency ablation followed by conventional radiotherapy for medically inoperable stage I non-small cell lung cancer', </w:t>
      </w:r>
      <w:r w:rsidRPr="00320458">
        <w:rPr>
          <w:i/>
        </w:rPr>
        <w:t>Chest</w:t>
      </w:r>
      <w:r w:rsidRPr="00320458">
        <w:t>, vol.129(3), pp. 738-45.</w:t>
      </w:r>
      <w:bookmarkEnd w:id="600"/>
    </w:p>
    <w:p w14:paraId="6006403E" w14:textId="77777777" w:rsidR="00320458" w:rsidRPr="00320458" w:rsidRDefault="00320458" w:rsidP="00320458">
      <w:pPr>
        <w:pStyle w:val="EndNoteBibliography"/>
        <w:spacing w:after="0"/>
        <w:ind w:left="720" w:hanging="720"/>
      </w:pPr>
      <w:bookmarkStart w:id="601" w:name="_ENREF_46"/>
      <w:r w:rsidRPr="00320458">
        <w:t xml:space="preserve">Dupuy, DE, Fernando, HC, Hillman, S, Ng, T, Tan, AD, Sharma, A, Rilling, WS, Hong, K &amp; Putnam, JB 2015, 'Radiofrequency ablation of stage IA non-small cell lung cancer in medically inoperable patients: Results from the American College of Surgeons Oncology Group Z4033 (Alliance) trial', </w:t>
      </w:r>
      <w:r w:rsidRPr="00320458">
        <w:rPr>
          <w:i/>
        </w:rPr>
        <w:t>Cancer</w:t>
      </w:r>
      <w:r w:rsidRPr="00320458">
        <w:t>, vol.121(19), pp. 3491-98.</w:t>
      </w:r>
      <w:bookmarkEnd w:id="601"/>
    </w:p>
    <w:p w14:paraId="6753C8AD" w14:textId="77777777" w:rsidR="00320458" w:rsidRPr="00320458" w:rsidRDefault="00320458" w:rsidP="00320458">
      <w:pPr>
        <w:pStyle w:val="EndNoteBibliography"/>
        <w:spacing w:after="0"/>
        <w:ind w:left="720" w:hanging="720"/>
      </w:pPr>
      <w:bookmarkStart w:id="602" w:name="_ENREF_47"/>
      <w:r w:rsidRPr="00320458">
        <w:t xml:space="preserve">Egashira, Y, Singh, S, Bandula, S &amp; Illing, R 2016, 'Percutaneous high-energy microwave ablation for the treatment of pulmonary tumors: A retrospective single-center experience', </w:t>
      </w:r>
      <w:r w:rsidRPr="00320458">
        <w:rPr>
          <w:i/>
        </w:rPr>
        <w:t>Journal of Vascular and Interventional Radiology</w:t>
      </w:r>
      <w:r w:rsidRPr="00320458">
        <w:t>, vol.27(4), pp. 474-79.</w:t>
      </w:r>
      <w:bookmarkEnd w:id="602"/>
    </w:p>
    <w:p w14:paraId="6E968ED4" w14:textId="77777777" w:rsidR="00320458" w:rsidRPr="00320458" w:rsidRDefault="00320458" w:rsidP="00320458">
      <w:pPr>
        <w:pStyle w:val="EndNoteBibliography"/>
        <w:spacing w:after="0"/>
        <w:ind w:left="720" w:hanging="720"/>
      </w:pPr>
      <w:bookmarkStart w:id="603" w:name="_ENREF_48"/>
      <w:r w:rsidRPr="00320458">
        <w:t xml:space="preserve">Embun, R, Fiorentino, F, Treasure, T, Rivas, JJ &amp; Molins, L 2013, 'Pulmonary metastasectomy in colorectal cancer: a prospective study of demography and clinical characteristics of 543 patients in the Spanish colorectal metastasectomy registry (GECMP-CCR)', </w:t>
      </w:r>
      <w:r w:rsidRPr="00320458">
        <w:rPr>
          <w:i/>
        </w:rPr>
        <w:t>BMJ Open</w:t>
      </w:r>
      <w:r w:rsidRPr="00320458">
        <w:t>, vol.3(5), pp. 3:e002787.</w:t>
      </w:r>
      <w:bookmarkEnd w:id="603"/>
    </w:p>
    <w:p w14:paraId="7BE4994B" w14:textId="77777777" w:rsidR="00320458" w:rsidRPr="00320458" w:rsidRDefault="00320458" w:rsidP="00320458">
      <w:pPr>
        <w:pStyle w:val="EndNoteBibliography"/>
        <w:spacing w:after="0"/>
        <w:ind w:left="720" w:hanging="720"/>
      </w:pPr>
      <w:bookmarkStart w:id="604" w:name="_ENREF_49"/>
      <w:r w:rsidRPr="00320458">
        <w:t xml:space="preserve">Engstrom, PF, Benson, AB, 3rd &amp; Saltz, L 2003, 'Colon cancer. Clinical practice guidelines in oncology', </w:t>
      </w:r>
      <w:r w:rsidRPr="00320458">
        <w:rPr>
          <w:i/>
        </w:rPr>
        <w:t>J Natl Compr Canc Netw</w:t>
      </w:r>
      <w:r w:rsidRPr="00320458">
        <w:t>, vol.1(1), pp. 40-53.</w:t>
      </w:r>
      <w:bookmarkEnd w:id="604"/>
    </w:p>
    <w:p w14:paraId="69F216FB" w14:textId="77777777" w:rsidR="00320458" w:rsidRPr="00320458" w:rsidRDefault="00320458" w:rsidP="00320458">
      <w:pPr>
        <w:pStyle w:val="EndNoteBibliography"/>
        <w:spacing w:after="0"/>
        <w:ind w:left="720" w:hanging="720"/>
      </w:pPr>
      <w:bookmarkStart w:id="605" w:name="_ENREF_50"/>
      <w:r w:rsidRPr="00320458">
        <w:t xml:space="preserve">Falk, AT, Thyss, A &amp; Thariat, J 2015, 'Metastatic Ablation for Sarcomas: Methodological and Ethical Dilemmas for Prospective Studies', </w:t>
      </w:r>
      <w:r w:rsidRPr="00320458">
        <w:rPr>
          <w:i/>
        </w:rPr>
        <w:t>Clin Oncol (R Coll Radiol)</w:t>
      </w:r>
      <w:r w:rsidRPr="00320458">
        <w:t>, vol.27(7), pp. 429-30.</w:t>
      </w:r>
      <w:bookmarkEnd w:id="605"/>
    </w:p>
    <w:p w14:paraId="2EABDA3F" w14:textId="77777777" w:rsidR="00320458" w:rsidRPr="00320458" w:rsidRDefault="00320458" w:rsidP="00320458">
      <w:pPr>
        <w:pStyle w:val="EndNoteBibliography"/>
        <w:spacing w:after="0"/>
        <w:ind w:left="720" w:hanging="720"/>
      </w:pPr>
      <w:bookmarkStart w:id="606" w:name="_ENREF_51"/>
      <w:r w:rsidRPr="00320458">
        <w:lastRenderedPageBreak/>
        <w:t xml:space="preserve">Fanucchi, O, Ambrogi, MC, Aprile, V, Cioni, R, Cappelli, C, Melfi, F, Massimetti, G &amp; Mussi, A 2016, 'Long-term results of percutaneous radiofrequency ablation of pulmonary metastases: a single institution experience', </w:t>
      </w:r>
      <w:r w:rsidRPr="00320458">
        <w:rPr>
          <w:i/>
        </w:rPr>
        <w:t>Interact Cardiovasc Thorac Surg</w:t>
      </w:r>
      <w:r w:rsidRPr="00320458">
        <w:t xml:space="preserve">, vol.epub ahead of print.pp. </w:t>
      </w:r>
      <w:bookmarkEnd w:id="606"/>
    </w:p>
    <w:p w14:paraId="663FDC22" w14:textId="77777777" w:rsidR="00320458" w:rsidRPr="00320458" w:rsidRDefault="00320458" w:rsidP="00320458">
      <w:pPr>
        <w:pStyle w:val="EndNoteBibliography"/>
        <w:spacing w:after="0"/>
        <w:ind w:left="720" w:hanging="720"/>
      </w:pPr>
      <w:bookmarkStart w:id="607" w:name="_ENREF_52"/>
      <w:r w:rsidRPr="00320458">
        <w:t xml:space="preserve">Fernando, HC, De Hoyos, A, Landreneau, RJ, Gilbert, S, Gooding, WE, Buenaventura, PO, Christie, NA, Belani, C &amp; Luketich, JD 2005, 'Radiofrequency ablation for the treatment of non-small cell lung cancer in marginal surgical candidates', </w:t>
      </w:r>
      <w:r w:rsidRPr="00320458">
        <w:rPr>
          <w:i/>
        </w:rPr>
        <w:t>J Thorac Cardiovasc Surg</w:t>
      </w:r>
      <w:r w:rsidRPr="00320458">
        <w:t>, vol.129(3), pp. 639-44.</w:t>
      </w:r>
      <w:bookmarkEnd w:id="607"/>
    </w:p>
    <w:p w14:paraId="279B7D79" w14:textId="77777777" w:rsidR="00320458" w:rsidRPr="00320458" w:rsidRDefault="00320458" w:rsidP="00320458">
      <w:pPr>
        <w:pStyle w:val="EndNoteBibliography"/>
        <w:spacing w:after="0"/>
        <w:ind w:left="720" w:hanging="720"/>
      </w:pPr>
      <w:bookmarkStart w:id="608" w:name="_ENREF_53"/>
      <w:r w:rsidRPr="00320458">
        <w:t xml:space="preserve">Fiorentino, F, Hunt, I, Teoh, K, Treasure, T &amp; Utley, M 2010, 'Pulmonary metastasectomy in colorectal cancer: a systematic review and quantitative synthesis', </w:t>
      </w:r>
      <w:r w:rsidRPr="00320458">
        <w:rPr>
          <w:i/>
        </w:rPr>
        <w:t>J R Soc Med</w:t>
      </w:r>
      <w:r w:rsidRPr="00320458">
        <w:t>, vol.103(2), pp. 60-6.</w:t>
      </w:r>
      <w:bookmarkEnd w:id="608"/>
    </w:p>
    <w:p w14:paraId="34C226A8" w14:textId="77777777" w:rsidR="00320458" w:rsidRPr="00320458" w:rsidRDefault="00320458" w:rsidP="00320458">
      <w:pPr>
        <w:pStyle w:val="EndNoteBibliography"/>
        <w:spacing w:after="0"/>
        <w:ind w:left="720" w:hanging="720"/>
      </w:pPr>
      <w:bookmarkStart w:id="609" w:name="_ENREF_54"/>
      <w:r w:rsidRPr="00320458">
        <w:t xml:space="preserve">Freedman, B 1987, 'Equipoise and the ethics of clinical research', </w:t>
      </w:r>
      <w:r w:rsidRPr="00320458">
        <w:rPr>
          <w:i/>
        </w:rPr>
        <w:t>N Engl J Med</w:t>
      </w:r>
      <w:r w:rsidRPr="00320458">
        <w:t>, vol.317(3), pp. 141-5.</w:t>
      </w:r>
      <w:bookmarkEnd w:id="609"/>
    </w:p>
    <w:p w14:paraId="11ECEDD0" w14:textId="77777777" w:rsidR="00320458" w:rsidRPr="00320458" w:rsidRDefault="00320458" w:rsidP="00320458">
      <w:pPr>
        <w:pStyle w:val="EndNoteBibliography"/>
        <w:spacing w:after="0"/>
        <w:ind w:left="720" w:hanging="720"/>
      </w:pPr>
      <w:bookmarkStart w:id="610" w:name="_ENREF_55"/>
      <w:r w:rsidRPr="00320458">
        <w:t xml:space="preserve">Gadaleta, C, Catino, A, Ranieri, G, Armenise, F, Colucci, G, Lorusso, V, Cramarossa, A, Fiorentini, G &amp; Mattioli, V 2004, 'Radiofrequency thermal ablation of 69 lung neoplasms', </w:t>
      </w:r>
      <w:r w:rsidRPr="00320458">
        <w:rPr>
          <w:i/>
        </w:rPr>
        <w:t>J Chemother</w:t>
      </w:r>
      <w:r w:rsidRPr="00320458">
        <w:t>, vol.16 Suppl 5pp. 86-9.</w:t>
      </w:r>
      <w:bookmarkEnd w:id="610"/>
    </w:p>
    <w:p w14:paraId="0C65B7FD" w14:textId="77777777" w:rsidR="00320458" w:rsidRPr="00320458" w:rsidRDefault="00320458" w:rsidP="00320458">
      <w:pPr>
        <w:pStyle w:val="EndNoteBibliography"/>
        <w:spacing w:after="0"/>
        <w:ind w:left="720" w:hanging="720"/>
      </w:pPr>
      <w:bookmarkStart w:id="611" w:name="_ENREF_56"/>
      <w:r w:rsidRPr="00320458">
        <w:t xml:space="preserve">Gillams, A, Khan, Z, Osborn, P &amp; Lees, W 2013, 'Survival after radiofrequency ablation in 122 patients with inoperable colorectal lung metastases', </w:t>
      </w:r>
      <w:r w:rsidRPr="00320458">
        <w:rPr>
          <w:i/>
        </w:rPr>
        <w:t>Cardiovasc Intervent Radiol</w:t>
      </w:r>
      <w:r w:rsidRPr="00320458">
        <w:t>, vol.36(3), pp. 724-30.</w:t>
      </w:r>
      <w:bookmarkEnd w:id="611"/>
    </w:p>
    <w:p w14:paraId="145A4ACE" w14:textId="77777777" w:rsidR="00320458" w:rsidRPr="00320458" w:rsidRDefault="00320458" w:rsidP="00320458">
      <w:pPr>
        <w:pStyle w:val="EndNoteBibliography"/>
        <w:spacing w:after="0"/>
        <w:ind w:left="720" w:hanging="720"/>
      </w:pPr>
      <w:bookmarkStart w:id="612" w:name="_ENREF_57"/>
      <w:r w:rsidRPr="00320458">
        <w:t xml:space="preserve">Goldberg, SN, Grassi, CJ, Cardella, JF, Charboneau, JW, Dodd, GD, 3rd, Dupuy, DE, Gervais, D, Gillams, AR, Kane, RA, Lee, FT, Jr., Livraghi, T, McGahan, J, Phillips, DA, Rhim, H &amp; Silverman, SG 2005, 'Image-guided tumor ablation: standardization of terminology and reporting criteria', </w:t>
      </w:r>
      <w:r w:rsidRPr="00320458">
        <w:rPr>
          <w:i/>
        </w:rPr>
        <w:t>Radiology</w:t>
      </w:r>
      <w:r w:rsidRPr="00320458">
        <w:t>, vol.235(3), pp. 728-39.</w:t>
      </w:r>
      <w:bookmarkEnd w:id="612"/>
    </w:p>
    <w:p w14:paraId="712EE8A9" w14:textId="77777777" w:rsidR="00320458" w:rsidRPr="00320458" w:rsidRDefault="00320458" w:rsidP="00320458">
      <w:pPr>
        <w:pStyle w:val="EndNoteBibliography"/>
        <w:spacing w:after="0"/>
        <w:ind w:left="720" w:hanging="720"/>
      </w:pPr>
      <w:bookmarkStart w:id="613" w:name="_ENREF_58"/>
      <w:r w:rsidRPr="00320458">
        <w:t xml:space="preserve">Greenberg, ER, Chute, CG, Stukel, T, Baron, JA, Freeman, DH, Yates, J &amp; Korson, R 1988, 'Social and economic factors in the choice of lung cancer treatment. A population-based study in two rural states', </w:t>
      </w:r>
      <w:r w:rsidRPr="00320458">
        <w:rPr>
          <w:i/>
        </w:rPr>
        <w:t>N Engl J Med</w:t>
      </w:r>
      <w:r w:rsidRPr="00320458">
        <w:t>, vol.318(10), pp. 612-7.</w:t>
      </w:r>
      <w:bookmarkEnd w:id="613"/>
    </w:p>
    <w:p w14:paraId="46F7DCCA" w14:textId="77777777" w:rsidR="00320458" w:rsidRPr="00320458" w:rsidRDefault="00320458" w:rsidP="00320458">
      <w:pPr>
        <w:pStyle w:val="EndNoteBibliography"/>
        <w:spacing w:after="0"/>
        <w:ind w:left="720" w:hanging="720"/>
      </w:pPr>
      <w:bookmarkStart w:id="614" w:name="_ENREF_59"/>
      <w:r w:rsidRPr="00320458">
        <w:t xml:space="preserve">Grieco, CA, Simon, CJ, Mayo-Smith, WW, DiPetrillo, TA, Ready, NE &amp; Dupuy, DE 2006, 'Percutaneous image-guided thermal ablation and radiation therapy: Outcomes of combined treatment for 41 patients with inoperable stage I/II non-small-cell lung cancer', </w:t>
      </w:r>
      <w:r w:rsidRPr="00320458">
        <w:rPr>
          <w:i/>
        </w:rPr>
        <w:t>Journal of Vascular and Interventional Radiology</w:t>
      </w:r>
      <w:r w:rsidRPr="00320458">
        <w:t>, vol.17(7), pp. 1117-24.</w:t>
      </w:r>
      <w:bookmarkEnd w:id="614"/>
    </w:p>
    <w:p w14:paraId="1EDF9B90" w14:textId="77777777" w:rsidR="00320458" w:rsidRPr="00320458" w:rsidRDefault="00320458" w:rsidP="00320458">
      <w:pPr>
        <w:pStyle w:val="EndNoteBibliography"/>
        <w:spacing w:after="0"/>
        <w:ind w:left="720" w:hanging="720"/>
      </w:pPr>
      <w:bookmarkStart w:id="615" w:name="_ENREF_60"/>
      <w:r w:rsidRPr="00320458">
        <w:t xml:space="preserve">Grutters, JP, Pijls-Johannesma, M, Ruysscher, DD, Peeters, A, Reimoser, S, Severens, JL, Lambin, P &amp; Joore, MA 2010, 'The cost-effectiveness of particle therapy in non-small cell lung cancer: exploring decision uncertainty and areas for future research', </w:t>
      </w:r>
      <w:r w:rsidRPr="00320458">
        <w:rPr>
          <w:i/>
        </w:rPr>
        <w:t>Cancer Treat Rev</w:t>
      </w:r>
      <w:r w:rsidRPr="00320458">
        <w:t>, vol.36(6), pp. 468-76.</w:t>
      </w:r>
      <w:bookmarkEnd w:id="615"/>
    </w:p>
    <w:p w14:paraId="1C65581F" w14:textId="77777777" w:rsidR="00320458" w:rsidRPr="00320458" w:rsidRDefault="00320458" w:rsidP="00320458">
      <w:pPr>
        <w:pStyle w:val="EndNoteBibliography"/>
        <w:spacing w:after="0"/>
        <w:ind w:left="720" w:hanging="720"/>
      </w:pPr>
      <w:bookmarkStart w:id="616" w:name="_ENREF_61"/>
      <w:r w:rsidRPr="00320458">
        <w:t xml:space="preserve">Guo, B, Moga, C, Harstall, C &amp; Schopflocher, D 2016, 'A principal component analysis is conducted for a case series quality appraisal checklist', </w:t>
      </w:r>
      <w:r w:rsidRPr="00320458">
        <w:rPr>
          <w:i/>
        </w:rPr>
        <w:t>J Clin Epidemiol</w:t>
      </w:r>
      <w:r w:rsidRPr="00320458">
        <w:t>, vol.69pp. 199-207.e2.</w:t>
      </w:r>
      <w:bookmarkEnd w:id="616"/>
    </w:p>
    <w:p w14:paraId="5275B46D" w14:textId="77777777" w:rsidR="00320458" w:rsidRPr="00320458" w:rsidRDefault="00320458" w:rsidP="00320458">
      <w:pPr>
        <w:pStyle w:val="EndNoteBibliography"/>
        <w:spacing w:after="0"/>
        <w:ind w:left="720" w:hanging="720"/>
      </w:pPr>
      <w:bookmarkStart w:id="617" w:name="_ENREF_62"/>
      <w:r w:rsidRPr="00320458">
        <w:t xml:space="preserve">Guyatt, G, Oxman, AD, Akl, EA, Kunz, R, Vist, G, Brozek, J, Norris, S, Falck-Ytter, Y, Glasziou, P, deBeer, H, Jaeschke, R, Rind, D, Meerpohl, J, Dahm, P &amp; Schünemann, HJ 2013, 'GRADE guidelines: 1. Introduction - GRADE evidence profiles and summary of findings tables', </w:t>
      </w:r>
      <w:r w:rsidRPr="00320458">
        <w:rPr>
          <w:i/>
        </w:rPr>
        <w:t>J Clin Epidemiol</w:t>
      </w:r>
      <w:r w:rsidRPr="00320458">
        <w:t>, vol.64(4), pp. 383-94.</w:t>
      </w:r>
      <w:bookmarkEnd w:id="617"/>
    </w:p>
    <w:p w14:paraId="4065058F" w14:textId="77777777" w:rsidR="00320458" w:rsidRPr="00320458" w:rsidRDefault="00320458" w:rsidP="00320458">
      <w:pPr>
        <w:pStyle w:val="EndNoteBibliography"/>
        <w:spacing w:after="0"/>
        <w:ind w:left="720" w:hanging="720"/>
      </w:pPr>
      <w:bookmarkStart w:id="618" w:name="_ENREF_63"/>
      <w:r w:rsidRPr="00320458">
        <w:lastRenderedPageBreak/>
        <w:t xml:space="preserve">Han, X, Yang, X, Ye, X, Liu, Q, Huang, G, Wang, J, Li, W, Zheng, A, Ni, Y &amp; Men, M 2015, 'Computed tomography-guided percutaneous microwave ablation of patients 75 years of age and older with early-stage nonsmall cell lung cancer', </w:t>
      </w:r>
      <w:r w:rsidRPr="00320458">
        <w:rPr>
          <w:i/>
        </w:rPr>
        <w:t>Indian Journal of Cancer</w:t>
      </w:r>
      <w:r w:rsidRPr="00320458">
        <w:t>, vol.52(6), pp. e56-e60.</w:t>
      </w:r>
      <w:bookmarkEnd w:id="618"/>
    </w:p>
    <w:p w14:paraId="35ECCD18" w14:textId="77777777" w:rsidR="00320458" w:rsidRPr="00320458" w:rsidRDefault="00320458" w:rsidP="00320458">
      <w:pPr>
        <w:pStyle w:val="EndNoteBibliography"/>
        <w:spacing w:after="0"/>
        <w:ind w:left="720" w:hanging="720"/>
      </w:pPr>
      <w:bookmarkStart w:id="619" w:name="_ENREF_64"/>
      <w:r w:rsidRPr="00320458">
        <w:t xml:space="preserve">He, W, Hu, XD, Wu, DF, Guo, L, Zhang, LZ, Xiang, DY &amp; Ning, B 2006a, 'Ultrasonography-guided percutaneous microwave ablation of peripheral lung cancer', </w:t>
      </w:r>
      <w:r w:rsidRPr="00320458">
        <w:rPr>
          <w:i/>
        </w:rPr>
        <w:t>Clin Imaging</w:t>
      </w:r>
      <w:r w:rsidRPr="00320458">
        <w:t>, vol.30(4), pp. 234-41.</w:t>
      </w:r>
      <w:bookmarkEnd w:id="619"/>
    </w:p>
    <w:p w14:paraId="1EC1CC39" w14:textId="77777777" w:rsidR="00320458" w:rsidRPr="00320458" w:rsidRDefault="00320458" w:rsidP="00320458">
      <w:pPr>
        <w:pStyle w:val="EndNoteBibliography"/>
        <w:spacing w:after="0"/>
        <w:ind w:left="720" w:hanging="720"/>
      </w:pPr>
      <w:bookmarkStart w:id="620" w:name="_ENREF_65"/>
      <w:r w:rsidRPr="00320458">
        <w:t xml:space="preserve">He, W, Hu, Xd, Wu, Df, Guo, L, Zhang, Lz, Xiang, Dy &amp; Ning, B 2006b, 'Ultrasonography-guided percutaneous microwave ablation of peripheral lung cancer', </w:t>
      </w:r>
      <w:r w:rsidRPr="00320458">
        <w:rPr>
          <w:i/>
        </w:rPr>
        <w:t>Clin Imaging</w:t>
      </w:r>
      <w:r w:rsidRPr="00320458">
        <w:t>, vol.30(4), pp. 234-41.</w:t>
      </w:r>
      <w:bookmarkEnd w:id="620"/>
    </w:p>
    <w:p w14:paraId="2B4FE722" w14:textId="77777777" w:rsidR="00320458" w:rsidRPr="00320458" w:rsidRDefault="00320458" w:rsidP="00320458">
      <w:pPr>
        <w:pStyle w:val="EndNoteBibliography"/>
        <w:spacing w:after="0"/>
        <w:ind w:left="720" w:hanging="720"/>
      </w:pPr>
      <w:bookmarkStart w:id="621" w:name="_ENREF_66"/>
      <w:r w:rsidRPr="00320458">
        <w:t xml:space="preserve">Herrera, LJ, Fernando, HC, Perry, Y, Gooding, WE, Buenaventura, PO, Christie, NA &amp; Luketich, JD 2003, 'Radiofrequency ablation of pulmonary malignant tumors in nonsurgical candidates', </w:t>
      </w:r>
      <w:r w:rsidRPr="00320458">
        <w:rPr>
          <w:i/>
        </w:rPr>
        <w:t>J Thorac Cardiovasc Surg</w:t>
      </w:r>
      <w:r w:rsidRPr="00320458">
        <w:t>, vol.125(4), pp. 929-37.</w:t>
      </w:r>
      <w:bookmarkEnd w:id="621"/>
    </w:p>
    <w:p w14:paraId="61892A04" w14:textId="77777777" w:rsidR="00320458" w:rsidRPr="00320458" w:rsidRDefault="00320458" w:rsidP="00320458">
      <w:pPr>
        <w:pStyle w:val="EndNoteBibliography"/>
        <w:spacing w:after="0"/>
        <w:ind w:left="720" w:hanging="720"/>
      </w:pPr>
      <w:bookmarkStart w:id="622" w:name="_ENREF_67"/>
      <w:r w:rsidRPr="00320458">
        <w:t xml:space="preserve">Higgins, JPT, Altman, DG, Gøtzsche, PC, Jüni, P, Moher, D, Oxman, AD, Savović, J, Schulz, KF, Weeks, L &amp; Sterne, JAC 2011, 'The Cochrane Collaboration’s tool for assessing risk of bias in randomised trials', </w:t>
      </w:r>
      <w:r w:rsidRPr="00320458">
        <w:rPr>
          <w:i/>
        </w:rPr>
        <w:t>BMJ</w:t>
      </w:r>
      <w:r w:rsidRPr="00320458">
        <w:t>, vol.343pp. d5928.</w:t>
      </w:r>
      <w:bookmarkEnd w:id="622"/>
    </w:p>
    <w:p w14:paraId="1242C614" w14:textId="77777777" w:rsidR="00320458" w:rsidRPr="00320458" w:rsidRDefault="00320458" w:rsidP="00320458">
      <w:pPr>
        <w:pStyle w:val="EndNoteBibliography"/>
        <w:spacing w:after="0"/>
        <w:ind w:left="720" w:hanging="720"/>
      </w:pPr>
      <w:bookmarkStart w:id="623" w:name="_ENREF_68"/>
      <w:r w:rsidRPr="00320458">
        <w:t xml:space="preserve">Hirakata, K, Nakata, H &amp; Haratake, J 1993, 'Appearance of pulmonary metastases on high-resolution CT scans: comparison with histopathologic findings from autopsy specimens', </w:t>
      </w:r>
      <w:r w:rsidRPr="00320458">
        <w:rPr>
          <w:i/>
        </w:rPr>
        <w:t>AJR Am J Roentgenol</w:t>
      </w:r>
      <w:r w:rsidRPr="00320458">
        <w:t>, vol.161(1), pp. 37-43.</w:t>
      </w:r>
      <w:bookmarkEnd w:id="623"/>
    </w:p>
    <w:p w14:paraId="22123D1E" w14:textId="77777777" w:rsidR="00320458" w:rsidRPr="00320458" w:rsidRDefault="00320458" w:rsidP="00320458">
      <w:pPr>
        <w:pStyle w:val="EndNoteBibliography"/>
        <w:spacing w:after="0"/>
        <w:ind w:left="720" w:hanging="720"/>
      </w:pPr>
      <w:bookmarkStart w:id="624" w:name="_ENREF_69"/>
      <w:r w:rsidRPr="00320458">
        <w:t xml:space="preserve">Hiraki, T, Gobara, H, Mimura, H, Matsui, Y, Toyooka, S &amp; Kanazawa, S 2011a, 'Percutaneous radiofrequency ablation of clinical stage i non-small cell lung cancer', </w:t>
      </w:r>
      <w:r w:rsidRPr="00320458">
        <w:rPr>
          <w:i/>
        </w:rPr>
        <w:t>Journal of Thoracic and Cardiovascular Surgery</w:t>
      </w:r>
      <w:r w:rsidRPr="00320458">
        <w:t>, vol.142(1), pp. 24-30.</w:t>
      </w:r>
      <w:bookmarkEnd w:id="624"/>
    </w:p>
    <w:p w14:paraId="4D01518F" w14:textId="77777777" w:rsidR="00320458" w:rsidRPr="00320458" w:rsidRDefault="00320458" w:rsidP="00320458">
      <w:pPr>
        <w:pStyle w:val="EndNoteBibliography"/>
        <w:spacing w:after="0"/>
        <w:ind w:left="720" w:hanging="720"/>
      </w:pPr>
      <w:bookmarkStart w:id="625" w:name="_ENREF_70"/>
      <w:r w:rsidRPr="00320458">
        <w:t xml:space="preserve">Hiraki, T &amp; Kanazawa, S 2012, 'Lung radiofrequency ablation: potential as a therapy to oligometastasis and oligorecurrence', </w:t>
      </w:r>
      <w:r w:rsidRPr="00320458">
        <w:rPr>
          <w:i/>
        </w:rPr>
        <w:t>Pulm Med</w:t>
      </w:r>
      <w:r w:rsidRPr="00320458">
        <w:t>, vol.2012pp. 196173.</w:t>
      </w:r>
      <w:bookmarkEnd w:id="625"/>
    </w:p>
    <w:p w14:paraId="680D6CC3" w14:textId="77777777" w:rsidR="00320458" w:rsidRPr="00320458" w:rsidRDefault="00320458" w:rsidP="00320458">
      <w:pPr>
        <w:pStyle w:val="EndNoteBibliography"/>
        <w:spacing w:after="0"/>
        <w:ind w:left="720" w:hanging="720"/>
      </w:pPr>
      <w:bookmarkStart w:id="626" w:name="_ENREF_71"/>
      <w:r w:rsidRPr="00320458">
        <w:t xml:space="preserve">Hiraki, T, Yamakado, K, Ikeda, O, Matsuoka, T, Kaminou, T, Yamagami, T, Gobara, H, Mimura, H, Kawanaka, K, Takeda, K, Yamashita, Y, Inoue, Y, Ogawa, T, Nishimura, T &amp; Kanazawa, S 2011b, 'Percutaneous radiofrequency ablation for pulmonary metastases from hepatocellular carcinoma: Results of a multicenter study in Japan', </w:t>
      </w:r>
      <w:r w:rsidRPr="00320458">
        <w:rPr>
          <w:i/>
        </w:rPr>
        <w:t>Journal of Vascular and Interventional Radiology</w:t>
      </w:r>
      <w:r w:rsidRPr="00320458">
        <w:t>, vol.22(6), pp. 741-48.</w:t>
      </w:r>
      <w:bookmarkEnd w:id="626"/>
    </w:p>
    <w:p w14:paraId="4AE63354" w14:textId="77777777" w:rsidR="00320458" w:rsidRPr="00320458" w:rsidRDefault="00320458" w:rsidP="00320458">
      <w:pPr>
        <w:pStyle w:val="EndNoteBibliography"/>
        <w:spacing w:after="0"/>
        <w:ind w:left="720" w:hanging="720"/>
      </w:pPr>
      <w:bookmarkStart w:id="627" w:name="_ENREF_72"/>
      <w:r w:rsidRPr="00320458">
        <w:t xml:space="preserve">Hocking, C, Broadbridge, VT, Karapetis, C, Beeke, C, Padbury, R, Maddern, GJ, Roder, DM &amp; Price, TJ 2014, 'Equivalence of outcomes for rural and metropolitan patients with metastatic colorectal cancer in South Australia', </w:t>
      </w:r>
      <w:r w:rsidRPr="00320458">
        <w:rPr>
          <w:i/>
        </w:rPr>
        <w:t>Med J Aust</w:t>
      </w:r>
      <w:r w:rsidRPr="00320458">
        <w:t>, vol.201(8), pp. 462-6.</w:t>
      </w:r>
      <w:bookmarkEnd w:id="627"/>
    </w:p>
    <w:p w14:paraId="0888794E" w14:textId="77777777" w:rsidR="00320458" w:rsidRPr="00320458" w:rsidRDefault="00320458" w:rsidP="00320458">
      <w:pPr>
        <w:pStyle w:val="EndNoteBibliography"/>
        <w:spacing w:after="0"/>
        <w:ind w:left="720" w:hanging="720"/>
      </w:pPr>
      <w:bookmarkStart w:id="628" w:name="_ENREF_73"/>
      <w:r w:rsidRPr="00320458">
        <w:t xml:space="preserve">Hoffman, PC, Mauer, AM &amp; Vokes, EE 2000, 'Lung cancer', </w:t>
      </w:r>
      <w:r w:rsidRPr="00320458">
        <w:rPr>
          <w:i/>
        </w:rPr>
        <w:t>Lancet</w:t>
      </w:r>
      <w:r w:rsidRPr="00320458">
        <w:t>, vol.355(9202), pp. 479-85.</w:t>
      </w:r>
      <w:bookmarkEnd w:id="628"/>
    </w:p>
    <w:p w14:paraId="61409BAF" w14:textId="3A147792" w:rsidR="00320458" w:rsidRPr="00320458" w:rsidRDefault="00320458" w:rsidP="00320458">
      <w:pPr>
        <w:pStyle w:val="EndNoteBibliography"/>
        <w:spacing w:after="0"/>
        <w:ind w:left="720" w:hanging="720"/>
      </w:pPr>
      <w:bookmarkStart w:id="629" w:name="_ENREF_74"/>
      <w:r w:rsidRPr="00320458">
        <w:t xml:space="preserve">HospiMedica International 2009, </w:t>
      </w:r>
      <w:r w:rsidRPr="00320458">
        <w:rPr>
          <w:i/>
        </w:rPr>
        <w:t xml:space="preserve">HMI October 2009 - Microwave Technology Helps Treat Cancer </w:t>
      </w:r>
      <w:r w:rsidRPr="00320458">
        <w:t>viewed 19 July 2016 &lt;</w:t>
      </w:r>
      <w:hyperlink r:id="rId67" w:history="1">
        <w:r w:rsidR="006841FB">
          <w:rPr>
            <w:rStyle w:val="Hyperlink"/>
          </w:rPr>
          <w:t>www.mydigitalpublication.com&gt;</w:t>
        </w:r>
      </w:hyperlink>
      <w:r w:rsidRPr="00320458">
        <w:t>.</w:t>
      </w:r>
      <w:bookmarkEnd w:id="629"/>
    </w:p>
    <w:p w14:paraId="0B789091" w14:textId="3B8D0210" w:rsidR="00320458" w:rsidRPr="00320458" w:rsidRDefault="00320458" w:rsidP="00320458">
      <w:pPr>
        <w:pStyle w:val="EndNoteBibliography"/>
        <w:spacing w:after="0"/>
        <w:ind w:left="720" w:hanging="720"/>
      </w:pPr>
      <w:bookmarkStart w:id="630" w:name="_ENREF_75"/>
      <w:r w:rsidRPr="00320458">
        <w:t xml:space="preserve">Interventional Radiology Society of Australasia (IRSA) 2015, </w:t>
      </w:r>
      <w:r w:rsidRPr="00320458">
        <w:rPr>
          <w:i/>
        </w:rPr>
        <w:t>Interventional Radiology Society of Australasia Guidelines for Credentialing for Interventional Radiology</w:t>
      </w:r>
      <w:r w:rsidRPr="00320458">
        <w:t>, viewed 4 September 2015, &lt;</w:t>
      </w:r>
      <w:hyperlink r:id="rId68" w:history="1">
        <w:r w:rsidR="006841FB">
          <w:rPr>
            <w:rStyle w:val="Hyperlink"/>
          </w:rPr>
          <w:t>www.irsa.com.au&gt;</w:t>
        </w:r>
      </w:hyperlink>
      <w:r w:rsidRPr="00320458">
        <w:t>.</w:t>
      </w:r>
      <w:bookmarkEnd w:id="630"/>
    </w:p>
    <w:p w14:paraId="09C765B6" w14:textId="77777777" w:rsidR="00320458" w:rsidRPr="00320458" w:rsidRDefault="00320458" w:rsidP="00320458">
      <w:pPr>
        <w:pStyle w:val="EndNoteBibliography"/>
        <w:spacing w:after="0"/>
        <w:ind w:left="720" w:hanging="720"/>
      </w:pPr>
      <w:bookmarkStart w:id="631" w:name="_ENREF_76"/>
      <w:r w:rsidRPr="00320458">
        <w:t xml:space="preserve">Jeppesen, SS, Schytte, T, Jensen, HR, Brink, C &amp; Hansen, O 2013, 'Stereotactic body radiation therapy versus conventional radiation therapy in patients with early stage non-small cell lung cancer: </w:t>
      </w:r>
      <w:r w:rsidRPr="00320458">
        <w:lastRenderedPageBreak/>
        <w:t xml:space="preserve">an updated retrospective study on local failure and survival rates', </w:t>
      </w:r>
      <w:r w:rsidRPr="00320458">
        <w:rPr>
          <w:i/>
        </w:rPr>
        <w:t>Acta Oncol</w:t>
      </w:r>
      <w:r w:rsidRPr="00320458">
        <w:t>, vol.52(7), pp. 1552-8.</w:t>
      </w:r>
      <w:bookmarkEnd w:id="631"/>
    </w:p>
    <w:p w14:paraId="249C07F4" w14:textId="77777777" w:rsidR="00320458" w:rsidRPr="00320458" w:rsidRDefault="00320458" w:rsidP="00320458">
      <w:pPr>
        <w:pStyle w:val="EndNoteBibliography"/>
        <w:spacing w:after="0"/>
        <w:ind w:left="720" w:hanging="720"/>
      </w:pPr>
      <w:bookmarkStart w:id="632" w:name="_ENREF_77"/>
      <w:r w:rsidRPr="00320458">
        <w:t xml:space="preserve">Kang, S, Koh, ES, Vinod, SK &amp; Jalaludin, B 2012, 'Cost analysis of lung cancer management in South Western Sydney', </w:t>
      </w:r>
      <w:r w:rsidRPr="00320458">
        <w:rPr>
          <w:i/>
        </w:rPr>
        <w:t>J Med Imaging Radiat Oncol</w:t>
      </w:r>
      <w:r w:rsidRPr="00320458">
        <w:t>, vol.56(2), pp. 235-41.</w:t>
      </w:r>
      <w:bookmarkEnd w:id="632"/>
    </w:p>
    <w:p w14:paraId="792A1E2B" w14:textId="77777777" w:rsidR="00320458" w:rsidRPr="00320458" w:rsidRDefault="00320458" w:rsidP="00320458">
      <w:pPr>
        <w:pStyle w:val="EndNoteBibliography"/>
        <w:spacing w:after="0"/>
        <w:ind w:left="720" w:hanging="720"/>
      </w:pPr>
      <w:bookmarkStart w:id="633" w:name="_ENREF_78"/>
      <w:r w:rsidRPr="00320458">
        <w:t xml:space="preserve">Kang, S, Luo, R, Liao, W, Wu, H, Zhang, X &amp; Meng, Y 2004, 'Single group study to evaluate the feasibility and complications of radiofrequency ablation and usefulness of post treatment position emission tomography in lung tumours', </w:t>
      </w:r>
      <w:r w:rsidRPr="00320458">
        <w:rPr>
          <w:i/>
        </w:rPr>
        <w:t>World J Surg Oncol</w:t>
      </w:r>
      <w:r w:rsidRPr="00320458">
        <w:t>, vol.2pp. 30.</w:t>
      </w:r>
      <w:bookmarkEnd w:id="633"/>
    </w:p>
    <w:p w14:paraId="71ACDAA3" w14:textId="77777777" w:rsidR="00320458" w:rsidRPr="00320458" w:rsidRDefault="00320458" w:rsidP="00320458">
      <w:pPr>
        <w:pStyle w:val="EndNoteBibliography"/>
        <w:spacing w:after="0"/>
        <w:ind w:left="720" w:hanging="720"/>
      </w:pPr>
      <w:bookmarkStart w:id="634" w:name="_ENREF_79"/>
      <w:r w:rsidRPr="00320458">
        <w:t xml:space="preserve">Kim, JY, Kay, CS, Kim, YS, Jang, JW, Bae, SH, Choi, JY, Yoon, SK &amp; Kim, KJ 2009, 'Helical tomotherapy for simultaneous multitarget radiotherapy for pulmonary metastasis', </w:t>
      </w:r>
      <w:r w:rsidRPr="00320458">
        <w:rPr>
          <w:i/>
        </w:rPr>
        <w:t>Int J Radiat Oncol Biol Phys</w:t>
      </w:r>
      <w:r w:rsidRPr="00320458">
        <w:t>, vol.75(3), pp. 703-10.</w:t>
      </w:r>
      <w:bookmarkEnd w:id="634"/>
    </w:p>
    <w:p w14:paraId="4EF26D8F" w14:textId="77777777" w:rsidR="00320458" w:rsidRPr="00320458" w:rsidRDefault="00320458" w:rsidP="00320458">
      <w:pPr>
        <w:pStyle w:val="EndNoteBibliography"/>
        <w:spacing w:after="0"/>
        <w:ind w:left="720" w:hanging="720"/>
      </w:pPr>
      <w:bookmarkStart w:id="635" w:name="_ENREF_80"/>
      <w:r w:rsidRPr="00320458">
        <w:t xml:space="preserve">Kitano, K, Murayama, T, Sakamoto, M, Nagayama, K, Ueno, K, Murakawa, T &amp; Nakajima, J 2012, 'Outcome and survival analysis of pulmonary metastasectomy for hepatocellular carcinoma', </w:t>
      </w:r>
      <w:r w:rsidRPr="00320458">
        <w:rPr>
          <w:i/>
        </w:rPr>
        <w:t>Eur J Cardiothorac Surg</w:t>
      </w:r>
      <w:r w:rsidRPr="00320458">
        <w:t>, vol.41(2), pp. 376-82.</w:t>
      </w:r>
      <w:bookmarkEnd w:id="635"/>
    </w:p>
    <w:p w14:paraId="44DBA1CB" w14:textId="77777777" w:rsidR="00320458" w:rsidRPr="00320458" w:rsidRDefault="00320458" w:rsidP="00320458">
      <w:pPr>
        <w:pStyle w:val="EndNoteBibliography"/>
        <w:spacing w:after="0"/>
        <w:ind w:left="720" w:hanging="720"/>
      </w:pPr>
      <w:bookmarkStart w:id="636" w:name="_ENREF_81"/>
      <w:r w:rsidRPr="00320458">
        <w:t xml:space="preserve">Koelblinger, C, Strauss, S &amp; Gillams, A 2014, 'Outcome after radiofrequency ablation of sarcoma lung metastases', </w:t>
      </w:r>
      <w:r w:rsidRPr="00320458">
        <w:rPr>
          <w:i/>
        </w:rPr>
        <w:t>Cardiovasc Intervent Radiol</w:t>
      </w:r>
      <w:r w:rsidRPr="00320458">
        <w:t>, vol.37(1), pp. 147-53.</w:t>
      </w:r>
      <w:bookmarkEnd w:id="636"/>
    </w:p>
    <w:p w14:paraId="7540732B" w14:textId="77777777" w:rsidR="00320458" w:rsidRPr="00320458" w:rsidRDefault="00320458" w:rsidP="00320458">
      <w:pPr>
        <w:pStyle w:val="EndNoteBibliography"/>
        <w:spacing w:after="0"/>
        <w:ind w:left="720" w:hanging="720"/>
      </w:pPr>
      <w:bookmarkStart w:id="637" w:name="_ENREF_82"/>
      <w:r w:rsidRPr="00320458">
        <w:t xml:space="preserve">Koshy, M, Malik, R, Mahmood, U, Husain, Z &amp; Sher, DJ 2015, 'Stereotactic body radiotherapy and treatment at a high volume facility is associated with improved survival in patients with inoperable stage I non-small cell lung cancer', </w:t>
      </w:r>
      <w:r w:rsidRPr="00320458">
        <w:rPr>
          <w:i/>
        </w:rPr>
        <w:t>Radiother Oncol</w:t>
      </w:r>
      <w:r w:rsidRPr="00320458">
        <w:t>, vol.114(2), pp. 148-54.</w:t>
      </w:r>
      <w:bookmarkEnd w:id="637"/>
    </w:p>
    <w:p w14:paraId="63D206F1" w14:textId="77777777" w:rsidR="00320458" w:rsidRPr="00320458" w:rsidRDefault="00320458" w:rsidP="00320458">
      <w:pPr>
        <w:pStyle w:val="EndNoteBibliography"/>
        <w:spacing w:after="0"/>
        <w:ind w:left="720" w:hanging="720"/>
      </w:pPr>
      <w:bookmarkStart w:id="638" w:name="_ENREF_83"/>
      <w:r w:rsidRPr="00320458">
        <w:t xml:space="preserve">Kuang, M, Lu, MD, Xie, XY, Xu, HX, Mo, LQ, Liu, GJ, Xu, ZF, Zheng, YL &amp; Liang, JY 2007, 'Liver cancer: increased microwave delivery to ablation zone with cooled-shaft antenna--experimental and clinical studies', </w:t>
      </w:r>
      <w:r w:rsidRPr="00320458">
        <w:rPr>
          <w:i/>
        </w:rPr>
        <w:t>Radiology</w:t>
      </w:r>
      <w:r w:rsidRPr="00320458">
        <w:t>, vol.242(3), pp. 914-24.</w:t>
      </w:r>
      <w:bookmarkEnd w:id="638"/>
    </w:p>
    <w:p w14:paraId="4721B306" w14:textId="77777777" w:rsidR="00320458" w:rsidRPr="00320458" w:rsidRDefault="00320458" w:rsidP="00320458">
      <w:pPr>
        <w:pStyle w:val="EndNoteBibliography"/>
        <w:spacing w:after="0"/>
        <w:ind w:left="720" w:hanging="720"/>
      </w:pPr>
      <w:bookmarkStart w:id="639" w:name="_ENREF_84"/>
      <w:r w:rsidRPr="00320458">
        <w:t xml:space="preserve">Kwan, SW, Mortell, KE, Hippe, DS &amp; Brunner, MC 2014, 'An economic analysis of sublobar resection versus thermal ablation for early-stage non-small-cell lung cancer', </w:t>
      </w:r>
      <w:r w:rsidRPr="00320458">
        <w:rPr>
          <w:i/>
        </w:rPr>
        <w:t>J Vasc Interv Radiol</w:t>
      </w:r>
      <w:r w:rsidRPr="00320458">
        <w:t>, vol.25(10), pp. 1558-64; quiz 65.</w:t>
      </w:r>
      <w:bookmarkEnd w:id="639"/>
    </w:p>
    <w:p w14:paraId="2865A4F4" w14:textId="77777777" w:rsidR="00320458" w:rsidRPr="00320458" w:rsidRDefault="00320458" w:rsidP="00320458">
      <w:pPr>
        <w:pStyle w:val="EndNoteBibliography"/>
        <w:spacing w:after="0"/>
        <w:ind w:left="720" w:hanging="720"/>
      </w:pPr>
      <w:bookmarkStart w:id="640" w:name="_ENREF_85"/>
      <w:r w:rsidRPr="00320458">
        <w:t xml:space="preserve">Lanni, TB, Jr., Grills, IS, Kestin, LL &amp; Robertson, JM 2011, 'Stereotactic radiotherapy reduces treatment cost while improving overall survival and local control over standard fractionated radiation therapy for medically inoperable non-small-cell lung cancer', </w:t>
      </w:r>
      <w:r w:rsidRPr="00320458">
        <w:rPr>
          <w:i/>
        </w:rPr>
        <w:t>Am J Clin Oncol</w:t>
      </w:r>
      <w:r w:rsidRPr="00320458">
        <w:t>, vol.34(5), pp. 494-8.</w:t>
      </w:r>
      <w:bookmarkEnd w:id="640"/>
    </w:p>
    <w:p w14:paraId="40F0399D" w14:textId="77777777" w:rsidR="00320458" w:rsidRPr="00320458" w:rsidRDefault="00320458" w:rsidP="00320458">
      <w:pPr>
        <w:pStyle w:val="EndNoteBibliography"/>
        <w:spacing w:after="0"/>
        <w:ind w:left="720" w:hanging="720"/>
      </w:pPr>
      <w:bookmarkStart w:id="641" w:name="_ENREF_86"/>
      <w:r w:rsidRPr="00320458">
        <w:t xml:space="preserve">Lanuti, M, Sharma, A, Willers, H, Digumarthy, SR, Mathisen, DJ &amp; Shepard, JA 2012, 'Radiofrequency ablation for stage I non-small cell lung cancer: management of locoregional recurrence', </w:t>
      </w:r>
      <w:r w:rsidRPr="00320458">
        <w:rPr>
          <w:i/>
        </w:rPr>
        <w:t>Ann Thorac Surg</w:t>
      </w:r>
      <w:r w:rsidRPr="00320458">
        <w:t>, vol.93(3), pp. 921-7; discussion 27-88.</w:t>
      </w:r>
      <w:bookmarkEnd w:id="641"/>
    </w:p>
    <w:p w14:paraId="435DD891" w14:textId="77777777" w:rsidR="00320458" w:rsidRPr="00320458" w:rsidRDefault="00320458" w:rsidP="00320458">
      <w:pPr>
        <w:pStyle w:val="EndNoteBibliography"/>
        <w:spacing w:after="0"/>
        <w:ind w:left="720" w:hanging="720"/>
      </w:pPr>
      <w:bookmarkStart w:id="642" w:name="_ENREF_87"/>
      <w:r w:rsidRPr="00320458">
        <w:t xml:space="preserve">Lee, WK, Lau, EW, Chin, K, Sedlaczek, O &amp; Steinke, K 2013, 'Modern diagnostic and therapeutic interventional radiology in lung cancer', </w:t>
      </w:r>
      <w:r w:rsidRPr="00320458">
        <w:rPr>
          <w:i/>
        </w:rPr>
        <w:t>J Thorac Dis</w:t>
      </w:r>
      <w:r w:rsidRPr="00320458">
        <w:t>, vol.5 Suppl 5pp. S511-23.</w:t>
      </w:r>
      <w:bookmarkEnd w:id="642"/>
    </w:p>
    <w:p w14:paraId="51C1A986" w14:textId="77777777" w:rsidR="00320458" w:rsidRPr="00320458" w:rsidRDefault="00320458" w:rsidP="00320458">
      <w:pPr>
        <w:pStyle w:val="EndNoteBibliography"/>
        <w:spacing w:after="0"/>
        <w:ind w:left="720" w:hanging="720"/>
      </w:pPr>
      <w:bookmarkStart w:id="643" w:name="_ENREF_88"/>
      <w:r w:rsidRPr="00320458">
        <w:t>Lester-Coll, NH, Decker, RH &amp; Yu, JB 2014, 'Cost-Effectiveness Analysis of Stereotactic Body Radiation Therapy for Pulmonary Oligometastases. ',</w:t>
      </w:r>
      <w:r w:rsidRPr="00320458">
        <w:rPr>
          <w:i/>
        </w:rPr>
        <w:t xml:space="preserve"> Int J Radiat Oncol Biol Phys.</w:t>
      </w:r>
      <w:r w:rsidRPr="00320458">
        <w:t>, vol.90(1 (supplement)), pp. S585–S86.</w:t>
      </w:r>
      <w:bookmarkEnd w:id="643"/>
    </w:p>
    <w:p w14:paraId="58527FDC" w14:textId="77777777" w:rsidR="00320458" w:rsidRPr="00320458" w:rsidRDefault="00320458" w:rsidP="00320458">
      <w:pPr>
        <w:pStyle w:val="EndNoteBibliography"/>
        <w:spacing w:after="0"/>
        <w:ind w:left="720" w:hanging="720"/>
      </w:pPr>
      <w:bookmarkStart w:id="644" w:name="_ENREF_89"/>
      <w:r w:rsidRPr="00320458">
        <w:t xml:space="preserve">Lester-Coll, NH, Rutter, CE, Bledsoe, TJ, Goldberg, SB, Decker, RH &amp; Yu, JB 2016, 'Cost-Effectiveness of Surgery, Stereotactic Body Radiation Therapy, and Systemic Therapy for Pulmonary Oligometastases', </w:t>
      </w:r>
      <w:r w:rsidRPr="00320458">
        <w:rPr>
          <w:i/>
        </w:rPr>
        <w:t>Int J Radiat Oncol Biol Phys</w:t>
      </w:r>
      <w:r w:rsidRPr="00320458">
        <w:t>, vol.95(2), pp. 663-72.</w:t>
      </w:r>
      <w:bookmarkEnd w:id="644"/>
    </w:p>
    <w:p w14:paraId="37AA44D3" w14:textId="77777777" w:rsidR="00320458" w:rsidRPr="00320458" w:rsidRDefault="00320458" w:rsidP="00320458">
      <w:pPr>
        <w:pStyle w:val="EndNoteBibliography"/>
        <w:spacing w:after="0"/>
        <w:ind w:left="720" w:hanging="720"/>
      </w:pPr>
      <w:bookmarkStart w:id="645" w:name="_ENREF_90"/>
      <w:r w:rsidRPr="00320458">
        <w:lastRenderedPageBreak/>
        <w:t xml:space="preserve">Li, X, Wang, J, Li, W, Huang, Z, Fan, W, Chen, Y, Shen, L, Pan, T, Wu, P &amp; Zhao, M 2012, 'Percutaneous CT-guided radiofrequency ablation for unresectable hepatocellular carcinoma pulmonary metastases', </w:t>
      </w:r>
      <w:r w:rsidRPr="00320458">
        <w:rPr>
          <w:i/>
        </w:rPr>
        <w:t>International Journal of Hyperthermia</w:t>
      </w:r>
      <w:r w:rsidRPr="00320458">
        <w:t>, vol.28(8), pp. 721-28.</w:t>
      </w:r>
      <w:bookmarkEnd w:id="645"/>
    </w:p>
    <w:p w14:paraId="35BBF4D2" w14:textId="77777777" w:rsidR="00320458" w:rsidRPr="00320458" w:rsidRDefault="00320458" w:rsidP="00320458">
      <w:pPr>
        <w:pStyle w:val="EndNoteBibliography"/>
        <w:spacing w:after="0"/>
        <w:ind w:left="720" w:hanging="720"/>
      </w:pPr>
      <w:bookmarkStart w:id="646" w:name="_ENREF_91"/>
      <w:r w:rsidRPr="00320458">
        <w:t xml:space="preserve">Lievens, Y, Obyn, C, Mertens, AS, Van Halewyck, D &amp; Hulstaert, F 2015, 'Stereotactic body radiotherapy for lung cancer: how much does it really cost?', </w:t>
      </w:r>
      <w:r w:rsidRPr="00320458">
        <w:rPr>
          <w:i/>
        </w:rPr>
        <w:t>J Thorac Oncol</w:t>
      </w:r>
      <w:r w:rsidRPr="00320458">
        <w:t>, vol.10(3), pp. 454-61.</w:t>
      </w:r>
      <w:bookmarkEnd w:id="646"/>
    </w:p>
    <w:p w14:paraId="21DB31ED" w14:textId="77777777" w:rsidR="00320458" w:rsidRPr="00320458" w:rsidRDefault="00320458" w:rsidP="00320458">
      <w:pPr>
        <w:pStyle w:val="EndNoteBibliography"/>
        <w:spacing w:after="0"/>
        <w:ind w:left="720" w:hanging="720"/>
      </w:pPr>
      <w:bookmarkStart w:id="647" w:name="_ENREF_92"/>
      <w:r w:rsidRPr="00320458">
        <w:t xml:space="preserve">Little, MW, Chung, D, Boardman, P, Gleeson, FV &amp; Anderson, EM 2013, 'Microwave ablation of pulmonary malignancies using a novel high-energy antenna system', </w:t>
      </w:r>
      <w:r w:rsidRPr="00320458">
        <w:rPr>
          <w:i/>
        </w:rPr>
        <w:t>Cardiovasc Intervent Radiol</w:t>
      </w:r>
      <w:r w:rsidRPr="00320458">
        <w:t>, vol.36(2), pp. 460-65.</w:t>
      </w:r>
      <w:bookmarkEnd w:id="647"/>
    </w:p>
    <w:p w14:paraId="4D877EF7" w14:textId="77777777" w:rsidR="00320458" w:rsidRPr="00320458" w:rsidRDefault="00320458" w:rsidP="00320458">
      <w:pPr>
        <w:pStyle w:val="EndNoteBibliography"/>
        <w:spacing w:after="0"/>
        <w:ind w:left="720" w:hanging="720"/>
      </w:pPr>
      <w:bookmarkStart w:id="648" w:name="_ENREF_93"/>
      <w:r w:rsidRPr="00320458">
        <w:t xml:space="preserve">Liu, B, Liu, L, Hu, M, Qian, K &amp; Li, Y 2015, 'Percutaneous radiofrequency ablation for medically inoperable patients with clinical stage I non-small cell lung cancer', </w:t>
      </w:r>
      <w:r w:rsidRPr="00320458">
        <w:rPr>
          <w:i/>
        </w:rPr>
        <w:t>Thorac Cancer</w:t>
      </w:r>
      <w:r w:rsidRPr="00320458">
        <w:t>, vol.6(3), pp. 327-33.</w:t>
      </w:r>
      <w:bookmarkEnd w:id="648"/>
    </w:p>
    <w:p w14:paraId="6680A9BD" w14:textId="77777777" w:rsidR="00320458" w:rsidRPr="00320458" w:rsidRDefault="00320458" w:rsidP="00320458">
      <w:pPr>
        <w:pStyle w:val="EndNoteBibliography"/>
        <w:spacing w:after="0"/>
        <w:ind w:left="720" w:hanging="720"/>
      </w:pPr>
      <w:bookmarkStart w:id="649" w:name="_ENREF_94"/>
      <w:r w:rsidRPr="00320458">
        <w:t xml:space="preserve">Liu, H &amp; Steinke, K 2013a, 'High-powered percutaneous microwave ablation of stage I medically inoperable non-small cell lung cancer: a preliminary study', </w:t>
      </w:r>
      <w:r w:rsidRPr="00320458">
        <w:rPr>
          <w:i/>
        </w:rPr>
        <w:t>J Med Imaging Radiat Oncol</w:t>
      </w:r>
      <w:r w:rsidRPr="00320458">
        <w:t>, vol.57(4), pp. 466-74.</w:t>
      </w:r>
      <w:bookmarkEnd w:id="649"/>
    </w:p>
    <w:p w14:paraId="6DE06F83" w14:textId="77777777" w:rsidR="00320458" w:rsidRPr="00320458" w:rsidRDefault="00320458" w:rsidP="00320458">
      <w:pPr>
        <w:pStyle w:val="EndNoteBibliography"/>
        <w:spacing w:after="0"/>
        <w:ind w:left="720" w:hanging="720"/>
      </w:pPr>
      <w:bookmarkStart w:id="650" w:name="_ENREF_95"/>
      <w:r w:rsidRPr="00320458">
        <w:t xml:space="preserve">Liu, H &amp; Steinke, K 2013b, 'High-powered percutaneous microwave ablation of stage i medically inoperable non-small cell lung cancer: A preliminary study', </w:t>
      </w:r>
      <w:r w:rsidRPr="00320458">
        <w:rPr>
          <w:i/>
        </w:rPr>
        <w:t>J Med Imaging Radiat Oncol</w:t>
      </w:r>
      <w:r w:rsidRPr="00320458">
        <w:t>, vol.57(4), pp. 466-74.</w:t>
      </w:r>
      <w:bookmarkEnd w:id="650"/>
    </w:p>
    <w:p w14:paraId="135B60D9" w14:textId="77777777" w:rsidR="00320458" w:rsidRPr="00320458" w:rsidRDefault="00320458" w:rsidP="00320458">
      <w:pPr>
        <w:pStyle w:val="EndNoteBibliography"/>
        <w:spacing w:after="0"/>
        <w:ind w:left="720" w:hanging="720"/>
      </w:pPr>
      <w:bookmarkStart w:id="651" w:name="_ENREF_96"/>
      <w:r w:rsidRPr="00320458">
        <w:t xml:space="preserve">Lu, Q, Cao, W, Huang, L, Wan, Y, Liu, T, Cheng, Q, Han, Y &amp; Li, X 2012a, 'CT-guided percutaneous microwave ablation of pulmonary malignancies: Results in 69 cases', </w:t>
      </w:r>
      <w:r w:rsidRPr="00320458">
        <w:rPr>
          <w:i/>
        </w:rPr>
        <w:t>World J Surg Oncol</w:t>
      </w:r>
      <w:r w:rsidRPr="00320458">
        <w:t xml:space="preserve">, vol.10 (no pagination)(80), pp. </w:t>
      </w:r>
      <w:bookmarkEnd w:id="651"/>
    </w:p>
    <w:p w14:paraId="3F8F66C3" w14:textId="77777777" w:rsidR="00320458" w:rsidRPr="00320458" w:rsidRDefault="00320458" w:rsidP="00320458">
      <w:pPr>
        <w:pStyle w:val="EndNoteBibliography"/>
        <w:spacing w:after="0"/>
        <w:ind w:left="720" w:hanging="720"/>
      </w:pPr>
      <w:bookmarkStart w:id="652" w:name="_ENREF_97"/>
      <w:r w:rsidRPr="00320458">
        <w:t xml:space="preserve">Lu, Q, Cao, W, Huang, L, Wan, Y, Liu, T, Cheng, Q, Han, Y &amp; Li, X 2012b, 'CT-guided percutaneous microwave ablation of pulmonary malignancies: Results in 69 cases', </w:t>
      </w:r>
      <w:r w:rsidRPr="00320458">
        <w:rPr>
          <w:i/>
        </w:rPr>
        <w:t>World J Surg Oncol</w:t>
      </w:r>
      <w:r w:rsidRPr="00320458">
        <w:t>, vol.10pp. 80.</w:t>
      </w:r>
      <w:bookmarkEnd w:id="652"/>
    </w:p>
    <w:p w14:paraId="5CF7C2BE" w14:textId="77777777" w:rsidR="00320458" w:rsidRPr="00320458" w:rsidRDefault="00320458" w:rsidP="00320458">
      <w:pPr>
        <w:pStyle w:val="EndNoteBibliography"/>
        <w:spacing w:after="0"/>
        <w:ind w:left="720" w:hanging="720"/>
      </w:pPr>
      <w:bookmarkStart w:id="653" w:name="_ENREF_98"/>
      <w:r w:rsidRPr="00320458">
        <w:t xml:space="preserve">Lu, X, Wang, Y, Li, W, Li, G &amp; Zhou, J 2015a, 'A prospective clinical trial of radiofrequency ablation for pulmonary metastases', </w:t>
      </w:r>
      <w:r w:rsidRPr="00320458">
        <w:rPr>
          <w:i/>
        </w:rPr>
        <w:t>Molecular and Clinical Oncology</w:t>
      </w:r>
      <w:r w:rsidRPr="00320458">
        <w:t>, vol.3(3), pp. 559-62.</w:t>
      </w:r>
      <w:bookmarkEnd w:id="653"/>
    </w:p>
    <w:p w14:paraId="1F20E69C" w14:textId="77777777" w:rsidR="00320458" w:rsidRPr="00320458" w:rsidRDefault="00320458" w:rsidP="00320458">
      <w:pPr>
        <w:pStyle w:val="EndNoteBibliography"/>
        <w:spacing w:after="0"/>
        <w:ind w:left="720" w:hanging="720"/>
      </w:pPr>
      <w:bookmarkStart w:id="654" w:name="_ENREF_99"/>
      <w:r w:rsidRPr="00320458">
        <w:t xml:space="preserve">Lu, X, Wang, Y &amp; Zhou, J 2015b, 'Clinical effect of percutaneous radiofrequency ablation for residual lung metastases from breast cancer after systemic chemotherapy', </w:t>
      </w:r>
      <w:r w:rsidRPr="00320458">
        <w:rPr>
          <w:i/>
        </w:rPr>
        <w:t>Journal of the College of Physicians and Surgeons Pakistan</w:t>
      </w:r>
      <w:r w:rsidRPr="00320458">
        <w:t>, vol.25(8), pp. 602-05.</w:t>
      </w:r>
      <w:bookmarkEnd w:id="654"/>
    </w:p>
    <w:p w14:paraId="405DF1AE" w14:textId="77777777" w:rsidR="00320458" w:rsidRPr="00320458" w:rsidRDefault="00320458" w:rsidP="00320458">
      <w:pPr>
        <w:pStyle w:val="EndNoteBibliography"/>
        <w:spacing w:after="0"/>
        <w:ind w:left="720" w:hanging="720"/>
      </w:pPr>
      <w:bookmarkStart w:id="655" w:name="_ENREF_100"/>
      <w:r w:rsidRPr="00320458">
        <w:t xml:space="preserve">Lucas, JT, Jr., Kuremsky, JG, Soike, M, Hinson, WW, Kearns, WT, Hampton, CJ, Blackstock, AW &amp; Urbanic, J 2014, 'Comparison of accelerated hypofractionation and stereotactic body radiotherapy for Stage 1 and node negative Stage 2 non-small cell lung cancer (NSCLC)', </w:t>
      </w:r>
      <w:r w:rsidRPr="00320458">
        <w:rPr>
          <w:i/>
        </w:rPr>
        <w:t>Lung Cancer</w:t>
      </w:r>
      <w:r w:rsidRPr="00320458">
        <w:t>, vol.85(1), pp. 59-65.</w:t>
      </w:r>
      <w:bookmarkEnd w:id="655"/>
    </w:p>
    <w:p w14:paraId="19D8FFF5" w14:textId="77777777" w:rsidR="00320458" w:rsidRPr="00320458" w:rsidRDefault="00320458" w:rsidP="00320458">
      <w:pPr>
        <w:pStyle w:val="EndNoteBibliography"/>
        <w:spacing w:after="0"/>
        <w:ind w:left="720" w:hanging="720"/>
      </w:pPr>
      <w:bookmarkStart w:id="656" w:name="_ENREF_101"/>
      <w:r w:rsidRPr="00320458">
        <w:t xml:space="preserve">Madelaine, J, Guizard, AV, Lefevre, H, Lecarpentier, MM &amp; Launoy, G 2002, '[Diagnosis, treatment, and prognosis of lung cancer in the Manche (France) (1997-1999) according to patients socioeconomic characteristics]', </w:t>
      </w:r>
      <w:r w:rsidRPr="00320458">
        <w:rPr>
          <w:i/>
        </w:rPr>
        <w:t>Rev Epidemiol Sante Publique</w:t>
      </w:r>
      <w:r w:rsidRPr="00320458">
        <w:t>, vol.50(4), pp. 383-92.</w:t>
      </w:r>
      <w:bookmarkEnd w:id="656"/>
    </w:p>
    <w:p w14:paraId="7BD5D31D" w14:textId="77777777" w:rsidR="00320458" w:rsidRPr="00320458" w:rsidRDefault="00320458" w:rsidP="00320458">
      <w:pPr>
        <w:pStyle w:val="EndNoteBibliography"/>
        <w:spacing w:after="0"/>
        <w:ind w:left="720" w:hanging="720"/>
      </w:pPr>
      <w:bookmarkStart w:id="657" w:name="_ENREF_102"/>
      <w:r w:rsidRPr="00320458">
        <w:t xml:space="preserve">Matsui, Y, Hiraki, T, Gobara, H, Iguchi, T, Fujiwara, H, Nagasaka, T, Toyooka, S &amp; Kanazawa, S 2015, 'Long-term survival following percutaneous radiofrequency ablation of colorectal lung metastases', </w:t>
      </w:r>
      <w:r w:rsidRPr="00320458">
        <w:rPr>
          <w:i/>
        </w:rPr>
        <w:t>J Vasc Interv Radiol</w:t>
      </w:r>
      <w:r w:rsidRPr="00320458">
        <w:t>, vol.26(3), pp. 303-10;quiz 11.</w:t>
      </w:r>
      <w:bookmarkEnd w:id="657"/>
    </w:p>
    <w:p w14:paraId="5D02F9C1" w14:textId="6F549A00" w:rsidR="00320458" w:rsidRPr="00320458" w:rsidRDefault="00320458" w:rsidP="00320458">
      <w:pPr>
        <w:pStyle w:val="EndNoteBibliography"/>
        <w:spacing w:after="0"/>
        <w:ind w:left="720" w:hanging="720"/>
      </w:pPr>
      <w:bookmarkStart w:id="658" w:name="_ENREF_103"/>
      <w:r w:rsidRPr="00320458">
        <w:lastRenderedPageBreak/>
        <w:t xml:space="preserve">Medical Services Advisory Committee 2016, </w:t>
      </w:r>
      <w:r w:rsidRPr="00320458">
        <w:rPr>
          <w:i/>
        </w:rPr>
        <w:t>Technical Guidelines for preparing assessment reports for the Medical Services Advisory Committee – Medical Service Type: Therapeutic (Version 2.0)</w:t>
      </w:r>
      <w:r w:rsidRPr="00320458">
        <w:t>, Medical Services Advisory Committee, viewed 30 August 2016, &lt;</w:t>
      </w:r>
      <w:hyperlink r:id="rId69" w:history="1">
        <w:r w:rsidR="006841FB">
          <w:rPr>
            <w:rStyle w:val="Hyperlink"/>
          </w:rPr>
          <w:t>www.msac.gov.au&gt;</w:t>
        </w:r>
      </w:hyperlink>
      <w:r w:rsidRPr="00320458">
        <w:t>.</w:t>
      </w:r>
      <w:bookmarkEnd w:id="658"/>
    </w:p>
    <w:p w14:paraId="16A7BF04" w14:textId="77777777" w:rsidR="00320458" w:rsidRPr="00320458" w:rsidRDefault="00320458" w:rsidP="00320458">
      <w:pPr>
        <w:pStyle w:val="EndNoteBibliography"/>
        <w:spacing w:after="0"/>
        <w:ind w:left="720" w:hanging="720"/>
      </w:pPr>
      <w:bookmarkStart w:id="659" w:name="_ENREF_104"/>
      <w:r w:rsidRPr="00320458">
        <w:t xml:space="preserve">Medical Services Advisory Committee (MSAC) 2015, </w:t>
      </w:r>
      <w:r w:rsidRPr="00320458">
        <w:rPr>
          <w:i/>
        </w:rPr>
        <w:t>Public Summary Document, Application 1319 - Image-guided radiation therapy for cancer treatment deliver, 63rd MSAC meeting, 1-2 April 2015</w:t>
      </w:r>
      <w:r w:rsidRPr="00320458">
        <w:t xml:space="preserve">, viewed </w:t>
      </w:r>
      <w:bookmarkEnd w:id="659"/>
    </w:p>
    <w:p w14:paraId="3C3EC670" w14:textId="77777777" w:rsidR="00320458" w:rsidRPr="00320458" w:rsidRDefault="00320458" w:rsidP="00320458">
      <w:pPr>
        <w:pStyle w:val="EndNoteBibliography"/>
        <w:spacing w:after="0"/>
        <w:ind w:left="720" w:hanging="720"/>
      </w:pPr>
      <w:bookmarkStart w:id="660" w:name="_ENREF_105"/>
      <w:r w:rsidRPr="00320458">
        <w:t xml:space="preserve">Meimarakis, G, Spelsberg, F, Angele, M, Preissler, G, Fertmann, J, Crispin, A, Reu, S, Kalaitzis, N, Stemmler, M, Giessen, C, Heinemann, V, Stintzing, S, Hatz, R &amp; Winter, H 2014, 'Resection of pulmonary metastases from colon and rectal cancer: factors to predict survival differ regarding to the origin of the primary tumor', </w:t>
      </w:r>
      <w:r w:rsidRPr="00320458">
        <w:rPr>
          <w:i/>
        </w:rPr>
        <w:t>Ann Surg Oncol</w:t>
      </w:r>
      <w:r w:rsidRPr="00320458">
        <w:t>, vol.21(8), pp. 2563-72.</w:t>
      </w:r>
      <w:bookmarkEnd w:id="660"/>
    </w:p>
    <w:p w14:paraId="52FDED41" w14:textId="77777777" w:rsidR="00320458" w:rsidRPr="00320458" w:rsidRDefault="00320458" w:rsidP="00320458">
      <w:pPr>
        <w:pStyle w:val="EndNoteBibliography"/>
        <w:spacing w:after="0"/>
        <w:ind w:left="720" w:hanging="720"/>
      </w:pPr>
      <w:bookmarkStart w:id="661" w:name="_ENREF_106"/>
      <w:r w:rsidRPr="00320458">
        <w:t xml:space="preserve">Meredith, K, Lee, F, Henry, MB, Warner, T &amp; Mahvi, D 2005, 'Microwave ablation of hepatic tumors using dual-loop probes: results of a phase I clinical trial', </w:t>
      </w:r>
      <w:r w:rsidRPr="00320458">
        <w:rPr>
          <w:i/>
        </w:rPr>
        <w:t>J Gastrointest Surg</w:t>
      </w:r>
      <w:r w:rsidRPr="00320458">
        <w:t>, vol.9(9), pp. 1354-60.</w:t>
      </w:r>
      <w:bookmarkEnd w:id="661"/>
    </w:p>
    <w:p w14:paraId="436657DC" w14:textId="77777777" w:rsidR="00320458" w:rsidRPr="00320458" w:rsidRDefault="00320458" w:rsidP="00320458">
      <w:pPr>
        <w:pStyle w:val="EndNoteBibliography"/>
        <w:spacing w:after="0"/>
        <w:ind w:left="720" w:hanging="720"/>
      </w:pPr>
      <w:bookmarkStart w:id="662" w:name="_ENREF_107"/>
      <w:r w:rsidRPr="00320458">
        <w:t xml:space="preserve">Merlin, T, Weston, A &amp; Tooher, R 2009, 'Extending an evidence hierarchy to include topics other than treatment: revising the Australian 'levels of evidence'', </w:t>
      </w:r>
      <w:r w:rsidRPr="00320458">
        <w:rPr>
          <w:i/>
        </w:rPr>
        <w:t>BMC Med Res Methodol</w:t>
      </w:r>
      <w:r w:rsidRPr="00320458">
        <w:t>, vol.9pp. 34.</w:t>
      </w:r>
      <w:bookmarkEnd w:id="662"/>
    </w:p>
    <w:p w14:paraId="2CD44AB5" w14:textId="77777777" w:rsidR="00320458" w:rsidRPr="00320458" w:rsidRDefault="00320458" w:rsidP="00320458">
      <w:pPr>
        <w:pStyle w:val="EndNoteBibliography"/>
        <w:spacing w:after="0"/>
        <w:ind w:left="720" w:hanging="720"/>
      </w:pPr>
      <w:bookmarkStart w:id="663" w:name="_ENREF_108"/>
      <w:r w:rsidRPr="00320458">
        <w:t xml:space="preserve">Mitchell, PL, Thursfield, VJ, Ball, DL, Richardson, GE, Irving, LB, Torn-Broers, Y, Giles, GG &amp; Wright, GM 2013, 'Lung cancer in Victoria: are we making progress?', </w:t>
      </w:r>
      <w:r w:rsidRPr="00320458">
        <w:rPr>
          <w:i/>
        </w:rPr>
        <w:t>Med J Aust</w:t>
      </w:r>
      <w:r w:rsidRPr="00320458">
        <w:t>, vol.199(10), pp. 674-9.</w:t>
      </w:r>
      <w:bookmarkEnd w:id="663"/>
    </w:p>
    <w:p w14:paraId="62B96F3B" w14:textId="77777777" w:rsidR="00320458" w:rsidRPr="00320458" w:rsidRDefault="00320458" w:rsidP="00320458">
      <w:pPr>
        <w:pStyle w:val="EndNoteBibliography"/>
        <w:spacing w:after="0"/>
        <w:ind w:left="720" w:hanging="720"/>
      </w:pPr>
      <w:bookmarkStart w:id="664" w:name="_ENREF_109"/>
      <w:r w:rsidRPr="00320458">
        <w:t xml:space="preserve">Murray, L, Karakaya, E, Hinsley, S, Naisbitt, M, Lilley, J, Snee, M, Clarke, K, Musunuru, HB, Ramasamy, S, Turner, R &amp; Franks, K 2016, 'Lung stereotactic ablative radiotherapy (SABR): dosimetric considerations for chest wall toxicity', </w:t>
      </w:r>
      <w:r w:rsidRPr="00320458">
        <w:rPr>
          <w:i/>
        </w:rPr>
        <w:t>Br J Radiol</w:t>
      </w:r>
      <w:r w:rsidRPr="00320458">
        <w:t>, vol.89(1058), pp. 20150628.</w:t>
      </w:r>
      <w:bookmarkEnd w:id="664"/>
    </w:p>
    <w:p w14:paraId="5848B198" w14:textId="77777777" w:rsidR="00320458" w:rsidRPr="00320458" w:rsidRDefault="00320458" w:rsidP="00320458">
      <w:pPr>
        <w:pStyle w:val="EndNoteBibliography"/>
        <w:spacing w:after="0"/>
        <w:ind w:left="720" w:hanging="720"/>
      </w:pPr>
      <w:bookmarkStart w:id="665" w:name="_ENREF_110"/>
      <w:r w:rsidRPr="00320458">
        <w:t xml:space="preserve">Mustafa, RA, Santesso, N, Brozek, J, Akl, EA, Walter, SD, Norman, G, Kulasegaram, M, Christensen, R, Guyatt, GH, Falck-Ytter, Y, Chang, S, Murad, MH, Vist, GE, Lasserson, T, Gartlehner, G, Shukla, V, Sun, X, Whittington, C, Post, PN, Lang, E, Thaler, K, Kunnamo, I, Alenius, H, Meerpohl, JJ, Alba, AC, Nevis, IF, Gentles, S, Ethier, MC, Carrasco-Labra, A &amp; Khatib, R 2013, 'The GRADE approach is reproducible in assessing the quality of evidence of quantitative evidence syntheses', </w:t>
      </w:r>
      <w:r w:rsidRPr="00320458">
        <w:rPr>
          <w:i/>
        </w:rPr>
        <w:t>J Clin Epidemiol</w:t>
      </w:r>
      <w:r w:rsidRPr="00320458">
        <w:t xml:space="preserve">, vol.66pp. </w:t>
      </w:r>
      <w:bookmarkEnd w:id="665"/>
    </w:p>
    <w:p w14:paraId="4BB884D8" w14:textId="77777777" w:rsidR="00320458" w:rsidRPr="00320458" w:rsidRDefault="00320458" w:rsidP="00320458">
      <w:pPr>
        <w:pStyle w:val="EndNoteBibliography"/>
        <w:spacing w:after="0"/>
        <w:ind w:left="720" w:hanging="720"/>
      </w:pPr>
      <w:bookmarkStart w:id="666" w:name="_ENREF_111"/>
      <w:r w:rsidRPr="00320458">
        <w:t xml:space="preserve">Nanda, RH, Liu, Y, Gillespie, TW, Mikell, JL, Ramalingam, SS, Fernandez, FG, Curran, WJ, Lipscomb, J &amp; Higgins, KA 2015, 'Stereotactic body radiation therapy versus no treatment for early stage non-small cell lung cancer in medically inoperable elderly patients: A National Cancer Data Base analysis', </w:t>
      </w:r>
      <w:r w:rsidRPr="00320458">
        <w:rPr>
          <w:i/>
        </w:rPr>
        <w:t>Cancer</w:t>
      </w:r>
      <w:r w:rsidRPr="00320458">
        <w:t>, vol.121(23), pp. 4222-30.</w:t>
      </w:r>
      <w:bookmarkEnd w:id="666"/>
    </w:p>
    <w:p w14:paraId="08EB000E" w14:textId="77777777" w:rsidR="00320458" w:rsidRPr="00320458" w:rsidRDefault="00320458" w:rsidP="00320458">
      <w:pPr>
        <w:pStyle w:val="EndNoteBibliography"/>
        <w:spacing w:after="0"/>
        <w:ind w:left="720" w:hanging="720"/>
      </w:pPr>
      <w:bookmarkStart w:id="667" w:name="_ENREF_112"/>
      <w:r w:rsidRPr="00320458">
        <w:t xml:space="preserve">Ni, X, Han, JQ, Ye, X &amp; Wei, ZG 2015, 'Percutaneous CT-guided microwave ablation as maintenance after first-line treatment for patients with advanced NSCLC', </w:t>
      </w:r>
      <w:r w:rsidRPr="00320458">
        <w:rPr>
          <w:i/>
        </w:rPr>
        <w:t>OncoTargets and Therapy</w:t>
      </w:r>
      <w:r w:rsidRPr="00320458">
        <w:t>, vol.8pp. 3227-35.</w:t>
      </w:r>
      <w:bookmarkEnd w:id="667"/>
    </w:p>
    <w:p w14:paraId="23756928" w14:textId="77777777" w:rsidR="00320458" w:rsidRPr="00320458" w:rsidRDefault="00320458" w:rsidP="00320458">
      <w:pPr>
        <w:pStyle w:val="EndNoteBibliography"/>
        <w:spacing w:after="0"/>
        <w:ind w:left="720" w:hanging="720"/>
      </w:pPr>
      <w:bookmarkStart w:id="668" w:name="_ENREF_113"/>
      <w:r w:rsidRPr="00320458">
        <w:t xml:space="preserve">Norihisa, Y, Nagata, Y, Takayama, K, Matsuo, Y, Sakamoto, T, Sakamoto, M, Mizowaki, T, Yano, S &amp; Hiraoka, M 2008, 'Stereotactic body radiotherapy for oligometastatic lung tumors', </w:t>
      </w:r>
      <w:r w:rsidRPr="00320458">
        <w:rPr>
          <w:i/>
        </w:rPr>
        <w:t>Int J Radiat Oncol Biol Phys</w:t>
      </w:r>
      <w:r w:rsidRPr="00320458">
        <w:t>, vol.72(2), pp. 398-403.</w:t>
      </w:r>
      <w:bookmarkEnd w:id="668"/>
    </w:p>
    <w:p w14:paraId="53E7C71B" w14:textId="77777777" w:rsidR="00320458" w:rsidRPr="00320458" w:rsidRDefault="00320458" w:rsidP="00320458">
      <w:pPr>
        <w:pStyle w:val="EndNoteBibliography"/>
        <w:spacing w:after="0"/>
        <w:ind w:left="720" w:hanging="720"/>
      </w:pPr>
      <w:bookmarkStart w:id="669" w:name="_ENREF_114"/>
      <w:r w:rsidRPr="00320458">
        <w:lastRenderedPageBreak/>
        <w:t xml:space="preserve">Nour-Eldin, NE, Naguib, NN, Tawfik, AM, Koitka, K, Saeed, AS &amp; Vogl, TJ 2011, 'Outcomes of an algorithmic approach to management of pneumothorax complicating thermal ablation of pulmonary neoplasms', </w:t>
      </w:r>
      <w:r w:rsidRPr="00320458">
        <w:rPr>
          <w:i/>
        </w:rPr>
        <w:t>J Vasc Interv Radiol</w:t>
      </w:r>
      <w:r w:rsidRPr="00320458">
        <w:t>, vol.22(9), pp. 1279-86.</w:t>
      </w:r>
      <w:bookmarkEnd w:id="669"/>
    </w:p>
    <w:p w14:paraId="2571241E" w14:textId="77777777" w:rsidR="00320458" w:rsidRPr="00320458" w:rsidRDefault="00320458" w:rsidP="00320458">
      <w:pPr>
        <w:pStyle w:val="EndNoteBibliography"/>
        <w:spacing w:after="0"/>
        <w:ind w:left="720" w:hanging="720"/>
      </w:pPr>
      <w:bookmarkStart w:id="670" w:name="_ENREF_115"/>
      <w:r w:rsidRPr="00320458">
        <w:t xml:space="preserve">Okuma, T, Matsuoka, T, Yamamoto, A, Oyama, Y, Hamamoto, S, Toyoshima, M, Nakamura, K &amp; Miki, Y 2010, 'Determinants of local progression after computed tomography-guided percutaneous radiofrequency ablation for unresectable lung tumors: 9-year experience in a single institution', </w:t>
      </w:r>
      <w:r w:rsidRPr="00320458">
        <w:rPr>
          <w:i/>
        </w:rPr>
        <w:t>Cardiovasc Intervent Radiol</w:t>
      </w:r>
      <w:r w:rsidRPr="00320458">
        <w:t>, vol.33(4), pp. 787-93.</w:t>
      </w:r>
      <w:bookmarkEnd w:id="670"/>
    </w:p>
    <w:p w14:paraId="06F938A8" w14:textId="77777777" w:rsidR="00320458" w:rsidRPr="00320458" w:rsidRDefault="00320458" w:rsidP="00320458">
      <w:pPr>
        <w:pStyle w:val="EndNoteBibliography"/>
        <w:spacing w:after="0"/>
        <w:ind w:left="720" w:hanging="720"/>
      </w:pPr>
      <w:bookmarkStart w:id="671" w:name="_ENREF_116"/>
      <w:r w:rsidRPr="00320458">
        <w:t xml:space="preserve">Ong, SL, Gravante, G, Metcalfe, MS, Strickland, AD, Dennison, AR &amp; Lloyd, DM 2009, 'Efficacy and safety of microwave ablation for primary and secondary liver malignancies: a systematic review', </w:t>
      </w:r>
      <w:r w:rsidRPr="00320458">
        <w:rPr>
          <w:i/>
        </w:rPr>
        <w:t>Eur J Gastroenterol Hepatol</w:t>
      </w:r>
      <w:r w:rsidRPr="00320458">
        <w:t>, vol.21(6), pp. 599-605.</w:t>
      </w:r>
      <w:bookmarkEnd w:id="671"/>
    </w:p>
    <w:p w14:paraId="561C50ED" w14:textId="77777777" w:rsidR="00320458" w:rsidRPr="00320458" w:rsidRDefault="00320458" w:rsidP="00320458">
      <w:pPr>
        <w:pStyle w:val="EndNoteBibliography"/>
        <w:spacing w:after="0"/>
        <w:ind w:left="720" w:hanging="720"/>
      </w:pPr>
      <w:bookmarkStart w:id="672" w:name="_ENREF_117"/>
      <w:r w:rsidRPr="00320458">
        <w:t xml:space="preserve">Pearson, FG 1994, 'Current status of surgical resection for lung cancer', </w:t>
      </w:r>
      <w:r w:rsidRPr="00320458">
        <w:rPr>
          <w:i/>
        </w:rPr>
        <w:t>Chest</w:t>
      </w:r>
      <w:r w:rsidRPr="00320458">
        <w:t>, vol.106(6 Suppl), pp. 337s-39s.</w:t>
      </w:r>
      <w:bookmarkEnd w:id="672"/>
    </w:p>
    <w:p w14:paraId="2A3F8184" w14:textId="77777777" w:rsidR="00320458" w:rsidRPr="00320458" w:rsidRDefault="00320458" w:rsidP="00320458">
      <w:pPr>
        <w:pStyle w:val="EndNoteBibliography"/>
        <w:spacing w:after="0"/>
        <w:ind w:left="720" w:hanging="720"/>
      </w:pPr>
      <w:bookmarkStart w:id="673" w:name="_ENREF_118"/>
      <w:r w:rsidRPr="00320458">
        <w:t xml:space="preserve">Pfannschmidt, J, Dienemann, H &amp; Hoffmann, H 2007, 'Surgical resection of pulmonary metastases from colorectal cancer: a systematic review of published series', </w:t>
      </w:r>
      <w:r w:rsidRPr="00320458">
        <w:rPr>
          <w:i/>
        </w:rPr>
        <w:t>Ann Thorac Surg</w:t>
      </w:r>
      <w:r w:rsidRPr="00320458">
        <w:t>, vol.84(1), pp. 324-38.</w:t>
      </w:r>
      <w:bookmarkEnd w:id="673"/>
    </w:p>
    <w:p w14:paraId="30AD82FC" w14:textId="77777777" w:rsidR="00320458" w:rsidRPr="00320458" w:rsidRDefault="00320458" w:rsidP="00320458">
      <w:pPr>
        <w:pStyle w:val="EndNoteBibliography"/>
        <w:spacing w:after="0"/>
        <w:ind w:left="720" w:hanging="720"/>
      </w:pPr>
      <w:bookmarkStart w:id="674" w:name="_ENREF_119"/>
      <w:r w:rsidRPr="00320458">
        <w:t xml:space="preserve">Porter, GA, Cantor, SB, Walsh, GL, Rusch, VW, Leung, DH, DeJesus, AY, Pollock, RE, Brennan, MF &amp; Pisters, PW 2004, 'Cost-effectiveness of pulmonary resection and systemic chemotherapy in the management of metastatic soft tissue sarcoma: a combined analysis from the University of Texas M. D. Anderson and Memorial Sloan-Kettering Cancer Centers', </w:t>
      </w:r>
      <w:r w:rsidRPr="00320458">
        <w:rPr>
          <w:i/>
        </w:rPr>
        <w:t>J Thorac Cardiovasc Surg</w:t>
      </w:r>
      <w:r w:rsidRPr="00320458">
        <w:t>, vol.127(5), pp. 1366-72.</w:t>
      </w:r>
      <w:bookmarkEnd w:id="674"/>
    </w:p>
    <w:p w14:paraId="40EDB9A2" w14:textId="77777777" w:rsidR="00320458" w:rsidRPr="00320458" w:rsidRDefault="00320458" w:rsidP="00320458">
      <w:pPr>
        <w:pStyle w:val="EndNoteBibliography"/>
        <w:spacing w:after="0"/>
        <w:ind w:left="720" w:hanging="720"/>
      </w:pPr>
      <w:bookmarkStart w:id="675" w:name="_ENREF_120"/>
      <w:r w:rsidRPr="00320458">
        <w:t xml:space="preserve">Price, A, Yellowlees, A, Keerie, C, Russell, S, Faivre-Finn, C, Gilligan, D, Snee, M, Skailes, G, Hatton, M, Erridge, S &amp; Mohammed, N 2012, 'Radical radiotherapy with or without gemcitabine in patients with early stage medically inoperable non-small cell lung cancer', </w:t>
      </w:r>
      <w:r w:rsidRPr="00320458">
        <w:rPr>
          <w:i/>
        </w:rPr>
        <w:t>Lung Cancer</w:t>
      </w:r>
      <w:r w:rsidRPr="00320458">
        <w:t>, vol.77(3), pp. 532-6.</w:t>
      </w:r>
      <w:bookmarkEnd w:id="675"/>
    </w:p>
    <w:p w14:paraId="7F0C488B" w14:textId="482F227D" w:rsidR="00320458" w:rsidRPr="00320458" w:rsidRDefault="00320458" w:rsidP="00320458">
      <w:pPr>
        <w:pStyle w:val="EndNoteBibliography"/>
        <w:spacing w:after="0"/>
        <w:ind w:left="720" w:hanging="720"/>
      </w:pPr>
      <w:bookmarkStart w:id="676" w:name="_ENREF_121"/>
      <w:r w:rsidRPr="00320458">
        <w:t xml:space="preserve">Private Healthcare Australia 2016, </w:t>
      </w:r>
      <w:r w:rsidRPr="00320458">
        <w:rPr>
          <w:i/>
        </w:rPr>
        <w:t>Private Health Insurance Membership – June 2015</w:t>
      </w:r>
      <w:r w:rsidRPr="00320458">
        <w:t>, viewed 30 August 2016, &lt;</w:t>
      </w:r>
      <w:hyperlink r:id="rId70" w:history="1">
        <w:r w:rsidR="006841FB">
          <w:rPr>
            <w:rStyle w:val="Hyperlink"/>
          </w:rPr>
          <w:t>www.privatehealthcareaustralia.org.au&gt;</w:t>
        </w:r>
      </w:hyperlink>
      <w:r w:rsidRPr="00320458">
        <w:t>.</w:t>
      </w:r>
      <w:bookmarkEnd w:id="676"/>
    </w:p>
    <w:p w14:paraId="62E03114" w14:textId="77777777" w:rsidR="00320458" w:rsidRPr="00320458" w:rsidRDefault="00320458" w:rsidP="00320458">
      <w:pPr>
        <w:pStyle w:val="EndNoteBibliography"/>
        <w:spacing w:after="0"/>
        <w:ind w:left="720" w:hanging="720"/>
      </w:pPr>
      <w:bookmarkStart w:id="677" w:name="_ENREF_122"/>
      <w:r w:rsidRPr="00320458">
        <w:t xml:space="preserve">Puri, V, Crabtree, TD, Kymes, S, Gregory, M, Bell, J, Bradley, JD, Robinson, C, Patterson, GA, Kreisel, D, Krupnick, AS &amp; Meyers, BF 2012, 'A comparison of surgical intervention and stereotactic body radiation therapy for stage I lung cancer in high-risk patients: a decision analysis', </w:t>
      </w:r>
      <w:r w:rsidRPr="00320458">
        <w:rPr>
          <w:i/>
        </w:rPr>
        <w:t>J Thorac Cardiovasc Surg</w:t>
      </w:r>
      <w:r w:rsidRPr="00320458">
        <w:t>, vol.143(2), pp. 428-36.</w:t>
      </w:r>
      <w:bookmarkEnd w:id="677"/>
    </w:p>
    <w:p w14:paraId="06FF0421" w14:textId="77777777" w:rsidR="00320458" w:rsidRPr="00320458" w:rsidRDefault="00320458" w:rsidP="00320458">
      <w:pPr>
        <w:pStyle w:val="EndNoteBibliography"/>
        <w:spacing w:after="0"/>
        <w:ind w:left="720" w:hanging="720"/>
      </w:pPr>
      <w:bookmarkStart w:id="678" w:name="_ENREF_123"/>
      <w:r w:rsidRPr="00320458">
        <w:t xml:space="preserve">Qi, H, Wan, C, Li, X, Zhang, L, Song, Z &amp; Fan, W 2015, 'Computed tomography-guided percutaneous microwave ablation treatment for lung metastases from nasopharyngeal carcinoma', </w:t>
      </w:r>
      <w:r w:rsidRPr="00320458">
        <w:rPr>
          <w:i/>
        </w:rPr>
        <w:t>Indian Journal of Cancer</w:t>
      </w:r>
      <w:r w:rsidRPr="00320458">
        <w:t>, vol.52(6), pp. e91-e95.</w:t>
      </w:r>
      <w:bookmarkEnd w:id="678"/>
    </w:p>
    <w:p w14:paraId="162A4EA7" w14:textId="77777777" w:rsidR="00320458" w:rsidRPr="00320458" w:rsidRDefault="00320458" w:rsidP="00320458">
      <w:pPr>
        <w:pStyle w:val="EndNoteBibliography"/>
        <w:spacing w:after="0"/>
        <w:ind w:left="720" w:hanging="720"/>
      </w:pPr>
      <w:bookmarkStart w:id="679" w:name="_ENREF_124"/>
      <w:r w:rsidRPr="00320458">
        <w:t xml:space="preserve">Renaud, S, Alifano, M, Falcoz, PE, Magdeleinat, P, Santelmo, N, Pages, O, Massard, G &amp; Regnard, JF 2014, 'Does nodal status influence survival? Results of a 19-year systematic lymphadenectomy experience during lung metastasectomy of colorectal cancer', </w:t>
      </w:r>
      <w:r w:rsidRPr="00320458">
        <w:rPr>
          <w:i/>
        </w:rPr>
        <w:t>Interact Cardiovasc Thorac Surg</w:t>
      </w:r>
      <w:r w:rsidRPr="00320458">
        <w:t>, vol.18(4), pp. 482-7.</w:t>
      </w:r>
      <w:bookmarkEnd w:id="679"/>
    </w:p>
    <w:p w14:paraId="08807F46" w14:textId="77777777" w:rsidR="00320458" w:rsidRPr="00320458" w:rsidRDefault="00320458" w:rsidP="00320458">
      <w:pPr>
        <w:pStyle w:val="EndNoteBibliography"/>
        <w:spacing w:after="0"/>
        <w:ind w:left="720" w:hanging="720"/>
      </w:pPr>
      <w:bookmarkStart w:id="680" w:name="_ENREF_125"/>
      <w:r w:rsidRPr="00320458">
        <w:t xml:space="preserve">Reza, J, Sammann, A, Jin, C, Horvai, A, Hudnall, M, Jablons, DM, Jahan, T, Kornak, J &amp; Mann, MJ 2014, 'Aggressive and minimally invasive surgery for pulmonary metastasis of sarcoma', </w:t>
      </w:r>
      <w:r w:rsidRPr="00320458">
        <w:rPr>
          <w:i/>
        </w:rPr>
        <w:t>J Thorac Cardiovasc Surg</w:t>
      </w:r>
      <w:r w:rsidRPr="00320458">
        <w:t>, vol.147(4), pp. 1193-200; discussion 200-1.</w:t>
      </w:r>
      <w:bookmarkEnd w:id="680"/>
    </w:p>
    <w:p w14:paraId="799A5EB5" w14:textId="77777777" w:rsidR="00320458" w:rsidRPr="00320458" w:rsidRDefault="00320458" w:rsidP="00320458">
      <w:pPr>
        <w:pStyle w:val="EndNoteBibliography"/>
        <w:spacing w:after="0"/>
        <w:ind w:left="720" w:hanging="720"/>
      </w:pPr>
      <w:bookmarkStart w:id="681" w:name="_ENREF_126"/>
      <w:r w:rsidRPr="00320458">
        <w:lastRenderedPageBreak/>
        <w:t xml:space="preserve">Ridge, CA, Silk, M, Petre, EN, Erinjeri, JP, Alago, W, Downey, RJ, Sofocleous, CT, Thornton, RH &amp; Solomon, SB 2014, 'Radiofrequency ablation of T1 lung carcinoma: Comparison of outcomes for first primary, metachronous, and synchronous lung tumors', </w:t>
      </w:r>
      <w:r w:rsidRPr="00320458">
        <w:rPr>
          <w:i/>
        </w:rPr>
        <w:t>Journal of Vascular and Interventional Radiology</w:t>
      </w:r>
      <w:r w:rsidRPr="00320458">
        <w:t>, vol.25(7), pp. 989-96.</w:t>
      </w:r>
      <w:bookmarkEnd w:id="681"/>
    </w:p>
    <w:p w14:paraId="7C12D969" w14:textId="77777777" w:rsidR="00320458" w:rsidRPr="00320458" w:rsidRDefault="00320458" w:rsidP="00320458">
      <w:pPr>
        <w:pStyle w:val="EndNoteBibliography"/>
        <w:spacing w:after="0"/>
        <w:ind w:left="720" w:hanging="720"/>
      </w:pPr>
      <w:bookmarkStart w:id="682" w:name="_ENREF_127"/>
      <w:r w:rsidRPr="00320458">
        <w:t xml:space="preserve">Rodriguez-Fuster, A, Belda-Sanchis, J, Aguilo, R, Embun, R, Mojal, S, Call, S, Molins, L &amp; Rivas de Andres, JJ 2014, 'Morbidity and mortality in a large series of surgical patients with pulmonary metastases of colorectal carcinoma: a prospective multicentre Spanish study (GECMP-CCR-SEPAR)', </w:t>
      </w:r>
      <w:r w:rsidRPr="00320458">
        <w:rPr>
          <w:i/>
        </w:rPr>
        <w:t>Eur J Cardiothorac Surg</w:t>
      </w:r>
      <w:r w:rsidRPr="00320458">
        <w:t>, vol.45(4), pp. 671-6.</w:t>
      </w:r>
      <w:bookmarkEnd w:id="682"/>
    </w:p>
    <w:p w14:paraId="01D05A69" w14:textId="205A082E" w:rsidR="00320458" w:rsidRPr="00320458" w:rsidRDefault="00320458" w:rsidP="00320458">
      <w:pPr>
        <w:pStyle w:val="EndNoteBibliography"/>
        <w:spacing w:after="0"/>
        <w:ind w:left="720" w:hanging="720"/>
      </w:pPr>
      <w:bookmarkStart w:id="683" w:name="_ENREF_128"/>
      <w:r w:rsidRPr="00320458">
        <w:t xml:space="preserve">Royal Australian and New Zealand College of Radiologists (RANZCR) 2016, </w:t>
      </w:r>
      <w:r w:rsidRPr="00320458">
        <w:rPr>
          <w:i/>
        </w:rPr>
        <w:t>Response to MBS Consultation Paper. Faculty of Radiation Oncology, November 2015</w:t>
      </w:r>
      <w:r w:rsidRPr="00320458">
        <w:t>, viewed 31 August 2016, &lt;</w:t>
      </w:r>
      <w:hyperlink r:id="rId71" w:history="1">
        <w:r w:rsidR="00090D99">
          <w:rPr>
            <w:rStyle w:val="Hyperlink"/>
          </w:rPr>
          <w:t>google search result</w:t>
        </w:r>
      </w:hyperlink>
      <w:r w:rsidR="00090D99">
        <w:rPr>
          <w:rStyle w:val="Hyperlink"/>
        </w:rPr>
        <w:t>&gt;</w:t>
      </w:r>
      <w:r w:rsidRPr="00320458">
        <w:t>.</w:t>
      </w:r>
      <w:bookmarkEnd w:id="683"/>
    </w:p>
    <w:p w14:paraId="25CEBD47" w14:textId="77777777" w:rsidR="00320458" w:rsidRPr="00320458" w:rsidRDefault="00320458" w:rsidP="00320458">
      <w:pPr>
        <w:pStyle w:val="EndNoteBibliography"/>
        <w:spacing w:after="0"/>
        <w:ind w:left="720" w:hanging="720"/>
      </w:pPr>
      <w:bookmarkStart w:id="684" w:name="_ENREF_129"/>
      <w:r w:rsidRPr="00320458">
        <w:t xml:space="preserve">Rusthoven, KE, Kavanagh, BD, Burri, SH, Chen, C, Cardenes, H, Chidel, MA, Pugh, TJ, Kane, M, Gaspar, LE &amp; Schefter, TE 2009, 'Multi-institutional phase I/II trial of stereotactic body radiation therapy for lung metastases', </w:t>
      </w:r>
      <w:r w:rsidRPr="00320458">
        <w:rPr>
          <w:i/>
        </w:rPr>
        <w:t>J Clin Oncol</w:t>
      </w:r>
      <w:r w:rsidRPr="00320458">
        <w:t>, vol.27(10), pp. 1579-84.</w:t>
      </w:r>
      <w:bookmarkEnd w:id="684"/>
    </w:p>
    <w:p w14:paraId="2E2A698E" w14:textId="77777777" w:rsidR="00320458" w:rsidRPr="00320458" w:rsidRDefault="00320458" w:rsidP="00320458">
      <w:pPr>
        <w:pStyle w:val="EndNoteBibliography"/>
        <w:spacing w:after="0"/>
        <w:ind w:left="720" w:hanging="720"/>
      </w:pPr>
      <w:bookmarkStart w:id="685" w:name="_ENREF_130"/>
      <w:r w:rsidRPr="00320458">
        <w:t xml:space="preserve">Safi, S, Rauch, G, Op Den Winkel, J, Kunz, J, Schneider, T, Bischof, M, Heussel, CP, Huber, PE, Herth, FJF, Dienemann, H &amp; Hoffmann, H 2015, 'Sublobar Resection, Radiofrequency Ablation or Radiotherapy in Stage i Non-Small Cell Lung Cancer', </w:t>
      </w:r>
      <w:r w:rsidRPr="00320458">
        <w:rPr>
          <w:i/>
        </w:rPr>
        <w:t>Respiration</w:t>
      </w:r>
      <w:r w:rsidRPr="00320458">
        <w:t>, vol.89(6), pp. 550-57.</w:t>
      </w:r>
      <w:bookmarkEnd w:id="685"/>
    </w:p>
    <w:p w14:paraId="6B210D73" w14:textId="77777777" w:rsidR="00320458" w:rsidRPr="00320458" w:rsidRDefault="00320458" w:rsidP="00320458">
      <w:pPr>
        <w:pStyle w:val="EndNoteBibliography"/>
        <w:spacing w:after="0"/>
        <w:ind w:left="720" w:hanging="720"/>
      </w:pPr>
      <w:bookmarkStart w:id="686" w:name="_ENREF_131"/>
      <w:r w:rsidRPr="00320458">
        <w:t xml:space="preserve">Schneider, T, Heussel, CP, Herth, FJ &amp; Dienemann, H 2013, 'Thermal ablation of malignant lung tumors', </w:t>
      </w:r>
      <w:r w:rsidRPr="00320458">
        <w:rPr>
          <w:i/>
        </w:rPr>
        <w:t>Dtsch Arztebl Int</w:t>
      </w:r>
      <w:r w:rsidRPr="00320458">
        <w:t>, vol.110(22), pp. 394-400.</w:t>
      </w:r>
      <w:bookmarkEnd w:id="686"/>
    </w:p>
    <w:p w14:paraId="07A656C3" w14:textId="77777777" w:rsidR="00320458" w:rsidRPr="00320458" w:rsidRDefault="00320458" w:rsidP="00320458">
      <w:pPr>
        <w:pStyle w:val="EndNoteBibliography"/>
        <w:spacing w:after="0"/>
        <w:ind w:left="720" w:hanging="720"/>
      </w:pPr>
      <w:bookmarkStart w:id="687" w:name="_ENREF_132"/>
      <w:r w:rsidRPr="00320458">
        <w:t xml:space="preserve">Schutt, DJ, Swindle, MM, Bastarrika, GA &amp; Haemmerich, D 2009, 'Sequential activation of ground pads reduces skin heating during radiofrequency ablation: initial in vivo porcine results', </w:t>
      </w:r>
      <w:r w:rsidRPr="00320458">
        <w:rPr>
          <w:i/>
        </w:rPr>
        <w:t>Conf Proc IEEE Eng Med Biol Soc</w:t>
      </w:r>
      <w:r w:rsidRPr="00320458">
        <w:t>, vol.2009pp. 4287-90.</w:t>
      </w:r>
      <w:bookmarkEnd w:id="687"/>
    </w:p>
    <w:p w14:paraId="48AA96EE" w14:textId="77777777" w:rsidR="00320458" w:rsidRPr="00320458" w:rsidRDefault="00320458" w:rsidP="00320458">
      <w:pPr>
        <w:pStyle w:val="EndNoteBibliography"/>
        <w:spacing w:after="0"/>
        <w:ind w:left="720" w:hanging="720"/>
      </w:pPr>
      <w:bookmarkStart w:id="688" w:name="_ENREF_133"/>
      <w:r w:rsidRPr="00320458">
        <w:t xml:space="preserve">Sclafani, F, Incarbone, M, Rimassa, L, Personeni, N, Giordano, L, Alloisio, M &amp; Santoro, A 2013, 'The role of hepatic metastases and pulmonary tumor burden in predicting survival after complete pulmonary resection for colorectal cancer', </w:t>
      </w:r>
      <w:r w:rsidRPr="00320458">
        <w:rPr>
          <w:i/>
        </w:rPr>
        <w:t>J Thorac Cardiovasc Surg</w:t>
      </w:r>
      <w:r w:rsidRPr="00320458">
        <w:t>, vol.145(1), pp. 97-103.</w:t>
      </w:r>
      <w:bookmarkEnd w:id="688"/>
    </w:p>
    <w:p w14:paraId="2D04608D" w14:textId="77777777" w:rsidR="00320458" w:rsidRPr="00320458" w:rsidRDefault="00320458" w:rsidP="00320458">
      <w:pPr>
        <w:pStyle w:val="EndNoteBibliography"/>
        <w:spacing w:after="0"/>
        <w:ind w:left="720" w:hanging="720"/>
      </w:pPr>
      <w:bookmarkStart w:id="689" w:name="_ENREF_134"/>
      <w:r w:rsidRPr="00320458">
        <w:t xml:space="preserve">Seki, T, Tamai, T, Nakagawa, T, Imamura, M, Nishimura, A, Yamashiki, N, Ikeda, K &amp; Inoue, K 2000, 'Combination therapy with transcatheter arterial chemoembolization and percutaneous microwave coagulation therapy for hepatocellular carcinoma', </w:t>
      </w:r>
      <w:r w:rsidRPr="00320458">
        <w:rPr>
          <w:i/>
        </w:rPr>
        <w:t>Cancer</w:t>
      </w:r>
      <w:r w:rsidRPr="00320458">
        <w:t>, vol.89(6), pp. 1245-51.</w:t>
      </w:r>
      <w:bookmarkEnd w:id="689"/>
    </w:p>
    <w:p w14:paraId="33811C7A" w14:textId="77777777" w:rsidR="00320458" w:rsidRPr="00320458" w:rsidRDefault="00320458" w:rsidP="00320458">
      <w:pPr>
        <w:pStyle w:val="EndNoteBibliography"/>
        <w:spacing w:after="0"/>
        <w:ind w:left="720" w:hanging="720"/>
      </w:pPr>
      <w:bookmarkStart w:id="690" w:name="_ENREF_135"/>
      <w:r w:rsidRPr="00320458">
        <w:t xml:space="preserve">Seo, JB, Im, JG, Goo, JM, Chung, MJ &amp; Kim, MY 2001, 'Atypical pulmonary metastases: spectrum of radiologic findings', </w:t>
      </w:r>
      <w:r w:rsidRPr="00320458">
        <w:rPr>
          <w:i/>
        </w:rPr>
        <w:t>Radiographics</w:t>
      </w:r>
      <w:r w:rsidRPr="00320458">
        <w:t>, vol.21(2), pp. 403-17.</w:t>
      </w:r>
      <w:bookmarkEnd w:id="690"/>
    </w:p>
    <w:p w14:paraId="4E956341" w14:textId="77777777" w:rsidR="00320458" w:rsidRPr="00320458" w:rsidRDefault="00320458" w:rsidP="00320458">
      <w:pPr>
        <w:pStyle w:val="EndNoteBibliography"/>
        <w:spacing w:after="0"/>
        <w:ind w:left="720" w:hanging="720"/>
      </w:pPr>
      <w:bookmarkStart w:id="691" w:name="_ENREF_136"/>
      <w:r w:rsidRPr="00320458">
        <w:t xml:space="preserve">Shah, M, Dowdy, D, Joloba, M, Ssengooba, W, Manabe, YC, Ellner, J &amp; Dorman, SE 2013, 'Cost-effectiveness of novel algorithms for rapid diagnosis of tuberculosis in HIV-infected individuals in Uganda', </w:t>
      </w:r>
      <w:r w:rsidRPr="00320458">
        <w:rPr>
          <w:i/>
        </w:rPr>
        <w:t>AIDS</w:t>
      </w:r>
      <w:r w:rsidRPr="00320458">
        <w:t>, vol.27(18), pp. 2883-92.</w:t>
      </w:r>
      <w:bookmarkEnd w:id="691"/>
    </w:p>
    <w:p w14:paraId="6311ECD8" w14:textId="77777777" w:rsidR="00320458" w:rsidRPr="00320458" w:rsidRDefault="00320458" w:rsidP="00320458">
      <w:pPr>
        <w:pStyle w:val="EndNoteBibliography"/>
        <w:spacing w:after="0"/>
        <w:ind w:left="720" w:hanging="720"/>
      </w:pPr>
      <w:bookmarkStart w:id="692" w:name="_ENREF_137"/>
      <w:r w:rsidRPr="00320458">
        <w:t xml:space="preserve">Shea, B, Grimshaw, JM, Wells, GA, Boers, M, Hamel, NAC, Porter, AC, Tugwell, P, Moher, D &amp; Bouter, LM 2007, 'Development of AMSTAR: a measurement tool to assess the methodological quality of systematic reviews', </w:t>
      </w:r>
      <w:r w:rsidRPr="00320458">
        <w:rPr>
          <w:i/>
        </w:rPr>
        <w:t>BMC Medical Research Methodology</w:t>
      </w:r>
      <w:r w:rsidRPr="00320458">
        <w:t>, vol.7(10), pp. doi:10.1186/471-2288-7-10.</w:t>
      </w:r>
      <w:bookmarkEnd w:id="692"/>
    </w:p>
    <w:p w14:paraId="4B550350" w14:textId="77777777" w:rsidR="00320458" w:rsidRPr="00320458" w:rsidRDefault="00320458" w:rsidP="00320458">
      <w:pPr>
        <w:pStyle w:val="EndNoteBibliography"/>
        <w:spacing w:after="0"/>
        <w:ind w:left="720" w:hanging="720"/>
      </w:pPr>
      <w:bookmarkStart w:id="693" w:name="_ENREF_138"/>
      <w:r w:rsidRPr="00320458">
        <w:lastRenderedPageBreak/>
        <w:t xml:space="preserve">Sher, DJ, Wee, JO &amp; Punglia, RS 2011, 'Cost-effectiveness analysis of stereotactic body radiotherapy and radiofrequency ablation for medically inoperable, early-stage non-small cell lung cancer', </w:t>
      </w:r>
      <w:r w:rsidRPr="00320458">
        <w:rPr>
          <w:i/>
        </w:rPr>
        <w:t>Int J Radiat Oncol Biol Phys</w:t>
      </w:r>
      <w:r w:rsidRPr="00320458">
        <w:t>, vol.81(5), pp. e767-74.</w:t>
      </w:r>
      <w:bookmarkEnd w:id="693"/>
    </w:p>
    <w:p w14:paraId="7CAD943C" w14:textId="77777777" w:rsidR="00320458" w:rsidRPr="00320458" w:rsidRDefault="00320458" w:rsidP="00320458">
      <w:pPr>
        <w:pStyle w:val="EndNoteBibliography"/>
        <w:spacing w:after="0"/>
        <w:ind w:left="720" w:hanging="720"/>
      </w:pPr>
      <w:bookmarkStart w:id="694" w:name="_ENREF_139"/>
      <w:r w:rsidRPr="00320458">
        <w:t xml:space="preserve">Shirvani, SM, Jiang, J, Chang, JY, Welsh, JW, Gomez, DR, Swisher, S, Buchholz, TA &amp; Smith, BD 2012, 'Comparative Effectiveness of Five Treatment Strategies for Early-Stage Non-Small Cell Lung Cancer in the Elderly', </w:t>
      </w:r>
      <w:r w:rsidRPr="00320458">
        <w:rPr>
          <w:i/>
        </w:rPr>
        <w:t>Int J Radiat Oncol Biol Phys</w:t>
      </w:r>
      <w:r w:rsidRPr="00320458">
        <w:t>, vol.84(5), pp. 1060-70.</w:t>
      </w:r>
      <w:bookmarkEnd w:id="694"/>
    </w:p>
    <w:p w14:paraId="27088B9C" w14:textId="77777777" w:rsidR="00320458" w:rsidRPr="00320458" w:rsidRDefault="00320458" w:rsidP="00320458">
      <w:pPr>
        <w:pStyle w:val="EndNoteBibliography"/>
        <w:spacing w:after="0"/>
        <w:ind w:left="720" w:hanging="720"/>
      </w:pPr>
      <w:bookmarkStart w:id="695" w:name="_ENREF_140"/>
      <w:r w:rsidRPr="00320458">
        <w:t xml:space="preserve">Shukla, N, Wickramasuriya, R., Miller, A. &amp; Perez, P., 2015, 'Population accessibility to radiotherapy services in New South Wales Region of Australia: a methodological contribution. ', </w:t>
      </w:r>
      <w:r w:rsidRPr="00320458">
        <w:rPr>
          <w:i/>
        </w:rPr>
        <w:t>Journal of Physics</w:t>
      </w:r>
      <w:r w:rsidRPr="00320458">
        <w:t>, vol.Conference Series(616 012004-1-012004-9), pp. unknown.</w:t>
      </w:r>
      <w:bookmarkEnd w:id="695"/>
    </w:p>
    <w:p w14:paraId="319F6713" w14:textId="77777777" w:rsidR="00320458" w:rsidRPr="00320458" w:rsidRDefault="00320458" w:rsidP="00320458">
      <w:pPr>
        <w:pStyle w:val="EndNoteBibliography"/>
        <w:spacing w:after="0"/>
        <w:ind w:left="720" w:hanging="720"/>
      </w:pPr>
      <w:bookmarkStart w:id="696" w:name="_ENREF_141"/>
      <w:r w:rsidRPr="00320458">
        <w:t xml:space="preserve">Siebert, U, Rochau, U &amp; Claxton, K 2013, 'When is enough evidence enough? - Using systematic decision analysis and value-of-information analysis to determine the need for further evidence', </w:t>
      </w:r>
      <w:r w:rsidRPr="00320458">
        <w:rPr>
          <w:i/>
        </w:rPr>
        <w:t>Z Evid Fortbild Qual Gesundhwes</w:t>
      </w:r>
      <w:r w:rsidRPr="00320458">
        <w:t>, vol.107(9-10), pp. 575-84.</w:t>
      </w:r>
      <w:bookmarkEnd w:id="696"/>
    </w:p>
    <w:p w14:paraId="4CCCB4E8" w14:textId="77777777" w:rsidR="00320458" w:rsidRPr="00320458" w:rsidRDefault="00320458" w:rsidP="00320458">
      <w:pPr>
        <w:pStyle w:val="EndNoteBibliography"/>
        <w:spacing w:after="0"/>
        <w:ind w:left="720" w:hanging="720"/>
      </w:pPr>
      <w:bookmarkStart w:id="697" w:name="_ENREF_142"/>
      <w:r w:rsidRPr="00320458">
        <w:t xml:space="preserve">Simon, CJ, Dupuy, DE, DiPetrillo, TA, Safran, HP, Grieco, CA, Ng, T &amp; Mayo-Smith, WW 2007, 'Pulmonary radiofrequency ablation: Long-term safety and efficacy in 153 patients', </w:t>
      </w:r>
      <w:r w:rsidRPr="00320458">
        <w:rPr>
          <w:i/>
        </w:rPr>
        <w:t>Radiology</w:t>
      </w:r>
      <w:r w:rsidRPr="00320458">
        <w:t>, vol.243(1), pp. 268-75.</w:t>
      </w:r>
      <w:bookmarkEnd w:id="697"/>
    </w:p>
    <w:p w14:paraId="46E22BC3" w14:textId="77777777" w:rsidR="00320458" w:rsidRPr="00320458" w:rsidRDefault="00320458" w:rsidP="00320458">
      <w:pPr>
        <w:pStyle w:val="EndNoteBibliography"/>
        <w:spacing w:after="0"/>
        <w:ind w:left="720" w:hanging="720"/>
      </w:pPr>
      <w:bookmarkStart w:id="698" w:name="_ENREF_143"/>
      <w:r w:rsidRPr="00320458">
        <w:t xml:space="preserve">Simon, CJ, Dupuy, DE &amp; Mayo-Smith, WW 2005, 'Microwave ablation: principles and applications', </w:t>
      </w:r>
      <w:r w:rsidRPr="00320458">
        <w:rPr>
          <w:i/>
        </w:rPr>
        <w:t>Radiographics</w:t>
      </w:r>
      <w:r w:rsidRPr="00320458">
        <w:t>, vol.25 Suppl 1pp. S69-83.</w:t>
      </w:r>
      <w:bookmarkEnd w:id="698"/>
    </w:p>
    <w:p w14:paraId="7EDA2408" w14:textId="77777777" w:rsidR="00320458" w:rsidRPr="00320458" w:rsidRDefault="00320458" w:rsidP="00320458">
      <w:pPr>
        <w:pStyle w:val="EndNoteBibliography"/>
        <w:spacing w:after="0"/>
        <w:ind w:left="720" w:hanging="720"/>
      </w:pPr>
      <w:bookmarkStart w:id="699" w:name="_ENREF_144"/>
      <w:r w:rsidRPr="00320458">
        <w:t xml:space="preserve">Siva, S, Kirby, K, Caine, H, Pham, D, Kron, T, Te Marvelde, L, Whalley, D, Stevens, MJ, Foroudi, F, MacManus, M, Ball, D &amp; Eade, T 2015, 'Comparison of Single-fraction and Multi-fraction Stereotactic Radiotherapy for Patients with 18F-fluorodeoxyglucose Positron Emission Tomography-staged Pulmonary Oligometastases', </w:t>
      </w:r>
      <w:r w:rsidRPr="00320458">
        <w:rPr>
          <w:i/>
        </w:rPr>
        <w:t>Clin Oncol (R Coll Radiol)</w:t>
      </w:r>
      <w:r w:rsidRPr="00320458">
        <w:t>, vol.27(6), pp. 353-61.</w:t>
      </w:r>
      <w:bookmarkEnd w:id="699"/>
    </w:p>
    <w:p w14:paraId="06D27A0A" w14:textId="77777777" w:rsidR="00320458" w:rsidRPr="00320458" w:rsidRDefault="00320458" w:rsidP="00320458">
      <w:pPr>
        <w:pStyle w:val="EndNoteBibliography"/>
        <w:spacing w:after="0"/>
        <w:ind w:left="720" w:hanging="720"/>
      </w:pPr>
      <w:bookmarkStart w:id="700" w:name="_ENREF_145"/>
      <w:r w:rsidRPr="00320458">
        <w:t xml:space="preserve">Siva, S, Kron, T, Bressel, M, Haas, M, Mai, T, Vinod, S, Sasso, G, Wong, W, Le, H, Eade, T, Hardcastle, N, Chesson, B, Pham, D, Hoyer, M, Montgomery, R &amp; Ball, D 2016, 'A randomised phase II trial of Stereotactic Ablative Fractionated radiotherapy versus Radiosurgery for Oligometastatic Neoplasia to the lung (TROG 13.01 SAFRON II)', </w:t>
      </w:r>
      <w:r w:rsidRPr="00320458">
        <w:rPr>
          <w:i/>
        </w:rPr>
        <w:t>BMC Cancer</w:t>
      </w:r>
      <w:r w:rsidRPr="00320458">
        <w:t>, vol.16pp. 183.</w:t>
      </w:r>
      <w:bookmarkEnd w:id="700"/>
    </w:p>
    <w:p w14:paraId="1DBBF3AE" w14:textId="77777777" w:rsidR="00320458" w:rsidRPr="00320458" w:rsidRDefault="00320458" w:rsidP="00320458">
      <w:pPr>
        <w:pStyle w:val="EndNoteBibliography"/>
        <w:spacing w:after="0"/>
        <w:ind w:left="720" w:hanging="720"/>
      </w:pPr>
      <w:bookmarkStart w:id="701" w:name="_ENREF_146"/>
      <w:r w:rsidRPr="00320458">
        <w:t xml:space="preserve">Smith, SL &amp; Jennings, PE 2015, 'Lung radiofrequency and microwave ablation: a review of indications, techniques and post-procedural imaging appearances', </w:t>
      </w:r>
      <w:r w:rsidRPr="00320458">
        <w:rPr>
          <w:i/>
        </w:rPr>
        <w:t>Br J Radiol</w:t>
      </w:r>
      <w:r w:rsidRPr="00320458">
        <w:t>, vol.88(1046), pp. 20140598.</w:t>
      </w:r>
      <w:bookmarkEnd w:id="701"/>
    </w:p>
    <w:p w14:paraId="1ADE6E15" w14:textId="77777777" w:rsidR="00320458" w:rsidRPr="00320458" w:rsidRDefault="00320458" w:rsidP="00320458">
      <w:pPr>
        <w:pStyle w:val="EndNoteBibliography"/>
        <w:spacing w:after="0"/>
        <w:ind w:left="720" w:hanging="720"/>
      </w:pPr>
      <w:bookmarkStart w:id="702" w:name="_ENREF_147"/>
      <w:r w:rsidRPr="00320458">
        <w:t xml:space="preserve">Splatt, AM &amp; Steinke, K 2015, 'Major complications of high-energy microwave ablation for percutaneous CT-guided treatment of lung malignancies: Single-centre experience after 4 years', </w:t>
      </w:r>
      <w:r w:rsidRPr="00320458">
        <w:rPr>
          <w:i/>
        </w:rPr>
        <w:t>J Med Imaging Radiat Oncol</w:t>
      </w:r>
      <w:r w:rsidRPr="00320458">
        <w:t>, vol.59(5), pp. 609-16.</w:t>
      </w:r>
      <w:bookmarkEnd w:id="702"/>
    </w:p>
    <w:p w14:paraId="36BEF51D" w14:textId="77777777" w:rsidR="00320458" w:rsidRPr="00320458" w:rsidRDefault="00320458" w:rsidP="00320458">
      <w:pPr>
        <w:pStyle w:val="EndNoteBibliography"/>
        <w:spacing w:after="0"/>
        <w:ind w:left="720" w:hanging="720"/>
      </w:pPr>
      <w:bookmarkStart w:id="703" w:name="_ENREF_148"/>
      <w:r w:rsidRPr="00320458">
        <w:t xml:space="preserve">Stevens, R, Macbeth, F, Toy, E, Coles, B &amp; Lester, JF 2015, 'Palliative radiotherapy regimens for patients with thoracic symptoms from non-small cell lung cancer', </w:t>
      </w:r>
      <w:r w:rsidRPr="00320458">
        <w:rPr>
          <w:i/>
        </w:rPr>
        <w:t>Cochrane Database Syst Rev</w:t>
      </w:r>
      <w:r w:rsidRPr="00320458">
        <w:t>, vol.1pp. Cd002143.</w:t>
      </w:r>
      <w:bookmarkEnd w:id="703"/>
    </w:p>
    <w:p w14:paraId="5CCD675A" w14:textId="77777777" w:rsidR="00320458" w:rsidRPr="00320458" w:rsidRDefault="00320458" w:rsidP="00320458">
      <w:pPr>
        <w:pStyle w:val="EndNoteBibliography"/>
        <w:spacing w:after="0"/>
        <w:ind w:left="720" w:hanging="720"/>
      </w:pPr>
      <w:bookmarkStart w:id="704" w:name="_ENREF_149"/>
      <w:r w:rsidRPr="00320458">
        <w:t xml:space="preserve">Sun, YH, Song, PY, Guo, Y, Pang, M, He, WN, Zhang, WH &amp; Sheng, LJ 2015a, 'Effects of microwave ablation or its combination with whole-body chemotherapy on serum vascular endothelial growth factor levels in patients with stage IIIB/IV NSCLC', </w:t>
      </w:r>
      <w:r w:rsidRPr="00320458">
        <w:rPr>
          <w:i/>
        </w:rPr>
        <w:t>Genetics and Molecular Research</w:t>
      </w:r>
      <w:r w:rsidRPr="00320458">
        <w:t>, vol.14(3), pp. 10015-25.</w:t>
      </w:r>
      <w:bookmarkEnd w:id="704"/>
    </w:p>
    <w:p w14:paraId="77B44DF2" w14:textId="77777777" w:rsidR="00320458" w:rsidRPr="00320458" w:rsidRDefault="00320458" w:rsidP="00320458">
      <w:pPr>
        <w:pStyle w:val="EndNoteBibliography"/>
        <w:spacing w:after="0"/>
        <w:ind w:left="720" w:hanging="720"/>
      </w:pPr>
      <w:bookmarkStart w:id="705" w:name="_ENREF_150"/>
      <w:r w:rsidRPr="00320458">
        <w:lastRenderedPageBreak/>
        <w:t xml:space="preserve">Sun, YH, Song, PY, Guo, Y &amp; Sheng, LJ 2015b, 'Computed tomography-guided percutaneous microwave ablation therapy for lung cancer', </w:t>
      </w:r>
      <w:r w:rsidRPr="00320458">
        <w:rPr>
          <w:i/>
        </w:rPr>
        <w:t>Genetics and Molecular Research</w:t>
      </w:r>
      <w:r w:rsidRPr="00320458">
        <w:t>, vol.14(2), pp. 4858-64.</w:t>
      </w:r>
      <w:bookmarkEnd w:id="705"/>
    </w:p>
    <w:p w14:paraId="57CEE133" w14:textId="77777777" w:rsidR="00320458" w:rsidRPr="00320458" w:rsidRDefault="00320458" w:rsidP="00320458">
      <w:pPr>
        <w:pStyle w:val="EndNoteBibliography"/>
        <w:spacing w:after="0"/>
        <w:ind w:left="720" w:hanging="720"/>
      </w:pPr>
      <w:bookmarkStart w:id="706" w:name="_ENREF_151"/>
      <w:r w:rsidRPr="00320458">
        <w:t xml:space="preserve">Swan, R-Z, Tsirline, V, Sindram, D, Martinie, J-B &amp; Iannitti, D-A 2012, 'Fundamentals of microwave physics: application to hepatic ablation', </w:t>
      </w:r>
      <w:r w:rsidRPr="00320458">
        <w:rPr>
          <w:i/>
        </w:rPr>
        <w:t>Journal of Microwave Surgery</w:t>
      </w:r>
      <w:r w:rsidRPr="00320458">
        <w:t>, vol.30pp. 25-40.</w:t>
      </w:r>
      <w:bookmarkEnd w:id="706"/>
    </w:p>
    <w:p w14:paraId="121AA36C" w14:textId="77777777" w:rsidR="00320458" w:rsidRPr="00320458" w:rsidRDefault="00320458" w:rsidP="00320458">
      <w:pPr>
        <w:pStyle w:val="EndNoteBibliography"/>
        <w:spacing w:after="0"/>
        <w:ind w:left="720" w:hanging="720"/>
      </w:pPr>
      <w:bookmarkStart w:id="707" w:name="_ENREF_152"/>
      <w:r w:rsidRPr="00320458">
        <w:t xml:space="preserve">Swan, RZ, Sindram, D, Martinie, JB &amp; Iannitti, DA 2013, 'Operative microwave ablation for hepatocellular carcinoma: complications, recurrence, and long-term outcomes', </w:t>
      </w:r>
      <w:r w:rsidRPr="00320458">
        <w:rPr>
          <w:i/>
        </w:rPr>
        <w:t>J Gastrointest Surg</w:t>
      </w:r>
      <w:r w:rsidRPr="00320458">
        <w:t>, vol.17(4), pp. 719-29.</w:t>
      </w:r>
      <w:bookmarkEnd w:id="707"/>
    </w:p>
    <w:p w14:paraId="07BF9868" w14:textId="77777777" w:rsidR="00320458" w:rsidRPr="00320458" w:rsidRDefault="00320458" w:rsidP="00320458">
      <w:pPr>
        <w:pStyle w:val="EndNoteBibliography"/>
        <w:spacing w:after="0"/>
        <w:ind w:left="720" w:hanging="720"/>
      </w:pPr>
      <w:bookmarkStart w:id="708" w:name="_ENREF_153"/>
      <w:r w:rsidRPr="00320458">
        <w:t xml:space="preserve">Tatli, S, Tapan, U, Morrison, PR &amp; Silverman, SG 2012, 'Radiofrequency ablation: technique and clinical applications', </w:t>
      </w:r>
      <w:r w:rsidRPr="00320458">
        <w:rPr>
          <w:i/>
        </w:rPr>
        <w:t>Diagn Interv Radiol</w:t>
      </w:r>
      <w:r w:rsidRPr="00320458">
        <w:t>, vol.18(5), pp. 508-16.</w:t>
      </w:r>
      <w:bookmarkEnd w:id="708"/>
    </w:p>
    <w:p w14:paraId="167152C8" w14:textId="77777777" w:rsidR="00320458" w:rsidRPr="00320458" w:rsidRDefault="00320458" w:rsidP="00320458">
      <w:pPr>
        <w:pStyle w:val="EndNoteBibliography"/>
        <w:spacing w:after="0"/>
        <w:ind w:left="720" w:hanging="720"/>
      </w:pPr>
      <w:bookmarkStart w:id="709" w:name="_ENREF_154"/>
      <w:r w:rsidRPr="00320458">
        <w:t xml:space="preserve">The National Institute for Health Care and Excellence (NICE) 2011, </w:t>
      </w:r>
      <w:r w:rsidRPr="00320458">
        <w:rPr>
          <w:i/>
        </w:rPr>
        <w:t>Lung cancer: The diagnosis and treatment of lung cancer</w:t>
      </w:r>
      <w:r w:rsidRPr="00320458">
        <w:t>, viewed &lt;guidance.nice.org.uk/cg121&gt;.</w:t>
      </w:r>
      <w:bookmarkEnd w:id="709"/>
    </w:p>
    <w:p w14:paraId="47D6EE6B" w14:textId="531D732F" w:rsidR="00320458" w:rsidRPr="00320458" w:rsidRDefault="00320458" w:rsidP="00320458">
      <w:pPr>
        <w:pStyle w:val="EndNoteBibliography"/>
        <w:spacing w:after="0"/>
        <w:ind w:left="720" w:hanging="720"/>
      </w:pPr>
      <w:bookmarkStart w:id="710" w:name="_ENREF_155"/>
      <w:r w:rsidRPr="00320458">
        <w:t xml:space="preserve">The Tripartite Committee 2012, </w:t>
      </w:r>
      <w:r w:rsidRPr="00320458">
        <w:rPr>
          <w:i/>
        </w:rPr>
        <w:t>The Tripartite National Strategic Plan for Radiation Oncology: 2012-2022</w:t>
      </w:r>
      <w:r w:rsidRPr="00320458">
        <w:t>, viewed 30 August 2016 2016, &lt;</w:t>
      </w:r>
      <w:hyperlink r:id="rId72" w:history="1">
        <w:r w:rsidR="006841FB">
          <w:rPr>
            <w:rStyle w:val="Hyperlink"/>
          </w:rPr>
          <w:t>www.radiationoncology.com.au&gt;</w:t>
        </w:r>
      </w:hyperlink>
      <w:r w:rsidRPr="00320458">
        <w:t>.</w:t>
      </w:r>
      <w:bookmarkEnd w:id="710"/>
    </w:p>
    <w:p w14:paraId="582B09F5" w14:textId="77777777" w:rsidR="00320458" w:rsidRPr="00320458" w:rsidRDefault="00320458" w:rsidP="00320458">
      <w:pPr>
        <w:pStyle w:val="EndNoteBibliography"/>
        <w:spacing w:after="0"/>
        <w:ind w:left="720" w:hanging="720"/>
      </w:pPr>
      <w:bookmarkStart w:id="711" w:name="_ENREF_156"/>
      <w:r w:rsidRPr="00320458">
        <w:t xml:space="preserve">Therasse, P, Arbuck, SG, Eisenhauer, EA, Wanders, J, Kaplan, RS, Rubinstein, L, Verweij, J, Van Glabbeke, M, van Oosterom, AT, Christian, MC &amp; Gwyther, SG 2000, 'New guidelines to evaluate the response to treatment in solid tumors. European Organization for Research and Treatment of Cancer, National Cancer Institute of the United States, National Cancer Institute of Canada', </w:t>
      </w:r>
      <w:r w:rsidRPr="00320458">
        <w:rPr>
          <w:i/>
        </w:rPr>
        <w:t>J Natl Cancer Inst</w:t>
      </w:r>
      <w:r w:rsidRPr="00320458">
        <w:t>, vol.92(3), pp. 205-16.</w:t>
      </w:r>
      <w:bookmarkEnd w:id="711"/>
    </w:p>
    <w:p w14:paraId="16CE7BC8" w14:textId="77777777" w:rsidR="00320458" w:rsidRPr="00320458" w:rsidRDefault="00320458" w:rsidP="00320458">
      <w:pPr>
        <w:pStyle w:val="EndNoteBibliography"/>
        <w:spacing w:after="0"/>
        <w:ind w:left="720" w:hanging="720"/>
      </w:pPr>
      <w:bookmarkStart w:id="712" w:name="_ENREF_157"/>
      <w:r w:rsidRPr="00320458">
        <w:t xml:space="preserve">Timmerman, R, McGarry, R, Yiannoutsos, C, Papiez, L, Tudor, K, DeLuca, J, Ewing, M, Abdulrahman, R, DesRosiers, C, Williams, M &amp; Fletcher, J 2006, 'Excessive toxicity when treating central tumors in a phase II study of stereotactic body radiation therapy for medically inoperable early-stage lung cancer', </w:t>
      </w:r>
      <w:r w:rsidRPr="00320458">
        <w:rPr>
          <w:i/>
        </w:rPr>
        <w:t>J Clin Oncol</w:t>
      </w:r>
      <w:r w:rsidRPr="00320458">
        <w:t>, vol.24(30), pp. 4833-9.</w:t>
      </w:r>
      <w:bookmarkEnd w:id="712"/>
    </w:p>
    <w:p w14:paraId="7D95B115" w14:textId="77777777" w:rsidR="00320458" w:rsidRPr="00320458" w:rsidRDefault="00320458" w:rsidP="00320458">
      <w:pPr>
        <w:pStyle w:val="EndNoteBibliography"/>
        <w:spacing w:after="0"/>
        <w:ind w:left="720" w:hanging="720"/>
      </w:pPr>
      <w:bookmarkStart w:id="713" w:name="_ENREF_158"/>
      <w:r w:rsidRPr="00320458">
        <w:t xml:space="preserve">Timmerman, R, Paulus, R, Galvin, J, Michalski, J, Straube, W, Bradley, J, Fakiris, A, Bezjak, A, Videtic, G, Johnstone, D, Fowler, J, Gore, E &amp; Choy, H 2010, 'Stereotactic body radiation therapy for inoperable early stage lung cancer', </w:t>
      </w:r>
      <w:r w:rsidRPr="00320458">
        <w:rPr>
          <w:i/>
        </w:rPr>
        <w:t>JAMA</w:t>
      </w:r>
      <w:r w:rsidRPr="00320458">
        <w:t>, vol.303(11), pp. 1070-6.</w:t>
      </w:r>
      <w:bookmarkEnd w:id="713"/>
    </w:p>
    <w:p w14:paraId="5F4F2894" w14:textId="77777777" w:rsidR="00320458" w:rsidRPr="00320458" w:rsidRDefault="00320458" w:rsidP="00320458">
      <w:pPr>
        <w:pStyle w:val="EndNoteBibliography"/>
        <w:spacing w:after="0"/>
        <w:ind w:left="720" w:hanging="720"/>
      </w:pPr>
      <w:bookmarkStart w:id="714" w:name="_ENREF_159"/>
      <w:r w:rsidRPr="00320458">
        <w:t xml:space="preserve">Treasure, T 2012, 'Oligometastatic cancer: an entity, a useful concept, or a therapeutic opportunity?', </w:t>
      </w:r>
      <w:r w:rsidRPr="00320458">
        <w:rPr>
          <w:i/>
        </w:rPr>
        <w:t>J R Soc Med</w:t>
      </w:r>
      <w:r w:rsidRPr="00320458">
        <w:t>, vol.105(6), pp. 242-6.</w:t>
      </w:r>
      <w:bookmarkEnd w:id="714"/>
    </w:p>
    <w:p w14:paraId="07A4B0EC" w14:textId="77777777" w:rsidR="00320458" w:rsidRPr="00320458" w:rsidRDefault="00320458" w:rsidP="00320458">
      <w:pPr>
        <w:pStyle w:val="EndNoteBibliography"/>
        <w:spacing w:after="0"/>
        <w:ind w:left="720" w:hanging="720"/>
      </w:pPr>
      <w:bookmarkStart w:id="715" w:name="_ENREF_160"/>
      <w:r w:rsidRPr="00320458">
        <w:t xml:space="preserve">Treasure, T, Fiorentino, F, Scarci, M, Moller, H &amp; Utley, M 2012, 'Pulmonary metastasectomy for sarcoma: a systematic review of reported outcomes in the context of Thames Cancer Registry data', </w:t>
      </w:r>
      <w:r w:rsidRPr="00320458">
        <w:rPr>
          <w:i/>
        </w:rPr>
        <w:t>BMJ Open</w:t>
      </w:r>
      <w:r w:rsidRPr="00320458">
        <w:t xml:space="preserve">, vol.2(5), pp. </w:t>
      </w:r>
      <w:bookmarkEnd w:id="715"/>
    </w:p>
    <w:p w14:paraId="6FEB06F3" w14:textId="77777777" w:rsidR="00320458" w:rsidRPr="00320458" w:rsidRDefault="00320458" w:rsidP="00320458">
      <w:pPr>
        <w:pStyle w:val="EndNoteBibliography"/>
        <w:spacing w:after="0"/>
        <w:ind w:left="720" w:hanging="720"/>
      </w:pPr>
      <w:bookmarkStart w:id="716" w:name="_ENREF_161"/>
      <w:r w:rsidRPr="00320458">
        <w:t xml:space="preserve">VanSonnenberg, E, Shankar, S, Morrison, PR, Nair, RT, Silverman, SG, Jaklitsch, MT, Liu, F, Cheung, L, Tuncali, K, Skarin, AT &amp; Sugarbaker, DJ 2005, 'Radiofrequency ablation of thoracic lesions: part 2, initial clinical experience--technical and multidisciplinary considerations in 30 patients', </w:t>
      </w:r>
      <w:r w:rsidRPr="00320458">
        <w:rPr>
          <w:i/>
        </w:rPr>
        <w:t>AJR Am J Roentgenol</w:t>
      </w:r>
      <w:r w:rsidRPr="00320458">
        <w:t>, vol.184(2), pp. 381-90.</w:t>
      </w:r>
      <w:bookmarkEnd w:id="716"/>
    </w:p>
    <w:p w14:paraId="6230929F" w14:textId="77777777" w:rsidR="00320458" w:rsidRPr="00320458" w:rsidRDefault="00320458" w:rsidP="00320458">
      <w:pPr>
        <w:pStyle w:val="EndNoteBibliography"/>
        <w:spacing w:after="0"/>
        <w:ind w:left="720" w:hanging="720"/>
      </w:pPr>
      <w:bookmarkStart w:id="717" w:name="_ENREF_162"/>
      <w:r w:rsidRPr="00320458">
        <w:t xml:space="preserve">Veronesi, G, Petrella, F, Leo, F, Solli, P, Maissoneuve, P, Galetta, D, Gasparri, R, Pelosi, G, De Pas, T &amp; Spaggiari, L 2007, 'Prognostic role of lymph node involvement in lung metastasectomy', </w:t>
      </w:r>
      <w:r w:rsidRPr="00320458">
        <w:rPr>
          <w:i/>
        </w:rPr>
        <w:t>J Thorac Cardiovasc Surg</w:t>
      </w:r>
      <w:r w:rsidRPr="00320458">
        <w:t>, vol.133(4), pp. 967-72.</w:t>
      </w:r>
      <w:bookmarkEnd w:id="717"/>
    </w:p>
    <w:p w14:paraId="390FFFA8" w14:textId="77777777" w:rsidR="00320458" w:rsidRPr="00320458" w:rsidRDefault="00320458" w:rsidP="00320458">
      <w:pPr>
        <w:pStyle w:val="EndNoteBibliography"/>
        <w:spacing w:after="0"/>
        <w:ind w:left="720" w:hanging="720"/>
      </w:pPr>
      <w:bookmarkStart w:id="718" w:name="_ENREF_163"/>
      <w:r w:rsidRPr="00320458">
        <w:lastRenderedPageBreak/>
        <w:t xml:space="preserve">Videtic, GM, Hu, C, Singh, AK, Chang, JY, Parker, W, Olivier, KR, Schild, SE, Komaki, R, Urbanic, JJ, Timmerman, RD &amp; Choy, H 2015, 'A Randomized Phase 2 Study Comparing 2 Stereotactic Body Radiation Therapy Schedules for Medically Inoperable Patients With Stage I Peripheral Non-Small Cell Lung Cancer: NRG Oncology RTOG 0915 (NCCTG N0927)', </w:t>
      </w:r>
      <w:r w:rsidRPr="00320458">
        <w:rPr>
          <w:i/>
        </w:rPr>
        <w:t>Int J Radiat Oncol Biol Phys</w:t>
      </w:r>
      <w:r w:rsidRPr="00320458">
        <w:t>, vol.93(4), pp. 757-64.</w:t>
      </w:r>
      <w:bookmarkEnd w:id="718"/>
    </w:p>
    <w:p w14:paraId="7813FFF1" w14:textId="77777777" w:rsidR="00320458" w:rsidRPr="00320458" w:rsidRDefault="00320458" w:rsidP="00320458">
      <w:pPr>
        <w:pStyle w:val="EndNoteBibliography"/>
        <w:spacing w:after="0"/>
        <w:ind w:left="720" w:hanging="720"/>
      </w:pPr>
      <w:bookmarkStart w:id="719" w:name="_ENREF_164"/>
      <w:r w:rsidRPr="00320458">
        <w:t xml:space="preserve">Vinod, S, &amp; Ball, D., 2013, 'Radiotherapy in lung cancer ', </w:t>
      </w:r>
      <w:r w:rsidRPr="00320458">
        <w:rPr>
          <w:i/>
        </w:rPr>
        <w:t>Lung Cancer Management</w:t>
      </w:r>
      <w:r w:rsidRPr="00320458">
        <w:t>, vol.37(2), pp. NA.</w:t>
      </w:r>
      <w:bookmarkEnd w:id="719"/>
    </w:p>
    <w:p w14:paraId="2094BA49" w14:textId="77777777" w:rsidR="00320458" w:rsidRPr="00320458" w:rsidRDefault="00320458" w:rsidP="00320458">
      <w:pPr>
        <w:pStyle w:val="EndNoteBibliography"/>
        <w:spacing w:after="0"/>
        <w:ind w:left="720" w:hanging="720"/>
      </w:pPr>
      <w:bookmarkStart w:id="720" w:name="_ENREF_165"/>
      <w:r w:rsidRPr="00320458">
        <w:t xml:space="preserve">Vinod, SK, Hui, AC, Esmaili, N, Hensley, MJ &amp; Barton, MB 2004, 'Comparison of patterns of care in lung cancer in three area health services in New South Wales, Australia', </w:t>
      </w:r>
      <w:r w:rsidRPr="00320458">
        <w:rPr>
          <w:i/>
        </w:rPr>
        <w:t>Intern Med J</w:t>
      </w:r>
      <w:r w:rsidRPr="00320458">
        <w:t>, vol.34(12), pp. 677-83.</w:t>
      </w:r>
      <w:bookmarkEnd w:id="720"/>
    </w:p>
    <w:p w14:paraId="6A31B50F" w14:textId="77777777" w:rsidR="00320458" w:rsidRPr="00320458" w:rsidRDefault="00320458" w:rsidP="00320458">
      <w:pPr>
        <w:pStyle w:val="EndNoteBibliography"/>
        <w:spacing w:after="0"/>
        <w:ind w:left="720" w:hanging="720"/>
      </w:pPr>
      <w:bookmarkStart w:id="721" w:name="_ENREF_166"/>
      <w:r w:rsidRPr="00320458">
        <w:t xml:space="preserve">Viti, A, Bertolaccini, L, Giovinazzo, G, Grosso, M &amp; Terzi, A 2014, 'Radiofrequency ablation for stage i non-small-cell lung cancer in the functionally inoperable patient', </w:t>
      </w:r>
      <w:r w:rsidRPr="00320458">
        <w:rPr>
          <w:i/>
        </w:rPr>
        <w:t>Lung Cancer Management</w:t>
      </w:r>
      <w:r w:rsidRPr="00320458">
        <w:t>, vol.3(1), pp. 35-41.</w:t>
      </w:r>
      <w:bookmarkEnd w:id="721"/>
    </w:p>
    <w:p w14:paraId="4896F5CA" w14:textId="77777777" w:rsidR="00320458" w:rsidRPr="00320458" w:rsidRDefault="00320458" w:rsidP="00320458">
      <w:pPr>
        <w:pStyle w:val="EndNoteBibliography"/>
        <w:spacing w:after="0"/>
        <w:ind w:left="720" w:hanging="720"/>
      </w:pPr>
      <w:bookmarkStart w:id="722" w:name="_ENREF_167"/>
      <w:r w:rsidRPr="00320458">
        <w:t xml:space="preserve">Vogl, TJ, Naguib, NN, Gruber-Rouh, T, Koitka, K, Lehnert, T &amp; Nour-Eldin, NE 2011, 'Microwave ablation therapy: clinical utility in treatment of pulmonary metastases', </w:t>
      </w:r>
      <w:r w:rsidRPr="00320458">
        <w:rPr>
          <w:i/>
        </w:rPr>
        <w:t>Radiology</w:t>
      </w:r>
      <w:r w:rsidRPr="00320458">
        <w:t>, vol.261(2), pp. 643-51.</w:t>
      </w:r>
      <w:bookmarkEnd w:id="722"/>
    </w:p>
    <w:p w14:paraId="7BE89F8E" w14:textId="77777777" w:rsidR="00320458" w:rsidRPr="00320458" w:rsidRDefault="00320458" w:rsidP="00320458">
      <w:pPr>
        <w:pStyle w:val="EndNoteBibliography"/>
        <w:spacing w:after="0"/>
        <w:ind w:left="720" w:hanging="720"/>
      </w:pPr>
      <w:bookmarkStart w:id="723" w:name="_ENREF_168"/>
      <w:r w:rsidRPr="00320458">
        <w:t xml:space="preserve">Vogl, TJ, Worst, TS, Naguib, NN, Ackermann, H, Gruber-Rouh, T &amp; Nour-Eldin, NE 2013, 'Factors influencing local tumor control in patients with neoplastic pulmonary nodules treated with microwave ablation: a risk-factor analysis', </w:t>
      </w:r>
      <w:r w:rsidRPr="00320458">
        <w:rPr>
          <w:i/>
        </w:rPr>
        <w:t>AJR Am J Roentgenol</w:t>
      </w:r>
      <w:r w:rsidRPr="00320458">
        <w:t>, vol.200(3), pp. 665-72.</w:t>
      </w:r>
      <w:bookmarkEnd w:id="723"/>
    </w:p>
    <w:p w14:paraId="3225BC1A" w14:textId="77777777" w:rsidR="00320458" w:rsidRPr="00320458" w:rsidRDefault="00320458" w:rsidP="00320458">
      <w:pPr>
        <w:pStyle w:val="EndNoteBibliography"/>
        <w:spacing w:after="0"/>
        <w:ind w:left="720" w:hanging="720"/>
      </w:pPr>
      <w:bookmarkStart w:id="724" w:name="_ENREF_169"/>
      <w:r w:rsidRPr="00320458">
        <w:t xml:space="preserve">Von Meyenfeldt, EM, Prevoo, W, Peyrot, D, Fat, NLA, Burgers, SJA, Wouters, MW &amp; Klomp, HM 2011, 'Local progression after radiofrequency ablation for pulmonary metastases', </w:t>
      </w:r>
      <w:r w:rsidRPr="00320458">
        <w:rPr>
          <w:i/>
        </w:rPr>
        <w:t>Cancer</w:t>
      </w:r>
      <w:r w:rsidRPr="00320458">
        <w:t>, vol.117(16), pp. 3781-87.</w:t>
      </w:r>
      <w:bookmarkEnd w:id="724"/>
    </w:p>
    <w:p w14:paraId="4FC65650" w14:textId="77777777" w:rsidR="00320458" w:rsidRPr="00320458" w:rsidRDefault="00320458" w:rsidP="00320458">
      <w:pPr>
        <w:pStyle w:val="EndNoteBibliography"/>
        <w:spacing w:after="0"/>
        <w:ind w:left="720" w:hanging="720"/>
      </w:pPr>
      <w:bookmarkStart w:id="725" w:name="_ENREF_170"/>
      <w:r w:rsidRPr="00320458">
        <w:t xml:space="preserve">Wei, Z, Ye, X, Yang, X, Huang, G, Li, W, Wang, J &amp; Han, X 2015, 'Microwave ablation plus chemotherapy improved progression-free survival of advanced non-small cell lung cancer compared to chemotherapy alone', </w:t>
      </w:r>
      <w:r w:rsidRPr="00320458">
        <w:rPr>
          <w:i/>
        </w:rPr>
        <w:t>Medical oncology (Northwood, London, England)</w:t>
      </w:r>
      <w:r w:rsidRPr="00320458">
        <w:t>, vol.32(2), pp. 464.</w:t>
      </w:r>
      <w:bookmarkEnd w:id="725"/>
    </w:p>
    <w:p w14:paraId="5D58F1C7" w14:textId="77777777" w:rsidR="00320458" w:rsidRPr="00320458" w:rsidRDefault="00320458" w:rsidP="00320458">
      <w:pPr>
        <w:pStyle w:val="EndNoteBibliography"/>
        <w:spacing w:after="0"/>
        <w:ind w:left="720" w:hanging="720"/>
      </w:pPr>
      <w:bookmarkStart w:id="726" w:name="_ENREF_171"/>
      <w:r w:rsidRPr="00320458">
        <w:t xml:space="preserve">Widder, J, Klinkenberg, TJ, Ubbels, JF, Wiegman, EM, Groen, HJ &amp; Langendijk, JA 2013, 'Pulmonary oligometastases: metastasectomy or stereotactic ablative radiotherapy?', </w:t>
      </w:r>
      <w:r w:rsidRPr="00320458">
        <w:rPr>
          <w:i/>
        </w:rPr>
        <w:t>Radiother Oncol</w:t>
      </w:r>
      <w:r w:rsidRPr="00320458">
        <w:t>, vol.107(3), pp. 409-13.</w:t>
      </w:r>
      <w:bookmarkEnd w:id="726"/>
    </w:p>
    <w:p w14:paraId="09041775" w14:textId="77777777" w:rsidR="00320458" w:rsidRPr="00320458" w:rsidRDefault="00320458" w:rsidP="00320458">
      <w:pPr>
        <w:pStyle w:val="EndNoteBibliography"/>
        <w:spacing w:after="0"/>
        <w:ind w:left="720" w:hanging="720"/>
      </w:pPr>
      <w:bookmarkStart w:id="727" w:name="_ENREF_172"/>
      <w:r w:rsidRPr="00320458">
        <w:t xml:space="preserve">Wolf, FJ, Grand, DJ, Machan, JT, DiPetrillo, TA, Mayo-Smith, WW &amp; Dupuy, DE 2008, 'Microwave ablation of lung malignancies: Effectiveness, CT findings, and safety in 50 patients', </w:t>
      </w:r>
      <w:r w:rsidRPr="00320458">
        <w:rPr>
          <w:i/>
        </w:rPr>
        <w:t>Radiology</w:t>
      </w:r>
      <w:r w:rsidRPr="00320458">
        <w:t>, vol.247(3), pp. 871-79.</w:t>
      </w:r>
      <w:bookmarkEnd w:id="727"/>
    </w:p>
    <w:p w14:paraId="34F2A25B" w14:textId="77777777" w:rsidR="00320458" w:rsidRPr="00320458" w:rsidRDefault="00320458" w:rsidP="00320458">
      <w:pPr>
        <w:pStyle w:val="EndNoteBibliography"/>
        <w:spacing w:after="0"/>
        <w:ind w:left="720" w:hanging="720"/>
      </w:pPr>
      <w:bookmarkStart w:id="728" w:name="_ENREF_173"/>
      <w:r w:rsidRPr="00320458">
        <w:t xml:space="preserve">Yan, TD, King, J, Sjarif, A, Glenn, D, Steinke, K, Al-Kindy, A &amp; Morris, DL 2007, 'Treatment failure after percutaneous radiofrequency ablation for nonsurgical candidates with pulmonary metastases from colorectal carcinoma', </w:t>
      </w:r>
      <w:r w:rsidRPr="00320458">
        <w:rPr>
          <w:i/>
        </w:rPr>
        <w:t>Ann Surg Oncol</w:t>
      </w:r>
      <w:r w:rsidRPr="00320458">
        <w:t>, vol.14(5), pp. 1718-26.</w:t>
      </w:r>
      <w:bookmarkEnd w:id="728"/>
    </w:p>
    <w:p w14:paraId="16C050E0" w14:textId="77777777" w:rsidR="00320458" w:rsidRPr="00320458" w:rsidRDefault="00320458" w:rsidP="00320458">
      <w:pPr>
        <w:pStyle w:val="EndNoteBibliography"/>
        <w:spacing w:after="0"/>
        <w:ind w:left="720" w:hanging="720"/>
      </w:pPr>
      <w:bookmarkStart w:id="729" w:name="_ENREF_174"/>
      <w:r w:rsidRPr="00320458">
        <w:t xml:space="preserve">Yang, X, Ye, X, Zheng, A, Huang, G, Ni, X, Wang, J, Han, X, Li, W &amp; Wei, Z 2014, 'Percutaneous microwave ablation of stage i medically inoperable non-small cell lung cancer: Clinical evaluation of 47 cases', </w:t>
      </w:r>
      <w:r w:rsidRPr="00320458">
        <w:rPr>
          <w:i/>
        </w:rPr>
        <w:t>Journal of Surgical Oncology</w:t>
      </w:r>
      <w:r w:rsidRPr="00320458">
        <w:t>, vol.110(6), pp. 758-63.</w:t>
      </w:r>
      <w:bookmarkEnd w:id="729"/>
    </w:p>
    <w:p w14:paraId="18CC021B" w14:textId="77777777" w:rsidR="00320458" w:rsidRPr="00320458" w:rsidRDefault="00320458" w:rsidP="00320458">
      <w:pPr>
        <w:pStyle w:val="EndNoteBibliography"/>
        <w:spacing w:after="0"/>
        <w:ind w:left="720" w:hanging="720"/>
      </w:pPr>
      <w:bookmarkStart w:id="730" w:name="_ENREF_175"/>
      <w:r w:rsidRPr="00320458">
        <w:lastRenderedPageBreak/>
        <w:t xml:space="preserve">Yang, X, Zhang, K, Ye, X, Zheng, A, Huang, G, Li, W, Wei, Z, Wang, J, Han, X, Ni, X, Meng, M, Ni, Y, Yuan, Q &amp; Xing, C 2015, 'Artificial pneumothorax for pain relief during microwave ablation of subpleural lung tumors', </w:t>
      </w:r>
      <w:r w:rsidRPr="00320458">
        <w:rPr>
          <w:i/>
        </w:rPr>
        <w:t>Indian Journal of Cancer</w:t>
      </w:r>
      <w:r w:rsidRPr="00320458">
        <w:t>, vol.52(6), pp. e80-e83.</w:t>
      </w:r>
      <w:bookmarkEnd w:id="730"/>
    </w:p>
    <w:p w14:paraId="6DEC7718" w14:textId="77777777" w:rsidR="00320458" w:rsidRPr="00320458" w:rsidRDefault="00320458" w:rsidP="00320458">
      <w:pPr>
        <w:pStyle w:val="EndNoteBibliography"/>
        <w:spacing w:after="0"/>
        <w:ind w:left="720" w:hanging="720"/>
      </w:pPr>
      <w:bookmarkStart w:id="731" w:name="_ENREF_176"/>
      <w:r w:rsidRPr="00320458">
        <w:t xml:space="preserve">Ye, X, Fan, W, Chen, JH, Feng, WJ, Gu, SZ, Han, Y, Huang, GH, Lei, GY, Li, XG, Li, YL, Li, ZJ, Lin, ZY, Liu, BD, Liu, Y, Peng, ZM, Wang, H, Yang, WW, Yang, X, Zhai, B &amp; Zhang, J 2015, 'Chinese expert consensus workshop report: Guidelines for thermal ablation of primary and metastatic lung tumors', </w:t>
      </w:r>
      <w:r w:rsidRPr="00320458">
        <w:rPr>
          <w:i/>
        </w:rPr>
        <w:t>Thorac Cancer</w:t>
      </w:r>
      <w:r w:rsidRPr="00320458">
        <w:t>, vol.6(1), pp. 112-21.</w:t>
      </w:r>
      <w:bookmarkEnd w:id="731"/>
    </w:p>
    <w:p w14:paraId="10352E8A" w14:textId="77777777" w:rsidR="00320458" w:rsidRPr="00320458" w:rsidRDefault="00320458" w:rsidP="00320458">
      <w:pPr>
        <w:pStyle w:val="EndNoteBibliography"/>
        <w:spacing w:after="0"/>
        <w:ind w:left="720" w:hanging="720"/>
      </w:pPr>
      <w:bookmarkStart w:id="732" w:name="_ENREF_177"/>
      <w:r w:rsidRPr="00320458">
        <w:t xml:space="preserve">Younes, RN, Fares, AL &amp; Gross, JL 2012, 'Pulmonary metastasectomy: a multivariate analysis of 440 patients undergoing complete resection', </w:t>
      </w:r>
      <w:r w:rsidRPr="00320458">
        <w:rPr>
          <w:i/>
        </w:rPr>
        <w:t>Interact Cardiovasc Thorac Surg</w:t>
      </w:r>
      <w:r w:rsidRPr="00320458">
        <w:t>, vol.14(2), pp. 156-61.</w:t>
      </w:r>
      <w:bookmarkEnd w:id="732"/>
    </w:p>
    <w:p w14:paraId="19A61BF1" w14:textId="77777777" w:rsidR="00320458" w:rsidRPr="00320458" w:rsidRDefault="00320458" w:rsidP="00320458">
      <w:pPr>
        <w:pStyle w:val="EndNoteBibliography"/>
        <w:spacing w:after="0"/>
        <w:ind w:left="720" w:hanging="720"/>
      </w:pPr>
      <w:bookmarkStart w:id="733" w:name="_ENREF_178"/>
      <w:r w:rsidRPr="00320458">
        <w:t xml:space="preserve">Younes, RN, Gross, JL, Taira, AM, Martins, AA &amp; Neves, GS 2009, 'Surgical resection of lung metastases: results from 529 patients', </w:t>
      </w:r>
      <w:r w:rsidRPr="00320458">
        <w:rPr>
          <w:i/>
        </w:rPr>
        <w:t>Clinics (Sao Paulo)</w:t>
      </w:r>
      <w:r w:rsidRPr="00320458">
        <w:t>, vol.64(6), pp. 535-41.</w:t>
      </w:r>
      <w:bookmarkEnd w:id="733"/>
    </w:p>
    <w:p w14:paraId="6A4D8038" w14:textId="77777777" w:rsidR="00320458" w:rsidRPr="00320458" w:rsidRDefault="00320458" w:rsidP="00320458">
      <w:pPr>
        <w:pStyle w:val="EndNoteBibliography"/>
        <w:spacing w:after="0"/>
        <w:ind w:left="720" w:hanging="720"/>
      </w:pPr>
      <w:bookmarkStart w:id="734" w:name="_ENREF_179"/>
      <w:r w:rsidRPr="00320458">
        <w:t xml:space="preserve">Yu, NC, Lu, DS, Raman, SS, Dupuy, DE, Simon, CJ, Lassman, C, Aswad, BI, Ianniti, D &amp; Busuttil, RW 2006, 'Hepatocellular carcinoma: microwave ablation with multiple straight and loop antenna clusters--pilot comparison with pathologic findings', </w:t>
      </w:r>
      <w:r w:rsidRPr="00320458">
        <w:rPr>
          <w:i/>
        </w:rPr>
        <w:t>Radiology</w:t>
      </w:r>
      <w:r w:rsidRPr="00320458">
        <w:t>, vol.239(1), pp. 269-75.</w:t>
      </w:r>
      <w:bookmarkEnd w:id="734"/>
    </w:p>
    <w:p w14:paraId="46D95BF7" w14:textId="77777777" w:rsidR="00320458" w:rsidRPr="00320458" w:rsidRDefault="00320458" w:rsidP="00320458">
      <w:pPr>
        <w:pStyle w:val="EndNoteBibliography"/>
        <w:spacing w:after="0"/>
        <w:ind w:left="720" w:hanging="720"/>
      </w:pPr>
      <w:bookmarkStart w:id="735" w:name="_ENREF_180"/>
      <w:r w:rsidRPr="00320458">
        <w:t xml:space="preserve">Yu, W, Tang, L, Lin, F, Li, D, Wang, J, Yang, Y &amp; Shen, Z 2014, 'Stereotactic radiosurgery, a potential alternative treatment for pulmonary metastases from osteosarcoma', </w:t>
      </w:r>
      <w:r w:rsidRPr="00320458">
        <w:rPr>
          <w:i/>
        </w:rPr>
        <w:t>Int J Oncol</w:t>
      </w:r>
      <w:r w:rsidRPr="00320458">
        <w:t>, vol.44(4), pp. 1091-8.</w:t>
      </w:r>
      <w:bookmarkEnd w:id="735"/>
    </w:p>
    <w:p w14:paraId="2F24C654" w14:textId="77777777" w:rsidR="00320458" w:rsidRPr="00320458" w:rsidRDefault="00320458" w:rsidP="00320458">
      <w:pPr>
        <w:pStyle w:val="EndNoteBibliography"/>
        <w:spacing w:after="0"/>
        <w:ind w:left="720" w:hanging="720"/>
      </w:pPr>
      <w:bookmarkStart w:id="736" w:name="_ENREF_181"/>
      <w:r w:rsidRPr="00320458">
        <w:t xml:space="preserve">Zheng, A, Wang, X, Yang, X, Wang, W, Huang, G, Gai, Y &amp; Ye, X 2014, 'Major complications after lung microwave ablation: A single-center experience on 204 sessions', </w:t>
      </w:r>
      <w:r w:rsidRPr="00320458">
        <w:rPr>
          <w:i/>
        </w:rPr>
        <w:t>Annals of Thoracic Surgery</w:t>
      </w:r>
      <w:r w:rsidRPr="00320458">
        <w:t>, vol.98(1), pp. 243-48.</w:t>
      </w:r>
      <w:bookmarkEnd w:id="736"/>
    </w:p>
    <w:p w14:paraId="1CAF8A1F" w14:textId="77777777" w:rsidR="00320458" w:rsidRPr="00320458" w:rsidRDefault="00320458" w:rsidP="00320458">
      <w:pPr>
        <w:pStyle w:val="EndNoteBibliography"/>
        <w:spacing w:after="0"/>
        <w:ind w:left="720" w:hanging="720"/>
      </w:pPr>
      <w:bookmarkStart w:id="737" w:name="_ENREF_182"/>
      <w:r w:rsidRPr="00320458">
        <w:t xml:space="preserve">Zhu, JC, Yan, TD &amp; Morris, DL 2008a, 'A systematic review of radiofrequency ablation for lung tumors', </w:t>
      </w:r>
      <w:r w:rsidRPr="00320458">
        <w:rPr>
          <w:i/>
        </w:rPr>
        <w:t>Ann Surg Oncol</w:t>
      </w:r>
      <w:r w:rsidRPr="00320458">
        <w:t>, vol.15(6), pp. 1765-74.</w:t>
      </w:r>
      <w:bookmarkEnd w:id="737"/>
    </w:p>
    <w:p w14:paraId="62DCD714" w14:textId="77777777" w:rsidR="00320458" w:rsidRPr="00320458" w:rsidRDefault="00320458" w:rsidP="00320458">
      <w:pPr>
        <w:pStyle w:val="EndNoteBibliography"/>
        <w:ind w:left="720" w:hanging="720"/>
      </w:pPr>
      <w:bookmarkStart w:id="738" w:name="_ENREF_183"/>
      <w:r w:rsidRPr="00320458">
        <w:t xml:space="preserve">Zhu, JC, Yan, TD &amp; Morris, DL 2008b, 'A systematic review of radiofrequency ablation for lung tumors', </w:t>
      </w:r>
      <w:r w:rsidRPr="00320458">
        <w:rPr>
          <w:i/>
        </w:rPr>
        <w:t>Ann Surg Oncol</w:t>
      </w:r>
      <w:r w:rsidRPr="00320458">
        <w:t>, vol.15(6), pp. 1765-74.</w:t>
      </w:r>
      <w:bookmarkEnd w:id="738"/>
    </w:p>
    <w:p w14:paraId="4194426D" w14:textId="1CAAE340" w:rsidR="0093426A" w:rsidRPr="00183E4D" w:rsidRDefault="00C000FD" w:rsidP="00796EF0">
      <w:pPr>
        <w:pStyle w:val="EndNoteBibliography"/>
        <w:ind w:left="720" w:hanging="720"/>
      </w:pPr>
      <w:r>
        <w:fldChar w:fldCharType="end"/>
      </w:r>
    </w:p>
    <w:sectPr w:rsidR="0093426A" w:rsidRPr="00183E4D" w:rsidSect="0024526E">
      <w:headerReference w:type="even" r:id="rId73"/>
      <w:headerReference w:type="default" r:id="rId74"/>
      <w:footerReference w:type="even" r:id="rId75"/>
      <w:headerReference w:type="first" r:id="rId76"/>
      <w:pgSz w:w="11906" w:h="16838"/>
      <w:pgMar w:top="1440" w:right="1440" w:bottom="1440" w:left="1440" w:header="720" w:footer="720" w:gutter="0"/>
      <w:paperSrc w:first="7" w:other="7"/>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9F6DBA" w15:done="0"/>
  <w15:commentEx w15:paraId="3B417C85" w15:done="0"/>
  <w15:commentEx w15:paraId="5A52CF35" w15:done="0"/>
  <w15:commentEx w15:paraId="35E41CBD" w15:done="0"/>
  <w15:commentEx w15:paraId="54D81500" w15:done="0"/>
  <w15:commentEx w15:paraId="00AA7E37" w15:done="0"/>
  <w15:commentEx w15:paraId="27B8B5F6" w15:done="0"/>
  <w15:commentEx w15:paraId="742957C3" w15:done="0"/>
  <w15:commentEx w15:paraId="7118BE6C" w15:done="0"/>
  <w15:commentEx w15:paraId="5D4E3117" w15:done="0"/>
  <w15:commentEx w15:paraId="1BBE22F0" w15:done="0"/>
  <w15:commentEx w15:paraId="684F1405" w15:done="0"/>
  <w15:commentEx w15:paraId="3CC004EB" w15:done="0"/>
  <w15:commentEx w15:paraId="2D8983F0" w15:done="0"/>
  <w15:commentEx w15:paraId="0F975C7E" w15:done="0"/>
  <w15:commentEx w15:paraId="3CC3FA22" w15:done="0"/>
  <w15:commentEx w15:paraId="455FB235" w15:done="0"/>
  <w15:commentEx w15:paraId="03447C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D1A53" w14:textId="77777777" w:rsidR="00EE58C4" w:rsidRDefault="00EE58C4" w:rsidP="00A23645">
      <w:r>
        <w:separator/>
      </w:r>
    </w:p>
  </w:endnote>
  <w:endnote w:type="continuationSeparator" w:id="0">
    <w:p w14:paraId="126EE8EF" w14:textId="77777777" w:rsidR="00EE58C4" w:rsidRDefault="00EE58C4"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umanist521BT-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D5C73" w14:textId="77777777" w:rsidR="00EE58C4" w:rsidRDefault="00EE58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48488" w14:textId="77777777" w:rsidR="00EE58C4" w:rsidRDefault="00EE58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E38AB" w14:textId="77777777" w:rsidR="00EE58C4" w:rsidRDefault="00EE58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39929" w14:textId="77777777" w:rsidR="00EE58C4" w:rsidRPr="00C843FF" w:rsidRDefault="00EE58C4"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2</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D7DBE" w14:textId="399FF085" w:rsidR="00EE58C4" w:rsidRPr="00962764" w:rsidRDefault="00EE58C4" w:rsidP="00B426FF">
    <w:pPr>
      <w:pStyle w:val="Footer"/>
      <w:tabs>
        <w:tab w:val="clear" w:pos="9000"/>
        <w:tab w:val="right" w:pos="8931"/>
      </w:tabs>
      <w:rPr>
        <w:rStyle w:val="PageNumber"/>
        <w:rFonts w:ascii="Arial" w:hAnsi="Arial"/>
        <w:b/>
        <w:sz w:val="20"/>
      </w:rPr>
    </w:pPr>
    <w:r>
      <w:t>Microwave tissue ablation of lung cancer</w:t>
    </w:r>
    <w:r w:rsidRPr="00C843FF">
      <w:rPr>
        <w:rStyle w:val="PageNumber"/>
        <w:rFonts w:ascii="Arial" w:hAnsi="Arial" w:cs="Arial"/>
        <w:sz w:val="20"/>
      </w:rPr>
      <w:tab/>
    </w:r>
    <w:r w:rsidRPr="00A279B8">
      <w:rPr>
        <w:rStyle w:val="PageNumber"/>
        <w:rFonts w:ascii="Arial" w:hAnsi="Arial" w:cs="Arial"/>
        <w:b/>
        <w:sz w:val="20"/>
      </w:rPr>
      <w:fldChar w:fldCharType="begin"/>
    </w:r>
    <w:r w:rsidRPr="00A279B8">
      <w:rPr>
        <w:rStyle w:val="PageNumber"/>
        <w:rFonts w:ascii="Arial" w:hAnsi="Arial" w:cs="Arial"/>
        <w:b/>
        <w:sz w:val="20"/>
      </w:rPr>
      <w:instrText xml:space="preserve"> PAGE </w:instrText>
    </w:r>
    <w:r w:rsidRPr="00A279B8">
      <w:rPr>
        <w:rStyle w:val="PageNumber"/>
        <w:rFonts w:ascii="Arial" w:hAnsi="Arial" w:cs="Arial"/>
        <w:b/>
        <w:sz w:val="20"/>
      </w:rPr>
      <w:fldChar w:fldCharType="separate"/>
    </w:r>
    <w:r w:rsidR="004C4A05">
      <w:rPr>
        <w:rStyle w:val="PageNumber"/>
        <w:rFonts w:ascii="Arial" w:hAnsi="Arial" w:cs="Arial"/>
        <w:b/>
        <w:noProof/>
        <w:sz w:val="20"/>
      </w:rPr>
      <w:t>135</w:t>
    </w:r>
    <w:r w:rsidRPr="00A279B8">
      <w:rPr>
        <w:rStyle w:val="PageNumber"/>
        <w:rFonts w:ascii="Arial" w:hAnsi="Arial" w:cs="Arial"/>
        <w:b/>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8473D" w14:textId="77777777" w:rsidR="00EE58C4" w:rsidRPr="00F568FA" w:rsidRDefault="00EE58C4"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35006" w14:textId="3B0C5A9F" w:rsidR="00EE58C4" w:rsidRDefault="00EE58C4">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3C128" w14:textId="77777777" w:rsidR="00EE58C4" w:rsidRDefault="00EE58C4" w:rsidP="00A23645">
      <w:r>
        <w:separator/>
      </w:r>
    </w:p>
  </w:footnote>
  <w:footnote w:type="continuationSeparator" w:id="0">
    <w:p w14:paraId="50E2D31F" w14:textId="77777777" w:rsidR="00EE58C4" w:rsidRDefault="00EE58C4" w:rsidP="00A23645">
      <w:r>
        <w:continuationSeparator/>
      </w:r>
    </w:p>
  </w:footnote>
  <w:footnote w:id="1">
    <w:p w14:paraId="56F837A6" w14:textId="6F1B0444" w:rsidR="00EE58C4" w:rsidRDefault="00EE58C4" w:rsidP="00AB12D2">
      <w:pPr>
        <w:pStyle w:val="FootnoteText"/>
      </w:pPr>
      <w:r>
        <w:rPr>
          <w:rStyle w:val="FootnoteReference"/>
        </w:rPr>
        <w:footnoteRef/>
      </w:r>
      <w:r>
        <w:t xml:space="preserve"> </w:t>
      </w:r>
      <w:r w:rsidRPr="00CF5DAA">
        <w:rPr>
          <w:rFonts w:asciiTheme="minorHAnsi" w:hAnsiTheme="minorHAnsi"/>
        </w:rPr>
        <w:t xml:space="preserve">MSAC </w:t>
      </w:r>
      <w:r>
        <w:rPr>
          <w:rFonts w:asciiTheme="minorHAnsi" w:hAnsiTheme="minorHAnsi"/>
        </w:rPr>
        <w:t xml:space="preserve">(2016) noted requests have been made to include non-health </w:t>
      </w:r>
      <w:r w:rsidRPr="00CF5DAA">
        <w:rPr>
          <w:rFonts w:asciiTheme="minorHAnsi" w:hAnsiTheme="minorHAnsi"/>
        </w:rPr>
        <w:t>process attribute</w:t>
      </w:r>
      <w:r>
        <w:rPr>
          <w:rFonts w:asciiTheme="minorHAnsi" w:hAnsiTheme="minorHAnsi"/>
        </w:rPr>
        <w:t xml:space="preserve">s </w:t>
      </w:r>
      <w:r w:rsidRPr="00CF5DAA">
        <w:rPr>
          <w:rFonts w:asciiTheme="minorHAnsi" w:hAnsiTheme="minorHAnsi"/>
        </w:rPr>
        <w:t xml:space="preserve">such as convenience of use, </w:t>
      </w:r>
      <w:r>
        <w:rPr>
          <w:rFonts w:asciiTheme="minorHAnsi" w:hAnsiTheme="minorHAnsi"/>
        </w:rPr>
        <w:t xml:space="preserve">and any other externalities, but these </w:t>
      </w:r>
      <w:r w:rsidRPr="00CF5DAA">
        <w:rPr>
          <w:rFonts w:asciiTheme="minorHAnsi" w:hAnsiTheme="minorHAnsi"/>
        </w:rPr>
        <w:t>n</w:t>
      </w:r>
      <w:r>
        <w:rPr>
          <w:rFonts w:asciiTheme="minorHAnsi" w:hAnsiTheme="minorHAnsi"/>
        </w:rPr>
        <w:t xml:space="preserve">eed to be judged on their merits and impact of </w:t>
      </w:r>
      <w:r w:rsidRPr="00CF5DAA">
        <w:rPr>
          <w:rFonts w:asciiTheme="minorHAnsi" w:hAnsiTheme="minorHAnsi"/>
        </w:rPr>
        <w:t>direction on the base-case</w:t>
      </w:r>
      <w:r>
        <w:rPr>
          <w:rFonts w:asciiTheme="minorHAnsi" w:hAnsiTheme="minorHAnsi"/>
        </w:rPr>
        <w:t xml:space="preserve"> </w:t>
      </w:r>
      <w:r w:rsidRPr="00CF5DAA">
        <w:rPr>
          <w:rFonts w:asciiTheme="minorHAnsi" w:hAnsiTheme="minorHAnsi"/>
        </w:rPr>
        <w:t>economic evaluation</w:t>
      </w:r>
      <w:r>
        <w:rPr>
          <w:rFonts w:asciiTheme="minorHAnsi" w:hAnsiTheme="minorHAnsi"/>
        </w:rPr>
        <w:t>.</w:t>
      </w:r>
    </w:p>
  </w:footnote>
  <w:footnote w:id="2">
    <w:p w14:paraId="2656A1CB" w14:textId="77777777" w:rsidR="00EE58C4" w:rsidRDefault="00EE58C4">
      <w:pPr>
        <w:pStyle w:val="FootnoteText"/>
      </w:pPr>
      <w:r>
        <w:rPr>
          <w:rStyle w:val="FootnoteReference"/>
        </w:rPr>
        <w:footnoteRef/>
      </w:r>
      <w:r>
        <w:t xml:space="preserve"> Except footnoted selected items</w:t>
      </w:r>
    </w:p>
  </w:footnote>
  <w:footnote w:id="3">
    <w:p w14:paraId="6489ADFA" w14:textId="77777777" w:rsidR="00EE58C4" w:rsidRDefault="00EE58C4">
      <w:pPr>
        <w:pStyle w:val="FootnoteText"/>
      </w:pPr>
      <w:r>
        <w:rPr>
          <w:rStyle w:val="FootnoteReference"/>
        </w:rPr>
        <w:footnoteRef/>
      </w:r>
      <w:r>
        <w:t xml:space="preserve"> Correspondence with the DoH, 11 August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0D921" w14:textId="77777777" w:rsidR="00EE58C4" w:rsidRDefault="00EE58C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3DDFB" w14:textId="77777777" w:rsidR="00EE58C4" w:rsidRDefault="00EE58C4" w:rsidP="00A2364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7BB67" w14:textId="77777777" w:rsidR="00EE58C4" w:rsidRDefault="00EE58C4" w:rsidP="00B426FF">
    <w:pPr>
      <w:pStyle w:val="Header"/>
      <w:tabs>
        <w:tab w:val="clear" w:pos="8306"/>
        <w:tab w:val="right" w:pos="8931"/>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1447C" w14:textId="77777777" w:rsidR="00EE58C4" w:rsidRDefault="00EE58C4" w:rsidP="00A2364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F522F" w14:textId="77777777" w:rsidR="00EE58C4" w:rsidRDefault="00EE58C4" w:rsidP="00B426FF">
    <w:pPr>
      <w:pStyle w:val="Header"/>
      <w:tabs>
        <w:tab w:val="clear" w:pos="8306"/>
        <w:tab w:val="right" w:pos="8931"/>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4AD2D" w14:textId="77777777" w:rsidR="00EE58C4" w:rsidRDefault="00EE58C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FA551" w14:textId="77777777" w:rsidR="00EE58C4" w:rsidRDefault="00EE58C4" w:rsidP="0000696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DC230" w14:textId="77777777" w:rsidR="00EE58C4" w:rsidRDefault="00EE58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51C2" w14:textId="77777777" w:rsidR="00EE58C4" w:rsidRDefault="00EE58C4" w:rsidP="00B426FF">
    <w:pPr>
      <w:pStyle w:val="Header"/>
      <w:tabs>
        <w:tab w:val="clear" w:pos="8306"/>
        <w:tab w:val="right" w:pos="893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B9D0A" w14:textId="598AEB66" w:rsidR="00EE58C4" w:rsidRDefault="00EE58C4" w:rsidP="00B426FF">
    <w:pPr>
      <w:pStyle w:val="Header"/>
      <w:tabs>
        <w:tab w:val="clear" w:pos="8306"/>
        <w:tab w:val="right" w:pos="8931"/>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EE6AA" w14:textId="77777777" w:rsidR="00EE58C4" w:rsidRDefault="00EE58C4" w:rsidP="00A236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6868C" w14:textId="77777777" w:rsidR="00EE58C4" w:rsidRDefault="00EE58C4" w:rsidP="00B426FF">
    <w:pPr>
      <w:pStyle w:val="Header"/>
      <w:tabs>
        <w:tab w:val="clear" w:pos="8306"/>
        <w:tab w:val="right" w:pos="893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47543" w14:textId="77777777" w:rsidR="00EE58C4" w:rsidRDefault="00EE58C4"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0E1F" w14:textId="77777777" w:rsidR="00EE58C4" w:rsidRDefault="00EE58C4" w:rsidP="00A236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4C6BC" w14:textId="77777777" w:rsidR="00EE58C4" w:rsidRDefault="00EE58C4" w:rsidP="00B426FF">
    <w:pPr>
      <w:pStyle w:val="Header"/>
      <w:tabs>
        <w:tab w:val="clear" w:pos="8306"/>
        <w:tab w:val="right" w:pos="8931"/>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E468C" w14:textId="77777777" w:rsidR="00EE58C4" w:rsidRDefault="00EE58C4" w:rsidP="00A236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330F"/>
    <w:multiLevelType w:val="hybridMultilevel"/>
    <w:tmpl w:val="DB668A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916E45"/>
    <w:multiLevelType w:val="hybridMultilevel"/>
    <w:tmpl w:val="571E7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8D2EA1"/>
    <w:multiLevelType w:val="hybridMultilevel"/>
    <w:tmpl w:val="0A629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19647C"/>
    <w:multiLevelType w:val="hybridMultilevel"/>
    <w:tmpl w:val="75D4BEC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
    <w:nsid w:val="0933263E"/>
    <w:multiLevelType w:val="hybridMultilevel"/>
    <w:tmpl w:val="AD1CB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427352"/>
    <w:multiLevelType w:val="hybridMultilevel"/>
    <w:tmpl w:val="994C6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EAF022D"/>
    <w:multiLevelType w:val="hybridMultilevel"/>
    <w:tmpl w:val="6248E6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B565D1"/>
    <w:multiLevelType w:val="hybridMultilevel"/>
    <w:tmpl w:val="DEEEF7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F0614B5"/>
    <w:multiLevelType w:val="hybridMultilevel"/>
    <w:tmpl w:val="421C7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D62686"/>
    <w:multiLevelType w:val="hybridMultilevel"/>
    <w:tmpl w:val="5E1EF8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01F1FFF"/>
    <w:multiLevelType w:val="hybridMultilevel"/>
    <w:tmpl w:val="76CE3F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0DD2743"/>
    <w:multiLevelType w:val="hybridMultilevel"/>
    <w:tmpl w:val="F4A87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3F63D0"/>
    <w:multiLevelType w:val="hybridMultilevel"/>
    <w:tmpl w:val="DEEEF7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14">
    <w:nsid w:val="14500314"/>
    <w:multiLevelType w:val="hybridMultilevel"/>
    <w:tmpl w:val="8C503E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1F1B82"/>
    <w:multiLevelType w:val="hybridMultilevel"/>
    <w:tmpl w:val="093ED7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9CD7750"/>
    <w:multiLevelType w:val="hybridMultilevel"/>
    <w:tmpl w:val="13726E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B2D5025"/>
    <w:multiLevelType w:val="hybridMultilevel"/>
    <w:tmpl w:val="D1680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D94659F"/>
    <w:multiLevelType w:val="hybridMultilevel"/>
    <w:tmpl w:val="967A5B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E3A5CCE"/>
    <w:multiLevelType w:val="hybridMultilevel"/>
    <w:tmpl w:val="F35A67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14A5DA6"/>
    <w:multiLevelType w:val="hybridMultilevel"/>
    <w:tmpl w:val="FCB2C1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1E92F93"/>
    <w:multiLevelType w:val="hybridMultilevel"/>
    <w:tmpl w:val="9A4A8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701"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3">
    <w:nsid w:val="254C0989"/>
    <w:multiLevelType w:val="hybridMultilevel"/>
    <w:tmpl w:val="DF3CB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66D51BD"/>
    <w:multiLevelType w:val="hybridMultilevel"/>
    <w:tmpl w:val="F8B6ED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86851F6"/>
    <w:multiLevelType w:val="hybridMultilevel"/>
    <w:tmpl w:val="15722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AFF40EC"/>
    <w:multiLevelType w:val="hybridMultilevel"/>
    <w:tmpl w:val="98CAE9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E437328"/>
    <w:multiLevelType w:val="hybridMultilevel"/>
    <w:tmpl w:val="F35A67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01B3D65"/>
    <w:multiLevelType w:val="hybridMultilevel"/>
    <w:tmpl w:val="876A5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1984239"/>
    <w:multiLevelType w:val="hybridMultilevel"/>
    <w:tmpl w:val="9B42DD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316033C"/>
    <w:multiLevelType w:val="hybridMultilevel"/>
    <w:tmpl w:val="B56C8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3AF714C"/>
    <w:multiLevelType w:val="hybridMultilevel"/>
    <w:tmpl w:val="686E9D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3E2252D"/>
    <w:multiLevelType w:val="hybridMultilevel"/>
    <w:tmpl w:val="B6DEFE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37FB4553"/>
    <w:multiLevelType w:val="hybridMultilevel"/>
    <w:tmpl w:val="994C6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9147558"/>
    <w:multiLevelType w:val="hybridMultilevel"/>
    <w:tmpl w:val="17EE8B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A8F4DF6"/>
    <w:multiLevelType w:val="hybridMultilevel"/>
    <w:tmpl w:val="2D1609B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BAB61FF"/>
    <w:multiLevelType w:val="hybridMultilevel"/>
    <w:tmpl w:val="876A5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C792CD4"/>
    <w:multiLevelType w:val="multilevel"/>
    <w:tmpl w:val="FEE071C8"/>
    <w:numStyleLink w:val="ESSectionheading-numbered"/>
  </w:abstractNum>
  <w:abstractNum w:abstractNumId="38">
    <w:nsid w:val="3C863186"/>
    <w:multiLevelType w:val="hybridMultilevel"/>
    <w:tmpl w:val="A1A48998"/>
    <w:lvl w:ilvl="0" w:tplc="8430A41E">
      <w:numFmt w:val="bullet"/>
      <w:lvlText w:val=""/>
      <w:lvlJc w:val="left"/>
      <w:pPr>
        <w:ind w:left="720" w:hanging="360"/>
      </w:pPr>
      <w:rPr>
        <w:rFonts w:ascii="Wingdings" w:eastAsia="Times New Roman" w:hAnsi="Wingdings"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E7E2F97"/>
    <w:multiLevelType w:val="hybridMultilevel"/>
    <w:tmpl w:val="BC0C9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FF83F00"/>
    <w:multiLevelType w:val="hybridMultilevel"/>
    <w:tmpl w:val="484019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404D1679"/>
    <w:multiLevelType w:val="hybridMultilevel"/>
    <w:tmpl w:val="B56C81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40A40FC9"/>
    <w:multiLevelType w:val="hybridMultilevel"/>
    <w:tmpl w:val="AD041B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4A3730D"/>
    <w:multiLevelType w:val="hybridMultilevel"/>
    <w:tmpl w:val="FA88EC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47CE5AFD"/>
    <w:multiLevelType w:val="hybridMultilevel"/>
    <w:tmpl w:val="D74659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A002572"/>
    <w:multiLevelType w:val="hybridMultilevel"/>
    <w:tmpl w:val="6D04C0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4AA31A15"/>
    <w:multiLevelType w:val="hybridMultilevel"/>
    <w:tmpl w:val="B3903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B4A2470"/>
    <w:multiLevelType w:val="hybridMultilevel"/>
    <w:tmpl w:val="4006AD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4E1F3188"/>
    <w:multiLevelType w:val="hybridMultilevel"/>
    <w:tmpl w:val="C65C71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524A1764"/>
    <w:multiLevelType w:val="hybridMultilevel"/>
    <w:tmpl w:val="FD44BC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3507A3F"/>
    <w:multiLevelType w:val="hybridMultilevel"/>
    <w:tmpl w:val="4ED22F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53E71131"/>
    <w:multiLevelType w:val="hybridMultilevel"/>
    <w:tmpl w:val="3670C2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5427349B"/>
    <w:multiLevelType w:val="hybridMultilevel"/>
    <w:tmpl w:val="4BAC83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55CA5EB8"/>
    <w:multiLevelType w:val="hybridMultilevel"/>
    <w:tmpl w:val="0A5E1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5E03347"/>
    <w:multiLevelType w:val="hybridMultilevel"/>
    <w:tmpl w:val="BCC6A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56891D8A"/>
    <w:multiLevelType w:val="multilevel"/>
    <w:tmpl w:val="FEE071C8"/>
    <w:numStyleLink w:val="ESSectionheading-numbered"/>
  </w:abstractNum>
  <w:abstractNum w:abstractNumId="56">
    <w:nsid w:val="5A9A1EF9"/>
    <w:multiLevelType w:val="hybridMultilevel"/>
    <w:tmpl w:val="3A5C69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5AE01EDB"/>
    <w:multiLevelType w:val="hybridMultilevel"/>
    <w:tmpl w:val="C95456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5B337DF5"/>
    <w:multiLevelType w:val="hybridMultilevel"/>
    <w:tmpl w:val="EBAA6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5B8B1C7F"/>
    <w:multiLevelType w:val="hybridMultilevel"/>
    <w:tmpl w:val="D8083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61">
    <w:nsid w:val="5DC17D6A"/>
    <w:multiLevelType w:val="hybridMultilevel"/>
    <w:tmpl w:val="541047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5F661FD7"/>
    <w:multiLevelType w:val="hybridMultilevel"/>
    <w:tmpl w:val="C75A75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0A86734"/>
    <w:multiLevelType w:val="hybridMultilevel"/>
    <w:tmpl w:val="E2EC1A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62A9301B"/>
    <w:multiLevelType w:val="hybridMultilevel"/>
    <w:tmpl w:val="BE344A7E"/>
    <w:lvl w:ilvl="0" w:tplc="0C090001">
      <w:start w:val="1"/>
      <w:numFmt w:val="bullet"/>
      <w:lvlText w:val=""/>
      <w:lvlJc w:val="left"/>
      <w:pPr>
        <w:ind w:left="736" w:hanging="360"/>
      </w:pPr>
      <w:rPr>
        <w:rFonts w:ascii="Symbol" w:hAnsi="Symbol" w:hint="default"/>
      </w:rPr>
    </w:lvl>
    <w:lvl w:ilvl="1" w:tplc="0C090003" w:tentative="1">
      <w:start w:val="1"/>
      <w:numFmt w:val="bullet"/>
      <w:lvlText w:val="o"/>
      <w:lvlJc w:val="left"/>
      <w:pPr>
        <w:ind w:left="1456" w:hanging="360"/>
      </w:pPr>
      <w:rPr>
        <w:rFonts w:ascii="Courier New" w:hAnsi="Courier New" w:cs="Courier New" w:hint="default"/>
      </w:rPr>
    </w:lvl>
    <w:lvl w:ilvl="2" w:tplc="0C090005" w:tentative="1">
      <w:start w:val="1"/>
      <w:numFmt w:val="bullet"/>
      <w:lvlText w:val=""/>
      <w:lvlJc w:val="left"/>
      <w:pPr>
        <w:ind w:left="2176" w:hanging="360"/>
      </w:pPr>
      <w:rPr>
        <w:rFonts w:ascii="Wingdings" w:hAnsi="Wingdings" w:hint="default"/>
      </w:rPr>
    </w:lvl>
    <w:lvl w:ilvl="3" w:tplc="0C090001" w:tentative="1">
      <w:start w:val="1"/>
      <w:numFmt w:val="bullet"/>
      <w:lvlText w:val=""/>
      <w:lvlJc w:val="left"/>
      <w:pPr>
        <w:ind w:left="2896" w:hanging="360"/>
      </w:pPr>
      <w:rPr>
        <w:rFonts w:ascii="Symbol" w:hAnsi="Symbol" w:hint="default"/>
      </w:rPr>
    </w:lvl>
    <w:lvl w:ilvl="4" w:tplc="0C090003" w:tentative="1">
      <w:start w:val="1"/>
      <w:numFmt w:val="bullet"/>
      <w:lvlText w:val="o"/>
      <w:lvlJc w:val="left"/>
      <w:pPr>
        <w:ind w:left="3616" w:hanging="360"/>
      </w:pPr>
      <w:rPr>
        <w:rFonts w:ascii="Courier New" w:hAnsi="Courier New" w:cs="Courier New" w:hint="default"/>
      </w:rPr>
    </w:lvl>
    <w:lvl w:ilvl="5" w:tplc="0C090005" w:tentative="1">
      <w:start w:val="1"/>
      <w:numFmt w:val="bullet"/>
      <w:lvlText w:val=""/>
      <w:lvlJc w:val="left"/>
      <w:pPr>
        <w:ind w:left="4336" w:hanging="360"/>
      </w:pPr>
      <w:rPr>
        <w:rFonts w:ascii="Wingdings" w:hAnsi="Wingdings" w:hint="default"/>
      </w:rPr>
    </w:lvl>
    <w:lvl w:ilvl="6" w:tplc="0C090001" w:tentative="1">
      <w:start w:val="1"/>
      <w:numFmt w:val="bullet"/>
      <w:lvlText w:val=""/>
      <w:lvlJc w:val="left"/>
      <w:pPr>
        <w:ind w:left="5056" w:hanging="360"/>
      </w:pPr>
      <w:rPr>
        <w:rFonts w:ascii="Symbol" w:hAnsi="Symbol" w:hint="default"/>
      </w:rPr>
    </w:lvl>
    <w:lvl w:ilvl="7" w:tplc="0C090003" w:tentative="1">
      <w:start w:val="1"/>
      <w:numFmt w:val="bullet"/>
      <w:lvlText w:val="o"/>
      <w:lvlJc w:val="left"/>
      <w:pPr>
        <w:ind w:left="5776" w:hanging="360"/>
      </w:pPr>
      <w:rPr>
        <w:rFonts w:ascii="Courier New" w:hAnsi="Courier New" w:cs="Courier New" w:hint="default"/>
      </w:rPr>
    </w:lvl>
    <w:lvl w:ilvl="8" w:tplc="0C090005" w:tentative="1">
      <w:start w:val="1"/>
      <w:numFmt w:val="bullet"/>
      <w:lvlText w:val=""/>
      <w:lvlJc w:val="left"/>
      <w:pPr>
        <w:ind w:left="6496" w:hanging="360"/>
      </w:pPr>
      <w:rPr>
        <w:rFonts w:ascii="Wingdings" w:hAnsi="Wingdings" w:hint="default"/>
      </w:rPr>
    </w:lvl>
  </w:abstractNum>
  <w:abstractNum w:abstractNumId="65">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66">
    <w:nsid w:val="65815743"/>
    <w:multiLevelType w:val="hybridMultilevel"/>
    <w:tmpl w:val="DE8892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669953BA"/>
    <w:multiLevelType w:val="hybridMultilevel"/>
    <w:tmpl w:val="B3AEB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6C02E2E"/>
    <w:multiLevelType w:val="hybridMultilevel"/>
    <w:tmpl w:val="BD644E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6AD36B16"/>
    <w:multiLevelType w:val="hybridMultilevel"/>
    <w:tmpl w:val="1400B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ADF2C5A"/>
    <w:multiLevelType w:val="hybridMultilevel"/>
    <w:tmpl w:val="654C8B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B7A6FBF"/>
    <w:multiLevelType w:val="hybridMultilevel"/>
    <w:tmpl w:val="7FFEB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73">
    <w:nsid w:val="6C570274"/>
    <w:multiLevelType w:val="hybridMultilevel"/>
    <w:tmpl w:val="B56C8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6D7F6A43"/>
    <w:multiLevelType w:val="hybridMultilevel"/>
    <w:tmpl w:val="9BE29D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71063B0B"/>
    <w:multiLevelType w:val="hybridMultilevel"/>
    <w:tmpl w:val="994C6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74FA79A6"/>
    <w:multiLevelType w:val="hybridMultilevel"/>
    <w:tmpl w:val="33268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5BF7326"/>
    <w:multiLevelType w:val="hybridMultilevel"/>
    <w:tmpl w:val="91FC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6EC1616"/>
    <w:multiLevelType w:val="hybridMultilevel"/>
    <w:tmpl w:val="F35A67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77747822"/>
    <w:multiLevelType w:val="hybridMultilevel"/>
    <w:tmpl w:val="EB7EE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7854071F"/>
    <w:multiLevelType w:val="hybridMultilevel"/>
    <w:tmpl w:val="B5EEFB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788302C2"/>
    <w:multiLevelType w:val="hybridMultilevel"/>
    <w:tmpl w:val="1C0EA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2">
    <w:nsid w:val="7AA30991"/>
    <w:multiLevelType w:val="hybridMultilevel"/>
    <w:tmpl w:val="70EA36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7ACF2D8A"/>
    <w:multiLevelType w:val="hybridMultilevel"/>
    <w:tmpl w:val="818C4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7B36138E"/>
    <w:multiLevelType w:val="hybridMultilevel"/>
    <w:tmpl w:val="A5507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86">
    <w:nsid w:val="7DAE5C5B"/>
    <w:multiLevelType w:val="multilevel"/>
    <w:tmpl w:val="E12263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7E0F6850"/>
    <w:multiLevelType w:val="hybridMultilevel"/>
    <w:tmpl w:val="19FA103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E305249"/>
    <w:multiLevelType w:val="hybridMultilevel"/>
    <w:tmpl w:val="EC8A2B2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9">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abstractNum w:abstractNumId="90">
    <w:nsid w:val="7F430218"/>
    <w:multiLevelType w:val="hybridMultilevel"/>
    <w:tmpl w:val="05669E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0"/>
  </w:num>
  <w:num w:numId="2">
    <w:abstractNumId w:val="13"/>
  </w:num>
  <w:num w:numId="3">
    <w:abstractNumId w:val="89"/>
  </w:num>
  <w:num w:numId="4">
    <w:abstractNumId w:val="65"/>
  </w:num>
  <w:num w:numId="5">
    <w:abstractNumId w:val="22"/>
  </w:num>
  <w:num w:numId="6">
    <w:abstractNumId w:val="85"/>
  </w:num>
  <w:num w:numId="7">
    <w:abstractNumId w:val="72"/>
  </w:num>
  <w:num w:numId="8">
    <w:abstractNumId w:val="37"/>
  </w:num>
  <w:num w:numId="9">
    <w:abstractNumId w:val="55"/>
    <w:lvlOverride w:ilvl="4">
      <w:lvl w:ilvl="4">
        <w:start w:val="1"/>
        <w:numFmt w:val="decimal"/>
        <w:lvlText w:val="E.%5."/>
        <w:lvlJc w:val="left"/>
        <w:pPr>
          <w:ind w:left="1701" w:hanging="1134"/>
        </w:pPr>
        <w:rPr>
          <w:rFonts w:ascii="Calibri" w:hAnsi="Calibri" w:hint="default"/>
          <w:b/>
          <w:i w:val="0"/>
          <w:sz w:val="24"/>
        </w:rPr>
      </w:lvl>
    </w:lvlOverride>
  </w:num>
  <w:num w:numId="10">
    <w:abstractNumId w:val="81"/>
  </w:num>
  <w:num w:numId="11">
    <w:abstractNumId w:val="25"/>
  </w:num>
  <w:num w:numId="12">
    <w:abstractNumId w:val="69"/>
  </w:num>
  <w:num w:numId="13">
    <w:abstractNumId w:val="64"/>
  </w:num>
  <w:num w:numId="14">
    <w:abstractNumId w:val="3"/>
  </w:num>
  <w:num w:numId="15">
    <w:abstractNumId w:val="76"/>
  </w:num>
  <w:num w:numId="16">
    <w:abstractNumId w:val="77"/>
  </w:num>
  <w:num w:numId="17">
    <w:abstractNumId w:val="78"/>
  </w:num>
  <w:num w:numId="18">
    <w:abstractNumId w:val="27"/>
  </w:num>
  <w:num w:numId="19">
    <w:abstractNumId w:val="19"/>
  </w:num>
  <w:num w:numId="20">
    <w:abstractNumId w:val="49"/>
  </w:num>
  <w:num w:numId="21">
    <w:abstractNumId w:val="79"/>
  </w:num>
  <w:num w:numId="22">
    <w:abstractNumId w:val="0"/>
  </w:num>
  <w:num w:numId="23">
    <w:abstractNumId w:val="31"/>
  </w:num>
  <w:num w:numId="24">
    <w:abstractNumId w:val="20"/>
  </w:num>
  <w:num w:numId="25">
    <w:abstractNumId w:val="50"/>
  </w:num>
  <w:num w:numId="26">
    <w:abstractNumId w:val="74"/>
  </w:num>
  <w:num w:numId="27">
    <w:abstractNumId w:val="32"/>
  </w:num>
  <w:num w:numId="28">
    <w:abstractNumId w:val="12"/>
  </w:num>
  <w:num w:numId="29">
    <w:abstractNumId w:val="7"/>
  </w:num>
  <w:num w:numId="30">
    <w:abstractNumId w:val="46"/>
  </w:num>
  <w:num w:numId="31">
    <w:abstractNumId w:val="71"/>
  </w:num>
  <w:num w:numId="32">
    <w:abstractNumId w:val="42"/>
  </w:num>
  <w:num w:numId="33">
    <w:abstractNumId w:val="57"/>
  </w:num>
  <w:num w:numId="34">
    <w:abstractNumId w:val="23"/>
  </w:num>
  <w:num w:numId="35">
    <w:abstractNumId w:val="15"/>
  </w:num>
  <w:num w:numId="36">
    <w:abstractNumId w:val="45"/>
  </w:num>
  <w:num w:numId="37">
    <w:abstractNumId w:val="82"/>
  </w:num>
  <w:num w:numId="38">
    <w:abstractNumId w:val="58"/>
  </w:num>
  <w:num w:numId="39">
    <w:abstractNumId w:val="70"/>
  </w:num>
  <w:num w:numId="40">
    <w:abstractNumId w:val="83"/>
  </w:num>
  <w:num w:numId="41">
    <w:abstractNumId w:val="18"/>
  </w:num>
  <w:num w:numId="42">
    <w:abstractNumId w:val="16"/>
  </w:num>
  <w:num w:numId="43">
    <w:abstractNumId w:val="66"/>
  </w:num>
  <w:num w:numId="44">
    <w:abstractNumId w:val="26"/>
  </w:num>
  <w:num w:numId="45">
    <w:abstractNumId w:val="17"/>
  </w:num>
  <w:num w:numId="46">
    <w:abstractNumId w:val="21"/>
  </w:num>
  <w:num w:numId="47">
    <w:abstractNumId w:val="56"/>
  </w:num>
  <w:num w:numId="48">
    <w:abstractNumId w:val="51"/>
  </w:num>
  <w:num w:numId="49">
    <w:abstractNumId w:val="48"/>
  </w:num>
  <w:num w:numId="50">
    <w:abstractNumId w:val="54"/>
  </w:num>
  <w:num w:numId="51">
    <w:abstractNumId w:val="10"/>
  </w:num>
  <w:num w:numId="52">
    <w:abstractNumId w:val="6"/>
  </w:num>
  <w:num w:numId="53">
    <w:abstractNumId w:val="36"/>
  </w:num>
  <w:num w:numId="54">
    <w:abstractNumId w:val="28"/>
  </w:num>
  <w:num w:numId="55">
    <w:abstractNumId w:val="34"/>
  </w:num>
  <w:num w:numId="56">
    <w:abstractNumId w:val="63"/>
  </w:num>
  <w:num w:numId="57">
    <w:abstractNumId w:val="68"/>
  </w:num>
  <w:num w:numId="58">
    <w:abstractNumId w:val="90"/>
  </w:num>
  <w:num w:numId="59">
    <w:abstractNumId w:val="4"/>
  </w:num>
  <w:num w:numId="60">
    <w:abstractNumId w:val="1"/>
  </w:num>
  <w:num w:numId="61">
    <w:abstractNumId w:val="59"/>
  </w:num>
  <w:num w:numId="62">
    <w:abstractNumId w:val="75"/>
  </w:num>
  <w:num w:numId="63">
    <w:abstractNumId w:val="29"/>
  </w:num>
  <w:num w:numId="64">
    <w:abstractNumId w:val="14"/>
  </w:num>
  <w:num w:numId="65">
    <w:abstractNumId w:val="62"/>
  </w:num>
  <w:num w:numId="66">
    <w:abstractNumId w:val="88"/>
  </w:num>
  <w:num w:numId="67">
    <w:abstractNumId w:val="5"/>
  </w:num>
  <w:num w:numId="68">
    <w:abstractNumId w:val="86"/>
  </w:num>
  <w:num w:numId="69">
    <w:abstractNumId w:val="33"/>
  </w:num>
  <w:num w:numId="70">
    <w:abstractNumId w:val="35"/>
  </w:num>
  <w:num w:numId="71">
    <w:abstractNumId w:val="53"/>
  </w:num>
  <w:num w:numId="72">
    <w:abstractNumId w:val="2"/>
  </w:num>
  <w:num w:numId="73">
    <w:abstractNumId w:val="87"/>
  </w:num>
  <w:num w:numId="74">
    <w:abstractNumId w:val="52"/>
  </w:num>
  <w:num w:numId="75">
    <w:abstractNumId w:val="41"/>
  </w:num>
  <w:num w:numId="76">
    <w:abstractNumId w:val="30"/>
  </w:num>
  <w:num w:numId="77">
    <w:abstractNumId w:val="73"/>
  </w:num>
  <w:num w:numId="78">
    <w:abstractNumId w:val="39"/>
  </w:num>
  <w:num w:numId="79">
    <w:abstractNumId w:val="8"/>
  </w:num>
  <w:num w:numId="80">
    <w:abstractNumId w:val="67"/>
  </w:num>
  <w:num w:numId="81">
    <w:abstractNumId w:val="47"/>
  </w:num>
  <w:num w:numId="82">
    <w:abstractNumId w:val="44"/>
  </w:num>
  <w:num w:numId="83">
    <w:abstractNumId w:val="40"/>
  </w:num>
  <w:num w:numId="84">
    <w:abstractNumId w:val="80"/>
  </w:num>
  <w:num w:numId="85">
    <w:abstractNumId w:val="43"/>
  </w:num>
  <w:num w:numId="86">
    <w:abstractNumId w:val="84"/>
  </w:num>
  <w:num w:numId="87">
    <w:abstractNumId w:val="9"/>
  </w:num>
  <w:num w:numId="88">
    <w:abstractNumId w:val="24"/>
  </w:num>
  <w:num w:numId="89">
    <w:abstractNumId w:val="61"/>
  </w:num>
  <w:num w:numId="90">
    <w:abstractNumId w:val="38"/>
  </w:num>
  <w:num w:numId="91">
    <w:abstractNumId w:val="1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Harvard R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5ssdaw2cf0zvye5xvo5z9ww0xdpfstrdtew&quot;&gt;DHA CA 1403 Lung ablation_Draft report&lt;record-ids&gt;&lt;item&gt;10&lt;/item&gt;&lt;item&gt;11&lt;/item&gt;&lt;item&gt;14&lt;/item&gt;&lt;item&gt;16&lt;/item&gt;&lt;item&gt;18&lt;/item&gt;&lt;item&gt;20&lt;/item&gt;&lt;item&gt;22&lt;/item&gt;&lt;item&gt;23&lt;/item&gt;&lt;item&gt;26&lt;/item&gt;&lt;item&gt;28&lt;/item&gt;&lt;item&gt;29&lt;/item&gt;&lt;item&gt;31&lt;/item&gt;&lt;item&gt;35&lt;/item&gt;&lt;item&gt;37&lt;/item&gt;&lt;item&gt;39&lt;/item&gt;&lt;item&gt;42&lt;/item&gt;&lt;item&gt;43&lt;/item&gt;&lt;item&gt;44&lt;/item&gt;&lt;item&gt;45&lt;/item&gt;&lt;item&gt;46&lt;/item&gt;&lt;item&gt;48&lt;/item&gt;&lt;item&gt;50&lt;/item&gt;&lt;item&gt;52&lt;/item&gt;&lt;item&gt;54&lt;/item&gt;&lt;item&gt;56&lt;/item&gt;&lt;item&gt;58&lt;/item&gt;&lt;item&gt;65&lt;/item&gt;&lt;item&gt;66&lt;/item&gt;&lt;item&gt;68&lt;/item&gt;&lt;item&gt;69&lt;/item&gt;&lt;item&gt;70&lt;/item&gt;&lt;item&gt;71&lt;/item&gt;&lt;item&gt;72&lt;/item&gt;&lt;item&gt;73&lt;/item&gt;&lt;item&gt;74&lt;/item&gt;&lt;item&gt;75&lt;/item&gt;&lt;item&gt;76&lt;/item&gt;&lt;item&gt;77&lt;/item&gt;&lt;item&gt;89&lt;/item&gt;&lt;item&gt;90&lt;/item&gt;&lt;item&gt;91&lt;/item&gt;&lt;item&gt;93&lt;/item&gt;&lt;item&gt;94&lt;/item&gt;&lt;item&gt;95&lt;/item&gt;&lt;item&gt;96&lt;/item&gt;&lt;item&gt;97&lt;/item&gt;&lt;item&gt;98&lt;/item&gt;&lt;item&gt;99&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6&lt;/item&gt;&lt;item&gt;149&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9&lt;/item&gt;&lt;item&gt;180&lt;/item&gt;&lt;item&gt;184&lt;/item&gt;&lt;item&gt;186&lt;/item&gt;&lt;item&gt;187&lt;/item&gt;&lt;item&gt;188&lt;/item&gt;&lt;item&gt;191&lt;/item&gt;&lt;item&gt;192&lt;/item&gt;&lt;item&gt;193&lt;/item&gt;&lt;item&gt;194&lt;/item&gt;&lt;item&gt;198&lt;/item&gt;&lt;item&gt;199&lt;/item&gt;&lt;item&gt;200&lt;/item&gt;&lt;item&gt;201&lt;/item&gt;&lt;item&gt;203&lt;/item&gt;&lt;item&gt;207&lt;/item&gt;&lt;item&gt;208&lt;/item&gt;&lt;item&gt;209&lt;/item&gt;&lt;item&gt;211&lt;/item&gt;&lt;item&gt;212&lt;/item&gt;&lt;item&gt;213&lt;/item&gt;&lt;item&gt;214&lt;/item&gt;&lt;item&gt;215&lt;/item&gt;&lt;item&gt;216&lt;/item&gt;&lt;item&gt;217&lt;/item&gt;&lt;item&gt;218&lt;/item&gt;&lt;item&gt;219&lt;/item&gt;&lt;item&gt;221&lt;/item&gt;&lt;item&gt;222&lt;/item&gt;&lt;item&gt;223&lt;/item&gt;&lt;item&gt;224&lt;/item&gt;&lt;item&gt;226&lt;/item&gt;&lt;item&gt;227&lt;/item&gt;&lt;item&gt;228&lt;/item&gt;&lt;item&gt;233&lt;/item&gt;&lt;item&gt;236&lt;/item&gt;&lt;item&gt;237&lt;/item&gt;&lt;item&gt;241&lt;/item&gt;&lt;item&gt;244&lt;/item&gt;&lt;item&gt;245&lt;/item&gt;&lt;item&gt;246&lt;/item&gt;&lt;item&gt;247&lt;/item&gt;&lt;item&gt;248&lt;/item&gt;&lt;item&gt;251&lt;/item&gt;&lt;item&gt;256&lt;/item&gt;&lt;item&gt;257&lt;/item&gt;&lt;item&gt;258&lt;/item&gt;&lt;item&gt;259&lt;/item&gt;&lt;item&gt;260&lt;/item&gt;&lt;item&gt;261&lt;/item&gt;&lt;item&gt;262&lt;/item&gt;&lt;item&gt;263&lt;/item&gt;&lt;item&gt;264&lt;/item&gt;&lt;item&gt;266&lt;/item&gt;&lt;item&gt;267&lt;/item&gt;&lt;item&gt;268&lt;/item&gt;&lt;item&gt;269&lt;/item&gt;&lt;item&gt;270&lt;/item&gt;&lt;item&gt;275&lt;/item&gt;&lt;item&gt;276&lt;/item&gt;&lt;item&gt;278&lt;/item&gt;&lt;item&gt;279&lt;/item&gt;&lt;item&gt;280&lt;/item&gt;&lt;item&gt;281&lt;/item&gt;&lt;item&gt;282&lt;/item&gt;&lt;item&gt;285&lt;/item&gt;&lt;item&gt;286&lt;/item&gt;&lt;item&gt;287&lt;/item&gt;&lt;item&gt;288&lt;/item&gt;&lt;item&gt;289&lt;/item&gt;&lt;item&gt;291&lt;/item&gt;&lt;/record-ids&gt;&lt;/item&gt;&lt;/Libraries&gt;"/>
  </w:docVars>
  <w:rsids>
    <w:rsidRoot w:val="00327DE6"/>
    <w:rsid w:val="000006B5"/>
    <w:rsid w:val="0000074B"/>
    <w:rsid w:val="0000084F"/>
    <w:rsid w:val="00000B9C"/>
    <w:rsid w:val="00000BEB"/>
    <w:rsid w:val="00000C3A"/>
    <w:rsid w:val="00000C42"/>
    <w:rsid w:val="00000DA3"/>
    <w:rsid w:val="00000FA9"/>
    <w:rsid w:val="0000102D"/>
    <w:rsid w:val="0000124A"/>
    <w:rsid w:val="0000127D"/>
    <w:rsid w:val="0000136D"/>
    <w:rsid w:val="0000145C"/>
    <w:rsid w:val="0000165D"/>
    <w:rsid w:val="0000190C"/>
    <w:rsid w:val="00001B0F"/>
    <w:rsid w:val="00001B1D"/>
    <w:rsid w:val="00001C3C"/>
    <w:rsid w:val="00001D02"/>
    <w:rsid w:val="00001E31"/>
    <w:rsid w:val="00001F98"/>
    <w:rsid w:val="0000226A"/>
    <w:rsid w:val="0000228D"/>
    <w:rsid w:val="00002552"/>
    <w:rsid w:val="00002709"/>
    <w:rsid w:val="00002830"/>
    <w:rsid w:val="000029F2"/>
    <w:rsid w:val="00003287"/>
    <w:rsid w:val="00003796"/>
    <w:rsid w:val="00003800"/>
    <w:rsid w:val="00003B37"/>
    <w:rsid w:val="00003F0A"/>
    <w:rsid w:val="0000430A"/>
    <w:rsid w:val="0000459B"/>
    <w:rsid w:val="000045FA"/>
    <w:rsid w:val="00004D16"/>
    <w:rsid w:val="00005109"/>
    <w:rsid w:val="000051D3"/>
    <w:rsid w:val="00005257"/>
    <w:rsid w:val="0000536A"/>
    <w:rsid w:val="000055D4"/>
    <w:rsid w:val="000056FA"/>
    <w:rsid w:val="000063AE"/>
    <w:rsid w:val="00006627"/>
    <w:rsid w:val="00006639"/>
    <w:rsid w:val="00006641"/>
    <w:rsid w:val="000066D3"/>
    <w:rsid w:val="00006961"/>
    <w:rsid w:val="000069A7"/>
    <w:rsid w:val="00006C74"/>
    <w:rsid w:val="0000702D"/>
    <w:rsid w:val="000070E2"/>
    <w:rsid w:val="000070F9"/>
    <w:rsid w:val="00007174"/>
    <w:rsid w:val="00007401"/>
    <w:rsid w:val="000078DB"/>
    <w:rsid w:val="000078F6"/>
    <w:rsid w:val="00007948"/>
    <w:rsid w:val="00007A44"/>
    <w:rsid w:val="00007A4C"/>
    <w:rsid w:val="00007BE0"/>
    <w:rsid w:val="00007C3C"/>
    <w:rsid w:val="00007D81"/>
    <w:rsid w:val="00007DC0"/>
    <w:rsid w:val="0001015A"/>
    <w:rsid w:val="000106F7"/>
    <w:rsid w:val="0001085B"/>
    <w:rsid w:val="0001088E"/>
    <w:rsid w:val="000108EE"/>
    <w:rsid w:val="000109F3"/>
    <w:rsid w:val="00010BF8"/>
    <w:rsid w:val="00010D2A"/>
    <w:rsid w:val="00010FB8"/>
    <w:rsid w:val="00011150"/>
    <w:rsid w:val="000111D2"/>
    <w:rsid w:val="000111ED"/>
    <w:rsid w:val="0001135D"/>
    <w:rsid w:val="00011550"/>
    <w:rsid w:val="0001167C"/>
    <w:rsid w:val="00011758"/>
    <w:rsid w:val="00011772"/>
    <w:rsid w:val="00011BF0"/>
    <w:rsid w:val="00012284"/>
    <w:rsid w:val="000122AB"/>
    <w:rsid w:val="000123EE"/>
    <w:rsid w:val="00012B05"/>
    <w:rsid w:val="00012BF1"/>
    <w:rsid w:val="00012EA4"/>
    <w:rsid w:val="00012EA6"/>
    <w:rsid w:val="00012FE5"/>
    <w:rsid w:val="0001307B"/>
    <w:rsid w:val="000130D3"/>
    <w:rsid w:val="000133F9"/>
    <w:rsid w:val="00013456"/>
    <w:rsid w:val="000134C1"/>
    <w:rsid w:val="0001357B"/>
    <w:rsid w:val="00013791"/>
    <w:rsid w:val="0001388D"/>
    <w:rsid w:val="00013926"/>
    <w:rsid w:val="00013934"/>
    <w:rsid w:val="000139D1"/>
    <w:rsid w:val="000139EB"/>
    <w:rsid w:val="00013B46"/>
    <w:rsid w:val="00013CF6"/>
    <w:rsid w:val="00013F84"/>
    <w:rsid w:val="00013FA1"/>
    <w:rsid w:val="00014541"/>
    <w:rsid w:val="00014736"/>
    <w:rsid w:val="00014917"/>
    <w:rsid w:val="000149C2"/>
    <w:rsid w:val="00014A66"/>
    <w:rsid w:val="00014D6D"/>
    <w:rsid w:val="00014EC1"/>
    <w:rsid w:val="00015282"/>
    <w:rsid w:val="0001538B"/>
    <w:rsid w:val="000155E6"/>
    <w:rsid w:val="0001563F"/>
    <w:rsid w:val="000156F4"/>
    <w:rsid w:val="00015787"/>
    <w:rsid w:val="00015C26"/>
    <w:rsid w:val="00015E03"/>
    <w:rsid w:val="000160B3"/>
    <w:rsid w:val="000161CB"/>
    <w:rsid w:val="00016333"/>
    <w:rsid w:val="000165F4"/>
    <w:rsid w:val="0001667E"/>
    <w:rsid w:val="00016792"/>
    <w:rsid w:val="0001695D"/>
    <w:rsid w:val="00016AF9"/>
    <w:rsid w:val="00016E15"/>
    <w:rsid w:val="00016F92"/>
    <w:rsid w:val="00016FDF"/>
    <w:rsid w:val="000171FD"/>
    <w:rsid w:val="000174B9"/>
    <w:rsid w:val="00017640"/>
    <w:rsid w:val="00017827"/>
    <w:rsid w:val="00017A72"/>
    <w:rsid w:val="00017B2B"/>
    <w:rsid w:val="00017D44"/>
    <w:rsid w:val="00020648"/>
    <w:rsid w:val="000208A2"/>
    <w:rsid w:val="00020A61"/>
    <w:rsid w:val="00020BFA"/>
    <w:rsid w:val="00020C59"/>
    <w:rsid w:val="00020CAE"/>
    <w:rsid w:val="00020E2E"/>
    <w:rsid w:val="00020F15"/>
    <w:rsid w:val="00021072"/>
    <w:rsid w:val="000211F1"/>
    <w:rsid w:val="00021394"/>
    <w:rsid w:val="00021447"/>
    <w:rsid w:val="00021AAA"/>
    <w:rsid w:val="00021FDC"/>
    <w:rsid w:val="000221A1"/>
    <w:rsid w:val="0002230A"/>
    <w:rsid w:val="000223D7"/>
    <w:rsid w:val="0002265C"/>
    <w:rsid w:val="00022FCD"/>
    <w:rsid w:val="000236CF"/>
    <w:rsid w:val="0002376F"/>
    <w:rsid w:val="00023792"/>
    <w:rsid w:val="0002411A"/>
    <w:rsid w:val="0002446C"/>
    <w:rsid w:val="000245FC"/>
    <w:rsid w:val="00024670"/>
    <w:rsid w:val="000246DB"/>
    <w:rsid w:val="00024819"/>
    <w:rsid w:val="00024C4C"/>
    <w:rsid w:val="00024E90"/>
    <w:rsid w:val="00025297"/>
    <w:rsid w:val="000252E5"/>
    <w:rsid w:val="0002533E"/>
    <w:rsid w:val="0002581D"/>
    <w:rsid w:val="00025D96"/>
    <w:rsid w:val="00025F1A"/>
    <w:rsid w:val="0002616E"/>
    <w:rsid w:val="000266AD"/>
    <w:rsid w:val="000267EC"/>
    <w:rsid w:val="0002695E"/>
    <w:rsid w:val="000269A7"/>
    <w:rsid w:val="000269B0"/>
    <w:rsid w:val="00026A52"/>
    <w:rsid w:val="00026A9E"/>
    <w:rsid w:val="00026D2F"/>
    <w:rsid w:val="00026D6A"/>
    <w:rsid w:val="00026DA0"/>
    <w:rsid w:val="00027055"/>
    <w:rsid w:val="0002707D"/>
    <w:rsid w:val="00027194"/>
    <w:rsid w:val="00027329"/>
    <w:rsid w:val="0002749F"/>
    <w:rsid w:val="00027611"/>
    <w:rsid w:val="0002773D"/>
    <w:rsid w:val="00027870"/>
    <w:rsid w:val="00027B53"/>
    <w:rsid w:val="00027DDF"/>
    <w:rsid w:val="00027F1B"/>
    <w:rsid w:val="0003004C"/>
    <w:rsid w:val="000303D8"/>
    <w:rsid w:val="000308BA"/>
    <w:rsid w:val="00030C76"/>
    <w:rsid w:val="00030E6F"/>
    <w:rsid w:val="00030FB4"/>
    <w:rsid w:val="000311A8"/>
    <w:rsid w:val="00031330"/>
    <w:rsid w:val="0003136E"/>
    <w:rsid w:val="000313F3"/>
    <w:rsid w:val="000314E2"/>
    <w:rsid w:val="000316FD"/>
    <w:rsid w:val="000317F7"/>
    <w:rsid w:val="00031802"/>
    <w:rsid w:val="00031A2C"/>
    <w:rsid w:val="00031D22"/>
    <w:rsid w:val="00031E0F"/>
    <w:rsid w:val="00031E21"/>
    <w:rsid w:val="00032124"/>
    <w:rsid w:val="000321D9"/>
    <w:rsid w:val="000322A1"/>
    <w:rsid w:val="0003260D"/>
    <w:rsid w:val="00033087"/>
    <w:rsid w:val="00033303"/>
    <w:rsid w:val="0003350F"/>
    <w:rsid w:val="00033995"/>
    <w:rsid w:val="00033C31"/>
    <w:rsid w:val="00033E27"/>
    <w:rsid w:val="000340BA"/>
    <w:rsid w:val="00034697"/>
    <w:rsid w:val="00034899"/>
    <w:rsid w:val="00034AE9"/>
    <w:rsid w:val="00034CFE"/>
    <w:rsid w:val="00034D13"/>
    <w:rsid w:val="00035579"/>
    <w:rsid w:val="0003577C"/>
    <w:rsid w:val="00035818"/>
    <w:rsid w:val="0003587F"/>
    <w:rsid w:val="0003595E"/>
    <w:rsid w:val="00035B47"/>
    <w:rsid w:val="00035FF2"/>
    <w:rsid w:val="00036221"/>
    <w:rsid w:val="0003639B"/>
    <w:rsid w:val="0003669F"/>
    <w:rsid w:val="000368B9"/>
    <w:rsid w:val="00036954"/>
    <w:rsid w:val="00036F0B"/>
    <w:rsid w:val="00036FE1"/>
    <w:rsid w:val="000373D6"/>
    <w:rsid w:val="000373E8"/>
    <w:rsid w:val="00037729"/>
    <w:rsid w:val="00037B2B"/>
    <w:rsid w:val="00040305"/>
    <w:rsid w:val="000406B4"/>
    <w:rsid w:val="00040D41"/>
    <w:rsid w:val="00040DD2"/>
    <w:rsid w:val="00041091"/>
    <w:rsid w:val="0004109F"/>
    <w:rsid w:val="000412E4"/>
    <w:rsid w:val="000412FA"/>
    <w:rsid w:val="00041303"/>
    <w:rsid w:val="0004165A"/>
    <w:rsid w:val="0004175D"/>
    <w:rsid w:val="00041867"/>
    <w:rsid w:val="00041ADB"/>
    <w:rsid w:val="00041B23"/>
    <w:rsid w:val="00041C6F"/>
    <w:rsid w:val="00041F2B"/>
    <w:rsid w:val="00041F9C"/>
    <w:rsid w:val="00041FA4"/>
    <w:rsid w:val="00042158"/>
    <w:rsid w:val="000424B4"/>
    <w:rsid w:val="000427F8"/>
    <w:rsid w:val="00042909"/>
    <w:rsid w:val="00042A72"/>
    <w:rsid w:val="00043293"/>
    <w:rsid w:val="00043AC7"/>
    <w:rsid w:val="00043C04"/>
    <w:rsid w:val="000440F0"/>
    <w:rsid w:val="0004428C"/>
    <w:rsid w:val="0004468B"/>
    <w:rsid w:val="00044823"/>
    <w:rsid w:val="00044B7A"/>
    <w:rsid w:val="00044C80"/>
    <w:rsid w:val="00044F43"/>
    <w:rsid w:val="0004536B"/>
    <w:rsid w:val="00045C50"/>
    <w:rsid w:val="0004642F"/>
    <w:rsid w:val="000464C3"/>
    <w:rsid w:val="00046E1D"/>
    <w:rsid w:val="00046EA7"/>
    <w:rsid w:val="00047007"/>
    <w:rsid w:val="000473DD"/>
    <w:rsid w:val="00047428"/>
    <w:rsid w:val="00047EFA"/>
    <w:rsid w:val="00047F1A"/>
    <w:rsid w:val="00050198"/>
    <w:rsid w:val="00050356"/>
    <w:rsid w:val="000508A4"/>
    <w:rsid w:val="000508E4"/>
    <w:rsid w:val="00050DAA"/>
    <w:rsid w:val="00051060"/>
    <w:rsid w:val="00051085"/>
    <w:rsid w:val="000512A0"/>
    <w:rsid w:val="0005156D"/>
    <w:rsid w:val="00051666"/>
    <w:rsid w:val="00051817"/>
    <w:rsid w:val="00051878"/>
    <w:rsid w:val="00051A96"/>
    <w:rsid w:val="00051AA7"/>
    <w:rsid w:val="00051B04"/>
    <w:rsid w:val="00052058"/>
    <w:rsid w:val="000521A1"/>
    <w:rsid w:val="0005232D"/>
    <w:rsid w:val="0005236D"/>
    <w:rsid w:val="00052434"/>
    <w:rsid w:val="0005272E"/>
    <w:rsid w:val="00052741"/>
    <w:rsid w:val="0005281F"/>
    <w:rsid w:val="0005287C"/>
    <w:rsid w:val="00052935"/>
    <w:rsid w:val="00052B43"/>
    <w:rsid w:val="00052C0B"/>
    <w:rsid w:val="00052DA0"/>
    <w:rsid w:val="00052E3F"/>
    <w:rsid w:val="00052FBC"/>
    <w:rsid w:val="00053A89"/>
    <w:rsid w:val="000542C3"/>
    <w:rsid w:val="000547E2"/>
    <w:rsid w:val="0005483D"/>
    <w:rsid w:val="0005498D"/>
    <w:rsid w:val="00054C69"/>
    <w:rsid w:val="00054D46"/>
    <w:rsid w:val="000554AA"/>
    <w:rsid w:val="000556D1"/>
    <w:rsid w:val="00055D72"/>
    <w:rsid w:val="00055D73"/>
    <w:rsid w:val="00055E08"/>
    <w:rsid w:val="00056109"/>
    <w:rsid w:val="00056684"/>
    <w:rsid w:val="00056B1F"/>
    <w:rsid w:val="00056BE2"/>
    <w:rsid w:val="00056DA7"/>
    <w:rsid w:val="00056DC4"/>
    <w:rsid w:val="00056ED1"/>
    <w:rsid w:val="00056F6C"/>
    <w:rsid w:val="00057272"/>
    <w:rsid w:val="00057540"/>
    <w:rsid w:val="00057834"/>
    <w:rsid w:val="000579F3"/>
    <w:rsid w:val="00057AB2"/>
    <w:rsid w:val="00057FD3"/>
    <w:rsid w:val="00060178"/>
    <w:rsid w:val="000603BD"/>
    <w:rsid w:val="0006065B"/>
    <w:rsid w:val="00060866"/>
    <w:rsid w:val="00060875"/>
    <w:rsid w:val="000608FD"/>
    <w:rsid w:val="000609A2"/>
    <w:rsid w:val="00060B82"/>
    <w:rsid w:val="00060E4F"/>
    <w:rsid w:val="00060E70"/>
    <w:rsid w:val="00061007"/>
    <w:rsid w:val="000613E7"/>
    <w:rsid w:val="00061841"/>
    <w:rsid w:val="00061A1C"/>
    <w:rsid w:val="00061AD5"/>
    <w:rsid w:val="00061AF5"/>
    <w:rsid w:val="00061B05"/>
    <w:rsid w:val="00061DB6"/>
    <w:rsid w:val="00062064"/>
    <w:rsid w:val="000623BB"/>
    <w:rsid w:val="000625F7"/>
    <w:rsid w:val="00062F2F"/>
    <w:rsid w:val="0006306E"/>
    <w:rsid w:val="00063167"/>
    <w:rsid w:val="00063311"/>
    <w:rsid w:val="00063727"/>
    <w:rsid w:val="0006384B"/>
    <w:rsid w:val="00063A31"/>
    <w:rsid w:val="00063A3A"/>
    <w:rsid w:val="00063C7C"/>
    <w:rsid w:val="00063C88"/>
    <w:rsid w:val="00063CC4"/>
    <w:rsid w:val="00063CE8"/>
    <w:rsid w:val="00063F44"/>
    <w:rsid w:val="00063FE3"/>
    <w:rsid w:val="0006406E"/>
    <w:rsid w:val="00064197"/>
    <w:rsid w:val="0006420B"/>
    <w:rsid w:val="0006422B"/>
    <w:rsid w:val="00064CFB"/>
    <w:rsid w:val="00064D3E"/>
    <w:rsid w:val="00064D52"/>
    <w:rsid w:val="00064FAB"/>
    <w:rsid w:val="00065062"/>
    <w:rsid w:val="000650CB"/>
    <w:rsid w:val="00065302"/>
    <w:rsid w:val="0006531D"/>
    <w:rsid w:val="0006541A"/>
    <w:rsid w:val="000656B5"/>
    <w:rsid w:val="00065860"/>
    <w:rsid w:val="00065AF9"/>
    <w:rsid w:val="00065CD5"/>
    <w:rsid w:val="00065DD7"/>
    <w:rsid w:val="0006651D"/>
    <w:rsid w:val="00066856"/>
    <w:rsid w:val="00066CD5"/>
    <w:rsid w:val="00066F5D"/>
    <w:rsid w:val="00067BF6"/>
    <w:rsid w:val="00067BFA"/>
    <w:rsid w:val="00067F63"/>
    <w:rsid w:val="000700BB"/>
    <w:rsid w:val="0007094F"/>
    <w:rsid w:val="00070B84"/>
    <w:rsid w:val="000715A2"/>
    <w:rsid w:val="000715CB"/>
    <w:rsid w:val="00071963"/>
    <w:rsid w:val="00071B67"/>
    <w:rsid w:val="00071BA0"/>
    <w:rsid w:val="00071CF1"/>
    <w:rsid w:val="000720B0"/>
    <w:rsid w:val="00072199"/>
    <w:rsid w:val="0007284B"/>
    <w:rsid w:val="000729F7"/>
    <w:rsid w:val="00072A22"/>
    <w:rsid w:val="00072DC0"/>
    <w:rsid w:val="00073178"/>
    <w:rsid w:val="00073235"/>
    <w:rsid w:val="00073267"/>
    <w:rsid w:val="00073339"/>
    <w:rsid w:val="00073376"/>
    <w:rsid w:val="00073636"/>
    <w:rsid w:val="0007379A"/>
    <w:rsid w:val="00073882"/>
    <w:rsid w:val="000739E5"/>
    <w:rsid w:val="00073A8D"/>
    <w:rsid w:val="00073DEC"/>
    <w:rsid w:val="00073EC5"/>
    <w:rsid w:val="000742BD"/>
    <w:rsid w:val="00074ABF"/>
    <w:rsid w:val="00074DE3"/>
    <w:rsid w:val="00074F92"/>
    <w:rsid w:val="00075115"/>
    <w:rsid w:val="00075A7C"/>
    <w:rsid w:val="00075C24"/>
    <w:rsid w:val="00075E99"/>
    <w:rsid w:val="0007602A"/>
    <w:rsid w:val="000768BB"/>
    <w:rsid w:val="000769E1"/>
    <w:rsid w:val="00076A45"/>
    <w:rsid w:val="00076A70"/>
    <w:rsid w:val="00076F32"/>
    <w:rsid w:val="00077002"/>
    <w:rsid w:val="00077247"/>
    <w:rsid w:val="000774DB"/>
    <w:rsid w:val="000776D8"/>
    <w:rsid w:val="0007785D"/>
    <w:rsid w:val="00077880"/>
    <w:rsid w:val="00077931"/>
    <w:rsid w:val="000779DB"/>
    <w:rsid w:val="00077B5B"/>
    <w:rsid w:val="00077F4B"/>
    <w:rsid w:val="00080094"/>
    <w:rsid w:val="00080288"/>
    <w:rsid w:val="0008033F"/>
    <w:rsid w:val="00080706"/>
    <w:rsid w:val="00080986"/>
    <w:rsid w:val="000809D5"/>
    <w:rsid w:val="00080F4E"/>
    <w:rsid w:val="0008150F"/>
    <w:rsid w:val="0008168D"/>
    <w:rsid w:val="00081D3C"/>
    <w:rsid w:val="000820C6"/>
    <w:rsid w:val="000821BD"/>
    <w:rsid w:val="000822EA"/>
    <w:rsid w:val="0008260B"/>
    <w:rsid w:val="0008261B"/>
    <w:rsid w:val="00082712"/>
    <w:rsid w:val="00082977"/>
    <w:rsid w:val="00082C5A"/>
    <w:rsid w:val="00082CDD"/>
    <w:rsid w:val="00082E66"/>
    <w:rsid w:val="00082EC5"/>
    <w:rsid w:val="000833F7"/>
    <w:rsid w:val="00083498"/>
    <w:rsid w:val="0008367E"/>
    <w:rsid w:val="000838C2"/>
    <w:rsid w:val="00083966"/>
    <w:rsid w:val="000848D5"/>
    <w:rsid w:val="00084B4E"/>
    <w:rsid w:val="00084CE9"/>
    <w:rsid w:val="00084F06"/>
    <w:rsid w:val="00084F83"/>
    <w:rsid w:val="000851BD"/>
    <w:rsid w:val="00085282"/>
    <w:rsid w:val="00085400"/>
    <w:rsid w:val="00085883"/>
    <w:rsid w:val="00085981"/>
    <w:rsid w:val="00085BE9"/>
    <w:rsid w:val="00085C31"/>
    <w:rsid w:val="00085DF0"/>
    <w:rsid w:val="00085FC1"/>
    <w:rsid w:val="0008612D"/>
    <w:rsid w:val="000861FA"/>
    <w:rsid w:val="0008622D"/>
    <w:rsid w:val="00086491"/>
    <w:rsid w:val="000868BD"/>
    <w:rsid w:val="000869F6"/>
    <w:rsid w:val="00086D44"/>
    <w:rsid w:val="00086DB8"/>
    <w:rsid w:val="00087F4E"/>
    <w:rsid w:val="0009006A"/>
    <w:rsid w:val="0009022A"/>
    <w:rsid w:val="00090251"/>
    <w:rsid w:val="00090330"/>
    <w:rsid w:val="000903F9"/>
    <w:rsid w:val="000905F4"/>
    <w:rsid w:val="00090892"/>
    <w:rsid w:val="00090904"/>
    <w:rsid w:val="00090AA3"/>
    <w:rsid w:val="00090BD2"/>
    <w:rsid w:val="00090D99"/>
    <w:rsid w:val="00090DDE"/>
    <w:rsid w:val="00090EF8"/>
    <w:rsid w:val="00091296"/>
    <w:rsid w:val="0009131F"/>
    <w:rsid w:val="000914B5"/>
    <w:rsid w:val="00091667"/>
    <w:rsid w:val="000917C7"/>
    <w:rsid w:val="000917E2"/>
    <w:rsid w:val="00091989"/>
    <w:rsid w:val="00091A2F"/>
    <w:rsid w:val="00092116"/>
    <w:rsid w:val="0009259D"/>
    <w:rsid w:val="00092784"/>
    <w:rsid w:val="00092906"/>
    <w:rsid w:val="00092967"/>
    <w:rsid w:val="00092A35"/>
    <w:rsid w:val="00092CFA"/>
    <w:rsid w:val="000933E6"/>
    <w:rsid w:val="000935F5"/>
    <w:rsid w:val="000937B3"/>
    <w:rsid w:val="0009386C"/>
    <w:rsid w:val="000939B9"/>
    <w:rsid w:val="00093C9A"/>
    <w:rsid w:val="00093C9E"/>
    <w:rsid w:val="00093CE9"/>
    <w:rsid w:val="00093DC4"/>
    <w:rsid w:val="00093EE9"/>
    <w:rsid w:val="00094977"/>
    <w:rsid w:val="00094D4D"/>
    <w:rsid w:val="00094DBD"/>
    <w:rsid w:val="00094FCF"/>
    <w:rsid w:val="000950E6"/>
    <w:rsid w:val="00095C7F"/>
    <w:rsid w:val="00095CAB"/>
    <w:rsid w:val="00095CDF"/>
    <w:rsid w:val="00095E96"/>
    <w:rsid w:val="0009679F"/>
    <w:rsid w:val="00096AAE"/>
    <w:rsid w:val="00096B92"/>
    <w:rsid w:val="00096BD5"/>
    <w:rsid w:val="00096EBE"/>
    <w:rsid w:val="00096EEA"/>
    <w:rsid w:val="00097AAC"/>
    <w:rsid w:val="00097D69"/>
    <w:rsid w:val="000A0146"/>
    <w:rsid w:val="000A030A"/>
    <w:rsid w:val="000A031C"/>
    <w:rsid w:val="000A051D"/>
    <w:rsid w:val="000A0790"/>
    <w:rsid w:val="000A07CB"/>
    <w:rsid w:val="000A0C9C"/>
    <w:rsid w:val="000A0D18"/>
    <w:rsid w:val="000A0F30"/>
    <w:rsid w:val="000A1298"/>
    <w:rsid w:val="000A130F"/>
    <w:rsid w:val="000A13F7"/>
    <w:rsid w:val="000A1508"/>
    <w:rsid w:val="000A1599"/>
    <w:rsid w:val="000A1747"/>
    <w:rsid w:val="000A17EF"/>
    <w:rsid w:val="000A1C4E"/>
    <w:rsid w:val="000A1D85"/>
    <w:rsid w:val="000A216B"/>
    <w:rsid w:val="000A2278"/>
    <w:rsid w:val="000A2445"/>
    <w:rsid w:val="000A272A"/>
    <w:rsid w:val="000A2C9E"/>
    <w:rsid w:val="000A2F9D"/>
    <w:rsid w:val="000A2FA5"/>
    <w:rsid w:val="000A375A"/>
    <w:rsid w:val="000A39F4"/>
    <w:rsid w:val="000A3AAF"/>
    <w:rsid w:val="000A3DFC"/>
    <w:rsid w:val="000A3E60"/>
    <w:rsid w:val="000A3F8D"/>
    <w:rsid w:val="000A42FA"/>
    <w:rsid w:val="000A48E7"/>
    <w:rsid w:val="000A4CD2"/>
    <w:rsid w:val="000A4DF3"/>
    <w:rsid w:val="000A50D1"/>
    <w:rsid w:val="000A546E"/>
    <w:rsid w:val="000A54AD"/>
    <w:rsid w:val="000A55B4"/>
    <w:rsid w:val="000A55E5"/>
    <w:rsid w:val="000A5CE8"/>
    <w:rsid w:val="000A5DB5"/>
    <w:rsid w:val="000A612B"/>
    <w:rsid w:val="000A68EF"/>
    <w:rsid w:val="000A6AF5"/>
    <w:rsid w:val="000A6C01"/>
    <w:rsid w:val="000A6D9B"/>
    <w:rsid w:val="000A70CD"/>
    <w:rsid w:val="000A7356"/>
    <w:rsid w:val="000A77C8"/>
    <w:rsid w:val="000A7943"/>
    <w:rsid w:val="000A79A1"/>
    <w:rsid w:val="000A7D0A"/>
    <w:rsid w:val="000B017A"/>
    <w:rsid w:val="000B02F7"/>
    <w:rsid w:val="000B0364"/>
    <w:rsid w:val="000B06C4"/>
    <w:rsid w:val="000B076E"/>
    <w:rsid w:val="000B0993"/>
    <w:rsid w:val="000B0AB1"/>
    <w:rsid w:val="000B0F0F"/>
    <w:rsid w:val="000B1434"/>
    <w:rsid w:val="000B164F"/>
    <w:rsid w:val="000B1F56"/>
    <w:rsid w:val="000B21CB"/>
    <w:rsid w:val="000B23EA"/>
    <w:rsid w:val="000B2675"/>
    <w:rsid w:val="000B26DD"/>
    <w:rsid w:val="000B274D"/>
    <w:rsid w:val="000B2A2D"/>
    <w:rsid w:val="000B2DCA"/>
    <w:rsid w:val="000B2E4B"/>
    <w:rsid w:val="000B2FCE"/>
    <w:rsid w:val="000B30A2"/>
    <w:rsid w:val="000B324F"/>
    <w:rsid w:val="000B3470"/>
    <w:rsid w:val="000B3610"/>
    <w:rsid w:val="000B3C0D"/>
    <w:rsid w:val="000B3CA5"/>
    <w:rsid w:val="000B4238"/>
    <w:rsid w:val="000B4253"/>
    <w:rsid w:val="000B4A87"/>
    <w:rsid w:val="000B4BDC"/>
    <w:rsid w:val="000B4CAC"/>
    <w:rsid w:val="000B4CAD"/>
    <w:rsid w:val="000B4DBC"/>
    <w:rsid w:val="000B4DF5"/>
    <w:rsid w:val="000B508C"/>
    <w:rsid w:val="000B525C"/>
    <w:rsid w:val="000B53F9"/>
    <w:rsid w:val="000B5A82"/>
    <w:rsid w:val="000B5C7B"/>
    <w:rsid w:val="000B5D81"/>
    <w:rsid w:val="000B6212"/>
    <w:rsid w:val="000B63E1"/>
    <w:rsid w:val="000B66B9"/>
    <w:rsid w:val="000B688F"/>
    <w:rsid w:val="000B731C"/>
    <w:rsid w:val="000B7361"/>
    <w:rsid w:val="000B7A2F"/>
    <w:rsid w:val="000B7B14"/>
    <w:rsid w:val="000B7B24"/>
    <w:rsid w:val="000B7B78"/>
    <w:rsid w:val="000B7B79"/>
    <w:rsid w:val="000B7BBA"/>
    <w:rsid w:val="000B7DD9"/>
    <w:rsid w:val="000B7DFE"/>
    <w:rsid w:val="000B7E7A"/>
    <w:rsid w:val="000B7EC3"/>
    <w:rsid w:val="000B7EE2"/>
    <w:rsid w:val="000B7EE7"/>
    <w:rsid w:val="000B7F20"/>
    <w:rsid w:val="000B7F5D"/>
    <w:rsid w:val="000C0364"/>
    <w:rsid w:val="000C0493"/>
    <w:rsid w:val="000C04C1"/>
    <w:rsid w:val="000C0684"/>
    <w:rsid w:val="000C10BA"/>
    <w:rsid w:val="000C1240"/>
    <w:rsid w:val="000C1277"/>
    <w:rsid w:val="000C14EF"/>
    <w:rsid w:val="000C1599"/>
    <w:rsid w:val="000C168A"/>
    <w:rsid w:val="000C1714"/>
    <w:rsid w:val="000C1747"/>
    <w:rsid w:val="000C1815"/>
    <w:rsid w:val="000C1AFE"/>
    <w:rsid w:val="000C1DCA"/>
    <w:rsid w:val="000C226B"/>
    <w:rsid w:val="000C3223"/>
    <w:rsid w:val="000C3256"/>
    <w:rsid w:val="000C32A4"/>
    <w:rsid w:val="000C38FE"/>
    <w:rsid w:val="000C3C2C"/>
    <w:rsid w:val="000C3CDE"/>
    <w:rsid w:val="000C40DC"/>
    <w:rsid w:val="000C4137"/>
    <w:rsid w:val="000C4404"/>
    <w:rsid w:val="000C44CA"/>
    <w:rsid w:val="000C4808"/>
    <w:rsid w:val="000C53B8"/>
    <w:rsid w:val="000C5400"/>
    <w:rsid w:val="000C5752"/>
    <w:rsid w:val="000C5A70"/>
    <w:rsid w:val="000C5D0A"/>
    <w:rsid w:val="000C5F36"/>
    <w:rsid w:val="000C606D"/>
    <w:rsid w:val="000C61C5"/>
    <w:rsid w:val="000C623E"/>
    <w:rsid w:val="000C651F"/>
    <w:rsid w:val="000C6619"/>
    <w:rsid w:val="000C6B85"/>
    <w:rsid w:val="000C6D10"/>
    <w:rsid w:val="000C6D95"/>
    <w:rsid w:val="000C7485"/>
    <w:rsid w:val="000C769F"/>
    <w:rsid w:val="000C78A8"/>
    <w:rsid w:val="000C7A51"/>
    <w:rsid w:val="000C7C44"/>
    <w:rsid w:val="000C7F6A"/>
    <w:rsid w:val="000D0128"/>
    <w:rsid w:val="000D04F4"/>
    <w:rsid w:val="000D0784"/>
    <w:rsid w:val="000D10B3"/>
    <w:rsid w:val="000D12E0"/>
    <w:rsid w:val="000D1300"/>
    <w:rsid w:val="000D13CD"/>
    <w:rsid w:val="000D1682"/>
    <w:rsid w:val="000D16D6"/>
    <w:rsid w:val="000D173B"/>
    <w:rsid w:val="000D180A"/>
    <w:rsid w:val="000D186C"/>
    <w:rsid w:val="000D18A2"/>
    <w:rsid w:val="000D1982"/>
    <w:rsid w:val="000D1BCB"/>
    <w:rsid w:val="000D1C4C"/>
    <w:rsid w:val="000D1D0E"/>
    <w:rsid w:val="000D1D18"/>
    <w:rsid w:val="000D1E70"/>
    <w:rsid w:val="000D23E4"/>
    <w:rsid w:val="000D2505"/>
    <w:rsid w:val="000D29BC"/>
    <w:rsid w:val="000D2ACA"/>
    <w:rsid w:val="000D2C99"/>
    <w:rsid w:val="000D2D78"/>
    <w:rsid w:val="000D2D89"/>
    <w:rsid w:val="000D2E96"/>
    <w:rsid w:val="000D2EB6"/>
    <w:rsid w:val="000D3024"/>
    <w:rsid w:val="000D328F"/>
    <w:rsid w:val="000D3317"/>
    <w:rsid w:val="000D33CE"/>
    <w:rsid w:val="000D34C0"/>
    <w:rsid w:val="000D34EB"/>
    <w:rsid w:val="000D3589"/>
    <w:rsid w:val="000D392E"/>
    <w:rsid w:val="000D3AD0"/>
    <w:rsid w:val="000D3B89"/>
    <w:rsid w:val="000D3E93"/>
    <w:rsid w:val="000D4075"/>
    <w:rsid w:val="000D4203"/>
    <w:rsid w:val="000D4324"/>
    <w:rsid w:val="000D4515"/>
    <w:rsid w:val="000D4AB6"/>
    <w:rsid w:val="000D4AD4"/>
    <w:rsid w:val="000D4D6A"/>
    <w:rsid w:val="000D4DFE"/>
    <w:rsid w:val="000D4F8C"/>
    <w:rsid w:val="000D4FCE"/>
    <w:rsid w:val="000D50CD"/>
    <w:rsid w:val="000D5714"/>
    <w:rsid w:val="000D5952"/>
    <w:rsid w:val="000D5A53"/>
    <w:rsid w:val="000D5AF8"/>
    <w:rsid w:val="000D5DFB"/>
    <w:rsid w:val="000D60AA"/>
    <w:rsid w:val="000D63E0"/>
    <w:rsid w:val="000D64BA"/>
    <w:rsid w:val="000D6684"/>
    <w:rsid w:val="000D66EE"/>
    <w:rsid w:val="000D6840"/>
    <w:rsid w:val="000D6A41"/>
    <w:rsid w:val="000D6A63"/>
    <w:rsid w:val="000D6A67"/>
    <w:rsid w:val="000D6FAA"/>
    <w:rsid w:val="000D7002"/>
    <w:rsid w:val="000D708E"/>
    <w:rsid w:val="000D75E3"/>
    <w:rsid w:val="000D7A52"/>
    <w:rsid w:val="000E02D8"/>
    <w:rsid w:val="000E046F"/>
    <w:rsid w:val="000E073C"/>
    <w:rsid w:val="000E07B4"/>
    <w:rsid w:val="000E09A4"/>
    <w:rsid w:val="000E0B6A"/>
    <w:rsid w:val="000E0BB6"/>
    <w:rsid w:val="000E0BE2"/>
    <w:rsid w:val="000E0D09"/>
    <w:rsid w:val="000E10EE"/>
    <w:rsid w:val="000E125E"/>
    <w:rsid w:val="000E1439"/>
    <w:rsid w:val="000E145B"/>
    <w:rsid w:val="000E1520"/>
    <w:rsid w:val="000E160C"/>
    <w:rsid w:val="000E18A5"/>
    <w:rsid w:val="000E1C27"/>
    <w:rsid w:val="000E1C52"/>
    <w:rsid w:val="000E1C9D"/>
    <w:rsid w:val="000E1D12"/>
    <w:rsid w:val="000E21A2"/>
    <w:rsid w:val="000E2864"/>
    <w:rsid w:val="000E2B85"/>
    <w:rsid w:val="000E2BCF"/>
    <w:rsid w:val="000E362B"/>
    <w:rsid w:val="000E37E7"/>
    <w:rsid w:val="000E37EE"/>
    <w:rsid w:val="000E398C"/>
    <w:rsid w:val="000E3D82"/>
    <w:rsid w:val="000E3F7F"/>
    <w:rsid w:val="000E43E5"/>
    <w:rsid w:val="000E455E"/>
    <w:rsid w:val="000E4D70"/>
    <w:rsid w:val="000E50DC"/>
    <w:rsid w:val="000E5354"/>
    <w:rsid w:val="000E551B"/>
    <w:rsid w:val="000E55D4"/>
    <w:rsid w:val="000E59CC"/>
    <w:rsid w:val="000E5E5C"/>
    <w:rsid w:val="000E5EAC"/>
    <w:rsid w:val="000E6179"/>
    <w:rsid w:val="000E63DD"/>
    <w:rsid w:val="000E6407"/>
    <w:rsid w:val="000E6784"/>
    <w:rsid w:val="000E67B5"/>
    <w:rsid w:val="000E6891"/>
    <w:rsid w:val="000E6A1B"/>
    <w:rsid w:val="000E6B79"/>
    <w:rsid w:val="000E6C55"/>
    <w:rsid w:val="000E6DD8"/>
    <w:rsid w:val="000E6F8B"/>
    <w:rsid w:val="000E7080"/>
    <w:rsid w:val="000E726A"/>
    <w:rsid w:val="000E7339"/>
    <w:rsid w:val="000E7733"/>
    <w:rsid w:val="000E7851"/>
    <w:rsid w:val="000E7969"/>
    <w:rsid w:val="000E7A82"/>
    <w:rsid w:val="000E7AC3"/>
    <w:rsid w:val="000E7B84"/>
    <w:rsid w:val="000E7E95"/>
    <w:rsid w:val="000E7EE5"/>
    <w:rsid w:val="000F023D"/>
    <w:rsid w:val="000F04EB"/>
    <w:rsid w:val="000F05B9"/>
    <w:rsid w:val="000F072E"/>
    <w:rsid w:val="000F0975"/>
    <w:rsid w:val="000F0C54"/>
    <w:rsid w:val="000F0CE7"/>
    <w:rsid w:val="000F0D08"/>
    <w:rsid w:val="000F0EF1"/>
    <w:rsid w:val="000F133F"/>
    <w:rsid w:val="000F182B"/>
    <w:rsid w:val="000F1FA8"/>
    <w:rsid w:val="000F204E"/>
    <w:rsid w:val="000F20E2"/>
    <w:rsid w:val="000F2199"/>
    <w:rsid w:val="000F219E"/>
    <w:rsid w:val="000F236B"/>
    <w:rsid w:val="000F264E"/>
    <w:rsid w:val="000F2816"/>
    <w:rsid w:val="000F285B"/>
    <w:rsid w:val="000F28CD"/>
    <w:rsid w:val="000F29F8"/>
    <w:rsid w:val="000F2CF0"/>
    <w:rsid w:val="000F2DC7"/>
    <w:rsid w:val="000F343F"/>
    <w:rsid w:val="000F3AC7"/>
    <w:rsid w:val="000F3B50"/>
    <w:rsid w:val="000F3D2B"/>
    <w:rsid w:val="000F43A6"/>
    <w:rsid w:val="000F468A"/>
    <w:rsid w:val="000F49B0"/>
    <w:rsid w:val="000F4CB0"/>
    <w:rsid w:val="000F508A"/>
    <w:rsid w:val="000F50C5"/>
    <w:rsid w:val="000F5FC9"/>
    <w:rsid w:val="000F60C6"/>
    <w:rsid w:val="000F640C"/>
    <w:rsid w:val="000F643E"/>
    <w:rsid w:val="000F6615"/>
    <w:rsid w:val="000F66F8"/>
    <w:rsid w:val="000F6918"/>
    <w:rsid w:val="000F6D1C"/>
    <w:rsid w:val="000F6E66"/>
    <w:rsid w:val="000F71CB"/>
    <w:rsid w:val="000F71D8"/>
    <w:rsid w:val="000F7361"/>
    <w:rsid w:val="000F76EF"/>
    <w:rsid w:val="000F7834"/>
    <w:rsid w:val="000F7A58"/>
    <w:rsid w:val="000F7C28"/>
    <w:rsid w:val="000F7C32"/>
    <w:rsid w:val="000F7D44"/>
    <w:rsid w:val="000F7FD2"/>
    <w:rsid w:val="00100186"/>
    <w:rsid w:val="001001F0"/>
    <w:rsid w:val="0010027A"/>
    <w:rsid w:val="00100281"/>
    <w:rsid w:val="00100516"/>
    <w:rsid w:val="00100570"/>
    <w:rsid w:val="001005AA"/>
    <w:rsid w:val="00100611"/>
    <w:rsid w:val="00100A42"/>
    <w:rsid w:val="001013DD"/>
    <w:rsid w:val="0010160F"/>
    <w:rsid w:val="00101616"/>
    <w:rsid w:val="0010198A"/>
    <w:rsid w:val="001019F6"/>
    <w:rsid w:val="00101AE7"/>
    <w:rsid w:val="00101CBF"/>
    <w:rsid w:val="00101DAF"/>
    <w:rsid w:val="00101EA6"/>
    <w:rsid w:val="0010215B"/>
    <w:rsid w:val="001024C0"/>
    <w:rsid w:val="001024FE"/>
    <w:rsid w:val="001025FB"/>
    <w:rsid w:val="0010271E"/>
    <w:rsid w:val="00102752"/>
    <w:rsid w:val="00102ACE"/>
    <w:rsid w:val="00102C26"/>
    <w:rsid w:val="00103035"/>
    <w:rsid w:val="00103282"/>
    <w:rsid w:val="001033C4"/>
    <w:rsid w:val="00103470"/>
    <w:rsid w:val="0010377A"/>
    <w:rsid w:val="00103896"/>
    <w:rsid w:val="00103F61"/>
    <w:rsid w:val="00103FE2"/>
    <w:rsid w:val="0010407C"/>
    <w:rsid w:val="001042DB"/>
    <w:rsid w:val="00104616"/>
    <w:rsid w:val="001047AE"/>
    <w:rsid w:val="00104A1E"/>
    <w:rsid w:val="001053AD"/>
    <w:rsid w:val="00105841"/>
    <w:rsid w:val="001058DB"/>
    <w:rsid w:val="001059C5"/>
    <w:rsid w:val="00105A76"/>
    <w:rsid w:val="00105D89"/>
    <w:rsid w:val="00106179"/>
    <w:rsid w:val="0010618E"/>
    <w:rsid w:val="001064DF"/>
    <w:rsid w:val="001064E2"/>
    <w:rsid w:val="00106705"/>
    <w:rsid w:val="00106CAC"/>
    <w:rsid w:val="00106D2E"/>
    <w:rsid w:val="00106D47"/>
    <w:rsid w:val="00106D5A"/>
    <w:rsid w:val="00107317"/>
    <w:rsid w:val="001078A2"/>
    <w:rsid w:val="00107E45"/>
    <w:rsid w:val="00107FC5"/>
    <w:rsid w:val="0011027A"/>
    <w:rsid w:val="001104D0"/>
    <w:rsid w:val="001106E0"/>
    <w:rsid w:val="00110763"/>
    <w:rsid w:val="00110A0A"/>
    <w:rsid w:val="00110A66"/>
    <w:rsid w:val="0011120F"/>
    <w:rsid w:val="0011139D"/>
    <w:rsid w:val="00111444"/>
    <w:rsid w:val="0011165B"/>
    <w:rsid w:val="00111908"/>
    <w:rsid w:val="00111A9D"/>
    <w:rsid w:val="00111FD8"/>
    <w:rsid w:val="00112197"/>
    <w:rsid w:val="00112469"/>
    <w:rsid w:val="001127AE"/>
    <w:rsid w:val="00112B99"/>
    <w:rsid w:val="00112E7E"/>
    <w:rsid w:val="00112F16"/>
    <w:rsid w:val="00113008"/>
    <w:rsid w:val="001131C7"/>
    <w:rsid w:val="001131DB"/>
    <w:rsid w:val="0011326A"/>
    <w:rsid w:val="00113302"/>
    <w:rsid w:val="001134B2"/>
    <w:rsid w:val="00113628"/>
    <w:rsid w:val="00113675"/>
    <w:rsid w:val="0011385A"/>
    <w:rsid w:val="00113E77"/>
    <w:rsid w:val="001140D8"/>
    <w:rsid w:val="001142BB"/>
    <w:rsid w:val="00114341"/>
    <w:rsid w:val="001144E4"/>
    <w:rsid w:val="00114A80"/>
    <w:rsid w:val="00114A88"/>
    <w:rsid w:val="0011532F"/>
    <w:rsid w:val="001153A1"/>
    <w:rsid w:val="00115580"/>
    <w:rsid w:val="00115864"/>
    <w:rsid w:val="001158F0"/>
    <w:rsid w:val="00115B13"/>
    <w:rsid w:val="00115F1D"/>
    <w:rsid w:val="001163D9"/>
    <w:rsid w:val="001164ED"/>
    <w:rsid w:val="00116D53"/>
    <w:rsid w:val="00116F0B"/>
    <w:rsid w:val="00116F9A"/>
    <w:rsid w:val="00116FF7"/>
    <w:rsid w:val="00117291"/>
    <w:rsid w:val="00117514"/>
    <w:rsid w:val="001176B4"/>
    <w:rsid w:val="001176E9"/>
    <w:rsid w:val="001178D8"/>
    <w:rsid w:val="00117C27"/>
    <w:rsid w:val="00117D72"/>
    <w:rsid w:val="00117E20"/>
    <w:rsid w:val="001203AE"/>
    <w:rsid w:val="00120B5A"/>
    <w:rsid w:val="00120EA6"/>
    <w:rsid w:val="0012116A"/>
    <w:rsid w:val="001214B2"/>
    <w:rsid w:val="001214FB"/>
    <w:rsid w:val="001217CB"/>
    <w:rsid w:val="00121D0C"/>
    <w:rsid w:val="00121E37"/>
    <w:rsid w:val="00122253"/>
    <w:rsid w:val="00122560"/>
    <w:rsid w:val="001225E5"/>
    <w:rsid w:val="001228CB"/>
    <w:rsid w:val="00122BFE"/>
    <w:rsid w:val="00122D99"/>
    <w:rsid w:val="0012306C"/>
    <w:rsid w:val="0012318E"/>
    <w:rsid w:val="0012324B"/>
    <w:rsid w:val="00123707"/>
    <w:rsid w:val="00123994"/>
    <w:rsid w:val="00123CD3"/>
    <w:rsid w:val="001246F3"/>
    <w:rsid w:val="00124B67"/>
    <w:rsid w:val="00124B78"/>
    <w:rsid w:val="00124D0D"/>
    <w:rsid w:val="00124D5D"/>
    <w:rsid w:val="00124E8F"/>
    <w:rsid w:val="00124EA4"/>
    <w:rsid w:val="00125441"/>
    <w:rsid w:val="0012546B"/>
    <w:rsid w:val="00125626"/>
    <w:rsid w:val="00125879"/>
    <w:rsid w:val="00125C85"/>
    <w:rsid w:val="00125D53"/>
    <w:rsid w:val="00125FE7"/>
    <w:rsid w:val="00125FF9"/>
    <w:rsid w:val="0012607A"/>
    <w:rsid w:val="00126665"/>
    <w:rsid w:val="00126943"/>
    <w:rsid w:val="00126B0C"/>
    <w:rsid w:val="00126DE3"/>
    <w:rsid w:val="00126EFA"/>
    <w:rsid w:val="0012733D"/>
    <w:rsid w:val="00127363"/>
    <w:rsid w:val="001273C4"/>
    <w:rsid w:val="001274F0"/>
    <w:rsid w:val="0012782B"/>
    <w:rsid w:val="00127CA9"/>
    <w:rsid w:val="00127D0A"/>
    <w:rsid w:val="00127E59"/>
    <w:rsid w:val="001302CC"/>
    <w:rsid w:val="001303F2"/>
    <w:rsid w:val="0013042C"/>
    <w:rsid w:val="00130648"/>
    <w:rsid w:val="0013085C"/>
    <w:rsid w:val="00130AD5"/>
    <w:rsid w:val="00130D24"/>
    <w:rsid w:val="0013111A"/>
    <w:rsid w:val="00131140"/>
    <w:rsid w:val="00131465"/>
    <w:rsid w:val="00131895"/>
    <w:rsid w:val="00131AD0"/>
    <w:rsid w:val="001320D4"/>
    <w:rsid w:val="001324EC"/>
    <w:rsid w:val="001329E1"/>
    <w:rsid w:val="00132D43"/>
    <w:rsid w:val="00132E01"/>
    <w:rsid w:val="00133128"/>
    <w:rsid w:val="001333E5"/>
    <w:rsid w:val="00133825"/>
    <w:rsid w:val="00133885"/>
    <w:rsid w:val="00133A8D"/>
    <w:rsid w:val="001341F5"/>
    <w:rsid w:val="0013426B"/>
    <w:rsid w:val="001343DC"/>
    <w:rsid w:val="0013468D"/>
    <w:rsid w:val="001346B4"/>
    <w:rsid w:val="001349E0"/>
    <w:rsid w:val="00134FB7"/>
    <w:rsid w:val="001351FD"/>
    <w:rsid w:val="001353E6"/>
    <w:rsid w:val="00135585"/>
    <w:rsid w:val="001358F1"/>
    <w:rsid w:val="00135D4E"/>
    <w:rsid w:val="00135E02"/>
    <w:rsid w:val="001368BE"/>
    <w:rsid w:val="001369F9"/>
    <w:rsid w:val="00136E60"/>
    <w:rsid w:val="0013704E"/>
    <w:rsid w:val="0013708B"/>
    <w:rsid w:val="001372D7"/>
    <w:rsid w:val="0013736B"/>
    <w:rsid w:val="00137487"/>
    <w:rsid w:val="00137928"/>
    <w:rsid w:val="00137B1B"/>
    <w:rsid w:val="00137CA8"/>
    <w:rsid w:val="00137F23"/>
    <w:rsid w:val="00137F2C"/>
    <w:rsid w:val="0014017A"/>
    <w:rsid w:val="00140185"/>
    <w:rsid w:val="0014054E"/>
    <w:rsid w:val="00140573"/>
    <w:rsid w:val="00140654"/>
    <w:rsid w:val="00140A6A"/>
    <w:rsid w:val="00140ABF"/>
    <w:rsid w:val="00140C12"/>
    <w:rsid w:val="00140D15"/>
    <w:rsid w:val="00140E14"/>
    <w:rsid w:val="00140E7C"/>
    <w:rsid w:val="00140F50"/>
    <w:rsid w:val="00141210"/>
    <w:rsid w:val="001412E5"/>
    <w:rsid w:val="001415B8"/>
    <w:rsid w:val="001415D2"/>
    <w:rsid w:val="0014188E"/>
    <w:rsid w:val="001418C4"/>
    <w:rsid w:val="00141B8C"/>
    <w:rsid w:val="00141D60"/>
    <w:rsid w:val="0014200D"/>
    <w:rsid w:val="00142285"/>
    <w:rsid w:val="001424A0"/>
    <w:rsid w:val="0014254D"/>
    <w:rsid w:val="001428F3"/>
    <w:rsid w:val="001429FA"/>
    <w:rsid w:val="00142BE7"/>
    <w:rsid w:val="00142FAB"/>
    <w:rsid w:val="00143063"/>
    <w:rsid w:val="001431A4"/>
    <w:rsid w:val="001433BE"/>
    <w:rsid w:val="001435E7"/>
    <w:rsid w:val="00143A51"/>
    <w:rsid w:val="00143A58"/>
    <w:rsid w:val="00143DB1"/>
    <w:rsid w:val="00143DDC"/>
    <w:rsid w:val="001440B3"/>
    <w:rsid w:val="001442F1"/>
    <w:rsid w:val="00144668"/>
    <w:rsid w:val="0014499A"/>
    <w:rsid w:val="001449B8"/>
    <w:rsid w:val="00144A0B"/>
    <w:rsid w:val="00144ADF"/>
    <w:rsid w:val="00144AEA"/>
    <w:rsid w:val="00144D58"/>
    <w:rsid w:val="00144EB6"/>
    <w:rsid w:val="00145196"/>
    <w:rsid w:val="0014524F"/>
    <w:rsid w:val="00145259"/>
    <w:rsid w:val="0014530F"/>
    <w:rsid w:val="00145798"/>
    <w:rsid w:val="001458BC"/>
    <w:rsid w:val="00145A78"/>
    <w:rsid w:val="00145A91"/>
    <w:rsid w:val="00145AE0"/>
    <w:rsid w:val="00145CDA"/>
    <w:rsid w:val="00146519"/>
    <w:rsid w:val="001465EA"/>
    <w:rsid w:val="00146708"/>
    <w:rsid w:val="00146B52"/>
    <w:rsid w:val="00146BFB"/>
    <w:rsid w:val="00146C81"/>
    <w:rsid w:val="00146CD6"/>
    <w:rsid w:val="0014710C"/>
    <w:rsid w:val="00147115"/>
    <w:rsid w:val="0014750D"/>
    <w:rsid w:val="0014797B"/>
    <w:rsid w:val="001479B1"/>
    <w:rsid w:val="001479B8"/>
    <w:rsid w:val="001479DE"/>
    <w:rsid w:val="00147BE1"/>
    <w:rsid w:val="00147BFF"/>
    <w:rsid w:val="00147EBA"/>
    <w:rsid w:val="00147FB2"/>
    <w:rsid w:val="00150300"/>
    <w:rsid w:val="0015033A"/>
    <w:rsid w:val="001503B1"/>
    <w:rsid w:val="00150675"/>
    <w:rsid w:val="00150703"/>
    <w:rsid w:val="0015089E"/>
    <w:rsid w:val="00150E53"/>
    <w:rsid w:val="00150EDC"/>
    <w:rsid w:val="00151ABF"/>
    <w:rsid w:val="00151D89"/>
    <w:rsid w:val="00151FDB"/>
    <w:rsid w:val="00152100"/>
    <w:rsid w:val="00152225"/>
    <w:rsid w:val="001525AA"/>
    <w:rsid w:val="001525DB"/>
    <w:rsid w:val="0015271F"/>
    <w:rsid w:val="00152AB9"/>
    <w:rsid w:val="00152B27"/>
    <w:rsid w:val="00152FE6"/>
    <w:rsid w:val="001530D6"/>
    <w:rsid w:val="0015340D"/>
    <w:rsid w:val="00153514"/>
    <w:rsid w:val="00153564"/>
    <w:rsid w:val="0015357B"/>
    <w:rsid w:val="00153BBF"/>
    <w:rsid w:val="00153C36"/>
    <w:rsid w:val="00153C4D"/>
    <w:rsid w:val="00153CD9"/>
    <w:rsid w:val="00153F91"/>
    <w:rsid w:val="00153FD2"/>
    <w:rsid w:val="0015428B"/>
    <w:rsid w:val="001544FF"/>
    <w:rsid w:val="001545E0"/>
    <w:rsid w:val="00154805"/>
    <w:rsid w:val="00154913"/>
    <w:rsid w:val="00154915"/>
    <w:rsid w:val="00154B49"/>
    <w:rsid w:val="00154D0D"/>
    <w:rsid w:val="0015500A"/>
    <w:rsid w:val="001550E8"/>
    <w:rsid w:val="00155135"/>
    <w:rsid w:val="0015524C"/>
    <w:rsid w:val="0015543D"/>
    <w:rsid w:val="001555D6"/>
    <w:rsid w:val="00155C9E"/>
    <w:rsid w:val="00155CCE"/>
    <w:rsid w:val="00155DF6"/>
    <w:rsid w:val="00155E43"/>
    <w:rsid w:val="00155EED"/>
    <w:rsid w:val="001560DF"/>
    <w:rsid w:val="00156859"/>
    <w:rsid w:val="0015692D"/>
    <w:rsid w:val="00156D16"/>
    <w:rsid w:val="00156E9F"/>
    <w:rsid w:val="0015712D"/>
    <w:rsid w:val="0015730C"/>
    <w:rsid w:val="00157339"/>
    <w:rsid w:val="00157418"/>
    <w:rsid w:val="00157506"/>
    <w:rsid w:val="00157703"/>
    <w:rsid w:val="00157A79"/>
    <w:rsid w:val="00157B4F"/>
    <w:rsid w:val="00157BEF"/>
    <w:rsid w:val="00157DCC"/>
    <w:rsid w:val="001603FF"/>
    <w:rsid w:val="00160452"/>
    <w:rsid w:val="00160761"/>
    <w:rsid w:val="00160C56"/>
    <w:rsid w:val="00160D13"/>
    <w:rsid w:val="00160E43"/>
    <w:rsid w:val="00160E47"/>
    <w:rsid w:val="00161324"/>
    <w:rsid w:val="0016150D"/>
    <w:rsid w:val="001616F6"/>
    <w:rsid w:val="00161B4A"/>
    <w:rsid w:val="00161B8B"/>
    <w:rsid w:val="00161BBB"/>
    <w:rsid w:val="00161F46"/>
    <w:rsid w:val="00162196"/>
    <w:rsid w:val="0016230E"/>
    <w:rsid w:val="0016247E"/>
    <w:rsid w:val="001624A7"/>
    <w:rsid w:val="00162928"/>
    <w:rsid w:val="00162B88"/>
    <w:rsid w:val="00162BF3"/>
    <w:rsid w:val="00163101"/>
    <w:rsid w:val="0016314A"/>
    <w:rsid w:val="001635DA"/>
    <w:rsid w:val="00163F13"/>
    <w:rsid w:val="001643DC"/>
    <w:rsid w:val="001645B3"/>
    <w:rsid w:val="001647C1"/>
    <w:rsid w:val="00164EDF"/>
    <w:rsid w:val="00165002"/>
    <w:rsid w:val="001654F6"/>
    <w:rsid w:val="00165613"/>
    <w:rsid w:val="00165793"/>
    <w:rsid w:val="00165813"/>
    <w:rsid w:val="00165E80"/>
    <w:rsid w:val="0016686F"/>
    <w:rsid w:val="00166B64"/>
    <w:rsid w:val="0016727C"/>
    <w:rsid w:val="00167B2A"/>
    <w:rsid w:val="00167E78"/>
    <w:rsid w:val="00170189"/>
    <w:rsid w:val="001702C4"/>
    <w:rsid w:val="001705B7"/>
    <w:rsid w:val="00170786"/>
    <w:rsid w:val="0017086D"/>
    <w:rsid w:val="0017093A"/>
    <w:rsid w:val="00170CD1"/>
    <w:rsid w:val="00170CEB"/>
    <w:rsid w:val="00170F82"/>
    <w:rsid w:val="00171103"/>
    <w:rsid w:val="00171806"/>
    <w:rsid w:val="001719B3"/>
    <w:rsid w:val="00171A53"/>
    <w:rsid w:val="00171B8C"/>
    <w:rsid w:val="00171CFA"/>
    <w:rsid w:val="00171D75"/>
    <w:rsid w:val="00171FC7"/>
    <w:rsid w:val="00172204"/>
    <w:rsid w:val="001728A5"/>
    <w:rsid w:val="00172D3B"/>
    <w:rsid w:val="00172E96"/>
    <w:rsid w:val="00172FA1"/>
    <w:rsid w:val="00173048"/>
    <w:rsid w:val="0017307B"/>
    <w:rsid w:val="00173299"/>
    <w:rsid w:val="0017367D"/>
    <w:rsid w:val="00173889"/>
    <w:rsid w:val="001738DE"/>
    <w:rsid w:val="00174049"/>
    <w:rsid w:val="00174536"/>
    <w:rsid w:val="00174A82"/>
    <w:rsid w:val="00174C1E"/>
    <w:rsid w:val="00174CBB"/>
    <w:rsid w:val="00175132"/>
    <w:rsid w:val="00175429"/>
    <w:rsid w:val="001755CA"/>
    <w:rsid w:val="00175691"/>
    <w:rsid w:val="00175AFF"/>
    <w:rsid w:val="00175B8D"/>
    <w:rsid w:val="00176121"/>
    <w:rsid w:val="00176377"/>
    <w:rsid w:val="00176716"/>
    <w:rsid w:val="0017680D"/>
    <w:rsid w:val="001768FE"/>
    <w:rsid w:val="001769AB"/>
    <w:rsid w:val="001769B5"/>
    <w:rsid w:val="00176BA6"/>
    <w:rsid w:val="00176C84"/>
    <w:rsid w:val="00177987"/>
    <w:rsid w:val="00177A89"/>
    <w:rsid w:val="00177BE4"/>
    <w:rsid w:val="00177D62"/>
    <w:rsid w:val="00177F02"/>
    <w:rsid w:val="00177FAC"/>
    <w:rsid w:val="00177FF7"/>
    <w:rsid w:val="00180065"/>
    <w:rsid w:val="00180295"/>
    <w:rsid w:val="001804A9"/>
    <w:rsid w:val="001806C3"/>
    <w:rsid w:val="00180A95"/>
    <w:rsid w:val="00180BF4"/>
    <w:rsid w:val="001810C7"/>
    <w:rsid w:val="0018132E"/>
    <w:rsid w:val="001814EC"/>
    <w:rsid w:val="0018176C"/>
    <w:rsid w:val="00181942"/>
    <w:rsid w:val="00181AB2"/>
    <w:rsid w:val="00181ADE"/>
    <w:rsid w:val="00181B0D"/>
    <w:rsid w:val="00181B39"/>
    <w:rsid w:val="00181D56"/>
    <w:rsid w:val="00181D83"/>
    <w:rsid w:val="00181EBD"/>
    <w:rsid w:val="001822C4"/>
    <w:rsid w:val="001823EC"/>
    <w:rsid w:val="00182813"/>
    <w:rsid w:val="0018297E"/>
    <w:rsid w:val="00182B4D"/>
    <w:rsid w:val="00182B9D"/>
    <w:rsid w:val="00182C18"/>
    <w:rsid w:val="00182D1F"/>
    <w:rsid w:val="00182ED0"/>
    <w:rsid w:val="0018308E"/>
    <w:rsid w:val="0018337A"/>
    <w:rsid w:val="0018354B"/>
    <w:rsid w:val="001835AC"/>
    <w:rsid w:val="00183A45"/>
    <w:rsid w:val="00183B2F"/>
    <w:rsid w:val="00183E4D"/>
    <w:rsid w:val="00183FF4"/>
    <w:rsid w:val="00184023"/>
    <w:rsid w:val="00184148"/>
    <w:rsid w:val="0018417A"/>
    <w:rsid w:val="001843E9"/>
    <w:rsid w:val="0018480C"/>
    <w:rsid w:val="001849EC"/>
    <w:rsid w:val="00184D71"/>
    <w:rsid w:val="001850C0"/>
    <w:rsid w:val="00185497"/>
    <w:rsid w:val="00185A14"/>
    <w:rsid w:val="00185AAE"/>
    <w:rsid w:val="00185DC1"/>
    <w:rsid w:val="00185DD2"/>
    <w:rsid w:val="00185E19"/>
    <w:rsid w:val="00186246"/>
    <w:rsid w:val="00186251"/>
    <w:rsid w:val="001865F7"/>
    <w:rsid w:val="001866BF"/>
    <w:rsid w:val="0018686F"/>
    <w:rsid w:val="00186A92"/>
    <w:rsid w:val="00186AA4"/>
    <w:rsid w:val="00186B6C"/>
    <w:rsid w:val="00186C9F"/>
    <w:rsid w:val="00186F7D"/>
    <w:rsid w:val="00187020"/>
    <w:rsid w:val="001870D1"/>
    <w:rsid w:val="0018783F"/>
    <w:rsid w:val="00187A6F"/>
    <w:rsid w:val="00187CF5"/>
    <w:rsid w:val="001907AE"/>
    <w:rsid w:val="00190BC7"/>
    <w:rsid w:val="00190D6F"/>
    <w:rsid w:val="00190E47"/>
    <w:rsid w:val="00190E57"/>
    <w:rsid w:val="00190F57"/>
    <w:rsid w:val="00191577"/>
    <w:rsid w:val="001917D1"/>
    <w:rsid w:val="00192511"/>
    <w:rsid w:val="001926D6"/>
    <w:rsid w:val="00192AA4"/>
    <w:rsid w:val="00192B52"/>
    <w:rsid w:val="00192B76"/>
    <w:rsid w:val="00192CD8"/>
    <w:rsid w:val="00192EDA"/>
    <w:rsid w:val="00192F46"/>
    <w:rsid w:val="00192F88"/>
    <w:rsid w:val="001930AF"/>
    <w:rsid w:val="001931BF"/>
    <w:rsid w:val="00193217"/>
    <w:rsid w:val="0019326F"/>
    <w:rsid w:val="001932BF"/>
    <w:rsid w:val="001934BA"/>
    <w:rsid w:val="00193576"/>
    <w:rsid w:val="001937F6"/>
    <w:rsid w:val="00193AB1"/>
    <w:rsid w:val="00193B87"/>
    <w:rsid w:val="00193DE2"/>
    <w:rsid w:val="00193E3B"/>
    <w:rsid w:val="00193EC8"/>
    <w:rsid w:val="00194025"/>
    <w:rsid w:val="00194054"/>
    <w:rsid w:val="001941FC"/>
    <w:rsid w:val="0019481D"/>
    <w:rsid w:val="001951A6"/>
    <w:rsid w:val="0019554C"/>
    <w:rsid w:val="00195BF9"/>
    <w:rsid w:val="0019673D"/>
    <w:rsid w:val="00196C11"/>
    <w:rsid w:val="00196EED"/>
    <w:rsid w:val="00196F63"/>
    <w:rsid w:val="00196FBA"/>
    <w:rsid w:val="00196FD6"/>
    <w:rsid w:val="00197993"/>
    <w:rsid w:val="00197ACA"/>
    <w:rsid w:val="00197B43"/>
    <w:rsid w:val="001A0148"/>
    <w:rsid w:val="001A032F"/>
    <w:rsid w:val="001A0CB5"/>
    <w:rsid w:val="001A0D13"/>
    <w:rsid w:val="001A0D9F"/>
    <w:rsid w:val="001A107F"/>
    <w:rsid w:val="001A12A4"/>
    <w:rsid w:val="001A12C2"/>
    <w:rsid w:val="001A1623"/>
    <w:rsid w:val="001A1860"/>
    <w:rsid w:val="001A19BD"/>
    <w:rsid w:val="001A1C91"/>
    <w:rsid w:val="001A1E0A"/>
    <w:rsid w:val="001A2195"/>
    <w:rsid w:val="001A250C"/>
    <w:rsid w:val="001A2837"/>
    <w:rsid w:val="001A2A10"/>
    <w:rsid w:val="001A2BFB"/>
    <w:rsid w:val="001A2CC1"/>
    <w:rsid w:val="001A2FBD"/>
    <w:rsid w:val="001A30A5"/>
    <w:rsid w:val="001A3113"/>
    <w:rsid w:val="001A31BB"/>
    <w:rsid w:val="001A32ED"/>
    <w:rsid w:val="001A3319"/>
    <w:rsid w:val="001A361C"/>
    <w:rsid w:val="001A3972"/>
    <w:rsid w:val="001A41E3"/>
    <w:rsid w:val="001A43AC"/>
    <w:rsid w:val="001A470F"/>
    <w:rsid w:val="001A4795"/>
    <w:rsid w:val="001A4BD8"/>
    <w:rsid w:val="001A4FAC"/>
    <w:rsid w:val="001A50D5"/>
    <w:rsid w:val="001A589C"/>
    <w:rsid w:val="001A5969"/>
    <w:rsid w:val="001A5972"/>
    <w:rsid w:val="001A5BF5"/>
    <w:rsid w:val="001A5C3F"/>
    <w:rsid w:val="001A5DC6"/>
    <w:rsid w:val="001A5EF8"/>
    <w:rsid w:val="001A652C"/>
    <w:rsid w:val="001A6842"/>
    <w:rsid w:val="001A68F8"/>
    <w:rsid w:val="001A6A16"/>
    <w:rsid w:val="001A6B50"/>
    <w:rsid w:val="001A6B5E"/>
    <w:rsid w:val="001A6B84"/>
    <w:rsid w:val="001A6E21"/>
    <w:rsid w:val="001A7369"/>
    <w:rsid w:val="001A73C9"/>
    <w:rsid w:val="001A78C9"/>
    <w:rsid w:val="001B00A6"/>
    <w:rsid w:val="001B024F"/>
    <w:rsid w:val="001B07E4"/>
    <w:rsid w:val="001B0D83"/>
    <w:rsid w:val="001B100B"/>
    <w:rsid w:val="001B12D8"/>
    <w:rsid w:val="001B13FB"/>
    <w:rsid w:val="001B1611"/>
    <w:rsid w:val="001B1AFB"/>
    <w:rsid w:val="001B2013"/>
    <w:rsid w:val="001B25A6"/>
    <w:rsid w:val="001B25F4"/>
    <w:rsid w:val="001B278D"/>
    <w:rsid w:val="001B279B"/>
    <w:rsid w:val="001B28D2"/>
    <w:rsid w:val="001B2A0B"/>
    <w:rsid w:val="001B2A7E"/>
    <w:rsid w:val="001B2EAE"/>
    <w:rsid w:val="001B3015"/>
    <w:rsid w:val="001B33AE"/>
    <w:rsid w:val="001B342D"/>
    <w:rsid w:val="001B35B1"/>
    <w:rsid w:val="001B3847"/>
    <w:rsid w:val="001B3A2C"/>
    <w:rsid w:val="001B3A9D"/>
    <w:rsid w:val="001B3AFA"/>
    <w:rsid w:val="001B3B9A"/>
    <w:rsid w:val="001B3BCD"/>
    <w:rsid w:val="001B3EE5"/>
    <w:rsid w:val="001B45BF"/>
    <w:rsid w:val="001B483D"/>
    <w:rsid w:val="001B49CC"/>
    <w:rsid w:val="001B4AE5"/>
    <w:rsid w:val="001B4CC7"/>
    <w:rsid w:val="001B4D80"/>
    <w:rsid w:val="001B4DDE"/>
    <w:rsid w:val="001B4E96"/>
    <w:rsid w:val="001B51C9"/>
    <w:rsid w:val="001B53CD"/>
    <w:rsid w:val="001B5519"/>
    <w:rsid w:val="001B583F"/>
    <w:rsid w:val="001B594D"/>
    <w:rsid w:val="001B5A36"/>
    <w:rsid w:val="001B5EDE"/>
    <w:rsid w:val="001B600A"/>
    <w:rsid w:val="001B601D"/>
    <w:rsid w:val="001B6A91"/>
    <w:rsid w:val="001B6D1F"/>
    <w:rsid w:val="001B7083"/>
    <w:rsid w:val="001B7309"/>
    <w:rsid w:val="001B7522"/>
    <w:rsid w:val="001B76FC"/>
    <w:rsid w:val="001B7711"/>
    <w:rsid w:val="001B7766"/>
    <w:rsid w:val="001B7C42"/>
    <w:rsid w:val="001C026D"/>
    <w:rsid w:val="001C0330"/>
    <w:rsid w:val="001C0441"/>
    <w:rsid w:val="001C0511"/>
    <w:rsid w:val="001C066B"/>
    <w:rsid w:val="001C0761"/>
    <w:rsid w:val="001C0C4F"/>
    <w:rsid w:val="001C0CEF"/>
    <w:rsid w:val="001C0E13"/>
    <w:rsid w:val="001C0F86"/>
    <w:rsid w:val="001C197E"/>
    <w:rsid w:val="001C1A17"/>
    <w:rsid w:val="001C1B36"/>
    <w:rsid w:val="001C1BBB"/>
    <w:rsid w:val="001C1D01"/>
    <w:rsid w:val="001C1D4F"/>
    <w:rsid w:val="001C2081"/>
    <w:rsid w:val="001C2967"/>
    <w:rsid w:val="001C2D9A"/>
    <w:rsid w:val="001C2E1E"/>
    <w:rsid w:val="001C2FE5"/>
    <w:rsid w:val="001C3A68"/>
    <w:rsid w:val="001C3C5F"/>
    <w:rsid w:val="001C3E29"/>
    <w:rsid w:val="001C3F29"/>
    <w:rsid w:val="001C44DC"/>
    <w:rsid w:val="001C4872"/>
    <w:rsid w:val="001C4A9A"/>
    <w:rsid w:val="001C5188"/>
    <w:rsid w:val="001C578A"/>
    <w:rsid w:val="001C58AF"/>
    <w:rsid w:val="001C5C16"/>
    <w:rsid w:val="001C6194"/>
    <w:rsid w:val="001C61D3"/>
    <w:rsid w:val="001C62B6"/>
    <w:rsid w:val="001C635A"/>
    <w:rsid w:val="001C635D"/>
    <w:rsid w:val="001C69A9"/>
    <w:rsid w:val="001C69AC"/>
    <w:rsid w:val="001C6A22"/>
    <w:rsid w:val="001C6D80"/>
    <w:rsid w:val="001C72CB"/>
    <w:rsid w:val="001C73CA"/>
    <w:rsid w:val="001C75A6"/>
    <w:rsid w:val="001C7971"/>
    <w:rsid w:val="001C7B87"/>
    <w:rsid w:val="001C7C55"/>
    <w:rsid w:val="001D00F7"/>
    <w:rsid w:val="001D046E"/>
    <w:rsid w:val="001D051B"/>
    <w:rsid w:val="001D0548"/>
    <w:rsid w:val="001D08EE"/>
    <w:rsid w:val="001D0ACB"/>
    <w:rsid w:val="001D0E71"/>
    <w:rsid w:val="001D102B"/>
    <w:rsid w:val="001D14D9"/>
    <w:rsid w:val="001D152F"/>
    <w:rsid w:val="001D1546"/>
    <w:rsid w:val="001D1609"/>
    <w:rsid w:val="001D169C"/>
    <w:rsid w:val="001D1AD6"/>
    <w:rsid w:val="001D1BF1"/>
    <w:rsid w:val="001D1CC7"/>
    <w:rsid w:val="001D1DDF"/>
    <w:rsid w:val="001D1FDF"/>
    <w:rsid w:val="001D20AD"/>
    <w:rsid w:val="001D22EB"/>
    <w:rsid w:val="001D269C"/>
    <w:rsid w:val="001D2C46"/>
    <w:rsid w:val="001D2C7E"/>
    <w:rsid w:val="001D3018"/>
    <w:rsid w:val="001D396E"/>
    <w:rsid w:val="001D3A9B"/>
    <w:rsid w:val="001D3AA3"/>
    <w:rsid w:val="001D3AF7"/>
    <w:rsid w:val="001D3EA3"/>
    <w:rsid w:val="001D4330"/>
    <w:rsid w:val="001D442D"/>
    <w:rsid w:val="001D4708"/>
    <w:rsid w:val="001D4835"/>
    <w:rsid w:val="001D48F3"/>
    <w:rsid w:val="001D4BE7"/>
    <w:rsid w:val="001D50F2"/>
    <w:rsid w:val="001D516D"/>
    <w:rsid w:val="001D5263"/>
    <w:rsid w:val="001D5380"/>
    <w:rsid w:val="001D53A0"/>
    <w:rsid w:val="001D5452"/>
    <w:rsid w:val="001D54EF"/>
    <w:rsid w:val="001D565B"/>
    <w:rsid w:val="001D5676"/>
    <w:rsid w:val="001D5A01"/>
    <w:rsid w:val="001D5ED6"/>
    <w:rsid w:val="001D62B4"/>
    <w:rsid w:val="001D6423"/>
    <w:rsid w:val="001D646C"/>
    <w:rsid w:val="001D6BA0"/>
    <w:rsid w:val="001D6C21"/>
    <w:rsid w:val="001D700F"/>
    <w:rsid w:val="001D72EC"/>
    <w:rsid w:val="001D75A9"/>
    <w:rsid w:val="001D7758"/>
    <w:rsid w:val="001D7A0B"/>
    <w:rsid w:val="001D7B2F"/>
    <w:rsid w:val="001D7CCE"/>
    <w:rsid w:val="001D7D4A"/>
    <w:rsid w:val="001E009C"/>
    <w:rsid w:val="001E025C"/>
    <w:rsid w:val="001E093D"/>
    <w:rsid w:val="001E0C2D"/>
    <w:rsid w:val="001E0EA2"/>
    <w:rsid w:val="001E0EBE"/>
    <w:rsid w:val="001E13E9"/>
    <w:rsid w:val="001E170A"/>
    <w:rsid w:val="001E17C1"/>
    <w:rsid w:val="001E1B6F"/>
    <w:rsid w:val="001E1ED7"/>
    <w:rsid w:val="001E25DF"/>
    <w:rsid w:val="001E266A"/>
    <w:rsid w:val="001E26BD"/>
    <w:rsid w:val="001E27A9"/>
    <w:rsid w:val="001E287C"/>
    <w:rsid w:val="001E28D2"/>
    <w:rsid w:val="001E2A67"/>
    <w:rsid w:val="001E2DFB"/>
    <w:rsid w:val="001E31F3"/>
    <w:rsid w:val="001E32B9"/>
    <w:rsid w:val="001E3578"/>
    <w:rsid w:val="001E3645"/>
    <w:rsid w:val="001E384A"/>
    <w:rsid w:val="001E3946"/>
    <w:rsid w:val="001E3960"/>
    <w:rsid w:val="001E3963"/>
    <w:rsid w:val="001E3A4F"/>
    <w:rsid w:val="001E3AA0"/>
    <w:rsid w:val="001E4217"/>
    <w:rsid w:val="001E4652"/>
    <w:rsid w:val="001E4A1A"/>
    <w:rsid w:val="001E4A40"/>
    <w:rsid w:val="001E4B99"/>
    <w:rsid w:val="001E4BD6"/>
    <w:rsid w:val="001E4F09"/>
    <w:rsid w:val="001E51C8"/>
    <w:rsid w:val="001E5397"/>
    <w:rsid w:val="001E54C8"/>
    <w:rsid w:val="001E55CD"/>
    <w:rsid w:val="001E5875"/>
    <w:rsid w:val="001E5BF0"/>
    <w:rsid w:val="001E65D9"/>
    <w:rsid w:val="001E66FC"/>
    <w:rsid w:val="001E6FE8"/>
    <w:rsid w:val="001E705F"/>
    <w:rsid w:val="001E709D"/>
    <w:rsid w:val="001E71F5"/>
    <w:rsid w:val="001E764D"/>
    <w:rsid w:val="001E7857"/>
    <w:rsid w:val="001E7862"/>
    <w:rsid w:val="001E78B9"/>
    <w:rsid w:val="001E7AE9"/>
    <w:rsid w:val="001E7F65"/>
    <w:rsid w:val="001F0169"/>
    <w:rsid w:val="001F01F5"/>
    <w:rsid w:val="001F0249"/>
    <w:rsid w:val="001F0369"/>
    <w:rsid w:val="001F069E"/>
    <w:rsid w:val="001F0799"/>
    <w:rsid w:val="001F0817"/>
    <w:rsid w:val="001F0FDD"/>
    <w:rsid w:val="001F1150"/>
    <w:rsid w:val="001F11EB"/>
    <w:rsid w:val="001F1860"/>
    <w:rsid w:val="001F199A"/>
    <w:rsid w:val="001F19F5"/>
    <w:rsid w:val="001F1C68"/>
    <w:rsid w:val="001F1C78"/>
    <w:rsid w:val="001F1D7E"/>
    <w:rsid w:val="001F220E"/>
    <w:rsid w:val="001F23AA"/>
    <w:rsid w:val="001F2743"/>
    <w:rsid w:val="001F27DB"/>
    <w:rsid w:val="001F2819"/>
    <w:rsid w:val="001F2820"/>
    <w:rsid w:val="001F289A"/>
    <w:rsid w:val="001F2B1F"/>
    <w:rsid w:val="001F301C"/>
    <w:rsid w:val="001F31AF"/>
    <w:rsid w:val="001F3BEF"/>
    <w:rsid w:val="001F3ECF"/>
    <w:rsid w:val="001F4062"/>
    <w:rsid w:val="001F41B0"/>
    <w:rsid w:val="001F44A0"/>
    <w:rsid w:val="001F4566"/>
    <w:rsid w:val="001F5005"/>
    <w:rsid w:val="001F5116"/>
    <w:rsid w:val="001F5540"/>
    <w:rsid w:val="001F579B"/>
    <w:rsid w:val="001F59BD"/>
    <w:rsid w:val="001F61E5"/>
    <w:rsid w:val="001F622B"/>
    <w:rsid w:val="001F686A"/>
    <w:rsid w:val="001F6CF7"/>
    <w:rsid w:val="001F6E99"/>
    <w:rsid w:val="001F6F6D"/>
    <w:rsid w:val="001F7690"/>
    <w:rsid w:val="001F7A2C"/>
    <w:rsid w:val="001F7DF7"/>
    <w:rsid w:val="0020001C"/>
    <w:rsid w:val="0020018B"/>
    <w:rsid w:val="002002F1"/>
    <w:rsid w:val="00200315"/>
    <w:rsid w:val="002003A2"/>
    <w:rsid w:val="0020044D"/>
    <w:rsid w:val="002007E7"/>
    <w:rsid w:val="00200BF3"/>
    <w:rsid w:val="00200DE0"/>
    <w:rsid w:val="002016B4"/>
    <w:rsid w:val="00201A06"/>
    <w:rsid w:val="00201D09"/>
    <w:rsid w:val="00201DC9"/>
    <w:rsid w:val="00202021"/>
    <w:rsid w:val="0020228D"/>
    <w:rsid w:val="002023A3"/>
    <w:rsid w:val="00202546"/>
    <w:rsid w:val="00202551"/>
    <w:rsid w:val="00202576"/>
    <w:rsid w:val="00202721"/>
    <w:rsid w:val="00202B2A"/>
    <w:rsid w:val="00202B51"/>
    <w:rsid w:val="00202DEF"/>
    <w:rsid w:val="00202E43"/>
    <w:rsid w:val="00203244"/>
    <w:rsid w:val="00203942"/>
    <w:rsid w:val="00203947"/>
    <w:rsid w:val="002039F7"/>
    <w:rsid w:val="00203DD7"/>
    <w:rsid w:val="00203EFC"/>
    <w:rsid w:val="00204000"/>
    <w:rsid w:val="0020424D"/>
    <w:rsid w:val="002043C4"/>
    <w:rsid w:val="0020487B"/>
    <w:rsid w:val="00204BEF"/>
    <w:rsid w:val="00204E27"/>
    <w:rsid w:val="0020500F"/>
    <w:rsid w:val="002050FB"/>
    <w:rsid w:val="00205329"/>
    <w:rsid w:val="00205356"/>
    <w:rsid w:val="0020573F"/>
    <w:rsid w:val="00205A91"/>
    <w:rsid w:val="00205E54"/>
    <w:rsid w:val="00206137"/>
    <w:rsid w:val="00206185"/>
    <w:rsid w:val="00206886"/>
    <w:rsid w:val="002068C1"/>
    <w:rsid w:val="00206B76"/>
    <w:rsid w:val="00206C27"/>
    <w:rsid w:val="00207278"/>
    <w:rsid w:val="00207AAF"/>
    <w:rsid w:val="00207B1E"/>
    <w:rsid w:val="00207B50"/>
    <w:rsid w:val="00207B7F"/>
    <w:rsid w:val="00207C1C"/>
    <w:rsid w:val="00207CF7"/>
    <w:rsid w:val="00207FF7"/>
    <w:rsid w:val="002102CA"/>
    <w:rsid w:val="00210407"/>
    <w:rsid w:val="002106B9"/>
    <w:rsid w:val="00210C5E"/>
    <w:rsid w:val="00210F0D"/>
    <w:rsid w:val="00210FEE"/>
    <w:rsid w:val="00211396"/>
    <w:rsid w:val="00211623"/>
    <w:rsid w:val="00211DCE"/>
    <w:rsid w:val="002120D8"/>
    <w:rsid w:val="002121D3"/>
    <w:rsid w:val="00212330"/>
    <w:rsid w:val="002123CE"/>
    <w:rsid w:val="0021273B"/>
    <w:rsid w:val="0021294E"/>
    <w:rsid w:val="00212D8E"/>
    <w:rsid w:val="00212E6A"/>
    <w:rsid w:val="00212EE0"/>
    <w:rsid w:val="00212EFC"/>
    <w:rsid w:val="00212F28"/>
    <w:rsid w:val="00212F7B"/>
    <w:rsid w:val="00213076"/>
    <w:rsid w:val="0021311F"/>
    <w:rsid w:val="00213374"/>
    <w:rsid w:val="002133C9"/>
    <w:rsid w:val="0021352C"/>
    <w:rsid w:val="0021376A"/>
    <w:rsid w:val="0021388F"/>
    <w:rsid w:val="00213B43"/>
    <w:rsid w:val="00213CA2"/>
    <w:rsid w:val="00213D39"/>
    <w:rsid w:val="00213EA5"/>
    <w:rsid w:val="00213ECD"/>
    <w:rsid w:val="00213EED"/>
    <w:rsid w:val="00214923"/>
    <w:rsid w:val="00214C6A"/>
    <w:rsid w:val="00214EBE"/>
    <w:rsid w:val="00214F43"/>
    <w:rsid w:val="00214F7B"/>
    <w:rsid w:val="002154E9"/>
    <w:rsid w:val="00215601"/>
    <w:rsid w:val="0021580F"/>
    <w:rsid w:val="0021586E"/>
    <w:rsid w:val="00215DF4"/>
    <w:rsid w:val="00215F2E"/>
    <w:rsid w:val="002161EB"/>
    <w:rsid w:val="0021639E"/>
    <w:rsid w:val="002165BB"/>
    <w:rsid w:val="0021692F"/>
    <w:rsid w:val="00216A34"/>
    <w:rsid w:val="00216D21"/>
    <w:rsid w:val="00216DA9"/>
    <w:rsid w:val="0021781E"/>
    <w:rsid w:val="002179B6"/>
    <w:rsid w:val="00217A8E"/>
    <w:rsid w:val="00220029"/>
    <w:rsid w:val="0022035F"/>
    <w:rsid w:val="00220628"/>
    <w:rsid w:val="00220634"/>
    <w:rsid w:val="00220A74"/>
    <w:rsid w:val="00220CBB"/>
    <w:rsid w:val="0022114B"/>
    <w:rsid w:val="002217FB"/>
    <w:rsid w:val="00221950"/>
    <w:rsid w:val="002219B8"/>
    <w:rsid w:val="00221B6E"/>
    <w:rsid w:val="002221F6"/>
    <w:rsid w:val="00222419"/>
    <w:rsid w:val="0022247B"/>
    <w:rsid w:val="00222570"/>
    <w:rsid w:val="002226F6"/>
    <w:rsid w:val="00222A28"/>
    <w:rsid w:val="00222FAF"/>
    <w:rsid w:val="0022318A"/>
    <w:rsid w:val="00223476"/>
    <w:rsid w:val="0022359D"/>
    <w:rsid w:val="00223BE1"/>
    <w:rsid w:val="002245F8"/>
    <w:rsid w:val="00224A6C"/>
    <w:rsid w:val="00224CBF"/>
    <w:rsid w:val="00224E39"/>
    <w:rsid w:val="002251D8"/>
    <w:rsid w:val="0022525A"/>
    <w:rsid w:val="0022557B"/>
    <w:rsid w:val="00225B70"/>
    <w:rsid w:val="00225CB7"/>
    <w:rsid w:val="00225D5E"/>
    <w:rsid w:val="00225FEC"/>
    <w:rsid w:val="00226063"/>
    <w:rsid w:val="002264CB"/>
    <w:rsid w:val="002265DA"/>
    <w:rsid w:val="0022705A"/>
    <w:rsid w:val="0022719F"/>
    <w:rsid w:val="0022768B"/>
    <w:rsid w:val="00227788"/>
    <w:rsid w:val="00227CE6"/>
    <w:rsid w:val="00227DC8"/>
    <w:rsid w:val="00227F5E"/>
    <w:rsid w:val="0023007B"/>
    <w:rsid w:val="002301B5"/>
    <w:rsid w:val="0023020D"/>
    <w:rsid w:val="0023050C"/>
    <w:rsid w:val="002305E3"/>
    <w:rsid w:val="00230718"/>
    <w:rsid w:val="00230999"/>
    <w:rsid w:val="00231499"/>
    <w:rsid w:val="0023168C"/>
    <w:rsid w:val="0023169F"/>
    <w:rsid w:val="00231B9E"/>
    <w:rsid w:val="0023205F"/>
    <w:rsid w:val="0023225E"/>
    <w:rsid w:val="002322C2"/>
    <w:rsid w:val="00232586"/>
    <w:rsid w:val="00232730"/>
    <w:rsid w:val="0023297A"/>
    <w:rsid w:val="00232C74"/>
    <w:rsid w:val="00233065"/>
    <w:rsid w:val="002335E3"/>
    <w:rsid w:val="00233607"/>
    <w:rsid w:val="002339E3"/>
    <w:rsid w:val="00233ADB"/>
    <w:rsid w:val="00234803"/>
    <w:rsid w:val="00234827"/>
    <w:rsid w:val="002349F9"/>
    <w:rsid w:val="00234BAD"/>
    <w:rsid w:val="00234D1D"/>
    <w:rsid w:val="00234DFE"/>
    <w:rsid w:val="002350E1"/>
    <w:rsid w:val="00235658"/>
    <w:rsid w:val="00235D6D"/>
    <w:rsid w:val="00235E40"/>
    <w:rsid w:val="00235ECB"/>
    <w:rsid w:val="00236195"/>
    <w:rsid w:val="0023643C"/>
    <w:rsid w:val="00236528"/>
    <w:rsid w:val="002368EB"/>
    <w:rsid w:val="00236A7B"/>
    <w:rsid w:val="00236C08"/>
    <w:rsid w:val="00236D1B"/>
    <w:rsid w:val="00236D26"/>
    <w:rsid w:val="002371C0"/>
    <w:rsid w:val="002378D8"/>
    <w:rsid w:val="00237DB5"/>
    <w:rsid w:val="00237FB0"/>
    <w:rsid w:val="00237FFC"/>
    <w:rsid w:val="00240168"/>
    <w:rsid w:val="0024027B"/>
    <w:rsid w:val="002402D1"/>
    <w:rsid w:val="0024034F"/>
    <w:rsid w:val="002407F1"/>
    <w:rsid w:val="00240887"/>
    <w:rsid w:val="00240D9D"/>
    <w:rsid w:val="00240E8A"/>
    <w:rsid w:val="00240E92"/>
    <w:rsid w:val="0024130F"/>
    <w:rsid w:val="00241E56"/>
    <w:rsid w:val="00241E85"/>
    <w:rsid w:val="002422FA"/>
    <w:rsid w:val="002425BF"/>
    <w:rsid w:val="002425EC"/>
    <w:rsid w:val="00242813"/>
    <w:rsid w:val="002428EF"/>
    <w:rsid w:val="00242920"/>
    <w:rsid w:val="00242BED"/>
    <w:rsid w:val="00242D36"/>
    <w:rsid w:val="00242EBD"/>
    <w:rsid w:val="00242FE6"/>
    <w:rsid w:val="002431B1"/>
    <w:rsid w:val="00243503"/>
    <w:rsid w:val="00243530"/>
    <w:rsid w:val="002436E9"/>
    <w:rsid w:val="0024380D"/>
    <w:rsid w:val="00243AC8"/>
    <w:rsid w:val="002440A5"/>
    <w:rsid w:val="00244533"/>
    <w:rsid w:val="0024468E"/>
    <w:rsid w:val="00244875"/>
    <w:rsid w:val="00244AAD"/>
    <w:rsid w:val="002451B4"/>
    <w:rsid w:val="0024526E"/>
    <w:rsid w:val="002455B5"/>
    <w:rsid w:val="00245B75"/>
    <w:rsid w:val="00245CC6"/>
    <w:rsid w:val="002461B6"/>
    <w:rsid w:val="002461DD"/>
    <w:rsid w:val="002465C9"/>
    <w:rsid w:val="00246647"/>
    <w:rsid w:val="00246BCE"/>
    <w:rsid w:val="002472B0"/>
    <w:rsid w:val="00247328"/>
    <w:rsid w:val="00247466"/>
    <w:rsid w:val="00247672"/>
    <w:rsid w:val="00247EB4"/>
    <w:rsid w:val="00247F76"/>
    <w:rsid w:val="002509F3"/>
    <w:rsid w:val="00250AD3"/>
    <w:rsid w:val="00250E0F"/>
    <w:rsid w:val="00251081"/>
    <w:rsid w:val="00251110"/>
    <w:rsid w:val="00251188"/>
    <w:rsid w:val="0025138F"/>
    <w:rsid w:val="00251839"/>
    <w:rsid w:val="00251E8F"/>
    <w:rsid w:val="0025242F"/>
    <w:rsid w:val="00252875"/>
    <w:rsid w:val="002528E9"/>
    <w:rsid w:val="00252A4F"/>
    <w:rsid w:val="00252BAA"/>
    <w:rsid w:val="00252D88"/>
    <w:rsid w:val="00252E96"/>
    <w:rsid w:val="002530FF"/>
    <w:rsid w:val="00253215"/>
    <w:rsid w:val="0025322F"/>
    <w:rsid w:val="00253357"/>
    <w:rsid w:val="0025353D"/>
    <w:rsid w:val="002536E5"/>
    <w:rsid w:val="00253941"/>
    <w:rsid w:val="00253E71"/>
    <w:rsid w:val="002540E4"/>
    <w:rsid w:val="0025454C"/>
    <w:rsid w:val="00254906"/>
    <w:rsid w:val="00254D2F"/>
    <w:rsid w:val="00254D43"/>
    <w:rsid w:val="00255B28"/>
    <w:rsid w:val="00255C7C"/>
    <w:rsid w:val="00255F4E"/>
    <w:rsid w:val="00256629"/>
    <w:rsid w:val="0025665D"/>
    <w:rsid w:val="00256C93"/>
    <w:rsid w:val="00256CC4"/>
    <w:rsid w:val="00256F40"/>
    <w:rsid w:val="00257377"/>
    <w:rsid w:val="0025757D"/>
    <w:rsid w:val="002579B5"/>
    <w:rsid w:val="00257A4F"/>
    <w:rsid w:val="00257A5D"/>
    <w:rsid w:val="00257B8F"/>
    <w:rsid w:val="002601F0"/>
    <w:rsid w:val="002604D1"/>
    <w:rsid w:val="00260983"/>
    <w:rsid w:val="00260B14"/>
    <w:rsid w:val="002611B2"/>
    <w:rsid w:val="00261358"/>
    <w:rsid w:val="002613DC"/>
    <w:rsid w:val="00261580"/>
    <w:rsid w:val="002615A7"/>
    <w:rsid w:val="0026175B"/>
    <w:rsid w:val="00261CCC"/>
    <w:rsid w:val="00261E92"/>
    <w:rsid w:val="00262CA7"/>
    <w:rsid w:val="00262DBC"/>
    <w:rsid w:val="00262FC1"/>
    <w:rsid w:val="0026308E"/>
    <w:rsid w:val="0026324F"/>
    <w:rsid w:val="0026326C"/>
    <w:rsid w:val="00263624"/>
    <w:rsid w:val="002644DF"/>
    <w:rsid w:val="002645DF"/>
    <w:rsid w:val="00264650"/>
    <w:rsid w:val="00264693"/>
    <w:rsid w:val="002646F0"/>
    <w:rsid w:val="002648F6"/>
    <w:rsid w:val="00264CC5"/>
    <w:rsid w:val="00264E3C"/>
    <w:rsid w:val="00265163"/>
    <w:rsid w:val="00265400"/>
    <w:rsid w:val="002655A7"/>
    <w:rsid w:val="002657B7"/>
    <w:rsid w:val="00266349"/>
    <w:rsid w:val="0026653C"/>
    <w:rsid w:val="00266665"/>
    <w:rsid w:val="002666EA"/>
    <w:rsid w:val="0026686E"/>
    <w:rsid w:val="00266A7A"/>
    <w:rsid w:val="00266B0C"/>
    <w:rsid w:val="00267025"/>
    <w:rsid w:val="0026730F"/>
    <w:rsid w:val="00267497"/>
    <w:rsid w:val="00267550"/>
    <w:rsid w:val="00267699"/>
    <w:rsid w:val="002678FA"/>
    <w:rsid w:val="002679CF"/>
    <w:rsid w:val="00270294"/>
    <w:rsid w:val="002707B7"/>
    <w:rsid w:val="00270A54"/>
    <w:rsid w:val="002711DC"/>
    <w:rsid w:val="00271580"/>
    <w:rsid w:val="002718D6"/>
    <w:rsid w:val="002718FF"/>
    <w:rsid w:val="00271AD3"/>
    <w:rsid w:val="00271AF4"/>
    <w:rsid w:val="00271B2D"/>
    <w:rsid w:val="00271C73"/>
    <w:rsid w:val="00271D79"/>
    <w:rsid w:val="00271E8A"/>
    <w:rsid w:val="002720B6"/>
    <w:rsid w:val="00272585"/>
    <w:rsid w:val="002725BE"/>
    <w:rsid w:val="002728C9"/>
    <w:rsid w:val="00272E24"/>
    <w:rsid w:val="0027302C"/>
    <w:rsid w:val="00273148"/>
    <w:rsid w:val="0027330B"/>
    <w:rsid w:val="00273362"/>
    <w:rsid w:val="002735E7"/>
    <w:rsid w:val="002737DE"/>
    <w:rsid w:val="00273978"/>
    <w:rsid w:val="002739F4"/>
    <w:rsid w:val="00273AE5"/>
    <w:rsid w:val="00273B16"/>
    <w:rsid w:val="00273B9D"/>
    <w:rsid w:val="00273D00"/>
    <w:rsid w:val="00273D71"/>
    <w:rsid w:val="00274085"/>
    <w:rsid w:val="002740F9"/>
    <w:rsid w:val="00274444"/>
    <w:rsid w:val="002744F4"/>
    <w:rsid w:val="0027467A"/>
    <w:rsid w:val="00274733"/>
    <w:rsid w:val="00274872"/>
    <w:rsid w:val="00274895"/>
    <w:rsid w:val="00274CAF"/>
    <w:rsid w:val="00274D99"/>
    <w:rsid w:val="00274DC0"/>
    <w:rsid w:val="00274E0D"/>
    <w:rsid w:val="00274F96"/>
    <w:rsid w:val="00275321"/>
    <w:rsid w:val="002753D7"/>
    <w:rsid w:val="002758C2"/>
    <w:rsid w:val="00275DD6"/>
    <w:rsid w:val="00275DE2"/>
    <w:rsid w:val="00275EDA"/>
    <w:rsid w:val="00276167"/>
    <w:rsid w:val="0027625C"/>
    <w:rsid w:val="002762D9"/>
    <w:rsid w:val="0027645A"/>
    <w:rsid w:val="00276660"/>
    <w:rsid w:val="00276742"/>
    <w:rsid w:val="00276760"/>
    <w:rsid w:val="002767F8"/>
    <w:rsid w:val="00276A5D"/>
    <w:rsid w:val="00276C3C"/>
    <w:rsid w:val="00276CC7"/>
    <w:rsid w:val="00276D12"/>
    <w:rsid w:val="00276D3C"/>
    <w:rsid w:val="00276E4D"/>
    <w:rsid w:val="00276F1A"/>
    <w:rsid w:val="00276F54"/>
    <w:rsid w:val="0027705F"/>
    <w:rsid w:val="00277981"/>
    <w:rsid w:val="00277AF6"/>
    <w:rsid w:val="00277D37"/>
    <w:rsid w:val="00277DD8"/>
    <w:rsid w:val="002806AF"/>
    <w:rsid w:val="00280826"/>
    <w:rsid w:val="0028096C"/>
    <w:rsid w:val="00280A78"/>
    <w:rsid w:val="00280A91"/>
    <w:rsid w:val="00280CDB"/>
    <w:rsid w:val="00280E58"/>
    <w:rsid w:val="00281055"/>
    <w:rsid w:val="00281742"/>
    <w:rsid w:val="00281909"/>
    <w:rsid w:val="00281C42"/>
    <w:rsid w:val="00281DA1"/>
    <w:rsid w:val="00281F58"/>
    <w:rsid w:val="002820BF"/>
    <w:rsid w:val="002826C0"/>
    <w:rsid w:val="002826E9"/>
    <w:rsid w:val="0028281C"/>
    <w:rsid w:val="00282834"/>
    <w:rsid w:val="00282AAA"/>
    <w:rsid w:val="00282C3C"/>
    <w:rsid w:val="00282C9E"/>
    <w:rsid w:val="00282D87"/>
    <w:rsid w:val="00283046"/>
    <w:rsid w:val="0028328A"/>
    <w:rsid w:val="002832EB"/>
    <w:rsid w:val="002839E3"/>
    <w:rsid w:val="00283A38"/>
    <w:rsid w:val="00283A70"/>
    <w:rsid w:val="0028456B"/>
    <w:rsid w:val="002845AC"/>
    <w:rsid w:val="002845D9"/>
    <w:rsid w:val="00284741"/>
    <w:rsid w:val="002848DA"/>
    <w:rsid w:val="00284ADE"/>
    <w:rsid w:val="00284FD9"/>
    <w:rsid w:val="00284FDB"/>
    <w:rsid w:val="002850D2"/>
    <w:rsid w:val="0028571D"/>
    <w:rsid w:val="002858A2"/>
    <w:rsid w:val="00285B90"/>
    <w:rsid w:val="00285BAA"/>
    <w:rsid w:val="00285C87"/>
    <w:rsid w:val="00285CC6"/>
    <w:rsid w:val="00285D96"/>
    <w:rsid w:val="00285E68"/>
    <w:rsid w:val="0028613C"/>
    <w:rsid w:val="002864C7"/>
    <w:rsid w:val="0028652F"/>
    <w:rsid w:val="0028655C"/>
    <w:rsid w:val="00286D2F"/>
    <w:rsid w:val="002871BF"/>
    <w:rsid w:val="00287413"/>
    <w:rsid w:val="00287626"/>
    <w:rsid w:val="00287657"/>
    <w:rsid w:val="002879B4"/>
    <w:rsid w:val="00287C98"/>
    <w:rsid w:val="002902F6"/>
    <w:rsid w:val="00290650"/>
    <w:rsid w:val="00290734"/>
    <w:rsid w:val="00290ADF"/>
    <w:rsid w:val="00290ECA"/>
    <w:rsid w:val="00291010"/>
    <w:rsid w:val="00291016"/>
    <w:rsid w:val="00291322"/>
    <w:rsid w:val="0029133D"/>
    <w:rsid w:val="002915CD"/>
    <w:rsid w:val="002915EA"/>
    <w:rsid w:val="0029170B"/>
    <w:rsid w:val="00291954"/>
    <w:rsid w:val="00291D91"/>
    <w:rsid w:val="00291E16"/>
    <w:rsid w:val="00292039"/>
    <w:rsid w:val="0029211C"/>
    <w:rsid w:val="0029222F"/>
    <w:rsid w:val="002922FB"/>
    <w:rsid w:val="0029235B"/>
    <w:rsid w:val="00292470"/>
    <w:rsid w:val="002925AF"/>
    <w:rsid w:val="00292821"/>
    <w:rsid w:val="00292832"/>
    <w:rsid w:val="00292926"/>
    <w:rsid w:val="002929B8"/>
    <w:rsid w:val="00292A4D"/>
    <w:rsid w:val="00292A7B"/>
    <w:rsid w:val="002930B5"/>
    <w:rsid w:val="00293169"/>
    <w:rsid w:val="00293270"/>
    <w:rsid w:val="002932FF"/>
    <w:rsid w:val="00293364"/>
    <w:rsid w:val="00293898"/>
    <w:rsid w:val="002939E7"/>
    <w:rsid w:val="00293AFE"/>
    <w:rsid w:val="00293DC0"/>
    <w:rsid w:val="00293FDA"/>
    <w:rsid w:val="00294042"/>
    <w:rsid w:val="00294605"/>
    <w:rsid w:val="002948ED"/>
    <w:rsid w:val="00294F5B"/>
    <w:rsid w:val="0029507C"/>
    <w:rsid w:val="002950E0"/>
    <w:rsid w:val="0029512C"/>
    <w:rsid w:val="00295460"/>
    <w:rsid w:val="00295595"/>
    <w:rsid w:val="00295875"/>
    <w:rsid w:val="00295A7F"/>
    <w:rsid w:val="00295A8A"/>
    <w:rsid w:val="00295C05"/>
    <w:rsid w:val="00295C9D"/>
    <w:rsid w:val="00295D6D"/>
    <w:rsid w:val="00295D83"/>
    <w:rsid w:val="00295DEE"/>
    <w:rsid w:val="00295E15"/>
    <w:rsid w:val="00295FDE"/>
    <w:rsid w:val="00295FEA"/>
    <w:rsid w:val="002960E5"/>
    <w:rsid w:val="00296419"/>
    <w:rsid w:val="002964E2"/>
    <w:rsid w:val="0029668B"/>
    <w:rsid w:val="0029672E"/>
    <w:rsid w:val="002968E0"/>
    <w:rsid w:val="00296B98"/>
    <w:rsid w:val="00296CD6"/>
    <w:rsid w:val="002976AF"/>
    <w:rsid w:val="002977F8"/>
    <w:rsid w:val="00297999"/>
    <w:rsid w:val="00297D30"/>
    <w:rsid w:val="00297E4B"/>
    <w:rsid w:val="00297E60"/>
    <w:rsid w:val="00297EB7"/>
    <w:rsid w:val="002A01F3"/>
    <w:rsid w:val="002A0439"/>
    <w:rsid w:val="002A064A"/>
    <w:rsid w:val="002A0700"/>
    <w:rsid w:val="002A0A46"/>
    <w:rsid w:val="002A0AEB"/>
    <w:rsid w:val="002A0C2A"/>
    <w:rsid w:val="002A0C34"/>
    <w:rsid w:val="002A0E8E"/>
    <w:rsid w:val="002A0FE4"/>
    <w:rsid w:val="002A106A"/>
    <w:rsid w:val="002A185B"/>
    <w:rsid w:val="002A1CFA"/>
    <w:rsid w:val="002A1FB1"/>
    <w:rsid w:val="002A215C"/>
    <w:rsid w:val="002A2233"/>
    <w:rsid w:val="002A22E1"/>
    <w:rsid w:val="002A2B94"/>
    <w:rsid w:val="002A2D19"/>
    <w:rsid w:val="002A2EE8"/>
    <w:rsid w:val="002A3293"/>
    <w:rsid w:val="002A34E6"/>
    <w:rsid w:val="002A377E"/>
    <w:rsid w:val="002A37F5"/>
    <w:rsid w:val="002A3895"/>
    <w:rsid w:val="002A38D0"/>
    <w:rsid w:val="002A3A66"/>
    <w:rsid w:val="002A3C08"/>
    <w:rsid w:val="002A3C59"/>
    <w:rsid w:val="002A3CB8"/>
    <w:rsid w:val="002A3F7F"/>
    <w:rsid w:val="002A4152"/>
    <w:rsid w:val="002A4415"/>
    <w:rsid w:val="002A44B5"/>
    <w:rsid w:val="002A4600"/>
    <w:rsid w:val="002A5D1C"/>
    <w:rsid w:val="002A5D81"/>
    <w:rsid w:val="002A5D9F"/>
    <w:rsid w:val="002A5F93"/>
    <w:rsid w:val="002A613A"/>
    <w:rsid w:val="002A624F"/>
    <w:rsid w:val="002A63EB"/>
    <w:rsid w:val="002A6458"/>
    <w:rsid w:val="002A653B"/>
    <w:rsid w:val="002A69BC"/>
    <w:rsid w:val="002A6B8E"/>
    <w:rsid w:val="002A6D11"/>
    <w:rsid w:val="002A6DF1"/>
    <w:rsid w:val="002A7332"/>
    <w:rsid w:val="002A7385"/>
    <w:rsid w:val="002A745F"/>
    <w:rsid w:val="002A74A2"/>
    <w:rsid w:val="002A74D8"/>
    <w:rsid w:val="002A75B6"/>
    <w:rsid w:val="002A7917"/>
    <w:rsid w:val="002A7B09"/>
    <w:rsid w:val="002A7D74"/>
    <w:rsid w:val="002A7F2B"/>
    <w:rsid w:val="002B004B"/>
    <w:rsid w:val="002B0167"/>
    <w:rsid w:val="002B01FE"/>
    <w:rsid w:val="002B0221"/>
    <w:rsid w:val="002B03ED"/>
    <w:rsid w:val="002B076C"/>
    <w:rsid w:val="002B0853"/>
    <w:rsid w:val="002B0AFB"/>
    <w:rsid w:val="002B0BD1"/>
    <w:rsid w:val="002B0C16"/>
    <w:rsid w:val="002B0D1E"/>
    <w:rsid w:val="002B0D45"/>
    <w:rsid w:val="002B0EBA"/>
    <w:rsid w:val="002B0EF3"/>
    <w:rsid w:val="002B0F0C"/>
    <w:rsid w:val="002B15E2"/>
    <w:rsid w:val="002B1DF3"/>
    <w:rsid w:val="002B1FBF"/>
    <w:rsid w:val="002B1FD7"/>
    <w:rsid w:val="002B28C0"/>
    <w:rsid w:val="002B2A6A"/>
    <w:rsid w:val="002B2C5A"/>
    <w:rsid w:val="002B2CF4"/>
    <w:rsid w:val="002B2ECB"/>
    <w:rsid w:val="002B2EF6"/>
    <w:rsid w:val="002B2FEE"/>
    <w:rsid w:val="002B318C"/>
    <w:rsid w:val="002B3676"/>
    <w:rsid w:val="002B3A81"/>
    <w:rsid w:val="002B3C11"/>
    <w:rsid w:val="002B45D0"/>
    <w:rsid w:val="002B45F0"/>
    <w:rsid w:val="002B4637"/>
    <w:rsid w:val="002B476D"/>
    <w:rsid w:val="002B481D"/>
    <w:rsid w:val="002B513F"/>
    <w:rsid w:val="002B5288"/>
    <w:rsid w:val="002B54BA"/>
    <w:rsid w:val="002B56F7"/>
    <w:rsid w:val="002B5B89"/>
    <w:rsid w:val="002B6198"/>
    <w:rsid w:val="002B63F5"/>
    <w:rsid w:val="002B642F"/>
    <w:rsid w:val="002B6452"/>
    <w:rsid w:val="002B6500"/>
    <w:rsid w:val="002B6563"/>
    <w:rsid w:val="002B6575"/>
    <w:rsid w:val="002B65CF"/>
    <w:rsid w:val="002B6643"/>
    <w:rsid w:val="002B6794"/>
    <w:rsid w:val="002B6838"/>
    <w:rsid w:val="002B6CFB"/>
    <w:rsid w:val="002B6D8D"/>
    <w:rsid w:val="002B6EC6"/>
    <w:rsid w:val="002B7140"/>
    <w:rsid w:val="002B7219"/>
    <w:rsid w:val="002B791F"/>
    <w:rsid w:val="002B7AE4"/>
    <w:rsid w:val="002B7C3D"/>
    <w:rsid w:val="002B7C6F"/>
    <w:rsid w:val="002B7ED6"/>
    <w:rsid w:val="002C0178"/>
    <w:rsid w:val="002C04D4"/>
    <w:rsid w:val="002C04E2"/>
    <w:rsid w:val="002C0564"/>
    <w:rsid w:val="002C0825"/>
    <w:rsid w:val="002C086E"/>
    <w:rsid w:val="002C0986"/>
    <w:rsid w:val="002C0A64"/>
    <w:rsid w:val="002C11F0"/>
    <w:rsid w:val="002C1450"/>
    <w:rsid w:val="002C148E"/>
    <w:rsid w:val="002C14E9"/>
    <w:rsid w:val="002C179B"/>
    <w:rsid w:val="002C18B0"/>
    <w:rsid w:val="002C1AC2"/>
    <w:rsid w:val="002C2175"/>
    <w:rsid w:val="002C21ED"/>
    <w:rsid w:val="002C222A"/>
    <w:rsid w:val="002C226A"/>
    <w:rsid w:val="002C2625"/>
    <w:rsid w:val="002C2634"/>
    <w:rsid w:val="002C29D8"/>
    <w:rsid w:val="002C2B21"/>
    <w:rsid w:val="002C2C99"/>
    <w:rsid w:val="002C2CC5"/>
    <w:rsid w:val="002C2CCE"/>
    <w:rsid w:val="002C2FA2"/>
    <w:rsid w:val="002C2FEB"/>
    <w:rsid w:val="002C2FFB"/>
    <w:rsid w:val="002C31D6"/>
    <w:rsid w:val="002C378A"/>
    <w:rsid w:val="002C3EDE"/>
    <w:rsid w:val="002C40F8"/>
    <w:rsid w:val="002C4198"/>
    <w:rsid w:val="002C42C9"/>
    <w:rsid w:val="002C42E8"/>
    <w:rsid w:val="002C4AAA"/>
    <w:rsid w:val="002C4AE2"/>
    <w:rsid w:val="002C4CBE"/>
    <w:rsid w:val="002C4F45"/>
    <w:rsid w:val="002C5019"/>
    <w:rsid w:val="002C536E"/>
    <w:rsid w:val="002C54D3"/>
    <w:rsid w:val="002C55CA"/>
    <w:rsid w:val="002C58D4"/>
    <w:rsid w:val="002C5B95"/>
    <w:rsid w:val="002C5DD4"/>
    <w:rsid w:val="002C5E7C"/>
    <w:rsid w:val="002C5FD8"/>
    <w:rsid w:val="002C6039"/>
    <w:rsid w:val="002C659B"/>
    <w:rsid w:val="002C65A2"/>
    <w:rsid w:val="002C68CB"/>
    <w:rsid w:val="002C6936"/>
    <w:rsid w:val="002C6A86"/>
    <w:rsid w:val="002C6AAC"/>
    <w:rsid w:val="002C6AEC"/>
    <w:rsid w:val="002C6E73"/>
    <w:rsid w:val="002C6ED9"/>
    <w:rsid w:val="002C706C"/>
    <w:rsid w:val="002C741B"/>
    <w:rsid w:val="002C745F"/>
    <w:rsid w:val="002C774A"/>
    <w:rsid w:val="002C79EC"/>
    <w:rsid w:val="002D0203"/>
    <w:rsid w:val="002D0490"/>
    <w:rsid w:val="002D0575"/>
    <w:rsid w:val="002D086F"/>
    <w:rsid w:val="002D087F"/>
    <w:rsid w:val="002D0ABC"/>
    <w:rsid w:val="002D0DA8"/>
    <w:rsid w:val="002D11CA"/>
    <w:rsid w:val="002D180F"/>
    <w:rsid w:val="002D1B59"/>
    <w:rsid w:val="002D1BC2"/>
    <w:rsid w:val="002D1C7E"/>
    <w:rsid w:val="002D207C"/>
    <w:rsid w:val="002D2081"/>
    <w:rsid w:val="002D2319"/>
    <w:rsid w:val="002D2409"/>
    <w:rsid w:val="002D25C3"/>
    <w:rsid w:val="002D271D"/>
    <w:rsid w:val="002D2760"/>
    <w:rsid w:val="002D27BB"/>
    <w:rsid w:val="002D2CF7"/>
    <w:rsid w:val="002D2D87"/>
    <w:rsid w:val="002D3085"/>
    <w:rsid w:val="002D3762"/>
    <w:rsid w:val="002D395E"/>
    <w:rsid w:val="002D39E3"/>
    <w:rsid w:val="002D3EFB"/>
    <w:rsid w:val="002D3FDB"/>
    <w:rsid w:val="002D3FEC"/>
    <w:rsid w:val="002D4230"/>
    <w:rsid w:val="002D44DB"/>
    <w:rsid w:val="002D4DBB"/>
    <w:rsid w:val="002D5104"/>
    <w:rsid w:val="002D557B"/>
    <w:rsid w:val="002D558B"/>
    <w:rsid w:val="002D5C43"/>
    <w:rsid w:val="002D5C5E"/>
    <w:rsid w:val="002D654D"/>
    <w:rsid w:val="002D6DF1"/>
    <w:rsid w:val="002D71B8"/>
    <w:rsid w:val="002D7722"/>
    <w:rsid w:val="002D7924"/>
    <w:rsid w:val="002D7A50"/>
    <w:rsid w:val="002D7A6B"/>
    <w:rsid w:val="002D7E44"/>
    <w:rsid w:val="002D7F57"/>
    <w:rsid w:val="002E0526"/>
    <w:rsid w:val="002E0C15"/>
    <w:rsid w:val="002E253F"/>
    <w:rsid w:val="002E255D"/>
    <w:rsid w:val="002E266A"/>
    <w:rsid w:val="002E2804"/>
    <w:rsid w:val="002E2D57"/>
    <w:rsid w:val="002E2E09"/>
    <w:rsid w:val="002E343C"/>
    <w:rsid w:val="002E3709"/>
    <w:rsid w:val="002E389E"/>
    <w:rsid w:val="002E38AF"/>
    <w:rsid w:val="002E3A74"/>
    <w:rsid w:val="002E3B0C"/>
    <w:rsid w:val="002E3E7C"/>
    <w:rsid w:val="002E3F3C"/>
    <w:rsid w:val="002E3FAD"/>
    <w:rsid w:val="002E425C"/>
    <w:rsid w:val="002E44DD"/>
    <w:rsid w:val="002E4562"/>
    <w:rsid w:val="002E4C40"/>
    <w:rsid w:val="002E4D55"/>
    <w:rsid w:val="002E4E22"/>
    <w:rsid w:val="002E50C5"/>
    <w:rsid w:val="002E5149"/>
    <w:rsid w:val="002E51B3"/>
    <w:rsid w:val="002E5632"/>
    <w:rsid w:val="002E56E1"/>
    <w:rsid w:val="002E595C"/>
    <w:rsid w:val="002E5D5F"/>
    <w:rsid w:val="002E5F0C"/>
    <w:rsid w:val="002E646C"/>
    <w:rsid w:val="002E64A2"/>
    <w:rsid w:val="002E6B7F"/>
    <w:rsid w:val="002E6C7C"/>
    <w:rsid w:val="002E6D72"/>
    <w:rsid w:val="002E6EC2"/>
    <w:rsid w:val="002E72B0"/>
    <w:rsid w:val="002E74E2"/>
    <w:rsid w:val="002E7842"/>
    <w:rsid w:val="002E7955"/>
    <w:rsid w:val="002E7D1D"/>
    <w:rsid w:val="002E7E1C"/>
    <w:rsid w:val="002E7E77"/>
    <w:rsid w:val="002E7EBF"/>
    <w:rsid w:val="002F0D27"/>
    <w:rsid w:val="002F10F0"/>
    <w:rsid w:val="002F140A"/>
    <w:rsid w:val="002F143D"/>
    <w:rsid w:val="002F14DD"/>
    <w:rsid w:val="002F171D"/>
    <w:rsid w:val="002F1956"/>
    <w:rsid w:val="002F1A75"/>
    <w:rsid w:val="002F1C32"/>
    <w:rsid w:val="002F1C4F"/>
    <w:rsid w:val="002F2314"/>
    <w:rsid w:val="002F250D"/>
    <w:rsid w:val="002F2579"/>
    <w:rsid w:val="002F27A6"/>
    <w:rsid w:val="002F2838"/>
    <w:rsid w:val="002F3046"/>
    <w:rsid w:val="002F334F"/>
    <w:rsid w:val="002F353C"/>
    <w:rsid w:val="002F3930"/>
    <w:rsid w:val="002F3D8D"/>
    <w:rsid w:val="002F3D91"/>
    <w:rsid w:val="002F440B"/>
    <w:rsid w:val="002F44D3"/>
    <w:rsid w:val="002F47BB"/>
    <w:rsid w:val="002F4A37"/>
    <w:rsid w:val="002F4C93"/>
    <w:rsid w:val="002F5782"/>
    <w:rsid w:val="002F587F"/>
    <w:rsid w:val="002F591C"/>
    <w:rsid w:val="002F598B"/>
    <w:rsid w:val="002F5B62"/>
    <w:rsid w:val="002F5CAF"/>
    <w:rsid w:val="002F5F9B"/>
    <w:rsid w:val="002F6130"/>
    <w:rsid w:val="002F63C9"/>
    <w:rsid w:val="002F64D0"/>
    <w:rsid w:val="002F6679"/>
    <w:rsid w:val="002F6788"/>
    <w:rsid w:val="002F68E5"/>
    <w:rsid w:val="002F6CFF"/>
    <w:rsid w:val="002F7593"/>
    <w:rsid w:val="002F7656"/>
    <w:rsid w:val="002F7A15"/>
    <w:rsid w:val="002F7AEA"/>
    <w:rsid w:val="002F7B72"/>
    <w:rsid w:val="002F7BCB"/>
    <w:rsid w:val="002F7C69"/>
    <w:rsid w:val="002F7DC9"/>
    <w:rsid w:val="002F7E99"/>
    <w:rsid w:val="003004ED"/>
    <w:rsid w:val="00300593"/>
    <w:rsid w:val="003006F8"/>
    <w:rsid w:val="00300C8E"/>
    <w:rsid w:val="00300EC5"/>
    <w:rsid w:val="00301230"/>
    <w:rsid w:val="00301265"/>
    <w:rsid w:val="003012E3"/>
    <w:rsid w:val="00301308"/>
    <w:rsid w:val="00301419"/>
    <w:rsid w:val="00301654"/>
    <w:rsid w:val="00301AD1"/>
    <w:rsid w:val="00301DCD"/>
    <w:rsid w:val="00302840"/>
    <w:rsid w:val="00302AEA"/>
    <w:rsid w:val="00302C1B"/>
    <w:rsid w:val="00302E30"/>
    <w:rsid w:val="00302E7D"/>
    <w:rsid w:val="00302E98"/>
    <w:rsid w:val="003030AB"/>
    <w:rsid w:val="00303139"/>
    <w:rsid w:val="00303D54"/>
    <w:rsid w:val="0030469D"/>
    <w:rsid w:val="003050AB"/>
    <w:rsid w:val="00305331"/>
    <w:rsid w:val="003053AF"/>
    <w:rsid w:val="00305473"/>
    <w:rsid w:val="003057C8"/>
    <w:rsid w:val="003059BD"/>
    <w:rsid w:val="003059CE"/>
    <w:rsid w:val="003059E7"/>
    <w:rsid w:val="00305AD3"/>
    <w:rsid w:val="00305B4C"/>
    <w:rsid w:val="00305C69"/>
    <w:rsid w:val="003060DC"/>
    <w:rsid w:val="0030624A"/>
    <w:rsid w:val="003064A1"/>
    <w:rsid w:val="0030651C"/>
    <w:rsid w:val="003065BE"/>
    <w:rsid w:val="003069A5"/>
    <w:rsid w:val="003069DD"/>
    <w:rsid w:val="00306C3C"/>
    <w:rsid w:val="00306CF3"/>
    <w:rsid w:val="00306F6C"/>
    <w:rsid w:val="00306FD5"/>
    <w:rsid w:val="003072EF"/>
    <w:rsid w:val="003074DC"/>
    <w:rsid w:val="00307632"/>
    <w:rsid w:val="0030790E"/>
    <w:rsid w:val="003079EF"/>
    <w:rsid w:val="00307FB9"/>
    <w:rsid w:val="00310008"/>
    <w:rsid w:val="003104A6"/>
    <w:rsid w:val="00310F06"/>
    <w:rsid w:val="003112FE"/>
    <w:rsid w:val="003115A5"/>
    <w:rsid w:val="00311851"/>
    <w:rsid w:val="00312063"/>
    <w:rsid w:val="00312133"/>
    <w:rsid w:val="003122EE"/>
    <w:rsid w:val="003122F3"/>
    <w:rsid w:val="00312327"/>
    <w:rsid w:val="0031297F"/>
    <w:rsid w:val="00312C9B"/>
    <w:rsid w:val="00312D0F"/>
    <w:rsid w:val="00312E9A"/>
    <w:rsid w:val="0031303D"/>
    <w:rsid w:val="00313404"/>
    <w:rsid w:val="00313426"/>
    <w:rsid w:val="00313480"/>
    <w:rsid w:val="00313AAB"/>
    <w:rsid w:val="00313E18"/>
    <w:rsid w:val="003148F9"/>
    <w:rsid w:val="00314A7A"/>
    <w:rsid w:val="00314C45"/>
    <w:rsid w:val="00314C87"/>
    <w:rsid w:val="00314E9E"/>
    <w:rsid w:val="00315100"/>
    <w:rsid w:val="003155E0"/>
    <w:rsid w:val="00315A88"/>
    <w:rsid w:val="00315B6D"/>
    <w:rsid w:val="00315C77"/>
    <w:rsid w:val="00315ED4"/>
    <w:rsid w:val="00315EEC"/>
    <w:rsid w:val="00315F37"/>
    <w:rsid w:val="00316240"/>
    <w:rsid w:val="00316596"/>
    <w:rsid w:val="0031687B"/>
    <w:rsid w:val="00316A02"/>
    <w:rsid w:val="00316A1B"/>
    <w:rsid w:val="00316BDD"/>
    <w:rsid w:val="00316CE5"/>
    <w:rsid w:val="00316F4B"/>
    <w:rsid w:val="003170B6"/>
    <w:rsid w:val="003174D9"/>
    <w:rsid w:val="00317898"/>
    <w:rsid w:val="003178DC"/>
    <w:rsid w:val="00317C36"/>
    <w:rsid w:val="00320025"/>
    <w:rsid w:val="00320458"/>
    <w:rsid w:val="003209CA"/>
    <w:rsid w:val="00320CBA"/>
    <w:rsid w:val="00320D99"/>
    <w:rsid w:val="00320DF7"/>
    <w:rsid w:val="00320E12"/>
    <w:rsid w:val="00320E7E"/>
    <w:rsid w:val="00320F9A"/>
    <w:rsid w:val="00321185"/>
    <w:rsid w:val="0032145A"/>
    <w:rsid w:val="003215BC"/>
    <w:rsid w:val="003219E1"/>
    <w:rsid w:val="00321A0B"/>
    <w:rsid w:val="00321C62"/>
    <w:rsid w:val="00321D34"/>
    <w:rsid w:val="0032213E"/>
    <w:rsid w:val="00322151"/>
    <w:rsid w:val="00322541"/>
    <w:rsid w:val="0032263C"/>
    <w:rsid w:val="00322661"/>
    <w:rsid w:val="00322A9D"/>
    <w:rsid w:val="00322EF1"/>
    <w:rsid w:val="00323033"/>
    <w:rsid w:val="0032374D"/>
    <w:rsid w:val="00323757"/>
    <w:rsid w:val="00323901"/>
    <w:rsid w:val="00323AEB"/>
    <w:rsid w:val="00323BFA"/>
    <w:rsid w:val="00323D1A"/>
    <w:rsid w:val="00323D36"/>
    <w:rsid w:val="00323F8F"/>
    <w:rsid w:val="00324172"/>
    <w:rsid w:val="003243DB"/>
    <w:rsid w:val="0032456F"/>
    <w:rsid w:val="0032483C"/>
    <w:rsid w:val="00324D3A"/>
    <w:rsid w:val="00324EEC"/>
    <w:rsid w:val="003251A0"/>
    <w:rsid w:val="003252EE"/>
    <w:rsid w:val="003257F7"/>
    <w:rsid w:val="00325CA4"/>
    <w:rsid w:val="00326931"/>
    <w:rsid w:val="00326AD1"/>
    <w:rsid w:val="00326AFF"/>
    <w:rsid w:val="00327455"/>
    <w:rsid w:val="00327567"/>
    <w:rsid w:val="00327A7D"/>
    <w:rsid w:val="00327ABF"/>
    <w:rsid w:val="00327DE6"/>
    <w:rsid w:val="00327F60"/>
    <w:rsid w:val="00330069"/>
    <w:rsid w:val="003309CB"/>
    <w:rsid w:val="00330A30"/>
    <w:rsid w:val="00330C02"/>
    <w:rsid w:val="00330C5F"/>
    <w:rsid w:val="00330DC1"/>
    <w:rsid w:val="00330EB8"/>
    <w:rsid w:val="00330F22"/>
    <w:rsid w:val="003312E7"/>
    <w:rsid w:val="003313E3"/>
    <w:rsid w:val="00331601"/>
    <w:rsid w:val="0033180A"/>
    <w:rsid w:val="00332049"/>
    <w:rsid w:val="003326F6"/>
    <w:rsid w:val="0033285E"/>
    <w:rsid w:val="0033316B"/>
    <w:rsid w:val="0033352A"/>
    <w:rsid w:val="003339FE"/>
    <w:rsid w:val="00333D71"/>
    <w:rsid w:val="00333F0E"/>
    <w:rsid w:val="00334216"/>
    <w:rsid w:val="003346E0"/>
    <w:rsid w:val="003349E9"/>
    <w:rsid w:val="00334C38"/>
    <w:rsid w:val="00334E80"/>
    <w:rsid w:val="00334EF8"/>
    <w:rsid w:val="00334F6B"/>
    <w:rsid w:val="0033512D"/>
    <w:rsid w:val="003351DA"/>
    <w:rsid w:val="003351E0"/>
    <w:rsid w:val="0033520B"/>
    <w:rsid w:val="003352DB"/>
    <w:rsid w:val="00335519"/>
    <w:rsid w:val="00335E4D"/>
    <w:rsid w:val="0033648B"/>
    <w:rsid w:val="003369C1"/>
    <w:rsid w:val="00336A6A"/>
    <w:rsid w:val="00336B1A"/>
    <w:rsid w:val="00336BBD"/>
    <w:rsid w:val="00336F02"/>
    <w:rsid w:val="00336FDA"/>
    <w:rsid w:val="0033707D"/>
    <w:rsid w:val="00337118"/>
    <w:rsid w:val="00337205"/>
    <w:rsid w:val="00337541"/>
    <w:rsid w:val="00337774"/>
    <w:rsid w:val="0033799C"/>
    <w:rsid w:val="00337A85"/>
    <w:rsid w:val="00337DBD"/>
    <w:rsid w:val="00337F75"/>
    <w:rsid w:val="0034025F"/>
    <w:rsid w:val="003408F6"/>
    <w:rsid w:val="00340C6F"/>
    <w:rsid w:val="00340FD7"/>
    <w:rsid w:val="00341093"/>
    <w:rsid w:val="00341142"/>
    <w:rsid w:val="0034140E"/>
    <w:rsid w:val="00341568"/>
    <w:rsid w:val="0034179F"/>
    <w:rsid w:val="00341A6A"/>
    <w:rsid w:val="00341AAE"/>
    <w:rsid w:val="00341CD0"/>
    <w:rsid w:val="00341D5F"/>
    <w:rsid w:val="0034224E"/>
    <w:rsid w:val="0034225B"/>
    <w:rsid w:val="00342386"/>
    <w:rsid w:val="0034276C"/>
    <w:rsid w:val="00342D5D"/>
    <w:rsid w:val="003430E6"/>
    <w:rsid w:val="003431DA"/>
    <w:rsid w:val="003436BF"/>
    <w:rsid w:val="00343780"/>
    <w:rsid w:val="003437DA"/>
    <w:rsid w:val="003437E4"/>
    <w:rsid w:val="00343D22"/>
    <w:rsid w:val="00343DBA"/>
    <w:rsid w:val="00343DDE"/>
    <w:rsid w:val="00343ED3"/>
    <w:rsid w:val="00343F86"/>
    <w:rsid w:val="0034457A"/>
    <w:rsid w:val="003446DE"/>
    <w:rsid w:val="00344875"/>
    <w:rsid w:val="00344B62"/>
    <w:rsid w:val="00344EF1"/>
    <w:rsid w:val="00344F04"/>
    <w:rsid w:val="00344F5F"/>
    <w:rsid w:val="00345746"/>
    <w:rsid w:val="003457EC"/>
    <w:rsid w:val="00345EA0"/>
    <w:rsid w:val="0034667F"/>
    <w:rsid w:val="003467A2"/>
    <w:rsid w:val="00346ADC"/>
    <w:rsid w:val="00346B46"/>
    <w:rsid w:val="00346C98"/>
    <w:rsid w:val="00346EFB"/>
    <w:rsid w:val="00347D27"/>
    <w:rsid w:val="00347EC2"/>
    <w:rsid w:val="003503D2"/>
    <w:rsid w:val="0035053D"/>
    <w:rsid w:val="00350586"/>
    <w:rsid w:val="00350763"/>
    <w:rsid w:val="00350C67"/>
    <w:rsid w:val="00350D63"/>
    <w:rsid w:val="00350E2D"/>
    <w:rsid w:val="00350F4E"/>
    <w:rsid w:val="003510B6"/>
    <w:rsid w:val="00351105"/>
    <w:rsid w:val="00351191"/>
    <w:rsid w:val="00351588"/>
    <w:rsid w:val="003519E4"/>
    <w:rsid w:val="00351B9C"/>
    <w:rsid w:val="00351C0F"/>
    <w:rsid w:val="00351CD8"/>
    <w:rsid w:val="00351E04"/>
    <w:rsid w:val="00351F80"/>
    <w:rsid w:val="00351FE9"/>
    <w:rsid w:val="00352213"/>
    <w:rsid w:val="003522AA"/>
    <w:rsid w:val="003529C5"/>
    <w:rsid w:val="00352A30"/>
    <w:rsid w:val="00352A70"/>
    <w:rsid w:val="00352B77"/>
    <w:rsid w:val="00352D62"/>
    <w:rsid w:val="00352D69"/>
    <w:rsid w:val="00352F69"/>
    <w:rsid w:val="0035318D"/>
    <w:rsid w:val="0035329D"/>
    <w:rsid w:val="00353700"/>
    <w:rsid w:val="0035375B"/>
    <w:rsid w:val="003540A0"/>
    <w:rsid w:val="003540C2"/>
    <w:rsid w:val="003544BF"/>
    <w:rsid w:val="003546C7"/>
    <w:rsid w:val="00354FD0"/>
    <w:rsid w:val="00355210"/>
    <w:rsid w:val="0035554A"/>
    <w:rsid w:val="003555E6"/>
    <w:rsid w:val="00355650"/>
    <w:rsid w:val="003558F2"/>
    <w:rsid w:val="00355E9F"/>
    <w:rsid w:val="00355F1E"/>
    <w:rsid w:val="00356062"/>
    <w:rsid w:val="003564BD"/>
    <w:rsid w:val="00356533"/>
    <w:rsid w:val="003565A5"/>
    <w:rsid w:val="003569DE"/>
    <w:rsid w:val="00356C10"/>
    <w:rsid w:val="00356CDB"/>
    <w:rsid w:val="00356CDE"/>
    <w:rsid w:val="00357444"/>
    <w:rsid w:val="003575EA"/>
    <w:rsid w:val="0035761C"/>
    <w:rsid w:val="00357BE5"/>
    <w:rsid w:val="00360186"/>
    <w:rsid w:val="0036040E"/>
    <w:rsid w:val="0036073D"/>
    <w:rsid w:val="003607C8"/>
    <w:rsid w:val="00360A50"/>
    <w:rsid w:val="00360AD5"/>
    <w:rsid w:val="00360D87"/>
    <w:rsid w:val="00360E9F"/>
    <w:rsid w:val="00361825"/>
    <w:rsid w:val="00361D3B"/>
    <w:rsid w:val="00362100"/>
    <w:rsid w:val="0036281D"/>
    <w:rsid w:val="00362880"/>
    <w:rsid w:val="0036290B"/>
    <w:rsid w:val="00363100"/>
    <w:rsid w:val="00363589"/>
    <w:rsid w:val="00363819"/>
    <w:rsid w:val="003639C5"/>
    <w:rsid w:val="00363B21"/>
    <w:rsid w:val="00363BDF"/>
    <w:rsid w:val="00363BF4"/>
    <w:rsid w:val="00363E87"/>
    <w:rsid w:val="00363EB8"/>
    <w:rsid w:val="00364050"/>
    <w:rsid w:val="00364233"/>
    <w:rsid w:val="00364241"/>
    <w:rsid w:val="00364640"/>
    <w:rsid w:val="00364DA3"/>
    <w:rsid w:val="00364E9A"/>
    <w:rsid w:val="00364EA7"/>
    <w:rsid w:val="003650F7"/>
    <w:rsid w:val="003651E5"/>
    <w:rsid w:val="00365279"/>
    <w:rsid w:val="003652EB"/>
    <w:rsid w:val="00365745"/>
    <w:rsid w:val="00365879"/>
    <w:rsid w:val="003659C6"/>
    <w:rsid w:val="00365CA3"/>
    <w:rsid w:val="00365D8D"/>
    <w:rsid w:val="00365D9B"/>
    <w:rsid w:val="00366131"/>
    <w:rsid w:val="00366514"/>
    <w:rsid w:val="00366675"/>
    <w:rsid w:val="003666B9"/>
    <w:rsid w:val="00366796"/>
    <w:rsid w:val="00366ACF"/>
    <w:rsid w:val="00366B78"/>
    <w:rsid w:val="00366BD2"/>
    <w:rsid w:val="00366CE1"/>
    <w:rsid w:val="00366D51"/>
    <w:rsid w:val="003674B8"/>
    <w:rsid w:val="003675F2"/>
    <w:rsid w:val="003677A6"/>
    <w:rsid w:val="00367842"/>
    <w:rsid w:val="00367879"/>
    <w:rsid w:val="00367A17"/>
    <w:rsid w:val="00367A98"/>
    <w:rsid w:val="00367C92"/>
    <w:rsid w:val="00367CBD"/>
    <w:rsid w:val="00367EAE"/>
    <w:rsid w:val="00367F95"/>
    <w:rsid w:val="0037041F"/>
    <w:rsid w:val="00370422"/>
    <w:rsid w:val="003705E2"/>
    <w:rsid w:val="00370871"/>
    <w:rsid w:val="00370A3F"/>
    <w:rsid w:val="00370C30"/>
    <w:rsid w:val="00370E49"/>
    <w:rsid w:val="00370E79"/>
    <w:rsid w:val="00370EDC"/>
    <w:rsid w:val="00370FF5"/>
    <w:rsid w:val="003711B3"/>
    <w:rsid w:val="003711D3"/>
    <w:rsid w:val="003712E5"/>
    <w:rsid w:val="00371460"/>
    <w:rsid w:val="00371A84"/>
    <w:rsid w:val="00371CD5"/>
    <w:rsid w:val="00371D16"/>
    <w:rsid w:val="003720B3"/>
    <w:rsid w:val="0037222B"/>
    <w:rsid w:val="003724F6"/>
    <w:rsid w:val="00372898"/>
    <w:rsid w:val="0037293B"/>
    <w:rsid w:val="00372D7E"/>
    <w:rsid w:val="00373044"/>
    <w:rsid w:val="00373051"/>
    <w:rsid w:val="003733F6"/>
    <w:rsid w:val="00373408"/>
    <w:rsid w:val="0037389A"/>
    <w:rsid w:val="00373C1F"/>
    <w:rsid w:val="00373E8E"/>
    <w:rsid w:val="00373F93"/>
    <w:rsid w:val="003742E1"/>
    <w:rsid w:val="0037446A"/>
    <w:rsid w:val="00374541"/>
    <w:rsid w:val="003747D4"/>
    <w:rsid w:val="00374853"/>
    <w:rsid w:val="00374982"/>
    <w:rsid w:val="00374BB8"/>
    <w:rsid w:val="003756EE"/>
    <w:rsid w:val="00375869"/>
    <w:rsid w:val="003759BC"/>
    <w:rsid w:val="00375AAB"/>
    <w:rsid w:val="00375EF7"/>
    <w:rsid w:val="0037601D"/>
    <w:rsid w:val="00376648"/>
    <w:rsid w:val="0037666E"/>
    <w:rsid w:val="00376717"/>
    <w:rsid w:val="0037672B"/>
    <w:rsid w:val="00376B3C"/>
    <w:rsid w:val="00376BF1"/>
    <w:rsid w:val="00376C4C"/>
    <w:rsid w:val="00377261"/>
    <w:rsid w:val="00377334"/>
    <w:rsid w:val="0037738A"/>
    <w:rsid w:val="00377778"/>
    <w:rsid w:val="003778C9"/>
    <w:rsid w:val="00377CC2"/>
    <w:rsid w:val="00377E7C"/>
    <w:rsid w:val="00377EC5"/>
    <w:rsid w:val="0038028A"/>
    <w:rsid w:val="00380473"/>
    <w:rsid w:val="003805A2"/>
    <w:rsid w:val="003806EF"/>
    <w:rsid w:val="00380733"/>
    <w:rsid w:val="00380B96"/>
    <w:rsid w:val="003811AF"/>
    <w:rsid w:val="0038125D"/>
    <w:rsid w:val="0038179A"/>
    <w:rsid w:val="00381894"/>
    <w:rsid w:val="00381A2D"/>
    <w:rsid w:val="00381BDD"/>
    <w:rsid w:val="00382187"/>
    <w:rsid w:val="0038272D"/>
    <w:rsid w:val="00382BF8"/>
    <w:rsid w:val="00382D77"/>
    <w:rsid w:val="003831B4"/>
    <w:rsid w:val="00383613"/>
    <w:rsid w:val="00383A90"/>
    <w:rsid w:val="00383C9A"/>
    <w:rsid w:val="003841A1"/>
    <w:rsid w:val="0038436D"/>
    <w:rsid w:val="00384427"/>
    <w:rsid w:val="003844BB"/>
    <w:rsid w:val="0038469C"/>
    <w:rsid w:val="0038498E"/>
    <w:rsid w:val="00384E71"/>
    <w:rsid w:val="00384F92"/>
    <w:rsid w:val="00385342"/>
    <w:rsid w:val="00385358"/>
    <w:rsid w:val="003854DB"/>
    <w:rsid w:val="00385558"/>
    <w:rsid w:val="0038576A"/>
    <w:rsid w:val="0038593D"/>
    <w:rsid w:val="00385AB7"/>
    <w:rsid w:val="003866A1"/>
    <w:rsid w:val="003869BD"/>
    <w:rsid w:val="00386B5C"/>
    <w:rsid w:val="00386ED8"/>
    <w:rsid w:val="00386F36"/>
    <w:rsid w:val="00386F71"/>
    <w:rsid w:val="0038700D"/>
    <w:rsid w:val="00387117"/>
    <w:rsid w:val="00387391"/>
    <w:rsid w:val="003876B0"/>
    <w:rsid w:val="00387975"/>
    <w:rsid w:val="00387BC1"/>
    <w:rsid w:val="00387E51"/>
    <w:rsid w:val="00390077"/>
    <w:rsid w:val="0039021F"/>
    <w:rsid w:val="00390528"/>
    <w:rsid w:val="00390555"/>
    <w:rsid w:val="0039081B"/>
    <w:rsid w:val="00390AE3"/>
    <w:rsid w:val="00390BE3"/>
    <w:rsid w:val="00390CA7"/>
    <w:rsid w:val="00390E49"/>
    <w:rsid w:val="003911E0"/>
    <w:rsid w:val="00391316"/>
    <w:rsid w:val="00391564"/>
    <w:rsid w:val="00391C36"/>
    <w:rsid w:val="00391D4F"/>
    <w:rsid w:val="00391EA8"/>
    <w:rsid w:val="00391ED3"/>
    <w:rsid w:val="00392060"/>
    <w:rsid w:val="00392140"/>
    <w:rsid w:val="00392305"/>
    <w:rsid w:val="0039322D"/>
    <w:rsid w:val="00393367"/>
    <w:rsid w:val="00393371"/>
    <w:rsid w:val="003936AD"/>
    <w:rsid w:val="003938BD"/>
    <w:rsid w:val="00393B17"/>
    <w:rsid w:val="00393EEF"/>
    <w:rsid w:val="00394087"/>
    <w:rsid w:val="003944DC"/>
    <w:rsid w:val="00394713"/>
    <w:rsid w:val="00394844"/>
    <w:rsid w:val="003948F3"/>
    <w:rsid w:val="00394C61"/>
    <w:rsid w:val="00394D13"/>
    <w:rsid w:val="00394F5D"/>
    <w:rsid w:val="00394FF1"/>
    <w:rsid w:val="003952B3"/>
    <w:rsid w:val="00396366"/>
    <w:rsid w:val="003964BE"/>
    <w:rsid w:val="00396624"/>
    <w:rsid w:val="003967AC"/>
    <w:rsid w:val="003968D1"/>
    <w:rsid w:val="00396B7F"/>
    <w:rsid w:val="00396DF3"/>
    <w:rsid w:val="00396EEB"/>
    <w:rsid w:val="00396F7D"/>
    <w:rsid w:val="0039725D"/>
    <w:rsid w:val="00397636"/>
    <w:rsid w:val="00397669"/>
    <w:rsid w:val="00397BF1"/>
    <w:rsid w:val="00397D77"/>
    <w:rsid w:val="003A00F3"/>
    <w:rsid w:val="003A033C"/>
    <w:rsid w:val="003A0A94"/>
    <w:rsid w:val="003A0F28"/>
    <w:rsid w:val="003A105F"/>
    <w:rsid w:val="003A11CC"/>
    <w:rsid w:val="003A1538"/>
    <w:rsid w:val="003A1981"/>
    <w:rsid w:val="003A1AB0"/>
    <w:rsid w:val="003A1B6D"/>
    <w:rsid w:val="003A22ED"/>
    <w:rsid w:val="003A26F7"/>
    <w:rsid w:val="003A2895"/>
    <w:rsid w:val="003A292C"/>
    <w:rsid w:val="003A2B36"/>
    <w:rsid w:val="003A30E8"/>
    <w:rsid w:val="003A315E"/>
    <w:rsid w:val="003A3704"/>
    <w:rsid w:val="003A3826"/>
    <w:rsid w:val="003A38AB"/>
    <w:rsid w:val="003A3961"/>
    <w:rsid w:val="003A3A56"/>
    <w:rsid w:val="003A3D98"/>
    <w:rsid w:val="003A40CE"/>
    <w:rsid w:val="003A41A7"/>
    <w:rsid w:val="003A4342"/>
    <w:rsid w:val="003A43B3"/>
    <w:rsid w:val="003A445A"/>
    <w:rsid w:val="003A495E"/>
    <w:rsid w:val="003A4B01"/>
    <w:rsid w:val="003A4EF1"/>
    <w:rsid w:val="003A5379"/>
    <w:rsid w:val="003A53A3"/>
    <w:rsid w:val="003A53F4"/>
    <w:rsid w:val="003A54B0"/>
    <w:rsid w:val="003A5603"/>
    <w:rsid w:val="003A5820"/>
    <w:rsid w:val="003A5868"/>
    <w:rsid w:val="003A5954"/>
    <w:rsid w:val="003A5B1A"/>
    <w:rsid w:val="003A5DDD"/>
    <w:rsid w:val="003A5FFD"/>
    <w:rsid w:val="003A62CB"/>
    <w:rsid w:val="003A63CF"/>
    <w:rsid w:val="003A6692"/>
    <w:rsid w:val="003A6B6C"/>
    <w:rsid w:val="003A6CE6"/>
    <w:rsid w:val="003A6F23"/>
    <w:rsid w:val="003A74EA"/>
    <w:rsid w:val="003A7543"/>
    <w:rsid w:val="003A7673"/>
    <w:rsid w:val="003A77D8"/>
    <w:rsid w:val="003A7B9E"/>
    <w:rsid w:val="003A7C22"/>
    <w:rsid w:val="003A7C8F"/>
    <w:rsid w:val="003A7E35"/>
    <w:rsid w:val="003B006F"/>
    <w:rsid w:val="003B0625"/>
    <w:rsid w:val="003B08DE"/>
    <w:rsid w:val="003B1949"/>
    <w:rsid w:val="003B20DA"/>
    <w:rsid w:val="003B211D"/>
    <w:rsid w:val="003B214A"/>
    <w:rsid w:val="003B21C0"/>
    <w:rsid w:val="003B22F2"/>
    <w:rsid w:val="003B25D8"/>
    <w:rsid w:val="003B2699"/>
    <w:rsid w:val="003B27D1"/>
    <w:rsid w:val="003B29A8"/>
    <w:rsid w:val="003B2BF2"/>
    <w:rsid w:val="003B2CC0"/>
    <w:rsid w:val="003B3003"/>
    <w:rsid w:val="003B3267"/>
    <w:rsid w:val="003B3DE8"/>
    <w:rsid w:val="003B3FE2"/>
    <w:rsid w:val="003B40C2"/>
    <w:rsid w:val="003B4101"/>
    <w:rsid w:val="003B4146"/>
    <w:rsid w:val="003B4853"/>
    <w:rsid w:val="003B4A5B"/>
    <w:rsid w:val="003B4B50"/>
    <w:rsid w:val="003B4B69"/>
    <w:rsid w:val="003B5066"/>
    <w:rsid w:val="003B5131"/>
    <w:rsid w:val="003B5231"/>
    <w:rsid w:val="003B559E"/>
    <w:rsid w:val="003B5649"/>
    <w:rsid w:val="003B5731"/>
    <w:rsid w:val="003B599D"/>
    <w:rsid w:val="003B5ABD"/>
    <w:rsid w:val="003B5AD6"/>
    <w:rsid w:val="003B5F3E"/>
    <w:rsid w:val="003B5FA9"/>
    <w:rsid w:val="003B603F"/>
    <w:rsid w:val="003B6124"/>
    <w:rsid w:val="003B6331"/>
    <w:rsid w:val="003B6554"/>
    <w:rsid w:val="003B65B6"/>
    <w:rsid w:val="003B67E3"/>
    <w:rsid w:val="003B6973"/>
    <w:rsid w:val="003B70B6"/>
    <w:rsid w:val="003B714A"/>
    <w:rsid w:val="003B72A6"/>
    <w:rsid w:val="003B7359"/>
    <w:rsid w:val="003B7A57"/>
    <w:rsid w:val="003B7ADD"/>
    <w:rsid w:val="003B7CD6"/>
    <w:rsid w:val="003B7FCC"/>
    <w:rsid w:val="003C006F"/>
    <w:rsid w:val="003C0522"/>
    <w:rsid w:val="003C05B9"/>
    <w:rsid w:val="003C0A9E"/>
    <w:rsid w:val="003C0C38"/>
    <w:rsid w:val="003C0CB9"/>
    <w:rsid w:val="003C0E23"/>
    <w:rsid w:val="003C1038"/>
    <w:rsid w:val="003C1105"/>
    <w:rsid w:val="003C11EE"/>
    <w:rsid w:val="003C12E2"/>
    <w:rsid w:val="003C143C"/>
    <w:rsid w:val="003C14CD"/>
    <w:rsid w:val="003C1739"/>
    <w:rsid w:val="003C188E"/>
    <w:rsid w:val="003C208D"/>
    <w:rsid w:val="003C214D"/>
    <w:rsid w:val="003C27F9"/>
    <w:rsid w:val="003C2B30"/>
    <w:rsid w:val="003C31E6"/>
    <w:rsid w:val="003C36F6"/>
    <w:rsid w:val="003C374F"/>
    <w:rsid w:val="003C3A6B"/>
    <w:rsid w:val="003C431B"/>
    <w:rsid w:val="003C443E"/>
    <w:rsid w:val="003C4B2C"/>
    <w:rsid w:val="003C4C73"/>
    <w:rsid w:val="003C4C95"/>
    <w:rsid w:val="003C4E43"/>
    <w:rsid w:val="003C4F76"/>
    <w:rsid w:val="003C5130"/>
    <w:rsid w:val="003C5158"/>
    <w:rsid w:val="003C5960"/>
    <w:rsid w:val="003C5A3C"/>
    <w:rsid w:val="003C5F69"/>
    <w:rsid w:val="003C61BF"/>
    <w:rsid w:val="003C61C3"/>
    <w:rsid w:val="003C6276"/>
    <w:rsid w:val="003C6937"/>
    <w:rsid w:val="003C7350"/>
    <w:rsid w:val="003C7684"/>
    <w:rsid w:val="003C7731"/>
    <w:rsid w:val="003C79ED"/>
    <w:rsid w:val="003C7A14"/>
    <w:rsid w:val="003C7A70"/>
    <w:rsid w:val="003C7ABC"/>
    <w:rsid w:val="003C7B1D"/>
    <w:rsid w:val="003C7D06"/>
    <w:rsid w:val="003C7EBD"/>
    <w:rsid w:val="003C7EF3"/>
    <w:rsid w:val="003D02AA"/>
    <w:rsid w:val="003D0724"/>
    <w:rsid w:val="003D07C2"/>
    <w:rsid w:val="003D08AF"/>
    <w:rsid w:val="003D0969"/>
    <w:rsid w:val="003D0DF5"/>
    <w:rsid w:val="003D0F14"/>
    <w:rsid w:val="003D0F5C"/>
    <w:rsid w:val="003D111C"/>
    <w:rsid w:val="003D1B55"/>
    <w:rsid w:val="003D1ED0"/>
    <w:rsid w:val="003D235A"/>
    <w:rsid w:val="003D2405"/>
    <w:rsid w:val="003D2ABD"/>
    <w:rsid w:val="003D2DA1"/>
    <w:rsid w:val="003D2FEE"/>
    <w:rsid w:val="003D3331"/>
    <w:rsid w:val="003D3487"/>
    <w:rsid w:val="003D34A6"/>
    <w:rsid w:val="003D34FC"/>
    <w:rsid w:val="003D3562"/>
    <w:rsid w:val="003D36A0"/>
    <w:rsid w:val="003D3D32"/>
    <w:rsid w:val="003D42F3"/>
    <w:rsid w:val="003D42FB"/>
    <w:rsid w:val="003D435A"/>
    <w:rsid w:val="003D436A"/>
    <w:rsid w:val="003D46D9"/>
    <w:rsid w:val="003D47E3"/>
    <w:rsid w:val="003D4930"/>
    <w:rsid w:val="003D4A21"/>
    <w:rsid w:val="003D5146"/>
    <w:rsid w:val="003D54CE"/>
    <w:rsid w:val="003D55A6"/>
    <w:rsid w:val="003D562E"/>
    <w:rsid w:val="003D5B24"/>
    <w:rsid w:val="003D5BE8"/>
    <w:rsid w:val="003D6081"/>
    <w:rsid w:val="003D6180"/>
    <w:rsid w:val="003D6DED"/>
    <w:rsid w:val="003D70FA"/>
    <w:rsid w:val="003D745D"/>
    <w:rsid w:val="003D7561"/>
    <w:rsid w:val="003D781D"/>
    <w:rsid w:val="003D795B"/>
    <w:rsid w:val="003D7E37"/>
    <w:rsid w:val="003D7EF3"/>
    <w:rsid w:val="003D7F5B"/>
    <w:rsid w:val="003E00C7"/>
    <w:rsid w:val="003E0125"/>
    <w:rsid w:val="003E03F7"/>
    <w:rsid w:val="003E0648"/>
    <w:rsid w:val="003E0D55"/>
    <w:rsid w:val="003E0D7C"/>
    <w:rsid w:val="003E0EE1"/>
    <w:rsid w:val="003E111A"/>
    <w:rsid w:val="003E11FF"/>
    <w:rsid w:val="003E14C6"/>
    <w:rsid w:val="003E16C5"/>
    <w:rsid w:val="003E1827"/>
    <w:rsid w:val="003E18F4"/>
    <w:rsid w:val="003E1A47"/>
    <w:rsid w:val="003E1B16"/>
    <w:rsid w:val="003E1C24"/>
    <w:rsid w:val="003E1D0B"/>
    <w:rsid w:val="003E216D"/>
    <w:rsid w:val="003E22AF"/>
    <w:rsid w:val="003E294D"/>
    <w:rsid w:val="003E2D79"/>
    <w:rsid w:val="003E2E57"/>
    <w:rsid w:val="003E31F7"/>
    <w:rsid w:val="003E3505"/>
    <w:rsid w:val="003E3736"/>
    <w:rsid w:val="003E3748"/>
    <w:rsid w:val="003E38A5"/>
    <w:rsid w:val="003E391A"/>
    <w:rsid w:val="003E39F6"/>
    <w:rsid w:val="003E3EFF"/>
    <w:rsid w:val="003E3F0F"/>
    <w:rsid w:val="003E4064"/>
    <w:rsid w:val="003E4265"/>
    <w:rsid w:val="003E44C3"/>
    <w:rsid w:val="003E44CB"/>
    <w:rsid w:val="003E48EE"/>
    <w:rsid w:val="003E4DB3"/>
    <w:rsid w:val="003E4ED6"/>
    <w:rsid w:val="003E4F3E"/>
    <w:rsid w:val="003E5452"/>
    <w:rsid w:val="003E5561"/>
    <w:rsid w:val="003E55C9"/>
    <w:rsid w:val="003E5C85"/>
    <w:rsid w:val="003E5EC5"/>
    <w:rsid w:val="003E626D"/>
    <w:rsid w:val="003E6272"/>
    <w:rsid w:val="003E6476"/>
    <w:rsid w:val="003E65F7"/>
    <w:rsid w:val="003E6698"/>
    <w:rsid w:val="003E67C3"/>
    <w:rsid w:val="003E686C"/>
    <w:rsid w:val="003E68BE"/>
    <w:rsid w:val="003E7164"/>
    <w:rsid w:val="003E7374"/>
    <w:rsid w:val="003E7BA0"/>
    <w:rsid w:val="003E7C26"/>
    <w:rsid w:val="003E7C79"/>
    <w:rsid w:val="003E7F7D"/>
    <w:rsid w:val="003E7FE6"/>
    <w:rsid w:val="003F0004"/>
    <w:rsid w:val="003F05B1"/>
    <w:rsid w:val="003F0FE3"/>
    <w:rsid w:val="003F10C4"/>
    <w:rsid w:val="003F127F"/>
    <w:rsid w:val="003F14F1"/>
    <w:rsid w:val="003F169D"/>
    <w:rsid w:val="003F16B5"/>
    <w:rsid w:val="003F1732"/>
    <w:rsid w:val="003F1A11"/>
    <w:rsid w:val="003F1BAB"/>
    <w:rsid w:val="003F1C21"/>
    <w:rsid w:val="003F1CAD"/>
    <w:rsid w:val="003F1CE5"/>
    <w:rsid w:val="003F2503"/>
    <w:rsid w:val="003F256D"/>
    <w:rsid w:val="003F2656"/>
    <w:rsid w:val="003F27A5"/>
    <w:rsid w:val="003F2811"/>
    <w:rsid w:val="003F2B77"/>
    <w:rsid w:val="003F2C1C"/>
    <w:rsid w:val="003F2E17"/>
    <w:rsid w:val="003F30D0"/>
    <w:rsid w:val="003F3676"/>
    <w:rsid w:val="003F3FA2"/>
    <w:rsid w:val="003F3FCA"/>
    <w:rsid w:val="003F43EC"/>
    <w:rsid w:val="003F43ED"/>
    <w:rsid w:val="003F45FD"/>
    <w:rsid w:val="003F479A"/>
    <w:rsid w:val="003F4B3F"/>
    <w:rsid w:val="003F5054"/>
    <w:rsid w:val="003F5101"/>
    <w:rsid w:val="003F51D6"/>
    <w:rsid w:val="003F523B"/>
    <w:rsid w:val="003F528E"/>
    <w:rsid w:val="003F592F"/>
    <w:rsid w:val="003F5AE6"/>
    <w:rsid w:val="003F5C1D"/>
    <w:rsid w:val="003F5C8F"/>
    <w:rsid w:val="003F5D56"/>
    <w:rsid w:val="003F5DB1"/>
    <w:rsid w:val="003F5DF8"/>
    <w:rsid w:val="003F60C2"/>
    <w:rsid w:val="003F65FA"/>
    <w:rsid w:val="003F686D"/>
    <w:rsid w:val="003F693C"/>
    <w:rsid w:val="003F69BC"/>
    <w:rsid w:val="003F6B96"/>
    <w:rsid w:val="003F6C66"/>
    <w:rsid w:val="003F6D36"/>
    <w:rsid w:val="003F6F94"/>
    <w:rsid w:val="003F740A"/>
    <w:rsid w:val="003F75E2"/>
    <w:rsid w:val="003F7658"/>
    <w:rsid w:val="003F7692"/>
    <w:rsid w:val="003F7727"/>
    <w:rsid w:val="003F7786"/>
    <w:rsid w:val="003F7946"/>
    <w:rsid w:val="003F7E35"/>
    <w:rsid w:val="003F7EAD"/>
    <w:rsid w:val="003F7F2D"/>
    <w:rsid w:val="004000E4"/>
    <w:rsid w:val="004002DE"/>
    <w:rsid w:val="004006EF"/>
    <w:rsid w:val="004007FC"/>
    <w:rsid w:val="004009F5"/>
    <w:rsid w:val="004010FE"/>
    <w:rsid w:val="004012BA"/>
    <w:rsid w:val="004015BF"/>
    <w:rsid w:val="00401706"/>
    <w:rsid w:val="00401953"/>
    <w:rsid w:val="004019EA"/>
    <w:rsid w:val="00401BFB"/>
    <w:rsid w:val="00401EEF"/>
    <w:rsid w:val="00401EFF"/>
    <w:rsid w:val="00401F9E"/>
    <w:rsid w:val="00402028"/>
    <w:rsid w:val="00402140"/>
    <w:rsid w:val="004023B8"/>
    <w:rsid w:val="004024CE"/>
    <w:rsid w:val="00402A2A"/>
    <w:rsid w:val="00402B7A"/>
    <w:rsid w:val="00402CE8"/>
    <w:rsid w:val="00402D62"/>
    <w:rsid w:val="00402DD9"/>
    <w:rsid w:val="00402FBA"/>
    <w:rsid w:val="00403039"/>
    <w:rsid w:val="0040306F"/>
    <w:rsid w:val="004030FE"/>
    <w:rsid w:val="00403204"/>
    <w:rsid w:val="00403250"/>
    <w:rsid w:val="0040389F"/>
    <w:rsid w:val="00403926"/>
    <w:rsid w:val="00403B52"/>
    <w:rsid w:val="00403BB5"/>
    <w:rsid w:val="00403C41"/>
    <w:rsid w:val="00403E59"/>
    <w:rsid w:val="00404037"/>
    <w:rsid w:val="004040F3"/>
    <w:rsid w:val="00404277"/>
    <w:rsid w:val="0040440A"/>
    <w:rsid w:val="00404428"/>
    <w:rsid w:val="00404509"/>
    <w:rsid w:val="00404BE7"/>
    <w:rsid w:val="00404C3F"/>
    <w:rsid w:val="00404D13"/>
    <w:rsid w:val="00404D6A"/>
    <w:rsid w:val="00404E68"/>
    <w:rsid w:val="00405079"/>
    <w:rsid w:val="004056CA"/>
    <w:rsid w:val="0040598E"/>
    <w:rsid w:val="00405F1D"/>
    <w:rsid w:val="004063F6"/>
    <w:rsid w:val="00406798"/>
    <w:rsid w:val="00406B60"/>
    <w:rsid w:val="00406DB2"/>
    <w:rsid w:val="00407068"/>
    <w:rsid w:val="00407221"/>
    <w:rsid w:val="00407275"/>
    <w:rsid w:val="00407307"/>
    <w:rsid w:val="0040731E"/>
    <w:rsid w:val="00407684"/>
    <w:rsid w:val="0040770C"/>
    <w:rsid w:val="00407832"/>
    <w:rsid w:val="00410139"/>
    <w:rsid w:val="00410267"/>
    <w:rsid w:val="004103B5"/>
    <w:rsid w:val="00410DFC"/>
    <w:rsid w:val="0041108B"/>
    <w:rsid w:val="00411746"/>
    <w:rsid w:val="0041197B"/>
    <w:rsid w:val="00411B62"/>
    <w:rsid w:val="00411CA1"/>
    <w:rsid w:val="00411DDC"/>
    <w:rsid w:val="00412053"/>
    <w:rsid w:val="0041207D"/>
    <w:rsid w:val="00412492"/>
    <w:rsid w:val="004127AE"/>
    <w:rsid w:val="00412BEB"/>
    <w:rsid w:val="00412D83"/>
    <w:rsid w:val="0041313B"/>
    <w:rsid w:val="004132FA"/>
    <w:rsid w:val="004135BF"/>
    <w:rsid w:val="0041376F"/>
    <w:rsid w:val="0041388D"/>
    <w:rsid w:val="00413A22"/>
    <w:rsid w:val="00413C7F"/>
    <w:rsid w:val="00414215"/>
    <w:rsid w:val="00414283"/>
    <w:rsid w:val="004143ED"/>
    <w:rsid w:val="004144C3"/>
    <w:rsid w:val="00414740"/>
    <w:rsid w:val="004149B5"/>
    <w:rsid w:val="00414AAC"/>
    <w:rsid w:val="00414BAD"/>
    <w:rsid w:val="00414E37"/>
    <w:rsid w:val="00414E86"/>
    <w:rsid w:val="00414FD7"/>
    <w:rsid w:val="004152FE"/>
    <w:rsid w:val="00415BAF"/>
    <w:rsid w:val="00415CCA"/>
    <w:rsid w:val="00415CF2"/>
    <w:rsid w:val="0041626A"/>
    <w:rsid w:val="004162EF"/>
    <w:rsid w:val="0041656C"/>
    <w:rsid w:val="004166D2"/>
    <w:rsid w:val="004166D7"/>
    <w:rsid w:val="00416A1E"/>
    <w:rsid w:val="00416A79"/>
    <w:rsid w:val="00416C0B"/>
    <w:rsid w:val="00416C2B"/>
    <w:rsid w:val="00416DF4"/>
    <w:rsid w:val="0041715E"/>
    <w:rsid w:val="0041747B"/>
    <w:rsid w:val="004174A8"/>
    <w:rsid w:val="00417696"/>
    <w:rsid w:val="00417F54"/>
    <w:rsid w:val="0042014A"/>
    <w:rsid w:val="004201F6"/>
    <w:rsid w:val="004203A1"/>
    <w:rsid w:val="004203F6"/>
    <w:rsid w:val="0042103B"/>
    <w:rsid w:val="00421094"/>
    <w:rsid w:val="00421129"/>
    <w:rsid w:val="0042127A"/>
    <w:rsid w:val="00421677"/>
    <w:rsid w:val="00421694"/>
    <w:rsid w:val="004218D9"/>
    <w:rsid w:val="00421BD2"/>
    <w:rsid w:val="00421C8D"/>
    <w:rsid w:val="0042204A"/>
    <w:rsid w:val="00422071"/>
    <w:rsid w:val="004225F6"/>
    <w:rsid w:val="00422752"/>
    <w:rsid w:val="004228C9"/>
    <w:rsid w:val="00422919"/>
    <w:rsid w:val="00422928"/>
    <w:rsid w:val="004229DE"/>
    <w:rsid w:val="00422A2A"/>
    <w:rsid w:val="0042356F"/>
    <w:rsid w:val="00423821"/>
    <w:rsid w:val="004239FE"/>
    <w:rsid w:val="00423F03"/>
    <w:rsid w:val="0042467E"/>
    <w:rsid w:val="00424BB9"/>
    <w:rsid w:val="00424E90"/>
    <w:rsid w:val="0042535D"/>
    <w:rsid w:val="00425550"/>
    <w:rsid w:val="0042590D"/>
    <w:rsid w:val="004259E9"/>
    <w:rsid w:val="00425DA5"/>
    <w:rsid w:val="00426279"/>
    <w:rsid w:val="0042636F"/>
    <w:rsid w:val="0042651B"/>
    <w:rsid w:val="00426640"/>
    <w:rsid w:val="0042685D"/>
    <w:rsid w:val="004268A1"/>
    <w:rsid w:val="004268B4"/>
    <w:rsid w:val="00426F73"/>
    <w:rsid w:val="00427226"/>
    <w:rsid w:val="00427321"/>
    <w:rsid w:val="004274C0"/>
    <w:rsid w:val="00427AC6"/>
    <w:rsid w:val="00427B8B"/>
    <w:rsid w:val="00427CD4"/>
    <w:rsid w:val="00427ECD"/>
    <w:rsid w:val="00430005"/>
    <w:rsid w:val="004300C6"/>
    <w:rsid w:val="004302B6"/>
    <w:rsid w:val="004303F1"/>
    <w:rsid w:val="004304D1"/>
    <w:rsid w:val="004308BC"/>
    <w:rsid w:val="00430918"/>
    <w:rsid w:val="004309FE"/>
    <w:rsid w:val="00430CE3"/>
    <w:rsid w:val="00430D0C"/>
    <w:rsid w:val="00430D1B"/>
    <w:rsid w:val="00430E74"/>
    <w:rsid w:val="00430FE3"/>
    <w:rsid w:val="004310A6"/>
    <w:rsid w:val="00431126"/>
    <w:rsid w:val="004313CF"/>
    <w:rsid w:val="0043151A"/>
    <w:rsid w:val="004316E8"/>
    <w:rsid w:val="00431EA2"/>
    <w:rsid w:val="00432137"/>
    <w:rsid w:val="0043266A"/>
    <w:rsid w:val="00432B0C"/>
    <w:rsid w:val="00432BF4"/>
    <w:rsid w:val="00433336"/>
    <w:rsid w:val="00433AB3"/>
    <w:rsid w:val="00433D24"/>
    <w:rsid w:val="00433D8E"/>
    <w:rsid w:val="0043403B"/>
    <w:rsid w:val="00434342"/>
    <w:rsid w:val="00434BBC"/>
    <w:rsid w:val="00434DF9"/>
    <w:rsid w:val="00434F7E"/>
    <w:rsid w:val="0043531F"/>
    <w:rsid w:val="00435408"/>
    <w:rsid w:val="00435873"/>
    <w:rsid w:val="00435B56"/>
    <w:rsid w:val="00435EF3"/>
    <w:rsid w:val="00436013"/>
    <w:rsid w:val="004360A8"/>
    <w:rsid w:val="004362EC"/>
    <w:rsid w:val="00436515"/>
    <w:rsid w:val="00436C56"/>
    <w:rsid w:val="00436DEC"/>
    <w:rsid w:val="00437147"/>
    <w:rsid w:val="00437530"/>
    <w:rsid w:val="00437540"/>
    <w:rsid w:val="004376D0"/>
    <w:rsid w:val="00437915"/>
    <w:rsid w:val="004379DD"/>
    <w:rsid w:val="00437A3C"/>
    <w:rsid w:val="00437B2F"/>
    <w:rsid w:val="00437B60"/>
    <w:rsid w:val="00437DE4"/>
    <w:rsid w:val="00437EEA"/>
    <w:rsid w:val="00440114"/>
    <w:rsid w:val="00440136"/>
    <w:rsid w:val="0044026A"/>
    <w:rsid w:val="0044045C"/>
    <w:rsid w:val="004404CD"/>
    <w:rsid w:val="00440879"/>
    <w:rsid w:val="00440A5E"/>
    <w:rsid w:val="0044134A"/>
    <w:rsid w:val="00441363"/>
    <w:rsid w:val="004413BA"/>
    <w:rsid w:val="0044183A"/>
    <w:rsid w:val="0044183B"/>
    <w:rsid w:val="00441845"/>
    <w:rsid w:val="004418AA"/>
    <w:rsid w:val="00441D63"/>
    <w:rsid w:val="00442150"/>
    <w:rsid w:val="004422F6"/>
    <w:rsid w:val="004424F1"/>
    <w:rsid w:val="004426D2"/>
    <w:rsid w:val="0044279A"/>
    <w:rsid w:val="00442D64"/>
    <w:rsid w:val="00442D92"/>
    <w:rsid w:val="00442E18"/>
    <w:rsid w:val="00442EDD"/>
    <w:rsid w:val="00442FF4"/>
    <w:rsid w:val="00443ADB"/>
    <w:rsid w:val="00444187"/>
    <w:rsid w:val="004441D9"/>
    <w:rsid w:val="00444444"/>
    <w:rsid w:val="004446C5"/>
    <w:rsid w:val="004449C4"/>
    <w:rsid w:val="00444D28"/>
    <w:rsid w:val="00444F84"/>
    <w:rsid w:val="004450D5"/>
    <w:rsid w:val="004451C9"/>
    <w:rsid w:val="00445575"/>
    <w:rsid w:val="0044588E"/>
    <w:rsid w:val="00445A13"/>
    <w:rsid w:val="00445A4B"/>
    <w:rsid w:val="00445A94"/>
    <w:rsid w:val="00446856"/>
    <w:rsid w:val="00446E3B"/>
    <w:rsid w:val="00446FFB"/>
    <w:rsid w:val="00447016"/>
    <w:rsid w:val="00447850"/>
    <w:rsid w:val="00447E14"/>
    <w:rsid w:val="00450506"/>
    <w:rsid w:val="00450967"/>
    <w:rsid w:val="00450B91"/>
    <w:rsid w:val="00450CB7"/>
    <w:rsid w:val="004512F6"/>
    <w:rsid w:val="004514A1"/>
    <w:rsid w:val="00451B2B"/>
    <w:rsid w:val="00451FDB"/>
    <w:rsid w:val="00451FE7"/>
    <w:rsid w:val="00452169"/>
    <w:rsid w:val="00452746"/>
    <w:rsid w:val="004527D8"/>
    <w:rsid w:val="00452AC9"/>
    <w:rsid w:val="00452B89"/>
    <w:rsid w:val="00452F32"/>
    <w:rsid w:val="00452FDE"/>
    <w:rsid w:val="00452FE1"/>
    <w:rsid w:val="004534F3"/>
    <w:rsid w:val="00453971"/>
    <w:rsid w:val="00453A9A"/>
    <w:rsid w:val="00453A9C"/>
    <w:rsid w:val="00453E1E"/>
    <w:rsid w:val="00453ED7"/>
    <w:rsid w:val="00453EE4"/>
    <w:rsid w:val="004540F7"/>
    <w:rsid w:val="004543CC"/>
    <w:rsid w:val="0045465C"/>
    <w:rsid w:val="004549FE"/>
    <w:rsid w:val="00455077"/>
    <w:rsid w:val="004550D1"/>
    <w:rsid w:val="00455202"/>
    <w:rsid w:val="004553C6"/>
    <w:rsid w:val="004553F8"/>
    <w:rsid w:val="004554E4"/>
    <w:rsid w:val="00455D88"/>
    <w:rsid w:val="00455DF3"/>
    <w:rsid w:val="00455E50"/>
    <w:rsid w:val="00455E76"/>
    <w:rsid w:val="00455F0C"/>
    <w:rsid w:val="004560FF"/>
    <w:rsid w:val="00456571"/>
    <w:rsid w:val="004565C0"/>
    <w:rsid w:val="00456EB7"/>
    <w:rsid w:val="00456ECA"/>
    <w:rsid w:val="0045702F"/>
    <w:rsid w:val="00457516"/>
    <w:rsid w:val="00457735"/>
    <w:rsid w:val="004578A6"/>
    <w:rsid w:val="00457C1D"/>
    <w:rsid w:val="00457CD7"/>
    <w:rsid w:val="00457CF1"/>
    <w:rsid w:val="00460032"/>
    <w:rsid w:val="00460360"/>
    <w:rsid w:val="004603ED"/>
    <w:rsid w:val="00460891"/>
    <w:rsid w:val="00460A55"/>
    <w:rsid w:val="00460B53"/>
    <w:rsid w:val="00460E43"/>
    <w:rsid w:val="00460F11"/>
    <w:rsid w:val="0046151F"/>
    <w:rsid w:val="004615B3"/>
    <w:rsid w:val="00461747"/>
    <w:rsid w:val="004618B7"/>
    <w:rsid w:val="00461B43"/>
    <w:rsid w:val="00461BA6"/>
    <w:rsid w:val="00461DC8"/>
    <w:rsid w:val="00462004"/>
    <w:rsid w:val="00462280"/>
    <w:rsid w:val="004626DA"/>
    <w:rsid w:val="00462725"/>
    <w:rsid w:val="00462965"/>
    <w:rsid w:val="00462D78"/>
    <w:rsid w:val="00462EBA"/>
    <w:rsid w:val="004630DA"/>
    <w:rsid w:val="004631A5"/>
    <w:rsid w:val="0046335C"/>
    <w:rsid w:val="00463536"/>
    <w:rsid w:val="0046363D"/>
    <w:rsid w:val="004636B8"/>
    <w:rsid w:val="00463863"/>
    <w:rsid w:val="004639A8"/>
    <w:rsid w:val="004639BC"/>
    <w:rsid w:val="00463A7F"/>
    <w:rsid w:val="00463B7F"/>
    <w:rsid w:val="00463C24"/>
    <w:rsid w:val="00463CB6"/>
    <w:rsid w:val="00463E75"/>
    <w:rsid w:val="004640D7"/>
    <w:rsid w:val="00464385"/>
    <w:rsid w:val="0046461C"/>
    <w:rsid w:val="00464A01"/>
    <w:rsid w:val="00464A61"/>
    <w:rsid w:val="00464ADE"/>
    <w:rsid w:val="00464B8B"/>
    <w:rsid w:val="00464E48"/>
    <w:rsid w:val="00464E5C"/>
    <w:rsid w:val="00464E75"/>
    <w:rsid w:val="00464FCB"/>
    <w:rsid w:val="004651A6"/>
    <w:rsid w:val="004651BD"/>
    <w:rsid w:val="00465442"/>
    <w:rsid w:val="004656CC"/>
    <w:rsid w:val="00465B62"/>
    <w:rsid w:val="00465E99"/>
    <w:rsid w:val="0046657C"/>
    <w:rsid w:val="0046681C"/>
    <w:rsid w:val="00466B37"/>
    <w:rsid w:val="00467094"/>
    <w:rsid w:val="004672CC"/>
    <w:rsid w:val="0046756D"/>
    <w:rsid w:val="00467586"/>
    <w:rsid w:val="004679F5"/>
    <w:rsid w:val="00467A0F"/>
    <w:rsid w:val="00467B9D"/>
    <w:rsid w:val="004701F3"/>
    <w:rsid w:val="004704FE"/>
    <w:rsid w:val="004705ED"/>
    <w:rsid w:val="00470856"/>
    <w:rsid w:val="00470C11"/>
    <w:rsid w:val="00470EC6"/>
    <w:rsid w:val="00471016"/>
    <w:rsid w:val="0047102D"/>
    <w:rsid w:val="0047105E"/>
    <w:rsid w:val="00471675"/>
    <w:rsid w:val="004718CA"/>
    <w:rsid w:val="00471E82"/>
    <w:rsid w:val="00471EF5"/>
    <w:rsid w:val="004723F0"/>
    <w:rsid w:val="00472770"/>
    <w:rsid w:val="0047288C"/>
    <w:rsid w:val="00472BA1"/>
    <w:rsid w:val="00472EA0"/>
    <w:rsid w:val="00472FEA"/>
    <w:rsid w:val="0047367C"/>
    <w:rsid w:val="004738ED"/>
    <w:rsid w:val="00473905"/>
    <w:rsid w:val="004739C7"/>
    <w:rsid w:val="00473E00"/>
    <w:rsid w:val="004742D6"/>
    <w:rsid w:val="00474303"/>
    <w:rsid w:val="0047434A"/>
    <w:rsid w:val="00474515"/>
    <w:rsid w:val="0047452E"/>
    <w:rsid w:val="00474639"/>
    <w:rsid w:val="004747D3"/>
    <w:rsid w:val="00474B67"/>
    <w:rsid w:val="004753DE"/>
    <w:rsid w:val="0047566C"/>
    <w:rsid w:val="00475738"/>
    <w:rsid w:val="004757AC"/>
    <w:rsid w:val="00475845"/>
    <w:rsid w:val="0047595A"/>
    <w:rsid w:val="004759C6"/>
    <w:rsid w:val="00475C04"/>
    <w:rsid w:val="004760BB"/>
    <w:rsid w:val="00476B3A"/>
    <w:rsid w:val="00476C6D"/>
    <w:rsid w:val="00476E96"/>
    <w:rsid w:val="00476EE9"/>
    <w:rsid w:val="00477407"/>
    <w:rsid w:val="00477A44"/>
    <w:rsid w:val="00477B7A"/>
    <w:rsid w:val="00477CC0"/>
    <w:rsid w:val="00477D37"/>
    <w:rsid w:val="00477F62"/>
    <w:rsid w:val="004800CB"/>
    <w:rsid w:val="00480182"/>
    <w:rsid w:val="0048044A"/>
    <w:rsid w:val="00480802"/>
    <w:rsid w:val="00480BCD"/>
    <w:rsid w:val="00480EA0"/>
    <w:rsid w:val="004810F0"/>
    <w:rsid w:val="0048122C"/>
    <w:rsid w:val="00481526"/>
    <w:rsid w:val="0048156D"/>
    <w:rsid w:val="0048157D"/>
    <w:rsid w:val="00481B5B"/>
    <w:rsid w:val="004820B3"/>
    <w:rsid w:val="00482144"/>
    <w:rsid w:val="0048226E"/>
    <w:rsid w:val="0048227C"/>
    <w:rsid w:val="00482597"/>
    <w:rsid w:val="004825DC"/>
    <w:rsid w:val="004825F9"/>
    <w:rsid w:val="00482802"/>
    <w:rsid w:val="00482813"/>
    <w:rsid w:val="0048298E"/>
    <w:rsid w:val="00482D05"/>
    <w:rsid w:val="00482D5C"/>
    <w:rsid w:val="00482E9A"/>
    <w:rsid w:val="0048320A"/>
    <w:rsid w:val="00483381"/>
    <w:rsid w:val="00483427"/>
    <w:rsid w:val="004836D3"/>
    <w:rsid w:val="00483943"/>
    <w:rsid w:val="00483A86"/>
    <w:rsid w:val="00483B9F"/>
    <w:rsid w:val="00483C04"/>
    <w:rsid w:val="00483DD9"/>
    <w:rsid w:val="00483E41"/>
    <w:rsid w:val="00483FA8"/>
    <w:rsid w:val="00484021"/>
    <w:rsid w:val="004841B6"/>
    <w:rsid w:val="00484381"/>
    <w:rsid w:val="004844C1"/>
    <w:rsid w:val="00484BD5"/>
    <w:rsid w:val="00484F13"/>
    <w:rsid w:val="00485AC4"/>
    <w:rsid w:val="00485B21"/>
    <w:rsid w:val="00485BAF"/>
    <w:rsid w:val="00485DD5"/>
    <w:rsid w:val="00486234"/>
    <w:rsid w:val="00486375"/>
    <w:rsid w:val="004864B6"/>
    <w:rsid w:val="004864D4"/>
    <w:rsid w:val="004866E7"/>
    <w:rsid w:val="00486748"/>
    <w:rsid w:val="00486A64"/>
    <w:rsid w:val="00486C36"/>
    <w:rsid w:val="00486D61"/>
    <w:rsid w:val="00487411"/>
    <w:rsid w:val="0048754D"/>
    <w:rsid w:val="00487657"/>
    <w:rsid w:val="00487B53"/>
    <w:rsid w:val="004900F4"/>
    <w:rsid w:val="0049030D"/>
    <w:rsid w:val="004906BC"/>
    <w:rsid w:val="0049134B"/>
    <w:rsid w:val="004914B6"/>
    <w:rsid w:val="00491532"/>
    <w:rsid w:val="0049156F"/>
    <w:rsid w:val="00491880"/>
    <w:rsid w:val="00491AB0"/>
    <w:rsid w:val="00491ADB"/>
    <w:rsid w:val="0049206E"/>
    <w:rsid w:val="00492247"/>
    <w:rsid w:val="0049228D"/>
    <w:rsid w:val="00492AF5"/>
    <w:rsid w:val="00492BD0"/>
    <w:rsid w:val="00492BEF"/>
    <w:rsid w:val="00492C76"/>
    <w:rsid w:val="00492F6D"/>
    <w:rsid w:val="00492FD5"/>
    <w:rsid w:val="00493145"/>
    <w:rsid w:val="00493243"/>
    <w:rsid w:val="00493C60"/>
    <w:rsid w:val="004941DB"/>
    <w:rsid w:val="004941FF"/>
    <w:rsid w:val="004950AE"/>
    <w:rsid w:val="00495274"/>
    <w:rsid w:val="004954A9"/>
    <w:rsid w:val="00495829"/>
    <w:rsid w:val="00495906"/>
    <w:rsid w:val="00495934"/>
    <w:rsid w:val="0049596E"/>
    <w:rsid w:val="00495AB5"/>
    <w:rsid w:val="00495B32"/>
    <w:rsid w:val="00495D86"/>
    <w:rsid w:val="00496218"/>
    <w:rsid w:val="004964E8"/>
    <w:rsid w:val="004964F5"/>
    <w:rsid w:val="004965C2"/>
    <w:rsid w:val="00496771"/>
    <w:rsid w:val="00496BA6"/>
    <w:rsid w:val="00496BCA"/>
    <w:rsid w:val="00496C1D"/>
    <w:rsid w:val="00496D1B"/>
    <w:rsid w:val="00496F45"/>
    <w:rsid w:val="00496FF9"/>
    <w:rsid w:val="0049722F"/>
    <w:rsid w:val="00497410"/>
    <w:rsid w:val="00497521"/>
    <w:rsid w:val="00497726"/>
    <w:rsid w:val="004A0100"/>
    <w:rsid w:val="004A03DA"/>
    <w:rsid w:val="004A0582"/>
    <w:rsid w:val="004A05DA"/>
    <w:rsid w:val="004A116A"/>
    <w:rsid w:val="004A14A5"/>
    <w:rsid w:val="004A1E01"/>
    <w:rsid w:val="004A2325"/>
    <w:rsid w:val="004A31A3"/>
    <w:rsid w:val="004A32AC"/>
    <w:rsid w:val="004A354C"/>
    <w:rsid w:val="004A3724"/>
    <w:rsid w:val="004A378E"/>
    <w:rsid w:val="004A3D5D"/>
    <w:rsid w:val="004A3DFE"/>
    <w:rsid w:val="004A3ECE"/>
    <w:rsid w:val="004A3FD8"/>
    <w:rsid w:val="004A4130"/>
    <w:rsid w:val="004A4259"/>
    <w:rsid w:val="004A42B3"/>
    <w:rsid w:val="004A4454"/>
    <w:rsid w:val="004A4471"/>
    <w:rsid w:val="004A4A86"/>
    <w:rsid w:val="004A4FD3"/>
    <w:rsid w:val="004A54A7"/>
    <w:rsid w:val="004A550B"/>
    <w:rsid w:val="004A5770"/>
    <w:rsid w:val="004A5927"/>
    <w:rsid w:val="004A59AC"/>
    <w:rsid w:val="004A5A00"/>
    <w:rsid w:val="004A5BDD"/>
    <w:rsid w:val="004A5E6A"/>
    <w:rsid w:val="004A6490"/>
    <w:rsid w:val="004A65E5"/>
    <w:rsid w:val="004A66AF"/>
    <w:rsid w:val="004A66EE"/>
    <w:rsid w:val="004A6D22"/>
    <w:rsid w:val="004A77E3"/>
    <w:rsid w:val="004A782B"/>
    <w:rsid w:val="004A7EA6"/>
    <w:rsid w:val="004A7F00"/>
    <w:rsid w:val="004B0295"/>
    <w:rsid w:val="004B05D1"/>
    <w:rsid w:val="004B09CD"/>
    <w:rsid w:val="004B0AEF"/>
    <w:rsid w:val="004B0C08"/>
    <w:rsid w:val="004B0D63"/>
    <w:rsid w:val="004B1012"/>
    <w:rsid w:val="004B14DF"/>
    <w:rsid w:val="004B1699"/>
    <w:rsid w:val="004B1735"/>
    <w:rsid w:val="004B1DB2"/>
    <w:rsid w:val="004B1F63"/>
    <w:rsid w:val="004B1FDC"/>
    <w:rsid w:val="004B2036"/>
    <w:rsid w:val="004B2494"/>
    <w:rsid w:val="004B2543"/>
    <w:rsid w:val="004B26BB"/>
    <w:rsid w:val="004B2863"/>
    <w:rsid w:val="004B29B9"/>
    <w:rsid w:val="004B2AA6"/>
    <w:rsid w:val="004B2BE3"/>
    <w:rsid w:val="004B347E"/>
    <w:rsid w:val="004B38E8"/>
    <w:rsid w:val="004B3AD1"/>
    <w:rsid w:val="004B3C53"/>
    <w:rsid w:val="004B3C89"/>
    <w:rsid w:val="004B3F0A"/>
    <w:rsid w:val="004B405C"/>
    <w:rsid w:val="004B40E8"/>
    <w:rsid w:val="004B41D8"/>
    <w:rsid w:val="004B437C"/>
    <w:rsid w:val="004B4405"/>
    <w:rsid w:val="004B440B"/>
    <w:rsid w:val="004B44A8"/>
    <w:rsid w:val="004B46F9"/>
    <w:rsid w:val="004B492A"/>
    <w:rsid w:val="004B49CE"/>
    <w:rsid w:val="004B50DD"/>
    <w:rsid w:val="004B5157"/>
    <w:rsid w:val="004B5328"/>
    <w:rsid w:val="004B5508"/>
    <w:rsid w:val="004B5550"/>
    <w:rsid w:val="004B5806"/>
    <w:rsid w:val="004B591F"/>
    <w:rsid w:val="004B5987"/>
    <w:rsid w:val="004B5992"/>
    <w:rsid w:val="004B5AE2"/>
    <w:rsid w:val="004B5B32"/>
    <w:rsid w:val="004B5D5B"/>
    <w:rsid w:val="004B5F6F"/>
    <w:rsid w:val="004B6262"/>
    <w:rsid w:val="004B64E8"/>
    <w:rsid w:val="004B67C6"/>
    <w:rsid w:val="004B6876"/>
    <w:rsid w:val="004B69FC"/>
    <w:rsid w:val="004B6AB7"/>
    <w:rsid w:val="004B6B40"/>
    <w:rsid w:val="004B6DAC"/>
    <w:rsid w:val="004B744D"/>
    <w:rsid w:val="004B74EA"/>
    <w:rsid w:val="004B74F2"/>
    <w:rsid w:val="004B7588"/>
    <w:rsid w:val="004B781B"/>
    <w:rsid w:val="004B7840"/>
    <w:rsid w:val="004B79B1"/>
    <w:rsid w:val="004B7A12"/>
    <w:rsid w:val="004C0747"/>
    <w:rsid w:val="004C0A3F"/>
    <w:rsid w:val="004C0AFB"/>
    <w:rsid w:val="004C0C03"/>
    <w:rsid w:val="004C11A7"/>
    <w:rsid w:val="004C1657"/>
    <w:rsid w:val="004C17A7"/>
    <w:rsid w:val="004C1804"/>
    <w:rsid w:val="004C1A8C"/>
    <w:rsid w:val="004C20B5"/>
    <w:rsid w:val="004C215E"/>
    <w:rsid w:val="004C2536"/>
    <w:rsid w:val="004C2A04"/>
    <w:rsid w:val="004C2CC9"/>
    <w:rsid w:val="004C2DEB"/>
    <w:rsid w:val="004C2DF8"/>
    <w:rsid w:val="004C2E66"/>
    <w:rsid w:val="004C3060"/>
    <w:rsid w:val="004C30B2"/>
    <w:rsid w:val="004C30E5"/>
    <w:rsid w:val="004C3219"/>
    <w:rsid w:val="004C35AA"/>
    <w:rsid w:val="004C36FA"/>
    <w:rsid w:val="004C39CD"/>
    <w:rsid w:val="004C3A22"/>
    <w:rsid w:val="004C3E23"/>
    <w:rsid w:val="004C4115"/>
    <w:rsid w:val="004C4350"/>
    <w:rsid w:val="004C454A"/>
    <w:rsid w:val="004C47F9"/>
    <w:rsid w:val="004C4A05"/>
    <w:rsid w:val="004C4A69"/>
    <w:rsid w:val="004C4B96"/>
    <w:rsid w:val="004C4CC8"/>
    <w:rsid w:val="004C4DF1"/>
    <w:rsid w:val="004C4E4D"/>
    <w:rsid w:val="004C4EE6"/>
    <w:rsid w:val="004C4F45"/>
    <w:rsid w:val="004C5A84"/>
    <w:rsid w:val="004C5C01"/>
    <w:rsid w:val="004C5E79"/>
    <w:rsid w:val="004C5E9D"/>
    <w:rsid w:val="004C5F58"/>
    <w:rsid w:val="004C609C"/>
    <w:rsid w:val="004C617B"/>
    <w:rsid w:val="004C6311"/>
    <w:rsid w:val="004C65BB"/>
    <w:rsid w:val="004C6788"/>
    <w:rsid w:val="004C6B15"/>
    <w:rsid w:val="004C6C0B"/>
    <w:rsid w:val="004C6CA6"/>
    <w:rsid w:val="004C7436"/>
    <w:rsid w:val="004C746A"/>
    <w:rsid w:val="004C768C"/>
    <w:rsid w:val="004C76D7"/>
    <w:rsid w:val="004C7B75"/>
    <w:rsid w:val="004C7ED0"/>
    <w:rsid w:val="004D005A"/>
    <w:rsid w:val="004D01B8"/>
    <w:rsid w:val="004D05C5"/>
    <w:rsid w:val="004D0650"/>
    <w:rsid w:val="004D09BD"/>
    <w:rsid w:val="004D0C04"/>
    <w:rsid w:val="004D0DB4"/>
    <w:rsid w:val="004D10A9"/>
    <w:rsid w:val="004D10F1"/>
    <w:rsid w:val="004D123A"/>
    <w:rsid w:val="004D12B5"/>
    <w:rsid w:val="004D1678"/>
    <w:rsid w:val="004D17A5"/>
    <w:rsid w:val="004D19C8"/>
    <w:rsid w:val="004D1A53"/>
    <w:rsid w:val="004D1B87"/>
    <w:rsid w:val="004D1FD3"/>
    <w:rsid w:val="004D2074"/>
    <w:rsid w:val="004D26D2"/>
    <w:rsid w:val="004D2C2F"/>
    <w:rsid w:val="004D2C77"/>
    <w:rsid w:val="004D2C86"/>
    <w:rsid w:val="004D2EC0"/>
    <w:rsid w:val="004D3A0B"/>
    <w:rsid w:val="004D3E0D"/>
    <w:rsid w:val="004D41D4"/>
    <w:rsid w:val="004D43FA"/>
    <w:rsid w:val="004D4421"/>
    <w:rsid w:val="004D52F8"/>
    <w:rsid w:val="004D53A0"/>
    <w:rsid w:val="004D5572"/>
    <w:rsid w:val="004D57A8"/>
    <w:rsid w:val="004D5C14"/>
    <w:rsid w:val="004D6133"/>
    <w:rsid w:val="004D6276"/>
    <w:rsid w:val="004D64BC"/>
    <w:rsid w:val="004D64E0"/>
    <w:rsid w:val="004D6547"/>
    <w:rsid w:val="004D67A7"/>
    <w:rsid w:val="004D6B89"/>
    <w:rsid w:val="004D6C03"/>
    <w:rsid w:val="004D727B"/>
    <w:rsid w:val="004D7566"/>
    <w:rsid w:val="004D76D4"/>
    <w:rsid w:val="004D7884"/>
    <w:rsid w:val="004D79EF"/>
    <w:rsid w:val="004D7A16"/>
    <w:rsid w:val="004D7A1A"/>
    <w:rsid w:val="004D7A7E"/>
    <w:rsid w:val="004D7C52"/>
    <w:rsid w:val="004D7FB6"/>
    <w:rsid w:val="004E050F"/>
    <w:rsid w:val="004E0F2D"/>
    <w:rsid w:val="004E12A1"/>
    <w:rsid w:val="004E15CD"/>
    <w:rsid w:val="004E1628"/>
    <w:rsid w:val="004E162C"/>
    <w:rsid w:val="004E2005"/>
    <w:rsid w:val="004E231B"/>
    <w:rsid w:val="004E2481"/>
    <w:rsid w:val="004E25AE"/>
    <w:rsid w:val="004E25D1"/>
    <w:rsid w:val="004E2735"/>
    <w:rsid w:val="004E2FE2"/>
    <w:rsid w:val="004E3095"/>
    <w:rsid w:val="004E30FA"/>
    <w:rsid w:val="004E317E"/>
    <w:rsid w:val="004E3411"/>
    <w:rsid w:val="004E3835"/>
    <w:rsid w:val="004E389B"/>
    <w:rsid w:val="004E39FE"/>
    <w:rsid w:val="004E42B1"/>
    <w:rsid w:val="004E4319"/>
    <w:rsid w:val="004E45C4"/>
    <w:rsid w:val="004E5198"/>
    <w:rsid w:val="004E5363"/>
    <w:rsid w:val="004E55C1"/>
    <w:rsid w:val="004E56F2"/>
    <w:rsid w:val="004E579C"/>
    <w:rsid w:val="004E5856"/>
    <w:rsid w:val="004E596C"/>
    <w:rsid w:val="004E598D"/>
    <w:rsid w:val="004E5A45"/>
    <w:rsid w:val="004E5FC7"/>
    <w:rsid w:val="004E66DC"/>
    <w:rsid w:val="004E6C07"/>
    <w:rsid w:val="004E7036"/>
    <w:rsid w:val="004E7339"/>
    <w:rsid w:val="004E7433"/>
    <w:rsid w:val="004E74E7"/>
    <w:rsid w:val="004E75C8"/>
    <w:rsid w:val="004E7766"/>
    <w:rsid w:val="004E78A0"/>
    <w:rsid w:val="004E7A49"/>
    <w:rsid w:val="004E7F71"/>
    <w:rsid w:val="004F020C"/>
    <w:rsid w:val="004F0317"/>
    <w:rsid w:val="004F07BA"/>
    <w:rsid w:val="004F1647"/>
    <w:rsid w:val="004F1C5F"/>
    <w:rsid w:val="004F1D3C"/>
    <w:rsid w:val="004F1E69"/>
    <w:rsid w:val="004F249F"/>
    <w:rsid w:val="004F25F8"/>
    <w:rsid w:val="004F300F"/>
    <w:rsid w:val="004F3351"/>
    <w:rsid w:val="004F3373"/>
    <w:rsid w:val="004F35D4"/>
    <w:rsid w:val="004F3637"/>
    <w:rsid w:val="004F36F1"/>
    <w:rsid w:val="004F3970"/>
    <w:rsid w:val="004F3A7D"/>
    <w:rsid w:val="004F3EFC"/>
    <w:rsid w:val="004F479D"/>
    <w:rsid w:val="004F4859"/>
    <w:rsid w:val="004F49D9"/>
    <w:rsid w:val="004F544F"/>
    <w:rsid w:val="004F58AF"/>
    <w:rsid w:val="004F5C58"/>
    <w:rsid w:val="004F604D"/>
    <w:rsid w:val="004F6159"/>
    <w:rsid w:val="004F61B0"/>
    <w:rsid w:val="004F61DA"/>
    <w:rsid w:val="004F628E"/>
    <w:rsid w:val="004F6685"/>
    <w:rsid w:val="004F66DF"/>
    <w:rsid w:val="004F6722"/>
    <w:rsid w:val="004F6A79"/>
    <w:rsid w:val="004F6AD0"/>
    <w:rsid w:val="004F6B7C"/>
    <w:rsid w:val="004F7131"/>
    <w:rsid w:val="004F7712"/>
    <w:rsid w:val="004F7799"/>
    <w:rsid w:val="004F7813"/>
    <w:rsid w:val="004F7897"/>
    <w:rsid w:val="004F7BEA"/>
    <w:rsid w:val="004F7BF4"/>
    <w:rsid w:val="004F7C97"/>
    <w:rsid w:val="004F7E75"/>
    <w:rsid w:val="004F7F72"/>
    <w:rsid w:val="0050071E"/>
    <w:rsid w:val="00500BC4"/>
    <w:rsid w:val="00500E95"/>
    <w:rsid w:val="00500FE1"/>
    <w:rsid w:val="005012D8"/>
    <w:rsid w:val="005013B8"/>
    <w:rsid w:val="00501439"/>
    <w:rsid w:val="00501472"/>
    <w:rsid w:val="005014FD"/>
    <w:rsid w:val="005015B8"/>
    <w:rsid w:val="00501B2A"/>
    <w:rsid w:val="00501B61"/>
    <w:rsid w:val="00501D0C"/>
    <w:rsid w:val="00501E51"/>
    <w:rsid w:val="00501FFC"/>
    <w:rsid w:val="0050217B"/>
    <w:rsid w:val="005021EC"/>
    <w:rsid w:val="005022D0"/>
    <w:rsid w:val="00502326"/>
    <w:rsid w:val="0050232B"/>
    <w:rsid w:val="00502CCF"/>
    <w:rsid w:val="00502F65"/>
    <w:rsid w:val="005035C6"/>
    <w:rsid w:val="00503677"/>
    <w:rsid w:val="00503C5B"/>
    <w:rsid w:val="00503E46"/>
    <w:rsid w:val="00503EEA"/>
    <w:rsid w:val="00503F66"/>
    <w:rsid w:val="005042C5"/>
    <w:rsid w:val="005044A8"/>
    <w:rsid w:val="005046EE"/>
    <w:rsid w:val="005046F7"/>
    <w:rsid w:val="0050498A"/>
    <w:rsid w:val="005049F5"/>
    <w:rsid w:val="00504CF3"/>
    <w:rsid w:val="00505027"/>
    <w:rsid w:val="00505086"/>
    <w:rsid w:val="005050CC"/>
    <w:rsid w:val="00505124"/>
    <w:rsid w:val="00505641"/>
    <w:rsid w:val="00505796"/>
    <w:rsid w:val="00505BFA"/>
    <w:rsid w:val="00505D2A"/>
    <w:rsid w:val="00505F8A"/>
    <w:rsid w:val="005062EA"/>
    <w:rsid w:val="00506547"/>
    <w:rsid w:val="005067ED"/>
    <w:rsid w:val="0050680D"/>
    <w:rsid w:val="00506878"/>
    <w:rsid w:val="005068F5"/>
    <w:rsid w:val="0050694B"/>
    <w:rsid w:val="005069DE"/>
    <w:rsid w:val="00506A5C"/>
    <w:rsid w:val="00506D81"/>
    <w:rsid w:val="00506EBF"/>
    <w:rsid w:val="00507155"/>
    <w:rsid w:val="005071FD"/>
    <w:rsid w:val="0050723F"/>
    <w:rsid w:val="005072E1"/>
    <w:rsid w:val="005073E6"/>
    <w:rsid w:val="00507419"/>
    <w:rsid w:val="00507ABE"/>
    <w:rsid w:val="00507D2C"/>
    <w:rsid w:val="00510463"/>
    <w:rsid w:val="005104D8"/>
    <w:rsid w:val="005105F9"/>
    <w:rsid w:val="0051096D"/>
    <w:rsid w:val="00510C3E"/>
    <w:rsid w:val="00510E88"/>
    <w:rsid w:val="00510EF4"/>
    <w:rsid w:val="00510FCE"/>
    <w:rsid w:val="00511292"/>
    <w:rsid w:val="005112E5"/>
    <w:rsid w:val="005116F2"/>
    <w:rsid w:val="00511987"/>
    <w:rsid w:val="00511D3C"/>
    <w:rsid w:val="0051205F"/>
    <w:rsid w:val="00512694"/>
    <w:rsid w:val="005129AF"/>
    <w:rsid w:val="005129E0"/>
    <w:rsid w:val="005130A1"/>
    <w:rsid w:val="00513676"/>
    <w:rsid w:val="00513837"/>
    <w:rsid w:val="00513855"/>
    <w:rsid w:val="005138E1"/>
    <w:rsid w:val="005139BC"/>
    <w:rsid w:val="00513C04"/>
    <w:rsid w:val="00513C1B"/>
    <w:rsid w:val="00513C4E"/>
    <w:rsid w:val="00513ECE"/>
    <w:rsid w:val="0051448B"/>
    <w:rsid w:val="0051452F"/>
    <w:rsid w:val="00514694"/>
    <w:rsid w:val="00514BC0"/>
    <w:rsid w:val="00514BDE"/>
    <w:rsid w:val="00515330"/>
    <w:rsid w:val="0051539E"/>
    <w:rsid w:val="005153AA"/>
    <w:rsid w:val="005158DD"/>
    <w:rsid w:val="00515908"/>
    <w:rsid w:val="00515930"/>
    <w:rsid w:val="00515BC6"/>
    <w:rsid w:val="00515D3B"/>
    <w:rsid w:val="00515DF9"/>
    <w:rsid w:val="00516041"/>
    <w:rsid w:val="00516182"/>
    <w:rsid w:val="00516396"/>
    <w:rsid w:val="005164DE"/>
    <w:rsid w:val="005168B6"/>
    <w:rsid w:val="00516AA4"/>
    <w:rsid w:val="00516D35"/>
    <w:rsid w:val="0051756B"/>
    <w:rsid w:val="005175AE"/>
    <w:rsid w:val="00517A4F"/>
    <w:rsid w:val="00517CD1"/>
    <w:rsid w:val="00517D8C"/>
    <w:rsid w:val="00520095"/>
    <w:rsid w:val="005200E2"/>
    <w:rsid w:val="00520350"/>
    <w:rsid w:val="005203F1"/>
    <w:rsid w:val="00520405"/>
    <w:rsid w:val="005208D7"/>
    <w:rsid w:val="00520CE0"/>
    <w:rsid w:val="0052119E"/>
    <w:rsid w:val="0052165C"/>
    <w:rsid w:val="00521FAD"/>
    <w:rsid w:val="0052200F"/>
    <w:rsid w:val="0052247F"/>
    <w:rsid w:val="0052270C"/>
    <w:rsid w:val="00522981"/>
    <w:rsid w:val="00522A4C"/>
    <w:rsid w:val="00522CB7"/>
    <w:rsid w:val="00522CED"/>
    <w:rsid w:val="00522F81"/>
    <w:rsid w:val="00523152"/>
    <w:rsid w:val="005234A5"/>
    <w:rsid w:val="005236F3"/>
    <w:rsid w:val="00523B91"/>
    <w:rsid w:val="00523C5D"/>
    <w:rsid w:val="00523C99"/>
    <w:rsid w:val="00523F85"/>
    <w:rsid w:val="005240D8"/>
    <w:rsid w:val="005246A2"/>
    <w:rsid w:val="0052475A"/>
    <w:rsid w:val="00524825"/>
    <w:rsid w:val="00524AEB"/>
    <w:rsid w:val="00524B1A"/>
    <w:rsid w:val="00524C71"/>
    <w:rsid w:val="00524E33"/>
    <w:rsid w:val="005250C6"/>
    <w:rsid w:val="00525191"/>
    <w:rsid w:val="005254BA"/>
    <w:rsid w:val="00525934"/>
    <w:rsid w:val="00525ABE"/>
    <w:rsid w:val="00525AF9"/>
    <w:rsid w:val="00525F1A"/>
    <w:rsid w:val="005262A5"/>
    <w:rsid w:val="005265C4"/>
    <w:rsid w:val="00526F13"/>
    <w:rsid w:val="00526F9A"/>
    <w:rsid w:val="0052731A"/>
    <w:rsid w:val="00527860"/>
    <w:rsid w:val="005278E7"/>
    <w:rsid w:val="00527959"/>
    <w:rsid w:val="00527D00"/>
    <w:rsid w:val="00527E51"/>
    <w:rsid w:val="005303A4"/>
    <w:rsid w:val="00530605"/>
    <w:rsid w:val="00530D38"/>
    <w:rsid w:val="00530FDA"/>
    <w:rsid w:val="005311E4"/>
    <w:rsid w:val="0053134E"/>
    <w:rsid w:val="00531523"/>
    <w:rsid w:val="00531629"/>
    <w:rsid w:val="0053190E"/>
    <w:rsid w:val="00531F8C"/>
    <w:rsid w:val="00531FF5"/>
    <w:rsid w:val="0053290B"/>
    <w:rsid w:val="00532E5A"/>
    <w:rsid w:val="00533179"/>
    <w:rsid w:val="00533213"/>
    <w:rsid w:val="005334F0"/>
    <w:rsid w:val="005336CD"/>
    <w:rsid w:val="00533732"/>
    <w:rsid w:val="00533830"/>
    <w:rsid w:val="005338A1"/>
    <w:rsid w:val="00533B36"/>
    <w:rsid w:val="00533C1D"/>
    <w:rsid w:val="00533E16"/>
    <w:rsid w:val="00533FEE"/>
    <w:rsid w:val="00534492"/>
    <w:rsid w:val="0053459C"/>
    <w:rsid w:val="005345E0"/>
    <w:rsid w:val="00534EF8"/>
    <w:rsid w:val="00534F13"/>
    <w:rsid w:val="00535065"/>
    <w:rsid w:val="005350B7"/>
    <w:rsid w:val="00535262"/>
    <w:rsid w:val="005354F8"/>
    <w:rsid w:val="00535599"/>
    <w:rsid w:val="00535883"/>
    <w:rsid w:val="0053589D"/>
    <w:rsid w:val="005358D5"/>
    <w:rsid w:val="00535B3F"/>
    <w:rsid w:val="0053625B"/>
    <w:rsid w:val="00536727"/>
    <w:rsid w:val="00536CF4"/>
    <w:rsid w:val="00536D4A"/>
    <w:rsid w:val="00536D8F"/>
    <w:rsid w:val="005370FC"/>
    <w:rsid w:val="0053719E"/>
    <w:rsid w:val="00537B24"/>
    <w:rsid w:val="00537E9D"/>
    <w:rsid w:val="00537EC0"/>
    <w:rsid w:val="0054004F"/>
    <w:rsid w:val="0054025E"/>
    <w:rsid w:val="0054057E"/>
    <w:rsid w:val="00540728"/>
    <w:rsid w:val="00540C86"/>
    <w:rsid w:val="00540CBB"/>
    <w:rsid w:val="00540D74"/>
    <w:rsid w:val="00540E1F"/>
    <w:rsid w:val="00540F5E"/>
    <w:rsid w:val="005417C8"/>
    <w:rsid w:val="005417EB"/>
    <w:rsid w:val="005418AA"/>
    <w:rsid w:val="005420BF"/>
    <w:rsid w:val="00542174"/>
    <w:rsid w:val="00542244"/>
    <w:rsid w:val="00542570"/>
    <w:rsid w:val="00542C3E"/>
    <w:rsid w:val="00542CA4"/>
    <w:rsid w:val="00542E81"/>
    <w:rsid w:val="00542FED"/>
    <w:rsid w:val="005431DA"/>
    <w:rsid w:val="005434C0"/>
    <w:rsid w:val="005438D9"/>
    <w:rsid w:val="00543EA5"/>
    <w:rsid w:val="005440E8"/>
    <w:rsid w:val="00544764"/>
    <w:rsid w:val="005448DA"/>
    <w:rsid w:val="005449BC"/>
    <w:rsid w:val="0054554A"/>
    <w:rsid w:val="005455D3"/>
    <w:rsid w:val="0054574A"/>
    <w:rsid w:val="00545B2B"/>
    <w:rsid w:val="00545BAA"/>
    <w:rsid w:val="00545C12"/>
    <w:rsid w:val="00546236"/>
    <w:rsid w:val="00546647"/>
    <w:rsid w:val="005467E9"/>
    <w:rsid w:val="005468A1"/>
    <w:rsid w:val="00546B35"/>
    <w:rsid w:val="00546C1B"/>
    <w:rsid w:val="00546F58"/>
    <w:rsid w:val="0054714A"/>
    <w:rsid w:val="00547263"/>
    <w:rsid w:val="005475BB"/>
    <w:rsid w:val="0054778B"/>
    <w:rsid w:val="00547BFA"/>
    <w:rsid w:val="00547C84"/>
    <w:rsid w:val="005502F3"/>
    <w:rsid w:val="0055069F"/>
    <w:rsid w:val="00550AB6"/>
    <w:rsid w:val="00550BC6"/>
    <w:rsid w:val="00551724"/>
    <w:rsid w:val="0055175A"/>
    <w:rsid w:val="00551C6A"/>
    <w:rsid w:val="005524D4"/>
    <w:rsid w:val="00552683"/>
    <w:rsid w:val="005529BD"/>
    <w:rsid w:val="00552D60"/>
    <w:rsid w:val="00552DEC"/>
    <w:rsid w:val="00552E31"/>
    <w:rsid w:val="00552F12"/>
    <w:rsid w:val="00552F14"/>
    <w:rsid w:val="00552F6F"/>
    <w:rsid w:val="00553006"/>
    <w:rsid w:val="00553119"/>
    <w:rsid w:val="00553167"/>
    <w:rsid w:val="0055323C"/>
    <w:rsid w:val="00553518"/>
    <w:rsid w:val="005538C9"/>
    <w:rsid w:val="00553A37"/>
    <w:rsid w:val="00553CC8"/>
    <w:rsid w:val="00553EB4"/>
    <w:rsid w:val="00553F67"/>
    <w:rsid w:val="00554010"/>
    <w:rsid w:val="005548C0"/>
    <w:rsid w:val="00554EF5"/>
    <w:rsid w:val="0055525A"/>
    <w:rsid w:val="00555630"/>
    <w:rsid w:val="00555AE0"/>
    <w:rsid w:val="00555DAC"/>
    <w:rsid w:val="00555EB1"/>
    <w:rsid w:val="00555EDF"/>
    <w:rsid w:val="00555F07"/>
    <w:rsid w:val="00556235"/>
    <w:rsid w:val="00556319"/>
    <w:rsid w:val="00556472"/>
    <w:rsid w:val="005564C2"/>
    <w:rsid w:val="00556630"/>
    <w:rsid w:val="00556766"/>
    <w:rsid w:val="00556935"/>
    <w:rsid w:val="005569EA"/>
    <w:rsid w:val="005569FD"/>
    <w:rsid w:val="00556C2A"/>
    <w:rsid w:val="00556D54"/>
    <w:rsid w:val="00556F7B"/>
    <w:rsid w:val="0055709F"/>
    <w:rsid w:val="005570A6"/>
    <w:rsid w:val="00557133"/>
    <w:rsid w:val="00557167"/>
    <w:rsid w:val="005572A7"/>
    <w:rsid w:val="0055740B"/>
    <w:rsid w:val="005576B5"/>
    <w:rsid w:val="00557B4E"/>
    <w:rsid w:val="00557B92"/>
    <w:rsid w:val="00557BF1"/>
    <w:rsid w:val="00557F51"/>
    <w:rsid w:val="005601D2"/>
    <w:rsid w:val="005601F8"/>
    <w:rsid w:val="005602D3"/>
    <w:rsid w:val="00560575"/>
    <w:rsid w:val="005606A5"/>
    <w:rsid w:val="005609CB"/>
    <w:rsid w:val="00560C7B"/>
    <w:rsid w:val="00560D53"/>
    <w:rsid w:val="00560E52"/>
    <w:rsid w:val="00560ED5"/>
    <w:rsid w:val="00560F26"/>
    <w:rsid w:val="005613FD"/>
    <w:rsid w:val="0056151E"/>
    <w:rsid w:val="005615E7"/>
    <w:rsid w:val="00561934"/>
    <w:rsid w:val="00561C7A"/>
    <w:rsid w:val="00561D7A"/>
    <w:rsid w:val="00561DBB"/>
    <w:rsid w:val="00561EA8"/>
    <w:rsid w:val="0056203D"/>
    <w:rsid w:val="005620E2"/>
    <w:rsid w:val="0056225F"/>
    <w:rsid w:val="005625A4"/>
    <w:rsid w:val="005628A6"/>
    <w:rsid w:val="005629E3"/>
    <w:rsid w:val="00562D04"/>
    <w:rsid w:val="00562E30"/>
    <w:rsid w:val="00562FFA"/>
    <w:rsid w:val="00563043"/>
    <w:rsid w:val="005631A9"/>
    <w:rsid w:val="00563335"/>
    <w:rsid w:val="00563502"/>
    <w:rsid w:val="005636B6"/>
    <w:rsid w:val="00563B78"/>
    <w:rsid w:val="00563D45"/>
    <w:rsid w:val="00564514"/>
    <w:rsid w:val="00564592"/>
    <w:rsid w:val="0056466E"/>
    <w:rsid w:val="005646B8"/>
    <w:rsid w:val="005646B9"/>
    <w:rsid w:val="00564923"/>
    <w:rsid w:val="00564B2F"/>
    <w:rsid w:val="005650E7"/>
    <w:rsid w:val="005650EE"/>
    <w:rsid w:val="005651F9"/>
    <w:rsid w:val="00565C44"/>
    <w:rsid w:val="00565D44"/>
    <w:rsid w:val="00565EDD"/>
    <w:rsid w:val="005661C3"/>
    <w:rsid w:val="00566331"/>
    <w:rsid w:val="0056633E"/>
    <w:rsid w:val="00566715"/>
    <w:rsid w:val="00566895"/>
    <w:rsid w:val="00567517"/>
    <w:rsid w:val="00567702"/>
    <w:rsid w:val="00567821"/>
    <w:rsid w:val="00567A5A"/>
    <w:rsid w:val="00567AFD"/>
    <w:rsid w:val="00567BF0"/>
    <w:rsid w:val="00567C20"/>
    <w:rsid w:val="00567CC7"/>
    <w:rsid w:val="00567E1B"/>
    <w:rsid w:val="00570445"/>
    <w:rsid w:val="00570640"/>
    <w:rsid w:val="00571163"/>
    <w:rsid w:val="00571267"/>
    <w:rsid w:val="0057194A"/>
    <w:rsid w:val="00571C57"/>
    <w:rsid w:val="00571DA1"/>
    <w:rsid w:val="00572522"/>
    <w:rsid w:val="00572A9D"/>
    <w:rsid w:val="005735DE"/>
    <w:rsid w:val="00573B7E"/>
    <w:rsid w:val="005740D2"/>
    <w:rsid w:val="005743A7"/>
    <w:rsid w:val="0057443A"/>
    <w:rsid w:val="005744F6"/>
    <w:rsid w:val="005745B8"/>
    <w:rsid w:val="00574605"/>
    <w:rsid w:val="005746D0"/>
    <w:rsid w:val="005748D3"/>
    <w:rsid w:val="0057495B"/>
    <w:rsid w:val="00574A32"/>
    <w:rsid w:val="00574ADC"/>
    <w:rsid w:val="00574B2A"/>
    <w:rsid w:val="00574BF8"/>
    <w:rsid w:val="00574E64"/>
    <w:rsid w:val="005754D8"/>
    <w:rsid w:val="00575C61"/>
    <w:rsid w:val="00575CAE"/>
    <w:rsid w:val="00575E7C"/>
    <w:rsid w:val="00575EC9"/>
    <w:rsid w:val="00575EFE"/>
    <w:rsid w:val="005761C8"/>
    <w:rsid w:val="0057621D"/>
    <w:rsid w:val="00576702"/>
    <w:rsid w:val="00576A2F"/>
    <w:rsid w:val="00576C2E"/>
    <w:rsid w:val="00576C8F"/>
    <w:rsid w:val="00576D65"/>
    <w:rsid w:val="00577236"/>
    <w:rsid w:val="00577570"/>
    <w:rsid w:val="005775DE"/>
    <w:rsid w:val="005801C1"/>
    <w:rsid w:val="00580204"/>
    <w:rsid w:val="0058046C"/>
    <w:rsid w:val="005804C2"/>
    <w:rsid w:val="005804D8"/>
    <w:rsid w:val="0058059F"/>
    <w:rsid w:val="00580726"/>
    <w:rsid w:val="00580CB4"/>
    <w:rsid w:val="00581159"/>
    <w:rsid w:val="005811EC"/>
    <w:rsid w:val="005811F0"/>
    <w:rsid w:val="00581486"/>
    <w:rsid w:val="005814B7"/>
    <w:rsid w:val="00581514"/>
    <w:rsid w:val="005816F5"/>
    <w:rsid w:val="005819DD"/>
    <w:rsid w:val="00581A83"/>
    <w:rsid w:val="00581A87"/>
    <w:rsid w:val="00581B10"/>
    <w:rsid w:val="00581B20"/>
    <w:rsid w:val="00581B24"/>
    <w:rsid w:val="00581D41"/>
    <w:rsid w:val="00581FCA"/>
    <w:rsid w:val="005823ED"/>
    <w:rsid w:val="005824D2"/>
    <w:rsid w:val="00582613"/>
    <w:rsid w:val="0058272D"/>
    <w:rsid w:val="0058290E"/>
    <w:rsid w:val="0058294C"/>
    <w:rsid w:val="00582D39"/>
    <w:rsid w:val="00582FD0"/>
    <w:rsid w:val="005833DB"/>
    <w:rsid w:val="005834AA"/>
    <w:rsid w:val="00583537"/>
    <w:rsid w:val="00583965"/>
    <w:rsid w:val="00583B5F"/>
    <w:rsid w:val="00583BBA"/>
    <w:rsid w:val="00583DE0"/>
    <w:rsid w:val="00584196"/>
    <w:rsid w:val="00584479"/>
    <w:rsid w:val="005844B0"/>
    <w:rsid w:val="0058454B"/>
    <w:rsid w:val="0058455D"/>
    <w:rsid w:val="00584679"/>
    <w:rsid w:val="0058480B"/>
    <w:rsid w:val="00585173"/>
    <w:rsid w:val="00585712"/>
    <w:rsid w:val="0058611A"/>
    <w:rsid w:val="00586275"/>
    <w:rsid w:val="0058637B"/>
    <w:rsid w:val="0058637E"/>
    <w:rsid w:val="0058640F"/>
    <w:rsid w:val="00586AAD"/>
    <w:rsid w:val="00586E4A"/>
    <w:rsid w:val="0058726E"/>
    <w:rsid w:val="005877BA"/>
    <w:rsid w:val="00587B7F"/>
    <w:rsid w:val="00587E29"/>
    <w:rsid w:val="005901D1"/>
    <w:rsid w:val="00590290"/>
    <w:rsid w:val="005902E8"/>
    <w:rsid w:val="0059043C"/>
    <w:rsid w:val="00590652"/>
    <w:rsid w:val="00590688"/>
    <w:rsid w:val="00590933"/>
    <w:rsid w:val="00590956"/>
    <w:rsid w:val="00590FE7"/>
    <w:rsid w:val="00591171"/>
    <w:rsid w:val="00591206"/>
    <w:rsid w:val="005913CD"/>
    <w:rsid w:val="0059199C"/>
    <w:rsid w:val="00591A6D"/>
    <w:rsid w:val="00591DEF"/>
    <w:rsid w:val="0059219E"/>
    <w:rsid w:val="005921CE"/>
    <w:rsid w:val="005929F3"/>
    <w:rsid w:val="005929FA"/>
    <w:rsid w:val="00592D90"/>
    <w:rsid w:val="00592FEF"/>
    <w:rsid w:val="00593045"/>
    <w:rsid w:val="005930A4"/>
    <w:rsid w:val="0059316B"/>
    <w:rsid w:val="005932AF"/>
    <w:rsid w:val="00593423"/>
    <w:rsid w:val="0059381D"/>
    <w:rsid w:val="00593BA7"/>
    <w:rsid w:val="0059403E"/>
    <w:rsid w:val="0059423C"/>
    <w:rsid w:val="00594A22"/>
    <w:rsid w:val="00594BC6"/>
    <w:rsid w:val="00594F35"/>
    <w:rsid w:val="00595003"/>
    <w:rsid w:val="005953B5"/>
    <w:rsid w:val="005954A2"/>
    <w:rsid w:val="0059565E"/>
    <w:rsid w:val="0059574B"/>
    <w:rsid w:val="0059576F"/>
    <w:rsid w:val="00595BC6"/>
    <w:rsid w:val="00595CD5"/>
    <w:rsid w:val="00595D26"/>
    <w:rsid w:val="00595F84"/>
    <w:rsid w:val="00596058"/>
    <w:rsid w:val="0059665E"/>
    <w:rsid w:val="00596ADE"/>
    <w:rsid w:val="00596B74"/>
    <w:rsid w:val="005970F9"/>
    <w:rsid w:val="0059710C"/>
    <w:rsid w:val="005972B0"/>
    <w:rsid w:val="0059751A"/>
    <w:rsid w:val="00597766"/>
    <w:rsid w:val="00597DFA"/>
    <w:rsid w:val="005A0180"/>
    <w:rsid w:val="005A0546"/>
    <w:rsid w:val="005A0630"/>
    <w:rsid w:val="005A064F"/>
    <w:rsid w:val="005A0A74"/>
    <w:rsid w:val="005A0FDB"/>
    <w:rsid w:val="005A11A8"/>
    <w:rsid w:val="005A1230"/>
    <w:rsid w:val="005A125C"/>
    <w:rsid w:val="005A158B"/>
    <w:rsid w:val="005A185E"/>
    <w:rsid w:val="005A1874"/>
    <w:rsid w:val="005A1CE5"/>
    <w:rsid w:val="005A20E0"/>
    <w:rsid w:val="005A21FB"/>
    <w:rsid w:val="005A23F5"/>
    <w:rsid w:val="005A2494"/>
    <w:rsid w:val="005A24FB"/>
    <w:rsid w:val="005A2610"/>
    <w:rsid w:val="005A261B"/>
    <w:rsid w:val="005A2B76"/>
    <w:rsid w:val="005A2E15"/>
    <w:rsid w:val="005A30B5"/>
    <w:rsid w:val="005A3150"/>
    <w:rsid w:val="005A3C5D"/>
    <w:rsid w:val="005A40BB"/>
    <w:rsid w:val="005A4149"/>
    <w:rsid w:val="005A41F5"/>
    <w:rsid w:val="005A436F"/>
    <w:rsid w:val="005A4664"/>
    <w:rsid w:val="005A4882"/>
    <w:rsid w:val="005A4A11"/>
    <w:rsid w:val="005A4C74"/>
    <w:rsid w:val="005A4CA3"/>
    <w:rsid w:val="005A5594"/>
    <w:rsid w:val="005A5831"/>
    <w:rsid w:val="005A58AF"/>
    <w:rsid w:val="005A5E6D"/>
    <w:rsid w:val="005A5EC8"/>
    <w:rsid w:val="005A5FDC"/>
    <w:rsid w:val="005A60F5"/>
    <w:rsid w:val="005A6353"/>
    <w:rsid w:val="005A6CF7"/>
    <w:rsid w:val="005A6FF0"/>
    <w:rsid w:val="005A72AE"/>
    <w:rsid w:val="005A75F5"/>
    <w:rsid w:val="005A77EA"/>
    <w:rsid w:val="005A7F8F"/>
    <w:rsid w:val="005B0162"/>
    <w:rsid w:val="005B05F0"/>
    <w:rsid w:val="005B07E0"/>
    <w:rsid w:val="005B0896"/>
    <w:rsid w:val="005B0CA0"/>
    <w:rsid w:val="005B154C"/>
    <w:rsid w:val="005B16C7"/>
    <w:rsid w:val="005B19FE"/>
    <w:rsid w:val="005B1E65"/>
    <w:rsid w:val="005B20D8"/>
    <w:rsid w:val="005B212A"/>
    <w:rsid w:val="005B2238"/>
    <w:rsid w:val="005B2274"/>
    <w:rsid w:val="005B2281"/>
    <w:rsid w:val="005B24E9"/>
    <w:rsid w:val="005B298D"/>
    <w:rsid w:val="005B2A33"/>
    <w:rsid w:val="005B3045"/>
    <w:rsid w:val="005B3496"/>
    <w:rsid w:val="005B34BE"/>
    <w:rsid w:val="005B35CA"/>
    <w:rsid w:val="005B3646"/>
    <w:rsid w:val="005B3765"/>
    <w:rsid w:val="005B3826"/>
    <w:rsid w:val="005B3957"/>
    <w:rsid w:val="005B3CEF"/>
    <w:rsid w:val="005B3EAF"/>
    <w:rsid w:val="005B3FB2"/>
    <w:rsid w:val="005B43AD"/>
    <w:rsid w:val="005B4490"/>
    <w:rsid w:val="005B4507"/>
    <w:rsid w:val="005B475B"/>
    <w:rsid w:val="005B4B03"/>
    <w:rsid w:val="005B5077"/>
    <w:rsid w:val="005B50E0"/>
    <w:rsid w:val="005B5346"/>
    <w:rsid w:val="005B591C"/>
    <w:rsid w:val="005B5932"/>
    <w:rsid w:val="005B5B40"/>
    <w:rsid w:val="005B6168"/>
    <w:rsid w:val="005B6270"/>
    <w:rsid w:val="005B673A"/>
    <w:rsid w:val="005B7205"/>
    <w:rsid w:val="005B740F"/>
    <w:rsid w:val="005B77F9"/>
    <w:rsid w:val="005B7A48"/>
    <w:rsid w:val="005B7AA4"/>
    <w:rsid w:val="005B7C71"/>
    <w:rsid w:val="005B7E47"/>
    <w:rsid w:val="005B7F26"/>
    <w:rsid w:val="005C00C0"/>
    <w:rsid w:val="005C037C"/>
    <w:rsid w:val="005C03B3"/>
    <w:rsid w:val="005C03BF"/>
    <w:rsid w:val="005C061E"/>
    <w:rsid w:val="005C0874"/>
    <w:rsid w:val="005C0949"/>
    <w:rsid w:val="005C099D"/>
    <w:rsid w:val="005C0BE1"/>
    <w:rsid w:val="005C0C30"/>
    <w:rsid w:val="005C0D82"/>
    <w:rsid w:val="005C0FCF"/>
    <w:rsid w:val="005C0FD7"/>
    <w:rsid w:val="005C128E"/>
    <w:rsid w:val="005C166A"/>
    <w:rsid w:val="005C19AE"/>
    <w:rsid w:val="005C1DF3"/>
    <w:rsid w:val="005C20A8"/>
    <w:rsid w:val="005C224B"/>
    <w:rsid w:val="005C22E0"/>
    <w:rsid w:val="005C25AA"/>
    <w:rsid w:val="005C2E75"/>
    <w:rsid w:val="005C2FB0"/>
    <w:rsid w:val="005C33B3"/>
    <w:rsid w:val="005C36D0"/>
    <w:rsid w:val="005C36E7"/>
    <w:rsid w:val="005C3A89"/>
    <w:rsid w:val="005C3BCA"/>
    <w:rsid w:val="005C3BDC"/>
    <w:rsid w:val="005C3E17"/>
    <w:rsid w:val="005C40F3"/>
    <w:rsid w:val="005C4181"/>
    <w:rsid w:val="005C44A6"/>
    <w:rsid w:val="005C45FA"/>
    <w:rsid w:val="005C4640"/>
    <w:rsid w:val="005C4ED5"/>
    <w:rsid w:val="005C4FB8"/>
    <w:rsid w:val="005C5030"/>
    <w:rsid w:val="005C512F"/>
    <w:rsid w:val="005C5316"/>
    <w:rsid w:val="005C5428"/>
    <w:rsid w:val="005C5790"/>
    <w:rsid w:val="005C58DD"/>
    <w:rsid w:val="005C5B12"/>
    <w:rsid w:val="005C5CD0"/>
    <w:rsid w:val="005C6209"/>
    <w:rsid w:val="005C658C"/>
    <w:rsid w:val="005C6ABA"/>
    <w:rsid w:val="005C6B9A"/>
    <w:rsid w:val="005C6FE5"/>
    <w:rsid w:val="005C7121"/>
    <w:rsid w:val="005C7342"/>
    <w:rsid w:val="005C7403"/>
    <w:rsid w:val="005C7913"/>
    <w:rsid w:val="005C7ADE"/>
    <w:rsid w:val="005C7BDA"/>
    <w:rsid w:val="005C7FAB"/>
    <w:rsid w:val="005C7FEF"/>
    <w:rsid w:val="005D0050"/>
    <w:rsid w:val="005D00A2"/>
    <w:rsid w:val="005D0247"/>
    <w:rsid w:val="005D063E"/>
    <w:rsid w:val="005D0701"/>
    <w:rsid w:val="005D0795"/>
    <w:rsid w:val="005D08D2"/>
    <w:rsid w:val="005D0A84"/>
    <w:rsid w:val="005D0B1E"/>
    <w:rsid w:val="005D0E80"/>
    <w:rsid w:val="005D1473"/>
    <w:rsid w:val="005D191A"/>
    <w:rsid w:val="005D1C85"/>
    <w:rsid w:val="005D1DC2"/>
    <w:rsid w:val="005D1DF1"/>
    <w:rsid w:val="005D1E74"/>
    <w:rsid w:val="005D2375"/>
    <w:rsid w:val="005D286D"/>
    <w:rsid w:val="005D28B5"/>
    <w:rsid w:val="005D29DE"/>
    <w:rsid w:val="005D29F7"/>
    <w:rsid w:val="005D2B1A"/>
    <w:rsid w:val="005D2B8A"/>
    <w:rsid w:val="005D2CCB"/>
    <w:rsid w:val="005D3738"/>
    <w:rsid w:val="005D3AAC"/>
    <w:rsid w:val="005D3D7D"/>
    <w:rsid w:val="005D3E2C"/>
    <w:rsid w:val="005D3F74"/>
    <w:rsid w:val="005D4209"/>
    <w:rsid w:val="005D42C9"/>
    <w:rsid w:val="005D4640"/>
    <w:rsid w:val="005D475E"/>
    <w:rsid w:val="005D4C0A"/>
    <w:rsid w:val="005D50E8"/>
    <w:rsid w:val="005D5491"/>
    <w:rsid w:val="005D54E7"/>
    <w:rsid w:val="005D555A"/>
    <w:rsid w:val="005D5830"/>
    <w:rsid w:val="005D5AB7"/>
    <w:rsid w:val="005D5C54"/>
    <w:rsid w:val="005D5DED"/>
    <w:rsid w:val="005D5E96"/>
    <w:rsid w:val="005D5E9E"/>
    <w:rsid w:val="005D6143"/>
    <w:rsid w:val="005D65DC"/>
    <w:rsid w:val="005D6696"/>
    <w:rsid w:val="005D6B7D"/>
    <w:rsid w:val="005D6D86"/>
    <w:rsid w:val="005D6F02"/>
    <w:rsid w:val="005D71E8"/>
    <w:rsid w:val="005D7223"/>
    <w:rsid w:val="005D7319"/>
    <w:rsid w:val="005D745A"/>
    <w:rsid w:val="005D7636"/>
    <w:rsid w:val="005D772D"/>
    <w:rsid w:val="005D7835"/>
    <w:rsid w:val="005D7C36"/>
    <w:rsid w:val="005D7E75"/>
    <w:rsid w:val="005E070F"/>
    <w:rsid w:val="005E07E6"/>
    <w:rsid w:val="005E089E"/>
    <w:rsid w:val="005E08F5"/>
    <w:rsid w:val="005E094B"/>
    <w:rsid w:val="005E09DB"/>
    <w:rsid w:val="005E0A21"/>
    <w:rsid w:val="005E0D4E"/>
    <w:rsid w:val="005E1431"/>
    <w:rsid w:val="005E198E"/>
    <w:rsid w:val="005E1A24"/>
    <w:rsid w:val="005E1DA2"/>
    <w:rsid w:val="005E1F83"/>
    <w:rsid w:val="005E20FE"/>
    <w:rsid w:val="005E235E"/>
    <w:rsid w:val="005E2941"/>
    <w:rsid w:val="005E2C0A"/>
    <w:rsid w:val="005E2C23"/>
    <w:rsid w:val="005E2C47"/>
    <w:rsid w:val="005E2F4E"/>
    <w:rsid w:val="005E31E5"/>
    <w:rsid w:val="005E3682"/>
    <w:rsid w:val="005E38DA"/>
    <w:rsid w:val="005E3C35"/>
    <w:rsid w:val="005E3C56"/>
    <w:rsid w:val="005E3CC8"/>
    <w:rsid w:val="005E3CEE"/>
    <w:rsid w:val="005E3EF7"/>
    <w:rsid w:val="005E3F0C"/>
    <w:rsid w:val="005E4190"/>
    <w:rsid w:val="005E46D4"/>
    <w:rsid w:val="005E4862"/>
    <w:rsid w:val="005E48E4"/>
    <w:rsid w:val="005E5176"/>
    <w:rsid w:val="005E5A62"/>
    <w:rsid w:val="005E5AD7"/>
    <w:rsid w:val="005E5CA8"/>
    <w:rsid w:val="005E5F54"/>
    <w:rsid w:val="005E5FA6"/>
    <w:rsid w:val="005E5FCF"/>
    <w:rsid w:val="005E60E7"/>
    <w:rsid w:val="005E6181"/>
    <w:rsid w:val="005E6DAB"/>
    <w:rsid w:val="005E6F5A"/>
    <w:rsid w:val="005E7176"/>
    <w:rsid w:val="005E72AA"/>
    <w:rsid w:val="005E735E"/>
    <w:rsid w:val="005E745F"/>
    <w:rsid w:val="005E74B6"/>
    <w:rsid w:val="005E7548"/>
    <w:rsid w:val="005E75DD"/>
    <w:rsid w:val="005E78A5"/>
    <w:rsid w:val="005E7A41"/>
    <w:rsid w:val="005E7C44"/>
    <w:rsid w:val="005E7DE8"/>
    <w:rsid w:val="005F0235"/>
    <w:rsid w:val="005F0A12"/>
    <w:rsid w:val="005F14D4"/>
    <w:rsid w:val="005F1676"/>
    <w:rsid w:val="005F1891"/>
    <w:rsid w:val="005F21E7"/>
    <w:rsid w:val="005F2368"/>
    <w:rsid w:val="005F2661"/>
    <w:rsid w:val="005F26F8"/>
    <w:rsid w:val="005F29B1"/>
    <w:rsid w:val="005F2A85"/>
    <w:rsid w:val="005F2B1C"/>
    <w:rsid w:val="005F2B37"/>
    <w:rsid w:val="005F2C64"/>
    <w:rsid w:val="005F3012"/>
    <w:rsid w:val="005F35E7"/>
    <w:rsid w:val="005F36B6"/>
    <w:rsid w:val="005F3BBE"/>
    <w:rsid w:val="005F3DFF"/>
    <w:rsid w:val="005F4029"/>
    <w:rsid w:val="005F4198"/>
    <w:rsid w:val="005F48CC"/>
    <w:rsid w:val="005F48FA"/>
    <w:rsid w:val="005F4954"/>
    <w:rsid w:val="005F4A40"/>
    <w:rsid w:val="005F4AE6"/>
    <w:rsid w:val="005F4CC5"/>
    <w:rsid w:val="005F4E96"/>
    <w:rsid w:val="005F511F"/>
    <w:rsid w:val="005F53FF"/>
    <w:rsid w:val="005F543E"/>
    <w:rsid w:val="005F5963"/>
    <w:rsid w:val="005F5F9E"/>
    <w:rsid w:val="005F603D"/>
    <w:rsid w:val="005F624D"/>
    <w:rsid w:val="005F6753"/>
    <w:rsid w:val="005F6999"/>
    <w:rsid w:val="005F6AE2"/>
    <w:rsid w:val="005F6C75"/>
    <w:rsid w:val="005F715D"/>
    <w:rsid w:val="005F71F6"/>
    <w:rsid w:val="005F753A"/>
    <w:rsid w:val="005F77C1"/>
    <w:rsid w:val="005F7A6D"/>
    <w:rsid w:val="005F7C44"/>
    <w:rsid w:val="005F7FD8"/>
    <w:rsid w:val="0060006A"/>
    <w:rsid w:val="006000EE"/>
    <w:rsid w:val="00600243"/>
    <w:rsid w:val="0060025E"/>
    <w:rsid w:val="006002D6"/>
    <w:rsid w:val="00600E3B"/>
    <w:rsid w:val="00600F8C"/>
    <w:rsid w:val="006013CB"/>
    <w:rsid w:val="006014F2"/>
    <w:rsid w:val="0060156F"/>
    <w:rsid w:val="00601A76"/>
    <w:rsid w:val="00601B38"/>
    <w:rsid w:val="00601E28"/>
    <w:rsid w:val="00601F13"/>
    <w:rsid w:val="006022EE"/>
    <w:rsid w:val="00602520"/>
    <w:rsid w:val="006035BC"/>
    <w:rsid w:val="00603EF9"/>
    <w:rsid w:val="00603FA4"/>
    <w:rsid w:val="00604026"/>
    <w:rsid w:val="006040D2"/>
    <w:rsid w:val="006041B0"/>
    <w:rsid w:val="006048CF"/>
    <w:rsid w:val="00604AA8"/>
    <w:rsid w:val="00605330"/>
    <w:rsid w:val="00605669"/>
    <w:rsid w:val="00605949"/>
    <w:rsid w:val="00605A2E"/>
    <w:rsid w:val="00605DC2"/>
    <w:rsid w:val="00605ECD"/>
    <w:rsid w:val="00606673"/>
    <w:rsid w:val="00606753"/>
    <w:rsid w:val="00606847"/>
    <w:rsid w:val="00606927"/>
    <w:rsid w:val="00606ADE"/>
    <w:rsid w:val="00606B23"/>
    <w:rsid w:val="00607623"/>
    <w:rsid w:val="00607808"/>
    <w:rsid w:val="00607821"/>
    <w:rsid w:val="00607947"/>
    <w:rsid w:val="00607D01"/>
    <w:rsid w:val="00607F44"/>
    <w:rsid w:val="006100ED"/>
    <w:rsid w:val="006100F8"/>
    <w:rsid w:val="00610286"/>
    <w:rsid w:val="00610313"/>
    <w:rsid w:val="00610901"/>
    <w:rsid w:val="00610D9C"/>
    <w:rsid w:val="0061102C"/>
    <w:rsid w:val="00611235"/>
    <w:rsid w:val="0061169D"/>
    <w:rsid w:val="00611702"/>
    <w:rsid w:val="00611A48"/>
    <w:rsid w:val="0061234A"/>
    <w:rsid w:val="0061237F"/>
    <w:rsid w:val="006123B4"/>
    <w:rsid w:val="00612760"/>
    <w:rsid w:val="0061282A"/>
    <w:rsid w:val="00612A52"/>
    <w:rsid w:val="00612D78"/>
    <w:rsid w:val="00613152"/>
    <w:rsid w:val="006134AF"/>
    <w:rsid w:val="0061371B"/>
    <w:rsid w:val="00613B59"/>
    <w:rsid w:val="00613CDB"/>
    <w:rsid w:val="00613FDD"/>
    <w:rsid w:val="00614001"/>
    <w:rsid w:val="00614320"/>
    <w:rsid w:val="006143D1"/>
    <w:rsid w:val="0061447B"/>
    <w:rsid w:val="006145F1"/>
    <w:rsid w:val="006146E5"/>
    <w:rsid w:val="0061485E"/>
    <w:rsid w:val="006148A6"/>
    <w:rsid w:val="00614AE2"/>
    <w:rsid w:val="00614B96"/>
    <w:rsid w:val="00614E15"/>
    <w:rsid w:val="00614F5F"/>
    <w:rsid w:val="006151D6"/>
    <w:rsid w:val="006151FE"/>
    <w:rsid w:val="006156BA"/>
    <w:rsid w:val="00615A79"/>
    <w:rsid w:val="00615AC2"/>
    <w:rsid w:val="00615C8C"/>
    <w:rsid w:val="00615CBB"/>
    <w:rsid w:val="00615DA8"/>
    <w:rsid w:val="006164DC"/>
    <w:rsid w:val="00616545"/>
    <w:rsid w:val="00616D42"/>
    <w:rsid w:val="00616E9B"/>
    <w:rsid w:val="00617212"/>
    <w:rsid w:val="00617399"/>
    <w:rsid w:val="00617471"/>
    <w:rsid w:val="006177D1"/>
    <w:rsid w:val="00617E6D"/>
    <w:rsid w:val="00617EA4"/>
    <w:rsid w:val="006201AA"/>
    <w:rsid w:val="00620316"/>
    <w:rsid w:val="00620518"/>
    <w:rsid w:val="0062060A"/>
    <w:rsid w:val="00620681"/>
    <w:rsid w:val="00620A23"/>
    <w:rsid w:val="00620AF2"/>
    <w:rsid w:val="00620E19"/>
    <w:rsid w:val="00620E3B"/>
    <w:rsid w:val="00620E93"/>
    <w:rsid w:val="00620FF3"/>
    <w:rsid w:val="00621047"/>
    <w:rsid w:val="00621094"/>
    <w:rsid w:val="006210E3"/>
    <w:rsid w:val="00621262"/>
    <w:rsid w:val="0062126F"/>
    <w:rsid w:val="00621472"/>
    <w:rsid w:val="006214A4"/>
    <w:rsid w:val="0062153C"/>
    <w:rsid w:val="006216C7"/>
    <w:rsid w:val="00621761"/>
    <w:rsid w:val="006217EA"/>
    <w:rsid w:val="00621855"/>
    <w:rsid w:val="00622077"/>
    <w:rsid w:val="006221DA"/>
    <w:rsid w:val="006225D8"/>
    <w:rsid w:val="00622770"/>
    <w:rsid w:val="00622834"/>
    <w:rsid w:val="00622C0A"/>
    <w:rsid w:val="00622C0F"/>
    <w:rsid w:val="00622CDA"/>
    <w:rsid w:val="00622CE3"/>
    <w:rsid w:val="006231DE"/>
    <w:rsid w:val="006233F7"/>
    <w:rsid w:val="00623949"/>
    <w:rsid w:val="00623D58"/>
    <w:rsid w:val="00623E28"/>
    <w:rsid w:val="0062408A"/>
    <w:rsid w:val="006240C6"/>
    <w:rsid w:val="0062448A"/>
    <w:rsid w:val="0062461F"/>
    <w:rsid w:val="0062465B"/>
    <w:rsid w:val="00624871"/>
    <w:rsid w:val="00624893"/>
    <w:rsid w:val="006248B8"/>
    <w:rsid w:val="00624A07"/>
    <w:rsid w:val="00624E25"/>
    <w:rsid w:val="00624EFA"/>
    <w:rsid w:val="00624F89"/>
    <w:rsid w:val="00625480"/>
    <w:rsid w:val="00625B4D"/>
    <w:rsid w:val="00625D6C"/>
    <w:rsid w:val="00625FF5"/>
    <w:rsid w:val="00626478"/>
    <w:rsid w:val="006266CF"/>
    <w:rsid w:val="006267D5"/>
    <w:rsid w:val="0062681A"/>
    <w:rsid w:val="00626FE2"/>
    <w:rsid w:val="00627389"/>
    <w:rsid w:val="006274B7"/>
    <w:rsid w:val="006274EF"/>
    <w:rsid w:val="006276E8"/>
    <w:rsid w:val="006276EB"/>
    <w:rsid w:val="00627723"/>
    <w:rsid w:val="006279BA"/>
    <w:rsid w:val="00627B1D"/>
    <w:rsid w:val="006303E6"/>
    <w:rsid w:val="00630828"/>
    <w:rsid w:val="00630910"/>
    <w:rsid w:val="00630A98"/>
    <w:rsid w:val="006313BF"/>
    <w:rsid w:val="00631635"/>
    <w:rsid w:val="006317FF"/>
    <w:rsid w:val="00632596"/>
    <w:rsid w:val="006326E1"/>
    <w:rsid w:val="006328D5"/>
    <w:rsid w:val="00633145"/>
    <w:rsid w:val="00633347"/>
    <w:rsid w:val="006339FB"/>
    <w:rsid w:val="00633A1B"/>
    <w:rsid w:val="00633AF5"/>
    <w:rsid w:val="00633B81"/>
    <w:rsid w:val="00633CA5"/>
    <w:rsid w:val="006342E4"/>
    <w:rsid w:val="00634579"/>
    <w:rsid w:val="00634807"/>
    <w:rsid w:val="00634B24"/>
    <w:rsid w:val="0063535F"/>
    <w:rsid w:val="0063549B"/>
    <w:rsid w:val="00635867"/>
    <w:rsid w:val="00635D36"/>
    <w:rsid w:val="00635EEE"/>
    <w:rsid w:val="0063625A"/>
    <w:rsid w:val="006364FC"/>
    <w:rsid w:val="00636692"/>
    <w:rsid w:val="00636883"/>
    <w:rsid w:val="00636957"/>
    <w:rsid w:val="006369DE"/>
    <w:rsid w:val="00636ACB"/>
    <w:rsid w:val="00636BE5"/>
    <w:rsid w:val="00636C23"/>
    <w:rsid w:val="00636C4E"/>
    <w:rsid w:val="00636CBE"/>
    <w:rsid w:val="00636CE6"/>
    <w:rsid w:val="00636DA5"/>
    <w:rsid w:val="00636FF4"/>
    <w:rsid w:val="00637264"/>
    <w:rsid w:val="00637324"/>
    <w:rsid w:val="00637678"/>
    <w:rsid w:val="00637704"/>
    <w:rsid w:val="0063777D"/>
    <w:rsid w:val="00637886"/>
    <w:rsid w:val="006378AE"/>
    <w:rsid w:val="00637A18"/>
    <w:rsid w:val="00637FA7"/>
    <w:rsid w:val="006406F9"/>
    <w:rsid w:val="006409EC"/>
    <w:rsid w:val="00640C27"/>
    <w:rsid w:val="00640EF1"/>
    <w:rsid w:val="00640F7E"/>
    <w:rsid w:val="006412F2"/>
    <w:rsid w:val="0064162F"/>
    <w:rsid w:val="006416EA"/>
    <w:rsid w:val="00641792"/>
    <w:rsid w:val="006418BC"/>
    <w:rsid w:val="00641A7B"/>
    <w:rsid w:val="00641BEC"/>
    <w:rsid w:val="00641D34"/>
    <w:rsid w:val="00641EE6"/>
    <w:rsid w:val="00641F14"/>
    <w:rsid w:val="006424E8"/>
    <w:rsid w:val="00642604"/>
    <w:rsid w:val="0064262C"/>
    <w:rsid w:val="00642641"/>
    <w:rsid w:val="006429E1"/>
    <w:rsid w:val="00642AFB"/>
    <w:rsid w:val="00642BBA"/>
    <w:rsid w:val="00642D76"/>
    <w:rsid w:val="00643053"/>
    <w:rsid w:val="00643301"/>
    <w:rsid w:val="00643CFD"/>
    <w:rsid w:val="00643DB4"/>
    <w:rsid w:val="00643F0E"/>
    <w:rsid w:val="00643FC7"/>
    <w:rsid w:val="00644099"/>
    <w:rsid w:val="0064449D"/>
    <w:rsid w:val="0064476C"/>
    <w:rsid w:val="0064486F"/>
    <w:rsid w:val="00644A81"/>
    <w:rsid w:val="00644B62"/>
    <w:rsid w:val="00645479"/>
    <w:rsid w:val="00645504"/>
    <w:rsid w:val="006455AE"/>
    <w:rsid w:val="006458F9"/>
    <w:rsid w:val="00645D51"/>
    <w:rsid w:val="00645E86"/>
    <w:rsid w:val="00645FA6"/>
    <w:rsid w:val="00646046"/>
    <w:rsid w:val="00646110"/>
    <w:rsid w:val="006463B9"/>
    <w:rsid w:val="006468F6"/>
    <w:rsid w:val="00646ED9"/>
    <w:rsid w:val="00646F34"/>
    <w:rsid w:val="0064724E"/>
    <w:rsid w:val="006473EB"/>
    <w:rsid w:val="00647A0E"/>
    <w:rsid w:val="00647B95"/>
    <w:rsid w:val="00647CF3"/>
    <w:rsid w:val="00647D38"/>
    <w:rsid w:val="00647E3C"/>
    <w:rsid w:val="00647EB8"/>
    <w:rsid w:val="00647EB9"/>
    <w:rsid w:val="00647F16"/>
    <w:rsid w:val="00650257"/>
    <w:rsid w:val="006502F3"/>
    <w:rsid w:val="006506EA"/>
    <w:rsid w:val="00650769"/>
    <w:rsid w:val="00650BDA"/>
    <w:rsid w:val="0065112E"/>
    <w:rsid w:val="006513B3"/>
    <w:rsid w:val="00651618"/>
    <w:rsid w:val="006516C3"/>
    <w:rsid w:val="006518EE"/>
    <w:rsid w:val="00651AFD"/>
    <w:rsid w:val="00651CEE"/>
    <w:rsid w:val="006520BA"/>
    <w:rsid w:val="00652566"/>
    <w:rsid w:val="006526D6"/>
    <w:rsid w:val="00652E9C"/>
    <w:rsid w:val="006533C0"/>
    <w:rsid w:val="0065344D"/>
    <w:rsid w:val="006539BC"/>
    <w:rsid w:val="00653E00"/>
    <w:rsid w:val="00653FA8"/>
    <w:rsid w:val="0065424F"/>
    <w:rsid w:val="0065452C"/>
    <w:rsid w:val="00654927"/>
    <w:rsid w:val="00654AAE"/>
    <w:rsid w:val="00654AC4"/>
    <w:rsid w:val="00654B0B"/>
    <w:rsid w:val="00654B30"/>
    <w:rsid w:val="00654BC0"/>
    <w:rsid w:val="00654C78"/>
    <w:rsid w:val="006550CC"/>
    <w:rsid w:val="006551C4"/>
    <w:rsid w:val="0065532A"/>
    <w:rsid w:val="006553AD"/>
    <w:rsid w:val="006553E2"/>
    <w:rsid w:val="006553EE"/>
    <w:rsid w:val="006557C2"/>
    <w:rsid w:val="006558A4"/>
    <w:rsid w:val="006558C7"/>
    <w:rsid w:val="00655C2E"/>
    <w:rsid w:val="00655CC9"/>
    <w:rsid w:val="00655D0C"/>
    <w:rsid w:val="00656561"/>
    <w:rsid w:val="00656659"/>
    <w:rsid w:val="00656A0A"/>
    <w:rsid w:val="00656C5F"/>
    <w:rsid w:val="00656DC8"/>
    <w:rsid w:val="006577DA"/>
    <w:rsid w:val="00657B36"/>
    <w:rsid w:val="00657BBD"/>
    <w:rsid w:val="00657DB6"/>
    <w:rsid w:val="006603D1"/>
    <w:rsid w:val="00660454"/>
    <w:rsid w:val="006606AA"/>
    <w:rsid w:val="00660727"/>
    <w:rsid w:val="006607C9"/>
    <w:rsid w:val="006608B8"/>
    <w:rsid w:val="006608CF"/>
    <w:rsid w:val="00660AF9"/>
    <w:rsid w:val="00661261"/>
    <w:rsid w:val="006612DE"/>
    <w:rsid w:val="00661579"/>
    <w:rsid w:val="00661581"/>
    <w:rsid w:val="0066168F"/>
    <w:rsid w:val="006619FD"/>
    <w:rsid w:val="00661AE8"/>
    <w:rsid w:val="00661D1C"/>
    <w:rsid w:val="00661DE7"/>
    <w:rsid w:val="00661E80"/>
    <w:rsid w:val="00661EAC"/>
    <w:rsid w:val="00661FB0"/>
    <w:rsid w:val="0066214B"/>
    <w:rsid w:val="00662166"/>
    <w:rsid w:val="0066227F"/>
    <w:rsid w:val="006622FB"/>
    <w:rsid w:val="00662489"/>
    <w:rsid w:val="006626E4"/>
    <w:rsid w:val="00662A3B"/>
    <w:rsid w:val="00662A53"/>
    <w:rsid w:val="00662BB8"/>
    <w:rsid w:val="00662C97"/>
    <w:rsid w:val="00663116"/>
    <w:rsid w:val="006633AA"/>
    <w:rsid w:val="00663477"/>
    <w:rsid w:val="00663F97"/>
    <w:rsid w:val="0066407A"/>
    <w:rsid w:val="0066456D"/>
    <w:rsid w:val="00664948"/>
    <w:rsid w:val="00664A0C"/>
    <w:rsid w:val="00664E49"/>
    <w:rsid w:val="00664FD1"/>
    <w:rsid w:val="006650A6"/>
    <w:rsid w:val="00665179"/>
    <w:rsid w:val="0066526D"/>
    <w:rsid w:val="006657A0"/>
    <w:rsid w:val="00665AD0"/>
    <w:rsid w:val="00665C2A"/>
    <w:rsid w:val="00665DBB"/>
    <w:rsid w:val="00665E8C"/>
    <w:rsid w:val="00665F71"/>
    <w:rsid w:val="00666286"/>
    <w:rsid w:val="0066661C"/>
    <w:rsid w:val="00666777"/>
    <w:rsid w:val="00666F9E"/>
    <w:rsid w:val="00667482"/>
    <w:rsid w:val="006674B4"/>
    <w:rsid w:val="006677FE"/>
    <w:rsid w:val="00667BA7"/>
    <w:rsid w:val="00667FB8"/>
    <w:rsid w:val="0067002D"/>
    <w:rsid w:val="006702A7"/>
    <w:rsid w:val="006705BD"/>
    <w:rsid w:val="00670779"/>
    <w:rsid w:val="006712B5"/>
    <w:rsid w:val="00671824"/>
    <w:rsid w:val="0067196B"/>
    <w:rsid w:val="00671A4F"/>
    <w:rsid w:val="00671DD2"/>
    <w:rsid w:val="00672186"/>
    <w:rsid w:val="006722B0"/>
    <w:rsid w:val="00672447"/>
    <w:rsid w:val="006728A6"/>
    <w:rsid w:val="00672A82"/>
    <w:rsid w:val="00672BDE"/>
    <w:rsid w:val="00672D16"/>
    <w:rsid w:val="00672E32"/>
    <w:rsid w:val="00673001"/>
    <w:rsid w:val="006731CA"/>
    <w:rsid w:val="006732C6"/>
    <w:rsid w:val="006734CD"/>
    <w:rsid w:val="0067378A"/>
    <w:rsid w:val="00673931"/>
    <w:rsid w:val="00673C6B"/>
    <w:rsid w:val="00673CA8"/>
    <w:rsid w:val="00673D2B"/>
    <w:rsid w:val="00673D3B"/>
    <w:rsid w:val="0067412B"/>
    <w:rsid w:val="006743F5"/>
    <w:rsid w:val="006744CC"/>
    <w:rsid w:val="00674589"/>
    <w:rsid w:val="006746EF"/>
    <w:rsid w:val="006749A8"/>
    <w:rsid w:val="00674C00"/>
    <w:rsid w:val="00674C10"/>
    <w:rsid w:val="006750DB"/>
    <w:rsid w:val="00675324"/>
    <w:rsid w:val="006755E5"/>
    <w:rsid w:val="0067565F"/>
    <w:rsid w:val="00675BBB"/>
    <w:rsid w:val="00675F14"/>
    <w:rsid w:val="00675FAA"/>
    <w:rsid w:val="006760BC"/>
    <w:rsid w:val="006764C2"/>
    <w:rsid w:val="0067660A"/>
    <w:rsid w:val="00676774"/>
    <w:rsid w:val="00676860"/>
    <w:rsid w:val="00676B3F"/>
    <w:rsid w:val="00676EF9"/>
    <w:rsid w:val="006772BE"/>
    <w:rsid w:val="006773C1"/>
    <w:rsid w:val="006773E1"/>
    <w:rsid w:val="0067745C"/>
    <w:rsid w:val="0067766E"/>
    <w:rsid w:val="00677E78"/>
    <w:rsid w:val="00680062"/>
    <w:rsid w:val="0068028A"/>
    <w:rsid w:val="006805A8"/>
    <w:rsid w:val="006808BB"/>
    <w:rsid w:val="00680AC0"/>
    <w:rsid w:val="00680F09"/>
    <w:rsid w:val="00681570"/>
    <w:rsid w:val="006815E7"/>
    <w:rsid w:val="00681E2D"/>
    <w:rsid w:val="00681EB5"/>
    <w:rsid w:val="00681F4C"/>
    <w:rsid w:val="00682357"/>
    <w:rsid w:val="00682461"/>
    <w:rsid w:val="00682A5A"/>
    <w:rsid w:val="00682B2A"/>
    <w:rsid w:val="00682BD7"/>
    <w:rsid w:val="00682CD7"/>
    <w:rsid w:val="006830F3"/>
    <w:rsid w:val="00683359"/>
    <w:rsid w:val="0068346D"/>
    <w:rsid w:val="0068350A"/>
    <w:rsid w:val="00683A23"/>
    <w:rsid w:val="00683AB9"/>
    <w:rsid w:val="00683CE2"/>
    <w:rsid w:val="00683DE0"/>
    <w:rsid w:val="00684137"/>
    <w:rsid w:val="006841FB"/>
    <w:rsid w:val="006844BB"/>
    <w:rsid w:val="0068461F"/>
    <w:rsid w:val="00684759"/>
    <w:rsid w:val="00684EF5"/>
    <w:rsid w:val="00685452"/>
    <w:rsid w:val="00685B89"/>
    <w:rsid w:val="00685D8D"/>
    <w:rsid w:val="00685E63"/>
    <w:rsid w:val="00686302"/>
    <w:rsid w:val="006863C5"/>
    <w:rsid w:val="00687106"/>
    <w:rsid w:val="006871DD"/>
    <w:rsid w:val="006873EC"/>
    <w:rsid w:val="006873F6"/>
    <w:rsid w:val="006876E2"/>
    <w:rsid w:val="0068788C"/>
    <w:rsid w:val="00687C72"/>
    <w:rsid w:val="006900EA"/>
    <w:rsid w:val="0069040E"/>
    <w:rsid w:val="0069066E"/>
    <w:rsid w:val="006907D5"/>
    <w:rsid w:val="006908A8"/>
    <w:rsid w:val="00690FEE"/>
    <w:rsid w:val="0069111F"/>
    <w:rsid w:val="00691169"/>
    <w:rsid w:val="006914F3"/>
    <w:rsid w:val="0069173C"/>
    <w:rsid w:val="006918F1"/>
    <w:rsid w:val="00691955"/>
    <w:rsid w:val="00691958"/>
    <w:rsid w:val="00691BF0"/>
    <w:rsid w:val="00691C2E"/>
    <w:rsid w:val="0069265B"/>
    <w:rsid w:val="00692A9C"/>
    <w:rsid w:val="00692BF7"/>
    <w:rsid w:val="00692C39"/>
    <w:rsid w:val="00693109"/>
    <w:rsid w:val="0069328C"/>
    <w:rsid w:val="006937BC"/>
    <w:rsid w:val="00693C24"/>
    <w:rsid w:val="00693C83"/>
    <w:rsid w:val="00693CA3"/>
    <w:rsid w:val="00693EB9"/>
    <w:rsid w:val="00693EDB"/>
    <w:rsid w:val="00693F4A"/>
    <w:rsid w:val="00694004"/>
    <w:rsid w:val="006948E8"/>
    <w:rsid w:val="00694C34"/>
    <w:rsid w:val="00694D77"/>
    <w:rsid w:val="00694F4C"/>
    <w:rsid w:val="006950A7"/>
    <w:rsid w:val="0069531E"/>
    <w:rsid w:val="006954ED"/>
    <w:rsid w:val="006956D4"/>
    <w:rsid w:val="006956E1"/>
    <w:rsid w:val="00695731"/>
    <w:rsid w:val="00695928"/>
    <w:rsid w:val="00695BAF"/>
    <w:rsid w:val="00695BF5"/>
    <w:rsid w:val="00695C9F"/>
    <w:rsid w:val="00695DDE"/>
    <w:rsid w:val="00695E3C"/>
    <w:rsid w:val="00695EE2"/>
    <w:rsid w:val="00695FAA"/>
    <w:rsid w:val="00696330"/>
    <w:rsid w:val="006963D0"/>
    <w:rsid w:val="00696594"/>
    <w:rsid w:val="00696626"/>
    <w:rsid w:val="00696C06"/>
    <w:rsid w:val="00696DCE"/>
    <w:rsid w:val="006970EE"/>
    <w:rsid w:val="0069723C"/>
    <w:rsid w:val="006972D3"/>
    <w:rsid w:val="0069748F"/>
    <w:rsid w:val="0069761E"/>
    <w:rsid w:val="006977B7"/>
    <w:rsid w:val="00697AEE"/>
    <w:rsid w:val="00697D1A"/>
    <w:rsid w:val="00697D5F"/>
    <w:rsid w:val="00697F8E"/>
    <w:rsid w:val="006A03A4"/>
    <w:rsid w:val="006A03A9"/>
    <w:rsid w:val="006A03AC"/>
    <w:rsid w:val="006A05F3"/>
    <w:rsid w:val="006A064A"/>
    <w:rsid w:val="006A06B6"/>
    <w:rsid w:val="006A0875"/>
    <w:rsid w:val="006A0A31"/>
    <w:rsid w:val="006A0CCD"/>
    <w:rsid w:val="006A0ED5"/>
    <w:rsid w:val="006A105E"/>
    <w:rsid w:val="006A1379"/>
    <w:rsid w:val="006A13B7"/>
    <w:rsid w:val="006A13EB"/>
    <w:rsid w:val="006A15B7"/>
    <w:rsid w:val="006A1828"/>
    <w:rsid w:val="006A18A8"/>
    <w:rsid w:val="006A1A69"/>
    <w:rsid w:val="006A1DD2"/>
    <w:rsid w:val="006A1EBF"/>
    <w:rsid w:val="006A1FF0"/>
    <w:rsid w:val="006A2238"/>
    <w:rsid w:val="006A2593"/>
    <w:rsid w:val="006A2647"/>
    <w:rsid w:val="006A28F3"/>
    <w:rsid w:val="006A2D78"/>
    <w:rsid w:val="006A3015"/>
    <w:rsid w:val="006A3201"/>
    <w:rsid w:val="006A33FC"/>
    <w:rsid w:val="006A35DA"/>
    <w:rsid w:val="006A433F"/>
    <w:rsid w:val="006A443A"/>
    <w:rsid w:val="006A4E2A"/>
    <w:rsid w:val="006A529B"/>
    <w:rsid w:val="006A5313"/>
    <w:rsid w:val="006A5551"/>
    <w:rsid w:val="006A55B2"/>
    <w:rsid w:val="006A57D5"/>
    <w:rsid w:val="006A5814"/>
    <w:rsid w:val="006A5BB1"/>
    <w:rsid w:val="006A5D71"/>
    <w:rsid w:val="006A5F72"/>
    <w:rsid w:val="006A5F7C"/>
    <w:rsid w:val="006A61BE"/>
    <w:rsid w:val="006A624D"/>
    <w:rsid w:val="006A6281"/>
    <w:rsid w:val="006A685A"/>
    <w:rsid w:val="006A6907"/>
    <w:rsid w:val="006A6B9A"/>
    <w:rsid w:val="006A6D61"/>
    <w:rsid w:val="006A6FE4"/>
    <w:rsid w:val="006A70A8"/>
    <w:rsid w:val="006A717D"/>
    <w:rsid w:val="006A717E"/>
    <w:rsid w:val="006A788D"/>
    <w:rsid w:val="006A7BD7"/>
    <w:rsid w:val="006B0074"/>
    <w:rsid w:val="006B01B5"/>
    <w:rsid w:val="006B0450"/>
    <w:rsid w:val="006B0838"/>
    <w:rsid w:val="006B0874"/>
    <w:rsid w:val="006B0A4F"/>
    <w:rsid w:val="006B0CED"/>
    <w:rsid w:val="006B0D16"/>
    <w:rsid w:val="006B0D30"/>
    <w:rsid w:val="006B0DFF"/>
    <w:rsid w:val="006B0E56"/>
    <w:rsid w:val="006B1300"/>
    <w:rsid w:val="006B13EB"/>
    <w:rsid w:val="006B1915"/>
    <w:rsid w:val="006B1A7F"/>
    <w:rsid w:val="006B20D9"/>
    <w:rsid w:val="006B24F8"/>
    <w:rsid w:val="006B262D"/>
    <w:rsid w:val="006B27C9"/>
    <w:rsid w:val="006B2D6C"/>
    <w:rsid w:val="006B2DB8"/>
    <w:rsid w:val="006B2FAD"/>
    <w:rsid w:val="006B33E4"/>
    <w:rsid w:val="006B37A0"/>
    <w:rsid w:val="006B3C28"/>
    <w:rsid w:val="006B3EFE"/>
    <w:rsid w:val="006B3FC9"/>
    <w:rsid w:val="006B40C1"/>
    <w:rsid w:val="006B4155"/>
    <w:rsid w:val="006B469C"/>
    <w:rsid w:val="006B476E"/>
    <w:rsid w:val="006B4CA5"/>
    <w:rsid w:val="006B519B"/>
    <w:rsid w:val="006B52E7"/>
    <w:rsid w:val="006B5457"/>
    <w:rsid w:val="006B5599"/>
    <w:rsid w:val="006B5611"/>
    <w:rsid w:val="006B590A"/>
    <w:rsid w:val="006B5B09"/>
    <w:rsid w:val="006B5C8F"/>
    <w:rsid w:val="006B5ECD"/>
    <w:rsid w:val="006B5EF5"/>
    <w:rsid w:val="006B611A"/>
    <w:rsid w:val="006B67C9"/>
    <w:rsid w:val="006B696D"/>
    <w:rsid w:val="006B6993"/>
    <w:rsid w:val="006B6B82"/>
    <w:rsid w:val="006B6BC7"/>
    <w:rsid w:val="006B7209"/>
    <w:rsid w:val="006B7753"/>
    <w:rsid w:val="006B7769"/>
    <w:rsid w:val="006B7A7B"/>
    <w:rsid w:val="006B7AAE"/>
    <w:rsid w:val="006B7B17"/>
    <w:rsid w:val="006B7C8A"/>
    <w:rsid w:val="006C0016"/>
    <w:rsid w:val="006C0024"/>
    <w:rsid w:val="006C002A"/>
    <w:rsid w:val="006C03BB"/>
    <w:rsid w:val="006C0851"/>
    <w:rsid w:val="006C0A19"/>
    <w:rsid w:val="006C0BD6"/>
    <w:rsid w:val="006C0D79"/>
    <w:rsid w:val="006C0DE1"/>
    <w:rsid w:val="006C1322"/>
    <w:rsid w:val="006C135F"/>
    <w:rsid w:val="006C148F"/>
    <w:rsid w:val="006C1B55"/>
    <w:rsid w:val="006C1DDD"/>
    <w:rsid w:val="006C2265"/>
    <w:rsid w:val="006C248E"/>
    <w:rsid w:val="006C24B5"/>
    <w:rsid w:val="006C26E1"/>
    <w:rsid w:val="006C2A5F"/>
    <w:rsid w:val="006C36C6"/>
    <w:rsid w:val="006C3878"/>
    <w:rsid w:val="006C3890"/>
    <w:rsid w:val="006C3D19"/>
    <w:rsid w:val="006C3D47"/>
    <w:rsid w:val="006C4000"/>
    <w:rsid w:val="006C427A"/>
    <w:rsid w:val="006C432B"/>
    <w:rsid w:val="006C44E9"/>
    <w:rsid w:val="006C4523"/>
    <w:rsid w:val="006C4574"/>
    <w:rsid w:val="006C4613"/>
    <w:rsid w:val="006C4623"/>
    <w:rsid w:val="006C4764"/>
    <w:rsid w:val="006C48D7"/>
    <w:rsid w:val="006C49C1"/>
    <w:rsid w:val="006C4FF1"/>
    <w:rsid w:val="006C50A2"/>
    <w:rsid w:val="006C522B"/>
    <w:rsid w:val="006C53D3"/>
    <w:rsid w:val="006C549F"/>
    <w:rsid w:val="006C587D"/>
    <w:rsid w:val="006C5B34"/>
    <w:rsid w:val="006C5E83"/>
    <w:rsid w:val="006C616C"/>
    <w:rsid w:val="006C6208"/>
    <w:rsid w:val="006C6356"/>
    <w:rsid w:val="006C63B0"/>
    <w:rsid w:val="006C64B1"/>
    <w:rsid w:val="006C64DA"/>
    <w:rsid w:val="006C64E0"/>
    <w:rsid w:val="006C65B7"/>
    <w:rsid w:val="006C7061"/>
    <w:rsid w:val="006C7234"/>
    <w:rsid w:val="006C7263"/>
    <w:rsid w:val="006C7673"/>
    <w:rsid w:val="006C7A14"/>
    <w:rsid w:val="006C7CF0"/>
    <w:rsid w:val="006C7DBA"/>
    <w:rsid w:val="006C7F14"/>
    <w:rsid w:val="006D0012"/>
    <w:rsid w:val="006D02CC"/>
    <w:rsid w:val="006D0335"/>
    <w:rsid w:val="006D04A0"/>
    <w:rsid w:val="006D054C"/>
    <w:rsid w:val="006D06DB"/>
    <w:rsid w:val="006D0EB2"/>
    <w:rsid w:val="006D16C9"/>
    <w:rsid w:val="006D183F"/>
    <w:rsid w:val="006D18FE"/>
    <w:rsid w:val="006D1F64"/>
    <w:rsid w:val="006D2221"/>
    <w:rsid w:val="006D2D13"/>
    <w:rsid w:val="006D2F8E"/>
    <w:rsid w:val="006D3141"/>
    <w:rsid w:val="006D3667"/>
    <w:rsid w:val="006D377C"/>
    <w:rsid w:val="006D38E5"/>
    <w:rsid w:val="006D3E62"/>
    <w:rsid w:val="006D40A7"/>
    <w:rsid w:val="006D416A"/>
    <w:rsid w:val="006D455A"/>
    <w:rsid w:val="006D4C30"/>
    <w:rsid w:val="006D4D44"/>
    <w:rsid w:val="006D5078"/>
    <w:rsid w:val="006D51C9"/>
    <w:rsid w:val="006D53E7"/>
    <w:rsid w:val="006D54EF"/>
    <w:rsid w:val="006D55A5"/>
    <w:rsid w:val="006D574D"/>
    <w:rsid w:val="006D5E5C"/>
    <w:rsid w:val="006D6067"/>
    <w:rsid w:val="006D64F1"/>
    <w:rsid w:val="006D6581"/>
    <w:rsid w:val="006D659B"/>
    <w:rsid w:val="006D65D0"/>
    <w:rsid w:val="006D6632"/>
    <w:rsid w:val="006D669C"/>
    <w:rsid w:val="006D6992"/>
    <w:rsid w:val="006D6FE2"/>
    <w:rsid w:val="006D70A8"/>
    <w:rsid w:val="006D7732"/>
    <w:rsid w:val="006D7A60"/>
    <w:rsid w:val="006D7A9C"/>
    <w:rsid w:val="006D7B84"/>
    <w:rsid w:val="006D7C45"/>
    <w:rsid w:val="006D7FDD"/>
    <w:rsid w:val="006E01F7"/>
    <w:rsid w:val="006E021D"/>
    <w:rsid w:val="006E04A8"/>
    <w:rsid w:val="006E0527"/>
    <w:rsid w:val="006E0BCF"/>
    <w:rsid w:val="006E0BEA"/>
    <w:rsid w:val="006E0C21"/>
    <w:rsid w:val="006E0CB9"/>
    <w:rsid w:val="006E0D78"/>
    <w:rsid w:val="006E0EB6"/>
    <w:rsid w:val="006E1047"/>
    <w:rsid w:val="006E1177"/>
    <w:rsid w:val="006E1210"/>
    <w:rsid w:val="006E144F"/>
    <w:rsid w:val="006E152C"/>
    <w:rsid w:val="006E15AC"/>
    <w:rsid w:val="006E163F"/>
    <w:rsid w:val="006E16FF"/>
    <w:rsid w:val="006E1B95"/>
    <w:rsid w:val="006E1F21"/>
    <w:rsid w:val="006E2311"/>
    <w:rsid w:val="006E237B"/>
    <w:rsid w:val="006E2496"/>
    <w:rsid w:val="006E2759"/>
    <w:rsid w:val="006E277E"/>
    <w:rsid w:val="006E28FB"/>
    <w:rsid w:val="006E2D55"/>
    <w:rsid w:val="006E2EA3"/>
    <w:rsid w:val="006E328F"/>
    <w:rsid w:val="006E329E"/>
    <w:rsid w:val="006E34C0"/>
    <w:rsid w:val="006E3562"/>
    <w:rsid w:val="006E3820"/>
    <w:rsid w:val="006E4052"/>
    <w:rsid w:val="006E40AE"/>
    <w:rsid w:val="006E4178"/>
    <w:rsid w:val="006E429A"/>
    <w:rsid w:val="006E4401"/>
    <w:rsid w:val="006E4617"/>
    <w:rsid w:val="006E4619"/>
    <w:rsid w:val="006E49C8"/>
    <w:rsid w:val="006E4D5F"/>
    <w:rsid w:val="006E505D"/>
    <w:rsid w:val="006E50E6"/>
    <w:rsid w:val="006E51E9"/>
    <w:rsid w:val="006E54C5"/>
    <w:rsid w:val="006E56CB"/>
    <w:rsid w:val="006E5A27"/>
    <w:rsid w:val="006E5AF0"/>
    <w:rsid w:val="006E5DD9"/>
    <w:rsid w:val="006E5EA8"/>
    <w:rsid w:val="006E5ED1"/>
    <w:rsid w:val="006E60B9"/>
    <w:rsid w:val="006E60D0"/>
    <w:rsid w:val="006E6353"/>
    <w:rsid w:val="006E6397"/>
    <w:rsid w:val="006E6694"/>
    <w:rsid w:val="006E67C4"/>
    <w:rsid w:val="006E67C9"/>
    <w:rsid w:val="006E6A0B"/>
    <w:rsid w:val="006E6B4B"/>
    <w:rsid w:val="006E6E33"/>
    <w:rsid w:val="006E700F"/>
    <w:rsid w:val="006E7140"/>
    <w:rsid w:val="006E71B4"/>
    <w:rsid w:val="006E720C"/>
    <w:rsid w:val="006E77A3"/>
    <w:rsid w:val="006E77E8"/>
    <w:rsid w:val="006E78B9"/>
    <w:rsid w:val="006E79F0"/>
    <w:rsid w:val="006E7CCB"/>
    <w:rsid w:val="006E7E2E"/>
    <w:rsid w:val="006E7F7D"/>
    <w:rsid w:val="006F00C7"/>
    <w:rsid w:val="006F01B1"/>
    <w:rsid w:val="006F04C3"/>
    <w:rsid w:val="006F065C"/>
    <w:rsid w:val="006F07F8"/>
    <w:rsid w:val="006F081C"/>
    <w:rsid w:val="006F08DA"/>
    <w:rsid w:val="006F0A81"/>
    <w:rsid w:val="006F0BB3"/>
    <w:rsid w:val="006F1283"/>
    <w:rsid w:val="006F138C"/>
    <w:rsid w:val="006F13D3"/>
    <w:rsid w:val="006F16AE"/>
    <w:rsid w:val="006F17DE"/>
    <w:rsid w:val="006F1929"/>
    <w:rsid w:val="006F1A58"/>
    <w:rsid w:val="006F1C26"/>
    <w:rsid w:val="006F1DCB"/>
    <w:rsid w:val="006F24FD"/>
    <w:rsid w:val="006F256C"/>
    <w:rsid w:val="006F258C"/>
    <w:rsid w:val="006F2687"/>
    <w:rsid w:val="006F2987"/>
    <w:rsid w:val="006F2A53"/>
    <w:rsid w:val="006F2CF7"/>
    <w:rsid w:val="006F2E70"/>
    <w:rsid w:val="006F2F03"/>
    <w:rsid w:val="006F305F"/>
    <w:rsid w:val="006F342C"/>
    <w:rsid w:val="006F3445"/>
    <w:rsid w:val="006F3473"/>
    <w:rsid w:val="006F36A0"/>
    <w:rsid w:val="006F36C8"/>
    <w:rsid w:val="006F3A29"/>
    <w:rsid w:val="006F3AAF"/>
    <w:rsid w:val="006F3B9A"/>
    <w:rsid w:val="006F3C47"/>
    <w:rsid w:val="006F3F30"/>
    <w:rsid w:val="006F4227"/>
    <w:rsid w:val="006F4228"/>
    <w:rsid w:val="006F4365"/>
    <w:rsid w:val="006F459D"/>
    <w:rsid w:val="006F4686"/>
    <w:rsid w:val="006F4B76"/>
    <w:rsid w:val="006F4E75"/>
    <w:rsid w:val="006F4EB9"/>
    <w:rsid w:val="006F5396"/>
    <w:rsid w:val="006F5623"/>
    <w:rsid w:val="006F5683"/>
    <w:rsid w:val="006F5B5F"/>
    <w:rsid w:val="006F5E63"/>
    <w:rsid w:val="006F669F"/>
    <w:rsid w:val="006F6931"/>
    <w:rsid w:val="006F6A37"/>
    <w:rsid w:val="006F7156"/>
    <w:rsid w:val="006F729A"/>
    <w:rsid w:val="006F75BC"/>
    <w:rsid w:val="006F7CB7"/>
    <w:rsid w:val="006F7F1B"/>
    <w:rsid w:val="00700393"/>
    <w:rsid w:val="00700394"/>
    <w:rsid w:val="00700446"/>
    <w:rsid w:val="007005FE"/>
    <w:rsid w:val="00700668"/>
    <w:rsid w:val="00700A27"/>
    <w:rsid w:val="00700BCE"/>
    <w:rsid w:val="007018D7"/>
    <w:rsid w:val="00701BA8"/>
    <w:rsid w:val="00701DA9"/>
    <w:rsid w:val="007021F9"/>
    <w:rsid w:val="007022B4"/>
    <w:rsid w:val="00702535"/>
    <w:rsid w:val="00702542"/>
    <w:rsid w:val="007025B9"/>
    <w:rsid w:val="00702A29"/>
    <w:rsid w:val="0070333C"/>
    <w:rsid w:val="007034F4"/>
    <w:rsid w:val="00703668"/>
    <w:rsid w:val="007037AB"/>
    <w:rsid w:val="00703AB2"/>
    <w:rsid w:val="0070405E"/>
    <w:rsid w:val="0070413A"/>
    <w:rsid w:val="007041C8"/>
    <w:rsid w:val="0070423B"/>
    <w:rsid w:val="0070435D"/>
    <w:rsid w:val="00704447"/>
    <w:rsid w:val="0070452D"/>
    <w:rsid w:val="007046A6"/>
    <w:rsid w:val="00704B0B"/>
    <w:rsid w:val="00704B5C"/>
    <w:rsid w:val="00704CEC"/>
    <w:rsid w:val="00704FC3"/>
    <w:rsid w:val="0070513A"/>
    <w:rsid w:val="00705415"/>
    <w:rsid w:val="00705727"/>
    <w:rsid w:val="0070602F"/>
    <w:rsid w:val="00706575"/>
    <w:rsid w:val="00706A0F"/>
    <w:rsid w:val="00706A35"/>
    <w:rsid w:val="00706BAD"/>
    <w:rsid w:val="00706DCF"/>
    <w:rsid w:val="00706F54"/>
    <w:rsid w:val="00707184"/>
    <w:rsid w:val="007071D3"/>
    <w:rsid w:val="007071DE"/>
    <w:rsid w:val="007071FC"/>
    <w:rsid w:val="00707294"/>
    <w:rsid w:val="007077E0"/>
    <w:rsid w:val="007079EF"/>
    <w:rsid w:val="00707B0B"/>
    <w:rsid w:val="00707B81"/>
    <w:rsid w:val="00707C25"/>
    <w:rsid w:val="00707FC9"/>
    <w:rsid w:val="0071000F"/>
    <w:rsid w:val="007100E2"/>
    <w:rsid w:val="00710605"/>
    <w:rsid w:val="00710832"/>
    <w:rsid w:val="00710844"/>
    <w:rsid w:val="00710853"/>
    <w:rsid w:val="007108D1"/>
    <w:rsid w:val="007109F6"/>
    <w:rsid w:val="00710D77"/>
    <w:rsid w:val="00710F1E"/>
    <w:rsid w:val="0071112B"/>
    <w:rsid w:val="00711197"/>
    <w:rsid w:val="00711470"/>
    <w:rsid w:val="00711689"/>
    <w:rsid w:val="007117A3"/>
    <w:rsid w:val="007118C1"/>
    <w:rsid w:val="00711929"/>
    <w:rsid w:val="007119D8"/>
    <w:rsid w:val="00711A18"/>
    <w:rsid w:val="00711B4D"/>
    <w:rsid w:val="0071213B"/>
    <w:rsid w:val="007121B3"/>
    <w:rsid w:val="007121E8"/>
    <w:rsid w:val="007122D0"/>
    <w:rsid w:val="00712431"/>
    <w:rsid w:val="00712819"/>
    <w:rsid w:val="00712AEC"/>
    <w:rsid w:val="00712E0D"/>
    <w:rsid w:val="00712FE6"/>
    <w:rsid w:val="007132CC"/>
    <w:rsid w:val="007134E5"/>
    <w:rsid w:val="007136B7"/>
    <w:rsid w:val="007136CF"/>
    <w:rsid w:val="0071395E"/>
    <w:rsid w:val="00713A4B"/>
    <w:rsid w:val="00713C52"/>
    <w:rsid w:val="00713EF0"/>
    <w:rsid w:val="00714078"/>
    <w:rsid w:val="007140CB"/>
    <w:rsid w:val="007143E4"/>
    <w:rsid w:val="00714551"/>
    <w:rsid w:val="007147D1"/>
    <w:rsid w:val="007150EE"/>
    <w:rsid w:val="00715135"/>
    <w:rsid w:val="00715379"/>
    <w:rsid w:val="00715384"/>
    <w:rsid w:val="00715505"/>
    <w:rsid w:val="00716216"/>
    <w:rsid w:val="00716257"/>
    <w:rsid w:val="0071637F"/>
    <w:rsid w:val="007165A0"/>
    <w:rsid w:val="00716A6F"/>
    <w:rsid w:val="00716B51"/>
    <w:rsid w:val="00716EBD"/>
    <w:rsid w:val="007172B4"/>
    <w:rsid w:val="0071742D"/>
    <w:rsid w:val="007176B3"/>
    <w:rsid w:val="0071781F"/>
    <w:rsid w:val="00717B35"/>
    <w:rsid w:val="00717CD5"/>
    <w:rsid w:val="00717D74"/>
    <w:rsid w:val="00720159"/>
    <w:rsid w:val="007201B1"/>
    <w:rsid w:val="00720277"/>
    <w:rsid w:val="0072034A"/>
    <w:rsid w:val="007204FF"/>
    <w:rsid w:val="007206A4"/>
    <w:rsid w:val="00720876"/>
    <w:rsid w:val="00720C09"/>
    <w:rsid w:val="00720DB7"/>
    <w:rsid w:val="007212BE"/>
    <w:rsid w:val="00721CDA"/>
    <w:rsid w:val="007226FC"/>
    <w:rsid w:val="0072292B"/>
    <w:rsid w:val="007229D2"/>
    <w:rsid w:val="00722B87"/>
    <w:rsid w:val="00722D10"/>
    <w:rsid w:val="00722D4E"/>
    <w:rsid w:val="00722E50"/>
    <w:rsid w:val="00723350"/>
    <w:rsid w:val="007234F2"/>
    <w:rsid w:val="007236AE"/>
    <w:rsid w:val="00723EB3"/>
    <w:rsid w:val="00723F79"/>
    <w:rsid w:val="007242CA"/>
    <w:rsid w:val="0072464B"/>
    <w:rsid w:val="0072465D"/>
    <w:rsid w:val="00724779"/>
    <w:rsid w:val="00724786"/>
    <w:rsid w:val="00724983"/>
    <w:rsid w:val="00724D65"/>
    <w:rsid w:val="00724E7E"/>
    <w:rsid w:val="00724F0F"/>
    <w:rsid w:val="00725281"/>
    <w:rsid w:val="007259D2"/>
    <w:rsid w:val="007259F7"/>
    <w:rsid w:val="00725F55"/>
    <w:rsid w:val="0072604D"/>
    <w:rsid w:val="00726091"/>
    <w:rsid w:val="00726515"/>
    <w:rsid w:val="00726661"/>
    <w:rsid w:val="00726CA1"/>
    <w:rsid w:val="00726DDC"/>
    <w:rsid w:val="00727443"/>
    <w:rsid w:val="0072756C"/>
    <w:rsid w:val="00727607"/>
    <w:rsid w:val="0072772F"/>
    <w:rsid w:val="00727D38"/>
    <w:rsid w:val="00727D8E"/>
    <w:rsid w:val="007301DF"/>
    <w:rsid w:val="007304EB"/>
    <w:rsid w:val="00730736"/>
    <w:rsid w:val="00730894"/>
    <w:rsid w:val="00730911"/>
    <w:rsid w:val="00730ADD"/>
    <w:rsid w:val="00730C7A"/>
    <w:rsid w:val="0073118F"/>
    <w:rsid w:val="00731674"/>
    <w:rsid w:val="0073195F"/>
    <w:rsid w:val="00731C5A"/>
    <w:rsid w:val="00731ED3"/>
    <w:rsid w:val="00731F25"/>
    <w:rsid w:val="00731FFE"/>
    <w:rsid w:val="0073211E"/>
    <w:rsid w:val="00732351"/>
    <w:rsid w:val="007334C8"/>
    <w:rsid w:val="0073354A"/>
    <w:rsid w:val="00733778"/>
    <w:rsid w:val="007337A6"/>
    <w:rsid w:val="00733941"/>
    <w:rsid w:val="00733F01"/>
    <w:rsid w:val="00734011"/>
    <w:rsid w:val="0073436E"/>
    <w:rsid w:val="00734573"/>
    <w:rsid w:val="0073491B"/>
    <w:rsid w:val="00734C8C"/>
    <w:rsid w:val="00734EB2"/>
    <w:rsid w:val="00734FDB"/>
    <w:rsid w:val="007356AA"/>
    <w:rsid w:val="0073591D"/>
    <w:rsid w:val="00735BFA"/>
    <w:rsid w:val="00735E3B"/>
    <w:rsid w:val="007362DD"/>
    <w:rsid w:val="007367D4"/>
    <w:rsid w:val="00736841"/>
    <w:rsid w:val="00737362"/>
    <w:rsid w:val="0073743B"/>
    <w:rsid w:val="00737535"/>
    <w:rsid w:val="00737543"/>
    <w:rsid w:val="00737D4E"/>
    <w:rsid w:val="00737F35"/>
    <w:rsid w:val="007400F6"/>
    <w:rsid w:val="0074016B"/>
    <w:rsid w:val="00740369"/>
    <w:rsid w:val="0074042B"/>
    <w:rsid w:val="007405FD"/>
    <w:rsid w:val="00740640"/>
    <w:rsid w:val="00740CE6"/>
    <w:rsid w:val="00740F40"/>
    <w:rsid w:val="00740F4B"/>
    <w:rsid w:val="007410E8"/>
    <w:rsid w:val="00741146"/>
    <w:rsid w:val="00741176"/>
    <w:rsid w:val="007415D5"/>
    <w:rsid w:val="007416A8"/>
    <w:rsid w:val="007418FE"/>
    <w:rsid w:val="00741A91"/>
    <w:rsid w:val="0074232E"/>
    <w:rsid w:val="00742565"/>
    <w:rsid w:val="007427A1"/>
    <w:rsid w:val="007428AF"/>
    <w:rsid w:val="00742C6F"/>
    <w:rsid w:val="00742D9F"/>
    <w:rsid w:val="00742E19"/>
    <w:rsid w:val="00742E41"/>
    <w:rsid w:val="00742FAB"/>
    <w:rsid w:val="007434D6"/>
    <w:rsid w:val="00743CF9"/>
    <w:rsid w:val="00743EC4"/>
    <w:rsid w:val="0074436F"/>
    <w:rsid w:val="00744483"/>
    <w:rsid w:val="00744493"/>
    <w:rsid w:val="00744555"/>
    <w:rsid w:val="0074468B"/>
    <w:rsid w:val="007447FC"/>
    <w:rsid w:val="007449D9"/>
    <w:rsid w:val="00744C31"/>
    <w:rsid w:val="00744E75"/>
    <w:rsid w:val="00744F5F"/>
    <w:rsid w:val="00745565"/>
    <w:rsid w:val="00745843"/>
    <w:rsid w:val="00745A51"/>
    <w:rsid w:val="00745AF0"/>
    <w:rsid w:val="00745E07"/>
    <w:rsid w:val="0074615F"/>
    <w:rsid w:val="007465D8"/>
    <w:rsid w:val="0074685C"/>
    <w:rsid w:val="00746974"/>
    <w:rsid w:val="00746CAB"/>
    <w:rsid w:val="00746FEA"/>
    <w:rsid w:val="0074724D"/>
    <w:rsid w:val="0074751E"/>
    <w:rsid w:val="007475DE"/>
    <w:rsid w:val="007476C9"/>
    <w:rsid w:val="00747962"/>
    <w:rsid w:val="00747AE6"/>
    <w:rsid w:val="00747C9D"/>
    <w:rsid w:val="00747CDA"/>
    <w:rsid w:val="00747E14"/>
    <w:rsid w:val="00747E75"/>
    <w:rsid w:val="0075008B"/>
    <w:rsid w:val="0075018D"/>
    <w:rsid w:val="00750371"/>
    <w:rsid w:val="00750445"/>
    <w:rsid w:val="007507B1"/>
    <w:rsid w:val="00750999"/>
    <w:rsid w:val="00750F67"/>
    <w:rsid w:val="00751230"/>
    <w:rsid w:val="007513FC"/>
    <w:rsid w:val="007514CB"/>
    <w:rsid w:val="0075151D"/>
    <w:rsid w:val="0075155C"/>
    <w:rsid w:val="00751A06"/>
    <w:rsid w:val="00751D2F"/>
    <w:rsid w:val="00751E05"/>
    <w:rsid w:val="00752019"/>
    <w:rsid w:val="00752353"/>
    <w:rsid w:val="00752386"/>
    <w:rsid w:val="007524A7"/>
    <w:rsid w:val="00752C99"/>
    <w:rsid w:val="00752CFB"/>
    <w:rsid w:val="00752ED0"/>
    <w:rsid w:val="00752F95"/>
    <w:rsid w:val="00753141"/>
    <w:rsid w:val="007531F1"/>
    <w:rsid w:val="0075346D"/>
    <w:rsid w:val="007538B0"/>
    <w:rsid w:val="00753B09"/>
    <w:rsid w:val="00753CFF"/>
    <w:rsid w:val="00753F70"/>
    <w:rsid w:val="00753FC1"/>
    <w:rsid w:val="0075405E"/>
    <w:rsid w:val="00754277"/>
    <w:rsid w:val="00754293"/>
    <w:rsid w:val="00754531"/>
    <w:rsid w:val="007545FC"/>
    <w:rsid w:val="0075460A"/>
    <w:rsid w:val="007547F4"/>
    <w:rsid w:val="00754990"/>
    <w:rsid w:val="00754E01"/>
    <w:rsid w:val="00754F1D"/>
    <w:rsid w:val="00754F28"/>
    <w:rsid w:val="0075518C"/>
    <w:rsid w:val="007554EB"/>
    <w:rsid w:val="00755916"/>
    <w:rsid w:val="00755C3E"/>
    <w:rsid w:val="00755D76"/>
    <w:rsid w:val="00756166"/>
    <w:rsid w:val="0075630F"/>
    <w:rsid w:val="007563A4"/>
    <w:rsid w:val="0075658B"/>
    <w:rsid w:val="00756605"/>
    <w:rsid w:val="007566AA"/>
    <w:rsid w:val="00756824"/>
    <w:rsid w:val="007569E5"/>
    <w:rsid w:val="00756B51"/>
    <w:rsid w:val="00756E1F"/>
    <w:rsid w:val="00756E4E"/>
    <w:rsid w:val="0075714D"/>
    <w:rsid w:val="0075736F"/>
    <w:rsid w:val="00757456"/>
    <w:rsid w:val="0075747D"/>
    <w:rsid w:val="007574B0"/>
    <w:rsid w:val="00757C05"/>
    <w:rsid w:val="00760AC9"/>
    <w:rsid w:val="00761133"/>
    <w:rsid w:val="0076115D"/>
    <w:rsid w:val="0076128B"/>
    <w:rsid w:val="0076159D"/>
    <w:rsid w:val="0076175D"/>
    <w:rsid w:val="007619C2"/>
    <w:rsid w:val="00761A74"/>
    <w:rsid w:val="00761C71"/>
    <w:rsid w:val="00761CAB"/>
    <w:rsid w:val="00761D8C"/>
    <w:rsid w:val="007622B7"/>
    <w:rsid w:val="0076266B"/>
    <w:rsid w:val="00762750"/>
    <w:rsid w:val="007627F5"/>
    <w:rsid w:val="0076284E"/>
    <w:rsid w:val="00762DA2"/>
    <w:rsid w:val="00762E16"/>
    <w:rsid w:val="00763013"/>
    <w:rsid w:val="00763570"/>
    <w:rsid w:val="007638C3"/>
    <w:rsid w:val="007639CA"/>
    <w:rsid w:val="007639DF"/>
    <w:rsid w:val="0076411F"/>
    <w:rsid w:val="00764329"/>
    <w:rsid w:val="0076456C"/>
    <w:rsid w:val="007646D2"/>
    <w:rsid w:val="007648E9"/>
    <w:rsid w:val="00764BF3"/>
    <w:rsid w:val="00764CE9"/>
    <w:rsid w:val="00764E1E"/>
    <w:rsid w:val="0076501B"/>
    <w:rsid w:val="00765660"/>
    <w:rsid w:val="00765699"/>
    <w:rsid w:val="0076587E"/>
    <w:rsid w:val="00765893"/>
    <w:rsid w:val="00765D44"/>
    <w:rsid w:val="00765D55"/>
    <w:rsid w:val="00765DAA"/>
    <w:rsid w:val="00765F50"/>
    <w:rsid w:val="00766014"/>
    <w:rsid w:val="0076601B"/>
    <w:rsid w:val="007661FD"/>
    <w:rsid w:val="00766546"/>
    <w:rsid w:val="00766606"/>
    <w:rsid w:val="00766A7F"/>
    <w:rsid w:val="00766CCB"/>
    <w:rsid w:val="00766EDB"/>
    <w:rsid w:val="00766FAB"/>
    <w:rsid w:val="0076716E"/>
    <w:rsid w:val="0076720F"/>
    <w:rsid w:val="0076778B"/>
    <w:rsid w:val="00767A52"/>
    <w:rsid w:val="00767B5B"/>
    <w:rsid w:val="00767DB3"/>
    <w:rsid w:val="00767F87"/>
    <w:rsid w:val="0077011A"/>
    <w:rsid w:val="00770EA9"/>
    <w:rsid w:val="00770F71"/>
    <w:rsid w:val="00770FD1"/>
    <w:rsid w:val="007712FE"/>
    <w:rsid w:val="00771454"/>
    <w:rsid w:val="007714EC"/>
    <w:rsid w:val="007716BF"/>
    <w:rsid w:val="00771756"/>
    <w:rsid w:val="007717BB"/>
    <w:rsid w:val="007717C8"/>
    <w:rsid w:val="007717EA"/>
    <w:rsid w:val="007717ED"/>
    <w:rsid w:val="007718A9"/>
    <w:rsid w:val="00771F89"/>
    <w:rsid w:val="007724D3"/>
    <w:rsid w:val="007724DF"/>
    <w:rsid w:val="00772753"/>
    <w:rsid w:val="00772B77"/>
    <w:rsid w:val="00772D91"/>
    <w:rsid w:val="00772E67"/>
    <w:rsid w:val="00773285"/>
    <w:rsid w:val="007733A7"/>
    <w:rsid w:val="0077352B"/>
    <w:rsid w:val="00773787"/>
    <w:rsid w:val="007737E6"/>
    <w:rsid w:val="00773E87"/>
    <w:rsid w:val="00773F7B"/>
    <w:rsid w:val="0077409A"/>
    <w:rsid w:val="0077418B"/>
    <w:rsid w:val="007741A8"/>
    <w:rsid w:val="007743DB"/>
    <w:rsid w:val="0077481C"/>
    <w:rsid w:val="0077483C"/>
    <w:rsid w:val="007748EC"/>
    <w:rsid w:val="0077495E"/>
    <w:rsid w:val="00775A26"/>
    <w:rsid w:val="00775B08"/>
    <w:rsid w:val="00776092"/>
    <w:rsid w:val="007761EB"/>
    <w:rsid w:val="00776201"/>
    <w:rsid w:val="00776237"/>
    <w:rsid w:val="0077655F"/>
    <w:rsid w:val="00776777"/>
    <w:rsid w:val="007770F9"/>
    <w:rsid w:val="00777139"/>
    <w:rsid w:val="0077738B"/>
    <w:rsid w:val="007774C4"/>
    <w:rsid w:val="007777D2"/>
    <w:rsid w:val="007777E1"/>
    <w:rsid w:val="00777842"/>
    <w:rsid w:val="00777B34"/>
    <w:rsid w:val="00777D5A"/>
    <w:rsid w:val="00780409"/>
    <w:rsid w:val="007805D8"/>
    <w:rsid w:val="00780685"/>
    <w:rsid w:val="00780A9C"/>
    <w:rsid w:val="00780BDD"/>
    <w:rsid w:val="00780DEE"/>
    <w:rsid w:val="00780EAF"/>
    <w:rsid w:val="00780FD4"/>
    <w:rsid w:val="007811A2"/>
    <w:rsid w:val="00781354"/>
    <w:rsid w:val="00781691"/>
    <w:rsid w:val="00781749"/>
    <w:rsid w:val="007817B0"/>
    <w:rsid w:val="00781B83"/>
    <w:rsid w:val="00781C5A"/>
    <w:rsid w:val="00781CDC"/>
    <w:rsid w:val="00781E39"/>
    <w:rsid w:val="007822AD"/>
    <w:rsid w:val="0078274D"/>
    <w:rsid w:val="007828CF"/>
    <w:rsid w:val="00782A04"/>
    <w:rsid w:val="00782DDD"/>
    <w:rsid w:val="00782DF1"/>
    <w:rsid w:val="00782ECF"/>
    <w:rsid w:val="00782F13"/>
    <w:rsid w:val="00782FFB"/>
    <w:rsid w:val="00783178"/>
    <w:rsid w:val="0078331F"/>
    <w:rsid w:val="0078351D"/>
    <w:rsid w:val="007835FD"/>
    <w:rsid w:val="00783607"/>
    <w:rsid w:val="00783896"/>
    <w:rsid w:val="007839F9"/>
    <w:rsid w:val="00783C0F"/>
    <w:rsid w:val="00783C3E"/>
    <w:rsid w:val="00783C94"/>
    <w:rsid w:val="00783DF7"/>
    <w:rsid w:val="00783E03"/>
    <w:rsid w:val="007840E2"/>
    <w:rsid w:val="0078473D"/>
    <w:rsid w:val="00784773"/>
    <w:rsid w:val="00784832"/>
    <w:rsid w:val="00784A69"/>
    <w:rsid w:val="00784E8E"/>
    <w:rsid w:val="0078501B"/>
    <w:rsid w:val="0078502D"/>
    <w:rsid w:val="00785079"/>
    <w:rsid w:val="0078510A"/>
    <w:rsid w:val="0078518F"/>
    <w:rsid w:val="00785237"/>
    <w:rsid w:val="0078589C"/>
    <w:rsid w:val="0078598D"/>
    <w:rsid w:val="00785A42"/>
    <w:rsid w:val="00785A74"/>
    <w:rsid w:val="007863DC"/>
    <w:rsid w:val="007864A3"/>
    <w:rsid w:val="00786B70"/>
    <w:rsid w:val="00786B89"/>
    <w:rsid w:val="00786D59"/>
    <w:rsid w:val="00786D70"/>
    <w:rsid w:val="00786E58"/>
    <w:rsid w:val="007870CE"/>
    <w:rsid w:val="00787189"/>
    <w:rsid w:val="007877DE"/>
    <w:rsid w:val="00787A5D"/>
    <w:rsid w:val="00787B32"/>
    <w:rsid w:val="00787C40"/>
    <w:rsid w:val="00787EAB"/>
    <w:rsid w:val="0079023C"/>
    <w:rsid w:val="0079057F"/>
    <w:rsid w:val="007908D7"/>
    <w:rsid w:val="00790F71"/>
    <w:rsid w:val="00791280"/>
    <w:rsid w:val="007913A7"/>
    <w:rsid w:val="007914F7"/>
    <w:rsid w:val="00791699"/>
    <w:rsid w:val="0079190A"/>
    <w:rsid w:val="007919BD"/>
    <w:rsid w:val="00791EED"/>
    <w:rsid w:val="00791FF5"/>
    <w:rsid w:val="00792052"/>
    <w:rsid w:val="007920ED"/>
    <w:rsid w:val="00792694"/>
    <w:rsid w:val="00792854"/>
    <w:rsid w:val="0079295F"/>
    <w:rsid w:val="007929D5"/>
    <w:rsid w:val="00792AC3"/>
    <w:rsid w:val="00792DE8"/>
    <w:rsid w:val="0079307A"/>
    <w:rsid w:val="00793AC3"/>
    <w:rsid w:val="00794001"/>
    <w:rsid w:val="0079474D"/>
    <w:rsid w:val="007947E1"/>
    <w:rsid w:val="00794BA2"/>
    <w:rsid w:val="00794D12"/>
    <w:rsid w:val="00794FDB"/>
    <w:rsid w:val="00794FF1"/>
    <w:rsid w:val="007955E2"/>
    <w:rsid w:val="007956D3"/>
    <w:rsid w:val="00795801"/>
    <w:rsid w:val="00795811"/>
    <w:rsid w:val="00795AB3"/>
    <w:rsid w:val="00795AEA"/>
    <w:rsid w:val="00795B32"/>
    <w:rsid w:val="00795B5C"/>
    <w:rsid w:val="00795BB2"/>
    <w:rsid w:val="00796207"/>
    <w:rsid w:val="0079670B"/>
    <w:rsid w:val="00796EF0"/>
    <w:rsid w:val="00796F95"/>
    <w:rsid w:val="00797213"/>
    <w:rsid w:val="0079772E"/>
    <w:rsid w:val="00797789"/>
    <w:rsid w:val="00797CDE"/>
    <w:rsid w:val="00797E94"/>
    <w:rsid w:val="007A0085"/>
    <w:rsid w:val="007A01C4"/>
    <w:rsid w:val="007A0392"/>
    <w:rsid w:val="007A04F4"/>
    <w:rsid w:val="007A0591"/>
    <w:rsid w:val="007A0B02"/>
    <w:rsid w:val="007A0EB7"/>
    <w:rsid w:val="007A0FF0"/>
    <w:rsid w:val="007A191C"/>
    <w:rsid w:val="007A1C6E"/>
    <w:rsid w:val="007A1DE6"/>
    <w:rsid w:val="007A2066"/>
    <w:rsid w:val="007A20BD"/>
    <w:rsid w:val="007A21E3"/>
    <w:rsid w:val="007A2268"/>
    <w:rsid w:val="007A22D9"/>
    <w:rsid w:val="007A2341"/>
    <w:rsid w:val="007A25B9"/>
    <w:rsid w:val="007A2648"/>
    <w:rsid w:val="007A2B96"/>
    <w:rsid w:val="007A315D"/>
    <w:rsid w:val="007A3175"/>
    <w:rsid w:val="007A31DD"/>
    <w:rsid w:val="007A34D4"/>
    <w:rsid w:val="007A3C14"/>
    <w:rsid w:val="007A3C29"/>
    <w:rsid w:val="007A3D35"/>
    <w:rsid w:val="007A40FA"/>
    <w:rsid w:val="007A4189"/>
    <w:rsid w:val="007A4228"/>
    <w:rsid w:val="007A43EE"/>
    <w:rsid w:val="007A450C"/>
    <w:rsid w:val="007A473E"/>
    <w:rsid w:val="007A47B5"/>
    <w:rsid w:val="007A4809"/>
    <w:rsid w:val="007A4A4E"/>
    <w:rsid w:val="007A4DD5"/>
    <w:rsid w:val="007A4E15"/>
    <w:rsid w:val="007A50B8"/>
    <w:rsid w:val="007A5114"/>
    <w:rsid w:val="007A5173"/>
    <w:rsid w:val="007A54FF"/>
    <w:rsid w:val="007A55DF"/>
    <w:rsid w:val="007A5871"/>
    <w:rsid w:val="007A5E0C"/>
    <w:rsid w:val="007A6095"/>
    <w:rsid w:val="007A6113"/>
    <w:rsid w:val="007A6124"/>
    <w:rsid w:val="007A615D"/>
    <w:rsid w:val="007A61A1"/>
    <w:rsid w:val="007A66F4"/>
    <w:rsid w:val="007A6CA3"/>
    <w:rsid w:val="007A6D11"/>
    <w:rsid w:val="007A6EF7"/>
    <w:rsid w:val="007A71CD"/>
    <w:rsid w:val="007A73DC"/>
    <w:rsid w:val="007A7436"/>
    <w:rsid w:val="007A746F"/>
    <w:rsid w:val="007A7960"/>
    <w:rsid w:val="007A7A25"/>
    <w:rsid w:val="007A7DD8"/>
    <w:rsid w:val="007A7EA5"/>
    <w:rsid w:val="007A7F5D"/>
    <w:rsid w:val="007B0448"/>
    <w:rsid w:val="007B0482"/>
    <w:rsid w:val="007B0527"/>
    <w:rsid w:val="007B08CA"/>
    <w:rsid w:val="007B094F"/>
    <w:rsid w:val="007B0A07"/>
    <w:rsid w:val="007B0A9A"/>
    <w:rsid w:val="007B0B3A"/>
    <w:rsid w:val="007B0F6F"/>
    <w:rsid w:val="007B1187"/>
    <w:rsid w:val="007B12D1"/>
    <w:rsid w:val="007B135A"/>
    <w:rsid w:val="007B139D"/>
    <w:rsid w:val="007B162D"/>
    <w:rsid w:val="007B16A5"/>
    <w:rsid w:val="007B1A8F"/>
    <w:rsid w:val="007B1DC8"/>
    <w:rsid w:val="007B1DFC"/>
    <w:rsid w:val="007B2127"/>
    <w:rsid w:val="007B25A2"/>
    <w:rsid w:val="007B2812"/>
    <w:rsid w:val="007B2BF6"/>
    <w:rsid w:val="007B2C4F"/>
    <w:rsid w:val="007B2DAD"/>
    <w:rsid w:val="007B2F57"/>
    <w:rsid w:val="007B2FEE"/>
    <w:rsid w:val="007B30EF"/>
    <w:rsid w:val="007B32E8"/>
    <w:rsid w:val="007B36C5"/>
    <w:rsid w:val="007B378B"/>
    <w:rsid w:val="007B3B3C"/>
    <w:rsid w:val="007B3F87"/>
    <w:rsid w:val="007B41F6"/>
    <w:rsid w:val="007B4370"/>
    <w:rsid w:val="007B45CD"/>
    <w:rsid w:val="007B462A"/>
    <w:rsid w:val="007B4782"/>
    <w:rsid w:val="007B4B4F"/>
    <w:rsid w:val="007B4F1D"/>
    <w:rsid w:val="007B503C"/>
    <w:rsid w:val="007B53DE"/>
    <w:rsid w:val="007B54CA"/>
    <w:rsid w:val="007B5518"/>
    <w:rsid w:val="007B5729"/>
    <w:rsid w:val="007B592B"/>
    <w:rsid w:val="007B5972"/>
    <w:rsid w:val="007B5C5E"/>
    <w:rsid w:val="007B6099"/>
    <w:rsid w:val="007B631E"/>
    <w:rsid w:val="007B67D6"/>
    <w:rsid w:val="007B6A3B"/>
    <w:rsid w:val="007B6D02"/>
    <w:rsid w:val="007B6E94"/>
    <w:rsid w:val="007B7366"/>
    <w:rsid w:val="007B73FA"/>
    <w:rsid w:val="007B74BB"/>
    <w:rsid w:val="007B74E0"/>
    <w:rsid w:val="007B7A71"/>
    <w:rsid w:val="007B7B13"/>
    <w:rsid w:val="007B7BCB"/>
    <w:rsid w:val="007B7EDF"/>
    <w:rsid w:val="007C02ED"/>
    <w:rsid w:val="007C0437"/>
    <w:rsid w:val="007C0E29"/>
    <w:rsid w:val="007C0F1E"/>
    <w:rsid w:val="007C1100"/>
    <w:rsid w:val="007C1130"/>
    <w:rsid w:val="007C1643"/>
    <w:rsid w:val="007C1751"/>
    <w:rsid w:val="007C1B18"/>
    <w:rsid w:val="007C1BF3"/>
    <w:rsid w:val="007C240E"/>
    <w:rsid w:val="007C2838"/>
    <w:rsid w:val="007C2896"/>
    <w:rsid w:val="007C28FD"/>
    <w:rsid w:val="007C2B19"/>
    <w:rsid w:val="007C2CDD"/>
    <w:rsid w:val="007C2DBB"/>
    <w:rsid w:val="007C2DC2"/>
    <w:rsid w:val="007C2ED7"/>
    <w:rsid w:val="007C33AB"/>
    <w:rsid w:val="007C354F"/>
    <w:rsid w:val="007C3622"/>
    <w:rsid w:val="007C3682"/>
    <w:rsid w:val="007C36B2"/>
    <w:rsid w:val="007C3716"/>
    <w:rsid w:val="007C37CF"/>
    <w:rsid w:val="007C3A0C"/>
    <w:rsid w:val="007C3A98"/>
    <w:rsid w:val="007C3E30"/>
    <w:rsid w:val="007C3F72"/>
    <w:rsid w:val="007C4243"/>
    <w:rsid w:val="007C435B"/>
    <w:rsid w:val="007C4938"/>
    <w:rsid w:val="007C49AB"/>
    <w:rsid w:val="007C4BBB"/>
    <w:rsid w:val="007C4DF5"/>
    <w:rsid w:val="007C4F0E"/>
    <w:rsid w:val="007C4F81"/>
    <w:rsid w:val="007C5163"/>
    <w:rsid w:val="007C539C"/>
    <w:rsid w:val="007C56B1"/>
    <w:rsid w:val="007C5B39"/>
    <w:rsid w:val="007C5EDD"/>
    <w:rsid w:val="007C5F86"/>
    <w:rsid w:val="007C6003"/>
    <w:rsid w:val="007C6179"/>
    <w:rsid w:val="007C6376"/>
    <w:rsid w:val="007C64EF"/>
    <w:rsid w:val="007C66E7"/>
    <w:rsid w:val="007C68D2"/>
    <w:rsid w:val="007C6AD5"/>
    <w:rsid w:val="007C6B7C"/>
    <w:rsid w:val="007C6DDD"/>
    <w:rsid w:val="007C6F8D"/>
    <w:rsid w:val="007C7025"/>
    <w:rsid w:val="007C744D"/>
    <w:rsid w:val="007C75DB"/>
    <w:rsid w:val="007C76DA"/>
    <w:rsid w:val="007C7922"/>
    <w:rsid w:val="007C7954"/>
    <w:rsid w:val="007C7978"/>
    <w:rsid w:val="007C798A"/>
    <w:rsid w:val="007C79DF"/>
    <w:rsid w:val="007C7B63"/>
    <w:rsid w:val="007C7CDE"/>
    <w:rsid w:val="007C7D1A"/>
    <w:rsid w:val="007D01C4"/>
    <w:rsid w:val="007D0235"/>
    <w:rsid w:val="007D02A1"/>
    <w:rsid w:val="007D07D6"/>
    <w:rsid w:val="007D0B01"/>
    <w:rsid w:val="007D0BE2"/>
    <w:rsid w:val="007D0DE3"/>
    <w:rsid w:val="007D0EE3"/>
    <w:rsid w:val="007D127C"/>
    <w:rsid w:val="007D139F"/>
    <w:rsid w:val="007D192B"/>
    <w:rsid w:val="007D2118"/>
    <w:rsid w:val="007D24A5"/>
    <w:rsid w:val="007D2548"/>
    <w:rsid w:val="007D255B"/>
    <w:rsid w:val="007D2B25"/>
    <w:rsid w:val="007D2CFD"/>
    <w:rsid w:val="007D2D76"/>
    <w:rsid w:val="007D2DDF"/>
    <w:rsid w:val="007D2EAB"/>
    <w:rsid w:val="007D2EB6"/>
    <w:rsid w:val="007D2EBB"/>
    <w:rsid w:val="007D3170"/>
    <w:rsid w:val="007D31C6"/>
    <w:rsid w:val="007D3A56"/>
    <w:rsid w:val="007D3AD9"/>
    <w:rsid w:val="007D44CD"/>
    <w:rsid w:val="007D4774"/>
    <w:rsid w:val="007D4C21"/>
    <w:rsid w:val="007D4CD2"/>
    <w:rsid w:val="007D4F3D"/>
    <w:rsid w:val="007D568C"/>
    <w:rsid w:val="007D5BD1"/>
    <w:rsid w:val="007D5D37"/>
    <w:rsid w:val="007D5DDB"/>
    <w:rsid w:val="007D61D3"/>
    <w:rsid w:val="007D661A"/>
    <w:rsid w:val="007D69AF"/>
    <w:rsid w:val="007D6D54"/>
    <w:rsid w:val="007D6FFC"/>
    <w:rsid w:val="007D7146"/>
    <w:rsid w:val="007D71D8"/>
    <w:rsid w:val="007D737D"/>
    <w:rsid w:val="007D73BA"/>
    <w:rsid w:val="007D746C"/>
    <w:rsid w:val="007D763E"/>
    <w:rsid w:val="007D7A19"/>
    <w:rsid w:val="007D7BAD"/>
    <w:rsid w:val="007D7BFF"/>
    <w:rsid w:val="007D7CAB"/>
    <w:rsid w:val="007E012C"/>
    <w:rsid w:val="007E0175"/>
    <w:rsid w:val="007E0648"/>
    <w:rsid w:val="007E087D"/>
    <w:rsid w:val="007E0B6A"/>
    <w:rsid w:val="007E0E0D"/>
    <w:rsid w:val="007E0F24"/>
    <w:rsid w:val="007E104E"/>
    <w:rsid w:val="007E1130"/>
    <w:rsid w:val="007E1292"/>
    <w:rsid w:val="007E13C9"/>
    <w:rsid w:val="007E153C"/>
    <w:rsid w:val="007E161C"/>
    <w:rsid w:val="007E21BC"/>
    <w:rsid w:val="007E2268"/>
    <w:rsid w:val="007E25E5"/>
    <w:rsid w:val="007E2709"/>
    <w:rsid w:val="007E28C5"/>
    <w:rsid w:val="007E28D9"/>
    <w:rsid w:val="007E2951"/>
    <w:rsid w:val="007E2C1A"/>
    <w:rsid w:val="007E2D96"/>
    <w:rsid w:val="007E2E38"/>
    <w:rsid w:val="007E2E46"/>
    <w:rsid w:val="007E314C"/>
    <w:rsid w:val="007E3168"/>
    <w:rsid w:val="007E354B"/>
    <w:rsid w:val="007E3688"/>
    <w:rsid w:val="007E3B5E"/>
    <w:rsid w:val="007E3D35"/>
    <w:rsid w:val="007E3D66"/>
    <w:rsid w:val="007E3F50"/>
    <w:rsid w:val="007E41E7"/>
    <w:rsid w:val="007E44CD"/>
    <w:rsid w:val="007E44F7"/>
    <w:rsid w:val="007E4528"/>
    <w:rsid w:val="007E475F"/>
    <w:rsid w:val="007E4A02"/>
    <w:rsid w:val="007E4CAD"/>
    <w:rsid w:val="007E510D"/>
    <w:rsid w:val="007E514D"/>
    <w:rsid w:val="007E5398"/>
    <w:rsid w:val="007E544E"/>
    <w:rsid w:val="007E55E7"/>
    <w:rsid w:val="007E5938"/>
    <w:rsid w:val="007E5B5C"/>
    <w:rsid w:val="007E5E19"/>
    <w:rsid w:val="007E5F88"/>
    <w:rsid w:val="007E5FD0"/>
    <w:rsid w:val="007E600D"/>
    <w:rsid w:val="007E6554"/>
    <w:rsid w:val="007E6768"/>
    <w:rsid w:val="007E6951"/>
    <w:rsid w:val="007E6F10"/>
    <w:rsid w:val="007E6F44"/>
    <w:rsid w:val="007E7091"/>
    <w:rsid w:val="007E7380"/>
    <w:rsid w:val="007E745E"/>
    <w:rsid w:val="007E7679"/>
    <w:rsid w:val="007E7831"/>
    <w:rsid w:val="007E78A7"/>
    <w:rsid w:val="007E7E3C"/>
    <w:rsid w:val="007F011A"/>
    <w:rsid w:val="007F0650"/>
    <w:rsid w:val="007F0726"/>
    <w:rsid w:val="007F074A"/>
    <w:rsid w:val="007F08A3"/>
    <w:rsid w:val="007F0BA3"/>
    <w:rsid w:val="007F0F8E"/>
    <w:rsid w:val="007F1416"/>
    <w:rsid w:val="007F1445"/>
    <w:rsid w:val="007F1524"/>
    <w:rsid w:val="007F1754"/>
    <w:rsid w:val="007F180F"/>
    <w:rsid w:val="007F185F"/>
    <w:rsid w:val="007F1890"/>
    <w:rsid w:val="007F19E3"/>
    <w:rsid w:val="007F1B9C"/>
    <w:rsid w:val="007F1DB1"/>
    <w:rsid w:val="007F1E89"/>
    <w:rsid w:val="007F2209"/>
    <w:rsid w:val="007F2221"/>
    <w:rsid w:val="007F2601"/>
    <w:rsid w:val="007F26F8"/>
    <w:rsid w:val="007F28F0"/>
    <w:rsid w:val="007F2B4D"/>
    <w:rsid w:val="007F2B70"/>
    <w:rsid w:val="007F2CE3"/>
    <w:rsid w:val="007F2E5A"/>
    <w:rsid w:val="007F33F1"/>
    <w:rsid w:val="007F361A"/>
    <w:rsid w:val="007F385C"/>
    <w:rsid w:val="007F3B52"/>
    <w:rsid w:val="007F3B75"/>
    <w:rsid w:val="007F4018"/>
    <w:rsid w:val="007F42DB"/>
    <w:rsid w:val="007F452A"/>
    <w:rsid w:val="007F4600"/>
    <w:rsid w:val="007F471E"/>
    <w:rsid w:val="007F4D0C"/>
    <w:rsid w:val="007F50B6"/>
    <w:rsid w:val="007F51C5"/>
    <w:rsid w:val="007F5411"/>
    <w:rsid w:val="007F5475"/>
    <w:rsid w:val="007F5901"/>
    <w:rsid w:val="007F5DFD"/>
    <w:rsid w:val="007F60FA"/>
    <w:rsid w:val="007F6671"/>
    <w:rsid w:val="007F6970"/>
    <w:rsid w:val="007F6DD2"/>
    <w:rsid w:val="007F6E1D"/>
    <w:rsid w:val="007F6EF6"/>
    <w:rsid w:val="007F70F3"/>
    <w:rsid w:val="007F7181"/>
    <w:rsid w:val="007F7333"/>
    <w:rsid w:val="007F734E"/>
    <w:rsid w:val="007F739E"/>
    <w:rsid w:val="007F740E"/>
    <w:rsid w:val="007F76CB"/>
    <w:rsid w:val="007F7930"/>
    <w:rsid w:val="007F7B4C"/>
    <w:rsid w:val="007F7BEC"/>
    <w:rsid w:val="007F7DCE"/>
    <w:rsid w:val="008001CA"/>
    <w:rsid w:val="008001D1"/>
    <w:rsid w:val="00800486"/>
    <w:rsid w:val="0080059D"/>
    <w:rsid w:val="008006A0"/>
    <w:rsid w:val="008006A6"/>
    <w:rsid w:val="008007A7"/>
    <w:rsid w:val="00800950"/>
    <w:rsid w:val="00800BFA"/>
    <w:rsid w:val="0080150F"/>
    <w:rsid w:val="00801AD9"/>
    <w:rsid w:val="00801B4E"/>
    <w:rsid w:val="00801C9E"/>
    <w:rsid w:val="00801EAC"/>
    <w:rsid w:val="00802162"/>
    <w:rsid w:val="00802238"/>
    <w:rsid w:val="00802348"/>
    <w:rsid w:val="008026AD"/>
    <w:rsid w:val="00802AAB"/>
    <w:rsid w:val="00802AC3"/>
    <w:rsid w:val="00802BE7"/>
    <w:rsid w:val="00802CD8"/>
    <w:rsid w:val="00802CE9"/>
    <w:rsid w:val="0080378E"/>
    <w:rsid w:val="008038A2"/>
    <w:rsid w:val="00803B30"/>
    <w:rsid w:val="00803EA9"/>
    <w:rsid w:val="00803FCB"/>
    <w:rsid w:val="008040C7"/>
    <w:rsid w:val="008041DC"/>
    <w:rsid w:val="008043DF"/>
    <w:rsid w:val="008044F8"/>
    <w:rsid w:val="0080488B"/>
    <w:rsid w:val="00804AD8"/>
    <w:rsid w:val="00804B48"/>
    <w:rsid w:val="00804DAF"/>
    <w:rsid w:val="00805170"/>
    <w:rsid w:val="00805277"/>
    <w:rsid w:val="0080543C"/>
    <w:rsid w:val="008057C6"/>
    <w:rsid w:val="00805DDF"/>
    <w:rsid w:val="00805F35"/>
    <w:rsid w:val="00805FBE"/>
    <w:rsid w:val="0080609E"/>
    <w:rsid w:val="00806234"/>
    <w:rsid w:val="00806305"/>
    <w:rsid w:val="008063EA"/>
    <w:rsid w:val="0080679A"/>
    <w:rsid w:val="00806893"/>
    <w:rsid w:val="008069B7"/>
    <w:rsid w:val="00806A36"/>
    <w:rsid w:val="00806D42"/>
    <w:rsid w:val="0080707D"/>
    <w:rsid w:val="008070B3"/>
    <w:rsid w:val="008070F0"/>
    <w:rsid w:val="0080718C"/>
    <w:rsid w:val="0080720A"/>
    <w:rsid w:val="00807246"/>
    <w:rsid w:val="00807665"/>
    <w:rsid w:val="0081021B"/>
    <w:rsid w:val="00810644"/>
    <w:rsid w:val="0081074A"/>
    <w:rsid w:val="008108C0"/>
    <w:rsid w:val="00810ECD"/>
    <w:rsid w:val="00811A04"/>
    <w:rsid w:val="00811B38"/>
    <w:rsid w:val="008120C8"/>
    <w:rsid w:val="008120CC"/>
    <w:rsid w:val="00812226"/>
    <w:rsid w:val="00812C60"/>
    <w:rsid w:val="00812D8B"/>
    <w:rsid w:val="00812F17"/>
    <w:rsid w:val="00813420"/>
    <w:rsid w:val="00813608"/>
    <w:rsid w:val="0081386F"/>
    <w:rsid w:val="00813CFD"/>
    <w:rsid w:val="00813DA4"/>
    <w:rsid w:val="00813EAC"/>
    <w:rsid w:val="00814064"/>
    <w:rsid w:val="008144C7"/>
    <w:rsid w:val="00814536"/>
    <w:rsid w:val="00814AC1"/>
    <w:rsid w:val="00814AD6"/>
    <w:rsid w:val="00814C4F"/>
    <w:rsid w:val="00814E4A"/>
    <w:rsid w:val="0081518F"/>
    <w:rsid w:val="00815579"/>
    <w:rsid w:val="00815671"/>
    <w:rsid w:val="0081586A"/>
    <w:rsid w:val="008159B0"/>
    <w:rsid w:val="008159C8"/>
    <w:rsid w:val="00815CD3"/>
    <w:rsid w:val="0081600C"/>
    <w:rsid w:val="00816208"/>
    <w:rsid w:val="00816291"/>
    <w:rsid w:val="00816893"/>
    <w:rsid w:val="00816A21"/>
    <w:rsid w:val="008170B6"/>
    <w:rsid w:val="00817790"/>
    <w:rsid w:val="00817A3A"/>
    <w:rsid w:val="00817D82"/>
    <w:rsid w:val="008201FA"/>
    <w:rsid w:val="008203DA"/>
    <w:rsid w:val="00820665"/>
    <w:rsid w:val="008209D1"/>
    <w:rsid w:val="00820C28"/>
    <w:rsid w:val="00820FAF"/>
    <w:rsid w:val="00821475"/>
    <w:rsid w:val="00821574"/>
    <w:rsid w:val="0082166B"/>
    <w:rsid w:val="008216D5"/>
    <w:rsid w:val="008218D8"/>
    <w:rsid w:val="0082190D"/>
    <w:rsid w:val="0082192E"/>
    <w:rsid w:val="00821BBC"/>
    <w:rsid w:val="008220B1"/>
    <w:rsid w:val="008226EB"/>
    <w:rsid w:val="00822A1C"/>
    <w:rsid w:val="00822AA7"/>
    <w:rsid w:val="00822CA7"/>
    <w:rsid w:val="00822CCF"/>
    <w:rsid w:val="00823195"/>
    <w:rsid w:val="0082361C"/>
    <w:rsid w:val="0082387B"/>
    <w:rsid w:val="00823922"/>
    <w:rsid w:val="00823C17"/>
    <w:rsid w:val="00823D71"/>
    <w:rsid w:val="00823F8E"/>
    <w:rsid w:val="008240D7"/>
    <w:rsid w:val="008245C2"/>
    <w:rsid w:val="008245E5"/>
    <w:rsid w:val="00824661"/>
    <w:rsid w:val="00824DBA"/>
    <w:rsid w:val="00824F32"/>
    <w:rsid w:val="00825028"/>
    <w:rsid w:val="008250B0"/>
    <w:rsid w:val="00825190"/>
    <w:rsid w:val="008253E6"/>
    <w:rsid w:val="00825906"/>
    <w:rsid w:val="00825CFB"/>
    <w:rsid w:val="00826020"/>
    <w:rsid w:val="00826259"/>
    <w:rsid w:val="00826323"/>
    <w:rsid w:val="0082691A"/>
    <w:rsid w:val="008269AB"/>
    <w:rsid w:val="00826A9E"/>
    <w:rsid w:val="00826C8F"/>
    <w:rsid w:val="008271DD"/>
    <w:rsid w:val="0082741F"/>
    <w:rsid w:val="008275A1"/>
    <w:rsid w:val="008275B4"/>
    <w:rsid w:val="008275E9"/>
    <w:rsid w:val="00827831"/>
    <w:rsid w:val="00827BFA"/>
    <w:rsid w:val="00827D40"/>
    <w:rsid w:val="00827E3B"/>
    <w:rsid w:val="008301A6"/>
    <w:rsid w:val="00830F13"/>
    <w:rsid w:val="00830F16"/>
    <w:rsid w:val="00830F73"/>
    <w:rsid w:val="00831360"/>
    <w:rsid w:val="008317CB"/>
    <w:rsid w:val="008317EB"/>
    <w:rsid w:val="008318A2"/>
    <w:rsid w:val="008318C0"/>
    <w:rsid w:val="00831DE1"/>
    <w:rsid w:val="00831F83"/>
    <w:rsid w:val="00831FBC"/>
    <w:rsid w:val="0083204A"/>
    <w:rsid w:val="00832450"/>
    <w:rsid w:val="0083271D"/>
    <w:rsid w:val="00832BC9"/>
    <w:rsid w:val="00832C0F"/>
    <w:rsid w:val="00832C14"/>
    <w:rsid w:val="0083328D"/>
    <w:rsid w:val="00833627"/>
    <w:rsid w:val="00833ADB"/>
    <w:rsid w:val="00833C6B"/>
    <w:rsid w:val="008340E9"/>
    <w:rsid w:val="00834367"/>
    <w:rsid w:val="008344DE"/>
    <w:rsid w:val="008344F3"/>
    <w:rsid w:val="0083477B"/>
    <w:rsid w:val="00834837"/>
    <w:rsid w:val="00834D75"/>
    <w:rsid w:val="00835007"/>
    <w:rsid w:val="00835137"/>
    <w:rsid w:val="008355CC"/>
    <w:rsid w:val="0083564D"/>
    <w:rsid w:val="0083596F"/>
    <w:rsid w:val="00835AFF"/>
    <w:rsid w:val="00835CE6"/>
    <w:rsid w:val="008361AE"/>
    <w:rsid w:val="0083667E"/>
    <w:rsid w:val="00836EC5"/>
    <w:rsid w:val="00837530"/>
    <w:rsid w:val="00837532"/>
    <w:rsid w:val="00837E1C"/>
    <w:rsid w:val="008401DC"/>
    <w:rsid w:val="008402B3"/>
    <w:rsid w:val="00840347"/>
    <w:rsid w:val="008405D8"/>
    <w:rsid w:val="0084061D"/>
    <w:rsid w:val="00840AC1"/>
    <w:rsid w:val="00840BAD"/>
    <w:rsid w:val="00840D7E"/>
    <w:rsid w:val="00840E66"/>
    <w:rsid w:val="0084117C"/>
    <w:rsid w:val="00841746"/>
    <w:rsid w:val="00841A38"/>
    <w:rsid w:val="00841BEA"/>
    <w:rsid w:val="00841CB1"/>
    <w:rsid w:val="00841D0C"/>
    <w:rsid w:val="00841D97"/>
    <w:rsid w:val="00841E38"/>
    <w:rsid w:val="00841F0D"/>
    <w:rsid w:val="00842430"/>
    <w:rsid w:val="008425A9"/>
    <w:rsid w:val="008425FC"/>
    <w:rsid w:val="00842655"/>
    <w:rsid w:val="008428ED"/>
    <w:rsid w:val="00842971"/>
    <w:rsid w:val="00842989"/>
    <w:rsid w:val="00842AB5"/>
    <w:rsid w:val="00842BF3"/>
    <w:rsid w:val="00842C07"/>
    <w:rsid w:val="008431E2"/>
    <w:rsid w:val="008435C1"/>
    <w:rsid w:val="00843713"/>
    <w:rsid w:val="0084383F"/>
    <w:rsid w:val="008438D3"/>
    <w:rsid w:val="00843BB6"/>
    <w:rsid w:val="00844169"/>
    <w:rsid w:val="00844834"/>
    <w:rsid w:val="008449BD"/>
    <w:rsid w:val="00844A1A"/>
    <w:rsid w:val="00844B7C"/>
    <w:rsid w:val="00844C80"/>
    <w:rsid w:val="00844E8D"/>
    <w:rsid w:val="0084518B"/>
    <w:rsid w:val="00845418"/>
    <w:rsid w:val="00845ACA"/>
    <w:rsid w:val="00845D4E"/>
    <w:rsid w:val="00846392"/>
    <w:rsid w:val="008463F5"/>
    <w:rsid w:val="008467FE"/>
    <w:rsid w:val="00847142"/>
    <w:rsid w:val="0084719A"/>
    <w:rsid w:val="0084740A"/>
    <w:rsid w:val="008476FA"/>
    <w:rsid w:val="00847B62"/>
    <w:rsid w:val="00847E30"/>
    <w:rsid w:val="008501C0"/>
    <w:rsid w:val="008501CC"/>
    <w:rsid w:val="00850A82"/>
    <w:rsid w:val="00850E3A"/>
    <w:rsid w:val="0085106E"/>
    <w:rsid w:val="00851159"/>
    <w:rsid w:val="00851336"/>
    <w:rsid w:val="00851862"/>
    <w:rsid w:val="00851A1D"/>
    <w:rsid w:val="00851BA0"/>
    <w:rsid w:val="00851CFE"/>
    <w:rsid w:val="00852433"/>
    <w:rsid w:val="008524A6"/>
    <w:rsid w:val="008524FC"/>
    <w:rsid w:val="0085259E"/>
    <w:rsid w:val="008525A8"/>
    <w:rsid w:val="008525F7"/>
    <w:rsid w:val="00852663"/>
    <w:rsid w:val="00852976"/>
    <w:rsid w:val="00852FF0"/>
    <w:rsid w:val="00853155"/>
    <w:rsid w:val="0085334A"/>
    <w:rsid w:val="00853716"/>
    <w:rsid w:val="0085373B"/>
    <w:rsid w:val="00853D47"/>
    <w:rsid w:val="00854165"/>
    <w:rsid w:val="0085444E"/>
    <w:rsid w:val="008547B2"/>
    <w:rsid w:val="00854B60"/>
    <w:rsid w:val="00854E2C"/>
    <w:rsid w:val="00854E8A"/>
    <w:rsid w:val="00855414"/>
    <w:rsid w:val="0085564D"/>
    <w:rsid w:val="008557F2"/>
    <w:rsid w:val="00855ADC"/>
    <w:rsid w:val="00855B0D"/>
    <w:rsid w:val="00855E6A"/>
    <w:rsid w:val="00855E6E"/>
    <w:rsid w:val="00855F2D"/>
    <w:rsid w:val="00855FAC"/>
    <w:rsid w:val="008564D5"/>
    <w:rsid w:val="00856764"/>
    <w:rsid w:val="008568DF"/>
    <w:rsid w:val="00856C1F"/>
    <w:rsid w:val="00856F56"/>
    <w:rsid w:val="00856FBC"/>
    <w:rsid w:val="008571EC"/>
    <w:rsid w:val="008572FD"/>
    <w:rsid w:val="008575D7"/>
    <w:rsid w:val="008576AE"/>
    <w:rsid w:val="0085774E"/>
    <w:rsid w:val="008578B4"/>
    <w:rsid w:val="008578C2"/>
    <w:rsid w:val="00857AC1"/>
    <w:rsid w:val="00857BEB"/>
    <w:rsid w:val="00857E57"/>
    <w:rsid w:val="008602E9"/>
    <w:rsid w:val="00860321"/>
    <w:rsid w:val="0086036B"/>
    <w:rsid w:val="0086048D"/>
    <w:rsid w:val="008604FF"/>
    <w:rsid w:val="0086056B"/>
    <w:rsid w:val="008605F3"/>
    <w:rsid w:val="008609FE"/>
    <w:rsid w:val="00860A1C"/>
    <w:rsid w:val="00860CEE"/>
    <w:rsid w:val="00860E40"/>
    <w:rsid w:val="00860F04"/>
    <w:rsid w:val="0086124A"/>
    <w:rsid w:val="008614CF"/>
    <w:rsid w:val="008618E3"/>
    <w:rsid w:val="008619AC"/>
    <w:rsid w:val="00861C76"/>
    <w:rsid w:val="00861E5C"/>
    <w:rsid w:val="00861F4D"/>
    <w:rsid w:val="00862425"/>
    <w:rsid w:val="008624F3"/>
    <w:rsid w:val="00862683"/>
    <w:rsid w:val="008627FB"/>
    <w:rsid w:val="00862A16"/>
    <w:rsid w:val="00862BD1"/>
    <w:rsid w:val="008633CE"/>
    <w:rsid w:val="00863421"/>
    <w:rsid w:val="0086351A"/>
    <w:rsid w:val="00863735"/>
    <w:rsid w:val="0086385C"/>
    <w:rsid w:val="00863AD3"/>
    <w:rsid w:val="00863D02"/>
    <w:rsid w:val="00863D66"/>
    <w:rsid w:val="00863E4B"/>
    <w:rsid w:val="0086422F"/>
    <w:rsid w:val="00864659"/>
    <w:rsid w:val="008646EA"/>
    <w:rsid w:val="0086498D"/>
    <w:rsid w:val="008649D5"/>
    <w:rsid w:val="00864B08"/>
    <w:rsid w:val="0086593E"/>
    <w:rsid w:val="00865CCB"/>
    <w:rsid w:val="008660C7"/>
    <w:rsid w:val="008663C0"/>
    <w:rsid w:val="0086663B"/>
    <w:rsid w:val="00866677"/>
    <w:rsid w:val="00866705"/>
    <w:rsid w:val="00866A23"/>
    <w:rsid w:val="00866C17"/>
    <w:rsid w:val="00866FFE"/>
    <w:rsid w:val="00867368"/>
    <w:rsid w:val="00867543"/>
    <w:rsid w:val="00867601"/>
    <w:rsid w:val="00867B01"/>
    <w:rsid w:val="00867F7A"/>
    <w:rsid w:val="0087025D"/>
    <w:rsid w:val="0087034F"/>
    <w:rsid w:val="00870390"/>
    <w:rsid w:val="008708FA"/>
    <w:rsid w:val="00870C61"/>
    <w:rsid w:val="00870D03"/>
    <w:rsid w:val="00870E07"/>
    <w:rsid w:val="00870ED8"/>
    <w:rsid w:val="008712E3"/>
    <w:rsid w:val="008713DF"/>
    <w:rsid w:val="00871674"/>
    <w:rsid w:val="008716A6"/>
    <w:rsid w:val="008716BD"/>
    <w:rsid w:val="00871988"/>
    <w:rsid w:val="00871AB1"/>
    <w:rsid w:val="00871D20"/>
    <w:rsid w:val="00871E5E"/>
    <w:rsid w:val="00871F1D"/>
    <w:rsid w:val="00871F61"/>
    <w:rsid w:val="008721C5"/>
    <w:rsid w:val="008722F7"/>
    <w:rsid w:val="00872304"/>
    <w:rsid w:val="008728FC"/>
    <w:rsid w:val="008730B1"/>
    <w:rsid w:val="00873241"/>
    <w:rsid w:val="00873267"/>
    <w:rsid w:val="00873463"/>
    <w:rsid w:val="00873AFA"/>
    <w:rsid w:val="00873C70"/>
    <w:rsid w:val="00873DE9"/>
    <w:rsid w:val="008740DD"/>
    <w:rsid w:val="008741D7"/>
    <w:rsid w:val="008746FF"/>
    <w:rsid w:val="00874944"/>
    <w:rsid w:val="00874BDD"/>
    <w:rsid w:val="00874CED"/>
    <w:rsid w:val="00874F88"/>
    <w:rsid w:val="00875162"/>
    <w:rsid w:val="0087517A"/>
    <w:rsid w:val="008757DF"/>
    <w:rsid w:val="0087588E"/>
    <w:rsid w:val="00875998"/>
    <w:rsid w:val="00875D09"/>
    <w:rsid w:val="00875EFF"/>
    <w:rsid w:val="00876433"/>
    <w:rsid w:val="0087652F"/>
    <w:rsid w:val="00876765"/>
    <w:rsid w:val="00876D37"/>
    <w:rsid w:val="00876E57"/>
    <w:rsid w:val="00877158"/>
    <w:rsid w:val="00877214"/>
    <w:rsid w:val="00877700"/>
    <w:rsid w:val="008778B3"/>
    <w:rsid w:val="00877B9E"/>
    <w:rsid w:val="00877C0F"/>
    <w:rsid w:val="00877D68"/>
    <w:rsid w:val="00880213"/>
    <w:rsid w:val="008802FD"/>
    <w:rsid w:val="008805BB"/>
    <w:rsid w:val="008806FF"/>
    <w:rsid w:val="00880A12"/>
    <w:rsid w:val="00881245"/>
    <w:rsid w:val="00881344"/>
    <w:rsid w:val="00881472"/>
    <w:rsid w:val="00881610"/>
    <w:rsid w:val="008816E0"/>
    <w:rsid w:val="00881DFB"/>
    <w:rsid w:val="00882446"/>
    <w:rsid w:val="008825AA"/>
    <w:rsid w:val="00882F25"/>
    <w:rsid w:val="00883066"/>
    <w:rsid w:val="00883330"/>
    <w:rsid w:val="0088353D"/>
    <w:rsid w:val="008838AD"/>
    <w:rsid w:val="00884621"/>
    <w:rsid w:val="00884A02"/>
    <w:rsid w:val="00884C47"/>
    <w:rsid w:val="00884C4C"/>
    <w:rsid w:val="00884CCC"/>
    <w:rsid w:val="00884CE3"/>
    <w:rsid w:val="00884EA1"/>
    <w:rsid w:val="008854E3"/>
    <w:rsid w:val="00885575"/>
    <w:rsid w:val="008858C3"/>
    <w:rsid w:val="00885907"/>
    <w:rsid w:val="00885C63"/>
    <w:rsid w:val="00885D1A"/>
    <w:rsid w:val="00885FEF"/>
    <w:rsid w:val="008864D4"/>
    <w:rsid w:val="0088661A"/>
    <w:rsid w:val="008866BC"/>
    <w:rsid w:val="008866C4"/>
    <w:rsid w:val="00886935"/>
    <w:rsid w:val="00886938"/>
    <w:rsid w:val="0088698C"/>
    <w:rsid w:val="008869C6"/>
    <w:rsid w:val="00886EBB"/>
    <w:rsid w:val="00886EDF"/>
    <w:rsid w:val="00886FD0"/>
    <w:rsid w:val="0088742A"/>
    <w:rsid w:val="00887D9E"/>
    <w:rsid w:val="00887DB9"/>
    <w:rsid w:val="00887EB8"/>
    <w:rsid w:val="00887F9B"/>
    <w:rsid w:val="00890725"/>
    <w:rsid w:val="00890769"/>
    <w:rsid w:val="00890B35"/>
    <w:rsid w:val="00890D2F"/>
    <w:rsid w:val="00890ED2"/>
    <w:rsid w:val="00890EDC"/>
    <w:rsid w:val="008911D3"/>
    <w:rsid w:val="008916E3"/>
    <w:rsid w:val="008918AA"/>
    <w:rsid w:val="00891BF9"/>
    <w:rsid w:val="00891C29"/>
    <w:rsid w:val="00891CBD"/>
    <w:rsid w:val="00891FA1"/>
    <w:rsid w:val="00891FCE"/>
    <w:rsid w:val="008924B1"/>
    <w:rsid w:val="0089269D"/>
    <w:rsid w:val="00893185"/>
    <w:rsid w:val="0089337B"/>
    <w:rsid w:val="008936D4"/>
    <w:rsid w:val="00893918"/>
    <w:rsid w:val="00893ED8"/>
    <w:rsid w:val="00893F9B"/>
    <w:rsid w:val="0089410D"/>
    <w:rsid w:val="008945D1"/>
    <w:rsid w:val="00894612"/>
    <w:rsid w:val="00894A7B"/>
    <w:rsid w:val="00894AE4"/>
    <w:rsid w:val="00894C0A"/>
    <w:rsid w:val="00894D2B"/>
    <w:rsid w:val="00894E83"/>
    <w:rsid w:val="00894F8D"/>
    <w:rsid w:val="00894FB1"/>
    <w:rsid w:val="00894FE6"/>
    <w:rsid w:val="0089502D"/>
    <w:rsid w:val="008950D8"/>
    <w:rsid w:val="00895ED5"/>
    <w:rsid w:val="0089638A"/>
    <w:rsid w:val="0089650F"/>
    <w:rsid w:val="00896D37"/>
    <w:rsid w:val="00896D5F"/>
    <w:rsid w:val="00896D68"/>
    <w:rsid w:val="00896F1D"/>
    <w:rsid w:val="008973DA"/>
    <w:rsid w:val="00897698"/>
    <w:rsid w:val="00897729"/>
    <w:rsid w:val="008979E5"/>
    <w:rsid w:val="00897DD9"/>
    <w:rsid w:val="008A0043"/>
    <w:rsid w:val="008A028D"/>
    <w:rsid w:val="008A0448"/>
    <w:rsid w:val="008A087B"/>
    <w:rsid w:val="008A0C03"/>
    <w:rsid w:val="008A0DAE"/>
    <w:rsid w:val="008A0DFB"/>
    <w:rsid w:val="008A1484"/>
    <w:rsid w:val="008A14CA"/>
    <w:rsid w:val="008A15C1"/>
    <w:rsid w:val="008A15E5"/>
    <w:rsid w:val="008A17A2"/>
    <w:rsid w:val="008A17F5"/>
    <w:rsid w:val="008A2042"/>
    <w:rsid w:val="008A2299"/>
    <w:rsid w:val="008A25DE"/>
    <w:rsid w:val="008A2675"/>
    <w:rsid w:val="008A2BC9"/>
    <w:rsid w:val="008A2F20"/>
    <w:rsid w:val="008A31CB"/>
    <w:rsid w:val="008A33D7"/>
    <w:rsid w:val="008A35D3"/>
    <w:rsid w:val="008A369C"/>
    <w:rsid w:val="008A371F"/>
    <w:rsid w:val="008A37C0"/>
    <w:rsid w:val="008A387C"/>
    <w:rsid w:val="008A3A0B"/>
    <w:rsid w:val="008A3C61"/>
    <w:rsid w:val="008A3FCE"/>
    <w:rsid w:val="008A4243"/>
    <w:rsid w:val="008A4272"/>
    <w:rsid w:val="008A42D3"/>
    <w:rsid w:val="008A46A4"/>
    <w:rsid w:val="008A4AF8"/>
    <w:rsid w:val="008A4BEF"/>
    <w:rsid w:val="008A4C08"/>
    <w:rsid w:val="008A4E3A"/>
    <w:rsid w:val="008A4EC7"/>
    <w:rsid w:val="008A5A14"/>
    <w:rsid w:val="008A6055"/>
    <w:rsid w:val="008A6152"/>
    <w:rsid w:val="008A6321"/>
    <w:rsid w:val="008A63B6"/>
    <w:rsid w:val="008A675E"/>
    <w:rsid w:val="008A689B"/>
    <w:rsid w:val="008A6A6D"/>
    <w:rsid w:val="008A6C09"/>
    <w:rsid w:val="008A6D0E"/>
    <w:rsid w:val="008A6F37"/>
    <w:rsid w:val="008A7177"/>
    <w:rsid w:val="008A71D2"/>
    <w:rsid w:val="008A7467"/>
    <w:rsid w:val="008A74FD"/>
    <w:rsid w:val="008A795E"/>
    <w:rsid w:val="008A7AFB"/>
    <w:rsid w:val="008A7B2A"/>
    <w:rsid w:val="008A7BBB"/>
    <w:rsid w:val="008A7C0C"/>
    <w:rsid w:val="008B01B8"/>
    <w:rsid w:val="008B064D"/>
    <w:rsid w:val="008B0838"/>
    <w:rsid w:val="008B0C51"/>
    <w:rsid w:val="008B0CA2"/>
    <w:rsid w:val="008B0DB2"/>
    <w:rsid w:val="008B10D6"/>
    <w:rsid w:val="008B128C"/>
    <w:rsid w:val="008B1441"/>
    <w:rsid w:val="008B19B9"/>
    <w:rsid w:val="008B1C31"/>
    <w:rsid w:val="008B1C5D"/>
    <w:rsid w:val="008B1DCD"/>
    <w:rsid w:val="008B1E69"/>
    <w:rsid w:val="008B2125"/>
    <w:rsid w:val="008B212B"/>
    <w:rsid w:val="008B27CB"/>
    <w:rsid w:val="008B27F3"/>
    <w:rsid w:val="008B2875"/>
    <w:rsid w:val="008B2F62"/>
    <w:rsid w:val="008B3200"/>
    <w:rsid w:val="008B3358"/>
    <w:rsid w:val="008B353A"/>
    <w:rsid w:val="008B35DC"/>
    <w:rsid w:val="008B37B8"/>
    <w:rsid w:val="008B3C83"/>
    <w:rsid w:val="008B3D53"/>
    <w:rsid w:val="008B4586"/>
    <w:rsid w:val="008B4725"/>
    <w:rsid w:val="008B47BD"/>
    <w:rsid w:val="008B49DD"/>
    <w:rsid w:val="008B4E16"/>
    <w:rsid w:val="008B4F56"/>
    <w:rsid w:val="008B51D1"/>
    <w:rsid w:val="008B575F"/>
    <w:rsid w:val="008B5BEE"/>
    <w:rsid w:val="008B5C5B"/>
    <w:rsid w:val="008B6116"/>
    <w:rsid w:val="008B6700"/>
    <w:rsid w:val="008B6A65"/>
    <w:rsid w:val="008B6D15"/>
    <w:rsid w:val="008B6E35"/>
    <w:rsid w:val="008B6EBE"/>
    <w:rsid w:val="008B70E0"/>
    <w:rsid w:val="008B711E"/>
    <w:rsid w:val="008B7A04"/>
    <w:rsid w:val="008B7D94"/>
    <w:rsid w:val="008B7DF5"/>
    <w:rsid w:val="008C0175"/>
    <w:rsid w:val="008C02A9"/>
    <w:rsid w:val="008C0448"/>
    <w:rsid w:val="008C08B5"/>
    <w:rsid w:val="008C0B48"/>
    <w:rsid w:val="008C0D07"/>
    <w:rsid w:val="008C0F70"/>
    <w:rsid w:val="008C14E8"/>
    <w:rsid w:val="008C1626"/>
    <w:rsid w:val="008C1957"/>
    <w:rsid w:val="008C1AD2"/>
    <w:rsid w:val="008C1D3A"/>
    <w:rsid w:val="008C2178"/>
    <w:rsid w:val="008C22D5"/>
    <w:rsid w:val="008C26C4"/>
    <w:rsid w:val="008C28FC"/>
    <w:rsid w:val="008C29E6"/>
    <w:rsid w:val="008C2CAF"/>
    <w:rsid w:val="008C2CCD"/>
    <w:rsid w:val="008C2DA9"/>
    <w:rsid w:val="008C2FA0"/>
    <w:rsid w:val="008C2FA4"/>
    <w:rsid w:val="008C3211"/>
    <w:rsid w:val="008C3393"/>
    <w:rsid w:val="008C37FB"/>
    <w:rsid w:val="008C39B8"/>
    <w:rsid w:val="008C3BE6"/>
    <w:rsid w:val="008C3EB2"/>
    <w:rsid w:val="008C4120"/>
    <w:rsid w:val="008C42D3"/>
    <w:rsid w:val="008C4345"/>
    <w:rsid w:val="008C4765"/>
    <w:rsid w:val="008C486F"/>
    <w:rsid w:val="008C4B70"/>
    <w:rsid w:val="008C4B97"/>
    <w:rsid w:val="008C4CC5"/>
    <w:rsid w:val="008C5204"/>
    <w:rsid w:val="008C5226"/>
    <w:rsid w:val="008C5346"/>
    <w:rsid w:val="008C53CF"/>
    <w:rsid w:val="008C5709"/>
    <w:rsid w:val="008C5B06"/>
    <w:rsid w:val="008C67ED"/>
    <w:rsid w:val="008C6DFA"/>
    <w:rsid w:val="008C6DFB"/>
    <w:rsid w:val="008C7152"/>
    <w:rsid w:val="008C7345"/>
    <w:rsid w:val="008C7346"/>
    <w:rsid w:val="008C73BB"/>
    <w:rsid w:val="008C73BD"/>
    <w:rsid w:val="008C759F"/>
    <w:rsid w:val="008C7695"/>
    <w:rsid w:val="008C76A6"/>
    <w:rsid w:val="008C796F"/>
    <w:rsid w:val="008C7C39"/>
    <w:rsid w:val="008C7CB6"/>
    <w:rsid w:val="008C7F58"/>
    <w:rsid w:val="008C7F59"/>
    <w:rsid w:val="008D0055"/>
    <w:rsid w:val="008D00A5"/>
    <w:rsid w:val="008D052C"/>
    <w:rsid w:val="008D0D22"/>
    <w:rsid w:val="008D0D70"/>
    <w:rsid w:val="008D0F60"/>
    <w:rsid w:val="008D17C7"/>
    <w:rsid w:val="008D17F0"/>
    <w:rsid w:val="008D18E7"/>
    <w:rsid w:val="008D1B5A"/>
    <w:rsid w:val="008D1B71"/>
    <w:rsid w:val="008D1C8F"/>
    <w:rsid w:val="008D1E31"/>
    <w:rsid w:val="008D2824"/>
    <w:rsid w:val="008D29DB"/>
    <w:rsid w:val="008D2A76"/>
    <w:rsid w:val="008D2CF5"/>
    <w:rsid w:val="008D31F1"/>
    <w:rsid w:val="008D3689"/>
    <w:rsid w:val="008D37C8"/>
    <w:rsid w:val="008D3899"/>
    <w:rsid w:val="008D3C50"/>
    <w:rsid w:val="008D3ED9"/>
    <w:rsid w:val="008D403E"/>
    <w:rsid w:val="008D40B7"/>
    <w:rsid w:val="008D4376"/>
    <w:rsid w:val="008D442D"/>
    <w:rsid w:val="008D47E9"/>
    <w:rsid w:val="008D48BE"/>
    <w:rsid w:val="008D4D6E"/>
    <w:rsid w:val="008D52C9"/>
    <w:rsid w:val="008D5D40"/>
    <w:rsid w:val="008D5E5C"/>
    <w:rsid w:val="008D5FF0"/>
    <w:rsid w:val="008D60DB"/>
    <w:rsid w:val="008D619E"/>
    <w:rsid w:val="008D6551"/>
    <w:rsid w:val="008D6611"/>
    <w:rsid w:val="008D66D1"/>
    <w:rsid w:val="008D7145"/>
    <w:rsid w:val="008D7462"/>
    <w:rsid w:val="008D74CB"/>
    <w:rsid w:val="008D77C9"/>
    <w:rsid w:val="008D78EB"/>
    <w:rsid w:val="008D7C3B"/>
    <w:rsid w:val="008D7DBE"/>
    <w:rsid w:val="008E0058"/>
    <w:rsid w:val="008E0164"/>
    <w:rsid w:val="008E021F"/>
    <w:rsid w:val="008E027F"/>
    <w:rsid w:val="008E051E"/>
    <w:rsid w:val="008E0528"/>
    <w:rsid w:val="008E0588"/>
    <w:rsid w:val="008E0689"/>
    <w:rsid w:val="008E0756"/>
    <w:rsid w:val="008E0BDA"/>
    <w:rsid w:val="008E0CF1"/>
    <w:rsid w:val="008E15E7"/>
    <w:rsid w:val="008E16BB"/>
    <w:rsid w:val="008E17F3"/>
    <w:rsid w:val="008E188F"/>
    <w:rsid w:val="008E1991"/>
    <w:rsid w:val="008E20FB"/>
    <w:rsid w:val="008E22DE"/>
    <w:rsid w:val="008E2339"/>
    <w:rsid w:val="008E25C6"/>
    <w:rsid w:val="008E2631"/>
    <w:rsid w:val="008E2675"/>
    <w:rsid w:val="008E2912"/>
    <w:rsid w:val="008E2AFB"/>
    <w:rsid w:val="008E2C95"/>
    <w:rsid w:val="008E2E85"/>
    <w:rsid w:val="008E2ECC"/>
    <w:rsid w:val="008E3569"/>
    <w:rsid w:val="008E357B"/>
    <w:rsid w:val="008E3634"/>
    <w:rsid w:val="008E39A1"/>
    <w:rsid w:val="008E3C93"/>
    <w:rsid w:val="008E3D7E"/>
    <w:rsid w:val="008E3EEA"/>
    <w:rsid w:val="008E4470"/>
    <w:rsid w:val="008E4985"/>
    <w:rsid w:val="008E4B3A"/>
    <w:rsid w:val="008E4C63"/>
    <w:rsid w:val="008E569A"/>
    <w:rsid w:val="008E5884"/>
    <w:rsid w:val="008E5D4D"/>
    <w:rsid w:val="008E5DEC"/>
    <w:rsid w:val="008E634E"/>
    <w:rsid w:val="008E6941"/>
    <w:rsid w:val="008E6D91"/>
    <w:rsid w:val="008E6DA4"/>
    <w:rsid w:val="008E6DA7"/>
    <w:rsid w:val="008E6EA3"/>
    <w:rsid w:val="008E6F16"/>
    <w:rsid w:val="008E7488"/>
    <w:rsid w:val="008E76E5"/>
    <w:rsid w:val="008E7822"/>
    <w:rsid w:val="008E7A21"/>
    <w:rsid w:val="008E7C1F"/>
    <w:rsid w:val="008E7C80"/>
    <w:rsid w:val="008E7D93"/>
    <w:rsid w:val="008E7DD1"/>
    <w:rsid w:val="008F0033"/>
    <w:rsid w:val="008F0170"/>
    <w:rsid w:val="008F0582"/>
    <w:rsid w:val="008F0672"/>
    <w:rsid w:val="008F0739"/>
    <w:rsid w:val="008F087B"/>
    <w:rsid w:val="008F08D8"/>
    <w:rsid w:val="008F0BB1"/>
    <w:rsid w:val="008F0BF2"/>
    <w:rsid w:val="008F1171"/>
    <w:rsid w:val="008F183A"/>
    <w:rsid w:val="008F186A"/>
    <w:rsid w:val="008F1A2D"/>
    <w:rsid w:val="008F1D1C"/>
    <w:rsid w:val="008F1F82"/>
    <w:rsid w:val="008F1FFC"/>
    <w:rsid w:val="008F211D"/>
    <w:rsid w:val="008F2175"/>
    <w:rsid w:val="008F23B2"/>
    <w:rsid w:val="008F2BF2"/>
    <w:rsid w:val="008F2D03"/>
    <w:rsid w:val="008F2DFA"/>
    <w:rsid w:val="008F3030"/>
    <w:rsid w:val="008F32A5"/>
    <w:rsid w:val="008F34BA"/>
    <w:rsid w:val="008F3819"/>
    <w:rsid w:val="008F38D3"/>
    <w:rsid w:val="008F3BF5"/>
    <w:rsid w:val="008F3D0C"/>
    <w:rsid w:val="008F3ECA"/>
    <w:rsid w:val="008F4239"/>
    <w:rsid w:val="008F4347"/>
    <w:rsid w:val="008F4989"/>
    <w:rsid w:val="008F49FC"/>
    <w:rsid w:val="008F49FF"/>
    <w:rsid w:val="008F4CEF"/>
    <w:rsid w:val="008F4DDD"/>
    <w:rsid w:val="008F53B5"/>
    <w:rsid w:val="008F58E4"/>
    <w:rsid w:val="008F58FA"/>
    <w:rsid w:val="008F59A8"/>
    <w:rsid w:val="008F5B79"/>
    <w:rsid w:val="008F5DC3"/>
    <w:rsid w:val="008F6137"/>
    <w:rsid w:val="008F63DB"/>
    <w:rsid w:val="008F64F5"/>
    <w:rsid w:val="008F6732"/>
    <w:rsid w:val="008F67E2"/>
    <w:rsid w:val="008F6840"/>
    <w:rsid w:val="008F6865"/>
    <w:rsid w:val="008F6E29"/>
    <w:rsid w:val="008F6E71"/>
    <w:rsid w:val="008F7067"/>
    <w:rsid w:val="008F716C"/>
    <w:rsid w:val="008F72B5"/>
    <w:rsid w:val="008F734B"/>
    <w:rsid w:val="008F75D3"/>
    <w:rsid w:val="008F76B2"/>
    <w:rsid w:val="008F78FC"/>
    <w:rsid w:val="008F791B"/>
    <w:rsid w:val="008F7C28"/>
    <w:rsid w:val="0090004B"/>
    <w:rsid w:val="00900077"/>
    <w:rsid w:val="009002D8"/>
    <w:rsid w:val="00900432"/>
    <w:rsid w:val="00900479"/>
    <w:rsid w:val="0090047B"/>
    <w:rsid w:val="00900ED8"/>
    <w:rsid w:val="0090153B"/>
    <w:rsid w:val="009016FC"/>
    <w:rsid w:val="009017D3"/>
    <w:rsid w:val="009020CA"/>
    <w:rsid w:val="009026BC"/>
    <w:rsid w:val="00902830"/>
    <w:rsid w:val="009028B7"/>
    <w:rsid w:val="00902CE0"/>
    <w:rsid w:val="00902CF6"/>
    <w:rsid w:val="00902EAE"/>
    <w:rsid w:val="00903492"/>
    <w:rsid w:val="0090361A"/>
    <w:rsid w:val="00903645"/>
    <w:rsid w:val="009038CE"/>
    <w:rsid w:val="00903917"/>
    <w:rsid w:val="009039EC"/>
    <w:rsid w:val="00903E4F"/>
    <w:rsid w:val="00904480"/>
    <w:rsid w:val="009044CC"/>
    <w:rsid w:val="00904757"/>
    <w:rsid w:val="009047DF"/>
    <w:rsid w:val="00904B8D"/>
    <w:rsid w:val="00905457"/>
    <w:rsid w:val="009057F7"/>
    <w:rsid w:val="009058A5"/>
    <w:rsid w:val="0090597B"/>
    <w:rsid w:val="009059F8"/>
    <w:rsid w:val="00905BBB"/>
    <w:rsid w:val="00905C63"/>
    <w:rsid w:val="00905D0F"/>
    <w:rsid w:val="00905FB4"/>
    <w:rsid w:val="009063FE"/>
    <w:rsid w:val="009065D7"/>
    <w:rsid w:val="009068E0"/>
    <w:rsid w:val="00906A3C"/>
    <w:rsid w:val="00906B04"/>
    <w:rsid w:val="00906C41"/>
    <w:rsid w:val="00906E3A"/>
    <w:rsid w:val="00906E67"/>
    <w:rsid w:val="00907051"/>
    <w:rsid w:val="009075F5"/>
    <w:rsid w:val="009077D2"/>
    <w:rsid w:val="00907820"/>
    <w:rsid w:val="00907B2B"/>
    <w:rsid w:val="00907C6E"/>
    <w:rsid w:val="00907D32"/>
    <w:rsid w:val="00907D7A"/>
    <w:rsid w:val="00907E5B"/>
    <w:rsid w:val="00907E6F"/>
    <w:rsid w:val="00910062"/>
    <w:rsid w:val="00910184"/>
    <w:rsid w:val="0091036A"/>
    <w:rsid w:val="0091036E"/>
    <w:rsid w:val="009107AD"/>
    <w:rsid w:val="009108ED"/>
    <w:rsid w:val="00911A6B"/>
    <w:rsid w:val="00911D4E"/>
    <w:rsid w:val="00911EB0"/>
    <w:rsid w:val="0091207A"/>
    <w:rsid w:val="009120F8"/>
    <w:rsid w:val="009125F6"/>
    <w:rsid w:val="00912669"/>
    <w:rsid w:val="00912941"/>
    <w:rsid w:val="00912A72"/>
    <w:rsid w:val="0091324C"/>
    <w:rsid w:val="00913620"/>
    <w:rsid w:val="00914C6D"/>
    <w:rsid w:val="00914D0F"/>
    <w:rsid w:val="00914EE5"/>
    <w:rsid w:val="00915102"/>
    <w:rsid w:val="009154EE"/>
    <w:rsid w:val="009155B0"/>
    <w:rsid w:val="009156A4"/>
    <w:rsid w:val="00915890"/>
    <w:rsid w:val="00915948"/>
    <w:rsid w:val="00915D86"/>
    <w:rsid w:val="00915F68"/>
    <w:rsid w:val="009165F1"/>
    <w:rsid w:val="009167DA"/>
    <w:rsid w:val="00916E7F"/>
    <w:rsid w:val="0091728B"/>
    <w:rsid w:val="0091764E"/>
    <w:rsid w:val="00917C28"/>
    <w:rsid w:val="00917EC6"/>
    <w:rsid w:val="00920157"/>
    <w:rsid w:val="00920452"/>
    <w:rsid w:val="0092050E"/>
    <w:rsid w:val="00920732"/>
    <w:rsid w:val="00920974"/>
    <w:rsid w:val="00920D80"/>
    <w:rsid w:val="00920F9D"/>
    <w:rsid w:val="00920FC9"/>
    <w:rsid w:val="0092123D"/>
    <w:rsid w:val="0092132F"/>
    <w:rsid w:val="00921511"/>
    <w:rsid w:val="00921632"/>
    <w:rsid w:val="00921647"/>
    <w:rsid w:val="009217F8"/>
    <w:rsid w:val="009218F2"/>
    <w:rsid w:val="00921C6B"/>
    <w:rsid w:val="009222CB"/>
    <w:rsid w:val="00922326"/>
    <w:rsid w:val="009223B4"/>
    <w:rsid w:val="009224E1"/>
    <w:rsid w:val="009224FC"/>
    <w:rsid w:val="00922700"/>
    <w:rsid w:val="00922AB3"/>
    <w:rsid w:val="00922B1B"/>
    <w:rsid w:val="00923234"/>
    <w:rsid w:val="0092378F"/>
    <w:rsid w:val="009237BA"/>
    <w:rsid w:val="00923847"/>
    <w:rsid w:val="009238B9"/>
    <w:rsid w:val="00923B61"/>
    <w:rsid w:val="00924076"/>
    <w:rsid w:val="00924090"/>
    <w:rsid w:val="0092410F"/>
    <w:rsid w:val="0092420B"/>
    <w:rsid w:val="00924562"/>
    <w:rsid w:val="00924688"/>
    <w:rsid w:val="00924AFF"/>
    <w:rsid w:val="00924D35"/>
    <w:rsid w:val="00924D47"/>
    <w:rsid w:val="00924D6D"/>
    <w:rsid w:val="009250AC"/>
    <w:rsid w:val="009250D5"/>
    <w:rsid w:val="009251CA"/>
    <w:rsid w:val="009252CD"/>
    <w:rsid w:val="00925305"/>
    <w:rsid w:val="009253F5"/>
    <w:rsid w:val="0092549C"/>
    <w:rsid w:val="0092555D"/>
    <w:rsid w:val="00925928"/>
    <w:rsid w:val="0092595C"/>
    <w:rsid w:val="009259DB"/>
    <w:rsid w:val="00925B5F"/>
    <w:rsid w:val="00925C4B"/>
    <w:rsid w:val="00925DD8"/>
    <w:rsid w:val="009260E1"/>
    <w:rsid w:val="00926418"/>
    <w:rsid w:val="0092648A"/>
    <w:rsid w:val="00926826"/>
    <w:rsid w:val="00926E97"/>
    <w:rsid w:val="00926EAB"/>
    <w:rsid w:val="009270B7"/>
    <w:rsid w:val="00927166"/>
    <w:rsid w:val="009279A3"/>
    <w:rsid w:val="00927B4C"/>
    <w:rsid w:val="00927D8B"/>
    <w:rsid w:val="00927EBA"/>
    <w:rsid w:val="00927F81"/>
    <w:rsid w:val="00927FBF"/>
    <w:rsid w:val="0093023B"/>
    <w:rsid w:val="009303B3"/>
    <w:rsid w:val="00930497"/>
    <w:rsid w:val="0093078D"/>
    <w:rsid w:val="00930793"/>
    <w:rsid w:val="009309BB"/>
    <w:rsid w:val="00930A95"/>
    <w:rsid w:val="00930B6E"/>
    <w:rsid w:val="00931165"/>
    <w:rsid w:val="00931341"/>
    <w:rsid w:val="0093135D"/>
    <w:rsid w:val="00931872"/>
    <w:rsid w:val="00931929"/>
    <w:rsid w:val="009319BE"/>
    <w:rsid w:val="00931A98"/>
    <w:rsid w:val="00931FBD"/>
    <w:rsid w:val="00932072"/>
    <w:rsid w:val="009320FD"/>
    <w:rsid w:val="00932174"/>
    <w:rsid w:val="0093224F"/>
    <w:rsid w:val="00932472"/>
    <w:rsid w:val="00932536"/>
    <w:rsid w:val="009326E5"/>
    <w:rsid w:val="0093291D"/>
    <w:rsid w:val="009329AA"/>
    <w:rsid w:val="00932D37"/>
    <w:rsid w:val="00932D67"/>
    <w:rsid w:val="00933170"/>
    <w:rsid w:val="009331D5"/>
    <w:rsid w:val="0093324D"/>
    <w:rsid w:val="009332A1"/>
    <w:rsid w:val="00933469"/>
    <w:rsid w:val="00933649"/>
    <w:rsid w:val="00933748"/>
    <w:rsid w:val="0093381F"/>
    <w:rsid w:val="00933A7F"/>
    <w:rsid w:val="00933AFC"/>
    <w:rsid w:val="00933B1E"/>
    <w:rsid w:val="00933C1E"/>
    <w:rsid w:val="00933C6C"/>
    <w:rsid w:val="00933E22"/>
    <w:rsid w:val="0093407D"/>
    <w:rsid w:val="0093426A"/>
    <w:rsid w:val="009343EC"/>
    <w:rsid w:val="0093443C"/>
    <w:rsid w:val="009344FF"/>
    <w:rsid w:val="00934E3A"/>
    <w:rsid w:val="009355AB"/>
    <w:rsid w:val="009355C4"/>
    <w:rsid w:val="00935624"/>
    <w:rsid w:val="00935729"/>
    <w:rsid w:val="00935857"/>
    <w:rsid w:val="00935898"/>
    <w:rsid w:val="0093598C"/>
    <w:rsid w:val="00935A20"/>
    <w:rsid w:val="00935A6C"/>
    <w:rsid w:val="00935B31"/>
    <w:rsid w:val="00935B41"/>
    <w:rsid w:val="00935C4A"/>
    <w:rsid w:val="00935CEF"/>
    <w:rsid w:val="00935D43"/>
    <w:rsid w:val="00936513"/>
    <w:rsid w:val="00936994"/>
    <w:rsid w:val="00936B3D"/>
    <w:rsid w:val="00936C20"/>
    <w:rsid w:val="00936C2A"/>
    <w:rsid w:val="00936DF0"/>
    <w:rsid w:val="00936E61"/>
    <w:rsid w:val="00936FB3"/>
    <w:rsid w:val="00936FD7"/>
    <w:rsid w:val="00937034"/>
    <w:rsid w:val="009375FC"/>
    <w:rsid w:val="00937640"/>
    <w:rsid w:val="009377F7"/>
    <w:rsid w:val="00937D64"/>
    <w:rsid w:val="0094007F"/>
    <w:rsid w:val="0094055E"/>
    <w:rsid w:val="00940790"/>
    <w:rsid w:val="009407D0"/>
    <w:rsid w:val="00940C9E"/>
    <w:rsid w:val="00940CD6"/>
    <w:rsid w:val="00940EDE"/>
    <w:rsid w:val="0094126F"/>
    <w:rsid w:val="009412EA"/>
    <w:rsid w:val="00941537"/>
    <w:rsid w:val="00941750"/>
    <w:rsid w:val="00941A2F"/>
    <w:rsid w:val="00941BA9"/>
    <w:rsid w:val="00941C4C"/>
    <w:rsid w:val="00941D18"/>
    <w:rsid w:val="00941F81"/>
    <w:rsid w:val="00942489"/>
    <w:rsid w:val="009425EF"/>
    <w:rsid w:val="009427EA"/>
    <w:rsid w:val="00942F31"/>
    <w:rsid w:val="0094318D"/>
    <w:rsid w:val="009432C2"/>
    <w:rsid w:val="009433DA"/>
    <w:rsid w:val="009433DC"/>
    <w:rsid w:val="009435DC"/>
    <w:rsid w:val="00943AFB"/>
    <w:rsid w:val="00943B6C"/>
    <w:rsid w:val="00943C39"/>
    <w:rsid w:val="00943D76"/>
    <w:rsid w:val="00943E45"/>
    <w:rsid w:val="00943FD8"/>
    <w:rsid w:val="009440D5"/>
    <w:rsid w:val="00944151"/>
    <w:rsid w:val="009445F0"/>
    <w:rsid w:val="009448D7"/>
    <w:rsid w:val="009448E1"/>
    <w:rsid w:val="00944A7F"/>
    <w:rsid w:val="00944D6F"/>
    <w:rsid w:val="00944E6D"/>
    <w:rsid w:val="00944EE3"/>
    <w:rsid w:val="00945004"/>
    <w:rsid w:val="009452BF"/>
    <w:rsid w:val="0094547F"/>
    <w:rsid w:val="009455E7"/>
    <w:rsid w:val="0094572E"/>
    <w:rsid w:val="00945F53"/>
    <w:rsid w:val="00945FA3"/>
    <w:rsid w:val="00946212"/>
    <w:rsid w:val="00946219"/>
    <w:rsid w:val="0094657B"/>
    <w:rsid w:val="00946837"/>
    <w:rsid w:val="00946871"/>
    <w:rsid w:val="009468EE"/>
    <w:rsid w:val="00946CAD"/>
    <w:rsid w:val="00946E28"/>
    <w:rsid w:val="00946FF1"/>
    <w:rsid w:val="00947041"/>
    <w:rsid w:val="0094715E"/>
    <w:rsid w:val="009471CF"/>
    <w:rsid w:val="0094756B"/>
    <w:rsid w:val="0094758F"/>
    <w:rsid w:val="00947665"/>
    <w:rsid w:val="0094782E"/>
    <w:rsid w:val="00947E9F"/>
    <w:rsid w:val="00947FF6"/>
    <w:rsid w:val="0095003D"/>
    <w:rsid w:val="009500E4"/>
    <w:rsid w:val="009500E6"/>
    <w:rsid w:val="009503D8"/>
    <w:rsid w:val="00950556"/>
    <w:rsid w:val="00950732"/>
    <w:rsid w:val="009507A5"/>
    <w:rsid w:val="00950828"/>
    <w:rsid w:val="009510E8"/>
    <w:rsid w:val="0095111D"/>
    <w:rsid w:val="00951292"/>
    <w:rsid w:val="00951446"/>
    <w:rsid w:val="00951458"/>
    <w:rsid w:val="0095146D"/>
    <w:rsid w:val="009517A5"/>
    <w:rsid w:val="0095189F"/>
    <w:rsid w:val="00951A10"/>
    <w:rsid w:val="00951B0A"/>
    <w:rsid w:val="00951DC0"/>
    <w:rsid w:val="00951FC7"/>
    <w:rsid w:val="0095258C"/>
    <w:rsid w:val="009526E8"/>
    <w:rsid w:val="00952C44"/>
    <w:rsid w:val="00952F14"/>
    <w:rsid w:val="00953048"/>
    <w:rsid w:val="00953585"/>
    <w:rsid w:val="009536A1"/>
    <w:rsid w:val="0095386A"/>
    <w:rsid w:val="00953888"/>
    <w:rsid w:val="00953B00"/>
    <w:rsid w:val="00953E23"/>
    <w:rsid w:val="0095400C"/>
    <w:rsid w:val="0095412E"/>
    <w:rsid w:val="00954383"/>
    <w:rsid w:val="009545FC"/>
    <w:rsid w:val="00954627"/>
    <w:rsid w:val="009546C3"/>
    <w:rsid w:val="00954702"/>
    <w:rsid w:val="00954D79"/>
    <w:rsid w:val="00954F27"/>
    <w:rsid w:val="00954F66"/>
    <w:rsid w:val="00955021"/>
    <w:rsid w:val="00955809"/>
    <w:rsid w:val="009558B2"/>
    <w:rsid w:val="009566F3"/>
    <w:rsid w:val="00956741"/>
    <w:rsid w:val="00956A6B"/>
    <w:rsid w:val="00956C1B"/>
    <w:rsid w:val="00956D42"/>
    <w:rsid w:val="00956E2D"/>
    <w:rsid w:val="00956F69"/>
    <w:rsid w:val="0095719C"/>
    <w:rsid w:val="009573F8"/>
    <w:rsid w:val="00957422"/>
    <w:rsid w:val="00957782"/>
    <w:rsid w:val="00957817"/>
    <w:rsid w:val="00957A48"/>
    <w:rsid w:val="00957F52"/>
    <w:rsid w:val="00957F85"/>
    <w:rsid w:val="00957FC8"/>
    <w:rsid w:val="009601B5"/>
    <w:rsid w:val="009603FA"/>
    <w:rsid w:val="00960600"/>
    <w:rsid w:val="0096072C"/>
    <w:rsid w:val="009607DC"/>
    <w:rsid w:val="0096095E"/>
    <w:rsid w:val="0096097E"/>
    <w:rsid w:val="00960ABE"/>
    <w:rsid w:val="00960CE1"/>
    <w:rsid w:val="00960DA2"/>
    <w:rsid w:val="00960EF5"/>
    <w:rsid w:val="0096107C"/>
    <w:rsid w:val="009612B1"/>
    <w:rsid w:val="009613B1"/>
    <w:rsid w:val="00961510"/>
    <w:rsid w:val="009616D3"/>
    <w:rsid w:val="00961C30"/>
    <w:rsid w:val="00961D54"/>
    <w:rsid w:val="00962174"/>
    <w:rsid w:val="00962586"/>
    <w:rsid w:val="009626ED"/>
    <w:rsid w:val="00962713"/>
    <w:rsid w:val="00962764"/>
    <w:rsid w:val="00962930"/>
    <w:rsid w:val="00962958"/>
    <w:rsid w:val="00962983"/>
    <w:rsid w:val="00962B8F"/>
    <w:rsid w:val="00962BD7"/>
    <w:rsid w:val="00962C17"/>
    <w:rsid w:val="00962D04"/>
    <w:rsid w:val="00962D77"/>
    <w:rsid w:val="00962EA5"/>
    <w:rsid w:val="00963467"/>
    <w:rsid w:val="009639BC"/>
    <w:rsid w:val="009639EA"/>
    <w:rsid w:val="00963A34"/>
    <w:rsid w:val="00963B2D"/>
    <w:rsid w:val="00963BFB"/>
    <w:rsid w:val="00963F86"/>
    <w:rsid w:val="00964328"/>
    <w:rsid w:val="009644F6"/>
    <w:rsid w:val="009648F3"/>
    <w:rsid w:val="00964EB4"/>
    <w:rsid w:val="009655B6"/>
    <w:rsid w:val="00965B8C"/>
    <w:rsid w:val="00965B90"/>
    <w:rsid w:val="00965BE3"/>
    <w:rsid w:val="009674C5"/>
    <w:rsid w:val="009677FE"/>
    <w:rsid w:val="00967B22"/>
    <w:rsid w:val="00967B4C"/>
    <w:rsid w:val="00967B5D"/>
    <w:rsid w:val="00967BF0"/>
    <w:rsid w:val="0097052B"/>
    <w:rsid w:val="00970750"/>
    <w:rsid w:val="00970BAA"/>
    <w:rsid w:val="00970E86"/>
    <w:rsid w:val="00970F21"/>
    <w:rsid w:val="00971036"/>
    <w:rsid w:val="00971156"/>
    <w:rsid w:val="00971288"/>
    <w:rsid w:val="00971311"/>
    <w:rsid w:val="00971A00"/>
    <w:rsid w:val="00971C8A"/>
    <w:rsid w:val="00971DAF"/>
    <w:rsid w:val="00971E34"/>
    <w:rsid w:val="00971FD6"/>
    <w:rsid w:val="009720CF"/>
    <w:rsid w:val="00972268"/>
    <w:rsid w:val="00972746"/>
    <w:rsid w:val="00972E99"/>
    <w:rsid w:val="00973172"/>
    <w:rsid w:val="009731B9"/>
    <w:rsid w:val="0097324D"/>
    <w:rsid w:val="0097338A"/>
    <w:rsid w:val="009735B1"/>
    <w:rsid w:val="0097408F"/>
    <w:rsid w:val="009745B0"/>
    <w:rsid w:val="0097461F"/>
    <w:rsid w:val="00974622"/>
    <w:rsid w:val="009746A5"/>
    <w:rsid w:val="009747A1"/>
    <w:rsid w:val="00974DDE"/>
    <w:rsid w:val="00974ECC"/>
    <w:rsid w:val="00975056"/>
    <w:rsid w:val="00975156"/>
    <w:rsid w:val="009752F1"/>
    <w:rsid w:val="00975F8E"/>
    <w:rsid w:val="0097600A"/>
    <w:rsid w:val="009761A3"/>
    <w:rsid w:val="009766BF"/>
    <w:rsid w:val="0097693B"/>
    <w:rsid w:val="00976A22"/>
    <w:rsid w:val="00976D2D"/>
    <w:rsid w:val="0097746B"/>
    <w:rsid w:val="0097763E"/>
    <w:rsid w:val="009776DC"/>
    <w:rsid w:val="00977A6D"/>
    <w:rsid w:val="00977E9F"/>
    <w:rsid w:val="00977FC4"/>
    <w:rsid w:val="009801FC"/>
    <w:rsid w:val="0098041B"/>
    <w:rsid w:val="009805D7"/>
    <w:rsid w:val="009807C8"/>
    <w:rsid w:val="00980A6C"/>
    <w:rsid w:val="00980B59"/>
    <w:rsid w:val="00980F11"/>
    <w:rsid w:val="00980FCC"/>
    <w:rsid w:val="0098123D"/>
    <w:rsid w:val="009815BE"/>
    <w:rsid w:val="009819AE"/>
    <w:rsid w:val="00981DC0"/>
    <w:rsid w:val="00982602"/>
    <w:rsid w:val="00982613"/>
    <w:rsid w:val="0098282E"/>
    <w:rsid w:val="009829E4"/>
    <w:rsid w:val="00982DA2"/>
    <w:rsid w:val="00983211"/>
    <w:rsid w:val="0098358A"/>
    <w:rsid w:val="0098382A"/>
    <w:rsid w:val="0098394C"/>
    <w:rsid w:val="00983A27"/>
    <w:rsid w:val="00983AEB"/>
    <w:rsid w:val="00984110"/>
    <w:rsid w:val="00984380"/>
    <w:rsid w:val="00984575"/>
    <w:rsid w:val="009847AE"/>
    <w:rsid w:val="00984BF5"/>
    <w:rsid w:val="00984E3F"/>
    <w:rsid w:val="009851AA"/>
    <w:rsid w:val="009852B0"/>
    <w:rsid w:val="00985364"/>
    <w:rsid w:val="00985494"/>
    <w:rsid w:val="0098562D"/>
    <w:rsid w:val="00985BB5"/>
    <w:rsid w:val="00985BFB"/>
    <w:rsid w:val="00985C23"/>
    <w:rsid w:val="00985EBB"/>
    <w:rsid w:val="00985F8E"/>
    <w:rsid w:val="00985F8F"/>
    <w:rsid w:val="00986010"/>
    <w:rsid w:val="0098603D"/>
    <w:rsid w:val="0098627B"/>
    <w:rsid w:val="00986342"/>
    <w:rsid w:val="009864F4"/>
    <w:rsid w:val="0098674B"/>
    <w:rsid w:val="00986B0D"/>
    <w:rsid w:val="00986B15"/>
    <w:rsid w:val="00986DE6"/>
    <w:rsid w:val="00986E02"/>
    <w:rsid w:val="00986E58"/>
    <w:rsid w:val="009878B3"/>
    <w:rsid w:val="009879AC"/>
    <w:rsid w:val="00987BC6"/>
    <w:rsid w:val="00987BFF"/>
    <w:rsid w:val="00987F06"/>
    <w:rsid w:val="009900AC"/>
    <w:rsid w:val="00990249"/>
    <w:rsid w:val="0099058F"/>
    <w:rsid w:val="00990864"/>
    <w:rsid w:val="00990904"/>
    <w:rsid w:val="00990D83"/>
    <w:rsid w:val="00990DD4"/>
    <w:rsid w:val="00990E96"/>
    <w:rsid w:val="0099140C"/>
    <w:rsid w:val="00991425"/>
    <w:rsid w:val="009914A3"/>
    <w:rsid w:val="009914A7"/>
    <w:rsid w:val="009916BC"/>
    <w:rsid w:val="009917D4"/>
    <w:rsid w:val="009919E2"/>
    <w:rsid w:val="00991A6E"/>
    <w:rsid w:val="00991AD5"/>
    <w:rsid w:val="00991B9D"/>
    <w:rsid w:val="00991D77"/>
    <w:rsid w:val="00991EB1"/>
    <w:rsid w:val="00991ED7"/>
    <w:rsid w:val="00992116"/>
    <w:rsid w:val="009921BD"/>
    <w:rsid w:val="0099224F"/>
    <w:rsid w:val="0099269E"/>
    <w:rsid w:val="009926BF"/>
    <w:rsid w:val="009929BE"/>
    <w:rsid w:val="009929E8"/>
    <w:rsid w:val="00992AB0"/>
    <w:rsid w:val="00992B61"/>
    <w:rsid w:val="0099301C"/>
    <w:rsid w:val="00993347"/>
    <w:rsid w:val="009934D2"/>
    <w:rsid w:val="0099373E"/>
    <w:rsid w:val="009938C4"/>
    <w:rsid w:val="00993D42"/>
    <w:rsid w:val="0099400C"/>
    <w:rsid w:val="0099413B"/>
    <w:rsid w:val="00994296"/>
    <w:rsid w:val="0099451B"/>
    <w:rsid w:val="00994562"/>
    <w:rsid w:val="00994B6A"/>
    <w:rsid w:val="00994BBC"/>
    <w:rsid w:val="00994F76"/>
    <w:rsid w:val="00994FD7"/>
    <w:rsid w:val="00995028"/>
    <w:rsid w:val="0099507C"/>
    <w:rsid w:val="00995134"/>
    <w:rsid w:val="0099566C"/>
    <w:rsid w:val="00995DC1"/>
    <w:rsid w:val="009961D3"/>
    <w:rsid w:val="00996503"/>
    <w:rsid w:val="009967DE"/>
    <w:rsid w:val="009970BF"/>
    <w:rsid w:val="009970F5"/>
    <w:rsid w:val="009975CA"/>
    <w:rsid w:val="00997788"/>
    <w:rsid w:val="009979D1"/>
    <w:rsid w:val="00997AAC"/>
    <w:rsid w:val="00997BA0"/>
    <w:rsid w:val="00997E36"/>
    <w:rsid w:val="009A0310"/>
    <w:rsid w:val="009A034F"/>
    <w:rsid w:val="009A03D4"/>
    <w:rsid w:val="009A05BD"/>
    <w:rsid w:val="009A05C1"/>
    <w:rsid w:val="009A0748"/>
    <w:rsid w:val="009A0C00"/>
    <w:rsid w:val="009A0D71"/>
    <w:rsid w:val="009A0EE9"/>
    <w:rsid w:val="009A12FE"/>
    <w:rsid w:val="009A166D"/>
    <w:rsid w:val="009A177D"/>
    <w:rsid w:val="009A19DA"/>
    <w:rsid w:val="009A22E5"/>
    <w:rsid w:val="009A2506"/>
    <w:rsid w:val="009A27B6"/>
    <w:rsid w:val="009A2975"/>
    <w:rsid w:val="009A2D65"/>
    <w:rsid w:val="009A321C"/>
    <w:rsid w:val="009A3234"/>
    <w:rsid w:val="009A33C7"/>
    <w:rsid w:val="009A3655"/>
    <w:rsid w:val="009A3731"/>
    <w:rsid w:val="009A43F1"/>
    <w:rsid w:val="009A46E2"/>
    <w:rsid w:val="009A4845"/>
    <w:rsid w:val="009A4C72"/>
    <w:rsid w:val="009A4CB7"/>
    <w:rsid w:val="009A4FDD"/>
    <w:rsid w:val="009A50B1"/>
    <w:rsid w:val="009A568D"/>
    <w:rsid w:val="009A5857"/>
    <w:rsid w:val="009A59DB"/>
    <w:rsid w:val="009A5B4F"/>
    <w:rsid w:val="009A5F5C"/>
    <w:rsid w:val="009A5FA0"/>
    <w:rsid w:val="009A604B"/>
    <w:rsid w:val="009A6573"/>
    <w:rsid w:val="009A658C"/>
    <w:rsid w:val="009A6648"/>
    <w:rsid w:val="009A6750"/>
    <w:rsid w:val="009A6962"/>
    <w:rsid w:val="009A6AB1"/>
    <w:rsid w:val="009A6B8D"/>
    <w:rsid w:val="009A6C4B"/>
    <w:rsid w:val="009A6D55"/>
    <w:rsid w:val="009A6F9B"/>
    <w:rsid w:val="009A7074"/>
    <w:rsid w:val="009A7207"/>
    <w:rsid w:val="009A7250"/>
    <w:rsid w:val="009A733C"/>
    <w:rsid w:val="009A76DC"/>
    <w:rsid w:val="009A76F8"/>
    <w:rsid w:val="009A7A2F"/>
    <w:rsid w:val="009A7A5D"/>
    <w:rsid w:val="009A7AA9"/>
    <w:rsid w:val="009A7BE5"/>
    <w:rsid w:val="009A7DE0"/>
    <w:rsid w:val="009B011B"/>
    <w:rsid w:val="009B0264"/>
    <w:rsid w:val="009B06D6"/>
    <w:rsid w:val="009B06EA"/>
    <w:rsid w:val="009B075E"/>
    <w:rsid w:val="009B09E2"/>
    <w:rsid w:val="009B0AAB"/>
    <w:rsid w:val="009B0CA6"/>
    <w:rsid w:val="009B0ECF"/>
    <w:rsid w:val="009B1079"/>
    <w:rsid w:val="009B1131"/>
    <w:rsid w:val="009B12F1"/>
    <w:rsid w:val="009B1313"/>
    <w:rsid w:val="009B1754"/>
    <w:rsid w:val="009B17A1"/>
    <w:rsid w:val="009B17C9"/>
    <w:rsid w:val="009B19FF"/>
    <w:rsid w:val="009B1CF2"/>
    <w:rsid w:val="009B1D08"/>
    <w:rsid w:val="009B1D79"/>
    <w:rsid w:val="009B1E8B"/>
    <w:rsid w:val="009B2072"/>
    <w:rsid w:val="009B25A7"/>
    <w:rsid w:val="009B2DF0"/>
    <w:rsid w:val="009B2F12"/>
    <w:rsid w:val="009B32A7"/>
    <w:rsid w:val="009B369A"/>
    <w:rsid w:val="009B36DD"/>
    <w:rsid w:val="009B3948"/>
    <w:rsid w:val="009B3A93"/>
    <w:rsid w:val="009B3EA6"/>
    <w:rsid w:val="009B3F9E"/>
    <w:rsid w:val="009B40DB"/>
    <w:rsid w:val="009B47A4"/>
    <w:rsid w:val="009B4826"/>
    <w:rsid w:val="009B4B0C"/>
    <w:rsid w:val="009B4C32"/>
    <w:rsid w:val="009B4CBA"/>
    <w:rsid w:val="009B4E03"/>
    <w:rsid w:val="009B5069"/>
    <w:rsid w:val="009B5175"/>
    <w:rsid w:val="009B52AF"/>
    <w:rsid w:val="009B52D6"/>
    <w:rsid w:val="009B531D"/>
    <w:rsid w:val="009B558E"/>
    <w:rsid w:val="009B5A20"/>
    <w:rsid w:val="009B5B78"/>
    <w:rsid w:val="009B5BA2"/>
    <w:rsid w:val="009B6179"/>
    <w:rsid w:val="009B6306"/>
    <w:rsid w:val="009B6388"/>
    <w:rsid w:val="009B664D"/>
    <w:rsid w:val="009B68EC"/>
    <w:rsid w:val="009B6CBC"/>
    <w:rsid w:val="009B6D4A"/>
    <w:rsid w:val="009B70AD"/>
    <w:rsid w:val="009B73DC"/>
    <w:rsid w:val="009B7432"/>
    <w:rsid w:val="009B775F"/>
    <w:rsid w:val="009B7DCC"/>
    <w:rsid w:val="009B7F7A"/>
    <w:rsid w:val="009B7F96"/>
    <w:rsid w:val="009C0122"/>
    <w:rsid w:val="009C0634"/>
    <w:rsid w:val="009C077C"/>
    <w:rsid w:val="009C0A89"/>
    <w:rsid w:val="009C0B3B"/>
    <w:rsid w:val="009C1087"/>
    <w:rsid w:val="009C109A"/>
    <w:rsid w:val="009C1490"/>
    <w:rsid w:val="009C1793"/>
    <w:rsid w:val="009C17B4"/>
    <w:rsid w:val="009C18D2"/>
    <w:rsid w:val="009C1E67"/>
    <w:rsid w:val="009C2205"/>
    <w:rsid w:val="009C231C"/>
    <w:rsid w:val="009C244C"/>
    <w:rsid w:val="009C25BE"/>
    <w:rsid w:val="009C2C37"/>
    <w:rsid w:val="009C2DAA"/>
    <w:rsid w:val="009C2E08"/>
    <w:rsid w:val="009C3433"/>
    <w:rsid w:val="009C38E6"/>
    <w:rsid w:val="009C3A15"/>
    <w:rsid w:val="009C3C59"/>
    <w:rsid w:val="009C3DE2"/>
    <w:rsid w:val="009C3EBD"/>
    <w:rsid w:val="009C4002"/>
    <w:rsid w:val="009C420B"/>
    <w:rsid w:val="009C4492"/>
    <w:rsid w:val="009C475F"/>
    <w:rsid w:val="009C48ED"/>
    <w:rsid w:val="009C4A78"/>
    <w:rsid w:val="009C4B21"/>
    <w:rsid w:val="009C5031"/>
    <w:rsid w:val="009C5062"/>
    <w:rsid w:val="009C5518"/>
    <w:rsid w:val="009C56F0"/>
    <w:rsid w:val="009C57E8"/>
    <w:rsid w:val="009C5B44"/>
    <w:rsid w:val="009C5B80"/>
    <w:rsid w:val="009C5D00"/>
    <w:rsid w:val="009C6134"/>
    <w:rsid w:val="009C61C2"/>
    <w:rsid w:val="009C6287"/>
    <w:rsid w:val="009C62AA"/>
    <w:rsid w:val="009C64DE"/>
    <w:rsid w:val="009C652D"/>
    <w:rsid w:val="009C6701"/>
    <w:rsid w:val="009C6856"/>
    <w:rsid w:val="009C6926"/>
    <w:rsid w:val="009C69CC"/>
    <w:rsid w:val="009C6A40"/>
    <w:rsid w:val="009C6C3E"/>
    <w:rsid w:val="009C6DDE"/>
    <w:rsid w:val="009C73FC"/>
    <w:rsid w:val="009C747E"/>
    <w:rsid w:val="009C7518"/>
    <w:rsid w:val="009C7764"/>
    <w:rsid w:val="009C78B9"/>
    <w:rsid w:val="009C79EA"/>
    <w:rsid w:val="009D014D"/>
    <w:rsid w:val="009D01BE"/>
    <w:rsid w:val="009D0A30"/>
    <w:rsid w:val="009D0CC1"/>
    <w:rsid w:val="009D0E57"/>
    <w:rsid w:val="009D11F0"/>
    <w:rsid w:val="009D1AA6"/>
    <w:rsid w:val="009D1BBD"/>
    <w:rsid w:val="009D1E13"/>
    <w:rsid w:val="009D1FAC"/>
    <w:rsid w:val="009D2046"/>
    <w:rsid w:val="009D2399"/>
    <w:rsid w:val="009D246B"/>
    <w:rsid w:val="009D27EC"/>
    <w:rsid w:val="009D2A9D"/>
    <w:rsid w:val="009D31C7"/>
    <w:rsid w:val="009D3939"/>
    <w:rsid w:val="009D395A"/>
    <w:rsid w:val="009D3A33"/>
    <w:rsid w:val="009D3B7E"/>
    <w:rsid w:val="009D3CCB"/>
    <w:rsid w:val="009D3FA2"/>
    <w:rsid w:val="009D4044"/>
    <w:rsid w:val="009D42F9"/>
    <w:rsid w:val="009D44E4"/>
    <w:rsid w:val="009D4699"/>
    <w:rsid w:val="009D46FF"/>
    <w:rsid w:val="009D4A35"/>
    <w:rsid w:val="009D4CBB"/>
    <w:rsid w:val="009D5706"/>
    <w:rsid w:val="009D57A2"/>
    <w:rsid w:val="009D57FD"/>
    <w:rsid w:val="009D5A61"/>
    <w:rsid w:val="009D5B97"/>
    <w:rsid w:val="009D5BE2"/>
    <w:rsid w:val="009D5D52"/>
    <w:rsid w:val="009D5E1A"/>
    <w:rsid w:val="009D5E83"/>
    <w:rsid w:val="009D605E"/>
    <w:rsid w:val="009D6349"/>
    <w:rsid w:val="009D6AD8"/>
    <w:rsid w:val="009D6C0B"/>
    <w:rsid w:val="009D6DDB"/>
    <w:rsid w:val="009D6E82"/>
    <w:rsid w:val="009D7020"/>
    <w:rsid w:val="009D7065"/>
    <w:rsid w:val="009D7096"/>
    <w:rsid w:val="009D760F"/>
    <w:rsid w:val="009D7775"/>
    <w:rsid w:val="009D7874"/>
    <w:rsid w:val="009D78B4"/>
    <w:rsid w:val="009D7ADF"/>
    <w:rsid w:val="009D7FBA"/>
    <w:rsid w:val="009E0218"/>
    <w:rsid w:val="009E04A6"/>
    <w:rsid w:val="009E059F"/>
    <w:rsid w:val="009E06DB"/>
    <w:rsid w:val="009E06EE"/>
    <w:rsid w:val="009E08E4"/>
    <w:rsid w:val="009E10AA"/>
    <w:rsid w:val="009E132F"/>
    <w:rsid w:val="009E1361"/>
    <w:rsid w:val="009E147C"/>
    <w:rsid w:val="009E14FD"/>
    <w:rsid w:val="009E1773"/>
    <w:rsid w:val="009E199D"/>
    <w:rsid w:val="009E1A38"/>
    <w:rsid w:val="009E1AAB"/>
    <w:rsid w:val="009E1E1D"/>
    <w:rsid w:val="009E1FC0"/>
    <w:rsid w:val="009E218B"/>
    <w:rsid w:val="009E244F"/>
    <w:rsid w:val="009E2647"/>
    <w:rsid w:val="009E280F"/>
    <w:rsid w:val="009E2C14"/>
    <w:rsid w:val="009E3322"/>
    <w:rsid w:val="009E343C"/>
    <w:rsid w:val="009E3500"/>
    <w:rsid w:val="009E36BD"/>
    <w:rsid w:val="009E3818"/>
    <w:rsid w:val="009E398E"/>
    <w:rsid w:val="009E39EC"/>
    <w:rsid w:val="009E3B9D"/>
    <w:rsid w:val="009E3D15"/>
    <w:rsid w:val="009E3D6E"/>
    <w:rsid w:val="009E4001"/>
    <w:rsid w:val="009E4159"/>
    <w:rsid w:val="009E46A8"/>
    <w:rsid w:val="009E4758"/>
    <w:rsid w:val="009E4B50"/>
    <w:rsid w:val="009E4C64"/>
    <w:rsid w:val="009E50A0"/>
    <w:rsid w:val="009E5227"/>
    <w:rsid w:val="009E52C0"/>
    <w:rsid w:val="009E5659"/>
    <w:rsid w:val="009E5C5B"/>
    <w:rsid w:val="009E6058"/>
    <w:rsid w:val="009E6324"/>
    <w:rsid w:val="009E6719"/>
    <w:rsid w:val="009E677A"/>
    <w:rsid w:val="009E6851"/>
    <w:rsid w:val="009E6C12"/>
    <w:rsid w:val="009E6C75"/>
    <w:rsid w:val="009E6E63"/>
    <w:rsid w:val="009E70A4"/>
    <w:rsid w:val="009E7661"/>
    <w:rsid w:val="009E77E2"/>
    <w:rsid w:val="009E7E98"/>
    <w:rsid w:val="009F017C"/>
    <w:rsid w:val="009F02F7"/>
    <w:rsid w:val="009F03B8"/>
    <w:rsid w:val="009F0727"/>
    <w:rsid w:val="009F08D4"/>
    <w:rsid w:val="009F08F1"/>
    <w:rsid w:val="009F08F9"/>
    <w:rsid w:val="009F096D"/>
    <w:rsid w:val="009F1156"/>
    <w:rsid w:val="009F115A"/>
    <w:rsid w:val="009F138D"/>
    <w:rsid w:val="009F176A"/>
    <w:rsid w:val="009F2179"/>
    <w:rsid w:val="009F21F6"/>
    <w:rsid w:val="009F2230"/>
    <w:rsid w:val="009F2370"/>
    <w:rsid w:val="009F23A4"/>
    <w:rsid w:val="009F2449"/>
    <w:rsid w:val="009F255E"/>
    <w:rsid w:val="009F2D7A"/>
    <w:rsid w:val="009F2DEE"/>
    <w:rsid w:val="009F311E"/>
    <w:rsid w:val="009F370A"/>
    <w:rsid w:val="009F37E9"/>
    <w:rsid w:val="009F382D"/>
    <w:rsid w:val="009F3992"/>
    <w:rsid w:val="009F3C2C"/>
    <w:rsid w:val="009F3D3D"/>
    <w:rsid w:val="009F3DC3"/>
    <w:rsid w:val="009F3DCD"/>
    <w:rsid w:val="009F3F1D"/>
    <w:rsid w:val="009F4284"/>
    <w:rsid w:val="009F4AF5"/>
    <w:rsid w:val="009F51D1"/>
    <w:rsid w:val="009F521F"/>
    <w:rsid w:val="009F5431"/>
    <w:rsid w:val="009F5770"/>
    <w:rsid w:val="009F58C7"/>
    <w:rsid w:val="009F58F6"/>
    <w:rsid w:val="009F5D23"/>
    <w:rsid w:val="009F5F6F"/>
    <w:rsid w:val="009F62A7"/>
    <w:rsid w:val="009F6306"/>
    <w:rsid w:val="009F6495"/>
    <w:rsid w:val="009F658A"/>
    <w:rsid w:val="009F6635"/>
    <w:rsid w:val="009F6674"/>
    <w:rsid w:val="009F66D8"/>
    <w:rsid w:val="009F67A0"/>
    <w:rsid w:val="009F683B"/>
    <w:rsid w:val="009F6AB1"/>
    <w:rsid w:val="009F6C45"/>
    <w:rsid w:val="009F7373"/>
    <w:rsid w:val="009F7411"/>
    <w:rsid w:val="009F7466"/>
    <w:rsid w:val="009F789B"/>
    <w:rsid w:val="009F795D"/>
    <w:rsid w:val="009F79F8"/>
    <w:rsid w:val="009F7BDB"/>
    <w:rsid w:val="009F7F14"/>
    <w:rsid w:val="00A000B3"/>
    <w:rsid w:val="00A00492"/>
    <w:rsid w:val="00A009B0"/>
    <w:rsid w:val="00A00B1F"/>
    <w:rsid w:val="00A00B96"/>
    <w:rsid w:val="00A00E11"/>
    <w:rsid w:val="00A00FB5"/>
    <w:rsid w:val="00A01213"/>
    <w:rsid w:val="00A014B0"/>
    <w:rsid w:val="00A01661"/>
    <w:rsid w:val="00A01866"/>
    <w:rsid w:val="00A01F01"/>
    <w:rsid w:val="00A022FB"/>
    <w:rsid w:val="00A0232D"/>
    <w:rsid w:val="00A0234A"/>
    <w:rsid w:val="00A023FD"/>
    <w:rsid w:val="00A0246E"/>
    <w:rsid w:val="00A027AD"/>
    <w:rsid w:val="00A02AF1"/>
    <w:rsid w:val="00A02E39"/>
    <w:rsid w:val="00A0302C"/>
    <w:rsid w:val="00A032E9"/>
    <w:rsid w:val="00A0393A"/>
    <w:rsid w:val="00A03BEE"/>
    <w:rsid w:val="00A03EF1"/>
    <w:rsid w:val="00A03FF9"/>
    <w:rsid w:val="00A04184"/>
    <w:rsid w:val="00A045F1"/>
    <w:rsid w:val="00A04617"/>
    <w:rsid w:val="00A04775"/>
    <w:rsid w:val="00A04BF3"/>
    <w:rsid w:val="00A04CB4"/>
    <w:rsid w:val="00A04CC7"/>
    <w:rsid w:val="00A04D8C"/>
    <w:rsid w:val="00A05396"/>
    <w:rsid w:val="00A0555D"/>
    <w:rsid w:val="00A059D0"/>
    <w:rsid w:val="00A05A8D"/>
    <w:rsid w:val="00A05A9C"/>
    <w:rsid w:val="00A05ABF"/>
    <w:rsid w:val="00A06076"/>
    <w:rsid w:val="00A060EF"/>
    <w:rsid w:val="00A06395"/>
    <w:rsid w:val="00A06682"/>
    <w:rsid w:val="00A068B0"/>
    <w:rsid w:val="00A069AF"/>
    <w:rsid w:val="00A06A2C"/>
    <w:rsid w:val="00A06BEC"/>
    <w:rsid w:val="00A07183"/>
    <w:rsid w:val="00A077E3"/>
    <w:rsid w:val="00A07D37"/>
    <w:rsid w:val="00A07D80"/>
    <w:rsid w:val="00A102E6"/>
    <w:rsid w:val="00A105E1"/>
    <w:rsid w:val="00A1061D"/>
    <w:rsid w:val="00A10787"/>
    <w:rsid w:val="00A108F1"/>
    <w:rsid w:val="00A10966"/>
    <w:rsid w:val="00A1099C"/>
    <w:rsid w:val="00A109B2"/>
    <w:rsid w:val="00A109E8"/>
    <w:rsid w:val="00A10A0F"/>
    <w:rsid w:val="00A10BEA"/>
    <w:rsid w:val="00A10D06"/>
    <w:rsid w:val="00A10D8D"/>
    <w:rsid w:val="00A10E9F"/>
    <w:rsid w:val="00A10FDF"/>
    <w:rsid w:val="00A1147F"/>
    <w:rsid w:val="00A1159E"/>
    <w:rsid w:val="00A11782"/>
    <w:rsid w:val="00A117EF"/>
    <w:rsid w:val="00A11A9B"/>
    <w:rsid w:val="00A11AD6"/>
    <w:rsid w:val="00A11E56"/>
    <w:rsid w:val="00A11ECD"/>
    <w:rsid w:val="00A11FEF"/>
    <w:rsid w:val="00A12176"/>
    <w:rsid w:val="00A12311"/>
    <w:rsid w:val="00A12318"/>
    <w:rsid w:val="00A124D1"/>
    <w:rsid w:val="00A128A2"/>
    <w:rsid w:val="00A128E5"/>
    <w:rsid w:val="00A12A46"/>
    <w:rsid w:val="00A12B92"/>
    <w:rsid w:val="00A12E71"/>
    <w:rsid w:val="00A13197"/>
    <w:rsid w:val="00A131F4"/>
    <w:rsid w:val="00A1347D"/>
    <w:rsid w:val="00A134C1"/>
    <w:rsid w:val="00A134DA"/>
    <w:rsid w:val="00A135D9"/>
    <w:rsid w:val="00A1377D"/>
    <w:rsid w:val="00A13A22"/>
    <w:rsid w:val="00A13AAA"/>
    <w:rsid w:val="00A13AE4"/>
    <w:rsid w:val="00A13EDC"/>
    <w:rsid w:val="00A14007"/>
    <w:rsid w:val="00A14ADD"/>
    <w:rsid w:val="00A14D16"/>
    <w:rsid w:val="00A14D65"/>
    <w:rsid w:val="00A14F24"/>
    <w:rsid w:val="00A1506F"/>
    <w:rsid w:val="00A158A7"/>
    <w:rsid w:val="00A15B24"/>
    <w:rsid w:val="00A15B43"/>
    <w:rsid w:val="00A15BAF"/>
    <w:rsid w:val="00A15C2B"/>
    <w:rsid w:val="00A15C79"/>
    <w:rsid w:val="00A15FC1"/>
    <w:rsid w:val="00A16316"/>
    <w:rsid w:val="00A1663C"/>
    <w:rsid w:val="00A16851"/>
    <w:rsid w:val="00A1694E"/>
    <w:rsid w:val="00A16995"/>
    <w:rsid w:val="00A16ABE"/>
    <w:rsid w:val="00A16CDA"/>
    <w:rsid w:val="00A16D27"/>
    <w:rsid w:val="00A17191"/>
    <w:rsid w:val="00A17381"/>
    <w:rsid w:val="00A17662"/>
    <w:rsid w:val="00A177D3"/>
    <w:rsid w:val="00A17800"/>
    <w:rsid w:val="00A17A30"/>
    <w:rsid w:val="00A17CB0"/>
    <w:rsid w:val="00A17EE3"/>
    <w:rsid w:val="00A202B0"/>
    <w:rsid w:val="00A20790"/>
    <w:rsid w:val="00A20892"/>
    <w:rsid w:val="00A208C0"/>
    <w:rsid w:val="00A20C2E"/>
    <w:rsid w:val="00A20D0D"/>
    <w:rsid w:val="00A20D15"/>
    <w:rsid w:val="00A20F9C"/>
    <w:rsid w:val="00A21335"/>
    <w:rsid w:val="00A21350"/>
    <w:rsid w:val="00A21551"/>
    <w:rsid w:val="00A216C4"/>
    <w:rsid w:val="00A21826"/>
    <w:rsid w:val="00A225F8"/>
    <w:rsid w:val="00A226DA"/>
    <w:rsid w:val="00A22A65"/>
    <w:rsid w:val="00A22E38"/>
    <w:rsid w:val="00A23645"/>
    <w:rsid w:val="00A23B3E"/>
    <w:rsid w:val="00A24624"/>
    <w:rsid w:val="00A246FB"/>
    <w:rsid w:val="00A24750"/>
    <w:rsid w:val="00A24782"/>
    <w:rsid w:val="00A24790"/>
    <w:rsid w:val="00A24A9D"/>
    <w:rsid w:val="00A24CB6"/>
    <w:rsid w:val="00A25026"/>
    <w:rsid w:val="00A2532C"/>
    <w:rsid w:val="00A25564"/>
    <w:rsid w:val="00A25746"/>
    <w:rsid w:val="00A25896"/>
    <w:rsid w:val="00A25AB2"/>
    <w:rsid w:val="00A25BA4"/>
    <w:rsid w:val="00A25F85"/>
    <w:rsid w:val="00A25FBE"/>
    <w:rsid w:val="00A25FF0"/>
    <w:rsid w:val="00A262AF"/>
    <w:rsid w:val="00A263EA"/>
    <w:rsid w:val="00A2643F"/>
    <w:rsid w:val="00A27383"/>
    <w:rsid w:val="00A277E4"/>
    <w:rsid w:val="00A27876"/>
    <w:rsid w:val="00A27881"/>
    <w:rsid w:val="00A279B8"/>
    <w:rsid w:val="00A27FE7"/>
    <w:rsid w:val="00A305AA"/>
    <w:rsid w:val="00A30955"/>
    <w:rsid w:val="00A30BA0"/>
    <w:rsid w:val="00A313E7"/>
    <w:rsid w:val="00A31442"/>
    <w:rsid w:val="00A3148B"/>
    <w:rsid w:val="00A314EE"/>
    <w:rsid w:val="00A31511"/>
    <w:rsid w:val="00A31844"/>
    <w:rsid w:val="00A318A7"/>
    <w:rsid w:val="00A31B77"/>
    <w:rsid w:val="00A31D1F"/>
    <w:rsid w:val="00A31E69"/>
    <w:rsid w:val="00A31E6F"/>
    <w:rsid w:val="00A31EEE"/>
    <w:rsid w:val="00A31F55"/>
    <w:rsid w:val="00A321BC"/>
    <w:rsid w:val="00A3244D"/>
    <w:rsid w:val="00A32534"/>
    <w:rsid w:val="00A32593"/>
    <w:rsid w:val="00A3260D"/>
    <w:rsid w:val="00A327E2"/>
    <w:rsid w:val="00A32982"/>
    <w:rsid w:val="00A329EC"/>
    <w:rsid w:val="00A32BC9"/>
    <w:rsid w:val="00A32C4C"/>
    <w:rsid w:val="00A33024"/>
    <w:rsid w:val="00A336B6"/>
    <w:rsid w:val="00A3398B"/>
    <w:rsid w:val="00A33FDC"/>
    <w:rsid w:val="00A34197"/>
    <w:rsid w:val="00A3475E"/>
    <w:rsid w:val="00A34B92"/>
    <w:rsid w:val="00A34E6F"/>
    <w:rsid w:val="00A34EF9"/>
    <w:rsid w:val="00A34F47"/>
    <w:rsid w:val="00A35431"/>
    <w:rsid w:val="00A3584E"/>
    <w:rsid w:val="00A35922"/>
    <w:rsid w:val="00A35C0A"/>
    <w:rsid w:val="00A35C8B"/>
    <w:rsid w:val="00A35E0B"/>
    <w:rsid w:val="00A35E1C"/>
    <w:rsid w:val="00A35FED"/>
    <w:rsid w:val="00A360F4"/>
    <w:rsid w:val="00A3626B"/>
    <w:rsid w:val="00A36EB9"/>
    <w:rsid w:val="00A37083"/>
    <w:rsid w:val="00A3759D"/>
    <w:rsid w:val="00A375FE"/>
    <w:rsid w:val="00A377BA"/>
    <w:rsid w:val="00A37AFF"/>
    <w:rsid w:val="00A37C4B"/>
    <w:rsid w:val="00A37D77"/>
    <w:rsid w:val="00A37F6B"/>
    <w:rsid w:val="00A37FFA"/>
    <w:rsid w:val="00A40011"/>
    <w:rsid w:val="00A401AF"/>
    <w:rsid w:val="00A40377"/>
    <w:rsid w:val="00A405CD"/>
    <w:rsid w:val="00A405EC"/>
    <w:rsid w:val="00A40A1B"/>
    <w:rsid w:val="00A40AE8"/>
    <w:rsid w:val="00A40B96"/>
    <w:rsid w:val="00A40F4F"/>
    <w:rsid w:val="00A41162"/>
    <w:rsid w:val="00A4192B"/>
    <w:rsid w:val="00A41B39"/>
    <w:rsid w:val="00A41DD2"/>
    <w:rsid w:val="00A41EA0"/>
    <w:rsid w:val="00A41EDE"/>
    <w:rsid w:val="00A42013"/>
    <w:rsid w:val="00A4241F"/>
    <w:rsid w:val="00A42AD0"/>
    <w:rsid w:val="00A42B64"/>
    <w:rsid w:val="00A42C0C"/>
    <w:rsid w:val="00A43240"/>
    <w:rsid w:val="00A43630"/>
    <w:rsid w:val="00A43845"/>
    <w:rsid w:val="00A43EBF"/>
    <w:rsid w:val="00A43F38"/>
    <w:rsid w:val="00A44228"/>
    <w:rsid w:val="00A442E7"/>
    <w:rsid w:val="00A443E2"/>
    <w:rsid w:val="00A445E4"/>
    <w:rsid w:val="00A44672"/>
    <w:rsid w:val="00A447C1"/>
    <w:rsid w:val="00A447D3"/>
    <w:rsid w:val="00A44C86"/>
    <w:rsid w:val="00A45197"/>
    <w:rsid w:val="00A45316"/>
    <w:rsid w:val="00A45CC1"/>
    <w:rsid w:val="00A45D02"/>
    <w:rsid w:val="00A45ED6"/>
    <w:rsid w:val="00A4601B"/>
    <w:rsid w:val="00A46289"/>
    <w:rsid w:val="00A4630E"/>
    <w:rsid w:val="00A46D24"/>
    <w:rsid w:val="00A471E5"/>
    <w:rsid w:val="00A4727A"/>
    <w:rsid w:val="00A47352"/>
    <w:rsid w:val="00A473CD"/>
    <w:rsid w:val="00A47497"/>
    <w:rsid w:val="00A47506"/>
    <w:rsid w:val="00A4761F"/>
    <w:rsid w:val="00A4798B"/>
    <w:rsid w:val="00A47A80"/>
    <w:rsid w:val="00A47CC1"/>
    <w:rsid w:val="00A50050"/>
    <w:rsid w:val="00A5012D"/>
    <w:rsid w:val="00A50249"/>
    <w:rsid w:val="00A5054E"/>
    <w:rsid w:val="00A5074F"/>
    <w:rsid w:val="00A50DEE"/>
    <w:rsid w:val="00A510A1"/>
    <w:rsid w:val="00A51310"/>
    <w:rsid w:val="00A51360"/>
    <w:rsid w:val="00A517F7"/>
    <w:rsid w:val="00A51898"/>
    <w:rsid w:val="00A51B30"/>
    <w:rsid w:val="00A51D3A"/>
    <w:rsid w:val="00A524DA"/>
    <w:rsid w:val="00A524EE"/>
    <w:rsid w:val="00A52797"/>
    <w:rsid w:val="00A527E5"/>
    <w:rsid w:val="00A52965"/>
    <w:rsid w:val="00A529B5"/>
    <w:rsid w:val="00A52CB2"/>
    <w:rsid w:val="00A52DA6"/>
    <w:rsid w:val="00A53205"/>
    <w:rsid w:val="00A53280"/>
    <w:rsid w:val="00A533E2"/>
    <w:rsid w:val="00A5373C"/>
    <w:rsid w:val="00A537E0"/>
    <w:rsid w:val="00A53839"/>
    <w:rsid w:val="00A5391C"/>
    <w:rsid w:val="00A53949"/>
    <w:rsid w:val="00A53AFE"/>
    <w:rsid w:val="00A53B78"/>
    <w:rsid w:val="00A53BB9"/>
    <w:rsid w:val="00A53E7C"/>
    <w:rsid w:val="00A5411F"/>
    <w:rsid w:val="00A54185"/>
    <w:rsid w:val="00A54895"/>
    <w:rsid w:val="00A54920"/>
    <w:rsid w:val="00A54935"/>
    <w:rsid w:val="00A54BA7"/>
    <w:rsid w:val="00A54BE9"/>
    <w:rsid w:val="00A54DF3"/>
    <w:rsid w:val="00A54FA1"/>
    <w:rsid w:val="00A55976"/>
    <w:rsid w:val="00A55F3C"/>
    <w:rsid w:val="00A565CF"/>
    <w:rsid w:val="00A56962"/>
    <w:rsid w:val="00A569D8"/>
    <w:rsid w:val="00A56AA5"/>
    <w:rsid w:val="00A56D77"/>
    <w:rsid w:val="00A56EE2"/>
    <w:rsid w:val="00A57081"/>
    <w:rsid w:val="00A570FC"/>
    <w:rsid w:val="00A5721F"/>
    <w:rsid w:val="00A572AC"/>
    <w:rsid w:val="00A575E8"/>
    <w:rsid w:val="00A576FE"/>
    <w:rsid w:val="00A57FC6"/>
    <w:rsid w:val="00A6011B"/>
    <w:rsid w:val="00A603A6"/>
    <w:rsid w:val="00A60C14"/>
    <w:rsid w:val="00A60C55"/>
    <w:rsid w:val="00A60DF4"/>
    <w:rsid w:val="00A6107D"/>
    <w:rsid w:val="00A611EB"/>
    <w:rsid w:val="00A611FE"/>
    <w:rsid w:val="00A613A4"/>
    <w:rsid w:val="00A617FD"/>
    <w:rsid w:val="00A61D6F"/>
    <w:rsid w:val="00A61DED"/>
    <w:rsid w:val="00A61E89"/>
    <w:rsid w:val="00A62E7B"/>
    <w:rsid w:val="00A63295"/>
    <w:rsid w:val="00A63548"/>
    <w:rsid w:val="00A637D4"/>
    <w:rsid w:val="00A63948"/>
    <w:rsid w:val="00A639AA"/>
    <w:rsid w:val="00A63A56"/>
    <w:rsid w:val="00A63A5D"/>
    <w:rsid w:val="00A6400C"/>
    <w:rsid w:val="00A6421D"/>
    <w:rsid w:val="00A642C3"/>
    <w:rsid w:val="00A6447E"/>
    <w:rsid w:val="00A644C5"/>
    <w:rsid w:val="00A64B6E"/>
    <w:rsid w:val="00A65152"/>
    <w:rsid w:val="00A651A1"/>
    <w:rsid w:val="00A65574"/>
    <w:rsid w:val="00A6596E"/>
    <w:rsid w:val="00A65B80"/>
    <w:rsid w:val="00A65D65"/>
    <w:rsid w:val="00A65D8F"/>
    <w:rsid w:val="00A65D9D"/>
    <w:rsid w:val="00A65E2E"/>
    <w:rsid w:val="00A65EF0"/>
    <w:rsid w:val="00A65F08"/>
    <w:rsid w:val="00A662A0"/>
    <w:rsid w:val="00A66594"/>
    <w:rsid w:val="00A66AD3"/>
    <w:rsid w:val="00A66C8E"/>
    <w:rsid w:val="00A66E6B"/>
    <w:rsid w:val="00A67016"/>
    <w:rsid w:val="00A6709C"/>
    <w:rsid w:val="00A6711A"/>
    <w:rsid w:val="00A67204"/>
    <w:rsid w:val="00A672BA"/>
    <w:rsid w:val="00A676EA"/>
    <w:rsid w:val="00A67943"/>
    <w:rsid w:val="00A67C3E"/>
    <w:rsid w:val="00A67C74"/>
    <w:rsid w:val="00A7018F"/>
    <w:rsid w:val="00A703B0"/>
    <w:rsid w:val="00A70403"/>
    <w:rsid w:val="00A70555"/>
    <w:rsid w:val="00A709C6"/>
    <w:rsid w:val="00A71307"/>
    <w:rsid w:val="00A71CB8"/>
    <w:rsid w:val="00A71D67"/>
    <w:rsid w:val="00A71F72"/>
    <w:rsid w:val="00A720BC"/>
    <w:rsid w:val="00A721DB"/>
    <w:rsid w:val="00A7221B"/>
    <w:rsid w:val="00A7233E"/>
    <w:rsid w:val="00A723EF"/>
    <w:rsid w:val="00A72650"/>
    <w:rsid w:val="00A726BF"/>
    <w:rsid w:val="00A72BA2"/>
    <w:rsid w:val="00A72CBA"/>
    <w:rsid w:val="00A72E04"/>
    <w:rsid w:val="00A73057"/>
    <w:rsid w:val="00A73102"/>
    <w:rsid w:val="00A7319B"/>
    <w:rsid w:val="00A73220"/>
    <w:rsid w:val="00A73320"/>
    <w:rsid w:val="00A733C9"/>
    <w:rsid w:val="00A73401"/>
    <w:rsid w:val="00A7359A"/>
    <w:rsid w:val="00A73AC0"/>
    <w:rsid w:val="00A73C3F"/>
    <w:rsid w:val="00A73C75"/>
    <w:rsid w:val="00A73CA3"/>
    <w:rsid w:val="00A74293"/>
    <w:rsid w:val="00A74304"/>
    <w:rsid w:val="00A74400"/>
    <w:rsid w:val="00A7463D"/>
    <w:rsid w:val="00A7488D"/>
    <w:rsid w:val="00A74EA8"/>
    <w:rsid w:val="00A75007"/>
    <w:rsid w:val="00A75133"/>
    <w:rsid w:val="00A752FB"/>
    <w:rsid w:val="00A75483"/>
    <w:rsid w:val="00A756FC"/>
    <w:rsid w:val="00A757DD"/>
    <w:rsid w:val="00A75F64"/>
    <w:rsid w:val="00A76018"/>
    <w:rsid w:val="00A7623E"/>
    <w:rsid w:val="00A7633F"/>
    <w:rsid w:val="00A76523"/>
    <w:rsid w:val="00A76622"/>
    <w:rsid w:val="00A768B0"/>
    <w:rsid w:val="00A76F28"/>
    <w:rsid w:val="00A77080"/>
    <w:rsid w:val="00A770E6"/>
    <w:rsid w:val="00A772E2"/>
    <w:rsid w:val="00A7746C"/>
    <w:rsid w:val="00A7755C"/>
    <w:rsid w:val="00A77A23"/>
    <w:rsid w:val="00A80193"/>
    <w:rsid w:val="00A80247"/>
    <w:rsid w:val="00A803A8"/>
    <w:rsid w:val="00A80931"/>
    <w:rsid w:val="00A80AA9"/>
    <w:rsid w:val="00A80FBA"/>
    <w:rsid w:val="00A81123"/>
    <w:rsid w:val="00A812D4"/>
    <w:rsid w:val="00A8163C"/>
    <w:rsid w:val="00A81998"/>
    <w:rsid w:val="00A81B3D"/>
    <w:rsid w:val="00A81C88"/>
    <w:rsid w:val="00A81E0C"/>
    <w:rsid w:val="00A8269C"/>
    <w:rsid w:val="00A82713"/>
    <w:rsid w:val="00A829BA"/>
    <w:rsid w:val="00A82A8A"/>
    <w:rsid w:val="00A82FB7"/>
    <w:rsid w:val="00A83032"/>
    <w:rsid w:val="00A83135"/>
    <w:rsid w:val="00A83151"/>
    <w:rsid w:val="00A83472"/>
    <w:rsid w:val="00A8360A"/>
    <w:rsid w:val="00A83818"/>
    <w:rsid w:val="00A83BDD"/>
    <w:rsid w:val="00A83F87"/>
    <w:rsid w:val="00A83FA6"/>
    <w:rsid w:val="00A842C4"/>
    <w:rsid w:val="00A84685"/>
    <w:rsid w:val="00A848FA"/>
    <w:rsid w:val="00A84B42"/>
    <w:rsid w:val="00A84D7D"/>
    <w:rsid w:val="00A84DE1"/>
    <w:rsid w:val="00A84E0F"/>
    <w:rsid w:val="00A84ED3"/>
    <w:rsid w:val="00A85576"/>
    <w:rsid w:val="00A855CF"/>
    <w:rsid w:val="00A858D1"/>
    <w:rsid w:val="00A85B45"/>
    <w:rsid w:val="00A85F12"/>
    <w:rsid w:val="00A85F6C"/>
    <w:rsid w:val="00A8604F"/>
    <w:rsid w:val="00A8608A"/>
    <w:rsid w:val="00A8629D"/>
    <w:rsid w:val="00A8661B"/>
    <w:rsid w:val="00A86628"/>
    <w:rsid w:val="00A867C2"/>
    <w:rsid w:val="00A869E6"/>
    <w:rsid w:val="00A86AFA"/>
    <w:rsid w:val="00A86DD2"/>
    <w:rsid w:val="00A870E3"/>
    <w:rsid w:val="00A87209"/>
    <w:rsid w:val="00A8751F"/>
    <w:rsid w:val="00A87755"/>
    <w:rsid w:val="00A877EF"/>
    <w:rsid w:val="00A87881"/>
    <w:rsid w:val="00A87A8D"/>
    <w:rsid w:val="00A87C93"/>
    <w:rsid w:val="00A9012C"/>
    <w:rsid w:val="00A907AA"/>
    <w:rsid w:val="00A90ADB"/>
    <w:rsid w:val="00A90B7F"/>
    <w:rsid w:val="00A90B8D"/>
    <w:rsid w:val="00A912A9"/>
    <w:rsid w:val="00A91528"/>
    <w:rsid w:val="00A91681"/>
    <w:rsid w:val="00A91B0E"/>
    <w:rsid w:val="00A91BFC"/>
    <w:rsid w:val="00A91D93"/>
    <w:rsid w:val="00A91DAD"/>
    <w:rsid w:val="00A92016"/>
    <w:rsid w:val="00A923D3"/>
    <w:rsid w:val="00A92774"/>
    <w:rsid w:val="00A92FCF"/>
    <w:rsid w:val="00A93066"/>
    <w:rsid w:val="00A930A9"/>
    <w:rsid w:val="00A932D0"/>
    <w:rsid w:val="00A9337A"/>
    <w:rsid w:val="00A93469"/>
    <w:rsid w:val="00A93800"/>
    <w:rsid w:val="00A939C7"/>
    <w:rsid w:val="00A93EB6"/>
    <w:rsid w:val="00A94036"/>
    <w:rsid w:val="00A941E9"/>
    <w:rsid w:val="00A942D2"/>
    <w:rsid w:val="00A94582"/>
    <w:rsid w:val="00A94775"/>
    <w:rsid w:val="00A947D1"/>
    <w:rsid w:val="00A94883"/>
    <w:rsid w:val="00A94A35"/>
    <w:rsid w:val="00A94CD7"/>
    <w:rsid w:val="00A95B25"/>
    <w:rsid w:val="00A96029"/>
    <w:rsid w:val="00A96099"/>
    <w:rsid w:val="00A96134"/>
    <w:rsid w:val="00A963E8"/>
    <w:rsid w:val="00A9651B"/>
    <w:rsid w:val="00A9694D"/>
    <w:rsid w:val="00A96C42"/>
    <w:rsid w:val="00A96E6C"/>
    <w:rsid w:val="00A96EA1"/>
    <w:rsid w:val="00A96EE0"/>
    <w:rsid w:val="00A9748D"/>
    <w:rsid w:val="00A97548"/>
    <w:rsid w:val="00A9759C"/>
    <w:rsid w:val="00A978B1"/>
    <w:rsid w:val="00A97908"/>
    <w:rsid w:val="00A979E5"/>
    <w:rsid w:val="00A97A72"/>
    <w:rsid w:val="00A97A93"/>
    <w:rsid w:val="00A97CDB"/>
    <w:rsid w:val="00A97D85"/>
    <w:rsid w:val="00A97D8F"/>
    <w:rsid w:val="00A97E00"/>
    <w:rsid w:val="00AA0324"/>
    <w:rsid w:val="00AA06B0"/>
    <w:rsid w:val="00AA074E"/>
    <w:rsid w:val="00AA100F"/>
    <w:rsid w:val="00AA147B"/>
    <w:rsid w:val="00AA150D"/>
    <w:rsid w:val="00AA18C0"/>
    <w:rsid w:val="00AA19F2"/>
    <w:rsid w:val="00AA1A63"/>
    <w:rsid w:val="00AA1CC4"/>
    <w:rsid w:val="00AA206E"/>
    <w:rsid w:val="00AA27EF"/>
    <w:rsid w:val="00AA29A0"/>
    <w:rsid w:val="00AA2C7A"/>
    <w:rsid w:val="00AA2E2F"/>
    <w:rsid w:val="00AA2E4A"/>
    <w:rsid w:val="00AA2F95"/>
    <w:rsid w:val="00AA307F"/>
    <w:rsid w:val="00AA3139"/>
    <w:rsid w:val="00AA3346"/>
    <w:rsid w:val="00AA3564"/>
    <w:rsid w:val="00AA370D"/>
    <w:rsid w:val="00AA3950"/>
    <w:rsid w:val="00AA3963"/>
    <w:rsid w:val="00AA3A3B"/>
    <w:rsid w:val="00AA3BC3"/>
    <w:rsid w:val="00AA40A6"/>
    <w:rsid w:val="00AA41C0"/>
    <w:rsid w:val="00AA42BE"/>
    <w:rsid w:val="00AA542F"/>
    <w:rsid w:val="00AA5BEF"/>
    <w:rsid w:val="00AA5D21"/>
    <w:rsid w:val="00AA5D83"/>
    <w:rsid w:val="00AA5E0A"/>
    <w:rsid w:val="00AA5E3C"/>
    <w:rsid w:val="00AA632B"/>
    <w:rsid w:val="00AA6647"/>
    <w:rsid w:val="00AA674A"/>
    <w:rsid w:val="00AA69E5"/>
    <w:rsid w:val="00AA6A06"/>
    <w:rsid w:val="00AA6A25"/>
    <w:rsid w:val="00AA6AD9"/>
    <w:rsid w:val="00AA6DFC"/>
    <w:rsid w:val="00AA6E48"/>
    <w:rsid w:val="00AA708D"/>
    <w:rsid w:val="00AA7E3B"/>
    <w:rsid w:val="00AB0267"/>
    <w:rsid w:val="00AB04A6"/>
    <w:rsid w:val="00AB06E2"/>
    <w:rsid w:val="00AB08E9"/>
    <w:rsid w:val="00AB0914"/>
    <w:rsid w:val="00AB0D12"/>
    <w:rsid w:val="00AB0D3D"/>
    <w:rsid w:val="00AB11A7"/>
    <w:rsid w:val="00AB12D2"/>
    <w:rsid w:val="00AB13D9"/>
    <w:rsid w:val="00AB1406"/>
    <w:rsid w:val="00AB166D"/>
    <w:rsid w:val="00AB170D"/>
    <w:rsid w:val="00AB1CF4"/>
    <w:rsid w:val="00AB1D3F"/>
    <w:rsid w:val="00AB1E67"/>
    <w:rsid w:val="00AB2401"/>
    <w:rsid w:val="00AB25FB"/>
    <w:rsid w:val="00AB2696"/>
    <w:rsid w:val="00AB269F"/>
    <w:rsid w:val="00AB27D8"/>
    <w:rsid w:val="00AB29C1"/>
    <w:rsid w:val="00AB2A91"/>
    <w:rsid w:val="00AB2F38"/>
    <w:rsid w:val="00AB3315"/>
    <w:rsid w:val="00AB34F5"/>
    <w:rsid w:val="00AB3795"/>
    <w:rsid w:val="00AB3803"/>
    <w:rsid w:val="00AB3883"/>
    <w:rsid w:val="00AB3884"/>
    <w:rsid w:val="00AB39CB"/>
    <w:rsid w:val="00AB3CB2"/>
    <w:rsid w:val="00AB3D38"/>
    <w:rsid w:val="00AB3F76"/>
    <w:rsid w:val="00AB3F83"/>
    <w:rsid w:val="00AB40C6"/>
    <w:rsid w:val="00AB4900"/>
    <w:rsid w:val="00AB4AF5"/>
    <w:rsid w:val="00AB4B86"/>
    <w:rsid w:val="00AB4D16"/>
    <w:rsid w:val="00AB4F30"/>
    <w:rsid w:val="00AB537C"/>
    <w:rsid w:val="00AB54D3"/>
    <w:rsid w:val="00AB54E3"/>
    <w:rsid w:val="00AB5797"/>
    <w:rsid w:val="00AB5FB3"/>
    <w:rsid w:val="00AB63B6"/>
    <w:rsid w:val="00AB6666"/>
    <w:rsid w:val="00AB675A"/>
    <w:rsid w:val="00AB684A"/>
    <w:rsid w:val="00AB68D3"/>
    <w:rsid w:val="00AB6B67"/>
    <w:rsid w:val="00AB6D5E"/>
    <w:rsid w:val="00AB6EEE"/>
    <w:rsid w:val="00AB7220"/>
    <w:rsid w:val="00AB722F"/>
    <w:rsid w:val="00AB74D8"/>
    <w:rsid w:val="00AB760F"/>
    <w:rsid w:val="00AB788C"/>
    <w:rsid w:val="00AB7ADF"/>
    <w:rsid w:val="00AB7CB3"/>
    <w:rsid w:val="00AB7CFF"/>
    <w:rsid w:val="00AB7F0F"/>
    <w:rsid w:val="00AC0083"/>
    <w:rsid w:val="00AC0431"/>
    <w:rsid w:val="00AC05EA"/>
    <w:rsid w:val="00AC06A8"/>
    <w:rsid w:val="00AC08DB"/>
    <w:rsid w:val="00AC0B8C"/>
    <w:rsid w:val="00AC0D6A"/>
    <w:rsid w:val="00AC0E85"/>
    <w:rsid w:val="00AC0FD0"/>
    <w:rsid w:val="00AC1300"/>
    <w:rsid w:val="00AC1318"/>
    <w:rsid w:val="00AC15D2"/>
    <w:rsid w:val="00AC17E4"/>
    <w:rsid w:val="00AC17F3"/>
    <w:rsid w:val="00AC1958"/>
    <w:rsid w:val="00AC1A19"/>
    <w:rsid w:val="00AC1C94"/>
    <w:rsid w:val="00AC1E0D"/>
    <w:rsid w:val="00AC2179"/>
    <w:rsid w:val="00AC23A1"/>
    <w:rsid w:val="00AC24EA"/>
    <w:rsid w:val="00AC25BA"/>
    <w:rsid w:val="00AC26DE"/>
    <w:rsid w:val="00AC278E"/>
    <w:rsid w:val="00AC2842"/>
    <w:rsid w:val="00AC2BF2"/>
    <w:rsid w:val="00AC2D4B"/>
    <w:rsid w:val="00AC3933"/>
    <w:rsid w:val="00AC3B92"/>
    <w:rsid w:val="00AC3B99"/>
    <w:rsid w:val="00AC3BA7"/>
    <w:rsid w:val="00AC3BF3"/>
    <w:rsid w:val="00AC3BFF"/>
    <w:rsid w:val="00AC3E4B"/>
    <w:rsid w:val="00AC3F54"/>
    <w:rsid w:val="00AC413E"/>
    <w:rsid w:val="00AC4410"/>
    <w:rsid w:val="00AC442D"/>
    <w:rsid w:val="00AC448A"/>
    <w:rsid w:val="00AC453B"/>
    <w:rsid w:val="00AC4581"/>
    <w:rsid w:val="00AC46A1"/>
    <w:rsid w:val="00AC4765"/>
    <w:rsid w:val="00AC47B7"/>
    <w:rsid w:val="00AC4811"/>
    <w:rsid w:val="00AC4CDE"/>
    <w:rsid w:val="00AC4D3C"/>
    <w:rsid w:val="00AC50C6"/>
    <w:rsid w:val="00AC519E"/>
    <w:rsid w:val="00AC55B0"/>
    <w:rsid w:val="00AC5759"/>
    <w:rsid w:val="00AC5ACE"/>
    <w:rsid w:val="00AC5F58"/>
    <w:rsid w:val="00AC5FBA"/>
    <w:rsid w:val="00AC5FE4"/>
    <w:rsid w:val="00AC6012"/>
    <w:rsid w:val="00AC602F"/>
    <w:rsid w:val="00AC632B"/>
    <w:rsid w:val="00AC65E9"/>
    <w:rsid w:val="00AC6678"/>
    <w:rsid w:val="00AC689C"/>
    <w:rsid w:val="00AC6B31"/>
    <w:rsid w:val="00AC6C1A"/>
    <w:rsid w:val="00AC6DAE"/>
    <w:rsid w:val="00AC6EB9"/>
    <w:rsid w:val="00AC7210"/>
    <w:rsid w:val="00AC73FB"/>
    <w:rsid w:val="00AC7659"/>
    <w:rsid w:val="00AC779C"/>
    <w:rsid w:val="00AC7873"/>
    <w:rsid w:val="00AC7915"/>
    <w:rsid w:val="00AD01FA"/>
    <w:rsid w:val="00AD03E3"/>
    <w:rsid w:val="00AD0538"/>
    <w:rsid w:val="00AD06B1"/>
    <w:rsid w:val="00AD0895"/>
    <w:rsid w:val="00AD0B11"/>
    <w:rsid w:val="00AD0C48"/>
    <w:rsid w:val="00AD0F4D"/>
    <w:rsid w:val="00AD1654"/>
    <w:rsid w:val="00AD1BCF"/>
    <w:rsid w:val="00AD1E81"/>
    <w:rsid w:val="00AD210A"/>
    <w:rsid w:val="00AD2375"/>
    <w:rsid w:val="00AD2558"/>
    <w:rsid w:val="00AD25F3"/>
    <w:rsid w:val="00AD265C"/>
    <w:rsid w:val="00AD287A"/>
    <w:rsid w:val="00AD2928"/>
    <w:rsid w:val="00AD2A04"/>
    <w:rsid w:val="00AD2A88"/>
    <w:rsid w:val="00AD2A99"/>
    <w:rsid w:val="00AD2DB5"/>
    <w:rsid w:val="00AD2E67"/>
    <w:rsid w:val="00AD3232"/>
    <w:rsid w:val="00AD38A5"/>
    <w:rsid w:val="00AD3C72"/>
    <w:rsid w:val="00AD40F8"/>
    <w:rsid w:val="00AD421D"/>
    <w:rsid w:val="00AD4244"/>
    <w:rsid w:val="00AD436D"/>
    <w:rsid w:val="00AD4771"/>
    <w:rsid w:val="00AD4805"/>
    <w:rsid w:val="00AD4D44"/>
    <w:rsid w:val="00AD57B8"/>
    <w:rsid w:val="00AD596F"/>
    <w:rsid w:val="00AD5B03"/>
    <w:rsid w:val="00AD5CC0"/>
    <w:rsid w:val="00AD5D29"/>
    <w:rsid w:val="00AD5DC1"/>
    <w:rsid w:val="00AD5E01"/>
    <w:rsid w:val="00AD5E60"/>
    <w:rsid w:val="00AD602F"/>
    <w:rsid w:val="00AD61E0"/>
    <w:rsid w:val="00AD68D7"/>
    <w:rsid w:val="00AD6F32"/>
    <w:rsid w:val="00AD7052"/>
    <w:rsid w:val="00AD7494"/>
    <w:rsid w:val="00AD75CC"/>
    <w:rsid w:val="00AD7856"/>
    <w:rsid w:val="00AD7CC0"/>
    <w:rsid w:val="00AD7E54"/>
    <w:rsid w:val="00AE0516"/>
    <w:rsid w:val="00AE077E"/>
    <w:rsid w:val="00AE0A8A"/>
    <w:rsid w:val="00AE0B4F"/>
    <w:rsid w:val="00AE0BDA"/>
    <w:rsid w:val="00AE0D26"/>
    <w:rsid w:val="00AE0FEC"/>
    <w:rsid w:val="00AE10FF"/>
    <w:rsid w:val="00AE11C2"/>
    <w:rsid w:val="00AE1AE2"/>
    <w:rsid w:val="00AE1CBE"/>
    <w:rsid w:val="00AE2A59"/>
    <w:rsid w:val="00AE2BF3"/>
    <w:rsid w:val="00AE2C44"/>
    <w:rsid w:val="00AE2C97"/>
    <w:rsid w:val="00AE2F26"/>
    <w:rsid w:val="00AE317D"/>
    <w:rsid w:val="00AE32DD"/>
    <w:rsid w:val="00AE3678"/>
    <w:rsid w:val="00AE369E"/>
    <w:rsid w:val="00AE387A"/>
    <w:rsid w:val="00AE38E8"/>
    <w:rsid w:val="00AE3B48"/>
    <w:rsid w:val="00AE3D28"/>
    <w:rsid w:val="00AE3DE6"/>
    <w:rsid w:val="00AE3EBC"/>
    <w:rsid w:val="00AE3F7D"/>
    <w:rsid w:val="00AE40EE"/>
    <w:rsid w:val="00AE4291"/>
    <w:rsid w:val="00AE42F6"/>
    <w:rsid w:val="00AE437D"/>
    <w:rsid w:val="00AE4408"/>
    <w:rsid w:val="00AE46B1"/>
    <w:rsid w:val="00AE4C15"/>
    <w:rsid w:val="00AE4E96"/>
    <w:rsid w:val="00AE5075"/>
    <w:rsid w:val="00AE5276"/>
    <w:rsid w:val="00AE559D"/>
    <w:rsid w:val="00AE5948"/>
    <w:rsid w:val="00AE5AB5"/>
    <w:rsid w:val="00AE5AF0"/>
    <w:rsid w:val="00AE5E64"/>
    <w:rsid w:val="00AE6110"/>
    <w:rsid w:val="00AE67DF"/>
    <w:rsid w:val="00AE6A21"/>
    <w:rsid w:val="00AE6D58"/>
    <w:rsid w:val="00AE6F2F"/>
    <w:rsid w:val="00AE6FD9"/>
    <w:rsid w:val="00AE70F9"/>
    <w:rsid w:val="00AE7127"/>
    <w:rsid w:val="00AE718E"/>
    <w:rsid w:val="00AE7190"/>
    <w:rsid w:val="00AE7587"/>
    <w:rsid w:val="00AE77EA"/>
    <w:rsid w:val="00AE79F1"/>
    <w:rsid w:val="00AE7A6F"/>
    <w:rsid w:val="00AE7A7D"/>
    <w:rsid w:val="00AE7A83"/>
    <w:rsid w:val="00AF068B"/>
    <w:rsid w:val="00AF06B8"/>
    <w:rsid w:val="00AF08E1"/>
    <w:rsid w:val="00AF0AC4"/>
    <w:rsid w:val="00AF0D44"/>
    <w:rsid w:val="00AF0FC4"/>
    <w:rsid w:val="00AF1357"/>
    <w:rsid w:val="00AF13A7"/>
    <w:rsid w:val="00AF1670"/>
    <w:rsid w:val="00AF16F1"/>
    <w:rsid w:val="00AF174C"/>
    <w:rsid w:val="00AF176E"/>
    <w:rsid w:val="00AF2017"/>
    <w:rsid w:val="00AF22D4"/>
    <w:rsid w:val="00AF22DE"/>
    <w:rsid w:val="00AF22F7"/>
    <w:rsid w:val="00AF264F"/>
    <w:rsid w:val="00AF2A5B"/>
    <w:rsid w:val="00AF2B0C"/>
    <w:rsid w:val="00AF2C26"/>
    <w:rsid w:val="00AF30CA"/>
    <w:rsid w:val="00AF310A"/>
    <w:rsid w:val="00AF314E"/>
    <w:rsid w:val="00AF35DE"/>
    <w:rsid w:val="00AF3B5D"/>
    <w:rsid w:val="00AF3B82"/>
    <w:rsid w:val="00AF3CBA"/>
    <w:rsid w:val="00AF3DAB"/>
    <w:rsid w:val="00AF400B"/>
    <w:rsid w:val="00AF4631"/>
    <w:rsid w:val="00AF4695"/>
    <w:rsid w:val="00AF4731"/>
    <w:rsid w:val="00AF4949"/>
    <w:rsid w:val="00AF4A07"/>
    <w:rsid w:val="00AF4DE1"/>
    <w:rsid w:val="00AF4F99"/>
    <w:rsid w:val="00AF5012"/>
    <w:rsid w:val="00AF53AA"/>
    <w:rsid w:val="00AF59E6"/>
    <w:rsid w:val="00AF5B46"/>
    <w:rsid w:val="00AF5F7B"/>
    <w:rsid w:val="00AF640D"/>
    <w:rsid w:val="00AF676D"/>
    <w:rsid w:val="00AF6ABE"/>
    <w:rsid w:val="00AF6B60"/>
    <w:rsid w:val="00AF6DAB"/>
    <w:rsid w:val="00AF6E7F"/>
    <w:rsid w:val="00AF6E89"/>
    <w:rsid w:val="00AF6EA1"/>
    <w:rsid w:val="00AF6FAD"/>
    <w:rsid w:val="00AF70BD"/>
    <w:rsid w:val="00AF7468"/>
    <w:rsid w:val="00AF7555"/>
    <w:rsid w:val="00AF7A01"/>
    <w:rsid w:val="00AF7D40"/>
    <w:rsid w:val="00AF7D8B"/>
    <w:rsid w:val="00B003A7"/>
    <w:rsid w:val="00B00586"/>
    <w:rsid w:val="00B0080A"/>
    <w:rsid w:val="00B00844"/>
    <w:rsid w:val="00B009D1"/>
    <w:rsid w:val="00B00C81"/>
    <w:rsid w:val="00B00CFF"/>
    <w:rsid w:val="00B00FD7"/>
    <w:rsid w:val="00B010C0"/>
    <w:rsid w:val="00B01390"/>
    <w:rsid w:val="00B01506"/>
    <w:rsid w:val="00B0153B"/>
    <w:rsid w:val="00B01593"/>
    <w:rsid w:val="00B01611"/>
    <w:rsid w:val="00B01B95"/>
    <w:rsid w:val="00B01BEB"/>
    <w:rsid w:val="00B01C16"/>
    <w:rsid w:val="00B01E6F"/>
    <w:rsid w:val="00B023C3"/>
    <w:rsid w:val="00B02444"/>
    <w:rsid w:val="00B0252E"/>
    <w:rsid w:val="00B02575"/>
    <w:rsid w:val="00B02890"/>
    <w:rsid w:val="00B02932"/>
    <w:rsid w:val="00B02AE1"/>
    <w:rsid w:val="00B02D5C"/>
    <w:rsid w:val="00B02F34"/>
    <w:rsid w:val="00B0309C"/>
    <w:rsid w:val="00B03588"/>
    <w:rsid w:val="00B0368C"/>
    <w:rsid w:val="00B039FA"/>
    <w:rsid w:val="00B03E63"/>
    <w:rsid w:val="00B0422C"/>
    <w:rsid w:val="00B04452"/>
    <w:rsid w:val="00B0490E"/>
    <w:rsid w:val="00B04AA4"/>
    <w:rsid w:val="00B04B57"/>
    <w:rsid w:val="00B04CF0"/>
    <w:rsid w:val="00B05913"/>
    <w:rsid w:val="00B05C7C"/>
    <w:rsid w:val="00B05D1F"/>
    <w:rsid w:val="00B061EB"/>
    <w:rsid w:val="00B062FF"/>
    <w:rsid w:val="00B064D4"/>
    <w:rsid w:val="00B068BA"/>
    <w:rsid w:val="00B06966"/>
    <w:rsid w:val="00B069E0"/>
    <w:rsid w:val="00B06CC8"/>
    <w:rsid w:val="00B07096"/>
    <w:rsid w:val="00B070C5"/>
    <w:rsid w:val="00B07342"/>
    <w:rsid w:val="00B07373"/>
    <w:rsid w:val="00B07F50"/>
    <w:rsid w:val="00B10156"/>
    <w:rsid w:val="00B10190"/>
    <w:rsid w:val="00B10A9B"/>
    <w:rsid w:val="00B10B68"/>
    <w:rsid w:val="00B10CA6"/>
    <w:rsid w:val="00B11E80"/>
    <w:rsid w:val="00B11F22"/>
    <w:rsid w:val="00B120E3"/>
    <w:rsid w:val="00B1219A"/>
    <w:rsid w:val="00B122A4"/>
    <w:rsid w:val="00B1244F"/>
    <w:rsid w:val="00B12E22"/>
    <w:rsid w:val="00B12FFF"/>
    <w:rsid w:val="00B130A6"/>
    <w:rsid w:val="00B134F3"/>
    <w:rsid w:val="00B13598"/>
    <w:rsid w:val="00B13715"/>
    <w:rsid w:val="00B138D7"/>
    <w:rsid w:val="00B13970"/>
    <w:rsid w:val="00B1419B"/>
    <w:rsid w:val="00B141B8"/>
    <w:rsid w:val="00B141EB"/>
    <w:rsid w:val="00B1472A"/>
    <w:rsid w:val="00B14A23"/>
    <w:rsid w:val="00B14A4B"/>
    <w:rsid w:val="00B14B46"/>
    <w:rsid w:val="00B14E6C"/>
    <w:rsid w:val="00B14FB3"/>
    <w:rsid w:val="00B150AE"/>
    <w:rsid w:val="00B15175"/>
    <w:rsid w:val="00B1562B"/>
    <w:rsid w:val="00B15653"/>
    <w:rsid w:val="00B159C3"/>
    <w:rsid w:val="00B15B89"/>
    <w:rsid w:val="00B15D72"/>
    <w:rsid w:val="00B15E58"/>
    <w:rsid w:val="00B162EF"/>
    <w:rsid w:val="00B163A1"/>
    <w:rsid w:val="00B16730"/>
    <w:rsid w:val="00B16AA0"/>
    <w:rsid w:val="00B16E96"/>
    <w:rsid w:val="00B1711A"/>
    <w:rsid w:val="00B1731D"/>
    <w:rsid w:val="00B17A1D"/>
    <w:rsid w:val="00B17E43"/>
    <w:rsid w:val="00B20301"/>
    <w:rsid w:val="00B204BF"/>
    <w:rsid w:val="00B2060C"/>
    <w:rsid w:val="00B20697"/>
    <w:rsid w:val="00B2070A"/>
    <w:rsid w:val="00B207B8"/>
    <w:rsid w:val="00B20829"/>
    <w:rsid w:val="00B20861"/>
    <w:rsid w:val="00B208B7"/>
    <w:rsid w:val="00B209A3"/>
    <w:rsid w:val="00B20DCF"/>
    <w:rsid w:val="00B21393"/>
    <w:rsid w:val="00B213BB"/>
    <w:rsid w:val="00B214CD"/>
    <w:rsid w:val="00B217E5"/>
    <w:rsid w:val="00B21C0B"/>
    <w:rsid w:val="00B21CED"/>
    <w:rsid w:val="00B21FF7"/>
    <w:rsid w:val="00B225CC"/>
    <w:rsid w:val="00B227EC"/>
    <w:rsid w:val="00B22A38"/>
    <w:rsid w:val="00B22CA6"/>
    <w:rsid w:val="00B23046"/>
    <w:rsid w:val="00B234C8"/>
    <w:rsid w:val="00B23843"/>
    <w:rsid w:val="00B23880"/>
    <w:rsid w:val="00B23883"/>
    <w:rsid w:val="00B23AFD"/>
    <w:rsid w:val="00B23B63"/>
    <w:rsid w:val="00B23B92"/>
    <w:rsid w:val="00B23F12"/>
    <w:rsid w:val="00B2418D"/>
    <w:rsid w:val="00B2427F"/>
    <w:rsid w:val="00B246CF"/>
    <w:rsid w:val="00B246E5"/>
    <w:rsid w:val="00B25032"/>
    <w:rsid w:val="00B25073"/>
    <w:rsid w:val="00B2508F"/>
    <w:rsid w:val="00B2524B"/>
    <w:rsid w:val="00B252DF"/>
    <w:rsid w:val="00B25590"/>
    <w:rsid w:val="00B25C5E"/>
    <w:rsid w:val="00B25E9D"/>
    <w:rsid w:val="00B2613F"/>
    <w:rsid w:val="00B26272"/>
    <w:rsid w:val="00B26342"/>
    <w:rsid w:val="00B263E3"/>
    <w:rsid w:val="00B26987"/>
    <w:rsid w:val="00B269DF"/>
    <w:rsid w:val="00B26A12"/>
    <w:rsid w:val="00B26CC6"/>
    <w:rsid w:val="00B270CA"/>
    <w:rsid w:val="00B27255"/>
    <w:rsid w:val="00B27680"/>
    <w:rsid w:val="00B27757"/>
    <w:rsid w:val="00B27B1A"/>
    <w:rsid w:val="00B27B7C"/>
    <w:rsid w:val="00B27C71"/>
    <w:rsid w:val="00B27CC1"/>
    <w:rsid w:val="00B27DB2"/>
    <w:rsid w:val="00B27DDB"/>
    <w:rsid w:val="00B3034C"/>
    <w:rsid w:val="00B3041F"/>
    <w:rsid w:val="00B304CF"/>
    <w:rsid w:val="00B30728"/>
    <w:rsid w:val="00B30F27"/>
    <w:rsid w:val="00B312E0"/>
    <w:rsid w:val="00B3131F"/>
    <w:rsid w:val="00B313E2"/>
    <w:rsid w:val="00B31536"/>
    <w:rsid w:val="00B3158C"/>
    <w:rsid w:val="00B31B2B"/>
    <w:rsid w:val="00B31B6E"/>
    <w:rsid w:val="00B31DEA"/>
    <w:rsid w:val="00B31DF8"/>
    <w:rsid w:val="00B31E21"/>
    <w:rsid w:val="00B31FEF"/>
    <w:rsid w:val="00B32008"/>
    <w:rsid w:val="00B322B5"/>
    <w:rsid w:val="00B32444"/>
    <w:rsid w:val="00B32668"/>
    <w:rsid w:val="00B327D5"/>
    <w:rsid w:val="00B32846"/>
    <w:rsid w:val="00B328EB"/>
    <w:rsid w:val="00B32909"/>
    <w:rsid w:val="00B3377F"/>
    <w:rsid w:val="00B337A6"/>
    <w:rsid w:val="00B337FA"/>
    <w:rsid w:val="00B33ACB"/>
    <w:rsid w:val="00B33B17"/>
    <w:rsid w:val="00B34453"/>
    <w:rsid w:val="00B345C7"/>
    <w:rsid w:val="00B34709"/>
    <w:rsid w:val="00B34747"/>
    <w:rsid w:val="00B34B3A"/>
    <w:rsid w:val="00B34CC7"/>
    <w:rsid w:val="00B35038"/>
    <w:rsid w:val="00B3532B"/>
    <w:rsid w:val="00B3554B"/>
    <w:rsid w:val="00B35645"/>
    <w:rsid w:val="00B3573B"/>
    <w:rsid w:val="00B357E2"/>
    <w:rsid w:val="00B35947"/>
    <w:rsid w:val="00B35C8C"/>
    <w:rsid w:val="00B35D2D"/>
    <w:rsid w:val="00B35D30"/>
    <w:rsid w:val="00B36675"/>
    <w:rsid w:val="00B36D39"/>
    <w:rsid w:val="00B36DA7"/>
    <w:rsid w:val="00B370C9"/>
    <w:rsid w:val="00B37247"/>
    <w:rsid w:val="00B372AC"/>
    <w:rsid w:val="00B3749A"/>
    <w:rsid w:val="00B379BD"/>
    <w:rsid w:val="00B379FC"/>
    <w:rsid w:val="00B37A75"/>
    <w:rsid w:val="00B37B25"/>
    <w:rsid w:val="00B37D42"/>
    <w:rsid w:val="00B40206"/>
    <w:rsid w:val="00B40233"/>
    <w:rsid w:val="00B4030F"/>
    <w:rsid w:val="00B4042E"/>
    <w:rsid w:val="00B4058F"/>
    <w:rsid w:val="00B40710"/>
    <w:rsid w:val="00B40879"/>
    <w:rsid w:val="00B4093F"/>
    <w:rsid w:val="00B40C73"/>
    <w:rsid w:val="00B40EEE"/>
    <w:rsid w:val="00B4108B"/>
    <w:rsid w:val="00B41093"/>
    <w:rsid w:val="00B41204"/>
    <w:rsid w:val="00B4181E"/>
    <w:rsid w:val="00B41C8D"/>
    <w:rsid w:val="00B41DF8"/>
    <w:rsid w:val="00B41F07"/>
    <w:rsid w:val="00B420D5"/>
    <w:rsid w:val="00B421B9"/>
    <w:rsid w:val="00B42238"/>
    <w:rsid w:val="00B42482"/>
    <w:rsid w:val="00B42638"/>
    <w:rsid w:val="00B426FF"/>
    <w:rsid w:val="00B4290F"/>
    <w:rsid w:val="00B42AF2"/>
    <w:rsid w:val="00B42C05"/>
    <w:rsid w:val="00B431B0"/>
    <w:rsid w:val="00B4320A"/>
    <w:rsid w:val="00B435E9"/>
    <w:rsid w:val="00B43BD7"/>
    <w:rsid w:val="00B43CBA"/>
    <w:rsid w:val="00B43EAA"/>
    <w:rsid w:val="00B443FC"/>
    <w:rsid w:val="00B44491"/>
    <w:rsid w:val="00B445A7"/>
    <w:rsid w:val="00B446BF"/>
    <w:rsid w:val="00B447BF"/>
    <w:rsid w:val="00B44E40"/>
    <w:rsid w:val="00B4525A"/>
    <w:rsid w:val="00B45265"/>
    <w:rsid w:val="00B455F0"/>
    <w:rsid w:val="00B45BC6"/>
    <w:rsid w:val="00B45C63"/>
    <w:rsid w:val="00B461E1"/>
    <w:rsid w:val="00B4672E"/>
    <w:rsid w:val="00B468D4"/>
    <w:rsid w:val="00B46BA7"/>
    <w:rsid w:val="00B46BB3"/>
    <w:rsid w:val="00B46BD6"/>
    <w:rsid w:val="00B47107"/>
    <w:rsid w:val="00B476E6"/>
    <w:rsid w:val="00B478DC"/>
    <w:rsid w:val="00B479B0"/>
    <w:rsid w:val="00B500AA"/>
    <w:rsid w:val="00B506CA"/>
    <w:rsid w:val="00B50732"/>
    <w:rsid w:val="00B5097F"/>
    <w:rsid w:val="00B50A0E"/>
    <w:rsid w:val="00B50A45"/>
    <w:rsid w:val="00B50A9D"/>
    <w:rsid w:val="00B5114E"/>
    <w:rsid w:val="00B511F8"/>
    <w:rsid w:val="00B514F1"/>
    <w:rsid w:val="00B518A1"/>
    <w:rsid w:val="00B51986"/>
    <w:rsid w:val="00B51BBA"/>
    <w:rsid w:val="00B5212E"/>
    <w:rsid w:val="00B5230E"/>
    <w:rsid w:val="00B52465"/>
    <w:rsid w:val="00B525B9"/>
    <w:rsid w:val="00B528C7"/>
    <w:rsid w:val="00B52997"/>
    <w:rsid w:val="00B52DA8"/>
    <w:rsid w:val="00B52E58"/>
    <w:rsid w:val="00B531E3"/>
    <w:rsid w:val="00B534E0"/>
    <w:rsid w:val="00B536AA"/>
    <w:rsid w:val="00B538D3"/>
    <w:rsid w:val="00B53B51"/>
    <w:rsid w:val="00B53DD6"/>
    <w:rsid w:val="00B53DF5"/>
    <w:rsid w:val="00B5410C"/>
    <w:rsid w:val="00B5411D"/>
    <w:rsid w:val="00B541B6"/>
    <w:rsid w:val="00B541E7"/>
    <w:rsid w:val="00B550B8"/>
    <w:rsid w:val="00B55BB8"/>
    <w:rsid w:val="00B55DBC"/>
    <w:rsid w:val="00B560D5"/>
    <w:rsid w:val="00B5610F"/>
    <w:rsid w:val="00B5630E"/>
    <w:rsid w:val="00B5630F"/>
    <w:rsid w:val="00B5645E"/>
    <w:rsid w:val="00B564FA"/>
    <w:rsid w:val="00B567AD"/>
    <w:rsid w:val="00B568B4"/>
    <w:rsid w:val="00B56B5D"/>
    <w:rsid w:val="00B56B6C"/>
    <w:rsid w:val="00B573CB"/>
    <w:rsid w:val="00B57574"/>
    <w:rsid w:val="00B575C0"/>
    <w:rsid w:val="00B57731"/>
    <w:rsid w:val="00B600D1"/>
    <w:rsid w:val="00B60116"/>
    <w:rsid w:val="00B605B1"/>
    <w:rsid w:val="00B610BD"/>
    <w:rsid w:val="00B6134C"/>
    <w:rsid w:val="00B6183B"/>
    <w:rsid w:val="00B618D9"/>
    <w:rsid w:val="00B6194D"/>
    <w:rsid w:val="00B6223C"/>
    <w:rsid w:val="00B6237C"/>
    <w:rsid w:val="00B62799"/>
    <w:rsid w:val="00B627C4"/>
    <w:rsid w:val="00B62ABA"/>
    <w:rsid w:val="00B62C63"/>
    <w:rsid w:val="00B630C4"/>
    <w:rsid w:val="00B6329D"/>
    <w:rsid w:val="00B6355A"/>
    <w:rsid w:val="00B639BA"/>
    <w:rsid w:val="00B63D1C"/>
    <w:rsid w:val="00B63F5C"/>
    <w:rsid w:val="00B63FF3"/>
    <w:rsid w:val="00B643E2"/>
    <w:rsid w:val="00B64501"/>
    <w:rsid w:val="00B6452B"/>
    <w:rsid w:val="00B64578"/>
    <w:rsid w:val="00B64880"/>
    <w:rsid w:val="00B6489A"/>
    <w:rsid w:val="00B64AC5"/>
    <w:rsid w:val="00B64C00"/>
    <w:rsid w:val="00B64FDC"/>
    <w:rsid w:val="00B6566C"/>
    <w:rsid w:val="00B65818"/>
    <w:rsid w:val="00B65987"/>
    <w:rsid w:val="00B65AB2"/>
    <w:rsid w:val="00B661D5"/>
    <w:rsid w:val="00B669AD"/>
    <w:rsid w:val="00B66BAB"/>
    <w:rsid w:val="00B66DDE"/>
    <w:rsid w:val="00B670FC"/>
    <w:rsid w:val="00B671C2"/>
    <w:rsid w:val="00B67236"/>
    <w:rsid w:val="00B67349"/>
    <w:rsid w:val="00B6743B"/>
    <w:rsid w:val="00B67589"/>
    <w:rsid w:val="00B676A2"/>
    <w:rsid w:val="00B67700"/>
    <w:rsid w:val="00B67970"/>
    <w:rsid w:val="00B67B46"/>
    <w:rsid w:val="00B67D34"/>
    <w:rsid w:val="00B70158"/>
    <w:rsid w:val="00B7020A"/>
    <w:rsid w:val="00B707DF"/>
    <w:rsid w:val="00B70C1F"/>
    <w:rsid w:val="00B70C49"/>
    <w:rsid w:val="00B70CB1"/>
    <w:rsid w:val="00B70FA4"/>
    <w:rsid w:val="00B71078"/>
    <w:rsid w:val="00B712BF"/>
    <w:rsid w:val="00B71550"/>
    <w:rsid w:val="00B71824"/>
    <w:rsid w:val="00B718FB"/>
    <w:rsid w:val="00B71A2C"/>
    <w:rsid w:val="00B71CEC"/>
    <w:rsid w:val="00B71E44"/>
    <w:rsid w:val="00B71F4C"/>
    <w:rsid w:val="00B71F7E"/>
    <w:rsid w:val="00B71FE7"/>
    <w:rsid w:val="00B7206C"/>
    <w:rsid w:val="00B7256B"/>
    <w:rsid w:val="00B72722"/>
    <w:rsid w:val="00B72C02"/>
    <w:rsid w:val="00B73437"/>
    <w:rsid w:val="00B73846"/>
    <w:rsid w:val="00B73C57"/>
    <w:rsid w:val="00B73C77"/>
    <w:rsid w:val="00B74666"/>
    <w:rsid w:val="00B748B7"/>
    <w:rsid w:val="00B750C1"/>
    <w:rsid w:val="00B751C7"/>
    <w:rsid w:val="00B751D1"/>
    <w:rsid w:val="00B753CC"/>
    <w:rsid w:val="00B7545D"/>
    <w:rsid w:val="00B755D7"/>
    <w:rsid w:val="00B759F2"/>
    <w:rsid w:val="00B75A19"/>
    <w:rsid w:val="00B761F7"/>
    <w:rsid w:val="00B7634F"/>
    <w:rsid w:val="00B76441"/>
    <w:rsid w:val="00B767BE"/>
    <w:rsid w:val="00B7682F"/>
    <w:rsid w:val="00B768AD"/>
    <w:rsid w:val="00B76959"/>
    <w:rsid w:val="00B7710C"/>
    <w:rsid w:val="00B772DC"/>
    <w:rsid w:val="00B7748A"/>
    <w:rsid w:val="00B77740"/>
    <w:rsid w:val="00B77931"/>
    <w:rsid w:val="00B7795C"/>
    <w:rsid w:val="00B77C85"/>
    <w:rsid w:val="00B77CA7"/>
    <w:rsid w:val="00B77D27"/>
    <w:rsid w:val="00B77EC6"/>
    <w:rsid w:val="00B77F79"/>
    <w:rsid w:val="00B80212"/>
    <w:rsid w:val="00B80256"/>
    <w:rsid w:val="00B8025C"/>
    <w:rsid w:val="00B8028F"/>
    <w:rsid w:val="00B80425"/>
    <w:rsid w:val="00B806B0"/>
    <w:rsid w:val="00B808CC"/>
    <w:rsid w:val="00B80B70"/>
    <w:rsid w:val="00B80D33"/>
    <w:rsid w:val="00B810C6"/>
    <w:rsid w:val="00B811D1"/>
    <w:rsid w:val="00B8151E"/>
    <w:rsid w:val="00B81845"/>
    <w:rsid w:val="00B821A7"/>
    <w:rsid w:val="00B82424"/>
    <w:rsid w:val="00B8261B"/>
    <w:rsid w:val="00B829CF"/>
    <w:rsid w:val="00B82AF0"/>
    <w:rsid w:val="00B82F4E"/>
    <w:rsid w:val="00B82F9A"/>
    <w:rsid w:val="00B8354E"/>
    <w:rsid w:val="00B8355D"/>
    <w:rsid w:val="00B83957"/>
    <w:rsid w:val="00B83B0F"/>
    <w:rsid w:val="00B83E15"/>
    <w:rsid w:val="00B8433B"/>
    <w:rsid w:val="00B843A0"/>
    <w:rsid w:val="00B84519"/>
    <w:rsid w:val="00B84671"/>
    <w:rsid w:val="00B8475A"/>
    <w:rsid w:val="00B84788"/>
    <w:rsid w:val="00B84C8D"/>
    <w:rsid w:val="00B84CA0"/>
    <w:rsid w:val="00B8534F"/>
    <w:rsid w:val="00B85571"/>
    <w:rsid w:val="00B856D1"/>
    <w:rsid w:val="00B857FD"/>
    <w:rsid w:val="00B85ACF"/>
    <w:rsid w:val="00B85C88"/>
    <w:rsid w:val="00B85E53"/>
    <w:rsid w:val="00B85EC7"/>
    <w:rsid w:val="00B8623F"/>
    <w:rsid w:val="00B86553"/>
    <w:rsid w:val="00B86606"/>
    <w:rsid w:val="00B86920"/>
    <w:rsid w:val="00B86B12"/>
    <w:rsid w:val="00B86EB6"/>
    <w:rsid w:val="00B86F66"/>
    <w:rsid w:val="00B874BC"/>
    <w:rsid w:val="00B876F1"/>
    <w:rsid w:val="00B876F7"/>
    <w:rsid w:val="00B87758"/>
    <w:rsid w:val="00B87A22"/>
    <w:rsid w:val="00B87B2B"/>
    <w:rsid w:val="00B901AB"/>
    <w:rsid w:val="00B90343"/>
    <w:rsid w:val="00B90465"/>
    <w:rsid w:val="00B90483"/>
    <w:rsid w:val="00B908D8"/>
    <w:rsid w:val="00B9102E"/>
    <w:rsid w:val="00B913FF"/>
    <w:rsid w:val="00B91507"/>
    <w:rsid w:val="00B916F6"/>
    <w:rsid w:val="00B91704"/>
    <w:rsid w:val="00B917FE"/>
    <w:rsid w:val="00B9196A"/>
    <w:rsid w:val="00B91C2F"/>
    <w:rsid w:val="00B91E15"/>
    <w:rsid w:val="00B91FB1"/>
    <w:rsid w:val="00B92038"/>
    <w:rsid w:val="00B9227C"/>
    <w:rsid w:val="00B92548"/>
    <w:rsid w:val="00B92656"/>
    <w:rsid w:val="00B92EE6"/>
    <w:rsid w:val="00B93002"/>
    <w:rsid w:val="00B9311C"/>
    <w:rsid w:val="00B932DF"/>
    <w:rsid w:val="00B933C0"/>
    <w:rsid w:val="00B93674"/>
    <w:rsid w:val="00B93854"/>
    <w:rsid w:val="00B938FA"/>
    <w:rsid w:val="00B93925"/>
    <w:rsid w:val="00B939F0"/>
    <w:rsid w:val="00B93B4D"/>
    <w:rsid w:val="00B93D0A"/>
    <w:rsid w:val="00B946CF"/>
    <w:rsid w:val="00B947B6"/>
    <w:rsid w:val="00B9483C"/>
    <w:rsid w:val="00B94BCD"/>
    <w:rsid w:val="00B94BE3"/>
    <w:rsid w:val="00B94C19"/>
    <w:rsid w:val="00B94CBB"/>
    <w:rsid w:val="00B9506E"/>
    <w:rsid w:val="00B9512A"/>
    <w:rsid w:val="00B952CB"/>
    <w:rsid w:val="00B95527"/>
    <w:rsid w:val="00B95602"/>
    <w:rsid w:val="00B95A22"/>
    <w:rsid w:val="00B95CD5"/>
    <w:rsid w:val="00B96048"/>
    <w:rsid w:val="00B96893"/>
    <w:rsid w:val="00B96C37"/>
    <w:rsid w:val="00B96C9E"/>
    <w:rsid w:val="00B96D9B"/>
    <w:rsid w:val="00B96DB8"/>
    <w:rsid w:val="00B970BA"/>
    <w:rsid w:val="00B970BD"/>
    <w:rsid w:val="00B9721A"/>
    <w:rsid w:val="00B974D5"/>
    <w:rsid w:val="00B97804"/>
    <w:rsid w:val="00B97898"/>
    <w:rsid w:val="00B978FE"/>
    <w:rsid w:val="00B97CC7"/>
    <w:rsid w:val="00B97F1C"/>
    <w:rsid w:val="00B97FCB"/>
    <w:rsid w:val="00BA01BE"/>
    <w:rsid w:val="00BA0264"/>
    <w:rsid w:val="00BA0735"/>
    <w:rsid w:val="00BA08C2"/>
    <w:rsid w:val="00BA0A30"/>
    <w:rsid w:val="00BA0C62"/>
    <w:rsid w:val="00BA0CBC"/>
    <w:rsid w:val="00BA0E3D"/>
    <w:rsid w:val="00BA0FA6"/>
    <w:rsid w:val="00BA1030"/>
    <w:rsid w:val="00BA1147"/>
    <w:rsid w:val="00BA13FE"/>
    <w:rsid w:val="00BA14F6"/>
    <w:rsid w:val="00BA16B6"/>
    <w:rsid w:val="00BA18DA"/>
    <w:rsid w:val="00BA1F8F"/>
    <w:rsid w:val="00BA2152"/>
    <w:rsid w:val="00BA22B8"/>
    <w:rsid w:val="00BA262F"/>
    <w:rsid w:val="00BA2669"/>
    <w:rsid w:val="00BA26B7"/>
    <w:rsid w:val="00BA2758"/>
    <w:rsid w:val="00BA2A73"/>
    <w:rsid w:val="00BA2BF4"/>
    <w:rsid w:val="00BA324E"/>
    <w:rsid w:val="00BA39EC"/>
    <w:rsid w:val="00BA3BD9"/>
    <w:rsid w:val="00BA3CF6"/>
    <w:rsid w:val="00BA3D9B"/>
    <w:rsid w:val="00BA4038"/>
    <w:rsid w:val="00BA42D9"/>
    <w:rsid w:val="00BA4863"/>
    <w:rsid w:val="00BA48A7"/>
    <w:rsid w:val="00BA4971"/>
    <w:rsid w:val="00BA4A9B"/>
    <w:rsid w:val="00BA4E4C"/>
    <w:rsid w:val="00BA529E"/>
    <w:rsid w:val="00BA550A"/>
    <w:rsid w:val="00BA594E"/>
    <w:rsid w:val="00BA5F92"/>
    <w:rsid w:val="00BA60C3"/>
    <w:rsid w:val="00BA63E8"/>
    <w:rsid w:val="00BA665E"/>
    <w:rsid w:val="00BA6AD8"/>
    <w:rsid w:val="00BA6CE7"/>
    <w:rsid w:val="00BA6D07"/>
    <w:rsid w:val="00BA6F93"/>
    <w:rsid w:val="00BA6FCC"/>
    <w:rsid w:val="00BA74A0"/>
    <w:rsid w:val="00BA75C4"/>
    <w:rsid w:val="00BA7A81"/>
    <w:rsid w:val="00BA7CEE"/>
    <w:rsid w:val="00BA7D0A"/>
    <w:rsid w:val="00BA7D29"/>
    <w:rsid w:val="00BA7D2F"/>
    <w:rsid w:val="00BB0170"/>
    <w:rsid w:val="00BB0468"/>
    <w:rsid w:val="00BB09F4"/>
    <w:rsid w:val="00BB0C8C"/>
    <w:rsid w:val="00BB0DE8"/>
    <w:rsid w:val="00BB1496"/>
    <w:rsid w:val="00BB14FD"/>
    <w:rsid w:val="00BB162E"/>
    <w:rsid w:val="00BB1D1E"/>
    <w:rsid w:val="00BB1DDB"/>
    <w:rsid w:val="00BB1E16"/>
    <w:rsid w:val="00BB2063"/>
    <w:rsid w:val="00BB2112"/>
    <w:rsid w:val="00BB2128"/>
    <w:rsid w:val="00BB22FE"/>
    <w:rsid w:val="00BB2B52"/>
    <w:rsid w:val="00BB2BE2"/>
    <w:rsid w:val="00BB2F53"/>
    <w:rsid w:val="00BB2FE5"/>
    <w:rsid w:val="00BB3037"/>
    <w:rsid w:val="00BB33FF"/>
    <w:rsid w:val="00BB362E"/>
    <w:rsid w:val="00BB381C"/>
    <w:rsid w:val="00BB3A85"/>
    <w:rsid w:val="00BB3AAD"/>
    <w:rsid w:val="00BB3D71"/>
    <w:rsid w:val="00BB45F0"/>
    <w:rsid w:val="00BB4630"/>
    <w:rsid w:val="00BB4859"/>
    <w:rsid w:val="00BB49DC"/>
    <w:rsid w:val="00BB4C0D"/>
    <w:rsid w:val="00BB4C6B"/>
    <w:rsid w:val="00BB51C2"/>
    <w:rsid w:val="00BB51EA"/>
    <w:rsid w:val="00BB52D9"/>
    <w:rsid w:val="00BB5372"/>
    <w:rsid w:val="00BB557E"/>
    <w:rsid w:val="00BB55E4"/>
    <w:rsid w:val="00BB590C"/>
    <w:rsid w:val="00BB59E2"/>
    <w:rsid w:val="00BB5AFF"/>
    <w:rsid w:val="00BB5C67"/>
    <w:rsid w:val="00BB5E00"/>
    <w:rsid w:val="00BB5F8C"/>
    <w:rsid w:val="00BB6350"/>
    <w:rsid w:val="00BB6BDA"/>
    <w:rsid w:val="00BB6EAC"/>
    <w:rsid w:val="00BB7017"/>
    <w:rsid w:val="00BB71D2"/>
    <w:rsid w:val="00BB7375"/>
    <w:rsid w:val="00BB75F4"/>
    <w:rsid w:val="00BB7A9C"/>
    <w:rsid w:val="00BB7CEB"/>
    <w:rsid w:val="00BC01BC"/>
    <w:rsid w:val="00BC03D4"/>
    <w:rsid w:val="00BC05F9"/>
    <w:rsid w:val="00BC0959"/>
    <w:rsid w:val="00BC0AA1"/>
    <w:rsid w:val="00BC0C0D"/>
    <w:rsid w:val="00BC106A"/>
    <w:rsid w:val="00BC1528"/>
    <w:rsid w:val="00BC168E"/>
    <w:rsid w:val="00BC191E"/>
    <w:rsid w:val="00BC1C64"/>
    <w:rsid w:val="00BC1CF9"/>
    <w:rsid w:val="00BC1E97"/>
    <w:rsid w:val="00BC1F6D"/>
    <w:rsid w:val="00BC229D"/>
    <w:rsid w:val="00BC2664"/>
    <w:rsid w:val="00BC2708"/>
    <w:rsid w:val="00BC27CC"/>
    <w:rsid w:val="00BC29CA"/>
    <w:rsid w:val="00BC2B68"/>
    <w:rsid w:val="00BC2E95"/>
    <w:rsid w:val="00BC312C"/>
    <w:rsid w:val="00BC3166"/>
    <w:rsid w:val="00BC31A5"/>
    <w:rsid w:val="00BC33AC"/>
    <w:rsid w:val="00BC3580"/>
    <w:rsid w:val="00BC3651"/>
    <w:rsid w:val="00BC378A"/>
    <w:rsid w:val="00BC3B55"/>
    <w:rsid w:val="00BC4418"/>
    <w:rsid w:val="00BC47ED"/>
    <w:rsid w:val="00BC48BD"/>
    <w:rsid w:val="00BC494E"/>
    <w:rsid w:val="00BC4A30"/>
    <w:rsid w:val="00BC4A94"/>
    <w:rsid w:val="00BC4AED"/>
    <w:rsid w:val="00BC4C65"/>
    <w:rsid w:val="00BC4D40"/>
    <w:rsid w:val="00BC50FE"/>
    <w:rsid w:val="00BC51B0"/>
    <w:rsid w:val="00BC5339"/>
    <w:rsid w:val="00BC541D"/>
    <w:rsid w:val="00BC5802"/>
    <w:rsid w:val="00BC60D8"/>
    <w:rsid w:val="00BC60FF"/>
    <w:rsid w:val="00BC61E6"/>
    <w:rsid w:val="00BC6E38"/>
    <w:rsid w:val="00BC6F33"/>
    <w:rsid w:val="00BC6F5B"/>
    <w:rsid w:val="00BC706A"/>
    <w:rsid w:val="00BC728D"/>
    <w:rsid w:val="00BC743A"/>
    <w:rsid w:val="00BC7445"/>
    <w:rsid w:val="00BC782D"/>
    <w:rsid w:val="00BC78EF"/>
    <w:rsid w:val="00BC792C"/>
    <w:rsid w:val="00BC7AE0"/>
    <w:rsid w:val="00BC7FD3"/>
    <w:rsid w:val="00BD06D5"/>
    <w:rsid w:val="00BD08A5"/>
    <w:rsid w:val="00BD09F3"/>
    <w:rsid w:val="00BD1004"/>
    <w:rsid w:val="00BD1037"/>
    <w:rsid w:val="00BD144C"/>
    <w:rsid w:val="00BD1913"/>
    <w:rsid w:val="00BD1E63"/>
    <w:rsid w:val="00BD1F6C"/>
    <w:rsid w:val="00BD203A"/>
    <w:rsid w:val="00BD239B"/>
    <w:rsid w:val="00BD2618"/>
    <w:rsid w:val="00BD2A14"/>
    <w:rsid w:val="00BD38F3"/>
    <w:rsid w:val="00BD39D5"/>
    <w:rsid w:val="00BD3C82"/>
    <w:rsid w:val="00BD3F22"/>
    <w:rsid w:val="00BD3F5A"/>
    <w:rsid w:val="00BD4664"/>
    <w:rsid w:val="00BD486D"/>
    <w:rsid w:val="00BD489C"/>
    <w:rsid w:val="00BD49CE"/>
    <w:rsid w:val="00BD4C4B"/>
    <w:rsid w:val="00BD4DBB"/>
    <w:rsid w:val="00BD4F73"/>
    <w:rsid w:val="00BD4F85"/>
    <w:rsid w:val="00BD52CD"/>
    <w:rsid w:val="00BD57FB"/>
    <w:rsid w:val="00BD5BAD"/>
    <w:rsid w:val="00BD5BC6"/>
    <w:rsid w:val="00BD5CA6"/>
    <w:rsid w:val="00BD5E48"/>
    <w:rsid w:val="00BD62E2"/>
    <w:rsid w:val="00BD63B2"/>
    <w:rsid w:val="00BD66B6"/>
    <w:rsid w:val="00BD676F"/>
    <w:rsid w:val="00BD6910"/>
    <w:rsid w:val="00BD6C84"/>
    <w:rsid w:val="00BD6F74"/>
    <w:rsid w:val="00BD71B5"/>
    <w:rsid w:val="00BD7334"/>
    <w:rsid w:val="00BD7AF8"/>
    <w:rsid w:val="00BD7D42"/>
    <w:rsid w:val="00BD7D56"/>
    <w:rsid w:val="00BE0365"/>
    <w:rsid w:val="00BE043D"/>
    <w:rsid w:val="00BE0D46"/>
    <w:rsid w:val="00BE1054"/>
    <w:rsid w:val="00BE1323"/>
    <w:rsid w:val="00BE14DA"/>
    <w:rsid w:val="00BE15AF"/>
    <w:rsid w:val="00BE1945"/>
    <w:rsid w:val="00BE1C34"/>
    <w:rsid w:val="00BE2128"/>
    <w:rsid w:val="00BE2207"/>
    <w:rsid w:val="00BE24DC"/>
    <w:rsid w:val="00BE2626"/>
    <w:rsid w:val="00BE2D8F"/>
    <w:rsid w:val="00BE2DEA"/>
    <w:rsid w:val="00BE31B3"/>
    <w:rsid w:val="00BE416C"/>
    <w:rsid w:val="00BE4554"/>
    <w:rsid w:val="00BE45D9"/>
    <w:rsid w:val="00BE4784"/>
    <w:rsid w:val="00BE4AB5"/>
    <w:rsid w:val="00BE4C77"/>
    <w:rsid w:val="00BE4D5C"/>
    <w:rsid w:val="00BE4DA7"/>
    <w:rsid w:val="00BE4ECD"/>
    <w:rsid w:val="00BE4FC7"/>
    <w:rsid w:val="00BE5227"/>
    <w:rsid w:val="00BE52BB"/>
    <w:rsid w:val="00BE52C9"/>
    <w:rsid w:val="00BE5377"/>
    <w:rsid w:val="00BE5417"/>
    <w:rsid w:val="00BE54CE"/>
    <w:rsid w:val="00BE5F37"/>
    <w:rsid w:val="00BE5F78"/>
    <w:rsid w:val="00BE6008"/>
    <w:rsid w:val="00BE6169"/>
    <w:rsid w:val="00BE62D1"/>
    <w:rsid w:val="00BE6356"/>
    <w:rsid w:val="00BE68AB"/>
    <w:rsid w:val="00BE6AA9"/>
    <w:rsid w:val="00BE6BE6"/>
    <w:rsid w:val="00BE6F31"/>
    <w:rsid w:val="00BE7012"/>
    <w:rsid w:val="00BE701D"/>
    <w:rsid w:val="00BE730B"/>
    <w:rsid w:val="00BE74F1"/>
    <w:rsid w:val="00BE7512"/>
    <w:rsid w:val="00BE7541"/>
    <w:rsid w:val="00BE76EE"/>
    <w:rsid w:val="00BE77AD"/>
    <w:rsid w:val="00BE7977"/>
    <w:rsid w:val="00BE7CAA"/>
    <w:rsid w:val="00BE7E6B"/>
    <w:rsid w:val="00BF01FA"/>
    <w:rsid w:val="00BF02AF"/>
    <w:rsid w:val="00BF0445"/>
    <w:rsid w:val="00BF05D1"/>
    <w:rsid w:val="00BF0967"/>
    <w:rsid w:val="00BF09E2"/>
    <w:rsid w:val="00BF110D"/>
    <w:rsid w:val="00BF1142"/>
    <w:rsid w:val="00BF1371"/>
    <w:rsid w:val="00BF1670"/>
    <w:rsid w:val="00BF21C1"/>
    <w:rsid w:val="00BF23C7"/>
    <w:rsid w:val="00BF260E"/>
    <w:rsid w:val="00BF26A8"/>
    <w:rsid w:val="00BF2C67"/>
    <w:rsid w:val="00BF319E"/>
    <w:rsid w:val="00BF3671"/>
    <w:rsid w:val="00BF3730"/>
    <w:rsid w:val="00BF375F"/>
    <w:rsid w:val="00BF3791"/>
    <w:rsid w:val="00BF3FD6"/>
    <w:rsid w:val="00BF40F9"/>
    <w:rsid w:val="00BF4583"/>
    <w:rsid w:val="00BF459C"/>
    <w:rsid w:val="00BF4B3F"/>
    <w:rsid w:val="00BF4BF9"/>
    <w:rsid w:val="00BF4D79"/>
    <w:rsid w:val="00BF5208"/>
    <w:rsid w:val="00BF53B4"/>
    <w:rsid w:val="00BF53D5"/>
    <w:rsid w:val="00BF56AA"/>
    <w:rsid w:val="00BF59F8"/>
    <w:rsid w:val="00BF5A18"/>
    <w:rsid w:val="00BF5C8B"/>
    <w:rsid w:val="00BF5E4E"/>
    <w:rsid w:val="00BF62D6"/>
    <w:rsid w:val="00BF64F8"/>
    <w:rsid w:val="00BF653B"/>
    <w:rsid w:val="00BF6884"/>
    <w:rsid w:val="00BF6955"/>
    <w:rsid w:val="00BF697F"/>
    <w:rsid w:val="00BF69CD"/>
    <w:rsid w:val="00BF6AB2"/>
    <w:rsid w:val="00BF6C42"/>
    <w:rsid w:val="00BF7090"/>
    <w:rsid w:val="00BF7199"/>
    <w:rsid w:val="00BF75DF"/>
    <w:rsid w:val="00BF78E7"/>
    <w:rsid w:val="00BF798A"/>
    <w:rsid w:val="00BF79B2"/>
    <w:rsid w:val="00C000FD"/>
    <w:rsid w:val="00C0014C"/>
    <w:rsid w:val="00C008BD"/>
    <w:rsid w:val="00C00B12"/>
    <w:rsid w:val="00C00B25"/>
    <w:rsid w:val="00C00B3C"/>
    <w:rsid w:val="00C00BF7"/>
    <w:rsid w:val="00C00DC4"/>
    <w:rsid w:val="00C011D6"/>
    <w:rsid w:val="00C01474"/>
    <w:rsid w:val="00C014C7"/>
    <w:rsid w:val="00C01538"/>
    <w:rsid w:val="00C01747"/>
    <w:rsid w:val="00C017CD"/>
    <w:rsid w:val="00C01AEB"/>
    <w:rsid w:val="00C01C8D"/>
    <w:rsid w:val="00C01DFC"/>
    <w:rsid w:val="00C02068"/>
    <w:rsid w:val="00C02159"/>
    <w:rsid w:val="00C02355"/>
    <w:rsid w:val="00C02538"/>
    <w:rsid w:val="00C02A74"/>
    <w:rsid w:val="00C02E1C"/>
    <w:rsid w:val="00C02E57"/>
    <w:rsid w:val="00C02F05"/>
    <w:rsid w:val="00C02FCA"/>
    <w:rsid w:val="00C030AD"/>
    <w:rsid w:val="00C03140"/>
    <w:rsid w:val="00C03245"/>
    <w:rsid w:val="00C03857"/>
    <w:rsid w:val="00C03997"/>
    <w:rsid w:val="00C03C1A"/>
    <w:rsid w:val="00C03D57"/>
    <w:rsid w:val="00C03D66"/>
    <w:rsid w:val="00C04138"/>
    <w:rsid w:val="00C043AC"/>
    <w:rsid w:val="00C04481"/>
    <w:rsid w:val="00C0491B"/>
    <w:rsid w:val="00C04D39"/>
    <w:rsid w:val="00C04E7A"/>
    <w:rsid w:val="00C04EB0"/>
    <w:rsid w:val="00C0525F"/>
    <w:rsid w:val="00C05345"/>
    <w:rsid w:val="00C05D28"/>
    <w:rsid w:val="00C06106"/>
    <w:rsid w:val="00C062D8"/>
    <w:rsid w:val="00C06695"/>
    <w:rsid w:val="00C06836"/>
    <w:rsid w:val="00C0689C"/>
    <w:rsid w:val="00C06975"/>
    <w:rsid w:val="00C07220"/>
    <w:rsid w:val="00C0727B"/>
    <w:rsid w:val="00C100D4"/>
    <w:rsid w:val="00C104EB"/>
    <w:rsid w:val="00C10577"/>
    <w:rsid w:val="00C1059E"/>
    <w:rsid w:val="00C10752"/>
    <w:rsid w:val="00C107DD"/>
    <w:rsid w:val="00C1088D"/>
    <w:rsid w:val="00C108BE"/>
    <w:rsid w:val="00C10EE6"/>
    <w:rsid w:val="00C112A2"/>
    <w:rsid w:val="00C11336"/>
    <w:rsid w:val="00C11BA3"/>
    <w:rsid w:val="00C11C44"/>
    <w:rsid w:val="00C11CD3"/>
    <w:rsid w:val="00C1287F"/>
    <w:rsid w:val="00C12C44"/>
    <w:rsid w:val="00C12CF0"/>
    <w:rsid w:val="00C12D03"/>
    <w:rsid w:val="00C12DE0"/>
    <w:rsid w:val="00C12EC8"/>
    <w:rsid w:val="00C12FC0"/>
    <w:rsid w:val="00C132C3"/>
    <w:rsid w:val="00C13553"/>
    <w:rsid w:val="00C13A6D"/>
    <w:rsid w:val="00C13FCF"/>
    <w:rsid w:val="00C14119"/>
    <w:rsid w:val="00C141DB"/>
    <w:rsid w:val="00C14412"/>
    <w:rsid w:val="00C14672"/>
    <w:rsid w:val="00C147CF"/>
    <w:rsid w:val="00C1505A"/>
    <w:rsid w:val="00C154DF"/>
    <w:rsid w:val="00C155B0"/>
    <w:rsid w:val="00C158D6"/>
    <w:rsid w:val="00C15A54"/>
    <w:rsid w:val="00C15A88"/>
    <w:rsid w:val="00C15B40"/>
    <w:rsid w:val="00C15C66"/>
    <w:rsid w:val="00C1609C"/>
    <w:rsid w:val="00C162F1"/>
    <w:rsid w:val="00C164B6"/>
    <w:rsid w:val="00C165F7"/>
    <w:rsid w:val="00C16890"/>
    <w:rsid w:val="00C168AD"/>
    <w:rsid w:val="00C16CFC"/>
    <w:rsid w:val="00C16F27"/>
    <w:rsid w:val="00C17252"/>
    <w:rsid w:val="00C17408"/>
    <w:rsid w:val="00C1757C"/>
    <w:rsid w:val="00C17697"/>
    <w:rsid w:val="00C177BD"/>
    <w:rsid w:val="00C1787C"/>
    <w:rsid w:val="00C17970"/>
    <w:rsid w:val="00C17A56"/>
    <w:rsid w:val="00C17C0B"/>
    <w:rsid w:val="00C2008C"/>
    <w:rsid w:val="00C2045F"/>
    <w:rsid w:val="00C2091A"/>
    <w:rsid w:val="00C20BCA"/>
    <w:rsid w:val="00C20CA0"/>
    <w:rsid w:val="00C20FF8"/>
    <w:rsid w:val="00C219EE"/>
    <w:rsid w:val="00C22423"/>
    <w:rsid w:val="00C22532"/>
    <w:rsid w:val="00C225CC"/>
    <w:rsid w:val="00C22637"/>
    <w:rsid w:val="00C22682"/>
    <w:rsid w:val="00C22814"/>
    <w:rsid w:val="00C22863"/>
    <w:rsid w:val="00C22A4D"/>
    <w:rsid w:val="00C23795"/>
    <w:rsid w:val="00C237DB"/>
    <w:rsid w:val="00C23A26"/>
    <w:rsid w:val="00C23A4D"/>
    <w:rsid w:val="00C23A94"/>
    <w:rsid w:val="00C23C98"/>
    <w:rsid w:val="00C23CB0"/>
    <w:rsid w:val="00C23EBC"/>
    <w:rsid w:val="00C23F0D"/>
    <w:rsid w:val="00C23F99"/>
    <w:rsid w:val="00C2414A"/>
    <w:rsid w:val="00C241F6"/>
    <w:rsid w:val="00C24C01"/>
    <w:rsid w:val="00C24D62"/>
    <w:rsid w:val="00C252B5"/>
    <w:rsid w:val="00C25542"/>
    <w:rsid w:val="00C255FA"/>
    <w:rsid w:val="00C25B5B"/>
    <w:rsid w:val="00C264DE"/>
    <w:rsid w:val="00C26773"/>
    <w:rsid w:val="00C26817"/>
    <w:rsid w:val="00C26C01"/>
    <w:rsid w:val="00C26E7C"/>
    <w:rsid w:val="00C26F6E"/>
    <w:rsid w:val="00C26F7A"/>
    <w:rsid w:val="00C2752A"/>
    <w:rsid w:val="00C276A3"/>
    <w:rsid w:val="00C2796C"/>
    <w:rsid w:val="00C2799F"/>
    <w:rsid w:val="00C279A4"/>
    <w:rsid w:val="00C27A50"/>
    <w:rsid w:val="00C27CD0"/>
    <w:rsid w:val="00C30594"/>
    <w:rsid w:val="00C305D2"/>
    <w:rsid w:val="00C307B7"/>
    <w:rsid w:val="00C30950"/>
    <w:rsid w:val="00C30D51"/>
    <w:rsid w:val="00C30FD9"/>
    <w:rsid w:val="00C3169B"/>
    <w:rsid w:val="00C31751"/>
    <w:rsid w:val="00C3193F"/>
    <w:rsid w:val="00C31A0E"/>
    <w:rsid w:val="00C31A7A"/>
    <w:rsid w:val="00C31CCB"/>
    <w:rsid w:val="00C31D2D"/>
    <w:rsid w:val="00C31DD9"/>
    <w:rsid w:val="00C320D4"/>
    <w:rsid w:val="00C3233C"/>
    <w:rsid w:val="00C32420"/>
    <w:rsid w:val="00C32461"/>
    <w:rsid w:val="00C324CD"/>
    <w:rsid w:val="00C32A7D"/>
    <w:rsid w:val="00C32B18"/>
    <w:rsid w:val="00C330F2"/>
    <w:rsid w:val="00C33268"/>
    <w:rsid w:val="00C3360E"/>
    <w:rsid w:val="00C3368C"/>
    <w:rsid w:val="00C33B4C"/>
    <w:rsid w:val="00C33C19"/>
    <w:rsid w:val="00C33F2C"/>
    <w:rsid w:val="00C34015"/>
    <w:rsid w:val="00C342EC"/>
    <w:rsid w:val="00C343FA"/>
    <w:rsid w:val="00C34493"/>
    <w:rsid w:val="00C34740"/>
    <w:rsid w:val="00C3477A"/>
    <w:rsid w:val="00C34962"/>
    <w:rsid w:val="00C349A0"/>
    <w:rsid w:val="00C34B0A"/>
    <w:rsid w:val="00C34B5B"/>
    <w:rsid w:val="00C357A2"/>
    <w:rsid w:val="00C35809"/>
    <w:rsid w:val="00C35BD4"/>
    <w:rsid w:val="00C35D2E"/>
    <w:rsid w:val="00C35DF9"/>
    <w:rsid w:val="00C35E6F"/>
    <w:rsid w:val="00C35FA0"/>
    <w:rsid w:val="00C3654E"/>
    <w:rsid w:val="00C367E4"/>
    <w:rsid w:val="00C36D63"/>
    <w:rsid w:val="00C36D8B"/>
    <w:rsid w:val="00C36EC0"/>
    <w:rsid w:val="00C37834"/>
    <w:rsid w:val="00C37F28"/>
    <w:rsid w:val="00C37F72"/>
    <w:rsid w:val="00C37FC2"/>
    <w:rsid w:val="00C40222"/>
    <w:rsid w:val="00C403E1"/>
    <w:rsid w:val="00C40577"/>
    <w:rsid w:val="00C40B33"/>
    <w:rsid w:val="00C40D42"/>
    <w:rsid w:val="00C4105D"/>
    <w:rsid w:val="00C41334"/>
    <w:rsid w:val="00C41575"/>
    <w:rsid w:val="00C41894"/>
    <w:rsid w:val="00C418C4"/>
    <w:rsid w:val="00C41965"/>
    <w:rsid w:val="00C41A09"/>
    <w:rsid w:val="00C41A63"/>
    <w:rsid w:val="00C41B5B"/>
    <w:rsid w:val="00C42217"/>
    <w:rsid w:val="00C4247F"/>
    <w:rsid w:val="00C424D7"/>
    <w:rsid w:val="00C4257E"/>
    <w:rsid w:val="00C42597"/>
    <w:rsid w:val="00C42610"/>
    <w:rsid w:val="00C42906"/>
    <w:rsid w:val="00C43581"/>
    <w:rsid w:val="00C43A03"/>
    <w:rsid w:val="00C43A40"/>
    <w:rsid w:val="00C43B99"/>
    <w:rsid w:val="00C43BFF"/>
    <w:rsid w:val="00C43CA5"/>
    <w:rsid w:val="00C43D62"/>
    <w:rsid w:val="00C43E78"/>
    <w:rsid w:val="00C43F67"/>
    <w:rsid w:val="00C440C8"/>
    <w:rsid w:val="00C44193"/>
    <w:rsid w:val="00C445EC"/>
    <w:rsid w:val="00C44885"/>
    <w:rsid w:val="00C4493E"/>
    <w:rsid w:val="00C449C5"/>
    <w:rsid w:val="00C44C65"/>
    <w:rsid w:val="00C44CCF"/>
    <w:rsid w:val="00C44ED4"/>
    <w:rsid w:val="00C452C5"/>
    <w:rsid w:val="00C45675"/>
    <w:rsid w:val="00C457D1"/>
    <w:rsid w:val="00C4595A"/>
    <w:rsid w:val="00C45F64"/>
    <w:rsid w:val="00C45F8C"/>
    <w:rsid w:val="00C4624A"/>
    <w:rsid w:val="00C4665C"/>
    <w:rsid w:val="00C46896"/>
    <w:rsid w:val="00C46CDC"/>
    <w:rsid w:val="00C47102"/>
    <w:rsid w:val="00C47713"/>
    <w:rsid w:val="00C47764"/>
    <w:rsid w:val="00C479BB"/>
    <w:rsid w:val="00C479EE"/>
    <w:rsid w:val="00C47A37"/>
    <w:rsid w:val="00C47B7F"/>
    <w:rsid w:val="00C47EC9"/>
    <w:rsid w:val="00C50078"/>
    <w:rsid w:val="00C5031F"/>
    <w:rsid w:val="00C503B7"/>
    <w:rsid w:val="00C5081C"/>
    <w:rsid w:val="00C50835"/>
    <w:rsid w:val="00C50AA3"/>
    <w:rsid w:val="00C50AC9"/>
    <w:rsid w:val="00C50C22"/>
    <w:rsid w:val="00C50ECF"/>
    <w:rsid w:val="00C50F39"/>
    <w:rsid w:val="00C50FB1"/>
    <w:rsid w:val="00C510AC"/>
    <w:rsid w:val="00C5114A"/>
    <w:rsid w:val="00C513B8"/>
    <w:rsid w:val="00C516B5"/>
    <w:rsid w:val="00C51987"/>
    <w:rsid w:val="00C51E4F"/>
    <w:rsid w:val="00C521A0"/>
    <w:rsid w:val="00C5222D"/>
    <w:rsid w:val="00C52393"/>
    <w:rsid w:val="00C523B4"/>
    <w:rsid w:val="00C52628"/>
    <w:rsid w:val="00C52666"/>
    <w:rsid w:val="00C52ACC"/>
    <w:rsid w:val="00C52D84"/>
    <w:rsid w:val="00C5310D"/>
    <w:rsid w:val="00C532C8"/>
    <w:rsid w:val="00C53465"/>
    <w:rsid w:val="00C535E4"/>
    <w:rsid w:val="00C53875"/>
    <w:rsid w:val="00C5397D"/>
    <w:rsid w:val="00C53B4B"/>
    <w:rsid w:val="00C53B7D"/>
    <w:rsid w:val="00C53E0D"/>
    <w:rsid w:val="00C53E14"/>
    <w:rsid w:val="00C53ECB"/>
    <w:rsid w:val="00C53F20"/>
    <w:rsid w:val="00C540C0"/>
    <w:rsid w:val="00C5412E"/>
    <w:rsid w:val="00C544A3"/>
    <w:rsid w:val="00C54716"/>
    <w:rsid w:val="00C547D2"/>
    <w:rsid w:val="00C54CCE"/>
    <w:rsid w:val="00C54FED"/>
    <w:rsid w:val="00C550C1"/>
    <w:rsid w:val="00C55920"/>
    <w:rsid w:val="00C55EDB"/>
    <w:rsid w:val="00C55EEC"/>
    <w:rsid w:val="00C55F11"/>
    <w:rsid w:val="00C561A9"/>
    <w:rsid w:val="00C566F0"/>
    <w:rsid w:val="00C567B8"/>
    <w:rsid w:val="00C568CD"/>
    <w:rsid w:val="00C569E8"/>
    <w:rsid w:val="00C56C1E"/>
    <w:rsid w:val="00C56C35"/>
    <w:rsid w:val="00C56D1E"/>
    <w:rsid w:val="00C56E13"/>
    <w:rsid w:val="00C56E9D"/>
    <w:rsid w:val="00C573E6"/>
    <w:rsid w:val="00C57719"/>
    <w:rsid w:val="00C57B37"/>
    <w:rsid w:val="00C57D50"/>
    <w:rsid w:val="00C57DC4"/>
    <w:rsid w:val="00C60173"/>
    <w:rsid w:val="00C603E1"/>
    <w:rsid w:val="00C60657"/>
    <w:rsid w:val="00C60873"/>
    <w:rsid w:val="00C60A8D"/>
    <w:rsid w:val="00C60CCA"/>
    <w:rsid w:val="00C60E02"/>
    <w:rsid w:val="00C60FE1"/>
    <w:rsid w:val="00C6108C"/>
    <w:rsid w:val="00C617B8"/>
    <w:rsid w:val="00C618E4"/>
    <w:rsid w:val="00C61A11"/>
    <w:rsid w:val="00C61D3F"/>
    <w:rsid w:val="00C61FD6"/>
    <w:rsid w:val="00C62352"/>
    <w:rsid w:val="00C62F05"/>
    <w:rsid w:val="00C62F37"/>
    <w:rsid w:val="00C63172"/>
    <w:rsid w:val="00C63284"/>
    <w:rsid w:val="00C6342F"/>
    <w:rsid w:val="00C6358E"/>
    <w:rsid w:val="00C63823"/>
    <w:rsid w:val="00C63A55"/>
    <w:rsid w:val="00C63C39"/>
    <w:rsid w:val="00C641CB"/>
    <w:rsid w:val="00C644AF"/>
    <w:rsid w:val="00C6450F"/>
    <w:rsid w:val="00C64612"/>
    <w:rsid w:val="00C64BE2"/>
    <w:rsid w:val="00C64D21"/>
    <w:rsid w:val="00C65090"/>
    <w:rsid w:val="00C6561C"/>
    <w:rsid w:val="00C6573C"/>
    <w:rsid w:val="00C658AD"/>
    <w:rsid w:val="00C66122"/>
    <w:rsid w:val="00C6613D"/>
    <w:rsid w:val="00C6615C"/>
    <w:rsid w:val="00C6675B"/>
    <w:rsid w:val="00C66792"/>
    <w:rsid w:val="00C669E3"/>
    <w:rsid w:val="00C669E4"/>
    <w:rsid w:val="00C676D3"/>
    <w:rsid w:val="00C678B2"/>
    <w:rsid w:val="00C67946"/>
    <w:rsid w:val="00C679F2"/>
    <w:rsid w:val="00C67AD4"/>
    <w:rsid w:val="00C67AE2"/>
    <w:rsid w:val="00C67C08"/>
    <w:rsid w:val="00C67D30"/>
    <w:rsid w:val="00C67F97"/>
    <w:rsid w:val="00C70031"/>
    <w:rsid w:val="00C7006C"/>
    <w:rsid w:val="00C70167"/>
    <w:rsid w:val="00C702B6"/>
    <w:rsid w:val="00C70344"/>
    <w:rsid w:val="00C70531"/>
    <w:rsid w:val="00C70617"/>
    <w:rsid w:val="00C70659"/>
    <w:rsid w:val="00C70756"/>
    <w:rsid w:val="00C707E1"/>
    <w:rsid w:val="00C7083B"/>
    <w:rsid w:val="00C70C3C"/>
    <w:rsid w:val="00C70DA2"/>
    <w:rsid w:val="00C70E65"/>
    <w:rsid w:val="00C71310"/>
    <w:rsid w:val="00C71381"/>
    <w:rsid w:val="00C7139A"/>
    <w:rsid w:val="00C715E3"/>
    <w:rsid w:val="00C7167E"/>
    <w:rsid w:val="00C7168B"/>
    <w:rsid w:val="00C71903"/>
    <w:rsid w:val="00C71919"/>
    <w:rsid w:val="00C71A00"/>
    <w:rsid w:val="00C71A44"/>
    <w:rsid w:val="00C71B07"/>
    <w:rsid w:val="00C7214E"/>
    <w:rsid w:val="00C7237C"/>
    <w:rsid w:val="00C72901"/>
    <w:rsid w:val="00C72DA3"/>
    <w:rsid w:val="00C730A9"/>
    <w:rsid w:val="00C73C4D"/>
    <w:rsid w:val="00C73DAB"/>
    <w:rsid w:val="00C73FB4"/>
    <w:rsid w:val="00C7401B"/>
    <w:rsid w:val="00C740C5"/>
    <w:rsid w:val="00C74304"/>
    <w:rsid w:val="00C743E2"/>
    <w:rsid w:val="00C7465C"/>
    <w:rsid w:val="00C7475E"/>
    <w:rsid w:val="00C747BA"/>
    <w:rsid w:val="00C74965"/>
    <w:rsid w:val="00C74C8C"/>
    <w:rsid w:val="00C74FFE"/>
    <w:rsid w:val="00C75183"/>
    <w:rsid w:val="00C752D0"/>
    <w:rsid w:val="00C75411"/>
    <w:rsid w:val="00C7547B"/>
    <w:rsid w:val="00C75543"/>
    <w:rsid w:val="00C755A0"/>
    <w:rsid w:val="00C75600"/>
    <w:rsid w:val="00C75733"/>
    <w:rsid w:val="00C75D10"/>
    <w:rsid w:val="00C760D1"/>
    <w:rsid w:val="00C76207"/>
    <w:rsid w:val="00C765D0"/>
    <w:rsid w:val="00C7664B"/>
    <w:rsid w:val="00C766C6"/>
    <w:rsid w:val="00C76972"/>
    <w:rsid w:val="00C76B3B"/>
    <w:rsid w:val="00C76E52"/>
    <w:rsid w:val="00C76EC2"/>
    <w:rsid w:val="00C76FB0"/>
    <w:rsid w:val="00C770B9"/>
    <w:rsid w:val="00C771BF"/>
    <w:rsid w:val="00C77428"/>
    <w:rsid w:val="00C77665"/>
    <w:rsid w:val="00C77805"/>
    <w:rsid w:val="00C778E3"/>
    <w:rsid w:val="00C77A7B"/>
    <w:rsid w:val="00C77C34"/>
    <w:rsid w:val="00C77C50"/>
    <w:rsid w:val="00C77D20"/>
    <w:rsid w:val="00C77E02"/>
    <w:rsid w:val="00C77E82"/>
    <w:rsid w:val="00C8022B"/>
    <w:rsid w:val="00C8045D"/>
    <w:rsid w:val="00C80786"/>
    <w:rsid w:val="00C807BA"/>
    <w:rsid w:val="00C80C08"/>
    <w:rsid w:val="00C80C5B"/>
    <w:rsid w:val="00C80EEB"/>
    <w:rsid w:val="00C80FE2"/>
    <w:rsid w:val="00C812CF"/>
    <w:rsid w:val="00C8152E"/>
    <w:rsid w:val="00C8163C"/>
    <w:rsid w:val="00C81758"/>
    <w:rsid w:val="00C817A8"/>
    <w:rsid w:val="00C8185E"/>
    <w:rsid w:val="00C819A5"/>
    <w:rsid w:val="00C81CE0"/>
    <w:rsid w:val="00C81DE1"/>
    <w:rsid w:val="00C8237A"/>
    <w:rsid w:val="00C825C0"/>
    <w:rsid w:val="00C82D79"/>
    <w:rsid w:val="00C82DDD"/>
    <w:rsid w:val="00C83213"/>
    <w:rsid w:val="00C83309"/>
    <w:rsid w:val="00C836B7"/>
    <w:rsid w:val="00C837A4"/>
    <w:rsid w:val="00C83E85"/>
    <w:rsid w:val="00C843FF"/>
    <w:rsid w:val="00C84690"/>
    <w:rsid w:val="00C846CE"/>
    <w:rsid w:val="00C846FD"/>
    <w:rsid w:val="00C8492C"/>
    <w:rsid w:val="00C84DEE"/>
    <w:rsid w:val="00C84E5F"/>
    <w:rsid w:val="00C84EEE"/>
    <w:rsid w:val="00C85227"/>
    <w:rsid w:val="00C8562B"/>
    <w:rsid w:val="00C85685"/>
    <w:rsid w:val="00C85A27"/>
    <w:rsid w:val="00C85D44"/>
    <w:rsid w:val="00C8690E"/>
    <w:rsid w:val="00C86D05"/>
    <w:rsid w:val="00C86E7D"/>
    <w:rsid w:val="00C87074"/>
    <w:rsid w:val="00C8721D"/>
    <w:rsid w:val="00C87295"/>
    <w:rsid w:val="00C872E6"/>
    <w:rsid w:val="00C872EE"/>
    <w:rsid w:val="00C874BE"/>
    <w:rsid w:val="00C875D1"/>
    <w:rsid w:val="00C876A2"/>
    <w:rsid w:val="00C877A0"/>
    <w:rsid w:val="00C87841"/>
    <w:rsid w:val="00C87A18"/>
    <w:rsid w:val="00C87A9C"/>
    <w:rsid w:val="00C87D2A"/>
    <w:rsid w:val="00C87F22"/>
    <w:rsid w:val="00C9014F"/>
    <w:rsid w:val="00C901EC"/>
    <w:rsid w:val="00C90309"/>
    <w:rsid w:val="00C90A96"/>
    <w:rsid w:val="00C90FE8"/>
    <w:rsid w:val="00C91086"/>
    <w:rsid w:val="00C911CE"/>
    <w:rsid w:val="00C9136B"/>
    <w:rsid w:val="00C9149B"/>
    <w:rsid w:val="00C914F9"/>
    <w:rsid w:val="00C918E8"/>
    <w:rsid w:val="00C91B23"/>
    <w:rsid w:val="00C91BCA"/>
    <w:rsid w:val="00C91D4D"/>
    <w:rsid w:val="00C91EA6"/>
    <w:rsid w:val="00C92015"/>
    <w:rsid w:val="00C9230F"/>
    <w:rsid w:val="00C923EB"/>
    <w:rsid w:val="00C924EC"/>
    <w:rsid w:val="00C925C4"/>
    <w:rsid w:val="00C92623"/>
    <w:rsid w:val="00C92708"/>
    <w:rsid w:val="00C9281A"/>
    <w:rsid w:val="00C9298D"/>
    <w:rsid w:val="00C92DD2"/>
    <w:rsid w:val="00C93003"/>
    <w:rsid w:val="00C9330D"/>
    <w:rsid w:val="00C936BB"/>
    <w:rsid w:val="00C93748"/>
    <w:rsid w:val="00C938AC"/>
    <w:rsid w:val="00C93C1C"/>
    <w:rsid w:val="00C93FED"/>
    <w:rsid w:val="00C9415D"/>
    <w:rsid w:val="00C9484A"/>
    <w:rsid w:val="00C949E9"/>
    <w:rsid w:val="00C94EAE"/>
    <w:rsid w:val="00C94F55"/>
    <w:rsid w:val="00C95144"/>
    <w:rsid w:val="00C95410"/>
    <w:rsid w:val="00C955AA"/>
    <w:rsid w:val="00C95904"/>
    <w:rsid w:val="00C95DE0"/>
    <w:rsid w:val="00C96039"/>
    <w:rsid w:val="00C96697"/>
    <w:rsid w:val="00C9697B"/>
    <w:rsid w:val="00C96A3B"/>
    <w:rsid w:val="00C96A55"/>
    <w:rsid w:val="00C96CBA"/>
    <w:rsid w:val="00C96D1D"/>
    <w:rsid w:val="00C96D89"/>
    <w:rsid w:val="00C96FE9"/>
    <w:rsid w:val="00C970A5"/>
    <w:rsid w:val="00C97169"/>
    <w:rsid w:val="00C9717F"/>
    <w:rsid w:val="00C972A3"/>
    <w:rsid w:val="00C972F2"/>
    <w:rsid w:val="00C97316"/>
    <w:rsid w:val="00C9746E"/>
    <w:rsid w:val="00C97C6A"/>
    <w:rsid w:val="00C97E07"/>
    <w:rsid w:val="00C97F6A"/>
    <w:rsid w:val="00CA0AC2"/>
    <w:rsid w:val="00CA0E78"/>
    <w:rsid w:val="00CA16A8"/>
    <w:rsid w:val="00CA1B5A"/>
    <w:rsid w:val="00CA1C02"/>
    <w:rsid w:val="00CA1C94"/>
    <w:rsid w:val="00CA1F2A"/>
    <w:rsid w:val="00CA2115"/>
    <w:rsid w:val="00CA22CA"/>
    <w:rsid w:val="00CA29A4"/>
    <w:rsid w:val="00CA2A14"/>
    <w:rsid w:val="00CA2B4C"/>
    <w:rsid w:val="00CA2C56"/>
    <w:rsid w:val="00CA2C9F"/>
    <w:rsid w:val="00CA2D74"/>
    <w:rsid w:val="00CA324F"/>
    <w:rsid w:val="00CA32A7"/>
    <w:rsid w:val="00CA3A79"/>
    <w:rsid w:val="00CA3C6B"/>
    <w:rsid w:val="00CA3E22"/>
    <w:rsid w:val="00CA425F"/>
    <w:rsid w:val="00CA4332"/>
    <w:rsid w:val="00CA487C"/>
    <w:rsid w:val="00CA48B7"/>
    <w:rsid w:val="00CA4C60"/>
    <w:rsid w:val="00CA4C81"/>
    <w:rsid w:val="00CA4FEC"/>
    <w:rsid w:val="00CA5393"/>
    <w:rsid w:val="00CA57E3"/>
    <w:rsid w:val="00CA5E71"/>
    <w:rsid w:val="00CA60AA"/>
    <w:rsid w:val="00CA62C5"/>
    <w:rsid w:val="00CA6312"/>
    <w:rsid w:val="00CA6595"/>
    <w:rsid w:val="00CA682E"/>
    <w:rsid w:val="00CA6D77"/>
    <w:rsid w:val="00CA6DEA"/>
    <w:rsid w:val="00CA6DFD"/>
    <w:rsid w:val="00CA6F63"/>
    <w:rsid w:val="00CA72AC"/>
    <w:rsid w:val="00CA7347"/>
    <w:rsid w:val="00CA7376"/>
    <w:rsid w:val="00CA7424"/>
    <w:rsid w:val="00CA79E5"/>
    <w:rsid w:val="00CA7D29"/>
    <w:rsid w:val="00CA7F6B"/>
    <w:rsid w:val="00CB0095"/>
    <w:rsid w:val="00CB04F6"/>
    <w:rsid w:val="00CB0BAE"/>
    <w:rsid w:val="00CB0C32"/>
    <w:rsid w:val="00CB0C7C"/>
    <w:rsid w:val="00CB0E47"/>
    <w:rsid w:val="00CB0E94"/>
    <w:rsid w:val="00CB0EBB"/>
    <w:rsid w:val="00CB1282"/>
    <w:rsid w:val="00CB12F1"/>
    <w:rsid w:val="00CB16DF"/>
    <w:rsid w:val="00CB17AD"/>
    <w:rsid w:val="00CB19B7"/>
    <w:rsid w:val="00CB19EE"/>
    <w:rsid w:val="00CB20DE"/>
    <w:rsid w:val="00CB2500"/>
    <w:rsid w:val="00CB26AF"/>
    <w:rsid w:val="00CB2923"/>
    <w:rsid w:val="00CB2B50"/>
    <w:rsid w:val="00CB2DDF"/>
    <w:rsid w:val="00CB2EE9"/>
    <w:rsid w:val="00CB3081"/>
    <w:rsid w:val="00CB35D7"/>
    <w:rsid w:val="00CB390A"/>
    <w:rsid w:val="00CB3BFC"/>
    <w:rsid w:val="00CB3DDA"/>
    <w:rsid w:val="00CB3E59"/>
    <w:rsid w:val="00CB405D"/>
    <w:rsid w:val="00CB40CC"/>
    <w:rsid w:val="00CB432A"/>
    <w:rsid w:val="00CB43F4"/>
    <w:rsid w:val="00CB4594"/>
    <w:rsid w:val="00CB4727"/>
    <w:rsid w:val="00CB4740"/>
    <w:rsid w:val="00CB4B60"/>
    <w:rsid w:val="00CB4C49"/>
    <w:rsid w:val="00CB4D14"/>
    <w:rsid w:val="00CB4DF5"/>
    <w:rsid w:val="00CB500C"/>
    <w:rsid w:val="00CB52CF"/>
    <w:rsid w:val="00CB5384"/>
    <w:rsid w:val="00CB5677"/>
    <w:rsid w:val="00CB57A8"/>
    <w:rsid w:val="00CB58EB"/>
    <w:rsid w:val="00CB59AE"/>
    <w:rsid w:val="00CB5AFF"/>
    <w:rsid w:val="00CB5DB3"/>
    <w:rsid w:val="00CB5EEC"/>
    <w:rsid w:val="00CB6068"/>
    <w:rsid w:val="00CB613F"/>
    <w:rsid w:val="00CB6225"/>
    <w:rsid w:val="00CB6461"/>
    <w:rsid w:val="00CB6766"/>
    <w:rsid w:val="00CB6B51"/>
    <w:rsid w:val="00CB7CCA"/>
    <w:rsid w:val="00CC0223"/>
    <w:rsid w:val="00CC0312"/>
    <w:rsid w:val="00CC03E5"/>
    <w:rsid w:val="00CC06E2"/>
    <w:rsid w:val="00CC0A59"/>
    <w:rsid w:val="00CC0BF2"/>
    <w:rsid w:val="00CC0EC0"/>
    <w:rsid w:val="00CC1175"/>
    <w:rsid w:val="00CC1226"/>
    <w:rsid w:val="00CC1353"/>
    <w:rsid w:val="00CC139C"/>
    <w:rsid w:val="00CC1884"/>
    <w:rsid w:val="00CC197E"/>
    <w:rsid w:val="00CC1C76"/>
    <w:rsid w:val="00CC1D82"/>
    <w:rsid w:val="00CC1EF7"/>
    <w:rsid w:val="00CC1FF8"/>
    <w:rsid w:val="00CC29FB"/>
    <w:rsid w:val="00CC30E2"/>
    <w:rsid w:val="00CC317E"/>
    <w:rsid w:val="00CC33F0"/>
    <w:rsid w:val="00CC345E"/>
    <w:rsid w:val="00CC3482"/>
    <w:rsid w:val="00CC362A"/>
    <w:rsid w:val="00CC37FC"/>
    <w:rsid w:val="00CC3CC8"/>
    <w:rsid w:val="00CC3F33"/>
    <w:rsid w:val="00CC4009"/>
    <w:rsid w:val="00CC40FA"/>
    <w:rsid w:val="00CC43B8"/>
    <w:rsid w:val="00CC4C0B"/>
    <w:rsid w:val="00CC4C24"/>
    <w:rsid w:val="00CC4DE4"/>
    <w:rsid w:val="00CC4F6E"/>
    <w:rsid w:val="00CC50E4"/>
    <w:rsid w:val="00CC53ED"/>
    <w:rsid w:val="00CC558C"/>
    <w:rsid w:val="00CC5683"/>
    <w:rsid w:val="00CC57C1"/>
    <w:rsid w:val="00CC5FA4"/>
    <w:rsid w:val="00CC635C"/>
    <w:rsid w:val="00CC6551"/>
    <w:rsid w:val="00CC66BD"/>
    <w:rsid w:val="00CC6D44"/>
    <w:rsid w:val="00CC6E77"/>
    <w:rsid w:val="00CC745C"/>
    <w:rsid w:val="00CC75A4"/>
    <w:rsid w:val="00CC7716"/>
    <w:rsid w:val="00CC7B4A"/>
    <w:rsid w:val="00CC7ECA"/>
    <w:rsid w:val="00CC7EFC"/>
    <w:rsid w:val="00CD0115"/>
    <w:rsid w:val="00CD041A"/>
    <w:rsid w:val="00CD05A2"/>
    <w:rsid w:val="00CD0680"/>
    <w:rsid w:val="00CD06FF"/>
    <w:rsid w:val="00CD097E"/>
    <w:rsid w:val="00CD0CA5"/>
    <w:rsid w:val="00CD14A3"/>
    <w:rsid w:val="00CD1833"/>
    <w:rsid w:val="00CD18CD"/>
    <w:rsid w:val="00CD1A35"/>
    <w:rsid w:val="00CD1D1C"/>
    <w:rsid w:val="00CD204F"/>
    <w:rsid w:val="00CD2119"/>
    <w:rsid w:val="00CD24D9"/>
    <w:rsid w:val="00CD25D9"/>
    <w:rsid w:val="00CD2EB5"/>
    <w:rsid w:val="00CD309D"/>
    <w:rsid w:val="00CD30A1"/>
    <w:rsid w:val="00CD3176"/>
    <w:rsid w:val="00CD3375"/>
    <w:rsid w:val="00CD37FE"/>
    <w:rsid w:val="00CD399B"/>
    <w:rsid w:val="00CD3CC6"/>
    <w:rsid w:val="00CD3D34"/>
    <w:rsid w:val="00CD3E7A"/>
    <w:rsid w:val="00CD4114"/>
    <w:rsid w:val="00CD41E1"/>
    <w:rsid w:val="00CD4344"/>
    <w:rsid w:val="00CD468C"/>
    <w:rsid w:val="00CD4803"/>
    <w:rsid w:val="00CD4BE7"/>
    <w:rsid w:val="00CD4C36"/>
    <w:rsid w:val="00CD4E94"/>
    <w:rsid w:val="00CD51A5"/>
    <w:rsid w:val="00CD5289"/>
    <w:rsid w:val="00CD5378"/>
    <w:rsid w:val="00CD5417"/>
    <w:rsid w:val="00CD56A0"/>
    <w:rsid w:val="00CD5836"/>
    <w:rsid w:val="00CD5CB5"/>
    <w:rsid w:val="00CD5FB8"/>
    <w:rsid w:val="00CD6058"/>
    <w:rsid w:val="00CD619A"/>
    <w:rsid w:val="00CD63E8"/>
    <w:rsid w:val="00CD64D9"/>
    <w:rsid w:val="00CD6646"/>
    <w:rsid w:val="00CD6C3F"/>
    <w:rsid w:val="00CD7170"/>
    <w:rsid w:val="00CD7556"/>
    <w:rsid w:val="00CD75F9"/>
    <w:rsid w:val="00CD763E"/>
    <w:rsid w:val="00CD7652"/>
    <w:rsid w:val="00CD76BC"/>
    <w:rsid w:val="00CD77B3"/>
    <w:rsid w:val="00CD781A"/>
    <w:rsid w:val="00CD7AA7"/>
    <w:rsid w:val="00CD7B01"/>
    <w:rsid w:val="00CE042C"/>
    <w:rsid w:val="00CE052F"/>
    <w:rsid w:val="00CE0716"/>
    <w:rsid w:val="00CE09D9"/>
    <w:rsid w:val="00CE0A18"/>
    <w:rsid w:val="00CE11C7"/>
    <w:rsid w:val="00CE154D"/>
    <w:rsid w:val="00CE16D5"/>
    <w:rsid w:val="00CE1901"/>
    <w:rsid w:val="00CE19AD"/>
    <w:rsid w:val="00CE1BB5"/>
    <w:rsid w:val="00CE1E9A"/>
    <w:rsid w:val="00CE20C4"/>
    <w:rsid w:val="00CE2130"/>
    <w:rsid w:val="00CE215E"/>
    <w:rsid w:val="00CE2946"/>
    <w:rsid w:val="00CE2A67"/>
    <w:rsid w:val="00CE2B46"/>
    <w:rsid w:val="00CE2D72"/>
    <w:rsid w:val="00CE3357"/>
    <w:rsid w:val="00CE3A39"/>
    <w:rsid w:val="00CE413D"/>
    <w:rsid w:val="00CE41CF"/>
    <w:rsid w:val="00CE4406"/>
    <w:rsid w:val="00CE470F"/>
    <w:rsid w:val="00CE4734"/>
    <w:rsid w:val="00CE49EF"/>
    <w:rsid w:val="00CE4C36"/>
    <w:rsid w:val="00CE4F18"/>
    <w:rsid w:val="00CE500F"/>
    <w:rsid w:val="00CE55CD"/>
    <w:rsid w:val="00CE566B"/>
    <w:rsid w:val="00CE5917"/>
    <w:rsid w:val="00CE5964"/>
    <w:rsid w:val="00CE5C80"/>
    <w:rsid w:val="00CE5D9B"/>
    <w:rsid w:val="00CE6012"/>
    <w:rsid w:val="00CE68A4"/>
    <w:rsid w:val="00CE6C03"/>
    <w:rsid w:val="00CE6D81"/>
    <w:rsid w:val="00CE70FF"/>
    <w:rsid w:val="00CE760C"/>
    <w:rsid w:val="00CE784A"/>
    <w:rsid w:val="00CE79CF"/>
    <w:rsid w:val="00CE7E41"/>
    <w:rsid w:val="00CF03F3"/>
    <w:rsid w:val="00CF0887"/>
    <w:rsid w:val="00CF0B81"/>
    <w:rsid w:val="00CF0E72"/>
    <w:rsid w:val="00CF100A"/>
    <w:rsid w:val="00CF115F"/>
    <w:rsid w:val="00CF1353"/>
    <w:rsid w:val="00CF1458"/>
    <w:rsid w:val="00CF1473"/>
    <w:rsid w:val="00CF1957"/>
    <w:rsid w:val="00CF1D4D"/>
    <w:rsid w:val="00CF1E43"/>
    <w:rsid w:val="00CF201E"/>
    <w:rsid w:val="00CF2421"/>
    <w:rsid w:val="00CF27E7"/>
    <w:rsid w:val="00CF2BFA"/>
    <w:rsid w:val="00CF2C2C"/>
    <w:rsid w:val="00CF3002"/>
    <w:rsid w:val="00CF340F"/>
    <w:rsid w:val="00CF372F"/>
    <w:rsid w:val="00CF3747"/>
    <w:rsid w:val="00CF3C54"/>
    <w:rsid w:val="00CF3C94"/>
    <w:rsid w:val="00CF408D"/>
    <w:rsid w:val="00CF423E"/>
    <w:rsid w:val="00CF474A"/>
    <w:rsid w:val="00CF49F3"/>
    <w:rsid w:val="00CF505A"/>
    <w:rsid w:val="00CF50E9"/>
    <w:rsid w:val="00CF531A"/>
    <w:rsid w:val="00CF559A"/>
    <w:rsid w:val="00CF5E69"/>
    <w:rsid w:val="00CF5FDB"/>
    <w:rsid w:val="00CF6128"/>
    <w:rsid w:val="00CF643E"/>
    <w:rsid w:val="00CF6502"/>
    <w:rsid w:val="00CF654C"/>
    <w:rsid w:val="00CF665A"/>
    <w:rsid w:val="00CF7365"/>
    <w:rsid w:val="00CF73E2"/>
    <w:rsid w:val="00CF7799"/>
    <w:rsid w:val="00CF7FD6"/>
    <w:rsid w:val="00D00076"/>
    <w:rsid w:val="00D00113"/>
    <w:rsid w:val="00D003DE"/>
    <w:rsid w:val="00D00457"/>
    <w:rsid w:val="00D00653"/>
    <w:rsid w:val="00D007BD"/>
    <w:rsid w:val="00D008BD"/>
    <w:rsid w:val="00D00B2A"/>
    <w:rsid w:val="00D00FCC"/>
    <w:rsid w:val="00D01364"/>
    <w:rsid w:val="00D013F2"/>
    <w:rsid w:val="00D015C3"/>
    <w:rsid w:val="00D0198E"/>
    <w:rsid w:val="00D019F6"/>
    <w:rsid w:val="00D01CDA"/>
    <w:rsid w:val="00D02214"/>
    <w:rsid w:val="00D02240"/>
    <w:rsid w:val="00D02313"/>
    <w:rsid w:val="00D0240B"/>
    <w:rsid w:val="00D02528"/>
    <w:rsid w:val="00D02910"/>
    <w:rsid w:val="00D02C39"/>
    <w:rsid w:val="00D02DE3"/>
    <w:rsid w:val="00D030A4"/>
    <w:rsid w:val="00D03196"/>
    <w:rsid w:val="00D031B3"/>
    <w:rsid w:val="00D033AA"/>
    <w:rsid w:val="00D0349D"/>
    <w:rsid w:val="00D035F8"/>
    <w:rsid w:val="00D03613"/>
    <w:rsid w:val="00D036CA"/>
    <w:rsid w:val="00D03A89"/>
    <w:rsid w:val="00D03E5D"/>
    <w:rsid w:val="00D04236"/>
    <w:rsid w:val="00D047ED"/>
    <w:rsid w:val="00D049DE"/>
    <w:rsid w:val="00D04E34"/>
    <w:rsid w:val="00D04F6F"/>
    <w:rsid w:val="00D0501A"/>
    <w:rsid w:val="00D0548D"/>
    <w:rsid w:val="00D054D4"/>
    <w:rsid w:val="00D05571"/>
    <w:rsid w:val="00D05847"/>
    <w:rsid w:val="00D05B33"/>
    <w:rsid w:val="00D05D18"/>
    <w:rsid w:val="00D05E9A"/>
    <w:rsid w:val="00D061FF"/>
    <w:rsid w:val="00D0646E"/>
    <w:rsid w:val="00D06806"/>
    <w:rsid w:val="00D068C8"/>
    <w:rsid w:val="00D06D1D"/>
    <w:rsid w:val="00D06E0A"/>
    <w:rsid w:val="00D06EEE"/>
    <w:rsid w:val="00D07505"/>
    <w:rsid w:val="00D075BD"/>
    <w:rsid w:val="00D0791C"/>
    <w:rsid w:val="00D07E95"/>
    <w:rsid w:val="00D10237"/>
    <w:rsid w:val="00D102FC"/>
    <w:rsid w:val="00D1056F"/>
    <w:rsid w:val="00D10623"/>
    <w:rsid w:val="00D109CE"/>
    <w:rsid w:val="00D109DE"/>
    <w:rsid w:val="00D10A3B"/>
    <w:rsid w:val="00D10DEA"/>
    <w:rsid w:val="00D11053"/>
    <w:rsid w:val="00D1154B"/>
    <w:rsid w:val="00D11596"/>
    <w:rsid w:val="00D1164E"/>
    <w:rsid w:val="00D119DC"/>
    <w:rsid w:val="00D11BE3"/>
    <w:rsid w:val="00D11C49"/>
    <w:rsid w:val="00D11FF9"/>
    <w:rsid w:val="00D12427"/>
    <w:rsid w:val="00D124EA"/>
    <w:rsid w:val="00D127B6"/>
    <w:rsid w:val="00D12BE1"/>
    <w:rsid w:val="00D12FD1"/>
    <w:rsid w:val="00D1350D"/>
    <w:rsid w:val="00D1354A"/>
    <w:rsid w:val="00D13778"/>
    <w:rsid w:val="00D13A0F"/>
    <w:rsid w:val="00D13D45"/>
    <w:rsid w:val="00D14210"/>
    <w:rsid w:val="00D146AB"/>
    <w:rsid w:val="00D14A9C"/>
    <w:rsid w:val="00D14D3E"/>
    <w:rsid w:val="00D14DD7"/>
    <w:rsid w:val="00D14F4C"/>
    <w:rsid w:val="00D14F91"/>
    <w:rsid w:val="00D14FFF"/>
    <w:rsid w:val="00D15459"/>
    <w:rsid w:val="00D157BD"/>
    <w:rsid w:val="00D1586E"/>
    <w:rsid w:val="00D15B49"/>
    <w:rsid w:val="00D15D85"/>
    <w:rsid w:val="00D15E65"/>
    <w:rsid w:val="00D160E0"/>
    <w:rsid w:val="00D162CC"/>
    <w:rsid w:val="00D163D3"/>
    <w:rsid w:val="00D16546"/>
    <w:rsid w:val="00D166DB"/>
    <w:rsid w:val="00D166F5"/>
    <w:rsid w:val="00D16989"/>
    <w:rsid w:val="00D170A5"/>
    <w:rsid w:val="00D170BC"/>
    <w:rsid w:val="00D171A6"/>
    <w:rsid w:val="00D173B3"/>
    <w:rsid w:val="00D17757"/>
    <w:rsid w:val="00D179E6"/>
    <w:rsid w:val="00D179EC"/>
    <w:rsid w:val="00D17A3E"/>
    <w:rsid w:val="00D17C34"/>
    <w:rsid w:val="00D17E6E"/>
    <w:rsid w:val="00D17E93"/>
    <w:rsid w:val="00D20078"/>
    <w:rsid w:val="00D20322"/>
    <w:rsid w:val="00D20377"/>
    <w:rsid w:val="00D2053F"/>
    <w:rsid w:val="00D20BFF"/>
    <w:rsid w:val="00D20C4B"/>
    <w:rsid w:val="00D20ECD"/>
    <w:rsid w:val="00D21141"/>
    <w:rsid w:val="00D21215"/>
    <w:rsid w:val="00D2121D"/>
    <w:rsid w:val="00D21532"/>
    <w:rsid w:val="00D2153D"/>
    <w:rsid w:val="00D21671"/>
    <w:rsid w:val="00D21765"/>
    <w:rsid w:val="00D21831"/>
    <w:rsid w:val="00D21DCE"/>
    <w:rsid w:val="00D21FE9"/>
    <w:rsid w:val="00D220F5"/>
    <w:rsid w:val="00D221EB"/>
    <w:rsid w:val="00D222A1"/>
    <w:rsid w:val="00D22316"/>
    <w:rsid w:val="00D22418"/>
    <w:rsid w:val="00D22468"/>
    <w:rsid w:val="00D2264F"/>
    <w:rsid w:val="00D229C7"/>
    <w:rsid w:val="00D22A82"/>
    <w:rsid w:val="00D22D0E"/>
    <w:rsid w:val="00D22EF2"/>
    <w:rsid w:val="00D22F4E"/>
    <w:rsid w:val="00D233EC"/>
    <w:rsid w:val="00D23480"/>
    <w:rsid w:val="00D235C5"/>
    <w:rsid w:val="00D235D2"/>
    <w:rsid w:val="00D236A5"/>
    <w:rsid w:val="00D23746"/>
    <w:rsid w:val="00D2384D"/>
    <w:rsid w:val="00D23BAA"/>
    <w:rsid w:val="00D23C22"/>
    <w:rsid w:val="00D24407"/>
    <w:rsid w:val="00D24576"/>
    <w:rsid w:val="00D24844"/>
    <w:rsid w:val="00D248A1"/>
    <w:rsid w:val="00D2490F"/>
    <w:rsid w:val="00D24B67"/>
    <w:rsid w:val="00D24C77"/>
    <w:rsid w:val="00D25265"/>
    <w:rsid w:val="00D255E2"/>
    <w:rsid w:val="00D25E2F"/>
    <w:rsid w:val="00D260DC"/>
    <w:rsid w:val="00D26468"/>
    <w:rsid w:val="00D26592"/>
    <w:rsid w:val="00D267DD"/>
    <w:rsid w:val="00D2695F"/>
    <w:rsid w:val="00D26A11"/>
    <w:rsid w:val="00D2748F"/>
    <w:rsid w:val="00D2770D"/>
    <w:rsid w:val="00D27733"/>
    <w:rsid w:val="00D2798A"/>
    <w:rsid w:val="00D27AD7"/>
    <w:rsid w:val="00D27E0D"/>
    <w:rsid w:val="00D300CC"/>
    <w:rsid w:val="00D301DD"/>
    <w:rsid w:val="00D30234"/>
    <w:rsid w:val="00D30271"/>
    <w:rsid w:val="00D304D9"/>
    <w:rsid w:val="00D30684"/>
    <w:rsid w:val="00D307DE"/>
    <w:rsid w:val="00D30CFB"/>
    <w:rsid w:val="00D30D24"/>
    <w:rsid w:val="00D311A0"/>
    <w:rsid w:val="00D31433"/>
    <w:rsid w:val="00D3185A"/>
    <w:rsid w:val="00D31CED"/>
    <w:rsid w:val="00D31ED8"/>
    <w:rsid w:val="00D31F5E"/>
    <w:rsid w:val="00D321DA"/>
    <w:rsid w:val="00D3237D"/>
    <w:rsid w:val="00D32517"/>
    <w:rsid w:val="00D3262F"/>
    <w:rsid w:val="00D327BF"/>
    <w:rsid w:val="00D32C75"/>
    <w:rsid w:val="00D32E7E"/>
    <w:rsid w:val="00D3332B"/>
    <w:rsid w:val="00D33429"/>
    <w:rsid w:val="00D334BA"/>
    <w:rsid w:val="00D33E1F"/>
    <w:rsid w:val="00D33EE6"/>
    <w:rsid w:val="00D33FEA"/>
    <w:rsid w:val="00D3402F"/>
    <w:rsid w:val="00D34BAF"/>
    <w:rsid w:val="00D34C62"/>
    <w:rsid w:val="00D34D38"/>
    <w:rsid w:val="00D34F98"/>
    <w:rsid w:val="00D34FD1"/>
    <w:rsid w:val="00D35010"/>
    <w:rsid w:val="00D351EA"/>
    <w:rsid w:val="00D3526F"/>
    <w:rsid w:val="00D35270"/>
    <w:rsid w:val="00D3545E"/>
    <w:rsid w:val="00D35624"/>
    <w:rsid w:val="00D359D1"/>
    <w:rsid w:val="00D35CE8"/>
    <w:rsid w:val="00D35E9C"/>
    <w:rsid w:val="00D36238"/>
    <w:rsid w:val="00D364B7"/>
    <w:rsid w:val="00D364DE"/>
    <w:rsid w:val="00D36D46"/>
    <w:rsid w:val="00D36E58"/>
    <w:rsid w:val="00D3753A"/>
    <w:rsid w:val="00D376C8"/>
    <w:rsid w:val="00D37744"/>
    <w:rsid w:val="00D3778F"/>
    <w:rsid w:val="00D37807"/>
    <w:rsid w:val="00D37F5F"/>
    <w:rsid w:val="00D37F68"/>
    <w:rsid w:val="00D4006A"/>
    <w:rsid w:val="00D40523"/>
    <w:rsid w:val="00D405D4"/>
    <w:rsid w:val="00D40956"/>
    <w:rsid w:val="00D40B0E"/>
    <w:rsid w:val="00D40D1A"/>
    <w:rsid w:val="00D412C5"/>
    <w:rsid w:val="00D414D2"/>
    <w:rsid w:val="00D41543"/>
    <w:rsid w:val="00D4176E"/>
    <w:rsid w:val="00D41F71"/>
    <w:rsid w:val="00D4201E"/>
    <w:rsid w:val="00D42333"/>
    <w:rsid w:val="00D428C9"/>
    <w:rsid w:val="00D42914"/>
    <w:rsid w:val="00D4294B"/>
    <w:rsid w:val="00D42A66"/>
    <w:rsid w:val="00D42D0C"/>
    <w:rsid w:val="00D43089"/>
    <w:rsid w:val="00D430A5"/>
    <w:rsid w:val="00D43340"/>
    <w:rsid w:val="00D43585"/>
    <w:rsid w:val="00D4374C"/>
    <w:rsid w:val="00D438EE"/>
    <w:rsid w:val="00D43AD1"/>
    <w:rsid w:val="00D43D61"/>
    <w:rsid w:val="00D43DE6"/>
    <w:rsid w:val="00D43E79"/>
    <w:rsid w:val="00D43EBF"/>
    <w:rsid w:val="00D441D7"/>
    <w:rsid w:val="00D442B6"/>
    <w:rsid w:val="00D443FC"/>
    <w:rsid w:val="00D448F8"/>
    <w:rsid w:val="00D44AC5"/>
    <w:rsid w:val="00D451AF"/>
    <w:rsid w:val="00D452E0"/>
    <w:rsid w:val="00D454A7"/>
    <w:rsid w:val="00D4554F"/>
    <w:rsid w:val="00D456C2"/>
    <w:rsid w:val="00D457C7"/>
    <w:rsid w:val="00D458CB"/>
    <w:rsid w:val="00D45AA1"/>
    <w:rsid w:val="00D45B11"/>
    <w:rsid w:val="00D45E39"/>
    <w:rsid w:val="00D45F87"/>
    <w:rsid w:val="00D45FBB"/>
    <w:rsid w:val="00D461C4"/>
    <w:rsid w:val="00D461DF"/>
    <w:rsid w:val="00D4640F"/>
    <w:rsid w:val="00D46504"/>
    <w:rsid w:val="00D46DCA"/>
    <w:rsid w:val="00D4714F"/>
    <w:rsid w:val="00D4777C"/>
    <w:rsid w:val="00D477ED"/>
    <w:rsid w:val="00D4785E"/>
    <w:rsid w:val="00D47F9A"/>
    <w:rsid w:val="00D50123"/>
    <w:rsid w:val="00D505D6"/>
    <w:rsid w:val="00D508E3"/>
    <w:rsid w:val="00D50D7E"/>
    <w:rsid w:val="00D51131"/>
    <w:rsid w:val="00D511F4"/>
    <w:rsid w:val="00D512CE"/>
    <w:rsid w:val="00D51312"/>
    <w:rsid w:val="00D5149E"/>
    <w:rsid w:val="00D514F4"/>
    <w:rsid w:val="00D5158E"/>
    <w:rsid w:val="00D51A9F"/>
    <w:rsid w:val="00D51C3D"/>
    <w:rsid w:val="00D51DDE"/>
    <w:rsid w:val="00D5237F"/>
    <w:rsid w:val="00D52555"/>
    <w:rsid w:val="00D52A25"/>
    <w:rsid w:val="00D52BC8"/>
    <w:rsid w:val="00D52CD6"/>
    <w:rsid w:val="00D52D53"/>
    <w:rsid w:val="00D52E74"/>
    <w:rsid w:val="00D53473"/>
    <w:rsid w:val="00D5359E"/>
    <w:rsid w:val="00D53958"/>
    <w:rsid w:val="00D53A22"/>
    <w:rsid w:val="00D53A67"/>
    <w:rsid w:val="00D53C40"/>
    <w:rsid w:val="00D53E61"/>
    <w:rsid w:val="00D5429F"/>
    <w:rsid w:val="00D542E6"/>
    <w:rsid w:val="00D544ED"/>
    <w:rsid w:val="00D547EE"/>
    <w:rsid w:val="00D54809"/>
    <w:rsid w:val="00D5489B"/>
    <w:rsid w:val="00D549CA"/>
    <w:rsid w:val="00D54BB0"/>
    <w:rsid w:val="00D54C8F"/>
    <w:rsid w:val="00D54E7D"/>
    <w:rsid w:val="00D54EEF"/>
    <w:rsid w:val="00D55367"/>
    <w:rsid w:val="00D55444"/>
    <w:rsid w:val="00D5571D"/>
    <w:rsid w:val="00D55D40"/>
    <w:rsid w:val="00D55DDF"/>
    <w:rsid w:val="00D55E49"/>
    <w:rsid w:val="00D5638A"/>
    <w:rsid w:val="00D56B1E"/>
    <w:rsid w:val="00D56B45"/>
    <w:rsid w:val="00D56DCA"/>
    <w:rsid w:val="00D570B7"/>
    <w:rsid w:val="00D570EB"/>
    <w:rsid w:val="00D571F8"/>
    <w:rsid w:val="00D5748A"/>
    <w:rsid w:val="00D5798C"/>
    <w:rsid w:val="00D57ADE"/>
    <w:rsid w:val="00D57E2D"/>
    <w:rsid w:val="00D57E6F"/>
    <w:rsid w:val="00D605F9"/>
    <w:rsid w:val="00D6073F"/>
    <w:rsid w:val="00D60F84"/>
    <w:rsid w:val="00D60FA4"/>
    <w:rsid w:val="00D60FB7"/>
    <w:rsid w:val="00D617AB"/>
    <w:rsid w:val="00D6190D"/>
    <w:rsid w:val="00D61CDC"/>
    <w:rsid w:val="00D61F13"/>
    <w:rsid w:val="00D620B7"/>
    <w:rsid w:val="00D6214F"/>
    <w:rsid w:val="00D62322"/>
    <w:rsid w:val="00D623F5"/>
    <w:rsid w:val="00D6297F"/>
    <w:rsid w:val="00D62ADF"/>
    <w:rsid w:val="00D636A3"/>
    <w:rsid w:val="00D639C1"/>
    <w:rsid w:val="00D63C26"/>
    <w:rsid w:val="00D63E10"/>
    <w:rsid w:val="00D63E2B"/>
    <w:rsid w:val="00D63E6C"/>
    <w:rsid w:val="00D640E0"/>
    <w:rsid w:val="00D6415E"/>
    <w:rsid w:val="00D6481A"/>
    <w:rsid w:val="00D64C43"/>
    <w:rsid w:val="00D65005"/>
    <w:rsid w:val="00D65134"/>
    <w:rsid w:val="00D65325"/>
    <w:rsid w:val="00D656EE"/>
    <w:rsid w:val="00D65F34"/>
    <w:rsid w:val="00D66266"/>
    <w:rsid w:val="00D66831"/>
    <w:rsid w:val="00D668D4"/>
    <w:rsid w:val="00D669FA"/>
    <w:rsid w:val="00D66E0F"/>
    <w:rsid w:val="00D66EB0"/>
    <w:rsid w:val="00D66FDE"/>
    <w:rsid w:val="00D67436"/>
    <w:rsid w:val="00D676FF"/>
    <w:rsid w:val="00D679BB"/>
    <w:rsid w:val="00D67B86"/>
    <w:rsid w:val="00D67BAC"/>
    <w:rsid w:val="00D67D60"/>
    <w:rsid w:val="00D67E78"/>
    <w:rsid w:val="00D67F1E"/>
    <w:rsid w:val="00D70292"/>
    <w:rsid w:val="00D70297"/>
    <w:rsid w:val="00D702B3"/>
    <w:rsid w:val="00D704AC"/>
    <w:rsid w:val="00D705E5"/>
    <w:rsid w:val="00D706C7"/>
    <w:rsid w:val="00D70CF5"/>
    <w:rsid w:val="00D710AA"/>
    <w:rsid w:val="00D7170F"/>
    <w:rsid w:val="00D71948"/>
    <w:rsid w:val="00D719B6"/>
    <w:rsid w:val="00D71C7E"/>
    <w:rsid w:val="00D71E2E"/>
    <w:rsid w:val="00D71F97"/>
    <w:rsid w:val="00D720CC"/>
    <w:rsid w:val="00D72508"/>
    <w:rsid w:val="00D7250C"/>
    <w:rsid w:val="00D7263D"/>
    <w:rsid w:val="00D727AD"/>
    <w:rsid w:val="00D72BFE"/>
    <w:rsid w:val="00D72C36"/>
    <w:rsid w:val="00D72CB0"/>
    <w:rsid w:val="00D72D65"/>
    <w:rsid w:val="00D72E20"/>
    <w:rsid w:val="00D736EE"/>
    <w:rsid w:val="00D73A3C"/>
    <w:rsid w:val="00D73C8C"/>
    <w:rsid w:val="00D73D53"/>
    <w:rsid w:val="00D73E04"/>
    <w:rsid w:val="00D74033"/>
    <w:rsid w:val="00D7423F"/>
    <w:rsid w:val="00D74353"/>
    <w:rsid w:val="00D748E0"/>
    <w:rsid w:val="00D74963"/>
    <w:rsid w:val="00D74A09"/>
    <w:rsid w:val="00D74A70"/>
    <w:rsid w:val="00D74B04"/>
    <w:rsid w:val="00D74D84"/>
    <w:rsid w:val="00D74E7A"/>
    <w:rsid w:val="00D74E9F"/>
    <w:rsid w:val="00D74F65"/>
    <w:rsid w:val="00D75442"/>
    <w:rsid w:val="00D75E28"/>
    <w:rsid w:val="00D760BB"/>
    <w:rsid w:val="00D760E3"/>
    <w:rsid w:val="00D7617B"/>
    <w:rsid w:val="00D764AE"/>
    <w:rsid w:val="00D7650C"/>
    <w:rsid w:val="00D76F41"/>
    <w:rsid w:val="00D771A4"/>
    <w:rsid w:val="00D772CC"/>
    <w:rsid w:val="00D7742C"/>
    <w:rsid w:val="00D77B05"/>
    <w:rsid w:val="00D77E15"/>
    <w:rsid w:val="00D80048"/>
    <w:rsid w:val="00D80252"/>
    <w:rsid w:val="00D802EB"/>
    <w:rsid w:val="00D804B9"/>
    <w:rsid w:val="00D806CE"/>
    <w:rsid w:val="00D806E0"/>
    <w:rsid w:val="00D80903"/>
    <w:rsid w:val="00D80D94"/>
    <w:rsid w:val="00D81179"/>
    <w:rsid w:val="00D816C3"/>
    <w:rsid w:val="00D8229D"/>
    <w:rsid w:val="00D823C4"/>
    <w:rsid w:val="00D823F8"/>
    <w:rsid w:val="00D8263D"/>
    <w:rsid w:val="00D827E6"/>
    <w:rsid w:val="00D82978"/>
    <w:rsid w:val="00D82ACD"/>
    <w:rsid w:val="00D82C40"/>
    <w:rsid w:val="00D82CB1"/>
    <w:rsid w:val="00D82F1D"/>
    <w:rsid w:val="00D8323D"/>
    <w:rsid w:val="00D8328A"/>
    <w:rsid w:val="00D83492"/>
    <w:rsid w:val="00D835E5"/>
    <w:rsid w:val="00D83A6F"/>
    <w:rsid w:val="00D83B16"/>
    <w:rsid w:val="00D83D5E"/>
    <w:rsid w:val="00D848D4"/>
    <w:rsid w:val="00D849C6"/>
    <w:rsid w:val="00D84C7C"/>
    <w:rsid w:val="00D84D30"/>
    <w:rsid w:val="00D84FE0"/>
    <w:rsid w:val="00D850A5"/>
    <w:rsid w:val="00D8517C"/>
    <w:rsid w:val="00D8544F"/>
    <w:rsid w:val="00D85608"/>
    <w:rsid w:val="00D857D0"/>
    <w:rsid w:val="00D86169"/>
    <w:rsid w:val="00D8636F"/>
    <w:rsid w:val="00D867C4"/>
    <w:rsid w:val="00D86EAB"/>
    <w:rsid w:val="00D86FF4"/>
    <w:rsid w:val="00D86FF8"/>
    <w:rsid w:val="00D8731F"/>
    <w:rsid w:val="00D87429"/>
    <w:rsid w:val="00D87520"/>
    <w:rsid w:val="00D8785F"/>
    <w:rsid w:val="00D87C00"/>
    <w:rsid w:val="00D87C1B"/>
    <w:rsid w:val="00D87D4F"/>
    <w:rsid w:val="00D9006A"/>
    <w:rsid w:val="00D90371"/>
    <w:rsid w:val="00D90598"/>
    <w:rsid w:val="00D9076C"/>
    <w:rsid w:val="00D90A26"/>
    <w:rsid w:val="00D90B5A"/>
    <w:rsid w:val="00D90BBB"/>
    <w:rsid w:val="00D90BC4"/>
    <w:rsid w:val="00D9104E"/>
    <w:rsid w:val="00D912E7"/>
    <w:rsid w:val="00D91543"/>
    <w:rsid w:val="00D918EC"/>
    <w:rsid w:val="00D91C66"/>
    <w:rsid w:val="00D91C97"/>
    <w:rsid w:val="00D920EB"/>
    <w:rsid w:val="00D921DF"/>
    <w:rsid w:val="00D921FC"/>
    <w:rsid w:val="00D922A8"/>
    <w:rsid w:val="00D92344"/>
    <w:rsid w:val="00D92854"/>
    <w:rsid w:val="00D92D2B"/>
    <w:rsid w:val="00D92DEE"/>
    <w:rsid w:val="00D92F80"/>
    <w:rsid w:val="00D93080"/>
    <w:rsid w:val="00D934B1"/>
    <w:rsid w:val="00D93657"/>
    <w:rsid w:val="00D936D9"/>
    <w:rsid w:val="00D937F1"/>
    <w:rsid w:val="00D93943"/>
    <w:rsid w:val="00D93961"/>
    <w:rsid w:val="00D93AF7"/>
    <w:rsid w:val="00D93C27"/>
    <w:rsid w:val="00D93D3B"/>
    <w:rsid w:val="00D93F50"/>
    <w:rsid w:val="00D940DB"/>
    <w:rsid w:val="00D94462"/>
    <w:rsid w:val="00D94540"/>
    <w:rsid w:val="00D9461C"/>
    <w:rsid w:val="00D94764"/>
    <w:rsid w:val="00D94A45"/>
    <w:rsid w:val="00D94C74"/>
    <w:rsid w:val="00D94FCE"/>
    <w:rsid w:val="00D952F7"/>
    <w:rsid w:val="00D95477"/>
    <w:rsid w:val="00D95624"/>
    <w:rsid w:val="00D956C4"/>
    <w:rsid w:val="00D957AB"/>
    <w:rsid w:val="00D959C4"/>
    <w:rsid w:val="00D95AD0"/>
    <w:rsid w:val="00D95C97"/>
    <w:rsid w:val="00D95C9C"/>
    <w:rsid w:val="00D95CAB"/>
    <w:rsid w:val="00D96983"/>
    <w:rsid w:val="00D96E5D"/>
    <w:rsid w:val="00D96FD9"/>
    <w:rsid w:val="00D970D3"/>
    <w:rsid w:val="00D9711F"/>
    <w:rsid w:val="00D97291"/>
    <w:rsid w:val="00D97407"/>
    <w:rsid w:val="00D97638"/>
    <w:rsid w:val="00D978C6"/>
    <w:rsid w:val="00D97928"/>
    <w:rsid w:val="00D97DEF"/>
    <w:rsid w:val="00DA04E7"/>
    <w:rsid w:val="00DA0697"/>
    <w:rsid w:val="00DA06B5"/>
    <w:rsid w:val="00DA087F"/>
    <w:rsid w:val="00DA08FE"/>
    <w:rsid w:val="00DA0A12"/>
    <w:rsid w:val="00DA0F9B"/>
    <w:rsid w:val="00DA1220"/>
    <w:rsid w:val="00DA1365"/>
    <w:rsid w:val="00DA13D4"/>
    <w:rsid w:val="00DA1429"/>
    <w:rsid w:val="00DA1A21"/>
    <w:rsid w:val="00DA1CBC"/>
    <w:rsid w:val="00DA1F87"/>
    <w:rsid w:val="00DA2150"/>
    <w:rsid w:val="00DA2157"/>
    <w:rsid w:val="00DA21F9"/>
    <w:rsid w:val="00DA232C"/>
    <w:rsid w:val="00DA23D9"/>
    <w:rsid w:val="00DA2452"/>
    <w:rsid w:val="00DA24FF"/>
    <w:rsid w:val="00DA271F"/>
    <w:rsid w:val="00DA28D9"/>
    <w:rsid w:val="00DA29B8"/>
    <w:rsid w:val="00DA2AFE"/>
    <w:rsid w:val="00DA2B1C"/>
    <w:rsid w:val="00DA2B57"/>
    <w:rsid w:val="00DA2BF5"/>
    <w:rsid w:val="00DA2DC5"/>
    <w:rsid w:val="00DA2EA3"/>
    <w:rsid w:val="00DA2ECA"/>
    <w:rsid w:val="00DA2F4D"/>
    <w:rsid w:val="00DA35E4"/>
    <w:rsid w:val="00DA379E"/>
    <w:rsid w:val="00DA37E8"/>
    <w:rsid w:val="00DA3820"/>
    <w:rsid w:val="00DA3A0C"/>
    <w:rsid w:val="00DA3E4E"/>
    <w:rsid w:val="00DA3FAD"/>
    <w:rsid w:val="00DA45BB"/>
    <w:rsid w:val="00DA45E7"/>
    <w:rsid w:val="00DA4649"/>
    <w:rsid w:val="00DA4655"/>
    <w:rsid w:val="00DA46F5"/>
    <w:rsid w:val="00DA4B60"/>
    <w:rsid w:val="00DA4C2C"/>
    <w:rsid w:val="00DA4CFB"/>
    <w:rsid w:val="00DA4D66"/>
    <w:rsid w:val="00DA50C7"/>
    <w:rsid w:val="00DA514D"/>
    <w:rsid w:val="00DA51CD"/>
    <w:rsid w:val="00DA5505"/>
    <w:rsid w:val="00DA55FC"/>
    <w:rsid w:val="00DA5998"/>
    <w:rsid w:val="00DA5A56"/>
    <w:rsid w:val="00DA5B50"/>
    <w:rsid w:val="00DA5C8F"/>
    <w:rsid w:val="00DA5DBF"/>
    <w:rsid w:val="00DA6167"/>
    <w:rsid w:val="00DA6537"/>
    <w:rsid w:val="00DA65A3"/>
    <w:rsid w:val="00DA6726"/>
    <w:rsid w:val="00DA6781"/>
    <w:rsid w:val="00DA68CF"/>
    <w:rsid w:val="00DA6A50"/>
    <w:rsid w:val="00DA71D1"/>
    <w:rsid w:val="00DA74FA"/>
    <w:rsid w:val="00DA7579"/>
    <w:rsid w:val="00DA78A9"/>
    <w:rsid w:val="00DA7D25"/>
    <w:rsid w:val="00DA7E74"/>
    <w:rsid w:val="00DB012E"/>
    <w:rsid w:val="00DB039D"/>
    <w:rsid w:val="00DB0A6F"/>
    <w:rsid w:val="00DB0AD3"/>
    <w:rsid w:val="00DB12CB"/>
    <w:rsid w:val="00DB1307"/>
    <w:rsid w:val="00DB14CE"/>
    <w:rsid w:val="00DB16A3"/>
    <w:rsid w:val="00DB1BDB"/>
    <w:rsid w:val="00DB1DDF"/>
    <w:rsid w:val="00DB1FEF"/>
    <w:rsid w:val="00DB2035"/>
    <w:rsid w:val="00DB23DD"/>
    <w:rsid w:val="00DB298D"/>
    <w:rsid w:val="00DB2B0F"/>
    <w:rsid w:val="00DB2B2C"/>
    <w:rsid w:val="00DB2B3C"/>
    <w:rsid w:val="00DB2DA4"/>
    <w:rsid w:val="00DB2E19"/>
    <w:rsid w:val="00DB3064"/>
    <w:rsid w:val="00DB3295"/>
    <w:rsid w:val="00DB3348"/>
    <w:rsid w:val="00DB33F5"/>
    <w:rsid w:val="00DB35D3"/>
    <w:rsid w:val="00DB3649"/>
    <w:rsid w:val="00DB3878"/>
    <w:rsid w:val="00DB3BA1"/>
    <w:rsid w:val="00DB40CE"/>
    <w:rsid w:val="00DB43E7"/>
    <w:rsid w:val="00DB452B"/>
    <w:rsid w:val="00DB46FD"/>
    <w:rsid w:val="00DB494E"/>
    <w:rsid w:val="00DB4A04"/>
    <w:rsid w:val="00DB4B4C"/>
    <w:rsid w:val="00DB4BBD"/>
    <w:rsid w:val="00DB5058"/>
    <w:rsid w:val="00DB5608"/>
    <w:rsid w:val="00DB5654"/>
    <w:rsid w:val="00DB5913"/>
    <w:rsid w:val="00DB5C3C"/>
    <w:rsid w:val="00DB5C71"/>
    <w:rsid w:val="00DB5DD4"/>
    <w:rsid w:val="00DB65F2"/>
    <w:rsid w:val="00DB661C"/>
    <w:rsid w:val="00DB6A0B"/>
    <w:rsid w:val="00DB6D5F"/>
    <w:rsid w:val="00DB6F5D"/>
    <w:rsid w:val="00DB701C"/>
    <w:rsid w:val="00DB7299"/>
    <w:rsid w:val="00DB7664"/>
    <w:rsid w:val="00DB7718"/>
    <w:rsid w:val="00DB7C17"/>
    <w:rsid w:val="00DB7D52"/>
    <w:rsid w:val="00DB7F18"/>
    <w:rsid w:val="00DB7FE7"/>
    <w:rsid w:val="00DC010A"/>
    <w:rsid w:val="00DC0E07"/>
    <w:rsid w:val="00DC0FC0"/>
    <w:rsid w:val="00DC1807"/>
    <w:rsid w:val="00DC1A92"/>
    <w:rsid w:val="00DC1A99"/>
    <w:rsid w:val="00DC1E56"/>
    <w:rsid w:val="00DC2186"/>
    <w:rsid w:val="00DC234F"/>
    <w:rsid w:val="00DC2463"/>
    <w:rsid w:val="00DC256D"/>
    <w:rsid w:val="00DC29BD"/>
    <w:rsid w:val="00DC2D56"/>
    <w:rsid w:val="00DC2D86"/>
    <w:rsid w:val="00DC2E60"/>
    <w:rsid w:val="00DC2F52"/>
    <w:rsid w:val="00DC466F"/>
    <w:rsid w:val="00DC4760"/>
    <w:rsid w:val="00DC4E15"/>
    <w:rsid w:val="00DC5244"/>
    <w:rsid w:val="00DC5C75"/>
    <w:rsid w:val="00DC5F4B"/>
    <w:rsid w:val="00DC6575"/>
    <w:rsid w:val="00DC680C"/>
    <w:rsid w:val="00DC6BC1"/>
    <w:rsid w:val="00DC6CE3"/>
    <w:rsid w:val="00DC6E8E"/>
    <w:rsid w:val="00DC6FF5"/>
    <w:rsid w:val="00DC740F"/>
    <w:rsid w:val="00DC7539"/>
    <w:rsid w:val="00DC756E"/>
    <w:rsid w:val="00DC779F"/>
    <w:rsid w:val="00DC7907"/>
    <w:rsid w:val="00DC790E"/>
    <w:rsid w:val="00DC7996"/>
    <w:rsid w:val="00DC7E6A"/>
    <w:rsid w:val="00DD0B18"/>
    <w:rsid w:val="00DD1168"/>
    <w:rsid w:val="00DD16BD"/>
    <w:rsid w:val="00DD1921"/>
    <w:rsid w:val="00DD1949"/>
    <w:rsid w:val="00DD1C92"/>
    <w:rsid w:val="00DD221D"/>
    <w:rsid w:val="00DD2397"/>
    <w:rsid w:val="00DD282D"/>
    <w:rsid w:val="00DD2991"/>
    <w:rsid w:val="00DD2D86"/>
    <w:rsid w:val="00DD30E9"/>
    <w:rsid w:val="00DD3182"/>
    <w:rsid w:val="00DD3188"/>
    <w:rsid w:val="00DD36AE"/>
    <w:rsid w:val="00DD3980"/>
    <w:rsid w:val="00DD3BB3"/>
    <w:rsid w:val="00DD3D42"/>
    <w:rsid w:val="00DD419D"/>
    <w:rsid w:val="00DD41A3"/>
    <w:rsid w:val="00DD42A3"/>
    <w:rsid w:val="00DD447D"/>
    <w:rsid w:val="00DD44A3"/>
    <w:rsid w:val="00DD4682"/>
    <w:rsid w:val="00DD4749"/>
    <w:rsid w:val="00DD49D8"/>
    <w:rsid w:val="00DD4A2F"/>
    <w:rsid w:val="00DD4D68"/>
    <w:rsid w:val="00DD5423"/>
    <w:rsid w:val="00DD54DE"/>
    <w:rsid w:val="00DD5934"/>
    <w:rsid w:val="00DD5B1C"/>
    <w:rsid w:val="00DD5F20"/>
    <w:rsid w:val="00DD60A6"/>
    <w:rsid w:val="00DD61D0"/>
    <w:rsid w:val="00DD65B8"/>
    <w:rsid w:val="00DD6798"/>
    <w:rsid w:val="00DD6BC6"/>
    <w:rsid w:val="00DD70AA"/>
    <w:rsid w:val="00DD714D"/>
    <w:rsid w:val="00DD73BE"/>
    <w:rsid w:val="00DD77E7"/>
    <w:rsid w:val="00DD7924"/>
    <w:rsid w:val="00DD7981"/>
    <w:rsid w:val="00DD7E25"/>
    <w:rsid w:val="00DE0726"/>
    <w:rsid w:val="00DE0872"/>
    <w:rsid w:val="00DE0E02"/>
    <w:rsid w:val="00DE10A3"/>
    <w:rsid w:val="00DE1243"/>
    <w:rsid w:val="00DE1345"/>
    <w:rsid w:val="00DE1599"/>
    <w:rsid w:val="00DE17A9"/>
    <w:rsid w:val="00DE17AD"/>
    <w:rsid w:val="00DE1A64"/>
    <w:rsid w:val="00DE1B7F"/>
    <w:rsid w:val="00DE1EBD"/>
    <w:rsid w:val="00DE1EBE"/>
    <w:rsid w:val="00DE202F"/>
    <w:rsid w:val="00DE2799"/>
    <w:rsid w:val="00DE297F"/>
    <w:rsid w:val="00DE2BE5"/>
    <w:rsid w:val="00DE3160"/>
    <w:rsid w:val="00DE31F3"/>
    <w:rsid w:val="00DE34E8"/>
    <w:rsid w:val="00DE36B8"/>
    <w:rsid w:val="00DE3758"/>
    <w:rsid w:val="00DE39FE"/>
    <w:rsid w:val="00DE3C1B"/>
    <w:rsid w:val="00DE44DB"/>
    <w:rsid w:val="00DE44E9"/>
    <w:rsid w:val="00DE480B"/>
    <w:rsid w:val="00DE483B"/>
    <w:rsid w:val="00DE499D"/>
    <w:rsid w:val="00DE49CA"/>
    <w:rsid w:val="00DE49F2"/>
    <w:rsid w:val="00DE4B83"/>
    <w:rsid w:val="00DE4C86"/>
    <w:rsid w:val="00DE4DA1"/>
    <w:rsid w:val="00DE5324"/>
    <w:rsid w:val="00DE5332"/>
    <w:rsid w:val="00DE5474"/>
    <w:rsid w:val="00DE56DF"/>
    <w:rsid w:val="00DE56FB"/>
    <w:rsid w:val="00DE5969"/>
    <w:rsid w:val="00DE598E"/>
    <w:rsid w:val="00DE5C87"/>
    <w:rsid w:val="00DE5EE5"/>
    <w:rsid w:val="00DE648E"/>
    <w:rsid w:val="00DE6575"/>
    <w:rsid w:val="00DE6616"/>
    <w:rsid w:val="00DE66C8"/>
    <w:rsid w:val="00DE6A9E"/>
    <w:rsid w:val="00DE6DB2"/>
    <w:rsid w:val="00DE6EB4"/>
    <w:rsid w:val="00DE6F7F"/>
    <w:rsid w:val="00DE704E"/>
    <w:rsid w:val="00DE736E"/>
    <w:rsid w:val="00DE74E6"/>
    <w:rsid w:val="00DE75C6"/>
    <w:rsid w:val="00DE788C"/>
    <w:rsid w:val="00DE7B4D"/>
    <w:rsid w:val="00DE7C40"/>
    <w:rsid w:val="00DE7E20"/>
    <w:rsid w:val="00DE7EBC"/>
    <w:rsid w:val="00DE7F48"/>
    <w:rsid w:val="00DE7F6C"/>
    <w:rsid w:val="00DE7FAD"/>
    <w:rsid w:val="00DF0028"/>
    <w:rsid w:val="00DF049C"/>
    <w:rsid w:val="00DF0574"/>
    <w:rsid w:val="00DF06D4"/>
    <w:rsid w:val="00DF100F"/>
    <w:rsid w:val="00DF11EF"/>
    <w:rsid w:val="00DF137A"/>
    <w:rsid w:val="00DF15A7"/>
    <w:rsid w:val="00DF1740"/>
    <w:rsid w:val="00DF17ED"/>
    <w:rsid w:val="00DF17F3"/>
    <w:rsid w:val="00DF208C"/>
    <w:rsid w:val="00DF22A8"/>
    <w:rsid w:val="00DF23EF"/>
    <w:rsid w:val="00DF249D"/>
    <w:rsid w:val="00DF2AEA"/>
    <w:rsid w:val="00DF2CC2"/>
    <w:rsid w:val="00DF2F49"/>
    <w:rsid w:val="00DF343F"/>
    <w:rsid w:val="00DF377E"/>
    <w:rsid w:val="00DF38C0"/>
    <w:rsid w:val="00DF3F97"/>
    <w:rsid w:val="00DF4030"/>
    <w:rsid w:val="00DF410F"/>
    <w:rsid w:val="00DF41B2"/>
    <w:rsid w:val="00DF42C6"/>
    <w:rsid w:val="00DF43B1"/>
    <w:rsid w:val="00DF47E4"/>
    <w:rsid w:val="00DF48A3"/>
    <w:rsid w:val="00DF497D"/>
    <w:rsid w:val="00DF4CDE"/>
    <w:rsid w:val="00DF4D9B"/>
    <w:rsid w:val="00DF4EA2"/>
    <w:rsid w:val="00DF53E5"/>
    <w:rsid w:val="00DF5D15"/>
    <w:rsid w:val="00DF5EB1"/>
    <w:rsid w:val="00DF614C"/>
    <w:rsid w:val="00DF655E"/>
    <w:rsid w:val="00DF6709"/>
    <w:rsid w:val="00DF6D5A"/>
    <w:rsid w:val="00DF70B3"/>
    <w:rsid w:val="00DF70CC"/>
    <w:rsid w:val="00DF75AA"/>
    <w:rsid w:val="00DF79AB"/>
    <w:rsid w:val="00E002A3"/>
    <w:rsid w:val="00E00764"/>
    <w:rsid w:val="00E00830"/>
    <w:rsid w:val="00E00BCD"/>
    <w:rsid w:val="00E00D25"/>
    <w:rsid w:val="00E010B2"/>
    <w:rsid w:val="00E0127E"/>
    <w:rsid w:val="00E012EC"/>
    <w:rsid w:val="00E0143E"/>
    <w:rsid w:val="00E01B03"/>
    <w:rsid w:val="00E01B86"/>
    <w:rsid w:val="00E01C7F"/>
    <w:rsid w:val="00E020A8"/>
    <w:rsid w:val="00E0210B"/>
    <w:rsid w:val="00E023E3"/>
    <w:rsid w:val="00E027FA"/>
    <w:rsid w:val="00E02941"/>
    <w:rsid w:val="00E02A30"/>
    <w:rsid w:val="00E02A82"/>
    <w:rsid w:val="00E02AF6"/>
    <w:rsid w:val="00E02DCB"/>
    <w:rsid w:val="00E02DDF"/>
    <w:rsid w:val="00E03346"/>
    <w:rsid w:val="00E033DC"/>
    <w:rsid w:val="00E03AB8"/>
    <w:rsid w:val="00E03B76"/>
    <w:rsid w:val="00E03C9F"/>
    <w:rsid w:val="00E03CBC"/>
    <w:rsid w:val="00E03E42"/>
    <w:rsid w:val="00E03FAA"/>
    <w:rsid w:val="00E03FF4"/>
    <w:rsid w:val="00E04007"/>
    <w:rsid w:val="00E043AB"/>
    <w:rsid w:val="00E043BC"/>
    <w:rsid w:val="00E044B3"/>
    <w:rsid w:val="00E04634"/>
    <w:rsid w:val="00E049A1"/>
    <w:rsid w:val="00E04A2F"/>
    <w:rsid w:val="00E04EF5"/>
    <w:rsid w:val="00E050CF"/>
    <w:rsid w:val="00E05186"/>
    <w:rsid w:val="00E051C5"/>
    <w:rsid w:val="00E051F8"/>
    <w:rsid w:val="00E053C1"/>
    <w:rsid w:val="00E05B60"/>
    <w:rsid w:val="00E05BBB"/>
    <w:rsid w:val="00E05D92"/>
    <w:rsid w:val="00E05D98"/>
    <w:rsid w:val="00E05ECD"/>
    <w:rsid w:val="00E05F6A"/>
    <w:rsid w:val="00E06073"/>
    <w:rsid w:val="00E061DF"/>
    <w:rsid w:val="00E064F4"/>
    <w:rsid w:val="00E06631"/>
    <w:rsid w:val="00E069F4"/>
    <w:rsid w:val="00E06B56"/>
    <w:rsid w:val="00E06C94"/>
    <w:rsid w:val="00E06E2F"/>
    <w:rsid w:val="00E07242"/>
    <w:rsid w:val="00E0734F"/>
    <w:rsid w:val="00E074D7"/>
    <w:rsid w:val="00E0760E"/>
    <w:rsid w:val="00E07B3B"/>
    <w:rsid w:val="00E07FC0"/>
    <w:rsid w:val="00E10303"/>
    <w:rsid w:val="00E106E6"/>
    <w:rsid w:val="00E1076A"/>
    <w:rsid w:val="00E10816"/>
    <w:rsid w:val="00E1087D"/>
    <w:rsid w:val="00E10B76"/>
    <w:rsid w:val="00E10C75"/>
    <w:rsid w:val="00E10F1B"/>
    <w:rsid w:val="00E11099"/>
    <w:rsid w:val="00E110A9"/>
    <w:rsid w:val="00E116AA"/>
    <w:rsid w:val="00E1180E"/>
    <w:rsid w:val="00E11F8E"/>
    <w:rsid w:val="00E11FB1"/>
    <w:rsid w:val="00E12362"/>
    <w:rsid w:val="00E12377"/>
    <w:rsid w:val="00E124F7"/>
    <w:rsid w:val="00E126BC"/>
    <w:rsid w:val="00E12915"/>
    <w:rsid w:val="00E12E17"/>
    <w:rsid w:val="00E1301E"/>
    <w:rsid w:val="00E13052"/>
    <w:rsid w:val="00E13CE1"/>
    <w:rsid w:val="00E13CE6"/>
    <w:rsid w:val="00E13D2F"/>
    <w:rsid w:val="00E13F4D"/>
    <w:rsid w:val="00E1415D"/>
    <w:rsid w:val="00E141DC"/>
    <w:rsid w:val="00E14362"/>
    <w:rsid w:val="00E14483"/>
    <w:rsid w:val="00E146C5"/>
    <w:rsid w:val="00E14908"/>
    <w:rsid w:val="00E14A03"/>
    <w:rsid w:val="00E14BD9"/>
    <w:rsid w:val="00E14CC0"/>
    <w:rsid w:val="00E14D96"/>
    <w:rsid w:val="00E14E63"/>
    <w:rsid w:val="00E151FB"/>
    <w:rsid w:val="00E1553A"/>
    <w:rsid w:val="00E1558E"/>
    <w:rsid w:val="00E155A6"/>
    <w:rsid w:val="00E15637"/>
    <w:rsid w:val="00E1575A"/>
    <w:rsid w:val="00E157B1"/>
    <w:rsid w:val="00E157BA"/>
    <w:rsid w:val="00E157D6"/>
    <w:rsid w:val="00E15917"/>
    <w:rsid w:val="00E1593B"/>
    <w:rsid w:val="00E159E0"/>
    <w:rsid w:val="00E16457"/>
    <w:rsid w:val="00E16483"/>
    <w:rsid w:val="00E16552"/>
    <w:rsid w:val="00E168BA"/>
    <w:rsid w:val="00E168E6"/>
    <w:rsid w:val="00E16957"/>
    <w:rsid w:val="00E16BE4"/>
    <w:rsid w:val="00E16D46"/>
    <w:rsid w:val="00E16DE1"/>
    <w:rsid w:val="00E16FF9"/>
    <w:rsid w:val="00E171AC"/>
    <w:rsid w:val="00E17447"/>
    <w:rsid w:val="00E1762F"/>
    <w:rsid w:val="00E1767F"/>
    <w:rsid w:val="00E1776A"/>
    <w:rsid w:val="00E177A2"/>
    <w:rsid w:val="00E17911"/>
    <w:rsid w:val="00E17ADF"/>
    <w:rsid w:val="00E17B72"/>
    <w:rsid w:val="00E17D34"/>
    <w:rsid w:val="00E17EF8"/>
    <w:rsid w:val="00E17F5D"/>
    <w:rsid w:val="00E20114"/>
    <w:rsid w:val="00E2013B"/>
    <w:rsid w:val="00E20140"/>
    <w:rsid w:val="00E2017B"/>
    <w:rsid w:val="00E20193"/>
    <w:rsid w:val="00E201E2"/>
    <w:rsid w:val="00E204BF"/>
    <w:rsid w:val="00E20717"/>
    <w:rsid w:val="00E20B4E"/>
    <w:rsid w:val="00E20BDF"/>
    <w:rsid w:val="00E20CF5"/>
    <w:rsid w:val="00E20DA8"/>
    <w:rsid w:val="00E20DA9"/>
    <w:rsid w:val="00E213B3"/>
    <w:rsid w:val="00E219CB"/>
    <w:rsid w:val="00E21C07"/>
    <w:rsid w:val="00E21F7A"/>
    <w:rsid w:val="00E21FD6"/>
    <w:rsid w:val="00E2216A"/>
    <w:rsid w:val="00E221BD"/>
    <w:rsid w:val="00E22758"/>
    <w:rsid w:val="00E22799"/>
    <w:rsid w:val="00E2318D"/>
    <w:rsid w:val="00E235BF"/>
    <w:rsid w:val="00E23957"/>
    <w:rsid w:val="00E23CEC"/>
    <w:rsid w:val="00E23E4D"/>
    <w:rsid w:val="00E23E9F"/>
    <w:rsid w:val="00E23F2F"/>
    <w:rsid w:val="00E240AB"/>
    <w:rsid w:val="00E2433D"/>
    <w:rsid w:val="00E243E1"/>
    <w:rsid w:val="00E24AAD"/>
    <w:rsid w:val="00E24DFA"/>
    <w:rsid w:val="00E2524D"/>
    <w:rsid w:val="00E252C1"/>
    <w:rsid w:val="00E25964"/>
    <w:rsid w:val="00E259FD"/>
    <w:rsid w:val="00E25E60"/>
    <w:rsid w:val="00E26735"/>
    <w:rsid w:val="00E26B85"/>
    <w:rsid w:val="00E26D2A"/>
    <w:rsid w:val="00E26DE9"/>
    <w:rsid w:val="00E26F63"/>
    <w:rsid w:val="00E2719F"/>
    <w:rsid w:val="00E27A22"/>
    <w:rsid w:val="00E27FCD"/>
    <w:rsid w:val="00E307D6"/>
    <w:rsid w:val="00E30C6C"/>
    <w:rsid w:val="00E30CC7"/>
    <w:rsid w:val="00E30EEF"/>
    <w:rsid w:val="00E30EFC"/>
    <w:rsid w:val="00E310FA"/>
    <w:rsid w:val="00E312C7"/>
    <w:rsid w:val="00E315CE"/>
    <w:rsid w:val="00E31875"/>
    <w:rsid w:val="00E318E5"/>
    <w:rsid w:val="00E31D97"/>
    <w:rsid w:val="00E31E04"/>
    <w:rsid w:val="00E31FD5"/>
    <w:rsid w:val="00E328DE"/>
    <w:rsid w:val="00E3290F"/>
    <w:rsid w:val="00E32D0F"/>
    <w:rsid w:val="00E33338"/>
    <w:rsid w:val="00E333F1"/>
    <w:rsid w:val="00E335E2"/>
    <w:rsid w:val="00E337AD"/>
    <w:rsid w:val="00E33901"/>
    <w:rsid w:val="00E33AE3"/>
    <w:rsid w:val="00E342CD"/>
    <w:rsid w:val="00E34412"/>
    <w:rsid w:val="00E3443D"/>
    <w:rsid w:val="00E345C1"/>
    <w:rsid w:val="00E349D9"/>
    <w:rsid w:val="00E34C5C"/>
    <w:rsid w:val="00E34F6D"/>
    <w:rsid w:val="00E35123"/>
    <w:rsid w:val="00E35312"/>
    <w:rsid w:val="00E354DE"/>
    <w:rsid w:val="00E3565E"/>
    <w:rsid w:val="00E3596A"/>
    <w:rsid w:val="00E35BC6"/>
    <w:rsid w:val="00E35FBE"/>
    <w:rsid w:val="00E360B1"/>
    <w:rsid w:val="00E36391"/>
    <w:rsid w:val="00E36489"/>
    <w:rsid w:val="00E36774"/>
    <w:rsid w:val="00E36C91"/>
    <w:rsid w:val="00E36F7F"/>
    <w:rsid w:val="00E36FC8"/>
    <w:rsid w:val="00E372B3"/>
    <w:rsid w:val="00E37833"/>
    <w:rsid w:val="00E37A8B"/>
    <w:rsid w:val="00E400CC"/>
    <w:rsid w:val="00E402B8"/>
    <w:rsid w:val="00E40420"/>
    <w:rsid w:val="00E40529"/>
    <w:rsid w:val="00E406A4"/>
    <w:rsid w:val="00E407EC"/>
    <w:rsid w:val="00E40E41"/>
    <w:rsid w:val="00E40EEB"/>
    <w:rsid w:val="00E41476"/>
    <w:rsid w:val="00E4152F"/>
    <w:rsid w:val="00E41CCA"/>
    <w:rsid w:val="00E41D53"/>
    <w:rsid w:val="00E42104"/>
    <w:rsid w:val="00E4214B"/>
    <w:rsid w:val="00E425F2"/>
    <w:rsid w:val="00E42612"/>
    <w:rsid w:val="00E42695"/>
    <w:rsid w:val="00E42791"/>
    <w:rsid w:val="00E42866"/>
    <w:rsid w:val="00E42D7D"/>
    <w:rsid w:val="00E4309E"/>
    <w:rsid w:val="00E43185"/>
    <w:rsid w:val="00E4380A"/>
    <w:rsid w:val="00E43F45"/>
    <w:rsid w:val="00E441F8"/>
    <w:rsid w:val="00E444B1"/>
    <w:rsid w:val="00E4473F"/>
    <w:rsid w:val="00E448C4"/>
    <w:rsid w:val="00E449C8"/>
    <w:rsid w:val="00E44BC7"/>
    <w:rsid w:val="00E44C34"/>
    <w:rsid w:val="00E44EDF"/>
    <w:rsid w:val="00E44F80"/>
    <w:rsid w:val="00E45008"/>
    <w:rsid w:val="00E450D3"/>
    <w:rsid w:val="00E45410"/>
    <w:rsid w:val="00E45502"/>
    <w:rsid w:val="00E458F6"/>
    <w:rsid w:val="00E45D9C"/>
    <w:rsid w:val="00E45FEE"/>
    <w:rsid w:val="00E463F4"/>
    <w:rsid w:val="00E464C8"/>
    <w:rsid w:val="00E4661D"/>
    <w:rsid w:val="00E46729"/>
    <w:rsid w:val="00E4673B"/>
    <w:rsid w:val="00E467F1"/>
    <w:rsid w:val="00E46A44"/>
    <w:rsid w:val="00E46C34"/>
    <w:rsid w:val="00E47279"/>
    <w:rsid w:val="00E472C7"/>
    <w:rsid w:val="00E476E1"/>
    <w:rsid w:val="00E477DE"/>
    <w:rsid w:val="00E478A5"/>
    <w:rsid w:val="00E4791F"/>
    <w:rsid w:val="00E47968"/>
    <w:rsid w:val="00E47993"/>
    <w:rsid w:val="00E47A75"/>
    <w:rsid w:val="00E47E28"/>
    <w:rsid w:val="00E47F7C"/>
    <w:rsid w:val="00E50489"/>
    <w:rsid w:val="00E50669"/>
    <w:rsid w:val="00E5069F"/>
    <w:rsid w:val="00E507CF"/>
    <w:rsid w:val="00E50962"/>
    <w:rsid w:val="00E50987"/>
    <w:rsid w:val="00E50ADC"/>
    <w:rsid w:val="00E50D8A"/>
    <w:rsid w:val="00E511FF"/>
    <w:rsid w:val="00E51200"/>
    <w:rsid w:val="00E5170A"/>
    <w:rsid w:val="00E51827"/>
    <w:rsid w:val="00E51B5D"/>
    <w:rsid w:val="00E51D3F"/>
    <w:rsid w:val="00E51EDE"/>
    <w:rsid w:val="00E51F78"/>
    <w:rsid w:val="00E5236D"/>
    <w:rsid w:val="00E5253F"/>
    <w:rsid w:val="00E5258A"/>
    <w:rsid w:val="00E52638"/>
    <w:rsid w:val="00E527B8"/>
    <w:rsid w:val="00E52A5B"/>
    <w:rsid w:val="00E52B8B"/>
    <w:rsid w:val="00E52BEE"/>
    <w:rsid w:val="00E52E9E"/>
    <w:rsid w:val="00E52FEE"/>
    <w:rsid w:val="00E53291"/>
    <w:rsid w:val="00E53627"/>
    <w:rsid w:val="00E53A0C"/>
    <w:rsid w:val="00E53B48"/>
    <w:rsid w:val="00E53E38"/>
    <w:rsid w:val="00E53F2D"/>
    <w:rsid w:val="00E53FA6"/>
    <w:rsid w:val="00E540D8"/>
    <w:rsid w:val="00E547C3"/>
    <w:rsid w:val="00E5496E"/>
    <w:rsid w:val="00E54C8C"/>
    <w:rsid w:val="00E54DCF"/>
    <w:rsid w:val="00E54EDD"/>
    <w:rsid w:val="00E54F10"/>
    <w:rsid w:val="00E55062"/>
    <w:rsid w:val="00E550E8"/>
    <w:rsid w:val="00E55118"/>
    <w:rsid w:val="00E55722"/>
    <w:rsid w:val="00E55985"/>
    <w:rsid w:val="00E55AE6"/>
    <w:rsid w:val="00E55B83"/>
    <w:rsid w:val="00E55E0F"/>
    <w:rsid w:val="00E55F4A"/>
    <w:rsid w:val="00E56019"/>
    <w:rsid w:val="00E56353"/>
    <w:rsid w:val="00E56429"/>
    <w:rsid w:val="00E5669D"/>
    <w:rsid w:val="00E569DA"/>
    <w:rsid w:val="00E56A7C"/>
    <w:rsid w:val="00E56B21"/>
    <w:rsid w:val="00E56B62"/>
    <w:rsid w:val="00E56D80"/>
    <w:rsid w:val="00E56FF7"/>
    <w:rsid w:val="00E570E1"/>
    <w:rsid w:val="00E57916"/>
    <w:rsid w:val="00E57B3A"/>
    <w:rsid w:val="00E57D8D"/>
    <w:rsid w:val="00E57DA4"/>
    <w:rsid w:val="00E601CB"/>
    <w:rsid w:val="00E60849"/>
    <w:rsid w:val="00E60BAB"/>
    <w:rsid w:val="00E60E3A"/>
    <w:rsid w:val="00E61200"/>
    <w:rsid w:val="00E61237"/>
    <w:rsid w:val="00E61297"/>
    <w:rsid w:val="00E61E6B"/>
    <w:rsid w:val="00E6207C"/>
    <w:rsid w:val="00E621D4"/>
    <w:rsid w:val="00E6232D"/>
    <w:rsid w:val="00E62462"/>
    <w:rsid w:val="00E6280A"/>
    <w:rsid w:val="00E62A6B"/>
    <w:rsid w:val="00E62D20"/>
    <w:rsid w:val="00E62E0F"/>
    <w:rsid w:val="00E63637"/>
    <w:rsid w:val="00E638B2"/>
    <w:rsid w:val="00E639C0"/>
    <w:rsid w:val="00E63B7E"/>
    <w:rsid w:val="00E64635"/>
    <w:rsid w:val="00E6470C"/>
    <w:rsid w:val="00E6476B"/>
    <w:rsid w:val="00E64926"/>
    <w:rsid w:val="00E64AC1"/>
    <w:rsid w:val="00E654C2"/>
    <w:rsid w:val="00E65510"/>
    <w:rsid w:val="00E65597"/>
    <w:rsid w:val="00E655D1"/>
    <w:rsid w:val="00E658B0"/>
    <w:rsid w:val="00E65ADE"/>
    <w:rsid w:val="00E65B32"/>
    <w:rsid w:val="00E65E29"/>
    <w:rsid w:val="00E65E45"/>
    <w:rsid w:val="00E6601D"/>
    <w:rsid w:val="00E6608C"/>
    <w:rsid w:val="00E6617E"/>
    <w:rsid w:val="00E6653D"/>
    <w:rsid w:val="00E668E7"/>
    <w:rsid w:val="00E66AA5"/>
    <w:rsid w:val="00E670EC"/>
    <w:rsid w:val="00E672A5"/>
    <w:rsid w:val="00E674E4"/>
    <w:rsid w:val="00E675AA"/>
    <w:rsid w:val="00E67A70"/>
    <w:rsid w:val="00E67A8B"/>
    <w:rsid w:val="00E67E4C"/>
    <w:rsid w:val="00E67F8D"/>
    <w:rsid w:val="00E7049D"/>
    <w:rsid w:val="00E70596"/>
    <w:rsid w:val="00E7067D"/>
    <w:rsid w:val="00E70768"/>
    <w:rsid w:val="00E70B71"/>
    <w:rsid w:val="00E70BA9"/>
    <w:rsid w:val="00E70C46"/>
    <w:rsid w:val="00E70D87"/>
    <w:rsid w:val="00E70D89"/>
    <w:rsid w:val="00E71160"/>
    <w:rsid w:val="00E71178"/>
    <w:rsid w:val="00E713C7"/>
    <w:rsid w:val="00E71863"/>
    <w:rsid w:val="00E718BA"/>
    <w:rsid w:val="00E718FA"/>
    <w:rsid w:val="00E71EEF"/>
    <w:rsid w:val="00E722F4"/>
    <w:rsid w:val="00E7231F"/>
    <w:rsid w:val="00E72609"/>
    <w:rsid w:val="00E7268C"/>
    <w:rsid w:val="00E727BD"/>
    <w:rsid w:val="00E72887"/>
    <w:rsid w:val="00E728BF"/>
    <w:rsid w:val="00E7292E"/>
    <w:rsid w:val="00E72A06"/>
    <w:rsid w:val="00E72B70"/>
    <w:rsid w:val="00E72C38"/>
    <w:rsid w:val="00E72D7C"/>
    <w:rsid w:val="00E72DF0"/>
    <w:rsid w:val="00E73152"/>
    <w:rsid w:val="00E731DD"/>
    <w:rsid w:val="00E733FF"/>
    <w:rsid w:val="00E736C9"/>
    <w:rsid w:val="00E73700"/>
    <w:rsid w:val="00E737A6"/>
    <w:rsid w:val="00E73825"/>
    <w:rsid w:val="00E73C56"/>
    <w:rsid w:val="00E73D09"/>
    <w:rsid w:val="00E73F2A"/>
    <w:rsid w:val="00E7407A"/>
    <w:rsid w:val="00E7408B"/>
    <w:rsid w:val="00E74173"/>
    <w:rsid w:val="00E74629"/>
    <w:rsid w:val="00E74B90"/>
    <w:rsid w:val="00E74BA0"/>
    <w:rsid w:val="00E75442"/>
    <w:rsid w:val="00E75529"/>
    <w:rsid w:val="00E75546"/>
    <w:rsid w:val="00E7554D"/>
    <w:rsid w:val="00E759F9"/>
    <w:rsid w:val="00E75CE7"/>
    <w:rsid w:val="00E75FFF"/>
    <w:rsid w:val="00E76436"/>
    <w:rsid w:val="00E7661B"/>
    <w:rsid w:val="00E76C75"/>
    <w:rsid w:val="00E76CA2"/>
    <w:rsid w:val="00E76D3B"/>
    <w:rsid w:val="00E76D41"/>
    <w:rsid w:val="00E76DE8"/>
    <w:rsid w:val="00E76E59"/>
    <w:rsid w:val="00E7716B"/>
    <w:rsid w:val="00E771B5"/>
    <w:rsid w:val="00E775BD"/>
    <w:rsid w:val="00E777BD"/>
    <w:rsid w:val="00E77C0C"/>
    <w:rsid w:val="00E77CE8"/>
    <w:rsid w:val="00E77D60"/>
    <w:rsid w:val="00E77F7E"/>
    <w:rsid w:val="00E80132"/>
    <w:rsid w:val="00E80287"/>
    <w:rsid w:val="00E80482"/>
    <w:rsid w:val="00E806A1"/>
    <w:rsid w:val="00E806AE"/>
    <w:rsid w:val="00E80717"/>
    <w:rsid w:val="00E80F19"/>
    <w:rsid w:val="00E8120D"/>
    <w:rsid w:val="00E8144E"/>
    <w:rsid w:val="00E815D8"/>
    <w:rsid w:val="00E815E7"/>
    <w:rsid w:val="00E81A4D"/>
    <w:rsid w:val="00E81A55"/>
    <w:rsid w:val="00E81D6C"/>
    <w:rsid w:val="00E820F6"/>
    <w:rsid w:val="00E82181"/>
    <w:rsid w:val="00E82277"/>
    <w:rsid w:val="00E8239E"/>
    <w:rsid w:val="00E825D4"/>
    <w:rsid w:val="00E826FD"/>
    <w:rsid w:val="00E82849"/>
    <w:rsid w:val="00E82992"/>
    <w:rsid w:val="00E82A8F"/>
    <w:rsid w:val="00E82BE9"/>
    <w:rsid w:val="00E82D70"/>
    <w:rsid w:val="00E82F71"/>
    <w:rsid w:val="00E82F7A"/>
    <w:rsid w:val="00E832A4"/>
    <w:rsid w:val="00E83391"/>
    <w:rsid w:val="00E83748"/>
    <w:rsid w:val="00E83750"/>
    <w:rsid w:val="00E837AF"/>
    <w:rsid w:val="00E83A05"/>
    <w:rsid w:val="00E83A1E"/>
    <w:rsid w:val="00E83AAF"/>
    <w:rsid w:val="00E83D39"/>
    <w:rsid w:val="00E83D4D"/>
    <w:rsid w:val="00E84025"/>
    <w:rsid w:val="00E842CC"/>
    <w:rsid w:val="00E84398"/>
    <w:rsid w:val="00E84532"/>
    <w:rsid w:val="00E84C03"/>
    <w:rsid w:val="00E84CC6"/>
    <w:rsid w:val="00E84D7D"/>
    <w:rsid w:val="00E84E10"/>
    <w:rsid w:val="00E84FA8"/>
    <w:rsid w:val="00E8577D"/>
    <w:rsid w:val="00E85D6C"/>
    <w:rsid w:val="00E85F5C"/>
    <w:rsid w:val="00E8622F"/>
    <w:rsid w:val="00E86246"/>
    <w:rsid w:val="00E8629B"/>
    <w:rsid w:val="00E8648E"/>
    <w:rsid w:val="00E86540"/>
    <w:rsid w:val="00E867AB"/>
    <w:rsid w:val="00E86A06"/>
    <w:rsid w:val="00E874C8"/>
    <w:rsid w:val="00E8755C"/>
    <w:rsid w:val="00E87673"/>
    <w:rsid w:val="00E879C9"/>
    <w:rsid w:val="00E87E2C"/>
    <w:rsid w:val="00E87E9E"/>
    <w:rsid w:val="00E90246"/>
    <w:rsid w:val="00E9030D"/>
    <w:rsid w:val="00E9077F"/>
    <w:rsid w:val="00E90B8B"/>
    <w:rsid w:val="00E90F9E"/>
    <w:rsid w:val="00E91B76"/>
    <w:rsid w:val="00E91BE1"/>
    <w:rsid w:val="00E91EF7"/>
    <w:rsid w:val="00E92036"/>
    <w:rsid w:val="00E925A1"/>
    <w:rsid w:val="00E927C2"/>
    <w:rsid w:val="00E92CAD"/>
    <w:rsid w:val="00E92E68"/>
    <w:rsid w:val="00E92F36"/>
    <w:rsid w:val="00E9327C"/>
    <w:rsid w:val="00E9334F"/>
    <w:rsid w:val="00E93843"/>
    <w:rsid w:val="00E93850"/>
    <w:rsid w:val="00E938AC"/>
    <w:rsid w:val="00E93EA3"/>
    <w:rsid w:val="00E940E3"/>
    <w:rsid w:val="00E94A8F"/>
    <w:rsid w:val="00E94AE1"/>
    <w:rsid w:val="00E94B5F"/>
    <w:rsid w:val="00E94BDB"/>
    <w:rsid w:val="00E94EB8"/>
    <w:rsid w:val="00E95494"/>
    <w:rsid w:val="00E956D0"/>
    <w:rsid w:val="00E957F0"/>
    <w:rsid w:val="00E95869"/>
    <w:rsid w:val="00E95AE5"/>
    <w:rsid w:val="00E95BD5"/>
    <w:rsid w:val="00E95DBF"/>
    <w:rsid w:val="00E95DE0"/>
    <w:rsid w:val="00E95E3B"/>
    <w:rsid w:val="00E95F8F"/>
    <w:rsid w:val="00E96028"/>
    <w:rsid w:val="00E96075"/>
    <w:rsid w:val="00E96261"/>
    <w:rsid w:val="00E9645D"/>
    <w:rsid w:val="00E964DF"/>
    <w:rsid w:val="00E96625"/>
    <w:rsid w:val="00E96A70"/>
    <w:rsid w:val="00E96B53"/>
    <w:rsid w:val="00E96C6C"/>
    <w:rsid w:val="00E97000"/>
    <w:rsid w:val="00E97089"/>
    <w:rsid w:val="00E97116"/>
    <w:rsid w:val="00E973D0"/>
    <w:rsid w:val="00E97493"/>
    <w:rsid w:val="00E97585"/>
    <w:rsid w:val="00E97600"/>
    <w:rsid w:val="00E9772E"/>
    <w:rsid w:val="00E979EC"/>
    <w:rsid w:val="00E97B18"/>
    <w:rsid w:val="00E97BD8"/>
    <w:rsid w:val="00EA015D"/>
    <w:rsid w:val="00EA03D8"/>
    <w:rsid w:val="00EA03EC"/>
    <w:rsid w:val="00EA0696"/>
    <w:rsid w:val="00EA09BB"/>
    <w:rsid w:val="00EA09F9"/>
    <w:rsid w:val="00EA0A3C"/>
    <w:rsid w:val="00EA0AB0"/>
    <w:rsid w:val="00EA0D8B"/>
    <w:rsid w:val="00EA0E77"/>
    <w:rsid w:val="00EA10C7"/>
    <w:rsid w:val="00EA1201"/>
    <w:rsid w:val="00EA164A"/>
    <w:rsid w:val="00EA17C8"/>
    <w:rsid w:val="00EA194D"/>
    <w:rsid w:val="00EA1ACD"/>
    <w:rsid w:val="00EA1AED"/>
    <w:rsid w:val="00EA1D66"/>
    <w:rsid w:val="00EA1FAE"/>
    <w:rsid w:val="00EA225D"/>
    <w:rsid w:val="00EA26DB"/>
    <w:rsid w:val="00EA28D0"/>
    <w:rsid w:val="00EA291C"/>
    <w:rsid w:val="00EA2C00"/>
    <w:rsid w:val="00EA30ED"/>
    <w:rsid w:val="00EA32D3"/>
    <w:rsid w:val="00EA3526"/>
    <w:rsid w:val="00EA35F0"/>
    <w:rsid w:val="00EA3775"/>
    <w:rsid w:val="00EA387C"/>
    <w:rsid w:val="00EA39D2"/>
    <w:rsid w:val="00EA3AA8"/>
    <w:rsid w:val="00EA3E2D"/>
    <w:rsid w:val="00EA409E"/>
    <w:rsid w:val="00EA43D6"/>
    <w:rsid w:val="00EA44F6"/>
    <w:rsid w:val="00EA451D"/>
    <w:rsid w:val="00EA4AE9"/>
    <w:rsid w:val="00EA4D01"/>
    <w:rsid w:val="00EA4F1A"/>
    <w:rsid w:val="00EA50DC"/>
    <w:rsid w:val="00EA51C1"/>
    <w:rsid w:val="00EA5567"/>
    <w:rsid w:val="00EA59C9"/>
    <w:rsid w:val="00EA5C4E"/>
    <w:rsid w:val="00EA6589"/>
    <w:rsid w:val="00EA65A0"/>
    <w:rsid w:val="00EA65BD"/>
    <w:rsid w:val="00EA668A"/>
    <w:rsid w:val="00EA68A4"/>
    <w:rsid w:val="00EA6AD8"/>
    <w:rsid w:val="00EA6CC1"/>
    <w:rsid w:val="00EA6ED6"/>
    <w:rsid w:val="00EA6FB8"/>
    <w:rsid w:val="00EA6FDE"/>
    <w:rsid w:val="00EA77CC"/>
    <w:rsid w:val="00EA7BDE"/>
    <w:rsid w:val="00EB01C7"/>
    <w:rsid w:val="00EB0406"/>
    <w:rsid w:val="00EB07E3"/>
    <w:rsid w:val="00EB0984"/>
    <w:rsid w:val="00EB09A7"/>
    <w:rsid w:val="00EB09E4"/>
    <w:rsid w:val="00EB0CA8"/>
    <w:rsid w:val="00EB0D45"/>
    <w:rsid w:val="00EB0EB0"/>
    <w:rsid w:val="00EB0EBE"/>
    <w:rsid w:val="00EB0ED8"/>
    <w:rsid w:val="00EB0F07"/>
    <w:rsid w:val="00EB11D6"/>
    <w:rsid w:val="00EB150D"/>
    <w:rsid w:val="00EB17F7"/>
    <w:rsid w:val="00EB184D"/>
    <w:rsid w:val="00EB1930"/>
    <w:rsid w:val="00EB1E09"/>
    <w:rsid w:val="00EB2708"/>
    <w:rsid w:val="00EB2830"/>
    <w:rsid w:val="00EB2D14"/>
    <w:rsid w:val="00EB2E80"/>
    <w:rsid w:val="00EB3013"/>
    <w:rsid w:val="00EB310E"/>
    <w:rsid w:val="00EB3181"/>
    <w:rsid w:val="00EB3196"/>
    <w:rsid w:val="00EB32D0"/>
    <w:rsid w:val="00EB33EF"/>
    <w:rsid w:val="00EB3564"/>
    <w:rsid w:val="00EB3694"/>
    <w:rsid w:val="00EB3700"/>
    <w:rsid w:val="00EB37D1"/>
    <w:rsid w:val="00EB3974"/>
    <w:rsid w:val="00EB3A64"/>
    <w:rsid w:val="00EB3BA4"/>
    <w:rsid w:val="00EB3DCF"/>
    <w:rsid w:val="00EB3E11"/>
    <w:rsid w:val="00EB422E"/>
    <w:rsid w:val="00EB449E"/>
    <w:rsid w:val="00EB4D4C"/>
    <w:rsid w:val="00EB4DCD"/>
    <w:rsid w:val="00EB4F33"/>
    <w:rsid w:val="00EB4F64"/>
    <w:rsid w:val="00EB5362"/>
    <w:rsid w:val="00EB5864"/>
    <w:rsid w:val="00EB58F3"/>
    <w:rsid w:val="00EB5A53"/>
    <w:rsid w:val="00EB5B5E"/>
    <w:rsid w:val="00EB5B99"/>
    <w:rsid w:val="00EB610D"/>
    <w:rsid w:val="00EB6381"/>
    <w:rsid w:val="00EB64B1"/>
    <w:rsid w:val="00EB653C"/>
    <w:rsid w:val="00EB69CF"/>
    <w:rsid w:val="00EB6E24"/>
    <w:rsid w:val="00EB7712"/>
    <w:rsid w:val="00EB78CD"/>
    <w:rsid w:val="00EB7A96"/>
    <w:rsid w:val="00EB7B26"/>
    <w:rsid w:val="00EB7B92"/>
    <w:rsid w:val="00EB7C54"/>
    <w:rsid w:val="00EB7C68"/>
    <w:rsid w:val="00EB7D16"/>
    <w:rsid w:val="00EB7DA2"/>
    <w:rsid w:val="00EC02DA"/>
    <w:rsid w:val="00EC0374"/>
    <w:rsid w:val="00EC047B"/>
    <w:rsid w:val="00EC060B"/>
    <w:rsid w:val="00EC0701"/>
    <w:rsid w:val="00EC0DC6"/>
    <w:rsid w:val="00EC0F74"/>
    <w:rsid w:val="00EC10B6"/>
    <w:rsid w:val="00EC16EB"/>
    <w:rsid w:val="00EC173F"/>
    <w:rsid w:val="00EC1865"/>
    <w:rsid w:val="00EC1BB6"/>
    <w:rsid w:val="00EC1CC4"/>
    <w:rsid w:val="00EC1CCD"/>
    <w:rsid w:val="00EC1D6F"/>
    <w:rsid w:val="00EC1D8E"/>
    <w:rsid w:val="00EC1E03"/>
    <w:rsid w:val="00EC1E0C"/>
    <w:rsid w:val="00EC20F2"/>
    <w:rsid w:val="00EC23FC"/>
    <w:rsid w:val="00EC250C"/>
    <w:rsid w:val="00EC297B"/>
    <w:rsid w:val="00EC29D0"/>
    <w:rsid w:val="00EC2A9F"/>
    <w:rsid w:val="00EC31C9"/>
    <w:rsid w:val="00EC3555"/>
    <w:rsid w:val="00EC36B7"/>
    <w:rsid w:val="00EC3848"/>
    <w:rsid w:val="00EC3925"/>
    <w:rsid w:val="00EC406F"/>
    <w:rsid w:val="00EC408F"/>
    <w:rsid w:val="00EC4ED4"/>
    <w:rsid w:val="00EC58D6"/>
    <w:rsid w:val="00EC5DA0"/>
    <w:rsid w:val="00EC5FAC"/>
    <w:rsid w:val="00EC62F7"/>
    <w:rsid w:val="00EC652B"/>
    <w:rsid w:val="00EC653E"/>
    <w:rsid w:val="00EC65E3"/>
    <w:rsid w:val="00EC6711"/>
    <w:rsid w:val="00EC6B7B"/>
    <w:rsid w:val="00EC6FE2"/>
    <w:rsid w:val="00EC719B"/>
    <w:rsid w:val="00EC72B9"/>
    <w:rsid w:val="00EC73FC"/>
    <w:rsid w:val="00EC7676"/>
    <w:rsid w:val="00EC77E9"/>
    <w:rsid w:val="00EC79F8"/>
    <w:rsid w:val="00EC7CC7"/>
    <w:rsid w:val="00ED010A"/>
    <w:rsid w:val="00ED0144"/>
    <w:rsid w:val="00ED078F"/>
    <w:rsid w:val="00ED07DF"/>
    <w:rsid w:val="00ED081B"/>
    <w:rsid w:val="00ED0C9D"/>
    <w:rsid w:val="00ED0F32"/>
    <w:rsid w:val="00ED11EF"/>
    <w:rsid w:val="00ED12B9"/>
    <w:rsid w:val="00ED1367"/>
    <w:rsid w:val="00ED1476"/>
    <w:rsid w:val="00ED17B0"/>
    <w:rsid w:val="00ED18B8"/>
    <w:rsid w:val="00ED1C69"/>
    <w:rsid w:val="00ED1E06"/>
    <w:rsid w:val="00ED1F91"/>
    <w:rsid w:val="00ED1FE5"/>
    <w:rsid w:val="00ED2162"/>
    <w:rsid w:val="00ED25F4"/>
    <w:rsid w:val="00ED271F"/>
    <w:rsid w:val="00ED2A12"/>
    <w:rsid w:val="00ED2DA9"/>
    <w:rsid w:val="00ED3174"/>
    <w:rsid w:val="00ED3246"/>
    <w:rsid w:val="00ED358F"/>
    <w:rsid w:val="00ED3857"/>
    <w:rsid w:val="00ED3929"/>
    <w:rsid w:val="00ED3ADC"/>
    <w:rsid w:val="00ED3DF9"/>
    <w:rsid w:val="00ED41E5"/>
    <w:rsid w:val="00ED4215"/>
    <w:rsid w:val="00ED4226"/>
    <w:rsid w:val="00ED426D"/>
    <w:rsid w:val="00ED45E0"/>
    <w:rsid w:val="00ED4BAB"/>
    <w:rsid w:val="00ED4F3B"/>
    <w:rsid w:val="00ED5013"/>
    <w:rsid w:val="00ED520D"/>
    <w:rsid w:val="00ED52A9"/>
    <w:rsid w:val="00ED56BC"/>
    <w:rsid w:val="00ED5FD4"/>
    <w:rsid w:val="00ED61AA"/>
    <w:rsid w:val="00ED722F"/>
    <w:rsid w:val="00ED7364"/>
    <w:rsid w:val="00ED73EA"/>
    <w:rsid w:val="00ED751C"/>
    <w:rsid w:val="00ED77ED"/>
    <w:rsid w:val="00ED78A8"/>
    <w:rsid w:val="00ED7957"/>
    <w:rsid w:val="00ED7B96"/>
    <w:rsid w:val="00ED7BC4"/>
    <w:rsid w:val="00ED7BC9"/>
    <w:rsid w:val="00ED7C74"/>
    <w:rsid w:val="00ED7E6B"/>
    <w:rsid w:val="00ED7E6C"/>
    <w:rsid w:val="00EE0021"/>
    <w:rsid w:val="00EE03F8"/>
    <w:rsid w:val="00EE0418"/>
    <w:rsid w:val="00EE0498"/>
    <w:rsid w:val="00EE04F4"/>
    <w:rsid w:val="00EE089B"/>
    <w:rsid w:val="00EE0A77"/>
    <w:rsid w:val="00EE0C84"/>
    <w:rsid w:val="00EE1098"/>
    <w:rsid w:val="00EE1A20"/>
    <w:rsid w:val="00EE1A2B"/>
    <w:rsid w:val="00EE2262"/>
    <w:rsid w:val="00EE248B"/>
    <w:rsid w:val="00EE2884"/>
    <w:rsid w:val="00EE28EB"/>
    <w:rsid w:val="00EE2995"/>
    <w:rsid w:val="00EE2E11"/>
    <w:rsid w:val="00EE2F70"/>
    <w:rsid w:val="00EE3082"/>
    <w:rsid w:val="00EE3099"/>
    <w:rsid w:val="00EE35E4"/>
    <w:rsid w:val="00EE3AC1"/>
    <w:rsid w:val="00EE3AF9"/>
    <w:rsid w:val="00EE3AFC"/>
    <w:rsid w:val="00EE3B64"/>
    <w:rsid w:val="00EE3B91"/>
    <w:rsid w:val="00EE3B97"/>
    <w:rsid w:val="00EE3C91"/>
    <w:rsid w:val="00EE3CB0"/>
    <w:rsid w:val="00EE43DF"/>
    <w:rsid w:val="00EE44E5"/>
    <w:rsid w:val="00EE4618"/>
    <w:rsid w:val="00EE480F"/>
    <w:rsid w:val="00EE4ADF"/>
    <w:rsid w:val="00EE4C48"/>
    <w:rsid w:val="00EE4DA9"/>
    <w:rsid w:val="00EE5156"/>
    <w:rsid w:val="00EE51F7"/>
    <w:rsid w:val="00EE53EA"/>
    <w:rsid w:val="00EE5535"/>
    <w:rsid w:val="00EE58C4"/>
    <w:rsid w:val="00EE58CA"/>
    <w:rsid w:val="00EE5A7D"/>
    <w:rsid w:val="00EE5BA0"/>
    <w:rsid w:val="00EE5CF9"/>
    <w:rsid w:val="00EE63A5"/>
    <w:rsid w:val="00EE6850"/>
    <w:rsid w:val="00EE6D14"/>
    <w:rsid w:val="00EE6DE9"/>
    <w:rsid w:val="00EE7047"/>
    <w:rsid w:val="00EE7078"/>
    <w:rsid w:val="00EE730D"/>
    <w:rsid w:val="00EE7410"/>
    <w:rsid w:val="00EE7627"/>
    <w:rsid w:val="00EE7EF5"/>
    <w:rsid w:val="00EF062F"/>
    <w:rsid w:val="00EF0FE7"/>
    <w:rsid w:val="00EF1014"/>
    <w:rsid w:val="00EF107D"/>
    <w:rsid w:val="00EF1122"/>
    <w:rsid w:val="00EF12CE"/>
    <w:rsid w:val="00EF140D"/>
    <w:rsid w:val="00EF1617"/>
    <w:rsid w:val="00EF16A6"/>
    <w:rsid w:val="00EF1F93"/>
    <w:rsid w:val="00EF204B"/>
    <w:rsid w:val="00EF2060"/>
    <w:rsid w:val="00EF2373"/>
    <w:rsid w:val="00EF23A9"/>
    <w:rsid w:val="00EF28B7"/>
    <w:rsid w:val="00EF2AA4"/>
    <w:rsid w:val="00EF2EA2"/>
    <w:rsid w:val="00EF3985"/>
    <w:rsid w:val="00EF3A65"/>
    <w:rsid w:val="00EF3A86"/>
    <w:rsid w:val="00EF411B"/>
    <w:rsid w:val="00EF429D"/>
    <w:rsid w:val="00EF433F"/>
    <w:rsid w:val="00EF446C"/>
    <w:rsid w:val="00EF4978"/>
    <w:rsid w:val="00EF4ED7"/>
    <w:rsid w:val="00EF4ED8"/>
    <w:rsid w:val="00EF5027"/>
    <w:rsid w:val="00EF5177"/>
    <w:rsid w:val="00EF5242"/>
    <w:rsid w:val="00EF5363"/>
    <w:rsid w:val="00EF53EA"/>
    <w:rsid w:val="00EF53FD"/>
    <w:rsid w:val="00EF5594"/>
    <w:rsid w:val="00EF5642"/>
    <w:rsid w:val="00EF5798"/>
    <w:rsid w:val="00EF57AD"/>
    <w:rsid w:val="00EF5A91"/>
    <w:rsid w:val="00EF5C2C"/>
    <w:rsid w:val="00EF5CA4"/>
    <w:rsid w:val="00EF5D37"/>
    <w:rsid w:val="00EF61EC"/>
    <w:rsid w:val="00EF626C"/>
    <w:rsid w:val="00EF628D"/>
    <w:rsid w:val="00EF6390"/>
    <w:rsid w:val="00EF68E2"/>
    <w:rsid w:val="00EF6DBD"/>
    <w:rsid w:val="00EF7100"/>
    <w:rsid w:val="00EF740F"/>
    <w:rsid w:val="00EF789A"/>
    <w:rsid w:val="00EF7922"/>
    <w:rsid w:val="00EF7BF8"/>
    <w:rsid w:val="00F0034F"/>
    <w:rsid w:val="00F00496"/>
    <w:rsid w:val="00F006A1"/>
    <w:rsid w:val="00F00A1E"/>
    <w:rsid w:val="00F00CE1"/>
    <w:rsid w:val="00F00CFE"/>
    <w:rsid w:val="00F00D1D"/>
    <w:rsid w:val="00F00D42"/>
    <w:rsid w:val="00F013B5"/>
    <w:rsid w:val="00F013D5"/>
    <w:rsid w:val="00F015DA"/>
    <w:rsid w:val="00F017D2"/>
    <w:rsid w:val="00F01852"/>
    <w:rsid w:val="00F01B1A"/>
    <w:rsid w:val="00F01BC7"/>
    <w:rsid w:val="00F01E2D"/>
    <w:rsid w:val="00F01EBC"/>
    <w:rsid w:val="00F01F89"/>
    <w:rsid w:val="00F027A9"/>
    <w:rsid w:val="00F02847"/>
    <w:rsid w:val="00F02BB2"/>
    <w:rsid w:val="00F02F7A"/>
    <w:rsid w:val="00F03024"/>
    <w:rsid w:val="00F0339C"/>
    <w:rsid w:val="00F03564"/>
    <w:rsid w:val="00F035BD"/>
    <w:rsid w:val="00F0388F"/>
    <w:rsid w:val="00F03949"/>
    <w:rsid w:val="00F03A59"/>
    <w:rsid w:val="00F03E41"/>
    <w:rsid w:val="00F03FC7"/>
    <w:rsid w:val="00F0411F"/>
    <w:rsid w:val="00F043AC"/>
    <w:rsid w:val="00F0443B"/>
    <w:rsid w:val="00F0444D"/>
    <w:rsid w:val="00F044F5"/>
    <w:rsid w:val="00F047BF"/>
    <w:rsid w:val="00F04917"/>
    <w:rsid w:val="00F04982"/>
    <w:rsid w:val="00F04C8F"/>
    <w:rsid w:val="00F050B2"/>
    <w:rsid w:val="00F051B1"/>
    <w:rsid w:val="00F05325"/>
    <w:rsid w:val="00F05361"/>
    <w:rsid w:val="00F057BE"/>
    <w:rsid w:val="00F058F7"/>
    <w:rsid w:val="00F05AD8"/>
    <w:rsid w:val="00F05ED6"/>
    <w:rsid w:val="00F06217"/>
    <w:rsid w:val="00F064C1"/>
    <w:rsid w:val="00F067EE"/>
    <w:rsid w:val="00F0680E"/>
    <w:rsid w:val="00F06A70"/>
    <w:rsid w:val="00F06DA2"/>
    <w:rsid w:val="00F06F74"/>
    <w:rsid w:val="00F07770"/>
    <w:rsid w:val="00F07783"/>
    <w:rsid w:val="00F10012"/>
    <w:rsid w:val="00F100A4"/>
    <w:rsid w:val="00F10310"/>
    <w:rsid w:val="00F10A9B"/>
    <w:rsid w:val="00F10E79"/>
    <w:rsid w:val="00F1110F"/>
    <w:rsid w:val="00F11128"/>
    <w:rsid w:val="00F11377"/>
    <w:rsid w:val="00F113CC"/>
    <w:rsid w:val="00F1151D"/>
    <w:rsid w:val="00F119D4"/>
    <w:rsid w:val="00F11C37"/>
    <w:rsid w:val="00F120DB"/>
    <w:rsid w:val="00F124F5"/>
    <w:rsid w:val="00F12623"/>
    <w:rsid w:val="00F12A41"/>
    <w:rsid w:val="00F12C52"/>
    <w:rsid w:val="00F12F61"/>
    <w:rsid w:val="00F13168"/>
    <w:rsid w:val="00F1398B"/>
    <w:rsid w:val="00F13AA9"/>
    <w:rsid w:val="00F13BF9"/>
    <w:rsid w:val="00F13CDD"/>
    <w:rsid w:val="00F13DA3"/>
    <w:rsid w:val="00F13E59"/>
    <w:rsid w:val="00F13E81"/>
    <w:rsid w:val="00F13F9C"/>
    <w:rsid w:val="00F13FB6"/>
    <w:rsid w:val="00F14371"/>
    <w:rsid w:val="00F14392"/>
    <w:rsid w:val="00F14439"/>
    <w:rsid w:val="00F146AD"/>
    <w:rsid w:val="00F1482E"/>
    <w:rsid w:val="00F14A25"/>
    <w:rsid w:val="00F150A4"/>
    <w:rsid w:val="00F16532"/>
    <w:rsid w:val="00F16628"/>
    <w:rsid w:val="00F17169"/>
    <w:rsid w:val="00F17885"/>
    <w:rsid w:val="00F178D0"/>
    <w:rsid w:val="00F178FD"/>
    <w:rsid w:val="00F17957"/>
    <w:rsid w:val="00F17984"/>
    <w:rsid w:val="00F17B97"/>
    <w:rsid w:val="00F17D33"/>
    <w:rsid w:val="00F20051"/>
    <w:rsid w:val="00F202CC"/>
    <w:rsid w:val="00F202F3"/>
    <w:rsid w:val="00F20411"/>
    <w:rsid w:val="00F2078A"/>
    <w:rsid w:val="00F208D8"/>
    <w:rsid w:val="00F208FF"/>
    <w:rsid w:val="00F20945"/>
    <w:rsid w:val="00F20DA1"/>
    <w:rsid w:val="00F2109B"/>
    <w:rsid w:val="00F212A7"/>
    <w:rsid w:val="00F21307"/>
    <w:rsid w:val="00F216B8"/>
    <w:rsid w:val="00F2191A"/>
    <w:rsid w:val="00F21B4C"/>
    <w:rsid w:val="00F21E4B"/>
    <w:rsid w:val="00F21F61"/>
    <w:rsid w:val="00F225D8"/>
    <w:rsid w:val="00F22662"/>
    <w:rsid w:val="00F22767"/>
    <w:rsid w:val="00F22BCA"/>
    <w:rsid w:val="00F232DC"/>
    <w:rsid w:val="00F2335A"/>
    <w:rsid w:val="00F233E8"/>
    <w:rsid w:val="00F23916"/>
    <w:rsid w:val="00F23EEC"/>
    <w:rsid w:val="00F24021"/>
    <w:rsid w:val="00F2402C"/>
    <w:rsid w:val="00F2420F"/>
    <w:rsid w:val="00F2427C"/>
    <w:rsid w:val="00F242E2"/>
    <w:rsid w:val="00F2430D"/>
    <w:rsid w:val="00F244A7"/>
    <w:rsid w:val="00F244B8"/>
    <w:rsid w:val="00F2481D"/>
    <w:rsid w:val="00F25154"/>
    <w:rsid w:val="00F25284"/>
    <w:rsid w:val="00F2532D"/>
    <w:rsid w:val="00F254B5"/>
    <w:rsid w:val="00F257FD"/>
    <w:rsid w:val="00F2587E"/>
    <w:rsid w:val="00F25921"/>
    <w:rsid w:val="00F259E4"/>
    <w:rsid w:val="00F25B95"/>
    <w:rsid w:val="00F25D87"/>
    <w:rsid w:val="00F25DCB"/>
    <w:rsid w:val="00F25E95"/>
    <w:rsid w:val="00F269E7"/>
    <w:rsid w:val="00F26B1A"/>
    <w:rsid w:val="00F26F7F"/>
    <w:rsid w:val="00F27229"/>
    <w:rsid w:val="00F27607"/>
    <w:rsid w:val="00F27656"/>
    <w:rsid w:val="00F2794F"/>
    <w:rsid w:val="00F27AEB"/>
    <w:rsid w:val="00F27CD2"/>
    <w:rsid w:val="00F27DEB"/>
    <w:rsid w:val="00F3008B"/>
    <w:rsid w:val="00F3014C"/>
    <w:rsid w:val="00F306D5"/>
    <w:rsid w:val="00F3070A"/>
    <w:rsid w:val="00F30AB8"/>
    <w:rsid w:val="00F30E3E"/>
    <w:rsid w:val="00F30EB0"/>
    <w:rsid w:val="00F30FB8"/>
    <w:rsid w:val="00F310D0"/>
    <w:rsid w:val="00F3135D"/>
    <w:rsid w:val="00F315EF"/>
    <w:rsid w:val="00F3176A"/>
    <w:rsid w:val="00F3177C"/>
    <w:rsid w:val="00F31E7A"/>
    <w:rsid w:val="00F32119"/>
    <w:rsid w:val="00F321D0"/>
    <w:rsid w:val="00F32735"/>
    <w:rsid w:val="00F32A47"/>
    <w:rsid w:val="00F33182"/>
    <w:rsid w:val="00F33576"/>
    <w:rsid w:val="00F33871"/>
    <w:rsid w:val="00F3425F"/>
    <w:rsid w:val="00F344FD"/>
    <w:rsid w:val="00F34564"/>
    <w:rsid w:val="00F34BF4"/>
    <w:rsid w:val="00F34D31"/>
    <w:rsid w:val="00F34D3A"/>
    <w:rsid w:val="00F34E83"/>
    <w:rsid w:val="00F35288"/>
    <w:rsid w:val="00F352CC"/>
    <w:rsid w:val="00F35407"/>
    <w:rsid w:val="00F354B5"/>
    <w:rsid w:val="00F35719"/>
    <w:rsid w:val="00F35A87"/>
    <w:rsid w:val="00F35B0D"/>
    <w:rsid w:val="00F35F25"/>
    <w:rsid w:val="00F35FB4"/>
    <w:rsid w:val="00F360FF"/>
    <w:rsid w:val="00F363F3"/>
    <w:rsid w:val="00F36679"/>
    <w:rsid w:val="00F36711"/>
    <w:rsid w:val="00F367B0"/>
    <w:rsid w:val="00F36823"/>
    <w:rsid w:val="00F36973"/>
    <w:rsid w:val="00F37008"/>
    <w:rsid w:val="00F37527"/>
    <w:rsid w:val="00F3783A"/>
    <w:rsid w:val="00F37B48"/>
    <w:rsid w:val="00F37BA6"/>
    <w:rsid w:val="00F37BBF"/>
    <w:rsid w:val="00F40C6F"/>
    <w:rsid w:val="00F40F6B"/>
    <w:rsid w:val="00F413F6"/>
    <w:rsid w:val="00F41420"/>
    <w:rsid w:val="00F4194E"/>
    <w:rsid w:val="00F4219F"/>
    <w:rsid w:val="00F423B7"/>
    <w:rsid w:val="00F4284B"/>
    <w:rsid w:val="00F42B9B"/>
    <w:rsid w:val="00F43486"/>
    <w:rsid w:val="00F435BC"/>
    <w:rsid w:val="00F4370C"/>
    <w:rsid w:val="00F439DF"/>
    <w:rsid w:val="00F43D56"/>
    <w:rsid w:val="00F43E00"/>
    <w:rsid w:val="00F43F3E"/>
    <w:rsid w:val="00F44228"/>
    <w:rsid w:val="00F444BD"/>
    <w:rsid w:val="00F4459F"/>
    <w:rsid w:val="00F44787"/>
    <w:rsid w:val="00F44A2B"/>
    <w:rsid w:val="00F451D4"/>
    <w:rsid w:val="00F451FD"/>
    <w:rsid w:val="00F452E0"/>
    <w:rsid w:val="00F45665"/>
    <w:rsid w:val="00F45870"/>
    <w:rsid w:val="00F458EB"/>
    <w:rsid w:val="00F45A39"/>
    <w:rsid w:val="00F45BA6"/>
    <w:rsid w:val="00F45D1B"/>
    <w:rsid w:val="00F45DCF"/>
    <w:rsid w:val="00F45E5B"/>
    <w:rsid w:val="00F4618F"/>
    <w:rsid w:val="00F46455"/>
    <w:rsid w:val="00F469AB"/>
    <w:rsid w:val="00F46B2F"/>
    <w:rsid w:val="00F46B37"/>
    <w:rsid w:val="00F46B62"/>
    <w:rsid w:val="00F46EFF"/>
    <w:rsid w:val="00F46F40"/>
    <w:rsid w:val="00F4704D"/>
    <w:rsid w:val="00F473C3"/>
    <w:rsid w:val="00F4766B"/>
    <w:rsid w:val="00F47BC3"/>
    <w:rsid w:val="00F47EC4"/>
    <w:rsid w:val="00F47F7C"/>
    <w:rsid w:val="00F501BA"/>
    <w:rsid w:val="00F50252"/>
    <w:rsid w:val="00F50361"/>
    <w:rsid w:val="00F5036C"/>
    <w:rsid w:val="00F503D6"/>
    <w:rsid w:val="00F5051D"/>
    <w:rsid w:val="00F50754"/>
    <w:rsid w:val="00F50772"/>
    <w:rsid w:val="00F50B90"/>
    <w:rsid w:val="00F50F40"/>
    <w:rsid w:val="00F510B6"/>
    <w:rsid w:val="00F5127A"/>
    <w:rsid w:val="00F513F2"/>
    <w:rsid w:val="00F519A7"/>
    <w:rsid w:val="00F51A09"/>
    <w:rsid w:val="00F5215A"/>
    <w:rsid w:val="00F521B2"/>
    <w:rsid w:val="00F524F8"/>
    <w:rsid w:val="00F5251C"/>
    <w:rsid w:val="00F5266A"/>
    <w:rsid w:val="00F527D9"/>
    <w:rsid w:val="00F5280A"/>
    <w:rsid w:val="00F52837"/>
    <w:rsid w:val="00F52A9F"/>
    <w:rsid w:val="00F52C9B"/>
    <w:rsid w:val="00F52F39"/>
    <w:rsid w:val="00F53059"/>
    <w:rsid w:val="00F5307C"/>
    <w:rsid w:val="00F53507"/>
    <w:rsid w:val="00F5352E"/>
    <w:rsid w:val="00F53571"/>
    <w:rsid w:val="00F53685"/>
    <w:rsid w:val="00F537C0"/>
    <w:rsid w:val="00F53814"/>
    <w:rsid w:val="00F538AA"/>
    <w:rsid w:val="00F53C12"/>
    <w:rsid w:val="00F5412B"/>
    <w:rsid w:val="00F5446B"/>
    <w:rsid w:val="00F548B4"/>
    <w:rsid w:val="00F5496D"/>
    <w:rsid w:val="00F54B35"/>
    <w:rsid w:val="00F54B91"/>
    <w:rsid w:val="00F54EAA"/>
    <w:rsid w:val="00F5532C"/>
    <w:rsid w:val="00F554A9"/>
    <w:rsid w:val="00F55A7E"/>
    <w:rsid w:val="00F55C4F"/>
    <w:rsid w:val="00F55FBA"/>
    <w:rsid w:val="00F56246"/>
    <w:rsid w:val="00F56412"/>
    <w:rsid w:val="00F56788"/>
    <w:rsid w:val="00F568FA"/>
    <w:rsid w:val="00F56DEC"/>
    <w:rsid w:val="00F57046"/>
    <w:rsid w:val="00F5707E"/>
    <w:rsid w:val="00F5727F"/>
    <w:rsid w:val="00F573BA"/>
    <w:rsid w:val="00F57499"/>
    <w:rsid w:val="00F57745"/>
    <w:rsid w:val="00F57935"/>
    <w:rsid w:val="00F57B81"/>
    <w:rsid w:val="00F57F65"/>
    <w:rsid w:val="00F60046"/>
    <w:rsid w:val="00F602BB"/>
    <w:rsid w:val="00F60422"/>
    <w:rsid w:val="00F608FC"/>
    <w:rsid w:val="00F60980"/>
    <w:rsid w:val="00F60E38"/>
    <w:rsid w:val="00F60E47"/>
    <w:rsid w:val="00F6109D"/>
    <w:rsid w:val="00F611A7"/>
    <w:rsid w:val="00F6127E"/>
    <w:rsid w:val="00F61345"/>
    <w:rsid w:val="00F615C3"/>
    <w:rsid w:val="00F61CCA"/>
    <w:rsid w:val="00F61F87"/>
    <w:rsid w:val="00F623A1"/>
    <w:rsid w:val="00F62943"/>
    <w:rsid w:val="00F62B6F"/>
    <w:rsid w:val="00F62F0F"/>
    <w:rsid w:val="00F62FCE"/>
    <w:rsid w:val="00F62FF2"/>
    <w:rsid w:val="00F6309A"/>
    <w:rsid w:val="00F6320C"/>
    <w:rsid w:val="00F632E3"/>
    <w:rsid w:val="00F63382"/>
    <w:rsid w:val="00F63528"/>
    <w:rsid w:val="00F63BA6"/>
    <w:rsid w:val="00F63E53"/>
    <w:rsid w:val="00F646C1"/>
    <w:rsid w:val="00F64842"/>
    <w:rsid w:val="00F64A05"/>
    <w:rsid w:val="00F65255"/>
    <w:rsid w:val="00F65440"/>
    <w:rsid w:val="00F6552F"/>
    <w:rsid w:val="00F65A27"/>
    <w:rsid w:val="00F665FB"/>
    <w:rsid w:val="00F66BB2"/>
    <w:rsid w:val="00F66D47"/>
    <w:rsid w:val="00F66DC0"/>
    <w:rsid w:val="00F671F3"/>
    <w:rsid w:val="00F67255"/>
    <w:rsid w:val="00F67670"/>
    <w:rsid w:val="00F6774F"/>
    <w:rsid w:val="00F67CF0"/>
    <w:rsid w:val="00F705A3"/>
    <w:rsid w:val="00F70871"/>
    <w:rsid w:val="00F70BA8"/>
    <w:rsid w:val="00F70CAC"/>
    <w:rsid w:val="00F70D62"/>
    <w:rsid w:val="00F70E00"/>
    <w:rsid w:val="00F7131B"/>
    <w:rsid w:val="00F713EA"/>
    <w:rsid w:val="00F715E7"/>
    <w:rsid w:val="00F717F3"/>
    <w:rsid w:val="00F7196F"/>
    <w:rsid w:val="00F719EB"/>
    <w:rsid w:val="00F72086"/>
    <w:rsid w:val="00F720C8"/>
    <w:rsid w:val="00F725C4"/>
    <w:rsid w:val="00F728D2"/>
    <w:rsid w:val="00F72E2C"/>
    <w:rsid w:val="00F73151"/>
    <w:rsid w:val="00F732C2"/>
    <w:rsid w:val="00F73388"/>
    <w:rsid w:val="00F733E1"/>
    <w:rsid w:val="00F73500"/>
    <w:rsid w:val="00F73A7A"/>
    <w:rsid w:val="00F73A8F"/>
    <w:rsid w:val="00F73AF2"/>
    <w:rsid w:val="00F73D59"/>
    <w:rsid w:val="00F7421E"/>
    <w:rsid w:val="00F747FA"/>
    <w:rsid w:val="00F7482B"/>
    <w:rsid w:val="00F748EB"/>
    <w:rsid w:val="00F74F94"/>
    <w:rsid w:val="00F75212"/>
    <w:rsid w:val="00F754A6"/>
    <w:rsid w:val="00F75617"/>
    <w:rsid w:val="00F757D8"/>
    <w:rsid w:val="00F7597D"/>
    <w:rsid w:val="00F75DE1"/>
    <w:rsid w:val="00F75E3F"/>
    <w:rsid w:val="00F76011"/>
    <w:rsid w:val="00F76678"/>
    <w:rsid w:val="00F76A9B"/>
    <w:rsid w:val="00F76AB9"/>
    <w:rsid w:val="00F77023"/>
    <w:rsid w:val="00F77074"/>
    <w:rsid w:val="00F77142"/>
    <w:rsid w:val="00F77AE7"/>
    <w:rsid w:val="00F77C39"/>
    <w:rsid w:val="00F77CD9"/>
    <w:rsid w:val="00F77CF3"/>
    <w:rsid w:val="00F77D18"/>
    <w:rsid w:val="00F77E80"/>
    <w:rsid w:val="00F77EAB"/>
    <w:rsid w:val="00F80069"/>
    <w:rsid w:val="00F8013D"/>
    <w:rsid w:val="00F80224"/>
    <w:rsid w:val="00F803CD"/>
    <w:rsid w:val="00F806BD"/>
    <w:rsid w:val="00F80793"/>
    <w:rsid w:val="00F80CDA"/>
    <w:rsid w:val="00F81145"/>
    <w:rsid w:val="00F8118C"/>
    <w:rsid w:val="00F81651"/>
    <w:rsid w:val="00F81666"/>
    <w:rsid w:val="00F818AF"/>
    <w:rsid w:val="00F81941"/>
    <w:rsid w:val="00F81CEC"/>
    <w:rsid w:val="00F81CF8"/>
    <w:rsid w:val="00F81E3D"/>
    <w:rsid w:val="00F81E60"/>
    <w:rsid w:val="00F81FF8"/>
    <w:rsid w:val="00F82323"/>
    <w:rsid w:val="00F825F3"/>
    <w:rsid w:val="00F8279A"/>
    <w:rsid w:val="00F829C6"/>
    <w:rsid w:val="00F82A67"/>
    <w:rsid w:val="00F82D29"/>
    <w:rsid w:val="00F83750"/>
    <w:rsid w:val="00F837DF"/>
    <w:rsid w:val="00F83A4E"/>
    <w:rsid w:val="00F8453D"/>
    <w:rsid w:val="00F84750"/>
    <w:rsid w:val="00F84949"/>
    <w:rsid w:val="00F84D45"/>
    <w:rsid w:val="00F84F49"/>
    <w:rsid w:val="00F8557F"/>
    <w:rsid w:val="00F85591"/>
    <w:rsid w:val="00F8587A"/>
    <w:rsid w:val="00F85D99"/>
    <w:rsid w:val="00F8651E"/>
    <w:rsid w:val="00F86C47"/>
    <w:rsid w:val="00F86EB3"/>
    <w:rsid w:val="00F86EC4"/>
    <w:rsid w:val="00F86EE2"/>
    <w:rsid w:val="00F870F9"/>
    <w:rsid w:val="00F8756C"/>
    <w:rsid w:val="00F8777F"/>
    <w:rsid w:val="00F8793F"/>
    <w:rsid w:val="00F87A87"/>
    <w:rsid w:val="00F87E89"/>
    <w:rsid w:val="00F90ADD"/>
    <w:rsid w:val="00F90ECE"/>
    <w:rsid w:val="00F9163A"/>
    <w:rsid w:val="00F91907"/>
    <w:rsid w:val="00F91A13"/>
    <w:rsid w:val="00F91A54"/>
    <w:rsid w:val="00F91A57"/>
    <w:rsid w:val="00F91BC5"/>
    <w:rsid w:val="00F91C99"/>
    <w:rsid w:val="00F91CCF"/>
    <w:rsid w:val="00F91E83"/>
    <w:rsid w:val="00F920AE"/>
    <w:rsid w:val="00F9233D"/>
    <w:rsid w:val="00F92C78"/>
    <w:rsid w:val="00F9300D"/>
    <w:rsid w:val="00F9303B"/>
    <w:rsid w:val="00F9306B"/>
    <w:rsid w:val="00F93195"/>
    <w:rsid w:val="00F9319A"/>
    <w:rsid w:val="00F9337F"/>
    <w:rsid w:val="00F9372D"/>
    <w:rsid w:val="00F93901"/>
    <w:rsid w:val="00F93B0C"/>
    <w:rsid w:val="00F93FCB"/>
    <w:rsid w:val="00F946D5"/>
    <w:rsid w:val="00F94C71"/>
    <w:rsid w:val="00F94EC9"/>
    <w:rsid w:val="00F958B8"/>
    <w:rsid w:val="00F95A86"/>
    <w:rsid w:val="00F95C1D"/>
    <w:rsid w:val="00F95C53"/>
    <w:rsid w:val="00F95E23"/>
    <w:rsid w:val="00F9653D"/>
    <w:rsid w:val="00F970C8"/>
    <w:rsid w:val="00F970FF"/>
    <w:rsid w:val="00F97112"/>
    <w:rsid w:val="00F971D5"/>
    <w:rsid w:val="00F9741C"/>
    <w:rsid w:val="00F97491"/>
    <w:rsid w:val="00F974CF"/>
    <w:rsid w:val="00F975EC"/>
    <w:rsid w:val="00F977A4"/>
    <w:rsid w:val="00F97AB9"/>
    <w:rsid w:val="00F97D91"/>
    <w:rsid w:val="00F97E1F"/>
    <w:rsid w:val="00FA034D"/>
    <w:rsid w:val="00FA04F1"/>
    <w:rsid w:val="00FA04F3"/>
    <w:rsid w:val="00FA0683"/>
    <w:rsid w:val="00FA0753"/>
    <w:rsid w:val="00FA0840"/>
    <w:rsid w:val="00FA08E2"/>
    <w:rsid w:val="00FA0AE3"/>
    <w:rsid w:val="00FA0EF2"/>
    <w:rsid w:val="00FA12A6"/>
    <w:rsid w:val="00FA15D7"/>
    <w:rsid w:val="00FA15FB"/>
    <w:rsid w:val="00FA1714"/>
    <w:rsid w:val="00FA200D"/>
    <w:rsid w:val="00FA21E6"/>
    <w:rsid w:val="00FA2A38"/>
    <w:rsid w:val="00FA31FC"/>
    <w:rsid w:val="00FA3633"/>
    <w:rsid w:val="00FA3A26"/>
    <w:rsid w:val="00FA3C68"/>
    <w:rsid w:val="00FA3ED9"/>
    <w:rsid w:val="00FA4023"/>
    <w:rsid w:val="00FA40CA"/>
    <w:rsid w:val="00FA41D7"/>
    <w:rsid w:val="00FA438D"/>
    <w:rsid w:val="00FA46F3"/>
    <w:rsid w:val="00FA4849"/>
    <w:rsid w:val="00FA4F83"/>
    <w:rsid w:val="00FA5133"/>
    <w:rsid w:val="00FA53B3"/>
    <w:rsid w:val="00FA5A25"/>
    <w:rsid w:val="00FA5BE0"/>
    <w:rsid w:val="00FA637C"/>
    <w:rsid w:val="00FA67C9"/>
    <w:rsid w:val="00FA685E"/>
    <w:rsid w:val="00FA6A55"/>
    <w:rsid w:val="00FA6B7B"/>
    <w:rsid w:val="00FA6E59"/>
    <w:rsid w:val="00FA6FB1"/>
    <w:rsid w:val="00FA6FD5"/>
    <w:rsid w:val="00FA7087"/>
    <w:rsid w:val="00FA71FC"/>
    <w:rsid w:val="00FA728E"/>
    <w:rsid w:val="00FA739E"/>
    <w:rsid w:val="00FA74C7"/>
    <w:rsid w:val="00FA75EA"/>
    <w:rsid w:val="00FA767D"/>
    <w:rsid w:val="00FA77CF"/>
    <w:rsid w:val="00FB018A"/>
    <w:rsid w:val="00FB052C"/>
    <w:rsid w:val="00FB08E5"/>
    <w:rsid w:val="00FB0D11"/>
    <w:rsid w:val="00FB0D98"/>
    <w:rsid w:val="00FB112C"/>
    <w:rsid w:val="00FB165B"/>
    <w:rsid w:val="00FB16B5"/>
    <w:rsid w:val="00FB1931"/>
    <w:rsid w:val="00FB2105"/>
    <w:rsid w:val="00FB2297"/>
    <w:rsid w:val="00FB23C1"/>
    <w:rsid w:val="00FB248D"/>
    <w:rsid w:val="00FB252F"/>
    <w:rsid w:val="00FB2691"/>
    <w:rsid w:val="00FB2CAF"/>
    <w:rsid w:val="00FB2CFB"/>
    <w:rsid w:val="00FB2D0C"/>
    <w:rsid w:val="00FB2D3A"/>
    <w:rsid w:val="00FB322E"/>
    <w:rsid w:val="00FB3284"/>
    <w:rsid w:val="00FB33C7"/>
    <w:rsid w:val="00FB3719"/>
    <w:rsid w:val="00FB3768"/>
    <w:rsid w:val="00FB3D41"/>
    <w:rsid w:val="00FB3DD3"/>
    <w:rsid w:val="00FB3F07"/>
    <w:rsid w:val="00FB3F6F"/>
    <w:rsid w:val="00FB42FA"/>
    <w:rsid w:val="00FB43E8"/>
    <w:rsid w:val="00FB4596"/>
    <w:rsid w:val="00FB4921"/>
    <w:rsid w:val="00FB49A1"/>
    <w:rsid w:val="00FB4B46"/>
    <w:rsid w:val="00FB4D4E"/>
    <w:rsid w:val="00FB4E87"/>
    <w:rsid w:val="00FB531B"/>
    <w:rsid w:val="00FB564D"/>
    <w:rsid w:val="00FB5809"/>
    <w:rsid w:val="00FB5AEC"/>
    <w:rsid w:val="00FB5C87"/>
    <w:rsid w:val="00FB5F4A"/>
    <w:rsid w:val="00FB5F5C"/>
    <w:rsid w:val="00FB640B"/>
    <w:rsid w:val="00FB6984"/>
    <w:rsid w:val="00FB6A55"/>
    <w:rsid w:val="00FB6A8A"/>
    <w:rsid w:val="00FB705A"/>
    <w:rsid w:val="00FB7229"/>
    <w:rsid w:val="00FB7471"/>
    <w:rsid w:val="00FB74A4"/>
    <w:rsid w:val="00FB7855"/>
    <w:rsid w:val="00FB7A71"/>
    <w:rsid w:val="00FB7C8C"/>
    <w:rsid w:val="00FB7CEE"/>
    <w:rsid w:val="00FB7D43"/>
    <w:rsid w:val="00FB7F3E"/>
    <w:rsid w:val="00FB7FEF"/>
    <w:rsid w:val="00FC0084"/>
    <w:rsid w:val="00FC0454"/>
    <w:rsid w:val="00FC06D9"/>
    <w:rsid w:val="00FC08BD"/>
    <w:rsid w:val="00FC0C05"/>
    <w:rsid w:val="00FC0C63"/>
    <w:rsid w:val="00FC0FAD"/>
    <w:rsid w:val="00FC1212"/>
    <w:rsid w:val="00FC1326"/>
    <w:rsid w:val="00FC16FF"/>
    <w:rsid w:val="00FC22FF"/>
    <w:rsid w:val="00FC2893"/>
    <w:rsid w:val="00FC2896"/>
    <w:rsid w:val="00FC2988"/>
    <w:rsid w:val="00FC2A8F"/>
    <w:rsid w:val="00FC2DCD"/>
    <w:rsid w:val="00FC2F39"/>
    <w:rsid w:val="00FC32D8"/>
    <w:rsid w:val="00FC337D"/>
    <w:rsid w:val="00FC33FF"/>
    <w:rsid w:val="00FC36D3"/>
    <w:rsid w:val="00FC3BA9"/>
    <w:rsid w:val="00FC3C5D"/>
    <w:rsid w:val="00FC3E5E"/>
    <w:rsid w:val="00FC4084"/>
    <w:rsid w:val="00FC411D"/>
    <w:rsid w:val="00FC41C6"/>
    <w:rsid w:val="00FC432A"/>
    <w:rsid w:val="00FC44D7"/>
    <w:rsid w:val="00FC450F"/>
    <w:rsid w:val="00FC4822"/>
    <w:rsid w:val="00FC49CA"/>
    <w:rsid w:val="00FC4D34"/>
    <w:rsid w:val="00FC4DBA"/>
    <w:rsid w:val="00FC502D"/>
    <w:rsid w:val="00FC5269"/>
    <w:rsid w:val="00FC56A8"/>
    <w:rsid w:val="00FC581A"/>
    <w:rsid w:val="00FC5A38"/>
    <w:rsid w:val="00FC5A57"/>
    <w:rsid w:val="00FC5BCE"/>
    <w:rsid w:val="00FC618F"/>
    <w:rsid w:val="00FC641A"/>
    <w:rsid w:val="00FC6556"/>
    <w:rsid w:val="00FC738B"/>
    <w:rsid w:val="00FC75C5"/>
    <w:rsid w:val="00FC76BB"/>
    <w:rsid w:val="00FC79BA"/>
    <w:rsid w:val="00FC7A2C"/>
    <w:rsid w:val="00FC7B26"/>
    <w:rsid w:val="00FD042B"/>
    <w:rsid w:val="00FD056E"/>
    <w:rsid w:val="00FD05A4"/>
    <w:rsid w:val="00FD0925"/>
    <w:rsid w:val="00FD0D60"/>
    <w:rsid w:val="00FD0D7D"/>
    <w:rsid w:val="00FD0E4D"/>
    <w:rsid w:val="00FD0ED2"/>
    <w:rsid w:val="00FD0F5B"/>
    <w:rsid w:val="00FD1049"/>
    <w:rsid w:val="00FD107C"/>
    <w:rsid w:val="00FD1339"/>
    <w:rsid w:val="00FD15CB"/>
    <w:rsid w:val="00FD197C"/>
    <w:rsid w:val="00FD19BD"/>
    <w:rsid w:val="00FD1B56"/>
    <w:rsid w:val="00FD1E90"/>
    <w:rsid w:val="00FD1EC6"/>
    <w:rsid w:val="00FD1F0A"/>
    <w:rsid w:val="00FD20CF"/>
    <w:rsid w:val="00FD23A1"/>
    <w:rsid w:val="00FD24E2"/>
    <w:rsid w:val="00FD27A5"/>
    <w:rsid w:val="00FD29D4"/>
    <w:rsid w:val="00FD2A77"/>
    <w:rsid w:val="00FD2A87"/>
    <w:rsid w:val="00FD2BBD"/>
    <w:rsid w:val="00FD30A4"/>
    <w:rsid w:val="00FD3123"/>
    <w:rsid w:val="00FD31FC"/>
    <w:rsid w:val="00FD3401"/>
    <w:rsid w:val="00FD3907"/>
    <w:rsid w:val="00FD3A86"/>
    <w:rsid w:val="00FD3C97"/>
    <w:rsid w:val="00FD47C8"/>
    <w:rsid w:val="00FD4EF5"/>
    <w:rsid w:val="00FD5427"/>
    <w:rsid w:val="00FD5638"/>
    <w:rsid w:val="00FD58DA"/>
    <w:rsid w:val="00FD59C0"/>
    <w:rsid w:val="00FD5C9D"/>
    <w:rsid w:val="00FD5FE0"/>
    <w:rsid w:val="00FD63AB"/>
    <w:rsid w:val="00FD6488"/>
    <w:rsid w:val="00FD6511"/>
    <w:rsid w:val="00FD66E4"/>
    <w:rsid w:val="00FD6726"/>
    <w:rsid w:val="00FD6727"/>
    <w:rsid w:val="00FD6A36"/>
    <w:rsid w:val="00FD6B5A"/>
    <w:rsid w:val="00FD6EEF"/>
    <w:rsid w:val="00FD755E"/>
    <w:rsid w:val="00FD7861"/>
    <w:rsid w:val="00FD786F"/>
    <w:rsid w:val="00FD7DF2"/>
    <w:rsid w:val="00FE016B"/>
    <w:rsid w:val="00FE0349"/>
    <w:rsid w:val="00FE0534"/>
    <w:rsid w:val="00FE06BA"/>
    <w:rsid w:val="00FE080A"/>
    <w:rsid w:val="00FE0A25"/>
    <w:rsid w:val="00FE0B70"/>
    <w:rsid w:val="00FE0B87"/>
    <w:rsid w:val="00FE0BB6"/>
    <w:rsid w:val="00FE0E95"/>
    <w:rsid w:val="00FE0F0D"/>
    <w:rsid w:val="00FE0F43"/>
    <w:rsid w:val="00FE11D4"/>
    <w:rsid w:val="00FE120E"/>
    <w:rsid w:val="00FE1263"/>
    <w:rsid w:val="00FE12AA"/>
    <w:rsid w:val="00FE1304"/>
    <w:rsid w:val="00FE1B42"/>
    <w:rsid w:val="00FE1BD2"/>
    <w:rsid w:val="00FE1C2A"/>
    <w:rsid w:val="00FE1E17"/>
    <w:rsid w:val="00FE1E40"/>
    <w:rsid w:val="00FE20D1"/>
    <w:rsid w:val="00FE2198"/>
    <w:rsid w:val="00FE25A3"/>
    <w:rsid w:val="00FE2842"/>
    <w:rsid w:val="00FE2851"/>
    <w:rsid w:val="00FE2ACC"/>
    <w:rsid w:val="00FE2B8C"/>
    <w:rsid w:val="00FE2BF7"/>
    <w:rsid w:val="00FE339A"/>
    <w:rsid w:val="00FE3704"/>
    <w:rsid w:val="00FE39F6"/>
    <w:rsid w:val="00FE3ADC"/>
    <w:rsid w:val="00FE3F1C"/>
    <w:rsid w:val="00FE3F82"/>
    <w:rsid w:val="00FE4079"/>
    <w:rsid w:val="00FE413B"/>
    <w:rsid w:val="00FE4578"/>
    <w:rsid w:val="00FE46B4"/>
    <w:rsid w:val="00FE484C"/>
    <w:rsid w:val="00FE4976"/>
    <w:rsid w:val="00FE4C45"/>
    <w:rsid w:val="00FE4CF1"/>
    <w:rsid w:val="00FE4CFE"/>
    <w:rsid w:val="00FE50B8"/>
    <w:rsid w:val="00FE56EF"/>
    <w:rsid w:val="00FE5877"/>
    <w:rsid w:val="00FE5974"/>
    <w:rsid w:val="00FE5DE6"/>
    <w:rsid w:val="00FE5EA2"/>
    <w:rsid w:val="00FE5FDC"/>
    <w:rsid w:val="00FE6306"/>
    <w:rsid w:val="00FE64E6"/>
    <w:rsid w:val="00FE670D"/>
    <w:rsid w:val="00FE6A77"/>
    <w:rsid w:val="00FE6BAE"/>
    <w:rsid w:val="00FE6E35"/>
    <w:rsid w:val="00FE721D"/>
    <w:rsid w:val="00FE72A0"/>
    <w:rsid w:val="00FE7574"/>
    <w:rsid w:val="00FE7A78"/>
    <w:rsid w:val="00FE7AF9"/>
    <w:rsid w:val="00FF007E"/>
    <w:rsid w:val="00FF0282"/>
    <w:rsid w:val="00FF03D2"/>
    <w:rsid w:val="00FF0533"/>
    <w:rsid w:val="00FF06EA"/>
    <w:rsid w:val="00FF0775"/>
    <w:rsid w:val="00FF07B7"/>
    <w:rsid w:val="00FF0C96"/>
    <w:rsid w:val="00FF101B"/>
    <w:rsid w:val="00FF10E1"/>
    <w:rsid w:val="00FF1154"/>
    <w:rsid w:val="00FF130D"/>
    <w:rsid w:val="00FF172C"/>
    <w:rsid w:val="00FF1F56"/>
    <w:rsid w:val="00FF1FBB"/>
    <w:rsid w:val="00FF2044"/>
    <w:rsid w:val="00FF21B2"/>
    <w:rsid w:val="00FF2723"/>
    <w:rsid w:val="00FF27B1"/>
    <w:rsid w:val="00FF27C6"/>
    <w:rsid w:val="00FF27DC"/>
    <w:rsid w:val="00FF282C"/>
    <w:rsid w:val="00FF2C8C"/>
    <w:rsid w:val="00FF2DAD"/>
    <w:rsid w:val="00FF319F"/>
    <w:rsid w:val="00FF370F"/>
    <w:rsid w:val="00FF37F0"/>
    <w:rsid w:val="00FF3912"/>
    <w:rsid w:val="00FF3C3D"/>
    <w:rsid w:val="00FF41E4"/>
    <w:rsid w:val="00FF451D"/>
    <w:rsid w:val="00FF462A"/>
    <w:rsid w:val="00FF46E2"/>
    <w:rsid w:val="00FF4B25"/>
    <w:rsid w:val="00FF4B36"/>
    <w:rsid w:val="00FF4DCF"/>
    <w:rsid w:val="00FF4E66"/>
    <w:rsid w:val="00FF4F3C"/>
    <w:rsid w:val="00FF5252"/>
    <w:rsid w:val="00FF52B7"/>
    <w:rsid w:val="00FF5302"/>
    <w:rsid w:val="00FF531A"/>
    <w:rsid w:val="00FF5480"/>
    <w:rsid w:val="00FF54AF"/>
    <w:rsid w:val="00FF5543"/>
    <w:rsid w:val="00FF5714"/>
    <w:rsid w:val="00FF5765"/>
    <w:rsid w:val="00FF5CBC"/>
    <w:rsid w:val="00FF6019"/>
    <w:rsid w:val="00FF6683"/>
    <w:rsid w:val="00FF66BF"/>
    <w:rsid w:val="00FF6712"/>
    <w:rsid w:val="00FF6740"/>
    <w:rsid w:val="00FF682A"/>
    <w:rsid w:val="00FF6966"/>
    <w:rsid w:val="00FF6981"/>
    <w:rsid w:val="00FF6A6F"/>
    <w:rsid w:val="00FF6B29"/>
    <w:rsid w:val="00FF6B36"/>
    <w:rsid w:val="00FF7756"/>
    <w:rsid w:val="00FF7855"/>
    <w:rsid w:val="00FF7857"/>
    <w:rsid w:val="00FF7C5D"/>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o:shapelayout v:ext="edit">
      <o:idmap v:ext="edit" data="1"/>
    </o:shapelayout>
  </w:shapeDefaults>
  <w:decimalSymbol w:val="."/>
  <w:listSeparator w:val=","/>
  <w14:docId w14:val="39F6C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before="60" w:after="6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3A40"/>
    <w:pPr>
      <w:spacing w:before="240" w:after="240" w:line="312" w:lineRule="auto"/>
      <w:jc w:val="both"/>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D87C00"/>
    <w:pPr>
      <w:keepNext/>
      <w:spacing w:before="500"/>
      <w:outlineLvl w:val="1"/>
    </w:pPr>
    <w:rPr>
      <w:b/>
      <w:smallCaps/>
      <w:sz w:val="28"/>
    </w:rPr>
  </w:style>
  <w:style w:type="paragraph" w:styleId="Heading3">
    <w:name w:val="heading 3"/>
    <w:basedOn w:val="Normal"/>
    <w:next w:val="Normal"/>
    <w:link w:val="Heading3Char"/>
    <w:qFormat/>
    <w:rsid w:val="003F6C66"/>
    <w:pPr>
      <w:outlineLvl w:val="2"/>
    </w:pPr>
    <w:rPr>
      <w:b/>
      <w:i/>
    </w:rPr>
  </w:style>
  <w:style w:type="paragraph" w:styleId="Heading4">
    <w:name w:val="heading 4"/>
    <w:basedOn w:val="ESSectionHeading-numbered0"/>
    <w:next w:val="Normal"/>
    <w:link w:val="Heading4Char"/>
    <w:qFormat/>
    <w:rsid w:val="00F5251C"/>
    <w:pPr>
      <w:numPr>
        <w:numId w:val="0"/>
      </w:numPr>
      <w:outlineLvl w:val="3"/>
    </w:pPr>
    <w:rPr>
      <w:smallCaps/>
    </w:rPr>
  </w:style>
  <w:style w:type="paragraph" w:styleId="Heading5">
    <w:name w:val="heading 5"/>
    <w:basedOn w:val="Normal"/>
    <w:next w:val="Normal"/>
    <w:link w:val="Heading5Char"/>
    <w:qFormat/>
    <w:rsid w:val="005C44A6"/>
    <w:pPr>
      <w:keepNext/>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87C00"/>
    <w:rPr>
      <w:rFonts w:ascii="Calibri" w:hAnsi="Calibri" w:cs="Tahoma"/>
      <w:b/>
      <w:smallCaps/>
      <w:sz w:val="28"/>
      <w:szCs w:val="22"/>
    </w:rPr>
  </w:style>
  <w:style w:type="paragraph" w:customStyle="1" w:styleId="Bullet">
    <w:name w:val="Bullet"/>
    <w:basedOn w:val="Normal"/>
    <w:rsid w:val="00574BF8"/>
    <w:pPr>
      <w:numPr>
        <w:numId w:val="1"/>
      </w:numPr>
      <w:tabs>
        <w:tab w:val="clear" w:pos="1440"/>
        <w:tab w:val="num" w:pos="360"/>
      </w:tabs>
      <w:ind w:left="0" w:firstLine="0"/>
    </w:pPr>
  </w:style>
  <w:style w:type="character" w:styleId="CommentReference">
    <w:name w:val="annotation reference"/>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AE437D"/>
    <w:pPr>
      <w:tabs>
        <w:tab w:val="left" w:pos="993"/>
        <w:tab w:val="right" w:leader="dot" w:pos="9017"/>
      </w:tabs>
      <w:spacing w:before="120"/>
      <w:ind w:right="-46"/>
    </w:pPr>
    <w:rPr>
      <w:b/>
      <w:noProof/>
    </w:rPr>
  </w:style>
  <w:style w:type="paragraph" w:styleId="TOC2">
    <w:name w:val="toc 2"/>
    <w:basedOn w:val="Normal"/>
    <w:next w:val="Normal"/>
    <w:autoRedefine/>
    <w:uiPriority w:val="39"/>
    <w:qFormat/>
    <w:rsid w:val="00AE437D"/>
    <w:pPr>
      <w:tabs>
        <w:tab w:val="left" w:pos="1540"/>
        <w:tab w:val="right" w:leader="dot" w:pos="9017"/>
      </w:tabs>
      <w:ind w:left="993" w:right="720"/>
    </w:pPr>
    <w:rPr>
      <w:noProof/>
    </w:rPr>
  </w:style>
  <w:style w:type="paragraph" w:styleId="TOC3">
    <w:name w:val="toc 3"/>
    <w:basedOn w:val="Normal"/>
    <w:next w:val="Normal"/>
    <w:autoRedefine/>
    <w:uiPriority w:val="39"/>
    <w:qFormat/>
    <w:rsid w:val="00EB422E"/>
    <w:pPr>
      <w:tabs>
        <w:tab w:val="right" w:leader="dot" w:pos="9016"/>
      </w:tabs>
      <w:spacing w:after="0"/>
      <w:ind w:left="1560"/>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uiPriority w:val="99"/>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uiPriority w:val="35"/>
    <w:qFormat/>
    <w:rsid w:val="009E2C14"/>
    <w:pPr>
      <w:spacing w:after="120"/>
      <w:jc w:val="left"/>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aliases w:val="Summary box"/>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uiPriority w:val="99"/>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aliases w:val="Paragraph,List Paragraph1"/>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0E1C52"/>
    <w:pPr>
      <w:spacing w:before="60" w:after="60"/>
      <w:jc w:val="left"/>
    </w:pPr>
    <w:rPr>
      <w:rFonts w:ascii="Arial Narrow" w:hAnsi="Arial Narrow"/>
      <w:sz w:val="20"/>
      <w:szCs w:val="20"/>
    </w:rPr>
  </w:style>
  <w:style w:type="character" w:customStyle="1" w:styleId="TabletextChar1">
    <w:name w:val="Table text Char"/>
    <w:link w:val="Tabletext1"/>
    <w:rsid w:val="000E1C52"/>
    <w:rPr>
      <w:rFonts w:ascii="Arial Narrow" w:hAnsi="Arial Narrow" w:cs="Tahoma"/>
    </w:rPr>
  </w:style>
  <w:style w:type="character" w:customStyle="1" w:styleId="Heading3Char">
    <w:name w:val="Heading 3 Char"/>
    <w:link w:val="Heading3"/>
    <w:rsid w:val="003F6C66"/>
    <w:rPr>
      <w:rFonts w:ascii="Calibri" w:hAnsi="Calibri" w:cs="Tahoma"/>
      <w:b/>
      <w:i/>
      <w:sz w:val="22"/>
      <w:szCs w:val="22"/>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i/>
      <w:smallCaps w:val="0"/>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EF5A91"/>
    <w:pPr>
      <w:numPr>
        <w:numId w:val="0"/>
      </w:numPr>
      <w:ind w:left="1134" w:hanging="1134"/>
    </w:pPr>
  </w:style>
  <w:style w:type="character" w:customStyle="1" w:styleId="ESNumberedSectionHeadingChar">
    <w:name w:val="ES Numbered Section Heading Char"/>
    <w:basedOn w:val="ESSectionHeading-numberedChar"/>
    <w:link w:val="ESNumberedSectionHeading"/>
    <w:rsid w:val="00EF5A91"/>
    <w:rPr>
      <w:rFonts w:ascii="Calibri" w:hAnsi="Calibri" w:cs="Tahoma"/>
      <w:b/>
      <w:i/>
      <w:smallCaps w:val="0"/>
      <w:sz w:val="24"/>
      <w:szCs w:val="24"/>
    </w:rPr>
  </w:style>
  <w:style w:type="paragraph" w:customStyle="1" w:styleId="Tablenotes0">
    <w:name w:val="Tablenotes"/>
    <w:basedOn w:val="Normal"/>
    <w:link w:val="TablenotesChar0"/>
    <w:qFormat/>
    <w:rsid w:val="00DA1365"/>
    <w:pPr>
      <w:widowControl w:val="0"/>
      <w:spacing w:before="60" w:after="60" w:line="240" w:lineRule="auto"/>
      <w:jc w:val="left"/>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A1365"/>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paragraph" w:customStyle="1" w:styleId="EndNoteBibliographyTitle">
    <w:name w:val="EndNote Bibliography Title"/>
    <w:basedOn w:val="Normal"/>
    <w:link w:val="EndNoteBibliographyTitleChar"/>
    <w:rsid w:val="00C000FD"/>
    <w:pPr>
      <w:spacing w:after="0"/>
      <w:jc w:val="center"/>
    </w:pPr>
    <w:rPr>
      <w:noProof/>
    </w:rPr>
  </w:style>
  <w:style w:type="character" w:customStyle="1" w:styleId="EndNoteBibliographyTitleChar">
    <w:name w:val="EndNote Bibliography Title Char"/>
    <w:basedOn w:val="DefaultParagraphFont"/>
    <w:link w:val="EndNoteBibliographyTitle"/>
    <w:rsid w:val="00C000FD"/>
    <w:rPr>
      <w:rFonts w:ascii="Calibri" w:hAnsi="Calibri" w:cs="Tahoma"/>
      <w:noProof/>
      <w:sz w:val="22"/>
      <w:szCs w:val="22"/>
    </w:rPr>
  </w:style>
  <w:style w:type="paragraph" w:customStyle="1" w:styleId="EndNoteBibliography">
    <w:name w:val="EndNote Bibliography"/>
    <w:basedOn w:val="Normal"/>
    <w:link w:val="EndNoteBibliographyChar"/>
    <w:rsid w:val="00C000FD"/>
    <w:pPr>
      <w:spacing w:line="240" w:lineRule="auto"/>
    </w:pPr>
    <w:rPr>
      <w:noProof/>
    </w:rPr>
  </w:style>
  <w:style w:type="character" w:customStyle="1" w:styleId="EndNoteBibliographyChar">
    <w:name w:val="EndNote Bibliography Char"/>
    <w:basedOn w:val="DefaultParagraphFont"/>
    <w:link w:val="EndNoteBibliography"/>
    <w:rsid w:val="00C000FD"/>
    <w:rPr>
      <w:rFonts w:ascii="Calibri" w:hAnsi="Calibri" w:cs="Tahoma"/>
      <w:noProof/>
      <w:sz w:val="22"/>
      <w:szCs w:val="22"/>
    </w:rPr>
  </w:style>
  <w:style w:type="table" w:customStyle="1" w:styleId="TableGrid3">
    <w:name w:val="Table Grid3"/>
    <w:basedOn w:val="TableNormal"/>
    <w:next w:val="TableGrid"/>
    <w:uiPriority w:val="59"/>
    <w:rsid w:val="008676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A7B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A7B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ality-sign">
    <w:name w:val="quality-sign"/>
    <w:basedOn w:val="DefaultParagraphFont"/>
    <w:rsid w:val="007C6F8D"/>
  </w:style>
  <w:style w:type="numbering" w:customStyle="1" w:styleId="NoList1">
    <w:name w:val="No List1"/>
    <w:next w:val="NoList"/>
    <w:uiPriority w:val="99"/>
    <w:semiHidden/>
    <w:unhideWhenUsed/>
    <w:rsid w:val="00861E5C"/>
  </w:style>
  <w:style w:type="character" w:customStyle="1" w:styleId="tgc">
    <w:name w:val="_tgc"/>
    <w:basedOn w:val="DefaultParagraphFont"/>
    <w:rsid w:val="00861E5C"/>
  </w:style>
  <w:style w:type="numbering" w:customStyle="1" w:styleId="NoList2">
    <w:name w:val="No List2"/>
    <w:next w:val="NoList"/>
    <w:uiPriority w:val="99"/>
    <w:semiHidden/>
    <w:unhideWhenUsed/>
    <w:rsid w:val="007F70F3"/>
  </w:style>
  <w:style w:type="numbering" w:customStyle="1" w:styleId="ESSectionheading-numbered1">
    <w:name w:val="ES. Section heading - numbered1"/>
    <w:uiPriority w:val="99"/>
    <w:rsid w:val="007F70F3"/>
  </w:style>
  <w:style w:type="numbering" w:customStyle="1" w:styleId="NoList3">
    <w:name w:val="No List3"/>
    <w:next w:val="NoList"/>
    <w:uiPriority w:val="99"/>
    <w:semiHidden/>
    <w:unhideWhenUsed/>
    <w:rsid w:val="00E10816"/>
  </w:style>
  <w:style w:type="numbering" w:customStyle="1" w:styleId="ESSectionheading-numbered2">
    <w:name w:val="ES. Section heading - numbered2"/>
    <w:uiPriority w:val="99"/>
    <w:rsid w:val="00E10816"/>
  </w:style>
  <w:style w:type="table" w:customStyle="1" w:styleId="TableGrid6">
    <w:name w:val="Table Grid6"/>
    <w:basedOn w:val="TableNormal"/>
    <w:next w:val="TableGrid"/>
    <w:uiPriority w:val="59"/>
    <w:rsid w:val="00E108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E44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E44DB"/>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02D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B089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uiPriority w:val="35"/>
    <w:locked/>
    <w:rsid w:val="009E2C14"/>
    <w:rPr>
      <w:rFonts w:ascii="Arial Narrow" w:hAnsi="Arial Narrow" w:cs="Tahoma"/>
      <w:b/>
      <w:bCs/>
      <w:szCs w:val="22"/>
    </w:rPr>
  </w:style>
  <w:style w:type="paragraph" w:customStyle="1" w:styleId="Tableheader">
    <w:name w:val="Table header"/>
    <w:basedOn w:val="BodyText"/>
    <w:next w:val="BodyText"/>
    <w:uiPriority w:val="99"/>
    <w:qFormat/>
    <w:rsid w:val="00E56FF7"/>
    <w:pPr>
      <w:tabs>
        <w:tab w:val="left" w:pos="1134"/>
      </w:tabs>
      <w:spacing w:before="120" w:after="60" w:line="276" w:lineRule="auto"/>
    </w:pPr>
    <w:rPr>
      <w:rFonts w:asciiTheme="minorHAnsi" w:eastAsia="Calibri" w:hAnsiTheme="minorHAnsi" w:cs="Calibri"/>
      <w:i w:val="0"/>
      <w:snapToGrid/>
      <w:color w:val="auto"/>
      <w:sz w:val="20"/>
      <w:szCs w:val="20"/>
      <w:lang w:val="en-US"/>
    </w:rPr>
  </w:style>
  <w:style w:type="character" w:customStyle="1" w:styleId="ListParagraphChar">
    <w:name w:val="List Paragraph Char"/>
    <w:aliases w:val="Paragraph Char,List Paragraph1 Char"/>
    <w:basedOn w:val="DefaultParagraphFont"/>
    <w:link w:val="ListParagraph"/>
    <w:uiPriority w:val="34"/>
    <w:rsid w:val="00AB12D2"/>
    <w:rPr>
      <w:rFonts w:ascii="Calibri" w:hAnsi="Calibri" w:cs="Tahoma"/>
      <w:sz w:val="22"/>
      <w:szCs w:val="22"/>
    </w:rPr>
  </w:style>
  <w:style w:type="paragraph" w:customStyle="1" w:styleId="TableH1">
    <w:name w:val="Table H1"/>
    <w:basedOn w:val="BodyText"/>
    <w:uiPriority w:val="4"/>
    <w:qFormat/>
    <w:rsid w:val="00AB12D2"/>
    <w:pPr>
      <w:keepNext/>
      <w:tabs>
        <w:tab w:val="left" w:pos="416"/>
        <w:tab w:val="left" w:pos="582"/>
        <w:tab w:val="left" w:pos="1134"/>
      </w:tabs>
      <w:spacing w:after="240"/>
    </w:pPr>
    <w:rPr>
      <w:rFonts w:ascii="Calibri" w:hAnsi="Calibri" w:cs="Times New Roman"/>
      <w:i w:val="0"/>
      <w:snapToGrid/>
      <w:color w:val="auto"/>
      <w:sz w:val="20"/>
      <w:szCs w:val="20"/>
      <w:lang w:val="en-US"/>
    </w:rPr>
  </w:style>
  <w:style w:type="paragraph" w:customStyle="1" w:styleId="Tablefont">
    <w:name w:val="Table font"/>
    <w:basedOn w:val="Normal"/>
    <w:link w:val="TablefontChar"/>
    <w:rsid w:val="00AB12D2"/>
    <w:pPr>
      <w:spacing w:before="120" w:after="120"/>
    </w:pPr>
    <w:rPr>
      <w:rFonts w:ascii="Arial Narrow" w:eastAsia="Calibri" w:hAnsi="Arial Narrow" w:cs="Times New Roman"/>
      <w:lang w:eastAsia="en-US"/>
    </w:rPr>
  </w:style>
  <w:style w:type="character" w:customStyle="1" w:styleId="TablefontChar">
    <w:name w:val="Table font Char"/>
    <w:basedOn w:val="DefaultParagraphFont"/>
    <w:link w:val="Tablefont"/>
    <w:rsid w:val="00AB12D2"/>
    <w:rPr>
      <w:rFonts w:ascii="Arial Narrow" w:eastAsia="Calibri" w:hAnsi="Arial Narrow"/>
      <w:sz w:val="22"/>
      <w:szCs w:val="22"/>
      <w:lang w:eastAsia="en-US"/>
    </w:rPr>
  </w:style>
  <w:style w:type="paragraph" w:customStyle="1" w:styleId="Tablename0">
    <w:name w:val="Table name"/>
    <w:basedOn w:val="Normal"/>
    <w:uiPriority w:val="4"/>
    <w:qFormat/>
    <w:rsid w:val="00AB12D2"/>
    <w:pPr>
      <w:keepNext/>
      <w:tabs>
        <w:tab w:val="left" w:pos="1418"/>
      </w:tabs>
      <w:spacing w:before="120" w:after="120"/>
      <w:ind w:left="1418" w:hanging="1418"/>
    </w:pPr>
    <w:rPr>
      <w:rFonts w:cs="Times New Roman"/>
      <w:b/>
      <w:bCs/>
      <w:szCs w:val="20"/>
      <w:lang w:eastAsia="en-US"/>
    </w:rPr>
  </w:style>
  <w:style w:type="paragraph" w:styleId="NoSpacing">
    <w:name w:val="No Spacing"/>
    <w:uiPriority w:val="1"/>
    <w:qFormat/>
    <w:rsid w:val="003C7684"/>
    <w:pPr>
      <w:spacing w:before="0" w:after="0"/>
    </w:pPr>
    <w:rPr>
      <w:rFonts w:asciiTheme="minorHAnsi" w:eastAsiaTheme="minorHAnsi" w:hAnsiTheme="minorHAnsi" w:cstheme="minorBidi"/>
      <w:sz w:val="22"/>
      <w:szCs w:val="22"/>
      <w:lang w:val="en-US" w:eastAsia="en-US"/>
    </w:rPr>
  </w:style>
  <w:style w:type="table" w:customStyle="1" w:styleId="TableGrid91">
    <w:name w:val="Table Grid91"/>
    <w:basedOn w:val="TableNormal"/>
    <w:next w:val="TableGrid"/>
    <w:uiPriority w:val="59"/>
    <w:rsid w:val="005A4A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C74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E26B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before="60" w:after="6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3A40"/>
    <w:pPr>
      <w:spacing w:before="240" w:after="240" w:line="312" w:lineRule="auto"/>
      <w:jc w:val="both"/>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D87C00"/>
    <w:pPr>
      <w:keepNext/>
      <w:spacing w:before="500"/>
      <w:outlineLvl w:val="1"/>
    </w:pPr>
    <w:rPr>
      <w:b/>
      <w:smallCaps/>
      <w:sz w:val="28"/>
    </w:rPr>
  </w:style>
  <w:style w:type="paragraph" w:styleId="Heading3">
    <w:name w:val="heading 3"/>
    <w:basedOn w:val="Normal"/>
    <w:next w:val="Normal"/>
    <w:link w:val="Heading3Char"/>
    <w:qFormat/>
    <w:rsid w:val="003F6C66"/>
    <w:pPr>
      <w:outlineLvl w:val="2"/>
    </w:pPr>
    <w:rPr>
      <w:b/>
      <w:i/>
    </w:rPr>
  </w:style>
  <w:style w:type="paragraph" w:styleId="Heading4">
    <w:name w:val="heading 4"/>
    <w:basedOn w:val="ESSectionHeading-numbered0"/>
    <w:next w:val="Normal"/>
    <w:link w:val="Heading4Char"/>
    <w:qFormat/>
    <w:rsid w:val="00F5251C"/>
    <w:pPr>
      <w:numPr>
        <w:numId w:val="0"/>
      </w:numPr>
      <w:outlineLvl w:val="3"/>
    </w:pPr>
    <w:rPr>
      <w:smallCaps/>
    </w:rPr>
  </w:style>
  <w:style w:type="paragraph" w:styleId="Heading5">
    <w:name w:val="heading 5"/>
    <w:basedOn w:val="Normal"/>
    <w:next w:val="Normal"/>
    <w:link w:val="Heading5Char"/>
    <w:qFormat/>
    <w:rsid w:val="005C44A6"/>
    <w:pPr>
      <w:keepNext/>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87C00"/>
    <w:rPr>
      <w:rFonts w:ascii="Calibri" w:hAnsi="Calibri" w:cs="Tahoma"/>
      <w:b/>
      <w:smallCaps/>
      <w:sz w:val="28"/>
      <w:szCs w:val="22"/>
    </w:rPr>
  </w:style>
  <w:style w:type="paragraph" w:customStyle="1" w:styleId="Bullet">
    <w:name w:val="Bullet"/>
    <w:basedOn w:val="Normal"/>
    <w:rsid w:val="00574BF8"/>
    <w:pPr>
      <w:numPr>
        <w:numId w:val="1"/>
      </w:numPr>
      <w:tabs>
        <w:tab w:val="clear" w:pos="1440"/>
        <w:tab w:val="num" w:pos="360"/>
      </w:tabs>
      <w:ind w:left="0" w:firstLine="0"/>
    </w:pPr>
  </w:style>
  <w:style w:type="character" w:styleId="CommentReference">
    <w:name w:val="annotation reference"/>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AE437D"/>
    <w:pPr>
      <w:tabs>
        <w:tab w:val="left" w:pos="993"/>
        <w:tab w:val="right" w:leader="dot" w:pos="9017"/>
      </w:tabs>
      <w:spacing w:before="120"/>
      <w:ind w:right="-46"/>
    </w:pPr>
    <w:rPr>
      <w:b/>
      <w:noProof/>
    </w:rPr>
  </w:style>
  <w:style w:type="paragraph" w:styleId="TOC2">
    <w:name w:val="toc 2"/>
    <w:basedOn w:val="Normal"/>
    <w:next w:val="Normal"/>
    <w:autoRedefine/>
    <w:uiPriority w:val="39"/>
    <w:qFormat/>
    <w:rsid w:val="00AE437D"/>
    <w:pPr>
      <w:tabs>
        <w:tab w:val="left" w:pos="1540"/>
        <w:tab w:val="right" w:leader="dot" w:pos="9017"/>
      </w:tabs>
      <w:ind w:left="993" w:right="720"/>
    </w:pPr>
    <w:rPr>
      <w:noProof/>
    </w:rPr>
  </w:style>
  <w:style w:type="paragraph" w:styleId="TOC3">
    <w:name w:val="toc 3"/>
    <w:basedOn w:val="Normal"/>
    <w:next w:val="Normal"/>
    <w:autoRedefine/>
    <w:uiPriority w:val="39"/>
    <w:qFormat/>
    <w:rsid w:val="00EB422E"/>
    <w:pPr>
      <w:tabs>
        <w:tab w:val="right" w:leader="dot" w:pos="9016"/>
      </w:tabs>
      <w:spacing w:after="0"/>
      <w:ind w:left="1560"/>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uiPriority w:val="99"/>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uiPriority w:val="35"/>
    <w:qFormat/>
    <w:rsid w:val="009E2C14"/>
    <w:pPr>
      <w:spacing w:after="120"/>
      <w:jc w:val="left"/>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aliases w:val="Summary box"/>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uiPriority w:val="99"/>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aliases w:val="Paragraph,List Paragraph1"/>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0E1C52"/>
    <w:pPr>
      <w:spacing w:before="60" w:after="60"/>
      <w:jc w:val="left"/>
    </w:pPr>
    <w:rPr>
      <w:rFonts w:ascii="Arial Narrow" w:hAnsi="Arial Narrow"/>
      <w:sz w:val="20"/>
      <w:szCs w:val="20"/>
    </w:rPr>
  </w:style>
  <w:style w:type="character" w:customStyle="1" w:styleId="TabletextChar1">
    <w:name w:val="Table text Char"/>
    <w:link w:val="Tabletext1"/>
    <w:rsid w:val="000E1C52"/>
    <w:rPr>
      <w:rFonts w:ascii="Arial Narrow" w:hAnsi="Arial Narrow" w:cs="Tahoma"/>
    </w:rPr>
  </w:style>
  <w:style w:type="character" w:customStyle="1" w:styleId="Heading3Char">
    <w:name w:val="Heading 3 Char"/>
    <w:link w:val="Heading3"/>
    <w:rsid w:val="003F6C66"/>
    <w:rPr>
      <w:rFonts w:ascii="Calibri" w:hAnsi="Calibri" w:cs="Tahoma"/>
      <w:b/>
      <w:i/>
      <w:sz w:val="22"/>
      <w:szCs w:val="22"/>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i/>
      <w:smallCaps w:val="0"/>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EF5A91"/>
    <w:pPr>
      <w:numPr>
        <w:numId w:val="0"/>
      </w:numPr>
      <w:ind w:left="1134" w:hanging="1134"/>
    </w:pPr>
  </w:style>
  <w:style w:type="character" w:customStyle="1" w:styleId="ESNumberedSectionHeadingChar">
    <w:name w:val="ES Numbered Section Heading Char"/>
    <w:basedOn w:val="ESSectionHeading-numberedChar"/>
    <w:link w:val="ESNumberedSectionHeading"/>
    <w:rsid w:val="00EF5A91"/>
    <w:rPr>
      <w:rFonts w:ascii="Calibri" w:hAnsi="Calibri" w:cs="Tahoma"/>
      <w:b/>
      <w:i/>
      <w:smallCaps w:val="0"/>
      <w:sz w:val="24"/>
      <w:szCs w:val="24"/>
    </w:rPr>
  </w:style>
  <w:style w:type="paragraph" w:customStyle="1" w:styleId="Tablenotes0">
    <w:name w:val="Tablenotes"/>
    <w:basedOn w:val="Normal"/>
    <w:link w:val="TablenotesChar0"/>
    <w:qFormat/>
    <w:rsid w:val="00DA1365"/>
    <w:pPr>
      <w:widowControl w:val="0"/>
      <w:spacing w:before="60" w:after="60" w:line="240" w:lineRule="auto"/>
      <w:jc w:val="left"/>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DA1365"/>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paragraph" w:customStyle="1" w:styleId="EndNoteBibliographyTitle">
    <w:name w:val="EndNote Bibliography Title"/>
    <w:basedOn w:val="Normal"/>
    <w:link w:val="EndNoteBibliographyTitleChar"/>
    <w:rsid w:val="00C000FD"/>
    <w:pPr>
      <w:spacing w:after="0"/>
      <w:jc w:val="center"/>
    </w:pPr>
    <w:rPr>
      <w:noProof/>
    </w:rPr>
  </w:style>
  <w:style w:type="character" w:customStyle="1" w:styleId="EndNoteBibliographyTitleChar">
    <w:name w:val="EndNote Bibliography Title Char"/>
    <w:basedOn w:val="DefaultParagraphFont"/>
    <w:link w:val="EndNoteBibliographyTitle"/>
    <w:rsid w:val="00C000FD"/>
    <w:rPr>
      <w:rFonts w:ascii="Calibri" w:hAnsi="Calibri" w:cs="Tahoma"/>
      <w:noProof/>
      <w:sz w:val="22"/>
      <w:szCs w:val="22"/>
    </w:rPr>
  </w:style>
  <w:style w:type="paragraph" w:customStyle="1" w:styleId="EndNoteBibliography">
    <w:name w:val="EndNote Bibliography"/>
    <w:basedOn w:val="Normal"/>
    <w:link w:val="EndNoteBibliographyChar"/>
    <w:rsid w:val="00C000FD"/>
    <w:pPr>
      <w:spacing w:line="240" w:lineRule="auto"/>
    </w:pPr>
    <w:rPr>
      <w:noProof/>
    </w:rPr>
  </w:style>
  <w:style w:type="character" w:customStyle="1" w:styleId="EndNoteBibliographyChar">
    <w:name w:val="EndNote Bibliography Char"/>
    <w:basedOn w:val="DefaultParagraphFont"/>
    <w:link w:val="EndNoteBibliography"/>
    <w:rsid w:val="00C000FD"/>
    <w:rPr>
      <w:rFonts w:ascii="Calibri" w:hAnsi="Calibri" w:cs="Tahoma"/>
      <w:noProof/>
      <w:sz w:val="22"/>
      <w:szCs w:val="22"/>
    </w:rPr>
  </w:style>
  <w:style w:type="table" w:customStyle="1" w:styleId="TableGrid3">
    <w:name w:val="Table Grid3"/>
    <w:basedOn w:val="TableNormal"/>
    <w:next w:val="TableGrid"/>
    <w:uiPriority w:val="59"/>
    <w:rsid w:val="008676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A7B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A7B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ality-sign">
    <w:name w:val="quality-sign"/>
    <w:basedOn w:val="DefaultParagraphFont"/>
    <w:rsid w:val="007C6F8D"/>
  </w:style>
  <w:style w:type="numbering" w:customStyle="1" w:styleId="NoList1">
    <w:name w:val="No List1"/>
    <w:next w:val="NoList"/>
    <w:uiPriority w:val="99"/>
    <w:semiHidden/>
    <w:unhideWhenUsed/>
    <w:rsid w:val="00861E5C"/>
  </w:style>
  <w:style w:type="character" w:customStyle="1" w:styleId="tgc">
    <w:name w:val="_tgc"/>
    <w:basedOn w:val="DefaultParagraphFont"/>
    <w:rsid w:val="00861E5C"/>
  </w:style>
  <w:style w:type="numbering" w:customStyle="1" w:styleId="NoList2">
    <w:name w:val="No List2"/>
    <w:next w:val="NoList"/>
    <w:uiPriority w:val="99"/>
    <w:semiHidden/>
    <w:unhideWhenUsed/>
    <w:rsid w:val="007F70F3"/>
  </w:style>
  <w:style w:type="numbering" w:customStyle="1" w:styleId="ESSectionheading-numbered1">
    <w:name w:val="ES. Section heading - numbered1"/>
    <w:uiPriority w:val="99"/>
    <w:rsid w:val="007F70F3"/>
  </w:style>
  <w:style w:type="numbering" w:customStyle="1" w:styleId="NoList3">
    <w:name w:val="No List3"/>
    <w:next w:val="NoList"/>
    <w:uiPriority w:val="99"/>
    <w:semiHidden/>
    <w:unhideWhenUsed/>
    <w:rsid w:val="00E10816"/>
  </w:style>
  <w:style w:type="numbering" w:customStyle="1" w:styleId="ESSectionheading-numbered2">
    <w:name w:val="ES. Section heading - numbered2"/>
    <w:uiPriority w:val="99"/>
    <w:rsid w:val="00E10816"/>
  </w:style>
  <w:style w:type="table" w:customStyle="1" w:styleId="TableGrid6">
    <w:name w:val="Table Grid6"/>
    <w:basedOn w:val="TableNormal"/>
    <w:next w:val="TableGrid"/>
    <w:uiPriority w:val="59"/>
    <w:rsid w:val="00E108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E44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E44DB"/>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02D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B089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uiPriority w:val="35"/>
    <w:locked/>
    <w:rsid w:val="009E2C14"/>
    <w:rPr>
      <w:rFonts w:ascii="Arial Narrow" w:hAnsi="Arial Narrow" w:cs="Tahoma"/>
      <w:b/>
      <w:bCs/>
      <w:szCs w:val="22"/>
    </w:rPr>
  </w:style>
  <w:style w:type="paragraph" w:customStyle="1" w:styleId="Tableheader">
    <w:name w:val="Table header"/>
    <w:basedOn w:val="BodyText"/>
    <w:next w:val="BodyText"/>
    <w:uiPriority w:val="99"/>
    <w:qFormat/>
    <w:rsid w:val="00E56FF7"/>
    <w:pPr>
      <w:tabs>
        <w:tab w:val="left" w:pos="1134"/>
      </w:tabs>
      <w:spacing w:before="120" w:after="60" w:line="276" w:lineRule="auto"/>
    </w:pPr>
    <w:rPr>
      <w:rFonts w:asciiTheme="minorHAnsi" w:eastAsia="Calibri" w:hAnsiTheme="minorHAnsi" w:cs="Calibri"/>
      <w:i w:val="0"/>
      <w:snapToGrid/>
      <w:color w:val="auto"/>
      <w:sz w:val="20"/>
      <w:szCs w:val="20"/>
      <w:lang w:val="en-US"/>
    </w:rPr>
  </w:style>
  <w:style w:type="character" w:customStyle="1" w:styleId="ListParagraphChar">
    <w:name w:val="List Paragraph Char"/>
    <w:aliases w:val="Paragraph Char,List Paragraph1 Char"/>
    <w:basedOn w:val="DefaultParagraphFont"/>
    <w:link w:val="ListParagraph"/>
    <w:uiPriority w:val="34"/>
    <w:rsid w:val="00AB12D2"/>
    <w:rPr>
      <w:rFonts w:ascii="Calibri" w:hAnsi="Calibri" w:cs="Tahoma"/>
      <w:sz w:val="22"/>
      <w:szCs w:val="22"/>
    </w:rPr>
  </w:style>
  <w:style w:type="paragraph" w:customStyle="1" w:styleId="TableH1">
    <w:name w:val="Table H1"/>
    <w:basedOn w:val="BodyText"/>
    <w:uiPriority w:val="4"/>
    <w:qFormat/>
    <w:rsid w:val="00AB12D2"/>
    <w:pPr>
      <w:keepNext/>
      <w:tabs>
        <w:tab w:val="left" w:pos="416"/>
        <w:tab w:val="left" w:pos="582"/>
        <w:tab w:val="left" w:pos="1134"/>
      </w:tabs>
      <w:spacing w:after="240"/>
    </w:pPr>
    <w:rPr>
      <w:rFonts w:ascii="Calibri" w:hAnsi="Calibri" w:cs="Times New Roman"/>
      <w:i w:val="0"/>
      <w:snapToGrid/>
      <w:color w:val="auto"/>
      <w:sz w:val="20"/>
      <w:szCs w:val="20"/>
      <w:lang w:val="en-US"/>
    </w:rPr>
  </w:style>
  <w:style w:type="paragraph" w:customStyle="1" w:styleId="Tablefont">
    <w:name w:val="Table font"/>
    <w:basedOn w:val="Normal"/>
    <w:link w:val="TablefontChar"/>
    <w:rsid w:val="00AB12D2"/>
    <w:pPr>
      <w:spacing w:before="120" w:after="120"/>
    </w:pPr>
    <w:rPr>
      <w:rFonts w:ascii="Arial Narrow" w:eastAsia="Calibri" w:hAnsi="Arial Narrow" w:cs="Times New Roman"/>
      <w:lang w:eastAsia="en-US"/>
    </w:rPr>
  </w:style>
  <w:style w:type="character" w:customStyle="1" w:styleId="TablefontChar">
    <w:name w:val="Table font Char"/>
    <w:basedOn w:val="DefaultParagraphFont"/>
    <w:link w:val="Tablefont"/>
    <w:rsid w:val="00AB12D2"/>
    <w:rPr>
      <w:rFonts w:ascii="Arial Narrow" w:eastAsia="Calibri" w:hAnsi="Arial Narrow"/>
      <w:sz w:val="22"/>
      <w:szCs w:val="22"/>
      <w:lang w:eastAsia="en-US"/>
    </w:rPr>
  </w:style>
  <w:style w:type="paragraph" w:customStyle="1" w:styleId="Tablename0">
    <w:name w:val="Table name"/>
    <w:basedOn w:val="Normal"/>
    <w:uiPriority w:val="4"/>
    <w:qFormat/>
    <w:rsid w:val="00AB12D2"/>
    <w:pPr>
      <w:keepNext/>
      <w:tabs>
        <w:tab w:val="left" w:pos="1418"/>
      </w:tabs>
      <w:spacing w:before="120" w:after="120"/>
      <w:ind w:left="1418" w:hanging="1418"/>
    </w:pPr>
    <w:rPr>
      <w:rFonts w:cs="Times New Roman"/>
      <w:b/>
      <w:bCs/>
      <w:szCs w:val="20"/>
      <w:lang w:eastAsia="en-US"/>
    </w:rPr>
  </w:style>
  <w:style w:type="paragraph" w:styleId="NoSpacing">
    <w:name w:val="No Spacing"/>
    <w:uiPriority w:val="1"/>
    <w:qFormat/>
    <w:rsid w:val="003C7684"/>
    <w:pPr>
      <w:spacing w:before="0" w:after="0"/>
    </w:pPr>
    <w:rPr>
      <w:rFonts w:asciiTheme="minorHAnsi" w:eastAsiaTheme="minorHAnsi" w:hAnsiTheme="minorHAnsi" w:cstheme="minorBidi"/>
      <w:sz w:val="22"/>
      <w:szCs w:val="22"/>
      <w:lang w:val="en-US" w:eastAsia="en-US"/>
    </w:rPr>
  </w:style>
  <w:style w:type="table" w:customStyle="1" w:styleId="TableGrid91">
    <w:name w:val="Table Grid91"/>
    <w:basedOn w:val="TableNormal"/>
    <w:next w:val="TableGrid"/>
    <w:uiPriority w:val="59"/>
    <w:rsid w:val="005A4A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C74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E26B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2183310">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3439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embeddings/oleObject1.bin"/><Relationship Id="rId39" Type="http://schemas.openxmlformats.org/officeDocument/2006/relationships/image" Target="media/image8.tif"/><Relationship Id="rId21" Type="http://schemas.openxmlformats.org/officeDocument/2006/relationships/footer" Target="footer4.xml"/><Relationship Id="rId34" Type="http://schemas.openxmlformats.org/officeDocument/2006/relationships/oleObject" Target="embeddings/oleObject5.bin"/><Relationship Id="rId42" Type="http://schemas.openxmlformats.org/officeDocument/2006/relationships/header" Target="header8.xml"/><Relationship Id="rId47" Type="http://schemas.openxmlformats.org/officeDocument/2006/relationships/image" Target="media/image10.tiff"/><Relationship Id="rId50" Type="http://schemas.openxmlformats.org/officeDocument/2006/relationships/chart" Target="charts/chart1.xml"/><Relationship Id="rId55" Type="http://schemas.openxmlformats.org/officeDocument/2006/relationships/hyperlink" Target="https://www.nice.org.uk/guidance/ipg372" TargetMode="External"/><Relationship Id="rId63" Type="http://schemas.openxmlformats.org/officeDocument/2006/relationships/hyperlink" Target="http://www.aihw.gov.au/acim-books/%3e" TargetMode="External"/><Relationship Id="rId68" Type="http://schemas.openxmlformats.org/officeDocument/2006/relationships/hyperlink" Target="http://www.irsa.com.au/irsa-credentialing-guidelines%3e" TargetMode="External"/><Relationship Id="rId76"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hyperlink" Target="http://www.google.com.au/url?sa=t&amp;rct=j&amp;q=&amp;esrc=s&amp;source=web&amp;cd=1&amp;ved=0ahUKEwjs6_e1n-vOAhUHsJQKHYwtABEQFggdMAA&amp;url=http%3A%2F%2Fwww.ranzcr.edu.au%2Fdocuments-download%2Fdocument-library-9%2F3966-20151110-faculty-of-radiation-oncology-mbs-consultation-response&amp;usg=AFQjCNF_L3BMIPifTE7JwvopHOj6oArKLw&amp;sig2=Oz-oIAKlyQZGi_cXMc_QKQ%3e"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3.emf"/><Relationship Id="rId11" Type="http://schemas.openxmlformats.org/officeDocument/2006/relationships/hyperlink" Target="http://www.msac.gov.au/" TargetMode="External"/><Relationship Id="rId24" Type="http://schemas.openxmlformats.org/officeDocument/2006/relationships/hyperlink" Target="https://www.ebs.tga.gov.au/" TargetMode="External"/><Relationship Id="rId32" Type="http://schemas.openxmlformats.org/officeDocument/2006/relationships/oleObject" Target="embeddings/oleObject4.bin"/><Relationship Id="rId37" Type="http://schemas.openxmlformats.org/officeDocument/2006/relationships/hyperlink" Target="http://www.who.int/ictrp/en" TargetMode="External"/><Relationship Id="rId40" Type="http://schemas.openxmlformats.org/officeDocument/2006/relationships/image" Target="media/image9.tif"/><Relationship Id="rId45" Type="http://schemas.openxmlformats.org/officeDocument/2006/relationships/header" Target="header11.xml"/><Relationship Id="rId53" Type="http://schemas.openxmlformats.org/officeDocument/2006/relationships/hyperlink" Target="https://en.wikipedia.org/wiki/Fludeoxyglucose_(18F)" TargetMode="External"/><Relationship Id="rId58" Type="http://schemas.openxmlformats.org/officeDocument/2006/relationships/hyperlink" Target="http://www.nhmrc.gov.au/_files_nhmrc/publications/attachments/cp97_clinical_practise_guidelines_prevention_diagnosis_management__of_lung_cancer_0.pdf%3e" TargetMode="External"/><Relationship Id="rId66" Type="http://schemas.openxmlformats.org/officeDocument/2006/relationships/hyperlink" Target="http://www.cancervoicessa.org.au/assets/documents/Position_Papers/stereoradsurg.pdf%3e" TargetMode="External"/><Relationship Id="rId74" Type="http://schemas.openxmlformats.org/officeDocument/2006/relationships/header" Target="header15.xml"/><Relationship Id="rId79"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hyperlink" Target="http://www.aihw.gov.au/publication-detail/?id=60129550047%3e" TargetMode="External"/><Relationship Id="rId10" Type="http://schemas.openxmlformats.org/officeDocument/2006/relationships/hyperlink" Target="http://www.ag.gov.au/" TargetMode="External"/><Relationship Id="rId19" Type="http://schemas.openxmlformats.org/officeDocument/2006/relationships/header" Target="header4.xml"/><Relationship Id="rId31" Type="http://schemas.openxmlformats.org/officeDocument/2006/relationships/image" Target="media/image4.emf"/><Relationship Id="rId44" Type="http://schemas.openxmlformats.org/officeDocument/2006/relationships/header" Target="header10.xml"/><Relationship Id="rId52" Type="http://schemas.openxmlformats.org/officeDocument/2006/relationships/footer" Target="footer6.xml"/><Relationship Id="rId60" Type="http://schemas.openxmlformats.org/officeDocument/2006/relationships/hyperlink" Target="http://www.aihw.gov.au/publication-detail/?id=10737420419%3e" TargetMode="External"/><Relationship Id="rId65" Type="http://schemas.openxmlformats.org/officeDocument/2006/relationships/hyperlink" Target="http://www.cancervic.org.au/about-cancer/cancer_types/lung_cancer/diagnosing_lung_cancer.html%3e" TargetMode="External"/><Relationship Id="rId73" Type="http://schemas.openxmlformats.org/officeDocument/2006/relationships/header" Target="header14.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sac.gov.au/"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2.emf"/><Relationship Id="rId30" Type="http://schemas.openxmlformats.org/officeDocument/2006/relationships/oleObject" Target="embeddings/oleObject3.bin"/><Relationship Id="rId35" Type="http://schemas.openxmlformats.org/officeDocument/2006/relationships/image" Target="media/image6.emf"/><Relationship Id="rId43" Type="http://schemas.openxmlformats.org/officeDocument/2006/relationships/header" Target="header9.xml"/><Relationship Id="rId48" Type="http://schemas.openxmlformats.org/officeDocument/2006/relationships/image" Target="media/image11.tif"/><Relationship Id="rId56" Type="http://schemas.openxmlformats.org/officeDocument/2006/relationships/hyperlink" Target="http://www.angiodynamics.com/products/Acculis%3e" TargetMode="External"/><Relationship Id="rId64" Type="http://schemas.openxmlformats.org/officeDocument/2006/relationships/hyperlink" Target="http://www.inghaminstitute.org.au/sites/default/files/RTU%20Review%20Final%20Dec%202012%20v2%2019032013.pdf%3e" TargetMode="External"/><Relationship Id="rId69" Type="http://schemas.openxmlformats.org/officeDocument/2006/relationships/hyperlink" Target="http://www.msac.gov.au/internet/msac/publishing.nsf/Content/67FB8467CA66BBBECA257F73000863F3/$File/TherapeuticTechnicalGuidelines-Final-March2016-Version2.0-accessible.pdf%3e"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hyperlink" Target="http://www.radiationoncology.com.au/overview/preface-and-acknowledgements/%3e" TargetMode="External"/><Relationship Id="rId3" Type="http://schemas.openxmlformats.org/officeDocument/2006/relationships/styles" Target="styles.xml"/><Relationship Id="rId12" Type="http://schemas.openxmlformats.org/officeDocument/2006/relationships/hyperlink" Target="mailto:hta@health.gov.au" TargetMode="External"/><Relationship Id="rId17" Type="http://schemas.openxmlformats.org/officeDocument/2006/relationships/header" Target="header3.xml"/><Relationship Id="rId25" Type="http://schemas.openxmlformats.org/officeDocument/2006/relationships/image" Target="media/image1.emf"/><Relationship Id="rId33" Type="http://schemas.openxmlformats.org/officeDocument/2006/relationships/image" Target="media/image5.emf"/><Relationship Id="rId38" Type="http://schemas.openxmlformats.org/officeDocument/2006/relationships/image" Target="media/image7.tif"/><Relationship Id="rId46" Type="http://schemas.openxmlformats.org/officeDocument/2006/relationships/header" Target="header12.xml"/><Relationship Id="rId59" Type="http://schemas.openxmlformats.org/officeDocument/2006/relationships/hyperlink" Target="http://www.aihw.gov.au/publication-detail/?id=10737420419%3e" TargetMode="External"/><Relationship Id="rId67" Type="http://schemas.openxmlformats.org/officeDocument/2006/relationships/hyperlink" Target="http://www.mydigitalpublication.com/display_article.php?id=254110./%3e" TargetMode="External"/><Relationship Id="rId20" Type="http://schemas.openxmlformats.org/officeDocument/2006/relationships/header" Target="header5.xml"/><Relationship Id="rId41" Type="http://schemas.openxmlformats.org/officeDocument/2006/relationships/header" Target="header7.xml"/><Relationship Id="rId54" Type="http://schemas.openxmlformats.org/officeDocument/2006/relationships/hyperlink" Target="https://en.wikipedia.org/wiki/Fludeoxyglucose_(18F)" TargetMode="External"/><Relationship Id="rId62" Type="http://schemas.openxmlformats.org/officeDocument/2006/relationships/hyperlink" Target="http://www.aihw.gov.au/publication-detail/?id=60129550047%3e" TargetMode="External"/><Relationship Id="rId70" Type="http://schemas.openxmlformats.org/officeDocument/2006/relationships/hyperlink" Target="http://www.privatehealthcareaustralia.org.au/private-health-insurance-membership-june-2015/%3e"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eader" Target="header13.xml"/><Relationship Id="rId57" Type="http://schemas.openxmlformats.org/officeDocument/2006/relationships/hyperlink" Target="http://www.abs.gov.au/ausstats/abs@.nsf/mf/6401.0%3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College%20Surgeons\Lung%20Microwave%20Tissue\Model\lung_cancer%20AIHW.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College%20Surgeons\Lung%20Microwave%20Tissue\Model\lung_cancer%20AIHW.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32335162650124"/>
          <c:y val="4.0709543214570189E-2"/>
          <c:w val="0.82633460590153507"/>
          <c:h val="0.72752099657804803"/>
        </c:manualLayout>
      </c:layout>
      <c:lineChart>
        <c:grouping val="standard"/>
        <c:varyColors val="0"/>
        <c:ser>
          <c:idx val="0"/>
          <c:order val="0"/>
          <c:tx>
            <c:strRef>
              <c:f>Incidence!$AP$12</c:f>
              <c:strCache>
                <c:ptCount val="1"/>
                <c:pt idx="0">
                  <c:v>Male</c:v>
                </c:pt>
              </c:strCache>
            </c:strRef>
          </c:tx>
          <c:spPr>
            <a:ln w="28575" cap="rnd">
              <a:solidFill>
                <a:schemeClr val="accent1"/>
              </a:solidFill>
              <a:round/>
            </a:ln>
            <a:effectLst/>
          </c:spPr>
          <c:marker>
            <c:symbol val="none"/>
          </c:marker>
          <c:cat>
            <c:numRef>
              <c:f>Incidence!$AO$13:$AO$43</c:f>
              <c:numCache>
                <c:formatCode>#,##0</c:formatCode>
                <c:ptCount val="3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numCache>
            </c:numRef>
          </c:cat>
          <c:val>
            <c:numRef>
              <c:f>Incidence!$AP$13:$AP$43</c:f>
              <c:numCache>
                <c:formatCode>#,##0</c:formatCode>
                <c:ptCount val="31"/>
                <c:pt idx="0">
                  <c:v>4692</c:v>
                </c:pt>
                <c:pt idx="1">
                  <c:v>4789</c:v>
                </c:pt>
                <c:pt idx="2">
                  <c:v>4938</c:v>
                </c:pt>
                <c:pt idx="3">
                  <c:v>4877</c:v>
                </c:pt>
                <c:pt idx="4">
                  <c:v>4903</c:v>
                </c:pt>
                <c:pt idx="5">
                  <c:v>5224</c:v>
                </c:pt>
                <c:pt idx="6">
                  <c:v>4953</c:v>
                </c:pt>
                <c:pt idx="7">
                  <c:v>5111</c:v>
                </c:pt>
                <c:pt idx="8">
                  <c:v>5211</c:v>
                </c:pt>
                <c:pt idx="9">
                  <c:v>5145</c:v>
                </c:pt>
                <c:pt idx="10">
                  <c:v>5160</c:v>
                </c:pt>
                <c:pt idx="11">
                  <c:v>5126</c:v>
                </c:pt>
                <c:pt idx="12">
                  <c:v>5425</c:v>
                </c:pt>
                <c:pt idx="13">
                  <c:v>5223</c:v>
                </c:pt>
                <c:pt idx="14">
                  <c:v>5367</c:v>
                </c:pt>
                <c:pt idx="15">
                  <c:v>5436</c:v>
                </c:pt>
                <c:pt idx="16">
                  <c:v>5460</c:v>
                </c:pt>
                <c:pt idx="17">
                  <c:v>5440</c:v>
                </c:pt>
                <c:pt idx="18">
                  <c:v>5422</c:v>
                </c:pt>
                <c:pt idx="19">
                  <c:v>5494</c:v>
                </c:pt>
                <c:pt idx="20">
                  <c:v>5489</c:v>
                </c:pt>
                <c:pt idx="21">
                  <c:v>5435</c:v>
                </c:pt>
                <c:pt idx="22">
                  <c:v>5942</c:v>
                </c:pt>
                <c:pt idx="23">
                  <c:v>5865</c:v>
                </c:pt>
                <c:pt idx="24">
                  <c:v>6131</c:v>
                </c:pt>
                <c:pt idx="25">
                  <c:v>6077</c:v>
                </c:pt>
                <c:pt idx="26">
                  <c:v>6134</c:v>
                </c:pt>
                <c:pt idx="27">
                  <c:v>6102.9170892384991</c:v>
                </c:pt>
                <c:pt idx="28">
                  <c:v>6312.4537451506994</c:v>
                </c:pt>
                <c:pt idx="29">
                  <c:v>6382.0823075781009</c:v>
                </c:pt>
                <c:pt idx="30">
                  <c:v>6462.1394671212001</c:v>
                </c:pt>
              </c:numCache>
            </c:numRef>
          </c:val>
          <c:smooth val="0"/>
          <c:extLst xmlns:c16r2="http://schemas.microsoft.com/office/drawing/2015/06/chart">
            <c:ext xmlns:c16="http://schemas.microsoft.com/office/drawing/2014/chart" uri="{C3380CC4-5D6E-409C-BE32-E72D297353CC}">
              <c16:uniqueId val="{00000000-D4D7-40CC-9774-7FF22AB4B4AC}"/>
            </c:ext>
          </c:extLst>
        </c:ser>
        <c:ser>
          <c:idx val="1"/>
          <c:order val="1"/>
          <c:tx>
            <c:strRef>
              <c:f>Incidence!$AQ$12</c:f>
              <c:strCache>
                <c:ptCount val="1"/>
                <c:pt idx="0">
                  <c:v>Female</c:v>
                </c:pt>
              </c:strCache>
            </c:strRef>
          </c:tx>
          <c:spPr>
            <a:ln w="28575" cap="rnd">
              <a:solidFill>
                <a:schemeClr val="accent2"/>
              </a:solidFill>
              <a:round/>
            </a:ln>
            <a:effectLst/>
          </c:spPr>
          <c:marker>
            <c:symbol val="none"/>
          </c:marker>
          <c:cat>
            <c:numRef>
              <c:f>Incidence!$AO$13:$AO$43</c:f>
              <c:numCache>
                <c:formatCode>#,##0</c:formatCode>
                <c:ptCount val="3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numCache>
            </c:numRef>
          </c:cat>
          <c:val>
            <c:numRef>
              <c:f>Incidence!$AQ$13:$AQ$43</c:f>
              <c:numCache>
                <c:formatCode>#,##0</c:formatCode>
                <c:ptCount val="31"/>
                <c:pt idx="0">
                  <c:v>1261</c:v>
                </c:pt>
                <c:pt idx="1">
                  <c:v>1328</c:v>
                </c:pt>
                <c:pt idx="2">
                  <c:v>1404</c:v>
                </c:pt>
                <c:pt idx="3">
                  <c:v>1434</c:v>
                </c:pt>
                <c:pt idx="4">
                  <c:v>1557</c:v>
                </c:pt>
                <c:pt idx="5">
                  <c:v>1656</c:v>
                </c:pt>
                <c:pt idx="6">
                  <c:v>1739</c:v>
                </c:pt>
                <c:pt idx="7">
                  <c:v>1837</c:v>
                </c:pt>
                <c:pt idx="8">
                  <c:v>1939</c:v>
                </c:pt>
                <c:pt idx="9">
                  <c:v>2020</c:v>
                </c:pt>
                <c:pt idx="10">
                  <c:v>2033</c:v>
                </c:pt>
                <c:pt idx="11">
                  <c:v>2203</c:v>
                </c:pt>
                <c:pt idx="12">
                  <c:v>2262</c:v>
                </c:pt>
                <c:pt idx="13">
                  <c:v>2334</c:v>
                </c:pt>
                <c:pt idx="14">
                  <c:v>2437</c:v>
                </c:pt>
                <c:pt idx="15">
                  <c:v>2575</c:v>
                </c:pt>
                <c:pt idx="16">
                  <c:v>2566</c:v>
                </c:pt>
                <c:pt idx="17">
                  <c:v>2615</c:v>
                </c:pt>
                <c:pt idx="18">
                  <c:v>2848</c:v>
                </c:pt>
                <c:pt idx="19">
                  <c:v>2943</c:v>
                </c:pt>
                <c:pt idx="20">
                  <c:v>3120</c:v>
                </c:pt>
                <c:pt idx="21">
                  <c:v>3048</c:v>
                </c:pt>
                <c:pt idx="22">
                  <c:v>3340</c:v>
                </c:pt>
                <c:pt idx="23">
                  <c:v>3539</c:v>
                </c:pt>
                <c:pt idx="24">
                  <c:v>3632</c:v>
                </c:pt>
                <c:pt idx="25">
                  <c:v>3837</c:v>
                </c:pt>
                <c:pt idx="26">
                  <c:v>4019</c:v>
                </c:pt>
                <c:pt idx="27">
                  <c:v>4230.3913622300006</c:v>
                </c:pt>
                <c:pt idx="28">
                  <c:v>4192.2306774097005</c:v>
                </c:pt>
                <c:pt idx="29">
                  <c:v>4161.7591275083014</c:v>
                </c:pt>
                <c:pt idx="30">
                  <c:v>4463.7285386574003</c:v>
                </c:pt>
              </c:numCache>
            </c:numRef>
          </c:val>
          <c:smooth val="0"/>
          <c:extLst xmlns:c16r2="http://schemas.microsoft.com/office/drawing/2015/06/chart">
            <c:ext xmlns:c16="http://schemas.microsoft.com/office/drawing/2014/chart" uri="{C3380CC4-5D6E-409C-BE32-E72D297353CC}">
              <c16:uniqueId val="{00000001-D4D7-40CC-9774-7FF22AB4B4AC}"/>
            </c:ext>
          </c:extLst>
        </c:ser>
        <c:dLbls>
          <c:showLegendKey val="0"/>
          <c:showVal val="0"/>
          <c:showCatName val="0"/>
          <c:showSerName val="0"/>
          <c:showPercent val="0"/>
          <c:showBubbleSize val="0"/>
        </c:dLbls>
        <c:marker val="1"/>
        <c:smooth val="0"/>
        <c:axId val="87736320"/>
        <c:axId val="87737856"/>
      </c:lineChart>
      <c:catAx>
        <c:axId val="87736320"/>
        <c:scaling>
          <c:orientation val="minMax"/>
        </c:scaling>
        <c:delete val="0"/>
        <c:axPos val="b"/>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37856"/>
        <c:crosses val="autoZero"/>
        <c:auto val="1"/>
        <c:lblAlgn val="ctr"/>
        <c:lblOffset val="100"/>
        <c:noMultiLvlLbl val="0"/>
      </c:catAx>
      <c:valAx>
        <c:axId val="8773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new cases</a:t>
                </a:r>
              </a:p>
            </c:rich>
          </c:tx>
          <c:layout>
            <c:manualLayout>
              <c:xMode val="edge"/>
              <c:yMode val="edge"/>
              <c:x val="1.6714348206474192E-2"/>
              <c:y val="0.10969770183532973"/>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36320"/>
        <c:crosses val="autoZero"/>
        <c:crossBetween val="between"/>
      </c:valAx>
      <c:spPr>
        <a:noFill/>
        <a:ln>
          <a:noFill/>
        </a:ln>
        <a:effectLst/>
      </c:spPr>
    </c:plotArea>
    <c:legend>
      <c:legendPos val="b"/>
      <c:layout>
        <c:manualLayout>
          <c:xMode val="edge"/>
          <c:yMode val="edge"/>
          <c:x val="0"/>
          <c:y val="0.79132992577648631"/>
          <c:w val="0.14052672393223575"/>
          <c:h val="0.1543589376853706"/>
        </c:manualLayout>
      </c:layout>
      <c:overlay val="0"/>
      <c:spPr>
        <a:noFill/>
        <a:ln>
          <a:noFill/>
        </a:ln>
        <a:effectLst/>
      </c:spPr>
      <c:txPr>
        <a:bodyPr rot="0" spcFirstLastPara="1" vertOverflow="ellipsis" vert="horz" wrap="square" anchor="ctr" anchorCtr="1"/>
        <a:lstStyle/>
        <a:p>
          <a:pPr>
            <a:defRPr sz="800" b="0" i="0" u="none" strike="noStrike" kern="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444444444444502E-2"/>
          <c:y val="0.217592592592593"/>
          <c:w val="0.86944444444444502"/>
          <c:h val="0.62904928550597905"/>
        </c:manualLayout>
      </c:layout>
      <c:ofPieChart>
        <c:ofPieType val="pie"/>
        <c:varyColors val="1"/>
        <c:ser>
          <c:idx val="0"/>
          <c:order val="0"/>
          <c:dPt>
            <c:idx val="0"/>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07C-459A-86B4-8C9A74CDD4A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07C-459A-86B4-8C9A74CDD4A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07C-459A-86B4-8C9A74CDD4A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07C-459A-86B4-8C9A74CDD4A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07C-459A-86B4-8C9A74CDD4A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07C-459A-86B4-8C9A74CDD4A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07C-459A-86B4-8C9A74CDD4A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07C-459A-86B4-8C9A74CDD4A6}"/>
              </c:ext>
            </c:extLst>
          </c:dPt>
          <c:dLbls>
            <c:dLbl>
              <c:idx val="1"/>
              <c:layout>
                <c:manualLayout>
                  <c:x val="1.9368254643845201E-2"/>
                  <c:y val="0.1087988607102350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07C-459A-86B4-8C9A74CDD4A6}"/>
                </c:ext>
                <c:ext xmlns:c15="http://schemas.microsoft.com/office/drawing/2012/chart" uri="{CE6537A1-D6FC-4f65-9D91-7224C49458BB}"/>
              </c:extLst>
            </c:dLbl>
            <c:dLbl>
              <c:idx val="2"/>
              <c:layout>
                <c:manualLayout>
                  <c:x val="-2.9922790901137399E-2"/>
                  <c:y val="0.14750145815106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07C-459A-86B4-8C9A74CDD4A6}"/>
                </c:ext>
                <c:ext xmlns:c15="http://schemas.microsoft.com/office/drawing/2012/chart" uri="{CE6537A1-D6FC-4f65-9D91-7224C49458BB}"/>
              </c:extLst>
            </c:dLbl>
            <c:dLbl>
              <c:idx val="3"/>
              <c:layout>
                <c:manualLayout>
                  <c:x val="2.99687226596674E-2"/>
                  <c:y val="-5.299722951297750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07C-459A-86B4-8C9A74CDD4A6}"/>
                </c:ext>
                <c:ext xmlns:c15="http://schemas.microsoft.com/office/drawing/2012/chart" uri="{CE6537A1-D6FC-4f65-9D91-7224C49458BB}"/>
              </c:extLst>
            </c:dLbl>
            <c:dLbl>
              <c:idx val="4"/>
              <c:layout>
                <c:manualLayout>
                  <c:x val="-2.5451443569553801E-2"/>
                  <c:y val="-9.926399825021869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07C-459A-86B4-8C9A74CDD4A6}"/>
                </c:ext>
                <c:ext xmlns:c15="http://schemas.microsoft.com/office/drawing/2012/chart" uri="{CE6537A1-D6FC-4f65-9D91-7224C49458BB}"/>
              </c:extLst>
            </c:dLbl>
            <c:dLbl>
              <c:idx val="5"/>
              <c:layout>
                <c:manualLayout>
                  <c:x val="0"/>
                  <c:y val="-0.15594670457859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E07C-459A-86B4-8C9A74CDD4A6}"/>
                </c:ext>
                <c:ext xmlns:c15="http://schemas.microsoft.com/office/drawing/2012/chart" uri="{CE6537A1-D6FC-4f65-9D91-7224C49458BB}"/>
              </c:extLst>
            </c:dLbl>
            <c:dLbl>
              <c:idx val="6"/>
              <c:layout>
                <c:manualLayout>
                  <c:x val="7.9461942257217894E-2"/>
                  <c:y val="9.5148002333039997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E07C-459A-86B4-8C9A74CDD4A6}"/>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F-E07C-459A-86B4-8C9A74CDD4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Incidence!$B$122:$B$128</c:f>
              <c:strCache>
                <c:ptCount val="7"/>
                <c:pt idx="0">
                  <c:v>Small Cell</c:v>
                </c:pt>
                <c:pt idx="1">
                  <c:v>NSC Stage I-II Good Perform Surgery</c:v>
                </c:pt>
                <c:pt idx="2">
                  <c:v>NSC Stage I-II Good Perform No Surgery</c:v>
                </c:pt>
                <c:pt idx="3">
                  <c:v>NSC Stage I-II Poor Perform</c:v>
                </c:pt>
                <c:pt idx="4">
                  <c:v>NSC Stage IIIA</c:v>
                </c:pt>
                <c:pt idx="5">
                  <c:v>NSC Stage IIIB</c:v>
                </c:pt>
                <c:pt idx="6">
                  <c:v>NSC Stage IV</c:v>
                </c:pt>
              </c:strCache>
            </c:strRef>
          </c:cat>
          <c:val>
            <c:numRef>
              <c:f>Incidence!$C$122:$C$128</c:f>
              <c:numCache>
                <c:formatCode>0%</c:formatCode>
                <c:ptCount val="7"/>
                <c:pt idx="0">
                  <c:v>0.15</c:v>
                </c:pt>
                <c:pt idx="1">
                  <c:v>0.1123564</c:v>
                </c:pt>
                <c:pt idx="2">
                  <c:v>0.1037136</c:v>
                </c:pt>
                <c:pt idx="3">
                  <c:v>4.743E-2</c:v>
                </c:pt>
                <c:pt idx="4">
                  <c:v>0.1275</c:v>
                </c:pt>
                <c:pt idx="5">
                  <c:v>0.14449999999999999</c:v>
                </c:pt>
                <c:pt idx="6">
                  <c:v>0.3145</c:v>
                </c:pt>
              </c:numCache>
            </c:numRef>
          </c:val>
          <c:extLst xmlns:c16r2="http://schemas.microsoft.com/office/drawing/2015/06/chart">
            <c:ext xmlns:c16="http://schemas.microsoft.com/office/drawing/2014/chart" uri="{C3380CC4-5D6E-409C-BE32-E72D297353CC}">
              <c16:uniqueId val="{00000010-E07C-459A-86B4-8C9A74CDD4A6}"/>
            </c:ext>
          </c:extLst>
        </c:ser>
        <c:dLbls>
          <c:showLegendKey val="0"/>
          <c:showVal val="0"/>
          <c:showCatName val="0"/>
          <c:showSerName val="0"/>
          <c:showPercent val="0"/>
          <c:showBubbleSize val="0"/>
          <c:showLeaderLines val="1"/>
        </c:dLbls>
        <c:gapWidth val="100"/>
        <c:splitType val="pos"/>
        <c:splitPos val="6"/>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60CBC-64E1-470D-8F0D-A81FBCD74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331</Pages>
  <Words>107410</Words>
  <Characters>747662</Characters>
  <Application>Microsoft Office Word</Application>
  <DocSecurity>0</DocSecurity>
  <Lines>6230</Lines>
  <Paragraphs>1706</Paragraphs>
  <ScaleCrop>false</ScaleCrop>
  <HeadingPairs>
    <vt:vector size="2" baseType="variant">
      <vt:variant>
        <vt:lpstr>Title</vt:lpstr>
      </vt:variant>
      <vt:variant>
        <vt:i4>1</vt:i4>
      </vt:variant>
    </vt:vector>
  </HeadingPairs>
  <TitlesOfParts>
    <vt:vector size="1" baseType="lpstr">
      <vt:lpstr>1403 Assessment Report</vt:lpstr>
    </vt:vector>
  </TitlesOfParts>
  <LinksUpToDate>false</LinksUpToDate>
  <CharactersWithSpaces>853366</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1403 Assessment Report</dc:title>
  <dc:creator/>
  <cp:lastModifiedBy/>
  <cp:revision>1</cp:revision>
  <dcterms:created xsi:type="dcterms:W3CDTF">2017-07-18T23:17:00Z</dcterms:created>
  <dcterms:modified xsi:type="dcterms:W3CDTF">2017-07-18T23:31:00Z</dcterms:modified>
</cp:coreProperties>
</file>